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diagrams/data1.xml" ContentType="application/vnd.openxmlformats-officedocument.drawingml.diagramData+xml"/>
  <Override PartName="/word/footer7.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footer3.xml" ContentType="application/vnd.openxmlformats-officedocument.wordprocessingml.footer+xml"/>
  <Override PartName="/word/footer1.xml" ContentType="application/vnd.openxmlformats-officedocument.wordprocessingml.footer+xml"/>
  <Override PartName="/word/footer4.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webSettings.xml" ContentType="application/vnd.openxmlformats-officedocument.wordprocessingml.webSetting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8A4FA88" w14:textId="06B47EE9" w:rsidR="003A5F4B" w:rsidRPr="00292532" w:rsidRDefault="003A5F4B" w:rsidP="003A5F4B">
      <w:pPr>
        <w:spacing w:line="276" w:lineRule="auto"/>
        <w:jc w:val="center"/>
        <w:rPr>
          <w:rFonts w:ascii="Times New Roman" w:eastAsia="Calibri" w:hAnsi="Times New Roman" w:cs="Times New Roman"/>
          <w:lang w:val="pt-PT"/>
        </w:rPr>
      </w:pPr>
      <w:r w:rsidRPr="00292532">
        <w:rPr>
          <w:rFonts w:ascii="Times New Roman" w:eastAsia="Calibri" w:hAnsi="Times New Roman" w:cs="Times New Roman"/>
          <w:noProof/>
          <w:lang w:val="en-US"/>
        </w:rPr>
        <w:drawing>
          <wp:anchor distT="0" distB="0" distL="114300" distR="114300" simplePos="0" relativeHeight="251664384" behindDoc="0" locked="0" layoutInCell="1" allowOverlap="1" wp14:anchorId="59438CAE" wp14:editId="1C9B9B7D">
            <wp:simplePos x="0" y="0"/>
            <wp:positionH relativeFrom="column">
              <wp:posOffset>2399665</wp:posOffset>
            </wp:positionH>
            <wp:positionV relativeFrom="paragraph">
              <wp:posOffset>-521970</wp:posOffset>
            </wp:positionV>
            <wp:extent cx="777875" cy="762635"/>
            <wp:effectExtent l="0" t="0" r="317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875" cy="762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B4B9C7" w14:textId="77777777" w:rsidR="00513673" w:rsidRPr="00292532" w:rsidRDefault="00513673" w:rsidP="00513673">
      <w:pPr>
        <w:tabs>
          <w:tab w:val="left" w:pos="964"/>
          <w:tab w:val="center" w:pos="4513"/>
        </w:tabs>
        <w:spacing w:line="276" w:lineRule="auto"/>
        <w:jc w:val="center"/>
        <w:rPr>
          <w:rFonts w:asciiTheme="minorHAnsi" w:eastAsia="Calibri" w:hAnsiTheme="minorHAnsi" w:cstheme="minorHAnsi"/>
          <w:b/>
          <w:sz w:val="30"/>
          <w:szCs w:val="30"/>
          <w:lang w:val="pt-PT"/>
        </w:rPr>
      </w:pPr>
      <w:r w:rsidRPr="00292532">
        <w:rPr>
          <w:rFonts w:asciiTheme="minorHAnsi" w:eastAsia="Calibri" w:hAnsiTheme="minorHAnsi" w:cstheme="minorHAnsi"/>
          <w:b/>
          <w:sz w:val="30"/>
          <w:szCs w:val="30"/>
          <w:lang w:val="pt-PT"/>
        </w:rPr>
        <w:t>MINISTÉRIO DAS OBRAS PÚBLICAS, HABITAÇÃO E RECURSOS HÍDRICOS</w:t>
      </w:r>
    </w:p>
    <w:p w14:paraId="484801E0" w14:textId="77777777" w:rsidR="00513673" w:rsidRPr="00292532" w:rsidRDefault="00513673" w:rsidP="00513673">
      <w:pPr>
        <w:tabs>
          <w:tab w:val="left" w:pos="964"/>
          <w:tab w:val="center" w:pos="4513"/>
        </w:tabs>
        <w:spacing w:line="276" w:lineRule="auto"/>
        <w:jc w:val="center"/>
        <w:rPr>
          <w:rFonts w:asciiTheme="minorHAnsi" w:eastAsia="Calibri" w:hAnsiTheme="minorHAnsi" w:cstheme="minorHAnsi"/>
          <w:b/>
          <w:sz w:val="30"/>
          <w:szCs w:val="30"/>
          <w:lang w:val="pt-PT"/>
        </w:rPr>
      </w:pPr>
      <w:r w:rsidRPr="00292532">
        <w:rPr>
          <w:rFonts w:asciiTheme="minorHAnsi" w:eastAsia="Calibri" w:hAnsiTheme="minorHAnsi" w:cstheme="minorHAnsi"/>
          <w:b/>
          <w:sz w:val="30"/>
          <w:szCs w:val="30"/>
          <w:lang w:val="pt-PT"/>
        </w:rPr>
        <w:t>ADMINISTRAÇÃO DE INFRAESTRUTURAS DE ÁGUA E SANEAMENTO</w:t>
      </w:r>
    </w:p>
    <w:p w14:paraId="543DF671" w14:textId="3E83ABE5" w:rsidR="003A5F4B" w:rsidRPr="00292532" w:rsidRDefault="00513673" w:rsidP="00513673">
      <w:pPr>
        <w:tabs>
          <w:tab w:val="left" w:pos="964"/>
          <w:tab w:val="center" w:pos="4513"/>
        </w:tabs>
        <w:spacing w:line="276" w:lineRule="auto"/>
        <w:jc w:val="center"/>
        <w:rPr>
          <w:rFonts w:asciiTheme="minorHAnsi" w:eastAsia="Calibri" w:hAnsiTheme="minorHAnsi" w:cstheme="minorHAnsi"/>
          <w:b/>
          <w:sz w:val="30"/>
          <w:szCs w:val="30"/>
          <w:lang w:val="pt-PT"/>
        </w:rPr>
      </w:pPr>
      <w:r w:rsidRPr="00292532">
        <w:rPr>
          <w:rFonts w:asciiTheme="minorHAnsi" w:eastAsia="Calibri" w:hAnsiTheme="minorHAnsi" w:cstheme="minorHAnsi"/>
          <w:b/>
          <w:sz w:val="30"/>
          <w:szCs w:val="30"/>
          <w:lang w:val="pt-PT"/>
        </w:rPr>
        <w:t>INSTITUTO PÚBLICO</w:t>
      </w:r>
    </w:p>
    <w:p w14:paraId="4EDDA006" w14:textId="2C7CB27D" w:rsidR="003A5F4B" w:rsidRPr="00292532" w:rsidRDefault="003A5F4B" w:rsidP="003A5F4B">
      <w:pPr>
        <w:spacing w:line="276" w:lineRule="auto"/>
        <w:jc w:val="center"/>
        <w:rPr>
          <w:rFonts w:asciiTheme="minorHAnsi" w:eastAsia="Calibri" w:hAnsiTheme="minorHAnsi" w:cstheme="minorHAnsi"/>
          <w:b/>
          <w:sz w:val="24"/>
          <w:szCs w:val="24"/>
          <w:lang w:val="pt-PT"/>
        </w:rPr>
      </w:pPr>
    </w:p>
    <w:p w14:paraId="46D82F97" w14:textId="77777777" w:rsidR="00040C6C" w:rsidRPr="00292532" w:rsidRDefault="00040C6C" w:rsidP="003A5F4B">
      <w:pPr>
        <w:spacing w:line="276" w:lineRule="auto"/>
        <w:jc w:val="center"/>
        <w:rPr>
          <w:rFonts w:asciiTheme="minorHAnsi" w:eastAsia="Calibri" w:hAnsiTheme="minorHAnsi" w:cstheme="minorHAnsi"/>
          <w:b/>
          <w:sz w:val="24"/>
          <w:szCs w:val="24"/>
          <w:lang w:val="pt-PT"/>
        </w:rPr>
      </w:pPr>
    </w:p>
    <w:p w14:paraId="3A73581C" w14:textId="190D3B30" w:rsidR="00F224DD" w:rsidRPr="00292532" w:rsidRDefault="00513673" w:rsidP="00803051">
      <w:pPr>
        <w:spacing w:before="0" w:after="0"/>
        <w:jc w:val="center"/>
        <w:rPr>
          <w:rFonts w:asciiTheme="minorHAnsi" w:eastAsia="Calibri" w:hAnsiTheme="minorHAnsi" w:cstheme="minorHAnsi"/>
          <w:b/>
          <w:sz w:val="32"/>
          <w:szCs w:val="32"/>
          <w:lang w:val="pt-PT"/>
        </w:rPr>
      </w:pPr>
      <w:proofErr w:type="spellStart"/>
      <w:r w:rsidRPr="00292532">
        <w:rPr>
          <w:rFonts w:asciiTheme="minorHAnsi" w:eastAsia="Calibri" w:hAnsiTheme="minorHAnsi" w:cstheme="minorHAnsi"/>
          <w:b/>
          <w:sz w:val="32"/>
          <w:szCs w:val="32"/>
          <w:lang w:val="pt-PT"/>
        </w:rPr>
        <w:t>Projecto</w:t>
      </w:r>
      <w:proofErr w:type="spellEnd"/>
      <w:r w:rsidRPr="00292532">
        <w:rPr>
          <w:rFonts w:asciiTheme="minorHAnsi" w:eastAsia="Calibri" w:hAnsiTheme="minorHAnsi" w:cstheme="minorHAnsi"/>
          <w:b/>
          <w:sz w:val="32"/>
          <w:szCs w:val="32"/>
          <w:lang w:val="pt-PT"/>
        </w:rPr>
        <w:t xml:space="preserve"> de Água</w:t>
      </w:r>
      <w:r w:rsidR="007D4482" w:rsidRPr="00292532">
        <w:rPr>
          <w:rFonts w:asciiTheme="minorHAnsi" w:eastAsia="Calibri" w:hAnsiTheme="minorHAnsi" w:cstheme="minorHAnsi"/>
          <w:b/>
          <w:sz w:val="32"/>
          <w:szCs w:val="32"/>
          <w:lang w:val="pt-PT"/>
        </w:rPr>
        <w:t xml:space="preserve"> Segura para Zonas Ru</w:t>
      </w:r>
      <w:r w:rsidR="001824ED">
        <w:rPr>
          <w:rFonts w:asciiTheme="minorHAnsi" w:eastAsia="Calibri" w:hAnsiTheme="minorHAnsi" w:cstheme="minorHAnsi"/>
          <w:b/>
          <w:sz w:val="32"/>
          <w:szCs w:val="32"/>
          <w:lang w:val="pt-PT"/>
        </w:rPr>
        <w:t>r</w:t>
      </w:r>
      <w:r w:rsidR="007D4482" w:rsidRPr="00292532">
        <w:rPr>
          <w:rFonts w:asciiTheme="minorHAnsi" w:eastAsia="Calibri" w:hAnsiTheme="minorHAnsi" w:cstheme="minorHAnsi"/>
          <w:b/>
          <w:sz w:val="32"/>
          <w:szCs w:val="32"/>
          <w:lang w:val="pt-PT"/>
        </w:rPr>
        <w:t xml:space="preserve">ais e </w:t>
      </w:r>
      <w:r w:rsidRPr="00292532">
        <w:rPr>
          <w:rFonts w:asciiTheme="minorHAnsi" w:eastAsia="Calibri" w:hAnsiTheme="minorHAnsi" w:cstheme="minorHAnsi"/>
          <w:b/>
          <w:sz w:val="32"/>
          <w:szCs w:val="32"/>
          <w:lang w:val="pt-PT"/>
        </w:rPr>
        <w:t>Vilas</w:t>
      </w:r>
    </w:p>
    <w:p w14:paraId="2256A8A2" w14:textId="15048387" w:rsidR="00803051" w:rsidRPr="00292532" w:rsidRDefault="00C85F09" w:rsidP="00803051">
      <w:pPr>
        <w:spacing w:before="0" w:after="0"/>
        <w:jc w:val="center"/>
        <w:rPr>
          <w:rFonts w:asciiTheme="minorHAnsi" w:eastAsia="Calibri" w:hAnsiTheme="minorHAnsi" w:cstheme="minorHAnsi"/>
          <w:b/>
          <w:sz w:val="32"/>
          <w:szCs w:val="32"/>
          <w:lang w:val="pt-PT"/>
        </w:rPr>
      </w:pPr>
      <w:r w:rsidRPr="00292532">
        <w:rPr>
          <w:rFonts w:asciiTheme="minorHAnsi" w:eastAsia="Calibri" w:hAnsiTheme="minorHAnsi" w:cstheme="minorHAnsi"/>
          <w:b/>
          <w:sz w:val="32"/>
          <w:szCs w:val="32"/>
          <w:lang w:val="pt-PT"/>
        </w:rPr>
        <w:t>(P 173518)</w:t>
      </w:r>
    </w:p>
    <w:p w14:paraId="53FBBDA8" w14:textId="7BA7C931" w:rsidR="00082C49" w:rsidRPr="00292532" w:rsidRDefault="00082C49" w:rsidP="00803051">
      <w:pPr>
        <w:spacing w:before="0" w:after="0"/>
        <w:jc w:val="center"/>
        <w:rPr>
          <w:rFonts w:asciiTheme="minorHAnsi" w:eastAsia="Calibri" w:hAnsiTheme="minorHAnsi" w:cstheme="minorHAnsi"/>
          <w:b/>
          <w:sz w:val="32"/>
          <w:szCs w:val="32"/>
          <w:lang w:val="pt-PT"/>
        </w:rPr>
      </w:pPr>
    </w:p>
    <w:p w14:paraId="6EDE63F8" w14:textId="64AE1502" w:rsidR="00082C49" w:rsidRPr="00292532" w:rsidRDefault="00082C49" w:rsidP="00803051">
      <w:pPr>
        <w:spacing w:before="0" w:after="0"/>
        <w:jc w:val="center"/>
        <w:rPr>
          <w:rFonts w:asciiTheme="minorHAnsi" w:eastAsia="Calibri" w:hAnsiTheme="minorHAnsi" w:cstheme="minorHAnsi"/>
          <w:b/>
          <w:sz w:val="32"/>
          <w:szCs w:val="32"/>
          <w:lang w:val="pt-PT"/>
        </w:rPr>
      </w:pPr>
    </w:p>
    <w:p w14:paraId="0568C792" w14:textId="1FBCD75A" w:rsidR="00082C49" w:rsidRPr="00292532" w:rsidRDefault="00082C49" w:rsidP="00803051">
      <w:pPr>
        <w:spacing w:before="0" w:after="0"/>
        <w:jc w:val="center"/>
        <w:rPr>
          <w:rFonts w:asciiTheme="minorHAnsi" w:eastAsia="Calibri" w:hAnsiTheme="minorHAnsi" w:cstheme="minorHAnsi"/>
          <w:b/>
          <w:sz w:val="32"/>
          <w:szCs w:val="32"/>
          <w:lang w:val="pt-PT"/>
        </w:rPr>
      </w:pPr>
    </w:p>
    <w:p w14:paraId="2A9E4AB9" w14:textId="15A5696F" w:rsidR="00082C49" w:rsidRPr="00292532" w:rsidRDefault="00082C49" w:rsidP="00803051">
      <w:pPr>
        <w:spacing w:before="0" w:after="0"/>
        <w:jc w:val="center"/>
        <w:rPr>
          <w:rFonts w:asciiTheme="minorHAnsi" w:eastAsia="Calibri" w:hAnsiTheme="minorHAnsi" w:cstheme="minorHAnsi"/>
          <w:b/>
          <w:sz w:val="32"/>
          <w:szCs w:val="32"/>
          <w:lang w:val="pt-PT"/>
        </w:rPr>
      </w:pPr>
    </w:p>
    <w:p w14:paraId="05CA9315" w14:textId="77777777" w:rsidR="00082C49" w:rsidRPr="00292532" w:rsidRDefault="00082C49" w:rsidP="00803051">
      <w:pPr>
        <w:spacing w:before="0" w:after="0"/>
        <w:jc w:val="center"/>
        <w:rPr>
          <w:rFonts w:asciiTheme="minorHAnsi" w:eastAsia="Calibri" w:hAnsiTheme="minorHAnsi" w:cstheme="minorHAnsi"/>
          <w:b/>
          <w:sz w:val="32"/>
          <w:szCs w:val="32"/>
          <w:lang w:val="pt-PT"/>
        </w:rPr>
      </w:pPr>
    </w:p>
    <w:p w14:paraId="0EB69182" w14:textId="263BD47F" w:rsidR="003A5F4B" w:rsidRPr="00292532" w:rsidRDefault="00547ED9" w:rsidP="00803051">
      <w:pPr>
        <w:spacing w:before="0" w:after="0"/>
        <w:jc w:val="center"/>
        <w:rPr>
          <w:rFonts w:asciiTheme="minorHAnsi" w:eastAsia="Calibri" w:hAnsiTheme="minorHAnsi" w:cstheme="minorHAnsi"/>
          <w:b/>
          <w:color w:val="385623"/>
          <w:sz w:val="32"/>
          <w:szCs w:val="24"/>
          <w:lang w:val="pt-PT"/>
        </w:rPr>
      </w:pPr>
      <w:r w:rsidRPr="00292532">
        <w:rPr>
          <w:rFonts w:asciiTheme="minorHAnsi" w:eastAsia="Calibri" w:hAnsiTheme="minorHAnsi" w:cstheme="minorHAnsi"/>
          <w:b/>
          <w:color w:val="385623"/>
          <w:sz w:val="32"/>
          <w:szCs w:val="24"/>
          <w:lang w:val="pt-PT"/>
        </w:rPr>
        <w:t xml:space="preserve">Quadro de </w:t>
      </w:r>
      <w:r w:rsidR="003A5F4B" w:rsidRPr="00292532">
        <w:rPr>
          <w:rFonts w:asciiTheme="minorHAnsi" w:eastAsia="Calibri" w:hAnsiTheme="minorHAnsi" w:cstheme="minorHAnsi"/>
          <w:b/>
          <w:color w:val="385623"/>
          <w:sz w:val="32"/>
          <w:szCs w:val="24"/>
          <w:lang w:val="pt-PT"/>
        </w:rPr>
        <w:t xml:space="preserve">Gestão Ambiental e Social </w:t>
      </w:r>
    </w:p>
    <w:p w14:paraId="0CF8E11A" w14:textId="6053CCCC" w:rsidR="003A5F4B" w:rsidRPr="00292532" w:rsidRDefault="003A5F4B" w:rsidP="00803051">
      <w:pPr>
        <w:spacing w:before="0" w:after="0"/>
        <w:jc w:val="center"/>
        <w:rPr>
          <w:rFonts w:asciiTheme="minorHAnsi" w:eastAsia="Calibri" w:hAnsiTheme="minorHAnsi" w:cstheme="minorHAnsi"/>
          <w:b/>
          <w:sz w:val="32"/>
          <w:szCs w:val="24"/>
          <w:lang w:val="pt-PT"/>
        </w:rPr>
      </w:pPr>
      <w:r w:rsidRPr="00292532">
        <w:rPr>
          <w:rFonts w:asciiTheme="minorHAnsi" w:eastAsia="Calibri" w:hAnsiTheme="minorHAnsi" w:cstheme="minorHAnsi"/>
          <w:b/>
          <w:color w:val="385623"/>
          <w:sz w:val="32"/>
          <w:szCs w:val="24"/>
          <w:lang w:val="pt-PT"/>
        </w:rPr>
        <w:t xml:space="preserve">(QGAS) </w:t>
      </w:r>
    </w:p>
    <w:p w14:paraId="7F6F552E" w14:textId="09F93F44" w:rsidR="00B325F1" w:rsidRPr="00292532" w:rsidRDefault="00B325F1" w:rsidP="00074919">
      <w:pPr>
        <w:jc w:val="center"/>
        <w:rPr>
          <w:rFonts w:cs="Arial"/>
          <w:lang w:val="pt-PT"/>
        </w:rPr>
      </w:pPr>
    </w:p>
    <w:p w14:paraId="4B99A90B" w14:textId="66FBC629" w:rsidR="007C2330" w:rsidRPr="00292532" w:rsidRDefault="007C2330" w:rsidP="00074919">
      <w:pPr>
        <w:jc w:val="center"/>
        <w:rPr>
          <w:rFonts w:cs="Arial"/>
          <w:lang w:val="pt-PT"/>
        </w:rPr>
      </w:pPr>
    </w:p>
    <w:p w14:paraId="7211DB68" w14:textId="41DD8668" w:rsidR="00B325F1" w:rsidRPr="00292532" w:rsidRDefault="00B325F1" w:rsidP="00074919">
      <w:pPr>
        <w:jc w:val="center"/>
        <w:rPr>
          <w:rFonts w:cs="Arial"/>
          <w:lang w:val="pt-PT"/>
        </w:rPr>
      </w:pPr>
    </w:p>
    <w:p w14:paraId="5774DD23" w14:textId="61DAF03C" w:rsidR="00B325F1" w:rsidRPr="00292532" w:rsidRDefault="004500AE" w:rsidP="00074919">
      <w:pPr>
        <w:jc w:val="center"/>
        <w:rPr>
          <w:rFonts w:cs="Arial"/>
          <w:b/>
          <w:bCs/>
          <w:i/>
          <w:iCs/>
          <w:sz w:val="36"/>
          <w:szCs w:val="36"/>
          <w:lang w:val="pt-PT"/>
        </w:rPr>
      </w:pPr>
      <w:r>
        <w:rPr>
          <w:rFonts w:cs="Arial"/>
          <w:b/>
          <w:bCs/>
          <w:i/>
          <w:iCs/>
          <w:sz w:val="36"/>
          <w:szCs w:val="36"/>
          <w:lang w:val="pt-PT"/>
        </w:rPr>
        <w:t>R</w:t>
      </w:r>
      <w:r w:rsidR="004E0C85">
        <w:rPr>
          <w:rFonts w:cs="Arial"/>
          <w:b/>
          <w:bCs/>
          <w:i/>
          <w:iCs/>
          <w:sz w:val="36"/>
          <w:szCs w:val="36"/>
          <w:lang w:val="pt-PT"/>
        </w:rPr>
        <w:t>ELATÓRIO FINAL</w:t>
      </w:r>
    </w:p>
    <w:p w14:paraId="722630E5" w14:textId="1FA769E6" w:rsidR="00C85F09" w:rsidRPr="00292532" w:rsidRDefault="00C85F09" w:rsidP="00074919">
      <w:pPr>
        <w:jc w:val="center"/>
        <w:rPr>
          <w:rFonts w:cs="Arial"/>
          <w:lang w:val="pt-PT"/>
        </w:rPr>
      </w:pPr>
    </w:p>
    <w:p w14:paraId="4C02F044" w14:textId="18720B44" w:rsidR="00C85F09" w:rsidRPr="00292532" w:rsidRDefault="00C85F09" w:rsidP="00074919">
      <w:pPr>
        <w:jc w:val="center"/>
        <w:rPr>
          <w:rFonts w:cs="Arial"/>
          <w:lang w:val="pt-PT"/>
        </w:rPr>
      </w:pPr>
    </w:p>
    <w:p w14:paraId="47E23383" w14:textId="7868E3EC" w:rsidR="00C85F09" w:rsidRPr="00292532" w:rsidRDefault="00C85F09" w:rsidP="00074919">
      <w:pPr>
        <w:jc w:val="center"/>
        <w:rPr>
          <w:rFonts w:cs="Arial"/>
          <w:lang w:val="pt-PT"/>
        </w:rPr>
      </w:pPr>
    </w:p>
    <w:p w14:paraId="461F3F9D" w14:textId="79FBE910" w:rsidR="00C85F09" w:rsidRPr="00292532" w:rsidRDefault="00C85F09" w:rsidP="00074919">
      <w:pPr>
        <w:jc w:val="center"/>
        <w:rPr>
          <w:rFonts w:cs="Arial"/>
          <w:lang w:val="pt-PT"/>
        </w:rPr>
      </w:pPr>
    </w:p>
    <w:p w14:paraId="0093A453" w14:textId="63C86C0D" w:rsidR="00C85F09" w:rsidRPr="00292532" w:rsidRDefault="00C85F09" w:rsidP="00074919">
      <w:pPr>
        <w:jc w:val="center"/>
        <w:rPr>
          <w:rFonts w:cs="Arial"/>
          <w:lang w:val="pt-PT"/>
        </w:rPr>
      </w:pPr>
      <w:r w:rsidRPr="00292532">
        <w:rPr>
          <w:noProof/>
          <w:lang w:val="en-US"/>
        </w:rPr>
        <w:drawing>
          <wp:anchor distT="0" distB="0" distL="114300" distR="114300" simplePos="0" relativeHeight="251902976" behindDoc="0" locked="0" layoutInCell="1" allowOverlap="1" wp14:anchorId="4E3D8982" wp14:editId="72DDB9B8">
            <wp:simplePos x="0" y="0"/>
            <wp:positionH relativeFrom="column">
              <wp:posOffset>-383540</wp:posOffset>
            </wp:positionH>
            <wp:positionV relativeFrom="paragraph">
              <wp:posOffset>234315</wp:posOffset>
            </wp:positionV>
            <wp:extent cx="2150247" cy="953311"/>
            <wp:effectExtent l="0" t="0" r="254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150247" cy="953311"/>
                    </a:xfrm>
                    <a:prstGeom prst="rect">
                      <a:avLst/>
                    </a:prstGeom>
                  </pic:spPr>
                </pic:pic>
              </a:graphicData>
            </a:graphic>
            <wp14:sizeRelH relativeFrom="page">
              <wp14:pctWidth>0</wp14:pctWidth>
            </wp14:sizeRelH>
            <wp14:sizeRelV relativeFrom="page">
              <wp14:pctHeight>0</wp14:pctHeight>
            </wp14:sizeRelV>
          </wp:anchor>
        </w:drawing>
      </w:r>
    </w:p>
    <w:p w14:paraId="62DFAA37" w14:textId="73CF4FAC" w:rsidR="007F1ACA" w:rsidRPr="00292532" w:rsidRDefault="007F1ACA" w:rsidP="009819D8">
      <w:pPr>
        <w:rPr>
          <w:rFonts w:ascii="Book Antiqua" w:eastAsia="Times New Roman" w:hAnsi="Book Antiqua" w:cs="Times New Roman"/>
          <w:b/>
          <w:i/>
          <w:color w:val="000080"/>
          <w:sz w:val="16"/>
          <w:szCs w:val="16"/>
          <w:lang w:val="pt-PT"/>
        </w:rPr>
      </w:pPr>
    </w:p>
    <w:p w14:paraId="5C069168" w14:textId="70DEEB73" w:rsidR="007C2330" w:rsidRPr="00292532" w:rsidRDefault="007C2330" w:rsidP="009819D8">
      <w:pPr>
        <w:rPr>
          <w:rFonts w:cs="Arial"/>
          <w:lang w:val="pt-PT"/>
        </w:rPr>
      </w:pPr>
    </w:p>
    <w:p w14:paraId="2F719004" w14:textId="6ED94B17" w:rsidR="00074919" w:rsidRPr="00292532" w:rsidRDefault="00074919" w:rsidP="00B325F1">
      <w:pPr>
        <w:jc w:val="center"/>
        <w:rPr>
          <w:rFonts w:cs="Arial"/>
          <w:b/>
          <w:lang w:val="pt-PT"/>
        </w:rPr>
      </w:pPr>
      <w:r w:rsidRPr="00292532">
        <w:rPr>
          <w:rFonts w:cs="Arial"/>
          <w:b/>
          <w:lang w:val="pt-PT"/>
        </w:rPr>
        <w:t xml:space="preserve">Maputo, </w:t>
      </w:r>
      <w:r w:rsidR="004E0C85">
        <w:rPr>
          <w:rFonts w:cs="Arial"/>
          <w:b/>
          <w:lang w:val="pt-PT"/>
        </w:rPr>
        <w:t xml:space="preserve">20 de </w:t>
      </w:r>
      <w:proofErr w:type="gramStart"/>
      <w:r w:rsidR="001A6843">
        <w:rPr>
          <w:rFonts w:cs="Arial"/>
          <w:b/>
          <w:lang w:val="pt-PT"/>
        </w:rPr>
        <w:t>Agosto</w:t>
      </w:r>
      <w:proofErr w:type="gramEnd"/>
      <w:r w:rsidR="001A6843" w:rsidRPr="00292532">
        <w:rPr>
          <w:rFonts w:cs="Arial"/>
          <w:b/>
          <w:lang w:val="pt-PT"/>
        </w:rPr>
        <w:t xml:space="preserve"> </w:t>
      </w:r>
      <w:r w:rsidRPr="00292532">
        <w:rPr>
          <w:rFonts w:cs="Arial"/>
          <w:b/>
          <w:lang w:val="pt-PT"/>
        </w:rPr>
        <w:t>de 20</w:t>
      </w:r>
      <w:r w:rsidR="00082C49" w:rsidRPr="00292532">
        <w:rPr>
          <w:rFonts w:cs="Arial"/>
          <w:b/>
          <w:lang w:val="pt-PT"/>
        </w:rPr>
        <w:t>2</w:t>
      </w:r>
      <w:r w:rsidR="00513673" w:rsidRPr="00292532">
        <w:rPr>
          <w:rFonts w:cs="Arial"/>
          <w:b/>
          <w:lang w:val="pt-PT"/>
        </w:rPr>
        <w:t>1</w:t>
      </w:r>
    </w:p>
    <w:p w14:paraId="32AEC312" w14:textId="77777777" w:rsidR="00074919" w:rsidRPr="00292532" w:rsidRDefault="00074919" w:rsidP="00B325F1">
      <w:pPr>
        <w:jc w:val="center"/>
        <w:rPr>
          <w:rFonts w:cs="Arial"/>
          <w:b/>
          <w:lang w:val="pt-PT"/>
        </w:rPr>
        <w:sectPr w:rsidR="00074919" w:rsidRPr="00292532" w:rsidSect="00314DBE">
          <w:footerReference w:type="default" r:id="rId10"/>
          <w:pgSz w:w="11906" w:h="16838"/>
          <w:pgMar w:top="1440" w:right="1440" w:bottom="1440" w:left="1440" w:header="708" w:footer="708" w:gutter="0"/>
          <w:pgBorders w:offsetFrom="page">
            <w:top w:val="single" w:sz="4" w:space="24" w:color="FFFFFF" w:themeColor="background1"/>
            <w:bottom w:val="single" w:sz="4" w:space="24" w:color="FFFFFF" w:themeColor="background1"/>
            <w:right w:val="single" w:sz="4" w:space="24" w:color="FFFFFF" w:themeColor="background1"/>
          </w:pgBorders>
          <w:cols w:space="708"/>
          <w:titlePg/>
          <w:docGrid w:linePitch="360"/>
        </w:sectPr>
      </w:pPr>
    </w:p>
    <w:p w14:paraId="757E464E" w14:textId="26070577" w:rsidR="00074919" w:rsidRPr="00292532" w:rsidRDefault="00074919" w:rsidP="000D7B05">
      <w:pPr>
        <w:pStyle w:val="Title"/>
      </w:pPr>
      <w:bookmarkStart w:id="0" w:name="_Toc524272771"/>
      <w:r w:rsidRPr="00292532">
        <w:lastRenderedPageBreak/>
        <w:t>LISTA DE ABREVIATURAS</w:t>
      </w:r>
      <w:bookmarkEnd w:id="0"/>
    </w:p>
    <w:p w14:paraId="6CC45F28" w14:textId="77777777" w:rsidR="00C01674" w:rsidRPr="00292532" w:rsidRDefault="00C01674" w:rsidP="000D7B05">
      <w:pPr>
        <w:pStyle w:val="Title"/>
      </w:pPr>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5"/>
        <w:gridCol w:w="6930"/>
      </w:tblGrid>
      <w:tr w:rsidR="00F9725F" w:rsidRPr="00292532" w14:paraId="54982590" w14:textId="77777777" w:rsidTr="00C85F09">
        <w:trPr>
          <w:trHeight w:val="340"/>
        </w:trPr>
        <w:tc>
          <w:tcPr>
            <w:tcW w:w="2335" w:type="dxa"/>
            <w:shd w:val="clear" w:color="auto" w:fill="auto"/>
          </w:tcPr>
          <w:p w14:paraId="085C0418" w14:textId="2398B4E7" w:rsidR="00F9725F" w:rsidRPr="00292532" w:rsidRDefault="00A94216" w:rsidP="00F9725F">
            <w:pPr>
              <w:spacing w:before="0" w:after="0"/>
              <w:rPr>
                <w:rFonts w:asciiTheme="minorHAnsi" w:eastAsia="Times New Roman" w:hAnsiTheme="minorHAnsi" w:cstheme="minorHAnsi"/>
                <w:b/>
                <w:color w:val="000000"/>
                <w:lang w:val="pt-PT"/>
              </w:rPr>
            </w:pPr>
            <w:r w:rsidRPr="00292532">
              <w:rPr>
                <w:rFonts w:cs="Arial"/>
                <w:b/>
                <w:bCs/>
                <w:color w:val="000000" w:themeColor="text1"/>
                <w:lang w:val="pt-PT"/>
              </w:rPr>
              <w:t>#</w:t>
            </w:r>
          </w:p>
        </w:tc>
        <w:tc>
          <w:tcPr>
            <w:tcW w:w="6930" w:type="dxa"/>
            <w:shd w:val="clear" w:color="auto" w:fill="auto"/>
          </w:tcPr>
          <w:p w14:paraId="4D15B39B" w14:textId="4ED93152" w:rsidR="00F9725F" w:rsidRPr="00292532" w:rsidRDefault="008C3A00" w:rsidP="00F9725F">
            <w:pPr>
              <w:spacing w:before="0" w:after="0"/>
              <w:rPr>
                <w:rFonts w:asciiTheme="minorHAnsi" w:eastAsia="Times New Roman" w:hAnsiTheme="minorHAnsi" w:cstheme="minorHAnsi"/>
                <w:bCs/>
                <w:color w:val="000000"/>
                <w:lang w:val="pt-PT"/>
              </w:rPr>
            </w:pPr>
            <w:r w:rsidRPr="00292532">
              <w:rPr>
                <w:rFonts w:asciiTheme="minorHAnsi" w:eastAsia="Times New Roman" w:hAnsiTheme="minorHAnsi" w:cstheme="minorHAnsi"/>
                <w:bCs/>
                <w:color w:val="000000"/>
                <w:lang w:val="pt-PT"/>
              </w:rPr>
              <w:t>N</w:t>
            </w:r>
            <w:r w:rsidR="00A6116B" w:rsidRPr="00292532">
              <w:rPr>
                <w:rFonts w:asciiTheme="minorHAnsi" w:eastAsia="Times New Roman" w:hAnsiTheme="minorHAnsi" w:cstheme="minorHAnsi"/>
                <w:bCs/>
                <w:color w:val="000000"/>
                <w:lang w:val="pt-PT"/>
              </w:rPr>
              <w:t>úmero</w:t>
            </w:r>
          </w:p>
        </w:tc>
      </w:tr>
      <w:tr w:rsidR="00A94216" w:rsidRPr="00292532" w14:paraId="6754A893" w14:textId="77777777" w:rsidTr="00C85F09">
        <w:trPr>
          <w:trHeight w:val="340"/>
        </w:trPr>
        <w:tc>
          <w:tcPr>
            <w:tcW w:w="2335" w:type="dxa"/>
            <w:shd w:val="clear" w:color="auto" w:fill="auto"/>
          </w:tcPr>
          <w:p w14:paraId="45C2B0EA" w14:textId="27FF0075" w:rsidR="00A94216" w:rsidRPr="00292532" w:rsidRDefault="00A94216" w:rsidP="00F9725F">
            <w:pPr>
              <w:spacing w:before="0" w:after="0"/>
              <w:rPr>
                <w:rFonts w:cs="Arial"/>
                <w:b/>
                <w:bCs/>
                <w:color w:val="000000" w:themeColor="text1"/>
                <w:lang w:val="pt-PT"/>
              </w:rPr>
            </w:pPr>
            <w:r w:rsidRPr="00292532">
              <w:rPr>
                <w:rFonts w:cs="Arial"/>
                <w:b/>
                <w:bCs/>
                <w:color w:val="000000" w:themeColor="text1"/>
                <w:lang w:val="pt-PT"/>
              </w:rPr>
              <w:t>%</w:t>
            </w:r>
          </w:p>
        </w:tc>
        <w:tc>
          <w:tcPr>
            <w:tcW w:w="6930" w:type="dxa"/>
            <w:shd w:val="clear" w:color="auto" w:fill="auto"/>
          </w:tcPr>
          <w:p w14:paraId="5909C843" w14:textId="254DC23C" w:rsidR="00A94216" w:rsidRPr="00292532" w:rsidRDefault="00A94216" w:rsidP="00F9725F">
            <w:pPr>
              <w:spacing w:before="0" w:after="0"/>
              <w:rPr>
                <w:rFonts w:asciiTheme="minorHAnsi" w:eastAsia="Times New Roman" w:hAnsiTheme="minorHAnsi" w:cstheme="minorHAnsi"/>
                <w:bCs/>
                <w:color w:val="000000"/>
                <w:lang w:val="pt-PT"/>
              </w:rPr>
            </w:pPr>
            <w:r w:rsidRPr="00292532">
              <w:rPr>
                <w:rFonts w:asciiTheme="minorHAnsi" w:eastAsia="Times New Roman" w:hAnsiTheme="minorHAnsi" w:cstheme="minorHAnsi"/>
                <w:bCs/>
                <w:color w:val="000000"/>
                <w:lang w:val="pt-PT"/>
              </w:rPr>
              <w:t>Percentagem</w:t>
            </w:r>
          </w:p>
        </w:tc>
      </w:tr>
      <w:tr w:rsidR="00A94216" w:rsidRPr="00AB3051" w14:paraId="423C9148" w14:textId="77777777" w:rsidTr="00C85F09">
        <w:trPr>
          <w:trHeight w:val="340"/>
        </w:trPr>
        <w:tc>
          <w:tcPr>
            <w:tcW w:w="2335" w:type="dxa"/>
            <w:shd w:val="clear" w:color="auto" w:fill="auto"/>
          </w:tcPr>
          <w:p w14:paraId="7C3CA558" w14:textId="08ABCF29" w:rsidR="00A94216" w:rsidRPr="00292532" w:rsidRDefault="00A94216" w:rsidP="00A94216">
            <w:pPr>
              <w:spacing w:before="0" w:after="0"/>
              <w:rPr>
                <w:rFonts w:cs="Arial"/>
                <w:b/>
                <w:bCs/>
                <w:color w:val="000000" w:themeColor="text1"/>
                <w:lang w:val="pt-PT"/>
              </w:rPr>
            </w:pPr>
            <w:r w:rsidRPr="00292532">
              <w:rPr>
                <w:rFonts w:cs="Arial"/>
                <w:b/>
                <w:bCs/>
                <w:color w:val="000000" w:themeColor="text1"/>
                <w:lang w:val="pt-PT"/>
              </w:rPr>
              <w:t>AASE</w:t>
            </w:r>
            <w:r w:rsidRPr="00292532" w:rsidDel="00F9725F">
              <w:rPr>
                <w:rFonts w:asciiTheme="minorHAnsi" w:eastAsia="Times New Roman" w:hAnsiTheme="minorHAnsi" w:cstheme="minorHAnsi"/>
                <w:b/>
                <w:color w:val="000000"/>
                <w:lang w:val="pt-PT"/>
              </w:rPr>
              <w:t xml:space="preserve"> </w:t>
            </w:r>
          </w:p>
        </w:tc>
        <w:tc>
          <w:tcPr>
            <w:tcW w:w="6930" w:type="dxa"/>
            <w:shd w:val="clear" w:color="auto" w:fill="auto"/>
          </w:tcPr>
          <w:p w14:paraId="3DA01B1A" w14:textId="4236FA96" w:rsidR="00A94216" w:rsidRPr="00292532" w:rsidRDefault="00A94216" w:rsidP="00A94216">
            <w:pPr>
              <w:spacing w:before="0" w:after="0"/>
              <w:rPr>
                <w:rFonts w:asciiTheme="minorHAnsi" w:eastAsia="Times New Roman" w:hAnsiTheme="minorHAnsi" w:cstheme="minorHAnsi"/>
                <w:bCs/>
                <w:color w:val="000000"/>
                <w:lang w:val="pt-PT"/>
              </w:rPr>
            </w:pPr>
            <w:r w:rsidRPr="00292532">
              <w:rPr>
                <w:rFonts w:asciiTheme="minorHAnsi" w:eastAsia="Times New Roman" w:hAnsiTheme="minorHAnsi" w:cstheme="minorHAnsi"/>
                <w:bCs/>
                <w:color w:val="000000"/>
                <w:lang w:val="pt-PT"/>
              </w:rPr>
              <w:t xml:space="preserve">Avaliação ambiental e social estratégica </w:t>
            </w:r>
          </w:p>
        </w:tc>
      </w:tr>
      <w:tr w:rsidR="00A94216" w:rsidRPr="00292532" w14:paraId="6EA68798" w14:textId="77777777" w:rsidTr="00C85F09">
        <w:trPr>
          <w:trHeight w:val="340"/>
        </w:trPr>
        <w:tc>
          <w:tcPr>
            <w:tcW w:w="2335" w:type="dxa"/>
            <w:shd w:val="clear" w:color="auto" w:fill="auto"/>
          </w:tcPr>
          <w:p w14:paraId="50BA6C59" w14:textId="0FD8F9F3"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AIA</w:t>
            </w:r>
            <w:r w:rsidRPr="00292532">
              <w:rPr>
                <w:rFonts w:asciiTheme="minorHAnsi" w:eastAsia="Times New Roman" w:hAnsiTheme="minorHAnsi" w:cstheme="minorHAnsi"/>
                <w:b/>
                <w:color w:val="000000"/>
                <w:lang w:val="pt-PT"/>
              </w:rPr>
              <w:tab/>
            </w:r>
          </w:p>
        </w:tc>
        <w:tc>
          <w:tcPr>
            <w:tcW w:w="6930" w:type="dxa"/>
            <w:shd w:val="clear" w:color="auto" w:fill="auto"/>
          </w:tcPr>
          <w:p w14:paraId="1ADB6B0D" w14:textId="11F98831"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Avaliação de Impacto Ambiental</w:t>
            </w:r>
          </w:p>
        </w:tc>
      </w:tr>
      <w:tr w:rsidR="00A94216" w:rsidRPr="00AB3051" w14:paraId="753D26D3" w14:textId="77777777" w:rsidTr="00C85F09">
        <w:trPr>
          <w:trHeight w:val="340"/>
        </w:trPr>
        <w:tc>
          <w:tcPr>
            <w:tcW w:w="2335" w:type="dxa"/>
            <w:shd w:val="clear" w:color="auto" w:fill="auto"/>
          </w:tcPr>
          <w:p w14:paraId="3850E594" w14:textId="544E4AE5"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hAnsiTheme="minorHAnsi" w:cstheme="minorHAnsi"/>
                <w:b/>
                <w:bCs/>
                <w:lang w:val="pt-PT"/>
              </w:rPr>
              <w:t>AIAS IP</w:t>
            </w:r>
          </w:p>
        </w:tc>
        <w:tc>
          <w:tcPr>
            <w:tcW w:w="6930" w:type="dxa"/>
            <w:shd w:val="clear" w:color="auto" w:fill="auto"/>
          </w:tcPr>
          <w:p w14:paraId="128436F6" w14:textId="5F101B3A"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Administração de Infraestruturas de Água e Saneamento, Instituto Público</w:t>
            </w:r>
          </w:p>
        </w:tc>
      </w:tr>
      <w:tr w:rsidR="00A94216" w:rsidRPr="00AB3051" w14:paraId="451CFF87" w14:textId="77777777" w:rsidTr="00C85F09">
        <w:trPr>
          <w:trHeight w:val="340"/>
        </w:trPr>
        <w:tc>
          <w:tcPr>
            <w:tcW w:w="2335" w:type="dxa"/>
            <w:shd w:val="clear" w:color="auto" w:fill="auto"/>
          </w:tcPr>
          <w:p w14:paraId="6BE5E07F" w14:textId="77777777" w:rsidR="00A94216" w:rsidRPr="00292532" w:rsidRDefault="00A94216" w:rsidP="00A94216">
            <w:pPr>
              <w:spacing w:before="0" w:after="0"/>
              <w:rPr>
                <w:rFonts w:asciiTheme="minorHAnsi" w:eastAsia="Garamond" w:hAnsiTheme="minorHAnsi" w:cstheme="minorHAnsi"/>
                <w:b/>
                <w:spacing w:val="-3"/>
                <w:lang w:val="pt-PT"/>
              </w:rPr>
            </w:pPr>
            <w:r w:rsidRPr="00292532">
              <w:rPr>
                <w:rFonts w:asciiTheme="minorHAnsi" w:eastAsia="Garamond" w:hAnsiTheme="minorHAnsi" w:cstheme="minorHAnsi"/>
                <w:b/>
                <w:spacing w:val="-3"/>
                <w:lang w:val="pt-PT"/>
              </w:rPr>
              <w:t>AIAS</w:t>
            </w:r>
          </w:p>
        </w:tc>
        <w:tc>
          <w:tcPr>
            <w:tcW w:w="6930" w:type="dxa"/>
            <w:shd w:val="clear" w:color="auto" w:fill="auto"/>
          </w:tcPr>
          <w:p w14:paraId="6CE26A82" w14:textId="77777777" w:rsidR="00A94216" w:rsidRPr="00292532" w:rsidRDefault="00A94216" w:rsidP="00A94216">
            <w:pPr>
              <w:spacing w:before="0" w:after="0"/>
              <w:rPr>
                <w:rFonts w:asciiTheme="minorHAnsi" w:eastAsia="Garamond" w:hAnsiTheme="minorHAnsi" w:cstheme="minorHAnsi"/>
                <w:spacing w:val="-3"/>
                <w:lang w:val="pt-PT"/>
              </w:rPr>
            </w:pPr>
            <w:r w:rsidRPr="00292532">
              <w:rPr>
                <w:rFonts w:asciiTheme="minorHAnsi" w:eastAsia="Garamond" w:hAnsiTheme="minorHAnsi" w:cstheme="minorHAnsi"/>
                <w:spacing w:val="-3"/>
                <w:lang w:val="pt-PT"/>
              </w:rPr>
              <w:t>Avaliação de Impacto Ambiental e Social</w:t>
            </w:r>
          </w:p>
        </w:tc>
      </w:tr>
      <w:tr w:rsidR="00A94216" w:rsidRPr="00AB3051" w14:paraId="57A55707" w14:textId="77777777" w:rsidTr="00C85F09">
        <w:trPr>
          <w:trHeight w:val="340"/>
        </w:trPr>
        <w:tc>
          <w:tcPr>
            <w:tcW w:w="2335" w:type="dxa"/>
            <w:shd w:val="clear" w:color="auto" w:fill="auto"/>
          </w:tcPr>
          <w:p w14:paraId="7B55A419" w14:textId="2115A7E4" w:rsidR="00A94216" w:rsidRPr="00292532" w:rsidRDefault="00A94216" w:rsidP="00A94216">
            <w:pPr>
              <w:spacing w:before="0" w:after="0"/>
              <w:rPr>
                <w:rFonts w:asciiTheme="minorHAnsi" w:eastAsia="Garamond" w:hAnsiTheme="minorHAnsi" w:cstheme="minorHAnsi"/>
                <w:b/>
                <w:bCs/>
                <w:spacing w:val="-3"/>
                <w:lang w:val="pt-PT"/>
              </w:rPr>
            </w:pPr>
            <w:r w:rsidRPr="00292532">
              <w:rPr>
                <w:rFonts w:asciiTheme="minorHAnsi" w:hAnsiTheme="minorHAnsi" w:cstheme="minorHAnsi"/>
                <w:b/>
                <w:bCs/>
                <w:lang w:val="pt-PT"/>
              </w:rPr>
              <w:t>ARP-PRE</w:t>
            </w:r>
          </w:p>
        </w:tc>
        <w:tc>
          <w:tcPr>
            <w:tcW w:w="6930" w:type="dxa"/>
            <w:shd w:val="clear" w:color="auto" w:fill="auto"/>
          </w:tcPr>
          <w:p w14:paraId="1F854B45" w14:textId="53162EDC" w:rsidR="00A94216" w:rsidRPr="00292532" w:rsidRDefault="00A94216" w:rsidP="00A94216">
            <w:pPr>
              <w:spacing w:before="0" w:after="0"/>
              <w:rPr>
                <w:rFonts w:asciiTheme="minorHAnsi" w:eastAsia="Garamond" w:hAnsiTheme="minorHAnsi" w:cstheme="minorHAnsi"/>
                <w:spacing w:val="-3"/>
                <w:lang w:val="pt-PT"/>
              </w:rPr>
            </w:pPr>
            <w:r w:rsidRPr="00292532">
              <w:rPr>
                <w:rFonts w:asciiTheme="minorHAnsi" w:hAnsiTheme="minorHAnsi" w:cstheme="minorHAnsi"/>
                <w:lang w:val="pt-PT"/>
              </w:rPr>
              <w:t>Avaliação de Risco de Perigo e Prontidão de Resposta a Emergência</w:t>
            </w:r>
          </w:p>
        </w:tc>
      </w:tr>
      <w:tr w:rsidR="00A94216" w:rsidRPr="00292532" w14:paraId="1769BDEF" w14:textId="77777777" w:rsidTr="00C85F09">
        <w:trPr>
          <w:trHeight w:val="340"/>
        </w:trPr>
        <w:tc>
          <w:tcPr>
            <w:tcW w:w="2335" w:type="dxa"/>
            <w:shd w:val="clear" w:color="auto" w:fill="auto"/>
          </w:tcPr>
          <w:p w14:paraId="380BA7E1" w14:textId="26E13D7F" w:rsidR="00A94216" w:rsidRPr="00292532" w:rsidRDefault="00A94216" w:rsidP="00A94216">
            <w:pPr>
              <w:spacing w:before="0" w:after="0"/>
              <w:rPr>
                <w:rFonts w:asciiTheme="minorHAnsi" w:hAnsiTheme="minorHAnsi" w:cstheme="minorHAnsi"/>
                <w:b/>
                <w:bCs/>
                <w:lang w:val="pt-PT"/>
              </w:rPr>
            </w:pPr>
            <w:r w:rsidRPr="00292532">
              <w:rPr>
                <w:rFonts w:asciiTheme="minorHAnsi" w:hAnsiTheme="minorHAnsi" w:cstheme="minorHAnsi"/>
                <w:b/>
                <w:bCs/>
                <w:lang w:val="pt-PT"/>
              </w:rPr>
              <w:t>AS</w:t>
            </w:r>
          </w:p>
        </w:tc>
        <w:tc>
          <w:tcPr>
            <w:tcW w:w="6930" w:type="dxa"/>
            <w:shd w:val="clear" w:color="auto" w:fill="auto"/>
          </w:tcPr>
          <w:p w14:paraId="323431DD" w14:textId="1D25B5E4" w:rsidR="00A94216" w:rsidRPr="00292532" w:rsidRDefault="00A94216" w:rsidP="00A94216">
            <w:pPr>
              <w:spacing w:before="0" w:after="0"/>
              <w:rPr>
                <w:rFonts w:asciiTheme="minorHAnsi" w:hAnsiTheme="minorHAnsi" w:cstheme="minorHAnsi"/>
                <w:lang w:val="pt-PT"/>
              </w:rPr>
            </w:pPr>
            <w:r w:rsidRPr="00292532">
              <w:rPr>
                <w:rFonts w:asciiTheme="minorHAnsi" w:hAnsiTheme="minorHAnsi" w:cstheme="minorHAnsi"/>
                <w:lang w:val="pt-PT"/>
              </w:rPr>
              <w:t>Assédio Sexual</w:t>
            </w:r>
          </w:p>
        </w:tc>
      </w:tr>
      <w:tr w:rsidR="00A94216" w:rsidRPr="00AB3051" w14:paraId="5510AD3A" w14:textId="77777777" w:rsidTr="00C85F09">
        <w:trPr>
          <w:trHeight w:val="340"/>
        </w:trPr>
        <w:tc>
          <w:tcPr>
            <w:tcW w:w="2335" w:type="dxa"/>
            <w:shd w:val="clear" w:color="auto" w:fill="auto"/>
          </w:tcPr>
          <w:p w14:paraId="46C4D9A5" w14:textId="3461553B" w:rsidR="00A94216" w:rsidRPr="00292532" w:rsidRDefault="00A94216" w:rsidP="00A94216">
            <w:pPr>
              <w:spacing w:before="0" w:after="0"/>
              <w:rPr>
                <w:rFonts w:asciiTheme="minorHAnsi" w:hAnsiTheme="minorHAnsi" w:cstheme="minorHAnsi"/>
                <w:b/>
                <w:bCs/>
                <w:lang w:val="pt-PT"/>
              </w:rPr>
            </w:pPr>
            <w:r w:rsidRPr="00292532">
              <w:rPr>
                <w:rFonts w:asciiTheme="minorHAnsi" w:hAnsiTheme="minorHAnsi" w:cstheme="minorHAnsi"/>
                <w:b/>
                <w:bCs/>
                <w:lang w:val="pt-PT"/>
              </w:rPr>
              <w:t>AES</w:t>
            </w:r>
          </w:p>
        </w:tc>
        <w:tc>
          <w:tcPr>
            <w:tcW w:w="6930" w:type="dxa"/>
            <w:shd w:val="clear" w:color="auto" w:fill="auto"/>
          </w:tcPr>
          <w:p w14:paraId="08DE5933" w14:textId="75C7EC0F" w:rsidR="00A94216" w:rsidRPr="00292532" w:rsidRDefault="00A94216" w:rsidP="00A94216">
            <w:pPr>
              <w:spacing w:before="0" w:after="0"/>
              <w:rPr>
                <w:rFonts w:asciiTheme="minorHAnsi" w:hAnsiTheme="minorHAnsi" w:cstheme="minorHAnsi"/>
                <w:lang w:val="pt-PT"/>
              </w:rPr>
            </w:pPr>
            <w:r w:rsidRPr="00292532">
              <w:rPr>
                <w:rFonts w:asciiTheme="minorHAnsi" w:hAnsiTheme="minorHAnsi" w:cstheme="minorHAnsi"/>
                <w:lang w:val="pt-PT"/>
              </w:rPr>
              <w:t>Abuso e Exploração Sexual de Crianças</w:t>
            </w:r>
          </w:p>
        </w:tc>
      </w:tr>
      <w:tr w:rsidR="00A94216" w:rsidRPr="00292532" w14:paraId="1C60A680" w14:textId="77777777" w:rsidTr="00C85F09">
        <w:trPr>
          <w:trHeight w:val="340"/>
        </w:trPr>
        <w:tc>
          <w:tcPr>
            <w:tcW w:w="2335" w:type="dxa"/>
            <w:shd w:val="clear" w:color="auto" w:fill="auto"/>
          </w:tcPr>
          <w:p w14:paraId="7D51936D" w14:textId="77777777"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BM</w:t>
            </w:r>
          </w:p>
        </w:tc>
        <w:tc>
          <w:tcPr>
            <w:tcW w:w="6930" w:type="dxa"/>
            <w:shd w:val="clear" w:color="auto" w:fill="auto"/>
          </w:tcPr>
          <w:p w14:paraId="3D91C5DE" w14:textId="77777777"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color w:val="000000"/>
                <w:lang w:val="pt-PT"/>
              </w:rPr>
              <w:t>Banco Mundial</w:t>
            </w:r>
          </w:p>
        </w:tc>
      </w:tr>
      <w:tr w:rsidR="00467FC4" w:rsidRPr="00AB3051" w14:paraId="3DE1F6DE" w14:textId="77777777" w:rsidTr="00C85F09">
        <w:trPr>
          <w:trHeight w:val="340"/>
        </w:trPr>
        <w:tc>
          <w:tcPr>
            <w:tcW w:w="2335" w:type="dxa"/>
            <w:shd w:val="clear" w:color="auto" w:fill="auto"/>
          </w:tcPr>
          <w:p w14:paraId="55039752" w14:textId="0A438E0E" w:rsidR="00467FC4" w:rsidRPr="00292532" w:rsidRDefault="00467FC4"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CIGCOVID 19</w:t>
            </w:r>
          </w:p>
        </w:tc>
        <w:tc>
          <w:tcPr>
            <w:tcW w:w="6930" w:type="dxa"/>
            <w:shd w:val="clear" w:color="auto" w:fill="auto"/>
          </w:tcPr>
          <w:p w14:paraId="05D0FF62" w14:textId="5148AF19" w:rsidR="00467FC4" w:rsidRPr="00292532" w:rsidRDefault="00467FC4"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Comissão Institucional de Gestão de COVID-19</w:t>
            </w:r>
          </w:p>
        </w:tc>
      </w:tr>
      <w:tr w:rsidR="00A94216" w:rsidRPr="00AB3051" w14:paraId="0339252A" w14:textId="77777777" w:rsidTr="00C85F09">
        <w:trPr>
          <w:trHeight w:val="340"/>
        </w:trPr>
        <w:tc>
          <w:tcPr>
            <w:tcW w:w="2335" w:type="dxa"/>
            <w:shd w:val="clear" w:color="auto" w:fill="auto"/>
          </w:tcPr>
          <w:p w14:paraId="14116521" w14:textId="5543D81B"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COVID-19</w:t>
            </w:r>
          </w:p>
        </w:tc>
        <w:tc>
          <w:tcPr>
            <w:tcW w:w="6930" w:type="dxa"/>
            <w:shd w:val="clear" w:color="auto" w:fill="auto"/>
          </w:tcPr>
          <w:p w14:paraId="7A615650" w14:textId="5CF36E52" w:rsidR="00A94216" w:rsidRPr="00292532" w:rsidRDefault="00467FC4"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Doença do Coronavírus – 2019 (</w:t>
            </w:r>
            <w:proofErr w:type="spellStart"/>
            <w:r w:rsidRPr="00292532">
              <w:rPr>
                <w:rFonts w:asciiTheme="minorHAnsi" w:eastAsia="Times New Roman" w:hAnsiTheme="minorHAnsi" w:cstheme="minorHAnsi"/>
                <w:color w:val="000000"/>
                <w:lang w:val="pt-PT"/>
              </w:rPr>
              <w:t>Coronavirus</w:t>
            </w:r>
            <w:proofErr w:type="spellEnd"/>
            <w:r w:rsidRPr="00292532">
              <w:rPr>
                <w:rFonts w:asciiTheme="minorHAnsi" w:eastAsia="Times New Roman" w:hAnsiTheme="minorHAnsi" w:cstheme="minorHAnsi"/>
                <w:color w:val="000000"/>
                <w:lang w:val="pt-PT"/>
              </w:rPr>
              <w:t xml:space="preserve"> </w:t>
            </w:r>
            <w:proofErr w:type="spellStart"/>
            <w:r w:rsidRPr="00292532">
              <w:rPr>
                <w:rFonts w:asciiTheme="minorHAnsi" w:eastAsia="Times New Roman" w:hAnsiTheme="minorHAnsi" w:cstheme="minorHAnsi"/>
                <w:color w:val="000000"/>
                <w:lang w:val="pt-PT"/>
              </w:rPr>
              <w:t>Disease</w:t>
            </w:r>
            <w:proofErr w:type="spellEnd"/>
            <w:r w:rsidRPr="00292532">
              <w:rPr>
                <w:rFonts w:asciiTheme="minorHAnsi" w:eastAsia="Times New Roman" w:hAnsiTheme="minorHAnsi" w:cstheme="minorHAnsi"/>
                <w:color w:val="000000"/>
                <w:lang w:val="pt-PT"/>
              </w:rPr>
              <w:t xml:space="preserve"> 2019)</w:t>
            </w:r>
          </w:p>
        </w:tc>
      </w:tr>
      <w:tr w:rsidR="00A94216" w:rsidRPr="00AB3051" w14:paraId="0091D6D3" w14:textId="77777777" w:rsidTr="00C85F09">
        <w:trPr>
          <w:trHeight w:val="340"/>
        </w:trPr>
        <w:tc>
          <w:tcPr>
            <w:tcW w:w="2335" w:type="dxa"/>
            <w:shd w:val="clear" w:color="auto" w:fill="auto"/>
          </w:tcPr>
          <w:p w14:paraId="676161A5" w14:textId="5D83A9B2"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CREC</w:t>
            </w:r>
          </w:p>
        </w:tc>
        <w:tc>
          <w:tcPr>
            <w:tcW w:w="6930" w:type="dxa"/>
            <w:shd w:val="clear" w:color="auto" w:fill="auto"/>
          </w:tcPr>
          <w:p w14:paraId="1DEBF7E5" w14:textId="12361623"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Componente de Resposta a Emergências e Contingências</w:t>
            </w:r>
          </w:p>
        </w:tc>
      </w:tr>
      <w:tr w:rsidR="00A94216" w:rsidRPr="00292532" w14:paraId="7160B614" w14:textId="77777777" w:rsidTr="00C85F09">
        <w:trPr>
          <w:trHeight w:val="340"/>
        </w:trPr>
        <w:tc>
          <w:tcPr>
            <w:tcW w:w="2335" w:type="dxa"/>
            <w:shd w:val="clear" w:color="auto" w:fill="auto"/>
          </w:tcPr>
          <w:p w14:paraId="1610A912" w14:textId="7B391A96"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DDS</w:t>
            </w:r>
          </w:p>
        </w:tc>
        <w:tc>
          <w:tcPr>
            <w:tcW w:w="6930" w:type="dxa"/>
            <w:shd w:val="clear" w:color="auto" w:fill="auto"/>
          </w:tcPr>
          <w:p w14:paraId="1832D6A2" w14:textId="24EDCF29"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color w:val="000000"/>
                <w:lang w:val="pt-PT"/>
              </w:rPr>
              <w:t>Diálogo Diário de Segurança</w:t>
            </w:r>
          </w:p>
        </w:tc>
      </w:tr>
      <w:tr w:rsidR="00A94216" w:rsidRPr="00292532" w14:paraId="081B2BB1" w14:textId="77777777" w:rsidTr="00C85F09">
        <w:trPr>
          <w:trHeight w:val="340"/>
        </w:trPr>
        <w:tc>
          <w:tcPr>
            <w:tcW w:w="2335" w:type="dxa"/>
            <w:shd w:val="clear" w:color="auto" w:fill="auto"/>
          </w:tcPr>
          <w:p w14:paraId="7FF79B64" w14:textId="3A5FC5A2" w:rsidR="00A94216" w:rsidRPr="00292532" w:rsidRDefault="00A94216" w:rsidP="00A94216">
            <w:pPr>
              <w:spacing w:before="0" w:after="0"/>
              <w:rPr>
                <w:rFonts w:asciiTheme="minorHAnsi" w:eastAsia="Times New Roman" w:hAnsiTheme="minorHAnsi" w:cstheme="minorHAnsi"/>
                <w:b/>
                <w:color w:val="000000"/>
                <w:lang w:val="pt-PT"/>
              </w:rPr>
            </w:pPr>
          </w:p>
        </w:tc>
        <w:tc>
          <w:tcPr>
            <w:tcW w:w="6930" w:type="dxa"/>
            <w:shd w:val="clear" w:color="auto" w:fill="auto"/>
          </w:tcPr>
          <w:p w14:paraId="59114F47" w14:textId="072DB1EC" w:rsidR="00A94216" w:rsidRPr="00292532" w:rsidRDefault="00A94216" w:rsidP="00A94216">
            <w:pPr>
              <w:spacing w:before="0" w:after="0"/>
              <w:rPr>
                <w:rFonts w:asciiTheme="minorHAnsi" w:eastAsia="Times New Roman" w:hAnsiTheme="minorHAnsi" w:cstheme="minorHAnsi"/>
                <w:color w:val="000000"/>
                <w:lang w:val="pt-PT"/>
              </w:rPr>
            </w:pPr>
          </w:p>
        </w:tc>
      </w:tr>
      <w:tr w:rsidR="00A94216" w:rsidRPr="001A6843" w14:paraId="175D0F29" w14:textId="77777777" w:rsidTr="00C85F09">
        <w:trPr>
          <w:trHeight w:val="340"/>
        </w:trPr>
        <w:tc>
          <w:tcPr>
            <w:tcW w:w="2335" w:type="dxa"/>
            <w:shd w:val="clear" w:color="auto" w:fill="auto"/>
          </w:tcPr>
          <w:p w14:paraId="26360412" w14:textId="77777777"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DINAB</w:t>
            </w:r>
          </w:p>
        </w:tc>
        <w:tc>
          <w:tcPr>
            <w:tcW w:w="6930" w:type="dxa"/>
            <w:shd w:val="clear" w:color="auto" w:fill="auto"/>
          </w:tcPr>
          <w:p w14:paraId="0146E21C" w14:textId="7F0F500C" w:rsidR="00A94216" w:rsidRPr="00292532" w:rsidRDefault="00A94216" w:rsidP="00A94216">
            <w:pPr>
              <w:spacing w:before="0" w:after="0"/>
              <w:rPr>
                <w:rFonts w:asciiTheme="minorHAnsi" w:eastAsia="Times New Roman" w:hAnsiTheme="minorHAnsi" w:cstheme="minorHAnsi"/>
                <w:b/>
                <w:color w:val="000000"/>
                <w:lang w:val="pt-PT"/>
              </w:rPr>
            </w:pPr>
            <w:proofErr w:type="spellStart"/>
            <w:r w:rsidRPr="00292532">
              <w:rPr>
                <w:rFonts w:asciiTheme="minorHAnsi" w:eastAsia="Times New Roman" w:hAnsiTheme="minorHAnsi" w:cstheme="minorHAnsi"/>
                <w:color w:val="000000"/>
                <w:lang w:val="pt-PT"/>
              </w:rPr>
              <w:t>Direcção</w:t>
            </w:r>
            <w:proofErr w:type="spellEnd"/>
            <w:r w:rsidRPr="00292532">
              <w:rPr>
                <w:rFonts w:asciiTheme="minorHAnsi" w:eastAsia="Times New Roman" w:hAnsiTheme="minorHAnsi" w:cstheme="minorHAnsi"/>
                <w:color w:val="000000"/>
                <w:lang w:val="pt-PT"/>
              </w:rPr>
              <w:t xml:space="preserve"> Nacional d</w:t>
            </w:r>
            <w:r w:rsidR="00A92B6E">
              <w:rPr>
                <w:rFonts w:asciiTheme="minorHAnsi" w:eastAsia="Times New Roman" w:hAnsiTheme="minorHAnsi" w:cstheme="minorHAnsi"/>
                <w:color w:val="000000"/>
                <w:lang w:val="pt-PT"/>
              </w:rPr>
              <w:t xml:space="preserve">o Ambiente </w:t>
            </w:r>
          </w:p>
        </w:tc>
      </w:tr>
      <w:tr w:rsidR="00A94216" w:rsidRPr="00AB3051" w14:paraId="36FC0E67" w14:textId="77777777" w:rsidTr="00C85F09">
        <w:trPr>
          <w:trHeight w:val="340"/>
        </w:trPr>
        <w:tc>
          <w:tcPr>
            <w:tcW w:w="2335" w:type="dxa"/>
            <w:shd w:val="clear" w:color="auto" w:fill="auto"/>
          </w:tcPr>
          <w:p w14:paraId="71220308" w14:textId="77777777"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dB(A)</w:t>
            </w:r>
          </w:p>
        </w:tc>
        <w:tc>
          <w:tcPr>
            <w:tcW w:w="6930" w:type="dxa"/>
            <w:shd w:val="clear" w:color="auto" w:fill="auto"/>
          </w:tcPr>
          <w:p w14:paraId="40DB453D" w14:textId="77777777"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Decibéis (Unidade de medida do ruído)</w:t>
            </w:r>
          </w:p>
        </w:tc>
      </w:tr>
      <w:tr w:rsidR="00A94216" w:rsidRPr="00292532" w14:paraId="574A3678" w14:textId="77777777" w:rsidTr="00C85F09">
        <w:trPr>
          <w:trHeight w:val="340"/>
        </w:trPr>
        <w:tc>
          <w:tcPr>
            <w:tcW w:w="2335" w:type="dxa"/>
            <w:shd w:val="clear" w:color="auto" w:fill="auto"/>
          </w:tcPr>
          <w:p w14:paraId="3D80D98E" w14:textId="3AD9749C"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EAS</w:t>
            </w:r>
          </w:p>
        </w:tc>
        <w:tc>
          <w:tcPr>
            <w:tcW w:w="6930" w:type="dxa"/>
            <w:shd w:val="clear" w:color="auto" w:fill="auto"/>
          </w:tcPr>
          <w:p w14:paraId="1326EC76" w14:textId="119296BB" w:rsidR="00A94216" w:rsidRPr="00292532" w:rsidRDefault="00A94216" w:rsidP="00A94216">
            <w:pPr>
              <w:spacing w:before="0" w:after="0"/>
              <w:rPr>
                <w:rFonts w:asciiTheme="minorHAnsi" w:eastAsia="Times New Roman" w:hAnsiTheme="minorHAnsi" w:cstheme="minorHAnsi"/>
                <w:color w:val="000000"/>
                <w:lang w:val="pt-PT"/>
              </w:rPr>
            </w:pPr>
            <w:r w:rsidRPr="004500AE">
              <w:rPr>
                <w:rFonts w:cs="Arial"/>
                <w:lang w:val="pt-PT"/>
              </w:rPr>
              <w:t>Exploração e Abuso sexual</w:t>
            </w:r>
          </w:p>
        </w:tc>
      </w:tr>
      <w:tr w:rsidR="00A94216" w:rsidRPr="00AB3051" w14:paraId="176F050E" w14:textId="77777777" w:rsidTr="00C85F09">
        <w:trPr>
          <w:trHeight w:val="340"/>
        </w:trPr>
        <w:tc>
          <w:tcPr>
            <w:tcW w:w="2335" w:type="dxa"/>
            <w:shd w:val="clear" w:color="auto" w:fill="auto"/>
          </w:tcPr>
          <w:p w14:paraId="7EC145B4" w14:textId="77777777"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EASS</w:t>
            </w:r>
          </w:p>
        </w:tc>
        <w:tc>
          <w:tcPr>
            <w:tcW w:w="6930" w:type="dxa"/>
            <w:shd w:val="clear" w:color="auto" w:fill="auto"/>
          </w:tcPr>
          <w:p w14:paraId="579C04BF" w14:textId="31A9552D"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Estudo Ambiental e Social Simplificado</w:t>
            </w:r>
          </w:p>
        </w:tc>
      </w:tr>
      <w:tr w:rsidR="00A94216" w:rsidRPr="00AB3051" w14:paraId="4C46CE36" w14:textId="77777777" w:rsidTr="00C85F09">
        <w:trPr>
          <w:trHeight w:val="340"/>
        </w:trPr>
        <w:tc>
          <w:tcPr>
            <w:tcW w:w="2335" w:type="dxa"/>
            <w:shd w:val="clear" w:color="auto" w:fill="auto"/>
          </w:tcPr>
          <w:p w14:paraId="1921B29F" w14:textId="77777777"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EIAS</w:t>
            </w:r>
          </w:p>
        </w:tc>
        <w:tc>
          <w:tcPr>
            <w:tcW w:w="6930" w:type="dxa"/>
            <w:shd w:val="clear" w:color="auto" w:fill="auto"/>
          </w:tcPr>
          <w:p w14:paraId="3CCE2AA5" w14:textId="77777777"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Estudo de Impacto Ambiental e Social</w:t>
            </w:r>
          </w:p>
        </w:tc>
      </w:tr>
      <w:tr w:rsidR="008C3A00" w:rsidRPr="00AB3051" w14:paraId="59CD21C1" w14:textId="77777777" w:rsidTr="00C85F09">
        <w:trPr>
          <w:trHeight w:val="340"/>
        </w:trPr>
        <w:tc>
          <w:tcPr>
            <w:tcW w:w="2335" w:type="dxa"/>
            <w:shd w:val="clear" w:color="auto" w:fill="auto"/>
          </w:tcPr>
          <w:p w14:paraId="4916CD25" w14:textId="54906145" w:rsidR="008C3A00" w:rsidRPr="00292532" w:rsidRDefault="008C3A00"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EDM</w:t>
            </w:r>
          </w:p>
        </w:tc>
        <w:tc>
          <w:tcPr>
            <w:tcW w:w="6930" w:type="dxa"/>
            <w:shd w:val="clear" w:color="auto" w:fill="auto"/>
          </w:tcPr>
          <w:p w14:paraId="0AC8F0DE" w14:textId="0CFCAD48" w:rsidR="008C3A00" w:rsidRPr="00292532" w:rsidRDefault="008C3A00" w:rsidP="00A94216">
            <w:pPr>
              <w:spacing w:before="0" w:after="0"/>
              <w:rPr>
                <w:rFonts w:asciiTheme="minorHAnsi" w:eastAsia="Times New Roman" w:hAnsiTheme="minorHAnsi" w:cstheme="minorHAnsi"/>
                <w:color w:val="000000"/>
                <w:lang w:val="pt-PT"/>
              </w:rPr>
            </w:pPr>
            <w:proofErr w:type="spellStart"/>
            <w:r w:rsidRPr="00292532">
              <w:rPr>
                <w:rFonts w:asciiTheme="minorHAnsi" w:eastAsia="Times New Roman" w:hAnsiTheme="minorHAnsi" w:cstheme="minorHAnsi"/>
                <w:color w:val="000000"/>
                <w:lang w:val="pt-PT"/>
              </w:rPr>
              <w:t>Electricidade</w:t>
            </w:r>
            <w:proofErr w:type="spellEnd"/>
            <w:r w:rsidRPr="00292532">
              <w:rPr>
                <w:rFonts w:asciiTheme="minorHAnsi" w:eastAsia="Times New Roman" w:hAnsiTheme="minorHAnsi" w:cstheme="minorHAnsi"/>
                <w:color w:val="000000"/>
                <w:lang w:val="pt-PT"/>
              </w:rPr>
              <w:t xml:space="preserve"> de Moçambique, </w:t>
            </w:r>
            <w:proofErr w:type="gramStart"/>
            <w:r w:rsidRPr="00292532">
              <w:rPr>
                <w:rFonts w:asciiTheme="minorHAnsi" w:eastAsia="Times New Roman" w:hAnsiTheme="minorHAnsi" w:cstheme="minorHAnsi"/>
                <w:color w:val="000000"/>
                <w:lang w:val="pt-PT"/>
              </w:rPr>
              <w:t>E.P</w:t>
            </w:r>
            <w:proofErr w:type="gramEnd"/>
          </w:p>
        </w:tc>
      </w:tr>
      <w:tr w:rsidR="00A94216" w:rsidRPr="00AB3051" w14:paraId="71500406" w14:textId="77777777" w:rsidTr="00C85F09">
        <w:trPr>
          <w:trHeight w:val="340"/>
        </w:trPr>
        <w:tc>
          <w:tcPr>
            <w:tcW w:w="2335" w:type="dxa"/>
            <w:shd w:val="clear" w:color="auto" w:fill="auto"/>
          </w:tcPr>
          <w:p w14:paraId="5361D864" w14:textId="6402EC40"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EPDA</w:t>
            </w:r>
          </w:p>
        </w:tc>
        <w:tc>
          <w:tcPr>
            <w:tcW w:w="6930" w:type="dxa"/>
            <w:shd w:val="clear" w:color="auto" w:fill="auto"/>
          </w:tcPr>
          <w:p w14:paraId="6BB747F2" w14:textId="5E27338D"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Estudo Prévio de Definição de Âmbito</w:t>
            </w:r>
          </w:p>
        </w:tc>
      </w:tr>
      <w:tr w:rsidR="00A94216" w:rsidRPr="00292532" w14:paraId="634EE809" w14:textId="77777777" w:rsidTr="00C85F09">
        <w:trPr>
          <w:trHeight w:val="340"/>
        </w:trPr>
        <w:tc>
          <w:tcPr>
            <w:tcW w:w="2335" w:type="dxa"/>
            <w:shd w:val="clear" w:color="auto" w:fill="auto"/>
          </w:tcPr>
          <w:p w14:paraId="44955492" w14:textId="4A6A69EF"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EPI</w:t>
            </w:r>
          </w:p>
        </w:tc>
        <w:tc>
          <w:tcPr>
            <w:tcW w:w="6930" w:type="dxa"/>
            <w:shd w:val="clear" w:color="auto" w:fill="auto"/>
          </w:tcPr>
          <w:p w14:paraId="2FDA4326" w14:textId="7CCFC94C"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 xml:space="preserve">Equipamento de </w:t>
            </w:r>
            <w:proofErr w:type="spellStart"/>
            <w:r w:rsidRPr="00292532">
              <w:rPr>
                <w:rFonts w:asciiTheme="minorHAnsi" w:eastAsia="Times New Roman" w:hAnsiTheme="minorHAnsi" w:cstheme="minorHAnsi"/>
                <w:color w:val="000000"/>
                <w:lang w:val="pt-PT"/>
              </w:rPr>
              <w:t>Protecção</w:t>
            </w:r>
            <w:proofErr w:type="spellEnd"/>
            <w:r w:rsidRPr="00292532">
              <w:rPr>
                <w:rFonts w:asciiTheme="minorHAnsi" w:eastAsia="Times New Roman" w:hAnsiTheme="minorHAnsi" w:cstheme="minorHAnsi"/>
                <w:color w:val="000000"/>
                <w:lang w:val="pt-PT"/>
              </w:rPr>
              <w:t xml:space="preserve"> Individual</w:t>
            </w:r>
          </w:p>
        </w:tc>
      </w:tr>
      <w:tr w:rsidR="00A94216" w:rsidRPr="00AB3051" w14:paraId="7BCE48F4" w14:textId="77777777" w:rsidTr="00C85F09">
        <w:trPr>
          <w:trHeight w:val="340"/>
        </w:trPr>
        <w:tc>
          <w:tcPr>
            <w:tcW w:w="2335" w:type="dxa"/>
            <w:shd w:val="clear" w:color="auto" w:fill="auto"/>
          </w:tcPr>
          <w:p w14:paraId="1F1DAE85" w14:textId="6AB6CBAA"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ERRP</w:t>
            </w:r>
            <w:r w:rsidR="00A92B6E">
              <w:rPr>
                <w:rFonts w:asciiTheme="minorHAnsi" w:eastAsia="Times New Roman" w:hAnsiTheme="minorHAnsi" w:cstheme="minorHAnsi"/>
                <w:b/>
                <w:color w:val="000000"/>
                <w:lang w:val="pt-PT"/>
              </w:rPr>
              <w:t xml:space="preserve"> (Sigla Inglesa)</w:t>
            </w:r>
          </w:p>
        </w:tc>
        <w:tc>
          <w:tcPr>
            <w:tcW w:w="6930" w:type="dxa"/>
            <w:shd w:val="clear" w:color="auto" w:fill="auto"/>
          </w:tcPr>
          <w:p w14:paraId="50BCF34A" w14:textId="776831FD" w:rsidR="00A94216" w:rsidRPr="00292532" w:rsidRDefault="00A94216" w:rsidP="00A94216">
            <w:pPr>
              <w:spacing w:before="0" w:after="0"/>
              <w:rPr>
                <w:rFonts w:asciiTheme="minorHAnsi" w:eastAsia="Times New Roman" w:hAnsiTheme="minorHAnsi" w:cstheme="minorHAnsi"/>
                <w:color w:val="000000"/>
                <w:lang w:val="pt-PT"/>
              </w:rPr>
            </w:pPr>
            <w:proofErr w:type="spellStart"/>
            <w:r w:rsidRPr="00292532">
              <w:rPr>
                <w:rFonts w:asciiTheme="minorHAnsi" w:eastAsia="Times New Roman" w:hAnsiTheme="minorHAnsi" w:cstheme="minorHAnsi"/>
                <w:color w:val="000000"/>
                <w:lang w:val="pt-PT"/>
              </w:rPr>
              <w:t>Projecto</w:t>
            </w:r>
            <w:proofErr w:type="spellEnd"/>
            <w:r w:rsidRPr="00292532">
              <w:rPr>
                <w:rFonts w:asciiTheme="minorHAnsi" w:eastAsia="Times New Roman" w:hAnsiTheme="minorHAnsi" w:cstheme="minorHAnsi"/>
                <w:color w:val="000000"/>
                <w:lang w:val="pt-PT"/>
              </w:rPr>
              <w:t xml:space="preserve"> de Reabilitação Resiliente de Emergência</w:t>
            </w:r>
          </w:p>
        </w:tc>
      </w:tr>
      <w:tr w:rsidR="00A94216" w:rsidRPr="00292532" w14:paraId="328DC576" w14:textId="77777777" w:rsidTr="00C85F09">
        <w:trPr>
          <w:trHeight w:val="340"/>
        </w:trPr>
        <w:tc>
          <w:tcPr>
            <w:tcW w:w="2335" w:type="dxa"/>
            <w:shd w:val="clear" w:color="auto" w:fill="auto"/>
          </w:tcPr>
          <w:p w14:paraId="381BEFAC" w14:textId="6BA3E693"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FBR</w:t>
            </w:r>
          </w:p>
        </w:tc>
        <w:tc>
          <w:tcPr>
            <w:tcW w:w="6930" w:type="dxa"/>
            <w:shd w:val="clear" w:color="auto" w:fill="auto"/>
          </w:tcPr>
          <w:p w14:paraId="22C67546" w14:textId="44F2B4AF"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Financiamento Baseado em Resultados</w:t>
            </w:r>
          </w:p>
        </w:tc>
      </w:tr>
      <w:tr w:rsidR="00A94216" w:rsidRPr="00AB3051" w14:paraId="64F4BA0D" w14:textId="77777777" w:rsidTr="00C85F09">
        <w:trPr>
          <w:trHeight w:val="340"/>
        </w:trPr>
        <w:tc>
          <w:tcPr>
            <w:tcW w:w="2335" w:type="dxa"/>
            <w:shd w:val="clear" w:color="auto" w:fill="auto"/>
          </w:tcPr>
          <w:p w14:paraId="03DD2134" w14:textId="77777777"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FIAP</w:t>
            </w:r>
          </w:p>
        </w:tc>
        <w:tc>
          <w:tcPr>
            <w:tcW w:w="6930" w:type="dxa"/>
            <w:shd w:val="clear" w:color="auto" w:fill="auto"/>
          </w:tcPr>
          <w:p w14:paraId="554F797E" w14:textId="77777777"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Ficha de Informação Ambiental Preliminar</w:t>
            </w:r>
          </w:p>
        </w:tc>
      </w:tr>
      <w:tr w:rsidR="00A94216" w:rsidRPr="00AB3051" w14:paraId="7DBC7389" w14:textId="77777777" w:rsidTr="00C85F09">
        <w:trPr>
          <w:trHeight w:val="340"/>
        </w:trPr>
        <w:tc>
          <w:tcPr>
            <w:tcW w:w="2335" w:type="dxa"/>
            <w:shd w:val="clear" w:color="auto" w:fill="auto"/>
          </w:tcPr>
          <w:p w14:paraId="783DD8DB" w14:textId="1F2DB7CF"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FPI</w:t>
            </w:r>
          </w:p>
        </w:tc>
        <w:tc>
          <w:tcPr>
            <w:tcW w:w="6930" w:type="dxa"/>
            <w:shd w:val="clear" w:color="auto" w:fill="auto"/>
          </w:tcPr>
          <w:p w14:paraId="77B534EE" w14:textId="2285BD37"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 xml:space="preserve">Financiamento de </w:t>
            </w:r>
            <w:proofErr w:type="spellStart"/>
            <w:r w:rsidRPr="00292532">
              <w:rPr>
                <w:rFonts w:asciiTheme="minorHAnsi" w:eastAsia="Times New Roman" w:hAnsiTheme="minorHAnsi" w:cstheme="minorHAnsi"/>
                <w:color w:val="000000"/>
                <w:lang w:val="pt-PT"/>
              </w:rPr>
              <w:t>Projectos</w:t>
            </w:r>
            <w:proofErr w:type="spellEnd"/>
            <w:r w:rsidRPr="00292532">
              <w:rPr>
                <w:rFonts w:asciiTheme="minorHAnsi" w:eastAsia="Times New Roman" w:hAnsiTheme="minorHAnsi" w:cstheme="minorHAnsi"/>
                <w:color w:val="000000"/>
                <w:lang w:val="pt-PT"/>
              </w:rPr>
              <w:t xml:space="preserve"> de Investimento</w:t>
            </w:r>
          </w:p>
        </w:tc>
      </w:tr>
      <w:tr w:rsidR="00A94216" w:rsidRPr="00292532" w14:paraId="0DE2F00C" w14:textId="77777777" w:rsidTr="00C85F09">
        <w:trPr>
          <w:trHeight w:val="340"/>
        </w:trPr>
        <w:tc>
          <w:tcPr>
            <w:tcW w:w="2335" w:type="dxa"/>
            <w:shd w:val="clear" w:color="auto" w:fill="auto"/>
          </w:tcPr>
          <w:p w14:paraId="2A07FB5C" w14:textId="12BCAF24" w:rsidR="00A94216" w:rsidRPr="00292532" w:rsidRDefault="00A94216" w:rsidP="00A94216">
            <w:pPr>
              <w:spacing w:before="0" w:after="0"/>
              <w:rPr>
                <w:rFonts w:asciiTheme="minorHAnsi" w:eastAsia="Times New Roman" w:hAnsiTheme="minorHAnsi" w:cstheme="minorHAnsi"/>
                <w:b/>
                <w:color w:val="000000"/>
                <w:lang w:val="pt-PT"/>
              </w:rPr>
            </w:pPr>
            <w:proofErr w:type="spellStart"/>
            <w:r w:rsidRPr="00292532">
              <w:rPr>
                <w:rFonts w:asciiTheme="minorHAnsi" w:eastAsia="Times New Roman" w:hAnsiTheme="minorHAnsi" w:cstheme="minorHAnsi"/>
                <w:b/>
                <w:color w:val="000000"/>
                <w:lang w:val="pt-PT"/>
              </w:rPr>
              <w:t>GdM</w:t>
            </w:r>
            <w:proofErr w:type="spellEnd"/>
          </w:p>
        </w:tc>
        <w:tc>
          <w:tcPr>
            <w:tcW w:w="6930" w:type="dxa"/>
            <w:shd w:val="clear" w:color="auto" w:fill="auto"/>
          </w:tcPr>
          <w:p w14:paraId="0F42B9EA" w14:textId="6B97AB40"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Governo de Moçambique</w:t>
            </w:r>
          </w:p>
        </w:tc>
      </w:tr>
      <w:tr w:rsidR="00A94216" w:rsidRPr="00AB3051" w14:paraId="24CE7D31" w14:textId="77777777" w:rsidTr="00C85F09">
        <w:trPr>
          <w:trHeight w:val="340"/>
        </w:trPr>
        <w:tc>
          <w:tcPr>
            <w:tcW w:w="2335" w:type="dxa"/>
            <w:shd w:val="clear" w:color="auto" w:fill="auto"/>
          </w:tcPr>
          <w:p w14:paraId="23F51F2C" w14:textId="556A6DF4"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GEE</w:t>
            </w:r>
          </w:p>
        </w:tc>
        <w:tc>
          <w:tcPr>
            <w:tcW w:w="6930" w:type="dxa"/>
            <w:shd w:val="clear" w:color="auto" w:fill="auto"/>
          </w:tcPr>
          <w:p w14:paraId="0DB99D26" w14:textId="3491B8C7"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Gases de Efeito de Estufa</w:t>
            </w:r>
          </w:p>
        </w:tc>
      </w:tr>
      <w:tr w:rsidR="00A94216" w:rsidRPr="00AB3051" w14:paraId="7924A1C7" w14:textId="77777777" w:rsidTr="00C85F09">
        <w:trPr>
          <w:trHeight w:val="340"/>
        </w:trPr>
        <w:tc>
          <w:tcPr>
            <w:tcW w:w="2335" w:type="dxa"/>
            <w:shd w:val="clear" w:color="auto" w:fill="auto"/>
          </w:tcPr>
          <w:p w14:paraId="381385DD" w14:textId="5949E7BC"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 xml:space="preserve">GBV </w:t>
            </w:r>
            <w:r w:rsidRPr="00292532">
              <w:rPr>
                <w:rFonts w:asciiTheme="minorHAnsi" w:eastAsia="Times New Roman" w:hAnsiTheme="minorHAnsi" w:cstheme="minorHAnsi"/>
                <w:bCs/>
                <w:color w:val="000000"/>
                <w:lang w:val="pt-PT"/>
              </w:rPr>
              <w:t>(Sigla Inglesa)</w:t>
            </w:r>
          </w:p>
        </w:tc>
        <w:tc>
          <w:tcPr>
            <w:tcW w:w="6930" w:type="dxa"/>
            <w:shd w:val="clear" w:color="auto" w:fill="auto"/>
          </w:tcPr>
          <w:p w14:paraId="6003496C" w14:textId="1241EC35" w:rsidR="00A94216" w:rsidRPr="00292532" w:rsidRDefault="00A94216" w:rsidP="00A94216">
            <w:pPr>
              <w:spacing w:before="0" w:after="0"/>
              <w:rPr>
                <w:rFonts w:asciiTheme="minorHAnsi" w:eastAsia="Times New Roman" w:hAnsiTheme="minorHAnsi" w:cstheme="minorHAnsi"/>
                <w:color w:val="000000"/>
                <w:lang w:val="pt-PT"/>
              </w:rPr>
            </w:pPr>
            <w:proofErr w:type="spellStart"/>
            <w:r w:rsidRPr="00292532">
              <w:rPr>
                <w:rFonts w:asciiTheme="minorHAnsi" w:eastAsia="Times New Roman" w:hAnsiTheme="minorHAnsi" w:cstheme="minorHAnsi"/>
                <w:i/>
                <w:iCs/>
                <w:color w:val="000000"/>
                <w:lang w:val="pt-PT"/>
              </w:rPr>
              <w:t>Gender</w:t>
            </w:r>
            <w:proofErr w:type="spellEnd"/>
            <w:r w:rsidRPr="00292532">
              <w:rPr>
                <w:rFonts w:asciiTheme="minorHAnsi" w:eastAsia="Times New Roman" w:hAnsiTheme="minorHAnsi" w:cstheme="minorHAnsi"/>
                <w:i/>
                <w:iCs/>
                <w:color w:val="000000"/>
                <w:lang w:val="pt-PT"/>
              </w:rPr>
              <w:t xml:space="preserve"> </w:t>
            </w:r>
            <w:proofErr w:type="spellStart"/>
            <w:r w:rsidRPr="00292532">
              <w:rPr>
                <w:rFonts w:asciiTheme="minorHAnsi" w:eastAsia="Times New Roman" w:hAnsiTheme="minorHAnsi" w:cstheme="minorHAnsi"/>
                <w:i/>
                <w:iCs/>
                <w:color w:val="000000"/>
                <w:lang w:val="pt-PT"/>
              </w:rPr>
              <w:t>Based</w:t>
            </w:r>
            <w:proofErr w:type="spellEnd"/>
            <w:r w:rsidRPr="00292532">
              <w:rPr>
                <w:rFonts w:asciiTheme="minorHAnsi" w:eastAsia="Times New Roman" w:hAnsiTheme="minorHAnsi" w:cstheme="minorHAnsi"/>
                <w:i/>
                <w:iCs/>
                <w:color w:val="000000"/>
                <w:lang w:val="pt-PT"/>
              </w:rPr>
              <w:t xml:space="preserve"> </w:t>
            </w:r>
            <w:proofErr w:type="spellStart"/>
            <w:r w:rsidRPr="00292532">
              <w:rPr>
                <w:rFonts w:asciiTheme="minorHAnsi" w:eastAsia="Times New Roman" w:hAnsiTheme="minorHAnsi" w:cstheme="minorHAnsi"/>
                <w:i/>
                <w:iCs/>
                <w:color w:val="000000"/>
                <w:lang w:val="pt-PT"/>
              </w:rPr>
              <w:t>Violence</w:t>
            </w:r>
            <w:proofErr w:type="spellEnd"/>
            <w:r w:rsidRPr="00292532">
              <w:rPr>
                <w:rFonts w:asciiTheme="minorHAnsi" w:eastAsia="Times New Roman" w:hAnsiTheme="minorHAnsi" w:cstheme="minorHAnsi"/>
                <w:color w:val="000000"/>
                <w:lang w:val="pt-PT"/>
              </w:rPr>
              <w:t xml:space="preserve"> (</w:t>
            </w:r>
            <w:r w:rsidR="008C3A00" w:rsidRPr="00292532">
              <w:rPr>
                <w:rFonts w:asciiTheme="minorHAnsi" w:eastAsia="Times New Roman" w:hAnsiTheme="minorHAnsi" w:cstheme="minorHAnsi"/>
                <w:color w:val="000000"/>
                <w:lang w:val="pt-PT"/>
              </w:rPr>
              <w:t>V</w:t>
            </w:r>
            <w:r w:rsidRPr="00292532">
              <w:rPr>
                <w:rFonts w:asciiTheme="minorHAnsi" w:eastAsia="Times New Roman" w:hAnsiTheme="minorHAnsi" w:cstheme="minorHAnsi"/>
                <w:color w:val="000000"/>
                <w:lang w:val="pt-PT"/>
              </w:rPr>
              <w:t>iolência Baseada no Género)</w:t>
            </w:r>
          </w:p>
        </w:tc>
      </w:tr>
      <w:tr w:rsidR="00A94216" w:rsidRPr="00292532" w14:paraId="22DF7DB1" w14:textId="77777777" w:rsidTr="00C85F09">
        <w:trPr>
          <w:trHeight w:val="340"/>
        </w:trPr>
        <w:tc>
          <w:tcPr>
            <w:tcW w:w="2335" w:type="dxa"/>
            <w:shd w:val="clear" w:color="auto" w:fill="auto"/>
          </w:tcPr>
          <w:p w14:paraId="02A0312A" w14:textId="6DF017C4" w:rsidR="00A94216" w:rsidRPr="00292532" w:rsidRDefault="00A94216" w:rsidP="00A94216">
            <w:pPr>
              <w:spacing w:before="0" w:after="0"/>
              <w:rPr>
                <w:rFonts w:asciiTheme="minorHAnsi" w:eastAsia="Times New Roman" w:hAnsiTheme="minorHAnsi" w:cstheme="minorHAnsi"/>
                <w:b/>
                <w:color w:val="000000"/>
                <w:lang w:val="pt-PT"/>
              </w:rPr>
            </w:pPr>
            <w:proofErr w:type="spellStart"/>
            <w:r w:rsidRPr="00292532">
              <w:rPr>
                <w:rFonts w:asciiTheme="minorHAnsi" w:eastAsia="Times New Roman" w:hAnsiTheme="minorHAnsi" w:cstheme="minorHAnsi"/>
                <w:b/>
                <w:color w:val="000000"/>
                <w:lang w:val="pt-PT"/>
              </w:rPr>
              <w:t>GdM</w:t>
            </w:r>
            <w:proofErr w:type="spellEnd"/>
          </w:p>
        </w:tc>
        <w:tc>
          <w:tcPr>
            <w:tcW w:w="6930" w:type="dxa"/>
            <w:shd w:val="clear" w:color="auto" w:fill="auto"/>
          </w:tcPr>
          <w:p w14:paraId="568AB8C7" w14:textId="669F946D"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Governo de Moçambique</w:t>
            </w:r>
          </w:p>
        </w:tc>
      </w:tr>
      <w:tr w:rsidR="00A94216" w:rsidRPr="00AB3051" w14:paraId="29BE1870" w14:textId="77777777" w:rsidTr="00C85F09">
        <w:trPr>
          <w:trHeight w:val="340"/>
        </w:trPr>
        <w:tc>
          <w:tcPr>
            <w:tcW w:w="2335" w:type="dxa"/>
            <w:shd w:val="clear" w:color="auto" w:fill="auto"/>
          </w:tcPr>
          <w:p w14:paraId="508EEB90" w14:textId="1F120954"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HIV</w:t>
            </w:r>
            <w:r w:rsidR="00A92B6E">
              <w:rPr>
                <w:rFonts w:asciiTheme="minorHAnsi" w:eastAsia="Times New Roman" w:hAnsiTheme="minorHAnsi" w:cstheme="minorHAnsi"/>
                <w:b/>
                <w:color w:val="000000"/>
                <w:lang w:val="pt-PT"/>
              </w:rPr>
              <w:t xml:space="preserve"> </w:t>
            </w:r>
          </w:p>
        </w:tc>
        <w:tc>
          <w:tcPr>
            <w:tcW w:w="6930" w:type="dxa"/>
            <w:shd w:val="clear" w:color="auto" w:fill="auto"/>
          </w:tcPr>
          <w:p w14:paraId="15EFC0A4" w14:textId="6403A4B2" w:rsidR="00A94216" w:rsidRPr="00292532" w:rsidRDefault="00A94216" w:rsidP="00A94216">
            <w:pPr>
              <w:spacing w:before="0" w:after="0"/>
              <w:rPr>
                <w:rFonts w:asciiTheme="minorHAnsi" w:eastAsia="Times New Roman" w:hAnsiTheme="minorHAnsi" w:cstheme="minorHAnsi"/>
                <w:color w:val="000000"/>
                <w:lang w:val="pt-PT"/>
              </w:rPr>
            </w:pPr>
            <w:proofErr w:type="spellStart"/>
            <w:r w:rsidRPr="00292532">
              <w:rPr>
                <w:rFonts w:asciiTheme="minorHAnsi" w:eastAsia="Times New Roman" w:hAnsiTheme="minorHAnsi" w:cstheme="minorHAnsi"/>
                <w:color w:val="000000"/>
                <w:lang w:val="pt-PT"/>
              </w:rPr>
              <w:t>Human</w:t>
            </w:r>
            <w:proofErr w:type="spellEnd"/>
            <w:r w:rsidRPr="00292532">
              <w:rPr>
                <w:rFonts w:asciiTheme="minorHAnsi" w:eastAsia="Times New Roman" w:hAnsiTheme="minorHAnsi" w:cstheme="minorHAnsi"/>
                <w:color w:val="000000"/>
                <w:lang w:val="pt-PT"/>
              </w:rPr>
              <w:t xml:space="preserve"> </w:t>
            </w:r>
            <w:proofErr w:type="spellStart"/>
            <w:r w:rsidRPr="00292532">
              <w:rPr>
                <w:rFonts w:asciiTheme="minorHAnsi" w:eastAsia="Times New Roman" w:hAnsiTheme="minorHAnsi" w:cstheme="minorHAnsi"/>
                <w:color w:val="000000"/>
                <w:lang w:val="pt-PT"/>
              </w:rPr>
              <w:t>Immunodeficiency</w:t>
            </w:r>
            <w:proofErr w:type="spellEnd"/>
            <w:r w:rsidRPr="00292532">
              <w:rPr>
                <w:rFonts w:asciiTheme="minorHAnsi" w:eastAsia="Times New Roman" w:hAnsiTheme="minorHAnsi" w:cstheme="minorHAnsi"/>
                <w:color w:val="000000"/>
                <w:lang w:val="pt-PT"/>
              </w:rPr>
              <w:t xml:space="preserve"> </w:t>
            </w:r>
            <w:proofErr w:type="spellStart"/>
            <w:r w:rsidRPr="00292532">
              <w:rPr>
                <w:rFonts w:asciiTheme="minorHAnsi" w:eastAsia="Times New Roman" w:hAnsiTheme="minorHAnsi" w:cstheme="minorHAnsi"/>
                <w:color w:val="000000"/>
                <w:lang w:val="pt-PT"/>
              </w:rPr>
              <w:t>Virus</w:t>
            </w:r>
            <w:proofErr w:type="spellEnd"/>
            <w:r w:rsidRPr="00292532">
              <w:rPr>
                <w:rFonts w:asciiTheme="minorHAnsi" w:eastAsia="Times New Roman" w:hAnsiTheme="minorHAnsi" w:cstheme="minorHAnsi"/>
                <w:color w:val="000000"/>
                <w:lang w:val="pt-PT"/>
              </w:rPr>
              <w:t xml:space="preserve"> (</w:t>
            </w:r>
            <w:r w:rsidRPr="00292532">
              <w:rPr>
                <w:rFonts w:asciiTheme="minorHAnsi" w:eastAsia="Times New Roman" w:hAnsiTheme="minorHAnsi" w:cstheme="minorHAnsi"/>
                <w:i/>
                <w:iCs/>
                <w:color w:val="000000"/>
                <w:lang w:val="pt-PT"/>
              </w:rPr>
              <w:t>Vírus de Imunodeficiência Humana</w:t>
            </w:r>
            <w:r w:rsidRPr="00292532">
              <w:rPr>
                <w:rFonts w:asciiTheme="minorHAnsi" w:eastAsia="Times New Roman" w:hAnsiTheme="minorHAnsi" w:cstheme="minorHAnsi"/>
                <w:color w:val="000000"/>
                <w:lang w:val="pt-PT"/>
              </w:rPr>
              <w:t xml:space="preserve">) </w:t>
            </w:r>
          </w:p>
        </w:tc>
      </w:tr>
      <w:tr w:rsidR="00A94216" w:rsidRPr="00292532" w14:paraId="1C042BB0" w14:textId="77777777" w:rsidTr="00C85F09">
        <w:trPr>
          <w:trHeight w:val="340"/>
        </w:trPr>
        <w:tc>
          <w:tcPr>
            <w:tcW w:w="2335" w:type="dxa"/>
            <w:shd w:val="clear" w:color="auto" w:fill="auto"/>
          </w:tcPr>
          <w:p w14:paraId="1D994EA3" w14:textId="52BDB71A"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 xml:space="preserve">IFC </w:t>
            </w:r>
            <w:r w:rsidRPr="00292532">
              <w:rPr>
                <w:rFonts w:asciiTheme="minorHAnsi" w:eastAsia="Times New Roman" w:hAnsiTheme="minorHAnsi" w:cstheme="minorHAnsi"/>
                <w:bCs/>
                <w:color w:val="000000"/>
                <w:lang w:val="pt-PT"/>
              </w:rPr>
              <w:t>(Sigla Inglesa)</w:t>
            </w:r>
          </w:p>
        </w:tc>
        <w:tc>
          <w:tcPr>
            <w:tcW w:w="6930" w:type="dxa"/>
            <w:shd w:val="clear" w:color="auto" w:fill="auto"/>
          </w:tcPr>
          <w:p w14:paraId="1D6A8F32" w14:textId="6845A451"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 xml:space="preserve">Corporação Financeira Internacional </w:t>
            </w:r>
          </w:p>
        </w:tc>
      </w:tr>
      <w:tr w:rsidR="00A94216" w:rsidRPr="00292532" w14:paraId="48FF6B0A" w14:textId="77777777" w:rsidTr="00C85F09">
        <w:trPr>
          <w:trHeight w:val="340"/>
        </w:trPr>
        <w:tc>
          <w:tcPr>
            <w:tcW w:w="2335" w:type="dxa"/>
            <w:shd w:val="clear" w:color="auto" w:fill="auto"/>
          </w:tcPr>
          <w:p w14:paraId="5C71AA5E" w14:textId="51C1DF03"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INE</w:t>
            </w:r>
          </w:p>
        </w:tc>
        <w:tc>
          <w:tcPr>
            <w:tcW w:w="6930" w:type="dxa"/>
            <w:shd w:val="clear" w:color="auto" w:fill="auto"/>
          </w:tcPr>
          <w:p w14:paraId="0FA1B091" w14:textId="5936630D"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Instituto Nacional de Estatística</w:t>
            </w:r>
          </w:p>
        </w:tc>
      </w:tr>
      <w:tr w:rsidR="00A94216" w:rsidRPr="00AB3051" w14:paraId="129BD0AB" w14:textId="77777777" w:rsidTr="00C85F09">
        <w:trPr>
          <w:trHeight w:val="340"/>
        </w:trPr>
        <w:tc>
          <w:tcPr>
            <w:tcW w:w="2335" w:type="dxa"/>
            <w:shd w:val="clear" w:color="auto" w:fill="auto"/>
          </w:tcPr>
          <w:p w14:paraId="585ABDC2" w14:textId="060F5BF0"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ING</w:t>
            </w:r>
            <w:r w:rsidR="00A92B6E">
              <w:rPr>
                <w:rFonts w:asciiTheme="minorHAnsi" w:eastAsia="Times New Roman" w:hAnsiTheme="minorHAnsi" w:cstheme="minorHAnsi"/>
                <w:b/>
                <w:color w:val="000000"/>
                <w:lang w:val="pt-PT"/>
              </w:rPr>
              <w:t>D</w:t>
            </w:r>
          </w:p>
        </w:tc>
        <w:tc>
          <w:tcPr>
            <w:tcW w:w="6930" w:type="dxa"/>
            <w:shd w:val="clear" w:color="auto" w:fill="auto"/>
          </w:tcPr>
          <w:p w14:paraId="2C2E9877" w14:textId="333C15B2"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 xml:space="preserve">Instituto Nacional de Gestão de </w:t>
            </w:r>
            <w:r w:rsidR="00A92B6E">
              <w:rPr>
                <w:rFonts w:asciiTheme="minorHAnsi" w:eastAsia="Times New Roman" w:hAnsiTheme="minorHAnsi" w:cstheme="minorHAnsi"/>
                <w:color w:val="000000"/>
                <w:lang w:val="pt-PT"/>
              </w:rPr>
              <w:t>e Redução de Riscos de Desastres</w:t>
            </w:r>
          </w:p>
        </w:tc>
      </w:tr>
      <w:tr w:rsidR="004A443B" w:rsidRPr="00292532" w14:paraId="02DE6B60" w14:textId="77777777" w:rsidTr="00C85F09">
        <w:trPr>
          <w:trHeight w:val="340"/>
        </w:trPr>
        <w:tc>
          <w:tcPr>
            <w:tcW w:w="2335" w:type="dxa"/>
            <w:shd w:val="clear" w:color="auto" w:fill="auto"/>
          </w:tcPr>
          <w:p w14:paraId="34D7D8BA" w14:textId="6B0B2F5D" w:rsidR="004A443B" w:rsidRPr="00292532" w:rsidRDefault="004A443B"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ITS</w:t>
            </w:r>
          </w:p>
        </w:tc>
        <w:tc>
          <w:tcPr>
            <w:tcW w:w="6930" w:type="dxa"/>
            <w:shd w:val="clear" w:color="auto" w:fill="auto"/>
          </w:tcPr>
          <w:p w14:paraId="57A227D1" w14:textId="1777ACC1" w:rsidR="004A443B" w:rsidRPr="00292532" w:rsidRDefault="004A443B" w:rsidP="00A94216">
            <w:pPr>
              <w:spacing w:before="0" w:after="0"/>
              <w:rPr>
                <w:rFonts w:asciiTheme="minorHAnsi" w:eastAsia="Times New Roman" w:hAnsiTheme="minorHAnsi" w:cstheme="minorHAnsi"/>
                <w:color w:val="000000"/>
                <w:lang w:val="pt-PT"/>
              </w:rPr>
            </w:pPr>
            <w:proofErr w:type="spellStart"/>
            <w:r w:rsidRPr="00292532">
              <w:rPr>
                <w:rFonts w:asciiTheme="minorHAnsi" w:eastAsia="Times New Roman" w:hAnsiTheme="minorHAnsi" w:cstheme="minorHAnsi"/>
                <w:color w:val="000000"/>
                <w:lang w:val="pt-PT"/>
              </w:rPr>
              <w:t>Infecç</w:t>
            </w:r>
            <w:r w:rsidR="00A92B6E">
              <w:rPr>
                <w:rFonts w:asciiTheme="minorHAnsi" w:eastAsia="Times New Roman" w:hAnsiTheme="minorHAnsi" w:cstheme="minorHAnsi"/>
                <w:color w:val="000000"/>
                <w:lang w:val="pt-PT"/>
              </w:rPr>
              <w:t>õ</w:t>
            </w:r>
            <w:r w:rsidRPr="00292532">
              <w:rPr>
                <w:rFonts w:asciiTheme="minorHAnsi" w:eastAsia="Times New Roman" w:hAnsiTheme="minorHAnsi" w:cstheme="minorHAnsi"/>
                <w:color w:val="000000"/>
                <w:lang w:val="pt-PT"/>
              </w:rPr>
              <w:t>es</w:t>
            </w:r>
            <w:proofErr w:type="spellEnd"/>
            <w:r w:rsidRPr="00292532">
              <w:rPr>
                <w:rFonts w:asciiTheme="minorHAnsi" w:eastAsia="Times New Roman" w:hAnsiTheme="minorHAnsi" w:cstheme="minorHAnsi"/>
                <w:color w:val="000000"/>
                <w:lang w:val="pt-PT"/>
              </w:rPr>
              <w:t xml:space="preserve"> de Transmiss</w:t>
            </w:r>
            <w:r w:rsidR="00A92B6E">
              <w:rPr>
                <w:rFonts w:asciiTheme="minorHAnsi" w:eastAsia="Times New Roman" w:hAnsiTheme="minorHAnsi" w:cstheme="minorHAnsi"/>
                <w:color w:val="000000"/>
                <w:lang w:val="pt-PT"/>
              </w:rPr>
              <w:t>ã</w:t>
            </w:r>
            <w:r w:rsidRPr="00292532">
              <w:rPr>
                <w:rFonts w:asciiTheme="minorHAnsi" w:eastAsia="Times New Roman" w:hAnsiTheme="minorHAnsi" w:cstheme="minorHAnsi"/>
                <w:color w:val="000000"/>
                <w:lang w:val="pt-PT"/>
              </w:rPr>
              <w:t xml:space="preserve">o Sexual </w:t>
            </w:r>
          </w:p>
        </w:tc>
      </w:tr>
      <w:tr w:rsidR="00A94216" w:rsidRPr="00AB3051" w14:paraId="60E29FB2" w14:textId="77777777" w:rsidTr="00C85F09">
        <w:trPr>
          <w:trHeight w:val="340"/>
        </w:trPr>
        <w:tc>
          <w:tcPr>
            <w:tcW w:w="2335" w:type="dxa"/>
            <w:shd w:val="clear" w:color="auto" w:fill="auto"/>
          </w:tcPr>
          <w:p w14:paraId="3DA4188A" w14:textId="50508BC2"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QAS</w:t>
            </w:r>
          </w:p>
        </w:tc>
        <w:tc>
          <w:tcPr>
            <w:tcW w:w="6930" w:type="dxa"/>
            <w:shd w:val="clear" w:color="auto" w:fill="auto"/>
          </w:tcPr>
          <w:p w14:paraId="5B4E2B5E" w14:textId="01F633AF"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Quadro Ambiental e Social do Banco Mundial</w:t>
            </w:r>
          </w:p>
        </w:tc>
      </w:tr>
      <w:tr w:rsidR="00A94216" w:rsidRPr="00AB3051" w14:paraId="6A236D3C" w14:textId="77777777" w:rsidTr="00C85F09">
        <w:trPr>
          <w:trHeight w:val="340"/>
        </w:trPr>
        <w:tc>
          <w:tcPr>
            <w:tcW w:w="2335" w:type="dxa"/>
            <w:shd w:val="clear" w:color="auto" w:fill="auto"/>
          </w:tcPr>
          <w:p w14:paraId="09BA3999" w14:textId="47D23576"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lastRenderedPageBreak/>
              <w:t>QGAS</w:t>
            </w:r>
          </w:p>
        </w:tc>
        <w:tc>
          <w:tcPr>
            <w:tcW w:w="6930" w:type="dxa"/>
            <w:shd w:val="clear" w:color="auto" w:fill="auto"/>
          </w:tcPr>
          <w:p w14:paraId="484069B0" w14:textId="399587EF"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Quadro de Gestão Ambiental e Social</w:t>
            </w:r>
          </w:p>
        </w:tc>
      </w:tr>
      <w:tr w:rsidR="00467FC4" w:rsidRPr="00292532" w14:paraId="0D672D3F" w14:textId="77777777" w:rsidTr="00C85F09">
        <w:trPr>
          <w:trHeight w:val="340"/>
        </w:trPr>
        <w:tc>
          <w:tcPr>
            <w:tcW w:w="2335" w:type="dxa"/>
            <w:shd w:val="clear" w:color="auto" w:fill="auto"/>
          </w:tcPr>
          <w:p w14:paraId="4E5A1F9D" w14:textId="121346C9" w:rsidR="00467FC4" w:rsidRPr="00292532" w:rsidRDefault="00467FC4"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MISAU</w:t>
            </w:r>
          </w:p>
        </w:tc>
        <w:tc>
          <w:tcPr>
            <w:tcW w:w="6930" w:type="dxa"/>
            <w:shd w:val="clear" w:color="auto" w:fill="auto"/>
          </w:tcPr>
          <w:p w14:paraId="727BAB4A" w14:textId="197261D2" w:rsidR="00467FC4" w:rsidRPr="00292532" w:rsidRDefault="00467FC4"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Ministério da Saúde</w:t>
            </w:r>
          </w:p>
        </w:tc>
      </w:tr>
      <w:tr w:rsidR="00A94216" w:rsidRPr="00AB3051" w14:paraId="1051A402" w14:textId="77777777" w:rsidTr="00C85F09">
        <w:trPr>
          <w:trHeight w:val="340"/>
        </w:trPr>
        <w:tc>
          <w:tcPr>
            <w:tcW w:w="2335" w:type="dxa"/>
            <w:shd w:val="clear" w:color="auto" w:fill="auto"/>
          </w:tcPr>
          <w:p w14:paraId="465A7512" w14:textId="652B1C1D"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MITA</w:t>
            </w:r>
          </w:p>
        </w:tc>
        <w:tc>
          <w:tcPr>
            <w:tcW w:w="6930" w:type="dxa"/>
            <w:shd w:val="clear" w:color="auto" w:fill="auto"/>
          </w:tcPr>
          <w:p w14:paraId="174A1699" w14:textId="468D556B"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Ministério da Terra</w:t>
            </w:r>
            <w:r w:rsidR="00CF1E50">
              <w:rPr>
                <w:rFonts w:asciiTheme="minorHAnsi" w:eastAsia="Times New Roman" w:hAnsiTheme="minorHAnsi" w:cstheme="minorHAnsi"/>
                <w:color w:val="000000"/>
                <w:lang w:val="pt-PT"/>
              </w:rPr>
              <w:t xml:space="preserve"> </w:t>
            </w:r>
            <w:r w:rsidR="00E14ED4">
              <w:rPr>
                <w:rFonts w:asciiTheme="minorHAnsi" w:eastAsia="Times New Roman" w:hAnsiTheme="minorHAnsi" w:cstheme="minorHAnsi"/>
                <w:color w:val="000000"/>
                <w:lang w:val="pt-PT"/>
              </w:rPr>
              <w:t xml:space="preserve">e </w:t>
            </w:r>
            <w:r w:rsidR="00E14ED4" w:rsidRPr="00292532">
              <w:rPr>
                <w:rFonts w:asciiTheme="minorHAnsi" w:eastAsia="Times New Roman" w:hAnsiTheme="minorHAnsi" w:cstheme="minorHAnsi"/>
                <w:color w:val="000000"/>
                <w:lang w:val="pt-PT"/>
              </w:rPr>
              <w:t>Ambiente</w:t>
            </w:r>
          </w:p>
        </w:tc>
      </w:tr>
      <w:tr w:rsidR="00A94216" w:rsidRPr="00AB3051" w14:paraId="6C5BA80B" w14:textId="77777777" w:rsidTr="00C85F09">
        <w:trPr>
          <w:trHeight w:val="340"/>
        </w:trPr>
        <w:tc>
          <w:tcPr>
            <w:tcW w:w="2335" w:type="dxa"/>
            <w:shd w:val="clear" w:color="auto" w:fill="auto"/>
          </w:tcPr>
          <w:p w14:paraId="6EA7EEE5" w14:textId="4956DDAA"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MOPHRH</w:t>
            </w:r>
          </w:p>
        </w:tc>
        <w:tc>
          <w:tcPr>
            <w:tcW w:w="6930" w:type="dxa"/>
            <w:shd w:val="clear" w:color="auto" w:fill="auto"/>
          </w:tcPr>
          <w:p w14:paraId="3B84AFDE" w14:textId="1B4EF14C" w:rsidR="00A94216" w:rsidRPr="00292532" w:rsidRDefault="00A94216" w:rsidP="00A94216">
            <w:pPr>
              <w:spacing w:before="0" w:after="0"/>
              <w:rPr>
                <w:rFonts w:asciiTheme="minorHAnsi" w:eastAsia="Times New Roman" w:hAnsiTheme="minorHAnsi" w:cstheme="minorHAnsi"/>
                <w:color w:val="000000"/>
                <w:lang w:val="pt-PT"/>
              </w:rPr>
            </w:pPr>
            <w:r w:rsidRPr="00292532">
              <w:rPr>
                <w:lang w:val="pt-PT" w:eastAsia="ja-JP"/>
              </w:rPr>
              <w:t>Ministério das Obras públicas, Habitação e Recursos Hídricos</w:t>
            </w:r>
          </w:p>
        </w:tc>
      </w:tr>
      <w:tr w:rsidR="00A94216" w:rsidRPr="00AB3051" w14:paraId="43DCF924" w14:textId="77777777" w:rsidTr="00C85F09">
        <w:trPr>
          <w:trHeight w:val="340"/>
        </w:trPr>
        <w:tc>
          <w:tcPr>
            <w:tcW w:w="2335" w:type="dxa"/>
            <w:shd w:val="clear" w:color="auto" w:fill="auto"/>
          </w:tcPr>
          <w:p w14:paraId="63CE47D5" w14:textId="588B6FE9"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MRQ</w:t>
            </w:r>
            <w:r w:rsidR="00A92B6E">
              <w:rPr>
                <w:rFonts w:asciiTheme="minorHAnsi" w:eastAsia="Times New Roman" w:hAnsiTheme="minorHAnsi" w:cstheme="minorHAnsi"/>
                <w:b/>
                <w:color w:val="000000"/>
                <w:lang w:val="pt-PT"/>
              </w:rPr>
              <w:t>R</w:t>
            </w:r>
          </w:p>
        </w:tc>
        <w:tc>
          <w:tcPr>
            <w:tcW w:w="6930" w:type="dxa"/>
            <w:shd w:val="clear" w:color="auto" w:fill="auto"/>
          </w:tcPr>
          <w:p w14:paraId="7BA6AA37" w14:textId="6E5FF8F5" w:rsidR="00A94216" w:rsidRPr="00292532" w:rsidRDefault="00A94216" w:rsidP="00A94216">
            <w:pPr>
              <w:spacing w:before="0" w:after="0"/>
              <w:rPr>
                <w:lang w:val="pt-PT" w:eastAsia="ja-JP"/>
              </w:rPr>
            </w:pPr>
            <w:r w:rsidRPr="00292532">
              <w:rPr>
                <w:lang w:val="pt-PT" w:eastAsia="ja-JP"/>
              </w:rPr>
              <w:t>Mecanismo de Resolução de Queixas</w:t>
            </w:r>
            <w:r w:rsidR="00A92B6E">
              <w:rPr>
                <w:lang w:val="pt-PT" w:eastAsia="ja-JP"/>
              </w:rPr>
              <w:t xml:space="preserve"> e Reclamações </w:t>
            </w:r>
          </w:p>
        </w:tc>
      </w:tr>
      <w:tr w:rsidR="00A94216" w:rsidRPr="00AB3051" w14:paraId="68EF37A2" w14:textId="77777777" w:rsidTr="00C85F09">
        <w:trPr>
          <w:trHeight w:val="340"/>
        </w:trPr>
        <w:tc>
          <w:tcPr>
            <w:tcW w:w="2335" w:type="dxa"/>
            <w:shd w:val="clear" w:color="auto" w:fill="auto"/>
          </w:tcPr>
          <w:p w14:paraId="65FEDE1E" w14:textId="2BB45AAC"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MTA</w:t>
            </w:r>
          </w:p>
        </w:tc>
        <w:tc>
          <w:tcPr>
            <w:tcW w:w="6930" w:type="dxa"/>
            <w:shd w:val="clear" w:color="auto" w:fill="auto"/>
          </w:tcPr>
          <w:p w14:paraId="7D9C1C1B" w14:textId="6E9637A2"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Ministério da Terra e Ambiente</w:t>
            </w:r>
          </w:p>
        </w:tc>
      </w:tr>
      <w:tr w:rsidR="00A94216" w:rsidRPr="00292532" w14:paraId="30257394" w14:textId="77777777" w:rsidTr="00C85F09">
        <w:trPr>
          <w:trHeight w:val="340"/>
        </w:trPr>
        <w:tc>
          <w:tcPr>
            <w:tcW w:w="2335" w:type="dxa"/>
            <w:shd w:val="clear" w:color="auto" w:fill="auto"/>
          </w:tcPr>
          <w:p w14:paraId="2D241A26" w14:textId="3FE9616A"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NAS</w:t>
            </w:r>
          </w:p>
        </w:tc>
        <w:tc>
          <w:tcPr>
            <w:tcW w:w="6930" w:type="dxa"/>
            <w:shd w:val="clear" w:color="auto" w:fill="auto"/>
          </w:tcPr>
          <w:p w14:paraId="5D0BFE3E" w14:textId="54D4B630"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Norma Ambiental e Social</w:t>
            </w:r>
          </w:p>
        </w:tc>
      </w:tr>
      <w:tr w:rsidR="00A94216" w:rsidRPr="00AB3051" w14:paraId="07F830A3" w14:textId="77777777" w:rsidTr="00C85F09">
        <w:trPr>
          <w:trHeight w:val="340"/>
        </w:trPr>
        <w:tc>
          <w:tcPr>
            <w:tcW w:w="2335" w:type="dxa"/>
            <w:shd w:val="clear" w:color="auto" w:fill="auto"/>
          </w:tcPr>
          <w:p w14:paraId="59D83D58" w14:textId="5C3EDF54"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ODP</w:t>
            </w:r>
          </w:p>
        </w:tc>
        <w:tc>
          <w:tcPr>
            <w:tcW w:w="6930" w:type="dxa"/>
            <w:shd w:val="clear" w:color="auto" w:fill="auto"/>
          </w:tcPr>
          <w:p w14:paraId="57B64EC1" w14:textId="0C5BABBB" w:rsidR="00A94216" w:rsidRPr="00292532" w:rsidRDefault="00A94216" w:rsidP="00A94216">
            <w:pPr>
              <w:spacing w:before="0" w:after="0"/>
              <w:rPr>
                <w:rFonts w:asciiTheme="minorHAnsi" w:eastAsia="Times New Roman" w:hAnsiTheme="minorHAnsi" w:cstheme="minorHAnsi"/>
                <w:color w:val="000000"/>
                <w:lang w:val="pt-PT"/>
              </w:rPr>
            </w:pPr>
            <w:proofErr w:type="spellStart"/>
            <w:r w:rsidRPr="00292532">
              <w:rPr>
                <w:rFonts w:asciiTheme="minorHAnsi" w:eastAsia="Times New Roman" w:hAnsiTheme="minorHAnsi" w:cstheme="minorHAnsi"/>
                <w:color w:val="000000"/>
                <w:lang w:val="pt-PT"/>
              </w:rPr>
              <w:t>Objectivo</w:t>
            </w:r>
            <w:proofErr w:type="spellEnd"/>
            <w:r w:rsidRPr="00292532">
              <w:rPr>
                <w:rFonts w:asciiTheme="minorHAnsi" w:eastAsia="Times New Roman" w:hAnsiTheme="minorHAnsi" w:cstheme="minorHAnsi"/>
                <w:color w:val="000000"/>
                <w:lang w:val="pt-PT"/>
              </w:rPr>
              <w:t xml:space="preserve"> de Desenvolvimento do </w:t>
            </w:r>
            <w:proofErr w:type="spellStart"/>
            <w:r w:rsidRPr="00292532">
              <w:rPr>
                <w:rFonts w:asciiTheme="minorHAnsi" w:eastAsia="Times New Roman" w:hAnsiTheme="minorHAnsi" w:cstheme="minorHAnsi"/>
                <w:color w:val="000000"/>
                <w:lang w:val="pt-PT"/>
              </w:rPr>
              <w:t>Projecto</w:t>
            </w:r>
            <w:proofErr w:type="spellEnd"/>
          </w:p>
        </w:tc>
      </w:tr>
      <w:tr w:rsidR="00A94216" w:rsidRPr="00292532" w14:paraId="1B5C3BBD" w14:textId="77777777" w:rsidTr="00C85F09">
        <w:trPr>
          <w:trHeight w:val="340"/>
        </w:trPr>
        <w:tc>
          <w:tcPr>
            <w:tcW w:w="2335" w:type="dxa"/>
            <w:shd w:val="clear" w:color="auto" w:fill="auto"/>
          </w:tcPr>
          <w:p w14:paraId="7E9E67E0" w14:textId="6502FAA8"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ODS</w:t>
            </w:r>
          </w:p>
        </w:tc>
        <w:tc>
          <w:tcPr>
            <w:tcW w:w="6930" w:type="dxa"/>
            <w:shd w:val="clear" w:color="auto" w:fill="auto"/>
          </w:tcPr>
          <w:p w14:paraId="1E0405B9" w14:textId="321D1D4D"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Objetivos do Desenvolvimento Sustentável</w:t>
            </w:r>
          </w:p>
        </w:tc>
      </w:tr>
      <w:tr w:rsidR="00A94216" w:rsidRPr="00292532" w14:paraId="7B12CC3E" w14:textId="77777777" w:rsidTr="00C85F09">
        <w:trPr>
          <w:trHeight w:val="340"/>
        </w:trPr>
        <w:tc>
          <w:tcPr>
            <w:tcW w:w="2335" w:type="dxa"/>
            <w:shd w:val="clear" w:color="auto" w:fill="auto"/>
          </w:tcPr>
          <w:p w14:paraId="028BB6E9" w14:textId="54ACB53B"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OE</w:t>
            </w:r>
          </w:p>
        </w:tc>
        <w:tc>
          <w:tcPr>
            <w:tcW w:w="6930" w:type="dxa"/>
            <w:shd w:val="clear" w:color="auto" w:fill="auto"/>
          </w:tcPr>
          <w:p w14:paraId="44F4B6BA" w14:textId="19D44F2E"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Orçamento do Estado</w:t>
            </w:r>
          </w:p>
        </w:tc>
      </w:tr>
      <w:tr w:rsidR="00467FC4" w:rsidRPr="00292532" w14:paraId="31404A55" w14:textId="77777777" w:rsidTr="00C85F09">
        <w:trPr>
          <w:trHeight w:val="340"/>
        </w:trPr>
        <w:tc>
          <w:tcPr>
            <w:tcW w:w="2335" w:type="dxa"/>
            <w:shd w:val="clear" w:color="auto" w:fill="auto"/>
          </w:tcPr>
          <w:p w14:paraId="72F6AB6A" w14:textId="17180120" w:rsidR="00467FC4" w:rsidRPr="00292532" w:rsidRDefault="00467FC4"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OMS</w:t>
            </w:r>
          </w:p>
        </w:tc>
        <w:tc>
          <w:tcPr>
            <w:tcW w:w="6930" w:type="dxa"/>
            <w:shd w:val="clear" w:color="auto" w:fill="auto"/>
          </w:tcPr>
          <w:p w14:paraId="7C1AF545" w14:textId="2631F6D0" w:rsidR="00467FC4" w:rsidRPr="00292532" w:rsidRDefault="00467FC4"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Organização Mundial da Saúde</w:t>
            </w:r>
          </w:p>
        </w:tc>
      </w:tr>
      <w:tr w:rsidR="00A94216" w:rsidRPr="00292532" w14:paraId="373B14CB" w14:textId="77777777" w:rsidTr="00C85F09">
        <w:trPr>
          <w:trHeight w:val="340"/>
        </w:trPr>
        <w:tc>
          <w:tcPr>
            <w:tcW w:w="2335" w:type="dxa"/>
            <w:shd w:val="clear" w:color="auto" w:fill="auto"/>
          </w:tcPr>
          <w:p w14:paraId="4C3D7DAC" w14:textId="14A9488B"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ONU</w:t>
            </w:r>
          </w:p>
        </w:tc>
        <w:tc>
          <w:tcPr>
            <w:tcW w:w="6930" w:type="dxa"/>
            <w:shd w:val="clear" w:color="auto" w:fill="auto"/>
          </w:tcPr>
          <w:p w14:paraId="6E0B013B" w14:textId="062296EA"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Organização das Nações Unidas</w:t>
            </w:r>
          </w:p>
        </w:tc>
      </w:tr>
      <w:tr w:rsidR="00A94216" w:rsidRPr="00AB3051" w14:paraId="6FA5B594" w14:textId="77777777" w:rsidTr="00C85F09">
        <w:trPr>
          <w:trHeight w:val="340"/>
        </w:trPr>
        <w:tc>
          <w:tcPr>
            <w:tcW w:w="2335" w:type="dxa"/>
            <w:shd w:val="clear" w:color="auto" w:fill="auto"/>
          </w:tcPr>
          <w:p w14:paraId="3A7EA9B5" w14:textId="77777777"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QPR</w:t>
            </w:r>
          </w:p>
        </w:tc>
        <w:tc>
          <w:tcPr>
            <w:tcW w:w="6930" w:type="dxa"/>
            <w:shd w:val="clear" w:color="auto" w:fill="auto"/>
          </w:tcPr>
          <w:p w14:paraId="284163FD" w14:textId="6F566BE0"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Quadro da Política de Reassentamento</w:t>
            </w:r>
          </w:p>
        </w:tc>
      </w:tr>
      <w:tr w:rsidR="00A94216" w:rsidRPr="00AB3051" w14:paraId="7F7E3CA7" w14:textId="77777777" w:rsidTr="00C85F09">
        <w:trPr>
          <w:trHeight w:val="340"/>
        </w:trPr>
        <w:tc>
          <w:tcPr>
            <w:tcW w:w="2335" w:type="dxa"/>
            <w:shd w:val="clear" w:color="auto" w:fill="auto"/>
          </w:tcPr>
          <w:p w14:paraId="79F46852" w14:textId="069581F1"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PAR</w:t>
            </w:r>
          </w:p>
        </w:tc>
        <w:tc>
          <w:tcPr>
            <w:tcW w:w="6930" w:type="dxa"/>
            <w:shd w:val="clear" w:color="auto" w:fill="auto"/>
          </w:tcPr>
          <w:p w14:paraId="30531CA2" w14:textId="5FF95E5D" w:rsidR="00A94216" w:rsidRPr="00292532" w:rsidRDefault="00A94216" w:rsidP="00A94216">
            <w:pPr>
              <w:spacing w:before="0" w:after="0"/>
              <w:rPr>
                <w:rFonts w:asciiTheme="minorHAnsi" w:hAnsiTheme="minorHAnsi" w:cstheme="minorHAnsi"/>
                <w:lang w:val="pt-PT"/>
              </w:rPr>
            </w:pPr>
            <w:r w:rsidRPr="00292532">
              <w:rPr>
                <w:rFonts w:asciiTheme="minorHAnsi" w:hAnsiTheme="minorHAnsi" w:cstheme="minorHAnsi"/>
                <w:lang w:val="pt-PT"/>
              </w:rPr>
              <w:t xml:space="preserve">Plano de </w:t>
            </w:r>
            <w:proofErr w:type="spellStart"/>
            <w:r w:rsidRPr="00292532">
              <w:rPr>
                <w:rFonts w:asciiTheme="minorHAnsi" w:hAnsiTheme="minorHAnsi" w:cstheme="minorHAnsi"/>
                <w:lang w:val="pt-PT"/>
              </w:rPr>
              <w:t>Acção</w:t>
            </w:r>
            <w:proofErr w:type="spellEnd"/>
            <w:r w:rsidRPr="00292532">
              <w:rPr>
                <w:rFonts w:asciiTheme="minorHAnsi" w:hAnsiTheme="minorHAnsi" w:cstheme="minorHAnsi"/>
                <w:lang w:val="pt-PT"/>
              </w:rPr>
              <w:t xml:space="preserve"> de Reassentamento</w:t>
            </w:r>
          </w:p>
        </w:tc>
      </w:tr>
      <w:tr w:rsidR="00A94216" w:rsidRPr="00AB3051" w14:paraId="454E07CA" w14:textId="77777777" w:rsidTr="00C85F09">
        <w:trPr>
          <w:trHeight w:val="340"/>
        </w:trPr>
        <w:tc>
          <w:tcPr>
            <w:tcW w:w="2335" w:type="dxa"/>
            <w:shd w:val="clear" w:color="auto" w:fill="auto"/>
          </w:tcPr>
          <w:p w14:paraId="0B45399A" w14:textId="5E5AC757"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PCAS</w:t>
            </w:r>
          </w:p>
        </w:tc>
        <w:tc>
          <w:tcPr>
            <w:tcW w:w="6930" w:type="dxa"/>
            <w:shd w:val="clear" w:color="auto" w:fill="auto"/>
          </w:tcPr>
          <w:p w14:paraId="79BF91EC" w14:textId="06901105" w:rsidR="00A94216" w:rsidRPr="00292532" w:rsidRDefault="00A94216" w:rsidP="00A94216">
            <w:pPr>
              <w:spacing w:before="0" w:after="0"/>
              <w:rPr>
                <w:rFonts w:asciiTheme="minorHAnsi" w:hAnsiTheme="minorHAnsi" w:cstheme="minorHAnsi"/>
                <w:lang w:val="pt-PT"/>
              </w:rPr>
            </w:pPr>
            <w:r w:rsidRPr="00292532">
              <w:rPr>
                <w:rFonts w:asciiTheme="minorHAnsi" w:hAnsiTheme="minorHAnsi" w:cstheme="minorHAnsi"/>
                <w:lang w:val="pt-PT"/>
              </w:rPr>
              <w:t>Plano de Compromisso Ambiental e Social</w:t>
            </w:r>
          </w:p>
        </w:tc>
      </w:tr>
      <w:tr w:rsidR="00A94216" w:rsidRPr="00AB3051" w14:paraId="66F13C69" w14:textId="77777777" w:rsidTr="00C85F09">
        <w:trPr>
          <w:trHeight w:val="340"/>
        </w:trPr>
        <w:tc>
          <w:tcPr>
            <w:tcW w:w="2335" w:type="dxa"/>
            <w:shd w:val="clear" w:color="auto" w:fill="auto"/>
          </w:tcPr>
          <w:p w14:paraId="4AF5335F" w14:textId="67D387F9"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PEPI</w:t>
            </w:r>
          </w:p>
        </w:tc>
        <w:tc>
          <w:tcPr>
            <w:tcW w:w="6930" w:type="dxa"/>
            <w:shd w:val="clear" w:color="auto" w:fill="auto"/>
          </w:tcPr>
          <w:p w14:paraId="3BC09A6E" w14:textId="4E0AE518" w:rsidR="00A94216" w:rsidRPr="00292532" w:rsidRDefault="00A94216" w:rsidP="00A94216">
            <w:pPr>
              <w:spacing w:before="0" w:after="0"/>
              <w:rPr>
                <w:rFonts w:asciiTheme="minorHAnsi" w:hAnsiTheme="minorHAnsi" w:cstheme="minorHAnsi"/>
                <w:lang w:val="pt-PT"/>
              </w:rPr>
            </w:pPr>
            <w:r w:rsidRPr="00292532">
              <w:rPr>
                <w:rFonts w:asciiTheme="minorHAnsi" w:hAnsiTheme="minorHAnsi" w:cstheme="minorHAnsi"/>
                <w:lang w:val="pt-PT"/>
              </w:rPr>
              <w:t>Plano de Engajamento das Partes Interessadas</w:t>
            </w:r>
          </w:p>
        </w:tc>
      </w:tr>
      <w:tr w:rsidR="00A94216" w:rsidRPr="00AB3051" w14:paraId="1A8751B6" w14:textId="77777777" w:rsidTr="00C85F09">
        <w:trPr>
          <w:trHeight w:val="340"/>
        </w:trPr>
        <w:tc>
          <w:tcPr>
            <w:tcW w:w="2335" w:type="dxa"/>
            <w:shd w:val="clear" w:color="auto" w:fill="auto"/>
          </w:tcPr>
          <w:p w14:paraId="51B162E1" w14:textId="661DEEF7" w:rsidR="00A94216" w:rsidRPr="00292532" w:rsidRDefault="001978AF"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PGAS</w:t>
            </w:r>
          </w:p>
        </w:tc>
        <w:tc>
          <w:tcPr>
            <w:tcW w:w="6930" w:type="dxa"/>
            <w:shd w:val="clear" w:color="auto" w:fill="auto"/>
          </w:tcPr>
          <w:p w14:paraId="1D2B206A" w14:textId="77777777"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Plano de Gestão Ambiental e Social</w:t>
            </w:r>
          </w:p>
        </w:tc>
      </w:tr>
      <w:tr w:rsidR="00A94216" w:rsidRPr="00AB3051" w14:paraId="643D9AF6" w14:textId="77777777" w:rsidTr="00C85F09">
        <w:trPr>
          <w:trHeight w:val="340"/>
        </w:trPr>
        <w:tc>
          <w:tcPr>
            <w:tcW w:w="2335" w:type="dxa"/>
            <w:shd w:val="clear" w:color="auto" w:fill="auto"/>
          </w:tcPr>
          <w:p w14:paraId="2DA5F998" w14:textId="64C2A061"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PGMO</w:t>
            </w:r>
          </w:p>
        </w:tc>
        <w:tc>
          <w:tcPr>
            <w:tcW w:w="6930" w:type="dxa"/>
            <w:shd w:val="clear" w:color="auto" w:fill="auto"/>
          </w:tcPr>
          <w:p w14:paraId="5364FCA8" w14:textId="497A478E"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Procedimento de Gestão de mão-de-obra</w:t>
            </w:r>
          </w:p>
        </w:tc>
      </w:tr>
      <w:tr w:rsidR="00A94216" w:rsidRPr="00AB3051" w14:paraId="2BFD72C5" w14:textId="77777777" w:rsidTr="00C85F09">
        <w:trPr>
          <w:trHeight w:val="340"/>
        </w:trPr>
        <w:tc>
          <w:tcPr>
            <w:tcW w:w="2335" w:type="dxa"/>
            <w:shd w:val="clear" w:color="auto" w:fill="auto"/>
          </w:tcPr>
          <w:p w14:paraId="76E98EF8" w14:textId="70C3777D" w:rsidR="00A94216" w:rsidRPr="00292532" w:rsidRDefault="00A94216" w:rsidP="00A94216">
            <w:pPr>
              <w:spacing w:before="0" w:after="0"/>
              <w:rPr>
                <w:rFonts w:asciiTheme="minorHAnsi" w:eastAsia="Times New Roman" w:hAnsiTheme="minorHAnsi" w:cstheme="minorHAnsi"/>
                <w:b/>
                <w:bCs/>
                <w:color w:val="000000"/>
                <w:lang w:val="pt-PT"/>
              </w:rPr>
            </w:pPr>
            <w:r w:rsidRPr="00292532">
              <w:rPr>
                <w:rFonts w:asciiTheme="minorHAnsi" w:hAnsiTheme="minorHAnsi" w:cstheme="minorHAnsi"/>
                <w:b/>
                <w:bCs/>
                <w:lang w:val="pt-PT"/>
              </w:rPr>
              <w:t>PGPT</w:t>
            </w:r>
          </w:p>
        </w:tc>
        <w:tc>
          <w:tcPr>
            <w:tcW w:w="6930" w:type="dxa"/>
            <w:shd w:val="clear" w:color="auto" w:fill="auto"/>
          </w:tcPr>
          <w:p w14:paraId="791EC1CB" w14:textId="33CCBD62"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Procedimentos de Gestão de Património Cultural</w:t>
            </w:r>
          </w:p>
        </w:tc>
      </w:tr>
      <w:tr w:rsidR="00A94216" w:rsidRPr="00AB3051" w14:paraId="6B98DD45" w14:textId="77777777" w:rsidTr="00C85F09">
        <w:trPr>
          <w:trHeight w:val="340"/>
        </w:trPr>
        <w:tc>
          <w:tcPr>
            <w:tcW w:w="2335" w:type="dxa"/>
            <w:shd w:val="clear" w:color="auto" w:fill="auto"/>
          </w:tcPr>
          <w:p w14:paraId="5C6ED9A7" w14:textId="7CBE8FD8"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PGPP</w:t>
            </w:r>
          </w:p>
        </w:tc>
        <w:tc>
          <w:tcPr>
            <w:tcW w:w="6930" w:type="dxa"/>
            <w:shd w:val="clear" w:color="auto" w:fill="auto"/>
          </w:tcPr>
          <w:p w14:paraId="23A0D1AF" w14:textId="4BEF2A07"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Plano de Gestão e Prevenção da Poluição</w:t>
            </w:r>
          </w:p>
        </w:tc>
      </w:tr>
      <w:tr w:rsidR="00A94216" w:rsidRPr="00292532" w14:paraId="5ECDC701" w14:textId="77777777" w:rsidTr="00C85F09">
        <w:trPr>
          <w:trHeight w:val="340"/>
        </w:trPr>
        <w:tc>
          <w:tcPr>
            <w:tcW w:w="2335" w:type="dxa"/>
            <w:shd w:val="clear" w:color="auto" w:fill="auto"/>
          </w:tcPr>
          <w:p w14:paraId="21670BF6" w14:textId="77777777" w:rsidR="00A94216" w:rsidRPr="00292532" w:rsidRDefault="00A94216" w:rsidP="00A94216">
            <w:pPr>
              <w:spacing w:before="0" w:after="0"/>
              <w:rPr>
                <w:rFonts w:asciiTheme="minorHAnsi" w:eastAsia="Times New Roman" w:hAnsiTheme="minorHAnsi" w:cstheme="minorHAnsi"/>
                <w:b/>
                <w:color w:val="000000"/>
                <w:lang w:val="pt-PT"/>
              </w:rPr>
            </w:pPr>
            <w:proofErr w:type="spellStart"/>
            <w:r w:rsidRPr="00292532">
              <w:rPr>
                <w:rFonts w:asciiTheme="minorHAnsi" w:eastAsia="Times New Roman" w:hAnsiTheme="minorHAnsi" w:cstheme="minorHAnsi"/>
                <w:b/>
                <w:color w:val="000000"/>
                <w:lang w:val="pt-PT"/>
              </w:rPr>
              <w:t>PI&amp;A’s</w:t>
            </w:r>
            <w:proofErr w:type="spellEnd"/>
          </w:p>
        </w:tc>
        <w:tc>
          <w:tcPr>
            <w:tcW w:w="6930" w:type="dxa"/>
            <w:shd w:val="clear" w:color="auto" w:fill="auto"/>
          </w:tcPr>
          <w:p w14:paraId="0942B2B0" w14:textId="77777777"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 xml:space="preserve">Partes Interessadas e </w:t>
            </w:r>
            <w:proofErr w:type="spellStart"/>
            <w:r w:rsidRPr="00292532">
              <w:rPr>
                <w:rFonts w:asciiTheme="minorHAnsi" w:eastAsia="Times New Roman" w:hAnsiTheme="minorHAnsi" w:cstheme="minorHAnsi"/>
                <w:color w:val="000000"/>
                <w:lang w:val="pt-PT"/>
              </w:rPr>
              <w:t>Afectadas</w:t>
            </w:r>
            <w:proofErr w:type="spellEnd"/>
          </w:p>
        </w:tc>
      </w:tr>
      <w:tr w:rsidR="00A94216" w:rsidRPr="00AB3051" w14:paraId="257ABB42" w14:textId="77777777" w:rsidTr="00C85F09">
        <w:trPr>
          <w:trHeight w:val="340"/>
        </w:trPr>
        <w:tc>
          <w:tcPr>
            <w:tcW w:w="2335" w:type="dxa"/>
            <w:shd w:val="clear" w:color="auto" w:fill="auto"/>
          </w:tcPr>
          <w:p w14:paraId="4E6CFA64" w14:textId="4370049F"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PNGA</w:t>
            </w:r>
          </w:p>
        </w:tc>
        <w:tc>
          <w:tcPr>
            <w:tcW w:w="6930" w:type="dxa"/>
            <w:shd w:val="clear" w:color="auto" w:fill="auto"/>
          </w:tcPr>
          <w:p w14:paraId="45CEB175" w14:textId="0EBD32EC"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Programa Nacional de Gestão Ambiental</w:t>
            </w:r>
          </w:p>
        </w:tc>
      </w:tr>
      <w:tr w:rsidR="00A94216" w:rsidRPr="00AB3051" w14:paraId="1A5A9E5E" w14:textId="77777777" w:rsidTr="00C85F09">
        <w:trPr>
          <w:trHeight w:val="340"/>
        </w:trPr>
        <w:tc>
          <w:tcPr>
            <w:tcW w:w="2335" w:type="dxa"/>
            <w:shd w:val="clear" w:color="auto" w:fill="auto"/>
          </w:tcPr>
          <w:p w14:paraId="382ECE28" w14:textId="32943F1F"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PRONASAR</w:t>
            </w:r>
          </w:p>
        </w:tc>
        <w:tc>
          <w:tcPr>
            <w:tcW w:w="6930" w:type="dxa"/>
            <w:shd w:val="clear" w:color="auto" w:fill="auto"/>
          </w:tcPr>
          <w:p w14:paraId="76A7B1BD" w14:textId="0D59ED49"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 xml:space="preserve">Programa Nacional de Abastecimento de Água e Saneamento Rural  </w:t>
            </w:r>
          </w:p>
        </w:tc>
      </w:tr>
      <w:tr w:rsidR="00A94216" w:rsidRPr="00AB3051" w14:paraId="61C8ACB5" w14:textId="77777777" w:rsidTr="00C85F09">
        <w:trPr>
          <w:trHeight w:val="340"/>
        </w:trPr>
        <w:tc>
          <w:tcPr>
            <w:tcW w:w="2335" w:type="dxa"/>
            <w:shd w:val="clear" w:color="auto" w:fill="auto"/>
          </w:tcPr>
          <w:p w14:paraId="4F315B71" w14:textId="13027935"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PSSC</w:t>
            </w:r>
          </w:p>
        </w:tc>
        <w:tc>
          <w:tcPr>
            <w:tcW w:w="6930" w:type="dxa"/>
            <w:shd w:val="clear" w:color="auto" w:fill="auto"/>
          </w:tcPr>
          <w:p w14:paraId="338DCB9A" w14:textId="5C840A65"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Plano de Saúde e Segurança Comunitária</w:t>
            </w:r>
          </w:p>
        </w:tc>
      </w:tr>
      <w:tr w:rsidR="00A94216" w:rsidRPr="00AB3051" w14:paraId="010AFF35" w14:textId="77777777" w:rsidTr="00C85F09">
        <w:trPr>
          <w:trHeight w:val="340"/>
        </w:trPr>
        <w:tc>
          <w:tcPr>
            <w:tcW w:w="2335" w:type="dxa"/>
            <w:shd w:val="clear" w:color="auto" w:fill="auto"/>
          </w:tcPr>
          <w:p w14:paraId="49C5E566" w14:textId="51218C79"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PSST</w:t>
            </w:r>
          </w:p>
        </w:tc>
        <w:tc>
          <w:tcPr>
            <w:tcW w:w="6930" w:type="dxa"/>
            <w:shd w:val="clear" w:color="auto" w:fill="auto"/>
          </w:tcPr>
          <w:p w14:paraId="47FE4788" w14:textId="522548F7"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hAnsiTheme="minorHAnsi" w:cstheme="minorHAnsi"/>
                <w:lang w:val="pt-PT"/>
              </w:rPr>
              <w:t>Plano de Saúde e Segurança do Trabalhador</w:t>
            </w:r>
          </w:p>
        </w:tc>
      </w:tr>
      <w:tr w:rsidR="00467FC4" w:rsidRPr="00AB3051" w14:paraId="64887BDD" w14:textId="77777777" w:rsidTr="00C85F09">
        <w:trPr>
          <w:trHeight w:val="340"/>
        </w:trPr>
        <w:tc>
          <w:tcPr>
            <w:tcW w:w="2335" w:type="dxa"/>
            <w:shd w:val="clear" w:color="auto" w:fill="auto"/>
          </w:tcPr>
          <w:p w14:paraId="40003548" w14:textId="6F6CF2F2" w:rsidR="00467FC4" w:rsidRPr="00292532" w:rsidRDefault="00467FC4"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SARS-</w:t>
            </w:r>
            <w:proofErr w:type="spellStart"/>
            <w:r w:rsidRPr="00292532">
              <w:rPr>
                <w:rFonts w:asciiTheme="minorHAnsi" w:eastAsia="Times New Roman" w:hAnsiTheme="minorHAnsi" w:cstheme="minorHAnsi"/>
                <w:b/>
                <w:color w:val="000000"/>
                <w:lang w:val="pt-PT"/>
              </w:rPr>
              <w:t>CoV</w:t>
            </w:r>
            <w:proofErr w:type="spellEnd"/>
          </w:p>
        </w:tc>
        <w:tc>
          <w:tcPr>
            <w:tcW w:w="6930" w:type="dxa"/>
            <w:shd w:val="clear" w:color="auto" w:fill="auto"/>
          </w:tcPr>
          <w:p w14:paraId="6308D2B6" w14:textId="647DE472" w:rsidR="00467FC4" w:rsidRPr="00292532" w:rsidRDefault="00467FC4"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Síndrome Respiratória Aguda Grave (</w:t>
            </w:r>
            <w:proofErr w:type="spellStart"/>
            <w:r w:rsidRPr="004500AE">
              <w:rPr>
                <w:rFonts w:asciiTheme="minorHAnsi" w:eastAsia="Times New Roman" w:hAnsiTheme="minorHAnsi" w:cstheme="minorHAnsi"/>
                <w:i/>
                <w:iCs/>
                <w:color w:val="000000"/>
                <w:lang w:val="pt-PT"/>
              </w:rPr>
              <w:t>Severe</w:t>
            </w:r>
            <w:proofErr w:type="spellEnd"/>
            <w:r w:rsidRPr="004500AE">
              <w:rPr>
                <w:rFonts w:asciiTheme="minorHAnsi" w:eastAsia="Times New Roman" w:hAnsiTheme="minorHAnsi" w:cstheme="minorHAnsi"/>
                <w:i/>
                <w:iCs/>
                <w:color w:val="000000"/>
                <w:lang w:val="pt-PT"/>
              </w:rPr>
              <w:t xml:space="preserve"> </w:t>
            </w:r>
            <w:proofErr w:type="spellStart"/>
            <w:r w:rsidRPr="004500AE">
              <w:rPr>
                <w:rFonts w:asciiTheme="minorHAnsi" w:eastAsia="Times New Roman" w:hAnsiTheme="minorHAnsi" w:cstheme="minorHAnsi"/>
                <w:i/>
                <w:iCs/>
                <w:color w:val="000000"/>
                <w:lang w:val="pt-PT"/>
              </w:rPr>
              <w:t>Acute</w:t>
            </w:r>
            <w:proofErr w:type="spellEnd"/>
            <w:r w:rsidRPr="004500AE">
              <w:rPr>
                <w:rFonts w:asciiTheme="minorHAnsi" w:eastAsia="Times New Roman" w:hAnsiTheme="minorHAnsi" w:cstheme="minorHAnsi"/>
                <w:i/>
                <w:iCs/>
                <w:color w:val="000000"/>
                <w:lang w:val="pt-PT"/>
              </w:rPr>
              <w:t xml:space="preserve"> </w:t>
            </w:r>
            <w:proofErr w:type="spellStart"/>
            <w:r w:rsidRPr="004500AE">
              <w:rPr>
                <w:rFonts w:asciiTheme="minorHAnsi" w:eastAsia="Times New Roman" w:hAnsiTheme="minorHAnsi" w:cstheme="minorHAnsi"/>
                <w:i/>
                <w:iCs/>
                <w:color w:val="000000"/>
                <w:lang w:val="pt-PT"/>
              </w:rPr>
              <w:t>Respiratory</w:t>
            </w:r>
            <w:proofErr w:type="spellEnd"/>
            <w:r w:rsidRPr="004500AE">
              <w:rPr>
                <w:rFonts w:asciiTheme="minorHAnsi" w:eastAsia="Times New Roman" w:hAnsiTheme="minorHAnsi" w:cstheme="minorHAnsi"/>
                <w:i/>
                <w:iCs/>
                <w:color w:val="000000"/>
                <w:lang w:val="pt-PT"/>
              </w:rPr>
              <w:t xml:space="preserve"> </w:t>
            </w:r>
            <w:proofErr w:type="spellStart"/>
            <w:r w:rsidRPr="004500AE">
              <w:rPr>
                <w:rFonts w:asciiTheme="minorHAnsi" w:eastAsia="Times New Roman" w:hAnsiTheme="minorHAnsi" w:cstheme="minorHAnsi"/>
                <w:i/>
                <w:iCs/>
                <w:color w:val="000000"/>
                <w:lang w:val="pt-PT"/>
              </w:rPr>
              <w:t>Syndrome</w:t>
            </w:r>
            <w:proofErr w:type="spellEnd"/>
            <w:r w:rsidRPr="004500AE">
              <w:rPr>
                <w:rFonts w:asciiTheme="minorHAnsi" w:eastAsia="Times New Roman" w:hAnsiTheme="minorHAnsi" w:cstheme="minorHAnsi"/>
                <w:i/>
                <w:iCs/>
                <w:color w:val="000000"/>
                <w:lang w:val="pt-PT"/>
              </w:rPr>
              <w:t xml:space="preserve"> </w:t>
            </w:r>
            <w:proofErr w:type="spellStart"/>
            <w:r w:rsidRPr="004500AE">
              <w:rPr>
                <w:rFonts w:asciiTheme="minorHAnsi" w:eastAsia="Times New Roman" w:hAnsiTheme="minorHAnsi" w:cstheme="minorHAnsi"/>
                <w:i/>
                <w:iCs/>
                <w:color w:val="000000"/>
                <w:lang w:val="pt-PT"/>
              </w:rPr>
              <w:t>Coronavirus</w:t>
            </w:r>
            <w:proofErr w:type="spellEnd"/>
            <w:r w:rsidRPr="00292532">
              <w:rPr>
                <w:rFonts w:asciiTheme="minorHAnsi" w:eastAsia="Times New Roman" w:hAnsiTheme="minorHAnsi" w:cstheme="minorHAnsi"/>
                <w:color w:val="000000"/>
                <w:lang w:val="pt-PT"/>
              </w:rPr>
              <w:t>)</w:t>
            </w:r>
          </w:p>
        </w:tc>
      </w:tr>
      <w:tr w:rsidR="00467FC4" w:rsidRPr="00292532" w14:paraId="1A6DC653" w14:textId="77777777" w:rsidTr="00C85F09">
        <w:trPr>
          <w:trHeight w:val="340"/>
        </w:trPr>
        <w:tc>
          <w:tcPr>
            <w:tcW w:w="2335" w:type="dxa"/>
            <w:shd w:val="clear" w:color="auto" w:fill="auto"/>
          </w:tcPr>
          <w:p w14:paraId="1F101DAC" w14:textId="67F85E48" w:rsidR="00467FC4" w:rsidRPr="00292532" w:rsidRDefault="00467FC4"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SSO</w:t>
            </w:r>
          </w:p>
        </w:tc>
        <w:tc>
          <w:tcPr>
            <w:tcW w:w="6930" w:type="dxa"/>
            <w:shd w:val="clear" w:color="auto" w:fill="auto"/>
          </w:tcPr>
          <w:p w14:paraId="484F0489" w14:textId="166FFCA6" w:rsidR="00467FC4" w:rsidRPr="00292532" w:rsidRDefault="00467FC4"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Saúde e Segurança Ocupacional</w:t>
            </w:r>
          </w:p>
        </w:tc>
      </w:tr>
      <w:tr w:rsidR="00A94216" w:rsidRPr="00292532" w14:paraId="28B2D8A0" w14:textId="77777777" w:rsidTr="00C85F09">
        <w:trPr>
          <w:trHeight w:val="340"/>
        </w:trPr>
        <w:tc>
          <w:tcPr>
            <w:tcW w:w="2335" w:type="dxa"/>
            <w:shd w:val="clear" w:color="auto" w:fill="auto"/>
          </w:tcPr>
          <w:p w14:paraId="17584CA1" w14:textId="77777777" w:rsidR="00A94216" w:rsidRPr="00292532" w:rsidRDefault="00A94216" w:rsidP="00A94216">
            <w:pPr>
              <w:spacing w:before="0" w:after="0"/>
              <w:rPr>
                <w:rFonts w:asciiTheme="minorHAnsi" w:eastAsia="Times New Roman" w:hAnsiTheme="minorHAnsi" w:cstheme="minorHAnsi"/>
                <w:b/>
                <w:color w:val="000000"/>
                <w:lang w:val="pt-PT"/>
              </w:rPr>
            </w:pPr>
            <w:proofErr w:type="spellStart"/>
            <w:r w:rsidRPr="00292532">
              <w:rPr>
                <w:rFonts w:asciiTheme="minorHAnsi" w:eastAsia="Times New Roman" w:hAnsiTheme="minorHAnsi" w:cstheme="minorHAnsi"/>
                <w:b/>
                <w:color w:val="000000"/>
                <w:lang w:val="pt-PT"/>
              </w:rPr>
              <w:t>TdR</w:t>
            </w:r>
            <w:proofErr w:type="spellEnd"/>
          </w:p>
        </w:tc>
        <w:tc>
          <w:tcPr>
            <w:tcW w:w="6930" w:type="dxa"/>
            <w:shd w:val="clear" w:color="auto" w:fill="auto"/>
          </w:tcPr>
          <w:p w14:paraId="3180791B" w14:textId="77777777"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Termos de Referência</w:t>
            </w:r>
          </w:p>
        </w:tc>
      </w:tr>
      <w:tr w:rsidR="00A94216" w:rsidRPr="00AB3051" w14:paraId="0242BB86" w14:textId="77777777" w:rsidTr="00C85F09">
        <w:trPr>
          <w:trHeight w:val="340"/>
        </w:trPr>
        <w:tc>
          <w:tcPr>
            <w:tcW w:w="2335" w:type="dxa"/>
            <w:shd w:val="clear" w:color="auto" w:fill="auto"/>
          </w:tcPr>
          <w:p w14:paraId="702D4777" w14:textId="77777777"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REIAS</w:t>
            </w:r>
          </w:p>
        </w:tc>
        <w:tc>
          <w:tcPr>
            <w:tcW w:w="6930" w:type="dxa"/>
            <w:shd w:val="clear" w:color="auto" w:fill="auto"/>
          </w:tcPr>
          <w:p w14:paraId="141B9C2A" w14:textId="77777777"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Relatório do Estudo de Impacto Ambiental e Social</w:t>
            </w:r>
          </w:p>
        </w:tc>
      </w:tr>
      <w:tr w:rsidR="00A94216" w:rsidRPr="00292532" w14:paraId="3966C587" w14:textId="77777777" w:rsidTr="00C85F09">
        <w:trPr>
          <w:trHeight w:val="298"/>
        </w:trPr>
        <w:tc>
          <w:tcPr>
            <w:tcW w:w="2335" w:type="dxa"/>
            <w:shd w:val="clear" w:color="auto" w:fill="auto"/>
          </w:tcPr>
          <w:p w14:paraId="71224122" w14:textId="7BB3EB48"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SIDA</w:t>
            </w:r>
          </w:p>
        </w:tc>
        <w:tc>
          <w:tcPr>
            <w:tcW w:w="6930" w:type="dxa"/>
            <w:shd w:val="clear" w:color="auto" w:fill="auto"/>
          </w:tcPr>
          <w:p w14:paraId="4A299C87" w14:textId="77777777"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Síndroma de Imunodeficiência Adquirida</w:t>
            </w:r>
          </w:p>
        </w:tc>
      </w:tr>
      <w:tr w:rsidR="00A94216" w:rsidRPr="00292532" w14:paraId="4E81F35B" w14:textId="77777777" w:rsidTr="00C85F09">
        <w:trPr>
          <w:trHeight w:val="334"/>
        </w:trPr>
        <w:tc>
          <w:tcPr>
            <w:tcW w:w="2335" w:type="dxa"/>
            <w:shd w:val="clear" w:color="auto" w:fill="auto"/>
          </w:tcPr>
          <w:p w14:paraId="346C521D" w14:textId="52D47F19"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SSA</w:t>
            </w:r>
          </w:p>
        </w:tc>
        <w:tc>
          <w:tcPr>
            <w:tcW w:w="6930" w:type="dxa"/>
            <w:shd w:val="clear" w:color="auto" w:fill="auto"/>
          </w:tcPr>
          <w:p w14:paraId="3A970404" w14:textId="3D1CBA46"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Saúde e Segurança Ocupacional</w:t>
            </w:r>
          </w:p>
        </w:tc>
      </w:tr>
      <w:tr w:rsidR="00A94216" w:rsidRPr="00292532" w14:paraId="07FAAA48" w14:textId="77777777" w:rsidTr="00C85F09">
        <w:trPr>
          <w:trHeight w:val="334"/>
        </w:trPr>
        <w:tc>
          <w:tcPr>
            <w:tcW w:w="2335" w:type="dxa"/>
            <w:shd w:val="clear" w:color="auto" w:fill="auto"/>
          </w:tcPr>
          <w:p w14:paraId="0F4DB7EB" w14:textId="32E4E541"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UTP</w:t>
            </w:r>
          </w:p>
        </w:tc>
        <w:tc>
          <w:tcPr>
            <w:tcW w:w="6930" w:type="dxa"/>
            <w:shd w:val="clear" w:color="auto" w:fill="auto"/>
          </w:tcPr>
          <w:p w14:paraId="339576C8" w14:textId="1C8D651B"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Unidade Técnica Provincial</w:t>
            </w:r>
          </w:p>
        </w:tc>
      </w:tr>
      <w:tr w:rsidR="00A94216" w:rsidRPr="00AB3051" w14:paraId="23A87529" w14:textId="77777777" w:rsidTr="00C85F09">
        <w:trPr>
          <w:trHeight w:val="334"/>
        </w:trPr>
        <w:tc>
          <w:tcPr>
            <w:tcW w:w="2335" w:type="dxa"/>
            <w:shd w:val="clear" w:color="auto" w:fill="auto"/>
          </w:tcPr>
          <w:p w14:paraId="0FEFC8E1" w14:textId="13996E10" w:rsidR="00A94216" w:rsidRPr="00292532" w:rsidRDefault="00A94216" w:rsidP="00A94216">
            <w:pPr>
              <w:spacing w:before="0" w:after="0"/>
              <w:rPr>
                <w:rFonts w:asciiTheme="minorHAnsi" w:eastAsia="Times New Roman" w:hAnsiTheme="minorHAnsi" w:cstheme="minorHAnsi"/>
                <w:b/>
                <w:color w:val="000000"/>
                <w:lang w:val="pt-PT"/>
              </w:rPr>
            </w:pPr>
            <w:r w:rsidRPr="00292532">
              <w:rPr>
                <w:rFonts w:asciiTheme="minorHAnsi" w:eastAsia="Times New Roman" w:hAnsiTheme="minorHAnsi" w:cstheme="minorHAnsi"/>
                <w:b/>
                <w:color w:val="000000"/>
                <w:lang w:val="pt-PT"/>
              </w:rPr>
              <w:t>UIP</w:t>
            </w:r>
          </w:p>
        </w:tc>
        <w:tc>
          <w:tcPr>
            <w:tcW w:w="6930" w:type="dxa"/>
            <w:shd w:val="clear" w:color="auto" w:fill="auto"/>
          </w:tcPr>
          <w:p w14:paraId="7CFA269E" w14:textId="17ABD950" w:rsidR="00A94216" w:rsidRPr="00292532" w:rsidRDefault="00A94216" w:rsidP="00A94216">
            <w:pPr>
              <w:spacing w:before="0" w:after="0"/>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 xml:space="preserve">Unidade de Implementação do </w:t>
            </w:r>
            <w:proofErr w:type="spellStart"/>
            <w:r w:rsidRPr="00292532">
              <w:rPr>
                <w:rFonts w:asciiTheme="minorHAnsi" w:eastAsia="Times New Roman" w:hAnsiTheme="minorHAnsi" w:cstheme="minorHAnsi"/>
                <w:color w:val="000000"/>
                <w:lang w:val="pt-PT"/>
              </w:rPr>
              <w:t>Projecto</w:t>
            </w:r>
            <w:proofErr w:type="spellEnd"/>
          </w:p>
        </w:tc>
      </w:tr>
      <w:tr w:rsidR="00A94216" w:rsidRPr="00AB3051" w14:paraId="1AA0FC97" w14:textId="77777777" w:rsidTr="00C85F09">
        <w:trPr>
          <w:trHeight w:val="340"/>
        </w:trPr>
        <w:tc>
          <w:tcPr>
            <w:tcW w:w="2335" w:type="dxa"/>
            <w:shd w:val="clear" w:color="auto" w:fill="auto"/>
          </w:tcPr>
          <w:p w14:paraId="36B4A7C2" w14:textId="2565798F" w:rsidR="00A94216" w:rsidRPr="00292532" w:rsidRDefault="00A94216" w:rsidP="00A94216">
            <w:pPr>
              <w:spacing w:before="0" w:after="0"/>
              <w:rPr>
                <w:rFonts w:asciiTheme="minorHAnsi" w:eastAsia="Times New Roman" w:hAnsiTheme="minorHAnsi" w:cstheme="minorHAnsi"/>
                <w:b/>
                <w:color w:val="000000"/>
                <w:lang w:val="pt-PT"/>
              </w:rPr>
            </w:pPr>
          </w:p>
        </w:tc>
        <w:tc>
          <w:tcPr>
            <w:tcW w:w="6930" w:type="dxa"/>
            <w:shd w:val="clear" w:color="auto" w:fill="auto"/>
          </w:tcPr>
          <w:p w14:paraId="4B947D8A" w14:textId="7877CEF9" w:rsidR="00A94216" w:rsidRPr="00292532" w:rsidRDefault="00A94216" w:rsidP="00A94216">
            <w:pPr>
              <w:spacing w:before="0" w:after="0"/>
              <w:rPr>
                <w:rFonts w:asciiTheme="minorHAnsi" w:eastAsia="Times New Roman" w:hAnsiTheme="minorHAnsi" w:cstheme="minorHAnsi"/>
                <w:color w:val="000000"/>
                <w:lang w:val="pt-PT"/>
              </w:rPr>
            </w:pPr>
          </w:p>
        </w:tc>
      </w:tr>
    </w:tbl>
    <w:p w14:paraId="1DBAF4AA" w14:textId="77777777" w:rsidR="00C01674" w:rsidRPr="00292532" w:rsidRDefault="00C01674" w:rsidP="000D7B05">
      <w:pPr>
        <w:pStyle w:val="Title"/>
        <w:sectPr w:rsidR="00C01674" w:rsidRPr="00292532" w:rsidSect="00314DBE">
          <w:pgSz w:w="11906" w:h="16838"/>
          <w:pgMar w:top="1417" w:right="1701" w:bottom="1417" w:left="1701" w:header="708" w:footer="708" w:gutter="0"/>
          <w:pgBorders w:offsetFrom="page">
            <w:top w:val="single" w:sz="4" w:space="24" w:color="FFFFFF" w:themeColor="background1"/>
            <w:bottom w:val="single" w:sz="4" w:space="24" w:color="FFFFFF" w:themeColor="background1"/>
            <w:right w:val="single" w:sz="4" w:space="24" w:color="FFFFFF" w:themeColor="background1"/>
          </w:pgBorders>
          <w:pgNumType w:start="1"/>
          <w:cols w:space="708"/>
          <w:docGrid w:linePitch="360"/>
        </w:sectPr>
      </w:pPr>
    </w:p>
    <w:p w14:paraId="12ED3802" w14:textId="5925E47A" w:rsidR="00C67D53" w:rsidRPr="00292532" w:rsidRDefault="00C67D53" w:rsidP="000D7B05">
      <w:pPr>
        <w:pStyle w:val="Title"/>
      </w:pPr>
      <w:r w:rsidRPr="00292532">
        <w:lastRenderedPageBreak/>
        <w:t>Glossário</w:t>
      </w:r>
    </w:p>
    <w:p w14:paraId="5C95F691" w14:textId="38F81419" w:rsidR="00467FC4" w:rsidRPr="00292532" w:rsidRDefault="00467FC4" w:rsidP="0055112F">
      <w:pPr>
        <w:rPr>
          <w:rFonts w:cs="Arial"/>
          <w:b/>
          <w:bCs/>
          <w:color w:val="000000" w:themeColor="text1"/>
          <w:lang w:val="pt-PT"/>
        </w:rPr>
      </w:pPr>
      <w:r w:rsidRPr="00292532">
        <w:rPr>
          <w:rFonts w:cs="Arial"/>
          <w:b/>
          <w:bCs/>
          <w:color w:val="000000" w:themeColor="text1"/>
          <w:lang w:val="pt-PT"/>
        </w:rPr>
        <w:t xml:space="preserve">Área de </w:t>
      </w:r>
      <w:r w:rsidR="00A260CA">
        <w:rPr>
          <w:rFonts w:cs="Arial"/>
          <w:b/>
          <w:bCs/>
          <w:color w:val="000000" w:themeColor="text1"/>
          <w:lang w:val="pt-PT"/>
        </w:rPr>
        <w:t>I</w:t>
      </w:r>
      <w:r w:rsidRPr="00292532">
        <w:rPr>
          <w:rFonts w:cs="Arial"/>
          <w:b/>
          <w:bCs/>
          <w:color w:val="000000" w:themeColor="text1"/>
          <w:lang w:val="pt-PT"/>
        </w:rPr>
        <w:t xml:space="preserve">solamento - </w:t>
      </w:r>
      <w:r w:rsidRPr="00292532">
        <w:rPr>
          <w:rFonts w:cs="Arial"/>
          <w:color w:val="000000" w:themeColor="text1"/>
          <w:lang w:val="pt-PT"/>
        </w:rPr>
        <w:t xml:space="preserve">Local </w:t>
      </w:r>
      <w:r w:rsidR="00A260CA">
        <w:rPr>
          <w:rFonts w:cs="Arial"/>
          <w:color w:val="000000" w:themeColor="text1"/>
          <w:lang w:val="pt-PT"/>
        </w:rPr>
        <w:t xml:space="preserve">restrito que </w:t>
      </w:r>
      <w:r w:rsidR="00E14ED4">
        <w:rPr>
          <w:rFonts w:cs="Arial"/>
          <w:color w:val="000000" w:themeColor="text1"/>
          <w:lang w:val="pt-PT"/>
        </w:rPr>
        <w:t xml:space="preserve">visa </w:t>
      </w:r>
      <w:r w:rsidR="00E14ED4" w:rsidRPr="00292532">
        <w:rPr>
          <w:rFonts w:cs="Arial"/>
          <w:color w:val="000000" w:themeColor="text1"/>
          <w:lang w:val="pt-PT"/>
        </w:rPr>
        <w:t>evitar</w:t>
      </w:r>
      <w:r w:rsidRPr="00292532">
        <w:rPr>
          <w:rFonts w:cs="Arial"/>
          <w:color w:val="000000" w:themeColor="text1"/>
          <w:lang w:val="pt-PT"/>
        </w:rPr>
        <w:t xml:space="preserve"> ou restringir o contacto </w:t>
      </w:r>
      <w:proofErr w:type="spellStart"/>
      <w:r w:rsidRPr="00292532">
        <w:rPr>
          <w:rFonts w:cs="Arial"/>
          <w:color w:val="000000" w:themeColor="text1"/>
          <w:lang w:val="pt-PT"/>
        </w:rPr>
        <w:t>directo</w:t>
      </w:r>
      <w:proofErr w:type="spellEnd"/>
      <w:r w:rsidRPr="00292532">
        <w:rPr>
          <w:rFonts w:cs="Arial"/>
          <w:color w:val="000000" w:themeColor="text1"/>
          <w:lang w:val="pt-PT"/>
        </w:rPr>
        <w:t xml:space="preserve"> dos trabalhadores com o trabalhador com sintomas/caso suspeito, evitando uma eventual propagação da </w:t>
      </w:r>
      <w:r w:rsidR="00A260CA">
        <w:rPr>
          <w:rFonts w:cs="Arial"/>
          <w:color w:val="000000" w:themeColor="text1"/>
          <w:lang w:val="pt-PT"/>
        </w:rPr>
        <w:t>COVID 19</w:t>
      </w:r>
      <w:r w:rsidR="00A260CA" w:rsidRPr="00292532">
        <w:rPr>
          <w:rFonts w:cs="Arial"/>
          <w:color w:val="000000" w:themeColor="text1"/>
          <w:lang w:val="pt-PT"/>
        </w:rPr>
        <w:t xml:space="preserve"> </w:t>
      </w:r>
      <w:r w:rsidRPr="00292532">
        <w:rPr>
          <w:rFonts w:cs="Arial"/>
          <w:color w:val="000000" w:themeColor="text1"/>
          <w:lang w:val="pt-PT"/>
        </w:rPr>
        <w:t>no local de trabalho (local em que o trabalhador com sintomas permanece até ser validado (ou não) pelos órgãos de saúde).</w:t>
      </w:r>
    </w:p>
    <w:p w14:paraId="4F9EA21F" w14:textId="75D8C6F0" w:rsidR="0055112F" w:rsidRPr="00292532" w:rsidRDefault="0055112F" w:rsidP="0055112F">
      <w:pPr>
        <w:rPr>
          <w:rFonts w:cs="Arial"/>
          <w:color w:val="000000" w:themeColor="text1"/>
          <w:lang w:val="pt-PT"/>
        </w:rPr>
      </w:pPr>
      <w:r w:rsidRPr="00292532">
        <w:rPr>
          <w:rFonts w:cs="Arial"/>
          <w:b/>
          <w:bCs/>
          <w:color w:val="000000" w:themeColor="text1"/>
          <w:lang w:val="pt-PT"/>
        </w:rPr>
        <w:t>Avaliação de Impacto Ambiental e Social (AIAS)</w:t>
      </w:r>
      <w:r w:rsidRPr="00292532">
        <w:rPr>
          <w:rFonts w:cs="Arial"/>
          <w:color w:val="000000" w:themeColor="text1"/>
          <w:lang w:val="pt-PT"/>
        </w:rPr>
        <w:t xml:space="preserve"> </w:t>
      </w:r>
      <w:r w:rsidRPr="00292532">
        <w:rPr>
          <w:rFonts w:cs="Arial"/>
          <w:b/>
          <w:bCs/>
          <w:color w:val="000000" w:themeColor="text1"/>
          <w:lang w:val="pt-PT"/>
        </w:rPr>
        <w:t>Regional</w:t>
      </w:r>
      <w:r w:rsidRPr="00292532">
        <w:rPr>
          <w:rFonts w:cs="Arial"/>
          <w:color w:val="000000" w:themeColor="text1"/>
          <w:lang w:val="pt-PT"/>
        </w:rPr>
        <w:t xml:space="preserve"> - analisa os riscos e impactos ambientais e sociais, e assuntos associados a uma estratégia, política, plano ou programa específicos, ou a uma série de </w:t>
      </w:r>
      <w:proofErr w:type="spellStart"/>
      <w:r w:rsidR="008C3A00" w:rsidRPr="00292532">
        <w:rPr>
          <w:rFonts w:cs="Arial"/>
          <w:color w:val="000000" w:themeColor="text1"/>
          <w:lang w:val="pt-PT"/>
        </w:rPr>
        <w:t>projecto</w:t>
      </w:r>
      <w:r w:rsidRPr="00292532">
        <w:rPr>
          <w:rFonts w:cs="Arial"/>
          <w:color w:val="000000" w:themeColor="text1"/>
          <w:lang w:val="pt-PT"/>
        </w:rPr>
        <w:t>s</w:t>
      </w:r>
      <w:proofErr w:type="spellEnd"/>
      <w:r w:rsidRPr="00292532">
        <w:rPr>
          <w:rFonts w:cs="Arial"/>
          <w:color w:val="000000" w:themeColor="text1"/>
          <w:lang w:val="pt-PT"/>
        </w:rPr>
        <w:t xml:space="preserve"> para uma região específica (por exemplo, uma área urbana, uma bacia hidrográfica ou uma zona costeira); avalia e compara os impactos do </w:t>
      </w:r>
      <w:proofErr w:type="spellStart"/>
      <w:r w:rsidR="008C3A00" w:rsidRPr="00292532">
        <w:rPr>
          <w:rFonts w:cs="Arial"/>
          <w:color w:val="000000" w:themeColor="text1"/>
          <w:lang w:val="pt-PT"/>
        </w:rPr>
        <w:t>projecto</w:t>
      </w:r>
      <w:proofErr w:type="spellEnd"/>
      <w:r w:rsidRPr="00292532">
        <w:rPr>
          <w:rFonts w:cs="Arial"/>
          <w:color w:val="000000" w:themeColor="text1"/>
          <w:lang w:val="pt-PT"/>
        </w:rPr>
        <w:t xml:space="preserve"> com as alternativas; avalia </w:t>
      </w:r>
      <w:proofErr w:type="spellStart"/>
      <w:r w:rsidRPr="00292532">
        <w:rPr>
          <w:rFonts w:cs="Arial"/>
          <w:color w:val="000000" w:themeColor="text1"/>
          <w:lang w:val="pt-PT"/>
        </w:rPr>
        <w:t>aspectos</w:t>
      </w:r>
      <w:proofErr w:type="spellEnd"/>
      <w:r w:rsidRPr="00292532">
        <w:rPr>
          <w:rFonts w:cs="Arial"/>
          <w:color w:val="000000" w:themeColor="text1"/>
          <w:lang w:val="pt-PT"/>
        </w:rPr>
        <w:t xml:space="preserve"> jurídicos e institucionais dos riscos, impactos e assuntos em causa; e recomenda medidas para fortalecer a gestão ambiental e social na região. </w:t>
      </w:r>
    </w:p>
    <w:p w14:paraId="13BE653E" w14:textId="27425375" w:rsidR="0055112F" w:rsidRPr="00292532" w:rsidRDefault="0055112F" w:rsidP="0055112F">
      <w:pPr>
        <w:rPr>
          <w:rFonts w:cs="Arial"/>
          <w:color w:val="000000" w:themeColor="text1"/>
          <w:lang w:val="pt-PT"/>
        </w:rPr>
      </w:pPr>
      <w:r w:rsidRPr="00292532">
        <w:rPr>
          <w:rFonts w:cs="Arial"/>
          <w:b/>
          <w:bCs/>
          <w:color w:val="000000" w:themeColor="text1"/>
          <w:lang w:val="pt-PT"/>
        </w:rPr>
        <w:t>A</w:t>
      </w:r>
      <w:r w:rsidR="005E221B">
        <w:rPr>
          <w:rFonts w:cs="Arial"/>
          <w:b/>
          <w:bCs/>
          <w:color w:val="000000" w:themeColor="text1"/>
          <w:lang w:val="pt-PT"/>
        </w:rPr>
        <w:t xml:space="preserve">valiação de </w:t>
      </w:r>
      <w:r w:rsidRPr="00292532">
        <w:rPr>
          <w:rFonts w:cs="Arial"/>
          <w:b/>
          <w:bCs/>
          <w:color w:val="000000" w:themeColor="text1"/>
          <w:lang w:val="pt-PT"/>
        </w:rPr>
        <w:t>I</w:t>
      </w:r>
      <w:r w:rsidR="005E221B">
        <w:rPr>
          <w:rFonts w:cs="Arial"/>
          <w:b/>
          <w:bCs/>
          <w:color w:val="000000" w:themeColor="text1"/>
          <w:lang w:val="pt-PT"/>
        </w:rPr>
        <w:t xml:space="preserve">mpacto </w:t>
      </w:r>
      <w:r w:rsidRPr="00292532">
        <w:rPr>
          <w:rFonts w:cs="Arial"/>
          <w:b/>
          <w:bCs/>
          <w:color w:val="000000" w:themeColor="text1"/>
          <w:lang w:val="pt-PT"/>
        </w:rPr>
        <w:t>A</w:t>
      </w:r>
      <w:r w:rsidR="005E221B">
        <w:rPr>
          <w:rFonts w:cs="Arial"/>
          <w:b/>
          <w:bCs/>
          <w:color w:val="000000" w:themeColor="text1"/>
          <w:lang w:val="pt-PT"/>
        </w:rPr>
        <w:t xml:space="preserve">mbiental e </w:t>
      </w:r>
      <w:r w:rsidRPr="00292532">
        <w:rPr>
          <w:rFonts w:cs="Arial"/>
          <w:b/>
          <w:bCs/>
          <w:color w:val="000000" w:themeColor="text1"/>
          <w:lang w:val="pt-PT"/>
        </w:rPr>
        <w:t>S</w:t>
      </w:r>
      <w:r w:rsidR="005E221B">
        <w:rPr>
          <w:rFonts w:cs="Arial"/>
          <w:b/>
          <w:bCs/>
          <w:color w:val="000000" w:themeColor="text1"/>
          <w:lang w:val="pt-PT"/>
        </w:rPr>
        <w:t>ocial (AIAS)</w:t>
      </w:r>
      <w:r w:rsidRPr="00292532">
        <w:rPr>
          <w:rFonts w:cs="Arial"/>
          <w:b/>
          <w:bCs/>
          <w:color w:val="000000" w:themeColor="text1"/>
          <w:lang w:val="pt-PT"/>
        </w:rPr>
        <w:t xml:space="preserve"> Se</w:t>
      </w:r>
      <w:r w:rsidR="004B2086" w:rsidRPr="00292532">
        <w:rPr>
          <w:rFonts w:cs="Arial"/>
          <w:b/>
          <w:bCs/>
          <w:color w:val="000000" w:themeColor="text1"/>
          <w:lang w:val="pt-PT"/>
        </w:rPr>
        <w:t>c</w:t>
      </w:r>
      <w:r w:rsidRPr="00292532">
        <w:rPr>
          <w:rFonts w:cs="Arial"/>
          <w:b/>
          <w:bCs/>
          <w:color w:val="000000" w:themeColor="text1"/>
          <w:lang w:val="pt-PT"/>
        </w:rPr>
        <w:t>torial</w:t>
      </w:r>
      <w:r w:rsidRPr="00292532">
        <w:rPr>
          <w:rFonts w:cs="Arial"/>
          <w:color w:val="000000" w:themeColor="text1"/>
          <w:lang w:val="pt-PT"/>
        </w:rPr>
        <w:t xml:space="preserve">- examina os riscos e impactos ambientais e sociais, e os assuntos associados a um setor específico numa região ou país; avalia e compara os impactos com as alternativas; avalia os </w:t>
      </w:r>
      <w:proofErr w:type="spellStart"/>
      <w:r w:rsidRPr="00292532">
        <w:rPr>
          <w:rFonts w:cs="Arial"/>
          <w:color w:val="000000" w:themeColor="text1"/>
          <w:lang w:val="pt-PT"/>
        </w:rPr>
        <w:t>aspectos</w:t>
      </w:r>
      <w:proofErr w:type="spellEnd"/>
      <w:r w:rsidRPr="00292532">
        <w:rPr>
          <w:rFonts w:cs="Arial"/>
          <w:color w:val="000000" w:themeColor="text1"/>
          <w:lang w:val="pt-PT"/>
        </w:rPr>
        <w:t xml:space="preserve"> jurídicos e institucionais dos riscos e impactos em causa; e recomenda medidas para fortalecer a gestão ambiental e social na região. </w:t>
      </w:r>
    </w:p>
    <w:p w14:paraId="2458D206" w14:textId="07FD2C9A" w:rsidR="0055112F" w:rsidRPr="00292532" w:rsidRDefault="0055112F" w:rsidP="0055112F">
      <w:pPr>
        <w:rPr>
          <w:rFonts w:cs="Arial"/>
          <w:b/>
          <w:bCs/>
          <w:lang w:val="pt-PT"/>
        </w:rPr>
      </w:pPr>
      <w:r w:rsidRPr="00292532">
        <w:rPr>
          <w:rFonts w:cs="Arial"/>
          <w:b/>
          <w:bCs/>
          <w:color w:val="000000" w:themeColor="text1"/>
          <w:lang w:val="pt-PT"/>
        </w:rPr>
        <w:t>Análise Social e de Conflitos</w:t>
      </w:r>
      <w:r w:rsidRPr="00292532">
        <w:rPr>
          <w:rFonts w:cs="Arial"/>
          <w:color w:val="000000" w:themeColor="text1"/>
          <w:lang w:val="pt-PT"/>
        </w:rPr>
        <w:t xml:space="preserve"> - avalia em que medida o </w:t>
      </w:r>
      <w:proofErr w:type="spellStart"/>
      <w:r w:rsidR="008C3A00" w:rsidRPr="00292532">
        <w:rPr>
          <w:rFonts w:cs="Arial"/>
          <w:color w:val="000000" w:themeColor="text1"/>
          <w:lang w:val="pt-PT"/>
        </w:rPr>
        <w:t>projecto</w:t>
      </w:r>
      <w:proofErr w:type="spellEnd"/>
      <w:r w:rsidRPr="00292532">
        <w:rPr>
          <w:rFonts w:cs="Arial"/>
          <w:color w:val="000000" w:themeColor="text1"/>
          <w:lang w:val="pt-PT"/>
        </w:rPr>
        <w:t xml:space="preserve"> poderia (a) exacerbar as tensões e desigualdades existentes na sociedade (tanto nas comunidades afetadas pelo </w:t>
      </w:r>
      <w:proofErr w:type="spellStart"/>
      <w:r w:rsidR="008C3A00" w:rsidRPr="00292532">
        <w:rPr>
          <w:rFonts w:cs="Arial"/>
          <w:color w:val="000000" w:themeColor="text1"/>
          <w:lang w:val="pt-PT"/>
        </w:rPr>
        <w:t>projecto</w:t>
      </w:r>
      <w:proofErr w:type="spellEnd"/>
      <w:r w:rsidRPr="00292532">
        <w:rPr>
          <w:rFonts w:cs="Arial"/>
          <w:color w:val="000000" w:themeColor="text1"/>
          <w:lang w:val="pt-PT"/>
        </w:rPr>
        <w:t xml:space="preserve"> como entre essas comunidades e terceiros); (b) ter um efeito negativo na estabilidade e na segurança humana; (c) ser negativamente afetado por tensões, conflitos e instabilidades existentes, especialmente em situações de guerra, insurreição e conflito civil.</w:t>
      </w:r>
    </w:p>
    <w:p w14:paraId="45928A9A" w14:textId="04669AE3" w:rsidR="004A4614" w:rsidRPr="00292532" w:rsidRDefault="0055112F" w:rsidP="0055112F">
      <w:pPr>
        <w:rPr>
          <w:rFonts w:cs="Arial"/>
          <w:color w:val="000000" w:themeColor="text1"/>
          <w:lang w:val="pt-PT"/>
        </w:rPr>
      </w:pPr>
      <w:r w:rsidRPr="00292532">
        <w:rPr>
          <w:rFonts w:cs="Arial"/>
          <w:b/>
          <w:bCs/>
          <w:color w:val="000000" w:themeColor="text1"/>
          <w:lang w:val="pt-PT"/>
        </w:rPr>
        <w:t>Auditoria Ambiental e Social</w:t>
      </w:r>
      <w:r w:rsidRPr="00292532">
        <w:rPr>
          <w:rFonts w:cs="Arial"/>
          <w:color w:val="000000" w:themeColor="text1"/>
          <w:lang w:val="pt-PT"/>
        </w:rPr>
        <w:t xml:space="preserve"> – é </w:t>
      </w:r>
      <w:r w:rsidR="004A4614">
        <w:rPr>
          <w:rFonts w:cs="Arial"/>
          <w:color w:val="000000" w:themeColor="text1"/>
          <w:lang w:val="pt-PT"/>
        </w:rPr>
        <w:t xml:space="preserve">uma ferramenta de gestão </w:t>
      </w:r>
      <w:r w:rsidRPr="00292532">
        <w:rPr>
          <w:rFonts w:cs="Arial"/>
          <w:color w:val="000000" w:themeColor="text1"/>
          <w:lang w:val="pt-PT"/>
        </w:rPr>
        <w:t xml:space="preserve">utilizada para </w:t>
      </w:r>
      <w:r w:rsidR="004A4614">
        <w:rPr>
          <w:rFonts w:cs="Arial"/>
          <w:color w:val="000000" w:themeColor="text1"/>
          <w:lang w:val="pt-PT"/>
        </w:rPr>
        <w:t xml:space="preserve">garantir a melhoria do desempenho da gestão ambiental e social de uma determinada </w:t>
      </w:r>
      <w:proofErr w:type="spellStart"/>
      <w:r w:rsidR="004A4614">
        <w:rPr>
          <w:rFonts w:cs="Arial"/>
          <w:color w:val="000000" w:themeColor="text1"/>
          <w:lang w:val="pt-PT"/>
        </w:rPr>
        <w:t>actividade</w:t>
      </w:r>
      <w:proofErr w:type="spellEnd"/>
      <w:r w:rsidR="004A4614">
        <w:rPr>
          <w:rFonts w:cs="Arial"/>
          <w:color w:val="000000" w:themeColor="text1"/>
          <w:lang w:val="pt-PT"/>
        </w:rPr>
        <w:t xml:space="preserve">, com vista a </w:t>
      </w:r>
      <w:proofErr w:type="spellStart"/>
      <w:r w:rsidR="004A4614">
        <w:rPr>
          <w:rFonts w:cs="Arial"/>
          <w:color w:val="000000" w:themeColor="text1"/>
          <w:lang w:val="pt-PT"/>
        </w:rPr>
        <w:t>evtitar</w:t>
      </w:r>
      <w:proofErr w:type="spellEnd"/>
      <w:r w:rsidR="004A4614">
        <w:rPr>
          <w:rFonts w:cs="Arial"/>
          <w:color w:val="000000" w:themeColor="text1"/>
          <w:lang w:val="pt-PT"/>
        </w:rPr>
        <w:t xml:space="preserve"> danos ao meio ambiente e identificação das não conformidades através das normas da aplicação das normas de </w:t>
      </w:r>
      <w:proofErr w:type="spellStart"/>
      <w:r w:rsidR="004A4614">
        <w:rPr>
          <w:rFonts w:cs="Arial"/>
          <w:color w:val="000000" w:themeColor="text1"/>
          <w:lang w:val="pt-PT"/>
        </w:rPr>
        <w:t>protecção</w:t>
      </w:r>
      <w:proofErr w:type="spellEnd"/>
      <w:r w:rsidR="004A4614">
        <w:rPr>
          <w:rFonts w:cs="Arial"/>
          <w:color w:val="000000" w:themeColor="text1"/>
          <w:lang w:val="pt-PT"/>
        </w:rPr>
        <w:t xml:space="preserve"> ambiental e social</w:t>
      </w:r>
      <w:r w:rsidRPr="00292532">
        <w:rPr>
          <w:rFonts w:cs="Arial"/>
          <w:color w:val="000000" w:themeColor="text1"/>
          <w:lang w:val="pt-PT"/>
        </w:rPr>
        <w:t>. A auditoria identifica e justifica medidas e ações de mitigação das áreas de preocupação, estima os custos das medidas e ações, e recomenda um calendário para a sua execução.</w:t>
      </w:r>
    </w:p>
    <w:p w14:paraId="0A3EB72C" w14:textId="0737D5D6" w:rsidR="0055112F" w:rsidRPr="00292532" w:rsidRDefault="0055112F" w:rsidP="0055112F">
      <w:pPr>
        <w:rPr>
          <w:rFonts w:cs="Arial"/>
          <w:color w:val="000000" w:themeColor="text1"/>
          <w:lang w:val="pt-PT"/>
        </w:rPr>
      </w:pPr>
      <w:r w:rsidRPr="00292532">
        <w:rPr>
          <w:rFonts w:cs="Arial"/>
          <w:b/>
          <w:bCs/>
          <w:color w:val="000000" w:themeColor="text1"/>
          <w:lang w:val="pt-PT"/>
        </w:rPr>
        <w:t>Avaliação ambiental e social estratégica (</w:t>
      </w:r>
      <w:r w:rsidR="00C85F09" w:rsidRPr="00292532">
        <w:rPr>
          <w:rFonts w:cs="Arial"/>
          <w:b/>
          <w:bCs/>
          <w:color w:val="000000" w:themeColor="text1"/>
          <w:lang w:val="pt-PT"/>
        </w:rPr>
        <w:t>AASE)</w:t>
      </w:r>
      <w:r w:rsidR="00C85F09" w:rsidRPr="00292532">
        <w:rPr>
          <w:rFonts w:cs="Arial"/>
          <w:color w:val="000000" w:themeColor="text1"/>
          <w:lang w:val="pt-PT"/>
        </w:rPr>
        <w:t xml:space="preserve"> -</w:t>
      </w:r>
      <w:r w:rsidRPr="00292532">
        <w:rPr>
          <w:rFonts w:cs="Arial"/>
          <w:color w:val="000000" w:themeColor="text1"/>
          <w:lang w:val="pt-PT"/>
        </w:rPr>
        <w:t xml:space="preserve"> consiste numa análise sistemática de riscos e impactos ambientais e sociais, e assuntos associados a uma política, plano ou programa, normalmente no nível nacional, mas também em áreas menores. As AASE geralmente não são avaliações específicas para um determinado local. São, portanto, preparadas em conjunto com estudos específicos do </w:t>
      </w:r>
      <w:proofErr w:type="spellStart"/>
      <w:r w:rsidR="008C3A00" w:rsidRPr="00292532">
        <w:rPr>
          <w:rFonts w:cs="Arial"/>
          <w:color w:val="000000" w:themeColor="text1"/>
          <w:lang w:val="pt-PT"/>
        </w:rPr>
        <w:t>projecto</w:t>
      </w:r>
      <w:proofErr w:type="spellEnd"/>
      <w:r w:rsidRPr="00292532">
        <w:rPr>
          <w:rFonts w:cs="Arial"/>
          <w:color w:val="000000" w:themeColor="text1"/>
          <w:lang w:val="pt-PT"/>
        </w:rPr>
        <w:t xml:space="preserve"> e do local que avaliam os riscos e impactos do </w:t>
      </w:r>
      <w:proofErr w:type="spellStart"/>
      <w:r w:rsidR="008C3A00" w:rsidRPr="00292532">
        <w:rPr>
          <w:rFonts w:cs="Arial"/>
          <w:color w:val="000000" w:themeColor="text1"/>
          <w:lang w:val="pt-PT"/>
        </w:rPr>
        <w:t>projecto</w:t>
      </w:r>
      <w:proofErr w:type="spellEnd"/>
      <w:r w:rsidRPr="00292532">
        <w:rPr>
          <w:rFonts w:cs="Arial"/>
          <w:color w:val="000000" w:themeColor="text1"/>
          <w:lang w:val="pt-PT"/>
        </w:rPr>
        <w:t>.</w:t>
      </w:r>
    </w:p>
    <w:p w14:paraId="703AB770" w14:textId="04131C7B" w:rsidR="0055112F" w:rsidRPr="00292532" w:rsidRDefault="0055112F" w:rsidP="0055112F">
      <w:pPr>
        <w:rPr>
          <w:rFonts w:cs="Arial"/>
          <w:color w:val="000000" w:themeColor="text1"/>
          <w:lang w:val="pt-PT"/>
        </w:rPr>
      </w:pPr>
      <w:r w:rsidRPr="00292532">
        <w:rPr>
          <w:rFonts w:cs="Arial"/>
          <w:b/>
          <w:bCs/>
          <w:color w:val="000000" w:themeColor="text1"/>
          <w:lang w:val="pt-PT"/>
        </w:rPr>
        <w:t>Avaliação de Impacto Ambiental e Social (AIAS)</w:t>
      </w:r>
      <w:r w:rsidRPr="00292532">
        <w:rPr>
          <w:rFonts w:cs="Arial"/>
          <w:color w:val="000000" w:themeColor="text1"/>
          <w:lang w:val="pt-PT"/>
        </w:rPr>
        <w:t xml:space="preserve"> </w:t>
      </w:r>
      <w:r w:rsidR="00C85F09" w:rsidRPr="00292532">
        <w:rPr>
          <w:rFonts w:cs="Arial"/>
          <w:color w:val="000000" w:themeColor="text1"/>
          <w:lang w:val="pt-PT"/>
        </w:rPr>
        <w:t>- serve</w:t>
      </w:r>
      <w:r w:rsidRPr="00292532">
        <w:rPr>
          <w:rFonts w:cs="Arial"/>
          <w:color w:val="000000" w:themeColor="text1"/>
          <w:lang w:val="pt-PT"/>
        </w:rPr>
        <w:t xml:space="preserve"> para identificar e avaliar os possíveis impactos ambientais e sociais de um </w:t>
      </w:r>
      <w:proofErr w:type="spellStart"/>
      <w:r w:rsidR="008C3A00" w:rsidRPr="00292532">
        <w:rPr>
          <w:rFonts w:cs="Arial"/>
          <w:color w:val="000000" w:themeColor="text1"/>
          <w:lang w:val="pt-PT"/>
        </w:rPr>
        <w:t>projecto</w:t>
      </w:r>
      <w:proofErr w:type="spellEnd"/>
      <w:r w:rsidRPr="00292532">
        <w:rPr>
          <w:rFonts w:cs="Arial"/>
          <w:color w:val="000000" w:themeColor="text1"/>
          <w:lang w:val="pt-PT"/>
        </w:rPr>
        <w:t xml:space="preserve"> proposto, avaliar alternativas e formular medidas apropriadas de mitigação, gestão e monitorização.</w:t>
      </w:r>
    </w:p>
    <w:p w14:paraId="552A84D9" w14:textId="481B210E" w:rsidR="0055112F" w:rsidRPr="00292532" w:rsidRDefault="0055112F" w:rsidP="0055112F">
      <w:pPr>
        <w:rPr>
          <w:rFonts w:cs="Arial"/>
          <w:color w:val="000000" w:themeColor="text1"/>
          <w:lang w:val="pt-PT"/>
        </w:rPr>
      </w:pPr>
      <w:r w:rsidRPr="00292532">
        <w:rPr>
          <w:rFonts w:cs="Arial"/>
          <w:b/>
          <w:bCs/>
          <w:color w:val="000000" w:themeColor="text1"/>
          <w:lang w:val="pt-PT"/>
        </w:rPr>
        <w:t>Avaliação de Impactos Cumulativos</w:t>
      </w:r>
      <w:r w:rsidRPr="00292532">
        <w:rPr>
          <w:rFonts w:cs="Arial"/>
          <w:color w:val="000000" w:themeColor="text1"/>
          <w:lang w:val="pt-PT"/>
        </w:rPr>
        <w:t xml:space="preserve"> - é um instrumento para considerar os impactos cumulativos do </w:t>
      </w:r>
      <w:proofErr w:type="spellStart"/>
      <w:r w:rsidR="008C3A00" w:rsidRPr="00292532">
        <w:rPr>
          <w:rFonts w:cs="Arial"/>
          <w:color w:val="000000" w:themeColor="text1"/>
          <w:lang w:val="pt-PT"/>
        </w:rPr>
        <w:t>projecto</w:t>
      </w:r>
      <w:proofErr w:type="spellEnd"/>
      <w:r w:rsidRPr="00292532">
        <w:rPr>
          <w:rFonts w:cs="Arial"/>
          <w:color w:val="000000" w:themeColor="text1"/>
          <w:lang w:val="pt-PT"/>
        </w:rPr>
        <w:t xml:space="preserve"> em combinação com impactos de outros desenvolvimentos relevantes passados, presentes e razoavelmente previsíveis, bem como atividades não planejadas, mas previsíveis, que tenham sido possibilitadas pelo </w:t>
      </w:r>
      <w:proofErr w:type="spellStart"/>
      <w:r w:rsidR="008C3A00" w:rsidRPr="00292532">
        <w:rPr>
          <w:rFonts w:cs="Arial"/>
          <w:color w:val="000000" w:themeColor="text1"/>
          <w:lang w:val="pt-PT"/>
        </w:rPr>
        <w:t>projecto</w:t>
      </w:r>
      <w:proofErr w:type="spellEnd"/>
      <w:r w:rsidRPr="00292532">
        <w:rPr>
          <w:rFonts w:cs="Arial"/>
          <w:color w:val="000000" w:themeColor="text1"/>
          <w:lang w:val="pt-PT"/>
        </w:rPr>
        <w:t xml:space="preserve"> e que possam ocorrer mais tarde ou em local diferente.</w:t>
      </w:r>
    </w:p>
    <w:p w14:paraId="608397F8" w14:textId="53D00069" w:rsidR="0055112F" w:rsidRPr="00292532" w:rsidRDefault="0055112F" w:rsidP="0055112F">
      <w:pPr>
        <w:rPr>
          <w:rFonts w:cs="Arial"/>
          <w:color w:val="000000" w:themeColor="text1"/>
          <w:lang w:val="pt-PT"/>
        </w:rPr>
      </w:pPr>
      <w:r w:rsidRPr="00292532">
        <w:rPr>
          <w:rFonts w:cs="Arial"/>
          <w:b/>
          <w:bCs/>
          <w:color w:val="000000" w:themeColor="text1"/>
          <w:lang w:val="pt-PT"/>
        </w:rPr>
        <w:t>Avaliação de Perigos ou Riscos</w:t>
      </w:r>
      <w:r w:rsidRPr="00292532">
        <w:rPr>
          <w:rFonts w:cs="Arial"/>
          <w:color w:val="000000" w:themeColor="text1"/>
          <w:lang w:val="pt-PT"/>
        </w:rPr>
        <w:t xml:space="preserve"> - é um instrumento para identificar, analisar e controlar os perigos associados à presença de materiais e condições perigosas no local do </w:t>
      </w:r>
      <w:proofErr w:type="spellStart"/>
      <w:r w:rsidR="008C3A00" w:rsidRPr="00292532">
        <w:rPr>
          <w:rFonts w:cs="Arial"/>
          <w:color w:val="000000" w:themeColor="text1"/>
          <w:lang w:val="pt-PT"/>
        </w:rPr>
        <w:t>projecto</w:t>
      </w:r>
      <w:proofErr w:type="spellEnd"/>
      <w:r w:rsidRPr="00292532">
        <w:rPr>
          <w:rFonts w:cs="Arial"/>
          <w:color w:val="000000" w:themeColor="text1"/>
          <w:lang w:val="pt-PT"/>
        </w:rPr>
        <w:t xml:space="preserve">. </w:t>
      </w:r>
    </w:p>
    <w:p w14:paraId="07217917" w14:textId="4F936372" w:rsidR="00467FC4" w:rsidRPr="00292532" w:rsidRDefault="00467FC4" w:rsidP="0055112F">
      <w:pPr>
        <w:rPr>
          <w:rFonts w:cs="Arial"/>
          <w:b/>
          <w:bCs/>
          <w:color w:val="000000" w:themeColor="text1"/>
          <w:lang w:val="pt-PT"/>
        </w:rPr>
      </w:pPr>
      <w:r w:rsidRPr="00292532">
        <w:rPr>
          <w:rFonts w:cs="Arial"/>
          <w:b/>
          <w:bCs/>
          <w:color w:val="000000" w:themeColor="text1"/>
          <w:lang w:val="pt-PT"/>
        </w:rPr>
        <w:lastRenderedPageBreak/>
        <w:t xml:space="preserve">Caso confirmado - </w:t>
      </w:r>
      <w:r w:rsidRPr="00292532">
        <w:rPr>
          <w:rFonts w:cs="Arial"/>
          <w:color w:val="000000" w:themeColor="text1"/>
          <w:lang w:val="pt-PT"/>
        </w:rPr>
        <w:t xml:space="preserve">Individuo testado e com resultado laboratorial que confirma estar </w:t>
      </w:r>
      <w:proofErr w:type="spellStart"/>
      <w:r w:rsidRPr="00292532">
        <w:rPr>
          <w:rFonts w:cs="Arial"/>
          <w:color w:val="000000" w:themeColor="text1"/>
          <w:lang w:val="pt-PT"/>
        </w:rPr>
        <w:t>infectado</w:t>
      </w:r>
      <w:proofErr w:type="spellEnd"/>
      <w:r w:rsidRPr="00292532">
        <w:rPr>
          <w:rFonts w:cs="Arial"/>
          <w:color w:val="000000" w:themeColor="text1"/>
          <w:lang w:val="pt-PT"/>
        </w:rPr>
        <w:t xml:space="preserve"> pelo COVID-19, independentemente de ter ou não sinais e sintomas clínicos da COVID-19, [MISAU, 2020, p</w:t>
      </w:r>
      <w:r w:rsidR="00F956D4" w:rsidRPr="00292532">
        <w:rPr>
          <w:rFonts w:cs="Arial"/>
          <w:color w:val="000000" w:themeColor="text1"/>
          <w:lang w:val="pt-PT"/>
        </w:rPr>
        <w:t>á</w:t>
      </w:r>
      <w:r w:rsidRPr="00292532">
        <w:rPr>
          <w:rFonts w:cs="Arial"/>
          <w:color w:val="000000" w:themeColor="text1"/>
          <w:lang w:val="pt-PT"/>
        </w:rPr>
        <w:t>g. 8].</w:t>
      </w:r>
    </w:p>
    <w:p w14:paraId="61D15F0C" w14:textId="208E1A52" w:rsidR="00467FC4" w:rsidRPr="00292532" w:rsidRDefault="00467FC4" w:rsidP="00C67D53">
      <w:pPr>
        <w:rPr>
          <w:rFonts w:cs="Arial"/>
          <w:lang w:val="pt-PT"/>
        </w:rPr>
      </w:pPr>
      <w:r w:rsidRPr="00292532">
        <w:rPr>
          <w:rFonts w:cs="Arial"/>
          <w:b/>
          <w:bCs/>
          <w:lang w:val="pt-PT"/>
        </w:rPr>
        <w:t xml:space="preserve">Caso não confirmado - </w:t>
      </w:r>
      <w:r w:rsidRPr="00292532">
        <w:rPr>
          <w:rFonts w:cs="Arial"/>
          <w:lang w:val="pt-PT"/>
        </w:rPr>
        <w:t xml:space="preserve">Individuo testado e com resultado laboratorial que confirma não estar </w:t>
      </w:r>
      <w:proofErr w:type="spellStart"/>
      <w:r w:rsidRPr="00292532">
        <w:rPr>
          <w:rFonts w:cs="Arial"/>
          <w:lang w:val="pt-PT"/>
        </w:rPr>
        <w:t>infectado</w:t>
      </w:r>
      <w:proofErr w:type="spellEnd"/>
      <w:r w:rsidRPr="00292532">
        <w:rPr>
          <w:rFonts w:cs="Arial"/>
          <w:lang w:val="pt-PT"/>
        </w:rPr>
        <w:t xml:space="preserve"> pela COVID-19</w:t>
      </w:r>
    </w:p>
    <w:p w14:paraId="04DAA09B" w14:textId="7F184AFE" w:rsidR="00ED6D9A" w:rsidRPr="00292532" w:rsidRDefault="00ED6D9A" w:rsidP="00C67D53">
      <w:pPr>
        <w:rPr>
          <w:rFonts w:cs="Arial"/>
          <w:b/>
          <w:bCs/>
          <w:lang w:val="pt-PT"/>
        </w:rPr>
      </w:pPr>
      <w:r w:rsidRPr="00292532">
        <w:rPr>
          <w:rFonts w:cs="Arial"/>
          <w:b/>
          <w:bCs/>
          <w:lang w:val="pt-PT"/>
        </w:rPr>
        <w:t xml:space="preserve">Caso recuperado - </w:t>
      </w:r>
      <w:r w:rsidRPr="00292532">
        <w:rPr>
          <w:rFonts w:cs="Arial"/>
          <w:lang w:val="pt-PT"/>
        </w:rPr>
        <w:t>Pessoa anteriormente declarada positiva para COVID-19, e que está declarada livre da COVID-19 através dos resultados fornecidos pela autoridade de saúde</w:t>
      </w:r>
    </w:p>
    <w:p w14:paraId="06948E37" w14:textId="0939AE26" w:rsidR="00467FC4" w:rsidRPr="00292532" w:rsidRDefault="00467FC4" w:rsidP="00C67D53">
      <w:pPr>
        <w:rPr>
          <w:rFonts w:cs="Arial"/>
          <w:lang w:val="pt-PT"/>
        </w:rPr>
      </w:pPr>
      <w:r w:rsidRPr="00292532">
        <w:rPr>
          <w:rFonts w:cs="Arial"/>
          <w:b/>
          <w:bCs/>
          <w:lang w:val="pt-PT"/>
        </w:rPr>
        <w:t xml:space="preserve">Caso suspeito - </w:t>
      </w:r>
      <w:r w:rsidRPr="00292532">
        <w:rPr>
          <w:rFonts w:cs="Arial"/>
          <w:lang w:val="pt-PT"/>
        </w:rPr>
        <w:t>Indivíduo que apresenta sintomas semelhantes da COVID-19 (tosse, dificuldade para respirar, febre) ou que constitua contacto próximo em situação de alto risco de exposição ainda dentro de 14 dias após exposição</w:t>
      </w:r>
    </w:p>
    <w:p w14:paraId="45333550" w14:textId="1059A51B" w:rsidR="00467FC4" w:rsidRPr="00292532" w:rsidRDefault="00467FC4" w:rsidP="00C67D53">
      <w:pPr>
        <w:rPr>
          <w:rFonts w:cs="Arial"/>
          <w:lang w:val="pt-PT"/>
        </w:rPr>
      </w:pPr>
      <w:r w:rsidRPr="00292532">
        <w:rPr>
          <w:rFonts w:cs="Arial"/>
          <w:b/>
          <w:bCs/>
          <w:lang w:val="pt-PT"/>
        </w:rPr>
        <w:t xml:space="preserve">Contacto próximo - </w:t>
      </w:r>
      <w:r w:rsidR="00ED6D9A" w:rsidRPr="00292532">
        <w:rPr>
          <w:rFonts w:cs="Arial"/>
          <w:lang w:val="pt-PT"/>
        </w:rPr>
        <w:t>Indivíduo que tenha estado exposto ou em contacto físico com um caso confirmado [MISAU 2020, p</w:t>
      </w:r>
      <w:r w:rsidR="00F956D4" w:rsidRPr="00292532">
        <w:rPr>
          <w:rFonts w:cs="Arial"/>
          <w:lang w:val="pt-PT"/>
        </w:rPr>
        <w:t>á</w:t>
      </w:r>
      <w:r w:rsidR="00ED6D9A" w:rsidRPr="00292532">
        <w:rPr>
          <w:rFonts w:cs="Arial"/>
          <w:lang w:val="pt-PT"/>
        </w:rPr>
        <w:t>g. 8</w:t>
      </w:r>
    </w:p>
    <w:p w14:paraId="634B8BEC" w14:textId="5789F037" w:rsidR="00C67D53" w:rsidRPr="00292532" w:rsidRDefault="00C67D53" w:rsidP="00C67D53">
      <w:pPr>
        <w:rPr>
          <w:rFonts w:cs="Arial"/>
          <w:lang w:val="pt-PT"/>
        </w:rPr>
      </w:pPr>
      <w:r w:rsidRPr="00292532">
        <w:rPr>
          <w:rFonts w:cs="Arial"/>
          <w:b/>
          <w:bCs/>
          <w:lang w:val="pt-PT"/>
        </w:rPr>
        <w:t>Descarga de efluentes</w:t>
      </w:r>
      <w:r w:rsidRPr="00292532">
        <w:rPr>
          <w:rFonts w:cs="Arial"/>
          <w:lang w:val="pt-PT"/>
        </w:rPr>
        <w:t xml:space="preserve"> – é o despejo de efluentes industriais, </w:t>
      </w:r>
      <w:r w:rsidR="00FD7D7E" w:rsidRPr="00292532">
        <w:rPr>
          <w:rFonts w:cs="Arial"/>
          <w:lang w:val="pt-PT"/>
        </w:rPr>
        <w:t>águas</w:t>
      </w:r>
      <w:r w:rsidRPr="00292532">
        <w:rPr>
          <w:rFonts w:cs="Arial"/>
          <w:lang w:val="pt-PT"/>
        </w:rPr>
        <w:t xml:space="preserve"> residuais </w:t>
      </w:r>
      <w:r w:rsidR="00FD7D7E" w:rsidRPr="00292532">
        <w:rPr>
          <w:rFonts w:cs="Arial"/>
          <w:lang w:val="pt-PT"/>
        </w:rPr>
        <w:t>doméstic</w:t>
      </w:r>
      <w:r w:rsidR="004B2086" w:rsidRPr="00292532">
        <w:rPr>
          <w:rFonts w:cs="Arial"/>
          <w:lang w:val="pt-PT"/>
        </w:rPr>
        <w:t>a</w:t>
      </w:r>
      <w:r w:rsidR="00FD7D7E" w:rsidRPr="00292532">
        <w:rPr>
          <w:rFonts w:cs="Arial"/>
          <w:lang w:val="pt-PT"/>
        </w:rPr>
        <w:t>s</w:t>
      </w:r>
      <w:r w:rsidRPr="00292532">
        <w:rPr>
          <w:rFonts w:cs="Arial"/>
          <w:lang w:val="pt-PT"/>
        </w:rPr>
        <w:t xml:space="preserve"> a partir de </w:t>
      </w:r>
      <w:proofErr w:type="spellStart"/>
      <w:r w:rsidRPr="00292532">
        <w:rPr>
          <w:rFonts w:cs="Arial"/>
          <w:lang w:val="pt-PT"/>
        </w:rPr>
        <w:t>colectores</w:t>
      </w:r>
      <w:proofErr w:type="spellEnd"/>
      <w:r w:rsidRPr="00292532">
        <w:rPr>
          <w:rFonts w:cs="Arial"/>
          <w:lang w:val="pt-PT"/>
        </w:rPr>
        <w:t xml:space="preserve"> </w:t>
      </w:r>
      <w:r w:rsidR="00FD7D7E" w:rsidRPr="00292532">
        <w:rPr>
          <w:rFonts w:cs="Arial"/>
          <w:lang w:val="pt-PT"/>
        </w:rPr>
        <w:t>públicos</w:t>
      </w:r>
      <w:r w:rsidRPr="00292532">
        <w:rPr>
          <w:rFonts w:cs="Arial"/>
          <w:lang w:val="pt-PT"/>
        </w:rPr>
        <w:t>, licenciados ou não, sem qualquer tratamento, no meio hídrico.</w:t>
      </w:r>
    </w:p>
    <w:p w14:paraId="120ACEE4" w14:textId="389229DA" w:rsidR="00ED6D9A" w:rsidRPr="00292532" w:rsidRDefault="00ED6D9A" w:rsidP="00C67D53">
      <w:pPr>
        <w:rPr>
          <w:rFonts w:cs="Arial"/>
          <w:b/>
          <w:bCs/>
          <w:lang w:val="pt-PT"/>
        </w:rPr>
      </w:pPr>
      <w:proofErr w:type="spellStart"/>
      <w:r w:rsidRPr="00292532">
        <w:rPr>
          <w:rFonts w:cs="Arial"/>
          <w:b/>
          <w:bCs/>
          <w:lang w:val="pt-PT"/>
        </w:rPr>
        <w:t>Desinfecção</w:t>
      </w:r>
      <w:proofErr w:type="spellEnd"/>
      <w:r w:rsidRPr="00292532">
        <w:rPr>
          <w:rFonts w:cs="Arial"/>
          <w:b/>
          <w:bCs/>
          <w:lang w:val="pt-PT"/>
        </w:rPr>
        <w:t xml:space="preserve"> - </w:t>
      </w:r>
      <w:r w:rsidRPr="00292532">
        <w:rPr>
          <w:rFonts w:cs="Arial"/>
          <w:lang w:val="pt-PT"/>
        </w:rPr>
        <w:t xml:space="preserve">Limpeza e eliminação ou remoção de todos os </w:t>
      </w:r>
      <w:proofErr w:type="spellStart"/>
      <w:r w:rsidRPr="00292532">
        <w:rPr>
          <w:rFonts w:cs="Arial"/>
          <w:lang w:val="pt-PT"/>
        </w:rPr>
        <w:t>microorganismos</w:t>
      </w:r>
      <w:proofErr w:type="spellEnd"/>
      <w:r w:rsidRPr="00292532">
        <w:rPr>
          <w:rFonts w:cs="Arial"/>
          <w:lang w:val="pt-PT"/>
        </w:rPr>
        <w:t xml:space="preserve">, independente de serem patogénicos ou não, presentes em artigos ou superfícies inanimadas, através de uso de substâncias apropriadas para o efeito, [MISAU, 2020, </w:t>
      </w:r>
      <w:proofErr w:type="spellStart"/>
      <w:r w:rsidRPr="00292532">
        <w:rPr>
          <w:rFonts w:cs="Arial"/>
          <w:lang w:val="pt-PT"/>
        </w:rPr>
        <w:t>pag</w:t>
      </w:r>
      <w:proofErr w:type="spellEnd"/>
      <w:r w:rsidRPr="00292532">
        <w:rPr>
          <w:rFonts w:cs="Arial"/>
          <w:lang w:val="pt-PT"/>
        </w:rPr>
        <w:t>. 8].</w:t>
      </w:r>
    </w:p>
    <w:p w14:paraId="2B6374A0" w14:textId="2CFA1BD7" w:rsidR="00C67D53" w:rsidRPr="00292532" w:rsidRDefault="00C67D53" w:rsidP="00C67D53">
      <w:pPr>
        <w:rPr>
          <w:rFonts w:cs="Arial"/>
          <w:lang w:val="pt-PT"/>
        </w:rPr>
      </w:pPr>
      <w:r w:rsidRPr="00292532">
        <w:rPr>
          <w:rFonts w:cs="Arial"/>
          <w:b/>
          <w:bCs/>
          <w:lang w:val="pt-PT"/>
        </w:rPr>
        <w:t>Ecossistema</w:t>
      </w:r>
      <w:r w:rsidRPr="00292532">
        <w:rPr>
          <w:rFonts w:cs="Arial"/>
          <w:lang w:val="pt-PT"/>
        </w:rPr>
        <w:t xml:space="preserve"> - consiste na </w:t>
      </w:r>
      <w:proofErr w:type="spellStart"/>
      <w:r w:rsidR="00FD7D7E" w:rsidRPr="00292532">
        <w:rPr>
          <w:rFonts w:cs="Arial"/>
          <w:lang w:val="pt-PT"/>
        </w:rPr>
        <w:t>interacção</w:t>
      </w:r>
      <w:proofErr w:type="spellEnd"/>
      <w:r w:rsidRPr="00292532">
        <w:rPr>
          <w:rFonts w:cs="Arial"/>
          <w:lang w:val="pt-PT"/>
        </w:rPr>
        <w:t xml:space="preserve"> entre os vários organismos e o ambiente onde se encontram.</w:t>
      </w:r>
    </w:p>
    <w:p w14:paraId="26D3F716" w14:textId="055DFD66" w:rsidR="00C67D53" w:rsidRPr="00292532" w:rsidRDefault="00C67D53" w:rsidP="00C67D53">
      <w:pPr>
        <w:rPr>
          <w:rFonts w:cs="Arial"/>
          <w:lang w:val="pt-PT"/>
        </w:rPr>
      </w:pPr>
      <w:r w:rsidRPr="00292532">
        <w:rPr>
          <w:rFonts w:cs="Arial"/>
          <w:b/>
          <w:bCs/>
          <w:lang w:val="pt-PT"/>
        </w:rPr>
        <w:t>Efluentes domésticos</w:t>
      </w:r>
      <w:r w:rsidRPr="00292532">
        <w:rPr>
          <w:rFonts w:cs="Arial"/>
          <w:lang w:val="pt-PT"/>
        </w:rPr>
        <w:t xml:space="preserve"> – são todas as substâncias líquidas produzidas pela </w:t>
      </w:r>
      <w:proofErr w:type="spellStart"/>
      <w:r w:rsidRPr="00292532">
        <w:rPr>
          <w:rFonts w:cs="Arial"/>
          <w:lang w:val="pt-PT"/>
        </w:rPr>
        <w:t>actividade</w:t>
      </w:r>
      <w:proofErr w:type="spellEnd"/>
      <w:r w:rsidRPr="00292532">
        <w:rPr>
          <w:rFonts w:cs="Arial"/>
          <w:lang w:val="pt-PT"/>
        </w:rPr>
        <w:t xml:space="preserve"> humana, como os esgotos domésticos e os resíduos líquidos e gasosos das indústrias. Em geral, lançados em cursos de água, lago ou aquífero com ou sem tratamento e com a finalidade de utilizar estes no seu transporte e diluição</w:t>
      </w:r>
      <w:r w:rsidR="00C01674" w:rsidRPr="00292532">
        <w:rPr>
          <w:rFonts w:cs="Arial"/>
          <w:lang w:val="pt-PT"/>
        </w:rPr>
        <w:t>.</w:t>
      </w:r>
    </w:p>
    <w:p w14:paraId="01CEF3C5" w14:textId="175E47E8" w:rsidR="00ED6D9A" w:rsidRPr="00292532" w:rsidRDefault="00ED6D9A" w:rsidP="00C67D53">
      <w:pPr>
        <w:rPr>
          <w:rFonts w:cs="Arial"/>
          <w:lang w:val="pt-PT"/>
        </w:rPr>
      </w:pPr>
      <w:r w:rsidRPr="00292532">
        <w:rPr>
          <w:rFonts w:cs="Arial"/>
          <w:b/>
          <w:bCs/>
          <w:lang w:val="pt-PT"/>
        </w:rPr>
        <w:t>Grupos de Risco</w:t>
      </w:r>
      <w:r w:rsidRPr="00292532">
        <w:rPr>
          <w:rFonts w:cs="Arial"/>
          <w:lang w:val="pt-PT"/>
        </w:rPr>
        <w:t xml:space="preserve"> - Pessoas que poderão desenvolver um quadro clínico grave se contaminadas pela COVID. Elas também apresentam maior facilidade de contrair a doença quando expostas ao vírus</w:t>
      </w:r>
    </w:p>
    <w:p w14:paraId="248123DD" w14:textId="0F8FE6E8" w:rsidR="0055112F" w:rsidRPr="00292532" w:rsidRDefault="0055112F" w:rsidP="0055112F">
      <w:pPr>
        <w:rPr>
          <w:rFonts w:cs="Arial"/>
          <w:lang w:val="pt-PT"/>
        </w:rPr>
      </w:pPr>
      <w:r w:rsidRPr="00292532">
        <w:rPr>
          <w:rFonts w:cs="Arial"/>
          <w:b/>
          <w:bCs/>
          <w:lang w:val="pt-PT"/>
        </w:rPr>
        <w:t xml:space="preserve">Impacto cumulativo </w:t>
      </w:r>
      <w:r w:rsidRPr="00292532">
        <w:rPr>
          <w:rFonts w:cs="Arial"/>
          <w:lang w:val="pt-PT"/>
        </w:rPr>
        <w:t xml:space="preserve">é o impacto incremental do </w:t>
      </w:r>
      <w:proofErr w:type="spellStart"/>
      <w:r w:rsidR="008C3A00" w:rsidRPr="00292532">
        <w:rPr>
          <w:rFonts w:cs="Arial"/>
          <w:lang w:val="pt-PT"/>
        </w:rPr>
        <w:t>projecto</w:t>
      </w:r>
      <w:proofErr w:type="spellEnd"/>
      <w:r w:rsidRPr="00292532">
        <w:rPr>
          <w:rFonts w:cs="Arial"/>
          <w:lang w:val="pt-PT"/>
        </w:rPr>
        <w:t xml:space="preserve">, quando se adicionam impactos de outros desenvolvimentos relevantes passados, presentes e razoavelmente previsíveis, bem como atividades não planejadas, mas previsíveis, que se tornaram possíveis devido ao </w:t>
      </w:r>
      <w:proofErr w:type="spellStart"/>
      <w:r w:rsidR="008C3A00" w:rsidRPr="00292532">
        <w:rPr>
          <w:rFonts w:cs="Arial"/>
          <w:lang w:val="pt-PT"/>
        </w:rPr>
        <w:t>projecto</w:t>
      </w:r>
      <w:proofErr w:type="spellEnd"/>
      <w:r w:rsidRPr="00292532">
        <w:rPr>
          <w:rFonts w:cs="Arial"/>
          <w:lang w:val="pt-PT"/>
        </w:rPr>
        <w:t xml:space="preserve"> e que podem ocorrer mais tarde ou num lugar diferente. Impactos cumulativos podem resultar de pequenas atividades individuais, mas que no seu conjunto são significativas, e que ocorrem ao longo de um </w:t>
      </w:r>
      <w:r w:rsidR="00D9688F" w:rsidRPr="00292532">
        <w:rPr>
          <w:rFonts w:cs="Arial"/>
          <w:lang w:val="pt-PT"/>
        </w:rPr>
        <w:t>período</w:t>
      </w:r>
      <w:r w:rsidRPr="00292532">
        <w:rPr>
          <w:rFonts w:cs="Arial"/>
          <w:lang w:val="pt-PT"/>
        </w:rPr>
        <w:t>.</w:t>
      </w:r>
    </w:p>
    <w:p w14:paraId="4276359B" w14:textId="14FB7F3D" w:rsidR="00FD7D7E" w:rsidRPr="00292532" w:rsidRDefault="00FD7D7E" w:rsidP="00FD7D7E">
      <w:pPr>
        <w:rPr>
          <w:rFonts w:cs="Arial"/>
          <w:lang w:val="pt-PT"/>
        </w:rPr>
      </w:pPr>
      <w:r w:rsidRPr="00292532">
        <w:rPr>
          <w:rFonts w:cs="Arial"/>
          <w:b/>
          <w:bCs/>
          <w:lang w:val="pt-PT"/>
        </w:rPr>
        <w:t xml:space="preserve">Impacto </w:t>
      </w:r>
      <w:proofErr w:type="spellStart"/>
      <w:r w:rsidRPr="00292532">
        <w:rPr>
          <w:rFonts w:cs="Arial"/>
          <w:b/>
          <w:bCs/>
          <w:lang w:val="pt-PT"/>
        </w:rPr>
        <w:t>dire</w:t>
      </w:r>
      <w:r w:rsidR="008C3A00" w:rsidRPr="00292532">
        <w:rPr>
          <w:rFonts w:cs="Arial"/>
          <w:b/>
          <w:bCs/>
          <w:lang w:val="pt-PT"/>
        </w:rPr>
        <w:t>c</w:t>
      </w:r>
      <w:r w:rsidRPr="00292532">
        <w:rPr>
          <w:rFonts w:cs="Arial"/>
          <w:b/>
          <w:bCs/>
          <w:lang w:val="pt-PT"/>
        </w:rPr>
        <w:t>to</w:t>
      </w:r>
      <w:proofErr w:type="spellEnd"/>
      <w:r w:rsidRPr="00292532">
        <w:rPr>
          <w:rFonts w:cs="Arial"/>
          <w:lang w:val="pt-PT"/>
        </w:rPr>
        <w:t xml:space="preserve"> é um impacto que é causado pelo </w:t>
      </w:r>
      <w:proofErr w:type="spellStart"/>
      <w:r w:rsidR="008C3A00" w:rsidRPr="00292532">
        <w:rPr>
          <w:rFonts w:cs="Arial"/>
          <w:lang w:val="pt-PT"/>
        </w:rPr>
        <w:t>projecto</w:t>
      </w:r>
      <w:proofErr w:type="spellEnd"/>
      <w:r w:rsidRPr="00292532">
        <w:rPr>
          <w:rFonts w:cs="Arial"/>
          <w:lang w:val="pt-PT"/>
        </w:rPr>
        <w:t xml:space="preserve"> e que ocorre ao mesmo tempo no local do </w:t>
      </w:r>
      <w:proofErr w:type="spellStart"/>
      <w:r w:rsidR="008C3A00" w:rsidRPr="00292532">
        <w:rPr>
          <w:rFonts w:cs="Arial"/>
          <w:lang w:val="pt-PT"/>
        </w:rPr>
        <w:t>projecto</w:t>
      </w:r>
      <w:proofErr w:type="spellEnd"/>
      <w:r w:rsidRPr="00292532">
        <w:rPr>
          <w:rFonts w:cs="Arial"/>
          <w:lang w:val="pt-PT"/>
        </w:rPr>
        <w:t>.</w:t>
      </w:r>
    </w:p>
    <w:p w14:paraId="4BF35BAA" w14:textId="53703DB2" w:rsidR="00FD7D7E" w:rsidRPr="00292532" w:rsidRDefault="00FD7D7E" w:rsidP="00FD7D7E">
      <w:pPr>
        <w:rPr>
          <w:rFonts w:cs="Arial"/>
          <w:lang w:val="pt-PT"/>
        </w:rPr>
      </w:pPr>
      <w:r w:rsidRPr="00292532">
        <w:rPr>
          <w:rFonts w:cs="Arial"/>
          <w:b/>
          <w:bCs/>
          <w:lang w:val="pt-PT"/>
        </w:rPr>
        <w:t xml:space="preserve">Impacto </w:t>
      </w:r>
      <w:proofErr w:type="spellStart"/>
      <w:r w:rsidRPr="00292532">
        <w:rPr>
          <w:rFonts w:cs="Arial"/>
          <w:b/>
          <w:bCs/>
          <w:lang w:val="pt-PT"/>
        </w:rPr>
        <w:t>indire</w:t>
      </w:r>
      <w:r w:rsidR="008C3A00" w:rsidRPr="00292532">
        <w:rPr>
          <w:rFonts w:cs="Arial"/>
          <w:b/>
          <w:bCs/>
          <w:lang w:val="pt-PT"/>
        </w:rPr>
        <w:t>c</w:t>
      </w:r>
      <w:r w:rsidRPr="00292532">
        <w:rPr>
          <w:rFonts w:cs="Arial"/>
          <w:b/>
          <w:bCs/>
          <w:lang w:val="pt-PT"/>
        </w:rPr>
        <w:t>to</w:t>
      </w:r>
      <w:proofErr w:type="spellEnd"/>
      <w:r w:rsidRPr="00292532">
        <w:rPr>
          <w:rFonts w:cs="Arial"/>
          <w:lang w:val="pt-PT"/>
        </w:rPr>
        <w:t xml:space="preserve"> é um impacto que é causado pelo </w:t>
      </w:r>
      <w:proofErr w:type="spellStart"/>
      <w:r w:rsidRPr="00292532">
        <w:rPr>
          <w:rFonts w:cs="Arial"/>
          <w:lang w:val="pt-PT"/>
        </w:rPr>
        <w:t>proje</w:t>
      </w:r>
      <w:r w:rsidR="008C3A00" w:rsidRPr="00292532">
        <w:rPr>
          <w:rFonts w:cs="Arial"/>
          <w:lang w:val="pt-PT"/>
        </w:rPr>
        <w:t>c</w:t>
      </w:r>
      <w:r w:rsidRPr="00292532">
        <w:rPr>
          <w:rFonts w:cs="Arial"/>
          <w:lang w:val="pt-PT"/>
        </w:rPr>
        <w:t>to</w:t>
      </w:r>
      <w:proofErr w:type="spellEnd"/>
      <w:r w:rsidRPr="00292532">
        <w:rPr>
          <w:rFonts w:cs="Arial"/>
          <w:lang w:val="pt-PT"/>
        </w:rPr>
        <w:t xml:space="preserve"> e que ocorre ou mais tarde ou é geograficamente mais distante do que um impacto direto, mas ainda é razoavelmente previsível, e não inclui impactos induzidos.</w:t>
      </w:r>
    </w:p>
    <w:p w14:paraId="76A7B9EF" w14:textId="6A7BBAAF" w:rsidR="00ED6D9A" w:rsidRPr="00292532" w:rsidRDefault="00ED6D9A" w:rsidP="00FD7D7E">
      <w:pPr>
        <w:rPr>
          <w:rFonts w:cs="Arial"/>
          <w:lang w:val="pt-PT"/>
        </w:rPr>
      </w:pPr>
      <w:r w:rsidRPr="00292532">
        <w:rPr>
          <w:rFonts w:cs="Arial"/>
          <w:b/>
          <w:bCs/>
          <w:lang w:val="pt-PT"/>
        </w:rPr>
        <w:lastRenderedPageBreak/>
        <w:t>Isolamento domiciliar</w:t>
      </w:r>
      <w:r w:rsidRPr="00292532">
        <w:rPr>
          <w:rFonts w:cs="Arial"/>
          <w:lang w:val="pt-PT"/>
        </w:rPr>
        <w:t xml:space="preserve"> - É a separação física de pessoas doentes ou suspeitas da COVID-19 num compartimento/espaço para evitar um convívio próximo com outras pessoas saudáveis ou sem sinais e sintomas clínicos, [MISAU 2020, p</w:t>
      </w:r>
      <w:r w:rsidR="00F956D4" w:rsidRPr="00292532">
        <w:rPr>
          <w:rFonts w:cs="Arial"/>
          <w:lang w:val="pt-PT"/>
        </w:rPr>
        <w:t>á</w:t>
      </w:r>
      <w:r w:rsidRPr="00292532">
        <w:rPr>
          <w:rFonts w:cs="Arial"/>
          <w:lang w:val="pt-PT"/>
        </w:rPr>
        <w:t>g. 8].</w:t>
      </w:r>
    </w:p>
    <w:p w14:paraId="11A35A0D" w14:textId="0069503C" w:rsidR="00ED6D9A" w:rsidRPr="00292532" w:rsidRDefault="00ED6D9A" w:rsidP="00FD7D7E">
      <w:pPr>
        <w:rPr>
          <w:rFonts w:cs="Arial"/>
          <w:lang w:val="pt-PT"/>
        </w:rPr>
      </w:pPr>
      <w:r w:rsidRPr="00292532">
        <w:rPr>
          <w:rFonts w:cs="Arial"/>
          <w:b/>
          <w:bCs/>
          <w:lang w:val="pt-PT"/>
        </w:rPr>
        <w:t xml:space="preserve">Pandemia </w:t>
      </w:r>
      <w:r w:rsidRPr="00292532">
        <w:rPr>
          <w:rFonts w:cs="Arial"/>
          <w:lang w:val="pt-PT"/>
        </w:rPr>
        <w:t>- Situação em que há um aumento considerável do número de casos de determinada doença em vários países do mundo, [MISAU, 2020, p</w:t>
      </w:r>
      <w:r w:rsidR="00F956D4" w:rsidRPr="00292532">
        <w:rPr>
          <w:rFonts w:cs="Arial"/>
          <w:lang w:val="pt-PT"/>
        </w:rPr>
        <w:t>á</w:t>
      </w:r>
      <w:r w:rsidRPr="00292532">
        <w:rPr>
          <w:rFonts w:cs="Arial"/>
          <w:lang w:val="pt-PT"/>
        </w:rPr>
        <w:t>g. 8].</w:t>
      </w:r>
    </w:p>
    <w:p w14:paraId="062AED39" w14:textId="0C2818CA" w:rsidR="00ED6D9A" w:rsidRPr="00292532" w:rsidRDefault="00ED6D9A" w:rsidP="00FD7D7E">
      <w:pPr>
        <w:rPr>
          <w:rFonts w:cs="Arial"/>
          <w:color w:val="000000" w:themeColor="text1"/>
          <w:lang w:val="pt-PT"/>
        </w:rPr>
      </w:pPr>
      <w:r w:rsidRPr="00292532">
        <w:rPr>
          <w:rFonts w:cs="Arial"/>
          <w:b/>
          <w:bCs/>
          <w:color w:val="000000" w:themeColor="text1"/>
          <w:lang w:val="pt-PT"/>
        </w:rPr>
        <w:t xml:space="preserve">Pessoa assintomática - </w:t>
      </w:r>
      <w:r w:rsidRPr="00292532">
        <w:rPr>
          <w:rFonts w:cs="Arial"/>
          <w:color w:val="000000" w:themeColor="text1"/>
          <w:lang w:val="pt-PT"/>
        </w:rPr>
        <w:t>Pessoas contaminadas pela COVID-19, mas que não apresentam sintomas. Contudo, elas podem mesmo assim transmitir o vírus a outras pessoas, [MISAU, 2020, p</w:t>
      </w:r>
      <w:r w:rsidR="00F956D4" w:rsidRPr="00292532">
        <w:rPr>
          <w:rFonts w:cs="Arial"/>
          <w:color w:val="000000" w:themeColor="text1"/>
          <w:lang w:val="pt-PT"/>
        </w:rPr>
        <w:t>á</w:t>
      </w:r>
      <w:r w:rsidRPr="00292532">
        <w:rPr>
          <w:rFonts w:cs="Arial"/>
          <w:color w:val="000000" w:themeColor="text1"/>
          <w:lang w:val="pt-PT"/>
        </w:rPr>
        <w:t>g. 8].</w:t>
      </w:r>
    </w:p>
    <w:p w14:paraId="488D1BDE" w14:textId="7ADE8BD6" w:rsidR="00ED6D9A" w:rsidRPr="00292532" w:rsidRDefault="00ED6D9A" w:rsidP="00FD7D7E">
      <w:pPr>
        <w:rPr>
          <w:rFonts w:cs="Arial"/>
          <w:b/>
          <w:bCs/>
          <w:color w:val="000000" w:themeColor="text1"/>
          <w:lang w:val="pt-PT"/>
        </w:rPr>
      </w:pPr>
      <w:r w:rsidRPr="00292532">
        <w:rPr>
          <w:rFonts w:cs="Arial"/>
          <w:b/>
          <w:bCs/>
          <w:color w:val="000000" w:themeColor="text1"/>
          <w:lang w:val="pt-PT"/>
        </w:rPr>
        <w:t xml:space="preserve">Pessoa sintomática - </w:t>
      </w:r>
      <w:r w:rsidRPr="00292532">
        <w:rPr>
          <w:rFonts w:cs="Arial"/>
          <w:color w:val="000000" w:themeColor="text1"/>
          <w:lang w:val="pt-PT"/>
        </w:rPr>
        <w:t>Indivíduo que apresenta um conjunto de sinais e sintomas clínicos da doença (neste caso da COVID-19).</w:t>
      </w:r>
    </w:p>
    <w:p w14:paraId="4AE8BE9E" w14:textId="19547893" w:rsidR="00FD7D7E" w:rsidRPr="00292532" w:rsidRDefault="00FD7D7E" w:rsidP="00FD7D7E">
      <w:pPr>
        <w:rPr>
          <w:rFonts w:cs="Arial"/>
          <w:color w:val="000000" w:themeColor="text1"/>
          <w:lang w:val="pt-PT"/>
        </w:rPr>
      </w:pPr>
      <w:r w:rsidRPr="00292532">
        <w:rPr>
          <w:rFonts w:cs="Arial"/>
          <w:b/>
          <w:bCs/>
          <w:color w:val="000000" w:themeColor="text1"/>
          <w:lang w:val="pt-PT"/>
        </w:rPr>
        <w:t>Plano de Gestão Ambiental e Social (</w:t>
      </w:r>
      <w:r w:rsidR="001978AF" w:rsidRPr="00292532">
        <w:rPr>
          <w:rFonts w:cs="Arial"/>
          <w:b/>
          <w:bCs/>
          <w:color w:val="000000" w:themeColor="text1"/>
          <w:lang w:val="pt-PT"/>
        </w:rPr>
        <w:t>PGAS</w:t>
      </w:r>
      <w:r w:rsidRPr="00292532">
        <w:rPr>
          <w:rFonts w:cs="Arial"/>
          <w:b/>
          <w:bCs/>
          <w:color w:val="000000" w:themeColor="text1"/>
          <w:lang w:val="pt-PT"/>
        </w:rPr>
        <w:t>)</w:t>
      </w:r>
      <w:r w:rsidRPr="00292532">
        <w:rPr>
          <w:rFonts w:cs="Arial"/>
          <w:color w:val="000000" w:themeColor="text1"/>
          <w:lang w:val="pt-PT"/>
        </w:rPr>
        <w:t xml:space="preserve"> - detalha (a) as medidas a serem tomadas durante a implementação e operação de um </w:t>
      </w:r>
      <w:proofErr w:type="spellStart"/>
      <w:r w:rsidR="008C3A00" w:rsidRPr="00292532">
        <w:rPr>
          <w:rFonts w:cs="Arial"/>
          <w:color w:val="000000" w:themeColor="text1"/>
          <w:lang w:val="pt-PT"/>
        </w:rPr>
        <w:t>projecto</w:t>
      </w:r>
      <w:proofErr w:type="spellEnd"/>
      <w:r w:rsidRPr="00292532">
        <w:rPr>
          <w:rFonts w:cs="Arial"/>
          <w:color w:val="000000" w:themeColor="text1"/>
          <w:lang w:val="pt-PT"/>
        </w:rPr>
        <w:t xml:space="preserve"> para eliminar ou neutralizar os impactos ambientais e sociais adversos ou reduzi-los a níveis aceitáveis; e (b) as ações necessárias para implementar essas medidas.</w:t>
      </w:r>
    </w:p>
    <w:p w14:paraId="1BD37373" w14:textId="35308D01" w:rsidR="00ED6D9A" w:rsidRPr="00292532" w:rsidRDefault="00ED6D9A" w:rsidP="00FD7D7E">
      <w:pPr>
        <w:rPr>
          <w:rFonts w:cs="Arial"/>
          <w:b/>
          <w:bCs/>
          <w:color w:val="000000" w:themeColor="text1"/>
          <w:lang w:val="pt-PT"/>
        </w:rPr>
      </w:pPr>
      <w:r w:rsidRPr="00292532">
        <w:rPr>
          <w:rFonts w:cs="Arial"/>
          <w:b/>
          <w:bCs/>
          <w:color w:val="000000" w:themeColor="text1"/>
          <w:lang w:val="pt-PT"/>
        </w:rPr>
        <w:t>Quarentena</w:t>
      </w:r>
      <w:r w:rsidRPr="00292532">
        <w:rPr>
          <w:rFonts w:cs="Arial"/>
          <w:color w:val="000000" w:themeColor="text1"/>
          <w:lang w:val="pt-PT"/>
        </w:rPr>
        <w:t xml:space="preserve"> - É a reclusão de indivíduos pelo período máximo de incubação da doença (durante 14 dias no caso da COVID-19) contados a partir da data do último contacto com um caso clínico ou portador, ou o local em que se encontrava a fonte de </w:t>
      </w:r>
      <w:proofErr w:type="spellStart"/>
      <w:r w:rsidRPr="00292532">
        <w:rPr>
          <w:rFonts w:cs="Arial"/>
          <w:color w:val="000000" w:themeColor="text1"/>
          <w:lang w:val="pt-PT"/>
        </w:rPr>
        <w:t>infecção</w:t>
      </w:r>
      <w:proofErr w:type="spellEnd"/>
      <w:r w:rsidRPr="00292532">
        <w:rPr>
          <w:rFonts w:cs="Arial"/>
          <w:color w:val="000000" w:themeColor="text1"/>
          <w:lang w:val="pt-PT"/>
        </w:rPr>
        <w:t xml:space="preserve">, [MISAU, 2020, </w:t>
      </w:r>
      <w:proofErr w:type="spellStart"/>
      <w:r w:rsidRPr="00292532">
        <w:rPr>
          <w:rFonts w:cs="Arial"/>
          <w:color w:val="000000" w:themeColor="text1"/>
          <w:lang w:val="pt-PT"/>
        </w:rPr>
        <w:t>pag</w:t>
      </w:r>
      <w:proofErr w:type="spellEnd"/>
      <w:r w:rsidRPr="00292532">
        <w:rPr>
          <w:rFonts w:cs="Arial"/>
          <w:color w:val="000000" w:themeColor="text1"/>
          <w:lang w:val="pt-PT"/>
        </w:rPr>
        <w:t>. 8].</w:t>
      </w:r>
    </w:p>
    <w:p w14:paraId="615D4A11" w14:textId="6AE15EE7" w:rsidR="00FD7D7E" w:rsidRPr="00292532" w:rsidRDefault="00FD7D7E" w:rsidP="00FD7D7E">
      <w:pPr>
        <w:rPr>
          <w:rFonts w:cs="Arial"/>
          <w:color w:val="000000" w:themeColor="text1"/>
          <w:lang w:val="pt-PT"/>
        </w:rPr>
      </w:pPr>
      <w:r w:rsidRPr="00292532">
        <w:rPr>
          <w:rFonts w:cs="Arial"/>
          <w:b/>
          <w:bCs/>
          <w:color w:val="000000" w:themeColor="text1"/>
          <w:lang w:val="pt-PT"/>
        </w:rPr>
        <w:t>Quadro de Gestão Ambiental e Social (QGAS)</w:t>
      </w:r>
      <w:r w:rsidRPr="00292532">
        <w:rPr>
          <w:rFonts w:cs="Arial"/>
          <w:color w:val="000000" w:themeColor="text1"/>
          <w:lang w:val="pt-PT"/>
        </w:rPr>
        <w:t xml:space="preserve"> - analisa os riscos e impactos do </w:t>
      </w:r>
      <w:proofErr w:type="spellStart"/>
      <w:r w:rsidR="008C3A00" w:rsidRPr="00292532">
        <w:rPr>
          <w:rFonts w:cs="Arial"/>
          <w:color w:val="000000" w:themeColor="text1"/>
          <w:lang w:val="pt-PT"/>
        </w:rPr>
        <w:t>projecto</w:t>
      </w:r>
      <w:proofErr w:type="spellEnd"/>
      <w:r w:rsidRPr="00292532">
        <w:rPr>
          <w:rFonts w:cs="Arial"/>
          <w:color w:val="000000" w:themeColor="text1"/>
          <w:lang w:val="pt-PT"/>
        </w:rPr>
        <w:t xml:space="preserve"> quando este representa um programa e/ou uma série de </w:t>
      </w:r>
      <w:r w:rsidR="0055112F" w:rsidRPr="00292532">
        <w:rPr>
          <w:rFonts w:cs="Arial"/>
          <w:color w:val="000000" w:themeColor="text1"/>
          <w:lang w:val="pt-PT"/>
        </w:rPr>
        <w:t>subprojectos</w:t>
      </w:r>
      <w:r w:rsidRPr="00292532">
        <w:rPr>
          <w:rFonts w:cs="Arial"/>
          <w:color w:val="000000" w:themeColor="text1"/>
          <w:lang w:val="pt-PT"/>
        </w:rPr>
        <w:t xml:space="preserve">, e os riscos e impactos não podem ser determinados sem que o programa ou </w:t>
      </w:r>
      <w:r w:rsidR="0055112F" w:rsidRPr="00292532">
        <w:rPr>
          <w:rFonts w:cs="Arial"/>
          <w:color w:val="000000" w:themeColor="text1"/>
          <w:lang w:val="pt-PT"/>
        </w:rPr>
        <w:t>subprojecto</w:t>
      </w:r>
      <w:r w:rsidRPr="00292532">
        <w:rPr>
          <w:rFonts w:cs="Arial"/>
          <w:color w:val="000000" w:themeColor="text1"/>
          <w:lang w:val="pt-PT"/>
        </w:rPr>
        <w:t xml:space="preserve"> do </w:t>
      </w:r>
      <w:proofErr w:type="spellStart"/>
      <w:r w:rsidR="008C3A00" w:rsidRPr="00292532">
        <w:rPr>
          <w:rFonts w:cs="Arial"/>
          <w:color w:val="000000" w:themeColor="text1"/>
          <w:lang w:val="pt-PT"/>
        </w:rPr>
        <w:t>projecto</w:t>
      </w:r>
      <w:proofErr w:type="spellEnd"/>
      <w:r w:rsidRPr="00292532">
        <w:rPr>
          <w:rFonts w:cs="Arial"/>
          <w:color w:val="000000" w:themeColor="text1"/>
          <w:lang w:val="pt-PT"/>
        </w:rPr>
        <w:t xml:space="preserve"> sejam identificados. O QGAS define os princípios, regras, diretivas e procedimentos para avaliar os riscos e impactos ambientais e sociais.</w:t>
      </w:r>
    </w:p>
    <w:p w14:paraId="17E7B2BD" w14:textId="77777777" w:rsidR="00C67D53" w:rsidRPr="00292532" w:rsidRDefault="00C67D53">
      <w:pPr>
        <w:rPr>
          <w:rFonts w:cs="Arial"/>
          <w:lang w:val="pt-PT"/>
        </w:rPr>
      </w:pPr>
    </w:p>
    <w:p w14:paraId="34A602C5" w14:textId="6443CBA0" w:rsidR="00C67D53" w:rsidRPr="00292532" w:rsidRDefault="00C67D53">
      <w:pPr>
        <w:rPr>
          <w:rFonts w:cs="Arial"/>
          <w:lang w:val="pt-PT"/>
        </w:rPr>
        <w:sectPr w:rsidR="00C67D53" w:rsidRPr="00292532" w:rsidSect="0055112F">
          <w:pgSz w:w="11906" w:h="16838"/>
          <w:pgMar w:top="1417" w:right="1701" w:bottom="1417" w:left="1701" w:header="708" w:footer="708"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p>
    <w:p w14:paraId="7B82B26D" w14:textId="1BB9740E" w:rsidR="00CE2CE8" w:rsidRPr="00292532" w:rsidRDefault="00CE2CE8">
      <w:pPr>
        <w:rPr>
          <w:rFonts w:cs="Arial"/>
          <w:lang w:val="pt-PT"/>
        </w:rPr>
      </w:pPr>
    </w:p>
    <w:p w14:paraId="600407E4" w14:textId="77777777" w:rsidR="00074919" w:rsidRPr="00292532" w:rsidRDefault="00CE2CE8" w:rsidP="001E04F8">
      <w:pPr>
        <w:spacing w:before="0" w:after="0"/>
        <w:rPr>
          <w:rFonts w:cs="Arial"/>
          <w:b/>
          <w:sz w:val="32"/>
          <w:szCs w:val="32"/>
          <w:lang w:val="pt-PT"/>
        </w:rPr>
      </w:pPr>
      <w:r w:rsidRPr="00292532">
        <w:rPr>
          <w:rFonts w:cs="Arial"/>
          <w:b/>
          <w:sz w:val="32"/>
          <w:szCs w:val="32"/>
          <w:lang w:val="pt-PT"/>
        </w:rPr>
        <w:t>ÍNDICE</w:t>
      </w:r>
    </w:p>
    <w:p w14:paraId="3870B278" w14:textId="667A6EAF" w:rsidR="008907E4" w:rsidRDefault="00EC5C18" w:rsidP="00E14ED4">
      <w:pPr>
        <w:pStyle w:val="TOC1"/>
        <w:rPr>
          <w:rFonts w:asciiTheme="minorHAnsi" w:eastAsiaTheme="minorEastAsia" w:hAnsiTheme="minorHAnsi" w:cstheme="minorBidi"/>
          <w:b w:val="0"/>
          <w:bCs w:val="0"/>
          <w:caps w:val="0"/>
          <w:noProof/>
          <w:sz w:val="22"/>
          <w:szCs w:val="22"/>
          <w:lang w:val="en-US"/>
        </w:rPr>
      </w:pPr>
      <w:r w:rsidRPr="00292532">
        <w:rPr>
          <w:lang w:val="pt-PT"/>
        </w:rPr>
        <w:fldChar w:fldCharType="begin"/>
      </w:r>
      <w:r w:rsidRPr="00292532">
        <w:rPr>
          <w:lang w:val="pt-PT"/>
        </w:rPr>
        <w:instrText xml:space="preserve"> TOC \o "1-3" \h \z \u </w:instrText>
      </w:r>
      <w:r w:rsidRPr="00292532">
        <w:rPr>
          <w:lang w:val="pt-PT"/>
        </w:rPr>
        <w:fldChar w:fldCharType="separate"/>
      </w:r>
      <w:hyperlink w:anchor="_Toc80379928" w:history="1">
        <w:r w:rsidR="008907E4" w:rsidRPr="00D527D0">
          <w:rPr>
            <w:rStyle w:val="Hyperlink"/>
            <w:noProof/>
            <w:lang w:val="pt-BR"/>
          </w:rPr>
          <w:t>1</w:t>
        </w:r>
        <w:r w:rsidR="008907E4">
          <w:rPr>
            <w:rFonts w:asciiTheme="minorHAnsi" w:eastAsiaTheme="minorEastAsia" w:hAnsiTheme="minorHAnsi" w:cstheme="minorBidi"/>
            <w:b w:val="0"/>
            <w:bCs w:val="0"/>
            <w:caps w:val="0"/>
            <w:noProof/>
            <w:sz w:val="22"/>
            <w:szCs w:val="22"/>
            <w:lang w:val="en-US"/>
          </w:rPr>
          <w:tab/>
        </w:r>
        <w:r w:rsidR="008907E4" w:rsidRPr="00D527D0">
          <w:rPr>
            <w:rStyle w:val="Hyperlink"/>
            <w:noProof/>
            <w:lang w:val="pt-PT"/>
          </w:rPr>
          <w:t>Introdução</w:t>
        </w:r>
        <w:r w:rsidR="008907E4">
          <w:rPr>
            <w:noProof/>
            <w:webHidden/>
          </w:rPr>
          <w:tab/>
        </w:r>
        <w:r w:rsidR="008907E4">
          <w:rPr>
            <w:noProof/>
            <w:webHidden/>
          </w:rPr>
          <w:fldChar w:fldCharType="begin"/>
        </w:r>
        <w:r w:rsidR="008907E4">
          <w:rPr>
            <w:noProof/>
            <w:webHidden/>
          </w:rPr>
          <w:instrText xml:space="preserve"> PAGEREF _Toc80379928 \h </w:instrText>
        </w:r>
        <w:r w:rsidR="008907E4">
          <w:rPr>
            <w:noProof/>
            <w:webHidden/>
          </w:rPr>
        </w:r>
        <w:r w:rsidR="008907E4">
          <w:rPr>
            <w:noProof/>
            <w:webHidden/>
          </w:rPr>
          <w:fldChar w:fldCharType="separate"/>
        </w:r>
        <w:r w:rsidR="00E86865">
          <w:rPr>
            <w:noProof/>
            <w:webHidden/>
          </w:rPr>
          <w:t>31</w:t>
        </w:r>
        <w:r w:rsidR="008907E4">
          <w:rPr>
            <w:noProof/>
            <w:webHidden/>
          </w:rPr>
          <w:fldChar w:fldCharType="end"/>
        </w:r>
      </w:hyperlink>
    </w:p>
    <w:p w14:paraId="567B6D99" w14:textId="54C6D5ED" w:rsidR="008907E4" w:rsidRDefault="00C23355" w:rsidP="00E14ED4">
      <w:pPr>
        <w:pStyle w:val="TOC2"/>
        <w:rPr>
          <w:rFonts w:eastAsiaTheme="minorEastAsia" w:cstheme="minorBidi"/>
          <w:b w:val="0"/>
          <w:bCs w:val="0"/>
          <w:noProof/>
          <w:sz w:val="22"/>
          <w:szCs w:val="22"/>
          <w:lang w:val="en-US"/>
        </w:rPr>
      </w:pPr>
      <w:hyperlink w:anchor="_Toc80379929" w:history="1">
        <w:r w:rsidR="008907E4" w:rsidRPr="00D527D0">
          <w:rPr>
            <w:rStyle w:val="Hyperlink"/>
            <w:noProof/>
          </w:rPr>
          <w:t>1.1</w:t>
        </w:r>
        <w:r w:rsidR="008907E4">
          <w:rPr>
            <w:rFonts w:eastAsiaTheme="minorEastAsia" w:cstheme="minorBidi"/>
            <w:b w:val="0"/>
            <w:bCs w:val="0"/>
            <w:noProof/>
            <w:sz w:val="22"/>
            <w:szCs w:val="22"/>
            <w:lang w:val="en-US"/>
          </w:rPr>
          <w:tab/>
        </w:r>
        <w:r w:rsidR="008907E4" w:rsidRPr="00D527D0">
          <w:rPr>
            <w:rStyle w:val="Hyperlink"/>
            <w:noProof/>
          </w:rPr>
          <w:t>O Contexto</w:t>
        </w:r>
        <w:r w:rsidR="008907E4">
          <w:rPr>
            <w:noProof/>
            <w:webHidden/>
          </w:rPr>
          <w:tab/>
        </w:r>
        <w:r w:rsidR="008907E4">
          <w:rPr>
            <w:noProof/>
            <w:webHidden/>
          </w:rPr>
          <w:fldChar w:fldCharType="begin"/>
        </w:r>
        <w:r w:rsidR="008907E4">
          <w:rPr>
            <w:noProof/>
            <w:webHidden/>
          </w:rPr>
          <w:instrText xml:space="preserve"> PAGEREF _Toc80379929 \h </w:instrText>
        </w:r>
        <w:r w:rsidR="008907E4">
          <w:rPr>
            <w:noProof/>
            <w:webHidden/>
          </w:rPr>
        </w:r>
        <w:r w:rsidR="008907E4">
          <w:rPr>
            <w:noProof/>
            <w:webHidden/>
          </w:rPr>
          <w:fldChar w:fldCharType="separate"/>
        </w:r>
        <w:r w:rsidR="00E86865">
          <w:rPr>
            <w:noProof/>
            <w:webHidden/>
          </w:rPr>
          <w:t>31</w:t>
        </w:r>
        <w:r w:rsidR="008907E4">
          <w:rPr>
            <w:noProof/>
            <w:webHidden/>
          </w:rPr>
          <w:fldChar w:fldCharType="end"/>
        </w:r>
      </w:hyperlink>
    </w:p>
    <w:p w14:paraId="582875C6" w14:textId="566D5CE9" w:rsidR="008907E4" w:rsidRDefault="00C23355" w:rsidP="00E14ED4">
      <w:pPr>
        <w:pStyle w:val="TOC2"/>
        <w:rPr>
          <w:rFonts w:eastAsiaTheme="minorEastAsia" w:cstheme="minorBidi"/>
          <w:b w:val="0"/>
          <w:bCs w:val="0"/>
          <w:noProof/>
          <w:sz w:val="22"/>
          <w:szCs w:val="22"/>
          <w:lang w:val="en-US"/>
        </w:rPr>
      </w:pPr>
      <w:hyperlink w:anchor="_Toc80379930" w:history="1">
        <w:r w:rsidR="008907E4" w:rsidRPr="00D527D0">
          <w:rPr>
            <w:rStyle w:val="Hyperlink"/>
            <w:noProof/>
          </w:rPr>
          <w:t>1.2</w:t>
        </w:r>
        <w:r w:rsidR="008907E4">
          <w:rPr>
            <w:rFonts w:eastAsiaTheme="minorEastAsia" w:cstheme="minorBidi"/>
            <w:b w:val="0"/>
            <w:bCs w:val="0"/>
            <w:noProof/>
            <w:sz w:val="22"/>
            <w:szCs w:val="22"/>
            <w:lang w:val="en-US"/>
          </w:rPr>
          <w:tab/>
        </w:r>
        <w:r w:rsidR="008907E4" w:rsidRPr="00D527D0">
          <w:rPr>
            <w:rStyle w:val="Hyperlink"/>
            <w:noProof/>
          </w:rPr>
          <w:t>O Quadro de Gestão Ambiental e Social</w:t>
        </w:r>
        <w:r w:rsidR="008907E4">
          <w:rPr>
            <w:noProof/>
            <w:webHidden/>
          </w:rPr>
          <w:tab/>
        </w:r>
        <w:r w:rsidR="008907E4">
          <w:rPr>
            <w:noProof/>
            <w:webHidden/>
          </w:rPr>
          <w:fldChar w:fldCharType="begin"/>
        </w:r>
        <w:r w:rsidR="008907E4">
          <w:rPr>
            <w:noProof/>
            <w:webHidden/>
          </w:rPr>
          <w:instrText xml:space="preserve"> PAGEREF _Toc80379930 \h </w:instrText>
        </w:r>
        <w:r w:rsidR="008907E4">
          <w:rPr>
            <w:noProof/>
            <w:webHidden/>
          </w:rPr>
        </w:r>
        <w:r w:rsidR="008907E4">
          <w:rPr>
            <w:noProof/>
            <w:webHidden/>
          </w:rPr>
          <w:fldChar w:fldCharType="separate"/>
        </w:r>
        <w:r w:rsidR="00E86865">
          <w:rPr>
            <w:noProof/>
            <w:webHidden/>
          </w:rPr>
          <w:t>32</w:t>
        </w:r>
        <w:r w:rsidR="008907E4">
          <w:rPr>
            <w:noProof/>
            <w:webHidden/>
          </w:rPr>
          <w:fldChar w:fldCharType="end"/>
        </w:r>
      </w:hyperlink>
    </w:p>
    <w:p w14:paraId="233B1C0D" w14:textId="27D399ED" w:rsidR="008907E4" w:rsidRDefault="00C23355" w:rsidP="00E14ED4">
      <w:pPr>
        <w:pStyle w:val="TOC1"/>
        <w:rPr>
          <w:rFonts w:asciiTheme="minorHAnsi" w:eastAsiaTheme="minorEastAsia" w:hAnsiTheme="minorHAnsi" w:cstheme="minorBidi"/>
          <w:b w:val="0"/>
          <w:bCs w:val="0"/>
          <w:caps w:val="0"/>
          <w:noProof/>
          <w:sz w:val="22"/>
          <w:szCs w:val="22"/>
          <w:lang w:val="en-US"/>
        </w:rPr>
      </w:pPr>
      <w:hyperlink w:anchor="_Toc80379931" w:history="1">
        <w:r w:rsidR="008907E4" w:rsidRPr="00D527D0">
          <w:rPr>
            <w:rStyle w:val="Hyperlink"/>
            <w:noProof/>
            <w:lang w:val="pt-BR" w:eastAsia="ja-JP"/>
          </w:rPr>
          <w:t>2</w:t>
        </w:r>
        <w:r w:rsidR="008907E4">
          <w:rPr>
            <w:rFonts w:asciiTheme="minorHAnsi" w:eastAsiaTheme="minorEastAsia" w:hAnsiTheme="minorHAnsi" w:cstheme="minorBidi"/>
            <w:b w:val="0"/>
            <w:bCs w:val="0"/>
            <w:caps w:val="0"/>
            <w:noProof/>
            <w:sz w:val="22"/>
            <w:szCs w:val="22"/>
            <w:lang w:val="en-US"/>
          </w:rPr>
          <w:tab/>
        </w:r>
        <w:r w:rsidR="008907E4" w:rsidRPr="00D527D0">
          <w:rPr>
            <w:rStyle w:val="Hyperlink"/>
            <w:noProof/>
            <w:lang w:val="pt-PT" w:eastAsia="ja-JP"/>
          </w:rPr>
          <w:t>Descrição do Projecto</w:t>
        </w:r>
        <w:r w:rsidR="008907E4">
          <w:rPr>
            <w:noProof/>
            <w:webHidden/>
          </w:rPr>
          <w:tab/>
        </w:r>
        <w:r w:rsidR="008907E4">
          <w:rPr>
            <w:noProof/>
            <w:webHidden/>
          </w:rPr>
          <w:fldChar w:fldCharType="begin"/>
        </w:r>
        <w:r w:rsidR="008907E4">
          <w:rPr>
            <w:noProof/>
            <w:webHidden/>
          </w:rPr>
          <w:instrText xml:space="preserve"> PAGEREF _Toc80379931 \h </w:instrText>
        </w:r>
        <w:r w:rsidR="008907E4">
          <w:rPr>
            <w:noProof/>
            <w:webHidden/>
          </w:rPr>
        </w:r>
        <w:r w:rsidR="008907E4">
          <w:rPr>
            <w:noProof/>
            <w:webHidden/>
          </w:rPr>
          <w:fldChar w:fldCharType="separate"/>
        </w:r>
        <w:r w:rsidR="00E86865">
          <w:rPr>
            <w:noProof/>
            <w:webHidden/>
          </w:rPr>
          <w:t>33</w:t>
        </w:r>
        <w:r w:rsidR="008907E4">
          <w:rPr>
            <w:noProof/>
            <w:webHidden/>
          </w:rPr>
          <w:fldChar w:fldCharType="end"/>
        </w:r>
      </w:hyperlink>
    </w:p>
    <w:p w14:paraId="2DAFE083" w14:textId="3AF1C4C4" w:rsidR="008907E4" w:rsidRDefault="00C23355" w:rsidP="00E14ED4">
      <w:pPr>
        <w:pStyle w:val="TOC2"/>
        <w:rPr>
          <w:rFonts w:eastAsiaTheme="minorEastAsia" w:cstheme="minorBidi"/>
          <w:b w:val="0"/>
          <w:bCs w:val="0"/>
          <w:noProof/>
          <w:sz w:val="22"/>
          <w:szCs w:val="22"/>
          <w:lang w:val="en-US"/>
        </w:rPr>
      </w:pPr>
      <w:hyperlink w:anchor="_Toc80379932" w:history="1">
        <w:r w:rsidR="008907E4" w:rsidRPr="00D527D0">
          <w:rPr>
            <w:rStyle w:val="Hyperlink"/>
            <w:noProof/>
          </w:rPr>
          <w:t>2.1</w:t>
        </w:r>
        <w:r w:rsidR="008907E4">
          <w:rPr>
            <w:rFonts w:eastAsiaTheme="minorEastAsia" w:cstheme="minorBidi"/>
            <w:b w:val="0"/>
            <w:bCs w:val="0"/>
            <w:noProof/>
            <w:sz w:val="22"/>
            <w:szCs w:val="22"/>
            <w:lang w:val="en-US"/>
          </w:rPr>
          <w:tab/>
        </w:r>
        <w:r w:rsidR="008907E4" w:rsidRPr="00D527D0">
          <w:rPr>
            <w:rStyle w:val="Hyperlink"/>
            <w:noProof/>
          </w:rPr>
          <w:t>Contexto Estratégico</w:t>
        </w:r>
        <w:r w:rsidR="008907E4">
          <w:rPr>
            <w:noProof/>
            <w:webHidden/>
          </w:rPr>
          <w:tab/>
        </w:r>
        <w:r w:rsidR="008907E4">
          <w:rPr>
            <w:noProof/>
            <w:webHidden/>
          </w:rPr>
          <w:fldChar w:fldCharType="begin"/>
        </w:r>
        <w:r w:rsidR="008907E4">
          <w:rPr>
            <w:noProof/>
            <w:webHidden/>
          </w:rPr>
          <w:instrText xml:space="preserve"> PAGEREF _Toc80379932 \h </w:instrText>
        </w:r>
        <w:r w:rsidR="008907E4">
          <w:rPr>
            <w:noProof/>
            <w:webHidden/>
          </w:rPr>
        </w:r>
        <w:r w:rsidR="008907E4">
          <w:rPr>
            <w:noProof/>
            <w:webHidden/>
          </w:rPr>
          <w:fldChar w:fldCharType="separate"/>
        </w:r>
        <w:r w:rsidR="00E86865">
          <w:rPr>
            <w:noProof/>
            <w:webHidden/>
          </w:rPr>
          <w:t>34</w:t>
        </w:r>
        <w:r w:rsidR="008907E4">
          <w:rPr>
            <w:noProof/>
            <w:webHidden/>
          </w:rPr>
          <w:fldChar w:fldCharType="end"/>
        </w:r>
      </w:hyperlink>
    </w:p>
    <w:p w14:paraId="4F44C77F" w14:textId="7CE06B3E" w:rsidR="008907E4" w:rsidRDefault="00C23355" w:rsidP="00E14ED4">
      <w:pPr>
        <w:pStyle w:val="TOC2"/>
        <w:rPr>
          <w:rFonts w:eastAsiaTheme="minorEastAsia" w:cstheme="minorBidi"/>
          <w:b w:val="0"/>
          <w:bCs w:val="0"/>
          <w:noProof/>
          <w:sz w:val="22"/>
          <w:szCs w:val="22"/>
          <w:lang w:val="en-US"/>
        </w:rPr>
      </w:pPr>
      <w:hyperlink w:anchor="_Toc80379933" w:history="1">
        <w:r w:rsidR="008907E4" w:rsidRPr="00D527D0">
          <w:rPr>
            <w:rStyle w:val="Hyperlink"/>
            <w:noProof/>
          </w:rPr>
          <w:t>2.2</w:t>
        </w:r>
        <w:r w:rsidR="008907E4">
          <w:rPr>
            <w:rFonts w:eastAsiaTheme="minorEastAsia" w:cstheme="minorBidi"/>
            <w:b w:val="0"/>
            <w:bCs w:val="0"/>
            <w:noProof/>
            <w:sz w:val="22"/>
            <w:szCs w:val="22"/>
            <w:lang w:val="en-US"/>
          </w:rPr>
          <w:tab/>
        </w:r>
        <w:r w:rsidR="008907E4" w:rsidRPr="00D527D0">
          <w:rPr>
            <w:rStyle w:val="Hyperlink"/>
            <w:noProof/>
          </w:rPr>
          <w:t>Objectivo de Desenvolvimento do Projecto (ODP)</w:t>
        </w:r>
        <w:r w:rsidR="008907E4">
          <w:rPr>
            <w:noProof/>
            <w:webHidden/>
          </w:rPr>
          <w:tab/>
        </w:r>
        <w:r w:rsidR="008907E4">
          <w:rPr>
            <w:noProof/>
            <w:webHidden/>
          </w:rPr>
          <w:fldChar w:fldCharType="begin"/>
        </w:r>
        <w:r w:rsidR="008907E4">
          <w:rPr>
            <w:noProof/>
            <w:webHidden/>
          </w:rPr>
          <w:instrText xml:space="preserve"> PAGEREF _Toc80379933 \h </w:instrText>
        </w:r>
        <w:r w:rsidR="008907E4">
          <w:rPr>
            <w:noProof/>
            <w:webHidden/>
          </w:rPr>
        </w:r>
        <w:r w:rsidR="008907E4">
          <w:rPr>
            <w:noProof/>
            <w:webHidden/>
          </w:rPr>
          <w:fldChar w:fldCharType="separate"/>
        </w:r>
        <w:r w:rsidR="00E86865">
          <w:rPr>
            <w:noProof/>
            <w:webHidden/>
          </w:rPr>
          <w:t>35</w:t>
        </w:r>
        <w:r w:rsidR="008907E4">
          <w:rPr>
            <w:noProof/>
            <w:webHidden/>
          </w:rPr>
          <w:fldChar w:fldCharType="end"/>
        </w:r>
      </w:hyperlink>
    </w:p>
    <w:p w14:paraId="1CA63F09" w14:textId="22440D6A" w:rsidR="008907E4" w:rsidRDefault="00C23355" w:rsidP="00E14ED4">
      <w:pPr>
        <w:pStyle w:val="TOC2"/>
        <w:rPr>
          <w:rFonts w:eastAsiaTheme="minorEastAsia" w:cstheme="minorBidi"/>
          <w:b w:val="0"/>
          <w:bCs w:val="0"/>
          <w:noProof/>
          <w:sz w:val="22"/>
          <w:szCs w:val="22"/>
          <w:lang w:val="en-US"/>
        </w:rPr>
      </w:pPr>
      <w:hyperlink w:anchor="_Toc80379934" w:history="1">
        <w:r w:rsidR="008907E4" w:rsidRPr="00D527D0">
          <w:rPr>
            <w:rStyle w:val="Hyperlink"/>
            <w:noProof/>
          </w:rPr>
          <w:t>2.3</w:t>
        </w:r>
        <w:r w:rsidR="008907E4">
          <w:rPr>
            <w:rFonts w:eastAsiaTheme="minorEastAsia" w:cstheme="minorBidi"/>
            <w:b w:val="0"/>
            <w:bCs w:val="0"/>
            <w:noProof/>
            <w:sz w:val="22"/>
            <w:szCs w:val="22"/>
            <w:lang w:val="en-US"/>
          </w:rPr>
          <w:tab/>
        </w:r>
        <w:r w:rsidR="008907E4" w:rsidRPr="00D527D0">
          <w:rPr>
            <w:rStyle w:val="Hyperlink"/>
            <w:noProof/>
          </w:rPr>
          <w:t>Indicadores de Resultado</w:t>
        </w:r>
        <w:r w:rsidR="008907E4">
          <w:rPr>
            <w:noProof/>
            <w:webHidden/>
          </w:rPr>
          <w:tab/>
        </w:r>
        <w:r w:rsidR="008907E4">
          <w:rPr>
            <w:noProof/>
            <w:webHidden/>
          </w:rPr>
          <w:fldChar w:fldCharType="begin"/>
        </w:r>
        <w:r w:rsidR="008907E4">
          <w:rPr>
            <w:noProof/>
            <w:webHidden/>
          </w:rPr>
          <w:instrText xml:space="preserve"> PAGEREF _Toc80379934 \h </w:instrText>
        </w:r>
        <w:r w:rsidR="008907E4">
          <w:rPr>
            <w:noProof/>
            <w:webHidden/>
          </w:rPr>
        </w:r>
        <w:r w:rsidR="008907E4">
          <w:rPr>
            <w:noProof/>
            <w:webHidden/>
          </w:rPr>
          <w:fldChar w:fldCharType="separate"/>
        </w:r>
        <w:r w:rsidR="00E86865">
          <w:rPr>
            <w:noProof/>
            <w:webHidden/>
          </w:rPr>
          <w:t>35</w:t>
        </w:r>
        <w:r w:rsidR="008907E4">
          <w:rPr>
            <w:noProof/>
            <w:webHidden/>
          </w:rPr>
          <w:fldChar w:fldCharType="end"/>
        </w:r>
      </w:hyperlink>
    </w:p>
    <w:p w14:paraId="30CD0553" w14:textId="4AC179D4" w:rsidR="008907E4" w:rsidRDefault="00C23355" w:rsidP="00E14ED4">
      <w:pPr>
        <w:pStyle w:val="TOC2"/>
        <w:rPr>
          <w:rFonts w:eastAsiaTheme="minorEastAsia" w:cstheme="minorBidi"/>
          <w:b w:val="0"/>
          <w:bCs w:val="0"/>
          <w:noProof/>
          <w:sz w:val="22"/>
          <w:szCs w:val="22"/>
          <w:lang w:val="en-US"/>
        </w:rPr>
      </w:pPr>
      <w:hyperlink w:anchor="_Toc80379935" w:history="1">
        <w:r w:rsidR="008907E4" w:rsidRPr="00D527D0">
          <w:rPr>
            <w:rStyle w:val="Hyperlink"/>
            <w:noProof/>
          </w:rPr>
          <w:t>2.4</w:t>
        </w:r>
        <w:r w:rsidR="008907E4">
          <w:rPr>
            <w:rFonts w:eastAsiaTheme="minorEastAsia" w:cstheme="minorBidi"/>
            <w:b w:val="0"/>
            <w:bCs w:val="0"/>
            <w:noProof/>
            <w:sz w:val="22"/>
            <w:szCs w:val="22"/>
            <w:lang w:val="en-US"/>
          </w:rPr>
          <w:tab/>
        </w:r>
        <w:r w:rsidR="008907E4" w:rsidRPr="00D527D0">
          <w:rPr>
            <w:rStyle w:val="Hyperlink"/>
            <w:noProof/>
          </w:rPr>
          <w:t>Componentes do Projecto</w:t>
        </w:r>
        <w:r w:rsidR="008907E4">
          <w:rPr>
            <w:noProof/>
            <w:webHidden/>
          </w:rPr>
          <w:tab/>
        </w:r>
        <w:r w:rsidR="008907E4">
          <w:rPr>
            <w:noProof/>
            <w:webHidden/>
          </w:rPr>
          <w:fldChar w:fldCharType="begin"/>
        </w:r>
        <w:r w:rsidR="008907E4">
          <w:rPr>
            <w:noProof/>
            <w:webHidden/>
          </w:rPr>
          <w:instrText xml:space="preserve"> PAGEREF _Toc80379935 \h </w:instrText>
        </w:r>
        <w:r w:rsidR="008907E4">
          <w:rPr>
            <w:noProof/>
            <w:webHidden/>
          </w:rPr>
        </w:r>
        <w:r w:rsidR="008907E4">
          <w:rPr>
            <w:noProof/>
            <w:webHidden/>
          </w:rPr>
          <w:fldChar w:fldCharType="separate"/>
        </w:r>
        <w:r w:rsidR="00E86865">
          <w:rPr>
            <w:noProof/>
            <w:webHidden/>
          </w:rPr>
          <w:t>36</w:t>
        </w:r>
        <w:r w:rsidR="008907E4">
          <w:rPr>
            <w:noProof/>
            <w:webHidden/>
          </w:rPr>
          <w:fldChar w:fldCharType="end"/>
        </w:r>
      </w:hyperlink>
    </w:p>
    <w:p w14:paraId="44521ED0" w14:textId="7276874F" w:rsidR="008907E4" w:rsidRDefault="00C23355" w:rsidP="00E14ED4">
      <w:pPr>
        <w:pStyle w:val="TOC2"/>
        <w:rPr>
          <w:rFonts w:eastAsiaTheme="minorEastAsia" w:cstheme="minorBidi"/>
          <w:b w:val="0"/>
          <w:bCs w:val="0"/>
          <w:noProof/>
          <w:sz w:val="22"/>
          <w:szCs w:val="22"/>
          <w:lang w:val="en-US"/>
        </w:rPr>
      </w:pPr>
      <w:hyperlink w:anchor="_Toc80379936" w:history="1">
        <w:r w:rsidR="008907E4" w:rsidRPr="00D527D0">
          <w:rPr>
            <w:rStyle w:val="Hyperlink"/>
            <w:noProof/>
          </w:rPr>
          <w:t>2.5</w:t>
        </w:r>
        <w:r w:rsidR="008907E4">
          <w:rPr>
            <w:rFonts w:eastAsiaTheme="minorEastAsia" w:cstheme="minorBidi"/>
            <w:b w:val="0"/>
            <w:bCs w:val="0"/>
            <w:noProof/>
            <w:sz w:val="22"/>
            <w:szCs w:val="22"/>
            <w:lang w:val="en-US"/>
          </w:rPr>
          <w:tab/>
        </w:r>
        <w:r w:rsidR="008907E4" w:rsidRPr="00D527D0">
          <w:rPr>
            <w:rStyle w:val="Hyperlink"/>
            <w:noProof/>
          </w:rPr>
          <w:t>Áreas de Abrangência do Projecto e beneficiários</w:t>
        </w:r>
        <w:r w:rsidR="008907E4">
          <w:rPr>
            <w:noProof/>
            <w:webHidden/>
          </w:rPr>
          <w:tab/>
        </w:r>
        <w:r w:rsidR="008907E4">
          <w:rPr>
            <w:noProof/>
            <w:webHidden/>
          </w:rPr>
          <w:fldChar w:fldCharType="begin"/>
        </w:r>
        <w:r w:rsidR="008907E4">
          <w:rPr>
            <w:noProof/>
            <w:webHidden/>
          </w:rPr>
          <w:instrText xml:space="preserve"> PAGEREF _Toc80379936 \h </w:instrText>
        </w:r>
        <w:r w:rsidR="008907E4">
          <w:rPr>
            <w:noProof/>
            <w:webHidden/>
          </w:rPr>
        </w:r>
        <w:r w:rsidR="008907E4">
          <w:rPr>
            <w:noProof/>
            <w:webHidden/>
          </w:rPr>
          <w:fldChar w:fldCharType="separate"/>
        </w:r>
        <w:r w:rsidR="00E86865">
          <w:rPr>
            <w:noProof/>
            <w:webHidden/>
          </w:rPr>
          <w:t>40</w:t>
        </w:r>
        <w:r w:rsidR="008907E4">
          <w:rPr>
            <w:noProof/>
            <w:webHidden/>
          </w:rPr>
          <w:fldChar w:fldCharType="end"/>
        </w:r>
      </w:hyperlink>
    </w:p>
    <w:p w14:paraId="1D74ED5A" w14:textId="43CB6722" w:rsidR="008907E4" w:rsidRDefault="00C23355" w:rsidP="00E14ED4">
      <w:pPr>
        <w:pStyle w:val="TOC1"/>
        <w:rPr>
          <w:rFonts w:asciiTheme="minorHAnsi" w:eastAsiaTheme="minorEastAsia" w:hAnsiTheme="minorHAnsi" w:cstheme="minorBidi"/>
          <w:b w:val="0"/>
          <w:bCs w:val="0"/>
          <w:caps w:val="0"/>
          <w:noProof/>
          <w:sz w:val="22"/>
          <w:szCs w:val="22"/>
          <w:lang w:val="en-US"/>
        </w:rPr>
      </w:pPr>
      <w:hyperlink w:anchor="_Toc80379937" w:history="1">
        <w:r w:rsidR="008907E4" w:rsidRPr="00D527D0">
          <w:rPr>
            <w:rStyle w:val="Hyperlink"/>
            <w:noProof/>
            <w:lang w:val="pt-BR" w:eastAsia="ja-JP"/>
          </w:rPr>
          <w:t>3</w:t>
        </w:r>
        <w:r w:rsidR="008907E4">
          <w:rPr>
            <w:rFonts w:asciiTheme="minorHAnsi" w:eastAsiaTheme="minorEastAsia" w:hAnsiTheme="minorHAnsi" w:cstheme="minorBidi"/>
            <w:b w:val="0"/>
            <w:bCs w:val="0"/>
            <w:caps w:val="0"/>
            <w:noProof/>
            <w:sz w:val="22"/>
            <w:szCs w:val="22"/>
            <w:lang w:val="en-US"/>
          </w:rPr>
          <w:tab/>
        </w:r>
        <w:r w:rsidR="008907E4" w:rsidRPr="00D527D0">
          <w:rPr>
            <w:rStyle w:val="Hyperlink"/>
            <w:noProof/>
            <w:lang w:val="pt-PT" w:eastAsia="ja-JP"/>
          </w:rPr>
          <w:t>Quadro Legal e Institucional</w:t>
        </w:r>
        <w:r w:rsidR="008907E4">
          <w:rPr>
            <w:noProof/>
            <w:webHidden/>
          </w:rPr>
          <w:tab/>
        </w:r>
        <w:r w:rsidR="008907E4">
          <w:rPr>
            <w:noProof/>
            <w:webHidden/>
          </w:rPr>
          <w:fldChar w:fldCharType="begin"/>
        </w:r>
        <w:r w:rsidR="008907E4">
          <w:rPr>
            <w:noProof/>
            <w:webHidden/>
          </w:rPr>
          <w:instrText xml:space="preserve"> PAGEREF _Toc80379937 \h </w:instrText>
        </w:r>
        <w:r w:rsidR="008907E4">
          <w:rPr>
            <w:noProof/>
            <w:webHidden/>
          </w:rPr>
        </w:r>
        <w:r w:rsidR="008907E4">
          <w:rPr>
            <w:noProof/>
            <w:webHidden/>
          </w:rPr>
          <w:fldChar w:fldCharType="separate"/>
        </w:r>
        <w:r w:rsidR="00E86865">
          <w:rPr>
            <w:noProof/>
            <w:webHidden/>
          </w:rPr>
          <w:t>43</w:t>
        </w:r>
        <w:r w:rsidR="008907E4">
          <w:rPr>
            <w:noProof/>
            <w:webHidden/>
          </w:rPr>
          <w:fldChar w:fldCharType="end"/>
        </w:r>
      </w:hyperlink>
    </w:p>
    <w:p w14:paraId="29C25CBB" w14:textId="364744C1" w:rsidR="008907E4" w:rsidRDefault="00C23355" w:rsidP="00E14ED4">
      <w:pPr>
        <w:pStyle w:val="TOC2"/>
        <w:rPr>
          <w:rFonts w:eastAsiaTheme="minorEastAsia" w:cstheme="minorBidi"/>
          <w:b w:val="0"/>
          <w:bCs w:val="0"/>
          <w:noProof/>
          <w:sz w:val="22"/>
          <w:szCs w:val="22"/>
          <w:lang w:val="en-US"/>
        </w:rPr>
      </w:pPr>
      <w:hyperlink w:anchor="_Toc80379938" w:history="1">
        <w:r w:rsidR="008907E4" w:rsidRPr="00D527D0">
          <w:rPr>
            <w:rStyle w:val="Hyperlink"/>
            <w:noProof/>
          </w:rPr>
          <w:t>3.1</w:t>
        </w:r>
        <w:r w:rsidR="008907E4">
          <w:rPr>
            <w:rFonts w:eastAsiaTheme="minorEastAsia" w:cstheme="minorBidi"/>
            <w:b w:val="0"/>
            <w:bCs w:val="0"/>
            <w:noProof/>
            <w:sz w:val="22"/>
            <w:szCs w:val="22"/>
            <w:lang w:val="en-US"/>
          </w:rPr>
          <w:tab/>
        </w:r>
        <w:r w:rsidR="008907E4" w:rsidRPr="00D527D0">
          <w:rPr>
            <w:rStyle w:val="Hyperlink"/>
            <w:noProof/>
          </w:rPr>
          <w:t>A Constituição da República</w:t>
        </w:r>
        <w:r w:rsidR="008907E4">
          <w:rPr>
            <w:noProof/>
            <w:webHidden/>
          </w:rPr>
          <w:tab/>
        </w:r>
        <w:r w:rsidR="008907E4">
          <w:rPr>
            <w:noProof/>
            <w:webHidden/>
          </w:rPr>
          <w:fldChar w:fldCharType="begin"/>
        </w:r>
        <w:r w:rsidR="008907E4">
          <w:rPr>
            <w:noProof/>
            <w:webHidden/>
          </w:rPr>
          <w:instrText xml:space="preserve"> PAGEREF _Toc80379938 \h </w:instrText>
        </w:r>
        <w:r w:rsidR="008907E4">
          <w:rPr>
            <w:noProof/>
            <w:webHidden/>
          </w:rPr>
        </w:r>
        <w:r w:rsidR="008907E4">
          <w:rPr>
            <w:noProof/>
            <w:webHidden/>
          </w:rPr>
          <w:fldChar w:fldCharType="separate"/>
        </w:r>
        <w:r w:rsidR="00E86865">
          <w:rPr>
            <w:noProof/>
            <w:webHidden/>
          </w:rPr>
          <w:t>43</w:t>
        </w:r>
        <w:r w:rsidR="008907E4">
          <w:rPr>
            <w:noProof/>
            <w:webHidden/>
          </w:rPr>
          <w:fldChar w:fldCharType="end"/>
        </w:r>
      </w:hyperlink>
    </w:p>
    <w:p w14:paraId="206C2CE8" w14:textId="6F773170" w:rsidR="008907E4" w:rsidRDefault="00C23355" w:rsidP="00E14ED4">
      <w:pPr>
        <w:pStyle w:val="TOC2"/>
        <w:rPr>
          <w:rFonts w:eastAsiaTheme="minorEastAsia" w:cstheme="minorBidi"/>
          <w:b w:val="0"/>
          <w:bCs w:val="0"/>
          <w:noProof/>
          <w:sz w:val="22"/>
          <w:szCs w:val="22"/>
          <w:lang w:val="en-US"/>
        </w:rPr>
      </w:pPr>
      <w:hyperlink w:anchor="_Toc80379939" w:history="1">
        <w:r w:rsidR="008907E4" w:rsidRPr="00D527D0">
          <w:rPr>
            <w:rStyle w:val="Hyperlink"/>
            <w:noProof/>
          </w:rPr>
          <w:t>3.2</w:t>
        </w:r>
        <w:r w:rsidR="008907E4">
          <w:rPr>
            <w:rFonts w:eastAsiaTheme="minorEastAsia" w:cstheme="minorBidi"/>
            <w:b w:val="0"/>
            <w:bCs w:val="0"/>
            <w:noProof/>
            <w:sz w:val="22"/>
            <w:szCs w:val="22"/>
            <w:lang w:val="en-US"/>
          </w:rPr>
          <w:tab/>
        </w:r>
        <w:r w:rsidR="008907E4" w:rsidRPr="00D527D0">
          <w:rPr>
            <w:rStyle w:val="Hyperlink"/>
            <w:noProof/>
          </w:rPr>
          <w:t>Políticas e Estratégias</w:t>
        </w:r>
        <w:r w:rsidR="008907E4">
          <w:rPr>
            <w:noProof/>
            <w:webHidden/>
          </w:rPr>
          <w:tab/>
        </w:r>
        <w:r w:rsidR="008907E4">
          <w:rPr>
            <w:noProof/>
            <w:webHidden/>
          </w:rPr>
          <w:fldChar w:fldCharType="begin"/>
        </w:r>
        <w:r w:rsidR="008907E4">
          <w:rPr>
            <w:noProof/>
            <w:webHidden/>
          </w:rPr>
          <w:instrText xml:space="preserve"> PAGEREF _Toc80379939 \h </w:instrText>
        </w:r>
        <w:r w:rsidR="008907E4">
          <w:rPr>
            <w:noProof/>
            <w:webHidden/>
          </w:rPr>
        </w:r>
        <w:r w:rsidR="008907E4">
          <w:rPr>
            <w:noProof/>
            <w:webHidden/>
          </w:rPr>
          <w:fldChar w:fldCharType="separate"/>
        </w:r>
        <w:r w:rsidR="00E86865">
          <w:rPr>
            <w:noProof/>
            <w:webHidden/>
          </w:rPr>
          <w:t>43</w:t>
        </w:r>
        <w:r w:rsidR="008907E4">
          <w:rPr>
            <w:noProof/>
            <w:webHidden/>
          </w:rPr>
          <w:fldChar w:fldCharType="end"/>
        </w:r>
      </w:hyperlink>
    </w:p>
    <w:p w14:paraId="710371E2" w14:textId="46704B9F" w:rsidR="008907E4" w:rsidRDefault="00C23355" w:rsidP="00E14ED4">
      <w:pPr>
        <w:pStyle w:val="TOC3"/>
        <w:spacing w:before="0"/>
        <w:rPr>
          <w:rFonts w:eastAsiaTheme="minorEastAsia" w:cstheme="minorBidi"/>
          <w:noProof/>
          <w:sz w:val="22"/>
          <w:szCs w:val="22"/>
          <w:lang w:val="en-US"/>
        </w:rPr>
      </w:pPr>
      <w:hyperlink w:anchor="_Toc80379940" w:history="1">
        <w:r w:rsidR="008907E4" w:rsidRPr="00D527D0">
          <w:rPr>
            <w:rStyle w:val="Hyperlink"/>
            <w:noProof/>
            <w:lang w:eastAsia="ja-JP"/>
          </w:rPr>
          <w:t>3.2.1</w:t>
        </w:r>
        <w:r w:rsidR="008907E4">
          <w:rPr>
            <w:rFonts w:eastAsiaTheme="minorEastAsia" w:cstheme="minorBidi"/>
            <w:noProof/>
            <w:sz w:val="22"/>
            <w:szCs w:val="22"/>
            <w:lang w:val="en-US"/>
          </w:rPr>
          <w:tab/>
        </w:r>
        <w:r w:rsidR="008907E4" w:rsidRPr="00D527D0">
          <w:rPr>
            <w:rStyle w:val="Hyperlink"/>
            <w:noProof/>
            <w:lang w:eastAsia="ja-JP"/>
          </w:rPr>
          <w:t>Política e Estratégia de Águas</w:t>
        </w:r>
        <w:r w:rsidR="008907E4">
          <w:rPr>
            <w:noProof/>
            <w:webHidden/>
          </w:rPr>
          <w:tab/>
        </w:r>
        <w:r w:rsidR="008907E4">
          <w:rPr>
            <w:noProof/>
            <w:webHidden/>
          </w:rPr>
          <w:fldChar w:fldCharType="begin"/>
        </w:r>
        <w:r w:rsidR="008907E4">
          <w:rPr>
            <w:noProof/>
            <w:webHidden/>
          </w:rPr>
          <w:instrText xml:space="preserve"> PAGEREF _Toc80379940 \h </w:instrText>
        </w:r>
        <w:r w:rsidR="008907E4">
          <w:rPr>
            <w:noProof/>
            <w:webHidden/>
          </w:rPr>
        </w:r>
        <w:r w:rsidR="008907E4">
          <w:rPr>
            <w:noProof/>
            <w:webHidden/>
          </w:rPr>
          <w:fldChar w:fldCharType="separate"/>
        </w:r>
        <w:r w:rsidR="00E86865">
          <w:rPr>
            <w:noProof/>
            <w:webHidden/>
          </w:rPr>
          <w:t>43</w:t>
        </w:r>
        <w:r w:rsidR="008907E4">
          <w:rPr>
            <w:noProof/>
            <w:webHidden/>
          </w:rPr>
          <w:fldChar w:fldCharType="end"/>
        </w:r>
      </w:hyperlink>
    </w:p>
    <w:p w14:paraId="2C34CE62" w14:textId="7C7960E8" w:rsidR="008907E4" w:rsidRDefault="00C23355" w:rsidP="00E14ED4">
      <w:pPr>
        <w:pStyle w:val="TOC3"/>
        <w:spacing w:before="0"/>
        <w:rPr>
          <w:rFonts w:eastAsiaTheme="minorEastAsia" w:cstheme="minorBidi"/>
          <w:noProof/>
          <w:sz w:val="22"/>
          <w:szCs w:val="22"/>
          <w:lang w:val="en-US"/>
        </w:rPr>
      </w:pPr>
      <w:hyperlink w:anchor="_Toc80379941" w:history="1">
        <w:r w:rsidR="008907E4" w:rsidRPr="00D527D0">
          <w:rPr>
            <w:rStyle w:val="Hyperlink"/>
            <w:noProof/>
            <w:lang w:eastAsia="ja-JP"/>
          </w:rPr>
          <w:t>3.2.2</w:t>
        </w:r>
        <w:r w:rsidR="008907E4">
          <w:rPr>
            <w:rFonts w:eastAsiaTheme="minorEastAsia" w:cstheme="minorBidi"/>
            <w:noProof/>
            <w:sz w:val="22"/>
            <w:szCs w:val="22"/>
            <w:lang w:val="en-US"/>
          </w:rPr>
          <w:tab/>
        </w:r>
        <w:r w:rsidR="008907E4" w:rsidRPr="00D527D0">
          <w:rPr>
            <w:rStyle w:val="Hyperlink"/>
            <w:noProof/>
            <w:lang w:eastAsia="ja-JP"/>
          </w:rPr>
          <w:t>Programa Nacional de Gestão Ambiental</w:t>
        </w:r>
        <w:r w:rsidR="008907E4">
          <w:rPr>
            <w:noProof/>
            <w:webHidden/>
          </w:rPr>
          <w:tab/>
        </w:r>
        <w:r w:rsidR="008907E4">
          <w:rPr>
            <w:noProof/>
            <w:webHidden/>
          </w:rPr>
          <w:fldChar w:fldCharType="begin"/>
        </w:r>
        <w:r w:rsidR="008907E4">
          <w:rPr>
            <w:noProof/>
            <w:webHidden/>
          </w:rPr>
          <w:instrText xml:space="preserve"> PAGEREF _Toc80379941 \h </w:instrText>
        </w:r>
        <w:r w:rsidR="008907E4">
          <w:rPr>
            <w:noProof/>
            <w:webHidden/>
          </w:rPr>
        </w:r>
        <w:r w:rsidR="008907E4">
          <w:rPr>
            <w:noProof/>
            <w:webHidden/>
          </w:rPr>
          <w:fldChar w:fldCharType="separate"/>
        </w:r>
        <w:r w:rsidR="00E86865">
          <w:rPr>
            <w:noProof/>
            <w:webHidden/>
          </w:rPr>
          <w:t>44</w:t>
        </w:r>
        <w:r w:rsidR="008907E4">
          <w:rPr>
            <w:noProof/>
            <w:webHidden/>
          </w:rPr>
          <w:fldChar w:fldCharType="end"/>
        </w:r>
      </w:hyperlink>
    </w:p>
    <w:p w14:paraId="00DE5302" w14:textId="2B71BACE" w:rsidR="008907E4" w:rsidRDefault="00C23355" w:rsidP="00E14ED4">
      <w:pPr>
        <w:pStyle w:val="TOC2"/>
        <w:rPr>
          <w:rFonts w:eastAsiaTheme="minorEastAsia" w:cstheme="minorBidi"/>
          <w:b w:val="0"/>
          <w:bCs w:val="0"/>
          <w:noProof/>
          <w:sz w:val="22"/>
          <w:szCs w:val="22"/>
          <w:lang w:val="en-US"/>
        </w:rPr>
      </w:pPr>
      <w:hyperlink w:anchor="_Toc80379943" w:history="1">
        <w:r w:rsidR="008907E4" w:rsidRPr="00D527D0">
          <w:rPr>
            <w:rStyle w:val="Hyperlink"/>
            <w:noProof/>
          </w:rPr>
          <w:t>3.3</w:t>
        </w:r>
        <w:r w:rsidR="008907E4">
          <w:rPr>
            <w:rFonts w:eastAsiaTheme="minorEastAsia" w:cstheme="minorBidi"/>
            <w:b w:val="0"/>
            <w:bCs w:val="0"/>
            <w:noProof/>
            <w:sz w:val="22"/>
            <w:szCs w:val="22"/>
            <w:lang w:val="en-US"/>
          </w:rPr>
          <w:tab/>
        </w:r>
        <w:r w:rsidR="008907E4" w:rsidRPr="00D527D0">
          <w:rPr>
            <w:rStyle w:val="Hyperlink"/>
            <w:noProof/>
          </w:rPr>
          <w:t>Quadro Legal Aplicável ao Projecto</w:t>
        </w:r>
        <w:r w:rsidR="008907E4">
          <w:rPr>
            <w:noProof/>
            <w:webHidden/>
          </w:rPr>
          <w:tab/>
        </w:r>
        <w:r w:rsidR="008907E4">
          <w:rPr>
            <w:noProof/>
            <w:webHidden/>
          </w:rPr>
          <w:fldChar w:fldCharType="begin"/>
        </w:r>
        <w:r w:rsidR="008907E4">
          <w:rPr>
            <w:noProof/>
            <w:webHidden/>
          </w:rPr>
          <w:instrText xml:space="preserve"> PAGEREF _Toc80379943 \h </w:instrText>
        </w:r>
        <w:r w:rsidR="008907E4">
          <w:rPr>
            <w:noProof/>
            <w:webHidden/>
          </w:rPr>
        </w:r>
        <w:r w:rsidR="008907E4">
          <w:rPr>
            <w:noProof/>
            <w:webHidden/>
          </w:rPr>
          <w:fldChar w:fldCharType="separate"/>
        </w:r>
        <w:r w:rsidR="00E86865">
          <w:rPr>
            <w:noProof/>
            <w:webHidden/>
          </w:rPr>
          <w:t>45</w:t>
        </w:r>
        <w:r w:rsidR="008907E4">
          <w:rPr>
            <w:noProof/>
            <w:webHidden/>
          </w:rPr>
          <w:fldChar w:fldCharType="end"/>
        </w:r>
      </w:hyperlink>
    </w:p>
    <w:p w14:paraId="6C231930" w14:textId="11F0C98A" w:rsidR="008907E4" w:rsidRDefault="00C23355" w:rsidP="00E14ED4">
      <w:pPr>
        <w:pStyle w:val="TOC2"/>
        <w:rPr>
          <w:rFonts w:eastAsiaTheme="minorEastAsia" w:cstheme="minorBidi"/>
          <w:b w:val="0"/>
          <w:bCs w:val="0"/>
          <w:noProof/>
          <w:sz w:val="22"/>
          <w:szCs w:val="22"/>
          <w:lang w:val="en-US"/>
        </w:rPr>
      </w:pPr>
      <w:hyperlink w:anchor="_Toc80379944" w:history="1">
        <w:r w:rsidR="008907E4" w:rsidRPr="00D527D0">
          <w:rPr>
            <w:rStyle w:val="Hyperlink"/>
            <w:noProof/>
          </w:rPr>
          <w:t>3.4</w:t>
        </w:r>
        <w:r w:rsidR="008907E4">
          <w:rPr>
            <w:rFonts w:eastAsiaTheme="minorEastAsia" w:cstheme="minorBidi"/>
            <w:b w:val="0"/>
            <w:bCs w:val="0"/>
            <w:noProof/>
            <w:sz w:val="22"/>
            <w:szCs w:val="22"/>
            <w:lang w:val="en-US"/>
          </w:rPr>
          <w:tab/>
        </w:r>
        <w:r w:rsidR="008907E4" w:rsidRPr="00D527D0">
          <w:rPr>
            <w:rStyle w:val="Hyperlink"/>
            <w:noProof/>
          </w:rPr>
          <w:t>Quadro Legal Internacional</w:t>
        </w:r>
        <w:r w:rsidR="008907E4">
          <w:rPr>
            <w:noProof/>
            <w:webHidden/>
          </w:rPr>
          <w:tab/>
        </w:r>
        <w:r w:rsidR="008907E4">
          <w:rPr>
            <w:noProof/>
            <w:webHidden/>
          </w:rPr>
          <w:fldChar w:fldCharType="begin"/>
        </w:r>
        <w:r w:rsidR="008907E4">
          <w:rPr>
            <w:noProof/>
            <w:webHidden/>
          </w:rPr>
          <w:instrText xml:space="preserve"> PAGEREF _Toc80379944 \h </w:instrText>
        </w:r>
        <w:r w:rsidR="008907E4">
          <w:rPr>
            <w:noProof/>
            <w:webHidden/>
          </w:rPr>
        </w:r>
        <w:r w:rsidR="008907E4">
          <w:rPr>
            <w:noProof/>
            <w:webHidden/>
          </w:rPr>
          <w:fldChar w:fldCharType="separate"/>
        </w:r>
        <w:r w:rsidR="00E86865">
          <w:rPr>
            <w:noProof/>
            <w:webHidden/>
          </w:rPr>
          <w:t>56</w:t>
        </w:r>
        <w:r w:rsidR="008907E4">
          <w:rPr>
            <w:noProof/>
            <w:webHidden/>
          </w:rPr>
          <w:fldChar w:fldCharType="end"/>
        </w:r>
      </w:hyperlink>
    </w:p>
    <w:p w14:paraId="198A3FC0" w14:textId="000FB58A" w:rsidR="008907E4" w:rsidRDefault="00C23355" w:rsidP="00E14ED4">
      <w:pPr>
        <w:pStyle w:val="TOC3"/>
        <w:spacing w:before="0"/>
        <w:rPr>
          <w:rFonts w:eastAsiaTheme="minorEastAsia" w:cstheme="minorBidi"/>
          <w:noProof/>
          <w:sz w:val="22"/>
          <w:szCs w:val="22"/>
          <w:lang w:val="en-US"/>
        </w:rPr>
      </w:pPr>
      <w:hyperlink w:anchor="_Toc80379945" w:history="1">
        <w:r w:rsidR="008907E4" w:rsidRPr="00D527D0">
          <w:rPr>
            <w:rStyle w:val="Hyperlink"/>
            <w:noProof/>
          </w:rPr>
          <w:t>3.4.1</w:t>
        </w:r>
        <w:r w:rsidR="008907E4">
          <w:rPr>
            <w:rFonts w:eastAsiaTheme="minorEastAsia" w:cstheme="minorBidi"/>
            <w:noProof/>
            <w:sz w:val="22"/>
            <w:szCs w:val="22"/>
            <w:lang w:val="en-US"/>
          </w:rPr>
          <w:tab/>
        </w:r>
        <w:r w:rsidR="008907E4" w:rsidRPr="00D527D0">
          <w:rPr>
            <w:rStyle w:val="Hyperlink"/>
            <w:noProof/>
          </w:rPr>
          <w:t>Convenções Internacionais</w:t>
        </w:r>
        <w:r w:rsidR="008907E4">
          <w:rPr>
            <w:noProof/>
            <w:webHidden/>
          </w:rPr>
          <w:tab/>
        </w:r>
        <w:r w:rsidR="008907E4">
          <w:rPr>
            <w:noProof/>
            <w:webHidden/>
          </w:rPr>
          <w:fldChar w:fldCharType="begin"/>
        </w:r>
        <w:r w:rsidR="008907E4">
          <w:rPr>
            <w:noProof/>
            <w:webHidden/>
          </w:rPr>
          <w:instrText xml:space="preserve"> PAGEREF _Toc80379945 \h </w:instrText>
        </w:r>
        <w:r w:rsidR="008907E4">
          <w:rPr>
            <w:noProof/>
            <w:webHidden/>
          </w:rPr>
        </w:r>
        <w:r w:rsidR="008907E4">
          <w:rPr>
            <w:noProof/>
            <w:webHidden/>
          </w:rPr>
          <w:fldChar w:fldCharType="separate"/>
        </w:r>
        <w:r w:rsidR="00E86865">
          <w:rPr>
            <w:noProof/>
            <w:webHidden/>
          </w:rPr>
          <w:t>56</w:t>
        </w:r>
        <w:r w:rsidR="008907E4">
          <w:rPr>
            <w:noProof/>
            <w:webHidden/>
          </w:rPr>
          <w:fldChar w:fldCharType="end"/>
        </w:r>
      </w:hyperlink>
    </w:p>
    <w:p w14:paraId="67BC6AC2" w14:textId="5CEA2AF6" w:rsidR="008907E4" w:rsidRDefault="00C23355" w:rsidP="00E14ED4">
      <w:pPr>
        <w:pStyle w:val="TOC1"/>
        <w:rPr>
          <w:rFonts w:asciiTheme="minorHAnsi" w:eastAsiaTheme="minorEastAsia" w:hAnsiTheme="minorHAnsi" w:cstheme="minorBidi"/>
          <w:b w:val="0"/>
          <w:bCs w:val="0"/>
          <w:caps w:val="0"/>
          <w:noProof/>
          <w:sz w:val="22"/>
          <w:szCs w:val="22"/>
          <w:lang w:val="en-US"/>
        </w:rPr>
      </w:pPr>
      <w:hyperlink w:anchor="_Toc80379946" w:history="1">
        <w:r w:rsidR="008907E4" w:rsidRPr="00D527D0">
          <w:rPr>
            <w:rStyle w:val="Hyperlink"/>
            <w:noProof/>
            <w:lang w:val="pt-BR" w:eastAsia="ja-JP"/>
          </w:rPr>
          <w:t>4</w:t>
        </w:r>
        <w:r w:rsidR="008907E4">
          <w:rPr>
            <w:rFonts w:asciiTheme="minorHAnsi" w:eastAsiaTheme="minorEastAsia" w:hAnsiTheme="minorHAnsi" w:cstheme="minorBidi"/>
            <w:b w:val="0"/>
            <w:bCs w:val="0"/>
            <w:caps w:val="0"/>
            <w:noProof/>
            <w:sz w:val="22"/>
            <w:szCs w:val="22"/>
            <w:lang w:val="en-US"/>
          </w:rPr>
          <w:tab/>
        </w:r>
        <w:r w:rsidR="008907E4" w:rsidRPr="00D527D0">
          <w:rPr>
            <w:rStyle w:val="Hyperlink"/>
            <w:noProof/>
            <w:lang w:val="pt-PT" w:eastAsia="ja-JP"/>
          </w:rPr>
          <w:t>Normas e Directrizes do Banco Mundial</w:t>
        </w:r>
        <w:r w:rsidR="008907E4">
          <w:rPr>
            <w:noProof/>
            <w:webHidden/>
          </w:rPr>
          <w:tab/>
        </w:r>
        <w:r w:rsidR="008907E4">
          <w:rPr>
            <w:noProof/>
            <w:webHidden/>
          </w:rPr>
          <w:fldChar w:fldCharType="begin"/>
        </w:r>
        <w:r w:rsidR="008907E4">
          <w:rPr>
            <w:noProof/>
            <w:webHidden/>
          </w:rPr>
          <w:instrText xml:space="preserve"> PAGEREF _Toc80379946 \h </w:instrText>
        </w:r>
        <w:r w:rsidR="008907E4">
          <w:rPr>
            <w:noProof/>
            <w:webHidden/>
          </w:rPr>
        </w:r>
        <w:r w:rsidR="008907E4">
          <w:rPr>
            <w:noProof/>
            <w:webHidden/>
          </w:rPr>
          <w:fldChar w:fldCharType="separate"/>
        </w:r>
        <w:r w:rsidR="00E86865">
          <w:rPr>
            <w:noProof/>
            <w:webHidden/>
          </w:rPr>
          <w:t>59</w:t>
        </w:r>
        <w:r w:rsidR="008907E4">
          <w:rPr>
            <w:noProof/>
            <w:webHidden/>
          </w:rPr>
          <w:fldChar w:fldCharType="end"/>
        </w:r>
      </w:hyperlink>
    </w:p>
    <w:p w14:paraId="425895A7" w14:textId="7A8AE2E3" w:rsidR="008907E4" w:rsidRDefault="00C23355" w:rsidP="00E14ED4">
      <w:pPr>
        <w:pStyle w:val="TOC1"/>
        <w:rPr>
          <w:rFonts w:asciiTheme="minorHAnsi" w:eastAsiaTheme="minorEastAsia" w:hAnsiTheme="minorHAnsi" w:cstheme="minorBidi"/>
          <w:b w:val="0"/>
          <w:bCs w:val="0"/>
          <w:caps w:val="0"/>
          <w:noProof/>
          <w:sz w:val="22"/>
          <w:szCs w:val="22"/>
          <w:lang w:val="en-US"/>
        </w:rPr>
      </w:pPr>
      <w:hyperlink w:anchor="_Toc80379947" w:history="1">
        <w:r w:rsidR="008907E4" w:rsidRPr="00D527D0">
          <w:rPr>
            <w:rStyle w:val="Hyperlink"/>
            <w:noProof/>
            <w:lang w:val="pt-BR"/>
          </w:rPr>
          <w:t>5</w:t>
        </w:r>
        <w:r w:rsidR="008907E4">
          <w:rPr>
            <w:rFonts w:asciiTheme="minorHAnsi" w:eastAsiaTheme="minorEastAsia" w:hAnsiTheme="minorHAnsi" w:cstheme="minorBidi"/>
            <w:b w:val="0"/>
            <w:bCs w:val="0"/>
            <w:caps w:val="0"/>
            <w:noProof/>
            <w:sz w:val="22"/>
            <w:szCs w:val="22"/>
            <w:lang w:val="en-US"/>
          </w:rPr>
          <w:tab/>
        </w:r>
        <w:r w:rsidR="008907E4" w:rsidRPr="00D527D0">
          <w:rPr>
            <w:rStyle w:val="Hyperlink"/>
            <w:noProof/>
            <w:lang w:val="pt-PT"/>
          </w:rPr>
          <w:t>Caracterização Geral da Situação de Referência</w:t>
        </w:r>
        <w:r w:rsidR="008907E4">
          <w:rPr>
            <w:noProof/>
            <w:webHidden/>
          </w:rPr>
          <w:tab/>
        </w:r>
        <w:r w:rsidR="008907E4">
          <w:rPr>
            <w:noProof/>
            <w:webHidden/>
          </w:rPr>
          <w:fldChar w:fldCharType="begin"/>
        </w:r>
        <w:r w:rsidR="008907E4">
          <w:rPr>
            <w:noProof/>
            <w:webHidden/>
          </w:rPr>
          <w:instrText xml:space="preserve"> PAGEREF _Toc80379947 \h </w:instrText>
        </w:r>
        <w:r w:rsidR="008907E4">
          <w:rPr>
            <w:noProof/>
            <w:webHidden/>
          </w:rPr>
        </w:r>
        <w:r w:rsidR="008907E4">
          <w:rPr>
            <w:noProof/>
            <w:webHidden/>
          </w:rPr>
          <w:fldChar w:fldCharType="separate"/>
        </w:r>
        <w:r w:rsidR="00E86865">
          <w:rPr>
            <w:noProof/>
            <w:webHidden/>
          </w:rPr>
          <w:t>79</w:t>
        </w:r>
        <w:r w:rsidR="008907E4">
          <w:rPr>
            <w:noProof/>
            <w:webHidden/>
          </w:rPr>
          <w:fldChar w:fldCharType="end"/>
        </w:r>
      </w:hyperlink>
    </w:p>
    <w:p w14:paraId="5B720733" w14:textId="6A65FEE7" w:rsidR="008907E4" w:rsidRDefault="00C23355" w:rsidP="00E14ED4">
      <w:pPr>
        <w:pStyle w:val="TOC2"/>
        <w:rPr>
          <w:rFonts w:eastAsiaTheme="minorEastAsia" w:cstheme="minorBidi"/>
          <w:b w:val="0"/>
          <w:bCs w:val="0"/>
          <w:noProof/>
          <w:sz w:val="22"/>
          <w:szCs w:val="22"/>
          <w:lang w:val="en-US"/>
        </w:rPr>
      </w:pPr>
      <w:hyperlink w:anchor="_Toc80379948" w:history="1">
        <w:r w:rsidR="008907E4" w:rsidRPr="00D527D0">
          <w:rPr>
            <w:rStyle w:val="Hyperlink"/>
            <w:noProof/>
          </w:rPr>
          <w:t>5.1</w:t>
        </w:r>
        <w:r w:rsidR="008907E4">
          <w:rPr>
            <w:rFonts w:eastAsiaTheme="minorEastAsia" w:cstheme="minorBidi"/>
            <w:b w:val="0"/>
            <w:bCs w:val="0"/>
            <w:noProof/>
            <w:sz w:val="22"/>
            <w:szCs w:val="22"/>
            <w:lang w:val="en-US"/>
          </w:rPr>
          <w:tab/>
        </w:r>
        <w:r w:rsidR="008907E4" w:rsidRPr="00D527D0">
          <w:rPr>
            <w:rStyle w:val="Hyperlink"/>
            <w:noProof/>
          </w:rPr>
          <w:t>Caracterização Ambiental</w:t>
        </w:r>
        <w:r w:rsidR="008907E4">
          <w:rPr>
            <w:noProof/>
            <w:webHidden/>
          </w:rPr>
          <w:tab/>
        </w:r>
        <w:r w:rsidR="008907E4">
          <w:rPr>
            <w:noProof/>
            <w:webHidden/>
          </w:rPr>
          <w:fldChar w:fldCharType="begin"/>
        </w:r>
        <w:r w:rsidR="008907E4">
          <w:rPr>
            <w:noProof/>
            <w:webHidden/>
          </w:rPr>
          <w:instrText xml:space="preserve"> PAGEREF _Toc80379948 \h </w:instrText>
        </w:r>
        <w:r w:rsidR="008907E4">
          <w:rPr>
            <w:noProof/>
            <w:webHidden/>
          </w:rPr>
        </w:r>
        <w:r w:rsidR="008907E4">
          <w:rPr>
            <w:noProof/>
            <w:webHidden/>
          </w:rPr>
          <w:fldChar w:fldCharType="separate"/>
        </w:r>
        <w:r w:rsidR="00E86865">
          <w:rPr>
            <w:noProof/>
            <w:webHidden/>
          </w:rPr>
          <w:t>79</w:t>
        </w:r>
        <w:r w:rsidR="008907E4">
          <w:rPr>
            <w:noProof/>
            <w:webHidden/>
          </w:rPr>
          <w:fldChar w:fldCharType="end"/>
        </w:r>
      </w:hyperlink>
    </w:p>
    <w:p w14:paraId="408B2012" w14:textId="541779B2" w:rsidR="008907E4" w:rsidRDefault="00C23355" w:rsidP="00E14ED4">
      <w:pPr>
        <w:pStyle w:val="TOC3"/>
        <w:spacing w:before="0"/>
        <w:ind w:left="216"/>
        <w:rPr>
          <w:rFonts w:eastAsiaTheme="minorEastAsia" w:cstheme="minorBidi"/>
          <w:noProof/>
          <w:sz w:val="22"/>
          <w:szCs w:val="22"/>
          <w:lang w:val="en-US"/>
        </w:rPr>
      </w:pPr>
      <w:hyperlink w:anchor="_Toc80379949" w:history="1">
        <w:r w:rsidR="008907E4" w:rsidRPr="00D527D0">
          <w:rPr>
            <w:rStyle w:val="Hyperlink"/>
            <w:noProof/>
            <w:lang w:eastAsia="ja-JP"/>
          </w:rPr>
          <w:t>5.1.1</w:t>
        </w:r>
        <w:r w:rsidR="008907E4">
          <w:rPr>
            <w:rFonts w:eastAsiaTheme="minorEastAsia" w:cstheme="minorBidi"/>
            <w:noProof/>
            <w:sz w:val="22"/>
            <w:szCs w:val="22"/>
            <w:lang w:val="en-US"/>
          </w:rPr>
          <w:tab/>
        </w:r>
        <w:r w:rsidR="008907E4" w:rsidRPr="00D527D0">
          <w:rPr>
            <w:rStyle w:val="Hyperlink"/>
            <w:noProof/>
            <w:lang w:eastAsia="ja-JP"/>
          </w:rPr>
          <w:t>Geologia e Geomorfologia</w:t>
        </w:r>
        <w:r w:rsidR="008907E4">
          <w:rPr>
            <w:noProof/>
            <w:webHidden/>
          </w:rPr>
          <w:tab/>
        </w:r>
        <w:r w:rsidR="008907E4">
          <w:rPr>
            <w:noProof/>
            <w:webHidden/>
          </w:rPr>
          <w:fldChar w:fldCharType="begin"/>
        </w:r>
        <w:r w:rsidR="008907E4">
          <w:rPr>
            <w:noProof/>
            <w:webHidden/>
          </w:rPr>
          <w:instrText xml:space="preserve"> PAGEREF _Toc80379949 \h </w:instrText>
        </w:r>
        <w:r w:rsidR="008907E4">
          <w:rPr>
            <w:noProof/>
            <w:webHidden/>
          </w:rPr>
        </w:r>
        <w:r w:rsidR="008907E4">
          <w:rPr>
            <w:noProof/>
            <w:webHidden/>
          </w:rPr>
          <w:fldChar w:fldCharType="separate"/>
        </w:r>
        <w:r w:rsidR="00E86865">
          <w:rPr>
            <w:noProof/>
            <w:webHidden/>
          </w:rPr>
          <w:t>79</w:t>
        </w:r>
        <w:r w:rsidR="008907E4">
          <w:rPr>
            <w:noProof/>
            <w:webHidden/>
          </w:rPr>
          <w:fldChar w:fldCharType="end"/>
        </w:r>
      </w:hyperlink>
    </w:p>
    <w:p w14:paraId="345A25A3" w14:textId="6ACB309F" w:rsidR="008907E4" w:rsidRDefault="00C23355" w:rsidP="00E14ED4">
      <w:pPr>
        <w:pStyle w:val="TOC3"/>
        <w:spacing w:before="0"/>
        <w:ind w:left="216"/>
        <w:rPr>
          <w:rFonts w:eastAsiaTheme="minorEastAsia" w:cstheme="minorBidi"/>
          <w:noProof/>
          <w:sz w:val="22"/>
          <w:szCs w:val="22"/>
          <w:lang w:val="en-US"/>
        </w:rPr>
      </w:pPr>
      <w:hyperlink w:anchor="_Toc80379950" w:history="1">
        <w:r w:rsidR="008907E4" w:rsidRPr="00D527D0">
          <w:rPr>
            <w:rStyle w:val="Hyperlink"/>
            <w:noProof/>
            <w:lang w:eastAsia="ja-JP"/>
          </w:rPr>
          <w:t>5.1.2</w:t>
        </w:r>
        <w:r w:rsidR="008907E4">
          <w:rPr>
            <w:rFonts w:eastAsiaTheme="minorEastAsia" w:cstheme="minorBidi"/>
            <w:noProof/>
            <w:sz w:val="22"/>
            <w:szCs w:val="22"/>
            <w:lang w:val="en-US"/>
          </w:rPr>
          <w:tab/>
        </w:r>
        <w:r w:rsidR="008907E4" w:rsidRPr="00D527D0">
          <w:rPr>
            <w:rStyle w:val="Hyperlink"/>
            <w:noProof/>
            <w:lang w:eastAsia="ja-JP"/>
          </w:rPr>
          <w:t>Topografia</w:t>
        </w:r>
        <w:r w:rsidR="008907E4">
          <w:rPr>
            <w:noProof/>
            <w:webHidden/>
          </w:rPr>
          <w:tab/>
        </w:r>
        <w:r w:rsidR="008907E4">
          <w:rPr>
            <w:noProof/>
            <w:webHidden/>
          </w:rPr>
          <w:fldChar w:fldCharType="begin"/>
        </w:r>
        <w:r w:rsidR="008907E4">
          <w:rPr>
            <w:noProof/>
            <w:webHidden/>
          </w:rPr>
          <w:instrText xml:space="preserve"> PAGEREF _Toc80379950 \h </w:instrText>
        </w:r>
        <w:r w:rsidR="008907E4">
          <w:rPr>
            <w:noProof/>
            <w:webHidden/>
          </w:rPr>
        </w:r>
        <w:r w:rsidR="008907E4">
          <w:rPr>
            <w:noProof/>
            <w:webHidden/>
          </w:rPr>
          <w:fldChar w:fldCharType="separate"/>
        </w:r>
        <w:r w:rsidR="00E86865">
          <w:rPr>
            <w:noProof/>
            <w:webHidden/>
          </w:rPr>
          <w:t>80</w:t>
        </w:r>
        <w:r w:rsidR="008907E4">
          <w:rPr>
            <w:noProof/>
            <w:webHidden/>
          </w:rPr>
          <w:fldChar w:fldCharType="end"/>
        </w:r>
      </w:hyperlink>
    </w:p>
    <w:p w14:paraId="0162A28E" w14:textId="2065ABAE" w:rsidR="008907E4" w:rsidRDefault="00C23355" w:rsidP="00E14ED4">
      <w:pPr>
        <w:pStyle w:val="TOC3"/>
        <w:spacing w:before="0"/>
        <w:ind w:left="216"/>
        <w:rPr>
          <w:rFonts w:eastAsiaTheme="minorEastAsia" w:cstheme="minorBidi"/>
          <w:noProof/>
          <w:sz w:val="22"/>
          <w:szCs w:val="22"/>
          <w:lang w:val="en-US"/>
        </w:rPr>
      </w:pPr>
      <w:hyperlink w:anchor="_Toc80379951" w:history="1">
        <w:r w:rsidR="008907E4" w:rsidRPr="00D527D0">
          <w:rPr>
            <w:rStyle w:val="Hyperlink"/>
            <w:noProof/>
            <w:lang w:eastAsia="ja-JP"/>
          </w:rPr>
          <w:t>5.1.3</w:t>
        </w:r>
        <w:r w:rsidR="008907E4">
          <w:rPr>
            <w:rFonts w:eastAsiaTheme="minorEastAsia" w:cstheme="minorBidi"/>
            <w:noProof/>
            <w:sz w:val="22"/>
            <w:szCs w:val="22"/>
            <w:lang w:val="en-US"/>
          </w:rPr>
          <w:tab/>
        </w:r>
        <w:r w:rsidR="008907E4" w:rsidRPr="00D527D0">
          <w:rPr>
            <w:rStyle w:val="Hyperlink"/>
            <w:noProof/>
            <w:lang w:eastAsia="ja-JP"/>
          </w:rPr>
          <w:t>Clima</w:t>
        </w:r>
        <w:r w:rsidR="008907E4">
          <w:rPr>
            <w:noProof/>
            <w:webHidden/>
          </w:rPr>
          <w:tab/>
        </w:r>
        <w:r w:rsidR="008907E4">
          <w:rPr>
            <w:noProof/>
            <w:webHidden/>
          </w:rPr>
          <w:fldChar w:fldCharType="begin"/>
        </w:r>
        <w:r w:rsidR="008907E4">
          <w:rPr>
            <w:noProof/>
            <w:webHidden/>
          </w:rPr>
          <w:instrText xml:space="preserve"> PAGEREF _Toc80379951 \h </w:instrText>
        </w:r>
        <w:r w:rsidR="008907E4">
          <w:rPr>
            <w:noProof/>
            <w:webHidden/>
          </w:rPr>
        </w:r>
        <w:r w:rsidR="008907E4">
          <w:rPr>
            <w:noProof/>
            <w:webHidden/>
          </w:rPr>
          <w:fldChar w:fldCharType="separate"/>
        </w:r>
        <w:r w:rsidR="00E86865">
          <w:rPr>
            <w:noProof/>
            <w:webHidden/>
          </w:rPr>
          <w:t>81</w:t>
        </w:r>
        <w:r w:rsidR="008907E4">
          <w:rPr>
            <w:noProof/>
            <w:webHidden/>
          </w:rPr>
          <w:fldChar w:fldCharType="end"/>
        </w:r>
      </w:hyperlink>
    </w:p>
    <w:p w14:paraId="4002C7E0" w14:textId="34E76208" w:rsidR="008907E4" w:rsidRDefault="00C23355" w:rsidP="00E14ED4">
      <w:pPr>
        <w:pStyle w:val="TOC3"/>
        <w:spacing w:before="0"/>
        <w:ind w:left="216"/>
        <w:rPr>
          <w:rFonts w:eastAsiaTheme="minorEastAsia" w:cstheme="minorBidi"/>
          <w:noProof/>
          <w:sz w:val="22"/>
          <w:szCs w:val="22"/>
          <w:lang w:val="en-US"/>
        </w:rPr>
      </w:pPr>
      <w:hyperlink w:anchor="_Toc80379952" w:history="1">
        <w:r w:rsidR="008907E4" w:rsidRPr="00D527D0">
          <w:rPr>
            <w:rStyle w:val="Hyperlink"/>
            <w:noProof/>
            <w:lang w:eastAsia="ja-JP"/>
          </w:rPr>
          <w:t>5.1.4</w:t>
        </w:r>
        <w:r w:rsidR="008907E4">
          <w:rPr>
            <w:rFonts w:eastAsiaTheme="minorEastAsia" w:cstheme="minorBidi"/>
            <w:noProof/>
            <w:sz w:val="22"/>
            <w:szCs w:val="22"/>
            <w:lang w:val="en-US"/>
          </w:rPr>
          <w:tab/>
        </w:r>
        <w:r w:rsidR="008907E4" w:rsidRPr="00D527D0">
          <w:rPr>
            <w:rStyle w:val="Hyperlink"/>
            <w:noProof/>
            <w:lang w:eastAsia="ja-JP"/>
          </w:rPr>
          <w:t>Tipos de Solos e Riscos de Erosão</w:t>
        </w:r>
        <w:r w:rsidR="008907E4">
          <w:rPr>
            <w:noProof/>
            <w:webHidden/>
          </w:rPr>
          <w:tab/>
        </w:r>
        <w:r w:rsidR="008907E4">
          <w:rPr>
            <w:noProof/>
            <w:webHidden/>
          </w:rPr>
          <w:fldChar w:fldCharType="begin"/>
        </w:r>
        <w:r w:rsidR="008907E4">
          <w:rPr>
            <w:noProof/>
            <w:webHidden/>
          </w:rPr>
          <w:instrText xml:space="preserve"> PAGEREF _Toc80379952 \h </w:instrText>
        </w:r>
        <w:r w:rsidR="008907E4">
          <w:rPr>
            <w:noProof/>
            <w:webHidden/>
          </w:rPr>
        </w:r>
        <w:r w:rsidR="008907E4">
          <w:rPr>
            <w:noProof/>
            <w:webHidden/>
          </w:rPr>
          <w:fldChar w:fldCharType="separate"/>
        </w:r>
        <w:r w:rsidR="00E86865">
          <w:rPr>
            <w:noProof/>
            <w:webHidden/>
          </w:rPr>
          <w:t>82</w:t>
        </w:r>
        <w:r w:rsidR="008907E4">
          <w:rPr>
            <w:noProof/>
            <w:webHidden/>
          </w:rPr>
          <w:fldChar w:fldCharType="end"/>
        </w:r>
      </w:hyperlink>
    </w:p>
    <w:p w14:paraId="45BAAF3F" w14:textId="3A7824A0" w:rsidR="008907E4" w:rsidRDefault="00C23355" w:rsidP="00E14ED4">
      <w:pPr>
        <w:pStyle w:val="TOC3"/>
        <w:spacing w:before="0"/>
        <w:ind w:left="216"/>
        <w:rPr>
          <w:rFonts w:eastAsiaTheme="minorEastAsia" w:cstheme="minorBidi"/>
          <w:noProof/>
          <w:sz w:val="22"/>
          <w:szCs w:val="22"/>
          <w:lang w:val="en-US"/>
        </w:rPr>
      </w:pPr>
      <w:hyperlink w:anchor="_Toc80379953" w:history="1">
        <w:r w:rsidR="008907E4" w:rsidRPr="00D527D0">
          <w:rPr>
            <w:rStyle w:val="Hyperlink"/>
            <w:noProof/>
            <w:lang w:eastAsia="ja-JP"/>
          </w:rPr>
          <w:t>5.1.5</w:t>
        </w:r>
        <w:r w:rsidR="008907E4">
          <w:rPr>
            <w:rFonts w:eastAsiaTheme="minorEastAsia" w:cstheme="minorBidi"/>
            <w:noProof/>
            <w:sz w:val="22"/>
            <w:szCs w:val="22"/>
            <w:lang w:val="en-US"/>
          </w:rPr>
          <w:tab/>
        </w:r>
        <w:r w:rsidR="008907E4" w:rsidRPr="00D527D0">
          <w:rPr>
            <w:rStyle w:val="Hyperlink"/>
            <w:noProof/>
            <w:lang w:eastAsia="ja-JP"/>
          </w:rPr>
          <w:t>Hidrologia e Hidrogeologia</w:t>
        </w:r>
        <w:r w:rsidR="008907E4">
          <w:rPr>
            <w:noProof/>
            <w:webHidden/>
          </w:rPr>
          <w:tab/>
        </w:r>
        <w:r w:rsidR="008907E4">
          <w:rPr>
            <w:noProof/>
            <w:webHidden/>
          </w:rPr>
          <w:fldChar w:fldCharType="begin"/>
        </w:r>
        <w:r w:rsidR="008907E4">
          <w:rPr>
            <w:noProof/>
            <w:webHidden/>
          </w:rPr>
          <w:instrText xml:space="preserve"> PAGEREF _Toc80379953 \h </w:instrText>
        </w:r>
        <w:r w:rsidR="008907E4">
          <w:rPr>
            <w:noProof/>
            <w:webHidden/>
          </w:rPr>
        </w:r>
        <w:r w:rsidR="008907E4">
          <w:rPr>
            <w:noProof/>
            <w:webHidden/>
          </w:rPr>
          <w:fldChar w:fldCharType="separate"/>
        </w:r>
        <w:r w:rsidR="00E86865">
          <w:rPr>
            <w:noProof/>
            <w:webHidden/>
          </w:rPr>
          <w:t>83</w:t>
        </w:r>
        <w:r w:rsidR="008907E4">
          <w:rPr>
            <w:noProof/>
            <w:webHidden/>
          </w:rPr>
          <w:fldChar w:fldCharType="end"/>
        </w:r>
      </w:hyperlink>
    </w:p>
    <w:p w14:paraId="25E1E525" w14:textId="2DE68FC1" w:rsidR="008907E4" w:rsidRDefault="00C23355" w:rsidP="00E14ED4">
      <w:pPr>
        <w:pStyle w:val="TOC3"/>
        <w:spacing w:before="0"/>
        <w:ind w:left="216"/>
        <w:rPr>
          <w:rFonts w:eastAsiaTheme="minorEastAsia" w:cstheme="minorBidi"/>
          <w:noProof/>
          <w:sz w:val="22"/>
          <w:szCs w:val="22"/>
          <w:lang w:val="en-US"/>
        </w:rPr>
      </w:pPr>
      <w:hyperlink w:anchor="_Toc80379954" w:history="1">
        <w:r w:rsidR="008907E4" w:rsidRPr="00D527D0">
          <w:rPr>
            <w:rStyle w:val="Hyperlink"/>
            <w:noProof/>
            <w:lang w:eastAsia="ja-JP"/>
          </w:rPr>
          <w:t>5.1.6</w:t>
        </w:r>
        <w:r w:rsidR="008907E4">
          <w:rPr>
            <w:rFonts w:eastAsiaTheme="minorEastAsia" w:cstheme="minorBidi"/>
            <w:noProof/>
            <w:sz w:val="22"/>
            <w:szCs w:val="22"/>
            <w:lang w:val="en-US"/>
          </w:rPr>
          <w:tab/>
        </w:r>
        <w:r w:rsidR="008907E4" w:rsidRPr="00D527D0">
          <w:rPr>
            <w:rStyle w:val="Hyperlink"/>
            <w:noProof/>
            <w:lang w:eastAsia="ja-JP"/>
          </w:rPr>
          <w:t>Mudanças Climáticas</w:t>
        </w:r>
        <w:r w:rsidR="008907E4">
          <w:rPr>
            <w:noProof/>
            <w:webHidden/>
          </w:rPr>
          <w:tab/>
        </w:r>
        <w:r w:rsidR="008907E4">
          <w:rPr>
            <w:noProof/>
            <w:webHidden/>
          </w:rPr>
          <w:fldChar w:fldCharType="begin"/>
        </w:r>
        <w:r w:rsidR="008907E4">
          <w:rPr>
            <w:noProof/>
            <w:webHidden/>
          </w:rPr>
          <w:instrText xml:space="preserve"> PAGEREF _Toc80379954 \h </w:instrText>
        </w:r>
        <w:r w:rsidR="008907E4">
          <w:rPr>
            <w:noProof/>
            <w:webHidden/>
          </w:rPr>
        </w:r>
        <w:r w:rsidR="008907E4">
          <w:rPr>
            <w:noProof/>
            <w:webHidden/>
          </w:rPr>
          <w:fldChar w:fldCharType="separate"/>
        </w:r>
        <w:r w:rsidR="00E86865">
          <w:rPr>
            <w:noProof/>
            <w:webHidden/>
          </w:rPr>
          <w:t>85</w:t>
        </w:r>
        <w:r w:rsidR="008907E4">
          <w:rPr>
            <w:noProof/>
            <w:webHidden/>
          </w:rPr>
          <w:fldChar w:fldCharType="end"/>
        </w:r>
      </w:hyperlink>
    </w:p>
    <w:p w14:paraId="66208D70" w14:textId="784BDE13" w:rsidR="008907E4" w:rsidRDefault="00C23355" w:rsidP="00E14ED4">
      <w:pPr>
        <w:pStyle w:val="TOC3"/>
        <w:spacing w:before="0"/>
        <w:ind w:left="216"/>
        <w:rPr>
          <w:rFonts w:eastAsiaTheme="minorEastAsia" w:cstheme="minorBidi"/>
          <w:noProof/>
          <w:sz w:val="22"/>
          <w:szCs w:val="22"/>
          <w:lang w:val="en-US"/>
        </w:rPr>
      </w:pPr>
      <w:hyperlink w:anchor="_Toc80379955" w:history="1">
        <w:r w:rsidR="008907E4" w:rsidRPr="00D527D0">
          <w:rPr>
            <w:rStyle w:val="Hyperlink"/>
            <w:noProof/>
            <w:lang w:eastAsia="ja-JP"/>
          </w:rPr>
          <w:t>5.1.7</w:t>
        </w:r>
        <w:r w:rsidR="008907E4">
          <w:rPr>
            <w:rFonts w:eastAsiaTheme="minorEastAsia" w:cstheme="minorBidi"/>
            <w:noProof/>
            <w:sz w:val="22"/>
            <w:szCs w:val="22"/>
            <w:lang w:val="en-US"/>
          </w:rPr>
          <w:tab/>
        </w:r>
        <w:r w:rsidR="008907E4" w:rsidRPr="00D527D0">
          <w:rPr>
            <w:rStyle w:val="Hyperlink"/>
            <w:noProof/>
            <w:lang w:eastAsia="ja-JP"/>
          </w:rPr>
          <w:t>Biodiversidade Local</w:t>
        </w:r>
        <w:r w:rsidR="008907E4">
          <w:rPr>
            <w:noProof/>
            <w:webHidden/>
          </w:rPr>
          <w:tab/>
        </w:r>
        <w:r w:rsidR="008907E4">
          <w:rPr>
            <w:noProof/>
            <w:webHidden/>
          </w:rPr>
          <w:fldChar w:fldCharType="begin"/>
        </w:r>
        <w:r w:rsidR="008907E4">
          <w:rPr>
            <w:noProof/>
            <w:webHidden/>
          </w:rPr>
          <w:instrText xml:space="preserve"> PAGEREF _Toc80379955 \h </w:instrText>
        </w:r>
        <w:r w:rsidR="008907E4">
          <w:rPr>
            <w:noProof/>
            <w:webHidden/>
          </w:rPr>
        </w:r>
        <w:r w:rsidR="008907E4">
          <w:rPr>
            <w:noProof/>
            <w:webHidden/>
          </w:rPr>
          <w:fldChar w:fldCharType="separate"/>
        </w:r>
        <w:r w:rsidR="00E86865">
          <w:rPr>
            <w:noProof/>
            <w:webHidden/>
          </w:rPr>
          <w:t>86</w:t>
        </w:r>
        <w:r w:rsidR="008907E4">
          <w:rPr>
            <w:noProof/>
            <w:webHidden/>
          </w:rPr>
          <w:fldChar w:fldCharType="end"/>
        </w:r>
      </w:hyperlink>
    </w:p>
    <w:p w14:paraId="09DEE918" w14:textId="12CDE540" w:rsidR="008907E4" w:rsidRDefault="00C23355" w:rsidP="00E14ED4">
      <w:pPr>
        <w:pStyle w:val="TOC2"/>
        <w:rPr>
          <w:rFonts w:eastAsiaTheme="minorEastAsia" w:cstheme="minorBidi"/>
          <w:b w:val="0"/>
          <w:bCs w:val="0"/>
          <w:noProof/>
          <w:sz w:val="22"/>
          <w:szCs w:val="22"/>
          <w:lang w:val="en-US"/>
        </w:rPr>
      </w:pPr>
      <w:hyperlink w:anchor="_Toc80379956" w:history="1">
        <w:r w:rsidR="008907E4" w:rsidRPr="00D527D0">
          <w:rPr>
            <w:rStyle w:val="Hyperlink"/>
            <w:noProof/>
          </w:rPr>
          <w:t>5.2</w:t>
        </w:r>
        <w:r w:rsidR="008907E4">
          <w:rPr>
            <w:rFonts w:eastAsiaTheme="minorEastAsia" w:cstheme="minorBidi"/>
            <w:b w:val="0"/>
            <w:bCs w:val="0"/>
            <w:noProof/>
            <w:sz w:val="22"/>
            <w:szCs w:val="22"/>
            <w:lang w:val="en-US"/>
          </w:rPr>
          <w:tab/>
        </w:r>
        <w:r w:rsidR="008907E4" w:rsidRPr="00D527D0">
          <w:rPr>
            <w:rStyle w:val="Hyperlink"/>
            <w:noProof/>
          </w:rPr>
          <w:t>Descrição Socioeconómica</w:t>
        </w:r>
        <w:r w:rsidR="008907E4">
          <w:rPr>
            <w:noProof/>
            <w:webHidden/>
          </w:rPr>
          <w:tab/>
        </w:r>
        <w:r w:rsidR="008907E4">
          <w:rPr>
            <w:noProof/>
            <w:webHidden/>
          </w:rPr>
          <w:fldChar w:fldCharType="begin"/>
        </w:r>
        <w:r w:rsidR="008907E4">
          <w:rPr>
            <w:noProof/>
            <w:webHidden/>
          </w:rPr>
          <w:instrText xml:space="preserve"> PAGEREF _Toc80379956 \h </w:instrText>
        </w:r>
        <w:r w:rsidR="008907E4">
          <w:rPr>
            <w:noProof/>
            <w:webHidden/>
          </w:rPr>
        </w:r>
        <w:r w:rsidR="008907E4">
          <w:rPr>
            <w:noProof/>
            <w:webHidden/>
          </w:rPr>
          <w:fldChar w:fldCharType="separate"/>
        </w:r>
        <w:r w:rsidR="00E86865">
          <w:rPr>
            <w:noProof/>
            <w:webHidden/>
          </w:rPr>
          <w:t>91</w:t>
        </w:r>
        <w:r w:rsidR="008907E4">
          <w:rPr>
            <w:noProof/>
            <w:webHidden/>
          </w:rPr>
          <w:fldChar w:fldCharType="end"/>
        </w:r>
      </w:hyperlink>
    </w:p>
    <w:p w14:paraId="47A0E44F" w14:textId="4E1E2DE3" w:rsidR="008907E4" w:rsidRDefault="00C23355" w:rsidP="00E14ED4">
      <w:pPr>
        <w:pStyle w:val="TOC3"/>
        <w:spacing w:before="0"/>
        <w:rPr>
          <w:rFonts w:eastAsiaTheme="minorEastAsia" w:cstheme="minorBidi"/>
          <w:noProof/>
          <w:sz w:val="22"/>
          <w:szCs w:val="22"/>
          <w:lang w:val="en-US"/>
        </w:rPr>
      </w:pPr>
      <w:hyperlink w:anchor="_Toc80379957" w:history="1">
        <w:r w:rsidR="008907E4" w:rsidRPr="00D527D0">
          <w:rPr>
            <w:rStyle w:val="Hyperlink"/>
            <w:noProof/>
            <w:lang w:eastAsia="ja-JP"/>
          </w:rPr>
          <w:t>5.2.1</w:t>
        </w:r>
        <w:r w:rsidR="008907E4">
          <w:rPr>
            <w:rFonts w:eastAsiaTheme="minorEastAsia" w:cstheme="minorBidi"/>
            <w:noProof/>
            <w:sz w:val="22"/>
            <w:szCs w:val="22"/>
            <w:lang w:val="en-US"/>
          </w:rPr>
          <w:tab/>
        </w:r>
        <w:r w:rsidR="008907E4" w:rsidRPr="00D527D0">
          <w:rPr>
            <w:rStyle w:val="Hyperlink"/>
            <w:noProof/>
            <w:lang w:eastAsia="ja-JP"/>
          </w:rPr>
          <w:t>Demografia e Distribuição da População</w:t>
        </w:r>
        <w:r w:rsidR="008907E4">
          <w:rPr>
            <w:noProof/>
            <w:webHidden/>
          </w:rPr>
          <w:tab/>
        </w:r>
        <w:r w:rsidR="008907E4">
          <w:rPr>
            <w:noProof/>
            <w:webHidden/>
          </w:rPr>
          <w:fldChar w:fldCharType="begin"/>
        </w:r>
        <w:r w:rsidR="008907E4">
          <w:rPr>
            <w:noProof/>
            <w:webHidden/>
          </w:rPr>
          <w:instrText xml:space="preserve"> PAGEREF _Toc80379957 \h </w:instrText>
        </w:r>
        <w:r w:rsidR="008907E4">
          <w:rPr>
            <w:noProof/>
            <w:webHidden/>
          </w:rPr>
        </w:r>
        <w:r w:rsidR="008907E4">
          <w:rPr>
            <w:noProof/>
            <w:webHidden/>
          </w:rPr>
          <w:fldChar w:fldCharType="separate"/>
        </w:r>
        <w:r w:rsidR="00E86865">
          <w:rPr>
            <w:noProof/>
            <w:webHidden/>
          </w:rPr>
          <w:t>91</w:t>
        </w:r>
        <w:r w:rsidR="008907E4">
          <w:rPr>
            <w:noProof/>
            <w:webHidden/>
          </w:rPr>
          <w:fldChar w:fldCharType="end"/>
        </w:r>
      </w:hyperlink>
    </w:p>
    <w:p w14:paraId="02637316" w14:textId="024FDADD" w:rsidR="008907E4" w:rsidRDefault="00C23355" w:rsidP="00E14ED4">
      <w:pPr>
        <w:pStyle w:val="TOC3"/>
        <w:spacing w:before="0"/>
        <w:rPr>
          <w:rFonts w:eastAsiaTheme="minorEastAsia" w:cstheme="minorBidi"/>
          <w:noProof/>
          <w:sz w:val="22"/>
          <w:szCs w:val="22"/>
          <w:lang w:val="en-US"/>
        </w:rPr>
      </w:pPr>
      <w:hyperlink w:anchor="_Toc80379958" w:history="1">
        <w:r w:rsidR="008907E4" w:rsidRPr="00D527D0">
          <w:rPr>
            <w:rStyle w:val="Hyperlink"/>
            <w:noProof/>
            <w:lang w:eastAsia="ja-JP"/>
          </w:rPr>
          <w:t>5.2.2</w:t>
        </w:r>
        <w:r w:rsidR="008907E4">
          <w:rPr>
            <w:rFonts w:eastAsiaTheme="minorEastAsia" w:cstheme="minorBidi"/>
            <w:noProof/>
            <w:sz w:val="22"/>
            <w:szCs w:val="22"/>
            <w:lang w:val="en-US"/>
          </w:rPr>
          <w:tab/>
        </w:r>
        <w:r w:rsidR="008907E4" w:rsidRPr="00D527D0">
          <w:rPr>
            <w:rStyle w:val="Hyperlink"/>
            <w:noProof/>
            <w:lang w:eastAsia="ja-JP"/>
          </w:rPr>
          <w:t>Contexto Económico</w:t>
        </w:r>
        <w:r w:rsidR="008907E4">
          <w:rPr>
            <w:noProof/>
            <w:webHidden/>
          </w:rPr>
          <w:tab/>
        </w:r>
        <w:r w:rsidR="008907E4">
          <w:rPr>
            <w:noProof/>
            <w:webHidden/>
          </w:rPr>
          <w:fldChar w:fldCharType="begin"/>
        </w:r>
        <w:r w:rsidR="008907E4">
          <w:rPr>
            <w:noProof/>
            <w:webHidden/>
          </w:rPr>
          <w:instrText xml:space="preserve"> PAGEREF _Toc80379958 \h </w:instrText>
        </w:r>
        <w:r w:rsidR="008907E4">
          <w:rPr>
            <w:noProof/>
            <w:webHidden/>
          </w:rPr>
        </w:r>
        <w:r w:rsidR="008907E4">
          <w:rPr>
            <w:noProof/>
            <w:webHidden/>
          </w:rPr>
          <w:fldChar w:fldCharType="separate"/>
        </w:r>
        <w:r w:rsidR="00E86865">
          <w:rPr>
            <w:noProof/>
            <w:webHidden/>
          </w:rPr>
          <w:t>92</w:t>
        </w:r>
        <w:r w:rsidR="008907E4">
          <w:rPr>
            <w:noProof/>
            <w:webHidden/>
          </w:rPr>
          <w:fldChar w:fldCharType="end"/>
        </w:r>
      </w:hyperlink>
    </w:p>
    <w:p w14:paraId="3C42B1F0" w14:textId="09E52C1F" w:rsidR="008907E4" w:rsidRDefault="00C23355" w:rsidP="00E14ED4">
      <w:pPr>
        <w:pStyle w:val="TOC3"/>
        <w:spacing w:before="0"/>
        <w:rPr>
          <w:rFonts w:eastAsiaTheme="minorEastAsia" w:cstheme="minorBidi"/>
          <w:noProof/>
          <w:sz w:val="22"/>
          <w:szCs w:val="22"/>
          <w:lang w:val="en-US"/>
        </w:rPr>
      </w:pPr>
      <w:hyperlink w:anchor="_Toc80379959" w:history="1">
        <w:r w:rsidR="008907E4" w:rsidRPr="00D527D0">
          <w:rPr>
            <w:rStyle w:val="Hyperlink"/>
            <w:noProof/>
          </w:rPr>
          <w:t>5.2.3</w:t>
        </w:r>
        <w:r w:rsidR="008907E4">
          <w:rPr>
            <w:rFonts w:eastAsiaTheme="minorEastAsia" w:cstheme="minorBidi"/>
            <w:noProof/>
            <w:sz w:val="22"/>
            <w:szCs w:val="22"/>
            <w:lang w:val="en-US"/>
          </w:rPr>
          <w:tab/>
        </w:r>
        <w:r w:rsidR="008907E4" w:rsidRPr="00D527D0">
          <w:rPr>
            <w:rStyle w:val="Hyperlink"/>
            <w:noProof/>
          </w:rPr>
          <w:t>Aspectos de Género</w:t>
        </w:r>
        <w:r w:rsidR="008907E4">
          <w:rPr>
            <w:noProof/>
            <w:webHidden/>
          </w:rPr>
          <w:tab/>
        </w:r>
        <w:r w:rsidR="008907E4">
          <w:rPr>
            <w:noProof/>
            <w:webHidden/>
          </w:rPr>
          <w:fldChar w:fldCharType="begin"/>
        </w:r>
        <w:r w:rsidR="008907E4">
          <w:rPr>
            <w:noProof/>
            <w:webHidden/>
          </w:rPr>
          <w:instrText xml:space="preserve"> PAGEREF _Toc80379959 \h </w:instrText>
        </w:r>
        <w:r w:rsidR="008907E4">
          <w:rPr>
            <w:noProof/>
            <w:webHidden/>
          </w:rPr>
        </w:r>
        <w:r w:rsidR="008907E4">
          <w:rPr>
            <w:noProof/>
            <w:webHidden/>
          </w:rPr>
          <w:fldChar w:fldCharType="separate"/>
        </w:r>
        <w:r w:rsidR="00E86865">
          <w:rPr>
            <w:noProof/>
            <w:webHidden/>
          </w:rPr>
          <w:t>94</w:t>
        </w:r>
        <w:r w:rsidR="008907E4">
          <w:rPr>
            <w:noProof/>
            <w:webHidden/>
          </w:rPr>
          <w:fldChar w:fldCharType="end"/>
        </w:r>
      </w:hyperlink>
    </w:p>
    <w:p w14:paraId="65B11EB4" w14:textId="15E51628" w:rsidR="008907E4" w:rsidRDefault="00C23355" w:rsidP="00E14ED4">
      <w:pPr>
        <w:pStyle w:val="TOC3"/>
        <w:spacing w:before="0"/>
        <w:rPr>
          <w:rFonts w:eastAsiaTheme="minorEastAsia" w:cstheme="minorBidi"/>
          <w:noProof/>
          <w:sz w:val="22"/>
          <w:szCs w:val="22"/>
          <w:lang w:val="en-US"/>
        </w:rPr>
      </w:pPr>
      <w:hyperlink w:anchor="_Toc80379960" w:history="1">
        <w:r w:rsidR="008907E4" w:rsidRPr="00D527D0">
          <w:rPr>
            <w:rStyle w:val="Hyperlink"/>
            <w:noProof/>
          </w:rPr>
          <w:t>5.2.4</w:t>
        </w:r>
        <w:r w:rsidR="008907E4">
          <w:rPr>
            <w:rFonts w:eastAsiaTheme="minorEastAsia" w:cstheme="minorBidi"/>
            <w:noProof/>
            <w:sz w:val="22"/>
            <w:szCs w:val="22"/>
            <w:lang w:val="en-US"/>
          </w:rPr>
          <w:tab/>
        </w:r>
        <w:r w:rsidR="008907E4" w:rsidRPr="00D527D0">
          <w:rPr>
            <w:rStyle w:val="Hyperlink"/>
            <w:noProof/>
          </w:rPr>
          <w:t>Perfil dos agregados familiares e das comunidades incluindo questões de habitação, modelos de ocupação da terra e vida do dia-a-dia</w:t>
        </w:r>
        <w:r w:rsidR="008907E4">
          <w:rPr>
            <w:noProof/>
            <w:webHidden/>
          </w:rPr>
          <w:tab/>
        </w:r>
        <w:r w:rsidR="008907E4">
          <w:rPr>
            <w:noProof/>
            <w:webHidden/>
          </w:rPr>
          <w:fldChar w:fldCharType="begin"/>
        </w:r>
        <w:r w:rsidR="008907E4">
          <w:rPr>
            <w:noProof/>
            <w:webHidden/>
          </w:rPr>
          <w:instrText xml:space="preserve"> PAGEREF _Toc80379960 \h </w:instrText>
        </w:r>
        <w:r w:rsidR="008907E4">
          <w:rPr>
            <w:noProof/>
            <w:webHidden/>
          </w:rPr>
        </w:r>
        <w:r w:rsidR="008907E4">
          <w:rPr>
            <w:noProof/>
            <w:webHidden/>
          </w:rPr>
          <w:fldChar w:fldCharType="separate"/>
        </w:r>
        <w:r w:rsidR="00E86865">
          <w:rPr>
            <w:noProof/>
            <w:webHidden/>
          </w:rPr>
          <w:t>95</w:t>
        </w:r>
        <w:r w:rsidR="008907E4">
          <w:rPr>
            <w:noProof/>
            <w:webHidden/>
          </w:rPr>
          <w:fldChar w:fldCharType="end"/>
        </w:r>
      </w:hyperlink>
    </w:p>
    <w:p w14:paraId="56F3BA0E" w14:textId="137202DD" w:rsidR="008907E4" w:rsidRDefault="00C23355" w:rsidP="00E14ED4">
      <w:pPr>
        <w:pStyle w:val="TOC3"/>
        <w:spacing w:before="0"/>
        <w:rPr>
          <w:rFonts w:eastAsiaTheme="minorEastAsia" w:cstheme="minorBidi"/>
          <w:noProof/>
          <w:sz w:val="22"/>
          <w:szCs w:val="22"/>
          <w:lang w:val="en-US"/>
        </w:rPr>
      </w:pPr>
      <w:hyperlink w:anchor="_Toc80379961" w:history="1">
        <w:r w:rsidR="008907E4" w:rsidRPr="00D527D0">
          <w:rPr>
            <w:rStyle w:val="Hyperlink"/>
            <w:noProof/>
          </w:rPr>
          <w:t>5.2.5</w:t>
        </w:r>
        <w:r w:rsidR="008907E4">
          <w:rPr>
            <w:rFonts w:eastAsiaTheme="minorEastAsia" w:cstheme="minorBidi"/>
            <w:noProof/>
            <w:sz w:val="22"/>
            <w:szCs w:val="22"/>
            <w:lang w:val="en-US"/>
          </w:rPr>
          <w:tab/>
        </w:r>
        <w:r w:rsidR="008907E4" w:rsidRPr="00D527D0">
          <w:rPr>
            <w:rStyle w:val="Hyperlink"/>
            <w:noProof/>
          </w:rPr>
          <w:t>Educação</w:t>
        </w:r>
        <w:r w:rsidR="008907E4">
          <w:rPr>
            <w:noProof/>
            <w:webHidden/>
          </w:rPr>
          <w:tab/>
        </w:r>
        <w:r w:rsidR="008907E4">
          <w:rPr>
            <w:noProof/>
            <w:webHidden/>
          </w:rPr>
          <w:fldChar w:fldCharType="begin"/>
        </w:r>
        <w:r w:rsidR="008907E4">
          <w:rPr>
            <w:noProof/>
            <w:webHidden/>
          </w:rPr>
          <w:instrText xml:space="preserve"> PAGEREF _Toc80379961 \h </w:instrText>
        </w:r>
        <w:r w:rsidR="008907E4">
          <w:rPr>
            <w:noProof/>
            <w:webHidden/>
          </w:rPr>
        </w:r>
        <w:r w:rsidR="008907E4">
          <w:rPr>
            <w:noProof/>
            <w:webHidden/>
          </w:rPr>
          <w:fldChar w:fldCharType="separate"/>
        </w:r>
        <w:r w:rsidR="00E86865">
          <w:rPr>
            <w:noProof/>
            <w:webHidden/>
          </w:rPr>
          <w:t>97</w:t>
        </w:r>
        <w:r w:rsidR="008907E4">
          <w:rPr>
            <w:noProof/>
            <w:webHidden/>
          </w:rPr>
          <w:fldChar w:fldCharType="end"/>
        </w:r>
      </w:hyperlink>
    </w:p>
    <w:p w14:paraId="5F357CAE" w14:textId="76BEF0DA" w:rsidR="008907E4" w:rsidRDefault="00C23355" w:rsidP="00E14ED4">
      <w:pPr>
        <w:pStyle w:val="TOC3"/>
        <w:spacing w:before="0"/>
        <w:rPr>
          <w:rFonts w:eastAsiaTheme="minorEastAsia" w:cstheme="minorBidi"/>
          <w:noProof/>
          <w:sz w:val="22"/>
          <w:szCs w:val="22"/>
          <w:lang w:val="en-US"/>
        </w:rPr>
      </w:pPr>
      <w:hyperlink w:anchor="_Toc80379962" w:history="1">
        <w:r w:rsidR="008907E4" w:rsidRPr="00D527D0">
          <w:rPr>
            <w:rStyle w:val="Hyperlink"/>
            <w:noProof/>
          </w:rPr>
          <w:t>5.2.6</w:t>
        </w:r>
        <w:r w:rsidR="008907E4">
          <w:rPr>
            <w:rFonts w:eastAsiaTheme="minorEastAsia" w:cstheme="minorBidi"/>
            <w:noProof/>
            <w:sz w:val="22"/>
            <w:szCs w:val="22"/>
            <w:lang w:val="en-US"/>
          </w:rPr>
          <w:tab/>
        </w:r>
        <w:r w:rsidR="008907E4" w:rsidRPr="00D527D0">
          <w:rPr>
            <w:rStyle w:val="Hyperlink"/>
            <w:noProof/>
          </w:rPr>
          <w:t>Saúde</w:t>
        </w:r>
        <w:r w:rsidR="008907E4">
          <w:rPr>
            <w:noProof/>
            <w:webHidden/>
          </w:rPr>
          <w:tab/>
        </w:r>
        <w:r w:rsidR="008907E4">
          <w:rPr>
            <w:noProof/>
            <w:webHidden/>
          </w:rPr>
          <w:fldChar w:fldCharType="begin"/>
        </w:r>
        <w:r w:rsidR="008907E4">
          <w:rPr>
            <w:noProof/>
            <w:webHidden/>
          </w:rPr>
          <w:instrText xml:space="preserve"> PAGEREF _Toc80379962 \h </w:instrText>
        </w:r>
        <w:r w:rsidR="008907E4">
          <w:rPr>
            <w:noProof/>
            <w:webHidden/>
          </w:rPr>
        </w:r>
        <w:r w:rsidR="008907E4">
          <w:rPr>
            <w:noProof/>
            <w:webHidden/>
          </w:rPr>
          <w:fldChar w:fldCharType="separate"/>
        </w:r>
        <w:r w:rsidR="00E86865">
          <w:rPr>
            <w:noProof/>
            <w:webHidden/>
          </w:rPr>
          <w:t>98</w:t>
        </w:r>
        <w:r w:rsidR="008907E4">
          <w:rPr>
            <w:noProof/>
            <w:webHidden/>
          </w:rPr>
          <w:fldChar w:fldCharType="end"/>
        </w:r>
      </w:hyperlink>
    </w:p>
    <w:p w14:paraId="21FD17FF" w14:textId="10EC7549" w:rsidR="008907E4" w:rsidRDefault="00C23355" w:rsidP="00E14ED4">
      <w:pPr>
        <w:pStyle w:val="TOC3"/>
        <w:spacing w:before="0"/>
        <w:rPr>
          <w:rFonts w:eastAsiaTheme="minorEastAsia" w:cstheme="minorBidi"/>
          <w:noProof/>
          <w:sz w:val="22"/>
          <w:szCs w:val="22"/>
          <w:lang w:val="en-US"/>
        </w:rPr>
      </w:pPr>
      <w:hyperlink w:anchor="_Toc80379963" w:history="1">
        <w:r w:rsidR="008907E4" w:rsidRPr="00D527D0">
          <w:rPr>
            <w:rStyle w:val="Hyperlink"/>
            <w:noProof/>
          </w:rPr>
          <w:t>5.2.7</w:t>
        </w:r>
        <w:r w:rsidR="008907E4">
          <w:rPr>
            <w:rFonts w:eastAsiaTheme="minorEastAsia" w:cstheme="minorBidi"/>
            <w:noProof/>
            <w:sz w:val="22"/>
            <w:szCs w:val="22"/>
            <w:lang w:val="en-US"/>
          </w:rPr>
          <w:tab/>
        </w:r>
        <w:r w:rsidR="008907E4" w:rsidRPr="00D527D0">
          <w:rPr>
            <w:rStyle w:val="Hyperlink"/>
            <w:noProof/>
          </w:rPr>
          <w:t>Principais actividades económicas e de subsistência no meio rural</w:t>
        </w:r>
        <w:r w:rsidR="008907E4">
          <w:rPr>
            <w:noProof/>
            <w:webHidden/>
          </w:rPr>
          <w:tab/>
        </w:r>
        <w:r w:rsidR="008907E4">
          <w:rPr>
            <w:noProof/>
            <w:webHidden/>
          </w:rPr>
          <w:fldChar w:fldCharType="begin"/>
        </w:r>
        <w:r w:rsidR="008907E4">
          <w:rPr>
            <w:noProof/>
            <w:webHidden/>
          </w:rPr>
          <w:instrText xml:space="preserve"> PAGEREF _Toc80379963 \h </w:instrText>
        </w:r>
        <w:r w:rsidR="008907E4">
          <w:rPr>
            <w:noProof/>
            <w:webHidden/>
          </w:rPr>
        </w:r>
        <w:r w:rsidR="008907E4">
          <w:rPr>
            <w:noProof/>
            <w:webHidden/>
          </w:rPr>
          <w:fldChar w:fldCharType="separate"/>
        </w:r>
        <w:r w:rsidR="00E86865">
          <w:rPr>
            <w:noProof/>
            <w:webHidden/>
          </w:rPr>
          <w:t>102</w:t>
        </w:r>
        <w:r w:rsidR="008907E4">
          <w:rPr>
            <w:noProof/>
            <w:webHidden/>
          </w:rPr>
          <w:fldChar w:fldCharType="end"/>
        </w:r>
      </w:hyperlink>
    </w:p>
    <w:p w14:paraId="058E63FD" w14:textId="3F097BFA" w:rsidR="008907E4" w:rsidRDefault="00C23355" w:rsidP="00E14ED4">
      <w:pPr>
        <w:pStyle w:val="TOC1"/>
        <w:rPr>
          <w:rFonts w:asciiTheme="minorHAnsi" w:eastAsiaTheme="minorEastAsia" w:hAnsiTheme="minorHAnsi" w:cstheme="minorBidi"/>
          <w:b w:val="0"/>
          <w:bCs w:val="0"/>
          <w:caps w:val="0"/>
          <w:noProof/>
          <w:sz w:val="22"/>
          <w:szCs w:val="22"/>
          <w:lang w:val="en-US"/>
        </w:rPr>
      </w:pPr>
      <w:hyperlink w:anchor="_Toc80379964" w:history="1">
        <w:r w:rsidR="008907E4" w:rsidRPr="00D527D0">
          <w:rPr>
            <w:rStyle w:val="Hyperlink"/>
            <w:noProof/>
            <w:lang w:val="pt-BR"/>
          </w:rPr>
          <w:t>6</w:t>
        </w:r>
        <w:r w:rsidR="008907E4">
          <w:rPr>
            <w:rFonts w:asciiTheme="minorHAnsi" w:eastAsiaTheme="minorEastAsia" w:hAnsiTheme="minorHAnsi" w:cstheme="minorBidi"/>
            <w:b w:val="0"/>
            <w:bCs w:val="0"/>
            <w:caps w:val="0"/>
            <w:noProof/>
            <w:sz w:val="22"/>
            <w:szCs w:val="22"/>
            <w:lang w:val="en-US"/>
          </w:rPr>
          <w:tab/>
        </w:r>
        <w:r w:rsidR="008907E4" w:rsidRPr="00D527D0">
          <w:rPr>
            <w:rStyle w:val="Hyperlink"/>
            <w:noProof/>
            <w:lang w:val="pt-PT"/>
          </w:rPr>
          <w:t>Avaliação de Riscos e Impactos Ambientais e Sociais</w:t>
        </w:r>
        <w:r w:rsidR="008907E4">
          <w:rPr>
            <w:noProof/>
            <w:webHidden/>
          </w:rPr>
          <w:tab/>
        </w:r>
        <w:r w:rsidR="008907E4">
          <w:rPr>
            <w:noProof/>
            <w:webHidden/>
          </w:rPr>
          <w:fldChar w:fldCharType="begin"/>
        </w:r>
        <w:r w:rsidR="008907E4">
          <w:rPr>
            <w:noProof/>
            <w:webHidden/>
          </w:rPr>
          <w:instrText xml:space="preserve"> PAGEREF _Toc80379964 \h </w:instrText>
        </w:r>
        <w:r w:rsidR="008907E4">
          <w:rPr>
            <w:noProof/>
            <w:webHidden/>
          </w:rPr>
        </w:r>
        <w:r w:rsidR="008907E4">
          <w:rPr>
            <w:noProof/>
            <w:webHidden/>
          </w:rPr>
          <w:fldChar w:fldCharType="separate"/>
        </w:r>
        <w:r w:rsidR="00E86865">
          <w:rPr>
            <w:noProof/>
            <w:webHidden/>
          </w:rPr>
          <w:t>104</w:t>
        </w:r>
        <w:r w:rsidR="008907E4">
          <w:rPr>
            <w:noProof/>
            <w:webHidden/>
          </w:rPr>
          <w:fldChar w:fldCharType="end"/>
        </w:r>
      </w:hyperlink>
    </w:p>
    <w:p w14:paraId="429E85ED" w14:textId="0CB20B48" w:rsidR="008907E4" w:rsidRDefault="00C23355" w:rsidP="00E14ED4">
      <w:pPr>
        <w:pStyle w:val="TOC2"/>
        <w:rPr>
          <w:rFonts w:eastAsiaTheme="minorEastAsia" w:cstheme="minorBidi"/>
          <w:b w:val="0"/>
          <w:bCs w:val="0"/>
          <w:noProof/>
          <w:sz w:val="22"/>
          <w:szCs w:val="22"/>
          <w:lang w:val="en-US"/>
        </w:rPr>
      </w:pPr>
      <w:hyperlink w:anchor="_Toc80379965" w:history="1">
        <w:r w:rsidR="008907E4" w:rsidRPr="00D527D0">
          <w:rPr>
            <w:rStyle w:val="Hyperlink"/>
            <w:noProof/>
          </w:rPr>
          <w:t>6.1</w:t>
        </w:r>
        <w:r w:rsidR="008907E4">
          <w:rPr>
            <w:rFonts w:eastAsiaTheme="minorEastAsia" w:cstheme="minorBidi"/>
            <w:b w:val="0"/>
            <w:bCs w:val="0"/>
            <w:noProof/>
            <w:sz w:val="22"/>
            <w:szCs w:val="22"/>
            <w:lang w:val="en-US"/>
          </w:rPr>
          <w:tab/>
        </w:r>
        <w:r w:rsidR="008907E4" w:rsidRPr="00D527D0">
          <w:rPr>
            <w:rStyle w:val="Hyperlink"/>
            <w:noProof/>
          </w:rPr>
          <w:t>Metodologias de Avaliação da Significância dos Impactos</w:t>
        </w:r>
        <w:r w:rsidR="008907E4">
          <w:rPr>
            <w:noProof/>
            <w:webHidden/>
          </w:rPr>
          <w:tab/>
        </w:r>
        <w:r w:rsidR="008907E4">
          <w:rPr>
            <w:noProof/>
            <w:webHidden/>
          </w:rPr>
          <w:fldChar w:fldCharType="begin"/>
        </w:r>
        <w:r w:rsidR="008907E4">
          <w:rPr>
            <w:noProof/>
            <w:webHidden/>
          </w:rPr>
          <w:instrText xml:space="preserve"> PAGEREF _Toc80379965 \h </w:instrText>
        </w:r>
        <w:r w:rsidR="008907E4">
          <w:rPr>
            <w:noProof/>
            <w:webHidden/>
          </w:rPr>
        </w:r>
        <w:r w:rsidR="008907E4">
          <w:rPr>
            <w:noProof/>
            <w:webHidden/>
          </w:rPr>
          <w:fldChar w:fldCharType="separate"/>
        </w:r>
        <w:r w:rsidR="00E86865">
          <w:rPr>
            <w:noProof/>
            <w:webHidden/>
          </w:rPr>
          <w:t>104</w:t>
        </w:r>
        <w:r w:rsidR="008907E4">
          <w:rPr>
            <w:noProof/>
            <w:webHidden/>
          </w:rPr>
          <w:fldChar w:fldCharType="end"/>
        </w:r>
      </w:hyperlink>
    </w:p>
    <w:p w14:paraId="5684A498" w14:textId="2C31699F" w:rsidR="008907E4" w:rsidRDefault="00C23355" w:rsidP="00E14ED4">
      <w:pPr>
        <w:pStyle w:val="TOC2"/>
        <w:rPr>
          <w:rFonts w:eastAsiaTheme="minorEastAsia" w:cstheme="minorBidi"/>
          <w:b w:val="0"/>
          <w:bCs w:val="0"/>
          <w:noProof/>
          <w:sz w:val="22"/>
          <w:szCs w:val="22"/>
          <w:lang w:val="en-US"/>
        </w:rPr>
      </w:pPr>
      <w:hyperlink w:anchor="_Toc80379966" w:history="1">
        <w:r w:rsidR="008907E4" w:rsidRPr="00D527D0">
          <w:rPr>
            <w:rStyle w:val="Hyperlink"/>
            <w:noProof/>
          </w:rPr>
          <w:t>6.2</w:t>
        </w:r>
        <w:r w:rsidR="008907E4">
          <w:rPr>
            <w:rFonts w:eastAsiaTheme="minorEastAsia" w:cstheme="minorBidi"/>
            <w:b w:val="0"/>
            <w:bCs w:val="0"/>
            <w:noProof/>
            <w:sz w:val="22"/>
            <w:szCs w:val="22"/>
            <w:lang w:val="en-US"/>
          </w:rPr>
          <w:tab/>
        </w:r>
        <w:r w:rsidR="008907E4" w:rsidRPr="00D527D0">
          <w:rPr>
            <w:rStyle w:val="Hyperlink"/>
            <w:noProof/>
          </w:rPr>
          <w:t>Riscos e Ambientais e Sociais do Projecto</w:t>
        </w:r>
        <w:r w:rsidR="008907E4">
          <w:rPr>
            <w:noProof/>
            <w:webHidden/>
          </w:rPr>
          <w:tab/>
        </w:r>
        <w:r w:rsidR="008907E4">
          <w:rPr>
            <w:noProof/>
            <w:webHidden/>
          </w:rPr>
          <w:fldChar w:fldCharType="begin"/>
        </w:r>
        <w:r w:rsidR="008907E4">
          <w:rPr>
            <w:noProof/>
            <w:webHidden/>
          </w:rPr>
          <w:instrText xml:space="preserve"> PAGEREF _Toc80379966 \h </w:instrText>
        </w:r>
        <w:r w:rsidR="008907E4">
          <w:rPr>
            <w:noProof/>
            <w:webHidden/>
          </w:rPr>
        </w:r>
        <w:r w:rsidR="008907E4">
          <w:rPr>
            <w:noProof/>
            <w:webHidden/>
          </w:rPr>
          <w:fldChar w:fldCharType="separate"/>
        </w:r>
        <w:r w:rsidR="00E86865">
          <w:rPr>
            <w:noProof/>
            <w:webHidden/>
          </w:rPr>
          <w:t>106</w:t>
        </w:r>
        <w:r w:rsidR="008907E4">
          <w:rPr>
            <w:noProof/>
            <w:webHidden/>
          </w:rPr>
          <w:fldChar w:fldCharType="end"/>
        </w:r>
      </w:hyperlink>
    </w:p>
    <w:p w14:paraId="39AB50B5" w14:textId="055EBA9D" w:rsidR="008907E4" w:rsidRDefault="00C23355" w:rsidP="00E14ED4">
      <w:pPr>
        <w:pStyle w:val="TOC3"/>
        <w:spacing w:before="0"/>
        <w:rPr>
          <w:rFonts w:eastAsiaTheme="minorEastAsia" w:cstheme="minorBidi"/>
          <w:noProof/>
          <w:sz w:val="22"/>
          <w:szCs w:val="22"/>
          <w:lang w:val="en-US"/>
        </w:rPr>
      </w:pPr>
      <w:hyperlink w:anchor="_Toc80379967" w:history="1">
        <w:r w:rsidR="008907E4" w:rsidRPr="00D527D0">
          <w:rPr>
            <w:rStyle w:val="Hyperlink"/>
            <w:noProof/>
            <w:lang w:eastAsia="ja-JP"/>
          </w:rPr>
          <w:t>6.2.1</w:t>
        </w:r>
        <w:r w:rsidR="008907E4">
          <w:rPr>
            <w:rFonts w:eastAsiaTheme="minorEastAsia" w:cstheme="minorBidi"/>
            <w:noProof/>
            <w:sz w:val="22"/>
            <w:szCs w:val="22"/>
            <w:lang w:val="en-US"/>
          </w:rPr>
          <w:tab/>
        </w:r>
        <w:r w:rsidR="008907E4" w:rsidRPr="00D527D0">
          <w:rPr>
            <w:rStyle w:val="Hyperlink"/>
            <w:noProof/>
            <w:lang w:eastAsia="ja-JP"/>
          </w:rPr>
          <w:t>Riscos e impactos ambientais e sociais na fase de pré-construção</w:t>
        </w:r>
        <w:r w:rsidR="008907E4">
          <w:rPr>
            <w:noProof/>
            <w:webHidden/>
          </w:rPr>
          <w:tab/>
        </w:r>
        <w:r w:rsidR="008907E4">
          <w:rPr>
            <w:noProof/>
            <w:webHidden/>
          </w:rPr>
          <w:fldChar w:fldCharType="begin"/>
        </w:r>
        <w:r w:rsidR="008907E4">
          <w:rPr>
            <w:noProof/>
            <w:webHidden/>
          </w:rPr>
          <w:instrText xml:space="preserve"> PAGEREF _Toc80379967 \h </w:instrText>
        </w:r>
        <w:r w:rsidR="008907E4">
          <w:rPr>
            <w:noProof/>
            <w:webHidden/>
          </w:rPr>
        </w:r>
        <w:r w:rsidR="008907E4">
          <w:rPr>
            <w:noProof/>
            <w:webHidden/>
          </w:rPr>
          <w:fldChar w:fldCharType="separate"/>
        </w:r>
        <w:r w:rsidR="00E86865">
          <w:rPr>
            <w:noProof/>
            <w:webHidden/>
          </w:rPr>
          <w:t>106</w:t>
        </w:r>
        <w:r w:rsidR="008907E4">
          <w:rPr>
            <w:noProof/>
            <w:webHidden/>
          </w:rPr>
          <w:fldChar w:fldCharType="end"/>
        </w:r>
      </w:hyperlink>
    </w:p>
    <w:p w14:paraId="7C440265" w14:textId="5B9C6CC8" w:rsidR="008907E4" w:rsidRDefault="00C23355" w:rsidP="00E14ED4">
      <w:pPr>
        <w:pStyle w:val="TOC3"/>
        <w:spacing w:before="0"/>
        <w:rPr>
          <w:rFonts w:eastAsiaTheme="minorEastAsia" w:cstheme="minorBidi"/>
          <w:noProof/>
          <w:sz w:val="22"/>
          <w:szCs w:val="22"/>
          <w:lang w:val="en-US"/>
        </w:rPr>
      </w:pPr>
      <w:hyperlink w:anchor="_Toc80379968" w:history="1">
        <w:r w:rsidR="008907E4" w:rsidRPr="00D527D0">
          <w:rPr>
            <w:rStyle w:val="Hyperlink"/>
            <w:noProof/>
          </w:rPr>
          <w:t>6.2.2</w:t>
        </w:r>
        <w:r w:rsidR="008907E4">
          <w:rPr>
            <w:rFonts w:eastAsiaTheme="minorEastAsia" w:cstheme="minorBidi"/>
            <w:noProof/>
            <w:sz w:val="22"/>
            <w:szCs w:val="22"/>
            <w:lang w:val="en-US"/>
          </w:rPr>
          <w:tab/>
        </w:r>
        <w:r w:rsidR="008907E4" w:rsidRPr="00D527D0">
          <w:rPr>
            <w:rStyle w:val="Hyperlink"/>
            <w:noProof/>
          </w:rPr>
          <w:t>Riscos e Ambientais e Sociais na fase de construção e operação</w:t>
        </w:r>
        <w:r w:rsidR="008907E4">
          <w:rPr>
            <w:noProof/>
            <w:webHidden/>
          </w:rPr>
          <w:tab/>
        </w:r>
        <w:r w:rsidR="008907E4">
          <w:rPr>
            <w:noProof/>
            <w:webHidden/>
          </w:rPr>
          <w:fldChar w:fldCharType="begin"/>
        </w:r>
        <w:r w:rsidR="008907E4">
          <w:rPr>
            <w:noProof/>
            <w:webHidden/>
          </w:rPr>
          <w:instrText xml:space="preserve"> PAGEREF _Toc80379968 \h </w:instrText>
        </w:r>
        <w:r w:rsidR="008907E4">
          <w:rPr>
            <w:noProof/>
            <w:webHidden/>
          </w:rPr>
        </w:r>
        <w:r w:rsidR="008907E4">
          <w:rPr>
            <w:noProof/>
            <w:webHidden/>
          </w:rPr>
          <w:fldChar w:fldCharType="separate"/>
        </w:r>
        <w:r w:rsidR="00E86865">
          <w:rPr>
            <w:noProof/>
            <w:webHidden/>
          </w:rPr>
          <w:t>112</w:t>
        </w:r>
        <w:r w:rsidR="008907E4">
          <w:rPr>
            <w:noProof/>
            <w:webHidden/>
          </w:rPr>
          <w:fldChar w:fldCharType="end"/>
        </w:r>
      </w:hyperlink>
    </w:p>
    <w:p w14:paraId="581CEA4E" w14:textId="2FC3BACB" w:rsidR="008907E4" w:rsidRDefault="00C23355" w:rsidP="00E14ED4">
      <w:pPr>
        <w:pStyle w:val="TOC3"/>
        <w:spacing w:before="0"/>
        <w:rPr>
          <w:rFonts w:eastAsiaTheme="minorEastAsia" w:cstheme="minorBidi"/>
          <w:noProof/>
          <w:sz w:val="22"/>
          <w:szCs w:val="22"/>
          <w:lang w:val="en-US"/>
        </w:rPr>
      </w:pPr>
      <w:hyperlink w:anchor="_Toc80379969" w:history="1">
        <w:r w:rsidR="008907E4" w:rsidRPr="00D527D0">
          <w:rPr>
            <w:rStyle w:val="Hyperlink"/>
            <w:noProof/>
          </w:rPr>
          <w:t>6.2.3</w:t>
        </w:r>
        <w:r w:rsidR="008907E4">
          <w:rPr>
            <w:rFonts w:eastAsiaTheme="minorEastAsia" w:cstheme="minorBidi"/>
            <w:noProof/>
            <w:sz w:val="22"/>
            <w:szCs w:val="22"/>
            <w:lang w:val="en-US"/>
          </w:rPr>
          <w:tab/>
        </w:r>
        <w:r w:rsidR="008907E4" w:rsidRPr="00D527D0">
          <w:rPr>
            <w:rStyle w:val="Hyperlink"/>
            <w:noProof/>
          </w:rPr>
          <w:t>Oportunidades e impactos ambientais e sociais do Projecto</w:t>
        </w:r>
        <w:r w:rsidR="008907E4">
          <w:rPr>
            <w:noProof/>
            <w:webHidden/>
          </w:rPr>
          <w:tab/>
        </w:r>
        <w:r w:rsidR="008907E4">
          <w:rPr>
            <w:noProof/>
            <w:webHidden/>
          </w:rPr>
          <w:fldChar w:fldCharType="begin"/>
        </w:r>
        <w:r w:rsidR="008907E4">
          <w:rPr>
            <w:noProof/>
            <w:webHidden/>
          </w:rPr>
          <w:instrText xml:space="preserve"> PAGEREF _Toc80379969 \h </w:instrText>
        </w:r>
        <w:r w:rsidR="008907E4">
          <w:rPr>
            <w:noProof/>
            <w:webHidden/>
          </w:rPr>
        </w:r>
        <w:r w:rsidR="008907E4">
          <w:rPr>
            <w:noProof/>
            <w:webHidden/>
          </w:rPr>
          <w:fldChar w:fldCharType="separate"/>
        </w:r>
        <w:r w:rsidR="00E86865">
          <w:rPr>
            <w:noProof/>
            <w:webHidden/>
          </w:rPr>
          <w:t>126</w:t>
        </w:r>
        <w:r w:rsidR="008907E4">
          <w:rPr>
            <w:noProof/>
            <w:webHidden/>
          </w:rPr>
          <w:fldChar w:fldCharType="end"/>
        </w:r>
      </w:hyperlink>
    </w:p>
    <w:p w14:paraId="685597DD" w14:textId="78E68089" w:rsidR="008907E4" w:rsidRDefault="00C23355" w:rsidP="00E14ED4">
      <w:pPr>
        <w:pStyle w:val="TOC3"/>
        <w:spacing w:before="0"/>
        <w:rPr>
          <w:rFonts w:eastAsiaTheme="minorEastAsia" w:cstheme="minorBidi"/>
          <w:noProof/>
          <w:sz w:val="22"/>
          <w:szCs w:val="22"/>
          <w:lang w:val="en-US"/>
        </w:rPr>
      </w:pPr>
      <w:hyperlink w:anchor="_Toc80379970" w:history="1">
        <w:r w:rsidR="008907E4" w:rsidRPr="00D527D0">
          <w:rPr>
            <w:rStyle w:val="Hyperlink"/>
            <w:noProof/>
            <w:lang w:eastAsia="ja-JP"/>
          </w:rPr>
          <w:t>6.2.4</w:t>
        </w:r>
        <w:r w:rsidR="008907E4">
          <w:rPr>
            <w:rFonts w:eastAsiaTheme="minorEastAsia" w:cstheme="minorBidi"/>
            <w:noProof/>
            <w:sz w:val="22"/>
            <w:szCs w:val="22"/>
            <w:lang w:val="en-US"/>
          </w:rPr>
          <w:tab/>
        </w:r>
        <w:r w:rsidR="008907E4" w:rsidRPr="00D527D0">
          <w:rPr>
            <w:rStyle w:val="Hyperlink"/>
            <w:noProof/>
            <w:lang w:eastAsia="ja-JP"/>
          </w:rPr>
          <w:t>Impactos Cumulativos</w:t>
        </w:r>
        <w:r w:rsidR="008907E4">
          <w:rPr>
            <w:noProof/>
            <w:webHidden/>
          </w:rPr>
          <w:tab/>
        </w:r>
        <w:r w:rsidR="008907E4">
          <w:rPr>
            <w:noProof/>
            <w:webHidden/>
          </w:rPr>
          <w:fldChar w:fldCharType="begin"/>
        </w:r>
        <w:r w:rsidR="008907E4">
          <w:rPr>
            <w:noProof/>
            <w:webHidden/>
          </w:rPr>
          <w:instrText xml:space="preserve"> PAGEREF _Toc80379970 \h </w:instrText>
        </w:r>
        <w:r w:rsidR="008907E4">
          <w:rPr>
            <w:noProof/>
            <w:webHidden/>
          </w:rPr>
        </w:r>
        <w:r w:rsidR="008907E4">
          <w:rPr>
            <w:noProof/>
            <w:webHidden/>
          </w:rPr>
          <w:fldChar w:fldCharType="separate"/>
        </w:r>
        <w:r w:rsidR="00E86865">
          <w:rPr>
            <w:noProof/>
            <w:webHidden/>
          </w:rPr>
          <w:t>129</w:t>
        </w:r>
        <w:r w:rsidR="008907E4">
          <w:rPr>
            <w:noProof/>
            <w:webHidden/>
          </w:rPr>
          <w:fldChar w:fldCharType="end"/>
        </w:r>
      </w:hyperlink>
    </w:p>
    <w:p w14:paraId="36AFD7D8" w14:textId="6DFD3832" w:rsidR="008907E4" w:rsidRDefault="00C23355" w:rsidP="00E14ED4">
      <w:pPr>
        <w:pStyle w:val="TOC3"/>
        <w:spacing w:before="0"/>
        <w:rPr>
          <w:rFonts w:eastAsiaTheme="minorEastAsia" w:cstheme="minorBidi"/>
          <w:noProof/>
          <w:sz w:val="22"/>
          <w:szCs w:val="22"/>
          <w:lang w:val="en-US"/>
        </w:rPr>
      </w:pPr>
      <w:hyperlink w:anchor="_Toc80379971" w:history="1">
        <w:r w:rsidR="008907E4" w:rsidRPr="00D527D0">
          <w:rPr>
            <w:rStyle w:val="Hyperlink"/>
            <w:noProof/>
            <w:lang w:eastAsia="ja-JP"/>
          </w:rPr>
          <w:t>6.2.5</w:t>
        </w:r>
        <w:r w:rsidR="008907E4">
          <w:rPr>
            <w:rFonts w:eastAsiaTheme="minorEastAsia" w:cstheme="minorBidi"/>
            <w:noProof/>
            <w:sz w:val="22"/>
            <w:szCs w:val="22"/>
            <w:lang w:val="en-US"/>
          </w:rPr>
          <w:tab/>
        </w:r>
        <w:r w:rsidR="008907E4" w:rsidRPr="00D527D0">
          <w:rPr>
            <w:rStyle w:val="Hyperlink"/>
            <w:noProof/>
            <w:lang w:eastAsia="ja-JP"/>
          </w:rPr>
          <w:t>Classificação dos Riscos e Impactos Ambientais e Sociais do Projecto</w:t>
        </w:r>
        <w:r w:rsidR="008907E4">
          <w:rPr>
            <w:noProof/>
            <w:webHidden/>
          </w:rPr>
          <w:tab/>
        </w:r>
        <w:r w:rsidR="008907E4">
          <w:rPr>
            <w:noProof/>
            <w:webHidden/>
          </w:rPr>
          <w:fldChar w:fldCharType="begin"/>
        </w:r>
        <w:r w:rsidR="008907E4">
          <w:rPr>
            <w:noProof/>
            <w:webHidden/>
          </w:rPr>
          <w:instrText xml:space="preserve"> PAGEREF _Toc80379971 \h </w:instrText>
        </w:r>
        <w:r w:rsidR="008907E4">
          <w:rPr>
            <w:noProof/>
            <w:webHidden/>
          </w:rPr>
        </w:r>
        <w:r w:rsidR="008907E4">
          <w:rPr>
            <w:noProof/>
            <w:webHidden/>
          </w:rPr>
          <w:fldChar w:fldCharType="separate"/>
        </w:r>
        <w:r w:rsidR="00E86865">
          <w:rPr>
            <w:noProof/>
            <w:webHidden/>
          </w:rPr>
          <w:t>131</w:t>
        </w:r>
        <w:r w:rsidR="008907E4">
          <w:rPr>
            <w:noProof/>
            <w:webHidden/>
          </w:rPr>
          <w:fldChar w:fldCharType="end"/>
        </w:r>
      </w:hyperlink>
    </w:p>
    <w:p w14:paraId="12F85C27" w14:textId="3CE878A5" w:rsidR="008907E4" w:rsidRDefault="00C23355" w:rsidP="00E14ED4">
      <w:pPr>
        <w:pStyle w:val="TOC3"/>
        <w:spacing w:before="0"/>
        <w:rPr>
          <w:rFonts w:eastAsiaTheme="minorEastAsia" w:cstheme="minorBidi"/>
          <w:noProof/>
          <w:sz w:val="22"/>
          <w:szCs w:val="22"/>
          <w:lang w:val="en-US"/>
        </w:rPr>
      </w:pPr>
      <w:hyperlink w:anchor="_Toc80379972" w:history="1">
        <w:r w:rsidR="008907E4" w:rsidRPr="00D527D0">
          <w:rPr>
            <w:rStyle w:val="Hyperlink"/>
            <w:noProof/>
          </w:rPr>
          <w:t>6.2.6</w:t>
        </w:r>
        <w:r w:rsidR="008907E4">
          <w:rPr>
            <w:rFonts w:eastAsiaTheme="minorEastAsia" w:cstheme="minorBidi"/>
            <w:noProof/>
            <w:sz w:val="22"/>
            <w:szCs w:val="22"/>
            <w:lang w:val="en-US"/>
          </w:rPr>
          <w:tab/>
        </w:r>
        <w:r w:rsidR="008907E4" w:rsidRPr="00D527D0">
          <w:rPr>
            <w:rStyle w:val="Hyperlink"/>
            <w:noProof/>
          </w:rPr>
          <w:t>Riscos de Saúde e Segurança Ocupacional</w:t>
        </w:r>
        <w:r w:rsidR="008907E4">
          <w:rPr>
            <w:noProof/>
            <w:webHidden/>
          </w:rPr>
          <w:tab/>
        </w:r>
        <w:r w:rsidR="008907E4">
          <w:rPr>
            <w:noProof/>
            <w:webHidden/>
          </w:rPr>
          <w:fldChar w:fldCharType="begin"/>
        </w:r>
        <w:r w:rsidR="008907E4">
          <w:rPr>
            <w:noProof/>
            <w:webHidden/>
          </w:rPr>
          <w:instrText xml:space="preserve"> PAGEREF _Toc80379972 \h </w:instrText>
        </w:r>
        <w:r w:rsidR="008907E4">
          <w:rPr>
            <w:noProof/>
            <w:webHidden/>
          </w:rPr>
        </w:r>
        <w:r w:rsidR="008907E4">
          <w:rPr>
            <w:noProof/>
            <w:webHidden/>
          </w:rPr>
          <w:fldChar w:fldCharType="separate"/>
        </w:r>
        <w:r w:rsidR="00E86865">
          <w:rPr>
            <w:noProof/>
            <w:webHidden/>
          </w:rPr>
          <w:t>141</w:t>
        </w:r>
        <w:r w:rsidR="008907E4">
          <w:rPr>
            <w:noProof/>
            <w:webHidden/>
          </w:rPr>
          <w:fldChar w:fldCharType="end"/>
        </w:r>
      </w:hyperlink>
    </w:p>
    <w:p w14:paraId="5CF4001C" w14:textId="1D736659" w:rsidR="008907E4" w:rsidRDefault="00C23355" w:rsidP="00E14ED4">
      <w:pPr>
        <w:pStyle w:val="TOC3"/>
        <w:spacing w:before="0"/>
        <w:rPr>
          <w:rFonts w:eastAsiaTheme="minorEastAsia" w:cstheme="minorBidi"/>
          <w:noProof/>
          <w:sz w:val="22"/>
          <w:szCs w:val="22"/>
          <w:lang w:val="en-US"/>
        </w:rPr>
      </w:pPr>
      <w:hyperlink w:anchor="_Toc80379973" w:history="1">
        <w:r w:rsidR="008907E4" w:rsidRPr="00D527D0">
          <w:rPr>
            <w:rStyle w:val="Hyperlink"/>
            <w:noProof/>
            <w:lang w:eastAsia="ja-JP"/>
          </w:rPr>
          <w:t>6.2.7</w:t>
        </w:r>
        <w:r w:rsidR="008907E4">
          <w:rPr>
            <w:rFonts w:eastAsiaTheme="minorEastAsia" w:cstheme="minorBidi"/>
            <w:noProof/>
            <w:sz w:val="22"/>
            <w:szCs w:val="22"/>
            <w:lang w:val="en-US"/>
          </w:rPr>
          <w:tab/>
        </w:r>
        <w:r w:rsidR="008907E4" w:rsidRPr="00D527D0">
          <w:rPr>
            <w:rStyle w:val="Hyperlink"/>
            <w:noProof/>
            <w:lang w:eastAsia="ja-JP"/>
          </w:rPr>
          <w:t>Riscos de Gestão e Direitos dos Trabalhadores</w:t>
        </w:r>
        <w:r w:rsidR="008907E4">
          <w:rPr>
            <w:noProof/>
            <w:webHidden/>
          </w:rPr>
          <w:tab/>
        </w:r>
        <w:r w:rsidR="008907E4">
          <w:rPr>
            <w:noProof/>
            <w:webHidden/>
          </w:rPr>
          <w:fldChar w:fldCharType="begin"/>
        </w:r>
        <w:r w:rsidR="008907E4">
          <w:rPr>
            <w:noProof/>
            <w:webHidden/>
          </w:rPr>
          <w:instrText xml:space="preserve"> PAGEREF _Toc80379973 \h </w:instrText>
        </w:r>
        <w:r w:rsidR="008907E4">
          <w:rPr>
            <w:noProof/>
            <w:webHidden/>
          </w:rPr>
        </w:r>
        <w:r w:rsidR="008907E4">
          <w:rPr>
            <w:noProof/>
            <w:webHidden/>
          </w:rPr>
          <w:fldChar w:fldCharType="separate"/>
        </w:r>
        <w:r w:rsidR="00E86865">
          <w:rPr>
            <w:noProof/>
            <w:webHidden/>
          </w:rPr>
          <w:t>144</w:t>
        </w:r>
        <w:r w:rsidR="008907E4">
          <w:rPr>
            <w:noProof/>
            <w:webHidden/>
          </w:rPr>
          <w:fldChar w:fldCharType="end"/>
        </w:r>
      </w:hyperlink>
    </w:p>
    <w:p w14:paraId="17B51801" w14:textId="75C80B9F" w:rsidR="008907E4" w:rsidRDefault="00C23355" w:rsidP="00E14ED4">
      <w:pPr>
        <w:pStyle w:val="TOC3"/>
        <w:spacing w:before="0"/>
        <w:rPr>
          <w:rFonts w:eastAsiaTheme="minorEastAsia" w:cstheme="minorBidi"/>
          <w:noProof/>
          <w:sz w:val="22"/>
          <w:szCs w:val="22"/>
          <w:lang w:val="en-US"/>
        </w:rPr>
      </w:pPr>
      <w:hyperlink w:anchor="_Toc80379974" w:history="1">
        <w:r w:rsidR="008907E4" w:rsidRPr="00D527D0">
          <w:rPr>
            <w:rStyle w:val="Hyperlink"/>
            <w:noProof/>
            <w:lang w:eastAsia="ja-JP"/>
          </w:rPr>
          <w:t>6.2.8</w:t>
        </w:r>
        <w:r w:rsidR="008907E4">
          <w:rPr>
            <w:rFonts w:eastAsiaTheme="minorEastAsia" w:cstheme="minorBidi"/>
            <w:noProof/>
            <w:sz w:val="22"/>
            <w:szCs w:val="22"/>
            <w:lang w:val="en-US"/>
          </w:rPr>
          <w:tab/>
        </w:r>
        <w:r w:rsidR="008907E4" w:rsidRPr="00D527D0">
          <w:rPr>
            <w:rStyle w:val="Hyperlink"/>
            <w:noProof/>
            <w:lang w:eastAsia="ja-JP"/>
          </w:rPr>
          <w:t>Riscos de Saúde e Segurança da Comunidade</w:t>
        </w:r>
        <w:r w:rsidR="008907E4">
          <w:rPr>
            <w:noProof/>
            <w:webHidden/>
          </w:rPr>
          <w:tab/>
        </w:r>
        <w:r w:rsidR="008907E4">
          <w:rPr>
            <w:noProof/>
            <w:webHidden/>
          </w:rPr>
          <w:fldChar w:fldCharType="begin"/>
        </w:r>
        <w:r w:rsidR="008907E4">
          <w:rPr>
            <w:noProof/>
            <w:webHidden/>
          </w:rPr>
          <w:instrText xml:space="preserve"> PAGEREF _Toc80379974 \h </w:instrText>
        </w:r>
        <w:r w:rsidR="008907E4">
          <w:rPr>
            <w:noProof/>
            <w:webHidden/>
          </w:rPr>
        </w:r>
        <w:r w:rsidR="008907E4">
          <w:rPr>
            <w:noProof/>
            <w:webHidden/>
          </w:rPr>
          <w:fldChar w:fldCharType="separate"/>
        </w:r>
        <w:r w:rsidR="00E86865">
          <w:rPr>
            <w:noProof/>
            <w:webHidden/>
          </w:rPr>
          <w:t>145</w:t>
        </w:r>
        <w:r w:rsidR="008907E4">
          <w:rPr>
            <w:noProof/>
            <w:webHidden/>
          </w:rPr>
          <w:fldChar w:fldCharType="end"/>
        </w:r>
      </w:hyperlink>
    </w:p>
    <w:p w14:paraId="19668C12" w14:textId="73BFF904" w:rsidR="008907E4" w:rsidRDefault="00C23355" w:rsidP="00E14ED4">
      <w:pPr>
        <w:pStyle w:val="TOC3"/>
        <w:spacing w:before="0"/>
        <w:rPr>
          <w:rFonts w:eastAsiaTheme="minorEastAsia" w:cstheme="minorBidi"/>
          <w:noProof/>
          <w:sz w:val="22"/>
          <w:szCs w:val="22"/>
          <w:lang w:val="en-US"/>
        </w:rPr>
      </w:pPr>
      <w:hyperlink w:anchor="_Toc80379975" w:history="1">
        <w:r w:rsidR="008907E4" w:rsidRPr="00D527D0">
          <w:rPr>
            <w:rStyle w:val="Hyperlink"/>
            <w:noProof/>
            <w:lang w:eastAsia="ja-JP"/>
          </w:rPr>
          <w:t>6.2.1</w:t>
        </w:r>
        <w:r w:rsidR="008907E4">
          <w:rPr>
            <w:rFonts w:eastAsiaTheme="minorEastAsia" w:cstheme="minorBidi"/>
            <w:noProof/>
            <w:sz w:val="22"/>
            <w:szCs w:val="22"/>
            <w:lang w:val="en-US"/>
          </w:rPr>
          <w:tab/>
        </w:r>
        <w:r w:rsidR="008907E4" w:rsidRPr="00D527D0">
          <w:rPr>
            <w:rStyle w:val="Hyperlink"/>
            <w:noProof/>
            <w:lang w:eastAsia="ja-JP"/>
          </w:rPr>
          <w:t>Riscos de Violência Baseada no Género</w:t>
        </w:r>
        <w:r w:rsidR="008907E4">
          <w:rPr>
            <w:noProof/>
            <w:webHidden/>
          </w:rPr>
          <w:tab/>
        </w:r>
        <w:r w:rsidR="008907E4">
          <w:rPr>
            <w:noProof/>
            <w:webHidden/>
          </w:rPr>
          <w:fldChar w:fldCharType="begin"/>
        </w:r>
        <w:r w:rsidR="008907E4">
          <w:rPr>
            <w:noProof/>
            <w:webHidden/>
          </w:rPr>
          <w:instrText xml:space="preserve"> PAGEREF _Toc80379975 \h </w:instrText>
        </w:r>
        <w:r w:rsidR="008907E4">
          <w:rPr>
            <w:noProof/>
            <w:webHidden/>
          </w:rPr>
        </w:r>
        <w:r w:rsidR="008907E4">
          <w:rPr>
            <w:noProof/>
            <w:webHidden/>
          </w:rPr>
          <w:fldChar w:fldCharType="separate"/>
        </w:r>
        <w:r w:rsidR="00E86865">
          <w:rPr>
            <w:noProof/>
            <w:webHidden/>
          </w:rPr>
          <w:t>146</w:t>
        </w:r>
        <w:r w:rsidR="008907E4">
          <w:rPr>
            <w:noProof/>
            <w:webHidden/>
          </w:rPr>
          <w:fldChar w:fldCharType="end"/>
        </w:r>
      </w:hyperlink>
    </w:p>
    <w:p w14:paraId="0E1860BD" w14:textId="0888DD0F" w:rsidR="008907E4" w:rsidRDefault="00C23355" w:rsidP="00E14ED4">
      <w:pPr>
        <w:pStyle w:val="TOC1"/>
        <w:rPr>
          <w:rFonts w:asciiTheme="minorHAnsi" w:eastAsiaTheme="minorEastAsia" w:hAnsiTheme="minorHAnsi" w:cstheme="minorBidi"/>
          <w:b w:val="0"/>
          <w:bCs w:val="0"/>
          <w:caps w:val="0"/>
          <w:noProof/>
          <w:sz w:val="22"/>
          <w:szCs w:val="22"/>
          <w:lang w:val="en-US"/>
        </w:rPr>
      </w:pPr>
      <w:hyperlink w:anchor="_Toc80379976" w:history="1">
        <w:r w:rsidR="008907E4" w:rsidRPr="00D527D0">
          <w:rPr>
            <w:rStyle w:val="Hyperlink"/>
            <w:noProof/>
            <w:lang w:val="pt-BR"/>
          </w:rPr>
          <w:t>7</w:t>
        </w:r>
        <w:r w:rsidR="008907E4">
          <w:rPr>
            <w:rFonts w:asciiTheme="minorHAnsi" w:eastAsiaTheme="minorEastAsia" w:hAnsiTheme="minorHAnsi" w:cstheme="minorBidi"/>
            <w:b w:val="0"/>
            <w:bCs w:val="0"/>
            <w:caps w:val="0"/>
            <w:noProof/>
            <w:sz w:val="22"/>
            <w:szCs w:val="22"/>
            <w:lang w:val="en-US"/>
          </w:rPr>
          <w:tab/>
        </w:r>
        <w:r w:rsidR="008907E4" w:rsidRPr="00D527D0">
          <w:rPr>
            <w:rStyle w:val="Hyperlink"/>
            <w:noProof/>
            <w:lang w:val="pt-PT"/>
          </w:rPr>
          <w:t>Medidas de Mitigação dos Riscos e Impactos Ambientais e Sociais</w:t>
        </w:r>
        <w:r w:rsidR="008907E4">
          <w:rPr>
            <w:noProof/>
            <w:webHidden/>
          </w:rPr>
          <w:tab/>
        </w:r>
        <w:r w:rsidR="008907E4">
          <w:rPr>
            <w:noProof/>
            <w:webHidden/>
          </w:rPr>
          <w:fldChar w:fldCharType="begin"/>
        </w:r>
        <w:r w:rsidR="008907E4">
          <w:rPr>
            <w:noProof/>
            <w:webHidden/>
          </w:rPr>
          <w:instrText xml:space="preserve"> PAGEREF _Toc80379976 \h </w:instrText>
        </w:r>
        <w:r w:rsidR="008907E4">
          <w:rPr>
            <w:noProof/>
            <w:webHidden/>
          </w:rPr>
        </w:r>
        <w:r w:rsidR="008907E4">
          <w:rPr>
            <w:noProof/>
            <w:webHidden/>
          </w:rPr>
          <w:fldChar w:fldCharType="separate"/>
        </w:r>
        <w:r w:rsidR="00E86865">
          <w:rPr>
            <w:noProof/>
            <w:webHidden/>
          </w:rPr>
          <w:t>147</w:t>
        </w:r>
        <w:r w:rsidR="008907E4">
          <w:rPr>
            <w:noProof/>
            <w:webHidden/>
          </w:rPr>
          <w:fldChar w:fldCharType="end"/>
        </w:r>
      </w:hyperlink>
    </w:p>
    <w:p w14:paraId="5843F01A" w14:textId="70E0FDF6" w:rsidR="008907E4" w:rsidRDefault="00C23355" w:rsidP="00E14ED4">
      <w:pPr>
        <w:pStyle w:val="TOC2"/>
        <w:rPr>
          <w:rFonts w:eastAsiaTheme="minorEastAsia" w:cstheme="minorBidi"/>
          <w:b w:val="0"/>
          <w:bCs w:val="0"/>
          <w:noProof/>
          <w:sz w:val="22"/>
          <w:szCs w:val="22"/>
          <w:lang w:val="en-US"/>
        </w:rPr>
      </w:pPr>
      <w:hyperlink w:anchor="_Toc80379977" w:history="1">
        <w:r w:rsidR="008907E4" w:rsidRPr="00D527D0">
          <w:rPr>
            <w:rStyle w:val="Hyperlink"/>
            <w:noProof/>
          </w:rPr>
          <w:t>7.1</w:t>
        </w:r>
        <w:r w:rsidR="008907E4">
          <w:rPr>
            <w:rFonts w:eastAsiaTheme="minorEastAsia" w:cstheme="minorBidi"/>
            <w:b w:val="0"/>
            <w:bCs w:val="0"/>
            <w:noProof/>
            <w:sz w:val="22"/>
            <w:szCs w:val="22"/>
            <w:lang w:val="en-US"/>
          </w:rPr>
          <w:tab/>
        </w:r>
        <w:r w:rsidR="008907E4" w:rsidRPr="00D527D0">
          <w:rPr>
            <w:rStyle w:val="Hyperlink"/>
            <w:noProof/>
          </w:rPr>
          <w:t>Medidas de incrementação dos impactos positivos</w:t>
        </w:r>
        <w:r w:rsidR="008907E4">
          <w:rPr>
            <w:noProof/>
            <w:webHidden/>
          </w:rPr>
          <w:tab/>
        </w:r>
        <w:r w:rsidR="008907E4">
          <w:rPr>
            <w:noProof/>
            <w:webHidden/>
          </w:rPr>
          <w:fldChar w:fldCharType="begin"/>
        </w:r>
        <w:r w:rsidR="008907E4">
          <w:rPr>
            <w:noProof/>
            <w:webHidden/>
          </w:rPr>
          <w:instrText xml:space="preserve"> PAGEREF _Toc80379977 \h </w:instrText>
        </w:r>
        <w:r w:rsidR="008907E4">
          <w:rPr>
            <w:noProof/>
            <w:webHidden/>
          </w:rPr>
        </w:r>
        <w:r w:rsidR="008907E4">
          <w:rPr>
            <w:noProof/>
            <w:webHidden/>
          </w:rPr>
          <w:fldChar w:fldCharType="separate"/>
        </w:r>
        <w:r w:rsidR="00E86865">
          <w:rPr>
            <w:noProof/>
            <w:webHidden/>
          </w:rPr>
          <w:t>148</w:t>
        </w:r>
        <w:r w:rsidR="008907E4">
          <w:rPr>
            <w:noProof/>
            <w:webHidden/>
          </w:rPr>
          <w:fldChar w:fldCharType="end"/>
        </w:r>
      </w:hyperlink>
    </w:p>
    <w:p w14:paraId="415EED30" w14:textId="554EA974" w:rsidR="008907E4" w:rsidRDefault="00C23355" w:rsidP="00E14ED4">
      <w:pPr>
        <w:pStyle w:val="TOC2"/>
        <w:rPr>
          <w:rFonts w:eastAsiaTheme="minorEastAsia" w:cstheme="minorBidi"/>
          <w:b w:val="0"/>
          <w:bCs w:val="0"/>
          <w:noProof/>
          <w:sz w:val="22"/>
          <w:szCs w:val="22"/>
          <w:lang w:val="en-US"/>
        </w:rPr>
      </w:pPr>
      <w:hyperlink w:anchor="_Toc80379978" w:history="1">
        <w:r w:rsidR="008907E4" w:rsidRPr="00D527D0">
          <w:rPr>
            <w:rStyle w:val="Hyperlink"/>
            <w:noProof/>
          </w:rPr>
          <w:t>7.2</w:t>
        </w:r>
        <w:r w:rsidR="008907E4">
          <w:rPr>
            <w:rFonts w:eastAsiaTheme="minorEastAsia" w:cstheme="minorBidi"/>
            <w:b w:val="0"/>
            <w:bCs w:val="0"/>
            <w:noProof/>
            <w:sz w:val="22"/>
            <w:szCs w:val="22"/>
            <w:lang w:val="en-US"/>
          </w:rPr>
          <w:tab/>
        </w:r>
        <w:r w:rsidR="008907E4" w:rsidRPr="00D527D0">
          <w:rPr>
            <w:rStyle w:val="Hyperlink"/>
            <w:noProof/>
          </w:rPr>
          <w:t>Planos e Programas Complementares ao PGAS</w:t>
        </w:r>
        <w:r w:rsidR="008907E4">
          <w:rPr>
            <w:noProof/>
            <w:webHidden/>
          </w:rPr>
          <w:tab/>
        </w:r>
        <w:r w:rsidR="008907E4">
          <w:rPr>
            <w:noProof/>
            <w:webHidden/>
          </w:rPr>
          <w:fldChar w:fldCharType="begin"/>
        </w:r>
        <w:r w:rsidR="008907E4">
          <w:rPr>
            <w:noProof/>
            <w:webHidden/>
          </w:rPr>
          <w:instrText xml:space="preserve"> PAGEREF _Toc80379978 \h </w:instrText>
        </w:r>
        <w:r w:rsidR="008907E4">
          <w:rPr>
            <w:noProof/>
            <w:webHidden/>
          </w:rPr>
        </w:r>
        <w:r w:rsidR="008907E4">
          <w:rPr>
            <w:noProof/>
            <w:webHidden/>
          </w:rPr>
          <w:fldChar w:fldCharType="separate"/>
        </w:r>
        <w:r w:rsidR="00E86865">
          <w:rPr>
            <w:noProof/>
            <w:webHidden/>
          </w:rPr>
          <w:t>148</w:t>
        </w:r>
        <w:r w:rsidR="008907E4">
          <w:rPr>
            <w:noProof/>
            <w:webHidden/>
          </w:rPr>
          <w:fldChar w:fldCharType="end"/>
        </w:r>
      </w:hyperlink>
    </w:p>
    <w:p w14:paraId="71BE18CF" w14:textId="67F7C217" w:rsidR="008907E4" w:rsidRDefault="00C23355" w:rsidP="00E14ED4">
      <w:pPr>
        <w:pStyle w:val="TOC2"/>
        <w:rPr>
          <w:rFonts w:eastAsiaTheme="minorEastAsia" w:cstheme="minorBidi"/>
          <w:b w:val="0"/>
          <w:bCs w:val="0"/>
          <w:noProof/>
          <w:sz w:val="22"/>
          <w:szCs w:val="22"/>
          <w:lang w:val="en-US"/>
        </w:rPr>
      </w:pPr>
      <w:hyperlink w:anchor="_Toc80379979" w:history="1">
        <w:r w:rsidR="008907E4" w:rsidRPr="00D527D0">
          <w:rPr>
            <w:rStyle w:val="Hyperlink"/>
            <w:noProof/>
          </w:rPr>
          <w:t>7.3</w:t>
        </w:r>
        <w:r w:rsidR="008907E4">
          <w:rPr>
            <w:rFonts w:eastAsiaTheme="minorEastAsia" w:cstheme="minorBidi"/>
            <w:b w:val="0"/>
            <w:bCs w:val="0"/>
            <w:noProof/>
            <w:sz w:val="22"/>
            <w:szCs w:val="22"/>
            <w:lang w:val="en-US"/>
          </w:rPr>
          <w:tab/>
        </w:r>
        <w:r w:rsidR="008907E4" w:rsidRPr="00D527D0">
          <w:rPr>
            <w:rStyle w:val="Hyperlink"/>
            <w:noProof/>
          </w:rPr>
          <w:t>Sistema de Gestão Ambiental e Social (SGAS)</w:t>
        </w:r>
        <w:r w:rsidR="008907E4">
          <w:rPr>
            <w:noProof/>
            <w:webHidden/>
          </w:rPr>
          <w:tab/>
        </w:r>
        <w:r w:rsidR="008907E4">
          <w:rPr>
            <w:noProof/>
            <w:webHidden/>
          </w:rPr>
          <w:fldChar w:fldCharType="begin"/>
        </w:r>
        <w:r w:rsidR="008907E4">
          <w:rPr>
            <w:noProof/>
            <w:webHidden/>
          </w:rPr>
          <w:instrText xml:space="preserve"> PAGEREF _Toc80379979 \h </w:instrText>
        </w:r>
        <w:r w:rsidR="008907E4">
          <w:rPr>
            <w:noProof/>
            <w:webHidden/>
          </w:rPr>
        </w:r>
        <w:r w:rsidR="008907E4">
          <w:rPr>
            <w:noProof/>
            <w:webHidden/>
          </w:rPr>
          <w:fldChar w:fldCharType="separate"/>
        </w:r>
        <w:r w:rsidR="00E86865">
          <w:rPr>
            <w:noProof/>
            <w:webHidden/>
          </w:rPr>
          <w:t>150</w:t>
        </w:r>
        <w:r w:rsidR="008907E4">
          <w:rPr>
            <w:noProof/>
            <w:webHidden/>
          </w:rPr>
          <w:fldChar w:fldCharType="end"/>
        </w:r>
      </w:hyperlink>
    </w:p>
    <w:p w14:paraId="24CABD41" w14:textId="1F597CCD" w:rsidR="008907E4" w:rsidRDefault="00C23355" w:rsidP="00E14ED4">
      <w:pPr>
        <w:pStyle w:val="TOC1"/>
        <w:rPr>
          <w:rFonts w:asciiTheme="minorHAnsi" w:eastAsiaTheme="minorEastAsia" w:hAnsiTheme="minorHAnsi" w:cstheme="minorBidi"/>
          <w:b w:val="0"/>
          <w:bCs w:val="0"/>
          <w:caps w:val="0"/>
          <w:noProof/>
          <w:sz w:val="22"/>
          <w:szCs w:val="22"/>
          <w:lang w:val="en-US"/>
        </w:rPr>
      </w:pPr>
      <w:hyperlink w:anchor="_Toc80379980" w:history="1">
        <w:r w:rsidR="008907E4" w:rsidRPr="00D527D0">
          <w:rPr>
            <w:rStyle w:val="Hyperlink"/>
            <w:noProof/>
            <w:lang w:val="pt-BR" w:eastAsia="ja-JP"/>
          </w:rPr>
          <w:t>8</w:t>
        </w:r>
        <w:r w:rsidR="008907E4">
          <w:rPr>
            <w:rFonts w:asciiTheme="minorHAnsi" w:eastAsiaTheme="minorEastAsia" w:hAnsiTheme="minorHAnsi" w:cstheme="minorBidi"/>
            <w:b w:val="0"/>
            <w:bCs w:val="0"/>
            <w:caps w:val="0"/>
            <w:noProof/>
            <w:sz w:val="22"/>
            <w:szCs w:val="22"/>
            <w:lang w:val="en-US"/>
          </w:rPr>
          <w:tab/>
        </w:r>
        <w:r w:rsidR="008907E4" w:rsidRPr="00D527D0">
          <w:rPr>
            <w:rStyle w:val="Hyperlink"/>
            <w:noProof/>
            <w:lang w:val="pt-PT" w:eastAsia="ja-JP"/>
          </w:rPr>
          <w:t>Arranjo Institucional de Implementação do Projecto e Capacitação</w:t>
        </w:r>
        <w:r w:rsidR="008907E4">
          <w:rPr>
            <w:noProof/>
            <w:webHidden/>
          </w:rPr>
          <w:tab/>
        </w:r>
        <w:r w:rsidR="008907E4">
          <w:rPr>
            <w:noProof/>
            <w:webHidden/>
          </w:rPr>
          <w:fldChar w:fldCharType="begin"/>
        </w:r>
        <w:r w:rsidR="008907E4">
          <w:rPr>
            <w:noProof/>
            <w:webHidden/>
          </w:rPr>
          <w:instrText xml:space="preserve"> PAGEREF _Toc80379980 \h </w:instrText>
        </w:r>
        <w:r w:rsidR="008907E4">
          <w:rPr>
            <w:noProof/>
            <w:webHidden/>
          </w:rPr>
        </w:r>
        <w:r w:rsidR="008907E4">
          <w:rPr>
            <w:noProof/>
            <w:webHidden/>
          </w:rPr>
          <w:fldChar w:fldCharType="separate"/>
        </w:r>
        <w:r w:rsidR="00E86865">
          <w:rPr>
            <w:noProof/>
            <w:webHidden/>
          </w:rPr>
          <w:t>151</w:t>
        </w:r>
        <w:r w:rsidR="008907E4">
          <w:rPr>
            <w:noProof/>
            <w:webHidden/>
          </w:rPr>
          <w:fldChar w:fldCharType="end"/>
        </w:r>
      </w:hyperlink>
    </w:p>
    <w:p w14:paraId="10CB2A6D" w14:textId="52127FE7" w:rsidR="008907E4" w:rsidRDefault="00C23355" w:rsidP="00E14ED4">
      <w:pPr>
        <w:pStyle w:val="TOC2"/>
        <w:rPr>
          <w:rFonts w:eastAsiaTheme="minorEastAsia" w:cstheme="minorBidi"/>
          <w:b w:val="0"/>
          <w:bCs w:val="0"/>
          <w:noProof/>
          <w:sz w:val="22"/>
          <w:szCs w:val="22"/>
          <w:lang w:val="en-US"/>
        </w:rPr>
      </w:pPr>
      <w:hyperlink w:anchor="_Toc80379981" w:history="1">
        <w:r w:rsidR="008907E4" w:rsidRPr="00D527D0">
          <w:rPr>
            <w:rStyle w:val="Hyperlink"/>
            <w:noProof/>
          </w:rPr>
          <w:t>8.1</w:t>
        </w:r>
        <w:r w:rsidR="008907E4">
          <w:rPr>
            <w:rFonts w:eastAsiaTheme="minorEastAsia" w:cstheme="minorBidi"/>
            <w:b w:val="0"/>
            <w:bCs w:val="0"/>
            <w:noProof/>
            <w:sz w:val="22"/>
            <w:szCs w:val="22"/>
            <w:lang w:val="en-US"/>
          </w:rPr>
          <w:tab/>
        </w:r>
        <w:r w:rsidR="008907E4" w:rsidRPr="00D527D0">
          <w:rPr>
            <w:rStyle w:val="Hyperlink"/>
            <w:noProof/>
          </w:rPr>
          <w:t>Principais Instituições envolvidas na Implementação do Projecto</w:t>
        </w:r>
        <w:r w:rsidR="008907E4">
          <w:rPr>
            <w:noProof/>
            <w:webHidden/>
          </w:rPr>
          <w:tab/>
        </w:r>
        <w:r w:rsidR="008907E4">
          <w:rPr>
            <w:noProof/>
            <w:webHidden/>
          </w:rPr>
          <w:fldChar w:fldCharType="begin"/>
        </w:r>
        <w:r w:rsidR="008907E4">
          <w:rPr>
            <w:noProof/>
            <w:webHidden/>
          </w:rPr>
          <w:instrText xml:space="preserve"> PAGEREF _Toc80379981 \h </w:instrText>
        </w:r>
        <w:r w:rsidR="008907E4">
          <w:rPr>
            <w:noProof/>
            <w:webHidden/>
          </w:rPr>
        </w:r>
        <w:r w:rsidR="008907E4">
          <w:rPr>
            <w:noProof/>
            <w:webHidden/>
          </w:rPr>
          <w:fldChar w:fldCharType="separate"/>
        </w:r>
        <w:r w:rsidR="00E86865">
          <w:rPr>
            <w:noProof/>
            <w:webHidden/>
          </w:rPr>
          <w:t>151</w:t>
        </w:r>
        <w:r w:rsidR="008907E4">
          <w:rPr>
            <w:noProof/>
            <w:webHidden/>
          </w:rPr>
          <w:fldChar w:fldCharType="end"/>
        </w:r>
      </w:hyperlink>
    </w:p>
    <w:p w14:paraId="5D2759D5" w14:textId="3ED90354" w:rsidR="008907E4" w:rsidRDefault="00C23355" w:rsidP="00E14ED4">
      <w:pPr>
        <w:pStyle w:val="TOC3"/>
        <w:spacing w:before="0"/>
        <w:rPr>
          <w:rFonts w:eastAsiaTheme="minorEastAsia" w:cstheme="minorBidi"/>
          <w:noProof/>
          <w:sz w:val="22"/>
          <w:szCs w:val="22"/>
          <w:lang w:val="en-US"/>
        </w:rPr>
      </w:pPr>
      <w:hyperlink w:anchor="_Toc80379982" w:history="1">
        <w:r w:rsidR="008907E4" w:rsidRPr="00D527D0">
          <w:rPr>
            <w:rStyle w:val="Hyperlink"/>
            <w:noProof/>
          </w:rPr>
          <w:t>8.1.1</w:t>
        </w:r>
        <w:r w:rsidR="008907E4">
          <w:rPr>
            <w:rFonts w:eastAsiaTheme="minorEastAsia" w:cstheme="minorBidi"/>
            <w:noProof/>
            <w:sz w:val="22"/>
            <w:szCs w:val="22"/>
            <w:lang w:val="en-US"/>
          </w:rPr>
          <w:tab/>
        </w:r>
        <w:r w:rsidR="008907E4" w:rsidRPr="00D527D0">
          <w:rPr>
            <w:rStyle w:val="Hyperlink"/>
            <w:noProof/>
          </w:rPr>
          <w:t>Direcção Nacional de Abastecimento de Água e Saneamento (DNAAS)</w:t>
        </w:r>
        <w:r w:rsidR="008907E4">
          <w:rPr>
            <w:noProof/>
            <w:webHidden/>
          </w:rPr>
          <w:tab/>
        </w:r>
        <w:r w:rsidR="008907E4">
          <w:rPr>
            <w:noProof/>
            <w:webHidden/>
          </w:rPr>
          <w:fldChar w:fldCharType="begin"/>
        </w:r>
        <w:r w:rsidR="008907E4">
          <w:rPr>
            <w:noProof/>
            <w:webHidden/>
          </w:rPr>
          <w:instrText xml:space="preserve"> PAGEREF _Toc80379982 \h </w:instrText>
        </w:r>
        <w:r w:rsidR="008907E4">
          <w:rPr>
            <w:noProof/>
            <w:webHidden/>
          </w:rPr>
        </w:r>
        <w:r w:rsidR="008907E4">
          <w:rPr>
            <w:noProof/>
            <w:webHidden/>
          </w:rPr>
          <w:fldChar w:fldCharType="separate"/>
        </w:r>
        <w:r w:rsidR="00E86865">
          <w:rPr>
            <w:noProof/>
            <w:webHidden/>
          </w:rPr>
          <w:t>151</w:t>
        </w:r>
        <w:r w:rsidR="008907E4">
          <w:rPr>
            <w:noProof/>
            <w:webHidden/>
          </w:rPr>
          <w:fldChar w:fldCharType="end"/>
        </w:r>
      </w:hyperlink>
    </w:p>
    <w:p w14:paraId="49AE3019" w14:textId="21FEF7E6" w:rsidR="008907E4" w:rsidRDefault="00C23355" w:rsidP="00E14ED4">
      <w:pPr>
        <w:pStyle w:val="TOC3"/>
        <w:spacing w:before="0"/>
        <w:rPr>
          <w:rFonts w:eastAsiaTheme="minorEastAsia" w:cstheme="minorBidi"/>
          <w:noProof/>
          <w:sz w:val="22"/>
          <w:szCs w:val="22"/>
          <w:lang w:val="en-US"/>
        </w:rPr>
      </w:pPr>
      <w:hyperlink w:anchor="_Toc80379983" w:history="1">
        <w:r w:rsidR="008907E4" w:rsidRPr="00D527D0">
          <w:rPr>
            <w:rStyle w:val="Hyperlink"/>
            <w:noProof/>
            <w:spacing w:val="-10"/>
          </w:rPr>
          <w:t>8.1.2</w:t>
        </w:r>
        <w:r w:rsidR="008907E4">
          <w:rPr>
            <w:rFonts w:eastAsiaTheme="minorEastAsia" w:cstheme="minorBidi"/>
            <w:noProof/>
            <w:sz w:val="22"/>
            <w:szCs w:val="22"/>
            <w:lang w:val="en-US"/>
          </w:rPr>
          <w:tab/>
        </w:r>
        <w:r w:rsidR="008907E4" w:rsidRPr="00D527D0">
          <w:rPr>
            <w:rStyle w:val="Hyperlink"/>
            <w:noProof/>
          </w:rPr>
          <w:t>A Administração de Infraestruturas de Água e Saneamento, Instituto Público (A</w:t>
        </w:r>
        <w:r w:rsidR="008907E4" w:rsidRPr="00D527D0">
          <w:rPr>
            <w:rStyle w:val="Hyperlink"/>
            <w:noProof/>
            <w:spacing w:val="-1"/>
          </w:rPr>
          <w:t>I</w:t>
        </w:r>
        <w:r w:rsidR="008907E4" w:rsidRPr="00D527D0">
          <w:rPr>
            <w:rStyle w:val="Hyperlink"/>
            <w:noProof/>
          </w:rPr>
          <w:t>AS)</w:t>
        </w:r>
        <w:r w:rsidR="008907E4">
          <w:rPr>
            <w:noProof/>
            <w:webHidden/>
          </w:rPr>
          <w:tab/>
        </w:r>
        <w:r w:rsidR="008907E4">
          <w:rPr>
            <w:noProof/>
            <w:webHidden/>
          </w:rPr>
          <w:fldChar w:fldCharType="begin"/>
        </w:r>
        <w:r w:rsidR="008907E4">
          <w:rPr>
            <w:noProof/>
            <w:webHidden/>
          </w:rPr>
          <w:instrText xml:space="preserve"> PAGEREF _Toc80379983 \h </w:instrText>
        </w:r>
        <w:r w:rsidR="008907E4">
          <w:rPr>
            <w:noProof/>
            <w:webHidden/>
          </w:rPr>
        </w:r>
        <w:r w:rsidR="008907E4">
          <w:rPr>
            <w:noProof/>
            <w:webHidden/>
          </w:rPr>
          <w:fldChar w:fldCharType="separate"/>
        </w:r>
        <w:r w:rsidR="00E86865">
          <w:rPr>
            <w:noProof/>
            <w:webHidden/>
          </w:rPr>
          <w:t>152</w:t>
        </w:r>
        <w:r w:rsidR="008907E4">
          <w:rPr>
            <w:noProof/>
            <w:webHidden/>
          </w:rPr>
          <w:fldChar w:fldCharType="end"/>
        </w:r>
      </w:hyperlink>
    </w:p>
    <w:p w14:paraId="3A780241" w14:textId="00665001" w:rsidR="008907E4" w:rsidRDefault="00C23355" w:rsidP="00E14ED4">
      <w:pPr>
        <w:pStyle w:val="TOC3"/>
        <w:spacing w:before="0"/>
        <w:rPr>
          <w:rFonts w:eastAsiaTheme="minorEastAsia" w:cstheme="minorBidi"/>
          <w:noProof/>
          <w:sz w:val="22"/>
          <w:szCs w:val="22"/>
          <w:lang w:val="en-US"/>
        </w:rPr>
      </w:pPr>
      <w:hyperlink w:anchor="_Toc80379984" w:history="1">
        <w:r w:rsidR="008907E4" w:rsidRPr="00D527D0">
          <w:rPr>
            <w:rStyle w:val="Hyperlink"/>
            <w:noProof/>
          </w:rPr>
          <w:t>8.1.3</w:t>
        </w:r>
        <w:r w:rsidR="008907E4">
          <w:rPr>
            <w:rFonts w:eastAsiaTheme="minorEastAsia" w:cstheme="minorBidi"/>
            <w:noProof/>
            <w:sz w:val="22"/>
            <w:szCs w:val="22"/>
            <w:lang w:val="en-US"/>
          </w:rPr>
          <w:tab/>
        </w:r>
        <w:r w:rsidR="008907E4" w:rsidRPr="00D527D0">
          <w:rPr>
            <w:rStyle w:val="Hyperlink"/>
            <w:noProof/>
          </w:rPr>
          <w:t>A Autoridade Reguladora de Água, Instituto Público (AURA, IP)</w:t>
        </w:r>
        <w:r w:rsidR="008907E4">
          <w:rPr>
            <w:noProof/>
            <w:webHidden/>
          </w:rPr>
          <w:tab/>
        </w:r>
        <w:r w:rsidR="008907E4">
          <w:rPr>
            <w:noProof/>
            <w:webHidden/>
          </w:rPr>
          <w:fldChar w:fldCharType="begin"/>
        </w:r>
        <w:r w:rsidR="008907E4">
          <w:rPr>
            <w:noProof/>
            <w:webHidden/>
          </w:rPr>
          <w:instrText xml:space="preserve"> PAGEREF _Toc80379984 \h </w:instrText>
        </w:r>
        <w:r w:rsidR="008907E4">
          <w:rPr>
            <w:noProof/>
            <w:webHidden/>
          </w:rPr>
        </w:r>
        <w:r w:rsidR="008907E4">
          <w:rPr>
            <w:noProof/>
            <w:webHidden/>
          </w:rPr>
          <w:fldChar w:fldCharType="separate"/>
        </w:r>
        <w:r w:rsidR="00E86865">
          <w:rPr>
            <w:noProof/>
            <w:webHidden/>
          </w:rPr>
          <w:t>152</w:t>
        </w:r>
        <w:r w:rsidR="008907E4">
          <w:rPr>
            <w:noProof/>
            <w:webHidden/>
          </w:rPr>
          <w:fldChar w:fldCharType="end"/>
        </w:r>
      </w:hyperlink>
    </w:p>
    <w:p w14:paraId="28FB42EB" w14:textId="66440D4D" w:rsidR="008907E4" w:rsidRDefault="00C23355" w:rsidP="00E14ED4">
      <w:pPr>
        <w:pStyle w:val="TOC3"/>
        <w:spacing w:before="0"/>
        <w:rPr>
          <w:rFonts w:eastAsiaTheme="minorEastAsia" w:cstheme="minorBidi"/>
          <w:noProof/>
          <w:sz w:val="22"/>
          <w:szCs w:val="22"/>
          <w:lang w:val="en-US"/>
        </w:rPr>
      </w:pPr>
      <w:hyperlink w:anchor="_Toc80379985" w:history="1">
        <w:r w:rsidR="008907E4" w:rsidRPr="00D527D0">
          <w:rPr>
            <w:rStyle w:val="Hyperlink"/>
            <w:noProof/>
          </w:rPr>
          <w:t>8.1.4</w:t>
        </w:r>
        <w:r w:rsidR="008907E4">
          <w:rPr>
            <w:rFonts w:eastAsiaTheme="minorEastAsia" w:cstheme="minorBidi"/>
            <w:noProof/>
            <w:sz w:val="22"/>
            <w:szCs w:val="22"/>
            <w:lang w:val="en-US"/>
          </w:rPr>
          <w:tab/>
        </w:r>
        <w:r w:rsidR="008907E4" w:rsidRPr="00D527D0">
          <w:rPr>
            <w:rStyle w:val="Hyperlink"/>
            <w:noProof/>
          </w:rPr>
          <w:t>As Delegações da AIAS</w:t>
        </w:r>
        <w:r w:rsidR="008907E4">
          <w:rPr>
            <w:noProof/>
            <w:webHidden/>
          </w:rPr>
          <w:tab/>
        </w:r>
        <w:r w:rsidR="008907E4">
          <w:rPr>
            <w:noProof/>
            <w:webHidden/>
          </w:rPr>
          <w:fldChar w:fldCharType="begin"/>
        </w:r>
        <w:r w:rsidR="008907E4">
          <w:rPr>
            <w:noProof/>
            <w:webHidden/>
          </w:rPr>
          <w:instrText xml:space="preserve"> PAGEREF _Toc80379985 \h </w:instrText>
        </w:r>
        <w:r w:rsidR="008907E4">
          <w:rPr>
            <w:noProof/>
            <w:webHidden/>
          </w:rPr>
        </w:r>
        <w:r w:rsidR="008907E4">
          <w:rPr>
            <w:noProof/>
            <w:webHidden/>
          </w:rPr>
          <w:fldChar w:fldCharType="separate"/>
        </w:r>
        <w:r w:rsidR="00E86865">
          <w:rPr>
            <w:noProof/>
            <w:webHidden/>
          </w:rPr>
          <w:t>152</w:t>
        </w:r>
        <w:r w:rsidR="008907E4">
          <w:rPr>
            <w:noProof/>
            <w:webHidden/>
          </w:rPr>
          <w:fldChar w:fldCharType="end"/>
        </w:r>
      </w:hyperlink>
    </w:p>
    <w:p w14:paraId="4A42F9E7" w14:textId="1D0B4FD9" w:rsidR="008907E4" w:rsidRDefault="00C23355" w:rsidP="00E14ED4">
      <w:pPr>
        <w:pStyle w:val="TOC3"/>
        <w:spacing w:before="0"/>
        <w:rPr>
          <w:rFonts w:eastAsiaTheme="minorEastAsia" w:cstheme="minorBidi"/>
          <w:noProof/>
          <w:sz w:val="22"/>
          <w:szCs w:val="22"/>
          <w:lang w:val="en-US"/>
        </w:rPr>
      </w:pPr>
      <w:hyperlink w:anchor="_Toc80379986" w:history="1">
        <w:r w:rsidR="008907E4" w:rsidRPr="00D527D0">
          <w:rPr>
            <w:rStyle w:val="Hyperlink"/>
            <w:noProof/>
          </w:rPr>
          <w:t>8.1.5</w:t>
        </w:r>
        <w:r w:rsidR="008907E4">
          <w:rPr>
            <w:rFonts w:eastAsiaTheme="minorEastAsia" w:cstheme="minorBidi"/>
            <w:noProof/>
            <w:sz w:val="22"/>
            <w:szCs w:val="22"/>
            <w:lang w:val="en-US"/>
          </w:rPr>
          <w:tab/>
        </w:r>
        <w:r w:rsidR="008907E4" w:rsidRPr="00D527D0">
          <w:rPr>
            <w:rStyle w:val="Hyperlink"/>
            <w:noProof/>
          </w:rPr>
          <w:t>Direcção Provincial de Obras Públicas</w:t>
        </w:r>
        <w:r w:rsidR="008907E4">
          <w:rPr>
            <w:noProof/>
            <w:webHidden/>
          </w:rPr>
          <w:tab/>
        </w:r>
        <w:r w:rsidR="008907E4">
          <w:rPr>
            <w:noProof/>
            <w:webHidden/>
          </w:rPr>
          <w:fldChar w:fldCharType="begin"/>
        </w:r>
        <w:r w:rsidR="008907E4">
          <w:rPr>
            <w:noProof/>
            <w:webHidden/>
          </w:rPr>
          <w:instrText xml:space="preserve"> PAGEREF _Toc80379986 \h </w:instrText>
        </w:r>
        <w:r w:rsidR="008907E4">
          <w:rPr>
            <w:noProof/>
            <w:webHidden/>
          </w:rPr>
        </w:r>
        <w:r w:rsidR="008907E4">
          <w:rPr>
            <w:noProof/>
            <w:webHidden/>
          </w:rPr>
          <w:fldChar w:fldCharType="separate"/>
        </w:r>
        <w:r w:rsidR="00E86865">
          <w:rPr>
            <w:noProof/>
            <w:webHidden/>
          </w:rPr>
          <w:t>152</w:t>
        </w:r>
        <w:r w:rsidR="008907E4">
          <w:rPr>
            <w:noProof/>
            <w:webHidden/>
          </w:rPr>
          <w:fldChar w:fldCharType="end"/>
        </w:r>
      </w:hyperlink>
    </w:p>
    <w:p w14:paraId="0679E62B" w14:textId="1A5A4612" w:rsidR="008907E4" w:rsidRDefault="00C23355" w:rsidP="00E14ED4">
      <w:pPr>
        <w:pStyle w:val="TOC2"/>
        <w:rPr>
          <w:rFonts w:eastAsiaTheme="minorEastAsia" w:cstheme="minorBidi"/>
          <w:b w:val="0"/>
          <w:bCs w:val="0"/>
          <w:noProof/>
          <w:sz w:val="22"/>
          <w:szCs w:val="22"/>
          <w:lang w:val="en-US"/>
        </w:rPr>
      </w:pPr>
      <w:hyperlink w:anchor="_Toc80379987" w:history="1">
        <w:r w:rsidR="008907E4" w:rsidRPr="00D527D0">
          <w:rPr>
            <w:rStyle w:val="Hyperlink"/>
            <w:noProof/>
          </w:rPr>
          <w:t>8.2</w:t>
        </w:r>
        <w:r w:rsidR="008907E4">
          <w:rPr>
            <w:rFonts w:eastAsiaTheme="minorEastAsia" w:cstheme="minorBidi"/>
            <w:b w:val="0"/>
            <w:bCs w:val="0"/>
            <w:noProof/>
            <w:sz w:val="22"/>
            <w:szCs w:val="22"/>
            <w:lang w:val="en-US"/>
          </w:rPr>
          <w:tab/>
        </w:r>
        <w:r w:rsidR="008907E4" w:rsidRPr="00D527D0">
          <w:rPr>
            <w:rStyle w:val="Hyperlink"/>
            <w:noProof/>
          </w:rPr>
          <w:t>Estrutura de Implementação do Projecto</w:t>
        </w:r>
        <w:r w:rsidR="008907E4">
          <w:rPr>
            <w:noProof/>
            <w:webHidden/>
          </w:rPr>
          <w:tab/>
        </w:r>
        <w:r w:rsidR="008907E4">
          <w:rPr>
            <w:noProof/>
            <w:webHidden/>
          </w:rPr>
          <w:fldChar w:fldCharType="begin"/>
        </w:r>
        <w:r w:rsidR="008907E4">
          <w:rPr>
            <w:noProof/>
            <w:webHidden/>
          </w:rPr>
          <w:instrText xml:space="preserve"> PAGEREF _Toc80379987 \h </w:instrText>
        </w:r>
        <w:r w:rsidR="008907E4">
          <w:rPr>
            <w:noProof/>
            <w:webHidden/>
          </w:rPr>
        </w:r>
        <w:r w:rsidR="008907E4">
          <w:rPr>
            <w:noProof/>
            <w:webHidden/>
          </w:rPr>
          <w:fldChar w:fldCharType="separate"/>
        </w:r>
        <w:r w:rsidR="00E86865">
          <w:rPr>
            <w:noProof/>
            <w:webHidden/>
          </w:rPr>
          <w:t>153</w:t>
        </w:r>
        <w:r w:rsidR="008907E4">
          <w:rPr>
            <w:noProof/>
            <w:webHidden/>
          </w:rPr>
          <w:fldChar w:fldCharType="end"/>
        </w:r>
      </w:hyperlink>
    </w:p>
    <w:p w14:paraId="0D7FAB88" w14:textId="623584C2" w:rsidR="008907E4" w:rsidRDefault="00C23355" w:rsidP="00E14ED4">
      <w:pPr>
        <w:pStyle w:val="TOC3"/>
        <w:spacing w:before="0"/>
        <w:rPr>
          <w:rFonts w:eastAsiaTheme="minorEastAsia" w:cstheme="minorBidi"/>
          <w:noProof/>
          <w:sz w:val="22"/>
          <w:szCs w:val="22"/>
          <w:lang w:val="en-US"/>
        </w:rPr>
      </w:pPr>
      <w:hyperlink w:anchor="_Toc80379988" w:history="1">
        <w:r w:rsidR="008907E4" w:rsidRPr="00D527D0">
          <w:rPr>
            <w:rStyle w:val="Hyperlink"/>
            <w:noProof/>
          </w:rPr>
          <w:t>8.2.1</w:t>
        </w:r>
        <w:r w:rsidR="008907E4">
          <w:rPr>
            <w:rFonts w:eastAsiaTheme="minorEastAsia" w:cstheme="minorBidi"/>
            <w:noProof/>
            <w:sz w:val="22"/>
            <w:szCs w:val="22"/>
            <w:lang w:val="en-US"/>
          </w:rPr>
          <w:tab/>
        </w:r>
        <w:r w:rsidR="008907E4" w:rsidRPr="00D527D0">
          <w:rPr>
            <w:rStyle w:val="Hyperlink"/>
            <w:noProof/>
          </w:rPr>
          <w:t>A nível central</w:t>
        </w:r>
        <w:r w:rsidR="008907E4">
          <w:rPr>
            <w:noProof/>
            <w:webHidden/>
          </w:rPr>
          <w:tab/>
        </w:r>
        <w:r w:rsidR="008907E4">
          <w:rPr>
            <w:noProof/>
            <w:webHidden/>
          </w:rPr>
          <w:fldChar w:fldCharType="begin"/>
        </w:r>
        <w:r w:rsidR="008907E4">
          <w:rPr>
            <w:noProof/>
            <w:webHidden/>
          </w:rPr>
          <w:instrText xml:space="preserve"> PAGEREF _Toc80379988 \h </w:instrText>
        </w:r>
        <w:r w:rsidR="008907E4">
          <w:rPr>
            <w:noProof/>
            <w:webHidden/>
          </w:rPr>
        </w:r>
        <w:r w:rsidR="008907E4">
          <w:rPr>
            <w:noProof/>
            <w:webHidden/>
          </w:rPr>
          <w:fldChar w:fldCharType="separate"/>
        </w:r>
        <w:r w:rsidR="00E86865">
          <w:rPr>
            <w:noProof/>
            <w:webHidden/>
          </w:rPr>
          <w:t>153</w:t>
        </w:r>
        <w:r w:rsidR="008907E4">
          <w:rPr>
            <w:noProof/>
            <w:webHidden/>
          </w:rPr>
          <w:fldChar w:fldCharType="end"/>
        </w:r>
      </w:hyperlink>
    </w:p>
    <w:p w14:paraId="75E444D0" w14:textId="32378C19" w:rsidR="008907E4" w:rsidRDefault="00C23355" w:rsidP="00E14ED4">
      <w:pPr>
        <w:pStyle w:val="TOC3"/>
        <w:spacing w:before="0"/>
        <w:rPr>
          <w:rFonts w:eastAsiaTheme="minorEastAsia" w:cstheme="minorBidi"/>
          <w:noProof/>
          <w:sz w:val="22"/>
          <w:szCs w:val="22"/>
          <w:lang w:val="en-US"/>
        </w:rPr>
      </w:pPr>
      <w:hyperlink w:anchor="_Toc80379989" w:history="1">
        <w:r w:rsidR="008907E4" w:rsidRPr="00D527D0">
          <w:rPr>
            <w:rStyle w:val="Hyperlink"/>
            <w:noProof/>
          </w:rPr>
          <w:t>8.2.2</w:t>
        </w:r>
        <w:r w:rsidR="008907E4">
          <w:rPr>
            <w:rFonts w:eastAsiaTheme="minorEastAsia" w:cstheme="minorBidi"/>
            <w:noProof/>
            <w:sz w:val="22"/>
            <w:szCs w:val="22"/>
            <w:lang w:val="en-US"/>
          </w:rPr>
          <w:tab/>
        </w:r>
        <w:r w:rsidR="008907E4" w:rsidRPr="00D527D0">
          <w:rPr>
            <w:rStyle w:val="Hyperlink"/>
            <w:noProof/>
          </w:rPr>
          <w:t>A nível provincial</w:t>
        </w:r>
        <w:r w:rsidR="008907E4">
          <w:rPr>
            <w:noProof/>
            <w:webHidden/>
          </w:rPr>
          <w:tab/>
        </w:r>
        <w:r w:rsidR="008907E4">
          <w:rPr>
            <w:noProof/>
            <w:webHidden/>
          </w:rPr>
          <w:fldChar w:fldCharType="begin"/>
        </w:r>
        <w:r w:rsidR="008907E4">
          <w:rPr>
            <w:noProof/>
            <w:webHidden/>
          </w:rPr>
          <w:instrText xml:space="preserve"> PAGEREF _Toc80379989 \h </w:instrText>
        </w:r>
        <w:r w:rsidR="008907E4">
          <w:rPr>
            <w:noProof/>
            <w:webHidden/>
          </w:rPr>
        </w:r>
        <w:r w:rsidR="008907E4">
          <w:rPr>
            <w:noProof/>
            <w:webHidden/>
          </w:rPr>
          <w:fldChar w:fldCharType="separate"/>
        </w:r>
        <w:r w:rsidR="00E86865">
          <w:rPr>
            <w:noProof/>
            <w:webHidden/>
          </w:rPr>
          <w:t>154</w:t>
        </w:r>
        <w:r w:rsidR="008907E4">
          <w:rPr>
            <w:noProof/>
            <w:webHidden/>
          </w:rPr>
          <w:fldChar w:fldCharType="end"/>
        </w:r>
      </w:hyperlink>
    </w:p>
    <w:p w14:paraId="5130D98C" w14:textId="59A8D63D" w:rsidR="008907E4" w:rsidRDefault="00C23355" w:rsidP="00E14ED4">
      <w:pPr>
        <w:pStyle w:val="TOC3"/>
        <w:spacing w:before="0"/>
        <w:rPr>
          <w:rFonts w:eastAsiaTheme="minorEastAsia" w:cstheme="minorBidi"/>
          <w:noProof/>
          <w:sz w:val="22"/>
          <w:szCs w:val="22"/>
          <w:lang w:val="en-US"/>
        </w:rPr>
      </w:pPr>
      <w:hyperlink w:anchor="_Toc80379990" w:history="1">
        <w:r w:rsidR="008907E4" w:rsidRPr="00D527D0">
          <w:rPr>
            <w:rStyle w:val="Hyperlink"/>
            <w:noProof/>
          </w:rPr>
          <w:t>8.2.3</w:t>
        </w:r>
        <w:r w:rsidR="008907E4">
          <w:rPr>
            <w:rFonts w:eastAsiaTheme="minorEastAsia" w:cstheme="minorBidi"/>
            <w:noProof/>
            <w:sz w:val="22"/>
            <w:szCs w:val="22"/>
            <w:lang w:val="en-US"/>
          </w:rPr>
          <w:tab/>
        </w:r>
        <w:r w:rsidR="008907E4" w:rsidRPr="00D527D0">
          <w:rPr>
            <w:rStyle w:val="Hyperlink"/>
            <w:noProof/>
          </w:rPr>
          <w:t>A nível distrital</w:t>
        </w:r>
        <w:r w:rsidR="008907E4">
          <w:rPr>
            <w:noProof/>
            <w:webHidden/>
          </w:rPr>
          <w:tab/>
        </w:r>
        <w:r w:rsidR="008907E4">
          <w:rPr>
            <w:noProof/>
            <w:webHidden/>
          </w:rPr>
          <w:fldChar w:fldCharType="begin"/>
        </w:r>
        <w:r w:rsidR="008907E4">
          <w:rPr>
            <w:noProof/>
            <w:webHidden/>
          </w:rPr>
          <w:instrText xml:space="preserve"> PAGEREF _Toc80379990 \h </w:instrText>
        </w:r>
        <w:r w:rsidR="008907E4">
          <w:rPr>
            <w:noProof/>
            <w:webHidden/>
          </w:rPr>
        </w:r>
        <w:r w:rsidR="008907E4">
          <w:rPr>
            <w:noProof/>
            <w:webHidden/>
          </w:rPr>
          <w:fldChar w:fldCharType="separate"/>
        </w:r>
        <w:r w:rsidR="00E86865">
          <w:rPr>
            <w:noProof/>
            <w:webHidden/>
          </w:rPr>
          <w:t>154</w:t>
        </w:r>
        <w:r w:rsidR="008907E4">
          <w:rPr>
            <w:noProof/>
            <w:webHidden/>
          </w:rPr>
          <w:fldChar w:fldCharType="end"/>
        </w:r>
      </w:hyperlink>
    </w:p>
    <w:p w14:paraId="5A169E9C" w14:textId="77C1A437" w:rsidR="008907E4" w:rsidRDefault="00C23355" w:rsidP="00E14ED4">
      <w:pPr>
        <w:pStyle w:val="TOC3"/>
        <w:spacing w:before="0"/>
        <w:rPr>
          <w:rFonts w:eastAsiaTheme="minorEastAsia" w:cstheme="minorBidi"/>
          <w:noProof/>
          <w:sz w:val="22"/>
          <w:szCs w:val="22"/>
          <w:lang w:val="en-US"/>
        </w:rPr>
      </w:pPr>
      <w:hyperlink w:anchor="_Toc80379991" w:history="1">
        <w:r w:rsidR="008907E4" w:rsidRPr="00D527D0">
          <w:rPr>
            <w:rStyle w:val="Hyperlink"/>
            <w:noProof/>
          </w:rPr>
          <w:t>8.2.4</w:t>
        </w:r>
        <w:r w:rsidR="008907E4">
          <w:rPr>
            <w:rFonts w:eastAsiaTheme="minorEastAsia" w:cstheme="minorBidi"/>
            <w:noProof/>
            <w:sz w:val="22"/>
            <w:szCs w:val="22"/>
            <w:lang w:val="en-US"/>
          </w:rPr>
          <w:tab/>
        </w:r>
        <w:r w:rsidR="008907E4" w:rsidRPr="00D527D0">
          <w:rPr>
            <w:rStyle w:val="Hyperlink"/>
            <w:noProof/>
          </w:rPr>
          <w:t>Coordenação do Projecto</w:t>
        </w:r>
        <w:r w:rsidR="008907E4">
          <w:rPr>
            <w:noProof/>
            <w:webHidden/>
          </w:rPr>
          <w:tab/>
        </w:r>
        <w:r w:rsidR="008907E4">
          <w:rPr>
            <w:noProof/>
            <w:webHidden/>
          </w:rPr>
          <w:fldChar w:fldCharType="begin"/>
        </w:r>
        <w:r w:rsidR="008907E4">
          <w:rPr>
            <w:noProof/>
            <w:webHidden/>
          </w:rPr>
          <w:instrText xml:space="preserve"> PAGEREF _Toc80379991 \h </w:instrText>
        </w:r>
        <w:r w:rsidR="008907E4">
          <w:rPr>
            <w:noProof/>
            <w:webHidden/>
          </w:rPr>
        </w:r>
        <w:r w:rsidR="008907E4">
          <w:rPr>
            <w:noProof/>
            <w:webHidden/>
          </w:rPr>
          <w:fldChar w:fldCharType="separate"/>
        </w:r>
        <w:r w:rsidR="00E86865">
          <w:rPr>
            <w:noProof/>
            <w:webHidden/>
          </w:rPr>
          <w:t>154</w:t>
        </w:r>
        <w:r w:rsidR="008907E4">
          <w:rPr>
            <w:noProof/>
            <w:webHidden/>
          </w:rPr>
          <w:fldChar w:fldCharType="end"/>
        </w:r>
      </w:hyperlink>
    </w:p>
    <w:p w14:paraId="30CF9CD7" w14:textId="794BDC34" w:rsidR="008907E4" w:rsidRDefault="00C23355" w:rsidP="00E14ED4">
      <w:pPr>
        <w:pStyle w:val="TOC3"/>
        <w:spacing w:before="0"/>
        <w:rPr>
          <w:rFonts w:eastAsiaTheme="minorEastAsia" w:cstheme="minorBidi"/>
          <w:noProof/>
          <w:sz w:val="22"/>
          <w:szCs w:val="22"/>
          <w:lang w:val="en-US"/>
        </w:rPr>
      </w:pPr>
      <w:hyperlink w:anchor="_Toc80379992" w:history="1">
        <w:r w:rsidR="008907E4" w:rsidRPr="00D527D0">
          <w:rPr>
            <w:rStyle w:val="Hyperlink"/>
            <w:noProof/>
          </w:rPr>
          <w:t>8.2.5</w:t>
        </w:r>
        <w:r w:rsidR="008907E4">
          <w:rPr>
            <w:rFonts w:eastAsiaTheme="minorEastAsia" w:cstheme="minorBidi"/>
            <w:noProof/>
            <w:sz w:val="22"/>
            <w:szCs w:val="22"/>
            <w:lang w:val="en-US"/>
          </w:rPr>
          <w:tab/>
        </w:r>
        <w:r w:rsidR="008907E4" w:rsidRPr="00D527D0">
          <w:rPr>
            <w:rStyle w:val="Hyperlink"/>
            <w:noProof/>
          </w:rPr>
          <w:t>Unidades Técnicas Provinciais nas Direcções Provinciais de Obras Públicas</w:t>
        </w:r>
        <w:r w:rsidR="008907E4">
          <w:rPr>
            <w:noProof/>
            <w:webHidden/>
          </w:rPr>
          <w:tab/>
        </w:r>
        <w:r w:rsidR="008907E4">
          <w:rPr>
            <w:noProof/>
            <w:webHidden/>
          </w:rPr>
          <w:fldChar w:fldCharType="begin"/>
        </w:r>
        <w:r w:rsidR="008907E4">
          <w:rPr>
            <w:noProof/>
            <w:webHidden/>
          </w:rPr>
          <w:instrText xml:space="preserve"> PAGEREF _Toc80379992 \h </w:instrText>
        </w:r>
        <w:r w:rsidR="008907E4">
          <w:rPr>
            <w:noProof/>
            <w:webHidden/>
          </w:rPr>
        </w:r>
        <w:r w:rsidR="008907E4">
          <w:rPr>
            <w:noProof/>
            <w:webHidden/>
          </w:rPr>
          <w:fldChar w:fldCharType="separate"/>
        </w:r>
        <w:r w:rsidR="00E86865">
          <w:rPr>
            <w:noProof/>
            <w:webHidden/>
          </w:rPr>
          <w:t>155</w:t>
        </w:r>
        <w:r w:rsidR="008907E4">
          <w:rPr>
            <w:noProof/>
            <w:webHidden/>
          </w:rPr>
          <w:fldChar w:fldCharType="end"/>
        </w:r>
      </w:hyperlink>
    </w:p>
    <w:p w14:paraId="27C0B99A" w14:textId="49743137" w:rsidR="008907E4" w:rsidRDefault="00C23355" w:rsidP="00E14ED4">
      <w:pPr>
        <w:pStyle w:val="TOC2"/>
        <w:rPr>
          <w:rFonts w:eastAsiaTheme="minorEastAsia" w:cstheme="minorBidi"/>
          <w:b w:val="0"/>
          <w:bCs w:val="0"/>
          <w:noProof/>
          <w:sz w:val="22"/>
          <w:szCs w:val="22"/>
          <w:lang w:val="en-US"/>
        </w:rPr>
      </w:pPr>
      <w:hyperlink w:anchor="_Toc80379993" w:history="1">
        <w:r w:rsidR="008907E4" w:rsidRPr="00D527D0">
          <w:rPr>
            <w:rStyle w:val="Hyperlink"/>
            <w:rFonts w:eastAsiaTheme="majorEastAsia" w:cstheme="majorBidi"/>
            <w:noProof/>
            <w:lang w:val="pt-PT" w:eastAsia="ja-JP"/>
          </w:rPr>
          <w:t>8.3</w:t>
        </w:r>
        <w:r w:rsidR="008907E4">
          <w:rPr>
            <w:rFonts w:eastAsiaTheme="minorEastAsia" w:cstheme="minorBidi"/>
            <w:b w:val="0"/>
            <w:bCs w:val="0"/>
            <w:noProof/>
            <w:sz w:val="22"/>
            <w:szCs w:val="22"/>
            <w:lang w:val="en-US"/>
          </w:rPr>
          <w:tab/>
        </w:r>
        <w:r w:rsidR="008907E4" w:rsidRPr="00D527D0">
          <w:rPr>
            <w:rStyle w:val="Hyperlink"/>
            <w:rFonts w:eastAsiaTheme="majorEastAsia" w:cstheme="majorBidi"/>
            <w:noProof/>
            <w:lang w:val="pt-PT" w:eastAsia="ja-JP"/>
          </w:rPr>
          <w:t>Capacidade Institucional e Capacitação</w:t>
        </w:r>
        <w:r w:rsidR="008907E4">
          <w:rPr>
            <w:noProof/>
            <w:webHidden/>
          </w:rPr>
          <w:tab/>
        </w:r>
        <w:r w:rsidR="008907E4">
          <w:rPr>
            <w:noProof/>
            <w:webHidden/>
          </w:rPr>
          <w:fldChar w:fldCharType="begin"/>
        </w:r>
        <w:r w:rsidR="008907E4">
          <w:rPr>
            <w:noProof/>
            <w:webHidden/>
          </w:rPr>
          <w:instrText xml:space="preserve"> PAGEREF _Toc80379993 \h </w:instrText>
        </w:r>
        <w:r w:rsidR="008907E4">
          <w:rPr>
            <w:noProof/>
            <w:webHidden/>
          </w:rPr>
        </w:r>
        <w:r w:rsidR="008907E4">
          <w:rPr>
            <w:noProof/>
            <w:webHidden/>
          </w:rPr>
          <w:fldChar w:fldCharType="separate"/>
        </w:r>
        <w:r w:rsidR="00E86865">
          <w:rPr>
            <w:noProof/>
            <w:webHidden/>
          </w:rPr>
          <w:t>157</w:t>
        </w:r>
        <w:r w:rsidR="008907E4">
          <w:rPr>
            <w:noProof/>
            <w:webHidden/>
          </w:rPr>
          <w:fldChar w:fldCharType="end"/>
        </w:r>
      </w:hyperlink>
    </w:p>
    <w:p w14:paraId="279D0617" w14:textId="49ECA75C" w:rsidR="008907E4" w:rsidRDefault="00C23355" w:rsidP="00E14ED4">
      <w:pPr>
        <w:pStyle w:val="TOC1"/>
        <w:rPr>
          <w:rFonts w:asciiTheme="minorHAnsi" w:eastAsiaTheme="minorEastAsia" w:hAnsiTheme="minorHAnsi" w:cstheme="minorBidi"/>
          <w:b w:val="0"/>
          <w:bCs w:val="0"/>
          <w:caps w:val="0"/>
          <w:noProof/>
          <w:sz w:val="22"/>
          <w:szCs w:val="22"/>
          <w:lang w:val="en-US"/>
        </w:rPr>
      </w:pPr>
      <w:hyperlink w:anchor="_Toc80379994" w:history="1">
        <w:r w:rsidR="008907E4" w:rsidRPr="00D527D0">
          <w:rPr>
            <w:rStyle w:val="Hyperlink"/>
            <w:noProof/>
            <w:lang w:val="pt-BR" w:eastAsia="ja-JP"/>
          </w:rPr>
          <w:t>9</w:t>
        </w:r>
        <w:r w:rsidR="008907E4">
          <w:rPr>
            <w:rFonts w:asciiTheme="minorHAnsi" w:eastAsiaTheme="minorEastAsia" w:hAnsiTheme="minorHAnsi" w:cstheme="minorBidi"/>
            <w:b w:val="0"/>
            <w:bCs w:val="0"/>
            <w:caps w:val="0"/>
            <w:noProof/>
            <w:sz w:val="22"/>
            <w:szCs w:val="22"/>
            <w:lang w:val="en-US"/>
          </w:rPr>
          <w:tab/>
        </w:r>
        <w:r w:rsidR="008907E4" w:rsidRPr="00D527D0">
          <w:rPr>
            <w:rStyle w:val="Hyperlink"/>
            <w:noProof/>
            <w:lang w:val="pt-PT" w:eastAsia="ja-JP"/>
          </w:rPr>
          <w:t>Directrizes para a Preparação, Instrução, Aprovação e Acompanhamento do Projecto</w:t>
        </w:r>
        <w:r w:rsidR="008907E4">
          <w:rPr>
            <w:noProof/>
            <w:webHidden/>
          </w:rPr>
          <w:tab/>
        </w:r>
        <w:r w:rsidR="008907E4">
          <w:rPr>
            <w:noProof/>
            <w:webHidden/>
          </w:rPr>
          <w:fldChar w:fldCharType="begin"/>
        </w:r>
        <w:r w:rsidR="008907E4">
          <w:rPr>
            <w:noProof/>
            <w:webHidden/>
          </w:rPr>
          <w:instrText xml:space="preserve"> PAGEREF _Toc80379994 \h </w:instrText>
        </w:r>
        <w:r w:rsidR="008907E4">
          <w:rPr>
            <w:noProof/>
            <w:webHidden/>
          </w:rPr>
        </w:r>
        <w:r w:rsidR="008907E4">
          <w:rPr>
            <w:noProof/>
            <w:webHidden/>
          </w:rPr>
          <w:fldChar w:fldCharType="separate"/>
        </w:r>
        <w:r w:rsidR="00E86865">
          <w:rPr>
            <w:noProof/>
            <w:webHidden/>
          </w:rPr>
          <w:t>162</w:t>
        </w:r>
        <w:r w:rsidR="008907E4">
          <w:rPr>
            <w:noProof/>
            <w:webHidden/>
          </w:rPr>
          <w:fldChar w:fldCharType="end"/>
        </w:r>
      </w:hyperlink>
    </w:p>
    <w:p w14:paraId="4DFF5C39" w14:textId="70F5EF7B" w:rsidR="008907E4" w:rsidRDefault="00C23355" w:rsidP="00E14ED4">
      <w:pPr>
        <w:pStyle w:val="TOC2"/>
        <w:rPr>
          <w:rFonts w:eastAsiaTheme="minorEastAsia" w:cstheme="minorBidi"/>
          <w:b w:val="0"/>
          <w:bCs w:val="0"/>
          <w:noProof/>
          <w:sz w:val="22"/>
          <w:szCs w:val="22"/>
          <w:lang w:val="en-US"/>
        </w:rPr>
      </w:pPr>
      <w:hyperlink w:anchor="_Toc80380056" w:history="1">
        <w:r w:rsidR="008907E4" w:rsidRPr="00D527D0">
          <w:rPr>
            <w:rStyle w:val="Hyperlink"/>
            <w:noProof/>
          </w:rPr>
          <w:t>9.1</w:t>
        </w:r>
        <w:r w:rsidR="008907E4">
          <w:rPr>
            <w:rFonts w:eastAsiaTheme="minorEastAsia" w:cstheme="minorBidi"/>
            <w:b w:val="0"/>
            <w:bCs w:val="0"/>
            <w:noProof/>
            <w:sz w:val="22"/>
            <w:szCs w:val="22"/>
            <w:lang w:val="en-US"/>
          </w:rPr>
          <w:tab/>
        </w:r>
        <w:r w:rsidR="008907E4" w:rsidRPr="00D527D0">
          <w:rPr>
            <w:rStyle w:val="Hyperlink"/>
            <w:noProof/>
          </w:rPr>
          <w:t>O Processo de Triagem Ambiental e Social</w:t>
        </w:r>
        <w:r w:rsidR="008907E4">
          <w:rPr>
            <w:noProof/>
            <w:webHidden/>
          </w:rPr>
          <w:tab/>
        </w:r>
        <w:r w:rsidR="008907E4">
          <w:rPr>
            <w:noProof/>
            <w:webHidden/>
          </w:rPr>
          <w:fldChar w:fldCharType="begin"/>
        </w:r>
        <w:r w:rsidR="008907E4">
          <w:rPr>
            <w:noProof/>
            <w:webHidden/>
          </w:rPr>
          <w:instrText xml:space="preserve"> PAGEREF _Toc80380056 \h </w:instrText>
        </w:r>
        <w:r w:rsidR="008907E4">
          <w:rPr>
            <w:noProof/>
            <w:webHidden/>
          </w:rPr>
        </w:r>
        <w:r w:rsidR="008907E4">
          <w:rPr>
            <w:noProof/>
            <w:webHidden/>
          </w:rPr>
          <w:fldChar w:fldCharType="separate"/>
        </w:r>
        <w:r w:rsidR="00E86865">
          <w:rPr>
            <w:noProof/>
            <w:webHidden/>
          </w:rPr>
          <w:t>162</w:t>
        </w:r>
        <w:r w:rsidR="008907E4">
          <w:rPr>
            <w:noProof/>
            <w:webHidden/>
          </w:rPr>
          <w:fldChar w:fldCharType="end"/>
        </w:r>
      </w:hyperlink>
    </w:p>
    <w:p w14:paraId="5881D591" w14:textId="5BD1570B" w:rsidR="008907E4" w:rsidRDefault="00C23355" w:rsidP="00E14ED4">
      <w:pPr>
        <w:pStyle w:val="TOC3"/>
        <w:spacing w:before="0"/>
        <w:rPr>
          <w:rFonts w:eastAsiaTheme="minorEastAsia" w:cstheme="minorBidi"/>
          <w:noProof/>
          <w:sz w:val="22"/>
          <w:szCs w:val="22"/>
          <w:lang w:val="en-US"/>
        </w:rPr>
      </w:pPr>
      <w:hyperlink w:anchor="_Toc80380057" w:history="1">
        <w:r w:rsidR="008907E4" w:rsidRPr="00D527D0">
          <w:rPr>
            <w:rStyle w:val="Hyperlink"/>
            <w:noProof/>
          </w:rPr>
          <w:t>9.1.1</w:t>
        </w:r>
        <w:r w:rsidR="008907E4">
          <w:rPr>
            <w:rFonts w:eastAsiaTheme="minorEastAsia" w:cstheme="minorBidi"/>
            <w:noProof/>
            <w:sz w:val="22"/>
            <w:szCs w:val="22"/>
            <w:lang w:val="en-US"/>
          </w:rPr>
          <w:tab/>
        </w:r>
        <w:r w:rsidR="008907E4" w:rsidRPr="00D527D0">
          <w:rPr>
            <w:rStyle w:val="Hyperlink"/>
            <w:noProof/>
          </w:rPr>
          <w:t>Classificação do Risco Ambiental e Social do Projecto</w:t>
        </w:r>
        <w:r w:rsidR="008907E4">
          <w:rPr>
            <w:noProof/>
            <w:webHidden/>
          </w:rPr>
          <w:tab/>
        </w:r>
        <w:r w:rsidR="008907E4">
          <w:rPr>
            <w:noProof/>
            <w:webHidden/>
          </w:rPr>
          <w:fldChar w:fldCharType="begin"/>
        </w:r>
        <w:r w:rsidR="008907E4">
          <w:rPr>
            <w:noProof/>
            <w:webHidden/>
          </w:rPr>
          <w:instrText xml:space="preserve"> PAGEREF _Toc80380057 \h </w:instrText>
        </w:r>
        <w:r w:rsidR="008907E4">
          <w:rPr>
            <w:noProof/>
            <w:webHidden/>
          </w:rPr>
        </w:r>
        <w:r w:rsidR="008907E4">
          <w:rPr>
            <w:noProof/>
            <w:webHidden/>
          </w:rPr>
          <w:fldChar w:fldCharType="separate"/>
        </w:r>
        <w:r w:rsidR="00E86865">
          <w:rPr>
            <w:noProof/>
            <w:webHidden/>
          </w:rPr>
          <w:t>162</w:t>
        </w:r>
        <w:r w:rsidR="008907E4">
          <w:rPr>
            <w:noProof/>
            <w:webHidden/>
          </w:rPr>
          <w:fldChar w:fldCharType="end"/>
        </w:r>
      </w:hyperlink>
    </w:p>
    <w:p w14:paraId="07EAF3DF" w14:textId="72C5F79F" w:rsidR="008907E4" w:rsidRDefault="00C23355" w:rsidP="00E14ED4">
      <w:pPr>
        <w:pStyle w:val="TOC3"/>
        <w:spacing w:before="0"/>
        <w:rPr>
          <w:rFonts w:eastAsiaTheme="minorEastAsia" w:cstheme="minorBidi"/>
          <w:noProof/>
          <w:sz w:val="22"/>
          <w:szCs w:val="22"/>
          <w:lang w:val="en-US"/>
        </w:rPr>
      </w:pPr>
      <w:hyperlink w:anchor="_Toc80380059" w:history="1">
        <w:r w:rsidR="008907E4" w:rsidRPr="00D527D0">
          <w:rPr>
            <w:rStyle w:val="Hyperlink"/>
            <w:noProof/>
          </w:rPr>
          <w:t>9.1.2</w:t>
        </w:r>
        <w:r w:rsidR="008907E4">
          <w:rPr>
            <w:rFonts w:eastAsiaTheme="minorEastAsia" w:cstheme="minorBidi"/>
            <w:noProof/>
            <w:sz w:val="22"/>
            <w:szCs w:val="22"/>
            <w:lang w:val="en-US"/>
          </w:rPr>
          <w:tab/>
        </w:r>
        <w:r w:rsidR="008907E4" w:rsidRPr="00D527D0">
          <w:rPr>
            <w:rStyle w:val="Hyperlink"/>
            <w:noProof/>
          </w:rPr>
          <w:t>Categorização do Projecto</w:t>
        </w:r>
        <w:r w:rsidR="008907E4">
          <w:rPr>
            <w:noProof/>
            <w:webHidden/>
          </w:rPr>
          <w:tab/>
        </w:r>
        <w:r w:rsidR="008907E4">
          <w:rPr>
            <w:noProof/>
            <w:webHidden/>
          </w:rPr>
          <w:fldChar w:fldCharType="begin"/>
        </w:r>
        <w:r w:rsidR="008907E4">
          <w:rPr>
            <w:noProof/>
            <w:webHidden/>
          </w:rPr>
          <w:instrText xml:space="preserve"> PAGEREF _Toc80380059 \h </w:instrText>
        </w:r>
        <w:r w:rsidR="008907E4">
          <w:rPr>
            <w:noProof/>
            <w:webHidden/>
          </w:rPr>
        </w:r>
        <w:r w:rsidR="008907E4">
          <w:rPr>
            <w:noProof/>
            <w:webHidden/>
          </w:rPr>
          <w:fldChar w:fldCharType="separate"/>
        </w:r>
        <w:r w:rsidR="00E86865">
          <w:rPr>
            <w:noProof/>
            <w:webHidden/>
          </w:rPr>
          <w:t>163</w:t>
        </w:r>
        <w:r w:rsidR="008907E4">
          <w:rPr>
            <w:noProof/>
            <w:webHidden/>
          </w:rPr>
          <w:fldChar w:fldCharType="end"/>
        </w:r>
      </w:hyperlink>
    </w:p>
    <w:p w14:paraId="5B9A5D78" w14:textId="39620015" w:rsidR="008907E4" w:rsidRDefault="00C23355" w:rsidP="00E14ED4">
      <w:pPr>
        <w:pStyle w:val="TOC2"/>
        <w:rPr>
          <w:rFonts w:eastAsiaTheme="minorEastAsia" w:cstheme="minorBidi"/>
          <w:b w:val="0"/>
          <w:bCs w:val="0"/>
          <w:noProof/>
          <w:sz w:val="22"/>
          <w:szCs w:val="22"/>
          <w:lang w:val="en-US"/>
        </w:rPr>
      </w:pPr>
      <w:hyperlink w:anchor="_Toc80380060" w:history="1">
        <w:r w:rsidR="008907E4" w:rsidRPr="00D527D0">
          <w:rPr>
            <w:rStyle w:val="Hyperlink"/>
            <w:noProof/>
          </w:rPr>
          <w:t>9.2</w:t>
        </w:r>
        <w:r w:rsidR="008907E4">
          <w:rPr>
            <w:rFonts w:eastAsiaTheme="minorEastAsia" w:cstheme="minorBidi"/>
            <w:b w:val="0"/>
            <w:bCs w:val="0"/>
            <w:noProof/>
            <w:sz w:val="22"/>
            <w:szCs w:val="22"/>
            <w:lang w:val="en-US"/>
          </w:rPr>
          <w:tab/>
        </w:r>
        <w:r w:rsidR="008907E4" w:rsidRPr="00D527D0">
          <w:rPr>
            <w:rStyle w:val="Hyperlink"/>
            <w:noProof/>
          </w:rPr>
          <w:t>Processo de Avaliação Ambiental e Social do Projecto</w:t>
        </w:r>
        <w:r w:rsidR="008907E4">
          <w:rPr>
            <w:noProof/>
            <w:webHidden/>
          </w:rPr>
          <w:tab/>
        </w:r>
        <w:r w:rsidR="008907E4">
          <w:rPr>
            <w:noProof/>
            <w:webHidden/>
          </w:rPr>
          <w:fldChar w:fldCharType="begin"/>
        </w:r>
        <w:r w:rsidR="008907E4">
          <w:rPr>
            <w:noProof/>
            <w:webHidden/>
          </w:rPr>
          <w:instrText xml:space="preserve"> PAGEREF _Toc80380060 \h </w:instrText>
        </w:r>
        <w:r w:rsidR="008907E4">
          <w:rPr>
            <w:noProof/>
            <w:webHidden/>
          </w:rPr>
        </w:r>
        <w:r w:rsidR="008907E4">
          <w:rPr>
            <w:noProof/>
            <w:webHidden/>
          </w:rPr>
          <w:fldChar w:fldCharType="separate"/>
        </w:r>
        <w:r w:rsidR="00E86865">
          <w:rPr>
            <w:noProof/>
            <w:webHidden/>
          </w:rPr>
          <w:t>168</w:t>
        </w:r>
        <w:r w:rsidR="008907E4">
          <w:rPr>
            <w:noProof/>
            <w:webHidden/>
          </w:rPr>
          <w:fldChar w:fldCharType="end"/>
        </w:r>
      </w:hyperlink>
    </w:p>
    <w:p w14:paraId="4C00ABEB" w14:textId="1A6F8BBD" w:rsidR="008907E4" w:rsidRDefault="00C23355" w:rsidP="00E14ED4">
      <w:pPr>
        <w:pStyle w:val="TOC1"/>
        <w:rPr>
          <w:rFonts w:asciiTheme="minorHAnsi" w:eastAsiaTheme="minorEastAsia" w:hAnsiTheme="minorHAnsi" w:cstheme="minorBidi"/>
          <w:b w:val="0"/>
          <w:bCs w:val="0"/>
          <w:caps w:val="0"/>
          <w:noProof/>
          <w:sz w:val="22"/>
          <w:szCs w:val="22"/>
          <w:lang w:val="en-US"/>
        </w:rPr>
      </w:pPr>
      <w:hyperlink w:anchor="_Toc80380061" w:history="1">
        <w:r w:rsidR="008907E4" w:rsidRPr="00D527D0">
          <w:rPr>
            <w:rStyle w:val="Hyperlink"/>
            <w:noProof/>
            <w:lang w:val="pt-BR" w:eastAsia="ja-JP"/>
          </w:rPr>
          <w:t>10</w:t>
        </w:r>
        <w:r w:rsidR="008907E4">
          <w:rPr>
            <w:rFonts w:asciiTheme="minorHAnsi" w:eastAsiaTheme="minorEastAsia" w:hAnsiTheme="minorHAnsi" w:cstheme="minorBidi"/>
            <w:b w:val="0"/>
            <w:bCs w:val="0"/>
            <w:caps w:val="0"/>
            <w:noProof/>
            <w:sz w:val="22"/>
            <w:szCs w:val="22"/>
            <w:lang w:val="en-US"/>
          </w:rPr>
          <w:tab/>
        </w:r>
        <w:r w:rsidR="008907E4" w:rsidRPr="00D527D0">
          <w:rPr>
            <w:rStyle w:val="Hyperlink"/>
            <w:noProof/>
            <w:lang w:val="pt-PT" w:eastAsia="ja-JP"/>
          </w:rPr>
          <w:t>Monitoria, Relatórios e Auditorias</w:t>
        </w:r>
        <w:r w:rsidR="008907E4">
          <w:rPr>
            <w:noProof/>
            <w:webHidden/>
          </w:rPr>
          <w:tab/>
        </w:r>
        <w:r w:rsidR="008907E4">
          <w:rPr>
            <w:noProof/>
            <w:webHidden/>
          </w:rPr>
          <w:fldChar w:fldCharType="begin"/>
        </w:r>
        <w:r w:rsidR="008907E4">
          <w:rPr>
            <w:noProof/>
            <w:webHidden/>
          </w:rPr>
          <w:instrText xml:space="preserve"> PAGEREF _Toc80380061 \h </w:instrText>
        </w:r>
        <w:r w:rsidR="008907E4">
          <w:rPr>
            <w:noProof/>
            <w:webHidden/>
          </w:rPr>
        </w:r>
        <w:r w:rsidR="008907E4">
          <w:rPr>
            <w:noProof/>
            <w:webHidden/>
          </w:rPr>
          <w:fldChar w:fldCharType="separate"/>
        </w:r>
        <w:r w:rsidR="00E86865">
          <w:rPr>
            <w:noProof/>
            <w:webHidden/>
          </w:rPr>
          <w:t>174</w:t>
        </w:r>
        <w:r w:rsidR="008907E4">
          <w:rPr>
            <w:noProof/>
            <w:webHidden/>
          </w:rPr>
          <w:fldChar w:fldCharType="end"/>
        </w:r>
      </w:hyperlink>
    </w:p>
    <w:p w14:paraId="50D042B7" w14:textId="47986679" w:rsidR="008907E4" w:rsidRDefault="00C23355" w:rsidP="00E14ED4">
      <w:pPr>
        <w:pStyle w:val="TOC2"/>
        <w:rPr>
          <w:rFonts w:eastAsiaTheme="minorEastAsia" w:cstheme="minorBidi"/>
          <w:b w:val="0"/>
          <w:bCs w:val="0"/>
          <w:noProof/>
          <w:sz w:val="22"/>
          <w:szCs w:val="22"/>
          <w:lang w:val="en-US"/>
        </w:rPr>
      </w:pPr>
      <w:hyperlink w:anchor="_Toc80380062" w:history="1">
        <w:r w:rsidR="008907E4" w:rsidRPr="00D527D0">
          <w:rPr>
            <w:rStyle w:val="Hyperlink"/>
            <w:noProof/>
          </w:rPr>
          <w:t>10.1</w:t>
        </w:r>
        <w:r w:rsidR="008907E4">
          <w:rPr>
            <w:rFonts w:eastAsiaTheme="minorEastAsia" w:cstheme="minorBidi"/>
            <w:b w:val="0"/>
            <w:bCs w:val="0"/>
            <w:noProof/>
            <w:sz w:val="22"/>
            <w:szCs w:val="22"/>
            <w:lang w:val="en-US"/>
          </w:rPr>
          <w:tab/>
        </w:r>
        <w:r w:rsidR="008907E4" w:rsidRPr="00D527D0">
          <w:rPr>
            <w:rStyle w:val="Hyperlink"/>
            <w:noProof/>
          </w:rPr>
          <w:t>Monitoria, Acompanhamento e Relatórios</w:t>
        </w:r>
        <w:r w:rsidR="008907E4">
          <w:rPr>
            <w:noProof/>
            <w:webHidden/>
          </w:rPr>
          <w:tab/>
        </w:r>
        <w:r w:rsidR="008907E4">
          <w:rPr>
            <w:noProof/>
            <w:webHidden/>
          </w:rPr>
          <w:fldChar w:fldCharType="begin"/>
        </w:r>
        <w:r w:rsidR="008907E4">
          <w:rPr>
            <w:noProof/>
            <w:webHidden/>
          </w:rPr>
          <w:instrText xml:space="preserve"> PAGEREF _Toc80380062 \h </w:instrText>
        </w:r>
        <w:r w:rsidR="008907E4">
          <w:rPr>
            <w:noProof/>
            <w:webHidden/>
          </w:rPr>
        </w:r>
        <w:r w:rsidR="008907E4">
          <w:rPr>
            <w:noProof/>
            <w:webHidden/>
          </w:rPr>
          <w:fldChar w:fldCharType="separate"/>
        </w:r>
        <w:r w:rsidR="00E86865">
          <w:rPr>
            <w:noProof/>
            <w:webHidden/>
          </w:rPr>
          <w:t>174</w:t>
        </w:r>
        <w:r w:rsidR="008907E4">
          <w:rPr>
            <w:noProof/>
            <w:webHidden/>
          </w:rPr>
          <w:fldChar w:fldCharType="end"/>
        </w:r>
      </w:hyperlink>
    </w:p>
    <w:p w14:paraId="609C5958" w14:textId="3C538F8D" w:rsidR="008907E4" w:rsidRDefault="00C23355" w:rsidP="00E14ED4">
      <w:pPr>
        <w:pStyle w:val="TOC2"/>
        <w:rPr>
          <w:rFonts w:eastAsiaTheme="minorEastAsia" w:cstheme="minorBidi"/>
          <w:b w:val="0"/>
          <w:bCs w:val="0"/>
          <w:noProof/>
          <w:sz w:val="22"/>
          <w:szCs w:val="22"/>
          <w:lang w:val="en-US"/>
        </w:rPr>
      </w:pPr>
      <w:hyperlink w:anchor="_Toc80380063" w:history="1">
        <w:r w:rsidR="008907E4" w:rsidRPr="00D527D0">
          <w:rPr>
            <w:rStyle w:val="Hyperlink"/>
            <w:noProof/>
          </w:rPr>
          <w:t>10.2</w:t>
        </w:r>
        <w:r w:rsidR="008907E4">
          <w:rPr>
            <w:rFonts w:eastAsiaTheme="minorEastAsia" w:cstheme="minorBidi"/>
            <w:b w:val="0"/>
            <w:bCs w:val="0"/>
            <w:noProof/>
            <w:sz w:val="22"/>
            <w:szCs w:val="22"/>
            <w:lang w:val="en-US"/>
          </w:rPr>
          <w:tab/>
        </w:r>
        <w:r w:rsidR="008907E4" w:rsidRPr="00D527D0">
          <w:rPr>
            <w:rStyle w:val="Hyperlink"/>
            <w:noProof/>
          </w:rPr>
          <w:t>Inspecções e Auditorias Ambiental e Social</w:t>
        </w:r>
        <w:r w:rsidR="008907E4">
          <w:rPr>
            <w:noProof/>
            <w:webHidden/>
          </w:rPr>
          <w:tab/>
        </w:r>
        <w:r w:rsidR="008907E4">
          <w:rPr>
            <w:noProof/>
            <w:webHidden/>
          </w:rPr>
          <w:fldChar w:fldCharType="begin"/>
        </w:r>
        <w:r w:rsidR="008907E4">
          <w:rPr>
            <w:noProof/>
            <w:webHidden/>
          </w:rPr>
          <w:instrText xml:space="preserve"> PAGEREF _Toc80380063 \h </w:instrText>
        </w:r>
        <w:r w:rsidR="008907E4">
          <w:rPr>
            <w:noProof/>
            <w:webHidden/>
          </w:rPr>
        </w:r>
        <w:r w:rsidR="008907E4">
          <w:rPr>
            <w:noProof/>
            <w:webHidden/>
          </w:rPr>
          <w:fldChar w:fldCharType="separate"/>
        </w:r>
        <w:r w:rsidR="00E86865">
          <w:rPr>
            <w:noProof/>
            <w:webHidden/>
          </w:rPr>
          <w:t>176</w:t>
        </w:r>
        <w:r w:rsidR="008907E4">
          <w:rPr>
            <w:noProof/>
            <w:webHidden/>
          </w:rPr>
          <w:fldChar w:fldCharType="end"/>
        </w:r>
      </w:hyperlink>
    </w:p>
    <w:p w14:paraId="691C7044" w14:textId="1FB7EDF6" w:rsidR="008907E4" w:rsidRDefault="00C23355" w:rsidP="00E14ED4">
      <w:pPr>
        <w:pStyle w:val="TOC1"/>
        <w:rPr>
          <w:rFonts w:asciiTheme="minorHAnsi" w:eastAsiaTheme="minorEastAsia" w:hAnsiTheme="minorHAnsi" w:cstheme="minorBidi"/>
          <w:b w:val="0"/>
          <w:bCs w:val="0"/>
          <w:caps w:val="0"/>
          <w:noProof/>
          <w:sz w:val="22"/>
          <w:szCs w:val="22"/>
          <w:lang w:val="en-US"/>
        </w:rPr>
      </w:pPr>
      <w:hyperlink w:anchor="_Toc80380064" w:history="1">
        <w:r w:rsidR="008907E4" w:rsidRPr="00D527D0">
          <w:rPr>
            <w:rStyle w:val="Hyperlink"/>
            <w:noProof/>
            <w:lang w:val="pt-BR" w:eastAsia="ja-JP"/>
          </w:rPr>
          <w:t>11</w:t>
        </w:r>
        <w:r w:rsidR="008907E4">
          <w:rPr>
            <w:rFonts w:asciiTheme="minorHAnsi" w:eastAsiaTheme="minorEastAsia" w:hAnsiTheme="minorHAnsi" w:cstheme="minorBidi"/>
            <w:b w:val="0"/>
            <w:bCs w:val="0"/>
            <w:caps w:val="0"/>
            <w:noProof/>
            <w:sz w:val="22"/>
            <w:szCs w:val="22"/>
            <w:lang w:val="en-US"/>
          </w:rPr>
          <w:tab/>
        </w:r>
        <w:r w:rsidR="008907E4" w:rsidRPr="00D527D0">
          <w:rPr>
            <w:rStyle w:val="Hyperlink"/>
            <w:noProof/>
            <w:lang w:val="pt-PT" w:eastAsia="ja-JP"/>
          </w:rPr>
          <w:t>ENVOLVIMENTO DAS PARTES INTERESSADAS</w:t>
        </w:r>
        <w:r w:rsidR="008907E4">
          <w:rPr>
            <w:noProof/>
            <w:webHidden/>
          </w:rPr>
          <w:tab/>
        </w:r>
        <w:r w:rsidR="008907E4">
          <w:rPr>
            <w:noProof/>
            <w:webHidden/>
          </w:rPr>
          <w:fldChar w:fldCharType="begin"/>
        </w:r>
        <w:r w:rsidR="008907E4">
          <w:rPr>
            <w:noProof/>
            <w:webHidden/>
          </w:rPr>
          <w:instrText xml:space="preserve"> PAGEREF _Toc80380064 \h </w:instrText>
        </w:r>
        <w:r w:rsidR="008907E4">
          <w:rPr>
            <w:noProof/>
            <w:webHidden/>
          </w:rPr>
        </w:r>
        <w:r w:rsidR="008907E4">
          <w:rPr>
            <w:noProof/>
            <w:webHidden/>
          </w:rPr>
          <w:fldChar w:fldCharType="separate"/>
        </w:r>
        <w:r w:rsidR="00E86865">
          <w:rPr>
            <w:noProof/>
            <w:webHidden/>
          </w:rPr>
          <w:t>177</w:t>
        </w:r>
        <w:r w:rsidR="008907E4">
          <w:rPr>
            <w:noProof/>
            <w:webHidden/>
          </w:rPr>
          <w:fldChar w:fldCharType="end"/>
        </w:r>
      </w:hyperlink>
    </w:p>
    <w:p w14:paraId="030BBEBE" w14:textId="59038A97" w:rsidR="008907E4" w:rsidRDefault="00C23355" w:rsidP="00E14ED4">
      <w:pPr>
        <w:pStyle w:val="TOC2"/>
        <w:rPr>
          <w:rFonts w:eastAsiaTheme="minorEastAsia" w:cstheme="minorBidi"/>
          <w:b w:val="0"/>
          <w:bCs w:val="0"/>
          <w:noProof/>
          <w:sz w:val="22"/>
          <w:szCs w:val="22"/>
          <w:lang w:val="en-US"/>
        </w:rPr>
      </w:pPr>
      <w:hyperlink w:anchor="_Toc80380065" w:history="1">
        <w:r w:rsidR="008907E4" w:rsidRPr="00D527D0">
          <w:rPr>
            <w:rStyle w:val="Hyperlink"/>
            <w:noProof/>
          </w:rPr>
          <w:t>11.1</w:t>
        </w:r>
        <w:r w:rsidR="008907E4">
          <w:rPr>
            <w:rFonts w:eastAsiaTheme="minorEastAsia" w:cstheme="minorBidi"/>
            <w:b w:val="0"/>
            <w:bCs w:val="0"/>
            <w:noProof/>
            <w:sz w:val="22"/>
            <w:szCs w:val="22"/>
            <w:lang w:val="en-US"/>
          </w:rPr>
          <w:tab/>
        </w:r>
        <w:r w:rsidR="008907E4" w:rsidRPr="00D527D0">
          <w:rPr>
            <w:rStyle w:val="Hyperlink"/>
            <w:noProof/>
          </w:rPr>
          <w:t>O Plano de Engajamento das Partes Interessadas</w:t>
        </w:r>
        <w:r w:rsidR="008907E4">
          <w:rPr>
            <w:noProof/>
            <w:webHidden/>
          </w:rPr>
          <w:tab/>
        </w:r>
        <w:r w:rsidR="008907E4">
          <w:rPr>
            <w:noProof/>
            <w:webHidden/>
          </w:rPr>
          <w:fldChar w:fldCharType="begin"/>
        </w:r>
        <w:r w:rsidR="008907E4">
          <w:rPr>
            <w:noProof/>
            <w:webHidden/>
          </w:rPr>
          <w:instrText xml:space="preserve"> PAGEREF _Toc80380065 \h </w:instrText>
        </w:r>
        <w:r w:rsidR="008907E4">
          <w:rPr>
            <w:noProof/>
            <w:webHidden/>
          </w:rPr>
        </w:r>
        <w:r w:rsidR="008907E4">
          <w:rPr>
            <w:noProof/>
            <w:webHidden/>
          </w:rPr>
          <w:fldChar w:fldCharType="separate"/>
        </w:r>
        <w:r w:rsidR="00E86865">
          <w:rPr>
            <w:noProof/>
            <w:webHidden/>
          </w:rPr>
          <w:t>177</w:t>
        </w:r>
        <w:r w:rsidR="008907E4">
          <w:rPr>
            <w:noProof/>
            <w:webHidden/>
          </w:rPr>
          <w:fldChar w:fldCharType="end"/>
        </w:r>
      </w:hyperlink>
    </w:p>
    <w:p w14:paraId="74A130EC" w14:textId="0C0930BA" w:rsidR="008907E4" w:rsidRDefault="00C23355" w:rsidP="00E14ED4">
      <w:pPr>
        <w:pStyle w:val="TOC3"/>
        <w:spacing w:before="0"/>
        <w:rPr>
          <w:rFonts w:eastAsiaTheme="minorEastAsia" w:cstheme="minorBidi"/>
          <w:noProof/>
          <w:sz w:val="22"/>
          <w:szCs w:val="22"/>
          <w:lang w:val="en-US"/>
        </w:rPr>
      </w:pPr>
      <w:hyperlink w:anchor="_Toc80380066" w:history="1">
        <w:r w:rsidR="008907E4" w:rsidRPr="00D527D0">
          <w:rPr>
            <w:rStyle w:val="Hyperlink"/>
            <w:noProof/>
          </w:rPr>
          <w:t>11.1.1</w:t>
        </w:r>
        <w:r w:rsidR="008907E4">
          <w:rPr>
            <w:rFonts w:eastAsiaTheme="minorEastAsia" w:cstheme="minorBidi"/>
            <w:noProof/>
            <w:sz w:val="22"/>
            <w:szCs w:val="22"/>
            <w:lang w:val="en-US"/>
          </w:rPr>
          <w:tab/>
        </w:r>
        <w:r w:rsidR="008907E4" w:rsidRPr="00D527D0">
          <w:rPr>
            <w:rStyle w:val="Hyperlink"/>
            <w:noProof/>
          </w:rPr>
          <w:t>Partes Interessadas e Afectadas</w:t>
        </w:r>
        <w:r w:rsidR="008907E4">
          <w:rPr>
            <w:noProof/>
            <w:webHidden/>
          </w:rPr>
          <w:tab/>
        </w:r>
        <w:r w:rsidR="008907E4">
          <w:rPr>
            <w:noProof/>
            <w:webHidden/>
          </w:rPr>
          <w:fldChar w:fldCharType="begin"/>
        </w:r>
        <w:r w:rsidR="008907E4">
          <w:rPr>
            <w:noProof/>
            <w:webHidden/>
          </w:rPr>
          <w:instrText xml:space="preserve"> PAGEREF _Toc80380066 \h </w:instrText>
        </w:r>
        <w:r w:rsidR="008907E4">
          <w:rPr>
            <w:noProof/>
            <w:webHidden/>
          </w:rPr>
        </w:r>
        <w:r w:rsidR="008907E4">
          <w:rPr>
            <w:noProof/>
            <w:webHidden/>
          </w:rPr>
          <w:fldChar w:fldCharType="separate"/>
        </w:r>
        <w:r w:rsidR="00E86865">
          <w:rPr>
            <w:noProof/>
            <w:webHidden/>
          </w:rPr>
          <w:t>177</w:t>
        </w:r>
        <w:r w:rsidR="008907E4">
          <w:rPr>
            <w:noProof/>
            <w:webHidden/>
          </w:rPr>
          <w:fldChar w:fldCharType="end"/>
        </w:r>
      </w:hyperlink>
    </w:p>
    <w:p w14:paraId="66DECCE3" w14:textId="0E39222C" w:rsidR="008907E4" w:rsidRDefault="00C23355" w:rsidP="00E14ED4">
      <w:pPr>
        <w:pStyle w:val="TOC3"/>
        <w:spacing w:before="0"/>
        <w:rPr>
          <w:rFonts w:eastAsiaTheme="minorEastAsia" w:cstheme="minorBidi"/>
          <w:noProof/>
          <w:sz w:val="22"/>
          <w:szCs w:val="22"/>
          <w:lang w:val="en-US"/>
        </w:rPr>
      </w:pPr>
      <w:hyperlink w:anchor="_Toc80380067" w:history="1">
        <w:r w:rsidR="008907E4" w:rsidRPr="00D527D0">
          <w:rPr>
            <w:rStyle w:val="Hyperlink"/>
            <w:noProof/>
          </w:rPr>
          <w:t>11.1.2</w:t>
        </w:r>
        <w:r w:rsidR="008907E4">
          <w:rPr>
            <w:rFonts w:eastAsiaTheme="minorEastAsia" w:cstheme="minorBidi"/>
            <w:noProof/>
            <w:sz w:val="22"/>
            <w:szCs w:val="22"/>
            <w:lang w:val="en-US"/>
          </w:rPr>
          <w:tab/>
        </w:r>
        <w:r w:rsidR="008907E4" w:rsidRPr="00D527D0">
          <w:rPr>
            <w:rStyle w:val="Hyperlink"/>
            <w:noProof/>
          </w:rPr>
          <w:t>Plano para Consulta das PIAs no Projecto</w:t>
        </w:r>
        <w:r w:rsidR="008907E4">
          <w:rPr>
            <w:noProof/>
            <w:webHidden/>
          </w:rPr>
          <w:tab/>
        </w:r>
        <w:r w:rsidR="008907E4">
          <w:rPr>
            <w:noProof/>
            <w:webHidden/>
          </w:rPr>
          <w:fldChar w:fldCharType="begin"/>
        </w:r>
        <w:r w:rsidR="008907E4">
          <w:rPr>
            <w:noProof/>
            <w:webHidden/>
          </w:rPr>
          <w:instrText xml:space="preserve"> PAGEREF _Toc80380067 \h </w:instrText>
        </w:r>
        <w:r w:rsidR="008907E4">
          <w:rPr>
            <w:noProof/>
            <w:webHidden/>
          </w:rPr>
        </w:r>
        <w:r w:rsidR="008907E4">
          <w:rPr>
            <w:noProof/>
            <w:webHidden/>
          </w:rPr>
          <w:fldChar w:fldCharType="separate"/>
        </w:r>
        <w:r w:rsidR="00E86865">
          <w:rPr>
            <w:noProof/>
            <w:webHidden/>
          </w:rPr>
          <w:t>179</w:t>
        </w:r>
        <w:r w:rsidR="008907E4">
          <w:rPr>
            <w:noProof/>
            <w:webHidden/>
          </w:rPr>
          <w:fldChar w:fldCharType="end"/>
        </w:r>
      </w:hyperlink>
    </w:p>
    <w:p w14:paraId="0C671AAD" w14:textId="10FFC7C5" w:rsidR="008907E4" w:rsidRDefault="00C23355" w:rsidP="00E14ED4">
      <w:pPr>
        <w:pStyle w:val="TOC2"/>
        <w:rPr>
          <w:rFonts w:eastAsiaTheme="minorEastAsia" w:cstheme="minorBidi"/>
          <w:b w:val="0"/>
          <w:bCs w:val="0"/>
          <w:noProof/>
          <w:sz w:val="22"/>
          <w:szCs w:val="22"/>
          <w:lang w:val="en-US"/>
        </w:rPr>
      </w:pPr>
      <w:hyperlink w:anchor="_Toc80380068" w:history="1">
        <w:r w:rsidR="008907E4" w:rsidRPr="00D527D0">
          <w:rPr>
            <w:rStyle w:val="Hyperlink"/>
            <w:noProof/>
          </w:rPr>
          <w:t>11.2</w:t>
        </w:r>
        <w:r w:rsidR="008907E4">
          <w:rPr>
            <w:rFonts w:eastAsiaTheme="minorEastAsia" w:cstheme="minorBidi"/>
            <w:b w:val="0"/>
            <w:bCs w:val="0"/>
            <w:noProof/>
            <w:sz w:val="22"/>
            <w:szCs w:val="22"/>
            <w:lang w:val="en-US"/>
          </w:rPr>
          <w:tab/>
        </w:r>
        <w:r w:rsidR="008907E4" w:rsidRPr="00D527D0">
          <w:rPr>
            <w:rStyle w:val="Hyperlink"/>
            <w:noProof/>
          </w:rPr>
          <w:t>Reuniões de Consulta Pública</w:t>
        </w:r>
        <w:r w:rsidR="008907E4">
          <w:rPr>
            <w:noProof/>
            <w:webHidden/>
          </w:rPr>
          <w:tab/>
        </w:r>
        <w:r w:rsidR="008907E4">
          <w:rPr>
            <w:noProof/>
            <w:webHidden/>
          </w:rPr>
          <w:fldChar w:fldCharType="begin"/>
        </w:r>
        <w:r w:rsidR="008907E4">
          <w:rPr>
            <w:noProof/>
            <w:webHidden/>
          </w:rPr>
          <w:instrText xml:space="preserve"> PAGEREF _Toc80380068 \h </w:instrText>
        </w:r>
        <w:r w:rsidR="008907E4">
          <w:rPr>
            <w:noProof/>
            <w:webHidden/>
          </w:rPr>
        </w:r>
        <w:r w:rsidR="008907E4">
          <w:rPr>
            <w:noProof/>
            <w:webHidden/>
          </w:rPr>
          <w:fldChar w:fldCharType="separate"/>
        </w:r>
        <w:r w:rsidR="00E86865">
          <w:rPr>
            <w:noProof/>
            <w:webHidden/>
          </w:rPr>
          <w:t>181</w:t>
        </w:r>
        <w:r w:rsidR="008907E4">
          <w:rPr>
            <w:noProof/>
            <w:webHidden/>
          </w:rPr>
          <w:fldChar w:fldCharType="end"/>
        </w:r>
      </w:hyperlink>
    </w:p>
    <w:p w14:paraId="6A771C23" w14:textId="10304403" w:rsidR="008907E4" w:rsidRDefault="00C23355" w:rsidP="00E14ED4">
      <w:pPr>
        <w:pStyle w:val="TOC1"/>
        <w:rPr>
          <w:rFonts w:asciiTheme="minorHAnsi" w:eastAsiaTheme="minorEastAsia" w:hAnsiTheme="minorHAnsi" w:cstheme="minorBidi"/>
          <w:b w:val="0"/>
          <w:bCs w:val="0"/>
          <w:caps w:val="0"/>
          <w:noProof/>
          <w:sz w:val="22"/>
          <w:szCs w:val="22"/>
          <w:lang w:val="en-US"/>
        </w:rPr>
      </w:pPr>
      <w:hyperlink w:anchor="_Toc80380069" w:history="1">
        <w:r w:rsidR="008907E4" w:rsidRPr="00D527D0">
          <w:rPr>
            <w:rStyle w:val="Hyperlink"/>
            <w:noProof/>
            <w:lang w:val="pt-BR" w:eastAsia="ja-JP"/>
          </w:rPr>
          <w:t>12</w:t>
        </w:r>
        <w:r w:rsidR="008907E4">
          <w:rPr>
            <w:rFonts w:asciiTheme="minorHAnsi" w:eastAsiaTheme="minorEastAsia" w:hAnsiTheme="minorHAnsi" w:cstheme="minorBidi"/>
            <w:b w:val="0"/>
            <w:bCs w:val="0"/>
            <w:caps w:val="0"/>
            <w:noProof/>
            <w:sz w:val="22"/>
            <w:szCs w:val="22"/>
            <w:lang w:val="en-US"/>
          </w:rPr>
          <w:tab/>
        </w:r>
        <w:r w:rsidR="008907E4" w:rsidRPr="00D527D0">
          <w:rPr>
            <w:rStyle w:val="Hyperlink"/>
            <w:noProof/>
            <w:lang w:val="pt-PT" w:eastAsia="ja-JP"/>
          </w:rPr>
          <w:t>Mecanismo de Queixa e Reclamações (MQR)</w:t>
        </w:r>
        <w:r w:rsidR="008907E4">
          <w:rPr>
            <w:noProof/>
            <w:webHidden/>
          </w:rPr>
          <w:tab/>
        </w:r>
        <w:r w:rsidR="008907E4">
          <w:rPr>
            <w:noProof/>
            <w:webHidden/>
          </w:rPr>
          <w:fldChar w:fldCharType="begin"/>
        </w:r>
        <w:r w:rsidR="008907E4">
          <w:rPr>
            <w:noProof/>
            <w:webHidden/>
          </w:rPr>
          <w:instrText xml:space="preserve"> PAGEREF _Toc80380069 \h </w:instrText>
        </w:r>
        <w:r w:rsidR="008907E4">
          <w:rPr>
            <w:noProof/>
            <w:webHidden/>
          </w:rPr>
        </w:r>
        <w:r w:rsidR="008907E4">
          <w:rPr>
            <w:noProof/>
            <w:webHidden/>
          </w:rPr>
          <w:fldChar w:fldCharType="separate"/>
        </w:r>
        <w:r w:rsidR="00E86865">
          <w:rPr>
            <w:noProof/>
            <w:webHidden/>
          </w:rPr>
          <w:t>184</w:t>
        </w:r>
        <w:r w:rsidR="008907E4">
          <w:rPr>
            <w:noProof/>
            <w:webHidden/>
          </w:rPr>
          <w:fldChar w:fldCharType="end"/>
        </w:r>
      </w:hyperlink>
    </w:p>
    <w:p w14:paraId="767F5AE1" w14:textId="49F8AD80" w:rsidR="008907E4" w:rsidRDefault="00C23355" w:rsidP="00E14ED4">
      <w:pPr>
        <w:pStyle w:val="TOC2"/>
        <w:rPr>
          <w:rFonts w:eastAsiaTheme="minorEastAsia" w:cstheme="minorBidi"/>
          <w:b w:val="0"/>
          <w:bCs w:val="0"/>
          <w:noProof/>
          <w:sz w:val="22"/>
          <w:szCs w:val="22"/>
          <w:lang w:val="en-US"/>
        </w:rPr>
      </w:pPr>
      <w:hyperlink w:anchor="_Toc80380070" w:history="1">
        <w:r w:rsidR="008907E4" w:rsidRPr="00D527D0">
          <w:rPr>
            <w:rStyle w:val="Hyperlink"/>
            <w:noProof/>
          </w:rPr>
          <w:t>12.1</w:t>
        </w:r>
        <w:r w:rsidR="008907E4">
          <w:rPr>
            <w:rFonts w:eastAsiaTheme="minorEastAsia" w:cstheme="minorBidi"/>
            <w:b w:val="0"/>
            <w:bCs w:val="0"/>
            <w:noProof/>
            <w:sz w:val="22"/>
            <w:szCs w:val="22"/>
            <w:lang w:val="en-US"/>
          </w:rPr>
          <w:tab/>
        </w:r>
        <w:r w:rsidR="008907E4" w:rsidRPr="00D527D0">
          <w:rPr>
            <w:rStyle w:val="Hyperlink"/>
            <w:noProof/>
          </w:rPr>
          <w:t>Processo de Queixas e Reclamações</w:t>
        </w:r>
        <w:r w:rsidR="008907E4">
          <w:rPr>
            <w:noProof/>
            <w:webHidden/>
          </w:rPr>
          <w:tab/>
        </w:r>
        <w:r w:rsidR="008907E4">
          <w:rPr>
            <w:noProof/>
            <w:webHidden/>
          </w:rPr>
          <w:fldChar w:fldCharType="begin"/>
        </w:r>
        <w:r w:rsidR="008907E4">
          <w:rPr>
            <w:noProof/>
            <w:webHidden/>
          </w:rPr>
          <w:instrText xml:space="preserve"> PAGEREF _Toc80380070 \h </w:instrText>
        </w:r>
        <w:r w:rsidR="008907E4">
          <w:rPr>
            <w:noProof/>
            <w:webHidden/>
          </w:rPr>
        </w:r>
        <w:r w:rsidR="008907E4">
          <w:rPr>
            <w:noProof/>
            <w:webHidden/>
          </w:rPr>
          <w:fldChar w:fldCharType="separate"/>
        </w:r>
        <w:r w:rsidR="00E86865">
          <w:rPr>
            <w:noProof/>
            <w:webHidden/>
          </w:rPr>
          <w:t>185</w:t>
        </w:r>
        <w:r w:rsidR="008907E4">
          <w:rPr>
            <w:noProof/>
            <w:webHidden/>
          </w:rPr>
          <w:fldChar w:fldCharType="end"/>
        </w:r>
      </w:hyperlink>
    </w:p>
    <w:p w14:paraId="0ECE66B9" w14:textId="19F46ABE" w:rsidR="008907E4" w:rsidRDefault="00C23355" w:rsidP="00E14ED4">
      <w:pPr>
        <w:pStyle w:val="TOC3"/>
        <w:spacing w:before="0"/>
        <w:rPr>
          <w:rFonts w:eastAsiaTheme="minorEastAsia" w:cstheme="minorBidi"/>
          <w:noProof/>
          <w:sz w:val="22"/>
          <w:szCs w:val="22"/>
          <w:lang w:val="en-US"/>
        </w:rPr>
      </w:pPr>
      <w:hyperlink w:anchor="_Toc80380071" w:history="1">
        <w:r w:rsidR="008907E4" w:rsidRPr="00D527D0">
          <w:rPr>
            <w:rStyle w:val="Hyperlink"/>
            <w:noProof/>
          </w:rPr>
          <w:t>12.1.1</w:t>
        </w:r>
        <w:r w:rsidR="008907E4">
          <w:rPr>
            <w:rFonts w:eastAsiaTheme="minorEastAsia" w:cstheme="minorBidi"/>
            <w:noProof/>
            <w:sz w:val="22"/>
            <w:szCs w:val="22"/>
            <w:lang w:val="en-US"/>
          </w:rPr>
          <w:tab/>
        </w:r>
        <w:r w:rsidR="008907E4" w:rsidRPr="00D527D0">
          <w:rPr>
            <w:rStyle w:val="Hyperlink"/>
            <w:noProof/>
          </w:rPr>
          <w:t>Gestão de queixas e reclamações a nível comunitário</w:t>
        </w:r>
        <w:r w:rsidR="008907E4">
          <w:rPr>
            <w:noProof/>
            <w:webHidden/>
          </w:rPr>
          <w:tab/>
        </w:r>
        <w:r w:rsidR="008907E4">
          <w:rPr>
            <w:noProof/>
            <w:webHidden/>
          </w:rPr>
          <w:fldChar w:fldCharType="begin"/>
        </w:r>
        <w:r w:rsidR="008907E4">
          <w:rPr>
            <w:noProof/>
            <w:webHidden/>
          </w:rPr>
          <w:instrText xml:space="preserve"> PAGEREF _Toc80380071 \h </w:instrText>
        </w:r>
        <w:r w:rsidR="008907E4">
          <w:rPr>
            <w:noProof/>
            <w:webHidden/>
          </w:rPr>
        </w:r>
        <w:r w:rsidR="008907E4">
          <w:rPr>
            <w:noProof/>
            <w:webHidden/>
          </w:rPr>
          <w:fldChar w:fldCharType="separate"/>
        </w:r>
        <w:r w:rsidR="00E86865">
          <w:rPr>
            <w:noProof/>
            <w:webHidden/>
          </w:rPr>
          <w:t>185</w:t>
        </w:r>
        <w:r w:rsidR="008907E4">
          <w:rPr>
            <w:noProof/>
            <w:webHidden/>
          </w:rPr>
          <w:fldChar w:fldCharType="end"/>
        </w:r>
      </w:hyperlink>
    </w:p>
    <w:p w14:paraId="1F4779C9" w14:textId="45DC780A" w:rsidR="008907E4" w:rsidRDefault="00C23355" w:rsidP="00E14ED4">
      <w:pPr>
        <w:pStyle w:val="TOC3"/>
        <w:spacing w:before="0"/>
        <w:rPr>
          <w:rFonts w:eastAsiaTheme="minorEastAsia" w:cstheme="minorBidi"/>
          <w:noProof/>
          <w:sz w:val="22"/>
          <w:szCs w:val="22"/>
          <w:lang w:val="en-US"/>
        </w:rPr>
      </w:pPr>
      <w:hyperlink w:anchor="_Toc80380072" w:history="1">
        <w:r w:rsidR="008907E4" w:rsidRPr="00D527D0">
          <w:rPr>
            <w:rStyle w:val="Hyperlink"/>
            <w:noProof/>
          </w:rPr>
          <w:t>12.1.2</w:t>
        </w:r>
        <w:r w:rsidR="008907E4">
          <w:rPr>
            <w:rFonts w:eastAsiaTheme="minorEastAsia" w:cstheme="minorBidi"/>
            <w:noProof/>
            <w:sz w:val="22"/>
            <w:szCs w:val="22"/>
            <w:lang w:val="en-US"/>
          </w:rPr>
          <w:tab/>
        </w:r>
        <w:r w:rsidR="008907E4" w:rsidRPr="00D527D0">
          <w:rPr>
            <w:rStyle w:val="Hyperlink"/>
            <w:noProof/>
          </w:rPr>
          <w:t>Gestão de queixas e reclamações a nível de projecto</w:t>
        </w:r>
        <w:r w:rsidR="008907E4">
          <w:rPr>
            <w:noProof/>
            <w:webHidden/>
          </w:rPr>
          <w:tab/>
        </w:r>
        <w:r w:rsidR="008907E4">
          <w:rPr>
            <w:noProof/>
            <w:webHidden/>
          </w:rPr>
          <w:fldChar w:fldCharType="begin"/>
        </w:r>
        <w:r w:rsidR="008907E4">
          <w:rPr>
            <w:noProof/>
            <w:webHidden/>
          </w:rPr>
          <w:instrText xml:space="preserve"> PAGEREF _Toc80380072 \h </w:instrText>
        </w:r>
        <w:r w:rsidR="008907E4">
          <w:rPr>
            <w:noProof/>
            <w:webHidden/>
          </w:rPr>
        </w:r>
        <w:r w:rsidR="008907E4">
          <w:rPr>
            <w:noProof/>
            <w:webHidden/>
          </w:rPr>
          <w:fldChar w:fldCharType="separate"/>
        </w:r>
        <w:r w:rsidR="00E86865">
          <w:rPr>
            <w:noProof/>
            <w:webHidden/>
          </w:rPr>
          <w:t>185</w:t>
        </w:r>
        <w:r w:rsidR="008907E4">
          <w:rPr>
            <w:noProof/>
            <w:webHidden/>
          </w:rPr>
          <w:fldChar w:fldCharType="end"/>
        </w:r>
      </w:hyperlink>
    </w:p>
    <w:p w14:paraId="1417DECD" w14:textId="64BBA453" w:rsidR="008907E4" w:rsidRDefault="00C23355" w:rsidP="00E14ED4">
      <w:pPr>
        <w:pStyle w:val="TOC3"/>
        <w:spacing w:before="0"/>
        <w:rPr>
          <w:rFonts w:eastAsiaTheme="minorEastAsia" w:cstheme="minorBidi"/>
          <w:noProof/>
          <w:sz w:val="22"/>
          <w:szCs w:val="22"/>
          <w:lang w:val="en-US"/>
        </w:rPr>
      </w:pPr>
      <w:hyperlink w:anchor="_Toc80380073" w:history="1">
        <w:r w:rsidR="008907E4" w:rsidRPr="00D527D0">
          <w:rPr>
            <w:rStyle w:val="Hyperlink"/>
            <w:noProof/>
          </w:rPr>
          <w:t>12.1.3</w:t>
        </w:r>
        <w:r w:rsidR="008907E4">
          <w:rPr>
            <w:rFonts w:eastAsiaTheme="minorEastAsia" w:cstheme="minorBidi"/>
            <w:noProof/>
            <w:sz w:val="22"/>
            <w:szCs w:val="22"/>
            <w:lang w:val="en-US"/>
          </w:rPr>
          <w:tab/>
        </w:r>
        <w:r w:rsidR="008907E4" w:rsidRPr="00D527D0">
          <w:rPr>
            <w:rStyle w:val="Hyperlink"/>
            <w:noProof/>
          </w:rPr>
          <w:t>Etapas e cronologia:</w:t>
        </w:r>
        <w:r w:rsidR="008907E4">
          <w:rPr>
            <w:noProof/>
            <w:webHidden/>
          </w:rPr>
          <w:tab/>
        </w:r>
        <w:r w:rsidR="008907E4">
          <w:rPr>
            <w:noProof/>
            <w:webHidden/>
          </w:rPr>
          <w:fldChar w:fldCharType="begin"/>
        </w:r>
        <w:r w:rsidR="008907E4">
          <w:rPr>
            <w:noProof/>
            <w:webHidden/>
          </w:rPr>
          <w:instrText xml:space="preserve"> PAGEREF _Toc80380073 \h </w:instrText>
        </w:r>
        <w:r w:rsidR="008907E4">
          <w:rPr>
            <w:noProof/>
            <w:webHidden/>
          </w:rPr>
        </w:r>
        <w:r w:rsidR="008907E4">
          <w:rPr>
            <w:noProof/>
            <w:webHidden/>
          </w:rPr>
          <w:fldChar w:fldCharType="separate"/>
        </w:r>
        <w:r w:rsidR="00E86865">
          <w:rPr>
            <w:noProof/>
            <w:webHidden/>
          </w:rPr>
          <w:t>187</w:t>
        </w:r>
        <w:r w:rsidR="008907E4">
          <w:rPr>
            <w:noProof/>
            <w:webHidden/>
          </w:rPr>
          <w:fldChar w:fldCharType="end"/>
        </w:r>
      </w:hyperlink>
    </w:p>
    <w:p w14:paraId="72CB1C96" w14:textId="531CA3D6" w:rsidR="008907E4" w:rsidRDefault="00C23355" w:rsidP="00E14ED4">
      <w:pPr>
        <w:pStyle w:val="TOC3"/>
        <w:spacing w:before="0"/>
        <w:rPr>
          <w:rFonts w:eastAsiaTheme="minorEastAsia" w:cstheme="minorBidi"/>
          <w:noProof/>
          <w:sz w:val="22"/>
          <w:szCs w:val="22"/>
          <w:lang w:val="en-US"/>
        </w:rPr>
      </w:pPr>
      <w:hyperlink w:anchor="_Toc80380074" w:history="1">
        <w:r w:rsidR="008907E4" w:rsidRPr="00D527D0">
          <w:rPr>
            <w:rStyle w:val="Hyperlink"/>
            <w:noProof/>
          </w:rPr>
          <w:t>12.1.4</w:t>
        </w:r>
        <w:r w:rsidR="008907E4">
          <w:rPr>
            <w:rFonts w:eastAsiaTheme="minorEastAsia" w:cstheme="minorBidi"/>
            <w:noProof/>
            <w:sz w:val="22"/>
            <w:szCs w:val="22"/>
            <w:lang w:val="en-US"/>
          </w:rPr>
          <w:tab/>
        </w:r>
        <w:r w:rsidR="008907E4" w:rsidRPr="00D527D0">
          <w:rPr>
            <w:rStyle w:val="Hyperlink"/>
            <w:noProof/>
          </w:rPr>
          <w:t>Gestão de queixas a nível judicial</w:t>
        </w:r>
        <w:r w:rsidR="008907E4">
          <w:rPr>
            <w:noProof/>
            <w:webHidden/>
          </w:rPr>
          <w:tab/>
        </w:r>
        <w:r w:rsidR="008907E4">
          <w:rPr>
            <w:noProof/>
            <w:webHidden/>
          </w:rPr>
          <w:fldChar w:fldCharType="begin"/>
        </w:r>
        <w:r w:rsidR="008907E4">
          <w:rPr>
            <w:noProof/>
            <w:webHidden/>
          </w:rPr>
          <w:instrText xml:space="preserve"> PAGEREF _Toc80380074 \h </w:instrText>
        </w:r>
        <w:r w:rsidR="008907E4">
          <w:rPr>
            <w:noProof/>
            <w:webHidden/>
          </w:rPr>
        </w:r>
        <w:r w:rsidR="008907E4">
          <w:rPr>
            <w:noProof/>
            <w:webHidden/>
          </w:rPr>
          <w:fldChar w:fldCharType="separate"/>
        </w:r>
        <w:r w:rsidR="00E86865">
          <w:rPr>
            <w:noProof/>
            <w:webHidden/>
          </w:rPr>
          <w:t>188</w:t>
        </w:r>
        <w:r w:rsidR="008907E4">
          <w:rPr>
            <w:noProof/>
            <w:webHidden/>
          </w:rPr>
          <w:fldChar w:fldCharType="end"/>
        </w:r>
      </w:hyperlink>
    </w:p>
    <w:p w14:paraId="75149695" w14:textId="19A8CE68" w:rsidR="008907E4" w:rsidRDefault="00C23355" w:rsidP="00E14ED4">
      <w:pPr>
        <w:pStyle w:val="TOC3"/>
        <w:spacing w:before="0"/>
        <w:rPr>
          <w:rFonts w:eastAsiaTheme="minorEastAsia" w:cstheme="minorBidi"/>
          <w:noProof/>
          <w:sz w:val="22"/>
          <w:szCs w:val="22"/>
          <w:lang w:val="en-US"/>
        </w:rPr>
      </w:pPr>
      <w:hyperlink w:anchor="_Toc80380075" w:history="1">
        <w:r w:rsidR="008907E4" w:rsidRPr="00D527D0">
          <w:rPr>
            <w:rStyle w:val="Hyperlink"/>
            <w:noProof/>
          </w:rPr>
          <w:t>12.1.5</w:t>
        </w:r>
        <w:r w:rsidR="008907E4">
          <w:rPr>
            <w:rFonts w:eastAsiaTheme="minorEastAsia" w:cstheme="minorBidi"/>
            <w:noProof/>
            <w:sz w:val="22"/>
            <w:szCs w:val="22"/>
            <w:lang w:val="en-US"/>
          </w:rPr>
          <w:tab/>
        </w:r>
        <w:r w:rsidR="008907E4" w:rsidRPr="00D527D0">
          <w:rPr>
            <w:rStyle w:val="Hyperlink"/>
            <w:noProof/>
          </w:rPr>
          <w:t>Queixas relacionadas à violência baseada no gênero (VBG)</w:t>
        </w:r>
        <w:r w:rsidR="008907E4">
          <w:rPr>
            <w:noProof/>
            <w:webHidden/>
          </w:rPr>
          <w:tab/>
        </w:r>
        <w:r w:rsidR="008907E4">
          <w:rPr>
            <w:noProof/>
            <w:webHidden/>
          </w:rPr>
          <w:fldChar w:fldCharType="begin"/>
        </w:r>
        <w:r w:rsidR="008907E4">
          <w:rPr>
            <w:noProof/>
            <w:webHidden/>
          </w:rPr>
          <w:instrText xml:space="preserve"> PAGEREF _Toc80380075 \h </w:instrText>
        </w:r>
        <w:r w:rsidR="008907E4">
          <w:rPr>
            <w:noProof/>
            <w:webHidden/>
          </w:rPr>
        </w:r>
        <w:r w:rsidR="008907E4">
          <w:rPr>
            <w:noProof/>
            <w:webHidden/>
          </w:rPr>
          <w:fldChar w:fldCharType="separate"/>
        </w:r>
        <w:r w:rsidR="00E86865">
          <w:rPr>
            <w:noProof/>
            <w:webHidden/>
          </w:rPr>
          <w:t>188</w:t>
        </w:r>
        <w:r w:rsidR="008907E4">
          <w:rPr>
            <w:noProof/>
            <w:webHidden/>
          </w:rPr>
          <w:fldChar w:fldCharType="end"/>
        </w:r>
      </w:hyperlink>
    </w:p>
    <w:p w14:paraId="31E1C824" w14:textId="7920A460" w:rsidR="008907E4" w:rsidRDefault="00C23355" w:rsidP="00E14ED4">
      <w:pPr>
        <w:pStyle w:val="TOC3"/>
        <w:spacing w:before="0"/>
        <w:rPr>
          <w:rFonts w:eastAsiaTheme="minorEastAsia" w:cstheme="minorBidi"/>
          <w:noProof/>
          <w:sz w:val="22"/>
          <w:szCs w:val="22"/>
          <w:lang w:val="en-US"/>
        </w:rPr>
      </w:pPr>
      <w:hyperlink w:anchor="_Toc80380076" w:history="1">
        <w:r w:rsidR="008907E4" w:rsidRPr="00D527D0">
          <w:rPr>
            <w:rStyle w:val="Hyperlink"/>
            <w:noProof/>
          </w:rPr>
          <w:t>12.1.6</w:t>
        </w:r>
        <w:r w:rsidR="008907E4">
          <w:rPr>
            <w:rFonts w:eastAsiaTheme="minorEastAsia" w:cstheme="minorBidi"/>
            <w:noProof/>
            <w:sz w:val="22"/>
            <w:szCs w:val="22"/>
            <w:lang w:val="en-US"/>
          </w:rPr>
          <w:tab/>
        </w:r>
        <w:r w:rsidR="008907E4" w:rsidRPr="00D527D0">
          <w:rPr>
            <w:rStyle w:val="Hyperlink"/>
            <w:noProof/>
          </w:rPr>
          <w:t>Queixas relacionadas às relações Laborais</w:t>
        </w:r>
        <w:r w:rsidR="008907E4">
          <w:rPr>
            <w:noProof/>
            <w:webHidden/>
          </w:rPr>
          <w:tab/>
        </w:r>
        <w:r w:rsidR="008907E4">
          <w:rPr>
            <w:noProof/>
            <w:webHidden/>
          </w:rPr>
          <w:fldChar w:fldCharType="begin"/>
        </w:r>
        <w:r w:rsidR="008907E4">
          <w:rPr>
            <w:noProof/>
            <w:webHidden/>
          </w:rPr>
          <w:instrText xml:space="preserve"> PAGEREF _Toc80380076 \h </w:instrText>
        </w:r>
        <w:r w:rsidR="008907E4">
          <w:rPr>
            <w:noProof/>
            <w:webHidden/>
          </w:rPr>
        </w:r>
        <w:r w:rsidR="008907E4">
          <w:rPr>
            <w:noProof/>
            <w:webHidden/>
          </w:rPr>
          <w:fldChar w:fldCharType="separate"/>
        </w:r>
        <w:r w:rsidR="00E86865">
          <w:rPr>
            <w:noProof/>
            <w:webHidden/>
          </w:rPr>
          <w:t>191</w:t>
        </w:r>
        <w:r w:rsidR="008907E4">
          <w:rPr>
            <w:noProof/>
            <w:webHidden/>
          </w:rPr>
          <w:fldChar w:fldCharType="end"/>
        </w:r>
      </w:hyperlink>
    </w:p>
    <w:p w14:paraId="3DC7EA37" w14:textId="3FBEC77C" w:rsidR="008907E4" w:rsidRDefault="00C23355" w:rsidP="00E14ED4">
      <w:pPr>
        <w:pStyle w:val="TOC2"/>
        <w:rPr>
          <w:rFonts w:eastAsiaTheme="minorEastAsia" w:cstheme="minorBidi"/>
          <w:b w:val="0"/>
          <w:bCs w:val="0"/>
          <w:noProof/>
          <w:sz w:val="22"/>
          <w:szCs w:val="22"/>
          <w:lang w:val="en-US"/>
        </w:rPr>
      </w:pPr>
      <w:hyperlink w:anchor="_Toc80380078" w:history="1">
        <w:r w:rsidR="008907E4" w:rsidRPr="00D527D0">
          <w:rPr>
            <w:rStyle w:val="Hyperlink"/>
            <w:noProof/>
          </w:rPr>
          <w:t>12.2</w:t>
        </w:r>
        <w:r w:rsidR="008907E4">
          <w:rPr>
            <w:rFonts w:eastAsiaTheme="minorEastAsia" w:cstheme="minorBidi"/>
            <w:b w:val="0"/>
            <w:bCs w:val="0"/>
            <w:noProof/>
            <w:sz w:val="22"/>
            <w:szCs w:val="22"/>
            <w:lang w:val="en-US"/>
          </w:rPr>
          <w:tab/>
        </w:r>
        <w:r w:rsidR="008907E4" w:rsidRPr="00D527D0">
          <w:rPr>
            <w:rStyle w:val="Hyperlink"/>
            <w:noProof/>
          </w:rPr>
          <w:t>Monitoria e Relatórios</w:t>
        </w:r>
        <w:r w:rsidR="008907E4">
          <w:rPr>
            <w:noProof/>
            <w:webHidden/>
          </w:rPr>
          <w:tab/>
        </w:r>
        <w:r w:rsidR="008907E4">
          <w:rPr>
            <w:noProof/>
            <w:webHidden/>
          </w:rPr>
          <w:fldChar w:fldCharType="begin"/>
        </w:r>
        <w:r w:rsidR="008907E4">
          <w:rPr>
            <w:noProof/>
            <w:webHidden/>
          </w:rPr>
          <w:instrText xml:space="preserve"> PAGEREF _Toc80380078 \h </w:instrText>
        </w:r>
        <w:r w:rsidR="008907E4">
          <w:rPr>
            <w:noProof/>
            <w:webHidden/>
          </w:rPr>
        </w:r>
        <w:r w:rsidR="008907E4">
          <w:rPr>
            <w:noProof/>
            <w:webHidden/>
          </w:rPr>
          <w:fldChar w:fldCharType="separate"/>
        </w:r>
        <w:r w:rsidR="00E86865">
          <w:rPr>
            <w:noProof/>
            <w:webHidden/>
          </w:rPr>
          <w:t>192</w:t>
        </w:r>
        <w:r w:rsidR="008907E4">
          <w:rPr>
            <w:noProof/>
            <w:webHidden/>
          </w:rPr>
          <w:fldChar w:fldCharType="end"/>
        </w:r>
      </w:hyperlink>
    </w:p>
    <w:p w14:paraId="3971115A" w14:textId="5BF40105" w:rsidR="008907E4" w:rsidRDefault="00C23355" w:rsidP="00E14ED4">
      <w:pPr>
        <w:pStyle w:val="TOC1"/>
        <w:rPr>
          <w:rFonts w:asciiTheme="minorHAnsi" w:eastAsiaTheme="minorEastAsia" w:hAnsiTheme="minorHAnsi" w:cstheme="minorBidi"/>
          <w:b w:val="0"/>
          <w:bCs w:val="0"/>
          <w:caps w:val="0"/>
          <w:noProof/>
          <w:sz w:val="22"/>
          <w:szCs w:val="22"/>
          <w:lang w:val="en-US"/>
        </w:rPr>
      </w:pPr>
      <w:hyperlink w:anchor="_Toc80380079" w:history="1">
        <w:r w:rsidR="008907E4" w:rsidRPr="00D527D0">
          <w:rPr>
            <w:rStyle w:val="Hyperlink"/>
            <w:noProof/>
            <w:lang w:val="pt-BR" w:eastAsia="ja-JP"/>
          </w:rPr>
          <w:t>13</w:t>
        </w:r>
        <w:r w:rsidR="008907E4">
          <w:rPr>
            <w:rFonts w:asciiTheme="minorHAnsi" w:eastAsiaTheme="minorEastAsia" w:hAnsiTheme="minorHAnsi" w:cstheme="minorBidi"/>
            <w:b w:val="0"/>
            <w:bCs w:val="0"/>
            <w:caps w:val="0"/>
            <w:noProof/>
            <w:sz w:val="22"/>
            <w:szCs w:val="22"/>
            <w:lang w:val="en-US"/>
          </w:rPr>
          <w:tab/>
        </w:r>
        <w:r w:rsidR="008907E4" w:rsidRPr="00D527D0">
          <w:rPr>
            <w:rStyle w:val="Hyperlink"/>
            <w:noProof/>
            <w:lang w:val="pt-PT" w:eastAsia="ja-JP"/>
          </w:rPr>
          <w:t>Estimativa de orçamento e cronograma de implementação do Projecto</w:t>
        </w:r>
        <w:r w:rsidR="008907E4">
          <w:rPr>
            <w:noProof/>
            <w:webHidden/>
          </w:rPr>
          <w:tab/>
        </w:r>
        <w:r w:rsidR="008907E4">
          <w:rPr>
            <w:noProof/>
            <w:webHidden/>
          </w:rPr>
          <w:fldChar w:fldCharType="begin"/>
        </w:r>
        <w:r w:rsidR="008907E4">
          <w:rPr>
            <w:noProof/>
            <w:webHidden/>
          </w:rPr>
          <w:instrText xml:space="preserve"> PAGEREF _Toc80380079 \h </w:instrText>
        </w:r>
        <w:r w:rsidR="008907E4">
          <w:rPr>
            <w:noProof/>
            <w:webHidden/>
          </w:rPr>
        </w:r>
        <w:r w:rsidR="008907E4">
          <w:rPr>
            <w:noProof/>
            <w:webHidden/>
          </w:rPr>
          <w:fldChar w:fldCharType="separate"/>
        </w:r>
        <w:r w:rsidR="00E86865">
          <w:rPr>
            <w:noProof/>
            <w:webHidden/>
          </w:rPr>
          <w:t>194</w:t>
        </w:r>
        <w:r w:rsidR="008907E4">
          <w:rPr>
            <w:noProof/>
            <w:webHidden/>
          </w:rPr>
          <w:fldChar w:fldCharType="end"/>
        </w:r>
      </w:hyperlink>
    </w:p>
    <w:p w14:paraId="41B38D93" w14:textId="5AF5435B" w:rsidR="008907E4" w:rsidRDefault="00C23355" w:rsidP="00E14ED4">
      <w:pPr>
        <w:pStyle w:val="TOC1"/>
        <w:rPr>
          <w:rFonts w:asciiTheme="minorHAnsi" w:eastAsiaTheme="minorEastAsia" w:hAnsiTheme="minorHAnsi" w:cstheme="minorBidi"/>
          <w:b w:val="0"/>
          <w:bCs w:val="0"/>
          <w:caps w:val="0"/>
          <w:noProof/>
          <w:sz w:val="22"/>
          <w:szCs w:val="22"/>
          <w:lang w:val="en-US"/>
        </w:rPr>
      </w:pPr>
      <w:hyperlink w:anchor="_Toc80380080" w:history="1">
        <w:r w:rsidR="008907E4" w:rsidRPr="00D527D0">
          <w:rPr>
            <w:rStyle w:val="Hyperlink"/>
            <w:noProof/>
            <w:lang w:val="pt-BR"/>
          </w:rPr>
          <w:t>14</w:t>
        </w:r>
        <w:r w:rsidR="008907E4">
          <w:rPr>
            <w:rFonts w:asciiTheme="minorHAnsi" w:eastAsiaTheme="minorEastAsia" w:hAnsiTheme="minorHAnsi" w:cstheme="minorBidi"/>
            <w:b w:val="0"/>
            <w:bCs w:val="0"/>
            <w:caps w:val="0"/>
            <w:noProof/>
            <w:sz w:val="22"/>
            <w:szCs w:val="22"/>
            <w:lang w:val="en-US"/>
          </w:rPr>
          <w:tab/>
        </w:r>
        <w:r w:rsidR="008907E4" w:rsidRPr="00D527D0">
          <w:rPr>
            <w:rStyle w:val="Hyperlink"/>
            <w:noProof/>
            <w:lang w:val="pt-PT"/>
          </w:rPr>
          <w:t>Directrizes Gerais para a Componente de Resposta a Emergências e Contingências</w:t>
        </w:r>
        <w:r w:rsidR="008907E4">
          <w:rPr>
            <w:noProof/>
            <w:webHidden/>
          </w:rPr>
          <w:tab/>
        </w:r>
        <w:r w:rsidR="008907E4">
          <w:rPr>
            <w:noProof/>
            <w:webHidden/>
          </w:rPr>
          <w:fldChar w:fldCharType="begin"/>
        </w:r>
        <w:r w:rsidR="008907E4">
          <w:rPr>
            <w:noProof/>
            <w:webHidden/>
          </w:rPr>
          <w:instrText xml:space="preserve"> PAGEREF _Toc80380080 \h </w:instrText>
        </w:r>
        <w:r w:rsidR="008907E4">
          <w:rPr>
            <w:noProof/>
            <w:webHidden/>
          </w:rPr>
        </w:r>
        <w:r w:rsidR="008907E4">
          <w:rPr>
            <w:noProof/>
            <w:webHidden/>
          </w:rPr>
          <w:fldChar w:fldCharType="separate"/>
        </w:r>
        <w:r w:rsidR="00E86865">
          <w:rPr>
            <w:noProof/>
            <w:webHidden/>
          </w:rPr>
          <w:t>195</w:t>
        </w:r>
        <w:r w:rsidR="008907E4">
          <w:rPr>
            <w:noProof/>
            <w:webHidden/>
          </w:rPr>
          <w:fldChar w:fldCharType="end"/>
        </w:r>
      </w:hyperlink>
    </w:p>
    <w:p w14:paraId="204B1F1D" w14:textId="600B5C39" w:rsidR="008907E4" w:rsidRDefault="00C23355" w:rsidP="00E14ED4">
      <w:pPr>
        <w:pStyle w:val="TOC1"/>
        <w:rPr>
          <w:rFonts w:asciiTheme="minorHAnsi" w:eastAsiaTheme="minorEastAsia" w:hAnsiTheme="minorHAnsi" w:cstheme="minorBidi"/>
          <w:b w:val="0"/>
          <w:bCs w:val="0"/>
          <w:caps w:val="0"/>
          <w:noProof/>
          <w:sz w:val="22"/>
          <w:szCs w:val="22"/>
          <w:lang w:val="en-US"/>
        </w:rPr>
      </w:pPr>
      <w:hyperlink w:anchor="_Toc80380081" w:history="1">
        <w:r w:rsidR="008907E4" w:rsidRPr="00D527D0">
          <w:rPr>
            <w:rStyle w:val="Hyperlink"/>
            <w:noProof/>
            <w:lang w:val="pt-BR"/>
          </w:rPr>
          <w:t>15</w:t>
        </w:r>
        <w:r w:rsidR="008907E4">
          <w:rPr>
            <w:rFonts w:asciiTheme="minorHAnsi" w:eastAsiaTheme="minorEastAsia" w:hAnsiTheme="minorHAnsi" w:cstheme="minorBidi"/>
            <w:b w:val="0"/>
            <w:bCs w:val="0"/>
            <w:caps w:val="0"/>
            <w:noProof/>
            <w:sz w:val="22"/>
            <w:szCs w:val="22"/>
            <w:lang w:val="en-US"/>
          </w:rPr>
          <w:tab/>
        </w:r>
        <w:r w:rsidR="008907E4" w:rsidRPr="00D527D0">
          <w:rPr>
            <w:rStyle w:val="Hyperlink"/>
            <w:noProof/>
            <w:lang w:val="pt-PT"/>
          </w:rPr>
          <w:t>Directrizes para a Preparação de Estudos de Viabilidade Ambiental, Saúde e Segurança Ocupacional</w:t>
        </w:r>
        <w:r w:rsidR="008907E4">
          <w:rPr>
            <w:noProof/>
            <w:webHidden/>
          </w:rPr>
          <w:tab/>
        </w:r>
        <w:r w:rsidR="008907E4">
          <w:rPr>
            <w:noProof/>
            <w:webHidden/>
          </w:rPr>
          <w:fldChar w:fldCharType="begin"/>
        </w:r>
        <w:r w:rsidR="008907E4">
          <w:rPr>
            <w:noProof/>
            <w:webHidden/>
          </w:rPr>
          <w:instrText xml:space="preserve"> PAGEREF _Toc80380081 \h </w:instrText>
        </w:r>
        <w:r w:rsidR="008907E4">
          <w:rPr>
            <w:noProof/>
            <w:webHidden/>
          </w:rPr>
        </w:r>
        <w:r w:rsidR="008907E4">
          <w:rPr>
            <w:noProof/>
            <w:webHidden/>
          </w:rPr>
          <w:fldChar w:fldCharType="separate"/>
        </w:r>
        <w:r w:rsidR="00E86865">
          <w:rPr>
            <w:noProof/>
            <w:webHidden/>
          </w:rPr>
          <w:t>199</w:t>
        </w:r>
        <w:r w:rsidR="008907E4">
          <w:rPr>
            <w:noProof/>
            <w:webHidden/>
          </w:rPr>
          <w:fldChar w:fldCharType="end"/>
        </w:r>
      </w:hyperlink>
    </w:p>
    <w:p w14:paraId="7CF565C9" w14:textId="15F57A94" w:rsidR="008907E4" w:rsidRDefault="00C23355" w:rsidP="00E14ED4">
      <w:pPr>
        <w:pStyle w:val="TOC1"/>
        <w:rPr>
          <w:rFonts w:asciiTheme="minorHAnsi" w:eastAsiaTheme="minorEastAsia" w:hAnsiTheme="minorHAnsi" w:cstheme="minorBidi"/>
          <w:b w:val="0"/>
          <w:bCs w:val="0"/>
          <w:caps w:val="0"/>
          <w:noProof/>
          <w:sz w:val="22"/>
          <w:szCs w:val="22"/>
          <w:lang w:val="en-US"/>
        </w:rPr>
      </w:pPr>
      <w:hyperlink w:anchor="_Toc80380082" w:history="1">
        <w:r w:rsidR="008907E4" w:rsidRPr="00D527D0">
          <w:rPr>
            <w:rStyle w:val="Hyperlink"/>
            <w:noProof/>
            <w:lang w:val="pt-BR" w:eastAsia="ja-JP"/>
          </w:rPr>
          <w:t>16</w:t>
        </w:r>
        <w:r w:rsidR="008907E4">
          <w:rPr>
            <w:rFonts w:asciiTheme="minorHAnsi" w:eastAsiaTheme="minorEastAsia" w:hAnsiTheme="minorHAnsi" w:cstheme="minorBidi"/>
            <w:b w:val="0"/>
            <w:bCs w:val="0"/>
            <w:caps w:val="0"/>
            <w:noProof/>
            <w:sz w:val="22"/>
            <w:szCs w:val="22"/>
            <w:lang w:val="en-US"/>
          </w:rPr>
          <w:tab/>
        </w:r>
        <w:r w:rsidR="008907E4" w:rsidRPr="00D527D0">
          <w:rPr>
            <w:rStyle w:val="Hyperlink"/>
            <w:noProof/>
            <w:lang w:val="pt-PT" w:eastAsia="ja-JP"/>
          </w:rPr>
          <w:t>Referências Bibliográficas</w:t>
        </w:r>
        <w:r w:rsidR="008907E4">
          <w:rPr>
            <w:noProof/>
            <w:webHidden/>
          </w:rPr>
          <w:tab/>
        </w:r>
        <w:r w:rsidR="008907E4">
          <w:rPr>
            <w:noProof/>
            <w:webHidden/>
          </w:rPr>
          <w:fldChar w:fldCharType="begin"/>
        </w:r>
        <w:r w:rsidR="008907E4">
          <w:rPr>
            <w:noProof/>
            <w:webHidden/>
          </w:rPr>
          <w:instrText xml:space="preserve"> PAGEREF _Toc80380082 \h </w:instrText>
        </w:r>
        <w:r w:rsidR="008907E4">
          <w:rPr>
            <w:noProof/>
            <w:webHidden/>
          </w:rPr>
        </w:r>
        <w:r w:rsidR="008907E4">
          <w:rPr>
            <w:noProof/>
            <w:webHidden/>
          </w:rPr>
          <w:fldChar w:fldCharType="separate"/>
        </w:r>
        <w:r w:rsidR="00E86865">
          <w:rPr>
            <w:noProof/>
            <w:webHidden/>
          </w:rPr>
          <w:t>201</w:t>
        </w:r>
        <w:r w:rsidR="008907E4">
          <w:rPr>
            <w:noProof/>
            <w:webHidden/>
          </w:rPr>
          <w:fldChar w:fldCharType="end"/>
        </w:r>
      </w:hyperlink>
    </w:p>
    <w:p w14:paraId="23BA0C06" w14:textId="4FA46B12" w:rsidR="008907E4" w:rsidRDefault="008907E4" w:rsidP="00E14ED4">
      <w:pPr>
        <w:pStyle w:val="TOC1"/>
        <w:rPr>
          <w:rFonts w:asciiTheme="minorHAnsi" w:eastAsiaTheme="minorEastAsia" w:hAnsiTheme="minorHAnsi" w:cstheme="minorBidi"/>
          <w:b w:val="0"/>
          <w:bCs w:val="0"/>
          <w:caps w:val="0"/>
          <w:noProof/>
          <w:sz w:val="22"/>
          <w:szCs w:val="22"/>
          <w:lang w:val="en-US"/>
        </w:rPr>
      </w:pPr>
    </w:p>
    <w:p w14:paraId="5621E8B2" w14:textId="4ECF79B8" w:rsidR="00A9374D" w:rsidRPr="00292532" w:rsidRDefault="00EC5C18" w:rsidP="00E14ED4">
      <w:pPr>
        <w:spacing w:before="0" w:after="0"/>
        <w:rPr>
          <w:rFonts w:cs="Arial"/>
          <w:lang w:val="pt-PT"/>
        </w:rPr>
      </w:pPr>
      <w:r w:rsidRPr="00292532">
        <w:rPr>
          <w:rFonts w:cs="Arial"/>
          <w:lang w:val="pt-PT"/>
        </w:rPr>
        <w:fldChar w:fldCharType="end"/>
      </w:r>
      <w:r w:rsidR="00A9374D" w:rsidRPr="00292532">
        <w:rPr>
          <w:rFonts w:cs="Arial"/>
          <w:lang w:val="pt-PT"/>
        </w:rPr>
        <w:br w:type="page"/>
      </w:r>
    </w:p>
    <w:p w14:paraId="087D5A6B" w14:textId="77777777" w:rsidR="00C87F38" w:rsidRPr="00292532" w:rsidRDefault="00C87F38" w:rsidP="008A5006">
      <w:pPr>
        <w:rPr>
          <w:rFonts w:cs="Arial"/>
          <w:lang w:val="pt-PT"/>
        </w:rPr>
      </w:pPr>
    </w:p>
    <w:p w14:paraId="199F52CC" w14:textId="10BCDC79" w:rsidR="00322986" w:rsidRPr="00292532" w:rsidRDefault="00E1170B" w:rsidP="00E14ED4">
      <w:pPr>
        <w:spacing w:before="0" w:after="0"/>
        <w:rPr>
          <w:rFonts w:cs="Arial"/>
          <w:b/>
          <w:sz w:val="32"/>
          <w:szCs w:val="32"/>
          <w:lang w:val="pt-PT"/>
        </w:rPr>
      </w:pPr>
      <w:r w:rsidRPr="00292532">
        <w:rPr>
          <w:rFonts w:cs="Arial"/>
          <w:b/>
          <w:sz w:val="32"/>
          <w:szCs w:val="32"/>
          <w:lang w:val="pt-PT"/>
        </w:rPr>
        <w:t>Lista de Figuras</w:t>
      </w:r>
    </w:p>
    <w:p w14:paraId="574D2CBF" w14:textId="01D15C6E" w:rsidR="008907E4" w:rsidRDefault="009F6136" w:rsidP="00E14ED4">
      <w:pPr>
        <w:pStyle w:val="TableofFigures"/>
        <w:tabs>
          <w:tab w:val="right" w:leader="dot" w:pos="8009"/>
        </w:tabs>
        <w:spacing w:before="0"/>
        <w:rPr>
          <w:rFonts w:asciiTheme="minorHAnsi" w:eastAsiaTheme="minorEastAsia" w:hAnsiTheme="minorHAnsi"/>
          <w:noProof/>
          <w:lang w:val="en-US"/>
        </w:rPr>
      </w:pPr>
      <w:r w:rsidRPr="00292532">
        <w:rPr>
          <w:rFonts w:cs="Arial"/>
          <w:bCs/>
          <w:sz w:val="32"/>
          <w:szCs w:val="32"/>
          <w:lang w:val="pt-PT"/>
        </w:rPr>
        <w:fldChar w:fldCharType="begin"/>
      </w:r>
      <w:r w:rsidRPr="00292532">
        <w:rPr>
          <w:rFonts w:cs="Arial"/>
          <w:bCs/>
          <w:sz w:val="32"/>
          <w:szCs w:val="32"/>
          <w:lang w:val="pt-PT"/>
        </w:rPr>
        <w:instrText xml:space="preserve"> TOC \h \z \c "Figura" </w:instrText>
      </w:r>
      <w:r w:rsidRPr="00292532">
        <w:rPr>
          <w:rFonts w:cs="Arial"/>
          <w:bCs/>
          <w:sz w:val="32"/>
          <w:szCs w:val="32"/>
          <w:lang w:val="pt-PT"/>
        </w:rPr>
        <w:fldChar w:fldCharType="separate"/>
      </w:r>
      <w:hyperlink w:anchor="_Toc80380224" w:history="1">
        <w:r w:rsidR="008907E4" w:rsidRPr="008F3B72">
          <w:rPr>
            <w:rStyle w:val="Hyperlink"/>
            <w:noProof/>
          </w:rPr>
          <w:t>Figura 1: Áreas de Abrangência do Projecto</w:t>
        </w:r>
        <w:r w:rsidR="008907E4">
          <w:rPr>
            <w:noProof/>
            <w:webHidden/>
          </w:rPr>
          <w:tab/>
        </w:r>
        <w:r w:rsidR="008907E4">
          <w:rPr>
            <w:noProof/>
            <w:webHidden/>
          </w:rPr>
          <w:fldChar w:fldCharType="begin"/>
        </w:r>
        <w:r w:rsidR="008907E4">
          <w:rPr>
            <w:noProof/>
            <w:webHidden/>
          </w:rPr>
          <w:instrText xml:space="preserve"> PAGEREF _Toc80380224 \h </w:instrText>
        </w:r>
        <w:r w:rsidR="008907E4">
          <w:rPr>
            <w:noProof/>
            <w:webHidden/>
          </w:rPr>
        </w:r>
        <w:r w:rsidR="008907E4">
          <w:rPr>
            <w:noProof/>
            <w:webHidden/>
          </w:rPr>
          <w:fldChar w:fldCharType="separate"/>
        </w:r>
        <w:r w:rsidR="00E86865">
          <w:rPr>
            <w:noProof/>
            <w:webHidden/>
          </w:rPr>
          <w:t>41</w:t>
        </w:r>
        <w:r w:rsidR="008907E4">
          <w:rPr>
            <w:noProof/>
            <w:webHidden/>
          </w:rPr>
          <w:fldChar w:fldCharType="end"/>
        </w:r>
      </w:hyperlink>
    </w:p>
    <w:p w14:paraId="46BA7753" w14:textId="34E6EF12"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25" w:history="1">
        <w:r w:rsidR="008907E4" w:rsidRPr="008F3B72">
          <w:rPr>
            <w:rStyle w:val="Hyperlink"/>
            <w:noProof/>
          </w:rPr>
          <w:t>Figura 2: Estrutura geológica da área de abrangência do projecto</w:t>
        </w:r>
        <w:r w:rsidR="008907E4">
          <w:rPr>
            <w:noProof/>
            <w:webHidden/>
          </w:rPr>
          <w:tab/>
        </w:r>
        <w:r w:rsidR="008907E4">
          <w:rPr>
            <w:noProof/>
            <w:webHidden/>
          </w:rPr>
          <w:fldChar w:fldCharType="begin"/>
        </w:r>
        <w:r w:rsidR="008907E4">
          <w:rPr>
            <w:noProof/>
            <w:webHidden/>
          </w:rPr>
          <w:instrText xml:space="preserve"> PAGEREF _Toc80380225 \h </w:instrText>
        </w:r>
        <w:r w:rsidR="008907E4">
          <w:rPr>
            <w:noProof/>
            <w:webHidden/>
          </w:rPr>
        </w:r>
        <w:r w:rsidR="008907E4">
          <w:rPr>
            <w:noProof/>
            <w:webHidden/>
          </w:rPr>
          <w:fldChar w:fldCharType="separate"/>
        </w:r>
        <w:r w:rsidR="00E86865">
          <w:rPr>
            <w:noProof/>
            <w:webHidden/>
          </w:rPr>
          <w:t>79</w:t>
        </w:r>
        <w:r w:rsidR="008907E4">
          <w:rPr>
            <w:noProof/>
            <w:webHidden/>
          </w:rPr>
          <w:fldChar w:fldCharType="end"/>
        </w:r>
      </w:hyperlink>
    </w:p>
    <w:p w14:paraId="7A80801E" w14:textId="5692EC78"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26" w:history="1">
        <w:r w:rsidR="008907E4" w:rsidRPr="008F3B72">
          <w:rPr>
            <w:rStyle w:val="Hyperlink"/>
            <w:noProof/>
          </w:rPr>
          <w:t>Figura 3: Topografia da Área do Projecto</w:t>
        </w:r>
        <w:r w:rsidR="008907E4">
          <w:rPr>
            <w:noProof/>
            <w:webHidden/>
          </w:rPr>
          <w:tab/>
        </w:r>
        <w:r w:rsidR="008907E4">
          <w:rPr>
            <w:noProof/>
            <w:webHidden/>
          </w:rPr>
          <w:fldChar w:fldCharType="begin"/>
        </w:r>
        <w:r w:rsidR="008907E4">
          <w:rPr>
            <w:noProof/>
            <w:webHidden/>
          </w:rPr>
          <w:instrText xml:space="preserve"> PAGEREF _Toc80380226 \h </w:instrText>
        </w:r>
        <w:r w:rsidR="008907E4">
          <w:rPr>
            <w:noProof/>
            <w:webHidden/>
          </w:rPr>
        </w:r>
        <w:r w:rsidR="008907E4">
          <w:rPr>
            <w:noProof/>
            <w:webHidden/>
          </w:rPr>
          <w:fldChar w:fldCharType="separate"/>
        </w:r>
        <w:r w:rsidR="00E86865">
          <w:rPr>
            <w:noProof/>
            <w:webHidden/>
          </w:rPr>
          <w:t>80</w:t>
        </w:r>
        <w:r w:rsidR="008907E4">
          <w:rPr>
            <w:noProof/>
            <w:webHidden/>
          </w:rPr>
          <w:fldChar w:fldCharType="end"/>
        </w:r>
      </w:hyperlink>
    </w:p>
    <w:p w14:paraId="2EBFFE5A" w14:textId="1D59B82B"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27" w:history="1">
        <w:r w:rsidR="008907E4" w:rsidRPr="008F3B72">
          <w:rPr>
            <w:rStyle w:val="Hyperlink"/>
            <w:noProof/>
          </w:rPr>
          <w:t>Figura 4: Diagrama de pluviosidade média por província (FAO, 2018)</w:t>
        </w:r>
        <w:r w:rsidR="008907E4">
          <w:rPr>
            <w:noProof/>
            <w:webHidden/>
          </w:rPr>
          <w:tab/>
        </w:r>
        <w:r w:rsidR="008907E4">
          <w:rPr>
            <w:noProof/>
            <w:webHidden/>
          </w:rPr>
          <w:fldChar w:fldCharType="begin"/>
        </w:r>
        <w:r w:rsidR="008907E4">
          <w:rPr>
            <w:noProof/>
            <w:webHidden/>
          </w:rPr>
          <w:instrText xml:space="preserve"> PAGEREF _Toc80380227 \h </w:instrText>
        </w:r>
        <w:r w:rsidR="008907E4">
          <w:rPr>
            <w:noProof/>
            <w:webHidden/>
          </w:rPr>
        </w:r>
        <w:r w:rsidR="008907E4">
          <w:rPr>
            <w:noProof/>
            <w:webHidden/>
          </w:rPr>
          <w:fldChar w:fldCharType="separate"/>
        </w:r>
        <w:r w:rsidR="00E86865">
          <w:rPr>
            <w:noProof/>
            <w:webHidden/>
          </w:rPr>
          <w:t>81</w:t>
        </w:r>
        <w:r w:rsidR="008907E4">
          <w:rPr>
            <w:noProof/>
            <w:webHidden/>
          </w:rPr>
          <w:fldChar w:fldCharType="end"/>
        </w:r>
      </w:hyperlink>
    </w:p>
    <w:p w14:paraId="168D9B7D" w14:textId="1CFA8E2E"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28" w:history="1">
        <w:r w:rsidR="008907E4" w:rsidRPr="008F3B72">
          <w:rPr>
            <w:rStyle w:val="Hyperlink"/>
            <w:noProof/>
          </w:rPr>
          <w:t>Figura 5: Tipo de Solos Característicos da Área de Abrangência do Projecto</w:t>
        </w:r>
        <w:r w:rsidR="008907E4">
          <w:rPr>
            <w:noProof/>
            <w:webHidden/>
          </w:rPr>
          <w:tab/>
        </w:r>
        <w:r w:rsidR="008907E4">
          <w:rPr>
            <w:noProof/>
            <w:webHidden/>
          </w:rPr>
          <w:fldChar w:fldCharType="begin"/>
        </w:r>
        <w:r w:rsidR="008907E4">
          <w:rPr>
            <w:noProof/>
            <w:webHidden/>
          </w:rPr>
          <w:instrText xml:space="preserve"> PAGEREF _Toc80380228 \h </w:instrText>
        </w:r>
        <w:r w:rsidR="008907E4">
          <w:rPr>
            <w:noProof/>
            <w:webHidden/>
          </w:rPr>
        </w:r>
        <w:r w:rsidR="008907E4">
          <w:rPr>
            <w:noProof/>
            <w:webHidden/>
          </w:rPr>
          <w:fldChar w:fldCharType="separate"/>
        </w:r>
        <w:r w:rsidR="00E86865">
          <w:rPr>
            <w:noProof/>
            <w:webHidden/>
          </w:rPr>
          <w:t>82</w:t>
        </w:r>
        <w:r w:rsidR="008907E4">
          <w:rPr>
            <w:noProof/>
            <w:webHidden/>
          </w:rPr>
          <w:fldChar w:fldCharType="end"/>
        </w:r>
      </w:hyperlink>
    </w:p>
    <w:p w14:paraId="5192C740" w14:textId="692425CB"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29" w:history="1">
        <w:r w:rsidR="008907E4" w:rsidRPr="008F3B72">
          <w:rPr>
            <w:rStyle w:val="Hyperlink"/>
            <w:noProof/>
          </w:rPr>
          <w:t>Figura 6: Categorização do Risco de Erosão</w:t>
        </w:r>
        <w:r w:rsidR="008907E4">
          <w:rPr>
            <w:noProof/>
            <w:webHidden/>
          </w:rPr>
          <w:tab/>
        </w:r>
        <w:r w:rsidR="008907E4">
          <w:rPr>
            <w:noProof/>
            <w:webHidden/>
          </w:rPr>
          <w:fldChar w:fldCharType="begin"/>
        </w:r>
        <w:r w:rsidR="008907E4">
          <w:rPr>
            <w:noProof/>
            <w:webHidden/>
          </w:rPr>
          <w:instrText xml:space="preserve"> PAGEREF _Toc80380229 \h </w:instrText>
        </w:r>
        <w:r w:rsidR="008907E4">
          <w:rPr>
            <w:noProof/>
            <w:webHidden/>
          </w:rPr>
        </w:r>
        <w:r w:rsidR="008907E4">
          <w:rPr>
            <w:noProof/>
            <w:webHidden/>
          </w:rPr>
          <w:fldChar w:fldCharType="separate"/>
        </w:r>
        <w:r w:rsidR="00E86865">
          <w:rPr>
            <w:noProof/>
            <w:webHidden/>
          </w:rPr>
          <w:t>83</w:t>
        </w:r>
        <w:r w:rsidR="008907E4">
          <w:rPr>
            <w:noProof/>
            <w:webHidden/>
          </w:rPr>
          <w:fldChar w:fldCharType="end"/>
        </w:r>
      </w:hyperlink>
    </w:p>
    <w:p w14:paraId="06F2CEFA" w14:textId="1B86CBCA"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30" w:history="1">
        <w:r w:rsidR="008907E4" w:rsidRPr="008F3B72">
          <w:rPr>
            <w:rStyle w:val="Hyperlink"/>
            <w:noProof/>
          </w:rPr>
          <w:t>figura 7: Distribuição das Principais Bacias Hidrográficas da Área do Projecto</w:t>
        </w:r>
        <w:r w:rsidR="008907E4">
          <w:rPr>
            <w:noProof/>
            <w:webHidden/>
          </w:rPr>
          <w:tab/>
        </w:r>
        <w:r w:rsidR="008907E4">
          <w:rPr>
            <w:noProof/>
            <w:webHidden/>
          </w:rPr>
          <w:fldChar w:fldCharType="begin"/>
        </w:r>
        <w:r w:rsidR="008907E4">
          <w:rPr>
            <w:noProof/>
            <w:webHidden/>
          </w:rPr>
          <w:instrText xml:space="preserve"> PAGEREF _Toc80380230 \h </w:instrText>
        </w:r>
        <w:r w:rsidR="008907E4">
          <w:rPr>
            <w:noProof/>
            <w:webHidden/>
          </w:rPr>
        </w:r>
        <w:r w:rsidR="008907E4">
          <w:rPr>
            <w:noProof/>
            <w:webHidden/>
          </w:rPr>
          <w:fldChar w:fldCharType="separate"/>
        </w:r>
        <w:r w:rsidR="00E86865">
          <w:rPr>
            <w:noProof/>
            <w:webHidden/>
          </w:rPr>
          <w:t>84</w:t>
        </w:r>
        <w:r w:rsidR="008907E4">
          <w:rPr>
            <w:noProof/>
            <w:webHidden/>
          </w:rPr>
          <w:fldChar w:fldCharType="end"/>
        </w:r>
      </w:hyperlink>
    </w:p>
    <w:p w14:paraId="2BFAEF70" w14:textId="65A79932"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31" w:history="1">
        <w:r w:rsidR="008907E4" w:rsidRPr="008F3B72">
          <w:rPr>
            <w:rStyle w:val="Hyperlink"/>
            <w:noProof/>
          </w:rPr>
          <w:t>Figura 8: Disponibilidade de Águas Subterrâneas nas áreas do Projecto</w:t>
        </w:r>
        <w:r w:rsidR="008907E4">
          <w:rPr>
            <w:noProof/>
            <w:webHidden/>
          </w:rPr>
          <w:tab/>
        </w:r>
        <w:r w:rsidR="008907E4">
          <w:rPr>
            <w:noProof/>
            <w:webHidden/>
          </w:rPr>
          <w:fldChar w:fldCharType="begin"/>
        </w:r>
        <w:r w:rsidR="008907E4">
          <w:rPr>
            <w:noProof/>
            <w:webHidden/>
          </w:rPr>
          <w:instrText xml:space="preserve"> PAGEREF _Toc80380231 \h </w:instrText>
        </w:r>
        <w:r w:rsidR="008907E4">
          <w:rPr>
            <w:noProof/>
            <w:webHidden/>
          </w:rPr>
        </w:r>
        <w:r w:rsidR="008907E4">
          <w:rPr>
            <w:noProof/>
            <w:webHidden/>
          </w:rPr>
          <w:fldChar w:fldCharType="separate"/>
        </w:r>
        <w:r w:rsidR="00E86865">
          <w:rPr>
            <w:noProof/>
            <w:webHidden/>
          </w:rPr>
          <w:t>85</w:t>
        </w:r>
        <w:r w:rsidR="008907E4">
          <w:rPr>
            <w:noProof/>
            <w:webHidden/>
          </w:rPr>
          <w:fldChar w:fldCharType="end"/>
        </w:r>
      </w:hyperlink>
    </w:p>
    <w:p w14:paraId="54C07261" w14:textId="3088DD4B"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32" w:history="1">
        <w:r w:rsidR="008907E4" w:rsidRPr="008F3B72">
          <w:rPr>
            <w:rStyle w:val="Hyperlink"/>
            <w:noProof/>
          </w:rPr>
          <w:t>Figura 9: Vulnerabilidade às Mudanças Climáticas</w:t>
        </w:r>
        <w:r w:rsidR="008907E4">
          <w:rPr>
            <w:noProof/>
            <w:webHidden/>
          </w:rPr>
          <w:tab/>
        </w:r>
        <w:r w:rsidR="008907E4">
          <w:rPr>
            <w:noProof/>
            <w:webHidden/>
          </w:rPr>
          <w:fldChar w:fldCharType="begin"/>
        </w:r>
        <w:r w:rsidR="008907E4">
          <w:rPr>
            <w:noProof/>
            <w:webHidden/>
          </w:rPr>
          <w:instrText xml:space="preserve"> PAGEREF _Toc80380232 \h </w:instrText>
        </w:r>
        <w:r w:rsidR="008907E4">
          <w:rPr>
            <w:noProof/>
            <w:webHidden/>
          </w:rPr>
        </w:r>
        <w:r w:rsidR="008907E4">
          <w:rPr>
            <w:noProof/>
            <w:webHidden/>
          </w:rPr>
          <w:fldChar w:fldCharType="separate"/>
        </w:r>
        <w:r w:rsidR="00E86865">
          <w:rPr>
            <w:noProof/>
            <w:webHidden/>
          </w:rPr>
          <w:t>86</w:t>
        </w:r>
        <w:r w:rsidR="008907E4">
          <w:rPr>
            <w:noProof/>
            <w:webHidden/>
          </w:rPr>
          <w:fldChar w:fldCharType="end"/>
        </w:r>
      </w:hyperlink>
    </w:p>
    <w:p w14:paraId="75F0D325" w14:textId="0B4A0337"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33" w:history="1">
        <w:r w:rsidR="008907E4" w:rsidRPr="008F3B72">
          <w:rPr>
            <w:rStyle w:val="Hyperlink"/>
            <w:noProof/>
          </w:rPr>
          <w:t>Figura 10: Uso e Ocupação da Terra na Área do Projecto</w:t>
        </w:r>
        <w:r w:rsidR="008907E4">
          <w:rPr>
            <w:noProof/>
            <w:webHidden/>
          </w:rPr>
          <w:tab/>
        </w:r>
        <w:r w:rsidR="008907E4">
          <w:rPr>
            <w:noProof/>
            <w:webHidden/>
          </w:rPr>
          <w:fldChar w:fldCharType="begin"/>
        </w:r>
        <w:r w:rsidR="008907E4">
          <w:rPr>
            <w:noProof/>
            <w:webHidden/>
          </w:rPr>
          <w:instrText xml:space="preserve"> PAGEREF _Toc80380233 \h </w:instrText>
        </w:r>
        <w:r w:rsidR="008907E4">
          <w:rPr>
            <w:noProof/>
            <w:webHidden/>
          </w:rPr>
        </w:r>
        <w:r w:rsidR="008907E4">
          <w:rPr>
            <w:noProof/>
            <w:webHidden/>
          </w:rPr>
          <w:fldChar w:fldCharType="separate"/>
        </w:r>
        <w:r w:rsidR="00E86865">
          <w:rPr>
            <w:noProof/>
            <w:webHidden/>
          </w:rPr>
          <w:t>87</w:t>
        </w:r>
        <w:r w:rsidR="008907E4">
          <w:rPr>
            <w:noProof/>
            <w:webHidden/>
          </w:rPr>
          <w:fldChar w:fldCharType="end"/>
        </w:r>
      </w:hyperlink>
    </w:p>
    <w:p w14:paraId="32E11F77" w14:textId="4D147817"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34" w:history="1">
        <w:r w:rsidR="008907E4" w:rsidRPr="008F3B72">
          <w:rPr>
            <w:rStyle w:val="Hyperlink"/>
            <w:noProof/>
          </w:rPr>
          <w:t>Figura 11:Distribuição dos habitats Críticos ou Chave</w:t>
        </w:r>
        <w:r w:rsidR="008907E4">
          <w:rPr>
            <w:noProof/>
            <w:webHidden/>
          </w:rPr>
          <w:tab/>
        </w:r>
        <w:r w:rsidR="008907E4">
          <w:rPr>
            <w:noProof/>
            <w:webHidden/>
          </w:rPr>
          <w:fldChar w:fldCharType="begin"/>
        </w:r>
        <w:r w:rsidR="008907E4">
          <w:rPr>
            <w:noProof/>
            <w:webHidden/>
          </w:rPr>
          <w:instrText xml:space="preserve"> PAGEREF _Toc80380234 \h </w:instrText>
        </w:r>
        <w:r w:rsidR="008907E4">
          <w:rPr>
            <w:noProof/>
            <w:webHidden/>
          </w:rPr>
        </w:r>
        <w:r w:rsidR="008907E4">
          <w:rPr>
            <w:noProof/>
            <w:webHidden/>
          </w:rPr>
          <w:fldChar w:fldCharType="separate"/>
        </w:r>
        <w:r w:rsidR="00E86865">
          <w:rPr>
            <w:noProof/>
            <w:webHidden/>
          </w:rPr>
          <w:t>88</w:t>
        </w:r>
        <w:r w:rsidR="008907E4">
          <w:rPr>
            <w:noProof/>
            <w:webHidden/>
          </w:rPr>
          <w:fldChar w:fldCharType="end"/>
        </w:r>
      </w:hyperlink>
    </w:p>
    <w:p w14:paraId="0180D6CD" w14:textId="6E5974CB"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35" w:history="1">
        <w:r w:rsidR="008907E4" w:rsidRPr="008F3B72">
          <w:rPr>
            <w:rStyle w:val="Hyperlink"/>
            <w:noProof/>
          </w:rPr>
          <w:t>Figura 12: Áreas de Conservação nas Áreas Abrangidas pelo Projecto ~</w:t>
        </w:r>
        <w:r w:rsidR="008907E4">
          <w:rPr>
            <w:noProof/>
            <w:webHidden/>
          </w:rPr>
          <w:tab/>
        </w:r>
        <w:r w:rsidR="008907E4">
          <w:rPr>
            <w:noProof/>
            <w:webHidden/>
          </w:rPr>
          <w:fldChar w:fldCharType="begin"/>
        </w:r>
        <w:r w:rsidR="008907E4">
          <w:rPr>
            <w:noProof/>
            <w:webHidden/>
          </w:rPr>
          <w:instrText xml:space="preserve"> PAGEREF _Toc80380235 \h </w:instrText>
        </w:r>
        <w:r w:rsidR="008907E4">
          <w:rPr>
            <w:noProof/>
            <w:webHidden/>
          </w:rPr>
        </w:r>
        <w:r w:rsidR="008907E4">
          <w:rPr>
            <w:noProof/>
            <w:webHidden/>
          </w:rPr>
          <w:fldChar w:fldCharType="separate"/>
        </w:r>
        <w:r w:rsidR="00E86865">
          <w:rPr>
            <w:noProof/>
            <w:webHidden/>
          </w:rPr>
          <w:t>89</w:t>
        </w:r>
        <w:r w:rsidR="008907E4">
          <w:rPr>
            <w:noProof/>
            <w:webHidden/>
          </w:rPr>
          <w:fldChar w:fldCharType="end"/>
        </w:r>
      </w:hyperlink>
    </w:p>
    <w:p w14:paraId="46BD1D49" w14:textId="6FD60258"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36" w:history="1">
        <w:r w:rsidR="008907E4" w:rsidRPr="008F3B72">
          <w:rPr>
            <w:rStyle w:val="Hyperlink"/>
            <w:noProof/>
          </w:rPr>
          <w:t>Figura 13: Distribuição de áreas de biodiversidade e áreas protegidas</w:t>
        </w:r>
        <w:r w:rsidR="008907E4">
          <w:rPr>
            <w:noProof/>
            <w:webHidden/>
          </w:rPr>
          <w:tab/>
        </w:r>
        <w:r w:rsidR="008907E4">
          <w:rPr>
            <w:noProof/>
            <w:webHidden/>
          </w:rPr>
          <w:fldChar w:fldCharType="begin"/>
        </w:r>
        <w:r w:rsidR="008907E4">
          <w:rPr>
            <w:noProof/>
            <w:webHidden/>
          </w:rPr>
          <w:instrText xml:space="preserve"> PAGEREF _Toc80380236 \h </w:instrText>
        </w:r>
        <w:r w:rsidR="008907E4">
          <w:rPr>
            <w:noProof/>
            <w:webHidden/>
          </w:rPr>
        </w:r>
        <w:r w:rsidR="008907E4">
          <w:rPr>
            <w:noProof/>
            <w:webHidden/>
          </w:rPr>
          <w:fldChar w:fldCharType="separate"/>
        </w:r>
        <w:r w:rsidR="00E86865">
          <w:rPr>
            <w:noProof/>
            <w:webHidden/>
          </w:rPr>
          <w:t>91</w:t>
        </w:r>
        <w:r w:rsidR="008907E4">
          <w:rPr>
            <w:noProof/>
            <w:webHidden/>
          </w:rPr>
          <w:fldChar w:fldCharType="end"/>
        </w:r>
      </w:hyperlink>
    </w:p>
    <w:p w14:paraId="601956CE" w14:textId="2ACE6691"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37" w:history="1">
        <w:r w:rsidR="008907E4" w:rsidRPr="008F3B72">
          <w:rPr>
            <w:rStyle w:val="Hyperlink"/>
            <w:noProof/>
          </w:rPr>
          <w:t>Figura 14: Variação do PIB nas Três (3) Regiões do País (INE,2015)</w:t>
        </w:r>
        <w:r w:rsidR="008907E4">
          <w:rPr>
            <w:noProof/>
            <w:webHidden/>
          </w:rPr>
          <w:tab/>
        </w:r>
        <w:r w:rsidR="008907E4">
          <w:rPr>
            <w:noProof/>
            <w:webHidden/>
          </w:rPr>
          <w:fldChar w:fldCharType="begin"/>
        </w:r>
        <w:r w:rsidR="008907E4">
          <w:rPr>
            <w:noProof/>
            <w:webHidden/>
          </w:rPr>
          <w:instrText xml:space="preserve"> PAGEREF _Toc80380237 \h </w:instrText>
        </w:r>
        <w:r w:rsidR="008907E4">
          <w:rPr>
            <w:noProof/>
            <w:webHidden/>
          </w:rPr>
        </w:r>
        <w:r w:rsidR="008907E4">
          <w:rPr>
            <w:noProof/>
            <w:webHidden/>
          </w:rPr>
          <w:fldChar w:fldCharType="separate"/>
        </w:r>
        <w:r w:rsidR="00E86865">
          <w:rPr>
            <w:noProof/>
            <w:webHidden/>
          </w:rPr>
          <w:t>93</w:t>
        </w:r>
        <w:r w:rsidR="008907E4">
          <w:rPr>
            <w:noProof/>
            <w:webHidden/>
          </w:rPr>
          <w:fldChar w:fldCharType="end"/>
        </w:r>
      </w:hyperlink>
    </w:p>
    <w:p w14:paraId="4724079C" w14:textId="0E93A62C"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38" w:history="1">
        <w:r w:rsidR="008907E4" w:rsidRPr="008F3B72">
          <w:rPr>
            <w:rStyle w:val="Hyperlink"/>
            <w:noProof/>
          </w:rPr>
          <w:t>Figura 15: Número médio de pessoas por agregado familiar</w:t>
        </w:r>
        <w:r w:rsidR="008907E4">
          <w:rPr>
            <w:noProof/>
            <w:webHidden/>
          </w:rPr>
          <w:tab/>
        </w:r>
        <w:r w:rsidR="008907E4">
          <w:rPr>
            <w:noProof/>
            <w:webHidden/>
          </w:rPr>
          <w:fldChar w:fldCharType="begin"/>
        </w:r>
        <w:r w:rsidR="008907E4">
          <w:rPr>
            <w:noProof/>
            <w:webHidden/>
          </w:rPr>
          <w:instrText xml:space="preserve"> PAGEREF _Toc80380238 \h </w:instrText>
        </w:r>
        <w:r w:rsidR="008907E4">
          <w:rPr>
            <w:noProof/>
            <w:webHidden/>
          </w:rPr>
        </w:r>
        <w:r w:rsidR="008907E4">
          <w:rPr>
            <w:noProof/>
            <w:webHidden/>
          </w:rPr>
          <w:fldChar w:fldCharType="separate"/>
        </w:r>
        <w:r w:rsidR="00E86865">
          <w:rPr>
            <w:noProof/>
            <w:webHidden/>
          </w:rPr>
          <w:t>96</w:t>
        </w:r>
        <w:r w:rsidR="008907E4">
          <w:rPr>
            <w:noProof/>
            <w:webHidden/>
          </w:rPr>
          <w:fldChar w:fldCharType="end"/>
        </w:r>
      </w:hyperlink>
    </w:p>
    <w:p w14:paraId="4C44BF4B" w14:textId="6A3A0DC1"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39" w:history="1">
        <w:r w:rsidR="008907E4" w:rsidRPr="008F3B72">
          <w:rPr>
            <w:rStyle w:val="Hyperlink"/>
            <w:noProof/>
          </w:rPr>
          <w:t>Figura 16: Pirâmide etária da população/sexo segundo grupo de idade (INE, 2019)</w:t>
        </w:r>
        <w:r w:rsidR="008907E4">
          <w:rPr>
            <w:noProof/>
            <w:webHidden/>
          </w:rPr>
          <w:tab/>
        </w:r>
        <w:r w:rsidR="008907E4">
          <w:rPr>
            <w:noProof/>
            <w:webHidden/>
          </w:rPr>
          <w:fldChar w:fldCharType="begin"/>
        </w:r>
        <w:r w:rsidR="008907E4">
          <w:rPr>
            <w:noProof/>
            <w:webHidden/>
          </w:rPr>
          <w:instrText xml:space="preserve"> PAGEREF _Toc80380239 \h </w:instrText>
        </w:r>
        <w:r w:rsidR="008907E4">
          <w:rPr>
            <w:noProof/>
            <w:webHidden/>
          </w:rPr>
        </w:r>
        <w:r w:rsidR="008907E4">
          <w:rPr>
            <w:noProof/>
            <w:webHidden/>
          </w:rPr>
          <w:fldChar w:fldCharType="separate"/>
        </w:r>
        <w:r w:rsidR="00E86865">
          <w:rPr>
            <w:noProof/>
            <w:webHidden/>
          </w:rPr>
          <w:t>96</w:t>
        </w:r>
        <w:r w:rsidR="008907E4">
          <w:rPr>
            <w:noProof/>
            <w:webHidden/>
          </w:rPr>
          <w:fldChar w:fldCharType="end"/>
        </w:r>
      </w:hyperlink>
    </w:p>
    <w:p w14:paraId="046B6F00" w14:textId="75EE8397"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40" w:history="1">
        <w:r w:rsidR="008907E4" w:rsidRPr="008F3B72">
          <w:rPr>
            <w:rStyle w:val="Hyperlink"/>
            <w:noProof/>
          </w:rPr>
          <w:t>Figura 17: Efectivos escolares do ensino privado 2015-2019</w:t>
        </w:r>
        <w:r w:rsidR="008907E4">
          <w:rPr>
            <w:noProof/>
            <w:webHidden/>
          </w:rPr>
          <w:tab/>
        </w:r>
        <w:r w:rsidR="008907E4">
          <w:rPr>
            <w:noProof/>
            <w:webHidden/>
          </w:rPr>
          <w:fldChar w:fldCharType="begin"/>
        </w:r>
        <w:r w:rsidR="008907E4">
          <w:rPr>
            <w:noProof/>
            <w:webHidden/>
          </w:rPr>
          <w:instrText xml:space="preserve"> PAGEREF _Toc80380240 \h </w:instrText>
        </w:r>
        <w:r w:rsidR="008907E4">
          <w:rPr>
            <w:noProof/>
            <w:webHidden/>
          </w:rPr>
        </w:r>
        <w:r w:rsidR="008907E4">
          <w:rPr>
            <w:noProof/>
            <w:webHidden/>
          </w:rPr>
          <w:fldChar w:fldCharType="separate"/>
        </w:r>
        <w:r w:rsidR="00E86865">
          <w:rPr>
            <w:noProof/>
            <w:webHidden/>
          </w:rPr>
          <w:t>97</w:t>
        </w:r>
        <w:r w:rsidR="008907E4">
          <w:rPr>
            <w:noProof/>
            <w:webHidden/>
          </w:rPr>
          <w:fldChar w:fldCharType="end"/>
        </w:r>
      </w:hyperlink>
    </w:p>
    <w:p w14:paraId="288E02CE" w14:textId="58112038"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41" w:history="1">
        <w:r w:rsidR="008907E4" w:rsidRPr="008F3B72">
          <w:rPr>
            <w:rStyle w:val="Hyperlink"/>
            <w:noProof/>
          </w:rPr>
          <w:t>Figura 18: Instituições envolvidas e a sua relação com o MOPHRH</w:t>
        </w:r>
        <w:r w:rsidR="008907E4">
          <w:rPr>
            <w:noProof/>
            <w:webHidden/>
          </w:rPr>
          <w:tab/>
        </w:r>
        <w:r w:rsidR="008907E4">
          <w:rPr>
            <w:noProof/>
            <w:webHidden/>
          </w:rPr>
          <w:fldChar w:fldCharType="begin"/>
        </w:r>
        <w:r w:rsidR="008907E4">
          <w:rPr>
            <w:noProof/>
            <w:webHidden/>
          </w:rPr>
          <w:instrText xml:space="preserve"> PAGEREF _Toc80380241 \h </w:instrText>
        </w:r>
        <w:r w:rsidR="008907E4">
          <w:rPr>
            <w:noProof/>
            <w:webHidden/>
          </w:rPr>
        </w:r>
        <w:r w:rsidR="008907E4">
          <w:rPr>
            <w:noProof/>
            <w:webHidden/>
          </w:rPr>
          <w:fldChar w:fldCharType="separate"/>
        </w:r>
        <w:r w:rsidR="00E86865">
          <w:rPr>
            <w:noProof/>
            <w:webHidden/>
          </w:rPr>
          <w:t>151</w:t>
        </w:r>
        <w:r w:rsidR="008907E4">
          <w:rPr>
            <w:noProof/>
            <w:webHidden/>
          </w:rPr>
          <w:fldChar w:fldCharType="end"/>
        </w:r>
      </w:hyperlink>
    </w:p>
    <w:p w14:paraId="6B0E6E54" w14:textId="137A5CA1"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42" w:history="1">
        <w:r w:rsidR="008907E4" w:rsidRPr="008F3B72">
          <w:rPr>
            <w:rStyle w:val="Hyperlink"/>
            <w:noProof/>
          </w:rPr>
          <w:t>Figura 19 : Instituições Envolvidas e a Coordenação Geral do Projecto</w:t>
        </w:r>
        <w:r w:rsidR="008907E4">
          <w:rPr>
            <w:noProof/>
            <w:webHidden/>
          </w:rPr>
          <w:tab/>
        </w:r>
        <w:r w:rsidR="008907E4">
          <w:rPr>
            <w:noProof/>
            <w:webHidden/>
          </w:rPr>
          <w:fldChar w:fldCharType="begin"/>
        </w:r>
        <w:r w:rsidR="008907E4">
          <w:rPr>
            <w:noProof/>
            <w:webHidden/>
          </w:rPr>
          <w:instrText xml:space="preserve"> PAGEREF _Toc80380242 \h </w:instrText>
        </w:r>
        <w:r w:rsidR="008907E4">
          <w:rPr>
            <w:noProof/>
            <w:webHidden/>
          </w:rPr>
        </w:r>
        <w:r w:rsidR="008907E4">
          <w:rPr>
            <w:noProof/>
            <w:webHidden/>
          </w:rPr>
          <w:fldChar w:fldCharType="separate"/>
        </w:r>
        <w:r w:rsidR="00E86865">
          <w:rPr>
            <w:noProof/>
            <w:webHidden/>
          </w:rPr>
          <w:t>155</w:t>
        </w:r>
        <w:r w:rsidR="008907E4">
          <w:rPr>
            <w:noProof/>
            <w:webHidden/>
          </w:rPr>
          <w:fldChar w:fldCharType="end"/>
        </w:r>
      </w:hyperlink>
    </w:p>
    <w:p w14:paraId="23AB7006" w14:textId="529E8CFC"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43" w:history="1">
        <w:r w:rsidR="008907E4" w:rsidRPr="008F3B72">
          <w:rPr>
            <w:rStyle w:val="Hyperlink"/>
            <w:noProof/>
          </w:rPr>
          <w:t>Figura 20: Estrutura de Projecto a nível da Província</w:t>
        </w:r>
        <w:r w:rsidR="008907E4">
          <w:rPr>
            <w:noProof/>
            <w:webHidden/>
          </w:rPr>
          <w:tab/>
        </w:r>
        <w:r w:rsidR="008907E4">
          <w:rPr>
            <w:noProof/>
            <w:webHidden/>
          </w:rPr>
          <w:fldChar w:fldCharType="begin"/>
        </w:r>
        <w:r w:rsidR="008907E4">
          <w:rPr>
            <w:noProof/>
            <w:webHidden/>
          </w:rPr>
          <w:instrText xml:space="preserve"> PAGEREF _Toc80380243 \h </w:instrText>
        </w:r>
        <w:r w:rsidR="008907E4">
          <w:rPr>
            <w:noProof/>
            <w:webHidden/>
          </w:rPr>
        </w:r>
        <w:r w:rsidR="008907E4">
          <w:rPr>
            <w:noProof/>
            <w:webHidden/>
          </w:rPr>
          <w:fldChar w:fldCharType="separate"/>
        </w:r>
        <w:r w:rsidR="00E86865">
          <w:rPr>
            <w:noProof/>
            <w:webHidden/>
          </w:rPr>
          <w:t>156</w:t>
        </w:r>
        <w:r w:rsidR="008907E4">
          <w:rPr>
            <w:noProof/>
            <w:webHidden/>
          </w:rPr>
          <w:fldChar w:fldCharType="end"/>
        </w:r>
      </w:hyperlink>
    </w:p>
    <w:p w14:paraId="02F5520D" w14:textId="09CF2A6D"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44" w:history="1">
        <w:r w:rsidR="008907E4" w:rsidRPr="008F3B72">
          <w:rPr>
            <w:rStyle w:val="Hyperlink"/>
            <w:noProof/>
          </w:rPr>
          <w:t>Figura 21: Estrutura organizacional para Gestão de Riscos Ambientais e Social existente vs. Estrutura Proposta</w:t>
        </w:r>
        <w:r w:rsidR="008907E4">
          <w:rPr>
            <w:noProof/>
            <w:webHidden/>
          </w:rPr>
          <w:tab/>
        </w:r>
        <w:r w:rsidR="008907E4">
          <w:rPr>
            <w:noProof/>
            <w:webHidden/>
          </w:rPr>
          <w:fldChar w:fldCharType="begin"/>
        </w:r>
        <w:r w:rsidR="008907E4">
          <w:rPr>
            <w:noProof/>
            <w:webHidden/>
          </w:rPr>
          <w:instrText xml:space="preserve"> PAGEREF _Toc80380244 \h </w:instrText>
        </w:r>
        <w:r w:rsidR="008907E4">
          <w:rPr>
            <w:noProof/>
            <w:webHidden/>
          </w:rPr>
        </w:r>
        <w:r w:rsidR="008907E4">
          <w:rPr>
            <w:noProof/>
            <w:webHidden/>
          </w:rPr>
          <w:fldChar w:fldCharType="separate"/>
        </w:r>
        <w:r w:rsidR="00E86865">
          <w:rPr>
            <w:noProof/>
            <w:webHidden/>
          </w:rPr>
          <w:t>160</w:t>
        </w:r>
        <w:r w:rsidR="008907E4">
          <w:rPr>
            <w:noProof/>
            <w:webHidden/>
          </w:rPr>
          <w:fldChar w:fldCharType="end"/>
        </w:r>
      </w:hyperlink>
    </w:p>
    <w:p w14:paraId="18597539" w14:textId="4D70B7E2"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45" w:history="1">
        <w:r w:rsidR="008907E4" w:rsidRPr="008F3B72">
          <w:rPr>
            <w:rStyle w:val="Hyperlink"/>
            <w:noProof/>
          </w:rPr>
          <w:t>Figura 22: Fluxograma de Processo de Avaliação Ambiental ajustado ao Projecto</w:t>
        </w:r>
        <w:r w:rsidR="008907E4">
          <w:rPr>
            <w:noProof/>
            <w:webHidden/>
          </w:rPr>
          <w:tab/>
        </w:r>
        <w:r w:rsidR="008907E4">
          <w:rPr>
            <w:noProof/>
            <w:webHidden/>
          </w:rPr>
          <w:fldChar w:fldCharType="begin"/>
        </w:r>
        <w:r w:rsidR="008907E4">
          <w:rPr>
            <w:noProof/>
            <w:webHidden/>
          </w:rPr>
          <w:instrText xml:space="preserve"> PAGEREF _Toc80380245 \h </w:instrText>
        </w:r>
        <w:r w:rsidR="008907E4">
          <w:rPr>
            <w:noProof/>
            <w:webHidden/>
          </w:rPr>
        </w:r>
        <w:r w:rsidR="008907E4">
          <w:rPr>
            <w:noProof/>
            <w:webHidden/>
          </w:rPr>
          <w:fldChar w:fldCharType="separate"/>
        </w:r>
        <w:r w:rsidR="00E86865">
          <w:rPr>
            <w:noProof/>
            <w:webHidden/>
          </w:rPr>
          <w:t>169</w:t>
        </w:r>
        <w:r w:rsidR="008907E4">
          <w:rPr>
            <w:noProof/>
            <w:webHidden/>
          </w:rPr>
          <w:fldChar w:fldCharType="end"/>
        </w:r>
      </w:hyperlink>
    </w:p>
    <w:p w14:paraId="3AF2BD8A" w14:textId="09A1CE0C"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46" w:history="1">
        <w:r w:rsidR="008907E4" w:rsidRPr="008F3B72">
          <w:rPr>
            <w:rStyle w:val="Hyperlink"/>
            <w:noProof/>
          </w:rPr>
          <w:t>Figura 23: Fluxograma do MQR</w:t>
        </w:r>
        <w:r w:rsidR="008907E4">
          <w:rPr>
            <w:noProof/>
            <w:webHidden/>
          </w:rPr>
          <w:tab/>
        </w:r>
        <w:r w:rsidR="008907E4">
          <w:rPr>
            <w:noProof/>
            <w:webHidden/>
          </w:rPr>
          <w:fldChar w:fldCharType="begin"/>
        </w:r>
        <w:r w:rsidR="008907E4">
          <w:rPr>
            <w:noProof/>
            <w:webHidden/>
          </w:rPr>
          <w:instrText xml:space="preserve"> PAGEREF _Toc80380246 \h </w:instrText>
        </w:r>
        <w:r w:rsidR="008907E4">
          <w:rPr>
            <w:noProof/>
            <w:webHidden/>
          </w:rPr>
        </w:r>
        <w:r w:rsidR="008907E4">
          <w:rPr>
            <w:noProof/>
            <w:webHidden/>
          </w:rPr>
          <w:fldChar w:fldCharType="separate"/>
        </w:r>
        <w:r w:rsidR="00E86865">
          <w:rPr>
            <w:noProof/>
            <w:webHidden/>
          </w:rPr>
          <w:t>187</w:t>
        </w:r>
        <w:r w:rsidR="008907E4">
          <w:rPr>
            <w:noProof/>
            <w:webHidden/>
          </w:rPr>
          <w:fldChar w:fldCharType="end"/>
        </w:r>
      </w:hyperlink>
    </w:p>
    <w:p w14:paraId="0D5E1999" w14:textId="7449A8E1" w:rsidR="008907E4" w:rsidRDefault="008907E4" w:rsidP="00E14ED4">
      <w:pPr>
        <w:pStyle w:val="TableofFigures"/>
        <w:tabs>
          <w:tab w:val="right" w:leader="dot" w:pos="8009"/>
        </w:tabs>
        <w:spacing w:before="0"/>
        <w:rPr>
          <w:rFonts w:asciiTheme="minorHAnsi" w:eastAsiaTheme="minorEastAsia" w:hAnsiTheme="minorHAnsi"/>
          <w:noProof/>
          <w:lang w:val="en-US"/>
        </w:rPr>
      </w:pPr>
    </w:p>
    <w:p w14:paraId="1418406B" w14:textId="77777777" w:rsidR="000D7B05" w:rsidRDefault="009F6136" w:rsidP="00E14ED4">
      <w:pPr>
        <w:spacing w:before="0" w:after="0"/>
        <w:rPr>
          <w:rFonts w:cs="Arial"/>
          <w:bCs/>
          <w:sz w:val="32"/>
          <w:szCs w:val="32"/>
          <w:lang w:val="pt-PT"/>
        </w:rPr>
      </w:pPr>
      <w:r w:rsidRPr="00292532">
        <w:rPr>
          <w:rFonts w:cs="Arial"/>
          <w:bCs/>
          <w:sz w:val="32"/>
          <w:szCs w:val="32"/>
          <w:lang w:val="pt-PT"/>
        </w:rPr>
        <w:fldChar w:fldCharType="end"/>
      </w:r>
    </w:p>
    <w:p w14:paraId="275704B1" w14:textId="64541A97" w:rsidR="00E0458C" w:rsidRPr="00292532" w:rsidRDefault="00E1170B" w:rsidP="00E14ED4">
      <w:pPr>
        <w:spacing w:before="0" w:after="0"/>
        <w:rPr>
          <w:rFonts w:cs="Arial"/>
          <w:bCs/>
          <w:sz w:val="32"/>
          <w:szCs w:val="32"/>
          <w:lang w:val="pt-PT"/>
        </w:rPr>
      </w:pPr>
      <w:r w:rsidRPr="00292532">
        <w:rPr>
          <w:rFonts w:cs="Arial"/>
          <w:bCs/>
          <w:sz w:val="32"/>
          <w:szCs w:val="32"/>
          <w:lang w:val="pt-PT"/>
        </w:rPr>
        <w:t>Lista de Tabelas</w:t>
      </w:r>
    </w:p>
    <w:p w14:paraId="4CB3CDA2" w14:textId="67CD04DC" w:rsidR="008907E4" w:rsidRDefault="000D7B05" w:rsidP="00E14ED4">
      <w:pPr>
        <w:pStyle w:val="TableofFigures"/>
        <w:tabs>
          <w:tab w:val="right" w:leader="dot" w:pos="8009"/>
        </w:tabs>
        <w:spacing w:before="0"/>
        <w:rPr>
          <w:rFonts w:asciiTheme="minorHAnsi" w:eastAsiaTheme="minorEastAsia" w:hAnsiTheme="minorHAnsi"/>
          <w:noProof/>
          <w:lang w:val="en-US"/>
        </w:rPr>
      </w:pPr>
      <w:r>
        <w:rPr>
          <w:rFonts w:cs="Arial"/>
          <w:bCs/>
          <w:lang w:val="pt-PT"/>
        </w:rPr>
        <w:fldChar w:fldCharType="begin"/>
      </w:r>
      <w:r>
        <w:rPr>
          <w:rFonts w:cs="Arial"/>
          <w:bCs/>
          <w:lang w:val="pt-PT"/>
        </w:rPr>
        <w:instrText xml:space="preserve"> TOC \h \z \c "Tabela" </w:instrText>
      </w:r>
      <w:r>
        <w:rPr>
          <w:rFonts w:cs="Arial"/>
          <w:bCs/>
          <w:lang w:val="pt-PT"/>
        </w:rPr>
        <w:fldChar w:fldCharType="separate"/>
      </w:r>
      <w:hyperlink w:anchor="_Toc80380248" w:history="1">
        <w:r w:rsidR="008907E4" w:rsidRPr="000A5DD0">
          <w:rPr>
            <w:rStyle w:val="Hyperlink"/>
            <w:noProof/>
          </w:rPr>
          <w:t>Tabela 1: Vilas e Cidades Abrangidas pela Componente 1 na Província de Nampula</w:t>
        </w:r>
        <w:r w:rsidR="008907E4">
          <w:rPr>
            <w:noProof/>
            <w:webHidden/>
          </w:rPr>
          <w:tab/>
        </w:r>
        <w:r w:rsidR="008907E4">
          <w:rPr>
            <w:noProof/>
            <w:webHidden/>
          </w:rPr>
          <w:fldChar w:fldCharType="begin"/>
        </w:r>
        <w:r w:rsidR="008907E4">
          <w:rPr>
            <w:noProof/>
            <w:webHidden/>
          </w:rPr>
          <w:instrText xml:space="preserve"> PAGEREF _Toc80380248 \h </w:instrText>
        </w:r>
        <w:r w:rsidR="008907E4">
          <w:rPr>
            <w:noProof/>
            <w:webHidden/>
          </w:rPr>
        </w:r>
        <w:r w:rsidR="008907E4">
          <w:rPr>
            <w:noProof/>
            <w:webHidden/>
          </w:rPr>
          <w:fldChar w:fldCharType="separate"/>
        </w:r>
        <w:r w:rsidR="00E86865">
          <w:rPr>
            <w:noProof/>
            <w:webHidden/>
          </w:rPr>
          <w:t>36</w:t>
        </w:r>
        <w:r w:rsidR="008907E4">
          <w:rPr>
            <w:noProof/>
            <w:webHidden/>
          </w:rPr>
          <w:fldChar w:fldCharType="end"/>
        </w:r>
      </w:hyperlink>
    </w:p>
    <w:p w14:paraId="28E4AE39" w14:textId="068925CC"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49" w:history="1">
        <w:r w:rsidR="008907E4" w:rsidRPr="000A5DD0">
          <w:rPr>
            <w:rStyle w:val="Hyperlink"/>
            <w:noProof/>
          </w:rPr>
          <w:t xml:space="preserve">Tabela 2: Vilas e Cidades Abrangidas pela Componente 1 na Província da Zambézia </w:t>
        </w:r>
        <w:r w:rsidR="008907E4">
          <w:rPr>
            <w:noProof/>
            <w:webHidden/>
          </w:rPr>
          <w:tab/>
        </w:r>
        <w:r w:rsidR="008907E4">
          <w:rPr>
            <w:noProof/>
            <w:webHidden/>
          </w:rPr>
          <w:fldChar w:fldCharType="begin"/>
        </w:r>
        <w:r w:rsidR="008907E4">
          <w:rPr>
            <w:noProof/>
            <w:webHidden/>
          </w:rPr>
          <w:instrText xml:space="preserve"> PAGEREF _Toc80380249 \h </w:instrText>
        </w:r>
        <w:r w:rsidR="008907E4">
          <w:rPr>
            <w:noProof/>
            <w:webHidden/>
          </w:rPr>
        </w:r>
        <w:r w:rsidR="008907E4">
          <w:rPr>
            <w:noProof/>
            <w:webHidden/>
          </w:rPr>
          <w:fldChar w:fldCharType="separate"/>
        </w:r>
        <w:r w:rsidR="00E86865">
          <w:rPr>
            <w:noProof/>
            <w:webHidden/>
          </w:rPr>
          <w:t>37</w:t>
        </w:r>
        <w:r w:rsidR="008907E4">
          <w:rPr>
            <w:noProof/>
            <w:webHidden/>
          </w:rPr>
          <w:fldChar w:fldCharType="end"/>
        </w:r>
      </w:hyperlink>
    </w:p>
    <w:p w14:paraId="67FC8989" w14:textId="5BFBB496"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50" w:history="1">
        <w:r w:rsidR="008907E4" w:rsidRPr="000A5DD0">
          <w:rPr>
            <w:rStyle w:val="Hyperlink"/>
            <w:noProof/>
          </w:rPr>
          <w:t>Tabela 3: Locais de Abrangidos pela Componente 2 na Província de Nampula</w:t>
        </w:r>
        <w:r w:rsidR="008907E4">
          <w:rPr>
            <w:noProof/>
            <w:webHidden/>
          </w:rPr>
          <w:tab/>
        </w:r>
        <w:r w:rsidR="008907E4">
          <w:rPr>
            <w:noProof/>
            <w:webHidden/>
          </w:rPr>
          <w:fldChar w:fldCharType="begin"/>
        </w:r>
        <w:r w:rsidR="008907E4">
          <w:rPr>
            <w:noProof/>
            <w:webHidden/>
          </w:rPr>
          <w:instrText xml:space="preserve"> PAGEREF _Toc80380250 \h </w:instrText>
        </w:r>
        <w:r w:rsidR="008907E4">
          <w:rPr>
            <w:noProof/>
            <w:webHidden/>
          </w:rPr>
        </w:r>
        <w:r w:rsidR="008907E4">
          <w:rPr>
            <w:noProof/>
            <w:webHidden/>
          </w:rPr>
          <w:fldChar w:fldCharType="separate"/>
        </w:r>
        <w:r w:rsidR="00E86865">
          <w:rPr>
            <w:noProof/>
            <w:webHidden/>
          </w:rPr>
          <w:t>37</w:t>
        </w:r>
        <w:r w:rsidR="008907E4">
          <w:rPr>
            <w:noProof/>
            <w:webHidden/>
          </w:rPr>
          <w:fldChar w:fldCharType="end"/>
        </w:r>
      </w:hyperlink>
    </w:p>
    <w:p w14:paraId="5E353BE3" w14:textId="7CAE3143"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51" w:history="1">
        <w:r w:rsidR="008907E4" w:rsidRPr="000A5DD0">
          <w:rPr>
            <w:rStyle w:val="Hyperlink"/>
            <w:noProof/>
          </w:rPr>
          <w:t>Tabela 4: Locais de Abrangidos pela Componente 2 na Província da Zambézia</w:t>
        </w:r>
        <w:r w:rsidR="008907E4">
          <w:rPr>
            <w:noProof/>
            <w:webHidden/>
          </w:rPr>
          <w:tab/>
        </w:r>
        <w:r w:rsidR="008907E4">
          <w:rPr>
            <w:noProof/>
            <w:webHidden/>
          </w:rPr>
          <w:fldChar w:fldCharType="begin"/>
        </w:r>
        <w:r w:rsidR="008907E4">
          <w:rPr>
            <w:noProof/>
            <w:webHidden/>
          </w:rPr>
          <w:instrText xml:space="preserve"> PAGEREF _Toc80380251 \h </w:instrText>
        </w:r>
        <w:r w:rsidR="008907E4">
          <w:rPr>
            <w:noProof/>
            <w:webHidden/>
          </w:rPr>
        </w:r>
        <w:r w:rsidR="008907E4">
          <w:rPr>
            <w:noProof/>
            <w:webHidden/>
          </w:rPr>
          <w:fldChar w:fldCharType="separate"/>
        </w:r>
        <w:r w:rsidR="00E86865">
          <w:rPr>
            <w:noProof/>
            <w:webHidden/>
          </w:rPr>
          <w:t>39</w:t>
        </w:r>
        <w:r w:rsidR="008907E4">
          <w:rPr>
            <w:noProof/>
            <w:webHidden/>
          </w:rPr>
          <w:fldChar w:fldCharType="end"/>
        </w:r>
      </w:hyperlink>
    </w:p>
    <w:p w14:paraId="3B475B9E" w14:textId="19729E09"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52" w:history="1">
        <w:r w:rsidR="008907E4" w:rsidRPr="000A5DD0">
          <w:rPr>
            <w:rStyle w:val="Hyperlink"/>
            <w:noProof/>
          </w:rPr>
          <w:t xml:space="preserve">Tabela 5: Abrangência Territorial do Projecto </w:t>
        </w:r>
        <w:r w:rsidR="008907E4">
          <w:rPr>
            <w:noProof/>
            <w:webHidden/>
          </w:rPr>
          <w:tab/>
        </w:r>
        <w:r w:rsidR="008907E4">
          <w:rPr>
            <w:noProof/>
            <w:webHidden/>
          </w:rPr>
          <w:fldChar w:fldCharType="begin"/>
        </w:r>
        <w:r w:rsidR="008907E4">
          <w:rPr>
            <w:noProof/>
            <w:webHidden/>
          </w:rPr>
          <w:instrText xml:space="preserve"> PAGEREF _Toc80380252 \h </w:instrText>
        </w:r>
        <w:r w:rsidR="008907E4">
          <w:rPr>
            <w:noProof/>
            <w:webHidden/>
          </w:rPr>
        </w:r>
        <w:r w:rsidR="008907E4">
          <w:rPr>
            <w:noProof/>
            <w:webHidden/>
          </w:rPr>
          <w:fldChar w:fldCharType="separate"/>
        </w:r>
        <w:r w:rsidR="00E86865">
          <w:rPr>
            <w:noProof/>
            <w:webHidden/>
          </w:rPr>
          <w:t>42</w:t>
        </w:r>
        <w:r w:rsidR="008907E4">
          <w:rPr>
            <w:noProof/>
            <w:webHidden/>
          </w:rPr>
          <w:fldChar w:fldCharType="end"/>
        </w:r>
      </w:hyperlink>
    </w:p>
    <w:p w14:paraId="3B92824F" w14:textId="110D0997"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53" w:history="1">
        <w:r w:rsidR="008907E4" w:rsidRPr="000A5DD0">
          <w:rPr>
            <w:rStyle w:val="Hyperlink"/>
            <w:noProof/>
          </w:rPr>
          <w:t>Tabela 6 Legislação Aplicável ao Projecto</w:t>
        </w:r>
        <w:r w:rsidR="008907E4">
          <w:rPr>
            <w:noProof/>
            <w:webHidden/>
          </w:rPr>
          <w:tab/>
        </w:r>
        <w:r w:rsidR="008907E4">
          <w:rPr>
            <w:noProof/>
            <w:webHidden/>
          </w:rPr>
          <w:fldChar w:fldCharType="begin"/>
        </w:r>
        <w:r w:rsidR="008907E4">
          <w:rPr>
            <w:noProof/>
            <w:webHidden/>
          </w:rPr>
          <w:instrText xml:space="preserve"> PAGEREF _Toc80380253 \h </w:instrText>
        </w:r>
        <w:r w:rsidR="008907E4">
          <w:rPr>
            <w:noProof/>
            <w:webHidden/>
          </w:rPr>
        </w:r>
        <w:r w:rsidR="008907E4">
          <w:rPr>
            <w:noProof/>
            <w:webHidden/>
          </w:rPr>
          <w:fldChar w:fldCharType="separate"/>
        </w:r>
        <w:r w:rsidR="00E86865">
          <w:rPr>
            <w:noProof/>
            <w:webHidden/>
          </w:rPr>
          <w:t>45</w:t>
        </w:r>
        <w:r w:rsidR="008907E4">
          <w:rPr>
            <w:noProof/>
            <w:webHidden/>
          </w:rPr>
          <w:fldChar w:fldCharType="end"/>
        </w:r>
      </w:hyperlink>
    </w:p>
    <w:p w14:paraId="7E9DD63B" w14:textId="11728184"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54" w:history="1">
        <w:r w:rsidR="008907E4" w:rsidRPr="000A5DD0">
          <w:rPr>
            <w:rStyle w:val="Hyperlink"/>
            <w:noProof/>
          </w:rPr>
          <w:t>Tabela 7: convenções Internacionais Ratificadas por Moçambique e Aplicáveis ao Projecto</w:t>
        </w:r>
        <w:r w:rsidR="008907E4">
          <w:rPr>
            <w:noProof/>
            <w:webHidden/>
          </w:rPr>
          <w:tab/>
        </w:r>
        <w:r w:rsidR="008907E4">
          <w:rPr>
            <w:noProof/>
            <w:webHidden/>
          </w:rPr>
          <w:fldChar w:fldCharType="begin"/>
        </w:r>
        <w:r w:rsidR="008907E4">
          <w:rPr>
            <w:noProof/>
            <w:webHidden/>
          </w:rPr>
          <w:instrText xml:space="preserve"> PAGEREF _Toc80380254 \h </w:instrText>
        </w:r>
        <w:r w:rsidR="008907E4">
          <w:rPr>
            <w:noProof/>
            <w:webHidden/>
          </w:rPr>
        </w:r>
        <w:r w:rsidR="008907E4">
          <w:rPr>
            <w:noProof/>
            <w:webHidden/>
          </w:rPr>
          <w:fldChar w:fldCharType="separate"/>
        </w:r>
        <w:r w:rsidR="00E86865">
          <w:rPr>
            <w:noProof/>
            <w:webHidden/>
          </w:rPr>
          <w:t>56</w:t>
        </w:r>
        <w:r w:rsidR="008907E4">
          <w:rPr>
            <w:noProof/>
            <w:webHidden/>
          </w:rPr>
          <w:fldChar w:fldCharType="end"/>
        </w:r>
      </w:hyperlink>
    </w:p>
    <w:p w14:paraId="083084DB" w14:textId="32A5D8F4"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55" w:history="1">
        <w:r w:rsidR="008907E4" w:rsidRPr="000A5DD0">
          <w:rPr>
            <w:rStyle w:val="Hyperlink"/>
            <w:noProof/>
          </w:rPr>
          <w:t>Tabela 8: Quadro comparativo entre a legislação moçambicana relevante para o Projecto e as normas do Banco Mundial</w:t>
        </w:r>
        <w:r w:rsidR="008907E4">
          <w:rPr>
            <w:noProof/>
            <w:webHidden/>
          </w:rPr>
          <w:tab/>
        </w:r>
        <w:r w:rsidR="008907E4">
          <w:rPr>
            <w:noProof/>
            <w:webHidden/>
          </w:rPr>
          <w:fldChar w:fldCharType="begin"/>
        </w:r>
        <w:r w:rsidR="008907E4">
          <w:rPr>
            <w:noProof/>
            <w:webHidden/>
          </w:rPr>
          <w:instrText xml:space="preserve"> PAGEREF _Toc80380255 \h </w:instrText>
        </w:r>
        <w:r w:rsidR="008907E4">
          <w:rPr>
            <w:noProof/>
            <w:webHidden/>
          </w:rPr>
        </w:r>
        <w:r w:rsidR="008907E4">
          <w:rPr>
            <w:noProof/>
            <w:webHidden/>
          </w:rPr>
          <w:fldChar w:fldCharType="separate"/>
        </w:r>
        <w:r w:rsidR="00E86865">
          <w:rPr>
            <w:noProof/>
            <w:webHidden/>
          </w:rPr>
          <w:t>63</w:t>
        </w:r>
        <w:r w:rsidR="008907E4">
          <w:rPr>
            <w:noProof/>
            <w:webHidden/>
          </w:rPr>
          <w:fldChar w:fldCharType="end"/>
        </w:r>
      </w:hyperlink>
    </w:p>
    <w:p w14:paraId="48657CEE" w14:textId="120746E0"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56" w:history="1">
        <w:r w:rsidR="008907E4" w:rsidRPr="000A5DD0">
          <w:rPr>
            <w:rStyle w:val="Hyperlink"/>
            <w:noProof/>
          </w:rPr>
          <w:t>Tabela 9: Áreas de Conservação, Protegidas e Reservas Florestais na Área do Projecto</w:t>
        </w:r>
        <w:r w:rsidR="008907E4">
          <w:rPr>
            <w:noProof/>
            <w:webHidden/>
          </w:rPr>
          <w:tab/>
        </w:r>
        <w:r w:rsidR="008907E4">
          <w:rPr>
            <w:noProof/>
            <w:webHidden/>
          </w:rPr>
          <w:fldChar w:fldCharType="begin"/>
        </w:r>
        <w:r w:rsidR="008907E4">
          <w:rPr>
            <w:noProof/>
            <w:webHidden/>
          </w:rPr>
          <w:instrText xml:space="preserve"> PAGEREF _Toc80380256 \h </w:instrText>
        </w:r>
        <w:r w:rsidR="008907E4">
          <w:rPr>
            <w:noProof/>
            <w:webHidden/>
          </w:rPr>
        </w:r>
        <w:r w:rsidR="008907E4">
          <w:rPr>
            <w:noProof/>
            <w:webHidden/>
          </w:rPr>
          <w:fldChar w:fldCharType="separate"/>
        </w:r>
        <w:r w:rsidR="00E86865">
          <w:rPr>
            <w:noProof/>
            <w:webHidden/>
          </w:rPr>
          <w:t>88</w:t>
        </w:r>
        <w:r w:rsidR="008907E4">
          <w:rPr>
            <w:noProof/>
            <w:webHidden/>
          </w:rPr>
          <w:fldChar w:fldCharType="end"/>
        </w:r>
      </w:hyperlink>
    </w:p>
    <w:p w14:paraId="78769937" w14:textId="44F9491B"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57" w:history="1">
        <w:r w:rsidR="008907E4" w:rsidRPr="000A5DD0">
          <w:rPr>
            <w:rStyle w:val="Hyperlink"/>
            <w:noProof/>
          </w:rPr>
          <w:t>Tabela 10: Distribuição da População nas Regiões Centro e Norte (INE, 2017)</w:t>
        </w:r>
        <w:r w:rsidR="008907E4">
          <w:rPr>
            <w:noProof/>
            <w:webHidden/>
          </w:rPr>
          <w:tab/>
        </w:r>
        <w:r w:rsidR="008907E4">
          <w:rPr>
            <w:noProof/>
            <w:webHidden/>
          </w:rPr>
          <w:fldChar w:fldCharType="begin"/>
        </w:r>
        <w:r w:rsidR="008907E4">
          <w:rPr>
            <w:noProof/>
            <w:webHidden/>
          </w:rPr>
          <w:instrText xml:space="preserve"> PAGEREF _Toc80380257 \h </w:instrText>
        </w:r>
        <w:r w:rsidR="008907E4">
          <w:rPr>
            <w:noProof/>
            <w:webHidden/>
          </w:rPr>
        </w:r>
        <w:r w:rsidR="008907E4">
          <w:rPr>
            <w:noProof/>
            <w:webHidden/>
          </w:rPr>
          <w:fldChar w:fldCharType="separate"/>
        </w:r>
        <w:r w:rsidR="00E86865">
          <w:rPr>
            <w:noProof/>
            <w:webHidden/>
          </w:rPr>
          <w:t>91</w:t>
        </w:r>
        <w:r w:rsidR="008907E4">
          <w:rPr>
            <w:noProof/>
            <w:webHidden/>
          </w:rPr>
          <w:fldChar w:fldCharType="end"/>
        </w:r>
      </w:hyperlink>
    </w:p>
    <w:p w14:paraId="78E0BC40" w14:textId="7975C377"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58" w:history="1">
        <w:r w:rsidR="008907E4" w:rsidRPr="000A5DD0">
          <w:rPr>
            <w:rStyle w:val="Hyperlink"/>
            <w:noProof/>
          </w:rPr>
          <w:t xml:space="preserve">Tabela 11: </w:t>
        </w:r>
        <w:r w:rsidR="008907E4" w:rsidRPr="000A5DD0">
          <w:rPr>
            <w:rStyle w:val="Hyperlink"/>
            <w:rFonts w:cstheme="minorHAnsi"/>
            <w:noProof/>
          </w:rPr>
          <w:t>Índice de desenvolvimento humano</w:t>
        </w:r>
        <w:r w:rsidR="008907E4">
          <w:rPr>
            <w:noProof/>
            <w:webHidden/>
          </w:rPr>
          <w:tab/>
        </w:r>
        <w:r w:rsidR="008907E4">
          <w:rPr>
            <w:noProof/>
            <w:webHidden/>
          </w:rPr>
          <w:fldChar w:fldCharType="begin"/>
        </w:r>
        <w:r w:rsidR="008907E4">
          <w:rPr>
            <w:noProof/>
            <w:webHidden/>
          </w:rPr>
          <w:instrText xml:space="preserve"> PAGEREF _Toc80380258 \h </w:instrText>
        </w:r>
        <w:r w:rsidR="008907E4">
          <w:rPr>
            <w:noProof/>
            <w:webHidden/>
          </w:rPr>
        </w:r>
        <w:r w:rsidR="008907E4">
          <w:rPr>
            <w:noProof/>
            <w:webHidden/>
          </w:rPr>
          <w:fldChar w:fldCharType="separate"/>
        </w:r>
        <w:r w:rsidR="00E86865">
          <w:rPr>
            <w:noProof/>
            <w:webHidden/>
          </w:rPr>
          <w:t>93</w:t>
        </w:r>
        <w:r w:rsidR="008907E4">
          <w:rPr>
            <w:noProof/>
            <w:webHidden/>
          </w:rPr>
          <w:fldChar w:fldCharType="end"/>
        </w:r>
      </w:hyperlink>
    </w:p>
    <w:p w14:paraId="60A2EB65" w14:textId="0B6FD32F"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59" w:history="1">
        <w:r w:rsidR="008907E4" w:rsidRPr="000A5DD0">
          <w:rPr>
            <w:rStyle w:val="Hyperlink"/>
            <w:noProof/>
          </w:rPr>
          <w:t>Tabela 12: Total de US/província e número de habitantes/US (MISAU, 2019)</w:t>
        </w:r>
        <w:r w:rsidR="008907E4">
          <w:rPr>
            <w:noProof/>
            <w:webHidden/>
          </w:rPr>
          <w:tab/>
        </w:r>
        <w:r w:rsidR="008907E4">
          <w:rPr>
            <w:noProof/>
            <w:webHidden/>
          </w:rPr>
          <w:fldChar w:fldCharType="begin"/>
        </w:r>
        <w:r w:rsidR="008907E4">
          <w:rPr>
            <w:noProof/>
            <w:webHidden/>
          </w:rPr>
          <w:instrText xml:space="preserve"> PAGEREF _Toc80380259 \h </w:instrText>
        </w:r>
        <w:r w:rsidR="008907E4">
          <w:rPr>
            <w:noProof/>
            <w:webHidden/>
          </w:rPr>
        </w:r>
        <w:r w:rsidR="008907E4">
          <w:rPr>
            <w:noProof/>
            <w:webHidden/>
          </w:rPr>
          <w:fldChar w:fldCharType="separate"/>
        </w:r>
        <w:r w:rsidR="00E86865">
          <w:rPr>
            <w:noProof/>
            <w:webHidden/>
          </w:rPr>
          <w:t>99</w:t>
        </w:r>
        <w:r w:rsidR="008907E4">
          <w:rPr>
            <w:noProof/>
            <w:webHidden/>
          </w:rPr>
          <w:fldChar w:fldCharType="end"/>
        </w:r>
      </w:hyperlink>
    </w:p>
    <w:p w14:paraId="652D5D2D" w14:textId="5C3CD5F4"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60" w:history="1">
        <w:r w:rsidR="008907E4" w:rsidRPr="000A5DD0">
          <w:rPr>
            <w:rStyle w:val="Hyperlink"/>
            <w:noProof/>
          </w:rPr>
          <w:t>Tabela 13: Rácio recursos humanos do SNS/ província (MISAU, 2019)</w:t>
        </w:r>
        <w:r w:rsidR="008907E4">
          <w:rPr>
            <w:noProof/>
            <w:webHidden/>
          </w:rPr>
          <w:tab/>
        </w:r>
        <w:r w:rsidR="008907E4">
          <w:rPr>
            <w:noProof/>
            <w:webHidden/>
          </w:rPr>
          <w:fldChar w:fldCharType="begin"/>
        </w:r>
        <w:r w:rsidR="008907E4">
          <w:rPr>
            <w:noProof/>
            <w:webHidden/>
          </w:rPr>
          <w:instrText xml:space="preserve"> PAGEREF _Toc80380260 \h </w:instrText>
        </w:r>
        <w:r w:rsidR="008907E4">
          <w:rPr>
            <w:noProof/>
            <w:webHidden/>
          </w:rPr>
        </w:r>
        <w:r w:rsidR="008907E4">
          <w:rPr>
            <w:noProof/>
            <w:webHidden/>
          </w:rPr>
          <w:fldChar w:fldCharType="separate"/>
        </w:r>
        <w:r w:rsidR="00E86865">
          <w:rPr>
            <w:noProof/>
            <w:webHidden/>
          </w:rPr>
          <w:t>100</w:t>
        </w:r>
        <w:r w:rsidR="008907E4">
          <w:rPr>
            <w:noProof/>
            <w:webHidden/>
          </w:rPr>
          <w:fldChar w:fldCharType="end"/>
        </w:r>
      </w:hyperlink>
    </w:p>
    <w:p w14:paraId="185C7F3C" w14:textId="07CA1049"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61" w:history="1">
        <w:r w:rsidR="008907E4" w:rsidRPr="000A5DD0">
          <w:rPr>
            <w:rStyle w:val="Hyperlink"/>
            <w:noProof/>
          </w:rPr>
          <w:t>Tabela 14 Critérios Classificação dos Impactos</w:t>
        </w:r>
        <w:r w:rsidR="008907E4">
          <w:rPr>
            <w:noProof/>
            <w:webHidden/>
          </w:rPr>
          <w:tab/>
        </w:r>
        <w:r w:rsidR="008907E4">
          <w:rPr>
            <w:noProof/>
            <w:webHidden/>
          </w:rPr>
          <w:fldChar w:fldCharType="begin"/>
        </w:r>
        <w:r w:rsidR="008907E4">
          <w:rPr>
            <w:noProof/>
            <w:webHidden/>
          </w:rPr>
          <w:instrText xml:space="preserve"> PAGEREF _Toc80380261 \h </w:instrText>
        </w:r>
        <w:r w:rsidR="008907E4">
          <w:rPr>
            <w:noProof/>
            <w:webHidden/>
          </w:rPr>
        </w:r>
        <w:r w:rsidR="008907E4">
          <w:rPr>
            <w:noProof/>
            <w:webHidden/>
          </w:rPr>
          <w:fldChar w:fldCharType="separate"/>
        </w:r>
        <w:r w:rsidR="00E86865">
          <w:rPr>
            <w:noProof/>
            <w:webHidden/>
          </w:rPr>
          <w:t>105</w:t>
        </w:r>
        <w:r w:rsidR="008907E4">
          <w:rPr>
            <w:noProof/>
            <w:webHidden/>
          </w:rPr>
          <w:fldChar w:fldCharType="end"/>
        </w:r>
      </w:hyperlink>
    </w:p>
    <w:p w14:paraId="2F89EC40" w14:textId="6D9FB22F"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62" w:history="1">
        <w:r w:rsidR="008907E4" w:rsidRPr="000A5DD0">
          <w:rPr>
            <w:rStyle w:val="Hyperlink"/>
            <w:noProof/>
          </w:rPr>
          <w:t>Tabela 15: Matriz de Classificação da Significância</w:t>
        </w:r>
        <w:r w:rsidR="008907E4">
          <w:rPr>
            <w:noProof/>
            <w:webHidden/>
          </w:rPr>
          <w:tab/>
        </w:r>
        <w:r w:rsidR="008907E4">
          <w:rPr>
            <w:noProof/>
            <w:webHidden/>
          </w:rPr>
          <w:fldChar w:fldCharType="begin"/>
        </w:r>
        <w:r w:rsidR="008907E4">
          <w:rPr>
            <w:noProof/>
            <w:webHidden/>
          </w:rPr>
          <w:instrText xml:space="preserve"> PAGEREF _Toc80380262 \h </w:instrText>
        </w:r>
        <w:r w:rsidR="008907E4">
          <w:rPr>
            <w:noProof/>
            <w:webHidden/>
          </w:rPr>
        </w:r>
        <w:r w:rsidR="008907E4">
          <w:rPr>
            <w:noProof/>
            <w:webHidden/>
          </w:rPr>
          <w:fldChar w:fldCharType="separate"/>
        </w:r>
        <w:r w:rsidR="00E86865">
          <w:rPr>
            <w:noProof/>
            <w:webHidden/>
          </w:rPr>
          <w:t>106</w:t>
        </w:r>
        <w:r w:rsidR="008907E4">
          <w:rPr>
            <w:noProof/>
            <w:webHidden/>
          </w:rPr>
          <w:fldChar w:fldCharType="end"/>
        </w:r>
      </w:hyperlink>
    </w:p>
    <w:p w14:paraId="593929B7" w14:textId="23E432C8" w:rsidR="008907E4" w:rsidRP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63" w:history="1">
        <w:r w:rsidR="008907E4" w:rsidRPr="00941934">
          <w:rPr>
            <w:rStyle w:val="Hyperlink"/>
            <w:iCs/>
            <w:noProof/>
            <w:lang w:val="pt-PT" w:eastAsia="ja-JP"/>
          </w:rPr>
          <w:t>Tabela 16: Riscos e Impactos Ambientais na fase de pré-construção</w:t>
        </w:r>
        <w:r w:rsidR="008907E4" w:rsidRPr="008907E4">
          <w:rPr>
            <w:noProof/>
            <w:webHidden/>
          </w:rPr>
          <w:tab/>
        </w:r>
        <w:r w:rsidR="008907E4" w:rsidRPr="00E54CD7">
          <w:rPr>
            <w:noProof/>
            <w:webHidden/>
          </w:rPr>
          <w:fldChar w:fldCharType="begin"/>
        </w:r>
        <w:r w:rsidR="008907E4" w:rsidRPr="008907E4">
          <w:rPr>
            <w:noProof/>
            <w:webHidden/>
          </w:rPr>
          <w:instrText xml:space="preserve"> PAGEREF _Toc80380263 \h </w:instrText>
        </w:r>
        <w:r w:rsidR="008907E4" w:rsidRPr="00E54CD7">
          <w:rPr>
            <w:noProof/>
            <w:webHidden/>
          </w:rPr>
        </w:r>
        <w:r w:rsidR="008907E4" w:rsidRPr="00E54CD7">
          <w:rPr>
            <w:noProof/>
            <w:webHidden/>
          </w:rPr>
          <w:fldChar w:fldCharType="separate"/>
        </w:r>
        <w:r w:rsidR="00E86865">
          <w:rPr>
            <w:noProof/>
            <w:webHidden/>
          </w:rPr>
          <w:t>107</w:t>
        </w:r>
        <w:r w:rsidR="008907E4" w:rsidRPr="00E54CD7">
          <w:rPr>
            <w:noProof/>
            <w:webHidden/>
          </w:rPr>
          <w:fldChar w:fldCharType="end"/>
        </w:r>
      </w:hyperlink>
    </w:p>
    <w:p w14:paraId="010242DA" w14:textId="0E2C7AAE" w:rsidR="008907E4" w:rsidRP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64" w:history="1">
        <w:r w:rsidR="008907E4" w:rsidRPr="00941934">
          <w:rPr>
            <w:rStyle w:val="Hyperlink"/>
            <w:iCs/>
            <w:noProof/>
            <w:lang w:val="pt-PT" w:eastAsia="ja-JP"/>
          </w:rPr>
          <w:t>Tabela 17: Riscos e Impactos Sociais na fase de Pré-construção</w:t>
        </w:r>
        <w:r w:rsidR="008907E4" w:rsidRPr="008907E4">
          <w:rPr>
            <w:noProof/>
            <w:webHidden/>
          </w:rPr>
          <w:tab/>
        </w:r>
        <w:r w:rsidR="008907E4" w:rsidRPr="00E54CD7">
          <w:rPr>
            <w:noProof/>
            <w:webHidden/>
          </w:rPr>
          <w:fldChar w:fldCharType="begin"/>
        </w:r>
        <w:r w:rsidR="008907E4" w:rsidRPr="008907E4">
          <w:rPr>
            <w:noProof/>
            <w:webHidden/>
          </w:rPr>
          <w:instrText xml:space="preserve"> PAGEREF _Toc80380264 \h </w:instrText>
        </w:r>
        <w:r w:rsidR="008907E4" w:rsidRPr="00E54CD7">
          <w:rPr>
            <w:noProof/>
            <w:webHidden/>
          </w:rPr>
        </w:r>
        <w:r w:rsidR="008907E4" w:rsidRPr="00E54CD7">
          <w:rPr>
            <w:noProof/>
            <w:webHidden/>
          </w:rPr>
          <w:fldChar w:fldCharType="separate"/>
        </w:r>
        <w:r w:rsidR="00E86865">
          <w:rPr>
            <w:noProof/>
            <w:webHidden/>
          </w:rPr>
          <w:t>108</w:t>
        </w:r>
        <w:r w:rsidR="008907E4" w:rsidRPr="00E54CD7">
          <w:rPr>
            <w:noProof/>
            <w:webHidden/>
          </w:rPr>
          <w:fldChar w:fldCharType="end"/>
        </w:r>
      </w:hyperlink>
    </w:p>
    <w:p w14:paraId="4ECB51DA" w14:textId="24B0E97E"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65" w:history="1">
        <w:r w:rsidR="008907E4" w:rsidRPr="000A5DD0">
          <w:rPr>
            <w:rStyle w:val="Hyperlink"/>
            <w:noProof/>
          </w:rPr>
          <w:t>Tabela 18: Riscos e Impactos Ambientais na fase de Construção</w:t>
        </w:r>
        <w:r w:rsidR="008907E4">
          <w:rPr>
            <w:noProof/>
            <w:webHidden/>
          </w:rPr>
          <w:tab/>
        </w:r>
        <w:r w:rsidR="008907E4">
          <w:rPr>
            <w:noProof/>
            <w:webHidden/>
          </w:rPr>
          <w:fldChar w:fldCharType="begin"/>
        </w:r>
        <w:r w:rsidR="008907E4">
          <w:rPr>
            <w:noProof/>
            <w:webHidden/>
          </w:rPr>
          <w:instrText xml:space="preserve"> PAGEREF _Toc80380265 \h </w:instrText>
        </w:r>
        <w:r w:rsidR="008907E4">
          <w:rPr>
            <w:noProof/>
            <w:webHidden/>
          </w:rPr>
        </w:r>
        <w:r w:rsidR="008907E4">
          <w:rPr>
            <w:noProof/>
            <w:webHidden/>
          </w:rPr>
          <w:fldChar w:fldCharType="separate"/>
        </w:r>
        <w:r w:rsidR="00E86865">
          <w:rPr>
            <w:noProof/>
            <w:webHidden/>
          </w:rPr>
          <w:t>113</w:t>
        </w:r>
        <w:r w:rsidR="008907E4">
          <w:rPr>
            <w:noProof/>
            <w:webHidden/>
          </w:rPr>
          <w:fldChar w:fldCharType="end"/>
        </w:r>
      </w:hyperlink>
    </w:p>
    <w:p w14:paraId="690FFBED" w14:textId="3CC3D832"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66" w:history="1">
        <w:r w:rsidR="008907E4" w:rsidRPr="000A5DD0">
          <w:rPr>
            <w:rStyle w:val="Hyperlink"/>
            <w:noProof/>
          </w:rPr>
          <w:t>Tabela 19: Riscos e Impactos Ambientais na fase de Operação</w:t>
        </w:r>
        <w:r w:rsidR="008907E4">
          <w:rPr>
            <w:noProof/>
            <w:webHidden/>
          </w:rPr>
          <w:tab/>
        </w:r>
        <w:r w:rsidR="008907E4">
          <w:rPr>
            <w:noProof/>
            <w:webHidden/>
          </w:rPr>
          <w:fldChar w:fldCharType="begin"/>
        </w:r>
        <w:r w:rsidR="008907E4">
          <w:rPr>
            <w:noProof/>
            <w:webHidden/>
          </w:rPr>
          <w:instrText xml:space="preserve"> PAGEREF _Toc80380266 \h </w:instrText>
        </w:r>
        <w:r w:rsidR="008907E4">
          <w:rPr>
            <w:noProof/>
            <w:webHidden/>
          </w:rPr>
        </w:r>
        <w:r w:rsidR="008907E4">
          <w:rPr>
            <w:noProof/>
            <w:webHidden/>
          </w:rPr>
          <w:fldChar w:fldCharType="separate"/>
        </w:r>
        <w:r w:rsidR="00E86865">
          <w:rPr>
            <w:noProof/>
            <w:webHidden/>
          </w:rPr>
          <w:t>118</w:t>
        </w:r>
        <w:r w:rsidR="008907E4">
          <w:rPr>
            <w:noProof/>
            <w:webHidden/>
          </w:rPr>
          <w:fldChar w:fldCharType="end"/>
        </w:r>
      </w:hyperlink>
    </w:p>
    <w:p w14:paraId="25408F56" w14:textId="375E78ED"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67" w:history="1">
        <w:r w:rsidR="008907E4" w:rsidRPr="000A5DD0">
          <w:rPr>
            <w:rStyle w:val="Hyperlink"/>
            <w:noProof/>
          </w:rPr>
          <w:t>Tabela 20: Riscos e Impactos Socioeconómicos na fase de construção</w:t>
        </w:r>
        <w:r w:rsidR="008907E4">
          <w:rPr>
            <w:noProof/>
            <w:webHidden/>
          </w:rPr>
          <w:tab/>
        </w:r>
        <w:r w:rsidR="008907E4">
          <w:rPr>
            <w:noProof/>
            <w:webHidden/>
          </w:rPr>
          <w:fldChar w:fldCharType="begin"/>
        </w:r>
        <w:r w:rsidR="008907E4">
          <w:rPr>
            <w:noProof/>
            <w:webHidden/>
          </w:rPr>
          <w:instrText xml:space="preserve"> PAGEREF _Toc80380267 \h </w:instrText>
        </w:r>
        <w:r w:rsidR="008907E4">
          <w:rPr>
            <w:noProof/>
            <w:webHidden/>
          </w:rPr>
        </w:r>
        <w:r w:rsidR="008907E4">
          <w:rPr>
            <w:noProof/>
            <w:webHidden/>
          </w:rPr>
          <w:fldChar w:fldCharType="separate"/>
        </w:r>
        <w:r w:rsidR="00E86865">
          <w:rPr>
            <w:noProof/>
            <w:webHidden/>
          </w:rPr>
          <w:t>122</w:t>
        </w:r>
        <w:r w:rsidR="008907E4">
          <w:rPr>
            <w:noProof/>
            <w:webHidden/>
          </w:rPr>
          <w:fldChar w:fldCharType="end"/>
        </w:r>
      </w:hyperlink>
    </w:p>
    <w:p w14:paraId="38C7A0B9" w14:textId="308C1095"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68" w:history="1">
        <w:r w:rsidR="008907E4" w:rsidRPr="000A5DD0">
          <w:rPr>
            <w:rStyle w:val="Hyperlink"/>
            <w:noProof/>
          </w:rPr>
          <w:t>Tabela 21: Oportunidades e Impactos Positivos do Projecto</w:t>
        </w:r>
        <w:r w:rsidR="008907E4">
          <w:rPr>
            <w:noProof/>
            <w:webHidden/>
          </w:rPr>
          <w:tab/>
        </w:r>
        <w:r w:rsidR="008907E4">
          <w:rPr>
            <w:noProof/>
            <w:webHidden/>
          </w:rPr>
          <w:fldChar w:fldCharType="begin"/>
        </w:r>
        <w:r w:rsidR="008907E4">
          <w:rPr>
            <w:noProof/>
            <w:webHidden/>
          </w:rPr>
          <w:instrText xml:space="preserve"> PAGEREF _Toc80380268 \h </w:instrText>
        </w:r>
        <w:r w:rsidR="008907E4">
          <w:rPr>
            <w:noProof/>
            <w:webHidden/>
          </w:rPr>
        </w:r>
        <w:r w:rsidR="008907E4">
          <w:rPr>
            <w:noProof/>
            <w:webHidden/>
          </w:rPr>
          <w:fldChar w:fldCharType="separate"/>
        </w:r>
        <w:r w:rsidR="00E86865">
          <w:rPr>
            <w:noProof/>
            <w:webHidden/>
          </w:rPr>
          <w:t>126</w:t>
        </w:r>
        <w:r w:rsidR="008907E4">
          <w:rPr>
            <w:noProof/>
            <w:webHidden/>
          </w:rPr>
          <w:fldChar w:fldCharType="end"/>
        </w:r>
      </w:hyperlink>
    </w:p>
    <w:p w14:paraId="5D6DA1D0" w14:textId="5D296AF0"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69" w:history="1">
        <w:r w:rsidR="008907E4" w:rsidRPr="000A5DD0">
          <w:rPr>
            <w:rStyle w:val="Hyperlink"/>
            <w:noProof/>
          </w:rPr>
          <w:t>Tabela 22</w:t>
        </w:r>
        <w:r w:rsidR="008907E4" w:rsidRPr="000A5DD0">
          <w:rPr>
            <w:rStyle w:val="Hyperlink"/>
            <w:rFonts w:eastAsia="Times New Roman"/>
            <w:noProof/>
          </w:rPr>
          <w:t>: Classificação dos Impactos Ambientais</w:t>
        </w:r>
        <w:r w:rsidR="008907E4">
          <w:rPr>
            <w:noProof/>
            <w:webHidden/>
          </w:rPr>
          <w:tab/>
        </w:r>
        <w:r w:rsidR="008907E4">
          <w:rPr>
            <w:noProof/>
            <w:webHidden/>
          </w:rPr>
          <w:fldChar w:fldCharType="begin"/>
        </w:r>
        <w:r w:rsidR="008907E4">
          <w:rPr>
            <w:noProof/>
            <w:webHidden/>
          </w:rPr>
          <w:instrText xml:space="preserve"> PAGEREF _Toc80380269 \h </w:instrText>
        </w:r>
        <w:r w:rsidR="008907E4">
          <w:rPr>
            <w:noProof/>
            <w:webHidden/>
          </w:rPr>
        </w:r>
        <w:r w:rsidR="008907E4">
          <w:rPr>
            <w:noProof/>
            <w:webHidden/>
          </w:rPr>
          <w:fldChar w:fldCharType="separate"/>
        </w:r>
        <w:r w:rsidR="00E86865">
          <w:rPr>
            <w:noProof/>
            <w:webHidden/>
          </w:rPr>
          <w:t>131</w:t>
        </w:r>
        <w:r w:rsidR="008907E4">
          <w:rPr>
            <w:noProof/>
            <w:webHidden/>
          </w:rPr>
          <w:fldChar w:fldCharType="end"/>
        </w:r>
      </w:hyperlink>
    </w:p>
    <w:p w14:paraId="51E582C7" w14:textId="0886C320"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70" w:history="1">
        <w:r w:rsidR="008907E4" w:rsidRPr="000A5DD0">
          <w:rPr>
            <w:rStyle w:val="Hyperlink"/>
            <w:noProof/>
          </w:rPr>
          <w:t>Tabela 23</w:t>
        </w:r>
        <w:r w:rsidR="008907E4" w:rsidRPr="000A5DD0">
          <w:rPr>
            <w:rStyle w:val="Hyperlink"/>
            <w:rFonts w:eastAsia="Times New Roman"/>
            <w:noProof/>
          </w:rPr>
          <w:t>: Classificação dos Impactos Sociais</w:t>
        </w:r>
        <w:r w:rsidR="008907E4">
          <w:rPr>
            <w:noProof/>
            <w:webHidden/>
          </w:rPr>
          <w:tab/>
        </w:r>
        <w:r w:rsidR="008907E4">
          <w:rPr>
            <w:noProof/>
            <w:webHidden/>
          </w:rPr>
          <w:fldChar w:fldCharType="begin"/>
        </w:r>
        <w:r w:rsidR="008907E4">
          <w:rPr>
            <w:noProof/>
            <w:webHidden/>
          </w:rPr>
          <w:instrText xml:space="preserve"> PAGEREF _Toc80380270 \h </w:instrText>
        </w:r>
        <w:r w:rsidR="008907E4">
          <w:rPr>
            <w:noProof/>
            <w:webHidden/>
          </w:rPr>
        </w:r>
        <w:r w:rsidR="008907E4">
          <w:rPr>
            <w:noProof/>
            <w:webHidden/>
          </w:rPr>
          <w:fldChar w:fldCharType="separate"/>
        </w:r>
        <w:r w:rsidR="00E86865">
          <w:rPr>
            <w:noProof/>
            <w:webHidden/>
          </w:rPr>
          <w:t>136</w:t>
        </w:r>
        <w:r w:rsidR="008907E4">
          <w:rPr>
            <w:noProof/>
            <w:webHidden/>
          </w:rPr>
          <w:fldChar w:fldCharType="end"/>
        </w:r>
      </w:hyperlink>
    </w:p>
    <w:p w14:paraId="6CD6DA71" w14:textId="212881FF"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71" w:history="1">
        <w:r w:rsidR="008907E4" w:rsidRPr="000A5DD0">
          <w:rPr>
            <w:rStyle w:val="Hyperlink"/>
            <w:noProof/>
          </w:rPr>
          <w:t>Tabela 24: Riscos de Saúde e Segurança Ocupacional</w:t>
        </w:r>
        <w:r w:rsidR="008907E4">
          <w:rPr>
            <w:noProof/>
            <w:webHidden/>
          </w:rPr>
          <w:tab/>
        </w:r>
        <w:r w:rsidR="008907E4">
          <w:rPr>
            <w:noProof/>
            <w:webHidden/>
          </w:rPr>
          <w:fldChar w:fldCharType="begin"/>
        </w:r>
        <w:r w:rsidR="008907E4">
          <w:rPr>
            <w:noProof/>
            <w:webHidden/>
          </w:rPr>
          <w:instrText xml:space="preserve"> PAGEREF _Toc80380271 \h </w:instrText>
        </w:r>
        <w:r w:rsidR="008907E4">
          <w:rPr>
            <w:noProof/>
            <w:webHidden/>
          </w:rPr>
        </w:r>
        <w:r w:rsidR="008907E4">
          <w:rPr>
            <w:noProof/>
            <w:webHidden/>
          </w:rPr>
          <w:fldChar w:fldCharType="separate"/>
        </w:r>
        <w:r w:rsidR="00E86865">
          <w:rPr>
            <w:noProof/>
            <w:webHidden/>
          </w:rPr>
          <w:t>141</w:t>
        </w:r>
        <w:r w:rsidR="008907E4">
          <w:rPr>
            <w:noProof/>
            <w:webHidden/>
          </w:rPr>
          <w:fldChar w:fldCharType="end"/>
        </w:r>
      </w:hyperlink>
    </w:p>
    <w:p w14:paraId="09870C34" w14:textId="701EFA1F"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72" w:history="1">
        <w:r w:rsidR="008907E4" w:rsidRPr="000A5DD0">
          <w:rPr>
            <w:rStyle w:val="Hyperlink"/>
            <w:noProof/>
          </w:rPr>
          <w:t>Tabela 25: Principais riscos de VBG/EAS associados ao Projecto</w:t>
        </w:r>
        <w:r w:rsidR="008907E4">
          <w:rPr>
            <w:noProof/>
            <w:webHidden/>
          </w:rPr>
          <w:tab/>
        </w:r>
        <w:r w:rsidR="008907E4">
          <w:rPr>
            <w:noProof/>
            <w:webHidden/>
          </w:rPr>
          <w:fldChar w:fldCharType="begin"/>
        </w:r>
        <w:r w:rsidR="008907E4">
          <w:rPr>
            <w:noProof/>
            <w:webHidden/>
          </w:rPr>
          <w:instrText xml:space="preserve"> PAGEREF _Toc80380272 \h </w:instrText>
        </w:r>
        <w:r w:rsidR="008907E4">
          <w:rPr>
            <w:noProof/>
            <w:webHidden/>
          </w:rPr>
        </w:r>
        <w:r w:rsidR="008907E4">
          <w:rPr>
            <w:noProof/>
            <w:webHidden/>
          </w:rPr>
          <w:fldChar w:fldCharType="separate"/>
        </w:r>
        <w:r w:rsidR="00E86865">
          <w:rPr>
            <w:noProof/>
            <w:webHidden/>
          </w:rPr>
          <w:t>147</w:t>
        </w:r>
        <w:r w:rsidR="008907E4">
          <w:rPr>
            <w:noProof/>
            <w:webHidden/>
          </w:rPr>
          <w:fldChar w:fldCharType="end"/>
        </w:r>
      </w:hyperlink>
    </w:p>
    <w:p w14:paraId="1CEBD0C7" w14:textId="72C6E768"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73" w:history="1">
        <w:r w:rsidR="008907E4" w:rsidRPr="000A5DD0">
          <w:rPr>
            <w:rStyle w:val="Hyperlink"/>
            <w:noProof/>
          </w:rPr>
          <w:t>Tabela 26: Planos Complementares ao PGAS</w:t>
        </w:r>
        <w:r w:rsidR="008907E4">
          <w:rPr>
            <w:noProof/>
            <w:webHidden/>
          </w:rPr>
          <w:tab/>
        </w:r>
        <w:r w:rsidR="008907E4">
          <w:rPr>
            <w:noProof/>
            <w:webHidden/>
          </w:rPr>
          <w:fldChar w:fldCharType="begin"/>
        </w:r>
        <w:r w:rsidR="008907E4">
          <w:rPr>
            <w:noProof/>
            <w:webHidden/>
          </w:rPr>
          <w:instrText xml:space="preserve"> PAGEREF _Toc80380273 \h </w:instrText>
        </w:r>
        <w:r w:rsidR="008907E4">
          <w:rPr>
            <w:noProof/>
            <w:webHidden/>
          </w:rPr>
        </w:r>
        <w:r w:rsidR="008907E4">
          <w:rPr>
            <w:noProof/>
            <w:webHidden/>
          </w:rPr>
          <w:fldChar w:fldCharType="separate"/>
        </w:r>
        <w:r w:rsidR="00E86865">
          <w:rPr>
            <w:noProof/>
            <w:webHidden/>
          </w:rPr>
          <w:t>149</w:t>
        </w:r>
        <w:r w:rsidR="008907E4">
          <w:rPr>
            <w:noProof/>
            <w:webHidden/>
          </w:rPr>
          <w:fldChar w:fldCharType="end"/>
        </w:r>
      </w:hyperlink>
    </w:p>
    <w:p w14:paraId="1DB52A60" w14:textId="1EDE1BC8"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74" w:history="1">
        <w:r w:rsidR="008907E4" w:rsidRPr="000A5DD0">
          <w:rPr>
            <w:rStyle w:val="Hyperlink"/>
            <w:noProof/>
          </w:rPr>
          <w:t>Tabela 27 Equipas das Unidades de Implementação dos Projectos</w:t>
        </w:r>
        <w:r w:rsidR="008907E4">
          <w:rPr>
            <w:noProof/>
            <w:webHidden/>
          </w:rPr>
          <w:tab/>
        </w:r>
        <w:r w:rsidR="008907E4">
          <w:rPr>
            <w:noProof/>
            <w:webHidden/>
          </w:rPr>
          <w:fldChar w:fldCharType="begin"/>
        </w:r>
        <w:r w:rsidR="008907E4">
          <w:rPr>
            <w:noProof/>
            <w:webHidden/>
          </w:rPr>
          <w:instrText xml:space="preserve"> PAGEREF _Toc80380274 \h </w:instrText>
        </w:r>
        <w:r w:rsidR="008907E4">
          <w:rPr>
            <w:noProof/>
            <w:webHidden/>
          </w:rPr>
        </w:r>
        <w:r w:rsidR="008907E4">
          <w:rPr>
            <w:noProof/>
            <w:webHidden/>
          </w:rPr>
          <w:fldChar w:fldCharType="separate"/>
        </w:r>
        <w:r w:rsidR="00E86865">
          <w:rPr>
            <w:noProof/>
            <w:webHidden/>
          </w:rPr>
          <w:t>156</w:t>
        </w:r>
        <w:r w:rsidR="008907E4">
          <w:rPr>
            <w:noProof/>
            <w:webHidden/>
          </w:rPr>
          <w:fldChar w:fldCharType="end"/>
        </w:r>
      </w:hyperlink>
    </w:p>
    <w:p w14:paraId="4A2774AC" w14:textId="71B93D42"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75" w:history="1">
        <w:r w:rsidR="008907E4" w:rsidRPr="000A5DD0">
          <w:rPr>
            <w:rStyle w:val="Hyperlink"/>
            <w:noProof/>
          </w:rPr>
          <w:t>Tabela 28: Lista de Projectos Implementados pelo AIAS, DNAAS e AURA IP</w:t>
        </w:r>
        <w:r w:rsidR="008907E4">
          <w:rPr>
            <w:noProof/>
            <w:webHidden/>
          </w:rPr>
          <w:tab/>
        </w:r>
        <w:r w:rsidR="008907E4">
          <w:rPr>
            <w:noProof/>
            <w:webHidden/>
          </w:rPr>
          <w:fldChar w:fldCharType="begin"/>
        </w:r>
        <w:r w:rsidR="008907E4">
          <w:rPr>
            <w:noProof/>
            <w:webHidden/>
          </w:rPr>
          <w:instrText xml:space="preserve"> PAGEREF _Toc80380275 \h </w:instrText>
        </w:r>
        <w:r w:rsidR="008907E4">
          <w:rPr>
            <w:noProof/>
            <w:webHidden/>
          </w:rPr>
        </w:r>
        <w:r w:rsidR="008907E4">
          <w:rPr>
            <w:noProof/>
            <w:webHidden/>
          </w:rPr>
          <w:fldChar w:fldCharType="separate"/>
        </w:r>
        <w:r w:rsidR="00E86865">
          <w:rPr>
            <w:noProof/>
            <w:webHidden/>
          </w:rPr>
          <w:t>158</w:t>
        </w:r>
        <w:r w:rsidR="008907E4">
          <w:rPr>
            <w:noProof/>
            <w:webHidden/>
          </w:rPr>
          <w:fldChar w:fldCharType="end"/>
        </w:r>
      </w:hyperlink>
    </w:p>
    <w:p w14:paraId="66B3D57B" w14:textId="13EF8263"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76" w:history="1">
        <w:r w:rsidR="008907E4" w:rsidRPr="000A5DD0">
          <w:rPr>
            <w:rStyle w:val="Hyperlink"/>
            <w:noProof/>
          </w:rPr>
          <w:t>Tabela 29: Critérios de Categorização de Actividades de Acordo com o Decreto 54/2015</w:t>
        </w:r>
        <w:r w:rsidR="008907E4">
          <w:rPr>
            <w:noProof/>
            <w:webHidden/>
          </w:rPr>
          <w:tab/>
        </w:r>
        <w:r w:rsidR="008907E4">
          <w:rPr>
            <w:noProof/>
            <w:webHidden/>
          </w:rPr>
          <w:fldChar w:fldCharType="begin"/>
        </w:r>
        <w:r w:rsidR="008907E4">
          <w:rPr>
            <w:noProof/>
            <w:webHidden/>
          </w:rPr>
          <w:instrText xml:space="preserve"> PAGEREF _Toc80380276 \h </w:instrText>
        </w:r>
        <w:r w:rsidR="008907E4">
          <w:rPr>
            <w:noProof/>
            <w:webHidden/>
          </w:rPr>
        </w:r>
        <w:r w:rsidR="008907E4">
          <w:rPr>
            <w:noProof/>
            <w:webHidden/>
          </w:rPr>
          <w:fldChar w:fldCharType="separate"/>
        </w:r>
        <w:r w:rsidR="00E86865">
          <w:rPr>
            <w:noProof/>
            <w:webHidden/>
          </w:rPr>
          <w:t>164</w:t>
        </w:r>
        <w:r w:rsidR="008907E4">
          <w:rPr>
            <w:noProof/>
            <w:webHidden/>
          </w:rPr>
          <w:fldChar w:fldCharType="end"/>
        </w:r>
      </w:hyperlink>
    </w:p>
    <w:p w14:paraId="1C11B836" w14:textId="29389081"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77" w:history="1">
        <w:r w:rsidR="008907E4" w:rsidRPr="000A5DD0">
          <w:rPr>
            <w:rStyle w:val="Hyperlink"/>
            <w:noProof/>
          </w:rPr>
          <w:t>Tabela 30: Critérios de Exclusão</w:t>
        </w:r>
        <w:r w:rsidR="008907E4">
          <w:rPr>
            <w:noProof/>
            <w:webHidden/>
          </w:rPr>
          <w:tab/>
        </w:r>
        <w:r w:rsidR="008907E4">
          <w:rPr>
            <w:noProof/>
            <w:webHidden/>
          </w:rPr>
          <w:fldChar w:fldCharType="begin"/>
        </w:r>
        <w:r w:rsidR="008907E4">
          <w:rPr>
            <w:noProof/>
            <w:webHidden/>
          </w:rPr>
          <w:instrText xml:space="preserve"> PAGEREF _Toc80380277 \h </w:instrText>
        </w:r>
        <w:r w:rsidR="008907E4">
          <w:rPr>
            <w:noProof/>
            <w:webHidden/>
          </w:rPr>
        </w:r>
        <w:r w:rsidR="008907E4">
          <w:rPr>
            <w:noProof/>
            <w:webHidden/>
          </w:rPr>
          <w:fldChar w:fldCharType="separate"/>
        </w:r>
        <w:r w:rsidR="00E86865">
          <w:rPr>
            <w:noProof/>
            <w:webHidden/>
          </w:rPr>
          <w:t>166</w:t>
        </w:r>
        <w:r w:rsidR="008907E4">
          <w:rPr>
            <w:noProof/>
            <w:webHidden/>
          </w:rPr>
          <w:fldChar w:fldCharType="end"/>
        </w:r>
      </w:hyperlink>
    </w:p>
    <w:p w14:paraId="6ED4B200" w14:textId="380BF5FB"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78" w:history="1">
        <w:r w:rsidR="008907E4" w:rsidRPr="000A5DD0">
          <w:rPr>
            <w:rStyle w:val="Hyperlink"/>
            <w:noProof/>
          </w:rPr>
          <w:t>Tabela 31: Principais Etapas do Processo de Avaliação Ambiental e Social</w:t>
        </w:r>
        <w:r w:rsidR="008907E4">
          <w:rPr>
            <w:noProof/>
            <w:webHidden/>
          </w:rPr>
          <w:tab/>
        </w:r>
        <w:r w:rsidR="008907E4">
          <w:rPr>
            <w:noProof/>
            <w:webHidden/>
          </w:rPr>
          <w:fldChar w:fldCharType="begin"/>
        </w:r>
        <w:r w:rsidR="008907E4">
          <w:rPr>
            <w:noProof/>
            <w:webHidden/>
          </w:rPr>
          <w:instrText xml:space="preserve"> PAGEREF _Toc80380278 \h </w:instrText>
        </w:r>
        <w:r w:rsidR="008907E4">
          <w:rPr>
            <w:noProof/>
            <w:webHidden/>
          </w:rPr>
        </w:r>
        <w:r w:rsidR="008907E4">
          <w:rPr>
            <w:noProof/>
            <w:webHidden/>
          </w:rPr>
          <w:fldChar w:fldCharType="separate"/>
        </w:r>
        <w:r w:rsidR="00E86865">
          <w:rPr>
            <w:noProof/>
            <w:webHidden/>
          </w:rPr>
          <w:t>170</w:t>
        </w:r>
        <w:r w:rsidR="008907E4">
          <w:rPr>
            <w:noProof/>
            <w:webHidden/>
          </w:rPr>
          <w:fldChar w:fldCharType="end"/>
        </w:r>
      </w:hyperlink>
    </w:p>
    <w:p w14:paraId="70BDA7A7" w14:textId="1B4246C1"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79" w:history="1">
        <w:r w:rsidR="008907E4" w:rsidRPr="000A5DD0">
          <w:rPr>
            <w:rStyle w:val="Hyperlink"/>
            <w:noProof/>
          </w:rPr>
          <w:t>Tabela 32: Indicadores-chave de Desempenho Ambiental e Social</w:t>
        </w:r>
        <w:r w:rsidR="008907E4">
          <w:rPr>
            <w:noProof/>
            <w:webHidden/>
          </w:rPr>
          <w:tab/>
        </w:r>
        <w:r w:rsidR="008907E4">
          <w:rPr>
            <w:noProof/>
            <w:webHidden/>
          </w:rPr>
          <w:fldChar w:fldCharType="begin"/>
        </w:r>
        <w:r w:rsidR="008907E4">
          <w:rPr>
            <w:noProof/>
            <w:webHidden/>
          </w:rPr>
          <w:instrText xml:space="preserve"> PAGEREF _Toc80380279 \h </w:instrText>
        </w:r>
        <w:r w:rsidR="008907E4">
          <w:rPr>
            <w:noProof/>
            <w:webHidden/>
          </w:rPr>
        </w:r>
        <w:r w:rsidR="008907E4">
          <w:rPr>
            <w:noProof/>
            <w:webHidden/>
          </w:rPr>
          <w:fldChar w:fldCharType="separate"/>
        </w:r>
        <w:r w:rsidR="00E86865">
          <w:rPr>
            <w:noProof/>
            <w:webHidden/>
          </w:rPr>
          <w:t>174</w:t>
        </w:r>
        <w:r w:rsidR="008907E4">
          <w:rPr>
            <w:noProof/>
            <w:webHidden/>
          </w:rPr>
          <w:fldChar w:fldCharType="end"/>
        </w:r>
      </w:hyperlink>
    </w:p>
    <w:p w14:paraId="36D5A309" w14:textId="19147240"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80" w:history="1">
        <w:r w:rsidR="008907E4" w:rsidRPr="000A5DD0">
          <w:rPr>
            <w:rStyle w:val="Hyperlink"/>
            <w:noProof/>
          </w:rPr>
          <w:t>Tabela 33: Partes Interessadas e Afectadas divididas por Categoria em cada Componente (</w:t>
        </w:r>
        <w:r w:rsidR="008907E4" w:rsidRPr="000A5DD0">
          <w:rPr>
            <w:rStyle w:val="Hyperlink"/>
            <w:i/>
            <w:noProof/>
          </w:rPr>
          <w:t>fonte: PEPI, Junho 2021</w:t>
        </w:r>
        <w:r w:rsidR="008907E4" w:rsidRPr="000A5DD0">
          <w:rPr>
            <w:rStyle w:val="Hyperlink"/>
            <w:noProof/>
          </w:rPr>
          <w:t>)</w:t>
        </w:r>
        <w:r w:rsidR="008907E4">
          <w:rPr>
            <w:noProof/>
            <w:webHidden/>
          </w:rPr>
          <w:tab/>
        </w:r>
        <w:r w:rsidR="008907E4">
          <w:rPr>
            <w:noProof/>
            <w:webHidden/>
          </w:rPr>
          <w:fldChar w:fldCharType="begin"/>
        </w:r>
        <w:r w:rsidR="008907E4">
          <w:rPr>
            <w:noProof/>
            <w:webHidden/>
          </w:rPr>
          <w:instrText xml:space="preserve"> PAGEREF _Toc80380280 \h </w:instrText>
        </w:r>
        <w:r w:rsidR="008907E4">
          <w:rPr>
            <w:noProof/>
            <w:webHidden/>
          </w:rPr>
        </w:r>
        <w:r w:rsidR="008907E4">
          <w:rPr>
            <w:noProof/>
            <w:webHidden/>
          </w:rPr>
          <w:fldChar w:fldCharType="separate"/>
        </w:r>
        <w:r w:rsidR="00E86865">
          <w:rPr>
            <w:noProof/>
            <w:webHidden/>
          </w:rPr>
          <w:t>177</w:t>
        </w:r>
        <w:r w:rsidR="008907E4">
          <w:rPr>
            <w:noProof/>
            <w:webHidden/>
          </w:rPr>
          <w:fldChar w:fldCharType="end"/>
        </w:r>
      </w:hyperlink>
    </w:p>
    <w:p w14:paraId="3CDC635E" w14:textId="05A061F1"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81" w:history="1">
        <w:r w:rsidR="008907E4" w:rsidRPr="000A5DD0">
          <w:rPr>
            <w:rStyle w:val="Hyperlink"/>
            <w:noProof/>
          </w:rPr>
          <w:t>Tabela 34: Proposta do Plano para consulta das PIAs no Projecto (fonte: PEPI, Junho 2021)</w:t>
        </w:r>
        <w:r w:rsidR="008907E4">
          <w:rPr>
            <w:noProof/>
            <w:webHidden/>
          </w:rPr>
          <w:tab/>
        </w:r>
        <w:r w:rsidR="008907E4">
          <w:rPr>
            <w:noProof/>
            <w:webHidden/>
          </w:rPr>
          <w:fldChar w:fldCharType="begin"/>
        </w:r>
        <w:r w:rsidR="008907E4">
          <w:rPr>
            <w:noProof/>
            <w:webHidden/>
          </w:rPr>
          <w:instrText xml:space="preserve"> PAGEREF _Toc80380281 \h </w:instrText>
        </w:r>
        <w:r w:rsidR="008907E4">
          <w:rPr>
            <w:noProof/>
            <w:webHidden/>
          </w:rPr>
        </w:r>
        <w:r w:rsidR="008907E4">
          <w:rPr>
            <w:noProof/>
            <w:webHidden/>
          </w:rPr>
          <w:fldChar w:fldCharType="separate"/>
        </w:r>
        <w:r w:rsidR="00E86865">
          <w:rPr>
            <w:noProof/>
            <w:webHidden/>
          </w:rPr>
          <w:t>180</w:t>
        </w:r>
        <w:r w:rsidR="008907E4">
          <w:rPr>
            <w:noProof/>
            <w:webHidden/>
          </w:rPr>
          <w:fldChar w:fldCharType="end"/>
        </w:r>
      </w:hyperlink>
    </w:p>
    <w:p w14:paraId="6DDCD17B" w14:textId="0FC61F69"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82" w:history="1">
        <w:r w:rsidR="008907E4" w:rsidRPr="000A5DD0">
          <w:rPr>
            <w:rStyle w:val="Hyperlink"/>
            <w:noProof/>
          </w:rPr>
          <w:t>Tabela 35: Mapeamento preliminar dos prestadores de serviços de VBG pelas organizações não estatais nos locais abrangidos pelo Projecto</w:t>
        </w:r>
        <w:r w:rsidR="008907E4">
          <w:rPr>
            <w:noProof/>
            <w:webHidden/>
          </w:rPr>
          <w:tab/>
        </w:r>
        <w:r w:rsidR="008907E4">
          <w:rPr>
            <w:noProof/>
            <w:webHidden/>
          </w:rPr>
          <w:fldChar w:fldCharType="begin"/>
        </w:r>
        <w:r w:rsidR="008907E4">
          <w:rPr>
            <w:noProof/>
            <w:webHidden/>
          </w:rPr>
          <w:instrText xml:space="preserve"> PAGEREF _Toc80380282 \h </w:instrText>
        </w:r>
        <w:r w:rsidR="008907E4">
          <w:rPr>
            <w:noProof/>
            <w:webHidden/>
          </w:rPr>
        </w:r>
        <w:r w:rsidR="008907E4">
          <w:rPr>
            <w:noProof/>
            <w:webHidden/>
          </w:rPr>
          <w:fldChar w:fldCharType="separate"/>
        </w:r>
        <w:r w:rsidR="00E86865">
          <w:rPr>
            <w:noProof/>
            <w:webHidden/>
          </w:rPr>
          <w:t>189</w:t>
        </w:r>
        <w:r w:rsidR="008907E4">
          <w:rPr>
            <w:noProof/>
            <w:webHidden/>
          </w:rPr>
          <w:fldChar w:fldCharType="end"/>
        </w:r>
      </w:hyperlink>
    </w:p>
    <w:p w14:paraId="4B5D4EB3" w14:textId="35E2A7B8"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83" w:history="1">
        <w:r w:rsidR="008907E4" w:rsidRPr="000A5DD0">
          <w:rPr>
            <w:rStyle w:val="Hyperlink"/>
            <w:noProof/>
          </w:rPr>
          <w:t>Tabela 36: Indicadores de monitoria</w:t>
        </w:r>
        <w:r w:rsidR="008907E4">
          <w:rPr>
            <w:noProof/>
            <w:webHidden/>
          </w:rPr>
          <w:tab/>
        </w:r>
        <w:r w:rsidR="008907E4">
          <w:rPr>
            <w:noProof/>
            <w:webHidden/>
          </w:rPr>
          <w:fldChar w:fldCharType="begin"/>
        </w:r>
        <w:r w:rsidR="008907E4">
          <w:rPr>
            <w:noProof/>
            <w:webHidden/>
          </w:rPr>
          <w:instrText xml:space="preserve"> PAGEREF _Toc80380283 \h </w:instrText>
        </w:r>
        <w:r w:rsidR="008907E4">
          <w:rPr>
            <w:noProof/>
            <w:webHidden/>
          </w:rPr>
        </w:r>
        <w:r w:rsidR="008907E4">
          <w:rPr>
            <w:noProof/>
            <w:webHidden/>
          </w:rPr>
          <w:fldChar w:fldCharType="separate"/>
        </w:r>
        <w:r w:rsidR="00E86865">
          <w:rPr>
            <w:noProof/>
            <w:webHidden/>
          </w:rPr>
          <w:t>192</w:t>
        </w:r>
        <w:r w:rsidR="008907E4">
          <w:rPr>
            <w:noProof/>
            <w:webHidden/>
          </w:rPr>
          <w:fldChar w:fldCharType="end"/>
        </w:r>
      </w:hyperlink>
    </w:p>
    <w:p w14:paraId="55A0FBF9" w14:textId="3C1A3A1B"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84" w:history="1">
        <w:r w:rsidR="008907E4" w:rsidRPr="000A5DD0">
          <w:rPr>
            <w:rStyle w:val="Hyperlink"/>
            <w:noProof/>
          </w:rPr>
          <w:t>Tabela 37: Proposta do Orçamento indicativo</w:t>
        </w:r>
        <w:r w:rsidR="008907E4">
          <w:rPr>
            <w:noProof/>
            <w:webHidden/>
          </w:rPr>
          <w:tab/>
        </w:r>
        <w:r w:rsidR="008907E4">
          <w:rPr>
            <w:noProof/>
            <w:webHidden/>
          </w:rPr>
          <w:fldChar w:fldCharType="begin"/>
        </w:r>
        <w:r w:rsidR="008907E4">
          <w:rPr>
            <w:noProof/>
            <w:webHidden/>
          </w:rPr>
          <w:instrText xml:space="preserve"> PAGEREF _Toc80380284 \h </w:instrText>
        </w:r>
        <w:r w:rsidR="008907E4">
          <w:rPr>
            <w:noProof/>
            <w:webHidden/>
          </w:rPr>
        </w:r>
        <w:r w:rsidR="008907E4">
          <w:rPr>
            <w:noProof/>
            <w:webHidden/>
          </w:rPr>
          <w:fldChar w:fldCharType="separate"/>
        </w:r>
        <w:r w:rsidR="00E86865">
          <w:rPr>
            <w:noProof/>
            <w:webHidden/>
          </w:rPr>
          <w:t>194</w:t>
        </w:r>
        <w:r w:rsidR="008907E4">
          <w:rPr>
            <w:noProof/>
            <w:webHidden/>
          </w:rPr>
          <w:fldChar w:fldCharType="end"/>
        </w:r>
      </w:hyperlink>
    </w:p>
    <w:p w14:paraId="48B1A53D" w14:textId="5326F863" w:rsidR="008907E4" w:rsidRDefault="00C23355" w:rsidP="00E14ED4">
      <w:pPr>
        <w:pStyle w:val="TableofFigures"/>
        <w:tabs>
          <w:tab w:val="right" w:leader="dot" w:pos="8009"/>
        </w:tabs>
        <w:spacing w:before="0"/>
        <w:rPr>
          <w:rFonts w:asciiTheme="minorHAnsi" w:eastAsiaTheme="minorEastAsia" w:hAnsiTheme="minorHAnsi"/>
          <w:noProof/>
          <w:lang w:val="en-US"/>
        </w:rPr>
      </w:pPr>
      <w:hyperlink w:anchor="_Toc80380285" w:history="1">
        <w:r w:rsidR="008907E4" w:rsidRPr="000A5DD0">
          <w:rPr>
            <w:rStyle w:val="Hyperlink"/>
            <w:noProof/>
          </w:rPr>
          <w:t>Tabela 38: Principais Etapas do Processo de Triagem Ambiental e Social para Subprojectos no âmbito da CERC</w:t>
        </w:r>
        <w:r w:rsidR="008907E4">
          <w:rPr>
            <w:noProof/>
            <w:webHidden/>
          </w:rPr>
          <w:tab/>
        </w:r>
        <w:r w:rsidR="008907E4">
          <w:rPr>
            <w:noProof/>
            <w:webHidden/>
          </w:rPr>
          <w:fldChar w:fldCharType="begin"/>
        </w:r>
        <w:r w:rsidR="008907E4">
          <w:rPr>
            <w:noProof/>
            <w:webHidden/>
          </w:rPr>
          <w:instrText xml:space="preserve"> PAGEREF _Toc80380285 \h </w:instrText>
        </w:r>
        <w:r w:rsidR="008907E4">
          <w:rPr>
            <w:noProof/>
            <w:webHidden/>
          </w:rPr>
        </w:r>
        <w:r w:rsidR="008907E4">
          <w:rPr>
            <w:noProof/>
            <w:webHidden/>
          </w:rPr>
          <w:fldChar w:fldCharType="separate"/>
        </w:r>
        <w:r w:rsidR="00E86865">
          <w:rPr>
            <w:noProof/>
            <w:webHidden/>
          </w:rPr>
          <w:t>195</w:t>
        </w:r>
        <w:r w:rsidR="008907E4">
          <w:rPr>
            <w:noProof/>
            <w:webHidden/>
          </w:rPr>
          <w:fldChar w:fldCharType="end"/>
        </w:r>
      </w:hyperlink>
    </w:p>
    <w:p w14:paraId="7113DA49" w14:textId="4C314433" w:rsidR="00A6116B" w:rsidRPr="004500AE" w:rsidRDefault="000D7B05" w:rsidP="00E14ED4">
      <w:pPr>
        <w:pStyle w:val="TableofFigures"/>
        <w:tabs>
          <w:tab w:val="right" w:leader="dot" w:pos="8494"/>
        </w:tabs>
        <w:spacing w:before="0"/>
        <w:rPr>
          <w:rFonts w:asciiTheme="minorHAnsi" w:eastAsiaTheme="minorEastAsia" w:hAnsiTheme="minorHAnsi"/>
          <w:noProof/>
          <w:lang w:val="pt-PT"/>
        </w:rPr>
      </w:pPr>
      <w:r>
        <w:rPr>
          <w:rFonts w:cs="Arial"/>
          <w:bCs/>
          <w:lang w:val="pt-PT"/>
        </w:rPr>
        <w:fldChar w:fldCharType="end"/>
      </w:r>
      <w:r w:rsidR="009F6136" w:rsidRPr="00292532">
        <w:rPr>
          <w:rFonts w:cs="Arial"/>
          <w:bCs/>
          <w:lang w:val="pt-PT"/>
        </w:rPr>
        <w:fldChar w:fldCharType="begin"/>
      </w:r>
      <w:r w:rsidR="009F6136" w:rsidRPr="00292532">
        <w:rPr>
          <w:rFonts w:cs="Arial"/>
          <w:bCs/>
          <w:lang w:val="pt-PT"/>
        </w:rPr>
        <w:instrText xml:space="preserve"> TOC \h \z \c "Tabela" </w:instrText>
      </w:r>
      <w:r w:rsidR="009F6136" w:rsidRPr="00292532">
        <w:rPr>
          <w:rFonts w:cs="Arial"/>
          <w:bCs/>
          <w:lang w:val="pt-PT"/>
        </w:rPr>
        <w:fldChar w:fldCharType="separate"/>
      </w:r>
    </w:p>
    <w:p w14:paraId="13962C7A" w14:textId="3D2FD613" w:rsidR="00A6116B" w:rsidRDefault="00A6116B" w:rsidP="00E14ED4">
      <w:pPr>
        <w:pStyle w:val="TableofFigures"/>
        <w:tabs>
          <w:tab w:val="right" w:leader="dot" w:pos="8494"/>
        </w:tabs>
        <w:spacing w:before="0"/>
        <w:rPr>
          <w:rFonts w:asciiTheme="minorHAnsi" w:eastAsiaTheme="minorEastAsia" w:hAnsiTheme="minorHAnsi"/>
          <w:noProof/>
          <w:lang w:val="pt-PT"/>
        </w:rPr>
      </w:pPr>
    </w:p>
    <w:p w14:paraId="6F346666" w14:textId="49571A85" w:rsidR="000D7B05" w:rsidRDefault="000D7B05" w:rsidP="00E14ED4">
      <w:pPr>
        <w:spacing w:before="0" w:after="0"/>
        <w:rPr>
          <w:lang w:val="pt-PT"/>
        </w:rPr>
      </w:pPr>
    </w:p>
    <w:p w14:paraId="2DA137AF" w14:textId="36001C86" w:rsidR="000D7B05" w:rsidRDefault="000D7B05" w:rsidP="00E14ED4">
      <w:pPr>
        <w:spacing w:before="0" w:after="0"/>
        <w:rPr>
          <w:lang w:val="pt-PT"/>
        </w:rPr>
      </w:pPr>
    </w:p>
    <w:p w14:paraId="3D531739" w14:textId="77777777" w:rsidR="000D7B05" w:rsidRPr="004500AE" w:rsidRDefault="000D7B05" w:rsidP="00E14ED4">
      <w:pPr>
        <w:spacing w:before="0" w:after="0"/>
        <w:rPr>
          <w:lang w:val="pt-PT"/>
        </w:rPr>
      </w:pPr>
    </w:p>
    <w:p w14:paraId="539A6646" w14:textId="6CBD8A43" w:rsidR="000D7B05" w:rsidRDefault="000D7B05" w:rsidP="00E14ED4">
      <w:pPr>
        <w:spacing w:before="0" w:after="0"/>
        <w:rPr>
          <w:lang w:val="pt-PT"/>
        </w:rPr>
      </w:pPr>
    </w:p>
    <w:p w14:paraId="3E6E2E91" w14:textId="0B24A52C" w:rsidR="000D7B05" w:rsidRDefault="000D7B05" w:rsidP="00E14ED4">
      <w:pPr>
        <w:spacing w:before="0" w:after="0"/>
        <w:rPr>
          <w:lang w:val="pt-PT"/>
        </w:rPr>
      </w:pPr>
    </w:p>
    <w:p w14:paraId="17E1412F" w14:textId="77777777" w:rsidR="000D7B05" w:rsidRPr="004500AE" w:rsidRDefault="000D7B05" w:rsidP="00E14ED4">
      <w:pPr>
        <w:spacing w:before="0" w:after="0"/>
        <w:rPr>
          <w:lang w:val="pt-PT"/>
        </w:rPr>
      </w:pPr>
    </w:p>
    <w:p w14:paraId="56C6EECE" w14:textId="77777777" w:rsidR="00CF1E50" w:rsidRDefault="00CF1E50" w:rsidP="00E14ED4">
      <w:pPr>
        <w:spacing w:before="0" w:after="0"/>
        <w:rPr>
          <w:rFonts w:cs="Arial"/>
          <w:bCs/>
          <w:sz w:val="32"/>
          <w:szCs w:val="32"/>
          <w:lang w:val="pt-PT"/>
        </w:rPr>
      </w:pPr>
      <w:r>
        <w:rPr>
          <w:rFonts w:cs="Arial"/>
          <w:bCs/>
          <w:sz w:val="32"/>
          <w:szCs w:val="32"/>
          <w:lang w:val="pt-PT"/>
        </w:rPr>
        <w:br w:type="page"/>
      </w:r>
    </w:p>
    <w:p w14:paraId="36049E85" w14:textId="3E18C193" w:rsidR="00DF7F60" w:rsidRPr="00292532" w:rsidRDefault="00DF7F60" w:rsidP="00E14ED4">
      <w:pPr>
        <w:spacing w:before="0" w:after="0"/>
        <w:rPr>
          <w:rFonts w:cs="Arial"/>
          <w:bCs/>
          <w:sz w:val="32"/>
          <w:szCs w:val="32"/>
          <w:lang w:val="pt-PT"/>
        </w:rPr>
      </w:pPr>
      <w:r w:rsidRPr="00292532">
        <w:rPr>
          <w:rFonts w:cs="Arial"/>
          <w:bCs/>
          <w:sz w:val="32"/>
          <w:szCs w:val="32"/>
          <w:lang w:val="pt-PT"/>
        </w:rPr>
        <w:lastRenderedPageBreak/>
        <w:t xml:space="preserve">Lista de Anexos </w:t>
      </w:r>
    </w:p>
    <w:p w14:paraId="3EB7C8D0" w14:textId="2B9FB007" w:rsidR="00DF7F60" w:rsidRPr="00292532" w:rsidRDefault="00DF7F60" w:rsidP="00E14ED4">
      <w:pPr>
        <w:spacing w:before="0" w:after="0"/>
        <w:rPr>
          <w:rFonts w:cs="Arial"/>
          <w:bCs/>
          <w:sz w:val="32"/>
          <w:szCs w:val="32"/>
          <w:lang w:val="pt-PT"/>
        </w:rPr>
      </w:pPr>
    </w:p>
    <w:tbl>
      <w:tblPr>
        <w:tblStyle w:val="TableGrid9"/>
        <w:tblW w:w="885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0"/>
        <w:gridCol w:w="666"/>
      </w:tblGrid>
      <w:tr w:rsidR="00DF7F60" w:rsidRPr="00292532" w14:paraId="2F31DB3C" w14:textId="77777777" w:rsidTr="00DF7F60">
        <w:tc>
          <w:tcPr>
            <w:tcW w:w="8190" w:type="dxa"/>
          </w:tcPr>
          <w:p w14:paraId="45A117F9" w14:textId="1B57412A" w:rsidR="00DF7F60" w:rsidRPr="004500AE" w:rsidRDefault="00DF7F60" w:rsidP="00E14ED4">
            <w:pPr>
              <w:rPr>
                <w:b/>
                <w:bCs/>
                <w:lang w:val="pt-PT"/>
              </w:rPr>
            </w:pPr>
            <w:r w:rsidRPr="004500AE">
              <w:rPr>
                <w:b/>
                <w:bCs/>
                <w:lang w:val="pt-PT"/>
              </w:rPr>
              <w:t>ANEXO</w:t>
            </w:r>
          </w:p>
        </w:tc>
        <w:tc>
          <w:tcPr>
            <w:tcW w:w="666" w:type="dxa"/>
          </w:tcPr>
          <w:p w14:paraId="50217928" w14:textId="4150008F" w:rsidR="00DF7F60" w:rsidRPr="004500AE" w:rsidRDefault="00DF7F60" w:rsidP="00E14ED4">
            <w:pPr>
              <w:rPr>
                <w:b/>
                <w:bCs/>
                <w:lang w:val="pt-PT"/>
              </w:rPr>
            </w:pPr>
            <w:r w:rsidRPr="004500AE">
              <w:rPr>
                <w:b/>
                <w:bCs/>
                <w:lang w:val="pt-PT"/>
              </w:rPr>
              <w:t>PAG.</w:t>
            </w:r>
          </w:p>
        </w:tc>
      </w:tr>
      <w:tr w:rsidR="00DF7F60" w:rsidRPr="00292532" w14:paraId="460B6BF8" w14:textId="77777777" w:rsidTr="00DF7F60">
        <w:tc>
          <w:tcPr>
            <w:tcW w:w="8190" w:type="dxa"/>
            <w:hideMark/>
          </w:tcPr>
          <w:p w14:paraId="26B44F43" w14:textId="191238D0" w:rsidR="00DF7F60" w:rsidRPr="00292532" w:rsidRDefault="00DF7F60" w:rsidP="00E14ED4">
            <w:pPr>
              <w:rPr>
                <w:lang w:val="pt-PT"/>
              </w:rPr>
            </w:pPr>
            <w:r w:rsidRPr="00292532">
              <w:rPr>
                <w:lang w:val="pt-PT"/>
              </w:rPr>
              <w:t xml:space="preserve">Anexo 1 - </w:t>
            </w:r>
            <w:r w:rsidR="003D73CB" w:rsidRPr="00292532">
              <w:rPr>
                <w:lang w:val="pt-PT"/>
              </w:rPr>
              <w:t xml:space="preserve">Formulário de Triagem Ambiental e Social e Ficha de </w:t>
            </w:r>
            <w:r w:rsidR="00F638C3" w:rsidRPr="00292532">
              <w:rPr>
                <w:lang w:val="pt-PT"/>
              </w:rPr>
              <w:t>Informação</w:t>
            </w:r>
            <w:r w:rsidR="003D73CB" w:rsidRPr="00292532">
              <w:rPr>
                <w:lang w:val="pt-PT"/>
              </w:rPr>
              <w:t xml:space="preserve"> Ambiental Preliminar</w:t>
            </w:r>
            <w:r w:rsidR="00F638C3" w:rsidRPr="00292532">
              <w:rPr>
                <w:lang w:val="pt-PT"/>
              </w:rPr>
              <w:t xml:space="preserve"> </w:t>
            </w:r>
          </w:p>
        </w:tc>
        <w:tc>
          <w:tcPr>
            <w:tcW w:w="666" w:type="dxa"/>
            <w:hideMark/>
          </w:tcPr>
          <w:p w14:paraId="6E51753C" w14:textId="77777777" w:rsidR="00DF7F60" w:rsidRPr="00292532" w:rsidRDefault="00DF7F60" w:rsidP="00E14ED4">
            <w:pPr>
              <w:rPr>
                <w:lang w:val="pt-PT"/>
              </w:rPr>
            </w:pPr>
            <w:r w:rsidRPr="00292532">
              <w:rPr>
                <w:lang w:val="pt-PT"/>
              </w:rPr>
              <w:t>180</w:t>
            </w:r>
          </w:p>
        </w:tc>
      </w:tr>
      <w:tr w:rsidR="00DF7F60" w:rsidRPr="00292532" w14:paraId="052D8CFE" w14:textId="77777777" w:rsidTr="00DF7F60">
        <w:tc>
          <w:tcPr>
            <w:tcW w:w="8190" w:type="dxa"/>
            <w:hideMark/>
          </w:tcPr>
          <w:p w14:paraId="3F39D599" w14:textId="6B1A46B2" w:rsidR="00DF7F60" w:rsidRPr="00292532" w:rsidRDefault="00DF7F60" w:rsidP="00E14ED4">
            <w:pPr>
              <w:rPr>
                <w:lang w:val="pt-PT"/>
              </w:rPr>
            </w:pPr>
            <w:r w:rsidRPr="00292532">
              <w:rPr>
                <w:lang w:val="pt-PT"/>
              </w:rPr>
              <w:t xml:space="preserve">Anexo 2 - </w:t>
            </w:r>
            <w:r w:rsidR="003D73CB" w:rsidRPr="00292532">
              <w:rPr>
                <w:lang w:val="pt-PT"/>
              </w:rPr>
              <w:t>Termos de Referência Padrão para a Avaliação de Impacto Ambiental e Social</w:t>
            </w:r>
          </w:p>
        </w:tc>
        <w:tc>
          <w:tcPr>
            <w:tcW w:w="666" w:type="dxa"/>
            <w:hideMark/>
          </w:tcPr>
          <w:p w14:paraId="28C41385" w14:textId="77777777" w:rsidR="00DF7F60" w:rsidRPr="00292532" w:rsidRDefault="00DF7F60" w:rsidP="00E14ED4">
            <w:pPr>
              <w:rPr>
                <w:lang w:val="pt-PT"/>
              </w:rPr>
            </w:pPr>
            <w:r w:rsidRPr="00292532">
              <w:rPr>
                <w:lang w:val="pt-PT"/>
              </w:rPr>
              <w:t>219</w:t>
            </w:r>
          </w:p>
        </w:tc>
      </w:tr>
      <w:tr w:rsidR="00DF7F60" w:rsidRPr="00292532" w14:paraId="7EF20AEB" w14:textId="77777777" w:rsidTr="00DF7F60">
        <w:tc>
          <w:tcPr>
            <w:tcW w:w="8190" w:type="dxa"/>
            <w:hideMark/>
          </w:tcPr>
          <w:p w14:paraId="3F869E2D" w14:textId="6A171146" w:rsidR="00DF7F60" w:rsidRPr="00292532" w:rsidRDefault="00DF7F60" w:rsidP="00E14ED4">
            <w:pPr>
              <w:rPr>
                <w:lang w:val="pt-PT"/>
              </w:rPr>
            </w:pPr>
            <w:r w:rsidRPr="00292532">
              <w:rPr>
                <w:lang w:val="pt-PT"/>
              </w:rPr>
              <w:t xml:space="preserve">Anexo 3 – </w:t>
            </w:r>
            <w:r w:rsidR="003D73CB" w:rsidRPr="00292532">
              <w:rPr>
                <w:lang w:val="pt-PT"/>
              </w:rPr>
              <w:t xml:space="preserve">Directrizes para Relatórios Trimestrais e </w:t>
            </w:r>
            <w:r w:rsidR="00720ADE" w:rsidRPr="00292532">
              <w:rPr>
                <w:lang w:val="pt-PT"/>
              </w:rPr>
              <w:t>Anuais</w:t>
            </w:r>
          </w:p>
        </w:tc>
        <w:tc>
          <w:tcPr>
            <w:tcW w:w="666" w:type="dxa"/>
            <w:hideMark/>
          </w:tcPr>
          <w:p w14:paraId="2A6EFD24" w14:textId="77777777" w:rsidR="00DF7F60" w:rsidRPr="00292532" w:rsidRDefault="00DF7F60" w:rsidP="00E14ED4">
            <w:pPr>
              <w:rPr>
                <w:lang w:val="pt-PT"/>
              </w:rPr>
            </w:pPr>
            <w:r w:rsidRPr="00292532">
              <w:rPr>
                <w:lang w:val="pt-PT"/>
              </w:rPr>
              <w:t>225</w:t>
            </w:r>
          </w:p>
        </w:tc>
      </w:tr>
      <w:tr w:rsidR="00DF7F60" w:rsidRPr="00292532" w14:paraId="6E6E3C96" w14:textId="77777777" w:rsidTr="00DF7F60">
        <w:tc>
          <w:tcPr>
            <w:tcW w:w="8190" w:type="dxa"/>
            <w:hideMark/>
          </w:tcPr>
          <w:p w14:paraId="2699C618" w14:textId="11FE98F4" w:rsidR="00DF7F60" w:rsidRPr="00292532" w:rsidRDefault="00DF7F60" w:rsidP="00E14ED4">
            <w:pPr>
              <w:rPr>
                <w:lang w:val="pt-PT"/>
              </w:rPr>
            </w:pPr>
            <w:r w:rsidRPr="00292532">
              <w:rPr>
                <w:lang w:val="pt-PT"/>
              </w:rPr>
              <w:t xml:space="preserve">Anexo 4 - </w:t>
            </w:r>
            <w:r w:rsidR="003D73CB" w:rsidRPr="00292532">
              <w:rPr>
                <w:lang w:val="pt-PT"/>
              </w:rPr>
              <w:t>Plano de Gestão Ambiental Social (</w:t>
            </w:r>
            <w:r w:rsidR="001978AF" w:rsidRPr="00292532">
              <w:rPr>
                <w:lang w:val="pt-PT"/>
              </w:rPr>
              <w:t>PGAS</w:t>
            </w:r>
            <w:r w:rsidR="003D73CB" w:rsidRPr="00292532">
              <w:rPr>
                <w:lang w:val="pt-PT"/>
              </w:rPr>
              <w:t>) Genérico</w:t>
            </w:r>
          </w:p>
        </w:tc>
        <w:tc>
          <w:tcPr>
            <w:tcW w:w="666" w:type="dxa"/>
            <w:hideMark/>
          </w:tcPr>
          <w:p w14:paraId="74514FC5" w14:textId="77777777" w:rsidR="00DF7F60" w:rsidRPr="00292532" w:rsidRDefault="00DF7F60" w:rsidP="00E14ED4">
            <w:pPr>
              <w:rPr>
                <w:lang w:val="pt-PT"/>
              </w:rPr>
            </w:pPr>
            <w:r w:rsidRPr="00292532">
              <w:rPr>
                <w:lang w:val="pt-PT"/>
              </w:rPr>
              <w:t>232</w:t>
            </w:r>
          </w:p>
        </w:tc>
      </w:tr>
      <w:tr w:rsidR="00DF7F60" w:rsidRPr="00292532" w14:paraId="25D0ED71" w14:textId="77777777" w:rsidTr="00DF7F60">
        <w:tc>
          <w:tcPr>
            <w:tcW w:w="8190" w:type="dxa"/>
            <w:hideMark/>
          </w:tcPr>
          <w:p w14:paraId="161748CC" w14:textId="77777777" w:rsidR="00DF7F60" w:rsidRPr="00292532" w:rsidRDefault="00DF7F60" w:rsidP="00E14ED4">
            <w:pPr>
              <w:rPr>
                <w:lang w:val="pt-PT"/>
              </w:rPr>
            </w:pPr>
            <w:r w:rsidRPr="00292532">
              <w:rPr>
                <w:lang w:val="pt-PT"/>
              </w:rPr>
              <w:t>Anexo 5 - Avaliação de Risco de Perigo e Prontidão de Resposta à Emergência (ARP-PRE)</w:t>
            </w:r>
          </w:p>
        </w:tc>
        <w:tc>
          <w:tcPr>
            <w:tcW w:w="666" w:type="dxa"/>
            <w:hideMark/>
          </w:tcPr>
          <w:p w14:paraId="165068CB" w14:textId="77777777" w:rsidR="00DF7F60" w:rsidRPr="00292532" w:rsidRDefault="00DF7F60" w:rsidP="00E14ED4">
            <w:pPr>
              <w:rPr>
                <w:lang w:val="pt-PT"/>
              </w:rPr>
            </w:pPr>
            <w:r w:rsidRPr="00292532">
              <w:rPr>
                <w:lang w:val="pt-PT"/>
              </w:rPr>
              <w:t>239</w:t>
            </w:r>
          </w:p>
        </w:tc>
      </w:tr>
      <w:tr w:rsidR="00DF7F60" w:rsidRPr="00292532" w14:paraId="199F488C" w14:textId="77777777" w:rsidTr="00DF7F60">
        <w:tc>
          <w:tcPr>
            <w:tcW w:w="8190" w:type="dxa"/>
            <w:hideMark/>
          </w:tcPr>
          <w:p w14:paraId="5B31DCA5" w14:textId="77777777" w:rsidR="00DF7F60" w:rsidRPr="00292532" w:rsidRDefault="00DF7F60" w:rsidP="00E14ED4">
            <w:pPr>
              <w:rPr>
                <w:lang w:val="pt-PT"/>
              </w:rPr>
            </w:pPr>
            <w:r w:rsidRPr="00292532">
              <w:rPr>
                <w:lang w:val="pt-PT"/>
              </w:rPr>
              <w:t>Anexo 6 – Plano de Saúde e Segurança Comunitária</w:t>
            </w:r>
          </w:p>
        </w:tc>
        <w:tc>
          <w:tcPr>
            <w:tcW w:w="666" w:type="dxa"/>
            <w:hideMark/>
          </w:tcPr>
          <w:p w14:paraId="22EA828E" w14:textId="77777777" w:rsidR="00DF7F60" w:rsidRPr="00292532" w:rsidRDefault="00DF7F60" w:rsidP="00E14ED4">
            <w:pPr>
              <w:rPr>
                <w:lang w:val="pt-PT"/>
              </w:rPr>
            </w:pPr>
            <w:r w:rsidRPr="00292532">
              <w:rPr>
                <w:lang w:val="pt-PT"/>
              </w:rPr>
              <w:t>242</w:t>
            </w:r>
          </w:p>
        </w:tc>
      </w:tr>
      <w:tr w:rsidR="00DF7F60" w:rsidRPr="00292532" w14:paraId="0D6F39A3" w14:textId="77777777" w:rsidTr="00DF7F60">
        <w:tc>
          <w:tcPr>
            <w:tcW w:w="8190" w:type="dxa"/>
            <w:hideMark/>
          </w:tcPr>
          <w:p w14:paraId="0EAED6DD" w14:textId="77777777" w:rsidR="00DF7F60" w:rsidRPr="00292532" w:rsidRDefault="00DF7F60" w:rsidP="00E14ED4">
            <w:pPr>
              <w:rPr>
                <w:lang w:val="pt-PT"/>
              </w:rPr>
            </w:pPr>
            <w:r w:rsidRPr="00292532">
              <w:rPr>
                <w:lang w:val="pt-PT"/>
              </w:rPr>
              <w:t xml:space="preserve">Anexo 7 – Plano de Gestão e Prevenção da Poluição </w:t>
            </w:r>
          </w:p>
        </w:tc>
        <w:tc>
          <w:tcPr>
            <w:tcW w:w="666" w:type="dxa"/>
            <w:hideMark/>
          </w:tcPr>
          <w:p w14:paraId="64759202" w14:textId="77777777" w:rsidR="00DF7F60" w:rsidRPr="00292532" w:rsidRDefault="00DF7F60" w:rsidP="00E14ED4">
            <w:pPr>
              <w:rPr>
                <w:lang w:val="pt-PT"/>
              </w:rPr>
            </w:pPr>
            <w:r w:rsidRPr="00292532">
              <w:rPr>
                <w:lang w:val="pt-PT"/>
              </w:rPr>
              <w:t>247</w:t>
            </w:r>
          </w:p>
        </w:tc>
      </w:tr>
      <w:tr w:rsidR="00DF7F60" w:rsidRPr="00292532" w14:paraId="59DF5F1E" w14:textId="77777777" w:rsidTr="00DF7F60">
        <w:tc>
          <w:tcPr>
            <w:tcW w:w="8190" w:type="dxa"/>
            <w:hideMark/>
          </w:tcPr>
          <w:p w14:paraId="7F02CCB2" w14:textId="77777777" w:rsidR="00DF7F60" w:rsidRPr="00292532" w:rsidRDefault="00DF7F60" w:rsidP="00E14ED4">
            <w:pPr>
              <w:rPr>
                <w:lang w:val="pt-PT"/>
              </w:rPr>
            </w:pPr>
            <w:r w:rsidRPr="00292532">
              <w:rPr>
                <w:lang w:val="pt-PT"/>
              </w:rPr>
              <w:t xml:space="preserve">Anexo 8 – Procedimentos de Gestão de Património Cultural </w:t>
            </w:r>
          </w:p>
        </w:tc>
        <w:tc>
          <w:tcPr>
            <w:tcW w:w="666" w:type="dxa"/>
            <w:hideMark/>
          </w:tcPr>
          <w:p w14:paraId="2973C87E" w14:textId="77777777" w:rsidR="00DF7F60" w:rsidRPr="00292532" w:rsidRDefault="00DF7F60" w:rsidP="00E14ED4">
            <w:pPr>
              <w:rPr>
                <w:lang w:val="pt-PT"/>
              </w:rPr>
            </w:pPr>
            <w:r w:rsidRPr="00292532">
              <w:rPr>
                <w:lang w:val="pt-PT"/>
              </w:rPr>
              <w:t>255</w:t>
            </w:r>
          </w:p>
        </w:tc>
      </w:tr>
      <w:tr w:rsidR="00DF7F60" w:rsidRPr="00292532" w14:paraId="4DE10980" w14:textId="77777777" w:rsidTr="00DF7F60">
        <w:tc>
          <w:tcPr>
            <w:tcW w:w="8190" w:type="dxa"/>
            <w:hideMark/>
          </w:tcPr>
          <w:p w14:paraId="6950D777" w14:textId="4AB681DF" w:rsidR="00DF7F60" w:rsidRPr="00292532" w:rsidRDefault="00DF7F60" w:rsidP="00E14ED4">
            <w:pPr>
              <w:rPr>
                <w:lang w:val="pt-PT"/>
              </w:rPr>
            </w:pPr>
            <w:r w:rsidRPr="00292532">
              <w:rPr>
                <w:lang w:val="pt-PT"/>
              </w:rPr>
              <w:t xml:space="preserve">Anexo 9 – </w:t>
            </w:r>
            <w:r w:rsidR="003D73CB" w:rsidRPr="00292532">
              <w:rPr>
                <w:lang w:val="pt-PT"/>
              </w:rPr>
              <w:t>Plano de Gestão de Mão-de-Obra e de Gestão de Saúde e Segurança Ocupacional</w:t>
            </w:r>
          </w:p>
        </w:tc>
        <w:tc>
          <w:tcPr>
            <w:tcW w:w="666" w:type="dxa"/>
            <w:hideMark/>
          </w:tcPr>
          <w:p w14:paraId="5D66DAB4" w14:textId="77777777" w:rsidR="00DF7F60" w:rsidRPr="00292532" w:rsidRDefault="00DF7F60" w:rsidP="00E14ED4">
            <w:pPr>
              <w:rPr>
                <w:lang w:val="pt-PT"/>
              </w:rPr>
            </w:pPr>
            <w:r w:rsidRPr="00292532">
              <w:rPr>
                <w:lang w:val="pt-PT"/>
              </w:rPr>
              <w:t>259</w:t>
            </w:r>
          </w:p>
        </w:tc>
      </w:tr>
      <w:tr w:rsidR="00DF7F60" w:rsidRPr="00292532" w14:paraId="7747494F" w14:textId="77777777" w:rsidTr="00DF7F60">
        <w:tc>
          <w:tcPr>
            <w:tcW w:w="8190" w:type="dxa"/>
            <w:hideMark/>
          </w:tcPr>
          <w:p w14:paraId="4D3652BC" w14:textId="77777777" w:rsidR="00DF7F60" w:rsidRPr="00292532" w:rsidRDefault="00DF7F60" w:rsidP="00E14ED4">
            <w:pPr>
              <w:rPr>
                <w:lang w:val="pt-PT"/>
              </w:rPr>
            </w:pPr>
            <w:r w:rsidRPr="00292532">
              <w:rPr>
                <w:lang w:val="pt-PT"/>
              </w:rPr>
              <w:t>Anexo 10 – Directrizes de Gestão do Tráfego Rodoviário</w:t>
            </w:r>
          </w:p>
        </w:tc>
        <w:tc>
          <w:tcPr>
            <w:tcW w:w="666" w:type="dxa"/>
            <w:hideMark/>
          </w:tcPr>
          <w:p w14:paraId="3810CAF7" w14:textId="77777777" w:rsidR="00DF7F60" w:rsidRPr="00292532" w:rsidRDefault="00DF7F60" w:rsidP="00E14ED4">
            <w:pPr>
              <w:rPr>
                <w:lang w:val="pt-PT"/>
              </w:rPr>
            </w:pPr>
            <w:r w:rsidRPr="00292532">
              <w:rPr>
                <w:lang w:val="pt-PT"/>
              </w:rPr>
              <w:t>264</w:t>
            </w:r>
          </w:p>
        </w:tc>
      </w:tr>
      <w:tr w:rsidR="00DF7F60" w:rsidRPr="00292532" w14:paraId="3E5243D0" w14:textId="77777777" w:rsidTr="00DF7F60">
        <w:tc>
          <w:tcPr>
            <w:tcW w:w="8190" w:type="dxa"/>
            <w:hideMark/>
          </w:tcPr>
          <w:p w14:paraId="04D444E7" w14:textId="56A130FC" w:rsidR="00DF7F60" w:rsidRPr="00292532" w:rsidRDefault="00DF7F60" w:rsidP="00E14ED4">
            <w:pPr>
              <w:rPr>
                <w:lang w:val="pt-PT"/>
              </w:rPr>
            </w:pPr>
            <w:r w:rsidRPr="00292532">
              <w:rPr>
                <w:lang w:val="pt-PT"/>
              </w:rPr>
              <w:t xml:space="preserve">Anexo 11 – </w:t>
            </w:r>
            <w:r w:rsidR="003D73CB" w:rsidRPr="00292532">
              <w:rPr>
                <w:lang w:val="pt-PT"/>
              </w:rPr>
              <w:t>Plano de Contingência da COVID-19</w:t>
            </w:r>
          </w:p>
        </w:tc>
        <w:tc>
          <w:tcPr>
            <w:tcW w:w="666" w:type="dxa"/>
            <w:hideMark/>
          </w:tcPr>
          <w:p w14:paraId="5E64064B" w14:textId="77777777" w:rsidR="00DF7F60" w:rsidRPr="00292532" w:rsidRDefault="00DF7F60" w:rsidP="00E14ED4">
            <w:pPr>
              <w:rPr>
                <w:lang w:val="pt-PT"/>
              </w:rPr>
            </w:pPr>
            <w:r w:rsidRPr="00292532">
              <w:rPr>
                <w:lang w:val="pt-PT"/>
              </w:rPr>
              <w:t>267</w:t>
            </w:r>
          </w:p>
        </w:tc>
      </w:tr>
      <w:tr w:rsidR="00DF7F60" w:rsidRPr="00292532" w14:paraId="14D27196" w14:textId="77777777" w:rsidTr="00DF7F60">
        <w:tc>
          <w:tcPr>
            <w:tcW w:w="8190" w:type="dxa"/>
            <w:hideMark/>
          </w:tcPr>
          <w:p w14:paraId="750050DC" w14:textId="00E11FBF" w:rsidR="00DF7F60" w:rsidRPr="00292532" w:rsidRDefault="00DF7F60" w:rsidP="00E14ED4">
            <w:pPr>
              <w:rPr>
                <w:lang w:val="pt-PT"/>
              </w:rPr>
            </w:pPr>
            <w:r w:rsidRPr="00292532">
              <w:rPr>
                <w:lang w:val="pt-PT"/>
              </w:rPr>
              <w:t xml:space="preserve">Anexo 12 – </w:t>
            </w:r>
            <w:r w:rsidR="003D73CB" w:rsidRPr="00292532">
              <w:rPr>
                <w:lang w:val="pt-PT"/>
              </w:rPr>
              <w:t xml:space="preserve">Avaliação de Risco </w:t>
            </w:r>
            <w:r w:rsidR="00A50B4C" w:rsidRPr="00292532">
              <w:rPr>
                <w:lang w:val="pt-PT"/>
              </w:rPr>
              <w:t>e Plano de Acç</w:t>
            </w:r>
            <w:r w:rsidR="00292532">
              <w:rPr>
                <w:lang w:val="pt-PT"/>
              </w:rPr>
              <w:t>ã</w:t>
            </w:r>
            <w:r w:rsidR="00A50B4C" w:rsidRPr="00292532">
              <w:rPr>
                <w:lang w:val="pt-PT"/>
              </w:rPr>
              <w:t xml:space="preserve">o </w:t>
            </w:r>
            <w:r w:rsidR="00292532">
              <w:rPr>
                <w:lang w:val="pt-PT"/>
              </w:rPr>
              <w:t>Sobre</w:t>
            </w:r>
            <w:r w:rsidR="00A50B4C" w:rsidRPr="00292532">
              <w:rPr>
                <w:lang w:val="pt-PT"/>
              </w:rPr>
              <w:t xml:space="preserve"> Viol</w:t>
            </w:r>
            <w:r w:rsidR="00292532">
              <w:rPr>
                <w:lang w:val="pt-PT"/>
              </w:rPr>
              <w:t>ê</w:t>
            </w:r>
            <w:r w:rsidR="00A50B4C" w:rsidRPr="00292532">
              <w:rPr>
                <w:lang w:val="pt-PT"/>
              </w:rPr>
              <w:t>ncia Baseada no Género</w:t>
            </w:r>
          </w:p>
        </w:tc>
        <w:tc>
          <w:tcPr>
            <w:tcW w:w="666" w:type="dxa"/>
            <w:hideMark/>
          </w:tcPr>
          <w:p w14:paraId="282B0102" w14:textId="77777777" w:rsidR="00DF7F60" w:rsidRPr="00292532" w:rsidRDefault="00DF7F60" w:rsidP="00E14ED4">
            <w:pPr>
              <w:rPr>
                <w:lang w:val="pt-PT"/>
              </w:rPr>
            </w:pPr>
            <w:r w:rsidRPr="00292532">
              <w:rPr>
                <w:lang w:val="pt-PT"/>
              </w:rPr>
              <w:t>307</w:t>
            </w:r>
          </w:p>
        </w:tc>
      </w:tr>
      <w:tr w:rsidR="00DF7F60" w:rsidRPr="00292532" w14:paraId="5A0AE4C4" w14:textId="77777777" w:rsidTr="00DF7F60">
        <w:tc>
          <w:tcPr>
            <w:tcW w:w="8190" w:type="dxa"/>
            <w:hideMark/>
          </w:tcPr>
          <w:p w14:paraId="685C4262" w14:textId="578BA0F3" w:rsidR="00DF7F60" w:rsidRPr="00292532" w:rsidRDefault="00DF7F60" w:rsidP="00E14ED4">
            <w:pPr>
              <w:rPr>
                <w:lang w:val="pt-PT"/>
              </w:rPr>
            </w:pPr>
            <w:r w:rsidRPr="00292532">
              <w:rPr>
                <w:lang w:val="pt-PT"/>
              </w:rPr>
              <w:t xml:space="preserve">Anexo 13 – </w:t>
            </w:r>
            <w:r w:rsidR="003D73CB" w:rsidRPr="00292532">
              <w:rPr>
                <w:lang w:val="pt-PT"/>
              </w:rPr>
              <w:t>Relatório de Consulta Pública</w:t>
            </w:r>
          </w:p>
        </w:tc>
        <w:tc>
          <w:tcPr>
            <w:tcW w:w="666" w:type="dxa"/>
            <w:hideMark/>
          </w:tcPr>
          <w:p w14:paraId="366BA0F7" w14:textId="77777777" w:rsidR="00DF7F60" w:rsidRPr="00292532" w:rsidRDefault="00DF7F60" w:rsidP="00E14ED4">
            <w:pPr>
              <w:rPr>
                <w:lang w:val="pt-PT"/>
              </w:rPr>
            </w:pPr>
            <w:r w:rsidRPr="00292532">
              <w:rPr>
                <w:lang w:val="pt-PT"/>
              </w:rPr>
              <w:t>317</w:t>
            </w:r>
          </w:p>
        </w:tc>
      </w:tr>
      <w:tr w:rsidR="00DF7F60" w:rsidRPr="00292532" w14:paraId="42288C7C" w14:textId="77777777" w:rsidTr="004500AE">
        <w:tc>
          <w:tcPr>
            <w:tcW w:w="8190" w:type="dxa"/>
          </w:tcPr>
          <w:p w14:paraId="6EF72684" w14:textId="22AA7DD2" w:rsidR="00DF7F60" w:rsidRPr="00292532" w:rsidRDefault="00DF7F60" w:rsidP="00E14ED4">
            <w:pPr>
              <w:rPr>
                <w:lang w:val="pt-PT"/>
              </w:rPr>
            </w:pPr>
          </w:p>
        </w:tc>
        <w:tc>
          <w:tcPr>
            <w:tcW w:w="666" w:type="dxa"/>
          </w:tcPr>
          <w:p w14:paraId="1A8D84B3" w14:textId="01A9A3AE" w:rsidR="00DF7F60" w:rsidRPr="00292532" w:rsidRDefault="00DF7F60" w:rsidP="00E14ED4">
            <w:pPr>
              <w:rPr>
                <w:lang w:val="pt-PT"/>
              </w:rPr>
            </w:pPr>
          </w:p>
        </w:tc>
      </w:tr>
    </w:tbl>
    <w:p w14:paraId="3CD4426A" w14:textId="77777777" w:rsidR="00DF7F60" w:rsidRPr="004500AE" w:rsidRDefault="00DF7F60" w:rsidP="00E14ED4">
      <w:pPr>
        <w:spacing w:before="0" w:after="0"/>
        <w:rPr>
          <w:lang w:val="pt-PT"/>
        </w:rPr>
      </w:pPr>
    </w:p>
    <w:p w14:paraId="10B89FA9" w14:textId="42325B36" w:rsidR="00A1194C" w:rsidRPr="00292532" w:rsidRDefault="009F6136" w:rsidP="00635E6C">
      <w:pPr>
        <w:spacing w:before="0" w:after="0"/>
        <w:rPr>
          <w:rFonts w:cs="Arial"/>
          <w:bCs/>
          <w:lang w:val="pt-PT"/>
        </w:rPr>
      </w:pPr>
      <w:r w:rsidRPr="00292532">
        <w:rPr>
          <w:rFonts w:cs="Arial"/>
          <w:bCs/>
          <w:lang w:val="pt-PT"/>
        </w:rPr>
        <w:fldChar w:fldCharType="end"/>
      </w:r>
      <w:r w:rsidR="00635E6C" w:rsidRPr="00292532">
        <w:rPr>
          <w:rFonts w:cs="Arial"/>
          <w:bCs/>
          <w:lang w:val="pt-PT"/>
        </w:rPr>
        <w:t xml:space="preserve"> </w:t>
      </w:r>
    </w:p>
    <w:p w14:paraId="7F8634AF" w14:textId="505BBB1D" w:rsidR="001A1DDA" w:rsidRPr="00292532" w:rsidRDefault="001A1DDA" w:rsidP="007A42C5">
      <w:pPr>
        <w:spacing w:before="0" w:after="0"/>
        <w:rPr>
          <w:rFonts w:cs="Arial"/>
          <w:lang w:val="pt-PT"/>
        </w:rPr>
      </w:pPr>
      <w:r w:rsidRPr="00292532">
        <w:rPr>
          <w:rFonts w:cs="Arial"/>
          <w:bCs/>
          <w:lang w:val="pt-PT"/>
        </w:rPr>
        <w:br w:type="page"/>
      </w:r>
    </w:p>
    <w:p w14:paraId="177755E4" w14:textId="5B15BB04" w:rsidR="00A9374D" w:rsidRPr="00292532" w:rsidRDefault="00A9374D" w:rsidP="000D7B05">
      <w:pPr>
        <w:pStyle w:val="Title"/>
      </w:pPr>
      <w:r w:rsidRPr="00292532">
        <w:lastRenderedPageBreak/>
        <w:t>(BLANK PAGE)</w:t>
      </w:r>
      <w:r w:rsidRPr="00292532">
        <w:br w:type="page"/>
      </w:r>
    </w:p>
    <w:p w14:paraId="5C292E41" w14:textId="0FE13F60" w:rsidR="005D41BD" w:rsidRPr="00292532" w:rsidRDefault="00CE2CE8" w:rsidP="000D7B05">
      <w:pPr>
        <w:pStyle w:val="Title"/>
      </w:pPr>
      <w:r w:rsidRPr="00292532">
        <w:lastRenderedPageBreak/>
        <w:t>SUMÁRIO EXECUTIVO</w:t>
      </w:r>
      <w:r w:rsidR="00A8096B" w:rsidRPr="00292532">
        <w:t xml:space="preserve"> </w:t>
      </w:r>
    </w:p>
    <w:p w14:paraId="5B2B91DD" w14:textId="77777777" w:rsidR="00F37AC7" w:rsidRPr="00292532" w:rsidRDefault="00F37AC7" w:rsidP="004C0194">
      <w:pPr>
        <w:spacing w:before="0" w:line="259" w:lineRule="auto"/>
        <w:rPr>
          <w:rFonts w:eastAsia="Calibri" w:cs="Times New Roman"/>
          <w:lang w:val="pt-PT"/>
        </w:rPr>
      </w:pPr>
    </w:p>
    <w:p w14:paraId="003D9CD3" w14:textId="3894A73E" w:rsidR="004C0194" w:rsidRPr="00292532" w:rsidRDefault="004C0194" w:rsidP="004C0194">
      <w:pPr>
        <w:spacing w:before="0" w:line="259" w:lineRule="auto"/>
        <w:rPr>
          <w:rFonts w:eastAsia="Calibri" w:cs="Times New Roman"/>
          <w:lang w:val="pt-PT"/>
        </w:rPr>
      </w:pPr>
      <w:r w:rsidRPr="00292532">
        <w:rPr>
          <w:rFonts w:eastAsia="Calibri" w:cs="Times New Roman"/>
          <w:lang w:val="pt-PT"/>
        </w:rPr>
        <w:t>O Governo de Moçambique (</w:t>
      </w:r>
      <w:proofErr w:type="spellStart"/>
      <w:r w:rsidRPr="00292532">
        <w:rPr>
          <w:rFonts w:eastAsia="Calibri" w:cs="Times New Roman"/>
          <w:lang w:val="pt-PT"/>
        </w:rPr>
        <w:t>GdM</w:t>
      </w:r>
      <w:proofErr w:type="spellEnd"/>
      <w:r w:rsidRPr="00292532">
        <w:rPr>
          <w:rFonts w:eastAsia="Calibri" w:cs="Times New Roman"/>
          <w:lang w:val="pt-PT"/>
        </w:rPr>
        <w:t xml:space="preserve">), através do Ministério das Obras Públicas, Habitação e Recursos Hídricos (MOPHRH) e por intermédio da </w:t>
      </w:r>
      <w:proofErr w:type="spellStart"/>
      <w:r w:rsidRPr="00292532">
        <w:rPr>
          <w:rFonts w:eastAsia="Calibri" w:cs="Times New Roman"/>
          <w:lang w:val="pt-PT"/>
        </w:rPr>
        <w:t>Direcção</w:t>
      </w:r>
      <w:proofErr w:type="spellEnd"/>
      <w:r w:rsidRPr="00292532">
        <w:rPr>
          <w:rFonts w:eastAsia="Calibri" w:cs="Times New Roman"/>
          <w:lang w:val="pt-PT"/>
        </w:rPr>
        <w:t xml:space="preserve"> Nacional de Abastecimento de Água e Saneamento (DNAAS)</w:t>
      </w:r>
      <w:r w:rsidR="001A6843">
        <w:rPr>
          <w:rFonts w:eastAsia="Calibri" w:cs="Times New Roman"/>
          <w:lang w:val="pt-PT"/>
        </w:rPr>
        <w:t xml:space="preserve">, </w:t>
      </w:r>
      <w:r w:rsidRPr="00292532">
        <w:rPr>
          <w:rFonts w:eastAsia="Calibri" w:cs="Times New Roman"/>
          <w:lang w:val="pt-PT"/>
        </w:rPr>
        <w:t xml:space="preserve"> a Administração de Infraestruturas de Água e Saneamento (AIAS)</w:t>
      </w:r>
      <w:r w:rsidR="001A6843">
        <w:rPr>
          <w:rFonts w:eastAsia="Calibri" w:cs="Times New Roman"/>
          <w:lang w:val="pt-PT"/>
        </w:rPr>
        <w:t xml:space="preserve"> e a Autoridade Reguladora de Água (AURA, IP)</w:t>
      </w:r>
      <w:r w:rsidRPr="00292532">
        <w:rPr>
          <w:rFonts w:eastAsia="Calibri" w:cs="Times New Roman"/>
          <w:lang w:val="pt-PT"/>
        </w:rPr>
        <w:t xml:space="preserve"> está a preparar o </w:t>
      </w:r>
      <w:proofErr w:type="spellStart"/>
      <w:r w:rsidRPr="00292532">
        <w:rPr>
          <w:rFonts w:eastAsia="Calibri" w:cs="Times New Roman"/>
          <w:b/>
          <w:bCs/>
          <w:lang w:val="pt-PT"/>
        </w:rPr>
        <w:t>Projecto</w:t>
      </w:r>
      <w:proofErr w:type="spellEnd"/>
      <w:r w:rsidRPr="00292532">
        <w:rPr>
          <w:rFonts w:eastAsia="Calibri" w:cs="Times New Roman"/>
          <w:b/>
          <w:bCs/>
          <w:lang w:val="pt-PT"/>
        </w:rPr>
        <w:t xml:space="preserve"> de Água Segura para Zonas Rurais e Vilas </w:t>
      </w:r>
      <w:r w:rsidRPr="00292532">
        <w:rPr>
          <w:rFonts w:eastAsia="Calibri" w:cs="Times New Roman"/>
          <w:lang w:val="pt-PT"/>
        </w:rPr>
        <w:t>(P 173518) doravante denominado "</w:t>
      </w:r>
      <w:proofErr w:type="spellStart"/>
      <w:r w:rsidRPr="00292532">
        <w:rPr>
          <w:rFonts w:eastAsia="Calibri" w:cs="Times New Roman"/>
          <w:b/>
          <w:bCs/>
          <w:lang w:val="pt-PT"/>
        </w:rPr>
        <w:t>Projecto</w:t>
      </w:r>
      <w:proofErr w:type="spellEnd"/>
      <w:r w:rsidRPr="00292532">
        <w:rPr>
          <w:rFonts w:eastAsia="Calibri" w:cs="Times New Roman"/>
          <w:b/>
          <w:bCs/>
          <w:lang w:val="pt-PT"/>
        </w:rPr>
        <w:t xml:space="preserve"> Água Segura</w:t>
      </w:r>
      <w:r w:rsidRPr="00292532">
        <w:rPr>
          <w:rFonts w:eastAsia="Calibri" w:cs="Times New Roman"/>
          <w:lang w:val="pt-PT"/>
        </w:rPr>
        <w:t xml:space="preserve">" ou simplesmente ‘’o </w:t>
      </w:r>
      <w:proofErr w:type="spellStart"/>
      <w:r w:rsidRPr="00292532">
        <w:rPr>
          <w:rFonts w:eastAsia="Calibri" w:cs="Times New Roman"/>
          <w:lang w:val="pt-PT"/>
        </w:rPr>
        <w:t>Projecto</w:t>
      </w:r>
      <w:proofErr w:type="spellEnd"/>
      <w:r w:rsidRPr="00292532">
        <w:rPr>
          <w:rFonts w:eastAsia="Calibri" w:cs="Times New Roman"/>
          <w:lang w:val="pt-PT"/>
        </w:rPr>
        <w:t xml:space="preserve">’’, com o </w:t>
      </w:r>
      <w:proofErr w:type="spellStart"/>
      <w:r w:rsidRPr="00292532">
        <w:rPr>
          <w:rFonts w:eastAsia="Calibri" w:cs="Times New Roman"/>
          <w:lang w:val="pt-PT"/>
        </w:rPr>
        <w:t>obje</w:t>
      </w:r>
      <w:r w:rsidR="00F411CB" w:rsidRPr="00292532">
        <w:rPr>
          <w:rFonts w:eastAsia="Calibri" w:cs="Times New Roman"/>
          <w:lang w:val="pt-PT"/>
        </w:rPr>
        <w:t>c</w:t>
      </w:r>
      <w:r w:rsidRPr="00292532">
        <w:rPr>
          <w:rFonts w:eastAsia="Calibri" w:cs="Times New Roman"/>
          <w:lang w:val="pt-PT"/>
        </w:rPr>
        <w:t>tivo</w:t>
      </w:r>
      <w:proofErr w:type="spellEnd"/>
      <w:r w:rsidRPr="00292532">
        <w:rPr>
          <w:rFonts w:eastAsia="Calibri" w:cs="Times New Roman"/>
          <w:lang w:val="pt-PT"/>
        </w:rPr>
        <w:t xml:space="preserve"> de aumentar o acesso e melhorar a provisão de serviços de água e saneamento em pequenas cidades e áreas rurais </w:t>
      </w:r>
      <w:proofErr w:type="spellStart"/>
      <w:r w:rsidRPr="00292532">
        <w:rPr>
          <w:rFonts w:eastAsia="Calibri" w:cs="Times New Roman"/>
          <w:lang w:val="pt-PT"/>
        </w:rPr>
        <w:t>seleccionadas</w:t>
      </w:r>
      <w:proofErr w:type="spellEnd"/>
      <w:r w:rsidRPr="00292532">
        <w:rPr>
          <w:rFonts w:eastAsia="Calibri" w:cs="Times New Roman"/>
          <w:lang w:val="pt-PT"/>
        </w:rPr>
        <w:t>, nas Províncias de Zambézia e Nampula.</w:t>
      </w:r>
    </w:p>
    <w:p w14:paraId="56B5F237" w14:textId="47EB291A" w:rsidR="004C0194" w:rsidRPr="00292532" w:rsidRDefault="004C0194" w:rsidP="004C0194">
      <w:pPr>
        <w:spacing w:before="0" w:line="259" w:lineRule="auto"/>
        <w:rPr>
          <w:rFonts w:eastAsia="Calibri" w:cs="Times New Roman"/>
          <w:lang w:val="pt-PT"/>
        </w:rPr>
      </w:pPr>
      <w:r w:rsidRPr="00292532">
        <w:rPr>
          <w:rFonts w:eastAsia="Calibri" w:cs="Times New Roman"/>
          <w:lang w:val="pt-PT"/>
        </w:rPr>
        <w:t xml:space="preserve">O </w:t>
      </w:r>
      <w:proofErr w:type="spellStart"/>
      <w:r w:rsidRPr="00292532">
        <w:rPr>
          <w:rFonts w:eastAsia="Calibri" w:cs="Times New Roman"/>
          <w:lang w:val="pt-PT"/>
        </w:rPr>
        <w:t>Projecto</w:t>
      </w:r>
      <w:proofErr w:type="spellEnd"/>
      <w:r w:rsidRPr="00292532">
        <w:rPr>
          <w:rFonts w:eastAsia="Calibri" w:cs="Times New Roman"/>
          <w:lang w:val="pt-PT"/>
        </w:rPr>
        <w:t xml:space="preserve"> responde aos </w:t>
      </w:r>
      <w:proofErr w:type="spellStart"/>
      <w:r w:rsidRPr="00292532">
        <w:rPr>
          <w:rFonts w:eastAsia="Calibri" w:cs="Times New Roman"/>
          <w:lang w:val="pt-PT"/>
        </w:rPr>
        <w:t>Objectivos</w:t>
      </w:r>
      <w:proofErr w:type="spellEnd"/>
      <w:r w:rsidRPr="00292532">
        <w:rPr>
          <w:rFonts w:eastAsia="Calibri" w:cs="Times New Roman"/>
          <w:lang w:val="pt-PT"/>
        </w:rPr>
        <w:t xml:space="preserve"> de Desenvolvimento Sustentável (ODS) até 2030 sobre Água Potável e Saneamento e visa apoiar subprojectos a serem implementados nas províncias de Zambézia e Nampula, num conjunto de </w:t>
      </w:r>
      <w:r w:rsidR="00DA29EE">
        <w:rPr>
          <w:rFonts w:eastAsia="Calibri" w:cs="Times New Roman"/>
          <w:lang w:val="pt-PT"/>
        </w:rPr>
        <w:t>18</w:t>
      </w:r>
      <w:r w:rsidR="00DA29EE" w:rsidRPr="00292532">
        <w:rPr>
          <w:rFonts w:eastAsia="Calibri" w:cs="Times New Roman"/>
          <w:lang w:val="pt-PT"/>
        </w:rPr>
        <w:t xml:space="preserve"> </w:t>
      </w:r>
      <w:r w:rsidRPr="00292532">
        <w:rPr>
          <w:rFonts w:eastAsia="Calibri" w:cs="Times New Roman"/>
          <w:lang w:val="pt-PT"/>
        </w:rPr>
        <w:t>vilas e pequenas cidades que irão beneficiar de intervenções de reabilitação, melhoria e expansão dos sistemas de abastecimento de água</w:t>
      </w:r>
      <w:r w:rsidR="00DA29EE">
        <w:rPr>
          <w:rFonts w:eastAsia="Calibri" w:cs="Times New Roman"/>
          <w:lang w:val="pt-PT"/>
        </w:rPr>
        <w:t xml:space="preserve"> e saneamento</w:t>
      </w:r>
      <w:r w:rsidRPr="00292532">
        <w:rPr>
          <w:rFonts w:eastAsia="Calibri" w:cs="Times New Roman"/>
          <w:lang w:val="pt-PT"/>
        </w:rPr>
        <w:t xml:space="preserve"> (8 na Zambézia e 1</w:t>
      </w:r>
      <w:r w:rsidR="00DA29EE">
        <w:rPr>
          <w:rFonts w:eastAsia="Calibri" w:cs="Times New Roman"/>
          <w:lang w:val="pt-PT"/>
        </w:rPr>
        <w:t>0</w:t>
      </w:r>
      <w:r w:rsidRPr="00292532">
        <w:rPr>
          <w:rFonts w:eastAsia="Calibri" w:cs="Times New Roman"/>
          <w:lang w:val="pt-PT"/>
        </w:rPr>
        <w:t xml:space="preserve"> em Nampula)</w:t>
      </w:r>
      <w:r w:rsidR="00DA29EE">
        <w:rPr>
          <w:rFonts w:eastAsia="Calibri" w:cs="Times New Roman"/>
          <w:lang w:val="pt-PT"/>
        </w:rPr>
        <w:t>. No espa</w:t>
      </w:r>
      <w:r w:rsidR="00DA29EE" w:rsidRPr="00941934">
        <w:rPr>
          <w:rFonts w:eastAsia="Calibri" w:cs="Times New Roman"/>
          <w:lang w:val="pt-PT"/>
        </w:rPr>
        <w:t>ç</w:t>
      </w:r>
      <w:r w:rsidR="00DA29EE">
        <w:rPr>
          <w:rFonts w:eastAsia="Calibri" w:cs="Times New Roman"/>
          <w:lang w:val="pt-PT"/>
        </w:rPr>
        <w:t>o rural, estão previstos investimentos em sistemas de abastecimento de água</w:t>
      </w:r>
      <w:r w:rsidR="00642302">
        <w:rPr>
          <w:rFonts w:eastAsia="Calibri" w:cs="Times New Roman"/>
          <w:lang w:val="pt-PT"/>
        </w:rPr>
        <w:t xml:space="preserve"> em</w:t>
      </w:r>
      <w:r w:rsidRPr="00292532">
        <w:rPr>
          <w:rFonts w:eastAsia="Calibri" w:cs="Times New Roman"/>
          <w:lang w:val="pt-PT"/>
        </w:rPr>
        <w:t xml:space="preserve"> </w:t>
      </w:r>
      <w:r w:rsidR="00DA29EE">
        <w:rPr>
          <w:rFonts w:eastAsia="Calibri" w:cs="Times New Roman"/>
          <w:lang w:val="pt-PT"/>
        </w:rPr>
        <w:t>2</w:t>
      </w:r>
      <w:r w:rsidR="00E14ED4">
        <w:rPr>
          <w:rFonts w:eastAsia="Calibri" w:cs="Times New Roman"/>
          <w:lang w:val="pt-PT"/>
        </w:rPr>
        <w:t>3</w:t>
      </w:r>
      <w:r w:rsidRPr="00292532">
        <w:rPr>
          <w:rFonts w:eastAsia="Calibri" w:cs="Times New Roman"/>
          <w:lang w:val="pt-PT"/>
        </w:rPr>
        <w:t xml:space="preserve"> localidades (</w:t>
      </w:r>
      <w:r w:rsidR="00E14ED4">
        <w:rPr>
          <w:rFonts w:eastAsia="Calibri" w:cs="Times New Roman"/>
          <w:lang w:val="pt-PT"/>
        </w:rPr>
        <w:t>15</w:t>
      </w:r>
      <w:r w:rsidR="00E14ED4" w:rsidRPr="00292532">
        <w:rPr>
          <w:rFonts w:eastAsia="Calibri" w:cs="Times New Roman"/>
          <w:lang w:val="pt-PT"/>
        </w:rPr>
        <w:t xml:space="preserve"> na Zambézia</w:t>
      </w:r>
      <w:r w:rsidR="00E14ED4">
        <w:rPr>
          <w:rFonts w:eastAsia="Calibri" w:cs="Times New Roman"/>
          <w:lang w:val="pt-PT"/>
        </w:rPr>
        <w:t xml:space="preserve"> e </w:t>
      </w:r>
      <w:r w:rsidR="00DA29EE">
        <w:rPr>
          <w:rFonts w:eastAsia="Calibri" w:cs="Times New Roman"/>
          <w:lang w:val="pt-PT"/>
        </w:rPr>
        <w:t>8</w:t>
      </w:r>
      <w:r w:rsidRPr="00292532">
        <w:rPr>
          <w:rFonts w:eastAsia="Calibri" w:cs="Times New Roman"/>
          <w:lang w:val="pt-PT"/>
        </w:rPr>
        <w:t xml:space="preserve"> em Nampula) para investimentos em sistemas de abastecimento de água e serviços de saneamento integrados. </w:t>
      </w:r>
      <w:r w:rsidR="00EC2545">
        <w:rPr>
          <w:rFonts w:eastAsia="Calibri" w:cs="Times New Roman"/>
          <w:lang w:val="pt-PT"/>
        </w:rPr>
        <w:t xml:space="preserve">Adicionalmente o </w:t>
      </w:r>
      <w:proofErr w:type="spellStart"/>
      <w:r w:rsidR="00EC2545">
        <w:rPr>
          <w:rFonts w:eastAsia="Calibri" w:cs="Times New Roman"/>
          <w:lang w:val="pt-PT"/>
        </w:rPr>
        <w:t>Projecto</w:t>
      </w:r>
      <w:proofErr w:type="spellEnd"/>
      <w:r w:rsidR="00EC2545">
        <w:rPr>
          <w:rFonts w:eastAsia="Calibri" w:cs="Times New Roman"/>
          <w:lang w:val="pt-PT"/>
        </w:rPr>
        <w:t xml:space="preserve"> irá apoiar ao regulador, AURA,</w:t>
      </w:r>
      <w:r w:rsidR="00E14ED4">
        <w:rPr>
          <w:rFonts w:eastAsia="Calibri" w:cs="Times New Roman"/>
          <w:lang w:val="pt-PT"/>
        </w:rPr>
        <w:t xml:space="preserve"> </w:t>
      </w:r>
      <w:r w:rsidR="00EC2545">
        <w:rPr>
          <w:rFonts w:eastAsia="Calibri" w:cs="Times New Roman"/>
          <w:lang w:val="pt-PT"/>
        </w:rPr>
        <w:t xml:space="preserve">IP </w:t>
      </w:r>
      <w:r w:rsidR="00EC2545" w:rsidRPr="00EC2545">
        <w:rPr>
          <w:rFonts w:eastAsia="Calibri" w:cs="Times New Roman"/>
          <w:lang w:val="pt-PT"/>
        </w:rPr>
        <w:t xml:space="preserve">para </w:t>
      </w:r>
      <w:r w:rsidR="00EC2545">
        <w:rPr>
          <w:rFonts w:eastAsia="Calibri" w:cs="Times New Roman"/>
          <w:lang w:val="pt-PT"/>
        </w:rPr>
        <w:t xml:space="preserve">a </w:t>
      </w:r>
      <w:r w:rsidR="00EC2545" w:rsidRPr="00EC2545">
        <w:rPr>
          <w:rFonts w:eastAsia="Calibri" w:cs="Times New Roman"/>
          <w:lang w:val="pt-PT"/>
        </w:rPr>
        <w:t xml:space="preserve">expansão da </w:t>
      </w:r>
      <w:proofErr w:type="spellStart"/>
      <w:r w:rsidR="00EC2545" w:rsidRPr="00EC2545">
        <w:rPr>
          <w:rFonts w:eastAsia="Calibri" w:cs="Times New Roman"/>
          <w:lang w:val="pt-PT"/>
        </w:rPr>
        <w:t>acção</w:t>
      </w:r>
      <w:proofErr w:type="spellEnd"/>
      <w:r w:rsidR="00EC2545" w:rsidRPr="00EC2545">
        <w:rPr>
          <w:rFonts w:eastAsia="Calibri" w:cs="Times New Roman"/>
          <w:lang w:val="pt-PT"/>
        </w:rPr>
        <w:t xml:space="preserve"> regulatória para o espaço rural e fortalecer os modelos regulatórios para a</w:t>
      </w:r>
      <w:r w:rsidR="004A4614">
        <w:rPr>
          <w:rFonts w:eastAsia="Calibri" w:cs="Times New Roman"/>
          <w:lang w:val="pt-PT"/>
        </w:rPr>
        <w:t>s</w:t>
      </w:r>
      <w:r w:rsidR="00EC2545" w:rsidRPr="00EC2545">
        <w:rPr>
          <w:rFonts w:eastAsia="Calibri" w:cs="Times New Roman"/>
          <w:lang w:val="pt-PT"/>
        </w:rPr>
        <w:t xml:space="preserve"> vilas</w:t>
      </w:r>
      <w:r w:rsidR="00237EA9">
        <w:rPr>
          <w:rFonts w:eastAsia="Calibri" w:cs="Times New Roman"/>
          <w:lang w:val="pt-PT"/>
        </w:rPr>
        <w:t>.</w:t>
      </w:r>
    </w:p>
    <w:p w14:paraId="1D19FE3A" w14:textId="77777777" w:rsidR="004C0194" w:rsidRPr="00292532" w:rsidRDefault="004C0194" w:rsidP="004C0194">
      <w:pPr>
        <w:spacing w:before="0" w:line="259" w:lineRule="auto"/>
        <w:rPr>
          <w:rFonts w:eastAsia="Calibri" w:cs="Times New Roman"/>
          <w:lang w:val="pt-PT"/>
        </w:rPr>
      </w:pPr>
      <w:r w:rsidRPr="00292532">
        <w:rPr>
          <w:rFonts w:eastAsia="Calibri" w:cs="Times New Roman"/>
          <w:lang w:val="pt-PT"/>
        </w:rPr>
        <w:t xml:space="preserve">Estima-se que no espaço das vilas e pequenas cidades 481,000 pessoas beneficiem das intervenções do </w:t>
      </w:r>
      <w:proofErr w:type="spellStart"/>
      <w:r w:rsidRPr="00292532">
        <w:rPr>
          <w:rFonts w:eastAsia="Calibri" w:cs="Times New Roman"/>
          <w:lang w:val="pt-PT"/>
        </w:rPr>
        <w:t>projecto</w:t>
      </w:r>
      <w:proofErr w:type="spellEnd"/>
      <w:r w:rsidRPr="00292532">
        <w:rPr>
          <w:rFonts w:eastAsia="Calibri" w:cs="Times New Roman"/>
          <w:lang w:val="pt-PT"/>
        </w:rPr>
        <w:t xml:space="preserve">. Prevê-se que no espaço rural 467,000 pessoas possam beneficiar das intervenções do </w:t>
      </w:r>
      <w:proofErr w:type="spellStart"/>
      <w:r w:rsidRPr="00292532">
        <w:rPr>
          <w:rFonts w:eastAsia="Calibri" w:cs="Times New Roman"/>
          <w:lang w:val="pt-PT"/>
        </w:rPr>
        <w:t>projecto</w:t>
      </w:r>
      <w:proofErr w:type="spellEnd"/>
      <w:r w:rsidRPr="00292532">
        <w:rPr>
          <w:rFonts w:eastAsia="Calibri" w:cs="Times New Roman"/>
          <w:lang w:val="pt-PT"/>
        </w:rPr>
        <w:t>.</w:t>
      </w:r>
    </w:p>
    <w:p w14:paraId="093ABB8F" w14:textId="5BA0EE84" w:rsidR="004C0194" w:rsidRPr="00292532" w:rsidRDefault="004C0194" w:rsidP="004C0194">
      <w:pPr>
        <w:spacing w:before="0" w:line="259" w:lineRule="auto"/>
        <w:rPr>
          <w:rFonts w:eastAsia="Calibri" w:cs="Times New Roman"/>
          <w:lang w:val="pt-PT"/>
        </w:rPr>
      </w:pPr>
      <w:r w:rsidRPr="00292532">
        <w:rPr>
          <w:rFonts w:eastAsia="Calibri" w:cs="Times New Roman"/>
          <w:lang w:val="pt-PT"/>
        </w:rPr>
        <w:t xml:space="preserve">Este </w:t>
      </w:r>
      <w:proofErr w:type="spellStart"/>
      <w:r w:rsidRPr="00292532">
        <w:rPr>
          <w:rFonts w:eastAsia="Calibri" w:cs="Times New Roman"/>
          <w:lang w:val="pt-PT"/>
        </w:rPr>
        <w:t>Projecto</w:t>
      </w:r>
      <w:proofErr w:type="spellEnd"/>
      <w:r w:rsidRPr="00292532">
        <w:rPr>
          <w:rFonts w:eastAsia="Calibri" w:cs="Times New Roman"/>
          <w:lang w:val="pt-PT"/>
        </w:rPr>
        <w:t xml:space="preserve"> concorre para o financiamento do Banco Mundial (BM) por meio de Financiamento de </w:t>
      </w:r>
      <w:proofErr w:type="spellStart"/>
      <w:r w:rsidRPr="00292532">
        <w:rPr>
          <w:rFonts w:eastAsia="Calibri" w:cs="Times New Roman"/>
          <w:lang w:val="pt-PT"/>
        </w:rPr>
        <w:t>Projectos</w:t>
      </w:r>
      <w:proofErr w:type="spellEnd"/>
      <w:r w:rsidRPr="00292532">
        <w:rPr>
          <w:rFonts w:eastAsia="Calibri" w:cs="Times New Roman"/>
          <w:lang w:val="pt-PT"/>
        </w:rPr>
        <w:t xml:space="preserve"> de Investimento (FPI), sendo necessária à sua </w:t>
      </w:r>
      <w:proofErr w:type="spellStart"/>
      <w:r w:rsidRPr="00292532">
        <w:rPr>
          <w:rFonts w:eastAsia="Calibri" w:cs="Times New Roman"/>
          <w:lang w:val="pt-PT"/>
        </w:rPr>
        <w:t>concepção</w:t>
      </w:r>
      <w:proofErr w:type="spellEnd"/>
      <w:r w:rsidRPr="00292532">
        <w:rPr>
          <w:rFonts w:eastAsia="Calibri" w:cs="Times New Roman"/>
          <w:lang w:val="pt-PT"/>
        </w:rPr>
        <w:t xml:space="preserve"> e execução de acordo com as Normas Ambientais e Sociais (NAS) do Quadro de Gestão Ambiental e Social (QGAS) do Banco Mundial</w:t>
      </w:r>
      <w:r w:rsidR="00BD0602" w:rsidRPr="00292532">
        <w:rPr>
          <w:rFonts w:eastAsia="Calibri" w:cs="Times New Roman"/>
          <w:lang w:val="pt-PT"/>
        </w:rPr>
        <w:t>,</w:t>
      </w:r>
      <w:r w:rsidRPr="00292532">
        <w:rPr>
          <w:rFonts w:eastAsia="Calibri" w:cs="Times New Roman"/>
          <w:lang w:val="pt-PT"/>
        </w:rPr>
        <w:t xml:space="preserve"> </w:t>
      </w:r>
      <w:r w:rsidR="00BD0602" w:rsidRPr="00292532">
        <w:rPr>
          <w:rFonts w:eastAsia="Calibri" w:cs="Times New Roman"/>
          <w:lang w:val="pt-PT"/>
        </w:rPr>
        <w:t xml:space="preserve">uma vez que o mesmo tem potencial de criar riscos e impactos ambientais e sociais no seu ambiente </w:t>
      </w:r>
      <w:proofErr w:type="spellStart"/>
      <w:r w:rsidR="00BD0602" w:rsidRPr="00292532">
        <w:rPr>
          <w:rFonts w:eastAsia="Calibri" w:cs="Times New Roman"/>
          <w:lang w:val="pt-PT"/>
        </w:rPr>
        <w:t>receptor</w:t>
      </w:r>
      <w:proofErr w:type="spellEnd"/>
      <w:r w:rsidR="00BD0602" w:rsidRPr="00292532">
        <w:rPr>
          <w:rFonts w:eastAsia="Calibri" w:cs="Times New Roman"/>
          <w:lang w:val="pt-PT"/>
        </w:rPr>
        <w:t xml:space="preserve">. Em face disso, deverá ser preparado um Quadro de Gestão Ambiental e Social (QGAS) que é um instrumento que examina os riscos e impactos ambientais e sociais de um </w:t>
      </w:r>
      <w:proofErr w:type="spellStart"/>
      <w:r w:rsidR="00BD0602" w:rsidRPr="00292532">
        <w:rPr>
          <w:rFonts w:eastAsia="Calibri" w:cs="Times New Roman"/>
          <w:lang w:val="pt-PT"/>
        </w:rPr>
        <w:t>projecto</w:t>
      </w:r>
      <w:proofErr w:type="spellEnd"/>
      <w:r w:rsidR="00BD0602" w:rsidRPr="00292532">
        <w:rPr>
          <w:rFonts w:eastAsia="Calibri" w:cs="Times New Roman"/>
          <w:lang w:val="pt-PT"/>
        </w:rPr>
        <w:t xml:space="preserve"> cuja localização dos subprojectos não pode ser determinada com exatidão, e, portanto, os riscos e impactos não podem ser determinados até que detalhes dos subprojectos sejam identificados</w:t>
      </w:r>
    </w:p>
    <w:p w14:paraId="2D3A112D" w14:textId="3DD31D26" w:rsidR="004C0194" w:rsidRPr="00292532" w:rsidRDefault="00BD0602" w:rsidP="004C0194">
      <w:pPr>
        <w:spacing w:before="0" w:line="259" w:lineRule="auto"/>
        <w:rPr>
          <w:rFonts w:eastAsia="Calibri" w:cs="Times New Roman"/>
          <w:lang w:val="pt-PT"/>
        </w:rPr>
      </w:pPr>
      <w:r w:rsidRPr="00292532">
        <w:rPr>
          <w:rFonts w:eastAsia="Calibri" w:cs="Times New Roman"/>
          <w:lang w:val="pt-PT"/>
        </w:rPr>
        <w:t xml:space="preserve">O QGAS define os princípios, regras, diretrizes e procedimentos para avaliar os riscos e impactos socioambientais. Este instrumento visa assegurar que os subprojectos sejam implementados de uma forma sustentável em termos ambientais e sociais e inclui, por um lado, uma identificação de potenciais riscos e impactos ambientais e sociais dos subprojectos, define procedimentos para avaliação de riscos e impactos ambientais e sociais, e contém medidas de mitigação para reduzir, mitigar e/ou neutralizar os riscos e impactos adversos, assim como informações sobre a agência ou órgãos responsáveis pelo </w:t>
      </w:r>
      <w:proofErr w:type="spellStart"/>
      <w:r w:rsidRPr="00292532">
        <w:rPr>
          <w:rFonts w:eastAsia="Calibri" w:cs="Times New Roman"/>
          <w:lang w:val="pt-PT"/>
        </w:rPr>
        <w:t>projecto</w:t>
      </w:r>
      <w:proofErr w:type="spellEnd"/>
      <w:r w:rsidRPr="00292532">
        <w:rPr>
          <w:rFonts w:eastAsia="Calibri" w:cs="Times New Roman"/>
          <w:lang w:val="pt-PT"/>
        </w:rPr>
        <w:t>, incluindo sua capacidade de gerir os riscos e impactos socioambientais.</w:t>
      </w:r>
    </w:p>
    <w:p w14:paraId="58095E07" w14:textId="77777777" w:rsidR="00292532" w:rsidRPr="00292532" w:rsidRDefault="004C0194" w:rsidP="004C0194">
      <w:pPr>
        <w:rPr>
          <w:rFonts w:eastAsia="Calibri" w:cs="Times New Roman"/>
          <w:lang w:val="pt-PT"/>
        </w:rPr>
      </w:pPr>
      <w:r w:rsidRPr="00292532">
        <w:rPr>
          <w:rFonts w:eastAsia="Calibri" w:cs="Times New Roman"/>
          <w:lang w:val="pt-PT"/>
        </w:rPr>
        <w:t xml:space="preserve">O </w:t>
      </w:r>
      <w:proofErr w:type="spellStart"/>
      <w:r w:rsidRPr="00292532">
        <w:rPr>
          <w:rFonts w:eastAsia="Calibri" w:cs="Times New Roman"/>
          <w:lang w:val="pt-PT"/>
        </w:rPr>
        <w:t>Objectivo</w:t>
      </w:r>
      <w:proofErr w:type="spellEnd"/>
      <w:r w:rsidRPr="00292532">
        <w:rPr>
          <w:rFonts w:eastAsia="Calibri" w:cs="Times New Roman"/>
          <w:lang w:val="pt-PT"/>
        </w:rPr>
        <w:t xml:space="preserve"> de Desenvolvimento do </w:t>
      </w:r>
      <w:proofErr w:type="spellStart"/>
      <w:r w:rsidRPr="00292532">
        <w:rPr>
          <w:rFonts w:eastAsia="Calibri" w:cs="Times New Roman"/>
          <w:lang w:val="pt-PT"/>
        </w:rPr>
        <w:t>Projecto</w:t>
      </w:r>
      <w:proofErr w:type="spellEnd"/>
      <w:r w:rsidRPr="00292532">
        <w:rPr>
          <w:rFonts w:eastAsia="Calibri" w:cs="Times New Roman"/>
          <w:lang w:val="pt-PT"/>
        </w:rPr>
        <w:t xml:space="preserve"> (</w:t>
      </w:r>
      <w:r w:rsidRPr="00292532">
        <w:rPr>
          <w:rFonts w:eastAsia="Calibri" w:cs="Times New Roman"/>
          <w:i/>
          <w:iCs/>
          <w:lang w:val="pt-PT"/>
        </w:rPr>
        <w:t xml:space="preserve">PDO – Project </w:t>
      </w:r>
      <w:proofErr w:type="spellStart"/>
      <w:r w:rsidRPr="00292532">
        <w:rPr>
          <w:rFonts w:eastAsia="Calibri" w:cs="Times New Roman"/>
          <w:i/>
          <w:iCs/>
          <w:lang w:val="pt-PT"/>
        </w:rPr>
        <w:t>Development</w:t>
      </w:r>
      <w:proofErr w:type="spellEnd"/>
      <w:r w:rsidRPr="00292532">
        <w:rPr>
          <w:rFonts w:eastAsia="Calibri" w:cs="Times New Roman"/>
          <w:i/>
          <w:iCs/>
          <w:lang w:val="pt-PT"/>
        </w:rPr>
        <w:t xml:space="preserve"> </w:t>
      </w:r>
      <w:proofErr w:type="spellStart"/>
      <w:r w:rsidRPr="00292532">
        <w:rPr>
          <w:rFonts w:eastAsia="Calibri" w:cs="Times New Roman"/>
          <w:i/>
          <w:iCs/>
          <w:lang w:val="pt-PT"/>
        </w:rPr>
        <w:t>Objective</w:t>
      </w:r>
      <w:proofErr w:type="spellEnd"/>
      <w:r w:rsidRPr="00292532">
        <w:rPr>
          <w:rFonts w:eastAsia="Calibri" w:cs="Times New Roman"/>
          <w:lang w:val="pt-PT"/>
        </w:rPr>
        <w:t xml:space="preserve">) é melhorar a disponibilidade de água e aumentar o acesso a serviços de abastecimento de água e saneamento geridos de forma sustentável e segura em zonas rurais e vilas </w:t>
      </w:r>
      <w:proofErr w:type="spellStart"/>
      <w:r w:rsidRPr="00292532">
        <w:rPr>
          <w:rFonts w:eastAsia="Calibri" w:cs="Times New Roman"/>
          <w:lang w:val="pt-PT"/>
        </w:rPr>
        <w:lastRenderedPageBreak/>
        <w:t>seleccionadas</w:t>
      </w:r>
      <w:proofErr w:type="spellEnd"/>
      <w:r w:rsidRPr="00292532">
        <w:rPr>
          <w:rFonts w:eastAsia="Calibri" w:cs="Times New Roman"/>
          <w:lang w:val="pt-PT"/>
        </w:rPr>
        <w:t xml:space="preserve">, e apoiar Moçambique a responder prontamente e eficazmente a uma crise elegível ou emergência. </w:t>
      </w:r>
    </w:p>
    <w:p w14:paraId="7675450D" w14:textId="015E90F4" w:rsidR="00292532" w:rsidRPr="004500AE" w:rsidRDefault="00292532" w:rsidP="004C0194">
      <w:pPr>
        <w:rPr>
          <w:rFonts w:eastAsia="Calibri" w:cs="Times New Roman"/>
          <w:i/>
          <w:iCs/>
          <w:lang w:val="pt-PT"/>
        </w:rPr>
      </w:pPr>
      <w:r w:rsidRPr="004500AE">
        <w:rPr>
          <w:rFonts w:eastAsia="Calibri" w:cs="Times New Roman"/>
          <w:i/>
          <w:iCs/>
          <w:lang w:val="pt-PT"/>
        </w:rPr>
        <w:t xml:space="preserve">Descrição do </w:t>
      </w:r>
      <w:proofErr w:type="spellStart"/>
      <w:r w:rsidRPr="004500AE">
        <w:rPr>
          <w:rFonts w:eastAsia="Calibri" w:cs="Times New Roman"/>
          <w:i/>
          <w:iCs/>
          <w:lang w:val="pt-PT"/>
        </w:rPr>
        <w:t>Projecto</w:t>
      </w:r>
      <w:proofErr w:type="spellEnd"/>
    </w:p>
    <w:p w14:paraId="27B1B5FA" w14:textId="671200A3" w:rsidR="004C0194" w:rsidRPr="00292532" w:rsidRDefault="004C0194" w:rsidP="004C0194">
      <w:pPr>
        <w:rPr>
          <w:rFonts w:eastAsia="Calibri" w:cs="Calibri"/>
          <w:lang w:val="pt-PT"/>
        </w:rPr>
      </w:pPr>
      <w:r w:rsidRPr="00292532">
        <w:rPr>
          <w:rFonts w:eastAsia="Calibri" w:cs="Calibri"/>
          <w:lang w:val="pt-PT"/>
        </w:rPr>
        <w:t xml:space="preserve">O </w:t>
      </w:r>
      <w:proofErr w:type="spellStart"/>
      <w:r w:rsidRPr="00292532">
        <w:rPr>
          <w:rFonts w:eastAsia="Calibri" w:cs="Calibri"/>
          <w:lang w:val="pt-PT"/>
        </w:rPr>
        <w:t>Projecto</w:t>
      </w:r>
      <w:proofErr w:type="spellEnd"/>
      <w:r w:rsidRPr="00292532">
        <w:rPr>
          <w:rFonts w:eastAsia="Calibri" w:cs="Calibri"/>
          <w:lang w:val="pt-PT"/>
        </w:rPr>
        <w:t xml:space="preserve"> está a ser concebido em quatro componentes diferentes, </w:t>
      </w:r>
      <w:r w:rsidR="00BD0602" w:rsidRPr="00292532">
        <w:rPr>
          <w:rFonts w:eastAsia="Calibri" w:cs="Calibri"/>
          <w:lang w:val="pt-PT"/>
        </w:rPr>
        <w:t>designadamente:</w:t>
      </w:r>
      <w:r w:rsidRPr="00292532">
        <w:rPr>
          <w:rFonts w:eastAsia="Calibri" w:cs="Calibri"/>
          <w:lang w:val="pt-PT"/>
        </w:rPr>
        <w:t xml:space="preserve"> </w:t>
      </w:r>
    </w:p>
    <w:p w14:paraId="679F0E5C" w14:textId="77777777" w:rsidR="004C0194" w:rsidRPr="004500AE" w:rsidRDefault="004C0194" w:rsidP="004500AE">
      <w:pPr>
        <w:numPr>
          <w:ilvl w:val="0"/>
          <w:numId w:val="231"/>
        </w:numPr>
        <w:spacing w:before="120" w:after="100" w:afterAutospacing="1" w:line="360" w:lineRule="auto"/>
        <w:ind w:right="28"/>
        <w:rPr>
          <w:rFonts w:eastAsia="Calibri" w:cs="Calibri"/>
          <w:lang w:val="pt-PT"/>
        </w:rPr>
      </w:pPr>
      <w:r w:rsidRPr="004500AE">
        <w:rPr>
          <w:rFonts w:eastAsia="Calibri" w:cs="Calibri"/>
          <w:b/>
          <w:bCs/>
          <w:lang w:val="pt-PT"/>
        </w:rPr>
        <w:t>Componente 1:</w:t>
      </w:r>
      <w:r w:rsidRPr="004500AE">
        <w:rPr>
          <w:rFonts w:eastAsia="Calibri" w:cs="Calibri"/>
          <w:lang w:val="pt-PT"/>
        </w:rPr>
        <w:t xml:space="preserve"> Fortalecimento dos serviços de abastecimento de água e saneamento nas vilas e pequenas cidades</w:t>
      </w:r>
    </w:p>
    <w:p w14:paraId="5BF6D7C1" w14:textId="77777777" w:rsidR="004C0194" w:rsidRPr="004500AE" w:rsidRDefault="004C0194" w:rsidP="004500AE">
      <w:pPr>
        <w:numPr>
          <w:ilvl w:val="0"/>
          <w:numId w:val="231"/>
        </w:numPr>
        <w:spacing w:before="120" w:after="100" w:afterAutospacing="1" w:line="360" w:lineRule="auto"/>
        <w:ind w:right="28"/>
        <w:rPr>
          <w:rFonts w:eastAsia="Calibri" w:cs="Calibri"/>
          <w:lang w:val="pt-PT"/>
        </w:rPr>
      </w:pPr>
      <w:r w:rsidRPr="004500AE">
        <w:rPr>
          <w:rFonts w:eastAsia="Calibri" w:cs="Calibri"/>
          <w:b/>
          <w:bCs/>
          <w:lang w:val="pt-PT"/>
        </w:rPr>
        <w:t>Componente 2:</w:t>
      </w:r>
      <w:r w:rsidRPr="004500AE">
        <w:rPr>
          <w:rFonts w:eastAsia="Calibri" w:cs="Calibri"/>
          <w:lang w:val="pt-PT"/>
        </w:rPr>
        <w:t xml:space="preserve"> Fortalecimento dos serviços de abastecimento de água e saneamento nas zonas rurais</w:t>
      </w:r>
    </w:p>
    <w:p w14:paraId="27BFFC61" w14:textId="77777777" w:rsidR="004C0194" w:rsidRPr="004500AE" w:rsidRDefault="004C0194" w:rsidP="004500AE">
      <w:pPr>
        <w:numPr>
          <w:ilvl w:val="0"/>
          <w:numId w:val="231"/>
        </w:numPr>
        <w:spacing w:before="120" w:after="100" w:afterAutospacing="1" w:line="360" w:lineRule="auto"/>
        <w:ind w:right="28"/>
        <w:rPr>
          <w:rFonts w:eastAsia="Calibri" w:cs="Calibri"/>
          <w:lang w:val="pt-PT"/>
        </w:rPr>
      </w:pPr>
      <w:r w:rsidRPr="004500AE">
        <w:rPr>
          <w:rFonts w:eastAsia="Calibri" w:cs="Calibri"/>
          <w:b/>
          <w:bCs/>
          <w:lang w:val="pt-PT"/>
        </w:rPr>
        <w:t>Componente 3:</w:t>
      </w:r>
      <w:r w:rsidRPr="004500AE">
        <w:rPr>
          <w:rFonts w:eastAsia="Calibri" w:cs="Calibri"/>
          <w:lang w:val="pt-PT"/>
        </w:rPr>
        <w:t xml:space="preserve"> Apoio institucional e à gestão do </w:t>
      </w:r>
      <w:proofErr w:type="spellStart"/>
      <w:r w:rsidRPr="004500AE">
        <w:rPr>
          <w:rFonts w:eastAsia="Calibri" w:cs="Calibri"/>
          <w:lang w:val="pt-PT"/>
        </w:rPr>
        <w:t>projecto</w:t>
      </w:r>
      <w:proofErr w:type="spellEnd"/>
    </w:p>
    <w:p w14:paraId="0B41D2FC" w14:textId="77777777" w:rsidR="004C0194" w:rsidRPr="004500AE" w:rsidRDefault="004C0194" w:rsidP="004500AE">
      <w:pPr>
        <w:numPr>
          <w:ilvl w:val="0"/>
          <w:numId w:val="231"/>
        </w:numPr>
        <w:spacing w:before="120" w:after="100" w:afterAutospacing="1" w:line="360" w:lineRule="auto"/>
        <w:ind w:right="28"/>
        <w:rPr>
          <w:rFonts w:eastAsia="Calibri" w:cs="Calibri"/>
          <w:lang w:val="pt-PT"/>
        </w:rPr>
      </w:pPr>
      <w:r w:rsidRPr="004500AE">
        <w:rPr>
          <w:rFonts w:eastAsia="Calibri" w:cs="Calibri"/>
          <w:b/>
          <w:bCs/>
          <w:lang w:val="pt-PT"/>
        </w:rPr>
        <w:t>Componente 4:</w:t>
      </w:r>
      <w:r w:rsidRPr="004500AE">
        <w:rPr>
          <w:rFonts w:eastAsia="Calibri" w:cs="Calibri"/>
          <w:lang w:val="pt-PT"/>
        </w:rPr>
        <w:t xml:space="preserve"> Resposta a emergências e contingências</w:t>
      </w:r>
    </w:p>
    <w:p w14:paraId="7747B46E" w14:textId="38AF5D9C" w:rsidR="004C0194" w:rsidRPr="00292532" w:rsidRDefault="004C0194" w:rsidP="004C0194">
      <w:pPr>
        <w:spacing w:before="120" w:after="100" w:afterAutospacing="1"/>
        <w:ind w:right="28"/>
        <w:rPr>
          <w:rFonts w:eastAsia="Calibri" w:cs="Calibri"/>
          <w:lang w:val="pt-PT"/>
        </w:rPr>
      </w:pPr>
      <w:r w:rsidRPr="00292532">
        <w:rPr>
          <w:rFonts w:eastAsia="Calibri" w:cs="Calibri"/>
          <w:lang w:val="pt-PT"/>
        </w:rPr>
        <w:t xml:space="preserve">Estão igualmente previstas intervenções adicionais com as subvenções a serem alocadas aos Conselhos Executivos Provinciais </w:t>
      </w:r>
      <w:r w:rsidR="00314D79">
        <w:rPr>
          <w:rFonts w:eastAsia="Calibri" w:cs="Calibri"/>
          <w:lang w:val="pt-PT"/>
        </w:rPr>
        <w:t xml:space="preserve">para a construção de </w:t>
      </w:r>
      <w:r w:rsidRPr="00292532">
        <w:rPr>
          <w:rFonts w:eastAsia="Calibri" w:cs="Calibri"/>
          <w:lang w:val="pt-PT"/>
        </w:rPr>
        <w:t xml:space="preserve">250 fontes de abastecimento de água dispersas e 75 infraestruturas de saneamento institucional (prioridade será dada ao saneamento escolar) </w:t>
      </w:r>
      <w:r w:rsidR="00314D79">
        <w:rPr>
          <w:rFonts w:eastAsia="Calibri" w:cs="Calibri"/>
          <w:lang w:val="pt-PT"/>
        </w:rPr>
        <w:t xml:space="preserve">incluindo </w:t>
      </w:r>
      <w:proofErr w:type="spellStart"/>
      <w:r w:rsidR="00314D79">
        <w:rPr>
          <w:rFonts w:eastAsia="Calibri" w:cs="Calibri"/>
          <w:lang w:val="pt-PT"/>
        </w:rPr>
        <w:t>acções</w:t>
      </w:r>
      <w:proofErr w:type="spellEnd"/>
      <w:r w:rsidR="00314D79">
        <w:rPr>
          <w:rFonts w:eastAsia="Calibri" w:cs="Calibri"/>
          <w:lang w:val="pt-PT"/>
        </w:rPr>
        <w:t xml:space="preserve"> de preparação das comunidades </w:t>
      </w:r>
      <w:r w:rsidRPr="00292532">
        <w:rPr>
          <w:rFonts w:eastAsia="Calibri" w:cs="Calibri"/>
          <w:lang w:val="pt-PT"/>
        </w:rPr>
        <w:t>em cada uma das duas províncias de intervenção.</w:t>
      </w:r>
    </w:p>
    <w:p w14:paraId="50611B2D" w14:textId="33C327C6" w:rsidR="00292532" w:rsidRPr="004500AE" w:rsidRDefault="00292532" w:rsidP="004C0194">
      <w:pPr>
        <w:spacing w:before="120" w:after="100" w:afterAutospacing="1"/>
        <w:ind w:right="28"/>
        <w:rPr>
          <w:rFonts w:eastAsia="Calibri" w:cs="Calibri"/>
          <w:i/>
          <w:iCs/>
          <w:lang w:val="pt-PT"/>
        </w:rPr>
      </w:pPr>
      <w:r w:rsidRPr="004500AE">
        <w:rPr>
          <w:rFonts w:eastAsia="Calibri" w:cs="Calibri"/>
          <w:i/>
          <w:iCs/>
          <w:lang w:val="pt-PT"/>
        </w:rPr>
        <w:t>Quadro Legal e Institucional</w:t>
      </w:r>
    </w:p>
    <w:p w14:paraId="6688EE48" w14:textId="6E911F0D" w:rsidR="00BD0602" w:rsidRPr="00292532" w:rsidRDefault="00BD0602" w:rsidP="004C0194">
      <w:pPr>
        <w:spacing w:before="120" w:after="100" w:afterAutospacing="1"/>
        <w:ind w:right="28"/>
        <w:rPr>
          <w:rFonts w:eastAsia="Calibri" w:cs="Calibri"/>
          <w:lang w:val="pt-PT"/>
        </w:rPr>
      </w:pPr>
      <w:r w:rsidRPr="00292532">
        <w:rPr>
          <w:rFonts w:eastAsia="Calibri" w:cs="Calibri"/>
          <w:lang w:val="pt-PT"/>
        </w:rPr>
        <w:t xml:space="preserve">O País é profícuo em legislação para as temáticas de avaliação, gestão ambiental e social, terras, ordenamento do território, biodiversidade, recursos hídricos, desastres naturais, mudanças climáticas, qualidade do ambiente, </w:t>
      </w:r>
      <w:proofErr w:type="spellStart"/>
      <w:r w:rsidRPr="00292532">
        <w:rPr>
          <w:rFonts w:eastAsia="Calibri" w:cs="Calibri"/>
          <w:lang w:val="pt-PT"/>
        </w:rPr>
        <w:t>aspectos</w:t>
      </w:r>
      <w:proofErr w:type="spellEnd"/>
      <w:r w:rsidRPr="00292532">
        <w:rPr>
          <w:rFonts w:eastAsia="Calibri" w:cs="Calibri"/>
          <w:lang w:val="pt-PT"/>
        </w:rPr>
        <w:t xml:space="preserve"> laborais, saúde e segurança ocupacional, </w:t>
      </w:r>
      <w:proofErr w:type="spellStart"/>
      <w:r w:rsidRPr="00292532">
        <w:rPr>
          <w:rFonts w:eastAsia="Calibri" w:cs="Calibri"/>
          <w:lang w:val="pt-PT"/>
        </w:rPr>
        <w:t>protecção</w:t>
      </w:r>
      <w:proofErr w:type="spellEnd"/>
      <w:r w:rsidRPr="00292532">
        <w:rPr>
          <w:rFonts w:eastAsia="Calibri" w:cs="Calibri"/>
          <w:lang w:val="pt-PT"/>
        </w:rPr>
        <w:t xml:space="preserve"> social e património cultural. Para o presente QGAS, para além da legislação relativa ao Processo de Avaliação de Impacto Ambiental, que estabelece as normas sobre o processo de avaliação ambiental, os dispositivos legais relacionados com as </w:t>
      </w:r>
      <w:proofErr w:type="spellStart"/>
      <w:r w:rsidRPr="00292532">
        <w:rPr>
          <w:rFonts w:eastAsia="Calibri" w:cs="Calibri"/>
          <w:lang w:val="pt-PT"/>
        </w:rPr>
        <w:t>actividades</w:t>
      </w:r>
      <w:proofErr w:type="spellEnd"/>
      <w:r w:rsidRPr="00292532">
        <w:rPr>
          <w:rFonts w:eastAsia="Calibri" w:cs="Calibri"/>
          <w:lang w:val="pt-PT"/>
        </w:rPr>
        <w:t xml:space="preserve"> da Componente 1 e 2 merecem especial destaque, (i) a Lei de Terras e sua regulamentação, (i) Lei da Conservação e das Florestas e Fauna Bravia os </w:t>
      </w:r>
      <w:proofErr w:type="spellStart"/>
      <w:r w:rsidRPr="00292532">
        <w:rPr>
          <w:rFonts w:eastAsia="Calibri" w:cs="Calibri"/>
          <w:lang w:val="pt-PT"/>
        </w:rPr>
        <w:t>respectivos</w:t>
      </w:r>
      <w:proofErr w:type="spellEnd"/>
      <w:r w:rsidRPr="00292532">
        <w:rPr>
          <w:rFonts w:eastAsia="Calibri" w:cs="Calibri"/>
          <w:lang w:val="pt-PT"/>
        </w:rPr>
        <w:t xml:space="preserve"> regulamentos (</w:t>
      </w:r>
      <w:proofErr w:type="spellStart"/>
      <w:r w:rsidRPr="00292532">
        <w:rPr>
          <w:rFonts w:eastAsia="Calibri" w:cs="Calibri"/>
          <w:lang w:val="pt-PT"/>
        </w:rPr>
        <w:t>iii</w:t>
      </w:r>
      <w:proofErr w:type="spellEnd"/>
      <w:r w:rsidRPr="00292532">
        <w:rPr>
          <w:rFonts w:eastAsia="Calibri" w:cs="Calibri"/>
          <w:lang w:val="pt-PT"/>
        </w:rPr>
        <w:t xml:space="preserve">) e os Diplomas legais relativos aos Padrões de Qualidade Ambiental e de Emissão de Efluentes, à gestão de resíduos sólidos e </w:t>
      </w:r>
      <w:proofErr w:type="spellStart"/>
      <w:r w:rsidRPr="00292532">
        <w:rPr>
          <w:rFonts w:eastAsia="Calibri" w:cs="Calibri"/>
          <w:lang w:val="pt-PT"/>
        </w:rPr>
        <w:t>prevencção</w:t>
      </w:r>
      <w:proofErr w:type="spellEnd"/>
      <w:r w:rsidRPr="00292532">
        <w:rPr>
          <w:rFonts w:eastAsia="Calibri" w:cs="Calibri"/>
          <w:lang w:val="pt-PT"/>
        </w:rPr>
        <w:t xml:space="preserve"> de poluição e finalmente (</w:t>
      </w:r>
      <w:proofErr w:type="spellStart"/>
      <w:r w:rsidRPr="00292532">
        <w:rPr>
          <w:rFonts w:eastAsia="Calibri" w:cs="Calibri"/>
          <w:lang w:val="pt-PT"/>
        </w:rPr>
        <w:t>iv</w:t>
      </w:r>
      <w:proofErr w:type="spellEnd"/>
      <w:r w:rsidRPr="00292532">
        <w:rPr>
          <w:rFonts w:eastAsia="Calibri" w:cs="Calibri"/>
          <w:lang w:val="pt-PT"/>
        </w:rPr>
        <w:t xml:space="preserve">) os Decretos de </w:t>
      </w:r>
      <w:proofErr w:type="spellStart"/>
      <w:r w:rsidRPr="00292532">
        <w:rPr>
          <w:rFonts w:eastAsia="Calibri" w:cs="Calibri"/>
          <w:lang w:val="pt-PT"/>
        </w:rPr>
        <w:t>Protecção</w:t>
      </w:r>
      <w:proofErr w:type="spellEnd"/>
      <w:r w:rsidRPr="00292532">
        <w:rPr>
          <w:rFonts w:eastAsia="Calibri" w:cs="Calibri"/>
          <w:lang w:val="pt-PT"/>
        </w:rPr>
        <w:t xml:space="preserve"> social que considera a legislação laboral e de saúde ocupacional.</w:t>
      </w:r>
    </w:p>
    <w:p w14:paraId="20D76BEE" w14:textId="0A0DB321" w:rsidR="00292532" w:rsidRPr="004500AE" w:rsidRDefault="00292532" w:rsidP="00BD0602">
      <w:pPr>
        <w:spacing w:before="120" w:after="120"/>
        <w:rPr>
          <w:rFonts w:asciiTheme="minorHAnsi" w:hAnsiTheme="minorHAnsi" w:cstheme="minorHAnsi"/>
          <w:i/>
          <w:iCs/>
          <w:lang w:val="pt-PT"/>
        </w:rPr>
      </w:pPr>
      <w:r w:rsidRPr="004500AE">
        <w:rPr>
          <w:rFonts w:asciiTheme="minorHAnsi" w:hAnsiTheme="minorHAnsi" w:cstheme="minorHAnsi"/>
          <w:i/>
          <w:iCs/>
          <w:lang w:val="pt-PT"/>
        </w:rPr>
        <w:t>Quadro Ambiental e Social do Banco Mundial</w:t>
      </w:r>
    </w:p>
    <w:p w14:paraId="1A561041" w14:textId="5EB455A0" w:rsidR="00BD0602" w:rsidRPr="00292532" w:rsidRDefault="00BD0602" w:rsidP="00BD0602">
      <w:pPr>
        <w:spacing w:before="120" w:after="120"/>
        <w:rPr>
          <w:rFonts w:asciiTheme="minorHAnsi" w:hAnsiTheme="minorHAnsi" w:cstheme="minorHAnsi"/>
          <w:lang w:val="pt-PT"/>
        </w:rPr>
      </w:pPr>
      <w:r w:rsidRPr="004500AE">
        <w:rPr>
          <w:rFonts w:asciiTheme="minorHAnsi" w:hAnsiTheme="minorHAnsi" w:cstheme="minorHAnsi"/>
          <w:lang w:val="pt-PT"/>
        </w:rPr>
        <w:t xml:space="preserve">O Grupo Banco Mundial, em 2018, tornou </w:t>
      </w:r>
      <w:proofErr w:type="spellStart"/>
      <w:r w:rsidRPr="004500AE">
        <w:rPr>
          <w:rFonts w:asciiTheme="minorHAnsi" w:hAnsiTheme="minorHAnsi" w:cstheme="minorHAnsi"/>
          <w:lang w:val="pt-PT"/>
        </w:rPr>
        <w:t>efectivo</w:t>
      </w:r>
      <w:proofErr w:type="spellEnd"/>
      <w:r w:rsidRPr="004500AE">
        <w:rPr>
          <w:rFonts w:asciiTheme="minorHAnsi" w:hAnsiTheme="minorHAnsi" w:cstheme="minorHAnsi"/>
          <w:lang w:val="pt-PT"/>
        </w:rPr>
        <w:t xml:space="preserve"> o seu Quadro Ambiental e Social (QAS) o qual transmite sua visão e política ambiental e social para o financiamento de </w:t>
      </w:r>
      <w:proofErr w:type="spellStart"/>
      <w:r w:rsidRPr="004500AE">
        <w:rPr>
          <w:rFonts w:asciiTheme="minorHAnsi" w:hAnsiTheme="minorHAnsi" w:cstheme="minorHAnsi"/>
          <w:lang w:val="pt-PT"/>
        </w:rPr>
        <w:t>projectos</w:t>
      </w:r>
      <w:proofErr w:type="spellEnd"/>
      <w:r w:rsidRPr="004500AE">
        <w:rPr>
          <w:rFonts w:asciiTheme="minorHAnsi" w:hAnsiTheme="minorHAnsi" w:cstheme="minorHAnsi"/>
          <w:lang w:val="pt-PT"/>
        </w:rPr>
        <w:t xml:space="preserve"> de Investimento, complementadas por um conjunto de dez Normas Ambientais e Sociais (NAS) que auxiliam a implementação do </w:t>
      </w:r>
      <w:proofErr w:type="spellStart"/>
      <w:r w:rsidRPr="004500AE">
        <w:rPr>
          <w:rFonts w:asciiTheme="minorHAnsi" w:hAnsiTheme="minorHAnsi" w:cstheme="minorHAnsi"/>
          <w:lang w:val="pt-PT"/>
        </w:rPr>
        <w:t>projecto</w:t>
      </w:r>
      <w:proofErr w:type="spellEnd"/>
      <w:r w:rsidRPr="004500AE">
        <w:rPr>
          <w:rFonts w:asciiTheme="minorHAnsi" w:hAnsiTheme="minorHAnsi" w:cstheme="minorHAnsi"/>
          <w:lang w:val="pt-PT"/>
        </w:rPr>
        <w:t>, na gestão dos riscos e impactos e na melhoria do seu desempenho ambiental e social, através de uma estratégia baseada em riscos e resultados. Na tabela seguinte apresentam-se as normas e a sua aplicabilidade ao "</w:t>
      </w:r>
      <w:proofErr w:type="spellStart"/>
      <w:r w:rsidRPr="004500AE">
        <w:rPr>
          <w:rFonts w:asciiTheme="minorHAnsi" w:hAnsiTheme="minorHAnsi" w:cstheme="minorHAnsi"/>
          <w:lang w:val="pt-PT"/>
        </w:rPr>
        <w:t>Projecto</w:t>
      </w:r>
      <w:proofErr w:type="spellEnd"/>
      <w:r w:rsidRPr="004500AE">
        <w:rPr>
          <w:rFonts w:asciiTheme="minorHAnsi" w:hAnsiTheme="minorHAnsi" w:cstheme="minorHAnsi"/>
          <w:lang w:val="pt-PT"/>
        </w:rPr>
        <w:t xml:space="preserve"> Água Segura".</w:t>
      </w:r>
    </w:p>
    <w:p w14:paraId="45EE8954" w14:textId="77777777" w:rsidR="00292532" w:rsidRPr="004500AE" w:rsidRDefault="00292532" w:rsidP="00BD0602">
      <w:pPr>
        <w:spacing w:before="120" w:after="120"/>
        <w:rPr>
          <w:rFonts w:asciiTheme="minorHAnsi" w:hAnsiTheme="minorHAnsi" w:cstheme="minorHAnsi"/>
          <w:lang w:val="pt-PT"/>
        </w:rPr>
      </w:pPr>
    </w:p>
    <w:tbl>
      <w:tblPr>
        <w:tblStyle w:val="GridTable2-Accent1"/>
        <w:tblpPr w:leftFromText="180" w:rightFromText="180" w:vertAnchor="text" w:horzAnchor="margin" w:tblpY="272"/>
        <w:tblW w:w="8725" w:type="dxa"/>
        <w:tblLayout w:type="fixed"/>
        <w:tblLook w:val="01E0" w:firstRow="1" w:lastRow="1" w:firstColumn="1" w:lastColumn="1" w:noHBand="0" w:noVBand="0"/>
      </w:tblPr>
      <w:tblGrid>
        <w:gridCol w:w="3544"/>
        <w:gridCol w:w="5166"/>
        <w:gridCol w:w="15"/>
      </w:tblGrid>
      <w:tr w:rsidR="00BD0602" w:rsidRPr="00292532" w14:paraId="6D42A1D6" w14:textId="77777777" w:rsidTr="002D11F2">
        <w:trPr>
          <w:gridAfter w:val="1"/>
          <w:cnfStyle w:val="100000000000" w:firstRow="1" w:lastRow="0" w:firstColumn="0" w:lastColumn="0" w:oddVBand="0" w:evenVBand="0" w:oddHBand="0" w:evenHBand="0" w:firstRowFirstColumn="0" w:firstRowLastColumn="0" w:lastRowFirstColumn="0" w:lastRowLastColumn="0"/>
          <w:wAfter w:w="15" w:type="dxa"/>
          <w:trHeight w:val="326"/>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auto"/>
            </w:tcBorders>
          </w:tcPr>
          <w:p w14:paraId="72BA4342" w14:textId="38C1E09D" w:rsidR="00BD0602" w:rsidRPr="002D11F2" w:rsidRDefault="00BD0602" w:rsidP="00BD0602">
            <w:pPr>
              <w:spacing w:before="0"/>
              <w:rPr>
                <w:rFonts w:asciiTheme="minorHAnsi" w:hAnsiTheme="minorHAnsi" w:cstheme="minorHAnsi"/>
                <w:sz w:val="18"/>
                <w:szCs w:val="18"/>
                <w:lang w:val="pt-PT"/>
              </w:rPr>
            </w:pPr>
            <w:r w:rsidRPr="002D11F2">
              <w:rPr>
                <w:rFonts w:asciiTheme="minorHAnsi" w:hAnsiTheme="minorHAnsi" w:cstheme="minorHAnsi"/>
                <w:sz w:val="18"/>
                <w:szCs w:val="18"/>
                <w:lang w:val="pt-PT"/>
              </w:rPr>
              <w:lastRenderedPageBreak/>
              <w:t>Normas Ambientais e Social</w:t>
            </w:r>
          </w:p>
        </w:tc>
        <w:tc>
          <w:tcPr>
            <w:cnfStyle w:val="000100000000" w:firstRow="0" w:lastRow="0" w:firstColumn="0" w:lastColumn="1" w:oddVBand="0" w:evenVBand="0" w:oddHBand="0" w:evenHBand="0" w:firstRowFirstColumn="0" w:firstRowLastColumn="0" w:lastRowFirstColumn="0" w:lastRowLastColumn="0"/>
            <w:tcW w:w="5166" w:type="dxa"/>
            <w:tcBorders>
              <w:top w:val="single" w:sz="4" w:space="0" w:color="auto"/>
              <w:right w:val="single" w:sz="4" w:space="0" w:color="auto"/>
            </w:tcBorders>
          </w:tcPr>
          <w:p w14:paraId="6EB33D46" w14:textId="77777777" w:rsidR="00BD0602" w:rsidRPr="004500AE" w:rsidRDefault="00BD0602" w:rsidP="00BD0602">
            <w:pPr>
              <w:spacing w:before="0"/>
              <w:rPr>
                <w:rFonts w:asciiTheme="minorHAnsi" w:hAnsiTheme="minorHAnsi" w:cstheme="minorHAnsi"/>
                <w:sz w:val="18"/>
                <w:szCs w:val="18"/>
                <w:lang w:val="pt-PT"/>
              </w:rPr>
            </w:pPr>
            <w:r w:rsidRPr="004500AE">
              <w:rPr>
                <w:rFonts w:asciiTheme="minorHAnsi" w:hAnsiTheme="minorHAnsi" w:cstheme="minorHAnsi"/>
                <w:sz w:val="18"/>
                <w:szCs w:val="18"/>
                <w:lang w:val="pt-PT"/>
              </w:rPr>
              <w:t>Aplicabilidade</w:t>
            </w:r>
          </w:p>
        </w:tc>
      </w:tr>
      <w:tr w:rsidR="00BD0602" w:rsidRPr="00292532" w14:paraId="1564498D" w14:textId="77777777" w:rsidTr="002D11F2">
        <w:trPr>
          <w:gridAfter w:val="1"/>
          <w:cnfStyle w:val="000000100000" w:firstRow="0" w:lastRow="0" w:firstColumn="0" w:lastColumn="0" w:oddVBand="0" w:evenVBand="0" w:oddHBand="1" w:evenHBand="0" w:firstRowFirstColumn="0" w:firstRowLastColumn="0" w:lastRowFirstColumn="0" w:lastRowLastColumn="0"/>
          <w:wAfter w:w="15" w:type="dxa"/>
          <w:trHeight w:val="325"/>
        </w:trPr>
        <w:tc>
          <w:tcPr>
            <w:cnfStyle w:val="001000000000" w:firstRow="0" w:lastRow="0" w:firstColumn="1" w:lastColumn="0" w:oddVBand="0" w:evenVBand="0" w:oddHBand="0" w:evenHBand="0" w:firstRowFirstColumn="0" w:firstRowLastColumn="0" w:lastRowFirstColumn="0" w:lastRowLastColumn="0"/>
            <w:tcW w:w="3544" w:type="dxa"/>
            <w:tcBorders>
              <w:left w:val="single" w:sz="4" w:space="0" w:color="auto"/>
            </w:tcBorders>
          </w:tcPr>
          <w:p w14:paraId="30476EE0" w14:textId="77777777" w:rsidR="00BD0602" w:rsidRPr="002D11F2" w:rsidRDefault="00BD0602" w:rsidP="00BD0602">
            <w:pPr>
              <w:spacing w:before="0"/>
              <w:rPr>
                <w:rFonts w:asciiTheme="minorHAnsi" w:hAnsiTheme="minorHAnsi" w:cstheme="minorHAnsi"/>
                <w:sz w:val="18"/>
                <w:szCs w:val="18"/>
                <w:lang w:val="pt-PT"/>
              </w:rPr>
            </w:pPr>
            <w:r w:rsidRPr="002D11F2">
              <w:rPr>
                <w:rFonts w:asciiTheme="minorHAnsi" w:hAnsiTheme="minorHAnsi" w:cstheme="minorHAnsi"/>
                <w:sz w:val="18"/>
                <w:szCs w:val="18"/>
                <w:lang w:val="pt-PT"/>
              </w:rPr>
              <w:t>NAS1: Avaliação e Gestão de Riscos e Impactos Ambientais e Sociais</w:t>
            </w:r>
          </w:p>
        </w:tc>
        <w:tc>
          <w:tcPr>
            <w:cnfStyle w:val="000100000000" w:firstRow="0" w:lastRow="0" w:firstColumn="0" w:lastColumn="1" w:oddVBand="0" w:evenVBand="0" w:oddHBand="0" w:evenHBand="0" w:firstRowFirstColumn="0" w:firstRowLastColumn="0" w:lastRowFirstColumn="0" w:lastRowLastColumn="0"/>
            <w:tcW w:w="5166" w:type="dxa"/>
            <w:tcBorders>
              <w:right w:val="single" w:sz="4" w:space="0" w:color="auto"/>
            </w:tcBorders>
          </w:tcPr>
          <w:p w14:paraId="3F756303" w14:textId="77777777" w:rsidR="00BD0602" w:rsidRPr="004500AE" w:rsidRDefault="00BD0602" w:rsidP="00BD0602">
            <w:pPr>
              <w:spacing w:before="0"/>
              <w:jc w:val="center"/>
              <w:rPr>
                <w:rFonts w:asciiTheme="minorHAnsi" w:hAnsiTheme="minorHAnsi" w:cstheme="minorHAnsi"/>
                <w:sz w:val="18"/>
                <w:szCs w:val="18"/>
                <w:lang w:val="pt-PT"/>
              </w:rPr>
            </w:pPr>
            <w:r w:rsidRPr="004500AE">
              <w:rPr>
                <w:rFonts w:asciiTheme="minorHAnsi" w:hAnsiTheme="minorHAnsi" w:cstheme="minorHAnsi"/>
                <w:sz w:val="18"/>
                <w:szCs w:val="18"/>
                <w:lang w:val="pt-PT"/>
              </w:rPr>
              <w:t>Sim</w:t>
            </w:r>
          </w:p>
        </w:tc>
      </w:tr>
      <w:tr w:rsidR="00BD0602" w:rsidRPr="00292532" w14:paraId="32B9FE75" w14:textId="77777777" w:rsidTr="002D11F2">
        <w:trPr>
          <w:trHeight w:val="329"/>
        </w:trPr>
        <w:tc>
          <w:tcPr>
            <w:cnfStyle w:val="001000000000" w:firstRow="0" w:lastRow="0" w:firstColumn="1" w:lastColumn="0" w:oddVBand="0" w:evenVBand="0" w:oddHBand="0" w:evenHBand="0" w:firstRowFirstColumn="0" w:firstRowLastColumn="0" w:lastRowFirstColumn="0" w:lastRowLastColumn="0"/>
            <w:tcW w:w="3544" w:type="dxa"/>
            <w:tcBorders>
              <w:left w:val="single" w:sz="4" w:space="0" w:color="auto"/>
            </w:tcBorders>
          </w:tcPr>
          <w:p w14:paraId="4366696F" w14:textId="77777777" w:rsidR="00BD0602" w:rsidRPr="004500AE" w:rsidRDefault="00BD0602" w:rsidP="00BD0602">
            <w:pPr>
              <w:spacing w:before="0"/>
              <w:rPr>
                <w:rFonts w:asciiTheme="minorHAnsi" w:hAnsiTheme="minorHAnsi" w:cstheme="minorHAnsi"/>
                <w:sz w:val="18"/>
                <w:szCs w:val="18"/>
                <w:lang w:val="pt-PT"/>
              </w:rPr>
            </w:pPr>
            <w:r w:rsidRPr="004500AE">
              <w:rPr>
                <w:rFonts w:asciiTheme="minorHAnsi" w:hAnsiTheme="minorHAnsi" w:cstheme="minorHAnsi"/>
                <w:sz w:val="18"/>
                <w:szCs w:val="18"/>
                <w:lang w:val="pt-PT"/>
              </w:rPr>
              <w:t>NAS2: Mão de Obra e Condições de Trabalho</w:t>
            </w:r>
          </w:p>
        </w:tc>
        <w:tc>
          <w:tcPr>
            <w:cnfStyle w:val="000100000000" w:firstRow="0" w:lastRow="0" w:firstColumn="0" w:lastColumn="1" w:oddVBand="0" w:evenVBand="0" w:oddHBand="0" w:evenHBand="0" w:firstRowFirstColumn="0" w:firstRowLastColumn="0" w:lastRowFirstColumn="0" w:lastRowLastColumn="0"/>
            <w:tcW w:w="5181" w:type="dxa"/>
            <w:gridSpan w:val="2"/>
            <w:tcBorders>
              <w:right w:val="single" w:sz="4" w:space="0" w:color="auto"/>
            </w:tcBorders>
          </w:tcPr>
          <w:p w14:paraId="4AE79E8A" w14:textId="77777777" w:rsidR="00BD0602" w:rsidRPr="004500AE" w:rsidRDefault="00BD0602" w:rsidP="00BD0602">
            <w:pPr>
              <w:spacing w:before="0"/>
              <w:jc w:val="center"/>
              <w:rPr>
                <w:rFonts w:asciiTheme="minorHAnsi" w:hAnsiTheme="minorHAnsi" w:cstheme="minorHAnsi"/>
                <w:sz w:val="18"/>
                <w:szCs w:val="18"/>
                <w:lang w:val="pt-PT"/>
              </w:rPr>
            </w:pPr>
            <w:r w:rsidRPr="004500AE">
              <w:rPr>
                <w:rFonts w:asciiTheme="minorHAnsi" w:hAnsiTheme="minorHAnsi" w:cstheme="minorHAnsi"/>
                <w:sz w:val="18"/>
                <w:szCs w:val="18"/>
                <w:lang w:val="pt-PT"/>
              </w:rPr>
              <w:t>Sim</w:t>
            </w:r>
          </w:p>
        </w:tc>
      </w:tr>
      <w:tr w:rsidR="00BD0602" w:rsidRPr="00292532" w14:paraId="3B895613" w14:textId="77777777" w:rsidTr="002D11F2">
        <w:trPr>
          <w:gridAfter w:val="1"/>
          <w:cnfStyle w:val="000000100000" w:firstRow="0" w:lastRow="0" w:firstColumn="0" w:lastColumn="0" w:oddVBand="0" w:evenVBand="0" w:oddHBand="1" w:evenHBand="0" w:firstRowFirstColumn="0" w:firstRowLastColumn="0" w:lastRowFirstColumn="0" w:lastRowLastColumn="0"/>
          <w:wAfter w:w="15" w:type="dxa"/>
          <w:trHeight w:val="326"/>
        </w:trPr>
        <w:tc>
          <w:tcPr>
            <w:cnfStyle w:val="001000000000" w:firstRow="0" w:lastRow="0" w:firstColumn="1" w:lastColumn="0" w:oddVBand="0" w:evenVBand="0" w:oddHBand="0" w:evenHBand="0" w:firstRowFirstColumn="0" w:firstRowLastColumn="0" w:lastRowFirstColumn="0" w:lastRowLastColumn="0"/>
            <w:tcW w:w="3544" w:type="dxa"/>
            <w:tcBorders>
              <w:left w:val="single" w:sz="4" w:space="0" w:color="auto"/>
            </w:tcBorders>
          </w:tcPr>
          <w:p w14:paraId="24639EAE" w14:textId="77777777" w:rsidR="00BD0602" w:rsidRPr="004500AE" w:rsidRDefault="00BD0602" w:rsidP="00BD0602">
            <w:pPr>
              <w:spacing w:before="0"/>
              <w:rPr>
                <w:rFonts w:asciiTheme="minorHAnsi" w:hAnsiTheme="minorHAnsi" w:cstheme="minorHAnsi"/>
                <w:sz w:val="18"/>
                <w:szCs w:val="18"/>
                <w:lang w:val="pt-PT"/>
              </w:rPr>
            </w:pPr>
            <w:r w:rsidRPr="004500AE">
              <w:rPr>
                <w:rFonts w:asciiTheme="minorHAnsi" w:hAnsiTheme="minorHAnsi" w:cstheme="minorHAnsi"/>
                <w:sz w:val="18"/>
                <w:szCs w:val="18"/>
                <w:lang w:val="pt-PT"/>
              </w:rPr>
              <w:t>NAS3: Eficiência de Recursos e Prevenção e Gestão da Poluição</w:t>
            </w:r>
          </w:p>
        </w:tc>
        <w:tc>
          <w:tcPr>
            <w:cnfStyle w:val="000100000000" w:firstRow="0" w:lastRow="0" w:firstColumn="0" w:lastColumn="1" w:oddVBand="0" w:evenVBand="0" w:oddHBand="0" w:evenHBand="0" w:firstRowFirstColumn="0" w:firstRowLastColumn="0" w:lastRowFirstColumn="0" w:lastRowLastColumn="0"/>
            <w:tcW w:w="5166" w:type="dxa"/>
            <w:tcBorders>
              <w:right w:val="single" w:sz="4" w:space="0" w:color="auto"/>
            </w:tcBorders>
          </w:tcPr>
          <w:p w14:paraId="1CCB3A53" w14:textId="77777777" w:rsidR="00BD0602" w:rsidRPr="004500AE" w:rsidRDefault="00BD0602" w:rsidP="00BD0602">
            <w:pPr>
              <w:spacing w:before="0"/>
              <w:jc w:val="center"/>
              <w:rPr>
                <w:rFonts w:asciiTheme="minorHAnsi" w:hAnsiTheme="minorHAnsi" w:cstheme="minorHAnsi"/>
                <w:sz w:val="18"/>
                <w:szCs w:val="18"/>
                <w:lang w:val="pt-PT"/>
              </w:rPr>
            </w:pPr>
            <w:r w:rsidRPr="004500AE">
              <w:rPr>
                <w:rFonts w:asciiTheme="minorHAnsi" w:hAnsiTheme="minorHAnsi" w:cstheme="minorHAnsi"/>
                <w:sz w:val="18"/>
                <w:szCs w:val="18"/>
                <w:lang w:val="pt-PT"/>
              </w:rPr>
              <w:t>Sim</w:t>
            </w:r>
          </w:p>
        </w:tc>
      </w:tr>
      <w:tr w:rsidR="00BD0602" w:rsidRPr="00292532" w14:paraId="0587B78C" w14:textId="77777777" w:rsidTr="002D11F2">
        <w:trPr>
          <w:trHeight w:val="328"/>
        </w:trPr>
        <w:tc>
          <w:tcPr>
            <w:cnfStyle w:val="001000000000" w:firstRow="0" w:lastRow="0" w:firstColumn="1" w:lastColumn="0" w:oddVBand="0" w:evenVBand="0" w:oddHBand="0" w:evenHBand="0" w:firstRowFirstColumn="0" w:firstRowLastColumn="0" w:lastRowFirstColumn="0" w:lastRowLastColumn="0"/>
            <w:tcW w:w="3544" w:type="dxa"/>
            <w:tcBorders>
              <w:left w:val="single" w:sz="4" w:space="0" w:color="auto"/>
            </w:tcBorders>
          </w:tcPr>
          <w:p w14:paraId="1EB7DB2A" w14:textId="77777777" w:rsidR="00BD0602" w:rsidRPr="004500AE" w:rsidRDefault="00BD0602" w:rsidP="00BD0602">
            <w:pPr>
              <w:spacing w:before="0"/>
              <w:rPr>
                <w:rFonts w:asciiTheme="minorHAnsi" w:hAnsiTheme="minorHAnsi" w:cstheme="minorHAnsi"/>
                <w:sz w:val="18"/>
                <w:szCs w:val="18"/>
                <w:lang w:val="pt-PT"/>
              </w:rPr>
            </w:pPr>
            <w:r w:rsidRPr="004500AE">
              <w:rPr>
                <w:rFonts w:asciiTheme="minorHAnsi" w:hAnsiTheme="minorHAnsi" w:cstheme="minorHAnsi"/>
                <w:sz w:val="18"/>
                <w:szCs w:val="18"/>
                <w:lang w:val="pt-PT"/>
              </w:rPr>
              <w:t>NAS4: Saúde e Segurança da Comunidade</w:t>
            </w:r>
          </w:p>
        </w:tc>
        <w:tc>
          <w:tcPr>
            <w:cnfStyle w:val="000100000000" w:firstRow="0" w:lastRow="0" w:firstColumn="0" w:lastColumn="1" w:oddVBand="0" w:evenVBand="0" w:oddHBand="0" w:evenHBand="0" w:firstRowFirstColumn="0" w:firstRowLastColumn="0" w:lastRowFirstColumn="0" w:lastRowLastColumn="0"/>
            <w:tcW w:w="5181" w:type="dxa"/>
            <w:gridSpan w:val="2"/>
            <w:tcBorders>
              <w:right w:val="single" w:sz="4" w:space="0" w:color="auto"/>
            </w:tcBorders>
          </w:tcPr>
          <w:p w14:paraId="0E5F9FF2" w14:textId="77777777" w:rsidR="00BD0602" w:rsidRPr="004500AE" w:rsidRDefault="00BD0602" w:rsidP="00BD0602">
            <w:pPr>
              <w:spacing w:before="0"/>
              <w:jc w:val="center"/>
              <w:rPr>
                <w:rFonts w:asciiTheme="minorHAnsi" w:hAnsiTheme="minorHAnsi" w:cstheme="minorHAnsi"/>
                <w:sz w:val="18"/>
                <w:szCs w:val="18"/>
                <w:lang w:val="pt-PT"/>
              </w:rPr>
            </w:pPr>
            <w:r w:rsidRPr="004500AE">
              <w:rPr>
                <w:rFonts w:asciiTheme="minorHAnsi" w:hAnsiTheme="minorHAnsi" w:cstheme="minorHAnsi"/>
                <w:sz w:val="18"/>
                <w:szCs w:val="18"/>
                <w:lang w:val="pt-PT"/>
              </w:rPr>
              <w:t>Sim</w:t>
            </w:r>
          </w:p>
        </w:tc>
      </w:tr>
      <w:tr w:rsidR="00BD0602" w:rsidRPr="00292532" w14:paraId="4E8A17D9" w14:textId="77777777" w:rsidTr="002D11F2">
        <w:trPr>
          <w:gridAfter w:val="1"/>
          <w:cnfStyle w:val="000000100000" w:firstRow="0" w:lastRow="0" w:firstColumn="0" w:lastColumn="0" w:oddVBand="0" w:evenVBand="0" w:oddHBand="1" w:evenHBand="0" w:firstRowFirstColumn="0" w:firstRowLastColumn="0" w:lastRowFirstColumn="0" w:lastRowLastColumn="0"/>
          <w:wAfter w:w="15" w:type="dxa"/>
          <w:trHeight w:val="532"/>
        </w:trPr>
        <w:tc>
          <w:tcPr>
            <w:cnfStyle w:val="001000000000" w:firstRow="0" w:lastRow="0" w:firstColumn="1" w:lastColumn="0" w:oddVBand="0" w:evenVBand="0" w:oddHBand="0" w:evenHBand="0" w:firstRowFirstColumn="0" w:firstRowLastColumn="0" w:lastRowFirstColumn="0" w:lastRowLastColumn="0"/>
            <w:tcW w:w="3544" w:type="dxa"/>
            <w:tcBorders>
              <w:left w:val="single" w:sz="4" w:space="0" w:color="auto"/>
            </w:tcBorders>
          </w:tcPr>
          <w:p w14:paraId="429924EA" w14:textId="77777777" w:rsidR="00BD0602" w:rsidRPr="004500AE" w:rsidRDefault="00BD0602" w:rsidP="00BD0602">
            <w:pPr>
              <w:spacing w:before="0"/>
              <w:rPr>
                <w:rFonts w:asciiTheme="minorHAnsi" w:hAnsiTheme="minorHAnsi" w:cstheme="minorHAnsi"/>
                <w:sz w:val="18"/>
                <w:szCs w:val="18"/>
                <w:lang w:val="pt-PT"/>
              </w:rPr>
            </w:pPr>
            <w:r w:rsidRPr="004500AE">
              <w:rPr>
                <w:rFonts w:asciiTheme="minorHAnsi" w:hAnsiTheme="minorHAnsi" w:cstheme="minorHAnsi"/>
                <w:sz w:val="18"/>
                <w:szCs w:val="18"/>
                <w:lang w:val="pt-PT"/>
              </w:rPr>
              <w:t>NAS5: Aquisição de Terras, Restrições ao Uso de Terras e Reassentamento Involuntário</w:t>
            </w:r>
          </w:p>
        </w:tc>
        <w:tc>
          <w:tcPr>
            <w:cnfStyle w:val="000100000000" w:firstRow="0" w:lastRow="0" w:firstColumn="0" w:lastColumn="1" w:oddVBand="0" w:evenVBand="0" w:oddHBand="0" w:evenHBand="0" w:firstRowFirstColumn="0" w:firstRowLastColumn="0" w:lastRowFirstColumn="0" w:lastRowLastColumn="0"/>
            <w:tcW w:w="5166" w:type="dxa"/>
            <w:tcBorders>
              <w:right w:val="single" w:sz="4" w:space="0" w:color="auto"/>
            </w:tcBorders>
          </w:tcPr>
          <w:p w14:paraId="082A018C" w14:textId="77777777" w:rsidR="00BD0602" w:rsidRPr="004500AE" w:rsidRDefault="00BD0602" w:rsidP="00BD0602">
            <w:pPr>
              <w:spacing w:before="0"/>
              <w:jc w:val="center"/>
              <w:rPr>
                <w:rFonts w:asciiTheme="minorHAnsi" w:hAnsiTheme="minorHAnsi" w:cstheme="minorHAnsi"/>
                <w:sz w:val="18"/>
                <w:szCs w:val="18"/>
                <w:lang w:val="pt-PT"/>
              </w:rPr>
            </w:pPr>
            <w:r w:rsidRPr="004500AE">
              <w:rPr>
                <w:rFonts w:asciiTheme="minorHAnsi" w:hAnsiTheme="minorHAnsi" w:cstheme="minorHAnsi"/>
                <w:sz w:val="18"/>
                <w:szCs w:val="18"/>
                <w:lang w:val="pt-PT"/>
              </w:rPr>
              <w:t>Sim</w:t>
            </w:r>
          </w:p>
        </w:tc>
      </w:tr>
      <w:tr w:rsidR="00BD0602" w:rsidRPr="00292532" w14:paraId="3E64F624" w14:textId="77777777" w:rsidTr="002D11F2">
        <w:trPr>
          <w:trHeight w:val="278"/>
        </w:trPr>
        <w:tc>
          <w:tcPr>
            <w:cnfStyle w:val="001000000000" w:firstRow="0" w:lastRow="0" w:firstColumn="1" w:lastColumn="0" w:oddVBand="0" w:evenVBand="0" w:oddHBand="0" w:evenHBand="0" w:firstRowFirstColumn="0" w:firstRowLastColumn="0" w:lastRowFirstColumn="0" w:lastRowLastColumn="0"/>
            <w:tcW w:w="3544" w:type="dxa"/>
            <w:tcBorders>
              <w:left w:val="single" w:sz="4" w:space="0" w:color="auto"/>
            </w:tcBorders>
          </w:tcPr>
          <w:p w14:paraId="22C1BE52" w14:textId="77777777" w:rsidR="00BD0602" w:rsidRPr="004500AE" w:rsidRDefault="00BD0602" w:rsidP="00BD0602">
            <w:pPr>
              <w:spacing w:before="0"/>
              <w:rPr>
                <w:rFonts w:asciiTheme="minorHAnsi" w:hAnsiTheme="minorHAnsi" w:cstheme="minorHAnsi"/>
                <w:sz w:val="18"/>
                <w:szCs w:val="18"/>
                <w:lang w:val="pt-PT"/>
              </w:rPr>
            </w:pPr>
            <w:r w:rsidRPr="004500AE">
              <w:rPr>
                <w:rFonts w:asciiTheme="minorHAnsi" w:hAnsiTheme="minorHAnsi" w:cstheme="minorHAnsi"/>
                <w:sz w:val="18"/>
                <w:szCs w:val="18"/>
                <w:lang w:val="pt-PT"/>
              </w:rPr>
              <w:t>NAS6: Conservação da Biodiversidade e Gestão Sustentável de Recursos Naturais Vivos</w:t>
            </w:r>
          </w:p>
        </w:tc>
        <w:tc>
          <w:tcPr>
            <w:cnfStyle w:val="000100000000" w:firstRow="0" w:lastRow="0" w:firstColumn="0" w:lastColumn="1" w:oddVBand="0" w:evenVBand="0" w:oddHBand="0" w:evenHBand="0" w:firstRowFirstColumn="0" w:firstRowLastColumn="0" w:lastRowFirstColumn="0" w:lastRowLastColumn="0"/>
            <w:tcW w:w="5181" w:type="dxa"/>
            <w:gridSpan w:val="2"/>
            <w:tcBorders>
              <w:right w:val="single" w:sz="4" w:space="0" w:color="auto"/>
            </w:tcBorders>
          </w:tcPr>
          <w:p w14:paraId="7DAF0522" w14:textId="77777777" w:rsidR="00BD0602" w:rsidRPr="004500AE" w:rsidRDefault="00BD0602" w:rsidP="00BD0602">
            <w:pPr>
              <w:spacing w:before="0"/>
              <w:jc w:val="center"/>
              <w:rPr>
                <w:rFonts w:asciiTheme="minorHAnsi" w:hAnsiTheme="minorHAnsi" w:cstheme="minorHAnsi"/>
                <w:sz w:val="18"/>
                <w:szCs w:val="18"/>
                <w:lang w:val="pt-PT"/>
              </w:rPr>
            </w:pPr>
            <w:r w:rsidRPr="004500AE">
              <w:rPr>
                <w:rFonts w:asciiTheme="minorHAnsi" w:hAnsiTheme="minorHAnsi" w:cstheme="minorHAnsi"/>
                <w:sz w:val="18"/>
                <w:szCs w:val="18"/>
                <w:lang w:val="pt-PT"/>
              </w:rPr>
              <w:t>Sim</w:t>
            </w:r>
          </w:p>
        </w:tc>
      </w:tr>
      <w:tr w:rsidR="00BD0602" w:rsidRPr="00292532" w14:paraId="2501C755" w14:textId="77777777" w:rsidTr="002D11F2">
        <w:trPr>
          <w:gridAfter w:val="1"/>
          <w:cnfStyle w:val="000000100000" w:firstRow="0" w:lastRow="0" w:firstColumn="0" w:lastColumn="0" w:oddVBand="0" w:evenVBand="0" w:oddHBand="1" w:evenHBand="0" w:firstRowFirstColumn="0" w:firstRowLastColumn="0" w:lastRowFirstColumn="0" w:lastRowLastColumn="0"/>
          <w:wAfter w:w="15" w:type="dxa"/>
          <w:trHeight w:val="534"/>
        </w:trPr>
        <w:tc>
          <w:tcPr>
            <w:cnfStyle w:val="001000000000" w:firstRow="0" w:lastRow="0" w:firstColumn="1" w:lastColumn="0" w:oddVBand="0" w:evenVBand="0" w:oddHBand="0" w:evenHBand="0" w:firstRowFirstColumn="0" w:firstRowLastColumn="0" w:lastRowFirstColumn="0" w:lastRowLastColumn="0"/>
            <w:tcW w:w="3544" w:type="dxa"/>
            <w:tcBorders>
              <w:left w:val="single" w:sz="4" w:space="0" w:color="auto"/>
            </w:tcBorders>
          </w:tcPr>
          <w:p w14:paraId="4243A89B" w14:textId="77777777" w:rsidR="00BD0602" w:rsidRPr="004500AE" w:rsidRDefault="00BD0602" w:rsidP="00BD0602">
            <w:pPr>
              <w:spacing w:before="0"/>
              <w:rPr>
                <w:rFonts w:asciiTheme="minorHAnsi" w:hAnsiTheme="minorHAnsi" w:cstheme="minorHAnsi"/>
                <w:sz w:val="18"/>
                <w:szCs w:val="18"/>
                <w:lang w:val="pt-PT"/>
              </w:rPr>
            </w:pPr>
            <w:r w:rsidRPr="004500AE">
              <w:rPr>
                <w:rFonts w:asciiTheme="minorHAnsi" w:hAnsiTheme="minorHAnsi" w:cstheme="minorHAnsi"/>
                <w:sz w:val="18"/>
                <w:szCs w:val="18"/>
                <w:lang w:val="pt-PT"/>
              </w:rPr>
              <w:t>NAS7: Povos Indígenas/Comunidades Locais Historicamente Desfavorecidas da África Subsaariana</w:t>
            </w:r>
          </w:p>
        </w:tc>
        <w:tc>
          <w:tcPr>
            <w:cnfStyle w:val="000100000000" w:firstRow="0" w:lastRow="0" w:firstColumn="0" w:lastColumn="1" w:oddVBand="0" w:evenVBand="0" w:oddHBand="0" w:evenHBand="0" w:firstRowFirstColumn="0" w:firstRowLastColumn="0" w:lastRowFirstColumn="0" w:lastRowLastColumn="0"/>
            <w:tcW w:w="5166" w:type="dxa"/>
            <w:tcBorders>
              <w:right w:val="single" w:sz="4" w:space="0" w:color="auto"/>
            </w:tcBorders>
          </w:tcPr>
          <w:p w14:paraId="38A820DE" w14:textId="77777777" w:rsidR="00BD0602" w:rsidRPr="004500AE" w:rsidRDefault="00BD0602" w:rsidP="00BD0602">
            <w:pPr>
              <w:spacing w:before="0"/>
              <w:jc w:val="center"/>
              <w:rPr>
                <w:rFonts w:asciiTheme="minorHAnsi" w:hAnsiTheme="minorHAnsi" w:cstheme="minorHAnsi"/>
                <w:sz w:val="18"/>
                <w:szCs w:val="18"/>
                <w:lang w:val="pt-PT"/>
              </w:rPr>
            </w:pPr>
            <w:r w:rsidRPr="004500AE">
              <w:rPr>
                <w:rFonts w:asciiTheme="minorHAnsi" w:hAnsiTheme="minorHAnsi" w:cstheme="minorHAnsi"/>
                <w:sz w:val="18"/>
                <w:szCs w:val="18"/>
                <w:lang w:val="pt-PT"/>
              </w:rPr>
              <w:t>Não</w:t>
            </w:r>
          </w:p>
        </w:tc>
      </w:tr>
      <w:tr w:rsidR="00BD0602" w:rsidRPr="00292532" w14:paraId="4E3B93F8" w14:textId="77777777" w:rsidTr="002D11F2">
        <w:trPr>
          <w:trHeight w:val="326"/>
        </w:trPr>
        <w:tc>
          <w:tcPr>
            <w:cnfStyle w:val="001000000000" w:firstRow="0" w:lastRow="0" w:firstColumn="1" w:lastColumn="0" w:oddVBand="0" w:evenVBand="0" w:oddHBand="0" w:evenHBand="0" w:firstRowFirstColumn="0" w:firstRowLastColumn="0" w:lastRowFirstColumn="0" w:lastRowLastColumn="0"/>
            <w:tcW w:w="3544" w:type="dxa"/>
            <w:tcBorders>
              <w:left w:val="single" w:sz="4" w:space="0" w:color="auto"/>
            </w:tcBorders>
          </w:tcPr>
          <w:p w14:paraId="5048C3D2" w14:textId="77777777" w:rsidR="00BD0602" w:rsidRPr="004500AE" w:rsidRDefault="00BD0602" w:rsidP="00BD0602">
            <w:pPr>
              <w:spacing w:before="0"/>
              <w:rPr>
                <w:rFonts w:asciiTheme="minorHAnsi" w:hAnsiTheme="minorHAnsi" w:cstheme="minorHAnsi"/>
                <w:sz w:val="18"/>
                <w:szCs w:val="18"/>
                <w:lang w:val="pt-PT"/>
              </w:rPr>
            </w:pPr>
            <w:r w:rsidRPr="004500AE">
              <w:rPr>
                <w:rFonts w:asciiTheme="minorHAnsi" w:hAnsiTheme="minorHAnsi" w:cstheme="minorHAnsi"/>
                <w:sz w:val="18"/>
                <w:szCs w:val="18"/>
                <w:lang w:val="pt-PT"/>
              </w:rPr>
              <w:t>NAS8: Património Cultural</w:t>
            </w:r>
          </w:p>
        </w:tc>
        <w:tc>
          <w:tcPr>
            <w:cnfStyle w:val="000100000000" w:firstRow="0" w:lastRow="0" w:firstColumn="0" w:lastColumn="1" w:oddVBand="0" w:evenVBand="0" w:oddHBand="0" w:evenHBand="0" w:firstRowFirstColumn="0" w:firstRowLastColumn="0" w:lastRowFirstColumn="0" w:lastRowLastColumn="0"/>
            <w:tcW w:w="5181" w:type="dxa"/>
            <w:gridSpan w:val="2"/>
            <w:tcBorders>
              <w:right w:val="single" w:sz="4" w:space="0" w:color="auto"/>
            </w:tcBorders>
          </w:tcPr>
          <w:p w14:paraId="128D351F" w14:textId="77777777" w:rsidR="00BD0602" w:rsidRPr="004500AE" w:rsidRDefault="00BD0602" w:rsidP="00BD0602">
            <w:pPr>
              <w:spacing w:before="0"/>
              <w:jc w:val="center"/>
              <w:rPr>
                <w:rFonts w:asciiTheme="minorHAnsi" w:hAnsiTheme="minorHAnsi" w:cstheme="minorHAnsi"/>
                <w:sz w:val="18"/>
                <w:szCs w:val="18"/>
                <w:lang w:val="pt-PT"/>
              </w:rPr>
            </w:pPr>
            <w:r w:rsidRPr="004500AE">
              <w:rPr>
                <w:rFonts w:asciiTheme="minorHAnsi" w:hAnsiTheme="minorHAnsi" w:cstheme="minorHAnsi"/>
                <w:sz w:val="18"/>
                <w:szCs w:val="18"/>
                <w:lang w:val="pt-PT"/>
              </w:rPr>
              <w:t>Sim</w:t>
            </w:r>
          </w:p>
        </w:tc>
      </w:tr>
      <w:tr w:rsidR="00BD0602" w:rsidRPr="00292532" w14:paraId="0245C4AF" w14:textId="77777777" w:rsidTr="002D11F2">
        <w:trPr>
          <w:gridAfter w:val="1"/>
          <w:cnfStyle w:val="000000100000" w:firstRow="0" w:lastRow="0" w:firstColumn="0" w:lastColumn="0" w:oddVBand="0" w:evenVBand="0" w:oddHBand="1" w:evenHBand="0" w:firstRowFirstColumn="0" w:firstRowLastColumn="0" w:lastRowFirstColumn="0" w:lastRowLastColumn="0"/>
          <w:wAfter w:w="15" w:type="dxa"/>
          <w:trHeight w:val="325"/>
        </w:trPr>
        <w:tc>
          <w:tcPr>
            <w:cnfStyle w:val="001000000000" w:firstRow="0" w:lastRow="0" w:firstColumn="1" w:lastColumn="0" w:oddVBand="0" w:evenVBand="0" w:oddHBand="0" w:evenHBand="0" w:firstRowFirstColumn="0" w:firstRowLastColumn="0" w:lastRowFirstColumn="0" w:lastRowLastColumn="0"/>
            <w:tcW w:w="3544" w:type="dxa"/>
            <w:tcBorders>
              <w:left w:val="single" w:sz="4" w:space="0" w:color="auto"/>
            </w:tcBorders>
          </w:tcPr>
          <w:p w14:paraId="5EA8634A" w14:textId="77777777" w:rsidR="00BD0602" w:rsidRPr="004500AE" w:rsidRDefault="00BD0602" w:rsidP="00BD0602">
            <w:pPr>
              <w:spacing w:before="0"/>
              <w:rPr>
                <w:rFonts w:asciiTheme="minorHAnsi" w:hAnsiTheme="minorHAnsi" w:cstheme="minorHAnsi"/>
                <w:sz w:val="18"/>
                <w:szCs w:val="18"/>
                <w:lang w:val="pt-PT"/>
              </w:rPr>
            </w:pPr>
            <w:r w:rsidRPr="004500AE">
              <w:rPr>
                <w:rFonts w:asciiTheme="minorHAnsi" w:hAnsiTheme="minorHAnsi" w:cstheme="minorHAnsi"/>
                <w:sz w:val="18"/>
                <w:szCs w:val="18"/>
                <w:lang w:val="pt-PT"/>
              </w:rPr>
              <w:t>NAS9: Intermediários Financeiros</w:t>
            </w:r>
          </w:p>
        </w:tc>
        <w:tc>
          <w:tcPr>
            <w:cnfStyle w:val="000100000000" w:firstRow="0" w:lastRow="0" w:firstColumn="0" w:lastColumn="1" w:oddVBand="0" w:evenVBand="0" w:oddHBand="0" w:evenHBand="0" w:firstRowFirstColumn="0" w:firstRowLastColumn="0" w:lastRowFirstColumn="0" w:lastRowLastColumn="0"/>
            <w:tcW w:w="5166" w:type="dxa"/>
            <w:tcBorders>
              <w:right w:val="single" w:sz="4" w:space="0" w:color="auto"/>
            </w:tcBorders>
          </w:tcPr>
          <w:p w14:paraId="7CF5F1AF" w14:textId="77777777" w:rsidR="00BD0602" w:rsidRPr="004500AE" w:rsidRDefault="00BD0602" w:rsidP="00BD0602">
            <w:pPr>
              <w:spacing w:before="0"/>
              <w:jc w:val="center"/>
              <w:rPr>
                <w:rFonts w:asciiTheme="minorHAnsi" w:hAnsiTheme="minorHAnsi" w:cstheme="minorHAnsi"/>
                <w:sz w:val="18"/>
                <w:szCs w:val="18"/>
                <w:lang w:val="pt-PT"/>
              </w:rPr>
            </w:pPr>
            <w:r w:rsidRPr="004500AE">
              <w:rPr>
                <w:rFonts w:asciiTheme="minorHAnsi" w:hAnsiTheme="minorHAnsi" w:cstheme="minorHAnsi"/>
                <w:sz w:val="18"/>
                <w:szCs w:val="18"/>
                <w:lang w:val="pt-PT"/>
              </w:rPr>
              <w:t>Não</w:t>
            </w:r>
          </w:p>
        </w:tc>
      </w:tr>
      <w:tr w:rsidR="00BD0602" w:rsidRPr="00292532" w14:paraId="20C850B5" w14:textId="77777777" w:rsidTr="002D11F2">
        <w:trPr>
          <w:gridAfter w:val="1"/>
          <w:cnfStyle w:val="010000000000" w:firstRow="0" w:lastRow="1" w:firstColumn="0" w:lastColumn="0" w:oddVBand="0" w:evenVBand="0" w:oddHBand="0" w:evenHBand="0" w:firstRowFirstColumn="0" w:firstRowLastColumn="0" w:lastRowFirstColumn="0" w:lastRowLastColumn="0"/>
          <w:wAfter w:w="15" w:type="dxa"/>
          <w:trHeight w:val="328"/>
        </w:trPr>
        <w:tc>
          <w:tcPr>
            <w:cnfStyle w:val="001000000000" w:firstRow="0" w:lastRow="0" w:firstColumn="1" w:lastColumn="0" w:oddVBand="0" w:evenVBand="0" w:oddHBand="0" w:evenHBand="0" w:firstRowFirstColumn="0" w:firstRowLastColumn="0" w:lastRowFirstColumn="0" w:lastRowLastColumn="0"/>
            <w:tcW w:w="3544" w:type="dxa"/>
            <w:tcBorders>
              <w:left w:val="single" w:sz="4" w:space="0" w:color="auto"/>
              <w:bottom w:val="single" w:sz="4" w:space="0" w:color="auto"/>
            </w:tcBorders>
          </w:tcPr>
          <w:p w14:paraId="499715A9" w14:textId="77777777" w:rsidR="00BD0602" w:rsidRPr="004500AE" w:rsidRDefault="00BD0602" w:rsidP="00BD0602">
            <w:pPr>
              <w:spacing w:before="0"/>
              <w:rPr>
                <w:rFonts w:asciiTheme="minorHAnsi" w:hAnsiTheme="minorHAnsi" w:cstheme="minorHAnsi"/>
                <w:sz w:val="18"/>
                <w:szCs w:val="18"/>
                <w:lang w:val="pt-PT"/>
              </w:rPr>
            </w:pPr>
            <w:r w:rsidRPr="004500AE">
              <w:rPr>
                <w:rFonts w:asciiTheme="minorHAnsi" w:hAnsiTheme="minorHAnsi" w:cstheme="minorHAnsi"/>
                <w:sz w:val="18"/>
                <w:szCs w:val="18"/>
                <w:lang w:val="pt-PT"/>
              </w:rPr>
              <w:t>NAS10: Envolvimento das Partes interessadas e Divulgação de Informações</w:t>
            </w:r>
          </w:p>
        </w:tc>
        <w:tc>
          <w:tcPr>
            <w:cnfStyle w:val="000100000000" w:firstRow="0" w:lastRow="0" w:firstColumn="0" w:lastColumn="1" w:oddVBand="0" w:evenVBand="0" w:oddHBand="0" w:evenHBand="0" w:firstRowFirstColumn="0" w:firstRowLastColumn="0" w:lastRowFirstColumn="0" w:lastRowLastColumn="0"/>
            <w:tcW w:w="5166" w:type="dxa"/>
            <w:tcBorders>
              <w:bottom w:val="single" w:sz="4" w:space="0" w:color="auto"/>
              <w:right w:val="single" w:sz="4" w:space="0" w:color="auto"/>
            </w:tcBorders>
          </w:tcPr>
          <w:p w14:paraId="4426D50E" w14:textId="77777777" w:rsidR="00BD0602" w:rsidRPr="004500AE" w:rsidRDefault="00BD0602" w:rsidP="00BD0602">
            <w:pPr>
              <w:spacing w:before="0"/>
              <w:jc w:val="center"/>
              <w:rPr>
                <w:rFonts w:asciiTheme="minorHAnsi" w:hAnsiTheme="minorHAnsi" w:cstheme="minorHAnsi"/>
                <w:sz w:val="18"/>
                <w:szCs w:val="18"/>
                <w:lang w:val="pt-PT"/>
              </w:rPr>
            </w:pPr>
            <w:r w:rsidRPr="004500AE">
              <w:rPr>
                <w:rFonts w:asciiTheme="minorHAnsi" w:hAnsiTheme="minorHAnsi" w:cstheme="minorHAnsi"/>
                <w:sz w:val="18"/>
                <w:szCs w:val="18"/>
                <w:lang w:val="pt-PT"/>
              </w:rPr>
              <w:t>Sim</w:t>
            </w:r>
          </w:p>
        </w:tc>
      </w:tr>
    </w:tbl>
    <w:p w14:paraId="18A5929F" w14:textId="31EF5DF2" w:rsidR="00292532" w:rsidRPr="004500AE" w:rsidRDefault="00292532" w:rsidP="004C0194">
      <w:pPr>
        <w:rPr>
          <w:rFonts w:eastAsia="Times New Roman" w:cs="Calibri"/>
          <w:i/>
          <w:iCs/>
          <w:color w:val="000000"/>
          <w:lang w:val="pt-PT" w:eastAsia="en-GB"/>
        </w:rPr>
      </w:pPr>
      <w:r w:rsidRPr="004500AE">
        <w:rPr>
          <w:rFonts w:eastAsia="Times New Roman" w:cs="Calibri"/>
          <w:i/>
          <w:iCs/>
          <w:color w:val="000000"/>
          <w:lang w:val="pt-PT" w:eastAsia="en-GB"/>
        </w:rPr>
        <w:t xml:space="preserve">Classificação do Risco do </w:t>
      </w:r>
      <w:proofErr w:type="spellStart"/>
      <w:r w:rsidRPr="004500AE">
        <w:rPr>
          <w:rFonts w:eastAsia="Times New Roman" w:cs="Calibri"/>
          <w:i/>
          <w:iCs/>
          <w:color w:val="000000"/>
          <w:lang w:val="pt-PT" w:eastAsia="en-GB"/>
        </w:rPr>
        <w:t>Projecto</w:t>
      </w:r>
      <w:proofErr w:type="spellEnd"/>
      <w:r w:rsidRPr="004500AE">
        <w:rPr>
          <w:rFonts w:eastAsia="Times New Roman" w:cs="Calibri"/>
          <w:i/>
          <w:iCs/>
          <w:color w:val="000000"/>
          <w:lang w:val="pt-PT" w:eastAsia="en-GB"/>
        </w:rPr>
        <w:t xml:space="preserve"> </w:t>
      </w:r>
    </w:p>
    <w:p w14:paraId="6BDE8EEF" w14:textId="31252DF5" w:rsidR="00AD3954" w:rsidRPr="00292532" w:rsidRDefault="004C0194" w:rsidP="004C0194">
      <w:pPr>
        <w:rPr>
          <w:rFonts w:eastAsia="Times New Roman" w:cs="Calibri"/>
          <w:color w:val="000000"/>
          <w:lang w:val="pt-PT" w:eastAsia="en-GB"/>
        </w:rPr>
      </w:pPr>
      <w:r w:rsidRPr="00292532">
        <w:rPr>
          <w:rFonts w:eastAsia="Times New Roman" w:cs="Calibri"/>
          <w:color w:val="000000"/>
          <w:lang w:val="pt-PT" w:eastAsia="en-GB"/>
        </w:rPr>
        <w:t xml:space="preserve">Segundo a avaliação de risco ambiental e social preliminar realizada pelo Banco na sua nota conceptual, o </w:t>
      </w:r>
      <w:proofErr w:type="spellStart"/>
      <w:r w:rsidRPr="00292532">
        <w:rPr>
          <w:rFonts w:eastAsia="Times New Roman" w:cs="Calibri"/>
          <w:color w:val="000000"/>
          <w:lang w:val="pt-PT" w:eastAsia="en-GB"/>
        </w:rPr>
        <w:t>Projecto</w:t>
      </w:r>
      <w:proofErr w:type="spellEnd"/>
      <w:r w:rsidRPr="00292532">
        <w:rPr>
          <w:rFonts w:eastAsia="Times New Roman" w:cs="Calibri"/>
          <w:color w:val="000000"/>
          <w:lang w:val="pt-PT" w:eastAsia="en-GB"/>
        </w:rPr>
        <w:t xml:space="preserve"> é classificado como sendo de risco “substancial”, uma vez que os riscos e os impactos potenciais esperados são sensíveis, de magnitude moderada a elevada, embora reversíveis com a aplicação de medidas apropriadas.</w:t>
      </w:r>
      <w:r w:rsidR="008C4AEF" w:rsidRPr="00292532">
        <w:rPr>
          <w:rFonts w:eastAsia="Times New Roman" w:cs="Calibri"/>
          <w:color w:val="000000"/>
          <w:lang w:val="pt-PT" w:eastAsia="en-GB"/>
        </w:rPr>
        <w:t xml:space="preserve"> </w:t>
      </w:r>
      <w:bookmarkStart w:id="1" w:name="_Hlk78363734"/>
      <w:r w:rsidR="00AD3954" w:rsidRPr="00292532">
        <w:rPr>
          <w:rFonts w:eastAsia="Times New Roman" w:cs="Calibri"/>
          <w:color w:val="000000"/>
          <w:lang w:val="pt-PT" w:eastAsia="en-GB"/>
        </w:rPr>
        <w:t xml:space="preserve">Foi posteriormente feita uma análise aprofundada do risco ambiental e social do </w:t>
      </w:r>
      <w:proofErr w:type="spellStart"/>
      <w:r w:rsidR="00AD3954" w:rsidRPr="00292532">
        <w:rPr>
          <w:rFonts w:eastAsia="Times New Roman" w:cs="Calibri"/>
          <w:color w:val="000000"/>
          <w:lang w:val="pt-PT" w:eastAsia="en-GB"/>
        </w:rPr>
        <w:t>Projecto</w:t>
      </w:r>
      <w:proofErr w:type="spellEnd"/>
      <w:r w:rsidR="00AD3954" w:rsidRPr="00292532">
        <w:rPr>
          <w:rFonts w:eastAsia="Times New Roman" w:cs="Calibri"/>
          <w:color w:val="000000"/>
          <w:lang w:val="pt-PT" w:eastAsia="en-GB"/>
        </w:rPr>
        <w:t xml:space="preserve"> no âmbito do QGAS, tendo sido confirmada a classificação feita pelo Banco</w:t>
      </w:r>
      <w:r w:rsidR="00F6500B">
        <w:rPr>
          <w:rFonts w:eastAsia="Times New Roman" w:cs="Calibri"/>
          <w:color w:val="000000"/>
          <w:lang w:val="pt-PT" w:eastAsia="en-GB"/>
        </w:rPr>
        <w:t xml:space="preserve"> Mundial</w:t>
      </w:r>
      <w:r w:rsidR="00AD3954" w:rsidRPr="00292532">
        <w:rPr>
          <w:rFonts w:eastAsia="Times New Roman" w:cs="Calibri"/>
          <w:color w:val="000000"/>
          <w:lang w:val="pt-PT" w:eastAsia="en-GB"/>
        </w:rPr>
        <w:t xml:space="preserve">. A análise do risco do </w:t>
      </w:r>
      <w:proofErr w:type="spellStart"/>
      <w:r w:rsidR="00AD3954" w:rsidRPr="00292532">
        <w:rPr>
          <w:rFonts w:eastAsia="Times New Roman" w:cs="Calibri"/>
          <w:color w:val="000000"/>
          <w:lang w:val="pt-PT" w:eastAsia="en-GB"/>
        </w:rPr>
        <w:t>Projecto</w:t>
      </w:r>
      <w:proofErr w:type="spellEnd"/>
      <w:r w:rsidR="00AD3954" w:rsidRPr="00292532">
        <w:rPr>
          <w:rFonts w:eastAsia="Times New Roman" w:cs="Calibri"/>
          <w:color w:val="000000"/>
          <w:lang w:val="pt-PT" w:eastAsia="en-GB"/>
        </w:rPr>
        <w:t xml:space="preserve"> foi com base num levantamento dos principais potenciais impactos e riscos ambientais e sociais do </w:t>
      </w:r>
      <w:proofErr w:type="spellStart"/>
      <w:r w:rsidR="00AD3954" w:rsidRPr="00292532">
        <w:rPr>
          <w:rFonts w:eastAsia="Times New Roman" w:cs="Calibri"/>
          <w:color w:val="000000"/>
          <w:lang w:val="pt-PT" w:eastAsia="en-GB"/>
        </w:rPr>
        <w:t>Projecto</w:t>
      </w:r>
      <w:proofErr w:type="spellEnd"/>
      <w:r w:rsidR="00AD3954" w:rsidRPr="00292532">
        <w:rPr>
          <w:rFonts w:eastAsia="Times New Roman" w:cs="Calibri"/>
          <w:color w:val="000000"/>
          <w:lang w:val="pt-PT" w:eastAsia="en-GB"/>
        </w:rPr>
        <w:t xml:space="preserve">, assim como consideradas </w:t>
      </w:r>
      <w:r w:rsidR="00904BD5" w:rsidRPr="00292532">
        <w:rPr>
          <w:rFonts w:eastAsia="Times New Roman" w:cs="Calibri"/>
          <w:color w:val="000000"/>
          <w:lang w:val="pt-PT" w:eastAsia="en-GB"/>
        </w:rPr>
        <w:t>as principais</w:t>
      </w:r>
      <w:r w:rsidR="00AD3954" w:rsidRPr="00292532">
        <w:rPr>
          <w:rFonts w:eastAsia="Times New Roman" w:cs="Calibri"/>
          <w:color w:val="000000"/>
          <w:lang w:val="pt-PT" w:eastAsia="en-GB"/>
        </w:rPr>
        <w:t xml:space="preserve"> sensibilidades ambientais e sociais das áreas de implementação do </w:t>
      </w:r>
      <w:proofErr w:type="spellStart"/>
      <w:r w:rsidR="00AD3954" w:rsidRPr="00292532">
        <w:rPr>
          <w:rFonts w:eastAsia="Times New Roman" w:cs="Calibri"/>
          <w:color w:val="000000"/>
          <w:lang w:val="pt-PT" w:eastAsia="en-GB"/>
        </w:rPr>
        <w:t>Projecto</w:t>
      </w:r>
      <w:proofErr w:type="spellEnd"/>
      <w:r w:rsidR="00AD3954" w:rsidRPr="00292532">
        <w:rPr>
          <w:rFonts w:eastAsia="Times New Roman" w:cs="Calibri"/>
          <w:color w:val="000000"/>
          <w:lang w:val="pt-PT" w:eastAsia="en-GB"/>
        </w:rPr>
        <w:t xml:space="preserve">. Os principais </w:t>
      </w:r>
      <w:proofErr w:type="spellStart"/>
      <w:r w:rsidR="00AD3954" w:rsidRPr="00292532">
        <w:rPr>
          <w:rFonts w:eastAsia="Times New Roman" w:cs="Calibri"/>
          <w:color w:val="000000"/>
          <w:lang w:val="pt-PT" w:eastAsia="en-GB"/>
        </w:rPr>
        <w:t>factores</w:t>
      </w:r>
      <w:proofErr w:type="spellEnd"/>
      <w:r w:rsidR="00AD3954" w:rsidRPr="00292532">
        <w:rPr>
          <w:rFonts w:eastAsia="Times New Roman" w:cs="Calibri"/>
          <w:color w:val="000000"/>
          <w:lang w:val="pt-PT" w:eastAsia="en-GB"/>
        </w:rPr>
        <w:t xml:space="preserve"> determinantes para a classificação do risco trazida pelo QGAS são abaixo resumidos:</w:t>
      </w:r>
    </w:p>
    <w:p w14:paraId="40D46BAC" w14:textId="77777777" w:rsidR="00AD3954" w:rsidRPr="004500AE" w:rsidRDefault="00AD3954" w:rsidP="004500AE">
      <w:pPr>
        <w:pStyle w:val="ListParagraph"/>
        <w:numPr>
          <w:ilvl w:val="0"/>
          <w:numId w:val="195"/>
        </w:numPr>
        <w:rPr>
          <w:rFonts w:eastAsia="Times New Roman" w:cs="Calibri"/>
          <w:color w:val="000000"/>
          <w:lang w:val="pt-PT" w:eastAsia="en-GB"/>
        </w:rPr>
      </w:pPr>
      <w:r w:rsidRPr="004500AE">
        <w:rPr>
          <w:rFonts w:eastAsia="Times New Roman" w:cs="Calibri"/>
          <w:color w:val="000000"/>
          <w:lang w:val="pt-PT" w:eastAsia="en-GB"/>
        </w:rPr>
        <w:t>A</w:t>
      </w:r>
      <w:r w:rsidR="008C4AEF" w:rsidRPr="004500AE">
        <w:rPr>
          <w:rFonts w:eastAsia="Times New Roman" w:cs="Calibri"/>
          <w:color w:val="000000"/>
          <w:lang w:val="pt-PT" w:eastAsia="en-GB"/>
        </w:rPr>
        <w:t xml:space="preserve"> maioria dos impactos ambientais e sociais</w:t>
      </w:r>
      <w:r w:rsidR="00BF5127" w:rsidRPr="004500AE">
        <w:rPr>
          <w:rFonts w:eastAsia="Times New Roman" w:cs="Calibri"/>
          <w:color w:val="000000"/>
          <w:lang w:val="pt-PT" w:eastAsia="en-GB"/>
        </w:rPr>
        <w:t xml:space="preserve"> identificados</w:t>
      </w:r>
      <w:r w:rsidR="008C4AEF" w:rsidRPr="004500AE">
        <w:rPr>
          <w:rFonts w:eastAsia="Times New Roman" w:cs="Calibri"/>
          <w:color w:val="000000"/>
          <w:lang w:val="pt-PT" w:eastAsia="en-GB"/>
        </w:rPr>
        <w:t xml:space="preserve"> </w:t>
      </w:r>
      <w:r w:rsidR="00BF5127" w:rsidRPr="004500AE">
        <w:rPr>
          <w:rFonts w:eastAsia="Times New Roman" w:cs="Calibri"/>
          <w:color w:val="000000"/>
          <w:lang w:val="pt-PT" w:eastAsia="en-GB"/>
        </w:rPr>
        <w:t xml:space="preserve">foram </w:t>
      </w:r>
      <w:r w:rsidR="008C4AEF" w:rsidRPr="004500AE">
        <w:rPr>
          <w:rFonts w:eastAsia="Times New Roman" w:cs="Calibri"/>
          <w:color w:val="000000"/>
          <w:lang w:val="pt-PT" w:eastAsia="en-GB"/>
        </w:rPr>
        <w:t xml:space="preserve">classificados como sendo “significativos”. </w:t>
      </w:r>
    </w:p>
    <w:p w14:paraId="04C16823" w14:textId="12C14995" w:rsidR="00BF5127" w:rsidRPr="00292532" w:rsidRDefault="00AD3954" w:rsidP="00AD3954">
      <w:pPr>
        <w:pStyle w:val="ListParagraph"/>
        <w:numPr>
          <w:ilvl w:val="0"/>
          <w:numId w:val="195"/>
        </w:numPr>
        <w:rPr>
          <w:rFonts w:eastAsia="Times New Roman" w:cs="Calibri"/>
          <w:color w:val="000000"/>
          <w:lang w:val="pt-PT" w:eastAsia="en-GB"/>
        </w:rPr>
      </w:pPr>
      <w:r w:rsidRPr="004500AE">
        <w:rPr>
          <w:rFonts w:eastAsia="Times New Roman" w:cs="Calibri"/>
          <w:color w:val="000000"/>
          <w:lang w:val="pt-PT" w:eastAsia="en-GB"/>
        </w:rPr>
        <w:t>C</w:t>
      </w:r>
      <w:r w:rsidR="00BF5127" w:rsidRPr="004500AE">
        <w:rPr>
          <w:rFonts w:eastAsia="Times New Roman" w:cs="Calibri"/>
          <w:color w:val="000000"/>
          <w:lang w:val="pt-PT" w:eastAsia="en-GB"/>
        </w:rPr>
        <w:t>onstatou</w:t>
      </w:r>
      <w:r w:rsidR="000B1EFC" w:rsidRPr="00292532">
        <w:rPr>
          <w:rFonts w:eastAsia="Times New Roman" w:cs="Calibri"/>
          <w:color w:val="000000"/>
          <w:lang w:val="pt-PT" w:eastAsia="en-GB"/>
        </w:rPr>
        <w:t>-se</w:t>
      </w:r>
      <w:r w:rsidR="00BF5127" w:rsidRPr="004500AE">
        <w:rPr>
          <w:rFonts w:eastAsia="Times New Roman" w:cs="Calibri"/>
          <w:color w:val="000000"/>
          <w:lang w:val="pt-PT" w:eastAsia="en-GB"/>
        </w:rPr>
        <w:t xml:space="preserve"> que o</w:t>
      </w:r>
      <w:r w:rsidR="008C4AEF" w:rsidRPr="004500AE">
        <w:rPr>
          <w:rFonts w:eastAsia="Times New Roman" w:cs="Calibri"/>
          <w:color w:val="000000"/>
          <w:lang w:val="pt-PT" w:eastAsia="en-GB"/>
        </w:rPr>
        <w:t>s potenciais impactos ambientais de estatuto negativo, cuja significância foi avaliada com</w:t>
      </w:r>
      <w:r w:rsidR="00BF5127" w:rsidRPr="004500AE">
        <w:rPr>
          <w:rFonts w:eastAsia="Times New Roman" w:cs="Calibri"/>
          <w:color w:val="000000"/>
          <w:lang w:val="pt-PT" w:eastAsia="en-GB"/>
        </w:rPr>
        <w:t>o elevada</w:t>
      </w:r>
      <w:r w:rsidRPr="004500AE">
        <w:rPr>
          <w:rFonts w:eastAsia="Times New Roman" w:cs="Calibri"/>
          <w:color w:val="000000"/>
          <w:lang w:val="pt-PT" w:eastAsia="en-GB"/>
        </w:rPr>
        <w:t xml:space="preserve"> </w:t>
      </w:r>
      <w:r w:rsidR="00BF5127" w:rsidRPr="004500AE">
        <w:rPr>
          <w:rFonts w:eastAsia="Times New Roman" w:cs="Calibri"/>
          <w:color w:val="000000"/>
          <w:lang w:val="pt-PT" w:eastAsia="en-GB"/>
        </w:rPr>
        <w:t>ou simplesmente referidos como “muito significativo</w:t>
      </w:r>
      <w:r w:rsidR="000B1EFC" w:rsidRPr="00292532">
        <w:rPr>
          <w:rFonts w:eastAsia="Times New Roman" w:cs="Calibri"/>
          <w:color w:val="000000"/>
          <w:lang w:val="pt-PT" w:eastAsia="en-GB"/>
        </w:rPr>
        <w:t>s</w:t>
      </w:r>
      <w:r w:rsidR="00BF5127" w:rsidRPr="004500AE">
        <w:rPr>
          <w:rFonts w:eastAsia="Times New Roman" w:cs="Calibri"/>
          <w:color w:val="000000"/>
          <w:lang w:val="pt-PT" w:eastAsia="en-GB"/>
        </w:rPr>
        <w:t xml:space="preserve">” </w:t>
      </w:r>
      <w:r w:rsidR="008C4AEF" w:rsidRPr="004500AE">
        <w:rPr>
          <w:rFonts w:eastAsia="Times New Roman" w:cs="Calibri"/>
          <w:color w:val="000000"/>
          <w:lang w:val="pt-PT" w:eastAsia="en-GB"/>
        </w:rPr>
        <w:t xml:space="preserve">ainda </w:t>
      </w:r>
      <w:r w:rsidR="00BF5127" w:rsidRPr="004500AE">
        <w:rPr>
          <w:rFonts w:eastAsia="Times New Roman" w:cs="Calibri"/>
          <w:color w:val="000000"/>
          <w:lang w:val="pt-PT" w:eastAsia="en-GB"/>
        </w:rPr>
        <w:t>que se apresentem em número reduzido</w:t>
      </w:r>
      <w:r w:rsidR="008C4AEF" w:rsidRPr="004500AE">
        <w:rPr>
          <w:rFonts w:eastAsia="Times New Roman" w:cs="Calibri"/>
          <w:color w:val="000000"/>
          <w:lang w:val="pt-PT" w:eastAsia="en-GB"/>
        </w:rPr>
        <w:t>,</w:t>
      </w:r>
      <w:r w:rsidR="00BF5127" w:rsidRPr="004500AE">
        <w:rPr>
          <w:rFonts w:eastAsia="Times New Roman" w:cs="Calibri"/>
          <w:color w:val="000000"/>
          <w:lang w:val="pt-PT" w:eastAsia="en-GB"/>
        </w:rPr>
        <w:t xml:space="preserve"> estes</w:t>
      </w:r>
      <w:r w:rsidR="008C4AEF" w:rsidRPr="004500AE">
        <w:rPr>
          <w:rFonts w:eastAsia="Times New Roman" w:cs="Calibri"/>
          <w:color w:val="000000"/>
          <w:lang w:val="pt-PT" w:eastAsia="en-GB"/>
        </w:rPr>
        <w:t xml:space="preserve"> são</w:t>
      </w:r>
      <w:r w:rsidR="00BF5127" w:rsidRPr="004500AE">
        <w:rPr>
          <w:rFonts w:eastAsia="Times New Roman" w:cs="Calibri"/>
          <w:color w:val="000000"/>
          <w:lang w:val="pt-PT" w:eastAsia="en-GB"/>
        </w:rPr>
        <w:t xml:space="preserve"> de alta relevância pelo seu poten</w:t>
      </w:r>
      <w:r w:rsidRPr="004500AE">
        <w:rPr>
          <w:rFonts w:eastAsia="Times New Roman" w:cs="Calibri"/>
          <w:color w:val="000000"/>
          <w:lang w:val="pt-PT" w:eastAsia="en-GB"/>
        </w:rPr>
        <w:t>c</w:t>
      </w:r>
      <w:r w:rsidR="00BF5127" w:rsidRPr="004500AE">
        <w:rPr>
          <w:rFonts w:eastAsia="Times New Roman" w:cs="Calibri"/>
          <w:color w:val="000000"/>
          <w:lang w:val="pt-PT" w:eastAsia="en-GB"/>
        </w:rPr>
        <w:t xml:space="preserve">ial de </w:t>
      </w:r>
      <w:proofErr w:type="spellStart"/>
      <w:r w:rsidR="00BF5127" w:rsidRPr="004500AE">
        <w:rPr>
          <w:rFonts w:eastAsia="Times New Roman" w:cs="Calibri"/>
          <w:color w:val="000000"/>
          <w:lang w:val="pt-PT" w:eastAsia="en-GB"/>
        </w:rPr>
        <w:t>afectaçao</w:t>
      </w:r>
      <w:proofErr w:type="spellEnd"/>
      <w:r w:rsidR="00BF5127" w:rsidRPr="004500AE">
        <w:rPr>
          <w:rFonts w:eastAsia="Times New Roman" w:cs="Calibri"/>
          <w:color w:val="000000"/>
          <w:lang w:val="pt-PT" w:eastAsia="en-GB"/>
        </w:rPr>
        <w:t xml:space="preserve"> </w:t>
      </w:r>
      <w:r w:rsidRPr="004500AE">
        <w:rPr>
          <w:rFonts w:eastAsia="Times New Roman" w:cs="Calibri"/>
          <w:color w:val="000000"/>
          <w:lang w:val="pt-PT" w:eastAsia="en-GB"/>
        </w:rPr>
        <w:t>na</w:t>
      </w:r>
      <w:r w:rsidR="00BF5127" w:rsidRPr="004500AE">
        <w:rPr>
          <w:rFonts w:eastAsia="Times New Roman" w:cs="Calibri"/>
          <w:color w:val="000000"/>
          <w:lang w:val="pt-PT" w:eastAsia="en-GB"/>
        </w:rPr>
        <w:t xml:space="preserve"> biodiversidade local e disponibilidade de terras para a prática da agricultura </w:t>
      </w:r>
      <w:r w:rsidRPr="004500AE">
        <w:rPr>
          <w:rFonts w:eastAsia="Times New Roman" w:cs="Calibri"/>
          <w:color w:val="000000"/>
          <w:lang w:val="pt-PT" w:eastAsia="en-GB"/>
        </w:rPr>
        <w:t xml:space="preserve">devido a eliminação da vegetação e ocupação da terra pelo </w:t>
      </w:r>
      <w:proofErr w:type="spellStart"/>
      <w:r w:rsidRPr="004500AE">
        <w:rPr>
          <w:rFonts w:eastAsia="Times New Roman" w:cs="Calibri"/>
          <w:color w:val="000000"/>
          <w:lang w:val="pt-PT" w:eastAsia="en-GB"/>
        </w:rPr>
        <w:t>Projecto</w:t>
      </w:r>
      <w:proofErr w:type="spellEnd"/>
      <w:r w:rsidRPr="004500AE">
        <w:rPr>
          <w:rFonts w:eastAsia="Times New Roman" w:cs="Calibri"/>
          <w:color w:val="000000"/>
          <w:lang w:val="pt-PT" w:eastAsia="en-GB"/>
        </w:rPr>
        <w:t xml:space="preserve">. </w:t>
      </w:r>
    </w:p>
    <w:p w14:paraId="52B16B39" w14:textId="0520F90F" w:rsidR="00AD3954" w:rsidRPr="00292532" w:rsidRDefault="00AD3954" w:rsidP="00AD3954">
      <w:pPr>
        <w:pStyle w:val="ListParagraph"/>
        <w:numPr>
          <w:ilvl w:val="0"/>
          <w:numId w:val="195"/>
        </w:numPr>
        <w:rPr>
          <w:rFonts w:eastAsia="Times New Roman" w:cs="Calibri"/>
          <w:color w:val="000000"/>
          <w:lang w:val="pt-PT" w:eastAsia="en-GB"/>
        </w:rPr>
      </w:pPr>
      <w:r w:rsidRPr="00292532">
        <w:rPr>
          <w:rFonts w:eastAsia="Times New Roman" w:cs="Calibri"/>
          <w:color w:val="000000"/>
          <w:lang w:val="pt-PT" w:eastAsia="en-GB"/>
        </w:rPr>
        <w:t xml:space="preserve">O </w:t>
      </w:r>
      <w:proofErr w:type="spellStart"/>
      <w:r w:rsidRPr="00292532">
        <w:rPr>
          <w:rFonts w:eastAsia="Times New Roman" w:cs="Calibri"/>
          <w:color w:val="000000"/>
          <w:lang w:val="pt-PT" w:eastAsia="en-GB"/>
        </w:rPr>
        <w:t>Projecto</w:t>
      </w:r>
      <w:proofErr w:type="spellEnd"/>
      <w:r w:rsidR="000B1EFC" w:rsidRPr="00292532">
        <w:rPr>
          <w:rFonts w:eastAsia="Times New Roman" w:cs="Calibri"/>
          <w:color w:val="000000"/>
          <w:lang w:val="pt-PT" w:eastAsia="en-GB"/>
        </w:rPr>
        <w:t>,</w:t>
      </w:r>
      <w:r w:rsidRPr="00292532">
        <w:rPr>
          <w:rFonts w:eastAsia="Times New Roman" w:cs="Calibri"/>
          <w:color w:val="000000"/>
          <w:lang w:val="pt-PT" w:eastAsia="en-GB"/>
        </w:rPr>
        <w:t xml:space="preserve"> especialmente</w:t>
      </w:r>
      <w:r w:rsidR="000B1EFC" w:rsidRPr="00292532">
        <w:rPr>
          <w:rFonts w:eastAsia="Times New Roman" w:cs="Calibri"/>
          <w:color w:val="000000"/>
          <w:lang w:val="pt-PT" w:eastAsia="en-GB"/>
        </w:rPr>
        <w:t>,</w:t>
      </w:r>
      <w:r w:rsidRPr="00292532">
        <w:rPr>
          <w:rFonts w:eastAsia="Times New Roman" w:cs="Calibri"/>
          <w:color w:val="000000"/>
          <w:lang w:val="pt-PT" w:eastAsia="en-GB"/>
        </w:rPr>
        <w:t xml:space="preserve"> na sua fase de construção apresenta um potencial de riscos de saúde e segurança </w:t>
      </w:r>
      <w:r w:rsidR="000B1EFC" w:rsidRPr="00292532">
        <w:rPr>
          <w:rFonts w:eastAsia="Times New Roman" w:cs="Calibri"/>
          <w:color w:val="000000"/>
          <w:lang w:val="pt-PT" w:eastAsia="en-GB"/>
        </w:rPr>
        <w:t xml:space="preserve">ocupacional e comunitário. Constituindo este último de grande preocupação, quando são acrescidos os </w:t>
      </w:r>
      <w:proofErr w:type="spellStart"/>
      <w:r w:rsidR="000B1EFC" w:rsidRPr="00292532">
        <w:rPr>
          <w:rFonts w:eastAsia="Times New Roman" w:cs="Calibri"/>
          <w:color w:val="000000"/>
          <w:lang w:val="pt-PT" w:eastAsia="en-GB"/>
        </w:rPr>
        <w:t>factores</w:t>
      </w:r>
      <w:proofErr w:type="spellEnd"/>
      <w:r w:rsidR="000B1EFC" w:rsidRPr="00292532">
        <w:rPr>
          <w:rFonts w:eastAsia="Times New Roman" w:cs="Calibri"/>
          <w:color w:val="000000"/>
          <w:lang w:val="pt-PT" w:eastAsia="en-GB"/>
        </w:rPr>
        <w:t xml:space="preserve"> de presença de grupos vulneráveis (idosos, crianças, mulheres, indivíduos com níveis de escolaridade muito baixo) nas áreas do </w:t>
      </w:r>
      <w:proofErr w:type="spellStart"/>
      <w:r w:rsidR="000B1EFC" w:rsidRPr="00292532">
        <w:rPr>
          <w:rFonts w:eastAsia="Times New Roman" w:cs="Calibri"/>
          <w:color w:val="000000"/>
          <w:lang w:val="pt-PT" w:eastAsia="en-GB"/>
        </w:rPr>
        <w:t>Projecto</w:t>
      </w:r>
      <w:proofErr w:type="spellEnd"/>
      <w:r w:rsidR="000B1EFC" w:rsidRPr="00292532">
        <w:rPr>
          <w:rFonts w:eastAsia="Times New Roman" w:cs="Calibri"/>
          <w:color w:val="000000"/>
          <w:lang w:val="pt-PT" w:eastAsia="en-GB"/>
        </w:rPr>
        <w:t xml:space="preserve"> assim como as condições existentes em termos de disponibilidade de serviços de assistência </w:t>
      </w:r>
      <w:proofErr w:type="spellStart"/>
      <w:r w:rsidR="000B1EFC" w:rsidRPr="00292532">
        <w:rPr>
          <w:rFonts w:eastAsia="Times New Roman" w:cs="Calibri"/>
          <w:color w:val="000000"/>
          <w:lang w:val="pt-PT" w:eastAsia="en-GB"/>
        </w:rPr>
        <w:t>medic</w:t>
      </w:r>
      <w:proofErr w:type="spellEnd"/>
      <w:r w:rsidR="000B1EFC" w:rsidRPr="00292532">
        <w:rPr>
          <w:rFonts w:eastAsia="Times New Roman" w:cs="Calibri"/>
          <w:color w:val="000000"/>
          <w:lang w:val="pt-PT" w:eastAsia="en-GB"/>
        </w:rPr>
        <w:t xml:space="preserve"> em casos de acidentes envolvendo as populações locais.</w:t>
      </w:r>
    </w:p>
    <w:p w14:paraId="5CFF5C76" w14:textId="0288A968" w:rsidR="000B1EFC" w:rsidRPr="00292532" w:rsidRDefault="000B1EFC" w:rsidP="00AD3954">
      <w:pPr>
        <w:pStyle w:val="ListParagraph"/>
        <w:numPr>
          <w:ilvl w:val="0"/>
          <w:numId w:val="195"/>
        </w:numPr>
        <w:rPr>
          <w:rFonts w:eastAsia="Times New Roman" w:cs="Calibri"/>
          <w:color w:val="000000"/>
          <w:lang w:val="pt-PT" w:eastAsia="en-GB"/>
        </w:rPr>
      </w:pPr>
      <w:r w:rsidRPr="00292532">
        <w:rPr>
          <w:rFonts w:eastAsia="Times New Roman" w:cs="Calibri"/>
          <w:color w:val="000000"/>
          <w:lang w:val="pt-PT" w:eastAsia="en-GB"/>
        </w:rPr>
        <w:t xml:space="preserve">A ocupação da terra pelo </w:t>
      </w:r>
      <w:proofErr w:type="spellStart"/>
      <w:r w:rsidRPr="00292532">
        <w:rPr>
          <w:rFonts w:eastAsia="Times New Roman" w:cs="Calibri"/>
          <w:color w:val="000000"/>
          <w:lang w:val="pt-PT" w:eastAsia="en-GB"/>
        </w:rPr>
        <w:t>projecto</w:t>
      </w:r>
      <w:proofErr w:type="spellEnd"/>
      <w:r w:rsidRPr="00292532">
        <w:rPr>
          <w:rFonts w:eastAsia="Times New Roman" w:cs="Calibri"/>
          <w:color w:val="000000"/>
          <w:lang w:val="pt-PT" w:eastAsia="en-GB"/>
        </w:rPr>
        <w:t xml:space="preserve">, e o potencial reassentamento físico involuntário ou perda de terras de cultivo, ainda que não </w:t>
      </w:r>
      <w:r w:rsidR="00A519EB" w:rsidRPr="00292532">
        <w:rPr>
          <w:rFonts w:eastAsia="Times New Roman" w:cs="Calibri"/>
          <w:color w:val="000000"/>
          <w:lang w:val="pt-PT" w:eastAsia="en-GB"/>
        </w:rPr>
        <w:t>esteja</w:t>
      </w:r>
      <w:r w:rsidRPr="00292532">
        <w:rPr>
          <w:rFonts w:eastAsia="Times New Roman" w:cs="Calibri"/>
          <w:color w:val="000000"/>
          <w:lang w:val="pt-PT" w:eastAsia="en-GB"/>
        </w:rPr>
        <w:t xml:space="preserve"> confirmado nesta fase, </w:t>
      </w:r>
      <w:r w:rsidR="00A519EB" w:rsidRPr="00292532">
        <w:rPr>
          <w:rFonts w:eastAsia="Times New Roman" w:cs="Calibri"/>
          <w:color w:val="000000"/>
          <w:lang w:val="pt-PT" w:eastAsia="en-GB"/>
        </w:rPr>
        <w:t xml:space="preserve">caso este seja necessário, </w:t>
      </w:r>
      <w:r w:rsidRPr="00292532">
        <w:rPr>
          <w:rFonts w:eastAsia="Times New Roman" w:cs="Calibri"/>
          <w:color w:val="000000"/>
          <w:lang w:val="pt-PT" w:eastAsia="en-GB"/>
        </w:rPr>
        <w:t>pode</w:t>
      </w:r>
      <w:r w:rsidR="00A519EB" w:rsidRPr="00292532">
        <w:rPr>
          <w:rFonts w:eastAsia="Times New Roman" w:cs="Calibri"/>
          <w:color w:val="000000"/>
          <w:lang w:val="pt-PT" w:eastAsia="en-GB"/>
        </w:rPr>
        <w:t>rá</w:t>
      </w:r>
      <w:r w:rsidRPr="00292532">
        <w:rPr>
          <w:rFonts w:eastAsia="Times New Roman" w:cs="Calibri"/>
          <w:color w:val="000000"/>
          <w:lang w:val="pt-PT" w:eastAsia="en-GB"/>
        </w:rPr>
        <w:t xml:space="preserve"> </w:t>
      </w:r>
      <w:proofErr w:type="spellStart"/>
      <w:r w:rsidRPr="00292532">
        <w:rPr>
          <w:rFonts w:eastAsia="Times New Roman" w:cs="Calibri"/>
          <w:color w:val="000000"/>
          <w:lang w:val="pt-PT" w:eastAsia="en-GB"/>
        </w:rPr>
        <w:t>afectar</w:t>
      </w:r>
      <w:proofErr w:type="spellEnd"/>
      <w:r w:rsidRPr="00292532">
        <w:rPr>
          <w:rFonts w:eastAsia="Times New Roman" w:cs="Calibri"/>
          <w:color w:val="000000"/>
          <w:lang w:val="pt-PT" w:eastAsia="en-GB"/>
        </w:rPr>
        <w:t xml:space="preserve"> significativamente </w:t>
      </w:r>
      <w:r w:rsidR="00A519EB" w:rsidRPr="00292532">
        <w:rPr>
          <w:rFonts w:eastAsia="Times New Roman" w:cs="Calibri"/>
          <w:color w:val="000000"/>
          <w:lang w:val="pt-PT" w:eastAsia="en-GB"/>
        </w:rPr>
        <w:t xml:space="preserve">as populações (potencialmente) </w:t>
      </w:r>
      <w:proofErr w:type="spellStart"/>
      <w:r w:rsidR="00A519EB" w:rsidRPr="00292532">
        <w:rPr>
          <w:rFonts w:eastAsia="Times New Roman" w:cs="Calibri"/>
          <w:color w:val="000000"/>
          <w:lang w:val="pt-PT" w:eastAsia="en-GB"/>
        </w:rPr>
        <w:t>afectadas</w:t>
      </w:r>
      <w:proofErr w:type="spellEnd"/>
      <w:r w:rsidR="00A519EB" w:rsidRPr="00292532">
        <w:rPr>
          <w:rFonts w:eastAsia="Times New Roman" w:cs="Calibri"/>
          <w:color w:val="000000"/>
          <w:lang w:val="pt-PT" w:eastAsia="en-GB"/>
        </w:rPr>
        <w:t>.</w:t>
      </w:r>
    </w:p>
    <w:p w14:paraId="3A4F5692" w14:textId="5C925321" w:rsidR="00E53ACD" w:rsidRPr="00292532" w:rsidRDefault="00A519EB" w:rsidP="00AD3954">
      <w:pPr>
        <w:pStyle w:val="ListParagraph"/>
        <w:numPr>
          <w:ilvl w:val="0"/>
          <w:numId w:val="195"/>
        </w:numPr>
        <w:rPr>
          <w:rFonts w:eastAsia="Times New Roman" w:cs="Calibri"/>
          <w:color w:val="000000"/>
          <w:lang w:val="pt-PT" w:eastAsia="en-GB"/>
        </w:rPr>
      </w:pPr>
      <w:r w:rsidRPr="00292532">
        <w:rPr>
          <w:rFonts w:eastAsia="Times New Roman" w:cs="Calibri"/>
          <w:color w:val="000000"/>
          <w:lang w:val="pt-PT" w:eastAsia="en-GB"/>
        </w:rPr>
        <w:lastRenderedPageBreak/>
        <w:t xml:space="preserve">A análise da regulamentação ambiental nacional, especificamente, o Regulamento 54/2015 </w:t>
      </w:r>
      <w:r w:rsidR="001D5C79">
        <w:rPr>
          <w:rFonts w:eastAsia="Times New Roman" w:cs="Calibri"/>
          <w:color w:val="000000"/>
          <w:lang w:val="pt-PT" w:eastAsia="en-GB"/>
        </w:rPr>
        <w:t xml:space="preserve">de 31 de </w:t>
      </w:r>
      <w:proofErr w:type="gramStart"/>
      <w:r w:rsidR="001D5C79">
        <w:rPr>
          <w:rFonts w:eastAsia="Times New Roman" w:cs="Calibri"/>
          <w:color w:val="000000"/>
          <w:lang w:val="pt-PT" w:eastAsia="en-GB"/>
        </w:rPr>
        <w:t>Dezembro</w:t>
      </w:r>
      <w:proofErr w:type="gramEnd"/>
      <w:r w:rsidR="00BA7A9C">
        <w:rPr>
          <w:rFonts w:eastAsia="Times New Roman" w:cs="Calibri"/>
          <w:color w:val="000000"/>
          <w:lang w:val="pt-PT" w:eastAsia="en-GB"/>
        </w:rPr>
        <w:t xml:space="preserve">, </w:t>
      </w:r>
      <w:r w:rsidRPr="00292532">
        <w:rPr>
          <w:rFonts w:eastAsia="Times New Roman" w:cs="Calibri"/>
          <w:color w:val="000000"/>
          <w:lang w:val="pt-PT" w:eastAsia="en-GB"/>
        </w:rPr>
        <w:t xml:space="preserve">identifica uma série de condições que elevam a categorização do </w:t>
      </w:r>
      <w:proofErr w:type="spellStart"/>
      <w:r w:rsidRPr="00292532">
        <w:rPr>
          <w:rFonts w:eastAsia="Times New Roman" w:cs="Calibri"/>
          <w:color w:val="000000"/>
          <w:lang w:val="pt-PT" w:eastAsia="en-GB"/>
        </w:rPr>
        <w:t>Projecto</w:t>
      </w:r>
      <w:proofErr w:type="spellEnd"/>
      <w:r w:rsidRPr="00292532">
        <w:rPr>
          <w:rFonts w:eastAsia="Times New Roman" w:cs="Calibri"/>
          <w:color w:val="000000"/>
          <w:lang w:val="pt-PT" w:eastAsia="en-GB"/>
        </w:rPr>
        <w:t xml:space="preserve"> associada ao potencial risco ambiental </w:t>
      </w:r>
      <w:r w:rsidR="00E53ACD" w:rsidRPr="00292532">
        <w:rPr>
          <w:rFonts w:eastAsia="Times New Roman" w:cs="Calibri"/>
          <w:color w:val="000000"/>
          <w:lang w:val="pt-PT" w:eastAsia="en-GB"/>
        </w:rPr>
        <w:t>do mesmo</w:t>
      </w:r>
      <w:r w:rsidRPr="00292532">
        <w:rPr>
          <w:rFonts w:eastAsia="Times New Roman" w:cs="Calibri"/>
          <w:color w:val="000000"/>
          <w:lang w:val="pt-PT" w:eastAsia="en-GB"/>
        </w:rPr>
        <w:t xml:space="preserve">. Estes </w:t>
      </w:r>
      <w:proofErr w:type="spellStart"/>
      <w:r w:rsidRPr="00292532">
        <w:rPr>
          <w:rFonts w:eastAsia="Times New Roman" w:cs="Calibri"/>
          <w:color w:val="000000"/>
          <w:lang w:val="pt-PT" w:eastAsia="en-GB"/>
        </w:rPr>
        <w:t>aspectos</w:t>
      </w:r>
      <w:proofErr w:type="spellEnd"/>
      <w:r w:rsidRPr="00292532">
        <w:rPr>
          <w:rFonts w:eastAsia="Times New Roman" w:cs="Calibri"/>
          <w:color w:val="000000"/>
          <w:lang w:val="pt-PT" w:eastAsia="en-GB"/>
        </w:rPr>
        <w:t xml:space="preserve"> incluem, entre outros, </w:t>
      </w:r>
      <w:r w:rsidR="00E53ACD" w:rsidRPr="00292532">
        <w:rPr>
          <w:rFonts w:eastAsia="Times New Roman" w:cs="Calibri"/>
          <w:color w:val="000000"/>
          <w:lang w:val="pt-PT" w:eastAsia="en-GB"/>
        </w:rPr>
        <w:t xml:space="preserve">o potencial reassentamento, a implementação do </w:t>
      </w:r>
      <w:proofErr w:type="spellStart"/>
      <w:r w:rsidR="00E53ACD" w:rsidRPr="00292532">
        <w:rPr>
          <w:rFonts w:eastAsia="Times New Roman" w:cs="Calibri"/>
          <w:color w:val="000000"/>
          <w:lang w:val="pt-PT" w:eastAsia="en-GB"/>
        </w:rPr>
        <w:t>Projecto</w:t>
      </w:r>
      <w:proofErr w:type="spellEnd"/>
      <w:r w:rsidR="00E53ACD" w:rsidRPr="00292532">
        <w:rPr>
          <w:rFonts w:eastAsia="Times New Roman" w:cs="Calibri"/>
          <w:color w:val="000000"/>
          <w:lang w:val="pt-PT" w:eastAsia="en-GB"/>
        </w:rPr>
        <w:t xml:space="preserve"> em áreas ambientalmente sensíveis (p.e. áreas de mangais), assim como critérios associados às características do </w:t>
      </w:r>
      <w:proofErr w:type="spellStart"/>
      <w:r w:rsidR="00E53ACD" w:rsidRPr="00292532">
        <w:rPr>
          <w:rFonts w:eastAsia="Times New Roman" w:cs="Calibri"/>
          <w:color w:val="000000"/>
          <w:lang w:val="pt-PT" w:eastAsia="en-GB"/>
        </w:rPr>
        <w:t>Projecto</w:t>
      </w:r>
      <w:proofErr w:type="spellEnd"/>
      <w:r w:rsidR="00E53ACD" w:rsidRPr="00292532">
        <w:rPr>
          <w:rFonts w:eastAsia="Times New Roman" w:cs="Calibri"/>
          <w:color w:val="000000"/>
          <w:lang w:val="pt-PT" w:eastAsia="en-GB"/>
        </w:rPr>
        <w:t xml:space="preserve"> (extensão e diâmetro das condutas e adutoras). Face ao nível de detalhe disponível sobre os subprojectos, o QGAS faz uma análise conservadora dos impactos, e não exclui do seu âmbito a potencial existência destes </w:t>
      </w:r>
      <w:proofErr w:type="spellStart"/>
      <w:r w:rsidR="00E53ACD" w:rsidRPr="00292532">
        <w:rPr>
          <w:rFonts w:eastAsia="Times New Roman" w:cs="Calibri"/>
          <w:color w:val="000000"/>
          <w:lang w:val="pt-PT" w:eastAsia="en-GB"/>
        </w:rPr>
        <w:t>aspectos</w:t>
      </w:r>
      <w:proofErr w:type="spellEnd"/>
      <w:r w:rsidR="00E53ACD" w:rsidRPr="00292532">
        <w:rPr>
          <w:rFonts w:eastAsia="Times New Roman" w:cs="Calibri"/>
          <w:color w:val="000000"/>
          <w:lang w:val="pt-PT" w:eastAsia="en-GB"/>
        </w:rPr>
        <w:t xml:space="preserve">. </w:t>
      </w:r>
      <w:bookmarkEnd w:id="1"/>
    </w:p>
    <w:p w14:paraId="3437F3B6" w14:textId="4C2EE1FF" w:rsidR="00292532" w:rsidRPr="004500AE" w:rsidRDefault="00292532" w:rsidP="004C0194">
      <w:pPr>
        <w:rPr>
          <w:rFonts w:eastAsia="Calibri" w:cs="Times New Roman"/>
          <w:i/>
          <w:iCs/>
          <w:lang w:val="pt-PT"/>
        </w:rPr>
      </w:pPr>
      <w:r w:rsidRPr="004500AE">
        <w:rPr>
          <w:rFonts w:eastAsia="Times New Roman" w:cs="Calibri"/>
          <w:i/>
          <w:iCs/>
          <w:color w:val="000000"/>
          <w:lang w:val="pt-PT" w:eastAsia="en-GB"/>
        </w:rPr>
        <w:t>Análise comparativa do QAS do Banco Mundial e da Legislação Nacional</w:t>
      </w:r>
    </w:p>
    <w:p w14:paraId="7140811D" w14:textId="3BD42353" w:rsidR="004C0194" w:rsidRPr="00292532" w:rsidRDefault="004C0194" w:rsidP="004C0194">
      <w:pPr>
        <w:rPr>
          <w:rFonts w:eastAsia="Calibri" w:cs="Times New Roman"/>
          <w:lang w:val="pt-PT"/>
        </w:rPr>
      </w:pPr>
      <w:r w:rsidRPr="00292532">
        <w:rPr>
          <w:rFonts w:eastAsia="Calibri" w:cs="Times New Roman"/>
          <w:lang w:val="pt-PT"/>
        </w:rPr>
        <w:t xml:space="preserve">O QGAS faz uma análise comparativa do quadro legal nacional e </w:t>
      </w:r>
      <w:r w:rsidR="004A4257" w:rsidRPr="00292532">
        <w:rPr>
          <w:rFonts w:eastAsia="Calibri" w:cs="Times New Roman"/>
          <w:lang w:val="pt-PT"/>
        </w:rPr>
        <w:t>do Quadro Ambiental e Social</w:t>
      </w:r>
      <w:r w:rsidRPr="00292532">
        <w:rPr>
          <w:rFonts w:eastAsia="Calibri" w:cs="Times New Roman"/>
          <w:lang w:val="pt-PT"/>
        </w:rPr>
        <w:t xml:space="preserve"> do Banco Mundial. Apesar de algumas diferenças, não existem conflitos entre os requisitos da legislação moçambicana e </w:t>
      </w:r>
      <w:r w:rsidR="004A4257" w:rsidRPr="00292532">
        <w:rPr>
          <w:rFonts w:eastAsia="Calibri" w:cs="Times New Roman"/>
          <w:lang w:val="pt-PT"/>
        </w:rPr>
        <w:t>Quadro Ambiental e Social do Banco Mundial</w:t>
      </w:r>
      <w:r w:rsidRPr="00292532">
        <w:rPr>
          <w:rFonts w:eastAsia="Calibri" w:cs="Times New Roman"/>
          <w:lang w:val="pt-PT"/>
        </w:rPr>
        <w:t xml:space="preserve">, mas sim, complementaridade. Pois são vários os </w:t>
      </w:r>
      <w:proofErr w:type="spellStart"/>
      <w:r w:rsidRPr="00292532">
        <w:rPr>
          <w:rFonts w:eastAsia="Calibri" w:cs="Times New Roman"/>
          <w:lang w:val="pt-PT"/>
        </w:rPr>
        <w:t>aspectos</w:t>
      </w:r>
      <w:proofErr w:type="spellEnd"/>
      <w:r w:rsidRPr="00292532">
        <w:rPr>
          <w:rFonts w:eastAsia="Calibri" w:cs="Times New Roman"/>
          <w:lang w:val="pt-PT"/>
        </w:rPr>
        <w:t xml:space="preserve"> não abrangidos na legislação moçambicana que são devidamente endereçados nas </w:t>
      </w:r>
      <w:proofErr w:type="spellStart"/>
      <w:r w:rsidRPr="00292532">
        <w:rPr>
          <w:rFonts w:eastAsia="Calibri" w:cs="Times New Roman"/>
          <w:lang w:val="pt-PT"/>
        </w:rPr>
        <w:t>NAS</w:t>
      </w:r>
      <w:proofErr w:type="spellEnd"/>
      <w:r w:rsidRPr="00292532">
        <w:rPr>
          <w:rFonts w:eastAsia="Calibri" w:cs="Times New Roman"/>
          <w:lang w:val="pt-PT"/>
        </w:rPr>
        <w:t xml:space="preserve">. Destes </w:t>
      </w:r>
      <w:proofErr w:type="spellStart"/>
      <w:r w:rsidRPr="00292532">
        <w:rPr>
          <w:rFonts w:eastAsia="Calibri" w:cs="Times New Roman"/>
          <w:lang w:val="pt-PT"/>
        </w:rPr>
        <w:t>aspectos</w:t>
      </w:r>
      <w:proofErr w:type="spellEnd"/>
      <w:r w:rsidRPr="00292532">
        <w:rPr>
          <w:rFonts w:eastAsia="Calibri" w:cs="Times New Roman"/>
          <w:lang w:val="pt-PT"/>
        </w:rPr>
        <w:t xml:space="preserve"> destacam-se os seguintes: </w:t>
      </w:r>
    </w:p>
    <w:p w14:paraId="52A630A4" w14:textId="4FB00302"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 xml:space="preserve">A legislação nacional é </w:t>
      </w:r>
      <w:r w:rsidR="004A4257" w:rsidRPr="00292532">
        <w:rPr>
          <w:rFonts w:eastAsia="Calibri" w:cs="Times New Roman"/>
          <w:lang w:val="pt-PT"/>
        </w:rPr>
        <w:t xml:space="preserve">omissa </w:t>
      </w:r>
      <w:r w:rsidRPr="00292532">
        <w:rPr>
          <w:rFonts w:eastAsia="Calibri" w:cs="Times New Roman"/>
          <w:lang w:val="pt-PT"/>
        </w:rPr>
        <w:t xml:space="preserve">sobre as questões relacionadas com trabalhadores comunitários, trabalhadores de terceiros, requisitos de não discriminação e igualdade de oportunidades </w:t>
      </w:r>
    </w:p>
    <w:p w14:paraId="4CA4EE33" w14:textId="25FED26E"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 xml:space="preserve">Existem lacunas e faltam </w:t>
      </w:r>
      <w:r w:rsidR="004A4257" w:rsidRPr="00292532">
        <w:rPr>
          <w:rFonts w:eastAsia="Calibri" w:cs="Times New Roman"/>
          <w:lang w:val="pt-PT"/>
        </w:rPr>
        <w:t xml:space="preserve">dispositivos legais, normas ou </w:t>
      </w:r>
      <w:proofErr w:type="spellStart"/>
      <w:r w:rsidR="004A4257" w:rsidRPr="00292532">
        <w:rPr>
          <w:rFonts w:eastAsia="Calibri" w:cs="Times New Roman"/>
          <w:lang w:val="pt-PT"/>
        </w:rPr>
        <w:t>directrizes</w:t>
      </w:r>
      <w:proofErr w:type="spellEnd"/>
      <w:r w:rsidR="004A4257" w:rsidRPr="00292532">
        <w:rPr>
          <w:rFonts w:eastAsia="Calibri" w:cs="Times New Roman"/>
          <w:lang w:val="pt-PT"/>
        </w:rPr>
        <w:t xml:space="preserve"> nacionais</w:t>
      </w:r>
      <w:r w:rsidRPr="00292532">
        <w:rPr>
          <w:rFonts w:eastAsia="Calibri" w:cs="Times New Roman"/>
          <w:lang w:val="pt-PT"/>
        </w:rPr>
        <w:t xml:space="preserve"> que regulem a Saúde e Segurança comunitárias, especialmente no que respeita aos riscos de segurança rodoviária, segurança dos serviços, preparação e resposta a emergências</w:t>
      </w:r>
    </w:p>
    <w:p w14:paraId="6E530692" w14:textId="7777777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A legislação nacional não prevê Mecanismos de Gestão de Queixas e Reclamações</w:t>
      </w:r>
    </w:p>
    <w:p w14:paraId="02300C66" w14:textId="0ED9D04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Falta na legislação nacional uma abordagem de identificação e avaliação de riscos e perigos, limitando-se aos potenciais impactos</w:t>
      </w:r>
      <w:r w:rsidR="007A3C57" w:rsidRPr="00292532">
        <w:rPr>
          <w:rFonts w:eastAsia="Calibri" w:cs="Times New Roman"/>
          <w:lang w:val="pt-PT"/>
        </w:rPr>
        <w:t>;</w:t>
      </w:r>
    </w:p>
    <w:p w14:paraId="08585430" w14:textId="5517F4AE"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A legislação nacional não apresenta considerações sobre avaliações de impacto ambiental e social regionais, sectorial e estratégica</w:t>
      </w:r>
      <w:r w:rsidR="007A3C57" w:rsidRPr="00292532">
        <w:rPr>
          <w:rFonts w:eastAsia="Calibri" w:cs="Times New Roman"/>
          <w:lang w:val="pt-PT"/>
        </w:rPr>
        <w:t>;</w:t>
      </w:r>
    </w:p>
    <w:p w14:paraId="3FA27295" w14:textId="3C478EC1"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 xml:space="preserve">O Regulamento sobre Acidentes de Trabalho e Doenças Profissionais, ainda que existente, </w:t>
      </w:r>
      <w:r w:rsidR="004A4257" w:rsidRPr="00292532">
        <w:rPr>
          <w:rFonts w:eastAsia="Calibri" w:cs="Times New Roman"/>
          <w:lang w:val="pt-PT"/>
        </w:rPr>
        <w:t xml:space="preserve">não contém padrões a que se devem reger o regulamento, </w:t>
      </w:r>
      <w:proofErr w:type="gramStart"/>
      <w:r w:rsidR="004A4257" w:rsidRPr="00292532">
        <w:rPr>
          <w:rFonts w:eastAsia="Calibri" w:cs="Times New Roman"/>
          <w:lang w:val="pt-PT"/>
        </w:rPr>
        <w:t>e portanto</w:t>
      </w:r>
      <w:proofErr w:type="gramEnd"/>
      <w:r w:rsidR="004A4257" w:rsidRPr="00292532">
        <w:rPr>
          <w:rFonts w:eastAsia="Calibri" w:cs="Times New Roman"/>
          <w:lang w:val="pt-PT"/>
        </w:rPr>
        <w:t xml:space="preserve"> </w:t>
      </w:r>
      <w:r w:rsidRPr="00292532">
        <w:rPr>
          <w:rFonts w:eastAsia="Calibri" w:cs="Times New Roman"/>
          <w:lang w:val="pt-PT"/>
        </w:rPr>
        <w:t xml:space="preserve">requer uma </w:t>
      </w:r>
      <w:proofErr w:type="spellStart"/>
      <w:r w:rsidRPr="00292532">
        <w:rPr>
          <w:rFonts w:eastAsia="Calibri" w:cs="Times New Roman"/>
          <w:lang w:val="pt-PT"/>
        </w:rPr>
        <w:t>actualização</w:t>
      </w:r>
      <w:proofErr w:type="spellEnd"/>
      <w:r w:rsidRPr="00292532">
        <w:rPr>
          <w:rFonts w:eastAsia="Calibri" w:cs="Times New Roman"/>
          <w:lang w:val="pt-PT"/>
        </w:rPr>
        <w:t xml:space="preserve"> para melhor enquadramento com o contexto </w:t>
      </w:r>
      <w:proofErr w:type="spellStart"/>
      <w:r w:rsidRPr="00292532">
        <w:rPr>
          <w:rFonts w:eastAsia="Calibri" w:cs="Times New Roman"/>
          <w:lang w:val="pt-PT"/>
        </w:rPr>
        <w:t>actual</w:t>
      </w:r>
      <w:proofErr w:type="spellEnd"/>
      <w:r w:rsidRPr="00292532">
        <w:rPr>
          <w:rFonts w:eastAsia="Calibri" w:cs="Times New Roman"/>
          <w:lang w:val="pt-PT"/>
        </w:rPr>
        <w:t xml:space="preserve"> e conformidade com as Boas Práticas sobre a Saúde e Segurança ocupacionais</w:t>
      </w:r>
      <w:r w:rsidR="00A6231B" w:rsidRPr="00292532">
        <w:rPr>
          <w:rFonts w:eastAsia="Calibri" w:cs="Times New Roman"/>
          <w:lang w:val="pt-PT"/>
        </w:rPr>
        <w:t>;</w:t>
      </w:r>
    </w:p>
    <w:p w14:paraId="68ADD236" w14:textId="665E717F" w:rsidR="00292532" w:rsidRPr="004500AE" w:rsidRDefault="00292532" w:rsidP="004C0194">
      <w:pPr>
        <w:rPr>
          <w:rFonts w:eastAsia="Calibri" w:cs="Times New Roman"/>
          <w:i/>
          <w:iCs/>
          <w:lang w:val="pt-PT"/>
        </w:rPr>
      </w:pPr>
      <w:r w:rsidRPr="004500AE">
        <w:rPr>
          <w:rFonts w:eastAsia="Calibri" w:cs="Times New Roman"/>
          <w:i/>
          <w:iCs/>
          <w:lang w:val="pt-PT"/>
        </w:rPr>
        <w:t>Caracterização Ambiental e Social</w:t>
      </w:r>
    </w:p>
    <w:p w14:paraId="561290FD" w14:textId="4DE4010E" w:rsidR="004C0194" w:rsidRPr="00292532" w:rsidRDefault="004C0194" w:rsidP="004C0194">
      <w:pPr>
        <w:rPr>
          <w:rFonts w:eastAsia="Calibri" w:cs="Times New Roman"/>
          <w:lang w:val="pt-PT" w:eastAsia="ja-JP"/>
        </w:rPr>
      </w:pPr>
      <w:r w:rsidRPr="00292532">
        <w:rPr>
          <w:rFonts w:eastAsia="Calibri" w:cs="Times New Roman"/>
          <w:lang w:val="pt-PT"/>
        </w:rPr>
        <w:t xml:space="preserve">A área do </w:t>
      </w:r>
      <w:proofErr w:type="spellStart"/>
      <w:r w:rsidRPr="00292532">
        <w:rPr>
          <w:rFonts w:eastAsia="Calibri" w:cs="Times New Roman"/>
          <w:lang w:val="pt-PT"/>
        </w:rPr>
        <w:t>projecto</w:t>
      </w:r>
      <w:proofErr w:type="spellEnd"/>
      <w:r w:rsidRPr="00292532">
        <w:rPr>
          <w:rFonts w:eastAsia="Calibri" w:cs="Times New Roman"/>
          <w:lang w:val="pt-PT"/>
        </w:rPr>
        <w:t xml:space="preserve"> enquadra-se numa porção de Moçambique </w:t>
      </w:r>
      <w:r w:rsidR="00B253CA" w:rsidRPr="00292532">
        <w:rPr>
          <w:rFonts w:eastAsia="Calibri" w:cs="Times New Roman"/>
          <w:lang w:val="pt-PT"/>
        </w:rPr>
        <w:t>s</w:t>
      </w:r>
      <w:r w:rsidRPr="00292532">
        <w:rPr>
          <w:rFonts w:eastAsia="Calibri" w:cs="Times New Roman"/>
          <w:lang w:val="pt-PT"/>
        </w:rPr>
        <w:t xml:space="preserve">etentrional, onde abrange toda a área compreendida entre o </w:t>
      </w:r>
      <w:r w:rsidR="009C298B" w:rsidRPr="00292532">
        <w:rPr>
          <w:rFonts w:eastAsia="Calibri" w:cs="Times New Roman"/>
          <w:lang w:val="pt-PT"/>
        </w:rPr>
        <w:t>R</w:t>
      </w:r>
      <w:r w:rsidRPr="00292532">
        <w:rPr>
          <w:rFonts w:eastAsia="Calibri" w:cs="Times New Roman"/>
          <w:lang w:val="pt-PT"/>
        </w:rPr>
        <w:t xml:space="preserve">io Rovuma, ao Norte, e a bacia do </w:t>
      </w:r>
      <w:r w:rsidR="009C298B" w:rsidRPr="00292532">
        <w:rPr>
          <w:rFonts w:eastAsia="Calibri" w:cs="Times New Roman"/>
          <w:lang w:val="pt-PT"/>
        </w:rPr>
        <w:t>R</w:t>
      </w:r>
      <w:r w:rsidRPr="00292532">
        <w:rPr>
          <w:rFonts w:eastAsia="Calibri" w:cs="Times New Roman"/>
          <w:lang w:val="pt-PT"/>
        </w:rPr>
        <w:t xml:space="preserve">io Zambeze ao </w:t>
      </w:r>
      <w:r w:rsidR="009C298B" w:rsidRPr="00292532">
        <w:rPr>
          <w:rFonts w:eastAsia="Calibri" w:cs="Times New Roman"/>
          <w:lang w:val="pt-PT"/>
        </w:rPr>
        <w:t>S</w:t>
      </w:r>
      <w:r w:rsidRPr="00292532">
        <w:rPr>
          <w:rFonts w:eastAsia="Calibri" w:cs="Times New Roman"/>
          <w:lang w:val="pt-PT"/>
        </w:rPr>
        <w:t xml:space="preserve">ul. De grosso modo, esta região apresenta variedades de formas superficiais dando origem às várias paisagens. Pela sua </w:t>
      </w:r>
      <w:proofErr w:type="spellStart"/>
      <w:r w:rsidRPr="00292532">
        <w:rPr>
          <w:rFonts w:eastAsia="Calibri" w:cs="Times New Roman"/>
          <w:lang w:val="pt-PT"/>
        </w:rPr>
        <w:t>morfoestrutura</w:t>
      </w:r>
      <w:proofErr w:type="spellEnd"/>
      <w:r w:rsidRPr="00292532">
        <w:rPr>
          <w:rFonts w:eastAsia="Calibri" w:cs="Times New Roman"/>
          <w:lang w:val="pt-PT"/>
        </w:rPr>
        <w:t xml:space="preserve">, a geomorfologia pode ser caracterizada por apresentar superfícies de cumes e cristas, de origem intrusivo-tectónica e erosivo-desnudadas caracterizado por </w:t>
      </w:r>
      <w:proofErr w:type="spellStart"/>
      <w:r w:rsidRPr="00292532">
        <w:rPr>
          <w:rFonts w:eastAsia="Calibri" w:cs="Times New Roman"/>
          <w:lang w:val="pt-PT"/>
        </w:rPr>
        <w:t>inselbergs</w:t>
      </w:r>
      <w:proofErr w:type="spellEnd"/>
      <w:r w:rsidRPr="00292532">
        <w:rPr>
          <w:rFonts w:eastAsia="Calibri" w:cs="Times New Roman"/>
          <w:lang w:val="pt-PT"/>
        </w:rPr>
        <w:t xml:space="preserve"> graníticos (</w:t>
      </w:r>
      <w:r w:rsidR="00B253CA" w:rsidRPr="00292532">
        <w:rPr>
          <w:rFonts w:eastAsia="Calibri" w:cs="Times New Roman"/>
          <w:lang w:val="pt-PT"/>
        </w:rPr>
        <w:t xml:space="preserve">Província de </w:t>
      </w:r>
      <w:r w:rsidRPr="00292532">
        <w:rPr>
          <w:rFonts w:eastAsia="Calibri" w:cs="Times New Roman"/>
          <w:lang w:val="pt-PT"/>
        </w:rPr>
        <w:t xml:space="preserve">Nampula), relevos esculpidos por desnudação (região de Ribaué), relevos suaves nas formações do </w:t>
      </w:r>
      <w:proofErr w:type="spellStart"/>
      <w:r w:rsidRPr="00292532">
        <w:rPr>
          <w:rFonts w:eastAsia="Calibri" w:cs="Times New Roman"/>
          <w:lang w:val="pt-PT"/>
        </w:rPr>
        <w:t>Karoo</w:t>
      </w:r>
      <w:proofErr w:type="spellEnd"/>
      <w:r w:rsidRPr="00292532">
        <w:rPr>
          <w:rFonts w:eastAsia="Calibri" w:cs="Times New Roman"/>
          <w:lang w:val="pt-PT"/>
        </w:rPr>
        <w:t xml:space="preserve"> (afluentes da margem direita do rio Zambeze, província de Tete). A topografia e o volume de águas afluente criam condições para a ocorrência de cheias, que se apresentam moderadas nas pequenas bacias costeiras da região norte. Predomina, ao longo da área do </w:t>
      </w:r>
      <w:proofErr w:type="spellStart"/>
      <w:r w:rsidRPr="00292532">
        <w:rPr>
          <w:rFonts w:eastAsia="Calibri" w:cs="Times New Roman"/>
          <w:lang w:val="pt-PT"/>
        </w:rPr>
        <w:t>projecto</w:t>
      </w:r>
      <w:proofErr w:type="spellEnd"/>
      <w:r w:rsidRPr="00292532">
        <w:rPr>
          <w:rFonts w:eastAsia="Calibri" w:cs="Times New Roman"/>
          <w:lang w:val="pt-PT"/>
        </w:rPr>
        <w:t xml:space="preserve">, o clima tropical húmido marcado por duas estações: fresca e seca (entre </w:t>
      </w:r>
      <w:proofErr w:type="gramStart"/>
      <w:r w:rsidRPr="00292532">
        <w:rPr>
          <w:rFonts w:eastAsia="Calibri" w:cs="Times New Roman"/>
          <w:lang w:val="pt-PT"/>
        </w:rPr>
        <w:t>Abril</w:t>
      </w:r>
      <w:proofErr w:type="gramEnd"/>
      <w:r w:rsidRPr="00292532">
        <w:rPr>
          <w:rFonts w:eastAsia="Calibri" w:cs="Times New Roman"/>
          <w:lang w:val="pt-PT"/>
        </w:rPr>
        <w:t xml:space="preserve"> e Setembro), e a quente húmida (Outubro a Março). Maioritariamente os distritos abrangidos situam-se em zonas de grandes planícies costeiras, com altitudes inferiores a </w:t>
      </w:r>
      <w:r w:rsidRPr="00292532">
        <w:rPr>
          <w:rFonts w:eastAsia="Calibri" w:cs="Times New Roman"/>
          <w:lang w:val="pt-PT"/>
        </w:rPr>
        <w:lastRenderedPageBreak/>
        <w:t>200 m. No entanto, mais para interior situam-se áreas de Montanha e planaltos. Os solos são tipicamente ácidos, geologicamente antigos, pobres em nutrientes, tem baixa capacidade de retenção de água, baixo conteúdo de matéria orgânica, de nitrogénio e baixo índice de fósforos extraíeis.</w:t>
      </w:r>
      <w:r w:rsidR="00B253CA" w:rsidRPr="00292532">
        <w:rPr>
          <w:rFonts w:eastAsia="Calibri" w:cs="Times New Roman"/>
          <w:lang w:val="pt-PT"/>
        </w:rPr>
        <w:t xml:space="preserve"> O</w:t>
      </w:r>
      <w:r w:rsidRPr="00292532">
        <w:rPr>
          <w:rFonts w:eastAsia="Calibri" w:cs="Times New Roman"/>
          <w:lang w:val="pt-PT"/>
        </w:rPr>
        <w:t xml:space="preserve">s solos são de um modo geral, pouco profundos e são propensos à erosão. Em termos de disponibilidade de águas subterrâneas, as áreas de abrangência do </w:t>
      </w:r>
      <w:proofErr w:type="spellStart"/>
      <w:r w:rsidRPr="00292532">
        <w:rPr>
          <w:rFonts w:eastAsia="Calibri" w:cs="Times New Roman"/>
          <w:lang w:val="pt-PT"/>
        </w:rPr>
        <w:t>Projecto</w:t>
      </w:r>
      <w:proofErr w:type="spellEnd"/>
      <w:r w:rsidRPr="00292532">
        <w:rPr>
          <w:rFonts w:eastAsia="Calibri" w:cs="Times New Roman"/>
          <w:lang w:val="pt-PT"/>
        </w:rPr>
        <w:t xml:space="preserve"> mostram-se maioritariamente favoráveis, salvo algumas regiões mais para o interior em que a disponibilidade é considerada desfavorável. </w:t>
      </w:r>
      <w:r w:rsidRPr="00292532">
        <w:rPr>
          <w:rFonts w:eastAsia="Calibri" w:cs="Times New Roman"/>
          <w:lang w:val="pt-PT" w:eastAsia="ja-JP"/>
        </w:rPr>
        <w:t xml:space="preserve">Das cerca de 25 bacias hidrográficas principais que drenam o país são de destacar as localizadas no </w:t>
      </w:r>
      <w:r w:rsidR="0010293A" w:rsidRPr="00292532">
        <w:rPr>
          <w:rFonts w:eastAsia="Calibri" w:cs="Times New Roman"/>
          <w:lang w:val="pt-PT" w:eastAsia="ja-JP"/>
        </w:rPr>
        <w:t>N</w:t>
      </w:r>
      <w:r w:rsidRPr="00292532">
        <w:rPr>
          <w:rFonts w:eastAsia="Calibri" w:cs="Times New Roman"/>
          <w:lang w:val="pt-PT" w:eastAsia="ja-JP"/>
        </w:rPr>
        <w:t xml:space="preserve">orte, nomeadamente, Rovuma, </w:t>
      </w:r>
      <w:proofErr w:type="spellStart"/>
      <w:r w:rsidRPr="00292532">
        <w:rPr>
          <w:rFonts w:eastAsia="Calibri" w:cs="Times New Roman"/>
          <w:lang w:val="pt-PT" w:eastAsia="ja-JP"/>
        </w:rPr>
        <w:t>Messalo</w:t>
      </w:r>
      <w:proofErr w:type="spellEnd"/>
      <w:r w:rsidRPr="00292532">
        <w:rPr>
          <w:rFonts w:eastAsia="Calibri" w:cs="Times New Roman"/>
          <w:lang w:val="pt-PT" w:eastAsia="ja-JP"/>
        </w:rPr>
        <w:t xml:space="preserve">, Montepuez, Lúrio, </w:t>
      </w:r>
      <w:proofErr w:type="spellStart"/>
      <w:r w:rsidRPr="00292532">
        <w:rPr>
          <w:rFonts w:eastAsia="Calibri" w:cs="Times New Roman"/>
          <w:lang w:val="pt-PT" w:eastAsia="ja-JP"/>
        </w:rPr>
        <w:t>Monapo</w:t>
      </w:r>
      <w:proofErr w:type="spellEnd"/>
      <w:r w:rsidRPr="00292532">
        <w:rPr>
          <w:rFonts w:eastAsia="Calibri" w:cs="Times New Roman"/>
          <w:lang w:val="pt-PT" w:eastAsia="ja-JP"/>
        </w:rPr>
        <w:t xml:space="preserve">, </w:t>
      </w:r>
      <w:proofErr w:type="spellStart"/>
      <w:r w:rsidRPr="00292532">
        <w:rPr>
          <w:rFonts w:eastAsia="Calibri" w:cs="Times New Roman"/>
          <w:lang w:val="pt-PT" w:eastAsia="ja-JP"/>
        </w:rPr>
        <w:t>Ligonha</w:t>
      </w:r>
      <w:proofErr w:type="spellEnd"/>
      <w:r w:rsidRPr="00292532">
        <w:rPr>
          <w:rFonts w:eastAsia="Calibri" w:cs="Times New Roman"/>
          <w:lang w:val="pt-PT" w:eastAsia="ja-JP"/>
        </w:rPr>
        <w:t xml:space="preserve">, Licungo, Zambeze. Devido a sua localização geográfica, o país é dos mais vulneráveis às mudanças climáticas, como consequência da ocorrência de secas, cheias e ciclones. Os ciclones tropicais têm maior incidência na zona costeira das regiões Centro e Norte, áreas de forte impacto das </w:t>
      </w:r>
      <w:proofErr w:type="spellStart"/>
      <w:r w:rsidRPr="00292532">
        <w:rPr>
          <w:rFonts w:eastAsia="Calibri" w:cs="Times New Roman"/>
          <w:lang w:val="pt-PT" w:eastAsia="ja-JP"/>
        </w:rPr>
        <w:t>actividades</w:t>
      </w:r>
      <w:proofErr w:type="spellEnd"/>
      <w:r w:rsidRPr="00292532">
        <w:rPr>
          <w:rFonts w:eastAsia="Calibri" w:cs="Times New Roman"/>
          <w:lang w:val="pt-PT" w:eastAsia="ja-JP"/>
        </w:rPr>
        <w:t xml:space="preserve"> do </w:t>
      </w:r>
      <w:proofErr w:type="spellStart"/>
      <w:r w:rsidRPr="00292532">
        <w:rPr>
          <w:rFonts w:eastAsia="Calibri" w:cs="Times New Roman"/>
          <w:lang w:val="pt-PT" w:eastAsia="ja-JP"/>
        </w:rPr>
        <w:t>projecto</w:t>
      </w:r>
      <w:proofErr w:type="spellEnd"/>
      <w:r w:rsidRPr="00292532">
        <w:rPr>
          <w:rFonts w:eastAsia="Calibri" w:cs="Times New Roman"/>
          <w:lang w:val="pt-PT" w:eastAsia="ja-JP"/>
        </w:rPr>
        <w:t xml:space="preserve">, sendo mais frequentes entre os meses de </w:t>
      </w:r>
      <w:proofErr w:type="gramStart"/>
      <w:r w:rsidRPr="00292532">
        <w:rPr>
          <w:rFonts w:eastAsia="Calibri" w:cs="Times New Roman"/>
          <w:lang w:val="pt-PT" w:eastAsia="ja-JP"/>
        </w:rPr>
        <w:t>Outubro</w:t>
      </w:r>
      <w:proofErr w:type="gramEnd"/>
      <w:r w:rsidRPr="00292532">
        <w:rPr>
          <w:rFonts w:eastAsia="Calibri" w:cs="Times New Roman"/>
          <w:lang w:val="pt-PT" w:eastAsia="ja-JP"/>
        </w:rPr>
        <w:t xml:space="preserve"> e Abril.  </w:t>
      </w:r>
    </w:p>
    <w:p w14:paraId="215126C8" w14:textId="32C71706" w:rsidR="004C0194" w:rsidRPr="00292532" w:rsidRDefault="004C0194" w:rsidP="004C0194">
      <w:pPr>
        <w:rPr>
          <w:rFonts w:eastAsia="Calibri" w:cs="Times New Roman"/>
          <w:lang w:val="pt-PT" w:eastAsia="ja-JP"/>
        </w:rPr>
      </w:pPr>
      <w:r w:rsidRPr="00292532">
        <w:rPr>
          <w:rFonts w:eastAsia="Calibri" w:cs="Times New Roman"/>
          <w:lang w:val="pt-PT" w:eastAsia="ja-JP"/>
        </w:rPr>
        <w:t xml:space="preserve">Em termos de biodiversidade, todos os distritos situados ao longo da faixa costeira abrangidos pelo </w:t>
      </w:r>
      <w:proofErr w:type="spellStart"/>
      <w:r w:rsidRPr="00292532">
        <w:rPr>
          <w:rFonts w:eastAsia="Calibri" w:cs="Times New Roman"/>
          <w:lang w:val="pt-PT" w:eastAsia="ja-JP"/>
        </w:rPr>
        <w:t>projecto</w:t>
      </w:r>
      <w:proofErr w:type="spellEnd"/>
      <w:r w:rsidRPr="00292532">
        <w:rPr>
          <w:rFonts w:eastAsia="Calibri" w:cs="Times New Roman"/>
          <w:lang w:val="pt-PT" w:eastAsia="ja-JP"/>
        </w:rPr>
        <w:t xml:space="preserve">, possuem mangais, ecossistemas com grande importância para a biodiversidade, contribuição para a resiliência às mudanças climáticas, mas também ao valor socioeconómico. Nas áreas do </w:t>
      </w:r>
      <w:proofErr w:type="spellStart"/>
      <w:r w:rsidRPr="00292532">
        <w:rPr>
          <w:rFonts w:eastAsia="Calibri" w:cs="Times New Roman"/>
          <w:lang w:val="pt-PT" w:eastAsia="ja-JP"/>
        </w:rPr>
        <w:t>projecto</w:t>
      </w:r>
      <w:proofErr w:type="spellEnd"/>
      <w:r w:rsidRPr="00292532">
        <w:rPr>
          <w:rFonts w:eastAsia="Calibri" w:cs="Times New Roman"/>
          <w:lang w:val="pt-PT" w:eastAsia="ja-JP"/>
        </w:rPr>
        <w:t xml:space="preserve"> encontram-se distribuídas florestas sempre</w:t>
      </w:r>
      <w:r w:rsidR="00904BD5">
        <w:rPr>
          <w:rFonts w:eastAsia="Calibri" w:cs="Times New Roman"/>
          <w:lang w:val="pt-PT" w:eastAsia="ja-JP"/>
        </w:rPr>
        <w:t xml:space="preserve"> </w:t>
      </w:r>
      <w:r w:rsidRPr="00292532">
        <w:rPr>
          <w:rFonts w:eastAsia="Calibri" w:cs="Times New Roman"/>
          <w:lang w:val="pt-PT" w:eastAsia="ja-JP"/>
        </w:rPr>
        <w:t>verde</w:t>
      </w:r>
      <w:r w:rsidR="00EB038C">
        <w:rPr>
          <w:rFonts w:eastAsia="Calibri" w:cs="Times New Roman"/>
          <w:lang w:val="pt-PT" w:eastAsia="ja-JP"/>
        </w:rPr>
        <w:t>s</w:t>
      </w:r>
      <w:r w:rsidRPr="00292532">
        <w:rPr>
          <w:rFonts w:eastAsia="Calibri" w:cs="Times New Roman"/>
          <w:lang w:val="pt-PT" w:eastAsia="ja-JP"/>
        </w:rPr>
        <w:t xml:space="preserve">, floresta com grande densidade do estrato arbóreo, com árvores de tronco grosso, com amplas copas que se elevam até a uma altura de 10 a 20 m. São encontradas áreas de conservação em alguns dos distritos mais abrangidos pelo </w:t>
      </w:r>
      <w:proofErr w:type="spellStart"/>
      <w:r w:rsidRPr="00292532">
        <w:rPr>
          <w:rFonts w:eastAsia="Calibri" w:cs="Times New Roman"/>
          <w:lang w:val="pt-PT" w:eastAsia="ja-JP"/>
        </w:rPr>
        <w:t>Projecto</w:t>
      </w:r>
      <w:proofErr w:type="spellEnd"/>
      <w:r w:rsidRPr="00292532">
        <w:rPr>
          <w:rFonts w:eastAsia="Calibri" w:cs="Times New Roman"/>
          <w:lang w:val="pt-PT" w:eastAsia="ja-JP"/>
        </w:rPr>
        <w:t xml:space="preserve">, destacando-se as seguintes: </w:t>
      </w:r>
    </w:p>
    <w:p w14:paraId="41499D93" w14:textId="5B55CAA0"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 xml:space="preserve">Parque Nacional Área de </w:t>
      </w:r>
      <w:proofErr w:type="spellStart"/>
      <w:r w:rsidRPr="00292532">
        <w:rPr>
          <w:rFonts w:eastAsia="Calibri" w:cs="Times New Roman"/>
          <w:lang w:val="pt-PT"/>
        </w:rPr>
        <w:t>Prote</w:t>
      </w:r>
      <w:r w:rsidR="0010293A" w:rsidRPr="00292532">
        <w:rPr>
          <w:rFonts w:eastAsia="Calibri" w:cs="Times New Roman"/>
          <w:lang w:val="pt-PT"/>
        </w:rPr>
        <w:t>c</w:t>
      </w:r>
      <w:r w:rsidRPr="00292532">
        <w:rPr>
          <w:rFonts w:eastAsia="Calibri" w:cs="Times New Roman"/>
          <w:lang w:val="pt-PT"/>
        </w:rPr>
        <w:t>ção</w:t>
      </w:r>
      <w:proofErr w:type="spellEnd"/>
      <w:r w:rsidRPr="00292532">
        <w:rPr>
          <w:rFonts w:eastAsia="Calibri" w:cs="Times New Roman"/>
          <w:lang w:val="pt-PT"/>
        </w:rPr>
        <w:t xml:space="preserve"> Ambiental Ilhas das Primeiras &amp; Segundas</w:t>
      </w:r>
    </w:p>
    <w:p w14:paraId="402EDEDA" w14:textId="7777777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 xml:space="preserve">Reserva Florestal de </w:t>
      </w:r>
      <w:proofErr w:type="spellStart"/>
      <w:r w:rsidRPr="00292532">
        <w:rPr>
          <w:rFonts w:eastAsia="Calibri" w:cs="Times New Roman"/>
          <w:lang w:val="pt-PT"/>
        </w:rPr>
        <w:t>Mupalue</w:t>
      </w:r>
      <w:proofErr w:type="spellEnd"/>
      <w:r w:rsidRPr="00292532">
        <w:rPr>
          <w:rFonts w:eastAsia="Calibri" w:cs="Times New Roman"/>
          <w:lang w:val="pt-PT"/>
        </w:rPr>
        <w:t xml:space="preserve">, Reserva Florestal de </w:t>
      </w:r>
      <w:proofErr w:type="spellStart"/>
      <w:r w:rsidRPr="00292532">
        <w:rPr>
          <w:rFonts w:eastAsia="Calibri" w:cs="Times New Roman"/>
          <w:lang w:val="pt-PT"/>
        </w:rPr>
        <w:t>Ribauè</w:t>
      </w:r>
      <w:proofErr w:type="spellEnd"/>
    </w:p>
    <w:p w14:paraId="612831DA" w14:textId="7777777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 xml:space="preserve">Reserva Florestal do </w:t>
      </w:r>
      <w:proofErr w:type="spellStart"/>
      <w:r w:rsidRPr="00292532">
        <w:rPr>
          <w:rFonts w:eastAsia="Calibri" w:cs="Times New Roman"/>
          <w:lang w:val="pt-PT"/>
        </w:rPr>
        <w:t>Derre</w:t>
      </w:r>
      <w:proofErr w:type="spellEnd"/>
    </w:p>
    <w:p w14:paraId="5E0D5E2C" w14:textId="7777777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Reserva Nacional do Gilé, Área de caça de Mulela</w:t>
      </w:r>
    </w:p>
    <w:p w14:paraId="41E29FFE" w14:textId="7777777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 xml:space="preserve">Montes </w:t>
      </w:r>
      <w:proofErr w:type="spellStart"/>
      <w:r w:rsidRPr="00292532">
        <w:rPr>
          <w:rFonts w:eastAsia="Calibri" w:cs="Times New Roman"/>
          <w:lang w:val="pt-PT"/>
        </w:rPr>
        <w:t>Namuli</w:t>
      </w:r>
      <w:proofErr w:type="spellEnd"/>
    </w:p>
    <w:p w14:paraId="2E209D3B" w14:textId="7777777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Monte Mabu</w:t>
      </w:r>
    </w:p>
    <w:p w14:paraId="343C9EA0" w14:textId="7777777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 xml:space="preserve">Montes </w:t>
      </w:r>
      <w:proofErr w:type="spellStart"/>
      <w:r w:rsidRPr="00292532">
        <w:rPr>
          <w:rFonts w:eastAsia="Calibri" w:cs="Times New Roman"/>
          <w:lang w:val="pt-PT"/>
        </w:rPr>
        <w:t>Chiperone</w:t>
      </w:r>
      <w:proofErr w:type="spellEnd"/>
    </w:p>
    <w:p w14:paraId="149E30D3" w14:textId="7777777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 xml:space="preserve">Reserva Florestal do </w:t>
      </w:r>
      <w:proofErr w:type="spellStart"/>
      <w:r w:rsidRPr="00292532">
        <w:rPr>
          <w:rFonts w:eastAsia="Calibri" w:cs="Times New Roman"/>
          <w:lang w:val="pt-PT"/>
        </w:rPr>
        <w:t>Derre</w:t>
      </w:r>
      <w:proofErr w:type="spellEnd"/>
    </w:p>
    <w:p w14:paraId="13C3DA2F" w14:textId="7777777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 xml:space="preserve">Reserva Nacional do Gilé, Parque Nacional Área de Proteção Ambiental Ilhas das Primeiras &amp; Segundas, IBA da Região de </w:t>
      </w:r>
      <w:proofErr w:type="spellStart"/>
      <w:r w:rsidRPr="00292532">
        <w:rPr>
          <w:rFonts w:eastAsia="Calibri" w:cs="Times New Roman"/>
          <w:lang w:val="pt-PT"/>
        </w:rPr>
        <w:t>Moebase</w:t>
      </w:r>
      <w:proofErr w:type="spellEnd"/>
    </w:p>
    <w:p w14:paraId="22C41CB0" w14:textId="77777777" w:rsidR="004C0194" w:rsidRPr="00292532" w:rsidRDefault="004C0194" w:rsidP="004C0194">
      <w:pPr>
        <w:rPr>
          <w:rFonts w:eastAsia="Calibri" w:cs="Times New Roman"/>
          <w:lang w:val="pt-PT" w:eastAsia="ja-JP"/>
        </w:rPr>
      </w:pPr>
      <w:r w:rsidRPr="00292532">
        <w:rPr>
          <w:rFonts w:eastAsia="Calibri" w:cs="Times New Roman"/>
          <w:lang w:val="pt-PT" w:eastAsia="ja-JP"/>
        </w:rPr>
        <w:t xml:space="preserve">Conforme os dados mais recentes do INE, através dos resultados definitivos do IV Recenseamento Geral da População e Habitação de 2017, Moçambique registou uma população total de 27.909.798 habitantes, evidenciando um crescimento global de 35% entre 2007 e 2017 (INE, 2017), mostrando uma aceleração no crescimento da população do país. As províncias do centro e norte, nomeadamente Nampula e Zambézia, foram as províncias que mais contribuíram para o crescimento da população, registando um total de cica 5,7 e 5.1 milhões de habitantes, </w:t>
      </w:r>
      <w:proofErr w:type="spellStart"/>
      <w:r w:rsidRPr="00292532">
        <w:rPr>
          <w:rFonts w:eastAsia="Calibri" w:cs="Times New Roman"/>
          <w:lang w:val="pt-PT" w:eastAsia="ja-JP"/>
        </w:rPr>
        <w:t>respectivamente</w:t>
      </w:r>
      <w:proofErr w:type="spellEnd"/>
      <w:r w:rsidRPr="00292532">
        <w:rPr>
          <w:rFonts w:eastAsia="Calibri" w:cs="Times New Roman"/>
          <w:lang w:val="pt-PT" w:eastAsia="ja-JP"/>
        </w:rPr>
        <w:t xml:space="preserve">, nas províncias de Nampula e da Zambézia, congregando juntas 39% da população do país. Nampula e Zambézia são as que ostentam as maiores densidades demográficas, 70,6 </w:t>
      </w:r>
      <w:proofErr w:type="spellStart"/>
      <w:r w:rsidRPr="00292532">
        <w:rPr>
          <w:rFonts w:eastAsia="Calibri" w:cs="Times New Roman"/>
          <w:lang w:val="pt-PT" w:eastAsia="ja-JP"/>
        </w:rPr>
        <w:t>hab</w:t>
      </w:r>
      <w:proofErr w:type="spellEnd"/>
      <w:r w:rsidRPr="00292532">
        <w:rPr>
          <w:rFonts w:eastAsia="Calibri" w:cs="Times New Roman"/>
          <w:lang w:val="pt-PT" w:eastAsia="ja-JP"/>
        </w:rPr>
        <w:t>/km</w:t>
      </w:r>
      <w:r w:rsidRPr="004500AE">
        <w:rPr>
          <w:rFonts w:eastAsia="Calibri" w:cs="Times New Roman"/>
          <w:vertAlign w:val="superscript"/>
          <w:lang w:val="pt-PT" w:eastAsia="ja-JP"/>
        </w:rPr>
        <w:t>2</w:t>
      </w:r>
      <w:r w:rsidRPr="00292532">
        <w:rPr>
          <w:rFonts w:eastAsia="Calibri" w:cs="Times New Roman"/>
          <w:lang w:val="pt-PT" w:eastAsia="ja-JP"/>
        </w:rPr>
        <w:t xml:space="preserve"> e 49,2 </w:t>
      </w:r>
      <w:proofErr w:type="spellStart"/>
      <w:r w:rsidRPr="00292532">
        <w:rPr>
          <w:rFonts w:eastAsia="Calibri" w:cs="Times New Roman"/>
          <w:lang w:val="pt-PT" w:eastAsia="ja-JP"/>
        </w:rPr>
        <w:t>hab</w:t>
      </w:r>
      <w:proofErr w:type="spellEnd"/>
      <w:r w:rsidRPr="00292532">
        <w:rPr>
          <w:rFonts w:eastAsia="Calibri" w:cs="Times New Roman"/>
          <w:lang w:val="pt-PT" w:eastAsia="ja-JP"/>
        </w:rPr>
        <w:t>/km</w:t>
      </w:r>
      <w:r w:rsidRPr="004500AE">
        <w:rPr>
          <w:rFonts w:eastAsia="Calibri" w:cs="Times New Roman"/>
          <w:vertAlign w:val="superscript"/>
          <w:lang w:val="pt-PT" w:eastAsia="ja-JP"/>
        </w:rPr>
        <w:t>2</w:t>
      </w:r>
      <w:r w:rsidRPr="00292532">
        <w:rPr>
          <w:rFonts w:eastAsia="Calibri" w:cs="Times New Roman"/>
          <w:lang w:val="pt-PT" w:eastAsia="ja-JP"/>
        </w:rPr>
        <w:t xml:space="preserve">, </w:t>
      </w:r>
      <w:proofErr w:type="spellStart"/>
      <w:r w:rsidRPr="00292532">
        <w:rPr>
          <w:rFonts w:eastAsia="Calibri" w:cs="Times New Roman"/>
          <w:lang w:val="pt-PT" w:eastAsia="ja-JP"/>
        </w:rPr>
        <w:t>respectivamente</w:t>
      </w:r>
      <w:proofErr w:type="spellEnd"/>
      <w:r w:rsidRPr="00292532">
        <w:rPr>
          <w:rFonts w:eastAsia="Calibri" w:cs="Times New Roman"/>
          <w:lang w:val="pt-PT" w:eastAsia="ja-JP"/>
        </w:rPr>
        <w:t>.</w:t>
      </w:r>
    </w:p>
    <w:p w14:paraId="588D5F55" w14:textId="72E7FC34" w:rsidR="004C0194" w:rsidRPr="00292532" w:rsidRDefault="004C0194" w:rsidP="004C0194">
      <w:pPr>
        <w:rPr>
          <w:rFonts w:eastAsia="Calibri" w:cs="Times New Roman"/>
          <w:lang w:val="pt-PT" w:eastAsia="ja-JP"/>
        </w:rPr>
      </w:pPr>
      <w:proofErr w:type="spellStart"/>
      <w:r w:rsidRPr="00292532">
        <w:rPr>
          <w:rFonts w:eastAsia="Calibri" w:cs="Times New Roman"/>
          <w:lang w:val="pt-PT" w:eastAsia="ja-JP"/>
        </w:rPr>
        <w:t>Actualmente</w:t>
      </w:r>
      <w:proofErr w:type="spellEnd"/>
      <w:r w:rsidR="003769A9" w:rsidRPr="00292532">
        <w:rPr>
          <w:rFonts w:eastAsia="Calibri" w:cs="Times New Roman"/>
          <w:lang w:val="pt-PT" w:eastAsia="ja-JP"/>
        </w:rPr>
        <w:t>,</w:t>
      </w:r>
      <w:r w:rsidRPr="00292532">
        <w:rPr>
          <w:rFonts w:eastAsia="Calibri" w:cs="Times New Roman"/>
          <w:lang w:val="pt-PT" w:eastAsia="ja-JP"/>
        </w:rPr>
        <w:t xml:space="preserve"> a economia das províncias de Nampula e Zambézia, especificamente, encontra-se desde </w:t>
      </w:r>
      <w:proofErr w:type="gramStart"/>
      <w:r w:rsidRPr="00292532">
        <w:rPr>
          <w:rFonts w:eastAsia="Calibri" w:cs="Times New Roman"/>
          <w:lang w:val="pt-PT" w:eastAsia="ja-JP"/>
        </w:rPr>
        <w:t>Março</w:t>
      </w:r>
      <w:proofErr w:type="gramEnd"/>
      <w:r w:rsidRPr="00292532">
        <w:rPr>
          <w:rFonts w:eastAsia="Calibri" w:cs="Times New Roman"/>
          <w:lang w:val="pt-PT" w:eastAsia="ja-JP"/>
        </w:rPr>
        <w:t xml:space="preserve"> de 2020, fragilizad</w:t>
      </w:r>
      <w:r w:rsidR="0010293A" w:rsidRPr="00292532">
        <w:rPr>
          <w:rFonts w:eastAsia="Calibri" w:cs="Times New Roman"/>
          <w:lang w:val="pt-PT" w:eastAsia="ja-JP"/>
        </w:rPr>
        <w:t>a,</w:t>
      </w:r>
      <w:r w:rsidRPr="00292532">
        <w:rPr>
          <w:rFonts w:eastAsia="Calibri" w:cs="Times New Roman"/>
          <w:lang w:val="pt-PT" w:eastAsia="ja-JP"/>
        </w:rPr>
        <w:t xml:space="preserve"> associad</w:t>
      </w:r>
      <w:r w:rsidR="0010293A" w:rsidRPr="00292532">
        <w:rPr>
          <w:rFonts w:eastAsia="Calibri" w:cs="Times New Roman"/>
          <w:lang w:val="pt-PT" w:eastAsia="ja-JP"/>
        </w:rPr>
        <w:t>a</w:t>
      </w:r>
      <w:r w:rsidRPr="00292532">
        <w:rPr>
          <w:rFonts w:eastAsia="Calibri" w:cs="Times New Roman"/>
          <w:lang w:val="pt-PT" w:eastAsia="ja-JP"/>
        </w:rPr>
        <w:t xml:space="preserve"> por um lado pela incidência da pandemia COVID-19, e pela exposição a vulnerabilidade às alterações climáticas que desde 2019 vem fustigando o país de forma mais severa.</w:t>
      </w:r>
    </w:p>
    <w:p w14:paraId="428F2016" w14:textId="6337B163" w:rsidR="004C0194" w:rsidRPr="00292532" w:rsidRDefault="004C0194" w:rsidP="004C0194">
      <w:pPr>
        <w:rPr>
          <w:rFonts w:eastAsia="Calibri" w:cs="Times New Roman"/>
          <w:lang w:val="pt-PT" w:eastAsia="ja-JP"/>
        </w:rPr>
      </w:pPr>
      <w:r w:rsidRPr="00292532">
        <w:rPr>
          <w:rFonts w:eastAsia="Calibri" w:cs="Times New Roman"/>
          <w:lang w:val="pt-PT" w:eastAsia="ja-JP"/>
        </w:rPr>
        <w:lastRenderedPageBreak/>
        <w:t xml:space="preserve">Na </w:t>
      </w:r>
      <w:proofErr w:type="spellStart"/>
      <w:r w:rsidRPr="00292532">
        <w:rPr>
          <w:rFonts w:eastAsia="Calibri" w:cs="Times New Roman"/>
          <w:lang w:val="pt-PT" w:eastAsia="ja-JP"/>
        </w:rPr>
        <w:t>perspectiva</w:t>
      </w:r>
      <w:proofErr w:type="spellEnd"/>
      <w:r w:rsidRPr="00292532">
        <w:rPr>
          <w:rFonts w:eastAsia="Calibri" w:cs="Times New Roman"/>
          <w:lang w:val="pt-PT" w:eastAsia="ja-JP"/>
        </w:rPr>
        <w:t xml:space="preserve"> de género, segundo </w:t>
      </w:r>
      <w:proofErr w:type="spellStart"/>
      <w:r w:rsidRPr="00292532">
        <w:rPr>
          <w:rFonts w:eastAsia="Calibri" w:cs="Times New Roman"/>
          <w:lang w:val="pt-PT" w:eastAsia="ja-JP"/>
        </w:rPr>
        <w:t>Gradin</w:t>
      </w:r>
      <w:proofErr w:type="spellEnd"/>
      <w:r w:rsidRPr="00292532">
        <w:rPr>
          <w:rFonts w:eastAsia="Calibri" w:cs="Times New Roman"/>
          <w:lang w:val="pt-PT" w:eastAsia="ja-JP"/>
        </w:rPr>
        <w:t xml:space="preserve"> &amp; </w:t>
      </w:r>
      <w:proofErr w:type="spellStart"/>
      <w:r w:rsidRPr="00292532">
        <w:rPr>
          <w:rFonts w:eastAsia="Calibri" w:cs="Times New Roman"/>
          <w:lang w:val="pt-PT" w:eastAsia="ja-JP"/>
        </w:rPr>
        <w:t>Tarp</w:t>
      </w:r>
      <w:proofErr w:type="spellEnd"/>
      <w:r w:rsidRPr="00292532">
        <w:rPr>
          <w:rFonts w:eastAsia="Calibri" w:cs="Times New Roman"/>
          <w:lang w:val="pt-PT" w:eastAsia="ja-JP"/>
        </w:rPr>
        <w:t xml:space="preserve"> (2019) no país, os homens encontram-se numa posição mais privilegiada do que as mulheres no que toca ao acesso a oportunidades durante a expansão do sector formal. As desigualdades de género em termos de capital humano, expressas em </w:t>
      </w:r>
      <w:proofErr w:type="spellStart"/>
      <w:r w:rsidRPr="00292532">
        <w:rPr>
          <w:rFonts w:eastAsia="Calibri" w:cs="Times New Roman"/>
          <w:lang w:val="pt-PT" w:eastAsia="ja-JP"/>
        </w:rPr>
        <w:t>factores</w:t>
      </w:r>
      <w:proofErr w:type="spellEnd"/>
      <w:r w:rsidRPr="00292532">
        <w:rPr>
          <w:rFonts w:eastAsia="Calibri" w:cs="Times New Roman"/>
          <w:lang w:val="pt-PT" w:eastAsia="ja-JP"/>
        </w:rPr>
        <w:t xml:space="preserve"> como a escolaridade, a alfabetização e a proficiência na língua portuguesa, constituem alguns dos entraves para o grosso das mulheres moçambicanas terem acesso a oportunidades no mercado de trabalho formal.</w:t>
      </w:r>
      <w:r w:rsidR="00F956D4" w:rsidRPr="00292532">
        <w:rPr>
          <w:rFonts w:eastAsia="Calibri" w:cs="Times New Roman"/>
          <w:lang w:val="pt-PT" w:eastAsia="ja-JP"/>
        </w:rPr>
        <w:t xml:space="preserve"> </w:t>
      </w:r>
      <w:r w:rsidRPr="00292532">
        <w:rPr>
          <w:rFonts w:eastAsia="Calibri" w:cs="Times New Roman"/>
          <w:lang w:val="pt-PT" w:eastAsia="ja-JP"/>
        </w:rPr>
        <w:t xml:space="preserve">Estas desigualdades perpetuam construções e </w:t>
      </w:r>
      <w:proofErr w:type="spellStart"/>
      <w:r w:rsidRPr="00292532">
        <w:rPr>
          <w:rFonts w:eastAsia="Calibri" w:cs="Times New Roman"/>
          <w:lang w:val="pt-PT" w:eastAsia="ja-JP"/>
        </w:rPr>
        <w:t>percepções</w:t>
      </w:r>
      <w:proofErr w:type="spellEnd"/>
      <w:r w:rsidRPr="00292532">
        <w:rPr>
          <w:rFonts w:eastAsia="Calibri" w:cs="Times New Roman"/>
          <w:lang w:val="pt-PT" w:eastAsia="ja-JP"/>
        </w:rPr>
        <w:t xml:space="preserve"> sociais de dominância masculina, e remetem as mulheres para uma situação de maior vulnerabilidade no que tange à violência baseada no género (VBG). Faz assim parte do </w:t>
      </w:r>
      <w:proofErr w:type="spellStart"/>
      <w:r w:rsidRPr="00292532">
        <w:rPr>
          <w:rFonts w:eastAsia="Calibri" w:cs="Times New Roman"/>
          <w:lang w:val="pt-PT" w:eastAsia="ja-JP"/>
        </w:rPr>
        <w:t>actual</w:t>
      </w:r>
      <w:proofErr w:type="spellEnd"/>
      <w:r w:rsidRPr="00292532">
        <w:rPr>
          <w:rFonts w:eastAsia="Calibri" w:cs="Times New Roman"/>
          <w:lang w:val="pt-PT" w:eastAsia="ja-JP"/>
        </w:rPr>
        <w:t xml:space="preserve"> QGAS uma Avaliação de Riscos de Violência baseada no Género. </w:t>
      </w:r>
    </w:p>
    <w:p w14:paraId="56C22793" w14:textId="7C4C7A0D" w:rsidR="00292532" w:rsidRPr="004500AE" w:rsidRDefault="00292532" w:rsidP="004C0194">
      <w:pPr>
        <w:rPr>
          <w:rFonts w:eastAsia="Calibri" w:cs="Times New Roman"/>
          <w:i/>
          <w:iCs/>
          <w:lang w:val="pt-PT" w:eastAsia="ja-JP"/>
        </w:rPr>
      </w:pPr>
      <w:r w:rsidRPr="004500AE">
        <w:rPr>
          <w:rFonts w:eastAsia="Calibri" w:cs="Times New Roman"/>
          <w:i/>
          <w:iCs/>
          <w:lang w:val="pt-PT" w:eastAsia="ja-JP"/>
        </w:rPr>
        <w:t>Avaliação de Riscos e Impactos Ambientais e Sociais</w:t>
      </w:r>
    </w:p>
    <w:p w14:paraId="07CECE87" w14:textId="293DF5C2" w:rsidR="004C0194" w:rsidRPr="00292532" w:rsidRDefault="00292532" w:rsidP="004C0194">
      <w:pPr>
        <w:rPr>
          <w:rFonts w:eastAsia="Calibri" w:cs="Times New Roman"/>
          <w:lang w:val="pt-PT"/>
        </w:rPr>
      </w:pPr>
      <w:r w:rsidRPr="00292532">
        <w:rPr>
          <w:rFonts w:eastAsia="Calibri" w:cs="Times New Roman"/>
          <w:lang w:val="pt-PT" w:eastAsia="ja-JP"/>
        </w:rPr>
        <w:t xml:space="preserve">O </w:t>
      </w:r>
      <w:proofErr w:type="spellStart"/>
      <w:r w:rsidRPr="00292532">
        <w:rPr>
          <w:rFonts w:eastAsia="Calibri" w:cs="Times New Roman"/>
          <w:lang w:val="pt-PT" w:eastAsia="ja-JP"/>
        </w:rPr>
        <w:t>projecto</w:t>
      </w:r>
      <w:proofErr w:type="spellEnd"/>
      <w:r w:rsidRPr="00292532">
        <w:rPr>
          <w:rFonts w:eastAsia="Calibri" w:cs="Times New Roman"/>
          <w:lang w:val="pt-PT" w:eastAsia="ja-JP"/>
        </w:rPr>
        <w:t xml:space="preserve"> devidamente preparado e implementado, trará impactos ambientais e sociais positivos significativos. </w:t>
      </w:r>
      <w:r w:rsidR="004C0194" w:rsidRPr="00292532">
        <w:rPr>
          <w:rFonts w:eastAsia="Calibri" w:cs="Times New Roman"/>
          <w:lang w:val="pt-PT"/>
        </w:rPr>
        <w:t xml:space="preserve">Considera-se a fase de </w:t>
      </w:r>
      <w:r w:rsidRPr="00292532">
        <w:rPr>
          <w:rFonts w:eastAsia="Calibri" w:cs="Times New Roman"/>
          <w:lang w:val="pt-PT"/>
        </w:rPr>
        <w:t>operação como sendo a fase em que os impactos sociais são maioritariamente positivos, resultante do fornecimento de água às populações nas pequenas cidades, vilas e localidades e provisão de serviços de saneamento nas pequenas cidades e vilas. O principal impacto positivo</w:t>
      </w:r>
      <w:r w:rsidR="00250BCC">
        <w:rPr>
          <w:rFonts w:eastAsia="Calibri" w:cs="Times New Roman"/>
          <w:lang w:val="pt-PT"/>
        </w:rPr>
        <w:t>, n</w:t>
      </w:r>
      <w:r w:rsidRPr="00292532">
        <w:rPr>
          <w:rFonts w:eastAsia="Calibri" w:cs="Times New Roman"/>
          <w:lang w:val="pt-PT"/>
        </w:rPr>
        <w:t>a fase de construção consiste na criação de oportunidades de emprego e consequente aumento da renda das famílias a serem beneficiadas</w:t>
      </w:r>
      <w:r w:rsidR="00AB3051">
        <w:rPr>
          <w:rFonts w:eastAsia="Calibri" w:cs="Times New Roman"/>
          <w:lang w:val="pt-PT"/>
        </w:rPr>
        <w:t>.</w:t>
      </w:r>
      <w:r w:rsidR="00250BCC">
        <w:rPr>
          <w:rFonts w:eastAsia="Calibri" w:cs="Times New Roman"/>
          <w:lang w:val="pt-PT"/>
        </w:rPr>
        <w:t xml:space="preserve"> N</w:t>
      </w:r>
      <w:r w:rsidR="004C0194" w:rsidRPr="00292532">
        <w:rPr>
          <w:rFonts w:eastAsia="Calibri" w:cs="Times New Roman"/>
          <w:lang w:val="pt-PT"/>
        </w:rPr>
        <w:t xml:space="preserve">a fase de operação, os riscos e impactos negativos serão mais reduzidos e localizados, resultantes da operação e funcionamento dos sistemas de abastecimento de água e saneamento instalados durante a fase de construção. Os impactos ambientais e sociais significativos </w:t>
      </w:r>
      <w:r w:rsidR="0010293A" w:rsidRPr="00292532">
        <w:rPr>
          <w:rFonts w:eastAsia="Calibri" w:cs="Times New Roman"/>
          <w:lang w:val="pt-PT"/>
        </w:rPr>
        <w:t>a</w:t>
      </w:r>
      <w:r w:rsidR="004C0194" w:rsidRPr="00292532">
        <w:rPr>
          <w:rFonts w:eastAsia="Calibri" w:cs="Times New Roman"/>
          <w:lang w:val="pt-PT"/>
        </w:rPr>
        <w:t xml:space="preserve"> muito significativos, segundo a avaliação do QGAS incluem os seguintes: </w:t>
      </w:r>
    </w:p>
    <w:p w14:paraId="23D5BF0D" w14:textId="2D2631F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 xml:space="preserve">Emissão de poluentes atmosféricos incluindo </w:t>
      </w:r>
      <w:r w:rsidR="00F956D4" w:rsidRPr="00292532">
        <w:rPr>
          <w:rFonts w:eastAsia="Calibri" w:cs="Times New Roman"/>
          <w:lang w:val="pt-PT"/>
        </w:rPr>
        <w:t>poeiras e</w:t>
      </w:r>
      <w:r w:rsidRPr="00292532">
        <w:rPr>
          <w:rFonts w:eastAsia="Calibri" w:cs="Times New Roman"/>
          <w:lang w:val="pt-PT"/>
        </w:rPr>
        <w:t xml:space="preserve"> emissões de gases das fontes de combustão </w:t>
      </w:r>
    </w:p>
    <w:p w14:paraId="5A0F1D6E" w14:textId="661E2E2F"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 xml:space="preserve">Emissão de </w:t>
      </w:r>
      <w:r w:rsidR="00F956D4" w:rsidRPr="00292532">
        <w:rPr>
          <w:rFonts w:eastAsia="Calibri" w:cs="Times New Roman"/>
          <w:lang w:val="pt-PT"/>
        </w:rPr>
        <w:t>ruídos</w:t>
      </w:r>
      <w:r w:rsidRPr="00292532">
        <w:rPr>
          <w:rFonts w:eastAsia="Calibri" w:cs="Times New Roman"/>
          <w:lang w:val="pt-PT"/>
        </w:rPr>
        <w:t xml:space="preserve"> </w:t>
      </w:r>
    </w:p>
    <w:p w14:paraId="10E8D849" w14:textId="7777777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 xml:space="preserve">Perda, contaminação, compactação, impermeabilização dos solos e geração de processos erosivos </w:t>
      </w:r>
    </w:p>
    <w:p w14:paraId="4FBE1B65" w14:textId="7777777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 xml:space="preserve">Alteração da qualidade das águas superficiais e subterrâneas </w:t>
      </w:r>
    </w:p>
    <w:p w14:paraId="4B2DD858" w14:textId="7777777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Potencial esgotamento das águas subterrâneas e alterações das funções dos aquíferos devido a captação e captação excessiva de água em cursos de água intermitentes</w:t>
      </w:r>
    </w:p>
    <w:p w14:paraId="38D17BF7" w14:textId="7777777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 xml:space="preserve">Derrames de combustíveis e de químicos </w:t>
      </w:r>
    </w:p>
    <w:p w14:paraId="578D7DF5" w14:textId="7777777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 xml:space="preserve">Eliminação da vegetação (natural) existente, perda de espécies de flora e fauna </w:t>
      </w:r>
    </w:p>
    <w:p w14:paraId="6A2607ED" w14:textId="7777777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Perda e fragmentação de habitats</w:t>
      </w:r>
    </w:p>
    <w:p w14:paraId="500B0CD4" w14:textId="7777777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 xml:space="preserve">Alteração do Uso da terra </w:t>
      </w:r>
    </w:p>
    <w:p w14:paraId="52F7F2E9" w14:textId="7777777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 xml:space="preserve">Expropriação de terras, perda de terras produtivas, perda de meios de subsistência </w:t>
      </w:r>
    </w:p>
    <w:p w14:paraId="0D2EC2F1" w14:textId="03A261DD"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Expropriação de terras</w:t>
      </w:r>
      <w:r w:rsidR="0010293A" w:rsidRPr="00292532">
        <w:rPr>
          <w:rFonts w:eastAsia="Calibri" w:cs="Times New Roman"/>
          <w:lang w:val="pt-PT"/>
        </w:rPr>
        <w:t>,</w:t>
      </w:r>
      <w:r w:rsidRPr="00292532">
        <w:rPr>
          <w:rFonts w:eastAsia="Calibri" w:cs="Times New Roman"/>
          <w:lang w:val="pt-PT"/>
        </w:rPr>
        <w:t xml:space="preserve"> deslocamento de famílias </w:t>
      </w:r>
    </w:p>
    <w:p w14:paraId="55F95969" w14:textId="7777777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 xml:space="preserve">Influxo de pessoas às áreas de implementação dos </w:t>
      </w:r>
      <w:proofErr w:type="spellStart"/>
      <w:r w:rsidRPr="00292532">
        <w:rPr>
          <w:rFonts w:eastAsia="Calibri" w:cs="Times New Roman"/>
          <w:lang w:val="pt-PT"/>
        </w:rPr>
        <w:t>projectos</w:t>
      </w:r>
      <w:proofErr w:type="spellEnd"/>
    </w:p>
    <w:p w14:paraId="59E80462" w14:textId="7777777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 xml:space="preserve">Interferências nas redes de serviços de utilidade pública </w:t>
      </w:r>
    </w:p>
    <w:p w14:paraId="34FD0B61" w14:textId="7777777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Aumento do volume de tráfego e potencial de ocorrência de acidentes rodoviários</w:t>
      </w:r>
    </w:p>
    <w:p w14:paraId="6AAA51AA" w14:textId="77777777" w:rsidR="004C0194" w:rsidRPr="00292532" w:rsidRDefault="004C0194" w:rsidP="00AE14AE">
      <w:pPr>
        <w:numPr>
          <w:ilvl w:val="0"/>
          <w:numId w:val="169"/>
        </w:numPr>
        <w:spacing w:before="0" w:after="0"/>
        <w:ind w:left="763"/>
        <w:contextualSpacing/>
        <w:rPr>
          <w:rFonts w:eastAsia="Calibri" w:cs="Times New Roman"/>
          <w:lang w:val="pt-PT"/>
        </w:rPr>
      </w:pPr>
      <w:r w:rsidRPr="00292532">
        <w:rPr>
          <w:rFonts w:eastAsia="Calibri" w:cs="Times New Roman"/>
          <w:lang w:val="pt-PT"/>
        </w:rPr>
        <w:t>Interferência com os recursos de património cultural</w:t>
      </w:r>
    </w:p>
    <w:p w14:paraId="1AB3BC86" w14:textId="73AB651A" w:rsidR="004C0194" w:rsidRPr="00292532" w:rsidRDefault="004C0194" w:rsidP="004C0194">
      <w:pPr>
        <w:rPr>
          <w:rFonts w:eastAsia="Calibri" w:cs="Times New Roman"/>
          <w:lang w:val="pt-PT" w:eastAsia="ja-JP"/>
        </w:rPr>
      </w:pPr>
      <w:r w:rsidRPr="00292532">
        <w:rPr>
          <w:rFonts w:eastAsia="Calibri" w:cs="Times New Roman"/>
          <w:lang w:val="pt-PT" w:eastAsia="ja-JP"/>
        </w:rPr>
        <w:t xml:space="preserve">A contratação e gestão de mão-de-obra acarreta riscos laborais influenciados principalmente devido aos </w:t>
      </w:r>
      <w:proofErr w:type="spellStart"/>
      <w:r w:rsidRPr="00292532">
        <w:rPr>
          <w:rFonts w:eastAsia="Calibri" w:cs="Times New Roman"/>
          <w:lang w:val="pt-PT" w:eastAsia="ja-JP"/>
        </w:rPr>
        <w:t>factores</w:t>
      </w:r>
      <w:proofErr w:type="spellEnd"/>
      <w:r w:rsidRPr="00292532">
        <w:rPr>
          <w:rFonts w:eastAsia="Calibri" w:cs="Times New Roman"/>
          <w:lang w:val="pt-PT" w:eastAsia="ja-JP"/>
        </w:rPr>
        <w:t xml:space="preserve"> associados com o tipo de gestão das áreas de construção, gestão dos acampamentos dos trabalhadores, gestão da força de trabalho não-residente. Neste âmbito, e em resposta aos requisitos das NAS, foram igualmente identifi</w:t>
      </w:r>
      <w:r w:rsidR="00F956D4" w:rsidRPr="00292532">
        <w:rPr>
          <w:rFonts w:eastAsia="Calibri" w:cs="Times New Roman"/>
          <w:lang w:val="pt-PT" w:eastAsia="ja-JP"/>
        </w:rPr>
        <w:t>ca</w:t>
      </w:r>
      <w:r w:rsidRPr="00292532">
        <w:rPr>
          <w:rFonts w:eastAsia="Calibri" w:cs="Times New Roman"/>
          <w:lang w:val="pt-PT" w:eastAsia="ja-JP"/>
        </w:rPr>
        <w:t xml:space="preserve">dos os riscos de saúde e </w:t>
      </w:r>
      <w:r w:rsidR="00F956D4" w:rsidRPr="00292532">
        <w:rPr>
          <w:rFonts w:eastAsia="Calibri" w:cs="Times New Roman"/>
          <w:lang w:val="pt-PT" w:eastAsia="ja-JP"/>
        </w:rPr>
        <w:t>segurança ocupacional</w:t>
      </w:r>
      <w:r w:rsidRPr="00292532">
        <w:rPr>
          <w:rFonts w:eastAsia="Calibri" w:cs="Times New Roman"/>
          <w:lang w:val="pt-PT" w:eastAsia="ja-JP"/>
        </w:rPr>
        <w:t xml:space="preserve">, riscos de saúde e segurança da </w:t>
      </w:r>
      <w:r w:rsidRPr="00292532">
        <w:rPr>
          <w:rFonts w:eastAsia="Calibri" w:cs="Times New Roman"/>
          <w:lang w:val="pt-PT" w:eastAsia="ja-JP"/>
        </w:rPr>
        <w:lastRenderedPageBreak/>
        <w:t xml:space="preserve">comunidade, riscos de gestão e direitos dos trabalhadores e os riscos de </w:t>
      </w:r>
      <w:r w:rsidR="0093725C" w:rsidRPr="00292532">
        <w:rPr>
          <w:rFonts w:eastAsia="Calibri" w:cs="Times New Roman"/>
          <w:lang w:val="pt-PT" w:eastAsia="ja-JP"/>
        </w:rPr>
        <w:t>V</w:t>
      </w:r>
      <w:r w:rsidRPr="00292532">
        <w:rPr>
          <w:rFonts w:eastAsia="Calibri" w:cs="Times New Roman"/>
          <w:lang w:val="pt-PT" w:eastAsia="ja-JP"/>
        </w:rPr>
        <w:t xml:space="preserve">iolência Baseada no </w:t>
      </w:r>
      <w:r w:rsidR="002A69A8">
        <w:rPr>
          <w:rFonts w:eastAsia="Calibri" w:cs="Times New Roman"/>
          <w:lang w:val="pt-PT" w:eastAsia="ja-JP"/>
        </w:rPr>
        <w:t>G</w:t>
      </w:r>
      <w:r w:rsidR="002A69A8" w:rsidRPr="00292532">
        <w:rPr>
          <w:rFonts w:eastAsia="Calibri" w:cs="Times New Roman"/>
          <w:lang w:val="pt-PT" w:eastAsia="ja-JP"/>
        </w:rPr>
        <w:t xml:space="preserve">énero </w:t>
      </w:r>
      <w:r w:rsidR="00D04C8A" w:rsidRPr="00292532">
        <w:rPr>
          <w:rFonts w:eastAsia="Calibri" w:cs="Times New Roman"/>
          <w:lang w:val="pt-PT" w:eastAsia="ja-JP"/>
        </w:rPr>
        <w:t>(VBG)</w:t>
      </w:r>
      <w:r w:rsidRPr="00292532">
        <w:rPr>
          <w:rFonts w:eastAsia="Calibri" w:cs="Times New Roman"/>
          <w:lang w:val="pt-PT" w:eastAsia="ja-JP"/>
        </w:rPr>
        <w:t xml:space="preserve"> </w:t>
      </w:r>
      <w:r w:rsidR="00D04C8A" w:rsidRPr="00292532">
        <w:rPr>
          <w:rFonts w:eastAsia="Calibri" w:cs="Times New Roman"/>
          <w:lang w:val="pt-PT" w:eastAsia="ja-JP"/>
        </w:rPr>
        <w:t xml:space="preserve">que incluem, entre outros, o </w:t>
      </w:r>
      <w:r w:rsidR="004A4257" w:rsidRPr="00292532">
        <w:rPr>
          <w:rFonts w:eastAsia="Calibri" w:cs="Times New Roman"/>
          <w:lang w:val="pt-PT" w:eastAsia="ja-JP"/>
        </w:rPr>
        <w:t xml:space="preserve">Assédio e </w:t>
      </w:r>
      <w:r w:rsidR="00E74EA6" w:rsidRPr="00292532">
        <w:rPr>
          <w:rFonts w:eastAsia="Calibri" w:cs="Times New Roman"/>
          <w:lang w:val="pt-PT" w:eastAsia="ja-JP"/>
        </w:rPr>
        <w:t>Exploração</w:t>
      </w:r>
      <w:r w:rsidR="004A4257" w:rsidRPr="00292532">
        <w:rPr>
          <w:rFonts w:eastAsia="Calibri" w:cs="Times New Roman"/>
          <w:lang w:val="pt-PT" w:eastAsia="ja-JP"/>
        </w:rPr>
        <w:t xml:space="preserve"> Sexual </w:t>
      </w:r>
      <w:r w:rsidRPr="00292532">
        <w:rPr>
          <w:rFonts w:eastAsia="Calibri" w:cs="Times New Roman"/>
          <w:lang w:val="pt-PT" w:eastAsia="ja-JP"/>
        </w:rPr>
        <w:t>(</w:t>
      </w:r>
      <w:r w:rsidR="00E74EA6" w:rsidRPr="00292532">
        <w:rPr>
          <w:rFonts w:eastAsia="Calibri" w:cs="Times New Roman"/>
          <w:lang w:val="pt-PT" w:eastAsia="ja-JP"/>
        </w:rPr>
        <w:t>AES)</w:t>
      </w:r>
      <w:r w:rsidRPr="00292532">
        <w:rPr>
          <w:rFonts w:eastAsia="Calibri" w:cs="Times New Roman"/>
          <w:lang w:val="pt-PT" w:eastAsia="ja-JP"/>
        </w:rPr>
        <w:t xml:space="preserve">. </w:t>
      </w:r>
    </w:p>
    <w:p w14:paraId="7C542995" w14:textId="417D83DD" w:rsidR="004C0194" w:rsidRPr="00292532" w:rsidRDefault="004C0194" w:rsidP="004C0194">
      <w:pPr>
        <w:rPr>
          <w:rFonts w:eastAsia="Calibri" w:cs="Times New Roman"/>
          <w:lang w:val="pt-PT"/>
        </w:rPr>
      </w:pPr>
      <w:r w:rsidRPr="00292532">
        <w:rPr>
          <w:rFonts w:eastAsia="Calibri" w:cs="Times New Roman"/>
          <w:lang w:val="pt-PT"/>
        </w:rPr>
        <w:t xml:space="preserve">A minimização dos riscos e impactos ambientais e sociais identificados passa pela implementação de medidas para minimizar, remediar e compensar através da implementação de planos de </w:t>
      </w:r>
      <w:proofErr w:type="spellStart"/>
      <w:r w:rsidRPr="00292532">
        <w:rPr>
          <w:rFonts w:eastAsia="Calibri" w:cs="Times New Roman"/>
          <w:lang w:val="pt-PT"/>
        </w:rPr>
        <w:t>acção</w:t>
      </w:r>
      <w:proofErr w:type="spellEnd"/>
      <w:r w:rsidRPr="00292532">
        <w:rPr>
          <w:rFonts w:eastAsia="Calibri" w:cs="Times New Roman"/>
          <w:lang w:val="pt-PT"/>
        </w:rPr>
        <w:t xml:space="preserve"> e planos de gestão ambientais durante a execução do </w:t>
      </w:r>
      <w:proofErr w:type="spellStart"/>
      <w:r w:rsidRPr="00292532">
        <w:rPr>
          <w:rFonts w:eastAsia="Calibri" w:cs="Times New Roman"/>
          <w:lang w:val="pt-PT"/>
        </w:rPr>
        <w:t>Projecto</w:t>
      </w:r>
      <w:proofErr w:type="spellEnd"/>
      <w:r w:rsidRPr="00292532">
        <w:rPr>
          <w:rFonts w:eastAsia="Calibri" w:cs="Times New Roman"/>
          <w:lang w:val="pt-PT"/>
        </w:rPr>
        <w:t xml:space="preserve">. O </w:t>
      </w:r>
      <w:r w:rsidR="001978AF" w:rsidRPr="00292532">
        <w:rPr>
          <w:rFonts w:eastAsia="Calibri" w:cs="Times New Roman"/>
          <w:lang w:val="pt-PT"/>
        </w:rPr>
        <w:t xml:space="preserve">QGAS </w:t>
      </w:r>
      <w:r w:rsidRPr="00292532">
        <w:rPr>
          <w:rFonts w:eastAsia="Calibri" w:cs="Times New Roman"/>
          <w:lang w:val="pt-PT"/>
        </w:rPr>
        <w:t>propõe um Plano de Gestão Ambiental e Social (</w:t>
      </w:r>
      <w:r w:rsidR="001978AF" w:rsidRPr="00292532">
        <w:rPr>
          <w:rFonts w:eastAsia="Calibri" w:cs="Times New Roman"/>
          <w:lang w:val="pt-PT"/>
        </w:rPr>
        <w:t>PGAS</w:t>
      </w:r>
      <w:r w:rsidRPr="00292532">
        <w:rPr>
          <w:rFonts w:eastAsia="Calibri" w:cs="Times New Roman"/>
          <w:lang w:val="pt-PT"/>
        </w:rPr>
        <w:t xml:space="preserve">) genérico que contem as medidas de mitigação para os riscos e impactos ambientais identificados na fase de elaboração do QGAS.  Este </w:t>
      </w:r>
      <w:r w:rsidR="001978AF" w:rsidRPr="00292532">
        <w:rPr>
          <w:rFonts w:eastAsia="Calibri" w:cs="Times New Roman"/>
          <w:lang w:val="pt-PT"/>
        </w:rPr>
        <w:t>PGAS</w:t>
      </w:r>
      <w:r w:rsidRPr="00292532">
        <w:rPr>
          <w:rFonts w:eastAsia="Calibri" w:cs="Times New Roman"/>
          <w:lang w:val="pt-PT"/>
        </w:rPr>
        <w:t xml:space="preserve"> constitui um ponto de partida para a elaboração dos </w:t>
      </w:r>
      <w:proofErr w:type="spellStart"/>
      <w:r w:rsidR="001978AF" w:rsidRPr="00292532">
        <w:rPr>
          <w:rFonts w:eastAsia="Calibri" w:cs="Times New Roman"/>
          <w:lang w:val="pt-PT"/>
        </w:rPr>
        <w:t>PGAS</w:t>
      </w:r>
      <w:r w:rsidRPr="00292532">
        <w:rPr>
          <w:rFonts w:eastAsia="Calibri" w:cs="Times New Roman"/>
          <w:lang w:val="pt-PT"/>
        </w:rPr>
        <w:t>s</w:t>
      </w:r>
      <w:proofErr w:type="spellEnd"/>
      <w:r w:rsidRPr="00292532">
        <w:rPr>
          <w:rFonts w:eastAsia="Calibri" w:cs="Times New Roman"/>
          <w:lang w:val="pt-PT"/>
        </w:rPr>
        <w:t xml:space="preserve"> específicos dos subprojectos aquando da sua definição em fases subsequentes. </w:t>
      </w:r>
    </w:p>
    <w:p w14:paraId="43CC2F37" w14:textId="77777777" w:rsidR="004C0194" w:rsidRPr="00292532" w:rsidRDefault="004C0194" w:rsidP="004C0194">
      <w:pPr>
        <w:rPr>
          <w:rFonts w:eastAsia="Calibri" w:cs="Times New Roman"/>
          <w:lang w:val="pt-PT"/>
        </w:rPr>
      </w:pPr>
      <w:r w:rsidRPr="00292532">
        <w:rPr>
          <w:rFonts w:eastAsia="Calibri" w:cs="Times New Roman"/>
          <w:lang w:val="pt-PT"/>
        </w:rPr>
        <w:t xml:space="preserve">Outras recomendações de gestão de riscos e impactos são propostas nos seguintes planos integrados no </w:t>
      </w:r>
      <w:proofErr w:type="spellStart"/>
      <w:r w:rsidRPr="00292532">
        <w:rPr>
          <w:rFonts w:eastAsia="Calibri" w:cs="Times New Roman"/>
          <w:lang w:val="pt-PT"/>
        </w:rPr>
        <w:t>actual</w:t>
      </w:r>
      <w:proofErr w:type="spellEnd"/>
      <w:r w:rsidRPr="00292532">
        <w:rPr>
          <w:rFonts w:eastAsia="Calibri" w:cs="Times New Roman"/>
          <w:lang w:val="pt-PT"/>
        </w:rPr>
        <w:t xml:space="preserve"> QGAS: </w:t>
      </w:r>
    </w:p>
    <w:p w14:paraId="1FCA7A60" w14:textId="77777777" w:rsidR="004C0194" w:rsidRPr="00292532" w:rsidRDefault="004C0194" w:rsidP="00B253CA">
      <w:pPr>
        <w:numPr>
          <w:ilvl w:val="0"/>
          <w:numId w:val="55"/>
        </w:numPr>
        <w:spacing w:before="0" w:after="0"/>
        <w:contextualSpacing/>
        <w:rPr>
          <w:rFonts w:eastAsia="Calibri" w:cs="Times New Roman"/>
          <w:lang w:val="pt-PT"/>
        </w:rPr>
      </w:pPr>
      <w:r w:rsidRPr="00292532">
        <w:rPr>
          <w:rFonts w:eastAsia="Calibri" w:cs="Times New Roman"/>
          <w:lang w:val="pt-PT"/>
        </w:rPr>
        <w:t xml:space="preserve">Plano de Gestão de mão-de-obra (PGMO) e de Saúde e Segurança Ocupacional </w:t>
      </w:r>
    </w:p>
    <w:p w14:paraId="35C576E3" w14:textId="77777777" w:rsidR="004C0194" w:rsidRPr="00292532" w:rsidRDefault="004C0194" w:rsidP="00B253CA">
      <w:pPr>
        <w:numPr>
          <w:ilvl w:val="0"/>
          <w:numId w:val="55"/>
        </w:numPr>
        <w:spacing w:before="0" w:after="0"/>
        <w:contextualSpacing/>
        <w:rPr>
          <w:rFonts w:eastAsia="Calibri" w:cs="Times New Roman"/>
          <w:lang w:val="pt-PT"/>
        </w:rPr>
      </w:pPr>
      <w:r w:rsidRPr="00292532">
        <w:rPr>
          <w:rFonts w:eastAsia="Calibri" w:cs="Times New Roman"/>
          <w:lang w:val="pt-PT"/>
        </w:rPr>
        <w:t>Avaliação de Risco de Perigo e Prontidão de Resposta a Emergência (ARP-PRE)</w:t>
      </w:r>
    </w:p>
    <w:p w14:paraId="736EBD46" w14:textId="77777777" w:rsidR="004C0194" w:rsidRPr="00292532" w:rsidRDefault="004C0194" w:rsidP="00B253CA">
      <w:pPr>
        <w:numPr>
          <w:ilvl w:val="0"/>
          <w:numId w:val="55"/>
        </w:numPr>
        <w:spacing w:before="0" w:after="0"/>
        <w:contextualSpacing/>
        <w:rPr>
          <w:rFonts w:eastAsia="Calibri" w:cs="Times New Roman"/>
          <w:lang w:val="pt-PT"/>
        </w:rPr>
      </w:pPr>
      <w:r w:rsidRPr="00292532">
        <w:rPr>
          <w:rFonts w:eastAsia="Calibri" w:cs="Times New Roman"/>
          <w:lang w:val="pt-PT"/>
        </w:rPr>
        <w:t>Plano de Saúde e Segurança Comunitária (PDDC)</w:t>
      </w:r>
    </w:p>
    <w:p w14:paraId="7A602C53" w14:textId="77777777" w:rsidR="004C0194" w:rsidRPr="00292532" w:rsidRDefault="004C0194" w:rsidP="00B253CA">
      <w:pPr>
        <w:numPr>
          <w:ilvl w:val="0"/>
          <w:numId w:val="55"/>
        </w:numPr>
        <w:spacing w:before="0" w:after="0"/>
        <w:contextualSpacing/>
        <w:rPr>
          <w:rFonts w:eastAsia="Calibri" w:cs="Times New Roman"/>
          <w:lang w:val="pt-PT"/>
        </w:rPr>
      </w:pPr>
      <w:r w:rsidRPr="00292532">
        <w:rPr>
          <w:rFonts w:eastAsia="Calibri" w:cs="Times New Roman"/>
          <w:lang w:val="pt-PT"/>
        </w:rPr>
        <w:t>Plano de Gestão e Prevenção da Poluição (PGPP)</w:t>
      </w:r>
    </w:p>
    <w:p w14:paraId="56915CC5" w14:textId="77777777" w:rsidR="004C0194" w:rsidRPr="00292532" w:rsidRDefault="004C0194" w:rsidP="00B253CA">
      <w:pPr>
        <w:numPr>
          <w:ilvl w:val="0"/>
          <w:numId w:val="55"/>
        </w:numPr>
        <w:spacing w:before="0" w:after="0"/>
        <w:contextualSpacing/>
        <w:rPr>
          <w:rFonts w:eastAsia="Calibri" w:cs="Times New Roman"/>
          <w:lang w:val="pt-PT"/>
        </w:rPr>
      </w:pPr>
      <w:r w:rsidRPr="00292532">
        <w:rPr>
          <w:rFonts w:eastAsia="Calibri" w:cs="Times New Roman"/>
          <w:lang w:val="pt-PT"/>
        </w:rPr>
        <w:t>Procedimentos de Gestão de Património Cultural (PGPT)</w:t>
      </w:r>
    </w:p>
    <w:p w14:paraId="21A0CBB5" w14:textId="77777777" w:rsidR="004C0194" w:rsidRPr="00292532" w:rsidRDefault="004C0194" w:rsidP="00B253CA">
      <w:pPr>
        <w:numPr>
          <w:ilvl w:val="0"/>
          <w:numId w:val="55"/>
        </w:numPr>
        <w:spacing w:before="0" w:after="0"/>
        <w:contextualSpacing/>
        <w:rPr>
          <w:rFonts w:eastAsia="Calibri" w:cs="Times New Roman"/>
          <w:lang w:val="pt-PT"/>
        </w:rPr>
      </w:pPr>
      <w:r w:rsidRPr="00292532">
        <w:rPr>
          <w:rFonts w:eastAsia="Calibri" w:cs="Times New Roman"/>
          <w:lang w:val="pt-PT"/>
        </w:rPr>
        <w:t>Plano de Contingência da Covid-19</w:t>
      </w:r>
    </w:p>
    <w:p w14:paraId="6E139126" w14:textId="36835842" w:rsidR="00DA1178" w:rsidRPr="00292532" w:rsidRDefault="00DA1178" w:rsidP="004C0194">
      <w:pPr>
        <w:rPr>
          <w:rFonts w:eastAsia="Calibri" w:cs="Times New Roman"/>
          <w:lang w:val="pt-PT"/>
        </w:rPr>
      </w:pPr>
      <w:r w:rsidRPr="00292532">
        <w:rPr>
          <w:rFonts w:eastAsia="Calibri" w:cs="Times New Roman"/>
          <w:lang w:val="pt-PT"/>
        </w:rPr>
        <w:t xml:space="preserve">O QGAS recomenda </w:t>
      </w:r>
      <w:r w:rsidR="00292532" w:rsidRPr="00292532">
        <w:rPr>
          <w:rFonts w:eastAsia="Calibri" w:cs="Times New Roman"/>
          <w:lang w:val="pt-PT"/>
        </w:rPr>
        <w:t xml:space="preserve">a criação e implementação </w:t>
      </w:r>
      <w:r w:rsidRPr="00292532">
        <w:rPr>
          <w:rFonts w:eastAsia="Calibri" w:cs="Times New Roman"/>
          <w:lang w:val="pt-PT"/>
        </w:rPr>
        <w:t xml:space="preserve">de um Sistema de </w:t>
      </w:r>
      <w:proofErr w:type="spellStart"/>
      <w:r w:rsidRPr="00292532">
        <w:rPr>
          <w:rFonts w:eastAsia="Calibri" w:cs="Times New Roman"/>
          <w:lang w:val="pt-PT"/>
        </w:rPr>
        <w:t>Gestao</w:t>
      </w:r>
      <w:proofErr w:type="spellEnd"/>
      <w:r w:rsidRPr="00292532">
        <w:rPr>
          <w:rFonts w:eastAsia="Calibri" w:cs="Times New Roman"/>
          <w:lang w:val="pt-PT"/>
        </w:rPr>
        <w:t xml:space="preserve"> Ambiental e Social com a finalidade de integrar todas as recomendações e medidas propostas no</w:t>
      </w:r>
      <w:r w:rsidR="00250BCC">
        <w:rPr>
          <w:rFonts w:eastAsia="Calibri" w:cs="Times New Roman"/>
          <w:lang w:val="pt-PT"/>
        </w:rPr>
        <w:t>s</w:t>
      </w:r>
      <w:r w:rsidRPr="00292532">
        <w:rPr>
          <w:rFonts w:eastAsia="Calibri" w:cs="Times New Roman"/>
          <w:lang w:val="pt-PT"/>
        </w:rPr>
        <w:t xml:space="preserve"> vários instrumentos ambientais e social elaborados como parte do </w:t>
      </w:r>
      <w:proofErr w:type="spellStart"/>
      <w:r w:rsidRPr="00292532">
        <w:rPr>
          <w:rFonts w:eastAsia="Calibri" w:cs="Times New Roman"/>
          <w:lang w:val="pt-PT"/>
        </w:rPr>
        <w:t>actual</w:t>
      </w:r>
      <w:proofErr w:type="spellEnd"/>
      <w:r w:rsidRPr="00292532">
        <w:rPr>
          <w:rFonts w:eastAsia="Calibri" w:cs="Times New Roman"/>
          <w:lang w:val="pt-PT"/>
        </w:rPr>
        <w:t xml:space="preserve"> QGAS, no Quadro de Política de Reassentamento, Plano de Engajamento das Partes Interessadas e no Plano de Compromissos Ambientais e </w:t>
      </w:r>
      <w:r w:rsidR="00BA7A9C" w:rsidRPr="00292532">
        <w:rPr>
          <w:rFonts w:eastAsia="Calibri" w:cs="Times New Roman"/>
          <w:lang w:val="pt-PT"/>
        </w:rPr>
        <w:t xml:space="preserve">Sociais. </w:t>
      </w:r>
      <w:r w:rsidRPr="00292532">
        <w:rPr>
          <w:rFonts w:eastAsia="Calibri" w:cs="Times New Roman"/>
          <w:lang w:val="pt-PT"/>
        </w:rPr>
        <w:t>O Sistema de Gest</w:t>
      </w:r>
      <w:r w:rsidR="00BA7A9C">
        <w:rPr>
          <w:rFonts w:eastAsia="Calibri" w:cs="Times New Roman"/>
          <w:lang w:val="pt-PT"/>
        </w:rPr>
        <w:t>ã</w:t>
      </w:r>
      <w:r w:rsidRPr="00292532">
        <w:rPr>
          <w:rFonts w:eastAsia="Calibri" w:cs="Times New Roman"/>
          <w:lang w:val="pt-PT"/>
        </w:rPr>
        <w:t xml:space="preserve">o Ambiental e Social integrara igualmente as recomendações e medidas contidas em instrumentos a serem elaborados no futuramente </w:t>
      </w:r>
      <w:r w:rsidRPr="004500AE">
        <w:rPr>
          <w:rFonts w:eastAsia="Calibri" w:cs="Times New Roman"/>
          <w:lang w:val="pt-PT"/>
        </w:rPr>
        <w:t>(</w:t>
      </w:r>
      <w:r w:rsidRPr="00292532">
        <w:rPr>
          <w:rFonts w:eastAsia="Calibri" w:cs="Times New Roman"/>
          <w:lang w:val="pt-PT"/>
        </w:rPr>
        <w:t xml:space="preserve">p.e. Planos de </w:t>
      </w:r>
      <w:proofErr w:type="spellStart"/>
      <w:r w:rsidRPr="00292532">
        <w:rPr>
          <w:rFonts w:eastAsia="Calibri" w:cs="Times New Roman"/>
          <w:lang w:val="pt-PT"/>
        </w:rPr>
        <w:t>Gestao</w:t>
      </w:r>
      <w:proofErr w:type="spellEnd"/>
      <w:r w:rsidRPr="00292532">
        <w:rPr>
          <w:rFonts w:eastAsia="Calibri" w:cs="Times New Roman"/>
          <w:lang w:val="pt-PT"/>
        </w:rPr>
        <w:t xml:space="preserve"> Ambiental e Social dos subprojectos).</w:t>
      </w:r>
    </w:p>
    <w:p w14:paraId="30B3A5F0" w14:textId="13120F59" w:rsidR="004C0194" w:rsidRPr="00292532" w:rsidRDefault="004C0194" w:rsidP="004C0194">
      <w:pPr>
        <w:rPr>
          <w:rFonts w:eastAsia="Calibri" w:cs="Times New Roman"/>
          <w:lang w:val="pt-PT"/>
        </w:rPr>
      </w:pPr>
      <w:r w:rsidRPr="00292532">
        <w:rPr>
          <w:rFonts w:eastAsia="Calibri" w:cs="Times New Roman"/>
          <w:lang w:val="pt-PT"/>
        </w:rPr>
        <w:t xml:space="preserve">As estratégias e medidas a serem implementadas como parte do processo de reassentamento e indemnização de forma a minimizar os impactos do deslocamento físico e económico das comunidades </w:t>
      </w:r>
      <w:proofErr w:type="spellStart"/>
      <w:r w:rsidRPr="00292532">
        <w:rPr>
          <w:rFonts w:eastAsia="Calibri" w:cs="Times New Roman"/>
          <w:lang w:val="pt-PT"/>
        </w:rPr>
        <w:t>afectadas</w:t>
      </w:r>
      <w:proofErr w:type="spellEnd"/>
      <w:r w:rsidRPr="00292532">
        <w:rPr>
          <w:rFonts w:eastAsia="Calibri" w:cs="Times New Roman"/>
          <w:lang w:val="pt-PT"/>
        </w:rPr>
        <w:t xml:space="preserve"> são fornecidas no </w:t>
      </w:r>
      <w:r w:rsidR="001978AF" w:rsidRPr="00292532">
        <w:rPr>
          <w:rFonts w:eastAsia="Calibri" w:cs="Times New Roman"/>
          <w:lang w:val="pt-PT"/>
        </w:rPr>
        <w:t>PGAS</w:t>
      </w:r>
      <w:r w:rsidRPr="00292532">
        <w:rPr>
          <w:rFonts w:eastAsia="Calibri" w:cs="Times New Roman"/>
          <w:lang w:val="pt-PT"/>
        </w:rPr>
        <w:t xml:space="preserve"> genérico e com mais detalhe são fornecidas no Quadro da Política de Reassentamento (QPR). O QPR constitui um documento independente do QGAS.</w:t>
      </w:r>
    </w:p>
    <w:p w14:paraId="37DF6B1C" w14:textId="7601AC81" w:rsidR="00292532" w:rsidRPr="004500AE" w:rsidRDefault="00292532" w:rsidP="004C0194">
      <w:pPr>
        <w:rPr>
          <w:rFonts w:eastAsia="Calibri" w:cs="Times New Roman"/>
          <w:i/>
          <w:iCs/>
          <w:lang w:val="pt-PT"/>
        </w:rPr>
      </w:pPr>
      <w:r w:rsidRPr="004500AE">
        <w:rPr>
          <w:rFonts w:eastAsia="Calibri" w:cs="Times New Roman"/>
          <w:i/>
          <w:iCs/>
          <w:lang w:val="pt-PT"/>
        </w:rPr>
        <w:t>Procedimentos de Avaliação e Gestão Ambiental e Social dos subprojectos</w:t>
      </w:r>
    </w:p>
    <w:p w14:paraId="0D29E773" w14:textId="63DB428E" w:rsidR="00292532" w:rsidRPr="00292532" w:rsidRDefault="00292532" w:rsidP="004C0194">
      <w:pPr>
        <w:rPr>
          <w:rFonts w:eastAsia="Calibri" w:cs="Times New Roman"/>
          <w:lang w:val="pt-PT"/>
        </w:rPr>
      </w:pPr>
      <w:r w:rsidRPr="00292532">
        <w:rPr>
          <w:rFonts w:eastAsia="Calibri" w:cs="Times New Roman"/>
          <w:lang w:val="pt-PT"/>
        </w:rPr>
        <w:t xml:space="preserve">O QGAS pretende assegurar que os riscos e impactos ambientais e sociais negativos sejam </w:t>
      </w:r>
      <w:proofErr w:type="spellStart"/>
      <w:r w:rsidRPr="00292532">
        <w:rPr>
          <w:rFonts w:eastAsia="Calibri" w:cs="Times New Roman"/>
          <w:lang w:val="pt-PT"/>
        </w:rPr>
        <w:t>correctamente</w:t>
      </w:r>
      <w:proofErr w:type="spellEnd"/>
      <w:r w:rsidRPr="00292532">
        <w:rPr>
          <w:rFonts w:eastAsia="Calibri" w:cs="Times New Roman"/>
          <w:lang w:val="pt-PT"/>
        </w:rPr>
        <w:t xml:space="preserve"> geridos, obedecendo a hierarquia de mitigação e a maximização dos impactos positivos e os vários níveis de implementação do </w:t>
      </w:r>
      <w:proofErr w:type="spellStart"/>
      <w:r w:rsidRPr="00292532">
        <w:rPr>
          <w:rFonts w:eastAsia="Calibri" w:cs="Times New Roman"/>
          <w:lang w:val="pt-PT"/>
        </w:rPr>
        <w:t>projecto</w:t>
      </w:r>
      <w:proofErr w:type="spellEnd"/>
      <w:r w:rsidRPr="00292532">
        <w:rPr>
          <w:rFonts w:eastAsia="Calibri" w:cs="Times New Roman"/>
          <w:lang w:val="pt-PT"/>
        </w:rPr>
        <w:t xml:space="preserve"> e subprojectos. São definidos procedimentos a </w:t>
      </w:r>
      <w:proofErr w:type="spellStart"/>
      <w:r w:rsidRPr="00292532">
        <w:rPr>
          <w:rFonts w:eastAsia="Calibri" w:cs="Times New Roman"/>
          <w:lang w:val="pt-PT"/>
        </w:rPr>
        <w:t>adoptar</w:t>
      </w:r>
      <w:proofErr w:type="spellEnd"/>
      <w:r w:rsidRPr="00292532">
        <w:rPr>
          <w:rFonts w:eastAsia="Calibri" w:cs="Times New Roman"/>
          <w:lang w:val="pt-PT"/>
        </w:rPr>
        <w:t xml:space="preserve"> procedimentos a implementar ao longo de todo o ciclo do subprojecto, abrangendo a identificação, </w:t>
      </w:r>
      <w:proofErr w:type="spellStart"/>
      <w:r w:rsidRPr="00292532">
        <w:rPr>
          <w:rFonts w:eastAsia="Calibri" w:cs="Times New Roman"/>
          <w:lang w:val="pt-PT"/>
        </w:rPr>
        <w:t>concepção</w:t>
      </w:r>
      <w:proofErr w:type="spellEnd"/>
      <w:r w:rsidRPr="00292532">
        <w:rPr>
          <w:rFonts w:eastAsia="Calibri" w:cs="Times New Roman"/>
          <w:lang w:val="pt-PT"/>
        </w:rPr>
        <w:t>, aprovação, construção e implementação. A primeira etapa é a Triagem Ambiental e Social que visa assegurar que os subprojectos propostos sejam sujeitos ao tipo e extensão adequados de avaliação ambiental e social, proporcional aos potenciais riscos e impactos do subprojecto. Segue-se a preparação de instrumentos de avaliação e gestão ambiental e social e a monitorização da implementação das medidas de mitigação. Serão preparados relatórios semestrais e anuais sobre o desempenho ambiental e social do "</w:t>
      </w:r>
      <w:proofErr w:type="spellStart"/>
      <w:r w:rsidRPr="00292532">
        <w:rPr>
          <w:rFonts w:eastAsia="Calibri" w:cs="Times New Roman"/>
          <w:lang w:val="pt-PT"/>
        </w:rPr>
        <w:t>Projecto</w:t>
      </w:r>
      <w:proofErr w:type="spellEnd"/>
      <w:r w:rsidRPr="00292532">
        <w:rPr>
          <w:rFonts w:eastAsia="Calibri" w:cs="Times New Roman"/>
          <w:lang w:val="pt-PT"/>
        </w:rPr>
        <w:t xml:space="preserve"> Água Segura", que serão submetidos ao Banco Mundial, sujeitos a auditorias externas anuais, para verificação do desempenho do "</w:t>
      </w:r>
      <w:proofErr w:type="spellStart"/>
      <w:r w:rsidRPr="00292532">
        <w:rPr>
          <w:rFonts w:eastAsia="Calibri" w:cs="Times New Roman"/>
          <w:lang w:val="pt-PT"/>
        </w:rPr>
        <w:t>Projecto</w:t>
      </w:r>
      <w:proofErr w:type="spellEnd"/>
      <w:r w:rsidRPr="00292532">
        <w:rPr>
          <w:rFonts w:eastAsia="Calibri" w:cs="Times New Roman"/>
          <w:lang w:val="pt-PT"/>
        </w:rPr>
        <w:t xml:space="preserve"> Água </w:t>
      </w:r>
      <w:proofErr w:type="spellStart"/>
      <w:r w:rsidRPr="00292532">
        <w:rPr>
          <w:rFonts w:eastAsia="Calibri" w:cs="Times New Roman"/>
          <w:lang w:val="pt-PT"/>
        </w:rPr>
        <w:t>Segura"em</w:t>
      </w:r>
      <w:proofErr w:type="spellEnd"/>
      <w:r w:rsidRPr="00292532">
        <w:rPr>
          <w:rFonts w:eastAsia="Calibri" w:cs="Times New Roman"/>
          <w:lang w:val="pt-PT"/>
        </w:rPr>
        <w:t xml:space="preserve"> relação aos </w:t>
      </w:r>
      <w:proofErr w:type="spellStart"/>
      <w:r w:rsidRPr="00292532">
        <w:rPr>
          <w:rFonts w:eastAsia="Calibri" w:cs="Times New Roman"/>
          <w:lang w:val="pt-PT"/>
        </w:rPr>
        <w:t>objectivos</w:t>
      </w:r>
      <w:proofErr w:type="spellEnd"/>
      <w:r w:rsidRPr="00292532">
        <w:rPr>
          <w:rFonts w:eastAsia="Calibri" w:cs="Times New Roman"/>
          <w:lang w:val="pt-PT"/>
        </w:rPr>
        <w:t xml:space="preserve"> e metas declarados e para identificar áreas a melhorar. Prevê-se que esta auditoria seja realizada por um auditor </w:t>
      </w:r>
      <w:r w:rsidRPr="00292532">
        <w:rPr>
          <w:rFonts w:eastAsia="Calibri" w:cs="Times New Roman"/>
          <w:lang w:val="pt-PT"/>
        </w:rPr>
        <w:lastRenderedPageBreak/>
        <w:t>certificado pela AQUA (Agência Nacional para o Controlo de Qualidade Ambiental) e que o seu âmbito complemente o trabalho realizado pelo Banco Mundial.</w:t>
      </w:r>
    </w:p>
    <w:p w14:paraId="01190A16" w14:textId="6346CE7B" w:rsidR="00292532" w:rsidRPr="004500AE" w:rsidRDefault="00292532" w:rsidP="004C0194">
      <w:pPr>
        <w:rPr>
          <w:rFonts w:eastAsia="Calibri" w:cs="Times New Roman"/>
          <w:i/>
          <w:iCs/>
          <w:lang w:val="pt-PT"/>
        </w:rPr>
      </w:pPr>
      <w:r w:rsidRPr="004500AE">
        <w:rPr>
          <w:rFonts w:eastAsia="Calibri" w:cs="Times New Roman"/>
          <w:i/>
          <w:iCs/>
          <w:lang w:val="pt-PT"/>
        </w:rPr>
        <w:t>Organização Institucional para implementação do QGAS</w:t>
      </w:r>
    </w:p>
    <w:p w14:paraId="76F1B117" w14:textId="51FB2E91" w:rsidR="004C0194" w:rsidRPr="00292532" w:rsidRDefault="004C0194" w:rsidP="004C0194">
      <w:pPr>
        <w:rPr>
          <w:rFonts w:eastAsia="Calibri" w:cs="Times New Roman"/>
          <w:lang w:val="pt-PT"/>
        </w:rPr>
      </w:pPr>
      <w:r w:rsidRPr="00292532">
        <w:rPr>
          <w:rFonts w:eastAsia="Calibri" w:cs="Times New Roman"/>
          <w:lang w:val="pt-PT"/>
        </w:rPr>
        <w:t xml:space="preserve">O </w:t>
      </w:r>
      <w:proofErr w:type="spellStart"/>
      <w:r w:rsidRPr="00292532">
        <w:rPr>
          <w:rFonts w:eastAsia="Calibri" w:cs="Times New Roman"/>
          <w:lang w:val="pt-PT"/>
        </w:rPr>
        <w:t>projecto</w:t>
      </w:r>
      <w:proofErr w:type="spellEnd"/>
      <w:r w:rsidRPr="00292532">
        <w:rPr>
          <w:rFonts w:eastAsia="Calibri" w:cs="Times New Roman"/>
          <w:lang w:val="pt-PT"/>
        </w:rPr>
        <w:t xml:space="preserve"> será implementado pelo Ministério das Obras Públicas, Habitação e Recursos Hídricos (MOPHRH) através de uma estrutura baseada na </w:t>
      </w:r>
      <w:proofErr w:type="spellStart"/>
      <w:r w:rsidRPr="00292532">
        <w:rPr>
          <w:rFonts w:eastAsia="Calibri" w:cs="Times New Roman"/>
          <w:lang w:val="pt-PT"/>
        </w:rPr>
        <w:t>Direcção</w:t>
      </w:r>
      <w:proofErr w:type="spellEnd"/>
      <w:r w:rsidRPr="00292532">
        <w:rPr>
          <w:rFonts w:eastAsia="Calibri" w:cs="Times New Roman"/>
          <w:lang w:val="pt-PT"/>
        </w:rPr>
        <w:t xml:space="preserve"> Nacional de Abastecimento de Água e Saneamento (DNAAS), na </w:t>
      </w:r>
      <w:r w:rsidRPr="00292532">
        <w:rPr>
          <w:rFonts w:eastAsia="Calibri" w:cs="Times New Roman"/>
          <w:lang w:val="pt-PT" w:eastAsia="ja-JP"/>
        </w:rPr>
        <w:t>Administração de Infraestruturas de Água e Saneamento, Instituto Público (AIAS)</w:t>
      </w:r>
      <w:r w:rsidRPr="00292532">
        <w:rPr>
          <w:rFonts w:eastAsia="Calibri" w:cs="Times New Roman"/>
          <w:lang w:val="pt-PT"/>
        </w:rPr>
        <w:t>, na Autoridade Reguladora de Águas, Instituto Público</w:t>
      </w:r>
      <w:r w:rsidR="00FC245B">
        <w:rPr>
          <w:rFonts w:eastAsia="Calibri" w:cs="Times New Roman"/>
          <w:lang w:val="pt-PT"/>
        </w:rPr>
        <w:t xml:space="preserve"> (</w:t>
      </w:r>
      <w:r w:rsidR="00FC245B" w:rsidRPr="00292532">
        <w:rPr>
          <w:rFonts w:eastAsia="Calibri" w:cs="Times New Roman"/>
          <w:lang w:val="pt-PT"/>
        </w:rPr>
        <w:t>AURA, IP</w:t>
      </w:r>
      <w:r w:rsidRPr="00292532">
        <w:rPr>
          <w:rFonts w:eastAsia="Calibri" w:cs="Times New Roman"/>
          <w:lang w:val="pt-PT"/>
        </w:rPr>
        <w:t xml:space="preserve">) e nas </w:t>
      </w:r>
      <w:proofErr w:type="spellStart"/>
      <w:r w:rsidRPr="00292532">
        <w:rPr>
          <w:rFonts w:eastAsia="Calibri" w:cs="Times New Roman"/>
          <w:lang w:val="pt-PT"/>
        </w:rPr>
        <w:t>Direcções</w:t>
      </w:r>
      <w:proofErr w:type="spellEnd"/>
      <w:r w:rsidRPr="00292532">
        <w:rPr>
          <w:rFonts w:eastAsia="Calibri" w:cs="Times New Roman"/>
          <w:lang w:val="pt-PT"/>
        </w:rPr>
        <w:t xml:space="preserve"> Provinciais de Obras Públicas (DPOP) d</w:t>
      </w:r>
      <w:r w:rsidR="00FC245B">
        <w:rPr>
          <w:rFonts w:eastAsia="Calibri" w:cs="Times New Roman"/>
          <w:lang w:val="pt-PT"/>
        </w:rPr>
        <w:t>a</w:t>
      </w:r>
      <w:r w:rsidRPr="00292532">
        <w:rPr>
          <w:rFonts w:eastAsia="Calibri" w:cs="Times New Roman"/>
          <w:lang w:val="pt-PT"/>
        </w:rPr>
        <w:t xml:space="preserve"> Zambézia e Nampula.</w:t>
      </w:r>
    </w:p>
    <w:p w14:paraId="3123B572" w14:textId="1C36E60A" w:rsidR="004C0194" w:rsidRPr="00292532" w:rsidRDefault="004C0194" w:rsidP="004C0194">
      <w:pPr>
        <w:rPr>
          <w:rFonts w:eastAsia="Calibri" w:cs="Times New Roman"/>
          <w:color w:val="000000"/>
          <w:lang w:val="pt-PT" w:eastAsia="x-none"/>
        </w:rPr>
      </w:pPr>
      <w:r w:rsidRPr="00292532">
        <w:rPr>
          <w:rFonts w:eastAsia="Calibri" w:cs="Times New Roman"/>
          <w:lang w:val="pt-PT"/>
        </w:rPr>
        <w:t xml:space="preserve">Para a implementação </w:t>
      </w:r>
      <w:r w:rsidR="00292532" w:rsidRPr="00292532">
        <w:rPr>
          <w:rFonts w:eastAsia="Calibri" w:cs="Times New Roman"/>
          <w:lang w:val="pt-PT"/>
        </w:rPr>
        <w:t>do "</w:t>
      </w:r>
      <w:proofErr w:type="spellStart"/>
      <w:r w:rsidR="00292532" w:rsidRPr="00292532">
        <w:rPr>
          <w:rFonts w:eastAsia="Calibri" w:cs="Times New Roman"/>
          <w:lang w:val="pt-PT"/>
        </w:rPr>
        <w:t>Projecto</w:t>
      </w:r>
      <w:proofErr w:type="spellEnd"/>
      <w:r w:rsidR="00292532" w:rsidRPr="00292532">
        <w:rPr>
          <w:rFonts w:eastAsia="Calibri" w:cs="Times New Roman"/>
          <w:lang w:val="pt-PT"/>
        </w:rPr>
        <w:t xml:space="preserve"> Água Segura"</w:t>
      </w:r>
      <w:r w:rsidRPr="00292532">
        <w:rPr>
          <w:rFonts w:eastAsia="Calibri" w:cs="Times New Roman"/>
          <w:lang w:val="pt-PT"/>
        </w:rPr>
        <w:t>, ser</w:t>
      </w:r>
      <w:r w:rsidR="004A4606">
        <w:rPr>
          <w:rFonts w:eastAsia="Calibri" w:cs="Times New Roman"/>
          <w:lang w:val="pt-PT"/>
        </w:rPr>
        <w:t>ão</w:t>
      </w:r>
      <w:r w:rsidRPr="00292532">
        <w:rPr>
          <w:rFonts w:eastAsia="Calibri" w:cs="Times New Roman"/>
          <w:lang w:val="pt-PT"/>
        </w:rPr>
        <w:t xml:space="preserve"> estabelecida</w:t>
      </w:r>
      <w:r w:rsidR="004A4606">
        <w:rPr>
          <w:rFonts w:eastAsia="Calibri" w:cs="Times New Roman"/>
          <w:lang w:val="pt-PT"/>
        </w:rPr>
        <w:t>s</w:t>
      </w:r>
      <w:r w:rsidR="002C1923">
        <w:rPr>
          <w:rFonts w:eastAsia="Calibri" w:cs="Times New Roman"/>
          <w:lang w:val="pt-PT"/>
        </w:rPr>
        <w:t xml:space="preserve"> duas</w:t>
      </w:r>
      <w:r w:rsidRPr="00292532">
        <w:rPr>
          <w:rFonts w:eastAsia="Calibri" w:cs="Times New Roman"/>
          <w:lang w:val="pt-PT"/>
        </w:rPr>
        <w:t xml:space="preserve"> Unidade</w:t>
      </w:r>
      <w:r w:rsidR="00360BAC">
        <w:rPr>
          <w:rFonts w:eastAsia="Calibri" w:cs="Times New Roman"/>
          <w:lang w:val="pt-PT"/>
        </w:rPr>
        <w:t>s</w:t>
      </w:r>
      <w:r w:rsidRPr="00292532">
        <w:rPr>
          <w:rFonts w:eastAsia="Calibri" w:cs="Times New Roman"/>
          <w:lang w:val="pt-PT"/>
        </w:rPr>
        <w:t xml:space="preserve"> de Implementação do </w:t>
      </w:r>
      <w:proofErr w:type="spellStart"/>
      <w:r w:rsidRPr="00292532">
        <w:rPr>
          <w:rFonts w:eastAsia="Calibri" w:cs="Times New Roman"/>
          <w:lang w:val="pt-PT"/>
        </w:rPr>
        <w:t>Projecto</w:t>
      </w:r>
      <w:proofErr w:type="spellEnd"/>
      <w:r w:rsidRPr="00292532">
        <w:rPr>
          <w:rFonts w:eastAsia="Calibri" w:cs="Times New Roman"/>
          <w:lang w:val="pt-PT"/>
        </w:rPr>
        <w:t xml:space="preserve"> (UIP/DNAAS</w:t>
      </w:r>
      <w:r w:rsidR="002C1923">
        <w:rPr>
          <w:rFonts w:eastAsia="Calibri" w:cs="Times New Roman"/>
          <w:lang w:val="pt-PT"/>
        </w:rPr>
        <w:t xml:space="preserve"> e</w:t>
      </w:r>
      <w:r w:rsidR="004A4606">
        <w:rPr>
          <w:rFonts w:eastAsia="Calibri" w:cs="Times New Roman"/>
          <w:lang w:val="pt-PT"/>
        </w:rPr>
        <w:t xml:space="preserve"> UIP/AIAS</w:t>
      </w:r>
      <w:r w:rsidRPr="00292532">
        <w:rPr>
          <w:rFonts w:eastAsia="Calibri" w:cs="Times New Roman"/>
          <w:lang w:val="pt-PT"/>
        </w:rPr>
        <w:t>), apoiada</w:t>
      </w:r>
      <w:r w:rsidR="004A4606">
        <w:rPr>
          <w:rFonts w:eastAsia="Calibri" w:cs="Times New Roman"/>
          <w:lang w:val="pt-PT"/>
        </w:rPr>
        <w:t>s</w:t>
      </w:r>
      <w:r w:rsidRPr="00292532">
        <w:rPr>
          <w:rFonts w:eastAsia="Calibri" w:cs="Times New Roman"/>
          <w:lang w:val="pt-PT"/>
        </w:rPr>
        <w:t xml:space="preserve"> nas </w:t>
      </w:r>
      <w:proofErr w:type="spellStart"/>
      <w:r w:rsidRPr="00292532">
        <w:rPr>
          <w:rFonts w:eastAsia="Calibri" w:cs="Times New Roman"/>
          <w:lang w:val="pt-PT"/>
        </w:rPr>
        <w:t>UIP</w:t>
      </w:r>
      <w:r w:rsidR="00FC245B">
        <w:rPr>
          <w:rFonts w:eastAsia="Calibri" w:cs="Times New Roman"/>
          <w:lang w:val="pt-PT"/>
        </w:rPr>
        <w:t>’s</w:t>
      </w:r>
      <w:proofErr w:type="spellEnd"/>
      <w:r w:rsidRPr="00292532">
        <w:rPr>
          <w:rFonts w:eastAsia="Calibri" w:cs="Times New Roman"/>
          <w:lang w:val="pt-PT"/>
        </w:rPr>
        <w:t xml:space="preserve"> existentes</w:t>
      </w:r>
      <w:r w:rsidR="00336B2D">
        <w:rPr>
          <w:rFonts w:eastAsia="Calibri" w:cs="Times New Roman"/>
          <w:lang w:val="pt-PT"/>
        </w:rPr>
        <w:t xml:space="preserve"> do PSU</w:t>
      </w:r>
      <w:r w:rsidR="004A4606">
        <w:rPr>
          <w:rFonts w:eastAsia="Calibri" w:cs="Times New Roman"/>
          <w:lang w:val="pt-PT"/>
        </w:rPr>
        <w:t>,</w:t>
      </w:r>
      <w:r w:rsidR="00336B2D">
        <w:rPr>
          <w:rFonts w:eastAsia="Calibri" w:cs="Times New Roman"/>
          <w:lang w:val="pt-PT"/>
        </w:rPr>
        <w:t xml:space="preserve">  financiadas pelo Banco Mundial</w:t>
      </w:r>
      <w:r w:rsidRPr="00292532">
        <w:rPr>
          <w:rFonts w:eastAsia="Calibri" w:cs="Times New Roman"/>
          <w:lang w:val="pt-PT"/>
        </w:rPr>
        <w:t>, que reportar</w:t>
      </w:r>
      <w:r w:rsidR="004A4606">
        <w:rPr>
          <w:rFonts w:eastAsia="Calibri" w:cs="Times New Roman"/>
          <w:lang w:val="pt-PT"/>
        </w:rPr>
        <w:t>ão</w:t>
      </w:r>
      <w:r w:rsidRPr="00292532">
        <w:rPr>
          <w:rFonts w:eastAsia="Calibri" w:cs="Times New Roman"/>
          <w:lang w:val="pt-PT"/>
        </w:rPr>
        <w:t xml:space="preserve"> administrativamente ao </w:t>
      </w:r>
      <w:proofErr w:type="spellStart"/>
      <w:r w:rsidRPr="00292532">
        <w:rPr>
          <w:rFonts w:eastAsia="Calibri" w:cs="Times New Roman"/>
          <w:lang w:val="pt-PT"/>
        </w:rPr>
        <w:t>Director</w:t>
      </w:r>
      <w:proofErr w:type="spellEnd"/>
      <w:r w:rsidRPr="00292532">
        <w:rPr>
          <w:rFonts w:eastAsia="Calibri" w:cs="Times New Roman"/>
          <w:lang w:val="pt-PT"/>
        </w:rPr>
        <w:t xml:space="preserve"> Nacional</w:t>
      </w:r>
      <w:r w:rsidR="004A4606">
        <w:rPr>
          <w:rFonts w:eastAsia="Calibri" w:cs="Times New Roman"/>
          <w:lang w:val="pt-PT"/>
        </w:rPr>
        <w:t xml:space="preserve"> de Abastecimento de Água e Saneamento</w:t>
      </w:r>
      <w:r w:rsidR="002C1923">
        <w:rPr>
          <w:rFonts w:eastAsia="Calibri" w:cs="Times New Roman"/>
          <w:lang w:val="pt-PT"/>
        </w:rPr>
        <w:t xml:space="preserve"> e </w:t>
      </w:r>
      <w:r w:rsidR="004A4606">
        <w:rPr>
          <w:rFonts w:eastAsia="Calibri" w:cs="Times New Roman"/>
          <w:lang w:val="pt-PT"/>
        </w:rPr>
        <w:t xml:space="preserve">a </w:t>
      </w:r>
      <w:proofErr w:type="spellStart"/>
      <w:r w:rsidR="004A4606">
        <w:rPr>
          <w:rFonts w:eastAsia="Calibri" w:cs="Times New Roman"/>
          <w:lang w:val="pt-PT"/>
        </w:rPr>
        <w:t>Directora</w:t>
      </w:r>
      <w:proofErr w:type="spellEnd"/>
      <w:r w:rsidR="004A4606">
        <w:rPr>
          <w:rFonts w:eastAsia="Calibri" w:cs="Times New Roman"/>
          <w:lang w:val="pt-PT"/>
        </w:rPr>
        <w:t xml:space="preserve"> Executiva da AIAS, </w:t>
      </w:r>
      <w:proofErr w:type="spellStart"/>
      <w:r w:rsidR="004A4606">
        <w:rPr>
          <w:rFonts w:eastAsia="Calibri" w:cs="Times New Roman"/>
          <w:lang w:val="pt-PT"/>
        </w:rPr>
        <w:t>repectivamente</w:t>
      </w:r>
      <w:proofErr w:type="spellEnd"/>
      <w:r w:rsidR="004A4606">
        <w:rPr>
          <w:rFonts w:eastAsia="Calibri" w:cs="Times New Roman"/>
          <w:lang w:val="pt-PT"/>
        </w:rPr>
        <w:t>, e</w:t>
      </w:r>
      <w:r w:rsidRPr="00292532">
        <w:rPr>
          <w:rFonts w:eastAsia="Calibri" w:cs="Times New Roman"/>
          <w:lang w:val="pt-PT"/>
        </w:rPr>
        <w:t xml:space="preserve"> tecnicamente ao Departamento de </w:t>
      </w:r>
      <w:proofErr w:type="spellStart"/>
      <w:r w:rsidR="00336B2D">
        <w:rPr>
          <w:rFonts w:eastAsia="Calibri" w:cs="Times New Roman"/>
          <w:lang w:val="pt-PT"/>
        </w:rPr>
        <w:t>de</w:t>
      </w:r>
      <w:proofErr w:type="spellEnd"/>
      <w:r w:rsidR="00336B2D">
        <w:rPr>
          <w:rFonts w:eastAsia="Calibri" w:cs="Times New Roman"/>
          <w:lang w:val="pt-PT"/>
        </w:rPr>
        <w:t xml:space="preserve"> Abastecimento de Água</w:t>
      </w:r>
      <w:r w:rsidR="00336B2D" w:rsidRPr="00292532">
        <w:rPr>
          <w:rFonts w:eastAsia="Calibri" w:cs="Times New Roman"/>
          <w:lang w:val="pt-PT"/>
        </w:rPr>
        <w:t xml:space="preserve"> </w:t>
      </w:r>
      <w:r w:rsidRPr="00292532">
        <w:rPr>
          <w:rFonts w:eastAsia="Calibri" w:cs="Times New Roman"/>
          <w:lang w:val="pt-PT"/>
        </w:rPr>
        <w:t>(</w:t>
      </w:r>
      <w:r w:rsidR="00336B2D" w:rsidRPr="00292532">
        <w:rPr>
          <w:rFonts w:eastAsia="Calibri" w:cs="Times New Roman"/>
          <w:lang w:val="pt-PT"/>
        </w:rPr>
        <w:t>D</w:t>
      </w:r>
      <w:r w:rsidR="00336B2D">
        <w:rPr>
          <w:rFonts w:eastAsia="Calibri" w:cs="Times New Roman"/>
          <w:lang w:val="pt-PT"/>
        </w:rPr>
        <w:t>AA</w:t>
      </w:r>
      <w:r w:rsidRPr="00292532">
        <w:rPr>
          <w:rFonts w:eastAsia="Calibri" w:cs="Times New Roman"/>
          <w:lang w:val="pt-PT"/>
        </w:rPr>
        <w:t xml:space="preserve">) </w:t>
      </w:r>
      <w:r w:rsidR="00FC245B">
        <w:rPr>
          <w:rFonts w:eastAsia="Calibri" w:cs="Times New Roman"/>
          <w:lang w:val="pt-PT"/>
        </w:rPr>
        <w:t>na</w:t>
      </w:r>
      <w:r w:rsidR="002C1923">
        <w:rPr>
          <w:rFonts w:eastAsia="Calibri" w:cs="Times New Roman"/>
          <w:lang w:val="pt-PT"/>
        </w:rPr>
        <w:t xml:space="preserve"> </w:t>
      </w:r>
      <w:r w:rsidRPr="00292532">
        <w:rPr>
          <w:rFonts w:eastAsia="Calibri" w:cs="Times New Roman"/>
          <w:lang w:val="pt-PT"/>
        </w:rPr>
        <w:t>DNAAS</w:t>
      </w:r>
      <w:r w:rsidR="002C1923">
        <w:rPr>
          <w:rFonts w:eastAsia="Calibri" w:cs="Times New Roman"/>
          <w:lang w:val="pt-PT"/>
        </w:rPr>
        <w:t xml:space="preserve"> e </w:t>
      </w:r>
      <w:r w:rsidR="004A4606">
        <w:rPr>
          <w:rFonts w:eastAsia="Calibri" w:cs="Times New Roman"/>
          <w:lang w:val="pt-PT"/>
        </w:rPr>
        <w:t xml:space="preserve">ao </w:t>
      </w:r>
      <w:r w:rsidR="004A4606" w:rsidRPr="00292532">
        <w:rPr>
          <w:rFonts w:eastAsia="Calibri" w:cs="Times New Roman"/>
          <w:color w:val="000000"/>
          <w:lang w:val="pt-PT" w:eastAsia="x-none"/>
        </w:rPr>
        <w:t>Departamento de Controlo</w:t>
      </w:r>
      <w:r w:rsidR="002C1923">
        <w:rPr>
          <w:rFonts w:eastAsia="Calibri" w:cs="Times New Roman"/>
          <w:color w:val="000000"/>
          <w:lang w:val="pt-PT" w:eastAsia="x-none"/>
        </w:rPr>
        <w:t>,</w:t>
      </w:r>
      <w:r w:rsidR="004A4606" w:rsidRPr="00292532">
        <w:rPr>
          <w:rFonts w:eastAsia="Calibri" w:cs="Times New Roman"/>
          <w:color w:val="000000"/>
          <w:lang w:val="pt-PT" w:eastAsia="x-none"/>
        </w:rPr>
        <w:t xml:space="preserve"> Operações e Assistência Técnica (DCOAT)</w:t>
      </w:r>
      <w:r w:rsidR="004A4606">
        <w:rPr>
          <w:rFonts w:eastAsia="Calibri" w:cs="Times New Roman"/>
          <w:color w:val="000000"/>
          <w:lang w:val="pt-PT" w:eastAsia="x-none"/>
        </w:rPr>
        <w:t xml:space="preserve"> da AIAS</w:t>
      </w:r>
      <w:r w:rsidR="005C5630">
        <w:rPr>
          <w:rFonts w:eastAsia="Calibri" w:cs="Times New Roman"/>
          <w:color w:val="000000"/>
          <w:lang w:val="pt-PT" w:eastAsia="x-none"/>
        </w:rPr>
        <w:t xml:space="preserve">, </w:t>
      </w:r>
      <w:proofErr w:type="spellStart"/>
      <w:r w:rsidR="005C5630">
        <w:rPr>
          <w:rFonts w:eastAsia="Calibri" w:cs="Times New Roman"/>
          <w:color w:val="000000"/>
          <w:lang w:val="pt-PT" w:eastAsia="x-none"/>
        </w:rPr>
        <w:t>repectivamente</w:t>
      </w:r>
      <w:proofErr w:type="spellEnd"/>
      <w:r w:rsidR="002C1923">
        <w:rPr>
          <w:rFonts w:eastAsia="Calibri" w:cs="Times New Roman"/>
          <w:color w:val="000000"/>
          <w:lang w:val="pt-PT" w:eastAsia="x-none"/>
        </w:rPr>
        <w:t>.</w:t>
      </w:r>
    </w:p>
    <w:p w14:paraId="41F49415" w14:textId="0123E155" w:rsidR="004C0194" w:rsidRPr="00292532" w:rsidRDefault="004C0194" w:rsidP="004C0194">
      <w:pPr>
        <w:rPr>
          <w:rFonts w:eastAsia="Calibri" w:cs="Times New Roman"/>
          <w:lang w:val="pt-PT"/>
        </w:rPr>
      </w:pPr>
      <w:r w:rsidRPr="00292532">
        <w:rPr>
          <w:rFonts w:eastAsia="Calibri" w:cs="Times New Roman"/>
          <w:lang w:val="pt-PT"/>
        </w:rPr>
        <w:t xml:space="preserve">A AURA IP </w:t>
      </w:r>
      <w:r w:rsidR="002C1923">
        <w:rPr>
          <w:rFonts w:eastAsia="Calibri" w:cs="Times New Roman"/>
          <w:lang w:val="pt-PT"/>
        </w:rPr>
        <w:t>providenciará suporte à</w:t>
      </w:r>
      <w:r w:rsidRPr="00292532">
        <w:rPr>
          <w:rFonts w:eastAsia="Calibri" w:cs="Times New Roman"/>
          <w:lang w:val="pt-PT"/>
        </w:rPr>
        <w:t xml:space="preserve"> </w:t>
      </w:r>
      <w:proofErr w:type="spellStart"/>
      <w:r w:rsidR="005C5630">
        <w:rPr>
          <w:rFonts w:eastAsia="Calibri" w:cs="Times New Roman"/>
          <w:lang w:val="pt-PT"/>
        </w:rPr>
        <w:t>sub-</w:t>
      </w:r>
      <w:r w:rsidRPr="00292532">
        <w:rPr>
          <w:rFonts w:eastAsia="Calibri" w:cs="Times New Roman"/>
          <w:lang w:val="pt-PT"/>
        </w:rPr>
        <w:t>componente</w:t>
      </w:r>
      <w:proofErr w:type="spellEnd"/>
      <w:r w:rsidRPr="00292532">
        <w:rPr>
          <w:rFonts w:eastAsia="Calibri" w:cs="Times New Roman"/>
          <w:lang w:val="pt-PT"/>
        </w:rPr>
        <w:t xml:space="preserve"> de reforço da sustentabilidade dos serviços e apoio institucional de modo a estender o seu papel regulador às áreas rurais e sua consolidação em pequenas cidades, incluindo a revisões de modelos de contratos, modelos de tarifas e formas de subsídios para clientes de baixa renda, com o </w:t>
      </w:r>
      <w:proofErr w:type="spellStart"/>
      <w:r w:rsidRPr="00292532">
        <w:rPr>
          <w:rFonts w:eastAsia="Calibri" w:cs="Times New Roman"/>
          <w:lang w:val="pt-PT"/>
        </w:rPr>
        <w:t>objectivo</w:t>
      </w:r>
      <w:proofErr w:type="spellEnd"/>
      <w:r w:rsidRPr="00292532">
        <w:rPr>
          <w:rFonts w:eastAsia="Calibri" w:cs="Times New Roman"/>
          <w:lang w:val="pt-PT"/>
        </w:rPr>
        <w:t xml:space="preserve"> de melhorar o acesso inclusivo a serviços sustentáveis de abastecimento de água e saneamento.</w:t>
      </w:r>
    </w:p>
    <w:p w14:paraId="5EE1AFE9" w14:textId="6A581808" w:rsidR="004C0194" w:rsidRPr="00292532" w:rsidRDefault="00292532" w:rsidP="004C0194">
      <w:pPr>
        <w:rPr>
          <w:rFonts w:eastAsia="Calibri" w:cs="Times New Roman"/>
          <w:lang w:val="pt-PT"/>
        </w:rPr>
      </w:pPr>
      <w:r w:rsidRPr="00292532">
        <w:rPr>
          <w:rFonts w:eastAsia="Calibri" w:cs="Times New Roman"/>
          <w:lang w:val="pt-PT"/>
        </w:rPr>
        <w:t>S</w:t>
      </w:r>
      <w:r w:rsidR="004C0194" w:rsidRPr="00292532">
        <w:rPr>
          <w:rFonts w:eastAsia="Calibri" w:cs="Times New Roman"/>
          <w:lang w:val="pt-PT"/>
        </w:rPr>
        <w:t>erão</w:t>
      </w:r>
      <w:r w:rsidRPr="00292532">
        <w:rPr>
          <w:rFonts w:eastAsia="Calibri" w:cs="Times New Roman"/>
          <w:lang w:val="pt-PT"/>
        </w:rPr>
        <w:t xml:space="preserve"> ainda</w:t>
      </w:r>
      <w:r w:rsidR="004C0194" w:rsidRPr="00292532">
        <w:rPr>
          <w:rFonts w:eastAsia="Calibri" w:cs="Times New Roman"/>
          <w:lang w:val="pt-PT"/>
        </w:rPr>
        <w:t xml:space="preserve"> criadas Unidades Técnicas Provinciais (</w:t>
      </w:r>
      <w:proofErr w:type="spellStart"/>
      <w:r w:rsidR="004C0194" w:rsidRPr="00292532">
        <w:rPr>
          <w:rFonts w:eastAsia="Calibri" w:cs="Times New Roman"/>
          <w:lang w:val="pt-PT"/>
        </w:rPr>
        <w:t>UTP</w:t>
      </w:r>
      <w:r w:rsidR="00FC245B">
        <w:rPr>
          <w:rFonts w:eastAsia="Calibri" w:cs="Times New Roman"/>
          <w:lang w:val="pt-PT"/>
        </w:rPr>
        <w:t>’</w:t>
      </w:r>
      <w:r w:rsidR="004C0194" w:rsidRPr="00292532">
        <w:rPr>
          <w:rFonts w:eastAsia="Calibri" w:cs="Times New Roman"/>
          <w:lang w:val="pt-PT"/>
        </w:rPr>
        <w:t>s</w:t>
      </w:r>
      <w:proofErr w:type="spellEnd"/>
      <w:r w:rsidR="004C0194" w:rsidRPr="00292532">
        <w:rPr>
          <w:rFonts w:eastAsia="Calibri" w:cs="Times New Roman"/>
          <w:lang w:val="pt-PT"/>
        </w:rPr>
        <w:t xml:space="preserve">) nas DPOP da Zambézia e Nampula, responsáveis pela implementação de todas componentes do </w:t>
      </w:r>
      <w:proofErr w:type="spellStart"/>
      <w:r w:rsidR="004C0194" w:rsidRPr="00292532">
        <w:rPr>
          <w:rFonts w:eastAsia="Calibri" w:cs="Times New Roman"/>
          <w:lang w:val="pt-PT"/>
        </w:rPr>
        <w:t>projecto</w:t>
      </w:r>
      <w:proofErr w:type="spellEnd"/>
      <w:r w:rsidR="004C0194" w:rsidRPr="00292532">
        <w:rPr>
          <w:rFonts w:eastAsia="Calibri" w:cs="Times New Roman"/>
          <w:lang w:val="pt-PT"/>
        </w:rPr>
        <w:t xml:space="preserve"> a nível local. Essas unidades técnicas darão Assistência Técnica às autoridades distritais das áreas do </w:t>
      </w:r>
      <w:proofErr w:type="spellStart"/>
      <w:r w:rsidR="004C0194" w:rsidRPr="00292532">
        <w:rPr>
          <w:rFonts w:eastAsia="Calibri" w:cs="Times New Roman"/>
          <w:lang w:val="pt-PT"/>
        </w:rPr>
        <w:t>projecto</w:t>
      </w:r>
      <w:proofErr w:type="spellEnd"/>
      <w:r w:rsidR="005C5630">
        <w:rPr>
          <w:rFonts w:eastAsia="Calibri" w:cs="Times New Roman"/>
          <w:lang w:val="pt-PT"/>
        </w:rPr>
        <w:t xml:space="preserve">, com quem irão fazer a implementação das </w:t>
      </w:r>
      <w:proofErr w:type="spellStart"/>
      <w:r w:rsidR="005C5630">
        <w:rPr>
          <w:rFonts w:eastAsia="Calibri" w:cs="Times New Roman"/>
          <w:lang w:val="pt-PT"/>
        </w:rPr>
        <w:t>actividades</w:t>
      </w:r>
      <w:proofErr w:type="spellEnd"/>
      <w:r w:rsidR="005C5630">
        <w:rPr>
          <w:rFonts w:eastAsia="Calibri" w:cs="Times New Roman"/>
          <w:lang w:val="pt-PT"/>
        </w:rPr>
        <w:t xml:space="preserve"> do </w:t>
      </w:r>
      <w:proofErr w:type="spellStart"/>
      <w:r w:rsidR="005C5630">
        <w:rPr>
          <w:rFonts w:eastAsia="Calibri" w:cs="Times New Roman"/>
          <w:lang w:val="pt-PT"/>
        </w:rPr>
        <w:t>projecto</w:t>
      </w:r>
      <w:proofErr w:type="spellEnd"/>
      <w:r w:rsidR="005C5630">
        <w:rPr>
          <w:rFonts w:eastAsia="Calibri" w:cs="Times New Roman"/>
          <w:lang w:val="pt-PT"/>
        </w:rPr>
        <w:t xml:space="preserve"> ao nível local</w:t>
      </w:r>
      <w:r w:rsidR="004C0194" w:rsidRPr="00292532">
        <w:rPr>
          <w:rFonts w:eastAsia="Calibri" w:cs="Times New Roman"/>
          <w:lang w:val="pt-PT"/>
        </w:rPr>
        <w:t xml:space="preserve">, e os chefes dos Departamentos de Água e Saneamento serão os Coordenadores dessas </w:t>
      </w:r>
      <w:proofErr w:type="spellStart"/>
      <w:r w:rsidR="004C0194" w:rsidRPr="00292532">
        <w:rPr>
          <w:rFonts w:eastAsia="Calibri" w:cs="Times New Roman"/>
          <w:lang w:val="pt-PT"/>
        </w:rPr>
        <w:t>UTPs</w:t>
      </w:r>
      <w:proofErr w:type="spellEnd"/>
      <w:r w:rsidR="004C0194" w:rsidRPr="00292532">
        <w:rPr>
          <w:rFonts w:eastAsia="Calibri" w:cs="Times New Roman"/>
          <w:lang w:val="pt-PT"/>
        </w:rPr>
        <w:t>.</w:t>
      </w:r>
    </w:p>
    <w:p w14:paraId="1CF43CD1" w14:textId="744B78F5" w:rsidR="00292532" w:rsidRPr="00292532" w:rsidRDefault="00292532" w:rsidP="004C0194">
      <w:pPr>
        <w:rPr>
          <w:rFonts w:eastAsia="Calibri" w:cs="Times New Roman"/>
          <w:lang w:val="pt-PT"/>
        </w:rPr>
      </w:pPr>
      <w:r w:rsidRPr="00292532">
        <w:rPr>
          <w:rFonts w:eastAsia="Calibri" w:cs="Times New Roman"/>
          <w:lang w:val="pt-PT"/>
        </w:rPr>
        <w:t xml:space="preserve">Todos os intervenientes, mas principalmente os de nível provincial, e mais ainda os de nível distrital, irão precisar de participar em capacitações, incluindo </w:t>
      </w:r>
      <w:proofErr w:type="spellStart"/>
      <w:r w:rsidRPr="00292532">
        <w:rPr>
          <w:rFonts w:eastAsia="Calibri" w:cs="Times New Roman"/>
          <w:lang w:val="pt-PT"/>
        </w:rPr>
        <w:t>acções</w:t>
      </w:r>
      <w:proofErr w:type="spellEnd"/>
      <w:r w:rsidRPr="00292532">
        <w:rPr>
          <w:rFonts w:eastAsia="Calibri" w:cs="Times New Roman"/>
          <w:lang w:val="pt-PT"/>
        </w:rPr>
        <w:t xml:space="preserve"> de sensibilização, consciencialização e formação técnica. Deverá ser preparado um plano de treinamento detalhado, que preveja reforços regulares.</w:t>
      </w:r>
    </w:p>
    <w:p w14:paraId="1D1DCE21" w14:textId="77777777" w:rsidR="00292532" w:rsidRPr="004500AE" w:rsidRDefault="00292532" w:rsidP="00292532">
      <w:pPr>
        <w:rPr>
          <w:rFonts w:eastAsia="Calibri" w:cs="Times New Roman"/>
          <w:i/>
          <w:iCs/>
          <w:lang w:val="pt-PT"/>
        </w:rPr>
      </w:pPr>
      <w:r w:rsidRPr="004500AE">
        <w:rPr>
          <w:rFonts w:eastAsia="Calibri" w:cs="Times New Roman"/>
          <w:i/>
          <w:iCs/>
          <w:lang w:val="pt-PT"/>
        </w:rPr>
        <w:t>Consulta Pública e Participação das Partes Interessadas</w:t>
      </w:r>
    </w:p>
    <w:p w14:paraId="58FB7F03" w14:textId="6DEAE6BF" w:rsidR="00292532" w:rsidRDefault="00292532" w:rsidP="004C0194">
      <w:pPr>
        <w:rPr>
          <w:lang w:val="pt-PT"/>
        </w:rPr>
      </w:pPr>
      <w:r w:rsidRPr="00292532">
        <w:rPr>
          <w:lang w:val="pt-PT"/>
        </w:rPr>
        <w:t>O "</w:t>
      </w:r>
      <w:proofErr w:type="spellStart"/>
      <w:r w:rsidRPr="00292532">
        <w:rPr>
          <w:lang w:val="pt-PT"/>
        </w:rPr>
        <w:t>Projecto</w:t>
      </w:r>
      <w:proofErr w:type="spellEnd"/>
      <w:r w:rsidRPr="00292532">
        <w:rPr>
          <w:lang w:val="pt-PT"/>
        </w:rPr>
        <w:t xml:space="preserve"> Água Segura", foi </w:t>
      </w:r>
      <w:proofErr w:type="spellStart"/>
      <w:r w:rsidRPr="00292532">
        <w:rPr>
          <w:lang w:val="pt-PT"/>
        </w:rPr>
        <w:t>objecto</w:t>
      </w:r>
      <w:proofErr w:type="spellEnd"/>
      <w:r w:rsidRPr="00292532">
        <w:rPr>
          <w:lang w:val="pt-PT"/>
        </w:rPr>
        <w:t xml:space="preserve"> de um processo de consulta durante a fase de preparação, que terá continuidade na fase de implementação do </w:t>
      </w:r>
      <w:proofErr w:type="spellStart"/>
      <w:r w:rsidRPr="00292532">
        <w:rPr>
          <w:lang w:val="pt-PT"/>
        </w:rPr>
        <w:t>Projecto</w:t>
      </w:r>
      <w:proofErr w:type="spellEnd"/>
      <w:r w:rsidRPr="00292532">
        <w:rPr>
          <w:lang w:val="pt-PT"/>
        </w:rPr>
        <w:t xml:space="preserve">, conforme definido no </w:t>
      </w:r>
      <w:proofErr w:type="spellStart"/>
      <w:r w:rsidRPr="00292532">
        <w:rPr>
          <w:lang w:val="pt-PT"/>
        </w:rPr>
        <w:t>respectivo</w:t>
      </w:r>
      <w:proofErr w:type="spellEnd"/>
      <w:r w:rsidRPr="00292532">
        <w:rPr>
          <w:lang w:val="pt-PT"/>
        </w:rPr>
        <w:t xml:space="preserve"> Plano de Envolvimento de Partes Interessadas (PEPI). O "</w:t>
      </w:r>
      <w:proofErr w:type="spellStart"/>
      <w:r w:rsidRPr="00292532">
        <w:rPr>
          <w:lang w:val="pt-PT"/>
        </w:rPr>
        <w:t>Projecto</w:t>
      </w:r>
      <w:proofErr w:type="spellEnd"/>
      <w:r w:rsidRPr="00292532">
        <w:rPr>
          <w:lang w:val="pt-PT"/>
        </w:rPr>
        <w:t xml:space="preserve"> Água Segura", prevê que os instrumentos ambientais e sociais elaborados durante a fase de preparação e os mesmos sejam </w:t>
      </w:r>
      <w:proofErr w:type="spellStart"/>
      <w:r w:rsidRPr="00292532">
        <w:rPr>
          <w:lang w:val="pt-PT"/>
        </w:rPr>
        <w:t>objecto</w:t>
      </w:r>
      <w:proofErr w:type="spellEnd"/>
      <w:r w:rsidRPr="00292532">
        <w:rPr>
          <w:lang w:val="pt-PT"/>
        </w:rPr>
        <w:t xml:space="preserve"> de consulta pública, através de reuniões de consulta pública, reunião dos grupos focais, entrevistas individuais, e-mail, website, comunicação social. As consultas serão realizadas respeitando o Protocolo sobre Medidas de Prevenção do COVID-19 a Nível das </w:t>
      </w:r>
      <w:proofErr w:type="spellStart"/>
      <w:r w:rsidRPr="00292532">
        <w:rPr>
          <w:lang w:val="pt-PT"/>
        </w:rPr>
        <w:t>Actividades</w:t>
      </w:r>
      <w:proofErr w:type="spellEnd"/>
      <w:r w:rsidRPr="00292532">
        <w:rPr>
          <w:lang w:val="pt-PT"/>
        </w:rPr>
        <w:t xml:space="preserve"> Comunitárias, da DNAAS e DPOP da Zambézia e Nampula.</w:t>
      </w:r>
    </w:p>
    <w:p w14:paraId="67A3201A" w14:textId="77777777" w:rsidR="002C1923" w:rsidRPr="00292532" w:rsidRDefault="002C1923" w:rsidP="004C0194">
      <w:pPr>
        <w:rPr>
          <w:rFonts w:eastAsia="Calibri" w:cs="Times New Roman"/>
          <w:lang w:val="pt-PT"/>
        </w:rPr>
      </w:pPr>
    </w:p>
    <w:p w14:paraId="28199ECB" w14:textId="20317E02" w:rsidR="00292532" w:rsidRPr="00292532" w:rsidRDefault="00292532" w:rsidP="004C0194">
      <w:pPr>
        <w:rPr>
          <w:rFonts w:eastAsia="Calibri" w:cs="Times New Roman"/>
          <w:lang w:val="pt-PT"/>
        </w:rPr>
      </w:pPr>
      <w:r w:rsidRPr="004500AE">
        <w:rPr>
          <w:rFonts w:eastAsia="Calibri" w:cs="Times New Roman"/>
          <w:i/>
          <w:iCs/>
          <w:lang w:val="pt-PT"/>
        </w:rPr>
        <w:lastRenderedPageBreak/>
        <w:t>Orçamento</w:t>
      </w:r>
    </w:p>
    <w:p w14:paraId="25F849BB" w14:textId="4D68E297" w:rsidR="002B6CAE" w:rsidRPr="00292532" w:rsidRDefault="004C0194" w:rsidP="004C0194">
      <w:pPr>
        <w:pStyle w:val="Normal11"/>
        <w:rPr>
          <w:lang w:val="pt-PT"/>
        </w:rPr>
      </w:pPr>
      <w:r w:rsidRPr="00292532">
        <w:rPr>
          <w:lang w:val="pt-PT"/>
        </w:rPr>
        <w:t xml:space="preserve">Foi estimado o orçamento de implementação do QGAS do </w:t>
      </w:r>
      <w:proofErr w:type="spellStart"/>
      <w:r w:rsidRPr="00292532">
        <w:rPr>
          <w:lang w:val="pt-PT"/>
        </w:rPr>
        <w:t>Projecto</w:t>
      </w:r>
      <w:proofErr w:type="spellEnd"/>
      <w:r w:rsidRPr="00292532">
        <w:rPr>
          <w:lang w:val="pt-PT"/>
        </w:rPr>
        <w:t xml:space="preserve"> que visa assegurar recursos financeiros necessários para a implementação de </w:t>
      </w:r>
      <w:proofErr w:type="spellStart"/>
      <w:r w:rsidRPr="00292532">
        <w:rPr>
          <w:lang w:val="pt-PT"/>
        </w:rPr>
        <w:t>actividades</w:t>
      </w:r>
      <w:proofErr w:type="spellEnd"/>
      <w:r w:rsidRPr="00292532">
        <w:rPr>
          <w:lang w:val="pt-PT"/>
        </w:rPr>
        <w:t xml:space="preserve"> relacionadas com a aplicação das ferramentas de salvaguardas (gestão ambiental e social), incluindo reforço de capacidade das UIP. O custo total para a implementação do QGAS é de US$ </w:t>
      </w:r>
      <w:r w:rsidR="003625C7">
        <w:rPr>
          <w:lang w:val="pt-PT"/>
        </w:rPr>
        <w:t>4</w:t>
      </w:r>
      <w:r w:rsidRPr="00292532">
        <w:rPr>
          <w:lang w:val="pt-PT"/>
        </w:rPr>
        <w:t>.</w:t>
      </w:r>
      <w:r w:rsidR="00773891">
        <w:rPr>
          <w:lang w:val="pt-PT"/>
        </w:rPr>
        <w:t>966</w:t>
      </w:r>
      <w:r w:rsidRPr="00292532">
        <w:rPr>
          <w:lang w:val="pt-PT"/>
        </w:rPr>
        <w:t>.</w:t>
      </w:r>
      <w:r w:rsidR="00773891">
        <w:rPr>
          <w:lang w:val="pt-PT"/>
        </w:rPr>
        <w:t>6</w:t>
      </w:r>
      <w:r w:rsidRPr="00292532">
        <w:rPr>
          <w:lang w:val="pt-PT"/>
        </w:rPr>
        <w:t>00 Dólares Americanos.</w:t>
      </w:r>
      <w:r w:rsidR="00434FF6" w:rsidRPr="00292532">
        <w:rPr>
          <w:lang w:val="pt-PT"/>
        </w:rPr>
        <w:t xml:space="preserve"> Este custo prevê, entre outros, </w:t>
      </w:r>
      <w:r w:rsidR="002B6CAE" w:rsidRPr="00292532">
        <w:rPr>
          <w:lang w:val="pt-PT"/>
        </w:rPr>
        <w:t>os custos:</w:t>
      </w:r>
    </w:p>
    <w:p w14:paraId="2088D7C8" w14:textId="4CCAA7C9" w:rsidR="002B6CAE" w:rsidRPr="00292532" w:rsidRDefault="002B6CAE" w:rsidP="002B6CAE">
      <w:pPr>
        <w:pStyle w:val="Normal11"/>
        <w:numPr>
          <w:ilvl w:val="0"/>
          <w:numId w:val="196"/>
        </w:numPr>
        <w:rPr>
          <w:lang w:val="pt-PT"/>
        </w:rPr>
      </w:pPr>
      <w:r w:rsidRPr="00292532">
        <w:rPr>
          <w:lang w:val="pt-PT"/>
        </w:rPr>
        <w:t>Relativos a c</w:t>
      </w:r>
      <w:r w:rsidR="00434FF6" w:rsidRPr="00292532">
        <w:rPr>
          <w:lang w:val="pt-PT"/>
        </w:rPr>
        <w:t>ontrataç</w:t>
      </w:r>
      <w:r w:rsidR="00FC245B">
        <w:rPr>
          <w:lang w:val="pt-PT"/>
        </w:rPr>
        <w:t>ã</w:t>
      </w:r>
      <w:r w:rsidR="00434FF6" w:rsidRPr="00292532">
        <w:rPr>
          <w:lang w:val="pt-PT"/>
        </w:rPr>
        <w:t>o de recursos humanos para coordenar a implementação das recomendações contidas no presente QGAS, no Quadro de Política de Reassentamento</w:t>
      </w:r>
      <w:r w:rsidRPr="00292532">
        <w:rPr>
          <w:lang w:val="pt-PT"/>
        </w:rPr>
        <w:t xml:space="preserve"> </w:t>
      </w:r>
      <w:r w:rsidR="00434FF6" w:rsidRPr="00292532">
        <w:rPr>
          <w:lang w:val="pt-PT"/>
        </w:rPr>
        <w:t xml:space="preserve">e </w:t>
      </w:r>
      <w:r w:rsidRPr="00292532">
        <w:rPr>
          <w:lang w:val="pt-PT"/>
        </w:rPr>
        <w:t xml:space="preserve">do Plano de Compromissos Ambientais e Sociais. </w:t>
      </w:r>
    </w:p>
    <w:p w14:paraId="4CBE737D" w14:textId="198F9F36" w:rsidR="004C0194" w:rsidRPr="00292532" w:rsidRDefault="002B6CAE" w:rsidP="002B6CAE">
      <w:pPr>
        <w:pStyle w:val="Normal11"/>
        <w:numPr>
          <w:ilvl w:val="0"/>
          <w:numId w:val="196"/>
        </w:numPr>
        <w:rPr>
          <w:lang w:val="pt-PT"/>
        </w:rPr>
      </w:pPr>
      <w:r w:rsidRPr="00292532">
        <w:rPr>
          <w:lang w:val="pt-PT"/>
        </w:rPr>
        <w:t>De implementação do Mecanismo de Queixas e Reclamações proposto no Plano de Engajamento das Partes Interessadas, o Programa de Gestão de Relações comunitárias</w:t>
      </w:r>
    </w:p>
    <w:p w14:paraId="7F740C91" w14:textId="77777777" w:rsidR="002B6CAE" w:rsidRPr="00292532" w:rsidRDefault="002B6CAE" w:rsidP="002B6CAE">
      <w:pPr>
        <w:pStyle w:val="Normal11"/>
        <w:numPr>
          <w:ilvl w:val="0"/>
          <w:numId w:val="196"/>
        </w:numPr>
        <w:rPr>
          <w:lang w:val="pt-PT"/>
        </w:rPr>
      </w:pPr>
      <w:proofErr w:type="spellStart"/>
      <w:r w:rsidRPr="00292532">
        <w:rPr>
          <w:lang w:val="pt-PT"/>
        </w:rPr>
        <w:t>Preparaçao</w:t>
      </w:r>
      <w:proofErr w:type="spellEnd"/>
      <w:r w:rsidRPr="00292532">
        <w:rPr>
          <w:lang w:val="pt-PT"/>
        </w:rPr>
        <w:t xml:space="preserve"> e implementação do Plano de treinamento sobre a implementação dos instrumentos de gestão ambiental e social </w:t>
      </w:r>
    </w:p>
    <w:p w14:paraId="14AE10C0" w14:textId="6F65A3BA" w:rsidR="002B6CAE" w:rsidRPr="00292532" w:rsidRDefault="00292532" w:rsidP="002B6CAE">
      <w:pPr>
        <w:pStyle w:val="Normal11"/>
        <w:numPr>
          <w:ilvl w:val="0"/>
          <w:numId w:val="196"/>
        </w:numPr>
        <w:rPr>
          <w:lang w:val="pt-PT"/>
        </w:rPr>
      </w:pPr>
      <w:r w:rsidRPr="00292532">
        <w:rPr>
          <w:lang w:val="pt-PT"/>
        </w:rPr>
        <w:t>Preparação</w:t>
      </w:r>
      <w:r w:rsidR="002B6CAE" w:rsidRPr="00292532">
        <w:rPr>
          <w:lang w:val="pt-PT"/>
        </w:rPr>
        <w:t xml:space="preserve"> de instrumentos de Avaliação de Impacto Ambiental </w:t>
      </w:r>
      <w:r w:rsidR="002C1923">
        <w:rPr>
          <w:lang w:val="pt-PT"/>
        </w:rPr>
        <w:t xml:space="preserve">e Social, </w:t>
      </w:r>
      <w:r w:rsidR="002B6CAE" w:rsidRPr="00292532">
        <w:rPr>
          <w:lang w:val="pt-PT"/>
        </w:rPr>
        <w:t>e licenciamento ambiental.</w:t>
      </w:r>
    </w:p>
    <w:p w14:paraId="73B2F9E6" w14:textId="4FD7BEAA" w:rsidR="002B6CAE" w:rsidRPr="00292532" w:rsidRDefault="00292532" w:rsidP="002B6CAE">
      <w:pPr>
        <w:pStyle w:val="Normal11"/>
        <w:numPr>
          <w:ilvl w:val="0"/>
          <w:numId w:val="196"/>
        </w:numPr>
        <w:rPr>
          <w:lang w:val="pt-PT"/>
        </w:rPr>
      </w:pPr>
      <w:r w:rsidRPr="00292532">
        <w:rPr>
          <w:lang w:val="pt-PT"/>
        </w:rPr>
        <w:t>Criação</w:t>
      </w:r>
      <w:r w:rsidR="002B6CAE" w:rsidRPr="00292532">
        <w:rPr>
          <w:lang w:val="pt-PT"/>
        </w:rPr>
        <w:t xml:space="preserve"> e implementa</w:t>
      </w:r>
      <w:r w:rsidR="006B61CE">
        <w:rPr>
          <w:lang w:val="pt-PT"/>
        </w:rPr>
        <w:t xml:space="preserve">r </w:t>
      </w:r>
      <w:r w:rsidR="002B6CAE" w:rsidRPr="00292532">
        <w:rPr>
          <w:lang w:val="pt-PT"/>
        </w:rPr>
        <w:t>de um Sistema de Gestão Ambiental e Social.</w:t>
      </w:r>
    </w:p>
    <w:p w14:paraId="3AB77D91" w14:textId="77777777" w:rsidR="002B6CAE" w:rsidRPr="00292532" w:rsidRDefault="002B6CAE" w:rsidP="004500AE">
      <w:pPr>
        <w:pStyle w:val="Normal11"/>
        <w:ind w:left="720"/>
        <w:rPr>
          <w:lang w:val="pt-PT"/>
        </w:rPr>
      </w:pPr>
    </w:p>
    <w:p w14:paraId="589AA1D9" w14:textId="59F4C56A" w:rsidR="00541F7B" w:rsidRPr="00292532" w:rsidRDefault="00541F7B" w:rsidP="00032E3B">
      <w:pPr>
        <w:pStyle w:val="Normal11"/>
        <w:rPr>
          <w:lang w:val="pt-PT"/>
        </w:rPr>
      </w:pPr>
    </w:p>
    <w:p w14:paraId="39A97678" w14:textId="026C47AB" w:rsidR="004D648C" w:rsidRPr="00292532" w:rsidRDefault="004D648C" w:rsidP="007A42C5">
      <w:pPr>
        <w:rPr>
          <w:lang w:val="pt-PT"/>
        </w:rPr>
        <w:sectPr w:rsidR="004D648C" w:rsidRPr="00292532" w:rsidSect="00DF7F60">
          <w:pgSz w:w="11906" w:h="16838"/>
          <w:pgMar w:top="1417" w:right="2186" w:bottom="1417" w:left="1701" w:header="708" w:footer="708"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p>
    <w:p w14:paraId="54A0533F" w14:textId="77777777" w:rsidR="005D41BD" w:rsidRPr="004500AE" w:rsidRDefault="00CE2CE8" w:rsidP="000D7B05">
      <w:pPr>
        <w:pStyle w:val="Title"/>
        <w:rPr>
          <w:lang w:val="en-US"/>
        </w:rPr>
      </w:pPr>
      <w:r w:rsidRPr="004500AE">
        <w:rPr>
          <w:lang w:val="en-US"/>
        </w:rPr>
        <w:lastRenderedPageBreak/>
        <w:t>EXECUTIVE SUMMARY</w:t>
      </w:r>
      <w:bookmarkStart w:id="2" w:name="_Toc524272774"/>
      <w:bookmarkStart w:id="3" w:name="_Hlk516661265"/>
    </w:p>
    <w:p w14:paraId="36641249" w14:textId="77777777"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The Government of Mozambique (</w:t>
      </w:r>
      <w:proofErr w:type="spellStart"/>
      <w:r w:rsidRPr="00986ED4">
        <w:rPr>
          <w:rFonts w:eastAsia="Calibri" w:cs="Times New Roman"/>
          <w:lang w:val="en-US"/>
        </w:rPr>
        <w:t>GoM</w:t>
      </w:r>
      <w:proofErr w:type="spellEnd"/>
      <w:r w:rsidRPr="00986ED4">
        <w:rPr>
          <w:rFonts w:eastAsia="Calibri" w:cs="Times New Roman"/>
          <w:lang w:val="en-US"/>
        </w:rPr>
        <w:t xml:space="preserve">) through the Ministry of Public Works, Housing and Water Resources (MOPHRH) by means of the National Directorate of Water Supply and Sanitation (DNAAS), the Administration of Water and Sanitation Infrastructure (AIAS) and the Water Regulatory Authority (AURA, IP)  is preparing the Safe Water Project for Rural Areas and Villages (P 173518) hereinafter referred to as "Safe Water Project" or simply ''the Project'', with the aim of increasing access and improving the provision of water and sanitation in small towns and selected rural areas in </w:t>
      </w:r>
      <w:proofErr w:type="spellStart"/>
      <w:r w:rsidRPr="00986ED4">
        <w:rPr>
          <w:rFonts w:eastAsia="Calibri" w:cs="Times New Roman"/>
          <w:lang w:val="en-US"/>
        </w:rPr>
        <w:t>Zambézia</w:t>
      </w:r>
      <w:proofErr w:type="spellEnd"/>
      <w:r w:rsidRPr="00986ED4">
        <w:rPr>
          <w:rFonts w:eastAsia="Calibri" w:cs="Times New Roman"/>
          <w:lang w:val="en-US"/>
        </w:rPr>
        <w:t xml:space="preserve"> and Nampula Provinces.</w:t>
      </w:r>
    </w:p>
    <w:p w14:paraId="381E50C3" w14:textId="7F415203"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The Project responds to the Sustainable Development Goals (SDG) until 2030 on Drinking Water and Sanitation and aims to support subprojects to be implemented in the provinces of </w:t>
      </w:r>
      <w:proofErr w:type="spellStart"/>
      <w:r w:rsidRPr="00986ED4">
        <w:rPr>
          <w:rFonts w:eastAsia="Calibri" w:cs="Times New Roman"/>
          <w:lang w:val="en-US"/>
        </w:rPr>
        <w:t>Zambézia</w:t>
      </w:r>
      <w:proofErr w:type="spellEnd"/>
      <w:r w:rsidRPr="00986ED4">
        <w:rPr>
          <w:rFonts w:eastAsia="Calibri" w:cs="Times New Roman"/>
          <w:lang w:val="en-US"/>
        </w:rPr>
        <w:t xml:space="preserve"> and Nampula, in a total of </w:t>
      </w:r>
      <w:r w:rsidR="00DA29EE">
        <w:rPr>
          <w:rFonts w:eastAsia="Calibri" w:cs="Times New Roman"/>
          <w:lang w:val="en-US"/>
        </w:rPr>
        <w:t>18</w:t>
      </w:r>
      <w:r w:rsidRPr="00986ED4">
        <w:rPr>
          <w:rFonts w:eastAsia="Calibri" w:cs="Times New Roman"/>
          <w:lang w:val="en-US"/>
        </w:rPr>
        <w:t xml:space="preserve"> towns and small towns that will benefit from rehabilitation, improvement and expansion of water supply systems</w:t>
      </w:r>
      <w:r w:rsidR="00DA29EE">
        <w:rPr>
          <w:rFonts w:eastAsia="Calibri" w:cs="Times New Roman"/>
          <w:lang w:val="en-US"/>
        </w:rPr>
        <w:t xml:space="preserve"> and sanitation</w:t>
      </w:r>
      <w:r w:rsidRPr="00986ED4">
        <w:rPr>
          <w:rFonts w:eastAsia="Calibri" w:cs="Times New Roman"/>
          <w:lang w:val="en-US"/>
        </w:rPr>
        <w:t xml:space="preserve"> (8 in </w:t>
      </w:r>
      <w:proofErr w:type="spellStart"/>
      <w:r w:rsidRPr="00986ED4">
        <w:rPr>
          <w:rFonts w:eastAsia="Calibri" w:cs="Times New Roman"/>
          <w:lang w:val="en-US"/>
        </w:rPr>
        <w:t>Zambézia</w:t>
      </w:r>
      <w:proofErr w:type="spellEnd"/>
      <w:r w:rsidRPr="00986ED4">
        <w:rPr>
          <w:rFonts w:eastAsia="Calibri" w:cs="Times New Roman"/>
          <w:lang w:val="en-US"/>
        </w:rPr>
        <w:t xml:space="preserve"> and 1</w:t>
      </w:r>
      <w:r w:rsidR="00DA29EE">
        <w:rPr>
          <w:rFonts w:eastAsia="Calibri" w:cs="Times New Roman"/>
          <w:lang w:val="en-US"/>
        </w:rPr>
        <w:t>0</w:t>
      </w:r>
      <w:r w:rsidRPr="00986ED4">
        <w:rPr>
          <w:rFonts w:eastAsia="Calibri" w:cs="Times New Roman"/>
          <w:lang w:val="en-US"/>
        </w:rPr>
        <w:t xml:space="preserve"> in Nampula), and </w:t>
      </w:r>
      <w:r w:rsidR="00DA29EE">
        <w:rPr>
          <w:rFonts w:eastAsia="Calibri" w:cs="Times New Roman"/>
          <w:lang w:val="en-US"/>
        </w:rPr>
        <w:t>23</w:t>
      </w:r>
      <w:r w:rsidRPr="00986ED4">
        <w:rPr>
          <w:rFonts w:eastAsia="Calibri" w:cs="Times New Roman"/>
          <w:lang w:val="en-US"/>
        </w:rPr>
        <w:t xml:space="preserve"> localities (</w:t>
      </w:r>
      <w:r w:rsidR="00DA29EE">
        <w:rPr>
          <w:rFonts w:eastAsia="Calibri" w:cs="Times New Roman"/>
          <w:lang w:val="en-US"/>
        </w:rPr>
        <w:t>15</w:t>
      </w:r>
      <w:r w:rsidRPr="00986ED4">
        <w:rPr>
          <w:rFonts w:eastAsia="Calibri" w:cs="Times New Roman"/>
          <w:lang w:val="en-US"/>
        </w:rPr>
        <w:t xml:space="preserve"> in </w:t>
      </w:r>
      <w:proofErr w:type="spellStart"/>
      <w:r w:rsidRPr="00986ED4">
        <w:rPr>
          <w:rFonts w:eastAsia="Calibri" w:cs="Times New Roman"/>
          <w:lang w:val="en-US"/>
        </w:rPr>
        <w:t>Zambézia</w:t>
      </w:r>
      <w:proofErr w:type="spellEnd"/>
      <w:r w:rsidR="00E14ED4">
        <w:rPr>
          <w:rFonts w:eastAsia="Calibri" w:cs="Times New Roman"/>
          <w:lang w:val="en-US"/>
        </w:rPr>
        <w:t xml:space="preserve"> and 8</w:t>
      </w:r>
      <w:r w:rsidR="00E14ED4" w:rsidRPr="00986ED4">
        <w:rPr>
          <w:rFonts w:eastAsia="Calibri" w:cs="Times New Roman"/>
          <w:lang w:val="en-US"/>
        </w:rPr>
        <w:t xml:space="preserve"> in Nampula</w:t>
      </w:r>
      <w:r w:rsidRPr="00986ED4">
        <w:rPr>
          <w:rFonts w:eastAsia="Calibri" w:cs="Times New Roman"/>
          <w:lang w:val="en-US"/>
        </w:rPr>
        <w:t>) for investments in integrated water supply systems and sanitation services. Additionally, the Project will support the regulator, AURA,</w:t>
      </w:r>
      <w:r w:rsidR="00E14ED4">
        <w:rPr>
          <w:rFonts w:eastAsia="Calibri" w:cs="Times New Roman"/>
          <w:lang w:val="en-US"/>
        </w:rPr>
        <w:t xml:space="preserve"> </w:t>
      </w:r>
      <w:r w:rsidRPr="00986ED4">
        <w:rPr>
          <w:rFonts w:eastAsia="Calibri" w:cs="Times New Roman"/>
          <w:lang w:val="en-US"/>
        </w:rPr>
        <w:t>IP for the expansion of regulatory action to rural areas and strengthen regulatory models for villages</w:t>
      </w:r>
    </w:p>
    <w:p w14:paraId="7E0D254C" w14:textId="77777777"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It is estimated that 481,000 people in the villages and small towns will benefit from the project's interventions. In rural areas, 467,000 people are expected to benefit from the project's interventions.</w:t>
      </w:r>
    </w:p>
    <w:p w14:paraId="595CDA5B" w14:textId="62354A0F"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This Project competes for financing by the World Bank (WB) through Investment Project Financing (FPI), being necessary its development and execution in compliance with the Environmental and Social Safeguards (ESS) of the Environmental and Social Management Framework (ESMF) of the World </w:t>
      </w:r>
      <w:r w:rsidR="00E14ED4" w:rsidRPr="00986ED4">
        <w:rPr>
          <w:rFonts w:eastAsia="Calibri" w:cs="Times New Roman"/>
          <w:lang w:val="en-US"/>
        </w:rPr>
        <w:t>Bank</w:t>
      </w:r>
      <w:r w:rsidR="00E14ED4">
        <w:rPr>
          <w:rFonts w:eastAsia="Calibri" w:cs="Times New Roman"/>
          <w:lang w:val="en-US"/>
        </w:rPr>
        <w:t xml:space="preserve"> since</w:t>
      </w:r>
      <w:r w:rsidRPr="00986ED4">
        <w:rPr>
          <w:rFonts w:eastAsia="Calibri" w:cs="Times New Roman"/>
          <w:lang w:val="en-US"/>
        </w:rPr>
        <w:t xml:space="preserve"> it has the potential to create environmental and social risks and impacts in its receiving environment. In view of this, an Environmental and Social Management Framework (ESMF) should be prepared</w:t>
      </w:r>
      <w:r w:rsidR="001824ED">
        <w:rPr>
          <w:rFonts w:eastAsia="Calibri" w:cs="Times New Roman"/>
          <w:lang w:val="en-US"/>
        </w:rPr>
        <w:t xml:space="preserve"> which is an </w:t>
      </w:r>
      <w:r w:rsidR="00E14ED4">
        <w:rPr>
          <w:rFonts w:eastAsia="Calibri" w:cs="Times New Roman"/>
          <w:lang w:val="en-US"/>
        </w:rPr>
        <w:t xml:space="preserve">instrument </w:t>
      </w:r>
      <w:r w:rsidR="00E14ED4" w:rsidRPr="00986ED4">
        <w:rPr>
          <w:rFonts w:eastAsia="Calibri" w:cs="Times New Roman"/>
          <w:lang w:val="en-US"/>
        </w:rPr>
        <w:t>that</w:t>
      </w:r>
      <w:r w:rsidRPr="00986ED4">
        <w:rPr>
          <w:rFonts w:eastAsia="Calibri" w:cs="Times New Roman"/>
          <w:lang w:val="en-US"/>
        </w:rPr>
        <w:t xml:space="preserve"> examines the environmental and social risks and impacts of a project whose location of subprojects cannot be accurately determined, and therefore the risks and impacts cannot be determined until details of subprojects are identified.</w:t>
      </w:r>
    </w:p>
    <w:p w14:paraId="5A31B7BD" w14:textId="77777777"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The ESMF defines the principles, rules, </w:t>
      </w:r>
      <w:proofErr w:type="gramStart"/>
      <w:r w:rsidRPr="00986ED4">
        <w:rPr>
          <w:rFonts w:eastAsia="Calibri" w:cs="Times New Roman"/>
          <w:lang w:val="en-US"/>
        </w:rPr>
        <w:t>guidelines</w:t>
      </w:r>
      <w:proofErr w:type="gramEnd"/>
      <w:r w:rsidRPr="00986ED4">
        <w:rPr>
          <w:rFonts w:eastAsia="Calibri" w:cs="Times New Roman"/>
          <w:lang w:val="en-US"/>
        </w:rPr>
        <w:t xml:space="preserve"> and procedures to assess social and environmental risks and impacts. This instrument aims to ensure that subprojects are implemented in an environmentally and socially sustainable way and includes, on the one hand, an identification of potential environmental and social risks and impacts of subprojects, defines procedures for assessing environmental and social risks and impacts, and contains mitigation measures to reduce, mitigate and/or neutralize risks and adverse impacts, as well as information about the agency or bodies responsible for the project, including its capacity to manage the environmental and social risks and impacts</w:t>
      </w:r>
    </w:p>
    <w:p w14:paraId="4062AFF7" w14:textId="77777777"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The Project Development Objective (PDO) is to improve water availability and increase access to sustainably and safely managed water and sanitation services in rural areas and selected villages, and to support Mozambique to respond promptly and effectively to an eligible crisis or emergency. </w:t>
      </w:r>
    </w:p>
    <w:p w14:paraId="25057C8F" w14:textId="77777777" w:rsidR="00986ED4" w:rsidRPr="00941934" w:rsidRDefault="00986ED4" w:rsidP="00986ED4">
      <w:pPr>
        <w:spacing w:before="0" w:line="259" w:lineRule="auto"/>
        <w:rPr>
          <w:rFonts w:eastAsia="Calibri" w:cs="Times New Roman"/>
          <w:i/>
          <w:iCs/>
          <w:lang w:val="en-US"/>
        </w:rPr>
      </w:pPr>
      <w:r w:rsidRPr="00941934">
        <w:rPr>
          <w:rFonts w:eastAsia="Calibri" w:cs="Times New Roman"/>
          <w:i/>
          <w:iCs/>
          <w:lang w:val="en-US"/>
        </w:rPr>
        <w:t>Project Description</w:t>
      </w:r>
    </w:p>
    <w:p w14:paraId="5E884E04" w14:textId="77777777"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The Project is being designed in four different components, namely: </w:t>
      </w:r>
    </w:p>
    <w:p w14:paraId="2E25E804" w14:textId="42175497" w:rsidR="00986ED4" w:rsidRPr="00941934" w:rsidRDefault="00986ED4" w:rsidP="00941934">
      <w:pPr>
        <w:pStyle w:val="ListParagraph"/>
        <w:numPr>
          <w:ilvl w:val="0"/>
          <w:numId w:val="254"/>
        </w:numPr>
        <w:spacing w:before="0" w:line="259" w:lineRule="auto"/>
        <w:rPr>
          <w:rFonts w:eastAsia="Calibri" w:cs="Times New Roman"/>
          <w:lang w:val="en-US"/>
        </w:rPr>
      </w:pPr>
      <w:r w:rsidRPr="00941934">
        <w:rPr>
          <w:rFonts w:eastAsia="Calibri" w:cs="Times New Roman"/>
          <w:lang w:val="en-US"/>
        </w:rPr>
        <w:lastRenderedPageBreak/>
        <w:t>Component 1: Strengthening of water supply and sanitation services in towns and small towns</w:t>
      </w:r>
    </w:p>
    <w:p w14:paraId="7F429EE4" w14:textId="1414F555" w:rsidR="00986ED4" w:rsidRPr="00941934" w:rsidRDefault="00986ED4" w:rsidP="00941934">
      <w:pPr>
        <w:pStyle w:val="ListParagraph"/>
        <w:numPr>
          <w:ilvl w:val="0"/>
          <w:numId w:val="254"/>
        </w:numPr>
        <w:spacing w:before="0" w:line="259" w:lineRule="auto"/>
        <w:rPr>
          <w:rFonts w:eastAsia="Calibri" w:cs="Times New Roman"/>
          <w:lang w:val="en-US"/>
        </w:rPr>
      </w:pPr>
      <w:r w:rsidRPr="00941934">
        <w:rPr>
          <w:rFonts w:eastAsia="Calibri" w:cs="Times New Roman"/>
          <w:lang w:val="en-US"/>
        </w:rPr>
        <w:t>Component 2: Strengthening water supply and sanitation services in rural areas</w:t>
      </w:r>
    </w:p>
    <w:p w14:paraId="39D68EEF" w14:textId="03147481" w:rsidR="00986ED4" w:rsidRPr="00941934" w:rsidRDefault="00986ED4" w:rsidP="00941934">
      <w:pPr>
        <w:pStyle w:val="ListParagraph"/>
        <w:numPr>
          <w:ilvl w:val="0"/>
          <w:numId w:val="254"/>
        </w:numPr>
        <w:spacing w:before="0" w:line="259" w:lineRule="auto"/>
        <w:rPr>
          <w:rFonts w:eastAsia="Calibri" w:cs="Times New Roman"/>
          <w:lang w:val="en-US"/>
        </w:rPr>
      </w:pPr>
      <w:r w:rsidRPr="00941934">
        <w:rPr>
          <w:rFonts w:eastAsia="Calibri" w:cs="Times New Roman"/>
          <w:lang w:val="en-US"/>
        </w:rPr>
        <w:t xml:space="preserve">Component 3: Institutional </w:t>
      </w:r>
      <w:r w:rsidR="00DA29EE">
        <w:rPr>
          <w:rFonts w:eastAsia="Calibri" w:cs="Times New Roman"/>
          <w:lang w:val="en-US"/>
        </w:rPr>
        <w:t xml:space="preserve">development </w:t>
      </w:r>
      <w:r w:rsidRPr="00941934">
        <w:rPr>
          <w:rFonts w:eastAsia="Calibri" w:cs="Times New Roman"/>
          <w:lang w:val="en-US"/>
        </w:rPr>
        <w:t>and project management support</w:t>
      </w:r>
    </w:p>
    <w:p w14:paraId="77363545" w14:textId="42C63C4D" w:rsidR="00986ED4" w:rsidRPr="00941934" w:rsidRDefault="00986ED4" w:rsidP="00941934">
      <w:pPr>
        <w:pStyle w:val="ListParagraph"/>
        <w:numPr>
          <w:ilvl w:val="0"/>
          <w:numId w:val="254"/>
        </w:numPr>
        <w:spacing w:before="0" w:line="259" w:lineRule="auto"/>
        <w:rPr>
          <w:rFonts w:eastAsia="Calibri" w:cs="Times New Roman"/>
          <w:lang w:val="en-US"/>
        </w:rPr>
      </w:pPr>
      <w:r w:rsidRPr="00941934">
        <w:rPr>
          <w:rFonts w:eastAsia="Calibri" w:cs="Times New Roman"/>
          <w:lang w:val="en-US"/>
        </w:rPr>
        <w:t>Component 4: Response to emergencies and contingencies</w:t>
      </w:r>
    </w:p>
    <w:p w14:paraId="75A69F16" w14:textId="621AE02E"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Additional interventions are also planned with grants to be allocated to the Provincial Executive </w:t>
      </w:r>
      <w:r w:rsidR="00E14ED4" w:rsidRPr="00986ED4">
        <w:rPr>
          <w:rFonts w:eastAsia="Calibri" w:cs="Times New Roman"/>
          <w:lang w:val="en-US"/>
        </w:rPr>
        <w:t>Councils for</w:t>
      </w:r>
      <w:r w:rsidRPr="00986ED4">
        <w:rPr>
          <w:rFonts w:eastAsia="Calibri" w:cs="Times New Roman"/>
          <w:lang w:val="en-US"/>
        </w:rPr>
        <w:t xml:space="preserve"> the construction </w:t>
      </w:r>
      <w:r w:rsidR="001E4B2C" w:rsidRPr="00986ED4">
        <w:rPr>
          <w:rFonts w:eastAsia="Calibri" w:cs="Times New Roman"/>
          <w:lang w:val="en-US"/>
        </w:rPr>
        <w:t>of 250</w:t>
      </w:r>
      <w:r w:rsidRPr="00986ED4">
        <w:rPr>
          <w:rFonts w:eastAsia="Calibri" w:cs="Times New Roman"/>
          <w:lang w:val="en-US"/>
        </w:rPr>
        <w:t xml:space="preserve"> dispersed water supply sources and 75 institutional sanitation infrastructures (priority will be given to school sanitation) including community preparatory actions in each of the two intervention provinces.</w:t>
      </w:r>
    </w:p>
    <w:p w14:paraId="1431F51F" w14:textId="77777777" w:rsidR="00986ED4" w:rsidRPr="00941934" w:rsidRDefault="00986ED4" w:rsidP="00986ED4">
      <w:pPr>
        <w:spacing w:before="0" w:line="259" w:lineRule="auto"/>
        <w:rPr>
          <w:rFonts w:eastAsia="Calibri" w:cs="Times New Roman"/>
          <w:i/>
          <w:iCs/>
          <w:lang w:val="en-US"/>
        </w:rPr>
      </w:pPr>
      <w:r w:rsidRPr="00941934">
        <w:rPr>
          <w:rFonts w:eastAsia="Calibri" w:cs="Times New Roman"/>
          <w:i/>
          <w:iCs/>
          <w:lang w:val="en-US"/>
        </w:rPr>
        <w:t>Legal and Institutional Framework</w:t>
      </w:r>
    </w:p>
    <w:p w14:paraId="5B956FEA" w14:textId="2946FA74"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The country is proficient in legislation on the issues of assessment, environmental and social management, land, spatial planning, biodiversity, water resources, natural disasters, climate change, environmental quality, labor aspects, occupational health and safety, social </w:t>
      </w:r>
      <w:proofErr w:type="gramStart"/>
      <w:r w:rsidRPr="00986ED4">
        <w:rPr>
          <w:rFonts w:eastAsia="Calibri" w:cs="Times New Roman"/>
          <w:lang w:val="en-US"/>
        </w:rPr>
        <w:t>protection</w:t>
      </w:r>
      <w:proofErr w:type="gramEnd"/>
      <w:r w:rsidRPr="00986ED4">
        <w:rPr>
          <w:rFonts w:eastAsia="Calibri" w:cs="Times New Roman"/>
          <w:lang w:val="en-US"/>
        </w:rPr>
        <w:t xml:space="preserve"> and heritage cultural. For this ESM</w:t>
      </w:r>
      <w:r w:rsidR="002C1923">
        <w:rPr>
          <w:rFonts w:eastAsia="Calibri" w:cs="Times New Roman"/>
          <w:lang w:val="en-US"/>
        </w:rPr>
        <w:t>F</w:t>
      </w:r>
      <w:r w:rsidRPr="00986ED4">
        <w:rPr>
          <w:rFonts w:eastAsia="Calibri" w:cs="Times New Roman"/>
          <w:lang w:val="en-US"/>
        </w:rPr>
        <w:t>, in addition to the legislation on the Environmental Impact Assessment Process, which establishes the standards for the environmental assessment process, the legal provisions related to the activities of Component 1 and 2 deserve special attention, (i) the Law of Land and its regulations, (i) the Law on Conservation and Forests and Wildlife the respective regulations (iii) and the legal diplomas relating to the Environmental Quality and Effluent Emission Standards,</w:t>
      </w:r>
      <w:r w:rsidR="001824ED">
        <w:rPr>
          <w:rFonts w:eastAsia="Calibri" w:cs="Times New Roman"/>
          <w:lang w:val="en-US"/>
        </w:rPr>
        <w:t xml:space="preserve"> solid waste management and pollution prevention, and finally (iv) Decrees about Social Protection that consider the </w:t>
      </w:r>
      <w:proofErr w:type="spellStart"/>
      <w:r w:rsidR="001824ED">
        <w:rPr>
          <w:rFonts w:eastAsia="Calibri" w:cs="Times New Roman"/>
          <w:lang w:val="en-US"/>
        </w:rPr>
        <w:t>labour</w:t>
      </w:r>
      <w:proofErr w:type="spellEnd"/>
      <w:r w:rsidR="001824ED">
        <w:rPr>
          <w:rFonts w:eastAsia="Calibri" w:cs="Times New Roman"/>
          <w:lang w:val="en-US"/>
        </w:rPr>
        <w:t xml:space="preserve"> legislation and occupational health.</w:t>
      </w:r>
    </w:p>
    <w:p w14:paraId="0EF3530E" w14:textId="77777777" w:rsidR="00986ED4" w:rsidRPr="00941934" w:rsidRDefault="00986ED4" w:rsidP="00986ED4">
      <w:pPr>
        <w:spacing w:before="0" w:line="259" w:lineRule="auto"/>
        <w:rPr>
          <w:rFonts w:eastAsia="Calibri" w:cs="Times New Roman"/>
          <w:i/>
          <w:iCs/>
          <w:lang w:val="en-US"/>
        </w:rPr>
      </w:pPr>
      <w:r w:rsidRPr="00941934">
        <w:rPr>
          <w:rFonts w:eastAsia="Calibri" w:cs="Times New Roman"/>
          <w:i/>
          <w:iCs/>
          <w:lang w:val="en-US"/>
        </w:rPr>
        <w:t>World Bank Environmental and Social Framework</w:t>
      </w:r>
    </w:p>
    <w:p w14:paraId="3170A26F" w14:textId="11ABB653"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The World Bank Group made its Environmental and Social Framework (ES</w:t>
      </w:r>
      <w:r w:rsidR="00742175">
        <w:rPr>
          <w:rFonts w:eastAsia="Calibri" w:cs="Times New Roman"/>
          <w:lang w:val="en-US"/>
        </w:rPr>
        <w:t>F</w:t>
      </w:r>
      <w:r w:rsidRPr="00986ED4">
        <w:rPr>
          <w:rFonts w:eastAsia="Calibri" w:cs="Times New Roman"/>
          <w:lang w:val="en-US"/>
        </w:rPr>
        <w:t>) effective</w:t>
      </w:r>
      <w:r w:rsidR="00742175" w:rsidRPr="00742175">
        <w:rPr>
          <w:rFonts w:eastAsia="Calibri" w:cs="Times New Roman"/>
          <w:lang w:val="en-US"/>
        </w:rPr>
        <w:t xml:space="preserve"> in 2018</w:t>
      </w:r>
      <w:r w:rsidRPr="00986ED4">
        <w:rPr>
          <w:rFonts w:eastAsia="Calibri" w:cs="Times New Roman"/>
          <w:lang w:val="en-US"/>
        </w:rPr>
        <w:t>, which conveys its vision and environmental and social policy for the financing of Investment projects, complemented by a set of ten Environmental and Social Standards (NAS) which assist in the project's implementation, in the management of risks and impacts and in the improvement of its environmental and social performance, through a strategy based on risks and results. The following table shows the standards and their applicability to the "Safe Water Project".</w:t>
      </w:r>
    </w:p>
    <w:tbl>
      <w:tblPr>
        <w:tblStyle w:val="GridTable2-Accent11"/>
        <w:tblpPr w:leftFromText="180" w:rightFromText="180" w:vertAnchor="text" w:horzAnchor="margin" w:tblpY="272"/>
        <w:tblW w:w="8725" w:type="dxa"/>
        <w:tblLayout w:type="fixed"/>
        <w:tblLook w:val="01E0" w:firstRow="1" w:lastRow="1" w:firstColumn="1" w:lastColumn="1" w:noHBand="0" w:noVBand="0"/>
      </w:tblPr>
      <w:tblGrid>
        <w:gridCol w:w="6475"/>
        <w:gridCol w:w="2235"/>
        <w:gridCol w:w="15"/>
      </w:tblGrid>
      <w:tr w:rsidR="00213D64" w:rsidRPr="00213D64" w14:paraId="753126ED" w14:textId="77777777" w:rsidTr="00E14ED4">
        <w:trPr>
          <w:gridAfter w:val="1"/>
          <w:cnfStyle w:val="100000000000" w:firstRow="1" w:lastRow="0" w:firstColumn="0" w:lastColumn="0" w:oddVBand="0" w:evenVBand="0" w:oddHBand="0" w:evenHBand="0" w:firstRowFirstColumn="0" w:firstRowLastColumn="0" w:lastRowFirstColumn="0" w:lastRowLastColumn="0"/>
          <w:wAfter w:w="15" w:type="dxa"/>
          <w:trHeight w:val="326"/>
        </w:trPr>
        <w:tc>
          <w:tcPr>
            <w:cnfStyle w:val="001000000000" w:firstRow="0" w:lastRow="0" w:firstColumn="1" w:lastColumn="0" w:oddVBand="0" w:evenVBand="0" w:oddHBand="0" w:evenHBand="0" w:firstRowFirstColumn="0" w:firstRowLastColumn="0" w:lastRowFirstColumn="0" w:lastRowLastColumn="0"/>
            <w:tcW w:w="6475" w:type="dxa"/>
            <w:tcBorders>
              <w:top w:val="single" w:sz="4" w:space="0" w:color="auto"/>
              <w:left w:val="single" w:sz="4" w:space="0" w:color="auto"/>
            </w:tcBorders>
          </w:tcPr>
          <w:p w14:paraId="0CA7D4E4" w14:textId="4873EA68" w:rsidR="00213D64" w:rsidRPr="00213D64" w:rsidRDefault="00213D64" w:rsidP="00213D64">
            <w:pPr>
              <w:spacing w:before="0"/>
              <w:rPr>
                <w:rFonts w:asciiTheme="minorHAnsi" w:hAnsiTheme="minorHAnsi" w:cstheme="minorHAnsi"/>
                <w:sz w:val="18"/>
                <w:szCs w:val="18"/>
                <w:lang w:val="pt-PT"/>
              </w:rPr>
            </w:pPr>
            <w:r w:rsidRPr="0072313C">
              <w:rPr>
                <w:rFonts w:eastAsia="Calibri" w:cs="Times New Roman"/>
                <w:lang w:val="en-US"/>
              </w:rPr>
              <w:t>Environmental and Social Standards</w:t>
            </w:r>
          </w:p>
        </w:tc>
        <w:tc>
          <w:tcPr>
            <w:cnfStyle w:val="000100000000" w:firstRow="0" w:lastRow="0" w:firstColumn="0" w:lastColumn="1" w:oddVBand="0" w:evenVBand="0" w:oddHBand="0" w:evenHBand="0" w:firstRowFirstColumn="0" w:firstRowLastColumn="0" w:lastRowFirstColumn="0" w:lastRowLastColumn="0"/>
            <w:tcW w:w="2235" w:type="dxa"/>
            <w:tcBorders>
              <w:top w:val="single" w:sz="4" w:space="0" w:color="auto"/>
              <w:right w:val="single" w:sz="4" w:space="0" w:color="auto"/>
            </w:tcBorders>
          </w:tcPr>
          <w:p w14:paraId="1D9EEE85" w14:textId="0234C516" w:rsidR="00213D64" w:rsidRPr="00213D64" w:rsidRDefault="00213D64" w:rsidP="00941934">
            <w:pPr>
              <w:spacing w:before="0"/>
              <w:jc w:val="center"/>
              <w:rPr>
                <w:rFonts w:asciiTheme="minorHAnsi" w:hAnsiTheme="minorHAnsi" w:cstheme="minorHAnsi"/>
                <w:sz w:val="18"/>
                <w:szCs w:val="18"/>
                <w:lang w:val="pt-PT"/>
              </w:rPr>
            </w:pPr>
            <w:r w:rsidRPr="0072313C">
              <w:rPr>
                <w:rFonts w:eastAsia="Calibri" w:cs="Times New Roman"/>
                <w:lang w:val="en-US"/>
              </w:rPr>
              <w:t>Applicability</w:t>
            </w:r>
          </w:p>
        </w:tc>
      </w:tr>
      <w:tr w:rsidR="00213D64" w:rsidRPr="00213D64" w14:paraId="3541939A" w14:textId="77777777" w:rsidTr="00E14ED4">
        <w:trPr>
          <w:gridAfter w:val="1"/>
          <w:cnfStyle w:val="000000100000" w:firstRow="0" w:lastRow="0" w:firstColumn="0" w:lastColumn="0" w:oddVBand="0" w:evenVBand="0" w:oddHBand="1" w:evenHBand="0" w:firstRowFirstColumn="0" w:firstRowLastColumn="0" w:lastRowFirstColumn="0" w:lastRowLastColumn="0"/>
          <w:wAfter w:w="15" w:type="dxa"/>
          <w:trHeight w:val="325"/>
        </w:trPr>
        <w:tc>
          <w:tcPr>
            <w:cnfStyle w:val="001000000000" w:firstRow="0" w:lastRow="0" w:firstColumn="1" w:lastColumn="0" w:oddVBand="0" w:evenVBand="0" w:oddHBand="0" w:evenHBand="0" w:firstRowFirstColumn="0" w:firstRowLastColumn="0" w:lastRowFirstColumn="0" w:lastRowLastColumn="0"/>
            <w:tcW w:w="6475" w:type="dxa"/>
            <w:tcBorders>
              <w:left w:val="single" w:sz="4" w:space="0" w:color="auto"/>
            </w:tcBorders>
          </w:tcPr>
          <w:p w14:paraId="79AF3E4A" w14:textId="2FC80776" w:rsidR="00213D64" w:rsidRPr="00941934" w:rsidRDefault="00213D64" w:rsidP="00213D64">
            <w:pPr>
              <w:spacing w:before="0"/>
              <w:rPr>
                <w:rFonts w:asciiTheme="minorHAnsi" w:hAnsiTheme="minorHAnsi" w:cstheme="minorHAnsi"/>
                <w:sz w:val="18"/>
                <w:szCs w:val="18"/>
                <w:lang w:val="en-US"/>
              </w:rPr>
            </w:pPr>
            <w:r w:rsidRPr="00941934">
              <w:rPr>
                <w:rFonts w:asciiTheme="minorHAnsi" w:hAnsiTheme="minorHAnsi" w:cstheme="minorHAnsi"/>
                <w:sz w:val="18"/>
                <w:szCs w:val="18"/>
                <w:lang w:val="en-US"/>
              </w:rPr>
              <w:t>ESS1: Assessment and Management of Environmental and Social Risks and Impacts</w:t>
            </w:r>
          </w:p>
        </w:tc>
        <w:tc>
          <w:tcPr>
            <w:cnfStyle w:val="000100000000" w:firstRow="0" w:lastRow="0" w:firstColumn="0" w:lastColumn="1" w:oddVBand="0" w:evenVBand="0" w:oddHBand="0" w:evenHBand="0" w:firstRowFirstColumn="0" w:firstRowLastColumn="0" w:lastRowFirstColumn="0" w:lastRowLastColumn="0"/>
            <w:tcW w:w="2235" w:type="dxa"/>
            <w:tcBorders>
              <w:right w:val="single" w:sz="4" w:space="0" w:color="auto"/>
            </w:tcBorders>
          </w:tcPr>
          <w:p w14:paraId="52F5A82C" w14:textId="5082DC34" w:rsidR="00213D64" w:rsidRPr="00213D64" w:rsidRDefault="00213D64" w:rsidP="00213D64">
            <w:pPr>
              <w:spacing w:before="0"/>
              <w:jc w:val="center"/>
              <w:rPr>
                <w:rFonts w:asciiTheme="minorHAnsi" w:hAnsiTheme="minorHAnsi" w:cstheme="minorHAnsi"/>
                <w:sz w:val="18"/>
                <w:szCs w:val="18"/>
                <w:lang w:val="pt-PT"/>
              </w:rPr>
            </w:pPr>
            <w:proofErr w:type="spellStart"/>
            <w:r>
              <w:rPr>
                <w:rFonts w:asciiTheme="minorHAnsi" w:hAnsiTheme="minorHAnsi" w:cstheme="minorHAnsi"/>
                <w:sz w:val="18"/>
                <w:szCs w:val="18"/>
                <w:lang w:val="pt-PT"/>
              </w:rPr>
              <w:t>Yes</w:t>
            </w:r>
            <w:proofErr w:type="spellEnd"/>
          </w:p>
        </w:tc>
      </w:tr>
      <w:tr w:rsidR="00213D64" w:rsidRPr="00213D64" w14:paraId="43163A79" w14:textId="77777777" w:rsidTr="00E14ED4">
        <w:trPr>
          <w:trHeight w:val="329"/>
        </w:trPr>
        <w:tc>
          <w:tcPr>
            <w:cnfStyle w:val="001000000000" w:firstRow="0" w:lastRow="0" w:firstColumn="1" w:lastColumn="0" w:oddVBand="0" w:evenVBand="0" w:oddHBand="0" w:evenHBand="0" w:firstRowFirstColumn="0" w:firstRowLastColumn="0" w:lastRowFirstColumn="0" w:lastRowLastColumn="0"/>
            <w:tcW w:w="6475" w:type="dxa"/>
            <w:tcBorders>
              <w:left w:val="single" w:sz="4" w:space="0" w:color="auto"/>
            </w:tcBorders>
          </w:tcPr>
          <w:p w14:paraId="2FC838D6" w14:textId="461D571D" w:rsidR="00213D64" w:rsidRPr="00941934" w:rsidRDefault="00213D64" w:rsidP="00213D64">
            <w:pPr>
              <w:spacing w:before="0"/>
              <w:rPr>
                <w:rFonts w:asciiTheme="minorHAnsi" w:hAnsiTheme="minorHAnsi" w:cstheme="minorHAnsi"/>
                <w:sz w:val="18"/>
                <w:szCs w:val="18"/>
                <w:lang w:val="en-US"/>
              </w:rPr>
            </w:pPr>
            <w:r w:rsidRPr="00941934">
              <w:rPr>
                <w:rFonts w:asciiTheme="minorHAnsi" w:hAnsiTheme="minorHAnsi" w:cstheme="minorHAnsi"/>
                <w:sz w:val="18"/>
                <w:szCs w:val="18"/>
                <w:lang w:val="en-US"/>
              </w:rPr>
              <w:t>ESS2: Labor and Working Conditions</w:t>
            </w:r>
          </w:p>
        </w:tc>
        <w:tc>
          <w:tcPr>
            <w:cnfStyle w:val="000100000000" w:firstRow="0" w:lastRow="0" w:firstColumn="0" w:lastColumn="1" w:oddVBand="0" w:evenVBand="0" w:oddHBand="0" w:evenHBand="0" w:firstRowFirstColumn="0" w:firstRowLastColumn="0" w:lastRowFirstColumn="0" w:lastRowLastColumn="0"/>
            <w:tcW w:w="2250" w:type="dxa"/>
            <w:gridSpan w:val="2"/>
            <w:tcBorders>
              <w:right w:val="single" w:sz="4" w:space="0" w:color="auto"/>
            </w:tcBorders>
          </w:tcPr>
          <w:p w14:paraId="2F3944EE" w14:textId="44B28BF8" w:rsidR="00213D64" w:rsidRPr="00213D64" w:rsidRDefault="00213D64" w:rsidP="00213D64">
            <w:pPr>
              <w:spacing w:before="0"/>
              <w:jc w:val="center"/>
              <w:rPr>
                <w:rFonts w:asciiTheme="minorHAnsi" w:hAnsiTheme="minorHAnsi" w:cstheme="minorHAnsi"/>
                <w:sz w:val="18"/>
                <w:szCs w:val="18"/>
                <w:lang w:val="pt-PT"/>
              </w:rPr>
            </w:pPr>
            <w:proofErr w:type="spellStart"/>
            <w:r>
              <w:rPr>
                <w:rFonts w:asciiTheme="minorHAnsi" w:hAnsiTheme="minorHAnsi" w:cstheme="minorHAnsi"/>
                <w:sz w:val="18"/>
                <w:szCs w:val="18"/>
                <w:lang w:val="pt-PT"/>
              </w:rPr>
              <w:t>Yes</w:t>
            </w:r>
            <w:proofErr w:type="spellEnd"/>
          </w:p>
        </w:tc>
      </w:tr>
      <w:tr w:rsidR="00213D64" w:rsidRPr="00213D64" w14:paraId="64B492FB" w14:textId="77777777" w:rsidTr="00E14ED4">
        <w:trPr>
          <w:gridAfter w:val="1"/>
          <w:cnfStyle w:val="000000100000" w:firstRow="0" w:lastRow="0" w:firstColumn="0" w:lastColumn="0" w:oddVBand="0" w:evenVBand="0" w:oddHBand="1" w:evenHBand="0" w:firstRowFirstColumn="0" w:firstRowLastColumn="0" w:lastRowFirstColumn="0" w:lastRowLastColumn="0"/>
          <w:wAfter w:w="15" w:type="dxa"/>
          <w:trHeight w:val="326"/>
        </w:trPr>
        <w:tc>
          <w:tcPr>
            <w:cnfStyle w:val="001000000000" w:firstRow="0" w:lastRow="0" w:firstColumn="1" w:lastColumn="0" w:oddVBand="0" w:evenVBand="0" w:oddHBand="0" w:evenHBand="0" w:firstRowFirstColumn="0" w:firstRowLastColumn="0" w:lastRowFirstColumn="0" w:lastRowLastColumn="0"/>
            <w:tcW w:w="6475" w:type="dxa"/>
            <w:tcBorders>
              <w:left w:val="single" w:sz="4" w:space="0" w:color="auto"/>
            </w:tcBorders>
          </w:tcPr>
          <w:p w14:paraId="46CE0FE5" w14:textId="54E2F8C0" w:rsidR="00213D64" w:rsidRPr="00941934" w:rsidRDefault="00213D64" w:rsidP="00213D64">
            <w:pPr>
              <w:spacing w:before="0"/>
              <w:rPr>
                <w:rFonts w:asciiTheme="minorHAnsi" w:hAnsiTheme="minorHAnsi" w:cstheme="minorHAnsi"/>
                <w:sz w:val="18"/>
                <w:szCs w:val="18"/>
                <w:lang w:val="en-US"/>
              </w:rPr>
            </w:pPr>
            <w:r w:rsidRPr="00213D64">
              <w:rPr>
                <w:rFonts w:asciiTheme="minorHAnsi" w:hAnsiTheme="minorHAnsi" w:cstheme="minorHAnsi"/>
                <w:sz w:val="18"/>
                <w:szCs w:val="18"/>
                <w:lang w:val="en-US"/>
              </w:rPr>
              <w:t>ESS3: Resource Efficiency and Pollution Prevention and Management</w:t>
            </w:r>
          </w:p>
        </w:tc>
        <w:tc>
          <w:tcPr>
            <w:cnfStyle w:val="000100000000" w:firstRow="0" w:lastRow="0" w:firstColumn="0" w:lastColumn="1" w:oddVBand="0" w:evenVBand="0" w:oddHBand="0" w:evenHBand="0" w:firstRowFirstColumn="0" w:firstRowLastColumn="0" w:lastRowFirstColumn="0" w:lastRowLastColumn="0"/>
            <w:tcW w:w="2235" w:type="dxa"/>
            <w:tcBorders>
              <w:right w:val="single" w:sz="4" w:space="0" w:color="auto"/>
            </w:tcBorders>
          </w:tcPr>
          <w:p w14:paraId="6A449928" w14:textId="71B2134F" w:rsidR="00213D64" w:rsidRPr="00213D64" w:rsidRDefault="00213D64" w:rsidP="00213D64">
            <w:pPr>
              <w:spacing w:before="0"/>
              <w:jc w:val="center"/>
              <w:rPr>
                <w:rFonts w:asciiTheme="minorHAnsi" w:hAnsiTheme="minorHAnsi" w:cstheme="minorHAnsi"/>
                <w:sz w:val="18"/>
                <w:szCs w:val="18"/>
                <w:lang w:val="pt-PT"/>
              </w:rPr>
            </w:pPr>
            <w:proofErr w:type="spellStart"/>
            <w:r>
              <w:rPr>
                <w:rFonts w:asciiTheme="minorHAnsi" w:hAnsiTheme="minorHAnsi" w:cstheme="minorHAnsi"/>
                <w:sz w:val="18"/>
                <w:szCs w:val="18"/>
                <w:lang w:val="pt-PT"/>
              </w:rPr>
              <w:t>Yes</w:t>
            </w:r>
            <w:proofErr w:type="spellEnd"/>
          </w:p>
        </w:tc>
      </w:tr>
      <w:tr w:rsidR="00213D64" w:rsidRPr="00213D64" w14:paraId="5417DC52" w14:textId="77777777" w:rsidTr="00E14ED4">
        <w:trPr>
          <w:trHeight w:val="328"/>
        </w:trPr>
        <w:tc>
          <w:tcPr>
            <w:cnfStyle w:val="001000000000" w:firstRow="0" w:lastRow="0" w:firstColumn="1" w:lastColumn="0" w:oddVBand="0" w:evenVBand="0" w:oddHBand="0" w:evenHBand="0" w:firstRowFirstColumn="0" w:firstRowLastColumn="0" w:lastRowFirstColumn="0" w:lastRowLastColumn="0"/>
            <w:tcW w:w="6475" w:type="dxa"/>
            <w:tcBorders>
              <w:left w:val="single" w:sz="4" w:space="0" w:color="auto"/>
            </w:tcBorders>
          </w:tcPr>
          <w:p w14:paraId="7E77A642" w14:textId="4612A7CB" w:rsidR="00213D64" w:rsidRPr="00941934" w:rsidRDefault="00213D64" w:rsidP="00213D64">
            <w:pPr>
              <w:spacing w:before="0"/>
              <w:rPr>
                <w:rFonts w:asciiTheme="minorHAnsi" w:hAnsiTheme="minorHAnsi" w:cstheme="minorHAnsi"/>
                <w:sz w:val="18"/>
                <w:szCs w:val="18"/>
                <w:lang w:val="en-US"/>
              </w:rPr>
            </w:pPr>
            <w:r w:rsidRPr="00941934">
              <w:rPr>
                <w:rFonts w:asciiTheme="minorHAnsi" w:hAnsiTheme="minorHAnsi" w:cstheme="minorHAnsi"/>
                <w:sz w:val="18"/>
                <w:szCs w:val="18"/>
                <w:lang w:val="en-US"/>
              </w:rPr>
              <w:t>ESS4: Community Health and Safety</w:t>
            </w:r>
          </w:p>
        </w:tc>
        <w:tc>
          <w:tcPr>
            <w:cnfStyle w:val="000100000000" w:firstRow="0" w:lastRow="0" w:firstColumn="0" w:lastColumn="1" w:oddVBand="0" w:evenVBand="0" w:oddHBand="0" w:evenHBand="0" w:firstRowFirstColumn="0" w:firstRowLastColumn="0" w:lastRowFirstColumn="0" w:lastRowLastColumn="0"/>
            <w:tcW w:w="2250" w:type="dxa"/>
            <w:gridSpan w:val="2"/>
            <w:tcBorders>
              <w:right w:val="single" w:sz="4" w:space="0" w:color="auto"/>
            </w:tcBorders>
          </w:tcPr>
          <w:p w14:paraId="4F323493" w14:textId="7C8C1C22" w:rsidR="00213D64" w:rsidRPr="00213D64" w:rsidRDefault="00213D64" w:rsidP="00213D64">
            <w:pPr>
              <w:spacing w:before="0"/>
              <w:jc w:val="center"/>
              <w:rPr>
                <w:rFonts w:asciiTheme="minorHAnsi" w:hAnsiTheme="minorHAnsi" w:cstheme="minorHAnsi"/>
                <w:sz w:val="18"/>
                <w:szCs w:val="18"/>
                <w:lang w:val="pt-PT"/>
              </w:rPr>
            </w:pPr>
            <w:proofErr w:type="spellStart"/>
            <w:r>
              <w:rPr>
                <w:rFonts w:asciiTheme="minorHAnsi" w:hAnsiTheme="minorHAnsi" w:cstheme="minorHAnsi"/>
                <w:sz w:val="18"/>
                <w:szCs w:val="18"/>
                <w:lang w:val="pt-PT"/>
              </w:rPr>
              <w:t>Yes</w:t>
            </w:r>
            <w:proofErr w:type="spellEnd"/>
          </w:p>
        </w:tc>
      </w:tr>
      <w:tr w:rsidR="00213D64" w:rsidRPr="00213D64" w14:paraId="7EA70442" w14:textId="77777777" w:rsidTr="00E14ED4">
        <w:trPr>
          <w:gridAfter w:val="1"/>
          <w:cnfStyle w:val="000000100000" w:firstRow="0" w:lastRow="0" w:firstColumn="0" w:lastColumn="0" w:oddVBand="0" w:evenVBand="0" w:oddHBand="1" w:evenHBand="0" w:firstRowFirstColumn="0" w:firstRowLastColumn="0" w:lastRowFirstColumn="0" w:lastRowLastColumn="0"/>
          <w:wAfter w:w="15" w:type="dxa"/>
          <w:trHeight w:val="370"/>
        </w:trPr>
        <w:tc>
          <w:tcPr>
            <w:cnfStyle w:val="001000000000" w:firstRow="0" w:lastRow="0" w:firstColumn="1" w:lastColumn="0" w:oddVBand="0" w:evenVBand="0" w:oddHBand="0" w:evenHBand="0" w:firstRowFirstColumn="0" w:firstRowLastColumn="0" w:lastRowFirstColumn="0" w:lastRowLastColumn="0"/>
            <w:tcW w:w="6475" w:type="dxa"/>
            <w:tcBorders>
              <w:left w:val="single" w:sz="4" w:space="0" w:color="auto"/>
            </w:tcBorders>
          </w:tcPr>
          <w:p w14:paraId="326C055D" w14:textId="295F516C" w:rsidR="00213D64" w:rsidRPr="00941934" w:rsidRDefault="00213D64" w:rsidP="00213D64">
            <w:pPr>
              <w:spacing w:before="0"/>
              <w:rPr>
                <w:rFonts w:asciiTheme="minorHAnsi" w:hAnsiTheme="minorHAnsi" w:cstheme="minorHAnsi"/>
                <w:sz w:val="18"/>
                <w:szCs w:val="18"/>
                <w:lang w:val="en-US"/>
              </w:rPr>
            </w:pPr>
            <w:r w:rsidRPr="00941934">
              <w:rPr>
                <w:rFonts w:asciiTheme="minorHAnsi" w:hAnsiTheme="minorHAnsi" w:cstheme="minorHAnsi"/>
                <w:sz w:val="18"/>
                <w:szCs w:val="18"/>
                <w:lang w:val="en-US"/>
              </w:rPr>
              <w:t xml:space="preserve">ESS5: Land Acquisition, Land Use </w:t>
            </w:r>
            <w:proofErr w:type="gramStart"/>
            <w:r w:rsidRPr="00941934">
              <w:rPr>
                <w:rFonts w:asciiTheme="minorHAnsi" w:hAnsiTheme="minorHAnsi" w:cstheme="minorHAnsi"/>
                <w:sz w:val="18"/>
                <w:szCs w:val="18"/>
                <w:lang w:val="en-US"/>
              </w:rPr>
              <w:t>Restrictions</w:t>
            </w:r>
            <w:proofErr w:type="gramEnd"/>
            <w:r w:rsidRPr="00941934">
              <w:rPr>
                <w:rFonts w:asciiTheme="minorHAnsi" w:hAnsiTheme="minorHAnsi" w:cstheme="minorHAnsi"/>
                <w:sz w:val="18"/>
                <w:szCs w:val="18"/>
                <w:lang w:val="en-US"/>
              </w:rPr>
              <w:t xml:space="preserve"> and Involuntary Resettlement</w:t>
            </w:r>
          </w:p>
        </w:tc>
        <w:tc>
          <w:tcPr>
            <w:cnfStyle w:val="000100000000" w:firstRow="0" w:lastRow="0" w:firstColumn="0" w:lastColumn="1" w:oddVBand="0" w:evenVBand="0" w:oddHBand="0" w:evenHBand="0" w:firstRowFirstColumn="0" w:firstRowLastColumn="0" w:lastRowFirstColumn="0" w:lastRowLastColumn="0"/>
            <w:tcW w:w="2235" w:type="dxa"/>
            <w:tcBorders>
              <w:right w:val="single" w:sz="4" w:space="0" w:color="auto"/>
            </w:tcBorders>
          </w:tcPr>
          <w:p w14:paraId="751696E0" w14:textId="796B0F96" w:rsidR="00213D64" w:rsidRPr="00213D64" w:rsidRDefault="00213D64" w:rsidP="00213D64">
            <w:pPr>
              <w:spacing w:before="0"/>
              <w:jc w:val="center"/>
              <w:rPr>
                <w:rFonts w:asciiTheme="minorHAnsi" w:hAnsiTheme="minorHAnsi" w:cstheme="minorHAnsi"/>
                <w:sz w:val="18"/>
                <w:szCs w:val="18"/>
                <w:lang w:val="pt-PT"/>
              </w:rPr>
            </w:pPr>
            <w:proofErr w:type="spellStart"/>
            <w:r>
              <w:rPr>
                <w:rFonts w:asciiTheme="minorHAnsi" w:hAnsiTheme="minorHAnsi" w:cstheme="minorHAnsi"/>
                <w:sz w:val="18"/>
                <w:szCs w:val="18"/>
                <w:lang w:val="pt-PT"/>
              </w:rPr>
              <w:t>Yes</w:t>
            </w:r>
            <w:proofErr w:type="spellEnd"/>
          </w:p>
        </w:tc>
      </w:tr>
      <w:tr w:rsidR="00213D64" w:rsidRPr="00213D64" w14:paraId="2897BABF" w14:textId="77777777" w:rsidTr="00E14ED4">
        <w:trPr>
          <w:trHeight w:val="278"/>
        </w:trPr>
        <w:tc>
          <w:tcPr>
            <w:cnfStyle w:val="001000000000" w:firstRow="0" w:lastRow="0" w:firstColumn="1" w:lastColumn="0" w:oddVBand="0" w:evenVBand="0" w:oddHBand="0" w:evenHBand="0" w:firstRowFirstColumn="0" w:firstRowLastColumn="0" w:lastRowFirstColumn="0" w:lastRowLastColumn="0"/>
            <w:tcW w:w="6475" w:type="dxa"/>
            <w:tcBorders>
              <w:left w:val="single" w:sz="4" w:space="0" w:color="auto"/>
            </w:tcBorders>
          </w:tcPr>
          <w:p w14:paraId="685B65F7" w14:textId="637340AD" w:rsidR="00213D64" w:rsidRPr="00941934" w:rsidRDefault="00213D64" w:rsidP="00213D64">
            <w:pPr>
              <w:spacing w:before="0"/>
              <w:rPr>
                <w:rFonts w:asciiTheme="minorHAnsi" w:hAnsiTheme="minorHAnsi" w:cstheme="minorHAnsi"/>
                <w:sz w:val="18"/>
                <w:szCs w:val="18"/>
                <w:lang w:val="en-US"/>
              </w:rPr>
            </w:pPr>
            <w:r w:rsidRPr="00941934">
              <w:rPr>
                <w:rFonts w:asciiTheme="minorHAnsi" w:hAnsiTheme="minorHAnsi" w:cstheme="minorHAnsi"/>
                <w:sz w:val="18"/>
                <w:szCs w:val="18"/>
                <w:lang w:val="en-US"/>
              </w:rPr>
              <w:t>ESS6: Biodiversity Conservation and Sustainable Management of Living Natural Resources</w:t>
            </w:r>
          </w:p>
        </w:tc>
        <w:tc>
          <w:tcPr>
            <w:cnfStyle w:val="000100000000" w:firstRow="0" w:lastRow="0" w:firstColumn="0" w:lastColumn="1" w:oddVBand="0" w:evenVBand="0" w:oddHBand="0" w:evenHBand="0" w:firstRowFirstColumn="0" w:firstRowLastColumn="0" w:lastRowFirstColumn="0" w:lastRowLastColumn="0"/>
            <w:tcW w:w="2250" w:type="dxa"/>
            <w:gridSpan w:val="2"/>
            <w:tcBorders>
              <w:right w:val="single" w:sz="4" w:space="0" w:color="auto"/>
            </w:tcBorders>
          </w:tcPr>
          <w:p w14:paraId="156396AA" w14:textId="3D553EA8" w:rsidR="00213D64" w:rsidRPr="00213D64" w:rsidRDefault="00213D64" w:rsidP="00213D64">
            <w:pPr>
              <w:spacing w:before="0"/>
              <w:jc w:val="center"/>
              <w:rPr>
                <w:rFonts w:asciiTheme="minorHAnsi" w:hAnsiTheme="minorHAnsi" w:cstheme="minorHAnsi"/>
                <w:sz w:val="18"/>
                <w:szCs w:val="18"/>
                <w:lang w:val="pt-PT"/>
              </w:rPr>
            </w:pPr>
            <w:proofErr w:type="spellStart"/>
            <w:r>
              <w:rPr>
                <w:rFonts w:asciiTheme="minorHAnsi" w:hAnsiTheme="minorHAnsi" w:cstheme="minorHAnsi"/>
                <w:sz w:val="18"/>
                <w:szCs w:val="18"/>
                <w:lang w:val="pt-PT"/>
              </w:rPr>
              <w:t>Yes</w:t>
            </w:r>
            <w:proofErr w:type="spellEnd"/>
          </w:p>
        </w:tc>
      </w:tr>
      <w:tr w:rsidR="00213D64" w:rsidRPr="00213D64" w14:paraId="3C134DBF" w14:textId="77777777" w:rsidTr="00E14ED4">
        <w:trPr>
          <w:gridAfter w:val="1"/>
          <w:cnfStyle w:val="000000100000" w:firstRow="0" w:lastRow="0" w:firstColumn="0" w:lastColumn="0" w:oddVBand="0" w:evenVBand="0" w:oddHBand="1" w:evenHBand="0" w:firstRowFirstColumn="0" w:firstRowLastColumn="0" w:lastRowFirstColumn="0" w:lastRowLastColumn="0"/>
          <w:wAfter w:w="15" w:type="dxa"/>
          <w:trHeight w:val="534"/>
        </w:trPr>
        <w:tc>
          <w:tcPr>
            <w:cnfStyle w:val="001000000000" w:firstRow="0" w:lastRow="0" w:firstColumn="1" w:lastColumn="0" w:oddVBand="0" w:evenVBand="0" w:oddHBand="0" w:evenHBand="0" w:firstRowFirstColumn="0" w:firstRowLastColumn="0" w:lastRowFirstColumn="0" w:lastRowLastColumn="0"/>
            <w:tcW w:w="6475" w:type="dxa"/>
            <w:tcBorders>
              <w:left w:val="single" w:sz="4" w:space="0" w:color="auto"/>
            </w:tcBorders>
          </w:tcPr>
          <w:p w14:paraId="5FE3F3B2" w14:textId="12515B77" w:rsidR="00213D64" w:rsidRPr="00941934" w:rsidRDefault="00213D64" w:rsidP="00213D64">
            <w:pPr>
              <w:spacing w:before="0"/>
              <w:rPr>
                <w:rFonts w:asciiTheme="minorHAnsi" w:hAnsiTheme="minorHAnsi" w:cstheme="minorHAnsi"/>
                <w:sz w:val="18"/>
                <w:szCs w:val="18"/>
                <w:lang w:val="en-US"/>
              </w:rPr>
            </w:pPr>
            <w:r w:rsidRPr="00941934">
              <w:rPr>
                <w:rFonts w:asciiTheme="minorHAnsi" w:hAnsiTheme="minorHAnsi" w:cstheme="minorHAnsi"/>
                <w:sz w:val="18"/>
                <w:szCs w:val="18"/>
                <w:lang w:val="en-US"/>
              </w:rPr>
              <w:t>ESS7: Indigenous Peoples/Historically Disadvantaged Local Communities of Sub-Saharan Africa</w:t>
            </w:r>
          </w:p>
        </w:tc>
        <w:tc>
          <w:tcPr>
            <w:cnfStyle w:val="000100000000" w:firstRow="0" w:lastRow="0" w:firstColumn="0" w:lastColumn="1" w:oddVBand="0" w:evenVBand="0" w:oddHBand="0" w:evenHBand="0" w:firstRowFirstColumn="0" w:firstRowLastColumn="0" w:lastRowFirstColumn="0" w:lastRowLastColumn="0"/>
            <w:tcW w:w="2235" w:type="dxa"/>
            <w:tcBorders>
              <w:right w:val="single" w:sz="4" w:space="0" w:color="auto"/>
            </w:tcBorders>
          </w:tcPr>
          <w:p w14:paraId="4708EA5A" w14:textId="7A80164A" w:rsidR="00213D64" w:rsidRPr="00213D64" w:rsidRDefault="00213D64" w:rsidP="00213D64">
            <w:pPr>
              <w:spacing w:before="0"/>
              <w:jc w:val="center"/>
              <w:rPr>
                <w:rFonts w:asciiTheme="minorHAnsi" w:hAnsiTheme="minorHAnsi" w:cstheme="minorHAnsi"/>
                <w:sz w:val="18"/>
                <w:szCs w:val="18"/>
                <w:lang w:val="pt-PT"/>
              </w:rPr>
            </w:pPr>
            <w:r>
              <w:rPr>
                <w:rFonts w:asciiTheme="minorHAnsi" w:hAnsiTheme="minorHAnsi" w:cstheme="minorHAnsi"/>
                <w:sz w:val="18"/>
                <w:szCs w:val="18"/>
                <w:lang w:val="pt-PT"/>
              </w:rPr>
              <w:t>No</w:t>
            </w:r>
          </w:p>
        </w:tc>
      </w:tr>
      <w:tr w:rsidR="00213D64" w:rsidRPr="00213D64" w14:paraId="29B6E114" w14:textId="77777777" w:rsidTr="00E14ED4">
        <w:trPr>
          <w:trHeight w:val="326"/>
        </w:trPr>
        <w:tc>
          <w:tcPr>
            <w:cnfStyle w:val="001000000000" w:firstRow="0" w:lastRow="0" w:firstColumn="1" w:lastColumn="0" w:oddVBand="0" w:evenVBand="0" w:oddHBand="0" w:evenHBand="0" w:firstRowFirstColumn="0" w:firstRowLastColumn="0" w:lastRowFirstColumn="0" w:lastRowLastColumn="0"/>
            <w:tcW w:w="6475" w:type="dxa"/>
            <w:tcBorders>
              <w:left w:val="single" w:sz="4" w:space="0" w:color="auto"/>
            </w:tcBorders>
          </w:tcPr>
          <w:p w14:paraId="4B9A6410" w14:textId="55E7D3EB" w:rsidR="00213D64" w:rsidRPr="00213D64" w:rsidRDefault="00213D64" w:rsidP="00213D64">
            <w:pPr>
              <w:spacing w:before="0"/>
              <w:rPr>
                <w:rFonts w:asciiTheme="minorHAnsi" w:hAnsiTheme="minorHAnsi" w:cstheme="minorHAnsi"/>
                <w:sz w:val="18"/>
                <w:szCs w:val="18"/>
                <w:lang w:val="pt-PT"/>
              </w:rPr>
            </w:pPr>
            <w:r w:rsidRPr="00213D64">
              <w:rPr>
                <w:rFonts w:asciiTheme="minorHAnsi" w:hAnsiTheme="minorHAnsi" w:cstheme="minorHAnsi"/>
                <w:sz w:val="18"/>
                <w:szCs w:val="18"/>
                <w:lang w:val="pt-PT"/>
              </w:rPr>
              <w:t xml:space="preserve">ESS8: Cultural </w:t>
            </w:r>
            <w:proofErr w:type="spellStart"/>
            <w:r w:rsidRPr="00213D64">
              <w:rPr>
                <w:rFonts w:asciiTheme="minorHAnsi" w:hAnsiTheme="minorHAnsi" w:cstheme="minorHAnsi"/>
                <w:sz w:val="18"/>
                <w:szCs w:val="18"/>
                <w:lang w:val="pt-PT"/>
              </w:rPr>
              <w:t>Heritage</w:t>
            </w:r>
            <w:proofErr w:type="spellEnd"/>
          </w:p>
        </w:tc>
        <w:tc>
          <w:tcPr>
            <w:cnfStyle w:val="000100000000" w:firstRow="0" w:lastRow="0" w:firstColumn="0" w:lastColumn="1" w:oddVBand="0" w:evenVBand="0" w:oddHBand="0" w:evenHBand="0" w:firstRowFirstColumn="0" w:firstRowLastColumn="0" w:lastRowFirstColumn="0" w:lastRowLastColumn="0"/>
            <w:tcW w:w="2250" w:type="dxa"/>
            <w:gridSpan w:val="2"/>
            <w:tcBorders>
              <w:right w:val="single" w:sz="4" w:space="0" w:color="auto"/>
            </w:tcBorders>
          </w:tcPr>
          <w:p w14:paraId="7CFDA52E" w14:textId="6FE68C33" w:rsidR="00213D64" w:rsidRPr="00213D64" w:rsidRDefault="00213D64" w:rsidP="00213D64">
            <w:pPr>
              <w:spacing w:before="0"/>
              <w:jc w:val="center"/>
              <w:rPr>
                <w:rFonts w:asciiTheme="minorHAnsi" w:hAnsiTheme="minorHAnsi" w:cstheme="minorHAnsi"/>
                <w:sz w:val="18"/>
                <w:szCs w:val="18"/>
                <w:lang w:val="pt-PT"/>
              </w:rPr>
            </w:pPr>
            <w:proofErr w:type="spellStart"/>
            <w:r>
              <w:rPr>
                <w:rFonts w:asciiTheme="minorHAnsi" w:hAnsiTheme="minorHAnsi" w:cstheme="minorHAnsi"/>
                <w:sz w:val="18"/>
                <w:szCs w:val="18"/>
                <w:lang w:val="pt-PT"/>
              </w:rPr>
              <w:t>Yes</w:t>
            </w:r>
            <w:proofErr w:type="spellEnd"/>
          </w:p>
        </w:tc>
      </w:tr>
      <w:tr w:rsidR="00213D64" w:rsidRPr="00213D64" w14:paraId="3126E762" w14:textId="77777777" w:rsidTr="00E14ED4">
        <w:trPr>
          <w:gridAfter w:val="1"/>
          <w:cnfStyle w:val="000000100000" w:firstRow="0" w:lastRow="0" w:firstColumn="0" w:lastColumn="0" w:oddVBand="0" w:evenVBand="0" w:oddHBand="1" w:evenHBand="0" w:firstRowFirstColumn="0" w:firstRowLastColumn="0" w:lastRowFirstColumn="0" w:lastRowLastColumn="0"/>
          <w:wAfter w:w="15" w:type="dxa"/>
          <w:trHeight w:val="325"/>
        </w:trPr>
        <w:tc>
          <w:tcPr>
            <w:cnfStyle w:val="001000000000" w:firstRow="0" w:lastRow="0" w:firstColumn="1" w:lastColumn="0" w:oddVBand="0" w:evenVBand="0" w:oddHBand="0" w:evenHBand="0" w:firstRowFirstColumn="0" w:firstRowLastColumn="0" w:lastRowFirstColumn="0" w:lastRowLastColumn="0"/>
            <w:tcW w:w="6475" w:type="dxa"/>
            <w:tcBorders>
              <w:left w:val="single" w:sz="4" w:space="0" w:color="auto"/>
            </w:tcBorders>
          </w:tcPr>
          <w:p w14:paraId="67E59068" w14:textId="0E8353CC" w:rsidR="00213D64" w:rsidRPr="00213D64" w:rsidRDefault="00213D64" w:rsidP="00213D64">
            <w:pPr>
              <w:spacing w:before="0"/>
              <w:rPr>
                <w:rFonts w:asciiTheme="minorHAnsi" w:hAnsiTheme="minorHAnsi" w:cstheme="minorHAnsi"/>
                <w:sz w:val="18"/>
                <w:szCs w:val="18"/>
                <w:lang w:val="pt-PT"/>
              </w:rPr>
            </w:pPr>
            <w:r w:rsidRPr="00213D64">
              <w:rPr>
                <w:rFonts w:asciiTheme="minorHAnsi" w:hAnsiTheme="minorHAnsi" w:cstheme="minorHAnsi"/>
                <w:sz w:val="18"/>
                <w:szCs w:val="18"/>
                <w:lang w:val="pt-PT"/>
              </w:rPr>
              <w:t xml:space="preserve">ESS9: Financial </w:t>
            </w:r>
            <w:proofErr w:type="spellStart"/>
            <w:r w:rsidRPr="00213D64">
              <w:rPr>
                <w:rFonts w:asciiTheme="minorHAnsi" w:hAnsiTheme="minorHAnsi" w:cstheme="minorHAnsi"/>
                <w:sz w:val="18"/>
                <w:szCs w:val="18"/>
                <w:lang w:val="pt-PT"/>
              </w:rPr>
              <w:t>Intermediaries</w:t>
            </w:r>
            <w:proofErr w:type="spellEnd"/>
          </w:p>
        </w:tc>
        <w:tc>
          <w:tcPr>
            <w:cnfStyle w:val="000100000000" w:firstRow="0" w:lastRow="0" w:firstColumn="0" w:lastColumn="1" w:oddVBand="0" w:evenVBand="0" w:oddHBand="0" w:evenHBand="0" w:firstRowFirstColumn="0" w:firstRowLastColumn="0" w:lastRowFirstColumn="0" w:lastRowLastColumn="0"/>
            <w:tcW w:w="2235" w:type="dxa"/>
            <w:tcBorders>
              <w:right w:val="single" w:sz="4" w:space="0" w:color="auto"/>
            </w:tcBorders>
          </w:tcPr>
          <w:p w14:paraId="6CE1E54F" w14:textId="12B231D4" w:rsidR="00213D64" w:rsidRPr="00213D64" w:rsidRDefault="00213D64" w:rsidP="00213D64">
            <w:pPr>
              <w:spacing w:before="0"/>
              <w:jc w:val="center"/>
              <w:rPr>
                <w:rFonts w:asciiTheme="minorHAnsi" w:hAnsiTheme="minorHAnsi" w:cstheme="minorHAnsi"/>
                <w:sz w:val="18"/>
                <w:szCs w:val="18"/>
                <w:lang w:val="pt-PT"/>
              </w:rPr>
            </w:pPr>
            <w:r>
              <w:rPr>
                <w:rFonts w:asciiTheme="minorHAnsi" w:hAnsiTheme="minorHAnsi" w:cstheme="minorHAnsi"/>
                <w:sz w:val="18"/>
                <w:szCs w:val="18"/>
                <w:lang w:val="pt-PT"/>
              </w:rPr>
              <w:t>No</w:t>
            </w:r>
          </w:p>
        </w:tc>
      </w:tr>
      <w:tr w:rsidR="00213D64" w:rsidRPr="00213D64" w14:paraId="78684D00" w14:textId="77777777" w:rsidTr="00E14ED4">
        <w:trPr>
          <w:gridAfter w:val="1"/>
          <w:cnfStyle w:val="010000000000" w:firstRow="0" w:lastRow="1" w:firstColumn="0" w:lastColumn="0" w:oddVBand="0" w:evenVBand="0" w:oddHBand="0" w:evenHBand="0" w:firstRowFirstColumn="0" w:firstRowLastColumn="0" w:lastRowFirstColumn="0" w:lastRowLastColumn="0"/>
          <w:wAfter w:w="15" w:type="dxa"/>
          <w:trHeight w:val="328"/>
        </w:trPr>
        <w:tc>
          <w:tcPr>
            <w:cnfStyle w:val="001000000000" w:firstRow="0" w:lastRow="0" w:firstColumn="1" w:lastColumn="0" w:oddVBand="0" w:evenVBand="0" w:oddHBand="0" w:evenHBand="0" w:firstRowFirstColumn="0" w:firstRowLastColumn="0" w:lastRowFirstColumn="0" w:lastRowLastColumn="0"/>
            <w:tcW w:w="6475" w:type="dxa"/>
            <w:tcBorders>
              <w:left w:val="single" w:sz="4" w:space="0" w:color="auto"/>
              <w:bottom w:val="single" w:sz="4" w:space="0" w:color="auto"/>
            </w:tcBorders>
          </w:tcPr>
          <w:p w14:paraId="3C8772CB" w14:textId="102D4CA8" w:rsidR="00213D64" w:rsidRPr="00941934" w:rsidRDefault="00213D64" w:rsidP="00213D64">
            <w:pPr>
              <w:spacing w:before="0"/>
              <w:rPr>
                <w:rFonts w:asciiTheme="minorHAnsi" w:hAnsiTheme="minorHAnsi" w:cstheme="minorHAnsi"/>
                <w:sz w:val="18"/>
                <w:szCs w:val="18"/>
                <w:lang w:val="en-US"/>
              </w:rPr>
            </w:pPr>
            <w:r w:rsidRPr="00941934">
              <w:rPr>
                <w:rFonts w:asciiTheme="minorHAnsi" w:hAnsiTheme="minorHAnsi" w:cstheme="minorHAnsi"/>
                <w:sz w:val="18"/>
                <w:szCs w:val="18"/>
                <w:lang w:val="en-US"/>
              </w:rPr>
              <w:t>ESS10: Stakeholder Engagement and Information Disclosure</w:t>
            </w:r>
          </w:p>
        </w:tc>
        <w:tc>
          <w:tcPr>
            <w:cnfStyle w:val="000100000000" w:firstRow="0" w:lastRow="0" w:firstColumn="0" w:lastColumn="1" w:oddVBand="0" w:evenVBand="0" w:oddHBand="0" w:evenHBand="0" w:firstRowFirstColumn="0" w:firstRowLastColumn="0" w:lastRowFirstColumn="0" w:lastRowLastColumn="0"/>
            <w:tcW w:w="2235" w:type="dxa"/>
            <w:tcBorders>
              <w:bottom w:val="single" w:sz="4" w:space="0" w:color="auto"/>
              <w:right w:val="single" w:sz="4" w:space="0" w:color="auto"/>
            </w:tcBorders>
          </w:tcPr>
          <w:p w14:paraId="334BA792" w14:textId="6B37101C" w:rsidR="00213D64" w:rsidRPr="00213D64" w:rsidRDefault="00213D64" w:rsidP="00213D64">
            <w:pPr>
              <w:spacing w:before="0"/>
              <w:jc w:val="center"/>
              <w:rPr>
                <w:rFonts w:asciiTheme="minorHAnsi" w:hAnsiTheme="minorHAnsi" w:cstheme="minorHAnsi"/>
                <w:sz w:val="18"/>
                <w:szCs w:val="18"/>
                <w:lang w:val="pt-PT"/>
              </w:rPr>
            </w:pPr>
            <w:proofErr w:type="spellStart"/>
            <w:r>
              <w:rPr>
                <w:rFonts w:asciiTheme="minorHAnsi" w:hAnsiTheme="minorHAnsi" w:cstheme="minorHAnsi"/>
                <w:sz w:val="18"/>
                <w:szCs w:val="18"/>
                <w:lang w:val="pt-PT"/>
              </w:rPr>
              <w:t>Yes</w:t>
            </w:r>
            <w:proofErr w:type="spellEnd"/>
          </w:p>
        </w:tc>
      </w:tr>
    </w:tbl>
    <w:p w14:paraId="631C2B07" w14:textId="56373287" w:rsidR="00986ED4" w:rsidRDefault="00986ED4" w:rsidP="00986ED4">
      <w:pPr>
        <w:spacing w:before="0" w:line="259" w:lineRule="auto"/>
        <w:rPr>
          <w:rFonts w:eastAsia="Calibri" w:cs="Times New Roman"/>
          <w:lang w:val="en-US"/>
        </w:rPr>
      </w:pPr>
    </w:p>
    <w:p w14:paraId="4AAB8F46" w14:textId="77777777" w:rsidR="00986ED4" w:rsidRPr="00941934" w:rsidRDefault="00986ED4" w:rsidP="00986ED4">
      <w:pPr>
        <w:spacing w:before="0" w:line="259" w:lineRule="auto"/>
        <w:rPr>
          <w:rFonts w:eastAsia="Calibri" w:cs="Times New Roman"/>
          <w:i/>
          <w:iCs/>
          <w:lang w:val="en-US"/>
        </w:rPr>
      </w:pPr>
      <w:r w:rsidRPr="00941934">
        <w:rPr>
          <w:rFonts w:eastAsia="Calibri" w:cs="Times New Roman"/>
          <w:i/>
          <w:iCs/>
          <w:lang w:val="en-US"/>
        </w:rPr>
        <w:lastRenderedPageBreak/>
        <w:t xml:space="preserve">Project Risk Rating </w:t>
      </w:r>
    </w:p>
    <w:p w14:paraId="32A44134" w14:textId="77777777"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According to the preliminary environmental and social risk assessment carried out by the Bank in its concept note, the Project is classified as a “substantial” risk, because the risks and expected potential impacts are sensitive, of moderate to high magnitude, although reversible, with the application of appropriate measures. An in-depth analysis of the Project's environmental and social risk was subsequently carried out within the scope of the ESMF, through which the classification made by the World Bank has been confirmed. The Project risk analysis was based on a survey of the main potential environmental and social impacts and risks of the Project, as well as considering the main environmental and social sensitivities of the Project implementation areas. The main determining factors for the risk classification brought by ESMF are summarized below:</w:t>
      </w:r>
    </w:p>
    <w:p w14:paraId="62663A63" w14:textId="03F4D74F"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 xml:space="preserve">Most of the environmental and social impacts identified were classified as being “significant”. </w:t>
      </w:r>
    </w:p>
    <w:p w14:paraId="06DAC148" w14:textId="62F4A16D"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 xml:space="preserve">The analysis results demonstrates that the potential environmental impacts of negative status, whose significance was assessed as high or simply referred to as "very significant" even though they are </w:t>
      </w:r>
      <w:proofErr w:type="gramStart"/>
      <w:r w:rsidRPr="00941934">
        <w:rPr>
          <w:rFonts w:eastAsia="Calibri" w:cs="Times New Roman"/>
          <w:lang w:val="en-US"/>
        </w:rPr>
        <w:t>few in number</w:t>
      </w:r>
      <w:proofErr w:type="gramEnd"/>
      <w:r w:rsidRPr="00941934">
        <w:rPr>
          <w:rFonts w:eastAsia="Calibri" w:cs="Times New Roman"/>
          <w:lang w:val="en-US"/>
        </w:rPr>
        <w:t xml:space="preserve">, they are of high relevance due to their potential to affect local biodiversity and availability of land for agricultural practice due to the clearing of vegetation and land occupation by the Project. </w:t>
      </w:r>
    </w:p>
    <w:p w14:paraId="1135AE6B" w14:textId="5DE1C77C"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The Project, particularly in its construction phase, can generate potential occupational and community health and safety risks. The latter being of great concern, specially taking in consideration the presence of vulnerable groups (the elderly, children, women, individuals with very low levels of education) in the Project, as well as the existing conditions in terms of availability of medical care services in cases of accidents involving local populations.</w:t>
      </w:r>
    </w:p>
    <w:p w14:paraId="5370E861" w14:textId="39AEC7AC"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 xml:space="preserve">The land occupation by the project, and the potential involuntary physical resettlement or loss of farmland, although not confirmed at this stage, if necessary, could significantly affect the (potentially) affected populations. </w:t>
      </w:r>
    </w:p>
    <w:p w14:paraId="2D8FC335" w14:textId="24B44FE1"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The analysis of the national environmental regulation, specifically, Decree 54/2015 of 31</w:t>
      </w:r>
      <w:r w:rsidR="00937B14" w:rsidRPr="00937B14">
        <w:rPr>
          <w:rFonts w:eastAsia="Calibri" w:cs="Times New Roman"/>
          <w:vertAlign w:val="superscript"/>
          <w:lang w:val="en-US"/>
        </w:rPr>
        <w:t>st</w:t>
      </w:r>
      <w:r w:rsidR="00937B14" w:rsidRPr="00941934">
        <w:rPr>
          <w:rFonts w:eastAsia="Calibri" w:cs="Times New Roman"/>
          <w:lang w:val="en-US"/>
        </w:rPr>
        <w:t xml:space="preserve"> December</w:t>
      </w:r>
      <w:r w:rsidRPr="00941934">
        <w:rPr>
          <w:rFonts w:eastAsia="Calibri" w:cs="Times New Roman"/>
          <w:lang w:val="en-US"/>
        </w:rPr>
        <w:t>, identifies a series of conditions that increase the Project's categorization associated with its potential environmental risk. These aspects include, among others, potential resettlement, implementation of the Project in environmentally sensitive areas (</w:t>
      </w:r>
      <w:proofErr w:type="spellStart"/>
      <w:proofErr w:type="gramStart"/>
      <w:r w:rsidRPr="00941934">
        <w:rPr>
          <w:rFonts w:eastAsia="Calibri" w:cs="Times New Roman"/>
          <w:lang w:val="en-US"/>
        </w:rPr>
        <w:t>eg</w:t>
      </w:r>
      <w:proofErr w:type="spellEnd"/>
      <w:proofErr w:type="gramEnd"/>
      <w:r w:rsidRPr="00941934">
        <w:rPr>
          <w:rFonts w:eastAsia="Calibri" w:cs="Times New Roman"/>
          <w:lang w:val="en-US"/>
        </w:rPr>
        <w:t xml:space="preserve"> mangrove areas), as well as criteria associated with the characteristics of the Project (length and diameter of pipelines and mains). Given the level of detail available on the subprojects, the ESMF makes a conservative analysis of the impacts, and does not exclude the potential existence of these aspects from its scope.</w:t>
      </w:r>
    </w:p>
    <w:p w14:paraId="677E9848" w14:textId="77777777" w:rsidR="00986ED4" w:rsidRPr="00941934" w:rsidRDefault="00986ED4" w:rsidP="00986ED4">
      <w:pPr>
        <w:spacing w:before="0" w:line="259" w:lineRule="auto"/>
        <w:rPr>
          <w:rFonts w:eastAsia="Calibri" w:cs="Times New Roman"/>
          <w:i/>
          <w:iCs/>
          <w:lang w:val="en-US"/>
        </w:rPr>
      </w:pPr>
      <w:r w:rsidRPr="00941934">
        <w:rPr>
          <w:rFonts w:eastAsia="Calibri" w:cs="Times New Roman"/>
          <w:i/>
          <w:iCs/>
          <w:lang w:val="en-US"/>
        </w:rPr>
        <w:t>Comparative analysis of the World Bank's ESF and the National Legislation</w:t>
      </w:r>
    </w:p>
    <w:p w14:paraId="7EA4FF22" w14:textId="013A32FE"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The ESMF makes a comparative analysis of the national legal framework and the World Bank ESF. Despite some differences, there are no conflicts between the requirements of Mozambican legislation and World Bank ESF, but complementarity. There are several aspects not covered in Mozambican legislation that are duly addressed in the </w:t>
      </w:r>
      <w:r w:rsidR="00B95997">
        <w:rPr>
          <w:rFonts w:eastAsia="Calibri" w:cs="Times New Roman"/>
          <w:lang w:val="en-US"/>
        </w:rPr>
        <w:t>ESS</w:t>
      </w:r>
      <w:r w:rsidRPr="00986ED4">
        <w:rPr>
          <w:rFonts w:eastAsia="Calibri" w:cs="Times New Roman"/>
          <w:lang w:val="en-US"/>
        </w:rPr>
        <w:t>. Of these aspects, the following stand out:</w:t>
      </w:r>
    </w:p>
    <w:p w14:paraId="1ADCBAA8" w14:textId="30C2DA58" w:rsidR="00986ED4" w:rsidRPr="00986ED4" w:rsidRDefault="00986ED4" w:rsidP="00941934">
      <w:pPr>
        <w:pStyle w:val="ListParagraph"/>
        <w:numPr>
          <w:ilvl w:val="0"/>
          <w:numId w:val="246"/>
        </w:numPr>
        <w:spacing w:before="0" w:line="259" w:lineRule="auto"/>
        <w:rPr>
          <w:rFonts w:eastAsia="Calibri" w:cs="Times New Roman"/>
          <w:lang w:val="en-US"/>
        </w:rPr>
      </w:pPr>
      <w:r w:rsidRPr="00986ED4">
        <w:rPr>
          <w:rFonts w:eastAsia="Calibri" w:cs="Times New Roman"/>
          <w:lang w:val="en-US"/>
        </w:rPr>
        <w:t xml:space="preserve">National legislation is silent on issues related to community workers, third-party workers, </w:t>
      </w:r>
      <w:proofErr w:type="gramStart"/>
      <w:r w:rsidRPr="00986ED4">
        <w:rPr>
          <w:rFonts w:eastAsia="Calibri" w:cs="Times New Roman"/>
          <w:lang w:val="en-US"/>
        </w:rPr>
        <w:t>non-discrimination</w:t>
      </w:r>
      <w:proofErr w:type="gramEnd"/>
      <w:r w:rsidRPr="00986ED4">
        <w:rPr>
          <w:rFonts w:eastAsia="Calibri" w:cs="Times New Roman"/>
          <w:lang w:val="en-US"/>
        </w:rPr>
        <w:t xml:space="preserve"> and equal opportunities requirements </w:t>
      </w:r>
    </w:p>
    <w:p w14:paraId="20F189E3" w14:textId="3E3F3D6B" w:rsidR="00986ED4" w:rsidRPr="00986ED4" w:rsidRDefault="00986ED4" w:rsidP="00941934">
      <w:pPr>
        <w:pStyle w:val="ListParagraph"/>
        <w:numPr>
          <w:ilvl w:val="0"/>
          <w:numId w:val="246"/>
        </w:numPr>
        <w:spacing w:before="0" w:line="259" w:lineRule="auto"/>
        <w:rPr>
          <w:rFonts w:eastAsia="Calibri" w:cs="Times New Roman"/>
          <w:lang w:val="en-US"/>
        </w:rPr>
      </w:pPr>
      <w:r w:rsidRPr="00986ED4">
        <w:rPr>
          <w:rFonts w:eastAsia="Calibri" w:cs="Times New Roman"/>
          <w:lang w:val="en-US"/>
        </w:rPr>
        <w:lastRenderedPageBreak/>
        <w:t xml:space="preserve">There are gaps and lack of legal provisions, norms or national guidelines that regulate Community Health and Safety, especially </w:t>
      </w:r>
      <w:proofErr w:type="gramStart"/>
      <w:r w:rsidRPr="00986ED4">
        <w:rPr>
          <w:rFonts w:eastAsia="Calibri" w:cs="Times New Roman"/>
          <w:lang w:val="en-US"/>
        </w:rPr>
        <w:t>with regard to</w:t>
      </w:r>
      <w:proofErr w:type="gramEnd"/>
      <w:r w:rsidRPr="00986ED4">
        <w:rPr>
          <w:rFonts w:eastAsia="Calibri" w:cs="Times New Roman"/>
          <w:lang w:val="en-US"/>
        </w:rPr>
        <w:t xml:space="preserve"> road safety risks, service safety, emergency preparedness and response</w:t>
      </w:r>
    </w:p>
    <w:p w14:paraId="6D438E8C" w14:textId="1B23FC17" w:rsidR="00986ED4" w:rsidRPr="00986ED4" w:rsidRDefault="00986ED4" w:rsidP="00941934">
      <w:pPr>
        <w:pStyle w:val="ListParagraph"/>
        <w:numPr>
          <w:ilvl w:val="0"/>
          <w:numId w:val="246"/>
        </w:numPr>
        <w:spacing w:before="0" w:line="259" w:lineRule="auto"/>
        <w:rPr>
          <w:rFonts w:eastAsia="Calibri" w:cs="Times New Roman"/>
          <w:lang w:val="en-US"/>
        </w:rPr>
      </w:pPr>
      <w:r w:rsidRPr="00986ED4">
        <w:rPr>
          <w:rFonts w:eastAsia="Calibri" w:cs="Times New Roman"/>
          <w:lang w:val="en-US"/>
        </w:rPr>
        <w:t>The national legislation does not provide for Complaints and Complaints Management Mechanisms</w:t>
      </w:r>
    </w:p>
    <w:p w14:paraId="53C07CD5" w14:textId="4E8AC1CA" w:rsidR="00986ED4" w:rsidRPr="00986ED4" w:rsidRDefault="00986ED4" w:rsidP="00941934">
      <w:pPr>
        <w:pStyle w:val="ListParagraph"/>
        <w:numPr>
          <w:ilvl w:val="0"/>
          <w:numId w:val="246"/>
        </w:numPr>
        <w:spacing w:before="0" w:line="259" w:lineRule="auto"/>
        <w:rPr>
          <w:rFonts w:eastAsia="Calibri" w:cs="Times New Roman"/>
          <w:lang w:val="en-US"/>
        </w:rPr>
      </w:pPr>
      <w:r w:rsidRPr="00986ED4">
        <w:rPr>
          <w:rFonts w:eastAsia="Calibri" w:cs="Times New Roman"/>
          <w:lang w:val="en-US"/>
        </w:rPr>
        <w:t>National legislation lacks an approach for identification and assessment of risks and hazards, being limited to potential impacts</w:t>
      </w:r>
    </w:p>
    <w:p w14:paraId="1A81C77B" w14:textId="3C394E81" w:rsidR="00986ED4" w:rsidRPr="00986ED4" w:rsidRDefault="00986ED4" w:rsidP="00941934">
      <w:pPr>
        <w:pStyle w:val="ListParagraph"/>
        <w:numPr>
          <w:ilvl w:val="0"/>
          <w:numId w:val="246"/>
        </w:numPr>
        <w:spacing w:before="0" w:line="259" w:lineRule="auto"/>
        <w:rPr>
          <w:rFonts w:eastAsia="Calibri" w:cs="Times New Roman"/>
          <w:lang w:val="en-US"/>
        </w:rPr>
      </w:pPr>
      <w:r w:rsidRPr="00986ED4">
        <w:rPr>
          <w:rFonts w:eastAsia="Calibri" w:cs="Times New Roman"/>
          <w:lang w:val="en-US"/>
        </w:rPr>
        <w:t xml:space="preserve">National legislation does not provide considerations about regional, </w:t>
      </w:r>
      <w:proofErr w:type="gramStart"/>
      <w:r w:rsidRPr="00986ED4">
        <w:rPr>
          <w:rFonts w:eastAsia="Calibri" w:cs="Times New Roman"/>
          <w:lang w:val="en-US"/>
        </w:rPr>
        <w:t>sectoral</w:t>
      </w:r>
      <w:proofErr w:type="gramEnd"/>
      <w:r w:rsidRPr="00986ED4">
        <w:rPr>
          <w:rFonts w:eastAsia="Calibri" w:cs="Times New Roman"/>
          <w:lang w:val="en-US"/>
        </w:rPr>
        <w:t xml:space="preserve"> and strategic environmental and social impact assessments</w:t>
      </w:r>
    </w:p>
    <w:p w14:paraId="7FCE73D3" w14:textId="7D8588D2" w:rsidR="00986ED4" w:rsidRPr="00986ED4" w:rsidRDefault="00986ED4" w:rsidP="00941934">
      <w:pPr>
        <w:pStyle w:val="ListParagraph"/>
        <w:numPr>
          <w:ilvl w:val="0"/>
          <w:numId w:val="246"/>
        </w:numPr>
        <w:spacing w:before="0" w:line="259" w:lineRule="auto"/>
        <w:rPr>
          <w:rFonts w:eastAsia="Calibri" w:cs="Times New Roman"/>
          <w:lang w:val="en-US"/>
        </w:rPr>
      </w:pPr>
      <w:r w:rsidRPr="00986ED4">
        <w:rPr>
          <w:rFonts w:eastAsia="Calibri" w:cs="Times New Roman"/>
          <w:lang w:val="en-US"/>
        </w:rPr>
        <w:t>The Regulation on Work Accidents and Occupational Diseases, although existing, does not contain standards governed by the regulation, and therefore requires an update to better fit the current context and compliance with the Good Practices on Occupational Health and Safety.</w:t>
      </w:r>
    </w:p>
    <w:p w14:paraId="2A915769" w14:textId="77777777" w:rsidR="00986ED4" w:rsidRPr="00941934" w:rsidRDefault="00986ED4" w:rsidP="00986ED4">
      <w:pPr>
        <w:spacing w:before="0" w:line="259" w:lineRule="auto"/>
        <w:rPr>
          <w:rFonts w:eastAsia="Calibri" w:cs="Times New Roman"/>
          <w:i/>
          <w:iCs/>
          <w:lang w:val="en-US"/>
        </w:rPr>
      </w:pPr>
      <w:r w:rsidRPr="00941934">
        <w:rPr>
          <w:rFonts w:eastAsia="Calibri" w:cs="Times New Roman"/>
          <w:i/>
          <w:iCs/>
          <w:lang w:val="en-US"/>
        </w:rPr>
        <w:t xml:space="preserve">Environmental and social characterization </w:t>
      </w:r>
    </w:p>
    <w:p w14:paraId="539835E7" w14:textId="77777777"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The project area falls within a portion of Northern Mozambique, where it covers the entire area between the Rovuma River, to the north, and the Zambezi River basin to the south. Roughly, this region has a variety of surface shapes giving rise to various landscapes. Due to its morpho-structure, the geomorphology can be characterized by having surfaces of ridges and crests, of intrusive-tectonic and erosive-bare origin characterized by granitic inselbergs (Nampula Province), reliefs sculpted by denudation (region of </w:t>
      </w:r>
      <w:proofErr w:type="spellStart"/>
      <w:r w:rsidRPr="00986ED4">
        <w:rPr>
          <w:rFonts w:eastAsia="Calibri" w:cs="Times New Roman"/>
          <w:lang w:val="en-US"/>
        </w:rPr>
        <w:t>Ribaué</w:t>
      </w:r>
      <w:proofErr w:type="spellEnd"/>
      <w:r w:rsidRPr="00986ED4">
        <w:rPr>
          <w:rFonts w:eastAsia="Calibri" w:cs="Times New Roman"/>
          <w:lang w:val="en-US"/>
        </w:rPr>
        <w:t xml:space="preserve">), smooth reliefs in the formations from the Karoo (right bank tributaries of the Zambezi River, Tete province). The topography and the volume of affluent water create conditions for the occurrence of floods, which are moderate in the small coastal basins of the northern region. Predominates, throughout the project area, the humid tropical climate marked by two seasons: cold and dry (between April and September), and hot and humid (October to March). Most of the districts covered </w:t>
      </w:r>
      <w:proofErr w:type="gramStart"/>
      <w:r w:rsidRPr="00986ED4">
        <w:rPr>
          <w:rFonts w:eastAsia="Calibri" w:cs="Times New Roman"/>
          <w:lang w:val="en-US"/>
        </w:rPr>
        <w:t>are located in</w:t>
      </w:r>
      <w:proofErr w:type="gramEnd"/>
      <w:r w:rsidRPr="00986ED4">
        <w:rPr>
          <w:rFonts w:eastAsia="Calibri" w:cs="Times New Roman"/>
          <w:lang w:val="en-US"/>
        </w:rPr>
        <w:t xml:space="preserve"> areas of large coastal plains, with altitudes below 200 m. However, further inland occurs mountain and plateau areas. Soils are typically acidic, geologically old, poor in nutrients, have low water bearing capacity, low organic matter and nitrogen content, and low extractable phosphorus. Soils are generally shallow and are prone to erosion. In terms of groundwater availability, the Project's catchment areas are mostly favorable, except for some regions further inland where availability is considered unfavorable. Of the approximately 25 main water basins that drain the country, those located in the north, namely, Rovuma, </w:t>
      </w:r>
      <w:proofErr w:type="spellStart"/>
      <w:r w:rsidRPr="00986ED4">
        <w:rPr>
          <w:rFonts w:eastAsia="Calibri" w:cs="Times New Roman"/>
          <w:lang w:val="en-US"/>
        </w:rPr>
        <w:t>Messalo</w:t>
      </w:r>
      <w:proofErr w:type="spellEnd"/>
      <w:r w:rsidRPr="00986ED4">
        <w:rPr>
          <w:rFonts w:eastAsia="Calibri" w:cs="Times New Roman"/>
          <w:lang w:val="en-US"/>
        </w:rPr>
        <w:t xml:space="preserve">, </w:t>
      </w:r>
      <w:proofErr w:type="spellStart"/>
      <w:r w:rsidRPr="00986ED4">
        <w:rPr>
          <w:rFonts w:eastAsia="Calibri" w:cs="Times New Roman"/>
          <w:lang w:val="en-US"/>
        </w:rPr>
        <w:t>Montepuez</w:t>
      </w:r>
      <w:proofErr w:type="spellEnd"/>
      <w:r w:rsidRPr="00986ED4">
        <w:rPr>
          <w:rFonts w:eastAsia="Calibri" w:cs="Times New Roman"/>
          <w:lang w:val="en-US"/>
        </w:rPr>
        <w:t xml:space="preserve">, </w:t>
      </w:r>
      <w:proofErr w:type="spellStart"/>
      <w:r w:rsidRPr="00986ED4">
        <w:rPr>
          <w:rFonts w:eastAsia="Calibri" w:cs="Times New Roman"/>
          <w:lang w:val="en-US"/>
        </w:rPr>
        <w:t>Lúrio</w:t>
      </w:r>
      <w:proofErr w:type="spellEnd"/>
      <w:r w:rsidRPr="00986ED4">
        <w:rPr>
          <w:rFonts w:eastAsia="Calibri" w:cs="Times New Roman"/>
          <w:lang w:val="en-US"/>
        </w:rPr>
        <w:t xml:space="preserve">, Monapo, </w:t>
      </w:r>
      <w:proofErr w:type="spellStart"/>
      <w:r w:rsidRPr="00986ED4">
        <w:rPr>
          <w:rFonts w:eastAsia="Calibri" w:cs="Times New Roman"/>
          <w:lang w:val="en-US"/>
        </w:rPr>
        <w:t>Ligonha</w:t>
      </w:r>
      <w:proofErr w:type="spellEnd"/>
      <w:r w:rsidRPr="00986ED4">
        <w:rPr>
          <w:rFonts w:eastAsia="Calibri" w:cs="Times New Roman"/>
          <w:lang w:val="en-US"/>
        </w:rPr>
        <w:t xml:space="preserve">, </w:t>
      </w:r>
      <w:proofErr w:type="spellStart"/>
      <w:r w:rsidRPr="00986ED4">
        <w:rPr>
          <w:rFonts w:eastAsia="Calibri" w:cs="Times New Roman"/>
          <w:lang w:val="en-US"/>
        </w:rPr>
        <w:t>Licungo</w:t>
      </w:r>
      <w:proofErr w:type="spellEnd"/>
      <w:r w:rsidRPr="00986ED4">
        <w:rPr>
          <w:rFonts w:eastAsia="Calibri" w:cs="Times New Roman"/>
          <w:lang w:val="en-US"/>
        </w:rPr>
        <w:t xml:space="preserve">, </w:t>
      </w:r>
      <w:proofErr w:type="spellStart"/>
      <w:r w:rsidRPr="00986ED4">
        <w:rPr>
          <w:rFonts w:eastAsia="Calibri" w:cs="Times New Roman"/>
          <w:lang w:val="en-US"/>
        </w:rPr>
        <w:t>Zambeze</w:t>
      </w:r>
      <w:proofErr w:type="spellEnd"/>
      <w:r w:rsidRPr="00986ED4">
        <w:rPr>
          <w:rFonts w:eastAsia="Calibri" w:cs="Times New Roman"/>
          <w:lang w:val="en-US"/>
        </w:rPr>
        <w:t xml:space="preserve">, are worthy of mention. Due to its geographic location, the country is one of the most vulnerable to climate change, </w:t>
      </w:r>
      <w:proofErr w:type="gramStart"/>
      <w:r w:rsidRPr="00986ED4">
        <w:rPr>
          <w:rFonts w:eastAsia="Calibri" w:cs="Times New Roman"/>
          <w:lang w:val="en-US"/>
        </w:rPr>
        <w:t>as a result of</w:t>
      </w:r>
      <w:proofErr w:type="gramEnd"/>
      <w:r w:rsidRPr="00986ED4">
        <w:rPr>
          <w:rFonts w:eastAsia="Calibri" w:cs="Times New Roman"/>
          <w:lang w:val="en-US"/>
        </w:rPr>
        <w:t xml:space="preserve"> the occurrence of droughts, floods and cyclones. Tropical cyclones have a greater incidence in the coastal zone of the Central and Northern regions, areas of strong impact of the project activities, being more frequent between the months of October and April. Due to its geographic location, the country is one of the most vulnerable to climate change, </w:t>
      </w:r>
      <w:proofErr w:type="gramStart"/>
      <w:r w:rsidRPr="00986ED4">
        <w:rPr>
          <w:rFonts w:eastAsia="Calibri" w:cs="Times New Roman"/>
          <w:lang w:val="en-US"/>
        </w:rPr>
        <w:t>as a result of</w:t>
      </w:r>
      <w:proofErr w:type="gramEnd"/>
      <w:r w:rsidRPr="00986ED4">
        <w:rPr>
          <w:rFonts w:eastAsia="Calibri" w:cs="Times New Roman"/>
          <w:lang w:val="en-US"/>
        </w:rPr>
        <w:t xml:space="preserve"> the occurrence of droughts, floods and cyclones. Tropical cyclones have a greater incidence in the coastal zone of the Central and Northern regions, areas of strong impact of the project activities, being more frequent between the months of October and April. Due to its geographic location, the country is one of the most vulnerable to climate change, </w:t>
      </w:r>
      <w:proofErr w:type="gramStart"/>
      <w:r w:rsidRPr="00986ED4">
        <w:rPr>
          <w:rFonts w:eastAsia="Calibri" w:cs="Times New Roman"/>
          <w:lang w:val="en-US"/>
        </w:rPr>
        <w:t>as a result of</w:t>
      </w:r>
      <w:proofErr w:type="gramEnd"/>
      <w:r w:rsidRPr="00986ED4">
        <w:rPr>
          <w:rFonts w:eastAsia="Calibri" w:cs="Times New Roman"/>
          <w:lang w:val="en-US"/>
        </w:rPr>
        <w:t xml:space="preserve"> the occurrence of droughts, floods and cyclones. </w:t>
      </w:r>
    </w:p>
    <w:p w14:paraId="1158B2D7" w14:textId="77777777"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In terms of biodiversity, all districts located along the coastal strip covered by the project have mangroves, ecosystems with great importance for biodiversity, contributing to climate change resilience, but also to socioeconomic value. In the project areas forests (sempre </w:t>
      </w:r>
      <w:proofErr w:type="spellStart"/>
      <w:r w:rsidRPr="00986ED4">
        <w:rPr>
          <w:rFonts w:eastAsia="Calibri" w:cs="Times New Roman"/>
          <w:lang w:val="en-US"/>
        </w:rPr>
        <w:t>verde</w:t>
      </w:r>
      <w:proofErr w:type="spellEnd"/>
      <w:r w:rsidRPr="00986ED4">
        <w:rPr>
          <w:rFonts w:eastAsia="Calibri" w:cs="Times New Roman"/>
          <w:lang w:val="en-US"/>
        </w:rPr>
        <w:t xml:space="preserve">) are </w:t>
      </w:r>
      <w:r w:rsidRPr="00986ED4">
        <w:rPr>
          <w:rFonts w:eastAsia="Calibri" w:cs="Times New Roman"/>
          <w:lang w:val="en-US"/>
        </w:rPr>
        <w:lastRenderedPageBreak/>
        <w:t xml:space="preserve">present as well as forest with a high density of the arboreal layer, with thick trunk trees, with wide crowns that rise to a height of 10 to 20 m. Conservation areas are found in some of the districts covered by the Project. These areas are the following </w:t>
      </w:r>
    </w:p>
    <w:p w14:paraId="12D1A65E" w14:textId="06DED7F4" w:rsidR="00986ED4" w:rsidRPr="00941934" w:rsidRDefault="00986ED4" w:rsidP="00941934">
      <w:pPr>
        <w:pStyle w:val="ListParagraph"/>
        <w:numPr>
          <w:ilvl w:val="0"/>
          <w:numId w:val="246"/>
        </w:numPr>
        <w:spacing w:before="0" w:line="259" w:lineRule="auto"/>
        <w:rPr>
          <w:rFonts w:eastAsia="Calibri" w:cs="Times New Roman"/>
          <w:lang w:val="pt-PT"/>
        </w:rPr>
      </w:pPr>
      <w:proofErr w:type="spellStart"/>
      <w:r w:rsidRPr="00941934">
        <w:rPr>
          <w:rFonts w:eastAsia="Calibri" w:cs="Times New Roman"/>
          <w:lang w:val="pt-PT"/>
        </w:rPr>
        <w:t>National</w:t>
      </w:r>
      <w:proofErr w:type="spellEnd"/>
      <w:r w:rsidRPr="00941934">
        <w:rPr>
          <w:rFonts w:eastAsia="Calibri" w:cs="Times New Roman"/>
          <w:lang w:val="pt-PT"/>
        </w:rPr>
        <w:t xml:space="preserve"> </w:t>
      </w:r>
      <w:proofErr w:type="spellStart"/>
      <w:r w:rsidRPr="00941934">
        <w:rPr>
          <w:rFonts w:eastAsia="Calibri" w:cs="Times New Roman"/>
          <w:lang w:val="pt-PT"/>
        </w:rPr>
        <w:t>Park</w:t>
      </w:r>
      <w:proofErr w:type="spellEnd"/>
      <w:r w:rsidRPr="00941934">
        <w:rPr>
          <w:rFonts w:eastAsia="Calibri" w:cs="Times New Roman"/>
          <w:lang w:val="pt-PT"/>
        </w:rPr>
        <w:t xml:space="preserve"> Environmental </w:t>
      </w:r>
      <w:proofErr w:type="spellStart"/>
      <w:r w:rsidRPr="00941934">
        <w:rPr>
          <w:rFonts w:eastAsia="Calibri" w:cs="Times New Roman"/>
          <w:lang w:val="pt-PT"/>
        </w:rPr>
        <w:t>Protection</w:t>
      </w:r>
      <w:proofErr w:type="spellEnd"/>
      <w:r w:rsidRPr="00941934">
        <w:rPr>
          <w:rFonts w:eastAsia="Calibri" w:cs="Times New Roman"/>
          <w:lang w:val="pt-PT"/>
        </w:rPr>
        <w:t xml:space="preserve"> </w:t>
      </w:r>
      <w:proofErr w:type="spellStart"/>
      <w:r w:rsidRPr="00941934">
        <w:rPr>
          <w:rFonts w:eastAsia="Calibri" w:cs="Times New Roman"/>
          <w:lang w:val="pt-PT"/>
        </w:rPr>
        <w:t>Area</w:t>
      </w:r>
      <w:proofErr w:type="spellEnd"/>
      <w:r w:rsidRPr="00941934">
        <w:rPr>
          <w:rFonts w:eastAsia="Calibri" w:cs="Times New Roman"/>
          <w:lang w:val="pt-PT"/>
        </w:rPr>
        <w:t xml:space="preserve"> Ilhas das Primeiras &amp; Segundas</w:t>
      </w:r>
    </w:p>
    <w:p w14:paraId="0FE829D6" w14:textId="2E0F6244" w:rsidR="00986ED4" w:rsidRPr="00941934" w:rsidRDefault="00986ED4" w:rsidP="00941934">
      <w:pPr>
        <w:pStyle w:val="ListParagraph"/>
        <w:numPr>
          <w:ilvl w:val="0"/>
          <w:numId w:val="246"/>
        </w:numPr>
        <w:spacing w:before="0" w:line="259" w:lineRule="auto"/>
        <w:rPr>
          <w:rFonts w:eastAsia="Calibri" w:cs="Times New Roman"/>
          <w:lang w:val="en-US"/>
        </w:rPr>
      </w:pPr>
      <w:proofErr w:type="spellStart"/>
      <w:r w:rsidRPr="00941934">
        <w:rPr>
          <w:rFonts w:eastAsia="Calibri" w:cs="Times New Roman"/>
          <w:lang w:val="en-US"/>
        </w:rPr>
        <w:t>Mupalue</w:t>
      </w:r>
      <w:proofErr w:type="spellEnd"/>
      <w:r w:rsidRPr="00941934">
        <w:rPr>
          <w:rFonts w:eastAsia="Calibri" w:cs="Times New Roman"/>
          <w:lang w:val="en-US"/>
        </w:rPr>
        <w:t xml:space="preserve"> Forest Reserve, </w:t>
      </w:r>
    </w:p>
    <w:p w14:paraId="5899A75F" w14:textId="1F398E24" w:rsidR="00986ED4" w:rsidRPr="00941934" w:rsidRDefault="00986ED4" w:rsidP="00941934">
      <w:pPr>
        <w:pStyle w:val="ListParagraph"/>
        <w:numPr>
          <w:ilvl w:val="0"/>
          <w:numId w:val="246"/>
        </w:numPr>
        <w:spacing w:before="0" w:line="259" w:lineRule="auto"/>
        <w:rPr>
          <w:rFonts w:eastAsia="Calibri" w:cs="Times New Roman"/>
          <w:lang w:val="en-US"/>
        </w:rPr>
      </w:pPr>
      <w:proofErr w:type="spellStart"/>
      <w:r w:rsidRPr="00941934">
        <w:rPr>
          <w:rFonts w:eastAsia="Calibri" w:cs="Times New Roman"/>
          <w:lang w:val="en-US"/>
        </w:rPr>
        <w:t>Ribauè</w:t>
      </w:r>
      <w:proofErr w:type="spellEnd"/>
      <w:r w:rsidRPr="00941934">
        <w:rPr>
          <w:rFonts w:eastAsia="Calibri" w:cs="Times New Roman"/>
          <w:lang w:val="en-US"/>
        </w:rPr>
        <w:t xml:space="preserve"> Forest Reserve</w:t>
      </w:r>
    </w:p>
    <w:p w14:paraId="19B6BCEF" w14:textId="7E0EC0D5" w:rsidR="00986ED4" w:rsidRPr="00941934" w:rsidRDefault="00986ED4" w:rsidP="00941934">
      <w:pPr>
        <w:pStyle w:val="ListParagraph"/>
        <w:numPr>
          <w:ilvl w:val="0"/>
          <w:numId w:val="246"/>
        </w:numPr>
        <w:spacing w:before="0" w:line="259" w:lineRule="auto"/>
        <w:rPr>
          <w:rFonts w:eastAsia="Calibri" w:cs="Times New Roman"/>
          <w:lang w:val="en-US"/>
        </w:rPr>
      </w:pPr>
      <w:proofErr w:type="spellStart"/>
      <w:r w:rsidRPr="00941934">
        <w:rPr>
          <w:rFonts w:eastAsia="Calibri" w:cs="Times New Roman"/>
          <w:lang w:val="en-US"/>
        </w:rPr>
        <w:t>Derre</w:t>
      </w:r>
      <w:proofErr w:type="spellEnd"/>
      <w:r w:rsidRPr="00941934">
        <w:rPr>
          <w:rFonts w:eastAsia="Calibri" w:cs="Times New Roman"/>
          <w:lang w:val="en-US"/>
        </w:rPr>
        <w:t xml:space="preserve"> Forest Reserve</w:t>
      </w:r>
    </w:p>
    <w:p w14:paraId="127AD300" w14:textId="43495DD6" w:rsidR="00986ED4" w:rsidRPr="00941934" w:rsidRDefault="00986ED4" w:rsidP="00941934">
      <w:pPr>
        <w:pStyle w:val="ListParagraph"/>
        <w:numPr>
          <w:ilvl w:val="0"/>
          <w:numId w:val="246"/>
        </w:numPr>
        <w:spacing w:before="0" w:line="259" w:lineRule="auto"/>
        <w:rPr>
          <w:rFonts w:eastAsia="Calibri" w:cs="Times New Roman"/>
          <w:lang w:val="en-US"/>
        </w:rPr>
      </w:pPr>
      <w:proofErr w:type="spellStart"/>
      <w:r w:rsidRPr="00941934">
        <w:rPr>
          <w:rFonts w:eastAsia="Calibri" w:cs="Times New Roman"/>
          <w:lang w:val="en-US"/>
        </w:rPr>
        <w:t>Gilé</w:t>
      </w:r>
      <w:proofErr w:type="spellEnd"/>
      <w:r w:rsidRPr="00941934">
        <w:rPr>
          <w:rFonts w:eastAsia="Calibri" w:cs="Times New Roman"/>
          <w:lang w:val="en-US"/>
        </w:rPr>
        <w:t xml:space="preserve"> National Reserve, </w:t>
      </w:r>
      <w:proofErr w:type="spellStart"/>
      <w:r w:rsidRPr="00941934">
        <w:rPr>
          <w:rFonts w:eastAsia="Calibri" w:cs="Times New Roman"/>
          <w:lang w:val="en-US"/>
        </w:rPr>
        <w:t>Mulela</w:t>
      </w:r>
      <w:proofErr w:type="spellEnd"/>
      <w:r w:rsidRPr="00941934">
        <w:rPr>
          <w:rFonts w:eastAsia="Calibri" w:cs="Times New Roman"/>
          <w:lang w:val="en-US"/>
        </w:rPr>
        <w:t xml:space="preserve"> Hunting Area</w:t>
      </w:r>
    </w:p>
    <w:p w14:paraId="0CFD66FE" w14:textId="70A1C596" w:rsidR="00986ED4" w:rsidRPr="00941934" w:rsidRDefault="00986ED4" w:rsidP="00941934">
      <w:pPr>
        <w:pStyle w:val="ListParagraph"/>
        <w:numPr>
          <w:ilvl w:val="0"/>
          <w:numId w:val="246"/>
        </w:numPr>
        <w:spacing w:before="0" w:line="259" w:lineRule="auto"/>
        <w:rPr>
          <w:rFonts w:eastAsia="Calibri" w:cs="Times New Roman"/>
          <w:lang w:val="en-US"/>
        </w:rPr>
      </w:pPr>
      <w:proofErr w:type="spellStart"/>
      <w:r w:rsidRPr="00941934">
        <w:rPr>
          <w:rFonts w:eastAsia="Calibri" w:cs="Times New Roman"/>
          <w:lang w:val="en-US"/>
        </w:rPr>
        <w:t>Namuli</w:t>
      </w:r>
      <w:proofErr w:type="spellEnd"/>
      <w:r w:rsidRPr="00941934">
        <w:rPr>
          <w:rFonts w:eastAsia="Calibri" w:cs="Times New Roman"/>
          <w:lang w:val="en-US"/>
        </w:rPr>
        <w:t xml:space="preserve"> Hills</w:t>
      </w:r>
    </w:p>
    <w:p w14:paraId="7064D664" w14:textId="09260C73"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 xml:space="preserve">Mount </w:t>
      </w:r>
      <w:proofErr w:type="spellStart"/>
      <w:r w:rsidRPr="00941934">
        <w:rPr>
          <w:rFonts w:eastAsia="Calibri" w:cs="Times New Roman"/>
          <w:lang w:val="en-US"/>
        </w:rPr>
        <w:t>Mabu</w:t>
      </w:r>
      <w:proofErr w:type="spellEnd"/>
    </w:p>
    <w:p w14:paraId="6781BC67" w14:textId="13B83C1F" w:rsidR="00986ED4" w:rsidRPr="00941934" w:rsidRDefault="00986ED4" w:rsidP="00941934">
      <w:pPr>
        <w:pStyle w:val="ListParagraph"/>
        <w:numPr>
          <w:ilvl w:val="0"/>
          <w:numId w:val="246"/>
        </w:numPr>
        <w:spacing w:before="0" w:line="259" w:lineRule="auto"/>
        <w:rPr>
          <w:rFonts w:eastAsia="Calibri" w:cs="Times New Roman"/>
          <w:lang w:val="en-US"/>
        </w:rPr>
      </w:pPr>
      <w:proofErr w:type="spellStart"/>
      <w:r w:rsidRPr="00941934">
        <w:rPr>
          <w:rFonts w:eastAsia="Calibri" w:cs="Times New Roman"/>
          <w:lang w:val="en-US"/>
        </w:rPr>
        <w:t>Chiperone</w:t>
      </w:r>
      <w:proofErr w:type="spellEnd"/>
      <w:r w:rsidRPr="00941934">
        <w:rPr>
          <w:rFonts w:eastAsia="Calibri" w:cs="Times New Roman"/>
          <w:lang w:val="en-US"/>
        </w:rPr>
        <w:t xml:space="preserve"> Hills</w:t>
      </w:r>
    </w:p>
    <w:p w14:paraId="7725A1D8" w14:textId="1DE72869" w:rsidR="00986ED4" w:rsidRPr="00941934" w:rsidRDefault="00986ED4" w:rsidP="00941934">
      <w:pPr>
        <w:pStyle w:val="ListParagraph"/>
        <w:numPr>
          <w:ilvl w:val="0"/>
          <w:numId w:val="246"/>
        </w:numPr>
        <w:spacing w:before="0" w:line="259" w:lineRule="auto"/>
        <w:rPr>
          <w:rFonts w:eastAsia="Calibri" w:cs="Times New Roman"/>
          <w:lang w:val="pt-PT"/>
        </w:rPr>
      </w:pPr>
      <w:proofErr w:type="spellStart"/>
      <w:r w:rsidRPr="00941934">
        <w:rPr>
          <w:rFonts w:eastAsia="Calibri" w:cs="Times New Roman"/>
          <w:lang w:val="pt-PT"/>
        </w:rPr>
        <w:t>Derre</w:t>
      </w:r>
      <w:proofErr w:type="spellEnd"/>
      <w:r w:rsidRPr="00941934">
        <w:rPr>
          <w:rFonts w:eastAsia="Calibri" w:cs="Times New Roman"/>
          <w:lang w:val="pt-PT"/>
        </w:rPr>
        <w:t xml:space="preserve"> </w:t>
      </w:r>
      <w:proofErr w:type="spellStart"/>
      <w:r w:rsidRPr="00941934">
        <w:rPr>
          <w:rFonts w:eastAsia="Calibri" w:cs="Times New Roman"/>
          <w:lang w:val="pt-PT"/>
        </w:rPr>
        <w:t>Forest</w:t>
      </w:r>
      <w:proofErr w:type="spellEnd"/>
      <w:r w:rsidRPr="00941934">
        <w:rPr>
          <w:rFonts w:eastAsia="Calibri" w:cs="Times New Roman"/>
          <w:lang w:val="pt-PT"/>
        </w:rPr>
        <w:t xml:space="preserve"> Reserve</w:t>
      </w:r>
    </w:p>
    <w:p w14:paraId="79BEC0EB" w14:textId="480611FF" w:rsidR="00986ED4" w:rsidRPr="00941934" w:rsidRDefault="00986ED4" w:rsidP="00941934">
      <w:pPr>
        <w:pStyle w:val="ListParagraph"/>
        <w:numPr>
          <w:ilvl w:val="0"/>
          <w:numId w:val="246"/>
        </w:numPr>
        <w:spacing w:before="0" w:line="259" w:lineRule="auto"/>
        <w:rPr>
          <w:rFonts w:eastAsia="Calibri" w:cs="Times New Roman"/>
          <w:lang w:val="pt-PT"/>
        </w:rPr>
      </w:pPr>
      <w:r w:rsidRPr="00941934">
        <w:rPr>
          <w:rFonts w:eastAsia="Calibri" w:cs="Times New Roman"/>
          <w:lang w:val="pt-PT"/>
        </w:rPr>
        <w:t xml:space="preserve">Gilé </w:t>
      </w:r>
      <w:proofErr w:type="spellStart"/>
      <w:r w:rsidRPr="00941934">
        <w:rPr>
          <w:rFonts w:eastAsia="Calibri" w:cs="Times New Roman"/>
          <w:lang w:val="pt-PT"/>
        </w:rPr>
        <w:t>National</w:t>
      </w:r>
      <w:proofErr w:type="spellEnd"/>
      <w:r w:rsidRPr="00941934">
        <w:rPr>
          <w:rFonts w:eastAsia="Calibri" w:cs="Times New Roman"/>
          <w:lang w:val="pt-PT"/>
        </w:rPr>
        <w:t xml:space="preserve"> Reserve, Ilha das Primeiras &amp; Segundas Environmental </w:t>
      </w:r>
      <w:proofErr w:type="spellStart"/>
      <w:r w:rsidRPr="00941934">
        <w:rPr>
          <w:rFonts w:eastAsia="Calibri" w:cs="Times New Roman"/>
          <w:lang w:val="pt-PT"/>
        </w:rPr>
        <w:t>Protection</w:t>
      </w:r>
      <w:proofErr w:type="spellEnd"/>
      <w:r w:rsidRPr="00941934">
        <w:rPr>
          <w:rFonts w:eastAsia="Calibri" w:cs="Times New Roman"/>
          <w:lang w:val="pt-PT"/>
        </w:rPr>
        <w:t xml:space="preserve"> </w:t>
      </w:r>
      <w:proofErr w:type="spellStart"/>
      <w:r w:rsidRPr="00941934">
        <w:rPr>
          <w:rFonts w:eastAsia="Calibri" w:cs="Times New Roman"/>
          <w:lang w:val="pt-PT"/>
        </w:rPr>
        <w:t>Area</w:t>
      </w:r>
      <w:proofErr w:type="spellEnd"/>
      <w:r w:rsidRPr="00941934">
        <w:rPr>
          <w:rFonts w:eastAsia="Calibri" w:cs="Times New Roman"/>
          <w:lang w:val="pt-PT"/>
        </w:rPr>
        <w:t xml:space="preserve"> </w:t>
      </w:r>
      <w:proofErr w:type="spellStart"/>
      <w:r w:rsidRPr="00941934">
        <w:rPr>
          <w:rFonts w:eastAsia="Calibri" w:cs="Times New Roman"/>
          <w:lang w:val="pt-PT"/>
        </w:rPr>
        <w:t>National</w:t>
      </w:r>
      <w:proofErr w:type="spellEnd"/>
      <w:r w:rsidRPr="00941934">
        <w:rPr>
          <w:rFonts w:eastAsia="Calibri" w:cs="Times New Roman"/>
          <w:lang w:val="pt-PT"/>
        </w:rPr>
        <w:t xml:space="preserve"> </w:t>
      </w:r>
      <w:proofErr w:type="spellStart"/>
      <w:r w:rsidRPr="00941934">
        <w:rPr>
          <w:rFonts w:eastAsia="Calibri" w:cs="Times New Roman"/>
          <w:lang w:val="pt-PT"/>
        </w:rPr>
        <w:t>Park</w:t>
      </w:r>
      <w:proofErr w:type="spellEnd"/>
      <w:r w:rsidRPr="00941934">
        <w:rPr>
          <w:rFonts w:eastAsia="Calibri" w:cs="Times New Roman"/>
          <w:lang w:val="pt-PT"/>
        </w:rPr>
        <w:t xml:space="preserve">, </w:t>
      </w:r>
      <w:proofErr w:type="spellStart"/>
      <w:r w:rsidRPr="00941934">
        <w:rPr>
          <w:rFonts w:eastAsia="Calibri" w:cs="Times New Roman"/>
          <w:lang w:val="pt-PT"/>
        </w:rPr>
        <w:t>Moebase</w:t>
      </w:r>
      <w:proofErr w:type="spellEnd"/>
      <w:r w:rsidRPr="00941934">
        <w:rPr>
          <w:rFonts w:eastAsia="Calibri" w:cs="Times New Roman"/>
          <w:lang w:val="pt-PT"/>
        </w:rPr>
        <w:t xml:space="preserve"> </w:t>
      </w:r>
      <w:proofErr w:type="spellStart"/>
      <w:r w:rsidRPr="00941934">
        <w:rPr>
          <w:rFonts w:eastAsia="Calibri" w:cs="Times New Roman"/>
          <w:lang w:val="pt-PT"/>
        </w:rPr>
        <w:t>Region</w:t>
      </w:r>
      <w:proofErr w:type="spellEnd"/>
      <w:r w:rsidRPr="00941934">
        <w:rPr>
          <w:rFonts w:eastAsia="Calibri" w:cs="Times New Roman"/>
          <w:lang w:val="pt-PT"/>
        </w:rPr>
        <w:t xml:space="preserve"> IBA</w:t>
      </w:r>
    </w:p>
    <w:p w14:paraId="25FBF57A" w14:textId="2BED32EA"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According to the most recent data from INE, through the definitive results of the IV General Census of Population and Housing of 2017, Mozambique registered a total population of 27.909,798 inhabitants, showing an overall growth of 35% between 2007 and 2017 (INE, 2017), showing an acceleration in the country's population growth. The central and northern provinces, namely Nampula and </w:t>
      </w:r>
      <w:proofErr w:type="spellStart"/>
      <w:r w:rsidRPr="00986ED4">
        <w:rPr>
          <w:rFonts w:eastAsia="Calibri" w:cs="Times New Roman"/>
          <w:lang w:val="en-US"/>
        </w:rPr>
        <w:t>Zambézia</w:t>
      </w:r>
      <w:proofErr w:type="spellEnd"/>
      <w:r w:rsidRPr="00986ED4">
        <w:rPr>
          <w:rFonts w:eastAsia="Calibri" w:cs="Times New Roman"/>
          <w:lang w:val="en-US"/>
        </w:rPr>
        <w:t xml:space="preserve">, were the provinces that mostly contributed to population growth, with a total of about 5.7 and 5.1 million inhabitants, respectively, in the provinces of Nampula and </w:t>
      </w:r>
      <w:proofErr w:type="spellStart"/>
      <w:r w:rsidRPr="00986ED4">
        <w:rPr>
          <w:rFonts w:eastAsia="Calibri" w:cs="Times New Roman"/>
          <w:lang w:val="en-US"/>
        </w:rPr>
        <w:t>Zambézia</w:t>
      </w:r>
      <w:proofErr w:type="spellEnd"/>
      <w:r w:rsidRPr="00986ED4">
        <w:rPr>
          <w:rFonts w:eastAsia="Calibri" w:cs="Times New Roman"/>
          <w:lang w:val="en-US"/>
        </w:rPr>
        <w:t xml:space="preserve">, bringing together </w:t>
      </w:r>
      <w:proofErr w:type="spellStart"/>
      <w:r w:rsidRPr="00986ED4">
        <w:rPr>
          <w:rFonts w:eastAsia="Calibri" w:cs="Times New Roman"/>
          <w:lang w:val="en-US"/>
        </w:rPr>
        <w:t>together</w:t>
      </w:r>
      <w:proofErr w:type="spellEnd"/>
      <w:r w:rsidRPr="00986ED4">
        <w:rPr>
          <w:rFonts w:eastAsia="Calibri" w:cs="Times New Roman"/>
          <w:lang w:val="en-US"/>
        </w:rPr>
        <w:t xml:space="preserve"> 39% of the country's population. Nampula and </w:t>
      </w:r>
      <w:proofErr w:type="spellStart"/>
      <w:r w:rsidRPr="00986ED4">
        <w:rPr>
          <w:rFonts w:eastAsia="Calibri" w:cs="Times New Roman"/>
          <w:lang w:val="en-US"/>
        </w:rPr>
        <w:t>Zambézia</w:t>
      </w:r>
      <w:proofErr w:type="spellEnd"/>
      <w:r w:rsidRPr="00986ED4">
        <w:rPr>
          <w:rFonts w:eastAsia="Calibri" w:cs="Times New Roman"/>
          <w:lang w:val="en-US"/>
        </w:rPr>
        <w:t xml:space="preserve"> are the ones with the highest population densities, 70.6 </w:t>
      </w:r>
      <w:proofErr w:type="spellStart"/>
      <w:r w:rsidRPr="00986ED4">
        <w:rPr>
          <w:rFonts w:eastAsia="Calibri" w:cs="Times New Roman"/>
          <w:lang w:val="en-US"/>
        </w:rPr>
        <w:t>inhab</w:t>
      </w:r>
      <w:proofErr w:type="spellEnd"/>
      <w:r w:rsidRPr="00986ED4">
        <w:rPr>
          <w:rFonts w:eastAsia="Calibri" w:cs="Times New Roman"/>
          <w:lang w:val="en-US"/>
        </w:rPr>
        <w:t xml:space="preserve">/km2 and 49.2 </w:t>
      </w:r>
      <w:proofErr w:type="spellStart"/>
      <w:r w:rsidRPr="00986ED4">
        <w:rPr>
          <w:rFonts w:eastAsia="Calibri" w:cs="Times New Roman"/>
          <w:lang w:val="en-US"/>
        </w:rPr>
        <w:t>inhab</w:t>
      </w:r>
      <w:proofErr w:type="spellEnd"/>
      <w:r w:rsidRPr="00986ED4">
        <w:rPr>
          <w:rFonts w:eastAsia="Calibri" w:cs="Times New Roman"/>
          <w:lang w:val="en-US"/>
        </w:rPr>
        <w:t>/km2, respectively.</w:t>
      </w:r>
    </w:p>
    <w:p w14:paraId="4E0517C5" w14:textId="77777777"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Currently, the economy of the provinces of Nampula and </w:t>
      </w:r>
      <w:proofErr w:type="spellStart"/>
      <w:r w:rsidRPr="00986ED4">
        <w:rPr>
          <w:rFonts w:eastAsia="Calibri" w:cs="Times New Roman"/>
          <w:lang w:val="en-US"/>
        </w:rPr>
        <w:t>Zambézia</w:t>
      </w:r>
      <w:proofErr w:type="spellEnd"/>
      <w:r w:rsidRPr="00986ED4">
        <w:rPr>
          <w:rFonts w:eastAsia="Calibri" w:cs="Times New Roman"/>
          <w:lang w:val="en-US"/>
        </w:rPr>
        <w:t>, has been since March 2020, weakened, associated on one hand by the outbreak of COVID-19 pandemic, and by the exposure to vulnerability to climate change that since 2019 has been hitting the country in severe way.</w:t>
      </w:r>
    </w:p>
    <w:p w14:paraId="346DC13A" w14:textId="3CFD0022"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From a gender perspective, according to </w:t>
      </w:r>
      <w:proofErr w:type="spellStart"/>
      <w:r w:rsidRPr="00986ED4">
        <w:rPr>
          <w:rFonts w:eastAsia="Calibri" w:cs="Times New Roman"/>
          <w:lang w:val="en-US"/>
        </w:rPr>
        <w:t>Gradin</w:t>
      </w:r>
      <w:proofErr w:type="spellEnd"/>
      <w:r w:rsidRPr="00986ED4">
        <w:rPr>
          <w:rFonts w:eastAsia="Calibri" w:cs="Times New Roman"/>
          <w:lang w:val="en-US"/>
        </w:rPr>
        <w:t xml:space="preserve"> &amp; Tarp (2019), in the country, men are in a more privileged position than women in terms of access to opportunities during the expansion of the formal sector. Gender inequalities in terms of human capital, expressed in factors such as education, </w:t>
      </w:r>
      <w:r w:rsidR="001E4B2C" w:rsidRPr="00986ED4">
        <w:rPr>
          <w:rFonts w:eastAsia="Calibri" w:cs="Times New Roman"/>
          <w:lang w:val="en-US"/>
        </w:rPr>
        <w:t>literacy,</w:t>
      </w:r>
      <w:r w:rsidRPr="00986ED4">
        <w:rPr>
          <w:rFonts w:eastAsia="Calibri" w:cs="Times New Roman"/>
          <w:lang w:val="en-US"/>
        </w:rPr>
        <w:t xml:space="preserve"> and Portuguese language proficiency, constitute some of the barriers for most Mozambican women to access opportunities in the formal labor market. These inequalities create perceptions of male </w:t>
      </w:r>
      <w:r w:rsidR="001E4B2C" w:rsidRPr="00986ED4">
        <w:rPr>
          <w:rFonts w:eastAsia="Calibri" w:cs="Times New Roman"/>
          <w:lang w:val="en-US"/>
        </w:rPr>
        <w:t>dominance and</w:t>
      </w:r>
      <w:r w:rsidRPr="00986ED4">
        <w:rPr>
          <w:rFonts w:eastAsia="Calibri" w:cs="Times New Roman"/>
          <w:lang w:val="en-US"/>
        </w:rPr>
        <w:t xml:space="preserve"> refer women to a situation of greater vulnerability </w:t>
      </w:r>
      <w:proofErr w:type="gramStart"/>
      <w:r w:rsidRPr="00986ED4">
        <w:rPr>
          <w:rFonts w:eastAsia="Calibri" w:cs="Times New Roman"/>
          <w:lang w:val="en-US"/>
        </w:rPr>
        <w:t>with regard to</w:t>
      </w:r>
      <w:proofErr w:type="gramEnd"/>
      <w:r w:rsidRPr="00986ED4">
        <w:rPr>
          <w:rFonts w:eastAsia="Calibri" w:cs="Times New Roman"/>
          <w:lang w:val="en-US"/>
        </w:rPr>
        <w:t xml:space="preserve"> gender-based violence (GBV). A Gender-based Violence Risk Assessment is presented in the current ESMF. </w:t>
      </w:r>
    </w:p>
    <w:p w14:paraId="0D1C60E4" w14:textId="03909996" w:rsidR="009A5DA2" w:rsidRPr="00941934" w:rsidRDefault="009A5DA2" w:rsidP="00986ED4">
      <w:pPr>
        <w:spacing w:before="0" w:line="259" w:lineRule="auto"/>
        <w:rPr>
          <w:rFonts w:eastAsia="Calibri" w:cs="Times New Roman"/>
          <w:i/>
          <w:iCs/>
          <w:lang w:val="en-US"/>
        </w:rPr>
      </w:pPr>
      <w:r w:rsidRPr="00941934">
        <w:rPr>
          <w:rFonts w:eastAsia="Calibri" w:cs="Times New Roman"/>
          <w:i/>
          <w:iCs/>
          <w:lang w:val="en-US"/>
        </w:rPr>
        <w:t>Assessment of Environmental and Social Risks and Impacts</w:t>
      </w:r>
    </w:p>
    <w:p w14:paraId="3015E42F" w14:textId="65BEFD6A"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The project, if properly prepared and implemented, will bring significant positive environmental and social impacts. The operational phase </w:t>
      </w:r>
      <w:r w:rsidR="001E4B2C" w:rsidRPr="00986ED4">
        <w:rPr>
          <w:rFonts w:eastAsia="Calibri" w:cs="Times New Roman"/>
          <w:lang w:val="en-US"/>
        </w:rPr>
        <w:t>is</w:t>
      </w:r>
      <w:r w:rsidRPr="00986ED4">
        <w:rPr>
          <w:rFonts w:eastAsia="Calibri" w:cs="Times New Roman"/>
          <w:lang w:val="en-US"/>
        </w:rPr>
        <w:t xml:space="preserve"> the </w:t>
      </w:r>
      <w:r w:rsidR="008D18CF">
        <w:rPr>
          <w:rFonts w:eastAsia="Calibri" w:cs="Times New Roman"/>
          <w:lang w:val="en-US"/>
        </w:rPr>
        <w:t>one</w:t>
      </w:r>
      <w:r w:rsidRPr="00986ED4">
        <w:rPr>
          <w:rFonts w:eastAsia="Calibri" w:cs="Times New Roman"/>
          <w:lang w:val="en-US"/>
        </w:rPr>
        <w:t xml:space="preserve"> </w:t>
      </w:r>
      <w:r w:rsidR="008D18CF">
        <w:rPr>
          <w:rFonts w:eastAsia="Calibri" w:cs="Times New Roman"/>
          <w:lang w:val="en-US"/>
        </w:rPr>
        <w:t>on</w:t>
      </w:r>
      <w:r w:rsidRPr="00986ED4">
        <w:rPr>
          <w:rFonts w:eastAsia="Calibri" w:cs="Times New Roman"/>
          <w:lang w:val="en-US"/>
        </w:rPr>
        <w:t xml:space="preserve"> which social impacts are mostly positive, resulting from the provision of water to populations in small towns, towns and localities and the provision of sanitation services in small towns and villages. The main positive impact during construction phase consists of employment opportunities generation and consequently increasing the income of benefited families. In operation phase, the risks and negative impacts will be more reduced and localized, resulting from the operation and functioning of the water supply and sanitation systems installed during the construction phase. The risks and impacts classified as significant and very significant according to the ESMF assessment are the following:</w:t>
      </w:r>
    </w:p>
    <w:p w14:paraId="52DFAFC5" w14:textId="45C6F53A"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lastRenderedPageBreak/>
        <w:t xml:space="preserve">Emission of air pollutants including dust and gas emissions from combustion sources </w:t>
      </w:r>
    </w:p>
    <w:p w14:paraId="6A670A75" w14:textId="7CBA9113"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 xml:space="preserve">Noise emission </w:t>
      </w:r>
    </w:p>
    <w:p w14:paraId="0E0907F1" w14:textId="1C5C9265"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 xml:space="preserve">Loss, contamination, compaction, impermeability of soils and generation of erosive processes </w:t>
      </w:r>
    </w:p>
    <w:p w14:paraId="0B826F70" w14:textId="2668F659"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 xml:space="preserve">Changing the quality of surface and groundwater </w:t>
      </w:r>
    </w:p>
    <w:p w14:paraId="25F9C8B9" w14:textId="23BF7D04"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Potential depletion of groundwater and changes in aquifer functions due to excessive abstraction and abstraction of water in intermittent watercourses</w:t>
      </w:r>
    </w:p>
    <w:p w14:paraId="7A961B0C" w14:textId="042BBD47"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 xml:space="preserve">Fuel and chemical spills </w:t>
      </w:r>
    </w:p>
    <w:p w14:paraId="6B98A440" w14:textId="1D08F076"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Removal of existing (natural) vegetation, loss of species of flora and fauna</w:t>
      </w:r>
    </w:p>
    <w:p w14:paraId="59E2260E" w14:textId="7AFDA406"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Loss and fragmentation of habitats</w:t>
      </w:r>
    </w:p>
    <w:p w14:paraId="53DADC33" w14:textId="6F8A6D1E"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 xml:space="preserve">Changes to the land use </w:t>
      </w:r>
    </w:p>
    <w:p w14:paraId="0E3E66B3" w14:textId="2C890A51"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 xml:space="preserve">Land expropriation, loss of productive land, loss of livelihood </w:t>
      </w:r>
    </w:p>
    <w:p w14:paraId="0AF69029" w14:textId="205D86FE"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 xml:space="preserve">Land expropriation family displacement </w:t>
      </w:r>
    </w:p>
    <w:p w14:paraId="3005320A" w14:textId="3F106F47"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Influx of people to project implementation areas</w:t>
      </w:r>
    </w:p>
    <w:p w14:paraId="525D6580" w14:textId="7489C8B0"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 xml:space="preserve">Interferences in utility service networks </w:t>
      </w:r>
    </w:p>
    <w:p w14:paraId="640BBE5B" w14:textId="64E4F63B"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Increased traffic volume and potential for road accidents</w:t>
      </w:r>
    </w:p>
    <w:p w14:paraId="3192A79D" w14:textId="3EC71DA9"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Interference with cultural heritage resources</w:t>
      </w:r>
    </w:p>
    <w:p w14:paraId="623503DB" w14:textId="77777777"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The hiring and management of labor entails labor risks mainly influenced by factors associated with the type of management of the construction areas, management of workers' camps, management of the non-resident workforce. In this context, and in response to the ESS requirements, occupational health and safety risks, community health and safety risks, management risks and workers' rights and risks of gender-based violence (GBV) including, among others, Sexual Harassment and Exploitation were also identified.</w:t>
      </w:r>
    </w:p>
    <w:p w14:paraId="26E1CFE3" w14:textId="77777777"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The minimization of the identified environmental and social risks and impacts involves the implementation of measures to minimize, remedy and compensate through the implementation of action plans and environmental management plans during the execution of the Project. The ESMF proposes a generic Environmental and Social Management Plan (ESMP) that contains mitigation measures for the environmental risks and impacts identified during the ESMF elaboration. This ESMP constitutes a starting point for the elaboration of the specific ESMPs of the subprojects once defined in subsequent phases.</w:t>
      </w:r>
    </w:p>
    <w:p w14:paraId="3FF0FD73" w14:textId="77777777"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Other risks and impacts management recommendations are proposed in the following plans integrated in the ESMF: </w:t>
      </w:r>
    </w:p>
    <w:p w14:paraId="1B37F148" w14:textId="77C9A945"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Workforce Management Plan and Occupational Health and Safety Plan</w:t>
      </w:r>
    </w:p>
    <w:p w14:paraId="4C301C17" w14:textId="0E6FA3D8"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Hazard Risk Assessment and Emergency Response Preparedness</w:t>
      </w:r>
    </w:p>
    <w:p w14:paraId="6CB27C63" w14:textId="6BED5EF9"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Community Health and Safety Plan</w:t>
      </w:r>
    </w:p>
    <w:p w14:paraId="165AE099" w14:textId="0C615791"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Pollution Prevention and Management Plan</w:t>
      </w:r>
    </w:p>
    <w:p w14:paraId="37670029" w14:textId="0D6918BD"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 xml:space="preserve">Cultural Heritage Management Procedures </w:t>
      </w:r>
    </w:p>
    <w:p w14:paraId="057DEFAD" w14:textId="13E6D3F1"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Covid-19 Contingency Plan</w:t>
      </w:r>
    </w:p>
    <w:p w14:paraId="4B607DF6" w14:textId="77777777"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The ESMF recommends the creation and implementation of an Environmental and Social Management System </w:t>
      </w:r>
      <w:proofErr w:type="gramStart"/>
      <w:r w:rsidRPr="00986ED4">
        <w:rPr>
          <w:rFonts w:eastAsia="Calibri" w:cs="Times New Roman"/>
          <w:lang w:val="en-US"/>
        </w:rPr>
        <w:t>in order to</w:t>
      </w:r>
      <w:proofErr w:type="gramEnd"/>
      <w:r w:rsidRPr="00986ED4">
        <w:rPr>
          <w:rFonts w:eastAsia="Calibri" w:cs="Times New Roman"/>
          <w:lang w:val="en-US"/>
        </w:rPr>
        <w:t xml:space="preserve"> integrate all the recommendations and measures proposed in the various environmental and social instruments elaborated as part of the current ESMF, in the Resettlement Policy Framework, Stakeholders Engagement Plan and the Environmental and Social Commitments Plan. The Environmental and Social Management System will also integrate </w:t>
      </w:r>
      <w:r w:rsidRPr="00986ED4">
        <w:rPr>
          <w:rFonts w:eastAsia="Calibri" w:cs="Times New Roman"/>
          <w:lang w:val="en-US"/>
        </w:rPr>
        <w:lastRenderedPageBreak/>
        <w:t>recommendations and measures contained in instruments to be prepared in the future (</w:t>
      </w:r>
      <w:proofErr w:type="spellStart"/>
      <w:r w:rsidRPr="00986ED4">
        <w:rPr>
          <w:rFonts w:eastAsia="Calibri" w:cs="Times New Roman"/>
          <w:lang w:val="en-US"/>
        </w:rPr>
        <w:t>e.g</w:t>
      </w:r>
      <w:proofErr w:type="spellEnd"/>
      <w:r w:rsidRPr="00986ED4">
        <w:rPr>
          <w:rFonts w:eastAsia="Calibri" w:cs="Times New Roman"/>
          <w:lang w:val="en-US"/>
        </w:rPr>
        <w:t xml:space="preserve"> Environmental and Social Management Plans for subprojects).</w:t>
      </w:r>
    </w:p>
    <w:p w14:paraId="4FCD3676" w14:textId="77777777"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Strategies and measures to be implemented as part of the resettlement and compensation process </w:t>
      </w:r>
      <w:proofErr w:type="gramStart"/>
      <w:r w:rsidRPr="00986ED4">
        <w:rPr>
          <w:rFonts w:eastAsia="Calibri" w:cs="Times New Roman"/>
          <w:lang w:val="en-US"/>
        </w:rPr>
        <w:t>in order to</w:t>
      </w:r>
      <w:proofErr w:type="gramEnd"/>
      <w:r w:rsidRPr="00986ED4">
        <w:rPr>
          <w:rFonts w:eastAsia="Calibri" w:cs="Times New Roman"/>
          <w:lang w:val="en-US"/>
        </w:rPr>
        <w:t xml:space="preserve"> minimize the impacts of physical and economic displacement of affected communities are provided in the generic ESMP. These are provided in more detail in the Resettlement Policy Framework (RPF). The RPF is an independent document from the ESMF.</w:t>
      </w:r>
    </w:p>
    <w:p w14:paraId="0EAF1C85" w14:textId="77777777" w:rsidR="00986ED4" w:rsidRPr="00941934" w:rsidRDefault="00986ED4" w:rsidP="00986ED4">
      <w:pPr>
        <w:spacing w:before="0" w:line="259" w:lineRule="auto"/>
        <w:rPr>
          <w:rFonts w:eastAsia="Calibri" w:cs="Times New Roman"/>
          <w:i/>
          <w:iCs/>
          <w:lang w:val="en-US"/>
        </w:rPr>
      </w:pPr>
      <w:r w:rsidRPr="00941934">
        <w:rPr>
          <w:rFonts w:eastAsia="Calibri" w:cs="Times New Roman"/>
          <w:i/>
          <w:iCs/>
          <w:lang w:val="en-US"/>
        </w:rPr>
        <w:t>Subproject Environmental and Social Assessment and Management Procedures</w:t>
      </w:r>
    </w:p>
    <w:p w14:paraId="6EE5D103" w14:textId="35870B8A"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The ESMF aims to ensure that the environmental and social risks and negative impacts are correctly managed, in conformity with the hierarchy of mitigation and the maximization of positive impacts and the various levels of implementation of the project and subprojects. Guidelines are defined to adopt procedures to be implemented throughout the entire subproject cycle, covering identification, design, approval, </w:t>
      </w:r>
      <w:proofErr w:type="gramStart"/>
      <w:r w:rsidRPr="00986ED4">
        <w:rPr>
          <w:rFonts w:eastAsia="Calibri" w:cs="Times New Roman"/>
          <w:lang w:val="en-US"/>
        </w:rPr>
        <w:t>construction</w:t>
      </w:r>
      <w:proofErr w:type="gramEnd"/>
      <w:r w:rsidRPr="00986ED4">
        <w:rPr>
          <w:rFonts w:eastAsia="Calibri" w:cs="Times New Roman"/>
          <w:lang w:val="en-US"/>
        </w:rPr>
        <w:t xml:space="preserve"> and implementation. The first stage is the Environmental and Social Screening which aims to ensure that the proposed subprojects are subject to the appropriate type and extent of environmental and social assessment, proportionate to the potential risks and impacts of the subproject. This is followed by the preparation of instruments for environmental and social assessment and management, and the monitoring of the implementation of mitigation measures. </w:t>
      </w:r>
      <w:r w:rsidR="00C07441">
        <w:rPr>
          <w:rFonts w:eastAsia="Calibri" w:cs="Times New Roman"/>
          <w:lang w:val="en-US"/>
        </w:rPr>
        <w:t>trimestral</w:t>
      </w:r>
      <w:r w:rsidRPr="00986ED4">
        <w:rPr>
          <w:rFonts w:eastAsia="Calibri" w:cs="Times New Roman"/>
          <w:lang w:val="en-US"/>
        </w:rPr>
        <w:t xml:space="preserve"> and annual reports will be prepared on the environmental and social performance of the "Safe Water Project", which will be submitted to the World Bank, subject to annual external audits, to verify the performance of the Project in relation to the stated objectives and targets and to identify areas for improvement. It is anticipated that this audit will be carried out by an auditor certified by AQUA (National Agency for Environmental Quality Control) and that its scope will complement the work carried out by the World Bank.</w:t>
      </w:r>
    </w:p>
    <w:p w14:paraId="019050DC" w14:textId="77777777" w:rsidR="00986ED4" w:rsidRPr="00941934" w:rsidRDefault="00986ED4" w:rsidP="00986ED4">
      <w:pPr>
        <w:spacing w:before="0" w:line="259" w:lineRule="auto"/>
        <w:rPr>
          <w:rFonts w:eastAsia="Calibri" w:cs="Times New Roman"/>
          <w:i/>
          <w:iCs/>
          <w:lang w:val="en-US"/>
        </w:rPr>
      </w:pPr>
      <w:r w:rsidRPr="00941934">
        <w:rPr>
          <w:rFonts w:eastAsia="Calibri" w:cs="Times New Roman"/>
          <w:i/>
          <w:iCs/>
          <w:lang w:val="en-US"/>
        </w:rPr>
        <w:t xml:space="preserve">Institutional arrangement for ESMF implementation </w:t>
      </w:r>
    </w:p>
    <w:p w14:paraId="187AC9A3" w14:textId="77777777"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The project will be implemented by the Ministry of Public Works, Housing and Water Resources (MOPHRH) through a structure based on the National Directorate of Water Supply and Sanitation (DNAAS), the Water and Sanitation Infrastructure Administration, Public Institute (AIAS), at Water Regulatory Authority, Public Institute (AURA, IP) and at the Provincial Directorates of Public Works (DPOP) of </w:t>
      </w:r>
      <w:proofErr w:type="spellStart"/>
      <w:r w:rsidRPr="00986ED4">
        <w:rPr>
          <w:rFonts w:eastAsia="Calibri" w:cs="Times New Roman"/>
          <w:lang w:val="en-US"/>
        </w:rPr>
        <w:t>Zambézia</w:t>
      </w:r>
      <w:proofErr w:type="spellEnd"/>
      <w:r w:rsidRPr="00986ED4">
        <w:rPr>
          <w:rFonts w:eastAsia="Calibri" w:cs="Times New Roman"/>
          <w:lang w:val="en-US"/>
        </w:rPr>
        <w:t xml:space="preserve"> and Nampula.</w:t>
      </w:r>
    </w:p>
    <w:p w14:paraId="39963128" w14:textId="3A48621C"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For the implementation of the "Safe Water Project", </w:t>
      </w:r>
      <w:r w:rsidR="008D76CB">
        <w:rPr>
          <w:rFonts w:eastAsia="Calibri" w:cs="Times New Roman"/>
          <w:lang w:val="en-US"/>
        </w:rPr>
        <w:t>two</w:t>
      </w:r>
      <w:r w:rsidR="008D76CB" w:rsidRPr="00986ED4">
        <w:rPr>
          <w:rFonts w:eastAsia="Calibri" w:cs="Times New Roman"/>
          <w:lang w:val="en-US"/>
        </w:rPr>
        <w:t xml:space="preserve"> </w:t>
      </w:r>
      <w:r w:rsidRPr="00986ED4">
        <w:rPr>
          <w:rFonts w:eastAsia="Calibri" w:cs="Times New Roman"/>
          <w:lang w:val="en-US"/>
        </w:rPr>
        <w:t>Project Implementation Units will be established (UIP/DNAAS</w:t>
      </w:r>
      <w:r w:rsidR="008D76CB">
        <w:rPr>
          <w:rFonts w:eastAsia="Calibri" w:cs="Times New Roman"/>
          <w:lang w:val="en-US"/>
        </w:rPr>
        <w:t xml:space="preserve"> and </w:t>
      </w:r>
      <w:r w:rsidRPr="00986ED4">
        <w:rPr>
          <w:rFonts w:eastAsia="Calibri" w:cs="Times New Roman"/>
          <w:lang w:val="en-US"/>
        </w:rPr>
        <w:t>UIP/AIAS), supported by the existing UIP's of the PSU,WASIS II and GMWSP, financed by the World Bank, which will report administratively to the National Director of Water Supply and Sanitation</w:t>
      </w:r>
      <w:r w:rsidR="008D76CB">
        <w:rPr>
          <w:rFonts w:eastAsia="Calibri" w:cs="Times New Roman"/>
          <w:lang w:val="en-US"/>
        </w:rPr>
        <w:t xml:space="preserve"> and</w:t>
      </w:r>
      <w:r w:rsidRPr="00986ED4">
        <w:rPr>
          <w:rFonts w:eastAsia="Calibri" w:cs="Times New Roman"/>
          <w:lang w:val="en-US"/>
        </w:rPr>
        <w:t xml:space="preserve"> the Executive Director of AIAS, respectively, and technically to the Department of Water Supply (DAA) at DNAAS</w:t>
      </w:r>
      <w:r w:rsidR="008D76CB">
        <w:rPr>
          <w:rFonts w:eastAsia="Calibri" w:cs="Times New Roman"/>
          <w:lang w:val="en-US"/>
        </w:rPr>
        <w:t xml:space="preserve"> and</w:t>
      </w:r>
      <w:r w:rsidRPr="00986ED4">
        <w:rPr>
          <w:rFonts w:eastAsia="Calibri" w:cs="Times New Roman"/>
          <w:lang w:val="en-US"/>
        </w:rPr>
        <w:t xml:space="preserve"> to the Department of Control, Operations and Technical Assistance (DCOAT) of AIAS a, respectively</w:t>
      </w:r>
      <w:r w:rsidR="008D76CB">
        <w:rPr>
          <w:rFonts w:eastAsia="Calibri" w:cs="Times New Roman"/>
          <w:lang w:val="en-US"/>
        </w:rPr>
        <w:t>.</w:t>
      </w:r>
    </w:p>
    <w:p w14:paraId="51E8A0B0" w14:textId="05E8ACFC"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AURA IP will</w:t>
      </w:r>
      <w:r w:rsidR="008D76CB">
        <w:rPr>
          <w:rFonts w:eastAsia="Calibri" w:cs="Times New Roman"/>
          <w:lang w:val="en-US"/>
        </w:rPr>
        <w:t xml:space="preserve"> provide support to the</w:t>
      </w:r>
      <w:r w:rsidRPr="00986ED4">
        <w:rPr>
          <w:rFonts w:eastAsia="Calibri" w:cs="Times New Roman"/>
          <w:lang w:val="en-US"/>
        </w:rPr>
        <w:t xml:space="preserve"> subcomponent of strengthening the sustainability of services and institutional support </w:t>
      </w:r>
      <w:proofErr w:type="gramStart"/>
      <w:r w:rsidRPr="00986ED4">
        <w:rPr>
          <w:rFonts w:eastAsia="Calibri" w:cs="Times New Roman"/>
          <w:lang w:val="en-US"/>
        </w:rPr>
        <w:t>in order to</w:t>
      </w:r>
      <w:proofErr w:type="gramEnd"/>
      <w:r w:rsidRPr="00986ED4">
        <w:rPr>
          <w:rFonts w:eastAsia="Calibri" w:cs="Times New Roman"/>
          <w:lang w:val="en-US"/>
        </w:rPr>
        <w:t xml:space="preserve"> extend its regulatory role to rural areas and its consolidation in small towns, including revisions of contract models, tariff models and forms of subsidies for customers with the aim of improving inclusive access to sustainable water supply and sanitation services.</w:t>
      </w:r>
    </w:p>
    <w:p w14:paraId="6469574D" w14:textId="77777777"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Provincial Technical Units (PTUs) will be created in the DPOP of </w:t>
      </w:r>
      <w:proofErr w:type="spellStart"/>
      <w:r w:rsidRPr="00986ED4">
        <w:rPr>
          <w:rFonts w:eastAsia="Calibri" w:cs="Times New Roman"/>
          <w:lang w:val="en-US"/>
        </w:rPr>
        <w:t>Zambézia</w:t>
      </w:r>
      <w:proofErr w:type="spellEnd"/>
      <w:r w:rsidRPr="00986ED4">
        <w:rPr>
          <w:rFonts w:eastAsia="Calibri" w:cs="Times New Roman"/>
          <w:lang w:val="en-US"/>
        </w:rPr>
        <w:t xml:space="preserve"> and Nampula, responsible for the implementation of all components of the project at the local level. These technical units will provide Technical Assistance to the district authorities of the project areas, </w:t>
      </w:r>
      <w:r w:rsidRPr="00986ED4">
        <w:rPr>
          <w:rFonts w:eastAsia="Calibri" w:cs="Times New Roman"/>
          <w:lang w:val="en-US"/>
        </w:rPr>
        <w:lastRenderedPageBreak/>
        <w:t>with whom they will carry out the implementation of the project activities at the local level, and the heads of the Departments of Water and Sanitation will be the Coordinators of these PTUs.</w:t>
      </w:r>
    </w:p>
    <w:p w14:paraId="38471D3C" w14:textId="77777777"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All stakeholders, especially those at the provincial level, and furthermore at the district level, shall participate in capacity building, including awareness raising and technical training. A detailed training plan that includes regular reinforcements should be prepared.</w:t>
      </w:r>
    </w:p>
    <w:p w14:paraId="1B394EBB" w14:textId="77777777" w:rsidR="00986ED4" w:rsidRPr="00941934" w:rsidRDefault="00986ED4" w:rsidP="00986ED4">
      <w:pPr>
        <w:spacing w:before="0" w:line="259" w:lineRule="auto"/>
        <w:rPr>
          <w:rFonts w:eastAsia="Calibri" w:cs="Times New Roman"/>
          <w:i/>
          <w:iCs/>
          <w:lang w:val="en-US"/>
        </w:rPr>
      </w:pPr>
      <w:r w:rsidRPr="00941934">
        <w:rPr>
          <w:rFonts w:eastAsia="Calibri" w:cs="Times New Roman"/>
          <w:i/>
          <w:iCs/>
          <w:lang w:val="en-US"/>
        </w:rPr>
        <w:t>Public Consultation and Stakeholder Participation</w:t>
      </w:r>
    </w:p>
    <w:p w14:paraId="008E1DCD" w14:textId="36E09410"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The "Safe Water Project" was the subject of a consultation process during the preparation phase, which will continue in the implementation phase of the Project, as defined in the respective Stakeholder </w:t>
      </w:r>
      <w:r w:rsidR="008D76CB">
        <w:rPr>
          <w:rFonts w:eastAsia="Calibri" w:cs="Times New Roman"/>
          <w:lang w:val="en-US"/>
        </w:rPr>
        <w:t xml:space="preserve">Engagement </w:t>
      </w:r>
      <w:r w:rsidRPr="00986ED4">
        <w:rPr>
          <w:rFonts w:eastAsia="Calibri" w:cs="Times New Roman"/>
          <w:lang w:val="en-US"/>
        </w:rPr>
        <w:t>Plan (</w:t>
      </w:r>
      <w:r w:rsidR="008D76CB">
        <w:rPr>
          <w:rFonts w:eastAsia="Calibri" w:cs="Times New Roman"/>
          <w:lang w:val="en-US"/>
        </w:rPr>
        <w:t>SEP</w:t>
      </w:r>
      <w:r w:rsidRPr="00986ED4">
        <w:rPr>
          <w:rFonts w:eastAsia="Calibri" w:cs="Times New Roman"/>
          <w:lang w:val="en-US"/>
        </w:rPr>
        <w:t xml:space="preserve">). The Project foresees that the environmental and social instruments elaborated during the preparation phase will be subject to public consultation process, through public consultation meetings, focus group meetings, individual interviews, e-mail, website, Social Communication. The consultations will be carried out respecting the Protocol on of COVID-19 prevention measures at the Level of Community Activities, DNAAS and DPOP of </w:t>
      </w:r>
      <w:proofErr w:type="spellStart"/>
      <w:r w:rsidRPr="00986ED4">
        <w:rPr>
          <w:rFonts w:eastAsia="Calibri" w:cs="Times New Roman"/>
          <w:lang w:val="en-US"/>
        </w:rPr>
        <w:t>Zambézia</w:t>
      </w:r>
      <w:proofErr w:type="spellEnd"/>
      <w:r w:rsidRPr="00986ED4">
        <w:rPr>
          <w:rFonts w:eastAsia="Calibri" w:cs="Times New Roman"/>
          <w:lang w:val="en-US"/>
        </w:rPr>
        <w:t xml:space="preserve"> and Nampula.</w:t>
      </w:r>
    </w:p>
    <w:p w14:paraId="6719E7FC" w14:textId="77777777" w:rsidR="00986ED4" w:rsidRPr="00941934" w:rsidRDefault="00986ED4" w:rsidP="00986ED4">
      <w:pPr>
        <w:spacing w:before="0" w:line="259" w:lineRule="auto"/>
        <w:rPr>
          <w:rFonts w:eastAsia="Calibri" w:cs="Times New Roman"/>
          <w:i/>
          <w:iCs/>
          <w:lang w:val="en-US"/>
        </w:rPr>
      </w:pPr>
      <w:r w:rsidRPr="00941934">
        <w:rPr>
          <w:rFonts w:eastAsia="Calibri" w:cs="Times New Roman"/>
          <w:i/>
          <w:iCs/>
          <w:lang w:val="en-US"/>
        </w:rPr>
        <w:t>Budget</w:t>
      </w:r>
    </w:p>
    <w:p w14:paraId="67E59652" w14:textId="609CF484" w:rsidR="00986ED4" w:rsidRPr="00986ED4" w:rsidRDefault="00986ED4" w:rsidP="00986ED4">
      <w:pPr>
        <w:spacing w:before="0" w:line="259" w:lineRule="auto"/>
        <w:rPr>
          <w:rFonts w:eastAsia="Calibri" w:cs="Times New Roman"/>
          <w:lang w:val="en-US"/>
        </w:rPr>
      </w:pPr>
      <w:r w:rsidRPr="00986ED4">
        <w:rPr>
          <w:rFonts w:eastAsia="Calibri" w:cs="Times New Roman"/>
          <w:lang w:val="en-US"/>
        </w:rPr>
        <w:t xml:space="preserve">The budget for the implementation of the Project's ESMF was estimated, aiming to guarantee the necessary financial resources for the implementation of activities related to the application of safeguard tools (environmental and social management), including strengthening the capacity of the UIPs. The total cost of implementing </w:t>
      </w:r>
      <w:r w:rsidR="00D54E3A">
        <w:rPr>
          <w:rFonts w:eastAsia="Calibri" w:cs="Times New Roman"/>
          <w:lang w:val="en-US"/>
        </w:rPr>
        <w:t>ESMF</w:t>
      </w:r>
      <w:r w:rsidR="00D54E3A" w:rsidRPr="00986ED4">
        <w:rPr>
          <w:rFonts w:eastAsia="Calibri" w:cs="Times New Roman"/>
          <w:lang w:val="en-US"/>
        </w:rPr>
        <w:t xml:space="preserve"> </w:t>
      </w:r>
      <w:r w:rsidRPr="009843C2">
        <w:rPr>
          <w:rFonts w:eastAsia="Calibri" w:cs="Times New Roman"/>
          <w:lang w:val="en-US"/>
        </w:rPr>
        <w:t>is US$</w:t>
      </w:r>
      <w:r w:rsidR="009843C2">
        <w:rPr>
          <w:rFonts w:eastAsia="Calibri" w:cs="Times New Roman"/>
          <w:lang w:val="en-US"/>
        </w:rPr>
        <w:t xml:space="preserve"> </w:t>
      </w:r>
      <w:r w:rsidR="00773891">
        <w:rPr>
          <w:rFonts w:eastAsia="Calibri" w:cs="Times New Roman"/>
          <w:lang w:val="en-US"/>
        </w:rPr>
        <w:t>4</w:t>
      </w:r>
      <w:r w:rsidRPr="009843C2">
        <w:rPr>
          <w:rFonts w:eastAsia="Calibri" w:cs="Times New Roman"/>
          <w:lang w:val="en-US"/>
        </w:rPr>
        <w:t>,</w:t>
      </w:r>
      <w:r w:rsidR="00773891">
        <w:rPr>
          <w:rFonts w:eastAsia="Calibri" w:cs="Times New Roman"/>
          <w:lang w:val="en-US"/>
        </w:rPr>
        <w:t>999</w:t>
      </w:r>
      <w:r w:rsidRPr="009843C2">
        <w:rPr>
          <w:rFonts w:eastAsia="Calibri" w:cs="Times New Roman"/>
          <w:lang w:val="en-US"/>
        </w:rPr>
        <w:t>,</w:t>
      </w:r>
      <w:r w:rsidR="00773891">
        <w:rPr>
          <w:rFonts w:eastAsia="Calibri" w:cs="Times New Roman"/>
          <w:lang w:val="en-US"/>
        </w:rPr>
        <w:t>6</w:t>
      </w:r>
      <w:r w:rsidRPr="009843C2">
        <w:rPr>
          <w:rFonts w:eastAsia="Calibri" w:cs="Times New Roman"/>
          <w:lang w:val="en-US"/>
        </w:rPr>
        <w:t>00 US Dollars. This</w:t>
      </w:r>
      <w:r w:rsidRPr="00986ED4">
        <w:rPr>
          <w:rFonts w:eastAsia="Calibri" w:cs="Times New Roman"/>
          <w:lang w:val="en-US"/>
        </w:rPr>
        <w:t xml:space="preserve"> budget includes, among others, costs for:</w:t>
      </w:r>
    </w:p>
    <w:p w14:paraId="6DC4C30B" w14:textId="005D4978"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 xml:space="preserve">The hiring of human resources to coordinate the implementation of the recommendations contained in this ESMF, in the Resettlement Policy Framework and in the Environmental and Social Commitments Plan. </w:t>
      </w:r>
    </w:p>
    <w:p w14:paraId="307B757B" w14:textId="15D82815"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The implementation of the Grievance Mechanisms proposed in the Stakeholder Engagement Plan, the Community Relations Management Program</w:t>
      </w:r>
    </w:p>
    <w:p w14:paraId="0B56CC86" w14:textId="20867CE8"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Preparation and implementation of the training plan on the implementation of environmental and social management instruments</w:t>
      </w:r>
    </w:p>
    <w:p w14:paraId="1BF0E62E" w14:textId="627298DE"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 xml:space="preserve">Preparation of Environmental </w:t>
      </w:r>
      <w:r w:rsidR="008D76CB">
        <w:rPr>
          <w:rFonts w:eastAsia="Calibri" w:cs="Times New Roman"/>
          <w:lang w:val="en-US"/>
        </w:rPr>
        <w:t xml:space="preserve">and Social </w:t>
      </w:r>
      <w:r w:rsidRPr="00941934">
        <w:rPr>
          <w:rFonts w:eastAsia="Calibri" w:cs="Times New Roman"/>
          <w:lang w:val="en-US"/>
        </w:rPr>
        <w:t>Impact Assessment and environmental licensing instruments</w:t>
      </w:r>
    </w:p>
    <w:p w14:paraId="03BB40B7" w14:textId="615F5EBA" w:rsidR="00986ED4" w:rsidRPr="00941934" w:rsidRDefault="00986ED4" w:rsidP="00941934">
      <w:pPr>
        <w:pStyle w:val="ListParagraph"/>
        <w:numPr>
          <w:ilvl w:val="0"/>
          <w:numId w:val="246"/>
        </w:numPr>
        <w:spacing w:before="0" w:line="259" w:lineRule="auto"/>
        <w:rPr>
          <w:rFonts w:eastAsia="Calibri" w:cs="Times New Roman"/>
          <w:lang w:val="en-US"/>
        </w:rPr>
      </w:pPr>
      <w:r w:rsidRPr="00941934">
        <w:rPr>
          <w:rFonts w:eastAsia="Calibri" w:cs="Times New Roman"/>
          <w:lang w:val="en-US"/>
        </w:rPr>
        <w:t>Creation and implementation of an Environmental and Social Management System.</w:t>
      </w:r>
    </w:p>
    <w:p w14:paraId="7329315E" w14:textId="533135B9" w:rsidR="001C40C6" w:rsidRPr="00835684" w:rsidRDefault="001C40C6" w:rsidP="007A42C5">
      <w:pPr>
        <w:rPr>
          <w:lang w:val="en-US"/>
        </w:rPr>
        <w:sectPr w:rsidR="001C40C6" w:rsidRPr="00835684" w:rsidSect="00C01674">
          <w:pgSz w:w="11906" w:h="16838"/>
          <w:pgMar w:top="1417" w:right="1701" w:bottom="1417" w:left="1701" w:header="708" w:footer="708"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p>
    <w:p w14:paraId="5F124CFB" w14:textId="6191AD3E" w:rsidR="00C8616D" w:rsidRPr="00292532" w:rsidRDefault="0055112F" w:rsidP="0055112F">
      <w:pPr>
        <w:pStyle w:val="Heading1"/>
        <w:rPr>
          <w:lang w:val="pt-PT"/>
        </w:rPr>
      </w:pPr>
      <w:bookmarkStart w:id="4" w:name="_Toc80379928"/>
      <w:bookmarkEnd w:id="2"/>
      <w:bookmarkEnd w:id="3"/>
      <w:r w:rsidRPr="00292532">
        <w:rPr>
          <w:lang w:val="pt-PT"/>
        </w:rPr>
        <w:lastRenderedPageBreak/>
        <w:t>Introdução</w:t>
      </w:r>
      <w:bookmarkEnd w:id="4"/>
    </w:p>
    <w:p w14:paraId="05EEF98F" w14:textId="68F46553" w:rsidR="00BC72F5" w:rsidRPr="00292532" w:rsidRDefault="00BC72F5" w:rsidP="00BC72F5">
      <w:pPr>
        <w:pStyle w:val="Heading2"/>
      </w:pPr>
      <w:bookmarkStart w:id="5" w:name="_Toc80379929"/>
      <w:r w:rsidRPr="00292532">
        <w:t>O Contexto</w:t>
      </w:r>
      <w:bookmarkEnd w:id="5"/>
    </w:p>
    <w:p w14:paraId="114B3BAD" w14:textId="48595ECC" w:rsidR="00BC72F5" w:rsidRPr="00292532" w:rsidRDefault="00BC72F5" w:rsidP="00BC72F5">
      <w:pPr>
        <w:rPr>
          <w:lang w:val="pt-PT" w:eastAsia="ja-JP"/>
        </w:rPr>
      </w:pPr>
      <w:r w:rsidRPr="00292532">
        <w:rPr>
          <w:lang w:val="pt-PT" w:eastAsia="ja-JP"/>
        </w:rPr>
        <w:t xml:space="preserve">Moçambique </w:t>
      </w:r>
      <w:r w:rsidR="00EE20AD" w:rsidRPr="00292532">
        <w:rPr>
          <w:lang w:val="pt-PT" w:eastAsia="ja-JP"/>
        </w:rPr>
        <w:t xml:space="preserve">é uma </w:t>
      </w:r>
      <w:r w:rsidRPr="00292532">
        <w:rPr>
          <w:lang w:val="pt-PT" w:eastAsia="ja-JP"/>
        </w:rPr>
        <w:t xml:space="preserve">das economias não petrolíferas de crescimento mais rápido na África </w:t>
      </w:r>
      <w:r w:rsidR="00EE20AD" w:rsidRPr="00292532">
        <w:rPr>
          <w:lang w:val="pt-PT" w:eastAsia="ja-JP"/>
        </w:rPr>
        <w:t xml:space="preserve">Subsaariana, embora continue sendo um dos países mais pobres do mundo. </w:t>
      </w:r>
      <w:r w:rsidRPr="00292532">
        <w:rPr>
          <w:lang w:val="pt-PT" w:eastAsia="ja-JP"/>
        </w:rPr>
        <w:t>A maioria da população não tem acesso à água potável</w:t>
      </w:r>
      <w:r w:rsidR="009D383B">
        <w:rPr>
          <w:lang w:val="pt-PT" w:eastAsia="ja-JP"/>
        </w:rPr>
        <w:t xml:space="preserve"> </w:t>
      </w:r>
      <w:r w:rsidRPr="00292532">
        <w:rPr>
          <w:lang w:val="pt-PT" w:eastAsia="ja-JP"/>
        </w:rPr>
        <w:t xml:space="preserve">e infraestruturas de saneamento seguros, especialmente nas áreas </w:t>
      </w:r>
      <w:r w:rsidR="002660D0" w:rsidRPr="00292532">
        <w:rPr>
          <w:lang w:val="pt-PT" w:eastAsia="ja-JP"/>
        </w:rPr>
        <w:t>rurais</w:t>
      </w:r>
      <w:r w:rsidR="002660D0">
        <w:rPr>
          <w:lang w:val="pt-PT" w:eastAsia="ja-JP"/>
        </w:rPr>
        <w:t>,</w:t>
      </w:r>
      <w:r w:rsidRPr="00292532">
        <w:rPr>
          <w:lang w:val="pt-PT" w:eastAsia="ja-JP"/>
        </w:rPr>
        <w:t xml:space="preserve"> a maior parte das quais são anteriores a independência nacional, tendo tido poucos cuidados de manutenção, reabilitação ou renovação</w:t>
      </w:r>
      <w:r w:rsidR="003D1D59" w:rsidRPr="00292532">
        <w:rPr>
          <w:lang w:val="pt-PT" w:eastAsia="ja-JP"/>
        </w:rPr>
        <w:t>.</w:t>
      </w:r>
      <w:r w:rsidR="009D383B">
        <w:rPr>
          <w:lang w:val="pt-PT" w:eastAsia="ja-JP"/>
        </w:rPr>
        <w:t xml:space="preserve"> Para atingir os </w:t>
      </w:r>
      <w:proofErr w:type="spellStart"/>
      <w:r w:rsidR="009D383B">
        <w:rPr>
          <w:lang w:val="pt-PT" w:eastAsia="ja-JP"/>
        </w:rPr>
        <w:t>Objectivos</w:t>
      </w:r>
      <w:proofErr w:type="spellEnd"/>
      <w:r w:rsidR="009D383B">
        <w:rPr>
          <w:lang w:val="pt-PT" w:eastAsia="ja-JP"/>
        </w:rPr>
        <w:t xml:space="preserve"> do Desenvolv</w:t>
      </w:r>
      <w:r w:rsidR="005D6CFD">
        <w:rPr>
          <w:lang w:val="pt-PT" w:eastAsia="ja-JP"/>
        </w:rPr>
        <w:t>i</w:t>
      </w:r>
      <w:r w:rsidR="009D383B">
        <w:rPr>
          <w:lang w:val="pt-PT" w:eastAsia="ja-JP"/>
        </w:rPr>
        <w:t xml:space="preserve">mento </w:t>
      </w:r>
      <w:proofErr w:type="spellStart"/>
      <w:r w:rsidR="009D383B">
        <w:rPr>
          <w:lang w:val="pt-PT" w:eastAsia="ja-JP"/>
        </w:rPr>
        <w:t>Sustentavel</w:t>
      </w:r>
      <w:proofErr w:type="spellEnd"/>
      <w:r w:rsidR="009D383B">
        <w:rPr>
          <w:lang w:val="pt-PT" w:eastAsia="ja-JP"/>
        </w:rPr>
        <w:t xml:space="preserve"> (ODS) até 2030, o País necessita de ligar 16,8 </w:t>
      </w:r>
      <w:proofErr w:type="spellStart"/>
      <w:r w:rsidR="009D383B">
        <w:rPr>
          <w:lang w:val="pt-PT" w:eastAsia="ja-JP"/>
        </w:rPr>
        <w:t>milhoes</w:t>
      </w:r>
      <w:proofErr w:type="spellEnd"/>
      <w:r w:rsidR="009D383B">
        <w:rPr>
          <w:lang w:val="pt-PT" w:eastAsia="ja-JP"/>
        </w:rPr>
        <w:t xml:space="preserve"> de habitantes aos serviços de água e saneamento </w:t>
      </w:r>
      <w:proofErr w:type="spellStart"/>
      <w:r w:rsidR="009D383B">
        <w:rPr>
          <w:lang w:val="pt-PT" w:eastAsia="ja-JP"/>
        </w:rPr>
        <w:t>nosproximos</w:t>
      </w:r>
      <w:proofErr w:type="spellEnd"/>
      <w:r w:rsidR="009D383B">
        <w:rPr>
          <w:lang w:val="pt-PT" w:eastAsia="ja-JP"/>
        </w:rPr>
        <w:t xml:space="preserve"> 10 anos. Apenas metade da </w:t>
      </w:r>
      <w:proofErr w:type="spellStart"/>
      <w:r w:rsidR="009D383B">
        <w:rPr>
          <w:lang w:val="pt-PT" w:eastAsia="ja-JP"/>
        </w:rPr>
        <w:t>populcao</w:t>
      </w:r>
      <w:proofErr w:type="spellEnd"/>
      <w:r w:rsidR="009D383B">
        <w:rPr>
          <w:lang w:val="pt-PT" w:eastAsia="ja-JP"/>
        </w:rPr>
        <w:t xml:space="preserve"> (49%) tem acesso ao abastecimento de água melhorado e, nas áreas rurais, a </w:t>
      </w:r>
      <w:proofErr w:type="spellStart"/>
      <w:r w:rsidR="009D383B">
        <w:rPr>
          <w:lang w:val="pt-PT" w:eastAsia="ja-JP"/>
        </w:rPr>
        <w:t>amioria</w:t>
      </w:r>
      <w:proofErr w:type="spellEnd"/>
      <w:r w:rsidR="009D383B">
        <w:rPr>
          <w:lang w:val="pt-PT" w:eastAsia="ja-JP"/>
        </w:rPr>
        <w:t xml:space="preserve"> das pessoas (65%) </w:t>
      </w:r>
      <w:proofErr w:type="spellStart"/>
      <w:r w:rsidR="009D383B">
        <w:rPr>
          <w:lang w:val="pt-PT" w:eastAsia="ja-JP"/>
        </w:rPr>
        <w:t>ainde</w:t>
      </w:r>
      <w:proofErr w:type="spellEnd"/>
      <w:r w:rsidR="009D383B">
        <w:rPr>
          <w:lang w:val="pt-PT" w:eastAsia="ja-JP"/>
        </w:rPr>
        <w:t xml:space="preserve"> depende de fontes de água não melhoradas e 46% da não tem acesso a qualquer instalação de saneamento (AIAS 2021). </w:t>
      </w:r>
    </w:p>
    <w:p w14:paraId="59985CC5" w14:textId="33EB762F" w:rsidR="00BC72F5" w:rsidRPr="00292532" w:rsidRDefault="00BC72F5" w:rsidP="00BC72F5">
      <w:pPr>
        <w:rPr>
          <w:lang w:val="pt-PT" w:eastAsia="ja-JP"/>
        </w:rPr>
      </w:pPr>
      <w:r w:rsidRPr="00292532">
        <w:rPr>
          <w:lang w:val="pt-PT" w:eastAsia="ja-JP"/>
        </w:rPr>
        <w:t>As pequenas cidades e centros de crescimento</w:t>
      </w:r>
      <w:r w:rsidR="004B2086" w:rsidRPr="00292532">
        <w:rPr>
          <w:lang w:val="pt-PT" w:eastAsia="ja-JP"/>
        </w:rPr>
        <w:t xml:space="preserve"> nas zonas</w:t>
      </w:r>
      <w:r w:rsidRPr="00292532">
        <w:rPr>
          <w:lang w:val="pt-PT" w:eastAsia="ja-JP"/>
        </w:rPr>
        <w:t xml:space="preserve"> rura</w:t>
      </w:r>
      <w:r w:rsidR="004B2086" w:rsidRPr="00292532">
        <w:rPr>
          <w:lang w:val="pt-PT" w:eastAsia="ja-JP"/>
        </w:rPr>
        <w:t>is</w:t>
      </w:r>
      <w:r w:rsidRPr="00292532">
        <w:rPr>
          <w:lang w:val="pt-PT" w:eastAsia="ja-JP"/>
        </w:rPr>
        <w:t xml:space="preserve"> desempenham um papel </w:t>
      </w:r>
      <w:r w:rsidR="006B61CE">
        <w:rPr>
          <w:lang w:val="pt-PT" w:eastAsia="ja-JP"/>
        </w:rPr>
        <w:t>crucial</w:t>
      </w:r>
      <w:r w:rsidR="006B61CE" w:rsidRPr="00292532">
        <w:rPr>
          <w:lang w:val="pt-PT" w:eastAsia="ja-JP"/>
        </w:rPr>
        <w:t xml:space="preserve"> </w:t>
      </w:r>
      <w:r w:rsidRPr="00292532">
        <w:rPr>
          <w:lang w:val="pt-PT" w:eastAsia="ja-JP"/>
        </w:rPr>
        <w:t xml:space="preserve">na promoção do desenvolvimento económico em Moçambique, devendo-se entre outras medidas, priorizar a satisfação das necessidades básicas humanas em termos de abastecimento de água seguro e fiável e condições de saneamento adequadas. </w:t>
      </w:r>
    </w:p>
    <w:p w14:paraId="3C32A5F0" w14:textId="415D7886" w:rsidR="00BC72F5" w:rsidRPr="00292532" w:rsidRDefault="00BC72F5" w:rsidP="00BC72F5">
      <w:pPr>
        <w:rPr>
          <w:lang w:val="pt-PT" w:eastAsia="ja-JP"/>
        </w:rPr>
      </w:pPr>
      <w:bookmarkStart w:id="6" w:name="_Hlk75440565"/>
      <w:r w:rsidRPr="00292532">
        <w:rPr>
          <w:lang w:val="pt-PT" w:eastAsia="ja-JP"/>
        </w:rPr>
        <w:t>O Governo de Moçambique (</w:t>
      </w:r>
      <w:proofErr w:type="spellStart"/>
      <w:r w:rsidRPr="00292532">
        <w:rPr>
          <w:lang w:val="pt-PT" w:eastAsia="ja-JP"/>
        </w:rPr>
        <w:t>GdM</w:t>
      </w:r>
      <w:proofErr w:type="spellEnd"/>
      <w:r w:rsidRPr="00292532">
        <w:rPr>
          <w:lang w:val="pt-PT" w:eastAsia="ja-JP"/>
        </w:rPr>
        <w:t xml:space="preserve">), através do Ministério das Obras </w:t>
      </w:r>
      <w:r w:rsidR="004B2086" w:rsidRPr="00292532">
        <w:rPr>
          <w:lang w:val="pt-PT" w:eastAsia="ja-JP"/>
        </w:rPr>
        <w:t>P</w:t>
      </w:r>
      <w:r w:rsidRPr="00292532">
        <w:rPr>
          <w:lang w:val="pt-PT" w:eastAsia="ja-JP"/>
        </w:rPr>
        <w:t>úblicas, Habitação e Recursos Hídricos (MOPHRH) e por intermédio da</w:t>
      </w:r>
      <w:r w:rsidR="007D4482" w:rsidRPr="00292532">
        <w:rPr>
          <w:lang w:val="pt-PT" w:eastAsia="ja-JP"/>
        </w:rPr>
        <w:t xml:space="preserve"> </w:t>
      </w:r>
      <w:proofErr w:type="spellStart"/>
      <w:r w:rsidR="007D4482" w:rsidRPr="00292532">
        <w:rPr>
          <w:lang w:val="pt-PT" w:eastAsia="ja-JP"/>
        </w:rPr>
        <w:t>Direcção</w:t>
      </w:r>
      <w:proofErr w:type="spellEnd"/>
      <w:r w:rsidR="007D4482" w:rsidRPr="00292532">
        <w:rPr>
          <w:lang w:val="pt-PT" w:eastAsia="ja-JP"/>
        </w:rPr>
        <w:t xml:space="preserve"> Nacional de Abastecimento de Água e Saneamento (DNAAS) e a</w:t>
      </w:r>
      <w:r w:rsidRPr="00292532">
        <w:rPr>
          <w:lang w:val="pt-PT" w:eastAsia="ja-JP"/>
        </w:rPr>
        <w:t xml:space="preserve"> Administração de Infraestruturas de Água e Saneamento (AIAS), está a preparar o </w:t>
      </w:r>
      <w:proofErr w:type="spellStart"/>
      <w:r w:rsidR="006071CF" w:rsidRPr="00292532">
        <w:rPr>
          <w:b/>
          <w:bCs/>
          <w:lang w:val="pt-PT" w:eastAsia="ja-JP"/>
        </w:rPr>
        <w:t>Projecto</w:t>
      </w:r>
      <w:proofErr w:type="spellEnd"/>
      <w:r w:rsidR="006071CF" w:rsidRPr="00292532">
        <w:rPr>
          <w:b/>
          <w:bCs/>
          <w:lang w:val="pt-PT" w:eastAsia="ja-JP"/>
        </w:rPr>
        <w:t xml:space="preserve"> de Água Segura para Zonas Ru</w:t>
      </w:r>
      <w:r w:rsidR="00496363" w:rsidRPr="00292532">
        <w:rPr>
          <w:b/>
          <w:bCs/>
          <w:lang w:val="pt-PT" w:eastAsia="ja-JP"/>
        </w:rPr>
        <w:t>r</w:t>
      </w:r>
      <w:r w:rsidR="006071CF" w:rsidRPr="00292532">
        <w:rPr>
          <w:b/>
          <w:bCs/>
          <w:lang w:val="pt-PT" w:eastAsia="ja-JP"/>
        </w:rPr>
        <w:t>ais e Vilas</w:t>
      </w:r>
      <w:r w:rsidR="006071CF" w:rsidRPr="00292532" w:rsidDel="006071CF">
        <w:rPr>
          <w:b/>
          <w:bCs/>
          <w:lang w:val="pt-PT" w:eastAsia="ja-JP"/>
        </w:rPr>
        <w:t xml:space="preserve"> </w:t>
      </w:r>
      <w:r w:rsidR="00EE20AD" w:rsidRPr="00292532">
        <w:rPr>
          <w:lang w:val="pt-PT" w:eastAsia="ja-JP"/>
        </w:rPr>
        <w:t xml:space="preserve">(P 173518) </w:t>
      </w:r>
      <w:r w:rsidRPr="00292532">
        <w:rPr>
          <w:lang w:val="pt-PT" w:eastAsia="ja-JP"/>
        </w:rPr>
        <w:t>doravante denominado "</w:t>
      </w:r>
      <w:proofErr w:type="spellStart"/>
      <w:r w:rsidRPr="00292532">
        <w:rPr>
          <w:b/>
          <w:bCs/>
          <w:lang w:val="pt-PT" w:eastAsia="ja-JP"/>
        </w:rPr>
        <w:t>Projecto</w:t>
      </w:r>
      <w:proofErr w:type="spellEnd"/>
      <w:r w:rsidRPr="00292532">
        <w:rPr>
          <w:b/>
          <w:bCs/>
          <w:lang w:val="pt-PT" w:eastAsia="ja-JP"/>
        </w:rPr>
        <w:t xml:space="preserve"> Água Segura</w:t>
      </w:r>
      <w:r w:rsidRPr="00292532">
        <w:rPr>
          <w:lang w:val="pt-PT" w:eastAsia="ja-JP"/>
        </w:rPr>
        <w:t>" ou simplesmente ‘</w:t>
      </w:r>
      <w:r w:rsidRPr="00292532">
        <w:rPr>
          <w:b/>
          <w:bCs/>
          <w:lang w:val="pt-PT" w:eastAsia="ja-JP"/>
        </w:rPr>
        <w:t xml:space="preserve">’o </w:t>
      </w:r>
      <w:proofErr w:type="spellStart"/>
      <w:r w:rsidRPr="00292532">
        <w:rPr>
          <w:b/>
          <w:bCs/>
          <w:lang w:val="pt-PT" w:eastAsia="ja-JP"/>
        </w:rPr>
        <w:t>Projecto</w:t>
      </w:r>
      <w:proofErr w:type="spellEnd"/>
      <w:r w:rsidRPr="00292532">
        <w:rPr>
          <w:lang w:val="pt-PT" w:eastAsia="ja-JP"/>
        </w:rPr>
        <w:t xml:space="preserve">’’), com o </w:t>
      </w:r>
      <w:proofErr w:type="spellStart"/>
      <w:r w:rsidR="00D9688F" w:rsidRPr="00292532">
        <w:rPr>
          <w:lang w:val="pt-PT" w:eastAsia="ja-JP"/>
        </w:rPr>
        <w:t>obje</w:t>
      </w:r>
      <w:r w:rsidR="00416C86" w:rsidRPr="00292532">
        <w:rPr>
          <w:lang w:val="pt-PT" w:eastAsia="ja-JP"/>
        </w:rPr>
        <w:t>c</w:t>
      </w:r>
      <w:r w:rsidR="00D9688F" w:rsidRPr="00292532">
        <w:rPr>
          <w:lang w:val="pt-PT" w:eastAsia="ja-JP"/>
        </w:rPr>
        <w:t>tivo</w:t>
      </w:r>
      <w:proofErr w:type="spellEnd"/>
      <w:r w:rsidRPr="00292532">
        <w:rPr>
          <w:lang w:val="pt-PT" w:eastAsia="ja-JP"/>
        </w:rPr>
        <w:t xml:space="preserve"> de aumentar o acesso e melhorar a provisão de serviços de água e saneamento em pequenas cidades</w:t>
      </w:r>
      <w:r w:rsidR="004B2086" w:rsidRPr="00292532">
        <w:rPr>
          <w:lang w:val="pt-PT" w:eastAsia="ja-JP"/>
        </w:rPr>
        <w:t xml:space="preserve"> </w:t>
      </w:r>
      <w:r w:rsidRPr="00292532">
        <w:rPr>
          <w:lang w:val="pt-PT" w:eastAsia="ja-JP"/>
        </w:rPr>
        <w:t>e áreas rurais</w:t>
      </w:r>
      <w:r w:rsidR="007D4482" w:rsidRPr="00292532">
        <w:rPr>
          <w:lang w:val="pt-PT" w:eastAsia="ja-JP"/>
        </w:rPr>
        <w:t xml:space="preserve"> </w:t>
      </w:r>
      <w:proofErr w:type="spellStart"/>
      <w:r w:rsidR="007D4482" w:rsidRPr="00292532">
        <w:rPr>
          <w:lang w:val="pt-PT" w:eastAsia="ja-JP"/>
        </w:rPr>
        <w:t>seleccionadas</w:t>
      </w:r>
      <w:proofErr w:type="spellEnd"/>
      <w:r w:rsidR="00EE20AD" w:rsidRPr="00292532">
        <w:rPr>
          <w:lang w:val="pt-PT" w:eastAsia="ja-JP"/>
        </w:rPr>
        <w:t>, nas Províncias de Zambézia e Nampula.</w:t>
      </w:r>
    </w:p>
    <w:p w14:paraId="7ADAB570" w14:textId="73D717FF" w:rsidR="00BC72F5" w:rsidRPr="00292532" w:rsidRDefault="00BC72F5" w:rsidP="00BC72F5">
      <w:pPr>
        <w:rPr>
          <w:lang w:val="pt-PT" w:eastAsia="ja-JP"/>
        </w:rPr>
      </w:pPr>
      <w:bookmarkStart w:id="7" w:name="_Hlk75440609"/>
      <w:bookmarkEnd w:id="6"/>
      <w:r w:rsidRPr="00292532">
        <w:rPr>
          <w:lang w:val="pt-PT" w:eastAsia="ja-JP"/>
        </w:rPr>
        <w:t xml:space="preserve">O </w:t>
      </w:r>
      <w:proofErr w:type="spellStart"/>
      <w:r w:rsidRPr="00292532">
        <w:rPr>
          <w:lang w:val="pt-PT" w:eastAsia="ja-JP"/>
        </w:rPr>
        <w:t>Projecto</w:t>
      </w:r>
      <w:proofErr w:type="spellEnd"/>
      <w:r w:rsidRPr="00292532">
        <w:rPr>
          <w:lang w:val="pt-PT" w:eastAsia="ja-JP"/>
        </w:rPr>
        <w:t xml:space="preserve"> visa apoiar subprojectos de água e saneamento a serem implementados nas províncias de Zambézia e Nampula, num conjunto</w:t>
      </w:r>
      <w:r w:rsidR="001575F8" w:rsidRPr="00292532">
        <w:rPr>
          <w:lang w:val="pt-PT" w:eastAsia="ja-JP"/>
        </w:rPr>
        <w:t xml:space="preserve"> de </w:t>
      </w:r>
      <w:r w:rsidR="00937B14">
        <w:rPr>
          <w:lang w:val="pt-PT" w:eastAsia="ja-JP"/>
        </w:rPr>
        <w:t>18</w:t>
      </w:r>
      <w:r w:rsidR="001575F8" w:rsidRPr="00292532">
        <w:rPr>
          <w:lang w:val="pt-PT" w:eastAsia="ja-JP"/>
        </w:rPr>
        <w:t xml:space="preserve"> vilas e pequenas cidades que irão beneficiar de intervenções de </w:t>
      </w:r>
      <w:r w:rsidR="001575F8" w:rsidRPr="00292532">
        <w:rPr>
          <w:szCs w:val="24"/>
          <w:lang w:val="pt-PT"/>
        </w:rPr>
        <w:t>reabilitação, melhoria e expansão dos sistemas de abastecimento de água (8 na Zambézia e 1</w:t>
      </w:r>
      <w:r w:rsidR="00937B14">
        <w:rPr>
          <w:szCs w:val="24"/>
          <w:lang w:val="pt-PT"/>
        </w:rPr>
        <w:t>0</w:t>
      </w:r>
      <w:r w:rsidR="001575F8" w:rsidRPr="00292532">
        <w:rPr>
          <w:szCs w:val="24"/>
          <w:lang w:val="pt-PT"/>
        </w:rPr>
        <w:t xml:space="preserve"> em Nampula), e 2</w:t>
      </w:r>
      <w:r w:rsidR="00937B14">
        <w:rPr>
          <w:szCs w:val="24"/>
          <w:lang w:val="pt-PT"/>
        </w:rPr>
        <w:t>3</w:t>
      </w:r>
      <w:r w:rsidR="001575F8" w:rsidRPr="00292532">
        <w:rPr>
          <w:szCs w:val="24"/>
          <w:lang w:val="pt-PT"/>
        </w:rPr>
        <w:t xml:space="preserve"> vilas e pequenas cidades  irão beneficiar de intervenções de saneamento</w:t>
      </w:r>
      <w:r w:rsidRPr="00292532">
        <w:rPr>
          <w:lang w:val="pt-PT" w:eastAsia="ja-JP"/>
        </w:rPr>
        <w:t xml:space="preserve"> (1</w:t>
      </w:r>
      <w:r w:rsidR="00937B14">
        <w:rPr>
          <w:lang w:val="pt-PT" w:eastAsia="ja-JP"/>
        </w:rPr>
        <w:t>5</w:t>
      </w:r>
      <w:r w:rsidRPr="00292532">
        <w:rPr>
          <w:lang w:val="pt-PT" w:eastAsia="ja-JP"/>
        </w:rPr>
        <w:t xml:space="preserve"> na Zambézia e </w:t>
      </w:r>
      <w:r w:rsidR="00937B14">
        <w:rPr>
          <w:lang w:val="pt-PT" w:eastAsia="ja-JP"/>
        </w:rPr>
        <w:t>8</w:t>
      </w:r>
      <w:r w:rsidRPr="00292532">
        <w:rPr>
          <w:lang w:val="pt-PT" w:eastAsia="ja-JP"/>
        </w:rPr>
        <w:t xml:space="preserve"> em Nampula) e 30 localidades (10 em Nampula e 20 na Zambézia) para investimentos em sistemas de abastecimento de água</w:t>
      </w:r>
      <w:r w:rsidR="001575F8" w:rsidRPr="00292532">
        <w:rPr>
          <w:lang w:val="pt-PT" w:eastAsia="ja-JP"/>
        </w:rPr>
        <w:t xml:space="preserve"> e serviços de saneamento integrados</w:t>
      </w:r>
      <w:bookmarkEnd w:id="7"/>
      <w:r w:rsidRPr="00292532">
        <w:rPr>
          <w:lang w:val="pt-PT" w:eastAsia="ja-JP"/>
        </w:rPr>
        <w:t>.</w:t>
      </w:r>
      <w:r w:rsidR="00CA52F1" w:rsidRPr="00292532">
        <w:rPr>
          <w:lang w:val="pt-PT" w:eastAsia="ja-JP"/>
        </w:rPr>
        <w:t xml:space="preserve"> </w:t>
      </w:r>
      <w:r w:rsidRPr="00292532">
        <w:rPr>
          <w:lang w:val="pt-PT" w:eastAsia="ja-JP"/>
        </w:rPr>
        <w:t xml:space="preserve">A decisão de investir nestas duas províncias que, juntas, apresentam as taxas mais baixas de acesso à água e saneamento e taxas de pobreza mais altas no País, </w:t>
      </w:r>
      <w:bookmarkStart w:id="8" w:name="_Hlk75440854"/>
      <w:r w:rsidRPr="00292532">
        <w:rPr>
          <w:lang w:val="pt-PT" w:eastAsia="ja-JP"/>
        </w:rPr>
        <w:t xml:space="preserve">responde aos </w:t>
      </w:r>
      <w:proofErr w:type="spellStart"/>
      <w:r w:rsidRPr="00292532">
        <w:rPr>
          <w:lang w:val="pt-PT" w:eastAsia="ja-JP"/>
        </w:rPr>
        <w:t>Objectivos</w:t>
      </w:r>
      <w:proofErr w:type="spellEnd"/>
      <w:r w:rsidRPr="00292532">
        <w:rPr>
          <w:lang w:val="pt-PT" w:eastAsia="ja-JP"/>
        </w:rPr>
        <w:t xml:space="preserve"> de Desenvolvimento Sustentável (ODS) até 2030 sobre Água Potável e Saneamento.</w:t>
      </w:r>
      <w:bookmarkEnd w:id="8"/>
      <w:r w:rsidRPr="00292532">
        <w:rPr>
          <w:lang w:val="pt-PT" w:eastAsia="ja-JP"/>
        </w:rPr>
        <w:t xml:space="preserve"> </w:t>
      </w:r>
    </w:p>
    <w:p w14:paraId="336F9415" w14:textId="4364625D" w:rsidR="00BC72F5" w:rsidRPr="00292532" w:rsidRDefault="00BC72F5" w:rsidP="00BC72F5">
      <w:pPr>
        <w:rPr>
          <w:lang w:val="pt-PT" w:eastAsia="ja-JP"/>
        </w:rPr>
      </w:pPr>
      <w:bookmarkStart w:id="9" w:name="_Hlk75440629"/>
      <w:r w:rsidRPr="00292532">
        <w:rPr>
          <w:lang w:val="pt-PT" w:eastAsia="ja-JP"/>
        </w:rPr>
        <w:t xml:space="preserve">Este </w:t>
      </w:r>
      <w:proofErr w:type="spellStart"/>
      <w:r w:rsidRPr="00292532">
        <w:rPr>
          <w:lang w:val="pt-PT" w:eastAsia="ja-JP"/>
        </w:rPr>
        <w:t>Projecto</w:t>
      </w:r>
      <w:proofErr w:type="spellEnd"/>
      <w:r w:rsidRPr="00292532">
        <w:rPr>
          <w:lang w:val="pt-PT" w:eastAsia="ja-JP"/>
        </w:rPr>
        <w:t xml:space="preserve"> concorre para o financiamento do Banco Mundial (BM) por meio de Financiamento de </w:t>
      </w:r>
      <w:proofErr w:type="spellStart"/>
      <w:r w:rsidRPr="00292532">
        <w:rPr>
          <w:lang w:val="pt-PT" w:eastAsia="ja-JP"/>
        </w:rPr>
        <w:t>Projectos</w:t>
      </w:r>
      <w:proofErr w:type="spellEnd"/>
      <w:r w:rsidRPr="00292532">
        <w:rPr>
          <w:lang w:val="pt-PT" w:eastAsia="ja-JP"/>
        </w:rPr>
        <w:t xml:space="preserve"> de Investimento (FPI), sendo necessária </w:t>
      </w:r>
      <w:r w:rsidR="00D9688F" w:rsidRPr="00292532">
        <w:rPr>
          <w:lang w:val="pt-PT" w:eastAsia="ja-JP"/>
        </w:rPr>
        <w:t>à</w:t>
      </w:r>
      <w:r w:rsidRPr="00292532">
        <w:rPr>
          <w:lang w:val="pt-PT" w:eastAsia="ja-JP"/>
        </w:rPr>
        <w:t xml:space="preserve"> sua </w:t>
      </w:r>
      <w:proofErr w:type="spellStart"/>
      <w:r w:rsidRPr="00292532">
        <w:rPr>
          <w:lang w:val="pt-PT" w:eastAsia="ja-JP"/>
        </w:rPr>
        <w:t>concepção</w:t>
      </w:r>
      <w:proofErr w:type="spellEnd"/>
      <w:r w:rsidRPr="00292532">
        <w:rPr>
          <w:lang w:val="pt-PT" w:eastAsia="ja-JP"/>
        </w:rPr>
        <w:t xml:space="preserve"> e execução de acordo com as Normas Ambientais e Sociais (NAS) do Quadro</w:t>
      </w:r>
      <w:r w:rsidR="00365FBE" w:rsidRPr="00292532">
        <w:rPr>
          <w:lang w:val="pt-PT" w:eastAsia="ja-JP"/>
        </w:rPr>
        <w:t xml:space="preserve"> de Gestão</w:t>
      </w:r>
      <w:r w:rsidRPr="00292532">
        <w:rPr>
          <w:lang w:val="pt-PT" w:eastAsia="ja-JP"/>
        </w:rPr>
        <w:t xml:space="preserve"> Ambiental e Social (</w:t>
      </w:r>
      <w:r w:rsidR="00365FBE" w:rsidRPr="00292532">
        <w:rPr>
          <w:lang w:val="pt-PT" w:eastAsia="ja-JP"/>
        </w:rPr>
        <w:t>QGAS</w:t>
      </w:r>
      <w:r w:rsidRPr="00292532">
        <w:rPr>
          <w:lang w:val="pt-PT" w:eastAsia="ja-JP"/>
        </w:rPr>
        <w:t xml:space="preserve">) do Banco Mundial. É neste âmbito que se apresenta o </w:t>
      </w:r>
      <w:proofErr w:type="spellStart"/>
      <w:r w:rsidRPr="00292532">
        <w:rPr>
          <w:lang w:val="pt-PT" w:eastAsia="ja-JP"/>
        </w:rPr>
        <w:t>actual</w:t>
      </w:r>
      <w:proofErr w:type="spellEnd"/>
      <w:r w:rsidRPr="00292532">
        <w:rPr>
          <w:lang w:val="pt-PT" w:eastAsia="ja-JP"/>
        </w:rPr>
        <w:t xml:space="preserve"> </w:t>
      </w:r>
      <w:r w:rsidRPr="00292532">
        <w:rPr>
          <w:b/>
          <w:bCs/>
          <w:lang w:val="pt-PT" w:eastAsia="ja-JP"/>
        </w:rPr>
        <w:t>Quadro de Gestão Ambiental e Social (QGAS)</w:t>
      </w:r>
      <w:r w:rsidRPr="00292532">
        <w:rPr>
          <w:lang w:val="pt-PT" w:eastAsia="ja-JP"/>
        </w:rPr>
        <w:t xml:space="preserve">. </w:t>
      </w:r>
    </w:p>
    <w:bookmarkEnd w:id="9"/>
    <w:p w14:paraId="5A90AFFC" w14:textId="214AF219" w:rsidR="00BC72F5" w:rsidRPr="00292532" w:rsidRDefault="00BC72F5" w:rsidP="00BC72F5">
      <w:pPr>
        <w:rPr>
          <w:lang w:val="pt-PT" w:eastAsia="ja-JP"/>
        </w:rPr>
      </w:pPr>
      <w:r w:rsidRPr="00292532">
        <w:rPr>
          <w:lang w:val="pt-PT" w:eastAsia="ja-JP"/>
        </w:rPr>
        <w:t xml:space="preserve">O </w:t>
      </w:r>
      <w:r w:rsidR="001575F8" w:rsidRPr="00292532">
        <w:rPr>
          <w:lang w:val="pt-PT" w:eastAsia="ja-JP"/>
        </w:rPr>
        <w:t xml:space="preserve">GGAS </w:t>
      </w:r>
      <w:r w:rsidRPr="00292532">
        <w:rPr>
          <w:lang w:val="pt-PT" w:eastAsia="ja-JP"/>
        </w:rPr>
        <w:t xml:space="preserve">constitui um dos instrumentos necessários para suportar o pedido de financiamento e consiste numa ferramenta de apoio a identificação e gestão dos potenciais riscos e impactos ambientais e sociais adversos do </w:t>
      </w:r>
      <w:proofErr w:type="spellStart"/>
      <w:r w:rsidRPr="00292532">
        <w:rPr>
          <w:lang w:val="pt-PT" w:eastAsia="ja-JP"/>
        </w:rPr>
        <w:t>Projecto</w:t>
      </w:r>
      <w:proofErr w:type="spellEnd"/>
      <w:r w:rsidRPr="00292532">
        <w:rPr>
          <w:lang w:val="pt-PT" w:eastAsia="ja-JP"/>
        </w:rPr>
        <w:t>.</w:t>
      </w:r>
    </w:p>
    <w:p w14:paraId="24E0F155" w14:textId="53367462" w:rsidR="00BC72F5" w:rsidRPr="00292532" w:rsidRDefault="00BC72F5" w:rsidP="00BC72F5">
      <w:pPr>
        <w:rPr>
          <w:lang w:val="pt-PT" w:eastAsia="ja-JP"/>
        </w:rPr>
      </w:pPr>
      <w:r w:rsidRPr="00292532">
        <w:rPr>
          <w:lang w:val="pt-PT" w:eastAsia="ja-JP"/>
        </w:rPr>
        <w:lastRenderedPageBreak/>
        <w:t xml:space="preserve">Este </w:t>
      </w:r>
      <w:r w:rsidR="002F16E5" w:rsidRPr="00292532">
        <w:rPr>
          <w:lang w:val="pt-PT" w:eastAsia="ja-JP"/>
        </w:rPr>
        <w:t xml:space="preserve">QGAS </w:t>
      </w:r>
      <w:r w:rsidRPr="00292532">
        <w:rPr>
          <w:lang w:val="pt-PT" w:eastAsia="ja-JP"/>
        </w:rPr>
        <w:t xml:space="preserve">será divulgado publicamente em Moçambique e disponibilizado, nos </w:t>
      </w:r>
      <w:r w:rsidRPr="00292532">
        <w:rPr>
          <w:i/>
          <w:iCs/>
          <w:lang w:val="pt-PT" w:eastAsia="ja-JP"/>
        </w:rPr>
        <w:t>websites</w:t>
      </w:r>
      <w:r w:rsidRPr="00292532">
        <w:rPr>
          <w:lang w:val="pt-PT" w:eastAsia="ja-JP"/>
        </w:rPr>
        <w:t xml:space="preserve"> da Administração de Infraestruturas de Água e Saneamento (AIAS), a Autoridade Reguladora de Água (AURA), </w:t>
      </w:r>
      <w:proofErr w:type="spellStart"/>
      <w:r w:rsidRPr="00292532">
        <w:rPr>
          <w:lang w:val="pt-PT" w:eastAsia="ja-JP"/>
        </w:rPr>
        <w:t>Direcção</w:t>
      </w:r>
      <w:proofErr w:type="spellEnd"/>
      <w:r w:rsidRPr="00292532">
        <w:rPr>
          <w:lang w:val="pt-PT" w:eastAsia="ja-JP"/>
        </w:rPr>
        <w:t xml:space="preserve"> Nacional de Abastecimento de Água e Saneamento (DNAAS) e do Banco Mundial.</w:t>
      </w:r>
    </w:p>
    <w:p w14:paraId="465168AF" w14:textId="0BE2BC00" w:rsidR="007044C3" w:rsidRPr="00292532" w:rsidRDefault="007044C3" w:rsidP="007044C3">
      <w:pPr>
        <w:pStyle w:val="Heading2"/>
      </w:pPr>
      <w:bookmarkStart w:id="10" w:name="_Toc80379930"/>
      <w:r w:rsidRPr="00292532">
        <w:t>O Quadro de Gestão Ambiental e Social</w:t>
      </w:r>
      <w:bookmarkEnd w:id="10"/>
    </w:p>
    <w:p w14:paraId="4A1E2518" w14:textId="3E03A8BB" w:rsidR="007044C3" w:rsidRPr="00292532" w:rsidRDefault="007044C3" w:rsidP="007044C3">
      <w:pPr>
        <w:rPr>
          <w:lang w:val="pt-PT" w:eastAsia="ja-JP"/>
        </w:rPr>
      </w:pPr>
      <w:bookmarkStart w:id="11" w:name="_Hlk75440655"/>
      <w:r w:rsidRPr="00292532">
        <w:rPr>
          <w:lang w:val="pt-PT" w:eastAsia="ja-JP"/>
        </w:rPr>
        <w:t xml:space="preserve">O </w:t>
      </w:r>
      <w:proofErr w:type="spellStart"/>
      <w:r w:rsidRPr="00292532">
        <w:rPr>
          <w:lang w:val="pt-PT" w:eastAsia="ja-JP"/>
        </w:rPr>
        <w:t>actual</w:t>
      </w:r>
      <w:proofErr w:type="spellEnd"/>
      <w:r w:rsidRPr="00292532">
        <w:rPr>
          <w:lang w:val="pt-PT" w:eastAsia="ja-JP"/>
        </w:rPr>
        <w:t xml:space="preserve"> QGAS fornece as linhas de orientação para a implementação de uma gestão ambiental e social do </w:t>
      </w:r>
      <w:proofErr w:type="spellStart"/>
      <w:r w:rsidRPr="00292532">
        <w:rPr>
          <w:lang w:val="pt-PT" w:eastAsia="ja-JP"/>
        </w:rPr>
        <w:t>Projecto</w:t>
      </w:r>
      <w:proofErr w:type="spellEnd"/>
      <w:r w:rsidRPr="00292532">
        <w:rPr>
          <w:lang w:val="pt-PT" w:eastAsia="ja-JP"/>
        </w:rPr>
        <w:t xml:space="preserve"> proposto por parte dos vários </w:t>
      </w:r>
      <w:proofErr w:type="spellStart"/>
      <w:r w:rsidRPr="00292532">
        <w:rPr>
          <w:lang w:val="pt-PT" w:eastAsia="ja-JP"/>
        </w:rPr>
        <w:t>actores</w:t>
      </w:r>
      <w:proofErr w:type="spellEnd"/>
      <w:r w:rsidRPr="00292532">
        <w:rPr>
          <w:lang w:val="pt-PT" w:eastAsia="ja-JP"/>
        </w:rPr>
        <w:t xml:space="preserve"> e intervenientes (por ex. mutuário, os gestores do </w:t>
      </w:r>
      <w:proofErr w:type="spellStart"/>
      <w:r w:rsidRPr="00292532">
        <w:rPr>
          <w:lang w:val="pt-PT" w:eastAsia="ja-JP"/>
        </w:rPr>
        <w:t>projecto</w:t>
      </w:r>
      <w:proofErr w:type="spellEnd"/>
      <w:r w:rsidRPr="00292532">
        <w:rPr>
          <w:lang w:val="pt-PT" w:eastAsia="ja-JP"/>
        </w:rPr>
        <w:t xml:space="preserve">, financiadores, </w:t>
      </w:r>
      <w:proofErr w:type="spellStart"/>
      <w:r w:rsidRPr="00292532">
        <w:rPr>
          <w:lang w:val="pt-PT" w:eastAsia="ja-JP"/>
        </w:rPr>
        <w:t>projectistas</w:t>
      </w:r>
      <w:proofErr w:type="spellEnd"/>
      <w:r w:rsidRPr="00292532">
        <w:rPr>
          <w:lang w:val="pt-PT" w:eastAsia="ja-JP"/>
        </w:rPr>
        <w:t xml:space="preserve">, empreiteiros, empresas </w:t>
      </w:r>
      <w:r w:rsidR="00381467" w:rsidRPr="00292532">
        <w:rPr>
          <w:lang w:val="pt-PT" w:eastAsia="ja-JP"/>
        </w:rPr>
        <w:t>contrata</w:t>
      </w:r>
      <w:r w:rsidRPr="00292532">
        <w:rPr>
          <w:lang w:val="pt-PT" w:eastAsia="ja-JP"/>
        </w:rPr>
        <w:t xml:space="preserve">das, </w:t>
      </w:r>
      <w:r w:rsidR="00D9688F" w:rsidRPr="00292532">
        <w:rPr>
          <w:lang w:val="pt-PT" w:eastAsia="ja-JP"/>
        </w:rPr>
        <w:t>etc.</w:t>
      </w:r>
      <w:r w:rsidRPr="00292532">
        <w:rPr>
          <w:lang w:val="pt-PT" w:eastAsia="ja-JP"/>
        </w:rPr>
        <w:t xml:space="preserve">)  durante o ciclo de vida do </w:t>
      </w:r>
      <w:proofErr w:type="spellStart"/>
      <w:r w:rsidRPr="00292532">
        <w:rPr>
          <w:lang w:val="pt-PT" w:eastAsia="ja-JP"/>
        </w:rPr>
        <w:t>Projecto</w:t>
      </w:r>
      <w:bookmarkEnd w:id="11"/>
      <w:proofErr w:type="spellEnd"/>
      <w:r w:rsidRPr="00292532">
        <w:rPr>
          <w:lang w:val="pt-PT" w:eastAsia="ja-JP"/>
        </w:rPr>
        <w:t xml:space="preserve">, e fornece o seguinte: </w:t>
      </w:r>
    </w:p>
    <w:p w14:paraId="673B856E" w14:textId="7D1EC946" w:rsidR="007044C3" w:rsidRPr="00292532" w:rsidRDefault="007044C3" w:rsidP="007044C3">
      <w:pPr>
        <w:pStyle w:val="ListParagraph"/>
        <w:rPr>
          <w:lang w:val="pt-PT" w:eastAsia="ja-JP"/>
        </w:rPr>
      </w:pPr>
      <w:r w:rsidRPr="00292532">
        <w:rPr>
          <w:lang w:val="pt-PT" w:eastAsia="ja-JP"/>
        </w:rPr>
        <w:t xml:space="preserve">Procedimentos e abordagens metodológicas explícitas para consideração dos </w:t>
      </w:r>
      <w:proofErr w:type="spellStart"/>
      <w:r w:rsidRPr="00292532">
        <w:rPr>
          <w:lang w:val="pt-PT" w:eastAsia="ja-JP"/>
        </w:rPr>
        <w:t>aspectos</w:t>
      </w:r>
      <w:proofErr w:type="spellEnd"/>
      <w:r w:rsidRPr="00292532">
        <w:rPr>
          <w:lang w:val="pt-PT" w:eastAsia="ja-JP"/>
        </w:rPr>
        <w:t xml:space="preserve"> ambientais e sociais, medidas de mitigação padrão e ferramentas necessárias para identificar impactos e medidas de mitigação; </w:t>
      </w:r>
    </w:p>
    <w:p w14:paraId="717AC0CC" w14:textId="77777777" w:rsidR="007044C3" w:rsidRPr="00292532" w:rsidRDefault="007044C3" w:rsidP="007044C3">
      <w:pPr>
        <w:pStyle w:val="ListParagraph"/>
        <w:rPr>
          <w:lang w:val="pt-PT" w:eastAsia="ja-JP"/>
        </w:rPr>
      </w:pPr>
      <w:r w:rsidRPr="00292532">
        <w:rPr>
          <w:lang w:val="pt-PT" w:eastAsia="ja-JP"/>
        </w:rPr>
        <w:t xml:space="preserve">Um plano de gestão ambiental e social genérico para a gestão dos impactos nas fases de planificação, construção e operação/funcionamento das infraestruturas de abastecimento de água e saneamento e outras intervenções associadas conforme previstas pelo </w:t>
      </w:r>
      <w:proofErr w:type="spellStart"/>
      <w:r w:rsidRPr="00292532">
        <w:rPr>
          <w:lang w:val="pt-PT" w:eastAsia="ja-JP"/>
        </w:rPr>
        <w:t>Projecto</w:t>
      </w:r>
      <w:proofErr w:type="spellEnd"/>
      <w:r w:rsidRPr="00292532">
        <w:rPr>
          <w:lang w:val="pt-PT" w:eastAsia="ja-JP"/>
        </w:rPr>
        <w:t xml:space="preserve">; </w:t>
      </w:r>
    </w:p>
    <w:p w14:paraId="0D434B46" w14:textId="15ADA66E" w:rsidR="007044C3" w:rsidRPr="00292532" w:rsidRDefault="007044C3" w:rsidP="007044C3">
      <w:pPr>
        <w:pStyle w:val="ListParagraph"/>
        <w:rPr>
          <w:lang w:val="pt-PT" w:eastAsia="ja-JP"/>
        </w:rPr>
      </w:pPr>
      <w:r w:rsidRPr="00292532">
        <w:rPr>
          <w:lang w:val="pt-PT" w:eastAsia="ja-JP"/>
        </w:rPr>
        <w:t xml:space="preserve">Estrutura organizacional e definição de responsabilidades </w:t>
      </w:r>
      <w:r w:rsidR="00F956D4" w:rsidRPr="00292532">
        <w:rPr>
          <w:lang w:val="pt-PT" w:eastAsia="ja-JP"/>
        </w:rPr>
        <w:t>para implementar</w:t>
      </w:r>
      <w:r w:rsidRPr="00292532">
        <w:rPr>
          <w:lang w:val="pt-PT" w:eastAsia="ja-JP"/>
        </w:rPr>
        <w:t xml:space="preserve"> as </w:t>
      </w:r>
      <w:proofErr w:type="spellStart"/>
      <w:r w:rsidRPr="00292532">
        <w:rPr>
          <w:lang w:val="pt-PT" w:eastAsia="ja-JP"/>
        </w:rPr>
        <w:t>acções</w:t>
      </w:r>
      <w:proofErr w:type="spellEnd"/>
      <w:r w:rsidRPr="00292532">
        <w:rPr>
          <w:lang w:val="pt-PT" w:eastAsia="ja-JP"/>
        </w:rPr>
        <w:t xml:space="preserve"> de gestão ambiental propostas;</w:t>
      </w:r>
    </w:p>
    <w:p w14:paraId="69AB64F7" w14:textId="77777777" w:rsidR="007044C3" w:rsidRPr="00292532" w:rsidRDefault="007044C3" w:rsidP="007044C3">
      <w:pPr>
        <w:pStyle w:val="ListParagraph"/>
        <w:rPr>
          <w:lang w:val="pt-PT" w:eastAsia="ja-JP"/>
        </w:rPr>
      </w:pPr>
      <w:r w:rsidRPr="00292532">
        <w:rPr>
          <w:lang w:val="pt-PT" w:eastAsia="ja-JP"/>
        </w:rPr>
        <w:t xml:space="preserve">Estratégia de monitorização dos </w:t>
      </w:r>
      <w:proofErr w:type="spellStart"/>
      <w:r w:rsidRPr="00292532">
        <w:rPr>
          <w:lang w:val="pt-PT" w:eastAsia="ja-JP"/>
        </w:rPr>
        <w:t>aspectos</w:t>
      </w:r>
      <w:proofErr w:type="spellEnd"/>
      <w:r w:rsidRPr="00292532">
        <w:rPr>
          <w:lang w:val="pt-PT" w:eastAsia="ja-JP"/>
        </w:rPr>
        <w:t xml:space="preserve"> ambientais do </w:t>
      </w:r>
      <w:proofErr w:type="spellStart"/>
      <w:r w:rsidRPr="00292532">
        <w:rPr>
          <w:lang w:val="pt-PT" w:eastAsia="ja-JP"/>
        </w:rPr>
        <w:t>Projecto</w:t>
      </w:r>
      <w:proofErr w:type="spellEnd"/>
      <w:r w:rsidRPr="00292532">
        <w:rPr>
          <w:lang w:val="pt-PT" w:eastAsia="ja-JP"/>
        </w:rPr>
        <w:t>, gestão dos riscos e impactos e definição dos principais indicadores de desempenho ambiental e social;</w:t>
      </w:r>
    </w:p>
    <w:p w14:paraId="6F4D3BD5" w14:textId="7A711DEA" w:rsidR="007044C3" w:rsidRPr="00292532" w:rsidRDefault="007044C3" w:rsidP="007044C3">
      <w:pPr>
        <w:pStyle w:val="ListParagraph"/>
        <w:rPr>
          <w:lang w:val="pt-PT" w:eastAsia="ja-JP"/>
        </w:rPr>
      </w:pPr>
      <w:r w:rsidRPr="00292532">
        <w:rPr>
          <w:lang w:val="pt-PT" w:eastAsia="ja-JP"/>
        </w:rPr>
        <w:t xml:space="preserve">Procedimentos de relatórios para gerir </w:t>
      </w:r>
      <w:r w:rsidR="00C87ECE" w:rsidRPr="00292532">
        <w:rPr>
          <w:lang w:val="pt-PT" w:eastAsia="ja-JP"/>
        </w:rPr>
        <w:t>os</w:t>
      </w:r>
      <w:r w:rsidR="000178B8" w:rsidRPr="00292532">
        <w:rPr>
          <w:lang w:val="pt-PT" w:eastAsia="ja-JP"/>
        </w:rPr>
        <w:t xml:space="preserve"> </w:t>
      </w:r>
      <w:proofErr w:type="spellStart"/>
      <w:r w:rsidRPr="00292532">
        <w:rPr>
          <w:lang w:val="pt-PT" w:eastAsia="ja-JP"/>
        </w:rPr>
        <w:t>aspectos</w:t>
      </w:r>
      <w:proofErr w:type="spellEnd"/>
      <w:r w:rsidRPr="00292532">
        <w:rPr>
          <w:lang w:val="pt-PT" w:eastAsia="ja-JP"/>
        </w:rPr>
        <w:t xml:space="preserve"> ambientais e sociais durante todas as fases do </w:t>
      </w:r>
      <w:proofErr w:type="spellStart"/>
      <w:r w:rsidRPr="00292532">
        <w:rPr>
          <w:lang w:val="pt-PT" w:eastAsia="ja-JP"/>
        </w:rPr>
        <w:t>Projecto</w:t>
      </w:r>
      <w:proofErr w:type="spellEnd"/>
      <w:r w:rsidRPr="00292532">
        <w:rPr>
          <w:lang w:val="pt-PT" w:eastAsia="ja-JP"/>
        </w:rPr>
        <w:t xml:space="preserve">, desde a </w:t>
      </w:r>
      <w:proofErr w:type="spellStart"/>
      <w:r w:rsidRPr="00292532">
        <w:rPr>
          <w:lang w:val="pt-PT" w:eastAsia="ja-JP"/>
        </w:rPr>
        <w:t>concepção</w:t>
      </w:r>
      <w:proofErr w:type="spellEnd"/>
      <w:r w:rsidRPr="00292532">
        <w:rPr>
          <w:lang w:val="pt-PT" w:eastAsia="ja-JP"/>
        </w:rPr>
        <w:t xml:space="preserve"> </w:t>
      </w:r>
      <w:r w:rsidR="00C87ECE" w:rsidRPr="00292532">
        <w:rPr>
          <w:lang w:val="pt-PT" w:eastAsia="ja-JP"/>
        </w:rPr>
        <w:t xml:space="preserve">e </w:t>
      </w:r>
      <w:r w:rsidRPr="00292532">
        <w:rPr>
          <w:lang w:val="pt-PT" w:eastAsia="ja-JP"/>
        </w:rPr>
        <w:t xml:space="preserve">execução </w:t>
      </w:r>
      <w:r w:rsidR="00C87ECE" w:rsidRPr="00292532">
        <w:rPr>
          <w:lang w:val="pt-PT" w:eastAsia="ja-JP"/>
        </w:rPr>
        <w:t>à</w:t>
      </w:r>
      <w:r w:rsidRPr="00292532">
        <w:rPr>
          <w:lang w:val="pt-PT" w:eastAsia="ja-JP"/>
        </w:rPr>
        <w:t xml:space="preserve"> operação dos sistemas instalados;</w:t>
      </w:r>
    </w:p>
    <w:p w14:paraId="00FD4DFF" w14:textId="77777777" w:rsidR="007044C3" w:rsidRPr="00292532" w:rsidRDefault="007044C3" w:rsidP="007044C3">
      <w:pPr>
        <w:pStyle w:val="ListParagraph"/>
        <w:rPr>
          <w:lang w:val="pt-PT" w:eastAsia="ja-JP"/>
        </w:rPr>
      </w:pPr>
      <w:r w:rsidRPr="00292532">
        <w:rPr>
          <w:lang w:val="pt-PT" w:eastAsia="ja-JP"/>
        </w:rPr>
        <w:t xml:space="preserve">Um esboço de medidas de capacitação recomendadas para a planificação, execução e monitorização das </w:t>
      </w:r>
      <w:proofErr w:type="spellStart"/>
      <w:r w:rsidRPr="00292532">
        <w:rPr>
          <w:lang w:val="pt-PT" w:eastAsia="ja-JP"/>
        </w:rPr>
        <w:t>actividades</w:t>
      </w:r>
      <w:proofErr w:type="spellEnd"/>
      <w:r w:rsidRPr="00292532">
        <w:rPr>
          <w:lang w:val="pt-PT" w:eastAsia="ja-JP"/>
        </w:rPr>
        <w:t xml:space="preserve"> ambientais e sociais do </w:t>
      </w:r>
      <w:proofErr w:type="spellStart"/>
      <w:r w:rsidRPr="00292532">
        <w:rPr>
          <w:lang w:val="pt-PT" w:eastAsia="ja-JP"/>
        </w:rPr>
        <w:t>projecto</w:t>
      </w:r>
      <w:proofErr w:type="spellEnd"/>
      <w:r w:rsidRPr="00292532">
        <w:rPr>
          <w:lang w:val="pt-PT" w:eastAsia="ja-JP"/>
        </w:rPr>
        <w:t xml:space="preserve">; </w:t>
      </w:r>
    </w:p>
    <w:p w14:paraId="10A5ED9B" w14:textId="2715FA2F" w:rsidR="007044C3" w:rsidRPr="00292532" w:rsidRDefault="007044C3" w:rsidP="007044C3">
      <w:pPr>
        <w:pStyle w:val="ListParagraph"/>
        <w:rPr>
          <w:lang w:val="pt-PT" w:eastAsia="ja-JP"/>
        </w:rPr>
      </w:pPr>
      <w:r w:rsidRPr="00292532">
        <w:rPr>
          <w:lang w:val="pt-PT" w:eastAsia="ja-JP"/>
        </w:rPr>
        <w:t xml:space="preserve">Um orçamento para garantir que o </w:t>
      </w:r>
      <w:proofErr w:type="spellStart"/>
      <w:r w:rsidRPr="00292532">
        <w:rPr>
          <w:lang w:val="pt-PT" w:eastAsia="ja-JP"/>
        </w:rPr>
        <w:t>Projecto</w:t>
      </w:r>
      <w:proofErr w:type="spellEnd"/>
      <w:r w:rsidRPr="00292532">
        <w:rPr>
          <w:lang w:val="pt-PT" w:eastAsia="ja-JP"/>
        </w:rPr>
        <w:t xml:space="preserve"> tenha recursos suficientes para atender aos seus próprios interesses, especialmente recursos financeiros para a preparação e implementação das </w:t>
      </w:r>
      <w:r w:rsidR="00C87ECE" w:rsidRPr="00292532">
        <w:rPr>
          <w:lang w:val="pt-PT" w:eastAsia="ja-JP"/>
        </w:rPr>
        <w:t>Avaliações de Impacto Ambiental e Social (</w:t>
      </w:r>
      <w:proofErr w:type="spellStart"/>
      <w:r w:rsidR="00C87ECE" w:rsidRPr="00292532">
        <w:rPr>
          <w:lang w:val="pt-PT" w:eastAsia="ja-JP"/>
        </w:rPr>
        <w:t>AIAs</w:t>
      </w:r>
      <w:proofErr w:type="spellEnd"/>
      <w:r w:rsidR="00C87ECE" w:rsidRPr="00292532">
        <w:rPr>
          <w:lang w:val="pt-PT" w:eastAsia="ja-JP"/>
        </w:rPr>
        <w:t xml:space="preserve">) </w:t>
      </w:r>
      <w:r w:rsidRPr="00292532">
        <w:rPr>
          <w:lang w:val="pt-PT" w:eastAsia="ja-JP"/>
        </w:rPr>
        <w:t>e do</w:t>
      </w:r>
      <w:r w:rsidR="00C87ECE" w:rsidRPr="00292532">
        <w:rPr>
          <w:lang w:val="pt-PT" w:eastAsia="ja-JP"/>
        </w:rPr>
        <w:t>s</w:t>
      </w:r>
      <w:r w:rsidRPr="00292532">
        <w:rPr>
          <w:lang w:val="pt-PT" w:eastAsia="ja-JP"/>
        </w:rPr>
        <w:t xml:space="preserve"> P</w:t>
      </w:r>
      <w:r w:rsidR="00C87ECE" w:rsidRPr="00292532">
        <w:rPr>
          <w:lang w:val="pt-PT" w:eastAsia="ja-JP"/>
        </w:rPr>
        <w:t>lanos de Gestão Ambiental</w:t>
      </w:r>
      <w:r w:rsidR="001978AF" w:rsidRPr="00292532">
        <w:rPr>
          <w:lang w:val="pt-PT" w:eastAsia="ja-JP"/>
        </w:rPr>
        <w:t xml:space="preserve"> e Social</w:t>
      </w:r>
      <w:r w:rsidR="00C87ECE" w:rsidRPr="00292532">
        <w:rPr>
          <w:lang w:val="pt-PT" w:eastAsia="ja-JP"/>
        </w:rPr>
        <w:t xml:space="preserve"> (</w:t>
      </w:r>
      <w:r w:rsidR="001978AF" w:rsidRPr="00292532">
        <w:rPr>
          <w:lang w:val="pt-PT" w:eastAsia="ja-JP"/>
        </w:rPr>
        <w:t>PGAS</w:t>
      </w:r>
      <w:r w:rsidR="00C87ECE" w:rsidRPr="00292532">
        <w:rPr>
          <w:lang w:val="pt-PT" w:eastAsia="ja-JP"/>
        </w:rPr>
        <w:t>)</w:t>
      </w:r>
      <w:r w:rsidRPr="00292532">
        <w:rPr>
          <w:lang w:val="pt-PT" w:eastAsia="ja-JP"/>
        </w:rPr>
        <w:t xml:space="preserve"> do </w:t>
      </w:r>
      <w:proofErr w:type="spellStart"/>
      <w:r w:rsidRPr="00292532">
        <w:rPr>
          <w:lang w:val="pt-PT" w:eastAsia="ja-JP"/>
        </w:rPr>
        <w:t>projecto</w:t>
      </w:r>
      <w:proofErr w:type="spellEnd"/>
      <w:r w:rsidRPr="00292532">
        <w:rPr>
          <w:lang w:val="pt-PT" w:eastAsia="ja-JP"/>
        </w:rPr>
        <w:t xml:space="preserve"> e suas componentes de intervenção;</w:t>
      </w:r>
    </w:p>
    <w:p w14:paraId="48990F1A" w14:textId="112BA456" w:rsidR="007044C3" w:rsidRPr="00292532" w:rsidRDefault="007044C3" w:rsidP="007044C3">
      <w:pPr>
        <w:pStyle w:val="ListParagraph"/>
        <w:rPr>
          <w:lang w:val="pt-PT" w:eastAsia="ja-JP"/>
        </w:rPr>
      </w:pPr>
      <w:r w:rsidRPr="00292532">
        <w:rPr>
          <w:lang w:val="pt-PT" w:eastAsia="ja-JP"/>
        </w:rPr>
        <w:t>Guias de orientação para a preparação e implementação dos instrumentos específicos subsequentes, nomeadamente, Estudos de Impacto Ambienta</w:t>
      </w:r>
      <w:r w:rsidR="00C87ECE" w:rsidRPr="00292532">
        <w:rPr>
          <w:lang w:val="pt-PT" w:eastAsia="ja-JP"/>
        </w:rPr>
        <w:t>l</w:t>
      </w:r>
      <w:r w:rsidRPr="00292532">
        <w:rPr>
          <w:lang w:val="pt-PT" w:eastAsia="ja-JP"/>
        </w:rPr>
        <w:t xml:space="preserve"> e Socia</w:t>
      </w:r>
      <w:r w:rsidR="00C87ECE" w:rsidRPr="00292532">
        <w:rPr>
          <w:lang w:val="pt-PT" w:eastAsia="ja-JP"/>
        </w:rPr>
        <w:t>l</w:t>
      </w:r>
      <w:r w:rsidRPr="00292532">
        <w:rPr>
          <w:lang w:val="pt-PT" w:eastAsia="ja-JP"/>
        </w:rPr>
        <w:t xml:space="preserve"> (</w:t>
      </w:r>
      <w:r w:rsidR="00C87ECE" w:rsidRPr="00292532">
        <w:rPr>
          <w:lang w:val="pt-PT" w:eastAsia="ja-JP"/>
        </w:rPr>
        <w:t>EIAS</w:t>
      </w:r>
      <w:r w:rsidRPr="00292532">
        <w:rPr>
          <w:lang w:val="pt-PT" w:eastAsia="ja-JP"/>
        </w:rPr>
        <w:t>), Planos de Gestão Ambiental e Social</w:t>
      </w:r>
      <w:r w:rsidR="00C87ECE" w:rsidRPr="00292532">
        <w:rPr>
          <w:lang w:val="pt-PT" w:eastAsia="ja-JP"/>
        </w:rPr>
        <w:t xml:space="preserve"> (</w:t>
      </w:r>
      <w:r w:rsidR="001978AF" w:rsidRPr="00292532">
        <w:rPr>
          <w:lang w:val="pt-PT" w:eastAsia="ja-JP"/>
        </w:rPr>
        <w:t>PGAS</w:t>
      </w:r>
      <w:r w:rsidR="00C87ECE" w:rsidRPr="00292532">
        <w:rPr>
          <w:lang w:val="pt-PT" w:eastAsia="ja-JP"/>
        </w:rPr>
        <w:t>)</w:t>
      </w:r>
      <w:r w:rsidRPr="00292532">
        <w:rPr>
          <w:lang w:val="pt-PT" w:eastAsia="ja-JP"/>
        </w:rPr>
        <w:t xml:space="preserve">. </w:t>
      </w:r>
    </w:p>
    <w:p w14:paraId="32E53BD7" w14:textId="3DA83E77" w:rsidR="007044C3" w:rsidRPr="00292532" w:rsidRDefault="007044C3" w:rsidP="00C87ECE">
      <w:pPr>
        <w:rPr>
          <w:lang w:val="pt-PT" w:eastAsia="ja-JP"/>
        </w:rPr>
      </w:pPr>
      <w:r w:rsidRPr="00292532">
        <w:rPr>
          <w:lang w:val="pt-PT" w:eastAsia="ja-JP"/>
        </w:rPr>
        <w:t>O presente QGAS foi elaborado em resposta aos Termos de Referências (</w:t>
      </w:r>
      <w:proofErr w:type="spellStart"/>
      <w:r w:rsidRPr="00292532">
        <w:rPr>
          <w:lang w:val="pt-PT" w:eastAsia="ja-JP"/>
        </w:rPr>
        <w:t>T</w:t>
      </w:r>
      <w:r w:rsidR="000178B8" w:rsidRPr="00292532">
        <w:rPr>
          <w:lang w:val="pt-PT" w:eastAsia="ja-JP"/>
        </w:rPr>
        <w:t>d</w:t>
      </w:r>
      <w:r w:rsidRPr="00292532">
        <w:rPr>
          <w:lang w:val="pt-PT" w:eastAsia="ja-JP"/>
        </w:rPr>
        <w:t>R</w:t>
      </w:r>
      <w:proofErr w:type="spellEnd"/>
      <w:r w:rsidRPr="00292532">
        <w:rPr>
          <w:lang w:val="pt-PT" w:eastAsia="ja-JP"/>
        </w:rPr>
        <w:t>) desenvolvidos pel</w:t>
      </w:r>
      <w:r w:rsidR="00C87ECE" w:rsidRPr="00292532">
        <w:rPr>
          <w:lang w:val="pt-PT" w:eastAsia="ja-JP"/>
        </w:rPr>
        <w:t>a</w:t>
      </w:r>
      <w:r w:rsidRPr="00292532">
        <w:rPr>
          <w:lang w:val="pt-PT" w:eastAsia="ja-JP"/>
        </w:rPr>
        <w:t xml:space="preserve"> AIAS, onde são estabelecidos os requisitos gerais a serem observados durante do documento. </w:t>
      </w:r>
    </w:p>
    <w:p w14:paraId="1F356BBE" w14:textId="746DD837" w:rsidR="007044C3" w:rsidRPr="00292532" w:rsidRDefault="007044C3" w:rsidP="00C87ECE">
      <w:pPr>
        <w:rPr>
          <w:lang w:val="pt-PT" w:eastAsia="ja-JP"/>
        </w:rPr>
      </w:pPr>
      <w:bookmarkStart w:id="12" w:name="_Hlk75440680"/>
      <w:r w:rsidRPr="00292532">
        <w:rPr>
          <w:lang w:val="pt-PT" w:eastAsia="ja-JP"/>
        </w:rPr>
        <w:t xml:space="preserve">O QGAS baseia-se fundamentalmente nas orientações previstas no Quadro </w:t>
      </w:r>
      <w:r w:rsidR="00365FBE" w:rsidRPr="00292532">
        <w:rPr>
          <w:lang w:val="pt-PT" w:eastAsia="ja-JP"/>
        </w:rPr>
        <w:t xml:space="preserve">de Gestão </w:t>
      </w:r>
      <w:r w:rsidRPr="00292532">
        <w:rPr>
          <w:lang w:val="pt-PT" w:eastAsia="ja-JP"/>
        </w:rPr>
        <w:t xml:space="preserve">Ambiental e Social para Operações de </w:t>
      </w:r>
      <w:proofErr w:type="spellStart"/>
      <w:r w:rsidRPr="00292532">
        <w:rPr>
          <w:lang w:val="pt-PT" w:eastAsia="ja-JP"/>
        </w:rPr>
        <w:t>Projectos</w:t>
      </w:r>
      <w:proofErr w:type="spellEnd"/>
      <w:r w:rsidRPr="00292532">
        <w:rPr>
          <w:lang w:val="pt-PT" w:eastAsia="ja-JP"/>
        </w:rPr>
        <w:t xml:space="preserve"> de Investimento (Banco Mundial, 2018),</w:t>
      </w:r>
      <w:r w:rsidR="008D76CB">
        <w:rPr>
          <w:lang w:val="pt-PT" w:eastAsia="ja-JP"/>
        </w:rPr>
        <w:t xml:space="preserve"> nas </w:t>
      </w:r>
      <w:proofErr w:type="spellStart"/>
      <w:r w:rsidR="008D76CB">
        <w:rPr>
          <w:lang w:val="pt-PT" w:eastAsia="ja-JP"/>
        </w:rPr>
        <w:t>Directrizes</w:t>
      </w:r>
      <w:proofErr w:type="spellEnd"/>
      <w:r w:rsidR="008D76CB">
        <w:rPr>
          <w:lang w:val="pt-PT" w:eastAsia="ja-JP"/>
        </w:rPr>
        <w:t xml:space="preserve"> de Ambiente, e Segurança do Banco Mundial e nas </w:t>
      </w:r>
      <w:proofErr w:type="spellStart"/>
      <w:r w:rsidR="008D76CB">
        <w:rPr>
          <w:lang w:val="pt-PT" w:eastAsia="ja-JP"/>
        </w:rPr>
        <w:t>Directrizes</w:t>
      </w:r>
      <w:proofErr w:type="spellEnd"/>
      <w:r w:rsidR="008D76CB">
        <w:rPr>
          <w:lang w:val="pt-PT" w:eastAsia="ja-JP"/>
        </w:rPr>
        <w:t xml:space="preserve"> de Ambiente, Saúde e Segurança para Água e Saneamento</w:t>
      </w:r>
      <w:r w:rsidRPr="00292532">
        <w:rPr>
          <w:lang w:val="pt-PT" w:eastAsia="ja-JP"/>
        </w:rPr>
        <w:t xml:space="preserve"> </w:t>
      </w:r>
      <w:r w:rsidR="008D76CB">
        <w:rPr>
          <w:lang w:val="pt-PT" w:eastAsia="ja-JP"/>
        </w:rPr>
        <w:t xml:space="preserve">do Grupo do Banco Mundial, </w:t>
      </w:r>
      <w:r w:rsidRPr="00292532">
        <w:rPr>
          <w:lang w:val="pt-PT" w:eastAsia="ja-JP"/>
        </w:rPr>
        <w:t>na legislação ambiental aplicável vigente no Pa</w:t>
      </w:r>
      <w:r w:rsidR="00C87ECE" w:rsidRPr="00292532">
        <w:rPr>
          <w:lang w:val="pt-PT" w:eastAsia="ja-JP"/>
        </w:rPr>
        <w:t>í</w:t>
      </w:r>
      <w:r w:rsidRPr="00292532">
        <w:rPr>
          <w:lang w:val="pt-PT" w:eastAsia="ja-JP"/>
        </w:rPr>
        <w:t>s e convenções internacionais aplicáveis ratificadas pelo País.</w:t>
      </w:r>
    </w:p>
    <w:bookmarkEnd w:id="12"/>
    <w:p w14:paraId="5F731A2F" w14:textId="524C20C0" w:rsidR="007044C3" w:rsidRPr="00292532" w:rsidRDefault="007044C3" w:rsidP="00C87ECE">
      <w:pPr>
        <w:rPr>
          <w:lang w:val="pt-PT" w:eastAsia="ja-JP"/>
        </w:rPr>
      </w:pPr>
      <w:r w:rsidRPr="00292532">
        <w:rPr>
          <w:lang w:val="pt-PT" w:eastAsia="ja-JP"/>
        </w:rPr>
        <w:t xml:space="preserve">O Quadro de Política de Reassentamento (QPR), </w:t>
      </w:r>
      <w:r w:rsidR="00C87ECE" w:rsidRPr="00292532">
        <w:rPr>
          <w:lang w:val="pt-PT" w:eastAsia="ja-JP"/>
        </w:rPr>
        <w:t xml:space="preserve">constitui um documento independente do QGAS, preparado </w:t>
      </w:r>
      <w:r w:rsidR="000178B8" w:rsidRPr="00292532">
        <w:rPr>
          <w:lang w:val="pt-PT" w:eastAsia="ja-JP"/>
        </w:rPr>
        <w:t>para estabelecer</w:t>
      </w:r>
      <w:r w:rsidRPr="00292532">
        <w:rPr>
          <w:lang w:val="pt-PT" w:eastAsia="ja-JP"/>
        </w:rPr>
        <w:t xml:space="preserve"> os </w:t>
      </w:r>
      <w:proofErr w:type="spellStart"/>
      <w:r w:rsidRPr="00292532">
        <w:rPr>
          <w:lang w:val="pt-PT" w:eastAsia="ja-JP"/>
        </w:rPr>
        <w:t>objectivos</w:t>
      </w:r>
      <w:proofErr w:type="spellEnd"/>
      <w:r w:rsidRPr="00292532">
        <w:rPr>
          <w:lang w:val="pt-PT" w:eastAsia="ja-JP"/>
        </w:rPr>
        <w:t xml:space="preserve"> e princípios de compensação </w:t>
      </w:r>
      <w:r w:rsidR="001469A9">
        <w:rPr>
          <w:lang w:val="pt-PT" w:eastAsia="ja-JP"/>
        </w:rPr>
        <w:t>pelos</w:t>
      </w:r>
      <w:r w:rsidR="001469A9" w:rsidRPr="00292532">
        <w:rPr>
          <w:lang w:val="pt-PT" w:eastAsia="ja-JP"/>
        </w:rPr>
        <w:t xml:space="preserve"> </w:t>
      </w:r>
      <w:r w:rsidRPr="00292532">
        <w:rPr>
          <w:lang w:val="pt-PT" w:eastAsia="ja-JP"/>
        </w:rPr>
        <w:t xml:space="preserve">danos emergentes, os arranjos organizacionais e os mecanismos de financiamento para quaisquer </w:t>
      </w:r>
      <w:proofErr w:type="spellStart"/>
      <w:r w:rsidRPr="00292532">
        <w:rPr>
          <w:lang w:val="pt-PT" w:eastAsia="ja-JP"/>
        </w:rPr>
        <w:t>acções</w:t>
      </w:r>
      <w:proofErr w:type="spellEnd"/>
      <w:r w:rsidRPr="00292532">
        <w:rPr>
          <w:lang w:val="pt-PT" w:eastAsia="ja-JP"/>
        </w:rPr>
        <w:t xml:space="preserve"> de reassentamento que possam vir a ser necessárias para o </w:t>
      </w:r>
      <w:proofErr w:type="spellStart"/>
      <w:r w:rsidRPr="00292532">
        <w:rPr>
          <w:lang w:val="pt-PT" w:eastAsia="ja-JP"/>
        </w:rPr>
        <w:t>Projecto</w:t>
      </w:r>
      <w:proofErr w:type="spellEnd"/>
      <w:r w:rsidRPr="00292532">
        <w:rPr>
          <w:lang w:val="pt-PT" w:eastAsia="ja-JP"/>
        </w:rPr>
        <w:t>.</w:t>
      </w:r>
    </w:p>
    <w:p w14:paraId="5DC065D3" w14:textId="30FB1ADA" w:rsidR="007044C3" w:rsidRPr="00292532" w:rsidRDefault="007044C3" w:rsidP="00C87ECE">
      <w:pPr>
        <w:rPr>
          <w:lang w:val="pt-PT" w:eastAsia="ja-JP"/>
        </w:rPr>
      </w:pPr>
      <w:r w:rsidRPr="00292532">
        <w:rPr>
          <w:lang w:val="pt-PT" w:eastAsia="ja-JP"/>
        </w:rPr>
        <w:lastRenderedPageBreak/>
        <w:t>Para a elaboração do QGAS foi contemplada uma recolha de dados bibliográficos d</w:t>
      </w:r>
      <w:r w:rsidR="00C87ECE" w:rsidRPr="00292532">
        <w:rPr>
          <w:lang w:val="pt-PT" w:eastAsia="ja-JP"/>
        </w:rPr>
        <w:t>e</w:t>
      </w:r>
      <w:r w:rsidRPr="00292532">
        <w:rPr>
          <w:lang w:val="pt-PT" w:eastAsia="ja-JP"/>
        </w:rPr>
        <w:t xml:space="preserve"> </w:t>
      </w:r>
      <w:proofErr w:type="spellStart"/>
      <w:r w:rsidRPr="00292532">
        <w:rPr>
          <w:lang w:val="pt-PT" w:eastAsia="ja-JP"/>
        </w:rPr>
        <w:t>projectos</w:t>
      </w:r>
      <w:proofErr w:type="spellEnd"/>
      <w:r w:rsidRPr="00292532">
        <w:rPr>
          <w:lang w:val="pt-PT" w:eastAsia="ja-JP"/>
        </w:rPr>
        <w:t xml:space="preserve"> anteriores implementados no Sector de Águas em Moçambique (destaca-se o </w:t>
      </w:r>
      <w:proofErr w:type="spellStart"/>
      <w:r w:rsidRPr="00292532">
        <w:rPr>
          <w:lang w:val="pt-PT" w:eastAsia="ja-JP"/>
        </w:rPr>
        <w:t>Projecto</w:t>
      </w:r>
      <w:proofErr w:type="spellEnd"/>
      <w:r w:rsidRPr="00292532">
        <w:rPr>
          <w:lang w:val="pt-PT" w:eastAsia="ja-JP"/>
        </w:rPr>
        <w:t xml:space="preserve"> de </w:t>
      </w:r>
      <w:r w:rsidR="000178B8" w:rsidRPr="00292532">
        <w:rPr>
          <w:lang w:val="pt-PT" w:eastAsia="ja-JP"/>
        </w:rPr>
        <w:t>Abastecimento</w:t>
      </w:r>
      <w:r w:rsidRPr="00292532">
        <w:rPr>
          <w:lang w:val="pt-PT" w:eastAsia="ja-JP"/>
        </w:rPr>
        <w:t xml:space="preserve"> de Água e Saneamento à Cidade de Mocuba), base de dados da Administração Pública, como o Instituto Nacional de Estatística (INE), Planos </w:t>
      </w:r>
      <w:proofErr w:type="spellStart"/>
      <w:r w:rsidRPr="00292532">
        <w:rPr>
          <w:lang w:val="pt-PT" w:eastAsia="ja-JP"/>
        </w:rPr>
        <w:t>Directores</w:t>
      </w:r>
      <w:proofErr w:type="spellEnd"/>
      <w:r w:rsidRPr="00292532">
        <w:rPr>
          <w:lang w:val="pt-PT" w:eastAsia="ja-JP"/>
        </w:rPr>
        <w:t xml:space="preserve"> das </w:t>
      </w:r>
      <w:r w:rsidR="00C87ECE" w:rsidRPr="00292532">
        <w:rPr>
          <w:lang w:val="pt-PT" w:eastAsia="ja-JP"/>
        </w:rPr>
        <w:t>Províncias</w:t>
      </w:r>
      <w:r w:rsidRPr="00292532">
        <w:rPr>
          <w:lang w:val="pt-PT" w:eastAsia="ja-JP"/>
        </w:rPr>
        <w:t xml:space="preserve">, entre outros documentos disponíveis ao público. </w:t>
      </w:r>
    </w:p>
    <w:p w14:paraId="390F26F2" w14:textId="6EE0F1E5" w:rsidR="007044C3" w:rsidRPr="00292532" w:rsidRDefault="007044C3" w:rsidP="00C87ECE">
      <w:pPr>
        <w:rPr>
          <w:lang w:val="pt-PT" w:eastAsia="ja-JP"/>
        </w:rPr>
      </w:pPr>
      <w:r w:rsidRPr="00292532">
        <w:rPr>
          <w:lang w:val="pt-PT" w:eastAsia="ja-JP"/>
        </w:rPr>
        <w:t xml:space="preserve">Embora </w:t>
      </w:r>
      <w:r w:rsidR="00C87ECE" w:rsidRPr="00292532">
        <w:rPr>
          <w:lang w:val="pt-PT" w:eastAsia="ja-JP"/>
        </w:rPr>
        <w:t xml:space="preserve">a recolha de dados primários nas Províncias da </w:t>
      </w:r>
      <w:r w:rsidR="000178B8" w:rsidRPr="00292532">
        <w:rPr>
          <w:lang w:val="pt-PT" w:eastAsia="ja-JP"/>
        </w:rPr>
        <w:t>Zambézia</w:t>
      </w:r>
      <w:r w:rsidR="00C87ECE" w:rsidRPr="00292532">
        <w:rPr>
          <w:lang w:val="pt-PT" w:eastAsia="ja-JP"/>
        </w:rPr>
        <w:t xml:space="preserve"> e Nampula tenha estado </w:t>
      </w:r>
      <w:r w:rsidRPr="00292532">
        <w:rPr>
          <w:lang w:val="pt-PT" w:eastAsia="ja-JP"/>
        </w:rPr>
        <w:t>a decorrer</w:t>
      </w:r>
      <w:r w:rsidR="00C87ECE" w:rsidRPr="00292532">
        <w:rPr>
          <w:lang w:val="pt-PT" w:eastAsia="ja-JP"/>
        </w:rPr>
        <w:t xml:space="preserve"> </w:t>
      </w:r>
      <w:r w:rsidRPr="00292532">
        <w:rPr>
          <w:lang w:val="pt-PT" w:eastAsia="ja-JP"/>
        </w:rPr>
        <w:t xml:space="preserve">em paralelo com a elaboração </w:t>
      </w:r>
      <w:r w:rsidR="00C87ECE" w:rsidRPr="00292532">
        <w:rPr>
          <w:lang w:val="pt-PT" w:eastAsia="ja-JP"/>
        </w:rPr>
        <w:t>do</w:t>
      </w:r>
      <w:r w:rsidRPr="00292532">
        <w:rPr>
          <w:lang w:val="pt-PT" w:eastAsia="ja-JP"/>
        </w:rPr>
        <w:t xml:space="preserve"> QGAS, por Consultores independentes, </w:t>
      </w:r>
      <w:r w:rsidR="00D9688F" w:rsidRPr="00292532">
        <w:rPr>
          <w:lang w:val="pt-PT" w:eastAsia="ja-JP"/>
        </w:rPr>
        <w:t>estes dados</w:t>
      </w:r>
      <w:r w:rsidRPr="00292532">
        <w:rPr>
          <w:lang w:val="pt-PT" w:eastAsia="ja-JP"/>
        </w:rPr>
        <w:t xml:space="preserve"> não foram disponibilizados até a data de elaboração do presente documento. </w:t>
      </w:r>
    </w:p>
    <w:p w14:paraId="47896B9C" w14:textId="538F7528" w:rsidR="009F3B92" w:rsidRPr="00292532" w:rsidRDefault="000178B8" w:rsidP="000178B8">
      <w:pPr>
        <w:pStyle w:val="Heading1"/>
        <w:rPr>
          <w:lang w:val="pt-PT" w:eastAsia="ja-JP"/>
        </w:rPr>
      </w:pPr>
      <w:bookmarkStart w:id="13" w:name="_Toc73623626"/>
      <w:bookmarkStart w:id="14" w:name="_Toc73624274"/>
      <w:bookmarkStart w:id="15" w:name="_Toc73623720"/>
      <w:bookmarkStart w:id="16" w:name="_Toc73624368"/>
      <w:bookmarkStart w:id="17" w:name="_Toc73623721"/>
      <w:bookmarkStart w:id="18" w:name="_Toc73624369"/>
      <w:bookmarkStart w:id="19" w:name="_Toc80379931"/>
      <w:bookmarkEnd w:id="13"/>
      <w:bookmarkEnd w:id="14"/>
      <w:bookmarkEnd w:id="15"/>
      <w:bookmarkEnd w:id="16"/>
      <w:bookmarkEnd w:id="17"/>
      <w:bookmarkEnd w:id="18"/>
      <w:r w:rsidRPr="00292532">
        <w:rPr>
          <w:lang w:val="pt-PT" w:eastAsia="ja-JP"/>
        </w:rPr>
        <w:t xml:space="preserve">Descrição do </w:t>
      </w:r>
      <w:proofErr w:type="spellStart"/>
      <w:r w:rsidRPr="00292532">
        <w:rPr>
          <w:lang w:val="pt-PT" w:eastAsia="ja-JP"/>
        </w:rPr>
        <w:t>Projecto</w:t>
      </w:r>
      <w:bookmarkEnd w:id="19"/>
      <w:proofErr w:type="spellEnd"/>
    </w:p>
    <w:p w14:paraId="6828342C" w14:textId="34510FC5" w:rsidR="000178B8" w:rsidRPr="00292532" w:rsidRDefault="000178B8" w:rsidP="000178B8">
      <w:pPr>
        <w:autoSpaceDE w:val="0"/>
        <w:autoSpaceDN w:val="0"/>
        <w:adjustRightInd w:val="0"/>
        <w:spacing w:before="0"/>
        <w:rPr>
          <w:rFonts w:asciiTheme="minorHAnsi" w:eastAsia="Times New Roman" w:hAnsiTheme="minorHAnsi" w:cstheme="minorHAnsi"/>
          <w:noProof/>
          <w:lang w:val="pt-PT" w:eastAsia="x-none"/>
        </w:rPr>
      </w:pPr>
      <w:r w:rsidRPr="00292532">
        <w:rPr>
          <w:rFonts w:asciiTheme="minorHAnsi" w:eastAsia="Times New Roman" w:hAnsiTheme="minorHAnsi" w:cstheme="minorHAnsi"/>
          <w:noProof/>
          <w:lang w:val="pt-PT" w:eastAsia="x-none"/>
        </w:rPr>
        <w:t>Para atingir os Obje</w:t>
      </w:r>
      <w:r w:rsidR="009C5EB2" w:rsidRPr="00292532">
        <w:rPr>
          <w:rFonts w:asciiTheme="minorHAnsi" w:eastAsia="Times New Roman" w:hAnsiTheme="minorHAnsi" w:cstheme="minorHAnsi"/>
          <w:noProof/>
          <w:lang w:val="pt-PT" w:eastAsia="x-none"/>
        </w:rPr>
        <w:t>c</w:t>
      </w:r>
      <w:r w:rsidRPr="00292532">
        <w:rPr>
          <w:rFonts w:asciiTheme="minorHAnsi" w:eastAsia="Times New Roman" w:hAnsiTheme="minorHAnsi" w:cstheme="minorHAnsi"/>
          <w:noProof/>
          <w:lang w:val="pt-PT" w:eastAsia="x-none"/>
        </w:rPr>
        <w:t>tivos do Desenvolvimento Sustentável (ODS) até 2030, Moçambique ainda precisa conectar 16,8 milhões de habitantes aos serviços de água e saneamento (e 6,2 milhões em 4 províncias do Norte) nos próximos 10 anos. Quatro décadas após a independência, apenas metade da população (49 %) tem acesso ao abastecimento de água melhorado e, nas áreas rurais, a maioria das pessoas (65 %) ainda depende de fontes de água não melhoradas e não tem acesso a qualquer instalação de saneamento (46%) praticando o fecalismo a céu-aberto (AIAS</w:t>
      </w:r>
      <w:r w:rsidR="000C1004" w:rsidRPr="00292532">
        <w:rPr>
          <w:rFonts w:asciiTheme="minorHAnsi" w:eastAsia="Times New Roman" w:hAnsiTheme="minorHAnsi" w:cstheme="minorHAnsi"/>
          <w:noProof/>
          <w:lang w:val="pt-PT" w:eastAsia="x-none"/>
        </w:rPr>
        <w:t>,</w:t>
      </w:r>
      <w:r w:rsidRPr="00292532">
        <w:rPr>
          <w:rFonts w:asciiTheme="minorHAnsi" w:eastAsia="Times New Roman" w:hAnsiTheme="minorHAnsi" w:cstheme="minorHAnsi"/>
          <w:noProof/>
          <w:lang w:val="pt-PT" w:eastAsia="x-none"/>
        </w:rPr>
        <w:t xml:space="preserve"> 2021).</w:t>
      </w:r>
    </w:p>
    <w:p w14:paraId="6966707F" w14:textId="0A38651B" w:rsidR="000178B8" w:rsidRPr="00292532" w:rsidRDefault="000178B8" w:rsidP="000178B8">
      <w:pPr>
        <w:tabs>
          <w:tab w:val="left" w:pos="0"/>
        </w:tabs>
        <w:rPr>
          <w:rFonts w:eastAsia="Times New Roman" w:cs="Calibri"/>
          <w:noProof/>
          <w:lang w:val="pt-PT" w:eastAsia="x-none"/>
        </w:rPr>
      </w:pPr>
      <w:r w:rsidRPr="00292532">
        <w:rPr>
          <w:rFonts w:eastAsia="Times New Roman" w:cs="Calibri"/>
          <w:noProof/>
          <w:lang w:val="pt-PT" w:eastAsia="x-none"/>
        </w:rPr>
        <w:t>As pequenas cidades e centros de crescimento rural desempenham um papel crítico na promoção do desenvolvimento económico em Moçambique. Em 2015, estas representavam 15% do total da população moçambicana, cerca de 3,8 milhões de pessoas; esta proporção deverá aumentar para 18% (cerca de 6,6 milhões de pessoas) até 2030. Embora um progresso significativo tenha sido feito na melhoria dos serviços de abastecimento de água nas grandes cidades, as pequenas cidades ainda são mal servidas, tanto que mais da metade dos sistemas que atendem a essas áreas encontram-se degradados ou obsoletos não tendo beneficiado de qualquer intervenção desde a independência</w:t>
      </w:r>
      <w:r w:rsidR="000C1004" w:rsidRPr="00292532">
        <w:rPr>
          <w:rFonts w:eastAsia="Times New Roman" w:cs="Calibri"/>
          <w:noProof/>
          <w:lang w:val="pt-PT" w:eastAsia="x-none"/>
        </w:rPr>
        <w:t>.</w:t>
      </w:r>
    </w:p>
    <w:p w14:paraId="19F6A349" w14:textId="75520EB8" w:rsidR="000178B8" w:rsidRPr="00292532" w:rsidRDefault="000178B8" w:rsidP="000178B8">
      <w:pPr>
        <w:tabs>
          <w:tab w:val="left" w:pos="0"/>
        </w:tabs>
        <w:rPr>
          <w:rFonts w:eastAsia="Times New Roman" w:cs="Calibri"/>
          <w:noProof/>
          <w:lang w:val="pt-PT" w:eastAsia="x-none"/>
        </w:rPr>
      </w:pPr>
      <w:r w:rsidRPr="00292532">
        <w:rPr>
          <w:rFonts w:eastAsia="Times New Roman" w:cs="Calibri"/>
          <w:noProof/>
          <w:lang w:val="pt-PT" w:eastAsia="x-none"/>
        </w:rPr>
        <w:t xml:space="preserve">A cobertura média de abastecimento de água a nível nacional é estimada em 25%, com a maioria das pessoas dependendo de sistemas de abastecimento de água semi-funcionais, bombas manuais ou fontes de água inseguras, colocando o país muito abaixo do nível de cobertura desejável e muito abaixo até mesmo da cobertura em áreas rurais (mais de 35%) e grandes centros urbanos (mais de 80%). Na Provincia de Nampula, apenas 5 das 20 </w:t>
      </w:r>
      <w:r w:rsidR="004B2086" w:rsidRPr="00292532">
        <w:rPr>
          <w:rFonts w:eastAsia="Times New Roman" w:cs="Calibri"/>
          <w:noProof/>
          <w:lang w:val="pt-PT" w:eastAsia="x-none"/>
        </w:rPr>
        <w:t>vilas</w:t>
      </w:r>
      <w:r w:rsidRPr="00292532">
        <w:rPr>
          <w:rFonts w:eastAsia="Times New Roman" w:cs="Calibri"/>
          <w:noProof/>
          <w:lang w:val="pt-PT" w:eastAsia="x-none"/>
        </w:rPr>
        <w:t xml:space="preserve"> têm os seus sistemas totalmente operacionais, e as restantes 15 os respectivos sistemas ainda não sofreram qualquer intervenção por parte da AIAS, deixando cerca de 173.000 (cento e setenta e três mil) pessoas sem acesso a serviços de abastecimento de água. Na Província da Zambézia, apenas 8 das 21 </w:t>
      </w:r>
      <w:r w:rsidR="004B2086" w:rsidRPr="00292532">
        <w:rPr>
          <w:rFonts w:eastAsia="Times New Roman" w:cs="Calibri"/>
          <w:noProof/>
          <w:lang w:val="pt-PT" w:eastAsia="x-none"/>
        </w:rPr>
        <w:t>vilas</w:t>
      </w:r>
      <w:r w:rsidRPr="00292532">
        <w:rPr>
          <w:rFonts w:eastAsia="Times New Roman" w:cs="Calibri"/>
          <w:noProof/>
          <w:lang w:val="pt-PT" w:eastAsia="x-none"/>
        </w:rPr>
        <w:t xml:space="preserve"> têm os sistemas totalmente operacionais, e as restantes 13, os respectivos sistemas ainda não sofreram qualquer intervenção por parte da AIAS deixando cerca de 652.000 (seiscentos e cinquenta e duas mil</w:t>
      </w:r>
      <w:r w:rsidR="00A2549C">
        <w:rPr>
          <w:rFonts w:eastAsia="Times New Roman" w:cs="Calibri"/>
          <w:noProof/>
          <w:lang w:val="pt-PT" w:eastAsia="x-none"/>
        </w:rPr>
        <w:t>)</w:t>
      </w:r>
      <w:r w:rsidRPr="00292532">
        <w:rPr>
          <w:rFonts w:eastAsia="Times New Roman" w:cs="Calibri"/>
          <w:noProof/>
          <w:lang w:val="pt-PT" w:eastAsia="x-none"/>
        </w:rPr>
        <w:t xml:space="preserve"> pessoas sem acesso a serviços de abastecimento de água geridos de forma segura.</w:t>
      </w:r>
    </w:p>
    <w:p w14:paraId="25E2F79F" w14:textId="6FEF573C" w:rsidR="000178B8" w:rsidRPr="00292532" w:rsidRDefault="000178B8" w:rsidP="000178B8">
      <w:pPr>
        <w:tabs>
          <w:tab w:val="left" w:pos="0"/>
        </w:tabs>
        <w:rPr>
          <w:rFonts w:eastAsia="Times New Roman" w:cs="Calibri"/>
          <w:noProof/>
          <w:lang w:val="pt-PT" w:eastAsia="x-none"/>
        </w:rPr>
      </w:pPr>
      <w:r w:rsidRPr="00292532">
        <w:rPr>
          <w:rFonts w:eastAsia="Times New Roman" w:cs="Calibri"/>
          <w:noProof/>
          <w:lang w:val="pt-PT" w:eastAsia="x-none"/>
        </w:rPr>
        <w:t xml:space="preserve">Por outro lado,o acesso à água e ao saneamento é altamente desigual, sendo que 65% das pessoas nas áreas rurais carecem de um serviço melhorado de abastecimento de água, contra 23% nas áreas urbanas. O acesso </w:t>
      </w:r>
      <w:r w:rsidR="000C1004" w:rsidRPr="00292532">
        <w:rPr>
          <w:rFonts w:eastAsia="Times New Roman" w:cs="Calibri"/>
          <w:noProof/>
          <w:lang w:val="pt-PT" w:eastAsia="x-none"/>
        </w:rPr>
        <w:t>à</w:t>
      </w:r>
      <w:r w:rsidRPr="00292532">
        <w:rPr>
          <w:rFonts w:eastAsia="Times New Roman" w:cs="Calibri"/>
          <w:noProof/>
          <w:lang w:val="pt-PT" w:eastAsia="x-none"/>
        </w:rPr>
        <w:t xml:space="preserve"> melhores serviços de abastecimento de água e saneamento também é geograficamente desigual, diminuindo em direcção ao norte do país.</w:t>
      </w:r>
    </w:p>
    <w:p w14:paraId="0F4248E9" w14:textId="77777777" w:rsidR="000178B8" w:rsidRPr="00292532" w:rsidRDefault="000178B8" w:rsidP="000178B8">
      <w:pPr>
        <w:tabs>
          <w:tab w:val="left" w:pos="0"/>
        </w:tabs>
        <w:rPr>
          <w:rFonts w:eastAsia="Times New Roman" w:cs="Calibri"/>
          <w:noProof/>
          <w:lang w:val="pt-PT" w:eastAsia="x-none"/>
        </w:rPr>
      </w:pPr>
      <w:r w:rsidRPr="00292532">
        <w:rPr>
          <w:rFonts w:eastAsia="Times New Roman" w:cs="Calibri"/>
          <w:noProof/>
          <w:lang w:val="pt-PT" w:eastAsia="x-none"/>
        </w:rPr>
        <w:t>Devido à ausência de investimentos para a manutenção ou operação de sistemas de abastecimento de água, cerca de 80% dos sistemas existentes são operados por operadores privados, colocando Moçambique numa longa experiência de envolvimento do sector privado nos serviços de água.</w:t>
      </w:r>
    </w:p>
    <w:p w14:paraId="7CF3C452" w14:textId="37A3F084" w:rsidR="000178B8" w:rsidRPr="00292532" w:rsidRDefault="000178B8" w:rsidP="000178B8">
      <w:pPr>
        <w:spacing w:before="120" w:after="100" w:afterAutospacing="1"/>
        <w:ind w:right="28"/>
        <w:rPr>
          <w:rFonts w:asciiTheme="minorHAnsi" w:hAnsiTheme="minorHAnsi" w:cstheme="minorHAnsi"/>
          <w:lang w:val="pt-PT"/>
        </w:rPr>
      </w:pPr>
      <w:r w:rsidRPr="00292532">
        <w:rPr>
          <w:rFonts w:asciiTheme="minorHAnsi" w:hAnsiTheme="minorHAnsi" w:cstheme="minorHAnsi"/>
          <w:lang w:val="pt-PT"/>
        </w:rPr>
        <w:lastRenderedPageBreak/>
        <w:t xml:space="preserve">Relativamente a mudanças climáticas, Moçambique é vulnerável à variabilidade climática, nomeadamente através dos seus efeitos nos recursos hídricos, produtividade agrícola e segurança alimentar, produção florestal, saúde e exposição a desastres naturais. Particularmente a relevância para este </w:t>
      </w:r>
      <w:proofErr w:type="spellStart"/>
      <w:r w:rsidRPr="00292532">
        <w:rPr>
          <w:rFonts w:asciiTheme="minorHAnsi" w:hAnsiTheme="minorHAnsi" w:cstheme="minorHAnsi"/>
          <w:lang w:val="pt-PT"/>
        </w:rPr>
        <w:t>projecto</w:t>
      </w:r>
      <w:proofErr w:type="spellEnd"/>
      <w:r w:rsidRPr="00292532">
        <w:rPr>
          <w:rFonts w:asciiTheme="minorHAnsi" w:hAnsiTheme="minorHAnsi" w:cstheme="minorHAnsi"/>
          <w:lang w:val="pt-PT"/>
        </w:rPr>
        <w:t xml:space="preserve"> é o impacto potencial das mudanças climáticas na precipitação e disponibilidade de recursos hídricos, com um aumento previsto, mas também precipitação mais irregular</w:t>
      </w:r>
      <w:r w:rsidR="004B2086" w:rsidRPr="00292532">
        <w:rPr>
          <w:lang w:val="pt-PT"/>
        </w:rPr>
        <w:t xml:space="preserve"> </w:t>
      </w:r>
      <w:r w:rsidR="004B2086" w:rsidRPr="00292532">
        <w:rPr>
          <w:rFonts w:asciiTheme="minorHAnsi" w:hAnsiTheme="minorHAnsi" w:cstheme="minorHAnsi"/>
          <w:lang w:val="pt-PT"/>
        </w:rPr>
        <w:t xml:space="preserve">adicionados à </w:t>
      </w:r>
      <w:proofErr w:type="spellStart"/>
      <w:r w:rsidR="004B2086" w:rsidRPr="00292532">
        <w:rPr>
          <w:rFonts w:asciiTheme="minorHAnsi" w:hAnsiTheme="minorHAnsi" w:cstheme="minorHAnsi"/>
          <w:lang w:val="pt-PT"/>
        </w:rPr>
        <w:t>acção</w:t>
      </w:r>
      <w:proofErr w:type="spellEnd"/>
      <w:r w:rsidR="004B2086" w:rsidRPr="00292532">
        <w:rPr>
          <w:rFonts w:asciiTheme="minorHAnsi" w:hAnsiTheme="minorHAnsi" w:cstheme="minorHAnsi"/>
          <w:lang w:val="pt-PT"/>
        </w:rPr>
        <w:t xml:space="preserve"> do homem sobre os recursos naturais que resultam em impactos negativos tais como desmatamento descontrolado que propicia erosões progressivas e transportes de sedimentos alterando significativamente a morfologia dos leitos dos rios, contribuindo assim para as frequentes inundações em diversas e extensas regiões do país</w:t>
      </w:r>
      <w:r w:rsidRPr="00292532">
        <w:rPr>
          <w:rFonts w:asciiTheme="minorHAnsi" w:hAnsiTheme="minorHAnsi" w:cstheme="minorHAnsi"/>
          <w:lang w:val="pt-PT"/>
        </w:rPr>
        <w:t xml:space="preserve">. Eventos extremos “como tempestades, inundações e secas têm probabilidade de ocorrer com mais frequência” e a disponibilidade de recursos hídricos pode </w:t>
      </w:r>
      <w:proofErr w:type="spellStart"/>
      <w:r w:rsidRPr="00292532">
        <w:rPr>
          <w:rFonts w:asciiTheme="minorHAnsi" w:hAnsiTheme="minorHAnsi" w:cstheme="minorHAnsi"/>
          <w:lang w:val="pt-PT"/>
        </w:rPr>
        <w:t>afectar</w:t>
      </w:r>
      <w:proofErr w:type="spellEnd"/>
      <w:r w:rsidRPr="00292532">
        <w:rPr>
          <w:rFonts w:asciiTheme="minorHAnsi" w:hAnsiTheme="minorHAnsi" w:cstheme="minorHAnsi"/>
          <w:lang w:val="pt-PT"/>
        </w:rPr>
        <w:t xml:space="preserve"> significativamente o desempenho da infraestrutura, bem como a situação socioeconómica e de saúde das populações beneficiárias.</w:t>
      </w:r>
    </w:p>
    <w:p w14:paraId="2EBF680A" w14:textId="3F59C681" w:rsidR="000178B8" w:rsidRPr="00292532" w:rsidRDefault="000178B8" w:rsidP="000178B8">
      <w:pPr>
        <w:spacing w:before="120" w:after="100" w:afterAutospacing="1"/>
        <w:ind w:right="28"/>
        <w:rPr>
          <w:rFonts w:asciiTheme="minorHAnsi" w:hAnsiTheme="minorHAnsi" w:cstheme="minorHAnsi"/>
          <w:lang w:val="pt-PT"/>
        </w:rPr>
      </w:pPr>
      <w:r w:rsidRPr="00292532">
        <w:rPr>
          <w:rFonts w:asciiTheme="minorHAnsi" w:hAnsiTheme="minorHAnsi" w:cstheme="minorHAnsi"/>
          <w:lang w:val="pt-PT"/>
        </w:rPr>
        <w:t>A evolução da crise</w:t>
      </w:r>
      <w:r w:rsidR="004B2086" w:rsidRPr="00292532">
        <w:rPr>
          <w:rFonts w:asciiTheme="minorHAnsi" w:hAnsiTheme="minorHAnsi" w:cstheme="minorHAnsi"/>
          <w:lang w:val="pt-PT"/>
        </w:rPr>
        <w:t xml:space="preserve"> originada pela pandemia </w:t>
      </w:r>
      <w:r w:rsidRPr="00292532">
        <w:rPr>
          <w:rFonts w:asciiTheme="minorHAnsi" w:hAnsiTheme="minorHAnsi" w:cstheme="minorHAnsi"/>
          <w:lang w:val="pt-PT"/>
        </w:rPr>
        <w:t>da COVID-19 em 2020 deteriorou a economia moçambicana, levando</w:t>
      </w:r>
      <w:r w:rsidR="004B2086" w:rsidRPr="00292532">
        <w:rPr>
          <w:rFonts w:asciiTheme="minorHAnsi" w:hAnsiTheme="minorHAnsi" w:cstheme="minorHAnsi"/>
          <w:lang w:val="pt-PT"/>
        </w:rPr>
        <w:t xml:space="preserve"> a</w:t>
      </w:r>
      <w:r w:rsidRPr="00292532">
        <w:rPr>
          <w:rFonts w:asciiTheme="minorHAnsi" w:hAnsiTheme="minorHAnsi" w:cstheme="minorHAnsi"/>
          <w:lang w:val="pt-PT"/>
        </w:rPr>
        <w:t xml:space="preserve"> uma série de interrupções</w:t>
      </w:r>
      <w:r w:rsidR="004B2086" w:rsidRPr="00292532">
        <w:rPr>
          <w:rFonts w:asciiTheme="minorHAnsi" w:hAnsiTheme="minorHAnsi" w:cstheme="minorHAnsi"/>
          <w:lang w:val="pt-PT"/>
        </w:rPr>
        <w:t xml:space="preserve"> ou abrandamento das </w:t>
      </w:r>
      <w:proofErr w:type="spellStart"/>
      <w:r w:rsidR="004B2086" w:rsidRPr="00292532">
        <w:rPr>
          <w:rFonts w:asciiTheme="minorHAnsi" w:hAnsiTheme="minorHAnsi" w:cstheme="minorHAnsi"/>
          <w:lang w:val="pt-PT"/>
        </w:rPr>
        <w:t>actividades</w:t>
      </w:r>
      <w:proofErr w:type="spellEnd"/>
      <w:r w:rsidRPr="00292532">
        <w:rPr>
          <w:rFonts w:asciiTheme="minorHAnsi" w:hAnsiTheme="minorHAnsi" w:cstheme="minorHAnsi"/>
          <w:lang w:val="pt-PT"/>
        </w:rPr>
        <w:t xml:space="preserve"> em vários sectores como hotelaria e turismo, agronegócio, </w:t>
      </w:r>
      <w:r w:rsidR="004B2086" w:rsidRPr="00292532">
        <w:rPr>
          <w:rFonts w:asciiTheme="minorHAnsi" w:hAnsiTheme="minorHAnsi" w:cstheme="minorHAnsi"/>
          <w:lang w:val="pt-PT"/>
        </w:rPr>
        <w:t xml:space="preserve">movimento fronteiriço, </w:t>
      </w:r>
      <w:r w:rsidRPr="00292532">
        <w:rPr>
          <w:rFonts w:asciiTheme="minorHAnsi" w:hAnsiTheme="minorHAnsi" w:cstheme="minorHAnsi"/>
          <w:lang w:val="pt-PT"/>
        </w:rPr>
        <w:t xml:space="preserve">entre outros. A água e saneamento inseguros exacerbaram os impactos da pandemia COVID-19, particularmente no sector de educação e </w:t>
      </w:r>
      <w:r w:rsidR="000C1004" w:rsidRPr="00292532">
        <w:rPr>
          <w:rFonts w:asciiTheme="minorHAnsi" w:hAnsiTheme="minorHAnsi" w:cstheme="minorHAnsi"/>
          <w:lang w:val="pt-PT"/>
        </w:rPr>
        <w:t>impediram</w:t>
      </w:r>
      <w:r w:rsidRPr="00292532">
        <w:rPr>
          <w:rFonts w:asciiTheme="minorHAnsi" w:hAnsiTheme="minorHAnsi" w:cstheme="minorHAnsi"/>
          <w:lang w:val="pt-PT"/>
        </w:rPr>
        <w:t xml:space="preserve"> a reabertura das escola</w:t>
      </w:r>
      <w:r w:rsidR="002A0FE6">
        <w:rPr>
          <w:rFonts w:asciiTheme="minorHAnsi" w:hAnsiTheme="minorHAnsi" w:cstheme="minorHAnsi"/>
          <w:lang w:val="pt-PT"/>
        </w:rPr>
        <w:t xml:space="preserve">s, a </w:t>
      </w:r>
      <w:r w:rsidR="00DC6846">
        <w:rPr>
          <w:rFonts w:asciiTheme="minorHAnsi" w:hAnsiTheme="minorHAnsi" w:cstheme="minorHAnsi"/>
          <w:lang w:val="pt-PT"/>
        </w:rPr>
        <w:t>última</w:t>
      </w:r>
      <w:r w:rsidR="002A0FE6">
        <w:rPr>
          <w:rFonts w:asciiTheme="minorHAnsi" w:hAnsiTheme="minorHAnsi" w:cstheme="minorHAnsi"/>
          <w:lang w:val="pt-PT"/>
        </w:rPr>
        <w:t xml:space="preserve"> das quais ocorreu com a publicação do Decreto presidencial de 16 de </w:t>
      </w:r>
      <w:proofErr w:type="gramStart"/>
      <w:r w:rsidR="002A0FE6">
        <w:rPr>
          <w:rFonts w:asciiTheme="minorHAnsi" w:hAnsiTheme="minorHAnsi" w:cstheme="minorHAnsi"/>
          <w:lang w:val="pt-PT"/>
        </w:rPr>
        <w:t>Julho</w:t>
      </w:r>
      <w:proofErr w:type="gramEnd"/>
      <w:r w:rsidR="002A0FE6">
        <w:rPr>
          <w:rFonts w:asciiTheme="minorHAnsi" w:hAnsiTheme="minorHAnsi" w:cstheme="minorHAnsi"/>
          <w:lang w:val="pt-PT"/>
        </w:rPr>
        <w:t xml:space="preserve"> de 2021</w:t>
      </w:r>
      <w:r w:rsidR="002660D0">
        <w:rPr>
          <w:rFonts w:asciiTheme="minorHAnsi" w:hAnsiTheme="minorHAnsi" w:cstheme="minorHAnsi"/>
          <w:lang w:val="pt-PT"/>
        </w:rPr>
        <w:t>.</w:t>
      </w:r>
    </w:p>
    <w:p w14:paraId="7708E413" w14:textId="636942D7" w:rsidR="000178B8" w:rsidRPr="00292532" w:rsidRDefault="004B2086" w:rsidP="000178B8">
      <w:pPr>
        <w:rPr>
          <w:rFonts w:cs="Arial"/>
          <w:szCs w:val="20"/>
          <w:lang w:val="pt-PT"/>
        </w:rPr>
      </w:pPr>
      <w:r w:rsidRPr="00292532">
        <w:rPr>
          <w:rFonts w:cs="Arial"/>
          <w:szCs w:val="20"/>
          <w:lang w:val="pt-PT"/>
        </w:rPr>
        <w:t>O</w:t>
      </w:r>
      <w:r w:rsidR="000178B8" w:rsidRPr="00292532">
        <w:rPr>
          <w:rFonts w:cs="Arial"/>
          <w:szCs w:val="20"/>
          <w:lang w:val="pt-PT"/>
        </w:rPr>
        <w:t xml:space="preserve"> défice registado em termos de disponi</w:t>
      </w:r>
      <w:r w:rsidR="000C1004" w:rsidRPr="00292532">
        <w:rPr>
          <w:rFonts w:cs="Arial"/>
          <w:szCs w:val="20"/>
          <w:lang w:val="pt-PT"/>
        </w:rPr>
        <w:t>bi</w:t>
      </w:r>
      <w:r w:rsidR="000178B8" w:rsidRPr="00292532">
        <w:rPr>
          <w:rFonts w:cs="Arial"/>
          <w:szCs w:val="20"/>
          <w:lang w:val="pt-PT"/>
        </w:rPr>
        <w:t>lidade de serviços de abastecimento de água</w:t>
      </w:r>
      <w:r w:rsidRPr="00292532">
        <w:rPr>
          <w:rFonts w:cs="Arial"/>
          <w:szCs w:val="20"/>
          <w:lang w:val="pt-PT"/>
        </w:rPr>
        <w:t xml:space="preserve"> e</w:t>
      </w:r>
      <w:r w:rsidR="000178B8" w:rsidRPr="00292532">
        <w:rPr>
          <w:rFonts w:cs="Arial"/>
          <w:szCs w:val="20"/>
          <w:lang w:val="pt-PT"/>
        </w:rPr>
        <w:t xml:space="preserve"> saneamento seguros, a desigual distribuição dos serviços no País, a vulnerabilidade do país a desastres naturais, a importância estratégica do </w:t>
      </w:r>
      <w:proofErr w:type="spellStart"/>
      <w:r w:rsidR="000178B8" w:rsidRPr="00292532">
        <w:rPr>
          <w:rFonts w:cs="Arial"/>
          <w:szCs w:val="20"/>
          <w:lang w:val="pt-PT"/>
        </w:rPr>
        <w:t>Projecto</w:t>
      </w:r>
      <w:proofErr w:type="spellEnd"/>
      <w:r w:rsidR="000178B8" w:rsidRPr="00292532">
        <w:rPr>
          <w:rFonts w:cs="Arial"/>
          <w:szCs w:val="20"/>
          <w:lang w:val="pt-PT"/>
        </w:rPr>
        <w:t xml:space="preserve"> para o País alinhadas </w:t>
      </w:r>
      <w:r w:rsidRPr="00292532">
        <w:rPr>
          <w:rFonts w:cs="Arial"/>
          <w:szCs w:val="20"/>
          <w:lang w:val="pt-PT"/>
        </w:rPr>
        <w:t>à</w:t>
      </w:r>
      <w:r w:rsidR="000178B8" w:rsidRPr="00292532">
        <w:rPr>
          <w:rFonts w:cs="Arial"/>
          <w:szCs w:val="20"/>
          <w:lang w:val="pt-PT"/>
        </w:rPr>
        <w:t>s prioridades interventivas do Banco Mundial no Pa</w:t>
      </w:r>
      <w:r w:rsidR="000C1004" w:rsidRPr="00292532">
        <w:rPr>
          <w:rFonts w:cs="Arial"/>
          <w:szCs w:val="20"/>
          <w:lang w:val="pt-PT"/>
        </w:rPr>
        <w:t>í</w:t>
      </w:r>
      <w:r w:rsidR="000178B8" w:rsidRPr="00292532">
        <w:rPr>
          <w:rFonts w:cs="Arial"/>
          <w:szCs w:val="20"/>
          <w:lang w:val="pt-PT"/>
        </w:rPr>
        <w:t xml:space="preserve">s, justificam a </w:t>
      </w:r>
      <w:proofErr w:type="spellStart"/>
      <w:r w:rsidR="000178B8" w:rsidRPr="00292532">
        <w:rPr>
          <w:rFonts w:cs="Arial"/>
          <w:szCs w:val="20"/>
          <w:lang w:val="pt-PT"/>
        </w:rPr>
        <w:t>concepção</w:t>
      </w:r>
      <w:proofErr w:type="spellEnd"/>
      <w:r w:rsidR="000178B8" w:rsidRPr="00292532">
        <w:rPr>
          <w:rFonts w:cs="Arial"/>
          <w:szCs w:val="20"/>
          <w:lang w:val="pt-PT"/>
        </w:rPr>
        <w:t xml:space="preserve"> e implementação de um </w:t>
      </w:r>
      <w:proofErr w:type="spellStart"/>
      <w:r w:rsidR="000178B8" w:rsidRPr="00292532">
        <w:rPr>
          <w:rFonts w:cs="Arial"/>
          <w:szCs w:val="20"/>
          <w:lang w:val="pt-PT"/>
        </w:rPr>
        <w:t>Projecto</w:t>
      </w:r>
      <w:proofErr w:type="spellEnd"/>
      <w:r w:rsidR="000178B8" w:rsidRPr="00292532">
        <w:rPr>
          <w:rFonts w:cs="Arial"/>
          <w:szCs w:val="20"/>
          <w:lang w:val="pt-PT"/>
        </w:rPr>
        <w:t xml:space="preserve"> desta natureza. Não obstante, as razões pelas quais </w:t>
      </w:r>
      <w:r w:rsidR="000C1004" w:rsidRPr="00292532">
        <w:rPr>
          <w:rFonts w:cs="Arial"/>
          <w:szCs w:val="20"/>
          <w:lang w:val="pt-PT"/>
        </w:rPr>
        <w:t>é</w:t>
      </w:r>
      <w:r w:rsidR="000178B8" w:rsidRPr="00292532">
        <w:rPr>
          <w:rFonts w:cs="Arial"/>
          <w:szCs w:val="20"/>
          <w:lang w:val="pt-PT"/>
        </w:rPr>
        <w:t xml:space="preserve"> concebido o </w:t>
      </w:r>
      <w:proofErr w:type="spellStart"/>
      <w:r w:rsidR="000178B8" w:rsidRPr="00292532">
        <w:rPr>
          <w:rFonts w:cs="Arial"/>
          <w:szCs w:val="20"/>
          <w:lang w:val="pt-PT"/>
        </w:rPr>
        <w:t>Projecto</w:t>
      </w:r>
      <w:proofErr w:type="spellEnd"/>
      <w:r w:rsidR="000178B8" w:rsidRPr="00292532">
        <w:rPr>
          <w:rFonts w:cs="Arial"/>
          <w:szCs w:val="20"/>
          <w:lang w:val="pt-PT"/>
        </w:rPr>
        <w:t>, é importante realçar os benefícios sociais e ambientais que poderão resultar da sua implementação</w:t>
      </w:r>
      <w:r w:rsidR="000C1004" w:rsidRPr="00292532">
        <w:rPr>
          <w:rFonts w:cs="Arial"/>
          <w:szCs w:val="20"/>
          <w:lang w:val="pt-PT"/>
        </w:rPr>
        <w:t>. E</w:t>
      </w:r>
      <w:r w:rsidR="000178B8" w:rsidRPr="00292532">
        <w:rPr>
          <w:rFonts w:cs="Arial"/>
          <w:szCs w:val="20"/>
          <w:lang w:val="pt-PT"/>
        </w:rPr>
        <w:t>stes</w:t>
      </w:r>
      <w:r w:rsidR="000C1004" w:rsidRPr="00292532">
        <w:rPr>
          <w:rFonts w:cs="Arial"/>
          <w:szCs w:val="20"/>
          <w:lang w:val="pt-PT"/>
        </w:rPr>
        <w:t xml:space="preserve"> benefícios</w:t>
      </w:r>
      <w:r w:rsidR="000178B8" w:rsidRPr="00292532">
        <w:rPr>
          <w:rFonts w:cs="Arial"/>
          <w:szCs w:val="20"/>
          <w:lang w:val="pt-PT"/>
        </w:rPr>
        <w:t xml:space="preserve"> são devidamente identificados </w:t>
      </w:r>
      <w:r w:rsidR="000C1004" w:rsidRPr="00292532">
        <w:rPr>
          <w:rFonts w:cs="Arial"/>
          <w:szCs w:val="20"/>
          <w:lang w:val="pt-PT"/>
        </w:rPr>
        <w:t xml:space="preserve">no presente </w:t>
      </w:r>
      <w:r w:rsidR="000178B8" w:rsidRPr="00292532">
        <w:rPr>
          <w:rFonts w:cs="Arial"/>
          <w:szCs w:val="20"/>
          <w:lang w:val="pt-PT"/>
        </w:rPr>
        <w:t>QGAS</w:t>
      </w:r>
      <w:r w:rsidR="000C1004" w:rsidRPr="00292532">
        <w:rPr>
          <w:rFonts w:cs="Arial"/>
          <w:szCs w:val="20"/>
          <w:lang w:val="pt-PT"/>
        </w:rPr>
        <w:t>.</w:t>
      </w:r>
    </w:p>
    <w:p w14:paraId="359D0568" w14:textId="77777777" w:rsidR="000C1004" w:rsidRPr="00292532" w:rsidRDefault="000C1004" w:rsidP="000178B8">
      <w:pPr>
        <w:rPr>
          <w:rFonts w:cs="Arial"/>
          <w:szCs w:val="20"/>
          <w:lang w:val="pt-PT"/>
        </w:rPr>
      </w:pPr>
    </w:p>
    <w:p w14:paraId="699E8609" w14:textId="6C0170BA" w:rsidR="000C1004" w:rsidRPr="00292532" w:rsidRDefault="000C1004" w:rsidP="000C1004">
      <w:pPr>
        <w:pStyle w:val="Heading2"/>
      </w:pPr>
      <w:bookmarkStart w:id="20" w:name="_Toc80379932"/>
      <w:r w:rsidRPr="00292532">
        <w:t>Contexto Estratégico</w:t>
      </w:r>
      <w:bookmarkEnd w:id="20"/>
    </w:p>
    <w:p w14:paraId="390E4C0F" w14:textId="120C263B" w:rsidR="000C1004" w:rsidRPr="00292532" w:rsidRDefault="000C1004" w:rsidP="000C1004">
      <w:pPr>
        <w:rPr>
          <w:lang w:val="pt-PT" w:eastAsia="ja-JP"/>
        </w:rPr>
      </w:pPr>
      <w:r w:rsidRPr="00292532">
        <w:rPr>
          <w:lang w:val="pt-PT" w:eastAsia="ja-JP"/>
        </w:rPr>
        <w:t xml:space="preserve">O principal </w:t>
      </w:r>
      <w:proofErr w:type="spellStart"/>
      <w:r w:rsidRPr="00292532">
        <w:rPr>
          <w:lang w:val="pt-PT" w:eastAsia="ja-JP"/>
        </w:rPr>
        <w:t>objectivo</w:t>
      </w:r>
      <w:proofErr w:type="spellEnd"/>
      <w:r w:rsidRPr="00292532">
        <w:rPr>
          <w:lang w:val="pt-PT" w:eastAsia="ja-JP"/>
        </w:rPr>
        <w:t xml:space="preserve"> da Estratégia Nacional de Gestão de Recursos Hídricos é a implementação </w:t>
      </w:r>
      <w:proofErr w:type="spellStart"/>
      <w:r w:rsidRPr="00292532">
        <w:rPr>
          <w:lang w:val="pt-PT" w:eastAsia="ja-JP"/>
        </w:rPr>
        <w:t>efectiva</w:t>
      </w:r>
      <w:proofErr w:type="spellEnd"/>
      <w:r w:rsidRPr="00292532">
        <w:rPr>
          <w:lang w:val="pt-PT" w:eastAsia="ja-JP"/>
        </w:rPr>
        <w:t xml:space="preserve"> da Política de Águas, cuja meta compreende a satisfação das necessidades básicas d</w:t>
      </w:r>
      <w:r w:rsidR="001469A9">
        <w:rPr>
          <w:lang w:val="pt-PT" w:eastAsia="ja-JP"/>
        </w:rPr>
        <w:t>o</w:t>
      </w:r>
      <w:r w:rsidRPr="00292532">
        <w:rPr>
          <w:lang w:val="pt-PT" w:eastAsia="ja-JP"/>
        </w:rPr>
        <w:t xml:space="preserve"> abastecimento de água para o consumo humano, melhoramento do saneamento, utilização eficiente da água para o desenvolvimento económico, água para conservação ambiental, redução da vulnerabilidade à cheias e secas e promoção da paz e integração regional, bem como garantir os recursos hídricos para o desenvolvimento de Moçambique.</w:t>
      </w:r>
    </w:p>
    <w:p w14:paraId="7488ABC5" w14:textId="772352D6" w:rsidR="000C1004" w:rsidRPr="00292532" w:rsidRDefault="000C1004" w:rsidP="000C1004">
      <w:pPr>
        <w:rPr>
          <w:lang w:val="pt-PT" w:eastAsia="ja-JP"/>
        </w:rPr>
      </w:pPr>
      <w:r w:rsidRPr="00292532">
        <w:rPr>
          <w:lang w:val="pt-PT" w:eastAsia="ja-JP"/>
        </w:rPr>
        <w:t xml:space="preserve">Para o sector de água e saneamento, o Governo de Moçambique comprometeu-se em alcançar o </w:t>
      </w:r>
      <w:proofErr w:type="spellStart"/>
      <w:r w:rsidRPr="00292532">
        <w:rPr>
          <w:lang w:val="pt-PT" w:eastAsia="ja-JP"/>
        </w:rPr>
        <w:t>objectivo</w:t>
      </w:r>
      <w:proofErr w:type="spellEnd"/>
      <w:r w:rsidRPr="00292532">
        <w:rPr>
          <w:lang w:val="pt-PT" w:eastAsia="ja-JP"/>
        </w:rPr>
        <w:t xml:space="preserve"> </w:t>
      </w:r>
      <w:r w:rsidR="004B2086" w:rsidRPr="00292532">
        <w:rPr>
          <w:lang w:val="pt-PT" w:eastAsia="ja-JP"/>
        </w:rPr>
        <w:t xml:space="preserve">número </w:t>
      </w:r>
      <w:r w:rsidRPr="00292532">
        <w:rPr>
          <w:lang w:val="pt-PT" w:eastAsia="ja-JP"/>
        </w:rPr>
        <w:t>seis</w:t>
      </w:r>
      <w:r w:rsidR="004B2086" w:rsidRPr="00292532">
        <w:rPr>
          <w:lang w:val="pt-PT" w:eastAsia="ja-JP"/>
        </w:rPr>
        <w:t xml:space="preserve"> do quadro</w:t>
      </w:r>
      <w:r w:rsidRPr="00292532">
        <w:rPr>
          <w:lang w:val="pt-PT" w:eastAsia="ja-JP"/>
        </w:rPr>
        <w:t xml:space="preserve"> dos </w:t>
      </w:r>
      <w:proofErr w:type="spellStart"/>
      <w:r w:rsidRPr="00292532">
        <w:rPr>
          <w:lang w:val="pt-PT" w:eastAsia="ja-JP"/>
        </w:rPr>
        <w:t>Objectivos</w:t>
      </w:r>
      <w:proofErr w:type="spellEnd"/>
      <w:r w:rsidRPr="00292532">
        <w:rPr>
          <w:lang w:val="pt-PT" w:eastAsia="ja-JP"/>
        </w:rPr>
        <w:t xml:space="preserve"> de Desenvolvimento Sustentável (ODS), que consiste em alcançar o acesso universal e equitativo a água potável segura e acessível para todos, e </w:t>
      </w:r>
      <w:r w:rsidR="001469A9">
        <w:rPr>
          <w:lang w:val="pt-PT" w:eastAsia="ja-JP"/>
        </w:rPr>
        <w:t>garantir o</w:t>
      </w:r>
      <w:r w:rsidR="001469A9" w:rsidRPr="00292532">
        <w:rPr>
          <w:lang w:val="pt-PT" w:eastAsia="ja-JP"/>
        </w:rPr>
        <w:t xml:space="preserve"> </w:t>
      </w:r>
      <w:r w:rsidRPr="00292532">
        <w:rPr>
          <w:lang w:val="pt-PT" w:eastAsia="ja-JP"/>
        </w:rPr>
        <w:t>acesso a</w:t>
      </w:r>
      <w:r w:rsidR="001469A9">
        <w:rPr>
          <w:lang w:val="pt-PT" w:eastAsia="ja-JP"/>
        </w:rPr>
        <w:t>o</w:t>
      </w:r>
      <w:r w:rsidRPr="00292532">
        <w:rPr>
          <w:lang w:val="pt-PT" w:eastAsia="ja-JP"/>
        </w:rPr>
        <w:t xml:space="preserve"> saneamento e higiene adequados e equitativos para todos até 2030. Duas iniciativas governamentais importantes foram concebidas para responder a este desafio: (i) </w:t>
      </w:r>
      <w:r w:rsidR="00E50163" w:rsidRPr="00292532">
        <w:rPr>
          <w:lang w:val="pt-PT" w:eastAsia="ja-JP"/>
        </w:rPr>
        <w:t>Programa Nacional de Abastecimento de Água e Saneamento Rural  (</w:t>
      </w:r>
      <w:r w:rsidRPr="00292532">
        <w:rPr>
          <w:lang w:val="pt-PT" w:eastAsia="ja-JP"/>
        </w:rPr>
        <w:t>PRONASAR</w:t>
      </w:r>
      <w:r w:rsidR="00E50163" w:rsidRPr="00292532">
        <w:rPr>
          <w:lang w:val="pt-PT" w:eastAsia="ja-JP"/>
        </w:rPr>
        <w:t xml:space="preserve">) que </w:t>
      </w:r>
      <w:r w:rsidR="00E50163" w:rsidRPr="00292532">
        <w:rPr>
          <w:lang w:val="pt-PT"/>
        </w:rPr>
        <w:t xml:space="preserve">tem vindo a ser implementado desde 2010 como um mecanismo de operacionalização do Plano Estratégico do Sector de Águas, tendo prestado o seu contributo </w:t>
      </w:r>
      <w:r w:rsidR="00E50163" w:rsidRPr="00292532">
        <w:rPr>
          <w:lang w:val="pt-PT" w:eastAsia="ja-JP"/>
        </w:rPr>
        <w:t xml:space="preserve">para </w:t>
      </w:r>
      <w:r w:rsidRPr="00292532">
        <w:rPr>
          <w:lang w:val="pt-PT" w:eastAsia="ja-JP"/>
        </w:rPr>
        <w:t xml:space="preserve">o cumprimento da Meta de Desenvolvimento Sustentável do acesso universal ao abastecimento de água e saneamento </w:t>
      </w:r>
      <w:r w:rsidRPr="00292532">
        <w:rPr>
          <w:lang w:val="pt-PT" w:eastAsia="ja-JP"/>
        </w:rPr>
        <w:lastRenderedPageBreak/>
        <w:t>rural e (</w:t>
      </w:r>
      <w:proofErr w:type="spellStart"/>
      <w:r w:rsidRPr="00292532">
        <w:rPr>
          <w:lang w:val="pt-PT" w:eastAsia="ja-JP"/>
        </w:rPr>
        <w:t>ii</w:t>
      </w:r>
      <w:proofErr w:type="spellEnd"/>
      <w:r w:rsidRPr="00292532">
        <w:rPr>
          <w:lang w:val="pt-PT" w:eastAsia="ja-JP"/>
        </w:rPr>
        <w:t xml:space="preserve">) PRAVIDA, para investimentos em infraestruturas </w:t>
      </w:r>
      <w:proofErr w:type="spellStart"/>
      <w:r w:rsidRPr="00292532">
        <w:rPr>
          <w:lang w:val="pt-PT" w:eastAsia="ja-JP"/>
        </w:rPr>
        <w:t>seleccionadas</w:t>
      </w:r>
      <w:proofErr w:type="spellEnd"/>
      <w:r w:rsidRPr="00292532">
        <w:rPr>
          <w:lang w:val="pt-PT" w:eastAsia="ja-JP"/>
        </w:rPr>
        <w:t xml:space="preserve"> de abastecimento de água no espaço urbano e rural.</w:t>
      </w:r>
    </w:p>
    <w:p w14:paraId="3A3299FB" w14:textId="2953D912" w:rsidR="000C1004" w:rsidRPr="00292532" w:rsidRDefault="000C1004" w:rsidP="000C1004">
      <w:pPr>
        <w:rPr>
          <w:lang w:val="pt-PT" w:eastAsia="ja-JP"/>
        </w:rPr>
      </w:pPr>
      <w:r w:rsidRPr="00292532">
        <w:rPr>
          <w:lang w:val="pt-PT" w:eastAsia="ja-JP"/>
        </w:rPr>
        <w:t xml:space="preserve">O </w:t>
      </w:r>
      <w:proofErr w:type="spellStart"/>
      <w:r w:rsidRPr="00292532">
        <w:rPr>
          <w:lang w:val="pt-PT" w:eastAsia="ja-JP"/>
        </w:rPr>
        <w:t>projecto</w:t>
      </w:r>
      <w:proofErr w:type="spellEnd"/>
      <w:r w:rsidRPr="00292532">
        <w:rPr>
          <w:lang w:val="pt-PT" w:eastAsia="ja-JP"/>
        </w:rPr>
        <w:t xml:space="preserve"> está alinhado com o Programa Quinquenal do Governo (PQG, 2020-2024) que dá forte ênfase no desenvolvimento rural através da promoção de </w:t>
      </w:r>
      <w:proofErr w:type="spellStart"/>
      <w:r w:rsidRPr="00292532">
        <w:rPr>
          <w:lang w:val="pt-PT" w:eastAsia="ja-JP"/>
        </w:rPr>
        <w:t>actividades</w:t>
      </w:r>
      <w:proofErr w:type="spellEnd"/>
      <w:r w:rsidRPr="00292532">
        <w:rPr>
          <w:lang w:val="pt-PT" w:eastAsia="ja-JP"/>
        </w:rPr>
        <w:t xml:space="preserve"> produtivas nas áreas rurais, com foco na região centro e norte do país. O </w:t>
      </w:r>
      <w:proofErr w:type="spellStart"/>
      <w:r w:rsidRPr="00292532">
        <w:rPr>
          <w:lang w:val="pt-PT" w:eastAsia="ja-JP"/>
        </w:rPr>
        <w:t>projecto</w:t>
      </w:r>
      <w:proofErr w:type="spellEnd"/>
      <w:r w:rsidRPr="00292532">
        <w:rPr>
          <w:lang w:val="pt-PT" w:eastAsia="ja-JP"/>
        </w:rPr>
        <w:t xml:space="preserve"> apoiará as três prioridades do PQG (i</w:t>
      </w:r>
      <w:r w:rsidR="00A04F3D">
        <w:rPr>
          <w:lang w:val="pt-PT" w:eastAsia="ja-JP"/>
        </w:rPr>
        <w:t>)</w:t>
      </w:r>
      <w:r w:rsidRPr="00292532">
        <w:rPr>
          <w:lang w:val="pt-PT" w:eastAsia="ja-JP"/>
        </w:rPr>
        <w:t xml:space="preserve"> desenvolvimento do capital humano e justiça social; </w:t>
      </w:r>
      <w:r w:rsidR="00A04F3D">
        <w:rPr>
          <w:lang w:val="pt-PT" w:eastAsia="ja-JP"/>
        </w:rPr>
        <w:t>(</w:t>
      </w:r>
      <w:proofErr w:type="spellStart"/>
      <w:r w:rsidRPr="00292532">
        <w:rPr>
          <w:lang w:val="pt-PT" w:eastAsia="ja-JP"/>
        </w:rPr>
        <w:t>ii</w:t>
      </w:r>
      <w:proofErr w:type="spellEnd"/>
      <w:r w:rsidR="00A04F3D">
        <w:rPr>
          <w:lang w:val="pt-PT" w:eastAsia="ja-JP"/>
        </w:rPr>
        <w:t>)</w:t>
      </w:r>
      <w:r w:rsidRPr="00292532">
        <w:rPr>
          <w:lang w:val="pt-PT" w:eastAsia="ja-JP"/>
        </w:rPr>
        <w:t xml:space="preserve"> </w:t>
      </w:r>
      <w:r w:rsidR="002660D0" w:rsidRPr="00292532">
        <w:rPr>
          <w:lang w:val="pt-PT" w:eastAsia="ja-JP"/>
        </w:rPr>
        <w:t>Impulsion</w:t>
      </w:r>
      <w:r w:rsidR="002660D0">
        <w:rPr>
          <w:lang w:val="pt-PT" w:eastAsia="ja-JP"/>
        </w:rPr>
        <w:t xml:space="preserve">amento </w:t>
      </w:r>
      <w:r w:rsidR="002660D0" w:rsidRPr="00292532">
        <w:rPr>
          <w:lang w:val="pt-PT" w:eastAsia="ja-JP"/>
        </w:rPr>
        <w:t>o</w:t>
      </w:r>
      <w:r w:rsidRPr="00292532">
        <w:rPr>
          <w:lang w:val="pt-PT" w:eastAsia="ja-JP"/>
        </w:rPr>
        <w:t xml:space="preserve"> crescimento económico, a produtividade e a criação de empregos; e </w:t>
      </w:r>
      <w:r w:rsidR="00A04F3D">
        <w:rPr>
          <w:lang w:val="pt-PT" w:eastAsia="ja-JP"/>
        </w:rPr>
        <w:t>(</w:t>
      </w:r>
      <w:proofErr w:type="spellStart"/>
      <w:r w:rsidRPr="00292532">
        <w:rPr>
          <w:lang w:val="pt-PT" w:eastAsia="ja-JP"/>
        </w:rPr>
        <w:t>iii</w:t>
      </w:r>
      <w:proofErr w:type="spellEnd"/>
      <w:r w:rsidR="00A04F3D">
        <w:rPr>
          <w:lang w:val="pt-PT" w:eastAsia="ja-JP"/>
        </w:rPr>
        <w:t>)</w:t>
      </w:r>
      <w:r w:rsidRPr="00292532">
        <w:rPr>
          <w:lang w:val="pt-PT" w:eastAsia="ja-JP"/>
        </w:rPr>
        <w:t xml:space="preserve">. </w:t>
      </w:r>
      <w:r w:rsidR="00A04F3D" w:rsidRPr="00292532">
        <w:rPr>
          <w:lang w:val="pt-PT" w:eastAsia="ja-JP"/>
        </w:rPr>
        <w:t>F</w:t>
      </w:r>
      <w:r w:rsidRPr="00292532">
        <w:rPr>
          <w:lang w:val="pt-PT" w:eastAsia="ja-JP"/>
        </w:rPr>
        <w:t>ortalec</w:t>
      </w:r>
      <w:r w:rsidR="00A04F3D">
        <w:rPr>
          <w:lang w:val="pt-PT" w:eastAsia="ja-JP"/>
        </w:rPr>
        <w:t>imento d</w:t>
      </w:r>
      <w:r w:rsidRPr="00292532">
        <w:rPr>
          <w:lang w:val="pt-PT" w:eastAsia="ja-JP"/>
        </w:rPr>
        <w:t>a gestão sustentável dos recursos naturais e do meio ambiente.</w:t>
      </w:r>
    </w:p>
    <w:p w14:paraId="4249FDF0" w14:textId="5CC1BC42" w:rsidR="000C1004" w:rsidRPr="00292532" w:rsidRDefault="000C1004" w:rsidP="000C1004">
      <w:pPr>
        <w:rPr>
          <w:lang w:val="pt-PT" w:eastAsia="ja-JP"/>
        </w:rPr>
      </w:pPr>
      <w:r w:rsidRPr="00292532">
        <w:rPr>
          <w:lang w:val="pt-PT" w:eastAsia="ja-JP"/>
        </w:rPr>
        <w:t xml:space="preserve">Igualmente, o </w:t>
      </w:r>
      <w:proofErr w:type="spellStart"/>
      <w:r w:rsidRPr="00292532">
        <w:rPr>
          <w:lang w:val="pt-PT" w:eastAsia="ja-JP"/>
        </w:rPr>
        <w:t>projecto</w:t>
      </w:r>
      <w:proofErr w:type="spellEnd"/>
      <w:r w:rsidRPr="00292532">
        <w:rPr>
          <w:lang w:val="pt-PT" w:eastAsia="ja-JP"/>
        </w:rPr>
        <w:t xml:space="preserve"> está alinhado com os </w:t>
      </w:r>
      <w:proofErr w:type="spellStart"/>
      <w:r w:rsidRPr="00292532">
        <w:rPr>
          <w:lang w:val="pt-PT" w:eastAsia="ja-JP"/>
        </w:rPr>
        <w:t>objectivos</w:t>
      </w:r>
      <w:proofErr w:type="spellEnd"/>
      <w:r w:rsidRPr="00292532">
        <w:rPr>
          <w:lang w:val="pt-PT" w:eastAsia="ja-JP"/>
        </w:rPr>
        <w:t xml:space="preserve"> do Banco Mundial d</w:t>
      </w:r>
      <w:r w:rsidR="005E6795">
        <w:rPr>
          <w:lang w:val="pt-PT" w:eastAsia="ja-JP"/>
        </w:rPr>
        <w:t>a</w:t>
      </w:r>
      <w:r w:rsidRPr="00292532">
        <w:rPr>
          <w:lang w:val="pt-PT" w:eastAsia="ja-JP"/>
        </w:rPr>
        <w:t xml:space="preserve"> erradica</w:t>
      </w:r>
      <w:r w:rsidR="005E6795">
        <w:rPr>
          <w:lang w:val="pt-PT" w:eastAsia="ja-JP"/>
        </w:rPr>
        <w:t>ção</w:t>
      </w:r>
      <w:r w:rsidRPr="00292532">
        <w:rPr>
          <w:lang w:val="pt-PT" w:eastAsia="ja-JP"/>
        </w:rPr>
        <w:t xml:space="preserve"> </w:t>
      </w:r>
      <w:r w:rsidR="005E6795">
        <w:rPr>
          <w:lang w:val="pt-PT" w:eastAsia="ja-JP"/>
        </w:rPr>
        <w:t>d</w:t>
      </w:r>
      <w:r w:rsidRPr="00292532">
        <w:rPr>
          <w:lang w:val="pt-PT" w:eastAsia="ja-JP"/>
        </w:rPr>
        <w:t xml:space="preserve">a pobreza extrema e </w:t>
      </w:r>
      <w:r w:rsidR="002660D0" w:rsidRPr="00292532">
        <w:rPr>
          <w:lang w:val="pt-PT" w:eastAsia="ja-JP"/>
        </w:rPr>
        <w:t>promo</w:t>
      </w:r>
      <w:r w:rsidR="002660D0">
        <w:rPr>
          <w:lang w:val="pt-PT" w:eastAsia="ja-JP"/>
        </w:rPr>
        <w:t xml:space="preserve">ção </w:t>
      </w:r>
      <w:r w:rsidR="002660D0" w:rsidRPr="00292532">
        <w:rPr>
          <w:lang w:val="pt-PT" w:eastAsia="ja-JP"/>
        </w:rPr>
        <w:t>da</w:t>
      </w:r>
      <w:r w:rsidRPr="00292532">
        <w:rPr>
          <w:lang w:val="pt-PT" w:eastAsia="ja-JP"/>
        </w:rPr>
        <w:t xml:space="preserve"> prosperidade compartilhada. Fontes confiáveis e acessíveis de água potável e saneamento são uma pré-condição essencial para uma população saudável e uma </w:t>
      </w:r>
      <w:proofErr w:type="spellStart"/>
      <w:r w:rsidRPr="00292532">
        <w:rPr>
          <w:lang w:val="pt-PT" w:eastAsia="ja-JP"/>
        </w:rPr>
        <w:t>actividade</w:t>
      </w:r>
      <w:proofErr w:type="spellEnd"/>
      <w:r w:rsidRPr="00292532">
        <w:rPr>
          <w:lang w:val="pt-PT" w:eastAsia="ja-JP"/>
        </w:rPr>
        <w:t xml:space="preserve"> económica robusta, especialmente no contexto moçambicano de altas taxas de doenças relacionadas com água e saneamento. O </w:t>
      </w:r>
      <w:proofErr w:type="spellStart"/>
      <w:r w:rsidRPr="00292532">
        <w:rPr>
          <w:lang w:val="pt-PT" w:eastAsia="ja-JP"/>
        </w:rPr>
        <w:t>projecto</w:t>
      </w:r>
      <w:proofErr w:type="spellEnd"/>
      <w:r w:rsidRPr="00292532">
        <w:rPr>
          <w:lang w:val="pt-PT" w:eastAsia="ja-JP"/>
        </w:rPr>
        <w:t xml:space="preserve"> reduzirá a exposição à água não potável, saneamento e higiene, e estabelecerá a base técnica e institucional para uma futura expansão sustentável dos serviços.</w:t>
      </w:r>
    </w:p>
    <w:p w14:paraId="35BBAF5D" w14:textId="0A10C153" w:rsidR="000C1004" w:rsidRPr="00292532" w:rsidRDefault="000C1004" w:rsidP="000C1004">
      <w:pPr>
        <w:rPr>
          <w:lang w:val="pt-PT" w:eastAsia="ja-JP"/>
        </w:rPr>
      </w:pPr>
      <w:r w:rsidRPr="00292532">
        <w:rPr>
          <w:lang w:val="pt-PT" w:eastAsia="ja-JP"/>
        </w:rPr>
        <w:t xml:space="preserve">O </w:t>
      </w:r>
      <w:proofErr w:type="spellStart"/>
      <w:r w:rsidRPr="00292532">
        <w:rPr>
          <w:lang w:val="pt-PT" w:eastAsia="ja-JP"/>
        </w:rPr>
        <w:t>Projecto</w:t>
      </w:r>
      <w:proofErr w:type="spellEnd"/>
      <w:r w:rsidRPr="00292532">
        <w:rPr>
          <w:lang w:val="pt-PT" w:eastAsia="ja-JP"/>
        </w:rPr>
        <w:t xml:space="preserve"> será calibrado para incrementar os resultados positivos e o impacto no terreno para mitigar o contexto de fragilidade, sendo que será implementado numa área cada vez mais frágil devido ao conflito em Cabo Delgado, com um número significativo de pessoas deslocadas para as províncias </w:t>
      </w:r>
      <w:r w:rsidR="002A0FE6">
        <w:rPr>
          <w:lang w:val="pt-PT" w:eastAsia="ja-JP"/>
        </w:rPr>
        <w:t xml:space="preserve">de Nampula e Zambézia </w:t>
      </w:r>
      <w:r w:rsidRPr="00292532">
        <w:rPr>
          <w:lang w:val="pt-PT" w:eastAsia="ja-JP"/>
        </w:rPr>
        <w:t>e distritos vizinhos.</w:t>
      </w:r>
    </w:p>
    <w:p w14:paraId="1E5E0657" w14:textId="77777777" w:rsidR="000C1004" w:rsidRPr="00292532" w:rsidRDefault="000C1004" w:rsidP="000C1004">
      <w:pPr>
        <w:rPr>
          <w:lang w:val="pt-PT" w:eastAsia="ja-JP"/>
        </w:rPr>
      </w:pPr>
    </w:p>
    <w:p w14:paraId="65701C36" w14:textId="5FFC2893" w:rsidR="000C1004" w:rsidRPr="00292532" w:rsidRDefault="000C1004" w:rsidP="000C1004">
      <w:pPr>
        <w:pStyle w:val="Heading2"/>
      </w:pPr>
      <w:bookmarkStart w:id="21" w:name="_Toc80379933"/>
      <w:proofErr w:type="spellStart"/>
      <w:r w:rsidRPr="00292532">
        <w:t>Objectivo</w:t>
      </w:r>
      <w:proofErr w:type="spellEnd"/>
      <w:r w:rsidRPr="00292532">
        <w:t xml:space="preserve"> de Desenvolvimento do </w:t>
      </w:r>
      <w:proofErr w:type="spellStart"/>
      <w:r w:rsidRPr="00292532">
        <w:t>Projecto</w:t>
      </w:r>
      <w:proofErr w:type="spellEnd"/>
      <w:r w:rsidRPr="00292532">
        <w:t xml:space="preserve"> (ODP)</w:t>
      </w:r>
      <w:bookmarkEnd w:id="21"/>
    </w:p>
    <w:p w14:paraId="0BDF30CB" w14:textId="35E49E33" w:rsidR="007C55D3" w:rsidRPr="001824ED" w:rsidRDefault="001632E8" w:rsidP="000C1004">
      <w:pPr>
        <w:rPr>
          <w:lang w:val="pt-PT" w:eastAsia="ja-JP"/>
        </w:rPr>
      </w:pPr>
      <w:bookmarkStart w:id="22" w:name="_Hlk75440895"/>
      <w:r w:rsidRPr="00292532">
        <w:rPr>
          <w:lang w:val="pt-PT"/>
        </w:rPr>
        <w:t>O</w:t>
      </w:r>
      <w:r w:rsidR="00A04F3D">
        <w:rPr>
          <w:lang w:val="pt-PT"/>
        </w:rPr>
        <w:t>s</w:t>
      </w:r>
      <w:r w:rsidRPr="00292532">
        <w:rPr>
          <w:lang w:val="pt-PT"/>
        </w:rPr>
        <w:t xml:space="preserve"> </w:t>
      </w:r>
      <w:proofErr w:type="spellStart"/>
      <w:r w:rsidRPr="00292532">
        <w:rPr>
          <w:lang w:val="pt-PT"/>
        </w:rPr>
        <w:t>Objectivo</w:t>
      </w:r>
      <w:r w:rsidR="00A04F3D">
        <w:rPr>
          <w:lang w:val="pt-PT"/>
        </w:rPr>
        <w:t>s</w:t>
      </w:r>
      <w:proofErr w:type="spellEnd"/>
      <w:r w:rsidRPr="00292532">
        <w:rPr>
          <w:lang w:val="pt-PT"/>
        </w:rPr>
        <w:t xml:space="preserve"> de Desenvolvimento do </w:t>
      </w:r>
      <w:proofErr w:type="spellStart"/>
      <w:r w:rsidRPr="00292532">
        <w:rPr>
          <w:lang w:val="pt-PT"/>
        </w:rPr>
        <w:t>Projecto</w:t>
      </w:r>
      <w:proofErr w:type="spellEnd"/>
      <w:r w:rsidRPr="00292532">
        <w:rPr>
          <w:lang w:val="pt-PT"/>
        </w:rPr>
        <w:t xml:space="preserve"> (</w:t>
      </w:r>
      <w:r w:rsidRPr="00292532">
        <w:rPr>
          <w:i/>
          <w:iCs/>
          <w:lang w:val="pt-PT"/>
        </w:rPr>
        <w:t xml:space="preserve">PDO – Project </w:t>
      </w:r>
      <w:proofErr w:type="spellStart"/>
      <w:r w:rsidRPr="00292532">
        <w:rPr>
          <w:i/>
          <w:iCs/>
          <w:lang w:val="pt-PT"/>
        </w:rPr>
        <w:t>Development</w:t>
      </w:r>
      <w:proofErr w:type="spellEnd"/>
      <w:r w:rsidRPr="00292532">
        <w:rPr>
          <w:i/>
          <w:iCs/>
          <w:lang w:val="pt-PT"/>
        </w:rPr>
        <w:t xml:space="preserve"> </w:t>
      </w:r>
      <w:proofErr w:type="spellStart"/>
      <w:r w:rsidRPr="00292532">
        <w:rPr>
          <w:i/>
          <w:iCs/>
          <w:lang w:val="pt-PT"/>
        </w:rPr>
        <w:t>Objective</w:t>
      </w:r>
      <w:proofErr w:type="spellEnd"/>
      <w:r w:rsidRPr="00292532">
        <w:rPr>
          <w:lang w:val="pt-PT"/>
        </w:rPr>
        <w:t xml:space="preserve">) </w:t>
      </w:r>
      <w:bookmarkStart w:id="23" w:name="_Hlk73174427"/>
      <w:r w:rsidR="00A04F3D">
        <w:rPr>
          <w:lang w:val="pt-PT"/>
        </w:rPr>
        <w:t>são</w:t>
      </w:r>
      <w:r w:rsidRPr="00292532">
        <w:rPr>
          <w:lang w:val="pt-PT"/>
        </w:rPr>
        <w:t xml:space="preserve"> </w:t>
      </w:r>
      <w:r w:rsidR="00A04F3D">
        <w:rPr>
          <w:lang w:val="pt-PT"/>
        </w:rPr>
        <w:t xml:space="preserve">(i) </w:t>
      </w:r>
      <w:r w:rsidR="00C07441" w:rsidRPr="00C07441">
        <w:rPr>
          <w:lang w:val="pt-PT"/>
        </w:rPr>
        <w:t>aumentar o acesso a serviços melhorados de abastecimento de água e saneamento nas vilas e zonas rurais de Moçambique</w:t>
      </w:r>
      <w:r w:rsidRPr="00292532">
        <w:rPr>
          <w:lang w:val="pt-PT"/>
        </w:rPr>
        <w:t xml:space="preserve">, </w:t>
      </w:r>
      <w:r w:rsidR="00A04F3D">
        <w:rPr>
          <w:lang w:val="pt-PT"/>
        </w:rPr>
        <w:t>(</w:t>
      </w:r>
      <w:proofErr w:type="spellStart"/>
      <w:r w:rsidR="00A04F3D">
        <w:rPr>
          <w:lang w:val="pt-PT"/>
        </w:rPr>
        <w:t>ii</w:t>
      </w:r>
      <w:proofErr w:type="spellEnd"/>
      <w:r w:rsidR="00A04F3D">
        <w:rPr>
          <w:lang w:val="pt-PT"/>
        </w:rPr>
        <w:t xml:space="preserve">) </w:t>
      </w:r>
      <w:r w:rsidRPr="00292532">
        <w:rPr>
          <w:lang w:val="pt-PT"/>
        </w:rPr>
        <w:t xml:space="preserve">e apoiar Moçambique a responder pronta e eficazmente a uma crise elegível ou emergência. </w:t>
      </w:r>
      <w:bookmarkEnd w:id="22"/>
      <w:bookmarkEnd w:id="23"/>
    </w:p>
    <w:p w14:paraId="5287C770" w14:textId="138760D5" w:rsidR="007C55D3" w:rsidRPr="00292532" w:rsidRDefault="007C55D3" w:rsidP="007C55D3">
      <w:pPr>
        <w:pStyle w:val="Heading2"/>
      </w:pPr>
      <w:bookmarkStart w:id="24" w:name="_Toc80379934"/>
      <w:r w:rsidRPr="00292532">
        <w:t>Indicadores de Resultado</w:t>
      </w:r>
      <w:bookmarkEnd w:id="24"/>
    </w:p>
    <w:p w14:paraId="34002C0C" w14:textId="46F13125" w:rsidR="007C55D3" w:rsidRPr="00292532" w:rsidRDefault="007C55D3" w:rsidP="007C55D3">
      <w:pPr>
        <w:rPr>
          <w:lang w:val="pt-PT" w:eastAsia="ja-JP"/>
        </w:rPr>
      </w:pPr>
      <w:r w:rsidRPr="00292532">
        <w:rPr>
          <w:lang w:val="pt-PT" w:eastAsia="ja-JP"/>
        </w:rPr>
        <w:t>O número de pessoas, segregadas por sexo, com acesso aos i) serviços de abastecimento de água</w:t>
      </w:r>
      <w:r w:rsidR="001632E8" w:rsidRPr="00292532">
        <w:rPr>
          <w:lang w:val="pt-PT" w:eastAsia="ja-JP"/>
        </w:rPr>
        <w:t xml:space="preserve"> como resultado do </w:t>
      </w:r>
      <w:proofErr w:type="spellStart"/>
      <w:r w:rsidR="001632E8" w:rsidRPr="00292532">
        <w:rPr>
          <w:lang w:val="pt-PT" w:eastAsia="ja-JP"/>
        </w:rPr>
        <w:t>projecto</w:t>
      </w:r>
      <w:proofErr w:type="spellEnd"/>
      <w:r w:rsidR="001632E8" w:rsidRPr="00292532">
        <w:rPr>
          <w:lang w:val="pt-PT" w:eastAsia="ja-JP"/>
        </w:rPr>
        <w:t>,</w:t>
      </w:r>
      <w:r w:rsidRPr="00292532">
        <w:rPr>
          <w:lang w:val="pt-PT" w:eastAsia="ja-JP"/>
        </w:rPr>
        <w:t xml:space="preserve"> </w:t>
      </w:r>
      <w:proofErr w:type="spellStart"/>
      <w:r w:rsidRPr="00292532">
        <w:rPr>
          <w:lang w:val="pt-PT" w:eastAsia="ja-JP"/>
        </w:rPr>
        <w:t>ii</w:t>
      </w:r>
      <w:proofErr w:type="spellEnd"/>
      <w:r w:rsidRPr="00292532">
        <w:rPr>
          <w:lang w:val="pt-PT" w:eastAsia="ja-JP"/>
        </w:rPr>
        <w:t>)</w:t>
      </w:r>
      <w:r w:rsidR="001632E8" w:rsidRPr="00292532">
        <w:rPr>
          <w:lang w:val="pt-PT" w:eastAsia="ja-JP"/>
        </w:rPr>
        <w:t xml:space="preserve"> serviços de </w:t>
      </w:r>
      <w:r w:rsidRPr="00292532">
        <w:rPr>
          <w:lang w:val="pt-PT" w:eastAsia="ja-JP"/>
        </w:rPr>
        <w:t>saneamento, gerid</w:t>
      </w:r>
      <w:r w:rsidR="001632E8" w:rsidRPr="00292532">
        <w:rPr>
          <w:lang w:val="pt-PT" w:eastAsia="ja-JP"/>
        </w:rPr>
        <w:t>o</w:t>
      </w:r>
      <w:r w:rsidRPr="00292532">
        <w:rPr>
          <w:lang w:val="pt-PT" w:eastAsia="ja-JP"/>
        </w:rPr>
        <w:t>s</w:t>
      </w:r>
      <w:r w:rsidR="001632E8" w:rsidRPr="00292532">
        <w:rPr>
          <w:lang w:val="pt-PT" w:eastAsia="ja-JP"/>
        </w:rPr>
        <w:t xml:space="preserve"> de forma </w:t>
      </w:r>
      <w:r w:rsidR="001632E8" w:rsidRPr="00292532">
        <w:rPr>
          <w:sz w:val="24"/>
          <w:szCs w:val="24"/>
          <w:lang w:val="pt-PT"/>
        </w:rPr>
        <w:t>segura</w:t>
      </w:r>
      <w:r w:rsidR="001632E8" w:rsidRPr="004500AE">
        <w:rPr>
          <w:rStyle w:val="FootnoteReference"/>
          <w:rFonts w:cs="Calibri"/>
          <w:bCs/>
          <w:kern w:val="36"/>
          <w:sz w:val="24"/>
          <w:szCs w:val="24"/>
          <w:lang w:val="pt-PT"/>
        </w:rPr>
        <w:footnoteReference w:id="1"/>
      </w:r>
      <w:r w:rsidR="001632E8" w:rsidRPr="00292532">
        <w:rPr>
          <w:sz w:val="24"/>
          <w:szCs w:val="24"/>
          <w:lang w:val="pt-PT"/>
        </w:rPr>
        <w:t xml:space="preserve"> </w:t>
      </w:r>
      <w:r w:rsidR="001632E8" w:rsidRPr="00292532">
        <w:rPr>
          <w:lang w:val="pt-PT" w:eastAsia="ja-JP"/>
        </w:rPr>
        <w:t xml:space="preserve">como resultado do </w:t>
      </w:r>
      <w:proofErr w:type="spellStart"/>
      <w:r w:rsidR="001632E8" w:rsidRPr="00292532">
        <w:rPr>
          <w:lang w:val="pt-PT" w:eastAsia="ja-JP"/>
        </w:rPr>
        <w:t>projecto</w:t>
      </w:r>
      <w:proofErr w:type="spellEnd"/>
      <w:r w:rsidR="00A04F3D">
        <w:rPr>
          <w:lang w:val="pt-PT" w:eastAsia="ja-JP"/>
        </w:rPr>
        <w:t>,</w:t>
      </w:r>
      <w:r w:rsidR="001632E8" w:rsidRPr="00292532">
        <w:rPr>
          <w:lang w:val="pt-PT" w:eastAsia="ja-JP"/>
        </w:rPr>
        <w:t xml:space="preserve"> e </w:t>
      </w:r>
      <w:proofErr w:type="spellStart"/>
      <w:r w:rsidR="001632E8" w:rsidRPr="00292532">
        <w:rPr>
          <w:lang w:val="pt-PT" w:eastAsia="ja-JP"/>
        </w:rPr>
        <w:t>iii</w:t>
      </w:r>
      <w:proofErr w:type="spellEnd"/>
      <w:r w:rsidR="001632E8" w:rsidRPr="00292532">
        <w:rPr>
          <w:lang w:val="pt-PT" w:eastAsia="ja-JP"/>
        </w:rPr>
        <w:t xml:space="preserve">) </w:t>
      </w:r>
      <w:r w:rsidR="001632E8" w:rsidRPr="00292532">
        <w:rPr>
          <w:sz w:val="24"/>
          <w:szCs w:val="24"/>
          <w:lang w:val="pt-PT"/>
        </w:rPr>
        <w:t xml:space="preserve">número de sistemas de abastecimento de água e saneamento funcionando em conformidade com o </w:t>
      </w:r>
      <w:r w:rsidR="00A04F3D">
        <w:rPr>
          <w:sz w:val="24"/>
          <w:szCs w:val="24"/>
          <w:lang w:val="pt-PT"/>
        </w:rPr>
        <w:t>Q</w:t>
      </w:r>
      <w:r w:rsidR="001632E8" w:rsidRPr="00292532">
        <w:rPr>
          <w:sz w:val="24"/>
          <w:szCs w:val="24"/>
          <w:lang w:val="pt-PT"/>
        </w:rPr>
        <w:t xml:space="preserve">uadro </w:t>
      </w:r>
      <w:proofErr w:type="spellStart"/>
      <w:r w:rsidR="001632E8" w:rsidRPr="00292532">
        <w:rPr>
          <w:sz w:val="24"/>
          <w:szCs w:val="24"/>
          <w:lang w:val="pt-PT"/>
        </w:rPr>
        <w:t>Quadro</w:t>
      </w:r>
      <w:proofErr w:type="spellEnd"/>
      <w:r w:rsidR="001632E8" w:rsidRPr="00292532">
        <w:rPr>
          <w:sz w:val="24"/>
          <w:szCs w:val="24"/>
          <w:lang w:val="pt-PT"/>
        </w:rPr>
        <w:t xml:space="preserve"> Regulatório</w:t>
      </w:r>
      <w:r w:rsidRPr="004500AE">
        <w:rPr>
          <w:sz w:val="24"/>
          <w:szCs w:val="24"/>
          <w:lang w:val="pt-PT"/>
        </w:rPr>
        <w:t xml:space="preserve">, serão os indicadores-chave </w:t>
      </w:r>
      <w:r w:rsidR="001632E8" w:rsidRPr="004500AE">
        <w:rPr>
          <w:sz w:val="24"/>
          <w:szCs w:val="24"/>
          <w:lang w:val="pt-PT"/>
        </w:rPr>
        <w:t xml:space="preserve">que </w:t>
      </w:r>
      <w:r w:rsidRPr="004500AE">
        <w:rPr>
          <w:sz w:val="24"/>
          <w:szCs w:val="24"/>
          <w:lang w:val="pt-PT"/>
        </w:rPr>
        <w:t xml:space="preserve">permitirão aferir se o </w:t>
      </w:r>
      <w:proofErr w:type="spellStart"/>
      <w:r w:rsidRPr="004500AE">
        <w:rPr>
          <w:sz w:val="24"/>
          <w:szCs w:val="24"/>
          <w:lang w:val="pt-PT"/>
        </w:rPr>
        <w:t>projecto</w:t>
      </w:r>
      <w:proofErr w:type="spellEnd"/>
      <w:r w:rsidRPr="004500AE">
        <w:rPr>
          <w:sz w:val="24"/>
          <w:szCs w:val="24"/>
          <w:lang w:val="pt-PT"/>
        </w:rPr>
        <w:t xml:space="preserve"> atingiu os resultados preconizados.</w:t>
      </w:r>
    </w:p>
    <w:p w14:paraId="07143D30" w14:textId="77777777" w:rsidR="007C55D3" w:rsidRPr="00292532" w:rsidRDefault="007C55D3" w:rsidP="007C55D3">
      <w:pPr>
        <w:pStyle w:val="Heading2"/>
      </w:pPr>
      <w:bookmarkStart w:id="25" w:name="_Toc75437899"/>
      <w:bookmarkStart w:id="26" w:name="_Toc80379935"/>
      <w:bookmarkEnd w:id="25"/>
      <w:r w:rsidRPr="00292532">
        <w:lastRenderedPageBreak/>
        <w:t xml:space="preserve">Componentes do </w:t>
      </w:r>
      <w:proofErr w:type="spellStart"/>
      <w:r w:rsidRPr="00292532">
        <w:t>Projecto</w:t>
      </w:r>
      <w:bookmarkEnd w:id="26"/>
      <w:proofErr w:type="spellEnd"/>
      <w:r w:rsidRPr="00292532">
        <w:t xml:space="preserve"> </w:t>
      </w:r>
    </w:p>
    <w:p w14:paraId="2E7C1C3A" w14:textId="77777777" w:rsidR="007C55D3" w:rsidRPr="00292532" w:rsidRDefault="007C55D3" w:rsidP="007C55D3">
      <w:pPr>
        <w:spacing w:before="120" w:after="100" w:afterAutospacing="1"/>
        <w:ind w:right="28"/>
        <w:rPr>
          <w:rFonts w:asciiTheme="minorHAnsi" w:hAnsiTheme="minorHAnsi" w:cstheme="minorHAnsi"/>
          <w:lang w:val="pt-PT"/>
        </w:rPr>
      </w:pPr>
      <w:bookmarkStart w:id="27" w:name="_Hlk75440940"/>
      <w:r w:rsidRPr="00292532">
        <w:rPr>
          <w:rFonts w:asciiTheme="minorHAnsi" w:hAnsiTheme="minorHAnsi" w:cstheme="minorHAnsi"/>
          <w:lang w:val="pt-PT"/>
        </w:rPr>
        <w:t xml:space="preserve">O </w:t>
      </w:r>
      <w:proofErr w:type="spellStart"/>
      <w:r w:rsidRPr="00292532">
        <w:rPr>
          <w:rFonts w:asciiTheme="minorHAnsi" w:hAnsiTheme="minorHAnsi" w:cstheme="minorHAnsi"/>
          <w:lang w:val="pt-PT"/>
        </w:rPr>
        <w:t>Projecto</w:t>
      </w:r>
      <w:proofErr w:type="spellEnd"/>
      <w:r w:rsidRPr="00292532">
        <w:rPr>
          <w:rFonts w:asciiTheme="minorHAnsi" w:hAnsiTheme="minorHAnsi" w:cstheme="minorHAnsi"/>
          <w:lang w:val="pt-PT"/>
        </w:rPr>
        <w:t xml:space="preserve"> está a ser concebido em quatro componentes diferentes, conforme apresentadas na figura abaixo. </w:t>
      </w:r>
    </w:p>
    <w:p w14:paraId="6A53A2FA" w14:textId="77777777" w:rsidR="007C55D3" w:rsidRPr="00292532" w:rsidRDefault="007C55D3" w:rsidP="00ED270D">
      <w:pPr>
        <w:numPr>
          <w:ilvl w:val="0"/>
          <w:numId w:val="8"/>
        </w:numPr>
        <w:spacing w:before="120" w:after="100" w:afterAutospacing="1"/>
        <w:ind w:right="28"/>
        <w:rPr>
          <w:rFonts w:asciiTheme="minorHAnsi" w:hAnsiTheme="minorHAnsi" w:cstheme="minorHAnsi"/>
          <w:i/>
          <w:iCs/>
          <w:lang w:val="pt-PT"/>
        </w:rPr>
      </w:pPr>
      <w:r w:rsidRPr="00292532">
        <w:rPr>
          <w:rFonts w:asciiTheme="minorHAnsi" w:hAnsiTheme="minorHAnsi" w:cstheme="minorHAnsi"/>
          <w:b/>
          <w:bCs/>
          <w:i/>
          <w:iCs/>
          <w:lang w:val="pt-PT"/>
        </w:rPr>
        <w:t>Componente 1:</w:t>
      </w:r>
      <w:r w:rsidRPr="00292532">
        <w:rPr>
          <w:rFonts w:asciiTheme="minorHAnsi" w:hAnsiTheme="minorHAnsi" w:cstheme="minorHAnsi"/>
          <w:i/>
          <w:iCs/>
          <w:lang w:val="pt-PT"/>
        </w:rPr>
        <w:t xml:space="preserve"> Fortalecimento dos serviços de abastecimento de água e saneamento nas vilas e pequenas cidades</w:t>
      </w:r>
    </w:p>
    <w:bookmarkEnd w:id="27"/>
    <w:p w14:paraId="25A03CB8" w14:textId="2DF72D7D" w:rsidR="007C55D3" w:rsidRPr="00292532" w:rsidRDefault="007C55D3" w:rsidP="007C55D3">
      <w:pPr>
        <w:spacing w:before="120" w:after="100" w:afterAutospacing="1"/>
        <w:ind w:right="28"/>
        <w:rPr>
          <w:rFonts w:asciiTheme="minorHAnsi" w:hAnsiTheme="minorHAnsi" w:cstheme="minorHAnsi"/>
          <w:lang w:val="pt-PT"/>
        </w:rPr>
      </w:pPr>
      <w:r w:rsidRPr="00292532">
        <w:rPr>
          <w:rFonts w:asciiTheme="minorHAnsi" w:hAnsiTheme="minorHAnsi" w:cstheme="minorHAnsi"/>
          <w:lang w:val="pt-PT"/>
        </w:rPr>
        <w:t xml:space="preserve">Esta componente incluirá o desenvolvimento da infraestrutura prioritária para aumentar a cobertura do serviço e melhoria da eficiência operacional dos sistemas de </w:t>
      </w:r>
      <w:r w:rsidR="00E946C8" w:rsidRPr="00292532">
        <w:rPr>
          <w:rFonts w:asciiTheme="minorHAnsi" w:hAnsiTheme="minorHAnsi" w:cstheme="minorHAnsi"/>
          <w:lang w:val="pt-PT"/>
        </w:rPr>
        <w:t xml:space="preserve">abastecimento </w:t>
      </w:r>
      <w:r w:rsidRPr="00292532">
        <w:rPr>
          <w:rFonts w:asciiTheme="minorHAnsi" w:hAnsiTheme="minorHAnsi" w:cstheme="minorHAnsi"/>
          <w:lang w:val="pt-PT"/>
        </w:rPr>
        <w:t xml:space="preserve">de água </w:t>
      </w:r>
      <w:r w:rsidR="00E946C8" w:rsidRPr="00292532">
        <w:rPr>
          <w:rFonts w:asciiTheme="minorHAnsi" w:hAnsiTheme="minorHAnsi" w:cstheme="minorHAnsi"/>
          <w:lang w:val="pt-PT"/>
        </w:rPr>
        <w:t xml:space="preserve">e serviços de saneamento </w:t>
      </w:r>
      <w:r w:rsidRPr="00292532">
        <w:rPr>
          <w:rFonts w:asciiTheme="minorHAnsi" w:hAnsiTheme="minorHAnsi" w:cstheme="minorHAnsi"/>
          <w:lang w:val="pt-PT"/>
        </w:rPr>
        <w:t>em</w:t>
      </w:r>
      <w:r w:rsidR="009D5841">
        <w:rPr>
          <w:rFonts w:asciiTheme="minorHAnsi" w:hAnsiTheme="minorHAnsi" w:cstheme="minorHAnsi"/>
          <w:lang w:val="pt-PT"/>
        </w:rPr>
        <w:t xml:space="preserve"> 18</w:t>
      </w:r>
      <w:r w:rsidRPr="00292532">
        <w:rPr>
          <w:rFonts w:asciiTheme="minorHAnsi" w:hAnsiTheme="minorHAnsi" w:cstheme="minorHAnsi"/>
          <w:lang w:val="pt-PT"/>
        </w:rPr>
        <w:t xml:space="preserve"> pequenas cidades e vilas selecionadas </w:t>
      </w:r>
      <w:r w:rsidR="00460154">
        <w:rPr>
          <w:rFonts w:asciiTheme="minorHAnsi" w:hAnsiTheme="minorHAnsi" w:cstheme="minorHAnsi"/>
          <w:lang w:val="pt-PT"/>
        </w:rPr>
        <w:t xml:space="preserve">nas </w:t>
      </w:r>
      <w:proofErr w:type="spellStart"/>
      <w:r w:rsidR="00460154">
        <w:rPr>
          <w:rFonts w:asciiTheme="minorHAnsi" w:hAnsiTheme="minorHAnsi" w:cstheme="minorHAnsi"/>
          <w:lang w:val="pt-PT"/>
        </w:rPr>
        <w:t>Provincias</w:t>
      </w:r>
      <w:proofErr w:type="spellEnd"/>
      <w:r w:rsidR="00460154">
        <w:rPr>
          <w:rFonts w:asciiTheme="minorHAnsi" w:hAnsiTheme="minorHAnsi" w:cstheme="minorHAnsi"/>
          <w:lang w:val="pt-PT"/>
        </w:rPr>
        <w:t xml:space="preserve"> da </w:t>
      </w:r>
      <w:proofErr w:type="spellStart"/>
      <w:r w:rsidR="00460154">
        <w:rPr>
          <w:rFonts w:asciiTheme="minorHAnsi" w:hAnsiTheme="minorHAnsi" w:cstheme="minorHAnsi"/>
          <w:lang w:val="pt-PT"/>
        </w:rPr>
        <w:t>Zambezia</w:t>
      </w:r>
      <w:proofErr w:type="spellEnd"/>
      <w:r w:rsidR="00460154">
        <w:rPr>
          <w:rFonts w:asciiTheme="minorHAnsi" w:hAnsiTheme="minorHAnsi" w:cstheme="minorHAnsi"/>
          <w:lang w:val="pt-PT"/>
        </w:rPr>
        <w:t xml:space="preserve"> e Nampula</w:t>
      </w:r>
      <w:r w:rsidRPr="00292532">
        <w:rPr>
          <w:rFonts w:asciiTheme="minorHAnsi" w:hAnsiTheme="minorHAnsi" w:cstheme="minorHAnsi"/>
          <w:lang w:val="pt-PT"/>
        </w:rPr>
        <w:t xml:space="preserve">. Esta componente prevê as seguintes intervenções: </w:t>
      </w:r>
    </w:p>
    <w:p w14:paraId="0F4627E7" w14:textId="414BFADC" w:rsidR="007C55D3" w:rsidRPr="00292532" w:rsidRDefault="002660D0" w:rsidP="00ED270D">
      <w:pPr>
        <w:numPr>
          <w:ilvl w:val="0"/>
          <w:numId w:val="9"/>
        </w:numPr>
        <w:spacing w:before="120" w:after="100" w:afterAutospacing="1"/>
        <w:ind w:right="28"/>
        <w:rPr>
          <w:rFonts w:asciiTheme="minorHAnsi" w:hAnsiTheme="minorHAnsi" w:cstheme="minorHAnsi"/>
          <w:lang w:val="pt-PT"/>
        </w:rPr>
      </w:pPr>
      <w:r w:rsidRPr="00292532">
        <w:rPr>
          <w:rFonts w:asciiTheme="minorHAnsi" w:hAnsiTheme="minorHAnsi" w:cstheme="minorHAnsi"/>
          <w:lang w:val="pt-PT"/>
        </w:rPr>
        <w:t>Construção</w:t>
      </w:r>
      <w:r>
        <w:rPr>
          <w:rFonts w:asciiTheme="minorHAnsi" w:hAnsiTheme="minorHAnsi" w:cstheme="minorHAnsi"/>
          <w:lang w:val="pt-PT"/>
        </w:rPr>
        <w:t xml:space="preserve">, </w:t>
      </w:r>
      <w:r w:rsidRPr="00292532">
        <w:rPr>
          <w:rFonts w:asciiTheme="minorHAnsi" w:hAnsiTheme="minorHAnsi" w:cstheme="minorHAnsi"/>
          <w:lang w:val="pt-PT"/>
        </w:rPr>
        <w:t>reabilitação</w:t>
      </w:r>
      <w:r w:rsidR="007C55D3" w:rsidRPr="00292532">
        <w:rPr>
          <w:rFonts w:asciiTheme="minorHAnsi" w:hAnsiTheme="minorHAnsi" w:cstheme="minorHAnsi"/>
          <w:lang w:val="pt-PT"/>
        </w:rPr>
        <w:t xml:space="preserve"> </w:t>
      </w:r>
      <w:r w:rsidR="002A0FE6">
        <w:rPr>
          <w:rFonts w:asciiTheme="minorHAnsi" w:hAnsiTheme="minorHAnsi" w:cstheme="minorHAnsi"/>
          <w:lang w:val="pt-PT"/>
        </w:rPr>
        <w:t xml:space="preserve">e expansão </w:t>
      </w:r>
      <w:r w:rsidR="007C55D3" w:rsidRPr="00292532">
        <w:rPr>
          <w:rFonts w:asciiTheme="minorHAnsi" w:hAnsiTheme="minorHAnsi" w:cstheme="minorHAnsi"/>
          <w:lang w:val="pt-PT"/>
        </w:rPr>
        <w:t>de sistemas de abastecimento de água incluindo intervenções na fonte</w:t>
      </w:r>
      <w:r w:rsidR="002A0FE6">
        <w:rPr>
          <w:rFonts w:asciiTheme="minorHAnsi" w:hAnsiTheme="minorHAnsi" w:cstheme="minorHAnsi"/>
          <w:lang w:val="pt-PT"/>
        </w:rPr>
        <w:t xml:space="preserve"> (captação)</w:t>
      </w:r>
      <w:r w:rsidR="007C55D3" w:rsidRPr="00292532">
        <w:rPr>
          <w:rFonts w:asciiTheme="minorHAnsi" w:hAnsiTheme="minorHAnsi" w:cstheme="minorHAnsi"/>
          <w:lang w:val="pt-PT"/>
        </w:rPr>
        <w:t xml:space="preserve">, adução, </w:t>
      </w:r>
      <w:r w:rsidR="002A0FE6">
        <w:rPr>
          <w:rFonts w:asciiTheme="minorHAnsi" w:hAnsiTheme="minorHAnsi" w:cstheme="minorHAnsi"/>
          <w:lang w:val="pt-PT"/>
        </w:rPr>
        <w:t xml:space="preserve">armazenamento, </w:t>
      </w:r>
      <w:r w:rsidR="007C55D3" w:rsidRPr="00292532">
        <w:rPr>
          <w:rFonts w:asciiTheme="minorHAnsi" w:hAnsiTheme="minorHAnsi" w:cstheme="minorHAnsi"/>
          <w:lang w:val="pt-PT"/>
        </w:rPr>
        <w:t>tratamento e distribuição</w:t>
      </w:r>
      <w:r w:rsidR="00460154">
        <w:rPr>
          <w:rFonts w:asciiTheme="minorHAnsi" w:hAnsiTheme="minorHAnsi" w:cstheme="minorHAnsi"/>
          <w:lang w:val="pt-PT"/>
        </w:rPr>
        <w:t>;</w:t>
      </w:r>
    </w:p>
    <w:p w14:paraId="6C1EEAA2" w14:textId="598D6A1A" w:rsidR="002A0FE6" w:rsidRDefault="002A0FE6" w:rsidP="00ED270D">
      <w:pPr>
        <w:numPr>
          <w:ilvl w:val="0"/>
          <w:numId w:val="9"/>
        </w:numPr>
        <w:spacing w:before="120" w:after="100" w:afterAutospacing="1"/>
        <w:ind w:right="28"/>
        <w:rPr>
          <w:rFonts w:asciiTheme="minorHAnsi" w:hAnsiTheme="minorHAnsi" w:cstheme="minorHAnsi"/>
          <w:lang w:val="pt-PT"/>
        </w:rPr>
      </w:pPr>
      <w:r w:rsidRPr="002A0FE6">
        <w:rPr>
          <w:rFonts w:ascii="Arial" w:eastAsia="Calibri" w:hAnsi="Arial" w:cs="Times New Roman"/>
          <w:sz w:val="20"/>
          <w:lang w:val="pt-PT"/>
        </w:rPr>
        <w:t>Fortalecimento de sistemas de saneamento ao nível das vilas, incluindo</w:t>
      </w:r>
      <w:r w:rsidR="00A96778">
        <w:rPr>
          <w:rFonts w:ascii="Arial" w:eastAsia="Calibri" w:hAnsi="Arial" w:cs="Times New Roman"/>
          <w:sz w:val="20"/>
          <w:lang w:val="pt-PT"/>
        </w:rPr>
        <w:t xml:space="preserve"> estudos de engenharia e construção de sistemas de tratamento de lamas fecais e sistemas simplificados de rede de </w:t>
      </w:r>
      <w:proofErr w:type="spellStart"/>
      <w:r w:rsidR="00A96778">
        <w:rPr>
          <w:rFonts w:ascii="Arial" w:eastAsia="Calibri" w:hAnsi="Arial" w:cs="Times New Roman"/>
          <w:sz w:val="20"/>
          <w:lang w:val="pt-PT"/>
        </w:rPr>
        <w:t>esgostos</w:t>
      </w:r>
      <w:proofErr w:type="spellEnd"/>
      <w:r w:rsidR="00A96778">
        <w:rPr>
          <w:rFonts w:ascii="Arial" w:eastAsia="Calibri" w:hAnsi="Arial" w:cs="Times New Roman"/>
          <w:sz w:val="20"/>
          <w:lang w:val="pt-PT"/>
        </w:rPr>
        <w:t xml:space="preserve">, reabilitação e melhoramento de infraestruturas de saneamento escolar, incluindo gestão de saúde menstrual para raparigas, desenvolvimento de pacotes de negócios para engajar o sector privado na gestão de lamas fecais e campanhas de promoção de saneamento e higiene para </w:t>
      </w:r>
      <w:proofErr w:type="spellStart"/>
      <w:r w:rsidR="00A96778">
        <w:rPr>
          <w:rFonts w:ascii="Arial" w:eastAsia="Calibri" w:hAnsi="Arial" w:cs="Times New Roman"/>
          <w:sz w:val="20"/>
          <w:lang w:val="pt-PT"/>
        </w:rPr>
        <w:t>cirar</w:t>
      </w:r>
      <w:proofErr w:type="spellEnd"/>
      <w:r w:rsidR="00A96778">
        <w:rPr>
          <w:rFonts w:ascii="Arial" w:eastAsia="Calibri" w:hAnsi="Arial" w:cs="Times New Roman"/>
          <w:sz w:val="20"/>
          <w:lang w:val="pt-PT"/>
        </w:rPr>
        <w:t xml:space="preserve"> demanda de produtos e serviços de saneamento.</w:t>
      </w:r>
    </w:p>
    <w:p w14:paraId="11758038" w14:textId="7EE7B031" w:rsidR="007C55D3" w:rsidRPr="00292532" w:rsidRDefault="007C55D3" w:rsidP="00ED270D">
      <w:pPr>
        <w:numPr>
          <w:ilvl w:val="0"/>
          <w:numId w:val="9"/>
        </w:numPr>
        <w:spacing w:before="120" w:after="100" w:afterAutospacing="1"/>
        <w:ind w:right="28"/>
        <w:rPr>
          <w:rFonts w:asciiTheme="minorHAnsi" w:hAnsiTheme="minorHAnsi" w:cstheme="minorHAnsi"/>
          <w:lang w:val="pt-PT"/>
        </w:rPr>
      </w:pPr>
      <w:r w:rsidRPr="00292532">
        <w:rPr>
          <w:rFonts w:asciiTheme="minorHAnsi" w:hAnsiTheme="minorHAnsi" w:cstheme="minorHAnsi"/>
          <w:lang w:val="pt-PT"/>
        </w:rPr>
        <w:t>Desenho e implementação de contratos baseados no desempenho</w:t>
      </w:r>
      <w:r w:rsidR="002A0FE6">
        <w:rPr>
          <w:rStyle w:val="FootnoteReference"/>
          <w:rFonts w:asciiTheme="minorHAnsi" w:hAnsiTheme="minorHAnsi" w:cstheme="minorHAnsi"/>
          <w:lang w:val="pt-PT"/>
        </w:rPr>
        <w:footnoteReference w:id="2"/>
      </w:r>
      <w:r w:rsidRPr="00292532">
        <w:rPr>
          <w:rFonts w:asciiTheme="minorHAnsi" w:hAnsiTheme="minorHAnsi" w:cstheme="minorHAnsi"/>
          <w:lang w:val="pt-PT"/>
        </w:rPr>
        <w:t xml:space="preserve"> </w:t>
      </w:r>
      <w:r w:rsidR="00E50163" w:rsidRPr="00292532">
        <w:rPr>
          <w:rFonts w:asciiTheme="minorHAnsi" w:hAnsiTheme="minorHAnsi" w:cstheme="minorHAnsi"/>
          <w:lang w:val="pt-PT"/>
        </w:rPr>
        <w:t>d</w:t>
      </w:r>
      <w:r w:rsidR="00460154">
        <w:rPr>
          <w:rFonts w:asciiTheme="minorHAnsi" w:hAnsiTheme="minorHAnsi" w:cstheme="minorHAnsi"/>
          <w:lang w:val="pt-PT"/>
        </w:rPr>
        <w:t>os</w:t>
      </w:r>
      <w:r w:rsidR="00E50163" w:rsidRPr="00292532">
        <w:rPr>
          <w:rFonts w:asciiTheme="minorHAnsi" w:hAnsiTheme="minorHAnsi" w:cstheme="minorHAnsi"/>
          <w:lang w:val="pt-PT"/>
        </w:rPr>
        <w:t xml:space="preserve"> </w:t>
      </w:r>
      <w:r w:rsidRPr="00292532">
        <w:rPr>
          <w:rFonts w:asciiTheme="minorHAnsi" w:hAnsiTheme="minorHAnsi" w:cstheme="minorHAnsi"/>
          <w:lang w:val="pt-PT"/>
        </w:rPr>
        <w:t xml:space="preserve">operadores privados </w:t>
      </w:r>
      <w:r w:rsidR="00E50163" w:rsidRPr="00292532">
        <w:rPr>
          <w:rFonts w:asciiTheme="minorHAnsi" w:hAnsiTheme="minorHAnsi" w:cstheme="minorHAnsi"/>
          <w:lang w:val="pt-PT"/>
        </w:rPr>
        <w:t xml:space="preserve">para </w:t>
      </w:r>
      <w:r w:rsidRPr="00292532">
        <w:rPr>
          <w:rFonts w:asciiTheme="minorHAnsi" w:hAnsiTheme="minorHAnsi" w:cstheme="minorHAnsi"/>
          <w:lang w:val="pt-PT"/>
        </w:rPr>
        <w:t>providenciar serviços de abastecimento de água e saneamento sustentáveis, resilientes e inclusivos</w:t>
      </w:r>
      <w:r w:rsidR="00460154">
        <w:rPr>
          <w:rFonts w:asciiTheme="minorHAnsi" w:hAnsiTheme="minorHAnsi" w:cstheme="minorHAnsi"/>
          <w:lang w:val="pt-PT"/>
        </w:rPr>
        <w:t>;</w:t>
      </w:r>
    </w:p>
    <w:p w14:paraId="1700D498" w14:textId="3F55B798" w:rsidR="00573667" w:rsidRPr="00292532" w:rsidRDefault="00573667" w:rsidP="00573667">
      <w:pPr>
        <w:spacing w:before="120" w:after="100" w:afterAutospacing="1"/>
        <w:ind w:right="28"/>
        <w:rPr>
          <w:rFonts w:asciiTheme="minorHAnsi" w:hAnsiTheme="minorHAnsi" w:cstheme="minorHAnsi"/>
          <w:lang w:val="pt-PT"/>
        </w:rPr>
      </w:pPr>
      <w:r w:rsidRPr="00292532">
        <w:rPr>
          <w:rFonts w:asciiTheme="minorHAnsi" w:hAnsiTheme="minorHAnsi" w:cstheme="minorHAnsi"/>
          <w:lang w:val="pt-PT"/>
        </w:rPr>
        <w:t xml:space="preserve">Nesta componente serão feitas intervenções nos sistemas de abastecimento de água em </w:t>
      </w:r>
      <w:r w:rsidR="00A96778">
        <w:rPr>
          <w:rFonts w:asciiTheme="minorHAnsi" w:hAnsiTheme="minorHAnsi" w:cstheme="minorHAnsi"/>
          <w:lang w:val="pt-PT"/>
        </w:rPr>
        <w:t>18</w:t>
      </w:r>
      <w:r w:rsidRPr="00292532">
        <w:rPr>
          <w:rFonts w:asciiTheme="minorHAnsi" w:hAnsiTheme="minorHAnsi" w:cstheme="minorHAnsi"/>
          <w:lang w:val="pt-PT"/>
        </w:rPr>
        <w:t xml:space="preserve"> vilas, 1</w:t>
      </w:r>
      <w:r w:rsidR="00A96778">
        <w:rPr>
          <w:rFonts w:asciiTheme="minorHAnsi" w:hAnsiTheme="minorHAnsi" w:cstheme="minorHAnsi"/>
          <w:lang w:val="pt-PT"/>
        </w:rPr>
        <w:t>0</w:t>
      </w:r>
      <w:r w:rsidRPr="00292532">
        <w:rPr>
          <w:rFonts w:asciiTheme="minorHAnsi" w:hAnsiTheme="minorHAnsi" w:cstheme="minorHAnsi"/>
          <w:lang w:val="pt-PT"/>
        </w:rPr>
        <w:t xml:space="preserve"> na Província de Nampula </w:t>
      </w:r>
      <w:r w:rsidR="001A21CB" w:rsidRPr="00292532">
        <w:rPr>
          <w:rFonts w:asciiTheme="minorHAnsi" w:hAnsiTheme="minorHAnsi" w:cstheme="minorHAnsi"/>
          <w:lang w:val="pt-PT"/>
        </w:rPr>
        <w:t>(</w:t>
      </w:r>
      <w:r w:rsidR="001A21CB" w:rsidRPr="00292532">
        <w:rPr>
          <w:rFonts w:asciiTheme="minorHAnsi" w:hAnsiTheme="minorHAnsi" w:cstheme="minorHAnsi"/>
          <w:b/>
          <w:bCs/>
          <w:lang w:val="pt-PT"/>
        </w:rPr>
        <w:fldChar w:fldCharType="begin"/>
      </w:r>
      <w:r w:rsidR="001A21CB" w:rsidRPr="00292532">
        <w:rPr>
          <w:rFonts w:asciiTheme="minorHAnsi" w:hAnsiTheme="minorHAnsi" w:cstheme="minorHAnsi"/>
          <w:b/>
          <w:bCs/>
          <w:lang w:val="pt-PT"/>
        </w:rPr>
        <w:instrText xml:space="preserve"> REF _Ref73951500 \h </w:instrText>
      </w:r>
      <w:r w:rsidR="001A21CB" w:rsidRPr="00292532">
        <w:rPr>
          <w:rFonts w:asciiTheme="minorHAnsi" w:hAnsiTheme="minorHAnsi" w:cstheme="minorHAnsi"/>
          <w:b/>
          <w:bCs/>
          <w:lang w:val="pt-PT"/>
        </w:rPr>
      </w:r>
      <w:r w:rsidR="001A21CB" w:rsidRPr="00292532">
        <w:rPr>
          <w:rFonts w:asciiTheme="minorHAnsi" w:hAnsiTheme="minorHAnsi" w:cstheme="minorHAnsi"/>
          <w:b/>
          <w:bCs/>
          <w:lang w:val="pt-PT"/>
        </w:rPr>
        <w:fldChar w:fldCharType="separate"/>
      </w:r>
      <w:r w:rsidR="001A21CB" w:rsidRPr="00292532">
        <w:rPr>
          <w:b/>
          <w:bCs/>
          <w:lang w:val="pt-PT"/>
        </w:rPr>
        <w:t xml:space="preserve">Tabela </w:t>
      </w:r>
      <w:r w:rsidR="001A21CB" w:rsidRPr="00292532">
        <w:rPr>
          <w:b/>
          <w:bCs/>
          <w:noProof/>
          <w:lang w:val="pt-PT"/>
        </w:rPr>
        <w:t>1</w:t>
      </w:r>
      <w:r w:rsidR="001A21CB" w:rsidRPr="00292532">
        <w:rPr>
          <w:rFonts w:asciiTheme="minorHAnsi" w:hAnsiTheme="minorHAnsi" w:cstheme="minorHAnsi"/>
          <w:b/>
          <w:bCs/>
          <w:lang w:val="pt-PT"/>
        </w:rPr>
        <w:fldChar w:fldCharType="end"/>
      </w:r>
      <w:r w:rsidR="001A21CB" w:rsidRPr="00292532">
        <w:rPr>
          <w:rFonts w:asciiTheme="minorHAnsi" w:hAnsiTheme="minorHAnsi" w:cstheme="minorHAnsi"/>
          <w:lang w:val="pt-PT"/>
        </w:rPr>
        <w:t xml:space="preserve">) </w:t>
      </w:r>
      <w:r w:rsidRPr="00292532">
        <w:rPr>
          <w:rFonts w:asciiTheme="minorHAnsi" w:hAnsiTheme="minorHAnsi" w:cstheme="minorHAnsi"/>
          <w:lang w:val="pt-PT"/>
        </w:rPr>
        <w:t>e 8 na Província de Zambézia.</w:t>
      </w:r>
      <w:r w:rsidR="00087491" w:rsidRPr="00292532">
        <w:rPr>
          <w:rFonts w:asciiTheme="minorHAnsi" w:hAnsiTheme="minorHAnsi" w:cstheme="minorHAnsi"/>
          <w:lang w:val="pt-PT"/>
        </w:rPr>
        <w:t xml:space="preserve"> Na Províncias de Nampula, as </w:t>
      </w:r>
      <w:proofErr w:type="spellStart"/>
      <w:r w:rsidR="00087491" w:rsidRPr="00292532">
        <w:rPr>
          <w:rFonts w:asciiTheme="minorHAnsi" w:hAnsiTheme="minorHAnsi" w:cstheme="minorHAnsi"/>
          <w:lang w:val="pt-PT"/>
        </w:rPr>
        <w:t>actividades</w:t>
      </w:r>
      <w:proofErr w:type="spellEnd"/>
      <w:r w:rsidR="00087491" w:rsidRPr="00292532">
        <w:rPr>
          <w:rFonts w:asciiTheme="minorHAnsi" w:hAnsiTheme="minorHAnsi" w:cstheme="minorHAnsi"/>
          <w:lang w:val="pt-PT"/>
        </w:rPr>
        <w:t xml:space="preserve"> terão lugar em duas vilas de categoria A. Todas as outras intervenções serão em, Vilas tipo B que beneficiarão tanto da melhoria do sistema de abastecimento de água como de saneamento.</w:t>
      </w:r>
    </w:p>
    <w:p w14:paraId="4907AD69" w14:textId="558DD0CC" w:rsidR="00EE6F57" w:rsidRPr="00292532" w:rsidRDefault="00EE6F57" w:rsidP="00876367">
      <w:pPr>
        <w:pStyle w:val="Caption"/>
      </w:pPr>
      <w:bookmarkStart w:id="28" w:name="_Ref73951500"/>
      <w:bookmarkStart w:id="29" w:name="_Toc75438142"/>
      <w:bookmarkStart w:id="30" w:name="_Toc80380248"/>
      <w:r w:rsidRPr="00292532">
        <w:t xml:space="preserve">Tabela </w:t>
      </w:r>
      <w:r w:rsidRPr="00292532">
        <w:fldChar w:fldCharType="begin"/>
      </w:r>
      <w:r w:rsidRPr="00292532">
        <w:instrText xml:space="preserve"> SEQ Tabela \* ARABIC </w:instrText>
      </w:r>
      <w:r w:rsidRPr="00292532">
        <w:fldChar w:fldCharType="separate"/>
      </w:r>
      <w:r w:rsidR="000D7B05">
        <w:rPr>
          <w:noProof/>
        </w:rPr>
        <w:t>1</w:t>
      </w:r>
      <w:r w:rsidRPr="00292532">
        <w:fldChar w:fldCharType="end"/>
      </w:r>
      <w:bookmarkEnd w:id="28"/>
      <w:r w:rsidRPr="00292532">
        <w:t>: Vilas e Cidades Abrangidas pela Componente 1 na Província de Nampula</w:t>
      </w:r>
      <w:bookmarkEnd w:id="29"/>
      <w:bookmarkEnd w:id="30"/>
    </w:p>
    <w:tbl>
      <w:tblPr>
        <w:tblW w:w="6925" w:type="dxa"/>
        <w:tblLook w:val="04A0" w:firstRow="1" w:lastRow="0" w:firstColumn="1" w:lastColumn="0" w:noHBand="0" w:noVBand="1"/>
      </w:tblPr>
      <w:tblGrid>
        <w:gridCol w:w="1960"/>
        <w:gridCol w:w="1867"/>
        <w:gridCol w:w="1300"/>
        <w:gridCol w:w="1798"/>
      </w:tblGrid>
      <w:tr w:rsidR="0083784F" w:rsidRPr="00292532" w14:paraId="0C9BAA8F" w14:textId="77777777" w:rsidTr="00941934">
        <w:trPr>
          <w:trHeight w:val="300"/>
          <w:tblHeader/>
        </w:trPr>
        <w:tc>
          <w:tcPr>
            <w:tcW w:w="19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37A632BB" w14:textId="77777777" w:rsidR="0083784F" w:rsidRPr="004500AE" w:rsidRDefault="0083784F" w:rsidP="000574C7">
            <w:pPr>
              <w:spacing w:before="0" w:after="0"/>
              <w:jc w:val="center"/>
              <w:rPr>
                <w:rFonts w:eastAsia="Times New Roman" w:cs="Calibri"/>
                <w:color w:val="000000"/>
                <w:sz w:val="18"/>
                <w:szCs w:val="18"/>
                <w:lang w:val="pt-PT"/>
              </w:rPr>
            </w:pPr>
            <w:r w:rsidRPr="004500AE">
              <w:rPr>
                <w:rFonts w:eastAsia="Times New Roman" w:cs="Calibri"/>
                <w:color w:val="000000"/>
                <w:sz w:val="18"/>
                <w:szCs w:val="18"/>
                <w:lang w:val="pt-PT"/>
              </w:rPr>
              <w:t xml:space="preserve">Distrito </w:t>
            </w:r>
          </w:p>
        </w:tc>
        <w:tc>
          <w:tcPr>
            <w:tcW w:w="1867" w:type="dxa"/>
            <w:tcBorders>
              <w:top w:val="single" w:sz="4" w:space="0" w:color="auto"/>
              <w:left w:val="nil"/>
              <w:bottom w:val="single" w:sz="4" w:space="0" w:color="auto"/>
              <w:right w:val="single" w:sz="4" w:space="0" w:color="auto"/>
            </w:tcBorders>
            <w:shd w:val="clear" w:color="000000" w:fill="8EA9DB"/>
            <w:noWrap/>
            <w:vAlign w:val="bottom"/>
            <w:hideMark/>
          </w:tcPr>
          <w:p w14:paraId="7DF51083" w14:textId="77777777" w:rsidR="0083784F" w:rsidRPr="004500AE" w:rsidRDefault="0083784F" w:rsidP="000574C7">
            <w:pPr>
              <w:spacing w:before="0" w:after="0"/>
              <w:jc w:val="center"/>
              <w:rPr>
                <w:rFonts w:eastAsia="Times New Roman" w:cs="Calibri"/>
                <w:color w:val="000000"/>
                <w:sz w:val="18"/>
                <w:szCs w:val="18"/>
                <w:lang w:val="pt-PT"/>
              </w:rPr>
            </w:pPr>
            <w:r w:rsidRPr="004500AE">
              <w:rPr>
                <w:rFonts w:eastAsia="Times New Roman" w:cs="Calibri"/>
                <w:color w:val="000000"/>
                <w:sz w:val="18"/>
                <w:szCs w:val="18"/>
                <w:lang w:val="pt-PT"/>
              </w:rPr>
              <w:t>Local</w:t>
            </w:r>
          </w:p>
        </w:tc>
        <w:tc>
          <w:tcPr>
            <w:tcW w:w="1300" w:type="dxa"/>
            <w:tcBorders>
              <w:top w:val="single" w:sz="4" w:space="0" w:color="auto"/>
              <w:left w:val="nil"/>
              <w:bottom w:val="single" w:sz="4" w:space="0" w:color="auto"/>
              <w:right w:val="single" w:sz="4" w:space="0" w:color="auto"/>
            </w:tcBorders>
            <w:shd w:val="clear" w:color="000000" w:fill="8EA9DB"/>
            <w:noWrap/>
            <w:vAlign w:val="bottom"/>
            <w:hideMark/>
          </w:tcPr>
          <w:p w14:paraId="3D8776F6" w14:textId="77777777" w:rsidR="0083784F" w:rsidRPr="004500AE" w:rsidRDefault="0083784F" w:rsidP="000574C7">
            <w:pPr>
              <w:spacing w:before="0" w:after="0"/>
              <w:jc w:val="center"/>
              <w:rPr>
                <w:rFonts w:eastAsia="Times New Roman" w:cs="Calibri"/>
                <w:color w:val="000000"/>
                <w:sz w:val="18"/>
                <w:szCs w:val="18"/>
                <w:lang w:val="pt-PT"/>
              </w:rPr>
            </w:pPr>
            <w:r w:rsidRPr="004500AE">
              <w:rPr>
                <w:rFonts w:eastAsia="Times New Roman" w:cs="Calibri"/>
                <w:color w:val="000000"/>
                <w:sz w:val="18"/>
                <w:szCs w:val="18"/>
                <w:lang w:val="pt-PT"/>
              </w:rPr>
              <w:t xml:space="preserve">Categoria </w:t>
            </w:r>
          </w:p>
        </w:tc>
        <w:tc>
          <w:tcPr>
            <w:tcW w:w="1798" w:type="dxa"/>
            <w:tcBorders>
              <w:top w:val="single" w:sz="4" w:space="0" w:color="auto"/>
              <w:left w:val="nil"/>
              <w:bottom w:val="single" w:sz="4" w:space="0" w:color="auto"/>
              <w:right w:val="single" w:sz="4" w:space="0" w:color="auto"/>
            </w:tcBorders>
            <w:shd w:val="clear" w:color="000000" w:fill="8EA9DB"/>
            <w:noWrap/>
            <w:vAlign w:val="bottom"/>
            <w:hideMark/>
          </w:tcPr>
          <w:p w14:paraId="10EBA17F" w14:textId="77777777" w:rsidR="0083784F" w:rsidRPr="004500AE" w:rsidRDefault="0083784F" w:rsidP="000574C7">
            <w:pPr>
              <w:spacing w:before="0" w:after="0"/>
              <w:jc w:val="center"/>
              <w:rPr>
                <w:rFonts w:eastAsia="Times New Roman" w:cs="Calibri"/>
                <w:color w:val="000000"/>
                <w:sz w:val="18"/>
                <w:szCs w:val="18"/>
                <w:lang w:val="pt-PT"/>
              </w:rPr>
            </w:pPr>
            <w:proofErr w:type="spellStart"/>
            <w:r w:rsidRPr="004500AE">
              <w:rPr>
                <w:rFonts w:eastAsia="Times New Roman" w:cs="Calibri"/>
                <w:color w:val="000000"/>
                <w:sz w:val="18"/>
                <w:szCs w:val="18"/>
                <w:lang w:val="pt-PT"/>
              </w:rPr>
              <w:t>Actividade</w:t>
            </w:r>
            <w:proofErr w:type="spellEnd"/>
          </w:p>
        </w:tc>
      </w:tr>
      <w:tr w:rsidR="0083784F" w:rsidRPr="00292532" w14:paraId="27C04AF2" w14:textId="77777777" w:rsidTr="00941934">
        <w:trPr>
          <w:trHeight w:val="300"/>
        </w:trPr>
        <w:tc>
          <w:tcPr>
            <w:tcW w:w="1960" w:type="dxa"/>
            <w:tcBorders>
              <w:top w:val="nil"/>
              <w:left w:val="single" w:sz="4" w:space="0" w:color="auto"/>
              <w:bottom w:val="single" w:sz="4" w:space="0" w:color="auto"/>
              <w:right w:val="single" w:sz="4" w:space="0" w:color="auto"/>
            </w:tcBorders>
            <w:shd w:val="clear" w:color="000000" w:fill="FFF2CC"/>
            <w:noWrap/>
            <w:vAlign w:val="bottom"/>
            <w:hideMark/>
          </w:tcPr>
          <w:p w14:paraId="6893A585" w14:textId="77777777" w:rsidR="0083784F" w:rsidRPr="004500AE" w:rsidRDefault="0083784F" w:rsidP="000574C7">
            <w:pPr>
              <w:spacing w:before="0" w:after="0"/>
              <w:jc w:val="left"/>
              <w:rPr>
                <w:rFonts w:eastAsia="Times New Roman" w:cs="Calibri"/>
                <w:color w:val="000000"/>
                <w:sz w:val="18"/>
                <w:szCs w:val="18"/>
                <w:lang w:val="pt-PT"/>
              </w:rPr>
            </w:pPr>
            <w:proofErr w:type="spellStart"/>
            <w:r w:rsidRPr="004500AE">
              <w:rPr>
                <w:rFonts w:eastAsia="Times New Roman" w:cs="Calibri"/>
                <w:color w:val="000000"/>
                <w:sz w:val="18"/>
                <w:szCs w:val="18"/>
                <w:lang w:val="pt-PT"/>
              </w:rPr>
              <w:t>Ribauè</w:t>
            </w:r>
            <w:proofErr w:type="spellEnd"/>
          </w:p>
        </w:tc>
        <w:tc>
          <w:tcPr>
            <w:tcW w:w="1867" w:type="dxa"/>
            <w:tcBorders>
              <w:top w:val="nil"/>
              <w:left w:val="nil"/>
              <w:bottom w:val="single" w:sz="4" w:space="0" w:color="auto"/>
              <w:right w:val="single" w:sz="4" w:space="0" w:color="auto"/>
            </w:tcBorders>
            <w:shd w:val="clear" w:color="000000" w:fill="FFF2CC"/>
            <w:noWrap/>
            <w:vAlign w:val="bottom"/>
            <w:hideMark/>
          </w:tcPr>
          <w:p w14:paraId="0341D196"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Ribaué</w:t>
            </w:r>
          </w:p>
        </w:tc>
        <w:tc>
          <w:tcPr>
            <w:tcW w:w="1300" w:type="dxa"/>
            <w:tcBorders>
              <w:top w:val="nil"/>
              <w:left w:val="nil"/>
              <w:bottom w:val="single" w:sz="4" w:space="0" w:color="auto"/>
              <w:right w:val="single" w:sz="4" w:space="0" w:color="auto"/>
            </w:tcBorders>
            <w:shd w:val="clear" w:color="000000" w:fill="FFF2CC"/>
            <w:noWrap/>
            <w:vAlign w:val="bottom"/>
            <w:hideMark/>
          </w:tcPr>
          <w:p w14:paraId="0F121B0C"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Vila A</w:t>
            </w:r>
          </w:p>
        </w:tc>
        <w:tc>
          <w:tcPr>
            <w:tcW w:w="1798" w:type="dxa"/>
            <w:tcBorders>
              <w:top w:val="nil"/>
              <w:left w:val="nil"/>
              <w:bottom w:val="single" w:sz="4" w:space="0" w:color="auto"/>
              <w:right w:val="single" w:sz="4" w:space="0" w:color="auto"/>
            </w:tcBorders>
            <w:shd w:val="clear" w:color="000000" w:fill="FFF2CC"/>
            <w:noWrap/>
            <w:vAlign w:val="bottom"/>
            <w:hideMark/>
          </w:tcPr>
          <w:p w14:paraId="44A44DA3"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 xml:space="preserve">Secundária </w:t>
            </w:r>
          </w:p>
        </w:tc>
      </w:tr>
      <w:tr w:rsidR="0083784F" w:rsidRPr="00292532" w14:paraId="0C48EBB7" w14:textId="77777777" w:rsidTr="00941934">
        <w:trPr>
          <w:trHeight w:val="300"/>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1707EEF9" w14:textId="77777777" w:rsidR="0083784F" w:rsidRPr="004500AE" w:rsidRDefault="0083784F" w:rsidP="000574C7">
            <w:pPr>
              <w:spacing w:before="0" w:after="0"/>
              <w:jc w:val="left"/>
              <w:rPr>
                <w:rFonts w:eastAsia="Times New Roman" w:cs="Calibri"/>
                <w:color w:val="000000"/>
                <w:sz w:val="18"/>
                <w:szCs w:val="18"/>
                <w:lang w:val="pt-PT"/>
              </w:rPr>
            </w:pPr>
            <w:proofErr w:type="spellStart"/>
            <w:r w:rsidRPr="004500AE">
              <w:rPr>
                <w:rFonts w:eastAsia="Times New Roman" w:cs="Calibri"/>
                <w:color w:val="000000"/>
                <w:sz w:val="18"/>
                <w:szCs w:val="18"/>
                <w:lang w:val="pt-PT"/>
              </w:rPr>
              <w:t>Erati</w:t>
            </w:r>
            <w:proofErr w:type="spellEnd"/>
            <w:r w:rsidRPr="004500AE">
              <w:rPr>
                <w:rFonts w:eastAsia="Times New Roman" w:cs="Calibri"/>
                <w:color w:val="000000"/>
                <w:sz w:val="18"/>
                <w:szCs w:val="18"/>
                <w:lang w:val="pt-PT"/>
              </w:rPr>
              <w:t xml:space="preserve"> </w:t>
            </w:r>
          </w:p>
        </w:tc>
        <w:tc>
          <w:tcPr>
            <w:tcW w:w="1867" w:type="dxa"/>
            <w:tcBorders>
              <w:top w:val="nil"/>
              <w:left w:val="nil"/>
              <w:bottom w:val="single" w:sz="4" w:space="0" w:color="auto"/>
              <w:right w:val="single" w:sz="4" w:space="0" w:color="auto"/>
            </w:tcBorders>
            <w:shd w:val="clear" w:color="auto" w:fill="auto"/>
            <w:noWrap/>
            <w:vAlign w:val="bottom"/>
            <w:hideMark/>
          </w:tcPr>
          <w:p w14:paraId="26677DC2" w14:textId="77777777" w:rsidR="0083784F" w:rsidRPr="004500AE" w:rsidRDefault="0083784F" w:rsidP="000574C7">
            <w:pPr>
              <w:spacing w:before="0" w:after="0"/>
              <w:jc w:val="left"/>
              <w:rPr>
                <w:rFonts w:eastAsia="Times New Roman" w:cs="Calibri"/>
                <w:color w:val="000000"/>
                <w:sz w:val="18"/>
                <w:szCs w:val="18"/>
                <w:lang w:val="pt-PT"/>
              </w:rPr>
            </w:pPr>
            <w:proofErr w:type="spellStart"/>
            <w:r w:rsidRPr="004500AE">
              <w:rPr>
                <w:rFonts w:eastAsia="Times New Roman" w:cs="Calibri"/>
                <w:color w:val="000000"/>
                <w:sz w:val="18"/>
                <w:szCs w:val="18"/>
                <w:lang w:val="pt-PT"/>
              </w:rPr>
              <w:t>Namapa</w:t>
            </w:r>
            <w:proofErr w:type="spellEnd"/>
          </w:p>
        </w:tc>
        <w:tc>
          <w:tcPr>
            <w:tcW w:w="1300" w:type="dxa"/>
            <w:tcBorders>
              <w:top w:val="nil"/>
              <w:left w:val="nil"/>
              <w:bottom w:val="single" w:sz="4" w:space="0" w:color="auto"/>
              <w:right w:val="single" w:sz="4" w:space="0" w:color="auto"/>
            </w:tcBorders>
            <w:shd w:val="clear" w:color="auto" w:fill="auto"/>
            <w:noWrap/>
            <w:vAlign w:val="bottom"/>
            <w:hideMark/>
          </w:tcPr>
          <w:p w14:paraId="6B5030E6"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Vila B</w:t>
            </w:r>
          </w:p>
        </w:tc>
        <w:tc>
          <w:tcPr>
            <w:tcW w:w="1798" w:type="dxa"/>
            <w:tcBorders>
              <w:top w:val="nil"/>
              <w:left w:val="nil"/>
              <w:bottom w:val="single" w:sz="4" w:space="0" w:color="auto"/>
              <w:right w:val="single" w:sz="4" w:space="0" w:color="auto"/>
            </w:tcBorders>
            <w:shd w:val="clear" w:color="auto" w:fill="auto"/>
            <w:noWrap/>
            <w:vAlign w:val="bottom"/>
            <w:hideMark/>
          </w:tcPr>
          <w:p w14:paraId="7E70D4F2"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 xml:space="preserve">Secundária </w:t>
            </w:r>
          </w:p>
        </w:tc>
      </w:tr>
      <w:tr w:rsidR="0083784F" w:rsidRPr="00292532" w14:paraId="5F09A654" w14:textId="77777777" w:rsidTr="00941934">
        <w:trPr>
          <w:trHeight w:val="300"/>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64878F5D"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Malema</w:t>
            </w:r>
          </w:p>
        </w:tc>
        <w:tc>
          <w:tcPr>
            <w:tcW w:w="1867" w:type="dxa"/>
            <w:tcBorders>
              <w:top w:val="nil"/>
              <w:left w:val="nil"/>
              <w:bottom w:val="single" w:sz="4" w:space="0" w:color="auto"/>
              <w:right w:val="single" w:sz="4" w:space="0" w:color="auto"/>
            </w:tcBorders>
            <w:shd w:val="clear" w:color="auto" w:fill="auto"/>
            <w:noWrap/>
            <w:vAlign w:val="bottom"/>
            <w:hideMark/>
          </w:tcPr>
          <w:p w14:paraId="3F93D25B"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Malema</w:t>
            </w:r>
          </w:p>
        </w:tc>
        <w:tc>
          <w:tcPr>
            <w:tcW w:w="1300" w:type="dxa"/>
            <w:tcBorders>
              <w:top w:val="nil"/>
              <w:left w:val="nil"/>
              <w:bottom w:val="single" w:sz="4" w:space="0" w:color="auto"/>
              <w:right w:val="single" w:sz="4" w:space="0" w:color="auto"/>
            </w:tcBorders>
            <w:shd w:val="clear" w:color="auto" w:fill="auto"/>
            <w:noWrap/>
            <w:vAlign w:val="bottom"/>
            <w:hideMark/>
          </w:tcPr>
          <w:p w14:paraId="24F9B24B"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Vila B</w:t>
            </w:r>
          </w:p>
        </w:tc>
        <w:tc>
          <w:tcPr>
            <w:tcW w:w="1798" w:type="dxa"/>
            <w:tcBorders>
              <w:top w:val="nil"/>
              <w:left w:val="nil"/>
              <w:bottom w:val="single" w:sz="4" w:space="0" w:color="auto"/>
              <w:right w:val="single" w:sz="4" w:space="0" w:color="auto"/>
            </w:tcBorders>
            <w:shd w:val="clear" w:color="auto" w:fill="auto"/>
            <w:noWrap/>
            <w:vAlign w:val="bottom"/>
            <w:hideMark/>
          </w:tcPr>
          <w:p w14:paraId="1A39BACB"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 xml:space="preserve">Secundária </w:t>
            </w:r>
          </w:p>
        </w:tc>
      </w:tr>
      <w:tr w:rsidR="0083784F" w:rsidRPr="00292532" w14:paraId="73725C3D" w14:textId="77777777" w:rsidTr="00941934">
        <w:trPr>
          <w:trHeight w:val="300"/>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103EE000"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 xml:space="preserve">Malema </w:t>
            </w:r>
          </w:p>
        </w:tc>
        <w:tc>
          <w:tcPr>
            <w:tcW w:w="1867" w:type="dxa"/>
            <w:tcBorders>
              <w:top w:val="nil"/>
              <w:left w:val="nil"/>
              <w:bottom w:val="single" w:sz="4" w:space="0" w:color="auto"/>
              <w:right w:val="single" w:sz="4" w:space="0" w:color="auto"/>
            </w:tcBorders>
            <w:shd w:val="clear" w:color="auto" w:fill="auto"/>
            <w:noWrap/>
            <w:vAlign w:val="bottom"/>
            <w:hideMark/>
          </w:tcPr>
          <w:p w14:paraId="572420A9" w14:textId="77777777" w:rsidR="0083784F" w:rsidRPr="004500AE" w:rsidRDefault="0083784F" w:rsidP="000574C7">
            <w:pPr>
              <w:spacing w:before="0" w:after="0"/>
              <w:jc w:val="left"/>
              <w:rPr>
                <w:rFonts w:eastAsia="Times New Roman" w:cs="Calibri"/>
                <w:color w:val="000000"/>
                <w:sz w:val="18"/>
                <w:szCs w:val="18"/>
                <w:lang w:val="pt-PT"/>
              </w:rPr>
            </w:pPr>
            <w:proofErr w:type="spellStart"/>
            <w:r w:rsidRPr="004500AE">
              <w:rPr>
                <w:rFonts w:eastAsia="Times New Roman" w:cs="Calibri"/>
                <w:color w:val="000000"/>
                <w:sz w:val="18"/>
                <w:szCs w:val="18"/>
                <w:lang w:val="pt-PT"/>
              </w:rPr>
              <w:t>Chuhulo</w:t>
            </w:r>
            <w:proofErr w:type="spellEnd"/>
          </w:p>
        </w:tc>
        <w:tc>
          <w:tcPr>
            <w:tcW w:w="1300" w:type="dxa"/>
            <w:tcBorders>
              <w:top w:val="nil"/>
              <w:left w:val="nil"/>
              <w:bottom w:val="single" w:sz="4" w:space="0" w:color="auto"/>
              <w:right w:val="single" w:sz="4" w:space="0" w:color="auto"/>
            </w:tcBorders>
            <w:shd w:val="clear" w:color="auto" w:fill="auto"/>
            <w:noWrap/>
            <w:vAlign w:val="bottom"/>
            <w:hideMark/>
          </w:tcPr>
          <w:p w14:paraId="2005EA3C"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Vila B</w:t>
            </w:r>
          </w:p>
        </w:tc>
        <w:tc>
          <w:tcPr>
            <w:tcW w:w="1798" w:type="dxa"/>
            <w:tcBorders>
              <w:top w:val="nil"/>
              <w:left w:val="nil"/>
              <w:bottom w:val="single" w:sz="4" w:space="0" w:color="auto"/>
              <w:right w:val="single" w:sz="4" w:space="0" w:color="auto"/>
            </w:tcBorders>
            <w:shd w:val="clear" w:color="auto" w:fill="auto"/>
            <w:noWrap/>
            <w:vAlign w:val="bottom"/>
            <w:hideMark/>
          </w:tcPr>
          <w:p w14:paraId="1DF7B66C"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 xml:space="preserve">Secundária </w:t>
            </w:r>
          </w:p>
        </w:tc>
      </w:tr>
      <w:tr w:rsidR="0083784F" w:rsidRPr="00292532" w14:paraId="7C77C979" w14:textId="77777777" w:rsidTr="00941934">
        <w:trPr>
          <w:trHeight w:val="300"/>
        </w:trPr>
        <w:tc>
          <w:tcPr>
            <w:tcW w:w="1960" w:type="dxa"/>
            <w:tcBorders>
              <w:top w:val="nil"/>
              <w:left w:val="single" w:sz="4" w:space="0" w:color="auto"/>
              <w:bottom w:val="single" w:sz="4" w:space="0" w:color="auto"/>
              <w:right w:val="single" w:sz="4" w:space="0" w:color="auto"/>
            </w:tcBorders>
            <w:shd w:val="clear" w:color="000000" w:fill="FFF2CC"/>
            <w:noWrap/>
            <w:vAlign w:val="bottom"/>
            <w:hideMark/>
          </w:tcPr>
          <w:p w14:paraId="0549947D"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Meconta</w:t>
            </w:r>
          </w:p>
        </w:tc>
        <w:tc>
          <w:tcPr>
            <w:tcW w:w="1867" w:type="dxa"/>
            <w:tcBorders>
              <w:top w:val="nil"/>
              <w:left w:val="nil"/>
              <w:bottom w:val="single" w:sz="4" w:space="0" w:color="auto"/>
              <w:right w:val="single" w:sz="4" w:space="0" w:color="auto"/>
            </w:tcBorders>
            <w:shd w:val="clear" w:color="000000" w:fill="FFF2CC"/>
            <w:noWrap/>
            <w:vAlign w:val="bottom"/>
            <w:hideMark/>
          </w:tcPr>
          <w:p w14:paraId="72D22A7E" w14:textId="77777777" w:rsidR="0083784F" w:rsidRPr="004500AE" w:rsidRDefault="0083784F" w:rsidP="000574C7">
            <w:pPr>
              <w:spacing w:before="0" w:after="0"/>
              <w:jc w:val="left"/>
              <w:rPr>
                <w:rFonts w:eastAsia="Times New Roman" w:cs="Calibri"/>
                <w:color w:val="000000"/>
                <w:sz w:val="18"/>
                <w:szCs w:val="18"/>
                <w:lang w:val="pt-PT"/>
              </w:rPr>
            </w:pPr>
            <w:proofErr w:type="spellStart"/>
            <w:r w:rsidRPr="004500AE">
              <w:rPr>
                <w:rFonts w:eastAsia="Times New Roman" w:cs="Calibri"/>
                <w:color w:val="000000"/>
                <w:sz w:val="18"/>
                <w:szCs w:val="18"/>
                <w:lang w:val="pt-PT"/>
              </w:rPr>
              <w:t>Namialo</w:t>
            </w:r>
            <w:proofErr w:type="spellEnd"/>
          </w:p>
        </w:tc>
        <w:tc>
          <w:tcPr>
            <w:tcW w:w="1300" w:type="dxa"/>
            <w:tcBorders>
              <w:top w:val="nil"/>
              <w:left w:val="nil"/>
              <w:bottom w:val="single" w:sz="4" w:space="0" w:color="auto"/>
              <w:right w:val="single" w:sz="4" w:space="0" w:color="auto"/>
            </w:tcBorders>
            <w:shd w:val="clear" w:color="000000" w:fill="FFF2CC"/>
            <w:noWrap/>
            <w:vAlign w:val="bottom"/>
            <w:hideMark/>
          </w:tcPr>
          <w:p w14:paraId="03B50EA0"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Vila A</w:t>
            </w:r>
          </w:p>
        </w:tc>
        <w:tc>
          <w:tcPr>
            <w:tcW w:w="1798" w:type="dxa"/>
            <w:tcBorders>
              <w:top w:val="nil"/>
              <w:left w:val="nil"/>
              <w:bottom w:val="single" w:sz="4" w:space="0" w:color="auto"/>
              <w:right w:val="single" w:sz="4" w:space="0" w:color="auto"/>
            </w:tcBorders>
            <w:shd w:val="clear" w:color="000000" w:fill="FFF2CC"/>
            <w:noWrap/>
            <w:vAlign w:val="bottom"/>
            <w:hideMark/>
          </w:tcPr>
          <w:p w14:paraId="53FEC480"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 xml:space="preserve">Secundária </w:t>
            </w:r>
          </w:p>
        </w:tc>
      </w:tr>
      <w:tr w:rsidR="0083784F" w:rsidRPr="00292532" w14:paraId="50399846" w14:textId="77777777" w:rsidTr="00941934">
        <w:trPr>
          <w:trHeight w:val="300"/>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1A79201E" w14:textId="77777777" w:rsidR="0083784F" w:rsidRPr="004500AE" w:rsidRDefault="0083784F" w:rsidP="000574C7">
            <w:pPr>
              <w:spacing w:before="0" w:after="0"/>
              <w:jc w:val="left"/>
              <w:rPr>
                <w:rFonts w:eastAsia="Times New Roman" w:cs="Calibri"/>
                <w:color w:val="000000"/>
                <w:sz w:val="18"/>
                <w:szCs w:val="18"/>
                <w:lang w:val="pt-PT"/>
              </w:rPr>
            </w:pPr>
            <w:proofErr w:type="spellStart"/>
            <w:r w:rsidRPr="004500AE">
              <w:rPr>
                <w:rFonts w:eastAsia="Times New Roman" w:cs="Calibri"/>
                <w:color w:val="000000"/>
                <w:sz w:val="18"/>
                <w:szCs w:val="18"/>
                <w:lang w:val="pt-PT"/>
              </w:rPr>
              <w:t>Nametil</w:t>
            </w:r>
            <w:proofErr w:type="spellEnd"/>
          </w:p>
        </w:tc>
        <w:tc>
          <w:tcPr>
            <w:tcW w:w="1867" w:type="dxa"/>
            <w:tcBorders>
              <w:top w:val="nil"/>
              <w:left w:val="nil"/>
              <w:bottom w:val="single" w:sz="4" w:space="0" w:color="auto"/>
              <w:right w:val="single" w:sz="4" w:space="0" w:color="auto"/>
            </w:tcBorders>
            <w:shd w:val="clear" w:color="auto" w:fill="auto"/>
            <w:noWrap/>
            <w:vAlign w:val="bottom"/>
            <w:hideMark/>
          </w:tcPr>
          <w:p w14:paraId="33D1EDCD" w14:textId="77777777" w:rsidR="0083784F" w:rsidRPr="004500AE" w:rsidRDefault="0083784F" w:rsidP="000574C7">
            <w:pPr>
              <w:spacing w:before="0" w:after="0"/>
              <w:jc w:val="left"/>
              <w:rPr>
                <w:rFonts w:eastAsia="Times New Roman" w:cs="Calibri"/>
                <w:color w:val="000000"/>
                <w:sz w:val="18"/>
                <w:szCs w:val="18"/>
                <w:lang w:val="pt-PT"/>
              </w:rPr>
            </w:pPr>
            <w:proofErr w:type="spellStart"/>
            <w:r w:rsidRPr="004500AE">
              <w:rPr>
                <w:rFonts w:eastAsia="Times New Roman" w:cs="Calibri"/>
                <w:color w:val="000000"/>
                <w:sz w:val="18"/>
                <w:szCs w:val="18"/>
                <w:lang w:val="pt-PT"/>
              </w:rPr>
              <w:t>Nametil</w:t>
            </w:r>
            <w:proofErr w:type="spellEnd"/>
          </w:p>
        </w:tc>
        <w:tc>
          <w:tcPr>
            <w:tcW w:w="1300" w:type="dxa"/>
            <w:tcBorders>
              <w:top w:val="nil"/>
              <w:left w:val="nil"/>
              <w:bottom w:val="single" w:sz="4" w:space="0" w:color="auto"/>
              <w:right w:val="single" w:sz="4" w:space="0" w:color="auto"/>
            </w:tcBorders>
            <w:shd w:val="clear" w:color="auto" w:fill="auto"/>
            <w:noWrap/>
            <w:vAlign w:val="bottom"/>
            <w:hideMark/>
          </w:tcPr>
          <w:p w14:paraId="179C8F37"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Vila B</w:t>
            </w:r>
          </w:p>
        </w:tc>
        <w:tc>
          <w:tcPr>
            <w:tcW w:w="1798" w:type="dxa"/>
            <w:tcBorders>
              <w:top w:val="nil"/>
              <w:left w:val="nil"/>
              <w:bottom w:val="single" w:sz="4" w:space="0" w:color="auto"/>
              <w:right w:val="single" w:sz="4" w:space="0" w:color="auto"/>
            </w:tcBorders>
            <w:shd w:val="clear" w:color="auto" w:fill="auto"/>
            <w:noWrap/>
            <w:vAlign w:val="bottom"/>
            <w:hideMark/>
          </w:tcPr>
          <w:p w14:paraId="6C2EFE3B"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 xml:space="preserve">Secundária </w:t>
            </w:r>
          </w:p>
        </w:tc>
      </w:tr>
      <w:tr w:rsidR="0083784F" w:rsidRPr="00292532" w14:paraId="52F674C4" w14:textId="77777777" w:rsidTr="00941934">
        <w:trPr>
          <w:trHeight w:val="300"/>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4C939F61"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lastRenderedPageBreak/>
              <w:t>Moma</w:t>
            </w:r>
          </w:p>
        </w:tc>
        <w:tc>
          <w:tcPr>
            <w:tcW w:w="1867" w:type="dxa"/>
            <w:tcBorders>
              <w:top w:val="nil"/>
              <w:left w:val="nil"/>
              <w:bottom w:val="single" w:sz="4" w:space="0" w:color="auto"/>
              <w:right w:val="single" w:sz="4" w:space="0" w:color="auto"/>
            </w:tcBorders>
            <w:shd w:val="clear" w:color="auto" w:fill="auto"/>
            <w:noWrap/>
            <w:vAlign w:val="bottom"/>
            <w:hideMark/>
          </w:tcPr>
          <w:p w14:paraId="56561FEF"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Moma</w:t>
            </w:r>
          </w:p>
        </w:tc>
        <w:tc>
          <w:tcPr>
            <w:tcW w:w="1300" w:type="dxa"/>
            <w:tcBorders>
              <w:top w:val="nil"/>
              <w:left w:val="nil"/>
              <w:bottom w:val="single" w:sz="4" w:space="0" w:color="auto"/>
              <w:right w:val="single" w:sz="4" w:space="0" w:color="auto"/>
            </w:tcBorders>
            <w:shd w:val="clear" w:color="auto" w:fill="auto"/>
            <w:noWrap/>
            <w:vAlign w:val="bottom"/>
            <w:hideMark/>
          </w:tcPr>
          <w:p w14:paraId="4113E98B"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Vila B</w:t>
            </w:r>
          </w:p>
        </w:tc>
        <w:tc>
          <w:tcPr>
            <w:tcW w:w="1798" w:type="dxa"/>
            <w:tcBorders>
              <w:top w:val="nil"/>
              <w:left w:val="nil"/>
              <w:bottom w:val="single" w:sz="4" w:space="0" w:color="auto"/>
              <w:right w:val="single" w:sz="4" w:space="0" w:color="auto"/>
            </w:tcBorders>
            <w:shd w:val="clear" w:color="auto" w:fill="auto"/>
            <w:noWrap/>
            <w:vAlign w:val="bottom"/>
            <w:hideMark/>
          </w:tcPr>
          <w:p w14:paraId="33F34B8B"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 xml:space="preserve">Secundária </w:t>
            </w:r>
          </w:p>
        </w:tc>
      </w:tr>
      <w:tr w:rsidR="0083784F" w:rsidRPr="00292532" w14:paraId="0D2682D2" w14:textId="77777777" w:rsidTr="00941934">
        <w:trPr>
          <w:trHeight w:val="300"/>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2F50043A" w14:textId="77777777" w:rsidR="0083784F" w:rsidRPr="004500AE" w:rsidRDefault="0083784F" w:rsidP="000574C7">
            <w:pPr>
              <w:spacing w:before="0" w:after="0"/>
              <w:jc w:val="left"/>
              <w:rPr>
                <w:rFonts w:eastAsia="Times New Roman" w:cs="Calibri"/>
                <w:color w:val="000000"/>
                <w:sz w:val="18"/>
                <w:szCs w:val="18"/>
                <w:lang w:val="pt-PT"/>
              </w:rPr>
            </w:pPr>
            <w:proofErr w:type="spellStart"/>
            <w:r w:rsidRPr="004500AE">
              <w:rPr>
                <w:rFonts w:eastAsia="Times New Roman" w:cs="Calibri"/>
                <w:color w:val="000000"/>
                <w:sz w:val="18"/>
                <w:szCs w:val="18"/>
                <w:lang w:val="pt-PT"/>
              </w:rPr>
              <w:t>Rapale</w:t>
            </w:r>
            <w:proofErr w:type="spellEnd"/>
          </w:p>
        </w:tc>
        <w:tc>
          <w:tcPr>
            <w:tcW w:w="1867" w:type="dxa"/>
            <w:tcBorders>
              <w:top w:val="nil"/>
              <w:left w:val="nil"/>
              <w:bottom w:val="single" w:sz="4" w:space="0" w:color="auto"/>
              <w:right w:val="single" w:sz="4" w:space="0" w:color="auto"/>
            </w:tcBorders>
            <w:shd w:val="clear" w:color="auto" w:fill="auto"/>
            <w:noWrap/>
            <w:vAlign w:val="bottom"/>
            <w:hideMark/>
          </w:tcPr>
          <w:p w14:paraId="2BBEF279" w14:textId="77777777" w:rsidR="0083784F" w:rsidRPr="004500AE" w:rsidRDefault="0083784F" w:rsidP="000574C7">
            <w:pPr>
              <w:spacing w:before="0" w:after="0"/>
              <w:jc w:val="left"/>
              <w:rPr>
                <w:rFonts w:eastAsia="Times New Roman" w:cs="Calibri"/>
                <w:color w:val="000000"/>
                <w:sz w:val="18"/>
                <w:szCs w:val="18"/>
                <w:lang w:val="pt-PT"/>
              </w:rPr>
            </w:pPr>
            <w:proofErr w:type="spellStart"/>
            <w:r w:rsidRPr="004500AE">
              <w:rPr>
                <w:rFonts w:eastAsia="Times New Roman" w:cs="Calibri"/>
                <w:color w:val="000000"/>
                <w:sz w:val="18"/>
                <w:szCs w:val="18"/>
                <w:lang w:val="pt-PT"/>
              </w:rPr>
              <w:t>Rapale</w:t>
            </w:r>
            <w:proofErr w:type="spellEnd"/>
          </w:p>
        </w:tc>
        <w:tc>
          <w:tcPr>
            <w:tcW w:w="1300" w:type="dxa"/>
            <w:tcBorders>
              <w:top w:val="nil"/>
              <w:left w:val="nil"/>
              <w:bottom w:val="single" w:sz="4" w:space="0" w:color="auto"/>
              <w:right w:val="single" w:sz="4" w:space="0" w:color="auto"/>
            </w:tcBorders>
            <w:shd w:val="clear" w:color="auto" w:fill="auto"/>
            <w:noWrap/>
            <w:vAlign w:val="bottom"/>
            <w:hideMark/>
          </w:tcPr>
          <w:p w14:paraId="5768D7C9"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Vila B</w:t>
            </w:r>
          </w:p>
        </w:tc>
        <w:tc>
          <w:tcPr>
            <w:tcW w:w="1798" w:type="dxa"/>
            <w:tcBorders>
              <w:top w:val="nil"/>
              <w:left w:val="nil"/>
              <w:bottom w:val="single" w:sz="4" w:space="0" w:color="auto"/>
              <w:right w:val="single" w:sz="4" w:space="0" w:color="auto"/>
            </w:tcBorders>
            <w:shd w:val="clear" w:color="auto" w:fill="auto"/>
            <w:noWrap/>
            <w:vAlign w:val="bottom"/>
            <w:hideMark/>
          </w:tcPr>
          <w:p w14:paraId="6C2B0CF6"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 xml:space="preserve">Secundária </w:t>
            </w:r>
          </w:p>
        </w:tc>
      </w:tr>
      <w:tr w:rsidR="0083784F" w:rsidRPr="00292532" w14:paraId="0E26D832" w14:textId="77777777" w:rsidTr="00941934">
        <w:trPr>
          <w:trHeight w:val="300"/>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19756BFD" w14:textId="77777777" w:rsidR="0083784F" w:rsidRPr="004500AE" w:rsidRDefault="0083784F" w:rsidP="000574C7">
            <w:pPr>
              <w:spacing w:before="0" w:after="0"/>
              <w:jc w:val="left"/>
              <w:rPr>
                <w:rFonts w:eastAsia="Times New Roman" w:cs="Calibri"/>
                <w:color w:val="000000"/>
                <w:sz w:val="18"/>
                <w:szCs w:val="18"/>
                <w:lang w:val="pt-PT"/>
              </w:rPr>
            </w:pPr>
            <w:proofErr w:type="spellStart"/>
            <w:r w:rsidRPr="004500AE">
              <w:rPr>
                <w:rFonts w:eastAsia="Times New Roman" w:cs="Calibri"/>
                <w:color w:val="000000"/>
                <w:sz w:val="18"/>
                <w:szCs w:val="18"/>
                <w:lang w:val="pt-PT"/>
              </w:rPr>
              <w:t>Nacaroa</w:t>
            </w:r>
            <w:proofErr w:type="spellEnd"/>
          </w:p>
        </w:tc>
        <w:tc>
          <w:tcPr>
            <w:tcW w:w="1867" w:type="dxa"/>
            <w:tcBorders>
              <w:top w:val="nil"/>
              <w:left w:val="nil"/>
              <w:bottom w:val="single" w:sz="4" w:space="0" w:color="auto"/>
              <w:right w:val="single" w:sz="4" w:space="0" w:color="auto"/>
            </w:tcBorders>
            <w:shd w:val="clear" w:color="auto" w:fill="auto"/>
            <w:noWrap/>
            <w:vAlign w:val="bottom"/>
            <w:hideMark/>
          </w:tcPr>
          <w:p w14:paraId="48BC7724" w14:textId="77777777" w:rsidR="0083784F" w:rsidRPr="004500AE" w:rsidRDefault="0083784F" w:rsidP="000574C7">
            <w:pPr>
              <w:spacing w:before="0" w:after="0"/>
              <w:jc w:val="left"/>
              <w:rPr>
                <w:rFonts w:eastAsia="Times New Roman" w:cs="Calibri"/>
                <w:color w:val="000000"/>
                <w:sz w:val="18"/>
                <w:szCs w:val="18"/>
                <w:lang w:val="pt-PT"/>
              </w:rPr>
            </w:pPr>
            <w:proofErr w:type="spellStart"/>
            <w:r w:rsidRPr="004500AE">
              <w:rPr>
                <w:rFonts w:eastAsia="Times New Roman" w:cs="Calibri"/>
                <w:color w:val="000000"/>
                <w:sz w:val="18"/>
                <w:szCs w:val="18"/>
                <w:lang w:val="pt-PT"/>
              </w:rPr>
              <w:t>Nacaroa</w:t>
            </w:r>
            <w:proofErr w:type="spellEnd"/>
          </w:p>
        </w:tc>
        <w:tc>
          <w:tcPr>
            <w:tcW w:w="1300" w:type="dxa"/>
            <w:tcBorders>
              <w:top w:val="nil"/>
              <w:left w:val="nil"/>
              <w:bottom w:val="single" w:sz="4" w:space="0" w:color="auto"/>
              <w:right w:val="single" w:sz="4" w:space="0" w:color="auto"/>
            </w:tcBorders>
            <w:shd w:val="clear" w:color="auto" w:fill="auto"/>
            <w:noWrap/>
            <w:vAlign w:val="bottom"/>
            <w:hideMark/>
          </w:tcPr>
          <w:p w14:paraId="01337CB2"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Vila B</w:t>
            </w:r>
          </w:p>
        </w:tc>
        <w:tc>
          <w:tcPr>
            <w:tcW w:w="1798" w:type="dxa"/>
            <w:tcBorders>
              <w:top w:val="nil"/>
              <w:left w:val="nil"/>
              <w:bottom w:val="single" w:sz="4" w:space="0" w:color="auto"/>
              <w:right w:val="single" w:sz="4" w:space="0" w:color="auto"/>
            </w:tcBorders>
            <w:shd w:val="clear" w:color="auto" w:fill="auto"/>
            <w:noWrap/>
            <w:vAlign w:val="bottom"/>
            <w:hideMark/>
          </w:tcPr>
          <w:p w14:paraId="2F435942"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 xml:space="preserve">Secundária </w:t>
            </w:r>
          </w:p>
        </w:tc>
      </w:tr>
      <w:tr w:rsidR="0083784F" w:rsidRPr="00292532" w14:paraId="3357479D" w14:textId="77777777" w:rsidTr="00941934">
        <w:trPr>
          <w:trHeight w:val="300"/>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0340C165" w14:textId="77777777" w:rsidR="0083784F" w:rsidRPr="004500AE" w:rsidRDefault="0083784F" w:rsidP="000574C7">
            <w:pPr>
              <w:spacing w:before="0" w:after="0"/>
              <w:jc w:val="left"/>
              <w:rPr>
                <w:rFonts w:eastAsia="Times New Roman" w:cs="Calibri"/>
                <w:color w:val="000000"/>
                <w:sz w:val="18"/>
                <w:szCs w:val="18"/>
                <w:lang w:val="pt-PT"/>
              </w:rPr>
            </w:pPr>
            <w:proofErr w:type="spellStart"/>
            <w:r w:rsidRPr="004500AE">
              <w:rPr>
                <w:rFonts w:eastAsia="Times New Roman" w:cs="Calibri"/>
                <w:color w:val="000000"/>
                <w:sz w:val="18"/>
                <w:szCs w:val="18"/>
                <w:lang w:val="pt-PT"/>
              </w:rPr>
              <w:t>Mecuburi</w:t>
            </w:r>
            <w:proofErr w:type="spellEnd"/>
          </w:p>
        </w:tc>
        <w:tc>
          <w:tcPr>
            <w:tcW w:w="1867" w:type="dxa"/>
            <w:tcBorders>
              <w:top w:val="nil"/>
              <w:left w:val="nil"/>
              <w:bottom w:val="single" w:sz="4" w:space="0" w:color="auto"/>
              <w:right w:val="single" w:sz="4" w:space="0" w:color="auto"/>
            </w:tcBorders>
            <w:shd w:val="clear" w:color="auto" w:fill="auto"/>
            <w:noWrap/>
            <w:vAlign w:val="bottom"/>
            <w:hideMark/>
          </w:tcPr>
          <w:p w14:paraId="66480140" w14:textId="77777777" w:rsidR="0083784F" w:rsidRPr="004500AE" w:rsidRDefault="0083784F" w:rsidP="000574C7">
            <w:pPr>
              <w:spacing w:before="0" w:after="0"/>
              <w:jc w:val="left"/>
              <w:rPr>
                <w:rFonts w:eastAsia="Times New Roman" w:cs="Calibri"/>
                <w:color w:val="000000"/>
                <w:sz w:val="18"/>
                <w:szCs w:val="18"/>
                <w:lang w:val="pt-PT"/>
              </w:rPr>
            </w:pPr>
            <w:proofErr w:type="spellStart"/>
            <w:r w:rsidRPr="004500AE">
              <w:rPr>
                <w:rFonts w:eastAsia="Times New Roman" w:cs="Calibri"/>
                <w:color w:val="000000"/>
                <w:sz w:val="18"/>
                <w:szCs w:val="18"/>
                <w:lang w:val="pt-PT"/>
              </w:rPr>
              <w:t>Mecuburi</w:t>
            </w:r>
            <w:proofErr w:type="spellEnd"/>
          </w:p>
        </w:tc>
        <w:tc>
          <w:tcPr>
            <w:tcW w:w="1300" w:type="dxa"/>
            <w:tcBorders>
              <w:top w:val="nil"/>
              <w:left w:val="nil"/>
              <w:bottom w:val="single" w:sz="4" w:space="0" w:color="auto"/>
              <w:right w:val="single" w:sz="4" w:space="0" w:color="auto"/>
            </w:tcBorders>
            <w:shd w:val="clear" w:color="auto" w:fill="auto"/>
            <w:noWrap/>
            <w:vAlign w:val="bottom"/>
            <w:hideMark/>
          </w:tcPr>
          <w:p w14:paraId="7364F1FB"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Vila B</w:t>
            </w:r>
          </w:p>
        </w:tc>
        <w:tc>
          <w:tcPr>
            <w:tcW w:w="1798" w:type="dxa"/>
            <w:tcBorders>
              <w:top w:val="nil"/>
              <w:left w:val="nil"/>
              <w:bottom w:val="single" w:sz="4" w:space="0" w:color="auto"/>
              <w:right w:val="single" w:sz="4" w:space="0" w:color="auto"/>
            </w:tcBorders>
            <w:shd w:val="clear" w:color="auto" w:fill="auto"/>
            <w:noWrap/>
            <w:vAlign w:val="bottom"/>
            <w:hideMark/>
          </w:tcPr>
          <w:p w14:paraId="02A41316"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 xml:space="preserve">Secundária </w:t>
            </w:r>
          </w:p>
        </w:tc>
      </w:tr>
      <w:tr w:rsidR="0083784F" w:rsidRPr="00292532" w14:paraId="093E0515" w14:textId="77777777" w:rsidTr="00941934">
        <w:trPr>
          <w:trHeight w:val="300"/>
        </w:trPr>
        <w:tc>
          <w:tcPr>
            <w:tcW w:w="6925"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630F8D" w14:textId="77777777" w:rsidR="0083784F" w:rsidRPr="004500AE" w:rsidRDefault="0083784F" w:rsidP="000574C7">
            <w:pPr>
              <w:spacing w:before="0" w:after="0"/>
              <w:jc w:val="left"/>
              <w:rPr>
                <w:rFonts w:eastAsia="Times New Roman" w:cs="Calibri"/>
                <w:color w:val="000000"/>
                <w:sz w:val="18"/>
                <w:szCs w:val="18"/>
                <w:lang w:val="pt-PT"/>
              </w:rPr>
            </w:pPr>
            <w:r w:rsidRPr="004500AE">
              <w:rPr>
                <w:rFonts w:eastAsia="Times New Roman" w:cs="Calibri"/>
                <w:color w:val="000000"/>
                <w:sz w:val="18"/>
                <w:szCs w:val="18"/>
                <w:lang w:val="pt-PT"/>
              </w:rPr>
              <w:t xml:space="preserve">Total </w:t>
            </w:r>
          </w:p>
        </w:tc>
      </w:tr>
    </w:tbl>
    <w:p w14:paraId="4827CF00" w14:textId="1F758124" w:rsidR="001F4799" w:rsidRPr="00292532" w:rsidRDefault="00087491" w:rsidP="00573667">
      <w:pPr>
        <w:spacing w:before="120" w:after="100" w:afterAutospacing="1"/>
        <w:ind w:right="28"/>
        <w:rPr>
          <w:rFonts w:asciiTheme="minorHAnsi" w:hAnsiTheme="minorHAnsi" w:cstheme="minorHAnsi"/>
          <w:lang w:val="pt-PT"/>
        </w:rPr>
      </w:pPr>
      <w:r w:rsidRPr="00292532">
        <w:rPr>
          <w:rFonts w:asciiTheme="minorHAnsi" w:hAnsiTheme="minorHAnsi" w:cstheme="minorHAnsi"/>
          <w:lang w:val="pt-PT"/>
        </w:rPr>
        <w:t xml:space="preserve">Na Província da Zambézia </w:t>
      </w:r>
      <w:r w:rsidR="0080414D">
        <w:rPr>
          <w:rFonts w:asciiTheme="minorHAnsi" w:hAnsiTheme="minorHAnsi" w:cstheme="minorHAnsi"/>
          <w:lang w:val="pt-PT"/>
        </w:rPr>
        <w:t>8</w:t>
      </w:r>
      <w:r w:rsidR="0080414D" w:rsidRPr="00292532">
        <w:rPr>
          <w:rFonts w:asciiTheme="minorHAnsi" w:hAnsiTheme="minorHAnsi" w:cstheme="minorHAnsi"/>
          <w:lang w:val="pt-PT"/>
        </w:rPr>
        <w:t xml:space="preserve"> </w:t>
      </w:r>
      <w:r w:rsidRPr="00292532">
        <w:rPr>
          <w:rFonts w:asciiTheme="minorHAnsi" w:hAnsiTheme="minorHAnsi" w:cstheme="minorHAnsi"/>
          <w:lang w:val="pt-PT"/>
        </w:rPr>
        <w:t xml:space="preserve">locais </w:t>
      </w:r>
      <w:r w:rsidR="005A6A15" w:rsidRPr="00292532">
        <w:rPr>
          <w:rFonts w:asciiTheme="minorHAnsi" w:hAnsiTheme="minorHAnsi" w:cstheme="minorHAnsi"/>
          <w:lang w:val="pt-PT"/>
        </w:rPr>
        <w:t xml:space="preserve">beneficiarão </w:t>
      </w:r>
      <w:r w:rsidRPr="00292532">
        <w:rPr>
          <w:rFonts w:asciiTheme="minorHAnsi" w:hAnsiTheme="minorHAnsi" w:cstheme="minorHAnsi"/>
          <w:lang w:val="pt-PT"/>
        </w:rPr>
        <w:t xml:space="preserve">do </w:t>
      </w:r>
      <w:proofErr w:type="spellStart"/>
      <w:r w:rsidRPr="00292532">
        <w:rPr>
          <w:rFonts w:asciiTheme="minorHAnsi" w:hAnsiTheme="minorHAnsi" w:cstheme="minorHAnsi"/>
          <w:lang w:val="pt-PT"/>
        </w:rPr>
        <w:t>projecto</w:t>
      </w:r>
      <w:proofErr w:type="spellEnd"/>
      <w:r w:rsidR="00EE6F57" w:rsidRPr="00292532">
        <w:rPr>
          <w:rFonts w:asciiTheme="minorHAnsi" w:hAnsiTheme="minorHAnsi" w:cstheme="minorHAnsi"/>
          <w:lang w:val="pt-PT"/>
        </w:rPr>
        <w:t xml:space="preserve"> (</w:t>
      </w:r>
      <w:r w:rsidR="00EE6F57" w:rsidRPr="00292532">
        <w:rPr>
          <w:rFonts w:asciiTheme="minorHAnsi" w:hAnsiTheme="minorHAnsi" w:cstheme="minorHAnsi"/>
          <w:b/>
          <w:bCs/>
          <w:lang w:val="pt-PT"/>
        </w:rPr>
        <w:fldChar w:fldCharType="begin"/>
      </w:r>
      <w:r w:rsidR="00EE6F57" w:rsidRPr="00292532">
        <w:rPr>
          <w:rFonts w:asciiTheme="minorHAnsi" w:hAnsiTheme="minorHAnsi" w:cstheme="minorHAnsi"/>
          <w:b/>
          <w:bCs/>
          <w:lang w:val="pt-PT"/>
        </w:rPr>
        <w:instrText xml:space="preserve"> REF _Ref73951424 \h  \* MERGEFORMAT </w:instrText>
      </w:r>
      <w:r w:rsidR="00EE6F57" w:rsidRPr="00292532">
        <w:rPr>
          <w:rFonts w:asciiTheme="minorHAnsi" w:hAnsiTheme="minorHAnsi" w:cstheme="minorHAnsi"/>
          <w:b/>
          <w:bCs/>
          <w:lang w:val="pt-PT"/>
        </w:rPr>
      </w:r>
      <w:r w:rsidR="00EE6F57" w:rsidRPr="00292532">
        <w:rPr>
          <w:rFonts w:asciiTheme="minorHAnsi" w:hAnsiTheme="minorHAnsi" w:cstheme="minorHAnsi"/>
          <w:b/>
          <w:bCs/>
          <w:lang w:val="pt-PT"/>
        </w:rPr>
        <w:fldChar w:fldCharType="separate"/>
      </w:r>
      <w:r w:rsidR="001A21CB" w:rsidRPr="00292532">
        <w:rPr>
          <w:b/>
          <w:bCs/>
          <w:lang w:val="pt-PT"/>
        </w:rPr>
        <w:t xml:space="preserve">Tabela </w:t>
      </w:r>
      <w:r w:rsidR="001A21CB" w:rsidRPr="00292532">
        <w:rPr>
          <w:b/>
          <w:bCs/>
          <w:noProof/>
          <w:lang w:val="pt-PT"/>
        </w:rPr>
        <w:t>2</w:t>
      </w:r>
      <w:r w:rsidR="00EE6F57" w:rsidRPr="00292532">
        <w:rPr>
          <w:rFonts w:asciiTheme="minorHAnsi" w:hAnsiTheme="minorHAnsi" w:cstheme="minorHAnsi"/>
          <w:b/>
          <w:bCs/>
          <w:lang w:val="pt-PT"/>
        </w:rPr>
        <w:fldChar w:fldCharType="end"/>
      </w:r>
      <w:r w:rsidR="00EE6F57" w:rsidRPr="00292532">
        <w:rPr>
          <w:rFonts w:asciiTheme="minorHAnsi" w:hAnsiTheme="minorHAnsi" w:cstheme="minorHAnsi"/>
          <w:lang w:val="pt-PT"/>
        </w:rPr>
        <w:t>)</w:t>
      </w:r>
      <w:r w:rsidRPr="00292532">
        <w:rPr>
          <w:rFonts w:asciiTheme="minorHAnsi" w:hAnsiTheme="minorHAnsi" w:cstheme="minorHAnsi"/>
          <w:lang w:val="pt-PT"/>
        </w:rPr>
        <w:t xml:space="preserve">. </w:t>
      </w:r>
    </w:p>
    <w:p w14:paraId="275C2A4F" w14:textId="393D5955" w:rsidR="004A3402" w:rsidRDefault="00EE6F57" w:rsidP="00941934">
      <w:pPr>
        <w:pStyle w:val="Caption"/>
        <w:rPr>
          <w:rFonts w:asciiTheme="minorHAnsi" w:hAnsiTheme="minorHAnsi"/>
        </w:rPr>
      </w:pPr>
      <w:bookmarkStart w:id="31" w:name="_Ref73951424"/>
      <w:bookmarkStart w:id="32" w:name="_Toc75438143"/>
      <w:bookmarkStart w:id="33" w:name="_Toc80380249"/>
      <w:r w:rsidRPr="00292532">
        <w:t xml:space="preserve">Tabela </w:t>
      </w:r>
      <w:r w:rsidRPr="00292532">
        <w:fldChar w:fldCharType="begin"/>
      </w:r>
      <w:r w:rsidRPr="00292532">
        <w:instrText xml:space="preserve"> SEQ Tabela \* ARABIC </w:instrText>
      </w:r>
      <w:r w:rsidRPr="00292532">
        <w:fldChar w:fldCharType="separate"/>
      </w:r>
      <w:r w:rsidR="000D7B05">
        <w:rPr>
          <w:noProof/>
        </w:rPr>
        <w:t>2</w:t>
      </w:r>
      <w:r w:rsidRPr="00292532">
        <w:fldChar w:fldCharType="end"/>
      </w:r>
      <w:bookmarkEnd w:id="31"/>
      <w:r w:rsidRPr="00292532">
        <w:t>: Vilas e Cidades Abrangidas pela Componente 1 na Província da Zambézia</w:t>
      </w:r>
      <w:bookmarkEnd w:id="32"/>
      <w:r w:rsidRPr="00292532">
        <w:t xml:space="preserve"> </w:t>
      </w:r>
      <w:bookmarkEnd w:id="33"/>
      <w:r w:rsidR="004A3402">
        <w:fldChar w:fldCharType="begin"/>
      </w:r>
      <w:r w:rsidR="004A3402">
        <w:instrText xml:space="preserve"> LINK Excel.Sheet.12 "C:\\Users\\mza00232\\Downloads\\RSTWSP Survey forms (v Mar 25) (7).xlsx" "Sumario QGAS!R20C2:R35C8" \a \f 4 \h  \* MERGEFORMAT </w:instrText>
      </w:r>
      <w:r w:rsidR="004A3402">
        <w:fldChar w:fldCharType="separate"/>
      </w:r>
    </w:p>
    <w:tbl>
      <w:tblPr>
        <w:tblW w:w="6817" w:type="dxa"/>
        <w:tblLook w:val="04A0" w:firstRow="1" w:lastRow="0" w:firstColumn="1" w:lastColumn="0" w:noHBand="0" w:noVBand="1"/>
      </w:tblPr>
      <w:tblGrid>
        <w:gridCol w:w="1327"/>
        <w:gridCol w:w="1080"/>
        <w:gridCol w:w="990"/>
        <w:gridCol w:w="1480"/>
        <w:gridCol w:w="1130"/>
        <w:gridCol w:w="1139"/>
      </w:tblGrid>
      <w:tr w:rsidR="0083784F" w:rsidRPr="004A3402" w14:paraId="253CBA68" w14:textId="77777777" w:rsidTr="00941934">
        <w:trPr>
          <w:trHeight w:val="310"/>
        </w:trPr>
        <w:tc>
          <w:tcPr>
            <w:tcW w:w="1327" w:type="dxa"/>
            <w:tcBorders>
              <w:top w:val="double" w:sz="6" w:space="0" w:color="auto"/>
              <w:left w:val="double" w:sz="6" w:space="0" w:color="auto"/>
              <w:bottom w:val="nil"/>
              <w:right w:val="single" w:sz="4" w:space="0" w:color="auto"/>
            </w:tcBorders>
            <w:shd w:val="clear" w:color="000000" w:fill="8EA9DB"/>
            <w:noWrap/>
            <w:vAlign w:val="bottom"/>
            <w:hideMark/>
          </w:tcPr>
          <w:p w14:paraId="4FC1F0F6" w14:textId="558D4350"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Distrito</w:t>
            </w:r>
          </w:p>
        </w:tc>
        <w:tc>
          <w:tcPr>
            <w:tcW w:w="1080" w:type="dxa"/>
            <w:tcBorders>
              <w:top w:val="double" w:sz="6" w:space="0" w:color="auto"/>
              <w:left w:val="nil"/>
              <w:bottom w:val="nil"/>
              <w:right w:val="single" w:sz="4" w:space="0" w:color="auto"/>
            </w:tcBorders>
            <w:shd w:val="clear" w:color="000000" w:fill="8EA9DB"/>
            <w:noWrap/>
            <w:vAlign w:val="bottom"/>
            <w:hideMark/>
          </w:tcPr>
          <w:p w14:paraId="5E45EF99"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Local</w:t>
            </w:r>
          </w:p>
        </w:tc>
        <w:tc>
          <w:tcPr>
            <w:tcW w:w="990" w:type="dxa"/>
            <w:tcBorders>
              <w:top w:val="double" w:sz="6" w:space="0" w:color="auto"/>
              <w:left w:val="nil"/>
              <w:bottom w:val="nil"/>
              <w:right w:val="single" w:sz="4" w:space="0" w:color="auto"/>
            </w:tcBorders>
            <w:shd w:val="clear" w:color="000000" w:fill="8EA9DB"/>
            <w:noWrap/>
            <w:vAlign w:val="bottom"/>
            <w:hideMark/>
          </w:tcPr>
          <w:p w14:paraId="3C05AAE8" w14:textId="77777777" w:rsidR="0083784F" w:rsidRPr="00941934" w:rsidRDefault="0083784F" w:rsidP="00941934">
            <w:pPr>
              <w:spacing w:before="0" w:after="0"/>
              <w:jc w:val="center"/>
              <w:rPr>
                <w:rFonts w:eastAsia="Times New Roman" w:cs="Calibri"/>
                <w:color w:val="000000"/>
                <w:sz w:val="18"/>
                <w:szCs w:val="18"/>
                <w:lang w:val="en-US"/>
              </w:rPr>
            </w:pPr>
            <w:proofErr w:type="spellStart"/>
            <w:r w:rsidRPr="00941934">
              <w:rPr>
                <w:rFonts w:eastAsia="Times New Roman" w:cs="Calibri"/>
                <w:color w:val="000000"/>
                <w:sz w:val="18"/>
                <w:szCs w:val="18"/>
                <w:lang w:val="en-US"/>
              </w:rPr>
              <w:t>Categoria</w:t>
            </w:r>
            <w:proofErr w:type="spellEnd"/>
          </w:p>
        </w:tc>
        <w:tc>
          <w:tcPr>
            <w:tcW w:w="1480" w:type="dxa"/>
            <w:tcBorders>
              <w:top w:val="double" w:sz="6" w:space="0" w:color="auto"/>
              <w:left w:val="nil"/>
              <w:bottom w:val="nil"/>
              <w:right w:val="single" w:sz="4" w:space="0" w:color="auto"/>
            </w:tcBorders>
            <w:shd w:val="clear" w:color="000000" w:fill="8EA9DB"/>
            <w:noWrap/>
            <w:vAlign w:val="bottom"/>
            <w:hideMark/>
          </w:tcPr>
          <w:p w14:paraId="407A5674" w14:textId="77777777" w:rsidR="0083784F" w:rsidRPr="00941934" w:rsidRDefault="0083784F" w:rsidP="00941934">
            <w:pPr>
              <w:spacing w:before="0" w:after="0"/>
              <w:jc w:val="center"/>
              <w:rPr>
                <w:rFonts w:eastAsia="Times New Roman" w:cs="Calibri"/>
                <w:color w:val="000000"/>
                <w:sz w:val="18"/>
                <w:szCs w:val="18"/>
                <w:lang w:val="en-US"/>
              </w:rPr>
            </w:pPr>
            <w:proofErr w:type="spellStart"/>
            <w:r w:rsidRPr="00941934">
              <w:rPr>
                <w:rFonts w:eastAsia="Times New Roman" w:cs="Calibri"/>
                <w:color w:val="000000"/>
                <w:sz w:val="18"/>
                <w:szCs w:val="18"/>
                <w:lang w:val="en-US"/>
              </w:rPr>
              <w:t>Actividade</w:t>
            </w:r>
            <w:proofErr w:type="spellEnd"/>
          </w:p>
        </w:tc>
        <w:tc>
          <w:tcPr>
            <w:tcW w:w="1130" w:type="dxa"/>
            <w:tcBorders>
              <w:top w:val="double" w:sz="6" w:space="0" w:color="auto"/>
              <w:left w:val="nil"/>
              <w:bottom w:val="nil"/>
              <w:right w:val="single" w:sz="4" w:space="0" w:color="auto"/>
            </w:tcBorders>
            <w:shd w:val="clear" w:color="000000" w:fill="8EA9DB"/>
            <w:noWrap/>
            <w:vAlign w:val="bottom"/>
            <w:hideMark/>
          </w:tcPr>
          <w:p w14:paraId="3053879E" w14:textId="77777777" w:rsidR="0083784F" w:rsidRPr="00941934" w:rsidRDefault="0083784F" w:rsidP="00941934">
            <w:pPr>
              <w:spacing w:before="0" w:after="0"/>
              <w:jc w:val="left"/>
              <w:rPr>
                <w:rFonts w:eastAsia="Times New Roman" w:cs="Calibri"/>
                <w:color w:val="000000"/>
                <w:sz w:val="18"/>
                <w:szCs w:val="18"/>
                <w:lang w:val="en-US"/>
              </w:rPr>
            </w:pPr>
            <w:r w:rsidRPr="00941934">
              <w:rPr>
                <w:rFonts w:eastAsia="Times New Roman" w:cs="Calibri"/>
                <w:color w:val="000000"/>
                <w:sz w:val="18"/>
                <w:szCs w:val="18"/>
                <w:lang w:val="en-US"/>
              </w:rPr>
              <w:t xml:space="preserve"> </w:t>
            </w:r>
            <w:proofErr w:type="spellStart"/>
            <w:r w:rsidRPr="00941934">
              <w:rPr>
                <w:rFonts w:eastAsia="Times New Roman" w:cs="Calibri"/>
                <w:color w:val="000000"/>
                <w:sz w:val="18"/>
                <w:szCs w:val="18"/>
                <w:lang w:val="en-US"/>
              </w:rPr>
              <w:t>Aguas</w:t>
            </w:r>
            <w:proofErr w:type="spellEnd"/>
            <w:r w:rsidRPr="00941934">
              <w:rPr>
                <w:rFonts w:eastAsia="Times New Roman" w:cs="Calibri"/>
                <w:color w:val="000000"/>
                <w:sz w:val="18"/>
                <w:szCs w:val="18"/>
                <w:lang w:val="en-US"/>
              </w:rPr>
              <w:t xml:space="preserve"> </w:t>
            </w:r>
          </w:p>
        </w:tc>
        <w:tc>
          <w:tcPr>
            <w:tcW w:w="810" w:type="dxa"/>
            <w:tcBorders>
              <w:top w:val="double" w:sz="6" w:space="0" w:color="auto"/>
              <w:left w:val="nil"/>
              <w:bottom w:val="nil"/>
              <w:right w:val="single" w:sz="4" w:space="0" w:color="auto"/>
            </w:tcBorders>
            <w:shd w:val="clear" w:color="000000" w:fill="8EA9DB"/>
            <w:noWrap/>
            <w:vAlign w:val="bottom"/>
            <w:hideMark/>
          </w:tcPr>
          <w:p w14:paraId="0F868C52" w14:textId="77777777" w:rsidR="0083784F" w:rsidRPr="00941934" w:rsidRDefault="0083784F" w:rsidP="00941934">
            <w:pPr>
              <w:spacing w:before="0" w:after="0"/>
              <w:jc w:val="left"/>
              <w:rPr>
                <w:rFonts w:eastAsia="Times New Roman" w:cs="Calibri"/>
                <w:color w:val="000000"/>
                <w:sz w:val="18"/>
                <w:szCs w:val="18"/>
                <w:lang w:val="en-US"/>
              </w:rPr>
            </w:pPr>
            <w:r w:rsidRPr="00941934">
              <w:rPr>
                <w:rFonts w:eastAsia="Times New Roman" w:cs="Calibri"/>
                <w:color w:val="000000"/>
                <w:sz w:val="18"/>
                <w:szCs w:val="18"/>
                <w:lang w:val="en-US"/>
              </w:rPr>
              <w:t xml:space="preserve">Saneamento </w:t>
            </w:r>
          </w:p>
        </w:tc>
      </w:tr>
      <w:tr w:rsidR="0083784F" w:rsidRPr="004A3402" w14:paraId="0D1D935E" w14:textId="77777777" w:rsidTr="00941934">
        <w:trPr>
          <w:trHeight w:val="290"/>
        </w:trPr>
        <w:tc>
          <w:tcPr>
            <w:tcW w:w="1327" w:type="dxa"/>
            <w:tcBorders>
              <w:top w:val="nil"/>
              <w:left w:val="double" w:sz="6" w:space="0" w:color="auto"/>
              <w:bottom w:val="dotted" w:sz="4" w:space="0" w:color="auto"/>
              <w:right w:val="single" w:sz="4" w:space="0" w:color="auto"/>
            </w:tcBorders>
            <w:shd w:val="clear" w:color="auto" w:fill="auto"/>
            <w:noWrap/>
            <w:vAlign w:val="center"/>
            <w:hideMark/>
          </w:tcPr>
          <w:p w14:paraId="5CF678AF" w14:textId="77777777" w:rsidR="0083784F" w:rsidRPr="00941934" w:rsidRDefault="0083784F" w:rsidP="00941934">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Ilé</w:t>
            </w:r>
            <w:proofErr w:type="spellEnd"/>
          </w:p>
        </w:tc>
        <w:tc>
          <w:tcPr>
            <w:tcW w:w="1080" w:type="dxa"/>
            <w:tcBorders>
              <w:top w:val="nil"/>
              <w:left w:val="nil"/>
              <w:bottom w:val="dotted" w:sz="4" w:space="0" w:color="auto"/>
              <w:right w:val="single" w:sz="4" w:space="0" w:color="auto"/>
            </w:tcBorders>
            <w:shd w:val="clear" w:color="auto" w:fill="auto"/>
            <w:noWrap/>
            <w:vAlign w:val="center"/>
            <w:hideMark/>
          </w:tcPr>
          <w:p w14:paraId="7680B646" w14:textId="77777777" w:rsidR="0083784F" w:rsidRPr="00941934" w:rsidRDefault="0083784F" w:rsidP="00941934">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Errego</w:t>
            </w:r>
            <w:proofErr w:type="spellEnd"/>
          </w:p>
        </w:tc>
        <w:tc>
          <w:tcPr>
            <w:tcW w:w="990" w:type="dxa"/>
            <w:tcBorders>
              <w:top w:val="nil"/>
              <w:left w:val="nil"/>
              <w:bottom w:val="dotted" w:sz="4" w:space="0" w:color="auto"/>
              <w:right w:val="single" w:sz="4" w:space="0" w:color="auto"/>
            </w:tcBorders>
            <w:shd w:val="clear" w:color="auto" w:fill="auto"/>
            <w:noWrap/>
            <w:vAlign w:val="center"/>
            <w:hideMark/>
          </w:tcPr>
          <w:p w14:paraId="42DDA06D"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Vila B</w:t>
            </w:r>
          </w:p>
        </w:tc>
        <w:tc>
          <w:tcPr>
            <w:tcW w:w="1480" w:type="dxa"/>
            <w:tcBorders>
              <w:top w:val="nil"/>
              <w:left w:val="nil"/>
              <w:bottom w:val="dotted" w:sz="4" w:space="0" w:color="auto"/>
              <w:right w:val="single" w:sz="4" w:space="0" w:color="auto"/>
            </w:tcBorders>
            <w:shd w:val="clear" w:color="auto" w:fill="auto"/>
            <w:noWrap/>
            <w:vAlign w:val="center"/>
            <w:hideMark/>
          </w:tcPr>
          <w:p w14:paraId="4B605F52" w14:textId="77777777" w:rsidR="0083784F" w:rsidRPr="00941934" w:rsidRDefault="0083784F" w:rsidP="00941934">
            <w:pPr>
              <w:spacing w:before="0" w:after="0"/>
              <w:jc w:val="center"/>
              <w:rPr>
                <w:rFonts w:eastAsia="Times New Roman" w:cs="Calibri"/>
                <w:color w:val="000000"/>
                <w:sz w:val="18"/>
                <w:szCs w:val="18"/>
                <w:lang w:val="en-US"/>
              </w:rPr>
            </w:pPr>
            <w:proofErr w:type="spellStart"/>
            <w:r w:rsidRPr="00941934">
              <w:rPr>
                <w:rFonts w:eastAsia="Times New Roman" w:cs="Calibri"/>
                <w:color w:val="000000"/>
                <w:sz w:val="18"/>
                <w:szCs w:val="18"/>
                <w:lang w:val="en-US"/>
              </w:rPr>
              <w:t>Secundária</w:t>
            </w:r>
            <w:proofErr w:type="spellEnd"/>
          </w:p>
        </w:tc>
        <w:tc>
          <w:tcPr>
            <w:tcW w:w="1130" w:type="dxa"/>
            <w:tcBorders>
              <w:top w:val="nil"/>
              <w:left w:val="nil"/>
              <w:bottom w:val="dotted" w:sz="4" w:space="0" w:color="auto"/>
              <w:right w:val="single" w:sz="4" w:space="0" w:color="auto"/>
            </w:tcBorders>
            <w:shd w:val="clear" w:color="auto" w:fill="auto"/>
            <w:noWrap/>
            <w:vAlign w:val="center"/>
            <w:hideMark/>
          </w:tcPr>
          <w:p w14:paraId="4B35B1F1"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N</w:t>
            </w:r>
          </w:p>
        </w:tc>
        <w:tc>
          <w:tcPr>
            <w:tcW w:w="810" w:type="dxa"/>
            <w:tcBorders>
              <w:top w:val="nil"/>
              <w:left w:val="nil"/>
              <w:bottom w:val="dotted" w:sz="4" w:space="0" w:color="auto"/>
              <w:right w:val="single" w:sz="4" w:space="0" w:color="auto"/>
            </w:tcBorders>
            <w:shd w:val="clear" w:color="auto" w:fill="auto"/>
            <w:noWrap/>
            <w:vAlign w:val="center"/>
            <w:hideMark/>
          </w:tcPr>
          <w:p w14:paraId="65F84CA1"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S</w:t>
            </w:r>
          </w:p>
        </w:tc>
      </w:tr>
      <w:tr w:rsidR="0083784F" w:rsidRPr="004A3402" w14:paraId="04259EFE" w14:textId="77777777" w:rsidTr="00941934">
        <w:trPr>
          <w:trHeight w:val="290"/>
        </w:trPr>
        <w:tc>
          <w:tcPr>
            <w:tcW w:w="1327" w:type="dxa"/>
            <w:tcBorders>
              <w:top w:val="nil"/>
              <w:left w:val="double" w:sz="6" w:space="0" w:color="auto"/>
              <w:bottom w:val="dotted" w:sz="4" w:space="0" w:color="auto"/>
              <w:right w:val="single" w:sz="4" w:space="0" w:color="auto"/>
            </w:tcBorders>
            <w:shd w:val="clear" w:color="auto" w:fill="auto"/>
            <w:noWrap/>
            <w:vAlign w:val="center"/>
            <w:hideMark/>
          </w:tcPr>
          <w:p w14:paraId="74C29662" w14:textId="77777777" w:rsidR="0083784F" w:rsidRPr="00941934" w:rsidRDefault="0083784F" w:rsidP="00941934">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Namacurra</w:t>
            </w:r>
            <w:proofErr w:type="spellEnd"/>
          </w:p>
        </w:tc>
        <w:tc>
          <w:tcPr>
            <w:tcW w:w="1080" w:type="dxa"/>
            <w:tcBorders>
              <w:top w:val="nil"/>
              <w:left w:val="nil"/>
              <w:bottom w:val="dotted" w:sz="4" w:space="0" w:color="auto"/>
              <w:right w:val="single" w:sz="4" w:space="0" w:color="auto"/>
            </w:tcBorders>
            <w:shd w:val="clear" w:color="auto" w:fill="auto"/>
            <w:noWrap/>
            <w:vAlign w:val="center"/>
            <w:hideMark/>
          </w:tcPr>
          <w:p w14:paraId="681029D5" w14:textId="77777777" w:rsidR="0083784F" w:rsidRPr="00941934" w:rsidRDefault="0083784F" w:rsidP="00941934">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Namacura</w:t>
            </w:r>
            <w:proofErr w:type="spellEnd"/>
          </w:p>
        </w:tc>
        <w:tc>
          <w:tcPr>
            <w:tcW w:w="990" w:type="dxa"/>
            <w:tcBorders>
              <w:top w:val="nil"/>
              <w:left w:val="nil"/>
              <w:bottom w:val="dotted" w:sz="4" w:space="0" w:color="auto"/>
              <w:right w:val="single" w:sz="4" w:space="0" w:color="auto"/>
            </w:tcBorders>
            <w:shd w:val="clear" w:color="auto" w:fill="auto"/>
            <w:noWrap/>
            <w:vAlign w:val="center"/>
            <w:hideMark/>
          </w:tcPr>
          <w:p w14:paraId="4F21B083"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Vila B</w:t>
            </w:r>
          </w:p>
        </w:tc>
        <w:tc>
          <w:tcPr>
            <w:tcW w:w="1480" w:type="dxa"/>
            <w:tcBorders>
              <w:top w:val="nil"/>
              <w:left w:val="nil"/>
              <w:bottom w:val="dotted" w:sz="4" w:space="0" w:color="auto"/>
              <w:right w:val="single" w:sz="4" w:space="0" w:color="auto"/>
            </w:tcBorders>
            <w:shd w:val="clear" w:color="auto" w:fill="auto"/>
            <w:noWrap/>
            <w:vAlign w:val="center"/>
            <w:hideMark/>
          </w:tcPr>
          <w:p w14:paraId="5A7D6D27" w14:textId="77777777" w:rsidR="0083784F" w:rsidRPr="00941934" w:rsidRDefault="0083784F" w:rsidP="00941934">
            <w:pPr>
              <w:spacing w:before="0" w:after="0"/>
              <w:jc w:val="center"/>
              <w:rPr>
                <w:rFonts w:eastAsia="Times New Roman" w:cs="Calibri"/>
                <w:color w:val="000000"/>
                <w:sz w:val="18"/>
                <w:szCs w:val="18"/>
                <w:lang w:val="en-US"/>
              </w:rPr>
            </w:pPr>
            <w:proofErr w:type="spellStart"/>
            <w:r w:rsidRPr="00941934">
              <w:rPr>
                <w:rFonts w:eastAsia="Times New Roman" w:cs="Calibri"/>
                <w:color w:val="000000"/>
                <w:sz w:val="18"/>
                <w:szCs w:val="18"/>
                <w:lang w:val="en-US"/>
              </w:rPr>
              <w:t>Secundária</w:t>
            </w:r>
            <w:proofErr w:type="spellEnd"/>
          </w:p>
        </w:tc>
        <w:tc>
          <w:tcPr>
            <w:tcW w:w="1130" w:type="dxa"/>
            <w:tcBorders>
              <w:top w:val="nil"/>
              <w:left w:val="nil"/>
              <w:bottom w:val="dotted" w:sz="4" w:space="0" w:color="auto"/>
              <w:right w:val="single" w:sz="4" w:space="0" w:color="auto"/>
            </w:tcBorders>
            <w:shd w:val="clear" w:color="auto" w:fill="auto"/>
            <w:noWrap/>
            <w:vAlign w:val="center"/>
            <w:hideMark/>
          </w:tcPr>
          <w:p w14:paraId="18D149A9"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S</w:t>
            </w:r>
          </w:p>
        </w:tc>
        <w:tc>
          <w:tcPr>
            <w:tcW w:w="810" w:type="dxa"/>
            <w:tcBorders>
              <w:top w:val="nil"/>
              <w:left w:val="nil"/>
              <w:bottom w:val="dotted" w:sz="4" w:space="0" w:color="auto"/>
              <w:right w:val="single" w:sz="4" w:space="0" w:color="auto"/>
            </w:tcBorders>
            <w:shd w:val="clear" w:color="auto" w:fill="auto"/>
            <w:noWrap/>
            <w:vAlign w:val="center"/>
            <w:hideMark/>
          </w:tcPr>
          <w:p w14:paraId="30039FBA"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 xml:space="preserve">S </w:t>
            </w:r>
          </w:p>
        </w:tc>
      </w:tr>
      <w:tr w:rsidR="0083784F" w:rsidRPr="004A3402" w14:paraId="7C0C504B" w14:textId="77777777" w:rsidTr="00941934">
        <w:trPr>
          <w:trHeight w:val="290"/>
        </w:trPr>
        <w:tc>
          <w:tcPr>
            <w:tcW w:w="1327" w:type="dxa"/>
            <w:tcBorders>
              <w:top w:val="nil"/>
              <w:left w:val="double" w:sz="6" w:space="0" w:color="auto"/>
              <w:bottom w:val="dotted" w:sz="4" w:space="0" w:color="auto"/>
              <w:right w:val="single" w:sz="4" w:space="0" w:color="auto"/>
            </w:tcBorders>
            <w:shd w:val="clear" w:color="auto" w:fill="auto"/>
            <w:noWrap/>
            <w:vAlign w:val="center"/>
            <w:hideMark/>
          </w:tcPr>
          <w:p w14:paraId="325134B1" w14:textId="77777777" w:rsidR="0083784F" w:rsidRPr="00941934" w:rsidRDefault="0083784F" w:rsidP="00941934">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Namaroi</w:t>
            </w:r>
            <w:proofErr w:type="spellEnd"/>
          </w:p>
        </w:tc>
        <w:tc>
          <w:tcPr>
            <w:tcW w:w="1080" w:type="dxa"/>
            <w:tcBorders>
              <w:top w:val="nil"/>
              <w:left w:val="nil"/>
              <w:bottom w:val="dotted" w:sz="4" w:space="0" w:color="auto"/>
              <w:right w:val="single" w:sz="4" w:space="0" w:color="auto"/>
            </w:tcBorders>
            <w:shd w:val="clear" w:color="auto" w:fill="auto"/>
            <w:noWrap/>
            <w:vAlign w:val="center"/>
            <w:hideMark/>
          </w:tcPr>
          <w:p w14:paraId="705F298A" w14:textId="77777777" w:rsidR="0083784F" w:rsidRPr="00941934" w:rsidRDefault="0083784F" w:rsidP="00941934">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Namaroi</w:t>
            </w:r>
            <w:proofErr w:type="spellEnd"/>
          </w:p>
        </w:tc>
        <w:tc>
          <w:tcPr>
            <w:tcW w:w="990" w:type="dxa"/>
            <w:tcBorders>
              <w:top w:val="nil"/>
              <w:left w:val="nil"/>
              <w:bottom w:val="dotted" w:sz="4" w:space="0" w:color="auto"/>
              <w:right w:val="single" w:sz="4" w:space="0" w:color="auto"/>
            </w:tcBorders>
            <w:shd w:val="clear" w:color="auto" w:fill="auto"/>
            <w:noWrap/>
            <w:vAlign w:val="center"/>
            <w:hideMark/>
          </w:tcPr>
          <w:p w14:paraId="0DC978AA"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Vila B</w:t>
            </w:r>
          </w:p>
        </w:tc>
        <w:tc>
          <w:tcPr>
            <w:tcW w:w="1480" w:type="dxa"/>
            <w:tcBorders>
              <w:top w:val="nil"/>
              <w:left w:val="nil"/>
              <w:bottom w:val="dotted" w:sz="4" w:space="0" w:color="auto"/>
              <w:right w:val="single" w:sz="4" w:space="0" w:color="auto"/>
            </w:tcBorders>
            <w:shd w:val="clear" w:color="auto" w:fill="auto"/>
            <w:noWrap/>
            <w:vAlign w:val="center"/>
            <w:hideMark/>
          </w:tcPr>
          <w:p w14:paraId="0526CA08" w14:textId="77777777" w:rsidR="0083784F" w:rsidRPr="00941934" w:rsidRDefault="0083784F" w:rsidP="00941934">
            <w:pPr>
              <w:spacing w:before="0" w:after="0"/>
              <w:jc w:val="center"/>
              <w:rPr>
                <w:rFonts w:eastAsia="Times New Roman" w:cs="Calibri"/>
                <w:color w:val="000000"/>
                <w:sz w:val="18"/>
                <w:szCs w:val="18"/>
                <w:lang w:val="en-US"/>
              </w:rPr>
            </w:pPr>
            <w:proofErr w:type="spellStart"/>
            <w:r w:rsidRPr="00941934">
              <w:rPr>
                <w:rFonts w:eastAsia="Times New Roman" w:cs="Calibri"/>
                <w:color w:val="000000"/>
                <w:sz w:val="18"/>
                <w:szCs w:val="18"/>
                <w:lang w:val="en-US"/>
              </w:rPr>
              <w:t>Secundária</w:t>
            </w:r>
            <w:proofErr w:type="spellEnd"/>
          </w:p>
        </w:tc>
        <w:tc>
          <w:tcPr>
            <w:tcW w:w="1130" w:type="dxa"/>
            <w:tcBorders>
              <w:top w:val="nil"/>
              <w:left w:val="nil"/>
              <w:bottom w:val="dotted" w:sz="4" w:space="0" w:color="auto"/>
              <w:right w:val="single" w:sz="4" w:space="0" w:color="auto"/>
            </w:tcBorders>
            <w:shd w:val="clear" w:color="auto" w:fill="auto"/>
            <w:noWrap/>
            <w:vAlign w:val="center"/>
            <w:hideMark/>
          </w:tcPr>
          <w:p w14:paraId="3C215831"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S</w:t>
            </w:r>
          </w:p>
        </w:tc>
        <w:tc>
          <w:tcPr>
            <w:tcW w:w="810" w:type="dxa"/>
            <w:tcBorders>
              <w:top w:val="nil"/>
              <w:left w:val="nil"/>
              <w:bottom w:val="dotted" w:sz="4" w:space="0" w:color="auto"/>
              <w:right w:val="single" w:sz="4" w:space="0" w:color="auto"/>
            </w:tcBorders>
            <w:shd w:val="clear" w:color="auto" w:fill="auto"/>
            <w:noWrap/>
            <w:vAlign w:val="center"/>
            <w:hideMark/>
          </w:tcPr>
          <w:p w14:paraId="66412DFC"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S</w:t>
            </w:r>
          </w:p>
        </w:tc>
      </w:tr>
      <w:tr w:rsidR="0083784F" w:rsidRPr="004A3402" w14:paraId="0D70E572" w14:textId="77777777" w:rsidTr="00941934">
        <w:trPr>
          <w:trHeight w:val="290"/>
        </w:trPr>
        <w:tc>
          <w:tcPr>
            <w:tcW w:w="1327" w:type="dxa"/>
            <w:tcBorders>
              <w:top w:val="nil"/>
              <w:left w:val="double" w:sz="6" w:space="0" w:color="auto"/>
              <w:bottom w:val="dotted" w:sz="4" w:space="0" w:color="auto"/>
              <w:right w:val="single" w:sz="4" w:space="0" w:color="auto"/>
            </w:tcBorders>
            <w:shd w:val="clear" w:color="000000" w:fill="FFF2CC"/>
            <w:noWrap/>
            <w:vAlign w:val="center"/>
            <w:hideMark/>
          </w:tcPr>
          <w:p w14:paraId="7F7157A3" w14:textId="77777777" w:rsidR="0083784F" w:rsidRPr="00941934" w:rsidRDefault="0083784F" w:rsidP="00941934">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Lugela</w:t>
            </w:r>
            <w:proofErr w:type="spellEnd"/>
          </w:p>
        </w:tc>
        <w:tc>
          <w:tcPr>
            <w:tcW w:w="1080" w:type="dxa"/>
            <w:tcBorders>
              <w:top w:val="nil"/>
              <w:left w:val="nil"/>
              <w:bottom w:val="dotted" w:sz="4" w:space="0" w:color="auto"/>
              <w:right w:val="single" w:sz="4" w:space="0" w:color="auto"/>
            </w:tcBorders>
            <w:shd w:val="clear" w:color="000000" w:fill="FFF2CC"/>
            <w:noWrap/>
            <w:vAlign w:val="center"/>
            <w:hideMark/>
          </w:tcPr>
          <w:p w14:paraId="3A3BF4F0" w14:textId="77777777" w:rsidR="0083784F" w:rsidRPr="00941934" w:rsidRDefault="0083784F" w:rsidP="00941934">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Lugela</w:t>
            </w:r>
            <w:proofErr w:type="spellEnd"/>
          </w:p>
        </w:tc>
        <w:tc>
          <w:tcPr>
            <w:tcW w:w="990" w:type="dxa"/>
            <w:tcBorders>
              <w:top w:val="nil"/>
              <w:left w:val="nil"/>
              <w:bottom w:val="dotted" w:sz="4" w:space="0" w:color="auto"/>
              <w:right w:val="single" w:sz="4" w:space="0" w:color="auto"/>
            </w:tcBorders>
            <w:shd w:val="clear" w:color="000000" w:fill="FFF2CC"/>
            <w:noWrap/>
            <w:vAlign w:val="center"/>
            <w:hideMark/>
          </w:tcPr>
          <w:p w14:paraId="2930643F"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Vila A</w:t>
            </w:r>
          </w:p>
        </w:tc>
        <w:tc>
          <w:tcPr>
            <w:tcW w:w="1480" w:type="dxa"/>
            <w:tcBorders>
              <w:top w:val="nil"/>
              <w:left w:val="nil"/>
              <w:bottom w:val="dotted" w:sz="4" w:space="0" w:color="auto"/>
              <w:right w:val="single" w:sz="4" w:space="0" w:color="auto"/>
            </w:tcBorders>
            <w:shd w:val="clear" w:color="000000" w:fill="FFF2CC"/>
            <w:noWrap/>
            <w:vAlign w:val="center"/>
            <w:hideMark/>
          </w:tcPr>
          <w:p w14:paraId="40827C2F" w14:textId="77777777" w:rsidR="0083784F" w:rsidRPr="00941934" w:rsidRDefault="0083784F" w:rsidP="00941934">
            <w:pPr>
              <w:spacing w:before="0" w:after="0"/>
              <w:jc w:val="center"/>
              <w:rPr>
                <w:rFonts w:eastAsia="Times New Roman" w:cs="Calibri"/>
                <w:color w:val="000000"/>
                <w:sz w:val="18"/>
                <w:szCs w:val="18"/>
                <w:lang w:val="en-US"/>
              </w:rPr>
            </w:pPr>
            <w:proofErr w:type="spellStart"/>
            <w:r w:rsidRPr="00941934">
              <w:rPr>
                <w:rFonts w:eastAsia="Times New Roman" w:cs="Calibri"/>
                <w:color w:val="000000"/>
                <w:sz w:val="18"/>
                <w:szCs w:val="18"/>
                <w:lang w:val="en-US"/>
              </w:rPr>
              <w:t>Secundária</w:t>
            </w:r>
            <w:proofErr w:type="spellEnd"/>
          </w:p>
        </w:tc>
        <w:tc>
          <w:tcPr>
            <w:tcW w:w="1130" w:type="dxa"/>
            <w:tcBorders>
              <w:top w:val="nil"/>
              <w:left w:val="nil"/>
              <w:bottom w:val="dotted" w:sz="4" w:space="0" w:color="auto"/>
              <w:right w:val="single" w:sz="4" w:space="0" w:color="auto"/>
            </w:tcBorders>
            <w:shd w:val="clear" w:color="000000" w:fill="FFF2CC"/>
            <w:noWrap/>
            <w:vAlign w:val="center"/>
            <w:hideMark/>
          </w:tcPr>
          <w:p w14:paraId="68E2F2DC"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S</w:t>
            </w:r>
          </w:p>
        </w:tc>
        <w:tc>
          <w:tcPr>
            <w:tcW w:w="810" w:type="dxa"/>
            <w:tcBorders>
              <w:top w:val="nil"/>
              <w:left w:val="nil"/>
              <w:bottom w:val="dotted" w:sz="4" w:space="0" w:color="auto"/>
              <w:right w:val="single" w:sz="4" w:space="0" w:color="auto"/>
            </w:tcBorders>
            <w:shd w:val="clear" w:color="000000" w:fill="FFF2CC"/>
            <w:noWrap/>
            <w:vAlign w:val="center"/>
            <w:hideMark/>
          </w:tcPr>
          <w:p w14:paraId="658BCF51"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S</w:t>
            </w:r>
          </w:p>
        </w:tc>
      </w:tr>
      <w:tr w:rsidR="0083784F" w:rsidRPr="004A3402" w14:paraId="04ED85A5" w14:textId="77777777" w:rsidTr="00941934">
        <w:trPr>
          <w:trHeight w:val="290"/>
        </w:trPr>
        <w:tc>
          <w:tcPr>
            <w:tcW w:w="1327" w:type="dxa"/>
            <w:tcBorders>
              <w:top w:val="nil"/>
              <w:left w:val="double" w:sz="6" w:space="0" w:color="auto"/>
              <w:bottom w:val="dotted" w:sz="4" w:space="0" w:color="auto"/>
              <w:right w:val="single" w:sz="4" w:space="0" w:color="auto"/>
            </w:tcBorders>
            <w:shd w:val="clear" w:color="auto" w:fill="auto"/>
            <w:noWrap/>
            <w:vAlign w:val="center"/>
            <w:hideMark/>
          </w:tcPr>
          <w:p w14:paraId="3F1F0355" w14:textId="77777777" w:rsidR="0083784F" w:rsidRPr="00941934" w:rsidRDefault="0083784F" w:rsidP="00941934">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Gilé</w:t>
            </w:r>
            <w:proofErr w:type="spellEnd"/>
          </w:p>
        </w:tc>
        <w:tc>
          <w:tcPr>
            <w:tcW w:w="1080" w:type="dxa"/>
            <w:tcBorders>
              <w:top w:val="nil"/>
              <w:left w:val="nil"/>
              <w:bottom w:val="dotted" w:sz="4" w:space="0" w:color="auto"/>
              <w:right w:val="single" w:sz="4" w:space="0" w:color="auto"/>
            </w:tcBorders>
            <w:shd w:val="clear" w:color="auto" w:fill="auto"/>
            <w:noWrap/>
            <w:vAlign w:val="center"/>
            <w:hideMark/>
          </w:tcPr>
          <w:p w14:paraId="23CFA135" w14:textId="77777777" w:rsidR="0083784F" w:rsidRPr="00941934" w:rsidRDefault="0083784F" w:rsidP="00941934">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Gilé</w:t>
            </w:r>
            <w:proofErr w:type="spellEnd"/>
          </w:p>
        </w:tc>
        <w:tc>
          <w:tcPr>
            <w:tcW w:w="990" w:type="dxa"/>
            <w:tcBorders>
              <w:top w:val="nil"/>
              <w:left w:val="nil"/>
              <w:bottom w:val="dotted" w:sz="4" w:space="0" w:color="auto"/>
              <w:right w:val="single" w:sz="4" w:space="0" w:color="auto"/>
            </w:tcBorders>
            <w:shd w:val="clear" w:color="auto" w:fill="auto"/>
            <w:noWrap/>
            <w:vAlign w:val="center"/>
            <w:hideMark/>
          </w:tcPr>
          <w:p w14:paraId="6F68331C"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Vila B</w:t>
            </w:r>
          </w:p>
        </w:tc>
        <w:tc>
          <w:tcPr>
            <w:tcW w:w="1480" w:type="dxa"/>
            <w:tcBorders>
              <w:top w:val="nil"/>
              <w:left w:val="nil"/>
              <w:bottom w:val="dotted" w:sz="4" w:space="0" w:color="auto"/>
              <w:right w:val="single" w:sz="4" w:space="0" w:color="auto"/>
            </w:tcBorders>
            <w:shd w:val="clear" w:color="auto" w:fill="auto"/>
            <w:noWrap/>
            <w:vAlign w:val="center"/>
            <w:hideMark/>
          </w:tcPr>
          <w:p w14:paraId="0B7DB69B" w14:textId="77777777" w:rsidR="0083784F" w:rsidRPr="00941934" w:rsidRDefault="0083784F" w:rsidP="00941934">
            <w:pPr>
              <w:spacing w:before="0" w:after="0"/>
              <w:jc w:val="center"/>
              <w:rPr>
                <w:rFonts w:eastAsia="Times New Roman" w:cs="Calibri"/>
                <w:color w:val="000000"/>
                <w:sz w:val="18"/>
                <w:szCs w:val="18"/>
                <w:lang w:val="en-US"/>
              </w:rPr>
            </w:pPr>
            <w:proofErr w:type="spellStart"/>
            <w:r w:rsidRPr="00941934">
              <w:rPr>
                <w:rFonts w:eastAsia="Times New Roman" w:cs="Calibri"/>
                <w:color w:val="000000"/>
                <w:sz w:val="18"/>
                <w:szCs w:val="18"/>
                <w:lang w:val="en-US"/>
              </w:rPr>
              <w:t>Secundária</w:t>
            </w:r>
            <w:proofErr w:type="spellEnd"/>
          </w:p>
        </w:tc>
        <w:tc>
          <w:tcPr>
            <w:tcW w:w="1130" w:type="dxa"/>
            <w:tcBorders>
              <w:top w:val="nil"/>
              <w:left w:val="nil"/>
              <w:bottom w:val="dotted" w:sz="4" w:space="0" w:color="auto"/>
              <w:right w:val="single" w:sz="4" w:space="0" w:color="auto"/>
            </w:tcBorders>
            <w:shd w:val="clear" w:color="auto" w:fill="auto"/>
            <w:noWrap/>
            <w:vAlign w:val="center"/>
            <w:hideMark/>
          </w:tcPr>
          <w:p w14:paraId="70D30E7B"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S</w:t>
            </w:r>
          </w:p>
        </w:tc>
        <w:tc>
          <w:tcPr>
            <w:tcW w:w="810" w:type="dxa"/>
            <w:tcBorders>
              <w:top w:val="nil"/>
              <w:left w:val="nil"/>
              <w:bottom w:val="dotted" w:sz="4" w:space="0" w:color="auto"/>
              <w:right w:val="single" w:sz="4" w:space="0" w:color="auto"/>
            </w:tcBorders>
            <w:shd w:val="clear" w:color="auto" w:fill="auto"/>
            <w:noWrap/>
            <w:vAlign w:val="center"/>
            <w:hideMark/>
          </w:tcPr>
          <w:p w14:paraId="6BDF6B09"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S</w:t>
            </w:r>
          </w:p>
        </w:tc>
      </w:tr>
      <w:tr w:rsidR="0083784F" w:rsidRPr="004A3402" w14:paraId="4FCE54DD" w14:textId="77777777" w:rsidTr="00941934">
        <w:trPr>
          <w:trHeight w:val="290"/>
        </w:trPr>
        <w:tc>
          <w:tcPr>
            <w:tcW w:w="1327" w:type="dxa"/>
            <w:tcBorders>
              <w:top w:val="nil"/>
              <w:left w:val="double" w:sz="6" w:space="0" w:color="auto"/>
              <w:bottom w:val="dotted" w:sz="4" w:space="0" w:color="auto"/>
              <w:right w:val="single" w:sz="4" w:space="0" w:color="auto"/>
            </w:tcBorders>
            <w:shd w:val="clear" w:color="auto" w:fill="auto"/>
            <w:noWrap/>
            <w:vAlign w:val="center"/>
            <w:hideMark/>
          </w:tcPr>
          <w:p w14:paraId="272CC9CF" w14:textId="77777777" w:rsidR="0083784F" w:rsidRPr="00941934" w:rsidRDefault="0083784F" w:rsidP="00941934">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Luabo</w:t>
            </w:r>
            <w:proofErr w:type="spellEnd"/>
          </w:p>
        </w:tc>
        <w:tc>
          <w:tcPr>
            <w:tcW w:w="1080" w:type="dxa"/>
            <w:tcBorders>
              <w:top w:val="nil"/>
              <w:left w:val="nil"/>
              <w:bottom w:val="dotted" w:sz="4" w:space="0" w:color="auto"/>
              <w:right w:val="single" w:sz="4" w:space="0" w:color="auto"/>
            </w:tcBorders>
            <w:shd w:val="clear" w:color="auto" w:fill="auto"/>
            <w:noWrap/>
            <w:vAlign w:val="center"/>
            <w:hideMark/>
          </w:tcPr>
          <w:p w14:paraId="7C46CCE2" w14:textId="77777777" w:rsidR="0083784F" w:rsidRPr="00941934" w:rsidRDefault="0083784F" w:rsidP="00941934">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Luabo</w:t>
            </w:r>
            <w:proofErr w:type="spellEnd"/>
          </w:p>
        </w:tc>
        <w:tc>
          <w:tcPr>
            <w:tcW w:w="990" w:type="dxa"/>
            <w:tcBorders>
              <w:top w:val="nil"/>
              <w:left w:val="nil"/>
              <w:bottom w:val="dotted" w:sz="4" w:space="0" w:color="auto"/>
              <w:right w:val="single" w:sz="4" w:space="0" w:color="auto"/>
            </w:tcBorders>
            <w:shd w:val="clear" w:color="auto" w:fill="auto"/>
            <w:noWrap/>
            <w:vAlign w:val="center"/>
            <w:hideMark/>
          </w:tcPr>
          <w:p w14:paraId="432EED44"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Vila B</w:t>
            </w:r>
          </w:p>
        </w:tc>
        <w:tc>
          <w:tcPr>
            <w:tcW w:w="1480" w:type="dxa"/>
            <w:tcBorders>
              <w:top w:val="nil"/>
              <w:left w:val="nil"/>
              <w:bottom w:val="dotted" w:sz="4" w:space="0" w:color="auto"/>
              <w:right w:val="single" w:sz="4" w:space="0" w:color="auto"/>
            </w:tcBorders>
            <w:shd w:val="clear" w:color="auto" w:fill="auto"/>
            <w:noWrap/>
            <w:vAlign w:val="center"/>
            <w:hideMark/>
          </w:tcPr>
          <w:p w14:paraId="7A512A95" w14:textId="77777777" w:rsidR="0083784F" w:rsidRPr="00941934" w:rsidRDefault="0083784F" w:rsidP="00941934">
            <w:pPr>
              <w:spacing w:before="0" w:after="0"/>
              <w:jc w:val="center"/>
              <w:rPr>
                <w:rFonts w:eastAsia="Times New Roman" w:cs="Calibri"/>
                <w:color w:val="000000"/>
                <w:sz w:val="18"/>
                <w:szCs w:val="18"/>
                <w:lang w:val="en-US"/>
              </w:rPr>
            </w:pPr>
            <w:proofErr w:type="spellStart"/>
            <w:r w:rsidRPr="00941934">
              <w:rPr>
                <w:rFonts w:eastAsia="Times New Roman" w:cs="Calibri"/>
                <w:color w:val="000000"/>
                <w:sz w:val="18"/>
                <w:szCs w:val="18"/>
                <w:lang w:val="en-US"/>
              </w:rPr>
              <w:t>Secundária</w:t>
            </w:r>
            <w:proofErr w:type="spellEnd"/>
          </w:p>
        </w:tc>
        <w:tc>
          <w:tcPr>
            <w:tcW w:w="1130" w:type="dxa"/>
            <w:tcBorders>
              <w:top w:val="nil"/>
              <w:left w:val="nil"/>
              <w:bottom w:val="dotted" w:sz="4" w:space="0" w:color="auto"/>
              <w:right w:val="single" w:sz="4" w:space="0" w:color="auto"/>
            </w:tcBorders>
            <w:shd w:val="clear" w:color="auto" w:fill="auto"/>
            <w:noWrap/>
            <w:vAlign w:val="center"/>
            <w:hideMark/>
          </w:tcPr>
          <w:p w14:paraId="16DB9104"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S</w:t>
            </w:r>
          </w:p>
        </w:tc>
        <w:tc>
          <w:tcPr>
            <w:tcW w:w="810" w:type="dxa"/>
            <w:tcBorders>
              <w:top w:val="nil"/>
              <w:left w:val="nil"/>
              <w:bottom w:val="dotted" w:sz="4" w:space="0" w:color="auto"/>
              <w:right w:val="single" w:sz="4" w:space="0" w:color="auto"/>
            </w:tcBorders>
            <w:shd w:val="clear" w:color="auto" w:fill="auto"/>
            <w:noWrap/>
            <w:vAlign w:val="center"/>
            <w:hideMark/>
          </w:tcPr>
          <w:p w14:paraId="0056F5BD"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S</w:t>
            </w:r>
          </w:p>
        </w:tc>
      </w:tr>
      <w:tr w:rsidR="0083784F" w:rsidRPr="004A3402" w14:paraId="393172DE" w14:textId="77777777" w:rsidTr="00941934">
        <w:trPr>
          <w:trHeight w:val="290"/>
        </w:trPr>
        <w:tc>
          <w:tcPr>
            <w:tcW w:w="1327" w:type="dxa"/>
            <w:tcBorders>
              <w:top w:val="nil"/>
              <w:left w:val="double" w:sz="6" w:space="0" w:color="auto"/>
              <w:bottom w:val="dotted" w:sz="4" w:space="0" w:color="auto"/>
              <w:right w:val="single" w:sz="4" w:space="0" w:color="auto"/>
            </w:tcBorders>
            <w:shd w:val="clear" w:color="auto" w:fill="auto"/>
            <w:noWrap/>
            <w:vAlign w:val="center"/>
            <w:hideMark/>
          </w:tcPr>
          <w:p w14:paraId="399A9048" w14:textId="77777777" w:rsidR="0083784F" w:rsidRPr="00941934" w:rsidRDefault="0083784F" w:rsidP="00941934">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Inhassunge</w:t>
            </w:r>
            <w:proofErr w:type="spellEnd"/>
          </w:p>
        </w:tc>
        <w:tc>
          <w:tcPr>
            <w:tcW w:w="1080" w:type="dxa"/>
            <w:tcBorders>
              <w:top w:val="nil"/>
              <w:left w:val="nil"/>
              <w:bottom w:val="dotted" w:sz="4" w:space="0" w:color="auto"/>
              <w:right w:val="single" w:sz="4" w:space="0" w:color="auto"/>
            </w:tcBorders>
            <w:shd w:val="clear" w:color="auto" w:fill="auto"/>
            <w:noWrap/>
            <w:vAlign w:val="center"/>
            <w:hideMark/>
          </w:tcPr>
          <w:p w14:paraId="799DE681" w14:textId="77777777" w:rsidR="0083784F" w:rsidRPr="00941934" w:rsidRDefault="0083784F" w:rsidP="00941934">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Inhassunge</w:t>
            </w:r>
            <w:proofErr w:type="spellEnd"/>
          </w:p>
        </w:tc>
        <w:tc>
          <w:tcPr>
            <w:tcW w:w="990" w:type="dxa"/>
            <w:tcBorders>
              <w:top w:val="nil"/>
              <w:left w:val="nil"/>
              <w:bottom w:val="dotted" w:sz="4" w:space="0" w:color="auto"/>
              <w:right w:val="single" w:sz="4" w:space="0" w:color="auto"/>
            </w:tcBorders>
            <w:shd w:val="clear" w:color="auto" w:fill="auto"/>
            <w:noWrap/>
            <w:vAlign w:val="center"/>
            <w:hideMark/>
          </w:tcPr>
          <w:p w14:paraId="39A0E697"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Vila B</w:t>
            </w:r>
          </w:p>
        </w:tc>
        <w:tc>
          <w:tcPr>
            <w:tcW w:w="1480" w:type="dxa"/>
            <w:tcBorders>
              <w:top w:val="nil"/>
              <w:left w:val="nil"/>
              <w:bottom w:val="dotted" w:sz="4" w:space="0" w:color="auto"/>
              <w:right w:val="single" w:sz="4" w:space="0" w:color="auto"/>
            </w:tcBorders>
            <w:shd w:val="clear" w:color="auto" w:fill="auto"/>
            <w:noWrap/>
            <w:vAlign w:val="center"/>
            <w:hideMark/>
          </w:tcPr>
          <w:p w14:paraId="6CBAEEEB" w14:textId="77777777" w:rsidR="0083784F" w:rsidRPr="00941934" w:rsidRDefault="0083784F" w:rsidP="00941934">
            <w:pPr>
              <w:spacing w:before="0" w:after="0"/>
              <w:jc w:val="center"/>
              <w:rPr>
                <w:rFonts w:eastAsia="Times New Roman" w:cs="Calibri"/>
                <w:color w:val="000000"/>
                <w:sz w:val="18"/>
                <w:szCs w:val="18"/>
                <w:lang w:val="en-US"/>
              </w:rPr>
            </w:pPr>
            <w:proofErr w:type="spellStart"/>
            <w:r w:rsidRPr="00941934">
              <w:rPr>
                <w:rFonts w:eastAsia="Times New Roman" w:cs="Calibri"/>
                <w:color w:val="000000"/>
                <w:sz w:val="18"/>
                <w:szCs w:val="18"/>
                <w:lang w:val="en-US"/>
              </w:rPr>
              <w:t>Secundária</w:t>
            </w:r>
            <w:proofErr w:type="spellEnd"/>
          </w:p>
        </w:tc>
        <w:tc>
          <w:tcPr>
            <w:tcW w:w="1130" w:type="dxa"/>
            <w:tcBorders>
              <w:top w:val="nil"/>
              <w:left w:val="nil"/>
              <w:bottom w:val="dotted" w:sz="4" w:space="0" w:color="auto"/>
              <w:right w:val="single" w:sz="4" w:space="0" w:color="auto"/>
            </w:tcBorders>
            <w:shd w:val="clear" w:color="auto" w:fill="auto"/>
            <w:noWrap/>
            <w:vAlign w:val="center"/>
            <w:hideMark/>
          </w:tcPr>
          <w:p w14:paraId="5A6C92D3"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S</w:t>
            </w:r>
          </w:p>
        </w:tc>
        <w:tc>
          <w:tcPr>
            <w:tcW w:w="810" w:type="dxa"/>
            <w:tcBorders>
              <w:top w:val="nil"/>
              <w:left w:val="nil"/>
              <w:bottom w:val="dotted" w:sz="4" w:space="0" w:color="auto"/>
              <w:right w:val="single" w:sz="4" w:space="0" w:color="auto"/>
            </w:tcBorders>
            <w:shd w:val="clear" w:color="auto" w:fill="auto"/>
            <w:noWrap/>
            <w:vAlign w:val="center"/>
            <w:hideMark/>
          </w:tcPr>
          <w:p w14:paraId="12498066"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S</w:t>
            </w:r>
          </w:p>
        </w:tc>
      </w:tr>
      <w:tr w:rsidR="0083784F" w:rsidRPr="004A3402" w14:paraId="66D9AE58" w14:textId="77777777" w:rsidTr="00941934">
        <w:trPr>
          <w:trHeight w:val="290"/>
        </w:trPr>
        <w:tc>
          <w:tcPr>
            <w:tcW w:w="1327" w:type="dxa"/>
            <w:tcBorders>
              <w:top w:val="nil"/>
              <w:left w:val="double" w:sz="6" w:space="0" w:color="auto"/>
              <w:bottom w:val="dotted" w:sz="4" w:space="0" w:color="auto"/>
              <w:right w:val="single" w:sz="4" w:space="0" w:color="auto"/>
            </w:tcBorders>
            <w:shd w:val="clear" w:color="auto" w:fill="auto"/>
            <w:noWrap/>
            <w:vAlign w:val="center"/>
            <w:hideMark/>
          </w:tcPr>
          <w:p w14:paraId="39107262" w14:textId="77777777" w:rsidR="0083784F" w:rsidRPr="00941934" w:rsidRDefault="0083784F" w:rsidP="00941934">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Chinde</w:t>
            </w:r>
            <w:proofErr w:type="spellEnd"/>
          </w:p>
        </w:tc>
        <w:tc>
          <w:tcPr>
            <w:tcW w:w="1080" w:type="dxa"/>
            <w:tcBorders>
              <w:top w:val="nil"/>
              <w:left w:val="nil"/>
              <w:bottom w:val="dotted" w:sz="4" w:space="0" w:color="auto"/>
              <w:right w:val="single" w:sz="4" w:space="0" w:color="auto"/>
            </w:tcBorders>
            <w:shd w:val="clear" w:color="auto" w:fill="auto"/>
            <w:noWrap/>
            <w:vAlign w:val="center"/>
            <w:hideMark/>
          </w:tcPr>
          <w:p w14:paraId="4700FB3C" w14:textId="77777777" w:rsidR="0083784F" w:rsidRPr="00941934" w:rsidRDefault="0083784F" w:rsidP="00941934">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Chinde</w:t>
            </w:r>
            <w:proofErr w:type="spellEnd"/>
          </w:p>
        </w:tc>
        <w:tc>
          <w:tcPr>
            <w:tcW w:w="990" w:type="dxa"/>
            <w:tcBorders>
              <w:top w:val="nil"/>
              <w:left w:val="nil"/>
              <w:bottom w:val="dotted" w:sz="4" w:space="0" w:color="auto"/>
              <w:right w:val="single" w:sz="4" w:space="0" w:color="auto"/>
            </w:tcBorders>
            <w:shd w:val="clear" w:color="auto" w:fill="auto"/>
            <w:noWrap/>
            <w:vAlign w:val="center"/>
            <w:hideMark/>
          </w:tcPr>
          <w:p w14:paraId="0BB2FA47"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Vila B</w:t>
            </w:r>
          </w:p>
        </w:tc>
        <w:tc>
          <w:tcPr>
            <w:tcW w:w="1480" w:type="dxa"/>
            <w:tcBorders>
              <w:top w:val="nil"/>
              <w:left w:val="nil"/>
              <w:bottom w:val="dotted" w:sz="4" w:space="0" w:color="auto"/>
              <w:right w:val="single" w:sz="4" w:space="0" w:color="auto"/>
            </w:tcBorders>
            <w:shd w:val="clear" w:color="auto" w:fill="auto"/>
            <w:noWrap/>
            <w:vAlign w:val="center"/>
            <w:hideMark/>
          </w:tcPr>
          <w:p w14:paraId="6C382239" w14:textId="77777777" w:rsidR="0083784F" w:rsidRPr="00941934" w:rsidRDefault="0083784F" w:rsidP="00941934">
            <w:pPr>
              <w:spacing w:before="0" w:after="0"/>
              <w:jc w:val="center"/>
              <w:rPr>
                <w:rFonts w:eastAsia="Times New Roman" w:cs="Calibri"/>
                <w:color w:val="000000"/>
                <w:sz w:val="18"/>
                <w:szCs w:val="18"/>
                <w:lang w:val="en-US"/>
              </w:rPr>
            </w:pPr>
            <w:proofErr w:type="spellStart"/>
            <w:r w:rsidRPr="00941934">
              <w:rPr>
                <w:rFonts w:eastAsia="Times New Roman" w:cs="Calibri"/>
                <w:color w:val="000000"/>
                <w:sz w:val="18"/>
                <w:szCs w:val="18"/>
                <w:lang w:val="en-US"/>
              </w:rPr>
              <w:t>Secundária</w:t>
            </w:r>
            <w:proofErr w:type="spellEnd"/>
          </w:p>
        </w:tc>
        <w:tc>
          <w:tcPr>
            <w:tcW w:w="1130" w:type="dxa"/>
            <w:tcBorders>
              <w:top w:val="nil"/>
              <w:left w:val="nil"/>
              <w:bottom w:val="dotted" w:sz="4" w:space="0" w:color="auto"/>
              <w:right w:val="single" w:sz="4" w:space="0" w:color="auto"/>
            </w:tcBorders>
            <w:shd w:val="clear" w:color="auto" w:fill="auto"/>
            <w:noWrap/>
            <w:vAlign w:val="center"/>
            <w:hideMark/>
          </w:tcPr>
          <w:p w14:paraId="4085D9E5"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S</w:t>
            </w:r>
          </w:p>
        </w:tc>
        <w:tc>
          <w:tcPr>
            <w:tcW w:w="810" w:type="dxa"/>
            <w:tcBorders>
              <w:top w:val="nil"/>
              <w:left w:val="nil"/>
              <w:bottom w:val="dotted" w:sz="4" w:space="0" w:color="auto"/>
              <w:right w:val="single" w:sz="4" w:space="0" w:color="auto"/>
            </w:tcBorders>
            <w:shd w:val="clear" w:color="auto" w:fill="auto"/>
            <w:noWrap/>
            <w:vAlign w:val="center"/>
            <w:hideMark/>
          </w:tcPr>
          <w:p w14:paraId="6A050353"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S</w:t>
            </w:r>
          </w:p>
        </w:tc>
      </w:tr>
      <w:tr w:rsidR="0083784F" w:rsidRPr="004A3402" w14:paraId="760390E7" w14:textId="77777777" w:rsidTr="00941934">
        <w:trPr>
          <w:trHeight w:val="300"/>
        </w:trPr>
        <w:tc>
          <w:tcPr>
            <w:tcW w:w="1327" w:type="dxa"/>
            <w:tcBorders>
              <w:top w:val="nil"/>
              <w:left w:val="double" w:sz="6" w:space="0" w:color="auto"/>
              <w:bottom w:val="double" w:sz="6" w:space="0" w:color="auto"/>
              <w:right w:val="single" w:sz="4" w:space="0" w:color="auto"/>
            </w:tcBorders>
            <w:shd w:val="clear" w:color="auto" w:fill="auto"/>
            <w:noWrap/>
            <w:vAlign w:val="center"/>
            <w:hideMark/>
          </w:tcPr>
          <w:p w14:paraId="0CDEA636" w14:textId="77777777" w:rsidR="0083784F" w:rsidRPr="00941934" w:rsidRDefault="0083784F" w:rsidP="00941934">
            <w:pPr>
              <w:spacing w:before="0" w:after="0"/>
              <w:jc w:val="left"/>
              <w:rPr>
                <w:rFonts w:eastAsia="Times New Roman" w:cs="Calibri"/>
                <w:color w:val="000000"/>
                <w:sz w:val="18"/>
                <w:szCs w:val="18"/>
                <w:lang w:val="en-US"/>
              </w:rPr>
            </w:pPr>
            <w:r w:rsidRPr="00941934">
              <w:rPr>
                <w:rFonts w:eastAsia="Times New Roman" w:cs="Calibri"/>
                <w:color w:val="000000"/>
                <w:sz w:val="18"/>
                <w:szCs w:val="18"/>
                <w:lang w:val="en-US"/>
              </w:rPr>
              <w:t> </w:t>
            </w:r>
          </w:p>
        </w:tc>
        <w:tc>
          <w:tcPr>
            <w:tcW w:w="1080" w:type="dxa"/>
            <w:tcBorders>
              <w:top w:val="nil"/>
              <w:left w:val="nil"/>
              <w:bottom w:val="double" w:sz="6" w:space="0" w:color="auto"/>
              <w:right w:val="single" w:sz="4" w:space="0" w:color="auto"/>
            </w:tcBorders>
            <w:shd w:val="clear" w:color="auto" w:fill="auto"/>
            <w:noWrap/>
            <w:vAlign w:val="center"/>
            <w:hideMark/>
          </w:tcPr>
          <w:p w14:paraId="549B236F" w14:textId="77777777" w:rsidR="0083784F" w:rsidRPr="00941934" w:rsidRDefault="0083784F" w:rsidP="00941934">
            <w:pPr>
              <w:spacing w:before="0" w:after="0"/>
              <w:jc w:val="left"/>
              <w:rPr>
                <w:rFonts w:eastAsia="Times New Roman" w:cs="Calibri"/>
                <w:color w:val="000000"/>
                <w:sz w:val="18"/>
                <w:szCs w:val="18"/>
                <w:lang w:val="en-US"/>
              </w:rPr>
            </w:pPr>
            <w:r w:rsidRPr="00941934">
              <w:rPr>
                <w:rFonts w:eastAsia="Times New Roman" w:cs="Calibri"/>
                <w:color w:val="000000"/>
                <w:sz w:val="18"/>
                <w:szCs w:val="18"/>
                <w:lang w:val="en-US"/>
              </w:rPr>
              <w:t> </w:t>
            </w:r>
          </w:p>
        </w:tc>
        <w:tc>
          <w:tcPr>
            <w:tcW w:w="990" w:type="dxa"/>
            <w:tcBorders>
              <w:top w:val="nil"/>
              <w:left w:val="nil"/>
              <w:bottom w:val="double" w:sz="6" w:space="0" w:color="auto"/>
              <w:right w:val="single" w:sz="4" w:space="0" w:color="auto"/>
            </w:tcBorders>
            <w:shd w:val="clear" w:color="auto" w:fill="auto"/>
            <w:noWrap/>
            <w:vAlign w:val="center"/>
            <w:hideMark/>
          </w:tcPr>
          <w:p w14:paraId="5EAB2D8B"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 </w:t>
            </w:r>
          </w:p>
        </w:tc>
        <w:tc>
          <w:tcPr>
            <w:tcW w:w="1480" w:type="dxa"/>
            <w:tcBorders>
              <w:top w:val="nil"/>
              <w:left w:val="nil"/>
              <w:bottom w:val="double" w:sz="6" w:space="0" w:color="auto"/>
              <w:right w:val="single" w:sz="4" w:space="0" w:color="auto"/>
            </w:tcBorders>
            <w:shd w:val="clear" w:color="auto" w:fill="auto"/>
            <w:noWrap/>
            <w:vAlign w:val="center"/>
            <w:hideMark/>
          </w:tcPr>
          <w:p w14:paraId="67FF0DA1"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 </w:t>
            </w:r>
          </w:p>
        </w:tc>
        <w:tc>
          <w:tcPr>
            <w:tcW w:w="1130" w:type="dxa"/>
            <w:tcBorders>
              <w:top w:val="nil"/>
              <w:left w:val="nil"/>
              <w:bottom w:val="double" w:sz="6" w:space="0" w:color="auto"/>
              <w:right w:val="single" w:sz="4" w:space="0" w:color="auto"/>
            </w:tcBorders>
            <w:shd w:val="clear" w:color="auto" w:fill="auto"/>
            <w:noWrap/>
            <w:vAlign w:val="center"/>
            <w:hideMark/>
          </w:tcPr>
          <w:p w14:paraId="3EBAB50D"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 </w:t>
            </w:r>
          </w:p>
        </w:tc>
        <w:tc>
          <w:tcPr>
            <w:tcW w:w="810" w:type="dxa"/>
            <w:tcBorders>
              <w:top w:val="nil"/>
              <w:left w:val="nil"/>
              <w:bottom w:val="double" w:sz="6" w:space="0" w:color="auto"/>
              <w:right w:val="single" w:sz="4" w:space="0" w:color="auto"/>
            </w:tcBorders>
            <w:shd w:val="clear" w:color="auto" w:fill="auto"/>
            <w:noWrap/>
            <w:vAlign w:val="center"/>
            <w:hideMark/>
          </w:tcPr>
          <w:p w14:paraId="1BC08C37" w14:textId="77777777" w:rsidR="0083784F" w:rsidRPr="00941934" w:rsidRDefault="0083784F" w:rsidP="00941934">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 </w:t>
            </w:r>
          </w:p>
        </w:tc>
      </w:tr>
    </w:tbl>
    <w:p w14:paraId="084BE19A" w14:textId="53146761" w:rsidR="007C55D3" w:rsidRPr="00292532" w:rsidRDefault="004A3402" w:rsidP="006D2771">
      <w:pPr>
        <w:rPr>
          <w:rFonts w:asciiTheme="minorHAnsi" w:hAnsiTheme="minorHAnsi" w:cstheme="minorHAnsi"/>
          <w:i/>
          <w:iCs/>
          <w:lang w:val="pt-PT"/>
        </w:rPr>
      </w:pPr>
      <w:r>
        <w:rPr>
          <w:lang w:val="pt-PT" w:eastAsia="ja-JP"/>
        </w:rPr>
        <w:fldChar w:fldCharType="end"/>
      </w:r>
      <w:bookmarkStart w:id="34" w:name="_Hlk75441064"/>
      <w:r w:rsidR="007C55D3" w:rsidRPr="00292532">
        <w:rPr>
          <w:rFonts w:asciiTheme="minorHAnsi" w:hAnsiTheme="minorHAnsi" w:cstheme="minorHAnsi"/>
          <w:b/>
          <w:bCs/>
          <w:i/>
          <w:iCs/>
          <w:lang w:val="pt-PT"/>
        </w:rPr>
        <w:t>Componente 2:</w:t>
      </w:r>
      <w:r w:rsidR="007C55D3" w:rsidRPr="00292532">
        <w:rPr>
          <w:rFonts w:asciiTheme="minorHAnsi" w:hAnsiTheme="minorHAnsi" w:cstheme="minorHAnsi"/>
          <w:i/>
          <w:iCs/>
          <w:lang w:val="pt-PT"/>
        </w:rPr>
        <w:t xml:space="preserve"> Fortalecimento dos serviços de abastecimento de água e </w:t>
      </w:r>
      <w:r w:rsidR="00C37651" w:rsidRPr="00292532">
        <w:rPr>
          <w:rFonts w:asciiTheme="minorHAnsi" w:hAnsiTheme="minorHAnsi" w:cstheme="minorHAnsi"/>
          <w:i/>
          <w:iCs/>
          <w:lang w:val="pt-PT"/>
        </w:rPr>
        <w:t xml:space="preserve">saneamento </w:t>
      </w:r>
      <w:r w:rsidR="007C55D3" w:rsidRPr="00292532">
        <w:rPr>
          <w:rFonts w:asciiTheme="minorHAnsi" w:hAnsiTheme="minorHAnsi" w:cstheme="minorHAnsi"/>
          <w:i/>
          <w:iCs/>
          <w:lang w:val="pt-PT"/>
        </w:rPr>
        <w:t>nas zonas rurais</w:t>
      </w:r>
    </w:p>
    <w:bookmarkEnd w:id="34"/>
    <w:p w14:paraId="621A8BEA" w14:textId="2DD74A26" w:rsidR="007C55D3" w:rsidRPr="00292532" w:rsidRDefault="007C55D3" w:rsidP="007C55D3">
      <w:pPr>
        <w:spacing w:before="120" w:after="100" w:afterAutospacing="1"/>
        <w:ind w:right="28"/>
        <w:rPr>
          <w:rFonts w:asciiTheme="minorHAnsi" w:hAnsiTheme="minorHAnsi" w:cstheme="minorHAnsi"/>
          <w:lang w:val="pt-PT"/>
        </w:rPr>
      </w:pPr>
      <w:r w:rsidRPr="00292532">
        <w:rPr>
          <w:rFonts w:asciiTheme="minorHAnsi" w:hAnsiTheme="minorHAnsi" w:cstheme="minorHAnsi"/>
          <w:lang w:val="pt-PT"/>
        </w:rPr>
        <w:t>Esta componente tem como foco o aumento do acesso</w:t>
      </w:r>
      <w:r w:rsidR="00E946C8" w:rsidRPr="00292532">
        <w:rPr>
          <w:rFonts w:asciiTheme="minorHAnsi" w:hAnsiTheme="minorHAnsi" w:cstheme="minorHAnsi"/>
          <w:lang w:val="pt-PT"/>
        </w:rPr>
        <w:t xml:space="preserve"> </w:t>
      </w:r>
      <w:r w:rsidR="00E946C8" w:rsidRPr="00292532">
        <w:rPr>
          <w:szCs w:val="24"/>
          <w:u w:color="000000"/>
          <w:shd w:val="clear" w:color="auto" w:fill="FFFFFF"/>
          <w:lang w:val="pt-PT" w:eastAsia="pt-PT"/>
        </w:rPr>
        <w:t>a serviços de abastecimento de água e saneamento geridos de forma segura</w:t>
      </w:r>
      <w:r w:rsidRPr="00292532">
        <w:rPr>
          <w:rFonts w:asciiTheme="minorHAnsi" w:hAnsiTheme="minorHAnsi" w:cstheme="minorHAnsi"/>
          <w:lang w:val="pt-PT"/>
        </w:rPr>
        <w:t xml:space="preserve"> nas zonas rurais</w:t>
      </w:r>
      <w:r w:rsidR="0080414D">
        <w:rPr>
          <w:rFonts w:asciiTheme="minorHAnsi" w:hAnsiTheme="minorHAnsi" w:cstheme="minorHAnsi"/>
          <w:lang w:val="pt-PT"/>
        </w:rPr>
        <w:t xml:space="preserve">, contribuir par a melhoria da capacidade de planificação, realizar </w:t>
      </w:r>
      <w:proofErr w:type="spellStart"/>
      <w:r w:rsidR="0080414D">
        <w:rPr>
          <w:rFonts w:asciiTheme="minorHAnsi" w:hAnsiTheme="minorHAnsi" w:cstheme="minorHAnsi"/>
          <w:lang w:val="pt-PT"/>
        </w:rPr>
        <w:t>ivenstimentos</w:t>
      </w:r>
      <w:proofErr w:type="spellEnd"/>
      <w:r w:rsidR="0080414D">
        <w:rPr>
          <w:rFonts w:asciiTheme="minorHAnsi" w:hAnsiTheme="minorHAnsi" w:cstheme="minorHAnsi"/>
          <w:lang w:val="pt-PT"/>
        </w:rPr>
        <w:t xml:space="preserve"> e monitoria a nível provincial e distrital, e reforçar a capacidade dos governos locais e grupos </w:t>
      </w:r>
      <w:proofErr w:type="spellStart"/>
      <w:r w:rsidR="0080414D">
        <w:rPr>
          <w:rFonts w:asciiTheme="minorHAnsi" w:hAnsiTheme="minorHAnsi" w:cstheme="minorHAnsi"/>
          <w:lang w:val="pt-PT"/>
        </w:rPr>
        <w:t>comunitáros</w:t>
      </w:r>
      <w:proofErr w:type="spellEnd"/>
      <w:r w:rsidRPr="00292532">
        <w:rPr>
          <w:rFonts w:asciiTheme="minorHAnsi" w:hAnsiTheme="minorHAnsi" w:cstheme="minorHAnsi"/>
          <w:lang w:val="pt-PT"/>
        </w:rPr>
        <w:t xml:space="preserve">, prevendo-se as seguintes intervenções: </w:t>
      </w:r>
    </w:p>
    <w:p w14:paraId="44AF8D58" w14:textId="25D3A9E3" w:rsidR="001A21CB" w:rsidRPr="00292532" w:rsidRDefault="001A21CB" w:rsidP="00AE14AE">
      <w:pPr>
        <w:pStyle w:val="ListParagraph"/>
        <w:numPr>
          <w:ilvl w:val="0"/>
          <w:numId w:val="120"/>
        </w:numPr>
        <w:spacing w:before="120" w:after="100" w:afterAutospacing="1"/>
        <w:ind w:right="28"/>
        <w:rPr>
          <w:rFonts w:asciiTheme="minorHAnsi" w:hAnsiTheme="minorHAnsi" w:cstheme="minorHAnsi"/>
          <w:lang w:val="pt-PT"/>
        </w:rPr>
      </w:pPr>
      <w:r w:rsidRPr="00292532">
        <w:rPr>
          <w:rFonts w:asciiTheme="minorHAnsi" w:hAnsiTheme="minorHAnsi" w:cstheme="minorHAnsi"/>
          <w:lang w:val="pt-PT"/>
        </w:rPr>
        <w:t>Construção de sistemas de abastecimento de água para centros de crescimento rural;</w:t>
      </w:r>
    </w:p>
    <w:p w14:paraId="7E29D4BF" w14:textId="5FB5D68E" w:rsidR="001A21CB" w:rsidRPr="00292532" w:rsidRDefault="001A21CB" w:rsidP="00876367">
      <w:pPr>
        <w:pStyle w:val="Caption"/>
      </w:pPr>
      <w:bookmarkStart w:id="35" w:name="_Toc75438144"/>
      <w:bookmarkStart w:id="36" w:name="_Toc80380250"/>
      <w:r w:rsidRPr="00292532">
        <w:t xml:space="preserve">Tabela </w:t>
      </w:r>
      <w:r w:rsidRPr="00292532">
        <w:fldChar w:fldCharType="begin"/>
      </w:r>
      <w:r w:rsidRPr="00292532">
        <w:instrText xml:space="preserve"> SEQ Tabela \* ARABIC </w:instrText>
      </w:r>
      <w:r w:rsidRPr="00292532">
        <w:fldChar w:fldCharType="separate"/>
      </w:r>
      <w:r w:rsidR="000D7B05">
        <w:rPr>
          <w:noProof/>
        </w:rPr>
        <w:t>3</w:t>
      </w:r>
      <w:r w:rsidRPr="00292532">
        <w:fldChar w:fldCharType="end"/>
      </w:r>
      <w:r w:rsidRPr="00292532">
        <w:t>: Locais de Abrangidos pela Componente 2 na Província de Nampula</w:t>
      </w:r>
      <w:bookmarkEnd w:id="35"/>
      <w:bookmarkEnd w:id="36"/>
    </w:p>
    <w:tbl>
      <w:tblPr>
        <w:tblW w:w="8365" w:type="dxa"/>
        <w:tblLook w:val="04A0" w:firstRow="1" w:lastRow="0" w:firstColumn="1" w:lastColumn="0" w:noHBand="0" w:noVBand="1"/>
      </w:tblPr>
      <w:tblGrid>
        <w:gridCol w:w="1314"/>
        <w:gridCol w:w="3541"/>
        <w:gridCol w:w="3510"/>
      </w:tblGrid>
      <w:tr w:rsidR="0083784F" w:rsidRPr="00292532" w14:paraId="1BB710BF" w14:textId="77777777" w:rsidTr="00941934">
        <w:trPr>
          <w:trHeight w:val="300"/>
        </w:trPr>
        <w:tc>
          <w:tcPr>
            <w:tcW w:w="1314" w:type="dxa"/>
            <w:tcBorders>
              <w:top w:val="nil"/>
              <w:left w:val="single" w:sz="4" w:space="0" w:color="auto"/>
              <w:bottom w:val="single" w:sz="4" w:space="0" w:color="auto"/>
              <w:right w:val="single" w:sz="4" w:space="0" w:color="auto"/>
            </w:tcBorders>
            <w:shd w:val="clear" w:color="000000" w:fill="D9E1F2"/>
            <w:noWrap/>
            <w:vAlign w:val="bottom"/>
            <w:hideMark/>
          </w:tcPr>
          <w:p w14:paraId="58838195" w14:textId="77777777" w:rsidR="0083784F" w:rsidRPr="004500AE" w:rsidRDefault="0083784F" w:rsidP="000574C7">
            <w:pPr>
              <w:spacing w:before="0" w:after="0"/>
              <w:jc w:val="left"/>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Distrito </w:t>
            </w:r>
          </w:p>
        </w:tc>
        <w:tc>
          <w:tcPr>
            <w:tcW w:w="7051" w:type="dxa"/>
            <w:gridSpan w:val="2"/>
            <w:tcBorders>
              <w:top w:val="single" w:sz="4" w:space="0" w:color="auto"/>
              <w:left w:val="nil"/>
              <w:bottom w:val="single" w:sz="4" w:space="0" w:color="auto"/>
              <w:right w:val="single" w:sz="4" w:space="0" w:color="auto"/>
            </w:tcBorders>
            <w:shd w:val="clear" w:color="000000" w:fill="D9E1F2"/>
            <w:noWrap/>
            <w:vAlign w:val="bottom"/>
            <w:hideMark/>
          </w:tcPr>
          <w:p w14:paraId="480F0353" w14:textId="77777777" w:rsidR="0083784F" w:rsidRPr="004500AE" w:rsidRDefault="0083784F" w:rsidP="000574C7">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Local</w:t>
            </w:r>
          </w:p>
        </w:tc>
      </w:tr>
      <w:tr w:rsidR="0083784F" w:rsidRPr="00292532" w14:paraId="27D6C3B7" w14:textId="77777777" w:rsidTr="00941934">
        <w:trPr>
          <w:trHeight w:val="600"/>
        </w:trPr>
        <w:tc>
          <w:tcPr>
            <w:tcW w:w="131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90A3DC3" w14:textId="77777777" w:rsidR="0083784F" w:rsidRPr="004500AE" w:rsidRDefault="0083784F" w:rsidP="000574C7">
            <w:pPr>
              <w:spacing w:before="0" w:after="0"/>
              <w:jc w:val="left"/>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Malema</w:t>
            </w:r>
          </w:p>
        </w:tc>
        <w:tc>
          <w:tcPr>
            <w:tcW w:w="3541" w:type="dxa"/>
            <w:tcBorders>
              <w:top w:val="nil"/>
              <w:left w:val="nil"/>
              <w:right w:val="single" w:sz="4" w:space="0" w:color="auto"/>
            </w:tcBorders>
            <w:shd w:val="clear" w:color="auto" w:fill="auto"/>
            <w:noWrap/>
            <w:vAlign w:val="bottom"/>
          </w:tcPr>
          <w:p w14:paraId="5D18CA18" w14:textId="6DF62745" w:rsidR="0083784F" w:rsidRPr="00B3619B" w:rsidRDefault="0083784F" w:rsidP="00155EB3">
            <w:pPr>
              <w:spacing w:before="0" w:after="0"/>
              <w:jc w:val="left"/>
              <w:rPr>
                <w:rFonts w:asciiTheme="minorHAnsi" w:eastAsia="Times New Roman" w:hAnsiTheme="minorHAnsi" w:cstheme="minorHAnsi"/>
                <w:color w:val="000000"/>
                <w:sz w:val="18"/>
                <w:szCs w:val="18"/>
                <w:highlight w:val="red"/>
                <w:lang w:val="pt-PT"/>
              </w:rPr>
            </w:pPr>
          </w:p>
          <w:p w14:paraId="78F05287" w14:textId="1B0DD47C" w:rsidR="0083784F" w:rsidRPr="00941934" w:rsidRDefault="0083784F" w:rsidP="00155EB3">
            <w:pPr>
              <w:spacing w:before="0" w:after="0"/>
              <w:jc w:val="left"/>
              <w:rPr>
                <w:rFonts w:asciiTheme="minorHAnsi" w:eastAsia="Times New Roman" w:hAnsiTheme="minorHAnsi" w:cstheme="minorHAnsi"/>
                <w:color w:val="000000"/>
                <w:sz w:val="18"/>
                <w:szCs w:val="18"/>
                <w:highlight w:val="red"/>
                <w:lang w:val="pt-PT"/>
              </w:rPr>
            </w:pPr>
            <w:r w:rsidRPr="004500AE">
              <w:rPr>
                <w:rFonts w:asciiTheme="minorHAnsi" w:eastAsia="Times New Roman" w:hAnsiTheme="minorHAnsi" w:cstheme="minorHAnsi"/>
                <w:color w:val="000000"/>
                <w:sz w:val="18"/>
                <w:szCs w:val="18"/>
                <w:lang w:val="pt-PT"/>
              </w:rPr>
              <w:t xml:space="preserve">Construção do SAA </w:t>
            </w:r>
          </w:p>
        </w:tc>
        <w:tc>
          <w:tcPr>
            <w:tcW w:w="3510" w:type="dxa"/>
            <w:tcBorders>
              <w:top w:val="nil"/>
              <w:left w:val="nil"/>
              <w:right w:val="single" w:sz="4" w:space="0" w:color="auto"/>
            </w:tcBorders>
            <w:shd w:val="clear" w:color="auto" w:fill="auto"/>
            <w:noWrap/>
            <w:vAlign w:val="bottom"/>
          </w:tcPr>
          <w:p w14:paraId="3EE2AD02" w14:textId="174D7276" w:rsidR="0083784F" w:rsidRPr="00B3619B" w:rsidRDefault="0083784F" w:rsidP="000574C7">
            <w:pPr>
              <w:spacing w:before="0" w:after="0"/>
              <w:jc w:val="left"/>
              <w:rPr>
                <w:rFonts w:asciiTheme="minorHAnsi" w:eastAsia="Times New Roman" w:hAnsiTheme="minorHAnsi" w:cstheme="minorHAnsi"/>
                <w:color w:val="000000"/>
                <w:sz w:val="18"/>
                <w:szCs w:val="18"/>
                <w:highlight w:val="red"/>
                <w:lang w:val="pt-PT"/>
              </w:rPr>
            </w:pPr>
          </w:p>
          <w:p w14:paraId="369B0C70" w14:textId="112CDE07" w:rsidR="0083784F" w:rsidRPr="00941934" w:rsidRDefault="0083784F" w:rsidP="000574C7">
            <w:pPr>
              <w:spacing w:before="0" w:after="0"/>
              <w:jc w:val="left"/>
              <w:rPr>
                <w:rFonts w:asciiTheme="minorHAnsi" w:eastAsia="Times New Roman" w:hAnsiTheme="minorHAnsi" w:cstheme="minorHAnsi"/>
                <w:color w:val="000000"/>
                <w:sz w:val="18"/>
                <w:szCs w:val="18"/>
                <w:highlight w:val="red"/>
                <w:lang w:val="pt-PT"/>
              </w:rPr>
            </w:pPr>
            <w:proofErr w:type="spellStart"/>
            <w:r w:rsidRPr="004500AE">
              <w:rPr>
                <w:rFonts w:asciiTheme="minorHAnsi" w:eastAsia="Times New Roman" w:hAnsiTheme="minorHAnsi" w:cstheme="minorHAnsi"/>
                <w:color w:val="000000"/>
                <w:sz w:val="18"/>
                <w:szCs w:val="18"/>
                <w:lang w:val="pt-PT"/>
              </w:rPr>
              <w:t>Ch</w:t>
            </w:r>
            <w:r>
              <w:rPr>
                <w:rFonts w:asciiTheme="minorHAnsi" w:eastAsia="Times New Roman" w:hAnsiTheme="minorHAnsi" w:cstheme="minorHAnsi"/>
                <w:color w:val="000000"/>
                <w:sz w:val="18"/>
                <w:szCs w:val="18"/>
                <w:lang w:val="pt-PT"/>
              </w:rPr>
              <w:t>i</w:t>
            </w:r>
            <w:r w:rsidRPr="004500AE">
              <w:rPr>
                <w:rFonts w:asciiTheme="minorHAnsi" w:eastAsia="Times New Roman" w:hAnsiTheme="minorHAnsi" w:cstheme="minorHAnsi"/>
                <w:color w:val="000000"/>
                <w:sz w:val="18"/>
                <w:szCs w:val="18"/>
                <w:lang w:val="pt-PT"/>
              </w:rPr>
              <w:t>hulo</w:t>
            </w:r>
            <w:proofErr w:type="spellEnd"/>
          </w:p>
        </w:tc>
      </w:tr>
      <w:tr w:rsidR="0083784F" w:rsidRPr="00292532" w14:paraId="51CDFD76" w14:textId="77777777" w:rsidTr="00941934">
        <w:trPr>
          <w:trHeight w:val="300"/>
        </w:trPr>
        <w:tc>
          <w:tcPr>
            <w:tcW w:w="1314" w:type="dxa"/>
            <w:vMerge/>
            <w:tcBorders>
              <w:top w:val="nil"/>
              <w:left w:val="single" w:sz="4" w:space="0" w:color="auto"/>
              <w:bottom w:val="single" w:sz="4" w:space="0" w:color="auto"/>
              <w:right w:val="single" w:sz="4" w:space="0" w:color="auto"/>
            </w:tcBorders>
            <w:vAlign w:val="center"/>
            <w:hideMark/>
          </w:tcPr>
          <w:p w14:paraId="0B2838C8" w14:textId="77777777" w:rsidR="0083784F" w:rsidRPr="004500AE" w:rsidRDefault="0083784F" w:rsidP="000574C7">
            <w:pPr>
              <w:spacing w:before="0" w:after="0"/>
              <w:jc w:val="left"/>
              <w:rPr>
                <w:rFonts w:asciiTheme="minorHAnsi" w:eastAsia="Times New Roman" w:hAnsiTheme="minorHAnsi" w:cstheme="minorHAnsi"/>
                <w:color w:val="000000"/>
                <w:sz w:val="18"/>
                <w:szCs w:val="18"/>
                <w:lang w:val="pt-PT"/>
              </w:rPr>
            </w:pPr>
          </w:p>
        </w:tc>
        <w:tc>
          <w:tcPr>
            <w:tcW w:w="3541" w:type="dxa"/>
            <w:tcBorders>
              <w:top w:val="nil"/>
              <w:left w:val="nil"/>
              <w:bottom w:val="single" w:sz="4" w:space="0" w:color="auto"/>
              <w:right w:val="single" w:sz="4" w:space="0" w:color="auto"/>
            </w:tcBorders>
            <w:shd w:val="clear" w:color="auto" w:fill="auto"/>
            <w:noWrap/>
            <w:vAlign w:val="bottom"/>
            <w:hideMark/>
          </w:tcPr>
          <w:p w14:paraId="21170EED" w14:textId="3DECD217" w:rsidR="0083784F" w:rsidRPr="004500AE" w:rsidRDefault="0083784F" w:rsidP="00155EB3">
            <w:pPr>
              <w:spacing w:before="0" w:after="0"/>
              <w:jc w:val="left"/>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Construção do SAA </w:t>
            </w:r>
          </w:p>
        </w:tc>
        <w:tc>
          <w:tcPr>
            <w:tcW w:w="3510" w:type="dxa"/>
            <w:tcBorders>
              <w:top w:val="nil"/>
              <w:left w:val="nil"/>
              <w:bottom w:val="single" w:sz="4" w:space="0" w:color="auto"/>
              <w:right w:val="single" w:sz="4" w:space="0" w:color="auto"/>
            </w:tcBorders>
            <w:shd w:val="clear" w:color="auto" w:fill="auto"/>
            <w:noWrap/>
            <w:vAlign w:val="bottom"/>
            <w:hideMark/>
          </w:tcPr>
          <w:p w14:paraId="0CA44B67" w14:textId="41449CDD" w:rsidR="0083784F" w:rsidRPr="004500AE" w:rsidRDefault="0083784F" w:rsidP="00155EB3">
            <w:pPr>
              <w:spacing w:before="0" w:after="0"/>
              <w:jc w:val="left"/>
              <w:rPr>
                <w:rFonts w:asciiTheme="minorHAnsi" w:eastAsia="Times New Roman" w:hAnsiTheme="minorHAnsi" w:cstheme="minorHAnsi"/>
                <w:color w:val="000000"/>
                <w:sz w:val="18"/>
                <w:szCs w:val="18"/>
                <w:lang w:val="pt-PT"/>
              </w:rPr>
            </w:pPr>
            <w:proofErr w:type="spellStart"/>
            <w:r w:rsidRPr="004500AE">
              <w:rPr>
                <w:rFonts w:asciiTheme="minorHAnsi" w:eastAsia="Times New Roman" w:hAnsiTheme="minorHAnsi" w:cstheme="minorHAnsi"/>
                <w:color w:val="000000"/>
                <w:sz w:val="18"/>
                <w:szCs w:val="18"/>
                <w:lang w:val="pt-PT"/>
              </w:rPr>
              <w:t>Nio</w:t>
            </w:r>
            <w:r>
              <w:rPr>
                <w:rFonts w:asciiTheme="minorHAnsi" w:eastAsia="Times New Roman" w:hAnsiTheme="minorHAnsi" w:cstheme="minorHAnsi"/>
                <w:color w:val="000000"/>
                <w:sz w:val="18"/>
                <w:szCs w:val="18"/>
                <w:lang w:val="pt-PT"/>
              </w:rPr>
              <w:t>ss</w:t>
            </w:r>
            <w:r w:rsidRPr="004500AE">
              <w:rPr>
                <w:rFonts w:asciiTheme="minorHAnsi" w:eastAsia="Times New Roman" w:hAnsiTheme="minorHAnsi" w:cstheme="minorHAnsi"/>
                <w:color w:val="000000"/>
                <w:sz w:val="18"/>
                <w:szCs w:val="18"/>
                <w:lang w:val="pt-PT"/>
              </w:rPr>
              <w:t>e</w:t>
            </w:r>
            <w:proofErr w:type="spellEnd"/>
            <w:r w:rsidRPr="004500AE">
              <w:rPr>
                <w:rFonts w:asciiTheme="minorHAnsi" w:eastAsia="Times New Roman" w:hAnsiTheme="minorHAnsi" w:cstheme="minorHAnsi"/>
                <w:color w:val="000000"/>
                <w:sz w:val="18"/>
                <w:szCs w:val="18"/>
                <w:lang w:val="pt-PT"/>
              </w:rPr>
              <w:t xml:space="preserve"> </w:t>
            </w:r>
          </w:p>
        </w:tc>
      </w:tr>
      <w:tr w:rsidR="0083784F" w:rsidRPr="00292532" w14:paraId="6B1450B1" w14:textId="77777777" w:rsidTr="00941934">
        <w:trPr>
          <w:trHeight w:val="300"/>
        </w:trPr>
        <w:tc>
          <w:tcPr>
            <w:tcW w:w="1314" w:type="dxa"/>
            <w:tcBorders>
              <w:top w:val="nil"/>
              <w:left w:val="single" w:sz="4" w:space="0" w:color="auto"/>
              <w:bottom w:val="single" w:sz="4" w:space="0" w:color="auto"/>
              <w:right w:val="single" w:sz="4" w:space="0" w:color="auto"/>
            </w:tcBorders>
            <w:shd w:val="clear" w:color="auto" w:fill="auto"/>
            <w:noWrap/>
            <w:vAlign w:val="center"/>
            <w:hideMark/>
          </w:tcPr>
          <w:p w14:paraId="66818197" w14:textId="5E3262C6" w:rsidR="0083784F" w:rsidRPr="004500AE" w:rsidRDefault="0083784F" w:rsidP="000574C7">
            <w:pPr>
              <w:spacing w:before="0" w:after="0"/>
              <w:jc w:val="left"/>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w:t>
            </w:r>
            <w:proofErr w:type="spellStart"/>
            <w:r>
              <w:rPr>
                <w:rFonts w:asciiTheme="minorHAnsi" w:eastAsia="Times New Roman" w:hAnsiTheme="minorHAnsi" w:cstheme="minorHAnsi"/>
                <w:color w:val="000000"/>
                <w:sz w:val="18"/>
                <w:szCs w:val="18"/>
                <w:lang w:val="pt-PT"/>
              </w:rPr>
              <w:t>Monapo</w:t>
            </w:r>
            <w:proofErr w:type="spellEnd"/>
          </w:p>
        </w:tc>
        <w:tc>
          <w:tcPr>
            <w:tcW w:w="3541" w:type="dxa"/>
            <w:tcBorders>
              <w:top w:val="nil"/>
              <w:left w:val="nil"/>
              <w:bottom w:val="single" w:sz="4" w:space="0" w:color="auto"/>
              <w:right w:val="single" w:sz="4" w:space="0" w:color="auto"/>
            </w:tcBorders>
            <w:shd w:val="clear" w:color="auto" w:fill="auto"/>
            <w:noWrap/>
            <w:vAlign w:val="bottom"/>
            <w:hideMark/>
          </w:tcPr>
          <w:p w14:paraId="11556303" w14:textId="0042A255" w:rsidR="0083784F" w:rsidRPr="004500AE" w:rsidRDefault="0083784F" w:rsidP="00155EB3">
            <w:pPr>
              <w:spacing w:before="0" w:after="0"/>
              <w:jc w:val="left"/>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Construção do SAA </w:t>
            </w:r>
          </w:p>
        </w:tc>
        <w:tc>
          <w:tcPr>
            <w:tcW w:w="3510" w:type="dxa"/>
            <w:tcBorders>
              <w:top w:val="nil"/>
              <w:left w:val="nil"/>
              <w:bottom w:val="single" w:sz="4" w:space="0" w:color="auto"/>
              <w:right w:val="single" w:sz="4" w:space="0" w:color="auto"/>
            </w:tcBorders>
            <w:shd w:val="clear" w:color="auto" w:fill="auto"/>
            <w:noWrap/>
            <w:vAlign w:val="bottom"/>
            <w:hideMark/>
          </w:tcPr>
          <w:p w14:paraId="13C425D0" w14:textId="77777777" w:rsidR="0083784F" w:rsidRPr="004500AE" w:rsidRDefault="0083784F" w:rsidP="000574C7">
            <w:pPr>
              <w:spacing w:before="0" w:after="0"/>
              <w:jc w:val="left"/>
              <w:rPr>
                <w:rFonts w:asciiTheme="minorHAnsi" w:eastAsia="Times New Roman" w:hAnsiTheme="minorHAnsi" w:cstheme="minorHAnsi"/>
                <w:color w:val="000000"/>
                <w:sz w:val="18"/>
                <w:szCs w:val="18"/>
                <w:lang w:val="pt-PT"/>
              </w:rPr>
            </w:pPr>
            <w:proofErr w:type="spellStart"/>
            <w:r w:rsidRPr="004500AE">
              <w:rPr>
                <w:rFonts w:asciiTheme="minorHAnsi" w:eastAsia="Times New Roman" w:hAnsiTheme="minorHAnsi" w:cstheme="minorHAnsi"/>
                <w:color w:val="000000"/>
                <w:sz w:val="18"/>
                <w:szCs w:val="18"/>
                <w:lang w:val="pt-PT"/>
              </w:rPr>
              <w:t>Carapira</w:t>
            </w:r>
            <w:proofErr w:type="spellEnd"/>
            <w:r w:rsidRPr="004500AE">
              <w:rPr>
                <w:rFonts w:asciiTheme="minorHAnsi" w:eastAsia="Times New Roman" w:hAnsiTheme="minorHAnsi" w:cstheme="minorHAnsi"/>
                <w:color w:val="000000"/>
                <w:sz w:val="18"/>
                <w:szCs w:val="18"/>
                <w:lang w:val="pt-PT"/>
              </w:rPr>
              <w:t xml:space="preserve"> </w:t>
            </w:r>
          </w:p>
        </w:tc>
      </w:tr>
      <w:tr w:rsidR="0083784F" w:rsidRPr="00292532" w14:paraId="46FB473F" w14:textId="77777777" w:rsidTr="00941934">
        <w:trPr>
          <w:trHeight w:val="300"/>
        </w:trPr>
        <w:tc>
          <w:tcPr>
            <w:tcW w:w="1314" w:type="dxa"/>
            <w:tcBorders>
              <w:top w:val="nil"/>
              <w:left w:val="single" w:sz="4" w:space="0" w:color="auto"/>
              <w:bottom w:val="single" w:sz="4" w:space="0" w:color="auto"/>
              <w:right w:val="single" w:sz="4" w:space="0" w:color="auto"/>
            </w:tcBorders>
            <w:shd w:val="clear" w:color="auto" w:fill="auto"/>
            <w:noWrap/>
            <w:vAlign w:val="center"/>
            <w:hideMark/>
          </w:tcPr>
          <w:p w14:paraId="05688DBE" w14:textId="175A3467" w:rsidR="0083784F" w:rsidRPr="004500AE" w:rsidRDefault="0083784F" w:rsidP="000574C7">
            <w:pPr>
              <w:spacing w:before="0" w:after="0"/>
              <w:jc w:val="left"/>
              <w:rPr>
                <w:rFonts w:asciiTheme="minorHAnsi" w:eastAsia="Times New Roman" w:hAnsiTheme="minorHAnsi" w:cstheme="minorHAnsi"/>
                <w:color w:val="000000"/>
                <w:sz w:val="18"/>
                <w:szCs w:val="18"/>
                <w:lang w:val="pt-PT"/>
              </w:rPr>
            </w:pPr>
            <w:r>
              <w:rPr>
                <w:rFonts w:asciiTheme="minorHAnsi" w:eastAsia="Times New Roman" w:hAnsiTheme="minorHAnsi" w:cstheme="minorHAnsi"/>
                <w:color w:val="000000"/>
                <w:sz w:val="18"/>
                <w:szCs w:val="18"/>
                <w:lang w:val="pt-PT"/>
              </w:rPr>
              <w:t>Moma</w:t>
            </w:r>
          </w:p>
        </w:tc>
        <w:tc>
          <w:tcPr>
            <w:tcW w:w="3541" w:type="dxa"/>
            <w:tcBorders>
              <w:top w:val="nil"/>
              <w:left w:val="nil"/>
              <w:bottom w:val="single" w:sz="4" w:space="0" w:color="auto"/>
              <w:right w:val="single" w:sz="4" w:space="0" w:color="auto"/>
            </w:tcBorders>
            <w:shd w:val="clear" w:color="auto" w:fill="auto"/>
            <w:noWrap/>
            <w:vAlign w:val="bottom"/>
            <w:hideMark/>
          </w:tcPr>
          <w:p w14:paraId="171253D2" w14:textId="7A991C9F" w:rsidR="0083784F" w:rsidRPr="004500AE" w:rsidRDefault="0083784F" w:rsidP="00155EB3">
            <w:pPr>
              <w:spacing w:before="0" w:after="0"/>
              <w:jc w:val="left"/>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Construção do SAA </w:t>
            </w:r>
          </w:p>
        </w:tc>
        <w:tc>
          <w:tcPr>
            <w:tcW w:w="3510" w:type="dxa"/>
            <w:tcBorders>
              <w:top w:val="nil"/>
              <w:left w:val="nil"/>
              <w:bottom w:val="single" w:sz="4" w:space="0" w:color="auto"/>
              <w:right w:val="single" w:sz="4" w:space="0" w:color="auto"/>
            </w:tcBorders>
            <w:shd w:val="clear" w:color="auto" w:fill="auto"/>
            <w:noWrap/>
            <w:vAlign w:val="bottom"/>
            <w:hideMark/>
          </w:tcPr>
          <w:p w14:paraId="35264FB2" w14:textId="5EEBF9BA" w:rsidR="0083784F" w:rsidRPr="004500AE" w:rsidRDefault="0083784F" w:rsidP="000574C7">
            <w:pPr>
              <w:spacing w:before="0" w:after="0"/>
              <w:jc w:val="left"/>
              <w:rPr>
                <w:rFonts w:asciiTheme="minorHAnsi" w:eastAsia="Times New Roman" w:hAnsiTheme="minorHAnsi" w:cstheme="minorHAnsi"/>
                <w:color w:val="000000"/>
                <w:sz w:val="18"/>
                <w:szCs w:val="18"/>
                <w:lang w:val="pt-PT"/>
              </w:rPr>
            </w:pPr>
            <w:proofErr w:type="spellStart"/>
            <w:r>
              <w:rPr>
                <w:rFonts w:asciiTheme="minorHAnsi" w:eastAsia="Times New Roman" w:hAnsiTheme="minorHAnsi" w:cstheme="minorHAnsi"/>
                <w:color w:val="000000"/>
                <w:sz w:val="18"/>
                <w:szCs w:val="18"/>
                <w:lang w:val="pt-PT"/>
              </w:rPr>
              <w:t>Chalaua</w:t>
            </w:r>
            <w:proofErr w:type="spellEnd"/>
          </w:p>
        </w:tc>
      </w:tr>
      <w:tr w:rsidR="0083784F" w:rsidRPr="00292532" w14:paraId="4A1FA182" w14:textId="77777777" w:rsidTr="00941934">
        <w:trPr>
          <w:trHeight w:val="300"/>
        </w:trPr>
        <w:tc>
          <w:tcPr>
            <w:tcW w:w="1314" w:type="dxa"/>
            <w:tcBorders>
              <w:top w:val="nil"/>
              <w:left w:val="single" w:sz="4" w:space="0" w:color="auto"/>
              <w:bottom w:val="single" w:sz="4" w:space="0" w:color="auto"/>
              <w:right w:val="single" w:sz="4" w:space="0" w:color="auto"/>
            </w:tcBorders>
            <w:shd w:val="clear" w:color="auto" w:fill="auto"/>
            <w:noWrap/>
            <w:vAlign w:val="center"/>
            <w:hideMark/>
          </w:tcPr>
          <w:p w14:paraId="30E9211E" w14:textId="77777777" w:rsidR="0083784F" w:rsidRPr="004500AE" w:rsidRDefault="0083784F" w:rsidP="000574C7">
            <w:pPr>
              <w:spacing w:before="0" w:after="0"/>
              <w:jc w:val="left"/>
              <w:rPr>
                <w:rFonts w:asciiTheme="minorHAnsi" w:eastAsia="Times New Roman" w:hAnsiTheme="minorHAnsi" w:cstheme="minorHAnsi"/>
                <w:color w:val="000000"/>
                <w:sz w:val="18"/>
                <w:szCs w:val="18"/>
                <w:lang w:val="pt-PT"/>
              </w:rPr>
            </w:pPr>
            <w:proofErr w:type="spellStart"/>
            <w:r w:rsidRPr="004500AE">
              <w:rPr>
                <w:rFonts w:asciiTheme="minorHAnsi" w:eastAsia="Times New Roman" w:hAnsiTheme="minorHAnsi" w:cstheme="minorHAnsi"/>
                <w:color w:val="000000"/>
                <w:sz w:val="18"/>
                <w:szCs w:val="18"/>
                <w:lang w:val="pt-PT"/>
              </w:rPr>
              <w:t>Erati</w:t>
            </w:r>
            <w:proofErr w:type="spellEnd"/>
          </w:p>
        </w:tc>
        <w:tc>
          <w:tcPr>
            <w:tcW w:w="3541" w:type="dxa"/>
            <w:tcBorders>
              <w:top w:val="nil"/>
              <w:left w:val="nil"/>
              <w:bottom w:val="single" w:sz="4" w:space="0" w:color="auto"/>
              <w:right w:val="single" w:sz="4" w:space="0" w:color="auto"/>
            </w:tcBorders>
            <w:shd w:val="clear" w:color="auto" w:fill="auto"/>
            <w:noWrap/>
            <w:vAlign w:val="bottom"/>
            <w:hideMark/>
          </w:tcPr>
          <w:p w14:paraId="7AA83E95" w14:textId="1DD82B44" w:rsidR="0083784F" w:rsidRPr="004500AE" w:rsidRDefault="0083784F" w:rsidP="00155EB3">
            <w:pPr>
              <w:spacing w:before="0" w:after="0"/>
              <w:jc w:val="left"/>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Construção do SAA </w:t>
            </w:r>
          </w:p>
        </w:tc>
        <w:tc>
          <w:tcPr>
            <w:tcW w:w="3510" w:type="dxa"/>
            <w:tcBorders>
              <w:top w:val="nil"/>
              <w:left w:val="nil"/>
              <w:bottom w:val="single" w:sz="4" w:space="0" w:color="auto"/>
              <w:right w:val="single" w:sz="4" w:space="0" w:color="auto"/>
            </w:tcBorders>
            <w:shd w:val="clear" w:color="auto" w:fill="auto"/>
            <w:noWrap/>
            <w:vAlign w:val="bottom"/>
            <w:hideMark/>
          </w:tcPr>
          <w:p w14:paraId="2375CD4C" w14:textId="09008940" w:rsidR="0083784F" w:rsidRPr="004500AE" w:rsidRDefault="0083784F" w:rsidP="000574C7">
            <w:pPr>
              <w:spacing w:before="0" w:after="0"/>
              <w:jc w:val="left"/>
              <w:rPr>
                <w:rFonts w:asciiTheme="minorHAnsi" w:eastAsia="Times New Roman" w:hAnsiTheme="minorHAnsi" w:cstheme="minorHAnsi"/>
                <w:color w:val="000000"/>
                <w:sz w:val="18"/>
                <w:szCs w:val="18"/>
                <w:lang w:val="pt-PT"/>
              </w:rPr>
            </w:pPr>
            <w:proofErr w:type="spellStart"/>
            <w:r>
              <w:rPr>
                <w:rFonts w:asciiTheme="minorHAnsi" w:eastAsia="Times New Roman" w:hAnsiTheme="minorHAnsi" w:cstheme="minorHAnsi"/>
                <w:color w:val="000000"/>
                <w:sz w:val="18"/>
                <w:szCs w:val="18"/>
                <w:lang w:val="pt-PT"/>
              </w:rPr>
              <w:t>Nahopa</w:t>
            </w:r>
            <w:proofErr w:type="spellEnd"/>
          </w:p>
        </w:tc>
      </w:tr>
      <w:tr w:rsidR="0083784F" w:rsidRPr="00292532" w14:paraId="5EEB68C8" w14:textId="77777777" w:rsidTr="00941934">
        <w:trPr>
          <w:trHeight w:val="300"/>
        </w:trPr>
        <w:tc>
          <w:tcPr>
            <w:tcW w:w="1314" w:type="dxa"/>
            <w:tcBorders>
              <w:top w:val="nil"/>
              <w:left w:val="single" w:sz="4" w:space="0" w:color="auto"/>
              <w:bottom w:val="single" w:sz="4" w:space="0" w:color="auto"/>
              <w:right w:val="single" w:sz="4" w:space="0" w:color="auto"/>
            </w:tcBorders>
            <w:shd w:val="clear" w:color="auto" w:fill="auto"/>
            <w:noWrap/>
            <w:vAlign w:val="center"/>
            <w:hideMark/>
          </w:tcPr>
          <w:p w14:paraId="3A83CDDF" w14:textId="77777777" w:rsidR="0083784F" w:rsidRPr="004500AE" w:rsidRDefault="0083784F" w:rsidP="000574C7">
            <w:pPr>
              <w:spacing w:before="0" w:after="0"/>
              <w:jc w:val="left"/>
              <w:rPr>
                <w:rFonts w:asciiTheme="minorHAnsi" w:eastAsia="Times New Roman" w:hAnsiTheme="minorHAnsi" w:cstheme="minorHAnsi"/>
                <w:color w:val="000000"/>
                <w:sz w:val="18"/>
                <w:szCs w:val="18"/>
                <w:lang w:val="pt-PT"/>
              </w:rPr>
            </w:pPr>
            <w:proofErr w:type="spellStart"/>
            <w:r w:rsidRPr="004500AE">
              <w:rPr>
                <w:rFonts w:asciiTheme="minorHAnsi" w:eastAsia="Times New Roman" w:hAnsiTheme="minorHAnsi" w:cstheme="minorHAnsi"/>
                <w:color w:val="000000"/>
                <w:sz w:val="18"/>
                <w:szCs w:val="18"/>
                <w:lang w:val="pt-PT"/>
              </w:rPr>
              <w:t>Mecuburi</w:t>
            </w:r>
            <w:proofErr w:type="spellEnd"/>
          </w:p>
        </w:tc>
        <w:tc>
          <w:tcPr>
            <w:tcW w:w="3541" w:type="dxa"/>
            <w:tcBorders>
              <w:top w:val="nil"/>
              <w:left w:val="nil"/>
              <w:bottom w:val="single" w:sz="4" w:space="0" w:color="auto"/>
              <w:right w:val="single" w:sz="4" w:space="0" w:color="auto"/>
            </w:tcBorders>
            <w:shd w:val="clear" w:color="auto" w:fill="auto"/>
            <w:noWrap/>
            <w:vAlign w:val="bottom"/>
            <w:hideMark/>
          </w:tcPr>
          <w:p w14:paraId="6D7DAF16" w14:textId="749E22E8" w:rsidR="0083784F" w:rsidRPr="004500AE" w:rsidRDefault="0083784F" w:rsidP="00155EB3">
            <w:pPr>
              <w:spacing w:before="0" w:after="0"/>
              <w:jc w:val="left"/>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Construção do SAA </w:t>
            </w:r>
          </w:p>
        </w:tc>
        <w:tc>
          <w:tcPr>
            <w:tcW w:w="3510" w:type="dxa"/>
            <w:tcBorders>
              <w:top w:val="nil"/>
              <w:left w:val="nil"/>
              <w:bottom w:val="single" w:sz="4" w:space="0" w:color="auto"/>
              <w:right w:val="single" w:sz="4" w:space="0" w:color="auto"/>
            </w:tcBorders>
            <w:shd w:val="clear" w:color="auto" w:fill="auto"/>
            <w:noWrap/>
            <w:vAlign w:val="bottom"/>
            <w:hideMark/>
          </w:tcPr>
          <w:p w14:paraId="09B2DF59" w14:textId="71AE0322" w:rsidR="0083784F" w:rsidRPr="004500AE" w:rsidRDefault="0083784F" w:rsidP="000574C7">
            <w:pPr>
              <w:spacing w:before="0" w:after="0"/>
              <w:jc w:val="left"/>
              <w:rPr>
                <w:rFonts w:asciiTheme="minorHAnsi" w:eastAsia="Times New Roman" w:hAnsiTheme="minorHAnsi" w:cstheme="minorHAnsi"/>
                <w:color w:val="000000"/>
                <w:sz w:val="18"/>
                <w:szCs w:val="18"/>
                <w:lang w:val="pt-PT"/>
              </w:rPr>
            </w:pPr>
            <w:proofErr w:type="spellStart"/>
            <w:r>
              <w:rPr>
                <w:rFonts w:asciiTheme="minorHAnsi" w:eastAsia="Times New Roman" w:hAnsiTheme="minorHAnsi" w:cstheme="minorHAnsi"/>
                <w:color w:val="000000"/>
                <w:sz w:val="18"/>
                <w:szCs w:val="18"/>
                <w:lang w:val="pt-PT"/>
              </w:rPr>
              <w:t>Muiti</w:t>
            </w:r>
            <w:proofErr w:type="spellEnd"/>
          </w:p>
        </w:tc>
      </w:tr>
      <w:tr w:rsidR="0083784F" w:rsidRPr="00292532" w14:paraId="04B10483" w14:textId="77777777" w:rsidTr="00941934">
        <w:trPr>
          <w:trHeight w:val="300"/>
        </w:trPr>
        <w:tc>
          <w:tcPr>
            <w:tcW w:w="1314" w:type="dxa"/>
            <w:tcBorders>
              <w:top w:val="nil"/>
              <w:left w:val="single" w:sz="4" w:space="0" w:color="auto"/>
              <w:bottom w:val="single" w:sz="4" w:space="0" w:color="auto"/>
              <w:right w:val="single" w:sz="4" w:space="0" w:color="auto"/>
            </w:tcBorders>
            <w:shd w:val="clear" w:color="auto" w:fill="auto"/>
            <w:noWrap/>
            <w:vAlign w:val="center"/>
            <w:hideMark/>
          </w:tcPr>
          <w:p w14:paraId="081FB1E0" w14:textId="77777777" w:rsidR="0083784F" w:rsidRPr="004500AE" w:rsidRDefault="0083784F" w:rsidP="000574C7">
            <w:pPr>
              <w:spacing w:before="0" w:after="0"/>
              <w:jc w:val="left"/>
              <w:rPr>
                <w:rFonts w:asciiTheme="minorHAnsi" w:eastAsia="Times New Roman" w:hAnsiTheme="minorHAnsi" w:cstheme="minorHAnsi"/>
                <w:color w:val="000000"/>
                <w:sz w:val="18"/>
                <w:szCs w:val="18"/>
                <w:lang w:val="pt-PT"/>
              </w:rPr>
            </w:pPr>
            <w:proofErr w:type="spellStart"/>
            <w:r w:rsidRPr="004500AE">
              <w:rPr>
                <w:rFonts w:asciiTheme="minorHAnsi" w:eastAsia="Times New Roman" w:hAnsiTheme="minorHAnsi" w:cstheme="minorHAnsi"/>
                <w:color w:val="000000"/>
                <w:sz w:val="18"/>
                <w:szCs w:val="18"/>
                <w:lang w:val="pt-PT"/>
              </w:rPr>
              <w:t>Murrupula</w:t>
            </w:r>
            <w:proofErr w:type="spellEnd"/>
          </w:p>
        </w:tc>
        <w:tc>
          <w:tcPr>
            <w:tcW w:w="3541" w:type="dxa"/>
            <w:tcBorders>
              <w:top w:val="nil"/>
              <w:left w:val="nil"/>
              <w:bottom w:val="single" w:sz="4" w:space="0" w:color="auto"/>
              <w:right w:val="single" w:sz="4" w:space="0" w:color="auto"/>
            </w:tcBorders>
            <w:shd w:val="clear" w:color="auto" w:fill="auto"/>
            <w:noWrap/>
            <w:vAlign w:val="bottom"/>
            <w:hideMark/>
          </w:tcPr>
          <w:p w14:paraId="42F7A376" w14:textId="3BBB1C13" w:rsidR="0083784F" w:rsidRPr="004500AE" w:rsidRDefault="0083784F" w:rsidP="00155EB3">
            <w:pPr>
              <w:spacing w:before="0" w:after="0"/>
              <w:jc w:val="left"/>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Construção do SAA </w:t>
            </w:r>
          </w:p>
        </w:tc>
        <w:tc>
          <w:tcPr>
            <w:tcW w:w="3510" w:type="dxa"/>
            <w:tcBorders>
              <w:top w:val="nil"/>
              <w:left w:val="nil"/>
              <w:bottom w:val="single" w:sz="4" w:space="0" w:color="auto"/>
              <w:right w:val="single" w:sz="4" w:space="0" w:color="auto"/>
            </w:tcBorders>
            <w:shd w:val="clear" w:color="auto" w:fill="auto"/>
            <w:noWrap/>
            <w:vAlign w:val="bottom"/>
            <w:hideMark/>
          </w:tcPr>
          <w:p w14:paraId="3146AB7A" w14:textId="77777777" w:rsidR="0083784F" w:rsidRPr="004500AE" w:rsidRDefault="0083784F" w:rsidP="000574C7">
            <w:pPr>
              <w:spacing w:before="0" w:after="0"/>
              <w:jc w:val="left"/>
              <w:rPr>
                <w:rFonts w:asciiTheme="minorHAnsi" w:eastAsia="Times New Roman" w:hAnsiTheme="minorHAnsi" w:cstheme="minorHAnsi"/>
                <w:color w:val="000000"/>
                <w:sz w:val="18"/>
                <w:szCs w:val="18"/>
                <w:lang w:val="pt-PT"/>
              </w:rPr>
            </w:pPr>
            <w:proofErr w:type="spellStart"/>
            <w:r w:rsidRPr="004500AE">
              <w:rPr>
                <w:rFonts w:asciiTheme="minorHAnsi" w:eastAsia="Times New Roman" w:hAnsiTheme="minorHAnsi" w:cstheme="minorHAnsi"/>
                <w:color w:val="000000"/>
                <w:sz w:val="18"/>
                <w:szCs w:val="18"/>
                <w:lang w:val="pt-PT"/>
              </w:rPr>
              <w:t>Namilasse</w:t>
            </w:r>
            <w:proofErr w:type="spellEnd"/>
          </w:p>
        </w:tc>
      </w:tr>
      <w:tr w:rsidR="00803DA0" w:rsidRPr="00292532" w14:paraId="56FE1502" w14:textId="77777777" w:rsidTr="0083784F">
        <w:trPr>
          <w:trHeight w:val="300"/>
        </w:trPr>
        <w:tc>
          <w:tcPr>
            <w:tcW w:w="1314" w:type="dxa"/>
            <w:tcBorders>
              <w:top w:val="nil"/>
              <w:left w:val="single" w:sz="4" w:space="0" w:color="auto"/>
              <w:bottom w:val="single" w:sz="4" w:space="0" w:color="auto"/>
              <w:right w:val="single" w:sz="4" w:space="0" w:color="auto"/>
            </w:tcBorders>
            <w:vAlign w:val="center"/>
          </w:tcPr>
          <w:p w14:paraId="2A22EF30" w14:textId="1B7BC58D" w:rsidR="00803DA0" w:rsidRPr="004500AE" w:rsidRDefault="00803DA0" w:rsidP="000574C7">
            <w:pPr>
              <w:spacing w:before="0" w:after="0"/>
              <w:jc w:val="left"/>
              <w:rPr>
                <w:rFonts w:asciiTheme="minorHAnsi" w:eastAsia="Times New Roman" w:hAnsiTheme="minorHAnsi" w:cstheme="minorHAnsi"/>
                <w:color w:val="000000"/>
                <w:sz w:val="18"/>
                <w:szCs w:val="18"/>
                <w:lang w:val="pt-PT"/>
              </w:rPr>
            </w:pPr>
            <w:r>
              <w:rPr>
                <w:rFonts w:asciiTheme="minorHAnsi" w:eastAsia="Times New Roman" w:hAnsiTheme="minorHAnsi" w:cstheme="minorHAnsi"/>
                <w:color w:val="000000"/>
                <w:sz w:val="18"/>
                <w:szCs w:val="18"/>
                <w:lang w:val="pt-PT"/>
              </w:rPr>
              <w:t>Meconta</w:t>
            </w:r>
          </w:p>
        </w:tc>
        <w:tc>
          <w:tcPr>
            <w:tcW w:w="3541" w:type="dxa"/>
            <w:tcBorders>
              <w:top w:val="nil"/>
              <w:left w:val="nil"/>
              <w:bottom w:val="single" w:sz="4" w:space="0" w:color="auto"/>
              <w:right w:val="single" w:sz="4" w:space="0" w:color="auto"/>
            </w:tcBorders>
            <w:shd w:val="clear" w:color="auto" w:fill="auto"/>
            <w:noWrap/>
            <w:vAlign w:val="bottom"/>
          </w:tcPr>
          <w:p w14:paraId="193EBB10" w14:textId="5BC88DB8" w:rsidR="00803DA0" w:rsidRPr="00803DA0" w:rsidDel="00B3619B" w:rsidRDefault="00803DA0" w:rsidP="00155EB3">
            <w:pPr>
              <w:spacing w:before="0" w:after="0"/>
              <w:jc w:val="left"/>
              <w:rPr>
                <w:rFonts w:asciiTheme="minorHAnsi" w:eastAsia="Times New Roman" w:hAnsiTheme="minorHAnsi" w:cstheme="minorHAnsi"/>
                <w:color w:val="000000"/>
                <w:sz w:val="18"/>
                <w:szCs w:val="18"/>
                <w:highlight w:val="red"/>
                <w:lang w:val="pt-PT"/>
              </w:rPr>
            </w:pPr>
            <w:r w:rsidRPr="00803DA0">
              <w:rPr>
                <w:rFonts w:asciiTheme="minorHAnsi" w:eastAsia="Times New Roman" w:hAnsiTheme="minorHAnsi" w:cstheme="minorHAnsi"/>
                <w:color w:val="000000"/>
                <w:sz w:val="18"/>
                <w:szCs w:val="18"/>
                <w:lang w:val="pt-PT"/>
              </w:rPr>
              <w:t>Construção do SAA</w:t>
            </w:r>
          </w:p>
        </w:tc>
        <w:tc>
          <w:tcPr>
            <w:tcW w:w="3510" w:type="dxa"/>
            <w:tcBorders>
              <w:top w:val="nil"/>
              <w:left w:val="nil"/>
              <w:bottom w:val="single" w:sz="4" w:space="0" w:color="auto"/>
              <w:right w:val="single" w:sz="4" w:space="0" w:color="auto"/>
            </w:tcBorders>
            <w:shd w:val="clear" w:color="auto" w:fill="auto"/>
            <w:noWrap/>
            <w:vAlign w:val="bottom"/>
          </w:tcPr>
          <w:p w14:paraId="169B1840" w14:textId="6D63EAF7" w:rsidR="00803DA0" w:rsidRPr="00941934" w:rsidDel="00B3619B" w:rsidRDefault="00803DA0" w:rsidP="000574C7">
            <w:pPr>
              <w:spacing w:before="0" w:after="0"/>
              <w:jc w:val="left"/>
              <w:rPr>
                <w:rFonts w:asciiTheme="minorHAnsi" w:eastAsia="Times New Roman" w:hAnsiTheme="minorHAnsi" w:cstheme="minorHAnsi"/>
                <w:color w:val="000000"/>
                <w:sz w:val="18"/>
                <w:szCs w:val="18"/>
                <w:lang w:val="pt-PT"/>
              </w:rPr>
            </w:pPr>
            <w:proofErr w:type="spellStart"/>
            <w:r w:rsidRPr="00941934">
              <w:rPr>
                <w:rFonts w:asciiTheme="minorHAnsi" w:eastAsia="Times New Roman" w:hAnsiTheme="minorHAnsi" w:cstheme="minorHAnsi"/>
                <w:color w:val="000000"/>
                <w:sz w:val="18"/>
                <w:szCs w:val="18"/>
                <w:lang w:val="pt-PT"/>
              </w:rPr>
              <w:t>Corrane</w:t>
            </w:r>
            <w:proofErr w:type="spellEnd"/>
          </w:p>
        </w:tc>
      </w:tr>
      <w:tr w:rsidR="0083784F" w:rsidRPr="00292532" w14:paraId="6CAAB4F1" w14:textId="77777777" w:rsidTr="00941934">
        <w:trPr>
          <w:trHeight w:val="300"/>
        </w:trPr>
        <w:tc>
          <w:tcPr>
            <w:tcW w:w="1314" w:type="dxa"/>
            <w:tcBorders>
              <w:top w:val="nil"/>
              <w:left w:val="single" w:sz="4" w:space="0" w:color="auto"/>
              <w:bottom w:val="single" w:sz="4" w:space="0" w:color="auto"/>
              <w:right w:val="single" w:sz="4" w:space="0" w:color="auto"/>
            </w:tcBorders>
            <w:shd w:val="clear" w:color="auto" w:fill="FFE599" w:themeFill="accent4" w:themeFillTint="66"/>
            <w:noWrap/>
            <w:vAlign w:val="center"/>
            <w:hideMark/>
          </w:tcPr>
          <w:p w14:paraId="14D12049" w14:textId="77777777" w:rsidR="0083784F" w:rsidRPr="004500AE" w:rsidRDefault="0083784F" w:rsidP="000574C7">
            <w:pPr>
              <w:spacing w:before="0" w:after="0"/>
              <w:jc w:val="left"/>
              <w:rPr>
                <w:rFonts w:asciiTheme="minorHAnsi" w:eastAsia="Times New Roman" w:hAnsiTheme="minorHAnsi" w:cstheme="minorHAnsi"/>
                <w:b/>
                <w:bCs/>
                <w:color w:val="000000"/>
                <w:sz w:val="18"/>
                <w:szCs w:val="18"/>
                <w:lang w:val="pt-PT"/>
              </w:rPr>
            </w:pPr>
            <w:r w:rsidRPr="004500AE">
              <w:rPr>
                <w:rFonts w:asciiTheme="minorHAnsi" w:eastAsia="Times New Roman" w:hAnsiTheme="minorHAnsi" w:cstheme="minorHAnsi"/>
                <w:b/>
                <w:bCs/>
                <w:color w:val="000000"/>
                <w:sz w:val="18"/>
                <w:szCs w:val="18"/>
                <w:lang w:val="pt-PT"/>
              </w:rPr>
              <w:t>Nampula</w:t>
            </w:r>
          </w:p>
        </w:tc>
        <w:tc>
          <w:tcPr>
            <w:tcW w:w="7051" w:type="dxa"/>
            <w:gridSpan w:val="2"/>
            <w:tcBorders>
              <w:top w:val="nil"/>
              <w:left w:val="nil"/>
              <w:bottom w:val="single" w:sz="4" w:space="0" w:color="auto"/>
              <w:right w:val="single" w:sz="4" w:space="0" w:color="auto"/>
            </w:tcBorders>
            <w:shd w:val="clear" w:color="auto" w:fill="FFE599" w:themeFill="accent4" w:themeFillTint="66"/>
            <w:noWrap/>
            <w:vAlign w:val="bottom"/>
            <w:hideMark/>
          </w:tcPr>
          <w:p w14:paraId="11A800FE" w14:textId="14954E61" w:rsidR="0083784F" w:rsidRPr="004500AE" w:rsidRDefault="0083784F" w:rsidP="00032E3B">
            <w:pPr>
              <w:spacing w:before="0" w:after="0"/>
              <w:jc w:val="center"/>
              <w:rPr>
                <w:rFonts w:asciiTheme="minorHAnsi" w:eastAsia="Times New Roman" w:hAnsiTheme="minorHAnsi" w:cstheme="minorHAnsi"/>
                <w:b/>
                <w:bCs/>
                <w:color w:val="000000"/>
                <w:sz w:val="18"/>
                <w:szCs w:val="18"/>
                <w:lang w:val="pt-PT"/>
              </w:rPr>
            </w:pPr>
            <w:r w:rsidRPr="004500AE">
              <w:rPr>
                <w:rFonts w:asciiTheme="minorHAnsi" w:eastAsia="Times New Roman" w:hAnsiTheme="minorHAnsi" w:cstheme="minorHAnsi"/>
                <w:b/>
                <w:bCs/>
                <w:color w:val="000000"/>
                <w:sz w:val="18"/>
                <w:szCs w:val="18"/>
                <w:lang w:val="pt-PT"/>
              </w:rPr>
              <w:t>Total de beneficiários</w:t>
            </w:r>
          </w:p>
        </w:tc>
      </w:tr>
      <w:tr w:rsidR="0083784F" w:rsidRPr="00292532" w14:paraId="014B444B" w14:textId="77777777" w:rsidTr="00941934">
        <w:trPr>
          <w:trHeight w:val="300"/>
        </w:trPr>
        <w:tc>
          <w:tcPr>
            <w:tcW w:w="4855"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EC7B28" w14:textId="77777777" w:rsidR="0083784F" w:rsidRPr="00292532" w:rsidRDefault="0083784F" w:rsidP="000574C7">
            <w:pPr>
              <w:spacing w:before="0" w:after="0"/>
              <w:jc w:val="center"/>
              <w:rPr>
                <w:rFonts w:asciiTheme="minorHAnsi" w:eastAsia="Times New Roman" w:hAnsiTheme="minorHAnsi" w:cstheme="minorHAnsi"/>
                <w:color w:val="000000"/>
                <w:sz w:val="18"/>
                <w:szCs w:val="18"/>
                <w:lang w:val="pt-PT"/>
              </w:rPr>
            </w:pPr>
            <w:r w:rsidRPr="00292532">
              <w:rPr>
                <w:rFonts w:asciiTheme="minorHAnsi" w:eastAsia="Times New Roman" w:hAnsiTheme="minorHAnsi" w:cstheme="minorHAnsi"/>
                <w:color w:val="000000"/>
                <w:sz w:val="18"/>
                <w:szCs w:val="18"/>
                <w:lang w:val="pt-PT"/>
              </w:rPr>
              <w:t>Toda a Província de Nampula</w:t>
            </w:r>
          </w:p>
        </w:tc>
        <w:tc>
          <w:tcPr>
            <w:tcW w:w="3510" w:type="dxa"/>
            <w:tcBorders>
              <w:top w:val="nil"/>
              <w:left w:val="nil"/>
              <w:bottom w:val="single" w:sz="4" w:space="0" w:color="auto"/>
              <w:right w:val="single" w:sz="4" w:space="0" w:color="auto"/>
            </w:tcBorders>
            <w:shd w:val="clear" w:color="auto" w:fill="auto"/>
            <w:noWrap/>
            <w:vAlign w:val="bottom"/>
            <w:hideMark/>
          </w:tcPr>
          <w:p w14:paraId="6A3DA63D" w14:textId="77777777" w:rsidR="0083784F" w:rsidRPr="004500AE" w:rsidRDefault="0083784F" w:rsidP="000574C7">
            <w:pPr>
              <w:spacing w:before="0" w:after="0"/>
              <w:jc w:val="left"/>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250 Fontes de Água </w:t>
            </w:r>
          </w:p>
        </w:tc>
      </w:tr>
      <w:tr w:rsidR="0083784F" w:rsidRPr="00292532" w14:paraId="71B0BF47" w14:textId="77777777" w:rsidTr="00941934">
        <w:trPr>
          <w:trHeight w:val="300"/>
        </w:trPr>
        <w:tc>
          <w:tcPr>
            <w:tcW w:w="4855" w:type="dxa"/>
            <w:gridSpan w:val="2"/>
            <w:vMerge/>
            <w:tcBorders>
              <w:top w:val="single" w:sz="4" w:space="0" w:color="auto"/>
              <w:left w:val="single" w:sz="4" w:space="0" w:color="auto"/>
              <w:bottom w:val="single" w:sz="4" w:space="0" w:color="auto"/>
              <w:right w:val="single" w:sz="4" w:space="0" w:color="auto"/>
            </w:tcBorders>
            <w:vAlign w:val="center"/>
            <w:hideMark/>
          </w:tcPr>
          <w:p w14:paraId="3F8795E3" w14:textId="77777777" w:rsidR="0083784F" w:rsidRPr="004500AE" w:rsidRDefault="0083784F" w:rsidP="000574C7">
            <w:pPr>
              <w:spacing w:before="0" w:after="0"/>
              <w:jc w:val="left"/>
              <w:rPr>
                <w:rFonts w:asciiTheme="minorHAnsi" w:eastAsia="Times New Roman" w:hAnsiTheme="minorHAnsi" w:cstheme="minorHAnsi"/>
                <w:color w:val="000000"/>
                <w:sz w:val="18"/>
                <w:szCs w:val="18"/>
                <w:lang w:val="pt-PT"/>
              </w:rPr>
            </w:pPr>
          </w:p>
        </w:tc>
        <w:tc>
          <w:tcPr>
            <w:tcW w:w="3510" w:type="dxa"/>
            <w:tcBorders>
              <w:top w:val="nil"/>
              <w:left w:val="nil"/>
              <w:bottom w:val="single" w:sz="4" w:space="0" w:color="auto"/>
              <w:right w:val="single" w:sz="4" w:space="0" w:color="auto"/>
            </w:tcBorders>
            <w:shd w:val="clear" w:color="auto" w:fill="auto"/>
            <w:noWrap/>
            <w:vAlign w:val="bottom"/>
            <w:hideMark/>
          </w:tcPr>
          <w:p w14:paraId="4F8DF87C" w14:textId="77777777" w:rsidR="0083784F" w:rsidRPr="004500AE" w:rsidRDefault="0083784F" w:rsidP="000574C7">
            <w:pPr>
              <w:spacing w:before="0" w:after="0"/>
              <w:jc w:val="left"/>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75 infra. De saneamento</w:t>
            </w:r>
          </w:p>
        </w:tc>
      </w:tr>
    </w:tbl>
    <w:p w14:paraId="3F12CD05" w14:textId="77777777" w:rsidR="003A3ED6" w:rsidRDefault="003A3ED6" w:rsidP="004500AE">
      <w:pPr>
        <w:autoSpaceDE w:val="0"/>
        <w:autoSpaceDN w:val="0"/>
        <w:adjustRightInd w:val="0"/>
        <w:spacing w:before="0" w:after="0" w:line="259" w:lineRule="auto"/>
        <w:ind w:left="720"/>
        <w:contextualSpacing/>
        <w:jc w:val="left"/>
        <w:rPr>
          <w:rFonts w:ascii="Arial" w:eastAsia="Calibri" w:hAnsi="Arial" w:cs="Arial"/>
          <w:color w:val="000000"/>
          <w:sz w:val="20"/>
          <w:szCs w:val="23"/>
          <w:lang w:val="pt-PT"/>
        </w:rPr>
      </w:pPr>
    </w:p>
    <w:p w14:paraId="4B47E6F7" w14:textId="77777777" w:rsidR="003A3ED6" w:rsidRDefault="003A3ED6" w:rsidP="004500AE">
      <w:pPr>
        <w:autoSpaceDE w:val="0"/>
        <w:autoSpaceDN w:val="0"/>
        <w:adjustRightInd w:val="0"/>
        <w:spacing w:before="0" w:after="0" w:line="259" w:lineRule="auto"/>
        <w:ind w:left="720"/>
        <w:contextualSpacing/>
        <w:jc w:val="left"/>
        <w:rPr>
          <w:rFonts w:ascii="Arial" w:eastAsia="Calibri" w:hAnsi="Arial" w:cs="Arial"/>
          <w:color w:val="000000"/>
          <w:sz w:val="20"/>
          <w:szCs w:val="23"/>
          <w:lang w:val="pt-PT"/>
        </w:rPr>
      </w:pPr>
    </w:p>
    <w:p w14:paraId="1380A977" w14:textId="7AFF3808" w:rsidR="003A3ED6" w:rsidRPr="002660D0" w:rsidRDefault="003A3ED6" w:rsidP="002660D0">
      <w:pPr>
        <w:pStyle w:val="ListParagraph"/>
        <w:numPr>
          <w:ilvl w:val="0"/>
          <w:numId w:val="120"/>
        </w:numPr>
        <w:tabs>
          <w:tab w:val="left" w:pos="630"/>
        </w:tabs>
        <w:autoSpaceDE w:val="0"/>
        <w:autoSpaceDN w:val="0"/>
        <w:adjustRightInd w:val="0"/>
        <w:spacing w:before="0" w:after="0" w:line="259" w:lineRule="auto"/>
        <w:ind w:left="630" w:hanging="540"/>
        <w:rPr>
          <w:rFonts w:asciiTheme="minorHAnsi" w:eastAsia="Calibri" w:hAnsiTheme="minorHAnsi" w:cstheme="minorHAnsi"/>
          <w:color w:val="000000"/>
          <w:lang w:val="pt-PT"/>
        </w:rPr>
      </w:pPr>
      <w:r w:rsidRPr="002660D0">
        <w:rPr>
          <w:rFonts w:asciiTheme="minorHAnsi" w:eastAsia="Calibri" w:hAnsiTheme="minorHAnsi" w:cstheme="minorHAnsi"/>
          <w:color w:val="000000"/>
          <w:lang w:val="pt-PT"/>
        </w:rPr>
        <w:t xml:space="preserve">Construção de sistemas de abastecimento de água para centros de crescimento rural; </w:t>
      </w:r>
    </w:p>
    <w:p w14:paraId="49F1F426" w14:textId="62072F63" w:rsidR="003A3ED6" w:rsidRPr="002660D0" w:rsidRDefault="003A3ED6" w:rsidP="002660D0">
      <w:pPr>
        <w:pStyle w:val="ListParagraph"/>
        <w:numPr>
          <w:ilvl w:val="0"/>
          <w:numId w:val="120"/>
        </w:numPr>
        <w:tabs>
          <w:tab w:val="left" w:pos="630"/>
        </w:tabs>
        <w:autoSpaceDE w:val="0"/>
        <w:autoSpaceDN w:val="0"/>
        <w:adjustRightInd w:val="0"/>
        <w:spacing w:before="0" w:after="0" w:line="259" w:lineRule="auto"/>
        <w:ind w:left="630" w:hanging="540"/>
        <w:rPr>
          <w:rFonts w:asciiTheme="minorHAnsi" w:eastAsia="Calibri" w:hAnsiTheme="minorHAnsi" w:cstheme="minorHAnsi"/>
          <w:color w:val="000000"/>
          <w:lang w:val="pt-PT"/>
        </w:rPr>
      </w:pPr>
      <w:r w:rsidRPr="002660D0">
        <w:rPr>
          <w:rFonts w:asciiTheme="minorHAnsi" w:eastAsia="Calibri" w:hAnsiTheme="minorHAnsi" w:cstheme="minorHAnsi"/>
          <w:color w:val="000000"/>
          <w:lang w:val="pt-PT"/>
        </w:rPr>
        <w:t>Desenvolvimento e implementação de subvenções baseadas no desempenho para,</w:t>
      </w:r>
    </w:p>
    <w:p w14:paraId="62303F4D" w14:textId="04F9D7E5" w:rsidR="003A3ED6" w:rsidRPr="002660D0" w:rsidRDefault="003A3ED6" w:rsidP="002660D0">
      <w:pPr>
        <w:numPr>
          <w:ilvl w:val="2"/>
          <w:numId w:val="238"/>
        </w:numPr>
        <w:tabs>
          <w:tab w:val="left" w:pos="630"/>
        </w:tabs>
        <w:autoSpaceDE w:val="0"/>
        <w:autoSpaceDN w:val="0"/>
        <w:adjustRightInd w:val="0"/>
        <w:spacing w:before="0" w:after="0" w:line="259" w:lineRule="auto"/>
        <w:ind w:left="630" w:hanging="540"/>
        <w:contextualSpacing/>
        <w:rPr>
          <w:rFonts w:asciiTheme="minorHAnsi" w:eastAsia="Calibri" w:hAnsiTheme="minorHAnsi" w:cstheme="minorHAnsi"/>
          <w:color w:val="000000"/>
          <w:lang w:val="pt-PT"/>
        </w:rPr>
      </w:pPr>
      <w:r w:rsidRPr="002660D0">
        <w:rPr>
          <w:rFonts w:asciiTheme="minorHAnsi" w:eastAsia="Calibri" w:hAnsiTheme="minorHAnsi" w:cstheme="minorHAnsi"/>
          <w:color w:val="000000"/>
          <w:lang w:val="pt-PT"/>
        </w:rPr>
        <w:t xml:space="preserve">Melhoria da capacidade local de abastecimento de água rural e prestação de serviços de saneamento. </w:t>
      </w:r>
    </w:p>
    <w:p w14:paraId="6FF96395" w14:textId="77777777" w:rsidR="003A3ED6" w:rsidRPr="002660D0" w:rsidRDefault="003A3ED6" w:rsidP="002660D0">
      <w:pPr>
        <w:numPr>
          <w:ilvl w:val="2"/>
          <w:numId w:val="238"/>
        </w:numPr>
        <w:tabs>
          <w:tab w:val="left" w:pos="630"/>
        </w:tabs>
        <w:autoSpaceDE w:val="0"/>
        <w:autoSpaceDN w:val="0"/>
        <w:adjustRightInd w:val="0"/>
        <w:spacing w:before="0" w:after="0" w:line="259" w:lineRule="auto"/>
        <w:ind w:left="630" w:hanging="540"/>
        <w:contextualSpacing/>
        <w:rPr>
          <w:rFonts w:asciiTheme="minorHAnsi" w:eastAsia="Calibri" w:hAnsiTheme="minorHAnsi" w:cstheme="minorHAnsi"/>
          <w:color w:val="000000"/>
          <w:lang w:val="pt-PT"/>
        </w:rPr>
      </w:pPr>
      <w:r w:rsidRPr="002660D0">
        <w:rPr>
          <w:rFonts w:asciiTheme="minorHAnsi" w:eastAsia="Calibri" w:hAnsiTheme="minorHAnsi" w:cstheme="minorHAnsi"/>
          <w:color w:val="000000"/>
          <w:lang w:val="pt-PT"/>
        </w:rPr>
        <w:t>Melhoria do saneamento nas escolas (Construção de 75 instalações de saneamento escolar com melhores condições de gestão da higiene menstrual em cada província).</w:t>
      </w:r>
    </w:p>
    <w:p w14:paraId="4D6E3993" w14:textId="77777777" w:rsidR="003A3ED6" w:rsidRPr="002660D0" w:rsidRDefault="003A3ED6" w:rsidP="002660D0">
      <w:pPr>
        <w:numPr>
          <w:ilvl w:val="2"/>
          <w:numId w:val="238"/>
        </w:numPr>
        <w:tabs>
          <w:tab w:val="left" w:pos="630"/>
        </w:tabs>
        <w:autoSpaceDE w:val="0"/>
        <w:autoSpaceDN w:val="0"/>
        <w:adjustRightInd w:val="0"/>
        <w:spacing w:before="0" w:after="0" w:line="259" w:lineRule="auto"/>
        <w:ind w:left="630" w:hanging="540"/>
        <w:contextualSpacing/>
        <w:rPr>
          <w:rFonts w:asciiTheme="minorHAnsi" w:eastAsia="Calibri" w:hAnsiTheme="minorHAnsi" w:cstheme="minorHAnsi"/>
          <w:color w:val="000000"/>
          <w:lang w:val="pt-PT"/>
        </w:rPr>
      </w:pPr>
      <w:r w:rsidRPr="002660D0">
        <w:rPr>
          <w:rFonts w:asciiTheme="minorHAnsi" w:eastAsia="Calibri" w:hAnsiTheme="minorHAnsi" w:cstheme="minorHAnsi"/>
          <w:color w:val="000000"/>
          <w:lang w:val="pt-PT"/>
        </w:rPr>
        <w:t xml:space="preserve">Investimento em fontes de água dispersa (apoio na construção de 100 minissistemas multiuso de abastecimento de água, com instalações adicionais para lavanderia, carregamento de celulares e bebedouros para gado (quando aplicável), e 150 bombas manuais, em cada província). </w:t>
      </w:r>
    </w:p>
    <w:p w14:paraId="18A38C5B" w14:textId="4821065A" w:rsidR="003A3ED6" w:rsidRPr="002660D0" w:rsidRDefault="003A3ED6" w:rsidP="002660D0">
      <w:pPr>
        <w:numPr>
          <w:ilvl w:val="2"/>
          <w:numId w:val="238"/>
        </w:numPr>
        <w:tabs>
          <w:tab w:val="left" w:pos="630"/>
        </w:tabs>
        <w:autoSpaceDE w:val="0"/>
        <w:autoSpaceDN w:val="0"/>
        <w:adjustRightInd w:val="0"/>
        <w:spacing w:before="0" w:after="0" w:line="259" w:lineRule="auto"/>
        <w:ind w:left="630" w:hanging="540"/>
        <w:contextualSpacing/>
        <w:rPr>
          <w:rFonts w:asciiTheme="minorHAnsi" w:eastAsia="Calibri" w:hAnsiTheme="minorHAnsi" w:cstheme="minorHAnsi"/>
          <w:color w:val="000000"/>
          <w:lang w:val="pt-PT"/>
        </w:rPr>
      </w:pPr>
      <w:r w:rsidRPr="002660D0">
        <w:rPr>
          <w:rFonts w:asciiTheme="minorHAnsi" w:eastAsia="Calibri" w:hAnsiTheme="minorHAnsi" w:cstheme="minorHAnsi"/>
          <w:color w:val="000000"/>
          <w:lang w:val="pt-PT"/>
        </w:rPr>
        <w:t xml:space="preserve">Fortalecimento de sistemas de saneamento a nível local e institucional (financiamento de intervenções de saneamento em distritos </w:t>
      </w:r>
      <w:proofErr w:type="spellStart"/>
      <w:r w:rsidRPr="002660D0">
        <w:rPr>
          <w:rFonts w:asciiTheme="minorHAnsi" w:eastAsia="Calibri" w:hAnsiTheme="minorHAnsi" w:cstheme="minorHAnsi"/>
          <w:color w:val="000000"/>
          <w:lang w:val="pt-PT"/>
        </w:rPr>
        <w:t>seleccionados</w:t>
      </w:r>
      <w:proofErr w:type="spellEnd"/>
      <w:r w:rsidRPr="002660D0">
        <w:rPr>
          <w:rFonts w:asciiTheme="minorHAnsi" w:eastAsia="Calibri" w:hAnsiTheme="minorHAnsi" w:cstheme="minorHAnsi"/>
          <w:color w:val="000000"/>
          <w:lang w:val="pt-PT"/>
        </w:rPr>
        <w:t xml:space="preserve"> das duas províncias: i campanhas de promoção de higiene e saneamento; </w:t>
      </w:r>
      <w:proofErr w:type="spellStart"/>
      <w:r w:rsidRPr="002660D0">
        <w:rPr>
          <w:rFonts w:asciiTheme="minorHAnsi" w:eastAsia="Calibri" w:hAnsiTheme="minorHAnsi" w:cstheme="minorHAnsi"/>
          <w:color w:val="000000"/>
          <w:lang w:val="pt-PT"/>
        </w:rPr>
        <w:t>ii</w:t>
      </w:r>
      <w:proofErr w:type="spellEnd"/>
      <w:r w:rsidRPr="002660D0">
        <w:rPr>
          <w:rFonts w:asciiTheme="minorHAnsi" w:eastAsia="Calibri" w:hAnsiTheme="minorHAnsi" w:cstheme="minorHAnsi"/>
          <w:color w:val="000000"/>
          <w:lang w:val="pt-PT"/>
        </w:rPr>
        <w:t xml:space="preserve"> melhoria e construção de instalações resilientes de higiene e saneamento para famílias vulneráveis expostas a eventos climáticos extremos; </w:t>
      </w:r>
      <w:proofErr w:type="spellStart"/>
      <w:r w:rsidRPr="002660D0">
        <w:rPr>
          <w:rFonts w:asciiTheme="minorHAnsi" w:eastAsia="Calibri" w:hAnsiTheme="minorHAnsi" w:cstheme="minorHAnsi"/>
          <w:color w:val="000000"/>
          <w:lang w:val="pt-PT"/>
        </w:rPr>
        <w:t>iii</w:t>
      </w:r>
      <w:proofErr w:type="spellEnd"/>
      <w:r w:rsidRPr="002660D0">
        <w:rPr>
          <w:rFonts w:asciiTheme="minorHAnsi" w:eastAsia="Calibri" w:hAnsiTheme="minorHAnsi" w:cstheme="minorHAnsi"/>
          <w:color w:val="000000"/>
          <w:lang w:val="pt-PT"/>
        </w:rPr>
        <w:t xml:space="preserve"> apoiar o desenvolvimento de fornecedores de serviços de saneamento em zonas rurais.</w:t>
      </w:r>
    </w:p>
    <w:p w14:paraId="6624AFFC" w14:textId="2E80FA75" w:rsidR="003A3ED6" w:rsidRPr="002660D0" w:rsidRDefault="003A3ED6" w:rsidP="002660D0">
      <w:pPr>
        <w:numPr>
          <w:ilvl w:val="2"/>
          <w:numId w:val="238"/>
        </w:numPr>
        <w:tabs>
          <w:tab w:val="left" w:pos="630"/>
        </w:tabs>
        <w:autoSpaceDE w:val="0"/>
        <w:autoSpaceDN w:val="0"/>
        <w:adjustRightInd w:val="0"/>
        <w:spacing w:before="0" w:after="0" w:line="259" w:lineRule="auto"/>
        <w:ind w:left="630" w:hanging="540"/>
        <w:contextualSpacing/>
        <w:rPr>
          <w:rFonts w:asciiTheme="minorHAnsi" w:eastAsia="Calibri" w:hAnsiTheme="minorHAnsi" w:cstheme="minorHAnsi"/>
          <w:color w:val="000000"/>
          <w:lang w:val="pt-PT"/>
        </w:rPr>
      </w:pPr>
      <w:r w:rsidRPr="002660D0">
        <w:rPr>
          <w:rFonts w:asciiTheme="minorHAnsi" w:eastAsia="Calibri" w:hAnsiTheme="minorHAnsi" w:cstheme="minorHAnsi"/>
          <w:color w:val="000000"/>
          <w:lang w:val="pt-PT"/>
        </w:rPr>
        <w:t>Fundo rotativo para apoiar a instalação de equipamentos de energia solar em esquemas de abastecimento de água existentes para reduzir custos operacionais e emissão de GEE,</w:t>
      </w:r>
    </w:p>
    <w:p w14:paraId="77A0A88B" w14:textId="77777777" w:rsidR="003A3ED6" w:rsidRDefault="003A3ED6">
      <w:pPr>
        <w:rPr>
          <w:rFonts w:eastAsiaTheme="minorEastAsia"/>
          <w:b/>
          <w:iCs/>
          <w:sz w:val="18"/>
          <w:szCs w:val="18"/>
          <w:lang w:val="pt-PT" w:eastAsia="ja-JP"/>
        </w:rPr>
      </w:pPr>
      <w:bookmarkStart w:id="37" w:name="_Toc75438145"/>
      <w:r w:rsidRPr="004500AE">
        <w:rPr>
          <w:lang w:val="pt-PT"/>
        </w:rPr>
        <w:br w:type="page"/>
      </w:r>
    </w:p>
    <w:p w14:paraId="4C31135E" w14:textId="3357C054" w:rsidR="001A21CB" w:rsidRDefault="001A21CB" w:rsidP="00876367">
      <w:pPr>
        <w:pStyle w:val="Caption"/>
      </w:pPr>
      <w:bookmarkStart w:id="38" w:name="_Toc80380251"/>
      <w:r w:rsidRPr="00292532">
        <w:lastRenderedPageBreak/>
        <w:t xml:space="preserve">Tabela </w:t>
      </w:r>
      <w:r w:rsidRPr="00292532">
        <w:fldChar w:fldCharType="begin"/>
      </w:r>
      <w:r w:rsidRPr="00292532">
        <w:instrText xml:space="preserve"> SEQ Tabela \* ARABIC </w:instrText>
      </w:r>
      <w:r w:rsidRPr="00292532">
        <w:fldChar w:fldCharType="separate"/>
      </w:r>
      <w:r w:rsidR="000D7B05">
        <w:rPr>
          <w:noProof/>
        </w:rPr>
        <w:t>4</w:t>
      </w:r>
      <w:r w:rsidRPr="00292532">
        <w:fldChar w:fldCharType="end"/>
      </w:r>
      <w:r w:rsidRPr="00292532">
        <w:t>: Locais de Abrangidos pela Componente 2 na Província da Zambézia</w:t>
      </w:r>
      <w:bookmarkEnd w:id="37"/>
      <w:bookmarkEnd w:id="38"/>
    </w:p>
    <w:tbl>
      <w:tblPr>
        <w:tblW w:w="7447" w:type="dxa"/>
        <w:tblLook w:val="04A0" w:firstRow="1" w:lastRow="0" w:firstColumn="1" w:lastColumn="0" w:noHBand="0" w:noVBand="1"/>
      </w:tblPr>
      <w:tblGrid>
        <w:gridCol w:w="2510"/>
        <w:gridCol w:w="2509"/>
        <w:gridCol w:w="2428"/>
      </w:tblGrid>
      <w:tr w:rsidR="00803DA0" w:rsidRPr="00803DA0" w14:paraId="37A68298" w14:textId="77777777" w:rsidTr="00941934">
        <w:trPr>
          <w:trHeight w:val="300"/>
        </w:trPr>
        <w:tc>
          <w:tcPr>
            <w:tcW w:w="2510" w:type="dxa"/>
            <w:tcBorders>
              <w:top w:val="single" w:sz="8" w:space="0" w:color="auto"/>
              <w:left w:val="double" w:sz="6" w:space="0" w:color="auto"/>
              <w:bottom w:val="single" w:sz="8" w:space="0" w:color="auto"/>
              <w:right w:val="single" w:sz="4" w:space="0" w:color="auto"/>
            </w:tcBorders>
            <w:shd w:val="clear" w:color="000000" w:fill="D9E1F2"/>
            <w:noWrap/>
            <w:vAlign w:val="center"/>
            <w:hideMark/>
          </w:tcPr>
          <w:p w14:paraId="23AD6706" w14:textId="77777777" w:rsidR="00803DA0" w:rsidRPr="00941934" w:rsidRDefault="00803DA0" w:rsidP="00803DA0">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Distrito</w:t>
            </w:r>
          </w:p>
        </w:tc>
        <w:tc>
          <w:tcPr>
            <w:tcW w:w="4937" w:type="dxa"/>
            <w:gridSpan w:val="2"/>
            <w:tcBorders>
              <w:top w:val="single" w:sz="8" w:space="0" w:color="auto"/>
              <w:left w:val="single" w:sz="4" w:space="0" w:color="auto"/>
              <w:bottom w:val="single" w:sz="8" w:space="0" w:color="auto"/>
              <w:right w:val="single" w:sz="4" w:space="0" w:color="auto"/>
            </w:tcBorders>
            <w:shd w:val="clear" w:color="000000" w:fill="D9E1F2"/>
            <w:noWrap/>
            <w:vAlign w:val="center"/>
            <w:hideMark/>
          </w:tcPr>
          <w:p w14:paraId="4E560627" w14:textId="77777777" w:rsidR="00803DA0" w:rsidRPr="00941934" w:rsidRDefault="00803DA0" w:rsidP="00803DA0">
            <w:pPr>
              <w:spacing w:before="0" w:after="0"/>
              <w:jc w:val="center"/>
              <w:rPr>
                <w:rFonts w:eastAsia="Times New Roman" w:cs="Calibri"/>
                <w:color w:val="000000"/>
                <w:sz w:val="18"/>
                <w:szCs w:val="18"/>
                <w:lang w:val="en-US"/>
              </w:rPr>
            </w:pPr>
            <w:r w:rsidRPr="00941934">
              <w:rPr>
                <w:rFonts w:eastAsia="Times New Roman" w:cs="Calibri"/>
                <w:color w:val="000000"/>
                <w:sz w:val="18"/>
                <w:szCs w:val="18"/>
                <w:lang w:val="en-US"/>
              </w:rPr>
              <w:t>Local</w:t>
            </w:r>
          </w:p>
        </w:tc>
      </w:tr>
      <w:tr w:rsidR="00803DA0" w:rsidRPr="00803DA0" w14:paraId="6BA7E9A6" w14:textId="77777777" w:rsidTr="00941934">
        <w:trPr>
          <w:trHeight w:val="310"/>
        </w:trPr>
        <w:tc>
          <w:tcPr>
            <w:tcW w:w="2510" w:type="dxa"/>
            <w:tcBorders>
              <w:top w:val="nil"/>
              <w:left w:val="double" w:sz="6" w:space="0" w:color="auto"/>
              <w:bottom w:val="dotted" w:sz="4" w:space="0" w:color="auto"/>
              <w:right w:val="single" w:sz="4" w:space="0" w:color="auto"/>
            </w:tcBorders>
            <w:shd w:val="clear" w:color="auto" w:fill="auto"/>
            <w:noWrap/>
            <w:vAlign w:val="center"/>
            <w:hideMark/>
          </w:tcPr>
          <w:p w14:paraId="09ECD6F1"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Quelimane</w:t>
            </w:r>
            <w:proofErr w:type="spellEnd"/>
          </w:p>
        </w:tc>
        <w:tc>
          <w:tcPr>
            <w:tcW w:w="2509" w:type="dxa"/>
            <w:tcBorders>
              <w:top w:val="nil"/>
              <w:left w:val="nil"/>
              <w:bottom w:val="dotted" w:sz="4" w:space="0" w:color="auto"/>
              <w:right w:val="single" w:sz="4" w:space="0" w:color="auto"/>
            </w:tcBorders>
            <w:shd w:val="clear" w:color="000000" w:fill="FFFFFF"/>
            <w:noWrap/>
            <w:vAlign w:val="center"/>
            <w:hideMark/>
          </w:tcPr>
          <w:p w14:paraId="5DFE873C"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Construcão</w:t>
            </w:r>
            <w:proofErr w:type="spellEnd"/>
            <w:r w:rsidRPr="00941934">
              <w:rPr>
                <w:rFonts w:eastAsia="Times New Roman" w:cs="Calibri"/>
                <w:color w:val="000000"/>
                <w:sz w:val="18"/>
                <w:szCs w:val="18"/>
                <w:lang w:val="en-US"/>
              </w:rPr>
              <w:t xml:space="preserve"> do SAA de</w:t>
            </w:r>
          </w:p>
        </w:tc>
        <w:tc>
          <w:tcPr>
            <w:tcW w:w="2428" w:type="dxa"/>
            <w:tcBorders>
              <w:top w:val="nil"/>
              <w:left w:val="nil"/>
              <w:bottom w:val="dotted" w:sz="4" w:space="0" w:color="auto"/>
              <w:right w:val="single" w:sz="4" w:space="0" w:color="auto"/>
            </w:tcBorders>
            <w:shd w:val="clear" w:color="auto" w:fill="auto"/>
            <w:noWrap/>
            <w:vAlign w:val="center"/>
            <w:hideMark/>
          </w:tcPr>
          <w:p w14:paraId="0896DEAB"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Madal</w:t>
            </w:r>
            <w:proofErr w:type="spellEnd"/>
          </w:p>
        </w:tc>
      </w:tr>
      <w:tr w:rsidR="00803DA0" w:rsidRPr="00803DA0" w14:paraId="03CE950F" w14:textId="77777777" w:rsidTr="00941934">
        <w:trPr>
          <w:trHeight w:val="290"/>
        </w:trPr>
        <w:tc>
          <w:tcPr>
            <w:tcW w:w="2510" w:type="dxa"/>
            <w:tcBorders>
              <w:top w:val="nil"/>
              <w:left w:val="double" w:sz="6" w:space="0" w:color="auto"/>
              <w:bottom w:val="nil"/>
              <w:right w:val="single" w:sz="4" w:space="0" w:color="auto"/>
            </w:tcBorders>
            <w:shd w:val="clear" w:color="auto" w:fill="auto"/>
            <w:noWrap/>
            <w:vAlign w:val="center"/>
            <w:hideMark/>
          </w:tcPr>
          <w:p w14:paraId="23BB660A"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Gile</w:t>
            </w:r>
            <w:proofErr w:type="spellEnd"/>
          </w:p>
        </w:tc>
        <w:tc>
          <w:tcPr>
            <w:tcW w:w="2509" w:type="dxa"/>
            <w:tcBorders>
              <w:top w:val="nil"/>
              <w:left w:val="nil"/>
              <w:bottom w:val="nil"/>
              <w:right w:val="single" w:sz="4" w:space="0" w:color="auto"/>
            </w:tcBorders>
            <w:shd w:val="clear" w:color="000000" w:fill="FFFFFF"/>
            <w:noWrap/>
            <w:vAlign w:val="center"/>
            <w:hideMark/>
          </w:tcPr>
          <w:p w14:paraId="6746544A"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Construcão</w:t>
            </w:r>
            <w:proofErr w:type="spellEnd"/>
            <w:r w:rsidRPr="00941934">
              <w:rPr>
                <w:rFonts w:eastAsia="Times New Roman" w:cs="Calibri"/>
                <w:color w:val="000000"/>
                <w:sz w:val="18"/>
                <w:szCs w:val="18"/>
                <w:lang w:val="en-US"/>
              </w:rPr>
              <w:t xml:space="preserve"> do SAA de</w:t>
            </w:r>
          </w:p>
        </w:tc>
        <w:tc>
          <w:tcPr>
            <w:tcW w:w="2428" w:type="dxa"/>
            <w:tcBorders>
              <w:top w:val="nil"/>
              <w:left w:val="nil"/>
              <w:bottom w:val="nil"/>
              <w:right w:val="single" w:sz="4" w:space="0" w:color="auto"/>
            </w:tcBorders>
            <w:shd w:val="clear" w:color="auto" w:fill="auto"/>
            <w:noWrap/>
            <w:vAlign w:val="center"/>
            <w:hideMark/>
          </w:tcPr>
          <w:p w14:paraId="101C7FBD"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Moneia</w:t>
            </w:r>
            <w:proofErr w:type="spellEnd"/>
          </w:p>
        </w:tc>
      </w:tr>
      <w:tr w:rsidR="00803DA0" w:rsidRPr="00803DA0" w14:paraId="0BCB2348" w14:textId="77777777" w:rsidTr="00941934">
        <w:trPr>
          <w:trHeight w:val="290"/>
        </w:trPr>
        <w:tc>
          <w:tcPr>
            <w:tcW w:w="2510" w:type="dxa"/>
            <w:vMerge w:val="restart"/>
            <w:tcBorders>
              <w:top w:val="single" w:sz="4" w:space="0" w:color="auto"/>
              <w:left w:val="double" w:sz="6" w:space="0" w:color="auto"/>
              <w:bottom w:val="single" w:sz="4" w:space="0" w:color="000000"/>
              <w:right w:val="single" w:sz="4" w:space="0" w:color="auto"/>
            </w:tcBorders>
            <w:shd w:val="clear" w:color="auto" w:fill="auto"/>
            <w:noWrap/>
            <w:vAlign w:val="center"/>
            <w:hideMark/>
          </w:tcPr>
          <w:p w14:paraId="27391906"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Pebane</w:t>
            </w:r>
            <w:proofErr w:type="spellEnd"/>
          </w:p>
        </w:tc>
        <w:tc>
          <w:tcPr>
            <w:tcW w:w="2509" w:type="dxa"/>
            <w:tcBorders>
              <w:top w:val="single" w:sz="4" w:space="0" w:color="auto"/>
              <w:left w:val="nil"/>
              <w:bottom w:val="dotted" w:sz="4" w:space="0" w:color="auto"/>
              <w:right w:val="single" w:sz="4" w:space="0" w:color="auto"/>
            </w:tcBorders>
            <w:shd w:val="clear" w:color="000000" w:fill="FFFFFF"/>
            <w:noWrap/>
            <w:vAlign w:val="center"/>
            <w:hideMark/>
          </w:tcPr>
          <w:p w14:paraId="5481B3F9"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Construcão</w:t>
            </w:r>
            <w:proofErr w:type="spellEnd"/>
            <w:r w:rsidRPr="00941934">
              <w:rPr>
                <w:rFonts w:eastAsia="Times New Roman" w:cs="Calibri"/>
                <w:color w:val="000000"/>
                <w:sz w:val="18"/>
                <w:szCs w:val="18"/>
                <w:lang w:val="en-US"/>
              </w:rPr>
              <w:t xml:space="preserve"> do SAA de</w:t>
            </w:r>
          </w:p>
        </w:tc>
        <w:tc>
          <w:tcPr>
            <w:tcW w:w="2428" w:type="dxa"/>
            <w:tcBorders>
              <w:top w:val="single" w:sz="4" w:space="0" w:color="auto"/>
              <w:left w:val="nil"/>
              <w:bottom w:val="dotted" w:sz="4" w:space="0" w:color="auto"/>
              <w:right w:val="single" w:sz="4" w:space="0" w:color="auto"/>
            </w:tcBorders>
            <w:shd w:val="clear" w:color="auto" w:fill="auto"/>
            <w:noWrap/>
            <w:vAlign w:val="center"/>
            <w:hideMark/>
          </w:tcPr>
          <w:p w14:paraId="0EE24B86"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Cuaciane</w:t>
            </w:r>
            <w:proofErr w:type="spellEnd"/>
          </w:p>
        </w:tc>
      </w:tr>
      <w:tr w:rsidR="00803DA0" w:rsidRPr="00803DA0" w14:paraId="512317BA" w14:textId="77777777" w:rsidTr="00941934">
        <w:trPr>
          <w:trHeight w:val="290"/>
        </w:trPr>
        <w:tc>
          <w:tcPr>
            <w:tcW w:w="2510" w:type="dxa"/>
            <w:vMerge/>
            <w:tcBorders>
              <w:top w:val="single" w:sz="4" w:space="0" w:color="auto"/>
              <w:left w:val="double" w:sz="6" w:space="0" w:color="auto"/>
              <w:bottom w:val="single" w:sz="4" w:space="0" w:color="000000"/>
              <w:right w:val="single" w:sz="4" w:space="0" w:color="auto"/>
            </w:tcBorders>
            <w:vAlign w:val="center"/>
            <w:hideMark/>
          </w:tcPr>
          <w:p w14:paraId="0B15390E" w14:textId="77777777" w:rsidR="00803DA0" w:rsidRPr="00941934" w:rsidRDefault="00803DA0" w:rsidP="00803DA0">
            <w:pPr>
              <w:spacing w:before="0" w:after="0"/>
              <w:jc w:val="left"/>
              <w:rPr>
                <w:rFonts w:eastAsia="Times New Roman" w:cs="Calibri"/>
                <w:color w:val="000000"/>
                <w:sz w:val="18"/>
                <w:szCs w:val="18"/>
                <w:lang w:val="en-US"/>
              </w:rPr>
            </w:pPr>
          </w:p>
        </w:tc>
        <w:tc>
          <w:tcPr>
            <w:tcW w:w="2509" w:type="dxa"/>
            <w:tcBorders>
              <w:top w:val="nil"/>
              <w:left w:val="nil"/>
              <w:bottom w:val="dotted" w:sz="4" w:space="0" w:color="auto"/>
              <w:right w:val="single" w:sz="4" w:space="0" w:color="auto"/>
            </w:tcBorders>
            <w:shd w:val="clear" w:color="000000" w:fill="FFFFFF"/>
            <w:noWrap/>
            <w:vAlign w:val="center"/>
            <w:hideMark/>
          </w:tcPr>
          <w:p w14:paraId="483A94E5"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Construcão</w:t>
            </w:r>
            <w:proofErr w:type="spellEnd"/>
            <w:r w:rsidRPr="00941934">
              <w:rPr>
                <w:rFonts w:eastAsia="Times New Roman" w:cs="Calibri"/>
                <w:color w:val="000000"/>
                <w:sz w:val="18"/>
                <w:szCs w:val="18"/>
                <w:lang w:val="en-US"/>
              </w:rPr>
              <w:t xml:space="preserve"> do SAA de</w:t>
            </w:r>
          </w:p>
        </w:tc>
        <w:tc>
          <w:tcPr>
            <w:tcW w:w="2428" w:type="dxa"/>
            <w:tcBorders>
              <w:top w:val="nil"/>
              <w:left w:val="nil"/>
              <w:bottom w:val="dotted" w:sz="4" w:space="0" w:color="auto"/>
              <w:right w:val="single" w:sz="4" w:space="0" w:color="auto"/>
            </w:tcBorders>
            <w:shd w:val="clear" w:color="auto" w:fill="auto"/>
            <w:noWrap/>
            <w:vAlign w:val="center"/>
            <w:hideMark/>
          </w:tcPr>
          <w:p w14:paraId="0A6EE19F"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Magiga</w:t>
            </w:r>
            <w:proofErr w:type="spellEnd"/>
          </w:p>
        </w:tc>
      </w:tr>
      <w:tr w:rsidR="00803DA0" w:rsidRPr="00803DA0" w14:paraId="2040DF96" w14:textId="77777777" w:rsidTr="00941934">
        <w:trPr>
          <w:trHeight w:val="290"/>
        </w:trPr>
        <w:tc>
          <w:tcPr>
            <w:tcW w:w="2510" w:type="dxa"/>
            <w:tcBorders>
              <w:top w:val="nil"/>
              <w:left w:val="double" w:sz="6" w:space="0" w:color="auto"/>
              <w:bottom w:val="dotted" w:sz="4" w:space="0" w:color="auto"/>
              <w:right w:val="single" w:sz="4" w:space="0" w:color="auto"/>
            </w:tcBorders>
            <w:shd w:val="clear" w:color="auto" w:fill="auto"/>
            <w:noWrap/>
            <w:vAlign w:val="center"/>
            <w:hideMark/>
          </w:tcPr>
          <w:p w14:paraId="20512AA5"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Mocubela</w:t>
            </w:r>
            <w:proofErr w:type="spellEnd"/>
          </w:p>
        </w:tc>
        <w:tc>
          <w:tcPr>
            <w:tcW w:w="2509" w:type="dxa"/>
            <w:tcBorders>
              <w:top w:val="nil"/>
              <w:left w:val="nil"/>
              <w:bottom w:val="dotted" w:sz="4" w:space="0" w:color="auto"/>
              <w:right w:val="single" w:sz="4" w:space="0" w:color="auto"/>
            </w:tcBorders>
            <w:shd w:val="clear" w:color="000000" w:fill="FFFFFF"/>
            <w:noWrap/>
            <w:vAlign w:val="center"/>
            <w:hideMark/>
          </w:tcPr>
          <w:p w14:paraId="64DDD27B"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Construcão</w:t>
            </w:r>
            <w:proofErr w:type="spellEnd"/>
            <w:r w:rsidRPr="00941934">
              <w:rPr>
                <w:rFonts w:eastAsia="Times New Roman" w:cs="Calibri"/>
                <w:color w:val="000000"/>
                <w:sz w:val="18"/>
                <w:szCs w:val="18"/>
                <w:lang w:val="en-US"/>
              </w:rPr>
              <w:t xml:space="preserve"> do SAA de</w:t>
            </w:r>
          </w:p>
        </w:tc>
        <w:tc>
          <w:tcPr>
            <w:tcW w:w="2428" w:type="dxa"/>
            <w:tcBorders>
              <w:top w:val="nil"/>
              <w:left w:val="nil"/>
              <w:bottom w:val="dotted" w:sz="4" w:space="0" w:color="auto"/>
              <w:right w:val="single" w:sz="4" w:space="0" w:color="auto"/>
            </w:tcBorders>
            <w:shd w:val="clear" w:color="auto" w:fill="auto"/>
            <w:noWrap/>
            <w:vAlign w:val="center"/>
            <w:hideMark/>
          </w:tcPr>
          <w:p w14:paraId="2CE0B105"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Bajone</w:t>
            </w:r>
            <w:proofErr w:type="spellEnd"/>
          </w:p>
        </w:tc>
      </w:tr>
      <w:tr w:rsidR="00803DA0" w:rsidRPr="00803DA0" w14:paraId="410C4BE2" w14:textId="77777777" w:rsidTr="00941934">
        <w:trPr>
          <w:trHeight w:val="290"/>
        </w:trPr>
        <w:tc>
          <w:tcPr>
            <w:tcW w:w="2510" w:type="dxa"/>
            <w:tcBorders>
              <w:top w:val="nil"/>
              <w:left w:val="double" w:sz="6" w:space="0" w:color="auto"/>
              <w:bottom w:val="dotted" w:sz="4" w:space="0" w:color="auto"/>
              <w:right w:val="single" w:sz="4" w:space="0" w:color="auto"/>
            </w:tcBorders>
            <w:shd w:val="clear" w:color="auto" w:fill="auto"/>
            <w:noWrap/>
            <w:vAlign w:val="center"/>
            <w:hideMark/>
          </w:tcPr>
          <w:p w14:paraId="73CE4ABE"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Mopeia</w:t>
            </w:r>
            <w:proofErr w:type="spellEnd"/>
          </w:p>
        </w:tc>
        <w:tc>
          <w:tcPr>
            <w:tcW w:w="2509" w:type="dxa"/>
            <w:tcBorders>
              <w:top w:val="nil"/>
              <w:left w:val="nil"/>
              <w:bottom w:val="dotted" w:sz="4" w:space="0" w:color="auto"/>
              <w:right w:val="single" w:sz="4" w:space="0" w:color="auto"/>
            </w:tcBorders>
            <w:shd w:val="clear" w:color="000000" w:fill="FFFFFF"/>
            <w:noWrap/>
            <w:vAlign w:val="center"/>
            <w:hideMark/>
          </w:tcPr>
          <w:p w14:paraId="4C163F47"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Construcão</w:t>
            </w:r>
            <w:proofErr w:type="spellEnd"/>
            <w:r w:rsidRPr="00941934">
              <w:rPr>
                <w:rFonts w:eastAsia="Times New Roman" w:cs="Calibri"/>
                <w:color w:val="000000"/>
                <w:sz w:val="18"/>
                <w:szCs w:val="18"/>
                <w:lang w:val="en-US"/>
              </w:rPr>
              <w:t xml:space="preserve"> do SAA de</w:t>
            </w:r>
          </w:p>
        </w:tc>
        <w:tc>
          <w:tcPr>
            <w:tcW w:w="2428" w:type="dxa"/>
            <w:tcBorders>
              <w:top w:val="nil"/>
              <w:left w:val="nil"/>
              <w:bottom w:val="dotted" w:sz="4" w:space="0" w:color="auto"/>
              <w:right w:val="single" w:sz="4" w:space="0" w:color="auto"/>
            </w:tcBorders>
            <w:shd w:val="clear" w:color="auto" w:fill="auto"/>
            <w:noWrap/>
            <w:vAlign w:val="center"/>
            <w:hideMark/>
          </w:tcPr>
          <w:p w14:paraId="0C866222"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Chimuara</w:t>
            </w:r>
            <w:proofErr w:type="spellEnd"/>
          </w:p>
        </w:tc>
      </w:tr>
      <w:tr w:rsidR="00803DA0" w:rsidRPr="00803DA0" w14:paraId="79019B27" w14:textId="77777777" w:rsidTr="00941934">
        <w:trPr>
          <w:trHeight w:val="290"/>
        </w:trPr>
        <w:tc>
          <w:tcPr>
            <w:tcW w:w="2510" w:type="dxa"/>
            <w:tcBorders>
              <w:top w:val="nil"/>
              <w:left w:val="double" w:sz="6" w:space="0" w:color="auto"/>
              <w:bottom w:val="nil"/>
              <w:right w:val="single" w:sz="4" w:space="0" w:color="auto"/>
            </w:tcBorders>
            <w:shd w:val="clear" w:color="auto" w:fill="auto"/>
            <w:noWrap/>
            <w:vAlign w:val="center"/>
            <w:hideMark/>
          </w:tcPr>
          <w:p w14:paraId="0FC7F2D3"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Morrumbala</w:t>
            </w:r>
            <w:proofErr w:type="spellEnd"/>
          </w:p>
        </w:tc>
        <w:tc>
          <w:tcPr>
            <w:tcW w:w="2509" w:type="dxa"/>
            <w:tcBorders>
              <w:top w:val="nil"/>
              <w:left w:val="nil"/>
              <w:bottom w:val="dotted" w:sz="4" w:space="0" w:color="auto"/>
              <w:right w:val="single" w:sz="4" w:space="0" w:color="auto"/>
            </w:tcBorders>
            <w:shd w:val="clear" w:color="000000" w:fill="FFFFFF"/>
            <w:noWrap/>
            <w:vAlign w:val="center"/>
            <w:hideMark/>
          </w:tcPr>
          <w:p w14:paraId="04BB3457"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Construcão</w:t>
            </w:r>
            <w:proofErr w:type="spellEnd"/>
            <w:r w:rsidRPr="00941934">
              <w:rPr>
                <w:rFonts w:eastAsia="Times New Roman" w:cs="Calibri"/>
                <w:color w:val="000000"/>
                <w:sz w:val="18"/>
                <w:szCs w:val="18"/>
                <w:lang w:val="en-US"/>
              </w:rPr>
              <w:t xml:space="preserve"> do SAA de</w:t>
            </w:r>
          </w:p>
        </w:tc>
        <w:tc>
          <w:tcPr>
            <w:tcW w:w="2428" w:type="dxa"/>
            <w:tcBorders>
              <w:top w:val="nil"/>
              <w:left w:val="nil"/>
              <w:bottom w:val="nil"/>
              <w:right w:val="single" w:sz="4" w:space="0" w:color="auto"/>
            </w:tcBorders>
            <w:shd w:val="clear" w:color="auto" w:fill="auto"/>
            <w:noWrap/>
            <w:vAlign w:val="center"/>
            <w:hideMark/>
          </w:tcPr>
          <w:p w14:paraId="1CD39D1D"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Chire-Sede</w:t>
            </w:r>
            <w:proofErr w:type="spellEnd"/>
          </w:p>
        </w:tc>
      </w:tr>
      <w:tr w:rsidR="00803DA0" w:rsidRPr="00803DA0" w14:paraId="668F6268" w14:textId="77777777" w:rsidTr="00941934">
        <w:trPr>
          <w:trHeight w:val="290"/>
        </w:trPr>
        <w:tc>
          <w:tcPr>
            <w:tcW w:w="2510" w:type="dxa"/>
            <w:vMerge w:val="restart"/>
            <w:tcBorders>
              <w:top w:val="single" w:sz="4" w:space="0" w:color="auto"/>
              <w:left w:val="double" w:sz="6" w:space="0" w:color="auto"/>
              <w:bottom w:val="single" w:sz="4" w:space="0" w:color="000000"/>
              <w:right w:val="single" w:sz="4" w:space="0" w:color="auto"/>
            </w:tcBorders>
            <w:shd w:val="clear" w:color="auto" w:fill="auto"/>
            <w:noWrap/>
            <w:vAlign w:val="center"/>
            <w:hideMark/>
          </w:tcPr>
          <w:p w14:paraId="4DAA2E43"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Lugela</w:t>
            </w:r>
            <w:proofErr w:type="spellEnd"/>
          </w:p>
        </w:tc>
        <w:tc>
          <w:tcPr>
            <w:tcW w:w="2509" w:type="dxa"/>
            <w:tcBorders>
              <w:top w:val="single" w:sz="4" w:space="0" w:color="auto"/>
              <w:left w:val="nil"/>
              <w:bottom w:val="dotted" w:sz="4" w:space="0" w:color="auto"/>
              <w:right w:val="single" w:sz="4" w:space="0" w:color="auto"/>
            </w:tcBorders>
            <w:shd w:val="clear" w:color="000000" w:fill="FFFFFF"/>
            <w:noWrap/>
            <w:vAlign w:val="center"/>
            <w:hideMark/>
          </w:tcPr>
          <w:p w14:paraId="14BDAD5D"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Construcão</w:t>
            </w:r>
            <w:proofErr w:type="spellEnd"/>
            <w:r w:rsidRPr="00941934">
              <w:rPr>
                <w:rFonts w:eastAsia="Times New Roman" w:cs="Calibri"/>
                <w:color w:val="000000"/>
                <w:sz w:val="18"/>
                <w:szCs w:val="18"/>
                <w:lang w:val="en-US"/>
              </w:rPr>
              <w:t xml:space="preserve"> do SAA de</w:t>
            </w:r>
          </w:p>
        </w:tc>
        <w:tc>
          <w:tcPr>
            <w:tcW w:w="2428" w:type="dxa"/>
            <w:tcBorders>
              <w:top w:val="single" w:sz="4" w:space="0" w:color="auto"/>
              <w:left w:val="nil"/>
              <w:bottom w:val="dotted" w:sz="4" w:space="0" w:color="auto"/>
              <w:right w:val="single" w:sz="4" w:space="0" w:color="auto"/>
            </w:tcBorders>
            <w:shd w:val="clear" w:color="auto" w:fill="auto"/>
            <w:noWrap/>
            <w:vAlign w:val="center"/>
            <w:hideMark/>
          </w:tcPr>
          <w:p w14:paraId="4BB08746"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Munhamade</w:t>
            </w:r>
            <w:proofErr w:type="spellEnd"/>
          </w:p>
        </w:tc>
      </w:tr>
      <w:tr w:rsidR="00803DA0" w:rsidRPr="00803DA0" w14:paraId="7C435798" w14:textId="77777777" w:rsidTr="00941934">
        <w:trPr>
          <w:trHeight w:val="290"/>
        </w:trPr>
        <w:tc>
          <w:tcPr>
            <w:tcW w:w="2510" w:type="dxa"/>
            <w:vMerge/>
            <w:tcBorders>
              <w:top w:val="single" w:sz="4" w:space="0" w:color="auto"/>
              <w:left w:val="double" w:sz="6" w:space="0" w:color="auto"/>
              <w:bottom w:val="single" w:sz="4" w:space="0" w:color="000000"/>
              <w:right w:val="single" w:sz="4" w:space="0" w:color="auto"/>
            </w:tcBorders>
            <w:vAlign w:val="center"/>
            <w:hideMark/>
          </w:tcPr>
          <w:p w14:paraId="25BF0EB8" w14:textId="77777777" w:rsidR="00803DA0" w:rsidRPr="00941934" w:rsidRDefault="00803DA0" w:rsidP="00803DA0">
            <w:pPr>
              <w:spacing w:before="0" w:after="0"/>
              <w:jc w:val="left"/>
              <w:rPr>
                <w:rFonts w:eastAsia="Times New Roman" w:cs="Calibri"/>
                <w:color w:val="000000"/>
                <w:sz w:val="18"/>
                <w:szCs w:val="18"/>
                <w:lang w:val="en-US"/>
              </w:rPr>
            </w:pPr>
          </w:p>
        </w:tc>
        <w:tc>
          <w:tcPr>
            <w:tcW w:w="2509" w:type="dxa"/>
            <w:tcBorders>
              <w:top w:val="nil"/>
              <w:left w:val="nil"/>
              <w:bottom w:val="single" w:sz="4" w:space="0" w:color="auto"/>
              <w:right w:val="single" w:sz="4" w:space="0" w:color="auto"/>
            </w:tcBorders>
            <w:shd w:val="clear" w:color="000000" w:fill="FFFFFF"/>
            <w:noWrap/>
            <w:vAlign w:val="center"/>
            <w:hideMark/>
          </w:tcPr>
          <w:p w14:paraId="2DA461A4"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Construcão</w:t>
            </w:r>
            <w:proofErr w:type="spellEnd"/>
            <w:r w:rsidRPr="00941934">
              <w:rPr>
                <w:rFonts w:eastAsia="Times New Roman" w:cs="Calibri"/>
                <w:color w:val="000000"/>
                <w:sz w:val="18"/>
                <w:szCs w:val="18"/>
                <w:lang w:val="en-US"/>
              </w:rPr>
              <w:t xml:space="preserve"> do SAA de</w:t>
            </w:r>
          </w:p>
        </w:tc>
        <w:tc>
          <w:tcPr>
            <w:tcW w:w="2428" w:type="dxa"/>
            <w:tcBorders>
              <w:top w:val="nil"/>
              <w:left w:val="nil"/>
              <w:bottom w:val="single" w:sz="4" w:space="0" w:color="auto"/>
              <w:right w:val="single" w:sz="4" w:space="0" w:color="auto"/>
            </w:tcBorders>
            <w:shd w:val="clear" w:color="auto" w:fill="auto"/>
            <w:noWrap/>
            <w:vAlign w:val="center"/>
            <w:hideMark/>
          </w:tcPr>
          <w:p w14:paraId="16429E48"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Tacuane</w:t>
            </w:r>
            <w:proofErr w:type="spellEnd"/>
          </w:p>
        </w:tc>
      </w:tr>
      <w:tr w:rsidR="00803DA0" w:rsidRPr="00803DA0" w14:paraId="1F321FCA" w14:textId="77777777" w:rsidTr="00941934">
        <w:trPr>
          <w:trHeight w:val="290"/>
        </w:trPr>
        <w:tc>
          <w:tcPr>
            <w:tcW w:w="2510" w:type="dxa"/>
            <w:tcBorders>
              <w:top w:val="nil"/>
              <w:left w:val="double" w:sz="6" w:space="0" w:color="auto"/>
              <w:bottom w:val="dotted" w:sz="4" w:space="0" w:color="auto"/>
              <w:right w:val="single" w:sz="4" w:space="0" w:color="auto"/>
            </w:tcBorders>
            <w:shd w:val="clear" w:color="auto" w:fill="auto"/>
            <w:noWrap/>
            <w:vAlign w:val="center"/>
            <w:hideMark/>
          </w:tcPr>
          <w:p w14:paraId="3E8466D8"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Luabo</w:t>
            </w:r>
            <w:proofErr w:type="spellEnd"/>
          </w:p>
        </w:tc>
        <w:tc>
          <w:tcPr>
            <w:tcW w:w="2509" w:type="dxa"/>
            <w:tcBorders>
              <w:top w:val="nil"/>
              <w:left w:val="nil"/>
              <w:bottom w:val="dotted" w:sz="4" w:space="0" w:color="auto"/>
              <w:right w:val="single" w:sz="4" w:space="0" w:color="auto"/>
            </w:tcBorders>
            <w:shd w:val="clear" w:color="000000" w:fill="FFFFFF"/>
            <w:noWrap/>
            <w:vAlign w:val="center"/>
            <w:hideMark/>
          </w:tcPr>
          <w:p w14:paraId="786A336C"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Construcão</w:t>
            </w:r>
            <w:proofErr w:type="spellEnd"/>
            <w:r w:rsidRPr="00941934">
              <w:rPr>
                <w:rFonts w:eastAsia="Times New Roman" w:cs="Calibri"/>
                <w:color w:val="000000"/>
                <w:sz w:val="18"/>
                <w:szCs w:val="18"/>
                <w:lang w:val="en-US"/>
              </w:rPr>
              <w:t xml:space="preserve"> do SAA de</w:t>
            </w:r>
          </w:p>
        </w:tc>
        <w:tc>
          <w:tcPr>
            <w:tcW w:w="2428" w:type="dxa"/>
            <w:tcBorders>
              <w:top w:val="nil"/>
              <w:left w:val="nil"/>
              <w:bottom w:val="dotted" w:sz="4" w:space="0" w:color="auto"/>
              <w:right w:val="single" w:sz="4" w:space="0" w:color="auto"/>
            </w:tcBorders>
            <w:shd w:val="clear" w:color="auto" w:fill="auto"/>
            <w:noWrap/>
            <w:vAlign w:val="center"/>
            <w:hideMark/>
          </w:tcPr>
          <w:p w14:paraId="1D43B6F7"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Chibanzo</w:t>
            </w:r>
            <w:proofErr w:type="spellEnd"/>
          </w:p>
        </w:tc>
      </w:tr>
      <w:tr w:rsidR="00803DA0" w:rsidRPr="00803DA0" w14:paraId="5164CF3C" w14:textId="77777777" w:rsidTr="00941934">
        <w:trPr>
          <w:trHeight w:val="290"/>
        </w:trPr>
        <w:tc>
          <w:tcPr>
            <w:tcW w:w="2510" w:type="dxa"/>
            <w:tcBorders>
              <w:top w:val="nil"/>
              <w:left w:val="double" w:sz="6" w:space="0" w:color="auto"/>
              <w:bottom w:val="dotted" w:sz="4" w:space="0" w:color="auto"/>
              <w:right w:val="single" w:sz="4" w:space="0" w:color="auto"/>
            </w:tcBorders>
            <w:shd w:val="clear" w:color="auto" w:fill="auto"/>
            <w:noWrap/>
            <w:vAlign w:val="center"/>
            <w:hideMark/>
          </w:tcPr>
          <w:p w14:paraId="60FA50FD" w14:textId="77777777" w:rsidR="00803DA0" w:rsidRPr="00941934" w:rsidRDefault="00803DA0" w:rsidP="00803DA0">
            <w:pPr>
              <w:spacing w:before="0" w:after="0"/>
              <w:jc w:val="left"/>
              <w:rPr>
                <w:rFonts w:eastAsia="Times New Roman" w:cs="Calibri"/>
                <w:color w:val="000000"/>
                <w:sz w:val="18"/>
                <w:szCs w:val="18"/>
                <w:lang w:val="en-US"/>
              </w:rPr>
            </w:pPr>
            <w:r w:rsidRPr="00941934">
              <w:rPr>
                <w:rFonts w:eastAsia="Times New Roman" w:cs="Calibri"/>
                <w:color w:val="000000"/>
                <w:sz w:val="18"/>
                <w:szCs w:val="18"/>
                <w:lang w:val="en-US"/>
              </w:rPr>
              <w:t xml:space="preserve">Alto </w:t>
            </w:r>
            <w:proofErr w:type="spellStart"/>
            <w:r w:rsidRPr="00941934">
              <w:rPr>
                <w:rFonts w:eastAsia="Times New Roman" w:cs="Calibri"/>
                <w:color w:val="000000"/>
                <w:sz w:val="18"/>
                <w:szCs w:val="18"/>
                <w:lang w:val="en-US"/>
              </w:rPr>
              <w:t>Molocue</w:t>
            </w:r>
            <w:proofErr w:type="spellEnd"/>
          </w:p>
        </w:tc>
        <w:tc>
          <w:tcPr>
            <w:tcW w:w="2509" w:type="dxa"/>
            <w:tcBorders>
              <w:top w:val="nil"/>
              <w:left w:val="nil"/>
              <w:bottom w:val="dotted" w:sz="4" w:space="0" w:color="auto"/>
              <w:right w:val="single" w:sz="4" w:space="0" w:color="auto"/>
            </w:tcBorders>
            <w:shd w:val="clear" w:color="000000" w:fill="FFFFFF"/>
            <w:noWrap/>
            <w:vAlign w:val="center"/>
            <w:hideMark/>
          </w:tcPr>
          <w:p w14:paraId="7E01D41F"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Construcão</w:t>
            </w:r>
            <w:proofErr w:type="spellEnd"/>
            <w:r w:rsidRPr="00941934">
              <w:rPr>
                <w:rFonts w:eastAsia="Times New Roman" w:cs="Calibri"/>
                <w:color w:val="000000"/>
                <w:sz w:val="18"/>
                <w:szCs w:val="18"/>
                <w:lang w:val="en-US"/>
              </w:rPr>
              <w:t xml:space="preserve"> do SAA de</w:t>
            </w:r>
          </w:p>
        </w:tc>
        <w:tc>
          <w:tcPr>
            <w:tcW w:w="2428" w:type="dxa"/>
            <w:tcBorders>
              <w:top w:val="nil"/>
              <w:left w:val="nil"/>
              <w:bottom w:val="dotted" w:sz="4" w:space="0" w:color="auto"/>
              <w:right w:val="single" w:sz="4" w:space="0" w:color="auto"/>
            </w:tcBorders>
            <w:shd w:val="clear" w:color="auto" w:fill="auto"/>
            <w:noWrap/>
            <w:vAlign w:val="center"/>
            <w:hideMark/>
          </w:tcPr>
          <w:p w14:paraId="27339DC7"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Mutala</w:t>
            </w:r>
            <w:proofErr w:type="spellEnd"/>
          </w:p>
        </w:tc>
      </w:tr>
      <w:tr w:rsidR="00803DA0" w:rsidRPr="00803DA0" w14:paraId="7F0A1B4E" w14:textId="77777777" w:rsidTr="00941934">
        <w:trPr>
          <w:trHeight w:val="290"/>
        </w:trPr>
        <w:tc>
          <w:tcPr>
            <w:tcW w:w="2510" w:type="dxa"/>
            <w:tcBorders>
              <w:top w:val="nil"/>
              <w:left w:val="double" w:sz="6" w:space="0" w:color="auto"/>
              <w:bottom w:val="dotted" w:sz="4" w:space="0" w:color="auto"/>
              <w:right w:val="single" w:sz="4" w:space="0" w:color="auto"/>
            </w:tcBorders>
            <w:shd w:val="clear" w:color="auto" w:fill="auto"/>
            <w:noWrap/>
            <w:vAlign w:val="center"/>
            <w:hideMark/>
          </w:tcPr>
          <w:p w14:paraId="236F0D30"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Nicoadala</w:t>
            </w:r>
            <w:proofErr w:type="spellEnd"/>
          </w:p>
        </w:tc>
        <w:tc>
          <w:tcPr>
            <w:tcW w:w="2509" w:type="dxa"/>
            <w:tcBorders>
              <w:top w:val="nil"/>
              <w:left w:val="nil"/>
              <w:bottom w:val="dotted" w:sz="4" w:space="0" w:color="auto"/>
              <w:right w:val="single" w:sz="4" w:space="0" w:color="auto"/>
            </w:tcBorders>
            <w:shd w:val="clear" w:color="000000" w:fill="FFFFFF"/>
            <w:noWrap/>
            <w:vAlign w:val="center"/>
            <w:hideMark/>
          </w:tcPr>
          <w:p w14:paraId="7659B37D"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Construcão</w:t>
            </w:r>
            <w:proofErr w:type="spellEnd"/>
            <w:r w:rsidRPr="00941934">
              <w:rPr>
                <w:rFonts w:eastAsia="Times New Roman" w:cs="Calibri"/>
                <w:color w:val="000000"/>
                <w:sz w:val="18"/>
                <w:szCs w:val="18"/>
                <w:lang w:val="en-US"/>
              </w:rPr>
              <w:t xml:space="preserve"> do SAA de</w:t>
            </w:r>
          </w:p>
        </w:tc>
        <w:tc>
          <w:tcPr>
            <w:tcW w:w="2428" w:type="dxa"/>
            <w:tcBorders>
              <w:top w:val="nil"/>
              <w:left w:val="nil"/>
              <w:bottom w:val="dotted" w:sz="4" w:space="0" w:color="auto"/>
              <w:right w:val="single" w:sz="4" w:space="0" w:color="auto"/>
            </w:tcBorders>
            <w:shd w:val="clear" w:color="auto" w:fill="auto"/>
            <w:noWrap/>
            <w:vAlign w:val="center"/>
            <w:hideMark/>
          </w:tcPr>
          <w:p w14:paraId="6A47C66E"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Namacata</w:t>
            </w:r>
            <w:proofErr w:type="spellEnd"/>
          </w:p>
        </w:tc>
      </w:tr>
      <w:tr w:rsidR="00803DA0" w:rsidRPr="00803DA0" w14:paraId="17F6DAE1" w14:textId="77777777" w:rsidTr="00941934">
        <w:trPr>
          <w:trHeight w:val="290"/>
        </w:trPr>
        <w:tc>
          <w:tcPr>
            <w:tcW w:w="2510" w:type="dxa"/>
            <w:tcBorders>
              <w:top w:val="nil"/>
              <w:left w:val="double" w:sz="6" w:space="0" w:color="auto"/>
              <w:bottom w:val="dotted" w:sz="4" w:space="0" w:color="auto"/>
              <w:right w:val="single" w:sz="4" w:space="0" w:color="auto"/>
            </w:tcBorders>
            <w:shd w:val="clear" w:color="auto" w:fill="auto"/>
            <w:noWrap/>
            <w:vAlign w:val="center"/>
            <w:hideMark/>
          </w:tcPr>
          <w:p w14:paraId="41C67ECA"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Inhassunge</w:t>
            </w:r>
            <w:proofErr w:type="spellEnd"/>
          </w:p>
        </w:tc>
        <w:tc>
          <w:tcPr>
            <w:tcW w:w="2509" w:type="dxa"/>
            <w:tcBorders>
              <w:top w:val="nil"/>
              <w:left w:val="nil"/>
              <w:bottom w:val="dotted" w:sz="4" w:space="0" w:color="auto"/>
              <w:right w:val="single" w:sz="4" w:space="0" w:color="auto"/>
            </w:tcBorders>
            <w:shd w:val="clear" w:color="000000" w:fill="FFFFFF"/>
            <w:noWrap/>
            <w:vAlign w:val="center"/>
            <w:hideMark/>
          </w:tcPr>
          <w:p w14:paraId="76FAE42B"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Construcão</w:t>
            </w:r>
            <w:proofErr w:type="spellEnd"/>
            <w:r w:rsidRPr="00941934">
              <w:rPr>
                <w:rFonts w:eastAsia="Times New Roman" w:cs="Calibri"/>
                <w:color w:val="000000"/>
                <w:sz w:val="18"/>
                <w:szCs w:val="18"/>
                <w:lang w:val="en-US"/>
              </w:rPr>
              <w:t xml:space="preserve"> do SAA de</w:t>
            </w:r>
          </w:p>
        </w:tc>
        <w:tc>
          <w:tcPr>
            <w:tcW w:w="2428" w:type="dxa"/>
            <w:tcBorders>
              <w:top w:val="nil"/>
              <w:left w:val="nil"/>
              <w:bottom w:val="dotted" w:sz="4" w:space="0" w:color="auto"/>
              <w:right w:val="single" w:sz="4" w:space="0" w:color="auto"/>
            </w:tcBorders>
            <w:shd w:val="clear" w:color="000000" w:fill="FFFFFF"/>
            <w:noWrap/>
            <w:vAlign w:val="center"/>
            <w:hideMark/>
          </w:tcPr>
          <w:p w14:paraId="12104F31"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Mucupia</w:t>
            </w:r>
            <w:proofErr w:type="spellEnd"/>
          </w:p>
        </w:tc>
      </w:tr>
      <w:tr w:rsidR="00803DA0" w:rsidRPr="00803DA0" w14:paraId="35F97441" w14:textId="77777777" w:rsidTr="00941934">
        <w:trPr>
          <w:trHeight w:val="300"/>
        </w:trPr>
        <w:tc>
          <w:tcPr>
            <w:tcW w:w="2510" w:type="dxa"/>
            <w:tcBorders>
              <w:top w:val="nil"/>
              <w:left w:val="double" w:sz="6" w:space="0" w:color="auto"/>
              <w:bottom w:val="dotted" w:sz="4" w:space="0" w:color="auto"/>
              <w:right w:val="single" w:sz="4" w:space="0" w:color="auto"/>
            </w:tcBorders>
            <w:shd w:val="clear" w:color="auto" w:fill="auto"/>
            <w:noWrap/>
            <w:vAlign w:val="center"/>
            <w:hideMark/>
          </w:tcPr>
          <w:p w14:paraId="74379A10"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Gurue</w:t>
            </w:r>
            <w:proofErr w:type="spellEnd"/>
          </w:p>
        </w:tc>
        <w:tc>
          <w:tcPr>
            <w:tcW w:w="2509" w:type="dxa"/>
            <w:tcBorders>
              <w:top w:val="nil"/>
              <w:left w:val="nil"/>
              <w:bottom w:val="dotted" w:sz="4" w:space="0" w:color="auto"/>
              <w:right w:val="single" w:sz="4" w:space="0" w:color="auto"/>
            </w:tcBorders>
            <w:shd w:val="clear" w:color="000000" w:fill="FFFFFF"/>
            <w:noWrap/>
            <w:vAlign w:val="center"/>
            <w:hideMark/>
          </w:tcPr>
          <w:p w14:paraId="141E5E16"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Construcão</w:t>
            </w:r>
            <w:proofErr w:type="spellEnd"/>
            <w:r w:rsidRPr="00941934">
              <w:rPr>
                <w:rFonts w:eastAsia="Times New Roman" w:cs="Calibri"/>
                <w:color w:val="000000"/>
                <w:sz w:val="18"/>
                <w:szCs w:val="18"/>
                <w:lang w:val="en-US"/>
              </w:rPr>
              <w:t xml:space="preserve"> do SAA de</w:t>
            </w:r>
          </w:p>
        </w:tc>
        <w:tc>
          <w:tcPr>
            <w:tcW w:w="2428" w:type="dxa"/>
            <w:tcBorders>
              <w:top w:val="nil"/>
              <w:left w:val="nil"/>
              <w:bottom w:val="dotted" w:sz="4" w:space="0" w:color="auto"/>
              <w:right w:val="single" w:sz="4" w:space="0" w:color="auto"/>
            </w:tcBorders>
            <w:shd w:val="clear" w:color="auto" w:fill="auto"/>
            <w:noWrap/>
            <w:vAlign w:val="center"/>
            <w:hideMark/>
          </w:tcPr>
          <w:p w14:paraId="6C0C38A6"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Magige</w:t>
            </w:r>
            <w:proofErr w:type="spellEnd"/>
          </w:p>
        </w:tc>
      </w:tr>
      <w:tr w:rsidR="00803DA0" w:rsidRPr="00803DA0" w14:paraId="0AF8BA61" w14:textId="77777777" w:rsidTr="00941934">
        <w:trPr>
          <w:trHeight w:val="300"/>
        </w:trPr>
        <w:tc>
          <w:tcPr>
            <w:tcW w:w="2510" w:type="dxa"/>
            <w:tcBorders>
              <w:top w:val="nil"/>
              <w:left w:val="single" w:sz="4" w:space="0" w:color="auto"/>
              <w:bottom w:val="dotted" w:sz="4" w:space="0" w:color="auto"/>
              <w:right w:val="single" w:sz="4" w:space="0" w:color="auto"/>
            </w:tcBorders>
            <w:shd w:val="clear" w:color="000000" w:fill="FFFFFF"/>
            <w:noWrap/>
            <w:vAlign w:val="center"/>
            <w:hideMark/>
          </w:tcPr>
          <w:p w14:paraId="3DEDAA98"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Construcão</w:t>
            </w:r>
            <w:proofErr w:type="spellEnd"/>
            <w:r w:rsidRPr="00941934">
              <w:rPr>
                <w:rFonts w:eastAsia="Times New Roman" w:cs="Calibri"/>
                <w:color w:val="000000"/>
                <w:sz w:val="18"/>
                <w:szCs w:val="18"/>
                <w:lang w:val="en-US"/>
              </w:rPr>
              <w:t xml:space="preserve"> do SAA de</w:t>
            </w:r>
          </w:p>
        </w:tc>
        <w:tc>
          <w:tcPr>
            <w:tcW w:w="2509" w:type="dxa"/>
            <w:tcBorders>
              <w:top w:val="nil"/>
              <w:left w:val="nil"/>
              <w:bottom w:val="dotted" w:sz="4" w:space="0" w:color="auto"/>
              <w:right w:val="single" w:sz="4" w:space="0" w:color="auto"/>
            </w:tcBorders>
            <w:shd w:val="clear" w:color="000000" w:fill="FFFFFF"/>
            <w:noWrap/>
            <w:vAlign w:val="center"/>
            <w:hideMark/>
          </w:tcPr>
          <w:p w14:paraId="61B65FE9"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Construcão</w:t>
            </w:r>
            <w:proofErr w:type="spellEnd"/>
            <w:r w:rsidRPr="00941934">
              <w:rPr>
                <w:rFonts w:eastAsia="Times New Roman" w:cs="Calibri"/>
                <w:color w:val="000000"/>
                <w:sz w:val="18"/>
                <w:szCs w:val="18"/>
                <w:lang w:val="en-US"/>
              </w:rPr>
              <w:t xml:space="preserve"> do SAA de</w:t>
            </w:r>
          </w:p>
        </w:tc>
        <w:tc>
          <w:tcPr>
            <w:tcW w:w="2428" w:type="dxa"/>
            <w:tcBorders>
              <w:top w:val="nil"/>
              <w:left w:val="nil"/>
              <w:bottom w:val="dotted" w:sz="4" w:space="0" w:color="auto"/>
              <w:right w:val="single" w:sz="4" w:space="0" w:color="auto"/>
            </w:tcBorders>
            <w:shd w:val="clear" w:color="000000" w:fill="FFFFFF"/>
            <w:noWrap/>
            <w:vAlign w:val="center"/>
            <w:hideMark/>
          </w:tcPr>
          <w:p w14:paraId="2C8A4D8E" w14:textId="77777777" w:rsidR="00803DA0" w:rsidRPr="00941934" w:rsidRDefault="00803DA0" w:rsidP="00803DA0">
            <w:pPr>
              <w:spacing w:before="0" w:after="0"/>
              <w:jc w:val="left"/>
              <w:rPr>
                <w:rFonts w:eastAsia="Times New Roman" w:cs="Calibri"/>
                <w:color w:val="000000"/>
                <w:sz w:val="18"/>
                <w:szCs w:val="18"/>
                <w:lang w:val="en-US"/>
              </w:rPr>
            </w:pPr>
            <w:proofErr w:type="spellStart"/>
            <w:r w:rsidRPr="00941934">
              <w:rPr>
                <w:rFonts w:eastAsia="Times New Roman" w:cs="Calibri"/>
                <w:color w:val="000000"/>
                <w:sz w:val="18"/>
                <w:szCs w:val="18"/>
                <w:lang w:val="en-US"/>
              </w:rPr>
              <w:t>Megeba</w:t>
            </w:r>
            <w:proofErr w:type="spellEnd"/>
          </w:p>
        </w:tc>
      </w:tr>
    </w:tbl>
    <w:p w14:paraId="569C1E67" w14:textId="25B33C9C" w:rsidR="000B1B01" w:rsidRPr="00292532" w:rsidRDefault="000B1B01">
      <w:pPr>
        <w:spacing w:before="120" w:after="100" w:afterAutospacing="1"/>
        <w:ind w:left="720" w:right="28"/>
        <w:rPr>
          <w:rFonts w:asciiTheme="minorHAnsi" w:hAnsiTheme="minorHAnsi" w:cstheme="minorHAnsi"/>
          <w:lang w:val="pt-PT"/>
        </w:rPr>
      </w:pPr>
    </w:p>
    <w:p w14:paraId="7FD1A2C7" w14:textId="05E1B575" w:rsidR="000B1B01" w:rsidRPr="00292532" w:rsidRDefault="000B1B01" w:rsidP="000B1B01">
      <w:pPr>
        <w:spacing w:before="120" w:after="100" w:afterAutospacing="1"/>
        <w:ind w:right="28"/>
        <w:rPr>
          <w:rFonts w:asciiTheme="minorHAnsi" w:hAnsiTheme="minorHAnsi" w:cstheme="minorHAnsi"/>
          <w:lang w:val="pt-PT"/>
        </w:rPr>
      </w:pPr>
      <w:r w:rsidRPr="00292532">
        <w:rPr>
          <w:rFonts w:asciiTheme="minorHAnsi" w:hAnsiTheme="minorHAnsi" w:cstheme="minorHAnsi"/>
          <w:lang w:val="pt-PT"/>
        </w:rPr>
        <w:t xml:space="preserve">No espaço rural, </w:t>
      </w:r>
      <w:r w:rsidR="00181479">
        <w:rPr>
          <w:rFonts w:asciiTheme="minorHAnsi" w:hAnsiTheme="minorHAnsi" w:cstheme="minorHAnsi"/>
          <w:lang w:val="pt-PT"/>
        </w:rPr>
        <w:t>23</w:t>
      </w:r>
      <w:r w:rsidR="00181479" w:rsidRPr="00292532">
        <w:rPr>
          <w:rFonts w:asciiTheme="minorHAnsi" w:hAnsiTheme="minorHAnsi" w:cstheme="minorHAnsi"/>
          <w:lang w:val="pt-PT"/>
        </w:rPr>
        <w:t xml:space="preserve"> </w:t>
      </w:r>
      <w:r w:rsidRPr="00292532">
        <w:rPr>
          <w:rFonts w:asciiTheme="minorHAnsi" w:hAnsiTheme="minorHAnsi" w:cstheme="minorHAnsi"/>
          <w:lang w:val="pt-PT"/>
        </w:rPr>
        <w:t>localidades, considerad</w:t>
      </w:r>
      <w:r w:rsidR="00FF035A">
        <w:rPr>
          <w:rFonts w:asciiTheme="minorHAnsi" w:hAnsiTheme="minorHAnsi" w:cstheme="minorHAnsi"/>
          <w:lang w:val="pt-PT"/>
        </w:rPr>
        <w:t>a</w:t>
      </w:r>
      <w:r w:rsidRPr="00292532">
        <w:rPr>
          <w:rFonts w:asciiTheme="minorHAnsi" w:hAnsiTheme="minorHAnsi" w:cstheme="minorHAnsi"/>
          <w:lang w:val="pt-PT"/>
        </w:rPr>
        <w:t xml:space="preserve">s centros de crescimento rural, </w:t>
      </w:r>
      <w:r w:rsidR="00FF035A">
        <w:rPr>
          <w:rFonts w:asciiTheme="minorHAnsi" w:hAnsiTheme="minorHAnsi" w:cstheme="minorHAnsi"/>
          <w:lang w:val="pt-PT"/>
        </w:rPr>
        <w:t>te</w:t>
      </w:r>
      <w:r w:rsidRPr="00292532">
        <w:rPr>
          <w:rFonts w:asciiTheme="minorHAnsi" w:hAnsiTheme="minorHAnsi" w:cstheme="minorHAnsi"/>
          <w:lang w:val="pt-PT"/>
        </w:rPr>
        <w:t xml:space="preserve">rão sistemas de abastecimento de água, sendo </w:t>
      </w:r>
      <w:r w:rsidR="00181479">
        <w:rPr>
          <w:rFonts w:asciiTheme="minorHAnsi" w:hAnsiTheme="minorHAnsi" w:cstheme="minorHAnsi"/>
          <w:lang w:val="pt-PT"/>
        </w:rPr>
        <w:t>8</w:t>
      </w:r>
      <w:r w:rsidR="00181479" w:rsidRPr="00292532">
        <w:rPr>
          <w:rFonts w:asciiTheme="minorHAnsi" w:hAnsiTheme="minorHAnsi" w:cstheme="minorHAnsi"/>
          <w:lang w:val="pt-PT"/>
        </w:rPr>
        <w:t xml:space="preserve"> </w:t>
      </w:r>
      <w:r w:rsidRPr="00292532">
        <w:rPr>
          <w:rFonts w:asciiTheme="minorHAnsi" w:hAnsiTheme="minorHAnsi" w:cstheme="minorHAnsi"/>
          <w:lang w:val="pt-PT"/>
        </w:rPr>
        <w:t xml:space="preserve">em Nampula e </w:t>
      </w:r>
      <w:r w:rsidR="00181479">
        <w:rPr>
          <w:rFonts w:asciiTheme="minorHAnsi" w:hAnsiTheme="minorHAnsi" w:cstheme="minorHAnsi"/>
          <w:lang w:val="pt-PT"/>
        </w:rPr>
        <w:t>1</w:t>
      </w:r>
      <w:r w:rsidR="00B3619B">
        <w:rPr>
          <w:rFonts w:asciiTheme="minorHAnsi" w:hAnsiTheme="minorHAnsi" w:cstheme="minorHAnsi"/>
          <w:lang w:val="pt-PT"/>
        </w:rPr>
        <w:t>5</w:t>
      </w:r>
      <w:r w:rsidR="00181479" w:rsidRPr="00292532">
        <w:rPr>
          <w:rFonts w:asciiTheme="minorHAnsi" w:hAnsiTheme="minorHAnsi" w:cstheme="minorHAnsi"/>
          <w:lang w:val="pt-PT"/>
        </w:rPr>
        <w:t xml:space="preserve"> </w:t>
      </w:r>
      <w:r w:rsidRPr="00292532">
        <w:rPr>
          <w:rFonts w:asciiTheme="minorHAnsi" w:hAnsiTheme="minorHAnsi" w:cstheme="minorHAnsi"/>
          <w:lang w:val="pt-PT"/>
        </w:rPr>
        <w:t xml:space="preserve">na Zambézia, </w:t>
      </w:r>
      <w:proofErr w:type="gramStart"/>
      <w:r w:rsidRPr="00292532">
        <w:rPr>
          <w:rFonts w:asciiTheme="minorHAnsi" w:hAnsiTheme="minorHAnsi" w:cstheme="minorHAnsi"/>
          <w:lang w:val="pt-PT"/>
        </w:rPr>
        <w:t xml:space="preserve">beneficiando  </w:t>
      </w:r>
      <w:r w:rsidR="00181479">
        <w:rPr>
          <w:rFonts w:asciiTheme="minorHAnsi" w:hAnsiTheme="minorHAnsi" w:cstheme="minorHAnsi"/>
          <w:lang w:val="pt-PT"/>
        </w:rPr>
        <w:t>95,400</w:t>
      </w:r>
      <w:proofErr w:type="gramEnd"/>
      <w:r w:rsidRPr="00292532">
        <w:rPr>
          <w:rFonts w:asciiTheme="minorHAnsi" w:hAnsiTheme="minorHAnsi" w:cstheme="minorHAnsi"/>
          <w:lang w:val="pt-PT"/>
        </w:rPr>
        <w:t xml:space="preserve"> pessoas.</w:t>
      </w:r>
    </w:p>
    <w:p w14:paraId="6C7F9EBC" w14:textId="00A42ED5" w:rsidR="007C55D3" w:rsidRPr="00292532" w:rsidRDefault="007C55D3" w:rsidP="00ED270D">
      <w:pPr>
        <w:numPr>
          <w:ilvl w:val="0"/>
          <w:numId w:val="10"/>
        </w:numPr>
        <w:spacing w:before="120" w:after="100" w:afterAutospacing="1"/>
        <w:ind w:right="28"/>
        <w:rPr>
          <w:rFonts w:asciiTheme="minorHAnsi" w:hAnsiTheme="minorHAnsi" w:cstheme="minorHAnsi"/>
          <w:lang w:val="pt-PT"/>
        </w:rPr>
      </w:pPr>
      <w:r w:rsidRPr="00292532">
        <w:rPr>
          <w:rFonts w:asciiTheme="minorHAnsi" w:hAnsiTheme="minorHAnsi" w:cstheme="minorHAnsi"/>
          <w:lang w:val="pt-PT"/>
        </w:rPr>
        <w:t xml:space="preserve"> Desenvolvimento e implementação de subvenções baseadas no desempenho para</w:t>
      </w:r>
      <w:r w:rsidR="00FF035A">
        <w:rPr>
          <w:rFonts w:asciiTheme="minorHAnsi" w:hAnsiTheme="minorHAnsi" w:cstheme="minorHAnsi"/>
          <w:lang w:val="pt-PT"/>
        </w:rPr>
        <w:t>:</w:t>
      </w:r>
      <w:r w:rsidRPr="00292532">
        <w:rPr>
          <w:rFonts w:asciiTheme="minorHAnsi" w:hAnsiTheme="minorHAnsi" w:cstheme="minorHAnsi"/>
          <w:lang w:val="pt-PT"/>
        </w:rPr>
        <w:t xml:space="preserve"> </w:t>
      </w:r>
    </w:p>
    <w:p w14:paraId="76F985FC" w14:textId="5F968620" w:rsidR="007C55D3" w:rsidRPr="00292532" w:rsidRDefault="007C55D3" w:rsidP="00ED270D">
      <w:pPr>
        <w:numPr>
          <w:ilvl w:val="1"/>
          <w:numId w:val="10"/>
        </w:numPr>
        <w:spacing w:before="120" w:after="100" w:afterAutospacing="1"/>
        <w:ind w:right="28"/>
        <w:rPr>
          <w:rFonts w:asciiTheme="minorHAnsi" w:hAnsiTheme="minorHAnsi" w:cstheme="minorHAnsi"/>
          <w:lang w:val="pt-PT"/>
        </w:rPr>
      </w:pPr>
      <w:r w:rsidRPr="00292532">
        <w:rPr>
          <w:rFonts w:asciiTheme="minorHAnsi" w:hAnsiTheme="minorHAnsi" w:cstheme="minorHAnsi"/>
          <w:lang w:val="pt-PT"/>
        </w:rPr>
        <w:t>apoiar os governos locais para melhor</w:t>
      </w:r>
      <w:r w:rsidR="00FF035A">
        <w:rPr>
          <w:rFonts w:asciiTheme="minorHAnsi" w:hAnsiTheme="minorHAnsi" w:cstheme="minorHAnsi"/>
          <w:lang w:val="pt-PT"/>
        </w:rPr>
        <w:t>i</w:t>
      </w:r>
      <w:r w:rsidRPr="00292532">
        <w:rPr>
          <w:rFonts w:asciiTheme="minorHAnsi" w:hAnsiTheme="minorHAnsi" w:cstheme="minorHAnsi"/>
          <w:lang w:val="pt-PT"/>
        </w:rPr>
        <w:t xml:space="preserve">a </w:t>
      </w:r>
      <w:r w:rsidR="00FF035A">
        <w:rPr>
          <w:rFonts w:asciiTheme="minorHAnsi" w:hAnsiTheme="minorHAnsi" w:cstheme="minorHAnsi"/>
          <w:lang w:val="pt-PT"/>
        </w:rPr>
        <w:t>d</w:t>
      </w:r>
      <w:r w:rsidRPr="00292532">
        <w:rPr>
          <w:rFonts w:asciiTheme="minorHAnsi" w:hAnsiTheme="minorHAnsi" w:cstheme="minorHAnsi"/>
          <w:lang w:val="pt-PT"/>
        </w:rPr>
        <w:t xml:space="preserve">a planificação, financiamento, implementação e supervisão dos serviços de abastecimento de água e saneamento; </w:t>
      </w:r>
    </w:p>
    <w:p w14:paraId="5D95FFC5" w14:textId="1384F748" w:rsidR="007C55D3" w:rsidRPr="00292532" w:rsidRDefault="007C55D3" w:rsidP="00ED270D">
      <w:pPr>
        <w:numPr>
          <w:ilvl w:val="1"/>
          <w:numId w:val="10"/>
        </w:numPr>
        <w:spacing w:before="120" w:after="100" w:afterAutospacing="1"/>
        <w:ind w:right="28"/>
        <w:rPr>
          <w:rFonts w:asciiTheme="minorHAnsi" w:hAnsiTheme="minorHAnsi" w:cstheme="minorHAnsi"/>
          <w:lang w:val="pt-PT"/>
        </w:rPr>
      </w:pPr>
      <w:r w:rsidRPr="00292532">
        <w:rPr>
          <w:rFonts w:asciiTheme="minorHAnsi" w:hAnsiTheme="minorHAnsi" w:cstheme="minorHAnsi"/>
          <w:lang w:val="pt-PT"/>
        </w:rPr>
        <w:t>realizar investimentos em fontes de água dispersas e saneamento localizado a nível domiciliar e escolar com facilidades para gestão da higiene menstrual nas zonas rurais</w:t>
      </w:r>
      <w:r w:rsidR="00FB3C12" w:rsidRPr="00292532">
        <w:rPr>
          <w:rFonts w:asciiTheme="minorHAnsi" w:hAnsiTheme="minorHAnsi" w:cstheme="minorHAnsi"/>
          <w:lang w:val="pt-PT"/>
        </w:rPr>
        <w:t>.</w:t>
      </w:r>
    </w:p>
    <w:p w14:paraId="27F5EEF4" w14:textId="133C3760" w:rsidR="000B1B01" w:rsidRPr="00292532" w:rsidRDefault="000B1B01" w:rsidP="00FB3C12">
      <w:pPr>
        <w:spacing w:before="120" w:after="100" w:afterAutospacing="1"/>
        <w:ind w:right="28"/>
        <w:rPr>
          <w:rFonts w:asciiTheme="minorHAnsi" w:hAnsiTheme="minorHAnsi" w:cstheme="minorHAnsi"/>
          <w:lang w:val="pt-PT"/>
        </w:rPr>
      </w:pPr>
      <w:r w:rsidRPr="00292532">
        <w:rPr>
          <w:rFonts w:asciiTheme="minorHAnsi" w:hAnsiTheme="minorHAnsi" w:cstheme="minorHAnsi"/>
          <w:lang w:val="pt-PT"/>
        </w:rPr>
        <w:t xml:space="preserve">250 fontes de água </w:t>
      </w:r>
      <w:proofErr w:type="spellStart"/>
      <w:r w:rsidR="00155EB3">
        <w:rPr>
          <w:rFonts w:asciiTheme="minorHAnsi" w:hAnsiTheme="minorHAnsi" w:cstheme="minorHAnsi"/>
          <w:lang w:val="pt-PT"/>
        </w:rPr>
        <w:t>disperas</w:t>
      </w:r>
      <w:proofErr w:type="spellEnd"/>
      <w:r w:rsidR="00155EB3">
        <w:rPr>
          <w:rFonts w:asciiTheme="minorHAnsi" w:hAnsiTheme="minorHAnsi" w:cstheme="minorHAnsi"/>
          <w:lang w:val="pt-PT"/>
        </w:rPr>
        <w:t xml:space="preserve"> </w:t>
      </w:r>
      <w:r w:rsidRPr="00292532">
        <w:rPr>
          <w:rFonts w:asciiTheme="minorHAnsi" w:hAnsiTheme="minorHAnsi" w:cstheme="minorHAnsi"/>
          <w:lang w:val="pt-PT"/>
        </w:rPr>
        <w:t xml:space="preserve">e 75 infraestruturas de saneamento serão instaladas, em cada uma das </w:t>
      </w:r>
      <w:r w:rsidR="00B766FB" w:rsidRPr="00292532">
        <w:rPr>
          <w:rFonts w:asciiTheme="minorHAnsi" w:hAnsiTheme="minorHAnsi" w:cstheme="minorHAnsi"/>
          <w:lang w:val="pt-PT"/>
        </w:rPr>
        <w:t>duas províncias</w:t>
      </w:r>
      <w:r w:rsidRPr="00292532">
        <w:rPr>
          <w:rFonts w:asciiTheme="minorHAnsi" w:hAnsiTheme="minorHAnsi" w:cstheme="minorHAnsi"/>
          <w:lang w:val="pt-PT"/>
        </w:rPr>
        <w:t xml:space="preserve">. </w:t>
      </w:r>
    </w:p>
    <w:p w14:paraId="3DD3AB2E" w14:textId="2B136FCD" w:rsidR="002660D0" w:rsidRDefault="000B1B01" w:rsidP="00FB3C12">
      <w:pPr>
        <w:spacing w:before="120" w:after="100" w:afterAutospacing="1"/>
        <w:ind w:right="28"/>
        <w:rPr>
          <w:rFonts w:asciiTheme="minorHAnsi" w:hAnsiTheme="minorHAnsi" w:cstheme="minorHAnsi"/>
          <w:lang w:val="pt-PT"/>
        </w:rPr>
      </w:pPr>
      <w:r w:rsidRPr="00292532">
        <w:rPr>
          <w:rFonts w:asciiTheme="minorHAnsi" w:hAnsiTheme="minorHAnsi" w:cstheme="minorHAnsi"/>
          <w:lang w:val="pt-PT"/>
        </w:rPr>
        <w:t>Estima-se que esta componente beneficiará cerca de 467 300 pessoas.</w:t>
      </w:r>
    </w:p>
    <w:p w14:paraId="745E8E87" w14:textId="77777777" w:rsidR="002660D0" w:rsidRDefault="002660D0">
      <w:pPr>
        <w:rPr>
          <w:rFonts w:asciiTheme="minorHAnsi" w:hAnsiTheme="minorHAnsi" w:cstheme="minorHAnsi"/>
          <w:lang w:val="pt-PT"/>
        </w:rPr>
      </w:pPr>
      <w:r>
        <w:rPr>
          <w:rFonts w:asciiTheme="minorHAnsi" w:hAnsiTheme="minorHAnsi" w:cstheme="minorHAnsi"/>
          <w:lang w:val="pt-PT"/>
        </w:rPr>
        <w:br w:type="page"/>
      </w:r>
    </w:p>
    <w:p w14:paraId="5E81FFB5" w14:textId="08252091" w:rsidR="007C55D3" w:rsidRPr="00292532" w:rsidRDefault="007C55D3" w:rsidP="00ED270D">
      <w:pPr>
        <w:numPr>
          <w:ilvl w:val="0"/>
          <w:numId w:val="8"/>
        </w:numPr>
        <w:spacing w:before="120" w:after="100" w:afterAutospacing="1"/>
        <w:ind w:right="28"/>
        <w:rPr>
          <w:rFonts w:asciiTheme="minorHAnsi" w:hAnsiTheme="minorHAnsi" w:cstheme="minorHAnsi"/>
          <w:i/>
          <w:iCs/>
          <w:lang w:val="pt-PT"/>
        </w:rPr>
      </w:pPr>
      <w:bookmarkStart w:id="39" w:name="_Hlk75441102"/>
      <w:r w:rsidRPr="00292532">
        <w:rPr>
          <w:rFonts w:asciiTheme="minorHAnsi" w:hAnsiTheme="minorHAnsi" w:cstheme="minorHAnsi"/>
          <w:b/>
          <w:bCs/>
          <w:i/>
          <w:iCs/>
          <w:lang w:val="pt-PT"/>
        </w:rPr>
        <w:lastRenderedPageBreak/>
        <w:t>Componente 3:</w:t>
      </w:r>
      <w:r w:rsidRPr="00292532">
        <w:rPr>
          <w:rFonts w:asciiTheme="minorHAnsi" w:hAnsiTheme="minorHAnsi" w:cstheme="minorHAnsi"/>
          <w:i/>
          <w:iCs/>
          <w:lang w:val="pt-PT"/>
        </w:rPr>
        <w:t xml:space="preserve"> Apoio institucional </w:t>
      </w:r>
      <w:r w:rsidR="00FF035A">
        <w:rPr>
          <w:rFonts w:asciiTheme="minorHAnsi" w:hAnsiTheme="minorHAnsi" w:cstheme="minorHAnsi"/>
          <w:i/>
          <w:iCs/>
          <w:lang w:val="pt-PT"/>
        </w:rPr>
        <w:t>na</w:t>
      </w:r>
      <w:r w:rsidRPr="00292532">
        <w:rPr>
          <w:rFonts w:asciiTheme="minorHAnsi" w:hAnsiTheme="minorHAnsi" w:cstheme="minorHAnsi"/>
          <w:i/>
          <w:iCs/>
          <w:lang w:val="pt-PT"/>
        </w:rPr>
        <w:t xml:space="preserve"> gestão do </w:t>
      </w:r>
      <w:proofErr w:type="spellStart"/>
      <w:r w:rsidRPr="00292532">
        <w:rPr>
          <w:rFonts w:asciiTheme="minorHAnsi" w:hAnsiTheme="minorHAnsi" w:cstheme="minorHAnsi"/>
          <w:i/>
          <w:iCs/>
          <w:lang w:val="pt-PT"/>
        </w:rPr>
        <w:t>projecto</w:t>
      </w:r>
      <w:proofErr w:type="spellEnd"/>
    </w:p>
    <w:bookmarkEnd w:id="39"/>
    <w:p w14:paraId="2A90923F" w14:textId="07474D16" w:rsidR="006D2771" w:rsidRPr="006D2771" w:rsidRDefault="007C55D3" w:rsidP="006D2771">
      <w:pPr>
        <w:spacing w:before="120" w:after="100" w:afterAutospacing="1"/>
        <w:ind w:left="720" w:right="28"/>
        <w:rPr>
          <w:rFonts w:asciiTheme="minorHAnsi" w:hAnsiTheme="minorHAnsi" w:cstheme="minorHAnsi"/>
          <w:i/>
          <w:iCs/>
          <w:lang w:val="pt-PT"/>
        </w:rPr>
      </w:pPr>
      <w:r w:rsidRPr="00292532">
        <w:rPr>
          <w:rFonts w:asciiTheme="minorHAnsi" w:hAnsiTheme="minorHAnsi" w:cstheme="minorHAnsi"/>
          <w:lang w:val="pt-PT"/>
        </w:rPr>
        <w:t>Esta componente</w:t>
      </w:r>
      <w:r w:rsidR="006952AD">
        <w:rPr>
          <w:rFonts w:asciiTheme="minorHAnsi" w:hAnsiTheme="minorHAnsi" w:cstheme="minorHAnsi"/>
          <w:lang w:val="pt-PT"/>
        </w:rPr>
        <w:t xml:space="preserve"> irá financiar a assistência técnica para </w:t>
      </w:r>
      <w:proofErr w:type="spellStart"/>
      <w:r w:rsidR="006952AD">
        <w:rPr>
          <w:rFonts w:asciiTheme="minorHAnsi" w:hAnsiTheme="minorHAnsi" w:cstheme="minorHAnsi"/>
          <w:lang w:val="pt-PT"/>
        </w:rPr>
        <w:t>desenvolvimentod</w:t>
      </w:r>
      <w:proofErr w:type="spellEnd"/>
      <w:r w:rsidR="006952AD">
        <w:rPr>
          <w:rFonts w:asciiTheme="minorHAnsi" w:hAnsiTheme="minorHAnsi" w:cstheme="minorHAnsi"/>
          <w:lang w:val="pt-PT"/>
        </w:rPr>
        <w:t xml:space="preserve"> da capacidade institucional e apoiar na implementação do projectão nível central (AIAS e DNAAS), e estender o papel do regulador para o espaço rural e reforçar a sua capacidade nas pequenas cidades e vilas. Vai financiar também um role de </w:t>
      </w:r>
      <w:proofErr w:type="spellStart"/>
      <w:r w:rsidR="006952AD">
        <w:rPr>
          <w:rFonts w:asciiTheme="minorHAnsi" w:hAnsiTheme="minorHAnsi" w:cstheme="minorHAnsi"/>
          <w:lang w:val="pt-PT"/>
        </w:rPr>
        <w:t>actividades</w:t>
      </w:r>
      <w:proofErr w:type="spellEnd"/>
      <w:r w:rsidR="006952AD">
        <w:rPr>
          <w:rFonts w:asciiTheme="minorHAnsi" w:hAnsiTheme="minorHAnsi" w:cstheme="minorHAnsi"/>
          <w:lang w:val="pt-PT"/>
        </w:rPr>
        <w:t xml:space="preserve"> que irão suportar o desenvolvimento do sector e a Lei de Abastecimento de Água e Saneamento, bem como um conjunto de </w:t>
      </w:r>
      <w:proofErr w:type="spellStart"/>
      <w:r w:rsidR="006952AD">
        <w:rPr>
          <w:rFonts w:asciiTheme="minorHAnsi" w:hAnsiTheme="minorHAnsi" w:cstheme="minorHAnsi"/>
          <w:lang w:val="pt-PT"/>
        </w:rPr>
        <w:t>actividades</w:t>
      </w:r>
      <w:proofErr w:type="spellEnd"/>
      <w:r w:rsidR="006952AD">
        <w:rPr>
          <w:rFonts w:asciiTheme="minorHAnsi" w:hAnsiTheme="minorHAnsi" w:cstheme="minorHAnsi"/>
          <w:lang w:val="pt-PT"/>
        </w:rPr>
        <w:t xml:space="preserve"> para o </w:t>
      </w:r>
      <w:proofErr w:type="spellStart"/>
      <w:r w:rsidR="006952AD">
        <w:rPr>
          <w:rFonts w:asciiTheme="minorHAnsi" w:hAnsiTheme="minorHAnsi" w:cstheme="minorHAnsi"/>
          <w:lang w:val="pt-PT"/>
        </w:rPr>
        <w:t>emponderamento</w:t>
      </w:r>
      <w:proofErr w:type="spellEnd"/>
      <w:r w:rsidR="006952AD">
        <w:rPr>
          <w:rFonts w:asciiTheme="minorHAnsi" w:hAnsiTheme="minorHAnsi" w:cstheme="minorHAnsi"/>
          <w:lang w:val="pt-PT"/>
        </w:rPr>
        <w:t xml:space="preserve"> da mulher nas </w:t>
      </w:r>
      <w:proofErr w:type="spellStart"/>
      <w:r w:rsidR="006952AD">
        <w:rPr>
          <w:rFonts w:asciiTheme="minorHAnsi" w:hAnsiTheme="minorHAnsi" w:cstheme="minorHAnsi"/>
          <w:lang w:val="pt-PT"/>
        </w:rPr>
        <w:t>actividades</w:t>
      </w:r>
      <w:proofErr w:type="spellEnd"/>
      <w:r w:rsidR="006952AD">
        <w:rPr>
          <w:rFonts w:asciiTheme="minorHAnsi" w:hAnsiTheme="minorHAnsi" w:cstheme="minorHAnsi"/>
          <w:lang w:val="pt-PT"/>
        </w:rPr>
        <w:t xml:space="preserve"> do sector de água, para melhorar a sua capacidade e atrair mais mulheres qualificadas para trabalhar na gestão e operação de sistemas das pequenas cidades e vilas.</w:t>
      </w:r>
      <w:bookmarkStart w:id="40" w:name="_Hlk75441112"/>
    </w:p>
    <w:p w14:paraId="5996BED7" w14:textId="50CEDA11" w:rsidR="007C55D3" w:rsidRPr="00292532" w:rsidRDefault="007C55D3" w:rsidP="00ED270D">
      <w:pPr>
        <w:numPr>
          <w:ilvl w:val="0"/>
          <w:numId w:val="8"/>
        </w:numPr>
        <w:spacing w:before="120" w:after="100" w:afterAutospacing="1"/>
        <w:ind w:right="28"/>
        <w:rPr>
          <w:rFonts w:asciiTheme="minorHAnsi" w:hAnsiTheme="minorHAnsi" w:cstheme="minorHAnsi"/>
          <w:i/>
          <w:iCs/>
          <w:lang w:val="pt-PT"/>
        </w:rPr>
      </w:pPr>
      <w:r w:rsidRPr="00292532">
        <w:rPr>
          <w:rFonts w:asciiTheme="minorHAnsi" w:hAnsiTheme="minorHAnsi" w:cstheme="minorHAnsi"/>
          <w:b/>
          <w:bCs/>
          <w:i/>
          <w:iCs/>
          <w:lang w:val="pt-PT"/>
        </w:rPr>
        <w:t>Componente 4:</w:t>
      </w:r>
      <w:r w:rsidRPr="00292532">
        <w:rPr>
          <w:rFonts w:asciiTheme="minorHAnsi" w:hAnsiTheme="minorHAnsi" w:cstheme="minorHAnsi"/>
          <w:i/>
          <w:iCs/>
          <w:lang w:val="pt-PT"/>
        </w:rPr>
        <w:t xml:space="preserve"> Resposta a emergências e contingências</w:t>
      </w:r>
    </w:p>
    <w:bookmarkEnd w:id="40"/>
    <w:p w14:paraId="072426B6" w14:textId="744B54D1" w:rsidR="007C55D3" w:rsidRPr="00292532" w:rsidRDefault="007C55D3" w:rsidP="006D2771">
      <w:pPr>
        <w:spacing w:before="120" w:after="100" w:afterAutospacing="1"/>
        <w:ind w:left="576" w:right="28"/>
        <w:rPr>
          <w:rFonts w:asciiTheme="minorHAnsi" w:hAnsiTheme="minorHAnsi" w:cstheme="minorHAnsi"/>
          <w:lang w:val="pt-PT"/>
        </w:rPr>
      </w:pPr>
      <w:r w:rsidRPr="00292532">
        <w:rPr>
          <w:rFonts w:asciiTheme="minorHAnsi" w:hAnsiTheme="minorHAnsi" w:cstheme="minorHAnsi"/>
          <w:lang w:val="pt-PT"/>
        </w:rPr>
        <w:t xml:space="preserve">Os investimentos sob esta componente </w:t>
      </w:r>
      <w:r w:rsidR="00D002B6">
        <w:rPr>
          <w:rFonts w:asciiTheme="minorHAnsi" w:hAnsiTheme="minorHAnsi" w:cstheme="minorHAnsi"/>
          <w:lang w:val="pt-PT"/>
        </w:rPr>
        <w:t xml:space="preserve">irão providenciar resposta imediata a Crises Elegíveis ou Emergências, conforme o caso. Irá financiar obras de emergência em caso </w:t>
      </w:r>
      <w:r w:rsidRPr="00292532">
        <w:rPr>
          <w:rFonts w:asciiTheme="minorHAnsi" w:hAnsiTheme="minorHAnsi" w:cstheme="minorHAnsi"/>
          <w:lang w:val="pt-PT"/>
        </w:rPr>
        <w:t xml:space="preserve">de um desastre natural que </w:t>
      </w:r>
      <w:proofErr w:type="spellStart"/>
      <w:r w:rsidRPr="00292532">
        <w:rPr>
          <w:rFonts w:asciiTheme="minorHAnsi" w:hAnsiTheme="minorHAnsi" w:cstheme="minorHAnsi"/>
          <w:lang w:val="pt-PT"/>
        </w:rPr>
        <w:t>afecte</w:t>
      </w:r>
      <w:proofErr w:type="spellEnd"/>
      <w:r w:rsidRPr="00292532">
        <w:rPr>
          <w:rFonts w:asciiTheme="minorHAnsi" w:hAnsiTheme="minorHAnsi" w:cstheme="minorHAnsi"/>
          <w:lang w:val="pt-PT"/>
        </w:rPr>
        <w:t xml:space="preserve"> país</w:t>
      </w:r>
      <w:r w:rsidR="00D002B6">
        <w:rPr>
          <w:rFonts w:asciiTheme="minorHAnsi" w:hAnsiTheme="minorHAnsi" w:cstheme="minorHAnsi"/>
          <w:lang w:val="pt-PT"/>
        </w:rPr>
        <w:t xml:space="preserve">, ajudando a reabilitar e recuperar infraestruturas </w:t>
      </w:r>
      <w:proofErr w:type="spellStart"/>
      <w:r w:rsidR="00D002B6">
        <w:rPr>
          <w:rFonts w:asciiTheme="minorHAnsi" w:hAnsiTheme="minorHAnsi" w:cstheme="minorHAnsi"/>
          <w:lang w:val="pt-PT"/>
        </w:rPr>
        <w:t>afectadas</w:t>
      </w:r>
      <w:proofErr w:type="spellEnd"/>
      <w:r w:rsidR="00D002B6">
        <w:rPr>
          <w:rFonts w:asciiTheme="minorHAnsi" w:hAnsiTheme="minorHAnsi" w:cstheme="minorHAnsi"/>
          <w:lang w:val="pt-PT"/>
        </w:rPr>
        <w:t xml:space="preserve">, e assegurar a continuidade de </w:t>
      </w:r>
      <w:proofErr w:type="spellStart"/>
      <w:r w:rsidR="00D002B6">
        <w:rPr>
          <w:rFonts w:asciiTheme="minorHAnsi" w:hAnsiTheme="minorHAnsi" w:cstheme="minorHAnsi"/>
          <w:lang w:val="pt-PT"/>
        </w:rPr>
        <w:t>nogócios</w:t>
      </w:r>
      <w:proofErr w:type="spellEnd"/>
      <w:r w:rsidR="006D2771">
        <w:rPr>
          <w:rFonts w:eastAsia="Times New Roman" w:cs="Times New Roman"/>
          <w:sz w:val="24"/>
          <w:szCs w:val="20"/>
          <w:lang w:val="pt-PT"/>
        </w:rPr>
        <w:t xml:space="preserve">. </w:t>
      </w:r>
      <w:r w:rsidRPr="00292532">
        <w:rPr>
          <w:rFonts w:asciiTheme="minorHAnsi" w:hAnsiTheme="minorHAnsi" w:cstheme="minorHAnsi"/>
          <w:lang w:val="pt-PT"/>
        </w:rPr>
        <w:t xml:space="preserve">Por intermédio desta componente, o Governo de Moçambique poderá solicitar ao Banco Mundial para que canalize </w:t>
      </w:r>
      <w:r w:rsidR="00D002B6">
        <w:rPr>
          <w:rFonts w:asciiTheme="minorHAnsi" w:hAnsiTheme="minorHAnsi" w:cstheme="minorHAnsi"/>
          <w:lang w:val="pt-PT"/>
        </w:rPr>
        <w:t>até 5%</w:t>
      </w:r>
      <w:r w:rsidR="00D002B6" w:rsidRPr="00292532">
        <w:rPr>
          <w:rFonts w:asciiTheme="minorHAnsi" w:hAnsiTheme="minorHAnsi" w:cstheme="minorHAnsi"/>
          <w:lang w:val="pt-PT"/>
        </w:rPr>
        <w:t xml:space="preserve"> </w:t>
      </w:r>
      <w:r w:rsidRPr="00292532">
        <w:rPr>
          <w:rFonts w:asciiTheme="minorHAnsi" w:hAnsiTheme="minorHAnsi" w:cstheme="minorHAnsi"/>
          <w:lang w:val="pt-PT"/>
        </w:rPr>
        <w:t xml:space="preserve">recursos do </w:t>
      </w:r>
      <w:proofErr w:type="spellStart"/>
      <w:r w:rsidRPr="00292532">
        <w:rPr>
          <w:rFonts w:asciiTheme="minorHAnsi" w:hAnsiTheme="minorHAnsi" w:cstheme="minorHAnsi"/>
          <w:lang w:val="pt-PT"/>
        </w:rPr>
        <w:t>Projecto</w:t>
      </w:r>
      <w:proofErr w:type="spellEnd"/>
      <w:r w:rsidRPr="00292532">
        <w:rPr>
          <w:rFonts w:asciiTheme="minorHAnsi" w:hAnsiTheme="minorHAnsi" w:cstheme="minorHAnsi"/>
          <w:lang w:val="pt-PT"/>
        </w:rPr>
        <w:t xml:space="preserve"> </w:t>
      </w:r>
      <w:r w:rsidR="00D002B6">
        <w:rPr>
          <w:rFonts w:asciiTheme="minorHAnsi" w:hAnsiTheme="minorHAnsi" w:cstheme="minorHAnsi"/>
          <w:lang w:val="pt-PT"/>
        </w:rPr>
        <w:t xml:space="preserve">não comprometidos </w:t>
      </w:r>
      <w:r w:rsidRPr="00292532">
        <w:rPr>
          <w:rFonts w:asciiTheme="minorHAnsi" w:hAnsiTheme="minorHAnsi" w:cstheme="minorHAnsi"/>
          <w:lang w:val="pt-PT"/>
        </w:rPr>
        <w:t xml:space="preserve">para </w:t>
      </w:r>
      <w:proofErr w:type="spellStart"/>
      <w:r w:rsidRPr="00292532">
        <w:rPr>
          <w:rFonts w:asciiTheme="minorHAnsi" w:hAnsiTheme="minorHAnsi" w:cstheme="minorHAnsi"/>
          <w:lang w:val="pt-PT"/>
        </w:rPr>
        <w:t>actividades</w:t>
      </w:r>
      <w:proofErr w:type="spellEnd"/>
      <w:r w:rsidRPr="00292532">
        <w:rPr>
          <w:rFonts w:asciiTheme="minorHAnsi" w:hAnsiTheme="minorHAnsi" w:cstheme="minorHAnsi"/>
          <w:lang w:val="pt-PT"/>
        </w:rPr>
        <w:t xml:space="preserve"> de resposta a emergências. </w:t>
      </w:r>
    </w:p>
    <w:p w14:paraId="10EDB71D" w14:textId="77777777" w:rsidR="007C55D3" w:rsidRPr="00292532" w:rsidRDefault="007C55D3" w:rsidP="007C55D3">
      <w:pPr>
        <w:pStyle w:val="Heading2"/>
      </w:pPr>
      <w:bookmarkStart w:id="41" w:name="_Toc80379936"/>
      <w:r w:rsidRPr="00292532">
        <w:t xml:space="preserve">Áreas de Abrangência do </w:t>
      </w:r>
      <w:proofErr w:type="spellStart"/>
      <w:r w:rsidRPr="00292532">
        <w:t>Projecto</w:t>
      </w:r>
      <w:proofErr w:type="spellEnd"/>
      <w:r w:rsidRPr="00292532">
        <w:t xml:space="preserve"> e beneficiários</w:t>
      </w:r>
      <w:bookmarkEnd w:id="41"/>
      <w:r w:rsidRPr="00292532">
        <w:t xml:space="preserve"> </w:t>
      </w:r>
    </w:p>
    <w:p w14:paraId="64CD5587" w14:textId="4A0AF482" w:rsidR="007C55D3" w:rsidRPr="00292532" w:rsidRDefault="007C55D3" w:rsidP="007C55D3">
      <w:pPr>
        <w:rPr>
          <w:rFonts w:asciiTheme="minorHAnsi" w:hAnsiTheme="minorHAnsi" w:cstheme="minorHAnsi"/>
          <w:lang w:val="pt-PT"/>
        </w:rPr>
      </w:pPr>
      <w:r w:rsidRPr="00292532">
        <w:rPr>
          <w:rFonts w:asciiTheme="minorHAnsi" w:eastAsia="Calibri" w:hAnsiTheme="minorHAnsi" w:cstheme="minorHAnsi"/>
          <w:lang w:val="pt-PT"/>
        </w:rPr>
        <w:t xml:space="preserve">O </w:t>
      </w:r>
      <w:proofErr w:type="spellStart"/>
      <w:r w:rsidRPr="00292532">
        <w:rPr>
          <w:rFonts w:asciiTheme="minorHAnsi" w:eastAsia="Calibri" w:hAnsiTheme="minorHAnsi" w:cstheme="minorHAnsi"/>
          <w:lang w:val="pt-PT"/>
        </w:rPr>
        <w:t>Projecto</w:t>
      </w:r>
      <w:proofErr w:type="spellEnd"/>
      <w:r w:rsidRPr="00292532">
        <w:rPr>
          <w:rFonts w:asciiTheme="minorHAnsi" w:eastAsia="Calibri" w:hAnsiTheme="minorHAnsi" w:cstheme="minorHAnsi"/>
          <w:lang w:val="pt-PT"/>
        </w:rPr>
        <w:t xml:space="preserve"> será implementado em áreas rurais, vilas e pequenas cidades da</w:t>
      </w:r>
      <w:r w:rsidR="00FF035A">
        <w:rPr>
          <w:rFonts w:asciiTheme="minorHAnsi" w:eastAsia="Calibri" w:hAnsiTheme="minorHAnsi" w:cstheme="minorHAnsi"/>
          <w:lang w:val="pt-PT"/>
        </w:rPr>
        <w:t>s</w:t>
      </w:r>
      <w:r w:rsidRPr="00292532">
        <w:rPr>
          <w:rFonts w:asciiTheme="minorHAnsi" w:eastAsia="Calibri" w:hAnsiTheme="minorHAnsi" w:cstheme="minorHAnsi"/>
          <w:lang w:val="pt-PT"/>
        </w:rPr>
        <w:t xml:space="preserve"> província</w:t>
      </w:r>
      <w:r w:rsidR="00FF035A">
        <w:rPr>
          <w:rFonts w:asciiTheme="minorHAnsi" w:eastAsia="Calibri" w:hAnsiTheme="minorHAnsi" w:cstheme="minorHAnsi"/>
          <w:lang w:val="pt-PT"/>
        </w:rPr>
        <w:t>s</w:t>
      </w:r>
      <w:r w:rsidRPr="00292532">
        <w:rPr>
          <w:rFonts w:asciiTheme="minorHAnsi" w:eastAsia="Calibri" w:hAnsiTheme="minorHAnsi" w:cstheme="minorHAnsi"/>
          <w:lang w:val="pt-PT"/>
        </w:rPr>
        <w:t xml:space="preserve"> de Nampula e Zambézia</w:t>
      </w:r>
      <w:r w:rsidRPr="00292532">
        <w:rPr>
          <w:rFonts w:asciiTheme="minorHAnsi" w:hAnsiTheme="minorHAnsi" w:cstheme="minorHAnsi"/>
          <w:lang w:val="pt-PT"/>
        </w:rPr>
        <w:t xml:space="preserve"> (ver </w:t>
      </w:r>
      <w:r w:rsidRPr="00292532">
        <w:rPr>
          <w:rFonts w:asciiTheme="minorHAnsi" w:hAnsiTheme="minorHAnsi" w:cstheme="minorHAnsi"/>
          <w:b/>
          <w:bCs/>
          <w:lang w:val="pt-PT"/>
        </w:rPr>
        <w:fldChar w:fldCharType="begin"/>
      </w:r>
      <w:r w:rsidRPr="00292532">
        <w:rPr>
          <w:rFonts w:asciiTheme="minorHAnsi" w:hAnsiTheme="minorHAnsi" w:cstheme="minorHAnsi"/>
          <w:b/>
          <w:bCs/>
          <w:lang w:val="pt-PT"/>
        </w:rPr>
        <w:instrText xml:space="preserve"> REF _Ref72332164 \h  \* MERGEFORMAT </w:instrText>
      </w:r>
      <w:r w:rsidRPr="00292532">
        <w:rPr>
          <w:rFonts w:asciiTheme="minorHAnsi" w:hAnsiTheme="minorHAnsi" w:cstheme="minorHAnsi"/>
          <w:b/>
          <w:bCs/>
          <w:lang w:val="pt-PT"/>
        </w:rPr>
      </w:r>
      <w:r w:rsidRPr="00292532">
        <w:rPr>
          <w:rFonts w:asciiTheme="minorHAnsi" w:hAnsiTheme="minorHAnsi" w:cstheme="minorHAnsi"/>
          <w:b/>
          <w:bCs/>
          <w:lang w:val="pt-PT"/>
        </w:rPr>
        <w:fldChar w:fldCharType="separate"/>
      </w:r>
      <w:r w:rsidR="001A21CB" w:rsidRPr="00292532">
        <w:rPr>
          <w:rFonts w:asciiTheme="minorHAnsi" w:hAnsiTheme="minorHAnsi" w:cstheme="minorHAnsi"/>
          <w:b/>
          <w:bCs/>
          <w:lang w:val="pt-PT"/>
        </w:rPr>
        <w:t xml:space="preserve">Figura </w:t>
      </w:r>
      <w:r w:rsidR="001A21CB" w:rsidRPr="00292532">
        <w:rPr>
          <w:rFonts w:asciiTheme="minorHAnsi" w:hAnsiTheme="minorHAnsi" w:cstheme="minorHAnsi"/>
          <w:b/>
          <w:bCs/>
          <w:noProof/>
          <w:lang w:val="pt-PT"/>
        </w:rPr>
        <w:t>1</w:t>
      </w:r>
      <w:r w:rsidRPr="00292532">
        <w:rPr>
          <w:rFonts w:asciiTheme="minorHAnsi" w:hAnsiTheme="minorHAnsi" w:cstheme="minorHAnsi"/>
          <w:b/>
          <w:bCs/>
          <w:lang w:val="pt-PT"/>
        </w:rPr>
        <w:fldChar w:fldCharType="end"/>
      </w:r>
      <w:r w:rsidRPr="00292532">
        <w:rPr>
          <w:rFonts w:asciiTheme="minorHAnsi" w:hAnsiTheme="minorHAnsi" w:cstheme="minorHAnsi"/>
          <w:lang w:val="pt-PT"/>
        </w:rPr>
        <w:t>).</w:t>
      </w:r>
    </w:p>
    <w:p w14:paraId="6DADA865" w14:textId="1F82A30B" w:rsidR="007C55D3" w:rsidRPr="00292532" w:rsidRDefault="007C55D3" w:rsidP="007C55D3">
      <w:pPr>
        <w:rPr>
          <w:lang w:val="pt-PT" w:eastAsia="ja-JP"/>
        </w:rPr>
      </w:pPr>
      <w:r w:rsidRPr="00292532">
        <w:rPr>
          <w:noProof/>
          <w:lang w:val="en-US"/>
        </w:rPr>
        <w:drawing>
          <wp:inline distT="0" distB="0" distL="0" distR="0" wp14:anchorId="14D0354A" wp14:editId="63959B0C">
            <wp:extent cx="5456555" cy="3771900"/>
            <wp:effectExtent l="0" t="0" r="0" b="0"/>
            <wp:docPr id="7" name="Picture 7" descr="C:\Users\25882\Desktop\LigaMoz project\AIA\Mapas\Localizacao.jpg"/>
            <wp:cNvGraphicFramePr/>
            <a:graphic xmlns:a="http://schemas.openxmlformats.org/drawingml/2006/main">
              <a:graphicData uri="http://schemas.openxmlformats.org/drawingml/2006/picture">
                <pic:pic xmlns:pic="http://schemas.openxmlformats.org/drawingml/2006/picture">
                  <pic:nvPicPr>
                    <pic:cNvPr id="7" name="Picture 7" descr="C:\Users\25882\Desktop\LigaMoz project\AIA\Mapas\Localizacao.jpg"/>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67737" cy="3779630"/>
                    </a:xfrm>
                    <a:prstGeom prst="rect">
                      <a:avLst/>
                    </a:prstGeom>
                    <a:noFill/>
                    <a:ln>
                      <a:noFill/>
                    </a:ln>
                  </pic:spPr>
                </pic:pic>
              </a:graphicData>
            </a:graphic>
          </wp:inline>
        </w:drawing>
      </w:r>
    </w:p>
    <w:p w14:paraId="13106C04" w14:textId="2DBC1D62" w:rsidR="007C55D3" w:rsidRPr="00292532" w:rsidRDefault="007C55D3" w:rsidP="007C55D3">
      <w:pPr>
        <w:pStyle w:val="Caption"/>
      </w:pPr>
      <w:bookmarkStart w:id="42" w:name="_Ref72332164"/>
      <w:bookmarkStart w:id="43" w:name="_Toc80380224"/>
      <w:r w:rsidRPr="00292532">
        <w:t xml:space="preserve">Figura </w:t>
      </w:r>
      <w:r w:rsidRPr="00292532">
        <w:fldChar w:fldCharType="begin"/>
      </w:r>
      <w:r w:rsidRPr="00292532">
        <w:instrText xml:space="preserve"> SEQ Figura \* ARABIC </w:instrText>
      </w:r>
      <w:r w:rsidRPr="00292532">
        <w:fldChar w:fldCharType="separate"/>
      </w:r>
      <w:r w:rsidR="00A74521" w:rsidRPr="00292532">
        <w:rPr>
          <w:noProof/>
        </w:rPr>
        <w:t>1</w:t>
      </w:r>
      <w:r w:rsidRPr="00292532">
        <w:fldChar w:fldCharType="end"/>
      </w:r>
      <w:bookmarkEnd w:id="42"/>
      <w:r w:rsidRPr="00292532">
        <w:t xml:space="preserve">: Áreas de Abrangência do </w:t>
      </w:r>
      <w:proofErr w:type="spellStart"/>
      <w:r w:rsidRPr="00292532">
        <w:t>Projecto</w:t>
      </w:r>
      <w:bookmarkEnd w:id="43"/>
      <w:proofErr w:type="spellEnd"/>
    </w:p>
    <w:p w14:paraId="7FF3F418" w14:textId="2FC12D29" w:rsidR="007C55D3" w:rsidRPr="00292532" w:rsidRDefault="007C55D3" w:rsidP="007C55D3">
      <w:pPr>
        <w:spacing w:before="0" w:after="0" w:line="259" w:lineRule="auto"/>
        <w:rPr>
          <w:rFonts w:asciiTheme="minorHAnsi" w:eastAsia="Calibri" w:hAnsiTheme="minorHAnsi" w:cstheme="minorHAnsi"/>
          <w:lang w:val="pt-PT"/>
        </w:rPr>
      </w:pPr>
      <w:r w:rsidRPr="00292532">
        <w:rPr>
          <w:rFonts w:asciiTheme="minorHAnsi" w:eastAsia="Calibri" w:hAnsiTheme="minorHAnsi" w:cstheme="minorHAnsi"/>
          <w:lang w:val="pt-PT"/>
        </w:rPr>
        <w:lastRenderedPageBreak/>
        <w:t>Para o abastecimento de água</w:t>
      </w:r>
      <w:r w:rsidR="00B93E65">
        <w:rPr>
          <w:rFonts w:asciiTheme="minorHAnsi" w:eastAsia="Calibri" w:hAnsiTheme="minorHAnsi" w:cstheme="minorHAnsi"/>
          <w:lang w:val="pt-PT"/>
        </w:rPr>
        <w:t xml:space="preserve"> e saneamento</w:t>
      </w:r>
      <w:r w:rsidRPr="00292532">
        <w:rPr>
          <w:rFonts w:asciiTheme="minorHAnsi" w:eastAsia="Calibri" w:hAnsiTheme="minorHAnsi" w:cstheme="minorHAnsi"/>
          <w:lang w:val="pt-PT"/>
        </w:rPr>
        <w:t xml:space="preserve">, são previstas intervenções em </w:t>
      </w:r>
      <w:r w:rsidR="00B93E65">
        <w:rPr>
          <w:rFonts w:asciiTheme="minorHAnsi" w:eastAsia="Calibri" w:hAnsiTheme="minorHAnsi" w:cstheme="minorHAnsi"/>
          <w:lang w:val="pt-PT"/>
        </w:rPr>
        <w:t>18</w:t>
      </w:r>
      <w:r w:rsidR="00B93E65" w:rsidRPr="00292532">
        <w:rPr>
          <w:rFonts w:asciiTheme="minorHAnsi" w:eastAsia="Calibri" w:hAnsiTheme="minorHAnsi" w:cstheme="minorHAnsi"/>
          <w:lang w:val="pt-PT"/>
        </w:rPr>
        <w:t xml:space="preserve"> </w:t>
      </w:r>
      <w:r w:rsidRPr="00292532">
        <w:rPr>
          <w:rFonts w:asciiTheme="minorHAnsi" w:eastAsia="Calibri" w:hAnsiTheme="minorHAnsi" w:cstheme="minorHAnsi"/>
          <w:lang w:val="pt-PT"/>
        </w:rPr>
        <w:t>vilas (</w:t>
      </w:r>
      <w:r w:rsidR="00B93E65" w:rsidRPr="00292532">
        <w:rPr>
          <w:rFonts w:asciiTheme="minorHAnsi" w:eastAsia="Calibri" w:hAnsiTheme="minorHAnsi" w:cstheme="minorHAnsi"/>
          <w:lang w:val="pt-PT"/>
        </w:rPr>
        <w:t>1</w:t>
      </w:r>
      <w:r w:rsidR="00B93E65">
        <w:rPr>
          <w:rFonts w:asciiTheme="minorHAnsi" w:eastAsia="Calibri" w:hAnsiTheme="minorHAnsi" w:cstheme="minorHAnsi"/>
          <w:lang w:val="pt-PT"/>
        </w:rPr>
        <w:t>0</w:t>
      </w:r>
      <w:r w:rsidR="00B93E65" w:rsidRPr="00292532">
        <w:rPr>
          <w:rFonts w:asciiTheme="minorHAnsi" w:eastAsia="Calibri" w:hAnsiTheme="minorHAnsi" w:cstheme="minorHAnsi"/>
          <w:lang w:val="pt-PT"/>
        </w:rPr>
        <w:t xml:space="preserve"> </w:t>
      </w:r>
      <w:r w:rsidRPr="00292532">
        <w:rPr>
          <w:rFonts w:asciiTheme="minorHAnsi" w:eastAsia="Calibri" w:hAnsiTheme="minorHAnsi" w:cstheme="minorHAnsi"/>
          <w:lang w:val="pt-PT"/>
        </w:rPr>
        <w:t xml:space="preserve">em Nampula e 8 na Zambézia). No espaço rural, estão previstos investimentos em sistemas de abastecimento de água em </w:t>
      </w:r>
      <w:r w:rsidR="00B93E65">
        <w:rPr>
          <w:rFonts w:asciiTheme="minorHAnsi" w:eastAsia="Calibri" w:hAnsiTheme="minorHAnsi" w:cstheme="minorHAnsi"/>
          <w:lang w:val="pt-PT"/>
        </w:rPr>
        <w:t>24</w:t>
      </w:r>
      <w:r w:rsidR="00B93E65" w:rsidRPr="00292532">
        <w:rPr>
          <w:rFonts w:asciiTheme="minorHAnsi" w:eastAsia="Calibri" w:hAnsiTheme="minorHAnsi" w:cstheme="minorHAnsi"/>
          <w:lang w:val="pt-PT"/>
        </w:rPr>
        <w:t xml:space="preserve"> </w:t>
      </w:r>
      <w:r w:rsidRPr="00292532">
        <w:rPr>
          <w:rFonts w:asciiTheme="minorHAnsi" w:eastAsia="Calibri" w:hAnsiTheme="minorHAnsi" w:cstheme="minorHAnsi"/>
          <w:lang w:val="pt-PT"/>
        </w:rPr>
        <w:t>localidades que se destacam como centros de crescimento rural (</w:t>
      </w:r>
      <w:r w:rsidR="00B93E65">
        <w:rPr>
          <w:rFonts w:asciiTheme="minorHAnsi" w:eastAsia="Calibri" w:hAnsiTheme="minorHAnsi" w:cstheme="minorHAnsi"/>
          <w:lang w:val="pt-PT"/>
        </w:rPr>
        <w:t>8</w:t>
      </w:r>
      <w:r w:rsidR="00B93E65" w:rsidRPr="00292532">
        <w:rPr>
          <w:rFonts w:asciiTheme="minorHAnsi" w:eastAsia="Calibri" w:hAnsiTheme="minorHAnsi" w:cstheme="minorHAnsi"/>
          <w:lang w:val="pt-PT"/>
        </w:rPr>
        <w:t xml:space="preserve"> </w:t>
      </w:r>
      <w:r w:rsidRPr="00292532">
        <w:rPr>
          <w:rFonts w:asciiTheme="minorHAnsi" w:eastAsia="Calibri" w:hAnsiTheme="minorHAnsi" w:cstheme="minorHAnsi"/>
          <w:lang w:val="pt-PT"/>
        </w:rPr>
        <w:t xml:space="preserve">em Nampula e </w:t>
      </w:r>
      <w:r w:rsidR="00B93E65">
        <w:rPr>
          <w:rFonts w:asciiTheme="minorHAnsi" w:eastAsia="Calibri" w:hAnsiTheme="minorHAnsi" w:cstheme="minorHAnsi"/>
          <w:lang w:val="pt-PT"/>
        </w:rPr>
        <w:t>1</w:t>
      </w:r>
      <w:r w:rsidR="004E2F56">
        <w:rPr>
          <w:rFonts w:asciiTheme="minorHAnsi" w:eastAsia="Calibri" w:hAnsiTheme="minorHAnsi" w:cstheme="minorHAnsi"/>
          <w:lang w:val="pt-PT"/>
        </w:rPr>
        <w:t>5</w:t>
      </w:r>
      <w:r w:rsidR="00B93E65" w:rsidRPr="00292532">
        <w:rPr>
          <w:rFonts w:asciiTheme="minorHAnsi" w:eastAsia="Calibri" w:hAnsiTheme="minorHAnsi" w:cstheme="minorHAnsi"/>
          <w:lang w:val="pt-PT"/>
        </w:rPr>
        <w:t xml:space="preserve"> </w:t>
      </w:r>
      <w:r w:rsidRPr="00292532">
        <w:rPr>
          <w:rFonts w:asciiTheme="minorHAnsi" w:eastAsia="Calibri" w:hAnsiTheme="minorHAnsi" w:cstheme="minorHAnsi"/>
          <w:lang w:val="pt-PT"/>
        </w:rPr>
        <w:t xml:space="preserve">na Zambézia). A </w:t>
      </w:r>
      <w:r w:rsidR="00322897" w:rsidRPr="00292532">
        <w:rPr>
          <w:rFonts w:asciiTheme="minorHAnsi" w:eastAsia="Calibri" w:hAnsiTheme="minorHAnsi" w:cstheme="minorHAnsi"/>
          <w:b/>
          <w:bCs/>
          <w:lang w:val="pt-PT"/>
        </w:rPr>
        <w:fldChar w:fldCharType="begin"/>
      </w:r>
      <w:r w:rsidR="00322897" w:rsidRPr="00292532">
        <w:rPr>
          <w:rFonts w:asciiTheme="minorHAnsi" w:eastAsia="Calibri" w:hAnsiTheme="minorHAnsi" w:cstheme="minorHAnsi"/>
          <w:b/>
          <w:bCs/>
          <w:lang w:val="pt-PT"/>
        </w:rPr>
        <w:instrText xml:space="preserve"> REF _Ref72942308 \h  \* MERGEFORMAT </w:instrText>
      </w:r>
      <w:r w:rsidR="00322897" w:rsidRPr="00292532">
        <w:rPr>
          <w:rFonts w:asciiTheme="minorHAnsi" w:eastAsia="Calibri" w:hAnsiTheme="minorHAnsi" w:cstheme="minorHAnsi"/>
          <w:b/>
          <w:bCs/>
          <w:lang w:val="pt-PT"/>
        </w:rPr>
      </w:r>
      <w:r w:rsidR="00322897" w:rsidRPr="00292532">
        <w:rPr>
          <w:rFonts w:asciiTheme="minorHAnsi" w:eastAsia="Calibri" w:hAnsiTheme="minorHAnsi" w:cstheme="minorHAnsi"/>
          <w:b/>
          <w:bCs/>
          <w:lang w:val="pt-PT"/>
        </w:rPr>
        <w:fldChar w:fldCharType="separate"/>
      </w:r>
      <w:r w:rsidR="001A21CB" w:rsidRPr="00292532">
        <w:rPr>
          <w:b/>
          <w:bCs/>
          <w:lang w:val="pt-PT"/>
        </w:rPr>
        <w:t xml:space="preserve">Tabela </w:t>
      </w:r>
      <w:r w:rsidR="001A21CB" w:rsidRPr="00292532">
        <w:rPr>
          <w:b/>
          <w:bCs/>
          <w:noProof/>
          <w:lang w:val="pt-PT"/>
        </w:rPr>
        <w:t>5</w:t>
      </w:r>
      <w:r w:rsidR="00322897" w:rsidRPr="00292532">
        <w:rPr>
          <w:rFonts w:asciiTheme="minorHAnsi" w:eastAsia="Calibri" w:hAnsiTheme="minorHAnsi" w:cstheme="minorHAnsi"/>
          <w:b/>
          <w:bCs/>
          <w:lang w:val="pt-PT"/>
        </w:rPr>
        <w:fldChar w:fldCharType="end"/>
      </w:r>
      <w:r w:rsidR="00322897" w:rsidRPr="00292532">
        <w:rPr>
          <w:rFonts w:asciiTheme="minorHAnsi" w:eastAsia="Calibri" w:hAnsiTheme="minorHAnsi" w:cstheme="minorHAnsi"/>
          <w:lang w:val="pt-PT"/>
        </w:rPr>
        <w:t xml:space="preserve"> abaixo</w:t>
      </w:r>
      <w:r w:rsidRPr="00292532">
        <w:rPr>
          <w:rFonts w:asciiTheme="minorHAnsi" w:eastAsia="Calibri" w:hAnsiTheme="minorHAnsi" w:cstheme="minorHAnsi"/>
          <w:lang w:val="pt-PT"/>
        </w:rPr>
        <w:t xml:space="preserve"> apresenta os distritos e localidades beneficiárias do </w:t>
      </w:r>
      <w:proofErr w:type="spellStart"/>
      <w:r w:rsidRPr="00292532">
        <w:rPr>
          <w:rFonts w:asciiTheme="minorHAnsi" w:eastAsia="Calibri" w:hAnsiTheme="minorHAnsi" w:cstheme="minorHAnsi"/>
          <w:lang w:val="pt-PT"/>
        </w:rPr>
        <w:t>projecto</w:t>
      </w:r>
      <w:proofErr w:type="spellEnd"/>
      <w:r w:rsidRPr="00292532">
        <w:rPr>
          <w:rFonts w:asciiTheme="minorHAnsi" w:eastAsia="Calibri" w:hAnsiTheme="minorHAnsi" w:cstheme="minorHAnsi"/>
          <w:lang w:val="pt-PT"/>
        </w:rPr>
        <w:t>.</w:t>
      </w:r>
    </w:p>
    <w:p w14:paraId="4CE83CC5" w14:textId="77777777" w:rsidR="007C55D3" w:rsidRPr="00292532" w:rsidRDefault="007C55D3" w:rsidP="007C55D3">
      <w:pPr>
        <w:spacing w:before="0" w:after="0" w:line="259" w:lineRule="auto"/>
        <w:rPr>
          <w:rFonts w:asciiTheme="minorHAnsi" w:eastAsia="Calibri" w:hAnsiTheme="minorHAnsi" w:cstheme="minorHAnsi"/>
          <w:lang w:val="pt-PT"/>
        </w:rPr>
      </w:pPr>
    </w:p>
    <w:p w14:paraId="04703BBE" w14:textId="77777777" w:rsidR="007C55D3" w:rsidRPr="00292532" w:rsidRDefault="007C55D3" w:rsidP="007C55D3">
      <w:pPr>
        <w:spacing w:before="0" w:after="0" w:line="259" w:lineRule="auto"/>
        <w:rPr>
          <w:rFonts w:asciiTheme="minorHAnsi" w:eastAsia="Calibri" w:hAnsiTheme="minorHAnsi" w:cstheme="minorHAnsi"/>
          <w:lang w:val="pt-PT"/>
        </w:rPr>
      </w:pPr>
      <w:bookmarkStart w:id="44" w:name="_Hlk75441183"/>
      <w:r w:rsidRPr="00292532">
        <w:rPr>
          <w:rFonts w:asciiTheme="minorHAnsi" w:eastAsia="Calibri" w:hAnsiTheme="minorHAnsi" w:cstheme="minorHAnsi"/>
          <w:lang w:val="pt-PT"/>
        </w:rPr>
        <w:t xml:space="preserve">Estima-se que no espaço das vilas e pequenas cidades 481,000 pessoas beneficiem das intervenções do </w:t>
      </w:r>
      <w:proofErr w:type="spellStart"/>
      <w:r w:rsidRPr="00292532">
        <w:rPr>
          <w:rFonts w:asciiTheme="minorHAnsi" w:eastAsia="Calibri" w:hAnsiTheme="minorHAnsi" w:cstheme="minorHAnsi"/>
          <w:lang w:val="pt-PT"/>
        </w:rPr>
        <w:t>projecto</w:t>
      </w:r>
      <w:proofErr w:type="spellEnd"/>
      <w:r w:rsidRPr="00292532">
        <w:rPr>
          <w:rFonts w:asciiTheme="minorHAnsi" w:eastAsia="Calibri" w:hAnsiTheme="minorHAnsi" w:cstheme="minorHAnsi"/>
          <w:lang w:val="pt-PT"/>
        </w:rPr>
        <w:t xml:space="preserve">. Prevê-se que no espaço rural 467,000 pessoas possam beneficiar das intervenções do </w:t>
      </w:r>
      <w:proofErr w:type="spellStart"/>
      <w:r w:rsidRPr="00292532">
        <w:rPr>
          <w:rFonts w:asciiTheme="minorHAnsi" w:eastAsia="Calibri" w:hAnsiTheme="minorHAnsi" w:cstheme="minorHAnsi"/>
          <w:lang w:val="pt-PT"/>
        </w:rPr>
        <w:t>projecto</w:t>
      </w:r>
      <w:proofErr w:type="spellEnd"/>
      <w:r w:rsidRPr="00292532">
        <w:rPr>
          <w:rFonts w:asciiTheme="minorHAnsi" w:eastAsia="Calibri" w:hAnsiTheme="minorHAnsi" w:cstheme="minorHAnsi"/>
          <w:lang w:val="pt-PT"/>
        </w:rPr>
        <w:t>.</w:t>
      </w:r>
    </w:p>
    <w:bookmarkEnd w:id="44"/>
    <w:p w14:paraId="60B0AA42" w14:textId="77777777" w:rsidR="007C55D3" w:rsidRPr="00292532" w:rsidRDefault="007C55D3" w:rsidP="007C55D3">
      <w:pPr>
        <w:spacing w:before="0" w:after="0" w:line="259" w:lineRule="auto"/>
        <w:rPr>
          <w:rFonts w:asciiTheme="minorHAnsi" w:eastAsia="Calibri" w:hAnsiTheme="minorHAnsi" w:cstheme="minorHAnsi"/>
          <w:lang w:val="pt-PT"/>
        </w:rPr>
      </w:pPr>
    </w:p>
    <w:p w14:paraId="748095B1" w14:textId="1F12C8EC" w:rsidR="00322897" w:rsidRPr="00292532" w:rsidRDefault="007C55D3" w:rsidP="007C55D3">
      <w:pPr>
        <w:spacing w:before="0" w:after="0" w:line="259" w:lineRule="auto"/>
        <w:rPr>
          <w:rFonts w:asciiTheme="minorHAnsi" w:eastAsia="Calibri" w:hAnsiTheme="minorHAnsi" w:cstheme="minorHAnsi"/>
          <w:lang w:val="pt-PT"/>
        </w:rPr>
      </w:pPr>
      <w:bookmarkStart w:id="45" w:name="_Hlk75441213"/>
      <w:r w:rsidRPr="00292532">
        <w:rPr>
          <w:rFonts w:asciiTheme="minorHAnsi" w:eastAsia="Calibri" w:hAnsiTheme="minorHAnsi" w:cstheme="minorHAnsi"/>
          <w:lang w:val="pt-PT"/>
        </w:rPr>
        <w:t xml:space="preserve">Estão igualmente previstas </w:t>
      </w:r>
      <w:bookmarkStart w:id="46" w:name="_Hlk71998485"/>
      <w:r w:rsidRPr="00292532">
        <w:rPr>
          <w:rFonts w:asciiTheme="minorHAnsi" w:eastAsia="Calibri" w:hAnsiTheme="minorHAnsi" w:cstheme="minorHAnsi"/>
          <w:lang w:val="pt-PT"/>
        </w:rPr>
        <w:t xml:space="preserve">intervenções adicionais com as subvenções a serem alocadas aos Conselhos Executivos Provinciais </w:t>
      </w:r>
      <w:r w:rsidR="00412A1B">
        <w:rPr>
          <w:rFonts w:asciiTheme="minorHAnsi" w:eastAsia="Calibri" w:hAnsiTheme="minorHAnsi" w:cstheme="minorHAnsi"/>
          <w:lang w:val="pt-PT"/>
        </w:rPr>
        <w:t>para a construção de</w:t>
      </w:r>
      <w:r w:rsidR="00412A1B" w:rsidRPr="00292532">
        <w:rPr>
          <w:rFonts w:asciiTheme="minorHAnsi" w:eastAsia="Calibri" w:hAnsiTheme="minorHAnsi" w:cstheme="minorHAnsi"/>
          <w:lang w:val="pt-PT"/>
        </w:rPr>
        <w:t xml:space="preserve"> </w:t>
      </w:r>
      <w:r w:rsidRPr="00292532">
        <w:rPr>
          <w:rFonts w:asciiTheme="minorHAnsi" w:eastAsia="Calibri" w:hAnsiTheme="minorHAnsi" w:cstheme="minorHAnsi"/>
          <w:lang w:val="pt-PT"/>
        </w:rPr>
        <w:t xml:space="preserve">250 fontes de abastecimento de água dispersas e 75 </w:t>
      </w:r>
      <w:r w:rsidR="00D9688F" w:rsidRPr="00292532">
        <w:rPr>
          <w:rFonts w:asciiTheme="minorHAnsi" w:eastAsia="Calibri" w:hAnsiTheme="minorHAnsi" w:cstheme="minorHAnsi"/>
          <w:lang w:val="pt-PT"/>
        </w:rPr>
        <w:t>infraestruturas</w:t>
      </w:r>
      <w:r w:rsidRPr="00292532">
        <w:rPr>
          <w:rFonts w:asciiTheme="minorHAnsi" w:eastAsia="Calibri" w:hAnsiTheme="minorHAnsi" w:cstheme="minorHAnsi"/>
          <w:lang w:val="pt-PT"/>
        </w:rPr>
        <w:t xml:space="preserve"> de saneamento institucional (prioridade será dada ao saneamento escolar) em cada uma das duas províncias de intervenção.</w:t>
      </w:r>
      <w:bookmarkEnd w:id="45"/>
      <w:r w:rsidR="00322897" w:rsidRPr="00292532">
        <w:rPr>
          <w:rFonts w:asciiTheme="minorHAnsi" w:eastAsia="Calibri" w:hAnsiTheme="minorHAnsi" w:cstheme="minorHAnsi"/>
          <w:lang w:val="pt-PT"/>
        </w:rPr>
        <w:br w:type="page"/>
      </w:r>
    </w:p>
    <w:p w14:paraId="6171B45A" w14:textId="197A0797" w:rsidR="007C55D3" w:rsidRPr="00292532" w:rsidRDefault="007C55D3" w:rsidP="007C55D3">
      <w:pPr>
        <w:pStyle w:val="Caption"/>
      </w:pPr>
      <w:bookmarkStart w:id="47" w:name="_Ref72942308"/>
      <w:bookmarkStart w:id="48" w:name="_Toc75438146"/>
      <w:bookmarkStart w:id="49" w:name="_Toc80380252"/>
      <w:bookmarkStart w:id="50" w:name="_Hlk75441267"/>
      <w:bookmarkEnd w:id="46"/>
      <w:r w:rsidRPr="00292532">
        <w:lastRenderedPageBreak/>
        <w:t xml:space="preserve">Tabela </w:t>
      </w:r>
      <w:r w:rsidRPr="00292532">
        <w:fldChar w:fldCharType="begin"/>
      </w:r>
      <w:r w:rsidRPr="00292532">
        <w:instrText xml:space="preserve"> SEQ Tabela \* ARABIC </w:instrText>
      </w:r>
      <w:r w:rsidRPr="00292532">
        <w:fldChar w:fldCharType="separate"/>
      </w:r>
      <w:r w:rsidR="000D7B05">
        <w:rPr>
          <w:noProof/>
        </w:rPr>
        <w:t>5</w:t>
      </w:r>
      <w:r w:rsidRPr="00292532">
        <w:fldChar w:fldCharType="end"/>
      </w:r>
      <w:bookmarkEnd w:id="47"/>
      <w:r w:rsidRPr="00292532">
        <w:t xml:space="preserve">: Abrangência Territorial do </w:t>
      </w:r>
      <w:proofErr w:type="spellStart"/>
      <w:r w:rsidRPr="00292532">
        <w:t>Projecto</w:t>
      </w:r>
      <w:bookmarkEnd w:id="48"/>
      <w:proofErr w:type="spellEnd"/>
      <w:r w:rsidRPr="00292532">
        <w:t xml:space="preserve"> </w:t>
      </w:r>
      <w:bookmarkEnd w:id="49"/>
    </w:p>
    <w:tbl>
      <w:tblPr>
        <w:tblW w:w="9377" w:type="dxa"/>
        <w:tblLook w:val="04A0" w:firstRow="1" w:lastRow="0" w:firstColumn="1" w:lastColumn="0" w:noHBand="0" w:noVBand="1"/>
      </w:tblPr>
      <w:tblGrid>
        <w:gridCol w:w="822"/>
        <w:gridCol w:w="991"/>
        <w:gridCol w:w="2337"/>
        <w:gridCol w:w="2120"/>
        <w:gridCol w:w="1519"/>
        <w:gridCol w:w="1588"/>
      </w:tblGrid>
      <w:tr w:rsidR="007C55D3" w:rsidRPr="00292532" w14:paraId="5F7EB6B3" w14:textId="77777777" w:rsidTr="004E2F56">
        <w:trPr>
          <w:trHeight w:val="1300"/>
          <w:tblHeader/>
        </w:trPr>
        <w:tc>
          <w:tcPr>
            <w:tcW w:w="822" w:type="dxa"/>
            <w:tcBorders>
              <w:top w:val="nil"/>
              <w:left w:val="nil"/>
              <w:bottom w:val="nil"/>
              <w:right w:val="nil"/>
            </w:tcBorders>
            <w:shd w:val="clear" w:color="000000" w:fill="5B9BD5"/>
            <w:vAlign w:val="center"/>
            <w:hideMark/>
          </w:tcPr>
          <w:p w14:paraId="4FCD3BCE" w14:textId="77777777" w:rsidR="007C55D3" w:rsidRPr="00292532" w:rsidRDefault="007C55D3" w:rsidP="007C55D3">
            <w:pPr>
              <w:spacing w:before="0" w:after="0"/>
              <w:jc w:val="center"/>
              <w:rPr>
                <w:rFonts w:asciiTheme="minorHAnsi" w:eastAsia="Times New Roman" w:hAnsiTheme="minorHAnsi" w:cstheme="minorHAnsi"/>
                <w:b/>
                <w:bCs/>
                <w:color w:val="FFFFFF"/>
                <w:sz w:val="20"/>
                <w:szCs w:val="20"/>
                <w:lang w:val="pt-PT"/>
              </w:rPr>
            </w:pPr>
            <w:r w:rsidRPr="00292532">
              <w:rPr>
                <w:rFonts w:asciiTheme="minorHAnsi" w:eastAsia="Times New Roman" w:hAnsiTheme="minorHAnsi" w:cstheme="minorHAnsi"/>
                <w:b/>
                <w:bCs/>
                <w:color w:val="FFFFFF"/>
                <w:sz w:val="20"/>
                <w:szCs w:val="20"/>
                <w:lang w:val="pt-PT"/>
              </w:rPr>
              <w:t>#</w:t>
            </w:r>
          </w:p>
        </w:tc>
        <w:tc>
          <w:tcPr>
            <w:tcW w:w="991" w:type="dxa"/>
            <w:tcBorders>
              <w:top w:val="nil"/>
              <w:left w:val="nil"/>
              <w:bottom w:val="nil"/>
              <w:right w:val="nil"/>
            </w:tcBorders>
            <w:shd w:val="clear" w:color="000000" w:fill="5B9BD5"/>
            <w:vAlign w:val="center"/>
            <w:hideMark/>
          </w:tcPr>
          <w:p w14:paraId="0F7C1DA3" w14:textId="77777777" w:rsidR="007C55D3" w:rsidRPr="00292532" w:rsidRDefault="007C55D3" w:rsidP="007C55D3">
            <w:pPr>
              <w:spacing w:before="0" w:after="0"/>
              <w:jc w:val="center"/>
              <w:rPr>
                <w:rFonts w:asciiTheme="minorHAnsi" w:eastAsia="Times New Roman" w:hAnsiTheme="minorHAnsi" w:cstheme="minorHAnsi"/>
                <w:b/>
                <w:bCs/>
                <w:color w:val="FFFFFF"/>
                <w:sz w:val="20"/>
                <w:szCs w:val="20"/>
                <w:lang w:val="pt-PT"/>
              </w:rPr>
            </w:pPr>
            <w:r w:rsidRPr="00292532">
              <w:rPr>
                <w:rFonts w:asciiTheme="minorHAnsi" w:eastAsia="Times New Roman" w:hAnsiTheme="minorHAnsi" w:cstheme="minorHAnsi"/>
                <w:b/>
                <w:bCs/>
                <w:color w:val="FFFFFF"/>
                <w:sz w:val="20"/>
                <w:szCs w:val="20"/>
                <w:lang w:val="pt-PT"/>
              </w:rPr>
              <w:t>Província</w:t>
            </w:r>
          </w:p>
        </w:tc>
        <w:tc>
          <w:tcPr>
            <w:tcW w:w="2337" w:type="dxa"/>
            <w:tcBorders>
              <w:top w:val="nil"/>
              <w:left w:val="nil"/>
              <w:bottom w:val="nil"/>
              <w:right w:val="nil"/>
            </w:tcBorders>
            <w:shd w:val="clear" w:color="000000" w:fill="5B9BD5"/>
            <w:vAlign w:val="center"/>
            <w:hideMark/>
          </w:tcPr>
          <w:p w14:paraId="2789BADA" w14:textId="77777777" w:rsidR="007C55D3" w:rsidRPr="00292532" w:rsidRDefault="007C55D3" w:rsidP="007C55D3">
            <w:pPr>
              <w:spacing w:before="0" w:after="0"/>
              <w:jc w:val="center"/>
              <w:rPr>
                <w:rFonts w:asciiTheme="minorHAnsi" w:eastAsia="Times New Roman" w:hAnsiTheme="minorHAnsi" w:cstheme="minorHAnsi"/>
                <w:b/>
                <w:bCs/>
                <w:color w:val="FFFFFF"/>
                <w:sz w:val="20"/>
                <w:szCs w:val="20"/>
                <w:lang w:val="pt-PT"/>
              </w:rPr>
            </w:pPr>
            <w:r w:rsidRPr="00292532">
              <w:rPr>
                <w:rFonts w:asciiTheme="minorHAnsi" w:eastAsia="Times New Roman" w:hAnsiTheme="minorHAnsi" w:cstheme="minorHAnsi"/>
                <w:b/>
                <w:bCs/>
                <w:color w:val="FFFFFF"/>
                <w:sz w:val="20"/>
                <w:szCs w:val="20"/>
                <w:lang w:val="pt-PT"/>
              </w:rPr>
              <w:t>Distrito</w:t>
            </w:r>
          </w:p>
        </w:tc>
        <w:tc>
          <w:tcPr>
            <w:tcW w:w="2120" w:type="dxa"/>
            <w:tcBorders>
              <w:top w:val="nil"/>
              <w:left w:val="nil"/>
              <w:bottom w:val="nil"/>
              <w:right w:val="nil"/>
            </w:tcBorders>
            <w:shd w:val="clear" w:color="000000" w:fill="5B9BD5"/>
            <w:vAlign w:val="center"/>
            <w:hideMark/>
          </w:tcPr>
          <w:p w14:paraId="69D1FF5B" w14:textId="77777777" w:rsidR="007C55D3" w:rsidRPr="00292532" w:rsidRDefault="007C55D3" w:rsidP="007C55D3">
            <w:pPr>
              <w:spacing w:before="0" w:after="0"/>
              <w:jc w:val="center"/>
              <w:rPr>
                <w:rFonts w:asciiTheme="minorHAnsi" w:eastAsia="Times New Roman" w:hAnsiTheme="minorHAnsi" w:cstheme="minorHAnsi"/>
                <w:b/>
                <w:bCs/>
                <w:color w:val="FFFFFF"/>
                <w:sz w:val="20"/>
                <w:szCs w:val="20"/>
                <w:lang w:val="pt-PT"/>
              </w:rPr>
            </w:pPr>
            <w:r w:rsidRPr="00292532">
              <w:rPr>
                <w:rFonts w:asciiTheme="minorHAnsi" w:eastAsia="Times New Roman" w:hAnsiTheme="minorHAnsi" w:cstheme="minorHAnsi"/>
                <w:b/>
                <w:bCs/>
                <w:color w:val="FFFFFF"/>
                <w:sz w:val="20"/>
                <w:szCs w:val="20"/>
                <w:lang w:val="pt-PT"/>
              </w:rPr>
              <w:t>Cidade/vila/localidade</w:t>
            </w:r>
          </w:p>
        </w:tc>
        <w:tc>
          <w:tcPr>
            <w:tcW w:w="1519" w:type="dxa"/>
            <w:tcBorders>
              <w:top w:val="nil"/>
              <w:left w:val="nil"/>
              <w:bottom w:val="nil"/>
              <w:right w:val="nil"/>
            </w:tcBorders>
            <w:shd w:val="clear" w:color="000000" w:fill="5B9BD5"/>
            <w:vAlign w:val="center"/>
            <w:hideMark/>
          </w:tcPr>
          <w:p w14:paraId="383E2ECF" w14:textId="77777777" w:rsidR="007C55D3" w:rsidRPr="00292532" w:rsidRDefault="007C55D3" w:rsidP="007C55D3">
            <w:pPr>
              <w:spacing w:before="0" w:after="0"/>
              <w:jc w:val="center"/>
              <w:rPr>
                <w:rFonts w:asciiTheme="minorHAnsi" w:eastAsia="Times New Roman" w:hAnsiTheme="minorHAnsi" w:cstheme="minorHAnsi"/>
                <w:b/>
                <w:bCs/>
                <w:color w:val="FFFFFF"/>
                <w:sz w:val="20"/>
                <w:szCs w:val="20"/>
                <w:lang w:val="pt-PT"/>
              </w:rPr>
            </w:pPr>
            <w:r w:rsidRPr="00292532">
              <w:rPr>
                <w:rFonts w:asciiTheme="minorHAnsi" w:eastAsia="Times New Roman" w:hAnsiTheme="minorHAnsi" w:cstheme="minorHAnsi"/>
                <w:b/>
                <w:bCs/>
                <w:color w:val="FFFFFF"/>
                <w:sz w:val="20"/>
                <w:szCs w:val="20"/>
                <w:lang w:val="pt-PT"/>
              </w:rPr>
              <w:t>Investimentos em abastecimento de água</w:t>
            </w:r>
          </w:p>
        </w:tc>
        <w:tc>
          <w:tcPr>
            <w:tcW w:w="1588" w:type="dxa"/>
            <w:tcBorders>
              <w:top w:val="nil"/>
              <w:left w:val="nil"/>
              <w:bottom w:val="nil"/>
              <w:right w:val="nil"/>
            </w:tcBorders>
            <w:shd w:val="clear" w:color="000000" w:fill="5B9BD5"/>
            <w:vAlign w:val="center"/>
            <w:hideMark/>
          </w:tcPr>
          <w:p w14:paraId="4496927E" w14:textId="77777777" w:rsidR="007C55D3" w:rsidRPr="00292532" w:rsidRDefault="007C55D3" w:rsidP="007C55D3">
            <w:pPr>
              <w:spacing w:before="0" w:after="0"/>
              <w:jc w:val="center"/>
              <w:rPr>
                <w:rFonts w:asciiTheme="minorHAnsi" w:eastAsia="Times New Roman" w:hAnsiTheme="minorHAnsi" w:cstheme="minorHAnsi"/>
                <w:b/>
                <w:bCs/>
                <w:color w:val="FFFFFF"/>
                <w:sz w:val="20"/>
                <w:szCs w:val="20"/>
                <w:lang w:val="pt-PT"/>
              </w:rPr>
            </w:pPr>
            <w:r w:rsidRPr="00292532">
              <w:rPr>
                <w:rFonts w:asciiTheme="minorHAnsi" w:eastAsia="Times New Roman" w:hAnsiTheme="minorHAnsi" w:cstheme="minorHAnsi"/>
                <w:b/>
                <w:bCs/>
                <w:color w:val="FFFFFF"/>
                <w:sz w:val="20"/>
                <w:szCs w:val="20"/>
                <w:lang w:val="pt-PT"/>
              </w:rPr>
              <w:t>Investimentos em saneamento</w:t>
            </w:r>
          </w:p>
        </w:tc>
      </w:tr>
      <w:tr w:rsidR="007C55D3" w:rsidRPr="00292532" w14:paraId="1D50494F" w14:textId="77777777" w:rsidTr="004E2F56">
        <w:trPr>
          <w:trHeight w:val="300"/>
        </w:trPr>
        <w:tc>
          <w:tcPr>
            <w:tcW w:w="822" w:type="dxa"/>
            <w:tcBorders>
              <w:top w:val="nil"/>
              <w:left w:val="nil"/>
              <w:bottom w:val="single" w:sz="8" w:space="0" w:color="auto"/>
              <w:right w:val="nil"/>
            </w:tcBorders>
            <w:shd w:val="clear" w:color="auto" w:fill="auto"/>
            <w:noWrap/>
            <w:vAlign w:val="center"/>
            <w:hideMark/>
          </w:tcPr>
          <w:p w14:paraId="39DFE265" w14:textId="20EE4A8C"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1</w:t>
            </w:r>
          </w:p>
        </w:tc>
        <w:tc>
          <w:tcPr>
            <w:tcW w:w="991" w:type="dxa"/>
            <w:vMerge w:val="restart"/>
            <w:tcBorders>
              <w:top w:val="nil"/>
              <w:left w:val="nil"/>
              <w:bottom w:val="single" w:sz="8" w:space="0" w:color="000000"/>
              <w:right w:val="nil"/>
            </w:tcBorders>
            <w:vAlign w:val="center"/>
            <w:hideMark/>
          </w:tcPr>
          <w:p w14:paraId="5CFD17BA"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tcBorders>
              <w:top w:val="nil"/>
              <w:left w:val="nil"/>
              <w:bottom w:val="single" w:sz="8" w:space="0" w:color="auto"/>
              <w:right w:val="nil"/>
            </w:tcBorders>
            <w:shd w:val="clear" w:color="auto" w:fill="auto"/>
            <w:noWrap/>
            <w:vAlign w:val="center"/>
            <w:hideMark/>
          </w:tcPr>
          <w:p w14:paraId="74842F02"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Ribaué</w:t>
            </w:r>
          </w:p>
        </w:tc>
        <w:tc>
          <w:tcPr>
            <w:tcW w:w="2120" w:type="dxa"/>
            <w:tcBorders>
              <w:top w:val="nil"/>
              <w:left w:val="nil"/>
              <w:bottom w:val="single" w:sz="8" w:space="0" w:color="auto"/>
              <w:right w:val="nil"/>
            </w:tcBorders>
            <w:shd w:val="clear" w:color="auto" w:fill="auto"/>
            <w:noWrap/>
            <w:vAlign w:val="center"/>
            <w:hideMark/>
          </w:tcPr>
          <w:p w14:paraId="0E0C43E9"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Ribaué</w:t>
            </w:r>
          </w:p>
        </w:tc>
        <w:tc>
          <w:tcPr>
            <w:tcW w:w="1519" w:type="dxa"/>
            <w:tcBorders>
              <w:top w:val="nil"/>
              <w:left w:val="nil"/>
              <w:bottom w:val="single" w:sz="8" w:space="0" w:color="auto"/>
              <w:right w:val="nil"/>
            </w:tcBorders>
            <w:shd w:val="clear" w:color="auto" w:fill="auto"/>
            <w:noWrap/>
            <w:vAlign w:val="center"/>
            <w:hideMark/>
          </w:tcPr>
          <w:p w14:paraId="0795EF94"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1E14C182"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r>
      <w:tr w:rsidR="007C55D3" w:rsidRPr="00292532" w14:paraId="54ED51A2" w14:textId="77777777" w:rsidTr="00941934">
        <w:trPr>
          <w:trHeight w:val="300"/>
        </w:trPr>
        <w:tc>
          <w:tcPr>
            <w:tcW w:w="822" w:type="dxa"/>
            <w:tcBorders>
              <w:top w:val="nil"/>
              <w:left w:val="nil"/>
              <w:bottom w:val="single" w:sz="8" w:space="0" w:color="auto"/>
              <w:right w:val="nil"/>
            </w:tcBorders>
            <w:shd w:val="clear" w:color="auto" w:fill="auto"/>
            <w:noWrap/>
            <w:vAlign w:val="center"/>
            <w:hideMark/>
          </w:tcPr>
          <w:p w14:paraId="2C190E34" w14:textId="70AEAFBA"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2</w:t>
            </w:r>
          </w:p>
        </w:tc>
        <w:tc>
          <w:tcPr>
            <w:tcW w:w="991" w:type="dxa"/>
            <w:vMerge/>
            <w:tcBorders>
              <w:top w:val="nil"/>
              <w:left w:val="nil"/>
              <w:bottom w:val="single" w:sz="8" w:space="0" w:color="000000"/>
              <w:right w:val="nil"/>
            </w:tcBorders>
            <w:vAlign w:val="center"/>
            <w:hideMark/>
          </w:tcPr>
          <w:p w14:paraId="5842A4B3"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vMerge w:val="restart"/>
            <w:tcBorders>
              <w:top w:val="nil"/>
              <w:left w:val="nil"/>
              <w:bottom w:val="single" w:sz="8" w:space="0" w:color="000000"/>
              <w:right w:val="nil"/>
            </w:tcBorders>
            <w:shd w:val="clear" w:color="auto" w:fill="auto"/>
            <w:noWrap/>
            <w:vAlign w:val="center"/>
            <w:hideMark/>
          </w:tcPr>
          <w:p w14:paraId="0FB54FA1"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Eráti</w:t>
            </w:r>
          </w:p>
        </w:tc>
        <w:tc>
          <w:tcPr>
            <w:tcW w:w="2120" w:type="dxa"/>
            <w:tcBorders>
              <w:top w:val="nil"/>
              <w:left w:val="nil"/>
              <w:bottom w:val="single" w:sz="8" w:space="0" w:color="auto"/>
              <w:right w:val="nil"/>
            </w:tcBorders>
            <w:shd w:val="clear" w:color="auto" w:fill="auto"/>
            <w:noWrap/>
            <w:vAlign w:val="center"/>
          </w:tcPr>
          <w:p w14:paraId="39BC9CD8" w14:textId="58CD4E3A"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Nahopa</w:t>
            </w:r>
            <w:proofErr w:type="spellEnd"/>
          </w:p>
        </w:tc>
        <w:tc>
          <w:tcPr>
            <w:tcW w:w="1519" w:type="dxa"/>
            <w:tcBorders>
              <w:top w:val="nil"/>
              <w:left w:val="nil"/>
              <w:bottom w:val="single" w:sz="8" w:space="0" w:color="auto"/>
              <w:right w:val="nil"/>
            </w:tcBorders>
            <w:shd w:val="clear" w:color="auto" w:fill="auto"/>
            <w:noWrap/>
            <w:vAlign w:val="center"/>
          </w:tcPr>
          <w:p w14:paraId="13D9DDA4" w14:textId="09B751E4"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tcPr>
          <w:p w14:paraId="2818A7E2" w14:textId="78986EB9"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p>
        </w:tc>
      </w:tr>
      <w:tr w:rsidR="007C55D3" w:rsidRPr="00292532" w14:paraId="694F80E2" w14:textId="77777777" w:rsidTr="004E2F56">
        <w:trPr>
          <w:trHeight w:val="300"/>
        </w:trPr>
        <w:tc>
          <w:tcPr>
            <w:tcW w:w="822" w:type="dxa"/>
            <w:tcBorders>
              <w:top w:val="nil"/>
              <w:left w:val="nil"/>
              <w:bottom w:val="single" w:sz="8" w:space="0" w:color="auto"/>
              <w:right w:val="nil"/>
            </w:tcBorders>
            <w:shd w:val="clear" w:color="auto" w:fill="auto"/>
            <w:noWrap/>
            <w:vAlign w:val="center"/>
            <w:hideMark/>
          </w:tcPr>
          <w:p w14:paraId="2F618719" w14:textId="0ADCAEAA"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3</w:t>
            </w:r>
          </w:p>
        </w:tc>
        <w:tc>
          <w:tcPr>
            <w:tcW w:w="991" w:type="dxa"/>
            <w:vMerge/>
            <w:tcBorders>
              <w:top w:val="nil"/>
              <w:left w:val="nil"/>
              <w:bottom w:val="single" w:sz="8" w:space="0" w:color="000000"/>
              <w:right w:val="nil"/>
            </w:tcBorders>
            <w:vAlign w:val="center"/>
            <w:hideMark/>
          </w:tcPr>
          <w:p w14:paraId="4B889C5A"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vMerge/>
            <w:tcBorders>
              <w:top w:val="nil"/>
              <w:left w:val="nil"/>
              <w:bottom w:val="single" w:sz="8" w:space="0" w:color="000000"/>
              <w:right w:val="nil"/>
            </w:tcBorders>
            <w:vAlign w:val="center"/>
            <w:hideMark/>
          </w:tcPr>
          <w:p w14:paraId="52E31378"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120" w:type="dxa"/>
            <w:tcBorders>
              <w:top w:val="nil"/>
              <w:left w:val="nil"/>
              <w:bottom w:val="single" w:sz="8" w:space="0" w:color="auto"/>
              <w:right w:val="nil"/>
            </w:tcBorders>
            <w:shd w:val="clear" w:color="auto" w:fill="auto"/>
            <w:noWrap/>
            <w:vAlign w:val="center"/>
            <w:hideMark/>
          </w:tcPr>
          <w:p w14:paraId="6C6EB636"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Namapa</w:t>
            </w:r>
            <w:proofErr w:type="spellEnd"/>
          </w:p>
        </w:tc>
        <w:tc>
          <w:tcPr>
            <w:tcW w:w="1519" w:type="dxa"/>
            <w:tcBorders>
              <w:top w:val="nil"/>
              <w:left w:val="nil"/>
              <w:bottom w:val="single" w:sz="8" w:space="0" w:color="auto"/>
              <w:right w:val="nil"/>
            </w:tcBorders>
            <w:shd w:val="clear" w:color="auto" w:fill="auto"/>
            <w:noWrap/>
            <w:vAlign w:val="center"/>
            <w:hideMark/>
          </w:tcPr>
          <w:p w14:paraId="6E512ABA"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3AE11E2D"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r>
      <w:tr w:rsidR="007C55D3" w:rsidRPr="00292532" w14:paraId="5B9AA893" w14:textId="77777777" w:rsidTr="004E2F56">
        <w:trPr>
          <w:trHeight w:val="300"/>
        </w:trPr>
        <w:tc>
          <w:tcPr>
            <w:tcW w:w="822" w:type="dxa"/>
            <w:tcBorders>
              <w:top w:val="nil"/>
              <w:left w:val="nil"/>
              <w:bottom w:val="single" w:sz="8" w:space="0" w:color="auto"/>
              <w:right w:val="nil"/>
            </w:tcBorders>
            <w:shd w:val="clear" w:color="auto" w:fill="auto"/>
            <w:noWrap/>
            <w:vAlign w:val="center"/>
            <w:hideMark/>
          </w:tcPr>
          <w:p w14:paraId="2A104475" w14:textId="4F25622F"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4</w:t>
            </w:r>
          </w:p>
        </w:tc>
        <w:tc>
          <w:tcPr>
            <w:tcW w:w="991" w:type="dxa"/>
            <w:vMerge/>
            <w:tcBorders>
              <w:top w:val="nil"/>
              <w:left w:val="nil"/>
              <w:bottom w:val="single" w:sz="8" w:space="0" w:color="000000"/>
              <w:right w:val="nil"/>
            </w:tcBorders>
            <w:vAlign w:val="center"/>
            <w:hideMark/>
          </w:tcPr>
          <w:p w14:paraId="4D1EF4A0"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vMerge w:val="restart"/>
            <w:tcBorders>
              <w:top w:val="nil"/>
              <w:left w:val="nil"/>
              <w:bottom w:val="single" w:sz="8" w:space="0" w:color="000000"/>
              <w:right w:val="nil"/>
            </w:tcBorders>
            <w:shd w:val="clear" w:color="auto" w:fill="auto"/>
            <w:noWrap/>
            <w:vAlign w:val="center"/>
            <w:hideMark/>
          </w:tcPr>
          <w:p w14:paraId="379B79D7"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Malema</w:t>
            </w:r>
          </w:p>
        </w:tc>
        <w:tc>
          <w:tcPr>
            <w:tcW w:w="2120" w:type="dxa"/>
            <w:tcBorders>
              <w:top w:val="nil"/>
              <w:left w:val="nil"/>
              <w:bottom w:val="single" w:sz="8" w:space="0" w:color="auto"/>
              <w:right w:val="nil"/>
            </w:tcBorders>
            <w:shd w:val="clear" w:color="auto" w:fill="auto"/>
            <w:noWrap/>
            <w:vAlign w:val="center"/>
            <w:hideMark/>
          </w:tcPr>
          <w:p w14:paraId="629DED2B"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Malema</w:t>
            </w:r>
          </w:p>
        </w:tc>
        <w:tc>
          <w:tcPr>
            <w:tcW w:w="1519" w:type="dxa"/>
            <w:tcBorders>
              <w:top w:val="nil"/>
              <w:left w:val="nil"/>
              <w:bottom w:val="single" w:sz="8" w:space="0" w:color="auto"/>
              <w:right w:val="nil"/>
            </w:tcBorders>
            <w:shd w:val="clear" w:color="auto" w:fill="auto"/>
            <w:noWrap/>
            <w:vAlign w:val="center"/>
            <w:hideMark/>
          </w:tcPr>
          <w:p w14:paraId="5FA07013"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28F8607F"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r>
      <w:tr w:rsidR="007C55D3" w:rsidRPr="00292532" w14:paraId="40BC3FFB" w14:textId="77777777" w:rsidTr="004E2F56">
        <w:trPr>
          <w:trHeight w:val="300"/>
        </w:trPr>
        <w:tc>
          <w:tcPr>
            <w:tcW w:w="822" w:type="dxa"/>
            <w:tcBorders>
              <w:top w:val="nil"/>
              <w:left w:val="nil"/>
              <w:bottom w:val="single" w:sz="8" w:space="0" w:color="auto"/>
              <w:right w:val="nil"/>
            </w:tcBorders>
            <w:shd w:val="clear" w:color="auto" w:fill="auto"/>
            <w:noWrap/>
            <w:vAlign w:val="center"/>
            <w:hideMark/>
          </w:tcPr>
          <w:p w14:paraId="5741F155" w14:textId="68348847"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5</w:t>
            </w:r>
          </w:p>
        </w:tc>
        <w:tc>
          <w:tcPr>
            <w:tcW w:w="991" w:type="dxa"/>
            <w:vMerge/>
            <w:tcBorders>
              <w:top w:val="nil"/>
              <w:left w:val="nil"/>
              <w:bottom w:val="single" w:sz="8" w:space="0" w:color="000000"/>
              <w:right w:val="nil"/>
            </w:tcBorders>
            <w:vAlign w:val="center"/>
            <w:hideMark/>
          </w:tcPr>
          <w:p w14:paraId="17D4333B"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vMerge/>
            <w:tcBorders>
              <w:top w:val="nil"/>
              <w:left w:val="nil"/>
              <w:bottom w:val="single" w:sz="8" w:space="0" w:color="000000"/>
              <w:right w:val="nil"/>
            </w:tcBorders>
            <w:vAlign w:val="center"/>
            <w:hideMark/>
          </w:tcPr>
          <w:p w14:paraId="42BE20BF"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120" w:type="dxa"/>
            <w:tcBorders>
              <w:top w:val="nil"/>
              <w:left w:val="nil"/>
              <w:bottom w:val="single" w:sz="8" w:space="0" w:color="auto"/>
              <w:right w:val="nil"/>
            </w:tcBorders>
            <w:shd w:val="clear" w:color="auto" w:fill="auto"/>
            <w:noWrap/>
            <w:vAlign w:val="center"/>
            <w:hideMark/>
          </w:tcPr>
          <w:p w14:paraId="12FB0FB7"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Mutuali</w:t>
            </w:r>
            <w:proofErr w:type="spellEnd"/>
          </w:p>
        </w:tc>
        <w:tc>
          <w:tcPr>
            <w:tcW w:w="1519" w:type="dxa"/>
            <w:tcBorders>
              <w:top w:val="nil"/>
              <w:left w:val="nil"/>
              <w:bottom w:val="single" w:sz="8" w:space="0" w:color="auto"/>
              <w:right w:val="nil"/>
            </w:tcBorders>
            <w:shd w:val="clear" w:color="auto" w:fill="auto"/>
            <w:noWrap/>
            <w:vAlign w:val="center"/>
            <w:hideMark/>
          </w:tcPr>
          <w:p w14:paraId="4496882B"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5DF2A54C" w14:textId="77777777" w:rsidR="007C55D3" w:rsidRPr="00292532" w:rsidRDefault="007C55D3" w:rsidP="007C55D3">
            <w:pPr>
              <w:spacing w:before="0" w:after="0"/>
              <w:jc w:val="left"/>
              <w:rPr>
                <w:rFonts w:asciiTheme="minorHAnsi" w:eastAsia="Times New Roman" w:hAnsiTheme="minorHAnsi" w:cstheme="minorHAnsi"/>
                <w:color w:val="000000"/>
                <w:lang w:val="pt-PT"/>
              </w:rPr>
            </w:pPr>
            <w:r w:rsidRPr="00292532">
              <w:rPr>
                <w:rFonts w:asciiTheme="minorHAnsi" w:eastAsia="Times New Roman" w:hAnsiTheme="minorHAnsi" w:cstheme="minorHAnsi"/>
                <w:color w:val="000000"/>
                <w:lang w:val="pt-PT"/>
              </w:rPr>
              <w:t> </w:t>
            </w:r>
          </w:p>
        </w:tc>
      </w:tr>
      <w:tr w:rsidR="007C55D3" w:rsidRPr="00292532" w14:paraId="7C8989EB" w14:textId="77777777" w:rsidTr="004E2F56">
        <w:trPr>
          <w:trHeight w:val="300"/>
        </w:trPr>
        <w:tc>
          <w:tcPr>
            <w:tcW w:w="822" w:type="dxa"/>
            <w:tcBorders>
              <w:top w:val="nil"/>
              <w:left w:val="nil"/>
              <w:bottom w:val="single" w:sz="8" w:space="0" w:color="auto"/>
              <w:right w:val="nil"/>
            </w:tcBorders>
            <w:shd w:val="clear" w:color="auto" w:fill="auto"/>
            <w:noWrap/>
            <w:vAlign w:val="center"/>
            <w:hideMark/>
          </w:tcPr>
          <w:p w14:paraId="10EF6531" w14:textId="425CF884"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6</w:t>
            </w:r>
          </w:p>
        </w:tc>
        <w:tc>
          <w:tcPr>
            <w:tcW w:w="991" w:type="dxa"/>
            <w:vMerge/>
            <w:tcBorders>
              <w:top w:val="nil"/>
              <w:left w:val="nil"/>
              <w:bottom w:val="single" w:sz="8" w:space="0" w:color="000000"/>
              <w:right w:val="nil"/>
            </w:tcBorders>
            <w:vAlign w:val="center"/>
            <w:hideMark/>
          </w:tcPr>
          <w:p w14:paraId="4B09B695"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vMerge/>
            <w:tcBorders>
              <w:top w:val="nil"/>
              <w:left w:val="nil"/>
              <w:bottom w:val="single" w:sz="8" w:space="0" w:color="000000"/>
              <w:right w:val="nil"/>
            </w:tcBorders>
            <w:vAlign w:val="center"/>
            <w:hideMark/>
          </w:tcPr>
          <w:p w14:paraId="4EAE4B4B"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120" w:type="dxa"/>
            <w:tcBorders>
              <w:top w:val="nil"/>
              <w:left w:val="nil"/>
              <w:bottom w:val="single" w:sz="8" w:space="0" w:color="auto"/>
              <w:right w:val="nil"/>
            </w:tcBorders>
            <w:shd w:val="clear" w:color="auto" w:fill="auto"/>
            <w:noWrap/>
            <w:vAlign w:val="center"/>
            <w:hideMark/>
          </w:tcPr>
          <w:p w14:paraId="0F8B5BEF"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Nioce</w:t>
            </w:r>
            <w:proofErr w:type="spellEnd"/>
          </w:p>
        </w:tc>
        <w:tc>
          <w:tcPr>
            <w:tcW w:w="1519" w:type="dxa"/>
            <w:tcBorders>
              <w:top w:val="nil"/>
              <w:left w:val="nil"/>
              <w:bottom w:val="single" w:sz="8" w:space="0" w:color="auto"/>
              <w:right w:val="nil"/>
            </w:tcBorders>
            <w:shd w:val="clear" w:color="auto" w:fill="auto"/>
            <w:noWrap/>
            <w:vAlign w:val="center"/>
            <w:hideMark/>
          </w:tcPr>
          <w:p w14:paraId="70529193"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2AA7A59F"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7C55D3" w:rsidRPr="00292532" w14:paraId="2584010D" w14:textId="77777777" w:rsidTr="004E2F56">
        <w:trPr>
          <w:trHeight w:val="300"/>
        </w:trPr>
        <w:tc>
          <w:tcPr>
            <w:tcW w:w="822" w:type="dxa"/>
            <w:tcBorders>
              <w:top w:val="nil"/>
              <w:left w:val="nil"/>
              <w:bottom w:val="single" w:sz="8" w:space="0" w:color="auto"/>
              <w:right w:val="nil"/>
            </w:tcBorders>
            <w:shd w:val="clear" w:color="auto" w:fill="auto"/>
            <w:noWrap/>
            <w:vAlign w:val="center"/>
            <w:hideMark/>
          </w:tcPr>
          <w:p w14:paraId="18CB57A6" w14:textId="03B6A8F0"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7</w:t>
            </w:r>
          </w:p>
        </w:tc>
        <w:tc>
          <w:tcPr>
            <w:tcW w:w="991" w:type="dxa"/>
            <w:vMerge/>
            <w:tcBorders>
              <w:top w:val="nil"/>
              <w:left w:val="nil"/>
              <w:bottom w:val="single" w:sz="8" w:space="0" w:color="000000"/>
              <w:right w:val="nil"/>
            </w:tcBorders>
            <w:vAlign w:val="center"/>
            <w:hideMark/>
          </w:tcPr>
          <w:p w14:paraId="4BEE3479"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tcBorders>
              <w:top w:val="nil"/>
              <w:left w:val="nil"/>
              <w:bottom w:val="single" w:sz="8" w:space="0" w:color="auto"/>
              <w:right w:val="nil"/>
            </w:tcBorders>
            <w:shd w:val="clear" w:color="auto" w:fill="auto"/>
            <w:noWrap/>
            <w:vAlign w:val="center"/>
            <w:hideMark/>
          </w:tcPr>
          <w:p w14:paraId="0C5FF681"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Meconta</w:t>
            </w:r>
          </w:p>
        </w:tc>
        <w:tc>
          <w:tcPr>
            <w:tcW w:w="2120" w:type="dxa"/>
            <w:tcBorders>
              <w:top w:val="nil"/>
              <w:left w:val="nil"/>
              <w:bottom w:val="single" w:sz="8" w:space="0" w:color="auto"/>
              <w:right w:val="nil"/>
            </w:tcBorders>
            <w:shd w:val="clear" w:color="auto" w:fill="auto"/>
            <w:noWrap/>
            <w:vAlign w:val="center"/>
            <w:hideMark/>
          </w:tcPr>
          <w:p w14:paraId="58805F98"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Namialo</w:t>
            </w:r>
            <w:proofErr w:type="spellEnd"/>
          </w:p>
        </w:tc>
        <w:tc>
          <w:tcPr>
            <w:tcW w:w="1519" w:type="dxa"/>
            <w:tcBorders>
              <w:top w:val="nil"/>
              <w:left w:val="nil"/>
              <w:bottom w:val="single" w:sz="8" w:space="0" w:color="auto"/>
              <w:right w:val="nil"/>
            </w:tcBorders>
            <w:shd w:val="clear" w:color="auto" w:fill="auto"/>
            <w:noWrap/>
            <w:vAlign w:val="center"/>
            <w:hideMark/>
          </w:tcPr>
          <w:p w14:paraId="4FE034EA"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675AE805"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r>
      <w:tr w:rsidR="007C55D3" w:rsidRPr="00292532" w14:paraId="370F6EEA" w14:textId="77777777" w:rsidTr="004E2F56">
        <w:trPr>
          <w:trHeight w:val="300"/>
        </w:trPr>
        <w:tc>
          <w:tcPr>
            <w:tcW w:w="822" w:type="dxa"/>
            <w:tcBorders>
              <w:top w:val="nil"/>
              <w:left w:val="nil"/>
              <w:bottom w:val="single" w:sz="8" w:space="0" w:color="auto"/>
              <w:right w:val="nil"/>
            </w:tcBorders>
            <w:shd w:val="clear" w:color="auto" w:fill="auto"/>
            <w:noWrap/>
            <w:vAlign w:val="center"/>
            <w:hideMark/>
          </w:tcPr>
          <w:p w14:paraId="54292584" w14:textId="117BAF85"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8</w:t>
            </w:r>
          </w:p>
        </w:tc>
        <w:tc>
          <w:tcPr>
            <w:tcW w:w="991" w:type="dxa"/>
            <w:vMerge/>
            <w:tcBorders>
              <w:top w:val="nil"/>
              <w:left w:val="nil"/>
              <w:bottom w:val="single" w:sz="8" w:space="0" w:color="000000"/>
              <w:right w:val="nil"/>
            </w:tcBorders>
            <w:vAlign w:val="center"/>
            <w:hideMark/>
          </w:tcPr>
          <w:p w14:paraId="499111F8"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tcBorders>
              <w:top w:val="nil"/>
              <w:left w:val="nil"/>
              <w:bottom w:val="single" w:sz="8" w:space="0" w:color="auto"/>
              <w:right w:val="nil"/>
            </w:tcBorders>
            <w:shd w:val="clear" w:color="auto" w:fill="auto"/>
            <w:noWrap/>
            <w:vAlign w:val="center"/>
            <w:hideMark/>
          </w:tcPr>
          <w:p w14:paraId="5D6B28D7"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Nametil</w:t>
            </w:r>
            <w:proofErr w:type="spellEnd"/>
          </w:p>
        </w:tc>
        <w:tc>
          <w:tcPr>
            <w:tcW w:w="2120" w:type="dxa"/>
            <w:tcBorders>
              <w:top w:val="nil"/>
              <w:left w:val="nil"/>
              <w:bottom w:val="single" w:sz="8" w:space="0" w:color="auto"/>
              <w:right w:val="nil"/>
            </w:tcBorders>
            <w:shd w:val="clear" w:color="auto" w:fill="auto"/>
            <w:noWrap/>
            <w:vAlign w:val="center"/>
            <w:hideMark/>
          </w:tcPr>
          <w:p w14:paraId="730AA076"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Nametil</w:t>
            </w:r>
            <w:proofErr w:type="spellEnd"/>
          </w:p>
        </w:tc>
        <w:tc>
          <w:tcPr>
            <w:tcW w:w="1519" w:type="dxa"/>
            <w:tcBorders>
              <w:top w:val="nil"/>
              <w:left w:val="nil"/>
              <w:bottom w:val="single" w:sz="8" w:space="0" w:color="auto"/>
              <w:right w:val="nil"/>
            </w:tcBorders>
            <w:shd w:val="clear" w:color="auto" w:fill="auto"/>
            <w:noWrap/>
            <w:vAlign w:val="center"/>
            <w:hideMark/>
          </w:tcPr>
          <w:p w14:paraId="79BABF55"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0C4B1273"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r>
      <w:tr w:rsidR="007C55D3" w:rsidRPr="00292532" w14:paraId="37ACF75A" w14:textId="77777777" w:rsidTr="00941934">
        <w:trPr>
          <w:trHeight w:val="300"/>
        </w:trPr>
        <w:tc>
          <w:tcPr>
            <w:tcW w:w="822" w:type="dxa"/>
            <w:tcBorders>
              <w:top w:val="nil"/>
              <w:left w:val="nil"/>
              <w:bottom w:val="single" w:sz="8" w:space="0" w:color="auto"/>
              <w:right w:val="nil"/>
            </w:tcBorders>
            <w:shd w:val="clear" w:color="auto" w:fill="auto"/>
            <w:noWrap/>
            <w:vAlign w:val="center"/>
            <w:hideMark/>
          </w:tcPr>
          <w:p w14:paraId="661ED621" w14:textId="51093ADC"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9</w:t>
            </w:r>
          </w:p>
        </w:tc>
        <w:tc>
          <w:tcPr>
            <w:tcW w:w="991" w:type="dxa"/>
            <w:vMerge/>
            <w:tcBorders>
              <w:top w:val="nil"/>
              <w:left w:val="nil"/>
              <w:bottom w:val="single" w:sz="8" w:space="0" w:color="000000"/>
              <w:right w:val="nil"/>
            </w:tcBorders>
            <w:vAlign w:val="center"/>
            <w:hideMark/>
          </w:tcPr>
          <w:p w14:paraId="4809A8FF"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vMerge w:val="restart"/>
            <w:tcBorders>
              <w:top w:val="nil"/>
              <w:left w:val="nil"/>
              <w:bottom w:val="single" w:sz="8" w:space="0" w:color="000000"/>
              <w:right w:val="nil"/>
            </w:tcBorders>
            <w:shd w:val="clear" w:color="auto" w:fill="auto"/>
            <w:noWrap/>
            <w:vAlign w:val="center"/>
            <w:hideMark/>
          </w:tcPr>
          <w:p w14:paraId="35A525E4"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Moma</w:t>
            </w:r>
          </w:p>
        </w:tc>
        <w:tc>
          <w:tcPr>
            <w:tcW w:w="2120" w:type="dxa"/>
            <w:tcBorders>
              <w:top w:val="nil"/>
              <w:left w:val="nil"/>
              <w:bottom w:val="single" w:sz="8" w:space="0" w:color="auto"/>
              <w:right w:val="nil"/>
            </w:tcBorders>
            <w:shd w:val="clear" w:color="auto" w:fill="auto"/>
            <w:noWrap/>
            <w:vAlign w:val="center"/>
          </w:tcPr>
          <w:p w14:paraId="1BAB5AD8" w14:textId="6FBFCC04"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Mecane-Mpaco</w:t>
            </w:r>
            <w:proofErr w:type="spellEnd"/>
          </w:p>
        </w:tc>
        <w:tc>
          <w:tcPr>
            <w:tcW w:w="1519" w:type="dxa"/>
            <w:tcBorders>
              <w:top w:val="nil"/>
              <w:left w:val="nil"/>
              <w:bottom w:val="single" w:sz="8" w:space="0" w:color="auto"/>
              <w:right w:val="nil"/>
            </w:tcBorders>
            <w:shd w:val="clear" w:color="auto" w:fill="auto"/>
            <w:noWrap/>
            <w:vAlign w:val="center"/>
          </w:tcPr>
          <w:p w14:paraId="17C8E118" w14:textId="1C367F42"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tcPr>
          <w:p w14:paraId="10701A48" w14:textId="6A23F6F1"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p>
        </w:tc>
      </w:tr>
      <w:tr w:rsidR="007C55D3" w:rsidRPr="00292532" w14:paraId="30C6B2D9"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0199FE35" w14:textId="00C56069"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10</w:t>
            </w:r>
          </w:p>
        </w:tc>
        <w:tc>
          <w:tcPr>
            <w:tcW w:w="991" w:type="dxa"/>
            <w:vMerge/>
            <w:tcBorders>
              <w:top w:val="nil"/>
              <w:left w:val="nil"/>
              <w:bottom w:val="single" w:sz="8" w:space="0" w:color="000000"/>
              <w:right w:val="nil"/>
            </w:tcBorders>
            <w:vAlign w:val="center"/>
            <w:hideMark/>
          </w:tcPr>
          <w:p w14:paraId="0BB9E7D0"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vMerge/>
            <w:tcBorders>
              <w:top w:val="nil"/>
              <w:left w:val="nil"/>
              <w:bottom w:val="single" w:sz="8" w:space="0" w:color="000000"/>
              <w:right w:val="nil"/>
            </w:tcBorders>
            <w:vAlign w:val="center"/>
            <w:hideMark/>
          </w:tcPr>
          <w:p w14:paraId="75FEBEA6"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120" w:type="dxa"/>
            <w:tcBorders>
              <w:top w:val="nil"/>
              <w:left w:val="nil"/>
              <w:bottom w:val="single" w:sz="8" w:space="0" w:color="auto"/>
              <w:right w:val="nil"/>
            </w:tcBorders>
            <w:shd w:val="clear" w:color="auto" w:fill="auto"/>
            <w:noWrap/>
            <w:vAlign w:val="center"/>
            <w:hideMark/>
          </w:tcPr>
          <w:p w14:paraId="48E4D277"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Moma</w:t>
            </w:r>
          </w:p>
        </w:tc>
        <w:tc>
          <w:tcPr>
            <w:tcW w:w="1519" w:type="dxa"/>
            <w:tcBorders>
              <w:top w:val="nil"/>
              <w:left w:val="nil"/>
              <w:bottom w:val="single" w:sz="8" w:space="0" w:color="auto"/>
              <w:right w:val="nil"/>
            </w:tcBorders>
            <w:shd w:val="clear" w:color="auto" w:fill="auto"/>
            <w:noWrap/>
            <w:vAlign w:val="center"/>
            <w:hideMark/>
          </w:tcPr>
          <w:p w14:paraId="0D6AED89"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5A274D20"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r>
      <w:tr w:rsidR="007C55D3" w:rsidRPr="00292532" w14:paraId="2A1519DB"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13BBFE47" w14:textId="2F103BFE"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11</w:t>
            </w:r>
          </w:p>
        </w:tc>
        <w:tc>
          <w:tcPr>
            <w:tcW w:w="991" w:type="dxa"/>
            <w:vMerge/>
            <w:tcBorders>
              <w:top w:val="nil"/>
              <w:left w:val="nil"/>
              <w:bottom w:val="single" w:sz="8" w:space="0" w:color="000000"/>
              <w:right w:val="nil"/>
            </w:tcBorders>
            <w:vAlign w:val="center"/>
            <w:hideMark/>
          </w:tcPr>
          <w:p w14:paraId="2E169E18"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tcBorders>
              <w:top w:val="nil"/>
              <w:left w:val="nil"/>
              <w:bottom w:val="single" w:sz="8" w:space="0" w:color="auto"/>
              <w:right w:val="nil"/>
            </w:tcBorders>
            <w:shd w:val="clear" w:color="auto" w:fill="auto"/>
            <w:noWrap/>
            <w:vAlign w:val="center"/>
            <w:hideMark/>
          </w:tcPr>
          <w:p w14:paraId="34BBD051"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Rapale</w:t>
            </w:r>
            <w:proofErr w:type="spellEnd"/>
          </w:p>
        </w:tc>
        <w:tc>
          <w:tcPr>
            <w:tcW w:w="2120" w:type="dxa"/>
            <w:tcBorders>
              <w:top w:val="nil"/>
              <w:left w:val="nil"/>
              <w:bottom w:val="single" w:sz="8" w:space="0" w:color="auto"/>
              <w:right w:val="nil"/>
            </w:tcBorders>
            <w:shd w:val="clear" w:color="auto" w:fill="auto"/>
            <w:noWrap/>
            <w:vAlign w:val="center"/>
            <w:hideMark/>
          </w:tcPr>
          <w:p w14:paraId="243385D9"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Rapale</w:t>
            </w:r>
            <w:proofErr w:type="spellEnd"/>
          </w:p>
        </w:tc>
        <w:tc>
          <w:tcPr>
            <w:tcW w:w="1519" w:type="dxa"/>
            <w:tcBorders>
              <w:top w:val="nil"/>
              <w:left w:val="nil"/>
              <w:bottom w:val="single" w:sz="8" w:space="0" w:color="auto"/>
              <w:right w:val="nil"/>
            </w:tcBorders>
            <w:shd w:val="clear" w:color="auto" w:fill="auto"/>
            <w:noWrap/>
            <w:vAlign w:val="center"/>
            <w:hideMark/>
          </w:tcPr>
          <w:p w14:paraId="67A2A82D"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661AB816"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r>
      <w:tr w:rsidR="007C55D3" w:rsidRPr="00292532" w14:paraId="78645C1E"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068DB5B0" w14:textId="1CDA3A52"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12</w:t>
            </w:r>
          </w:p>
        </w:tc>
        <w:tc>
          <w:tcPr>
            <w:tcW w:w="991" w:type="dxa"/>
            <w:vMerge/>
            <w:tcBorders>
              <w:top w:val="nil"/>
              <w:left w:val="nil"/>
              <w:bottom w:val="single" w:sz="8" w:space="0" w:color="000000"/>
              <w:right w:val="nil"/>
            </w:tcBorders>
            <w:vAlign w:val="center"/>
            <w:hideMark/>
          </w:tcPr>
          <w:p w14:paraId="057FCD39"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tcBorders>
              <w:top w:val="nil"/>
              <w:left w:val="nil"/>
              <w:bottom w:val="single" w:sz="8" w:space="0" w:color="auto"/>
              <w:right w:val="nil"/>
            </w:tcBorders>
            <w:shd w:val="clear" w:color="auto" w:fill="auto"/>
            <w:noWrap/>
            <w:vAlign w:val="center"/>
            <w:hideMark/>
          </w:tcPr>
          <w:p w14:paraId="12F0C499"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Nacaroa</w:t>
            </w:r>
            <w:proofErr w:type="spellEnd"/>
          </w:p>
        </w:tc>
        <w:tc>
          <w:tcPr>
            <w:tcW w:w="2120" w:type="dxa"/>
            <w:tcBorders>
              <w:top w:val="nil"/>
              <w:left w:val="nil"/>
              <w:bottom w:val="single" w:sz="8" w:space="0" w:color="auto"/>
              <w:right w:val="nil"/>
            </w:tcBorders>
            <w:shd w:val="clear" w:color="auto" w:fill="auto"/>
            <w:noWrap/>
            <w:vAlign w:val="center"/>
            <w:hideMark/>
          </w:tcPr>
          <w:p w14:paraId="39B2E099"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Nacaroa</w:t>
            </w:r>
            <w:proofErr w:type="spellEnd"/>
          </w:p>
        </w:tc>
        <w:tc>
          <w:tcPr>
            <w:tcW w:w="1519" w:type="dxa"/>
            <w:tcBorders>
              <w:top w:val="nil"/>
              <w:left w:val="nil"/>
              <w:bottom w:val="single" w:sz="8" w:space="0" w:color="auto"/>
              <w:right w:val="nil"/>
            </w:tcBorders>
            <w:shd w:val="clear" w:color="auto" w:fill="auto"/>
            <w:noWrap/>
            <w:vAlign w:val="center"/>
            <w:hideMark/>
          </w:tcPr>
          <w:p w14:paraId="1E5F1E35"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42169BD0"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r>
      <w:tr w:rsidR="007C55D3" w:rsidRPr="00292532" w14:paraId="5E6BB8D7"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3D2ED7C5" w14:textId="7AFC1FDC"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13</w:t>
            </w:r>
          </w:p>
        </w:tc>
        <w:tc>
          <w:tcPr>
            <w:tcW w:w="991" w:type="dxa"/>
            <w:vMerge/>
            <w:tcBorders>
              <w:top w:val="nil"/>
              <w:left w:val="nil"/>
              <w:bottom w:val="single" w:sz="8" w:space="0" w:color="000000"/>
              <w:right w:val="nil"/>
            </w:tcBorders>
            <w:vAlign w:val="center"/>
            <w:hideMark/>
          </w:tcPr>
          <w:p w14:paraId="4918778F"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vMerge w:val="restart"/>
            <w:tcBorders>
              <w:top w:val="nil"/>
              <w:left w:val="nil"/>
              <w:bottom w:val="single" w:sz="8" w:space="0" w:color="000000"/>
              <w:right w:val="nil"/>
            </w:tcBorders>
            <w:shd w:val="clear" w:color="auto" w:fill="auto"/>
            <w:noWrap/>
            <w:vAlign w:val="center"/>
            <w:hideMark/>
          </w:tcPr>
          <w:p w14:paraId="4AAF7E5E"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Mecuburi</w:t>
            </w:r>
            <w:proofErr w:type="spellEnd"/>
          </w:p>
        </w:tc>
        <w:tc>
          <w:tcPr>
            <w:tcW w:w="2120" w:type="dxa"/>
            <w:tcBorders>
              <w:top w:val="nil"/>
              <w:left w:val="nil"/>
              <w:bottom w:val="single" w:sz="8" w:space="0" w:color="auto"/>
              <w:right w:val="nil"/>
            </w:tcBorders>
            <w:shd w:val="clear" w:color="auto" w:fill="auto"/>
            <w:noWrap/>
            <w:vAlign w:val="center"/>
            <w:hideMark/>
          </w:tcPr>
          <w:p w14:paraId="498FB8AF"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Muiti</w:t>
            </w:r>
            <w:proofErr w:type="spellEnd"/>
          </w:p>
        </w:tc>
        <w:tc>
          <w:tcPr>
            <w:tcW w:w="1519" w:type="dxa"/>
            <w:tcBorders>
              <w:top w:val="nil"/>
              <w:left w:val="nil"/>
              <w:bottom w:val="single" w:sz="8" w:space="0" w:color="auto"/>
              <w:right w:val="nil"/>
            </w:tcBorders>
            <w:shd w:val="clear" w:color="auto" w:fill="auto"/>
            <w:noWrap/>
            <w:vAlign w:val="center"/>
            <w:hideMark/>
          </w:tcPr>
          <w:p w14:paraId="29ACF7EE"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6BB01D94"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7C55D3" w:rsidRPr="00292532" w14:paraId="5EC49AD3"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659EF688" w14:textId="355F28BB"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14</w:t>
            </w:r>
          </w:p>
        </w:tc>
        <w:tc>
          <w:tcPr>
            <w:tcW w:w="991" w:type="dxa"/>
            <w:vMerge/>
            <w:tcBorders>
              <w:top w:val="nil"/>
              <w:left w:val="nil"/>
              <w:bottom w:val="single" w:sz="8" w:space="0" w:color="000000"/>
              <w:right w:val="nil"/>
            </w:tcBorders>
            <w:vAlign w:val="center"/>
            <w:hideMark/>
          </w:tcPr>
          <w:p w14:paraId="1E64A4DD"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vMerge/>
            <w:tcBorders>
              <w:top w:val="nil"/>
              <w:left w:val="nil"/>
              <w:bottom w:val="single" w:sz="8" w:space="0" w:color="000000"/>
              <w:right w:val="nil"/>
            </w:tcBorders>
            <w:vAlign w:val="center"/>
            <w:hideMark/>
          </w:tcPr>
          <w:p w14:paraId="16156384"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120" w:type="dxa"/>
            <w:tcBorders>
              <w:top w:val="nil"/>
              <w:left w:val="nil"/>
              <w:bottom w:val="single" w:sz="8" w:space="0" w:color="auto"/>
              <w:right w:val="nil"/>
            </w:tcBorders>
            <w:shd w:val="clear" w:color="auto" w:fill="auto"/>
            <w:noWrap/>
            <w:vAlign w:val="center"/>
            <w:hideMark/>
          </w:tcPr>
          <w:p w14:paraId="4D977F64"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Mecuburi</w:t>
            </w:r>
            <w:proofErr w:type="spellEnd"/>
          </w:p>
        </w:tc>
        <w:tc>
          <w:tcPr>
            <w:tcW w:w="1519" w:type="dxa"/>
            <w:tcBorders>
              <w:top w:val="nil"/>
              <w:left w:val="nil"/>
              <w:bottom w:val="single" w:sz="8" w:space="0" w:color="auto"/>
              <w:right w:val="nil"/>
            </w:tcBorders>
            <w:shd w:val="clear" w:color="auto" w:fill="auto"/>
            <w:noWrap/>
            <w:vAlign w:val="center"/>
            <w:hideMark/>
          </w:tcPr>
          <w:p w14:paraId="47FF0142"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1CE02A54"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r>
      <w:tr w:rsidR="007C55D3" w:rsidRPr="00292532" w14:paraId="0262E106"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37748757" w14:textId="1EAA5C16"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15</w:t>
            </w:r>
          </w:p>
        </w:tc>
        <w:tc>
          <w:tcPr>
            <w:tcW w:w="991" w:type="dxa"/>
            <w:vMerge/>
            <w:tcBorders>
              <w:top w:val="nil"/>
              <w:left w:val="nil"/>
              <w:bottom w:val="single" w:sz="8" w:space="0" w:color="000000"/>
              <w:right w:val="nil"/>
            </w:tcBorders>
            <w:vAlign w:val="center"/>
            <w:hideMark/>
          </w:tcPr>
          <w:p w14:paraId="0C78E3A9"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tcBorders>
              <w:top w:val="nil"/>
              <w:left w:val="nil"/>
              <w:bottom w:val="single" w:sz="8" w:space="0" w:color="auto"/>
              <w:right w:val="nil"/>
            </w:tcBorders>
            <w:shd w:val="clear" w:color="auto" w:fill="auto"/>
            <w:noWrap/>
            <w:vAlign w:val="center"/>
            <w:hideMark/>
          </w:tcPr>
          <w:p w14:paraId="14C26FB6"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Monapo</w:t>
            </w:r>
            <w:proofErr w:type="spellEnd"/>
          </w:p>
        </w:tc>
        <w:tc>
          <w:tcPr>
            <w:tcW w:w="2120" w:type="dxa"/>
            <w:tcBorders>
              <w:top w:val="nil"/>
              <w:left w:val="nil"/>
              <w:bottom w:val="single" w:sz="8" w:space="0" w:color="auto"/>
              <w:right w:val="nil"/>
            </w:tcBorders>
            <w:shd w:val="clear" w:color="auto" w:fill="auto"/>
            <w:noWrap/>
            <w:vAlign w:val="center"/>
            <w:hideMark/>
          </w:tcPr>
          <w:p w14:paraId="02445E21"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Carapira</w:t>
            </w:r>
            <w:proofErr w:type="spellEnd"/>
          </w:p>
        </w:tc>
        <w:tc>
          <w:tcPr>
            <w:tcW w:w="1519" w:type="dxa"/>
            <w:tcBorders>
              <w:top w:val="nil"/>
              <w:left w:val="nil"/>
              <w:bottom w:val="single" w:sz="8" w:space="0" w:color="auto"/>
              <w:right w:val="nil"/>
            </w:tcBorders>
            <w:shd w:val="clear" w:color="auto" w:fill="auto"/>
            <w:noWrap/>
            <w:vAlign w:val="center"/>
            <w:hideMark/>
          </w:tcPr>
          <w:p w14:paraId="13DBD6A2"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73C5B2A2"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7C55D3" w:rsidRPr="00292532" w14:paraId="084DBE73"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265F5383" w14:textId="089B7CC8"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16</w:t>
            </w:r>
          </w:p>
        </w:tc>
        <w:tc>
          <w:tcPr>
            <w:tcW w:w="991" w:type="dxa"/>
            <w:vMerge/>
            <w:tcBorders>
              <w:top w:val="nil"/>
              <w:left w:val="nil"/>
              <w:bottom w:val="single" w:sz="8" w:space="0" w:color="000000"/>
              <w:right w:val="nil"/>
            </w:tcBorders>
            <w:vAlign w:val="center"/>
            <w:hideMark/>
          </w:tcPr>
          <w:p w14:paraId="32138223"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tcBorders>
              <w:top w:val="nil"/>
              <w:left w:val="nil"/>
              <w:bottom w:val="single" w:sz="8" w:space="0" w:color="000000"/>
              <w:right w:val="nil"/>
            </w:tcBorders>
            <w:shd w:val="clear" w:color="auto" w:fill="auto"/>
            <w:noWrap/>
            <w:vAlign w:val="center"/>
            <w:hideMark/>
          </w:tcPr>
          <w:p w14:paraId="31745660"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Murrupula</w:t>
            </w:r>
            <w:proofErr w:type="spellEnd"/>
          </w:p>
        </w:tc>
        <w:tc>
          <w:tcPr>
            <w:tcW w:w="2120" w:type="dxa"/>
            <w:tcBorders>
              <w:top w:val="nil"/>
              <w:left w:val="nil"/>
              <w:bottom w:val="single" w:sz="8" w:space="0" w:color="auto"/>
              <w:right w:val="nil"/>
            </w:tcBorders>
            <w:shd w:val="clear" w:color="auto" w:fill="auto"/>
            <w:noWrap/>
            <w:vAlign w:val="center"/>
            <w:hideMark/>
          </w:tcPr>
          <w:p w14:paraId="57227CA9"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Namilasse</w:t>
            </w:r>
            <w:proofErr w:type="spellEnd"/>
          </w:p>
        </w:tc>
        <w:tc>
          <w:tcPr>
            <w:tcW w:w="1519" w:type="dxa"/>
            <w:tcBorders>
              <w:top w:val="nil"/>
              <w:left w:val="nil"/>
              <w:bottom w:val="single" w:sz="8" w:space="0" w:color="auto"/>
              <w:right w:val="nil"/>
            </w:tcBorders>
            <w:shd w:val="clear" w:color="auto" w:fill="auto"/>
            <w:noWrap/>
            <w:vAlign w:val="center"/>
            <w:hideMark/>
          </w:tcPr>
          <w:p w14:paraId="61154CCA"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092FC2B8"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7C55D3" w:rsidRPr="00292532" w14:paraId="1AA35914"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5942AB53" w14:textId="500EAE64"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17</w:t>
            </w:r>
          </w:p>
        </w:tc>
        <w:tc>
          <w:tcPr>
            <w:tcW w:w="991" w:type="dxa"/>
            <w:tcBorders>
              <w:top w:val="nil"/>
              <w:left w:val="nil"/>
              <w:bottom w:val="nil"/>
              <w:right w:val="nil"/>
            </w:tcBorders>
            <w:shd w:val="clear" w:color="auto" w:fill="auto"/>
            <w:noWrap/>
            <w:vAlign w:val="center"/>
            <w:hideMark/>
          </w:tcPr>
          <w:p w14:paraId="6DB36372"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p>
        </w:tc>
        <w:tc>
          <w:tcPr>
            <w:tcW w:w="2337" w:type="dxa"/>
            <w:vMerge w:val="restart"/>
            <w:tcBorders>
              <w:top w:val="nil"/>
              <w:left w:val="nil"/>
              <w:bottom w:val="single" w:sz="8" w:space="0" w:color="000000"/>
              <w:right w:val="nil"/>
            </w:tcBorders>
            <w:shd w:val="clear" w:color="auto" w:fill="auto"/>
            <w:noWrap/>
            <w:vAlign w:val="center"/>
            <w:hideMark/>
          </w:tcPr>
          <w:p w14:paraId="15FAF385"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Mocuba</w:t>
            </w:r>
          </w:p>
        </w:tc>
        <w:tc>
          <w:tcPr>
            <w:tcW w:w="2120" w:type="dxa"/>
            <w:tcBorders>
              <w:top w:val="nil"/>
              <w:left w:val="nil"/>
              <w:bottom w:val="single" w:sz="8" w:space="0" w:color="auto"/>
              <w:right w:val="nil"/>
            </w:tcBorders>
            <w:shd w:val="clear" w:color="auto" w:fill="auto"/>
            <w:noWrap/>
            <w:vAlign w:val="center"/>
          </w:tcPr>
          <w:p w14:paraId="575CE665" w14:textId="78250D64"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Mugeba</w:t>
            </w:r>
            <w:proofErr w:type="spellEnd"/>
          </w:p>
        </w:tc>
        <w:tc>
          <w:tcPr>
            <w:tcW w:w="1519" w:type="dxa"/>
            <w:tcBorders>
              <w:top w:val="nil"/>
              <w:left w:val="nil"/>
              <w:bottom w:val="single" w:sz="8" w:space="0" w:color="auto"/>
              <w:right w:val="nil"/>
            </w:tcBorders>
            <w:shd w:val="clear" w:color="auto" w:fill="auto"/>
            <w:noWrap/>
            <w:vAlign w:val="center"/>
          </w:tcPr>
          <w:p w14:paraId="21FF898F" w14:textId="5E4512D6"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p>
        </w:tc>
        <w:tc>
          <w:tcPr>
            <w:tcW w:w="1588" w:type="dxa"/>
            <w:tcBorders>
              <w:top w:val="nil"/>
              <w:left w:val="nil"/>
              <w:bottom w:val="single" w:sz="8" w:space="0" w:color="auto"/>
              <w:right w:val="nil"/>
            </w:tcBorders>
            <w:shd w:val="clear" w:color="auto" w:fill="auto"/>
            <w:noWrap/>
            <w:vAlign w:val="center"/>
            <w:hideMark/>
          </w:tcPr>
          <w:p w14:paraId="634CF6C2"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7C55D3" w:rsidRPr="00292532" w14:paraId="57025CEC"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601B33E7" w14:textId="1AF073C9"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18</w:t>
            </w:r>
          </w:p>
        </w:tc>
        <w:tc>
          <w:tcPr>
            <w:tcW w:w="991" w:type="dxa"/>
            <w:vMerge w:val="restart"/>
            <w:tcBorders>
              <w:top w:val="nil"/>
              <w:left w:val="nil"/>
              <w:bottom w:val="single" w:sz="8" w:space="0" w:color="000000"/>
              <w:right w:val="nil"/>
            </w:tcBorders>
            <w:vAlign w:val="center"/>
            <w:hideMark/>
          </w:tcPr>
          <w:p w14:paraId="0EA319BC"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vMerge/>
            <w:tcBorders>
              <w:top w:val="nil"/>
              <w:left w:val="nil"/>
              <w:bottom w:val="single" w:sz="8" w:space="0" w:color="000000"/>
              <w:right w:val="nil"/>
            </w:tcBorders>
            <w:vAlign w:val="center"/>
            <w:hideMark/>
          </w:tcPr>
          <w:p w14:paraId="221EFB98"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120" w:type="dxa"/>
            <w:tcBorders>
              <w:top w:val="nil"/>
              <w:left w:val="nil"/>
              <w:bottom w:val="single" w:sz="8" w:space="0" w:color="auto"/>
              <w:right w:val="nil"/>
            </w:tcBorders>
            <w:shd w:val="clear" w:color="auto" w:fill="auto"/>
            <w:noWrap/>
            <w:vAlign w:val="center"/>
            <w:hideMark/>
          </w:tcPr>
          <w:p w14:paraId="19A6B5D6"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Namacura</w:t>
            </w:r>
            <w:proofErr w:type="spellEnd"/>
          </w:p>
        </w:tc>
        <w:tc>
          <w:tcPr>
            <w:tcW w:w="1519" w:type="dxa"/>
            <w:tcBorders>
              <w:top w:val="nil"/>
              <w:left w:val="nil"/>
              <w:bottom w:val="single" w:sz="8" w:space="0" w:color="auto"/>
              <w:right w:val="nil"/>
            </w:tcBorders>
            <w:shd w:val="clear" w:color="auto" w:fill="auto"/>
            <w:noWrap/>
            <w:vAlign w:val="center"/>
            <w:hideMark/>
          </w:tcPr>
          <w:p w14:paraId="2B9A8E63"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635535EB"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r>
      <w:tr w:rsidR="007C55D3" w:rsidRPr="00292532" w14:paraId="36E03D48"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2E1003E2" w14:textId="1596A9E8"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19</w:t>
            </w:r>
          </w:p>
        </w:tc>
        <w:tc>
          <w:tcPr>
            <w:tcW w:w="991" w:type="dxa"/>
            <w:vMerge/>
            <w:tcBorders>
              <w:top w:val="nil"/>
              <w:left w:val="nil"/>
              <w:bottom w:val="single" w:sz="8" w:space="0" w:color="000000"/>
              <w:right w:val="nil"/>
            </w:tcBorders>
            <w:vAlign w:val="center"/>
            <w:hideMark/>
          </w:tcPr>
          <w:p w14:paraId="3771D203"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tcBorders>
              <w:top w:val="nil"/>
              <w:left w:val="nil"/>
              <w:bottom w:val="single" w:sz="8" w:space="0" w:color="auto"/>
              <w:right w:val="nil"/>
            </w:tcBorders>
            <w:shd w:val="clear" w:color="auto" w:fill="auto"/>
            <w:noWrap/>
            <w:vAlign w:val="center"/>
            <w:hideMark/>
          </w:tcPr>
          <w:p w14:paraId="24929FEC"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Namaroi</w:t>
            </w:r>
            <w:proofErr w:type="spellEnd"/>
          </w:p>
        </w:tc>
        <w:tc>
          <w:tcPr>
            <w:tcW w:w="2120" w:type="dxa"/>
            <w:tcBorders>
              <w:top w:val="nil"/>
              <w:left w:val="nil"/>
              <w:bottom w:val="single" w:sz="8" w:space="0" w:color="auto"/>
              <w:right w:val="nil"/>
            </w:tcBorders>
            <w:shd w:val="clear" w:color="auto" w:fill="auto"/>
            <w:noWrap/>
            <w:vAlign w:val="center"/>
            <w:hideMark/>
          </w:tcPr>
          <w:p w14:paraId="280DEA9E"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Namaroi</w:t>
            </w:r>
            <w:proofErr w:type="spellEnd"/>
          </w:p>
        </w:tc>
        <w:tc>
          <w:tcPr>
            <w:tcW w:w="1519" w:type="dxa"/>
            <w:tcBorders>
              <w:top w:val="nil"/>
              <w:left w:val="nil"/>
              <w:bottom w:val="single" w:sz="8" w:space="0" w:color="auto"/>
              <w:right w:val="nil"/>
            </w:tcBorders>
            <w:shd w:val="clear" w:color="auto" w:fill="auto"/>
            <w:noWrap/>
            <w:vAlign w:val="center"/>
            <w:hideMark/>
          </w:tcPr>
          <w:p w14:paraId="38EE669F"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2CE3B695"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r>
      <w:tr w:rsidR="007C55D3" w:rsidRPr="00292532" w14:paraId="4DC78BD2"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539BD41D" w14:textId="5000F27C"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20</w:t>
            </w:r>
          </w:p>
        </w:tc>
        <w:tc>
          <w:tcPr>
            <w:tcW w:w="991" w:type="dxa"/>
            <w:vMerge/>
            <w:tcBorders>
              <w:top w:val="nil"/>
              <w:left w:val="nil"/>
              <w:bottom w:val="single" w:sz="8" w:space="0" w:color="000000"/>
              <w:right w:val="nil"/>
            </w:tcBorders>
            <w:vAlign w:val="center"/>
            <w:hideMark/>
          </w:tcPr>
          <w:p w14:paraId="1C253806"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vMerge w:val="restart"/>
            <w:tcBorders>
              <w:top w:val="nil"/>
              <w:left w:val="nil"/>
              <w:bottom w:val="single" w:sz="8" w:space="0" w:color="000000"/>
              <w:right w:val="nil"/>
            </w:tcBorders>
            <w:shd w:val="clear" w:color="auto" w:fill="auto"/>
            <w:noWrap/>
            <w:vAlign w:val="center"/>
            <w:hideMark/>
          </w:tcPr>
          <w:p w14:paraId="5AE30FB3"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Lugela</w:t>
            </w:r>
          </w:p>
        </w:tc>
        <w:tc>
          <w:tcPr>
            <w:tcW w:w="2120" w:type="dxa"/>
            <w:tcBorders>
              <w:top w:val="nil"/>
              <w:left w:val="nil"/>
              <w:bottom w:val="single" w:sz="8" w:space="0" w:color="auto"/>
              <w:right w:val="nil"/>
            </w:tcBorders>
            <w:shd w:val="clear" w:color="auto" w:fill="auto"/>
            <w:noWrap/>
            <w:vAlign w:val="center"/>
            <w:hideMark/>
          </w:tcPr>
          <w:p w14:paraId="53DE37D8"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Munhamade</w:t>
            </w:r>
            <w:proofErr w:type="spellEnd"/>
          </w:p>
        </w:tc>
        <w:tc>
          <w:tcPr>
            <w:tcW w:w="1519" w:type="dxa"/>
            <w:tcBorders>
              <w:top w:val="nil"/>
              <w:left w:val="nil"/>
              <w:bottom w:val="single" w:sz="8" w:space="0" w:color="auto"/>
              <w:right w:val="nil"/>
            </w:tcBorders>
            <w:shd w:val="clear" w:color="auto" w:fill="auto"/>
            <w:noWrap/>
            <w:vAlign w:val="center"/>
            <w:hideMark/>
          </w:tcPr>
          <w:p w14:paraId="0F112FF0"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2168D531"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7C55D3" w:rsidRPr="00292532" w14:paraId="463F0798"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7B4BDB04" w14:textId="4F636AA5"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21</w:t>
            </w:r>
          </w:p>
        </w:tc>
        <w:tc>
          <w:tcPr>
            <w:tcW w:w="991" w:type="dxa"/>
            <w:vMerge/>
            <w:tcBorders>
              <w:top w:val="nil"/>
              <w:left w:val="nil"/>
              <w:bottom w:val="single" w:sz="8" w:space="0" w:color="000000"/>
              <w:right w:val="nil"/>
            </w:tcBorders>
            <w:vAlign w:val="center"/>
            <w:hideMark/>
          </w:tcPr>
          <w:p w14:paraId="281E1F97"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vMerge/>
            <w:tcBorders>
              <w:top w:val="nil"/>
              <w:left w:val="nil"/>
              <w:bottom w:val="single" w:sz="8" w:space="0" w:color="000000"/>
              <w:right w:val="nil"/>
            </w:tcBorders>
            <w:vAlign w:val="center"/>
            <w:hideMark/>
          </w:tcPr>
          <w:p w14:paraId="26AEB681"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120" w:type="dxa"/>
            <w:tcBorders>
              <w:top w:val="nil"/>
              <w:left w:val="nil"/>
              <w:bottom w:val="single" w:sz="8" w:space="0" w:color="auto"/>
              <w:right w:val="nil"/>
            </w:tcBorders>
            <w:shd w:val="clear" w:color="auto" w:fill="auto"/>
            <w:noWrap/>
            <w:vAlign w:val="center"/>
            <w:hideMark/>
          </w:tcPr>
          <w:p w14:paraId="179C33C1"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Tacuane</w:t>
            </w:r>
            <w:proofErr w:type="spellEnd"/>
          </w:p>
        </w:tc>
        <w:tc>
          <w:tcPr>
            <w:tcW w:w="1519" w:type="dxa"/>
            <w:tcBorders>
              <w:top w:val="nil"/>
              <w:left w:val="nil"/>
              <w:bottom w:val="single" w:sz="8" w:space="0" w:color="auto"/>
              <w:right w:val="nil"/>
            </w:tcBorders>
            <w:shd w:val="clear" w:color="auto" w:fill="auto"/>
            <w:noWrap/>
            <w:vAlign w:val="center"/>
            <w:hideMark/>
          </w:tcPr>
          <w:p w14:paraId="5E7A3220"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10E1EC9D"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7C55D3" w:rsidRPr="00292532" w14:paraId="2843ACFE"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7B1333C6" w14:textId="33FF0F7D"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22</w:t>
            </w:r>
          </w:p>
        </w:tc>
        <w:tc>
          <w:tcPr>
            <w:tcW w:w="991" w:type="dxa"/>
            <w:vMerge/>
            <w:tcBorders>
              <w:top w:val="nil"/>
              <w:left w:val="nil"/>
              <w:bottom w:val="single" w:sz="8" w:space="0" w:color="000000"/>
              <w:right w:val="nil"/>
            </w:tcBorders>
            <w:vAlign w:val="center"/>
            <w:hideMark/>
          </w:tcPr>
          <w:p w14:paraId="2AB61FCD"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vMerge/>
            <w:tcBorders>
              <w:top w:val="nil"/>
              <w:left w:val="nil"/>
              <w:bottom w:val="single" w:sz="8" w:space="0" w:color="000000"/>
              <w:right w:val="nil"/>
            </w:tcBorders>
            <w:vAlign w:val="center"/>
            <w:hideMark/>
          </w:tcPr>
          <w:p w14:paraId="27EED277"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120" w:type="dxa"/>
            <w:tcBorders>
              <w:top w:val="nil"/>
              <w:left w:val="nil"/>
              <w:bottom w:val="single" w:sz="8" w:space="0" w:color="auto"/>
              <w:right w:val="nil"/>
            </w:tcBorders>
            <w:shd w:val="clear" w:color="auto" w:fill="auto"/>
            <w:noWrap/>
            <w:vAlign w:val="center"/>
            <w:hideMark/>
          </w:tcPr>
          <w:p w14:paraId="100CF4A7"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Lugela</w:t>
            </w:r>
          </w:p>
        </w:tc>
        <w:tc>
          <w:tcPr>
            <w:tcW w:w="1519" w:type="dxa"/>
            <w:tcBorders>
              <w:top w:val="nil"/>
              <w:left w:val="nil"/>
              <w:bottom w:val="single" w:sz="8" w:space="0" w:color="auto"/>
              <w:right w:val="nil"/>
            </w:tcBorders>
            <w:shd w:val="clear" w:color="auto" w:fill="auto"/>
            <w:noWrap/>
            <w:vAlign w:val="center"/>
            <w:hideMark/>
          </w:tcPr>
          <w:p w14:paraId="5C1260D7"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4819FE75"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r>
      <w:tr w:rsidR="007C55D3" w:rsidRPr="00292532" w14:paraId="00D4A644"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4750419F" w14:textId="5B01F631"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23</w:t>
            </w:r>
          </w:p>
        </w:tc>
        <w:tc>
          <w:tcPr>
            <w:tcW w:w="991" w:type="dxa"/>
            <w:vMerge/>
            <w:tcBorders>
              <w:top w:val="nil"/>
              <w:left w:val="nil"/>
              <w:bottom w:val="single" w:sz="8" w:space="0" w:color="000000"/>
              <w:right w:val="nil"/>
            </w:tcBorders>
            <w:vAlign w:val="center"/>
            <w:hideMark/>
          </w:tcPr>
          <w:p w14:paraId="6CF25730"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vMerge w:val="restart"/>
            <w:tcBorders>
              <w:top w:val="nil"/>
              <w:left w:val="nil"/>
              <w:bottom w:val="single" w:sz="8" w:space="0" w:color="000000"/>
              <w:right w:val="nil"/>
            </w:tcBorders>
            <w:shd w:val="clear" w:color="auto" w:fill="auto"/>
            <w:noWrap/>
            <w:vAlign w:val="center"/>
            <w:hideMark/>
          </w:tcPr>
          <w:p w14:paraId="2807B1E4"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Gilé</w:t>
            </w:r>
          </w:p>
        </w:tc>
        <w:tc>
          <w:tcPr>
            <w:tcW w:w="2120" w:type="dxa"/>
            <w:tcBorders>
              <w:top w:val="nil"/>
              <w:left w:val="nil"/>
              <w:bottom w:val="single" w:sz="8" w:space="0" w:color="auto"/>
              <w:right w:val="nil"/>
            </w:tcBorders>
            <w:shd w:val="clear" w:color="auto" w:fill="auto"/>
            <w:noWrap/>
            <w:vAlign w:val="center"/>
            <w:hideMark/>
          </w:tcPr>
          <w:p w14:paraId="4A404F92"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Moneia</w:t>
            </w:r>
            <w:proofErr w:type="spellEnd"/>
          </w:p>
        </w:tc>
        <w:tc>
          <w:tcPr>
            <w:tcW w:w="1519" w:type="dxa"/>
            <w:tcBorders>
              <w:top w:val="nil"/>
              <w:left w:val="nil"/>
              <w:bottom w:val="single" w:sz="8" w:space="0" w:color="auto"/>
              <w:right w:val="nil"/>
            </w:tcBorders>
            <w:shd w:val="clear" w:color="auto" w:fill="auto"/>
            <w:noWrap/>
            <w:vAlign w:val="center"/>
            <w:hideMark/>
          </w:tcPr>
          <w:p w14:paraId="2039626B"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54815632"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7C55D3" w:rsidRPr="00292532" w14:paraId="4C35EDA0"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78FB39F8" w14:textId="754E9016"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24</w:t>
            </w:r>
          </w:p>
        </w:tc>
        <w:tc>
          <w:tcPr>
            <w:tcW w:w="991" w:type="dxa"/>
            <w:vMerge/>
            <w:tcBorders>
              <w:top w:val="nil"/>
              <w:left w:val="nil"/>
              <w:bottom w:val="single" w:sz="8" w:space="0" w:color="000000"/>
              <w:right w:val="nil"/>
            </w:tcBorders>
            <w:vAlign w:val="center"/>
            <w:hideMark/>
          </w:tcPr>
          <w:p w14:paraId="58EBD2EF"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vMerge/>
            <w:tcBorders>
              <w:top w:val="nil"/>
              <w:left w:val="nil"/>
              <w:bottom w:val="single" w:sz="8" w:space="0" w:color="000000"/>
              <w:right w:val="nil"/>
            </w:tcBorders>
            <w:vAlign w:val="center"/>
            <w:hideMark/>
          </w:tcPr>
          <w:p w14:paraId="6A07F928"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120" w:type="dxa"/>
            <w:tcBorders>
              <w:top w:val="nil"/>
              <w:left w:val="nil"/>
              <w:bottom w:val="single" w:sz="8" w:space="0" w:color="auto"/>
              <w:right w:val="nil"/>
            </w:tcBorders>
            <w:shd w:val="clear" w:color="auto" w:fill="auto"/>
            <w:noWrap/>
            <w:vAlign w:val="center"/>
            <w:hideMark/>
          </w:tcPr>
          <w:p w14:paraId="4EEE67AB"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Gilé</w:t>
            </w:r>
          </w:p>
        </w:tc>
        <w:tc>
          <w:tcPr>
            <w:tcW w:w="1519" w:type="dxa"/>
            <w:tcBorders>
              <w:top w:val="nil"/>
              <w:left w:val="nil"/>
              <w:bottom w:val="single" w:sz="8" w:space="0" w:color="auto"/>
              <w:right w:val="nil"/>
            </w:tcBorders>
            <w:shd w:val="clear" w:color="auto" w:fill="auto"/>
            <w:noWrap/>
            <w:vAlign w:val="center"/>
            <w:hideMark/>
          </w:tcPr>
          <w:p w14:paraId="2B0BF9CB"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057A9F17"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r>
      <w:tr w:rsidR="007C55D3" w:rsidRPr="00292532" w14:paraId="08A13D09"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4BE9FCC6" w14:textId="61FA9779"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25</w:t>
            </w:r>
          </w:p>
        </w:tc>
        <w:tc>
          <w:tcPr>
            <w:tcW w:w="991" w:type="dxa"/>
            <w:vMerge/>
            <w:tcBorders>
              <w:top w:val="nil"/>
              <w:left w:val="nil"/>
              <w:bottom w:val="single" w:sz="8" w:space="0" w:color="000000"/>
              <w:right w:val="nil"/>
            </w:tcBorders>
            <w:vAlign w:val="center"/>
            <w:hideMark/>
          </w:tcPr>
          <w:p w14:paraId="6A93161D"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vMerge w:val="restart"/>
            <w:tcBorders>
              <w:top w:val="nil"/>
              <w:left w:val="nil"/>
              <w:bottom w:val="single" w:sz="8" w:space="0" w:color="000000"/>
              <w:right w:val="nil"/>
            </w:tcBorders>
            <w:shd w:val="clear" w:color="auto" w:fill="auto"/>
            <w:noWrap/>
            <w:vAlign w:val="center"/>
            <w:hideMark/>
          </w:tcPr>
          <w:p w14:paraId="27C43CBD"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Luabo</w:t>
            </w:r>
          </w:p>
        </w:tc>
        <w:tc>
          <w:tcPr>
            <w:tcW w:w="2120" w:type="dxa"/>
            <w:tcBorders>
              <w:top w:val="nil"/>
              <w:left w:val="nil"/>
              <w:bottom w:val="single" w:sz="8" w:space="0" w:color="auto"/>
              <w:right w:val="nil"/>
            </w:tcBorders>
            <w:shd w:val="clear" w:color="auto" w:fill="auto"/>
            <w:noWrap/>
            <w:vAlign w:val="center"/>
            <w:hideMark/>
          </w:tcPr>
          <w:p w14:paraId="2E5AEF36"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Chibanzo</w:t>
            </w:r>
            <w:proofErr w:type="spellEnd"/>
          </w:p>
        </w:tc>
        <w:tc>
          <w:tcPr>
            <w:tcW w:w="1519" w:type="dxa"/>
            <w:tcBorders>
              <w:top w:val="nil"/>
              <w:left w:val="nil"/>
              <w:bottom w:val="single" w:sz="8" w:space="0" w:color="auto"/>
              <w:right w:val="nil"/>
            </w:tcBorders>
            <w:shd w:val="clear" w:color="auto" w:fill="auto"/>
            <w:noWrap/>
            <w:vAlign w:val="center"/>
            <w:hideMark/>
          </w:tcPr>
          <w:p w14:paraId="7197A835"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621CDEEE"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7C55D3" w:rsidRPr="00292532" w14:paraId="14054780"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2CAF3D51" w14:textId="6591E3FB"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26</w:t>
            </w:r>
          </w:p>
        </w:tc>
        <w:tc>
          <w:tcPr>
            <w:tcW w:w="991" w:type="dxa"/>
            <w:vMerge/>
            <w:tcBorders>
              <w:top w:val="nil"/>
              <w:left w:val="nil"/>
              <w:bottom w:val="single" w:sz="8" w:space="0" w:color="000000"/>
              <w:right w:val="nil"/>
            </w:tcBorders>
            <w:vAlign w:val="center"/>
            <w:hideMark/>
          </w:tcPr>
          <w:p w14:paraId="59D004FF"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vMerge/>
            <w:tcBorders>
              <w:top w:val="nil"/>
              <w:left w:val="nil"/>
              <w:bottom w:val="single" w:sz="8" w:space="0" w:color="000000"/>
              <w:right w:val="nil"/>
            </w:tcBorders>
            <w:vAlign w:val="center"/>
            <w:hideMark/>
          </w:tcPr>
          <w:p w14:paraId="1C5C89CC"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120" w:type="dxa"/>
            <w:tcBorders>
              <w:top w:val="nil"/>
              <w:left w:val="nil"/>
              <w:bottom w:val="single" w:sz="8" w:space="0" w:color="auto"/>
              <w:right w:val="nil"/>
            </w:tcBorders>
            <w:shd w:val="clear" w:color="auto" w:fill="auto"/>
            <w:noWrap/>
            <w:vAlign w:val="center"/>
            <w:hideMark/>
          </w:tcPr>
          <w:p w14:paraId="251F24D0"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Luabo</w:t>
            </w:r>
          </w:p>
        </w:tc>
        <w:tc>
          <w:tcPr>
            <w:tcW w:w="1519" w:type="dxa"/>
            <w:tcBorders>
              <w:top w:val="nil"/>
              <w:left w:val="nil"/>
              <w:bottom w:val="single" w:sz="8" w:space="0" w:color="auto"/>
              <w:right w:val="nil"/>
            </w:tcBorders>
            <w:shd w:val="clear" w:color="auto" w:fill="auto"/>
            <w:noWrap/>
            <w:vAlign w:val="center"/>
            <w:hideMark/>
          </w:tcPr>
          <w:p w14:paraId="36D400E7"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7E336060"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r>
      <w:tr w:rsidR="007C55D3" w:rsidRPr="00292532" w14:paraId="1EDB14B1"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2994C075" w14:textId="28E40B06"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27</w:t>
            </w:r>
          </w:p>
        </w:tc>
        <w:tc>
          <w:tcPr>
            <w:tcW w:w="991" w:type="dxa"/>
            <w:vMerge/>
            <w:tcBorders>
              <w:top w:val="nil"/>
              <w:left w:val="nil"/>
              <w:bottom w:val="single" w:sz="8" w:space="0" w:color="000000"/>
              <w:right w:val="nil"/>
            </w:tcBorders>
            <w:vAlign w:val="center"/>
            <w:hideMark/>
          </w:tcPr>
          <w:p w14:paraId="4AA822DE"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tcBorders>
              <w:top w:val="nil"/>
              <w:left w:val="nil"/>
              <w:bottom w:val="single" w:sz="8" w:space="0" w:color="auto"/>
              <w:right w:val="nil"/>
            </w:tcBorders>
            <w:shd w:val="clear" w:color="auto" w:fill="auto"/>
            <w:noWrap/>
            <w:vAlign w:val="center"/>
            <w:hideMark/>
          </w:tcPr>
          <w:p w14:paraId="2F4E7ABD"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Inhassunge</w:t>
            </w:r>
            <w:proofErr w:type="spellEnd"/>
          </w:p>
        </w:tc>
        <w:tc>
          <w:tcPr>
            <w:tcW w:w="2120" w:type="dxa"/>
            <w:tcBorders>
              <w:top w:val="nil"/>
              <w:left w:val="nil"/>
              <w:bottom w:val="single" w:sz="8" w:space="0" w:color="auto"/>
              <w:right w:val="nil"/>
            </w:tcBorders>
            <w:shd w:val="clear" w:color="auto" w:fill="auto"/>
            <w:noWrap/>
            <w:vAlign w:val="center"/>
            <w:hideMark/>
          </w:tcPr>
          <w:p w14:paraId="70C76133"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Inhassunge</w:t>
            </w:r>
            <w:proofErr w:type="spellEnd"/>
          </w:p>
        </w:tc>
        <w:tc>
          <w:tcPr>
            <w:tcW w:w="1519" w:type="dxa"/>
            <w:tcBorders>
              <w:top w:val="nil"/>
              <w:left w:val="nil"/>
              <w:bottom w:val="single" w:sz="8" w:space="0" w:color="auto"/>
              <w:right w:val="nil"/>
            </w:tcBorders>
            <w:shd w:val="clear" w:color="auto" w:fill="auto"/>
            <w:noWrap/>
            <w:vAlign w:val="center"/>
            <w:hideMark/>
          </w:tcPr>
          <w:p w14:paraId="2BE8D8BD"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1ECFA434"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r>
      <w:tr w:rsidR="007C55D3" w:rsidRPr="00292532" w14:paraId="6CB029D4"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653E7546" w14:textId="4F879BCD"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28</w:t>
            </w:r>
          </w:p>
        </w:tc>
        <w:tc>
          <w:tcPr>
            <w:tcW w:w="991" w:type="dxa"/>
            <w:vMerge/>
            <w:tcBorders>
              <w:top w:val="nil"/>
              <w:left w:val="nil"/>
              <w:bottom w:val="single" w:sz="8" w:space="0" w:color="000000"/>
              <w:right w:val="nil"/>
            </w:tcBorders>
            <w:vAlign w:val="center"/>
            <w:hideMark/>
          </w:tcPr>
          <w:p w14:paraId="2825DF50"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vMerge w:val="restart"/>
            <w:tcBorders>
              <w:top w:val="nil"/>
              <w:left w:val="nil"/>
              <w:bottom w:val="single" w:sz="8" w:space="0" w:color="000000"/>
              <w:right w:val="nil"/>
            </w:tcBorders>
            <w:vAlign w:val="center"/>
            <w:hideMark/>
          </w:tcPr>
          <w:p w14:paraId="4FF4D495"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120" w:type="dxa"/>
            <w:tcBorders>
              <w:top w:val="nil"/>
              <w:left w:val="nil"/>
              <w:bottom w:val="single" w:sz="8" w:space="0" w:color="auto"/>
              <w:right w:val="nil"/>
            </w:tcBorders>
            <w:shd w:val="clear" w:color="auto" w:fill="auto"/>
            <w:noWrap/>
            <w:vAlign w:val="center"/>
            <w:hideMark/>
          </w:tcPr>
          <w:p w14:paraId="7E8C2DC5"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Chinde</w:t>
            </w:r>
          </w:p>
        </w:tc>
        <w:tc>
          <w:tcPr>
            <w:tcW w:w="1519" w:type="dxa"/>
            <w:tcBorders>
              <w:top w:val="nil"/>
              <w:left w:val="nil"/>
              <w:bottom w:val="single" w:sz="8" w:space="0" w:color="auto"/>
              <w:right w:val="nil"/>
            </w:tcBorders>
            <w:shd w:val="clear" w:color="auto" w:fill="auto"/>
            <w:noWrap/>
            <w:vAlign w:val="center"/>
            <w:hideMark/>
          </w:tcPr>
          <w:p w14:paraId="62C4D002"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336CB6DE"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r>
      <w:tr w:rsidR="007C55D3" w:rsidRPr="00292532" w14:paraId="45CD1F39"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6F188388" w14:textId="2070F146"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29</w:t>
            </w:r>
          </w:p>
        </w:tc>
        <w:tc>
          <w:tcPr>
            <w:tcW w:w="991" w:type="dxa"/>
            <w:vMerge/>
            <w:tcBorders>
              <w:top w:val="nil"/>
              <w:left w:val="nil"/>
              <w:bottom w:val="single" w:sz="8" w:space="0" w:color="000000"/>
              <w:right w:val="nil"/>
            </w:tcBorders>
            <w:vAlign w:val="center"/>
            <w:hideMark/>
          </w:tcPr>
          <w:p w14:paraId="1A7AE042"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vMerge/>
            <w:tcBorders>
              <w:top w:val="nil"/>
              <w:left w:val="nil"/>
              <w:bottom w:val="single" w:sz="8" w:space="0" w:color="000000"/>
              <w:right w:val="nil"/>
            </w:tcBorders>
            <w:vAlign w:val="center"/>
            <w:hideMark/>
          </w:tcPr>
          <w:p w14:paraId="76FA1485"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120" w:type="dxa"/>
            <w:tcBorders>
              <w:top w:val="nil"/>
              <w:left w:val="nil"/>
              <w:bottom w:val="single" w:sz="8" w:space="0" w:color="auto"/>
              <w:right w:val="nil"/>
            </w:tcBorders>
            <w:shd w:val="clear" w:color="auto" w:fill="auto"/>
            <w:noWrap/>
            <w:vAlign w:val="center"/>
            <w:hideMark/>
          </w:tcPr>
          <w:p w14:paraId="72F23CA2"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Mocubela</w:t>
            </w:r>
            <w:proofErr w:type="spellEnd"/>
          </w:p>
        </w:tc>
        <w:tc>
          <w:tcPr>
            <w:tcW w:w="1519" w:type="dxa"/>
            <w:tcBorders>
              <w:top w:val="nil"/>
              <w:left w:val="nil"/>
              <w:bottom w:val="single" w:sz="8" w:space="0" w:color="auto"/>
              <w:right w:val="nil"/>
            </w:tcBorders>
            <w:shd w:val="clear" w:color="auto" w:fill="auto"/>
            <w:noWrap/>
            <w:vAlign w:val="center"/>
            <w:hideMark/>
          </w:tcPr>
          <w:p w14:paraId="520CF8AE"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56ACFF5B"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r>
      <w:tr w:rsidR="007C55D3" w:rsidRPr="00292532" w14:paraId="5167BFA8"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6DCCC08A" w14:textId="27E4D031"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30</w:t>
            </w:r>
          </w:p>
        </w:tc>
        <w:tc>
          <w:tcPr>
            <w:tcW w:w="991" w:type="dxa"/>
            <w:vMerge/>
            <w:tcBorders>
              <w:top w:val="nil"/>
              <w:left w:val="nil"/>
              <w:bottom w:val="single" w:sz="8" w:space="0" w:color="000000"/>
              <w:right w:val="nil"/>
            </w:tcBorders>
            <w:vAlign w:val="center"/>
            <w:hideMark/>
          </w:tcPr>
          <w:p w14:paraId="63036FE8"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tcBorders>
              <w:top w:val="nil"/>
              <w:left w:val="nil"/>
              <w:bottom w:val="single" w:sz="8" w:space="0" w:color="auto"/>
              <w:right w:val="nil"/>
            </w:tcBorders>
            <w:shd w:val="clear" w:color="auto" w:fill="auto"/>
            <w:noWrap/>
            <w:vAlign w:val="center"/>
            <w:hideMark/>
          </w:tcPr>
          <w:p w14:paraId="15E90833"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Ilé</w:t>
            </w:r>
            <w:proofErr w:type="spellEnd"/>
          </w:p>
        </w:tc>
        <w:tc>
          <w:tcPr>
            <w:tcW w:w="2120" w:type="dxa"/>
            <w:tcBorders>
              <w:top w:val="nil"/>
              <w:left w:val="nil"/>
              <w:bottom w:val="single" w:sz="8" w:space="0" w:color="auto"/>
              <w:right w:val="nil"/>
            </w:tcBorders>
            <w:shd w:val="clear" w:color="auto" w:fill="auto"/>
            <w:noWrap/>
            <w:vAlign w:val="center"/>
            <w:hideMark/>
          </w:tcPr>
          <w:p w14:paraId="27EC5C1A"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Errego</w:t>
            </w:r>
            <w:proofErr w:type="spellEnd"/>
          </w:p>
        </w:tc>
        <w:tc>
          <w:tcPr>
            <w:tcW w:w="1519" w:type="dxa"/>
            <w:tcBorders>
              <w:top w:val="nil"/>
              <w:left w:val="nil"/>
              <w:bottom w:val="single" w:sz="8" w:space="0" w:color="auto"/>
              <w:right w:val="nil"/>
            </w:tcBorders>
            <w:shd w:val="clear" w:color="auto" w:fill="auto"/>
            <w:noWrap/>
            <w:vAlign w:val="center"/>
            <w:hideMark/>
          </w:tcPr>
          <w:p w14:paraId="3196278A"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Não</w:t>
            </w:r>
          </w:p>
        </w:tc>
        <w:tc>
          <w:tcPr>
            <w:tcW w:w="1588" w:type="dxa"/>
            <w:tcBorders>
              <w:top w:val="nil"/>
              <w:left w:val="nil"/>
              <w:bottom w:val="single" w:sz="8" w:space="0" w:color="auto"/>
              <w:right w:val="nil"/>
            </w:tcBorders>
            <w:shd w:val="clear" w:color="auto" w:fill="auto"/>
            <w:noWrap/>
            <w:vAlign w:val="center"/>
            <w:hideMark/>
          </w:tcPr>
          <w:p w14:paraId="6877A7A8"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r>
      <w:tr w:rsidR="007C55D3" w:rsidRPr="00292532" w14:paraId="2119DFA1"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143071E4" w14:textId="10139F67"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31</w:t>
            </w:r>
          </w:p>
        </w:tc>
        <w:tc>
          <w:tcPr>
            <w:tcW w:w="991" w:type="dxa"/>
            <w:vMerge/>
            <w:tcBorders>
              <w:top w:val="nil"/>
              <w:left w:val="nil"/>
              <w:bottom w:val="single" w:sz="8" w:space="0" w:color="000000"/>
              <w:right w:val="nil"/>
            </w:tcBorders>
            <w:vAlign w:val="center"/>
            <w:hideMark/>
          </w:tcPr>
          <w:p w14:paraId="218DF3D9"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tcBorders>
              <w:top w:val="nil"/>
              <w:left w:val="nil"/>
              <w:bottom w:val="single" w:sz="8" w:space="0" w:color="000000"/>
              <w:right w:val="nil"/>
            </w:tcBorders>
            <w:shd w:val="clear" w:color="auto" w:fill="auto"/>
            <w:noWrap/>
            <w:vAlign w:val="center"/>
            <w:hideMark/>
          </w:tcPr>
          <w:p w14:paraId="5DD09243"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Alto-Molocué</w:t>
            </w:r>
          </w:p>
        </w:tc>
        <w:tc>
          <w:tcPr>
            <w:tcW w:w="2120" w:type="dxa"/>
            <w:tcBorders>
              <w:top w:val="nil"/>
              <w:left w:val="nil"/>
              <w:bottom w:val="single" w:sz="8" w:space="0" w:color="auto"/>
              <w:right w:val="nil"/>
            </w:tcBorders>
            <w:shd w:val="clear" w:color="auto" w:fill="auto"/>
            <w:noWrap/>
            <w:vAlign w:val="center"/>
            <w:hideMark/>
          </w:tcPr>
          <w:p w14:paraId="25880AA7"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Mutala</w:t>
            </w:r>
          </w:p>
        </w:tc>
        <w:tc>
          <w:tcPr>
            <w:tcW w:w="1519" w:type="dxa"/>
            <w:tcBorders>
              <w:top w:val="nil"/>
              <w:left w:val="nil"/>
              <w:bottom w:val="single" w:sz="8" w:space="0" w:color="auto"/>
              <w:right w:val="nil"/>
            </w:tcBorders>
            <w:shd w:val="clear" w:color="auto" w:fill="auto"/>
            <w:noWrap/>
            <w:vAlign w:val="center"/>
            <w:hideMark/>
          </w:tcPr>
          <w:p w14:paraId="6F0D7B3D"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733DB371"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7C55D3" w:rsidRPr="00292532" w14:paraId="25EF5D8A"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30371149" w14:textId="5BD6DD5A"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32</w:t>
            </w:r>
          </w:p>
        </w:tc>
        <w:tc>
          <w:tcPr>
            <w:tcW w:w="991" w:type="dxa"/>
            <w:vMerge/>
            <w:tcBorders>
              <w:top w:val="nil"/>
              <w:left w:val="nil"/>
              <w:bottom w:val="single" w:sz="8" w:space="0" w:color="000000"/>
              <w:right w:val="nil"/>
            </w:tcBorders>
            <w:vAlign w:val="center"/>
            <w:hideMark/>
          </w:tcPr>
          <w:p w14:paraId="4B9ED8A3"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tcBorders>
              <w:top w:val="nil"/>
              <w:left w:val="nil"/>
              <w:bottom w:val="single" w:sz="8" w:space="0" w:color="000000"/>
              <w:right w:val="nil"/>
            </w:tcBorders>
            <w:shd w:val="clear" w:color="auto" w:fill="auto"/>
            <w:noWrap/>
            <w:vAlign w:val="center"/>
            <w:hideMark/>
          </w:tcPr>
          <w:p w14:paraId="27E9CB1E"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Gurué</w:t>
            </w:r>
          </w:p>
        </w:tc>
        <w:tc>
          <w:tcPr>
            <w:tcW w:w="2120" w:type="dxa"/>
            <w:tcBorders>
              <w:top w:val="nil"/>
              <w:left w:val="nil"/>
              <w:bottom w:val="single" w:sz="8" w:space="0" w:color="auto"/>
              <w:right w:val="nil"/>
            </w:tcBorders>
            <w:shd w:val="clear" w:color="auto" w:fill="auto"/>
            <w:noWrap/>
            <w:vAlign w:val="center"/>
            <w:hideMark/>
          </w:tcPr>
          <w:p w14:paraId="4F2218F0"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Magige</w:t>
            </w:r>
            <w:proofErr w:type="spellEnd"/>
          </w:p>
        </w:tc>
        <w:tc>
          <w:tcPr>
            <w:tcW w:w="1519" w:type="dxa"/>
            <w:tcBorders>
              <w:top w:val="nil"/>
              <w:left w:val="nil"/>
              <w:bottom w:val="single" w:sz="8" w:space="0" w:color="auto"/>
              <w:right w:val="nil"/>
            </w:tcBorders>
            <w:shd w:val="clear" w:color="auto" w:fill="auto"/>
            <w:noWrap/>
            <w:vAlign w:val="center"/>
            <w:hideMark/>
          </w:tcPr>
          <w:p w14:paraId="6A237D43"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6E895784"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7C55D3" w:rsidRPr="00292532" w14:paraId="2FF9A4A5"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03BF138F" w14:textId="5CF6A29B"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33</w:t>
            </w:r>
          </w:p>
        </w:tc>
        <w:tc>
          <w:tcPr>
            <w:tcW w:w="991" w:type="dxa"/>
            <w:vMerge/>
            <w:tcBorders>
              <w:top w:val="nil"/>
              <w:left w:val="nil"/>
              <w:bottom w:val="single" w:sz="8" w:space="0" w:color="000000"/>
              <w:right w:val="nil"/>
            </w:tcBorders>
            <w:vAlign w:val="center"/>
            <w:hideMark/>
          </w:tcPr>
          <w:p w14:paraId="545E17DC"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tcBorders>
              <w:top w:val="nil"/>
              <w:left w:val="nil"/>
              <w:bottom w:val="single" w:sz="8" w:space="0" w:color="auto"/>
              <w:right w:val="nil"/>
            </w:tcBorders>
            <w:shd w:val="clear" w:color="auto" w:fill="auto"/>
            <w:noWrap/>
            <w:vAlign w:val="center"/>
            <w:hideMark/>
          </w:tcPr>
          <w:p w14:paraId="38C634A1"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Quelimane</w:t>
            </w:r>
          </w:p>
        </w:tc>
        <w:tc>
          <w:tcPr>
            <w:tcW w:w="2120" w:type="dxa"/>
            <w:tcBorders>
              <w:top w:val="nil"/>
              <w:left w:val="nil"/>
              <w:bottom w:val="single" w:sz="8" w:space="0" w:color="auto"/>
              <w:right w:val="nil"/>
            </w:tcBorders>
            <w:shd w:val="clear" w:color="auto" w:fill="auto"/>
            <w:noWrap/>
            <w:vAlign w:val="center"/>
            <w:hideMark/>
          </w:tcPr>
          <w:p w14:paraId="26DDD8EF"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Madal</w:t>
            </w:r>
            <w:proofErr w:type="spellEnd"/>
          </w:p>
        </w:tc>
        <w:tc>
          <w:tcPr>
            <w:tcW w:w="1519" w:type="dxa"/>
            <w:tcBorders>
              <w:top w:val="nil"/>
              <w:left w:val="nil"/>
              <w:bottom w:val="single" w:sz="8" w:space="0" w:color="auto"/>
              <w:right w:val="nil"/>
            </w:tcBorders>
            <w:shd w:val="clear" w:color="auto" w:fill="auto"/>
            <w:noWrap/>
            <w:vAlign w:val="center"/>
            <w:hideMark/>
          </w:tcPr>
          <w:p w14:paraId="27D81780"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280A58B3"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7C55D3" w:rsidRPr="00292532" w14:paraId="6F1C2ED8"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172E0AB6" w14:textId="7CC8F723"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34</w:t>
            </w:r>
          </w:p>
        </w:tc>
        <w:tc>
          <w:tcPr>
            <w:tcW w:w="991" w:type="dxa"/>
            <w:vMerge/>
            <w:tcBorders>
              <w:top w:val="nil"/>
              <w:left w:val="nil"/>
              <w:bottom w:val="single" w:sz="8" w:space="0" w:color="000000"/>
              <w:right w:val="nil"/>
            </w:tcBorders>
            <w:vAlign w:val="center"/>
            <w:hideMark/>
          </w:tcPr>
          <w:p w14:paraId="5C5DA781"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vMerge w:val="restart"/>
            <w:tcBorders>
              <w:top w:val="nil"/>
              <w:left w:val="nil"/>
              <w:bottom w:val="single" w:sz="8" w:space="0" w:color="000000"/>
              <w:right w:val="nil"/>
            </w:tcBorders>
            <w:shd w:val="clear" w:color="auto" w:fill="auto"/>
            <w:noWrap/>
            <w:vAlign w:val="center"/>
            <w:hideMark/>
          </w:tcPr>
          <w:p w14:paraId="0FEFF355"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Pebane</w:t>
            </w:r>
          </w:p>
        </w:tc>
        <w:tc>
          <w:tcPr>
            <w:tcW w:w="2120" w:type="dxa"/>
            <w:tcBorders>
              <w:top w:val="nil"/>
              <w:left w:val="nil"/>
              <w:bottom w:val="single" w:sz="8" w:space="0" w:color="auto"/>
              <w:right w:val="nil"/>
            </w:tcBorders>
            <w:shd w:val="clear" w:color="auto" w:fill="auto"/>
            <w:noWrap/>
            <w:vAlign w:val="center"/>
            <w:hideMark/>
          </w:tcPr>
          <w:p w14:paraId="0356B3D6"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Magiga</w:t>
            </w:r>
            <w:proofErr w:type="spellEnd"/>
          </w:p>
        </w:tc>
        <w:tc>
          <w:tcPr>
            <w:tcW w:w="1519" w:type="dxa"/>
            <w:tcBorders>
              <w:top w:val="nil"/>
              <w:left w:val="nil"/>
              <w:bottom w:val="single" w:sz="8" w:space="0" w:color="auto"/>
              <w:right w:val="nil"/>
            </w:tcBorders>
            <w:shd w:val="clear" w:color="auto" w:fill="auto"/>
            <w:noWrap/>
            <w:vAlign w:val="center"/>
            <w:hideMark/>
          </w:tcPr>
          <w:p w14:paraId="303DD5CF"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4F404176"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7C55D3" w:rsidRPr="00292532" w14:paraId="35095601"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31C49677" w14:textId="44BDE9F5"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35</w:t>
            </w:r>
          </w:p>
        </w:tc>
        <w:tc>
          <w:tcPr>
            <w:tcW w:w="991" w:type="dxa"/>
            <w:vMerge/>
            <w:tcBorders>
              <w:top w:val="nil"/>
              <w:left w:val="nil"/>
              <w:bottom w:val="single" w:sz="8" w:space="0" w:color="000000"/>
              <w:right w:val="nil"/>
            </w:tcBorders>
            <w:vAlign w:val="center"/>
            <w:hideMark/>
          </w:tcPr>
          <w:p w14:paraId="5DCD11F2"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vMerge/>
            <w:tcBorders>
              <w:top w:val="nil"/>
              <w:left w:val="nil"/>
              <w:bottom w:val="single" w:sz="8" w:space="0" w:color="000000"/>
              <w:right w:val="nil"/>
            </w:tcBorders>
            <w:vAlign w:val="center"/>
            <w:hideMark/>
          </w:tcPr>
          <w:p w14:paraId="1F364C07"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120" w:type="dxa"/>
            <w:tcBorders>
              <w:top w:val="nil"/>
              <w:left w:val="nil"/>
              <w:bottom w:val="single" w:sz="8" w:space="0" w:color="auto"/>
              <w:right w:val="nil"/>
            </w:tcBorders>
            <w:shd w:val="clear" w:color="auto" w:fill="auto"/>
            <w:noWrap/>
            <w:vAlign w:val="center"/>
            <w:hideMark/>
          </w:tcPr>
          <w:p w14:paraId="010F7D97"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Cuaciane</w:t>
            </w:r>
            <w:proofErr w:type="spellEnd"/>
          </w:p>
        </w:tc>
        <w:tc>
          <w:tcPr>
            <w:tcW w:w="1519" w:type="dxa"/>
            <w:tcBorders>
              <w:top w:val="nil"/>
              <w:left w:val="nil"/>
              <w:bottom w:val="single" w:sz="8" w:space="0" w:color="auto"/>
              <w:right w:val="nil"/>
            </w:tcBorders>
            <w:shd w:val="clear" w:color="auto" w:fill="auto"/>
            <w:noWrap/>
            <w:vAlign w:val="center"/>
            <w:hideMark/>
          </w:tcPr>
          <w:p w14:paraId="4A51C38D"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3DC7CCD1"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7C55D3" w:rsidRPr="00292532" w14:paraId="0C7AE3E1"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4235234E" w14:textId="44C539BD"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36</w:t>
            </w:r>
          </w:p>
        </w:tc>
        <w:tc>
          <w:tcPr>
            <w:tcW w:w="991" w:type="dxa"/>
            <w:vMerge/>
            <w:tcBorders>
              <w:top w:val="nil"/>
              <w:left w:val="nil"/>
              <w:bottom w:val="single" w:sz="8" w:space="0" w:color="000000"/>
              <w:right w:val="nil"/>
            </w:tcBorders>
            <w:vAlign w:val="center"/>
            <w:hideMark/>
          </w:tcPr>
          <w:p w14:paraId="0B9830FE"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tcBorders>
              <w:top w:val="nil"/>
              <w:left w:val="nil"/>
              <w:bottom w:val="single" w:sz="8" w:space="0" w:color="auto"/>
              <w:right w:val="nil"/>
            </w:tcBorders>
            <w:shd w:val="clear" w:color="auto" w:fill="auto"/>
            <w:noWrap/>
            <w:vAlign w:val="center"/>
            <w:hideMark/>
          </w:tcPr>
          <w:p w14:paraId="689C48F4"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Mopeia</w:t>
            </w:r>
          </w:p>
        </w:tc>
        <w:tc>
          <w:tcPr>
            <w:tcW w:w="2120" w:type="dxa"/>
            <w:tcBorders>
              <w:top w:val="nil"/>
              <w:left w:val="nil"/>
              <w:bottom w:val="single" w:sz="8" w:space="0" w:color="auto"/>
              <w:right w:val="nil"/>
            </w:tcBorders>
            <w:shd w:val="clear" w:color="auto" w:fill="auto"/>
            <w:noWrap/>
            <w:vAlign w:val="center"/>
            <w:hideMark/>
          </w:tcPr>
          <w:p w14:paraId="4EA799D2"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Chimuara</w:t>
            </w:r>
            <w:proofErr w:type="spellEnd"/>
          </w:p>
        </w:tc>
        <w:tc>
          <w:tcPr>
            <w:tcW w:w="1519" w:type="dxa"/>
            <w:tcBorders>
              <w:top w:val="nil"/>
              <w:left w:val="nil"/>
              <w:bottom w:val="single" w:sz="8" w:space="0" w:color="auto"/>
              <w:right w:val="nil"/>
            </w:tcBorders>
            <w:shd w:val="clear" w:color="auto" w:fill="auto"/>
            <w:noWrap/>
            <w:vAlign w:val="center"/>
            <w:hideMark/>
          </w:tcPr>
          <w:p w14:paraId="0EC4FDAF"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3644E7BC"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7C55D3" w:rsidRPr="00292532" w14:paraId="171932E4" w14:textId="77777777" w:rsidTr="00941934">
        <w:trPr>
          <w:trHeight w:val="300"/>
        </w:trPr>
        <w:tc>
          <w:tcPr>
            <w:tcW w:w="822" w:type="dxa"/>
            <w:tcBorders>
              <w:top w:val="nil"/>
              <w:left w:val="nil"/>
              <w:bottom w:val="single" w:sz="8" w:space="0" w:color="auto"/>
              <w:right w:val="nil"/>
            </w:tcBorders>
            <w:shd w:val="clear" w:color="auto" w:fill="auto"/>
            <w:noWrap/>
            <w:vAlign w:val="center"/>
          </w:tcPr>
          <w:p w14:paraId="6184D447" w14:textId="5D44EA6A" w:rsidR="007C55D3" w:rsidRPr="00292532" w:rsidRDefault="00466B34" w:rsidP="007C55D3">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37</w:t>
            </w:r>
          </w:p>
        </w:tc>
        <w:tc>
          <w:tcPr>
            <w:tcW w:w="991" w:type="dxa"/>
            <w:vMerge/>
            <w:tcBorders>
              <w:top w:val="nil"/>
              <w:left w:val="nil"/>
              <w:bottom w:val="single" w:sz="8" w:space="0" w:color="000000"/>
              <w:right w:val="nil"/>
            </w:tcBorders>
            <w:vAlign w:val="center"/>
            <w:hideMark/>
          </w:tcPr>
          <w:p w14:paraId="3FD081B5"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
        </w:tc>
        <w:tc>
          <w:tcPr>
            <w:tcW w:w="2337" w:type="dxa"/>
            <w:tcBorders>
              <w:top w:val="nil"/>
              <w:left w:val="nil"/>
              <w:bottom w:val="single" w:sz="8" w:space="0" w:color="auto"/>
              <w:right w:val="nil"/>
            </w:tcBorders>
            <w:shd w:val="clear" w:color="auto" w:fill="auto"/>
            <w:noWrap/>
            <w:vAlign w:val="center"/>
            <w:hideMark/>
          </w:tcPr>
          <w:p w14:paraId="3D0CD565" w14:textId="77777777"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Nicoadala</w:t>
            </w:r>
            <w:proofErr w:type="spellEnd"/>
          </w:p>
        </w:tc>
        <w:tc>
          <w:tcPr>
            <w:tcW w:w="2120" w:type="dxa"/>
            <w:tcBorders>
              <w:top w:val="nil"/>
              <w:left w:val="nil"/>
              <w:bottom w:val="single" w:sz="8" w:space="0" w:color="auto"/>
              <w:right w:val="nil"/>
            </w:tcBorders>
            <w:shd w:val="clear" w:color="auto" w:fill="auto"/>
            <w:noWrap/>
            <w:vAlign w:val="center"/>
            <w:hideMark/>
          </w:tcPr>
          <w:p w14:paraId="306358F6" w14:textId="35FD2B4F" w:rsidR="007C55D3" w:rsidRPr="00292532" w:rsidRDefault="007C55D3" w:rsidP="007C55D3">
            <w:pPr>
              <w:spacing w:before="0" w:after="0"/>
              <w:jc w:val="left"/>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Namacata</w:t>
            </w:r>
            <w:proofErr w:type="spellEnd"/>
          </w:p>
        </w:tc>
        <w:tc>
          <w:tcPr>
            <w:tcW w:w="1519" w:type="dxa"/>
            <w:tcBorders>
              <w:top w:val="nil"/>
              <w:left w:val="nil"/>
              <w:bottom w:val="single" w:sz="8" w:space="0" w:color="auto"/>
              <w:right w:val="nil"/>
            </w:tcBorders>
            <w:shd w:val="clear" w:color="auto" w:fill="auto"/>
            <w:noWrap/>
            <w:vAlign w:val="center"/>
            <w:hideMark/>
          </w:tcPr>
          <w:p w14:paraId="6E58A3F7"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Sim</w:t>
            </w:r>
          </w:p>
        </w:tc>
        <w:tc>
          <w:tcPr>
            <w:tcW w:w="1588" w:type="dxa"/>
            <w:tcBorders>
              <w:top w:val="nil"/>
              <w:left w:val="nil"/>
              <w:bottom w:val="single" w:sz="8" w:space="0" w:color="auto"/>
              <w:right w:val="nil"/>
            </w:tcBorders>
            <w:shd w:val="clear" w:color="auto" w:fill="auto"/>
            <w:noWrap/>
            <w:vAlign w:val="center"/>
            <w:hideMark/>
          </w:tcPr>
          <w:p w14:paraId="59972953" w14:textId="77777777" w:rsidR="007C55D3" w:rsidRPr="00292532" w:rsidRDefault="007C55D3" w:rsidP="007C55D3">
            <w:pPr>
              <w:spacing w:before="0" w:after="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bl>
    <w:p w14:paraId="23D8915F" w14:textId="77777777" w:rsidR="007C55D3" w:rsidRPr="00292532" w:rsidRDefault="007C55D3" w:rsidP="007C55D3">
      <w:pPr>
        <w:rPr>
          <w:lang w:val="pt-PT" w:eastAsia="ja-JP"/>
        </w:rPr>
        <w:sectPr w:rsidR="007C55D3" w:rsidRPr="00292532" w:rsidSect="00C01674">
          <w:footerReference w:type="default" r:id="rId12"/>
          <w:pgSz w:w="11906" w:h="16838"/>
          <w:pgMar w:top="1417" w:right="1701" w:bottom="1417" w:left="1701" w:header="708" w:footer="708"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p>
    <w:p w14:paraId="3B008B23" w14:textId="1C5702ED" w:rsidR="007C55D3" w:rsidRPr="00292532" w:rsidRDefault="004D2CA5" w:rsidP="007C55D3">
      <w:pPr>
        <w:pStyle w:val="Heading1"/>
        <w:rPr>
          <w:lang w:val="pt-PT" w:eastAsia="ja-JP"/>
        </w:rPr>
      </w:pPr>
      <w:bookmarkStart w:id="51" w:name="_Toc80379937"/>
      <w:bookmarkEnd w:id="50"/>
      <w:r w:rsidRPr="00292532">
        <w:rPr>
          <w:lang w:val="pt-PT" w:eastAsia="ja-JP"/>
        </w:rPr>
        <w:lastRenderedPageBreak/>
        <w:t>Quadro Legal e Institucional</w:t>
      </w:r>
      <w:bookmarkEnd w:id="51"/>
      <w:r w:rsidRPr="00292532">
        <w:rPr>
          <w:lang w:val="pt-PT" w:eastAsia="ja-JP"/>
        </w:rPr>
        <w:t xml:space="preserve"> </w:t>
      </w:r>
    </w:p>
    <w:p w14:paraId="51180461" w14:textId="77777777" w:rsidR="004D2CA5" w:rsidRPr="00292532" w:rsidRDefault="004D2CA5" w:rsidP="004D2CA5">
      <w:pPr>
        <w:rPr>
          <w:lang w:val="pt-PT" w:eastAsia="ja-JP"/>
        </w:rPr>
      </w:pPr>
    </w:p>
    <w:p w14:paraId="152EA2C1" w14:textId="0E9FBC1B" w:rsidR="004D2CA5" w:rsidRPr="00292532" w:rsidRDefault="004D2CA5" w:rsidP="004D2CA5">
      <w:pPr>
        <w:pStyle w:val="Heading2"/>
      </w:pPr>
      <w:bookmarkStart w:id="52" w:name="_Toc80379938"/>
      <w:r w:rsidRPr="00292532">
        <w:t>A Constituição da República</w:t>
      </w:r>
      <w:bookmarkEnd w:id="52"/>
    </w:p>
    <w:p w14:paraId="693AF643" w14:textId="5E28765E" w:rsidR="004D2CA5" w:rsidRPr="00292532" w:rsidRDefault="004D2CA5" w:rsidP="004D2CA5">
      <w:pPr>
        <w:rPr>
          <w:lang w:val="pt-PT" w:eastAsia="ja-JP"/>
        </w:rPr>
      </w:pPr>
      <w:r w:rsidRPr="00292532">
        <w:rPr>
          <w:lang w:val="pt-PT" w:eastAsia="ja-JP"/>
        </w:rPr>
        <w:t xml:space="preserve">A Constituição da República foi aprovada pelo Parlamento Moçambicano, a 16 de </w:t>
      </w:r>
      <w:proofErr w:type="gramStart"/>
      <w:r w:rsidRPr="00292532">
        <w:rPr>
          <w:lang w:val="pt-PT" w:eastAsia="ja-JP"/>
        </w:rPr>
        <w:t>Novembro</w:t>
      </w:r>
      <w:proofErr w:type="gramEnd"/>
      <w:r w:rsidRPr="00292532">
        <w:rPr>
          <w:lang w:val="pt-PT" w:eastAsia="ja-JP"/>
        </w:rPr>
        <w:t xml:space="preserve"> de 2004. Consagra no Artigo 117.º, que o Estado garante o equilíbrio ecológico e a conservação e preservação do ambiente, visando a melhoria da qualidade de cidadãos, assegurando que a gestão de recursos naturais aconteça de forma racional e sem comprometer as gerações vindouras, como a seguir se descreve, com o </w:t>
      </w:r>
      <w:proofErr w:type="spellStart"/>
      <w:r w:rsidRPr="00292532">
        <w:rPr>
          <w:lang w:val="pt-PT" w:eastAsia="ja-JP"/>
        </w:rPr>
        <w:t>objectivo</w:t>
      </w:r>
      <w:proofErr w:type="spellEnd"/>
      <w:r w:rsidRPr="00292532">
        <w:rPr>
          <w:lang w:val="pt-PT" w:eastAsia="ja-JP"/>
        </w:rPr>
        <w:t xml:space="preserve"> de garantir o direito ao ambiente no quadro de um desenvolvimento sustentável.</w:t>
      </w:r>
    </w:p>
    <w:p w14:paraId="5151E72A" w14:textId="77777777" w:rsidR="004D2CA5" w:rsidRPr="00292532" w:rsidRDefault="004D2CA5" w:rsidP="004D2CA5">
      <w:pPr>
        <w:rPr>
          <w:lang w:val="pt-PT" w:eastAsia="ja-JP"/>
        </w:rPr>
      </w:pPr>
    </w:p>
    <w:p w14:paraId="5C5B6E5D" w14:textId="75CD5A34" w:rsidR="004D2CA5" w:rsidRPr="00292532" w:rsidRDefault="004D2CA5" w:rsidP="004D2CA5">
      <w:pPr>
        <w:pStyle w:val="Heading2"/>
      </w:pPr>
      <w:bookmarkStart w:id="53" w:name="_Toc80379939"/>
      <w:r w:rsidRPr="00292532">
        <w:t>Políticas e Estratégias</w:t>
      </w:r>
      <w:bookmarkEnd w:id="53"/>
    </w:p>
    <w:p w14:paraId="5EAE677D" w14:textId="20D57E74" w:rsidR="004D2CA5" w:rsidRPr="00292532" w:rsidRDefault="004D2CA5">
      <w:pPr>
        <w:pStyle w:val="Heading3"/>
        <w:rPr>
          <w:lang w:eastAsia="ja-JP"/>
        </w:rPr>
      </w:pPr>
      <w:bookmarkStart w:id="54" w:name="_Toc80379940"/>
      <w:r w:rsidRPr="00292532">
        <w:rPr>
          <w:lang w:eastAsia="ja-JP"/>
        </w:rPr>
        <w:t>Política e Estratégia de Águas</w:t>
      </w:r>
      <w:bookmarkEnd w:id="54"/>
    </w:p>
    <w:p w14:paraId="335D4A5A" w14:textId="3882AB3E" w:rsidR="004D2CA5" w:rsidRPr="00292532" w:rsidRDefault="004D2CA5" w:rsidP="004D2CA5">
      <w:pPr>
        <w:rPr>
          <w:lang w:val="pt-PT" w:eastAsia="ja-JP"/>
        </w:rPr>
      </w:pPr>
      <w:r w:rsidRPr="00292532">
        <w:rPr>
          <w:lang w:val="pt-PT" w:eastAsia="ja-JP"/>
        </w:rPr>
        <w:t xml:space="preserve">A nova </w:t>
      </w:r>
      <w:r w:rsidRPr="00292532">
        <w:rPr>
          <w:b/>
          <w:bCs/>
          <w:lang w:val="pt-PT" w:eastAsia="ja-JP"/>
        </w:rPr>
        <w:t>Política de Águas (2007)</w:t>
      </w:r>
      <w:r w:rsidRPr="00292532">
        <w:rPr>
          <w:lang w:val="pt-PT" w:eastAsia="ja-JP"/>
        </w:rPr>
        <w:t xml:space="preserve"> que revogou a Política Nacional de Águas aprovada sobre os termos da resolução no. 75/95, introduziu entre outros, </w:t>
      </w:r>
      <w:proofErr w:type="spellStart"/>
      <w:r w:rsidRPr="00292532">
        <w:rPr>
          <w:lang w:val="pt-PT" w:eastAsia="ja-JP"/>
        </w:rPr>
        <w:t>aspectos</w:t>
      </w:r>
      <w:proofErr w:type="spellEnd"/>
      <w:r w:rsidRPr="00292532">
        <w:rPr>
          <w:lang w:val="pt-PT" w:eastAsia="ja-JP"/>
        </w:rPr>
        <w:t xml:space="preserve"> sobre o melhoramento do saneamento urbano, </w:t>
      </w:r>
      <w:r w:rsidR="00D9688F" w:rsidRPr="00292532">
        <w:rPr>
          <w:lang w:val="pt-PT" w:eastAsia="ja-JP"/>
        </w:rPr>
        <w:t>periurbano</w:t>
      </w:r>
      <w:r w:rsidRPr="00292532">
        <w:rPr>
          <w:lang w:val="pt-PT" w:eastAsia="ja-JP"/>
        </w:rPr>
        <w:t xml:space="preserve"> e rurais, redes de estações </w:t>
      </w:r>
      <w:proofErr w:type="spellStart"/>
      <w:r w:rsidRPr="00292532">
        <w:rPr>
          <w:lang w:val="pt-PT" w:eastAsia="ja-JP"/>
        </w:rPr>
        <w:t>hidro-climatológicas</w:t>
      </w:r>
      <w:proofErr w:type="spellEnd"/>
      <w:r w:rsidRPr="00292532">
        <w:rPr>
          <w:lang w:val="pt-PT" w:eastAsia="ja-JP"/>
        </w:rPr>
        <w:t>, desenvolvimento de novas infraestruturas hidráulicas e de gestão de recursos hídricos com participação dos principais intervenientes.</w:t>
      </w:r>
    </w:p>
    <w:p w14:paraId="1CFA3FE2" w14:textId="26CDFE8A" w:rsidR="004D2CA5" w:rsidRPr="00292532" w:rsidRDefault="004D2CA5" w:rsidP="004D2CA5">
      <w:pPr>
        <w:rPr>
          <w:lang w:val="pt-PT" w:eastAsia="ja-JP"/>
        </w:rPr>
      </w:pPr>
      <w:r w:rsidRPr="00292532">
        <w:rPr>
          <w:lang w:val="pt-PT" w:eastAsia="ja-JP"/>
        </w:rPr>
        <w:t xml:space="preserve">Com relevância para o </w:t>
      </w:r>
      <w:proofErr w:type="spellStart"/>
      <w:r w:rsidRPr="00292532">
        <w:rPr>
          <w:lang w:val="pt-PT" w:eastAsia="ja-JP"/>
        </w:rPr>
        <w:t>Projecto</w:t>
      </w:r>
      <w:proofErr w:type="spellEnd"/>
      <w:r w:rsidRPr="00292532">
        <w:rPr>
          <w:lang w:val="pt-PT" w:eastAsia="ja-JP"/>
        </w:rPr>
        <w:t xml:space="preserve"> proposto, a </w:t>
      </w:r>
      <w:r w:rsidR="00D9688F" w:rsidRPr="00292532">
        <w:rPr>
          <w:lang w:val="pt-PT" w:eastAsia="ja-JP"/>
        </w:rPr>
        <w:t>Política</w:t>
      </w:r>
      <w:r w:rsidRPr="00292532">
        <w:rPr>
          <w:lang w:val="pt-PT" w:eastAsia="ja-JP"/>
        </w:rPr>
        <w:t xml:space="preserve"> de Águas estabelece os seguintes </w:t>
      </w:r>
      <w:proofErr w:type="spellStart"/>
      <w:r w:rsidRPr="00292532">
        <w:rPr>
          <w:lang w:val="pt-PT" w:eastAsia="ja-JP"/>
        </w:rPr>
        <w:t>objectivos</w:t>
      </w:r>
      <w:proofErr w:type="spellEnd"/>
      <w:r w:rsidRPr="00292532">
        <w:rPr>
          <w:lang w:val="pt-PT" w:eastAsia="ja-JP"/>
        </w:rPr>
        <w:t xml:space="preserve"> principais a longo Prazo (2025):</w:t>
      </w:r>
    </w:p>
    <w:p w14:paraId="47717045" w14:textId="77777777" w:rsidR="004D2CA5" w:rsidRPr="00292532" w:rsidRDefault="004D2CA5" w:rsidP="00ED270D">
      <w:pPr>
        <w:numPr>
          <w:ilvl w:val="0"/>
          <w:numId w:val="12"/>
        </w:numPr>
        <w:rPr>
          <w:lang w:val="pt-PT" w:eastAsia="ja-JP"/>
        </w:rPr>
      </w:pPr>
      <w:r w:rsidRPr="00292532">
        <w:rPr>
          <w:lang w:val="pt-PT" w:eastAsia="ja-JP"/>
        </w:rPr>
        <w:t>Satisfação das necessidades básicas do consumo humano de água na base dum abastecimento de água potável seguro e fiável</w:t>
      </w:r>
    </w:p>
    <w:p w14:paraId="65ECDADF" w14:textId="77777777" w:rsidR="004D2CA5" w:rsidRPr="00292532" w:rsidRDefault="004D2CA5" w:rsidP="00ED270D">
      <w:pPr>
        <w:numPr>
          <w:ilvl w:val="0"/>
          <w:numId w:val="12"/>
        </w:numPr>
        <w:rPr>
          <w:lang w:val="pt-PT" w:eastAsia="ja-JP"/>
        </w:rPr>
      </w:pPr>
      <w:r w:rsidRPr="00292532">
        <w:rPr>
          <w:lang w:val="pt-PT" w:eastAsia="ja-JP"/>
        </w:rPr>
        <w:t>Melhoramento do saneamento como ferramenta essencial para a prevenção de doenças de origem hídrica (malária, cólera, diarreia), melhoria da qualidade de vida e conservação ambiental.</w:t>
      </w:r>
    </w:p>
    <w:p w14:paraId="4A959067" w14:textId="79237AE2" w:rsidR="004D2CA5" w:rsidRPr="00292532" w:rsidRDefault="004D2CA5" w:rsidP="004D2CA5">
      <w:pPr>
        <w:rPr>
          <w:lang w:val="pt-PT" w:eastAsia="ja-JP"/>
        </w:rPr>
      </w:pPr>
      <w:r w:rsidRPr="00292532">
        <w:rPr>
          <w:lang w:val="pt-PT" w:eastAsia="ja-JP"/>
        </w:rPr>
        <w:t xml:space="preserve"> “</w:t>
      </w:r>
      <w:r w:rsidRPr="00292532">
        <w:rPr>
          <w:i/>
          <w:iCs/>
          <w:lang w:val="pt-PT" w:eastAsia="ja-JP"/>
        </w:rPr>
        <w:t>A prioridade na expansão do abastecimento de água em áreas rurais irá para as províncias, distritos, vilas e povoações com baixa taxa de cobertura, para apoiar o esforço global no desenvolvimento no país</w:t>
      </w:r>
      <w:r w:rsidRPr="00292532">
        <w:rPr>
          <w:lang w:val="pt-PT" w:eastAsia="ja-JP"/>
        </w:rPr>
        <w:t xml:space="preserve">” (Política de </w:t>
      </w:r>
      <w:r w:rsidR="00D9688F" w:rsidRPr="00292532">
        <w:rPr>
          <w:lang w:val="pt-PT" w:eastAsia="ja-JP"/>
        </w:rPr>
        <w:t>Águas</w:t>
      </w:r>
      <w:r w:rsidRPr="00292532">
        <w:rPr>
          <w:lang w:val="pt-PT" w:eastAsia="ja-JP"/>
        </w:rPr>
        <w:t>, 2005)</w:t>
      </w:r>
    </w:p>
    <w:p w14:paraId="66D18EC4" w14:textId="5A42696A" w:rsidR="004D2CA5" w:rsidRPr="00292532" w:rsidRDefault="004D2CA5" w:rsidP="004D2CA5">
      <w:pPr>
        <w:rPr>
          <w:lang w:val="pt-PT" w:eastAsia="ja-JP"/>
        </w:rPr>
      </w:pPr>
      <w:r w:rsidRPr="00292532">
        <w:rPr>
          <w:lang w:val="pt-PT" w:eastAsia="ja-JP"/>
        </w:rPr>
        <w:t xml:space="preserve"> Importa destacar as seguintes políticas principais no âmbito da </w:t>
      </w:r>
      <w:r w:rsidR="00D9688F" w:rsidRPr="00292532">
        <w:rPr>
          <w:lang w:val="pt-PT" w:eastAsia="ja-JP"/>
        </w:rPr>
        <w:t>Política</w:t>
      </w:r>
      <w:r w:rsidRPr="00292532">
        <w:rPr>
          <w:lang w:val="pt-PT" w:eastAsia="ja-JP"/>
        </w:rPr>
        <w:t xml:space="preserve"> de </w:t>
      </w:r>
      <w:r w:rsidR="00D9688F" w:rsidRPr="00292532">
        <w:rPr>
          <w:lang w:val="pt-PT" w:eastAsia="ja-JP"/>
        </w:rPr>
        <w:t>Águas</w:t>
      </w:r>
      <w:r w:rsidRPr="00292532">
        <w:rPr>
          <w:lang w:val="pt-PT" w:eastAsia="ja-JP"/>
        </w:rPr>
        <w:t>:</w:t>
      </w:r>
    </w:p>
    <w:p w14:paraId="105EDCC2" w14:textId="77777777" w:rsidR="004D2CA5" w:rsidRPr="00292532" w:rsidRDefault="004D2CA5" w:rsidP="004D2CA5">
      <w:pPr>
        <w:pStyle w:val="ListParagraph"/>
        <w:rPr>
          <w:lang w:val="pt-PT" w:eastAsia="ja-JP"/>
        </w:rPr>
      </w:pPr>
      <w:r w:rsidRPr="00292532">
        <w:rPr>
          <w:b/>
          <w:bCs/>
          <w:lang w:val="pt-PT" w:eastAsia="ja-JP"/>
        </w:rPr>
        <w:t>Satisfação das necessidades básicas da população mais</w:t>
      </w:r>
      <w:r w:rsidRPr="00292532">
        <w:rPr>
          <w:lang w:val="pt-PT" w:eastAsia="ja-JP"/>
        </w:rPr>
        <w:t xml:space="preserve"> </w:t>
      </w:r>
      <w:r w:rsidRPr="00292532">
        <w:rPr>
          <w:b/>
          <w:bCs/>
          <w:lang w:val="pt-PT" w:eastAsia="ja-JP"/>
        </w:rPr>
        <w:t>pobre</w:t>
      </w:r>
      <w:r w:rsidRPr="00292532">
        <w:rPr>
          <w:lang w:val="pt-PT" w:eastAsia="ja-JP"/>
        </w:rPr>
        <w:t xml:space="preserve"> – conferindo alta prioridade à satisfação das necessidades básicas da população rural e urbana mais pobre, em termos de um adequado abastecimento de água e saneamento</w:t>
      </w:r>
    </w:p>
    <w:p w14:paraId="2247B301" w14:textId="77777777" w:rsidR="004D2CA5" w:rsidRPr="00292532" w:rsidRDefault="004D2CA5" w:rsidP="004D2CA5">
      <w:pPr>
        <w:pStyle w:val="ListParagraph"/>
        <w:rPr>
          <w:lang w:val="pt-PT" w:eastAsia="ja-JP"/>
        </w:rPr>
      </w:pPr>
      <w:r w:rsidRPr="00292532">
        <w:rPr>
          <w:b/>
          <w:bCs/>
          <w:lang w:val="pt-PT" w:eastAsia="ja-JP"/>
        </w:rPr>
        <w:t>O valor económico da água</w:t>
      </w:r>
      <w:r w:rsidRPr="00292532">
        <w:rPr>
          <w:lang w:val="pt-PT" w:eastAsia="ja-JP"/>
        </w:rPr>
        <w:t xml:space="preserve"> –para permitir que os serviços se tornem financeiramente viáveis, o preço da água deverá aproximar-se do seu valor económico.</w:t>
      </w:r>
    </w:p>
    <w:p w14:paraId="33AAED81" w14:textId="77777777" w:rsidR="004D2CA5" w:rsidRPr="00292532" w:rsidRDefault="004D2CA5" w:rsidP="004D2CA5">
      <w:pPr>
        <w:pStyle w:val="ListParagraph"/>
        <w:rPr>
          <w:lang w:val="pt-PT" w:eastAsia="ja-JP"/>
        </w:rPr>
      </w:pPr>
      <w:r w:rsidRPr="00292532">
        <w:rPr>
          <w:b/>
          <w:bCs/>
          <w:lang w:val="pt-PT" w:eastAsia="ja-JP"/>
        </w:rPr>
        <w:t>Papel do Governo</w:t>
      </w:r>
      <w:r w:rsidRPr="00292532">
        <w:rPr>
          <w:lang w:val="pt-PT" w:eastAsia="ja-JP"/>
        </w:rPr>
        <w:t xml:space="preserve"> - na definição de prioridades, padrões e regulamentação, estabelecimento dos níveis mínimos do serviço, promoção e canalização de investimentos, promoção da eficiência no uso da água, definição da política de tarifas, colheita e </w:t>
      </w:r>
      <w:r w:rsidRPr="00292532">
        <w:rPr>
          <w:lang w:val="pt-PT" w:eastAsia="ja-JP"/>
        </w:rPr>
        <w:lastRenderedPageBreak/>
        <w:t xml:space="preserve">fornecimento de informação e no estímulo e regulamentação das </w:t>
      </w:r>
      <w:proofErr w:type="spellStart"/>
      <w:r w:rsidRPr="00292532">
        <w:rPr>
          <w:lang w:val="pt-PT" w:eastAsia="ja-JP"/>
        </w:rPr>
        <w:t>actividades</w:t>
      </w:r>
      <w:proofErr w:type="spellEnd"/>
      <w:r w:rsidRPr="00292532">
        <w:rPr>
          <w:lang w:val="pt-PT" w:eastAsia="ja-JP"/>
        </w:rPr>
        <w:t xml:space="preserve"> dos provedores de servidores</w:t>
      </w:r>
    </w:p>
    <w:p w14:paraId="3F6633EC" w14:textId="77777777" w:rsidR="004D2CA5" w:rsidRPr="00292532" w:rsidRDefault="004D2CA5" w:rsidP="004D2CA5">
      <w:pPr>
        <w:pStyle w:val="ListParagraph"/>
        <w:rPr>
          <w:lang w:val="pt-PT" w:eastAsia="ja-JP"/>
        </w:rPr>
      </w:pPr>
      <w:r w:rsidRPr="00292532">
        <w:rPr>
          <w:b/>
          <w:bCs/>
          <w:lang w:val="pt-PT" w:eastAsia="ja-JP"/>
        </w:rPr>
        <w:t>Participação dos beneficiários</w:t>
      </w:r>
      <w:r w:rsidRPr="00292532">
        <w:rPr>
          <w:lang w:val="pt-PT" w:eastAsia="ja-JP"/>
        </w:rPr>
        <w:t xml:space="preserve"> – promoção da participação das comunidades e utentes da água, com ênfase no papel da mulher no planeamento, implementação, gestão, utilização e manutenção das infraestruturas de abastecimento de água e saneamento</w:t>
      </w:r>
    </w:p>
    <w:p w14:paraId="4EE2B834" w14:textId="77777777" w:rsidR="004D2CA5" w:rsidRPr="00292532" w:rsidRDefault="004D2CA5" w:rsidP="004D2CA5">
      <w:pPr>
        <w:pStyle w:val="ListParagraph"/>
        <w:rPr>
          <w:lang w:val="pt-PT" w:eastAsia="ja-JP"/>
        </w:rPr>
      </w:pPr>
      <w:r w:rsidRPr="00292532">
        <w:rPr>
          <w:b/>
          <w:bCs/>
          <w:lang w:val="pt-PT" w:eastAsia="ja-JP"/>
        </w:rPr>
        <w:t>Aumento do papel do sector privado</w:t>
      </w:r>
      <w:r w:rsidRPr="00292532">
        <w:rPr>
          <w:lang w:val="pt-PT" w:eastAsia="ja-JP"/>
        </w:rPr>
        <w:t xml:space="preserve"> – com o </w:t>
      </w:r>
      <w:proofErr w:type="spellStart"/>
      <w:r w:rsidRPr="00292532">
        <w:rPr>
          <w:lang w:val="pt-PT" w:eastAsia="ja-JP"/>
        </w:rPr>
        <w:t>objectivo</w:t>
      </w:r>
      <w:proofErr w:type="spellEnd"/>
      <w:r w:rsidRPr="00292532">
        <w:rPr>
          <w:lang w:val="pt-PT" w:eastAsia="ja-JP"/>
        </w:rPr>
        <w:t xml:space="preserve"> de aumentar o papel do sector privado nas áreas onde já está presente como na abertura de novas áreas para as suas </w:t>
      </w:r>
      <w:proofErr w:type="spellStart"/>
      <w:r w:rsidRPr="00292532">
        <w:rPr>
          <w:lang w:val="pt-PT" w:eastAsia="ja-JP"/>
        </w:rPr>
        <w:t>actividades</w:t>
      </w:r>
      <w:proofErr w:type="spellEnd"/>
      <w:r w:rsidRPr="00292532">
        <w:rPr>
          <w:lang w:val="pt-PT" w:eastAsia="ja-JP"/>
        </w:rPr>
        <w:t xml:space="preserve">. A presente política incentiva o envolvimento </w:t>
      </w:r>
      <w:proofErr w:type="spellStart"/>
      <w:r w:rsidRPr="00292532">
        <w:rPr>
          <w:lang w:val="pt-PT" w:eastAsia="ja-JP"/>
        </w:rPr>
        <w:t>activo</w:t>
      </w:r>
      <w:proofErr w:type="spellEnd"/>
      <w:r w:rsidRPr="00292532">
        <w:rPr>
          <w:lang w:val="pt-PT" w:eastAsia="ja-JP"/>
        </w:rPr>
        <w:t xml:space="preserve"> dos Municípios nos serviços de provisão do abastecimento de água e saneamento. </w:t>
      </w:r>
    </w:p>
    <w:p w14:paraId="6AC18A11" w14:textId="60A4B4AC" w:rsidR="004D2CA5" w:rsidRPr="00292532" w:rsidRDefault="004D2CA5" w:rsidP="004D2CA5">
      <w:pPr>
        <w:pStyle w:val="ListParagraph"/>
        <w:rPr>
          <w:lang w:val="pt-PT" w:eastAsia="ja-JP"/>
        </w:rPr>
      </w:pPr>
      <w:r w:rsidRPr="00292532">
        <w:rPr>
          <w:b/>
          <w:bCs/>
          <w:lang w:val="pt-PT" w:eastAsia="ja-JP"/>
        </w:rPr>
        <w:t>Capacitação institucional</w:t>
      </w:r>
      <w:r w:rsidRPr="00292532">
        <w:rPr>
          <w:lang w:val="pt-PT" w:eastAsia="ja-JP"/>
        </w:rPr>
        <w:t xml:space="preserve"> </w:t>
      </w:r>
      <w:r w:rsidR="00F956D4" w:rsidRPr="00292532">
        <w:rPr>
          <w:lang w:val="pt-PT" w:eastAsia="ja-JP"/>
        </w:rPr>
        <w:t>– o</w:t>
      </w:r>
      <w:r w:rsidRPr="00292532">
        <w:rPr>
          <w:lang w:val="pt-PT" w:eastAsia="ja-JP"/>
        </w:rPr>
        <w:t xml:space="preserve"> reforço da capacidade institucional existente, a definição e implementação de novos arranjos institucionais, o envolvimento </w:t>
      </w:r>
      <w:proofErr w:type="spellStart"/>
      <w:r w:rsidRPr="00292532">
        <w:rPr>
          <w:lang w:val="pt-PT" w:eastAsia="ja-JP"/>
        </w:rPr>
        <w:t>activo</w:t>
      </w:r>
      <w:proofErr w:type="spellEnd"/>
      <w:r w:rsidRPr="00292532">
        <w:rPr>
          <w:lang w:val="pt-PT" w:eastAsia="ja-JP"/>
        </w:rPr>
        <w:t xml:space="preserve"> dos utentes da água, e novos papéis a desempenhar pelas organizações governamentais, não governamentais, privadas e outras entidades da sociedade civil.</w:t>
      </w:r>
    </w:p>
    <w:p w14:paraId="1DDA8C96" w14:textId="7B4A47FC" w:rsidR="004D2CA5" w:rsidRPr="00292532" w:rsidRDefault="004D2CA5" w:rsidP="004D2CA5">
      <w:pPr>
        <w:pStyle w:val="ListParagraph"/>
        <w:rPr>
          <w:lang w:val="pt-PT" w:eastAsia="ja-JP"/>
        </w:rPr>
      </w:pPr>
      <w:r w:rsidRPr="00292532">
        <w:rPr>
          <w:b/>
          <w:bCs/>
          <w:lang w:val="pt-PT" w:eastAsia="ja-JP"/>
        </w:rPr>
        <w:t>Integração do abastecimento de água</w:t>
      </w:r>
      <w:r w:rsidRPr="00292532">
        <w:rPr>
          <w:lang w:val="pt-PT" w:eastAsia="ja-JP"/>
        </w:rPr>
        <w:t xml:space="preserve">, </w:t>
      </w:r>
      <w:r w:rsidRPr="00292532">
        <w:rPr>
          <w:b/>
          <w:bCs/>
          <w:lang w:val="pt-PT" w:eastAsia="ja-JP"/>
        </w:rPr>
        <w:t>saneamento e promoção da higiene</w:t>
      </w:r>
      <w:r w:rsidRPr="00292532">
        <w:rPr>
          <w:lang w:val="pt-PT" w:eastAsia="ja-JP"/>
        </w:rPr>
        <w:t xml:space="preserve"> – Para maximizar o uso racional dos recursos e assegurar maior impacto na saúde das comunidades rurais e </w:t>
      </w:r>
      <w:r w:rsidR="00D9688F" w:rsidRPr="00292532">
        <w:rPr>
          <w:lang w:val="pt-PT" w:eastAsia="ja-JP"/>
        </w:rPr>
        <w:t>periurbanas</w:t>
      </w:r>
      <w:r w:rsidRPr="00292532">
        <w:rPr>
          <w:lang w:val="pt-PT" w:eastAsia="ja-JP"/>
        </w:rPr>
        <w:t xml:space="preserve">, A promoção da higiene como veículo comum para a integração das componentes de abastecimento de água e saneamento </w:t>
      </w:r>
      <w:r w:rsidR="00F956D4" w:rsidRPr="00292532">
        <w:rPr>
          <w:lang w:val="pt-PT" w:eastAsia="ja-JP"/>
        </w:rPr>
        <w:t>de forma que</w:t>
      </w:r>
      <w:r w:rsidRPr="00292532">
        <w:rPr>
          <w:lang w:val="pt-PT" w:eastAsia="ja-JP"/>
        </w:rPr>
        <w:t xml:space="preserve"> as comunidades </w:t>
      </w:r>
      <w:proofErr w:type="spellStart"/>
      <w:r w:rsidRPr="00292532">
        <w:rPr>
          <w:lang w:val="pt-PT" w:eastAsia="ja-JP"/>
        </w:rPr>
        <w:t>adoptem</w:t>
      </w:r>
      <w:proofErr w:type="spellEnd"/>
      <w:r w:rsidRPr="00292532">
        <w:rPr>
          <w:lang w:val="pt-PT" w:eastAsia="ja-JP"/>
        </w:rPr>
        <w:t xml:space="preserve"> práticas seguras de higiene</w:t>
      </w:r>
    </w:p>
    <w:p w14:paraId="64502B3C" w14:textId="77777777" w:rsidR="004D2CA5" w:rsidRPr="00292532" w:rsidRDefault="004D2CA5" w:rsidP="004D2CA5">
      <w:pPr>
        <w:pStyle w:val="ListParagraph"/>
        <w:rPr>
          <w:lang w:val="pt-PT" w:eastAsia="ja-JP"/>
        </w:rPr>
      </w:pPr>
      <w:r w:rsidRPr="00292532">
        <w:rPr>
          <w:b/>
          <w:bCs/>
          <w:lang w:val="pt-PT" w:eastAsia="ja-JP"/>
        </w:rPr>
        <w:t xml:space="preserve">Educação sobre a água – </w:t>
      </w:r>
      <w:r w:rsidRPr="00292532">
        <w:rPr>
          <w:lang w:val="pt-PT" w:eastAsia="ja-JP"/>
        </w:rPr>
        <w:t>identifica a importância da educação e a sensibilização para a valorização da água.</w:t>
      </w:r>
    </w:p>
    <w:p w14:paraId="72978758" w14:textId="302AB904" w:rsidR="004D2CA5" w:rsidRPr="00292532" w:rsidRDefault="004D2CA5" w:rsidP="004D2CA5">
      <w:pPr>
        <w:rPr>
          <w:lang w:val="pt-PT" w:eastAsia="ja-JP"/>
        </w:rPr>
      </w:pPr>
      <w:r w:rsidRPr="00292532">
        <w:rPr>
          <w:lang w:val="pt-PT" w:eastAsia="ja-JP"/>
        </w:rPr>
        <w:t xml:space="preserve">A </w:t>
      </w:r>
      <w:r w:rsidRPr="00292532">
        <w:rPr>
          <w:b/>
          <w:bCs/>
          <w:lang w:val="pt-PT" w:eastAsia="ja-JP"/>
        </w:rPr>
        <w:t>Estratégia Nacional de Recursos Hídricos</w:t>
      </w:r>
      <w:r w:rsidRPr="00292532">
        <w:rPr>
          <w:lang w:val="pt-PT" w:eastAsia="ja-JP"/>
        </w:rPr>
        <w:t xml:space="preserve"> define </w:t>
      </w:r>
      <w:proofErr w:type="spellStart"/>
      <w:r w:rsidRPr="00292532">
        <w:rPr>
          <w:lang w:val="pt-PT" w:eastAsia="ja-JP"/>
        </w:rPr>
        <w:t>directrizes</w:t>
      </w:r>
      <w:proofErr w:type="spellEnd"/>
      <w:r w:rsidRPr="00292532">
        <w:rPr>
          <w:lang w:val="pt-PT" w:eastAsia="ja-JP"/>
        </w:rPr>
        <w:t xml:space="preserve"> políticas que visam garantir a gestão </w:t>
      </w:r>
      <w:proofErr w:type="spellStart"/>
      <w:r w:rsidRPr="00292532">
        <w:rPr>
          <w:lang w:val="pt-PT" w:eastAsia="ja-JP"/>
        </w:rPr>
        <w:t>efectiva</w:t>
      </w:r>
      <w:proofErr w:type="spellEnd"/>
      <w:r w:rsidRPr="00292532">
        <w:rPr>
          <w:lang w:val="pt-PT" w:eastAsia="ja-JP"/>
        </w:rPr>
        <w:t xml:space="preserve"> e sustentável dos recursos hídricos para a satisdação das necessidades presentes e futuras de abastecimento de água e saneamento em condições seguras e fiáveis. Esta contempla a expansão do abastecimento de água às áreas rurais e redução das assimetrias regionais; promoção do princípio de procura no sector de </w:t>
      </w:r>
      <w:r w:rsidR="00D9688F" w:rsidRPr="00292532">
        <w:rPr>
          <w:lang w:val="pt-PT" w:eastAsia="ja-JP"/>
        </w:rPr>
        <w:t>águas</w:t>
      </w:r>
      <w:r w:rsidRPr="00292532">
        <w:rPr>
          <w:lang w:val="pt-PT" w:eastAsia="ja-JP"/>
        </w:rPr>
        <w:t xml:space="preserve">, com os sectores de educação, saúde e agricultura, como base para assegurar o envolvimento da comunidade e criação do sentido de posse para garantir a sustentabilidade dos sistemas rurais. Realça ainda, a participação das mulheres, das partes interessadas e do sector privado. </w:t>
      </w:r>
    </w:p>
    <w:p w14:paraId="3A30200C" w14:textId="4C9B2B8E" w:rsidR="004D2CA5" w:rsidRPr="00292532" w:rsidRDefault="004D2CA5" w:rsidP="004D2CA5">
      <w:pPr>
        <w:rPr>
          <w:lang w:val="pt-PT" w:eastAsia="ja-JP"/>
        </w:rPr>
      </w:pPr>
      <w:r w:rsidRPr="00292532">
        <w:rPr>
          <w:lang w:val="pt-PT" w:eastAsia="ja-JP"/>
        </w:rPr>
        <w:t xml:space="preserve">O mesmo enfoque é feito pela Estratégia na expansão dos serviços de saneamento através do fortalecimento dos arranjos institucionais para operação e manutenção., aplicando, entre outros, uma política integrada de abastecimento de </w:t>
      </w:r>
      <w:r w:rsidR="00D9688F" w:rsidRPr="00292532">
        <w:rPr>
          <w:lang w:val="pt-PT" w:eastAsia="ja-JP"/>
        </w:rPr>
        <w:t>água</w:t>
      </w:r>
      <w:r w:rsidRPr="00292532">
        <w:rPr>
          <w:lang w:val="pt-PT" w:eastAsia="ja-JP"/>
        </w:rPr>
        <w:t xml:space="preserve"> e saneamento.</w:t>
      </w:r>
    </w:p>
    <w:p w14:paraId="2FEEE289" w14:textId="1C742F27" w:rsidR="004D2CA5" w:rsidRPr="00292532" w:rsidRDefault="004D2CA5">
      <w:pPr>
        <w:pStyle w:val="Heading3"/>
        <w:rPr>
          <w:lang w:eastAsia="ja-JP"/>
        </w:rPr>
      </w:pPr>
      <w:bookmarkStart w:id="55" w:name="_Toc80379941"/>
      <w:r w:rsidRPr="00292532">
        <w:rPr>
          <w:lang w:eastAsia="ja-JP"/>
        </w:rPr>
        <w:t>Programa Nacional de Gestão Ambiental</w:t>
      </w:r>
      <w:bookmarkEnd w:id="55"/>
      <w:r w:rsidRPr="00292532">
        <w:rPr>
          <w:lang w:eastAsia="ja-JP"/>
        </w:rPr>
        <w:t xml:space="preserve"> </w:t>
      </w:r>
    </w:p>
    <w:p w14:paraId="7C3E9A16" w14:textId="77777777" w:rsidR="004D2CA5" w:rsidRPr="00292532" w:rsidRDefault="004D2CA5" w:rsidP="004D2CA5">
      <w:pPr>
        <w:rPr>
          <w:lang w:val="pt-PT"/>
        </w:rPr>
      </w:pPr>
      <w:r w:rsidRPr="00292532">
        <w:rPr>
          <w:lang w:val="pt-PT"/>
        </w:rPr>
        <w:t xml:space="preserve">O Programa Nacional de Gestão Ambiental (PNGA), aprovado pelo Conselho de Ministros em 1995, orienta as estratégias e políticas de gestão ambiental em Moçambique. Esta ferramenta jurídica representa assim o plano principal para a área do ambiente em Moçambique, contendo a Política Ambiental Nacional, o Quadro da Legislação de Ambiente e a Estratégia Ambiental. </w:t>
      </w:r>
    </w:p>
    <w:p w14:paraId="08AA42C5" w14:textId="6DF5DFB4" w:rsidR="004D2CA5" w:rsidRPr="00292532" w:rsidRDefault="00365FBE" w:rsidP="004D2CA5">
      <w:pPr>
        <w:rPr>
          <w:lang w:val="pt-PT"/>
        </w:rPr>
      </w:pPr>
      <w:r w:rsidRPr="00292532">
        <w:rPr>
          <w:lang w:val="pt-PT"/>
        </w:rPr>
        <w:t xml:space="preserve">O Ministério da Terra e Ambiente (MTA) </w:t>
      </w:r>
      <w:r w:rsidR="004D2CA5" w:rsidRPr="00292532">
        <w:rPr>
          <w:lang w:val="pt-PT"/>
        </w:rPr>
        <w:t xml:space="preserve">é a entidade com competência para supervisionar a implementação do PNGA e, para esse efeito, foram aprovadas regras e regulamentos ambientais. Cabe, assim, ao </w:t>
      </w:r>
      <w:r w:rsidRPr="00292532">
        <w:rPr>
          <w:lang w:val="pt-PT"/>
        </w:rPr>
        <w:t xml:space="preserve">MTA </w:t>
      </w:r>
      <w:r w:rsidR="004D2CA5" w:rsidRPr="00292532">
        <w:rPr>
          <w:lang w:val="pt-PT"/>
        </w:rPr>
        <w:t xml:space="preserve">a responsabilidade de avaliar políticas de outros ministérios, assim como promover e implementar uma adequada política ambiental. </w:t>
      </w:r>
    </w:p>
    <w:p w14:paraId="06D02DF3" w14:textId="0C9400F1" w:rsidR="004D2CA5" w:rsidRPr="00292532" w:rsidRDefault="004D2CA5" w:rsidP="004D2CA5">
      <w:pPr>
        <w:rPr>
          <w:lang w:val="pt-PT"/>
        </w:rPr>
      </w:pPr>
      <w:r w:rsidRPr="00292532">
        <w:rPr>
          <w:lang w:val="pt-PT"/>
        </w:rPr>
        <w:t xml:space="preserve">A implementação do PNGA requer uma série de </w:t>
      </w:r>
      <w:proofErr w:type="spellStart"/>
      <w:r w:rsidRPr="00292532">
        <w:rPr>
          <w:lang w:val="pt-PT"/>
        </w:rPr>
        <w:t>acções</w:t>
      </w:r>
      <w:proofErr w:type="spellEnd"/>
      <w:r w:rsidRPr="00292532">
        <w:rPr>
          <w:lang w:val="pt-PT"/>
        </w:rPr>
        <w:t xml:space="preserve"> a todos os níveis e sectores e de acordo com o PNGA, o </w:t>
      </w:r>
      <w:r w:rsidR="00365FBE" w:rsidRPr="00292532">
        <w:rPr>
          <w:lang w:val="pt-PT"/>
        </w:rPr>
        <w:t>MTA</w:t>
      </w:r>
      <w:r w:rsidRPr="00292532">
        <w:rPr>
          <w:lang w:val="pt-PT"/>
        </w:rPr>
        <w:t>, em estreita coordenação com outros ministérios e com grupos privados e civis, deverá trabalhar com vista ao:</w:t>
      </w:r>
    </w:p>
    <w:p w14:paraId="7B7F8775" w14:textId="77777777" w:rsidR="004D2CA5" w:rsidRPr="00292532" w:rsidRDefault="004D2CA5" w:rsidP="004D2CA5">
      <w:pPr>
        <w:pStyle w:val="ListParagraph"/>
        <w:rPr>
          <w:lang w:val="pt-PT"/>
        </w:rPr>
      </w:pPr>
      <w:r w:rsidRPr="00292532">
        <w:rPr>
          <w:lang w:val="pt-PT"/>
        </w:rPr>
        <w:t>Desenvolvimento de políticas intersectoriais para o desenvolvimento sustentável;</w:t>
      </w:r>
    </w:p>
    <w:p w14:paraId="667C9EF2" w14:textId="77777777" w:rsidR="004D2CA5" w:rsidRPr="00292532" w:rsidRDefault="004D2CA5" w:rsidP="004D2CA5">
      <w:pPr>
        <w:pStyle w:val="ListParagraph"/>
        <w:rPr>
          <w:lang w:val="pt-PT"/>
        </w:rPr>
      </w:pPr>
      <w:r w:rsidRPr="00292532">
        <w:rPr>
          <w:lang w:val="pt-PT"/>
        </w:rPr>
        <w:lastRenderedPageBreak/>
        <w:t>Desenvolvimento e promoção do planeamento integrado do uso de recursos;</w:t>
      </w:r>
    </w:p>
    <w:p w14:paraId="55EA851A" w14:textId="77777777" w:rsidR="004D2CA5" w:rsidRPr="00292532" w:rsidRDefault="004D2CA5" w:rsidP="004D2CA5">
      <w:pPr>
        <w:pStyle w:val="ListParagraph"/>
        <w:rPr>
          <w:lang w:val="pt-PT"/>
        </w:rPr>
      </w:pPr>
      <w:r w:rsidRPr="00292532">
        <w:rPr>
          <w:lang w:val="pt-PT"/>
        </w:rPr>
        <w:t xml:space="preserve">Promoção da legislação do sector e estabelecimento de normas e critérios para </w:t>
      </w:r>
      <w:proofErr w:type="spellStart"/>
      <w:r w:rsidRPr="00292532">
        <w:rPr>
          <w:lang w:val="pt-PT"/>
        </w:rPr>
        <w:t>protecção</w:t>
      </w:r>
      <w:proofErr w:type="spellEnd"/>
      <w:r w:rsidRPr="00292532">
        <w:rPr>
          <w:lang w:val="pt-PT"/>
        </w:rPr>
        <w:t xml:space="preserve"> ambiental e uso sustentável dos recursos naturais do país;</w:t>
      </w:r>
    </w:p>
    <w:p w14:paraId="26C654E2" w14:textId="5B1249B4" w:rsidR="004D2CA5" w:rsidRPr="00292532" w:rsidRDefault="004D2CA5" w:rsidP="004D2CA5">
      <w:pPr>
        <w:rPr>
          <w:lang w:val="pt-PT"/>
        </w:rPr>
      </w:pPr>
      <w:r w:rsidRPr="00292532">
        <w:rPr>
          <w:lang w:val="pt-PT"/>
        </w:rPr>
        <w:t>Criação de condições para a aplicação da lei e monitorização ambiental.</w:t>
      </w:r>
    </w:p>
    <w:p w14:paraId="071C279D" w14:textId="074E74CD" w:rsidR="004D2CA5" w:rsidRPr="00292532" w:rsidRDefault="00FB3D2E" w:rsidP="00FB3D2E">
      <w:pPr>
        <w:pStyle w:val="Heading2"/>
      </w:pPr>
      <w:bookmarkStart w:id="56" w:name="_Toc80379645"/>
      <w:bookmarkStart w:id="57" w:name="_Toc80379942"/>
      <w:bookmarkStart w:id="58" w:name="_Toc80379943"/>
      <w:bookmarkEnd w:id="56"/>
      <w:bookmarkEnd w:id="57"/>
      <w:r w:rsidRPr="00292532">
        <w:t xml:space="preserve">Quadro </w:t>
      </w:r>
      <w:r w:rsidR="002B6CAE" w:rsidRPr="00292532">
        <w:t xml:space="preserve">Legal </w:t>
      </w:r>
      <w:r w:rsidRPr="00292532">
        <w:t xml:space="preserve">Aplicável ao </w:t>
      </w:r>
      <w:proofErr w:type="spellStart"/>
      <w:r w:rsidRPr="00292532">
        <w:t>Projecto</w:t>
      </w:r>
      <w:bookmarkEnd w:id="58"/>
      <w:proofErr w:type="spellEnd"/>
    </w:p>
    <w:p w14:paraId="67205316" w14:textId="19DB5125" w:rsidR="00FB3D2E" w:rsidRPr="00292532" w:rsidRDefault="00FB3D2E" w:rsidP="00FB3D2E">
      <w:pPr>
        <w:rPr>
          <w:lang w:val="pt-PT" w:eastAsia="ja-JP"/>
        </w:rPr>
      </w:pPr>
      <w:r w:rsidRPr="00292532">
        <w:rPr>
          <w:lang w:val="pt-PT" w:eastAsia="ja-JP"/>
        </w:rPr>
        <w:t xml:space="preserve">A </w:t>
      </w:r>
      <w:r w:rsidR="00322897" w:rsidRPr="00292532">
        <w:rPr>
          <w:b/>
          <w:bCs/>
          <w:lang w:val="pt-PT" w:eastAsia="ja-JP"/>
        </w:rPr>
        <w:fldChar w:fldCharType="begin"/>
      </w:r>
      <w:r w:rsidR="00322897" w:rsidRPr="00292532">
        <w:rPr>
          <w:b/>
          <w:bCs/>
          <w:lang w:val="pt-PT" w:eastAsia="ja-JP"/>
        </w:rPr>
        <w:instrText xml:space="preserve"> REF _Ref72942361 \h  \* MERGEFORMAT </w:instrText>
      </w:r>
      <w:r w:rsidR="00322897" w:rsidRPr="00292532">
        <w:rPr>
          <w:b/>
          <w:bCs/>
          <w:lang w:val="pt-PT" w:eastAsia="ja-JP"/>
        </w:rPr>
      </w:r>
      <w:r w:rsidR="00322897" w:rsidRPr="00292532">
        <w:rPr>
          <w:b/>
          <w:bCs/>
          <w:lang w:val="pt-PT" w:eastAsia="ja-JP"/>
        </w:rPr>
        <w:fldChar w:fldCharType="separate"/>
      </w:r>
      <w:r w:rsidR="001A21CB" w:rsidRPr="00292532">
        <w:rPr>
          <w:b/>
          <w:bCs/>
          <w:lang w:val="pt-PT"/>
        </w:rPr>
        <w:t xml:space="preserve">Tabela </w:t>
      </w:r>
      <w:r w:rsidR="001A21CB" w:rsidRPr="00292532">
        <w:rPr>
          <w:b/>
          <w:bCs/>
          <w:noProof/>
          <w:lang w:val="pt-PT"/>
        </w:rPr>
        <w:t>6</w:t>
      </w:r>
      <w:r w:rsidR="00322897" w:rsidRPr="00292532">
        <w:rPr>
          <w:b/>
          <w:bCs/>
          <w:lang w:val="pt-PT" w:eastAsia="ja-JP"/>
        </w:rPr>
        <w:fldChar w:fldCharType="end"/>
      </w:r>
      <w:r w:rsidR="00322897" w:rsidRPr="00292532">
        <w:rPr>
          <w:lang w:val="pt-PT" w:eastAsia="ja-JP"/>
        </w:rPr>
        <w:t xml:space="preserve"> </w:t>
      </w:r>
      <w:r w:rsidRPr="00292532">
        <w:rPr>
          <w:lang w:val="pt-PT" w:eastAsia="ja-JP"/>
        </w:rPr>
        <w:t xml:space="preserve">que se segue apresenta de forma sumária, o quadro legal aplicável ao </w:t>
      </w:r>
      <w:proofErr w:type="spellStart"/>
      <w:r w:rsidRPr="00292532">
        <w:rPr>
          <w:lang w:val="pt-PT" w:eastAsia="ja-JP"/>
        </w:rPr>
        <w:t>projecto</w:t>
      </w:r>
      <w:proofErr w:type="spellEnd"/>
      <w:r w:rsidRPr="00292532">
        <w:rPr>
          <w:lang w:val="pt-PT" w:eastAsia="ja-JP"/>
        </w:rPr>
        <w:t>, apresentando os diversos instrumentos legais de potencial interesse para o mesmo.</w:t>
      </w:r>
    </w:p>
    <w:p w14:paraId="02C7BF77" w14:textId="413B48A1" w:rsidR="00FB3D2E" w:rsidRPr="00292532" w:rsidRDefault="00FB3D2E" w:rsidP="00FB3D2E">
      <w:pPr>
        <w:pStyle w:val="Caption"/>
      </w:pPr>
      <w:bookmarkStart w:id="59" w:name="_Ref72942361"/>
      <w:bookmarkStart w:id="60" w:name="_Toc75438147"/>
      <w:bookmarkStart w:id="61" w:name="_Toc80380253"/>
      <w:r w:rsidRPr="00292532">
        <w:t xml:space="preserve">Tabela </w:t>
      </w:r>
      <w:r w:rsidRPr="00292532">
        <w:fldChar w:fldCharType="begin"/>
      </w:r>
      <w:r w:rsidRPr="00292532">
        <w:instrText xml:space="preserve"> SEQ Tabela \* ARABIC </w:instrText>
      </w:r>
      <w:r w:rsidRPr="00292532">
        <w:fldChar w:fldCharType="separate"/>
      </w:r>
      <w:r w:rsidR="000D7B05">
        <w:rPr>
          <w:noProof/>
        </w:rPr>
        <w:t>6</w:t>
      </w:r>
      <w:r w:rsidRPr="00292532">
        <w:fldChar w:fldCharType="end"/>
      </w:r>
      <w:bookmarkEnd w:id="59"/>
      <w:r w:rsidRPr="00292532">
        <w:t xml:space="preserve"> Legislação Aplicável ao </w:t>
      </w:r>
      <w:proofErr w:type="spellStart"/>
      <w:r w:rsidRPr="00292532">
        <w:t>Projecto</w:t>
      </w:r>
      <w:bookmarkEnd w:id="60"/>
      <w:bookmarkEnd w:id="61"/>
      <w:proofErr w:type="spellEnd"/>
    </w:p>
    <w:tbl>
      <w:tblPr>
        <w:tblW w:w="8955" w:type="dxa"/>
        <w:tblInd w:w="-270" w:type="dxa"/>
        <w:tblBorders>
          <w:top w:val="single" w:sz="4" w:space="0" w:color="7F7F7F" w:themeColor="text1" w:themeTint="80"/>
          <w:bottom w:val="single" w:sz="4" w:space="0" w:color="auto"/>
          <w:insideH w:val="single" w:sz="4" w:space="0" w:color="auto"/>
        </w:tblBorders>
        <w:tblLook w:val="04A0" w:firstRow="1" w:lastRow="0" w:firstColumn="1" w:lastColumn="0" w:noHBand="0" w:noVBand="1"/>
      </w:tblPr>
      <w:tblGrid>
        <w:gridCol w:w="2430"/>
        <w:gridCol w:w="6525"/>
      </w:tblGrid>
      <w:tr w:rsidR="00FB3D2E" w:rsidRPr="00292532" w14:paraId="39DB693F" w14:textId="77777777" w:rsidTr="000A4645">
        <w:trPr>
          <w:trHeight w:val="526"/>
          <w:tblHeader/>
        </w:trPr>
        <w:tc>
          <w:tcPr>
            <w:tcW w:w="2430" w:type="dxa"/>
            <w:shd w:val="clear" w:color="auto" w:fill="2E74B5" w:themeFill="accent5" w:themeFillShade="BF"/>
            <w:vAlign w:val="center"/>
          </w:tcPr>
          <w:p w14:paraId="44E04738" w14:textId="77777777" w:rsidR="00FB3D2E" w:rsidRPr="00292532" w:rsidRDefault="00FB3D2E" w:rsidP="00FB3D2E">
            <w:pPr>
              <w:autoSpaceDE w:val="0"/>
              <w:autoSpaceDN w:val="0"/>
              <w:adjustRightInd w:val="0"/>
              <w:spacing w:before="120" w:afterLines="160" w:after="384" w:line="20" w:lineRule="atLeast"/>
              <w:jc w:val="center"/>
              <w:rPr>
                <w:rFonts w:asciiTheme="minorHAnsi" w:eastAsia="Calibri" w:hAnsiTheme="minorHAnsi" w:cstheme="minorHAnsi"/>
                <w:b/>
                <w:color w:val="FFFFFF" w:themeColor="background1"/>
                <w:sz w:val="20"/>
                <w:szCs w:val="24"/>
                <w:lang w:val="pt-PT"/>
              </w:rPr>
            </w:pPr>
            <w:bookmarkStart w:id="62" w:name="_Hlk70707897"/>
            <w:bookmarkStart w:id="63" w:name="_Hlk70707974"/>
            <w:r w:rsidRPr="00292532">
              <w:rPr>
                <w:rFonts w:asciiTheme="minorHAnsi" w:eastAsia="Calibri" w:hAnsiTheme="minorHAnsi" w:cstheme="minorHAnsi"/>
                <w:b/>
                <w:color w:val="FFFFFF" w:themeColor="background1"/>
                <w:sz w:val="20"/>
                <w:szCs w:val="24"/>
                <w:lang w:val="pt-PT"/>
              </w:rPr>
              <w:t>Diploma</w:t>
            </w:r>
          </w:p>
        </w:tc>
        <w:tc>
          <w:tcPr>
            <w:tcW w:w="6525" w:type="dxa"/>
            <w:shd w:val="clear" w:color="auto" w:fill="2E74B5" w:themeFill="accent5" w:themeFillShade="BF"/>
            <w:vAlign w:val="center"/>
          </w:tcPr>
          <w:p w14:paraId="6B1904D6" w14:textId="77777777" w:rsidR="00FB3D2E" w:rsidRPr="00292532" w:rsidRDefault="00FB3D2E" w:rsidP="00FB3D2E">
            <w:pPr>
              <w:autoSpaceDE w:val="0"/>
              <w:autoSpaceDN w:val="0"/>
              <w:adjustRightInd w:val="0"/>
              <w:spacing w:before="120" w:afterLines="160" w:after="384" w:line="20" w:lineRule="atLeast"/>
              <w:jc w:val="center"/>
              <w:rPr>
                <w:rFonts w:asciiTheme="minorHAnsi" w:eastAsia="Calibri" w:hAnsiTheme="minorHAnsi" w:cstheme="minorHAnsi"/>
                <w:b/>
                <w:color w:val="FFFFFF" w:themeColor="background1"/>
                <w:sz w:val="20"/>
                <w:szCs w:val="24"/>
                <w:lang w:val="pt-PT"/>
              </w:rPr>
            </w:pPr>
            <w:r w:rsidRPr="00292532">
              <w:rPr>
                <w:rFonts w:asciiTheme="minorHAnsi" w:eastAsia="Calibri" w:hAnsiTheme="minorHAnsi" w:cstheme="minorHAnsi"/>
                <w:b/>
                <w:color w:val="FFFFFF" w:themeColor="background1"/>
                <w:sz w:val="20"/>
                <w:szCs w:val="24"/>
                <w:lang w:val="pt-PT"/>
              </w:rPr>
              <w:t>Conteúdo e relevância</w:t>
            </w:r>
          </w:p>
        </w:tc>
      </w:tr>
      <w:tr w:rsidR="00FB3D2E" w:rsidRPr="00292532" w14:paraId="0349F5C3" w14:textId="77777777" w:rsidTr="000A4645">
        <w:trPr>
          <w:trHeight w:val="481"/>
        </w:trPr>
        <w:tc>
          <w:tcPr>
            <w:tcW w:w="8955" w:type="dxa"/>
            <w:gridSpan w:val="2"/>
            <w:shd w:val="clear" w:color="auto" w:fill="DEEAF6" w:themeFill="accent5" w:themeFillTint="33"/>
            <w:vAlign w:val="center"/>
          </w:tcPr>
          <w:p w14:paraId="3161781E" w14:textId="77777777" w:rsidR="00FB3D2E" w:rsidRPr="00292532" w:rsidRDefault="00FB3D2E" w:rsidP="00FB3D2E">
            <w:pPr>
              <w:autoSpaceDE w:val="0"/>
              <w:autoSpaceDN w:val="0"/>
              <w:adjustRightInd w:val="0"/>
              <w:spacing w:before="120" w:afterLines="160" w:after="384" w:line="20" w:lineRule="atLeast"/>
              <w:jc w:val="center"/>
              <w:rPr>
                <w:rFonts w:asciiTheme="minorHAnsi" w:eastAsia="Calibri" w:hAnsiTheme="minorHAnsi" w:cstheme="minorHAnsi"/>
                <w:b/>
                <w:sz w:val="20"/>
                <w:szCs w:val="24"/>
                <w:lang w:val="pt-PT"/>
              </w:rPr>
            </w:pPr>
            <w:r w:rsidRPr="00292532">
              <w:rPr>
                <w:rFonts w:asciiTheme="minorHAnsi" w:eastAsia="Calibri" w:hAnsiTheme="minorHAnsi" w:cstheme="minorHAnsi"/>
                <w:b/>
                <w:sz w:val="20"/>
                <w:szCs w:val="24"/>
                <w:lang w:val="pt-PT"/>
              </w:rPr>
              <w:t>Avaliação de Impacto Ambiental</w:t>
            </w:r>
          </w:p>
        </w:tc>
      </w:tr>
      <w:tr w:rsidR="00FB3D2E" w:rsidRPr="00AB3051" w14:paraId="6AC8934C" w14:textId="77777777" w:rsidTr="00A77ED3">
        <w:tc>
          <w:tcPr>
            <w:tcW w:w="2430" w:type="dxa"/>
            <w:vAlign w:val="center"/>
          </w:tcPr>
          <w:p w14:paraId="4765EBAB"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Lei do Ambiente (Lei nº 20/97, de 1 de </w:t>
            </w:r>
            <w:proofErr w:type="gramStart"/>
            <w:r w:rsidRPr="00292532">
              <w:rPr>
                <w:rFonts w:asciiTheme="minorHAnsi" w:eastAsia="Calibri" w:hAnsiTheme="minorHAnsi" w:cstheme="minorHAnsi"/>
                <w:sz w:val="20"/>
                <w:szCs w:val="24"/>
                <w:lang w:val="pt-PT"/>
              </w:rPr>
              <w:t>Outubro</w:t>
            </w:r>
            <w:proofErr w:type="gramEnd"/>
            <w:r w:rsidRPr="00292532">
              <w:rPr>
                <w:rFonts w:asciiTheme="minorHAnsi" w:eastAsia="Calibri" w:hAnsiTheme="minorHAnsi" w:cstheme="minorHAnsi"/>
                <w:sz w:val="20"/>
                <w:szCs w:val="24"/>
                <w:lang w:val="pt-PT"/>
              </w:rPr>
              <w:t>)</w:t>
            </w:r>
          </w:p>
        </w:tc>
        <w:tc>
          <w:tcPr>
            <w:tcW w:w="6525" w:type="dxa"/>
            <w:vAlign w:val="center"/>
          </w:tcPr>
          <w:p w14:paraId="2C0ED0F2"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Define as bases legais para o uso e gestão do meio ambiente, de modo a garantir o desenvolvimento sustentável do País. </w:t>
            </w:r>
          </w:p>
          <w:p w14:paraId="4F72ABE1"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Define a Avaliação de Impacto Ambiental (AIA) como um instrumento que auxilia o Governo de Moçambique no processo de tomada de decisão sobre a emissão de licenças ambientais para </w:t>
            </w:r>
            <w:proofErr w:type="spellStart"/>
            <w:r w:rsidRPr="00292532">
              <w:rPr>
                <w:rFonts w:asciiTheme="minorHAnsi" w:eastAsia="Calibri" w:hAnsiTheme="minorHAnsi" w:cstheme="minorHAnsi"/>
                <w:sz w:val="20"/>
                <w:szCs w:val="24"/>
                <w:lang w:val="pt-PT"/>
              </w:rPr>
              <w:t>projectos</w:t>
            </w:r>
            <w:proofErr w:type="spellEnd"/>
            <w:r w:rsidRPr="00292532">
              <w:rPr>
                <w:rFonts w:asciiTheme="minorHAnsi" w:eastAsia="Calibri" w:hAnsiTheme="minorHAnsi" w:cstheme="minorHAnsi"/>
                <w:sz w:val="20"/>
                <w:szCs w:val="24"/>
                <w:lang w:val="pt-PT"/>
              </w:rPr>
              <w:t xml:space="preserve"> de desenvolvimento. A emissão de uma licença ambiental deve preceder quaisquer outras licenças legais necessárias. </w:t>
            </w:r>
          </w:p>
          <w:p w14:paraId="7D38BA04"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Aplicável a todas as </w:t>
            </w:r>
            <w:proofErr w:type="spellStart"/>
            <w:r w:rsidRPr="00292532">
              <w:rPr>
                <w:rFonts w:asciiTheme="minorHAnsi" w:eastAsia="Calibri" w:hAnsiTheme="minorHAnsi" w:cstheme="minorHAnsi"/>
                <w:sz w:val="20"/>
                <w:szCs w:val="24"/>
                <w:lang w:val="pt-PT"/>
              </w:rPr>
              <w:t>actividades</w:t>
            </w:r>
            <w:proofErr w:type="spellEnd"/>
            <w:r w:rsidRPr="00292532">
              <w:rPr>
                <w:rFonts w:asciiTheme="minorHAnsi" w:eastAsia="Calibri" w:hAnsiTheme="minorHAnsi" w:cstheme="minorHAnsi"/>
                <w:sz w:val="20"/>
                <w:szCs w:val="24"/>
                <w:lang w:val="pt-PT"/>
              </w:rPr>
              <w:t xml:space="preserve"> públicas ou privadas que podem, </w:t>
            </w:r>
            <w:proofErr w:type="spellStart"/>
            <w:r w:rsidRPr="00292532">
              <w:rPr>
                <w:rFonts w:asciiTheme="minorHAnsi" w:eastAsia="Calibri" w:hAnsiTheme="minorHAnsi" w:cstheme="minorHAnsi"/>
                <w:sz w:val="20"/>
                <w:szCs w:val="24"/>
                <w:lang w:val="pt-PT"/>
              </w:rPr>
              <w:t>directa</w:t>
            </w:r>
            <w:proofErr w:type="spellEnd"/>
            <w:r w:rsidRPr="00292532">
              <w:rPr>
                <w:rFonts w:asciiTheme="minorHAnsi" w:eastAsia="Calibri" w:hAnsiTheme="minorHAnsi" w:cstheme="minorHAnsi"/>
                <w:sz w:val="20"/>
                <w:szCs w:val="24"/>
                <w:lang w:val="pt-PT"/>
              </w:rPr>
              <w:t xml:space="preserve"> ou </w:t>
            </w:r>
            <w:proofErr w:type="spellStart"/>
            <w:r w:rsidRPr="00292532">
              <w:rPr>
                <w:rFonts w:asciiTheme="minorHAnsi" w:eastAsia="Calibri" w:hAnsiTheme="minorHAnsi" w:cstheme="minorHAnsi"/>
                <w:sz w:val="20"/>
                <w:szCs w:val="24"/>
                <w:lang w:val="pt-PT"/>
              </w:rPr>
              <w:t>indirectamente</w:t>
            </w:r>
            <w:proofErr w:type="spellEnd"/>
            <w:r w:rsidRPr="00292532">
              <w:rPr>
                <w:rFonts w:asciiTheme="minorHAnsi" w:eastAsia="Calibri" w:hAnsiTheme="minorHAnsi" w:cstheme="minorHAnsi"/>
                <w:sz w:val="20"/>
                <w:szCs w:val="24"/>
                <w:lang w:val="pt-PT"/>
              </w:rPr>
              <w:t xml:space="preserve">, </w:t>
            </w:r>
            <w:proofErr w:type="spellStart"/>
            <w:r w:rsidRPr="00292532">
              <w:rPr>
                <w:rFonts w:asciiTheme="minorHAnsi" w:eastAsia="Calibri" w:hAnsiTheme="minorHAnsi" w:cstheme="minorHAnsi"/>
                <w:sz w:val="20"/>
                <w:szCs w:val="24"/>
                <w:lang w:val="pt-PT"/>
              </w:rPr>
              <w:t>afectar</w:t>
            </w:r>
            <w:proofErr w:type="spellEnd"/>
            <w:r w:rsidRPr="00292532">
              <w:rPr>
                <w:rFonts w:asciiTheme="minorHAnsi" w:eastAsia="Calibri" w:hAnsiTheme="minorHAnsi" w:cstheme="minorHAnsi"/>
                <w:sz w:val="20"/>
                <w:szCs w:val="24"/>
                <w:lang w:val="pt-PT"/>
              </w:rPr>
              <w:t xml:space="preserve"> o meio ambiente.</w:t>
            </w:r>
          </w:p>
          <w:p w14:paraId="04451F25" w14:textId="1F60AEEB"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A estabelece que os </w:t>
            </w:r>
            <w:proofErr w:type="spellStart"/>
            <w:r w:rsidRPr="00292532">
              <w:rPr>
                <w:rFonts w:asciiTheme="minorHAnsi" w:eastAsia="Calibri" w:hAnsiTheme="minorHAnsi" w:cstheme="minorHAnsi"/>
                <w:sz w:val="20"/>
                <w:szCs w:val="24"/>
                <w:lang w:val="pt-PT"/>
              </w:rPr>
              <w:t>Projectos</w:t>
            </w:r>
            <w:proofErr w:type="spellEnd"/>
            <w:r w:rsidRPr="00292532">
              <w:rPr>
                <w:rFonts w:asciiTheme="minorHAnsi" w:eastAsia="Calibri" w:hAnsiTheme="minorHAnsi" w:cstheme="minorHAnsi"/>
                <w:sz w:val="20"/>
                <w:szCs w:val="24"/>
                <w:lang w:val="pt-PT"/>
              </w:rPr>
              <w:t xml:space="preserve"> e operações que possam causar impacto negativo significativo sobre o ambiente estão sujeitos a uma Avaliação de Impacto Ambiental (AIA) a ser realizada por consultores independentes. Esta AIA, descrita em regulamento </w:t>
            </w:r>
            <w:r w:rsidR="00876367" w:rsidRPr="00292532">
              <w:rPr>
                <w:rFonts w:asciiTheme="minorHAnsi" w:eastAsia="Calibri" w:hAnsiTheme="minorHAnsi" w:cstheme="minorHAnsi"/>
                <w:sz w:val="20"/>
                <w:szCs w:val="24"/>
                <w:lang w:val="pt-PT"/>
              </w:rPr>
              <w:t>próprio,</w:t>
            </w:r>
            <w:r w:rsidRPr="00292532">
              <w:rPr>
                <w:rFonts w:asciiTheme="minorHAnsi" w:eastAsia="Calibri" w:hAnsiTheme="minorHAnsi" w:cstheme="minorHAnsi"/>
                <w:sz w:val="20"/>
                <w:szCs w:val="24"/>
                <w:lang w:val="pt-PT"/>
              </w:rPr>
              <w:t xml:space="preserve"> é condição necessária para a obtenção de uma Licença </w:t>
            </w:r>
            <w:r w:rsidR="00F956D4" w:rsidRPr="00292532">
              <w:rPr>
                <w:rFonts w:asciiTheme="minorHAnsi" w:eastAsia="Calibri" w:hAnsiTheme="minorHAnsi" w:cstheme="minorHAnsi"/>
                <w:sz w:val="20"/>
                <w:szCs w:val="24"/>
                <w:lang w:val="pt-PT"/>
              </w:rPr>
              <w:t>Ambiental,</w:t>
            </w:r>
            <w:r w:rsidRPr="00292532">
              <w:rPr>
                <w:rFonts w:asciiTheme="minorHAnsi" w:eastAsia="Calibri" w:hAnsiTheme="minorHAnsi" w:cstheme="minorHAnsi"/>
                <w:sz w:val="20"/>
                <w:szCs w:val="24"/>
                <w:lang w:val="pt-PT"/>
              </w:rPr>
              <w:t xml:space="preserve"> que precederá quaisquer outras licenças legalmente exigidas em função do tipo do </w:t>
            </w:r>
            <w:proofErr w:type="spellStart"/>
            <w:r w:rsidRPr="00292532">
              <w:rPr>
                <w:rFonts w:asciiTheme="minorHAnsi" w:eastAsia="Calibri" w:hAnsiTheme="minorHAnsi" w:cstheme="minorHAnsi"/>
                <w:sz w:val="20"/>
                <w:szCs w:val="24"/>
                <w:lang w:val="pt-PT"/>
              </w:rPr>
              <w:t>Projecto</w:t>
            </w:r>
            <w:proofErr w:type="spellEnd"/>
          </w:p>
        </w:tc>
      </w:tr>
      <w:tr w:rsidR="00FB3D2E" w:rsidRPr="00AB3051" w14:paraId="4CD2F490" w14:textId="77777777" w:rsidTr="00A77ED3">
        <w:tc>
          <w:tcPr>
            <w:tcW w:w="2430" w:type="dxa"/>
            <w:vAlign w:val="center"/>
          </w:tcPr>
          <w:p w14:paraId="2BC7C80A"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sobre o Processo de Avaliação de Impacto Ambiental (Decreto nº 54/2015, de 31 de </w:t>
            </w:r>
            <w:proofErr w:type="gramStart"/>
            <w:r w:rsidRPr="00292532">
              <w:rPr>
                <w:rFonts w:asciiTheme="minorHAnsi" w:eastAsia="Calibri" w:hAnsiTheme="minorHAnsi" w:cstheme="minorHAnsi"/>
                <w:sz w:val="20"/>
                <w:szCs w:val="24"/>
                <w:lang w:val="pt-PT"/>
              </w:rPr>
              <w:t>Dezembro</w:t>
            </w:r>
            <w:proofErr w:type="gramEnd"/>
            <w:r w:rsidRPr="00292532">
              <w:rPr>
                <w:rFonts w:asciiTheme="minorHAnsi" w:eastAsia="Calibri" w:hAnsiTheme="minorHAnsi" w:cstheme="minorHAnsi"/>
                <w:sz w:val="20"/>
                <w:szCs w:val="24"/>
                <w:lang w:val="pt-PT"/>
              </w:rPr>
              <w:t>)</w:t>
            </w:r>
          </w:p>
        </w:tc>
        <w:tc>
          <w:tcPr>
            <w:tcW w:w="6525" w:type="dxa"/>
            <w:vAlign w:val="center"/>
          </w:tcPr>
          <w:p w14:paraId="2A52042C"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Estabelece as normas sobre o processo de avaliação ambiental, nomeadamente o processo de categorização de </w:t>
            </w:r>
            <w:proofErr w:type="spellStart"/>
            <w:r w:rsidRPr="00292532">
              <w:rPr>
                <w:rFonts w:asciiTheme="minorHAnsi" w:eastAsia="Calibri" w:hAnsiTheme="minorHAnsi" w:cstheme="minorHAnsi"/>
                <w:sz w:val="20"/>
                <w:szCs w:val="24"/>
                <w:lang w:val="pt-PT"/>
              </w:rPr>
              <w:t>actividades</w:t>
            </w:r>
            <w:proofErr w:type="spellEnd"/>
            <w:r w:rsidRPr="00292532">
              <w:rPr>
                <w:rFonts w:asciiTheme="minorHAnsi" w:eastAsia="Calibri" w:hAnsiTheme="minorHAnsi" w:cstheme="minorHAnsi"/>
                <w:sz w:val="20"/>
                <w:szCs w:val="24"/>
                <w:lang w:val="pt-PT"/>
              </w:rPr>
              <w:t xml:space="preserve">, o nível e conteúdos dos estudos ambientais requeridos para as diferentes categorias, processo de participação pública, processo de revisão, etapas do licenciamento ambiental (Provisório, de Instalação e de Operação), responsabilidades, </w:t>
            </w:r>
            <w:proofErr w:type="spellStart"/>
            <w:r w:rsidRPr="00292532">
              <w:rPr>
                <w:rFonts w:asciiTheme="minorHAnsi" w:eastAsia="Calibri" w:hAnsiTheme="minorHAnsi" w:cstheme="minorHAnsi"/>
                <w:sz w:val="20"/>
                <w:szCs w:val="24"/>
                <w:lang w:val="pt-PT"/>
              </w:rPr>
              <w:t>inspecções</w:t>
            </w:r>
            <w:proofErr w:type="spellEnd"/>
            <w:r w:rsidRPr="00292532">
              <w:rPr>
                <w:rFonts w:asciiTheme="minorHAnsi" w:eastAsia="Calibri" w:hAnsiTheme="minorHAnsi" w:cstheme="minorHAnsi"/>
                <w:sz w:val="20"/>
                <w:szCs w:val="24"/>
                <w:lang w:val="pt-PT"/>
              </w:rPr>
              <w:t>, taxas e sanções.</w:t>
            </w:r>
          </w:p>
          <w:p w14:paraId="2776CBFA"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Este regulamento classifica os </w:t>
            </w:r>
            <w:proofErr w:type="spellStart"/>
            <w:r w:rsidRPr="00292532">
              <w:rPr>
                <w:rFonts w:asciiTheme="minorHAnsi" w:eastAsia="Calibri" w:hAnsiTheme="minorHAnsi" w:cstheme="minorHAnsi"/>
                <w:sz w:val="20"/>
                <w:szCs w:val="24"/>
                <w:lang w:val="pt-PT"/>
              </w:rPr>
              <w:t>Projectos</w:t>
            </w:r>
            <w:proofErr w:type="spellEnd"/>
            <w:r w:rsidRPr="00292532">
              <w:rPr>
                <w:rFonts w:asciiTheme="minorHAnsi" w:eastAsia="Calibri" w:hAnsiTheme="minorHAnsi" w:cstheme="minorHAnsi"/>
                <w:sz w:val="20"/>
                <w:szCs w:val="24"/>
                <w:lang w:val="pt-PT"/>
              </w:rPr>
              <w:t xml:space="preserve"> em quatro categorias para fins de definição de tipo de processo de AIA, a saber:</w:t>
            </w:r>
          </w:p>
          <w:p w14:paraId="137BEDF2" w14:textId="7D4727A6"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Categoria A + - Para </w:t>
            </w:r>
            <w:proofErr w:type="spellStart"/>
            <w:r w:rsidR="008C3A00" w:rsidRPr="00292532">
              <w:rPr>
                <w:rFonts w:asciiTheme="minorHAnsi" w:eastAsia="Calibri" w:hAnsiTheme="minorHAnsi" w:cstheme="minorHAnsi"/>
                <w:sz w:val="20"/>
                <w:szCs w:val="24"/>
                <w:lang w:val="pt-PT"/>
              </w:rPr>
              <w:t>projecto</w:t>
            </w:r>
            <w:r w:rsidRPr="00292532">
              <w:rPr>
                <w:rFonts w:asciiTheme="minorHAnsi" w:eastAsia="Calibri" w:hAnsiTheme="minorHAnsi" w:cstheme="minorHAnsi"/>
                <w:sz w:val="20"/>
                <w:szCs w:val="24"/>
                <w:lang w:val="pt-PT"/>
              </w:rPr>
              <w:t>s</w:t>
            </w:r>
            <w:proofErr w:type="spellEnd"/>
            <w:r w:rsidRPr="00292532">
              <w:rPr>
                <w:rFonts w:asciiTheme="minorHAnsi" w:eastAsia="Calibri" w:hAnsiTheme="minorHAnsi" w:cstheme="minorHAnsi"/>
                <w:sz w:val="20"/>
                <w:szCs w:val="24"/>
                <w:lang w:val="pt-PT"/>
              </w:rPr>
              <w:t xml:space="preserve"> com prováveis impactos significativos, a tomada de decisão é reservada ao nível central; nesses casos, um EIA completo deve </w:t>
            </w:r>
            <w:r w:rsidRPr="00292532">
              <w:rPr>
                <w:rFonts w:asciiTheme="minorHAnsi" w:eastAsia="Calibri" w:hAnsiTheme="minorHAnsi" w:cstheme="minorHAnsi"/>
                <w:sz w:val="20"/>
                <w:szCs w:val="24"/>
                <w:lang w:val="pt-PT"/>
              </w:rPr>
              <w:lastRenderedPageBreak/>
              <w:t>ser realizado e supervisionado por Revisores Especialistas Independentes com experiência verificável;</w:t>
            </w:r>
          </w:p>
          <w:p w14:paraId="14641244" w14:textId="2DC90A29"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Categoria A - Para </w:t>
            </w:r>
            <w:proofErr w:type="spellStart"/>
            <w:r w:rsidR="008C3A00" w:rsidRPr="00292532">
              <w:rPr>
                <w:rFonts w:asciiTheme="minorHAnsi" w:eastAsia="Calibri" w:hAnsiTheme="minorHAnsi" w:cstheme="minorHAnsi"/>
                <w:sz w:val="20"/>
                <w:szCs w:val="24"/>
                <w:lang w:val="pt-PT"/>
              </w:rPr>
              <w:t>projecto</w:t>
            </w:r>
            <w:r w:rsidRPr="00292532">
              <w:rPr>
                <w:rFonts w:asciiTheme="minorHAnsi" w:eastAsia="Calibri" w:hAnsiTheme="minorHAnsi" w:cstheme="minorHAnsi"/>
                <w:sz w:val="20"/>
                <w:szCs w:val="24"/>
                <w:lang w:val="pt-PT"/>
              </w:rPr>
              <w:t>s</w:t>
            </w:r>
            <w:proofErr w:type="spellEnd"/>
            <w:r w:rsidRPr="00292532">
              <w:rPr>
                <w:rFonts w:asciiTheme="minorHAnsi" w:eastAsia="Calibri" w:hAnsiTheme="minorHAnsi" w:cstheme="minorHAnsi"/>
                <w:sz w:val="20"/>
                <w:szCs w:val="24"/>
                <w:lang w:val="pt-PT"/>
              </w:rPr>
              <w:t xml:space="preserve"> com prováveis impactos significativos, a tomada de decisão é reservada ao nível central; nesses casos, um EIA completo é necessário;</w:t>
            </w:r>
          </w:p>
          <w:p w14:paraId="5E1D7AC4" w14:textId="14978E4E"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Categoria B - Para </w:t>
            </w:r>
            <w:proofErr w:type="spellStart"/>
            <w:r w:rsidR="008C3A00" w:rsidRPr="00292532">
              <w:rPr>
                <w:rFonts w:asciiTheme="minorHAnsi" w:eastAsia="Calibri" w:hAnsiTheme="minorHAnsi" w:cstheme="minorHAnsi"/>
                <w:sz w:val="20"/>
                <w:szCs w:val="24"/>
                <w:lang w:val="pt-PT"/>
              </w:rPr>
              <w:t>projecto</w:t>
            </w:r>
            <w:r w:rsidRPr="00292532">
              <w:rPr>
                <w:rFonts w:asciiTheme="minorHAnsi" w:eastAsia="Calibri" w:hAnsiTheme="minorHAnsi" w:cstheme="minorHAnsi"/>
                <w:sz w:val="20"/>
                <w:szCs w:val="24"/>
                <w:lang w:val="pt-PT"/>
              </w:rPr>
              <w:t>s</w:t>
            </w:r>
            <w:proofErr w:type="spellEnd"/>
            <w:r w:rsidRPr="00292532">
              <w:rPr>
                <w:rFonts w:asciiTheme="minorHAnsi" w:eastAsia="Calibri" w:hAnsiTheme="minorHAnsi" w:cstheme="minorHAnsi"/>
                <w:sz w:val="20"/>
                <w:szCs w:val="24"/>
                <w:lang w:val="pt-PT"/>
              </w:rPr>
              <w:t xml:space="preserve"> com impactos considerados menos significativos ou que requeiram medidas de mitigação menos complexas, as decisões são tomadas a nível provincial e local, por exemplo, quando é necessário um Estudo Ambiental Simplificado (EAS);</w:t>
            </w:r>
          </w:p>
          <w:p w14:paraId="2BFB96A8" w14:textId="28BB3769"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Categoria C - Destina-se a pequenos </w:t>
            </w:r>
            <w:proofErr w:type="spellStart"/>
            <w:r w:rsidR="008C3A00" w:rsidRPr="00292532">
              <w:rPr>
                <w:rFonts w:asciiTheme="minorHAnsi" w:eastAsia="Calibri" w:hAnsiTheme="minorHAnsi" w:cstheme="minorHAnsi"/>
                <w:sz w:val="20"/>
                <w:szCs w:val="24"/>
                <w:lang w:val="pt-PT"/>
              </w:rPr>
              <w:t>projecto</w:t>
            </w:r>
            <w:r w:rsidRPr="00292532">
              <w:rPr>
                <w:rFonts w:asciiTheme="minorHAnsi" w:eastAsia="Calibri" w:hAnsiTheme="minorHAnsi" w:cstheme="minorHAnsi"/>
                <w:sz w:val="20"/>
                <w:szCs w:val="24"/>
                <w:lang w:val="pt-PT"/>
              </w:rPr>
              <w:t>s</w:t>
            </w:r>
            <w:proofErr w:type="spellEnd"/>
            <w:r w:rsidRPr="00292532">
              <w:rPr>
                <w:rFonts w:asciiTheme="minorHAnsi" w:eastAsia="Calibri" w:hAnsiTheme="minorHAnsi" w:cstheme="minorHAnsi"/>
                <w:sz w:val="20"/>
                <w:szCs w:val="24"/>
                <w:lang w:val="pt-PT"/>
              </w:rPr>
              <w:t xml:space="preserve"> que podem não exigir um EIA, mas devem seguir as normas de impacto ambiental. Para estes </w:t>
            </w:r>
            <w:proofErr w:type="spellStart"/>
            <w:r w:rsidR="008C3A00" w:rsidRPr="00292532">
              <w:rPr>
                <w:rFonts w:asciiTheme="minorHAnsi" w:eastAsia="Calibri" w:hAnsiTheme="minorHAnsi" w:cstheme="minorHAnsi"/>
                <w:sz w:val="20"/>
                <w:szCs w:val="24"/>
                <w:lang w:val="pt-PT"/>
              </w:rPr>
              <w:t>projecto</w:t>
            </w:r>
            <w:r w:rsidRPr="00292532">
              <w:rPr>
                <w:rFonts w:asciiTheme="minorHAnsi" w:eastAsia="Calibri" w:hAnsiTheme="minorHAnsi" w:cstheme="minorHAnsi"/>
                <w:sz w:val="20"/>
                <w:szCs w:val="24"/>
                <w:lang w:val="pt-PT"/>
              </w:rPr>
              <w:t>s</w:t>
            </w:r>
            <w:proofErr w:type="spellEnd"/>
            <w:r w:rsidRPr="00292532">
              <w:rPr>
                <w:rFonts w:asciiTheme="minorHAnsi" w:eastAsia="Calibri" w:hAnsiTheme="minorHAnsi" w:cstheme="minorHAnsi"/>
                <w:sz w:val="20"/>
                <w:szCs w:val="24"/>
                <w:lang w:val="pt-PT"/>
              </w:rPr>
              <w:t xml:space="preserve">, as decisões também são tomadas a nível provincial. Os </w:t>
            </w:r>
            <w:proofErr w:type="spellStart"/>
            <w:r w:rsidR="008C3A00" w:rsidRPr="00292532">
              <w:rPr>
                <w:rFonts w:asciiTheme="minorHAnsi" w:eastAsia="Calibri" w:hAnsiTheme="minorHAnsi" w:cstheme="minorHAnsi"/>
                <w:sz w:val="20"/>
                <w:szCs w:val="24"/>
                <w:lang w:val="pt-PT"/>
              </w:rPr>
              <w:t>projecto</w:t>
            </w:r>
            <w:r w:rsidRPr="00292532">
              <w:rPr>
                <w:rFonts w:asciiTheme="minorHAnsi" w:eastAsia="Calibri" w:hAnsiTheme="minorHAnsi" w:cstheme="minorHAnsi"/>
                <w:sz w:val="20"/>
                <w:szCs w:val="24"/>
                <w:lang w:val="pt-PT"/>
              </w:rPr>
              <w:t>s</w:t>
            </w:r>
            <w:proofErr w:type="spellEnd"/>
            <w:r w:rsidRPr="00292532">
              <w:rPr>
                <w:rFonts w:asciiTheme="minorHAnsi" w:eastAsia="Calibri" w:hAnsiTheme="minorHAnsi" w:cstheme="minorHAnsi"/>
                <w:sz w:val="20"/>
                <w:szCs w:val="24"/>
                <w:lang w:val="pt-PT"/>
              </w:rPr>
              <w:t xml:space="preserve"> desta categoria estão sujeitos às Boas Práticas de Procedimentos de Gestão Ambiental, que devem ser elaboradas pelo proponente do </w:t>
            </w:r>
            <w:proofErr w:type="spellStart"/>
            <w:r w:rsidR="008C3A00" w:rsidRPr="00292532">
              <w:rPr>
                <w:rFonts w:asciiTheme="minorHAnsi" w:eastAsia="Calibri" w:hAnsiTheme="minorHAnsi" w:cstheme="minorHAnsi"/>
                <w:sz w:val="20"/>
                <w:szCs w:val="24"/>
                <w:lang w:val="pt-PT"/>
              </w:rPr>
              <w:t>projecto</w:t>
            </w:r>
            <w:proofErr w:type="spellEnd"/>
            <w:r w:rsidRPr="00292532">
              <w:rPr>
                <w:rFonts w:asciiTheme="minorHAnsi" w:eastAsia="Calibri" w:hAnsiTheme="minorHAnsi" w:cstheme="minorHAnsi"/>
                <w:sz w:val="20"/>
                <w:szCs w:val="24"/>
                <w:lang w:val="pt-PT"/>
              </w:rPr>
              <w:t xml:space="preserve"> e submetidas ao MITADER ou à entidade responsável pelo processo de aprovação.</w:t>
            </w:r>
          </w:p>
          <w:p w14:paraId="6DCF829F" w14:textId="3F8F93DB"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bookmarkStart w:id="64" w:name="_Hlk72450264"/>
            <w:r w:rsidRPr="00292532">
              <w:rPr>
                <w:rFonts w:asciiTheme="minorHAnsi" w:eastAsia="Calibri" w:hAnsiTheme="minorHAnsi" w:cstheme="minorHAnsi"/>
                <w:sz w:val="20"/>
                <w:szCs w:val="24"/>
                <w:lang w:val="pt-PT"/>
              </w:rPr>
              <w:t xml:space="preserve">O artigo 5 do Decreto 54/2015 prevê a isenção na realização do EIA ou EIA simplificado para algumas atividades, particularmente aquelas relacionadas a ações imediatas em resposta a desastres ou calamidades naturais, </w:t>
            </w:r>
            <w:r w:rsidR="00D9688F" w:rsidRPr="00292532">
              <w:rPr>
                <w:rFonts w:asciiTheme="minorHAnsi" w:eastAsia="Calibri" w:hAnsiTheme="minorHAnsi" w:cstheme="minorHAnsi"/>
                <w:sz w:val="20"/>
                <w:szCs w:val="24"/>
                <w:lang w:val="pt-PT"/>
              </w:rPr>
              <w:t>emergências</w:t>
            </w:r>
            <w:r w:rsidRPr="00292532">
              <w:rPr>
                <w:rFonts w:asciiTheme="minorHAnsi" w:eastAsia="Calibri" w:hAnsiTheme="minorHAnsi" w:cstheme="minorHAnsi"/>
                <w:sz w:val="20"/>
                <w:szCs w:val="24"/>
                <w:lang w:val="pt-PT"/>
              </w:rPr>
              <w:t xml:space="preserve"> resultantes de atividades de desenvolvimento e atividades relacionadas com a defesa nacional e segurança. No caso de desastres e </w:t>
            </w:r>
            <w:r w:rsidR="00D9688F" w:rsidRPr="00292532">
              <w:rPr>
                <w:rFonts w:asciiTheme="minorHAnsi" w:eastAsia="Calibri" w:hAnsiTheme="minorHAnsi" w:cstheme="minorHAnsi"/>
                <w:sz w:val="20"/>
                <w:szCs w:val="24"/>
                <w:lang w:val="pt-PT"/>
              </w:rPr>
              <w:t>emergências</w:t>
            </w:r>
            <w:r w:rsidRPr="00292532">
              <w:rPr>
                <w:rFonts w:asciiTheme="minorHAnsi" w:eastAsia="Calibri" w:hAnsiTheme="minorHAnsi" w:cstheme="minorHAnsi"/>
                <w:sz w:val="20"/>
                <w:szCs w:val="24"/>
                <w:lang w:val="pt-PT"/>
              </w:rPr>
              <w:t>, o Artigo (2) estipula que o MITADER deve dar instruções para tais isenções, e fazer provisões para auditorias posteriormente.</w:t>
            </w:r>
            <w:bookmarkEnd w:id="64"/>
          </w:p>
        </w:tc>
      </w:tr>
      <w:bookmarkEnd w:id="62"/>
      <w:tr w:rsidR="00FB3D2E" w:rsidRPr="00AB3051" w14:paraId="71BC44AF" w14:textId="77777777" w:rsidTr="00A77ED3">
        <w:tc>
          <w:tcPr>
            <w:tcW w:w="2430" w:type="dxa"/>
            <w:vAlign w:val="center"/>
          </w:tcPr>
          <w:p w14:paraId="53FD1A3E" w14:textId="606418F9"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lastRenderedPageBreak/>
              <w:t>Regulamento referente a Auditorias Ambientais (Decreto nº 32/2003</w:t>
            </w:r>
            <w:r w:rsidR="000A4645">
              <w:rPr>
                <w:rFonts w:asciiTheme="minorHAnsi" w:eastAsia="Calibri" w:hAnsiTheme="minorHAnsi" w:cstheme="minorHAnsi"/>
                <w:sz w:val="20"/>
                <w:szCs w:val="24"/>
                <w:lang w:val="pt-PT"/>
              </w:rPr>
              <w:t xml:space="preserve"> de </w:t>
            </w:r>
            <w:r w:rsidR="00877A41">
              <w:rPr>
                <w:rFonts w:asciiTheme="minorHAnsi" w:eastAsia="Calibri" w:hAnsiTheme="minorHAnsi" w:cstheme="minorHAnsi"/>
                <w:sz w:val="20"/>
                <w:szCs w:val="24"/>
                <w:lang w:val="pt-PT"/>
              </w:rPr>
              <w:t xml:space="preserve">20 de </w:t>
            </w:r>
            <w:proofErr w:type="gramStart"/>
            <w:r w:rsidR="00877A41">
              <w:rPr>
                <w:rFonts w:asciiTheme="minorHAnsi" w:eastAsia="Calibri" w:hAnsiTheme="minorHAnsi" w:cstheme="minorHAnsi"/>
                <w:sz w:val="20"/>
                <w:szCs w:val="24"/>
                <w:lang w:val="pt-PT"/>
              </w:rPr>
              <w:t>Agosto</w:t>
            </w:r>
            <w:proofErr w:type="gramEnd"/>
            <w:r w:rsidRPr="00292532">
              <w:rPr>
                <w:rFonts w:asciiTheme="minorHAnsi" w:eastAsia="Calibri" w:hAnsiTheme="minorHAnsi" w:cstheme="minorHAnsi"/>
                <w:sz w:val="20"/>
                <w:szCs w:val="24"/>
                <w:lang w:val="pt-PT"/>
              </w:rPr>
              <w:t>)</w:t>
            </w:r>
          </w:p>
        </w:tc>
        <w:tc>
          <w:tcPr>
            <w:tcW w:w="6525" w:type="dxa"/>
            <w:vAlign w:val="center"/>
          </w:tcPr>
          <w:p w14:paraId="2FE4A5E0"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Define a auditoria ambiental como um instrumento </w:t>
            </w:r>
            <w:proofErr w:type="spellStart"/>
            <w:r w:rsidRPr="00292532">
              <w:rPr>
                <w:rFonts w:asciiTheme="minorHAnsi" w:eastAsia="Calibri" w:hAnsiTheme="minorHAnsi" w:cstheme="minorHAnsi"/>
                <w:sz w:val="20"/>
                <w:szCs w:val="24"/>
                <w:lang w:val="pt-PT"/>
              </w:rPr>
              <w:t>objectivo</w:t>
            </w:r>
            <w:proofErr w:type="spellEnd"/>
            <w:r w:rsidRPr="00292532">
              <w:rPr>
                <w:rFonts w:asciiTheme="minorHAnsi" w:eastAsia="Calibri" w:hAnsiTheme="minorHAnsi" w:cstheme="minorHAnsi"/>
                <w:sz w:val="20"/>
                <w:szCs w:val="24"/>
                <w:lang w:val="pt-PT"/>
              </w:rPr>
              <w:t xml:space="preserve"> e documentado para a gestão e avaliação sistemática do sistema de gestão e documentação implementado para assegurar a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do ambiente. O seu </w:t>
            </w:r>
            <w:proofErr w:type="spellStart"/>
            <w:r w:rsidRPr="00292532">
              <w:rPr>
                <w:rFonts w:asciiTheme="minorHAnsi" w:eastAsia="Calibri" w:hAnsiTheme="minorHAnsi" w:cstheme="minorHAnsi"/>
                <w:sz w:val="20"/>
                <w:szCs w:val="24"/>
                <w:lang w:val="pt-PT"/>
              </w:rPr>
              <w:t>objectivo</w:t>
            </w:r>
            <w:proofErr w:type="spellEnd"/>
            <w:r w:rsidRPr="00292532">
              <w:rPr>
                <w:rFonts w:asciiTheme="minorHAnsi" w:eastAsia="Calibri" w:hAnsiTheme="minorHAnsi" w:cstheme="minorHAnsi"/>
                <w:sz w:val="20"/>
                <w:szCs w:val="24"/>
                <w:lang w:val="pt-PT"/>
              </w:rPr>
              <w:t xml:space="preserve"> é avaliar o cumprimento dos processos operacionais e de trabalho com o plano de gestão ambiental, incluindo os requisitos ambientais legais em vigor, aprovados para um determinado </w:t>
            </w:r>
            <w:proofErr w:type="spellStart"/>
            <w:r w:rsidRPr="00292532">
              <w:rPr>
                <w:rFonts w:asciiTheme="minorHAnsi" w:eastAsia="Calibri" w:hAnsiTheme="minorHAnsi" w:cstheme="minorHAnsi"/>
                <w:sz w:val="20"/>
                <w:szCs w:val="24"/>
                <w:lang w:val="pt-PT"/>
              </w:rPr>
              <w:t>projecto</w:t>
            </w:r>
            <w:proofErr w:type="spellEnd"/>
            <w:r w:rsidRPr="00292532">
              <w:rPr>
                <w:rFonts w:asciiTheme="minorHAnsi" w:eastAsia="Calibri" w:hAnsiTheme="minorHAnsi" w:cstheme="minorHAnsi"/>
                <w:sz w:val="20"/>
                <w:szCs w:val="24"/>
                <w:lang w:val="pt-PT"/>
              </w:rPr>
              <w:t xml:space="preserve">. </w:t>
            </w:r>
          </w:p>
        </w:tc>
      </w:tr>
      <w:tr w:rsidR="00FB3D2E" w:rsidRPr="00AB3051" w14:paraId="40A0A102" w14:textId="77777777" w:rsidTr="00A77ED3">
        <w:tc>
          <w:tcPr>
            <w:tcW w:w="2430" w:type="dxa"/>
            <w:vAlign w:val="center"/>
          </w:tcPr>
          <w:p w14:paraId="5EA3E442" w14:textId="6AAE5159"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referente a </w:t>
            </w:r>
            <w:proofErr w:type="spellStart"/>
            <w:r w:rsidRPr="00292532">
              <w:rPr>
                <w:rFonts w:asciiTheme="minorHAnsi" w:eastAsia="Calibri" w:hAnsiTheme="minorHAnsi" w:cstheme="minorHAnsi"/>
                <w:sz w:val="20"/>
                <w:szCs w:val="24"/>
                <w:lang w:val="pt-PT"/>
              </w:rPr>
              <w:t>Inspecções</w:t>
            </w:r>
            <w:proofErr w:type="spellEnd"/>
            <w:r w:rsidRPr="00292532">
              <w:rPr>
                <w:rFonts w:asciiTheme="minorHAnsi" w:eastAsia="Calibri" w:hAnsiTheme="minorHAnsi" w:cstheme="minorHAnsi"/>
                <w:sz w:val="20"/>
                <w:szCs w:val="24"/>
                <w:lang w:val="pt-PT"/>
              </w:rPr>
              <w:t xml:space="preserve"> Ambientais (Decreto nº 11/2006</w:t>
            </w:r>
            <w:r w:rsidR="000A4645">
              <w:rPr>
                <w:rFonts w:asciiTheme="minorHAnsi" w:eastAsia="Calibri" w:hAnsiTheme="minorHAnsi" w:cstheme="minorHAnsi"/>
                <w:sz w:val="20"/>
                <w:szCs w:val="24"/>
                <w:lang w:val="pt-PT"/>
              </w:rPr>
              <w:t xml:space="preserve"> de </w:t>
            </w:r>
            <w:r w:rsidR="00877A41">
              <w:rPr>
                <w:rFonts w:asciiTheme="minorHAnsi" w:eastAsia="Calibri" w:hAnsiTheme="minorHAnsi" w:cstheme="minorHAnsi"/>
                <w:sz w:val="20"/>
                <w:szCs w:val="24"/>
                <w:lang w:val="pt-PT"/>
              </w:rPr>
              <w:t xml:space="preserve">15 de </w:t>
            </w:r>
            <w:proofErr w:type="gramStart"/>
            <w:r w:rsidR="00877A41">
              <w:rPr>
                <w:rFonts w:asciiTheme="minorHAnsi" w:eastAsia="Calibri" w:hAnsiTheme="minorHAnsi" w:cstheme="minorHAnsi"/>
                <w:sz w:val="20"/>
                <w:szCs w:val="24"/>
                <w:lang w:val="pt-PT"/>
              </w:rPr>
              <w:t>Junho</w:t>
            </w:r>
            <w:proofErr w:type="gramEnd"/>
            <w:r w:rsidRPr="00292532">
              <w:rPr>
                <w:rFonts w:asciiTheme="minorHAnsi" w:eastAsia="Calibri" w:hAnsiTheme="minorHAnsi" w:cstheme="minorHAnsi"/>
                <w:sz w:val="20"/>
                <w:szCs w:val="24"/>
                <w:lang w:val="pt-PT"/>
              </w:rPr>
              <w:t>)</w:t>
            </w:r>
          </w:p>
        </w:tc>
        <w:tc>
          <w:tcPr>
            <w:tcW w:w="6525" w:type="dxa"/>
            <w:vAlign w:val="center"/>
          </w:tcPr>
          <w:p w14:paraId="5078AD63"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Regulamenta a supervisão, controlo e verificação da conformidade do </w:t>
            </w:r>
            <w:proofErr w:type="spellStart"/>
            <w:r w:rsidRPr="00292532">
              <w:rPr>
                <w:rFonts w:asciiTheme="minorHAnsi" w:eastAsia="Calibri" w:hAnsiTheme="minorHAnsi" w:cstheme="minorHAnsi"/>
                <w:sz w:val="20"/>
                <w:szCs w:val="24"/>
                <w:lang w:val="pt-PT"/>
              </w:rPr>
              <w:t>projecto</w:t>
            </w:r>
            <w:proofErr w:type="spellEnd"/>
            <w:r w:rsidRPr="00292532">
              <w:rPr>
                <w:rFonts w:asciiTheme="minorHAnsi" w:eastAsia="Calibri" w:hAnsiTheme="minorHAnsi" w:cstheme="minorHAnsi"/>
                <w:sz w:val="20"/>
                <w:szCs w:val="24"/>
                <w:lang w:val="pt-PT"/>
              </w:rPr>
              <w:t xml:space="preserve"> com as normas de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do meio ambiente a nível nacional </w:t>
            </w:r>
          </w:p>
        </w:tc>
      </w:tr>
      <w:tr w:rsidR="00FB3D2E" w:rsidRPr="00AB3051" w14:paraId="1744091F" w14:textId="77777777" w:rsidTr="00A77ED3">
        <w:tc>
          <w:tcPr>
            <w:tcW w:w="2430" w:type="dxa"/>
            <w:vAlign w:val="center"/>
          </w:tcPr>
          <w:p w14:paraId="6D4D8EBC"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proofErr w:type="spellStart"/>
            <w:r w:rsidRPr="00292532">
              <w:rPr>
                <w:rFonts w:asciiTheme="minorHAnsi" w:eastAsia="Calibri" w:hAnsiTheme="minorHAnsi" w:cstheme="minorHAnsi"/>
                <w:sz w:val="20"/>
                <w:szCs w:val="24"/>
                <w:lang w:val="pt-PT"/>
              </w:rPr>
              <w:t>Directiva</w:t>
            </w:r>
            <w:proofErr w:type="spellEnd"/>
            <w:r w:rsidRPr="00292532">
              <w:rPr>
                <w:rFonts w:asciiTheme="minorHAnsi" w:eastAsia="Calibri" w:hAnsiTheme="minorHAnsi" w:cstheme="minorHAnsi"/>
                <w:sz w:val="20"/>
                <w:szCs w:val="24"/>
                <w:lang w:val="pt-PT"/>
              </w:rPr>
              <w:t xml:space="preserve"> Geral para a Elaboração de Estudos do Impacto Ambiental (Diploma Ministerial n.º 129/2006, de 19 de </w:t>
            </w:r>
            <w:proofErr w:type="gramStart"/>
            <w:r w:rsidRPr="00292532">
              <w:rPr>
                <w:rFonts w:asciiTheme="minorHAnsi" w:eastAsia="Calibri" w:hAnsiTheme="minorHAnsi" w:cstheme="minorHAnsi"/>
                <w:sz w:val="20"/>
                <w:szCs w:val="24"/>
                <w:lang w:val="pt-PT"/>
              </w:rPr>
              <w:t>Julho</w:t>
            </w:r>
            <w:proofErr w:type="gramEnd"/>
            <w:r w:rsidRPr="00292532">
              <w:rPr>
                <w:rFonts w:asciiTheme="minorHAnsi" w:eastAsia="Calibri" w:hAnsiTheme="minorHAnsi" w:cstheme="minorHAnsi"/>
                <w:sz w:val="20"/>
                <w:szCs w:val="24"/>
                <w:lang w:val="pt-PT"/>
              </w:rPr>
              <w:t>)</w:t>
            </w:r>
          </w:p>
        </w:tc>
        <w:tc>
          <w:tcPr>
            <w:tcW w:w="6525" w:type="dxa"/>
            <w:vAlign w:val="center"/>
          </w:tcPr>
          <w:p w14:paraId="5369A74D" w14:textId="31498811"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Providencia orientações, define o formato, estrutura geral e o conteúdo do relatório de EIA e do </w:t>
            </w:r>
            <w:r w:rsidR="001978AF" w:rsidRPr="00292532">
              <w:rPr>
                <w:rFonts w:asciiTheme="minorHAnsi" w:eastAsia="Calibri" w:hAnsiTheme="minorHAnsi" w:cstheme="minorHAnsi"/>
                <w:sz w:val="20"/>
                <w:szCs w:val="24"/>
                <w:lang w:val="pt-PT"/>
              </w:rPr>
              <w:t>PGAS</w:t>
            </w:r>
          </w:p>
        </w:tc>
      </w:tr>
      <w:bookmarkEnd w:id="63"/>
      <w:tr w:rsidR="00FB3D2E" w:rsidRPr="00AB3051" w14:paraId="70DC3640" w14:textId="77777777" w:rsidTr="00A77ED3">
        <w:trPr>
          <w:trHeight w:val="1131"/>
        </w:trPr>
        <w:tc>
          <w:tcPr>
            <w:tcW w:w="2430" w:type="dxa"/>
            <w:vAlign w:val="center"/>
          </w:tcPr>
          <w:p w14:paraId="281E9D11"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proofErr w:type="spellStart"/>
            <w:r w:rsidRPr="00292532">
              <w:rPr>
                <w:rFonts w:asciiTheme="minorHAnsi" w:eastAsia="Calibri" w:hAnsiTheme="minorHAnsi" w:cstheme="minorHAnsi"/>
                <w:sz w:val="20"/>
                <w:szCs w:val="24"/>
                <w:lang w:val="pt-PT"/>
              </w:rPr>
              <w:lastRenderedPageBreak/>
              <w:t>Directiva</w:t>
            </w:r>
            <w:proofErr w:type="spellEnd"/>
            <w:r w:rsidRPr="00292532">
              <w:rPr>
                <w:rFonts w:asciiTheme="minorHAnsi" w:eastAsia="Calibri" w:hAnsiTheme="minorHAnsi" w:cstheme="minorHAnsi"/>
                <w:sz w:val="20"/>
                <w:szCs w:val="24"/>
                <w:lang w:val="pt-PT"/>
              </w:rPr>
              <w:t xml:space="preserve"> Geral para o Processo de Participação de Participação Pública no processo de Avaliação de Impacto Ambiental (Diploma Ministerial n.º 130/2006, de 19 de </w:t>
            </w:r>
            <w:proofErr w:type="gramStart"/>
            <w:r w:rsidRPr="00292532">
              <w:rPr>
                <w:rFonts w:asciiTheme="minorHAnsi" w:eastAsia="Calibri" w:hAnsiTheme="minorHAnsi" w:cstheme="minorHAnsi"/>
                <w:sz w:val="20"/>
                <w:szCs w:val="24"/>
                <w:lang w:val="pt-PT"/>
              </w:rPr>
              <w:t>Julho</w:t>
            </w:r>
            <w:proofErr w:type="gramEnd"/>
            <w:r w:rsidRPr="00292532">
              <w:rPr>
                <w:rFonts w:asciiTheme="minorHAnsi" w:eastAsia="Calibri" w:hAnsiTheme="minorHAnsi" w:cstheme="minorHAnsi"/>
                <w:sz w:val="20"/>
                <w:szCs w:val="24"/>
                <w:lang w:val="pt-PT"/>
              </w:rPr>
              <w:t>)</w:t>
            </w:r>
          </w:p>
        </w:tc>
        <w:tc>
          <w:tcPr>
            <w:tcW w:w="6525" w:type="dxa"/>
            <w:vAlign w:val="center"/>
          </w:tcPr>
          <w:p w14:paraId="397C4E7F" w14:textId="0028268C"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Define os princípios básicos, metodologias e procedimentos para o Processo de Participação de Participação Pública no processo de Avaliação de Impacto Ambiental. Considera a participação pública um processo </w:t>
            </w:r>
            <w:proofErr w:type="spellStart"/>
            <w:r w:rsidRPr="00292532">
              <w:rPr>
                <w:rFonts w:asciiTheme="minorHAnsi" w:eastAsia="Calibri" w:hAnsiTheme="minorHAnsi" w:cstheme="minorHAnsi"/>
                <w:sz w:val="20"/>
                <w:szCs w:val="24"/>
                <w:lang w:val="pt-PT"/>
              </w:rPr>
              <w:t>interactivo</w:t>
            </w:r>
            <w:proofErr w:type="spellEnd"/>
            <w:r w:rsidRPr="00292532">
              <w:rPr>
                <w:rFonts w:asciiTheme="minorHAnsi" w:eastAsia="Calibri" w:hAnsiTheme="minorHAnsi" w:cstheme="minorHAnsi"/>
                <w:sz w:val="20"/>
                <w:szCs w:val="24"/>
                <w:lang w:val="pt-PT"/>
              </w:rPr>
              <w:t xml:space="preserve"> que se inicia na fase de </w:t>
            </w:r>
            <w:proofErr w:type="spellStart"/>
            <w:r w:rsidRPr="00292532">
              <w:rPr>
                <w:rFonts w:asciiTheme="minorHAnsi" w:eastAsia="Calibri" w:hAnsiTheme="minorHAnsi" w:cstheme="minorHAnsi"/>
                <w:sz w:val="20"/>
                <w:szCs w:val="24"/>
                <w:lang w:val="pt-PT"/>
              </w:rPr>
              <w:t>concepção</w:t>
            </w:r>
            <w:proofErr w:type="spellEnd"/>
            <w:r w:rsidRPr="00292532">
              <w:rPr>
                <w:rFonts w:asciiTheme="minorHAnsi" w:eastAsia="Calibri" w:hAnsiTheme="minorHAnsi" w:cstheme="minorHAnsi"/>
                <w:sz w:val="20"/>
                <w:szCs w:val="24"/>
                <w:lang w:val="pt-PT"/>
              </w:rPr>
              <w:t xml:space="preserve"> e continua ao longo </w:t>
            </w:r>
            <w:r w:rsidR="00D9688F" w:rsidRPr="00292532">
              <w:rPr>
                <w:rFonts w:asciiTheme="minorHAnsi" w:eastAsia="Calibri" w:hAnsiTheme="minorHAnsi" w:cstheme="minorHAnsi"/>
                <w:sz w:val="20"/>
                <w:szCs w:val="24"/>
                <w:lang w:val="pt-PT"/>
              </w:rPr>
              <w:t>do</w:t>
            </w:r>
            <w:r w:rsidRPr="00292532">
              <w:rPr>
                <w:rFonts w:asciiTheme="minorHAnsi" w:eastAsia="Calibri" w:hAnsiTheme="minorHAnsi" w:cstheme="minorHAnsi"/>
                <w:sz w:val="20"/>
                <w:szCs w:val="24"/>
                <w:lang w:val="pt-PT"/>
              </w:rPr>
              <w:t xml:space="preserve"> ciclo de vida do </w:t>
            </w:r>
            <w:proofErr w:type="spellStart"/>
            <w:r w:rsidRPr="00292532">
              <w:rPr>
                <w:rFonts w:asciiTheme="minorHAnsi" w:eastAsia="Calibri" w:hAnsiTheme="minorHAnsi" w:cstheme="minorHAnsi"/>
                <w:sz w:val="20"/>
                <w:szCs w:val="24"/>
                <w:lang w:val="pt-PT"/>
              </w:rPr>
              <w:t>projecto</w:t>
            </w:r>
            <w:proofErr w:type="spellEnd"/>
            <w:r w:rsidRPr="00292532">
              <w:rPr>
                <w:rFonts w:asciiTheme="minorHAnsi" w:eastAsia="Calibri" w:hAnsiTheme="minorHAnsi" w:cstheme="minorHAnsi"/>
                <w:sz w:val="20"/>
                <w:szCs w:val="24"/>
                <w:lang w:val="pt-PT"/>
              </w:rPr>
              <w:t xml:space="preserve">. </w:t>
            </w:r>
          </w:p>
        </w:tc>
      </w:tr>
      <w:tr w:rsidR="00FB3D2E" w:rsidRPr="00292532" w14:paraId="45428EC1" w14:textId="77777777" w:rsidTr="00A77ED3">
        <w:tc>
          <w:tcPr>
            <w:tcW w:w="8955" w:type="dxa"/>
            <w:gridSpan w:val="2"/>
            <w:shd w:val="clear" w:color="auto" w:fill="DEEAF6" w:themeFill="accent5" w:themeFillTint="33"/>
            <w:vAlign w:val="center"/>
          </w:tcPr>
          <w:p w14:paraId="4B1A2677" w14:textId="77777777" w:rsidR="00FB3D2E" w:rsidRPr="00292532" w:rsidRDefault="00FB3D2E" w:rsidP="00FB3D2E">
            <w:pPr>
              <w:autoSpaceDE w:val="0"/>
              <w:autoSpaceDN w:val="0"/>
              <w:adjustRightInd w:val="0"/>
              <w:spacing w:before="120" w:afterLines="160" w:after="384" w:line="20" w:lineRule="atLeast"/>
              <w:jc w:val="center"/>
              <w:rPr>
                <w:rFonts w:asciiTheme="minorHAnsi" w:eastAsia="Calibri" w:hAnsiTheme="minorHAnsi" w:cstheme="minorHAnsi"/>
                <w:b/>
                <w:sz w:val="20"/>
                <w:szCs w:val="24"/>
                <w:lang w:val="pt-PT"/>
              </w:rPr>
            </w:pPr>
            <w:r w:rsidRPr="00292532">
              <w:rPr>
                <w:rFonts w:asciiTheme="minorHAnsi" w:eastAsia="Calibri" w:hAnsiTheme="minorHAnsi" w:cstheme="minorHAnsi"/>
                <w:b/>
                <w:sz w:val="20"/>
                <w:szCs w:val="24"/>
                <w:lang w:val="pt-PT"/>
              </w:rPr>
              <w:t>Terras</w:t>
            </w:r>
          </w:p>
        </w:tc>
      </w:tr>
      <w:tr w:rsidR="00FB3D2E" w:rsidRPr="00AB3051" w14:paraId="37BE96AA" w14:textId="77777777" w:rsidTr="00A77ED3">
        <w:tc>
          <w:tcPr>
            <w:tcW w:w="2430" w:type="dxa"/>
            <w:vAlign w:val="center"/>
          </w:tcPr>
          <w:p w14:paraId="256B4EB1" w14:textId="0FBAAB2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Lei das Terras (Lei n.º 19/97 de 1 de </w:t>
            </w:r>
            <w:proofErr w:type="gramStart"/>
            <w:r w:rsidRPr="00292532">
              <w:rPr>
                <w:rFonts w:asciiTheme="minorHAnsi" w:eastAsia="Calibri" w:hAnsiTheme="minorHAnsi" w:cstheme="minorHAnsi"/>
                <w:sz w:val="20"/>
                <w:szCs w:val="24"/>
                <w:lang w:val="pt-PT"/>
              </w:rPr>
              <w:t>Outubro</w:t>
            </w:r>
            <w:proofErr w:type="gramEnd"/>
            <w:r w:rsidRPr="00292532">
              <w:rPr>
                <w:rFonts w:asciiTheme="minorHAnsi" w:eastAsia="Calibri" w:hAnsiTheme="minorHAnsi" w:cstheme="minorHAnsi"/>
                <w:sz w:val="20"/>
                <w:szCs w:val="24"/>
                <w:lang w:val="pt-PT"/>
              </w:rPr>
              <w:t>) e Regulamento da Lei de Terras (Decreto n.º 66/98</w:t>
            </w:r>
            <w:r w:rsidR="00EC03D3">
              <w:rPr>
                <w:rFonts w:asciiTheme="minorHAnsi" w:eastAsia="Calibri" w:hAnsiTheme="minorHAnsi" w:cstheme="minorHAnsi"/>
                <w:sz w:val="20"/>
                <w:szCs w:val="24"/>
                <w:lang w:val="pt-PT"/>
              </w:rPr>
              <w:t xml:space="preserve"> de 8 de Dezembro </w:t>
            </w:r>
            <w:r w:rsidRPr="00292532">
              <w:rPr>
                <w:rFonts w:asciiTheme="minorHAnsi" w:eastAsia="Calibri" w:hAnsiTheme="minorHAnsi" w:cstheme="minorHAnsi"/>
                <w:sz w:val="20"/>
                <w:szCs w:val="24"/>
                <w:lang w:val="pt-PT"/>
              </w:rPr>
              <w:t>alterado pelo Decreto nº 1/2003</w:t>
            </w:r>
            <w:r w:rsidR="00EC03D3">
              <w:rPr>
                <w:rFonts w:asciiTheme="minorHAnsi" w:eastAsia="Calibri" w:hAnsiTheme="minorHAnsi" w:cstheme="minorHAnsi"/>
                <w:sz w:val="20"/>
                <w:szCs w:val="24"/>
                <w:lang w:val="pt-PT"/>
              </w:rPr>
              <w:t xml:space="preserve"> de 31 de Janeiro</w:t>
            </w:r>
            <w:r w:rsidRPr="00292532">
              <w:rPr>
                <w:rFonts w:asciiTheme="minorHAnsi" w:eastAsia="Calibri" w:hAnsiTheme="minorHAnsi" w:cstheme="minorHAnsi"/>
                <w:sz w:val="20"/>
                <w:szCs w:val="24"/>
                <w:lang w:val="pt-PT"/>
              </w:rPr>
              <w:t>);</w:t>
            </w:r>
          </w:p>
        </w:tc>
        <w:tc>
          <w:tcPr>
            <w:tcW w:w="6525" w:type="dxa"/>
            <w:vAlign w:val="center"/>
          </w:tcPr>
          <w:p w14:paraId="20B6A835" w14:textId="367F100D"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Estabelece como princípio principal </w:t>
            </w:r>
            <w:r w:rsidR="00D9688F" w:rsidRPr="00292532">
              <w:rPr>
                <w:rFonts w:asciiTheme="minorHAnsi" w:eastAsia="Calibri" w:hAnsiTheme="minorHAnsi" w:cstheme="minorHAnsi"/>
                <w:sz w:val="20"/>
                <w:szCs w:val="24"/>
                <w:lang w:val="pt-PT"/>
              </w:rPr>
              <w:t>de que</w:t>
            </w:r>
            <w:r w:rsidRPr="00292532">
              <w:rPr>
                <w:rFonts w:asciiTheme="minorHAnsi" w:eastAsia="Calibri" w:hAnsiTheme="minorHAnsi" w:cstheme="minorHAnsi"/>
                <w:sz w:val="20"/>
                <w:szCs w:val="24"/>
                <w:lang w:val="pt-PT"/>
              </w:rPr>
              <w:t xml:space="preserve"> a terra é propriedade do Estado e não pode ser vendida, alienada, hipotecada ou penhorada, em conformidade com a constituição moçambicana.</w:t>
            </w:r>
          </w:p>
          <w:p w14:paraId="1A5FACCF"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Define, ao nível do domínio público, zonas de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total e parcial, sendo de destacar para este </w:t>
            </w:r>
            <w:proofErr w:type="spellStart"/>
            <w:r w:rsidRPr="00292532">
              <w:rPr>
                <w:rFonts w:asciiTheme="minorHAnsi" w:eastAsia="Calibri" w:hAnsiTheme="minorHAnsi" w:cstheme="minorHAnsi"/>
                <w:sz w:val="20"/>
                <w:szCs w:val="24"/>
                <w:lang w:val="pt-PT"/>
              </w:rPr>
              <w:t>Projecto</w:t>
            </w:r>
            <w:proofErr w:type="spellEnd"/>
            <w:r w:rsidRPr="00292532">
              <w:rPr>
                <w:rFonts w:asciiTheme="minorHAnsi" w:eastAsia="Calibri" w:hAnsiTheme="minorHAnsi" w:cstheme="minorHAnsi"/>
                <w:sz w:val="20"/>
                <w:szCs w:val="24"/>
                <w:lang w:val="pt-PT"/>
              </w:rPr>
              <w:t xml:space="preserve"> as seguintes áreas classificadas como zonas de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parcial (Art.º 5 a 8): </w:t>
            </w:r>
          </w:p>
          <w:p w14:paraId="63753379"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Estradas primárias e a faixa de terreno de 30 metros confinante;</w:t>
            </w:r>
          </w:p>
          <w:p w14:paraId="2244A497"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Estradas secundárias, terciárias e vicinais e a faixa de terreno de 15 metros confinante;</w:t>
            </w:r>
          </w:p>
          <w:p w14:paraId="3E6B0375" w14:textId="43B9B909" w:rsidR="00FB3D2E" w:rsidRPr="00292532" w:rsidRDefault="00D9688F"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proofErr w:type="spellStart"/>
            <w:r w:rsidRPr="00292532">
              <w:rPr>
                <w:rFonts w:asciiTheme="minorHAnsi" w:eastAsia="Calibri" w:hAnsiTheme="minorHAnsi" w:cstheme="minorHAnsi"/>
                <w:sz w:val="20"/>
                <w:szCs w:val="24"/>
                <w:lang w:val="pt-PT"/>
              </w:rPr>
              <w:t>Auto</w:t>
            </w:r>
            <w:r w:rsidR="00CB58F3">
              <w:rPr>
                <w:rFonts w:asciiTheme="minorHAnsi" w:eastAsia="Calibri" w:hAnsiTheme="minorHAnsi" w:cstheme="minorHAnsi"/>
                <w:sz w:val="20"/>
                <w:szCs w:val="24"/>
                <w:lang w:val="pt-PT"/>
              </w:rPr>
              <w:t>-</w:t>
            </w:r>
            <w:r w:rsidRPr="00292532">
              <w:rPr>
                <w:rFonts w:asciiTheme="minorHAnsi" w:eastAsia="Calibri" w:hAnsiTheme="minorHAnsi" w:cstheme="minorHAnsi"/>
                <w:sz w:val="20"/>
                <w:szCs w:val="24"/>
                <w:lang w:val="pt-PT"/>
              </w:rPr>
              <w:t>estradas</w:t>
            </w:r>
            <w:proofErr w:type="spellEnd"/>
            <w:r w:rsidR="00FB3D2E" w:rsidRPr="00292532">
              <w:rPr>
                <w:rFonts w:asciiTheme="minorHAnsi" w:eastAsia="Calibri" w:hAnsiTheme="minorHAnsi" w:cstheme="minorHAnsi"/>
                <w:sz w:val="20"/>
                <w:szCs w:val="24"/>
                <w:lang w:val="pt-PT"/>
              </w:rPr>
              <w:t xml:space="preserve"> e estradas de quatro faixas e a faixa de terreno de 50 metros confinante;</w:t>
            </w:r>
          </w:p>
          <w:p w14:paraId="2A7067BD"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Instalações e condutores aéreos superficiais (..) de </w:t>
            </w:r>
            <w:proofErr w:type="spellStart"/>
            <w:r w:rsidRPr="00292532">
              <w:rPr>
                <w:rFonts w:asciiTheme="minorHAnsi" w:eastAsia="Calibri" w:hAnsiTheme="minorHAnsi" w:cstheme="minorHAnsi"/>
                <w:sz w:val="20"/>
                <w:szCs w:val="24"/>
                <w:lang w:val="pt-PT"/>
              </w:rPr>
              <w:t>electricidade</w:t>
            </w:r>
            <w:proofErr w:type="spellEnd"/>
            <w:r w:rsidRPr="00292532">
              <w:rPr>
                <w:rFonts w:asciiTheme="minorHAnsi" w:eastAsia="Calibri" w:hAnsiTheme="minorHAnsi" w:cstheme="minorHAnsi"/>
                <w:sz w:val="20"/>
                <w:szCs w:val="24"/>
                <w:lang w:val="pt-PT"/>
              </w:rPr>
              <w:t xml:space="preserve">, de telecomunicações (..) ao longo da costa e a faixa de terreno de 50 metros confinante para cada lado.  </w:t>
            </w:r>
          </w:p>
          <w:p w14:paraId="35487508"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No caso de necessidade de restrição do direito de uso e aproveitamento da terra para instalação de infraestruturas de interesse público, a entidade pública ou privada deverá indemnizar o titular do direito, em quantia que represente o </w:t>
            </w:r>
            <w:proofErr w:type="spellStart"/>
            <w:r w:rsidRPr="00292532">
              <w:rPr>
                <w:rFonts w:asciiTheme="minorHAnsi" w:eastAsia="Calibri" w:hAnsiTheme="minorHAnsi" w:cstheme="minorHAnsi"/>
                <w:sz w:val="20"/>
                <w:szCs w:val="24"/>
                <w:lang w:val="pt-PT"/>
              </w:rPr>
              <w:t>efectivo</w:t>
            </w:r>
            <w:proofErr w:type="spellEnd"/>
            <w:r w:rsidRPr="00292532">
              <w:rPr>
                <w:rFonts w:asciiTheme="minorHAnsi" w:eastAsia="Calibri" w:hAnsiTheme="minorHAnsi" w:cstheme="minorHAnsi"/>
                <w:sz w:val="20"/>
                <w:szCs w:val="24"/>
                <w:lang w:val="pt-PT"/>
              </w:rPr>
              <w:t xml:space="preserve"> prejuízo pela não utilização da parte </w:t>
            </w:r>
            <w:proofErr w:type="spellStart"/>
            <w:r w:rsidRPr="00292532">
              <w:rPr>
                <w:rFonts w:asciiTheme="minorHAnsi" w:eastAsia="Calibri" w:hAnsiTheme="minorHAnsi" w:cstheme="minorHAnsi"/>
                <w:sz w:val="20"/>
                <w:szCs w:val="24"/>
                <w:lang w:val="pt-PT"/>
              </w:rPr>
              <w:t>afectada</w:t>
            </w:r>
            <w:proofErr w:type="spellEnd"/>
            <w:r w:rsidRPr="00292532">
              <w:rPr>
                <w:rFonts w:asciiTheme="minorHAnsi" w:eastAsia="Calibri" w:hAnsiTheme="minorHAnsi" w:cstheme="minorHAnsi"/>
                <w:sz w:val="20"/>
                <w:szCs w:val="24"/>
                <w:lang w:val="pt-PT"/>
              </w:rPr>
              <w:t>, que passará a constituir a servidão, (Art.º 17)</w:t>
            </w:r>
          </w:p>
        </w:tc>
      </w:tr>
      <w:tr w:rsidR="00FB3D2E" w:rsidRPr="00AB3051" w14:paraId="1C898076" w14:textId="77777777" w:rsidTr="00A77ED3">
        <w:tc>
          <w:tcPr>
            <w:tcW w:w="2430" w:type="dxa"/>
            <w:vAlign w:val="center"/>
          </w:tcPr>
          <w:p w14:paraId="25A6BAAC" w14:textId="31CBF990"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de Uso de Estradas e Suas Zonas de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(Decreto nº 109/2014</w:t>
            </w:r>
            <w:r w:rsidR="00CB58F3">
              <w:rPr>
                <w:rFonts w:asciiTheme="minorHAnsi" w:eastAsia="Calibri" w:hAnsiTheme="minorHAnsi" w:cstheme="minorHAnsi"/>
                <w:sz w:val="20"/>
                <w:szCs w:val="24"/>
                <w:lang w:val="pt-PT"/>
              </w:rPr>
              <w:t xml:space="preserve"> de 31 de </w:t>
            </w:r>
            <w:proofErr w:type="gramStart"/>
            <w:r w:rsidR="00CB58F3">
              <w:rPr>
                <w:rFonts w:asciiTheme="minorHAnsi" w:eastAsia="Calibri" w:hAnsiTheme="minorHAnsi" w:cstheme="minorHAnsi"/>
                <w:sz w:val="20"/>
                <w:szCs w:val="24"/>
                <w:lang w:val="pt-PT"/>
              </w:rPr>
              <w:t>Dezembro</w:t>
            </w:r>
            <w:proofErr w:type="gramEnd"/>
            <w:r w:rsidRPr="00292532">
              <w:rPr>
                <w:rFonts w:asciiTheme="minorHAnsi" w:eastAsia="Calibri" w:hAnsiTheme="minorHAnsi" w:cstheme="minorHAnsi"/>
                <w:sz w:val="20"/>
                <w:szCs w:val="24"/>
                <w:lang w:val="pt-PT"/>
              </w:rPr>
              <w:t>)</w:t>
            </w:r>
          </w:p>
        </w:tc>
        <w:tc>
          <w:tcPr>
            <w:tcW w:w="6525" w:type="dxa"/>
            <w:vAlign w:val="center"/>
          </w:tcPr>
          <w:p w14:paraId="085413D5"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 o uso das zonas de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parcial de estradas, definindo permissões e restrições do seu uso. Dá poderes à ANE para aprovar as </w:t>
            </w:r>
            <w:proofErr w:type="spellStart"/>
            <w:r w:rsidRPr="00292532">
              <w:rPr>
                <w:rFonts w:asciiTheme="minorHAnsi" w:eastAsia="Calibri" w:hAnsiTheme="minorHAnsi" w:cstheme="minorHAnsi"/>
                <w:sz w:val="20"/>
                <w:szCs w:val="24"/>
                <w:lang w:val="pt-PT"/>
              </w:rPr>
              <w:t>actividades</w:t>
            </w:r>
            <w:proofErr w:type="spellEnd"/>
            <w:r w:rsidRPr="00292532">
              <w:rPr>
                <w:rFonts w:asciiTheme="minorHAnsi" w:eastAsia="Calibri" w:hAnsiTheme="minorHAnsi" w:cstheme="minorHAnsi"/>
                <w:sz w:val="20"/>
                <w:szCs w:val="24"/>
                <w:lang w:val="pt-PT"/>
              </w:rPr>
              <w:t xml:space="preserve"> de uso da terra nas zonas de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parcial das estradas.</w:t>
            </w:r>
          </w:p>
        </w:tc>
      </w:tr>
      <w:tr w:rsidR="00FB3D2E" w:rsidRPr="00292532" w14:paraId="151920ED" w14:textId="77777777" w:rsidTr="00A77ED3">
        <w:tc>
          <w:tcPr>
            <w:tcW w:w="2430" w:type="dxa"/>
            <w:vAlign w:val="center"/>
          </w:tcPr>
          <w:p w14:paraId="6211FD8A"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lastRenderedPageBreak/>
              <w:t xml:space="preserve">Lei do Ordenamento Territorial (Lei nº 19/2007, 18 de </w:t>
            </w:r>
            <w:proofErr w:type="gramStart"/>
            <w:r w:rsidRPr="00292532">
              <w:rPr>
                <w:rFonts w:asciiTheme="minorHAnsi" w:eastAsia="Calibri" w:hAnsiTheme="minorHAnsi" w:cstheme="minorHAnsi"/>
                <w:sz w:val="20"/>
                <w:szCs w:val="24"/>
                <w:lang w:val="pt-PT"/>
              </w:rPr>
              <w:t>Julho</w:t>
            </w:r>
            <w:proofErr w:type="gramEnd"/>
            <w:r w:rsidRPr="00292532">
              <w:rPr>
                <w:rFonts w:asciiTheme="minorHAnsi" w:eastAsia="Calibri" w:hAnsiTheme="minorHAnsi" w:cstheme="minorHAnsi"/>
                <w:sz w:val="20"/>
                <w:szCs w:val="24"/>
                <w:lang w:val="pt-PT"/>
              </w:rPr>
              <w:t>)</w:t>
            </w:r>
          </w:p>
        </w:tc>
        <w:tc>
          <w:tcPr>
            <w:tcW w:w="6525" w:type="dxa"/>
            <w:vAlign w:val="center"/>
          </w:tcPr>
          <w:p w14:paraId="67388CB1"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Tem como </w:t>
            </w:r>
            <w:proofErr w:type="spellStart"/>
            <w:r w:rsidRPr="00292532">
              <w:rPr>
                <w:rFonts w:asciiTheme="minorHAnsi" w:eastAsia="Calibri" w:hAnsiTheme="minorHAnsi" w:cstheme="minorHAnsi"/>
                <w:sz w:val="20"/>
                <w:szCs w:val="24"/>
                <w:lang w:val="pt-PT"/>
              </w:rPr>
              <w:t>objectivo</w:t>
            </w:r>
            <w:proofErr w:type="spellEnd"/>
            <w:r w:rsidRPr="00292532">
              <w:rPr>
                <w:rFonts w:asciiTheme="minorHAnsi" w:eastAsia="Calibri" w:hAnsiTheme="minorHAnsi" w:cstheme="minorHAnsi"/>
                <w:sz w:val="20"/>
                <w:szCs w:val="24"/>
                <w:lang w:val="pt-PT"/>
              </w:rPr>
              <w:t xml:space="preserve"> garantir a organização da terra nacional e o uso sustentável dos seus recursos naturais; a observância das condições legais, administrativas e culturais; proporcionar condições favoráveis para o desenvolvimento socioeconómico do país; a promoção da qualidade de vida da população; e a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e conservação ambiental.</w:t>
            </w:r>
          </w:p>
          <w:p w14:paraId="7F7A6246"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“A expropriação por interesse, necessidade ou utilidade pública dá lugar ao pagamento de uma justa indemnização, nos termos da Lei, a ser calculada de modo a compensar, entre outras: a) a perda de bens tangíveis e intangíveis; b) a </w:t>
            </w:r>
            <w:proofErr w:type="spellStart"/>
            <w:r w:rsidRPr="00292532">
              <w:rPr>
                <w:rFonts w:asciiTheme="minorHAnsi" w:eastAsia="Calibri" w:hAnsiTheme="minorHAnsi" w:cstheme="minorHAnsi"/>
                <w:sz w:val="20"/>
                <w:szCs w:val="24"/>
                <w:lang w:val="pt-PT"/>
              </w:rPr>
              <w:t>ruptura</w:t>
            </w:r>
            <w:proofErr w:type="spellEnd"/>
            <w:r w:rsidRPr="00292532">
              <w:rPr>
                <w:rFonts w:asciiTheme="minorHAnsi" w:eastAsia="Calibri" w:hAnsiTheme="minorHAnsi" w:cstheme="minorHAnsi"/>
                <w:sz w:val="20"/>
                <w:szCs w:val="24"/>
                <w:lang w:val="pt-PT"/>
              </w:rPr>
              <w:t xml:space="preserve"> da coesão social; c) a perda de bens de produção.” (Art.º 20).</w:t>
            </w:r>
          </w:p>
        </w:tc>
      </w:tr>
      <w:tr w:rsidR="00FB3D2E" w:rsidRPr="00292532" w14:paraId="1F42365D" w14:textId="77777777" w:rsidTr="00A77ED3">
        <w:tc>
          <w:tcPr>
            <w:tcW w:w="2430" w:type="dxa"/>
            <w:vAlign w:val="center"/>
          </w:tcPr>
          <w:p w14:paraId="0010E391"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da Lei do Ordenamento Territorial (Decreto N.º 23/2008, de 1 de </w:t>
            </w:r>
            <w:proofErr w:type="gramStart"/>
            <w:r w:rsidRPr="00292532">
              <w:rPr>
                <w:rFonts w:asciiTheme="minorHAnsi" w:eastAsia="Calibri" w:hAnsiTheme="minorHAnsi" w:cstheme="minorHAnsi"/>
                <w:sz w:val="20"/>
                <w:szCs w:val="24"/>
                <w:lang w:val="pt-PT"/>
              </w:rPr>
              <w:t>Junho</w:t>
            </w:r>
            <w:proofErr w:type="gramEnd"/>
            <w:r w:rsidRPr="00292532">
              <w:rPr>
                <w:rFonts w:asciiTheme="minorHAnsi" w:eastAsia="Calibri" w:hAnsiTheme="minorHAnsi" w:cstheme="minorHAnsi"/>
                <w:sz w:val="20"/>
                <w:szCs w:val="24"/>
                <w:lang w:val="pt-PT"/>
              </w:rPr>
              <w:t>)</w:t>
            </w:r>
          </w:p>
        </w:tc>
        <w:tc>
          <w:tcPr>
            <w:tcW w:w="6525" w:type="dxa"/>
            <w:vAlign w:val="center"/>
          </w:tcPr>
          <w:p w14:paraId="22F6DF62"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A expropriação para efeitos de ordenamento territorial é considerada </w:t>
            </w:r>
            <w:proofErr w:type="spellStart"/>
            <w:r w:rsidRPr="00292532">
              <w:rPr>
                <w:rFonts w:asciiTheme="minorHAnsi" w:eastAsia="Calibri" w:hAnsiTheme="minorHAnsi" w:cstheme="minorHAnsi"/>
                <w:sz w:val="20"/>
                <w:szCs w:val="24"/>
                <w:lang w:val="pt-PT"/>
              </w:rPr>
              <w:t>efectuada</w:t>
            </w:r>
            <w:proofErr w:type="spellEnd"/>
            <w:r w:rsidRPr="00292532">
              <w:rPr>
                <w:rFonts w:asciiTheme="minorHAnsi" w:eastAsia="Calibri" w:hAnsiTheme="minorHAnsi" w:cstheme="minorHAnsi"/>
                <w:sz w:val="20"/>
                <w:szCs w:val="24"/>
                <w:lang w:val="pt-PT"/>
              </w:rPr>
              <w:t xml:space="preserve"> por interesse público, quando tiver como </w:t>
            </w:r>
            <w:proofErr w:type="spellStart"/>
            <w:r w:rsidRPr="00292532">
              <w:rPr>
                <w:rFonts w:asciiTheme="minorHAnsi" w:eastAsia="Calibri" w:hAnsiTheme="minorHAnsi" w:cstheme="minorHAnsi"/>
                <w:sz w:val="20"/>
                <w:szCs w:val="24"/>
                <w:lang w:val="pt-PT"/>
              </w:rPr>
              <w:t>objectivo</w:t>
            </w:r>
            <w:proofErr w:type="spellEnd"/>
            <w:r w:rsidRPr="00292532">
              <w:rPr>
                <w:rFonts w:asciiTheme="minorHAnsi" w:eastAsia="Calibri" w:hAnsiTheme="minorHAnsi" w:cstheme="minorHAnsi"/>
                <w:sz w:val="20"/>
                <w:szCs w:val="24"/>
                <w:lang w:val="pt-PT"/>
              </w:rPr>
              <w:t xml:space="preserve"> final a salvaguarda de um interesse comum da comunidade, podendo ser declarada nos casos (..) de aquisição de áreas para a implantação de infraestruturas económicas ou sociais com grande impacto social positivo (Art.º 68)</w:t>
            </w:r>
          </w:p>
          <w:p w14:paraId="73E484CC"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A expropriação é sempre precedida de declaração pública do interesse, necessidade ou utilidade pública da área a expropriar (a ser emitida pelo Governo), na qual são indicados os fundamentos que motivam a expropriação. (Art.º 69)</w:t>
            </w:r>
          </w:p>
          <w:p w14:paraId="20C7778E"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A expropriação por interesse, necessidade ou utilidade pública dá sempre lugar ao pagamento de uma justa indemnização, a ser </w:t>
            </w:r>
            <w:proofErr w:type="spellStart"/>
            <w:r w:rsidRPr="00292532">
              <w:rPr>
                <w:rFonts w:asciiTheme="minorHAnsi" w:eastAsia="Calibri" w:hAnsiTheme="minorHAnsi" w:cstheme="minorHAnsi"/>
                <w:sz w:val="20"/>
                <w:szCs w:val="24"/>
                <w:lang w:val="pt-PT"/>
              </w:rPr>
              <w:t>efectuada</w:t>
            </w:r>
            <w:proofErr w:type="spellEnd"/>
            <w:r w:rsidRPr="00292532">
              <w:rPr>
                <w:rFonts w:asciiTheme="minorHAnsi" w:eastAsia="Calibri" w:hAnsiTheme="minorHAnsi" w:cstheme="minorHAnsi"/>
                <w:sz w:val="20"/>
                <w:szCs w:val="24"/>
                <w:lang w:val="pt-PT"/>
              </w:rPr>
              <w:t xml:space="preserve"> previamente à transferência da propriedade ou posse dos bens a expropriar. A indemnização deve cobrir não só o valor real e </w:t>
            </w:r>
            <w:proofErr w:type="spellStart"/>
            <w:r w:rsidRPr="00292532">
              <w:rPr>
                <w:rFonts w:asciiTheme="minorHAnsi" w:eastAsia="Calibri" w:hAnsiTheme="minorHAnsi" w:cstheme="minorHAnsi"/>
                <w:sz w:val="20"/>
                <w:szCs w:val="24"/>
                <w:lang w:val="pt-PT"/>
              </w:rPr>
              <w:t>actual</w:t>
            </w:r>
            <w:proofErr w:type="spellEnd"/>
            <w:r w:rsidRPr="00292532">
              <w:rPr>
                <w:rFonts w:asciiTheme="minorHAnsi" w:eastAsia="Calibri" w:hAnsiTheme="minorHAnsi" w:cstheme="minorHAnsi"/>
                <w:sz w:val="20"/>
                <w:szCs w:val="24"/>
                <w:lang w:val="pt-PT"/>
              </w:rPr>
              <w:t xml:space="preserve"> dos bens expropriados, à data do pagamento, como também os danos emergentes e os lucros cessantes do proprietário, decorrentes do despojamento do seu património. (Art.º 70)</w:t>
            </w:r>
          </w:p>
        </w:tc>
      </w:tr>
      <w:tr w:rsidR="00FB3D2E" w:rsidRPr="00AB3051" w14:paraId="2DA63F3D" w14:textId="77777777" w:rsidTr="00A77ED3">
        <w:tc>
          <w:tcPr>
            <w:tcW w:w="2430" w:type="dxa"/>
            <w:vAlign w:val="center"/>
          </w:tcPr>
          <w:p w14:paraId="4A2C54F7" w14:textId="3369AE21"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proofErr w:type="spellStart"/>
            <w:r w:rsidRPr="00292532">
              <w:rPr>
                <w:rFonts w:asciiTheme="minorHAnsi" w:eastAsia="Calibri" w:hAnsiTheme="minorHAnsi" w:cstheme="minorHAnsi"/>
                <w:sz w:val="20"/>
                <w:szCs w:val="24"/>
                <w:lang w:val="pt-PT"/>
              </w:rPr>
              <w:t>Directiva</w:t>
            </w:r>
            <w:proofErr w:type="spellEnd"/>
            <w:r w:rsidRPr="00292532">
              <w:rPr>
                <w:rFonts w:asciiTheme="minorHAnsi" w:eastAsia="Calibri" w:hAnsiTheme="minorHAnsi" w:cstheme="minorHAnsi"/>
                <w:sz w:val="20"/>
                <w:szCs w:val="24"/>
                <w:lang w:val="pt-PT"/>
              </w:rPr>
              <w:t xml:space="preserve"> sobre o Processo de Expropriação para efeitos de Ordenamento Territorial (Diploma Ministerial nº181/2010</w:t>
            </w:r>
            <w:r w:rsidR="005E268C">
              <w:rPr>
                <w:rFonts w:asciiTheme="minorHAnsi" w:eastAsia="Calibri" w:hAnsiTheme="minorHAnsi" w:cstheme="minorHAnsi"/>
                <w:sz w:val="20"/>
                <w:szCs w:val="24"/>
                <w:lang w:val="pt-PT"/>
              </w:rPr>
              <w:t xml:space="preserve"> de 1 de </w:t>
            </w:r>
            <w:proofErr w:type="gramStart"/>
            <w:r w:rsidR="005E268C">
              <w:rPr>
                <w:rFonts w:asciiTheme="minorHAnsi" w:eastAsia="Calibri" w:hAnsiTheme="minorHAnsi" w:cstheme="minorHAnsi"/>
                <w:sz w:val="20"/>
                <w:szCs w:val="24"/>
                <w:lang w:val="pt-PT"/>
              </w:rPr>
              <w:t>Julho</w:t>
            </w:r>
            <w:proofErr w:type="gramEnd"/>
            <w:r w:rsidRPr="00292532">
              <w:rPr>
                <w:rFonts w:asciiTheme="minorHAnsi" w:eastAsia="Calibri" w:hAnsiTheme="minorHAnsi" w:cstheme="minorHAnsi"/>
                <w:sz w:val="20"/>
                <w:szCs w:val="24"/>
                <w:lang w:val="pt-PT"/>
              </w:rPr>
              <w:t>)</w:t>
            </w:r>
          </w:p>
        </w:tc>
        <w:tc>
          <w:tcPr>
            <w:tcW w:w="6525" w:type="dxa"/>
            <w:vAlign w:val="center"/>
          </w:tcPr>
          <w:p w14:paraId="21C47700"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Define modalidades de pagamento da indemnização: em dinheiro (numa única prestação) ou em espécie (no caso de edifícios ou construções habitacionais é </w:t>
            </w:r>
            <w:proofErr w:type="spellStart"/>
            <w:r w:rsidRPr="00292532">
              <w:rPr>
                <w:rFonts w:asciiTheme="minorHAnsi" w:eastAsia="Calibri" w:hAnsiTheme="minorHAnsi" w:cstheme="minorHAnsi"/>
                <w:sz w:val="20"/>
                <w:szCs w:val="24"/>
                <w:lang w:val="pt-PT"/>
              </w:rPr>
              <w:t>efectuada</w:t>
            </w:r>
            <w:proofErr w:type="spellEnd"/>
            <w:r w:rsidRPr="00292532">
              <w:rPr>
                <w:rFonts w:asciiTheme="minorHAnsi" w:eastAsia="Calibri" w:hAnsiTheme="minorHAnsi" w:cstheme="minorHAnsi"/>
                <w:sz w:val="20"/>
                <w:szCs w:val="24"/>
                <w:lang w:val="pt-PT"/>
              </w:rPr>
              <w:t xml:space="preserve"> através da construção de imóvel equivalente)</w:t>
            </w:r>
          </w:p>
          <w:p w14:paraId="09160ABA"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Define forma de cálculo de indeminização para imóveis (tendo por base a tipologia, importância, qualidade, localização e depreciação) e para plantas (com base na idade, período de crescimento, produção média anual, preço de venda) e culturas anuais (com base na produção por hectare)</w:t>
            </w:r>
          </w:p>
        </w:tc>
      </w:tr>
      <w:tr w:rsidR="00FB3D2E" w:rsidRPr="00AB3051" w14:paraId="114FDBAE" w14:textId="77777777" w:rsidTr="00A77ED3">
        <w:tc>
          <w:tcPr>
            <w:tcW w:w="2430" w:type="dxa"/>
            <w:vAlign w:val="center"/>
          </w:tcPr>
          <w:p w14:paraId="5DD4CD71" w14:textId="3E77C395"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sobre o processo de Reassentamento Resultante de </w:t>
            </w:r>
            <w:proofErr w:type="spellStart"/>
            <w:r w:rsidRPr="00292532">
              <w:rPr>
                <w:rFonts w:asciiTheme="minorHAnsi" w:eastAsia="Calibri" w:hAnsiTheme="minorHAnsi" w:cstheme="minorHAnsi"/>
                <w:sz w:val="20"/>
                <w:szCs w:val="24"/>
                <w:lang w:val="pt-PT"/>
              </w:rPr>
              <w:t>Actividades</w:t>
            </w:r>
            <w:proofErr w:type="spellEnd"/>
            <w:r w:rsidRPr="00292532">
              <w:rPr>
                <w:rFonts w:asciiTheme="minorHAnsi" w:eastAsia="Calibri" w:hAnsiTheme="minorHAnsi" w:cstheme="minorHAnsi"/>
                <w:sz w:val="20"/>
                <w:szCs w:val="24"/>
                <w:lang w:val="pt-PT"/>
              </w:rPr>
              <w:t xml:space="preserve"> Económicas (Decreto nº 31/2012, de 8 de </w:t>
            </w:r>
            <w:proofErr w:type="gramStart"/>
            <w:r w:rsidRPr="00292532">
              <w:rPr>
                <w:rFonts w:asciiTheme="minorHAnsi" w:eastAsia="Calibri" w:hAnsiTheme="minorHAnsi" w:cstheme="minorHAnsi"/>
                <w:sz w:val="20"/>
                <w:szCs w:val="24"/>
                <w:lang w:val="pt-PT"/>
              </w:rPr>
              <w:t>Agosto</w:t>
            </w:r>
            <w:proofErr w:type="gramEnd"/>
            <w:r w:rsidRPr="00292532">
              <w:rPr>
                <w:rFonts w:asciiTheme="minorHAnsi" w:eastAsia="Calibri" w:hAnsiTheme="minorHAnsi" w:cstheme="minorHAnsi"/>
                <w:sz w:val="20"/>
                <w:szCs w:val="24"/>
                <w:lang w:val="pt-PT"/>
              </w:rPr>
              <w:t>)</w:t>
            </w:r>
          </w:p>
        </w:tc>
        <w:tc>
          <w:tcPr>
            <w:tcW w:w="6525" w:type="dxa"/>
            <w:vAlign w:val="center"/>
          </w:tcPr>
          <w:p w14:paraId="47DA506D"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Define que o Proponente da </w:t>
            </w:r>
            <w:proofErr w:type="spellStart"/>
            <w:r w:rsidRPr="00292532">
              <w:rPr>
                <w:rFonts w:asciiTheme="minorHAnsi" w:eastAsia="Calibri" w:hAnsiTheme="minorHAnsi" w:cstheme="minorHAnsi"/>
                <w:sz w:val="20"/>
                <w:szCs w:val="24"/>
                <w:lang w:val="pt-PT"/>
              </w:rPr>
              <w:t>actividade</w:t>
            </w:r>
            <w:proofErr w:type="spellEnd"/>
            <w:r w:rsidRPr="00292532">
              <w:rPr>
                <w:rFonts w:asciiTheme="minorHAnsi" w:eastAsia="Calibri" w:hAnsiTheme="minorHAnsi" w:cstheme="minorHAnsi"/>
                <w:sz w:val="20"/>
                <w:szCs w:val="24"/>
                <w:lang w:val="pt-PT"/>
              </w:rPr>
              <w:t xml:space="preserve"> económica é responsável pelo desenvolvimento e implementação do plano de reassentamento, além de suportar os custos do processo. A aprovação dos Planos de Reassentamento é da responsabilidade do Governo Distrital (Art.º 9.1) e será precedida da emissão de parecer técnico favorável do sector responsável pelo planeamento </w:t>
            </w:r>
            <w:r w:rsidRPr="00292532">
              <w:rPr>
                <w:rFonts w:asciiTheme="minorHAnsi" w:eastAsia="Calibri" w:hAnsiTheme="minorHAnsi" w:cstheme="minorHAnsi"/>
                <w:sz w:val="20"/>
                <w:szCs w:val="24"/>
                <w:lang w:val="pt-PT"/>
              </w:rPr>
              <w:lastRenderedPageBreak/>
              <w:t xml:space="preserve">territorial ouvidos os sectores da agricultura, administração local e obras públicas e habitação (Art.º 9.2). </w:t>
            </w:r>
          </w:p>
          <w:p w14:paraId="1D4C406A"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O Decreto, no Artigo 10, estabelece os Direitos da População </w:t>
            </w:r>
            <w:proofErr w:type="spellStart"/>
            <w:r w:rsidRPr="00292532">
              <w:rPr>
                <w:rFonts w:asciiTheme="minorHAnsi" w:eastAsia="Calibri" w:hAnsiTheme="minorHAnsi" w:cstheme="minorHAnsi"/>
                <w:sz w:val="20"/>
                <w:szCs w:val="24"/>
                <w:lang w:val="pt-PT"/>
              </w:rPr>
              <w:t>Afectada</w:t>
            </w:r>
            <w:proofErr w:type="spellEnd"/>
            <w:r w:rsidRPr="00292532">
              <w:rPr>
                <w:rFonts w:asciiTheme="minorHAnsi" w:eastAsia="Calibri" w:hAnsiTheme="minorHAnsi" w:cstheme="minorHAnsi"/>
                <w:sz w:val="20"/>
                <w:szCs w:val="24"/>
                <w:lang w:val="pt-PT"/>
              </w:rPr>
              <w:t xml:space="preserve"> - entendida como aquela que tenha perdido os seus bens (como casas, meios de subsistência e outro tipo de infraestruturas) de ver restabelecido o seu nível de renda e padrão de vida, igual ou superior ao anterior</w:t>
            </w:r>
          </w:p>
        </w:tc>
      </w:tr>
      <w:tr w:rsidR="00FB3D2E" w:rsidRPr="00AB3051" w14:paraId="5200106A" w14:textId="77777777" w:rsidTr="00A77ED3">
        <w:tc>
          <w:tcPr>
            <w:tcW w:w="2430" w:type="dxa"/>
            <w:vAlign w:val="center"/>
          </w:tcPr>
          <w:p w14:paraId="3FAB6C64"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proofErr w:type="spellStart"/>
            <w:r w:rsidRPr="00292532">
              <w:rPr>
                <w:rFonts w:asciiTheme="minorHAnsi" w:eastAsia="Calibri" w:hAnsiTheme="minorHAnsi" w:cstheme="minorHAnsi"/>
                <w:sz w:val="20"/>
                <w:szCs w:val="24"/>
                <w:lang w:val="pt-PT"/>
              </w:rPr>
              <w:lastRenderedPageBreak/>
              <w:t>Directiva</w:t>
            </w:r>
            <w:proofErr w:type="spellEnd"/>
            <w:r w:rsidRPr="00292532">
              <w:rPr>
                <w:rFonts w:asciiTheme="minorHAnsi" w:eastAsia="Calibri" w:hAnsiTheme="minorHAnsi" w:cstheme="minorHAnsi"/>
                <w:sz w:val="20"/>
                <w:szCs w:val="24"/>
                <w:lang w:val="pt-PT"/>
              </w:rPr>
              <w:t xml:space="preserve"> Técnica do Processo de Elaboração e Implementação dos Planos de Reassentamento (Diploma Ministerial nº 156/2014, de 19 de </w:t>
            </w:r>
            <w:proofErr w:type="gramStart"/>
            <w:r w:rsidRPr="00292532">
              <w:rPr>
                <w:rFonts w:asciiTheme="minorHAnsi" w:eastAsia="Calibri" w:hAnsiTheme="minorHAnsi" w:cstheme="minorHAnsi"/>
                <w:sz w:val="20"/>
                <w:szCs w:val="24"/>
                <w:lang w:val="pt-PT"/>
              </w:rPr>
              <w:t>Setembro</w:t>
            </w:r>
            <w:proofErr w:type="gramEnd"/>
            <w:r w:rsidRPr="00292532">
              <w:rPr>
                <w:rFonts w:asciiTheme="minorHAnsi" w:eastAsia="Calibri" w:hAnsiTheme="minorHAnsi" w:cstheme="minorHAnsi"/>
                <w:sz w:val="20"/>
                <w:szCs w:val="24"/>
                <w:lang w:val="pt-PT"/>
              </w:rPr>
              <w:t>)</w:t>
            </w:r>
          </w:p>
        </w:tc>
        <w:tc>
          <w:tcPr>
            <w:tcW w:w="6525" w:type="dxa"/>
            <w:vAlign w:val="center"/>
          </w:tcPr>
          <w:p w14:paraId="2E6A0B6D"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Tem por </w:t>
            </w:r>
            <w:proofErr w:type="spellStart"/>
            <w:r w:rsidRPr="00292532">
              <w:rPr>
                <w:rFonts w:asciiTheme="minorHAnsi" w:eastAsia="Calibri" w:hAnsiTheme="minorHAnsi" w:cstheme="minorHAnsi"/>
                <w:sz w:val="20"/>
                <w:szCs w:val="24"/>
                <w:lang w:val="pt-PT"/>
              </w:rPr>
              <w:t>objectivo</w:t>
            </w:r>
            <w:proofErr w:type="spellEnd"/>
            <w:r w:rsidRPr="00292532">
              <w:rPr>
                <w:rFonts w:asciiTheme="minorHAnsi" w:eastAsia="Calibri" w:hAnsiTheme="minorHAnsi" w:cstheme="minorHAnsi"/>
                <w:sz w:val="20"/>
                <w:szCs w:val="24"/>
                <w:lang w:val="pt-PT"/>
              </w:rPr>
              <w:t xml:space="preserve"> operacionalizar o processo de Reassentamento Resultante de </w:t>
            </w:r>
            <w:proofErr w:type="spellStart"/>
            <w:r w:rsidRPr="00292532">
              <w:rPr>
                <w:rFonts w:asciiTheme="minorHAnsi" w:eastAsia="Calibri" w:hAnsiTheme="minorHAnsi" w:cstheme="minorHAnsi"/>
                <w:sz w:val="20"/>
                <w:szCs w:val="24"/>
                <w:lang w:val="pt-PT"/>
              </w:rPr>
              <w:t>Actividades</w:t>
            </w:r>
            <w:proofErr w:type="spellEnd"/>
            <w:r w:rsidRPr="00292532">
              <w:rPr>
                <w:rFonts w:asciiTheme="minorHAnsi" w:eastAsia="Calibri" w:hAnsiTheme="minorHAnsi" w:cstheme="minorHAnsi"/>
                <w:sz w:val="20"/>
                <w:szCs w:val="24"/>
                <w:lang w:val="pt-PT"/>
              </w:rPr>
              <w:t xml:space="preserve"> Económicas ao abrigo da alínea c) do artigo 3 do Decreto n.º 31/2012, que aprova o Regulamento sobre o processo de Reassentamento Resultante de </w:t>
            </w:r>
            <w:proofErr w:type="spellStart"/>
            <w:r w:rsidRPr="00292532">
              <w:rPr>
                <w:rFonts w:asciiTheme="minorHAnsi" w:eastAsia="Calibri" w:hAnsiTheme="minorHAnsi" w:cstheme="minorHAnsi"/>
                <w:sz w:val="20"/>
                <w:szCs w:val="24"/>
                <w:lang w:val="pt-PT"/>
              </w:rPr>
              <w:t>Actividades</w:t>
            </w:r>
            <w:proofErr w:type="spellEnd"/>
            <w:r w:rsidRPr="00292532">
              <w:rPr>
                <w:rFonts w:asciiTheme="minorHAnsi" w:eastAsia="Calibri" w:hAnsiTheme="minorHAnsi" w:cstheme="minorHAnsi"/>
                <w:sz w:val="20"/>
                <w:szCs w:val="24"/>
                <w:lang w:val="pt-PT"/>
              </w:rPr>
              <w:t xml:space="preserve"> Económicas.</w:t>
            </w:r>
          </w:p>
          <w:p w14:paraId="354518EF"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Durante a elaboração dos Planos de Reassentamento, a CTASR, através das suas Comissões Distritais e Provinciais, faz o acompanhamento de todo o processo, devendo também se pronunciar em relação à escolha do local para o reassentamento, compensações, consultas públicas e implementação de todo o </w:t>
            </w:r>
            <w:proofErr w:type="spellStart"/>
            <w:r w:rsidRPr="00292532">
              <w:rPr>
                <w:rFonts w:asciiTheme="minorHAnsi" w:eastAsia="Calibri" w:hAnsiTheme="minorHAnsi" w:cstheme="minorHAnsi"/>
                <w:sz w:val="20"/>
                <w:szCs w:val="24"/>
                <w:lang w:val="pt-PT"/>
              </w:rPr>
              <w:t>projecto</w:t>
            </w:r>
            <w:proofErr w:type="spellEnd"/>
            <w:r w:rsidRPr="00292532">
              <w:rPr>
                <w:rFonts w:asciiTheme="minorHAnsi" w:eastAsia="Calibri" w:hAnsiTheme="minorHAnsi" w:cstheme="minorHAnsi"/>
                <w:sz w:val="20"/>
                <w:szCs w:val="24"/>
                <w:lang w:val="pt-PT"/>
              </w:rPr>
              <w:t xml:space="preserve"> de reassentamento.</w:t>
            </w:r>
          </w:p>
          <w:p w14:paraId="36DA557A"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A </w:t>
            </w:r>
            <w:proofErr w:type="spellStart"/>
            <w:r w:rsidRPr="00292532">
              <w:rPr>
                <w:rFonts w:asciiTheme="minorHAnsi" w:eastAsia="Calibri" w:hAnsiTheme="minorHAnsi" w:cstheme="minorHAnsi"/>
                <w:sz w:val="20"/>
                <w:szCs w:val="24"/>
                <w:lang w:val="pt-PT"/>
              </w:rPr>
              <w:t>directiva</w:t>
            </w:r>
            <w:proofErr w:type="spellEnd"/>
            <w:r w:rsidRPr="00292532">
              <w:rPr>
                <w:rFonts w:asciiTheme="minorHAnsi" w:eastAsia="Calibri" w:hAnsiTheme="minorHAnsi" w:cstheme="minorHAnsi"/>
                <w:sz w:val="20"/>
                <w:szCs w:val="24"/>
                <w:lang w:val="pt-PT"/>
              </w:rPr>
              <w:t xml:space="preserve"> técnica define os procedimentos e as etapas a seguir na elaboração do plano de reassentamento. As etapas da elaboração do plano de reassentamento são as seguintes:</w:t>
            </w:r>
          </w:p>
          <w:p w14:paraId="710DFC30"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Fase 1. Relatório de Pesquisa Física e Socioeconómica. </w:t>
            </w:r>
          </w:p>
          <w:p w14:paraId="4090B998"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Fase 2. Plano de Reassentamento;</w:t>
            </w:r>
          </w:p>
          <w:p w14:paraId="0B2CD550"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Fase 3. O Plano de </w:t>
            </w:r>
            <w:proofErr w:type="spellStart"/>
            <w:r w:rsidRPr="00292532">
              <w:rPr>
                <w:rFonts w:asciiTheme="minorHAnsi" w:eastAsia="Calibri" w:hAnsiTheme="minorHAnsi" w:cstheme="minorHAnsi"/>
                <w:sz w:val="20"/>
                <w:szCs w:val="24"/>
                <w:lang w:val="pt-PT"/>
              </w:rPr>
              <w:t>Acção</w:t>
            </w:r>
            <w:proofErr w:type="spellEnd"/>
            <w:r w:rsidRPr="00292532">
              <w:rPr>
                <w:rFonts w:asciiTheme="minorHAnsi" w:eastAsia="Calibri" w:hAnsiTheme="minorHAnsi" w:cstheme="minorHAnsi"/>
                <w:sz w:val="20"/>
                <w:szCs w:val="24"/>
                <w:lang w:val="pt-PT"/>
              </w:rPr>
              <w:t xml:space="preserve"> para a Implementação do Reassentamento.</w:t>
            </w:r>
          </w:p>
        </w:tc>
      </w:tr>
      <w:tr w:rsidR="00FB3D2E" w:rsidRPr="00292532" w14:paraId="16AAFFDE" w14:textId="77777777" w:rsidTr="00A77ED3">
        <w:tc>
          <w:tcPr>
            <w:tcW w:w="8955" w:type="dxa"/>
            <w:gridSpan w:val="2"/>
            <w:shd w:val="clear" w:color="auto" w:fill="DEEAF6" w:themeFill="accent5" w:themeFillTint="33"/>
            <w:vAlign w:val="center"/>
          </w:tcPr>
          <w:p w14:paraId="67828EBE" w14:textId="77777777" w:rsidR="00FB3D2E" w:rsidRPr="00292532" w:rsidRDefault="00FB3D2E" w:rsidP="00FB3D2E">
            <w:pPr>
              <w:autoSpaceDE w:val="0"/>
              <w:autoSpaceDN w:val="0"/>
              <w:adjustRightInd w:val="0"/>
              <w:spacing w:before="120" w:afterLines="160" w:after="384" w:line="20" w:lineRule="atLeast"/>
              <w:jc w:val="center"/>
              <w:rPr>
                <w:rFonts w:asciiTheme="minorHAnsi" w:eastAsia="Calibri" w:hAnsiTheme="minorHAnsi" w:cstheme="minorHAnsi"/>
                <w:b/>
                <w:sz w:val="20"/>
                <w:szCs w:val="24"/>
                <w:lang w:val="pt-PT"/>
              </w:rPr>
            </w:pPr>
            <w:r w:rsidRPr="00292532">
              <w:rPr>
                <w:rFonts w:asciiTheme="minorHAnsi" w:eastAsia="Calibri" w:hAnsiTheme="minorHAnsi" w:cstheme="minorHAnsi"/>
                <w:b/>
                <w:sz w:val="20"/>
                <w:szCs w:val="24"/>
                <w:lang w:val="pt-PT"/>
              </w:rPr>
              <w:t>Biodiversidade</w:t>
            </w:r>
          </w:p>
        </w:tc>
      </w:tr>
      <w:tr w:rsidR="00FB3D2E" w:rsidRPr="00AB3051" w14:paraId="706AC53E" w14:textId="77777777" w:rsidTr="00A77ED3">
        <w:tc>
          <w:tcPr>
            <w:tcW w:w="2430" w:type="dxa"/>
            <w:vAlign w:val="center"/>
          </w:tcPr>
          <w:p w14:paraId="3926B041"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Lei das Florestas e Fauna Bravia (Lei n.º 10/99, de 7 de </w:t>
            </w:r>
            <w:proofErr w:type="gramStart"/>
            <w:r w:rsidRPr="00292532">
              <w:rPr>
                <w:rFonts w:asciiTheme="minorHAnsi" w:eastAsia="Calibri" w:hAnsiTheme="minorHAnsi" w:cstheme="minorHAnsi"/>
                <w:sz w:val="20"/>
                <w:szCs w:val="24"/>
                <w:lang w:val="pt-PT"/>
              </w:rPr>
              <w:t>Julho</w:t>
            </w:r>
            <w:proofErr w:type="gramEnd"/>
            <w:r w:rsidRPr="00292532">
              <w:rPr>
                <w:rFonts w:asciiTheme="minorHAnsi" w:eastAsia="Calibri" w:hAnsiTheme="minorHAnsi" w:cstheme="minorHAnsi"/>
                <w:sz w:val="20"/>
                <w:szCs w:val="24"/>
                <w:lang w:val="pt-PT"/>
              </w:rPr>
              <w:t>) e Regulamento da Lei das Florestas e Fauna Bravia (Decreto n.º 12/2002, de 6 de Junho, alterado pelo Decreto n.º 11/2003.)</w:t>
            </w:r>
          </w:p>
        </w:tc>
        <w:tc>
          <w:tcPr>
            <w:tcW w:w="6525" w:type="dxa"/>
            <w:vAlign w:val="center"/>
          </w:tcPr>
          <w:p w14:paraId="1C4487D4"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Estabelece o regime jurídico aplicável ao conjunto dos valores e recursos naturais existentes no território moçambicano e nas águas sob a sua jurisdição. </w:t>
            </w:r>
          </w:p>
          <w:p w14:paraId="0C1B9E2B"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O derrube de árvores requer pedido de autorização (Art.º 105)</w:t>
            </w:r>
          </w:p>
          <w:p w14:paraId="1A8F9C68"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Não é permitido o uso de queimada de floresta (Art.º 106)</w:t>
            </w:r>
          </w:p>
          <w:p w14:paraId="127011E2"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Anexo II apresenta lista de animais protegidos, cuja caça não é permitida</w:t>
            </w:r>
          </w:p>
        </w:tc>
      </w:tr>
      <w:tr w:rsidR="00FB3D2E" w:rsidRPr="00AB3051" w14:paraId="12D8BB43" w14:textId="77777777" w:rsidTr="00A77ED3">
        <w:tc>
          <w:tcPr>
            <w:tcW w:w="2430" w:type="dxa"/>
            <w:vAlign w:val="center"/>
          </w:tcPr>
          <w:p w14:paraId="4B1DD9ED"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lastRenderedPageBreak/>
              <w:t xml:space="preserve">Regulamento para o Controlo de Espécies Exóticas Invasivas (Decreto n.º 25/2008, de 1 de </w:t>
            </w:r>
            <w:proofErr w:type="gramStart"/>
            <w:r w:rsidRPr="00292532">
              <w:rPr>
                <w:rFonts w:asciiTheme="minorHAnsi" w:eastAsia="Calibri" w:hAnsiTheme="minorHAnsi" w:cstheme="minorHAnsi"/>
                <w:sz w:val="20"/>
                <w:szCs w:val="24"/>
                <w:lang w:val="pt-PT"/>
              </w:rPr>
              <w:t>Julho</w:t>
            </w:r>
            <w:proofErr w:type="gramEnd"/>
            <w:r w:rsidRPr="00292532">
              <w:rPr>
                <w:rFonts w:asciiTheme="minorHAnsi" w:eastAsia="Calibri" w:hAnsiTheme="minorHAnsi" w:cstheme="minorHAnsi"/>
                <w:sz w:val="20"/>
                <w:szCs w:val="24"/>
                <w:lang w:val="pt-PT"/>
              </w:rPr>
              <w:t>)</w:t>
            </w:r>
          </w:p>
        </w:tc>
        <w:tc>
          <w:tcPr>
            <w:tcW w:w="6525" w:type="dxa"/>
            <w:vAlign w:val="center"/>
          </w:tcPr>
          <w:p w14:paraId="533E436C"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Estabelece normas legais que impeçam a introdução de espécies exóticas evasivas que ameaçam os ecossistemas, habitats ou espécies do seu território, na medida que compreendem o controlo e a eliminação de tais espécies. </w:t>
            </w:r>
          </w:p>
          <w:p w14:paraId="16AD5669"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É proibida a realização de </w:t>
            </w:r>
            <w:proofErr w:type="spellStart"/>
            <w:r w:rsidRPr="00292532">
              <w:rPr>
                <w:rFonts w:asciiTheme="minorHAnsi" w:eastAsia="Calibri" w:hAnsiTheme="minorHAnsi" w:cstheme="minorHAnsi"/>
                <w:sz w:val="20"/>
                <w:szCs w:val="24"/>
                <w:lang w:val="pt-PT"/>
              </w:rPr>
              <w:t>actividades</w:t>
            </w:r>
            <w:proofErr w:type="spellEnd"/>
            <w:r w:rsidRPr="00292532">
              <w:rPr>
                <w:rFonts w:asciiTheme="minorHAnsi" w:eastAsia="Calibri" w:hAnsiTheme="minorHAnsi" w:cstheme="minorHAnsi"/>
                <w:sz w:val="20"/>
                <w:szCs w:val="24"/>
                <w:lang w:val="pt-PT"/>
              </w:rPr>
              <w:t xml:space="preserve"> restringidas envolvendo espécies exóticas invasivas, sem prévia autorização (Art.º 8)</w:t>
            </w:r>
          </w:p>
        </w:tc>
      </w:tr>
      <w:tr w:rsidR="00FB3D2E" w:rsidRPr="00AB3051" w14:paraId="7868C8E2" w14:textId="77777777" w:rsidTr="00A77ED3">
        <w:tc>
          <w:tcPr>
            <w:tcW w:w="2430" w:type="dxa"/>
            <w:vAlign w:val="center"/>
          </w:tcPr>
          <w:p w14:paraId="1F94A6E6" w14:textId="2EA875A5"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bookmarkStart w:id="65" w:name="_Hlk26437078"/>
            <w:r w:rsidRPr="00292532">
              <w:rPr>
                <w:rFonts w:asciiTheme="minorHAnsi" w:eastAsia="Calibri" w:hAnsiTheme="minorHAnsi" w:cstheme="minorHAnsi"/>
                <w:sz w:val="20"/>
                <w:szCs w:val="24"/>
                <w:lang w:val="pt-PT"/>
              </w:rPr>
              <w:t xml:space="preserve">Lei da Conservação da Biodiversidade (Lei nº 16/2014, alterada pela Lei nº 5/2017, de 11 de </w:t>
            </w:r>
            <w:proofErr w:type="gramStart"/>
            <w:r w:rsidRPr="00292532">
              <w:rPr>
                <w:rFonts w:asciiTheme="minorHAnsi" w:eastAsia="Calibri" w:hAnsiTheme="minorHAnsi" w:cstheme="minorHAnsi"/>
                <w:sz w:val="20"/>
                <w:szCs w:val="24"/>
                <w:lang w:val="pt-PT"/>
              </w:rPr>
              <w:t>Maio</w:t>
            </w:r>
            <w:proofErr w:type="gramEnd"/>
            <w:r w:rsidRPr="00292532">
              <w:rPr>
                <w:rFonts w:asciiTheme="minorHAnsi" w:eastAsia="Calibri" w:hAnsiTheme="minorHAnsi" w:cstheme="minorHAnsi"/>
                <w:sz w:val="20"/>
                <w:szCs w:val="24"/>
                <w:lang w:val="pt-PT"/>
              </w:rPr>
              <w:t xml:space="preserve">.) </w:t>
            </w:r>
            <w:bookmarkEnd w:id="65"/>
          </w:p>
        </w:tc>
        <w:tc>
          <w:tcPr>
            <w:tcW w:w="6525" w:type="dxa"/>
            <w:vAlign w:val="center"/>
          </w:tcPr>
          <w:p w14:paraId="24D389D1"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Estabelece os princípios e normas básicas sobre a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conservação, restauração e utilização sustentável da diversidade biológica nas áreas de conservação, bem como o enquadramento de uma administração integrada, para o desenvolvimento sustentável do país.</w:t>
            </w:r>
          </w:p>
          <w:p w14:paraId="625ADC9B"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Define tipologias de áreas de conservação</w:t>
            </w:r>
          </w:p>
          <w:p w14:paraId="52CE23AA"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Define que cada área de conservação deve ter um Plano de Maneio que constitua um guia de gestão. Estes planos são documentos oficiais (equiparados aos planos de ordenamento territorial). </w:t>
            </w:r>
          </w:p>
          <w:p w14:paraId="493B062D"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Define ainda responsabilidades pela recuperação e restauração da diversidade biológica, </w:t>
            </w:r>
            <w:proofErr w:type="spellStart"/>
            <w:r w:rsidRPr="00292532">
              <w:rPr>
                <w:rFonts w:asciiTheme="minorHAnsi" w:eastAsia="Calibri" w:hAnsiTheme="minorHAnsi" w:cstheme="minorHAnsi"/>
                <w:sz w:val="20"/>
                <w:szCs w:val="24"/>
                <w:lang w:val="pt-PT"/>
              </w:rPr>
              <w:t>infracções</w:t>
            </w:r>
            <w:proofErr w:type="spellEnd"/>
            <w:r w:rsidRPr="00292532">
              <w:rPr>
                <w:rFonts w:asciiTheme="minorHAnsi" w:eastAsia="Calibri" w:hAnsiTheme="minorHAnsi" w:cstheme="minorHAnsi"/>
                <w:sz w:val="20"/>
                <w:szCs w:val="24"/>
                <w:lang w:val="pt-PT"/>
              </w:rPr>
              <w:t xml:space="preserve"> e penalizações.</w:t>
            </w:r>
          </w:p>
        </w:tc>
      </w:tr>
      <w:tr w:rsidR="00FB3D2E" w:rsidRPr="00AB3051" w14:paraId="0A207CC7" w14:textId="77777777" w:rsidTr="00A77ED3">
        <w:tc>
          <w:tcPr>
            <w:tcW w:w="8955" w:type="dxa"/>
            <w:gridSpan w:val="2"/>
            <w:shd w:val="clear" w:color="auto" w:fill="DEEAF6" w:themeFill="accent5" w:themeFillTint="33"/>
            <w:vAlign w:val="center"/>
          </w:tcPr>
          <w:p w14:paraId="66EF6C74" w14:textId="77777777" w:rsidR="00FB3D2E" w:rsidRPr="00292532" w:rsidRDefault="00FB3D2E" w:rsidP="00FB3D2E">
            <w:pPr>
              <w:autoSpaceDE w:val="0"/>
              <w:autoSpaceDN w:val="0"/>
              <w:adjustRightInd w:val="0"/>
              <w:spacing w:before="120" w:afterLines="160" w:after="384" w:line="20" w:lineRule="atLeast"/>
              <w:jc w:val="center"/>
              <w:rPr>
                <w:rFonts w:asciiTheme="minorHAnsi" w:eastAsia="Calibri" w:hAnsiTheme="minorHAnsi" w:cstheme="minorHAnsi"/>
                <w:b/>
                <w:sz w:val="20"/>
                <w:szCs w:val="24"/>
                <w:lang w:val="pt-PT"/>
              </w:rPr>
            </w:pPr>
            <w:r w:rsidRPr="00292532">
              <w:rPr>
                <w:rFonts w:asciiTheme="minorHAnsi" w:eastAsia="Calibri" w:hAnsiTheme="minorHAnsi" w:cstheme="minorHAnsi"/>
                <w:b/>
                <w:sz w:val="20"/>
                <w:szCs w:val="24"/>
                <w:lang w:val="pt-PT"/>
              </w:rPr>
              <w:t>Abastecimento de água, Saneamento e Recursos hídricos</w:t>
            </w:r>
          </w:p>
        </w:tc>
      </w:tr>
      <w:tr w:rsidR="00FB3D2E" w:rsidRPr="00AB3051" w14:paraId="2232173C" w14:textId="77777777" w:rsidTr="00A77ED3">
        <w:tc>
          <w:tcPr>
            <w:tcW w:w="2430" w:type="dxa"/>
            <w:vAlign w:val="center"/>
          </w:tcPr>
          <w:p w14:paraId="1B5FA195"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Lei de Águas (Lei nº 16/91, de 3 de </w:t>
            </w:r>
            <w:proofErr w:type="gramStart"/>
            <w:r w:rsidRPr="00292532">
              <w:rPr>
                <w:rFonts w:asciiTheme="minorHAnsi" w:eastAsia="Calibri" w:hAnsiTheme="minorHAnsi" w:cstheme="minorHAnsi"/>
                <w:sz w:val="20"/>
                <w:szCs w:val="24"/>
                <w:lang w:val="pt-PT"/>
              </w:rPr>
              <w:t>Agosto</w:t>
            </w:r>
            <w:proofErr w:type="gramEnd"/>
            <w:r w:rsidRPr="00292532">
              <w:rPr>
                <w:rFonts w:asciiTheme="minorHAnsi" w:eastAsia="Calibri" w:hAnsiTheme="minorHAnsi" w:cstheme="minorHAnsi"/>
                <w:sz w:val="20"/>
                <w:szCs w:val="24"/>
                <w:lang w:val="pt-PT"/>
              </w:rPr>
              <w:t>)</w:t>
            </w:r>
          </w:p>
        </w:tc>
        <w:tc>
          <w:tcPr>
            <w:tcW w:w="6525" w:type="dxa"/>
            <w:vAlign w:val="center"/>
          </w:tcPr>
          <w:p w14:paraId="3EC688F3"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Estabelece os princípios de gestão dos recursos hídricos de águas interiores, zonas de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princípio do utilizador-pagador e do poluidor-pagador</w:t>
            </w:r>
          </w:p>
          <w:p w14:paraId="6180B87A"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É proibido </w:t>
            </w:r>
            <w:proofErr w:type="spellStart"/>
            <w:r w:rsidRPr="00292532">
              <w:rPr>
                <w:rFonts w:asciiTheme="minorHAnsi" w:eastAsia="Calibri" w:hAnsiTheme="minorHAnsi" w:cstheme="minorHAnsi"/>
                <w:sz w:val="20"/>
                <w:szCs w:val="24"/>
                <w:lang w:val="pt-PT"/>
              </w:rPr>
              <w:t>efectuar</w:t>
            </w:r>
            <w:proofErr w:type="spellEnd"/>
            <w:r w:rsidRPr="00292532">
              <w:rPr>
                <w:rFonts w:asciiTheme="minorHAnsi" w:eastAsia="Calibri" w:hAnsiTheme="minorHAnsi" w:cstheme="minorHAnsi"/>
                <w:sz w:val="20"/>
                <w:szCs w:val="24"/>
                <w:lang w:val="pt-PT"/>
              </w:rPr>
              <w:t xml:space="preserve"> </w:t>
            </w:r>
            <w:proofErr w:type="spellStart"/>
            <w:r w:rsidRPr="00292532">
              <w:rPr>
                <w:rFonts w:asciiTheme="minorHAnsi" w:eastAsia="Calibri" w:hAnsiTheme="minorHAnsi" w:cstheme="minorHAnsi"/>
                <w:sz w:val="20"/>
                <w:szCs w:val="24"/>
                <w:lang w:val="pt-PT"/>
              </w:rPr>
              <w:t>directa</w:t>
            </w:r>
            <w:proofErr w:type="spellEnd"/>
            <w:r w:rsidRPr="00292532">
              <w:rPr>
                <w:rFonts w:asciiTheme="minorHAnsi" w:eastAsia="Calibri" w:hAnsiTheme="minorHAnsi" w:cstheme="minorHAnsi"/>
                <w:sz w:val="20"/>
                <w:szCs w:val="24"/>
                <w:lang w:val="pt-PT"/>
              </w:rPr>
              <w:t xml:space="preserve"> ou </w:t>
            </w:r>
            <w:proofErr w:type="spellStart"/>
            <w:r w:rsidRPr="00292532">
              <w:rPr>
                <w:rFonts w:asciiTheme="minorHAnsi" w:eastAsia="Calibri" w:hAnsiTheme="minorHAnsi" w:cstheme="minorHAnsi"/>
                <w:sz w:val="20"/>
                <w:szCs w:val="24"/>
                <w:lang w:val="pt-PT"/>
              </w:rPr>
              <w:t>indirectamente</w:t>
            </w:r>
            <w:proofErr w:type="spellEnd"/>
            <w:r w:rsidRPr="00292532">
              <w:rPr>
                <w:rFonts w:asciiTheme="minorHAnsi" w:eastAsia="Calibri" w:hAnsiTheme="minorHAnsi" w:cstheme="minorHAnsi"/>
                <w:sz w:val="20"/>
                <w:szCs w:val="24"/>
                <w:lang w:val="pt-PT"/>
              </w:rPr>
              <w:t xml:space="preserve"> despejos que contaminem as águas ou acumular resíduos sólidos, desperdícios de quaisquer substâncias que contaminem ou criem perigo de contaminação de águas (Art.º53)</w:t>
            </w:r>
          </w:p>
        </w:tc>
      </w:tr>
      <w:tr w:rsidR="00FB3D2E" w:rsidRPr="00AB3051" w14:paraId="64315436" w14:textId="77777777" w:rsidTr="00A77ED3">
        <w:tc>
          <w:tcPr>
            <w:tcW w:w="2430" w:type="dxa"/>
            <w:vAlign w:val="center"/>
          </w:tcPr>
          <w:p w14:paraId="76B21663"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de Licenças e Concessões de Águas (Decreto n.º 43/2007, de 30 de </w:t>
            </w:r>
            <w:proofErr w:type="gramStart"/>
            <w:r w:rsidRPr="00292532">
              <w:rPr>
                <w:rFonts w:asciiTheme="minorHAnsi" w:eastAsia="Calibri" w:hAnsiTheme="minorHAnsi" w:cstheme="minorHAnsi"/>
                <w:sz w:val="20"/>
                <w:szCs w:val="24"/>
                <w:lang w:val="pt-PT"/>
              </w:rPr>
              <w:t>Outubro</w:t>
            </w:r>
            <w:proofErr w:type="gramEnd"/>
            <w:r w:rsidRPr="00292532">
              <w:rPr>
                <w:rFonts w:asciiTheme="minorHAnsi" w:eastAsia="Calibri" w:hAnsiTheme="minorHAnsi" w:cstheme="minorHAnsi"/>
                <w:sz w:val="20"/>
                <w:szCs w:val="24"/>
                <w:lang w:val="pt-PT"/>
              </w:rPr>
              <w:t>)</w:t>
            </w:r>
          </w:p>
        </w:tc>
        <w:tc>
          <w:tcPr>
            <w:tcW w:w="6525" w:type="dxa"/>
            <w:vAlign w:val="center"/>
          </w:tcPr>
          <w:p w14:paraId="2911B9A5"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Estabelece princípios e procedimentos para atribuição de licenças e concessões de uso de águas interiores.</w:t>
            </w:r>
          </w:p>
          <w:p w14:paraId="280BB527"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Os pedidos de uso e aproveitamento privativo da água ou despejo de efluentes serão submetidos a decisão da Administração Regional de Águas (Art.º 22 e 24).</w:t>
            </w:r>
          </w:p>
        </w:tc>
      </w:tr>
      <w:tr w:rsidR="00FB3D2E" w:rsidRPr="00AB3051" w14:paraId="60C77B4F" w14:textId="77777777" w:rsidTr="00A77ED3">
        <w:tc>
          <w:tcPr>
            <w:tcW w:w="2430" w:type="dxa"/>
            <w:vAlign w:val="center"/>
          </w:tcPr>
          <w:p w14:paraId="53787A8D"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Regulamento de Pesquisa e Exploração de Águas Subterrâneas (Decreto nº 18/2012)</w:t>
            </w:r>
          </w:p>
        </w:tc>
        <w:tc>
          <w:tcPr>
            <w:tcW w:w="6525" w:type="dxa"/>
            <w:vAlign w:val="center"/>
          </w:tcPr>
          <w:p w14:paraId="50025262"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Estabelece princípios e procedimentos para autorização de pesquisa e licenciamento de perfuração para captação de águas subterrâneas</w:t>
            </w:r>
          </w:p>
          <w:p w14:paraId="041F474E"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lastRenderedPageBreak/>
              <w:t xml:space="preserve">Estabelece que as </w:t>
            </w:r>
            <w:proofErr w:type="spellStart"/>
            <w:r w:rsidRPr="00292532">
              <w:rPr>
                <w:rFonts w:asciiTheme="minorHAnsi" w:eastAsia="Calibri" w:hAnsiTheme="minorHAnsi" w:cstheme="minorHAnsi"/>
                <w:sz w:val="20"/>
                <w:szCs w:val="24"/>
                <w:lang w:val="pt-PT"/>
              </w:rPr>
              <w:t>actividades</w:t>
            </w:r>
            <w:proofErr w:type="spellEnd"/>
            <w:r w:rsidRPr="00292532">
              <w:rPr>
                <w:rFonts w:asciiTheme="minorHAnsi" w:eastAsia="Calibri" w:hAnsiTheme="minorHAnsi" w:cstheme="minorHAnsi"/>
                <w:sz w:val="20"/>
                <w:szCs w:val="24"/>
                <w:lang w:val="pt-PT"/>
              </w:rPr>
              <w:t xml:space="preserve"> de perfuração só podem ser realizadas por empreiteiros habilitados para o efeito (</w:t>
            </w:r>
            <w:proofErr w:type="spellStart"/>
            <w:r w:rsidRPr="00292532">
              <w:rPr>
                <w:rFonts w:asciiTheme="minorHAnsi" w:eastAsia="Calibri" w:hAnsiTheme="minorHAnsi" w:cstheme="minorHAnsi"/>
                <w:sz w:val="20"/>
                <w:szCs w:val="24"/>
                <w:lang w:val="pt-PT"/>
              </w:rPr>
              <w:t>Art</w:t>
            </w:r>
            <w:proofErr w:type="spellEnd"/>
            <w:r w:rsidRPr="00292532">
              <w:rPr>
                <w:rFonts w:asciiTheme="minorHAnsi" w:eastAsia="Calibri" w:hAnsiTheme="minorHAnsi" w:cstheme="minorHAnsi"/>
                <w:sz w:val="20"/>
                <w:szCs w:val="24"/>
                <w:lang w:val="pt-PT"/>
              </w:rPr>
              <w:t>. 25º)</w:t>
            </w:r>
          </w:p>
          <w:p w14:paraId="3EFF3CAC"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É obrigatório </w:t>
            </w:r>
            <w:proofErr w:type="spellStart"/>
            <w:r w:rsidRPr="00292532">
              <w:rPr>
                <w:rFonts w:asciiTheme="minorHAnsi" w:eastAsia="Calibri" w:hAnsiTheme="minorHAnsi" w:cstheme="minorHAnsi"/>
                <w:sz w:val="20"/>
                <w:szCs w:val="24"/>
                <w:lang w:val="pt-PT"/>
              </w:rPr>
              <w:t>efectuar</w:t>
            </w:r>
            <w:proofErr w:type="spellEnd"/>
            <w:r w:rsidRPr="00292532">
              <w:rPr>
                <w:rFonts w:asciiTheme="minorHAnsi" w:eastAsia="Calibri" w:hAnsiTheme="minorHAnsi" w:cstheme="minorHAnsi"/>
                <w:sz w:val="20"/>
                <w:szCs w:val="24"/>
                <w:lang w:val="pt-PT"/>
              </w:rPr>
              <w:t xml:space="preserve"> o registo da captação na Administração Regional de Águas territorialmente competente (Artigo 37º).</w:t>
            </w:r>
          </w:p>
        </w:tc>
      </w:tr>
      <w:tr w:rsidR="00FB3D2E" w:rsidRPr="00AB3051" w14:paraId="46BAD9C6" w14:textId="77777777" w:rsidTr="00A77ED3">
        <w:tc>
          <w:tcPr>
            <w:tcW w:w="2430" w:type="dxa"/>
            <w:vAlign w:val="center"/>
          </w:tcPr>
          <w:p w14:paraId="5FD263F5"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lastRenderedPageBreak/>
              <w:t xml:space="preserve">Regulamento dos Sistemas dos públicos de distribuição de água e de Drenagem de águas Residuais (Decreto nº 30/2003 de 1 de </w:t>
            </w:r>
            <w:proofErr w:type="gramStart"/>
            <w:r w:rsidRPr="00292532">
              <w:rPr>
                <w:rFonts w:asciiTheme="minorHAnsi" w:eastAsia="Calibri" w:hAnsiTheme="minorHAnsi" w:cstheme="minorHAnsi"/>
                <w:sz w:val="20"/>
                <w:szCs w:val="24"/>
                <w:lang w:val="pt-PT"/>
              </w:rPr>
              <w:t>Julho</w:t>
            </w:r>
            <w:proofErr w:type="gramEnd"/>
            <w:r w:rsidRPr="00292532">
              <w:rPr>
                <w:rFonts w:asciiTheme="minorHAnsi" w:eastAsia="Calibri" w:hAnsiTheme="minorHAnsi" w:cstheme="minorHAnsi"/>
                <w:sz w:val="20"/>
                <w:szCs w:val="24"/>
                <w:lang w:val="pt-PT"/>
              </w:rPr>
              <w:t>)</w:t>
            </w:r>
          </w:p>
        </w:tc>
        <w:tc>
          <w:tcPr>
            <w:tcW w:w="6525" w:type="dxa"/>
            <w:vAlign w:val="center"/>
          </w:tcPr>
          <w:p w14:paraId="25519B2D"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Estabelece as condições técnicas a que devem obedecer os sistemas públicos de distribuição de água e drenagem de águas residuais de modo que se preserve a saúde pública e o meio ambiente.</w:t>
            </w:r>
          </w:p>
        </w:tc>
      </w:tr>
      <w:tr w:rsidR="00FB3D2E" w:rsidRPr="00292532" w14:paraId="2CD67722" w14:textId="77777777" w:rsidTr="00A77ED3">
        <w:tc>
          <w:tcPr>
            <w:tcW w:w="8955" w:type="dxa"/>
            <w:gridSpan w:val="2"/>
            <w:shd w:val="clear" w:color="auto" w:fill="DEEAF6" w:themeFill="accent5" w:themeFillTint="33"/>
            <w:vAlign w:val="center"/>
          </w:tcPr>
          <w:p w14:paraId="09416543" w14:textId="77777777" w:rsidR="00FB3D2E" w:rsidRPr="00292532" w:rsidRDefault="00FB3D2E" w:rsidP="00FB3D2E">
            <w:pPr>
              <w:autoSpaceDE w:val="0"/>
              <w:autoSpaceDN w:val="0"/>
              <w:adjustRightInd w:val="0"/>
              <w:spacing w:before="120" w:afterLines="160" w:after="384" w:line="20" w:lineRule="atLeast"/>
              <w:jc w:val="center"/>
              <w:rPr>
                <w:rFonts w:asciiTheme="minorHAnsi" w:eastAsia="Calibri" w:hAnsiTheme="minorHAnsi" w:cstheme="minorHAnsi"/>
                <w:b/>
                <w:sz w:val="20"/>
                <w:szCs w:val="24"/>
                <w:lang w:val="pt-PT"/>
              </w:rPr>
            </w:pPr>
            <w:r w:rsidRPr="00292532">
              <w:rPr>
                <w:rFonts w:asciiTheme="minorHAnsi" w:eastAsia="Calibri" w:hAnsiTheme="minorHAnsi" w:cstheme="minorHAnsi"/>
                <w:b/>
                <w:sz w:val="20"/>
                <w:szCs w:val="24"/>
                <w:lang w:val="pt-PT"/>
              </w:rPr>
              <w:t>Qualidade do ambiente</w:t>
            </w:r>
          </w:p>
        </w:tc>
      </w:tr>
      <w:tr w:rsidR="00FB3D2E" w:rsidRPr="00AB3051" w14:paraId="3C58405C" w14:textId="77777777" w:rsidTr="00A77ED3">
        <w:tc>
          <w:tcPr>
            <w:tcW w:w="2430" w:type="dxa"/>
            <w:vAlign w:val="center"/>
          </w:tcPr>
          <w:p w14:paraId="3AA52B3E"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Lei do Ambiente (Lei nº 20/97, de 1 de </w:t>
            </w:r>
            <w:proofErr w:type="gramStart"/>
            <w:r w:rsidRPr="00292532">
              <w:rPr>
                <w:rFonts w:asciiTheme="minorHAnsi" w:eastAsia="Calibri" w:hAnsiTheme="minorHAnsi" w:cstheme="minorHAnsi"/>
                <w:sz w:val="20"/>
                <w:szCs w:val="24"/>
                <w:lang w:val="pt-PT"/>
              </w:rPr>
              <w:t>Outubro</w:t>
            </w:r>
            <w:proofErr w:type="gramEnd"/>
            <w:r w:rsidRPr="00292532">
              <w:rPr>
                <w:rFonts w:asciiTheme="minorHAnsi" w:eastAsia="Calibri" w:hAnsiTheme="minorHAnsi" w:cstheme="minorHAnsi"/>
                <w:sz w:val="20"/>
                <w:szCs w:val="24"/>
                <w:lang w:val="pt-PT"/>
              </w:rPr>
              <w:t>)</w:t>
            </w:r>
          </w:p>
        </w:tc>
        <w:tc>
          <w:tcPr>
            <w:tcW w:w="6525" w:type="dxa"/>
            <w:vAlign w:val="center"/>
          </w:tcPr>
          <w:p w14:paraId="6D78C5D5"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Estabelece o quadro legal em matéria de ambiente.</w:t>
            </w:r>
          </w:p>
          <w:p w14:paraId="4D4A7430"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Limita a “produção, o depósito no solo e no subsolo e o lançamento na água ou para a atmosfera, de quaisquer substâncias tóxicas e poluidoras, assim como a prática de </w:t>
            </w:r>
            <w:proofErr w:type="spellStart"/>
            <w:r w:rsidRPr="00292532">
              <w:rPr>
                <w:rFonts w:asciiTheme="minorHAnsi" w:eastAsia="Calibri" w:hAnsiTheme="minorHAnsi" w:cstheme="minorHAnsi"/>
                <w:sz w:val="20"/>
                <w:szCs w:val="24"/>
                <w:lang w:val="pt-PT"/>
              </w:rPr>
              <w:t>actividades</w:t>
            </w:r>
            <w:proofErr w:type="spellEnd"/>
            <w:r w:rsidRPr="00292532">
              <w:rPr>
                <w:rFonts w:asciiTheme="minorHAnsi" w:eastAsia="Calibri" w:hAnsiTheme="minorHAnsi" w:cstheme="minorHAnsi"/>
                <w:sz w:val="20"/>
                <w:szCs w:val="24"/>
                <w:lang w:val="pt-PT"/>
              </w:rPr>
              <w:t xml:space="preserve"> que acelerem a erosão, a desertificação, a desflorestação ou qualquer outra forma de degradação do ambiente” aos limites legalmente estabelecidos (Artigo 9).  </w:t>
            </w:r>
          </w:p>
        </w:tc>
      </w:tr>
      <w:tr w:rsidR="00FB3D2E" w:rsidRPr="00AB3051" w14:paraId="7937798B" w14:textId="77777777" w:rsidTr="00A77ED3">
        <w:tc>
          <w:tcPr>
            <w:tcW w:w="2430" w:type="dxa"/>
            <w:vAlign w:val="center"/>
          </w:tcPr>
          <w:p w14:paraId="20A9EAFB"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sobre Padrões de Qualidade Ambiental e de Emissão de Efluentes (Decreto nº 18/2004, 15 de </w:t>
            </w:r>
            <w:proofErr w:type="gramStart"/>
            <w:r w:rsidRPr="00292532">
              <w:rPr>
                <w:rFonts w:asciiTheme="minorHAnsi" w:eastAsia="Calibri" w:hAnsiTheme="minorHAnsi" w:cstheme="minorHAnsi"/>
                <w:sz w:val="20"/>
                <w:szCs w:val="24"/>
                <w:lang w:val="pt-PT"/>
              </w:rPr>
              <w:t>Setembro</w:t>
            </w:r>
            <w:proofErr w:type="gramEnd"/>
            <w:r w:rsidRPr="00292532">
              <w:rPr>
                <w:rFonts w:asciiTheme="minorHAnsi" w:eastAsia="Calibri" w:hAnsiTheme="minorHAnsi" w:cstheme="minorHAnsi"/>
                <w:sz w:val="20"/>
                <w:szCs w:val="24"/>
                <w:lang w:val="pt-PT"/>
              </w:rPr>
              <w:t>, alterado pelo Decreto nº 67/2010, 31 de Dezembro)</w:t>
            </w:r>
          </w:p>
        </w:tc>
        <w:tc>
          <w:tcPr>
            <w:tcW w:w="6525" w:type="dxa"/>
            <w:vAlign w:val="center"/>
          </w:tcPr>
          <w:p w14:paraId="31A865B1"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Este Regulamento é aplicável a todas as </w:t>
            </w:r>
            <w:proofErr w:type="spellStart"/>
            <w:r w:rsidRPr="00292532">
              <w:rPr>
                <w:rFonts w:asciiTheme="minorHAnsi" w:eastAsia="Calibri" w:hAnsiTheme="minorHAnsi" w:cstheme="minorHAnsi"/>
                <w:sz w:val="20"/>
                <w:szCs w:val="24"/>
                <w:lang w:val="pt-PT"/>
              </w:rPr>
              <w:t>actividades</w:t>
            </w:r>
            <w:proofErr w:type="spellEnd"/>
            <w:r w:rsidRPr="00292532">
              <w:rPr>
                <w:rFonts w:asciiTheme="minorHAnsi" w:eastAsia="Calibri" w:hAnsiTheme="minorHAnsi" w:cstheme="minorHAnsi"/>
                <w:sz w:val="20"/>
                <w:szCs w:val="24"/>
                <w:lang w:val="pt-PT"/>
              </w:rPr>
              <w:t xml:space="preserve"> públicas ou privadas </w:t>
            </w:r>
            <w:proofErr w:type="spellStart"/>
            <w:r w:rsidRPr="00292532">
              <w:rPr>
                <w:rFonts w:asciiTheme="minorHAnsi" w:eastAsia="Calibri" w:hAnsiTheme="minorHAnsi" w:cstheme="minorHAnsi"/>
                <w:sz w:val="20"/>
                <w:szCs w:val="24"/>
                <w:lang w:val="pt-PT"/>
              </w:rPr>
              <w:t>susceptíveis</w:t>
            </w:r>
            <w:proofErr w:type="spellEnd"/>
            <w:r w:rsidRPr="00292532">
              <w:rPr>
                <w:rFonts w:asciiTheme="minorHAnsi" w:eastAsia="Calibri" w:hAnsiTheme="minorHAnsi" w:cstheme="minorHAnsi"/>
                <w:sz w:val="20"/>
                <w:szCs w:val="24"/>
                <w:lang w:val="pt-PT"/>
              </w:rPr>
              <w:t xml:space="preserve"> de </w:t>
            </w:r>
            <w:proofErr w:type="spellStart"/>
            <w:r w:rsidRPr="00292532">
              <w:rPr>
                <w:rFonts w:asciiTheme="minorHAnsi" w:eastAsia="Calibri" w:hAnsiTheme="minorHAnsi" w:cstheme="minorHAnsi"/>
                <w:sz w:val="20"/>
                <w:szCs w:val="24"/>
                <w:lang w:val="pt-PT"/>
              </w:rPr>
              <w:t>afectar</w:t>
            </w:r>
            <w:proofErr w:type="spellEnd"/>
            <w:r w:rsidRPr="00292532">
              <w:rPr>
                <w:rFonts w:asciiTheme="minorHAnsi" w:eastAsia="Calibri" w:hAnsiTheme="minorHAnsi" w:cstheme="minorHAnsi"/>
                <w:sz w:val="20"/>
                <w:szCs w:val="24"/>
                <w:lang w:val="pt-PT"/>
              </w:rPr>
              <w:t xml:space="preserve"> </w:t>
            </w:r>
            <w:proofErr w:type="spellStart"/>
            <w:r w:rsidRPr="00292532">
              <w:rPr>
                <w:rFonts w:asciiTheme="minorHAnsi" w:eastAsia="Calibri" w:hAnsiTheme="minorHAnsi" w:cstheme="minorHAnsi"/>
                <w:sz w:val="20"/>
                <w:szCs w:val="24"/>
                <w:lang w:val="pt-PT"/>
              </w:rPr>
              <w:t>directa</w:t>
            </w:r>
            <w:proofErr w:type="spellEnd"/>
            <w:r w:rsidRPr="00292532">
              <w:rPr>
                <w:rFonts w:asciiTheme="minorHAnsi" w:eastAsia="Calibri" w:hAnsiTheme="minorHAnsi" w:cstheme="minorHAnsi"/>
                <w:sz w:val="20"/>
                <w:szCs w:val="24"/>
                <w:lang w:val="pt-PT"/>
              </w:rPr>
              <w:t xml:space="preserve"> ou </w:t>
            </w:r>
            <w:proofErr w:type="spellStart"/>
            <w:r w:rsidRPr="00292532">
              <w:rPr>
                <w:rFonts w:asciiTheme="minorHAnsi" w:eastAsia="Calibri" w:hAnsiTheme="minorHAnsi" w:cstheme="minorHAnsi"/>
                <w:sz w:val="20"/>
                <w:szCs w:val="24"/>
                <w:lang w:val="pt-PT"/>
              </w:rPr>
              <w:t>indirectamente</w:t>
            </w:r>
            <w:proofErr w:type="spellEnd"/>
            <w:r w:rsidRPr="00292532">
              <w:rPr>
                <w:rFonts w:asciiTheme="minorHAnsi" w:eastAsia="Calibri" w:hAnsiTheme="minorHAnsi" w:cstheme="minorHAnsi"/>
                <w:sz w:val="20"/>
                <w:szCs w:val="24"/>
                <w:lang w:val="pt-PT"/>
              </w:rPr>
              <w:t xml:space="preserve"> os componentes ambientais. Nele se definem parâmetros e metodologias de controlo para a manutenção da qualidade do ar, da água, do solo e para emissões de ruído. São estabelecidas as competências para controlo, apoio técnico, revisão dos padrões, fiscalização de transgressões e regime de sanções</w:t>
            </w:r>
          </w:p>
          <w:p w14:paraId="24520E38"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vertAlign w:val="superscript"/>
                <w:lang w:val="pt-PT"/>
              </w:rPr>
            </w:pPr>
            <w:r w:rsidRPr="00292532">
              <w:rPr>
                <w:rFonts w:asciiTheme="minorHAnsi" w:eastAsia="Calibri" w:hAnsiTheme="minorHAnsi" w:cstheme="minorHAnsi"/>
                <w:sz w:val="20"/>
                <w:szCs w:val="24"/>
                <w:lang w:val="pt-PT"/>
              </w:rPr>
              <w:t>Define os padrões de qualidade do ar e de emissão de poluentes para fontes fixas e móveis (SO2, NO2, CO, O3, partículas totais suspensas, poluentes inorgânicos e orgânicos carcinogénicos e substâncias com propriedades odoríficas) e os parâmetros fundamentais que devem caracterizar a qualidade do ar</w:t>
            </w:r>
            <w:r w:rsidRPr="00292532">
              <w:rPr>
                <w:rFonts w:asciiTheme="minorHAnsi" w:eastAsia="Calibri" w:hAnsiTheme="minorHAnsi" w:cstheme="minorHAnsi"/>
                <w:sz w:val="20"/>
                <w:szCs w:val="24"/>
                <w:vertAlign w:val="superscript"/>
                <w:lang w:val="pt-PT"/>
              </w:rPr>
              <w:footnoteReference w:id="3"/>
            </w:r>
            <w:r w:rsidRPr="00292532">
              <w:rPr>
                <w:rFonts w:asciiTheme="minorHAnsi" w:eastAsia="Calibri" w:hAnsiTheme="minorHAnsi" w:cstheme="minorHAnsi"/>
                <w:sz w:val="20"/>
                <w:szCs w:val="24"/>
                <w:vertAlign w:val="superscript"/>
                <w:lang w:val="pt-PT"/>
              </w:rPr>
              <w:t>.</w:t>
            </w:r>
          </w:p>
          <w:p w14:paraId="7AF848CA"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Define padrões de emissão de efluentes líquidos industriais e domésticos</w:t>
            </w:r>
          </w:p>
          <w:p w14:paraId="220D7468"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lastRenderedPageBreak/>
              <w:t xml:space="preserve">Define padrões de qualidade da água do corpo </w:t>
            </w:r>
            <w:proofErr w:type="spellStart"/>
            <w:r w:rsidRPr="00292532">
              <w:rPr>
                <w:rFonts w:asciiTheme="minorHAnsi" w:eastAsia="Calibri" w:hAnsiTheme="minorHAnsi" w:cstheme="minorHAnsi"/>
                <w:sz w:val="20"/>
                <w:szCs w:val="24"/>
                <w:lang w:val="pt-PT"/>
              </w:rPr>
              <w:t>receptor</w:t>
            </w:r>
            <w:proofErr w:type="spellEnd"/>
            <w:r w:rsidRPr="00292532">
              <w:rPr>
                <w:rFonts w:asciiTheme="minorHAnsi" w:eastAsia="Calibri" w:hAnsiTheme="minorHAnsi" w:cstheme="minorHAnsi"/>
                <w:sz w:val="20"/>
                <w:szCs w:val="24"/>
                <w:vertAlign w:val="superscript"/>
                <w:lang w:val="pt-PT"/>
              </w:rPr>
              <w:footnoteReference w:id="4"/>
            </w:r>
          </w:p>
        </w:tc>
      </w:tr>
      <w:tr w:rsidR="00FB3D2E" w:rsidRPr="00AB3051" w14:paraId="36E0102B" w14:textId="77777777" w:rsidTr="00A77ED3">
        <w:tc>
          <w:tcPr>
            <w:tcW w:w="2430" w:type="dxa"/>
            <w:vAlign w:val="center"/>
          </w:tcPr>
          <w:p w14:paraId="603EB970" w14:textId="17C308CF"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bookmarkStart w:id="66" w:name="_Hlk26436957"/>
            <w:r w:rsidRPr="00292532">
              <w:rPr>
                <w:rFonts w:asciiTheme="minorHAnsi" w:eastAsia="Calibri" w:hAnsiTheme="minorHAnsi" w:cstheme="minorHAnsi"/>
                <w:sz w:val="20"/>
                <w:szCs w:val="24"/>
                <w:lang w:val="pt-PT"/>
              </w:rPr>
              <w:lastRenderedPageBreak/>
              <w:t xml:space="preserve">Regulamento para a Prevenção da Poluição e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do Ambiente Marinho Costeiro </w:t>
            </w:r>
            <w:bookmarkEnd w:id="66"/>
            <w:r w:rsidRPr="00292532">
              <w:rPr>
                <w:rFonts w:asciiTheme="minorHAnsi" w:eastAsia="Calibri" w:hAnsiTheme="minorHAnsi" w:cstheme="minorHAnsi"/>
                <w:sz w:val="20"/>
                <w:szCs w:val="24"/>
                <w:lang w:val="pt-PT"/>
              </w:rPr>
              <w:t>(Decreto nº. 45/2006</w:t>
            </w:r>
            <w:r w:rsidR="00EC03D3">
              <w:rPr>
                <w:rFonts w:asciiTheme="minorHAnsi" w:eastAsia="Calibri" w:hAnsiTheme="minorHAnsi" w:cstheme="minorHAnsi"/>
                <w:sz w:val="20"/>
                <w:szCs w:val="24"/>
                <w:lang w:val="pt-PT"/>
              </w:rPr>
              <w:t xml:space="preserve"> de 30 de </w:t>
            </w:r>
            <w:proofErr w:type="gramStart"/>
            <w:r w:rsidR="00EC03D3">
              <w:rPr>
                <w:rFonts w:asciiTheme="minorHAnsi" w:eastAsia="Calibri" w:hAnsiTheme="minorHAnsi" w:cstheme="minorHAnsi"/>
                <w:sz w:val="20"/>
                <w:szCs w:val="24"/>
                <w:lang w:val="pt-PT"/>
              </w:rPr>
              <w:t>Novembro</w:t>
            </w:r>
            <w:proofErr w:type="gramEnd"/>
            <w:r w:rsidRPr="00292532">
              <w:rPr>
                <w:rFonts w:asciiTheme="minorHAnsi" w:eastAsia="Calibri" w:hAnsiTheme="minorHAnsi" w:cstheme="minorHAnsi"/>
                <w:sz w:val="20"/>
                <w:szCs w:val="24"/>
                <w:lang w:val="pt-PT"/>
              </w:rPr>
              <w:t>)</w:t>
            </w:r>
          </w:p>
        </w:tc>
        <w:tc>
          <w:tcPr>
            <w:tcW w:w="6525" w:type="dxa"/>
            <w:vAlign w:val="center"/>
          </w:tcPr>
          <w:p w14:paraId="615CE5E9"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Estabelece bases legais para a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e conservação das áreas que constituem domínio público marítimo, lacustre, fluvial, praias e ecossistemas frágeis.</w:t>
            </w:r>
          </w:p>
          <w:p w14:paraId="43ED0EE2"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Protege as terras húmidas e mangais, proibindo descargas de poluentes nos rios ou terras húmidas, queimadas não controladas ou desenvolvimento de qualquer </w:t>
            </w:r>
            <w:proofErr w:type="spellStart"/>
            <w:r w:rsidRPr="00292532">
              <w:rPr>
                <w:rFonts w:asciiTheme="minorHAnsi" w:eastAsia="Calibri" w:hAnsiTheme="minorHAnsi" w:cstheme="minorHAnsi"/>
                <w:sz w:val="20"/>
                <w:szCs w:val="24"/>
                <w:lang w:val="pt-PT"/>
              </w:rPr>
              <w:t>actividade</w:t>
            </w:r>
            <w:proofErr w:type="spellEnd"/>
            <w:r w:rsidRPr="00292532">
              <w:rPr>
                <w:rFonts w:asciiTheme="minorHAnsi" w:eastAsia="Calibri" w:hAnsiTheme="minorHAnsi" w:cstheme="minorHAnsi"/>
                <w:sz w:val="20"/>
                <w:szCs w:val="24"/>
                <w:lang w:val="pt-PT"/>
              </w:rPr>
              <w:t xml:space="preserve"> que envolva a alteração substancial do regime hidrológico destas áreas (</w:t>
            </w:r>
            <w:proofErr w:type="spellStart"/>
            <w:r w:rsidRPr="00292532">
              <w:rPr>
                <w:rFonts w:asciiTheme="minorHAnsi" w:eastAsia="Calibri" w:hAnsiTheme="minorHAnsi" w:cstheme="minorHAnsi"/>
                <w:sz w:val="20"/>
                <w:szCs w:val="24"/>
                <w:lang w:val="pt-PT"/>
              </w:rPr>
              <w:t>Art</w:t>
            </w:r>
            <w:proofErr w:type="spellEnd"/>
            <w:r w:rsidRPr="00292532">
              <w:rPr>
                <w:rFonts w:asciiTheme="minorHAnsi" w:eastAsia="Calibri" w:hAnsiTheme="minorHAnsi" w:cstheme="minorHAnsi"/>
                <w:sz w:val="20"/>
                <w:szCs w:val="24"/>
                <w:lang w:val="pt-PT"/>
              </w:rPr>
              <w:t>º 65).</w:t>
            </w:r>
          </w:p>
          <w:p w14:paraId="7860DBE0"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A construção de infraestruturas em zonas de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parcial associadas a corpos de águas, só deverá ser </w:t>
            </w:r>
            <w:proofErr w:type="spellStart"/>
            <w:r w:rsidRPr="00292532">
              <w:rPr>
                <w:rFonts w:asciiTheme="minorHAnsi" w:eastAsia="Calibri" w:hAnsiTheme="minorHAnsi" w:cstheme="minorHAnsi"/>
                <w:sz w:val="20"/>
                <w:szCs w:val="24"/>
                <w:lang w:val="pt-PT"/>
              </w:rPr>
              <w:t>efectuada</w:t>
            </w:r>
            <w:proofErr w:type="spellEnd"/>
            <w:r w:rsidRPr="00292532">
              <w:rPr>
                <w:rFonts w:asciiTheme="minorHAnsi" w:eastAsia="Calibri" w:hAnsiTheme="minorHAnsi" w:cstheme="minorHAnsi"/>
                <w:sz w:val="20"/>
                <w:szCs w:val="24"/>
                <w:lang w:val="pt-PT"/>
              </w:rPr>
              <w:t xml:space="preserve"> mediante observância de normas e padrões de qualidade ambiental e paisagística em vigor. No caso dos ecossistemas frágeis (incluindo mangais), é apenas permitida mediante a obtenção de licença especial e respeito pela legislação ambiental (</w:t>
            </w:r>
            <w:proofErr w:type="spellStart"/>
            <w:r w:rsidRPr="00292532">
              <w:rPr>
                <w:rFonts w:asciiTheme="minorHAnsi" w:eastAsia="Calibri" w:hAnsiTheme="minorHAnsi" w:cstheme="minorHAnsi"/>
                <w:sz w:val="20"/>
                <w:szCs w:val="24"/>
                <w:lang w:val="pt-PT"/>
              </w:rPr>
              <w:t>Art</w:t>
            </w:r>
            <w:proofErr w:type="spellEnd"/>
            <w:r w:rsidRPr="00292532">
              <w:rPr>
                <w:rFonts w:asciiTheme="minorHAnsi" w:eastAsia="Calibri" w:hAnsiTheme="minorHAnsi" w:cstheme="minorHAnsi"/>
                <w:sz w:val="20"/>
                <w:szCs w:val="24"/>
                <w:lang w:val="pt-PT"/>
              </w:rPr>
              <w:t>º 67)</w:t>
            </w:r>
          </w:p>
        </w:tc>
      </w:tr>
      <w:tr w:rsidR="00FB3D2E" w:rsidRPr="00292532" w14:paraId="2B5235B8" w14:textId="77777777" w:rsidTr="00A77ED3">
        <w:tc>
          <w:tcPr>
            <w:tcW w:w="2430" w:type="dxa"/>
            <w:vAlign w:val="center"/>
          </w:tcPr>
          <w:p w14:paraId="4CD91BC2"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sobre Gestão de Resíduos Perigosos (Decreto nº 83/2014, de 31 de </w:t>
            </w:r>
            <w:proofErr w:type="gramStart"/>
            <w:r w:rsidRPr="00292532">
              <w:rPr>
                <w:rFonts w:asciiTheme="minorHAnsi" w:eastAsia="Calibri" w:hAnsiTheme="minorHAnsi" w:cstheme="minorHAnsi"/>
                <w:sz w:val="20"/>
                <w:szCs w:val="24"/>
                <w:lang w:val="pt-PT"/>
              </w:rPr>
              <w:t>Dezembro</w:t>
            </w:r>
            <w:proofErr w:type="gramEnd"/>
            <w:r w:rsidRPr="00292532">
              <w:rPr>
                <w:rFonts w:asciiTheme="minorHAnsi" w:eastAsia="Calibri" w:hAnsiTheme="minorHAnsi" w:cstheme="minorHAnsi"/>
                <w:sz w:val="20"/>
                <w:szCs w:val="24"/>
                <w:lang w:val="pt-PT"/>
              </w:rPr>
              <w:t>)</w:t>
            </w:r>
          </w:p>
        </w:tc>
        <w:tc>
          <w:tcPr>
            <w:tcW w:w="6525" w:type="dxa"/>
            <w:vAlign w:val="center"/>
          </w:tcPr>
          <w:p w14:paraId="400ACF06"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Estabelece o quadro legal sobre a gestão de resíduos perigosos.</w:t>
            </w:r>
          </w:p>
          <w:p w14:paraId="79B4E215"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Os resíduos sólidos perigosos deverão ser segregados de acordo com as classes definidas no regulamento, devendo cada entidade produtora ou manuseadora, dispor no mínimo de condições técnicas para o acondicionamento dos resíduos na sua posse (Ar. 13). A recolhas dos resíduos sólidos perigosos é da exclusiva responsabilidade das entidades produtoras (Art.15). Os resíduos sólidos perigosos só poderão ser movimentados para fora das instalações das entidades por operadores de transporte previamente certificados para o efeito (</w:t>
            </w:r>
            <w:proofErr w:type="spellStart"/>
            <w:r w:rsidRPr="00292532">
              <w:rPr>
                <w:rFonts w:asciiTheme="minorHAnsi" w:eastAsia="Calibri" w:hAnsiTheme="minorHAnsi" w:cstheme="minorHAnsi"/>
                <w:sz w:val="20"/>
                <w:szCs w:val="24"/>
                <w:lang w:val="pt-PT"/>
              </w:rPr>
              <w:t>Art</w:t>
            </w:r>
            <w:proofErr w:type="spellEnd"/>
            <w:r w:rsidRPr="00292532">
              <w:rPr>
                <w:rFonts w:asciiTheme="minorHAnsi" w:eastAsia="Calibri" w:hAnsiTheme="minorHAnsi" w:cstheme="minorHAnsi"/>
                <w:sz w:val="20"/>
                <w:szCs w:val="24"/>
                <w:lang w:val="pt-PT"/>
              </w:rPr>
              <w:t>.º. 16).</w:t>
            </w:r>
          </w:p>
        </w:tc>
      </w:tr>
      <w:tr w:rsidR="00FB3D2E" w:rsidRPr="00AB3051" w14:paraId="74778BC6" w14:textId="77777777" w:rsidTr="00A77ED3">
        <w:tc>
          <w:tcPr>
            <w:tcW w:w="2430" w:type="dxa"/>
            <w:vAlign w:val="center"/>
          </w:tcPr>
          <w:p w14:paraId="0BE39183"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sobre Gestão de Resíduos Urbanos (Decreto nº 94/2014, de 31 de </w:t>
            </w:r>
            <w:proofErr w:type="gramStart"/>
            <w:r w:rsidRPr="00292532">
              <w:rPr>
                <w:rFonts w:asciiTheme="minorHAnsi" w:eastAsia="Calibri" w:hAnsiTheme="minorHAnsi" w:cstheme="minorHAnsi"/>
                <w:sz w:val="20"/>
                <w:szCs w:val="24"/>
                <w:lang w:val="pt-PT"/>
              </w:rPr>
              <w:t>Dezembro</w:t>
            </w:r>
            <w:proofErr w:type="gramEnd"/>
            <w:r w:rsidRPr="00292532">
              <w:rPr>
                <w:rFonts w:asciiTheme="minorHAnsi" w:eastAsia="Calibri" w:hAnsiTheme="minorHAnsi" w:cstheme="minorHAnsi"/>
                <w:sz w:val="20"/>
                <w:szCs w:val="24"/>
                <w:lang w:val="pt-PT"/>
              </w:rPr>
              <w:t>)</w:t>
            </w:r>
          </w:p>
        </w:tc>
        <w:tc>
          <w:tcPr>
            <w:tcW w:w="6525" w:type="dxa"/>
            <w:vAlign w:val="center"/>
          </w:tcPr>
          <w:p w14:paraId="345214E0"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Estabelece o quadro legal sobre a gestão de resíduos sólidos urbanos e resíduos industriais e hospitalares, equiparados aos urbanos, sendo aplicada a todas as pessoas singulares e </w:t>
            </w:r>
            <w:proofErr w:type="spellStart"/>
            <w:r w:rsidRPr="00292532">
              <w:rPr>
                <w:rFonts w:asciiTheme="minorHAnsi" w:eastAsia="Calibri" w:hAnsiTheme="minorHAnsi" w:cstheme="minorHAnsi"/>
                <w:sz w:val="20"/>
                <w:szCs w:val="24"/>
                <w:lang w:val="pt-PT"/>
              </w:rPr>
              <w:t>colectivas</w:t>
            </w:r>
            <w:proofErr w:type="spellEnd"/>
            <w:r w:rsidRPr="00292532">
              <w:rPr>
                <w:rFonts w:asciiTheme="minorHAnsi" w:eastAsia="Calibri" w:hAnsiTheme="minorHAnsi" w:cstheme="minorHAnsi"/>
                <w:sz w:val="20"/>
                <w:szCs w:val="24"/>
                <w:lang w:val="pt-PT"/>
              </w:rPr>
              <w:t>, públicas e privadas.</w:t>
            </w:r>
          </w:p>
          <w:p w14:paraId="4BF79763" w14:textId="77777777" w:rsidR="00FB3D2E" w:rsidRPr="00292532" w:rsidRDefault="00FB3D2E" w:rsidP="00FB3D2E">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São obrigações dos produtores e transportadores (Art.º 11): a) Minimizar a produção de resíduos sólidos urbanos; b)Capacitar os trabalhadores envolvidos no manuseamento de resíduos sem matéria de saúde, segurança ocupacional e ambiente; c) Garantir a segregação e acondicionamento dos resíduos em diferentes categorias de acordo com o disposto no artigo 14 do presente Regulamento; d) Garantir o tratamento dos resíduos sólidos urbanos antes da sua deposição final adequada; e) Garantir a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de todos os trabalhadores envolvidos na gestão de resíduos sólidos urbanos contra acidentes e doenças resultantes da sua exposição ao risco de contaminação; f) </w:t>
            </w:r>
            <w:r w:rsidRPr="00292532">
              <w:rPr>
                <w:rFonts w:asciiTheme="minorHAnsi" w:eastAsia="Calibri" w:hAnsiTheme="minorHAnsi" w:cstheme="minorHAnsi"/>
                <w:sz w:val="20"/>
                <w:szCs w:val="24"/>
                <w:lang w:val="pt-PT"/>
              </w:rPr>
              <w:lastRenderedPageBreak/>
              <w:t xml:space="preserve">Garantir que o transporte de resíduos seja </w:t>
            </w:r>
            <w:proofErr w:type="spellStart"/>
            <w:r w:rsidRPr="00292532">
              <w:rPr>
                <w:rFonts w:asciiTheme="minorHAnsi" w:eastAsia="Calibri" w:hAnsiTheme="minorHAnsi" w:cstheme="minorHAnsi"/>
                <w:sz w:val="20"/>
                <w:szCs w:val="24"/>
                <w:lang w:val="pt-PT"/>
              </w:rPr>
              <w:t>efectuado</w:t>
            </w:r>
            <w:proofErr w:type="spellEnd"/>
            <w:r w:rsidRPr="00292532">
              <w:rPr>
                <w:rFonts w:asciiTheme="minorHAnsi" w:eastAsia="Calibri" w:hAnsiTheme="minorHAnsi" w:cstheme="minorHAnsi"/>
                <w:sz w:val="20"/>
                <w:szCs w:val="24"/>
                <w:lang w:val="pt-PT"/>
              </w:rPr>
              <w:t xml:space="preserve"> de modo adequado, assegurando que não haja dispersão dos resíduos sólidos urbanos ao longo do percurso até ao local de tratamento ou destino final; g) Garantir que a eliminação dos resíduos, dentro e fora do local de produção, não tenha impacto negativo sobre o ambiente ou sobre a saúde e segurança públicas; h) Manter um registo anual minucioso das proveniências, quantidades e tipos de resíduos manuseados, transportados, tratados, valorizados ou eliminados.</w:t>
            </w:r>
          </w:p>
        </w:tc>
      </w:tr>
      <w:tr w:rsidR="00E666FB" w:rsidRPr="00AB3051" w14:paraId="506410DA" w14:textId="77777777" w:rsidTr="00A77ED3">
        <w:tc>
          <w:tcPr>
            <w:tcW w:w="2430" w:type="dxa"/>
            <w:vAlign w:val="center"/>
          </w:tcPr>
          <w:p w14:paraId="79E3795B" w14:textId="5DDC8725"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Pr>
                <w:rFonts w:asciiTheme="minorHAnsi" w:eastAsia="Calibri" w:hAnsiTheme="minorHAnsi" w:cstheme="minorHAnsi"/>
                <w:sz w:val="20"/>
                <w:szCs w:val="24"/>
                <w:lang w:val="pt-PT"/>
              </w:rPr>
              <w:lastRenderedPageBreak/>
              <w:t>Regulamento sobre a Gestão de Res</w:t>
            </w:r>
            <w:r w:rsidR="00EC03D3">
              <w:rPr>
                <w:rFonts w:asciiTheme="minorHAnsi" w:eastAsia="Calibri" w:hAnsiTheme="minorHAnsi" w:cstheme="minorHAnsi"/>
                <w:sz w:val="20"/>
                <w:szCs w:val="24"/>
                <w:lang w:val="pt-PT"/>
              </w:rPr>
              <w:t>í</w:t>
            </w:r>
            <w:r>
              <w:rPr>
                <w:rFonts w:asciiTheme="minorHAnsi" w:eastAsia="Calibri" w:hAnsiTheme="minorHAnsi" w:cstheme="minorHAnsi"/>
                <w:sz w:val="20"/>
                <w:szCs w:val="24"/>
                <w:lang w:val="pt-PT"/>
              </w:rPr>
              <w:t xml:space="preserve">duos </w:t>
            </w:r>
            <w:proofErr w:type="spellStart"/>
            <w:r>
              <w:rPr>
                <w:rFonts w:asciiTheme="minorHAnsi" w:eastAsia="Calibri" w:hAnsiTheme="minorHAnsi" w:cstheme="minorHAnsi"/>
                <w:sz w:val="20"/>
                <w:szCs w:val="24"/>
                <w:lang w:val="pt-PT"/>
              </w:rPr>
              <w:t>Biomedicos</w:t>
            </w:r>
            <w:proofErr w:type="spellEnd"/>
            <w:r>
              <w:rPr>
                <w:rFonts w:asciiTheme="minorHAnsi" w:eastAsia="Calibri" w:hAnsiTheme="minorHAnsi" w:cstheme="minorHAnsi"/>
                <w:sz w:val="20"/>
                <w:szCs w:val="24"/>
                <w:lang w:val="pt-PT"/>
              </w:rPr>
              <w:t xml:space="preserve">, Decreto 8/2003 de 18 de </w:t>
            </w:r>
            <w:proofErr w:type="gramStart"/>
            <w:r>
              <w:rPr>
                <w:rFonts w:asciiTheme="minorHAnsi" w:eastAsia="Calibri" w:hAnsiTheme="minorHAnsi" w:cstheme="minorHAnsi"/>
                <w:sz w:val="20"/>
                <w:szCs w:val="24"/>
                <w:lang w:val="pt-PT"/>
              </w:rPr>
              <w:t>Fevereiro</w:t>
            </w:r>
            <w:proofErr w:type="gramEnd"/>
            <w:r>
              <w:rPr>
                <w:rFonts w:asciiTheme="minorHAnsi" w:eastAsia="Calibri" w:hAnsiTheme="minorHAnsi" w:cstheme="minorHAnsi"/>
                <w:sz w:val="20"/>
                <w:szCs w:val="24"/>
                <w:lang w:val="pt-PT"/>
              </w:rPr>
              <w:t xml:space="preserve">  </w:t>
            </w:r>
          </w:p>
        </w:tc>
        <w:tc>
          <w:tcPr>
            <w:tcW w:w="6525" w:type="dxa"/>
            <w:vAlign w:val="center"/>
          </w:tcPr>
          <w:p w14:paraId="20D4E1A6" w14:textId="77777777" w:rsidR="00E666FB" w:rsidRPr="00D767A3" w:rsidRDefault="00E666FB" w:rsidP="00E666FB">
            <w:pPr>
              <w:pStyle w:val="BodyA"/>
              <w:tabs>
                <w:tab w:val="left" w:pos="0"/>
              </w:tabs>
              <w:spacing w:after="0" w:line="240" w:lineRule="auto"/>
              <w:ind w:left="0" w:firstLine="0"/>
              <w:rPr>
                <w:rStyle w:val="Hyperlink6"/>
                <w:rFonts w:cs="Times New Roman"/>
                <w:lang w:val="pt-PT"/>
              </w:rPr>
            </w:pPr>
            <w:r w:rsidRPr="004500AE">
              <w:rPr>
                <w:rStyle w:val="Hyperlink6"/>
                <w:rFonts w:asciiTheme="minorHAnsi" w:hAnsiTheme="minorHAnsi" w:cstheme="minorHAnsi"/>
                <w:sz w:val="20"/>
                <w:szCs w:val="20"/>
                <w:lang w:val="pt-PT"/>
              </w:rPr>
              <w:t>Que estabelece as regras para a gestão dos resíduos biomédicos tendo em vista a salvaguarda da saúde e da segurança dos trabalhadores das unidades sanitárias, trabalhadores auxiliares e o público em geral e minimizando o impacto dos tais resíduos sobre o meio ambiente</w:t>
            </w:r>
            <w:r w:rsidRPr="00D767A3">
              <w:rPr>
                <w:rStyle w:val="Hyperlink6"/>
                <w:rFonts w:cs="Times New Roman"/>
                <w:lang w:val="pt-PT"/>
              </w:rPr>
              <w:t xml:space="preserve">. </w:t>
            </w:r>
          </w:p>
          <w:p w14:paraId="26B3878E" w14:textId="7777777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p>
        </w:tc>
      </w:tr>
      <w:tr w:rsidR="00E666FB" w:rsidRPr="00292532" w14:paraId="386FFF45" w14:textId="77777777" w:rsidTr="00A77ED3">
        <w:tc>
          <w:tcPr>
            <w:tcW w:w="8955" w:type="dxa"/>
            <w:gridSpan w:val="2"/>
            <w:shd w:val="clear" w:color="auto" w:fill="DEEAF6" w:themeFill="accent5" w:themeFillTint="33"/>
            <w:vAlign w:val="center"/>
          </w:tcPr>
          <w:p w14:paraId="293A30D4" w14:textId="77777777" w:rsidR="00E666FB" w:rsidRPr="00292532" w:rsidRDefault="00E666FB" w:rsidP="00E666FB">
            <w:pPr>
              <w:autoSpaceDE w:val="0"/>
              <w:autoSpaceDN w:val="0"/>
              <w:adjustRightInd w:val="0"/>
              <w:spacing w:before="120" w:afterLines="160" w:after="384" w:line="20" w:lineRule="atLeast"/>
              <w:jc w:val="center"/>
              <w:rPr>
                <w:rFonts w:asciiTheme="minorHAnsi" w:eastAsia="Calibri" w:hAnsiTheme="minorHAnsi" w:cstheme="minorHAnsi"/>
                <w:b/>
                <w:sz w:val="20"/>
                <w:szCs w:val="24"/>
                <w:lang w:val="pt-PT"/>
              </w:rPr>
            </w:pPr>
            <w:r w:rsidRPr="00292532">
              <w:rPr>
                <w:rFonts w:asciiTheme="minorHAnsi" w:eastAsia="Calibri" w:hAnsiTheme="minorHAnsi" w:cstheme="minorHAnsi"/>
                <w:b/>
                <w:sz w:val="20"/>
                <w:szCs w:val="24"/>
                <w:lang w:val="pt-PT"/>
              </w:rPr>
              <w:t>Património cultural</w:t>
            </w:r>
          </w:p>
        </w:tc>
      </w:tr>
      <w:tr w:rsidR="00E666FB" w:rsidRPr="00AB3051" w14:paraId="37FB8FBE" w14:textId="77777777" w:rsidTr="00A77ED3">
        <w:tc>
          <w:tcPr>
            <w:tcW w:w="2430" w:type="dxa"/>
            <w:vAlign w:val="center"/>
          </w:tcPr>
          <w:p w14:paraId="3BA0D421" w14:textId="7777777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Lei do Património Cultural (Lei nº 10/88)</w:t>
            </w:r>
          </w:p>
        </w:tc>
        <w:tc>
          <w:tcPr>
            <w:tcW w:w="6525" w:type="dxa"/>
            <w:vAlign w:val="center"/>
          </w:tcPr>
          <w:p w14:paraId="23F6DC91" w14:textId="7777777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Foi formulada para proteger legalmente bens materiais e imateriais do património cultural moçambicano, sendo, o património cultural definido como o "grupo de </w:t>
            </w:r>
            <w:proofErr w:type="spellStart"/>
            <w:r w:rsidRPr="00292532">
              <w:rPr>
                <w:rFonts w:asciiTheme="minorHAnsi" w:eastAsia="Calibri" w:hAnsiTheme="minorHAnsi" w:cstheme="minorHAnsi"/>
                <w:sz w:val="20"/>
                <w:szCs w:val="24"/>
                <w:lang w:val="pt-PT"/>
              </w:rPr>
              <w:t>activos</w:t>
            </w:r>
            <w:proofErr w:type="spellEnd"/>
            <w:r w:rsidRPr="00292532">
              <w:rPr>
                <w:rFonts w:asciiTheme="minorHAnsi" w:eastAsia="Calibri" w:hAnsiTheme="minorHAnsi" w:cstheme="minorHAnsi"/>
                <w:sz w:val="20"/>
                <w:szCs w:val="24"/>
                <w:lang w:val="pt-PT"/>
              </w:rPr>
              <w:t xml:space="preserve"> materiais e não materiais criados ou integrados pelo povo moçambicano ao longo da história, com relevância para a definição da identidade cultural de Moçambique". Bens culturais materiais incluem: monumentos, grupos de edifícios com histórico, artístico ou científico importância, lugares ou locais (com arqueológico, histórico, estético, o interesse etnológico ou antropológico) e elementos naturais (formações físicas e biológicas com particular interesse a partir da estética ou científica ponto de vista).</w:t>
            </w:r>
          </w:p>
          <w:p w14:paraId="507873B4" w14:textId="7777777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“Qualquer pessoa que encontre lugares, construções, </w:t>
            </w:r>
            <w:proofErr w:type="spellStart"/>
            <w:r w:rsidRPr="00292532">
              <w:rPr>
                <w:rFonts w:asciiTheme="minorHAnsi" w:eastAsia="Calibri" w:hAnsiTheme="minorHAnsi" w:cstheme="minorHAnsi"/>
                <w:sz w:val="20"/>
                <w:szCs w:val="24"/>
                <w:lang w:val="pt-PT"/>
              </w:rPr>
              <w:t>objectos</w:t>
            </w:r>
            <w:proofErr w:type="spellEnd"/>
            <w:r w:rsidRPr="00292532">
              <w:rPr>
                <w:rFonts w:asciiTheme="minorHAnsi" w:eastAsia="Calibri" w:hAnsiTheme="minorHAnsi" w:cstheme="minorHAnsi"/>
                <w:sz w:val="20"/>
                <w:szCs w:val="24"/>
                <w:lang w:val="pt-PT"/>
              </w:rPr>
              <w:t xml:space="preserve"> ou documentos </w:t>
            </w:r>
            <w:proofErr w:type="spellStart"/>
            <w:r w:rsidRPr="00292532">
              <w:rPr>
                <w:rFonts w:asciiTheme="minorHAnsi" w:eastAsia="Calibri" w:hAnsiTheme="minorHAnsi" w:cstheme="minorHAnsi"/>
                <w:sz w:val="20"/>
                <w:szCs w:val="24"/>
                <w:lang w:val="pt-PT"/>
              </w:rPr>
              <w:t>susceptíveis</w:t>
            </w:r>
            <w:proofErr w:type="spellEnd"/>
            <w:r w:rsidRPr="00292532">
              <w:rPr>
                <w:rFonts w:asciiTheme="minorHAnsi" w:eastAsia="Calibri" w:hAnsiTheme="minorHAnsi" w:cstheme="minorHAnsi"/>
                <w:sz w:val="20"/>
                <w:szCs w:val="24"/>
                <w:lang w:val="pt-PT"/>
              </w:rPr>
              <w:t xml:space="preserve"> de serem classificados bens do património cultural, esta deve comunicá-lo à autoridade administrativa mais próxima (Art.º 13).</w:t>
            </w:r>
          </w:p>
        </w:tc>
      </w:tr>
      <w:tr w:rsidR="00E666FB" w:rsidRPr="00292532" w14:paraId="2DBA7ABA" w14:textId="77777777" w:rsidTr="00A77ED3">
        <w:tc>
          <w:tcPr>
            <w:tcW w:w="2430" w:type="dxa"/>
            <w:vAlign w:val="center"/>
          </w:tcPr>
          <w:p w14:paraId="48C62D36" w14:textId="7777777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de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do Património Arqueológico (Decreto nº 27/94, de 20 de </w:t>
            </w:r>
            <w:proofErr w:type="gramStart"/>
            <w:r w:rsidRPr="00292532">
              <w:rPr>
                <w:rFonts w:asciiTheme="minorHAnsi" w:eastAsia="Calibri" w:hAnsiTheme="minorHAnsi" w:cstheme="minorHAnsi"/>
                <w:sz w:val="20"/>
                <w:szCs w:val="24"/>
                <w:lang w:val="pt-PT"/>
              </w:rPr>
              <w:t>Julho</w:t>
            </w:r>
            <w:proofErr w:type="gramEnd"/>
            <w:r w:rsidRPr="00292532">
              <w:rPr>
                <w:rFonts w:asciiTheme="minorHAnsi" w:eastAsia="Calibri" w:hAnsiTheme="minorHAnsi" w:cstheme="minorHAnsi"/>
                <w:sz w:val="20"/>
                <w:szCs w:val="24"/>
                <w:lang w:val="pt-PT"/>
              </w:rPr>
              <w:t>)</w:t>
            </w:r>
          </w:p>
        </w:tc>
        <w:tc>
          <w:tcPr>
            <w:tcW w:w="6525" w:type="dxa"/>
            <w:vAlign w:val="center"/>
          </w:tcPr>
          <w:p w14:paraId="75C14B81" w14:textId="7777777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Tem por </w:t>
            </w:r>
            <w:proofErr w:type="spellStart"/>
            <w:r w:rsidRPr="00292532">
              <w:rPr>
                <w:rFonts w:asciiTheme="minorHAnsi" w:eastAsia="Calibri" w:hAnsiTheme="minorHAnsi" w:cstheme="minorHAnsi"/>
                <w:sz w:val="20"/>
                <w:szCs w:val="24"/>
                <w:lang w:val="pt-PT"/>
              </w:rPr>
              <w:t>objecto</w:t>
            </w:r>
            <w:proofErr w:type="spellEnd"/>
            <w:r w:rsidRPr="00292532">
              <w:rPr>
                <w:rFonts w:asciiTheme="minorHAnsi" w:eastAsia="Calibri" w:hAnsiTheme="minorHAnsi" w:cstheme="minorHAnsi"/>
                <w:sz w:val="20"/>
                <w:szCs w:val="24"/>
                <w:lang w:val="pt-PT"/>
              </w:rPr>
              <w:t xml:space="preserve"> a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das diferentes categorias de bens materiais móveis e imóveis, que pelo seu valor arqueológico, são bens do património cultural de Moçambique.</w:t>
            </w:r>
          </w:p>
          <w:p w14:paraId="137A7A5E" w14:textId="7777777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“O autor de qualquer descoberta fortuita de elementos arqueológicos, deve comunicar com um prazo de 48 horas à autoridade local, que notificará os órgãos competentes pela cultura, com a maior brevidade possível, e tomar as medidas apropriadas para a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dos referidos elementos.” (Art.º 10)</w:t>
            </w:r>
          </w:p>
          <w:p w14:paraId="5CB52E34" w14:textId="7777777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“Todos </w:t>
            </w:r>
            <w:proofErr w:type="spellStart"/>
            <w:r w:rsidRPr="00292532">
              <w:rPr>
                <w:rFonts w:asciiTheme="minorHAnsi" w:eastAsia="Calibri" w:hAnsiTheme="minorHAnsi" w:cstheme="minorHAnsi"/>
                <w:sz w:val="20"/>
                <w:szCs w:val="24"/>
                <w:lang w:val="pt-PT"/>
              </w:rPr>
              <w:t>projectos</w:t>
            </w:r>
            <w:proofErr w:type="spellEnd"/>
            <w:r w:rsidRPr="00292532">
              <w:rPr>
                <w:rFonts w:asciiTheme="minorHAnsi" w:eastAsia="Calibri" w:hAnsiTheme="minorHAnsi" w:cstheme="minorHAnsi"/>
                <w:sz w:val="20"/>
                <w:szCs w:val="24"/>
                <w:lang w:val="pt-PT"/>
              </w:rPr>
              <w:t xml:space="preserve"> que impliquem obras de escavação, remoção ou alargamento de terras, ou a remoção de </w:t>
            </w:r>
            <w:proofErr w:type="spellStart"/>
            <w:r w:rsidRPr="00292532">
              <w:rPr>
                <w:rFonts w:asciiTheme="minorHAnsi" w:eastAsia="Calibri" w:hAnsiTheme="minorHAnsi" w:cstheme="minorHAnsi"/>
                <w:sz w:val="20"/>
                <w:szCs w:val="24"/>
                <w:lang w:val="pt-PT"/>
              </w:rPr>
              <w:t>objectos</w:t>
            </w:r>
            <w:proofErr w:type="spellEnd"/>
            <w:r w:rsidRPr="00292532">
              <w:rPr>
                <w:rFonts w:asciiTheme="minorHAnsi" w:eastAsia="Calibri" w:hAnsiTheme="minorHAnsi" w:cstheme="minorHAnsi"/>
                <w:sz w:val="20"/>
                <w:szCs w:val="24"/>
                <w:lang w:val="pt-PT"/>
              </w:rPr>
              <w:t xml:space="preserve"> submersos ou soterrados nomeadamente deverão incluir trabalhos de </w:t>
            </w:r>
            <w:proofErr w:type="spellStart"/>
            <w:r w:rsidRPr="00292532">
              <w:rPr>
                <w:rFonts w:asciiTheme="minorHAnsi" w:eastAsia="Calibri" w:hAnsiTheme="minorHAnsi" w:cstheme="minorHAnsi"/>
                <w:sz w:val="20"/>
                <w:szCs w:val="24"/>
                <w:lang w:val="pt-PT"/>
              </w:rPr>
              <w:t>prospecção</w:t>
            </w:r>
            <w:proofErr w:type="spellEnd"/>
            <w:r w:rsidRPr="00292532">
              <w:rPr>
                <w:rFonts w:asciiTheme="minorHAnsi" w:eastAsia="Calibri" w:hAnsiTheme="minorHAnsi" w:cstheme="minorHAnsi"/>
                <w:sz w:val="20"/>
                <w:szCs w:val="24"/>
                <w:lang w:val="pt-PT"/>
              </w:rPr>
              <w:t xml:space="preserve"> arqueológica preliminar e de arqueologia de salvaguarda, na área abrangida pelas obras, </w:t>
            </w:r>
            <w:r w:rsidRPr="00292532">
              <w:rPr>
                <w:rFonts w:asciiTheme="minorHAnsi" w:eastAsia="Calibri" w:hAnsiTheme="minorHAnsi" w:cstheme="minorHAnsi"/>
                <w:sz w:val="20"/>
                <w:szCs w:val="24"/>
                <w:lang w:val="pt-PT"/>
              </w:rPr>
              <w:lastRenderedPageBreak/>
              <w:t xml:space="preserve">devendo incluir para tal efeito no </w:t>
            </w:r>
            <w:proofErr w:type="spellStart"/>
            <w:r w:rsidRPr="00292532">
              <w:rPr>
                <w:rFonts w:asciiTheme="minorHAnsi" w:eastAsia="Calibri" w:hAnsiTheme="minorHAnsi" w:cstheme="minorHAnsi"/>
                <w:sz w:val="20"/>
                <w:szCs w:val="24"/>
                <w:lang w:val="pt-PT"/>
              </w:rPr>
              <w:t>respectivo</w:t>
            </w:r>
            <w:proofErr w:type="spellEnd"/>
            <w:r w:rsidRPr="00292532">
              <w:rPr>
                <w:rFonts w:asciiTheme="minorHAnsi" w:eastAsia="Calibri" w:hAnsiTheme="minorHAnsi" w:cstheme="minorHAnsi"/>
                <w:sz w:val="20"/>
                <w:szCs w:val="24"/>
                <w:lang w:val="pt-PT"/>
              </w:rPr>
              <w:t xml:space="preserve"> orçamento uma dotação não inferior a 0,5 por cento do custo total das obras.” (Art.º 12).</w:t>
            </w:r>
          </w:p>
        </w:tc>
      </w:tr>
      <w:tr w:rsidR="00E666FB" w:rsidRPr="00292532" w14:paraId="1A197804" w14:textId="77777777" w:rsidTr="00A77ED3">
        <w:tc>
          <w:tcPr>
            <w:tcW w:w="8955" w:type="dxa"/>
            <w:gridSpan w:val="2"/>
            <w:shd w:val="clear" w:color="auto" w:fill="DEEAF6" w:themeFill="accent5" w:themeFillTint="33"/>
            <w:vAlign w:val="center"/>
          </w:tcPr>
          <w:p w14:paraId="6602F262" w14:textId="77777777" w:rsidR="00E666FB" w:rsidRPr="00292532" w:rsidRDefault="00E666FB" w:rsidP="00E666FB">
            <w:pPr>
              <w:autoSpaceDE w:val="0"/>
              <w:autoSpaceDN w:val="0"/>
              <w:adjustRightInd w:val="0"/>
              <w:spacing w:before="120" w:afterLines="160" w:after="384" w:line="20" w:lineRule="atLeast"/>
              <w:jc w:val="center"/>
              <w:rPr>
                <w:rFonts w:asciiTheme="minorHAnsi" w:eastAsia="Calibri" w:hAnsiTheme="minorHAnsi" w:cstheme="minorHAnsi"/>
                <w:b/>
                <w:sz w:val="20"/>
                <w:szCs w:val="24"/>
                <w:lang w:val="pt-PT"/>
              </w:rPr>
            </w:pPr>
            <w:r w:rsidRPr="00292532">
              <w:rPr>
                <w:rFonts w:asciiTheme="minorHAnsi" w:eastAsia="Calibri" w:hAnsiTheme="minorHAnsi" w:cstheme="minorHAnsi"/>
                <w:b/>
                <w:sz w:val="20"/>
                <w:szCs w:val="24"/>
                <w:lang w:val="pt-PT"/>
              </w:rPr>
              <w:lastRenderedPageBreak/>
              <w:t>Saúde e segurança ocupacional</w:t>
            </w:r>
          </w:p>
        </w:tc>
      </w:tr>
      <w:tr w:rsidR="00E666FB" w:rsidRPr="00AB3051" w14:paraId="762EE12C" w14:textId="77777777" w:rsidTr="00A77ED3">
        <w:tc>
          <w:tcPr>
            <w:tcW w:w="2430" w:type="dxa"/>
            <w:vAlign w:val="center"/>
          </w:tcPr>
          <w:p w14:paraId="5E1DDFD5" w14:textId="7777777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Lei de Trabalho (Lei nº 23/2007, de 1 de </w:t>
            </w:r>
            <w:proofErr w:type="gramStart"/>
            <w:r w:rsidRPr="00292532">
              <w:rPr>
                <w:rFonts w:asciiTheme="minorHAnsi" w:eastAsia="Calibri" w:hAnsiTheme="minorHAnsi" w:cstheme="minorHAnsi"/>
                <w:sz w:val="20"/>
                <w:szCs w:val="24"/>
                <w:lang w:val="pt-PT"/>
              </w:rPr>
              <w:t>Agosto</w:t>
            </w:r>
            <w:proofErr w:type="gramEnd"/>
            <w:r w:rsidRPr="00292532">
              <w:rPr>
                <w:rFonts w:asciiTheme="minorHAnsi" w:eastAsia="Calibri" w:hAnsiTheme="minorHAnsi" w:cstheme="minorHAnsi"/>
                <w:sz w:val="20"/>
                <w:szCs w:val="24"/>
                <w:lang w:val="pt-PT"/>
              </w:rPr>
              <w:t>)</w:t>
            </w:r>
          </w:p>
        </w:tc>
        <w:tc>
          <w:tcPr>
            <w:tcW w:w="6525" w:type="dxa"/>
            <w:vAlign w:val="center"/>
          </w:tcPr>
          <w:p w14:paraId="3B20D8ED" w14:textId="7777777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Define os princípios gerais e estabelece o regime jurídico aplicável às relações individuais e </w:t>
            </w:r>
            <w:proofErr w:type="spellStart"/>
            <w:r w:rsidRPr="00292532">
              <w:rPr>
                <w:rFonts w:asciiTheme="minorHAnsi" w:eastAsia="Calibri" w:hAnsiTheme="minorHAnsi" w:cstheme="minorHAnsi"/>
                <w:sz w:val="20"/>
                <w:szCs w:val="24"/>
                <w:lang w:val="pt-PT"/>
              </w:rPr>
              <w:t>colectivas</w:t>
            </w:r>
            <w:proofErr w:type="spellEnd"/>
            <w:r w:rsidRPr="00292532">
              <w:rPr>
                <w:rFonts w:asciiTheme="minorHAnsi" w:eastAsia="Calibri" w:hAnsiTheme="minorHAnsi" w:cstheme="minorHAnsi"/>
                <w:sz w:val="20"/>
                <w:szCs w:val="24"/>
                <w:lang w:val="pt-PT"/>
              </w:rPr>
              <w:t xml:space="preserve"> de trabalho subordinado (nacionais e ou estrangeiros), prestado por conta de outrem e mediante remuneração.</w:t>
            </w:r>
          </w:p>
        </w:tc>
      </w:tr>
      <w:tr w:rsidR="00E666FB" w:rsidRPr="00AB3051" w14:paraId="3FC1E7C7" w14:textId="77777777" w:rsidTr="00A77ED3">
        <w:tc>
          <w:tcPr>
            <w:tcW w:w="2430" w:type="dxa"/>
            <w:vAlign w:val="center"/>
          </w:tcPr>
          <w:p w14:paraId="7F815675" w14:textId="7777777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Sobre Acidentes de trabalho e Doenças Profissionais (Decreto nº 62/2013, de 3 de </w:t>
            </w:r>
            <w:proofErr w:type="gramStart"/>
            <w:r w:rsidRPr="00292532">
              <w:rPr>
                <w:rFonts w:asciiTheme="minorHAnsi" w:eastAsia="Calibri" w:hAnsiTheme="minorHAnsi" w:cstheme="minorHAnsi"/>
                <w:sz w:val="20"/>
                <w:szCs w:val="24"/>
                <w:lang w:val="pt-PT"/>
              </w:rPr>
              <w:t>Junho</w:t>
            </w:r>
            <w:proofErr w:type="gramEnd"/>
            <w:r w:rsidRPr="00292532">
              <w:rPr>
                <w:rFonts w:asciiTheme="minorHAnsi" w:eastAsia="Calibri" w:hAnsiTheme="minorHAnsi" w:cstheme="minorHAnsi"/>
                <w:sz w:val="20"/>
                <w:szCs w:val="24"/>
                <w:lang w:val="pt-PT"/>
              </w:rPr>
              <w:t>)</w:t>
            </w:r>
          </w:p>
        </w:tc>
        <w:tc>
          <w:tcPr>
            <w:tcW w:w="6525" w:type="dxa"/>
            <w:vAlign w:val="center"/>
          </w:tcPr>
          <w:p w14:paraId="1FDEC1EA" w14:textId="7777777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Estabelece regime jurídico de acidentes de trabalho e doenças profissionais, aplicável aos trabalhadores nacionais e estrangeiros por conta de outrem.</w:t>
            </w:r>
          </w:p>
        </w:tc>
      </w:tr>
      <w:tr w:rsidR="00E666FB" w:rsidRPr="00AB3051" w14:paraId="4B5DD40E" w14:textId="77777777" w:rsidTr="00A77ED3">
        <w:tc>
          <w:tcPr>
            <w:tcW w:w="2430" w:type="dxa"/>
            <w:vAlign w:val="center"/>
          </w:tcPr>
          <w:p w14:paraId="0CE598DC" w14:textId="07D4A315"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Lei de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dos trabalhadores com HIV/SIDA (Lei nº 05/2002</w:t>
            </w:r>
            <w:r w:rsidR="00860B04">
              <w:rPr>
                <w:rFonts w:asciiTheme="minorHAnsi" w:eastAsia="Calibri" w:hAnsiTheme="minorHAnsi" w:cstheme="minorHAnsi"/>
                <w:sz w:val="20"/>
                <w:szCs w:val="24"/>
                <w:lang w:val="pt-PT"/>
              </w:rPr>
              <w:t xml:space="preserve"> de 5 de </w:t>
            </w:r>
            <w:proofErr w:type="gramStart"/>
            <w:r w:rsidR="00860B04">
              <w:rPr>
                <w:rFonts w:asciiTheme="minorHAnsi" w:eastAsia="Calibri" w:hAnsiTheme="minorHAnsi" w:cstheme="minorHAnsi"/>
                <w:sz w:val="20"/>
                <w:szCs w:val="24"/>
                <w:lang w:val="pt-PT"/>
              </w:rPr>
              <w:t>Fevereiro</w:t>
            </w:r>
            <w:proofErr w:type="gramEnd"/>
            <w:r w:rsidRPr="00292532">
              <w:rPr>
                <w:rFonts w:asciiTheme="minorHAnsi" w:eastAsia="Calibri" w:hAnsiTheme="minorHAnsi" w:cstheme="minorHAnsi"/>
                <w:sz w:val="20"/>
                <w:szCs w:val="24"/>
                <w:lang w:val="pt-PT"/>
              </w:rPr>
              <w:t>)</w:t>
            </w:r>
          </w:p>
        </w:tc>
        <w:tc>
          <w:tcPr>
            <w:tcW w:w="6525" w:type="dxa"/>
            <w:vAlign w:val="center"/>
          </w:tcPr>
          <w:p w14:paraId="5F25E20C" w14:textId="7777777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Estabelece os princípios gerais que visam assegurar que todos os empregados e candidatos a emprego não sejam discriminados no local de trabalho ou quando se candidatam a empregos, por estes serem suspeitos ou por terem HIV/SIDA. O artigo 8 estabelece que o trabalho, em conexão com a sua ocupação profissional, além da compensação a que tem direito, tem garantia de assistência médica adequada para aliviar seu estado de saúde, de acordo com a lei do trabalho e demais legislação aplicável, custeados pelo empregador.</w:t>
            </w:r>
          </w:p>
        </w:tc>
      </w:tr>
      <w:tr w:rsidR="00E666FB" w:rsidRPr="00AB3051" w14:paraId="4531DA54" w14:textId="77777777" w:rsidTr="00A77ED3">
        <w:tc>
          <w:tcPr>
            <w:tcW w:w="2430" w:type="dxa"/>
            <w:vAlign w:val="center"/>
          </w:tcPr>
          <w:p w14:paraId="699CF3ED" w14:textId="7777777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Lei de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a Pessoa, Trabalhador ou Candidato ao Emprego vivendo com HIV/SIDA (Lei nº 19/2014 de 27 de </w:t>
            </w:r>
            <w:proofErr w:type="gramStart"/>
            <w:r w:rsidRPr="00292532">
              <w:rPr>
                <w:rFonts w:asciiTheme="minorHAnsi" w:eastAsia="Calibri" w:hAnsiTheme="minorHAnsi" w:cstheme="minorHAnsi"/>
                <w:sz w:val="20"/>
                <w:szCs w:val="24"/>
                <w:lang w:val="pt-PT"/>
              </w:rPr>
              <w:t>Agosto</w:t>
            </w:r>
            <w:proofErr w:type="gramEnd"/>
            <w:r w:rsidRPr="00292532">
              <w:rPr>
                <w:rFonts w:asciiTheme="minorHAnsi" w:eastAsia="Calibri" w:hAnsiTheme="minorHAnsi" w:cstheme="minorHAnsi"/>
                <w:sz w:val="20"/>
                <w:szCs w:val="24"/>
                <w:lang w:val="pt-PT"/>
              </w:rPr>
              <w:t>)</w:t>
            </w:r>
          </w:p>
        </w:tc>
        <w:tc>
          <w:tcPr>
            <w:tcW w:w="6525" w:type="dxa"/>
            <w:vAlign w:val="center"/>
          </w:tcPr>
          <w:p w14:paraId="4546B8F1" w14:textId="2F1E575B"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Estabelece os direitos e deveres das pessoas, trabalhadores ou candidatos a emprego vivendo com HIV/SIDA, incluindo pessoas em risco de contaminação como o pessoal médico. O artigo 47 preconiza que o trabalhador ou candidato ao emprego com HIV/SIDA não deve ser discriminado por sua condição de seropositivo, devendo-se assegurar o princípio de igualdade de direitos e oportunidades. O artigo 53 estabelece a obrigatoriedade da entidade empregadora na manutenção da assistência ao trabalhador seropositivo.</w:t>
            </w:r>
          </w:p>
        </w:tc>
      </w:tr>
      <w:tr w:rsidR="00E666FB" w:rsidRPr="00AB3051" w14:paraId="1B1E2629" w14:textId="77777777" w:rsidTr="00A77ED3">
        <w:tc>
          <w:tcPr>
            <w:tcW w:w="2430" w:type="dxa"/>
            <w:vAlign w:val="center"/>
          </w:tcPr>
          <w:p w14:paraId="2491AE1F" w14:textId="0315689E" w:rsidR="00E666FB" w:rsidRPr="00292532" w:rsidRDefault="00E666FB" w:rsidP="00860B04">
            <w:pPr>
              <w:autoSpaceDE w:val="0"/>
              <w:autoSpaceDN w:val="0"/>
              <w:adjustRightInd w:val="0"/>
              <w:spacing w:before="120" w:afterLines="160" w:after="384" w:line="20" w:lineRule="atLeast"/>
              <w:jc w:val="left"/>
              <w:rPr>
                <w:rFonts w:asciiTheme="minorHAnsi" w:eastAsia="Calibri" w:hAnsiTheme="minorHAnsi" w:cstheme="minorHAnsi"/>
                <w:sz w:val="20"/>
                <w:szCs w:val="24"/>
                <w:lang w:val="pt-PT"/>
              </w:rPr>
            </w:pPr>
            <w:r w:rsidRPr="00860B04">
              <w:rPr>
                <w:rFonts w:asciiTheme="minorHAnsi" w:eastAsia="Calibri" w:hAnsiTheme="minorHAnsi" w:cstheme="minorHAnsi"/>
                <w:bCs/>
                <w:sz w:val="20"/>
                <w:szCs w:val="24"/>
                <w:lang w:val="pt-PT"/>
              </w:rPr>
              <w:t>Regulamento</w:t>
            </w:r>
            <w:r w:rsidRPr="002660D0">
              <w:rPr>
                <w:rFonts w:asciiTheme="minorHAnsi" w:eastAsia="Calibri" w:hAnsiTheme="minorHAnsi" w:cstheme="minorHAnsi"/>
                <w:sz w:val="20"/>
                <w:szCs w:val="24"/>
                <w:lang w:val="pt-PT"/>
              </w:rPr>
              <w:t xml:space="preserve"> Sobre </w:t>
            </w:r>
            <w:proofErr w:type="spellStart"/>
            <w:r w:rsidRPr="002660D0">
              <w:rPr>
                <w:rFonts w:asciiTheme="minorHAnsi" w:eastAsia="Calibri" w:hAnsiTheme="minorHAnsi" w:cstheme="minorHAnsi"/>
                <w:sz w:val="20"/>
                <w:szCs w:val="24"/>
                <w:lang w:val="pt-PT"/>
              </w:rPr>
              <w:t>Inspecção</w:t>
            </w:r>
            <w:proofErr w:type="spellEnd"/>
            <w:r w:rsidRPr="002660D0">
              <w:rPr>
                <w:rFonts w:asciiTheme="minorHAnsi" w:eastAsia="Calibri" w:hAnsiTheme="minorHAnsi" w:cstheme="minorHAnsi"/>
                <w:sz w:val="20"/>
                <w:szCs w:val="24"/>
                <w:lang w:val="pt-PT"/>
              </w:rPr>
              <w:t xml:space="preserve"> Geral do Trabalho (Decreto nº 45/2009</w:t>
            </w:r>
            <w:r w:rsidR="00B9439F" w:rsidRPr="002660D0">
              <w:rPr>
                <w:rFonts w:asciiTheme="minorHAnsi" w:eastAsia="Calibri" w:hAnsiTheme="minorHAnsi" w:cstheme="minorHAnsi"/>
                <w:sz w:val="20"/>
                <w:szCs w:val="24"/>
                <w:lang w:val="pt-PT"/>
              </w:rPr>
              <w:t xml:space="preserve"> de 14 de </w:t>
            </w:r>
            <w:proofErr w:type="gramStart"/>
            <w:r w:rsidR="00B9439F" w:rsidRPr="002660D0">
              <w:rPr>
                <w:rFonts w:asciiTheme="minorHAnsi" w:eastAsia="Calibri" w:hAnsiTheme="minorHAnsi" w:cstheme="minorHAnsi"/>
                <w:sz w:val="20"/>
                <w:szCs w:val="24"/>
                <w:lang w:val="pt-PT"/>
              </w:rPr>
              <w:t>Agost</w:t>
            </w:r>
            <w:r w:rsidR="00B9439F" w:rsidRPr="00860B04">
              <w:rPr>
                <w:rFonts w:asciiTheme="minorHAnsi" w:eastAsia="Calibri" w:hAnsiTheme="minorHAnsi" w:cstheme="minorHAnsi"/>
                <w:sz w:val="20"/>
                <w:szCs w:val="24"/>
                <w:lang w:val="pt-PT"/>
              </w:rPr>
              <w:t>o</w:t>
            </w:r>
            <w:proofErr w:type="gramEnd"/>
            <w:r w:rsidRPr="00860B04">
              <w:rPr>
                <w:rFonts w:asciiTheme="minorHAnsi" w:eastAsia="Calibri" w:hAnsiTheme="minorHAnsi" w:cstheme="minorHAnsi"/>
                <w:sz w:val="20"/>
                <w:szCs w:val="24"/>
                <w:lang w:val="pt-PT"/>
              </w:rPr>
              <w:t>)</w:t>
            </w:r>
          </w:p>
        </w:tc>
        <w:tc>
          <w:tcPr>
            <w:tcW w:w="6525" w:type="dxa"/>
            <w:vAlign w:val="center"/>
          </w:tcPr>
          <w:p w14:paraId="03D19A6E" w14:textId="7777777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Estabelece as regras relativas às </w:t>
            </w:r>
            <w:proofErr w:type="spellStart"/>
            <w:r w:rsidRPr="00292532">
              <w:rPr>
                <w:rFonts w:asciiTheme="minorHAnsi" w:eastAsia="Calibri" w:hAnsiTheme="minorHAnsi" w:cstheme="minorHAnsi"/>
                <w:sz w:val="20"/>
                <w:szCs w:val="24"/>
                <w:lang w:val="pt-PT"/>
              </w:rPr>
              <w:t>actividades</w:t>
            </w:r>
            <w:proofErr w:type="spellEnd"/>
            <w:r w:rsidRPr="00292532">
              <w:rPr>
                <w:rFonts w:asciiTheme="minorHAnsi" w:eastAsia="Calibri" w:hAnsiTheme="minorHAnsi" w:cstheme="minorHAnsi"/>
                <w:sz w:val="20"/>
                <w:szCs w:val="24"/>
                <w:lang w:val="pt-PT"/>
              </w:rPr>
              <w:t xml:space="preserve"> de </w:t>
            </w:r>
            <w:proofErr w:type="spellStart"/>
            <w:r w:rsidRPr="00292532">
              <w:rPr>
                <w:rFonts w:asciiTheme="minorHAnsi" w:eastAsia="Calibri" w:hAnsiTheme="minorHAnsi" w:cstheme="minorHAnsi"/>
                <w:sz w:val="20"/>
                <w:szCs w:val="24"/>
                <w:lang w:val="pt-PT"/>
              </w:rPr>
              <w:t>inspecção</w:t>
            </w:r>
            <w:proofErr w:type="spellEnd"/>
            <w:r w:rsidRPr="00292532">
              <w:rPr>
                <w:rFonts w:asciiTheme="minorHAnsi" w:eastAsia="Calibri" w:hAnsiTheme="minorHAnsi" w:cstheme="minorHAnsi"/>
                <w:sz w:val="20"/>
                <w:szCs w:val="24"/>
                <w:lang w:val="pt-PT"/>
              </w:rPr>
              <w:t>, no âmbito da legalidade do trabalho. O ponto 2 do Artigo 4 prevê responsabilidades do empregador em matéria de prevenção de riscos de saúde e segurança profissional para o empregado.</w:t>
            </w:r>
          </w:p>
        </w:tc>
      </w:tr>
      <w:tr w:rsidR="00E666FB" w:rsidRPr="00292532" w14:paraId="596F1732" w14:textId="77777777" w:rsidTr="00EE6F57">
        <w:tc>
          <w:tcPr>
            <w:tcW w:w="8955" w:type="dxa"/>
            <w:gridSpan w:val="2"/>
            <w:shd w:val="clear" w:color="auto" w:fill="DEEAF6" w:themeFill="accent5" w:themeFillTint="33"/>
            <w:vAlign w:val="center"/>
          </w:tcPr>
          <w:p w14:paraId="43C43697" w14:textId="38A5F6F2" w:rsidR="00E666FB" w:rsidRPr="00292532" w:rsidRDefault="00E666FB" w:rsidP="00E666FB">
            <w:pPr>
              <w:autoSpaceDE w:val="0"/>
              <w:autoSpaceDN w:val="0"/>
              <w:adjustRightInd w:val="0"/>
              <w:spacing w:before="120" w:afterLines="160" w:after="384" w:line="20" w:lineRule="atLeast"/>
              <w:jc w:val="center"/>
              <w:rPr>
                <w:rFonts w:asciiTheme="minorHAnsi" w:eastAsia="Calibri" w:hAnsiTheme="minorHAnsi" w:cstheme="minorHAnsi"/>
                <w:b/>
                <w:sz w:val="20"/>
                <w:szCs w:val="24"/>
                <w:lang w:val="pt-PT"/>
              </w:rPr>
            </w:pPr>
            <w:r w:rsidRPr="00292532">
              <w:rPr>
                <w:rFonts w:asciiTheme="minorHAnsi" w:eastAsia="Calibri" w:hAnsiTheme="minorHAnsi" w:cstheme="minorHAnsi"/>
                <w:b/>
                <w:sz w:val="20"/>
                <w:szCs w:val="24"/>
                <w:lang w:val="pt-PT"/>
              </w:rPr>
              <w:t>Proteção Social</w:t>
            </w:r>
          </w:p>
        </w:tc>
      </w:tr>
      <w:tr w:rsidR="00E666FB" w:rsidRPr="00AB3051" w14:paraId="5791179C" w14:textId="77777777" w:rsidTr="00893B49">
        <w:tc>
          <w:tcPr>
            <w:tcW w:w="2430" w:type="dxa"/>
            <w:tcBorders>
              <w:top w:val="single" w:sz="4" w:space="0" w:color="auto"/>
              <w:bottom w:val="single" w:sz="4" w:space="0" w:color="auto"/>
              <w:right w:val="single" w:sz="4" w:space="0" w:color="auto"/>
            </w:tcBorders>
            <w:vAlign w:val="center"/>
          </w:tcPr>
          <w:p w14:paraId="25D83FA6" w14:textId="7777777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Lei da Família (Lei nº 22/2019 de 11 de </w:t>
            </w:r>
            <w:proofErr w:type="gramStart"/>
            <w:r w:rsidRPr="00292532">
              <w:rPr>
                <w:rFonts w:asciiTheme="minorHAnsi" w:eastAsia="Calibri" w:hAnsiTheme="minorHAnsi" w:cstheme="minorHAnsi"/>
                <w:sz w:val="20"/>
                <w:szCs w:val="24"/>
                <w:lang w:val="pt-PT"/>
              </w:rPr>
              <w:t>Dezembro</w:t>
            </w:r>
            <w:proofErr w:type="gramEnd"/>
            <w:r w:rsidRPr="00292532">
              <w:rPr>
                <w:rFonts w:asciiTheme="minorHAnsi" w:eastAsia="Calibri" w:hAnsiTheme="minorHAnsi" w:cstheme="minorHAnsi"/>
                <w:sz w:val="20"/>
                <w:szCs w:val="24"/>
                <w:lang w:val="pt-PT"/>
              </w:rPr>
              <w:t>)</w:t>
            </w:r>
          </w:p>
        </w:tc>
        <w:tc>
          <w:tcPr>
            <w:tcW w:w="6525" w:type="dxa"/>
            <w:tcBorders>
              <w:top w:val="single" w:sz="4" w:space="0" w:color="auto"/>
              <w:bottom w:val="single" w:sz="4" w:space="0" w:color="auto"/>
            </w:tcBorders>
            <w:vAlign w:val="center"/>
          </w:tcPr>
          <w:p w14:paraId="740E8071" w14:textId="7777777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Define os direitos da família e dos seus membros, e dos deveres da família de amparar e assistir os membros mais idosos e mais carentes.</w:t>
            </w:r>
          </w:p>
          <w:p w14:paraId="6B6277A5" w14:textId="7777777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proofErr w:type="spellStart"/>
            <w:r w:rsidRPr="00292532">
              <w:rPr>
                <w:rFonts w:asciiTheme="minorHAnsi" w:eastAsia="Calibri" w:hAnsiTheme="minorHAnsi" w:cstheme="minorHAnsi"/>
                <w:sz w:val="20"/>
                <w:szCs w:val="24"/>
                <w:lang w:val="pt-PT"/>
              </w:rPr>
              <w:lastRenderedPageBreak/>
              <w:t>Proibe</w:t>
            </w:r>
            <w:proofErr w:type="spellEnd"/>
            <w:r w:rsidRPr="00292532">
              <w:rPr>
                <w:rFonts w:asciiTheme="minorHAnsi" w:eastAsia="Calibri" w:hAnsiTheme="minorHAnsi" w:cstheme="minorHAnsi"/>
                <w:sz w:val="20"/>
                <w:szCs w:val="24"/>
                <w:lang w:val="pt-PT"/>
              </w:rPr>
              <w:t xml:space="preserve"> a discriminação, exploração negligencia e exercício abusivo de autoridade e violência no seio familiar.</w:t>
            </w:r>
          </w:p>
          <w:p w14:paraId="3B94D3E0" w14:textId="7777777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Reitera a igualdade de género e prevê que tanto as mulheres como os homens têm direitos de administrar a propriedade conjugal e têm direitos iguais de transferir e herdar propriedade. reitera a igualdade de género e prevê que tanto as mulheres como os homens têm direitos de administrar a propriedade conjugal e têm direitos iguais de transferir e herdar propriedade.</w:t>
            </w:r>
          </w:p>
        </w:tc>
      </w:tr>
      <w:tr w:rsidR="00E666FB" w:rsidRPr="00AB3051" w14:paraId="67091D59" w14:textId="77777777" w:rsidTr="00860B04">
        <w:tc>
          <w:tcPr>
            <w:tcW w:w="2430" w:type="dxa"/>
            <w:tcBorders>
              <w:top w:val="single" w:sz="4" w:space="0" w:color="auto"/>
              <w:bottom w:val="single" w:sz="4" w:space="0" w:color="auto"/>
              <w:right w:val="single" w:sz="4" w:space="0" w:color="auto"/>
            </w:tcBorders>
            <w:shd w:val="clear" w:color="auto" w:fill="auto"/>
            <w:vAlign w:val="center"/>
          </w:tcPr>
          <w:p w14:paraId="74439057" w14:textId="141D0821" w:rsidR="00E666FB" w:rsidRPr="00860B04"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860B04">
              <w:rPr>
                <w:rFonts w:asciiTheme="minorHAnsi" w:eastAsia="Calibri" w:hAnsiTheme="minorHAnsi" w:cstheme="minorHAnsi"/>
                <w:sz w:val="20"/>
                <w:szCs w:val="24"/>
                <w:lang w:val="pt-PT"/>
              </w:rPr>
              <w:lastRenderedPageBreak/>
              <w:t xml:space="preserve">Lei da </w:t>
            </w:r>
            <w:proofErr w:type="spellStart"/>
            <w:r w:rsidRPr="00860B04">
              <w:rPr>
                <w:rFonts w:asciiTheme="minorHAnsi" w:eastAsia="Calibri" w:hAnsiTheme="minorHAnsi" w:cstheme="minorHAnsi"/>
                <w:sz w:val="20"/>
                <w:szCs w:val="24"/>
                <w:lang w:val="pt-PT"/>
              </w:rPr>
              <w:t>Protecção</w:t>
            </w:r>
            <w:proofErr w:type="spellEnd"/>
            <w:r w:rsidRPr="00860B04">
              <w:rPr>
                <w:rFonts w:asciiTheme="minorHAnsi" w:eastAsia="Calibri" w:hAnsiTheme="minorHAnsi" w:cstheme="minorHAnsi"/>
                <w:sz w:val="20"/>
                <w:szCs w:val="24"/>
                <w:lang w:val="pt-PT"/>
              </w:rPr>
              <w:t xml:space="preserve"> Social (Lei nº</w:t>
            </w:r>
            <w:r w:rsidR="00B9439F" w:rsidRPr="00860B04">
              <w:rPr>
                <w:rFonts w:asciiTheme="minorHAnsi" w:eastAsia="Calibri" w:hAnsiTheme="minorHAnsi" w:cstheme="minorHAnsi"/>
                <w:sz w:val="20"/>
                <w:szCs w:val="24"/>
                <w:lang w:val="pt-PT"/>
              </w:rPr>
              <w:t xml:space="preserve"> </w:t>
            </w:r>
            <w:r w:rsidRPr="00860B04">
              <w:rPr>
                <w:rFonts w:asciiTheme="minorHAnsi" w:eastAsia="Calibri" w:hAnsiTheme="minorHAnsi" w:cstheme="minorHAnsi"/>
                <w:sz w:val="20"/>
                <w:szCs w:val="24"/>
                <w:lang w:val="pt-PT"/>
              </w:rPr>
              <w:t>4/2007</w:t>
            </w:r>
            <w:r w:rsidR="00B9439F" w:rsidRPr="00860B04">
              <w:rPr>
                <w:rFonts w:asciiTheme="minorHAnsi" w:eastAsia="Calibri" w:hAnsiTheme="minorHAnsi" w:cstheme="minorHAnsi"/>
                <w:sz w:val="20"/>
                <w:szCs w:val="24"/>
                <w:lang w:val="pt-PT"/>
              </w:rPr>
              <w:t xml:space="preserve"> de 16 de </w:t>
            </w:r>
            <w:proofErr w:type="gramStart"/>
            <w:r w:rsidR="00B9439F" w:rsidRPr="00860B04">
              <w:rPr>
                <w:rFonts w:asciiTheme="minorHAnsi" w:eastAsia="Calibri" w:hAnsiTheme="minorHAnsi" w:cstheme="minorHAnsi"/>
                <w:sz w:val="20"/>
                <w:szCs w:val="24"/>
                <w:lang w:val="pt-PT"/>
              </w:rPr>
              <w:t>Janeiro</w:t>
            </w:r>
            <w:proofErr w:type="gramEnd"/>
            <w:r w:rsidRPr="00860B04">
              <w:rPr>
                <w:rFonts w:asciiTheme="minorHAnsi" w:eastAsia="Calibri" w:hAnsiTheme="minorHAnsi" w:cstheme="minorHAnsi"/>
                <w:sz w:val="20"/>
                <w:szCs w:val="24"/>
                <w:lang w:val="pt-PT"/>
              </w:rPr>
              <w:t>)</w:t>
            </w:r>
          </w:p>
        </w:tc>
        <w:tc>
          <w:tcPr>
            <w:tcW w:w="6525" w:type="dxa"/>
            <w:tcBorders>
              <w:top w:val="single" w:sz="4" w:space="0" w:color="auto"/>
              <w:bottom w:val="single" w:sz="4" w:space="0" w:color="auto"/>
            </w:tcBorders>
            <w:shd w:val="clear" w:color="auto" w:fill="auto"/>
            <w:vAlign w:val="center"/>
          </w:tcPr>
          <w:p w14:paraId="5F053D2F" w14:textId="77777777" w:rsidR="00E666FB" w:rsidRPr="00860B04"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860B04">
              <w:rPr>
                <w:rFonts w:asciiTheme="minorHAnsi" w:eastAsia="Calibri" w:hAnsiTheme="minorHAnsi" w:cstheme="minorHAnsi"/>
                <w:sz w:val="20"/>
                <w:szCs w:val="24"/>
                <w:lang w:val="pt-PT"/>
              </w:rPr>
              <w:t xml:space="preserve">Compreende três categorias de </w:t>
            </w:r>
            <w:proofErr w:type="spellStart"/>
            <w:r w:rsidRPr="00860B04">
              <w:rPr>
                <w:rFonts w:asciiTheme="minorHAnsi" w:eastAsia="Calibri" w:hAnsiTheme="minorHAnsi" w:cstheme="minorHAnsi"/>
                <w:sz w:val="20"/>
                <w:szCs w:val="24"/>
                <w:lang w:val="pt-PT"/>
              </w:rPr>
              <w:t>protecção</w:t>
            </w:r>
            <w:proofErr w:type="spellEnd"/>
            <w:r w:rsidRPr="00860B04">
              <w:rPr>
                <w:rFonts w:asciiTheme="minorHAnsi" w:eastAsia="Calibri" w:hAnsiTheme="minorHAnsi" w:cstheme="minorHAnsi"/>
                <w:sz w:val="20"/>
                <w:szCs w:val="24"/>
                <w:lang w:val="pt-PT"/>
              </w:rPr>
              <w:t xml:space="preserve"> social: </w:t>
            </w:r>
            <w:proofErr w:type="spellStart"/>
            <w:r w:rsidRPr="00860B04">
              <w:rPr>
                <w:rFonts w:asciiTheme="minorHAnsi" w:eastAsia="Calibri" w:hAnsiTheme="minorHAnsi" w:cstheme="minorHAnsi"/>
                <w:sz w:val="20"/>
                <w:szCs w:val="24"/>
                <w:lang w:val="pt-PT"/>
              </w:rPr>
              <w:t>Protecção</w:t>
            </w:r>
            <w:proofErr w:type="spellEnd"/>
            <w:r w:rsidRPr="00860B04">
              <w:rPr>
                <w:rFonts w:asciiTheme="minorHAnsi" w:eastAsia="Calibri" w:hAnsiTheme="minorHAnsi" w:cstheme="minorHAnsi"/>
                <w:sz w:val="20"/>
                <w:szCs w:val="24"/>
                <w:lang w:val="pt-PT"/>
              </w:rPr>
              <w:t xml:space="preserve"> Social Básica, Obrigatória e Complementar. A </w:t>
            </w:r>
            <w:proofErr w:type="spellStart"/>
            <w:r w:rsidRPr="00860B04">
              <w:rPr>
                <w:rFonts w:asciiTheme="minorHAnsi" w:eastAsia="Calibri" w:hAnsiTheme="minorHAnsi" w:cstheme="minorHAnsi"/>
                <w:sz w:val="20"/>
                <w:szCs w:val="24"/>
                <w:lang w:val="pt-PT"/>
              </w:rPr>
              <w:t>Protecção</w:t>
            </w:r>
            <w:proofErr w:type="spellEnd"/>
            <w:r w:rsidRPr="00860B04">
              <w:rPr>
                <w:rFonts w:asciiTheme="minorHAnsi" w:eastAsia="Calibri" w:hAnsiTheme="minorHAnsi" w:cstheme="minorHAnsi"/>
                <w:sz w:val="20"/>
                <w:szCs w:val="24"/>
                <w:lang w:val="pt-PT"/>
              </w:rPr>
              <w:t xml:space="preserve"> Social Básica envolve principalmente programas de rede de segurança social, incluindo transferências sociais e outros programas de assistência, programa de trabalhos públicos com uso intensivo em mão-de-obra, alimentação escolar e intervenções para facilitar o acesso aos serviços de saúde e nutrição. A </w:t>
            </w:r>
            <w:proofErr w:type="spellStart"/>
            <w:r w:rsidRPr="00860B04">
              <w:rPr>
                <w:rFonts w:asciiTheme="minorHAnsi" w:eastAsia="Calibri" w:hAnsiTheme="minorHAnsi" w:cstheme="minorHAnsi"/>
                <w:sz w:val="20"/>
                <w:szCs w:val="24"/>
                <w:lang w:val="pt-PT"/>
              </w:rPr>
              <w:t>Protecção</w:t>
            </w:r>
            <w:proofErr w:type="spellEnd"/>
            <w:r w:rsidRPr="00860B04">
              <w:rPr>
                <w:rFonts w:asciiTheme="minorHAnsi" w:eastAsia="Calibri" w:hAnsiTheme="minorHAnsi" w:cstheme="minorHAnsi"/>
                <w:sz w:val="20"/>
                <w:szCs w:val="24"/>
                <w:lang w:val="pt-PT"/>
              </w:rPr>
              <w:t xml:space="preserve"> Social Obrigatória (mecanismos de seguro social) é </w:t>
            </w:r>
            <w:proofErr w:type="spellStart"/>
            <w:r w:rsidRPr="00860B04">
              <w:rPr>
                <w:rFonts w:asciiTheme="minorHAnsi" w:eastAsia="Calibri" w:hAnsiTheme="minorHAnsi" w:cstheme="minorHAnsi"/>
                <w:sz w:val="20"/>
                <w:szCs w:val="24"/>
                <w:lang w:val="pt-PT"/>
              </w:rPr>
              <w:t>actualmente</w:t>
            </w:r>
            <w:proofErr w:type="spellEnd"/>
            <w:r w:rsidRPr="00860B04">
              <w:rPr>
                <w:rFonts w:asciiTheme="minorHAnsi" w:eastAsia="Calibri" w:hAnsiTheme="minorHAnsi" w:cstheme="minorHAnsi"/>
                <w:sz w:val="20"/>
                <w:szCs w:val="24"/>
                <w:lang w:val="pt-PT"/>
              </w:rPr>
              <w:t xml:space="preserve"> muito limitada na cobertura. Enquanto à </w:t>
            </w:r>
            <w:proofErr w:type="spellStart"/>
            <w:r w:rsidRPr="00860B04">
              <w:rPr>
                <w:rFonts w:asciiTheme="minorHAnsi" w:eastAsia="Calibri" w:hAnsiTheme="minorHAnsi" w:cstheme="minorHAnsi"/>
                <w:sz w:val="20"/>
                <w:szCs w:val="24"/>
                <w:lang w:val="pt-PT"/>
              </w:rPr>
              <w:t>Protecção</w:t>
            </w:r>
            <w:proofErr w:type="spellEnd"/>
            <w:r w:rsidRPr="00860B04">
              <w:rPr>
                <w:rFonts w:asciiTheme="minorHAnsi" w:eastAsia="Calibri" w:hAnsiTheme="minorHAnsi" w:cstheme="minorHAnsi"/>
                <w:sz w:val="20"/>
                <w:szCs w:val="24"/>
                <w:lang w:val="pt-PT"/>
              </w:rPr>
              <w:t xml:space="preserve"> Social Complementar (para os trabalhadores auto empregues) ainda está por ser desenvolvida.</w:t>
            </w:r>
          </w:p>
        </w:tc>
      </w:tr>
      <w:tr w:rsidR="00E666FB" w:rsidRPr="00AB3051" w14:paraId="037FDAF2" w14:textId="77777777" w:rsidTr="00893B49">
        <w:tc>
          <w:tcPr>
            <w:tcW w:w="2430" w:type="dxa"/>
            <w:tcBorders>
              <w:top w:val="single" w:sz="4" w:space="0" w:color="auto"/>
              <w:bottom w:val="single" w:sz="4" w:space="0" w:color="auto"/>
              <w:right w:val="single" w:sz="4" w:space="0" w:color="auto"/>
            </w:tcBorders>
            <w:vAlign w:val="center"/>
          </w:tcPr>
          <w:p w14:paraId="63B7C109" w14:textId="21828103"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Lei de Prevenção e Combate a Uniões Prematuras (Lei nº 19/2019</w:t>
            </w:r>
            <w:r w:rsidR="00B9439F">
              <w:rPr>
                <w:rFonts w:asciiTheme="minorHAnsi" w:eastAsia="Calibri" w:hAnsiTheme="minorHAnsi" w:cstheme="minorHAnsi"/>
                <w:sz w:val="20"/>
                <w:szCs w:val="24"/>
                <w:lang w:val="pt-PT"/>
              </w:rPr>
              <w:t xml:space="preserve"> de 22 de </w:t>
            </w:r>
            <w:proofErr w:type="gramStart"/>
            <w:r w:rsidR="00B9439F">
              <w:rPr>
                <w:rFonts w:asciiTheme="minorHAnsi" w:eastAsia="Calibri" w:hAnsiTheme="minorHAnsi" w:cstheme="minorHAnsi"/>
                <w:sz w:val="20"/>
                <w:szCs w:val="24"/>
                <w:lang w:val="pt-PT"/>
              </w:rPr>
              <w:t>Outubro</w:t>
            </w:r>
            <w:proofErr w:type="gramEnd"/>
            <w:r w:rsidRPr="00292532">
              <w:rPr>
                <w:rFonts w:asciiTheme="minorHAnsi" w:eastAsia="Calibri" w:hAnsiTheme="minorHAnsi" w:cstheme="minorHAnsi"/>
                <w:sz w:val="20"/>
                <w:szCs w:val="24"/>
                <w:lang w:val="pt-PT"/>
              </w:rPr>
              <w:t>)</w:t>
            </w:r>
          </w:p>
        </w:tc>
        <w:tc>
          <w:tcPr>
            <w:tcW w:w="6525" w:type="dxa"/>
            <w:tcBorders>
              <w:top w:val="single" w:sz="4" w:space="0" w:color="auto"/>
              <w:bottom w:val="single" w:sz="4" w:space="0" w:color="auto"/>
            </w:tcBorders>
            <w:vAlign w:val="center"/>
          </w:tcPr>
          <w:p w14:paraId="1B757114" w14:textId="7777777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Define a idade legal para o casamento como sendo de 18 anos, a partir da qual uma nova família pode ser legalmente constituída. Isto é relevante para os direitos à habitação e para a estimativa do crescimento orgânico das populações </w:t>
            </w:r>
            <w:proofErr w:type="spellStart"/>
            <w:r w:rsidRPr="00292532">
              <w:rPr>
                <w:rFonts w:asciiTheme="minorHAnsi" w:eastAsia="Calibri" w:hAnsiTheme="minorHAnsi" w:cstheme="minorHAnsi"/>
                <w:sz w:val="20"/>
                <w:szCs w:val="24"/>
                <w:lang w:val="pt-PT"/>
              </w:rPr>
              <w:t>afectadas</w:t>
            </w:r>
            <w:proofErr w:type="spellEnd"/>
            <w:r w:rsidRPr="00292532">
              <w:rPr>
                <w:rFonts w:asciiTheme="minorHAnsi" w:eastAsia="Calibri" w:hAnsiTheme="minorHAnsi" w:cstheme="minorHAnsi"/>
                <w:sz w:val="20"/>
                <w:szCs w:val="24"/>
                <w:lang w:val="pt-PT"/>
              </w:rPr>
              <w:t xml:space="preserve"> pelos </w:t>
            </w:r>
            <w:proofErr w:type="spellStart"/>
            <w:r w:rsidRPr="00292532">
              <w:rPr>
                <w:rFonts w:asciiTheme="minorHAnsi" w:eastAsia="Calibri" w:hAnsiTheme="minorHAnsi" w:cstheme="minorHAnsi"/>
                <w:sz w:val="20"/>
                <w:szCs w:val="24"/>
                <w:lang w:val="pt-PT"/>
              </w:rPr>
              <w:t>projectos</w:t>
            </w:r>
            <w:proofErr w:type="spellEnd"/>
            <w:r w:rsidRPr="00292532">
              <w:rPr>
                <w:rFonts w:asciiTheme="minorHAnsi" w:eastAsia="Calibri" w:hAnsiTheme="minorHAnsi" w:cstheme="minorHAnsi"/>
                <w:sz w:val="20"/>
                <w:szCs w:val="24"/>
                <w:lang w:val="pt-PT"/>
              </w:rPr>
              <w:t>.</w:t>
            </w:r>
          </w:p>
        </w:tc>
      </w:tr>
      <w:tr w:rsidR="00E666FB" w:rsidRPr="00AB3051" w14:paraId="544823EA" w14:textId="77777777" w:rsidTr="00893B49">
        <w:tc>
          <w:tcPr>
            <w:tcW w:w="2430" w:type="dxa"/>
            <w:tcBorders>
              <w:top w:val="single" w:sz="4" w:space="0" w:color="auto"/>
              <w:bottom w:val="single" w:sz="4" w:space="0" w:color="auto"/>
              <w:right w:val="single" w:sz="4" w:space="0" w:color="auto"/>
            </w:tcBorders>
            <w:vAlign w:val="center"/>
          </w:tcPr>
          <w:p w14:paraId="5AFF1EC0" w14:textId="55FB3A4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Lei sobre Violência contra a Mulher (Lei nº 29/2009</w:t>
            </w:r>
            <w:r w:rsidR="00B9439F">
              <w:rPr>
                <w:rFonts w:asciiTheme="minorHAnsi" w:eastAsia="Calibri" w:hAnsiTheme="minorHAnsi" w:cstheme="minorHAnsi"/>
                <w:sz w:val="20"/>
                <w:szCs w:val="24"/>
                <w:lang w:val="pt-PT"/>
              </w:rPr>
              <w:t xml:space="preserve"> de 29 de </w:t>
            </w:r>
            <w:proofErr w:type="gramStart"/>
            <w:r w:rsidR="00B9439F">
              <w:rPr>
                <w:rFonts w:asciiTheme="minorHAnsi" w:eastAsia="Calibri" w:hAnsiTheme="minorHAnsi" w:cstheme="minorHAnsi"/>
                <w:sz w:val="20"/>
                <w:szCs w:val="24"/>
                <w:lang w:val="pt-PT"/>
              </w:rPr>
              <w:t>Setembro</w:t>
            </w:r>
            <w:proofErr w:type="gramEnd"/>
          </w:p>
        </w:tc>
        <w:tc>
          <w:tcPr>
            <w:tcW w:w="6525" w:type="dxa"/>
            <w:tcBorders>
              <w:top w:val="single" w:sz="4" w:space="0" w:color="auto"/>
              <w:bottom w:val="single" w:sz="4" w:space="0" w:color="auto"/>
            </w:tcBorders>
            <w:vAlign w:val="center"/>
          </w:tcPr>
          <w:p w14:paraId="084B855E" w14:textId="7777777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Criminaliza a violência com base no género e a violência doméstica (Artigo 1º) e a considera um crime público (Artigo 21º). A lei reconhece a violação no seio do casamento pelo esposo e a penaliza (Artigo 17º). Assim como penaliza com penas de até 12 anos de prisão o envolvimento sexual com conhecimento de possuir uma doença infeciosa (Artigo 18º)</w:t>
            </w:r>
          </w:p>
        </w:tc>
      </w:tr>
      <w:tr w:rsidR="00E666FB" w:rsidRPr="001E4B2C" w14:paraId="5B3999F1" w14:textId="77777777" w:rsidTr="00893B49">
        <w:tc>
          <w:tcPr>
            <w:tcW w:w="2430" w:type="dxa"/>
            <w:tcBorders>
              <w:top w:val="single" w:sz="4" w:space="0" w:color="auto"/>
              <w:bottom w:val="single" w:sz="4" w:space="0" w:color="auto"/>
              <w:right w:val="single" w:sz="4" w:space="0" w:color="auto"/>
            </w:tcBorders>
            <w:vAlign w:val="center"/>
          </w:tcPr>
          <w:p w14:paraId="6E96ADC2" w14:textId="77777777"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Lei da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a cidadãos </w:t>
            </w:r>
            <w:proofErr w:type="spellStart"/>
            <w:r w:rsidRPr="00292532">
              <w:rPr>
                <w:rFonts w:asciiTheme="minorHAnsi" w:eastAsia="Calibri" w:hAnsiTheme="minorHAnsi" w:cstheme="minorHAnsi"/>
                <w:sz w:val="20"/>
                <w:szCs w:val="24"/>
                <w:lang w:val="pt-PT"/>
              </w:rPr>
              <w:t>infectados</w:t>
            </w:r>
            <w:proofErr w:type="spellEnd"/>
            <w:r w:rsidRPr="00292532">
              <w:rPr>
                <w:rFonts w:asciiTheme="minorHAnsi" w:eastAsia="Calibri" w:hAnsiTheme="minorHAnsi" w:cstheme="minorHAnsi"/>
                <w:sz w:val="20"/>
                <w:szCs w:val="24"/>
                <w:lang w:val="pt-PT"/>
              </w:rPr>
              <w:t xml:space="preserve"> com HIV (Lei nº 05/2005 de 5 de </w:t>
            </w:r>
            <w:proofErr w:type="gramStart"/>
            <w:r w:rsidRPr="00292532">
              <w:rPr>
                <w:rFonts w:asciiTheme="minorHAnsi" w:eastAsia="Calibri" w:hAnsiTheme="minorHAnsi" w:cstheme="minorHAnsi"/>
                <w:sz w:val="20"/>
                <w:szCs w:val="24"/>
                <w:lang w:val="pt-PT"/>
              </w:rPr>
              <w:t>Fevereiro</w:t>
            </w:r>
            <w:proofErr w:type="gramEnd"/>
            <w:r w:rsidRPr="00292532">
              <w:rPr>
                <w:rFonts w:asciiTheme="minorHAnsi" w:eastAsia="Calibri" w:hAnsiTheme="minorHAnsi" w:cstheme="minorHAnsi"/>
                <w:sz w:val="20"/>
                <w:szCs w:val="24"/>
                <w:lang w:val="pt-PT"/>
              </w:rPr>
              <w:t>)</w:t>
            </w:r>
          </w:p>
        </w:tc>
        <w:tc>
          <w:tcPr>
            <w:tcW w:w="6525" w:type="dxa"/>
            <w:tcBorders>
              <w:top w:val="single" w:sz="4" w:space="0" w:color="auto"/>
              <w:bottom w:val="single" w:sz="4" w:space="0" w:color="auto"/>
            </w:tcBorders>
            <w:vAlign w:val="center"/>
          </w:tcPr>
          <w:p w14:paraId="2594DEF1" w14:textId="703981A9" w:rsidR="00E666FB" w:rsidRPr="00292532" w:rsidRDefault="00E666FB"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A Lei protege os direitos fundamentais do cidadão e proíbe a exclusão, estigmatização, discriminação das pessoas vivendo com HIV/SIDA. A lei garante apoio e assistência social a este grupo-alvo.</w:t>
            </w:r>
          </w:p>
        </w:tc>
      </w:tr>
      <w:tr w:rsidR="00E666FB" w:rsidRPr="001E4B2C" w14:paraId="7B3F9B2A" w14:textId="77777777" w:rsidTr="00893B49">
        <w:tc>
          <w:tcPr>
            <w:tcW w:w="2430" w:type="dxa"/>
            <w:tcBorders>
              <w:top w:val="single" w:sz="4" w:space="0" w:color="auto"/>
              <w:bottom w:val="single" w:sz="4" w:space="0" w:color="auto"/>
              <w:right w:val="single" w:sz="4" w:space="0" w:color="auto"/>
            </w:tcBorders>
            <w:vAlign w:val="center"/>
          </w:tcPr>
          <w:p w14:paraId="1A81A344" w14:textId="684DA9A8" w:rsidR="00E666FB" w:rsidRPr="00B9439F" w:rsidRDefault="00160028" w:rsidP="00E666F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B9439F">
              <w:rPr>
                <w:rFonts w:asciiTheme="minorHAnsi" w:eastAsia="Calibri" w:hAnsiTheme="minorHAnsi" w:cstheme="minorHAnsi"/>
                <w:sz w:val="20"/>
                <w:szCs w:val="24"/>
                <w:lang w:val="pt-PT"/>
              </w:rPr>
              <w:t xml:space="preserve">Contratação para obras civis públicas, fornecimento de bens e provisão de serviços, Decreto 5/2016 de 8 de </w:t>
            </w:r>
            <w:proofErr w:type="gramStart"/>
            <w:r w:rsidRPr="00B9439F">
              <w:rPr>
                <w:rFonts w:asciiTheme="minorHAnsi" w:eastAsia="Calibri" w:hAnsiTheme="minorHAnsi" w:cstheme="minorHAnsi"/>
                <w:sz w:val="20"/>
                <w:szCs w:val="24"/>
                <w:lang w:val="pt-PT"/>
              </w:rPr>
              <w:t>Março</w:t>
            </w:r>
            <w:proofErr w:type="gramEnd"/>
            <w:r w:rsidRPr="00B9439F">
              <w:rPr>
                <w:rFonts w:asciiTheme="minorHAnsi" w:eastAsia="Calibri" w:hAnsiTheme="minorHAnsi" w:cstheme="minorHAnsi"/>
                <w:sz w:val="20"/>
                <w:szCs w:val="24"/>
                <w:lang w:val="pt-PT"/>
              </w:rPr>
              <w:t xml:space="preserve">. </w:t>
            </w:r>
          </w:p>
        </w:tc>
        <w:tc>
          <w:tcPr>
            <w:tcW w:w="6525" w:type="dxa"/>
            <w:tcBorders>
              <w:top w:val="single" w:sz="4" w:space="0" w:color="auto"/>
              <w:bottom w:val="single" w:sz="4" w:space="0" w:color="auto"/>
            </w:tcBorders>
            <w:vAlign w:val="center"/>
          </w:tcPr>
          <w:p w14:paraId="58C51D8A" w14:textId="77777777" w:rsidR="00160028" w:rsidRPr="00B9439F" w:rsidRDefault="00160028" w:rsidP="00E666FB">
            <w:pPr>
              <w:pStyle w:val="BodyA"/>
              <w:tabs>
                <w:tab w:val="left" w:pos="0"/>
              </w:tabs>
              <w:spacing w:after="0" w:line="240" w:lineRule="auto"/>
              <w:ind w:left="0" w:firstLine="0"/>
              <w:rPr>
                <w:rFonts w:asciiTheme="minorHAnsi" w:hAnsiTheme="minorHAnsi" w:cstheme="minorHAnsi"/>
                <w:color w:val="auto"/>
                <w:sz w:val="20"/>
                <w:bdr w:val="none" w:sz="0" w:space="0" w:color="auto"/>
                <w:lang w:val="pt-PT" w:eastAsia="en-US"/>
              </w:rPr>
            </w:pPr>
            <w:r w:rsidRPr="004500AE">
              <w:rPr>
                <w:rFonts w:asciiTheme="minorHAnsi" w:hAnsiTheme="minorHAnsi" w:cstheme="minorHAnsi"/>
                <w:color w:val="auto"/>
                <w:sz w:val="20"/>
                <w:bdr w:val="none" w:sz="0" w:space="0" w:color="auto"/>
                <w:lang w:val="pt-PT" w:eastAsia="en-US"/>
              </w:rPr>
              <w:t xml:space="preserve">Este </w:t>
            </w:r>
            <w:r w:rsidRPr="00B9439F">
              <w:rPr>
                <w:rFonts w:asciiTheme="minorHAnsi" w:hAnsiTheme="minorHAnsi" w:cstheme="minorHAnsi"/>
                <w:color w:val="auto"/>
                <w:sz w:val="20"/>
                <w:bdr w:val="none" w:sz="0" w:space="0" w:color="auto"/>
                <w:lang w:val="pt-PT" w:eastAsia="en-US"/>
              </w:rPr>
              <w:t>d</w:t>
            </w:r>
            <w:r w:rsidRPr="004500AE">
              <w:rPr>
                <w:rFonts w:asciiTheme="minorHAnsi" w:hAnsiTheme="minorHAnsi" w:cstheme="minorHAnsi"/>
                <w:color w:val="auto"/>
                <w:sz w:val="20"/>
                <w:lang w:val="pt-PT"/>
              </w:rPr>
              <w:t xml:space="preserve">ispositivo legal, </w:t>
            </w:r>
            <w:proofErr w:type="spellStart"/>
            <w:r w:rsidRPr="004500AE">
              <w:rPr>
                <w:rFonts w:asciiTheme="minorHAnsi" w:hAnsiTheme="minorHAnsi" w:cstheme="minorHAnsi"/>
                <w:color w:val="auto"/>
                <w:sz w:val="20"/>
                <w:lang w:val="pt-PT"/>
              </w:rPr>
              <w:t>dispoe</w:t>
            </w:r>
            <w:proofErr w:type="spellEnd"/>
            <w:r w:rsidRPr="004500AE">
              <w:rPr>
                <w:rFonts w:asciiTheme="minorHAnsi" w:hAnsiTheme="minorHAnsi" w:cstheme="minorHAnsi"/>
                <w:color w:val="auto"/>
                <w:sz w:val="20"/>
                <w:lang w:val="pt-PT"/>
              </w:rPr>
              <w:t xml:space="preserve"> de </w:t>
            </w:r>
            <w:r w:rsidR="00E666FB" w:rsidRPr="004500AE">
              <w:rPr>
                <w:rFonts w:asciiTheme="minorHAnsi" w:hAnsiTheme="minorHAnsi" w:cstheme="minorHAnsi"/>
                <w:color w:val="auto"/>
                <w:sz w:val="20"/>
                <w:bdr w:val="none" w:sz="0" w:space="0" w:color="auto"/>
                <w:lang w:val="pt-PT" w:eastAsia="en-US"/>
              </w:rPr>
              <w:t xml:space="preserve">provisões que variam desde os procedimentos para a contratação de empreiteiros para obras civis públicas, provedores de bens e serviços até a gestão dos tais contratos bem como reclamações e apelos. </w:t>
            </w:r>
          </w:p>
          <w:p w14:paraId="7A612118" w14:textId="5AE50BAE" w:rsidR="00E666FB" w:rsidRPr="00E67FA0" w:rsidRDefault="00E666FB" w:rsidP="004500AE">
            <w:pPr>
              <w:pStyle w:val="BodyA"/>
              <w:tabs>
                <w:tab w:val="left" w:pos="0"/>
              </w:tabs>
              <w:spacing w:after="0" w:line="240" w:lineRule="auto"/>
              <w:ind w:left="0" w:firstLine="0"/>
              <w:rPr>
                <w:rFonts w:asciiTheme="minorHAnsi" w:hAnsiTheme="minorHAnsi" w:cstheme="minorHAnsi"/>
                <w:sz w:val="20"/>
                <w:lang w:val="pt-PT"/>
              </w:rPr>
            </w:pPr>
            <w:r w:rsidRPr="004500AE">
              <w:rPr>
                <w:rFonts w:asciiTheme="minorHAnsi" w:hAnsiTheme="minorHAnsi" w:cstheme="minorHAnsi"/>
                <w:color w:val="auto"/>
                <w:sz w:val="20"/>
                <w:lang w:val="pt-PT"/>
              </w:rPr>
              <w:t xml:space="preserve">O </w:t>
            </w:r>
            <w:proofErr w:type="spellStart"/>
            <w:r w:rsidRPr="004500AE">
              <w:rPr>
                <w:rFonts w:asciiTheme="minorHAnsi" w:hAnsiTheme="minorHAnsi" w:cstheme="minorHAnsi"/>
                <w:color w:val="auto"/>
                <w:sz w:val="20"/>
                <w:lang w:val="pt-PT"/>
              </w:rPr>
              <w:t>factor</w:t>
            </w:r>
            <w:proofErr w:type="spellEnd"/>
            <w:r w:rsidRPr="004500AE">
              <w:rPr>
                <w:rFonts w:asciiTheme="minorHAnsi" w:hAnsiTheme="minorHAnsi" w:cstheme="minorHAnsi"/>
                <w:color w:val="auto"/>
                <w:sz w:val="20"/>
                <w:lang w:val="pt-PT"/>
              </w:rPr>
              <w:t xml:space="preserve"> de relevância é o Artigo 160 sobre Segurança e Disciplina no Local. O Artigo 160 determina que a parte contratante deve exigir ao empreiteiro um Plano de Saúde e Segurança; que o empreiteiro é obrigado a garantir a segurança no local de construção e nos locais de trabalho e deve cumprir com a legislação sobre saúde, higiene e segurança no local de trabalho, conforme vem descrito na secção 6.9 do presente documento; o empreiteiro deve manter um posto de registo de presença fiável indicando o sistema e o local de construção e especialmente onde as obras estão a ter lugar em estradas </w:t>
            </w:r>
            <w:r w:rsidRPr="004500AE">
              <w:rPr>
                <w:rFonts w:asciiTheme="minorHAnsi" w:hAnsiTheme="minorHAnsi" w:cstheme="minorHAnsi"/>
                <w:color w:val="auto"/>
                <w:sz w:val="20"/>
                <w:lang w:val="pt-PT"/>
              </w:rPr>
              <w:lastRenderedPageBreak/>
              <w:t xml:space="preserve">públicas; e o empreiteiro deve garantir disciplina e ordem no local e nas áreas de trabalho. </w:t>
            </w:r>
          </w:p>
        </w:tc>
      </w:tr>
    </w:tbl>
    <w:p w14:paraId="3D9DCE6A" w14:textId="77777777" w:rsidR="00FB3D2E" w:rsidRPr="00292532" w:rsidRDefault="00FB3D2E" w:rsidP="00FB3D2E">
      <w:pPr>
        <w:pStyle w:val="Heading2"/>
        <w:numPr>
          <w:ilvl w:val="0"/>
          <w:numId w:val="0"/>
        </w:numPr>
        <w:ind w:left="576"/>
      </w:pPr>
    </w:p>
    <w:p w14:paraId="66EA3AB8" w14:textId="0DC63607" w:rsidR="00FB3D2E" w:rsidRPr="00292532" w:rsidRDefault="00FB3D2E" w:rsidP="00FB3D2E">
      <w:pPr>
        <w:pStyle w:val="Heading2"/>
      </w:pPr>
      <w:bookmarkStart w:id="67" w:name="_Toc80379944"/>
      <w:r w:rsidRPr="00292532">
        <w:t>Quadro Legal Internacional</w:t>
      </w:r>
      <w:bookmarkEnd w:id="67"/>
    </w:p>
    <w:p w14:paraId="73302B7E" w14:textId="7732A4C7" w:rsidR="00DE4DCD" w:rsidRPr="00292532" w:rsidRDefault="00DE4DCD">
      <w:pPr>
        <w:pStyle w:val="Heading3"/>
      </w:pPr>
      <w:bookmarkStart w:id="68" w:name="_Toc80379945"/>
      <w:r w:rsidRPr="00292532">
        <w:t>Convenções Internacionais</w:t>
      </w:r>
      <w:bookmarkEnd w:id="68"/>
    </w:p>
    <w:p w14:paraId="1A016AF3" w14:textId="1DEACF92" w:rsidR="00DE4DCD" w:rsidRPr="00292532" w:rsidRDefault="00DE4DCD" w:rsidP="00DE4DCD">
      <w:pPr>
        <w:rPr>
          <w:lang w:val="pt-PT" w:eastAsia="ja-JP"/>
        </w:rPr>
      </w:pPr>
      <w:r w:rsidRPr="00292532">
        <w:rPr>
          <w:lang w:val="pt-PT" w:eastAsia="ja-JP"/>
        </w:rPr>
        <w:t xml:space="preserve">Moçambique é signatário de diversas convenções internacionais, que velam pela </w:t>
      </w:r>
      <w:proofErr w:type="spellStart"/>
      <w:r w:rsidRPr="00292532">
        <w:rPr>
          <w:lang w:val="pt-PT" w:eastAsia="ja-JP"/>
        </w:rPr>
        <w:t>protecção</w:t>
      </w:r>
      <w:proofErr w:type="spellEnd"/>
      <w:r w:rsidRPr="00292532">
        <w:rPr>
          <w:lang w:val="pt-PT" w:eastAsia="ja-JP"/>
        </w:rPr>
        <w:t xml:space="preserve"> ambiental e cultural, conforme apresentado na </w:t>
      </w:r>
      <w:r w:rsidR="00322897" w:rsidRPr="00292532">
        <w:rPr>
          <w:b/>
          <w:bCs/>
          <w:lang w:val="pt-PT" w:eastAsia="ja-JP"/>
        </w:rPr>
        <w:fldChar w:fldCharType="begin"/>
      </w:r>
      <w:r w:rsidR="00322897" w:rsidRPr="00292532">
        <w:rPr>
          <w:b/>
          <w:bCs/>
          <w:lang w:val="pt-PT" w:eastAsia="ja-JP"/>
        </w:rPr>
        <w:instrText xml:space="preserve"> REF _Ref72942410 \h  \* MERGEFORMAT </w:instrText>
      </w:r>
      <w:r w:rsidR="00322897" w:rsidRPr="00292532">
        <w:rPr>
          <w:b/>
          <w:bCs/>
          <w:lang w:val="pt-PT" w:eastAsia="ja-JP"/>
        </w:rPr>
      </w:r>
      <w:r w:rsidR="00322897" w:rsidRPr="00292532">
        <w:rPr>
          <w:b/>
          <w:bCs/>
          <w:lang w:val="pt-PT" w:eastAsia="ja-JP"/>
        </w:rPr>
        <w:fldChar w:fldCharType="separate"/>
      </w:r>
      <w:r w:rsidR="001A21CB" w:rsidRPr="00292532">
        <w:rPr>
          <w:b/>
          <w:bCs/>
          <w:lang w:val="pt-PT"/>
        </w:rPr>
        <w:t xml:space="preserve">Tabela </w:t>
      </w:r>
      <w:r w:rsidR="001A21CB" w:rsidRPr="00292532">
        <w:rPr>
          <w:b/>
          <w:bCs/>
          <w:noProof/>
          <w:lang w:val="pt-PT"/>
        </w:rPr>
        <w:t>7</w:t>
      </w:r>
      <w:r w:rsidR="00322897" w:rsidRPr="00292532">
        <w:rPr>
          <w:b/>
          <w:bCs/>
          <w:lang w:val="pt-PT" w:eastAsia="ja-JP"/>
        </w:rPr>
        <w:fldChar w:fldCharType="end"/>
      </w:r>
      <w:r w:rsidRPr="00292532">
        <w:rPr>
          <w:lang w:val="pt-PT" w:eastAsia="ja-JP"/>
        </w:rPr>
        <w:t xml:space="preserve">. Grande parte das disposições constantes das convenções estão transpostas para a legislação nacional ou para documentos políticos e/ou estratégicos. </w:t>
      </w:r>
    </w:p>
    <w:p w14:paraId="4370AE97" w14:textId="491C16D7" w:rsidR="00DE4DCD" w:rsidRPr="00292532" w:rsidRDefault="00DE4DCD" w:rsidP="00DE4DCD">
      <w:pPr>
        <w:rPr>
          <w:lang w:val="pt-PT" w:eastAsia="ja-JP"/>
        </w:rPr>
      </w:pPr>
      <w:r w:rsidRPr="00292532">
        <w:rPr>
          <w:lang w:val="pt-PT" w:eastAsia="ja-JP"/>
        </w:rPr>
        <w:t xml:space="preserve">Cabe aqui realçar as disposições relativas à Convenção Quadro das Nações Unidas sobre as Alterações Climáticas, que definem a necessidade de </w:t>
      </w:r>
      <w:proofErr w:type="spellStart"/>
      <w:r w:rsidRPr="00292532">
        <w:rPr>
          <w:lang w:val="pt-PT" w:eastAsia="ja-JP"/>
        </w:rPr>
        <w:t>adopção</w:t>
      </w:r>
      <w:proofErr w:type="spellEnd"/>
      <w:r w:rsidRPr="00292532">
        <w:rPr>
          <w:lang w:val="pt-PT" w:eastAsia="ja-JP"/>
        </w:rPr>
        <w:t xml:space="preserve"> de medidas de mitigação de emissões de gases com efeito de estufa e de adaptação às mudanças climáticas.</w:t>
      </w:r>
    </w:p>
    <w:p w14:paraId="55A520F4" w14:textId="77777777" w:rsidR="001A21CB" w:rsidRPr="00292532" w:rsidRDefault="001A21CB" w:rsidP="00DE4DCD">
      <w:pPr>
        <w:rPr>
          <w:lang w:val="pt-PT" w:eastAsia="ja-JP"/>
        </w:rPr>
      </w:pPr>
    </w:p>
    <w:p w14:paraId="54E6A72D" w14:textId="1C24FF22" w:rsidR="00DE4DCD" w:rsidRPr="00292532" w:rsidRDefault="00DE4DCD" w:rsidP="00DE4DCD">
      <w:pPr>
        <w:pStyle w:val="Caption"/>
      </w:pPr>
      <w:bookmarkStart w:id="69" w:name="_Ref72942410"/>
      <w:bookmarkStart w:id="70" w:name="_Toc75438148"/>
      <w:bookmarkStart w:id="71" w:name="_Toc80380254"/>
      <w:r w:rsidRPr="00292532">
        <w:t xml:space="preserve">Tabela </w:t>
      </w:r>
      <w:r w:rsidRPr="00292532">
        <w:fldChar w:fldCharType="begin"/>
      </w:r>
      <w:r w:rsidRPr="00292532">
        <w:instrText xml:space="preserve"> SEQ Tabela \* ARABIC </w:instrText>
      </w:r>
      <w:r w:rsidRPr="00292532">
        <w:fldChar w:fldCharType="separate"/>
      </w:r>
      <w:r w:rsidR="000D7B05">
        <w:rPr>
          <w:noProof/>
        </w:rPr>
        <w:t>7</w:t>
      </w:r>
      <w:r w:rsidRPr="00292532">
        <w:fldChar w:fldCharType="end"/>
      </w:r>
      <w:bookmarkEnd w:id="69"/>
      <w:r w:rsidRPr="00292532">
        <w:t xml:space="preserve">: convenções Internacionais Ratificadas por Moçambique e Aplicáveis ao </w:t>
      </w:r>
      <w:proofErr w:type="spellStart"/>
      <w:r w:rsidRPr="00292532">
        <w:t>Projecto</w:t>
      </w:r>
      <w:bookmarkEnd w:id="70"/>
      <w:bookmarkEnd w:id="71"/>
      <w:proofErr w:type="spellEnd"/>
    </w:p>
    <w:tbl>
      <w:tblPr>
        <w:tblW w:w="9356" w:type="dxa"/>
        <w:tblBorders>
          <w:insideH w:val="single" w:sz="4" w:space="0" w:color="auto"/>
        </w:tblBorders>
        <w:tblLayout w:type="fixed"/>
        <w:tblLook w:val="01E0" w:firstRow="1" w:lastRow="1" w:firstColumn="1" w:lastColumn="1" w:noHBand="0" w:noVBand="0"/>
      </w:tblPr>
      <w:tblGrid>
        <w:gridCol w:w="6804"/>
        <w:gridCol w:w="2552"/>
      </w:tblGrid>
      <w:tr w:rsidR="00DE4DCD" w:rsidRPr="00292532" w14:paraId="1093F554" w14:textId="77777777" w:rsidTr="00DE4DCD">
        <w:trPr>
          <w:trHeight w:val="257"/>
          <w:tblHeader/>
        </w:trPr>
        <w:tc>
          <w:tcPr>
            <w:tcW w:w="6804" w:type="dxa"/>
            <w:shd w:val="clear" w:color="auto" w:fill="2E74B5" w:themeFill="accent5" w:themeFillShade="BF"/>
            <w:vAlign w:val="center"/>
          </w:tcPr>
          <w:p w14:paraId="2FA85EC3"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b/>
                <w:color w:val="FFFFFF" w:themeColor="background1"/>
                <w:sz w:val="20"/>
                <w:szCs w:val="20"/>
                <w:lang w:val="pt-PT"/>
              </w:rPr>
            </w:pPr>
            <w:bookmarkStart w:id="72" w:name="_Hlk525190452"/>
            <w:r w:rsidRPr="00292532">
              <w:rPr>
                <w:rFonts w:eastAsia="Calibri" w:cs="Calibri"/>
                <w:b/>
                <w:color w:val="FFFFFF" w:themeColor="background1"/>
                <w:sz w:val="20"/>
                <w:szCs w:val="20"/>
                <w:lang w:val="pt-PT"/>
              </w:rPr>
              <w:t>Convenção</w:t>
            </w:r>
          </w:p>
        </w:tc>
        <w:tc>
          <w:tcPr>
            <w:tcW w:w="2552" w:type="dxa"/>
            <w:shd w:val="clear" w:color="auto" w:fill="2E74B5" w:themeFill="accent5" w:themeFillShade="BF"/>
            <w:vAlign w:val="center"/>
          </w:tcPr>
          <w:p w14:paraId="69482A84"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b/>
                <w:color w:val="FFFFFF" w:themeColor="background1"/>
                <w:sz w:val="20"/>
                <w:szCs w:val="20"/>
                <w:lang w:val="pt-PT"/>
              </w:rPr>
            </w:pPr>
            <w:r w:rsidRPr="00292532">
              <w:rPr>
                <w:rFonts w:eastAsia="Calibri" w:cs="Calibri"/>
                <w:b/>
                <w:color w:val="FFFFFF" w:themeColor="background1"/>
                <w:sz w:val="20"/>
                <w:szCs w:val="20"/>
                <w:lang w:val="pt-PT"/>
              </w:rPr>
              <w:t>Ano de ratificação</w:t>
            </w:r>
          </w:p>
        </w:tc>
      </w:tr>
      <w:tr w:rsidR="00DE4DCD" w:rsidRPr="00292532" w14:paraId="40F110AD" w14:textId="77777777" w:rsidTr="00DE4DCD">
        <w:trPr>
          <w:trHeight w:val="54"/>
        </w:trPr>
        <w:tc>
          <w:tcPr>
            <w:tcW w:w="9356" w:type="dxa"/>
            <w:gridSpan w:val="2"/>
            <w:shd w:val="clear" w:color="auto" w:fill="DEEAF6" w:themeFill="accent5" w:themeFillTint="33"/>
            <w:vAlign w:val="center"/>
          </w:tcPr>
          <w:p w14:paraId="17375629"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b/>
                <w:sz w:val="20"/>
                <w:szCs w:val="20"/>
                <w:lang w:val="pt-PT"/>
              </w:rPr>
            </w:pPr>
            <w:r w:rsidRPr="00292532">
              <w:rPr>
                <w:rFonts w:eastAsia="Calibri" w:cs="Calibri"/>
                <w:b/>
                <w:sz w:val="20"/>
                <w:szCs w:val="20"/>
                <w:lang w:val="pt-PT"/>
              </w:rPr>
              <w:t>Qualidade do Ar</w:t>
            </w:r>
          </w:p>
        </w:tc>
      </w:tr>
      <w:tr w:rsidR="00DE4DCD" w:rsidRPr="00292532" w14:paraId="5E02141E" w14:textId="77777777" w:rsidTr="00DE4DCD">
        <w:trPr>
          <w:trHeight w:val="856"/>
        </w:trPr>
        <w:tc>
          <w:tcPr>
            <w:tcW w:w="6804" w:type="dxa"/>
            <w:vAlign w:val="center"/>
          </w:tcPr>
          <w:p w14:paraId="7B199602"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t xml:space="preserve">Convenção de Viena sobre a </w:t>
            </w:r>
            <w:proofErr w:type="spellStart"/>
            <w:r w:rsidRPr="00292532">
              <w:rPr>
                <w:rFonts w:eastAsia="Calibri" w:cs="Calibri"/>
                <w:sz w:val="20"/>
                <w:szCs w:val="20"/>
                <w:lang w:val="pt-PT"/>
              </w:rPr>
              <w:t>Protecção</w:t>
            </w:r>
            <w:proofErr w:type="spellEnd"/>
            <w:r w:rsidRPr="00292532">
              <w:rPr>
                <w:rFonts w:eastAsia="Calibri" w:cs="Calibri"/>
                <w:sz w:val="20"/>
                <w:szCs w:val="20"/>
                <w:lang w:val="pt-PT"/>
              </w:rPr>
              <w:t xml:space="preserve"> da Camada de Ozono de 1985; Protocolo de Montreal sobre Substâncias que Destroem a Camada de Ozono de 1987 e as </w:t>
            </w:r>
            <w:proofErr w:type="spellStart"/>
            <w:r w:rsidRPr="00292532">
              <w:rPr>
                <w:rFonts w:eastAsia="Calibri" w:cs="Calibri"/>
                <w:sz w:val="20"/>
                <w:szCs w:val="20"/>
                <w:lang w:val="pt-PT"/>
              </w:rPr>
              <w:t>respectivas</w:t>
            </w:r>
            <w:proofErr w:type="spellEnd"/>
            <w:r w:rsidRPr="00292532">
              <w:rPr>
                <w:rFonts w:eastAsia="Calibri" w:cs="Calibri"/>
                <w:sz w:val="20"/>
                <w:szCs w:val="20"/>
                <w:lang w:val="pt-PT"/>
              </w:rPr>
              <w:t xml:space="preserve"> emendas </w:t>
            </w:r>
            <w:proofErr w:type="spellStart"/>
            <w:r w:rsidRPr="00292532">
              <w:rPr>
                <w:rFonts w:eastAsia="Calibri" w:cs="Calibri"/>
                <w:sz w:val="20"/>
                <w:szCs w:val="20"/>
                <w:lang w:val="pt-PT"/>
              </w:rPr>
              <w:t>efectuadas</w:t>
            </w:r>
            <w:proofErr w:type="spellEnd"/>
            <w:r w:rsidRPr="00292532">
              <w:rPr>
                <w:rFonts w:eastAsia="Calibri" w:cs="Calibri"/>
                <w:sz w:val="20"/>
                <w:szCs w:val="20"/>
                <w:lang w:val="pt-PT"/>
              </w:rPr>
              <w:t xml:space="preserve"> em Londres – 1990 e Copenhaga - 1992</w:t>
            </w:r>
          </w:p>
        </w:tc>
        <w:tc>
          <w:tcPr>
            <w:tcW w:w="2552" w:type="dxa"/>
            <w:vAlign w:val="center"/>
          </w:tcPr>
          <w:p w14:paraId="1F9CD0C7"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1993</w:t>
            </w:r>
          </w:p>
        </w:tc>
      </w:tr>
      <w:tr w:rsidR="00DE4DCD" w:rsidRPr="00292532" w14:paraId="3209ABFD" w14:textId="77777777" w:rsidTr="00DE4DCD">
        <w:trPr>
          <w:trHeight w:val="356"/>
        </w:trPr>
        <w:tc>
          <w:tcPr>
            <w:tcW w:w="6804" w:type="dxa"/>
            <w:vAlign w:val="center"/>
          </w:tcPr>
          <w:p w14:paraId="10CABB16"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t>Convenção Quadro das Nações Unidas sobre as Alterações Climáticas, de 1992 (UNFCCC)</w:t>
            </w:r>
          </w:p>
        </w:tc>
        <w:tc>
          <w:tcPr>
            <w:tcW w:w="2552" w:type="dxa"/>
            <w:vAlign w:val="center"/>
          </w:tcPr>
          <w:p w14:paraId="4C77FBF4"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1994</w:t>
            </w:r>
          </w:p>
        </w:tc>
      </w:tr>
      <w:tr w:rsidR="00DE4DCD" w:rsidRPr="00292532" w14:paraId="4347B516" w14:textId="77777777" w:rsidTr="00DE4DCD">
        <w:trPr>
          <w:trHeight w:val="147"/>
        </w:trPr>
        <w:tc>
          <w:tcPr>
            <w:tcW w:w="6804" w:type="dxa"/>
            <w:vAlign w:val="center"/>
          </w:tcPr>
          <w:p w14:paraId="3817D56A"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t xml:space="preserve">Protocolo de Quioto de 1997 </w:t>
            </w:r>
          </w:p>
        </w:tc>
        <w:tc>
          <w:tcPr>
            <w:tcW w:w="2552" w:type="dxa"/>
            <w:vAlign w:val="center"/>
          </w:tcPr>
          <w:p w14:paraId="05630872"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2004</w:t>
            </w:r>
          </w:p>
        </w:tc>
      </w:tr>
      <w:tr w:rsidR="00DE4DCD" w:rsidRPr="00292532" w14:paraId="2439EDC5" w14:textId="77777777" w:rsidTr="00DE4DCD">
        <w:trPr>
          <w:trHeight w:val="193"/>
        </w:trPr>
        <w:tc>
          <w:tcPr>
            <w:tcW w:w="9356" w:type="dxa"/>
            <w:gridSpan w:val="2"/>
            <w:shd w:val="clear" w:color="auto" w:fill="DEEAF6" w:themeFill="accent5" w:themeFillTint="33"/>
            <w:vAlign w:val="center"/>
          </w:tcPr>
          <w:p w14:paraId="30FAE542"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b/>
                <w:sz w:val="20"/>
                <w:szCs w:val="20"/>
                <w:lang w:val="pt-PT"/>
              </w:rPr>
            </w:pPr>
            <w:r w:rsidRPr="00292532">
              <w:rPr>
                <w:rFonts w:eastAsia="Calibri" w:cs="Calibri"/>
                <w:b/>
                <w:sz w:val="20"/>
                <w:szCs w:val="20"/>
                <w:lang w:val="pt-PT"/>
              </w:rPr>
              <w:t>Recursos Hídricos</w:t>
            </w:r>
          </w:p>
        </w:tc>
      </w:tr>
      <w:tr w:rsidR="00DE4DCD" w:rsidRPr="00292532" w14:paraId="41F8CAD8" w14:textId="77777777" w:rsidTr="00DE4DCD">
        <w:trPr>
          <w:trHeight w:val="369"/>
        </w:trPr>
        <w:tc>
          <w:tcPr>
            <w:tcW w:w="6804" w:type="dxa"/>
            <w:vAlign w:val="center"/>
          </w:tcPr>
          <w:p w14:paraId="5D635B68"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t>Convenção Internacional para a Prevenção da Poluição do Mar por Óleo (OILPOL)</w:t>
            </w:r>
          </w:p>
        </w:tc>
        <w:tc>
          <w:tcPr>
            <w:tcW w:w="2552" w:type="dxa"/>
            <w:vAlign w:val="center"/>
          </w:tcPr>
          <w:p w14:paraId="47B69181"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1954</w:t>
            </w:r>
          </w:p>
        </w:tc>
      </w:tr>
      <w:tr w:rsidR="00DE4DCD" w:rsidRPr="00292532" w14:paraId="2AF7A87F" w14:textId="77777777" w:rsidTr="00DE4DCD">
        <w:trPr>
          <w:trHeight w:val="606"/>
        </w:trPr>
        <w:tc>
          <w:tcPr>
            <w:tcW w:w="6804" w:type="dxa"/>
            <w:vAlign w:val="center"/>
          </w:tcPr>
          <w:p w14:paraId="008A972A"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lastRenderedPageBreak/>
              <w:t>Convenção Internacional sobre a Prevenção da Poluição Marinha pelo Descarga de Resíduos e Outras Matérias (Convenção de Londres) de 1972 e Protocolo de 1996</w:t>
            </w:r>
          </w:p>
        </w:tc>
        <w:tc>
          <w:tcPr>
            <w:tcW w:w="2552" w:type="dxa"/>
            <w:vAlign w:val="center"/>
          </w:tcPr>
          <w:p w14:paraId="5FD5DFCD"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1972 e 1996</w:t>
            </w:r>
          </w:p>
        </w:tc>
      </w:tr>
      <w:tr w:rsidR="00DE4DCD" w:rsidRPr="00292532" w14:paraId="1EFF237F" w14:textId="77777777" w:rsidTr="00DE4DCD">
        <w:trPr>
          <w:trHeight w:val="1096"/>
        </w:trPr>
        <w:tc>
          <w:tcPr>
            <w:tcW w:w="6804" w:type="dxa"/>
            <w:vAlign w:val="center"/>
          </w:tcPr>
          <w:p w14:paraId="7A07DA16"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t>Convenção Internacional para a Prevenção da Poluição por Navios, 1973, modificada pelo Protocolo de 1978 (MARPOL 73/78) relacionada com a alteração do Anexo I, Prevenção da Poluição por Petróleo. MARPOL inclui os requisitos para os Certificados de Internacionais de Prevenção de Poluição</w:t>
            </w:r>
          </w:p>
        </w:tc>
        <w:tc>
          <w:tcPr>
            <w:tcW w:w="2552" w:type="dxa"/>
            <w:vAlign w:val="center"/>
          </w:tcPr>
          <w:p w14:paraId="1A4688E9"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2003</w:t>
            </w:r>
          </w:p>
        </w:tc>
      </w:tr>
      <w:tr w:rsidR="00DE4DCD" w:rsidRPr="00292532" w14:paraId="3A5861B1" w14:textId="77777777" w:rsidTr="00DE4DCD">
        <w:trPr>
          <w:trHeight w:val="609"/>
        </w:trPr>
        <w:tc>
          <w:tcPr>
            <w:tcW w:w="6804" w:type="dxa"/>
            <w:vAlign w:val="center"/>
          </w:tcPr>
          <w:p w14:paraId="3D01723D"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t>Convenção para a Prevenção da Poluição Marinha de Origem Telúrica (Convenção de Paris)</w:t>
            </w:r>
          </w:p>
        </w:tc>
        <w:tc>
          <w:tcPr>
            <w:tcW w:w="2552" w:type="dxa"/>
            <w:vAlign w:val="center"/>
          </w:tcPr>
          <w:p w14:paraId="7B88635A"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1974</w:t>
            </w:r>
          </w:p>
        </w:tc>
      </w:tr>
      <w:tr w:rsidR="00DE4DCD" w:rsidRPr="00292532" w14:paraId="41950DF8" w14:textId="77777777" w:rsidTr="00DE4DCD">
        <w:trPr>
          <w:trHeight w:val="364"/>
        </w:trPr>
        <w:tc>
          <w:tcPr>
            <w:tcW w:w="6804" w:type="dxa"/>
            <w:vAlign w:val="center"/>
          </w:tcPr>
          <w:p w14:paraId="6BA88FA6"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t>Convenção das Nações Unidas sobre o Direito do Mar (UNCLOS), de 1982</w:t>
            </w:r>
          </w:p>
        </w:tc>
        <w:tc>
          <w:tcPr>
            <w:tcW w:w="2552" w:type="dxa"/>
            <w:vAlign w:val="center"/>
          </w:tcPr>
          <w:p w14:paraId="3C9BD707"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1996</w:t>
            </w:r>
          </w:p>
        </w:tc>
      </w:tr>
      <w:tr w:rsidR="00DE4DCD" w:rsidRPr="00292532" w14:paraId="6D057494" w14:textId="77777777" w:rsidTr="00DE4DCD">
        <w:trPr>
          <w:trHeight w:val="456"/>
        </w:trPr>
        <w:tc>
          <w:tcPr>
            <w:tcW w:w="6804" w:type="dxa"/>
            <w:vAlign w:val="center"/>
          </w:tcPr>
          <w:p w14:paraId="0E45C88D"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t xml:space="preserve">Convenção Internacional sobre a Prevenção, </w:t>
            </w:r>
            <w:proofErr w:type="spellStart"/>
            <w:r w:rsidRPr="00292532">
              <w:rPr>
                <w:rFonts w:eastAsia="Calibri" w:cs="Calibri"/>
                <w:sz w:val="20"/>
                <w:szCs w:val="20"/>
                <w:lang w:val="pt-PT"/>
              </w:rPr>
              <w:t>Actuação</w:t>
            </w:r>
            <w:proofErr w:type="spellEnd"/>
            <w:r w:rsidRPr="00292532">
              <w:rPr>
                <w:rFonts w:eastAsia="Calibri" w:cs="Calibri"/>
                <w:sz w:val="20"/>
                <w:szCs w:val="20"/>
                <w:lang w:val="pt-PT"/>
              </w:rPr>
              <w:t xml:space="preserve"> e Cooperação no Combate à Poluição por Hidrocarbonetos (OPRC) de 1990</w:t>
            </w:r>
          </w:p>
        </w:tc>
        <w:tc>
          <w:tcPr>
            <w:tcW w:w="2552" w:type="dxa"/>
            <w:vAlign w:val="center"/>
          </w:tcPr>
          <w:p w14:paraId="262B7A74"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1996</w:t>
            </w:r>
          </w:p>
        </w:tc>
      </w:tr>
      <w:tr w:rsidR="00DE4DCD" w:rsidRPr="00292532" w14:paraId="3A0AC4A3" w14:textId="77777777" w:rsidTr="00DE4DCD">
        <w:trPr>
          <w:trHeight w:val="606"/>
        </w:trPr>
        <w:tc>
          <w:tcPr>
            <w:tcW w:w="6804" w:type="dxa"/>
            <w:vAlign w:val="center"/>
          </w:tcPr>
          <w:p w14:paraId="055633B3"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t>Convenção Internacional para a Constituição de um Fundo Internacional para Compensação pelos Prejuízos devidos à Poluição por Hidrocarbonetos (FUND)</w:t>
            </w:r>
          </w:p>
        </w:tc>
        <w:tc>
          <w:tcPr>
            <w:tcW w:w="2552" w:type="dxa"/>
            <w:vAlign w:val="center"/>
          </w:tcPr>
          <w:p w14:paraId="570A1D16"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1992</w:t>
            </w:r>
          </w:p>
        </w:tc>
      </w:tr>
      <w:tr w:rsidR="00DE4DCD" w:rsidRPr="00292532" w14:paraId="264738C4" w14:textId="77777777" w:rsidTr="00DE4DCD">
        <w:trPr>
          <w:trHeight w:val="416"/>
        </w:trPr>
        <w:tc>
          <w:tcPr>
            <w:tcW w:w="6804" w:type="dxa"/>
            <w:vAlign w:val="center"/>
          </w:tcPr>
          <w:p w14:paraId="4A266D6B"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t>Convenção Internacional sobre a Responsabilidade Civil pelos Prejuízos Devidos à Poluição por Hidrocarbonetos (Protocolo CLC)</w:t>
            </w:r>
          </w:p>
        </w:tc>
        <w:tc>
          <w:tcPr>
            <w:tcW w:w="2552" w:type="dxa"/>
            <w:vAlign w:val="center"/>
          </w:tcPr>
          <w:p w14:paraId="3F40714C"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1992</w:t>
            </w:r>
          </w:p>
        </w:tc>
      </w:tr>
      <w:tr w:rsidR="00DE4DCD" w:rsidRPr="00292532" w14:paraId="27A849F9" w14:textId="77777777" w:rsidTr="00DE4DCD">
        <w:trPr>
          <w:trHeight w:val="133"/>
        </w:trPr>
        <w:tc>
          <w:tcPr>
            <w:tcW w:w="9356" w:type="dxa"/>
            <w:gridSpan w:val="2"/>
            <w:shd w:val="clear" w:color="auto" w:fill="DEEAF6" w:themeFill="accent5" w:themeFillTint="33"/>
            <w:vAlign w:val="center"/>
          </w:tcPr>
          <w:p w14:paraId="15598DF9"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b/>
                <w:sz w:val="20"/>
                <w:szCs w:val="20"/>
                <w:lang w:val="pt-PT"/>
              </w:rPr>
            </w:pPr>
            <w:r w:rsidRPr="00292532">
              <w:rPr>
                <w:rFonts w:eastAsia="Calibri" w:cs="Calibri"/>
                <w:b/>
                <w:sz w:val="20"/>
                <w:szCs w:val="20"/>
                <w:lang w:val="pt-PT"/>
              </w:rPr>
              <w:t>Resíduos Perigosos</w:t>
            </w:r>
          </w:p>
        </w:tc>
      </w:tr>
      <w:tr w:rsidR="00DE4DCD" w:rsidRPr="00292532" w14:paraId="36ECA7A0" w14:textId="77777777" w:rsidTr="00DE4DCD">
        <w:trPr>
          <w:trHeight w:val="611"/>
        </w:trPr>
        <w:tc>
          <w:tcPr>
            <w:tcW w:w="6804" w:type="dxa"/>
            <w:vAlign w:val="center"/>
          </w:tcPr>
          <w:p w14:paraId="7E2A97FD"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t>Convenção de Bamako sobre a Interdição da Importação de Lixos Perigosos e Controlo da Movimentação Transfronteiriça desses lixos em África, de 1991</w:t>
            </w:r>
          </w:p>
        </w:tc>
        <w:tc>
          <w:tcPr>
            <w:tcW w:w="2552" w:type="dxa"/>
            <w:vAlign w:val="center"/>
          </w:tcPr>
          <w:p w14:paraId="4315D080"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1996</w:t>
            </w:r>
          </w:p>
        </w:tc>
      </w:tr>
      <w:tr w:rsidR="00DE4DCD" w:rsidRPr="00292532" w14:paraId="045516AB" w14:textId="77777777" w:rsidTr="00DE4DCD">
        <w:trPr>
          <w:trHeight w:val="447"/>
        </w:trPr>
        <w:tc>
          <w:tcPr>
            <w:tcW w:w="6804" w:type="dxa"/>
            <w:vAlign w:val="center"/>
          </w:tcPr>
          <w:p w14:paraId="2FE778E5"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t>Convenção de Basileia sobre o controlo de movimentos transfronteiriços de resíduos perigosos e sua eliminação de 1989</w:t>
            </w:r>
          </w:p>
        </w:tc>
        <w:tc>
          <w:tcPr>
            <w:tcW w:w="2552" w:type="dxa"/>
            <w:vAlign w:val="center"/>
          </w:tcPr>
          <w:p w14:paraId="5E15C5E0"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1996</w:t>
            </w:r>
          </w:p>
        </w:tc>
      </w:tr>
      <w:tr w:rsidR="00DE4DCD" w:rsidRPr="00292532" w14:paraId="49E43276" w14:textId="77777777" w:rsidTr="00DE4DCD">
        <w:trPr>
          <w:trHeight w:val="270"/>
        </w:trPr>
        <w:tc>
          <w:tcPr>
            <w:tcW w:w="9356" w:type="dxa"/>
            <w:gridSpan w:val="2"/>
            <w:shd w:val="clear" w:color="auto" w:fill="DEEAF6" w:themeFill="accent5" w:themeFillTint="33"/>
            <w:vAlign w:val="center"/>
          </w:tcPr>
          <w:p w14:paraId="4F534E00"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b/>
                <w:sz w:val="20"/>
                <w:szCs w:val="20"/>
                <w:lang w:val="pt-PT"/>
              </w:rPr>
            </w:pPr>
            <w:r w:rsidRPr="00292532">
              <w:rPr>
                <w:rFonts w:eastAsia="Calibri" w:cs="Calibri"/>
                <w:b/>
                <w:sz w:val="20"/>
                <w:szCs w:val="20"/>
                <w:lang w:val="pt-PT"/>
              </w:rPr>
              <w:t>Habitats e Diversidade Biológica</w:t>
            </w:r>
          </w:p>
        </w:tc>
      </w:tr>
      <w:tr w:rsidR="00DE4DCD" w:rsidRPr="00292532" w14:paraId="02A619E6" w14:textId="77777777" w:rsidTr="00DE4DCD">
        <w:trPr>
          <w:trHeight w:val="446"/>
        </w:trPr>
        <w:tc>
          <w:tcPr>
            <w:tcW w:w="6804" w:type="dxa"/>
            <w:vAlign w:val="center"/>
          </w:tcPr>
          <w:p w14:paraId="5270B840"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t>Convenção Africana sobre a Conservação da Natureza e Recursos Naturais (de 1968)</w:t>
            </w:r>
          </w:p>
        </w:tc>
        <w:tc>
          <w:tcPr>
            <w:tcW w:w="2552" w:type="dxa"/>
            <w:vAlign w:val="center"/>
          </w:tcPr>
          <w:p w14:paraId="495951DB"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1981</w:t>
            </w:r>
          </w:p>
        </w:tc>
      </w:tr>
      <w:tr w:rsidR="00DE4DCD" w:rsidRPr="00292532" w14:paraId="4C83C0A6" w14:textId="77777777" w:rsidTr="00DE4DCD">
        <w:trPr>
          <w:trHeight w:val="854"/>
        </w:trPr>
        <w:tc>
          <w:tcPr>
            <w:tcW w:w="6804" w:type="dxa"/>
            <w:vAlign w:val="center"/>
          </w:tcPr>
          <w:p w14:paraId="393C5024"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lastRenderedPageBreak/>
              <w:t xml:space="preserve">Convenção sobre Terras Húmidas de Importância Internacional, especialmente as que servem como habitat de Aves Aquáticas (Convenção </w:t>
            </w:r>
            <w:proofErr w:type="spellStart"/>
            <w:r w:rsidRPr="00292532">
              <w:rPr>
                <w:rFonts w:eastAsia="Calibri" w:cs="Calibri"/>
                <w:sz w:val="20"/>
                <w:szCs w:val="20"/>
                <w:lang w:val="pt-PT"/>
              </w:rPr>
              <w:t>Ramsar</w:t>
            </w:r>
            <w:proofErr w:type="spellEnd"/>
            <w:r w:rsidRPr="00292532">
              <w:rPr>
                <w:rFonts w:eastAsia="Calibri" w:cs="Calibri"/>
                <w:sz w:val="20"/>
                <w:szCs w:val="20"/>
                <w:lang w:val="pt-PT"/>
              </w:rPr>
              <w:t xml:space="preserve">) de 1971, e os </w:t>
            </w:r>
            <w:proofErr w:type="spellStart"/>
            <w:r w:rsidRPr="00292532">
              <w:rPr>
                <w:rFonts w:eastAsia="Calibri" w:cs="Calibri"/>
                <w:sz w:val="20"/>
                <w:szCs w:val="20"/>
                <w:lang w:val="pt-PT"/>
              </w:rPr>
              <w:t>respectivos</w:t>
            </w:r>
            <w:proofErr w:type="spellEnd"/>
            <w:r w:rsidRPr="00292532">
              <w:rPr>
                <w:rFonts w:eastAsia="Calibri" w:cs="Calibri"/>
                <w:sz w:val="20"/>
                <w:szCs w:val="20"/>
                <w:lang w:val="pt-PT"/>
              </w:rPr>
              <w:t xml:space="preserve"> Protocolo de Paris de 1982 e Emenda de Regina, de 1987.</w:t>
            </w:r>
          </w:p>
        </w:tc>
        <w:tc>
          <w:tcPr>
            <w:tcW w:w="2552" w:type="dxa"/>
            <w:vAlign w:val="center"/>
          </w:tcPr>
          <w:p w14:paraId="59DB48C6"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2003</w:t>
            </w:r>
          </w:p>
        </w:tc>
      </w:tr>
      <w:tr w:rsidR="00DE4DCD" w:rsidRPr="00292532" w14:paraId="68FF7B9E" w14:textId="77777777" w:rsidTr="00DE4DCD">
        <w:trPr>
          <w:trHeight w:val="420"/>
        </w:trPr>
        <w:tc>
          <w:tcPr>
            <w:tcW w:w="6804" w:type="dxa"/>
            <w:vAlign w:val="center"/>
          </w:tcPr>
          <w:p w14:paraId="75828FA5"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t>Convenção de Bona sobre as Espécies Migratórias de Animais Selvagens, 1979, e suas alterações</w:t>
            </w:r>
          </w:p>
        </w:tc>
        <w:tc>
          <w:tcPr>
            <w:tcW w:w="2552" w:type="dxa"/>
            <w:vAlign w:val="center"/>
          </w:tcPr>
          <w:p w14:paraId="2CCDAA00"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w:t>
            </w:r>
          </w:p>
        </w:tc>
      </w:tr>
      <w:tr w:rsidR="00DE4DCD" w:rsidRPr="00292532" w14:paraId="10F1879D" w14:textId="77777777" w:rsidTr="00DE4DCD">
        <w:trPr>
          <w:trHeight w:val="371"/>
        </w:trPr>
        <w:tc>
          <w:tcPr>
            <w:tcW w:w="6804" w:type="dxa"/>
            <w:vAlign w:val="center"/>
          </w:tcPr>
          <w:p w14:paraId="2C365064"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t xml:space="preserve">Convenção para a </w:t>
            </w:r>
            <w:proofErr w:type="spellStart"/>
            <w:r w:rsidRPr="00292532">
              <w:rPr>
                <w:rFonts w:eastAsia="Calibri" w:cs="Calibri"/>
                <w:sz w:val="20"/>
                <w:szCs w:val="20"/>
                <w:lang w:val="pt-PT"/>
              </w:rPr>
              <w:t>Protecção</w:t>
            </w:r>
            <w:proofErr w:type="spellEnd"/>
            <w:r w:rsidRPr="00292532">
              <w:rPr>
                <w:rFonts w:eastAsia="Calibri" w:cs="Calibri"/>
                <w:sz w:val="20"/>
                <w:szCs w:val="20"/>
                <w:lang w:val="pt-PT"/>
              </w:rPr>
              <w:t>, Gestão e Desenvolvimento do Ambiente Marinho e Costeiro da região oriental de África de 1985</w:t>
            </w:r>
          </w:p>
        </w:tc>
        <w:tc>
          <w:tcPr>
            <w:tcW w:w="2552" w:type="dxa"/>
            <w:vAlign w:val="center"/>
          </w:tcPr>
          <w:p w14:paraId="3AB6C6B3"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1996</w:t>
            </w:r>
          </w:p>
        </w:tc>
      </w:tr>
      <w:tr w:rsidR="00DE4DCD" w:rsidRPr="00292532" w14:paraId="29402DD4" w14:textId="77777777" w:rsidTr="00DE4DCD">
        <w:trPr>
          <w:trHeight w:val="193"/>
        </w:trPr>
        <w:tc>
          <w:tcPr>
            <w:tcW w:w="6804" w:type="dxa"/>
            <w:vAlign w:val="center"/>
          </w:tcPr>
          <w:p w14:paraId="1CEC498F"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t>Convenção das Nações Unidas sobre a Diversidade Biológica de 1992</w:t>
            </w:r>
          </w:p>
        </w:tc>
        <w:tc>
          <w:tcPr>
            <w:tcW w:w="2552" w:type="dxa"/>
            <w:vAlign w:val="center"/>
          </w:tcPr>
          <w:p w14:paraId="2FCEBD48"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1994</w:t>
            </w:r>
          </w:p>
        </w:tc>
      </w:tr>
      <w:tr w:rsidR="00DE4DCD" w:rsidRPr="00292532" w14:paraId="6EC0A03A" w14:textId="77777777" w:rsidTr="00DE4DCD">
        <w:trPr>
          <w:trHeight w:val="664"/>
        </w:trPr>
        <w:tc>
          <w:tcPr>
            <w:tcW w:w="6804" w:type="dxa"/>
            <w:vAlign w:val="center"/>
          </w:tcPr>
          <w:p w14:paraId="1E2ADA1C"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t>Convenção de Roterdão sobre o Procedimento de Prévia Informação e Consentimento para determinados Produtos Químicos e Pesticidas Perigosos no Comércio Internacional, de 1998</w:t>
            </w:r>
          </w:p>
        </w:tc>
        <w:tc>
          <w:tcPr>
            <w:tcW w:w="2552" w:type="dxa"/>
            <w:vAlign w:val="center"/>
          </w:tcPr>
          <w:p w14:paraId="6CFE3192"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2010</w:t>
            </w:r>
          </w:p>
        </w:tc>
      </w:tr>
      <w:tr w:rsidR="00DE4DCD" w:rsidRPr="00292532" w14:paraId="246F5CD7" w14:textId="77777777" w:rsidTr="00DE4DCD">
        <w:trPr>
          <w:trHeight w:val="661"/>
        </w:trPr>
        <w:tc>
          <w:tcPr>
            <w:tcW w:w="6804" w:type="dxa"/>
            <w:vAlign w:val="center"/>
          </w:tcPr>
          <w:p w14:paraId="6ECFCA60"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t>Acordo relacionado com a aplicação das Disposições da Convenção das Nações Unidas sobre o Direito do Mar em relação à Conservação e Gestão das Populações de Peixes Altamente Migratórias</w:t>
            </w:r>
          </w:p>
        </w:tc>
        <w:tc>
          <w:tcPr>
            <w:tcW w:w="2552" w:type="dxa"/>
            <w:vAlign w:val="center"/>
          </w:tcPr>
          <w:p w14:paraId="3493C813"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2008</w:t>
            </w:r>
          </w:p>
        </w:tc>
      </w:tr>
      <w:tr w:rsidR="00DE4DCD" w:rsidRPr="00292532" w14:paraId="37684947" w14:textId="77777777" w:rsidTr="00DE4DCD">
        <w:trPr>
          <w:trHeight w:val="337"/>
        </w:trPr>
        <w:tc>
          <w:tcPr>
            <w:tcW w:w="6804" w:type="dxa"/>
            <w:vAlign w:val="center"/>
          </w:tcPr>
          <w:p w14:paraId="6D176425"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t>Convenção Africana sobre a Conservação da Natureza e dos Recursos Naturais, versão revista</w:t>
            </w:r>
          </w:p>
        </w:tc>
        <w:tc>
          <w:tcPr>
            <w:tcW w:w="2552" w:type="dxa"/>
            <w:vAlign w:val="center"/>
          </w:tcPr>
          <w:p w14:paraId="3569D049"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2003</w:t>
            </w:r>
          </w:p>
        </w:tc>
      </w:tr>
      <w:tr w:rsidR="00DE4DCD" w:rsidRPr="00292532" w14:paraId="4BAB712A" w14:textId="77777777" w:rsidTr="00DE4DCD">
        <w:trPr>
          <w:trHeight w:val="149"/>
        </w:trPr>
        <w:tc>
          <w:tcPr>
            <w:tcW w:w="6804" w:type="dxa"/>
            <w:shd w:val="clear" w:color="auto" w:fill="DEEAF6" w:themeFill="accent5" w:themeFillTint="33"/>
            <w:vAlign w:val="center"/>
          </w:tcPr>
          <w:p w14:paraId="36CFEA95" w14:textId="77777777" w:rsidR="00DE4DCD" w:rsidRPr="00292532" w:rsidRDefault="00DE4DCD" w:rsidP="00DE4DCD">
            <w:pPr>
              <w:autoSpaceDE w:val="0"/>
              <w:autoSpaceDN w:val="0"/>
              <w:adjustRightInd w:val="0"/>
              <w:spacing w:before="120" w:afterLines="160" w:after="384" w:line="20" w:lineRule="atLeast"/>
              <w:ind w:right="-2524"/>
              <w:jc w:val="center"/>
              <w:rPr>
                <w:rFonts w:eastAsia="Calibri" w:cs="Calibri"/>
                <w:b/>
                <w:sz w:val="20"/>
                <w:szCs w:val="20"/>
                <w:lang w:val="pt-PT"/>
              </w:rPr>
            </w:pPr>
            <w:r w:rsidRPr="00292532">
              <w:rPr>
                <w:rFonts w:eastAsia="Calibri" w:cs="Calibri"/>
                <w:b/>
                <w:sz w:val="20"/>
                <w:szCs w:val="20"/>
                <w:lang w:val="pt-PT"/>
              </w:rPr>
              <w:t>Património Cultural</w:t>
            </w:r>
          </w:p>
        </w:tc>
        <w:tc>
          <w:tcPr>
            <w:tcW w:w="2552" w:type="dxa"/>
            <w:shd w:val="clear" w:color="auto" w:fill="DEEAF6" w:themeFill="accent5" w:themeFillTint="33"/>
            <w:vAlign w:val="center"/>
          </w:tcPr>
          <w:p w14:paraId="61671C09"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b/>
                <w:sz w:val="20"/>
                <w:szCs w:val="20"/>
                <w:lang w:val="pt-PT"/>
              </w:rPr>
            </w:pPr>
          </w:p>
        </w:tc>
      </w:tr>
      <w:tr w:rsidR="00DE4DCD" w:rsidRPr="00292532" w14:paraId="01BF7805" w14:textId="77777777" w:rsidTr="00DE4DCD">
        <w:trPr>
          <w:trHeight w:val="352"/>
        </w:trPr>
        <w:tc>
          <w:tcPr>
            <w:tcW w:w="6804" w:type="dxa"/>
            <w:shd w:val="clear" w:color="auto" w:fill="FFFFFF" w:themeFill="background1"/>
            <w:vAlign w:val="center"/>
          </w:tcPr>
          <w:p w14:paraId="0B2147AE"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t xml:space="preserve">A Convenção da UNESCO para a salvaguarda do Património Cultural Intangível procura elevar a consciência sobre a importância do património cultural intangível e as ameaças que </w:t>
            </w:r>
            <w:proofErr w:type="spellStart"/>
            <w:r w:rsidRPr="00292532">
              <w:rPr>
                <w:rFonts w:eastAsia="Calibri" w:cs="Calibri"/>
                <w:sz w:val="20"/>
                <w:szCs w:val="20"/>
                <w:lang w:val="pt-PT"/>
              </w:rPr>
              <w:t>actualmente</w:t>
            </w:r>
            <w:proofErr w:type="spellEnd"/>
            <w:r w:rsidRPr="00292532">
              <w:rPr>
                <w:rFonts w:eastAsia="Calibri" w:cs="Calibri"/>
                <w:sz w:val="20"/>
                <w:szCs w:val="20"/>
                <w:lang w:val="pt-PT"/>
              </w:rPr>
              <w:t xml:space="preserve"> enfrenta a nível global </w:t>
            </w:r>
          </w:p>
        </w:tc>
        <w:tc>
          <w:tcPr>
            <w:tcW w:w="2552" w:type="dxa"/>
            <w:shd w:val="clear" w:color="auto" w:fill="FFFFFF" w:themeFill="background1"/>
            <w:vAlign w:val="center"/>
          </w:tcPr>
          <w:p w14:paraId="16C79583"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2003</w:t>
            </w:r>
          </w:p>
        </w:tc>
      </w:tr>
      <w:tr w:rsidR="00DE4DCD" w:rsidRPr="00292532" w14:paraId="64EB0E35" w14:textId="77777777" w:rsidTr="00DE4DCD">
        <w:trPr>
          <w:trHeight w:val="191"/>
        </w:trPr>
        <w:tc>
          <w:tcPr>
            <w:tcW w:w="6804" w:type="dxa"/>
            <w:tcBorders>
              <w:bottom w:val="single" w:sz="4" w:space="0" w:color="auto"/>
            </w:tcBorders>
            <w:shd w:val="clear" w:color="auto" w:fill="DEEAF6" w:themeFill="accent5" w:themeFillTint="33"/>
            <w:vAlign w:val="center"/>
          </w:tcPr>
          <w:p w14:paraId="296BF87D" w14:textId="77777777" w:rsidR="00DE4DCD" w:rsidRPr="00292532" w:rsidRDefault="00DE4DCD" w:rsidP="00DE4DCD">
            <w:pPr>
              <w:autoSpaceDE w:val="0"/>
              <w:autoSpaceDN w:val="0"/>
              <w:adjustRightInd w:val="0"/>
              <w:spacing w:before="120" w:afterLines="160" w:after="384" w:line="20" w:lineRule="atLeast"/>
              <w:ind w:right="-2524"/>
              <w:jc w:val="center"/>
              <w:rPr>
                <w:rFonts w:eastAsia="Calibri" w:cs="Calibri"/>
                <w:b/>
                <w:sz w:val="20"/>
                <w:szCs w:val="20"/>
                <w:lang w:val="pt-PT"/>
              </w:rPr>
            </w:pPr>
            <w:r w:rsidRPr="00292532">
              <w:rPr>
                <w:rFonts w:eastAsia="Calibri" w:cs="Calibri"/>
                <w:b/>
                <w:sz w:val="20"/>
                <w:szCs w:val="20"/>
                <w:lang w:val="pt-PT"/>
              </w:rPr>
              <w:t>Outras</w:t>
            </w:r>
          </w:p>
        </w:tc>
        <w:tc>
          <w:tcPr>
            <w:tcW w:w="2552" w:type="dxa"/>
            <w:tcBorders>
              <w:bottom w:val="single" w:sz="4" w:space="0" w:color="auto"/>
            </w:tcBorders>
            <w:shd w:val="clear" w:color="auto" w:fill="DEEAF6" w:themeFill="accent5" w:themeFillTint="33"/>
            <w:vAlign w:val="center"/>
          </w:tcPr>
          <w:p w14:paraId="2E288E62"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b/>
                <w:sz w:val="20"/>
                <w:szCs w:val="20"/>
                <w:lang w:val="pt-PT"/>
              </w:rPr>
            </w:pPr>
          </w:p>
        </w:tc>
      </w:tr>
      <w:tr w:rsidR="00DE4DCD" w:rsidRPr="00292532" w14:paraId="3EE8122C" w14:textId="77777777" w:rsidTr="00DE4DCD">
        <w:trPr>
          <w:trHeight w:val="369"/>
        </w:trPr>
        <w:tc>
          <w:tcPr>
            <w:tcW w:w="6804" w:type="dxa"/>
            <w:tcBorders>
              <w:top w:val="single" w:sz="4" w:space="0" w:color="auto"/>
              <w:bottom w:val="single" w:sz="4" w:space="0" w:color="auto"/>
            </w:tcBorders>
            <w:vAlign w:val="center"/>
          </w:tcPr>
          <w:p w14:paraId="288CE178" w14:textId="77777777" w:rsidR="00DE4DCD" w:rsidRPr="00292532" w:rsidRDefault="00DE4DCD" w:rsidP="00DE4DCD">
            <w:pPr>
              <w:autoSpaceDE w:val="0"/>
              <w:autoSpaceDN w:val="0"/>
              <w:adjustRightInd w:val="0"/>
              <w:spacing w:before="120" w:afterLines="160" w:after="384" w:line="20" w:lineRule="atLeast"/>
              <w:rPr>
                <w:rFonts w:eastAsia="Calibri" w:cs="Calibri"/>
                <w:sz w:val="20"/>
                <w:szCs w:val="20"/>
                <w:lang w:val="pt-PT"/>
              </w:rPr>
            </w:pPr>
            <w:r w:rsidRPr="00292532">
              <w:rPr>
                <w:rFonts w:eastAsia="Calibri" w:cs="Calibri"/>
                <w:sz w:val="20"/>
                <w:szCs w:val="20"/>
                <w:lang w:val="pt-PT"/>
              </w:rPr>
              <w:t>Convenção de Estocolmo sobre Poluentes Orgânicos e Persistentes de 2001</w:t>
            </w:r>
          </w:p>
        </w:tc>
        <w:tc>
          <w:tcPr>
            <w:tcW w:w="2552" w:type="dxa"/>
            <w:tcBorders>
              <w:top w:val="single" w:sz="4" w:space="0" w:color="auto"/>
              <w:bottom w:val="single" w:sz="4" w:space="0" w:color="auto"/>
            </w:tcBorders>
            <w:vAlign w:val="center"/>
          </w:tcPr>
          <w:p w14:paraId="3FB286BF" w14:textId="77777777" w:rsidR="00DE4DCD" w:rsidRPr="00292532" w:rsidRDefault="00DE4DCD" w:rsidP="00DE4DCD">
            <w:pPr>
              <w:autoSpaceDE w:val="0"/>
              <w:autoSpaceDN w:val="0"/>
              <w:adjustRightInd w:val="0"/>
              <w:spacing w:before="120" w:afterLines="160" w:after="384" w:line="20" w:lineRule="atLeast"/>
              <w:jc w:val="center"/>
              <w:rPr>
                <w:rFonts w:eastAsia="Calibri" w:cs="Calibri"/>
                <w:sz w:val="20"/>
                <w:szCs w:val="20"/>
                <w:lang w:val="pt-PT"/>
              </w:rPr>
            </w:pPr>
            <w:r w:rsidRPr="00292532">
              <w:rPr>
                <w:rFonts w:eastAsia="Calibri" w:cs="Calibri"/>
                <w:sz w:val="20"/>
                <w:szCs w:val="20"/>
                <w:lang w:val="pt-PT"/>
              </w:rPr>
              <w:t>2004</w:t>
            </w:r>
          </w:p>
        </w:tc>
      </w:tr>
      <w:bookmarkEnd w:id="72"/>
    </w:tbl>
    <w:p w14:paraId="192F127B" w14:textId="77777777" w:rsidR="00DE4DCD" w:rsidRPr="00292532" w:rsidRDefault="00DE4DCD" w:rsidP="00DE4DCD">
      <w:pPr>
        <w:rPr>
          <w:lang w:val="pt-PT" w:eastAsia="ja-JP"/>
        </w:rPr>
        <w:sectPr w:rsidR="00DE4DCD" w:rsidRPr="00292532" w:rsidSect="00C01674">
          <w:pgSz w:w="11906" w:h="16838"/>
          <w:pgMar w:top="1417" w:right="1701" w:bottom="1417" w:left="1701" w:header="708" w:footer="708"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p>
    <w:p w14:paraId="0B90D0A3" w14:textId="55A0725A" w:rsidR="00DE4DCD" w:rsidRPr="00292532" w:rsidRDefault="00187A99" w:rsidP="00DE4DCD">
      <w:pPr>
        <w:pStyle w:val="Heading1"/>
        <w:rPr>
          <w:lang w:val="pt-PT" w:eastAsia="ja-JP"/>
        </w:rPr>
      </w:pPr>
      <w:bookmarkStart w:id="73" w:name="_Toc80379946"/>
      <w:r w:rsidRPr="00292532">
        <w:rPr>
          <w:lang w:val="pt-PT" w:eastAsia="ja-JP"/>
        </w:rPr>
        <w:lastRenderedPageBreak/>
        <w:t>Normas</w:t>
      </w:r>
      <w:r w:rsidR="00DE4DCD" w:rsidRPr="00292532">
        <w:rPr>
          <w:lang w:val="pt-PT" w:eastAsia="ja-JP"/>
        </w:rPr>
        <w:t xml:space="preserve"> e </w:t>
      </w:r>
      <w:proofErr w:type="spellStart"/>
      <w:r w:rsidR="00DE4DCD" w:rsidRPr="00292532">
        <w:rPr>
          <w:lang w:val="pt-PT" w:eastAsia="ja-JP"/>
        </w:rPr>
        <w:t>Directrizes</w:t>
      </w:r>
      <w:proofErr w:type="spellEnd"/>
      <w:r w:rsidR="00DE4DCD" w:rsidRPr="00292532">
        <w:rPr>
          <w:lang w:val="pt-PT" w:eastAsia="ja-JP"/>
        </w:rPr>
        <w:t xml:space="preserve"> do Banco Mundial</w:t>
      </w:r>
      <w:bookmarkEnd w:id="73"/>
      <w:r w:rsidR="00DE4DCD" w:rsidRPr="00292532">
        <w:rPr>
          <w:lang w:val="pt-PT" w:eastAsia="ja-JP"/>
        </w:rPr>
        <w:t xml:space="preserve"> </w:t>
      </w:r>
    </w:p>
    <w:p w14:paraId="07714505" w14:textId="77777777" w:rsidR="00411098" w:rsidRPr="00941934" w:rsidRDefault="00411098" w:rsidP="00411098">
      <w:pPr>
        <w:rPr>
          <w:lang w:val="pt-PT"/>
        </w:rPr>
      </w:pPr>
      <w:bookmarkStart w:id="74" w:name="_Hlk75441500"/>
      <w:r w:rsidRPr="00941934">
        <w:rPr>
          <w:rFonts w:asciiTheme="minorHAnsi" w:eastAsia="Times New Roman" w:hAnsiTheme="minorHAnsi" w:cstheme="minorHAnsi"/>
          <w:color w:val="000000"/>
          <w:lang w:val="pt-PT"/>
        </w:rPr>
        <w:t xml:space="preserve">O </w:t>
      </w:r>
      <w:proofErr w:type="spellStart"/>
      <w:r w:rsidRPr="00941934">
        <w:rPr>
          <w:rFonts w:asciiTheme="minorHAnsi" w:eastAsia="Times New Roman" w:hAnsiTheme="minorHAnsi" w:cstheme="minorHAnsi"/>
          <w:color w:val="000000"/>
          <w:lang w:val="pt-PT"/>
        </w:rPr>
        <w:t>projecto</w:t>
      </w:r>
      <w:proofErr w:type="spellEnd"/>
      <w:r w:rsidRPr="00941934">
        <w:rPr>
          <w:rFonts w:asciiTheme="minorHAnsi" w:eastAsia="Times New Roman" w:hAnsiTheme="minorHAnsi" w:cstheme="minorHAnsi"/>
          <w:color w:val="000000"/>
          <w:lang w:val="pt-PT"/>
        </w:rPr>
        <w:t xml:space="preserve"> proposto está sendo concebido de acordo com as Normas Ambientais e Sociais (NAS) do Quadro de Gestão Ambiental e Social (QGAS) do Banco Mundial, que se tornaram </w:t>
      </w:r>
      <w:proofErr w:type="spellStart"/>
      <w:r w:rsidRPr="00941934">
        <w:rPr>
          <w:rFonts w:asciiTheme="minorHAnsi" w:eastAsia="Times New Roman" w:hAnsiTheme="minorHAnsi" w:cstheme="minorHAnsi"/>
          <w:color w:val="000000"/>
          <w:lang w:val="pt-PT"/>
        </w:rPr>
        <w:t>efectivas</w:t>
      </w:r>
      <w:proofErr w:type="spellEnd"/>
      <w:r w:rsidRPr="00941934">
        <w:rPr>
          <w:rFonts w:asciiTheme="minorHAnsi" w:eastAsia="Times New Roman" w:hAnsiTheme="minorHAnsi" w:cstheme="minorHAnsi"/>
          <w:color w:val="000000"/>
          <w:lang w:val="pt-PT"/>
        </w:rPr>
        <w:t xml:space="preserve"> em </w:t>
      </w:r>
      <w:proofErr w:type="gramStart"/>
      <w:r w:rsidRPr="00941934">
        <w:rPr>
          <w:rFonts w:asciiTheme="minorHAnsi" w:eastAsia="Times New Roman" w:hAnsiTheme="minorHAnsi" w:cstheme="minorHAnsi"/>
          <w:color w:val="000000"/>
          <w:lang w:val="pt-PT"/>
        </w:rPr>
        <w:t>Outubro</w:t>
      </w:r>
      <w:proofErr w:type="gramEnd"/>
      <w:r w:rsidRPr="00941934">
        <w:rPr>
          <w:rFonts w:asciiTheme="minorHAnsi" w:eastAsia="Times New Roman" w:hAnsiTheme="minorHAnsi" w:cstheme="minorHAnsi"/>
          <w:color w:val="000000"/>
          <w:lang w:val="pt-PT"/>
        </w:rPr>
        <w:t xml:space="preserve"> de 2018 e estabelecem os requisitos para os mutuários, relativamente à identificação e avaliação de riscos e impactos ambientais e sociais, associados aos </w:t>
      </w:r>
      <w:proofErr w:type="spellStart"/>
      <w:r w:rsidRPr="00941934">
        <w:rPr>
          <w:rFonts w:asciiTheme="minorHAnsi" w:eastAsia="Times New Roman" w:hAnsiTheme="minorHAnsi" w:cstheme="minorHAnsi"/>
          <w:color w:val="000000"/>
          <w:lang w:val="pt-PT"/>
        </w:rPr>
        <w:t>projectos</w:t>
      </w:r>
      <w:proofErr w:type="spellEnd"/>
      <w:r w:rsidRPr="00941934">
        <w:rPr>
          <w:rFonts w:asciiTheme="minorHAnsi" w:eastAsia="Times New Roman" w:hAnsiTheme="minorHAnsi" w:cstheme="minorHAnsi"/>
          <w:color w:val="000000"/>
          <w:lang w:val="pt-PT"/>
        </w:rPr>
        <w:t xml:space="preserve"> financiados pelo </w:t>
      </w:r>
      <w:r w:rsidRPr="00941934">
        <w:rPr>
          <w:lang w:val="pt-PT"/>
        </w:rPr>
        <w:t xml:space="preserve">Banco por meio de Financiamento de </w:t>
      </w:r>
      <w:proofErr w:type="spellStart"/>
      <w:r w:rsidRPr="00941934">
        <w:rPr>
          <w:lang w:val="pt-PT"/>
        </w:rPr>
        <w:t>Projectos</w:t>
      </w:r>
      <w:proofErr w:type="spellEnd"/>
      <w:r w:rsidRPr="00941934">
        <w:rPr>
          <w:lang w:val="pt-PT"/>
        </w:rPr>
        <w:t xml:space="preserve"> de Investimento (FPI).</w:t>
      </w:r>
    </w:p>
    <w:p w14:paraId="1F7174EF" w14:textId="77777777" w:rsidR="00411098" w:rsidRPr="00941934" w:rsidRDefault="00411098" w:rsidP="00411098">
      <w:pPr>
        <w:rPr>
          <w:lang w:val="pt-PT"/>
        </w:rPr>
      </w:pPr>
      <w:r w:rsidRPr="00941934">
        <w:rPr>
          <w:lang w:val="pt-PT"/>
        </w:rPr>
        <w:t xml:space="preserve">O Banco Mundial, requer que o mutuário adira, entre outros, aos requisitos ambientais e sociais, descritas nas Normas Ambientais e Sociais (NAS) bem como legislação relevante do mutuário, se esta legislação for mais rigorosa que os requisitos do BM. Das 10 (dez) Normas Ambientais e Sociais (NAS) que estabelecem os requisitos a serem cumpridos pelo Mutuário e pelo </w:t>
      </w:r>
      <w:proofErr w:type="spellStart"/>
      <w:r w:rsidRPr="00941934">
        <w:rPr>
          <w:lang w:val="pt-PT"/>
        </w:rPr>
        <w:t>projecto</w:t>
      </w:r>
      <w:proofErr w:type="spellEnd"/>
      <w:r w:rsidRPr="00941934">
        <w:rPr>
          <w:lang w:val="pt-PT"/>
        </w:rPr>
        <w:t xml:space="preserve"> ao longo de todo o seu ciclo de vida, 8 são relevantes designadamente:</w:t>
      </w:r>
    </w:p>
    <w:p w14:paraId="5E9FBD6E" w14:textId="77777777" w:rsidR="00411098" w:rsidRPr="00941934" w:rsidRDefault="00411098" w:rsidP="00411098">
      <w:pPr>
        <w:pStyle w:val="ListParagraph"/>
        <w:numPr>
          <w:ilvl w:val="0"/>
          <w:numId w:val="255"/>
        </w:numPr>
        <w:rPr>
          <w:lang w:val="pt-PT"/>
        </w:rPr>
      </w:pPr>
      <w:r w:rsidRPr="00941934">
        <w:rPr>
          <w:lang w:val="pt-PT"/>
        </w:rPr>
        <w:t xml:space="preserve">NAS 1 (Avaliação e Gestão de Riscos e Impactos Socioambientais): A NAS1 define as responsabilidades do Mutuário em relação a avaliação, gestão e monitorização de riscos e impactos socioambientais a sociada a cada fase de um </w:t>
      </w:r>
      <w:proofErr w:type="spellStart"/>
      <w:r w:rsidRPr="00941934">
        <w:rPr>
          <w:lang w:val="pt-PT"/>
        </w:rPr>
        <w:t>projecto</w:t>
      </w:r>
      <w:proofErr w:type="spellEnd"/>
      <w:r w:rsidRPr="00941934">
        <w:rPr>
          <w:lang w:val="pt-PT"/>
        </w:rPr>
        <w:t xml:space="preserve"> financiado pelo BM de modo a respeitarem e implementarem os requisitos das NAS. É da responsabilidade do Mutuário em garantir a realização da avaliação 38 ambiental e social dos </w:t>
      </w:r>
      <w:proofErr w:type="spellStart"/>
      <w:r w:rsidRPr="00941934">
        <w:rPr>
          <w:lang w:val="pt-PT"/>
        </w:rPr>
        <w:t>projectos</w:t>
      </w:r>
      <w:proofErr w:type="spellEnd"/>
      <w:r w:rsidRPr="00941934">
        <w:rPr>
          <w:lang w:val="pt-PT"/>
        </w:rPr>
        <w:t xml:space="preserve"> propostos de modo a garantir a sua sustentabilidade ambiental e social. Durante este processo da realização da AA&amp;S o Mutuário deve seguir as normas estabelecidas no seu País com o </w:t>
      </w:r>
      <w:proofErr w:type="spellStart"/>
      <w:r w:rsidRPr="00941934">
        <w:rPr>
          <w:lang w:val="pt-PT"/>
        </w:rPr>
        <w:t>objectivo</w:t>
      </w:r>
      <w:proofErr w:type="spellEnd"/>
      <w:r w:rsidRPr="00941934">
        <w:rPr>
          <w:lang w:val="pt-PT"/>
        </w:rPr>
        <w:t xml:space="preserve"> de garantir o licenciamento dos subprojectos. A NAS1 define todos os princípios que devem ser seguidos no processo de avaliação ambiental e social. A mesma, aplica-se em dois momentos distintos, o primeiro na elaboração dos subprojectos e o segundo durante a implementação dos subprojectos. Na fase 1 é realizada a Avaliação Ambiental e Social do </w:t>
      </w:r>
      <w:proofErr w:type="spellStart"/>
      <w:r w:rsidRPr="00941934">
        <w:rPr>
          <w:lang w:val="pt-PT"/>
        </w:rPr>
        <w:t>projecto</w:t>
      </w:r>
      <w:proofErr w:type="spellEnd"/>
      <w:r w:rsidRPr="00941934">
        <w:rPr>
          <w:lang w:val="pt-PT"/>
        </w:rPr>
        <w:t xml:space="preserve"> como um todo incluindo as tipologias dos subprojectos das Componentes. Na fase 2 a avaliação é direcionada aos subprojectos e deve ser mais aprofundada baseada em informação </w:t>
      </w:r>
      <w:proofErr w:type="spellStart"/>
      <w:r w:rsidRPr="00941934">
        <w:rPr>
          <w:lang w:val="pt-PT"/>
        </w:rPr>
        <w:t>actualizada</w:t>
      </w:r>
      <w:proofErr w:type="spellEnd"/>
      <w:r w:rsidRPr="00941934">
        <w:rPr>
          <w:lang w:val="pt-PT"/>
        </w:rPr>
        <w:t xml:space="preserve"> sobre as áreas de intervenção do </w:t>
      </w:r>
      <w:proofErr w:type="spellStart"/>
      <w:r w:rsidRPr="00941934">
        <w:rPr>
          <w:lang w:val="pt-PT"/>
        </w:rPr>
        <w:t>projecto</w:t>
      </w:r>
      <w:proofErr w:type="spellEnd"/>
      <w:r w:rsidRPr="00941934">
        <w:rPr>
          <w:lang w:val="pt-PT"/>
        </w:rPr>
        <w:t xml:space="preserve">, seus beneficiários e </w:t>
      </w:r>
      <w:proofErr w:type="spellStart"/>
      <w:r w:rsidRPr="00941934">
        <w:rPr>
          <w:lang w:val="pt-PT"/>
        </w:rPr>
        <w:t>afectados</w:t>
      </w:r>
      <w:proofErr w:type="spellEnd"/>
      <w:r w:rsidRPr="00941934">
        <w:rPr>
          <w:lang w:val="pt-PT"/>
        </w:rPr>
        <w:t xml:space="preserve">, comunidades de entorno, levantando-se também em consideração todas as políticas, planos e programas do mutuário incidentes sobre essa área de abrangência do </w:t>
      </w:r>
      <w:proofErr w:type="spellStart"/>
      <w:r w:rsidRPr="00941934">
        <w:rPr>
          <w:lang w:val="pt-PT"/>
        </w:rPr>
        <w:t>projecto</w:t>
      </w:r>
      <w:proofErr w:type="spellEnd"/>
      <w:r w:rsidRPr="00941934">
        <w:rPr>
          <w:lang w:val="pt-PT"/>
        </w:rPr>
        <w:t xml:space="preserve">. Os instrumentos previstos a serem elaborados na fase inicial do </w:t>
      </w:r>
      <w:proofErr w:type="spellStart"/>
      <w:r w:rsidRPr="00941934">
        <w:rPr>
          <w:lang w:val="pt-PT"/>
        </w:rPr>
        <w:t>projecto</w:t>
      </w:r>
      <w:proofErr w:type="spellEnd"/>
      <w:r w:rsidRPr="00941934">
        <w:rPr>
          <w:lang w:val="pt-PT"/>
        </w:rPr>
        <w:t xml:space="preserve"> (Desenho do </w:t>
      </w:r>
      <w:proofErr w:type="spellStart"/>
      <w:r w:rsidRPr="00941934">
        <w:rPr>
          <w:lang w:val="pt-PT"/>
        </w:rPr>
        <w:t>projecto</w:t>
      </w:r>
      <w:proofErr w:type="spellEnd"/>
      <w:r w:rsidRPr="00941934">
        <w:rPr>
          <w:lang w:val="pt-PT"/>
        </w:rPr>
        <w:t xml:space="preserve">) são: i. o Quadro de Gestão Ambiental e Social (QGAS), o Quadro de </w:t>
      </w:r>
      <w:proofErr w:type="gramStart"/>
      <w:r w:rsidRPr="00941934">
        <w:rPr>
          <w:lang w:val="pt-PT"/>
        </w:rPr>
        <w:t>Politica</w:t>
      </w:r>
      <w:proofErr w:type="gramEnd"/>
      <w:r w:rsidRPr="00941934">
        <w:rPr>
          <w:lang w:val="pt-PT"/>
        </w:rPr>
        <w:t xml:space="preserve"> de Reassentamento (QPR), o Plano de Compromisso Ambiental e Social (PCAS) e o Plano de Envolvimento das Partes Interessadas (PEPI). Na Fase 2, dependendo das características dos subprojectos são recomendados a elaboração do Plano de Gestão Ambiental e Social e, ainda, o Manual de Boas Práticas Ambientais e Sociais. Sucintamente, a AAS deve aplicar sempre a hierarquia de mitigação dos riscos e impactos ambientais. </w:t>
      </w:r>
      <w:proofErr w:type="spellStart"/>
      <w:r w:rsidRPr="00941934">
        <w:rPr>
          <w:lang w:val="pt-PT"/>
        </w:rPr>
        <w:t>Frizar-se</w:t>
      </w:r>
      <w:proofErr w:type="spellEnd"/>
      <w:r w:rsidRPr="00941934">
        <w:rPr>
          <w:lang w:val="pt-PT"/>
        </w:rPr>
        <w:t xml:space="preserve"> que a classificação dos </w:t>
      </w:r>
      <w:proofErr w:type="spellStart"/>
      <w:r w:rsidRPr="00941934">
        <w:rPr>
          <w:lang w:val="pt-PT"/>
        </w:rPr>
        <w:t>projectos</w:t>
      </w:r>
      <w:proofErr w:type="spellEnd"/>
      <w:r w:rsidRPr="00941934">
        <w:rPr>
          <w:lang w:val="pt-PT"/>
        </w:rPr>
        <w:t xml:space="preserve"> do Banco foi </w:t>
      </w:r>
      <w:proofErr w:type="gramStart"/>
      <w:r w:rsidRPr="00941934">
        <w:rPr>
          <w:lang w:val="pt-PT"/>
        </w:rPr>
        <w:t>alterado</w:t>
      </w:r>
      <w:proofErr w:type="gramEnd"/>
      <w:r w:rsidRPr="00941934">
        <w:rPr>
          <w:lang w:val="pt-PT"/>
        </w:rPr>
        <w:t xml:space="preserve"> de categorias (A, B, C e FI) para os riscos ambientais e sociais (Alto risco, risco substancial, risco moderado e baixo risco). </w:t>
      </w:r>
    </w:p>
    <w:p w14:paraId="3132FF2D" w14:textId="77777777" w:rsidR="00411098" w:rsidRPr="00941934" w:rsidRDefault="00411098" w:rsidP="00411098">
      <w:pPr>
        <w:pStyle w:val="ListParagraph"/>
        <w:numPr>
          <w:ilvl w:val="0"/>
          <w:numId w:val="0"/>
        </w:numPr>
        <w:ind w:left="720"/>
        <w:rPr>
          <w:lang w:val="pt-PT"/>
        </w:rPr>
      </w:pPr>
    </w:p>
    <w:p w14:paraId="0C742F80" w14:textId="77777777" w:rsidR="00411098" w:rsidRPr="00941934" w:rsidRDefault="00411098" w:rsidP="00411098">
      <w:pPr>
        <w:pStyle w:val="ListParagraph"/>
        <w:numPr>
          <w:ilvl w:val="0"/>
          <w:numId w:val="255"/>
        </w:numPr>
        <w:rPr>
          <w:lang w:val="pt-PT"/>
        </w:rPr>
      </w:pPr>
      <w:r w:rsidRPr="00941934">
        <w:rPr>
          <w:lang w:val="pt-PT"/>
        </w:rPr>
        <w:t xml:space="preserve">NAS 2 (Condições de Trabalho e Mão de Obra): A NAS 2 estabelece requisitos relativos às relações de trabalhos em </w:t>
      </w:r>
      <w:proofErr w:type="spellStart"/>
      <w:r w:rsidRPr="00941934">
        <w:rPr>
          <w:lang w:val="pt-PT"/>
        </w:rPr>
        <w:t>projectos</w:t>
      </w:r>
      <w:proofErr w:type="spellEnd"/>
      <w:r w:rsidRPr="00941934">
        <w:rPr>
          <w:lang w:val="pt-PT"/>
        </w:rPr>
        <w:t xml:space="preserve"> financiados pelo BM, incluindo regras de emprego, saúde ocupacional e segurança, </w:t>
      </w:r>
      <w:proofErr w:type="spellStart"/>
      <w:r w:rsidRPr="00941934">
        <w:rPr>
          <w:lang w:val="pt-PT"/>
        </w:rPr>
        <w:t>protecção</w:t>
      </w:r>
      <w:proofErr w:type="spellEnd"/>
      <w:r w:rsidRPr="00941934">
        <w:rPr>
          <w:lang w:val="pt-PT"/>
        </w:rPr>
        <w:t xml:space="preserve"> dos trabalhadores, mecanismos de resolução de disputas laborais, e com especificações dos requisitos dos trabalhadores </w:t>
      </w:r>
      <w:proofErr w:type="spellStart"/>
      <w:r w:rsidRPr="00941934">
        <w:rPr>
          <w:lang w:val="pt-PT"/>
        </w:rPr>
        <w:t>directos</w:t>
      </w:r>
      <w:proofErr w:type="spellEnd"/>
      <w:r w:rsidRPr="00941934">
        <w:rPr>
          <w:lang w:val="pt-PT"/>
        </w:rPr>
        <w:t xml:space="preserve"> e contratados. Esta NAS reconhece a importância da criação de emprego e geração de renda na busca da redução da pobreza e crescimento económico inclusivo, ao mesmo tempo em que busca assegurar que os trabalhadores do </w:t>
      </w:r>
      <w:proofErr w:type="spellStart"/>
      <w:r w:rsidRPr="00941934">
        <w:rPr>
          <w:lang w:val="pt-PT"/>
        </w:rPr>
        <w:t>projecto</w:t>
      </w:r>
      <w:proofErr w:type="spellEnd"/>
      <w:r w:rsidRPr="00941934">
        <w:rPr>
          <w:lang w:val="pt-PT"/>
        </w:rPr>
        <w:t xml:space="preserve"> como um todo sejam tratados de forma justa, com condições de trabalho seguras e saudáveis, por </w:t>
      </w:r>
      <w:r w:rsidRPr="00941934">
        <w:rPr>
          <w:lang w:val="pt-PT"/>
        </w:rPr>
        <w:lastRenderedPageBreak/>
        <w:t xml:space="preserve">meio da promoção de relações sólidas entre trabalhadores e empregadores, de modo a potencializar os benefícios do desenvolvimento do </w:t>
      </w:r>
      <w:proofErr w:type="spellStart"/>
      <w:r w:rsidRPr="00941934">
        <w:rPr>
          <w:lang w:val="pt-PT"/>
        </w:rPr>
        <w:t>projecto</w:t>
      </w:r>
      <w:proofErr w:type="spellEnd"/>
      <w:r w:rsidRPr="00941934">
        <w:rPr>
          <w:lang w:val="pt-PT"/>
        </w:rPr>
        <w:t>. Serão elaborados Procedimentos de Gestão Laboral, definições relativas à idade mínima para o trabalho infantil, mecanismo de queixas para os trabalhadores, e medidas relativas à saúde e segurança ocupacional.</w:t>
      </w:r>
    </w:p>
    <w:p w14:paraId="604F0648" w14:textId="77777777" w:rsidR="00411098" w:rsidRPr="00941934" w:rsidRDefault="00411098" w:rsidP="00411098">
      <w:pPr>
        <w:pStyle w:val="ListParagraph"/>
        <w:numPr>
          <w:ilvl w:val="0"/>
          <w:numId w:val="0"/>
        </w:numPr>
        <w:ind w:left="720"/>
        <w:rPr>
          <w:lang w:val="pt-PT"/>
        </w:rPr>
      </w:pPr>
    </w:p>
    <w:p w14:paraId="52B0EE9E" w14:textId="77777777" w:rsidR="00411098" w:rsidRPr="00941934" w:rsidRDefault="00411098" w:rsidP="00411098">
      <w:pPr>
        <w:pStyle w:val="ListParagraph"/>
        <w:numPr>
          <w:ilvl w:val="0"/>
          <w:numId w:val="255"/>
        </w:numPr>
        <w:rPr>
          <w:lang w:val="pt-PT"/>
        </w:rPr>
      </w:pPr>
      <w:r w:rsidRPr="00941934">
        <w:rPr>
          <w:lang w:val="pt-PT"/>
        </w:rPr>
        <w:t xml:space="preserve">NAS 3 (Eficácia de Recursos e Prevenção e Gestão da Poluição): A NAS 3 estabelece os requisitos para a conservação e controle, prevenção de resíduos e poluição. Esta NAS reconhece que as atividades econômicas e a urbanização geralmente causam poluição do ar, água e terra, como como consomem recursos finitos que podem ameaçar os indivíduos, os serviços de ecossistemas e o ambiente a nível local e regional. Desta forma, a NAS 3 estabelece requisitos para a abordagem da eficácia dos recursos e prevenção e gestão da poluição durante o ciclo de vida do </w:t>
      </w:r>
      <w:proofErr w:type="spellStart"/>
      <w:r w:rsidRPr="00941934">
        <w:rPr>
          <w:lang w:val="pt-PT"/>
        </w:rPr>
        <w:t>projecto</w:t>
      </w:r>
      <w:proofErr w:type="spellEnd"/>
      <w:r w:rsidRPr="00941934">
        <w:rPr>
          <w:lang w:val="pt-PT"/>
        </w:rPr>
        <w:t xml:space="preserve">, promovendo o uso sustentável de recursos, incluindo energia, água e matérias-primas, ao mesmo tempo que evita ou minimiza os impactos negativos na saúde humana e meio ambiente, evitando ou minimizando a poluição proveniente das atividades do </w:t>
      </w:r>
      <w:proofErr w:type="spellStart"/>
      <w:r w:rsidRPr="00941934">
        <w:rPr>
          <w:lang w:val="pt-PT"/>
        </w:rPr>
        <w:t>projecto</w:t>
      </w:r>
      <w:proofErr w:type="spellEnd"/>
      <w:r w:rsidRPr="00941934">
        <w:rPr>
          <w:lang w:val="pt-PT"/>
        </w:rPr>
        <w:t>.</w:t>
      </w:r>
    </w:p>
    <w:p w14:paraId="68BF03E7" w14:textId="77777777" w:rsidR="00411098" w:rsidRPr="00941934" w:rsidRDefault="00411098" w:rsidP="00411098">
      <w:pPr>
        <w:pStyle w:val="ListParagraph"/>
        <w:numPr>
          <w:ilvl w:val="0"/>
          <w:numId w:val="0"/>
        </w:numPr>
        <w:ind w:left="720"/>
        <w:rPr>
          <w:lang w:val="pt-PT"/>
        </w:rPr>
      </w:pPr>
    </w:p>
    <w:p w14:paraId="0305B353" w14:textId="77777777" w:rsidR="00411098" w:rsidRPr="00941934" w:rsidRDefault="00411098" w:rsidP="00411098">
      <w:pPr>
        <w:pStyle w:val="ListParagraph"/>
        <w:numPr>
          <w:ilvl w:val="0"/>
          <w:numId w:val="255"/>
        </w:numPr>
        <w:rPr>
          <w:lang w:val="pt-PT"/>
        </w:rPr>
      </w:pPr>
      <w:r w:rsidRPr="00941934">
        <w:rPr>
          <w:lang w:val="pt-PT"/>
        </w:rPr>
        <w:t xml:space="preserve">NAS 4 (Saúde e Segurança Comunitária): A NAS 4 contém requisitos para evitar e controlar os riscos e impactos das atividades do </w:t>
      </w:r>
      <w:proofErr w:type="spellStart"/>
      <w:r w:rsidRPr="00941934">
        <w:rPr>
          <w:lang w:val="pt-PT"/>
        </w:rPr>
        <w:t>projecto</w:t>
      </w:r>
      <w:proofErr w:type="spellEnd"/>
      <w:r w:rsidRPr="00941934">
        <w:rPr>
          <w:lang w:val="pt-PT"/>
        </w:rPr>
        <w:t xml:space="preserve"> sobre as comunidades e trabalhadores, em situações de emergência, segurança e outros </w:t>
      </w:r>
      <w:proofErr w:type="spellStart"/>
      <w:r w:rsidRPr="00941934">
        <w:rPr>
          <w:lang w:val="pt-PT"/>
        </w:rPr>
        <w:t>factores</w:t>
      </w:r>
      <w:proofErr w:type="spellEnd"/>
      <w:r w:rsidRPr="00941934">
        <w:rPr>
          <w:lang w:val="pt-PT"/>
        </w:rPr>
        <w:t xml:space="preserve">; Esta NAS reconhece que as </w:t>
      </w:r>
      <w:proofErr w:type="spellStart"/>
      <w:r w:rsidRPr="00941934">
        <w:rPr>
          <w:lang w:val="pt-PT"/>
        </w:rPr>
        <w:t>actividades</w:t>
      </w:r>
      <w:proofErr w:type="spellEnd"/>
      <w:r w:rsidRPr="00941934">
        <w:rPr>
          <w:lang w:val="pt-PT"/>
        </w:rPr>
        <w:t xml:space="preserve">, equipamentos e infraestrutura do </w:t>
      </w:r>
      <w:proofErr w:type="spellStart"/>
      <w:r w:rsidRPr="00941934">
        <w:rPr>
          <w:lang w:val="pt-PT"/>
        </w:rPr>
        <w:t>projecto</w:t>
      </w:r>
      <w:proofErr w:type="spellEnd"/>
      <w:r w:rsidRPr="00941934">
        <w:rPr>
          <w:lang w:val="pt-PT"/>
        </w:rPr>
        <w:t xml:space="preserve"> podem aumentar a exposição da comunidade a riscos e impactos. E, além disso, comunidades que já foram submetidas aos impactos das alterações climáticas também podem sofrer com uma aceleração ou intensificação dos impactos em decorrência das atividades de </w:t>
      </w:r>
      <w:proofErr w:type="spellStart"/>
      <w:r w:rsidRPr="00941934">
        <w:rPr>
          <w:lang w:val="pt-PT"/>
        </w:rPr>
        <w:t>projecto</w:t>
      </w:r>
      <w:proofErr w:type="spellEnd"/>
      <w:r w:rsidRPr="00941934">
        <w:rPr>
          <w:lang w:val="pt-PT"/>
        </w:rPr>
        <w:t>. A responsabilidade está em evitar ou minimizar tais riscos e impactos, com especial atenção a indivíduos que, em virtude das suas circunstâncias específicas, possam ser vulneráveis. Inclui-se aqui o chamado “Guião sobre Ambiente, Saúde e Segurança”, considerado como um dos planos de ação propostos para atendimento à NAS4.</w:t>
      </w:r>
    </w:p>
    <w:p w14:paraId="0CBD3B0A" w14:textId="77777777" w:rsidR="00411098" w:rsidRPr="00941934" w:rsidRDefault="00411098" w:rsidP="00411098">
      <w:pPr>
        <w:pStyle w:val="ListParagraph"/>
        <w:numPr>
          <w:ilvl w:val="0"/>
          <w:numId w:val="0"/>
        </w:numPr>
        <w:ind w:left="720"/>
        <w:rPr>
          <w:lang w:val="pt-PT"/>
        </w:rPr>
      </w:pPr>
    </w:p>
    <w:p w14:paraId="528EB7D7" w14:textId="77777777" w:rsidR="00411098" w:rsidRPr="00941934" w:rsidRDefault="00411098" w:rsidP="00411098">
      <w:pPr>
        <w:pStyle w:val="ListParagraph"/>
        <w:numPr>
          <w:ilvl w:val="0"/>
          <w:numId w:val="255"/>
        </w:numPr>
        <w:rPr>
          <w:lang w:val="pt-PT"/>
        </w:rPr>
      </w:pPr>
      <w:r w:rsidRPr="00941934">
        <w:rPr>
          <w:lang w:val="pt-PT"/>
        </w:rPr>
        <w:t xml:space="preserve">NAS 5 (Aquisição de Terras, Restrições ao uso da Terra e Reassentamento Involuntário): A NAS5 contém requisitos para orientar para planificar, evitar/responder à necessidade de reassentamento físico ou económico devido às atividades do </w:t>
      </w:r>
      <w:proofErr w:type="spellStart"/>
      <w:r w:rsidRPr="00941934">
        <w:rPr>
          <w:lang w:val="pt-PT"/>
        </w:rPr>
        <w:t>projecto</w:t>
      </w:r>
      <w:proofErr w:type="spellEnd"/>
      <w:r w:rsidRPr="00941934">
        <w:rPr>
          <w:lang w:val="pt-PT"/>
        </w:rPr>
        <w:t xml:space="preserve">, incluindo </w:t>
      </w:r>
      <w:proofErr w:type="spellStart"/>
      <w:r w:rsidRPr="00941934">
        <w:rPr>
          <w:lang w:val="pt-PT"/>
        </w:rPr>
        <w:t>aspectos</w:t>
      </w:r>
      <w:proofErr w:type="spellEnd"/>
      <w:r w:rsidRPr="00941934">
        <w:rPr>
          <w:lang w:val="pt-PT"/>
        </w:rPr>
        <w:t xml:space="preserve"> de divulgação de informação e processo de consulta com as partes </w:t>
      </w:r>
      <w:proofErr w:type="spellStart"/>
      <w:r w:rsidRPr="00941934">
        <w:rPr>
          <w:lang w:val="pt-PT"/>
        </w:rPr>
        <w:t>afectadas</w:t>
      </w:r>
      <w:proofErr w:type="spellEnd"/>
      <w:r w:rsidRPr="00941934">
        <w:rPr>
          <w:lang w:val="pt-PT"/>
        </w:rPr>
        <w:t xml:space="preserve">/interessadas. Esta NAS Reconhece que a aquisição de terras para o </w:t>
      </w:r>
      <w:proofErr w:type="spellStart"/>
      <w:r w:rsidRPr="00941934">
        <w:rPr>
          <w:lang w:val="pt-PT"/>
        </w:rPr>
        <w:t>projecto</w:t>
      </w:r>
      <w:proofErr w:type="spellEnd"/>
      <w:r w:rsidRPr="00941934">
        <w:rPr>
          <w:lang w:val="pt-PT"/>
        </w:rPr>
        <w:t xml:space="preserve"> ou restrições ao uso das terras podem provocar o desalojamento físico (relocalização, perda de terras residenciais ou de abrigo), perdas econômicas (perda de terras, ativos ou acesso a ativos, incluindo os que levem à perda de fontes de rendimentos ou outros meios de subsistência) ou ambos. Sempre que possível, deve-se evitar o reassentamento involuntário ou, quando inevitável, explorando alternativas de conceição do </w:t>
      </w:r>
      <w:proofErr w:type="spellStart"/>
      <w:r w:rsidRPr="00941934">
        <w:rPr>
          <w:lang w:val="pt-PT"/>
        </w:rPr>
        <w:t>projecto</w:t>
      </w:r>
      <w:proofErr w:type="spellEnd"/>
      <w:r w:rsidRPr="00941934">
        <w:rPr>
          <w:lang w:val="pt-PT"/>
        </w:rPr>
        <w:t>, de modo a assegurar que o despejo forçado seja evitado, e sempre mitigando os impactos sociais e econômicos negativos inevitáveis ligados à aquisição de terras ou restrições ao uso da terra.</w:t>
      </w:r>
    </w:p>
    <w:p w14:paraId="482F8F55" w14:textId="77777777" w:rsidR="00411098" w:rsidRPr="00941934" w:rsidRDefault="00411098" w:rsidP="00411098">
      <w:pPr>
        <w:pStyle w:val="ListParagraph"/>
        <w:numPr>
          <w:ilvl w:val="0"/>
          <w:numId w:val="0"/>
        </w:numPr>
        <w:ind w:left="720"/>
        <w:rPr>
          <w:lang w:val="pt-PT"/>
        </w:rPr>
      </w:pPr>
    </w:p>
    <w:p w14:paraId="639A916F" w14:textId="77777777" w:rsidR="00411098" w:rsidRPr="00941934" w:rsidRDefault="00411098" w:rsidP="00411098">
      <w:pPr>
        <w:pStyle w:val="ListParagraph"/>
        <w:numPr>
          <w:ilvl w:val="0"/>
          <w:numId w:val="255"/>
        </w:numPr>
        <w:rPr>
          <w:lang w:val="pt-PT"/>
        </w:rPr>
      </w:pPr>
      <w:r w:rsidRPr="00941934">
        <w:rPr>
          <w:lang w:val="pt-PT"/>
        </w:rPr>
        <w:t xml:space="preserve">NAS 6 (Conservação da Biodiversidade e Gestão Sustentável de Recursos Naturais Vivos): A NAS6 é relativa aos requisitos que deve ser observado na </w:t>
      </w:r>
      <w:proofErr w:type="spellStart"/>
      <w:r w:rsidRPr="00941934">
        <w:rPr>
          <w:lang w:val="pt-PT"/>
        </w:rPr>
        <w:t>protecção</w:t>
      </w:r>
      <w:proofErr w:type="spellEnd"/>
      <w:r w:rsidRPr="00941934">
        <w:rPr>
          <w:lang w:val="pt-PT"/>
        </w:rPr>
        <w:t xml:space="preserve"> e conservação da biodiversidade e habitats, incluindo apoio aos meios de subsistência das comunidades locais. Esta NAS Reconhece que a proteção e conservação da biodiversidade e a gestão sustentável dos recursos naturais vivos são fundamentais para o desenvolvimento sustentável; e, reconhece a importância da manutenção das funções </w:t>
      </w:r>
      <w:r w:rsidRPr="00941934">
        <w:rPr>
          <w:lang w:val="pt-PT"/>
        </w:rPr>
        <w:lastRenderedPageBreak/>
        <w:t xml:space="preserve">ecológicas essenciais dos habitats, incluindo florestas e a biodiversidade que sustentam. A NAS6 aplica-se aos </w:t>
      </w:r>
      <w:proofErr w:type="spellStart"/>
      <w:r w:rsidRPr="00941934">
        <w:rPr>
          <w:lang w:val="pt-PT"/>
        </w:rPr>
        <w:t>projectos</w:t>
      </w:r>
      <w:proofErr w:type="spellEnd"/>
      <w:r w:rsidRPr="00941934">
        <w:rPr>
          <w:lang w:val="pt-PT"/>
        </w:rPr>
        <w:t xml:space="preserve"> que </w:t>
      </w:r>
      <w:proofErr w:type="spellStart"/>
      <w:r w:rsidRPr="00941934">
        <w:rPr>
          <w:lang w:val="pt-PT"/>
        </w:rPr>
        <w:t>afeCtam</w:t>
      </w:r>
      <w:proofErr w:type="spellEnd"/>
      <w:r w:rsidRPr="00941934">
        <w:rPr>
          <w:lang w:val="pt-PT"/>
        </w:rPr>
        <w:t xml:space="preserve"> potencialmente a biodiversidade ou os habitats, sejam de forma positiva ou negativa, </w:t>
      </w:r>
      <w:proofErr w:type="spellStart"/>
      <w:r w:rsidRPr="00941934">
        <w:rPr>
          <w:lang w:val="pt-PT"/>
        </w:rPr>
        <w:t>directa</w:t>
      </w:r>
      <w:proofErr w:type="spellEnd"/>
      <w:r w:rsidRPr="00941934">
        <w:rPr>
          <w:lang w:val="pt-PT"/>
        </w:rPr>
        <w:t xml:space="preserve"> ou </w:t>
      </w:r>
      <w:proofErr w:type="spellStart"/>
      <w:r w:rsidRPr="00941934">
        <w:rPr>
          <w:lang w:val="pt-PT"/>
        </w:rPr>
        <w:t>indirectamente</w:t>
      </w:r>
      <w:proofErr w:type="spellEnd"/>
      <w:r w:rsidRPr="00941934">
        <w:rPr>
          <w:lang w:val="pt-PT"/>
        </w:rPr>
        <w:t>, ou que dependam da biodiversidade para o seu sucesso.</w:t>
      </w:r>
    </w:p>
    <w:p w14:paraId="3BCA3C32" w14:textId="77777777" w:rsidR="00411098" w:rsidRPr="00941934" w:rsidRDefault="00411098" w:rsidP="00411098">
      <w:pPr>
        <w:pStyle w:val="ListParagraph"/>
        <w:numPr>
          <w:ilvl w:val="0"/>
          <w:numId w:val="0"/>
        </w:numPr>
        <w:ind w:left="720"/>
        <w:rPr>
          <w:lang w:val="pt-PT"/>
        </w:rPr>
      </w:pPr>
    </w:p>
    <w:p w14:paraId="58742114" w14:textId="77777777" w:rsidR="00411098" w:rsidRPr="00941934" w:rsidRDefault="00411098" w:rsidP="00411098">
      <w:pPr>
        <w:pStyle w:val="ListParagraph"/>
        <w:numPr>
          <w:ilvl w:val="0"/>
          <w:numId w:val="255"/>
        </w:numPr>
        <w:rPr>
          <w:lang w:val="pt-PT"/>
        </w:rPr>
      </w:pPr>
      <w:r w:rsidRPr="00941934">
        <w:rPr>
          <w:lang w:val="pt-PT"/>
        </w:rPr>
        <w:t xml:space="preserve">NAS 8: (Patrimônio Cultural): A NAS8 contém disposições que suportam à proteção no caso de </w:t>
      </w:r>
      <w:proofErr w:type="spellStart"/>
      <w:r w:rsidRPr="00941934">
        <w:rPr>
          <w:lang w:val="pt-PT"/>
        </w:rPr>
        <w:t>afectação</w:t>
      </w:r>
      <w:proofErr w:type="spellEnd"/>
      <w:r w:rsidRPr="00941934">
        <w:rPr>
          <w:lang w:val="pt-PT"/>
        </w:rPr>
        <w:t xml:space="preserve"> do património cultural tangível e não tangível. Esta, reconhece que o património cultural, em formas tangíveis ou intangíveis, são fonte de informação científica e histórica valiosa, como ativo econômico e social para o desenvolvimento e como parte fundamental da identidade e prática cultural dos indivíduos. Tem como </w:t>
      </w:r>
      <w:proofErr w:type="spellStart"/>
      <w:r w:rsidRPr="00941934">
        <w:rPr>
          <w:lang w:val="pt-PT"/>
        </w:rPr>
        <w:t>objectivos</w:t>
      </w:r>
      <w:proofErr w:type="spellEnd"/>
      <w:r w:rsidRPr="00941934">
        <w:rPr>
          <w:lang w:val="pt-PT"/>
        </w:rPr>
        <w:t xml:space="preserve"> proteger o património cultural dos impactos negativos das </w:t>
      </w:r>
      <w:proofErr w:type="spellStart"/>
      <w:r w:rsidRPr="00941934">
        <w:rPr>
          <w:lang w:val="pt-PT"/>
        </w:rPr>
        <w:t>actividades</w:t>
      </w:r>
      <w:proofErr w:type="spellEnd"/>
      <w:r w:rsidRPr="00941934">
        <w:rPr>
          <w:lang w:val="pt-PT"/>
        </w:rPr>
        <w:t xml:space="preserve"> do </w:t>
      </w:r>
      <w:proofErr w:type="spellStart"/>
      <w:r w:rsidRPr="00941934">
        <w:rPr>
          <w:lang w:val="pt-PT"/>
        </w:rPr>
        <w:t>projecto</w:t>
      </w:r>
      <w:proofErr w:type="spellEnd"/>
      <w:r w:rsidRPr="00941934">
        <w:rPr>
          <w:lang w:val="pt-PT"/>
        </w:rPr>
        <w:t xml:space="preserve"> e apoiar a sua preservação, reconhecendo-o como um </w:t>
      </w:r>
      <w:proofErr w:type="spellStart"/>
      <w:r w:rsidRPr="00941934">
        <w:rPr>
          <w:lang w:val="pt-PT"/>
        </w:rPr>
        <w:t>aspecto</w:t>
      </w:r>
      <w:proofErr w:type="spellEnd"/>
      <w:r w:rsidRPr="00941934">
        <w:rPr>
          <w:lang w:val="pt-PT"/>
        </w:rPr>
        <w:t xml:space="preserve"> fundamental do desenvolvimento sustentável.</w:t>
      </w:r>
    </w:p>
    <w:p w14:paraId="7A25F113" w14:textId="77777777" w:rsidR="00411098" w:rsidRPr="00941934" w:rsidRDefault="00411098" w:rsidP="00411098">
      <w:pPr>
        <w:pStyle w:val="ListParagraph"/>
        <w:numPr>
          <w:ilvl w:val="0"/>
          <w:numId w:val="0"/>
        </w:numPr>
        <w:ind w:left="720"/>
        <w:rPr>
          <w:lang w:val="pt-PT"/>
        </w:rPr>
      </w:pPr>
    </w:p>
    <w:p w14:paraId="1C9E6CED" w14:textId="77777777" w:rsidR="00411098" w:rsidRPr="00941934" w:rsidRDefault="00411098" w:rsidP="00411098">
      <w:pPr>
        <w:pStyle w:val="ListParagraph"/>
        <w:numPr>
          <w:ilvl w:val="0"/>
          <w:numId w:val="255"/>
        </w:numPr>
        <w:rPr>
          <w:lang w:val="pt-PT"/>
        </w:rPr>
      </w:pPr>
      <w:r w:rsidRPr="00941934">
        <w:rPr>
          <w:lang w:val="pt-PT"/>
        </w:rPr>
        <w:t xml:space="preserve">NAS 10 (Envolvimento das Partes Interessadas e Divulgação de Informação): A NAS 10 contém disposições que permitem identificar, envolver partes interessadas locais ou outras durante o ciclo de implementação do </w:t>
      </w:r>
      <w:proofErr w:type="spellStart"/>
      <w:r w:rsidRPr="00941934">
        <w:rPr>
          <w:lang w:val="pt-PT"/>
        </w:rPr>
        <w:t>projecto</w:t>
      </w:r>
      <w:proofErr w:type="spellEnd"/>
      <w:r w:rsidRPr="00941934">
        <w:rPr>
          <w:lang w:val="pt-PT"/>
        </w:rPr>
        <w:t xml:space="preserve">, divulgação de informação do </w:t>
      </w:r>
      <w:proofErr w:type="spellStart"/>
      <w:r w:rsidRPr="00941934">
        <w:rPr>
          <w:lang w:val="pt-PT"/>
        </w:rPr>
        <w:t>projecto</w:t>
      </w:r>
      <w:proofErr w:type="spellEnd"/>
      <w:r w:rsidRPr="00941934">
        <w:rPr>
          <w:lang w:val="pt-PT"/>
        </w:rPr>
        <w:t xml:space="preserve">, reparação de queixas para as partes interessadas exteriores. Esta NAS Reconhece a importância do processo de envolvimento aberto e transparente das partes interessadas como elemento essencial das boas práticas internacionais. O envolvimento eficaz das partes interessadas pode melhor a sustentabilidade ambiental e social dos </w:t>
      </w:r>
      <w:proofErr w:type="spellStart"/>
      <w:r w:rsidRPr="00941934">
        <w:rPr>
          <w:lang w:val="pt-PT"/>
        </w:rPr>
        <w:t>projectos</w:t>
      </w:r>
      <w:proofErr w:type="spellEnd"/>
      <w:r w:rsidRPr="00941934">
        <w:rPr>
          <w:lang w:val="pt-PT"/>
        </w:rPr>
        <w:t xml:space="preserve">, melhorar a aceitação e oferecer contribuições significativas para a </w:t>
      </w:r>
      <w:proofErr w:type="spellStart"/>
      <w:r w:rsidRPr="00941934">
        <w:rPr>
          <w:lang w:val="pt-PT"/>
        </w:rPr>
        <w:t>concepção</w:t>
      </w:r>
      <w:proofErr w:type="spellEnd"/>
      <w:r w:rsidRPr="00941934">
        <w:rPr>
          <w:lang w:val="pt-PT"/>
        </w:rPr>
        <w:t xml:space="preserve"> e implementação eficaz do </w:t>
      </w:r>
      <w:proofErr w:type="spellStart"/>
      <w:r w:rsidRPr="00941934">
        <w:rPr>
          <w:lang w:val="pt-PT"/>
        </w:rPr>
        <w:t>projecto</w:t>
      </w:r>
      <w:proofErr w:type="spellEnd"/>
      <w:r w:rsidRPr="00941934">
        <w:rPr>
          <w:lang w:val="pt-PT"/>
        </w:rPr>
        <w:t xml:space="preserve"> Plano de Envolvimento das Partes Interessadas, Mecanismos de Queixas e Plano de Consultas Públicas e Participação.</w:t>
      </w:r>
    </w:p>
    <w:p w14:paraId="04C57FDE" w14:textId="77777777" w:rsidR="00411098" w:rsidRPr="00941934" w:rsidRDefault="00411098" w:rsidP="00411098">
      <w:pPr>
        <w:rPr>
          <w:lang w:val="pt-PT"/>
        </w:rPr>
      </w:pPr>
      <w:r w:rsidRPr="00941934">
        <w:rPr>
          <w:lang w:val="pt-PT"/>
        </w:rPr>
        <w:t xml:space="preserve">As NAS 7 e 9 não são aplicáveis pelo facto de em Moçambique e com particular enfoque na área de abrangência do </w:t>
      </w:r>
      <w:proofErr w:type="spellStart"/>
      <w:r w:rsidRPr="00941934">
        <w:rPr>
          <w:lang w:val="pt-PT"/>
        </w:rPr>
        <w:t>projecto</w:t>
      </w:r>
      <w:proofErr w:type="spellEnd"/>
      <w:r w:rsidRPr="00941934">
        <w:rPr>
          <w:lang w:val="pt-PT"/>
        </w:rPr>
        <w:t xml:space="preserve"> não se verifica a existência de povos indígenas/ comunidades locais tradicionais historicamente desfavoráveis da Africa Subsariana ou por outra o </w:t>
      </w:r>
      <w:proofErr w:type="spellStart"/>
      <w:r w:rsidRPr="00941934">
        <w:rPr>
          <w:lang w:val="pt-PT"/>
        </w:rPr>
        <w:t>projecto</w:t>
      </w:r>
      <w:proofErr w:type="spellEnd"/>
      <w:r w:rsidRPr="00941934">
        <w:rPr>
          <w:lang w:val="pt-PT"/>
        </w:rPr>
        <w:t xml:space="preserve"> não apresenta nenhum risco de </w:t>
      </w:r>
      <w:proofErr w:type="spellStart"/>
      <w:r w:rsidRPr="00941934">
        <w:rPr>
          <w:lang w:val="pt-PT"/>
        </w:rPr>
        <w:t>afectar</w:t>
      </w:r>
      <w:proofErr w:type="spellEnd"/>
      <w:r w:rsidRPr="00941934">
        <w:rPr>
          <w:lang w:val="pt-PT"/>
        </w:rPr>
        <w:t xml:space="preserve"> as Componentes desta norma (NAS7). Paralelamente, de acordo com as tipologias do </w:t>
      </w:r>
      <w:proofErr w:type="spellStart"/>
      <w:r w:rsidRPr="00941934">
        <w:rPr>
          <w:lang w:val="pt-PT"/>
        </w:rPr>
        <w:t>projecto</w:t>
      </w:r>
      <w:proofErr w:type="spellEnd"/>
      <w:r w:rsidRPr="00941934">
        <w:rPr>
          <w:lang w:val="pt-PT"/>
        </w:rPr>
        <w:t xml:space="preserve"> não se prevê de forma alguma a concessão de empréstimo (em forma de carteira) através de Intermediário Financiamento (IF) a terceiros e consequentemente não será necessário </w:t>
      </w:r>
      <w:proofErr w:type="spellStart"/>
      <w:r w:rsidRPr="00941934">
        <w:rPr>
          <w:lang w:val="pt-PT"/>
        </w:rPr>
        <w:t>activar</w:t>
      </w:r>
      <w:proofErr w:type="spellEnd"/>
      <w:r w:rsidRPr="00941934">
        <w:rPr>
          <w:lang w:val="pt-PT"/>
        </w:rPr>
        <w:t xml:space="preserve"> esta norma (NAS9). </w:t>
      </w:r>
    </w:p>
    <w:p w14:paraId="27C70ADE" w14:textId="77777777" w:rsidR="00411098" w:rsidRPr="00941934" w:rsidRDefault="00411098" w:rsidP="00411098">
      <w:pPr>
        <w:rPr>
          <w:lang w:val="pt-PT"/>
        </w:rPr>
      </w:pPr>
      <w:r w:rsidRPr="00941934">
        <w:rPr>
          <w:lang w:val="pt-PT"/>
        </w:rPr>
        <w:t xml:space="preserve">Conforme acima exposto, a NAS5 será o assunto de uma Estrutura de Política de Reassentamento que fornecerá orientações sobre questões relacionadas à aquisição de terras e reassentamento. Entretanto, nesta fase as informações sobre as </w:t>
      </w:r>
      <w:proofErr w:type="spellStart"/>
      <w:r w:rsidRPr="00941934">
        <w:rPr>
          <w:lang w:val="pt-PT"/>
        </w:rPr>
        <w:t>actividades</w:t>
      </w:r>
      <w:proofErr w:type="spellEnd"/>
      <w:r w:rsidRPr="00941934">
        <w:rPr>
          <w:lang w:val="pt-PT"/>
        </w:rPr>
        <w:t xml:space="preserve"> e locais dos subprojectos propostos ainda não foram finalizadas e não estarão disponíveis antes da aprovação do </w:t>
      </w:r>
      <w:proofErr w:type="spellStart"/>
      <w:r w:rsidRPr="00941934">
        <w:rPr>
          <w:lang w:val="pt-PT"/>
        </w:rPr>
        <w:t>projecto</w:t>
      </w:r>
      <w:proofErr w:type="spellEnd"/>
      <w:r w:rsidRPr="00941934">
        <w:rPr>
          <w:lang w:val="pt-PT"/>
        </w:rPr>
        <w:t xml:space="preserve"> pelo Banco Mundial. Contudo, é exigido que o mutuário prepare para divulgação pública, um Quadro de Gestão Ambiental e Social (QGAS), um Quadro de Políticas de Reassentamento e instrumentos adicionais apropriados à natureza e escala do </w:t>
      </w:r>
      <w:proofErr w:type="spellStart"/>
      <w:r w:rsidRPr="00941934">
        <w:rPr>
          <w:lang w:val="pt-PT"/>
        </w:rPr>
        <w:t>projecto</w:t>
      </w:r>
      <w:proofErr w:type="spellEnd"/>
      <w:r w:rsidRPr="00941934">
        <w:rPr>
          <w:lang w:val="pt-PT"/>
        </w:rPr>
        <w:t xml:space="preserve">. </w:t>
      </w:r>
    </w:p>
    <w:p w14:paraId="19F8A85D" w14:textId="77777777" w:rsidR="00411098" w:rsidRPr="00941934" w:rsidRDefault="00411098" w:rsidP="00411098">
      <w:pPr>
        <w:rPr>
          <w:bCs/>
          <w:lang w:val="pt-PT"/>
        </w:rPr>
      </w:pPr>
      <w:r w:rsidRPr="00941934">
        <w:rPr>
          <w:bCs/>
          <w:lang w:val="pt-PT"/>
        </w:rPr>
        <w:t xml:space="preserve">A “avaliação de risco ambiental e social” preliminar também classificou o Risco Social do </w:t>
      </w:r>
      <w:proofErr w:type="spellStart"/>
      <w:r w:rsidRPr="00941934">
        <w:rPr>
          <w:bCs/>
          <w:lang w:val="pt-PT"/>
        </w:rPr>
        <w:t>Projecto</w:t>
      </w:r>
      <w:proofErr w:type="spellEnd"/>
      <w:r w:rsidRPr="00941934">
        <w:rPr>
          <w:bCs/>
          <w:lang w:val="pt-PT"/>
        </w:rPr>
        <w:t xml:space="preserve"> como substancial devido ao potencial de aquisição de terra prevista sob as Componentes e nelas as </w:t>
      </w:r>
      <w:proofErr w:type="spellStart"/>
      <w:r w:rsidRPr="00941934">
        <w:rPr>
          <w:bCs/>
          <w:lang w:val="pt-PT"/>
        </w:rPr>
        <w:t>actividades</w:t>
      </w:r>
      <w:proofErr w:type="spellEnd"/>
      <w:r w:rsidRPr="00941934">
        <w:rPr>
          <w:bCs/>
          <w:lang w:val="pt-PT"/>
        </w:rPr>
        <w:t xml:space="preserve"> que no caso são menos complexas, de menores em escala ou menos sensíveis que de alto risco. </w:t>
      </w:r>
    </w:p>
    <w:p w14:paraId="735FB6B9" w14:textId="0435DB89" w:rsidR="00411098" w:rsidRPr="00941934" w:rsidRDefault="00411098" w:rsidP="00411098">
      <w:pPr>
        <w:rPr>
          <w:rFonts w:asciiTheme="minorHAnsi" w:hAnsiTheme="minorHAnsi" w:cstheme="minorHAnsi"/>
          <w:lang w:val="pt-PT" w:eastAsia="ja-JP"/>
        </w:rPr>
      </w:pPr>
      <w:r w:rsidRPr="00941934">
        <w:rPr>
          <w:lang w:val="pt-PT" w:eastAsia="ja-JP"/>
        </w:rPr>
        <w:t xml:space="preserve">As NAS foram concebidas para auxiliar os Mutuários na gestão dos riscos e impactos de um </w:t>
      </w:r>
      <w:proofErr w:type="spellStart"/>
      <w:r w:rsidRPr="00941934">
        <w:rPr>
          <w:lang w:val="pt-PT" w:eastAsia="ja-JP"/>
        </w:rPr>
        <w:t>projecto</w:t>
      </w:r>
      <w:proofErr w:type="spellEnd"/>
      <w:r w:rsidRPr="00941934">
        <w:rPr>
          <w:lang w:val="pt-PT" w:eastAsia="ja-JP"/>
        </w:rPr>
        <w:t xml:space="preserve">, e na melhoria do seu desempenho ambiental e social, através de uma estratégia baseada em riscos e resultados. Para além da conformidade com os requisitos do Quadro Ambiental Social, o Mutuário deve garantir o cumprimento das </w:t>
      </w:r>
      <w:proofErr w:type="spellStart"/>
      <w:r w:rsidRPr="00941934">
        <w:rPr>
          <w:lang w:val="pt-PT" w:eastAsia="ja-JP"/>
        </w:rPr>
        <w:t>Directrizes</w:t>
      </w:r>
      <w:proofErr w:type="spellEnd"/>
      <w:r w:rsidRPr="00941934">
        <w:rPr>
          <w:lang w:val="pt-PT" w:eastAsia="ja-JP"/>
        </w:rPr>
        <w:t xml:space="preserve"> Ambientais de Saúde </w:t>
      </w:r>
      <w:r w:rsidRPr="00941934">
        <w:rPr>
          <w:rFonts w:asciiTheme="minorHAnsi" w:hAnsiTheme="minorHAnsi" w:cstheme="minorHAnsi"/>
          <w:lang w:val="pt-PT" w:eastAsia="ja-JP"/>
        </w:rPr>
        <w:t>e Segurança (DASS)</w:t>
      </w:r>
      <w:r w:rsidR="008D76CB">
        <w:rPr>
          <w:rFonts w:asciiTheme="minorHAnsi" w:hAnsiTheme="minorHAnsi" w:cstheme="minorHAnsi"/>
          <w:lang w:val="pt-PT" w:eastAsia="ja-JP"/>
        </w:rPr>
        <w:t xml:space="preserve"> e as </w:t>
      </w:r>
      <w:proofErr w:type="spellStart"/>
      <w:r w:rsidR="008D76CB">
        <w:rPr>
          <w:rFonts w:asciiTheme="minorHAnsi" w:hAnsiTheme="minorHAnsi" w:cstheme="minorHAnsi"/>
          <w:lang w:val="pt-PT" w:eastAsia="ja-JP"/>
        </w:rPr>
        <w:t>Directrizes</w:t>
      </w:r>
      <w:proofErr w:type="spellEnd"/>
      <w:r w:rsidR="008D76CB">
        <w:rPr>
          <w:rFonts w:asciiTheme="minorHAnsi" w:hAnsiTheme="minorHAnsi" w:cstheme="minorHAnsi"/>
          <w:lang w:val="pt-PT" w:eastAsia="ja-JP"/>
        </w:rPr>
        <w:t xml:space="preserve"> de Ambiente, Saúde e Segurança para Água e Saneamento</w:t>
      </w:r>
      <w:r w:rsidRPr="00941934">
        <w:rPr>
          <w:rFonts w:asciiTheme="minorHAnsi" w:hAnsiTheme="minorHAnsi" w:cstheme="minorHAnsi"/>
          <w:lang w:val="pt-PT" w:eastAsia="ja-JP"/>
        </w:rPr>
        <w:t xml:space="preserve"> </w:t>
      </w:r>
      <w:r w:rsidRPr="00941934">
        <w:rPr>
          <w:rFonts w:asciiTheme="minorHAnsi" w:hAnsiTheme="minorHAnsi" w:cstheme="minorHAnsi"/>
          <w:lang w:val="pt-PT" w:eastAsia="ja-JP"/>
        </w:rPr>
        <w:lastRenderedPageBreak/>
        <w:t xml:space="preserve">do Grupo Banco Mundial.  Para a elaboração deste QGAS fez se também recorrência à várias Notas de Orientação para Mutuários, nomeadamente: </w:t>
      </w:r>
    </w:p>
    <w:p w14:paraId="39F1C73A" w14:textId="77777777" w:rsidR="00411098" w:rsidRPr="00941934" w:rsidRDefault="00411098" w:rsidP="00411098">
      <w:pPr>
        <w:pStyle w:val="ListParagraph"/>
        <w:rPr>
          <w:rFonts w:asciiTheme="minorHAnsi" w:hAnsiTheme="minorHAnsi" w:cstheme="minorHAnsi"/>
          <w:lang w:val="pt-PT" w:eastAsia="ja-JP"/>
        </w:rPr>
      </w:pPr>
      <w:r w:rsidRPr="00941934">
        <w:rPr>
          <w:rFonts w:asciiTheme="minorHAnsi" w:hAnsiTheme="minorHAnsi" w:cstheme="minorHAnsi"/>
          <w:lang w:val="pt-PT" w:eastAsia="ja-JP"/>
        </w:rPr>
        <w:t xml:space="preserve">Notas de Orientação para Mutuários concernentes as NAS 1-10 com </w:t>
      </w:r>
      <w:proofErr w:type="spellStart"/>
      <w:r w:rsidRPr="00941934">
        <w:rPr>
          <w:rFonts w:asciiTheme="minorHAnsi" w:hAnsiTheme="minorHAnsi" w:cstheme="minorHAnsi"/>
          <w:lang w:val="pt-PT" w:eastAsia="ja-JP"/>
        </w:rPr>
        <w:t>excepção</w:t>
      </w:r>
      <w:proofErr w:type="spellEnd"/>
      <w:r w:rsidRPr="00941934">
        <w:rPr>
          <w:rFonts w:asciiTheme="minorHAnsi" w:hAnsiTheme="minorHAnsi" w:cstheme="minorHAnsi"/>
          <w:lang w:val="pt-PT" w:eastAsia="ja-JP"/>
        </w:rPr>
        <w:t xml:space="preserve"> das NAS 7 e 9</w:t>
      </w:r>
    </w:p>
    <w:p w14:paraId="0B74C4D4" w14:textId="77777777" w:rsidR="00411098" w:rsidRPr="00941934" w:rsidRDefault="00411098" w:rsidP="00411098">
      <w:pPr>
        <w:pStyle w:val="ListParagraph"/>
        <w:rPr>
          <w:rFonts w:asciiTheme="minorHAnsi" w:hAnsiTheme="minorHAnsi" w:cstheme="minorHAnsi"/>
          <w:lang w:val="pt-PT" w:eastAsia="ja-JP"/>
        </w:rPr>
      </w:pPr>
      <w:r w:rsidRPr="00941934">
        <w:rPr>
          <w:rFonts w:asciiTheme="minorHAnsi" w:hAnsiTheme="minorHAnsi" w:cstheme="minorHAnsi"/>
          <w:lang w:val="pt-PT" w:eastAsia="ja-JP"/>
        </w:rPr>
        <w:t xml:space="preserve">Notas de Boas Práticas de Gestão do Desempenho Ambiental e Social de Empreiteiros </w:t>
      </w:r>
    </w:p>
    <w:p w14:paraId="19AFBACE" w14:textId="77777777" w:rsidR="00411098" w:rsidRPr="00941934" w:rsidRDefault="00411098" w:rsidP="00411098">
      <w:pPr>
        <w:pStyle w:val="ListParagraph"/>
        <w:rPr>
          <w:rFonts w:asciiTheme="minorHAnsi" w:hAnsiTheme="minorHAnsi" w:cstheme="minorHAnsi"/>
          <w:lang w:val="pt-PT" w:eastAsia="ja-JP"/>
        </w:rPr>
      </w:pPr>
      <w:r w:rsidRPr="00941934">
        <w:rPr>
          <w:rFonts w:asciiTheme="minorHAnsi" w:hAnsiTheme="minorHAnsi" w:cstheme="minorHAnsi"/>
          <w:lang w:val="pt-PT" w:eastAsia="ja-JP"/>
        </w:rPr>
        <w:t>Notas de Boas Práticas sobre as questões de Género</w:t>
      </w:r>
    </w:p>
    <w:p w14:paraId="059E36BF" w14:textId="77777777" w:rsidR="00411098" w:rsidRPr="00941934" w:rsidRDefault="00411098" w:rsidP="00411098">
      <w:pPr>
        <w:pStyle w:val="ListParagraph"/>
        <w:rPr>
          <w:rFonts w:asciiTheme="minorHAnsi" w:hAnsiTheme="minorHAnsi" w:cstheme="minorHAnsi"/>
          <w:lang w:val="pt-PT" w:eastAsia="ja-JP"/>
        </w:rPr>
      </w:pPr>
      <w:r w:rsidRPr="00941934">
        <w:rPr>
          <w:rFonts w:asciiTheme="minorHAnsi" w:hAnsiTheme="minorHAnsi" w:cstheme="minorHAnsi"/>
          <w:lang w:val="pt-PT" w:eastAsia="ja-JP"/>
        </w:rPr>
        <w:t>Notas de Boas Práticas sobre a Monitorização por Terceiros</w:t>
      </w:r>
    </w:p>
    <w:p w14:paraId="21A702EC" w14:textId="77777777" w:rsidR="00411098" w:rsidRPr="00941934" w:rsidRDefault="00411098" w:rsidP="00411098">
      <w:pPr>
        <w:pStyle w:val="ListParagraph"/>
        <w:rPr>
          <w:rFonts w:asciiTheme="minorHAnsi" w:hAnsiTheme="minorHAnsi" w:cstheme="minorHAnsi"/>
          <w:lang w:val="pt-PT" w:eastAsia="ja-JP"/>
        </w:rPr>
      </w:pPr>
      <w:r w:rsidRPr="00941934">
        <w:rPr>
          <w:rFonts w:asciiTheme="minorHAnsi" w:hAnsiTheme="minorHAnsi" w:cstheme="minorHAnsi"/>
          <w:lang w:val="pt-PT" w:eastAsia="ja-JP"/>
        </w:rPr>
        <w:t xml:space="preserve">Manual de Implementação de Sistema de Gestão Ambiental e Social </w:t>
      </w:r>
    </w:p>
    <w:p w14:paraId="1F27E0CB" w14:textId="77777777" w:rsidR="00411098" w:rsidRPr="00941934" w:rsidRDefault="00411098" w:rsidP="00411098">
      <w:pPr>
        <w:pStyle w:val="ListParagraph"/>
        <w:rPr>
          <w:rFonts w:asciiTheme="minorHAnsi" w:hAnsiTheme="minorHAnsi" w:cstheme="minorHAnsi"/>
          <w:lang w:val="pt-PT" w:eastAsia="ja-JP"/>
        </w:rPr>
      </w:pPr>
      <w:r w:rsidRPr="00941934">
        <w:rPr>
          <w:rFonts w:asciiTheme="minorHAnsi" w:hAnsiTheme="minorHAnsi" w:cstheme="minorHAnsi"/>
          <w:lang w:val="pt-PT" w:eastAsia="ja-JP"/>
        </w:rPr>
        <w:t>Notas de Boas Práticas sobre a Segurança Rodoviária</w:t>
      </w:r>
    </w:p>
    <w:p w14:paraId="57E7830B" w14:textId="77777777" w:rsidR="00411098" w:rsidRPr="00941934" w:rsidRDefault="00411098" w:rsidP="00411098">
      <w:pPr>
        <w:pStyle w:val="ListParagraph"/>
        <w:rPr>
          <w:rFonts w:asciiTheme="minorHAnsi" w:hAnsiTheme="minorHAnsi" w:cstheme="minorHAnsi"/>
          <w:lang w:val="pt-PT" w:eastAsia="ja-JP"/>
        </w:rPr>
      </w:pPr>
      <w:r w:rsidRPr="00941934">
        <w:rPr>
          <w:rFonts w:asciiTheme="minorHAnsi" w:hAnsiTheme="minorHAnsi" w:cstheme="minorHAnsi"/>
          <w:lang w:val="pt-PT" w:eastAsia="ja-JP"/>
        </w:rPr>
        <w:t>Notas de Boas Práticas sobre a não Discriminação e Deficiência</w:t>
      </w:r>
    </w:p>
    <w:p w14:paraId="679B18C8" w14:textId="77777777" w:rsidR="00411098" w:rsidRPr="00941934" w:rsidRDefault="00411098" w:rsidP="00411098">
      <w:pPr>
        <w:pStyle w:val="ListParagraph"/>
        <w:rPr>
          <w:rFonts w:asciiTheme="minorHAnsi" w:hAnsiTheme="minorHAnsi" w:cstheme="minorHAnsi"/>
          <w:lang w:val="pt-PT" w:eastAsia="ja-JP"/>
        </w:rPr>
      </w:pPr>
      <w:r w:rsidRPr="00941934">
        <w:rPr>
          <w:rFonts w:asciiTheme="minorHAnsi" w:hAnsiTheme="minorHAnsi" w:cstheme="minorHAnsi"/>
          <w:lang w:val="pt-PT" w:eastAsia="ja-JP"/>
        </w:rPr>
        <w:t xml:space="preserve">Notas de Boas Práticas sobre Não Discriminação por Orientação Sexual e Identidade de Género </w:t>
      </w:r>
    </w:p>
    <w:p w14:paraId="44129E0D" w14:textId="77777777" w:rsidR="00411098" w:rsidRPr="00941934" w:rsidRDefault="00411098" w:rsidP="00411098">
      <w:pPr>
        <w:pStyle w:val="ListParagraph"/>
        <w:rPr>
          <w:rFonts w:asciiTheme="minorHAnsi" w:hAnsiTheme="minorHAnsi" w:cstheme="minorHAnsi"/>
          <w:lang w:val="pt-PT" w:eastAsia="ja-JP"/>
        </w:rPr>
      </w:pPr>
      <w:r w:rsidRPr="00941934">
        <w:rPr>
          <w:rFonts w:asciiTheme="minorHAnsi" w:hAnsiTheme="minorHAnsi" w:cstheme="minorHAnsi"/>
          <w:lang w:val="pt-PT" w:eastAsia="ja-JP"/>
        </w:rPr>
        <w:t xml:space="preserve">Manual de Boas Práticas sobre a Avaliação e Gestão dos Impactos Cumulativos: Guia para o Sector Privado em Mercados Emergentes. </w:t>
      </w:r>
    </w:p>
    <w:p w14:paraId="19463A0F" w14:textId="77777777" w:rsidR="00411098" w:rsidRPr="00941934" w:rsidRDefault="00411098" w:rsidP="00411098">
      <w:pPr>
        <w:rPr>
          <w:rFonts w:asciiTheme="minorHAnsi" w:hAnsiTheme="minorHAnsi" w:cstheme="minorHAnsi"/>
          <w:lang w:val="pt-PT"/>
        </w:rPr>
      </w:pPr>
      <w:r w:rsidRPr="00941934">
        <w:rPr>
          <w:rFonts w:asciiTheme="minorHAnsi" w:hAnsiTheme="minorHAnsi" w:cstheme="minorHAnsi"/>
          <w:lang w:val="pt-PT"/>
        </w:rPr>
        <w:t xml:space="preserve">A legislação moçambicana é desenvolvida e cobre quase todas as áreas abordadas pelas Normas Ambientais e Sociais do Banco Mundial, porém as NAS do BM são muito específicos e detalhista em alguns pontos e impõe o cumprimento das </w:t>
      </w:r>
      <w:proofErr w:type="spellStart"/>
      <w:r w:rsidRPr="00941934">
        <w:rPr>
          <w:rFonts w:asciiTheme="minorHAnsi" w:hAnsiTheme="minorHAnsi" w:cstheme="minorHAnsi"/>
          <w:lang w:val="pt-PT"/>
        </w:rPr>
        <w:t>NASs</w:t>
      </w:r>
      <w:proofErr w:type="spellEnd"/>
      <w:r w:rsidRPr="00941934">
        <w:rPr>
          <w:rFonts w:asciiTheme="minorHAnsi" w:hAnsiTheme="minorHAnsi" w:cstheme="minorHAnsi"/>
          <w:lang w:val="pt-PT"/>
        </w:rPr>
        <w:t xml:space="preserve"> principalmente em </w:t>
      </w:r>
      <w:proofErr w:type="spellStart"/>
      <w:r w:rsidRPr="00941934">
        <w:rPr>
          <w:rFonts w:asciiTheme="minorHAnsi" w:hAnsiTheme="minorHAnsi" w:cstheme="minorHAnsi"/>
          <w:lang w:val="pt-PT"/>
        </w:rPr>
        <w:t>Projectos</w:t>
      </w:r>
      <w:proofErr w:type="spellEnd"/>
      <w:r w:rsidRPr="00941934">
        <w:rPr>
          <w:rFonts w:asciiTheme="minorHAnsi" w:hAnsiTheme="minorHAnsi" w:cstheme="minorHAnsi"/>
          <w:lang w:val="pt-PT"/>
        </w:rPr>
        <w:t xml:space="preserve"> considerados como sendo de Alto Risco. A legislação nacional fornece bases suficientes para gerir os riscos e impactos ambientais e sociais das </w:t>
      </w:r>
      <w:proofErr w:type="spellStart"/>
      <w:r w:rsidRPr="00941934">
        <w:rPr>
          <w:rFonts w:asciiTheme="minorHAnsi" w:hAnsiTheme="minorHAnsi" w:cstheme="minorHAnsi"/>
          <w:lang w:val="pt-PT"/>
        </w:rPr>
        <w:t>actividades</w:t>
      </w:r>
      <w:proofErr w:type="spellEnd"/>
      <w:r w:rsidRPr="00941934">
        <w:rPr>
          <w:rFonts w:asciiTheme="minorHAnsi" w:hAnsiTheme="minorHAnsi" w:cstheme="minorHAnsi"/>
          <w:lang w:val="pt-PT"/>
        </w:rPr>
        <w:t xml:space="preserve"> propostas pelo </w:t>
      </w:r>
      <w:proofErr w:type="spellStart"/>
      <w:r w:rsidRPr="00941934">
        <w:rPr>
          <w:rFonts w:asciiTheme="minorHAnsi" w:hAnsiTheme="minorHAnsi" w:cstheme="minorHAnsi"/>
          <w:lang w:val="pt-PT"/>
        </w:rPr>
        <w:t>projecto</w:t>
      </w:r>
      <w:proofErr w:type="spellEnd"/>
      <w:r w:rsidRPr="00941934">
        <w:rPr>
          <w:rFonts w:asciiTheme="minorHAnsi" w:hAnsiTheme="minorHAnsi" w:cstheme="minorHAnsi"/>
          <w:lang w:val="pt-PT"/>
        </w:rPr>
        <w:t xml:space="preserve">. </w:t>
      </w:r>
    </w:p>
    <w:p w14:paraId="3E774E5E" w14:textId="77777777" w:rsidR="00F1714B" w:rsidRDefault="00411098" w:rsidP="00411098">
      <w:pPr>
        <w:rPr>
          <w:rFonts w:asciiTheme="minorHAnsi" w:hAnsiTheme="minorHAnsi" w:cstheme="minorHAnsi"/>
          <w:lang w:val="pt-PT" w:eastAsia="ja-JP"/>
        </w:rPr>
        <w:sectPr w:rsidR="00F1714B" w:rsidSect="00C01674">
          <w:pgSz w:w="11906" w:h="16838"/>
          <w:pgMar w:top="1417" w:right="1701" w:bottom="1417" w:left="1701" w:header="708" w:footer="708"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r w:rsidRPr="00941934">
        <w:rPr>
          <w:rFonts w:asciiTheme="minorHAnsi" w:hAnsiTheme="minorHAnsi" w:cstheme="minorHAnsi"/>
          <w:lang w:val="pt-PT"/>
        </w:rPr>
        <w:t xml:space="preserve">O Governo de Moçambique tem todas instituições relevantes para garantir a implementação e o monitoramento eficazes das medidas ambientais e sociais necessárias, em conformidade com a legislação nacional e as Normas Ambientais e Sociais do Banco Mundial. </w:t>
      </w:r>
      <w:r w:rsidRPr="00941934">
        <w:rPr>
          <w:rFonts w:asciiTheme="minorHAnsi" w:hAnsiTheme="minorHAnsi" w:cstheme="minorHAnsi"/>
          <w:lang w:val="pt-PT" w:eastAsia="ja-JP"/>
        </w:rPr>
        <w:t>O Quadro</w:t>
      </w:r>
      <w:r w:rsidRPr="00941934">
        <w:rPr>
          <w:rFonts w:asciiTheme="minorHAnsi" w:hAnsiTheme="minorHAnsi" w:cstheme="minorHAnsi"/>
          <w:b/>
          <w:bCs/>
          <w:lang w:val="pt-PT" w:eastAsia="ja-JP"/>
        </w:rPr>
        <w:t xml:space="preserve"> </w:t>
      </w:r>
      <w:r w:rsidRPr="00941934">
        <w:rPr>
          <w:rFonts w:asciiTheme="minorHAnsi" w:hAnsiTheme="minorHAnsi" w:cstheme="minorHAnsi"/>
          <w:lang w:val="pt-PT" w:eastAsia="ja-JP"/>
        </w:rPr>
        <w:t xml:space="preserve">abaixo apresenta uma análise comparativa entre a legislação moçambicana relevante para o </w:t>
      </w:r>
      <w:proofErr w:type="spellStart"/>
      <w:r w:rsidRPr="00941934">
        <w:rPr>
          <w:rFonts w:asciiTheme="minorHAnsi" w:hAnsiTheme="minorHAnsi" w:cstheme="minorHAnsi"/>
          <w:lang w:val="pt-PT" w:eastAsia="ja-JP"/>
        </w:rPr>
        <w:t>Projecto</w:t>
      </w:r>
      <w:proofErr w:type="spellEnd"/>
      <w:r w:rsidRPr="00941934">
        <w:rPr>
          <w:rFonts w:asciiTheme="minorHAnsi" w:hAnsiTheme="minorHAnsi" w:cstheme="minorHAnsi"/>
          <w:lang w:val="pt-PT" w:eastAsia="ja-JP"/>
        </w:rPr>
        <w:t xml:space="preserve"> e os requisitos das NAS assim como as DASS, acionadas no </w:t>
      </w:r>
      <w:r w:rsidRPr="00941934">
        <w:rPr>
          <w:rFonts w:asciiTheme="minorHAnsi" w:eastAsia="Calibri" w:hAnsiTheme="minorHAnsi" w:cstheme="minorHAnsi"/>
          <w:lang w:val="pt-PT"/>
        </w:rPr>
        <w:t>"</w:t>
      </w:r>
      <w:proofErr w:type="spellStart"/>
      <w:r w:rsidRPr="00941934">
        <w:rPr>
          <w:rFonts w:asciiTheme="minorHAnsi" w:eastAsia="Calibri" w:hAnsiTheme="minorHAnsi" w:cstheme="minorHAnsi"/>
          <w:b/>
          <w:bCs/>
          <w:lang w:val="pt-PT"/>
        </w:rPr>
        <w:t>Projecto</w:t>
      </w:r>
      <w:proofErr w:type="spellEnd"/>
      <w:r w:rsidRPr="00941934">
        <w:rPr>
          <w:rFonts w:asciiTheme="minorHAnsi" w:eastAsia="Calibri" w:hAnsiTheme="minorHAnsi" w:cstheme="minorHAnsi"/>
          <w:b/>
          <w:bCs/>
          <w:lang w:val="pt-PT"/>
        </w:rPr>
        <w:t xml:space="preserve"> Água Segura</w:t>
      </w:r>
      <w:r w:rsidRPr="00941934">
        <w:rPr>
          <w:rFonts w:asciiTheme="minorHAnsi" w:eastAsia="Calibri" w:hAnsiTheme="minorHAnsi" w:cstheme="minorHAnsi"/>
          <w:lang w:val="pt-PT"/>
        </w:rPr>
        <w:t>"</w:t>
      </w:r>
      <w:r w:rsidRPr="00941934">
        <w:rPr>
          <w:rFonts w:asciiTheme="minorHAnsi" w:hAnsiTheme="minorHAnsi" w:cstheme="minorHAnsi"/>
          <w:lang w:val="pt-PT" w:eastAsia="ja-JP"/>
        </w:rPr>
        <w:t xml:space="preserve">.  Ao longo da comparação foram identificadas as lacunas e descritas as </w:t>
      </w:r>
      <w:proofErr w:type="spellStart"/>
      <w:r w:rsidRPr="00941934">
        <w:rPr>
          <w:rFonts w:asciiTheme="minorHAnsi" w:hAnsiTheme="minorHAnsi" w:cstheme="minorHAnsi"/>
          <w:lang w:val="pt-PT" w:eastAsia="ja-JP"/>
        </w:rPr>
        <w:t>respectivas</w:t>
      </w:r>
      <w:proofErr w:type="spellEnd"/>
      <w:r w:rsidRPr="00941934">
        <w:rPr>
          <w:rFonts w:asciiTheme="minorHAnsi" w:hAnsiTheme="minorHAnsi" w:cstheme="minorHAnsi"/>
          <w:lang w:val="pt-PT" w:eastAsia="ja-JP"/>
        </w:rPr>
        <w:t xml:space="preserve"> recomendações conforme detalhado na tabela 8.</w:t>
      </w:r>
      <w:r w:rsidRPr="00941934">
        <w:rPr>
          <w:lang w:val="pt-PT" w:eastAsia="ja-JP"/>
        </w:rPr>
        <w:t xml:space="preserve"> </w:t>
      </w:r>
      <w:r w:rsidRPr="00941934">
        <w:rPr>
          <w:rFonts w:asciiTheme="minorHAnsi" w:hAnsiTheme="minorHAnsi" w:cstheme="minorHAnsi"/>
          <w:lang w:val="pt-PT" w:eastAsia="ja-JP"/>
        </w:rPr>
        <w:t xml:space="preserve">É importante realçar que quando os requisitos do país anfitrião diferirem dos níveis e medidas apresentados nas </w:t>
      </w:r>
      <w:proofErr w:type="spellStart"/>
      <w:r w:rsidRPr="00941934">
        <w:rPr>
          <w:rFonts w:asciiTheme="minorHAnsi" w:hAnsiTheme="minorHAnsi" w:cstheme="minorHAnsi"/>
          <w:lang w:val="pt-PT" w:eastAsia="ja-JP"/>
        </w:rPr>
        <w:t>NAS</w:t>
      </w:r>
      <w:proofErr w:type="spellEnd"/>
      <w:r w:rsidRPr="00941934">
        <w:rPr>
          <w:rFonts w:asciiTheme="minorHAnsi" w:hAnsiTheme="minorHAnsi" w:cstheme="minorHAnsi"/>
          <w:lang w:val="pt-PT" w:eastAsia="ja-JP"/>
        </w:rPr>
        <w:t xml:space="preserve"> e DASS, será exigido do Mutuário o cumprimento ou implementação dos requisitos que forem mais rigorosos. Caso níveis ou medidas menos rigorosas do que os previstos sejam apropriados, devido a limitações técnicas ou restrições financeiras do Mutuário ou outras circunstâncias específicas do </w:t>
      </w:r>
      <w:proofErr w:type="spellStart"/>
      <w:r w:rsidRPr="00941934">
        <w:rPr>
          <w:rFonts w:asciiTheme="minorHAnsi" w:hAnsiTheme="minorHAnsi" w:cstheme="minorHAnsi"/>
          <w:lang w:val="pt-PT" w:eastAsia="ja-JP"/>
        </w:rPr>
        <w:t>projecto</w:t>
      </w:r>
      <w:proofErr w:type="spellEnd"/>
      <w:r w:rsidRPr="00941934">
        <w:rPr>
          <w:rFonts w:asciiTheme="minorHAnsi" w:hAnsiTheme="minorHAnsi" w:cstheme="minorHAnsi"/>
          <w:lang w:val="pt-PT" w:eastAsia="ja-JP"/>
        </w:rPr>
        <w:t>, o Mutuário fornecerá uma justificação completa e detalhada para todas as alternativas propostas no âmbito da avaliação ambiental e social.</w:t>
      </w:r>
    </w:p>
    <w:p w14:paraId="576667C2" w14:textId="7B489952" w:rsidR="00B11228" w:rsidRDefault="00292532" w:rsidP="00411098">
      <w:pPr>
        <w:pStyle w:val="Caption"/>
        <w:ind w:left="-990" w:right="-1216"/>
      </w:pPr>
      <w:bookmarkStart w:id="75" w:name="_Ref78432754"/>
      <w:bookmarkStart w:id="76" w:name="_Toc80380255"/>
      <w:bookmarkEnd w:id="74"/>
      <w:r>
        <w:lastRenderedPageBreak/>
        <w:t xml:space="preserve">Tabela </w:t>
      </w:r>
      <w:r>
        <w:fldChar w:fldCharType="begin"/>
      </w:r>
      <w:r>
        <w:instrText xml:space="preserve"> SEQ Tabela \* ARABIC </w:instrText>
      </w:r>
      <w:r>
        <w:fldChar w:fldCharType="separate"/>
      </w:r>
      <w:r>
        <w:rPr>
          <w:noProof/>
        </w:rPr>
        <w:t>8</w:t>
      </w:r>
      <w:r>
        <w:fldChar w:fldCharType="end"/>
      </w:r>
      <w:bookmarkEnd w:id="75"/>
      <w:r>
        <w:t xml:space="preserve">: </w:t>
      </w:r>
      <w:r w:rsidR="00411098" w:rsidRPr="00411098">
        <w:t xml:space="preserve">Quadro comparativo entre a legislação moçambicana relevante para o </w:t>
      </w:r>
      <w:proofErr w:type="spellStart"/>
      <w:r w:rsidR="00411098" w:rsidRPr="00411098">
        <w:t>Projecto</w:t>
      </w:r>
      <w:proofErr w:type="spellEnd"/>
      <w:r w:rsidR="00411098" w:rsidRPr="00411098">
        <w:t xml:space="preserve"> e as normas do Banco Mundial</w:t>
      </w:r>
      <w:bookmarkEnd w:id="76"/>
    </w:p>
    <w:tbl>
      <w:tblPr>
        <w:tblStyle w:val="TableGridLight6"/>
        <w:tblpPr w:leftFromText="180" w:rightFromText="180" w:vertAnchor="text" w:tblpY="1"/>
        <w:tblOverlap w:val="never"/>
        <w:tblW w:w="51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8"/>
        <w:gridCol w:w="3543"/>
        <w:gridCol w:w="3543"/>
        <w:gridCol w:w="3989"/>
      </w:tblGrid>
      <w:tr w:rsidR="0025577E" w:rsidRPr="00AC50C8" w14:paraId="5C53EF42" w14:textId="77777777" w:rsidTr="00941934">
        <w:trPr>
          <w:trHeight w:val="937"/>
          <w:tblHeader/>
        </w:trPr>
        <w:tc>
          <w:tcPr>
            <w:tcW w:w="1174" w:type="pct"/>
            <w:shd w:val="clear" w:color="auto" w:fill="EDEDED" w:themeFill="accent3" w:themeFillTint="33"/>
            <w:vAlign w:val="center"/>
          </w:tcPr>
          <w:p w14:paraId="51A3BE15" w14:textId="77777777" w:rsidR="0025577E" w:rsidRPr="00AC50C8" w:rsidRDefault="0025577E" w:rsidP="00472547">
            <w:pPr>
              <w:spacing w:before="120" w:after="120" w:line="276" w:lineRule="auto"/>
              <w:ind w:left="-120" w:right="40"/>
              <w:jc w:val="center"/>
              <w:rPr>
                <w:rFonts w:asciiTheme="minorHAnsi" w:hAnsiTheme="minorHAnsi" w:cstheme="minorHAnsi"/>
                <w:b/>
              </w:rPr>
            </w:pPr>
            <w:r w:rsidRPr="00AC50C8">
              <w:rPr>
                <w:rFonts w:asciiTheme="minorHAnsi" w:hAnsiTheme="minorHAnsi" w:cstheme="minorHAnsi"/>
                <w:b/>
              </w:rPr>
              <w:t>ASPECTO</w:t>
            </w:r>
          </w:p>
        </w:tc>
        <w:tc>
          <w:tcPr>
            <w:tcW w:w="1224" w:type="pct"/>
            <w:shd w:val="clear" w:color="auto" w:fill="EDEDED" w:themeFill="accent3" w:themeFillTint="33"/>
            <w:vAlign w:val="center"/>
          </w:tcPr>
          <w:p w14:paraId="11C0088B" w14:textId="77777777" w:rsidR="0025577E" w:rsidRPr="00AC50C8" w:rsidRDefault="0025577E" w:rsidP="00472547">
            <w:pPr>
              <w:spacing w:before="120" w:after="120" w:line="276" w:lineRule="auto"/>
              <w:ind w:left="-28" w:right="40"/>
              <w:jc w:val="center"/>
              <w:rPr>
                <w:rFonts w:asciiTheme="minorHAnsi" w:hAnsiTheme="minorHAnsi" w:cstheme="minorHAnsi"/>
                <w:b/>
              </w:rPr>
            </w:pPr>
            <w:r w:rsidRPr="00AC50C8">
              <w:rPr>
                <w:rFonts w:asciiTheme="minorHAnsi" w:hAnsiTheme="minorHAnsi" w:cstheme="minorHAnsi"/>
                <w:b/>
              </w:rPr>
              <w:t>LEGISLAÇÃO NACIONAL</w:t>
            </w:r>
          </w:p>
        </w:tc>
        <w:tc>
          <w:tcPr>
            <w:tcW w:w="1224" w:type="pct"/>
            <w:shd w:val="clear" w:color="auto" w:fill="EDEDED" w:themeFill="accent3" w:themeFillTint="33"/>
            <w:vAlign w:val="center"/>
          </w:tcPr>
          <w:p w14:paraId="0F1478F7" w14:textId="77777777" w:rsidR="0025577E" w:rsidRPr="00AC50C8" w:rsidRDefault="0025577E" w:rsidP="00472547">
            <w:pPr>
              <w:spacing w:before="120" w:after="120" w:line="276" w:lineRule="auto"/>
              <w:ind w:right="40"/>
              <w:jc w:val="center"/>
              <w:rPr>
                <w:rFonts w:asciiTheme="minorHAnsi" w:hAnsiTheme="minorHAnsi" w:cstheme="minorHAnsi"/>
                <w:b/>
              </w:rPr>
            </w:pPr>
            <w:r w:rsidRPr="00AC50C8">
              <w:rPr>
                <w:rFonts w:asciiTheme="minorHAnsi" w:hAnsiTheme="minorHAnsi" w:cstheme="minorHAnsi"/>
                <w:b/>
              </w:rPr>
              <w:t>LACUNA OU CONFLITO</w:t>
            </w:r>
          </w:p>
        </w:tc>
        <w:tc>
          <w:tcPr>
            <w:tcW w:w="1378" w:type="pct"/>
            <w:shd w:val="clear" w:color="auto" w:fill="EDEDED" w:themeFill="accent3" w:themeFillTint="33"/>
            <w:vAlign w:val="center"/>
          </w:tcPr>
          <w:p w14:paraId="1F71659D" w14:textId="77777777" w:rsidR="0025577E" w:rsidRPr="00AC50C8" w:rsidRDefault="0025577E" w:rsidP="00472547">
            <w:pPr>
              <w:spacing w:before="120" w:after="120" w:line="276" w:lineRule="auto"/>
              <w:ind w:right="40"/>
              <w:jc w:val="center"/>
              <w:rPr>
                <w:rFonts w:asciiTheme="minorHAnsi" w:hAnsiTheme="minorHAnsi" w:cstheme="minorHAnsi"/>
                <w:b/>
              </w:rPr>
            </w:pPr>
            <w:r w:rsidRPr="00AC50C8">
              <w:rPr>
                <w:rFonts w:asciiTheme="minorHAnsi" w:hAnsiTheme="minorHAnsi" w:cstheme="minorHAnsi"/>
                <w:b/>
              </w:rPr>
              <w:t>RECOMENDAÇÕES</w:t>
            </w:r>
          </w:p>
        </w:tc>
      </w:tr>
      <w:tr w:rsidR="0025577E" w:rsidRPr="001E4B2C" w14:paraId="1815DC44" w14:textId="77777777" w:rsidTr="00941934">
        <w:trPr>
          <w:trHeight w:val="937"/>
        </w:trPr>
        <w:tc>
          <w:tcPr>
            <w:tcW w:w="5000" w:type="pct"/>
            <w:gridSpan w:val="4"/>
            <w:shd w:val="clear" w:color="auto" w:fill="EDEDED" w:themeFill="accent3" w:themeFillTint="33"/>
            <w:vAlign w:val="center"/>
          </w:tcPr>
          <w:p w14:paraId="1B0E8BCC" w14:textId="77777777" w:rsidR="0025577E" w:rsidRPr="00AC50C8" w:rsidRDefault="0025577E" w:rsidP="00472547">
            <w:pPr>
              <w:spacing w:before="120" w:after="120" w:line="276" w:lineRule="auto"/>
              <w:ind w:right="40"/>
              <w:rPr>
                <w:rFonts w:asciiTheme="minorHAnsi" w:hAnsiTheme="minorHAnsi" w:cstheme="minorHAnsi"/>
                <w:b/>
                <w:lang w:val="pt-PT"/>
              </w:rPr>
            </w:pPr>
            <w:r w:rsidRPr="00AC50C8">
              <w:rPr>
                <w:rFonts w:asciiTheme="minorHAnsi" w:hAnsiTheme="minorHAnsi" w:cstheme="minorHAnsi"/>
                <w:b/>
                <w:lang w:val="pt-PT"/>
              </w:rPr>
              <w:t>NAS1: Avaliação e Gestão de Riscos e Impactos Ambientais e Sociais</w:t>
            </w:r>
          </w:p>
        </w:tc>
      </w:tr>
      <w:tr w:rsidR="0025577E" w:rsidRPr="001E4B2C" w14:paraId="12D53FE8" w14:textId="77777777" w:rsidTr="00941934">
        <w:trPr>
          <w:trHeight w:val="2903"/>
        </w:trPr>
        <w:tc>
          <w:tcPr>
            <w:tcW w:w="1174" w:type="pct"/>
          </w:tcPr>
          <w:p w14:paraId="19AFD74D" w14:textId="77777777" w:rsidR="0025577E" w:rsidRPr="00AC50C8" w:rsidRDefault="0025577E" w:rsidP="00472547">
            <w:pPr>
              <w:spacing w:before="120" w:after="120" w:line="276" w:lineRule="auto"/>
              <w:ind w:right="40"/>
              <w:rPr>
                <w:rFonts w:asciiTheme="minorHAnsi" w:hAnsiTheme="minorHAnsi" w:cstheme="minorHAnsi"/>
                <w:lang w:val="pt-PT"/>
              </w:rPr>
            </w:pPr>
            <w:proofErr w:type="spellStart"/>
            <w:r w:rsidRPr="00AC50C8">
              <w:rPr>
                <w:rFonts w:asciiTheme="minorHAnsi" w:hAnsiTheme="minorHAnsi" w:cstheme="minorHAnsi"/>
                <w:lang w:val="pt-PT"/>
              </w:rPr>
              <w:t>Objectivos</w:t>
            </w:r>
            <w:proofErr w:type="spellEnd"/>
            <w:r w:rsidRPr="00AC50C8">
              <w:rPr>
                <w:rFonts w:asciiTheme="minorHAnsi" w:hAnsiTheme="minorHAnsi" w:cstheme="minorHAnsi"/>
                <w:lang w:val="pt-PT"/>
              </w:rPr>
              <w:t xml:space="preserve"> da NAS1:</w:t>
            </w:r>
          </w:p>
          <w:p w14:paraId="09E35A1A" w14:textId="77777777"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r w:rsidRPr="00AC50C8">
              <w:rPr>
                <w:rFonts w:asciiTheme="minorHAnsi" w:eastAsiaTheme="minorEastAsia" w:hAnsiTheme="minorHAnsi" w:cstheme="minorHAnsi"/>
                <w:lang w:val="pt-PT"/>
              </w:rPr>
              <w:t xml:space="preserve">Identificar, avaliar e gerir os riscos e impactos ambientais e sociais do </w:t>
            </w:r>
            <w:proofErr w:type="spellStart"/>
            <w:r w:rsidRPr="00AC50C8">
              <w:rPr>
                <w:rFonts w:asciiTheme="minorHAnsi" w:eastAsiaTheme="minorEastAsia" w:hAnsiTheme="minorHAnsi" w:cstheme="minorHAnsi"/>
                <w:lang w:val="pt-PT"/>
              </w:rPr>
              <w:t>projecto</w:t>
            </w:r>
            <w:proofErr w:type="spellEnd"/>
            <w:r w:rsidRPr="00AC50C8">
              <w:rPr>
                <w:rFonts w:asciiTheme="minorHAnsi" w:eastAsiaTheme="minorEastAsia" w:hAnsiTheme="minorHAnsi" w:cstheme="minorHAnsi"/>
                <w:lang w:val="pt-PT"/>
              </w:rPr>
              <w:t xml:space="preserve"> de modo consistente com as NAS.</w:t>
            </w:r>
          </w:p>
          <w:p w14:paraId="7204429A" w14:textId="77777777"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proofErr w:type="spellStart"/>
            <w:r w:rsidRPr="00AC50C8">
              <w:rPr>
                <w:rFonts w:asciiTheme="minorHAnsi" w:eastAsiaTheme="minorEastAsia" w:hAnsiTheme="minorHAnsi" w:cstheme="minorHAnsi"/>
                <w:lang w:val="pt-PT"/>
              </w:rPr>
              <w:t>Adoptar</w:t>
            </w:r>
            <w:proofErr w:type="spellEnd"/>
            <w:r w:rsidRPr="00AC50C8">
              <w:rPr>
                <w:rFonts w:asciiTheme="minorHAnsi" w:eastAsiaTheme="minorEastAsia" w:hAnsiTheme="minorHAnsi" w:cstheme="minorHAnsi"/>
                <w:lang w:val="pt-PT"/>
              </w:rPr>
              <w:t xml:space="preserve"> uma abordagem de hierarquia de mitigação.</w:t>
            </w:r>
          </w:p>
          <w:p w14:paraId="287BFFC3" w14:textId="77777777"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proofErr w:type="spellStart"/>
            <w:r w:rsidRPr="00AC50C8">
              <w:rPr>
                <w:rFonts w:asciiTheme="minorHAnsi" w:eastAsiaTheme="minorEastAsia" w:hAnsiTheme="minorHAnsi" w:cstheme="minorHAnsi"/>
                <w:lang w:val="pt-PT"/>
              </w:rPr>
              <w:t>Adoptar</w:t>
            </w:r>
            <w:proofErr w:type="spellEnd"/>
            <w:r w:rsidRPr="00AC50C8">
              <w:rPr>
                <w:rFonts w:asciiTheme="minorHAnsi" w:eastAsiaTheme="minorEastAsia" w:hAnsiTheme="minorHAnsi" w:cstheme="minorHAnsi"/>
                <w:lang w:val="pt-PT"/>
              </w:rPr>
              <w:t xml:space="preserve"> medidas diferenciadas para que os impactos negativos não recaem de forma proporcional sobre os desfavorecidos ou vulneráveis e que estes não sejam prejudicados durante a partilha dos benefícios e oportunidades de desenvolvimento no âmbito do </w:t>
            </w:r>
            <w:proofErr w:type="spellStart"/>
            <w:r w:rsidRPr="00AC50C8">
              <w:rPr>
                <w:rFonts w:asciiTheme="minorHAnsi" w:eastAsiaTheme="minorEastAsia" w:hAnsiTheme="minorHAnsi" w:cstheme="minorHAnsi"/>
                <w:lang w:val="pt-PT"/>
              </w:rPr>
              <w:t>projecto</w:t>
            </w:r>
            <w:proofErr w:type="spellEnd"/>
          </w:p>
          <w:p w14:paraId="380FB262" w14:textId="77777777"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r w:rsidRPr="00AC50C8">
              <w:rPr>
                <w:rFonts w:asciiTheme="minorHAnsi" w:eastAsiaTheme="minorEastAsia" w:hAnsiTheme="minorHAnsi" w:cstheme="minorHAnsi"/>
                <w:lang w:val="pt-PT"/>
              </w:rPr>
              <w:t xml:space="preserve">Utilizar as instituições </w:t>
            </w:r>
            <w:r w:rsidRPr="00AC50C8">
              <w:rPr>
                <w:rFonts w:asciiTheme="minorHAnsi" w:eastAsiaTheme="minorEastAsia" w:hAnsiTheme="minorHAnsi" w:cstheme="minorHAnsi"/>
                <w:lang w:val="pt-PT"/>
              </w:rPr>
              <w:lastRenderedPageBreak/>
              <w:t xml:space="preserve">ambientais e sociais nacionais, sistemas, leis, regulamentos e procedimentos na avaliação, desenvolvimento e implementação de </w:t>
            </w:r>
            <w:proofErr w:type="spellStart"/>
            <w:r w:rsidRPr="00AC50C8">
              <w:rPr>
                <w:rFonts w:asciiTheme="minorHAnsi" w:eastAsiaTheme="minorEastAsia" w:hAnsiTheme="minorHAnsi" w:cstheme="minorHAnsi"/>
                <w:lang w:val="pt-PT"/>
              </w:rPr>
              <w:t>projectos</w:t>
            </w:r>
            <w:proofErr w:type="spellEnd"/>
            <w:r w:rsidRPr="00AC50C8">
              <w:rPr>
                <w:rFonts w:asciiTheme="minorHAnsi" w:eastAsiaTheme="minorEastAsia" w:hAnsiTheme="minorHAnsi" w:cstheme="minorHAnsi"/>
                <w:lang w:val="pt-PT"/>
              </w:rPr>
              <w:t>, quando apropriado.</w:t>
            </w:r>
          </w:p>
          <w:p w14:paraId="4D3B2B93" w14:textId="77777777"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r w:rsidRPr="00AC50C8">
              <w:rPr>
                <w:rFonts w:asciiTheme="minorHAnsi" w:eastAsiaTheme="minorEastAsia" w:hAnsiTheme="minorHAnsi" w:cstheme="minorHAnsi"/>
                <w:lang w:val="pt-PT"/>
              </w:rPr>
              <w:t>Promover melhorias de desempenhos ambientais e sociais, de forma a reconhecer e fortalecer a capacidade do proponente</w:t>
            </w:r>
          </w:p>
          <w:p w14:paraId="7203754D" w14:textId="77777777" w:rsidR="0025577E" w:rsidRPr="00AC50C8" w:rsidRDefault="0025577E" w:rsidP="00472547">
            <w:pPr>
              <w:spacing w:before="120" w:line="276" w:lineRule="auto"/>
              <w:ind w:right="40"/>
              <w:rPr>
                <w:rFonts w:asciiTheme="minorHAnsi" w:hAnsiTheme="minorHAnsi" w:cstheme="minorHAnsi"/>
                <w:lang w:val="pt-PT"/>
              </w:rPr>
            </w:pPr>
          </w:p>
        </w:tc>
        <w:tc>
          <w:tcPr>
            <w:tcW w:w="1224" w:type="pct"/>
          </w:tcPr>
          <w:p w14:paraId="09B7EF15" w14:textId="77777777"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r w:rsidRPr="00AC50C8">
              <w:rPr>
                <w:rFonts w:asciiTheme="minorHAnsi" w:eastAsiaTheme="minorEastAsia" w:hAnsiTheme="minorHAnsi" w:cstheme="minorHAnsi"/>
                <w:lang w:val="pt-PT"/>
              </w:rPr>
              <w:lastRenderedPageBreak/>
              <w:t xml:space="preserve">Exige a triagem dos investimentos do subprojecto para determinar se o </w:t>
            </w:r>
            <w:proofErr w:type="spellStart"/>
            <w:r w:rsidRPr="00AC50C8">
              <w:rPr>
                <w:rFonts w:asciiTheme="minorHAnsi" w:eastAsiaTheme="minorEastAsia" w:hAnsiTheme="minorHAnsi" w:cstheme="minorHAnsi"/>
                <w:lang w:val="pt-PT"/>
              </w:rPr>
              <w:t>projecto</w:t>
            </w:r>
            <w:proofErr w:type="spellEnd"/>
            <w:r w:rsidRPr="00AC50C8">
              <w:rPr>
                <w:rFonts w:asciiTheme="minorHAnsi" w:eastAsiaTheme="minorEastAsia" w:hAnsiTheme="minorHAnsi" w:cstheme="minorHAnsi"/>
                <w:lang w:val="pt-PT"/>
              </w:rPr>
              <w:t xml:space="preserve"> necessita da AIAS;</w:t>
            </w:r>
          </w:p>
          <w:p w14:paraId="705B9F84" w14:textId="77777777"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r w:rsidRPr="00AC50C8">
              <w:rPr>
                <w:rFonts w:asciiTheme="minorHAnsi" w:eastAsiaTheme="minorEastAsia" w:hAnsiTheme="minorHAnsi" w:cstheme="minorHAnsi"/>
                <w:lang w:val="pt-PT"/>
              </w:rPr>
              <w:t xml:space="preserve">Categoriza os </w:t>
            </w:r>
            <w:proofErr w:type="spellStart"/>
            <w:r w:rsidRPr="00AC50C8">
              <w:rPr>
                <w:rFonts w:asciiTheme="minorHAnsi" w:eastAsiaTheme="minorEastAsia" w:hAnsiTheme="minorHAnsi" w:cstheme="minorHAnsi"/>
                <w:lang w:val="pt-PT"/>
              </w:rPr>
              <w:t>Projectos</w:t>
            </w:r>
            <w:proofErr w:type="spellEnd"/>
            <w:r w:rsidRPr="00AC50C8">
              <w:rPr>
                <w:rFonts w:asciiTheme="minorHAnsi" w:eastAsiaTheme="minorEastAsia" w:hAnsiTheme="minorHAnsi" w:cstheme="minorHAnsi"/>
                <w:lang w:val="pt-PT"/>
              </w:rPr>
              <w:t xml:space="preserve"> de acordo com o nível do risco social e ambiental em A+, A, B e C.</w:t>
            </w:r>
          </w:p>
          <w:p w14:paraId="06036F36" w14:textId="77777777"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r w:rsidRPr="00AC50C8">
              <w:rPr>
                <w:rFonts w:asciiTheme="minorHAnsi" w:eastAsiaTheme="minorEastAsia" w:hAnsiTheme="minorHAnsi" w:cstheme="minorHAnsi"/>
                <w:lang w:val="pt-PT"/>
              </w:rPr>
              <w:t xml:space="preserve">Para a Categoria A e A +, os </w:t>
            </w:r>
            <w:proofErr w:type="spellStart"/>
            <w:r w:rsidRPr="00AC50C8">
              <w:rPr>
                <w:rFonts w:asciiTheme="minorHAnsi" w:eastAsiaTheme="minorEastAsia" w:hAnsiTheme="minorHAnsi" w:cstheme="minorHAnsi"/>
                <w:lang w:val="pt-PT"/>
              </w:rPr>
              <w:t>projectos</w:t>
            </w:r>
            <w:proofErr w:type="spellEnd"/>
            <w:r w:rsidRPr="00AC50C8">
              <w:rPr>
                <w:rFonts w:asciiTheme="minorHAnsi" w:eastAsiaTheme="minorEastAsia" w:hAnsiTheme="minorHAnsi" w:cstheme="minorHAnsi"/>
                <w:lang w:val="pt-PT"/>
              </w:rPr>
              <w:t xml:space="preserve"> podem ter implicações ambientais e sociais sensíveis, adversas, irreversível ou sem precedentes. Assim como podem </w:t>
            </w:r>
            <w:proofErr w:type="spellStart"/>
            <w:r w:rsidRPr="00AC50C8">
              <w:rPr>
                <w:rFonts w:asciiTheme="minorHAnsi" w:eastAsiaTheme="minorEastAsia" w:hAnsiTheme="minorHAnsi" w:cstheme="minorHAnsi"/>
                <w:lang w:val="pt-PT"/>
              </w:rPr>
              <w:t>afectar</w:t>
            </w:r>
            <w:proofErr w:type="spellEnd"/>
            <w:r w:rsidRPr="00AC50C8">
              <w:rPr>
                <w:rFonts w:asciiTheme="minorHAnsi" w:eastAsiaTheme="minorEastAsia" w:hAnsiTheme="minorHAnsi" w:cstheme="minorHAnsi"/>
                <w:lang w:val="pt-PT"/>
              </w:rPr>
              <w:t xml:space="preserve"> uma área mais ampla do que os locais ou instalações sujeitas a intervenções físicas. </w:t>
            </w:r>
          </w:p>
          <w:p w14:paraId="4CCE1F97" w14:textId="77777777"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r w:rsidRPr="00AC50C8">
              <w:rPr>
                <w:rFonts w:asciiTheme="minorHAnsi" w:eastAsiaTheme="minorEastAsia" w:hAnsiTheme="minorHAnsi" w:cstheme="minorHAnsi"/>
                <w:b/>
                <w:bCs/>
                <w:lang w:val="pt-PT"/>
              </w:rPr>
              <w:t>Requisitos</w:t>
            </w:r>
            <w:r w:rsidRPr="00AC50C8">
              <w:rPr>
                <w:rFonts w:asciiTheme="minorHAnsi" w:eastAsiaTheme="minorEastAsia" w:hAnsiTheme="minorHAnsi" w:cstheme="minorHAnsi"/>
                <w:lang w:val="pt-PT"/>
              </w:rPr>
              <w:t xml:space="preserve">: A + e A requerem um EIA completo e uma revisão externa e doméstica por parte de avaliadores profissionais enquanto para </w:t>
            </w:r>
            <w:r w:rsidRPr="00AC50C8">
              <w:rPr>
                <w:lang w:val="pt-PT"/>
              </w:rPr>
              <w:t xml:space="preserve">a </w:t>
            </w:r>
            <w:proofErr w:type="spellStart"/>
            <w:r w:rsidRPr="00AC50C8">
              <w:rPr>
                <w:lang w:val="pt-PT"/>
              </w:rPr>
              <w:t>actividade</w:t>
            </w:r>
            <w:proofErr w:type="spellEnd"/>
            <w:r w:rsidRPr="00AC50C8">
              <w:rPr>
                <w:lang w:val="pt-PT"/>
              </w:rPr>
              <w:t xml:space="preserve"> de </w:t>
            </w:r>
            <w:r w:rsidRPr="00AC50C8">
              <w:rPr>
                <w:lang w:val="pt-PT"/>
              </w:rPr>
              <w:lastRenderedPageBreak/>
              <w:t xml:space="preserve">categoria B EIAS e a </w:t>
            </w:r>
            <w:proofErr w:type="spellStart"/>
            <w:r w:rsidRPr="00AC50C8">
              <w:rPr>
                <w:lang w:val="pt-PT"/>
              </w:rPr>
              <w:t>actividade</w:t>
            </w:r>
            <w:proofErr w:type="spellEnd"/>
            <w:r w:rsidRPr="00AC50C8">
              <w:rPr>
                <w:lang w:val="pt-PT"/>
              </w:rPr>
              <w:t xml:space="preserve"> C deve-se apresentar o instrumento de mitigação dos impactos</w:t>
            </w:r>
          </w:p>
          <w:p w14:paraId="1A9ECDCF" w14:textId="77777777"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r w:rsidRPr="00AC50C8">
              <w:rPr>
                <w:rFonts w:asciiTheme="minorHAnsi" w:eastAsiaTheme="minorEastAsia" w:hAnsiTheme="minorHAnsi" w:cstheme="minorHAnsi"/>
                <w:lang w:val="pt-PT"/>
              </w:rPr>
              <w:t xml:space="preserve">A entidade competente (MTA) é a responsável em conduzir todo o processo de licenciamento. E obrigatório a realização de monitorias, auditorias e suspensões, durante o processo de implantação do </w:t>
            </w:r>
            <w:proofErr w:type="spellStart"/>
            <w:r w:rsidRPr="00AC50C8">
              <w:rPr>
                <w:rFonts w:asciiTheme="minorHAnsi" w:eastAsiaTheme="minorEastAsia" w:hAnsiTheme="minorHAnsi" w:cstheme="minorHAnsi"/>
                <w:lang w:val="pt-PT"/>
              </w:rPr>
              <w:t>projecto</w:t>
            </w:r>
            <w:proofErr w:type="spellEnd"/>
            <w:r w:rsidRPr="00AC50C8">
              <w:rPr>
                <w:rFonts w:asciiTheme="minorHAnsi" w:eastAsiaTheme="minorEastAsia" w:hAnsiTheme="minorHAnsi" w:cstheme="minorHAnsi"/>
                <w:lang w:val="pt-PT"/>
              </w:rPr>
              <w:t xml:space="preserve"> e operacionalização</w:t>
            </w:r>
          </w:p>
          <w:p w14:paraId="594A2B88" w14:textId="77777777"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r w:rsidRPr="00AC50C8">
              <w:rPr>
                <w:rFonts w:asciiTheme="minorHAnsi" w:eastAsiaTheme="minorEastAsia" w:hAnsiTheme="minorHAnsi" w:cstheme="minorHAnsi"/>
                <w:lang w:val="pt-PT"/>
              </w:rPr>
              <w:t xml:space="preserve">O regulamento exige que nenhuma </w:t>
            </w:r>
            <w:proofErr w:type="spellStart"/>
            <w:r w:rsidRPr="00AC50C8">
              <w:rPr>
                <w:rFonts w:asciiTheme="minorHAnsi" w:eastAsiaTheme="minorEastAsia" w:hAnsiTheme="minorHAnsi" w:cstheme="minorHAnsi"/>
                <w:lang w:val="pt-PT"/>
              </w:rPr>
              <w:t>actividade</w:t>
            </w:r>
            <w:proofErr w:type="spellEnd"/>
            <w:r w:rsidRPr="00AC50C8">
              <w:rPr>
                <w:rFonts w:asciiTheme="minorHAnsi" w:eastAsiaTheme="minorEastAsia" w:hAnsiTheme="minorHAnsi" w:cstheme="minorHAnsi"/>
                <w:lang w:val="pt-PT"/>
              </w:rPr>
              <w:t xml:space="preserve"> deve iniciar sem a certificação ambiental.</w:t>
            </w:r>
          </w:p>
        </w:tc>
        <w:tc>
          <w:tcPr>
            <w:tcW w:w="1224" w:type="pct"/>
          </w:tcPr>
          <w:p w14:paraId="0D74D621" w14:textId="77777777"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r w:rsidRPr="00AC50C8">
              <w:rPr>
                <w:rFonts w:asciiTheme="minorHAnsi" w:eastAsiaTheme="minorEastAsia" w:hAnsiTheme="minorHAnsi" w:cstheme="minorHAnsi"/>
                <w:lang w:val="pt-PT"/>
              </w:rPr>
              <w:lastRenderedPageBreak/>
              <w:t xml:space="preserve">Diferentemente da NAS1 do BM, a legislação nacional exige EIAS com revisão de especialistas independentes para </w:t>
            </w:r>
            <w:proofErr w:type="spellStart"/>
            <w:r w:rsidRPr="00AC50C8">
              <w:rPr>
                <w:rFonts w:asciiTheme="minorHAnsi" w:eastAsiaTheme="minorEastAsia" w:hAnsiTheme="minorHAnsi" w:cstheme="minorHAnsi"/>
                <w:lang w:val="pt-PT"/>
              </w:rPr>
              <w:t>projectos</w:t>
            </w:r>
            <w:proofErr w:type="spellEnd"/>
            <w:r w:rsidRPr="00AC50C8">
              <w:rPr>
                <w:rFonts w:asciiTheme="minorHAnsi" w:eastAsiaTheme="minorEastAsia" w:hAnsiTheme="minorHAnsi" w:cstheme="minorHAnsi"/>
                <w:lang w:val="pt-PT"/>
              </w:rPr>
              <w:t xml:space="preserve"> de risco Alto (A+) enquanto o BM exige o seguimento das NAS do BM. Portanto, a legislação nacional não obriga ao Mutuário a elaborar instrumentos de gestão dos riscos e impactos ambientais e sociais durante a fase do </w:t>
            </w:r>
            <w:proofErr w:type="spellStart"/>
            <w:r w:rsidRPr="00AC50C8">
              <w:rPr>
                <w:rFonts w:asciiTheme="minorHAnsi" w:eastAsiaTheme="minorEastAsia" w:hAnsiTheme="minorHAnsi" w:cstheme="minorHAnsi"/>
                <w:lang w:val="pt-PT"/>
              </w:rPr>
              <w:t>projecto</w:t>
            </w:r>
            <w:proofErr w:type="spellEnd"/>
            <w:r w:rsidRPr="00AC50C8">
              <w:rPr>
                <w:rFonts w:asciiTheme="minorHAnsi" w:eastAsiaTheme="minorEastAsia" w:hAnsiTheme="minorHAnsi" w:cstheme="minorHAnsi"/>
                <w:lang w:val="pt-PT"/>
              </w:rPr>
              <w:t xml:space="preserve"> geral e a NAS1 obriga através da NAS10 o envolvimento de todas as fases de implementação do </w:t>
            </w:r>
            <w:proofErr w:type="spellStart"/>
            <w:r w:rsidRPr="00AC50C8">
              <w:rPr>
                <w:rFonts w:asciiTheme="minorHAnsi" w:eastAsiaTheme="minorEastAsia" w:hAnsiTheme="minorHAnsi" w:cstheme="minorHAnsi"/>
                <w:lang w:val="pt-PT"/>
              </w:rPr>
              <w:t>Projecto</w:t>
            </w:r>
            <w:proofErr w:type="spellEnd"/>
            <w:r w:rsidRPr="00AC50C8">
              <w:rPr>
                <w:rFonts w:asciiTheme="minorHAnsi" w:eastAsiaTheme="minorEastAsia" w:hAnsiTheme="minorHAnsi" w:cstheme="minorHAnsi"/>
                <w:lang w:val="pt-PT"/>
              </w:rPr>
              <w:t xml:space="preserve"> o envolvimento das partes </w:t>
            </w:r>
            <w:proofErr w:type="spellStart"/>
            <w:r w:rsidRPr="00AC50C8">
              <w:rPr>
                <w:rFonts w:asciiTheme="minorHAnsi" w:eastAsiaTheme="minorEastAsia" w:hAnsiTheme="minorHAnsi" w:cstheme="minorHAnsi"/>
                <w:lang w:val="pt-PT"/>
              </w:rPr>
              <w:t>afectadas</w:t>
            </w:r>
            <w:proofErr w:type="spellEnd"/>
            <w:r w:rsidRPr="00AC50C8">
              <w:rPr>
                <w:rFonts w:asciiTheme="minorHAnsi" w:eastAsiaTheme="minorEastAsia" w:hAnsiTheme="minorHAnsi" w:cstheme="minorHAnsi"/>
                <w:lang w:val="pt-PT"/>
              </w:rPr>
              <w:t xml:space="preserve"> e interessadas pelo </w:t>
            </w:r>
            <w:proofErr w:type="spellStart"/>
            <w:r w:rsidRPr="00AC50C8">
              <w:rPr>
                <w:rFonts w:asciiTheme="minorHAnsi" w:eastAsiaTheme="minorEastAsia" w:hAnsiTheme="minorHAnsi" w:cstheme="minorHAnsi"/>
                <w:lang w:val="pt-PT"/>
              </w:rPr>
              <w:t>Projecto</w:t>
            </w:r>
            <w:proofErr w:type="spellEnd"/>
            <w:r w:rsidRPr="00AC50C8">
              <w:rPr>
                <w:rFonts w:asciiTheme="minorHAnsi" w:eastAsiaTheme="minorEastAsia" w:hAnsiTheme="minorHAnsi" w:cstheme="minorHAnsi"/>
                <w:lang w:val="pt-PT"/>
              </w:rPr>
              <w:t>.</w:t>
            </w:r>
          </w:p>
          <w:p w14:paraId="56475BAC" w14:textId="77777777"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r w:rsidRPr="00AC50C8">
              <w:rPr>
                <w:rFonts w:asciiTheme="minorHAnsi" w:eastAsiaTheme="minorEastAsia" w:hAnsiTheme="minorHAnsi" w:cstheme="minorHAnsi"/>
                <w:lang w:val="pt-PT"/>
              </w:rPr>
              <w:t xml:space="preserve">Não apresenta exigências de </w:t>
            </w:r>
            <w:r w:rsidRPr="00AC50C8">
              <w:rPr>
                <w:rFonts w:asciiTheme="minorHAnsi" w:eastAsiaTheme="minorEastAsia" w:hAnsiTheme="minorHAnsi" w:cstheme="minorHAnsi"/>
                <w:lang w:val="pt-PT"/>
              </w:rPr>
              <w:lastRenderedPageBreak/>
              <w:t xml:space="preserve">análise da capacidade institucional por parte dos vários intervenientes para realizar as funções de avaliação ambiental e social. Excluindo assim </w:t>
            </w:r>
            <w:proofErr w:type="spellStart"/>
            <w:r w:rsidRPr="00AC50C8">
              <w:rPr>
                <w:rFonts w:asciiTheme="minorHAnsi" w:eastAsiaTheme="minorEastAsia" w:hAnsiTheme="minorHAnsi" w:cstheme="minorHAnsi"/>
                <w:lang w:val="pt-PT"/>
              </w:rPr>
              <w:t>acções</w:t>
            </w:r>
            <w:proofErr w:type="spellEnd"/>
            <w:r w:rsidRPr="00AC50C8">
              <w:rPr>
                <w:rFonts w:asciiTheme="minorHAnsi" w:eastAsiaTheme="minorEastAsia" w:hAnsiTheme="minorHAnsi" w:cstheme="minorHAnsi"/>
                <w:lang w:val="pt-PT"/>
              </w:rPr>
              <w:t xml:space="preserve"> de capacitação técnica de </w:t>
            </w:r>
            <w:proofErr w:type="spellStart"/>
            <w:r w:rsidRPr="00AC50C8">
              <w:rPr>
                <w:rFonts w:asciiTheme="minorHAnsi" w:eastAsiaTheme="minorEastAsia" w:hAnsiTheme="minorHAnsi" w:cstheme="minorHAnsi"/>
                <w:lang w:val="pt-PT"/>
              </w:rPr>
              <w:t>actores</w:t>
            </w:r>
            <w:proofErr w:type="spellEnd"/>
            <w:r w:rsidRPr="00AC50C8">
              <w:rPr>
                <w:rFonts w:asciiTheme="minorHAnsi" w:eastAsiaTheme="minorEastAsia" w:hAnsiTheme="minorHAnsi" w:cstheme="minorHAnsi"/>
                <w:lang w:val="pt-PT"/>
              </w:rPr>
              <w:t xml:space="preserve"> relevantes (p.e. instituições do estado, comunidades, </w:t>
            </w:r>
            <w:proofErr w:type="spellStart"/>
            <w:r w:rsidRPr="00AC50C8">
              <w:rPr>
                <w:rFonts w:asciiTheme="minorHAnsi" w:eastAsiaTheme="minorEastAsia" w:hAnsiTheme="minorHAnsi" w:cstheme="minorHAnsi"/>
                <w:lang w:val="pt-PT"/>
              </w:rPr>
              <w:t>ONGs</w:t>
            </w:r>
            <w:proofErr w:type="spellEnd"/>
            <w:r w:rsidRPr="00AC50C8">
              <w:rPr>
                <w:rFonts w:asciiTheme="minorHAnsi" w:eastAsiaTheme="minorEastAsia" w:hAnsiTheme="minorHAnsi" w:cstheme="minorHAnsi"/>
                <w:lang w:val="pt-PT"/>
              </w:rPr>
              <w:t xml:space="preserve">, </w:t>
            </w:r>
            <w:proofErr w:type="spellStart"/>
            <w:r w:rsidRPr="00AC50C8">
              <w:rPr>
                <w:rFonts w:asciiTheme="minorHAnsi" w:eastAsiaTheme="minorEastAsia" w:hAnsiTheme="minorHAnsi" w:cstheme="minorHAnsi"/>
                <w:lang w:val="pt-PT"/>
              </w:rPr>
              <w:t>etc</w:t>
            </w:r>
            <w:proofErr w:type="spellEnd"/>
            <w:r w:rsidRPr="00AC50C8">
              <w:rPr>
                <w:rFonts w:asciiTheme="minorHAnsi" w:eastAsiaTheme="minorEastAsia" w:hAnsiTheme="minorHAnsi" w:cstheme="minorHAnsi"/>
                <w:lang w:val="pt-PT"/>
              </w:rPr>
              <w:t>)</w:t>
            </w:r>
          </w:p>
          <w:p w14:paraId="0A94AB5B" w14:textId="77777777"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r w:rsidRPr="00AC50C8">
              <w:rPr>
                <w:rFonts w:asciiTheme="minorHAnsi" w:eastAsiaTheme="minorEastAsia" w:hAnsiTheme="minorHAnsi" w:cstheme="minorHAnsi"/>
                <w:lang w:val="pt-PT"/>
              </w:rPr>
              <w:t>Não aborda as questões relacionadas com a gestão de empresas contratadas.</w:t>
            </w:r>
          </w:p>
          <w:p w14:paraId="047E7BAF" w14:textId="77777777" w:rsidR="0025577E" w:rsidRPr="00AC50C8" w:rsidRDefault="0025577E" w:rsidP="00472547">
            <w:pPr>
              <w:adjustRightInd w:val="0"/>
              <w:spacing w:before="120" w:after="120" w:line="276" w:lineRule="auto"/>
              <w:ind w:left="250"/>
              <w:contextualSpacing/>
              <w:rPr>
                <w:rFonts w:asciiTheme="minorHAnsi" w:eastAsiaTheme="minorEastAsia" w:hAnsiTheme="minorHAnsi" w:cstheme="minorHAnsi"/>
                <w:lang w:val="pt-PT"/>
              </w:rPr>
            </w:pPr>
          </w:p>
        </w:tc>
        <w:tc>
          <w:tcPr>
            <w:tcW w:w="1378" w:type="pct"/>
          </w:tcPr>
          <w:p w14:paraId="035B8FD7" w14:textId="77777777"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r w:rsidRPr="00AC50C8">
              <w:rPr>
                <w:rFonts w:asciiTheme="minorHAnsi" w:eastAsiaTheme="minorEastAsia" w:hAnsiTheme="minorHAnsi" w:cstheme="minorHAnsi"/>
                <w:lang w:val="pt-PT"/>
              </w:rPr>
              <w:lastRenderedPageBreak/>
              <w:t xml:space="preserve">O processo de licenciamento ambiental deve ser seguido de acordo com os princípios da legislação ambiental. </w:t>
            </w:r>
          </w:p>
          <w:p w14:paraId="6AA9E579" w14:textId="77777777"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r w:rsidRPr="00AC50C8">
              <w:rPr>
                <w:rFonts w:asciiTheme="minorHAnsi" w:eastAsiaTheme="minorEastAsia" w:hAnsiTheme="minorHAnsi" w:cstheme="minorHAnsi"/>
                <w:lang w:val="pt-PT"/>
              </w:rPr>
              <w:t>Os subprojectos devem cumprir as exigências da legislação ambiental em vigor em Moçambique e os princípios e normas estabelecidos pelo BM e as monitorias, auditorias e inspeções, devem ser seguidos de acordo com a legislação Moçambicana e princípios e NAS do BM.</w:t>
            </w:r>
          </w:p>
        </w:tc>
      </w:tr>
      <w:tr w:rsidR="0025577E" w:rsidRPr="001E4B2C" w14:paraId="419ECF2A" w14:textId="77777777" w:rsidTr="00941934">
        <w:trPr>
          <w:trHeight w:val="937"/>
        </w:trPr>
        <w:tc>
          <w:tcPr>
            <w:tcW w:w="5000" w:type="pct"/>
            <w:gridSpan w:val="4"/>
            <w:shd w:val="clear" w:color="auto" w:fill="EDEDED" w:themeFill="accent3" w:themeFillTint="33"/>
            <w:vAlign w:val="center"/>
          </w:tcPr>
          <w:p w14:paraId="1A015ECE" w14:textId="77777777" w:rsidR="0025577E" w:rsidRPr="00AC50C8" w:rsidRDefault="0025577E" w:rsidP="00472547">
            <w:pPr>
              <w:spacing w:before="120" w:after="120" w:line="276" w:lineRule="auto"/>
              <w:ind w:right="40"/>
              <w:rPr>
                <w:rFonts w:asciiTheme="minorHAnsi" w:hAnsiTheme="minorHAnsi" w:cstheme="minorHAnsi"/>
                <w:b/>
                <w:lang w:val="pt-PT"/>
              </w:rPr>
            </w:pPr>
            <w:r w:rsidRPr="00AC50C8">
              <w:rPr>
                <w:rFonts w:asciiTheme="minorHAnsi" w:hAnsiTheme="minorHAnsi" w:cstheme="minorHAnsi"/>
                <w:b/>
                <w:lang w:val="pt-PT"/>
              </w:rPr>
              <w:t xml:space="preserve">NAS2: </w:t>
            </w:r>
            <w:r w:rsidRPr="00AC50C8">
              <w:rPr>
                <w:lang w:val="pt-PT"/>
              </w:rPr>
              <w:t xml:space="preserve"> </w:t>
            </w:r>
            <w:r w:rsidRPr="00AC50C8">
              <w:rPr>
                <w:rFonts w:asciiTheme="minorHAnsi" w:hAnsiTheme="minorHAnsi" w:cstheme="minorHAnsi"/>
                <w:b/>
                <w:lang w:val="pt-PT"/>
              </w:rPr>
              <w:t>Condições de Trabalho e Mão de Obra</w:t>
            </w:r>
          </w:p>
        </w:tc>
      </w:tr>
      <w:tr w:rsidR="0025577E" w:rsidRPr="001E4B2C" w14:paraId="29E3C96D" w14:textId="77777777" w:rsidTr="00941934">
        <w:trPr>
          <w:trHeight w:val="2903"/>
        </w:trPr>
        <w:tc>
          <w:tcPr>
            <w:tcW w:w="1174" w:type="pct"/>
          </w:tcPr>
          <w:p w14:paraId="047E5F4B" w14:textId="77777777" w:rsidR="0025577E" w:rsidRPr="00AC50C8" w:rsidRDefault="0025577E" w:rsidP="00472547">
            <w:pPr>
              <w:spacing w:before="120" w:after="120" w:line="276" w:lineRule="auto"/>
              <w:ind w:right="40"/>
              <w:rPr>
                <w:rFonts w:asciiTheme="minorHAnsi" w:hAnsiTheme="minorHAnsi" w:cstheme="minorHAnsi"/>
                <w:lang w:val="pt-PT"/>
              </w:rPr>
            </w:pPr>
            <w:proofErr w:type="spellStart"/>
            <w:r w:rsidRPr="00AC50C8">
              <w:rPr>
                <w:rFonts w:asciiTheme="minorHAnsi" w:hAnsiTheme="minorHAnsi" w:cstheme="minorHAnsi"/>
                <w:lang w:val="pt-PT"/>
              </w:rPr>
              <w:t>Objectivos</w:t>
            </w:r>
            <w:proofErr w:type="spellEnd"/>
            <w:r w:rsidRPr="00AC50C8">
              <w:rPr>
                <w:rFonts w:asciiTheme="minorHAnsi" w:hAnsiTheme="minorHAnsi" w:cstheme="minorHAnsi"/>
                <w:lang w:val="pt-PT"/>
              </w:rPr>
              <w:t xml:space="preserve"> da NAS2:</w:t>
            </w:r>
          </w:p>
          <w:p w14:paraId="7F1A7C56" w14:textId="77777777" w:rsidR="0025577E" w:rsidRPr="00AC50C8" w:rsidRDefault="0025577E" w:rsidP="00472547">
            <w:pPr>
              <w:spacing w:before="120" w:after="120" w:line="276" w:lineRule="auto"/>
              <w:ind w:right="40"/>
              <w:rPr>
                <w:rFonts w:asciiTheme="minorHAnsi" w:eastAsiaTheme="minorEastAsia" w:hAnsiTheme="minorHAnsi" w:cstheme="minorHAnsi"/>
                <w:lang w:val="pt-PT"/>
              </w:rPr>
            </w:pPr>
            <w:r w:rsidRPr="00AC50C8">
              <w:rPr>
                <w:rFonts w:asciiTheme="minorHAnsi" w:eastAsiaTheme="minorEastAsia" w:hAnsiTheme="minorHAnsi" w:cstheme="minorHAnsi"/>
                <w:lang w:val="pt-PT"/>
              </w:rPr>
              <w:t xml:space="preserve">•Promover condições de trabalho seguro e saudável; </w:t>
            </w:r>
          </w:p>
          <w:p w14:paraId="3620E302" w14:textId="77777777" w:rsidR="0025577E" w:rsidRPr="00AC50C8" w:rsidRDefault="0025577E" w:rsidP="00472547">
            <w:pPr>
              <w:spacing w:before="120" w:after="120" w:line="276" w:lineRule="auto"/>
              <w:ind w:right="40"/>
              <w:rPr>
                <w:rFonts w:asciiTheme="minorHAnsi" w:eastAsiaTheme="minorEastAsia" w:hAnsiTheme="minorHAnsi" w:cstheme="minorHAnsi"/>
                <w:lang w:val="pt-PT"/>
              </w:rPr>
            </w:pPr>
            <w:r w:rsidRPr="00AC50C8">
              <w:rPr>
                <w:rFonts w:asciiTheme="minorHAnsi" w:eastAsiaTheme="minorEastAsia" w:hAnsiTheme="minorHAnsi" w:cstheme="minorHAnsi"/>
                <w:lang w:val="pt-PT"/>
              </w:rPr>
              <w:t xml:space="preserve">•Promover tratamento justo, a não discriminação e a igualdade de oportunidade para os trabalhadores do </w:t>
            </w:r>
            <w:proofErr w:type="spellStart"/>
            <w:r w:rsidRPr="00AC50C8">
              <w:rPr>
                <w:rFonts w:asciiTheme="minorHAnsi" w:eastAsiaTheme="minorEastAsia" w:hAnsiTheme="minorHAnsi" w:cstheme="minorHAnsi"/>
                <w:lang w:val="pt-PT"/>
              </w:rPr>
              <w:t>projecto</w:t>
            </w:r>
            <w:proofErr w:type="spellEnd"/>
            <w:r w:rsidRPr="00AC50C8">
              <w:rPr>
                <w:rFonts w:asciiTheme="minorHAnsi" w:eastAsiaTheme="minorEastAsia" w:hAnsiTheme="minorHAnsi" w:cstheme="minorHAnsi"/>
                <w:lang w:val="pt-PT"/>
              </w:rPr>
              <w:t>;</w:t>
            </w:r>
          </w:p>
          <w:p w14:paraId="26B18FA1" w14:textId="77777777" w:rsidR="0025577E" w:rsidRPr="00AC50C8" w:rsidRDefault="0025577E" w:rsidP="00472547">
            <w:pPr>
              <w:spacing w:before="120" w:after="120" w:line="276" w:lineRule="auto"/>
              <w:ind w:right="40"/>
              <w:rPr>
                <w:rFonts w:asciiTheme="minorHAnsi" w:eastAsiaTheme="minorEastAsia" w:hAnsiTheme="minorHAnsi" w:cstheme="minorHAnsi"/>
                <w:lang w:val="pt-PT"/>
              </w:rPr>
            </w:pPr>
            <w:r w:rsidRPr="00AC50C8">
              <w:rPr>
                <w:rFonts w:asciiTheme="minorHAnsi" w:eastAsiaTheme="minorEastAsia" w:hAnsiTheme="minorHAnsi" w:cstheme="minorHAnsi"/>
                <w:lang w:val="pt-PT"/>
              </w:rPr>
              <w:t xml:space="preserve">•Proteger os trabalhadores do </w:t>
            </w:r>
            <w:proofErr w:type="spellStart"/>
            <w:r w:rsidRPr="00AC50C8">
              <w:rPr>
                <w:rFonts w:asciiTheme="minorHAnsi" w:eastAsiaTheme="minorEastAsia" w:hAnsiTheme="minorHAnsi" w:cstheme="minorHAnsi"/>
                <w:lang w:val="pt-PT"/>
              </w:rPr>
              <w:lastRenderedPageBreak/>
              <w:t>projecto</w:t>
            </w:r>
            <w:proofErr w:type="spellEnd"/>
            <w:r w:rsidRPr="00AC50C8">
              <w:rPr>
                <w:rFonts w:asciiTheme="minorHAnsi" w:eastAsiaTheme="minorEastAsia" w:hAnsiTheme="minorHAnsi" w:cstheme="minorHAnsi"/>
                <w:lang w:val="pt-PT"/>
              </w:rPr>
              <w:t>, incluindo categorias vulneráveis de trabalhadores;</w:t>
            </w:r>
          </w:p>
          <w:p w14:paraId="04DFED68" w14:textId="77777777" w:rsidR="0025577E" w:rsidRPr="00AC50C8" w:rsidRDefault="0025577E" w:rsidP="00472547">
            <w:pPr>
              <w:spacing w:before="120" w:after="120" w:line="276" w:lineRule="auto"/>
              <w:ind w:right="40"/>
              <w:rPr>
                <w:rFonts w:asciiTheme="minorHAnsi" w:eastAsiaTheme="minorEastAsia" w:hAnsiTheme="minorHAnsi" w:cstheme="minorHAnsi"/>
                <w:lang w:val="pt-PT"/>
              </w:rPr>
            </w:pPr>
            <w:r w:rsidRPr="00AC50C8">
              <w:rPr>
                <w:rFonts w:asciiTheme="minorHAnsi" w:eastAsiaTheme="minorEastAsia" w:hAnsiTheme="minorHAnsi" w:cstheme="minorHAnsi"/>
                <w:lang w:val="pt-PT"/>
              </w:rPr>
              <w:t>•Evitar todas as formas de uso de trabalho forcado e infantil;</w:t>
            </w:r>
          </w:p>
          <w:p w14:paraId="1DA36110" w14:textId="77777777" w:rsidR="0025577E" w:rsidRPr="00AC50C8" w:rsidRDefault="0025577E" w:rsidP="00472547">
            <w:pPr>
              <w:spacing w:before="120" w:after="120" w:line="276" w:lineRule="auto"/>
              <w:ind w:right="40"/>
              <w:rPr>
                <w:rFonts w:asciiTheme="minorHAnsi" w:eastAsiaTheme="minorEastAsia" w:hAnsiTheme="minorHAnsi" w:cstheme="minorHAnsi"/>
                <w:lang w:val="pt-PT"/>
              </w:rPr>
            </w:pPr>
            <w:r w:rsidRPr="00AC50C8">
              <w:rPr>
                <w:rFonts w:asciiTheme="minorHAnsi" w:eastAsiaTheme="minorEastAsia" w:hAnsiTheme="minorHAnsi" w:cstheme="minorHAnsi"/>
                <w:lang w:val="pt-PT"/>
              </w:rPr>
              <w:t xml:space="preserve">•Apoiar os princípios de liberdade de associação e negociação </w:t>
            </w:r>
            <w:proofErr w:type="spellStart"/>
            <w:r w:rsidRPr="00AC50C8">
              <w:rPr>
                <w:rFonts w:asciiTheme="minorHAnsi" w:eastAsiaTheme="minorEastAsia" w:hAnsiTheme="minorHAnsi" w:cstheme="minorHAnsi"/>
                <w:lang w:val="pt-PT"/>
              </w:rPr>
              <w:t>colectiva</w:t>
            </w:r>
            <w:proofErr w:type="spellEnd"/>
            <w:r w:rsidRPr="00AC50C8">
              <w:rPr>
                <w:rFonts w:asciiTheme="minorHAnsi" w:eastAsiaTheme="minorEastAsia" w:hAnsiTheme="minorHAnsi" w:cstheme="minorHAnsi"/>
                <w:lang w:val="pt-PT"/>
              </w:rPr>
              <w:t xml:space="preserve"> dos trabalhadores do </w:t>
            </w:r>
            <w:proofErr w:type="spellStart"/>
            <w:r w:rsidRPr="00AC50C8">
              <w:rPr>
                <w:rFonts w:asciiTheme="minorHAnsi" w:eastAsiaTheme="minorEastAsia" w:hAnsiTheme="minorHAnsi" w:cstheme="minorHAnsi"/>
                <w:lang w:val="pt-PT"/>
              </w:rPr>
              <w:t>projecto</w:t>
            </w:r>
            <w:proofErr w:type="spellEnd"/>
            <w:r w:rsidRPr="00AC50C8">
              <w:rPr>
                <w:rFonts w:asciiTheme="minorHAnsi" w:eastAsiaTheme="minorEastAsia" w:hAnsiTheme="minorHAnsi" w:cstheme="minorHAnsi"/>
                <w:lang w:val="pt-PT"/>
              </w:rPr>
              <w:t xml:space="preserve"> de maneira compatível com a legislação nacional;</w:t>
            </w:r>
          </w:p>
          <w:p w14:paraId="1FCF51B8" w14:textId="77777777" w:rsidR="0025577E" w:rsidRPr="00AC50C8" w:rsidRDefault="0025577E" w:rsidP="00472547">
            <w:pPr>
              <w:spacing w:before="120" w:after="120" w:line="276" w:lineRule="auto"/>
              <w:ind w:right="40"/>
              <w:rPr>
                <w:rFonts w:asciiTheme="minorHAnsi" w:eastAsiaTheme="minorEastAsia" w:hAnsiTheme="minorHAnsi" w:cstheme="minorHAnsi"/>
                <w:lang w:val="pt-PT"/>
              </w:rPr>
            </w:pPr>
            <w:r w:rsidRPr="00AC50C8">
              <w:rPr>
                <w:rFonts w:asciiTheme="minorHAnsi" w:eastAsiaTheme="minorEastAsia" w:hAnsiTheme="minorHAnsi" w:cstheme="minorHAnsi"/>
                <w:lang w:val="pt-PT"/>
              </w:rPr>
              <w:t xml:space="preserve">•Fornecer meios acessíveis aos trabalhadores do </w:t>
            </w:r>
            <w:proofErr w:type="spellStart"/>
            <w:r w:rsidRPr="00AC50C8">
              <w:rPr>
                <w:rFonts w:asciiTheme="minorHAnsi" w:eastAsiaTheme="minorEastAsia" w:hAnsiTheme="minorHAnsi" w:cstheme="minorHAnsi"/>
                <w:lang w:val="pt-PT"/>
              </w:rPr>
              <w:t>projecto</w:t>
            </w:r>
            <w:proofErr w:type="spellEnd"/>
            <w:r w:rsidRPr="00AC50C8">
              <w:rPr>
                <w:rFonts w:asciiTheme="minorHAnsi" w:eastAsiaTheme="minorEastAsia" w:hAnsiTheme="minorHAnsi" w:cstheme="minorHAnsi"/>
                <w:lang w:val="pt-PT"/>
              </w:rPr>
              <w:t xml:space="preserve"> para levantar preocupações no local de trabalho</w:t>
            </w:r>
          </w:p>
          <w:p w14:paraId="6F7ECE71" w14:textId="77777777" w:rsidR="0025577E" w:rsidRPr="00AC50C8" w:rsidRDefault="0025577E" w:rsidP="00472547">
            <w:pPr>
              <w:spacing w:before="120" w:after="120" w:line="276" w:lineRule="auto"/>
              <w:ind w:right="40"/>
              <w:rPr>
                <w:rFonts w:asciiTheme="minorHAnsi" w:eastAsiaTheme="minorEastAsia" w:hAnsiTheme="minorHAnsi" w:cstheme="minorHAnsi"/>
                <w:lang w:val="pt-PT"/>
              </w:rPr>
            </w:pPr>
          </w:p>
          <w:p w14:paraId="6EC2B3A4" w14:textId="77777777" w:rsidR="0025577E" w:rsidRPr="00AC50C8" w:rsidRDefault="0025577E" w:rsidP="00472547">
            <w:pPr>
              <w:spacing w:before="120" w:after="120" w:line="276" w:lineRule="auto"/>
              <w:ind w:right="40"/>
              <w:rPr>
                <w:rFonts w:asciiTheme="minorHAnsi" w:eastAsiaTheme="minorEastAsia" w:hAnsiTheme="minorHAnsi" w:cstheme="minorHAnsi"/>
                <w:lang w:val="pt-PT"/>
              </w:rPr>
            </w:pPr>
          </w:p>
          <w:p w14:paraId="3E729EAD" w14:textId="77777777" w:rsidR="0025577E" w:rsidRPr="00AC50C8" w:rsidRDefault="0025577E" w:rsidP="00472547">
            <w:pPr>
              <w:spacing w:before="120" w:after="120" w:line="276" w:lineRule="auto"/>
              <w:ind w:right="40"/>
              <w:rPr>
                <w:rFonts w:asciiTheme="minorHAnsi" w:hAnsiTheme="minorHAnsi" w:cstheme="minorHAnsi"/>
                <w:lang w:val="pt-PT"/>
              </w:rPr>
            </w:pPr>
          </w:p>
        </w:tc>
        <w:tc>
          <w:tcPr>
            <w:tcW w:w="1224" w:type="pct"/>
          </w:tcPr>
          <w:p w14:paraId="4E3E35AD" w14:textId="7801572A"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r w:rsidRPr="00AC50C8">
              <w:rPr>
                <w:rFonts w:asciiTheme="minorHAnsi" w:eastAsiaTheme="minorEastAsia" w:hAnsiTheme="minorHAnsi" w:cstheme="minorHAnsi"/>
                <w:lang w:val="pt-PT"/>
              </w:rPr>
              <w:lastRenderedPageBreak/>
              <w:t xml:space="preserve">Existe a Lei do Trabalho, 23/2007 de 1 de </w:t>
            </w:r>
            <w:proofErr w:type="gramStart"/>
            <w:r w:rsidRPr="00AC50C8">
              <w:rPr>
                <w:rFonts w:asciiTheme="minorHAnsi" w:eastAsiaTheme="minorEastAsia" w:hAnsiTheme="minorHAnsi" w:cstheme="minorHAnsi"/>
                <w:lang w:val="pt-PT"/>
              </w:rPr>
              <w:t>Agosto</w:t>
            </w:r>
            <w:proofErr w:type="gramEnd"/>
            <w:r w:rsidRPr="00AC50C8">
              <w:rPr>
                <w:rFonts w:asciiTheme="minorHAnsi" w:eastAsiaTheme="minorEastAsia" w:hAnsiTheme="minorHAnsi" w:cstheme="minorHAnsi"/>
                <w:lang w:val="pt-PT"/>
              </w:rPr>
              <w:t xml:space="preserve"> (artigos 216 a 236) que regula todas as exigências contratuais e as </w:t>
            </w:r>
            <w:proofErr w:type="spellStart"/>
            <w:r w:rsidRPr="00AC50C8">
              <w:rPr>
                <w:rFonts w:asciiTheme="minorHAnsi" w:eastAsiaTheme="minorEastAsia" w:hAnsiTheme="minorHAnsi" w:cstheme="minorHAnsi"/>
                <w:lang w:val="pt-PT"/>
              </w:rPr>
              <w:t>respectivas</w:t>
            </w:r>
            <w:proofErr w:type="spellEnd"/>
            <w:r w:rsidRPr="00AC50C8">
              <w:rPr>
                <w:rFonts w:asciiTheme="minorHAnsi" w:eastAsiaTheme="minorEastAsia" w:hAnsiTheme="minorHAnsi" w:cstheme="minorHAnsi"/>
                <w:lang w:val="pt-PT"/>
              </w:rPr>
              <w:t xml:space="preserve"> condições para o desenvolvimento das </w:t>
            </w:r>
            <w:proofErr w:type="spellStart"/>
            <w:r w:rsidRPr="00AC50C8">
              <w:rPr>
                <w:rFonts w:asciiTheme="minorHAnsi" w:eastAsiaTheme="minorEastAsia" w:hAnsiTheme="minorHAnsi" w:cstheme="minorHAnsi"/>
                <w:lang w:val="pt-PT"/>
              </w:rPr>
              <w:t>actividades</w:t>
            </w:r>
            <w:proofErr w:type="spellEnd"/>
            <w:r w:rsidRPr="00AC50C8">
              <w:rPr>
                <w:rFonts w:asciiTheme="minorHAnsi" w:eastAsiaTheme="minorEastAsia" w:hAnsiTheme="minorHAnsi" w:cstheme="minorHAnsi"/>
                <w:lang w:val="pt-PT"/>
              </w:rPr>
              <w:t xml:space="preserve"> pelos trabalhadores. As condições de trabalho estão relacionadas com saúde, ambiente e segurança no trabalho. Existem os </w:t>
            </w:r>
            <w:r w:rsidRPr="00AC50C8">
              <w:rPr>
                <w:rFonts w:asciiTheme="minorHAnsi" w:eastAsiaTheme="minorEastAsia" w:hAnsiTheme="minorHAnsi" w:cstheme="minorHAnsi"/>
                <w:lang w:val="pt-PT"/>
              </w:rPr>
              <w:lastRenderedPageBreak/>
              <w:t xml:space="preserve">regulamentos sobre o Regime Jurídico de Acidentes de Trabalho e Doenças Profissionais e regulamento Geral de Higiene e segurança no trabalho este </w:t>
            </w:r>
            <w:r w:rsidR="00860B04" w:rsidRPr="00AC50C8">
              <w:rPr>
                <w:rFonts w:asciiTheme="minorHAnsi" w:eastAsiaTheme="minorEastAsia" w:hAnsiTheme="minorHAnsi" w:cstheme="minorHAnsi"/>
                <w:lang w:val="pt-PT"/>
              </w:rPr>
              <w:t>último</w:t>
            </w:r>
            <w:r w:rsidRPr="00AC50C8">
              <w:rPr>
                <w:rFonts w:asciiTheme="minorHAnsi" w:eastAsiaTheme="minorEastAsia" w:hAnsiTheme="minorHAnsi" w:cstheme="minorHAnsi"/>
                <w:lang w:val="pt-PT"/>
              </w:rPr>
              <w:t xml:space="preserve"> datado de um período antes da independência. </w:t>
            </w:r>
            <w:r w:rsidRPr="00AC50C8">
              <w:rPr>
                <w:rFonts w:asciiTheme="minorHAnsi" w:hAnsiTheme="minorHAnsi" w:cstheme="minorHAnsi"/>
                <w:sz w:val="20"/>
                <w:szCs w:val="20"/>
                <w:lang w:val="pt-PT"/>
              </w:rPr>
              <w:t xml:space="preserve"> </w:t>
            </w:r>
          </w:p>
          <w:p w14:paraId="439E1E17" w14:textId="77777777"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r w:rsidRPr="00AC50C8">
              <w:rPr>
                <w:rFonts w:asciiTheme="minorHAnsi" w:eastAsiaTheme="minorEastAsia" w:hAnsiTheme="minorHAnsi" w:cstheme="minorHAnsi"/>
                <w:lang w:val="pt-PT"/>
              </w:rPr>
              <w:t xml:space="preserve">Existe a Lei de </w:t>
            </w:r>
            <w:proofErr w:type="spellStart"/>
            <w:r w:rsidRPr="00AC50C8">
              <w:rPr>
                <w:rFonts w:asciiTheme="minorHAnsi" w:eastAsiaTheme="minorEastAsia" w:hAnsiTheme="minorHAnsi" w:cstheme="minorHAnsi"/>
                <w:lang w:val="pt-PT"/>
              </w:rPr>
              <w:t>Protecção</w:t>
            </w:r>
            <w:proofErr w:type="spellEnd"/>
            <w:r w:rsidRPr="00AC50C8">
              <w:rPr>
                <w:rFonts w:asciiTheme="minorHAnsi" w:eastAsiaTheme="minorEastAsia" w:hAnsiTheme="minorHAnsi" w:cstheme="minorHAnsi"/>
                <w:lang w:val="pt-PT"/>
              </w:rPr>
              <w:t xml:space="preserve"> a Pessoa, Trabalhador ou Candidato ao Emprego convivendo com HIV/SIDA (Lei nº 19/2014 de 27 de </w:t>
            </w:r>
            <w:proofErr w:type="gramStart"/>
            <w:r w:rsidRPr="00AC50C8">
              <w:rPr>
                <w:rFonts w:asciiTheme="minorHAnsi" w:eastAsiaTheme="minorEastAsia" w:hAnsiTheme="minorHAnsi" w:cstheme="minorHAnsi"/>
                <w:lang w:val="pt-PT"/>
              </w:rPr>
              <w:t>Agosto</w:t>
            </w:r>
            <w:proofErr w:type="gramEnd"/>
            <w:r w:rsidRPr="00AC50C8">
              <w:rPr>
                <w:rFonts w:asciiTheme="minorHAnsi" w:eastAsiaTheme="minorEastAsia" w:hAnsiTheme="minorHAnsi" w:cstheme="minorHAnsi"/>
                <w:lang w:val="pt-PT"/>
              </w:rPr>
              <w:t>).</w:t>
            </w:r>
          </w:p>
          <w:p w14:paraId="23F535F1" w14:textId="77777777" w:rsidR="0025577E" w:rsidRPr="00AC50C8" w:rsidRDefault="0025577E" w:rsidP="00472547">
            <w:pPr>
              <w:adjustRightInd w:val="0"/>
              <w:spacing w:before="120" w:after="120" w:line="276" w:lineRule="auto"/>
              <w:ind w:left="250"/>
              <w:contextualSpacing/>
              <w:rPr>
                <w:rFonts w:asciiTheme="minorHAnsi" w:eastAsiaTheme="minorEastAsia" w:hAnsiTheme="minorHAnsi" w:cstheme="minorHAnsi"/>
                <w:lang w:val="pt-PT"/>
              </w:rPr>
            </w:pPr>
          </w:p>
          <w:p w14:paraId="1123335F" w14:textId="77777777" w:rsidR="0025577E" w:rsidRPr="00AC50C8" w:rsidRDefault="0025577E" w:rsidP="00472547">
            <w:pPr>
              <w:adjustRightInd w:val="0"/>
              <w:spacing w:before="120" w:after="120" w:line="276" w:lineRule="auto"/>
              <w:contextualSpacing/>
              <w:rPr>
                <w:rFonts w:asciiTheme="minorHAnsi" w:eastAsiaTheme="minorEastAsia" w:hAnsiTheme="minorHAnsi" w:cstheme="minorHAnsi"/>
                <w:lang w:val="pt-PT"/>
              </w:rPr>
            </w:pPr>
          </w:p>
        </w:tc>
        <w:tc>
          <w:tcPr>
            <w:tcW w:w="1224" w:type="pct"/>
          </w:tcPr>
          <w:p w14:paraId="0E768EAB" w14:textId="77777777"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r w:rsidRPr="00AC50C8">
              <w:rPr>
                <w:rFonts w:asciiTheme="minorHAnsi" w:eastAsiaTheme="minorEastAsia" w:hAnsiTheme="minorHAnsi" w:cstheme="minorHAnsi"/>
                <w:lang w:val="pt-PT"/>
              </w:rPr>
              <w:lastRenderedPageBreak/>
              <w:t xml:space="preserve">Na legislação de Moçambique existem algumas lacunas tais como: </w:t>
            </w:r>
            <w:proofErr w:type="spellStart"/>
            <w:r w:rsidRPr="00AC50C8">
              <w:rPr>
                <w:rFonts w:asciiTheme="minorHAnsi" w:eastAsiaTheme="minorEastAsia" w:hAnsiTheme="minorHAnsi" w:cstheme="minorHAnsi"/>
                <w:lang w:val="pt-PT"/>
              </w:rPr>
              <w:t>ii</w:t>
            </w:r>
            <w:proofErr w:type="spellEnd"/>
            <w:r w:rsidRPr="00AC50C8">
              <w:rPr>
                <w:rFonts w:asciiTheme="minorHAnsi" w:eastAsiaTheme="minorEastAsia" w:hAnsiTheme="minorHAnsi" w:cstheme="minorHAnsi"/>
                <w:lang w:val="pt-PT"/>
              </w:rPr>
              <w:t xml:space="preserve">. código de conduta. A NAS2 obriga o estabelecimento do MQ para os trabalhadores. </w:t>
            </w:r>
          </w:p>
          <w:p w14:paraId="754BF0B6" w14:textId="77777777"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r w:rsidRPr="00AC50C8">
              <w:rPr>
                <w:rFonts w:asciiTheme="minorHAnsi" w:eastAsiaTheme="minorEastAsia" w:hAnsiTheme="minorHAnsi" w:cstheme="minorHAnsi"/>
                <w:lang w:val="pt-PT"/>
              </w:rPr>
              <w:t xml:space="preserve">A legislação nacional não inclui trabalhadores comunitários nem dos fornecedores primários como parte do </w:t>
            </w:r>
            <w:proofErr w:type="spellStart"/>
            <w:r w:rsidRPr="00AC50C8">
              <w:rPr>
                <w:rFonts w:asciiTheme="minorHAnsi" w:eastAsiaTheme="minorEastAsia" w:hAnsiTheme="minorHAnsi" w:cstheme="minorHAnsi"/>
                <w:lang w:val="pt-PT"/>
              </w:rPr>
              <w:t>projecto</w:t>
            </w:r>
            <w:proofErr w:type="spellEnd"/>
            <w:r w:rsidRPr="00AC50C8">
              <w:rPr>
                <w:rFonts w:asciiTheme="minorHAnsi" w:eastAsiaTheme="minorEastAsia" w:hAnsiTheme="minorHAnsi" w:cstheme="minorHAnsi"/>
                <w:lang w:val="pt-PT"/>
              </w:rPr>
              <w:t xml:space="preserve"> principal, focando-se mais nos </w:t>
            </w:r>
            <w:r w:rsidRPr="00AC50C8">
              <w:rPr>
                <w:rFonts w:asciiTheme="minorHAnsi" w:eastAsiaTheme="minorEastAsia" w:hAnsiTheme="minorHAnsi" w:cstheme="minorHAnsi"/>
                <w:lang w:val="pt-PT"/>
              </w:rPr>
              <w:lastRenderedPageBreak/>
              <w:t xml:space="preserve">trabalhadores </w:t>
            </w:r>
            <w:proofErr w:type="spellStart"/>
            <w:r w:rsidRPr="00AC50C8">
              <w:rPr>
                <w:rFonts w:asciiTheme="minorHAnsi" w:eastAsiaTheme="minorEastAsia" w:hAnsiTheme="minorHAnsi" w:cstheme="minorHAnsi"/>
                <w:lang w:val="pt-PT"/>
              </w:rPr>
              <w:t>directos</w:t>
            </w:r>
            <w:proofErr w:type="spellEnd"/>
            <w:r w:rsidRPr="00AC50C8">
              <w:rPr>
                <w:rFonts w:asciiTheme="minorHAnsi" w:eastAsiaTheme="minorEastAsia" w:hAnsiTheme="minorHAnsi" w:cstheme="minorHAnsi"/>
                <w:lang w:val="pt-PT"/>
              </w:rPr>
              <w:t xml:space="preserve">. </w:t>
            </w:r>
          </w:p>
          <w:p w14:paraId="7D5E77F7" w14:textId="77777777"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r w:rsidRPr="00AC50C8">
              <w:rPr>
                <w:rFonts w:asciiTheme="minorHAnsi" w:eastAsiaTheme="minorEastAsia" w:hAnsiTheme="minorHAnsi" w:cstheme="minorHAnsi"/>
                <w:lang w:val="pt-PT"/>
              </w:rPr>
              <w:t>A legislação não inclui a necessidade de elaboração do PGM, controlo de influxo laborar.</w:t>
            </w:r>
          </w:p>
          <w:p w14:paraId="2C2D36B1" w14:textId="77777777"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r w:rsidRPr="00AC50C8">
              <w:rPr>
                <w:rFonts w:asciiTheme="minorHAnsi" w:eastAsiaTheme="minorEastAsia" w:hAnsiTheme="minorHAnsi" w:cstheme="minorHAnsi"/>
                <w:lang w:val="pt-PT"/>
              </w:rPr>
              <w:t xml:space="preserve">O Regulamente sobre Acidentes de Trabalho e Doenças Profissionais, ainda que existentes, requer uma </w:t>
            </w:r>
            <w:proofErr w:type="spellStart"/>
            <w:r w:rsidRPr="00AC50C8">
              <w:rPr>
                <w:rFonts w:asciiTheme="minorHAnsi" w:eastAsiaTheme="minorEastAsia" w:hAnsiTheme="minorHAnsi" w:cstheme="minorHAnsi"/>
                <w:lang w:val="pt-PT"/>
              </w:rPr>
              <w:t>actualização</w:t>
            </w:r>
            <w:proofErr w:type="spellEnd"/>
            <w:r w:rsidRPr="00AC50C8">
              <w:rPr>
                <w:rFonts w:asciiTheme="minorHAnsi" w:eastAsiaTheme="minorEastAsia" w:hAnsiTheme="minorHAnsi" w:cstheme="minorHAnsi"/>
                <w:lang w:val="pt-PT"/>
              </w:rPr>
              <w:t xml:space="preserve"> para melhor enquadramento com o contexto </w:t>
            </w:r>
            <w:proofErr w:type="spellStart"/>
            <w:r w:rsidRPr="00AC50C8">
              <w:rPr>
                <w:rFonts w:asciiTheme="minorHAnsi" w:eastAsiaTheme="minorEastAsia" w:hAnsiTheme="minorHAnsi" w:cstheme="minorHAnsi"/>
                <w:lang w:val="pt-PT"/>
              </w:rPr>
              <w:t>actual</w:t>
            </w:r>
            <w:proofErr w:type="spellEnd"/>
            <w:r w:rsidRPr="00AC50C8">
              <w:rPr>
                <w:rFonts w:asciiTheme="minorHAnsi" w:eastAsiaTheme="minorEastAsia" w:hAnsiTheme="minorHAnsi" w:cstheme="minorHAnsi"/>
                <w:lang w:val="pt-PT"/>
              </w:rPr>
              <w:t xml:space="preserve"> e conformidade com as Boas Práticas sobre a Saúde e Segurança ocupacionais</w:t>
            </w:r>
          </w:p>
        </w:tc>
        <w:tc>
          <w:tcPr>
            <w:tcW w:w="1378" w:type="pct"/>
          </w:tcPr>
          <w:p w14:paraId="5D97F6CC" w14:textId="77777777" w:rsidR="0025577E" w:rsidRPr="00AC50C8" w:rsidRDefault="0025577E" w:rsidP="0025577E">
            <w:pPr>
              <w:numPr>
                <w:ilvl w:val="0"/>
                <w:numId w:val="256"/>
              </w:numPr>
              <w:adjustRightInd w:val="0"/>
              <w:spacing w:before="120" w:after="120" w:line="276" w:lineRule="auto"/>
              <w:ind w:left="250" w:hanging="250"/>
              <w:contextualSpacing/>
              <w:rPr>
                <w:rFonts w:asciiTheme="minorHAnsi" w:eastAsiaTheme="minorEastAsia" w:hAnsiTheme="minorHAnsi" w:cstheme="minorHAnsi"/>
                <w:lang w:val="pt-PT"/>
              </w:rPr>
            </w:pPr>
            <w:r w:rsidRPr="00AC50C8">
              <w:rPr>
                <w:rFonts w:asciiTheme="minorHAnsi" w:eastAsiaTheme="minorEastAsia" w:hAnsiTheme="minorHAnsi" w:cstheme="minorHAnsi"/>
                <w:lang w:val="pt-PT"/>
              </w:rPr>
              <w:lastRenderedPageBreak/>
              <w:t>Por não existirem conflitos, os processos referentes a Mão de-obra e Condições Laborais, serão seguidos os estabelecidos na legislação Moçambicana e em casos de lacunas serão cobertos pelos princípios e normas do BM</w:t>
            </w:r>
          </w:p>
        </w:tc>
      </w:tr>
    </w:tbl>
    <w:p w14:paraId="0C8C2708" w14:textId="56CEDA83" w:rsidR="00F1714B" w:rsidRDefault="00F1714B" w:rsidP="00F1714B">
      <w:pPr>
        <w:rPr>
          <w:lang w:val="pt-PT" w:eastAsia="ja-JP"/>
        </w:rPr>
      </w:pPr>
    </w:p>
    <w:p w14:paraId="58A1CACD" w14:textId="07585E3D" w:rsidR="0025577E" w:rsidRDefault="0025577E" w:rsidP="00F1714B">
      <w:pPr>
        <w:rPr>
          <w:lang w:val="pt-PT" w:eastAsia="ja-JP"/>
        </w:rPr>
      </w:pPr>
    </w:p>
    <w:p w14:paraId="6423F026" w14:textId="51C0BF2A" w:rsidR="0025577E" w:rsidRDefault="0025577E" w:rsidP="00F1714B">
      <w:pPr>
        <w:rPr>
          <w:lang w:val="pt-PT" w:eastAsia="ja-JP"/>
        </w:rPr>
      </w:pPr>
    </w:p>
    <w:p w14:paraId="6A729488" w14:textId="48B92349" w:rsidR="0025577E" w:rsidRDefault="0025577E" w:rsidP="00F1714B">
      <w:pPr>
        <w:rPr>
          <w:lang w:val="pt-PT" w:eastAsia="ja-JP"/>
        </w:rPr>
      </w:pPr>
    </w:p>
    <w:p w14:paraId="018B875B" w14:textId="77777777" w:rsidR="0025577E" w:rsidRDefault="0025577E" w:rsidP="00F1714B">
      <w:pPr>
        <w:rPr>
          <w:lang w:val="pt-PT" w:eastAsia="ja-JP"/>
        </w:rPr>
      </w:pPr>
    </w:p>
    <w:tbl>
      <w:tblPr>
        <w:tblpPr w:leftFromText="180" w:rightFromText="180" w:vertAnchor="text" w:horzAnchor="margin" w:tblpY="-485"/>
        <w:tblOverlap w:val="never"/>
        <w:tblW w:w="51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8"/>
        <w:gridCol w:w="3543"/>
        <w:gridCol w:w="3543"/>
        <w:gridCol w:w="3989"/>
      </w:tblGrid>
      <w:tr w:rsidR="0025577E" w:rsidRPr="001E4B2C" w14:paraId="213E26C3" w14:textId="77777777" w:rsidTr="00941934">
        <w:trPr>
          <w:trHeight w:val="937"/>
          <w:tblHeader/>
        </w:trPr>
        <w:tc>
          <w:tcPr>
            <w:tcW w:w="5000" w:type="pct"/>
            <w:gridSpan w:val="4"/>
            <w:shd w:val="clear" w:color="auto" w:fill="EDEDED" w:themeFill="accent3" w:themeFillTint="33"/>
            <w:vAlign w:val="center"/>
          </w:tcPr>
          <w:p w14:paraId="4621FEF0" w14:textId="77777777" w:rsidR="0025577E" w:rsidRPr="00F1714B" w:rsidRDefault="0025577E" w:rsidP="0025577E">
            <w:pPr>
              <w:rPr>
                <w:b/>
                <w:lang w:val="pt-PT" w:eastAsia="ja-JP"/>
              </w:rPr>
            </w:pPr>
            <w:bookmarkStart w:id="77" w:name="_Hlk80366922"/>
            <w:r w:rsidRPr="00F1714B">
              <w:rPr>
                <w:b/>
                <w:lang w:val="pt-PT" w:eastAsia="ja-JP"/>
              </w:rPr>
              <w:lastRenderedPageBreak/>
              <w:t xml:space="preserve">NAS3: </w:t>
            </w:r>
            <w:r w:rsidRPr="00F1714B">
              <w:rPr>
                <w:lang w:val="pt-PT" w:eastAsia="ja-JP"/>
              </w:rPr>
              <w:t xml:space="preserve">  </w:t>
            </w:r>
            <w:r w:rsidRPr="00F1714B">
              <w:rPr>
                <w:b/>
                <w:lang w:val="pt-PT" w:eastAsia="ja-JP"/>
              </w:rPr>
              <w:t>Eficácia de Recursos e Prevenção e Gestão da Poluição</w:t>
            </w:r>
          </w:p>
        </w:tc>
      </w:tr>
      <w:tr w:rsidR="0025577E" w:rsidRPr="001E4B2C" w14:paraId="376B0906" w14:textId="77777777" w:rsidTr="00860B04">
        <w:trPr>
          <w:trHeight w:val="617"/>
        </w:trPr>
        <w:tc>
          <w:tcPr>
            <w:tcW w:w="1174" w:type="pct"/>
          </w:tcPr>
          <w:p w14:paraId="6861DE0E" w14:textId="77777777" w:rsidR="0025577E" w:rsidRPr="00F1714B" w:rsidRDefault="0025577E" w:rsidP="0025577E">
            <w:pPr>
              <w:rPr>
                <w:lang w:val="pt-PT" w:eastAsia="ja-JP"/>
              </w:rPr>
            </w:pPr>
            <w:proofErr w:type="spellStart"/>
            <w:r w:rsidRPr="00F1714B">
              <w:rPr>
                <w:lang w:val="pt-PT" w:eastAsia="ja-JP"/>
              </w:rPr>
              <w:t>Objectivos</w:t>
            </w:r>
            <w:proofErr w:type="spellEnd"/>
            <w:r w:rsidRPr="00F1714B">
              <w:rPr>
                <w:lang w:val="pt-PT" w:eastAsia="ja-JP"/>
              </w:rPr>
              <w:t xml:space="preserve"> da NAS3:</w:t>
            </w:r>
          </w:p>
          <w:p w14:paraId="0D90A96A" w14:textId="77777777" w:rsidR="0025577E" w:rsidRPr="00F1714B" w:rsidRDefault="0025577E" w:rsidP="0025577E">
            <w:pPr>
              <w:numPr>
                <w:ilvl w:val="0"/>
                <w:numId w:val="256"/>
              </w:numPr>
              <w:rPr>
                <w:lang w:val="pt-PT" w:eastAsia="ja-JP"/>
              </w:rPr>
            </w:pPr>
            <w:r w:rsidRPr="00F1714B">
              <w:rPr>
                <w:lang w:val="pt-PT" w:eastAsia="ja-JP"/>
              </w:rPr>
              <w:t>Promover o uso sustentável dos recursos, incluindo energia, água e matérias-primas;</w:t>
            </w:r>
          </w:p>
          <w:p w14:paraId="01BFF152" w14:textId="77777777" w:rsidR="0025577E" w:rsidRPr="00F1714B" w:rsidRDefault="0025577E" w:rsidP="0025577E">
            <w:pPr>
              <w:numPr>
                <w:ilvl w:val="0"/>
                <w:numId w:val="256"/>
              </w:numPr>
              <w:rPr>
                <w:lang w:val="pt-PT" w:eastAsia="ja-JP"/>
              </w:rPr>
            </w:pPr>
            <w:r w:rsidRPr="00F1714B">
              <w:rPr>
                <w:lang w:val="pt-PT" w:eastAsia="ja-JP"/>
              </w:rPr>
              <w:t xml:space="preserve">Evitar ou minimizar os impactos negativos na saúde humana e meio ambiente, evitando ou minimizando a poluição proveniente das </w:t>
            </w:r>
            <w:proofErr w:type="spellStart"/>
            <w:r w:rsidRPr="00F1714B">
              <w:rPr>
                <w:lang w:val="pt-PT" w:eastAsia="ja-JP"/>
              </w:rPr>
              <w:t>actividades</w:t>
            </w:r>
            <w:proofErr w:type="spellEnd"/>
            <w:r w:rsidRPr="00F1714B">
              <w:rPr>
                <w:lang w:val="pt-PT" w:eastAsia="ja-JP"/>
              </w:rPr>
              <w:t xml:space="preserve"> do </w:t>
            </w:r>
            <w:proofErr w:type="spellStart"/>
            <w:r w:rsidRPr="00F1714B">
              <w:rPr>
                <w:lang w:val="pt-PT" w:eastAsia="ja-JP"/>
              </w:rPr>
              <w:t>projecto</w:t>
            </w:r>
            <w:proofErr w:type="spellEnd"/>
            <w:r w:rsidRPr="00F1714B">
              <w:rPr>
                <w:lang w:val="pt-PT" w:eastAsia="ja-JP"/>
              </w:rPr>
              <w:t>;</w:t>
            </w:r>
          </w:p>
          <w:p w14:paraId="3B9997E7" w14:textId="77777777" w:rsidR="0025577E" w:rsidRPr="00F1714B" w:rsidRDefault="0025577E" w:rsidP="0025577E">
            <w:pPr>
              <w:numPr>
                <w:ilvl w:val="0"/>
                <w:numId w:val="256"/>
              </w:numPr>
              <w:rPr>
                <w:lang w:val="pt-PT" w:eastAsia="ja-JP"/>
              </w:rPr>
            </w:pPr>
            <w:r w:rsidRPr="00F1714B">
              <w:rPr>
                <w:lang w:val="pt-PT" w:eastAsia="ja-JP"/>
              </w:rPr>
              <w:t xml:space="preserve">Evitar ou minimizar os impactos negativos relacionados com o </w:t>
            </w:r>
            <w:proofErr w:type="spellStart"/>
            <w:r w:rsidRPr="00F1714B">
              <w:rPr>
                <w:lang w:val="pt-PT" w:eastAsia="ja-JP"/>
              </w:rPr>
              <w:t>projecto</w:t>
            </w:r>
            <w:proofErr w:type="spellEnd"/>
            <w:r w:rsidRPr="00F1714B">
              <w:rPr>
                <w:lang w:val="pt-PT" w:eastAsia="ja-JP"/>
              </w:rPr>
              <w:t xml:space="preserve"> de poluentes de curta e longa duração; </w:t>
            </w:r>
          </w:p>
          <w:p w14:paraId="0E654CD8" w14:textId="77777777" w:rsidR="0025577E" w:rsidRPr="00F1714B" w:rsidRDefault="0025577E" w:rsidP="0025577E">
            <w:pPr>
              <w:numPr>
                <w:ilvl w:val="0"/>
                <w:numId w:val="256"/>
              </w:numPr>
              <w:rPr>
                <w:lang w:val="pt-PT" w:eastAsia="ja-JP"/>
              </w:rPr>
            </w:pPr>
            <w:r w:rsidRPr="00F1714B">
              <w:rPr>
                <w:lang w:val="pt-PT" w:eastAsia="ja-JP"/>
              </w:rPr>
              <w:t>Evitar ou minimizar a geração de resíduos perigosos e não perigosos;</w:t>
            </w:r>
          </w:p>
          <w:p w14:paraId="75F18C20" w14:textId="6679F046" w:rsidR="0025577E" w:rsidRPr="00F1714B" w:rsidRDefault="0025577E" w:rsidP="00860B04">
            <w:pPr>
              <w:numPr>
                <w:ilvl w:val="0"/>
                <w:numId w:val="256"/>
              </w:numPr>
              <w:rPr>
                <w:lang w:val="pt-PT" w:eastAsia="ja-JP"/>
              </w:rPr>
            </w:pPr>
            <w:r w:rsidRPr="00F1714B">
              <w:rPr>
                <w:lang w:val="pt-PT" w:eastAsia="ja-JP"/>
              </w:rPr>
              <w:t xml:space="preserve">Minimizar e gerir os riscos e impactos associados ao uso de pesticidas </w:t>
            </w:r>
            <w:proofErr w:type="spellStart"/>
            <w:r w:rsidRPr="00F1714B">
              <w:rPr>
                <w:lang w:val="pt-PT" w:eastAsia="ja-JP"/>
              </w:rPr>
              <w:t>Adoptar</w:t>
            </w:r>
            <w:proofErr w:type="spellEnd"/>
            <w:r w:rsidRPr="00F1714B">
              <w:rPr>
                <w:lang w:val="pt-PT" w:eastAsia="ja-JP"/>
              </w:rPr>
              <w:t xml:space="preserve"> uma </w:t>
            </w:r>
            <w:r w:rsidRPr="00F1714B">
              <w:rPr>
                <w:lang w:val="pt-PT" w:eastAsia="ja-JP"/>
              </w:rPr>
              <w:lastRenderedPageBreak/>
              <w:t>abordagem de hierarquia de mitigação.</w:t>
            </w:r>
          </w:p>
        </w:tc>
        <w:tc>
          <w:tcPr>
            <w:tcW w:w="1224" w:type="pct"/>
          </w:tcPr>
          <w:p w14:paraId="4E99A5CE" w14:textId="77777777" w:rsidR="0025577E" w:rsidRPr="00F1714B" w:rsidRDefault="0025577E" w:rsidP="0025577E">
            <w:pPr>
              <w:numPr>
                <w:ilvl w:val="0"/>
                <w:numId w:val="256"/>
              </w:numPr>
              <w:rPr>
                <w:lang w:val="pt-PT" w:eastAsia="ja-JP"/>
              </w:rPr>
            </w:pPr>
            <w:r w:rsidRPr="00F1714B">
              <w:rPr>
                <w:lang w:val="pt-PT" w:eastAsia="ja-JP"/>
              </w:rPr>
              <w:lastRenderedPageBreak/>
              <w:t>Existe o Regulamento sobre Padrões de Qualidade Ambiental e de Emissão de Efluentes (Decreto nº 18/2004)</w:t>
            </w:r>
          </w:p>
          <w:p w14:paraId="777AA52D" w14:textId="77777777" w:rsidR="0025577E" w:rsidRPr="00F1714B" w:rsidRDefault="0025577E" w:rsidP="0025577E">
            <w:pPr>
              <w:numPr>
                <w:ilvl w:val="0"/>
                <w:numId w:val="256"/>
              </w:numPr>
              <w:rPr>
                <w:lang w:val="pt-PT" w:eastAsia="ja-JP"/>
              </w:rPr>
            </w:pPr>
            <w:r w:rsidRPr="00F1714B">
              <w:rPr>
                <w:lang w:val="pt-PT" w:eastAsia="ja-JP"/>
              </w:rPr>
              <w:t xml:space="preserve">Existe o Regulamento de Gestão de Resíduos Sólidos (Decreto nº 13/2006). </w:t>
            </w:r>
          </w:p>
          <w:p w14:paraId="371FAB48" w14:textId="77777777" w:rsidR="0025577E" w:rsidRPr="00F1714B" w:rsidRDefault="0025577E" w:rsidP="0025577E">
            <w:pPr>
              <w:numPr>
                <w:ilvl w:val="0"/>
                <w:numId w:val="256"/>
              </w:numPr>
              <w:rPr>
                <w:lang w:val="pt-PT" w:eastAsia="ja-JP"/>
              </w:rPr>
            </w:pPr>
            <w:r w:rsidRPr="00F1714B">
              <w:rPr>
                <w:lang w:val="pt-PT" w:eastAsia="ja-JP"/>
              </w:rPr>
              <w:t xml:space="preserve">Existe o decreto sobre a gestão de resíduos perigosos (83/2014 de 31 de </w:t>
            </w:r>
            <w:proofErr w:type="gramStart"/>
            <w:r w:rsidRPr="00F1714B">
              <w:rPr>
                <w:lang w:val="pt-PT" w:eastAsia="ja-JP"/>
              </w:rPr>
              <w:t>Dezembro</w:t>
            </w:r>
            <w:proofErr w:type="gramEnd"/>
            <w:r w:rsidRPr="00F1714B">
              <w:rPr>
                <w:lang w:val="pt-PT" w:eastAsia="ja-JP"/>
              </w:rPr>
              <w:t xml:space="preserve">). </w:t>
            </w:r>
          </w:p>
          <w:p w14:paraId="54FAAD6A" w14:textId="77777777" w:rsidR="0025577E" w:rsidRPr="00F1714B" w:rsidRDefault="0025577E" w:rsidP="0025577E">
            <w:pPr>
              <w:numPr>
                <w:ilvl w:val="0"/>
                <w:numId w:val="256"/>
              </w:numPr>
              <w:rPr>
                <w:lang w:val="pt-PT" w:eastAsia="ja-JP"/>
              </w:rPr>
            </w:pPr>
            <w:r w:rsidRPr="00F1714B">
              <w:rPr>
                <w:lang w:val="pt-PT" w:eastAsia="ja-JP"/>
              </w:rPr>
              <w:t>Existe Regulamento para a Prevenção da Poluição e Proteção do Ambiente Marinho Costeiro (Decreto nº. 45/2006)</w:t>
            </w:r>
          </w:p>
          <w:p w14:paraId="2FDBA78E" w14:textId="77777777" w:rsidR="0025577E" w:rsidRPr="00F1714B" w:rsidRDefault="0025577E" w:rsidP="0025577E">
            <w:pPr>
              <w:numPr>
                <w:ilvl w:val="0"/>
                <w:numId w:val="256"/>
              </w:numPr>
              <w:rPr>
                <w:lang w:val="pt-PT" w:eastAsia="ja-JP"/>
              </w:rPr>
            </w:pPr>
            <w:r w:rsidRPr="00F1714B">
              <w:rPr>
                <w:lang w:val="pt-PT" w:eastAsia="ja-JP"/>
              </w:rPr>
              <w:t xml:space="preserve">O MTA </w:t>
            </w:r>
            <w:proofErr w:type="spellStart"/>
            <w:r w:rsidRPr="00F1714B">
              <w:rPr>
                <w:lang w:val="pt-PT" w:eastAsia="ja-JP"/>
              </w:rPr>
              <w:t>adoptou</w:t>
            </w:r>
            <w:proofErr w:type="spellEnd"/>
            <w:r w:rsidRPr="00F1714B">
              <w:rPr>
                <w:lang w:val="pt-PT" w:eastAsia="ja-JP"/>
              </w:rPr>
              <w:t xml:space="preserve"> padrões estabelecidos pelos outros países e se adequa a Moçambique.</w:t>
            </w:r>
          </w:p>
        </w:tc>
        <w:tc>
          <w:tcPr>
            <w:tcW w:w="1224" w:type="pct"/>
          </w:tcPr>
          <w:p w14:paraId="18B7C995" w14:textId="77777777" w:rsidR="0025577E" w:rsidRPr="00F1714B" w:rsidRDefault="0025577E" w:rsidP="0025577E">
            <w:pPr>
              <w:numPr>
                <w:ilvl w:val="0"/>
                <w:numId w:val="256"/>
              </w:numPr>
              <w:rPr>
                <w:lang w:val="pt-PT" w:eastAsia="ja-JP"/>
              </w:rPr>
            </w:pPr>
            <w:r w:rsidRPr="00F1714B">
              <w:rPr>
                <w:lang w:val="pt-PT" w:eastAsia="ja-JP"/>
              </w:rPr>
              <w:t>A legislação moçambicana é menos abrangente que a NAS 3.</w:t>
            </w:r>
          </w:p>
          <w:p w14:paraId="5DBD082F" w14:textId="77777777" w:rsidR="0025577E" w:rsidRPr="00F1714B" w:rsidRDefault="0025577E" w:rsidP="0025577E">
            <w:pPr>
              <w:numPr>
                <w:ilvl w:val="0"/>
                <w:numId w:val="256"/>
              </w:numPr>
              <w:rPr>
                <w:lang w:val="pt-PT" w:eastAsia="ja-JP"/>
              </w:rPr>
            </w:pPr>
            <w:r w:rsidRPr="00F1714B">
              <w:rPr>
                <w:lang w:val="pt-PT" w:eastAsia="ja-JP"/>
              </w:rPr>
              <w:t xml:space="preserve">A legislação moçambicana não apresenta requisitos e padrões aplicáveis à emissão de ruídos e eficiência energética. </w:t>
            </w:r>
          </w:p>
          <w:p w14:paraId="37EFCF9D" w14:textId="77777777" w:rsidR="0025577E" w:rsidRPr="00F1714B" w:rsidRDefault="0025577E" w:rsidP="0025577E">
            <w:pPr>
              <w:numPr>
                <w:ilvl w:val="0"/>
                <w:numId w:val="256"/>
              </w:numPr>
              <w:rPr>
                <w:lang w:val="pt-PT" w:eastAsia="ja-JP"/>
              </w:rPr>
            </w:pPr>
            <w:r w:rsidRPr="00F1714B">
              <w:rPr>
                <w:lang w:val="pt-PT" w:eastAsia="ja-JP"/>
              </w:rPr>
              <w:t xml:space="preserve">A legislação nacional não apresenta requisitos específicos para a gestão de produtos químicos.  Para este fim tem se recorrido a legislação aplicável aos resíduos perigosos. </w:t>
            </w:r>
          </w:p>
          <w:p w14:paraId="05FC7A07" w14:textId="77777777" w:rsidR="0025577E" w:rsidRPr="00F1714B" w:rsidRDefault="0025577E" w:rsidP="0025577E">
            <w:pPr>
              <w:numPr>
                <w:ilvl w:val="0"/>
                <w:numId w:val="256"/>
              </w:numPr>
              <w:rPr>
                <w:lang w:val="pt-PT" w:eastAsia="ja-JP"/>
              </w:rPr>
            </w:pPr>
            <w:r w:rsidRPr="00F1714B">
              <w:rPr>
                <w:lang w:val="pt-PT" w:eastAsia="ja-JP"/>
              </w:rPr>
              <w:t>A Norma não inclui requisitos específicos de gestão de resíduos biomédicos.</w:t>
            </w:r>
          </w:p>
          <w:p w14:paraId="41E216AA" w14:textId="77777777" w:rsidR="0025577E" w:rsidRPr="00F1714B" w:rsidRDefault="0025577E" w:rsidP="0025577E">
            <w:pPr>
              <w:rPr>
                <w:lang w:val="pt-PT" w:eastAsia="ja-JP"/>
              </w:rPr>
            </w:pPr>
          </w:p>
        </w:tc>
        <w:tc>
          <w:tcPr>
            <w:tcW w:w="1378" w:type="pct"/>
          </w:tcPr>
          <w:p w14:paraId="198C5379" w14:textId="77777777" w:rsidR="0025577E" w:rsidRPr="00F1714B" w:rsidRDefault="0025577E" w:rsidP="0025577E">
            <w:pPr>
              <w:numPr>
                <w:ilvl w:val="0"/>
                <w:numId w:val="256"/>
              </w:numPr>
              <w:rPr>
                <w:lang w:val="pt-PT" w:eastAsia="ja-JP"/>
              </w:rPr>
            </w:pPr>
            <w:r w:rsidRPr="00F1714B">
              <w:rPr>
                <w:lang w:val="pt-PT" w:eastAsia="ja-JP"/>
              </w:rPr>
              <w:t xml:space="preserve">Para os casos de menor risco e impacto referente ao assunto será aplicada a legislação nacional e em casos de riscos e impactos significativos deve-se conjugar a legislação nacional e normas do BM e compensar os </w:t>
            </w:r>
            <w:proofErr w:type="spellStart"/>
            <w:r w:rsidRPr="00F1714B">
              <w:rPr>
                <w:lang w:val="pt-PT" w:eastAsia="ja-JP"/>
              </w:rPr>
              <w:t>aspectos</w:t>
            </w:r>
            <w:proofErr w:type="spellEnd"/>
            <w:r w:rsidRPr="00F1714B">
              <w:rPr>
                <w:lang w:val="pt-PT" w:eastAsia="ja-JP"/>
              </w:rPr>
              <w:t xml:space="preserve"> necessários.</w:t>
            </w:r>
          </w:p>
        </w:tc>
      </w:tr>
      <w:tr w:rsidR="0025577E" w:rsidRPr="001E4B2C" w14:paraId="353930A9" w14:textId="77777777" w:rsidTr="00941934">
        <w:trPr>
          <w:trHeight w:val="937"/>
          <w:tblHeader/>
        </w:trPr>
        <w:tc>
          <w:tcPr>
            <w:tcW w:w="5000" w:type="pct"/>
            <w:gridSpan w:val="4"/>
            <w:shd w:val="clear" w:color="auto" w:fill="EDEDED" w:themeFill="accent3" w:themeFillTint="33"/>
            <w:vAlign w:val="center"/>
          </w:tcPr>
          <w:p w14:paraId="2045EA46" w14:textId="77777777" w:rsidR="0025577E" w:rsidRPr="00F1714B" w:rsidRDefault="0025577E" w:rsidP="0025577E">
            <w:pPr>
              <w:rPr>
                <w:b/>
                <w:lang w:val="pt-PT" w:eastAsia="ja-JP"/>
              </w:rPr>
            </w:pPr>
            <w:r w:rsidRPr="00F1714B">
              <w:rPr>
                <w:b/>
                <w:lang w:val="pt-PT" w:eastAsia="ja-JP"/>
              </w:rPr>
              <w:t xml:space="preserve">NAS4: </w:t>
            </w:r>
            <w:r w:rsidRPr="00F1714B">
              <w:rPr>
                <w:lang w:val="pt-PT" w:eastAsia="ja-JP"/>
              </w:rPr>
              <w:t xml:space="preserve">  </w:t>
            </w:r>
            <w:r w:rsidRPr="00F1714B">
              <w:rPr>
                <w:b/>
                <w:lang w:val="pt-PT" w:eastAsia="ja-JP"/>
              </w:rPr>
              <w:t>Saúde e Segurança Comunitária</w:t>
            </w:r>
          </w:p>
        </w:tc>
      </w:tr>
      <w:tr w:rsidR="0025577E" w:rsidRPr="001E4B2C" w14:paraId="39F41F72" w14:textId="77777777" w:rsidTr="00941934">
        <w:trPr>
          <w:trHeight w:val="2903"/>
        </w:trPr>
        <w:tc>
          <w:tcPr>
            <w:tcW w:w="1174" w:type="pct"/>
          </w:tcPr>
          <w:p w14:paraId="6E0C83D5" w14:textId="77777777" w:rsidR="0025577E" w:rsidRPr="00F1714B" w:rsidRDefault="0025577E" w:rsidP="0025577E">
            <w:pPr>
              <w:rPr>
                <w:lang w:val="pt-PT" w:eastAsia="ja-JP"/>
              </w:rPr>
            </w:pPr>
            <w:proofErr w:type="spellStart"/>
            <w:r w:rsidRPr="00F1714B">
              <w:rPr>
                <w:lang w:val="pt-PT" w:eastAsia="ja-JP"/>
              </w:rPr>
              <w:t>Objectivos</w:t>
            </w:r>
            <w:proofErr w:type="spellEnd"/>
            <w:r w:rsidRPr="00F1714B">
              <w:rPr>
                <w:lang w:val="pt-PT" w:eastAsia="ja-JP"/>
              </w:rPr>
              <w:t xml:space="preserve"> da NAS4:</w:t>
            </w:r>
          </w:p>
          <w:p w14:paraId="712A644F" w14:textId="77777777" w:rsidR="0025577E" w:rsidRPr="00F1714B" w:rsidRDefault="0025577E" w:rsidP="0025577E">
            <w:pPr>
              <w:numPr>
                <w:ilvl w:val="0"/>
                <w:numId w:val="256"/>
              </w:numPr>
              <w:rPr>
                <w:lang w:val="pt-PT" w:eastAsia="ja-JP"/>
              </w:rPr>
            </w:pPr>
            <w:r w:rsidRPr="00F1714B">
              <w:rPr>
                <w:lang w:val="pt-PT" w:eastAsia="ja-JP"/>
              </w:rPr>
              <w:t xml:space="preserve">Antecipar e evitar impactos adversos na saúde e segurança das comunidades afetadas pelo </w:t>
            </w:r>
            <w:proofErr w:type="spellStart"/>
            <w:r w:rsidRPr="00F1714B">
              <w:rPr>
                <w:lang w:val="pt-PT" w:eastAsia="ja-JP"/>
              </w:rPr>
              <w:t>projecto</w:t>
            </w:r>
            <w:proofErr w:type="spellEnd"/>
            <w:r w:rsidRPr="00F1714B">
              <w:rPr>
                <w:lang w:val="pt-PT" w:eastAsia="ja-JP"/>
              </w:rPr>
              <w:t xml:space="preserve"> durante o seu ciclo de vida, tanto em circunstâncias rotineiras, como não rotineiras;</w:t>
            </w:r>
          </w:p>
          <w:p w14:paraId="02571421" w14:textId="77777777" w:rsidR="0025577E" w:rsidRPr="00F1714B" w:rsidRDefault="0025577E" w:rsidP="0025577E">
            <w:pPr>
              <w:numPr>
                <w:ilvl w:val="0"/>
                <w:numId w:val="256"/>
              </w:numPr>
              <w:rPr>
                <w:lang w:val="pt-PT" w:eastAsia="ja-JP"/>
              </w:rPr>
            </w:pPr>
            <w:r w:rsidRPr="00F1714B">
              <w:rPr>
                <w:lang w:val="pt-PT" w:eastAsia="ja-JP"/>
              </w:rPr>
              <w:t xml:space="preserve">Promover a qualidade e segurança, bem como considerações relacionadas com as alterações climáticas, na </w:t>
            </w:r>
            <w:proofErr w:type="spellStart"/>
            <w:r w:rsidRPr="00F1714B">
              <w:rPr>
                <w:lang w:val="pt-PT" w:eastAsia="ja-JP"/>
              </w:rPr>
              <w:t>concepção</w:t>
            </w:r>
            <w:proofErr w:type="spellEnd"/>
            <w:r w:rsidRPr="00F1714B">
              <w:rPr>
                <w:lang w:val="pt-PT" w:eastAsia="ja-JP"/>
              </w:rPr>
              <w:t xml:space="preserve"> e construção de infraestruturas incluindo barragens;</w:t>
            </w:r>
          </w:p>
          <w:p w14:paraId="61ABD8FA" w14:textId="77777777" w:rsidR="0025577E" w:rsidRPr="00F1714B" w:rsidRDefault="0025577E" w:rsidP="0025577E">
            <w:pPr>
              <w:numPr>
                <w:ilvl w:val="0"/>
                <w:numId w:val="256"/>
              </w:numPr>
              <w:rPr>
                <w:lang w:val="pt-PT" w:eastAsia="ja-JP"/>
              </w:rPr>
            </w:pPr>
            <w:r w:rsidRPr="00F1714B">
              <w:rPr>
                <w:lang w:val="pt-PT" w:eastAsia="ja-JP"/>
              </w:rPr>
              <w:t xml:space="preserve">Evitar ou minimizar a exposição das comunidades aos riscos de segurança rodoviária e de </w:t>
            </w:r>
            <w:r w:rsidRPr="00F1714B">
              <w:rPr>
                <w:lang w:val="pt-PT" w:eastAsia="ja-JP"/>
              </w:rPr>
              <w:lastRenderedPageBreak/>
              <w:t xml:space="preserve">trânsito relacionado com o </w:t>
            </w:r>
            <w:proofErr w:type="spellStart"/>
            <w:r w:rsidRPr="00F1714B">
              <w:rPr>
                <w:lang w:val="pt-PT" w:eastAsia="ja-JP"/>
              </w:rPr>
              <w:t>projecto</w:t>
            </w:r>
            <w:proofErr w:type="spellEnd"/>
            <w:r w:rsidRPr="00F1714B">
              <w:rPr>
                <w:lang w:val="pt-PT" w:eastAsia="ja-JP"/>
              </w:rPr>
              <w:t>, doenças e matérias perigosos;</w:t>
            </w:r>
          </w:p>
          <w:p w14:paraId="18AFE85C" w14:textId="77777777" w:rsidR="0025577E" w:rsidRPr="00F1714B" w:rsidRDefault="0025577E" w:rsidP="0025577E">
            <w:pPr>
              <w:numPr>
                <w:ilvl w:val="0"/>
                <w:numId w:val="256"/>
              </w:numPr>
              <w:rPr>
                <w:lang w:val="pt-PT" w:eastAsia="ja-JP"/>
              </w:rPr>
            </w:pPr>
            <w:r w:rsidRPr="00F1714B">
              <w:rPr>
                <w:lang w:val="pt-PT" w:eastAsia="ja-JP"/>
              </w:rPr>
              <w:t>Dispor de medidas eficazes para enfrentar emergências;</w:t>
            </w:r>
          </w:p>
          <w:p w14:paraId="2F71CD5E" w14:textId="77777777" w:rsidR="0025577E" w:rsidRPr="00F1714B" w:rsidRDefault="0025577E" w:rsidP="0025577E">
            <w:pPr>
              <w:numPr>
                <w:ilvl w:val="0"/>
                <w:numId w:val="256"/>
              </w:numPr>
              <w:rPr>
                <w:lang w:val="pt-PT" w:eastAsia="ja-JP"/>
              </w:rPr>
            </w:pPr>
            <w:r w:rsidRPr="00F1714B">
              <w:rPr>
                <w:lang w:val="pt-PT" w:eastAsia="ja-JP"/>
              </w:rPr>
              <w:t xml:space="preserve">Garantir a proteção dos funcionários e da propriedade de forma a evitar ou minimizar os riscos pelo </w:t>
            </w:r>
            <w:proofErr w:type="spellStart"/>
            <w:r w:rsidRPr="00F1714B">
              <w:rPr>
                <w:lang w:val="pt-PT" w:eastAsia="ja-JP"/>
              </w:rPr>
              <w:t>projecto</w:t>
            </w:r>
            <w:proofErr w:type="spellEnd"/>
            <w:r w:rsidRPr="00F1714B">
              <w:rPr>
                <w:lang w:val="pt-PT" w:eastAsia="ja-JP"/>
              </w:rPr>
              <w:t>.</w:t>
            </w:r>
          </w:p>
        </w:tc>
        <w:tc>
          <w:tcPr>
            <w:tcW w:w="1224" w:type="pct"/>
          </w:tcPr>
          <w:p w14:paraId="3BE04E9D" w14:textId="77777777" w:rsidR="0025577E" w:rsidRPr="00F1714B" w:rsidRDefault="0025577E" w:rsidP="0025577E">
            <w:pPr>
              <w:numPr>
                <w:ilvl w:val="0"/>
                <w:numId w:val="256"/>
              </w:numPr>
              <w:rPr>
                <w:lang w:val="pt-PT" w:eastAsia="ja-JP"/>
              </w:rPr>
            </w:pPr>
            <w:r w:rsidRPr="00F1714B">
              <w:rPr>
                <w:lang w:val="pt-PT" w:eastAsia="ja-JP"/>
              </w:rPr>
              <w:lastRenderedPageBreak/>
              <w:t xml:space="preserve">A legislação moçambicana não é muito clara em relação a este </w:t>
            </w:r>
            <w:proofErr w:type="spellStart"/>
            <w:r w:rsidRPr="00F1714B">
              <w:rPr>
                <w:lang w:val="pt-PT" w:eastAsia="ja-JP"/>
              </w:rPr>
              <w:t>aspecto</w:t>
            </w:r>
            <w:proofErr w:type="spellEnd"/>
            <w:r w:rsidRPr="00F1714B">
              <w:rPr>
                <w:lang w:val="pt-PT" w:eastAsia="ja-JP"/>
              </w:rPr>
              <w:t>.</w:t>
            </w:r>
          </w:p>
          <w:p w14:paraId="2734B11B" w14:textId="77777777" w:rsidR="0025577E" w:rsidRPr="00F1714B" w:rsidRDefault="0025577E" w:rsidP="0025577E">
            <w:pPr>
              <w:numPr>
                <w:ilvl w:val="0"/>
                <w:numId w:val="256"/>
              </w:numPr>
              <w:rPr>
                <w:lang w:val="pt-PT" w:eastAsia="ja-JP"/>
              </w:rPr>
            </w:pPr>
            <w:r w:rsidRPr="00F1714B">
              <w:rPr>
                <w:lang w:val="pt-PT" w:eastAsia="ja-JP"/>
              </w:rPr>
              <w:t xml:space="preserve">Existe o Regulamento sobre Gestão de Resíduos Perigosos (Decreto nº 83/2014, de 31 de </w:t>
            </w:r>
            <w:proofErr w:type="gramStart"/>
            <w:r w:rsidRPr="00F1714B">
              <w:rPr>
                <w:lang w:val="pt-PT" w:eastAsia="ja-JP"/>
              </w:rPr>
              <w:t>Dezembro</w:t>
            </w:r>
            <w:proofErr w:type="gramEnd"/>
            <w:r w:rsidRPr="00F1714B">
              <w:rPr>
                <w:lang w:val="pt-PT" w:eastAsia="ja-JP"/>
              </w:rPr>
              <w:t>)</w:t>
            </w:r>
          </w:p>
          <w:p w14:paraId="2B7B2B02" w14:textId="77777777" w:rsidR="0025577E" w:rsidRPr="00F1714B" w:rsidRDefault="0025577E" w:rsidP="0025577E">
            <w:pPr>
              <w:numPr>
                <w:ilvl w:val="0"/>
                <w:numId w:val="256"/>
              </w:numPr>
              <w:rPr>
                <w:lang w:val="pt-PT" w:eastAsia="ja-JP"/>
              </w:rPr>
            </w:pPr>
            <w:r w:rsidRPr="00F1714B">
              <w:rPr>
                <w:lang w:val="pt-PT" w:eastAsia="ja-JP"/>
              </w:rPr>
              <w:t>Existe a Lei de Gestão das Calamidades (Lei nº15/2014)</w:t>
            </w:r>
          </w:p>
          <w:p w14:paraId="2F2DA92B" w14:textId="77777777" w:rsidR="0025577E" w:rsidRPr="00F1714B" w:rsidRDefault="0025577E" w:rsidP="0025577E">
            <w:pPr>
              <w:numPr>
                <w:ilvl w:val="0"/>
                <w:numId w:val="256"/>
              </w:numPr>
              <w:rPr>
                <w:lang w:val="pt-PT" w:eastAsia="ja-JP"/>
              </w:rPr>
            </w:pPr>
            <w:r w:rsidRPr="00F1714B">
              <w:rPr>
                <w:lang w:val="pt-PT" w:eastAsia="ja-JP"/>
              </w:rPr>
              <w:t>Existe Regulamento da Lei de Gestão de Calamidades (Decreto nº 7/2016)</w:t>
            </w:r>
          </w:p>
          <w:p w14:paraId="05BFAE5E" w14:textId="77777777" w:rsidR="0025577E" w:rsidRPr="00F1714B" w:rsidRDefault="0025577E" w:rsidP="0025577E">
            <w:pPr>
              <w:numPr>
                <w:ilvl w:val="0"/>
                <w:numId w:val="256"/>
              </w:numPr>
              <w:rPr>
                <w:lang w:val="pt-PT" w:eastAsia="ja-JP"/>
              </w:rPr>
            </w:pPr>
            <w:r w:rsidRPr="00F1714B">
              <w:rPr>
                <w:lang w:val="pt-PT" w:eastAsia="ja-JP"/>
              </w:rPr>
              <w:t xml:space="preserve">Lei de Águas (Lei nº 16/91, de 3 de </w:t>
            </w:r>
            <w:proofErr w:type="gramStart"/>
            <w:r w:rsidRPr="00F1714B">
              <w:rPr>
                <w:lang w:val="pt-PT" w:eastAsia="ja-JP"/>
              </w:rPr>
              <w:t>Agosto</w:t>
            </w:r>
            <w:proofErr w:type="gramEnd"/>
            <w:r w:rsidRPr="00F1714B">
              <w:rPr>
                <w:lang w:val="pt-PT" w:eastAsia="ja-JP"/>
              </w:rPr>
              <w:t>)</w:t>
            </w:r>
          </w:p>
          <w:p w14:paraId="2590F429" w14:textId="77777777" w:rsidR="0025577E" w:rsidRPr="00F1714B" w:rsidRDefault="0025577E" w:rsidP="0025577E">
            <w:pPr>
              <w:numPr>
                <w:ilvl w:val="0"/>
                <w:numId w:val="256"/>
              </w:numPr>
              <w:rPr>
                <w:lang w:val="pt-PT" w:eastAsia="ja-JP"/>
              </w:rPr>
            </w:pPr>
            <w:r w:rsidRPr="00F1714B">
              <w:rPr>
                <w:lang w:val="pt-PT" w:eastAsia="ja-JP"/>
              </w:rPr>
              <w:t xml:space="preserve">Regulamento de Licenças e Concessões de Águas (Decreto nº 43/2007, de 30 de </w:t>
            </w:r>
            <w:proofErr w:type="gramStart"/>
            <w:r w:rsidRPr="00F1714B">
              <w:rPr>
                <w:lang w:val="pt-PT" w:eastAsia="ja-JP"/>
              </w:rPr>
              <w:t>Outubro</w:t>
            </w:r>
            <w:proofErr w:type="gramEnd"/>
            <w:r w:rsidRPr="00F1714B">
              <w:rPr>
                <w:lang w:val="pt-PT" w:eastAsia="ja-JP"/>
              </w:rPr>
              <w:t>)</w:t>
            </w:r>
          </w:p>
          <w:p w14:paraId="44F3A295" w14:textId="77777777" w:rsidR="0025577E" w:rsidRPr="00F1714B" w:rsidRDefault="0025577E" w:rsidP="0025577E">
            <w:pPr>
              <w:rPr>
                <w:lang w:val="pt-PT" w:eastAsia="ja-JP"/>
              </w:rPr>
            </w:pPr>
          </w:p>
        </w:tc>
        <w:tc>
          <w:tcPr>
            <w:tcW w:w="1224" w:type="pct"/>
          </w:tcPr>
          <w:p w14:paraId="51B1183A" w14:textId="77777777" w:rsidR="0025577E" w:rsidRPr="00F1714B" w:rsidRDefault="0025577E" w:rsidP="0025577E">
            <w:pPr>
              <w:numPr>
                <w:ilvl w:val="0"/>
                <w:numId w:val="256"/>
              </w:numPr>
              <w:rPr>
                <w:lang w:val="pt-PT" w:eastAsia="ja-JP"/>
              </w:rPr>
            </w:pPr>
            <w:r w:rsidRPr="00F1714B">
              <w:rPr>
                <w:lang w:val="pt-PT" w:eastAsia="ja-JP"/>
              </w:rPr>
              <w:lastRenderedPageBreak/>
              <w:t xml:space="preserve">NSA4 complementa as lacunas e falta de instrumentos que regulam a Saúde e Segurança comunitárias, especialmente no que respeita aos riscos de segurança rodoviária, segurança dos serviços, preparação e resposta a emergências. </w:t>
            </w:r>
          </w:p>
          <w:p w14:paraId="11FB4AB4" w14:textId="77777777" w:rsidR="0025577E" w:rsidRPr="00F1714B" w:rsidRDefault="0025577E" w:rsidP="0025577E">
            <w:pPr>
              <w:numPr>
                <w:ilvl w:val="0"/>
                <w:numId w:val="256"/>
              </w:numPr>
              <w:rPr>
                <w:lang w:val="pt-PT" w:eastAsia="ja-JP"/>
              </w:rPr>
            </w:pPr>
            <w:r w:rsidRPr="00F1714B">
              <w:rPr>
                <w:lang w:val="pt-PT" w:eastAsia="ja-JP"/>
              </w:rPr>
              <w:t xml:space="preserve">Apesar de existirem instrumentos que regulam situações de calamidades no país, não existem instrumentos que regulem e estabeleçam requisitos a serem cumpridos por parte dos Proponentes dos </w:t>
            </w:r>
            <w:proofErr w:type="spellStart"/>
            <w:r w:rsidRPr="00F1714B">
              <w:rPr>
                <w:lang w:val="pt-PT" w:eastAsia="ja-JP"/>
              </w:rPr>
              <w:t>Projectos</w:t>
            </w:r>
            <w:proofErr w:type="spellEnd"/>
            <w:r w:rsidRPr="00F1714B">
              <w:rPr>
                <w:lang w:val="pt-PT" w:eastAsia="ja-JP"/>
              </w:rPr>
              <w:t xml:space="preserve"> que consistam na implementação de medidas para abordar situações de emergência, que estas sejam resultantes de eventos </w:t>
            </w:r>
            <w:r w:rsidRPr="00F1714B">
              <w:rPr>
                <w:lang w:val="pt-PT" w:eastAsia="ja-JP"/>
              </w:rPr>
              <w:lastRenderedPageBreak/>
              <w:t>naturais ou causados pelo homem, normalmente sob a forma de incêndios, explosões, fugas ou derrames, que podem ocorrer por várias razões, incluindo falha na implementação de procedimentos operacionais, clima extremo ou falta de alerta rápido. A legislação não prevê a preparação de um Plano de Resposta à Emergências (PRE)</w:t>
            </w:r>
          </w:p>
        </w:tc>
        <w:tc>
          <w:tcPr>
            <w:tcW w:w="1378" w:type="pct"/>
          </w:tcPr>
          <w:p w14:paraId="706DA8DD" w14:textId="77777777" w:rsidR="0025577E" w:rsidRPr="00F1714B" w:rsidRDefault="0025577E" w:rsidP="0025577E">
            <w:pPr>
              <w:numPr>
                <w:ilvl w:val="0"/>
                <w:numId w:val="256"/>
              </w:numPr>
              <w:rPr>
                <w:lang w:val="pt-PT" w:eastAsia="ja-JP"/>
              </w:rPr>
            </w:pPr>
            <w:r w:rsidRPr="00F1714B">
              <w:rPr>
                <w:lang w:val="pt-PT" w:eastAsia="ja-JP"/>
              </w:rPr>
              <w:lastRenderedPageBreak/>
              <w:t>Deve-se considerar a NAS 4 para proteger a saúde e segurança comunitária.</w:t>
            </w:r>
          </w:p>
        </w:tc>
      </w:tr>
      <w:tr w:rsidR="0025577E" w:rsidRPr="001E4B2C" w14:paraId="415C0C2B" w14:textId="77777777" w:rsidTr="00941934">
        <w:trPr>
          <w:trHeight w:val="937"/>
          <w:tblHeader/>
        </w:trPr>
        <w:tc>
          <w:tcPr>
            <w:tcW w:w="5000" w:type="pct"/>
            <w:gridSpan w:val="4"/>
            <w:shd w:val="clear" w:color="auto" w:fill="EDEDED" w:themeFill="accent3" w:themeFillTint="33"/>
            <w:vAlign w:val="center"/>
          </w:tcPr>
          <w:p w14:paraId="65672750" w14:textId="77777777" w:rsidR="0025577E" w:rsidRPr="00F1714B" w:rsidRDefault="0025577E" w:rsidP="0025577E">
            <w:pPr>
              <w:rPr>
                <w:b/>
                <w:lang w:val="pt-PT" w:eastAsia="ja-JP"/>
              </w:rPr>
            </w:pPr>
            <w:r w:rsidRPr="00F1714B">
              <w:rPr>
                <w:b/>
                <w:lang w:val="pt-PT" w:eastAsia="ja-JP"/>
              </w:rPr>
              <w:t xml:space="preserve">NAS5: </w:t>
            </w:r>
            <w:r w:rsidRPr="00F1714B">
              <w:rPr>
                <w:lang w:val="pt-PT" w:eastAsia="ja-JP"/>
              </w:rPr>
              <w:t xml:space="preserve">   </w:t>
            </w:r>
            <w:r w:rsidRPr="00F1714B">
              <w:rPr>
                <w:b/>
                <w:lang w:val="pt-PT" w:eastAsia="ja-JP"/>
              </w:rPr>
              <w:t>Aquisição de Terras, Restrições ao uso da Terra e Reassentamento Involuntário</w:t>
            </w:r>
          </w:p>
        </w:tc>
      </w:tr>
      <w:tr w:rsidR="0025577E" w:rsidRPr="001E4B2C" w14:paraId="39ADF2CB" w14:textId="77777777" w:rsidTr="00941934">
        <w:trPr>
          <w:trHeight w:val="2903"/>
        </w:trPr>
        <w:tc>
          <w:tcPr>
            <w:tcW w:w="1174" w:type="pct"/>
          </w:tcPr>
          <w:p w14:paraId="034B9AE0" w14:textId="77777777" w:rsidR="0025577E" w:rsidRPr="00F1714B" w:rsidRDefault="0025577E" w:rsidP="0025577E">
            <w:pPr>
              <w:rPr>
                <w:lang w:val="pt-PT" w:eastAsia="ja-JP"/>
              </w:rPr>
            </w:pPr>
            <w:proofErr w:type="spellStart"/>
            <w:r w:rsidRPr="00F1714B">
              <w:rPr>
                <w:lang w:val="pt-PT" w:eastAsia="ja-JP"/>
              </w:rPr>
              <w:t>Objectivos</w:t>
            </w:r>
            <w:proofErr w:type="spellEnd"/>
            <w:r w:rsidRPr="00F1714B">
              <w:rPr>
                <w:lang w:val="pt-PT" w:eastAsia="ja-JP"/>
              </w:rPr>
              <w:t xml:space="preserve"> da NAS5:</w:t>
            </w:r>
          </w:p>
          <w:p w14:paraId="06814145" w14:textId="77777777" w:rsidR="0025577E" w:rsidRPr="00F1714B" w:rsidRDefault="0025577E" w:rsidP="0025577E">
            <w:pPr>
              <w:numPr>
                <w:ilvl w:val="0"/>
                <w:numId w:val="256"/>
              </w:numPr>
              <w:rPr>
                <w:lang w:val="pt-PT" w:eastAsia="ja-JP"/>
              </w:rPr>
            </w:pPr>
            <w:r w:rsidRPr="00F1714B">
              <w:rPr>
                <w:lang w:val="pt-PT" w:eastAsia="ja-JP"/>
              </w:rPr>
              <w:t xml:space="preserve">Evitar o reassentamento involuntário ou, quando inevitável, minimizar o reassentamento involuntário, explorando alternativas de </w:t>
            </w:r>
            <w:proofErr w:type="spellStart"/>
            <w:r w:rsidRPr="00F1714B">
              <w:rPr>
                <w:lang w:val="pt-PT" w:eastAsia="ja-JP"/>
              </w:rPr>
              <w:t>concepção</w:t>
            </w:r>
            <w:proofErr w:type="spellEnd"/>
            <w:r w:rsidRPr="00F1714B">
              <w:rPr>
                <w:lang w:val="pt-PT" w:eastAsia="ja-JP"/>
              </w:rPr>
              <w:t xml:space="preserve"> do </w:t>
            </w:r>
            <w:proofErr w:type="spellStart"/>
            <w:r w:rsidRPr="00F1714B">
              <w:rPr>
                <w:lang w:val="pt-PT" w:eastAsia="ja-JP"/>
              </w:rPr>
              <w:t>projecto</w:t>
            </w:r>
            <w:proofErr w:type="spellEnd"/>
            <w:r w:rsidRPr="00F1714B">
              <w:rPr>
                <w:lang w:val="pt-PT" w:eastAsia="ja-JP"/>
              </w:rPr>
              <w:t>;</w:t>
            </w:r>
          </w:p>
          <w:p w14:paraId="27B1A8E5" w14:textId="534E6A3E" w:rsidR="0025577E" w:rsidRPr="00F1714B" w:rsidRDefault="0025577E" w:rsidP="0025577E">
            <w:pPr>
              <w:numPr>
                <w:ilvl w:val="0"/>
                <w:numId w:val="256"/>
              </w:numPr>
              <w:rPr>
                <w:lang w:val="pt-PT" w:eastAsia="ja-JP"/>
              </w:rPr>
            </w:pPr>
            <w:proofErr w:type="spellStart"/>
            <w:r w:rsidRPr="00F1714B">
              <w:rPr>
                <w:lang w:val="en-US" w:eastAsia="ja-JP"/>
              </w:rPr>
              <w:t>Evitar</w:t>
            </w:r>
            <w:proofErr w:type="spellEnd"/>
            <w:r w:rsidRPr="00F1714B">
              <w:rPr>
                <w:lang w:val="en-US" w:eastAsia="ja-JP"/>
              </w:rPr>
              <w:t xml:space="preserve"> o </w:t>
            </w:r>
            <w:proofErr w:type="spellStart"/>
            <w:r w:rsidRPr="00F1714B">
              <w:rPr>
                <w:lang w:val="en-US" w:eastAsia="ja-JP"/>
              </w:rPr>
              <w:t>despejo</w:t>
            </w:r>
            <w:proofErr w:type="spellEnd"/>
            <w:r w:rsidRPr="00F1714B">
              <w:rPr>
                <w:lang w:val="en-US" w:eastAsia="ja-JP"/>
              </w:rPr>
              <w:t xml:space="preserve"> </w:t>
            </w:r>
            <w:proofErr w:type="spellStart"/>
            <w:proofErr w:type="gramStart"/>
            <w:r w:rsidRPr="00F1714B">
              <w:rPr>
                <w:lang w:val="en-US" w:eastAsia="ja-JP"/>
              </w:rPr>
              <w:t>for</w:t>
            </w:r>
            <w:r w:rsidR="00860B04">
              <w:rPr>
                <w:lang w:val="en-US" w:eastAsia="ja-JP"/>
              </w:rPr>
              <w:t>ç</w:t>
            </w:r>
            <w:r w:rsidRPr="00F1714B">
              <w:rPr>
                <w:lang w:val="en-US" w:eastAsia="ja-JP"/>
              </w:rPr>
              <w:t>ado</w:t>
            </w:r>
            <w:proofErr w:type="spellEnd"/>
            <w:r w:rsidRPr="00F1714B">
              <w:rPr>
                <w:lang w:val="en-US" w:eastAsia="ja-JP"/>
              </w:rPr>
              <w:t>;</w:t>
            </w:r>
            <w:proofErr w:type="gramEnd"/>
          </w:p>
          <w:p w14:paraId="65A925D5" w14:textId="77777777" w:rsidR="0025577E" w:rsidRPr="00F1714B" w:rsidRDefault="0025577E" w:rsidP="0025577E">
            <w:pPr>
              <w:numPr>
                <w:ilvl w:val="0"/>
                <w:numId w:val="256"/>
              </w:numPr>
              <w:rPr>
                <w:lang w:val="pt-PT" w:eastAsia="ja-JP"/>
              </w:rPr>
            </w:pPr>
            <w:r w:rsidRPr="00F1714B">
              <w:rPr>
                <w:lang w:val="pt-PT" w:eastAsia="ja-JP"/>
              </w:rPr>
              <w:lastRenderedPageBreak/>
              <w:t>Mitigar os impactos sociais e económicos negativos inevitáveis ligados a aquisição de terras ou restrições ao uso da terra;</w:t>
            </w:r>
          </w:p>
          <w:p w14:paraId="251D465E" w14:textId="77777777" w:rsidR="0025577E" w:rsidRPr="00F1714B" w:rsidRDefault="0025577E" w:rsidP="0025577E">
            <w:pPr>
              <w:numPr>
                <w:ilvl w:val="0"/>
                <w:numId w:val="256"/>
              </w:numPr>
              <w:rPr>
                <w:lang w:val="pt-PT" w:eastAsia="ja-JP"/>
              </w:rPr>
            </w:pPr>
            <w:r w:rsidRPr="00F1714B">
              <w:rPr>
                <w:lang w:val="pt-PT" w:eastAsia="ja-JP"/>
              </w:rPr>
              <w:t>Melhorar as condições de vida dos indivíduos pobres ou vulneráveis, que estão fisicamente desalojados, por meio da provisão de habitação adequada, acesso a serviços e instalações, segurança da posse de terra;</w:t>
            </w:r>
          </w:p>
          <w:p w14:paraId="6F21482E" w14:textId="77777777" w:rsidR="0025577E" w:rsidRPr="00F1714B" w:rsidRDefault="0025577E" w:rsidP="0025577E">
            <w:pPr>
              <w:numPr>
                <w:ilvl w:val="0"/>
                <w:numId w:val="256"/>
              </w:numPr>
              <w:rPr>
                <w:lang w:val="pt-PT" w:eastAsia="ja-JP"/>
              </w:rPr>
            </w:pPr>
            <w:r w:rsidRPr="00F1714B">
              <w:rPr>
                <w:lang w:val="pt-PT" w:eastAsia="ja-JP"/>
              </w:rPr>
              <w:t xml:space="preserve">Conceber e executar as </w:t>
            </w:r>
            <w:proofErr w:type="spellStart"/>
            <w:r w:rsidRPr="00F1714B">
              <w:rPr>
                <w:lang w:val="pt-PT" w:eastAsia="ja-JP"/>
              </w:rPr>
              <w:t>actividades</w:t>
            </w:r>
            <w:proofErr w:type="spellEnd"/>
            <w:r w:rsidRPr="00F1714B">
              <w:rPr>
                <w:lang w:val="pt-PT" w:eastAsia="ja-JP"/>
              </w:rPr>
              <w:t xml:space="preserve"> de reassentamento como programas de desenvolvimento sustentável;</w:t>
            </w:r>
          </w:p>
          <w:p w14:paraId="6ADB0A37" w14:textId="77777777" w:rsidR="0025577E" w:rsidRPr="00F1714B" w:rsidRDefault="0025577E" w:rsidP="0025577E">
            <w:pPr>
              <w:numPr>
                <w:ilvl w:val="0"/>
                <w:numId w:val="256"/>
              </w:numPr>
              <w:rPr>
                <w:lang w:val="pt-PT" w:eastAsia="ja-JP"/>
              </w:rPr>
            </w:pPr>
            <w:r w:rsidRPr="00F1714B">
              <w:rPr>
                <w:lang w:val="pt-PT" w:eastAsia="ja-JP"/>
              </w:rPr>
              <w:t xml:space="preserve">Garantir que as </w:t>
            </w:r>
            <w:proofErr w:type="spellStart"/>
            <w:r w:rsidRPr="00F1714B">
              <w:rPr>
                <w:lang w:val="pt-PT" w:eastAsia="ja-JP"/>
              </w:rPr>
              <w:t>actividades</w:t>
            </w:r>
            <w:proofErr w:type="spellEnd"/>
            <w:r w:rsidRPr="00F1714B">
              <w:rPr>
                <w:lang w:val="pt-PT" w:eastAsia="ja-JP"/>
              </w:rPr>
              <w:t xml:space="preserve"> de reassentamento sejam planeadas e implementadas com divulgação adequada, consulta relevante e </w:t>
            </w:r>
            <w:r w:rsidRPr="00F1714B">
              <w:rPr>
                <w:lang w:val="pt-PT" w:eastAsia="ja-JP"/>
              </w:rPr>
              <w:lastRenderedPageBreak/>
              <w:t>participação informada dos indivíduos.</w:t>
            </w:r>
          </w:p>
          <w:p w14:paraId="7023C368" w14:textId="77777777" w:rsidR="0025577E" w:rsidRPr="00F1714B" w:rsidRDefault="0025577E" w:rsidP="0025577E">
            <w:pPr>
              <w:rPr>
                <w:lang w:val="pt-PT" w:eastAsia="ja-JP"/>
              </w:rPr>
            </w:pPr>
          </w:p>
        </w:tc>
        <w:tc>
          <w:tcPr>
            <w:tcW w:w="1224" w:type="pct"/>
          </w:tcPr>
          <w:p w14:paraId="270C6E7C" w14:textId="77777777" w:rsidR="0025577E" w:rsidRPr="00F1714B" w:rsidRDefault="0025577E" w:rsidP="0025577E">
            <w:pPr>
              <w:numPr>
                <w:ilvl w:val="0"/>
                <w:numId w:val="256"/>
              </w:numPr>
              <w:rPr>
                <w:lang w:val="pt-PT" w:eastAsia="ja-JP"/>
              </w:rPr>
            </w:pPr>
            <w:r w:rsidRPr="00F1714B">
              <w:rPr>
                <w:lang w:val="pt-PT" w:eastAsia="ja-JP"/>
              </w:rPr>
              <w:lastRenderedPageBreak/>
              <w:t>Existe a Lei de terra que protege o direito de uso da terra estabelecendo vários parâmetros;</w:t>
            </w:r>
          </w:p>
          <w:p w14:paraId="22F74EB6" w14:textId="77777777" w:rsidR="0025577E" w:rsidRPr="00F1714B" w:rsidRDefault="0025577E" w:rsidP="0025577E">
            <w:pPr>
              <w:numPr>
                <w:ilvl w:val="0"/>
                <w:numId w:val="256"/>
              </w:numPr>
              <w:rPr>
                <w:lang w:val="pt-PT" w:eastAsia="ja-JP"/>
              </w:rPr>
            </w:pPr>
            <w:r w:rsidRPr="00F1714B">
              <w:rPr>
                <w:lang w:val="pt-PT" w:eastAsia="ja-JP"/>
              </w:rPr>
              <w:t xml:space="preserve">Existe o Decreto </w:t>
            </w:r>
            <w:proofErr w:type="spellStart"/>
            <w:r w:rsidRPr="00F1714B">
              <w:rPr>
                <w:lang w:val="pt-PT" w:eastAsia="ja-JP"/>
              </w:rPr>
              <w:t>nr</w:t>
            </w:r>
            <w:proofErr w:type="spellEnd"/>
            <w:r w:rsidRPr="00F1714B">
              <w:rPr>
                <w:lang w:val="pt-PT" w:eastAsia="ja-JP"/>
              </w:rPr>
              <w:t xml:space="preserve">. 31/2012, de 8 de </w:t>
            </w:r>
            <w:proofErr w:type="gramStart"/>
            <w:r w:rsidRPr="00F1714B">
              <w:rPr>
                <w:lang w:val="pt-PT" w:eastAsia="ja-JP"/>
              </w:rPr>
              <w:t>Agosto</w:t>
            </w:r>
            <w:proofErr w:type="gramEnd"/>
            <w:r w:rsidRPr="00F1714B">
              <w:rPr>
                <w:lang w:val="pt-PT" w:eastAsia="ja-JP"/>
              </w:rPr>
              <w:t xml:space="preserve"> define as balizas para a gestão dos processos de reassentamento em Moçambique. </w:t>
            </w:r>
          </w:p>
          <w:p w14:paraId="0493506C" w14:textId="77777777" w:rsidR="0025577E" w:rsidRPr="00F1714B" w:rsidRDefault="0025577E" w:rsidP="0025577E">
            <w:pPr>
              <w:numPr>
                <w:ilvl w:val="0"/>
                <w:numId w:val="256"/>
              </w:numPr>
              <w:rPr>
                <w:lang w:val="pt-PT" w:eastAsia="ja-JP"/>
              </w:rPr>
            </w:pPr>
            <w:r w:rsidRPr="00F1714B">
              <w:rPr>
                <w:lang w:val="pt-PT" w:eastAsia="ja-JP"/>
              </w:rPr>
              <w:lastRenderedPageBreak/>
              <w:t xml:space="preserve">Diploma Ministerial nº156/2014, de19 de </w:t>
            </w:r>
            <w:proofErr w:type="gramStart"/>
            <w:r w:rsidRPr="00F1714B">
              <w:rPr>
                <w:lang w:val="pt-PT" w:eastAsia="ja-JP"/>
              </w:rPr>
              <w:t>Setembro</w:t>
            </w:r>
            <w:proofErr w:type="gramEnd"/>
            <w:r w:rsidRPr="00F1714B">
              <w:rPr>
                <w:lang w:val="pt-PT" w:eastAsia="ja-JP"/>
              </w:rPr>
              <w:t xml:space="preserve">, </w:t>
            </w:r>
            <w:proofErr w:type="spellStart"/>
            <w:r w:rsidRPr="00F1714B">
              <w:rPr>
                <w:lang w:val="pt-PT" w:eastAsia="ja-JP"/>
              </w:rPr>
              <w:t>Directiva</w:t>
            </w:r>
            <w:proofErr w:type="spellEnd"/>
            <w:r w:rsidRPr="00F1714B">
              <w:rPr>
                <w:lang w:val="pt-PT" w:eastAsia="ja-JP"/>
              </w:rPr>
              <w:t xml:space="preserve"> Técnica do Processo de Elaboração e Implementação dos Planos de Reassentamento; Diploma Ministerial nº 181/2003 de Novembro, </w:t>
            </w:r>
            <w:proofErr w:type="spellStart"/>
            <w:r w:rsidRPr="00F1714B">
              <w:rPr>
                <w:lang w:val="pt-PT" w:eastAsia="ja-JP"/>
              </w:rPr>
              <w:t>Directiva</w:t>
            </w:r>
            <w:proofErr w:type="spellEnd"/>
            <w:r w:rsidRPr="00F1714B">
              <w:rPr>
                <w:lang w:val="pt-PT" w:eastAsia="ja-JP"/>
              </w:rPr>
              <w:t xml:space="preserve"> sobre o Processo de Expropriação para efeitos de Ordenamento Territorial;</w:t>
            </w:r>
          </w:p>
          <w:p w14:paraId="2280EA78" w14:textId="77777777" w:rsidR="0025577E" w:rsidRPr="00F1714B" w:rsidRDefault="0025577E" w:rsidP="0025577E">
            <w:pPr>
              <w:numPr>
                <w:ilvl w:val="0"/>
                <w:numId w:val="256"/>
              </w:numPr>
              <w:rPr>
                <w:lang w:val="pt-PT" w:eastAsia="ja-JP"/>
              </w:rPr>
            </w:pPr>
            <w:r w:rsidRPr="00F1714B">
              <w:rPr>
                <w:lang w:val="pt-PT" w:eastAsia="ja-JP"/>
              </w:rPr>
              <w:t xml:space="preserve">Para a terra ser adquirida para qualquer aplicação, a Lei exige que uma compensação seja paga ao titular do uso da terra proporcional às melhorias feitas na terra, ou uma terra substituta deve ser oferecida. A lei sobre Expropriação de Propriedades Terrestres para Fins Públicos e Pagamento de Compensação aborda questões relacionadas ao domínio público, leis de propriedade, classificação e avaliação de </w:t>
            </w:r>
            <w:proofErr w:type="spellStart"/>
            <w:r w:rsidRPr="00F1714B">
              <w:rPr>
                <w:lang w:val="pt-PT" w:eastAsia="ja-JP"/>
              </w:rPr>
              <w:t>activos</w:t>
            </w:r>
            <w:proofErr w:type="spellEnd"/>
            <w:r w:rsidRPr="00F1714B">
              <w:rPr>
                <w:lang w:val="pt-PT" w:eastAsia="ja-JP"/>
              </w:rPr>
              <w:t xml:space="preserve"> de terra, leis consuetudinárias e processos de expropriação, e prevê reclamações e </w:t>
            </w:r>
            <w:r w:rsidRPr="00F1714B">
              <w:rPr>
                <w:lang w:val="pt-PT" w:eastAsia="ja-JP"/>
              </w:rPr>
              <w:lastRenderedPageBreak/>
              <w:t>recursos em relação à compensação.</w:t>
            </w:r>
          </w:p>
          <w:p w14:paraId="46AFD004" w14:textId="77777777" w:rsidR="0025577E" w:rsidRPr="00F1714B" w:rsidRDefault="0025577E" w:rsidP="0025577E">
            <w:pPr>
              <w:numPr>
                <w:ilvl w:val="0"/>
                <w:numId w:val="256"/>
              </w:numPr>
              <w:rPr>
                <w:lang w:val="pt-PT" w:eastAsia="ja-JP"/>
              </w:rPr>
            </w:pPr>
            <w:r w:rsidRPr="00F1714B">
              <w:rPr>
                <w:lang w:val="pt-PT" w:eastAsia="ja-JP"/>
              </w:rPr>
              <w:t>Criação de Comissões de acompanhamento e supervisão do reassentamento, detalhamento do tipo de compensação para os reassentados (tipos de casas, tamanho dos terrenos, infraestrutura pública, restauração de meios de subsistência,), consultas públicas durante o processo.</w:t>
            </w:r>
          </w:p>
        </w:tc>
        <w:tc>
          <w:tcPr>
            <w:tcW w:w="1224" w:type="pct"/>
          </w:tcPr>
          <w:p w14:paraId="61CBFBCC" w14:textId="77777777" w:rsidR="0025577E" w:rsidRPr="00F1714B" w:rsidRDefault="0025577E" w:rsidP="0025577E">
            <w:pPr>
              <w:numPr>
                <w:ilvl w:val="0"/>
                <w:numId w:val="256"/>
              </w:numPr>
              <w:rPr>
                <w:lang w:val="pt-PT" w:eastAsia="ja-JP"/>
              </w:rPr>
            </w:pPr>
            <w:r w:rsidRPr="00F1714B">
              <w:rPr>
                <w:lang w:val="pt-PT" w:eastAsia="ja-JP"/>
              </w:rPr>
              <w:lastRenderedPageBreak/>
              <w:t xml:space="preserve">Existem algumas lagunas na legislação nacional em relação a elaboração de plano de restauração dos meios de vida, que não abrange todas as </w:t>
            </w:r>
            <w:proofErr w:type="spellStart"/>
            <w:proofErr w:type="gramStart"/>
            <w:r w:rsidRPr="00F1714B">
              <w:rPr>
                <w:lang w:val="pt-PT" w:eastAsia="ja-JP"/>
              </w:rPr>
              <w:t>actividades</w:t>
            </w:r>
            <w:proofErr w:type="spellEnd"/>
            <w:r w:rsidRPr="00F1714B">
              <w:rPr>
                <w:lang w:val="pt-PT" w:eastAsia="ja-JP"/>
              </w:rPr>
              <w:t xml:space="preserve"> Existem</w:t>
            </w:r>
            <w:proofErr w:type="gramEnd"/>
            <w:r w:rsidRPr="00F1714B">
              <w:rPr>
                <w:lang w:val="pt-PT" w:eastAsia="ja-JP"/>
              </w:rPr>
              <w:t xml:space="preserve"> algumas diferenças no concernente ao regulamento de reassentamento segundo a qual a terra não deve ser vendida e sim compensada </w:t>
            </w:r>
            <w:r w:rsidRPr="00F1714B">
              <w:rPr>
                <w:lang w:val="pt-PT" w:eastAsia="ja-JP"/>
              </w:rPr>
              <w:lastRenderedPageBreak/>
              <w:t>por terra, diferente do que preconiza a NAS5. A NAS5 é mais abrangente em relação ao reassentamento físico e económico e estabelecimento de um MQ.</w:t>
            </w:r>
          </w:p>
          <w:p w14:paraId="6987B2D9" w14:textId="77777777" w:rsidR="0025577E" w:rsidRPr="00F1714B" w:rsidRDefault="0025577E" w:rsidP="0025577E">
            <w:pPr>
              <w:numPr>
                <w:ilvl w:val="0"/>
                <w:numId w:val="256"/>
              </w:numPr>
              <w:rPr>
                <w:lang w:val="pt-PT" w:eastAsia="ja-JP"/>
              </w:rPr>
            </w:pPr>
            <w:r w:rsidRPr="00F1714B">
              <w:rPr>
                <w:lang w:val="pt-PT" w:eastAsia="ja-JP"/>
              </w:rPr>
              <w:t xml:space="preserve">Ambos instrumentos enfatizam a compensação das pessoas </w:t>
            </w:r>
            <w:proofErr w:type="spellStart"/>
            <w:r w:rsidRPr="00F1714B">
              <w:rPr>
                <w:lang w:val="pt-PT" w:eastAsia="ja-JP"/>
              </w:rPr>
              <w:t>afectadas</w:t>
            </w:r>
            <w:proofErr w:type="spellEnd"/>
            <w:r w:rsidRPr="00F1714B">
              <w:rPr>
                <w:lang w:val="pt-PT" w:eastAsia="ja-JP"/>
              </w:rPr>
              <w:t xml:space="preserve"> pelo </w:t>
            </w:r>
            <w:proofErr w:type="spellStart"/>
            <w:r w:rsidRPr="00F1714B">
              <w:rPr>
                <w:lang w:val="pt-PT" w:eastAsia="ja-JP"/>
              </w:rPr>
              <w:t>projecto</w:t>
            </w:r>
            <w:proofErr w:type="spellEnd"/>
            <w:r w:rsidRPr="00F1714B">
              <w:rPr>
                <w:lang w:val="pt-PT" w:eastAsia="ja-JP"/>
              </w:rPr>
              <w:t xml:space="preserve"> (PAP), mas a NAS5 vai além e salienta que todos os usuários de terras e recursos naturais com uma reivindicação legítima serão reconhecidos, incluindo pessoas com direitos informais / consuetudinários; e que nenhuma pessoa </w:t>
            </w:r>
            <w:proofErr w:type="spellStart"/>
            <w:r w:rsidRPr="00F1714B">
              <w:rPr>
                <w:lang w:val="pt-PT" w:eastAsia="ja-JP"/>
              </w:rPr>
              <w:t>afectada</w:t>
            </w:r>
            <w:proofErr w:type="spellEnd"/>
            <w:r w:rsidRPr="00F1714B">
              <w:rPr>
                <w:lang w:val="pt-PT" w:eastAsia="ja-JP"/>
              </w:rPr>
              <w:t xml:space="preserve"> deve ser deixado em pior situação,</w:t>
            </w:r>
          </w:p>
          <w:p w14:paraId="15E524B2" w14:textId="77777777" w:rsidR="0025577E" w:rsidRPr="00F1714B" w:rsidRDefault="0025577E" w:rsidP="0025577E">
            <w:pPr>
              <w:numPr>
                <w:ilvl w:val="0"/>
                <w:numId w:val="256"/>
              </w:numPr>
              <w:rPr>
                <w:lang w:val="pt-PT" w:eastAsia="ja-JP"/>
              </w:rPr>
            </w:pPr>
            <w:r w:rsidRPr="00F1714B">
              <w:rPr>
                <w:lang w:val="pt-PT" w:eastAsia="ja-JP"/>
              </w:rPr>
              <w:t>Na legislação nacional não existe o PAR abreviado.</w:t>
            </w:r>
          </w:p>
          <w:p w14:paraId="12BD8FCB" w14:textId="77777777" w:rsidR="0025577E" w:rsidRPr="00F1714B" w:rsidRDefault="0025577E" w:rsidP="0025577E">
            <w:pPr>
              <w:rPr>
                <w:lang w:val="pt-PT" w:eastAsia="ja-JP"/>
              </w:rPr>
            </w:pPr>
            <w:r w:rsidRPr="00F1714B">
              <w:rPr>
                <w:lang w:val="pt-PT" w:eastAsia="ja-JP"/>
              </w:rPr>
              <w:t>•</w:t>
            </w:r>
            <w:r w:rsidRPr="00F1714B">
              <w:rPr>
                <w:lang w:val="pt-PT" w:eastAsia="ja-JP"/>
              </w:rPr>
              <w:tab/>
              <w:t xml:space="preserve">A legislação não prevê Assistência técnica e financeira aos diferentes órgãos responsáveis pelo planeamento, implementação e monitorização </w:t>
            </w:r>
            <w:proofErr w:type="spellStart"/>
            <w:r w:rsidRPr="00F1714B">
              <w:rPr>
                <w:lang w:val="pt-PT" w:eastAsia="ja-JP"/>
              </w:rPr>
              <w:t>doreassentamento</w:t>
            </w:r>
            <w:proofErr w:type="spellEnd"/>
            <w:r w:rsidRPr="00F1714B">
              <w:rPr>
                <w:lang w:val="pt-PT" w:eastAsia="ja-JP"/>
              </w:rPr>
              <w:t xml:space="preserve">. Destacando-se neste grupo as </w:t>
            </w:r>
            <w:r w:rsidRPr="00F1714B">
              <w:rPr>
                <w:lang w:val="pt-PT" w:eastAsia="ja-JP"/>
              </w:rPr>
              <w:lastRenderedPageBreak/>
              <w:t xml:space="preserve">entidades do estado, </w:t>
            </w:r>
            <w:proofErr w:type="spellStart"/>
            <w:r w:rsidRPr="00F1714B">
              <w:rPr>
                <w:lang w:val="pt-PT" w:eastAsia="ja-JP"/>
              </w:rPr>
              <w:t>ONGs</w:t>
            </w:r>
            <w:proofErr w:type="spellEnd"/>
            <w:r w:rsidRPr="00F1714B">
              <w:rPr>
                <w:lang w:val="pt-PT" w:eastAsia="ja-JP"/>
              </w:rPr>
              <w:t xml:space="preserve"> e membros influentes das comunidades envolvidos neste processo. Não prevê ainda o Quadro de Processo, quando os </w:t>
            </w:r>
            <w:proofErr w:type="spellStart"/>
            <w:r w:rsidRPr="00F1714B">
              <w:rPr>
                <w:lang w:val="pt-PT" w:eastAsia="ja-JP"/>
              </w:rPr>
              <w:t>projectos</w:t>
            </w:r>
            <w:proofErr w:type="spellEnd"/>
            <w:r w:rsidRPr="00F1714B">
              <w:rPr>
                <w:lang w:val="pt-PT" w:eastAsia="ja-JP"/>
              </w:rPr>
              <w:t xml:space="preserve"> podem restringir aos recursos naturais em parques e áreas de </w:t>
            </w:r>
            <w:proofErr w:type="spellStart"/>
            <w:r w:rsidRPr="00F1714B">
              <w:rPr>
                <w:lang w:val="pt-PT" w:eastAsia="ja-JP"/>
              </w:rPr>
              <w:t>protecção</w:t>
            </w:r>
            <w:proofErr w:type="spellEnd"/>
            <w:r w:rsidRPr="00F1714B">
              <w:rPr>
                <w:lang w:val="pt-PT" w:eastAsia="ja-JP"/>
              </w:rPr>
              <w:t xml:space="preserve"> legalmente designadas. </w:t>
            </w:r>
          </w:p>
        </w:tc>
        <w:tc>
          <w:tcPr>
            <w:tcW w:w="1378" w:type="pct"/>
          </w:tcPr>
          <w:p w14:paraId="0D420B08" w14:textId="77777777" w:rsidR="0025577E" w:rsidRPr="00F1714B" w:rsidRDefault="0025577E" w:rsidP="0025577E">
            <w:pPr>
              <w:numPr>
                <w:ilvl w:val="0"/>
                <w:numId w:val="256"/>
              </w:numPr>
              <w:rPr>
                <w:lang w:val="pt-PT" w:eastAsia="ja-JP"/>
              </w:rPr>
            </w:pPr>
            <w:r w:rsidRPr="00F1714B">
              <w:rPr>
                <w:lang w:val="pt-PT" w:eastAsia="ja-JP"/>
              </w:rPr>
              <w:lastRenderedPageBreak/>
              <w:t>Deve-se aplicar a legislação nacional no processo de reassentamento e em casos de lacunas deve-se compensar com os princípios e normais do BM.</w:t>
            </w:r>
          </w:p>
        </w:tc>
      </w:tr>
      <w:tr w:rsidR="0025577E" w:rsidRPr="001E4B2C" w14:paraId="2B110B40" w14:textId="77777777" w:rsidTr="00941934">
        <w:trPr>
          <w:trHeight w:val="937"/>
          <w:tblHeader/>
        </w:trPr>
        <w:tc>
          <w:tcPr>
            <w:tcW w:w="5000" w:type="pct"/>
            <w:gridSpan w:val="4"/>
            <w:shd w:val="clear" w:color="auto" w:fill="EDEDED" w:themeFill="accent3" w:themeFillTint="33"/>
            <w:vAlign w:val="center"/>
          </w:tcPr>
          <w:p w14:paraId="61483B1F" w14:textId="77777777" w:rsidR="0025577E" w:rsidRPr="00F1714B" w:rsidRDefault="0025577E" w:rsidP="0025577E">
            <w:pPr>
              <w:rPr>
                <w:b/>
                <w:lang w:val="pt-PT" w:eastAsia="ja-JP"/>
              </w:rPr>
            </w:pPr>
            <w:r w:rsidRPr="00F1714B">
              <w:rPr>
                <w:b/>
                <w:lang w:val="pt-PT" w:eastAsia="ja-JP"/>
              </w:rPr>
              <w:lastRenderedPageBreak/>
              <w:t xml:space="preserve">NAS6: </w:t>
            </w:r>
            <w:r w:rsidRPr="00F1714B">
              <w:rPr>
                <w:lang w:val="pt-PT" w:eastAsia="ja-JP"/>
              </w:rPr>
              <w:t xml:space="preserve">   </w:t>
            </w:r>
            <w:r w:rsidRPr="00F1714B">
              <w:rPr>
                <w:b/>
                <w:lang w:val="pt-PT" w:eastAsia="ja-JP"/>
              </w:rPr>
              <w:t>Conservação da Biodiversidade e Gestão Sustentável de Recursos Naturais Vivos</w:t>
            </w:r>
          </w:p>
        </w:tc>
      </w:tr>
      <w:tr w:rsidR="0025577E" w:rsidRPr="001E4B2C" w14:paraId="239A78A4" w14:textId="77777777" w:rsidTr="00941934">
        <w:trPr>
          <w:trHeight w:val="2903"/>
        </w:trPr>
        <w:tc>
          <w:tcPr>
            <w:tcW w:w="1174" w:type="pct"/>
          </w:tcPr>
          <w:p w14:paraId="47E95ACF" w14:textId="77777777" w:rsidR="0025577E" w:rsidRPr="00F1714B" w:rsidRDefault="0025577E" w:rsidP="0025577E">
            <w:pPr>
              <w:rPr>
                <w:lang w:val="pt-PT" w:eastAsia="ja-JP"/>
              </w:rPr>
            </w:pPr>
            <w:proofErr w:type="spellStart"/>
            <w:r w:rsidRPr="00F1714B">
              <w:rPr>
                <w:lang w:val="pt-PT" w:eastAsia="ja-JP"/>
              </w:rPr>
              <w:t>Objectivos</w:t>
            </w:r>
            <w:proofErr w:type="spellEnd"/>
            <w:r w:rsidRPr="00F1714B">
              <w:rPr>
                <w:lang w:val="pt-PT" w:eastAsia="ja-JP"/>
              </w:rPr>
              <w:t xml:space="preserve"> da NAS6:</w:t>
            </w:r>
          </w:p>
          <w:p w14:paraId="5E4D98C1" w14:textId="77777777" w:rsidR="0025577E" w:rsidRPr="00F1714B" w:rsidRDefault="0025577E" w:rsidP="0025577E">
            <w:pPr>
              <w:numPr>
                <w:ilvl w:val="0"/>
                <w:numId w:val="256"/>
              </w:numPr>
              <w:rPr>
                <w:lang w:val="pt-PT" w:eastAsia="ja-JP"/>
              </w:rPr>
            </w:pPr>
            <w:r w:rsidRPr="00F1714B">
              <w:rPr>
                <w:lang w:val="pt-PT" w:eastAsia="ja-JP"/>
              </w:rPr>
              <w:t>Proteger e conservar a biodiversidade e os habitats</w:t>
            </w:r>
          </w:p>
          <w:p w14:paraId="61EA10FB" w14:textId="77777777" w:rsidR="0025577E" w:rsidRPr="00F1714B" w:rsidRDefault="0025577E" w:rsidP="0025577E">
            <w:pPr>
              <w:numPr>
                <w:ilvl w:val="0"/>
                <w:numId w:val="256"/>
              </w:numPr>
              <w:rPr>
                <w:lang w:val="pt-PT" w:eastAsia="ja-JP"/>
              </w:rPr>
            </w:pPr>
            <w:r w:rsidRPr="00F1714B">
              <w:rPr>
                <w:lang w:val="pt-PT" w:eastAsia="ja-JP"/>
              </w:rPr>
              <w:t xml:space="preserve">Aplicar a hierarquia de mitigação e uma estratégia preventiva na </w:t>
            </w:r>
            <w:proofErr w:type="spellStart"/>
            <w:r w:rsidRPr="00F1714B">
              <w:rPr>
                <w:lang w:val="pt-PT" w:eastAsia="ja-JP"/>
              </w:rPr>
              <w:t>concepção</w:t>
            </w:r>
            <w:proofErr w:type="spellEnd"/>
            <w:r w:rsidRPr="00F1714B">
              <w:rPr>
                <w:lang w:val="pt-PT" w:eastAsia="ja-JP"/>
              </w:rPr>
              <w:t xml:space="preserve"> e implementação de </w:t>
            </w:r>
            <w:proofErr w:type="spellStart"/>
            <w:r w:rsidRPr="00F1714B">
              <w:rPr>
                <w:lang w:val="pt-PT" w:eastAsia="ja-JP"/>
              </w:rPr>
              <w:t>projectos</w:t>
            </w:r>
            <w:proofErr w:type="spellEnd"/>
            <w:r w:rsidRPr="00F1714B">
              <w:rPr>
                <w:lang w:val="pt-PT" w:eastAsia="ja-JP"/>
              </w:rPr>
              <w:t xml:space="preserve"> que possam ter </w:t>
            </w:r>
            <w:r w:rsidRPr="00F1714B">
              <w:rPr>
                <w:lang w:val="pt-PT" w:eastAsia="ja-JP"/>
              </w:rPr>
              <w:lastRenderedPageBreak/>
              <w:t>um impacto na biodiversidade</w:t>
            </w:r>
          </w:p>
          <w:p w14:paraId="6B9A6A76" w14:textId="024EACBC" w:rsidR="0025577E" w:rsidRPr="00F1714B" w:rsidRDefault="0025577E" w:rsidP="0025577E">
            <w:pPr>
              <w:numPr>
                <w:ilvl w:val="0"/>
                <w:numId w:val="256"/>
              </w:numPr>
              <w:rPr>
                <w:lang w:val="pt-PT" w:eastAsia="ja-JP"/>
              </w:rPr>
            </w:pPr>
            <w:r w:rsidRPr="00F1714B">
              <w:rPr>
                <w:lang w:val="pt-PT" w:eastAsia="ja-JP"/>
              </w:rPr>
              <w:t>Promover a gestão sustentável dos recursos natura</w:t>
            </w:r>
            <w:r w:rsidR="00860B04">
              <w:rPr>
                <w:lang w:val="pt-PT" w:eastAsia="ja-JP"/>
              </w:rPr>
              <w:t>i</w:t>
            </w:r>
            <w:r w:rsidRPr="00F1714B">
              <w:rPr>
                <w:lang w:val="pt-PT" w:eastAsia="ja-JP"/>
              </w:rPr>
              <w:t>s vivos;</w:t>
            </w:r>
          </w:p>
          <w:p w14:paraId="1DF325AF" w14:textId="77777777" w:rsidR="0025577E" w:rsidRPr="00F1714B" w:rsidRDefault="0025577E" w:rsidP="0025577E">
            <w:pPr>
              <w:numPr>
                <w:ilvl w:val="0"/>
                <w:numId w:val="256"/>
              </w:numPr>
              <w:rPr>
                <w:lang w:val="pt-PT" w:eastAsia="ja-JP"/>
              </w:rPr>
            </w:pPr>
            <w:r w:rsidRPr="00F1714B">
              <w:rPr>
                <w:lang w:val="pt-PT" w:eastAsia="ja-JP"/>
              </w:rPr>
              <w:t>Apoiar os meios de subsistência das comunidades, e o desenvolvimento económico inclusivo, através da adoção de práticas que integrem as necessidades de conservação e as prioridades de desenvolvimento.</w:t>
            </w:r>
          </w:p>
          <w:p w14:paraId="13F964F2" w14:textId="77777777" w:rsidR="0025577E" w:rsidRPr="00F1714B" w:rsidRDefault="0025577E" w:rsidP="0025577E">
            <w:pPr>
              <w:rPr>
                <w:lang w:val="pt-PT" w:eastAsia="ja-JP"/>
              </w:rPr>
            </w:pPr>
          </w:p>
        </w:tc>
        <w:tc>
          <w:tcPr>
            <w:tcW w:w="1224" w:type="pct"/>
          </w:tcPr>
          <w:p w14:paraId="61A25E7F" w14:textId="77777777" w:rsidR="0025577E" w:rsidRPr="00F1714B" w:rsidRDefault="0025577E" w:rsidP="0025577E">
            <w:pPr>
              <w:numPr>
                <w:ilvl w:val="0"/>
                <w:numId w:val="256"/>
              </w:numPr>
              <w:rPr>
                <w:lang w:val="pt-PT" w:eastAsia="ja-JP"/>
              </w:rPr>
            </w:pPr>
            <w:r w:rsidRPr="00F1714B">
              <w:rPr>
                <w:lang w:val="pt-PT" w:eastAsia="ja-JP"/>
              </w:rPr>
              <w:lastRenderedPageBreak/>
              <w:t xml:space="preserve">Existe o Decreto </w:t>
            </w:r>
            <w:proofErr w:type="spellStart"/>
            <w:r w:rsidRPr="00F1714B">
              <w:rPr>
                <w:lang w:val="pt-PT" w:eastAsia="ja-JP"/>
              </w:rPr>
              <w:t>nr</w:t>
            </w:r>
            <w:proofErr w:type="spellEnd"/>
            <w:r w:rsidRPr="00F1714B">
              <w:rPr>
                <w:lang w:val="pt-PT" w:eastAsia="ja-JP"/>
              </w:rPr>
              <w:t xml:space="preserve">. 89/2017 de 20 de </w:t>
            </w:r>
            <w:proofErr w:type="gramStart"/>
            <w:r w:rsidRPr="00F1714B">
              <w:rPr>
                <w:lang w:val="pt-PT" w:eastAsia="ja-JP"/>
              </w:rPr>
              <w:t>Junho</w:t>
            </w:r>
            <w:proofErr w:type="gramEnd"/>
            <w:r w:rsidRPr="00F1714B">
              <w:rPr>
                <w:lang w:val="pt-PT" w:eastAsia="ja-JP"/>
              </w:rPr>
              <w:t xml:space="preserve"> que regula o processo da conservação e uso sustentável da diversidade biológica. Este regulamento define a gestão e os diferentes usos das áreas de </w:t>
            </w:r>
            <w:proofErr w:type="spellStart"/>
            <w:r w:rsidRPr="00F1714B">
              <w:rPr>
                <w:lang w:val="pt-PT" w:eastAsia="ja-JP"/>
              </w:rPr>
              <w:t>protecção</w:t>
            </w:r>
            <w:proofErr w:type="spellEnd"/>
            <w:r w:rsidRPr="00F1714B">
              <w:rPr>
                <w:lang w:val="pt-PT" w:eastAsia="ja-JP"/>
              </w:rPr>
              <w:t>.</w:t>
            </w:r>
          </w:p>
          <w:p w14:paraId="2D100C06" w14:textId="77777777" w:rsidR="0025577E" w:rsidRPr="00F1714B" w:rsidRDefault="0025577E" w:rsidP="0025577E">
            <w:pPr>
              <w:numPr>
                <w:ilvl w:val="0"/>
                <w:numId w:val="256"/>
              </w:numPr>
              <w:rPr>
                <w:lang w:val="pt-PT" w:eastAsia="ja-JP"/>
              </w:rPr>
            </w:pPr>
            <w:r w:rsidRPr="00F1714B">
              <w:rPr>
                <w:lang w:val="pt-PT" w:eastAsia="ja-JP"/>
              </w:rPr>
              <w:t xml:space="preserve">Lei da Conservação da Biodiversidade (Lei nº </w:t>
            </w:r>
            <w:r w:rsidRPr="00F1714B">
              <w:rPr>
                <w:lang w:val="pt-PT" w:eastAsia="ja-JP"/>
              </w:rPr>
              <w:lastRenderedPageBreak/>
              <w:t xml:space="preserve">16/2014, alterada pela Lei nº 5/2017, de 11 de </w:t>
            </w:r>
            <w:proofErr w:type="gramStart"/>
            <w:r w:rsidRPr="00F1714B">
              <w:rPr>
                <w:lang w:val="pt-PT" w:eastAsia="ja-JP"/>
              </w:rPr>
              <w:t>Maio</w:t>
            </w:r>
            <w:proofErr w:type="gramEnd"/>
            <w:r w:rsidRPr="00F1714B">
              <w:rPr>
                <w:lang w:val="pt-PT" w:eastAsia="ja-JP"/>
              </w:rPr>
              <w:t>.);</w:t>
            </w:r>
          </w:p>
          <w:p w14:paraId="5BAA0C82" w14:textId="77777777" w:rsidR="0025577E" w:rsidRPr="00F1714B" w:rsidRDefault="0025577E" w:rsidP="0025577E">
            <w:pPr>
              <w:numPr>
                <w:ilvl w:val="0"/>
                <w:numId w:val="256"/>
              </w:numPr>
              <w:rPr>
                <w:lang w:val="pt-PT" w:eastAsia="ja-JP"/>
              </w:rPr>
            </w:pPr>
            <w:r w:rsidRPr="00F1714B">
              <w:rPr>
                <w:lang w:val="pt-PT" w:eastAsia="ja-JP"/>
              </w:rPr>
              <w:t>Regulamento para a Prevenção da Poluição e Proteção do Ambiente Marinho Costeiro (Decreto nº. 45/2006);</w:t>
            </w:r>
          </w:p>
          <w:p w14:paraId="25AEB843" w14:textId="77777777" w:rsidR="0025577E" w:rsidRPr="00F1714B" w:rsidRDefault="0025577E" w:rsidP="0025577E">
            <w:pPr>
              <w:numPr>
                <w:ilvl w:val="0"/>
                <w:numId w:val="256"/>
              </w:numPr>
              <w:rPr>
                <w:lang w:val="pt-PT" w:eastAsia="ja-JP"/>
              </w:rPr>
            </w:pPr>
            <w:r w:rsidRPr="00F1714B">
              <w:rPr>
                <w:lang w:val="pt-PT" w:eastAsia="ja-JP"/>
              </w:rPr>
              <w:t xml:space="preserve">Lei das Florestas e Fauna Bravia (Lei n.º 10/99, de 7 de Julho) e Regulamento da Lei das Florestas e Fauna Bravia (Decreto </w:t>
            </w:r>
            <w:proofErr w:type="gramStart"/>
            <w:r w:rsidRPr="00F1714B">
              <w:rPr>
                <w:lang w:val="pt-PT" w:eastAsia="ja-JP"/>
              </w:rPr>
              <w:t>n.º</w:t>
            </w:r>
            <w:proofErr w:type="gramEnd"/>
            <w:r w:rsidRPr="00F1714B">
              <w:rPr>
                <w:lang w:val="pt-PT" w:eastAsia="ja-JP"/>
              </w:rPr>
              <w:t>12/2002, de 6 de Junho, alterado pelo Decreto n.º 11/2003.);</w:t>
            </w:r>
          </w:p>
          <w:p w14:paraId="3ADF9E6F" w14:textId="77777777" w:rsidR="0025577E" w:rsidRPr="00F1714B" w:rsidRDefault="0025577E" w:rsidP="0025577E">
            <w:pPr>
              <w:numPr>
                <w:ilvl w:val="0"/>
                <w:numId w:val="256"/>
              </w:numPr>
              <w:rPr>
                <w:lang w:val="pt-PT" w:eastAsia="ja-JP"/>
              </w:rPr>
            </w:pPr>
            <w:r w:rsidRPr="00F1714B">
              <w:rPr>
                <w:lang w:val="pt-PT" w:eastAsia="ja-JP"/>
              </w:rPr>
              <w:t xml:space="preserve">Regulamento para o Controlo de Espécies Exóticas Invasivas (Decreto n.º 25/2008, de 1 de </w:t>
            </w:r>
            <w:proofErr w:type="gramStart"/>
            <w:r w:rsidRPr="00F1714B">
              <w:rPr>
                <w:lang w:val="pt-PT" w:eastAsia="ja-JP"/>
              </w:rPr>
              <w:t>Julho</w:t>
            </w:r>
            <w:proofErr w:type="gramEnd"/>
            <w:r w:rsidRPr="00F1714B">
              <w:rPr>
                <w:lang w:val="pt-PT" w:eastAsia="ja-JP"/>
              </w:rPr>
              <w:t>);</w:t>
            </w:r>
          </w:p>
          <w:p w14:paraId="442BFD9A" w14:textId="77777777" w:rsidR="0025577E" w:rsidRDefault="0025577E" w:rsidP="0025577E">
            <w:pPr>
              <w:numPr>
                <w:ilvl w:val="0"/>
                <w:numId w:val="256"/>
              </w:numPr>
              <w:rPr>
                <w:lang w:val="pt-PT" w:eastAsia="ja-JP"/>
              </w:rPr>
            </w:pPr>
            <w:r w:rsidRPr="00F1714B">
              <w:rPr>
                <w:lang w:val="pt-PT" w:eastAsia="ja-JP"/>
              </w:rPr>
              <w:t xml:space="preserve">Regulamento sobre o Processo de Avaliação de Impacto Ambiental (Decreto nº 54/2015, de 31 de </w:t>
            </w:r>
            <w:proofErr w:type="gramStart"/>
            <w:r w:rsidRPr="00F1714B">
              <w:rPr>
                <w:lang w:val="pt-PT" w:eastAsia="ja-JP"/>
              </w:rPr>
              <w:t>Dezembro</w:t>
            </w:r>
            <w:proofErr w:type="gramEnd"/>
            <w:r w:rsidRPr="00F1714B">
              <w:rPr>
                <w:lang w:val="pt-PT" w:eastAsia="ja-JP"/>
              </w:rPr>
              <w:t>).</w:t>
            </w:r>
          </w:p>
          <w:p w14:paraId="2FCDD5BA" w14:textId="1F456477" w:rsidR="00860B04" w:rsidRPr="00F1714B" w:rsidRDefault="00860B04" w:rsidP="00860B04">
            <w:pPr>
              <w:ind w:left="720"/>
              <w:rPr>
                <w:lang w:val="pt-PT" w:eastAsia="ja-JP"/>
              </w:rPr>
            </w:pPr>
          </w:p>
        </w:tc>
        <w:tc>
          <w:tcPr>
            <w:tcW w:w="1224" w:type="pct"/>
          </w:tcPr>
          <w:p w14:paraId="068D0C67" w14:textId="77777777" w:rsidR="0025577E" w:rsidRPr="00F1714B" w:rsidRDefault="0025577E" w:rsidP="0025577E">
            <w:pPr>
              <w:numPr>
                <w:ilvl w:val="0"/>
                <w:numId w:val="256"/>
              </w:numPr>
              <w:rPr>
                <w:lang w:val="pt-PT" w:eastAsia="ja-JP"/>
              </w:rPr>
            </w:pPr>
            <w:r w:rsidRPr="00F1714B">
              <w:rPr>
                <w:lang w:val="pt-PT" w:eastAsia="ja-JP"/>
              </w:rPr>
              <w:lastRenderedPageBreak/>
              <w:t xml:space="preserve">Existe lacuna da parte da legislação nacional. A legislação não foca em relação a sustentabilidade de implantação de </w:t>
            </w:r>
            <w:proofErr w:type="spellStart"/>
            <w:r w:rsidRPr="00F1714B">
              <w:rPr>
                <w:lang w:val="pt-PT" w:eastAsia="ja-JP"/>
              </w:rPr>
              <w:t>projectos</w:t>
            </w:r>
            <w:proofErr w:type="spellEnd"/>
            <w:r w:rsidRPr="00F1714B">
              <w:rPr>
                <w:lang w:val="pt-PT" w:eastAsia="ja-JP"/>
              </w:rPr>
              <w:t xml:space="preserve"> de terceiros; </w:t>
            </w:r>
          </w:p>
          <w:p w14:paraId="6C2177FF" w14:textId="77777777" w:rsidR="0025577E" w:rsidRPr="00F1714B" w:rsidRDefault="0025577E" w:rsidP="0025577E">
            <w:pPr>
              <w:numPr>
                <w:ilvl w:val="0"/>
                <w:numId w:val="256"/>
              </w:numPr>
              <w:rPr>
                <w:lang w:val="pt-PT" w:eastAsia="ja-JP"/>
              </w:rPr>
            </w:pPr>
            <w:r w:rsidRPr="00F1714B">
              <w:rPr>
                <w:lang w:val="pt-PT" w:eastAsia="ja-JP"/>
              </w:rPr>
              <w:t xml:space="preserve">Não apresenta uma abordagem sistemática sobre a </w:t>
            </w:r>
            <w:proofErr w:type="spellStart"/>
            <w:r w:rsidRPr="00F1714B">
              <w:rPr>
                <w:lang w:val="pt-PT" w:eastAsia="ja-JP"/>
              </w:rPr>
              <w:t>protecção</w:t>
            </w:r>
            <w:proofErr w:type="spellEnd"/>
            <w:r w:rsidRPr="00F1714B">
              <w:rPr>
                <w:lang w:val="pt-PT" w:eastAsia="ja-JP"/>
              </w:rPr>
              <w:t xml:space="preserve"> dos habitats tendo em conta o </w:t>
            </w:r>
            <w:r w:rsidRPr="00F1714B">
              <w:rPr>
                <w:lang w:val="pt-PT" w:eastAsia="ja-JP"/>
              </w:rPr>
              <w:lastRenderedPageBreak/>
              <w:t xml:space="preserve">seu tipo, características e classificação. Todavia, esta é abrangente sobre a gestão das Áreas de Conservação e de proteção. </w:t>
            </w:r>
          </w:p>
          <w:p w14:paraId="5B0574C3" w14:textId="77777777" w:rsidR="0025577E" w:rsidRPr="00F1714B" w:rsidRDefault="0025577E" w:rsidP="0025577E">
            <w:pPr>
              <w:numPr>
                <w:ilvl w:val="0"/>
                <w:numId w:val="256"/>
              </w:numPr>
              <w:rPr>
                <w:lang w:val="pt-PT" w:eastAsia="ja-JP"/>
              </w:rPr>
            </w:pPr>
            <w:r w:rsidRPr="00F1714B">
              <w:rPr>
                <w:lang w:val="pt-PT" w:eastAsia="ja-JP"/>
              </w:rPr>
              <w:t xml:space="preserve">A legislação prevê a compensação através da implementação de um plano de contrabalanços de biodiversidade, no entanto ainda não foi publicada legislação específica para regular este processo. </w:t>
            </w:r>
          </w:p>
          <w:p w14:paraId="7B5D31E1" w14:textId="77777777" w:rsidR="0025577E" w:rsidRPr="00F1714B" w:rsidRDefault="0025577E" w:rsidP="0025577E">
            <w:pPr>
              <w:rPr>
                <w:lang w:val="pt-PT" w:eastAsia="ja-JP"/>
              </w:rPr>
            </w:pPr>
          </w:p>
        </w:tc>
        <w:tc>
          <w:tcPr>
            <w:tcW w:w="1378" w:type="pct"/>
          </w:tcPr>
          <w:p w14:paraId="414F8B29" w14:textId="77777777" w:rsidR="0025577E" w:rsidRPr="00F1714B" w:rsidRDefault="0025577E" w:rsidP="0025577E">
            <w:pPr>
              <w:numPr>
                <w:ilvl w:val="0"/>
                <w:numId w:val="256"/>
              </w:numPr>
              <w:rPr>
                <w:lang w:val="pt-PT" w:eastAsia="ja-JP"/>
              </w:rPr>
            </w:pPr>
            <w:r w:rsidRPr="00F1714B">
              <w:rPr>
                <w:lang w:val="pt-PT" w:eastAsia="ja-JP"/>
              </w:rPr>
              <w:lastRenderedPageBreak/>
              <w:t>Deve-se aplicar os princípios da NAS6 conjugado com a legislação nacional para harmonizar alguns princípios que estejam equilibrados e cobrir o que a legislação não apresenta.</w:t>
            </w:r>
          </w:p>
        </w:tc>
      </w:tr>
      <w:tr w:rsidR="0025577E" w:rsidRPr="00F1714B" w14:paraId="0984F0EC" w14:textId="77777777" w:rsidTr="00941934">
        <w:trPr>
          <w:trHeight w:val="937"/>
          <w:tblHeader/>
        </w:trPr>
        <w:tc>
          <w:tcPr>
            <w:tcW w:w="5000" w:type="pct"/>
            <w:gridSpan w:val="4"/>
            <w:shd w:val="clear" w:color="auto" w:fill="EDEDED" w:themeFill="accent3" w:themeFillTint="33"/>
            <w:vAlign w:val="center"/>
          </w:tcPr>
          <w:p w14:paraId="7812EFC3" w14:textId="77777777" w:rsidR="0025577E" w:rsidRPr="00F1714B" w:rsidRDefault="0025577E" w:rsidP="0025577E">
            <w:pPr>
              <w:rPr>
                <w:b/>
                <w:lang w:val="en-US" w:eastAsia="ja-JP"/>
              </w:rPr>
            </w:pPr>
            <w:r w:rsidRPr="00F1714B">
              <w:rPr>
                <w:b/>
                <w:lang w:val="en-US" w:eastAsia="ja-JP"/>
              </w:rPr>
              <w:lastRenderedPageBreak/>
              <w:t xml:space="preserve">NAS8: </w:t>
            </w:r>
            <w:r w:rsidRPr="00F1714B">
              <w:rPr>
                <w:lang w:val="en-US" w:eastAsia="ja-JP"/>
              </w:rPr>
              <w:t xml:space="preserve">    </w:t>
            </w:r>
            <w:proofErr w:type="spellStart"/>
            <w:r w:rsidRPr="00F1714B">
              <w:rPr>
                <w:b/>
                <w:lang w:val="en-US" w:eastAsia="ja-JP"/>
              </w:rPr>
              <w:t>Patrimônio</w:t>
            </w:r>
            <w:proofErr w:type="spellEnd"/>
            <w:r w:rsidRPr="00F1714B">
              <w:rPr>
                <w:b/>
                <w:lang w:val="en-US" w:eastAsia="ja-JP"/>
              </w:rPr>
              <w:t xml:space="preserve"> Cultural</w:t>
            </w:r>
          </w:p>
        </w:tc>
      </w:tr>
      <w:tr w:rsidR="0025577E" w:rsidRPr="001E4B2C" w14:paraId="39F4F80B" w14:textId="77777777" w:rsidTr="00941934">
        <w:trPr>
          <w:trHeight w:val="1248"/>
        </w:trPr>
        <w:tc>
          <w:tcPr>
            <w:tcW w:w="1174" w:type="pct"/>
          </w:tcPr>
          <w:p w14:paraId="4C1B428F" w14:textId="77777777" w:rsidR="0025577E" w:rsidRPr="00F1714B" w:rsidRDefault="0025577E" w:rsidP="0025577E">
            <w:pPr>
              <w:rPr>
                <w:lang w:val="pt-PT" w:eastAsia="ja-JP"/>
              </w:rPr>
            </w:pPr>
            <w:proofErr w:type="spellStart"/>
            <w:r w:rsidRPr="00F1714B">
              <w:rPr>
                <w:lang w:val="pt-PT" w:eastAsia="ja-JP"/>
              </w:rPr>
              <w:t>Objectivos</w:t>
            </w:r>
            <w:proofErr w:type="spellEnd"/>
            <w:r w:rsidRPr="00F1714B">
              <w:rPr>
                <w:lang w:val="pt-PT" w:eastAsia="ja-JP"/>
              </w:rPr>
              <w:t xml:space="preserve"> da NAS8:</w:t>
            </w:r>
          </w:p>
          <w:p w14:paraId="4CD543F6" w14:textId="77777777" w:rsidR="0025577E" w:rsidRPr="00F1714B" w:rsidRDefault="0025577E" w:rsidP="0025577E">
            <w:pPr>
              <w:numPr>
                <w:ilvl w:val="0"/>
                <w:numId w:val="256"/>
              </w:numPr>
              <w:rPr>
                <w:lang w:val="pt-PT" w:eastAsia="ja-JP"/>
              </w:rPr>
            </w:pPr>
            <w:r w:rsidRPr="00F1714B">
              <w:rPr>
                <w:lang w:val="pt-PT" w:eastAsia="ja-JP"/>
              </w:rPr>
              <w:t xml:space="preserve">Proteger o património cultural dos impactos negativos das </w:t>
            </w:r>
            <w:proofErr w:type="spellStart"/>
            <w:r w:rsidRPr="00F1714B">
              <w:rPr>
                <w:lang w:val="pt-PT" w:eastAsia="ja-JP"/>
              </w:rPr>
              <w:t>actividades</w:t>
            </w:r>
            <w:proofErr w:type="spellEnd"/>
            <w:r w:rsidRPr="00F1714B">
              <w:rPr>
                <w:lang w:val="pt-PT" w:eastAsia="ja-JP"/>
              </w:rPr>
              <w:t xml:space="preserve"> do </w:t>
            </w:r>
            <w:proofErr w:type="spellStart"/>
            <w:r w:rsidRPr="00F1714B">
              <w:rPr>
                <w:lang w:val="pt-PT" w:eastAsia="ja-JP"/>
              </w:rPr>
              <w:t>projecto</w:t>
            </w:r>
            <w:proofErr w:type="spellEnd"/>
            <w:r w:rsidRPr="00F1714B">
              <w:rPr>
                <w:lang w:val="pt-PT" w:eastAsia="ja-JP"/>
              </w:rPr>
              <w:t xml:space="preserve"> e apoiar a sua preservação; </w:t>
            </w:r>
          </w:p>
          <w:p w14:paraId="2C9D104E" w14:textId="77777777" w:rsidR="0025577E" w:rsidRPr="00F1714B" w:rsidRDefault="0025577E" w:rsidP="0025577E">
            <w:pPr>
              <w:numPr>
                <w:ilvl w:val="0"/>
                <w:numId w:val="256"/>
              </w:numPr>
              <w:rPr>
                <w:lang w:val="pt-PT" w:eastAsia="ja-JP"/>
              </w:rPr>
            </w:pPr>
            <w:r w:rsidRPr="00F1714B">
              <w:rPr>
                <w:lang w:val="pt-PT" w:eastAsia="ja-JP"/>
              </w:rPr>
              <w:t xml:space="preserve">Abordar o património cultural como </w:t>
            </w:r>
            <w:proofErr w:type="spellStart"/>
            <w:r w:rsidRPr="00F1714B">
              <w:rPr>
                <w:lang w:val="pt-PT" w:eastAsia="ja-JP"/>
              </w:rPr>
              <w:t>aspecto</w:t>
            </w:r>
            <w:proofErr w:type="spellEnd"/>
            <w:r w:rsidRPr="00F1714B">
              <w:rPr>
                <w:lang w:val="pt-PT" w:eastAsia="ja-JP"/>
              </w:rPr>
              <w:t xml:space="preserve"> fundamental do desenvolvimento sustentável;</w:t>
            </w:r>
          </w:p>
          <w:p w14:paraId="2087554F" w14:textId="77777777" w:rsidR="0025577E" w:rsidRPr="00F1714B" w:rsidRDefault="0025577E" w:rsidP="0025577E">
            <w:pPr>
              <w:numPr>
                <w:ilvl w:val="0"/>
                <w:numId w:val="256"/>
              </w:numPr>
              <w:rPr>
                <w:lang w:val="pt-PT" w:eastAsia="ja-JP"/>
              </w:rPr>
            </w:pPr>
            <w:r w:rsidRPr="00F1714B">
              <w:rPr>
                <w:lang w:val="pt-PT" w:eastAsia="ja-JP"/>
              </w:rPr>
              <w:t>Promover a consulta relevante com as partes interessadas relativamente ao património cultural;</w:t>
            </w:r>
          </w:p>
        </w:tc>
        <w:tc>
          <w:tcPr>
            <w:tcW w:w="1224" w:type="pct"/>
          </w:tcPr>
          <w:p w14:paraId="02E06A6E" w14:textId="77777777" w:rsidR="0025577E" w:rsidRPr="00F1714B" w:rsidRDefault="0025577E" w:rsidP="0025577E">
            <w:pPr>
              <w:numPr>
                <w:ilvl w:val="0"/>
                <w:numId w:val="256"/>
              </w:numPr>
              <w:rPr>
                <w:lang w:val="pt-PT" w:eastAsia="ja-JP"/>
              </w:rPr>
            </w:pPr>
            <w:r w:rsidRPr="00F1714B">
              <w:rPr>
                <w:lang w:val="pt-PT" w:eastAsia="ja-JP"/>
              </w:rPr>
              <w:t xml:space="preserve">Existe a Lei do Património Cultural (Lei nº 10/88 de 22 de </w:t>
            </w:r>
            <w:proofErr w:type="gramStart"/>
            <w:r w:rsidRPr="00F1714B">
              <w:rPr>
                <w:lang w:val="pt-PT" w:eastAsia="ja-JP"/>
              </w:rPr>
              <w:t>Dezembro</w:t>
            </w:r>
            <w:proofErr w:type="gramEnd"/>
            <w:r w:rsidRPr="00F1714B">
              <w:rPr>
                <w:lang w:val="pt-PT" w:eastAsia="ja-JP"/>
              </w:rPr>
              <w:t xml:space="preserve">), determina a </w:t>
            </w:r>
            <w:proofErr w:type="spellStart"/>
            <w:r w:rsidRPr="00F1714B">
              <w:rPr>
                <w:lang w:val="pt-PT" w:eastAsia="ja-JP"/>
              </w:rPr>
              <w:t>protecção</w:t>
            </w:r>
            <w:proofErr w:type="spellEnd"/>
            <w:r w:rsidRPr="00F1714B">
              <w:rPr>
                <w:lang w:val="pt-PT" w:eastAsia="ja-JP"/>
              </w:rPr>
              <w:t xml:space="preserve"> legal dos bens materiais e imateriais do Povo moçambicano, foi concebida para proteger legalmente o património cultural tangível e intangível de Moçambique</w:t>
            </w:r>
          </w:p>
          <w:p w14:paraId="765FB04F" w14:textId="77777777" w:rsidR="0025577E" w:rsidRPr="00F1714B" w:rsidRDefault="0025577E" w:rsidP="0025577E">
            <w:pPr>
              <w:numPr>
                <w:ilvl w:val="0"/>
                <w:numId w:val="256"/>
              </w:numPr>
              <w:rPr>
                <w:lang w:val="pt-PT" w:eastAsia="ja-JP"/>
              </w:rPr>
            </w:pPr>
            <w:r w:rsidRPr="00F1714B">
              <w:rPr>
                <w:lang w:val="pt-PT" w:eastAsia="ja-JP"/>
              </w:rPr>
              <w:t xml:space="preserve">Regulamento de </w:t>
            </w:r>
            <w:proofErr w:type="spellStart"/>
            <w:r w:rsidRPr="00F1714B">
              <w:rPr>
                <w:lang w:val="pt-PT" w:eastAsia="ja-JP"/>
              </w:rPr>
              <w:t>Protecção</w:t>
            </w:r>
            <w:proofErr w:type="spellEnd"/>
            <w:r w:rsidRPr="00F1714B">
              <w:rPr>
                <w:lang w:val="pt-PT" w:eastAsia="ja-JP"/>
              </w:rPr>
              <w:t xml:space="preserve"> do Património Arqueológico (Decreto nº 27/94, de 20 de </w:t>
            </w:r>
            <w:proofErr w:type="gramStart"/>
            <w:r w:rsidRPr="00F1714B">
              <w:rPr>
                <w:lang w:val="pt-PT" w:eastAsia="ja-JP"/>
              </w:rPr>
              <w:t>Julho</w:t>
            </w:r>
            <w:proofErr w:type="gramEnd"/>
            <w:r w:rsidRPr="00F1714B">
              <w:rPr>
                <w:lang w:val="pt-PT" w:eastAsia="ja-JP"/>
              </w:rPr>
              <w:t>).</w:t>
            </w:r>
          </w:p>
        </w:tc>
        <w:tc>
          <w:tcPr>
            <w:tcW w:w="1224" w:type="pct"/>
          </w:tcPr>
          <w:p w14:paraId="4FFBC94D" w14:textId="77777777" w:rsidR="0025577E" w:rsidRPr="00F1714B" w:rsidRDefault="0025577E" w:rsidP="0025577E">
            <w:pPr>
              <w:numPr>
                <w:ilvl w:val="0"/>
                <w:numId w:val="256"/>
              </w:numPr>
              <w:rPr>
                <w:lang w:val="pt-PT" w:eastAsia="ja-JP"/>
              </w:rPr>
            </w:pPr>
            <w:r w:rsidRPr="00F1714B">
              <w:rPr>
                <w:lang w:val="pt-PT" w:eastAsia="ja-JP"/>
              </w:rPr>
              <w:t>A legislação não abrange no seu âmbito os locais com importância espiritual considerados locais sagrados. E embora esta estabeleça requisitos de comunicação de achados arqueológicos fortuitos a mesma não define requisitos de preparação de um plano de gestão de património cultural</w:t>
            </w:r>
            <w:r w:rsidRPr="00F1714B">
              <w:rPr>
                <w:vertAlign w:val="superscript"/>
                <w:lang w:val="pt-PT" w:eastAsia="ja-JP"/>
              </w:rPr>
              <w:footnoteReference w:id="5"/>
            </w:r>
            <w:r w:rsidRPr="00F1714B">
              <w:rPr>
                <w:lang w:val="pt-PT" w:eastAsia="ja-JP"/>
              </w:rPr>
              <w:t xml:space="preserve"> e procedimento de descoberta casual</w:t>
            </w:r>
            <w:r w:rsidRPr="00F1714B">
              <w:rPr>
                <w:vertAlign w:val="superscript"/>
                <w:lang w:val="pt-PT" w:eastAsia="ja-JP"/>
              </w:rPr>
              <w:footnoteReference w:id="6"/>
            </w:r>
            <w:r w:rsidRPr="00F1714B">
              <w:rPr>
                <w:lang w:val="pt-PT" w:eastAsia="ja-JP"/>
              </w:rPr>
              <w:t>.</w:t>
            </w:r>
          </w:p>
        </w:tc>
        <w:tc>
          <w:tcPr>
            <w:tcW w:w="1378" w:type="pct"/>
          </w:tcPr>
          <w:p w14:paraId="09667075" w14:textId="77777777" w:rsidR="0025577E" w:rsidRPr="00F1714B" w:rsidRDefault="0025577E" w:rsidP="0025577E">
            <w:pPr>
              <w:numPr>
                <w:ilvl w:val="0"/>
                <w:numId w:val="256"/>
              </w:numPr>
              <w:rPr>
                <w:lang w:val="pt-PT" w:eastAsia="ja-JP"/>
              </w:rPr>
            </w:pPr>
            <w:r w:rsidRPr="00F1714B">
              <w:rPr>
                <w:lang w:val="pt-PT" w:eastAsia="ja-JP"/>
              </w:rPr>
              <w:t>Deve-se aplicar a legislação nacional e deve-se respeitar o estabelecido na NAS8</w:t>
            </w:r>
          </w:p>
        </w:tc>
      </w:tr>
      <w:tr w:rsidR="0025577E" w:rsidRPr="001E4B2C" w14:paraId="7AE7BC57" w14:textId="77777777" w:rsidTr="00941934">
        <w:trPr>
          <w:trHeight w:val="937"/>
          <w:tblHeader/>
        </w:trPr>
        <w:tc>
          <w:tcPr>
            <w:tcW w:w="5000" w:type="pct"/>
            <w:gridSpan w:val="4"/>
            <w:shd w:val="clear" w:color="auto" w:fill="EDEDED" w:themeFill="accent3" w:themeFillTint="33"/>
            <w:vAlign w:val="center"/>
          </w:tcPr>
          <w:p w14:paraId="05DC990A" w14:textId="77777777" w:rsidR="0025577E" w:rsidRPr="00F1714B" w:rsidRDefault="0025577E" w:rsidP="0025577E">
            <w:pPr>
              <w:rPr>
                <w:b/>
                <w:lang w:val="pt-PT" w:eastAsia="ja-JP"/>
              </w:rPr>
            </w:pPr>
            <w:r w:rsidRPr="00F1714B">
              <w:rPr>
                <w:b/>
                <w:lang w:val="pt-PT" w:eastAsia="ja-JP"/>
              </w:rPr>
              <w:lastRenderedPageBreak/>
              <w:t xml:space="preserve">NAS10: </w:t>
            </w:r>
            <w:r w:rsidRPr="00F1714B">
              <w:rPr>
                <w:lang w:val="pt-PT" w:eastAsia="ja-JP"/>
              </w:rPr>
              <w:t xml:space="preserve">     </w:t>
            </w:r>
            <w:r w:rsidRPr="00F1714B">
              <w:rPr>
                <w:b/>
                <w:lang w:val="pt-PT" w:eastAsia="ja-JP"/>
              </w:rPr>
              <w:t>Envolvimento das Partes Interessadas e Divulgação de Informação</w:t>
            </w:r>
          </w:p>
        </w:tc>
      </w:tr>
      <w:tr w:rsidR="0025577E" w:rsidRPr="001E4B2C" w14:paraId="3A5A9A46" w14:textId="77777777" w:rsidTr="00941934">
        <w:trPr>
          <w:trHeight w:val="2903"/>
        </w:trPr>
        <w:tc>
          <w:tcPr>
            <w:tcW w:w="1174" w:type="pct"/>
          </w:tcPr>
          <w:p w14:paraId="27316026" w14:textId="77777777" w:rsidR="0025577E" w:rsidRPr="00F1714B" w:rsidRDefault="0025577E" w:rsidP="0025577E">
            <w:pPr>
              <w:rPr>
                <w:lang w:val="pt-PT" w:eastAsia="ja-JP"/>
              </w:rPr>
            </w:pPr>
            <w:proofErr w:type="spellStart"/>
            <w:r w:rsidRPr="00F1714B">
              <w:rPr>
                <w:lang w:val="pt-PT" w:eastAsia="ja-JP"/>
              </w:rPr>
              <w:t>Objectivos</w:t>
            </w:r>
            <w:proofErr w:type="spellEnd"/>
            <w:r w:rsidRPr="00F1714B">
              <w:rPr>
                <w:lang w:val="pt-PT" w:eastAsia="ja-JP"/>
              </w:rPr>
              <w:t xml:space="preserve"> da NAS10:</w:t>
            </w:r>
          </w:p>
          <w:p w14:paraId="2C42661A" w14:textId="77777777" w:rsidR="0025577E" w:rsidRPr="00F1714B" w:rsidRDefault="0025577E" w:rsidP="0025577E">
            <w:pPr>
              <w:numPr>
                <w:ilvl w:val="0"/>
                <w:numId w:val="256"/>
              </w:numPr>
              <w:rPr>
                <w:lang w:val="pt-PT" w:eastAsia="ja-JP"/>
              </w:rPr>
            </w:pPr>
            <w:r w:rsidRPr="00F1714B">
              <w:rPr>
                <w:lang w:val="pt-PT" w:eastAsia="ja-JP"/>
              </w:rPr>
              <w:t xml:space="preserve">Estabelecer uma estratégia sistemática de envolvimento das partes interessadas, que ajudara aos proponentes a criar e manter uma relação construtiva com as partes interessadas e em particular com as partes </w:t>
            </w:r>
            <w:proofErr w:type="spellStart"/>
            <w:r w:rsidRPr="00F1714B">
              <w:rPr>
                <w:lang w:val="pt-PT" w:eastAsia="ja-JP"/>
              </w:rPr>
              <w:t>afectadas</w:t>
            </w:r>
            <w:proofErr w:type="spellEnd"/>
            <w:r w:rsidRPr="00F1714B">
              <w:rPr>
                <w:lang w:val="pt-PT" w:eastAsia="ja-JP"/>
              </w:rPr>
              <w:t xml:space="preserve"> pelo </w:t>
            </w:r>
            <w:proofErr w:type="spellStart"/>
            <w:r w:rsidRPr="00F1714B">
              <w:rPr>
                <w:lang w:val="pt-PT" w:eastAsia="ja-JP"/>
              </w:rPr>
              <w:t>projecto</w:t>
            </w:r>
            <w:proofErr w:type="spellEnd"/>
            <w:r w:rsidRPr="00F1714B">
              <w:rPr>
                <w:lang w:val="pt-PT" w:eastAsia="ja-JP"/>
              </w:rPr>
              <w:t xml:space="preserve">; </w:t>
            </w:r>
          </w:p>
          <w:p w14:paraId="0A53B430" w14:textId="77777777" w:rsidR="0025577E" w:rsidRPr="00F1714B" w:rsidRDefault="0025577E" w:rsidP="0025577E">
            <w:pPr>
              <w:numPr>
                <w:ilvl w:val="0"/>
                <w:numId w:val="256"/>
              </w:numPr>
              <w:rPr>
                <w:lang w:val="pt-PT" w:eastAsia="ja-JP"/>
              </w:rPr>
            </w:pPr>
            <w:r w:rsidRPr="00F1714B">
              <w:rPr>
                <w:lang w:val="pt-PT" w:eastAsia="ja-JP"/>
              </w:rPr>
              <w:t xml:space="preserve">Avaliar o nível de interesse das partes interessadas e apoio para o </w:t>
            </w:r>
            <w:proofErr w:type="spellStart"/>
            <w:r w:rsidRPr="00F1714B">
              <w:rPr>
                <w:lang w:val="pt-PT" w:eastAsia="ja-JP"/>
              </w:rPr>
              <w:t>projecto</w:t>
            </w:r>
            <w:proofErr w:type="spellEnd"/>
            <w:r w:rsidRPr="00F1714B">
              <w:rPr>
                <w:lang w:val="pt-PT" w:eastAsia="ja-JP"/>
              </w:rPr>
              <w:t xml:space="preserve"> e permitir que as suas opiniões sejam consideradas na </w:t>
            </w:r>
            <w:proofErr w:type="spellStart"/>
            <w:r w:rsidRPr="00F1714B">
              <w:rPr>
                <w:lang w:val="pt-PT" w:eastAsia="ja-JP"/>
              </w:rPr>
              <w:t>concepção</w:t>
            </w:r>
            <w:proofErr w:type="spellEnd"/>
            <w:r w:rsidRPr="00F1714B">
              <w:rPr>
                <w:lang w:val="pt-PT" w:eastAsia="ja-JP"/>
              </w:rPr>
              <w:t xml:space="preserve"> do </w:t>
            </w:r>
            <w:proofErr w:type="spellStart"/>
            <w:r w:rsidRPr="00F1714B">
              <w:rPr>
                <w:lang w:val="pt-PT" w:eastAsia="ja-JP"/>
              </w:rPr>
              <w:t>projecto</w:t>
            </w:r>
            <w:proofErr w:type="spellEnd"/>
            <w:r w:rsidRPr="00F1714B">
              <w:rPr>
                <w:lang w:val="pt-PT" w:eastAsia="ja-JP"/>
              </w:rPr>
              <w:t xml:space="preserve"> e desempenho ambiental e social;</w:t>
            </w:r>
          </w:p>
          <w:p w14:paraId="48344684" w14:textId="77777777" w:rsidR="0025577E" w:rsidRPr="00F1714B" w:rsidRDefault="0025577E" w:rsidP="0025577E">
            <w:pPr>
              <w:numPr>
                <w:ilvl w:val="0"/>
                <w:numId w:val="256"/>
              </w:numPr>
              <w:rPr>
                <w:lang w:val="pt-PT" w:eastAsia="ja-JP"/>
              </w:rPr>
            </w:pPr>
            <w:r w:rsidRPr="00F1714B">
              <w:rPr>
                <w:lang w:val="pt-PT" w:eastAsia="ja-JP"/>
              </w:rPr>
              <w:t xml:space="preserve">Promover e proporcionar meios para o envolvimento eficaz e inclusivo das partes </w:t>
            </w:r>
            <w:proofErr w:type="spellStart"/>
            <w:r w:rsidRPr="00F1714B">
              <w:rPr>
                <w:lang w:val="pt-PT" w:eastAsia="ja-JP"/>
              </w:rPr>
              <w:t>afectadas</w:t>
            </w:r>
            <w:proofErr w:type="spellEnd"/>
            <w:r w:rsidRPr="00F1714B">
              <w:rPr>
                <w:lang w:val="pt-PT" w:eastAsia="ja-JP"/>
              </w:rPr>
              <w:t xml:space="preserve"> pelo </w:t>
            </w:r>
            <w:proofErr w:type="spellStart"/>
            <w:r w:rsidRPr="00F1714B">
              <w:rPr>
                <w:lang w:val="pt-PT" w:eastAsia="ja-JP"/>
              </w:rPr>
              <w:t>projecto</w:t>
            </w:r>
            <w:proofErr w:type="spellEnd"/>
            <w:r w:rsidRPr="00F1714B">
              <w:rPr>
                <w:lang w:val="pt-PT" w:eastAsia="ja-JP"/>
              </w:rPr>
              <w:t xml:space="preserve"> durante todo o ciclo de vida </w:t>
            </w:r>
            <w:r w:rsidRPr="00F1714B">
              <w:rPr>
                <w:lang w:val="pt-PT" w:eastAsia="ja-JP"/>
              </w:rPr>
              <w:lastRenderedPageBreak/>
              <w:t xml:space="preserve">do </w:t>
            </w:r>
            <w:proofErr w:type="spellStart"/>
            <w:r w:rsidRPr="00F1714B">
              <w:rPr>
                <w:lang w:val="pt-PT" w:eastAsia="ja-JP"/>
              </w:rPr>
              <w:t>projecto</w:t>
            </w:r>
            <w:proofErr w:type="spellEnd"/>
            <w:r w:rsidRPr="00F1714B">
              <w:rPr>
                <w:lang w:val="pt-PT" w:eastAsia="ja-JP"/>
              </w:rPr>
              <w:t xml:space="preserve"> sobre as questões que poderiam </w:t>
            </w:r>
            <w:proofErr w:type="spellStart"/>
            <w:r w:rsidRPr="00F1714B">
              <w:rPr>
                <w:lang w:val="pt-PT" w:eastAsia="ja-JP"/>
              </w:rPr>
              <w:t>afectá-los</w:t>
            </w:r>
            <w:proofErr w:type="spellEnd"/>
            <w:r w:rsidRPr="00F1714B">
              <w:rPr>
                <w:lang w:val="pt-PT" w:eastAsia="ja-JP"/>
              </w:rPr>
              <w:t>;</w:t>
            </w:r>
          </w:p>
          <w:p w14:paraId="18820ED2" w14:textId="77777777" w:rsidR="0025577E" w:rsidRPr="00F1714B" w:rsidRDefault="0025577E" w:rsidP="0025577E">
            <w:pPr>
              <w:numPr>
                <w:ilvl w:val="0"/>
                <w:numId w:val="256"/>
              </w:numPr>
              <w:rPr>
                <w:lang w:val="pt-PT" w:eastAsia="ja-JP"/>
              </w:rPr>
            </w:pPr>
            <w:r w:rsidRPr="00F1714B">
              <w:rPr>
                <w:lang w:val="pt-PT" w:eastAsia="ja-JP"/>
              </w:rPr>
              <w:t xml:space="preserve">Garantir que informação apropriada sobre os riscos e impactos socioambientais do </w:t>
            </w:r>
            <w:proofErr w:type="spellStart"/>
            <w:r w:rsidRPr="00F1714B">
              <w:rPr>
                <w:lang w:val="pt-PT" w:eastAsia="ja-JP"/>
              </w:rPr>
              <w:t>projecto</w:t>
            </w:r>
            <w:proofErr w:type="spellEnd"/>
            <w:r w:rsidRPr="00F1714B">
              <w:rPr>
                <w:lang w:val="pt-PT" w:eastAsia="ja-JP"/>
              </w:rPr>
              <w:t xml:space="preserve"> seja divulgada as partes interessadas de modo atempado, acessível, compreensível e adequado;</w:t>
            </w:r>
          </w:p>
          <w:p w14:paraId="3F7D71AF" w14:textId="0D87AEE1" w:rsidR="0025577E" w:rsidRPr="00F1714B" w:rsidRDefault="0025577E" w:rsidP="009E62E7">
            <w:pPr>
              <w:numPr>
                <w:ilvl w:val="0"/>
                <w:numId w:val="256"/>
              </w:numPr>
              <w:rPr>
                <w:lang w:val="pt-PT" w:eastAsia="ja-JP"/>
              </w:rPr>
            </w:pPr>
            <w:r w:rsidRPr="00F1714B">
              <w:rPr>
                <w:lang w:val="pt-PT" w:eastAsia="ja-JP"/>
              </w:rPr>
              <w:t xml:space="preserve">Garantir que as pessoas afetadas pelo </w:t>
            </w:r>
            <w:proofErr w:type="spellStart"/>
            <w:r w:rsidRPr="00F1714B">
              <w:rPr>
                <w:lang w:val="pt-PT" w:eastAsia="ja-JP"/>
              </w:rPr>
              <w:t>projecto</w:t>
            </w:r>
            <w:proofErr w:type="spellEnd"/>
            <w:r w:rsidRPr="00F1714B">
              <w:rPr>
                <w:lang w:val="pt-PT" w:eastAsia="ja-JP"/>
              </w:rPr>
              <w:t xml:space="preserve"> tenham meios acessíveis e inclusivos para apresentar questões e queixas, e permitir que os proponentes respondam e administrem tais questões e queixas.</w:t>
            </w:r>
          </w:p>
        </w:tc>
        <w:tc>
          <w:tcPr>
            <w:tcW w:w="1224" w:type="pct"/>
          </w:tcPr>
          <w:p w14:paraId="4A7F0FEE" w14:textId="77777777" w:rsidR="0025577E" w:rsidRPr="00F1714B" w:rsidRDefault="0025577E" w:rsidP="0025577E">
            <w:pPr>
              <w:numPr>
                <w:ilvl w:val="0"/>
                <w:numId w:val="256"/>
              </w:numPr>
              <w:rPr>
                <w:lang w:val="pt-PT" w:eastAsia="ja-JP"/>
              </w:rPr>
            </w:pPr>
            <w:r w:rsidRPr="00F1714B">
              <w:rPr>
                <w:lang w:val="pt-PT" w:eastAsia="ja-JP"/>
              </w:rPr>
              <w:lastRenderedPageBreak/>
              <w:t xml:space="preserve">Exige consultas às partes interessadas durante as fases de planeamento do </w:t>
            </w:r>
            <w:proofErr w:type="spellStart"/>
            <w:r w:rsidRPr="00F1714B">
              <w:rPr>
                <w:lang w:val="pt-PT" w:eastAsia="ja-JP"/>
              </w:rPr>
              <w:t>projecto</w:t>
            </w:r>
            <w:proofErr w:type="spellEnd"/>
            <w:r w:rsidRPr="00F1714B">
              <w:rPr>
                <w:lang w:val="pt-PT" w:eastAsia="ja-JP"/>
              </w:rPr>
              <w:t xml:space="preserve"> (durante o EPDA e o EIA); </w:t>
            </w:r>
          </w:p>
          <w:p w14:paraId="0792F0A3" w14:textId="77777777" w:rsidR="0025577E" w:rsidRPr="00F1714B" w:rsidRDefault="0025577E" w:rsidP="0025577E">
            <w:pPr>
              <w:numPr>
                <w:ilvl w:val="0"/>
                <w:numId w:val="256"/>
              </w:numPr>
              <w:rPr>
                <w:lang w:val="pt-PT" w:eastAsia="ja-JP"/>
              </w:rPr>
            </w:pPr>
            <w:r w:rsidRPr="00F1714B">
              <w:rPr>
                <w:lang w:val="pt-PT" w:eastAsia="ja-JP"/>
              </w:rPr>
              <w:t>Exige pelo menos 4 consultas públicas na elaboração do PAR;</w:t>
            </w:r>
          </w:p>
          <w:p w14:paraId="2B264228" w14:textId="77777777" w:rsidR="0025577E" w:rsidRPr="00F1714B" w:rsidRDefault="0025577E" w:rsidP="0025577E">
            <w:pPr>
              <w:numPr>
                <w:ilvl w:val="0"/>
                <w:numId w:val="256"/>
              </w:numPr>
              <w:rPr>
                <w:lang w:val="pt-PT" w:eastAsia="ja-JP"/>
              </w:rPr>
            </w:pPr>
            <w:r w:rsidRPr="00F1714B">
              <w:rPr>
                <w:lang w:val="pt-PT" w:eastAsia="ja-JP"/>
              </w:rPr>
              <w:t xml:space="preserve">As consultas públicas devem durar no mínimo 30 dias. </w:t>
            </w:r>
          </w:p>
          <w:p w14:paraId="75C4C10F" w14:textId="77777777" w:rsidR="0025577E" w:rsidRPr="00F1714B" w:rsidRDefault="0025577E" w:rsidP="0025577E">
            <w:pPr>
              <w:numPr>
                <w:ilvl w:val="0"/>
                <w:numId w:val="256"/>
              </w:numPr>
              <w:rPr>
                <w:lang w:val="pt-PT" w:eastAsia="ja-JP"/>
              </w:rPr>
            </w:pPr>
            <w:r w:rsidRPr="00F1714B">
              <w:rPr>
                <w:lang w:val="pt-PT" w:eastAsia="ja-JP"/>
              </w:rPr>
              <w:t xml:space="preserve">Existe o Diploma Ministerial </w:t>
            </w:r>
            <w:proofErr w:type="spellStart"/>
            <w:r w:rsidRPr="00F1714B">
              <w:rPr>
                <w:lang w:val="pt-PT" w:eastAsia="ja-JP"/>
              </w:rPr>
              <w:t>nr</w:t>
            </w:r>
            <w:proofErr w:type="spellEnd"/>
            <w:r w:rsidRPr="00F1714B">
              <w:rPr>
                <w:lang w:val="pt-PT" w:eastAsia="ja-JP"/>
              </w:rPr>
              <w:t xml:space="preserve">. 130/2006 de 19 de </w:t>
            </w:r>
            <w:proofErr w:type="gramStart"/>
            <w:r w:rsidRPr="00F1714B">
              <w:rPr>
                <w:lang w:val="pt-PT" w:eastAsia="ja-JP"/>
              </w:rPr>
              <w:t>Julho</w:t>
            </w:r>
            <w:proofErr w:type="gramEnd"/>
            <w:r w:rsidRPr="00F1714B">
              <w:rPr>
                <w:lang w:val="pt-PT" w:eastAsia="ja-JP"/>
              </w:rPr>
              <w:t xml:space="preserve"> define o processo de consulta publica para o processo de AIA para as categorias A+, A e B, e principalmente em </w:t>
            </w:r>
            <w:proofErr w:type="spellStart"/>
            <w:r w:rsidRPr="00F1714B">
              <w:rPr>
                <w:lang w:val="pt-PT" w:eastAsia="ja-JP"/>
              </w:rPr>
              <w:t>actividades</w:t>
            </w:r>
            <w:proofErr w:type="spellEnd"/>
            <w:r w:rsidRPr="00F1714B">
              <w:rPr>
                <w:lang w:val="pt-PT" w:eastAsia="ja-JP"/>
              </w:rPr>
              <w:t xml:space="preserve"> que envolvem o reassentamento. Deve-se respeitar a opinião dos afetados e criar condições para recolher as reclamações durante este processo. </w:t>
            </w:r>
            <w:r w:rsidRPr="00F1714B">
              <w:rPr>
                <w:lang w:val="en-US" w:eastAsia="ja-JP"/>
              </w:rPr>
              <w:t xml:space="preserve">O </w:t>
            </w:r>
            <w:proofErr w:type="spellStart"/>
            <w:r w:rsidRPr="00F1714B">
              <w:rPr>
                <w:lang w:val="en-US" w:eastAsia="ja-JP"/>
              </w:rPr>
              <w:t>mesmo</w:t>
            </w:r>
            <w:proofErr w:type="spellEnd"/>
            <w:r w:rsidRPr="00F1714B">
              <w:rPr>
                <w:lang w:val="en-US" w:eastAsia="ja-JP"/>
              </w:rPr>
              <w:t xml:space="preserve"> é </w:t>
            </w:r>
            <w:proofErr w:type="spellStart"/>
            <w:r w:rsidRPr="00F1714B">
              <w:rPr>
                <w:lang w:val="en-US" w:eastAsia="ja-JP"/>
              </w:rPr>
              <w:t>reforçado</w:t>
            </w:r>
            <w:proofErr w:type="spellEnd"/>
            <w:r w:rsidRPr="00F1714B">
              <w:rPr>
                <w:lang w:val="en-US" w:eastAsia="ja-JP"/>
              </w:rPr>
              <w:t xml:space="preserve"> no </w:t>
            </w:r>
            <w:proofErr w:type="spellStart"/>
            <w:r w:rsidRPr="00F1714B">
              <w:rPr>
                <w:lang w:val="en-US" w:eastAsia="ja-JP"/>
              </w:rPr>
              <w:lastRenderedPageBreak/>
              <w:t>Decreto</w:t>
            </w:r>
            <w:proofErr w:type="spellEnd"/>
            <w:r w:rsidRPr="00F1714B">
              <w:rPr>
                <w:lang w:val="en-US" w:eastAsia="ja-JP"/>
              </w:rPr>
              <w:t xml:space="preserve"> 54/2015 de 31 de </w:t>
            </w:r>
            <w:proofErr w:type="spellStart"/>
            <w:r w:rsidRPr="00F1714B">
              <w:rPr>
                <w:lang w:val="en-US" w:eastAsia="ja-JP"/>
              </w:rPr>
              <w:t>Dezembro</w:t>
            </w:r>
            <w:proofErr w:type="spellEnd"/>
            <w:r w:rsidRPr="00F1714B">
              <w:rPr>
                <w:lang w:val="en-US" w:eastAsia="ja-JP"/>
              </w:rPr>
              <w:t xml:space="preserve">. </w:t>
            </w:r>
          </w:p>
          <w:p w14:paraId="182F5610" w14:textId="77777777" w:rsidR="0025577E" w:rsidRPr="00F1714B" w:rsidRDefault="0025577E" w:rsidP="0025577E">
            <w:pPr>
              <w:rPr>
                <w:lang w:val="en-US" w:eastAsia="ja-JP"/>
              </w:rPr>
            </w:pPr>
          </w:p>
        </w:tc>
        <w:tc>
          <w:tcPr>
            <w:tcW w:w="1224" w:type="pct"/>
          </w:tcPr>
          <w:p w14:paraId="6B054FCB" w14:textId="77777777" w:rsidR="0025577E" w:rsidRPr="00F1714B" w:rsidRDefault="0025577E" w:rsidP="0025577E">
            <w:pPr>
              <w:numPr>
                <w:ilvl w:val="0"/>
                <w:numId w:val="256"/>
              </w:numPr>
              <w:rPr>
                <w:lang w:val="pt-PT" w:eastAsia="ja-JP"/>
              </w:rPr>
            </w:pPr>
            <w:r w:rsidRPr="00F1714B">
              <w:rPr>
                <w:lang w:val="pt-PT" w:eastAsia="ja-JP"/>
              </w:rPr>
              <w:lastRenderedPageBreak/>
              <w:t xml:space="preserve">O regulamento apenas prevê engajamento com as partes durante a AIA e elaboração do PAR e não durante o curso/operação e o encerramento do </w:t>
            </w:r>
            <w:proofErr w:type="spellStart"/>
            <w:r w:rsidRPr="00F1714B">
              <w:rPr>
                <w:lang w:val="pt-PT" w:eastAsia="ja-JP"/>
              </w:rPr>
              <w:t>projecto</w:t>
            </w:r>
            <w:proofErr w:type="spellEnd"/>
            <w:r w:rsidRPr="00F1714B">
              <w:rPr>
                <w:lang w:val="pt-PT" w:eastAsia="ja-JP"/>
              </w:rPr>
              <w:t xml:space="preserve">, como o exigido pela NAS10. </w:t>
            </w:r>
          </w:p>
          <w:p w14:paraId="45D3107D" w14:textId="77777777" w:rsidR="0025577E" w:rsidRPr="00F1714B" w:rsidRDefault="0025577E" w:rsidP="0025577E">
            <w:pPr>
              <w:numPr>
                <w:ilvl w:val="0"/>
                <w:numId w:val="256"/>
              </w:numPr>
              <w:rPr>
                <w:lang w:val="pt-PT" w:eastAsia="ja-JP"/>
              </w:rPr>
            </w:pPr>
            <w:r w:rsidRPr="00F1714B">
              <w:rPr>
                <w:lang w:val="pt-PT" w:eastAsia="ja-JP"/>
              </w:rPr>
              <w:t xml:space="preserve">O Regulamento não exige o estabelecimento de um mecanismo de resolução de queixas. </w:t>
            </w:r>
          </w:p>
          <w:p w14:paraId="4D2C5B0F" w14:textId="77777777" w:rsidR="0025577E" w:rsidRPr="00F1714B" w:rsidRDefault="0025577E" w:rsidP="0025577E">
            <w:pPr>
              <w:numPr>
                <w:ilvl w:val="0"/>
                <w:numId w:val="256"/>
              </w:numPr>
              <w:rPr>
                <w:lang w:val="pt-PT" w:eastAsia="ja-JP"/>
              </w:rPr>
            </w:pPr>
            <w:r w:rsidRPr="00F1714B">
              <w:rPr>
                <w:lang w:val="pt-PT" w:eastAsia="ja-JP"/>
              </w:rPr>
              <w:t>A NAS10 deverá ser seguida nem a elaboração do PEPI</w:t>
            </w:r>
          </w:p>
          <w:p w14:paraId="39AE2B83" w14:textId="77777777" w:rsidR="0025577E" w:rsidRPr="00F1714B" w:rsidRDefault="0025577E" w:rsidP="0025577E">
            <w:pPr>
              <w:rPr>
                <w:lang w:val="pt-PT" w:eastAsia="ja-JP"/>
              </w:rPr>
            </w:pPr>
          </w:p>
        </w:tc>
        <w:tc>
          <w:tcPr>
            <w:tcW w:w="1378" w:type="pct"/>
          </w:tcPr>
          <w:p w14:paraId="69C80AFE" w14:textId="77777777" w:rsidR="0025577E" w:rsidRPr="00F1714B" w:rsidRDefault="0025577E" w:rsidP="0025577E">
            <w:pPr>
              <w:numPr>
                <w:ilvl w:val="0"/>
                <w:numId w:val="256"/>
              </w:numPr>
              <w:rPr>
                <w:lang w:val="pt-PT" w:eastAsia="ja-JP"/>
              </w:rPr>
            </w:pPr>
            <w:r w:rsidRPr="00F1714B">
              <w:rPr>
                <w:lang w:val="pt-PT" w:eastAsia="ja-JP"/>
              </w:rPr>
              <w:t xml:space="preserve">Deve-se seguir o processo da legislação nacional para o processo de licenciamento ambiental e para os casos da implementação do </w:t>
            </w:r>
            <w:proofErr w:type="spellStart"/>
            <w:r w:rsidRPr="00F1714B">
              <w:rPr>
                <w:lang w:val="pt-PT" w:eastAsia="ja-JP"/>
              </w:rPr>
              <w:t>projecto</w:t>
            </w:r>
            <w:proofErr w:type="spellEnd"/>
            <w:r w:rsidRPr="00F1714B">
              <w:rPr>
                <w:lang w:val="pt-PT" w:eastAsia="ja-JP"/>
              </w:rPr>
              <w:t xml:space="preserve"> </w:t>
            </w:r>
            <w:proofErr w:type="spellStart"/>
            <w:r w:rsidRPr="00F1714B">
              <w:rPr>
                <w:lang w:val="pt-PT" w:eastAsia="ja-JP"/>
              </w:rPr>
              <w:t>devese</w:t>
            </w:r>
            <w:proofErr w:type="spellEnd"/>
            <w:r w:rsidRPr="00F1714B">
              <w:rPr>
                <w:lang w:val="pt-PT" w:eastAsia="ja-JP"/>
              </w:rPr>
              <w:t xml:space="preserve"> seguir o plasmando na NAS10</w:t>
            </w:r>
          </w:p>
        </w:tc>
      </w:tr>
      <w:tr w:rsidR="0025577E" w:rsidRPr="001E4B2C" w14:paraId="227FA04D" w14:textId="77777777" w:rsidTr="00941934">
        <w:trPr>
          <w:trHeight w:val="575"/>
        </w:trPr>
        <w:tc>
          <w:tcPr>
            <w:tcW w:w="1174" w:type="pct"/>
          </w:tcPr>
          <w:p w14:paraId="40DD4DC4" w14:textId="77777777" w:rsidR="0025577E" w:rsidRPr="00F1714B" w:rsidRDefault="0025577E" w:rsidP="0025577E">
            <w:pPr>
              <w:rPr>
                <w:lang w:val="pt-PT" w:eastAsia="ja-JP"/>
              </w:rPr>
            </w:pPr>
            <w:r w:rsidRPr="00F1714B">
              <w:rPr>
                <w:lang w:val="pt-PT" w:eastAsia="ja-JP"/>
              </w:rPr>
              <w:t xml:space="preserve">Engajamento das partes interessadas e </w:t>
            </w:r>
            <w:proofErr w:type="spellStart"/>
            <w:r w:rsidRPr="00F1714B">
              <w:rPr>
                <w:lang w:val="pt-PT" w:eastAsia="ja-JP"/>
              </w:rPr>
              <w:t>afectadas</w:t>
            </w:r>
            <w:proofErr w:type="spellEnd"/>
            <w:r w:rsidRPr="00F1714B">
              <w:rPr>
                <w:lang w:val="pt-PT" w:eastAsia="ja-JP"/>
              </w:rPr>
              <w:t xml:space="preserve"> e divulgação de informação </w:t>
            </w:r>
          </w:p>
        </w:tc>
        <w:tc>
          <w:tcPr>
            <w:tcW w:w="1224" w:type="pct"/>
          </w:tcPr>
          <w:p w14:paraId="04FD25FC" w14:textId="77777777" w:rsidR="0025577E" w:rsidRPr="00F1714B" w:rsidRDefault="0025577E" w:rsidP="0025577E">
            <w:pPr>
              <w:numPr>
                <w:ilvl w:val="0"/>
                <w:numId w:val="256"/>
              </w:numPr>
              <w:rPr>
                <w:lang w:val="pt-PT" w:eastAsia="ja-JP"/>
              </w:rPr>
            </w:pPr>
            <w:r w:rsidRPr="00F1714B">
              <w:rPr>
                <w:lang w:val="pt-PT" w:eastAsia="ja-JP"/>
              </w:rPr>
              <w:t xml:space="preserve">Exige consultas às partes interessadas durante as fases de planeamento do </w:t>
            </w:r>
            <w:proofErr w:type="spellStart"/>
            <w:r w:rsidRPr="00F1714B">
              <w:rPr>
                <w:lang w:val="pt-PT" w:eastAsia="ja-JP"/>
              </w:rPr>
              <w:t>projecto</w:t>
            </w:r>
            <w:proofErr w:type="spellEnd"/>
            <w:r w:rsidRPr="00F1714B">
              <w:rPr>
                <w:lang w:val="pt-PT" w:eastAsia="ja-JP"/>
              </w:rPr>
              <w:t xml:space="preserve"> (durante o EPDA e o EIA); </w:t>
            </w:r>
          </w:p>
          <w:p w14:paraId="7EA6D67C" w14:textId="77777777" w:rsidR="0025577E" w:rsidRPr="00F1714B" w:rsidRDefault="0025577E" w:rsidP="0025577E">
            <w:pPr>
              <w:numPr>
                <w:ilvl w:val="0"/>
                <w:numId w:val="256"/>
              </w:numPr>
              <w:rPr>
                <w:lang w:val="pt-PT" w:eastAsia="ja-JP"/>
              </w:rPr>
            </w:pPr>
            <w:r w:rsidRPr="00F1714B">
              <w:rPr>
                <w:lang w:val="pt-PT" w:eastAsia="ja-JP"/>
              </w:rPr>
              <w:t>Exige pelo menos 4 consultas públicas na elaboração do PAR;</w:t>
            </w:r>
          </w:p>
          <w:p w14:paraId="617F5E1D" w14:textId="77777777" w:rsidR="0025577E" w:rsidRPr="00F1714B" w:rsidRDefault="0025577E" w:rsidP="0025577E">
            <w:pPr>
              <w:numPr>
                <w:ilvl w:val="0"/>
                <w:numId w:val="256"/>
              </w:numPr>
              <w:rPr>
                <w:lang w:val="pt-PT" w:eastAsia="ja-JP"/>
              </w:rPr>
            </w:pPr>
            <w:r w:rsidRPr="00F1714B">
              <w:rPr>
                <w:lang w:val="pt-PT" w:eastAsia="ja-JP"/>
              </w:rPr>
              <w:lastRenderedPageBreak/>
              <w:t xml:space="preserve">As consultas públicas devem durar no mínimo 30 dias. </w:t>
            </w:r>
          </w:p>
          <w:p w14:paraId="6E4A5D2B" w14:textId="77777777" w:rsidR="0025577E" w:rsidRPr="00F1714B" w:rsidRDefault="0025577E" w:rsidP="0025577E">
            <w:pPr>
              <w:numPr>
                <w:ilvl w:val="0"/>
                <w:numId w:val="256"/>
              </w:numPr>
              <w:rPr>
                <w:lang w:val="pt-PT" w:eastAsia="ja-JP"/>
              </w:rPr>
            </w:pPr>
            <w:r w:rsidRPr="00F1714B">
              <w:rPr>
                <w:lang w:val="pt-PT" w:eastAsia="ja-JP"/>
              </w:rPr>
              <w:t xml:space="preserve">Diploma Ministerial </w:t>
            </w:r>
            <w:proofErr w:type="spellStart"/>
            <w:r w:rsidRPr="00F1714B">
              <w:rPr>
                <w:lang w:val="pt-PT" w:eastAsia="ja-JP"/>
              </w:rPr>
              <w:t>nr</w:t>
            </w:r>
            <w:proofErr w:type="spellEnd"/>
            <w:r w:rsidRPr="00F1714B">
              <w:rPr>
                <w:lang w:val="pt-PT" w:eastAsia="ja-JP"/>
              </w:rPr>
              <w:t xml:space="preserve">. 130/2006 de 19 de </w:t>
            </w:r>
            <w:proofErr w:type="gramStart"/>
            <w:r w:rsidRPr="00F1714B">
              <w:rPr>
                <w:lang w:val="pt-PT" w:eastAsia="ja-JP"/>
              </w:rPr>
              <w:t>Julho</w:t>
            </w:r>
            <w:proofErr w:type="gramEnd"/>
            <w:r w:rsidRPr="00F1714B">
              <w:rPr>
                <w:lang w:val="pt-PT" w:eastAsia="ja-JP"/>
              </w:rPr>
              <w:t xml:space="preserve"> define o processo de consulta publica para o processo de AIA para as categorias A+, A e B, e principalmente em </w:t>
            </w:r>
            <w:proofErr w:type="spellStart"/>
            <w:r w:rsidRPr="00F1714B">
              <w:rPr>
                <w:lang w:val="pt-PT" w:eastAsia="ja-JP"/>
              </w:rPr>
              <w:t>actividades</w:t>
            </w:r>
            <w:proofErr w:type="spellEnd"/>
            <w:r w:rsidRPr="00F1714B">
              <w:rPr>
                <w:lang w:val="pt-PT" w:eastAsia="ja-JP"/>
              </w:rPr>
              <w:t xml:space="preserve"> que envolvem o reassentamento. Deve-se respeitar a opinião dos afetados e criar condições para recolher as reclamações durante este processo. </w:t>
            </w:r>
            <w:r w:rsidRPr="00F1714B">
              <w:rPr>
                <w:lang w:val="en-US" w:eastAsia="ja-JP"/>
              </w:rPr>
              <w:t xml:space="preserve">O </w:t>
            </w:r>
            <w:proofErr w:type="spellStart"/>
            <w:r w:rsidRPr="00F1714B">
              <w:rPr>
                <w:lang w:val="en-US" w:eastAsia="ja-JP"/>
              </w:rPr>
              <w:t>mesmo</w:t>
            </w:r>
            <w:proofErr w:type="spellEnd"/>
            <w:r w:rsidRPr="00F1714B">
              <w:rPr>
                <w:lang w:val="en-US" w:eastAsia="ja-JP"/>
              </w:rPr>
              <w:t xml:space="preserve"> é </w:t>
            </w:r>
            <w:proofErr w:type="spellStart"/>
            <w:r w:rsidRPr="00F1714B">
              <w:rPr>
                <w:lang w:val="en-US" w:eastAsia="ja-JP"/>
              </w:rPr>
              <w:t>reforçado</w:t>
            </w:r>
            <w:proofErr w:type="spellEnd"/>
            <w:r w:rsidRPr="00F1714B">
              <w:rPr>
                <w:lang w:val="en-US" w:eastAsia="ja-JP"/>
              </w:rPr>
              <w:t xml:space="preserve"> no </w:t>
            </w:r>
            <w:proofErr w:type="spellStart"/>
            <w:r w:rsidRPr="00F1714B">
              <w:rPr>
                <w:lang w:val="en-US" w:eastAsia="ja-JP"/>
              </w:rPr>
              <w:t>Decreto</w:t>
            </w:r>
            <w:proofErr w:type="spellEnd"/>
            <w:r w:rsidRPr="00F1714B">
              <w:rPr>
                <w:lang w:val="en-US" w:eastAsia="ja-JP"/>
              </w:rPr>
              <w:t xml:space="preserve"> 54/2015 de 31 de </w:t>
            </w:r>
            <w:proofErr w:type="spellStart"/>
            <w:r w:rsidRPr="00F1714B">
              <w:rPr>
                <w:lang w:val="en-US" w:eastAsia="ja-JP"/>
              </w:rPr>
              <w:t>Dezembro</w:t>
            </w:r>
            <w:proofErr w:type="spellEnd"/>
            <w:r w:rsidRPr="00F1714B">
              <w:rPr>
                <w:lang w:val="en-US" w:eastAsia="ja-JP"/>
              </w:rPr>
              <w:t>.</w:t>
            </w:r>
          </w:p>
        </w:tc>
        <w:tc>
          <w:tcPr>
            <w:tcW w:w="1224" w:type="pct"/>
          </w:tcPr>
          <w:p w14:paraId="35E52445" w14:textId="77777777" w:rsidR="0025577E" w:rsidRPr="00F1714B" w:rsidRDefault="0025577E" w:rsidP="0025577E">
            <w:pPr>
              <w:numPr>
                <w:ilvl w:val="0"/>
                <w:numId w:val="256"/>
              </w:numPr>
              <w:rPr>
                <w:lang w:val="pt-PT" w:eastAsia="ja-JP"/>
              </w:rPr>
            </w:pPr>
            <w:r w:rsidRPr="00F1714B">
              <w:rPr>
                <w:lang w:val="pt-PT" w:eastAsia="ja-JP"/>
              </w:rPr>
              <w:lastRenderedPageBreak/>
              <w:t xml:space="preserve">O regulamento apenas prevê engajamento com as partes durante a AIA e elaboração do PAR e não durante o curso/operação e o encerramento do </w:t>
            </w:r>
            <w:proofErr w:type="spellStart"/>
            <w:r w:rsidRPr="00F1714B">
              <w:rPr>
                <w:lang w:val="pt-PT" w:eastAsia="ja-JP"/>
              </w:rPr>
              <w:t>projecto</w:t>
            </w:r>
            <w:proofErr w:type="spellEnd"/>
            <w:r w:rsidRPr="00F1714B">
              <w:rPr>
                <w:lang w:val="pt-PT" w:eastAsia="ja-JP"/>
              </w:rPr>
              <w:t xml:space="preserve">, como o exigido pela NAS10. </w:t>
            </w:r>
          </w:p>
          <w:p w14:paraId="32AD4967" w14:textId="77777777" w:rsidR="0025577E" w:rsidRPr="00F1714B" w:rsidRDefault="0025577E" w:rsidP="0025577E">
            <w:pPr>
              <w:numPr>
                <w:ilvl w:val="0"/>
                <w:numId w:val="256"/>
              </w:numPr>
              <w:rPr>
                <w:lang w:val="pt-PT" w:eastAsia="ja-JP"/>
              </w:rPr>
            </w:pPr>
            <w:r w:rsidRPr="00F1714B">
              <w:rPr>
                <w:lang w:val="pt-PT" w:eastAsia="ja-JP"/>
              </w:rPr>
              <w:lastRenderedPageBreak/>
              <w:t xml:space="preserve">O Regulamento não exige o estabelecimento de um mecanismo de resolução de queixas. </w:t>
            </w:r>
          </w:p>
          <w:p w14:paraId="3CE5C232" w14:textId="77777777" w:rsidR="0025577E" w:rsidRPr="00F1714B" w:rsidRDefault="0025577E" w:rsidP="0025577E">
            <w:pPr>
              <w:numPr>
                <w:ilvl w:val="0"/>
                <w:numId w:val="256"/>
              </w:numPr>
              <w:rPr>
                <w:lang w:val="pt-PT" w:eastAsia="ja-JP"/>
              </w:rPr>
            </w:pPr>
            <w:r w:rsidRPr="00F1714B">
              <w:rPr>
                <w:lang w:val="pt-PT" w:eastAsia="ja-JP"/>
              </w:rPr>
              <w:t>A NAS10 deverá ser seguida nem a elaboração do PEPI</w:t>
            </w:r>
          </w:p>
        </w:tc>
        <w:tc>
          <w:tcPr>
            <w:tcW w:w="1378" w:type="pct"/>
          </w:tcPr>
          <w:p w14:paraId="5557C078" w14:textId="77777777" w:rsidR="0025577E" w:rsidRPr="00F1714B" w:rsidRDefault="0025577E" w:rsidP="0025577E">
            <w:pPr>
              <w:numPr>
                <w:ilvl w:val="0"/>
                <w:numId w:val="256"/>
              </w:numPr>
              <w:rPr>
                <w:lang w:val="pt-PT" w:eastAsia="ja-JP"/>
              </w:rPr>
            </w:pPr>
          </w:p>
        </w:tc>
      </w:tr>
      <w:bookmarkEnd w:id="77"/>
    </w:tbl>
    <w:p w14:paraId="4ACF3D82" w14:textId="0B7771A2" w:rsidR="00411098" w:rsidRDefault="00411098" w:rsidP="00941934">
      <w:pPr>
        <w:ind w:left="-1080" w:right="-946"/>
        <w:rPr>
          <w:lang w:val="pt-PT" w:eastAsia="ja-JP"/>
        </w:rPr>
      </w:pPr>
    </w:p>
    <w:p w14:paraId="3C3766F6" w14:textId="77777777" w:rsidR="00F1714B" w:rsidRDefault="00F1714B" w:rsidP="00411098">
      <w:pPr>
        <w:ind w:left="-1080" w:right="-946"/>
        <w:rPr>
          <w:lang w:val="pt-PT" w:eastAsia="ja-JP"/>
        </w:rPr>
        <w:sectPr w:rsidR="00F1714B" w:rsidSect="00941934">
          <w:pgSz w:w="16838" w:h="11906" w:orient="landscape"/>
          <w:pgMar w:top="1701" w:right="1417" w:bottom="1701" w:left="1417" w:header="708" w:footer="708"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p>
    <w:p w14:paraId="5CC02EA0" w14:textId="058919B4" w:rsidR="00597627" w:rsidRPr="00292532" w:rsidRDefault="00A37A8C" w:rsidP="00B31E2E">
      <w:pPr>
        <w:pStyle w:val="Heading1"/>
        <w:rPr>
          <w:lang w:val="pt-PT"/>
        </w:rPr>
      </w:pPr>
      <w:bookmarkStart w:id="78" w:name="_Toc80379947"/>
      <w:r w:rsidRPr="00292532">
        <w:rPr>
          <w:lang w:val="pt-PT"/>
        </w:rPr>
        <w:lastRenderedPageBreak/>
        <w:t>Caracterização Geral da Situação de Referência</w:t>
      </w:r>
      <w:bookmarkEnd w:id="78"/>
    </w:p>
    <w:p w14:paraId="6049F20D" w14:textId="1178A910" w:rsidR="00A37A8C" w:rsidRPr="00292532" w:rsidRDefault="00A37A8C" w:rsidP="00A37A8C">
      <w:pPr>
        <w:rPr>
          <w:lang w:val="pt-PT"/>
        </w:rPr>
      </w:pPr>
    </w:p>
    <w:p w14:paraId="5CFA8BA0" w14:textId="1AE771E2" w:rsidR="00A37A8C" w:rsidRPr="00292532" w:rsidRDefault="00A37A8C" w:rsidP="00A37A8C">
      <w:pPr>
        <w:pStyle w:val="Heading2"/>
      </w:pPr>
      <w:bookmarkStart w:id="79" w:name="_Toc80379948"/>
      <w:r w:rsidRPr="00292532">
        <w:t>Caracterização Ambiental</w:t>
      </w:r>
      <w:bookmarkEnd w:id="79"/>
    </w:p>
    <w:p w14:paraId="2B1E2DDA" w14:textId="1E7E9943" w:rsidR="00A37A8C" w:rsidRPr="00292532" w:rsidRDefault="00A37A8C" w:rsidP="00A37A8C">
      <w:pPr>
        <w:rPr>
          <w:lang w:val="pt-PT" w:eastAsia="ja-JP"/>
        </w:rPr>
      </w:pPr>
      <w:r w:rsidRPr="00292532">
        <w:rPr>
          <w:lang w:val="pt-PT" w:eastAsia="ja-JP"/>
        </w:rPr>
        <w:t xml:space="preserve">A caracterização da situação de referência apresentada baseia-se na análise e descrição da área de abrangência do </w:t>
      </w:r>
      <w:proofErr w:type="spellStart"/>
      <w:r w:rsidRPr="00292532">
        <w:rPr>
          <w:lang w:val="pt-PT" w:eastAsia="ja-JP"/>
        </w:rPr>
        <w:t>projecto</w:t>
      </w:r>
      <w:proofErr w:type="spellEnd"/>
      <w:r w:rsidRPr="00292532">
        <w:rPr>
          <w:lang w:val="pt-PT" w:eastAsia="ja-JP"/>
        </w:rPr>
        <w:t xml:space="preserve"> em análise, tendo-se baseado no Levantamento e análise de informações existentes, disponíveis e sistematizadas sobre os diversos </w:t>
      </w:r>
      <w:proofErr w:type="spellStart"/>
      <w:r w:rsidRPr="00292532">
        <w:rPr>
          <w:lang w:val="pt-PT" w:eastAsia="ja-JP"/>
        </w:rPr>
        <w:t>aspectos</w:t>
      </w:r>
      <w:proofErr w:type="spellEnd"/>
      <w:r w:rsidRPr="00292532">
        <w:rPr>
          <w:lang w:val="pt-PT" w:eastAsia="ja-JP"/>
        </w:rPr>
        <w:t xml:space="preserve"> ambientais, obtidas através da consulta de dados e documentos disponíveis. </w:t>
      </w:r>
    </w:p>
    <w:p w14:paraId="3FD1DFE8" w14:textId="23D8C241" w:rsidR="00A37A8C" w:rsidRPr="00292532" w:rsidRDefault="00A37A8C">
      <w:pPr>
        <w:pStyle w:val="Heading3"/>
        <w:rPr>
          <w:lang w:eastAsia="ja-JP"/>
        </w:rPr>
      </w:pPr>
      <w:bookmarkStart w:id="80" w:name="_Toc80379949"/>
      <w:r w:rsidRPr="00292532">
        <w:rPr>
          <w:lang w:eastAsia="ja-JP"/>
        </w:rPr>
        <w:t>Geologia e Geomorfologia</w:t>
      </w:r>
      <w:bookmarkEnd w:id="80"/>
    </w:p>
    <w:p w14:paraId="6D0C26B9" w14:textId="2CBFDACE" w:rsidR="00A37A8C" w:rsidRPr="00292532" w:rsidRDefault="00A37A8C" w:rsidP="00A37A8C">
      <w:pPr>
        <w:rPr>
          <w:lang w:val="pt-PT" w:eastAsia="ja-JP"/>
        </w:rPr>
      </w:pPr>
      <w:bookmarkStart w:id="81" w:name="_Hlk75442060"/>
      <w:r w:rsidRPr="00292532">
        <w:rPr>
          <w:lang w:val="pt-PT" w:eastAsia="ja-JP"/>
        </w:rPr>
        <w:t xml:space="preserve">A área do </w:t>
      </w:r>
      <w:proofErr w:type="spellStart"/>
      <w:r w:rsidRPr="00292532">
        <w:rPr>
          <w:lang w:val="pt-PT" w:eastAsia="ja-JP"/>
        </w:rPr>
        <w:t>projecto</w:t>
      </w:r>
      <w:proofErr w:type="spellEnd"/>
      <w:r w:rsidRPr="00292532">
        <w:rPr>
          <w:lang w:val="pt-PT" w:eastAsia="ja-JP"/>
        </w:rPr>
        <w:t xml:space="preserve"> enquadra-se numa porção de Moçambique Setentrional, onde abrange toda a área compreendida entre o </w:t>
      </w:r>
      <w:r w:rsidR="00F478F5" w:rsidRPr="00292532">
        <w:rPr>
          <w:lang w:val="pt-PT" w:eastAsia="ja-JP"/>
        </w:rPr>
        <w:t>R</w:t>
      </w:r>
      <w:r w:rsidRPr="00292532">
        <w:rPr>
          <w:lang w:val="pt-PT" w:eastAsia="ja-JP"/>
        </w:rPr>
        <w:t xml:space="preserve">io </w:t>
      </w:r>
      <w:r w:rsidR="005D718E">
        <w:rPr>
          <w:lang w:val="pt-PT" w:eastAsia="ja-JP"/>
        </w:rPr>
        <w:t xml:space="preserve">Lúrio, que separa a </w:t>
      </w:r>
      <w:proofErr w:type="spellStart"/>
      <w:r w:rsidR="005D718E">
        <w:rPr>
          <w:lang w:val="pt-PT" w:eastAsia="ja-JP"/>
        </w:rPr>
        <w:t>Provincia</w:t>
      </w:r>
      <w:proofErr w:type="spellEnd"/>
      <w:r w:rsidR="005D718E">
        <w:rPr>
          <w:lang w:val="pt-PT" w:eastAsia="ja-JP"/>
        </w:rPr>
        <w:t xml:space="preserve"> de Nampula as </w:t>
      </w:r>
      <w:proofErr w:type="spellStart"/>
      <w:r w:rsidR="005D718E">
        <w:rPr>
          <w:lang w:val="pt-PT" w:eastAsia="ja-JP"/>
        </w:rPr>
        <w:t>Provincia</w:t>
      </w:r>
      <w:proofErr w:type="spellEnd"/>
      <w:r w:rsidR="005D718E">
        <w:rPr>
          <w:lang w:val="pt-PT" w:eastAsia="ja-JP"/>
        </w:rPr>
        <w:t xml:space="preserve"> </w:t>
      </w:r>
      <w:proofErr w:type="spellStart"/>
      <w:r w:rsidR="005D718E">
        <w:rPr>
          <w:lang w:val="pt-PT" w:eastAsia="ja-JP"/>
        </w:rPr>
        <w:t>sde</w:t>
      </w:r>
      <w:proofErr w:type="spellEnd"/>
      <w:r w:rsidR="005D718E">
        <w:rPr>
          <w:lang w:val="pt-PT" w:eastAsia="ja-JP"/>
        </w:rPr>
        <w:t xml:space="preserve"> Cabo Delgado e Niassa</w:t>
      </w:r>
      <w:r w:rsidRPr="00292532">
        <w:rPr>
          <w:lang w:val="pt-PT" w:eastAsia="ja-JP"/>
        </w:rPr>
        <w:t xml:space="preserve">, ao Norte, e a bacia do </w:t>
      </w:r>
      <w:r w:rsidR="00F478F5" w:rsidRPr="00292532">
        <w:rPr>
          <w:lang w:val="pt-PT" w:eastAsia="ja-JP"/>
        </w:rPr>
        <w:t>R</w:t>
      </w:r>
      <w:r w:rsidRPr="00292532">
        <w:rPr>
          <w:lang w:val="pt-PT" w:eastAsia="ja-JP"/>
        </w:rPr>
        <w:t>io Zambeze ao sul. De grosso modo, esta região apresenta variedades de formas superficiais dando origem às várias paisagens</w:t>
      </w:r>
      <w:bookmarkEnd w:id="81"/>
      <w:r w:rsidRPr="00292532">
        <w:rPr>
          <w:lang w:val="pt-PT" w:eastAsia="ja-JP"/>
        </w:rPr>
        <w:t xml:space="preserve">. </w:t>
      </w:r>
    </w:p>
    <w:p w14:paraId="610F4CF6" w14:textId="75DF9608" w:rsidR="00A37A8C" w:rsidRPr="00292532" w:rsidRDefault="00A37A8C" w:rsidP="00A37A8C">
      <w:pPr>
        <w:rPr>
          <w:lang w:val="pt-PT" w:eastAsia="ja-JP"/>
        </w:rPr>
      </w:pPr>
      <w:r w:rsidRPr="00292532">
        <w:rPr>
          <w:lang w:val="pt-PT" w:eastAsia="ja-JP"/>
        </w:rPr>
        <w:t xml:space="preserve">Conforme se apresenta na </w:t>
      </w:r>
      <w:r w:rsidRPr="00292532">
        <w:rPr>
          <w:b/>
          <w:bCs/>
          <w:lang w:val="pt-PT" w:eastAsia="ja-JP"/>
        </w:rPr>
        <w:fldChar w:fldCharType="begin"/>
      </w:r>
      <w:r w:rsidRPr="00292532">
        <w:rPr>
          <w:b/>
          <w:bCs/>
          <w:lang w:val="pt-PT" w:eastAsia="ja-JP"/>
        </w:rPr>
        <w:instrText xml:space="preserve"> REF _Ref72946185 \h  \* MERGEFORMAT </w:instrText>
      </w:r>
      <w:r w:rsidRPr="00292532">
        <w:rPr>
          <w:b/>
          <w:bCs/>
          <w:lang w:val="pt-PT" w:eastAsia="ja-JP"/>
        </w:rPr>
      </w:r>
      <w:r w:rsidRPr="00292532">
        <w:rPr>
          <w:b/>
          <w:bCs/>
          <w:lang w:val="pt-PT" w:eastAsia="ja-JP"/>
        </w:rPr>
        <w:fldChar w:fldCharType="separate"/>
      </w:r>
      <w:r w:rsidRPr="00292532">
        <w:rPr>
          <w:b/>
          <w:bCs/>
          <w:lang w:val="pt-PT"/>
        </w:rPr>
        <w:t xml:space="preserve">Figura </w:t>
      </w:r>
      <w:r w:rsidRPr="00292532">
        <w:rPr>
          <w:b/>
          <w:bCs/>
          <w:noProof/>
          <w:lang w:val="pt-PT"/>
        </w:rPr>
        <w:t>2</w:t>
      </w:r>
      <w:r w:rsidRPr="00292532">
        <w:rPr>
          <w:b/>
          <w:bCs/>
          <w:lang w:val="pt-PT" w:eastAsia="ja-JP"/>
        </w:rPr>
        <w:fldChar w:fldCharType="end"/>
      </w:r>
      <w:r w:rsidRPr="00292532">
        <w:rPr>
          <w:lang w:val="pt-PT" w:eastAsia="ja-JP"/>
        </w:rPr>
        <w:t xml:space="preserve">, abaixo, ao longo da área do </w:t>
      </w:r>
      <w:proofErr w:type="spellStart"/>
      <w:r w:rsidRPr="00292532">
        <w:rPr>
          <w:lang w:val="pt-PT" w:eastAsia="ja-JP"/>
        </w:rPr>
        <w:t>projecto</w:t>
      </w:r>
      <w:proofErr w:type="spellEnd"/>
      <w:r w:rsidRPr="00292532">
        <w:rPr>
          <w:lang w:val="pt-PT" w:eastAsia="ja-JP"/>
        </w:rPr>
        <w:t xml:space="preserve"> predominam as rochas vulcânicas sedimentares do </w:t>
      </w:r>
      <w:proofErr w:type="spellStart"/>
      <w:r w:rsidRPr="00292532">
        <w:rPr>
          <w:lang w:val="pt-PT" w:eastAsia="ja-JP"/>
        </w:rPr>
        <w:t>Karroo</w:t>
      </w:r>
      <w:proofErr w:type="spellEnd"/>
      <w:r w:rsidRPr="00292532">
        <w:rPr>
          <w:lang w:val="pt-PT" w:eastAsia="ja-JP"/>
        </w:rPr>
        <w:t xml:space="preserve">, incluindo as do </w:t>
      </w:r>
      <w:r w:rsidR="00D9688F" w:rsidRPr="00292532">
        <w:rPr>
          <w:lang w:val="pt-PT" w:eastAsia="ja-JP"/>
        </w:rPr>
        <w:t>mesozoico</w:t>
      </w:r>
      <w:r w:rsidRPr="00292532">
        <w:rPr>
          <w:lang w:val="pt-PT" w:eastAsia="ja-JP"/>
        </w:rPr>
        <w:t xml:space="preserve"> normalmente designadas por pós </w:t>
      </w:r>
      <w:proofErr w:type="spellStart"/>
      <w:r w:rsidRPr="00292532">
        <w:rPr>
          <w:lang w:val="pt-PT" w:eastAsia="ja-JP"/>
        </w:rPr>
        <w:t>Karroo</w:t>
      </w:r>
      <w:proofErr w:type="spellEnd"/>
      <w:r w:rsidRPr="00292532">
        <w:rPr>
          <w:lang w:val="pt-PT" w:eastAsia="ja-JP"/>
        </w:rPr>
        <w:t xml:space="preserve">. Geologicamente é dominada por gnaisses Meso </w:t>
      </w:r>
      <w:r w:rsidR="00D9688F" w:rsidRPr="00292532">
        <w:rPr>
          <w:lang w:val="pt-PT" w:eastAsia="ja-JP"/>
        </w:rPr>
        <w:t>proterozoicos</w:t>
      </w:r>
      <w:r w:rsidRPr="00292532">
        <w:rPr>
          <w:lang w:val="pt-PT" w:eastAsia="ja-JP"/>
        </w:rPr>
        <w:t xml:space="preserve"> de médio a alto grau de metamorfismo pertencentes ao Complexo de Nampula (CGS, 2006). Estas rochas fazem parte do Complexo de Nampula que é uma subdivisão </w:t>
      </w:r>
      <w:r w:rsidR="00D9688F" w:rsidRPr="00292532">
        <w:rPr>
          <w:lang w:val="pt-PT" w:eastAsia="ja-JP"/>
        </w:rPr>
        <w:t>tectónio</w:t>
      </w:r>
      <w:r w:rsidRPr="00292532">
        <w:rPr>
          <w:lang w:val="pt-PT" w:eastAsia="ja-JP"/>
        </w:rPr>
        <w:t>-estratigráfica do Cinturão Orogénico de Moçambique (</w:t>
      </w:r>
      <w:r w:rsidRPr="00292532">
        <w:rPr>
          <w:i/>
          <w:iCs/>
          <w:lang w:val="pt-PT" w:eastAsia="ja-JP"/>
        </w:rPr>
        <w:t xml:space="preserve">Mozambique </w:t>
      </w:r>
      <w:proofErr w:type="spellStart"/>
      <w:r w:rsidRPr="00292532">
        <w:rPr>
          <w:i/>
          <w:iCs/>
          <w:lang w:val="pt-PT" w:eastAsia="ja-JP"/>
        </w:rPr>
        <w:t>Belt</w:t>
      </w:r>
      <w:proofErr w:type="spellEnd"/>
      <w:r w:rsidRPr="00292532">
        <w:rPr>
          <w:lang w:val="pt-PT" w:eastAsia="ja-JP"/>
        </w:rPr>
        <w:t xml:space="preserve">). Na </w:t>
      </w:r>
      <w:r w:rsidR="00F478F5" w:rsidRPr="00292532">
        <w:rPr>
          <w:lang w:val="pt-PT" w:eastAsia="ja-JP"/>
        </w:rPr>
        <w:t>P</w:t>
      </w:r>
      <w:r w:rsidRPr="00292532">
        <w:rPr>
          <w:lang w:val="pt-PT" w:eastAsia="ja-JP"/>
        </w:rPr>
        <w:t xml:space="preserve">rovíncia da Zambézia as litologias do </w:t>
      </w:r>
      <w:proofErr w:type="spellStart"/>
      <w:r w:rsidRPr="00292532">
        <w:rPr>
          <w:lang w:val="pt-PT" w:eastAsia="ja-JP"/>
        </w:rPr>
        <w:t>Karoo</w:t>
      </w:r>
      <w:proofErr w:type="spellEnd"/>
      <w:r w:rsidRPr="00292532">
        <w:rPr>
          <w:lang w:val="pt-PT" w:eastAsia="ja-JP"/>
        </w:rPr>
        <w:t xml:space="preserve"> Superior ocorrem na Formação (Basáltica) de </w:t>
      </w:r>
      <w:proofErr w:type="spellStart"/>
      <w:r w:rsidRPr="00292532">
        <w:rPr>
          <w:lang w:val="pt-PT" w:eastAsia="ja-JP"/>
        </w:rPr>
        <w:t>Chueza</w:t>
      </w:r>
      <w:proofErr w:type="spellEnd"/>
      <w:r w:rsidRPr="00292532">
        <w:rPr>
          <w:lang w:val="pt-PT" w:eastAsia="ja-JP"/>
        </w:rPr>
        <w:t>.</w:t>
      </w:r>
    </w:p>
    <w:p w14:paraId="3B437D2C" w14:textId="11840E42" w:rsidR="00A37A8C" w:rsidRPr="00292532" w:rsidRDefault="00BD0602" w:rsidP="00A37A8C">
      <w:pPr>
        <w:rPr>
          <w:lang w:val="pt-PT" w:eastAsia="ja-JP"/>
        </w:rPr>
      </w:pPr>
      <w:r w:rsidRPr="00EC2545">
        <w:rPr>
          <w:noProof/>
          <w:lang w:val="en-US"/>
        </w:rPr>
        <w:drawing>
          <wp:inline distT="0" distB="0" distL="0" distR="0" wp14:anchorId="4CF9C34C" wp14:editId="7B33B1FB">
            <wp:extent cx="5400040" cy="3568391"/>
            <wp:effectExtent l="0" t="0" r="0" b="0"/>
            <wp:docPr id="285" name="Picture 285" descr="C:\Users\25882\Desktop\LigaMoz project\AIA\Mapas\Mapa geologic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5882\Desktop\LigaMoz project\AIA\Mapas\Mapa geologico_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1231" cy="3569178"/>
                    </a:xfrm>
                    <a:prstGeom prst="rect">
                      <a:avLst/>
                    </a:prstGeom>
                    <a:noFill/>
                    <a:ln>
                      <a:noFill/>
                    </a:ln>
                  </pic:spPr>
                </pic:pic>
              </a:graphicData>
            </a:graphic>
          </wp:inline>
        </w:drawing>
      </w:r>
    </w:p>
    <w:p w14:paraId="62F8807C" w14:textId="4489A156" w:rsidR="00A37A8C" w:rsidRPr="00292532" w:rsidRDefault="00A37A8C" w:rsidP="00A37A8C">
      <w:pPr>
        <w:pStyle w:val="Caption"/>
      </w:pPr>
      <w:bookmarkStart w:id="82" w:name="_Ref72946185"/>
      <w:bookmarkStart w:id="83" w:name="_Toc80380225"/>
      <w:r w:rsidRPr="00292532">
        <w:t xml:space="preserve">Figura </w:t>
      </w:r>
      <w:r w:rsidRPr="00292532">
        <w:fldChar w:fldCharType="begin"/>
      </w:r>
      <w:r w:rsidRPr="00292532">
        <w:instrText xml:space="preserve"> SEQ Figura \* ARABIC </w:instrText>
      </w:r>
      <w:r w:rsidRPr="00292532">
        <w:fldChar w:fldCharType="separate"/>
      </w:r>
      <w:r w:rsidR="00A74521" w:rsidRPr="00292532">
        <w:rPr>
          <w:noProof/>
        </w:rPr>
        <w:t>2</w:t>
      </w:r>
      <w:r w:rsidRPr="00292532">
        <w:fldChar w:fldCharType="end"/>
      </w:r>
      <w:bookmarkEnd w:id="82"/>
      <w:r w:rsidRPr="00292532">
        <w:t xml:space="preserve">: Estrutura geológica da área de </w:t>
      </w:r>
      <w:r w:rsidR="00D9688F" w:rsidRPr="00292532">
        <w:t>abrangência</w:t>
      </w:r>
      <w:r w:rsidRPr="00292532">
        <w:t xml:space="preserve"> do </w:t>
      </w:r>
      <w:proofErr w:type="spellStart"/>
      <w:r w:rsidRPr="00292532">
        <w:t>projecto</w:t>
      </w:r>
      <w:bookmarkEnd w:id="83"/>
      <w:proofErr w:type="spellEnd"/>
    </w:p>
    <w:p w14:paraId="30DE353F" w14:textId="26351A88" w:rsidR="00A37A8C" w:rsidRPr="00292532" w:rsidRDefault="00A37A8C" w:rsidP="00A37A8C">
      <w:pPr>
        <w:rPr>
          <w:lang w:val="pt-PT" w:eastAsia="ja-JP"/>
        </w:rPr>
      </w:pPr>
      <w:bookmarkStart w:id="84" w:name="_Hlk75442112"/>
      <w:r w:rsidRPr="00292532">
        <w:rPr>
          <w:lang w:val="pt-PT" w:eastAsia="ja-JP"/>
        </w:rPr>
        <w:lastRenderedPageBreak/>
        <w:t xml:space="preserve">Pela sua </w:t>
      </w:r>
      <w:proofErr w:type="spellStart"/>
      <w:r w:rsidRPr="00292532">
        <w:rPr>
          <w:lang w:val="pt-PT" w:eastAsia="ja-JP"/>
        </w:rPr>
        <w:t>morfoestrutura</w:t>
      </w:r>
      <w:proofErr w:type="spellEnd"/>
      <w:r w:rsidR="00D21008" w:rsidRPr="00292532">
        <w:rPr>
          <w:lang w:val="pt-PT" w:eastAsia="ja-JP"/>
        </w:rPr>
        <w:t>,</w:t>
      </w:r>
      <w:r w:rsidRPr="00292532">
        <w:rPr>
          <w:lang w:val="pt-PT" w:eastAsia="ja-JP"/>
        </w:rPr>
        <w:t xml:space="preserve"> </w:t>
      </w:r>
      <w:r w:rsidR="00BD0602" w:rsidRPr="00292532">
        <w:rPr>
          <w:lang w:val="pt-PT" w:eastAsia="ja-JP"/>
        </w:rPr>
        <w:t xml:space="preserve">as superfícies de cumes e cristas, de origem intrusivo-tectónica e erosivo-desnudadas que ocorre ao longo das áreas selecionadas pelo </w:t>
      </w:r>
      <w:proofErr w:type="spellStart"/>
      <w:r w:rsidR="00292532" w:rsidRPr="00292532">
        <w:rPr>
          <w:lang w:val="pt-PT" w:eastAsia="ja-JP"/>
        </w:rPr>
        <w:t>projecto</w:t>
      </w:r>
      <w:proofErr w:type="spellEnd"/>
      <w:r w:rsidR="00292532" w:rsidRPr="00292532">
        <w:rPr>
          <w:lang w:val="pt-PT" w:eastAsia="ja-JP"/>
        </w:rPr>
        <w:t>, são</w:t>
      </w:r>
      <w:r w:rsidR="00BD0602" w:rsidRPr="00292532">
        <w:rPr>
          <w:lang w:val="pt-PT" w:eastAsia="ja-JP"/>
        </w:rPr>
        <w:t xml:space="preserve"> caracterizadas </w:t>
      </w:r>
      <w:r w:rsidRPr="00292532">
        <w:rPr>
          <w:lang w:val="pt-PT" w:eastAsia="ja-JP"/>
        </w:rPr>
        <w:t xml:space="preserve">por </w:t>
      </w:r>
      <w:proofErr w:type="spellStart"/>
      <w:r w:rsidRPr="00292532">
        <w:rPr>
          <w:lang w:val="pt-PT" w:eastAsia="ja-JP"/>
        </w:rPr>
        <w:t>inselbergs</w:t>
      </w:r>
      <w:proofErr w:type="spellEnd"/>
      <w:r w:rsidRPr="00292532">
        <w:rPr>
          <w:lang w:val="pt-PT" w:eastAsia="ja-JP"/>
        </w:rPr>
        <w:t xml:space="preserve"> graníticos (</w:t>
      </w:r>
      <w:r w:rsidR="00F478F5" w:rsidRPr="00292532">
        <w:rPr>
          <w:lang w:val="pt-PT" w:eastAsia="ja-JP"/>
        </w:rPr>
        <w:t>D</w:t>
      </w:r>
      <w:r w:rsidRPr="00292532">
        <w:rPr>
          <w:lang w:val="pt-PT" w:eastAsia="ja-JP"/>
        </w:rPr>
        <w:t>istrito de Nampula), relevos esculpidos por desnudação (região de Ribaué</w:t>
      </w:r>
      <w:r w:rsidR="00BD0602" w:rsidRPr="00292532">
        <w:rPr>
          <w:lang w:val="pt-PT" w:eastAsia="ja-JP"/>
        </w:rPr>
        <w:t>-</w:t>
      </w:r>
      <w:proofErr w:type="spellStart"/>
      <w:r w:rsidR="00BD0602" w:rsidRPr="00292532">
        <w:rPr>
          <w:lang w:val="pt-PT" w:eastAsia="ja-JP"/>
        </w:rPr>
        <w:t>lalana</w:t>
      </w:r>
      <w:proofErr w:type="spellEnd"/>
      <w:r w:rsidRPr="00292532">
        <w:rPr>
          <w:lang w:val="pt-PT" w:eastAsia="ja-JP"/>
        </w:rPr>
        <w:t xml:space="preserve">), relevos suaves nas </w:t>
      </w:r>
      <w:r w:rsidR="00D9688F" w:rsidRPr="00292532">
        <w:rPr>
          <w:lang w:val="pt-PT" w:eastAsia="ja-JP"/>
        </w:rPr>
        <w:t>formações</w:t>
      </w:r>
      <w:r w:rsidRPr="00292532">
        <w:rPr>
          <w:lang w:val="pt-PT" w:eastAsia="ja-JP"/>
        </w:rPr>
        <w:t xml:space="preserve"> do </w:t>
      </w:r>
      <w:proofErr w:type="spellStart"/>
      <w:proofErr w:type="gramStart"/>
      <w:r w:rsidRPr="00292532">
        <w:rPr>
          <w:lang w:val="pt-PT" w:eastAsia="ja-JP"/>
        </w:rPr>
        <w:t>Karoo</w:t>
      </w:r>
      <w:proofErr w:type="spellEnd"/>
      <w:r w:rsidRPr="00292532">
        <w:rPr>
          <w:lang w:val="pt-PT" w:eastAsia="ja-JP"/>
        </w:rPr>
        <w:t xml:space="preserve"> </w:t>
      </w:r>
      <w:bookmarkEnd w:id="84"/>
      <w:r w:rsidR="00BD0602" w:rsidRPr="00292532">
        <w:rPr>
          <w:lang w:val="pt-PT" w:eastAsia="ja-JP"/>
        </w:rPr>
        <w:t xml:space="preserve"> no</w:t>
      </w:r>
      <w:proofErr w:type="gramEnd"/>
      <w:r w:rsidR="00BD0602" w:rsidRPr="00292532">
        <w:rPr>
          <w:lang w:val="pt-PT" w:eastAsia="ja-JP"/>
        </w:rPr>
        <w:t xml:space="preserve"> graben (fossa tectónica) de </w:t>
      </w:r>
      <w:proofErr w:type="spellStart"/>
      <w:r w:rsidR="00BD0602" w:rsidRPr="00292532">
        <w:rPr>
          <w:lang w:val="pt-PT" w:eastAsia="ja-JP"/>
        </w:rPr>
        <w:t>Mesinge</w:t>
      </w:r>
      <w:proofErr w:type="spellEnd"/>
      <w:r w:rsidR="00BD0602" w:rsidRPr="00292532">
        <w:rPr>
          <w:lang w:val="pt-PT" w:eastAsia="ja-JP"/>
        </w:rPr>
        <w:t xml:space="preserve"> e do Médio Zambeze.</w:t>
      </w:r>
      <w:r w:rsidRPr="00292532">
        <w:rPr>
          <w:lang w:val="pt-PT" w:eastAsia="ja-JP"/>
        </w:rPr>
        <w:t xml:space="preserve"> Também </w:t>
      </w:r>
      <w:r w:rsidR="00D9688F" w:rsidRPr="00292532">
        <w:rPr>
          <w:lang w:val="pt-PT" w:eastAsia="ja-JP"/>
        </w:rPr>
        <w:t>se descrevem</w:t>
      </w:r>
      <w:r w:rsidRPr="00292532">
        <w:rPr>
          <w:lang w:val="pt-PT" w:eastAsia="ja-JP"/>
        </w:rPr>
        <w:t xml:space="preserve"> grupos </w:t>
      </w:r>
      <w:proofErr w:type="spellStart"/>
      <w:r w:rsidRPr="00292532">
        <w:rPr>
          <w:lang w:val="pt-PT" w:eastAsia="ja-JP"/>
        </w:rPr>
        <w:t>morfoestruturais</w:t>
      </w:r>
      <w:proofErr w:type="spellEnd"/>
      <w:r w:rsidRPr="00292532">
        <w:rPr>
          <w:lang w:val="pt-PT" w:eastAsia="ja-JP"/>
        </w:rPr>
        <w:t xml:space="preserve"> como Vertentes, vales e fundos dos rios caracterizados por deslocamentos tectónicos-gravíticos, fundos e vertentes dos vales sem aluviões típicos (CGS, 2006).</w:t>
      </w:r>
    </w:p>
    <w:p w14:paraId="0F45C040" w14:textId="50252D08" w:rsidR="00D21008" w:rsidRPr="00292532" w:rsidRDefault="00D21008">
      <w:pPr>
        <w:pStyle w:val="Heading3"/>
        <w:rPr>
          <w:lang w:eastAsia="ja-JP"/>
        </w:rPr>
      </w:pPr>
      <w:bookmarkStart w:id="85" w:name="_Toc80379950"/>
      <w:r w:rsidRPr="00292532">
        <w:rPr>
          <w:lang w:eastAsia="ja-JP"/>
        </w:rPr>
        <w:t>Topografia</w:t>
      </w:r>
      <w:bookmarkEnd w:id="85"/>
    </w:p>
    <w:p w14:paraId="7E3FAA7A" w14:textId="54035DDE" w:rsidR="00A37A8C" w:rsidRPr="00292532" w:rsidRDefault="00A37A8C" w:rsidP="00A37A8C">
      <w:pPr>
        <w:rPr>
          <w:lang w:val="pt-PT" w:eastAsia="ja-JP"/>
        </w:rPr>
      </w:pPr>
      <w:bookmarkStart w:id="86" w:name="_Hlk75442127"/>
      <w:r w:rsidRPr="00292532">
        <w:rPr>
          <w:lang w:val="pt-PT" w:eastAsia="ja-JP"/>
        </w:rPr>
        <w:t>A topografia e o volume de águas afluente criam condições para a ocorrência de cheias, que se apresentam moderadas nas pequenas bacias costeiras da região norte</w:t>
      </w:r>
      <w:bookmarkEnd w:id="86"/>
      <w:r w:rsidRPr="00292532">
        <w:rPr>
          <w:lang w:val="pt-PT" w:eastAsia="ja-JP"/>
        </w:rPr>
        <w:t>. Segundo dados do MITADER (2015)</w:t>
      </w:r>
      <w:r w:rsidR="00C57AE6" w:rsidRPr="00292532">
        <w:rPr>
          <w:lang w:val="pt-PT" w:eastAsia="ja-JP"/>
        </w:rPr>
        <w:t xml:space="preserve"> a Bacia do Rio Zambeze tem registado cheias frequentes.</w:t>
      </w:r>
      <w:r w:rsidRPr="00292532">
        <w:rPr>
          <w:lang w:val="pt-PT" w:eastAsia="ja-JP"/>
        </w:rPr>
        <w:t xml:space="preserve"> As depressões e ciclones tropicais, geralmente acompanhados de chuvas intensas intensificam o risco de cheia. </w:t>
      </w:r>
      <w:bookmarkStart w:id="87" w:name="_Hlk75442162"/>
      <w:r w:rsidRPr="00292532">
        <w:rPr>
          <w:lang w:val="pt-PT" w:eastAsia="ja-JP"/>
        </w:rPr>
        <w:t xml:space="preserve">Predomina, ao longo da área do </w:t>
      </w:r>
      <w:proofErr w:type="spellStart"/>
      <w:r w:rsidRPr="00292532">
        <w:rPr>
          <w:lang w:val="pt-PT" w:eastAsia="ja-JP"/>
        </w:rPr>
        <w:t>projecto</w:t>
      </w:r>
      <w:proofErr w:type="spellEnd"/>
      <w:r w:rsidRPr="00292532">
        <w:rPr>
          <w:lang w:val="pt-PT" w:eastAsia="ja-JP"/>
        </w:rPr>
        <w:t xml:space="preserve">, o clima tropical húmido marcado por duas estações: fresca e seca (entre </w:t>
      </w:r>
      <w:proofErr w:type="gramStart"/>
      <w:r w:rsidRPr="00292532">
        <w:rPr>
          <w:lang w:val="pt-PT" w:eastAsia="ja-JP"/>
        </w:rPr>
        <w:t>Abril</w:t>
      </w:r>
      <w:proofErr w:type="gramEnd"/>
      <w:r w:rsidRPr="00292532">
        <w:rPr>
          <w:lang w:val="pt-PT" w:eastAsia="ja-JP"/>
        </w:rPr>
        <w:t xml:space="preserve"> e Setembro), e a quente húmida (Outubro a Março). Maioritariamente os distritos abrangidos situam-se em zonas de grandes </w:t>
      </w:r>
      <w:r w:rsidR="00D21008" w:rsidRPr="00292532">
        <w:rPr>
          <w:lang w:val="pt-PT" w:eastAsia="ja-JP"/>
        </w:rPr>
        <w:t>planícies</w:t>
      </w:r>
      <w:r w:rsidRPr="00292532">
        <w:rPr>
          <w:lang w:val="pt-PT" w:eastAsia="ja-JP"/>
        </w:rPr>
        <w:t xml:space="preserve"> costeiras, com altitudes inferior</w:t>
      </w:r>
      <w:r w:rsidR="00D21008" w:rsidRPr="00292532">
        <w:rPr>
          <w:lang w:val="pt-PT" w:eastAsia="ja-JP"/>
        </w:rPr>
        <w:t>e</w:t>
      </w:r>
      <w:r w:rsidRPr="00292532">
        <w:rPr>
          <w:lang w:val="pt-PT" w:eastAsia="ja-JP"/>
        </w:rPr>
        <w:t>s a 200 m. No entanto, mais para interior situam-se áreas de Montanha e planaltos</w:t>
      </w:r>
      <w:bookmarkEnd w:id="87"/>
      <w:r w:rsidRPr="00292532">
        <w:rPr>
          <w:lang w:val="pt-PT" w:eastAsia="ja-JP"/>
        </w:rPr>
        <w:t xml:space="preserve">. Na zona litoral, ocorrem areais de duna costeira e areia de praia, argila </w:t>
      </w:r>
      <w:proofErr w:type="spellStart"/>
      <w:r w:rsidRPr="00292532">
        <w:rPr>
          <w:lang w:val="pt-PT" w:eastAsia="ja-JP"/>
        </w:rPr>
        <w:t>fluvio</w:t>
      </w:r>
      <w:proofErr w:type="spellEnd"/>
      <w:r w:rsidRPr="00292532">
        <w:rPr>
          <w:lang w:val="pt-PT" w:eastAsia="ja-JP"/>
        </w:rPr>
        <w:t>-marinha e coluviões.</w:t>
      </w:r>
      <w:r w:rsidR="00381467" w:rsidRPr="00292532">
        <w:rPr>
          <w:lang w:val="pt-PT" w:eastAsia="ja-JP"/>
        </w:rPr>
        <w:t xml:space="preserve"> A </w:t>
      </w:r>
      <w:r w:rsidR="00381467" w:rsidRPr="00292532">
        <w:rPr>
          <w:b/>
          <w:bCs/>
          <w:lang w:val="pt-PT" w:eastAsia="ja-JP"/>
        </w:rPr>
        <w:fldChar w:fldCharType="begin"/>
      </w:r>
      <w:r w:rsidR="00381467" w:rsidRPr="00292532">
        <w:rPr>
          <w:b/>
          <w:bCs/>
          <w:lang w:val="pt-PT" w:eastAsia="ja-JP"/>
        </w:rPr>
        <w:instrText xml:space="preserve"> REF _Ref73609895 \h  \* MERGEFORMAT </w:instrText>
      </w:r>
      <w:r w:rsidR="00381467" w:rsidRPr="00292532">
        <w:rPr>
          <w:b/>
          <w:bCs/>
          <w:lang w:val="pt-PT" w:eastAsia="ja-JP"/>
        </w:rPr>
      </w:r>
      <w:r w:rsidR="00381467" w:rsidRPr="00292532">
        <w:rPr>
          <w:b/>
          <w:bCs/>
          <w:lang w:val="pt-PT" w:eastAsia="ja-JP"/>
        </w:rPr>
        <w:fldChar w:fldCharType="separate"/>
      </w:r>
      <w:r w:rsidR="00381467" w:rsidRPr="004500AE">
        <w:rPr>
          <w:b/>
          <w:bCs/>
          <w:lang w:val="pt-PT"/>
        </w:rPr>
        <w:t xml:space="preserve">Figura </w:t>
      </w:r>
      <w:r w:rsidR="00381467" w:rsidRPr="004500AE">
        <w:rPr>
          <w:b/>
          <w:bCs/>
          <w:noProof/>
          <w:lang w:val="pt-PT"/>
        </w:rPr>
        <w:t>3</w:t>
      </w:r>
      <w:r w:rsidR="00381467" w:rsidRPr="00292532">
        <w:rPr>
          <w:b/>
          <w:bCs/>
          <w:lang w:val="pt-PT" w:eastAsia="ja-JP"/>
        </w:rPr>
        <w:fldChar w:fldCharType="end"/>
      </w:r>
      <w:r w:rsidR="00381467" w:rsidRPr="00292532">
        <w:rPr>
          <w:lang w:val="pt-PT" w:eastAsia="ja-JP"/>
        </w:rPr>
        <w:t xml:space="preserve"> exibe a</w:t>
      </w:r>
      <w:r w:rsidR="00BD0602" w:rsidRPr="00292532">
        <w:rPr>
          <w:lang w:val="pt-PT" w:eastAsia="ja-JP"/>
        </w:rPr>
        <w:t xml:space="preserve"> variação</w:t>
      </w:r>
      <w:r w:rsidR="00381467" w:rsidRPr="00292532">
        <w:rPr>
          <w:lang w:val="pt-PT" w:eastAsia="ja-JP"/>
        </w:rPr>
        <w:t xml:space="preserve"> topogr</w:t>
      </w:r>
      <w:r w:rsidR="00BD0602" w:rsidRPr="00292532">
        <w:rPr>
          <w:lang w:val="pt-PT" w:eastAsia="ja-JP"/>
        </w:rPr>
        <w:t>á</w:t>
      </w:r>
      <w:r w:rsidR="00381467" w:rsidRPr="00292532">
        <w:rPr>
          <w:lang w:val="pt-PT" w:eastAsia="ja-JP"/>
        </w:rPr>
        <w:t>fi</w:t>
      </w:r>
      <w:r w:rsidR="00BD0602" w:rsidRPr="00292532">
        <w:rPr>
          <w:lang w:val="pt-PT" w:eastAsia="ja-JP"/>
        </w:rPr>
        <w:t>c</w:t>
      </w:r>
      <w:r w:rsidR="00381467" w:rsidRPr="00292532">
        <w:rPr>
          <w:lang w:val="pt-PT" w:eastAsia="ja-JP"/>
        </w:rPr>
        <w:t xml:space="preserve">a da área do </w:t>
      </w:r>
      <w:proofErr w:type="spellStart"/>
      <w:r w:rsidR="00381467" w:rsidRPr="00292532">
        <w:rPr>
          <w:lang w:val="pt-PT" w:eastAsia="ja-JP"/>
        </w:rPr>
        <w:t>Projecto</w:t>
      </w:r>
      <w:proofErr w:type="spellEnd"/>
      <w:r w:rsidR="00381467" w:rsidRPr="00292532">
        <w:rPr>
          <w:lang w:val="pt-PT" w:eastAsia="ja-JP"/>
        </w:rPr>
        <w:t xml:space="preserve">. </w:t>
      </w:r>
    </w:p>
    <w:p w14:paraId="0F311980" w14:textId="77777777" w:rsidR="00D21008" w:rsidRPr="00292532" w:rsidRDefault="00D21008" w:rsidP="00A37A8C">
      <w:pPr>
        <w:rPr>
          <w:lang w:val="pt-PT" w:eastAsia="ja-JP"/>
        </w:rPr>
      </w:pPr>
    </w:p>
    <w:p w14:paraId="688F7772" w14:textId="19E568D3" w:rsidR="00D21008" w:rsidRPr="00292532" w:rsidRDefault="00BD0602" w:rsidP="00A37A8C">
      <w:pPr>
        <w:rPr>
          <w:lang w:val="pt-PT" w:eastAsia="ja-JP"/>
        </w:rPr>
      </w:pPr>
      <w:r w:rsidRPr="00EC2545">
        <w:rPr>
          <w:noProof/>
          <w:lang w:val="en-US"/>
        </w:rPr>
        <w:drawing>
          <wp:inline distT="0" distB="0" distL="0" distR="0" wp14:anchorId="5AC044EE" wp14:editId="3C67BEFF">
            <wp:extent cx="5400040" cy="3815659"/>
            <wp:effectExtent l="0" t="0" r="0" b="0"/>
            <wp:docPr id="433" name="Picture 433" descr="C:\Users\25882\Desktop\LigaMoz project\AIA\Mapas\Mapa topografic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5882\Desktop\LigaMoz project\AIA\Mapas\Mapa topografico_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3815659"/>
                    </a:xfrm>
                    <a:prstGeom prst="rect">
                      <a:avLst/>
                    </a:prstGeom>
                    <a:noFill/>
                    <a:ln>
                      <a:noFill/>
                    </a:ln>
                  </pic:spPr>
                </pic:pic>
              </a:graphicData>
            </a:graphic>
          </wp:inline>
        </w:drawing>
      </w:r>
    </w:p>
    <w:p w14:paraId="2948642C" w14:textId="4A368241" w:rsidR="00D21008" w:rsidRPr="00292532" w:rsidRDefault="00D21008" w:rsidP="00D21008">
      <w:pPr>
        <w:pStyle w:val="Caption"/>
      </w:pPr>
      <w:bookmarkStart w:id="88" w:name="_Ref73609895"/>
      <w:bookmarkStart w:id="89" w:name="_Toc80380226"/>
      <w:r w:rsidRPr="00292532">
        <w:t xml:space="preserve">Figura </w:t>
      </w:r>
      <w:r w:rsidRPr="00292532">
        <w:fldChar w:fldCharType="begin"/>
      </w:r>
      <w:r w:rsidRPr="00292532">
        <w:instrText xml:space="preserve"> SEQ Figura \* ARABIC </w:instrText>
      </w:r>
      <w:r w:rsidRPr="00292532">
        <w:fldChar w:fldCharType="separate"/>
      </w:r>
      <w:r w:rsidR="00A74521" w:rsidRPr="00292532">
        <w:rPr>
          <w:noProof/>
        </w:rPr>
        <w:t>3</w:t>
      </w:r>
      <w:r w:rsidRPr="00292532">
        <w:fldChar w:fldCharType="end"/>
      </w:r>
      <w:bookmarkEnd w:id="88"/>
      <w:r w:rsidRPr="00292532">
        <w:t xml:space="preserve">: Topografia da Área do </w:t>
      </w:r>
      <w:proofErr w:type="spellStart"/>
      <w:r w:rsidRPr="00292532">
        <w:t>Projecto</w:t>
      </w:r>
      <w:bookmarkEnd w:id="89"/>
      <w:proofErr w:type="spellEnd"/>
    </w:p>
    <w:p w14:paraId="25DD0DFE" w14:textId="1F431622" w:rsidR="00D21008" w:rsidRPr="00292532" w:rsidRDefault="00D21008">
      <w:pPr>
        <w:pStyle w:val="Heading3"/>
        <w:rPr>
          <w:lang w:eastAsia="ja-JP"/>
        </w:rPr>
      </w:pPr>
      <w:bookmarkStart w:id="90" w:name="_Toc80379951"/>
      <w:r w:rsidRPr="00292532">
        <w:rPr>
          <w:lang w:eastAsia="ja-JP"/>
        </w:rPr>
        <w:lastRenderedPageBreak/>
        <w:t>Clima</w:t>
      </w:r>
      <w:bookmarkEnd w:id="90"/>
    </w:p>
    <w:p w14:paraId="6C15E986" w14:textId="2DDD2DD2" w:rsidR="00D21008" w:rsidRPr="00292532" w:rsidRDefault="00D21008" w:rsidP="00D21008">
      <w:pPr>
        <w:rPr>
          <w:lang w:val="pt-PT" w:eastAsia="ja-JP"/>
        </w:rPr>
      </w:pPr>
      <w:r w:rsidRPr="00292532">
        <w:rPr>
          <w:lang w:val="pt-PT" w:eastAsia="ja-JP"/>
        </w:rPr>
        <w:t xml:space="preserve">Os períodos mais chuvosos ocorrem de </w:t>
      </w:r>
      <w:proofErr w:type="gramStart"/>
      <w:r w:rsidRPr="00292532">
        <w:rPr>
          <w:lang w:val="pt-PT" w:eastAsia="ja-JP"/>
        </w:rPr>
        <w:t>Dezembro</w:t>
      </w:r>
      <w:proofErr w:type="gramEnd"/>
      <w:r w:rsidRPr="00292532">
        <w:rPr>
          <w:lang w:val="pt-PT" w:eastAsia="ja-JP"/>
        </w:rPr>
        <w:t xml:space="preserve"> a Fevereiro, sendo frequentes períodos de chuvas intensas, normalmente no Centro a Norte de Moçambique, onde à </w:t>
      </w:r>
      <w:proofErr w:type="spellStart"/>
      <w:r w:rsidRPr="00292532">
        <w:rPr>
          <w:lang w:val="pt-PT" w:eastAsia="ja-JP"/>
        </w:rPr>
        <w:t>excepção</w:t>
      </w:r>
      <w:proofErr w:type="spellEnd"/>
      <w:r w:rsidRPr="00292532">
        <w:rPr>
          <w:lang w:val="pt-PT" w:eastAsia="ja-JP"/>
        </w:rPr>
        <w:t xml:space="preserve"> da faixa costeira de Nampula, a média anual é superior a 800 mm e ultrapassa, mesmo, os 2000 mm ao longo da Alta Zambézia. </w:t>
      </w:r>
      <w:bookmarkStart w:id="91" w:name="_Hlk75442189"/>
      <w:r w:rsidRPr="00292532">
        <w:rPr>
          <w:lang w:val="pt-PT" w:eastAsia="ja-JP"/>
        </w:rPr>
        <w:t xml:space="preserve">Contudo, de acordo com a classificação de </w:t>
      </w:r>
      <w:proofErr w:type="spellStart"/>
      <w:r w:rsidRPr="00292532">
        <w:rPr>
          <w:lang w:val="pt-PT" w:eastAsia="ja-JP"/>
        </w:rPr>
        <w:t>Köppen</w:t>
      </w:r>
      <w:proofErr w:type="spellEnd"/>
      <w:r w:rsidRPr="00292532">
        <w:rPr>
          <w:lang w:val="pt-PT" w:eastAsia="ja-JP"/>
        </w:rPr>
        <w:t>, a zona norte do país, nas províncias especificamente em Nampula e Zambézia, e nas zonas costeiras são caracterizados por clima de savana com chuvas tropicais (</w:t>
      </w:r>
      <w:proofErr w:type="spellStart"/>
      <w:r w:rsidRPr="00292532">
        <w:rPr>
          <w:lang w:val="pt-PT" w:eastAsia="ja-JP"/>
        </w:rPr>
        <w:t>BWw</w:t>
      </w:r>
      <w:proofErr w:type="spellEnd"/>
      <w:r w:rsidRPr="00292532">
        <w:rPr>
          <w:lang w:val="pt-PT" w:eastAsia="ja-JP"/>
        </w:rPr>
        <w:t xml:space="preserve">), enquanto que as zonas altas e do interior são caracterizadas por clima temperado húmido (CW). </w:t>
      </w:r>
      <w:bookmarkEnd w:id="91"/>
    </w:p>
    <w:p w14:paraId="3C6A52A1" w14:textId="71277ABC" w:rsidR="00D21008" w:rsidRPr="00292532" w:rsidRDefault="00D21008" w:rsidP="00D21008">
      <w:pPr>
        <w:rPr>
          <w:lang w:val="pt-PT" w:eastAsia="ja-JP"/>
        </w:rPr>
      </w:pPr>
      <w:r w:rsidRPr="00292532">
        <w:rPr>
          <w:lang w:val="pt-PT" w:eastAsia="ja-JP"/>
        </w:rPr>
        <w:t>A circulação atmosférica é caracterizada por: (i) zonas de influência de baixas pressões equatoriais com ventos de monção de NE durante o verão, a norte do rio Zambeze e (</w:t>
      </w:r>
      <w:proofErr w:type="spellStart"/>
      <w:r w:rsidRPr="00292532">
        <w:rPr>
          <w:lang w:val="pt-PT" w:eastAsia="ja-JP"/>
        </w:rPr>
        <w:t>ii</w:t>
      </w:r>
      <w:proofErr w:type="spellEnd"/>
      <w:r w:rsidRPr="00292532">
        <w:rPr>
          <w:lang w:val="pt-PT" w:eastAsia="ja-JP"/>
        </w:rPr>
        <w:t xml:space="preserve">) zona de circulação </w:t>
      </w:r>
      <w:r w:rsidR="00D9688F" w:rsidRPr="00292532">
        <w:rPr>
          <w:lang w:val="pt-PT" w:eastAsia="ja-JP"/>
        </w:rPr>
        <w:t>anticiclónica</w:t>
      </w:r>
      <w:r w:rsidRPr="00292532">
        <w:rPr>
          <w:lang w:val="pt-PT" w:eastAsia="ja-JP"/>
        </w:rPr>
        <w:t xml:space="preserve"> subtropical, a sul do rio Zambeze. </w:t>
      </w:r>
    </w:p>
    <w:p w14:paraId="11CAEF21" w14:textId="2EF81A40" w:rsidR="00D21008" w:rsidRPr="00292532" w:rsidRDefault="00D21008" w:rsidP="00D21008">
      <w:pPr>
        <w:rPr>
          <w:lang w:val="pt-PT" w:eastAsia="ja-JP"/>
        </w:rPr>
      </w:pPr>
      <w:r w:rsidRPr="00292532">
        <w:rPr>
          <w:lang w:val="pt-PT" w:eastAsia="ja-JP"/>
        </w:rPr>
        <w:t xml:space="preserve">A temperatura do ar atmosférico aumenta com a latitude e com a distância para o interior, sendo a temperatura média anual cerca de 23° C e 26° C, nas zonas costeiras da região sul e norte, </w:t>
      </w:r>
      <w:proofErr w:type="spellStart"/>
      <w:r w:rsidRPr="00292532">
        <w:rPr>
          <w:lang w:val="pt-PT" w:eastAsia="ja-JP"/>
        </w:rPr>
        <w:t>respectivamente</w:t>
      </w:r>
      <w:proofErr w:type="spellEnd"/>
      <w:r w:rsidRPr="00292532">
        <w:rPr>
          <w:lang w:val="pt-PT" w:eastAsia="ja-JP"/>
        </w:rPr>
        <w:t xml:space="preserve"> (</w:t>
      </w:r>
      <w:proofErr w:type="spellStart"/>
      <w:r w:rsidRPr="00292532">
        <w:rPr>
          <w:lang w:val="pt-PT" w:eastAsia="ja-JP"/>
        </w:rPr>
        <w:t>Sætre</w:t>
      </w:r>
      <w:proofErr w:type="spellEnd"/>
      <w:r w:rsidRPr="00292532">
        <w:rPr>
          <w:lang w:val="pt-PT" w:eastAsia="ja-JP"/>
        </w:rPr>
        <w:t xml:space="preserve"> e Paula e Silva, 1979). As regiões de menor valor médio da quantidade de precipitação correspondem ao litoral das províncias de Nampula. </w:t>
      </w:r>
    </w:p>
    <w:p w14:paraId="17FCA40C" w14:textId="5113445C" w:rsidR="001918E2" w:rsidRPr="00292532" w:rsidRDefault="001918E2" w:rsidP="001918E2">
      <w:pPr>
        <w:rPr>
          <w:lang w:val="pt-PT" w:eastAsia="ja-JP"/>
        </w:rPr>
      </w:pPr>
      <w:r w:rsidRPr="00292532">
        <w:rPr>
          <w:lang w:val="pt-PT" w:eastAsia="ja-JP"/>
        </w:rPr>
        <w:t xml:space="preserve">De forma individual, a </w:t>
      </w:r>
      <w:r w:rsidR="00F478F5" w:rsidRPr="00292532">
        <w:rPr>
          <w:lang w:val="pt-PT" w:eastAsia="ja-JP"/>
        </w:rPr>
        <w:t>P</w:t>
      </w:r>
      <w:r w:rsidRPr="00292532">
        <w:rPr>
          <w:lang w:val="pt-PT" w:eastAsia="ja-JP"/>
        </w:rPr>
        <w:t xml:space="preserve">rovíncia da Zambézia apresenta maior pluviosidade no país, e regista maior pluviosidade sazonal média (superior a 2.000mm) nos distritos de Lugela, </w:t>
      </w:r>
      <w:proofErr w:type="spellStart"/>
      <w:r w:rsidRPr="00292532">
        <w:rPr>
          <w:lang w:val="pt-PT" w:eastAsia="ja-JP"/>
        </w:rPr>
        <w:t>Namarroi</w:t>
      </w:r>
      <w:proofErr w:type="spellEnd"/>
      <w:r w:rsidRPr="00292532">
        <w:rPr>
          <w:lang w:val="pt-PT" w:eastAsia="ja-JP"/>
        </w:rPr>
        <w:t xml:space="preserve"> e Alto </w:t>
      </w:r>
      <w:proofErr w:type="spellStart"/>
      <w:r w:rsidRPr="00292532">
        <w:rPr>
          <w:lang w:val="pt-PT" w:eastAsia="ja-JP"/>
        </w:rPr>
        <w:t>Molócue</w:t>
      </w:r>
      <w:proofErr w:type="spellEnd"/>
      <w:r w:rsidRPr="00292532">
        <w:rPr>
          <w:lang w:val="pt-PT" w:eastAsia="ja-JP"/>
        </w:rPr>
        <w:t xml:space="preserve">. Apresenta um número muito elevado (o mais elevado) de dias de precipitação e a maior frequência de dias precipitação forte. No entanto, existe tendência geral para a diminuição da pluviosidade sazonal, devido principalmente à redução da pluviosidade de </w:t>
      </w:r>
      <w:proofErr w:type="gramStart"/>
      <w:r w:rsidRPr="00292532">
        <w:rPr>
          <w:lang w:val="pt-PT" w:eastAsia="ja-JP"/>
        </w:rPr>
        <w:t>Outubro</w:t>
      </w:r>
      <w:proofErr w:type="gramEnd"/>
      <w:r w:rsidRPr="00292532">
        <w:rPr>
          <w:lang w:val="pt-PT" w:eastAsia="ja-JP"/>
        </w:rPr>
        <w:t xml:space="preserve"> e Novembro. A tendência para menos dias de precipitação sazonal ocorre principalmente de </w:t>
      </w:r>
      <w:proofErr w:type="gramStart"/>
      <w:r w:rsidRPr="00292532">
        <w:rPr>
          <w:lang w:val="pt-PT" w:eastAsia="ja-JP"/>
        </w:rPr>
        <w:t>Fevereiro</w:t>
      </w:r>
      <w:proofErr w:type="gramEnd"/>
      <w:r w:rsidRPr="00292532">
        <w:rPr>
          <w:lang w:val="pt-PT" w:eastAsia="ja-JP"/>
        </w:rPr>
        <w:t xml:space="preserve"> a Abril (e em Novembro) e é mais forte na zona litoral e norte. Consequentemente, a cobertura da vegetação tende a diminuir a longo prazo de forma mais acentuada na fase inicial da estação. O El </w:t>
      </w:r>
      <w:proofErr w:type="spellStart"/>
      <w:r w:rsidRPr="00292532">
        <w:rPr>
          <w:lang w:val="pt-PT" w:eastAsia="ja-JP"/>
        </w:rPr>
        <w:t>Niño</w:t>
      </w:r>
      <w:proofErr w:type="spellEnd"/>
      <w:r w:rsidRPr="00292532">
        <w:rPr>
          <w:lang w:val="pt-PT" w:eastAsia="ja-JP"/>
        </w:rPr>
        <w:t xml:space="preserve"> reduz a pluviosidade de </w:t>
      </w:r>
      <w:proofErr w:type="gramStart"/>
      <w:r w:rsidRPr="00292532">
        <w:rPr>
          <w:lang w:val="pt-PT" w:eastAsia="ja-JP"/>
        </w:rPr>
        <w:t>Janeiro</w:t>
      </w:r>
      <w:proofErr w:type="gramEnd"/>
      <w:r w:rsidRPr="00292532">
        <w:rPr>
          <w:lang w:val="pt-PT" w:eastAsia="ja-JP"/>
        </w:rPr>
        <w:t xml:space="preserve"> a Março, particularmente na zona sul, enquanto o La </w:t>
      </w:r>
      <w:proofErr w:type="spellStart"/>
      <w:r w:rsidRPr="00292532">
        <w:rPr>
          <w:lang w:val="pt-PT" w:eastAsia="ja-JP"/>
        </w:rPr>
        <w:t>Niña</w:t>
      </w:r>
      <w:proofErr w:type="spellEnd"/>
      <w:r w:rsidRPr="00292532">
        <w:rPr>
          <w:lang w:val="pt-PT" w:eastAsia="ja-JP"/>
        </w:rPr>
        <w:t xml:space="preserve"> tem pouco impacto. O impacto geral da ENSO é fraco (FAO, 2018).</w:t>
      </w:r>
    </w:p>
    <w:p w14:paraId="4E14BAE5" w14:textId="6B89ED18" w:rsidR="001918E2" w:rsidRPr="00292532" w:rsidRDefault="001918E2" w:rsidP="001918E2">
      <w:pPr>
        <w:rPr>
          <w:lang w:val="pt-PT" w:eastAsia="ja-JP"/>
        </w:rPr>
      </w:pPr>
      <w:r w:rsidRPr="00292532">
        <w:rPr>
          <w:lang w:val="pt-PT" w:eastAsia="ja-JP"/>
        </w:rPr>
        <w:t xml:space="preserve">A </w:t>
      </w:r>
      <w:r w:rsidRPr="00292532">
        <w:rPr>
          <w:b/>
          <w:bCs/>
          <w:lang w:val="pt-PT" w:eastAsia="ja-JP"/>
        </w:rPr>
        <w:fldChar w:fldCharType="begin"/>
      </w:r>
      <w:r w:rsidRPr="00292532">
        <w:rPr>
          <w:b/>
          <w:bCs/>
          <w:lang w:val="pt-PT" w:eastAsia="ja-JP"/>
        </w:rPr>
        <w:instrText xml:space="preserve"> REF _Ref72946986 \h  \* MERGEFORMAT </w:instrText>
      </w:r>
      <w:r w:rsidRPr="00292532">
        <w:rPr>
          <w:b/>
          <w:bCs/>
          <w:lang w:val="pt-PT" w:eastAsia="ja-JP"/>
        </w:rPr>
      </w:r>
      <w:r w:rsidRPr="00292532">
        <w:rPr>
          <w:b/>
          <w:bCs/>
          <w:lang w:val="pt-PT" w:eastAsia="ja-JP"/>
        </w:rPr>
        <w:fldChar w:fldCharType="separate"/>
      </w:r>
      <w:r w:rsidRPr="00292532">
        <w:rPr>
          <w:b/>
          <w:bCs/>
          <w:lang w:val="pt-PT"/>
        </w:rPr>
        <w:t xml:space="preserve">Figura </w:t>
      </w:r>
      <w:r w:rsidRPr="00292532">
        <w:rPr>
          <w:b/>
          <w:bCs/>
          <w:noProof/>
          <w:lang w:val="pt-PT"/>
        </w:rPr>
        <w:t>4</w:t>
      </w:r>
      <w:r w:rsidRPr="00292532">
        <w:rPr>
          <w:b/>
          <w:bCs/>
          <w:lang w:val="pt-PT" w:eastAsia="ja-JP"/>
        </w:rPr>
        <w:fldChar w:fldCharType="end"/>
      </w:r>
      <w:r w:rsidRPr="00292532">
        <w:rPr>
          <w:lang w:val="pt-PT" w:eastAsia="ja-JP"/>
        </w:rPr>
        <w:t xml:space="preserve"> apresenta </w:t>
      </w:r>
      <w:r w:rsidR="00D9688F" w:rsidRPr="00292532">
        <w:rPr>
          <w:lang w:val="pt-PT" w:eastAsia="ja-JP"/>
        </w:rPr>
        <w:t>diagramas</w:t>
      </w:r>
      <w:r w:rsidRPr="00292532">
        <w:rPr>
          <w:lang w:val="pt-PT" w:eastAsia="ja-JP"/>
        </w:rPr>
        <w:t xml:space="preserve"> de pluviosidade média para das Províncias de Nampula e da Zambézia.</w:t>
      </w:r>
    </w:p>
    <w:p w14:paraId="3B205A2C" w14:textId="4FF3F2F8" w:rsidR="00D21008" w:rsidRPr="00292532" w:rsidRDefault="00D21008" w:rsidP="00D21008">
      <w:pPr>
        <w:spacing w:before="0" w:after="0" w:line="276" w:lineRule="auto"/>
        <w:contextualSpacing/>
        <w:rPr>
          <w:rFonts w:asciiTheme="minorHAnsi" w:hAnsiTheme="minorHAnsi" w:cstheme="minorHAnsi"/>
          <w:color w:val="000000" w:themeColor="text1"/>
          <w:sz w:val="24"/>
          <w:szCs w:val="24"/>
          <w:lang w:val="pt-PT"/>
        </w:rPr>
      </w:pPr>
      <w:r w:rsidRPr="00292532">
        <w:rPr>
          <w:rFonts w:asciiTheme="minorHAnsi" w:hAnsiTheme="minorHAnsi" w:cstheme="minorHAnsi"/>
          <w:noProof/>
          <w:color w:val="000000" w:themeColor="text1"/>
          <w:sz w:val="24"/>
          <w:szCs w:val="24"/>
          <w:lang w:val="en-US"/>
        </w:rPr>
        <w:drawing>
          <wp:inline distT="0" distB="0" distL="0" distR="0" wp14:anchorId="47FDD148" wp14:editId="6F529AF5">
            <wp:extent cx="5722620" cy="249110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2620" cy="2491105"/>
                    </a:xfrm>
                    <a:prstGeom prst="rect">
                      <a:avLst/>
                    </a:prstGeom>
                    <a:noFill/>
                    <a:ln>
                      <a:noFill/>
                    </a:ln>
                  </pic:spPr>
                </pic:pic>
              </a:graphicData>
            </a:graphic>
          </wp:inline>
        </w:drawing>
      </w:r>
    </w:p>
    <w:p w14:paraId="63301E0D" w14:textId="6B32511D" w:rsidR="00D21008" w:rsidRPr="00292532" w:rsidRDefault="001918E2" w:rsidP="001918E2">
      <w:pPr>
        <w:pStyle w:val="Caption"/>
      </w:pPr>
      <w:bookmarkStart w:id="92" w:name="_Ref72946986"/>
      <w:bookmarkStart w:id="93" w:name="_Toc80380227"/>
      <w:r w:rsidRPr="00292532">
        <w:t xml:space="preserve">Figura </w:t>
      </w:r>
      <w:r w:rsidRPr="00292532">
        <w:fldChar w:fldCharType="begin"/>
      </w:r>
      <w:r w:rsidRPr="00292532">
        <w:instrText xml:space="preserve"> SEQ Figura \* ARABIC </w:instrText>
      </w:r>
      <w:r w:rsidRPr="00292532">
        <w:fldChar w:fldCharType="separate"/>
      </w:r>
      <w:r w:rsidR="00A74521" w:rsidRPr="00292532">
        <w:rPr>
          <w:noProof/>
        </w:rPr>
        <w:t>4</w:t>
      </w:r>
      <w:r w:rsidRPr="00292532">
        <w:fldChar w:fldCharType="end"/>
      </w:r>
      <w:bookmarkEnd w:id="92"/>
      <w:r w:rsidRPr="00292532">
        <w:t xml:space="preserve">: </w:t>
      </w:r>
      <w:r w:rsidR="00D21008" w:rsidRPr="00292532">
        <w:t>Diagrama de pluviosidade média por província (FAO, 2018)</w:t>
      </w:r>
      <w:bookmarkEnd w:id="93"/>
    </w:p>
    <w:p w14:paraId="24EB310F" w14:textId="54524FC1" w:rsidR="001918E2" w:rsidRPr="00292532" w:rsidRDefault="001918E2">
      <w:pPr>
        <w:pStyle w:val="Heading3"/>
        <w:rPr>
          <w:lang w:eastAsia="ja-JP"/>
        </w:rPr>
      </w:pPr>
      <w:bookmarkStart w:id="94" w:name="_Toc80379952"/>
      <w:r w:rsidRPr="00292532">
        <w:rPr>
          <w:lang w:eastAsia="ja-JP"/>
        </w:rPr>
        <w:lastRenderedPageBreak/>
        <w:t>Tipos de Solos e Riscos de Erosão</w:t>
      </w:r>
      <w:bookmarkEnd w:id="94"/>
    </w:p>
    <w:p w14:paraId="62D5139F" w14:textId="2527CED0" w:rsidR="00D21008" w:rsidRPr="00292532" w:rsidRDefault="001918E2" w:rsidP="00D21008">
      <w:pPr>
        <w:rPr>
          <w:lang w:val="pt-PT" w:eastAsia="ja-JP"/>
        </w:rPr>
      </w:pPr>
      <w:bookmarkStart w:id="95" w:name="_Hlk75442249"/>
      <w:r w:rsidRPr="00292532">
        <w:rPr>
          <w:lang w:val="pt-PT" w:eastAsia="ja-JP"/>
        </w:rPr>
        <w:t>Os solos são tipicamente ácidos, geologicamente antigos, pobres em nutrientes, tem baixa capacidade de retenção de água, baixo conteúdo de matéria orgânica, de nitrogénio e baixo índice de fósforos extraíeis</w:t>
      </w:r>
      <w:bookmarkEnd w:id="95"/>
      <w:r w:rsidRPr="00292532">
        <w:rPr>
          <w:lang w:val="pt-PT" w:eastAsia="ja-JP"/>
        </w:rPr>
        <w:t xml:space="preserve">. Os tipos de solos característicos das áreas de abrangência do </w:t>
      </w:r>
      <w:proofErr w:type="spellStart"/>
      <w:r w:rsidRPr="00292532">
        <w:rPr>
          <w:lang w:val="pt-PT" w:eastAsia="ja-JP"/>
        </w:rPr>
        <w:t>Projecto</w:t>
      </w:r>
      <w:proofErr w:type="spellEnd"/>
      <w:r w:rsidRPr="00292532">
        <w:rPr>
          <w:lang w:val="pt-PT" w:eastAsia="ja-JP"/>
        </w:rPr>
        <w:t xml:space="preserve"> constam na </w:t>
      </w:r>
      <w:r w:rsidRPr="00292532">
        <w:rPr>
          <w:b/>
          <w:bCs/>
          <w:lang w:val="pt-PT" w:eastAsia="ja-JP"/>
        </w:rPr>
        <w:fldChar w:fldCharType="begin"/>
      </w:r>
      <w:r w:rsidRPr="00292532">
        <w:rPr>
          <w:b/>
          <w:bCs/>
          <w:lang w:val="pt-PT" w:eastAsia="ja-JP"/>
        </w:rPr>
        <w:instrText xml:space="preserve"> REF _Ref72947306 \h  \* MERGEFORMAT </w:instrText>
      </w:r>
      <w:r w:rsidRPr="00292532">
        <w:rPr>
          <w:b/>
          <w:bCs/>
          <w:lang w:val="pt-PT" w:eastAsia="ja-JP"/>
        </w:rPr>
      </w:r>
      <w:r w:rsidRPr="00292532">
        <w:rPr>
          <w:b/>
          <w:bCs/>
          <w:lang w:val="pt-PT" w:eastAsia="ja-JP"/>
        </w:rPr>
        <w:fldChar w:fldCharType="separate"/>
      </w:r>
      <w:r w:rsidRPr="00292532">
        <w:rPr>
          <w:b/>
          <w:bCs/>
          <w:lang w:val="pt-PT"/>
        </w:rPr>
        <w:t xml:space="preserve">Figura </w:t>
      </w:r>
      <w:r w:rsidRPr="00292532">
        <w:rPr>
          <w:b/>
          <w:bCs/>
          <w:noProof/>
          <w:lang w:val="pt-PT"/>
        </w:rPr>
        <w:t>5</w:t>
      </w:r>
      <w:r w:rsidRPr="00292532">
        <w:rPr>
          <w:b/>
          <w:bCs/>
          <w:lang w:val="pt-PT" w:eastAsia="ja-JP"/>
        </w:rPr>
        <w:fldChar w:fldCharType="end"/>
      </w:r>
      <w:r w:rsidRPr="00292532">
        <w:rPr>
          <w:lang w:val="pt-PT" w:eastAsia="ja-JP"/>
        </w:rPr>
        <w:t xml:space="preserve">. Segundo White (1983), do ponto de vista ecológico, o </w:t>
      </w:r>
      <w:proofErr w:type="spellStart"/>
      <w:r w:rsidRPr="00292532">
        <w:rPr>
          <w:lang w:val="pt-PT" w:eastAsia="ja-JP"/>
        </w:rPr>
        <w:t>Miombo</w:t>
      </w:r>
      <w:proofErr w:type="spellEnd"/>
      <w:r w:rsidRPr="00292532">
        <w:rPr>
          <w:lang w:val="pt-PT" w:eastAsia="ja-JP"/>
        </w:rPr>
        <w:t xml:space="preserve"> constituí o extremo das formações de savana e a cintura da África tropical sendo virtualmente o sinónimo da </w:t>
      </w:r>
      <w:proofErr w:type="spellStart"/>
      <w:r w:rsidRPr="00292532">
        <w:rPr>
          <w:lang w:val="pt-PT" w:eastAsia="ja-JP"/>
        </w:rPr>
        <w:t>fitoregião</w:t>
      </w:r>
      <w:proofErr w:type="spellEnd"/>
      <w:r w:rsidRPr="00292532">
        <w:rPr>
          <w:lang w:val="pt-PT" w:eastAsia="ja-JP"/>
        </w:rPr>
        <w:t xml:space="preserve"> do Zambeze, o mais largo centro regional de endemismo em África.</w:t>
      </w:r>
    </w:p>
    <w:p w14:paraId="7127232F" w14:textId="50A6CE27" w:rsidR="001918E2" w:rsidRPr="00292532" w:rsidRDefault="00BD0602" w:rsidP="00D21008">
      <w:pPr>
        <w:rPr>
          <w:lang w:val="pt-PT" w:eastAsia="ja-JP"/>
        </w:rPr>
      </w:pPr>
      <w:r w:rsidRPr="00EC2545">
        <w:rPr>
          <w:noProof/>
          <w:lang w:val="en-US"/>
        </w:rPr>
        <w:drawing>
          <wp:inline distT="0" distB="0" distL="0" distR="0" wp14:anchorId="6E114BAA" wp14:editId="48E7621B">
            <wp:extent cx="5400040" cy="3815418"/>
            <wp:effectExtent l="0" t="0" r="0" b="0"/>
            <wp:docPr id="241" name="Picture 241" descr="C:\Users\25882\Desktop\LigaMoz project\AIA\Mapas\Mapa de solo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5882\Desktop\LigaMoz project\AIA\Mapas\Mapa de solos_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40" cy="3815418"/>
                    </a:xfrm>
                    <a:prstGeom prst="rect">
                      <a:avLst/>
                    </a:prstGeom>
                    <a:noFill/>
                    <a:ln>
                      <a:noFill/>
                    </a:ln>
                  </pic:spPr>
                </pic:pic>
              </a:graphicData>
            </a:graphic>
          </wp:inline>
        </w:drawing>
      </w:r>
    </w:p>
    <w:p w14:paraId="02433DE9" w14:textId="3A898A4C" w:rsidR="00D21008" w:rsidRPr="00292532" w:rsidRDefault="001918E2" w:rsidP="001918E2">
      <w:pPr>
        <w:pStyle w:val="Caption"/>
      </w:pPr>
      <w:bookmarkStart w:id="96" w:name="_Ref72947306"/>
      <w:bookmarkStart w:id="97" w:name="_Toc80380228"/>
      <w:r w:rsidRPr="00292532">
        <w:t xml:space="preserve">Figura </w:t>
      </w:r>
      <w:r w:rsidRPr="00292532">
        <w:fldChar w:fldCharType="begin"/>
      </w:r>
      <w:r w:rsidRPr="00292532">
        <w:instrText xml:space="preserve"> SEQ Figura \* ARABIC </w:instrText>
      </w:r>
      <w:r w:rsidRPr="00292532">
        <w:fldChar w:fldCharType="separate"/>
      </w:r>
      <w:r w:rsidR="00A74521" w:rsidRPr="00292532">
        <w:rPr>
          <w:noProof/>
        </w:rPr>
        <w:t>5</w:t>
      </w:r>
      <w:r w:rsidRPr="00292532">
        <w:fldChar w:fldCharType="end"/>
      </w:r>
      <w:bookmarkEnd w:id="96"/>
      <w:r w:rsidRPr="00292532">
        <w:t xml:space="preserve">: Tipo de Solos Característicos da Área de Abrangência do </w:t>
      </w:r>
      <w:proofErr w:type="spellStart"/>
      <w:r w:rsidRPr="00292532">
        <w:t>Projecto</w:t>
      </w:r>
      <w:bookmarkEnd w:id="97"/>
      <w:proofErr w:type="spellEnd"/>
    </w:p>
    <w:p w14:paraId="78CE5724" w14:textId="3AA1986D" w:rsidR="00D21008" w:rsidRPr="00292532" w:rsidRDefault="001918E2" w:rsidP="00D21008">
      <w:pPr>
        <w:rPr>
          <w:lang w:val="pt-PT" w:eastAsia="ja-JP"/>
        </w:rPr>
      </w:pPr>
      <w:bookmarkStart w:id="98" w:name="_Hlk75442303"/>
      <w:r w:rsidRPr="00292532">
        <w:rPr>
          <w:lang w:val="pt-PT" w:eastAsia="ja-JP"/>
        </w:rPr>
        <w:t>No Norte e algumas partes das áreas do centro e do Oeste apresentam solos vermelhos de textura variada (dos solos arenosos claros às terras argilosas. Devido à inclinação, ao solo pouco profundo e à a pluviosidade, existe uma alta probabilidade para a erosão do solo nessas áreas</w:t>
      </w:r>
      <w:bookmarkEnd w:id="98"/>
      <w:r w:rsidRPr="00292532">
        <w:rPr>
          <w:lang w:val="pt-PT" w:eastAsia="ja-JP"/>
        </w:rPr>
        <w:t xml:space="preserve">. Portanto, pela sua caracterização por apresentar rochas do </w:t>
      </w:r>
      <w:r w:rsidR="00D9688F" w:rsidRPr="00292532">
        <w:rPr>
          <w:lang w:val="pt-PT" w:eastAsia="ja-JP"/>
        </w:rPr>
        <w:t>Pré-câmbrico</w:t>
      </w:r>
      <w:r w:rsidRPr="00292532">
        <w:rPr>
          <w:lang w:val="pt-PT" w:eastAsia="ja-JP"/>
        </w:rPr>
        <w:t xml:space="preserve"> e altas precipitações, os solos predominantes são argilosos, variando entre franco argilosos –</w:t>
      </w:r>
      <w:r w:rsidR="00FF0C37" w:rsidRPr="00292532">
        <w:rPr>
          <w:lang w:val="pt-PT" w:eastAsia="ja-JP"/>
        </w:rPr>
        <w:t xml:space="preserve"> avermelhados</w:t>
      </w:r>
      <w:r w:rsidRPr="00292532">
        <w:rPr>
          <w:lang w:val="pt-PT" w:eastAsia="ja-JP"/>
        </w:rPr>
        <w:t xml:space="preserve"> que ocupam a maior parte da região e os argilosos vermelho acastanhados profundos com boa permeabilidade e drenagem. Os solos franco-argilosos são bastante vulneráveis à erosão enquanto os argilosos e os castanhos são menos </w:t>
      </w:r>
      <w:proofErr w:type="spellStart"/>
      <w:r w:rsidRPr="00292532">
        <w:rPr>
          <w:lang w:val="pt-PT" w:eastAsia="ja-JP"/>
        </w:rPr>
        <w:t>susceptíveis</w:t>
      </w:r>
      <w:proofErr w:type="spellEnd"/>
      <w:r w:rsidRPr="00292532">
        <w:rPr>
          <w:lang w:val="pt-PT" w:eastAsia="ja-JP"/>
        </w:rPr>
        <w:t xml:space="preserve">. No litoral da zona norte a presença de rochas do </w:t>
      </w:r>
      <w:r w:rsidR="00D9688F" w:rsidRPr="00292532">
        <w:rPr>
          <w:lang w:val="pt-PT" w:eastAsia="ja-JP"/>
        </w:rPr>
        <w:t>Fanerozoico</w:t>
      </w:r>
      <w:r w:rsidRPr="00292532">
        <w:rPr>
          <w:lang w:val="pt-PT" w:eastAsia="ja-JP"/>
        </w:rPr>
        <w:t xml:space="preserve"> provoca uma alteração dos solos.</w:t>
      </w:r>
      <w:r w:rsidR="00B80737" w:rsidRPr="00292532">
        <w:rPr>
          <w:lang w:val="pt-PT" w:eastAsia="ja-JP"/>
        </w:rPr>
        <w:t xml:space="preserve"> A </w:t>
      </w:r>
      <w:r w:rsidR="00B80737" w:rsidRPr="00292532">
        <w:rPr>
          <w:b/>
          <w:bCs/>
          <w:lang w:val="pt-PT" w:eastAsia="ja-JP"/>
        </w:rPr>
        <w:fldChar w:fldCharType="begin"/>
      </w:r>
      <w:r w:rsidR="00B80737" w:rsidRPr="00292532">
        <w:rPr>
          <w:b/>
          <w:bCs/>
          <w:lang w:val="pt-PT" w:eastAsia="ja-JP"/>
        </w:rPr>
        <w:instrText xml:space="preserve"> REF _Ref72947648 \h  \* MERGEFORMAT </w:instrText>
      </w:r>
      <w:r w:rsidR="00B80737" w:rsidRPr="00292532">
        <w:rPr>
          <w:b/>
          <w:bCs/>
          <w:lang w:val="pt-PT" w:eastAsia="ja-JP"/>
        </w:rPr>
      </w:r>
      <w:r w:rsidR="00B80737" w:rsidRPr="00292532">
        <w:rPr>
          <w:b/>
          <w:bCs/>
          <w:lang w:val="pt-PT" w:eastAsia="ja-JP"/>
        </w:rPr>
        <w:fldChar w:fldCharType="separate"/>
      </w:r>
      <w:r w:rsidR="00B80737" w:rsidRPr="00292532">
        <w:rPr>
          <w:b/>
          <w:bCs/>
          <w:lang w:val="pt-PT"/>
        </w:rPr>
        <w:t xml:space="preserve">Figura </w:t>
      </w:r>
      <w:r w:rsidR="00B80737" w:rsidRPr="00292532">
        <w:rPr>
          <w:b/>
          <w:bCs/>
          <w:noProof/>
          <w:lang w:val="pt-PT"/>
        </w:rPr>
        <w:t>6</w:t>
      </w:r>
      <w:r w:rsidR="00B80737" w:rsidRPr="00292532">
        <w:rPr>
          <w:b/>
          <w:bCs/>
          <w:lang w:val="pt-PT" w:eastAsia="ja-JP"/>
        </w:rPr>
        <w:fldChar w:fldCharType="end"/>
      </w:r>
      <w:r w:rsidR="00B80737" w:rsidRPr="00292532">
        <w:rPr>
          <w:lang w:val="pt-PT" w:eastAsia="ja-JP"/>
        </w:rPr>
        <w:t xml:space="preserve"> abaixo, ilustra as várias categorias de solos com base no risco de erosão presentes nas áreas do </w:t>
      </w:r>
      <w:proofErr w:type="spellStart"/>
      <w:r w:rsidR="00B80737" w:rsidRPr="00292532">
        <w:rPr>
          <w:lang w:val="pt-PT" w:eastAsia="ja-JP"/>
        </w:rPr>
        <w:t>Projecto</w:t>
      </w:r>
      <w:proofErr w:type="spellEnd"/>
      <w:r w:rsidR="00B80737" w:rsidRPr="00292532">
        <w:rPr>
          <w:lang w:val="pt-PT" w:eastAsia="ja-JP"/>
        </w:rPr>
        <w:t>.</w:t>
      </w:r>
    </w:p>
    <w:p w14:paraId="4B87D0F6" w14:textId="56653945" w:rsidR="001918E2" w:rsidRPr="00292532" w:rsidRDefault="00BD0602" w:rsidP="00D21008">
      <w:pPr>
        <w:rPr>
          <w:lang w:val="pt-PT" w:eastAsia="ja-JP"/>
        </w:rPr>
      </w:pPr>
      <w:r w:rsidRPr="00EC2545">
        <w:rPr>
          <w:noProof/>
          <w:lang w:val="en-US"/>
        </w:rPr>
        <w:lastRenderedPageBreak/>
        <w:drawing>
          <wp:inline distT="0" distB="0" distL="0" distR="0" wp14:anchorId="22F783C2" wp14:editId="2F711D42">
            <wp:extent cx="5400040" cy="3815874"/>
            <wp:effectExtent l="0" t="0" r="0" b="0"/>
            <wp:docPr id="264" name="Picture 264" descr="C:\Users\25882\Desktop\LigaMoz project\AIA\Mapas\Mapa de risco de erosa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5882\Desktop\LigaMoz project\AIA\Mapas\Mapa de risco de erosao_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040" cy="3815874"/>
                    </a:xfrm>
                    <a:prstGeom prst="rect">
                      <a:avLst/>
                    </a:prstGeom>
                    <a:noFill/>
                    <a:ln>
                      <a:noFill/>
                    </a:ln>
                  </pic:spPr>
                </pic:pic>
              </a:graphicData>
            </a:graphic>
          </wp:inline>
        </w:drawing>
      </w:r>
    </w:p>
    <w:p w14:paraId="462F6E40" w14:textId="78B94A94" w:rsidR="00D21008" w:rsidRPr="00292532" w:rsidRDefault="00B80737" w:rsidP="00B80737">
      <w:pPr>
        <w:pStyle w:val="Caption"/>
      </w:pPr>
      <w:bookmarkStart w:id="99" w:name="_Ref72947648"/>
      <w:bookmarkStart w:id="100" w:name="_Toc80380229"/>
      <w:r w:rsidRPr="00292532">
        <w:t xml:space="preserve">Figura </w:t>
      </w:r>
      <w:r w:rsidRPr="00292532">
        <w:fldChar w:fldCharType="begin"/>
      </w:r>
      <w:r w:rsidRPr="00292532">
        <w:instrText xml:space="preserve"> SEQ Figura \* ARABIC </w:instrText>
      </w:r>
      <w:r w:rsidRPr="00292532">
        <w:fldChar w:fldCharType="separate"/>
      </w:r>
      <w:r w:rsidR="00A74521" w:rsidRPr="00292532">
        <w:rPr>
          <w:noProof/>
        </w:rPr>
        <w:t>6</w:t>
      </w:r>
      <w:r w:rsidRPr="00292532">
        <w:fldChar w:fldCharType="end"/>
      </w:r>
      <w:bookmarkEnd w:id="99"/>
      <w:r w:rsidRPr="00292532">
        <w:t>: Categorização do Risco de Erosão</w:t>
      </w:r>
      <w:bookmarkEnd w:id="100"/>
    </w:p>
    <w:p w14:paraId="30FEE101" w14:textId="77777777" w:rsidR="002A39AD" w:rsidRPr="00292532" w:rsidRDefault="002A39AD" w:rsidP="002A39AD">
      <w:pPr>
        <w:rPr>
          <w:lang w:val="pt-PT" w:eastAsia="ja-JP"/>
        </w:rPr>
      </w:pPr>
    </w:p>
    <w:p w14:paraId="00F50826" w14:textId="01835AB7" w:rsidR="00B80737" w:rsidRPr="00292532" w:rsidRDefault="002A39AD">
      <w:pPr>
        <w:pStyle w:val="Heading3"/>
        <w:rPr>
          <w:lang w:eastAsia="ja-JP"/>
        </w:rPr>
      </w:pPr>
      <w:bookmarkStart w:id="101" w:name="_Toc80379953"/>
      <w:r w:rsidRPr="00292532">
        <w:rPr>
          <w:lang w:eastAsia="ja-JP"/>
        </w:rPr>
        <w:t>Hidrologia e Hidrogeologia</w:t>
      </w:r>
      <w:bookmarkEnd w:id="101"/>
    </w:p>
    <w:p w14:paraId="7FF4A125" w14:textId="49D47A54" w:rsidR="00B80737" w:rsidRPr="00292532" w:rsidRDefault="00B80737" w:rsidP="00B80737">
      <w:pPr>
        <w:rPr>
          <w:lang w:val="pt-PT" w:eastAsia="ja-JP"/>
        </w:rPr>
      </w:pPr>
      <w:bookmarkStart w:id="102" w:name="_Hlk75442433"/>
      <w:r w:rsidRPr="00292532">
        <w:rPr>
          <w:lang w:val="pt-PT" w:eastAsia="ja-JP"/>
        </w:rPr>
        <w:t xml:space="preserve">Das cerca de 25 bacias hidrográficas principais que drenam o país são de destacar as localizadas no </w:t>
      </w:r>
      <w:r w:rsidR="00F478F5" w:rsidRPr="00292532">
        <w:rPr>
          <w:lang w:val="pt-PT" w:eastAsia="ja-JP"/>
        </w:rPr>
        <w:t>N</w:t>
      </w:r>
      <w:r w:rsidRPr="00292532">
        <w:rPr>
          <w:lang w:val="pt-PT" w:eastAsia="ja-JP"/>
        </w:rPr>
        <w:t xml:space="preserve">orte, </w:t>
      </w:r>
      <w:proofErr w:type="gramStart"/>
      <w:r w:rsidRPr="00292532">
        <w:rPr>
          <w:lang w:val="pt-PT" w:eastAsia="ja-JP"/>
        </w:rPr>
        <w:t xml:space="preserve">nomeadamente,  </w:t>
      </w:r>
      <w:proofErr w:type="spellStart"/>
      <w:r w:rsidRPr="00292532">
        <w:rPr>
          <w:lang w:val="pt-PT" w:eastAsia="ja-JP"/>
        </w:rPr>
        <w:t>Messalo</w:t>
      </w:r>
      <w:proofErr w:type="spellEnd"/>
      <w:proofErr w:type="gramEnd"/>
      <w:r w:rsidRPr="00292532">
        <w:rPr>
          <w:lang w:val="pt-PT" w:eastAsia="ja-JP"/>
        </w:rPr>
        <w:t xml:space="preserve">,  Lúrio, </w:t>
      </w:r>
      <w:proofErr w:type="spellStart"/>
      <w:r w:rsidRPr="00292532">
        <w:rPr>
          <w:lang w:val="pt-PT" w:eastAsia="ja-JP"/>
        </w:rPr>
        <w:t>Monapo</w:t>
      </w:r>
      <w:proofErr w:type="spellEnd"/>
      <w:r w:rsidRPr="00292532">
        <w:rPr>
          <w:lang w:val="pt-PT" w:eastAsia="ja-JP"/>
        </w:rPr>
        <w:t xml:space="preserve">, </w:t>
      </w:r>
      <w:proofErr w:type="spellStart"/>
      <w:r w:rsidRPr="00292532">
        <w:rPr>
          <w:lang w:val="pt-PT" w:eastAsia="ja-JP"/>
        </w:rPr>
        <w:t>Ligonha</w:t>
      </w:r>
      <w:proofErr w:type="spellEnd"/>
      <w:r w:rsidRPr="00292532">
        <w:rPr>
          <w:lang w:val="pt-PT" w:eastAsia="ja-JP"/>
        </w:rPr>
        <w:t xml:space="preserve">, Licungo, Zambeze. Apesar da rede relativamente importante de bacias hidrográficas que drenam o país em geral e particularmente a área do </w:t>
      </w:r>
      <w:proofErr w:type="spellStart"/>
      <w:r w:rsidRPr="00292532">
        <w:rPr>
          <w:lang w:val="pt-PT" w:eastAsia="ja-JP"/>
        </w:rPr>
        <w:t>projecto</w:t>
      </w:r>
      <w:proofErr w:type="spellEnd"/>
      <w:r w:rsidRPr="00292532">
        <w:rPr>
          <w:lang w:val="pt-PT" w:eastAsia="ja-JP"/>
        </w:rPr>
        <w:t xml:space="preserve"> (</w:t>
      </w:r>
      <w:r w:rsidRPr="00292532">
        <w:rPr>
          <w:b/>
          <w:bCs/>
          <w:lang w:val="pt-PT" w:eastAsia="ja-JP"/>
        </w:rPr>
        <w:fldChar w:fldCharType="begin"/>
      </w:r>
      <w:r w:rsidRPr="00292532">
        <w:rPr>
          <w:b/>
          <w:bCs/>
          <w:lang w:val="pt-PT" w:eastAsia="ja-JP"/>
        </w:rPr>
        <w:instrText xml:space="preserve"> REF _Ref72948057 \h  \* MERGEFORMAT </w:instrText>
      </w:r>
      <w:r w:rsidRPr="00292532">
        <w:rPr>
          <w:b/>
          <w:bCs/>
          <w:lang w:val="pt-PT" w:eastAsia="ja-JP"/>
        </w:rPr>
      </w:r>
      <w:r w:rsidRPr="00292532">
        <w:rPr>
          <w:b/>
          <w:bCs/>
          <w:lang w:val="pt-PT" w:eastAsia="ja-JP"/>
        </w:rPr>
        <w:fldChar w:fldCharType="separate"/>
      </w:r>
      <w:r w:rsidRPr="00292532">
        <w:rPr>
          <w:b/>
          <w:bCs/>
          <w:lang w:val="pt-PT"/>
        </w:rPr>
        <w:t xml:space="preserve">Figura </w:t>
      </w:r>
      <w:r w:rsidRPr="00292532">
        <w:rPr>
          <w:b/>
          <w:bCs/>
          <w:noProof/>
          <w:lang w:val="pt-PT"/>
        </w:rPr>
        <w:t>7</w:t>
      </w:r>
      <w:r w:rsidRPr="00292532">
        <w:rPr>
          <w:b/>
          <w:bCs/>
          <w:lang w:val="pt-PT" w:eastAsia="ja-JP"/>
        </w:rPr>
        <w:fldChar w:fldCharType="end"/>
      </w:r>
      <w:r w:rsidRPr="00292532">
        <w:rPr>
          <w:lang w:val="pt-PT" w:eastAsia="ja-JP"/>
        </w:rPr>
        <w:t>), a disponibilidade de água potável é escassa</w:t>
      </w:r>
      <w:bookmarkEnd w:id="102"/>
      <w:r w:rsidRPr="00292532">
        <w:rPr>
          <w:lang w:val="pt-PT" w:eastAsia="ja-JP"/>
        </w:rPr>
        <w:t xml:space="preserve">. Estes cursos de água são de abastecimento predominantemente pluvial, são de regime periódico, ainda que grande parte dos seus afluentes sejam de regime ocasional. Ao nível da </w:t>
      </w:r>
      <w:r w:rsidR="00F478F5" w:rsidRPr="00292532">
        <w:rPr>
          <w:lang w:val="pt-PT" w:eastAsia="ja-JP"/>
        </w:rPr>
        <w:t>P</w:t>
      </w:r>
      <w:r w:rsidRPr="00292532">
        <w:rPr>
          <w:lang w:val="pt-PT" w:eastAsia="ja-JP"/>
        </w:rPr>
        <w:t xml:space="preserve">rovíncia da Zambézia os rios Zambeze, Licungo e </w:t>
      </w:r>
      <w:proofErr w:type="spellStart"/>
      <w:r w:rsidRPr="00292532">
        <w:rPr>
          <w:lang w:val="pt-PT" w:eastAsia="ja-JP"/>
        </w:rPr>
        <w:t>Ligonha</w:t>
      </w:r>
      <w:proofErr w:type="spellEnd"/>
      <w:r w:rsidRPr="00292532">
        <w:rPr>
          <w:lang w:val="pt-PT" w:eastAsia="ja-JP"/>
        </w:rPr>
        <w:t xml:space="preserve"> são os mais expressivos.</w:t>
      </w:r>
    </w:p>
    <w:p w14:paraId="56816F1F" w14:textId="69BE2BB4" w:rsidR="002A39AD" w:rsidRPr="00292532" w:rsidRDefault="002A39AD" w:rsidP="00B80737">
      <w:pPr>
        <w:rPr>
          <w:lang w:val="pt-PT" w:eastAsia="ja-JP"/>
        </w:rPr>
      </w:pPr>
      <w:r w:rsidRPr="00292532">
        <w:rPr>
          <w:lang w:val="pt-PT" w:eastAsia="ja-JP"/>
        </w:rPr>
        <w:t xml:space="preserve">O </w:t>
      </w:r>
      <w:r w:rsidR="00F478F5" w:rsidRPr="00292532">
        <w:rPr>
          <w:lang w:val="pt-PT" w:eastAsia="ja-JP"/>
        </w:rPr>
        <w:t>R</w:t>
      </w:r>
      <w:r w:rsidRPr="00292532">
        <w:rPr>
          <w:lang w:val="pt-PT" w:eastAsia="ja-JP"/>
        </w:rPr>
        <w:t xml:space="preserve">io </w:t>
      </w:r>
      <w:proofErr w:type="spellStart"/>
      <w:r w:rsidRPr="00292532">
        <w:rPr>
          <w:lang w:val="pt-PT" w:eastAsia="ja-JP"/>
        </w:rPr>
        <w:t>Ligonha</w:t>
      </w:r>
      <w:proofErr w:type="spellEnd"/>
      <w:r w:rsidRPr="00292532">
        <w:rPr>
          <w:lang w:val="pt-PT" w:eastAsia="ja-JP"/>
        </w:rPr>
        <w:t xml:space="preserve">, com 400 km de comprimento nasce no monte </w:t>
      </w:r>
      <w:proofErr w:type="spellStart"/>
      <w:r w:rsidRPr="00292532">
        <w:rPr>
          <w:lang w:val="pt-PT" w:eastAsia="ja-JP"/>
        </w:rPr>
        <w:t>Inago</w:t>
      </w:r>
      <w:proofErr w:type="spellEnd"/>
      <w:r w:rsidRPr="00292532">
        <w:rPr>
          <w:lang w:val="pt-PT" w:eastAsia="ja-JP"/>
        </w:rPr>
        <w:t xml:space="preserve"> a mais de 1. 700 m de altitude. A totalidade do seu percurso segue a configuração do relevo e serve de limite entre as províncias de Nampula e da Zambézia. Ele atravessa regiões agrárias, mineiras de grande importância económica. Mais para o Sul, e sensivelmente alinhados, paralelamente ao </w:t>
      </w:r>
      <w:r w:rsidR="00F034E6" w:rsidRPr="00292532">
        <w:rPr>
          <w:lang w:val="pt-PT" w:eastAsia="ja-JP"/>
        </w:rPr>
        <w:t>R</w:t>
      </w:r>
      <w:r w:rsidRPr="00292532">
        <w:rPr>
          <w:lang w:val="pt-PT" w:eastAsia="ja-JP"/>
        </w:rPr>
        <w:t xml:space="preserve">io </w:t>
      </w:r>
      <w:proofErr w:type="spellStart"/>
      <w:r w:rsidRPr="00292532">
        <w:rPr>
          <w:lang w:val="pt-PT" w:eastAsia="ja-JP"/>
        </w:rPr>
        <w:t>Ligonha</w:t>
      </w:r>
      <w:proofErr w:type="spellEnd"/>
      <w:r w:rsidRPr="00292532">
        <w:rPr>
          <w:lang w:val="pt-PT" w:eastAsia="ja-JP"/>
        </w:rPr>
        <w:t xml:space="preserve"> e com nascentes situadas nas proximidades das montanhas de Namúli, destacam-se os rios </w:t>
      </w:r>
      <w:r w:rsidR="00D9688F" w:rsidRPr="00292532">
        <w:rPr>
          <w:lang w:val="pt-PT" w:eastAsia="ja-JP"/>
        </w:rPr>
        <w:t>Molocué</w:t>
      </w:r>
      <w:r w:rsidR="00C57AE6" w:rsidRPr="00292532">
        <w:rPr>
          <w:lang w:val="pt-PT" w:eastAsia="ja-JP"/>
        </w:rPr>
        <w:t xml:space="preserve"> e</w:t>
      </w:r>
      <w:r w:rsidRPr="00292532">
        <w:rPr>
          <w:lang w:val="pt-PT" w:eastAsia="ja-JP"/>
        </w:rPr>
        <w:t xml:space="preserve"> </w:t>
      </w:r>
      <w:proofErr w:type="spellStart"/>
      <w:r w:rsidRPr="00292532">
        <w:rPr>
          <w:lang w:val="pt-PT" w:eastAsia="ja-JP"/>
        </w:rPr>
        <w:t>Melela</w:t>
      </w:r>
      <w:proofErr w:type="spellEnd"/>
      <w:r w:rsidRPr="00292532">
        <w:rPr>
          <w:lang w:val="pt-PT" w:eastAsia="ja-JP"/>
        </w:rPr>
        <w:t xml:space="preserve">. O </w:t>
      </w:r>
      <w:r w:rsidR="00F034E6" w:rsidRPr="00292532">
        <w:rPr>
          <w:lang w:val="pt-PT" w:eastAsia="ja-JP"/>
        </w:rPr>
        <w:t>R</w:t>
      </w:r>
      <w:r w:rsidRPr="00292532">
        <w:rPr>
          <w:lang w:val="pt-PT" w:eastAsia="ja-JP"/>
        </w:rPr>
        <w:t xml:space="preserve">io Licungo nasce a cerca de 1.650 m de altitude. A sua bacia hidrográfica é de 27.726 km2. Os afluentes do </w:t>
      </w:r>
      <w:r w:rsidR="00F034E6" w:rsidRPr="00292532">
        <w:rPr>
          <w:lang w:val="pt-PT" w:eastAsia="ja-JP"/>
        </w:rPr>
        <w:t>R</w:t>
      </w:r>
      <w:r w:rsidRPr="00292532">
        <w:rPr>
          <w:lang w:val="pt-PT" w:eastAsia="ja-JP"/>
        </w:rPr>
        <w:t>io Lúrio drenam regiões com grandes potencialidades ecológicas para as culturas de milho, mandioca, algodão, tabaco e chá. O desnível provocado pela passagem do rio das terras altas para as terras mais baixas, o rio apresenta numerosas quedas, favoráveis à construção de represas.</w:t>
      </w:r>
    </w:p>
    <w:p w14:paraId="6FF3988F" w14:textId="062B8961" w:rsidR="00B80737" w:rsidRPr="00292532" w:rsidRDefault="00B80737" w:rsidP="00B80737">
      <w:pPr>
        <w:rPr>
          <w:lang w:val="pt-PT" w:eastAsia="ja-JP"/>
        </w:rPr>
      </w:pPr>
    </w:p>
    <w:p w14:paraId="3C30707D" w14:textId="77777777" w:rsidR="00BD0602" w:rsidRPr="00292532" w:rsidRDefault="00BD0602" w:rsidP="00B80737">
      <w:pPr>
        <w:pStyle w:val="Caption"/>
      </w:pPr>
      <w:bookmarkStart w:id="103" w:name="_Ref72948057"/>
    </w:p>
    <w:p w14:paraId="46104EFC" w14:textId="419F77AC" w:rsidR="00BD0602" w:rsidRPr="00292532" w:rsidRDefault="00BD0602" w:rsidP="00B80737">
      <w:pPr>
        <w:pStyle w:val="Caption"/>
      </w:pPr>
      <w:r w:rsidRPr="00EC2545">
        <w:rPr>
          <w:noProof/>
          <w:lang w:val="en-US" w:eastAsia="en-US"/>
        </w:rPr>
        <w:lastRenderedPageBreak/>
        <w:drawing>
          <wp:inline distT="0" distB="0" distL="0" distR="0" wp14:anchorId="1DBECA18" wp14:editId="34B16BE7">
            <wp:extent cx="5400040" cy="3815653"/>
            <wp:effectExtent l="0" t="0" r="0" b="0"/>
            <wp:docPr id="267" name="Picture 267" descr="C:\Users\25882\Desktop\LigaMoz project\AIA\Mapas\Bacias hdrografica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5882\Desktop\LigaMoz project\AIA\Mapas\Bacias hdrograficas_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040" cy="3815653"/>
                    </a:xfrm>
                    <a:prstGeom prst="rect">
                      <a:avLst/>
                    </a:prstGeom>
                    <a:noFill/>
                    <a:ln>
                      <a:noFill/>
                    </a:ln>
                  </pic:spPr>
                </pic:pic>
              </a:graphicData>
            </a:graphic>
          </wp:inline>
        </w:drawing>
      </w:r>
    </w:p>
    <w:p w14:paraId="654D1F88" w14:textId="57EEB670" w:rsidR="00B80737" w:rsidRPr="00292532" w:rsidRDefault="00292532" w:rsidP="00B80737">
      <w:pPr>
        <w:pStyle w:val="Caption"/>
      </w:pPr>
      <w:bookmarkStart w:id="104" w:name="_Toc80380230"/>
      <w:r w:rsidRPr="00292532">
        <w:t>figura</w:t>
      </w:r>
      <w:r w:rsidR="00B80737" w:rsidRPr="00292532">
        <w:t xml:space="preserve"> </w:t>
      </w:r>
      <w:r w:rsidR="00B80737" w:rsidRPr="00292532">
        <w:fldChar w:fldCharType="begin"/>
      </w:r>
      <w:r w:rsidR="00B80737" w:rsidRPr="00292532">
        <w:instrText xml:space="preserve"> SEQ Figura \* ARABIC </w:instrText>
      </w:r>
      <w:r w:rsidR="00B80737" w:rsidRPr="00292532">
        <w:fldChar w:fldCharType="separate"/>
      </w:r>
      <w:r w:rsidR="00A74521" w:rsidRPr="00292532">
        <w:rPr>
          <w:noProof/>
        </w:rPr>
        <w:t>7</w:t>
      </w:r>
      <w:r w:rsidR="00B80737" w:rsidRPr="00292532">
        <w:fldChar w:fldCharType="end"/>
      </w:r>
      <w:bookmarkEnd w:id="103"/>
      <w:r w:rsidR="00B80737" w:rsidRPr="00292532">
        <w:t xml:space="preserve">: Distribuição das Principais Bacias Hidrográficas da Área do </w:t>
      </w:r>
      <w:proofErr w:type="spellStart"/>
      <w:r w:rsidR="00B80737" w:rsidRPr="00292532">
        <w:t>Projecto</w:t>
      </w:r>
      <w:bookmarkEnd w:id="104"/>
      <w:proofErr w:type="spellEnd"/>
    </w:p>
    <w:p w14:paraId="76C4624B" w14:textId="454C291E" w:rsidR="00D21008" w:rsidRPr="00292532" w:rsidRDefault="002A39AD" w:rsidP="00D21008">
      <w:pPr>
        <w:rPr>
          <w:lang w:val="pt-PT" w:eastAsia="ja-JP"/>
        </w:rPr>
      </w:pPr>
      <w:bookmarkStart w:id="105" w:name="_Hlk75442364"/>
      <w:r w:rsidRPr="00292532">
        <w:rPr>
          <w:lang w:val="pt-PT" w:eastAsia="ja-JP"/>
        </w:rPr>
        <w:t xml:space="preserve">Em termos de disponibilidade de águas subterrâneas, as áreas de abrangência do </w:t>
      </w:r>
      <w:proofErr w:type="spellStart"/>
      <w:r w:rsidRPr="00292532">
        <w:rPr>
          <w:lang w:val="pt-PT" w:eastAsia="ja-JP"/>
        </w:rPr>
        <w:t>Projecto</w:t>
      </w:r>
      <w:proofErr w:type="spellEnd"/>
      <w:r w:rsidRPr="00292532">
        <w:rPr>
          <w:lang w:val="pt-PT" w:eastAsia="ja-JP"/>
        </w:rPr>
        <w:t xml:space="preserve"> mostram-se maioritariamente favoráveis, salvo algumas regiões mais para o interior em que a disponibilidade é considerada desfavorável </w:t>
      </w:r>
      <w:bookmarkEnd w:id="105"/>
      <w:r w:rsidRPr="00292532">
        <w:rPr>
          <w:lang w:val="pt-PT" w:eastAsia="ja-JP"/>
        </w:rPr>
        <w:t>(</w:t>
      </w:r>
      <w:r w:rsidRPr="00292532">
        <w:rPr>
          <w:b/>
          <w:bCs/>
          <w:lang w:val="pt-PT" w:eastAsia="ja-JP"/>
        </w:rPr>
        <w:fldChar w:fldCharType="begin"/>
      </w:r>
      <w:r w:rsidRPr="00292532">
        <w:rPr>
          <w:b/>
          <w:bCs/>
          <w:lang w:val="pt-PT" w:eastAsia="ja-JP"/>
        </w:rPr>
        <w:instrText xml:space="preserve"> REF _Ref72948608 \h  \* MERGEFORMAT </w:instrText>
      </w:r>
      <w:r w:rsidRPr="00292532">
        <w:rPr>
          <w:b/>
          <w:bCs/>
          <w:lang w:val="pt-PT" w:eastAsia="ja-JP"/>
        </w:rPr>
      </w:r>
      <w:r w:rsidRPr="00292532">
        <w:rPr>
          <w:b/>
          <w:bCs/>
          <w:lang w:val="pt-PT" w:eastAsia="ja-JP"/>
        </w:rPr>
        <w:fldChar w:fldCharType="separate"/>
      </w:r>
      <w:r w:rsidRPr="00292532">
        <w:rPr>
          <w:b/>
          <w:bCs/>
          <w:lang w:val="pt-PT"/>
        </w:rPr>
        <w:t xml:space="preserve">Figura </w:t>
      </w:r>
      <w:r w:rsidRPr="00292532">
        <w:rPr>
          <w:b/>
          <w:bCs/>
          <w:noProof/>
          <w:lang w:val="pt-PT"/>
        </w:rPr>
        <w:t>8</w:t>
      </w:r>
      <w:r w:rsidRPr="00292532">
        <w:rPr>
          <w:b/>
          <w:bCs/>
          <w:lang w:val="pt-PT" w:eastAsia="ja-JP"/>
        </w:rPr>
        <w:fldChar w:fldCharType="end"/>
      </w:r>
      <w:r w:rsidRPr="00292532">
        <w:rPr>
          <w:b/>
          <w:bCs/>
          <w:lang w:val="pt-PT" w:eastAsia="ja-JP"/>
        </w:rPr>
        <w:t>)</w:t>
      </w:r>
      <w:r w:rsidRPr="00292532">
        <w:rPr>
          <w:lang w:val="pt-PT" w:eastAsia="ja-JP"/>
        </w:rPr>
        <w:t>.</w:t>
      </w:r>
    </w:p>
    <w:p w14:paraId="797BE8FA" w14:textId="59555732" w:rsidR="002A39AD" w:rsidRPr="00292532" w:rsidRDefault="00BD0602" w:rsidP="00D21008">
      <w:pPr>
        <w:rPr>
          <w:lang w:val="pt-PT" w:eastAsia="ja-JP"/>
        </w:rPr>
      </w:pPr>
      <w:r w:rsidRPr="00EC2545">
        <w:rPr>
          <w:noProof/>
          <w:lang w:val="en-US"/>
        </w:rPr>
        <w:lastRenderedPageBreak/>
        <w:drawing>
          <wp:inline distT="0" distB="0" distL="0" distR="0" wp14:anchorId="452F06AD" wp14:editId="5D6F4786">
            <wp:extent cx="5400040" cy="3815714"/>
            <wp:effectExtent l="0" t="0" r="0" b="0"/>
            <wp:docPr id="276" name="Picture 276" descr="C:\Users\25882\Desktop\LigaMoz project\AIA\Mapas\Mapa de disponibilidade de agu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5882\Desktop\LigaMoz project\AIA\Mapas\Mapa de disponibilidade de agua_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40" cy="3815714"/>
                    </a:xfrm>
                    <a:prstGeom prst="rect">
                      <a:avLst/>
                    </a:prstGeom>
                    <a:noFill/>
                    <a:ln>
                      <a:noFill/>
                    </a:ln>
                  </pic:spPr>
                </pic:pic>
              </a:graphicData>
            </a:graphic>
          </wp:inline>
        </w:drawing>
      </w:r>
    </w:p>
    <w:p w14:paraId="278E5985" w14:textId="1445D024" w:rsidR="002A39AD" w:rsidRPr="00292532" w:rsidRDefault="002A39AD" w:rsidP="002A39AD">
      <w:pPr>
        <w:pStyle w:val="Caption"/>
      </w:pPr>
      <w:bookmarkStart w:id="106" w:name="_Ref72948608"/>
      <w:bookmarkStart w:id="107" w:name="_Toc80380231"/>
      <w:r w:rsidRPr="00292532">
        <w:t xml:space="preserve">Figura </w:t>
      </w:r>
      <w:r w:rsidRPr="00292532">
        <w:fldChar w:fldCharType="begin"/>
      </w:r>
      <w:r w:rsidRPr="00292532">
        <w:instrText xml:space="preserve"> SEQ Figura \* ARABIC </w:instrText>
      </w:r>
      <w:r w:rsidRPr="00292532">
        <w:fldChar w:fldCharType="separate"/>
      </w:r>
      <w:r w:rsidR="00A74521" w:rsidRPr="00292532">
        <w:rPr>
          <w:noProof/>
        </w:rPr>
        <w:t>8</w:t>
      </w:r>
      <w:r w:rsidRPr="00292532">
        <w:fldChar w:fldCharType="end"/>
      </w:r>
      <w:bookmarkEnd w:id="106"/>
      <w:r w:rsidRPr="00292532">
        <w:t xml:space="preserve">: Disponibilidade de Águas Subterrâneas nas áreas do </w:t>
      </w:r>
      <w:proofErr w:type="spellStart"/>
      <w:r w:rsidRPr="00292532">
        <w:t>Projecto</w:t>
      </w:r>
      <w:bookmarkEnd w:id="107"/>
      <w:proofErr w:type="spellEnd"/>
    </w:p>
    <w:p w14:paraId="0EAAD57C" w14:textId="1CCC71C8" w:rsidR="002A39AD" w:rsidRPr="00292532" w:rsidRDefault="002A39AD">
      <w:pPr>
        <w:pStyle w:val="Heading3"/>
        <w:rPr>
          <w:lang w:eastAsia="ja-JP"/>
        </w:rPr>
      </w:pPr>
      <w:bookmarkStart w:id="108" w:name="_Toc80379954"/>
      <w:r w:rsidRPr="00292532">
        <w:rPr>
          <w:lang w:eastAsia="ja-JP"/>
        </w:rPr>
        <w:t>Mudanças Climáticas</w:t>
      </w:r>
      <w:bookmarkEnd w:id="108"/>
    </w:p>
    <w:p w14:paraId="7B51AE05" w14:textId="7CCDE8B2" w:rsidR="002A39AD" w:rsidRPr="00292532" w:rsidRDefault="002A39AD" w:rsidP="002A39AD">
      <w:pPr>
        <w:rPr>
          <w:lang w:val="pt-PT" w:eastAsia="ja-JP"/>
        </w:rPr>
      </w:pPr>
      <w:bookmarkStart w:id="109" w:name="_Hlk75442468"/>
      <w:r w:rsidRPr="00292532">
        <w:rPr>
          <w:lang w:val="pt-PT" w:eastAsia="ja-JP"/>
        </w:rPr>
        <w:t xml:space="preserve">Devido a sua localização geográfica, influenciada pela zona de convergência intertropical e a jusante das bacias hidrográficas partilhadas com os outros países do </w:t>
      </w:r>
      <w:proofErr w:type="spellStart"/>
      <w:r w:rsidRPr="00292532">
        <w:rPr>
          <w:lang w:val="pt-PT" w:eastAsia="ja-JP"/>
        </w:rPr>
        <w:t>interland</w:t>
      </w:r>
      <w:proofErr w:type="spellEnd"/>
      <w:r w:rsidRPr="00292532">
        <w:rPr>
          <w:lang w:val="pt-PT" w:eastAsia="ja-JP"/>
        </w:rPr>
        <w:t>, o país é dos mais vulneráveis às mudanças climáticas, como consequência da ocorrência de secas, cheias e ciclones</w:t>
      </w:r>
      <w:bookmarkEnd w:id="109"/>
      <w:r w:rsidRPr="00292532">
        <w:rPr>
          <w:lang w:val="pt-PT" w:eastAsia="ja-JP"/>
        </w:rPr>
        <w:t>. Segundo dados do MITADER (2015), todos os anos Moçambique é assolado por estes fenómenos e a tendência é de aumentar a sua ocorrência e seus impactos devido à limitação que o país tem para investir em medidas de adaptação às mudan</w:t>
      </w:r>
      <w:r w:rsidR="00982C56" w:rsidRPr="00292532">
        <w:rPr>
          <w:lang w:val="pt-PT" w:eastAsia="ja-JP"/>
        </w:rPr>
        <w:t>ças c</w:t>
      </w:r>
      <w:r w:rsidRPr="00292532">
        <w:rPr>
          <w:lang w:val="pt-PT" w:eastAsia="ja-JP"/>
        </w:rPr>
        <w:t xml:space="preserve">limáticas. </w:t>
      </w:r>
      <w:bookmarkStart w:id="110" w:name="_Hlk75442489"/>
      <w:r w:rsidRPr="00292532">
        <w:rPr>
          <w:lang w:val="pt-PT" w:eastAsia="ja-JP"/>
        </w:rPr>
        <w:t xml:space="preserve">Os ciclones tropicais têm maior incidência na zona costeira das regiões Centro e Norte, áreas de forte impacto das </w:t>
      </w:r>
      <w:proofErr w:type="spellStart"/>
      <w:r w:rsidRPr="00292532">
        <w:rPr>
          <w:lang w:val="pt-PT" w:eastAsia="ja-JP"/>
        </w:rPr>
        <w:t>actividades</w:t>
      </w:r>
      <w:proofErr w:type="spellEnd"/>
      <w:r w:rsidRPr="00292532">
        <w:rPr>
          <w:lang w:val="pt-PT" w:eastAsia="ja-JP"/>
        </w:rPr>
        <w:t xml:space="preserve"> do </w:t>
      </w:r>
      <w:proofErr w:type="spellStart"/>
      <w:r w:rsidRPr="00292532">
        <w:rPr>
          <w:lang w:val="pt-PT" w:eastAsia="ja-JP"/>
        </w:rPr>
        <w:t>projecto</w:t>
      </w:r>
      <w:proofErr w:type="spellEnd"/>
      <w:r w:rsidRPr="00292532">
        <w:rPr>
          <w:lang w:val="pt-PT" w:eastAsia="ja-JP"/>
        </w:rPr>
        <w:t xml:space="preserve">, sendo mais frequentes entre os meses de </w:t>
      </w:r>
      <w:proofErr w:type="gramStart"/>
      <w:r w:rsidRPr="00292532">
        <w:rPr>
          <w:lang w:val="pt-PT" w:eastAsia="ja-JP"/>
        </w:rPr>
        <w:t>Outubro</w:t>
      </w:r>
      <w:proofErr w:type="gramEnd"/>
      <w:r w:rsidRPr="00292532">
        <w:rPr>
          <w:lang w:val="pt-PT" w:eastAsia="ja-JP"/>
        </w:rPr>
        <w:t xml:space="preserve"> e Abril</w:t>
      </w:r>
      <w:bookmarkEnd w:id="110"/>
      <w:r w:rsidRPr="00292532">
        <w:rPr>
          <w:lang w:val="pt-PT" w:eastAsia="ja-JP"/>
        </w:rPr>
        <w:t xml:space="preserve">. Nas últimas décadas tem havido uma tendência de ocorrência de ciclones, quer em número, como em intensidade. Em 2019, Moçambique foi atingido pelos ciclones </w:t>
      </w:r>
      <w:proofErr w:type="spellStart"/>
      <w:r w:rsidRPr="00292532">
        <w:rPr>
          <w:lang w:val="pt-PT" w:eastAsia="ja-JP"/>
        </w:rPr>
        <w:t>Idai</w:t>
      </w:r>
      <w:proofErr w:type="spellEnd"/>
      <w:r w:rsidRPr="00292532">
        <w:rPr>
          <w:lang w:val="pt-PT" w:eastAsia="ja-JP"/>
        </w:rPr>
        <w:t xml:space="preserve"> e Keneth que deixaram, principalmente as províncias do centro e norte </w:t>
      </w:r>
      <w:r w:rsidR="00982C56" w:rsidRPr="00292532">
        <w:rPr>
          <w:lang w:val="pt-PT" w:eastAsia="ja-JP"/>
        </w:rPr>
        <w:t>destruídas</w:t>
      </w:r>
      <w:r w:rsidRPr="00292532">
        <w:rPr>
          <w:lang w:val="pt-PT" w:eastAsia="ja-JP"/>
        </w:rPr>
        <w:t xml:space="preserve">, colocando as populações em situação de extrema vulnerabilidade. O ciclone </w:t>
      </w:r>
      <w:proofErr w:type="spellStart"/>
      <w:r w:rsidRPr="00292532">
        <w:rPr>
          <w:lang w:val="pt-PT" w:eastAsia="ja-JP"/>
        </w:rPr>
        <w:t>Idai</w:t>
      </w:r>
      <w:proofErr w:type="spellEnd"/>
      <w:r w:rsidRPr="00292532">
        <w:rPr>
          <w:lang w:val="pt-PT" w:eastAsia="ja-JP"/>
        </w:rPr>
        <w:t xml:space="preserve"> trouxe inundações que resultaram em cerca de 1.85 milhão de pessoas a necessitarem de assistência e ajuda humanitária nas províncias de Sofala, Manica, Zambézia e Inhambane (ENAMMC, 2020). </w:t>
      </w:r>
    </w:p>
    <w:p w14:paraId="6C746BF1" w14:textId="315EEF7D" w:rsidR="002A39AD" w:rsidRPr="00292532" w:rsidRDefault="002A39AD" w:rsidP="002A39AD">
      <w:pPr>
        <w:rPr>
          <w:lang w:val="pt-PT" w:eastAsia="ja-JP"/>
        </w:rPr>
      </w:pPr>
      <w:bookmarkStart w:id="111" w:name="_Hlk75442510"/>
      <w:r w:rsidRPr="00292532">
        <w:rPr>
          <w:lang w:val="pt-PT" w:eastAsia="ja-JP"/>
        </w:rPr>
        <w:t>Vári</w:t>
      </w:r>
      <w:r w:rsidR="00381467" w:rsidRPr="00292532">
        <w:rPr>
          <w:lang w:val="pt-PT" w:eastAsia="ja-JP"/>
        </w:rPr>
        <w:t>a</w:t>
      </w:r>
      <w:r w:rsidRPr="00292532">
        <w:rPr>
          <w:lang w:val="pt-PT" w:eastAsia="ja-JP"/>
        </w:rPr>
        <w:t>s são as áreas que são fortemente assolad</w:t>
      </w:r>
      <w:r w:rsidR="00381467" w:rsidRPr="00292532">
        <w:rPr>
          <w:lang w:val="pt-PT" w:eastAsia="ja-JP"/>
        </w:rPr>
        <w:t>a</w:t>
      </w:r>
      <w:r w:rsidRPr="00292532">
        <w:rPr>
          <w:lang w:val="pt-PT" w:eastAsia="ja-JP"/>
        </w:rPr>
        <w:t xml:space="preserve">s pelos ciclones, sendo que na </w:t>
      </w:r>
      <w:r w:rsidR="00C76597" w:rsidRPr="00292532">
        <w:rPr>
          <w:lang w:val="pt-PT" w:eastAsia="ja-JP"/>
        </w:rPr>
        <w:t>P</w:t>
      </w:r>
      <w:r w:rsidRPr="00292532">
        <w:rPr>
          <w:lang w:val="pt-PT" w:eastAsia="ja-JP"/>
        </w:rPr>
        <w:t xml:space="preserve">rovíncia da Zambézia toda a zona costeira, desde Chinde a Gilé é fortemente </w:t>
      </w:r>
      <w:proofErr w:type="spellStart"/>
      <w:r w:rsidRPr="00292532">
        <w:rPr>
          <w:lang w:val="pt-PT" w:eastAsia="ja-JP"/>
        </w:rPr>
        <w:t>afectada</w:t>
      </w:r>
      <w:proofErr w:type="spellEnd"/>
      <w:r w:rsidRPr="00292532">
        <w:rPr>
          <w:lang w:val="pt-PT" w:eastAsia="ja-JP"/>
        </w:rPr>
        <w:t>. Em Nampula destacam-se o</w:t>
      </w:r>
      <w:r w:rsidR="00381467" w:rsidRPr="00292532">
        <w:rPr>
          <w:lang w:val="pt-PT" w:eastAsia="ja-JP"/>
        </w:rPr>
        <w:t>s</w:t>
      </w:r>
      <w:r w:rsidRPr="00292532">
        <w:rPr>
          <w:lang w:val="pt-PT" w:eastAsia="ja-JP"/>
        </w:rPr>
        <w:t xml:space="preserve"> Distrito</w:t>
      </w:r>
      <w:r w:rsidR="00381467" w:rsidRPr="00292532">
        <w:rPr>
          <w:lang w:val="pt-PT" w:eastAsia="ja-JP"/>
        </w:rPr>
        <w:t xml:space="preserve">s </w:t>
      </w:r>
      <w:r w:rsidRPr="00292532">
        <w:rPr>
          <w:lang w:val="pt-PT" w:eastAsia="ja-JP"/>
        </w:rPr>
        <w:t>de Moma</w:t>
      </w:r>
      <w:r w:rsidR="00381467" w:rsidRPr="00292532">
        <w:rPr>
          <w:lang w:val="pt-PT" w:eastAsia="ja-JP"/>
        </w:rPr>
        <w:t>,</w:t>
      </w:r>
      <w:r w:rsidRPr="00292532">
        <w:rPr>
          <w:lang w:val="pt-PT" w:eastAsia="ja-JP"/>
        </w:rPr>
        <w:t xml:space="preserve"> </w:t>
      </w:r>
      <w:proofErr w:type="spellStart"/>
      <w:r w:rsidRPr="00292532">
        <w:rPr>
          <w:lang w:val="pt-PT" w:eastAsia="ja-JP"/>
        </w:rPr>
        <w:t>Angoche</w:t>
      </w:r>
      <w:proofErr w:type="spellEnd"/>
      <w:r w:rsidRPr="00292532">
        <w:rPr>
          <w:lang w:val="pt-PT" w:eastAsia="ja-JP"/>
        </w:rPr>
        <w:t xml:space="preserve">, Nacala A Velha, Mossuril, </w:t>
      </w:r>
      <w:proofErr w:type="spellStart"/>
      <w:r w:rsidRPr="00292532">
        <w:rPr>
          <w:lang w:val="pt-PT" w:eastAsia="ja-JP"/>
        </w:rPr>
        <w:t>Larde</w:t>
      </w:r>
      <w:proofErr w:type="spellEnd"/>
      <w:r w:rsidRPr="00292532">
        <w:rPr>
          <w:lang w:val="pt-PT" w:eastAsia="ja-JP"/>
        </w:rPr>
        <w:t xml:space="preserve"> e Pebane. O risco é alto em diversos outros distritos das províncias de Nampula e Zambézia.</w:t>
      </w:r>
    </w:p>
    <w:bookmarkEnd w:id="111"/>
    <w:p w14:paraId="1888CC1F" w14:textId="26769858" w:rsidR="002A39AD" w:rsidRPr="00292532" w:rsidRDefault="00982C56" w:rsidP="00D21008">
      <w:pPr>
        <w:rPr>
          <w:lang w:val="pt-PT" w:eastAsia="ja-JP"/>
        </w:rPr>
      </w:pPr>
      <w:proofErr w:type="spellStart"/>
      <w:r w:rsidRPr="00292532">
        <w:rPr>
          <w:lang w:val="pt-PT" w:eastAsia="ja-JP"/>
        </w:rPr>
        <w:t>Projecções</w:t>
      </w:r>
      <w:proofErr w:type="spellEnd"/>
      <w:r w:rsidRPr="00292532">
        <w:rPr>
          <w:lang w:val="pt-PT" w:eastAsia="ja-JP"/>
        </w:rPr>
        <w:t xml:space="preserve"> do IN</w:t>
      </w:r>
      <w:r w:rsidR="005D718E">
        <w:rPr>
          <w:lang w:val="pt-PT" w:eastAsia="ja-JP"/>
        </w:rPr>
        <w:t>GD</w:t>
      </w:r>
      <w:r w:rsidRPr="00292532">
        <w:rPr>
          <w:lang w:val="pt-PT" w:eastAsia="ja-JP"/>
        </w:rPr>
        <w:t xml:space="preserve"> antecipam que as mudanças climáticas em Moçambique se manifestem principalmente nos padrões de temperatura da atmosfera (aumento médio entre 1,5 </w:t>
      </w:r>
      <w:proofErr w:type="spellStart"/>
      <w:r w:rsidRPr="00292532">
        <w:rPr>
          <w:lang w:val="pt-PT" w:eastAsia="ja-JP"/>
        </w:rPr>
        <w:t>ºC</w:t>
      </w:r>
      <w:proofErr w:type="spellEnd"/>
      <w:r w:rsidRPr="00292532">
        <w:rPr>
          <w:lang w:val="pt-PT" w:eastAsia="ja-JP"/>
        </w:rPr>
        <w:t xml:space="preserve"> a 3,0 °C no período entre 2046 a 2065 e registo de mais dias quentes e menos dias frios); padrões de precipitação (com comportamento irregular das chuvas em termos de momento de início e </w:t>
      </w:r>
      <w:r w:rsidRPr="00292532">
        <w:rPr>
          <w:lang w:val="pt-PT" w:eastAsia="ja-JP"/>
        </w:rPr>
        <w:lastRenderedPageBreak/>
        <w:t>término, carga pluviométrica); aumento da frequência e intensidade dos eventos extremos (persistência de situação de cheias extraordinárias em locais identificáveis do país e que se podem referir como “zonas de risco” e secas prolongadas); subida do nível das águas do mar (15 cm, 30 cm e 45 cm). (</w:t>
      </w:r>
      <w:proofErr w:type="spellStart"/>
      <w:r w:rsidRPr="00292532">
        <w:rPr>
          <w:lang w:val="pt-PT" w:eastAsia="ja-JP"/>
        </w:rPr>
        <w:t>Maueua</w:t>
      </w:r>
      <w:proofErr w:type="spellEnd"/>
      <w:r w:rsidRPr="00292532">
        <w:rPr>
          <w:lang w:val="pt-PT" w:eastAsia="ja-JP"/>
        </w:rPr>
        <w:t xml:space="preserve"> </w:t>
      </w:r>
      <w:proofErr w:type="spellStart"/>
      <w:r w:rsidRPr="00292532">
        <w:rPr>
          <w:lang w:val="pt-PT" w:eastAsia="ja-JP"/>
        </w:rPr>
        <w:t>et</w:t>
      </w:r>
      <w:proofErr w:type="spellEnd"/>
      <w:r w:rsidRPr="00292532">
        <w:rPr>
          <w:lang w:val="pt-PT" w:eastAsia="ja-JP"/>
        </w:rPr>
        <w:t xml:space="preserve"> al, 2007). A</w:t>
      </w:r>
      <w:r w:rsidRPr="00292532">
        <w:rPr>
          <w:b/>
          <w:bCs/>
          <w:lang w:val="pt-PT" w:eastAsia="ja-JP"/>
        </w:rPr>
        <w:t xml:space="preserve"> </w:t>
      </w:r>
      <w:r w:rsidRPr="00292532">
        <w:rPr>
          <w:b/>
          <w:bCs/>
          <w:lang w:val="pt-PT" w:eastAsia="ja-JP"/>
        </w:rPr>
        <w:fldChar w:fldCharType="begin"/>
      </w:r>
      <w:r w:rsidRPr="00292532">
        <w:rPr>
          <w:b/>
          <w:bCs/>
          <w:lang w:val="pt-PT" w:eastAsia="ja-JP"/>
        </w:rPr>
        <w:instrText xml:space="preserve"> REF _Ref72949066 \h </w:instrText>
      </w:r>
      <w:r w:rsidR="00B31E2E" w:rsidRPr="00292532">
        <w:rPr>
          <w:b/>
          <w:bCs/>
          <w:lang w:val="pt-PT" w:eastAsia="ja-JP"/>
        </w:rPr>
        <w:instrText xml:space="preserve"> \* MERGEFORMAT </w:instrText>
      </w:r>
      <w:r w:rsidRPr="00292532">
        <w:rPr>
          <w:b/>
          <w:bCs/>
          <w:lang w:val="pt-PT" w:eastAsia="ja-JP"/>
        </w:rPr>
      </w:r>
      <w:r w:rsidRPr="00292532">
        <w:rPr>
          <w:b/>
          <w:bCs/>
          <w:lang w:val="pt-PT" w:eastAsia="ja-JP"/>
        </w:rPr>
        <w:fldChar w:fldCharType="separate"/>
      </w:r>
      <w:r w:rsidRPr="00292532">
        <w:rPr>
          <w:b/>
          <w:bCs/>
          <w:lang w:val="pt-PT"/>
        </w:rPr>
        <w:t xml:space="preserve">Figura </w:t>
      </w:r>
      <w:r w:rsidRPr="00292532">
        <w:rPr>
          <w:b/>
          <w:bCs/>
          <w:noProof/>
          <w:lang w:val="pt-PT"/>
        </w:rPr>
        <w:t>9</w:t>
      </w:r>
      <w:r w:rsidRPr="00292532">
        <w:rPr>
          <w:b/>
          <w:bCs/>
          <w:lang w:val="pt-PT" w:eastAsia="ja-JP"/>
        </w:rPr>
        <w:fldChar w:fldCharType="end"/>
      </w:r>
      <w:r w:rsidRPr="00292532">
        <w:rPr>
          <w:lang w:val="pt-PT" w:eastAsia="ja-JP"/>
        </w:rPr>
        <w:t xml:space="preserve"> classifica às áreas de abrangência do </w:t>
      </w:r>
      <w:proofErr w:type="spellStart"/>
      <w:r w:rsidRPr="00292532">
        <w:rPr>
          <w:lang w:val="pt-PT" w:eastAsia="ja-JP"/>
        </w:rPr>
        <w:t>Projecto</w:t>
      </w:r>
      <w:proofErr w:type="spellEnd"/>
      <w:r w:rsidRPr="00292532">
        <w:rPr>
          <w:lang w:val="pt-PT" w:eastAsia="ja-JP"/>
        </w:rPr>
        <w:t xml:space="preserve"> consoante o risco à</w:t>
      </w:r>
      <w:r w:rsidR="00C76597" w:rsidRPr="00292532">
        <w:rPr>
          <w:lang w:val="pt-PT" w:eastAsia="ja-JP"/>
        </w:rPr>
        <w:t>s</w:t>
      </w:r>
      <w:r w:rsidRPr="00292532">
        <w:rPr>
          <w:lang w:val="pt-PT" w:eastAsia="ja-JP"/>
        </w:rPr>
        <w:t xml:space="preserve"> cheias. </w:t>
      </w:r>
    </w:p>
    <w:p w14:paraId="217A40B4" w14:textId="7C97501A" w:rsidR="00982C56" w:rsidRPr="00292532" w:rsidRDefault="00982C56" w:rsidP="00D21008">
      <w:pPr>
        <w:rPr>
          <w:lang w:val="pt-PT" w:eastAsia="ja-JP"/>
        </w:rPr>
      </w:pPr>
      <w:bookmarkStart w:id="112" w:name="_Hlk75442533"/>
      <w:r w:rsidRPr="00292532">
        <w:rPr>
          <w:lang w:val="pt-PT" w:eastAsia="ja-JP"/>
        </w:rPr>
        <w:t>Todos os distritos situados ao longo da</w:t>
      </w:r>
      <w:r w:rsidR="00381467" w:rsidRPr="00292532">
        <w:rPr>
          <w:lang w:val="pt-PT" w:eastAsia="ja-JP"/>
        </w:rPr>
        <w:t xml:space="preserve"> faixa costeira</w:t>
      </w:r>
      <w:r w:rsidRPr="00292532">
        <w:rPr>
          <w:lang w:val="pt-PT" w:eastAsia="ja-JP"/>
        </w:rPr>
        <w:t xml:space="preserve"> abrangidos pelo </w:t>
      </w:r>
      <w:proofErr w:type="spellStart"/>
      <w:r w:rsidRPr="00292532">
        <w:rPr>
          <w:lang w:val="pt-PT" w:eastAsia="ja-JP"/>
        </w:rPr>
        <w:t>projecto</w:t>
      </w:r>
      <w:proofErr w:type="spellEnd"/>
      <w:r w:rsidRPr="00292532">
        <w:rPr>
          <w:lang w:val="pt-PT" w:eastAsia="ja-JP"/>
        </w:rPr>
        <w:t xml:space="preserve">, possuem mangais, ecossistemas com grande importância para a biodiversidade, contribuição para a resiliência às mudanças climáticas, mas também </w:t>
      </w:r>
      <w:r w:rsidR="00381467" w:rsidRPr="00292532">
        <w:rPr>
          <w:lang w:val="pt-PT" w:eastAsia="ja-JP"/>
        </w:rPr>
        <w:t xml:space="preserve">ao </w:t>
      </w:r>
      <w:r w:rsidRPr="00292532">
        <w:rPr>
          <w:lang w:val="pt-PT" w:eastAsia="ja-JP"/>
        </w:rPr>
        <w:t>valor socioeconómico</w:t>
      </w:r>
      <w:bookmarkEnd w:id="112"/>
      <w:r w:rsidRPr="00292532">
        <w:rPr>
          <w:lang w:val="pt-PT" w:eastAsia="ja-JP"/>
        </w:rPr>
        <w:t>.</w:t>
      </w:r>
    </w:p>
    <w:p w14:paraId="5FA59231" w14:textId="2553A21B" w:rsidR="00982C56" w:rsidRPr="00292532" w:rsidRDefault="00BD0602" w:rsidP="00D21008">
      <w:pPr>
        <w:rPr>
          <w:lang w:val="pt-PT" w:eastAsia="ja-JP"/>
        </w:rPr>
      </w:pPr>
      <w:r w:rsidRPr="00EC2545">
        <w:rPr>
          <w:noProof/>
          <w:lang w:val="en-US"/>
        </w:rPr>
        <w:drawing>
          <wp:inline distT="0" distB="0" distL="0" distR="0" wp14:anchorId="74C41672" wp14:editId="30EF6E0B">
            <wp:extent cx="5400040" cy="3814662"/>
            <wp:effectExtent l="0" t="0" r="0" b="0"/>
            <wp:docPr id="277" name="Picture 277" descr="C:\Users\25882\Desktop\LigaMoz project\AIA\Mapas\Mapa de rosco de inuncaca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5882\Desktop\LigaMoz project\AIA\Mapas\Mapa de rosco de inuncacao_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40" cy="3814662"/>
                    </a:xfrm>
                    <a:prstGeom prst="rect">
                      <a:avLst/>
                    </a:prstGeom>
                    <a:noFill/>
                    <a:ln>
                      <a:noFill/>
                    </a:ln>
                  </pic:spPr>
                </pic:pic>
              </a:graphicData>
            </a:graphic>
          </wp:inline>
        </w:drawing>
      </w:r>
    </w:p>
    <w:p w14:paraId="43F7D738" w14:textId="58DD7D92" w:rsidR="00D21008" w:rsidRPr="00292532" w:rsidRDefault="00982C56" w:rsidP="00982C56">
      <w:pPr>
        <w:pStyle w:val="Caption"/>
      </w:pPr>
      <w:bookmarkStart w:id="113" w:name="_Ref72949066"/>
      <w:bookmarkStart w:id="114" w:name="_Toc80380232"/>
      <w:r w:rsidRPr="00292532">
        <w:t xml:space="preserve">Figura </w:t>
      </w:r>
      <w:r w:rsidRPr="00292532">
        <w:fldChar w:fldCharType="begin"/>
      </w:r>
      <w:r w:rsidRPr="00292532">
        <w:instrText xml:space="preserve"> SEQ Figura \* ARABIC </w:instrText>
      </w:r>
      <w:r w:rsidRPr="00292532">
        <w:fldChar w:fldCharType="separate"/>
      </w:r>
      <w:r w:rsidR="00A74521" w:rsidRPr="00292532">
        <w:rPr>
          <w:noProof/>
        </w:rPr>
        <w:t>9</w:t>
      </w:r>
      <w:r w:rsidRPr="00292532">
        <w:fldChar w:fldCharType="end"/>
      </w:r>
      <w:bookmarkEnd w:id="113"/>
      <w:r w:rsidRPr="00292532">
        <w:t>: Vulnerabilidade às Mudanças Climáticas</w:t>
      </w:r>
      <w:bookmarkEnd w:id="114"/>
    </w:p>
    <w:p w14:paraId="5A43A6E2" w14:textId="77777777" w:rsidR="00982C56" w:rsidRPr="00292532" w:rsidRDefault="00982C56" w:rsidP="00982C56">
      <w:pPr>
        <w:rPr>
          <w:lang w:val="pt-PT" w:eastAsia="ja-JP"/>
        </w:rPr>
      </w:pPr>
    </w:p>
    <w:p w14:paraId="293D6DF1" w14:textId="679FB475" w:rsidR="00982C56" w:rsidRPr="00292532" w:rsidRDefault="00982C56">
      <w:pPr>
        <w:pStyle w:val="Heading3"/>
        <w:rPr>
          <w:lang w:eastAsia="ja-JP"/>
        </w:rPr>
      </w:pPr>
      <w:bookmarkStart w:id="115" w:name="_Toc80379955"/>
      <w:r w:rsidRPr="00292532">
        <w:rPr>
          <w:lang w:eastAsia="ja-JP"/>
        </w:rPr>
        <w:t>Biodiversidade Local</w:t>
      </w:r>
      <w:bookmarkEnd w:id="115"/>
    </w:p>
    <w:p w14:paraId="13E8BED0" w14:textId="3521B290" w:rsidR="001C3C35" w:rsidRPr="00292532" w:rsidRDefault="006B5C6F" w:rsidP="00982C56">
      <w:pPr>
        <w:rPr>
          <w:lang w:val="pt-PT" w:eastAsia="ja-JP"/>
        </w:rPr>
      </w:pPr>
      <w:r w:rsidRPr="00292532">
        <w:rPr>
          <w:lang w:val="pt-PT" w:eastAsia="ja-JP"/>
        </w:rPr>
        <w:t xml:space="preserve">O mapa na </w:t>
      </w:r>
      <w:r w:rsidRPr="00292532">
        <w:rPr>
          <w:b/>
          <w:bCs/>
          <w:lang w:val="pt-PT" w:eastAsia="ja-JP"/>
        </w:rPr>
        <w:fldChar w:fldCharType="begin"/>
      </w:r>
      <w:r w:rsidRPr="00292532">
        <w:rPr>
          <w:b/>
          <w:bCs/>
          <w:lang w:val="pt-PT" w:eastAsia="ja-JP"/>
        </w:rPr>
        <w:instrText xml:space="preserve"> REF _Ref72950242 \h  \* MERGEFORMAT </w:instrText>
      </w:r>
      <w:r w:rsidRPr="00292532">
        <w:rPr>
          <w:b/>
          <w:bCs/>
          <w:lang w:val="pt-PT" w:eastAsia="ja-JP"/>
        </w:rPr>
      </w:r>
      <w:r w:rsidRPr="00292532">
        <w:rPr>
          <w:b/>
          <w:bCs/>
          <w:lang w:val="pt-PT" w:eastAsia="ja-JP"/>
        </w:rPr>
        <w:fldChar w:fldCharType="separate"/>
      </w:r>
      <w:r w:rsidRPr="00292532">
        <w:rPr>
          <w:b/>
          <w:bCs/>
          <w:lang w:val="pt-PT"/>
        </w:rPr>
        <w:t xml:space="preserve">Figura </w:t>
      </w:r>
      <w:r w:rsidRPr="00292532">
        <w:rPr>
          <w:b/>
          <w:bCs/>
          <w:noProof/>
          <w:lang w:val="pt-PT"/>
        </w:rPr>
        <w:t>10</w:t>
      </w:r>
      <w:r w:rsidRPr="00292532">
        <w:rPr>
          <w:b/>
          <w:bCs/>
          <w:lang w:val="pt-PT" w:eastAsia="ja-JP"/>
        </w:rPr>
        <w:fldChar w:fldCharType="end"/>
      </w:r>
      <w:r w:rsidRPr="00292532">
        <w:rPr>
          <w:lang w:val="pt-PT" w:eastAsia="ja-JP"/>
        </w:rPr>
        <w:t xml:space="preserve"> </w:t>
      </w:r>
      <w:r w:rsidR="00B31E2E" w:rsidRPr="00292532">
        <w:rPr>
          <w:lang w:val="pt-PT" w:eastAsia="ja-JP"/>
        </w:rPr>
        <w:t>apresenta</w:t>
      </w:r>
      <w:r w:rsidRPr="00292532">
        <w:rPr>
          <w:lang w:val="pt-PT" w:eastAsia="ja-JP"/>
        </w:rPr>
        <w:t xml:space="preserve"> os vários usos e tipo</w:t>
      </w:r>
      <w:r w:rsidR="00B31E2E" w:rsidRPr="00292532">
        <w:rPr>
          <w:lang w:val="pt-PT" w:eastAsia="ja-JP"/>
        </w:rPr>
        <w:t xml:space="preserve"> </w:t>
      </w:r>
      <w:r w:rsidRPr="00292532">
        <w:rPr>
          <w:lang w:val="pt-PT" w:eastAsia="ja-JP"/>
        </w:rPr>
        <w:t xml:space="preserve">de cobertura da terra nas áreas de abrangência do </w:t>
      </w:r>
      <w:proofErr w:type="spellStart"/>
      <w:r w:rsidRPr="00292532">
        <w:rPr>
          <w:lang w:val="pt-PT" w:eastAsia="ja-JP"/>
        </w:rPr>
        <w:t>Projecto</w:t>
      </w:r>
      <w:proofErr w:type="spellEnd"/>
      <w:r w:rsidRPr="00292532">
        <w:rPr>
          <w:lang w:val="pt-PT" w:eastAsia="ja-JP"/>
        </w:rPr>
        <w:t xml:space="preserve">, predominando as florestas. A área de dispersão da floresta está relacionada com o clima, continentalidade, altitude e as condições edáficas. Elas apresentam características mesófilas subequatoriais com grande diversidade e tamanho de árvores que atingem até 35 m de altura. Para esta floresta, o clima </w:t>
      </w:r>
      <w:r w:rsidR="0005701F" w:rsidRPr="00292532">
        <w:rPr>
          <w:lang w:val="pt-PT" w:eastAsia="ja-JP"/>
        </w:rPr>
        <w:t>subequatorial</w:t>
      </w:r>
      <w:r w:rsidRPr="00292532">
        <w:rPr>
          <w:lang w:val="pt-PT" w:eastAsia="ja-JP"/>
        </w:rPr>
        <w:t xml:space="preserve"> do norte do país e de todo o litoral, propiciam as melhores condições, devido às características de humidade e pluviosidade.</w:t>
      </w:r>
    </w:p>
    <w:p w14:paraId="0C65C418" w14:textId="77777777" w:rsidR="00B31E2E" w:rsidRPr="00292532" w:rsidRDefault="00B31E2E" w:rsidP="00B31E2E">
      <w:pPr>
        <w:rPr>
          <w:lang w:val="pt-PT" w:eastAsia="ja-JP"/>
        </w:rPr>
      </w:pPr>
      <w:bookmarkStart w:id="116" w:name="_Hlk75442562"/>
      <w:r w:rsidRPr="00292532">
        <w:rPr>
          <w:lang w:val="pt-PT" w:eastAsia="ja-JP"/>
        </w:rPr>
        <w:t xml:space="preserve">Nas áreas do </w:t>
      </w:r>
      <w:proofErr w:type="spellStart"/>
      <w:r w:rsidRPr="00292532">
        <w:rPr>
          <w:lang w:val="pt-PT" w:eastAsia="ja-JP"/>
        </w:rPr>
        <w:t>projecto</w:t>
      </w:r>
      <w:proofErr w:type="spellEnd"/>
      <w:r w:rsidRPr="00292532">
        <w:rPr>
          <w:lang w:val="pt-PT" w:eastAsia="ja-JP"/>
        </w:rPr>
        <w:t xml:space="preserve"> encontram-se distribuídas florestas </w:t>
      </w:r>
      <w:proofErr w:type="spellStart"/>
      <w:r w:rsidRPr="00292532">
        <w:rPr>
          <w:lang w:val="pt-PT" w:eastAsia="ja-JP"/>
        </w:rPr>
        <w:t>sempreverde</w:t>
      </w:r>
      <w:proofErr w:type="spellEnd"/>
      <w:r w:rsidRPr="00292532">
        <w:rPr>
          <w:lang w:val="pt-PT" w:eastAsia="ja-JP"/>
        </w:rPr>
        <w:t>, floresta com grande densidade do estrato arbóreo, com árvores de tronco grosso, com amplas copas que se elevam até a uma altura de 10 a 20 m</w:t>
      </w:r>
      <w:bookmarkEnd w:id="116"/>
      <w:r w:rsidRPr="00292532">
        <w:rPr>
          <w:lang w:val="pt-PT" w:eastAsia="ja-JP"/>
        </w:rPr>
        <w:t xml:space="preserve">. Estas ocorrem sobretudo, nas zonas montanhosas e a densidade </w:t>
      </w:r>
      <w:r w:rsidRPr="00292532">
        <w:rPr>
          <w:lang w:val="pt-PT" w:eastAsia="ja-JP"/>
        </w:rPr>
        <w:lastRenderedPageBreak/>
        <w:t xml:space="preserve">em espécies é maior nas encostas voltadas para leste em altitudes compreendidas entre 1200 e 1600 m e onde a pluviosidade é superior a 1500 mm. </w:t>
      </w:r>
    </w:p>
    <w:p w14:paraId="3720788D" w14:textId="27D0E3D2" w:rsidR="00B31E2E" w:rsidRPr="00292532" w:rsidRDefault="00B31E2E" w:rsidP="00B31E2E">
      <w:pPr>
        <w:rPr>
          <w:lang w:val="pt-PT" w:eastAsia="ja-JP"/>
        </w:rPr>
      </w:pPr>
      <w:r w:rsidRPr="00292532">
        <w:rPr>
          <w:lang w:val="pt-PT" w:eastAsia="ja-JP"/>
        </w:rPr>
        <w:t xml:space="preserve">Na </w:t>
      </w:r>
      <w:r w:rsidR="00C76597" w:rsidRPr="00292532">
        <w:rPr>
          <w:lang w:val="pt-PT" w:eastAsia="ja-JP"/>
        </w:rPr>
        <w:t>P</w:t>
      </w:r>
      <w:r w:rsidRPr="00292532">
        <w:rPr>
          <w:lang w:val="pt-PT" w:eastAsia="ja-JP"/>
        </w:rPr>
        <w:t xml:space="preserve">rovíncia da Zambézia a cobertura florestal abrange maioritariamente terras altas de </w:t>
      </w:r>
      <w:proofErr w:type="spellStart"/>
      <w:r w:rsidRPr="00292532">
        <w:rPr>
          <w:lang w:val="pt-PT" w:eastAsia="ja-JP"/>
        </w:rPr>
        <w:t>Milange</w:t>
      </w:r>
      <w:proofErr w:type="spellEnd"/>
      <w:r w:rsidRPr="00292532">
        <w:rPr>
          <w:lang w:val="pt-PT" w:eastAsia="ja-JP"/>
        </w:rPr>
        <w:t xml:space="preserve">, Namúli, </w:t>
      </w:r>
      <w:proofErr w:type="spellStart"/>
      <w:r w:rsidRPr="00292532">
        <w:rPr>
          <w:lang w:val="pt-PT" w:eastAsia="ja-JP"/>
        </w:rPr>
        <w:t>Gúruè</w:t>
      </w:r>
      <w:proofErr w:type="spellEnd"/>
      <w:r w:rsidRPr="00292532">
        <w:rPr>
          <w:lang w:val="pt-PT" w:eastAsia="ja-JP"/>
        </w:rPr>
        <w:t xml:space="preserve"> e Morrumbala. Ocorrem igualmente, ao longo da província de Nampula entre </w:t>
      </w:r>
      <w:proofErr w:type="spellStart"/>
      <w:r w:rsidRPr="00292532">
        <w:rPr>
          <w:lang w:val="pt-PT" w:eastAsia="ja-JP"/>
        </w:rPr>
        <w:t>Ribaúe</w:t>
      </w:r>
      <w:proofErr w:type="spellEnd"/>
      <w:r w:rsidRPr="00292532">
        <w:rPr>
          <w:lang w:val="pt-PT" w:eastAsia="ja-JP"/>
        </w:rPr>
        <w:t xml:space="preserve">, Mossuril e </w:t>
      </w:r>
      <w:proofErr w:type="spellStart"/>
      <w:r w:rsidRPr="00292532">
        <w:rPr>
          <w:lang w:val="pt-PT" w:eastAsia="ja-JP"/>
        </w:rPr>
        <w:t>Monapo</w:t>
      </w:r>
      <w:proofErr w:type="spellEnd"/>
      <w:r w:rsidRPr="00292532">
        <w:rPr>
          <w:lang w:val="pt-PT" w:eastAsia="ja-JP"/>
        </w:rPr>
        <w:t xml:space="preserve">, em altitudes que variam entre 750 e 850 m e onde a pluviosidade é superior a 1000 mm, florestas </w:t>
      </w:r>
      <w:proofErr w:type="spellStart"/>
      <w:r w:rsidRPr="00292532">
        <w:rPr>
          <w:lang w:val="pt-PT" w:eastAsia="ja-JP"/>
        </w:rPr>
        <w:t>semi-decíduas</w:t>
      </w:r>
      <w:proofErr w:type="spellEnd"/>
      <w:r w:rsidRPr="00292532">
        <w:rPr>
          <w:lang w:val="pt-PT" w:eastAsia="ja-JP"/>
        </w:rPr>
        <w:t>. Em ambas províncias, os principais tipos de vegetação natural incluem as florestas (</w:t>
      </w:r>
      <w:proofErr w:type="spellStart"/>
      <w:r w:rsidRPr="00292532">
        <w:rPr>
          <w:lang w:val="pt-PT" w:eastAsia="ja-JP"/>
        </w:rPr>
        <w:t>semi</w:t>
      </w:r>
      <w:proofErr w:type="spellEnd"/>
      <w:r w:rsidRPr="00292532">
        <w:rPr>
          <w:lang w:val="pt-PT" w:eastAsia="ja-JP"/>
        </w:rPr>
        <w:t xml:space="preserve">-) </w:t>
      </w:r>
      <w:proofErr w:type="spellStart"/>
      <w:r w:rsidRPr="00292532">
        <w:rPr>
          <w:lang w:val="pt-PT" w:eastAsia="ja-JP"/>
        </w:rPr>
        <w:t>sempreverdes</w:t>
      </w:r>
      <w:proofErr w:type="spellEnd"/>
      <w:r w:rsidRPr="00292532">
        <w:rPr>
          <w:lang w:val="pt-PT" w:eastAsia="ja-JP"/>
        </w:rPr>
        <w:t xml:space="preserve"> húmidas de montanha e pradarias de montanha e </w:t>
      </w:r>
      <w:proofErr w:type="spellStart"/>
      <w:r w:rsidRPr="00292532">
        <w:rPr>
          <w:lang w:val="pt-PT" w:eastAsia="ja-JP"/>
        </w:rPr>
        <w:t>miombo</w:t>
      </w:r>
      <w:proofErr w:type="spellEnd"/>
      <w:r w:rsidRPr="00292532">
        <w:rPr>
          <w:lang w:val="pt-PT" w:eastAsia="ja-JP"/>
        </w:rPr>
        <w:t xml:space="preserve"> húmido; </w:t>
      </w:r>
      <w:proofErr w:type="spellStart"/>
      <w:r w:rsidRPr="00292532">
        <w:rPr>
          <w:lang w:val="pt-PT" w:eastAsia="ja-JP"/>
        </w:rPr>
        <w:t>miombo</w:t>
      </w:r>
      <w:proofErr w:type="spellEnd"/>
      <w:r w:rsidRPr="00292532">
        <w:rPr>
          <w:lang w:val="pt-PT" w:eastAsia="ja-JP"/>
        </w:rPr>
        <w:t xml:space="preserve"> médio, que ocupam a maior extensão destas províncias; </w:t>
      </w:r>
      <w:proofErr w:type="spellStart"/>
      <w:r w:rsidRPr="00292532">
        <w:rPr>
          <w:lang w:val="pt-PT" w:eastAsia="ja-JP"/>
        </w:rPr>
        <w:t>miombo</w:t>
      </w:r>
      <w:proofErr w:type="spellEnd"/>
      <w:r w:rsidRPr="00292532">
        <w:rPr>
          <w:lang w:val="pt-PT" w:eastAsia="ja-JP"/>
        </w:rPr>
        <w:t xml:space="preserve"> seco; e florestas secas decíduas indiferenciadas, em pequenas manchas na zona costeira. A floresta sempre verde apresenta uma densidade do estrato </w:t>
      </w:r>
      <w:r w:rsidR="0005701F" w:rsidRPr="00292532">
        <w:rPr>
          <w:lang w:val="pt-PT" w:eastAsia="ja-JP"/>
        </w:rPr>
        <w:t>arbóreo</w:t>
      </w:r>
      <w:r w:rsidRPr="00292532">
        <w:rPr>
          <w:lang w:val="pt-PT" w:eastAsia="ja-JP"/>
        </w:rPr>
        <w:t xml:space="preserve">, com árvores de tronco grosso, com amplas copas que se elevam até a uma altura de aproximadamente 10 a 20 m. Em geral as folhas são pequenas e caducas, raramente largas e perenes. O estrato herbáceo é pobre e constituído por gramíneas curtas. Nesta floresta predominam espécies dos géneros </w:t>
      </w:r>
      <w:proofErr w:type="spellStart"/>
      <w:r w:rsidRPr="00292532">
        <w:rPr>
          <w:i/>
          <w:iCs/>
          <w:lang w:val="pt-PT" w:eastAsia="ja-JP"/>
        </w:rPr>
        <w:t>Pittosporum</w:t>
      </w:r>
      <w:proofErr w:type="spellEnd"/>
      <w:r w:rsidRPr="00292532">
        <w:rPr>
          <w:i/>
          <w:iCs/>
          <w:lang w:val="pt-PT" w:eastAsia="ja-JP"/>
        </w:rPr>
        <w:t xml:space="preserve">, </w:t>
      </w:r>
      <w:proofErr w:type="spellStart"/>
      <w:r w:rsidRPr="00292532">
        <w:rPr>
          <w:i/>
          <w:iCs/>
          <w:lang w:val="pt-PT" w:eastAsia="ja-JP"/>
        </w:rPr>
        <w:t>Ilex</w:t>
      </w:r>
      <w:proofErr w:type="spellEnd"/>
      <w:r w:rsidRPr="00292532">
        <w:rPr>
          <w:i/>
          <w:iCs/>
          <w:lang w:val="pt-PT" w:eastAsia="ja-JP"/>
        </w:rPr>
        <w:t xml:space="preserve">, </w:t>
      </w:r>
      <w:proofErr w:type="spellStart"/>
      <w:r w:rsidRPr="00292532">
        <w:rPr>
          <w:i/>
          <w:iCs/>
          <w:lang w:val="pt-PT" w:eastAsia="ja-JP"/>
        </w:rPr>
        <w:t>Rapanea</w:t>
      </w:r>
      <w:proofErr w:type="spellEnd"/>
      <w:r w:rsidRPr="00292532">
        <w:rPr>
          <w:i/>
          <w:iCs/>
          <w:lang w:val="pt-PT" w:eastAsia="ja-JP"/>
        </w:rPr>
        <w:t xml:space="preserve">, </w:t>
      </w:r>
      <w:proofErr w:type="spellStart"/>
      <w:r w:rsidRPr="00292532">
        <w:rPr>
          <w:i/>
          <w:iCs/>
          <w:lang w:val="pt-PT" w:eastAsia="ja-JP"/>
        </w:rPr>
        <w:t>Widdrintonia</w:t>
      </w:r>
      <w:proofErr w:type="spellEnd"/>
      <w:r w:rsidRPr="00292532">
        <w:rPr>
          <w:i/>
          <w:iCs/>
          <w:lang w:val="pt-PT" w:eastAsia="ja-JP"/>
        </w:rPr>
        <w:t xml:space="preserve">, </w:t>
      </w:r>
      <w:proofErr w:type="spellStart"/>
      <w:r w:rsidRPr="00292532">
        <w:rPr>
          <w:i/>
          <w:iCs/>
          <w:lang w:val="pt-PT" w:eastAsia="ja-JP"/>
        </w:rPr>
        <w:t>Podocarpus</w:t>
      </w:r>
      <w:proofErr w:type="spellEnd"/>
      <w:r w:rsidRPr="00292532">
        <w:rPr>
          <w:lang w:val="pt-PT" w:eastAsia="ja-JP"/>
        </w:rPr>
        <w:t xml:space="preserve"> e várias espécies de ervas tais como </w:t>
      </w:r>
      <w:proofErr w:type="spellStart"/>
      <w:r w:rsidRPr="00292532">
        <w:rPr>
          <w:i/>
          <w:iCs/>
          <w:lang w:val="pt-PT" w:eastAsia="ja-JP"/>
        </w:rPr>
        <w:t>Panicum</w:t>
      </w:r>
      <w:proofErr w:type="spellEnd"/>
      <w:r w:rsidRPr="00292532">
        <w:rPr>
          <w:i/>
          <w:iCs/>
          <w:lang w:val="pt-PT" w:eastAsia="ja-JP"/>
        </w:rPr>
        <w:t xml:space="preserve"> montícola, </w:t>
      </w:r>
      <w:proofErr w:type="spellStart"/>
      <w:r w:rsidRPr="00292532">
        <w:rPr>
          <w:i/>
          <w:iCs/>
          <w:lang w:val="pt-PT" w:eastAsia="ja-JP"/>
        </w:rPr>
        <w:t>Oplismenus</w:t>
      </w:r>
      <w:proofErr w:type="spellEnd"/>
      <w:r w:rsidRPr="00292532">
        <w:rPr>
          <w:i/>
          <w:iCs/>
          <w:lang w:val="pt-PT" w:eastAsia="ja-JP"/>
        </w:rPr>
        <w:t xml:space="preserve"> </w:t>
      </w:r>
      <w:proofErr w:type="spellStart"/>
      <w:r w:rsidRPr="00292532">
        <w:rPr>
          <w:i/>
          <w:iCs/>
          <w:lang w:val="pt-PT" w:eastAsia="ja-JP"/>
        </w:rPr>
        <w:t>hirtellus</w:t>
      </w:r>
      <w:proofErr w:type="spellEnd"/>
      <w:r w:rsidRPr="00292532">
        <w:rPr>
          <w:lang w:val="pt-PT" w:eastAsia="ja-JP"/>
        </w:rPr>
        <w:t>.</w:t>
      </w:r>
    </w:p>
    <w:p w14:paraId="54B705C9" w14:textId="77777777" w:rsidR="00B31E2E" w:rsidRPr="00292532" w:rsidRDefault="00B31E2E" w:rsidP="00982C56">
      <w:pPr>
        <w:rPr>
          <w:lang w:val="pt-PT" w:eastAsia="ja-JP"/>
        </w:rPr>
      </w:pPr>
    </w:p>
    <w:p w14:paraId="4CA804CF" w14:textId="26903063" w:rsidR="006B5C6F" w:rsidRPr="00292532" w:rsidRDefault="00BD0602" w:rsidP="00982C56">
      <w:pPr>
        <w:rPr>
          <w:lang w:val="pt-PT" w:eastAsia="ja-JP"/>
        </w:rPr>
      </w:pPr>
      <w:r w:rsidRPr="00EC2545">
        <w:rPr>
          <w:noProof/>
          <w:lang w:val="en-US"/>
        </w:rPr>
        <w:drawing>
          <wp:inline distT="0" distB="0" distL="0" distR="0" wp14:anchorId="46A95F30" wp14:editId="2D4C6C5F">
            <wp:extent cx="5400040" cy="3817961"/>
            <wp:effectExtent l="0" t="0" r="0" b="0"/>
            <wp:docPr id="280" name="Picture 280" descr="C:\Users\25882\Desktop\LigaMoz project\AIA\Mapas\Mapa de uso e cobertur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5882\Desktop\LigaMoz project\AIA\Mapas\Mapa de uso e cobertura_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40" cy="3817961"/>
                    </a:xfrm>
                    <a:prstGeom prst="rect">
                      <a:avLst/>
                    </a:prstGeom>
                    <a:noFill/>
                    <a:ln>
                      <a:noFill/>
                    </a:ln>
                  </pic:spPr>
                </pic:pic>
              </a:graphicData>
            </a:graphic>
          </wp:inline>
        </w:drawing>
      </w:r>
    </w:p>
    <w:p w14:paraId="323FAC18" w14:textId="1AC53EB6" w:rsidR="006B5C6F" w:rsidRPr="00292532" w:rsidRDefault="006B5C6F" w:rsidP="006B5C6F">
      <w:pPr>
        <w:pStyle w:val="Caption"/>
      </w:pPr>
      <w:bookmarkStart w:id="117" w:name="_Ref72950242"/>
      <w:bookmarkStart w:id="118" w:name="_Toc80380233"/>
      <w:r w:rsidRPr="00292532">
        <w:t xml:space="preserve">Figura </w:t>
      </w:r>
      <w:r w:rsidRPr="00292532">
        <w:fldChar w:fldCharType="begin"/>
      </w:r>
      <w:r w:rsidRPr="00292532">
        <w:instrText xml:space="preserve"> SEQ Figura \* ARABIC </w:instrText>
      </w:r>
      <w:r w:rsidRPr="00292532">
        <w:fldChar w:fldCharType="separate"/>
      </w:r>
      <w:r w:rsidR="00A74521" w:rsidRPr="00292532">
        <w:rPr>
          <w:noProof/>
        </w:rPr>
        <w:t>10</w:t>
      </w:r>
      <w:r w:rsidRPr="00292532">
        <w:fldChar w:fldCharType="end"/>
      </w:r>
      <w:bookmarkEnd w:id="117"/>
      <w:r w:rsidRPr="00292532">
        <w:t xml:space="preserve">: Uso e Ocupação da Terra na Área do </w:t>
      </w:r>
      <w:proofErr w:type="spellStart"/>
      <w:r w:rsidRPr="00292532">
        <w:t>Projecto</w:t>
      </w:r>
      <w:bookmarkEnd w:id="118"/>
      <w:proofErr w:type="spellEnd"/>
    </w:p>
    <w:p w14:paraId="57765F1C" w14:textId="663E2FED" w:rsidR="00982C56" w:rsidRPr="00292532" w:rsidRDefault="006B5C6F" w:rsidP="00982C56">
      <w:pPr>
        <w:rPr>
          <w:lang w:val="pt-PT" w:eastAsia="ja-JP"/>
        </w:rPr>
      </w:pPr>
      <w:r w:rsidRPr="00292532">
        <w:rPr>
          <w:lang w:val="pt-PT" w:eastAsia="ja-JP"/>
        </w:rPr>
        <w:t>S</w:t>
      </w:r>
      <w:r w:rsidR="001C3C35" w:rsidRPr="00292532">
        <w:rPr>
          <w:lang w:val="pt-PT" w:eastAsia="ja-JP"/>
        </w:rPr>
        <w:t xml:space="preserve">egundo os princípios da IFC, não deveria ser permitida a implementação de </w:t>
      </w:r>
      <w:proofErr w:type="spellStart"/>
      <w:r w:rsidR="001C3C35" w:rsidRPr="00292532">
        <w:rPr>
          <w:lang w:val="pt-PT" w:eastAsia="ja-JP"/>
        </w:rPr>
        <w:t>projectos</w:t>
      </w:r>
      <w:proofErr w:type="spellEnd"/>
      <w:r w:rsidR="001C3C35" w:rsidRPr="00292532">
        <w:rPr>
          <w:lang w:val="pt-PT" w:eastAsia="ja-JP"/>
        </w:rPr>
        <w:t xml:space="preserve"> que </w:t>
      </w:r>
      <w:proofErr w:type="spellStart"/>
      <w:r w:rsidR="001C3C35" w:rsidRPr="00292532">
        <w:rPr>
          <w:lang w:val="pt-PT" w:eastAsia="ja-JP"/>
        </w:rPr>
        <w:t>afectem</w:t>
      </w:r>
      <w:proofErr w:type="spellEnd"/>
      <w:r w:rsidR="001C3C35" w:rsidRPr="00292532">
        <w:rPr>
          <w:lang w:val="pt-PT" w:eastAsia="ja-JP"/>
        </w:rPr>
        <w:t xml:space="preserve"> a integridade ecológica nas áreas consideradas estritamente críticas, isto é</w:t>
      </w:r>
      <w:r w:rsidR="00C76597" w:rsidRPr="00292532">
        <w:rPr>
          <w:lang w:val="pt-PT" w:eastAsia="ja-JP"/>
        </w:rPr>
        <w:t>,</w:t>
      </w:r>
      <w:r w:rsidR="001C3C35" w:rsidRPr="00292532">
        <w:rPr>
          <w:lang w:val="pt-PT" w:eastAsia="ja-JP"/>
        </w:rPr>
        <w:t xml:space="preserve"> não contrabalançáveis. Os habitats críticos estão apresentados na </w:t>
      </w:r>
      <w:r w:rsidR="001C3C35" w:rsidRPr="00292532">
        <w:rPr>
          <w:b/>
          <w:bCs/>
          <w:lang w:val="pt-PT" w:eastAsia="ja-JP"/>
        </w:rPr>
        <w:fldChar w:fldCharType="begin"/>
      </w:r>
      <w:r w:rsidR="001C3C35" w:rsidRPr="00292532">
        <w:rPr>
          <w:b/>
          <w:bCs/>
          <w:lang w:val="pt-PT" w:eastAsia="ja-JP"/>
        </w:rPr>
        <w:instrText xml:space="preserve"> REF _Ref72949513 \h  \* MERGEFORMAT </w:instrText>
      </w:r>
      <w:r w:rsidR="001C3C35" w:rsidRPr="00292532">
        <w:rPr>
          <w:b/>
          <w:bCs/>
          <w:lang w:val="pt-PT" w:eastAsia="ja-JP"/>
        </w:rPr>
      </w:r>
      <w:r w:rsidR="001C3C35" w:rsidRPr="00292532">
        <w:rPr>
          <w:b/>
          <w:bCs/>
          <w:lang w:val="pt-PT" w:eastAsia="ja-JP"/>
        </w:rPr>
        <w:fldChar w:fldCharType="separate"/>
      </w:r>
      <w:r w:rsidRPr="00292532">
        <w:rPr>
          <w:b/>
          <w:bCs/>
          <w:lang w:val="pt-PT"/>
        </w:rPr>
        <w:t xml:space="preserve">Figura </w:t>
      </w:r>
      <w:r w:rsidRPr="00292532">
        <w:rPr>
          <w:b/>
          <w:bCs/>
          <w:noProof/>
          <w:lang w:val="pt-PT"/>
        </w:rPr>
        <w:t>11</w:t>
      </w:r>
      <w:r w:rsidR="001C3C35" w:rsidRPr="00292532">
        <w:rPr>
          <w:b/>
          <w:bCs/>
          <w:lang w:val="pt-PT" w:eastAsia="ja-JP"/>
        </w:rPr>
        <w:fldChar w:fldCharType="end"/>
      </w:r>
      <w:r w:rsidR="001C3C35" w:rsidRPr="00292532">
        <w:rPr>
          <w:lang w:val="pt-PT" w:eastAsia="ja-JP"/>
        </w:rPr>
        <w:t xml:space="preserve"> abaixo e cobrem, de forma geral, cerca de 28% da superfície terrestre do país. Estas envolvem a rede de áreas de conservação (Parques, Reservas, Coutadas, fazendas do bravio e Áreas de Conservação Comunitárias), constituindo a cobertura dos habitats críticos.</w:t>
      </w:r>
    </w:p>
    <w:p w14:paraId="43CE96B5" w14:textId="7ED61D80" w:rsidR="001C3C35" w:rsidRPr="00292532" w:rsidRDefault="00BD0602" w:rsidP="00982C56">
      <w:pPr>
        <w:rPr>
          <w:lang w:val="pt-PT" w:eastAsia="ja-JP"/>
        </w:rPr>
      </w:pPr>
      <w:r w:rsidRPr="00EC2545">
        <w:rPr>
          <w:noProof/>
          <w:lang w:val="en-US"/>
        </w:rPr>
        <w:lastRenderedPageBreak/>
        <w:drawing>
          <wp:inline distT="0" distB="0" distL="0" distR="0" wp14:anchorId="168C15C1" wp14:editId="66020AEB">
            <wp:extent cx="5400040" cy="3814948"/>
            <wp:effectExtent l="0" t="0" r="0" b="0"/>
            <wp:docPr id="282" name="Picture 282" descr="C:\Users\25882\Desktop\LigaMoz project\AIA\Mapas\Mapa de habitats critico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5882\Desktop\LigaMoz project\AIA\Mapas\Mapa de habitats criticos_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40" cy="3814948"/>
                    </a:xfrm>
                    <a:prstGeom prst="rect">
                      <a:avLst/>
                    </a:prstGeom>
                    <a:noFill/>
                    <a:ln>
                      <a:noFill/>
                    </a:ln>
                  </pic:spPr>
                </pic:pic>
              </a:graphicData>
            </a:graphic>
          </wp:inline>
        </w:drawing>
      </w:r>
    </w:p>
    <w:p w14:paraId="2E4682EE" w14:textId="1401E411" w:rsidR="001C3C35" w:rsidRPr="00292532" w:rsidRDefault="001C3C35" w:rsidP="001C3C35">
      <w:pPr>
        <w:pStyle w:val="Caption"/>
      </w:pPr>
      <w:bookmarkStart w:id="119" w:name="_Ref72949513"/>
      <w:bookmarkStart w:id="120" w:name="_Toc80380234"/>
      <w:r w:rsidRPr="00292532">
        <w:t xml:space="preserve">Figura </w:t>
      </w:r>
      <w:r w:rsidRPr="00292532">
        <w:fldChar w:fldCharType="begin"/>
      </w:r>
      <w:r w:rsidRPr="00292532">
        <w:instrText xml:space="preserve"> SEQ Figura \* ARABIC </w:instrText>
      </w:r>
      <w:r w:rsidRPr="00292532">
        <w:fldChar w:fldCharType="separate"/>
      </w:r>
      <w:r w:rsidR="00A74521" w:rsidRPr="00292532">
        <w:rPr>
          <w:noProof/>
        </w:rPr>
        <w:t>11</w:t>
      </w:r>
      <w:r w:rsidRPr="00292532">
        <w:fldChar w:fldCharType="end"/>
      </w:r>
      <w:bookmarkEnd w:id="119"/>
      <w:r w:rsidRPr="00292532">
        <w:t>:Distribuição dos habitats Críticos ou Chave</w:t>
      </w:r>
      <w:bookmarkEnd w:id="120"/>
    </w:p>
    <w:p w14:paraId="3335FC49" w14:textId="013C457D" w:rsidR="00B31E2E" w:rsidRPr="00292532" w:rsidRDefault="00B31E2E" w:rsidP="00B31E2E">
      <w:pPr>
        <w:rPr>
          <w:lang w:val="pt-PT" w:eastAsia="ja-JP"/>
        </w:rPr>
      </w:pPr>
      <w:r w:rsidRPr="00292532">
        <w:rPr>
          <w:rFonts w:asciiTheme="minorHAnsi" w:hAnsiTheme="minorHAnsi" w:cstheme="minorHAnsi"/>
          <w:lang w:val="pt-PT"/>
        </w:rPr>
        <w:t xml:space="preserve">Moçambique possui uma notável rede de áreas protegidas constituída por 6 parques nacionais, 5 reserva de fauna, 14 reservas florestais e 12 coutadas de caça, cobrindo uma área total de cerca de 128.749 km² o equivalente a 16 % do território nacional. Cerca de 27% do território do país está classificado como área de conservação sendo que a rede nacional de áreas de conservação compreende as Áreas de Conservação de </w:t>
      </w:r>
      <w:proofErr w:type="spellStart"/>
      <w:r w:rsidRPr="00292532">
        <w:rPr>
          <w:rFonts w:asciiTheme="minorHAnsi" w:hAnsiTheme="minorHAnsi" w:cstheme="minorHAnsi"/>
          <w:lang w:val="pt-PT"/>
        </w:rPr>
        <w:t>Protecção</w:t>
      </w:r>
      <w:proofErr w:type="spellEnd"/>
      <w:r w:rsidRPr="00292532">
        <w:rPr>
          <w:rFonts w:asciiTheme="minorHAnsi" w:hAnsiTheme="minorHAnsi" w:cstheme="minorHAnsi"/>
          <w:lang w:val="pt-PT"/>
        </w:rPr>
        <w:t xml:space="preserve"> Total (Reserva Natural Integral, Parque Nacional e Monumento Natural e Cultural) e as Áreas de Conservação de Uso Sustentável (Reserva Especial, Área de </w:t>
      </w:r>
      <w:proofErr w:type="spellStart"/>
      <w:r w:rsidRPr="00292532">
        <w:rPr>
          <w:rFonts w:asciiTheme="minorHAnsi" w:hAnsiTheme="minorHAnsi" w:cstheme="minorHAnsi"/>
          <w:lang w:val="pt-PT"/>
        </w:rPr>
        <w:t>Protecção</w:t>
      </w:r>
      <w:proofErr w:type="spellEnd"/>
      <w:r w:rsidRPr="00292532">
        <w:rPr>
          <w:rFonts w:asciiTheme="minorHAnsi" w:hAnsiTheme="minorHAnsi" w:cstheme="minorHAnsi"/>
          <w:lang w:val="pt-PT"/>
        </w:rPr>
        <w:t xml:space="preserve"> Ambiental, Coutada Oficial, Área de Conservação Comunitária, Santuário, Fazenda do Bravio e Parque Ecológico Municipal)</w:t>
      </w:r>
      <w:r w:rsidR="00B3446C" w:rsidRPr="00292532">
        <w:rPr>
          <w:rFonts w:asciiTheme="minorHAnsi" w:hAnsiTheme="minorHAnsi" w:cstheme="minorHAnsi"/>
          <w:lang w:val="pt-PT"/>
        </w:rPr>
        <w:t xml:space="preserve"> – ver </w:t>
      </w:r>
      <w:r w:rsidR="00B3446C" w:rsidRPr="00292532">
        <w:rPr>
          <w:rFonts w:asciiTheme="minorHAnsi" w:hAnsiTheme="minorHAnsi" w:cstheme="minorHAnsi"/>
          <w:b/>
          <w:bCs/>
          <w:lang w:val="pt-PT"/>
        </w:rPr>
        <w:fldChar w:fldCharType="begin"/>
      </w:r>
      <w:r w:rsidR="00B3446C" w:rsidRPr="00292532">
        <w:rPr>
          <w:rFonts w:asciiTheme="minorHAnsi" w:hAnsiTheme="minorHAnsi" w:cstheme="minorHAnsi"/>
          <w:b/>
          <w:bCs/>
          <w:lang w:val="pt-PT"/>
        </w:rPr>
        <w:instrText xml:space="preserve"> REF _Ref72951565 \h  \* MERGEFORMAT </w:instrText>
      </w:r>
      <w:r w:rsidR="00B3446C" w:rsidRPr="00292532">
        <w:rPr>
          <w:rFonts w:asciiTheme="minorHAnsi" w:hAnsiTheme="minorHAnsi" w:cstheme="minorHAnsi"/>
          <w:b/>
          <w:bCs/>
          <w:lang w:val="pt-PT"/>
        </w:rPr>
      </w:r>
      <w:r w:rsidR="00B3446C" w:rsidRPr="00292532">
        <w:rPr>
          <w:rFonts w:asciiTheme="minorHAnsi" w:hAnsiTheme="minorHAnsi" w:cstheme="minorHAnsi"/>
          <w:b/>
          <w:bCs/>
          <w:lang w:val="pt-PT"/>
        </w:rPr>
        <w:fldChar w:fldCharType="separate"/>
      </w:r>
      <w:r w:rsidR="00B3446C" w:rsidRPr="00292532">
        <w:rPr>
          <w:b/>
          <w:bCs/>
          <w:lang w:val="pt-PT"/>
        </w:rPr>
        <w:t xml:space="preserve">Figura </w:t>
      </w:r>
      <w:r w:rsidR="00B3446C" w:rsidRPr="00292532">
        <w:rPr>
          <w:b/>
          <w:bCs/>
          <w:noProof/>
          <w:lang w:val="pt-PT"/>
        </w:rPr>
        <w:t>12</w:t>
      </w:r>
      <w:r w:rsidR="00B3446C" w:rsidRPr="00292532">
        <w:rPr>
          <w:rFonts w:asciiTheme="minorHAnsi" w:hAnsiTheme="minorHAnsi" w:cstheme="minorHAnsi"/>
          <w:b/>
          <w:bCs/>
          <w:lang w:val="pt-PT"/>
        </w:rPr>
        <w:fldChar w:fldCharType="end"/>
      </w:r>
      <w:r w:rsidRPr="00292532">
        <w:rPr>
          <w:rFonts w:asciiTheme="minorHAnsi" w:hAnsiTheme="minorHAnsi" w:cstheme="minorHAnsi"/>
          <w:lang w:val="pt-PT"/>
        </w:rPr>
        <w:t xml:space="preserve">. Igualmente, são de destacar áreas internacionalmente reconhecidas como importantes para biodiversidade, tais como o Delta do Zambeze e o Lago do Niassa, integrados na lista de zonas húmidas de importância internacional (ao abrigo da Convenção </w:t>
      </w:r>
      <w:proofErr w:type="spellStart"/>
      <w:r w:rsidRPr="00292532">
        <w:rPr>
          <w:rFonts w:asciiTheme="minorHAnsi" w:hAnsiTheme="minorHAnsi" w:cstheme="minorHAnsi"/>
          <w:lang w:val="pt-PT"/>
        </w:rPr>
        <w:t>Ramsar</w:t>
      </w:r>
      <w:proofErr w:type="spellEnd"/>
      <w:r w:rsidRPr="00292532">
        <w:rPr>
          <w:rFonts w:asciiTheme="minorHAnsi" w:hAnsiTheme="minorHAnsi" w:cstheme="minorHAnsi"/>
          <w:lang w:val="pt-PT"/>
        </w:rPr>
        <w:t>) e Áreas Importantes para Avifauna (CEAGRE, 2015).</w:t>
      </w:r>
    </w:p>
    <w:p w14:paraId="4C3DED49" w14:textId="01913E43" w:rsidR="00B31E2E" w:rsidRPr="00292532" w:rsidRDefault="00B31E2E" w:rsidP="00B31E2E">
      <w:pPr>
        <w:rPr>
          <w:lang w:val="pt-PT" w:eastAsia="ja-JP"/>
        </w:rPr>
      </w:pPr>
      <w:bookmarkStart w:id="121" w:name="_Hlk75442666"/>
      <w:r w:rsidRPr="00292532">
        <w:rPr>
          <w:lang w:val="pt-PT" w:eastAsia="ja-JP"/>
        </w:rPr>
        <w:t xml:space="preserve">Na </w:t>
      </w:r>
      <w:r w:rsidRPr="00292532">
        <w:rPr>
          <w:b/>
          <w:bCs/>
          <w:lang w:val="pt-PT" w:eastAsia="ja-JP"/>
        </w:rPr>
        <w:fldChar w:fldCharType="begin"/>
      </w:r>
      <w:r w:rsidRPr="00292532">
        <w:rPr>
          <w:b/>
          <w:bCs/>
          <w:lang w:val="pt-PT" w:eastAsia="ja-JP"/>
        </w:rPr>
        <w:instrText xml:space="preserve"> REF _Ref72950938 \h  \* MERGEFORMAT </w:instrText>
      </w:r>
      <w:r w:rsidRPr="00292532">
        <w:rPr>
          <w:b/>
          <w:bCs/>
          <w:lang w:val="pt-PT" w:eastAsia="ja-JP"/>
        </w:rPr>
      </w:r>
      <w:r w:rsidRPr="00292532">
        <w:rPr>
          <w:b/>
          <w:bCs/>
          <w:lang w:val="pt-PT" w:eastAsia="ja-JP"/>
        </w:rPr>
        <w:fldChar w:fldCharType="separate"/>
      </w:r>
      <w:r w:rsidR="001A21CB" w:rsidRPr="00292532">
        <w:rPr>
          <w:b/>
          <w:bCs/>
          <w:lang w:val="pt-PT"/>
        </w:rPr>
        <w:t xml:space="preserve">Tabela </w:t>
      </w:r>
      <w:r w:rsidR="001A21CB" w:rsidRPr="00292532">
        <w:rPr>
          <w:b/>
          <w:bCs/>
          <w:noProof/>
          <w:lang w:val="pt-PT"/>
        </w:rPr>
        <w:t>9</w:t>
      </w:r>
      <w:r w:rsidRPr="00292532">
        <w:rPr>
          <w:b/>
          <w:bCs/>
          <w:lang w:val="pt-PT" w:eastAsia="ja-JP"/>
        </w:rPr>
        <w:fldChar w:fldCharType="end"/>
      </w:r>
      <w:r w:rsidRPr="00292532">
        <w:rPr>
          <w:lang w:val="pt-PT" w:eastAsia="ja-JP"/>
        </w:rPr>
        <w:t xml:space="preserve"> abaixo constam as Áreas de Conservação e outras áreas de interesse para a biodiversidade, nos distritos mais abrangidos pelo </w:t>
      </w:r>
      <w:proofErr w:type="spellStart"/>
      <w:r w:rsidRPr="00292532">
        <w:rPr>
          <w:lang w:val="pt-PT" w:eastAsia="ja-JP"/>
        </w:rPr>
        <w:t>projecto</w:t>
      </w:r>
      <w:proofErr w:type="spellEnd"/>
      <w:r w:rsidRPr="00292532">
        <w:rPr>
          <w:lang w:val="pt-PT" w:eastAsia="ja-JP"/>
        </w:rPr>
        <w:t>.</w:t>
      </w:r>
    </w:p>
    <w:p w14:paraId="4CCAE70F" w14:textId="2BDFA567" w:rsidR="00B31E2E" w:rsidRPr="00292532" w:rsidRDefault="00B31E2E" w:rsidP="00B31E2E">
      <w:pPr>
        <w:pStyle w:val="Caption"/>
      </w:pPr>
      <w:bookmarkStart w:id="122" w:name="_Ref72950938"/>
      <w:bookmarkStart w:id="123" w:name="_Toc75438150"/>
      <w:bookmarkStart w:id="124" w:name="_Toc80380256"/>
      <w:r w:rsidRPr="00292532">
        <w:t xml:space="preserve">Tabela </w:t>
      </w:r>
      <w:r w:rsidRPr="00292532">
        <w:fldChar w:fldCharType="begin"/>
      </w:r>
      <w:r w:rsidRPr="00292532">
        <w:instrText xml:space="preserve"> SEQ Tabela \* ARABIC </w:instrText>
      </w:r>
      <w:r w:rsidRPr="00292532">
        <w:fldChar w:fldCharType="separate"/>
      </w:r>
      <w:r w:rsidR="000D7B05">
        <w:rPr>
          <w:noProof/>
        </w:rPr>
        <w:t>9</w:t>
      </w:r>
      <w:r w:rsidRPr="00292532">
        <w:fldChar w:fldCharType="end"/>
      </w:r>
      <w:bookmarkEnd w:id="122"/>
      <w:r w:rsidRPr="00292532">
        <w:t xml:space="preserve">: Áreas de Conservação, Protegidas e Reservas Florestais na Área do </w:t>
      </w:r>
      <w:proofErr w:type="spellStart"/>
      <w:r w:rsidRPr="00292532">
        <w:t>Projecto</w:t>
      </w:r>
      <w:bookmarkEnd w:id="123"/>
      <w:bookmarkEnd w:id="124"/>
      <w:proofErr w:type="spellEnd"/>
    </w:p>
    <w:tbl>
      <w:tblPr>
        <w:tblStyle w:val="GridTable1Light-Accent11"/>
        <w:tblW w:w="9173" w:type="dxa"/>
        <w:tblLook w:val="04A0" w:firstRow="1" w:lastRow="0" w:firstColumn="1" w:lastColumn="0" w:noHBand="0" w:noVBand="1"/>
      </w:tblPr>
      <w:tblGrid>
        <w:gridCol w:w="1400"/>
        <w:gridCol w:w="1492"/>
        <w:gridCol w:w="6281"/>
      </w:tblGrid>
      <w:tr w:rsidR="00B31E2E" w:rsidRPr="001E4B2C" w14:paraId="7FD8F184" w14:textId="77777777" w:rsidTr="00B3446C">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400" w:type="dxa"/>
            <w:noWrap/>
            <w:hideMark/>
          </w:tcPr>
          <w:p w14:paraId="0F7A5983" w14:textId="1401BF3F" w:rsidR="00B31E2E" w:rsidRPr="00292532" w:rsidRDefault="00B31E2E" w:rsidP="00B31E2E">
            <w:pPr>
              <w:spacing w:before="0"/>
              <w:jc w:val="left"/>
              <w:rPr>
                <w:rFonts w:asciiTheme="minorHAnsi" w:eastAsia="Times New Roman" w:hAnsiTheme="minorHAnsi" w:cstheme="minorHAnsi"/>
                <w:color w:val="000000"/>
                <w:sz w:val="20"/>
                <w:szCs w:val="20"/>
                <w:lang w:val="pt-PT" w:eastAsia="en-ZA"/>
              </w:rPr>
            </w:pPr>
            <w:r w:rsidRPr="00292532">
              <w:rPr>
                <w:rFonts w:asciiTheme="minorHAnsi" w:eastAsia="Times New Roman" w:hAnsiTheme="minorHAnsi" w:cstheme="minorHAnsi"/>
                <w:color w:val="000000"/>
                <w:sz w:val="20"/>
                <w:szCs w:val="20"/>
                <w:lang w:val="pt-PT" w:eastAsia="en-ZA"/>
              </w:rPr>
              <w:t>Prov</w:t>
            </w:r>
            <w:r w:rsidRPr="00292532">
              <w:rPr>
                <w:rFonts w:asciiTheme="minorHAnsi" w:eastAsia="Times New Roman" w:hAnsiTheme="minorHAnsi" w:cstheme="minorHAnsi"/>
                <w:b w:val="0"/>
                <w:color w:val="000000"/>
                <w:sz w:val="20"/>
                <w:szCs w:val="20"/>
                <w:lang w:val="pt-PT" w:eastAsia="en-ZA"/>
              </w:rPr>
              <w:t>í</w:t>
            </w:r>
            <w:r w:rsidRPr="00292532">
              <w:rPr>
                <w:rFonts w:asciiTheme="minorHAnsi" w:eastAsia="Times New Roman" w:hAnsiTheme="minorHAnsi" w:cstheme="minorHAnsi"/>
                <w:color w:val="000000"/>
                <w:sz w:val="20"/>
                <w:szCs w:val="20"/>
                <w:lang w:val="pt-PT" w:eastAsia="en-ZA"/>
              </w:rPr>
              <w:t>ncias</w:t>
            </w:r>
          </w:p>
        </w:tc>
        <w:tc>
          <w:tcPr>
            <w:tcW w:w="1492" w:type="dxa"/>
            <w:noWrap/>
            <w:hideMark/>
          </w:tcPr>
          <w:p w14:paraId="63C8A87D" w14:textId="77777777" w:rsidR="00B31E2E" w:rsidRPr="00292532" w:rsidRDefault="00B31E2E" w:rsidP="00B31E2E">
            <w:pPr>
              <w:spacing w:befor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eastAsia="en-ZA"/>
              </w:rPr>
            </w:pPr>
            <w:r w:rsidRPr="00292532">
              <w:rPr>
                <w:rFonts w:asciiTheme="minorHAnsi" w:eastAsia="Times New Roman" w:hAnsiTheme="minorHAnsi" w:cstheme="minorHAnsi"/>
                <w:color w:val="000000"/>
                <w:sz w:val="20"/>
                <w:szCs w:val="20"/>
                <w:lang w:val="pt-PT" w:eastAsia="en-ZA"/>
              </w:rPr>
              <w:t>Distritos</w:t>
            </w:r>
          </w:p>
        </w:tc>
        <w:tc>
          <w:tcPr>
            <w:tcW w:w="6281" w:type="dxa"/>
            <w:noWrap/>
            <w:hideMark/>
          </w:tcPr>
          <w:p w14:paraId="23F4C291" w14:textId="5B95E1BE" w:rsidR="00B31E2E" w:rsidRPr="00292532" w:rsidRDefault="00B31E2E" w:rsidP="00B31E2E">
            <w:pPr>
              <w:spacing w:befor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color w:val="000000"/>
                <w:sz w:val="20"/>
                <w:szCs w:val="20"/>
                <w:lang w:val="pt-PT" w:eastAsia="en-ZA"/>
              </w:rPr>
            </w:pPr>
            <w:r w:rsidRPr="00292532">
              <w:rPr>
                <w:rFonts w:asciiTheme="minorHAnsi" w:eastAsia="Times New Roman" w:hAnsiTheme="minorHAnsi" w:cstheme="minorHAnsi"/>
                <w:bCs w:val="0"/>
                <w:color w:val="000000"/>
                <w:sz w:val="20"/>
                <w:szCs w:val="20"/>
                <w:lang w:val="pt-PT" w:eastAsia="en-ZA"/>
              </w:rPr>
              <w:t>Áreas de Conservação/ Áreas Importantes para biodiversidade/Reservas Florestais</w:t>
            </w:r>
          </w:p>
        </w:tc>
      </w:tr>
      <w:tr w:rsidR="00B31E2E" w:rsidRPr="001E4B2C" w14:paraId="31011A8E" w14:textId="77777777" w:rsidTr="00B31E2E">
        <w:trPr>
          <w:trHeight w:val="300"/>
        </w:trPr>
        <w:tc>
          <w:tcPr>
            <w:cnfStyle w:val="001000000000" w:firstRow="0" w:lastRow="0" w:firstColumn="1" w:lastColumn="0" w:oddVBand="0" w:evenVBand="0" w:oddHBand="0" w:evenHBand="0" w:firstRowFirstColumn="0" w:firstRowLastColumn="0" w:lastRowFirstColumn="0" w:lastRowLastColumn="0"/>
            <w:tcW w:w="1400" w:type="dxa"/>
            <w:vMerge w:val="restart"/>
            <w:noWrap/>
            <w:hideMark/>
          </w:tcPr>
          <w:p w14:paraId="40B641AD" w14:textId="77777777" w:rsidR="00B31E2E" w:rsidRPr="00292532" w:rsidRDefault="00B31E2E" w:rsidP="00B31E2E">
            <w:pPr>
              <w:spacing w:before="0"/>
              <w:jc w:val="center"/>
              <w:rPr>
                <w:rFonts w:asciiTheme="minorHAnsi" w:eastAsia="Times New Roman" w:hAnsiTheme="minorHAnsi" w:cstheme="minorHAnsi"/>
                <w:color w:val="000000"/>
                <w:sz w:val="20"/>
                <w:szCs w:val="20"/>
                <w:lang w:val="pt-PT" w:eastAsia="en-ZA"/>
              </w:rPr>
            </w:pPr>
            <w:r w:rsidRPr="00292532">
              <w:rPr>
                <w:rFonts w:asciiTheme="minorHAnsi" w:eastAsia="Times New Roman" w:hAnsiTheme="minorHAnsi" w:cstheme="minorHAnsi"/>
                <w:color w:val="000000"/>
                <w:sz w:val="20"/>
                <w:szCs w:val="20"/>
                <w:lang w:val="pt-PT" w:eastAsia="en-ZA"/>
              </w:rPr>
              <w:t>Nampula</w:t>
            </w:r>
          </w:p>
        </w:tc>
        <w:tc>
          <w:tcPr>
            <w:tcW w:w="1492" w:type="dxa"/>
            <w:noWrap/>
            <w:hideMark/>
          </w:tcPr>
          <w:p w14:paraId="2B0252E8" w14:textId="77777777" w:rsidR="00B31E2E" w:rsidRPr="00292532" w:rsidRDefault="00B31E2E" w:rsidP="00B31E2E">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eastAsia="en-ZA"/>
              </w:rPr>
            </w:pPr>
            <w:proofErr w:type="spellStart"/>
            <w:r w:rsidRPr="00292532">
              <w:rPr>
                <w:rFonts w:asciiTheme="minorHAnsi" w:eastAsia="Times New Roman" w:hAnsiTheme="minorHAnsi" w:cstheme="minorHAnsi"/>
                <w:color w:val="000000"/>
                <w:sz w:val="20"/>
                <w:szCs w:val="20"/>
                <w:lang w:val="pt-PT" w:eastAsia="en-ZA"/>
              </w:rPr>
              <w:t>Angoche</w:t>
            </w:r>
            <w:proofErr w:type="spellEnd"/>
          </w:p>
        </w:tc>
        <w:tc>
          <w:tcPr>
            <w:tcW w:w="6281" w:type="dxa"/>
            <w:noWrap/>
            <w:hideMark/>
          </w:tcPr>
          <w:p w14:paraId="13334595" w14:textId="13BB8336" w:rsidR="00B31E2E" w:rsidRPr="00292532" w:rsidRDefault="00B31E2E" w:rsidP="00B31E2E">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eastAsia="en-ZA"/>
              </w:rPr>
            </w:pPr>
            <w:r w:rsidRPr="00292532">
              <w:rPr>
                <w:rFonts w:asciiTheme="minorHAnsi" w:eastAsia="Times New Roman" w:hAnsiTheme="minorHAnsi" w:cstheme="minorHAnsi"/>
                <w:color w:val="000000"/>
                <w:sz w:val="20"/>
                <w:szCs w:val="20"/>
                <w:lang w:val="pt-PT" w:eastAsia="en-ZA"/>
              </w:rPr>
              <w:t xml:space="preserve">Parque Nacional Área de </w:t>
            </w:r>
            <w:proofErr w:type="spellStart"/>
            <w:r w:rsidRPr="00292532">
              <w:rPr>
                <w:rFonts w:asciiTheme="minorHAnsi" w:eastAsia="Times New Roman" w:hAnsiTheme="minorHAnsi" w:cstheme="minorHAnsi"/>
                <w:color w:val="000000"/>
                <w:sz w:val="20"/>
                <w:szCs w:val="20"/>
                <w:lang w:val="pt-PT" w:eastAsia="en-ZA"/>
              </w:rPr>
              <w:t>Prote</w:t>
            </w:r>
            <w:r w:rsidR="001A7F25" w:rsidRPr="00292532">
              <w:rPr>
                <w:rFonts w:asciiTheme="minorHAnsi" w:eastAsia="Times New Roman" w:hAnsiTheme="minorHAnsi" w:cstheme="minorHAnsi"/>
                <w:color w:val="000000"/>
                <w:sz w:val="20"/>
                <w:szCs w:val="20"/>
                <w:lang w:val="pt-PT" w:eastAsia="en-ZA"/>
              </w:rPr>
              <w:t>c</w:t>
            </w:r>
            <w:r w:rsidRPr="00292532">
              <w:rPr>
                <w:rFonts w:asciiTheme="minorHAnsi" w:eastAsia="Times New Roman" w:hAnsiTheme="minorHAnsi" w:cstheme="minorHAnsi"/>
                <w:color w:val="000000"/>
                <w:sz w:val="20"/>
                <w:szCs w:val="20"/>
                <w:lang w:val="pt-PT" w:eastAsia="en-ZA"/>
              </w:rPr>
              <w:t>ção</w:t>
            </w:r>
            <w:proofErr w:type="spellEnd"/>
            <w:r w:rsidRPr="00292532">
              <w:rPr>
                <w:rFonts w:asciiTheme="minorHAnsi" w:eastAsia="Times New Roman" w:hAnsiTheme="minorHAnsi" w:cstheme="minorHAnsi"/>
                <w:color w:val="000000"/>
                <w:sz w:val="20"/>
                <w:szCs w:val="20"/>
                <w:lang w:val="pt-PT" w:eastAsia="en-ZA"/>
              </w:rPr>
              <w:t xml:space="preserve"> Ambiental Ilhas das Primeiras &amp; Segundas</w:t>
            </w:r>
          </w:p>
        </w:tc>
      </w:tr>
      <w:tr w:rsidR="00B31E2E" w:rsidRPr="001E4B2C" w14:paraId="2855A1D6" w14:textId="77777777" w:rsidTr="00B31E2E">
        <w:trPr>
          <w:trHeight w:val="300"/>
        </w:trPr>
        <w:tc>
          <w:tcPr>
            <w:cnfStyle w:val="001000000000" w:firstRow="0" w:lastRow="0" w:firstColumn="1" w:lastColumn="0" w:oddVBand="0" w:evenVBand="0" w:oddHBand="0" w:evenHBand="0" w:firstRowFirstColumn="0" w:firstRowLastColumn="0" w:lastRowFirstColumn="0" w:lastRowLastColumn="0"/>
            <w:tcW w:w="1400" w:type="dxa"/>
            <w:vMerge/>
            <w:hideMark/>
          </w:tcPr>
          <w:p w14:paraId="1264809F" w14:textId="77777777" w:rsidR="00B31E2E" w:rsidRPr="00292532" w:rsidRDefault="00B31E2E" w:rsidP="00B31E2E">
            <w:pPr>
              <w:spacing w:before="0"/>
              <w:jc w:val="left"/>
              <w:rPr>
                <w:rFonts w:asciiTheme="minorHAnsi" w:eastAsia="Times New Roman" w:hAnsiTheme="minorHAnsi" w:cstheme="minorHAnsi"/>
                <w:color w:val="000000"/>
                <w:sz w:val="20"/>
                <w:szCs w:val="20"/>
                <w:lang w:val="pt-PT" w:eastAsia="en-ZA"/>
              </w:rPr>
            </w:pPr>
          </w:p>
        </w:tc>
        <w:tc>
          <w:tcPr>
            <w:tcW w:w="1492" w:type="dxa"/>
            <w:noWrap/>
            <w:hideMark/>
          </w:tcPr>
          <w:p w14:paraId="34A70EBB" w14:textId="33BCDD70" w:rsidR="00B31E2E" w:rsidRPr="00292532" w:rsidRDefault="00B31E2E" w:rsidP="00B31E2E">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eastAsia="en-ZA"/>
              </w:rPr>
            </w:pPr>
            <w:proofErr w:type="spellStart"/>
            <w:r w:rsidRPr="00292532">
              <w:rPr>
                <w:rFonts w:asciiTheme="minorHAnsi" w:eastAsia="Times New Roman" w:hAnsiTheme="minorHAnsi" w:cstheme="minorHAnsi"/>
                <w:color w:val="000000"/>
                <w:sz w:val="20"/>
                <w:szCs w:val="20"/>
                <w:lang w:val="pt-PT" w:eastAsia="en-ZA"/>
              </w:rPr>
              <w:t>Ribauè</w:t>
            </w:r>
            <w:proofErr w:type="spellEnd"/>
          </w:p>
        </w:tc>
        <w:tc>
          <w:tcPr>
            <w:tcW w:w="6281" w:type="dxa"/>
            <w:noWrap/>
            <w:hideMark/>
          </w:tcPr>
          <w:p w14:paraId="07ECF3E7" w14:textId="5DF95F47" w:rsidR="00B31E2E" w:rsidRPr="00292532" w:rsidRDefault="00B31E2E" w:rsidP="00B31E2E">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eastAsia="en-ZA"/>
              </w:rPr>
            </w:pPr>
            <w:r w:rsidRPr="00292532">
              <w:rPr>
                <w:rFonts w:asciiTheme="minorHAnsi" w:eastAsia="Times New Roman" w:hAnsiTheme="minorHAnsi" w:cstheme="minorHAnsi"/>
                <w:color w:val="000000"/>
                <w:sz w:val="20"/>
                <w:szCs w:val="20"/>
                <w:lang w:val="pt-PT" w:eastAsia="en-ZA"/>
              </w:rPr>
              <w:t xml:space="preserve">Reserva Florestal de </w:t>
            </w:r>
            <w:proofErr w:type="spellStart"/>
            <w:r w:rsidRPr="00292532">
              <w:rPr>
                <w:rFonts w:asciiTheme="minorHAnsi" w:eastAsia="Times New Roman" w:hAnsiTheme="minorHAnsi" w:cstheme="minorHAnsi"/>
                <w:color w:val="000000"/>
                <w:sz w:val="20"/>
                <w:szCs w:val="20"/>
                <w:lang w:val="pt-PT" w:eastAsia="en-ZA"/>
              </w:rPr>
              <w:t>Mupalue</w:t>
            </w:r>
            <w:proofErr w:type="spellEnd"/>
            <w:r w:rsidRPr="00292532">
              <w:rPr>
                <w:rFonts w:asciiTheme="minorHAnsi" w:eastAsia="Times New Roman" w:hAnsiTheme="minorHAnsi" w:cstheme="minorHAnsi"/>
                <w:color w:val="000000"/>
                <w:sz w:val="20"/>
                <w:szCs w:val="20"/>
                <w:lang w:val="pt-PT" w:eastAsia="en-ZA"/>
              </w:rPr>
              <w:t xml:space="preserve">, Reserva Florestal de </w:t>
            </w:r>
            <w:proofErr w:type="spellStart"/>
            <w:r w:rsidRPr="00292532">
              <w:rPr>
                <w:rFonts w:asciiTheme="minorHAnsi" w:eastAsia="Times New Roman" w:hAnsiTheme="minorHAnsi" w:cstheme="minorHAnsi"/>
                <w:color w:val="000000"/>
                <w:sz w:val="20"/>
                <w:szCs w:val="20"/>
                <w:lang w:val="pt-PT" w:eastAsia="en-ZA"/>
              </w:rPr>
              <w:t>Ribauè</w:t>
            </w:r>
            <w:proofErr w:type="spellEnd"/>
          </w:p>
        </w:tc>
      </w:tr>
      <w:tr w:rsidR="00B31E2E" w:rsidRPr="00292532" w14:paraId="78D33C84" w14:textId="77777777" w:rsidTr="00B31E2E">
        <w:trPr>
          <w:trHeight w:val="300"/>
        </w:trPr>
        <w:tc>
          <w:tcPr>
            <w:cnfStyle w:val="001000000000" w:firstRow="0" w:lastRow="0" w:firstColumn="1" w:lastColumn="0" w:oddVBand="0" w:evenVBand="0" w:oddHBand="0" w:evenHBand="0" w:firstRowFirstColumn="0" w:firstRowLastColumn="0" w:lastRowFirstColumn="0" w:lastRowLastColumn="0"/>
            <w:tcW w:w="1400" w:type="dxa"/>
            <w:vMerge w:val="restart"/>
            <w:noWrap/>
            <w:hideMark/>
          </w:tcPr>
          <w:p w14:paraId="782E5C11" w14:textId="77777777" w:rsidR="00B31E2E" w:rsidRPr="00292532" w:rsidRDefault="00B31E2E" w:rsidP="00B31E2E">
            <w:pPr>
              <w:spacing w:before="0"/>
              <w:jc w:val="center"/>
              <w:rPr>
                <w:rFonts w:asciiTheme="minorHAnsi" w:eastAsia="Times New Roman" w:hAnsiTheme="minorHAnsi" w:cstheme="minorHAnsi"/>
                <w:color w:val="000000"/>
                <w:sz w:val="20"/>
                <w:szCs w:val="20"/>
                <w:lang w:val="pt-PT" w:eastAsia="en-ZA"/>
              </w:rPr>
            </w:pPr>
            <w:r w:rsidRPr="00292532">
              <w:rPr>
                <w:rFonts w:asciiTheme="minorHAnsi" w:eastAsia="Times New Roman" w:hAnsiTheme="minorHAnsi" w:cstheme="minorHAnsi"/>
                <w:color w:val="000000"/>
                <w:sz w:val="20"/>
                <w:szCs w:val="20"/>
                <w:lang w:val="pt-PT" w:eastAsia="en-ZA"/>
              </w:rPr>
              <w:t>Zambézia</w:t>
            </w:r>
          </w:p>
        </w:tc>
        <w:tc>
          <w:tcPr>
            <w:tcW w:w="1492" w:type="dxa"/>
            <w:noWrap/>
            <w:hideMark/>
          </w:tcPr>
          <w:p w14:paraId="258EE366" w14:textId="77777777" w:rsidR="00B31E2E" w:rsidRPr="00292532" w:rsidRDefault="00B31E2E" w:rsidP="00B31E2E">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eastAsia="en-ZA"/>
              </w:rPr>
            </w:pPr>
            <w:proofErr w:type="spellStart"/>
            <w:r w:rsidRPr="00292532">
              <w:rPr>
                <w:rFonts w:asciiTheme="minorHAnsi" w:eastAsia="Times New Roman" w:hAnsiTheme="minorHAnsi" w:cstheme="minorHAnsi"/>
                <w:color w:val="000000"/>
                <w:sz w:val="20"/>
                <w:szCs w:val="20"/>
                <w:lang w:val="pt-PT" w:eastAsia="en-ZA"/>
              </w:rPr>
              <w:t>Derre</w:t>
            </w:r>
            <w:proofErr w:type="spellEnd"/>
          </w:p>
        </w:tc>
        <w:tc>
          <w:tcPr>
            <w:tcW w:w="6281" w:type="dxa"/>
            <w:noWrap/>
            <w:hideMark/>
          </w:tcPr>
          <w:p w14:paraId="75B69731" w14:textId="77777777" w:rsidR="00B31E2E" w:rsidRPr="00292532" w:rsidRDefault="00B31E2E" w:rsidP="00B31E2E">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eastAsia="en-ZA"/>
              </w:rPr>
            </w:pPr>
            <w:r w:rsidRPr="00292532">
              <w:rPr>
                <w:rFonts w:asciiTheme="minorHAnsi" w:eastAsia="Times New Roman" w:hAnsiTheme="minorHAnsi" w:cstheme="minorHAnsi"/>
                <w:color w:val="000000"/>
                <w:sz w:val="20"/>
                <w:szCs w:val="20"/>
                <w:lang w:val="pt-PT" w:eastAsia="en-ZA"/>
              </w:rPr>
              <w:t xml:space="preserve">Reserva Florestal do </w:t>
            </w:r>
            <w:proofErr w:type="spellStart"/>
            <w:r w:rsidRPr="00292532">
              <w:rPr>
                <w:rFonts w:asciiTheme="minorHAnsi" w:eastAsia="Times New Roman" w:hAnsiTheme="minorHAnsi" w:cstheme="minorHAnsi"/>
                <w:color w:val="000000"/>
                <w:sz w:val="20"/>
                <w:szCs w:val="20"/>
                <w:lang w:val="pt-PT" w:eastAsia="en-ZA"/>
              </w:rPr>
              <w:t>Derre</w:t>
            </w:r>
            <w:proofErr w:type="spellEnd"/>
          </w:p>
        </w:tc>
      </w:tr>
      <w:tr w:rsidR="00B31E2E" w:rsidRPr="001E4B2C" w14:paraId="75903BAC" w14:textId="77777777" w:rsidTr="00B31E2E">
        <w:trPr>
          <w:trHeight w:val="300"/>
        </w:trPr>
        <w:tc>
          <w:tcPr>
            <w:cnfStyle w:val="001000000000" w:firstRow="0" w:lastRow="0" w:firstColumn="1" w:lastColumn="0" w:oddVBand="0" w:evenVBand="0" w:oddHBand="0" w:evenHBand="0" w:firstRowFirstColumn="0" w:firstRowLastColumn="0" w:lastRowFirstColumn="0" w:lastRowLastColumn="0"/>
            <w:tcW w:w="1400" w:type="dxa"/>
            <w:vMerge/>
            <w:hideMark/>
          </w:tcPr>
          <w:p w14:paraId="5AC58EC2" w14:textId="77777777" w:rsidR="00B31E2E" w:rsidRPr="00292532" w:rsidRDefault="00B31E2E" w:rsidP="00B31E2E">
            <w:pPr>
              <w:spacing w:before="0"/>
              <w:jc w:val="left"/>
              <w:rPr>
                <w:rFonts w:asciiTheme="minorHAnsi" w:eastAsia="Times New Roman" w:hAnsiTheme="minorHAnsi" w:cstheme="minorHAnsi"/>
                <w:color w:val="000000"/>
                <w:sz w:val="20"/>
                <w:szCs w:val="20"/>
                <w:lang w:val="pt-PT" w:eastAsia="en-ZA"/>
              </w:rPr>
            </w:pPr>
          </w:p>
        </w:tc>
        <w:tc>
          <w:tcPr>
            <w:tcW w:w="1492" w:type="dxa"/>
            <w:noWrap/>
            <w:hideMark/>
          </w:tcPr>
          <w:p w14:paraId="68029D96" w14:textId="77777777" w:rsidR="00B31E2E" w:rsidRPr="00292532" w:rsidRDefault="00B31E2E" w:rsidP="00B31E2E">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eastAsia="en-ZA"/>
              </w:rPr>
            </w:pPr>
            <w:r w:rsidRPr="00292532">
              <w:rPr>
                <w:rFonts w:asciiTheme="minorHAnsi" w:eastAsia="Times New Roman" w:hAnsiTheme="minorHAnsi" w:cstheme="minorHAnsi"/>
                <w:color w:val="000000"/>
                <w:sz w:val="20"/>
                <w:szCs w:val="20"/>
                <w:lang w:val="pt-PT" w:eastAsia="en-ZA"/>
              </w:rPr>
              <w:t>Gilé</w:t>
            </w:r>
          </w:p>
        </w:tc>
        <w:tc>
          <w:tcPr>
            <w:tcW w:w="6281" w:type="dxa"/>
            <w:noWrap/>
            <w:hideMark/>
          </w:tcPr>
          <w:p w14:paraId="47648006" w14:textId="77777777" w:rsidR="00B31E2E" w:rsidRPr="00292532" w:rsidRDefault="00B31E2E" w:rsidP="00B31E2E">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eastAsia="en-ZA"/>
              </w:rPr>
            </w:pPr>
            <w:r w:rsidRPr="00292532">
              <w:rPr>
                <w:rFonts w:asciiTheme="minorHAnsi" w:eastAsia="Times New Roman" w:hAnsiTheme="minorHAnsi" w:cstheme="minorHAnsi"/>
                <w:color w:val="000000"/>
                <w:sz w:val="20"/>
                <w:szCs w:val="20"/>
                <w:lang w:val="pt-PT" w:eastAsia="en-ZA"/>
              </w:rPr>
              <w:t>Reserva Nacional do Gilé, Área de caça de Mulela</w:t>
            </w:r>
          </w:p>
        </w:tc>
      </w:tr>
      <w:tr w:rsidR="00B31E2E" w:rsidRPr="00292532" w14:paraId="1F89CA61" w14:textId="77777777" w:rsidTr="00B31E2E">
        <w:trPr>
          <w:trHeight w:val="300"/>
        </w:trPr>
        <w:tc>
          <w:tcPr>
            <w:cnfStyle w:val="001000000000" w:firstRow="0" w:lastRow="0" w:firstColumn="1" w:lastColumn="0" w:oddVBand="0" w:evenVBand="0" w:oddHBand="0" w:evenHBand="0" w:firstRowFirstColumn="0" w:firstRowLastColumn="0" w:lastRowFirstColumn="0" w:lastRowLastColumn="0"/>
            <w:tcW w:w="1400" w:type="dxa"/>
            <w:vMerge/>
            <w:hideMark/>
          </w:tcPr>
          <w:p w14:paraId="394E18FD" w14:textId="77777777" w:rsidR="00B31E2E" w:rsidRPr="00292532" w:rsidRDefault="00B31E2E" w:rsidP="00B31E2E">
            <w:pPr>
              <w:spacing w:before="0"/>
              <w:jc w:val="left"/>
              <w:rPr>
                <w:rFonts w:asciiTheme="minorHAnsi" w:eastAsia="Times New Roman" w:hAnsiTheme="minorHAnsi" w:cstheme="minorHAnsi"/>
                <w:color w:val="000000"/>
                <w:sz w:val="20"/>
                <w:szCs w:val="20"/>
                <w:lang w:val="pt-PT" w:eastAsia="en-ZA"/>
              </w:rPr>
            </w:pPr>
          </w:p>
        </w:tc>
        <w:tc>
          <w:tcPr>
            <w:tcW w:w="1492" w:type="dxa"/>
            <w:noWrap/>
            <w:hideMark/>
          </w:tcPr>
          <w:p w14:paraId="04218425" w14:textId="77777777" w:rsidR="00B31E2E" w:rsidRPr="00292532" w:rsidRDefault="00B31E2E" w:rsidP="00B31E2E">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eastAsia="en-ZA"/>
              </w:rPr>
            </w:pPr>
            <w:proofErr w:type="spellStart"/>
            <w:r w:rsidRPr="00292532">
              <w:rPr>
                <w:rFonts w:asciiTheme="minorHAnsi" w:eastAsia="Times New Roman" w:hAnsiTheme="minorHAnsi" w:cstheme="minorHAnsi"/>
                <w:color w:val="000000"/>
                <w:sz w:val="20"/>
                <w:szCs w:val="20"/>
                <w:lang w:val="pt-PT" w:eastAsia="en-ZA"/>
              </w:rPr>
              <w:t>Gurue</w:t>
            </w:r>
            <w:proofErr w:type="spellEnd"/>
          </w:p>
        </w:tc>
        <w:tc>
          <w:tcPr>
            <w:tcW w:w="6281" w:type="dxa"/>
            <w:noWrap/>
            <w:hideMark/>
          </w:tcPr>
          <w:p w14:paraId="14D737F1" w14:textId="77777777" w:rsidR="00B31E2E" w:rsidRPr="00292532" w:rsidRDefault="00B31E2E" w:rsidP="00B31E2E">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eastAsia="en-ZA"/>
              </w:rPr>
            </w:pPr>
            <w:r w:rsidRPr="00292532">
              <w:rPr>
                <w:rFonts w:asciiTheme="minorHAnsi" w:eastAsia="Times New Roman" w:hAnsiTheme="minorHAnsi" w:cstheme="minorHAnsi"/>
                <w:color w:val="000000"/>
                <w:sz w:val="20"/>
                <w:szCs w:val="20"/>
                <w:lang w:val="pt-PT" w:eastAsia="en-ZA"/>
              </w:rPr>
              <w:t xml:space="preserve">Montes </w:t>
            </w:r>
            <w:proofErr w:type="spellStart"/>
            <w:r w:rsidRPr="00292532">
              <w:rPr>
                <w:rFonts w:asciiTheme="minorHAnsi" w:eastAsia="Times New Roman" w:hAnsiTheme="minorHAnsi" w:cstheme="minorHAnsi"/>
                <w:color w:val="000000"/>
                <w:sz w:val="20"/>
                <w:szCs w:val="20"/>
                <w:lang w:val="pt-PT" w:eastAsia="en-ZA"/>
              </w:rPr>
              <w:t>Namuli</w:t>
            </w:r>
            <w:proofErr w:type="spellEnd"/>
          </w:p>
        </w:tc>
      </w:tr>
      <w:tr w:rsidR="00B31E2E" w:rsidRPr="00292532" w14:paraId="6B782F4B" w14:textId="77777777" w:rsidTr="00B31E2E">
        <w:trPr>
          <w:trHeight w:val="300"/>
        </w:trPr>
        <w:tc>
          <w:tcPr>
            <w:cnfStyle w:val="001000000000" w:firstRow="0" w:lastRow="0" w:firstColumn="1" w:lastColumn="0" w:oddVBand="0" w:evenVBand="0" w:oddHBand="0" w:evenHBand="0" w:firstRowFirstColumn="0" w:firstRowLastColumn="0" w:lastRowFirstColumn="0" w:lastRowLastColumn="0"/>
            <w:tcW w:w="1400" w:type="dxa"/>
            <w:vMerge/>
            <w:hideMark/>
          </w:tcPr>
          <w:p w14:paraId="0425BD10" w14:textId="77777777" w:rsidR="00B31E2E" w:rsidRPr="00292532" w:rsidRDefault="00B31E2E" w:rsidP="00B31E2E">
            <w:pPr>
              <w:spacing w:before="0"/>
              <w:jc w:val="left"/>
              <w:rPr>
                <w:rFonts w:asciiTheme="minorHAnsi" w:eastAsia="Times New Roman" w:hAnsiTheme="minorHAnsi" w:cstheme="minorHAnsi"/>
                <w:color w:val="000000"/>
                <w:sz w:val="20"/>
                <w:szCs w:val="20"/>
                <w:lang w:val="pt-PT" w:eastAsia="en-ZA"/>
              </w:rPr>
            </w:pPr>
          </w:p>
        </w:tc>
        <w:tc>
          <w:tcPr>
            <w:tcW w:w="1492" w:type="dxa"/>
            <w:noWrap/>
            <w:hideMark/>
          </w:tcPr>
          <w:p w14:paraId="36D2CFC7" w14:textId="77777777" w:rsidR="00B31E2E" w:rsidRPr="00292532" w:rsidRDefault="00B31E2E" w:rsidP="00B31E2E">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eastAsia="en-ZA"/>
              </w:rPr>
            </w:pPr>
            <w:r w:rsidRPr="00292532">
              <w:rPr>
                <w:rFonts w:asciiTheme="minorHAnsi" w:eastAsia="Times New Roman" w:hAnsiTheme="minorHAnsi" w:cstheme="minorHAnsi"/>
                <w:color w:val="000000"/>
                <w:sz w:val="20"/>
                <w:szCs w:val="20"/>
                <w:lang w:val="pt-PT" w:eastAsia="en-ZA"/>
              </w:rPr>
              <w:t>Lugela</w:t>
            </w:r>
          </w:p>
        </w:tc>
        <w:tc>
          <w:tcPr>
            <w:tcW w:w="6281" w:type="dxa"/>
            <w:noWrap/>
            <w:hideMark/>
          </w:tcPr>
          <w:p w14:paraId="5079CB46" w14:textId="77777777" w:rsidR="00B31E2E" w:rsidRPr="00292532" w:rsidRDefault="00B31E2E" w:rsidP="00B31E2E">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eastAsia="en-ZA"/>
              </w:rPr>
            </w:pPr>
            <w:r w:rsidRPr="00292532">
              <w:rPr>
                <w:rFonts w:asciiTheme="minorHAnsi" w:eastAsia="Times New Roman" w:hAnsiTheme="minorHAnsi" w:cstheme="minorHAnsi"/>
                <w:color w:val="000000"/>
                <w:sz w:val="20"/>
                <w:szCs w:val="20"/>
                <w:lang w:val="pt-PT" w:eastAsia="en-ZA"/>
              </w:rPr>
              <w:t>Monte Mabu</w:t>
            </w:r>
          </w:p>
        </w:tc>
      </w:tr>
      <w:tr w:rsidR="00B31E2E" w:rsidRPr="00292532" w14:paraId="37501D25" w14:textId="77777777" w:rsidTr="00B31E2E">
        <w:trPr>
          <w:trHeight w:val="300"/>
        </w:trPr>
        <w:tc>
          <w:tcPr>
            <w:cnfStyle w:val="001000000000" w:firstRow="0" w:lastRow="0" w:firstColumn="1" w:lastColumn="0" w:oddVBand="0" w:evenVBand="0" w:oddHBand="0" w:evenHBand="0" w:firstRowFirstColumn="0" w:firstRowLastColumn="0" w:lastRowFirstColumn="0" w:lastRowLastColumn="0"/>
            <w:tcW w:w="1400" w:type="dxa"/>
            <w:vMerge/>
            <w:hideMark/>
          </w:tcPr>
          <w:p w14:paraId="7CBB3B8A" w14:textId="77777777" w:rsidR="00B31E2E" w:rsidRPr="00292532" w:rsidRDefault="00B31E2E" w:rsidP="00B31E2E">
            <w:pPr>
              <w:spacing w:before="0"/>
              <w:jc w:val="left"/>
              <w:rPr>
                <w:rFonts w:asciiTheme="minorHAnsi" w:eastAsia="Times New Roman" w:hAnsiTheme="minorHAnsi" w:cstheme="minorHAnsi"/>
                <w:color w:val="000000"/>
                <w:sz w:val="20"/>
                <w:szCs w:val="20"/>
                <w:lang w:val="pt-PT" w:eastAsia="en-ZA"/>
              </w:rPr>
            </w:pPr>
          </w:p>
        </w:tc>
        <w:tc>
          <w:tcPr>
            <w:tcW w:w="1492" w:type="dxa"/>
            <w:noWrap/>
            <w:hideMark/>
          </w:tcPr>
          <w:p w14:paraId="35E82188" w14:textId="77777777" w:rsidR="00B31E2E" w:rsidRPr="00292532" w:rsidRDefault="00B31E2E" w:rsidP="00B31E2E">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eastAsia="en-ZA"/>
              </w:rPr>
            </w:pPr>
            <w:proofErr w:type="spellStart"/>
            <w:r w:rsidRPr="00292532">
              <w:rPr>
                <w:rFonts w:asciiTheme="minorHAnsi" w:eastAsia="Times New Roman" w:hAnsiTheme="minorHAnsi" w:cstheme="minorHAnsi"/>
                <w:color w:val="000000"/>
                <w:sz w:val="20"/>
                <w:szCs w:val="20"/>
                <w:lang w:val="pt-PT" w:eastAsia="en-ZA"/>
              </w:rPr>
              <w:t>Milange</w:t>
            </w:r>
            <w:proofErr w:type="spellEnd"/>
          </w:p>
        </w:tc>
        <w:tc>
          <w:tcPr>
            <w:tcW w:w="6281" w:type="dxa"/>
            <w:noWrap/>
            <w:hideMark/>
          </w:tcPr>
          <w:p w14:paraId="255B36C0" w14:textId="77777777" w:rsidR="00B31E2E" w:rsidRPr="00292532" w:rsidRDefault="00B31E2E" w:rsidP="00B31E2E">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eastAsia="en-ZA"/>
              </w:rPr>
            </w:pPr>
            <w:r w:rsidRPr="00292532">
              <w:rPr>
                <w:rFonts w:asciiTheme="minorHAnsi" w:eastAsia="Times New Roman" w:hAnsiTheme="minorHAnsi" w:cstheme="minorHAnsi"/>
                <w:color w:val="000000"/>
                <w:sz w:val="20"/>
                <w:szCs w:val="20"/>
                <w:lang w:val="pt-PT" w:eastAsia="en-ZA"/>
              </w:rPr>
              <w:t xml:space="preserve">Montes </w:t>
            </w:r>
            <w:proofErr w:type="spellStart"/>
            <w:r w:rsidRPr="00292532">
              <w:rPr>
                <w:rFonts w:asciiTheme="minorHAnsi" w:eastAsia="Times New Roman" w:hAnsiTheme="minorHAnsi" w:cstheme="minorHAnsi"/>
                <w:color w:val="000000"/>
                <w:sz w:val="20"/>
                <w:szCs w:val="20"/>
                <w:lang w:val="pt-PT" w:eastAsia="en-ZA"/>
              </w:rPr>
              <w:t>Chiperone</w:t>
            </w:r>
            <w:proofErr w:type="spellEnd"/>
          </w:p>
        </w:tc>
      </w:tr>
      <w:tr w:rsidR="00B31E2E" w:rsidRPr="00292532" w14:paraId="01F21134" w14:textId="77777777" w:rsidTr="00B31E2E">
        <w:trPr>
          <w:trHeight w:val="300"/>
        </w:trPr>
        <w:tc>
          <w:tcPr>
            <w:cnfStyle w:val="001000000000" w:firstRow="0" w:lastRow="0" w:firstColumn="1" w:lastColumn="0" w:oddVBand="0" w:evenVBand="0" w:oddHBand="0" w:evenHBand="0" w:firstRowFirstColumn="0" w:firstRowLastColumn="0" w:lastRowFirstColumn="0" w:lastRowLastColumn="0"/>
            <w:tcW w:w="1400" w:type="dxa"/>
            <w:vMerge/>
            <w:hideMark/>
          </w:tcPr>
          <w:p w14:paraId="177AF387" w14:textId="77777777" w:rsidR="00B31E2E" w:rsidRPr="00292532" w:rsidRDefault="00B31E2E" w:rsidP="00B31E2E">
            <w:pPr>
              <w:spacing w:before="0"/>
              <w:jc w:val="left"/>
              <w:rPr>
                <w:rFonts w:asciiTheme="minorHAnsi" w:eastAsia="Times New Roman" w:hAnsiTheme="minorHAnsi" w:cstheme="minorHAnsi"/>
                <w:color w:val="000000"/>
                <w:sz w:val="20"/>
                <w:szCs w:val="20"/>
                <w:lang w:val="pt-PT" w:eastAsia="en-ZA"/>
              </w:rPr>
            </w:pPr>
          </w:p>
        </w:tc>
        <w:tc>
          <w:tcPr>
            <w:tcW w:w="1492" w:type="dxa"/>
            <w:noWrap/>
            <w:hideMark/>
          </w:tcPr>
          <w:p w14:paraId="62DD48C6" w14:textId="77777777" w:rsidR="00B31E2E" w:rsidRPr="00292532" w:rsidRDefault="00B31E2E" w:rsidP="00B31E2E">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eastAsia="en-ZA"/>
              </w:rPr>
            </w:pPr>
            <w:r w:rsidRPr="00292532">
              <w:rPr>
                <w:rFonts w:asciiTheme="minorHAnsi" w:eastAsia="Times New Roman" w:hAnsiTheme="minorHAnsi" w:cstheme="minorHAnsi"/>
                <w:color w:val="000000"/>
                <w:sz w:val="20"/>
                <w:szCs w:val="20"/>
                <w:lang w:val="pt-PT" w:eastAsia="en-ZA"/>
              </w:rPr>
              <w:t>Mopeia</w:t>
            </w:r>
          </w:p>
        </w:tc>
        <w:tc>
          <w:tcPr>
            <w:tcW w:w="6281" w:type="dxa"/>
            <w:noWrap/>
            <w:hideMark/>
          </w:tcPr>
          <w:p w14:paraId="5E3DBFC0" w14:textId="77777777" w:rsidR="00B31E2E" w:rsidRPr="00292532" w:rsidRDefault="00B31E2E" w:rsidP="00B31E2E">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eastAsia="en-ZA"/>
              </w:rPr>
            </w:pPr>
            <w:r w:rsidRPr="00292532">
              <w:rPr>
                <w:rFonts w:asciiTheme="minorHAnsi" w:eastAsia="Times New Roman" w:hAnsiTheme="minorHAnsi" w:cstheme="minorHAnsi"/>
                <w:color w:val="000000"/>
                <w:sz w:val="20"/>
                <w:szCs w:val="20"/>
                <w:lang w:val="pt-PT" w:eastAsia="en-ZA"/>
              </w:rPr>
              <w:t xml:space="preserve">Reserva Florestal do </w:t>
            </w:r>
            <w:proofErr w:type="spellStart"/>
            <w:r w:rsidRPr="00292532">
              <w:rPr>
                <w:rFonts w:asciiTheme="minorHAnsi" w:eastAsia="Times New Roman" w:hAnsiTheme="minorHAnsi" w:cstheme="minorHAnsi"/>
                <w:color w:val="000000"/>
                <w:sz w:val="20"/>
                <w:szCs w:val="20"/>
                <w:lang w:val="pt-PT" w:eastAsia="en-ZA"/>
              </w:rPr>
              <w:t>Derre</w:t>
            </w:r>
            <w:proofErr w:type="spellEnd"/>
          </w:p>
        </w:tc>
      </w:tr>
      <w:tr w:rsidR="00B31E2E" w:rsidRPr="00292532" w14:paraId="6C49B239" w14:textId="77777777" w:rsidTr="00B31E2E">
        <w:trPr>
          <w:trHeight w:val="300"/>
        </w:trPr>
        <w:tc>
          <w:tcPr>
            <w:cnfStyle w:val="001000000000" w:firstRow="0" w:lastRow="0" w:firstColumn="1" w:lastColumn="0" w:oddVBand="0" w:evenVBand="0" w:oddHBand="0" w:evenHBand="0" w:firstRowFirstColumn="0" w:firstRowLastColumn="0" w:lastRowFirstColumn="0" w:lastRowLastColumn="0"/>
            <w:tcW w:w="1400" w:type="dxa"/>
            <w:vMerge/>
            <w:hideMark/>
          </w:tcPr>
          <w:p w14:paraId="3E8AB34F" w14:textId="77777777" w:rsidR="00B31E2E" w:rsidRPr="00292532" w:rsidRDefault="00B31E2E" w:rsidP="00B31E2E">
            <w:pPr>
              <w:spacing w:before="0"/>
              <w:jc w:val="left"/>
              <w:rPr>
                <w:rFonts w:asciiTheme="minorHAnsi" w:eastAsia="Times New Roman" w:hAnsiTheme="minorHAnsi" w:cstheme="minorHAnsi"/>
                <w:color w:val="000000"/>
                <w:sz w:val="20"/>
                <w:szCs w:val="20"/>
                <w:lang w:val="pt-PT" w:eastAsia="en-ZA"/>
              </w:rPr>
            </w:pPr>
          </w:p>
        </w:tc>
        <w:tc>
          <w:tcPr>
            <w:tcW w:w="1492" w:type="dxa"/>
            <w:noWrap/>
            <w:hideMark/>
          </w:tcPr>
          <w:p w14:paraId="6A0DB91D" w14:textId="77777777" w:rsidR="00B31E2E" w:rsidRPr="00292532" w:rsidRDefault="00B31E2E" w:rsidP="00B31E2E">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eastAsia="en-ZA"/>
              </w:rPr>
            </w:pPr>
            <w:r w:rsidRPr="00292532">
              <w:rPr>
                <w:rFonts w:asciiTheme="minorHAnsi" w:eastAsia="Times New Roman" w:hAnsiTheme="minorHAnsi" w:cstheme="minorHAnsi"/>
                <w:color w:val="000000"/>
                <w:sz w:val="20"/>
                <w:szCs w:val="20"/>
                <w:lang w:val="pt-PT" w:eastAsia="en-ZA"/>
              </w:rPr>
              <w:t>Morrumbala</w:t>
            </w:r>
          </w:p>
        </w:tc>
        <w:tc>
          <w:tcPr>
            <w:tcW w:w="6281" w:type="dxa"/>
            <w:noWrap/>
            <w:hideMark/>
          </w:tcPr>
          <w:p w14:paraId="2B836F18" w14:textId="77777777" w:rsidR="00B31E2E" w:rsidRPr="00292532" w:rsidRDefault="00B31E2E" w:rsidP="00B31E2E">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eastAsia="en-ZA"/>
              </w:rPr>
            </w:pPr>
            <w:r w:rsidRPr="00292532">
              <w:rPr>
                <w:rFonts w:asciiTheme="minorHAnsi" w:eastAsia="Times New Roman" w:hAnsiTheme="minorHAnsi" w:cstheme="minorHAnsi"/>
                <w:color w:val="000000"/>
                <w:sz w:val="20"/>
                <w:szCs w:val="20"/>
                <w:lang w:val="pt-PT" w:eastAsia="en-ZA"/>
              </w:rPr>
              <w:t xml:space="preserve">Reserva Florestal do </w:t>
            </w:r>
            <w:proofErr w:type="spellStart"/>
            <w:r w:rsidRPr="00292532">
              <w:rPr>
                <w:rFonts w:asciiTheme="minorHAnsi" w:eastAsia="Times New Roman" w:hAnsiTheme="minorHAnsi" w:cstheme="minorHAnsi"/>
                <w:color w:val="000000"/>
                <w:sz w:val="20"/>
                <w:szCs w:val="20"/>
                <w:lang w:val="pt-PT" w:eastAsia="en-ZA"/>
              </w:rPr>
              <w:t>Derre</w:t>
            </w:r>
            <w:proofErr w:type="spellEnd"/>
          </w:p>
        </w:tc>
      </w:tr>
      <w:tr w:rsidR="00B31E2E" w:rsidRPr="001E4B2C" w14:paraId="6A52143E" w14:textId="77777777" w:rsidTr="00B31E2E">
        <w:trPr>
          <w:trHeight w:val="600"/>
        </w:trPr>
        <w:tc>
          <w:tcPr>
            <w:cnfStyle w:val="001000000000" w:firstRow="0" w:lastRow="0" w:firstColumn="1" w:lastColumn="0" w:oddVBand="0" w:evenVBand="0" w:oddHBand="0" w:evenHBand="0" w:firstRowFirstColumn="0" w:firstRowLastColumn="0" w:lastRowFirstColumn="0" w:lastRowLastColumn="0"/>
            <w:tcW w:w="1400" w:type="dxa"/>
            <w:vMerge/>
            <w:hideMark/>
          </w:tcPr>
          <w:p w14:paraId="624731FC" w14:textId="77777777" w:rsidR="00B31E2E" w:rsidRPr="00292532" w:rsidRDefault="00B31E2E" w:rsidP="00B31E2E">
            <w:pPr>
              <w:spacing w:before="0"/>
              <w:jc w:val="left"/>
              <w:rPr>
                <w:rFonts w:asciiTheme="minorHAnsi" w:eastAsia="Times New Roman" w:hAnsiTheme="minorHAnsi" w:cstheme="minorHAnsi"/>
                <w:color w:val="000000"/>
                <w:sz w:val="20"/>
                <w:szCs w:val="20"/>
                <w:lang w:val="pt-PT" w:eastAsia="en-ZA"/>
              </w:rPr>
            </w:pPr>
          </w:p>
        </w:tc>
        <w:tc>
          <w:tcPr>
            <w:tcW w:w="1492" w:type="dxa"/>
            <w:noWrap/>
            <w:hideMark/>
          </w:tcPr>
          <w:p w14:paraId="6055855C" w14:textId="77777777" w:rsidR="00B31E2E" w:rsidRPr="00292532" w:rsidRDefault="00B31E2E" w:rsidP="00B31E2E">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eastAsia="en-ZA"/>
              </w:rPr>
            </w:pPr>
            <w:r w:rsidRPr="00292532">
              <w:rPr>
                <w:rFonts w:asciiTheme="minorHAnsi" w:eastAsia="Times New Roman" w:hAnsiTheme="minorHAnsi" w:cstheme="minorHAnsi"/>
                <w:color w:val="000000"/>
                <w:sz w:val="20"/>
                <w:szCs w:val="20"/>
                <w:lang w:val="pt-PT" w:eastAsia="en-ZA"/>
              </w:rPr>
              <w:t>Pebane</w:t>
            </w:r>
          </w:p>
        </w:tc>
        <w:tc>
          <w:tcPr>
            <w:tcW w:w="6281" w:type="dxa"/>
            <w:hideMark/>
          </w:tcPr>
          <w:p w14:paraId="4BE9FB14" w14:textId="0E3D4A32" w:rsidR="00B31E2E" w:rsidRPr="00292532" w:rsidRDefault="00B31E2E" w:rsidP="00B31E2E">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eastAsia="en-ZA"/>
              </w:rPr>
            </w:pPr>
            <w:r w:rsidRPr="00292532">
              <w:rPr>
                <w:rFonts w:asciiTheme="minorHAnsi" w:eastAsia="Times New Roman" w:hAnsiTheme="minorHAnsi" w:cstheme="minorHAnsi"/>
                <w:color w:val="000000"/>
                <w:sz w:val="20"/>
                <w:szCs w:val="20"/>
                <w:lang w:val="pt-PT" w:eastAsia="en-ZA"/>
              </w:rPr>
              <w:t xml:space="preserve">Reserva Nacional do Gilé, Parque Nacional Área de Proteção Ambiental Ilhas das Primeiras &amp; Segundas, IBA da Região de </w:t>
            </w:r>
            <w:proofErr w:type="spellStart"/>
            <w:r w:rsidRPr="00292532">
              <w:rPr>
                <w:rFonts w:asciiTheme="minorHAnsi" w:eastAsia="Times New Roman" w:hAnsiTheme="minorHAnsi" w:cstheme="minorHAnsi"/>
                <w:color w:val="000000"/>
                <w:sz w:val="20"/>
                <w:szCs w:val="20"/>
                <w:lang w:val="pt-PT" w:eastAsia="en-ZA"/>
              </w:rPr>
              <w:t>Moebase</w:t>
            </w:r>
            <w:proofErr w:type="spellEnd"/>
          </w:p>
        </w:tc>
      </w:tr>
      <w:tr w:rsidR="00B31E2E" w:rsidRPr="001E4B2C" w14:paraId="39381385" w14:textId="77777777" w:rsidTr="004500AE">
        <w:trPr>
          <w:trHeight w:val="300"/>
        </w:trPr>
        <w:tc>
          <w:tcPr>
            <w:cnfStyle w:val="001000000000" w:firstRow="0" w:lastRow="0" w:firstColumn="1" w:lastColumn="0" w:oddVBand="0" w:evenVBand="0" w:oddHBand="0" w:evenHBand="0" w:firstRowFirstColumn="0" w:firstRowLastColumn="0" w:lastRowFirstColumn="0" w:lastRowLastColumn="0"/>
            <w:tcW w:w="0" w:type="dxa"/>
            <w:vMerge/>
            <w:hideMark/>
          </w:tcPr>
          <w:p w14:paraId="69DF7087" w14:textId="77777777" w:rsidR="00B31E2E" w:rsidRPr="00292532" w:rsidRDefault="00B31E2E" w:rsidP="00B31E2E">
            <w:pPr>
              <w:spacing w:before="0"/>
              <w:jc w:val="left"/>
              <w:rPr>
                <w:rFonts w:asciiTheme="minorHAnsi" w:eastAsia="Times New Roman" w:hAnsiTheme="minorHAnsi" w:cstheme="minorHAnsi"/>
                <w:color w:val="000000"/>
                <w:sz w:val="20"/>
                <w:szCs w:val="20"/>
                <w:lang w:val="pt-PT" w:eastAsia="en-ZA"/>
              </w:rPr>
            </w:pPr>
          </w:p>
        </w:tc>
        <w:tc>
          <w:tcPr>
            <w:tcW w:w="0" w:type="dxa"/>
            <w:noWrap/>
          </w:tcPr>
          <w:p w14:paraId="3BECDB5C" w14:textId="60F25FFF" w:rsidR="00B31E2E" w:rsidRPr="004500AE" w:rsidRDefault="00B31E2E" w:rsidP="00B31E2E">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highlight w:val="yellow"/>
                <w:lang w:val="pt-PT" w:eastAsia="en-ZA"/>
              </w:rPr>
            </w:pPr>
          </w:p>
        </w:tc>
        <w:tc>
          <w:tcPr>
            <w:tcW w:w="0" w:type="dxa"/>
            <w:noWrap/>
          </w:tcPr>
          <w:p w14:paraId="08A83CFB" w14:textId="05976627" w:rsidR="00B31E2E" w:rsidRPr="004500AE" w:rsidRDefault="00B31E2E" w:rsidP="00B31E2E">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highlight w:val="yellow"/>
                <w:lang w:val="pt-PT" w:eastAsia="en-ZA"/>
              </w:rPr>
            </w:pPr>
          </w:p>
        </w:tc>
      </w:tr>
    </w:tbl>
    <w:p w14:paraId="5D84D997" w14:textId="77777777" w:rsidR="00B31E2E" w:rsidRPr="00292532" w:rsidRDefault="00B31E2E" w:rsidP="00B31E2E">
      <w:pPr>
        <w:spacing w:before="0" w:line="276" w:lineRule="auto"/>
        <w:rPr>
          <w:rFonts w:asciiTheme="minorHAnsi" w:hAnsiTheme="minorHAnsi" w:cstheme="minorHAnsi"/>
          <w:sz w:val="24"/>
          <w:szCs w:val="24"/>
          <w:lang w:val="pt-PT"/>
        </w:rPr>
      </w:pPr>
    </w:p>
    <w:bookmarkEnd w:id="121"/>
    <w:p w14:paraId="6F1078C9" w14:textId="621D7CA3" w:rsidR="00B3446C" w:rsidRPr="00292532" w:rsidRDefault="00BD0602" w:rsidP="00B31E2E">
      <w:pPr>
        <w:spacing w:before="0" w:line="276" w:lineRule="auto"/>
        <w:rPr>
          <w:rFonts w:asciiTheme="minorHAnsi" w:hAnsiTheme="minorHAnsi" w:cstheme="minorHAnsi"/>
          <w:lang w:val="pt-PT"/>
        </w:rPr>
      </w:pPr>
      <w:r w:rsidRPr="00EC2545">
        <w:rPr>
          <w:rFonts w:asciiTheme="minorHAnsi" w:hAnsiTheme="minorHAnsi" w:cstheme="minorHAnsi"/>
          <w:noProof/>
          <w:lang w:val="en-US"/>
        </w:rPr>
        <w:drawing>
          <wp:inline distT="0" distB="0" distL="0" distR="0" wp14:anchorId="1CE3230C" wp14:editId="00A500B0">
            <wp:extent cx="5400040" cy="3817432"/>
            <wp:effectExtent l="0" t="0" r="0" b="0"/>
            <wp:docPr id="283" name="Picture 283" descr="C:\Users\25882\Desktop\LigaMoz project\AIA\Mapas\Mapa de areas de conservaca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5882\Desktop\LigaMoz project\AIA\Mapas\Mapa de areas de conservacao_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40" cy="3817432"/>
                    </a:xfrm>
                    <a:prstGeom prst="rect">
                      <a:avLst/>
                    </a:prstGeom>
                    <a:noFill/>
                    <a:ln>
                      <a:noFill/>
                    </a:ln>
                  </pic:spPr>
                </pic:pic>
              </a:graphicData>
            </a:graphic>
          </wp:inline>
        </w:drawing>
      </w:r>
    </w:p>
    <w:p w14:paraId="4092E8E9" w14:textId="30AAC3CE" w:rsidR="00B3446C" w:rsidRPr="00292532" w:rsidRDefault="00B3446C" w:rsidP="00B3446C">
      <w:pPr>
        <w:pStyle w:val="Caption"/>
      </w:pPr>
      <w:bookmarkStart w:id="125" w:name="_Ref72951565"/>
      <w:bookmarkStart w:id="126" w:name="_Ref72951562"/>
      <w:bookmarkStart w:id="127" w:name="_Toc80380235"/>
      <w:r w:rsidRPr="00292532">
        <w:t xml:space="preserve">Figura </w:t>
      </w:r>
      <w:r w:rsidRPr="00292532">
        <w:fldChar w:fldCharType="begin"/>
      </w:r>
      <w:r w:rsidRPr="00292532">
        <w:instrText xml:space="preserve"> SEQ Figura \* ARABIC </w:instrText>
      </w:r>
      <w:r w:rsidRPr="00292532">
        <w:fldChar w:fldCharType="separate"/>
      </w:r>
      <w:r w:rsidR="00A74521" w:rsidRPr="00292532">
        <w:rPr>
          <w:noProof/>
        </w:rPr>
        <w:t>12</w:t>
      </w:r>
      <w:r w:rsidRPr="00292532">
        <w:fldChar w:fldCharType="end"/>
      </w:r>
      <w:bookmarkEnd w:id="125"/>
      <w:r w:rsidRPr="00292532">
        <w:t xml:space="preserve">: Áreas de Conservação nas Áreas Abrangidas pelo </w:t>
      </w:r>
      <w:proofErr w:type="spellStart"/>
      <w:r w:rsidRPr="00292532">
        <w:t>Projecto</w:t>
      </w:r>
      <w:proofErr w:type="spellEnd"/>
      <w:r w:rsidRPr="00292532">
        <w:t xml:space="preserve"> ~</w:t>
      </w:r>
      <w:bookmarkEnd w:id="126"/>
      <w:bookmarkEnd w:id="127"/>
    </w:p>
    <w:p w14:paraId="0941A3A6" w14:textId="3F812546" w:rsidR="00B31E2E" w:rsidRPr="00292532" w:rsidRDefault="00B31E2E" w:rsidP="00B31E2E">
      <w:pPr>
        <w:spacing w:before="0" w:line="276" w:lineRule="auto"/>
        <w:rPr>
          <w:rFonts w:asciiTheme="minorHAnsi" w:hAnsiTheme="minorHAnsi" w:cstheme="minorHAnsi"/>
          <w:lang w:val="pt-PT"/>
        </w:rPr>
      </w:pPr>
      <w:r w:rsidRPr="00292532">
        <w:rPr>
          <w:rFonts w:asciiTheme="minorHAnsi" w:hAnsiTheme="minorHAnsi" w:cstheme="minorHAnsi"/>
          <w:lang w:val="pt-PT"/>
        </w:rPr>
        <w:t xml:space="preserve">O país tem uma fauna rica e variada composta por 211 espécies de </w:t>
      </w:r>
      <w:r w:rsidR="0005701F" w:rsidRPr="00292532">
        <w:rPr>
          <w:rFonts w:asciiTheme="minorHAnsi" w:hAnsiTheme="minorHAnsi" w:cstheme="minorHAnsi"/>
          <w:lang w:val="pt-PT"/>
        </w:rPr>
        <w:t>mamíferos</w:t>
      </w:r>
      <w:r w:rsidRPr="00292532">
        <w:rPr>
          <w:rFonts w:asciiTheme="minorHAnsi" w:hAnsiTheme="minorHAnsi" w:cstheme="minorHAnsi"/>
          <w:lang w:val="pt-PT"/>
        </w:rPr>
        <w:t xml:space="preserve"> terrestres e 11 </w:t>
      </w:r>
      <w:r w:rsidR="0005701F" w:rsidRPr="00292532">
        <w:rPr>
          <w:rFonts w:asciiTheme="minorHAnsi" w:hAnsiTheme="minorHAnsi" w:cstheme="minorHAnsi"/>
          <w:lang w:val="pt-PT"/>
        </w:rPr>
        <w:t>mamíferos</w:t>
      </w:r>
      <w:r w:rsidRPr="00292532">
        <w:rPr>
          <w:rFonts w:asciiTheme="minorHAnsi" w:hAnsiTheme="minorHAnsi" w:cstheme="minorHAnsi"/>
          <w:lang w:val="pt-PT"/>
        </w:rPr>
        <w:t xml:space="preserve"> aquáticos. Somente uma espécie </w:t>
      </w:r>
      <w:r w:rsidR="0005701F" w:rsidRPr="00292532">
        <w:rPr>
          <w:rFonts w:asciiTheme="minorHAnsi" w:hAnsiTheme="minorHAnsi" w:cstheme="minorHAnsi"/>
          <w:lang w:val="pt-PT"/>
        </w:rPr>
        <w:t>mamífera</w:t>
      </w:r>
      <w:r w:rsidRPr="00292532">
        <w:rPr>
          <w:rFonts w:asciiTheme="minorHAnsi" w:hAnsiTheme="minorHAnsi" w:cstheme="minorHAnsi"/>
          <w:lang w:val="pt-PT"/>
        </w:rPr>
        <w:t xml:space="preserve"> é considerada endémica, um esquilo vermelho branco-inchado habitável no Monte </w:t>
      </w:r>
      <w:proofErr w:type="spellStart"/>
      <w:r w:rsidRPr="00292532">
        <w:rPr>
          <w:rFonts w:asciiTheme="minorHAnsi" w:hAnsiTheme="minorHAnsi" w:cstheme="minorHAnsi"/>
          <w:lang w:val="pt-PT"/>
        </w:rPr>
        <w:t>Namuli</w:t>
      </w:r>
      <w:proofErr w:type="spellEnd"/>
      <w:r w:rsidRPr="00292532">
        <w:rPr>
          <w:rFonts w:asciiTheme="minorHAnsi" w:hAnsiTheme="minorHAnsi" w:cstheme="minorHAnsi"/>
          <w:lang w:val="pt-PT"/>
        </w:rPr>
        <w:t xml:space="preserve">, na província de Zambézia. </w:t>
      </w:r>
    </w:p>
    <w:p w14:paraId="362FC456" w14:textId="77777777" w:rsidR="00B31E2E" w:rsidRPr="00292532" w:rsidRDefault="00B31E2E" w:rsidP="00B31E2E">
      <w:pPr>
        <w:spacing w:before="0" w:line="276" w:lineRule="auto"/>
        <w:rPr>
          <w:rFonts w:asciiTheme="minorHAnsi" w:hAnsiTheme="minorHAnsi" w:cstheme="minorHAnsi"/>
          <w:b/>
          <w:lang w:val="pt-PT"/>
        </w:rPr>
      </w:pPr>
      <w:r w:rsidRPr="00292532">
        <w:rPr>
          <w:rFonts w:asciiTheme="minorHAnsi" w:hAnsiTheme="minorHAnsi" w:cstheme="minorHAnsi"/>
          <w:lang w:val="pt-PT"/>
        </w:rPr>
        <w:t xml:space="preserve">Há um número de espécies endémicas e específicas, amplamente associadas a zonas montanhosas isoladas como a Montanhas de Gorongosa em Sofala, </w:t>
      </w:r>
      <w:proofErr w:type="spellStart"/>
      <w:r w:rsidRPr="00292532">
        <w:rPr>
          <w:rFonts w:asciiTheme="minorHAnsi" w:hAnsiTheme="minorHAnsi" w:cstheme="minorHAnsi"/>
          <w:lang w:val="pt-PT"/>
        </w:rPr>
        <w:t>Chimanimani</w:t>
      </w:r>
      <w:proofErr w:type="spellEnd"/>
      <w:r w:rsidRPr="00292532">
        <w:rPr>
          <w:rFonts w:asciiTheme="minorHAnsi" w:hAnsiTheme="minorHAnsi" w:cstheme="minorHAnsi"/>
          <w:lang w:val="pt-PT"/>
        </w:rPr>
        <w:t xml:space="preserve"> em Manica, </w:t>
      </w:r>
      <w:proofErr w:type="spellStart"/>
      <w:r w:rsidRPr="00292532">
        <w:rPr>
          <w:rFonts w:asciiTheme="minorHAnsi" w:hAnsiTheme="minorHAnsi" w:cstheme="minorHAnsi"/>
          <w:lang w:val="pt-PT"/>
        </w:rPr>
        <w:t>Chiperone</w:t>
      </w:r>
      <w:proofErr w:type="spellEnd"/>
      <w:r w:rsidRPr="00292532">
        <w:rPr>
          <w:rFonts w:asciiTheme="minorHAnsi" w:hAnsiTheme="minorHAnsi" w:cstheme="minorHAnsi"/>
          <w:lang w:val="pt-PT"/>
        </w:rPr>
        <w:t xml:space="preserve"> e </w:t>
      </w:r>
      <w:proofErr w:type="spellStart"/>
      <w:r w:rsidRPr="00292532">
        <w:rPr>
          <w:rFonts w:asciiTheme="minorHAnsi" w:hAnsiTheme="minorHAnsi" w:cstheme="minorHAnsi"/>
          <w:lang w:val="pt-PT"/>
        </w:rPr>
        <w:t>Namuli</w:t>
      </w:r>
      <w:proofErr w:type="spellEnd"/>
      <w:r w:rsidRPr="00292532">
        <w:rPr>
          <w:rFonts w:asciiTheme="minorHAnsi" w:hAnsiTheme="minorHAnsi" w:cstheme="minorHAnsi"/>
          <w:lang w:val="pt-PT"/>
        </w:rPr>
        <w:t xml:space="preserve"> na Zambézia. </w:t>
      </w:r>
    </w:p>
    <w:p w14:paraId="618BF773" w14:textId="2ACB96FD" w:rsidR="00B31E2E" w:rsidRPr="00292532" w:rsidRDefault="00B31E2E" w:rsidP="00B31E2E">
      <w:pPr>
        <w:spacing w:before="0" w:line="276" w:lineRule="auto"/>
        <w:rPr>
          <w:rFonts w:asciiTheme="minorHAnsi" w:hAnsiTheme="minorHAnsi" w:cstheme="minorHAnsi"/>
          <w:b/>
          <w:lang w:val="pt-PT"/>
        </w:rPr>
      </w:pPr>
      <w:r w:rsidRPr="00292532">
        <w:rPr>
          <w:rFonts w:asciiTheme="minorHAnsi" w:hAnsiTheme="minorHAnsi" w:cstheme="minorHAnsi"/>
          <w:lang w:val="pt-PT"/>
        </w:rPr>
        <w:t xml:space="preserve">Relativamente a fauna ornitológica de Moçambique é de modo geral semelhante </w:t>
      </w:r>
      <w:r w:rsidR="00B3446C" w:rsidRPr="00292532">
        <w:rPr>
          <w:rFonts w:asciiTheme="minorHAnsi" w:hAnsiTheme="minorHAnsi" w:cstheme="minorHAnsi"/>
          <w:lang w:val="pt-PT"/>
        </w:rPr>
        <w:t>à</w:t>
      </w:r>
      <w:r w:rsidRPr="00292532">
        <w:rPr>
          <w:rFonts w:asciiTheme="minorHAnsi" w:hAnsiTheme="minorHAnsi" w:cstheme="minorHAnsi"/>
          <w:lang w:val="pt-PT"/>
        </w:rPr>
        <w:t xml:space="preserve"> dos países vizinhos, mais especificamente do </w:t>
      </w:r>
      <w:proofErr w:type="spellStart"/>
      <w:r w:rsidRPr="00292532">
        <w:rPr>
          <w:rFonts w:asciiTheme="minorHAnsi" w:hAnsiTheme="minorHAnsi" w:cstheme="minorHAnsi"/>
          <w:lang w:val="pt-PT"/>
        </w:rPr>
        <w:t>Zimbabwé</w:t>
      </w:r>
      <w:proofErr w:type="spellEnd"/>
      <w:r w:rsidRPr="00292532">
        <w:rPr>
          <w:rFonts w:asciiTheme="minorHAnsi" w:hAnsiTheme="minorHAnsi" w:cstheme="minorHAnsi"/>
          <w:lang w:val="pt-PT"/>
        </w:rPr>
        <w:t xml:space="preserve"> e África-do-Sul, dada a similaridade e continuidade de alguns ecossistemas entre estes. Cerca de 735 espécies de aves já foram registadas em Moçambique, dentre aves de pequeno e grande porte </w:t>
      </w:r>
      <w:r w:rsidR="008F7D45" w:rsidRPr="00292532">
        <w:rPr>
          <w:rFonts w:asciiTheme="minorHAnsi" w:hAnsiTheme="minorHAnsi" w:cstheme="minorHAnsi"/>
          <w:lang w:val="pt-PT"/>
        </w:rPr>
        <w:t xml:space="preserve">de um </w:t>
      </w:r>
      <w:r w:rsidRPr="00292532">
        <w:rPr>
          <w:rFonts w:asciiTheme="minorHAnsi" w:hAnsiTheme="minorHAnsi" w:cstheme="minorHAnsi"/>
          <w:lang w:val="pt-PT"/>
        </w:rPr>
        <w:t xml:space="preserve">total de aproximadamente 900 espécies registadas na África Austral. </w:t>
      </w:r>
    </w:p>
    <w:p w14:paraId="51A0D94F" w14:textId="1F02C349" w:rsidR="00B31E2E" w:rsidRPr="00292532" w:rsidRDefault="00B31E2E" w:rsidP="00B31E2E">
      <w:pPr>
        <w:spacing w:before="0" w:line="276" w:lineRule="auto"/>
        <w:rPr>
          <w:rFonts w:asciiTheme="minorHAnsi" w:hAnsiTheme="minorHAnsi" w:cstheme="minorHAnsi"/>
          <w:b/>
          <w:lang w:val="pt-PT"/>
        </w:rPr>
      </w:pPr>
      <w:r w:rsidRPr="00292532">
        <w:rPr>
          <w:rFonts w:asciiTheme="minorHAnsi" w:hAnsiTheme="minorHAnsi" w:cstheme="minorHAnsi"/>
          <w:lang w:val="pt-PT"/>
        </w:rPr>
        <w:lastRenderedPageBreak/>
        <w:t>Algumas espécies endémicas e/ou raras como o Papa Figos de Cabeça Verde (</w:t>
      </w:r>
      <w:proofErr w:type="spellStart"/>
      <w:r w:rsidRPr="00292532">
        <w:rPr>
          <w:rFonts w:asciiTheme="minorHAnsi" w:hAnsiTheme="minorHAnsi" w:cstheme="minorHAnsi"/>
          <w:i/>
          <w:lang w:val="pt-PT"/>
        </w:rPr>
        <w:t>Oriolus</w:t>
      </w:r>
      <w:proofErr w:type="spellEnd"/>
      <w:r w:rsidRPr="00292532">
        <w:rPr>
          <w:rFonts w:asciiTheme="minorHAnsi" w:hAnsiTheme="minorHAnsi" w:cstheme="minorHAnsi"/>
          <w:i/>
          <w:lang w:val="pt-PT"/>
        </w:rPr>
        <w:t xml:space="preserve"> </w:t>
      </w:r>
      <w:proofErr w:type="spellStart"/>
      <w:r w:rsidRPr="00292532">
        <w:rPr>
          <w:rFonts w:asciiTheme="minorHAnsi" w:hAnsiTheme="minorHAnsi" w:cstheme="minorHAnsi"/>
          <w:i/>
          <w:lang w:val="pt-PT"/>
        </w:rPr>
        <w:t>chlorocephalus</w:t>
      </w:r>
      <w:proofErr w:type="spellEnd"/>
      <w:r w:rsidRPr="00292532">
        <w:rPr>
          <w:rFonts w:asciiTheme="minorHAnsi" w:hAnsiTheme="minorHAnsi" w:cstheme="minorHAnsi"/>
          <w:i/>
          <w:lang w:val="pt-PT"/>
        </w:rPr>
        <w:t xml:space="preserve"> subespécie </w:t>
      </w:r>
      <w:proofErr w:type="spellStart"/>
      <w:r w:rsidRPr="00292532">
        <w:rPr>
          <w:rFonts w:asciiTheme="minorHAnsi" w:hAnsiTheme="minorHAnsi" w:cstheme="minorHAnsi"/>
          <w:i/>
          <w:lang w:val="pt-PT"/>
        </w:rPr>
        <w:t>speculifer</w:t>
      </w:r>
      <w:proofErr w:type="spellEnd"/>
      <w:r w:rsidRPr="00292532">
        <w:rPr>
          <w:rFonts w:asciiTheme="minorHAnsi" w:hAnsiTheme="minorHAnsi" w:cstheme="minorHAnsi"/>
          <w:lang w:val="pt-PT"/>
        </w:rPr>
        <w:t>), Pisco de Montanha Malhado (</w:t>
      </w:r>
      <w:proofErr w:type="spellStart"/>
      <w:r w:rsidRPr="00292532">
        <w:rPr>
          <w:rFonts w:asciiTheme="minorHAnsi" w:hAnsiTheme="minorHAnsi" w:cstheme="minorHAnsi"/>
          <w:i/>
          <w:lang w:val="pt-PT"/>
        </w:rPr>
        <w:t>Modulatrix</w:t>
      </w:r>
      <w:proofErr w:type="spellEnd"/>
      <w:r w:rsidRPr="00292532">
        <w:rPr>
          <w:rFonts w:asciiTheme="minorHAnsi" w:hAnsiTheme="minorHAnsi" w:cstheme="minorHAnsi"/>
          <w:i/>
          <w:lang w:val="pt-PT"/>
        </w:rPr>
        <w:t xml:space="preserve"> </w:t>
      </w:r>
      <w:proofErr w:type="spellStart"/>
      <w:r w:rsidRPr="00292532">
        <w:rPr>
          <w:rFonts w:asciiTheme="minorHAnsi" w:hAnsiTheme="minorHAnsi" w:cstheme="minorHAnsi"/>
          <w:i/>
          <w:lang w:val="pt-PT"/>
        </w:rPr>
        <w:t>orostrythus</w:t>
      </w:r>
      <w:proofErr w:type="spellEnd"/>
      <w:r w:rsidRPr="00292532">
        <w:rPr>
          <w:rFonts w:asciiTheme="minorHAnsi" w:hAnsiTheme="minorHAnsi" w:cstheme="minorHAnsi"/>
          <w:lang w:val="pt-PT"/>
        </w:rPr>
        <w:t xml:space="preserve">), </w:t>
      </w:r>
      <w:proofErr w:type="spellStart"/>
      <w:r w:rsidRPr="00292532">
        <w:rPr>
          <w:rFonts w:asciiTheme="minorHAnsi" w:hAnsiTheme="minorHAnsi" w:cstheme="minorHAnsi"/>
          <w:lang w:val="pt-PT"/>
        </w:rPr>
        <w:t>Chirinda</w:t>
      </w:r>
      <w:proofErr w:type="spellEnd"/>
      <w:r w:rsidRPr="00292532">
        <w:rPr>
          <w:rFonts w:asciiTheme="minorHAnsi" w:hAnsiTheme="minorHAnsi" w:cstheme="minorHAnsi"/>
          <w:lang w:val="pt-PT"/>
        </w:rPr>
        <w:t xml:space="preserve"> </w:t>
      </w:r>
      <w:proofErr w:type="spellStart"/>
      <w:r w:rsidRPr="00292532">
        <w:rPr>
          <w:rFonts w:asciiTheme="minorHAnsi" w:hAnsiTheme="minorHAnsi" w:cstheme="minorHAnsi"/>
          <w:lang w:val="pt-PT"/>
        </w:rPr>
        <w:t>Apalis</w:t>
      </w:r>
      <w:proofErr w:type="spellEnd"/>
      <w:r w:rsidRPr="00292532">
        <w:rPr>
          <w:rFonts w:asciiTheme="minorHAnsi" w:hAnsiTheme="minorHAnsi" w:cstheme="minorHAnsi"/>
          <w:lang w:val="pt-PT"/>
        </w:rPr>
        <w:t xml:space="preserve"> (</w:t>
      </w:r>
      <w:proofErr w:type="spellStart"/>
      <w:r w:rsidRPr="00292532">
        <w:rPr>
          <w:rFonts w:asciiTheme="minorHAnsi" w:hAnsiTheme="minorHAnsi" w:cstheme="minorHAnsi"/>
          <w:i/>
          <w:lang w:val="pt-PT"/>
        </w:rPr>
        <w:t>Apalis</w:t>
      </w:r>
      <w:proofErr w:type="spellEnd"/>
      <w:r w:rsidRPr="00292532">
        <w:rPr>
          <w:rFonts w:asciiTheme="minorHAnsi" w:hAnsiTheme="minorHAnsi" w:cstheme="minorHAnsi"/>
          <w:i/>
          <w:lang w:val="pt-PT"/>
        </w:rPr>
        <w:t xml:space="preserve"> </w:t>
      </w:r>
      <w:proofErr w:type="spellStart"/>
      <w:r w:rsidRPr="00292532">
        <w:rPr>
          <w:rFonts w:asciiTheme="minorHAnsi" w:hAnsiTheme="minorHAnsi" w:cstheme="minorHAnsi"/>
          <w:i/>
          <w:lang w:val="pt-PT"/>
        </w:rPr>
        <w:t>chirindensis</w:t>
      </w:r>
      <w:proofErr w:type="spellEnd"/>
      <w:r w:rsidRPr="00292532">
        <w:rPr>
          <w:rFonts w:asciiTheme="minorHAnsi" w:hAnsiTheme="minorHAnsi" w:cstheme="minorHAnsi"/>
          <w:lang w:val="pt-PT"/>
        </w:rPr>
        <w:t xml:space="preserve">), o Pisco da Floresta de </w:t>
      </w:r>
      <w:proofErr w:type="spellStart"/>
      <w:r w:rsidRPr="00292532">
        <w:rPr>
          <w:rFonts w:asciiTheme="minorHAnsi" w:hAnsiTheme="minorHAnsi" w:cstheme="minorHAnsi"/>
          <w:lang w:val="pt-PT"/>
        </w:rPr>
        <w:t>Swynnerton</w:t>
      </w:r>
      <w:proofErr w:type="spellEnd"/>
      <w:r w:rsidRPr="00292532">
        <w:rPr>
          <w:rFonts w:asciiTheme="minorHAnsi" w:hAnsiTheme="minorHAnsi" w:cstheme="minorHAnsi"/>
          <w:lang w:val="pt-PT"/>
        </w:rPr>
        <w:t xml:space="preserve"> (</w:t>
      </w:r>
      <w:proofErr w:type="spellStart"/>
      <w:r w:rsidRPr="00292532">
        <w:rPr>
          <w:rFonts w:asciiTheme="minorHAnsi" w:hAnsiTheme="minorHAnsi" w:cstheme="minorHAnsi"/>
          <w:i/>
          <w:lang w:val="pt-PT"/>
        </w:rPr>
        <w:t>Swynnertonian</w:t>
      </w:r>
      <w:proofErr w:type="spellEnd"/>
      <w:r w:rsidRPr="00292532">
        <w:rPr>
          <w:rFonts w:asciiTheme="minorHAnsi" w:hAnsiTheme="minorHAnsi" w:cstheme="minorHAnsi"/>
          <w:i/>
          <w:lang w:val="pt-PT"/>
        </w:rPr>
        <w:t xml:space="preserve"> </w:t>
      </w:r>
      <w:proofErr w:type="spellStart"/>
      <w:r w:rsidRPr="00292532">
        <w:rPr>
          <w:rFonts w:asciiTheme="minorHAnsi" w:hAnsiTheme="minorHAnsi" w:cstheme="minorHAnsi"/>
          <w:i/>
          <w:lang w:val="pt-PT"/>
        </w:rPr>
        <w:t>swynnerton</w:t>
      </w:r>
      <w:proofErr w:type="spellEnd"/>
      <w:r w:rsidRPr="00292532">
        <w:rPr>
          <w:rFonts w:asciiTheme="minorHAnsi" w:hAnsiTheme="minorHAnsi" w:cstheme="minorHAnsi"/>
          <w:lang w:val="pt-PT"/>
        </w:rPr>
        <w:t xml:space="preserve">) e subespécies de </w:t>
      </w:r>
      <w:proofErr w:type="spellStart"/>
      <w:r w:rsidRPr="00292532">
        <w:rPr>
          <w:rFonts w:asciiTheme="minorHAnsi" w:hAnsiTheme="minorHAnsi" w:cstheme="minorHAnsi"/>
          <w:lang w:val="pt-PT"/>
        </w:rPr>
        <w:t>Alete</w:t>
      </w:r>
      <w:proofErr w:type="spellEnd"/>
      <w:r w:rsidRPr="00292532">
        <w:rPr>
          <w:rFonts w:asciiTheme="minorHAnsi" w:hAnsiTheme="minorHAnsi" w:cstheme="minorHAnsi"/>
          <w:lang w:val="pt-PT"/>
        </w:rPr>
        <w:t xml:space="preserve"> de Peito Branco (</w:t>
      </w:r>
      <w:proofErr w:type="spellStart"/>
      <w:r w:rsidRPr="00292532">
        <w:rPr>
          <w:rFonts w:asciiTheme="minorHAnsi" w:hAnsiTheme="minorHAnsi" w:cstheme="minorHAnsi"/>
          <w:i/>
          <w:lang w:val="pt-PT"/>
        </w:rPr>
        <w:t>Alethe</w:t>
      </w:r>
      <w:proofErr w:type="spellEnd"/>
      <w:r w:rsidRPr="00292532">
        <w:rPr>
          <w:rFonts w:asciiTheme="minorHAnsi" w:hAnsiTheme="minorHAnsi" w:cstheme="minorHAnsi"/>
          <w:i/>
          <w:lang w:val="pt-PT"/>
        </w:rPr>
        <w:t xml:space="preserve"> </w:t>
      </w:r>
      <w:proofErr w:type="spellStart"/>
      <w:r w:rsidRPr="00292532">
        <w:rPr>
          <w:rFonts w:asciiTheme="minorHAnsi" w:hAnsiTheme="minorHAnsi" w:cstheme="minorHAnsi"/>
          <w:i/>
          <w:lang w:val="pt-PT"/>
        </w:rPr>
        <w:t>fuelleborni</w:t>
      </w:r>
      <w:proofErr w:type="spellEnd"/>
      <w:r w:rsidRPr="00292532">
        <w:rPr>
          <w:rFonts w:asciiTheme="minorHAnsi" w:hAnsiTheme="minorHAnsi" w:cstheme="minorHAnsi"/>
          <w:lang w:val="pt-PT"/>
        </w:rPr>
        <w:t>), Águia Cobreira Barrada (</w:t>
      </w:r>
      <w:proofErr w:type="spellStart"/>
      <w:r w:rsidRPr="00292532">
        <w:rPr>
          <w:rFonts w:asciiTheme="minorHAnsi" w:hAnsiTheme="minorHAnsi" w:cstheme="minorHAnsi"/>
          <w:i/>
          <w:lang w:val="pt-PT"/>
        </w:rPr>
        <w:t>Circaetus</w:t>
      </w:r>
      <w:proofErr w:type="spellEnd"/>
      <w:r w:rsidRPr="00292532">
        <w:rPr>
          <w:rFonts w:asciiTheme="minorHAnsi" w:hAnsiTheme="minorHAnsi" w:cstheme="minorHAnsi"/>
          <w:i/>
          <w:lang w:val="pt-PT"/>
        </w:rPr>
        <w:t xml:space="preserve"> </w:t>
      </w:r>
      <w:proofErr w:type="spellStart"/>
      <w:r w:rsidRPr="00292532">
        <w:rPr>
          <w:rFonts w:asciiTheme="minorHAnsi" w:hAnsiTheme="minorHAnsi" w:cstheme="minorHAnsi"/>
          <w:i/>
          <w:lang w:val="pt-PT"/>
        </w:rPr>
        <w:t>fasciolatus</w:t>
      </w:r>
      <w:proofErr w:type="spellEnd"/>
      <w:r w:rsidRPr="00292532">
        <w:rPr>
          <w:rFonts w:asciiTheme="minorHAnsi" w:hAnsiTheme="minorHAnsi" w:cstheme="minorHAnsi"/>
          <w:lang w:val="pt-PT"/>
        </w:rPr>
        <w:t>), Tuta Sombria (</w:t>
      </w:r>
      <w:proofErr w:type="spellStart"/>
      <w:r w:rsidRPr="00292532">
        <w:rPr>
          <w:rFonts w:asciiTheme="minorHAnsi" w:hAnsiTheme="minorHAnsi" w:cstheme="minorHAnsi"/>
          <w:i/>
          <w:lang w:val="pt-PT"/>
        </w:rPr>
        <w:t>Andropadus</w:t>
      </w:r>
      <w:proofErr w:type="spellEnd"/>
      <w:r w:rsidRPr="00292532">
        <w:rPr>
          <w:rFonts w:asciiTheme="minorHAnsi" w:hAnsiTheme="minorHAnsi" w:cstheme="minorHAnsi"/>
          <w:i/>
          <w:lang w:val="pt-PT"/>
        </w:rPr>
        <w:t xml:space="preserve"> </w:t>
      </w:r>
      <w:proofErr w:type="spellStart"/>
      <w:r w:rsidRPr="00292532">
        <w:rPr>
          <w:rFonts w:asciiTheme="minorHAnsi" w:hAnsiTheme="minorHAnsi" w:cstheme="minorHAnsi"/>
          <w:i/>
          <w:lang w:val="pt-PT"/>
        </w:rPr>
        <w:t>importunus</w:t>
      </w:r>
      <w:proofErr w:type="spellEnd"/>
      <w:r w:rsidRPr="00292532">
        <w:rPr>
          <w:rFonts w:asciiTheme="minorHAnsi" w:hAnsiTheme="minorHAnsi" w:cstheme="minorHAnsi"/>
          <w:lang w:val="pt-PT"/>
        </w:rPr>
        <w:t>), Atacador de Fronte Castanha (</w:t>
      </w:r>
      <w:proofErr w:type="spellStart"/>
      <w:r w:rsidRPr="00292532">
        <w:rPr>
          <w:rFonts w:asciiTheme="minorHAnsi" w:hAnsiTheme="minorHAnsi" w:cstheme="minorHAnsi"/>
          <w:i/>
          <w:lang w:val="pt-PT"/>
        </w:rPr>
        <w:t>Prionops</w:t>
      </w:r>
      <w:proofErr w:type="spellEnd"/>
      <w:r w:rsidRPr="00292532">
        <w:rPr>
          <w:rFonts w:asciiTheme="minorHAnsi" w:hAnsiTheme="minorHAnsi" w:cstheme="minorHAnsi"/>
          <w:i/>
          <w:lang w:val="pt-PT"/>
        </w:rPr>
        <w:t xml:space="preserve"> </w:t>
      </w:r>
      <w:proofErr w:type="spellStart"/>
      <w:r w:rsidRPr="00292532">
        <w:rPr>
          <w:rFonts w:asciiTheme="minorHAnsi" w:hAnsiTheme="minorHAnsi" w:cstheme="minorHAnsi"/>
          <w:i/>
          <w:lang w:val="pt-PT"/>
        </w:rPr>
        <w:t>scopifrons</w:t>
      </w:r>
      <w:proofErr w:type="spellEnd"/>
      <w:r w:rsidRPr="00292532">
        <w:rPr>
          <w:rFonts w:asciiTheme="minorHAnsi" w:hAnsiTheme="minorHAnsi" w:cstheme="minorHAnsi"/>
          <w:lang w:val="pt-PT"/>
        </w:rPr>
        <w:t xml:space="preserve">), </w:t>
      </w:r>
      <w:proofErr w:type="spellStart"/>
      <w:r w:rsidRPr="00292532">
        <w:rPr>
          <w:rFonts w:asciiTheme="minorHAnsi" w:hAnsiTheme="minorHAnsi" w:cstheme="minorHAnsi"/>
          <w:lang w:val="pt-PT"/>
        </w:rPr>
        <w:t>Batis</w:t>
      </w:r>
      <w:proofErr w:type="spellEnd"/>
      <w:r w:rsidRPr="00292532">
        <w:rPr>
          <w:rFonts w:asciiTheme="minorHAnsi" w:hAnsiTheme="minorHAnsi" w:cstheme="minorHAnsi"/>
          <w:lang w:val="pt-PT"/>
        </w:rPr>
        <w:t xml:space="preserve"> de </w:t>
      </w:r>
      <w:proofErr w:type="spellStart"/>
      <w:r w:rsidRPr="00292532">
        <w:rPr>
          <w:rFonts w:asciiTheme="minorHAnsi" w:hAnsiTheme="minorHAnsi" w:cstheme="minorHAnsi"/>
          <w:lang w:val="pt-PT"/>
        </w:rPr>
        <w:t>Woodward</w:t>
      </w:r>
      <w:proofErr w:type="spellEnd"/>
      <w:r w:rsidRPr="00292532">
        <w:rPr>
          <w:rFonts w:asciiTheme="minorHAnsi" w:hAnsiTheme="minorHAnsi" w:cstheme="minorHAnsi"/>
          <w:lang w:val="pt-PT"/>
        </w:rPr>
        <w:t xml:space="preserve"> (</w:t>
      </w:r>
      <w:proofErr w:type="spellStart"/>
      <w:r w:rsidRPr="00292532">
        <w:rPr>
          <w:rFonts w:asciiTheme="minorHAnsi" w:hAnsiTheme="minorHAnsi" w:cstheme="minorHAnsi"/>
          <w:i/>
          <w:lang w:val="pt-PT"/>
        </w:rPr>
        <w:t>Batis</w:t>
      </w:r>
      <w:proofErr w:type="spellEnd"/>
      <w:r w:rsidRPr="00292532">
        <w:rPr>
          <w:rFonts w:asciiTheme="minorHAnsi" w:hAnsiTheme="minorHAnsi" w:cstheme="minorHAnsi"/>
          <w:i/>
          <w:lang w:val="pt-PT"/>
        </w:rPr>
        <w:t xml:space="preserve"> </w:t>
      </w:r>
      <w:proofErr w:type="spellStart"/>
      <w:r w:rsidRPr="00292532">
        <w:rPr>
          <w:rFonts w:asciiTheme="minorHAnsi" w:hAnsiTheme="minorHAnsi" w:cstheme="minorHAnsi"/>
          <w:i/>
          <w:lang w:val="pt-PT"/>
        </w:rPr>
        <w:t>fratrum</w:t>
      </w:r>
      <w:proofErr w:type="spellEnd"/>
      <w:r w:rsidRPr="00292532">
        <w:rPr>
          <w:rFonts w:asciiTheme="minorHAnsi" w:hAnsiTheme="minorHAnsi" w:cstheme="minorHAnsi"/>
          <w:lang w:val="pt-PT"/>
        </w:rPr>
        <w:t xml:space="preserve">) foram registadas, e ocorrem num número restrito de áreas isoladas grande parte das quais associadas a habitats montanhosos como os planaltos de Cheringoma e </w:t>
      </w:r>
      <w:proofErr w:type="spellStart"/>
      <w:r w:rsidRPr="00292532">
        <w:rPr>
          <w:rFonts w:asciiTheme="minorHAnsi" w:hAnsiTheme="minorHAnsi" w:cstheme="minorHAnsi"/>
          <w:lang w:val="pt-PT"/>
        </w:rPr>
        <w:t>Jeci</w:t>
      </w:r>
      <w:proofErr w:type="spellEnd"/>
      <w:r w:rsidRPr="00292532">
        <w:rPr>
          <w:rFonts w:asciiTheme="minorHAnsi" w:hAnsiTheme="minorHAnsi" w:cstheme="minorHAnsi"/>
          <w:lang w:val="pt-PT"/>
        </w:rPr>
        <w:t xml:space="preserve"> e os montes Gorongosa, </w:t>
      </w:r>
      <w:proofErr w:type="spellStart"/>
      <w:r w:rsidRPr="00292532">
        <w:rPr>
          <w:rFonts w:asciiTheme="minorHAnsi" w:hAnsiTheme="minorHAnsi" w:cstheme="minorHAnsi"/>
          <w:lang w:val="pt-PT"/>
        </w:rPr>
        <w:t>Chiperoni</w:t>
      </w:r>
      <w:proofErr w:type="spellEnd"/>
      <w:r w:rsidRPr="00292532">
        <w:rPr>
          <w:rFonts w:asciiTheme="minorHAnsi" w:hAnsiTheme="minorHAnsi" w:cstheme="minorHAnsi"/>
          <w:lang w:val="pt-PT"/>
        </w:rPr>
        <w:t xml:space="preserve"> e </w:t>
      </w:r>
      <w:proofErr w:type="spellStart"/>
      <w:r w:rsidRPr="00292532">
        <w:rPr>
          <w:rFonts w:asciiTheme="minorHAnsi" w:hAnsiTheme="minorHAnsi" w:cstheme="minorHAnsi"/>
          <w:lang w:val="pt-PT"/>
        </w:rPr>
        <w:t>Namuli</w:t>
      </w:r>
      <w:proofErr w:type="spellEnd"/>
      <w:r w:rsidRPr="00292532">
        <w:rPr>
          <w:rFonts w:asciiTheme="minorHAnsi" w:hAnsiTheme="minorHAnsi" w:cstheme="minorHAnsi"/>
          <w:lang w:val="pt-PT"/>
        </w:rPr>
        <w:t xml:space="preserve">.  </w:t>
      </w:r>
    </w:p>
    <w:p w14:paraId="22BD8012" w14:textId="3A2445E0" w:rsidR="00B31E2E" w:rsidRPr="00292532" w:rsidRDefault="00B31E2E" w:rsidP="00B31E2E">
      <w:pPr>
        <w:spacing w:before="0" w:line="276" w:lineRule="auto"/>
        <w:rPr>
          <w:rFonts w:asciiTheme="minorHAnsi" w:hAnsiTheme="minorHAnsi" w:cstheme="minorHAnsi"/>
          <w:lang w:val="pt-PT"/>
        </w:rPr>
      </w:pPr>
      <w:r w:rsidRPr="00292532">
        <w:rPr>
          <w:rFonts w:asciiTheme="minorHAnsi" w:hAnsiTheme="minorHAnsi" w:cstheme="minorHAnsi"/>
          <w:lang w:val="pt-PT"/>
        </w:rPr>
        <w:t xml:space="preserve">A </w:t>
      </w:r>
      <w:proofErr w:type="spellStart"/>
      <w:r w:rsidRPr="00292532">
        <w:rPr>
          <w:rFonts w:asciiTheme="minorHAnsi" w:hAnsiTheme="minorHAnsi" w:cstheme="minorHAnsi"/>
          <w:lang w:val="pt-PT"/>
        </w:rPr>
        <w:t>herpetofauna</w:t>
      </w:r>
      <w:proofErr w:type="spellEnd"/>
      <w:r w:rsidRPr="00292532">
        <w:rPr>
          <w:rFonts w:asciiTheme="minorHAnsi" w:hAnsiTheme="minorHAnsi" w:cstheme="minorHAnsi"/>
          <w:lang w:val="pt-PT"/>
        </w:rPr>
        <w:t xml:space="preserve"> de Moçambique é pouco conhecida cerca de 167 espécies de répteis foram até ao momento registadas em Moçambique. Destas 60, </w:t>
      </w:r>
      <w:r w:rsidR="0005701F" w:rsidRPr="00292532">
        <w:rPr>
          <w:rFonts w:asciiTheme="minorHAnsi" w:hAnsiTheme="minorHAnsi" w:cstheme="minorHAnsi"/>
          <w:lang w:val="pt-PT"/>
        </w:rPr>
        <w:t>incluindo</w:t>
      </w:r>
      <w:r w:rsidRPr="00292532">
        <w:rPr>
          <w:rFonts w:asciiTheme="minorHAnsi" w:hAnsiTheme="minorHAnsi" w:cstheme="minorHAnsi"/>
          <w:lang w:val="pt-PT"/>
        </w:rPr>
        <w:t xml:space="preserve"> 34 espécies de cobras, foram registadas na cadeia de </w:t>
      </w:r>
      <w:proofErr w:type="spellStart"/>
      <w:r w:rsidRPr="00292532">
        <w:rPr>
          <w:rFonts w:asciiTheme="minorHAnsi" w:hAnsiTheme="minorHAnsi" w:cstheme="minorHAnsi"/>
          <w:lang w:val="pt-PT"/>
        </w:rPr>
        <w:t>Chimanimani</w:t>
      </w:r>
      <w:proofErr w:type="spellEnd"/>
      <w:r w:rsidRPr="00292532">
        <w:rPr>
          <w:rFonts w:asciiTheme="minorHAnsi" w:hAnsiTheme="minorHAnsi" w:cstheme="minorHAnsi"/>
          <w:lang w:val="pt-PT"/>
        </w:rPr>
        <w:t>, onde uma espécie de lagarto foi considerada endémica, o Lagarto Achatado das Rochas (</w:t>
      </w:r>
      <w:proofErr w:type="spellStart"/>
      <w:r w:rsidRPr="00292532">
        <w:rPr>
          <w:rFonts w:asciiTheme="minorHAnsi" w:hAnsiTheme="minorHAnsi" w:cstheme="minorHAnsi"/>
          <w:i/>
          <w:lang w:val="pt-PT"/>
        </w:rPr>
        <w:t>Platysaurus</w:t>
      </w:r>
      <w:proofErr w:type="spellEnd"/>
      <w:r w:rsidRPr="00292532">
        <w:rPr>
          <w:rFonts w:asciiTheme="minorHAnsi" w:hAnsiTheme="minorHAnsi" w:cstheme="minorHAnsi"/>
          <w:i/>
          <w:lang w:val="pt-PT"/>
        </w:rPr>
        <w:t xml:space="preserve"> </w:t>
      </w:r>
      <w:proofErr w:type="spellStart"/>
      <w:r w:rsidRPr="00292532">
        <w:rPr>
          <w:rFonts w:asciiTheme="minorHAnsi" w:hAnsiTheme="minorHAnsi" w:cstheme="minorHAnsi"/>
          <w:i/>
          <w:lang w:val="pt-PT"/>
        </w:rPr>
        <w:t>ocellatus</w:t>
      </w:r>
      <w:proofErr w:type="spellEnd"/>
      <w:r w:rsidRPr="00292532">
        <w:rPr>
          <w:rFonts w:asciiTheme="minorHAnsi" w:hAnsiTheme="minorHAnsi" w:cstheme="minorHAnsi"/>
          <w:lang w:val="pt-PT"/>
        </w:rPr>
        <w:t xml:space="preserve">). </w:t>
      </w:r>
    </w:p>
    <w:p w14:paraId="5AE6FA3E" w14:textId="56B2A813" w:rsidR="00B31E2E" w:rsidRPr="00292532" w:rsidRDefault="00B31E2E" w:rsidP="00B31E2E">
      <w:pPr>
        <w:spacing w:before="0" w:line="276" w:lineRule="auto"/>
        <w:rPr>
          <w:rFonts w:asciiTheme="minorHAnsi" w:hAnsiTheme="minorHAnsi" w:cstheme="minorHAnsi"/>
          <w:b/>
          <w:sz w:val="24"/>
          <w:szCs w:val="24"/>
          <w:lang w:val="pt-PT"/>
        </w:rPr>
      </w:pPr>
      <w:r w:rsidRPr="00292532">
        <w:rPr>
          <w:rFonts w:asciiTheme="minorHAnsi" w:hAnsiTheme="minorHAnsi" w:cstheme="minorHAnsi"/>
          <w:lang w:val="pt-PT"/>
        </w:rPr>
        <w:t>O estado de conservação dos répteis terrestres no país é desconhecido, mas crê-se que uma das espécies de cobras, o Pitão Africano das Rochas, esteja em perigo, apesar de protegida por lei.</w:t>
      </w:r>
      <w:r w:rsidRPr="00292532">
        <w:rPr>
          <w:rFonts w:asciiTheme="minorHAnsi" w:hAnsiTheme="minorHAnsi" w:cstheme="minorHAnsi"/>
          <w:b/>
          <w:lang w:val="pt-PT"/>
        </w:rPr>
        <w:t xml:space="preserve"> </w:t>
      </w:r>
    </w:p>
    <w:p w14:paraId="57D29E9F" w14:textId="52903B48" w:rsidR="00B3446C" w:rsidRPr="00292532" w:rsidRDefault="00B3446C" w:rsidP="00B3446C">
      <w:pPr>
        <w:spacing w:before="0" w:after="0" w:line="276" w:lineRule="auto"/>
        <w:rPr>
          <w:rFonts w:asciiTheme="minorHAnsi" w:hAnsiTheme="minorHAnsi" w:cstheme="minorHAnsi"/>
          <w:lang w:val="pt-PT"/>
        </w:rPr>
      </w:pPr>
      <w:r w:rsidRPr="00292532">
        <w:rPr>
          <w:rFonts w:asciiTheme="minorHAnsi" w:hAnsiTheme="minorHAnsi" w:cstheme="minorHAnsi"/>
          <w:lang w:val="pt-PT"/>
        </w:rPr>
        <w:t xml:space="preserve">A linha da costa do País tem um comprimento de cerca de 2700 km e é caracterizada por uma diversidade de habitats que inclui praias arenosas, dunas costeiras, recifes de corais, estuários, baías, florestas e pântanos de mangal, tapetes de ervas marinhas. </w:t>
      </w:r>
      <w:bookmarkStart w:id="128" w:name="_Hlk75442692"/>
      <w:r w:rsidRPr="00292532">
        <w:rPr>
          <w:rFonts w:asciiTheme="minorHAnsi" w:hAnsiTheme="minorHAnsi" w:cstheme="minorHAnsi"/>
          <w:lang w:val="pt-PT"/>
        </w:rPr>
        <w:t xml:space="preserve">De acordo com EAME (2014), foram identificadas áreas importantes para a biodiversidade marinha em e algumas delas podem estar contidas ao longo dos distritos abrangidos pelo </w:t>
      </w:r>
      <w:proofErr w:type="spellStart"/>
      <w:r w:rsidRPr="00292532">
        <w:rPr>
          <w:rFonts w:asciiTheme="minorHAnsi" w:hAnsiTheme="minorHAnsi" w:cstheme="minorHAnsi"/>
          <w:lang w:val="pt-PT"/>
        </w:rPr>
        <w:t>projecto</w:t>
      </w:r>
      <w:proofErr w:type="spellEnd"/>
      <w:r w:rsidRPr="00292532">
        <w:rPr>
          <w:rFonts w:asciiTheme="minorHAnsi" w:hAnsiTheme="minorHAnsi" w:cstheme="minorHAnsi"/>
          <w:lang w:val="pt-PT"/>
        </w:rPr>
        <w:t xml:space="preserve"> designadamente:</w:t>
      </w:r>
    </w:p>
    <w:p w14:paraId="461C19F8" w14:textId="77777777" w:rsidR="00B3446C" w:rsidRPr="00292532" w:rsidRDefault="00B3446C" w:rsidP="00AE14AE">
      <w:pPr>
        <w:numPr>
          <w:ilvl w:val="0"/>
          <w:numId w:val="78"/>
        </w:numPr>
        <w:spacing w:before="0" w:after="0" w:line="276" w:lineRule="auto"/>
        <w:contextualSpacing/>
        <w:rPr>
          <w:rFonts w:asciiTheme="minorHAnsi" w:hAnsiTheme="minorHAnsi" w:cstheme="minorHAnsi"/>
          <w:lang w:val="pt-PT"/>
        </w:rPr>
      </w:pPr>
      <w:r w:rsidRPr="00292532">
        <w:rPr>
          <w:rFonts w:asciiTheme="minorHAnsi" w:hAnsiTheme="minorHAnsi" w:cstheme="minorHAnsi"/>
          <w:lang w:val="pt-PT"/>
        </w:rPr>
        <w:t>Delta do Zambeze (Reserva Nacional de Marromeu);</w:t>
      </w:r>
    </w:p>
    <w:p w14:paraId="3F1D21A0" w14:textId="1A8E13B4" w:rsidR="00B3446C" w:rsidRPr="00292532" w:rsidRDefault="00B3446C" w:rsidP="00AE14AE">
      <w:pPr>
        <w:numPr>
          <w:ilvl w:val="0"/>
          <w:numId w:val="78"/>
        </w:numPr>
        <w:spacing w:before="0" w:after="0" w:line="276" w:lineRule="auto"/>
        <w:contextualSpacing/>
        <w:rPr>
          <w:rFonts w:asciiTheme="minorHAnsi" w:hAnsiTheme="minorHAnsi" w:cstheme="minorHAnsi"/>
          <w:lang w:val="pt-PT"/>
        </w:rPr>
      </w:pPr>
      <w:r w:rsidRPr="00292532">
        <w:rPr>
          <w:rFonts w:asciiTheme="minorHAnsi" w:hAnsiTheme="minorHAnsi" w:cstheme="minorHAnsi"/>
          <w:lang w:val="pt-PT"/>
        </w:rPr>
        <w:t xml:space="preserve">Nacala-Mossuril (Reserva Florestal do Baixo </w:t>
      </w:r>
      <w:proofErr w:type="spellStart"/>
      <w:r w:rsidRPr="00292532">
        <w:rPr>
          <w:rFonts w:asciiTheme="minorHAnsi" w:hAnsiTheme="minorHAnsi" w:cstheme="minorHAnsi"/>
          <w:lang w:val="pt-PT"/>
        </w:rPr>
        <w:t>Pinda</w:t>
      </w:r>
      <w:proofErr w:type="spellEnd"/>
      <w:r w:rsidRPr="00292532">
        <w:rPr>
          <w:rFonts w:asciiTheme="minorHAnsi" w:hAnsiTheme="minorHAnsi" w:cstheme="minorHAnsi"/>
          <w:lang w:val="pt-PT"/>
        </w:rPr>
        <w:t xml:space="preserve"> e </w:t>
      </w:r>
      <w:proofErr w:type="spellStart"/>
      <w:r w:rsidRPr="00292532">
        <w:rPr>
          <w:rFonts w:asciiTheme="minorHAnsi" w:hAnsiTheme="minorHAnsi" w:cstheme="minorHAnsi"/>
          <w:lang w:val="pt-PT"/>
        </w:rPr>
        <w:t>Matibane</w:t>
      </w:r>
      <w:proofErr w:type="spellEnd"/>
      <w:r w:rsidRPr="00292532">
        <w:rPr>
          <w:rFonts w:asciiTheme="minorHAnsi" w:hAnsiTheme="minorHAnsi" w:cstheme="minorHAnsi"/>
          <w:lang w:val="pt-PT"/>
        </w:rPr>
        <w:t>); e,</w:t>
      </w:r>
    </w:p>
    <w:p w14:paraId="5B9FCB7E" w14:textId="4CBD7C4D" w:rsidR="00B3446C" w:rsidRPr="00292532" w:rsidRDefault="00B3446C" w:rsidP="00AE14AE">
      <w:pPr>
        <w:numPr>
          <w:ilvl w:val="0"/>
          <w:numId w:val="78"/>
        </w:numPr>
        <w:spacing w:before="0" w:after="0" w:line="276" w:lineRule="auto"/>
        <w:contextualSpacing/>
        <w:rPr>
          <w:rFonts w:asciiTheme="minorHAnsi" w:hAnsiTheme="minorHAnsi" w:cstheme="minorHAnsi"/>
          <w:lang w:val="pt-PT"/>
        </w:rPr>
      </w:pPr>
      <w:r w:rsidRPr="00292532">
        <w:rPr>
          <w:rFonts w:asciiTheme="minorHAnsi" w:hAnsiTheme="minorHAnsi" w:cstheme="minorHAnsi"/>
          <w:lang w:val="pt-PT"/>
        </w:rPr>
        <w:t xml:space="preserve">Ilhas Primeiras e Segundas (Área de </w:t>
      </w:r>
      <w:proofErr w:type="spellStart"/>
      <w:r w:rsidRPr="00292532">
        <w:rPr>
          <w:rFonts w:asciiTheme="minorHAnsi" w:hAnsiTheme="minorHAnsi" w:cstheme="minorHAnsi"/>
          <w:lang w:val="pt-PT"/>
        </w:rPr>
        <w:t>Protecção</w:t>
      </w:r>
      <w:proofErr w:type="spellEnd"/>
      <w:r w:rsidRPr="00292532">
        <w:rPr>
          <w:rFonts w:asciiTheme="minorHAnsi" w:hAnsiTheme="minorHAnsi" w:cstheme="minorHAnsi"/>
          <w:lang w:val="pt-PT"/>
        </w:rPr>
        <w:t xml:space="preserve"> Ambiental);</w:t>
      </w:r>
    </w:p>
    <w:bookmarkEnd w:id="128"/>
    <w:p w14:paraId="20BEB3B0" w14:textId="67DC8810" w:rsidR="00B31E2E" w:rsidRPr="00292532" w:rsidRDefault="003D1836" w:rsidP="00B31E2E">
      <w:pPr>
        <w:rPr>
          <w:lang w:val="pt-PT" w:eastAsia="ja-JP"/>
        </w:rPr>
      </w:pPr>
      <w:r w:rsidRPr="00292532">
        <w:rPr>
          <w:lang w:val="pt-PT" w:eastAsia="ja-JP"/>
        </w:rPr>
        <w:t>A zona costeira e marinha de Moçambique apresenta ecossistemas saudáveis, com elevada diversidade biológica e com muitas espécies endémicas. De acordo com a classificação da WWF, Moçambique possui 9 das 21 áreas de elevada diversidade biológica da costa oriental de África (</w:t>
      </w:r>
      <w:proofErr w:type="spellStart"/>
      <w:r w:rsidRPr="00292532">
        <w:rPr>
          <w:lang w:val="pt-PT" w:eastAsia="ja-JP"/>
        </w:rPr>
        <w:t>Hoguane</w:t>
      </w:r>
      <w:proofErr w:type="spellEnd"/>
      <w:r w:rsidRPr="00292532">
        <w:rPr>
          <w:lang w:val="pt-PT" w:eastAsia="ja-JP"/>
        </w:rPr>
        <w:t xml:space="preserve"> &amp; Pereira, 2003).</w:t>
      </w:r>
    </w:p>
    <w:p w14:paraId="68E5A6B7" w14:textId="77777777" w:rsidR="00B3446C" w:rsidRPr="00292532" w:rsidRDefault="00B3446C" w:rsidP="00B3446C">
      <w:pPr>
        <w:rPr>
          <w:lang w:val="pt-PT" w:eastAsia="ja-JP"/>
        </w:rPr>
      </w:pPr>
    </w:p>
    <w:p w14:paraId="66C634FB" w14:textId="77777777" w:rsidR="001C3C35" w:rsidRPr="00292532" w:rsidRDefault="001C3C35" w:rsidP="001C3C35">
      <w:pPr>
        <w:pStyle w:val="Caption"/>
      </w:pPr>
    </w:p>
    <w:p w14:paraId="14F263FD" w14:textId="41C7EDDD" w:rsidR="001C3C35" w:rsidRPr="00292532" w:rsidRDefault="00BD0602" w:rsidP="001C3C35">
      <w:pPr>
        <w:pStyle w:val="Caption"/>
      </w:pPr>
      <w:r w:rsidRPr="00EC2545">
        <w:rPr>
          <w:noProof/>
          <w:lang w:val="en-US" w:eastAsia="en-US"/>
        </w:rPr>
        <w:lastRenderedPageBreak/>
        <w:drawing>
          <wp:inline distT="0" distB="0" distL="0" distR="0" wp14:anchorId="6D30FD5F" wp14:editId="72A9FE7E">
            <wp:extent cx="5400040" cy="3816465"/>
            <wp:effectExtent l="0" t="0" r="0" b="0"/>
            <wp:docPr id="284" name="Picture 284" descr="C:\Users\25882\Desktop\LigaMoz project\AIA\Mapas\Mapa de biodiversidad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5882\Desktop\LigaMoz project\AIA\Mapas\Mapa de biodiversidade_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40" cy="3816465"/>
                    </a:xfrm>
                    <a:prstGeom prst="rect">
                      <a:avLst/>
                    </a:prstGeom>
                    <a:noFill/>
                    <a:ln>
                      <a:noFill/>
                    </a:ln>
                  </pic:spPr>
                </pic:pic>
              </a:graphicData>
            </a:graphic>
          </wp:inline>
        </w:drawing>
      </w:r>
    </w:p>
    <w:p w14:paraId="26BACA62" w14:textId="3D20A466" w:rsidR="003D1836" w:rsidRPr="00292532" w:rsidRDefault="003D1836" w:rsidP="003D1836">
      <w:pPr>
        <w:pStyle w:val="Caption"/>
      </w:pPr>
      <w:bookmarkStart w:id="129" w:name="_Toc80380236"/>
      <w:bookmarkStart w:id="130" w:name="_Hlk73816597"/>
      <w:r w:rsidRPr="00292532">
        <w:t xml:space="preserve">Figura </w:t>
      </w:r>
      <w:r w:rsidRPr="00292532">
        <w:fldChar w:fldCharType="begin"/>
      </w:r>
      <w:r w:rsidRPr="00292532">
        <w:instrText xml:space="preserve"> SEQ Figura \* ARABIC </w:instrText>
      </w:r>
      <w:r w:rsidRPr="00292532">
        <w:fldChar w:fldCharType="separate"/>
      </w:r>
      <w:r w:rsidR="00A74521" w:rsidRPr="00292532">
        <w:rPr>
          <w:noProof/>
        </w:rPr>
        <w:t>13</w:t>
      </w:r>
      <w:r w:rsidRPr="00292532">
        <w:fldChar w:fldCharType="end"/>
      </w:r>
      <w:r w:rsidRPr="00292532">
        <w:t>: Distribuição de áreas de biodiversidade e áreas protegidas</w:t>
      </w:r>
      <w:bookmarkEnd w:id="129"/>
    </w:p>
    <w:bookmarkEnd w:id="130"/>
    <w:p w14:paraId="300DC8EB" w14:textId="77777777" w:rsidR="003D1836" w:rsidRPr="00292532" w:rsidRDefault="003D1836" w:rsidP="003D1836">
      <w:pPr>
        <w:pStyle w:val="Heading2"/>
        <w:numPr>
          <w:ilvl w:val="0"/>
          <w:numId w:val="0"/>
        </w:numPr>
        <w:ind w:left="576"/>
      </w:pPr>
    </w:p>
    <w:p w14:paraId="1F815185" w14:textId="7E8CC436" w:rsidR="003D1836" w:rsidRPr="00292532" w:rsidRDefault="003D1836" w:rsidP="003D1836">
      <w:pPr>
        <w:pStyle w:val="Heading2"/>
      </w:pPr>
      <w:bookmarkStart w:id="131" w:name="_Toc80379956"/>
      <w:r w:rsidRPr="00292532">
        <w:t>Descrição Socioeconómica</w:t>
      </w:r>
      <w:bookmarkEnd w:id="131"/>
    </w:p>
    <w:p w14:paraId="534E984A" w14:textId="1EAF9D62" w:rsidR="00DB4407" w:rsidRPr="00292532" w:rsidRDefault="00DB4407">
      <w:pPr>
        <w:pStyle w:val="Heading3"/>
        <w:rPr>
          <w:lang w:eastAsia="ja-JP"/>
        </w:rPr>
      </w:pPr>
      <w:bookmarkStart w:id="132" w:name="_Toc80379957"/>
      <w:r w:rsidRPr="00292532">
        <w:rPr>
          <w:lang w:eastAsia="ja-JP"/>
        </w:rPr>
        <w:t>Demografia e Distribuição da População</w:t>
      </w:r>
      <w:bookmarkEnd w:id="132"/>
    </w:p>
    <w:p w14:paraId="5F669913" w14:textId="7A6C4C6F" w:rsidR="00DB4407" w:rsidRPr="00292532" w:rsidRDefault="00DB4407" w:rsidP="00DB4407">
      <w:pPr>
        <w:rPr>
          <w:lang w:val="pt-PT" w:eastAsia="ja-JP"/>
        </w:rPr>
      </w:pPr>
      <w:bookmarkStart w:id="133" w:name="_Hlk75442745"/>
      <w:r w:rsidRPr="00292532">
        <w:rPr>
          <w:lang w:val="pt-PT" w:eastAsia="ja-JP"/>
        </w:rPr>
        <w:t>Conforme os dados mais recentes do INE</w:t>
      </w:r>
      <w:r w:rsidR="00055659">
        <w:rPr>
          <w:lang w:val="pt-PT" w:eastAsia="ja-JP"/>
        </w:rPr>
        <w:t>, 2017</w:t>
      </w:r>
      <w:r w:rsidRPr="00292532">
        <w:rPr>
          <w:lang w:val="pt-PT" w:eastAsia="ja-JP"/>
        </w:rPr>
        <w:t>, através dos resultados definitivos do IV Recenseamento Geral da População e Habitação de 2017, Moçambique registou uma população total de 27.909.798 habitantes, evidenciando um crescimento global de 35% entre 2007 e 2017 (INE, 201</w:t>
      </w:r>
      <w:r w:rsidR="008F7D45" w:rsidRPr="00292532">
        <w:rPr>
          <w:lang w:val="pt-PT" w:eastAsia="ja-JP"/>
        </w:rPr>
        <w:t>7</w:t>
      </w:r>
      <w:r w:rsidRPr="00292532">
        <w:rPr>
          <w:lang w:val="pt-PT" w:eastAsia="ja-JP"/>
        </w:rPr>
        <w:t xml:space="preserve">), mostrando uma aceleração no crescimento da população do país. As províncias do centro e norte, nomeadamente Nampula e Zambézia, foram as províncias que mais contribuíram para o crescimento da população </w:t>
      </w:r>
      <w:bookmarkEnd w:id="133"/>
      <w:r w:rsidRPr="00292532">
        <w:rPr>
          <w:lang w:val="pt-PT" w:eastAsia="ja-JP"/>
        </w:rPr>
        <w:t>(</w:t>
      </w:r>
      <w:r w:rsidRPr="00292532">
        <w:rPr>
          <w:b/>
          <w:bCs/>
          <w:lang w:val="pt-PT" w:eastAsia="ja-JP"/>
        </w:rPr>
        <w:fldChar w:fldCharType="begin"/>
      </w:r>
      <w:r w:rsidRPr="00292532">
        <w:rPr>
          <w:b/>
          <w:bCs/>
          <w:lang w:val="pt-PT" w:eastAsia="ja-JP"/>
        </w:rPr>
        <w:instrText xml:space="preserve"> REF _Ref72952599 \h  \* MERGEFORMAT </w:instrText>
      </w:r>
      <w:r w:rsidRPr="00292532">
        <w:rPr>
          <w:b/>
          <w:bCs/>
          <w:lang w:val="pt-PT" w:eastAsia="ja-JP"/>
        </w:rPr>
      </w:r>
      <w:r w:rsidRPr="00292532">
        <w:rPr>
          <w:b/>
          <w:bCs/>
          <w:lang w:val="pt-PT" w:eastAsia="ja-JP"/>
        </w:rPr>
        <w:fldChar w:fldCharType="separate"/>
      </w:r>
      <w:r w:rsidR="000D7B05" w:rsidRPr="004500AE">
        <w:rPr>
          <w:b/>
          <w:bCs/>
          <w:lang w:val="pt-PT"/>
        </w:rPr>
        <w:t xml:space="preserve">Tabela </w:t>
      </w:r>
      <w:r w:rsidR="000D7B05" w:rsidRPr="004500AE">
        <w:rPr>
          <w:b/>
          <w:bCs/>
          <w:noProof/>
          <w:lang w:val="pt-PT"/>
        </w:rPr>
        <w:t>10</w:t>
      </w:r>
      <w:r w:rsidRPr="00292532">
        <w:rPr>
          <w:b/>
          <w:bCs/>
          <w:lang w:val="pt-PT" w:eastAsia="ja-JP"/>
        </w:rPr>
        <w:fldChar w:fldCharType="end"/>
      </w:r>
      <w:r w:rsidRPr="00292532">
        <w:rPr>
          <w:b/>
          <w:bCs/>
          <w:lang w:val="pt-PT" w:eastAsia="ja-JP"/>
        </w:rPr>
        <w:t>)</w:t>
      </w:r>
      <w:r w:rsidRPr="00292532">
        <w:rPr>
          <w:lang w:val="pt-PT" w:eastAsia="ja-JP"/>
        </w:rPr>
        <w:t>.</w:t>
      </w:r>
    </w:p>
    <w:p w14:paraId="7CF31B9B" w14:textId="05D53737" w:rsidR="00DB4407" w:rsidRPr="00292532" w:rsidRDefault="00DB4407" w:rsidP="00DB4407">
      <w:pPr>
        <w:pStyle w:val="Caption"/>
      </w:pPr>
      <w:bookmarkStart w:id="134" w:name="_Ref72952599"/>
      <w:bookmarkStart w:id="135" w:name="_Toc75438151"/>
      <w:bookmarkStart w:id="136" w:name="_Toc80380257"/>
      <w:bookmarkStart w:id="137" w:name="_Hlk75442757"/>
      <w:r w:rsidRPr="00292532">
        <w:t xml:space="preserve">Tabela </w:t>
      </w:r>
      <w:r w:rsidRPr="00292532">
        <w:fldChar w:fldCharType="begin"/>
      </w:r>
      <w:r w:rsidRPr="00292532">
        <w:instrText xml:space="preserve"> SEQ Tabela \* ARABIC </w:instrText>
      </w:r>
      <w:r w:rsidRPr="00292532">
        <w:fldChar w:fldCharType="separate"/>
      </w:r>
      <w:r w:rsidR="000D7B05">
        <w:rPr>
          <w:noProof/>
        </w:rPr>
        <w:t>10</w:t>
      </w:r>
      <w:r w:rsidRPr="00292532">
        <w:fldChar w:fldCharType="end"/>
      </w:r>
      <w:bookmarkEnd w:id="134"/>
      <w:r w:rsidRPr="00292532">
        <w:t>: Distribuição da População nas Regiões Centro e Norte (INE, 20</w:t>
      </w:r>
      <w:r w:rsidR="008F7D45" w:rsidRPr="00292532">
        <w:t>17</w:t>
      </w:r>
      <w:r w:rsidRPr="00292532">
        <w:t>)</w:t>
      </w:r>
      <w:bookmarkEnd w:id="135"/>
      <w:bookmarkEnd w:id="136"/>
    </w:p>
    <w:tbl>
      <w:tblPr>
        <w:tblStyle w:val="GridTable1Light-Accent11"/>
        <w:tblW w:w="9056" w:type="dxa"/>
        <w:tblLook w:val="04A0" w:firstRow="1" w:lastRow="0" w:firstColumn="1" w:lastColumn="0" w:noHBand="0" w:noVBand="1"/>
      </w:tblPr>
      <w:tblGrid>
        <w:gridCol w:w="1775"/>
        <w:gridCol w:w="1220"/>
        <w:gridCol w:w="1170"/>
        <w:gridCol w:w="1358"/>
        <w:gridCol w:w="3533"/>
      </w:tblGrid>
      <w:tr w:rsidR="000D7B05" w:rsidRPr="001E4B2C" w14:paraId="74A18140" w14:textId="77777777" w:rsidTr="004500AE">
        <w:trPr>
          <w:cnfStyle w:val="100000000000" w:firstRow="1" w:lastRow="0" w:firstColumn="0" w:lastColumn="0" w:oddVBand="0" w:evenVBand="0" w:oddHBand="0" w:evenHBand="0" w:firstRowFirstColumn="0" w:firstRowLastColumn="0" w:lastRowFirstColumn="0" w:lastRowLastColumn="0"/>
          <w:trHeight w:val="1230"/>
        </w:trPr>
        <w:tc>
          <w:tcPr>
            <w:cnfStyle w:val="001000000000" w:firstRow="0" w:lastRow="0" w:firstColumn="1" w:lastColumn="0" w:oddVBand="0" w:evenVBand="0" w:oddHBand="0" w:evenHBand="0" w:firstRowFirstColumn="0" w:firstRowLastColumn="0" w:lastRowFirstColumn="0" w:lastRowLastColumn="0"/>
            <w:tcW w:w="0" w:type="dxa"/>
            <w:noWrap/>
            <w:hideMark/>
          </w:tcPr>
          <w:p w14:paraId="0D69D7E1" w14:textId="77777777" w:rsidR="000D7B05" w:rsidRPr="00292532" w:rsidRDefault="000D7B05" w:rsidP="00DB4407">
            <w:pPr>
              <w:spacing w:before="0"/>
              <w:jc w:val="left"/>
              <w:rPr>
                <w:rFonts w:eastAsia="Times New Roman" w:cs="Calibri"/>
                <w:color w:val="000000"/>
                <w:lang w:val="pt-PT" w:eastAsia="en-ZA"/>
              </w:rPr>
            </w:pPr>
            <w:r w:rsidRPr="00292532">
              <w:rPr>
                <w:rFonts w:eastAsia="Times New Roman" w:cs="Calibri"/>
                <w:color w:val="000000"/>
                <w:lang w:val="pt-PT" w:eastAsia="en-ZA"/>
              </w:rPr>
              <w:t>Região/Província</w:t>
            </w:r>
          </w:p>
        </w:tc>
        <w:tc>
          <w:tcPr>
            <w:tcW w:w="0" w:type="dxa"/>
            <w:noWrap/>
            <w:hideMark/>
          </w:tcPr>
          <w:p w14:paraId="308B8C0F" w14:textId="513ABC09" w:rsidR="000D7B05" w:rsidRPr="00292532" w:rsidRDefault="000D7B05" w:rsidP="00DB4407">
            <w:pPr>
              <w:spacing w:before="0"/>
              <w:jc w:val="left"/>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População Total</w:t>
            </w:r>
          </w:p>
        </w:tc>
        <w:tc>
          <w:tcPr>
            <w:tcW w:w="0" w:type="dxa"/>
            <w:noWrap/>
            <w:hideMark/>
          </w:tcPr>
          <w:p w14:paraId="7488F390" w14:textId="77777777" w:rsidR="000D7B05" w:rsidRPr="00292532" w:rsidRDefault="000D7B05" w:rsidP="00DB4407">
            <w:pPr>
              <w:spacing w:before="0"/>
              <w:jc w:val="left"/>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 da População Total</w:t>
            </w:r>
          </w:p>
        </w:tc>
        <w:tc>
          <w:tcPr>
            <w:tcW w:w="0" w:type="dxa"/>
            <w:hideMark/>
          </w:tcPr>
          <w:p w14:paraId="44F4CC87" w14:textId="77777777" w:rsidR="000D7B05" w:rsidRPr="00292532" w:rsidRDefault="000D7B05" w:rsidP="00DB4407">
            <w:pPr>
              <w:spacing w:before="0"/>
              <w:jc w:val="left"/>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Densidade demográfica (</w:t>
            </w:r>
            <w:proofErr w:type="spellStart"/>
            <w:r w:rsidRPr="00292532">
              <w:rPr>
                <w:rFonts w:eastAsia="Times New Roman" w:cs="Calibri"/>
                <w:color w:val="000000"/>
                <w:lang w:val="pt-PT" w:eastAsia="en-ZA"/>
              </w:rPr>
              <w:t>hab</w:t>
            </w:r>
            <w:proofErr w:type="spellEnd"/>
            <w:r w:rsidRPr="00292532">
              <w:rPr>
                <w:rFonts w:eastAsia="Times New Roman" w:cs="Calibri"/>
                <w:color w:val="000000"/>
                <w:lang w:val="pt-PT" w:eastAsia="en-ZA"/>
              </w:rPr>
              <w:t>/km</w:t>
            </w:r>
            <w:r w:rsidRPr="00292532">
              <w:rPr>
                <w:rFonts w:eastAsia="Times New Roman" w:cs="Calibri"/>
                <w:color w:val="000000"/>
                <w:vertAlign w:val="superscript"/>
                <w:lang w:val="pt-PT" w:eastAsia="en-ZA"/>
              </w:rPr>
              <w:t>2</w:t>
            </w:r>
            <w:r w:rsidRPr="00292532">
              <w:rPr>
                <w:rFonts w:eastAsia="Times New Roman" w:cs="Calibri"/>
                <w:color w:val="000000"/>
                <w:lang w:val="pt-PT" w:eastAsia="en-ZA"/>
              </w:rPr>
              <w:t>)</w:t>
            </w:r>
          </w:p>
        </w:tc>
        <w:tc>
          <w:tcPr>
            <w:tcW w:w="0" w:type="dxa"/>
            <w:hideMark/>
          </w:tcPr>
          <w:p w14:paraId="7E574290" w14:textId="77777777" w:rsidR="000D7B05" w:rsidRPr="00292532" w:rsidRDefault="000D7B05" w:rsidP="00DB4407">
            <w:pPr>
              <w:spacing w:before="0"/>
              <w:jc w:val="left"/>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Contribuição para o crescimento populacional entre 2007 e 2017 (%)</w:t>
            </w:r>
          </w:p>
        </w:tc>
      </w:tr>
      <w:tr w:rsidR="000D7B05" w:rsidRPr="000D7B05" w14:paraId="0F5A052F" w14:textId="77777777" w:rsidTr="004500AE">
        <w:trPr>
          <w:trHeight w:val="307"/>
        </w:trPr>
        <w:tc>
          <w:tcPr>
            <w:cnfStyle w:val="001000000000" w:firstRow="0" w:lastRow="0" w:firstColumn="1" w:lastColumn="0" w:oddVBand="0" w:evenVBand="0" w:oddHBand="0" w:evenHBand="0" w:firstRowFirstColumn="0" w:firstRowLastColumn="0" w:lastRowFirstColumn="0" w:lastRowLastColumn="0"/>
            <w:tcW w:w="0" w:type="dxa"/>
            <w:noWrap/>
            <w:hideMark/>
          </w:tcPr>
          <w:p w14:paraId="72E866AA" w14:textId="77777777" w:rsidR="000D7B05" w:rsidRPr="00292532" w:rsidRDefault="000D7B05" w:rsidP="00DB4407">
            <w:pPr>
              <w:spacing w:before="0"/>
              <w:jc w:val="left"/>
              <w:rPr>
                <w:rFonts w:eastAsia="Times New Roman" w:cs="Calibri"/>
                <w:color w:val="000000"/>
                <w:lang w:val="pt-PT" w:eastAsia="en-ZA"/>
              </w:rPr>
            </w:pPr>
            <w:r w:rsidRPr="00292532">
              <w:rPr>
                <w:rFonts w:eastAsia="Times New Roman" w:cs="Calibri"/>
                <w:color w:val="000000"/>
                <w:lang w:val="pt-PT" w:eastAsia="en-ZA"/>
              </w:rPr>
              <w:t>Norte</w:t>
            </w:r>
          </w:p>
        </w:tc>
        <w:tc>
          <w:tcPr>
            <w:tcW w:w="0" w:type="dxa"/>
            <w:noWrap/>
            <w:hideMark/>
          </w:tcPr>
          <w:p w14:paraId="58B76FAF" w14:textId="72592AFB" w:rsidR="000D7B05" w:rsidRPr="00292532" w:rsidRDefault="000D7B05" w:rsidP="00DB4407">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9.889.975</w:t>
            </w:r>
          </w:p>
        </w:tc>
        <w:tc>
          <w:tcPr>
            <w:tcW w:w="0" w:type="dxa"/>
            <w:noWrap/>
            <w:hideMark/>
          </w:tcPr>
          <w:p w14:paraId="10446405" w14:textId="77777777" w:rsidR="000D7B05" w:rsidRPr="00292532" w:rsidRDefault="000D7B05" w:rsidP="00DB4407">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35.4</w:t>
            </w:r>
          </w:p>
        </w:tc>
        <w:tc>
          <w:tcPr>
            <w:tcW w:w="0" w:type="dxa"/>
            <w:noWrap/>
            <w:hideMark/>
          </w:tcPr>
          <w:p w14:paraId="2ABDC652" w14:textId="77777777" w:rsidR="000D7B05" w:rsidRPr="00292532" w:rsidRDefault="000D7B05" w:rsidP="00DB4407">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33.7</w:t>
            </w:r>
          </w:p>
        </w:tc>
        <w:tc>
          <w:tcPr>
            <w:tcW w:w="0" w:type="dxa"/>
            <w:noWrap/>
            <w:hideMark/>
          </w:tcPr>
          <w:p w14:paraId="4D6DFB99" w14:textId="77777777" w:rsidR="000D7B05" w:rsidRPr="00292532" w:rsidRDefault="000D7B05" w:rsidP="00DB4407">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39.5</w:t>
            </w:r>
          </w:p>
        </w:tc>
      </w:tr>
      <w:tr w:rsidR="000D7B05" w:rsidRPr="000D7B05" w14:paraId="10E7B739" w14:textId="77777777" w:rsidTr="004500AE">
        <w:trPr>
          <w:trHeight w:val="307"/>
        </w:trPr>
        <w:tc>
          <w:tcPr>
            <w:cnfStyle w:val="001000000000" w:firstRow="0" w:lastRow="0" w:firstColumn="1" w:lastColumn="0" w:oddVBand="0" w:evenVBand="0" w:oddHBand="0" w:evenHBand="0" w:firstRowFirstColumn="0" w:firstRowLastColumn="0" w:lastRowFirstColumn="0" w:lastRowLastColumn="0"/>
            <w:tcW w:w="0" w:type="dxa"/>
            <w:noWrap/>
            <w:hideMark/>
          </w:tcPr>
          <w:p w14:paraId="0B85A56F" w14:textId="77777777" w:rsidR="000D7B05" w:rsidRPr="00292532" w:rsidRDefault="000D7B05" w:rsidP="00DB4407">
            <w:pPr>
              <w:spacing w:before="0"/>
              <w:jc w:val="left"/>
              <w:rPr>
                <w:rFonts w:eastAsia="Times New Roman" w:cs="Calibri"/>
                <w:color w:val="000000"/>
                <w:lang w:val="pt-PT" w:eastAsia="en-ZA"/>
              </w:rPr>
            </w:pPr>
            <w:r w:rsidRPr="00292532">
              <w:rPr>
                <w:rFonts w:eastAsia="Times New Roman" w:cs="Calibri"/>
                <w:color w:val="000000"/>
                <w:lang w:val="pt-PT" w:eastAsia="en-ZA"/>
              </w:rPr>
              <w:t>Nampula</w:t>
            </w:r>
          </w:p>
        </w:tc>
        <w:tc>
          <w:tcPr>
            <w:tcW w:w="0" w:type="dxa"/>
            <w:noWrap/>
            <w:hideMark/>
          </w:tcPr>
          <w:p w14:paraId="21284022" w14:textId="6E8390BB" w:rsidR="000D7B05" w:rsidRPr="00292532" w:rsidRDefault="000D7B05" w:rsidP="00DB4407">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5.758.920</w:t>
            </w:r>
          </w:p>
        </w:tc>
        <w:tc>
          <w:tcPr>
            <w:tcW w:w="0" w:type="dxa"/>
            <w:noWrap/>
            <w:hideMark/>
          </w:tcPr>
          <w:p w14:paraId="203123A8" w14:textId="77777777" w:rsidR="000D7B05" w:rsidRPr="00292532" w:rsidRDefault="000D7B05" w:rsidP="00DB4407">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20.6</w:t>
            </w:r>
          </w:p>
        </w:tc>
        <w:tc>
          <w:tcPr>
            <w:tcW w:w="0" w:type="dxa"/>
            <w:noWrap/>
            <w:hideMark/>
          </w:tcPr>
          <w:p w14:paraId="1831AC91" w14:textId="77777777" w:rsidR="000D7B05" w:rsidRPr="00292532" w:rsidRDefault="000D7B05" w:rsidP="00DB4407">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70.6</w:t>
            </w:r>
          </w:p>
        </w:tc>
        <w:tc>
          <w:tcPr>
            <w:tcW w:w="0" w:type="dxa"/>
            <w:noWrap/>
            <w:hideMark/>
          </w:tcPr>
          <w:p w14:paraId="44B5E38F" w14:textId="77777777" w:rsidR="000D7B05" w:rsidRPr="00292532" w:rsidRDefault="000D7B05" w:rsidP="00DB4407">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23.8</w:t>
            </w:r>
          </w:p>
        </w:tc>
      </w:tr>
      <w:tr w:rsidR="000D7B05" w:rsidRPr="000D7B05" w14:paraId="7C92B484" w14:textId="77777777" w:rsidTr="004500AE">
        <w:trPr>
          <w:gridAfter w:val="4"/>
          <w:wAfter w:w="7126" w:type="dxa"/>
          <w:trHeight w:val="307"/>
        </w:trPr>
        <w:tc>
          <w:tcPr>
            <w:cnfStyle w:val="001000000000" w:firstRow="0" w:lastRow="0" w:firstColumn="1" w:lastColumn="0" w:oddVBand="0" w:evenVBand="0" w:oddHBand="0" w:evenHBand="0" w:firstRowFirstColumn="0" w:firstRowLastColumn="0" w:lastRowFirstColumn="0" w:lastRowLastColumn="0"/>
            <w:tcW w:w="0" w:type="dxa"/>
          </w:tcPr>
          <w:p w14:paraId="21D27D3E" w14:textId="77777777" w:rsidR="000D7B05" w:rsidRPr="00292532" w:rsidRDefault="000D7B05" w:rsidP="00DB4407">
            <w:pPr>
              <w:spacing w:before="0"/>
              <w:jc w:val="center"/>
              <w:rPr>
                <w:rFonts w:eastAsia="Times New Roman" w:cs="Calibri"/>
                <w:color w:val="000000"/>
                <w:lang w:val="pt-PT" w:eastAsia="en-ZA"/>
              </w:rPr>
            </w:pPr>
          </w:p>
        </w:tc>
      </w:tr>
      <w:tr w:rsidR="000D7B05" w:rsidRPr="000D7B05" w14:paraId="4CF85F40" w14:textId="77777777" w:rsidTr="004500AE">
        <w:trPr>
          <w:trHeight w:val="307"/>
        </w:trPr>
        <w:tc>
          <w:tcPr>
            <w:cnfStyle w:val="001000000000" w:firstRow="0" w:lastRow="0" w:firstColumn="1" w:lastColumn="0" w:oddVBand="0" w:evenVBand="0" w:oddHBand="0" w:evenHBand="0" w:firstRowFirstColumn="0" w:firstRowLastColumn="0" w:lastRowFirstColumn="0" w:lastRowLastColumn="0"/>
            <w:tcW w:w="0" w:type="dxa"/>
            <w:noWrap/>
            <w:hideMark/>
          </w:tcPr>
          <w:p w14:paraId="23242111" w14:textId="77777777" w:rsidR="000D7B05" w:rsidRPr="00292532" w:rsidRDefault="000D7B05" w:rsidP="00DB4407">
            <w:pPr>
              <w:spacing w:before="0"/>
              <w:jc w:val="left"/>
              <w:rPr>
                <w:rFonts w:eastAsia="Times New Roman" w:cs="Calibri"/>
                <w:color w:val="000000"/>
                <w:lang w:val="pt-PT" w:eastAsia="en-ZA"/>
              </w:rPr>
            </w:pPr>
            <w:r w:rsidRPr="00292532">
              <w:rPr>
                <w:rFonts w:eastAsia="Times New Roman" w:cs="Calibri"/>
                <w:color w:val="000000"/>
                <w:lang w:val="pt-PT" w:eastAsia="en-ZA"/>
              </w:rPr>
              <w:t>Centro</w:t>
            </w:r>
          </w:p>
        </w:tc>
        <w:tc>
          <w:tcPr>
            <w:tcW w:w="0" w:type="dxa"/>
            <w:noWrap/>
            <w:hideMark/>
          </w:tcPr>
          <w:p w14:paraId="3C155F6B" w14:textId="231B7889" w:rsidR="000D7B05" w:rsidRPr="00292532" w:rsidRDefault="000D7B05" w:rsidP="00DB4407">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12.018.915</w:t>
            </w:r>
          </w:p>
        </w:tc>
        <w:tc>
          <w:tcPr>
            <w:tcW w:w="0" w:type="dxa"/>
            <w:noWrap/>
            <w:hideMark/>
          </w:tcPr>
          <w:p w14:paraId="1AFA6856" w14:textId="77777777" w:rsidR="000D7B05" w:rsidRPr="00292532" w:rsidRDefault="000D7B05" w:rsidP="00DB4407">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43.1</w:t>
            </w:r>
          </w:p>
        </w:tc>
        <w:tc>
          <w:tcPr>
            <w:tcW w:w="0" w:type="dxa"/>
            <w:noWrap/>
            <w:hideMark/>
          </w:tcPr>
          <w:p w14:paraId="13816444" w14:textId="77777777" w:rsidR="000D7B05" w:rsidRPr="00292532" w:rsidRDefault="000D7B05" w:rsidP="00DB4407">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35.8</w:t>
            </w:r>
          </w:p>
        </w:tc>
        <w:tc>
          <w:tcPr>
            <w:tcW w:w="0" w:type="dxa"/>
            <w:noWrap/>
            <w:hideMark/>
          </w:tcPr>
          <w:p w14:paraId="65F040F2" w14:textId="77777777" w:rsidR="000D7B05" w:rsidRPr="00292532" w:rsidRDefault="000D7B05" w:rsidP="00DB4407">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44.5</w:t>
            </w:r>
          </w:p>
        </w:tc>
      </w:tr>
      <w:tr w:rsidR="000D7B05" w:rsidRPr="000D7B05" w14:paraId="0CBA9D26" w14:textId="77777777" w:rsidTr="004500AE">
        <w:trPr>
          <w:trHeight w:val="307"/>
        </w:trPr>
        <w:tc>
          <w:tcPr>
            <w:cnfStyle w:val="001000000000" w:firstRow="0" w:lastRow="0" w:firstColumn="1" w:lastColumn="0" w:oddVBand="0" w:evenVBand="0" w:oddHBand="0" w:evenHBand="0" w:firstRowFirstColumn="0" w:firstRowLastColumn="0" w:lastRowFirstColumn="0" w:lastRowLastColumn="0"/>
            <w:tcW w:w="0" w:type="dxa"/>
            <w:noWrap/>
            <w:hideMark/>
          </w:tcPr>
          <w:p w14:paraId="6F6B0432" w14:textId="470B5DFB" w:rsidR="000D7B05" w:rsidRPr="00292532" w:rsidRDefault="000D7B05" w:rsidP="00DB4407">
            <w:pPr>
              <w:spacing w:before="0"/>
              <w:jc w:val="left"/>
              <w:rPr>
                <w:rFonts w:eastAsia="Times New Roman" w:cs="Calibri"/>
                <w:color w:val="000000"/>
                <w:lang w:val="pt-PT" w:eastAsia="en-ZA"/>
              </w:rPr>
            </w:pPr>
            <w:r w:rsidRPr="00292532">
              <w:rPr>
                <w:rFonts w:eastAsia="Times New Roman" w:cs="Calibri"/>
                <w:color w:val="000000"/>
                <w:lang w:val="pt-PT" w:eastAsia="en-ZA"/>
              </w:rPr>
              <w:t>Zambézia</w:t>
            </w:r>
          </w:p>
        </w:tc>
        <w:tc>
          <w:tcPr>
            <w:tcW w:w="0" w:type="dxa"/>
            <w:noWrap/>
            <w:hideMark/>
          </w:tcPr>
          <w:p w14:paraId="778CEC38" w14:textId="46C0364A" w:rsidR="000D7B05" w:rsidRPr="00292532" w:rsidRDefault="000D7B05" w:rsidP="00DB4407">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5.164.732</w:t>
            </w:r>
          </w:p>
        </w:tc>
        <w:tc>
          <w:tcPr>
            <w:tcW w:w="0" w:type="dxa"/>
            <w:noWrap/>
            <w:hideMark/>
          </w:tcPr>
          <w:p w14:paraId="744F1C7F" w14:textId="77777777" w:rsidR="000D7B05" w:rsidRPr="00292532" w:rsidRDefault="000D7B05" w:rsidP="00DB4407">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18.5</w:t>
            </w:r>
          </w:p>
        </w:tc>
        <w:tc>
          <w:tcPr>
            <w:tcW w:w="0" w:type="dxa"/>
            <w:noWrap/>
            <w:hideMark/>
          </w:tcPr>
          <w:p w14:paraId="1A053398" w14:textId="77777777" w:rsidR="000D7B05" w:rsidRPr="00292532" w:rsidRDefault="000D7B05" w:rsidP="00DB4407">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49.2</w:t>
            </w:r>
          </w:p>
        </w:tc>
        <w:tc>
          <w:tcPr>
            <w:tcW w:w="0" w:type="dxa"/>
            <w:noWrap/>
            <w:hideMark/>
          </w:tcPr>
          <w:p w14:paraId="549900A5" w14:textId="77777777" w:rsidR="000D7B05" w:rsidRPr="00292532" w:rsidRDefault="000D7B05" w:rsidP="00DB4407">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18.1</w:t>
            </w:r>
          </w:p>
        </w:tc>
      </w:tr>
      <w:bookmarkEnd w:id="137"/>
    </w:tbl>
    <w:p w14:paraId="665D30F1" w14:textId="77777777" w:rsidR="00DB4407" w:rsidRPr="00292532" w:rsidRDefault="00DB4407" w:rsidP="00DB4407">
      <w:pPr>
        <w:spacing w:before="0" w:after="0" w:line="276" w:lineRule="auto"/>
        <w:rPr>
          <w:rFonts w:asciiTheme="minorHAnsi" w:hAnsiTheme="minorHAnsi" w:cstheme="minorHAnsi"/>
          <w:sz w:val="24"/>
          <w:szCs w:val="24"/>
          <w:lang w:val="pt-PT"/>
        </w:rPr>
      </w:pPr>
    </w:p>
    <w:p w14:paraId="4457186D" w14:textId="1FBE7E83" w:rsidR="00DB4407" w:rsidRPr="00292532" w:rsidRDefault="00DB4407" w:rsidP="00DB4407">
      <w:pPr>
        <w:spacing w:before="0" w:after="0" w:line="276" w:lineRule="auto"/>
        <w:rPr>
          <w:rFonts w:asciiTheme="minorHAnsi" w:hAnsiTheme="minorHAnsi" w:cstheme="minorHAnsi"/>
          <w:lang w:val="pt-PT"/>
        </w:rPr>
      </w:pPr>
      <w:r w:rsidRPr="00292532">
        <w:rPr>
          <w:rFonts w:asciiTheme="minorHAnsi" w:hAnsiTheme="minorHAnsi" w:cstheme="minorHAnsi"/>
          <w:lang w:val="pt-PT"/>
        </w:rPr>
        <w:t xml:space="preserve">Os dados do Censo de 2017 indicam que as mulheres compõem 52% da população (sendo o índice de masculinidade correspondente a 93,5) e que a faixa etária dos 0 aos 17 anos agrega 53% da população total do país. A população em idade </w:t>
      </w:r>
      <w:proofErr w:type="spellStart"/>
      <w:r w:rsidRPr="00292532">
        <w:rPr>
          <w:rFonts w:asciiTheme="minorHAnsi" w:hAnsiTheme="minorHAnsi" w:cstheme="minorHAnsi"/>
          <w:lang w:val="pt-PT"/>
        </w:rPr>
        <w:t>activa</w:t>
      </w:r>
      <w:proofErr w:type="spellEnd"/>
      <w:r w:rsidRPr="00292532">
        <w:rPr>
          <w:rFonts w:asciiTheme="minorHAnsi" w:hAnsiTheme="minorHAnsi" w:cstheme="minorHAnsi"/>
          <w:lang w:val="pt-PT"/>
        </w:rPr>
        <w:t xml:space="preserve"> (15-64 anos) corresponde a 50,1%, o que significa que perto de metade da população é dependente. A taxa de dependência demográfica corresponde a 99,5, representando um ligeiro aumento relativamente a 2007 (94,8). As </w:t>
      </w:r>
      <w:proofErr w:type="spellStart"/>
      <w:r w:rsidRPr="00292532">
        <w:rPr>
          <w:rFonts w:asciiTheme="minorHAnsi" w:hAnsiTheme="minorHAnsi" w:cstheme="minorHAnsi"/>
          <w:lang w:val="pt-PT"/>
        </w:rPr>
        <w:t>projecções</w:t>
      </w:r>
      <w:proofErr w:type="spellEnd"/>
      <w:r w:rsidRPr="00292532">
        <w:rPr>
          <w:rFonts w:asciiTheme="minorHAnsi" w:hAnsiTheme="minorHAnsi" w:cstheme="minorHAnsi"/>
          <w:lang w:val="pt-PT"/>
        </w:rPr>
        <w:t xml:space="preserve"> estimam que em 2021 a população total de Moçambique ascenda aos 30.832.244 habitantes, prevalecendo o seu perfil jovem e feminino. </w:t>
      </w:r>
    </w:p>
    <w:p w14:paraId="5C50F333" w14:textId="77777777" w:rsidR="00DB4407" w:rsidRPr="00292532" w:rsidRDefault="00DB4407" w:rsidP="00DB4407">
      <w:pPr>
        <w:spacing w:before="0" w:after="0" w:line="276" w:lineRule="auto"/>
        <w:rPr>
          <w:rFonts w:asciiTheme="minorHAnsi" w:hAnsiTheme="minorHAnsi" w:cstheme="minorHAnsi"/>
          <w:lang w:val="pt-PT"/>
        </w:rPr>
      </w:pPr>
    </w:p>
    <w:p w14:paraId="288ED10F" w14:textId="3AC6A294" w:rsidR="00DB4407" w:rsidRPr="00292532" w:rsidRDefault="00DB4407" w:rsidP="00DB4407">
      <w:pPr>
        <w:spacing w:before="0" w:after="0" w:line="276" w:lineRule="auto"/>
        <w:rPr>
          <w:rFonts w:asciiTheme="minorHAnsi" w:hAnsiTheme="minorHAnsi" w:cstheme="minorHAnsi"/>
          <w:lang w:val="pt-PT"/>
        </w:rPr>
      </w:pPr>
      <w:r w:rsidRPr="00292532">
        <w:rPr>
          <w:rFonts w:asciiTheme="minorHAnsi" w:hAnsiTheme="minorHAnsi" w:cstheme="minorHAnsi"/>
          <w:lang w:val="pt-PT"/>
        </w:rPr>
        <w:t xml:space="preserve">Notam-se, no entanto, diferenças significativas em termos da distribuição da população, onde somente 33,4% da população reside no meio urbano, estando a maioria (66,6%) inserida no meio rural. </w:t>
      </w:r>
      <w:bookmarkStart w:id="138" w:name="_Hlk75442786"/>
      <w:r w:rsidRPr="00292532">
        <w:rPr>
          <w:rFonts w:asciiTheme="minorHAnsi" w:hAnsiTheme="minorHAnsi" w:cstheme="minorHAnsi"/>
          <w:lang w:val="pt-PT"/>
        </w:rPr>
        <w:t xml:space="preserve">As províncias costeiras de Nampula e da Zambézia são as duas mais populosas, juntas congregando 39% da população do país. De entre estas, Nampula e Zambézia são as que ostentam as maiores densidades demográficas, 70,6 </w:t>
      </w:r>
      <w:proofErr w:type="spellStart"/>
      <w:r w:rsidRPr="00292532">
        <w:rPr>
          <w:rFonts w:asciiTheme="minorHAnsi" w:hAnsiTheme="minorHAnsi" w:cstheme="minorHAnsi"/>
          <w:lang w:val="pt-PT"/>
        </w:rPr>
        <w:t>hab</w:t>
      </w:r>
      <w:proofErr w:type="spellEnd"/>
      <w:r w:rsidRPr="00292532">
        <w:rPr>
          <w:rFonts w:asciiTheme="minorHAnsi" w:hAnsiTheme="minorHAnsi" w:cstheme="minorHAnsi"/>
          <w:lang w:val="pt-PT"/>
        </w:rPr>
        <w:t>/km</w:t>
      </w:r>
      <w:r w:rsidRPr="00292532">
        <w:rPr>
          <w:rFonts w:asciiTheme="minorHAnsi" w:hAnsiTheme="minorHAnsi" w:cstheme="minorHAnsi"/>
          <w:vertAlign w:val="superscript"/>
          <w:lang w:val="pt-PT"/>
        </w:rPr>
        <w:t>2</w:t>
      </w:r>
      <w:r w:rsidRPr="00292532">
        <w:rPr>
          <w:rFonts w:asciiTheme="minorHAnsi" w:hAnsiTheme="minorHAnsi" w:cstheme="minorHAnsi"/>
          <w:lang w:val="pt-PT"/>
        </w:rPr>
        <w:t xml:space="preserve"> e 49,2 </w:t>
      </w:r>
      <w:proofErr w:type="spellStart"/>
      <w:r w:rsidRPr="00292532">
        <w:rPr>
          <w:rFonts w:asciiTheme="minorHAnsi" w:hAnsiTheme="minorHAnsi" w:cstheme="minorHAnsi"/>
          <w:lang w:val="pt-PT"/>
        </w:rPr>
        <w:t>hab</w:t>
      </w:r>
      <w:proofErr w:type="spellEnd"/>
      <w:r w:rsidRPr="00292532">
        <w:rPr>
          <w:rFonts w:asciiTheme="minorHAnsi" w:hAnsiTheme="minorHAnsi" w:cstheme="minorHAnsi"/>
          <w:lang w:val="pt-PT"/>
        </w:rPr>
        <w:t>/km</w:t>
      </w:r>
      <w:r w:rsidRPr="00292532">
        <w:rPr>
          <w:rFonts w:asciiTheme="minorHAnsi" w:hAnsiTheme="minorHAnsi" w:cstheme="minorHAnsi"/>
          <w:vertAlign w:val="superscript"/>
          <w:lang w:val="pt-PT"/>
        </w:rPr>
        <w:t>2</w:t>
      </w:r>
      <w:r w:rsidR="00384F99" w:rsidRPr="00292532">
        <w:rPr>
          <w:rFonts w:asciiTheme="minorHAnsi" w:hAnsiTheme="minorHAnsi" w:cstheme="minorHAnsi"/>
          <w:lang w:val="pt-PT"/>
        </w:rPr>
        <w:t xml:space="preserve">, </w:t>
      </w:r>
      <w:proofErr w:type="spellStart"/>
      <w:r w:rsidR="00384F99" w:rsidRPr="00292532">
        <w:rPr>
          <w:rFonts w:asciiTheme="minorHAnsi" w:hAnsiTheme="minorHAnsi" w:cstheme="minorHAnsi"/>
          <w:lang w:val="pt-PT"/>
        </w:rPr>
        <w:t>respectivamente</w:t>
      </w:r>
      <w:bookmarkEnd w:id="138"/>
      <w:proofErr w:type="spellEnd"/>
    </w:p>
    <w:p w14:paraId="09F6E4A6" w14:textId="77777777" w:rsidR="00DB4407" w:rsidRPr="00292532" w:rsidRDefault="00DB4407" w:rsidP="00DB4407">
      <w:pPr>
        <w:spacing w:before="0" w:after="0" w:line="276" w:lineRule="auto"/>
        <w:rPr>
          <w:rFonts w:asciiTheme="minorHAnsi" w:hAnsiTheme="minorHAnsi" w:cstheme="minorHAnsi"/>
          <w:lang w:val="pt-PT"/>
        </w:rPr>
      </w:pPr>
    </w:p>
    <w:p w14:paraId="49A06439" w14:textId="77777777" w:rsidR="00962663" w:rsidRPr="00292532" w:rsidRDefault="00962663">
      <w:pPr>
        <w:pStyle w:val="Heading3"/>
        <w:rPr>
          <w:lang w:eastAsia="ja-JP"/>
        </w:rPr>
      </w:pPr>
      <w:bookmarkStart w:id="139" w:name="_Toc80379958"/>
      <w:r w:rsidRPr="00292532">
        <w:rPr>
          <w:lang w:eastAsia="ja-JP"/>
        </w:rPr>
        <w:t>Contexto Económico</w:t>
      </w:r>
      <w:bookmarkEnd w:id="139"/>
      <w:r w:rsidRPr="00292532">
        <w:rPr>
          <w:lang w:eastAsia="ja-JP"/>
        </w:rPr>
        <w:t xml:space="preserve"> </w:t>
      </w:r>
    </w:p>
    <w:p w14:paraId="2931AEF5" w14:textId="58DB67AC" w:rsidR="00962663" w:rsidRPr="00292532" w:rsidRDefault="00962663" w:rsidP="00962663">
      <w:pPr>
        <w:rPr>
          <w:lang w:val="pt-PT" w:eastAsia="ja-JP"/>
        </w:rPr>
      </w:pPr>
      <w:bookmarkStart w:id="140" w:name="_Hlk75442806"/>
      <w:proofErr w:type="spellStart"/>
      <w:r w:rsidRPr="00292532">
        <w:rPr>
          <w:lang w:val="pt-PT" w:eastAsia="ja-JP"/>
        </w:rPr>
        <w:t>Actualmente</w:t>
      </w:r>
      <w:proofErr w:type="spellEnd"/>
      <w:r w:rsidRPr="00292532">
        <w:rPr>
          <w:lang w:val="pt-PT" w:eastAsia="ja-JP"/>
        </w:rPr>
        <w:t xml:space="preserve">, as províncias de Nampula e </w:t>
      </w:r>
      <w:r w:rsidR="0005701F" w:rsidRPr="00292532">
        <w:rPr>
          <w:lang w:val="pt-PT" w:eastAsia="ja-JP"/>
        </w:rPr>
        <w:t>Zambézia</w:t>
      </w:r>
      <w:r w:rsidRPr="00292532">
        <w:rPr>
          <w:lang w:val="pt-PT" w:eastAsia="ja-JP"/>
        </w:rPr>
        <w:t>, especificamente, encontra</w:t>
      </w:r>
      <w:r w:rsidR="00A37ED8" w:rsidRPr="00292532">
        <w:rPr>
          <w:lang w:val="pt-PT" w:eastAsia="ja-JP"/>
        </w:rPr>
        <w:t>m</w:t>
      </w:r>
      <w:r w:rsidRPr="00292532">
        <w:rPr>
          <w:lang w:val="pt-PT" w:eastAsia="ja-JP"/>
        </w:rPr>
        <w:t xml:space="preserve">-se desde </w:t>
      </w:r>
      <w:proofErr w:type="gramStart"/>
      <w:r w:rsidRPr="00292532">
        <w:rPr>
          <w:lang w:val="pt-PT" w:eastAsia="ja-JP"/>
        </w:rPr>
        <w:t>Março</w:t>
      </w:r>
      <w:proofErr w:type="gramEnd"/>
      <w:r w:rsidRPr="00292532">
        <w:rPr>
          <w:lang w:val="pt-PT" w:eastAsia="ja-JP"/>
        </w:rPr>
        <w:t xml:space="preserve"> de 2020, fragilizado associado por um lado pela incidência da pandemia COVID-19, e pela exposição a vulnerabilidade às alterações climáticas que desde 2019 vem fustigando o país</w:t>
      </w:r>
      <w:r w:rsidR="00A37ED8" w:rsidRPr="00292532">
        <w:rPr>
          <w:lang w:val="pt-PT" w:eastAsia="ja-JP"/>
        </w:rPr>
        <w:t xml:space="preserve"> de forma mais severa</w:t>
      </w:r>
      <w:bookmarkEnd w:id="140"/>
      <w:r w:rsidRPr="00292532">
        <w:rPr>
          <w:lang w:val="pt-PT" w:eastAsia="ja-JP"/>
        </w:rPr>
        <w:t xml:space="preserve">. A vulnerabilidade às alterações climáticas foi reafirmada quando em 2019 os ciclones </w:t>
      </w:r>
      <w:proofErr w:type="spellStart"/>
      <w:r w:rsidRPr="00292532">
        <w:rPr>
          <w:lang w:val="pt-PT" w:eastAsia="ja-JP"/>
        </w:rPr>
        <w:t>Idai</w:t>
      </w:r>
      <w:proofErr w:type="spellEnd"/>
      <w:r w:rsidRPr="00292532">
        <w:rPr>
          <w:lang w:val="pt-PT" w:eastAsia="ja-JP"/>
        </w:rPr>
        <w:t xml:space="preserve"> e Kenneth fustigaram a zona Centro e Norte, </w:t>
      </w:r>
      <w:proofErr w:type="spellStart"/>
      <w:r w:rsidRPr="00292532">
        <w:rPr>
          <w:lang w:val="pt-PT" w:eastAsia="ja-JP"/>
        </w:rPr>
        <w:t>respectivamente</w:t>
      </w:r>
      <w:proofErr w:type="spellEnd"/>
      <w:r w:rsidRPr="00292532">
        <w:rPr>
          <w:lang w:val="pt-PT" w:eastAsia="ja-JP"/>
        </w:rPr>
        <w:t xml:space="preserve">, com impactos devastadores em termos económicos e sociais, dos quais o país ainda não conseguiu recuperar. Para além deste cenário em 2021, de grosso modo, o país foi novamente </w:t>
      </w:r>
      <w:proofErr w:type="spellStart"/>
      <w:r w:rsidRPr="00292532">
        <w:rPr>
          <w:lang w:val="pt-PT" w:eastAsia="ja-JP"/>
        </w:rPr>
        <w:t>afectado</w:t>
      </w:r>
      <w:proofErr w:type="spellEnd"/>
      <w:r w:rsidRPr="00292532">
        <w:rPr>
          <w:lang w:val="pt-PT" w:eastAsia="ja-JP"/>
        </w:rPr>
        <w:t xml:space="preserve"> por outro ciclone, desta vez o </w:t>
      </w:r>
      <w:proofErr w:type="spellStart"/>
      <w:r w:rsidRPr="00292532">
        <w:rPr>
          <w:lang w:val="pt-PT" w:eastAsia="ja-JP"/>
        </w:rPr>
        <w:t>Eloise</w:t>
      </w:r>
      <w:proofErr w:type="spellEnd"/>
      <w:r w:rsidRPr="00292532">
        <w:rPr>
          <w:lang w:val="pt-PT" w:eastAsia="ja-JP"/>
        </w:rPr>
        <w:t>, com impactos mais significativos nas províncias do Centro</w:t>
      </w:r>
      <w:r w:rsidR="00A37ED8" w:rsidRPr="00292532">
        <w:rPr>
          <w:lang w:val="pt-PT" w:eastAsia="ja-JP"/>
        </w:rPr>
        <w:t>, principalmente</w:t>
      </w:r>
      <w:r w:rsidRPr="00292532">
        <w:rPr>
          <w:lang w:val="pt-PT" w:eastAsia="ja-JP"/>
        </w:rPr>
        <w:t xml:space="preserve"> na Zambézia.</w:t>
      </w:r>
    </w:p>
    <w:p w14:paraId="7211B515" w14:textId="77777777" w:rsidR="00962663" w:rsidRPr="00292532" w:rsidRDefault="00962663" w:rsidP="00962663">
      <w:pPr>
        <w:rPr>
          <w:lang w:val="pt-PT" w:eastAsia="ja-JP"/>
        </w:rPr>
      </w:pPr>
      <w:r w:rsidRPr="00292532">
        <w:rPr>
          <w:lang w:val="pt-PT" w:eastAsia="ja-JP"/>
        </w:rPr>
        <w:t xml:space="preserve">Para além da situação climáticas as zonas centro, </w:t>
      </w:r>
      <w:proofErr w:type="spellStart"/>
      <w:r w:rsidRPr="00292532">
        <w:rPr>
          <w:lang w:val="pt-PT" w:eastAsia="ja-JP"/>
        </w:rPr>
        <w:t>exceptuando</w:t>
      </w:r>
      <w:proofErr w:type="spellEnd"/>
      <w:r w:rsidRPr="00292532">
        <w:rPr>
          <w:lang w:val="pt-PT" w:eastAsia="ja-JP"/>
        </w:rPr>
        <w:t xml:space="preserve"> a província da Zambézia e Tete, continuam ameaçadas pelas hostilidades que ainda se mantêm entre as Forças Armadas de Moçambique e a Junta Militar da RENAMO e na zona norte, concretamente em Mocímboa da Praia e recentemente em Palma os crescentes ataques de grupos Islâmicos terroristas que ceifam vidas, criam milhares de deslocados e exacerbam a pobreza. </w:t>
      </w:r>
    </w:p>
    <w:p w14:paraId="2C5CDCCB" w14:textId="7D31FD7A" w:rsidR="00962663" w:rsidRPr="00292532" w:rsidRDefault="00962663" w:rsidP="00962663">
      <w:pPr>
        <w:rPr>
          <w:lang w:val="pt-PT" w:eastAsia="ja-JP"/>
        </w:rPr>
      </w:pPr>
      <w:r w:rsidRPr="00292532">
        <w:rPr>
          <w:lang w:val="pt-PT" w:eastAsia="ja-JP"/>
        </w:rPr>
        <w:t>De acordo com o BM (2019), no geral, houve sinais de um nível significativo de deterioração dos principais indicadores económicos e financeiros, com efeitos sobre as taxas de inflação (atingindo 19.21% em 2016), câmbio (situando-se em torno de 75 MZN) e de juros (tendo alcançando um máximo histórico de 23,25%). Este cenário teve como consequências o desenvolvimento negativo, associado a reduzida demanda e baixa dos preços das “</w:t>
      </w:r>
      <w:proofErr w:type="spellStart"/>
      <w:r w:rsidRPr="00292532">
        <w:rPr>
          <w:i/>
          <w:iCs/>
          <w:lang w:val="pt-PT" w:eastAsia="ja-JP"/>
        </w:rPr>
        <w:t>commoditie</w:t>
      </w:r>
      <w:r w:rsidRPr="00292532">
        <w:rPr>
          <w:lang w:val="pt-PT" w:eastAsia="ja-JP"/>
        </w:rPr>
        <w:t>s</w:t>
      </w:r>
      <w:proofErr w:type="spellEnd"/>
      <w:r w:rsidRPr="00292532">
        <w:rPr>
          <w:lang w:val="pt-PT" w:eastAsia="ja-JP"/>
        </w:rPr>
        <w:t xml:space="preserve">”, a baixa produção doméstica influenciada por </w:t>
      </w:r>
      <w:proofErr w:type="spellStart"/>
      <w:r w:rsidRPr="00292532">
        <w:rPr>
          <w:lang w:val="pt-PT" w:eastAsia="ja-JP"/>
        </w:rPr>
        <w:t>factores</w:t>
      </w:r>
      <w:proofErr w:type="spellEnd"/>
      <w:r w:rsidRPr="00292532">
        <w:rPr>
          <w:lang w:val="pt-PT" w:eastAsia="ja-JP"/>
        </w:rPr>
        <w:t xml:space="preserve"> climatéricos na agricultura familiar, empréstimos não revelados (vulgo </w:t>
      </w:r>
      <w:r w:rsidR="00A37ED8" w:rsidRPr="00292532">
        <w:rPr>
          <w:lang w:val="pt-PT" w:eastAsia="ja-JP"/>
        </w:rPr>
        <w:t>“</w:t>
      </w:r>
      <w:r w:rsidRPr="00292532">
        <w:rPr>
          <w:lang w:val="pt-PT" w:eastAsia="ja-JP"/>
        </w:rPr>
        <w:t>dívidas ocultas</w:t>
      </w:r>
      <w:r w:rsidR="00A37ED8" w:rsidRPr="00292532">
        <w:rPr>
          <w:lang w:val="pt-PT" w:eastAsia="ja-JP"/>
        </w:rPr>
        <w:t>”</w:t>
      </w:r>
      <w:r w:rsidRPr="00292532">
        <w:rPr>
          <w:lang w:val="pt-PT" w:eastAsia="ja-JP"/>
        </w:rPr>
        <w:t xml:space="preserve">), nível reduzido de assistência externa como uma combinação de múltiplos </w:t>
      </w:r>
      <w:proofErr w:type="spellStart"/>
      <w:r w:rsidRPr="00292532">
        <w:rPr>
          <w:lang w:val="pt-PT" w:eastAsia="ja-JP"/>
        </w:rPr>
        <w:t>factores</w:t>
      </w:r>
      <w:proofErr w:type="spellEnd"/>
      <w:r w:rsidRPr="00292532">
        <w:rPr>
          <w:lang w:val="pt-PT" w:eastAsia="ja-JP"/>
        </w:rPr>
        <w:t xml:space="preserve">, que resultou numa suspensão de diferentes linhas de ajuda ao País com destaque para o apoio </w:t>
      </w:r>
      <w:proofErr w:type="spellStart"/>
      <w:r w:rsidRPr="00292532">
        <w:rPr>
          <w:lang w:val="pt-PT" w:eastAsia="ja-JP"/>
        </w:rPr>
        <w:t>directo</w:t>
      </w:r>
      <w:proofErr w:type="spellEnd"/>
      <w:r w:rsidRPr="00292532">
        <w:rPr>
          <w:lang w:val="pt-PT" w:eastAsia="ja-JP"/>
        </w:rPr>
        <w:t xml:space="preserve"> ao orçamento do estado (OE). A Desaceleração significou que em 2015 o crescimento do PIB decresceu para 6,5% e em 2016 não foi para além de 4,5%.</w:t>
      </w:r>
    </w:p>
    <w:p w14:paraId="018F1C76" w14:textId="780F120F" w:rsidR="00962663" w:rsidRPr="00292532" w:rsidRDefault="00962663" w:rsidP="00962663">
      <w:pPr>
        <w:rPr>
          <w:lang w:val="pt-PT" w:eastAsia="ja-JP"/>
        </w:rPr>
      </w:pPr>
      <w:r w:rsidRPr="00292532">
        <w:rPr>
          <w:lang w:val="pt-PT" w:eastAsia="ja-JP"/>
        </w:rPr>
        <w:t xml:space="preserve">As três regiões do País vivenciam diferentes tendências de desenvolvimento económico. Portanto, as desigualdades são explicadas por uma multiplicidade de </w:t>
      </w:r>
      <w:proofErr w:type="spellStart"/>
      <w:r w:rsidRPr="00292532">
        <w:rPr>
          <w:lang w:val="pt-PT" w:eastAsia="ja-JP"/>
        </w:rPr>
        <w:t>factores</w:t>
      </w:r>
      <w:proofErr w:type="spellEnd"/>
      <w:r w:rsidRPr="00292532">
        <w:rPr>
          <w:lang w:val="pt-PT" w:eastAsia="ja-JP"/>
        </w:rPr>
        <w:t xml:space="preserve"> de onde se destaca a forte dependência em </w:t>
      </w:r>
      <w:proofErr w:type="spellStart"/>
      <w:r w:rsidR="0005701F" w:rsidRPr="00292532">
        <w:rPr>
          <w:lang w:val="pt-PT" w:eastAsia="ja-JP"/>
        </w:rPr>
        <w:t>mega</w:t>
      </w:r>
      <w:r w:rsidR="008C3A00" w:rsidRPr="00292532">
        <w:rPr>
          <w:lang w:val="pt-PT" w:eastAsia="ja-JP"/>
        </w:rPr>
        <w:t>projecto</w:t>
      </w:r>
      <w:r w:rsidR="0005701F" w:rsidRPr="00292532">
        <w:rPr>
          <w:lang w:val="pt-PT" w:eastAsia="ja-JP"/>
        </w:rPr>
        <w:t>s</w:t>
      </w:r>
      <w:proofErr w:type="spellEnd"/>
      <w:r w:rsidRPr="00292532">
        <w:rPr>
          <w:lang w:val="pt-PT" w:eastAsia="ja-JP"/>
        </w:rPr>
        <w:t xml:space="preserve"> e o fraco desenvolvimento dos sectores </w:t>
      </w:r>
      <w:r w:rsidRPr="00292532">
        <w:rPr>
          <w:lang w:val="pt-PT" w:eastAsia="ja-JP"/>
        </w:rPr>
        <w:lastRenderedPageBreak/>
        <w:t>tradicionais da economia, como a agricultura, pescas e pequena/média indústria, incluindo o turismo, que presentemente se procura conferir maior prioridade.</w:t>
      </w:r>
    </w:p>
    <w:p w14:paraId="6A437DA2" w14:textId="49CA57CC" w:rsidR="00962663" w:rsidRPr="00292532" w:rsidRDefault="00962663" w:rsidP="00962663">
      <w:pPr>
        <w:rPr>
          <w:lang w:val="pt-PT" w:eastAsia="ja-JP"/>
        </w:rPr>
      </w:pPr>
      <w:r w:rsidRPr="00292532">
        <w:rPr>
          <w:rFonts w:asciiTheme="minorHAnsi" w:hAnsiTheme="minorHAnsi" w:cstheme="minorHAnsi"/>
          <w:noProof/>
          <w:sz w:val="24"/>
          <w:szCs w:val="24"/>
          <w:lang w:val="en-US"/>
        </w:rPr>
        <w:drawing>
          <wp:inline distT="0" distB="0" distL="0" distR="0" wp14:anchorId="4579B251" wp14:editId="68BA9A87">
            <wp:extent cx="4928571" cy="2090057"/>
            <wp:effectExtent l="0" t="0" r="5715" b="571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38141" cy="2094116"/>
                    </a:xfrm>
                    <a:prstGeom prst="rect">
                      <a:avLst/>
                    </a:prstGeom>
                    <a:noFill/>
                    <a:ln>
                      <a:noFill/>
                    </a:ln>
                  </pic:spPr>
                </pic:pic>
              </a:graphicData>
            </a:graphic>
          </wp:inline>
        </w:drawing>
      </w:r>
    </w:p>
    <w:p w14:paraId="3A37947B" w14:textId="7534BD49" w:rsidR="00962663" w:rsidRPr="00292532" w:rsidRDefault="00962663" w:rsidP="00962663">
      <w:pPr>
        <w:pStyle w:val="Caption"/>
      </w:pPr>
      <w:bookmarkStart w:id="141" w:name="_Toc80380237"/>
      <w:r w:rsidRPr="00292532">
        <w:t xml:space="preserve">Figura </w:t>
      </w:r>
      <w:r w:rsidRPr="00292532">
        <w:fldChar w:fldCharType="begin"/>
      </w:r>
      <w:r w:rsidRPr="00292532">
        <w:instrText xml:space="preserve"> SEQ Figura \* ARABIC </w:instrText>
      </w:r>
      <w:r w:rsidRPr="00292532">
        <w:fldChar w:fldCharType="separate"/>
      </w:r>
      <w:r w:rsidR="00A74521" w:rsidRPr="00292532">
        <w:rPr>
          <w:noProof/>
        </w:rPr>
        <w:t>14</w:t>
      </w:r>
      <w:r w:rsidRPr="00292532">
        <w:fldChar w:fldCharType="end"/>
      </w:r>
      <w:r w:rsidRPr="00292532">
        <w:t>: Variação do PIB nas Três (3) Regiões do País (INE,2015)</w:t>
      </w:r>
      <w:bookmarkEnd w:id="141"/>
    </w:p>
    <w:p w14:paraId="014815D1" w14:textId="77777777" w:rsidR="00962663" w:rsidRPr="00292532" w:rsidRDefault="00962663" w:rsidP="00962663">
      <w:pPr>
        <w:rPr>
          <w:lang w:val="pt-PT" w:eastAsia="ja-JP"/>
        </w:rPr>
      </w:pPr>
      <w:r w:rsidRPr="00292532">
        <w:rPr>
          <w:lang w:val="pt-PT" w:eastAsia="ja-JP"/>
        </w:rPr>
        <w:t>As regiões centro e norte, de grosso modo, têm estado sob o domínio do sector informal, onde cerca de 70% da população depende da agricultura e das pescas de subsistência para viver, sendo as mulheres a maioria. A agricultura e as pescas são os sectores-chave na estratégia de desenvolvimento do País. A estratégia de redução da pobreza concentra-se sobre (i) aumento da produção agrária e das pescas; (</w:t>
      </w:r>
      <w:proofErr w:type="spellStart"/>
      <w:r w:rsidRPr="00292532">
        <w:rPr>
          <w:lang w:val="pt-PT" w:eastAsia="ja-JP"/>
        </w:rPr>
        <w:t>ii</w:t>
      </w:r>
      <w:proofErr w:type="spellEnd"/>
      <w:r w:rsidRPr="00292532">
        <w:rPr>
          <w:lang w:val="pt-PT" w:eastAsia="ja-JP"/>
        </w:rPr>
        <w:t>) promoção do emprego; (</w:t>
      </w:r>
      <w:proofErr w:type="spellStart"/>
      <w:r w:rsidRPr="00292532">
        <w:rPr>
          <w:lang w:val="pt-PT" w:eastAsia="ja-JP"/>
        </w:rPr>
        <w:t>iii</w:t>
      </w:r>
      <w:proofErr w:type="spellEnd"/>
      <w:r w:rsidRPr="00292532">
        <w:rPr>
          <w:lang w:val="pt-PT" w:eastAsia="ja-JP"/>
        </w:rPr>
        <w:t>) desenvolvimento humano e social; (</w:t>
      </w:r>
      <w:proofErr w:type="spellStart"/>
      <w:r w:rsidRPr="00292532">
        <w:rPr>
          <w:lang w:val="pt-PT" w:eastAsia="ja-JP"/>
        </w:rPr>
        <w:t>iv</w:t>
      </w:r>
      <w:proofErr w:type="spellEnd"/>
      <w:r w:rsidRPr="00292532">
        <w:rPr>
          <w:lang w:val="pt-PT" w:eastAsia="ja-JP"/>
        </w:rPr>
        <w:t>) governação; e (v) gestão macroeconómica e fiscal (INE, 2013).</w:t>
      </w:r>
    </w:p>
    <w:p w14:paraId="5019BA98" w14:textId="2CDAF521" w:rsidR="00DB4407" w:rsidRPr="00292532" w:rsidRDefault="00DB4407" w:rsidP="00DB4407">
      <w:pPr>
        <w:spacing w:before="0" w:line="276" w:lineRule="auto"/>
        <w:rPr>
          <w:rFonts w:asciiTheme="minorHAnsi" w:hAnsiTheme="minorHAnsi" w:cstheme="minorHAnsi"/>
          <w:lang w:val="pt-PT"/>
        </w:rPr>
      </w:pPr>
      <w:r w:rsidRPr="00292532">
        <w:rPr>
          <w:rFonts w:asciiTheme="minorHAnsi" w:hAnsiTheme="minorHAnsi" w:cstheme="minorHAnsi"/>
          <w:lang w:val="pt-PT"/>
        </w:rPr>
        <w:t xml:space="preserve">As tendências reveladas pela estatística de 2017 mostram uma melhoria dos indicadores sociais. Houve redução da taxa de analfabetismo no meio rural, situando-se em 50.7%, onde a situação continua a ser pior no seio da população feminina. O Índice de Desenvolvimento Humano (IDH) para 2019 corresponde a 0,456 (UNDP, 2020), demostrando uma ligeira melhoria relativamente ao ano de 2018, onde foi registado 0,446. No entanto, segundo UNDP (2020) O IDH para 2019 está abaixo da média de 0,513 para os países do grupo de baixo desenvolvimento humano e abaixo da média de 0,547 para os países da África </w:t>
      </w:r>
      <w:r w:rsidR="0005701F" w:rsidRPr="00292532">
        <w:rPr>
          <w:rFonts w:asciiTheme="minorHAnsi" w:hAnsiTheme="minorHAnsi" w:cstheme="minorHAnsi"/>
          <w:lang w:val="pt-PT"/>
        </w:rPr>
        <w:t>Subsaariana</w:t>
      </w:r>
      <w:r w:rsidRPr="00292532">
        <w:rPr>
          <w:rFonts w:asciiTheme="minorHAnsi" w:hAnsiTheme="minorHAnsi" w:cstheme="minorHAnsi"/>
          <w:lang w:val="pt-PT"/>
        </w:rPr>
        <w:t xml:space="preserve">. </w:t>
      </w:r>
    </w:p>
    <w:p w14:paraId="061826B3" w14:textId="53969D13" w:rsidR="00DB4407" w:rsidRPr="00292532" w:rsidRDefault="00962663" w:rsidP="00962663">
      <w:pPr>
        <w:pStyle w:val="Caption"/>
        <w:keepNext/>
        <w:rPr>
          <w:rFonts w:asciiTheme="minorHAnsi" w:hAnsiTheme="minorHAnsi" w:cstheme="minorHAnsi"/>
          <w:sz w:val="22"/>
          <w:szCs w:val="22"/>
        </w:rPr>
      </w:pPr>
      <w:bookmarkStart w:id="142" w:name="_Toc75438152"/>
      <w:bookmarkStart w:id="143" w:name="_Toc80380258"/>
      <w:r w:rsidRPr="00292532">
        <w:t xml:space="preserve">Tabela </w:t>
      </w:r>
      <w:r w:rsidRPr="00292532">
        <w:fldChar w:fldCharType="begin"/>
      </w:r>
      <w:r w:rsidRPr="00292532">
        <w:instrText xml:space="preserve"> SEQ Tabela \* ARABIC </w:instrText>
      </w:r>
      <w:r w:rsidRPr="00292532">
        <w:fldChar w:fldCharType="separate"/>
      </w:r>
      <w:r w:rsidR="000D7B05">
        <w:rPr>
          <w:noProof/>
        </w:rPr>
        <w:t>11</w:t>
      </w:r>
      <w:r w:rsidRPr="00292532">
        <w:fldChar w:fldCharType="end"/>
      </w:r>
      <w:r w:rsidRPr="00292532">
        <w:t xml:space="preserve">: </w:t>
      </w:r>
      <w:r w:rsidRPr="00292532">
        <w:rPr>
          <w:rFonts w:asciiTheme="minorHAnsi" w:hAnsiTheme="minorHAnsi" w:cstheme="minorHAnsi"/>
          <w:sz w:val="22"/>
          <w:szCs w:val="22"/>
        </w:rPr>
        <w:t>Índice</w:t>
      </w:r>
      <w:r w:rsidR="00DB4407" w:rsidRPr="00292532">
        <w:rPr>
          <w:rFonts w:asciiTheme="minorHAnsi" w:hAnsiTheme="minorHAnsi" w:cstheme="minorHAnsi"/>
          <w:sz w:val="22"/>
          <w:szCs w:val="22"/>
        </w:rPr>
        <w:t xml:space="preserve"> de desenvolvimento humano</w:t>
      </w:r>
      <w:bookmarkEnd w:id="142"/>
      <w:bookmarkEnd w:id="143"/>
    </w:p>
    <w:tbl>
      <w:tblPr>
        <w:tblStyle w:val="GridTable1Light-Accent11"/>
        <w:tblW w:w="5541" w:type="dxa"/>
        <w:jc w:val="center"/>
        <w:tblLook w:val="04A0" w:firstRow="1" w:lastRow="0" w:firstColumn="1" w:lastColumn="0" w:noHBand="0" w:noVBand="1"/>
      </w:tblPr>
      <w:tblGrid>
        <w:gridCol w:w="2918"/>
        <w:gridCol w:w="2623"/>
      </w:tblGrid>
      <w:tr w:rsidR="00DB4407" w:rsidRPr="00292532" w14:paraId="05B74171" w14:textId="77777777" w:rsidTr="00962663">
        <w:trPr>
          <w:cnfStyle w:val="100000000000" w:firstRow="1" w:lastRow="0" w:firstColumn="0" w:lastColumn="0" w:oddVBand="0" w:evenVBand="0" w:oddHBand="0"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2918" w:type="dxa"/>
            <w:noWrap/>
            <w:hideMark/>
          </w:tcPr>
          <w:p w14:paraId="67914D75" w14:textId="77777777" w:rsidR="00DB4407" w:rsidRPr="00292532" w:rsidRDefault="00DB4407" w:rsidP="00DB4407">
            <w:pPr>
              <w:spacing w:before="0"/>
              <w:jc w:val="left"/>
              <w:rPr>
                <w:rFonts w:eastAsia="Times New Roman" w:cs="Calibri"/>
                <w:color w:val="000000"/>
                <w:lang w:val="pt-PT" w:eastAsia="en-ZA"/>
              </w:rPr>
            </w:pPr>
            <w:r w:rsidRPr="00292532">
              <w:rPr>
                <w:rFonts w:eastAsia="Times New Roman" w:cs="Calibri"/>
                <w:color w:val="000000"/>
                <w:lang w:val="pt-PT" w:eastAsia="en-ZA"/>
              </w:rPr>
              <w:t>Província</w:t>
            </w:r>
          </w:p>
        </w:tc>
        <w:tc>
          <w:tcPr>
            <w:tcW w:w="2623" w:type="dxa"/>
            <w:noWrap/>
            <w:hideMark/>
          </w:tcPr>
          <w:p w14:paraId="4C5576B1" w14:textId="77777777" w:rsidR="00DB4407" w:rsidRPr="00292532" w:rsidRDefault="00DB4407" w:rsidP="00DB4407">
            <w:pPr>
              <w:spacing w:before="0"/>
              <w:jc w:val="left"/>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IDH</w:t>
            </w:r>
          </w:p>
        </w:tc>
      </w:tr>
      <w:tr w:rsidR="00DB4407" w:rsidRPr="00292532" w14:paraId="14175B3A" w14:textId="77777777" w:rsidTr="00962663">
        <w:trPr>
          <w:trHeight w:val="268"/>
          <w:jc w:val="center"/>
        </w:trPr>
        <w:tc>
          <w:tcPr>
            <w:cnfStyle w:val="001000000000" w:firstRow="0" w:lastRow="0" w:firstColumn="1" w:lastColumn="0" w:oddVBand="0" w:evenVBand="0" w:oddHBand="0" w:evenHBand="0" w:firstRowFirstColumn="0" w:firstRowLastColumn="0" w:lastRowFirstColumn="0" w:lastRowLastColumn="0"/>
            <w:tcW w:w="2918" w:type="dxa"/>
            <w:noWrap/>
            <w:hideMark/>
          </w:tcPr>
          <w:p w14:paraId="6256370F" w14:textId="77777777" w:rsidR="00DB4407" w:rsidRPr="00292532" w:rsidRDefault="00DB4407" w:rsidP="00DB4407">
            <w:pPr>
              <w:spacing w:before="0"/>
              <w:jc w:val="left"/>
              <w:rPr>
                <w:rFonts w:eastAsia="Times New Roman" w:cs="Calibri"/>
                <w:color w:val="000000"/>
                <w:lang w:val="pt-PT" w:eastAsia="en-ZA"/>
              </w:rPr>
            </w:pPr>
            <w:r w:rsidRPr="00292532">
              <w:rPr>
                <w:rFonts w:eastAsia="Times New Roman" w:cs="Calibri"/>
                <w:color w:val="000000"/>
                <w:lang w:val="pt-PT" w:eastAsia="en-ZA"/>
              </w:rPr>
              <w:t>Nampula</w:t>
            </w:r>
          </w:p>
        </w:tc>
        <w:tc>
          <w:tcPr>
            <w:tcW w:w="2623" w:type="dxa"/>
            <w:noWrap/>
            <w:hideMark/>
          </w:tcPr>
          <w:p w14:paraId="208B1E55" w14:textId="77777777" w:rsidR="00DB4407" w:rsidRPr="00292532" w:rsidRDefault="00DB4407" w:rsidP="00DB4407">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0.43</w:t>
            </w:r>
          </w:p>
        </w:tc>
      </w:tr>
      <w:tr w:rsidR="00DB4407" w:rsidRPr="00292532" w14:paraId="3D7A608F" w14:textId="77777777" w:rsidTr="00962663">
        <w:trPr>
          <w:trHeight w:val="268"/>
          <w:jc w:val="center"/>
        </w:trPr>
        <w:tc>
          <w:tcPr>
            <w:cnfStyle w:val="001000000000" w:firstRow="0" w:lastRow="0" w:firstColumn="1" w:lastColumn="0" w:oddVBand="0" w:evenVBand="0" w:oddHBand="0" w:evenHBand="0" w:firstRowFirstColumn="0" w:firstRowLastColumn="0" w:lastRowFirstColumn="0" w:lastRowLastColumn="0"/>
            <w:tcW w:w="2918" w:type="dxa"/>
            <w:noWrap/>
            <w:hideMark/>
          </w:tcPr>
          <w:p w14:paraId="5F138A53" w14:textId="77777777" w:rsidR="00DB4407" w:rsidRPr="00292532" w:rsidRDefault="00DB4407" w:rsidP="00DB4407">
            <w:pPr>
              <w:spacing w:before="0"/>
              <w:jc w:val="left"/>
              <w:rPr>
                <w:rFonts w:eastAsia="Times New Roman" w:cs="Calibri"/>
                <w:color w:val="000000"/>
                <w:lang w:val="pt-PT" w:eastAsia="en-ZA"/>
              </w:rPr>
            </w:pPr>
            <w:r w:rsidRPr="00292532">
              <w:rPr>
                <w:rFonts w:eastAsia="Times New Roman" w:cs="Calibri"/>
                <w:color w:val="000000"/>
                <w:lang w:val="pt-PT" w:eastAsia="en-ZA"/>
              </w:rPr>
              <w:t>Zambézia</w:t>
            </w:r>
          </w:p>
        </w:tc>
        <w:tc>
          <w:tcPr>
            <w:tcW w:w="2623" w:type="dxa"/>
            <w:noWrap/>
            <w:hideMark/>
          </w:tcPr>
          <w:p w14:paraId="0BAE6C38" w14:textId="77777777" w:rsidR="00DB4407" w:rsidRPr="00292532" w:rsidRDefault="00DB4407" w:rsidP="00DB4407">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pt-PT" w:eastAsia="en-ZA"/>
              </w:rPr>
            </w:pPr>
            <w:r w:rsidRPr="00292532">
              <w:rPr>
                <w:rFonts w:eastAsia="Times New Roman" w:cs="Calibri"/>
                <w:color w:val="000000"/>
                <w:lang w:val="pt-PT" w:eastAsia="en-ZA"/>
              </w:rPr>
              <w:t>0.42</w:t>
            </w:r>
          </w:p>
        </w:tc>
      </w:tr>
    </w:tbl>
    <w:p w14:paraId="1AD71AFA" w14:textId="23381887" w:rsidR="00DB4407" w:rsidRPr="00292532" w:rsidRDefault="00DB4407" w:rsidP="00962663">
      <w:pPr>
        <w:spacing w:before="0" w:line="276" w:lineRule="auto"/>
        <w:jc w:val="center"/>
        <w:rPr>
          <w:rFonts w:ascii="Arial" w:hAnsi="Arial"/>
          <w:i/>
          <w:iCs/>
          <w:sz w:val="18"/>
          <w:szCs w:val="18"/>
          <w:lang w:val="pt-PT"/>
        </w:rPr>
      </w:pPr>
      <w:r w:rsidRPr="00292532">
        <w:rPr>
          <w:rFonts w:asciiTheme="minorHAnsi" w:hAnsiTheme="minorHAnsi" w:cstheme="minorHAnsi"/>
          <w:i/>
          <w:iCs/>
          <w:sz w:val="18"/>
          <w:szCs w:val="18"/>
          <w:lang w:val="pt-PT"/>
        </w:rPr>
        <w:t>Fonte:</w:t>
      </w:r>
      <w:r w:rsidR="00962663" w:rsidRPr="00292532">
        <w:rPr>
          <w:rFonts w:asciiTheme="minorHAnsi" w:hAnsiTheme="minorHAnsi" w:cstheme="minorHAnsi"/>
          <w:i/>
          <w:iCs/>
          <w:sz w:val="18"/>
          <w:szCs w:val="18"/>
          <w:lang w:val="pt-PT"/>
        </w:rPr>
        <w:t xml:space="preserve"> </w:t>
      </w:r>
      <w:r w:rsidRPr="00292532">
        <w:rPr>
          <w:rFonts w:ascii="Arial" w:hAnsi="Arial"/>
          <w:i/>
          <w:iCs/>
          <w:sz w:val="18"/>
          <w:szCs w:val="18"/>
          <w:lang w:val="pt-PT"/>
        </w:rPr>
        <w:t xml:space="preserve">Global Data </w:t>
      </w:r>
      <w:proofErr w:type="spellStart"/>
      <w:r w:rsidRPr="00292532">
        <w:rPr>
          <w:rFonts w:ascii="Arial" w:hAnsi="Arial"/>
          <w:i/>
          <w:iCs/>
          <w:sz w:val="18"/>
          <w:szCs w:val="18"/>
          <w:lang w:val="pt-PT"/>
        </w:rPr>
        <w:t>Lab</w:t>
      </w:r>
      <w:proofErr w:type="spellEnd"/>
      <w:r w:rsidRPr="00292532">
        <w:rPr>
          <w:rFonts w:ascii="Arial" w:hAnsi="Arial"/>
          <w:i/>
          <w:iCs/>
          <w:sz w:val="18"/>
          <w:szCs w:val="18"/>
          <w:lang w:val="pt-PT"/>
        </w:rPr>
        <w:t xml:space="preserve"> (</w:t>
      </w:r>
      <w:hyperlink r:id="rId26" w:history="1">
        <w:r w:rsidRPr="00292532">
          <w:rPr>
            <w:rFonts w:ascii="Arial" w:hAnsi="Arial"/>
            <w:i/>
            <w:iCs/>
            <w:color w:val="0563C1" w:themeColor="hyperlink"/>
            <w:sz w:val="18"/>
            <w:szCs w:val="18"/>
            <w:u w:val="single"/>
            <w:lang w:val="pt-PT"/>
          </w:rPr>
          <w:t>https://globaldatalab.org</w:t>
        </w:r>
      </w:hyperlink>
      <w:r w:rsidRPr="00292532">
        <w:rPr>
          <w:rFonts w:ascii="Arial" w:hAnsi="Arial"/>
          <w:i/>
          <w:iCs/>
          <w:sz w:val="18"/>
          <w:szCs w:val="18"/>
          <w:lang w:val="pt-PT"/>
        </w:rPr>
        <w:t>)</w:t>
      </w:r>
    </w:p>
    <w:p w14:paraId="4932B82B" w14:textId="33E66C6E" w:rsidR="00DB4407" w:rsidRPr="00292532" w:rsidRDefault="00DB4407" w:rsidP="00DB4407">
      <w:pPr>
        <w:spacing w:before="0" w:line="276" w:lineRule="auto"/>
        <w:rPr>
          <w:rFonts w:asciiTheme="minorHAnsi" w:hAnsiTheme="minorHAnsi" w:cstheme="minorHAnsi"/>
          <w:lang w:val="pt-PT"/>
        </w:rPr>
      </w:pPr>
      <w:r w:rsidRPr="00292532">
        <w:rPr>
          <w:rFonts w:asciiTheme="minorHAnsi" w:hAnsiTheme="minorHAnsi" w:cstheme="minorHAnsi"/>
          <w:lang w:val="pt-PT"/>
        </w:rPr>
        <w:t xml:space="preserve">Nas zonas centro e norte do </w:t>
      </w:r>
      <w:r w:rsidR="00962663" w:rsidRPr="00292532">
        <w:rPr>
          <w:rFonts w:asciiTheme="minorHAnsi" w:hAnsiTheme="minorHAnsi" w:cstheme="minorHAnsi"/>
          <w:lang w:val="pt-PT"/>
        </w:rPr>
        <w:t>P</w:t>
      </w:r>
      <w:r w:rsidRPr="00292532">
        <w:rPr>
          <w:rFonts w:asciiTheme="minorHAnsi" w:hAnsiTheme="minorHAnsi" w:cstheme="minorHAnsi"/>
          <w:lang w:val="pt-PT"/>
        </w:rPr>
        <w:t>a</w:t>
      </w:r>
      <w:r w:rsidR="00962663" w:rsidRPr="00292532">
        <w:rPr>
          <w:rFonts w:asciiTheme="minorHAnsi" w:hAnsiTheme="minorHAnsi" w:cstheme="minorHAnsi"/>
          <w:lang w:val="pt-PT"/>
        </w:rPr>
        <w:t>í</w:t>
      </w:r>
      <w:r w:rsidRPr="00292532">
        <w:rPr>
          <w:rFonts w:asciiTheme="minorHAnsi" w:hAnsiTheme="minorHAnsi" w:cstheme="minorHAnsi"/>
          <w:lang w:val="pt-PT"/>
        </w:rPr>
        <w:t xml:space="preserve">s a pobreza de consumo esteve em 46.2% e 55.1% </w:t>
      </w:r>
      <w:proofErr w:type="spellStart"/>
      <w:r w:rsidRPr="00292532">
        <w:rPr>
          <w:rFonts w:asciiTheme="minorHAnsi" w:hAnsiTheme="minorHAnsi" w:cstheme="minorHAnsi"/>
          <w:lang w:val="pt-PT"/>
        </w:rPr>
        <w:t>respectivamente</w:t>
      </w:r>
      <w:proofErr w:type="spellEnd"/>
      <w:r w:rsidRPr="00292532">
        <w:rPr>
          <w:rFonts w:asciiTheme="minorHAnsi" w:hAnsiTheme="minorHAnsi" w:cstheme="minorHAnsi"/>
          <w:lang w:val="pt-PT"/>
        </w:rPr>
        <w:t xml:space="preserve">. Quanto a pobreza multidimensional a zona centro apresentou 64% enquanto a zona norte 68% (MEF, 2016). A pobreza com base no consumo a nível da região norte apresenta uma maior incidência (55,1%), com particular destaque para as Províncias de Niassa (60,6%) e Nampula (57,1%). A incidência de pobreza multidimensional nos distritos abrangidos pelo </w:t>
      </w:r>
      <w:proofErr w:type="spellStart"/>
      <w:r w:rsidRPr="00292532">
        <w:rPr>
          <w:rFonts w:asciiTheme="minorHAnsi" w:hAnsiTheme="minorHAnsi" w:cstheme="minorHAnsi"/>
          <w:lang w:val="pt-PT"/>
        </w:rPr>
        <w:t>projectos</w:t>
      </w:r>
      <w:proofErr w:type="spellEnd"/>
      <w:r w:rsidRPr="00292532">
        <w:rPr>
          <w:rFonts w:asciiTheme="minorHAnsi" w:hAnsiTheme="minorHAnsi" w:cstheme="minorHAnsi"/>
          <w:lang w:val="pt-PT"/>
        </w:rPr>
        <w:t xml:space="preserve"> é superior naqueles que estão mais isolados e consequentemente com menor acesso a equipamentos sociais, como distritos fronteiriços de Tete e distritos da faixa costeira como Maganja da Costa</w:t>
      </w:r>
      <w:r w:rsidR="00962663" w:rsidRPr="00292532">
        <w:rPr>
          <w:rFonts w:asciiTheme="minorHAnsi" w:hAnsiTheme="minorHAnsi" w:cstheme="minorHAnsi"/>
          <w:lang w:val="pt-PT"/>
        </w:rPr>
        <w:t xml:space="preserve"> na Zambézia</w:t>
      </w:r>
      <w:r w:rsidRPr="00292532">
        <w:rPr>
          <w:rFonts w:asciiTheme="minorHAnsi" w:hAnsiTheme="minorHAnsi" w:cstheme="minorHAnsi"/>
          <w:lang w:val="pt-PT"/>
        </w:rPr>
        <w:t>, Moma e Memba</w:t>
      </w:r>
      <w:r w:rsidR="00962663" w:rsidRPr="00292532">
        <w:rPr>
          <w:rFonts w:asciiTheme="minorHAnsi" w:hAnsiTheme="minorHAnsi" w:cstheme="minorHAnsi"/>
          <w:lang w:val="pt-PT"/>
        </w:rPr>
        <w:t xml:space="preserve"> em Nampula</w:t>
      </w:r>
      <w:r w:rsidRPr="00292532">
        <w:rPr>
          <w:rFonts w:asciiTheme="minorHAnsi" w:hAnsiTheme="minorHAnsi" w:cstheme="minorHAnsi"/>
          <w:lang w:val="pt-PT"/>
        </w:rPr>
        <w:t xml:space="preserve">. Uma vez que incidência da pobreza multidimensional é superior à incidência da pobreza de consumo, significa que que há famílias que vivem acima da linha de pobreza de consumo, mas que sofrem privações em termos </w:t>
      </w:r>
      <w:r w:rsidRPr="00292532">
        <w:rPr>
          <w:rFonts w:asciiTheme="minorHAnsi" w:hAnsiTheme="minorHAnsi" w:cstheme="minorHAnsi"/>
          <w:lang w:val="pt-PT"/>
        </w:rPr>
        <w:lastRenderedPageBreak/>
        <w:t>de educação, saúde e/ou padrões de vida A incidência da pobreza multidimensional é muito mais alta no meio rural (72%) do que no meio urbano (18%)</w:t>
      </w:r>
      <w:r w:rsidR="00055659">
        <w:rPr>
          <w:rFonts w:asciiTheme="minorHAnsi" w:hAnsiTheme="minorHAnsi" w:cstheme="minorHAnsi"/>
          <w:lang w:val="pt-PT"/>
        </w:rPr>
        <w:t xml:space="preserve"> </w:t>
      </w:r>
      <w:r w:rsidRPr="00292532">
        <w:rPr>
          <w:rFonts w:asciiTheme="minorHAnsi" w:hAnsiTheme="minorHAnsi" w:cstheme="minorHAnsi"/>
          <w:lang w:val="pt-PT"/>
        </w:rPr>
        <w:t>(MEF, 2016).</w:t>
      </w:r>
    </w:p>
    <w:p w14:paraId="3324400C" w14:textId="188B304A" w:rsidR="00962663" w:rsidRPr="00292532" w:rsidRDefault="00962663" w:rsidP="005A1707">
      <w:pPr>
        <w:rPr>
          <w:lang w:val="pt-PT"/>
        </w:rPr>
      </w:pPr>
      <w:r w:rsidRPr="00292532">
        <w:rPr>
          <w:lang w:val="pt-PT"/>
        </w:rPr>
        <w:t xml:space="preserve">No que concerne ao sector empresarial, as empresas de pequena e média dimensão (PME), continuam a representar a maioria de entidades com fins lucrativos em todas as zonas sul, centro e norte de Moçambique ao concentrar 96% do total do sector empresarial, assegurando 51% do emprego empresarial, mas contribuindo apenas com 16% de volume total de </w:t>
      </w:r>
      <w:r w:rsidR="0005701F" w:rsidRPr="00292532">
        <w:rPr>
          <w:lang w:val="pt-PT"/>
        </w:rPr>
        <w:t>negócios, sendo</w:t>
      </w:r>
      <w:r w:rsidRPr="00292532">
        <w:rPr>
          <w:lang w:val="pt-PT"/>
        </w:rPr>
        <w:t xml:space="preserve"> que as </w:t>
      </w:r>
      <w:proofErr w:type="spellStart"/>
      <w:r w:rsidRPr="00292532">
        <w:rPr>
          <w:lang w:val="pt-PT"/>
        </w:rPr>
        <w:t>actividades</w:t>
      </w:r>
      <w:proofErr w:type="spellEnd"/>
      <w:r w:rsidRPr="00292532">
        <w:rPr>
          <w:lang w:val="pt-PT"/>
        </w:rPr>
        <w:t xml:space="preserve"> económicas com maior número de empresas continuaram concentradas no comércio com 56%, no alojamento, restauração e similares com 22% e nas indústrias transformadoras com 9% do total de unidades empresariais.</w:t>
      </w:r>
    </w:p>
    <w:p w14:paraId="10B9CAA1" w14:textId="1CDA6FFD" w:rsidR="00962663" w:rsidRPr="00292532" w:rsidRDefault="00962663" w:rsidP="005A1707">
      <w:pPr>
        <w:rPr>
          <w:lang w:val="pt-PT"/>
        </w:rPr>
      </w:pPr>
      <w:r w:rsidRPr="00292532">
        <w:rPr>
          <w:lang w:val="pt-PT"/>
        </w:rPr>
        <w:t xml:space="preserve">A região centro tem historicamente desempenhado um papel importante no comércio e outras </w:t>
      </w:r>
      <w:proofErr w:type="spellStart"/>
      <w:r w:rsidRPr="00292532">
        <w:rPr>
          <w:lang w:val="pt-PT"/>
        </w:rPr>
        <w:t>actividades</w:t>
      </w:r>
      <w:proofErr w:type="spellEnd"/>
      <w:r w:rsidRPr="00292532">
        <w:rPr>
          <w:lang w:val="pt-PT"/>
        </w:rPr>
        <w:t xml:space="preserve"> </w:t>
      </w:r>
      <w:r w:rsidR="0005701F" w:rsidRPr="00292532">
        <w:rPr>
          <w:lang w:val="pt-PT"/>
        </w:rPr>
        <w:t>socioeconómicas</w:t>
      </w:r>
      <w:r w:rsidRPr="00292532">
        <w:rPr>
          <w:lang w:val="pt-PT"/>
        </w:rPr>
        <w:t xml:space="preserve"> em Moçambique. O comércio regional também é importante na capital provincial da Zambézia. O acesso rodoviário a Quelimane passou a ser facilitado pela ponte sobre Caia para a travessia do rio Zambeze o </w:t>
      </w:r>
      <w:r w:rsidRPr="00292532">
        <w:rPr>
          <w:color w:val="000000" w:themeColor="text1"/>
          <w:lang w:val="pt-PT"/>
        </w:rPr>
        <w:t xml:space="preserve">que também facilita de maneira geral a ligação Sul-Norte em geral. À </w:t>
      </w:r>
      <w:proofErr w:type="spellStart"/>
      <w:r w:rsidRPr="00292532">
        <w:rPr>
          <w:color w:val="000000" w:themeColor="text1"/>
          <w:lang w:val="pt-PT"/>
        </w:rPr>
        <w:t>excepção</w:t>
      </w:r>
      <w:proofErr w:type="spellEnd"/>
      <w:r w:rsidRPr="00292532">
        <w:rPr>
          <w:color w:val="000000" w:themeColor="text1"/>
          <w:lang w:val="pt-PT"/>
        </w:rPr>
        <w:t xml:space="preserve"> de Quelimane e </w:t>
      </w:r>
      <w:proofErr w:type="spellStart"/>
      <w:r w:rsidRPr="00292532">
        <w:rPr>
          <w:color w:val="000000" w:themeColor="text1"/>
          <w:lang w:val="pt-PT"/>
        </w:rPr>
        <w:t>Nicoadala</w:t>
      </w:r>
      <w:proofErr w:type="spellEnd"/>
      <w:r w:rsidRPr="00292532">
        <w:rPr>
          <w:color w:val="000000" w:themeColor="text1"/>
          <w:lang w:val="pt-PT"/>
        </w:rPr>
        <w:t xml:space="preserve">, que são servidos por uma boa estrada asfaltada, importantes áreas de </w:t>
      </w:r>
      <w:proofErr w:type="spellStart"/>
      <w:r w:rsidRPr="00292532">
        <w:rPr>
          <w:color w:val="000000" w:themeColor="text1"/>
          <w:lang w:val="pt-PT"/>
        </w:rPr>
        <w:t>actividade</w:t>
      </w:r>
      <w:proofErr w:type="spellEnd"/>
      <w:r w:rsidRPr="00292532">
        <w:rPr>
          <w:color w:val="000000" w:themeColor="text1"/>
          <w:lang w:val="pt-PT"/>
        </w:rPr>
        <w:t xml:space="preserve"> económica na província da Zambézia têm </w:t>
      </w:r>
      <w:r w:rsidR="0005701F" w:rsidRPr="00292532">
        <w:rPr>
          <w:color w:val="000000" w:themeColor="text1"/>
          <w:lang w:val="pt-PT"/>
        </w:rPr>
        <w:t>infraestruturas</w:t>
      </w:r>
      <w:r w:rsidRPr="00292532">
        <w:rPr>
          <w:color w:val="000000" w:themeColor="text1"/>
          <w:lang w:val="pt-PT"/>
        </w:rPr>
        <w:t xml:space="preserve"> deficientes. A ferrovia nesta província tem apenas 145 km de extensão (Mocuba-Quelimane)</w:t>
      </w:r>
      <w:r w:rsidRPr="00292532">
        <w:rPr>
          <w:lang w:val="pt-PT"/>
        </w:rPr>
        <w:t xml:space="preserve"> (MEF, 2016).</w:t>
      </w:r>
    </w:p>
    <w:p w14:paraId="429F33CB" w14:textId="382D8448" w:rsidR="00962663" w:rsidRPr="00292532" w:rsidRDefault="00962663" w:rsidP="005A1707">
      <w:pPr>
        <w:rPr>
          <w:lang w:val="pt-PT"/>
        </w:rPr>
      </w:pPr>
      <w:r w:rsidRPr="00292532">
        <w:rPr>
          <w:lang w:val="pt-PT"/>
        </w:rPr>
        <w:t xml:space="preserve">Nesta região norte, </w:t>
      </w:r>
      <w:r w:rsidR="0005701F" w:rsidRPr="00292532">
        <w:rPr>
          <w:lang w:val="pt-PT"/>
        </w:rPr>
        <w:t>a infraestrutura concentra-se</w:t>
      </w:r>
      <w:r w:rsidRPr="00292532">
        <w:rPr>
          <w:lang w:val="pt-PT"/>
        </w:rPr>
        <w:t xml:space="preserve"> principalmente em Nampula, Nacala e Pemba. A Iniciativa de Desenvolvimento Espacial do Corredor de Nacala está na vanguarda do desenvolvimento na região. Liga Nacala e Nampula ao Lago Niassa e ao Malawi e com a recente construção e funcionamento da linha férrea de </w:t>
      </w:r>
      <w:proofErr w:type="spellStart"/>
      <w:r w:rsidRPr="00292532">
        <w:rPr>
          <w:lang w:val="pt-PT"/>
        </w:rPr>
        <w:t>Moatize</w:t>
      </w:r>
      <w:proofErr w:type="spellEnd"/>
      <w:r w:rsidRPr="00292532">
        <w:rPr>
          <w:lang w:val="pt-PT"/>
        </w:rPr>
        <w:t xml:space="preserve">-Nacala-a-Velha, também a província de Tete através da provisão de </w:t>
      </w:r>
      <w:r w:rsidR="0005701F" w:rsidRPr="00292532">
        <w:rPr>
          <w:lang w:val="pt-PT"/>
        </w:rPr>
        <w:t>infraestruturas</w:t>
      </w:r>
      <w:r w:rsidRPr="00292532">
        <w:rPr>
          <w:lang w:val="pt-PT"/>
        </w:rPr>
        <w:t xml:space="preserve"> aéreas e rodoviárias. </w:t>
      </w:r>
    </w:p>
    <w:p w14:paraId="7092BA26" w14:textId="26966A09" w:rsidR="00962663" w:rsidRPr="00292532" w:rsidRDefault="00962663" w:rsidP="00962663">
      <w:pPr>
        <w:spacing w:before="0" w:line="276" w:lineRule="auto"/>
        <w:rPr>
          <w:rFonts w:asciiTheme="minorHAnsi" w:hAnsiTheme="minorHAnsi" w:cstheme="minorHAnsi"/>
          <w:lang w:val="pt-PT"/>
        </w:rPr>
      </w:pPr>
      <w:r w:rsidRPr="00292532">
        <w:rPr>
          <w:rFonts w:asciiTheme="minorHAnsi" w:hAnsiTheme="minorHAnsi" w:cstheme="minorHAnsi"/>
          <w:lang w:val="pt-PT"/>
        </w:rPr>
        <w:t xml:space="preserve">Nampula é a terceira cidade de Moçambique e conta com algumas importantes instalações de negócios. Por outro lado, Nacala é uma pequena cidade portuária com instalações comerciais </w:t>
      </w:r>
      <w:r w:rsidR="0005701F" w:rsidRPr="00292532">
        <w:rPr>
          <w:rFonts w:asciiTheme="minorHAnsi" w:hAnsiTheme="minorHAnsi" w:cstheme="minorHAnsi"/>
          <w:lang w:val="pt-PT"/>
        </w:rPr>
        <w:t>consideráveis,</w:t>
      </w:r>
      <w:r w:rsidRPr="00292532">
        <w:rPr>
          <w:rFonts w:asciiTheme="minorHAnsi" w:hAnsiTheme="minorHAnsi" w:cstheme="minorHAnsi"/>
          <w:lang w:val="pt-PT"/>
        </w:rPr>
        <w:t xml:space="preserve"> </w:t>
      </w:r>
    </w:p>
    <w:p w14:paraId="7B8EC72A" w14:textId="76B42109" w:rsidR="00962663" w:rsidRPr="00292532" w:rsidRDefault="00962663" w:rsidP="005A1707">
      <w:pPr>
        <w:rPr>
          <w:lang w:val="pt-PT"/>
        </w:rPr>
      </w:pPr>
      <w:r w:rsidRPr="00292532">
        <w:rPr>
          <w:lang w:val="pt-PT"/>
        </w:rPr>
        <w:t xml:space="preserve">Há que realçar que a região norte embora se apresente com pouca contribuição em relação ao PIB (21.3%), grandes contributos para a economia têm </w:t>
      </w:r>
      <w:r w:rsidR="0005701F" w:rsidRPr="00292532">
        <w:rPr>
          <w:lang w:val="pt-PT"/>
        </w:rPr>
        <w:t>proveniência</w:t>
      </w:r>
      <w:r w:rsidRPr="00292532">
        <w:rPr>
          <w:lang w:val="pt-PT"/>
        </w:rPr>
        <w:t xml:space="preserve"> a partir da província de Nampula caracterizada por intensa </w:t>
      </w:r>
      <w:proofErr w:type="spellStart"/>
      <w:r w:rsidRPr="00292532">
        <w:rPr>
          <w:lang w:val="pt-PT"/>
        </w:rPr>
        <w:t>actividade</w:t>
      </w:r>
      <w:proofErr w:type="spellEnd"/>
      <w:r w:rsidRPr="00292532">
        <w:rPr>
          <w:lang w:val="pt-PT"/>
        </w:rPr>
        <w:t xml:space="preserve"> comercial. O Corredor de Desenvolvimento de Nacala, que interliga as cidades de Nampula e Nacala ao Lago Niassa e ao Malawi, assim como à bacia carbonífera de </w:t>
      </w:r>
      <w:proofErr w:type="spellStart"/>
      <w:r w:rsidRPr="00292532">
        <w:rPr>
          <w:lang w:val="pt-PT"/>
        </w:rPr>
        <w:t>Moatize</w:t>
      </w:r>
      <w:proofErr w:type="spellEnd"/>
      <w:r w:rsidRPr="00292532">
        <w:rPr>
          <w:lang w:val="pt-PT"/>
        </w:rPr>
        <w:t xml:space="preserve"> em Tete, é um dos principais impulsionadores de desenvolvimento na região, atraindo grandes investimentos públicos e privados, especialmente na área de transporte e exportação.</w:t>
      </w:r>
    </w:p>
    <w:p w14:paraId="72EB8F41" w14:textId="7C758459" w:rsidR="00962663" w:rsidRPr="00292532" w:rsidRDefault="00962663">
      <w:pPr>
        <w:pStyle w:val="Heading3"/>
      </w:pPr>
      <w:bookmarkStart w:id="144" w:name="_Toc80379959"/>
      <w:proofErr w:type="spellStart"/>
      <w:r w:rsidRPr="00292532">
        <w:t>Aspectos</w:t>
      </w:r>
      <w:proofErr w:type="spellEnd"/>
      <w:r w:rsidRPr="00292532">
        <w:t xml:space="preserve"> de Género</w:t>
      </w:r>
      <w:bookmarkEnd w:id="144"/>
      <w:r w:rsidRPr="00292532">
        <w:t xml:space="preserve"> </w:t>
      </w:r>
    </w:p>
    <w:p w14:paraId="39D0312C" w14:textId="5BEC5904" w:rsidR="00DB4407" w:rsidRPr="00292532" w:rsidRDefault="00DB4407" w:rsidP="005A1707">
      <w:pPr>
        <w:rPr>
          <w:lang w:val="pt-PT"/>
        </w:rPr>
      </w:pPr>
      <w:r w:rsidRPr="00292532">
        <w:rPr>
          <w:lang w:val="pt-PT"/>
        </w:rPr>
        <w:t xml:space="preserve">Quanto ao </w:t>
      </w:r>
      <w:proofErr w:type="spellStart"/>
      <w:r w:rsidRPr="00292532">
        <w:rPr>
          <w:lang w:val="pt-PT"/>
        </w:rPr>
        <w:t>aspecto</w:t>
      </w:r>
      <w:proofErr w:type="spellEnd"/>
      <w:r w:rsidRPr="00292532">
        <w:rPr>
          <w:lang w:val="pt-PT"/>
        </w:rPr>
        <w:t xml:space="preserve"> de género em 2019 o </w:t>
      </w:r>
      <w:r w:rsidR="0005701F" w:rsidRPr="00292532">
        <w:rPr>
          <w:lang w:val="pt-PT"/>
        </w:rPr>
        <w:t>país</w:t>
      </w:r>
      <w:r w:rsidRPr="00292532">
        <w:rPr>
          <w:lang w:val="pt-PT"/>
        </w:rPr>
        <w:t xml:space="preserve"> apresentou Índice de Desigualdade de Género (IDG) correspondente a 0,523, (UNDP, 2020), </w:t>
      </w:r>
      <w:proofErr w:type="spellStart"/>
      <w:r w:rsidRPr="00292532">
        <w:rPr>
          <w:lang w:val="pt-PT"/>
        </w:rPr>
        <w:t>reflectindo</w:t>
      </w:r>
      <w:proofErr w:type="spellEnd"/>
      <w:r w:rsidRPr="00292532">
        <w:rPr>
          <w:lang w:val="pt-PT"/>
        </w:rPr>
        <w:t xml:space="preserve"> uma ligeira melhoria na zona Norte, onde prevalece uma cultura tradicional e conservadora mais forte, o fortalecimento económico e social da mulher é exíguo (JICA, 2015). </w:t>
      </w:r>
    </w:p>
    <w:p w14:paraId="02FB3FE0" w14:textId="568AA982" w:rsidR="00DB4407" w:rsidRPr="00292532" w:rsidRDefault="00DB4407" w:rsidP="005A1707">
      <w:pPr>
        <w:rPr>
          <w:lang w:val="pt-PT"/>
        </w:rPr>
      </w:pPr>
      <w:bookmarkStart w:id="145" w:name="_Hlk75442886"/>
      <w:r w:rsidRPr="00292532">
        <w:rPr>
          <w:lang w:val="pt-PT"/>
        </w:rPr>
        <w:t xml:space="preserve">De um modo geral, segundo </w:t>
      </w:r>
      <w:proofErr w:type="spellStart"/>
      <w:r w:rsidRPr="00292532">
        <w:rPr>
          <w:lang w:val="pt-PT"/>
        </w:rPr>
        <w:t>Gradin</w:t>
      </w:r>
      <w:proofErr w:type="spellEnd"/>
      <w:r w:rsidRPr="00292532">
        <w:rPr>
          <w:lang w:val="pt-PT"/>
        </w:rPr>
        <w:t xml:space="preserve"> &amp; </w:t>
      </w:r>
      <w:proofErr w:type="spellStart"/>
      <w:r w:rsidRPr="00292532">
        <w:rPr>
          <w:lang w:val="pt-PT"/>
        </w:rPr>
        <w:t>Tarp</w:t>
      </w:r>
      <w:proofErr w:type="spellEnd"/>
      <w:r w:rsidRPr="00292532">
        <w:rPr>
          <w:lang w:val="pt-PT"/>
        </w:rPr>
        <w:t xml:space="preserve"> (2019), os homens encontram-se numa posição mais privilegiada do que as mulheres no que toca ao acesso a oportunidades durante a expansão do sector formal. Desigualdades de género em termos de capital humano, expressas em </w:t>
      </w:r>
      <w:proofErr w:type="spellStart"/>
      <w:r w:rsidRPr="00292532">
        <w:rPr>
          <w:lang w:val="pt-PT"/>
        </w:rPr>
        <w:t>factores</w:t>
      </w:r>
      <w:proofErr w:type="spellEnd"/>
      <w:r w:rsidRPr="00292532">
        <w:rPr>
          <w:lang w:val="pt-PT"/>
        </w:rPr>
        <w:t xml:space="preserve"> como a escolaridade, a alfabetização e a proficiência na língua portuguesa, constituem alguns dos entraves para o grosso das mulheres moçambicanas terem acesso a oportunidades no mercado de trabalho formal.</w:t>
      </w:r>
      <w:bookmarkEnd w:id="145"/>
      <w:r w:rsidRPr="00292532">
        <w:rPr>
          <w:lang w:val="pt-PT"/>
        </w:rPr>
        <w:t xml:space="preserve"> </w:t>
      </w:r>
      <w:bookmarkStart w:id="146" w:name="_Hlk75442916"/>
      <w:r w:rsidRPr="00292532">
        <w:rPr>
          <w:lang w:val="pt-PT"/>
        </w:rPr>
        <w:t xml:space="preserve">Estas desigualdades perpetuam construções e </w:t>
      </w:r>
      <w:proofErr w:type="spellStart"/>
      <w:r w:rsidRPr="00292532">
        <w:rPr>
          <w:lang w:val="pt-PT"/>
        </w:rPr>
        <w:t>percepções</w:t>
      </w:r>
      <w:proofErr w:type="spellEnd"/>
      <w:r w:rsidRPr="00292532">
        <w:rPr>
          <w:lang w:val="pt-PT"/>
        </w:rPr>
        <w:t xml:space="preserve"> sociais </w:t>
      </w:r>
      <w:r w:rsidRPr="00292532">
        <w:rPr>
          <w:lang w:val="pt-PT"/>
        </w:rPr>
        <w:lastRenderedPageBreak/>
        <w:t xml:space="preserve">de dominância masculina, e remetem as mulheres para uma situação de maior vulnerabilidade no que tange à violência baseada no género (VBG). </w:t>
      </w:r>
      <w:bookmarkEnd w:id="146"/>
      <w:r w:rsidRPr="00292532">
        <w:rPr>
          <w:lang w:val="pt-PT"/>
        </w:rPr>
        <w:t xml:space="preserve">O Inquérito Demográfico e de Saúde (IDS) de 2011 apresenta dados sobre </w:t>
      </w:r>
      <w:r w:rsidR="001978AF" w:rsidRPr="00292532">
        <w:rPr>
          <w:lang w:val="pt-PT"/>
        </w:rPr>
        <w:t>a</w:t>
      </w:r>
      <w:r w:rsidRPr="00292532">
        <w:rPr>
          <w:lang w:val="pt-PT"/>
        </w:rPr>
        <w:t xml:space="preserve"> VBG em três vertentes: violência física, violência sexual, violência emocional ou psicológica. Os dados do IDS 2011 mostram que à </w:t>
      </w:r>
      <w:proofErr w:type="spellStart"/>
      <w:r w:rsidRPr="00292532">
        <w:rPr>
          <w:lang w:val="pt-PT"/>
        </w:rPr>
        <w:t>excepção</w:t>
      </w:r>
      <w:proofErr w:type="spellEnd"/>
      <w:r w:rsidRPr="00292532">
        <w:rPr>
          <w:lang w:val="pt-PT"/>
        </w:rPr>
        <w:t xml:space="preserve"> da violência psicológica, as mulheres constituem as principais vítimas da VBG</w:t>
      </w:r>
      <w:r w:rsidRPr="00292532">
        <w:rPr>
          <w:rFonts w:ascii="Arial" w:hAnsi="Arial"/>
          <w:lang w:val="pt-PT"/>
        </w:rPr>
        <w:t>.</w:t>
      </w:r>
    </w:p>
    <w:p w14:paraId="1C8AB779" w14:textId="3B8B4C26" w:rsidR="00DB4407" w:rsidRPr="00292532" w:rsidRDefault="00DB4407" w:rsidP="00DB4407">
      <w:pPr>
        <w:spacing w:before="0" w:line="276" w:lineRule="auto"/>
        <w:rPr>
          <w:rFonts w:asciiTheme="minorHAnsi" w:hAnsiTheme="minorHAnsi" w:cstheme="minorHAnsi"/>
          <w:lang w:val="pt-PT"/>
        </w:rPr>
      </w:pPr>
    </w:p>
    <w:p w14:paraId="632D2CEB" w14:textId="6E2FC33A" w:rsidR="00DB4407" w:rsidRPr="00292532" w:rsidRDefault="00DB4407">
      <w:pPr>
        <w:pStyle w:val="Heading3"/>
      </w:pPr>
      <w:bookmarkStart w:id="147" w:name="_Toc80379960"/>
      <w:r w:rsidRPr="00292532">
        <w:t>Perfil dos agregados familiares e das comunidades incluindo questões de habitação, modelos de ocupação da terra e vida do dia-a-dia</w:t>
      </w:r>
      <w:bookmarkEnd w:id="147"/>
    </w:p>
    <w:p w14:paraId="57211C92" w14:textId="77777777" w:rsidR="00DB4407" w:rsidRPr="00292532" w:rsidRDefault="00DB4407" w:rsidP="00DB4407">
      <w:pPr>
        <w:spacing w:before="0" w:after="0" w:line="276" w:lineRule="auto"/>
        <w:ind w:left="1134"/>
        <w:jc w:val="left"/>
        <w:rPr>
          <w:rFonts w:asciiTheme="minorHAnsi" w:hAnsiTheme="minorHAnsi" w:cstheme="minorHAnsi"/>
          <w:i/>
          <w:color w:val="44546A" w:themeColor="text2"/>
          <w:lang w:val="pt-PT"/>
        </w:rPr>
      </w:pPr>
    </w:p>
    <w:p w14:paraId="2C51E7C7" w14:textId="77777777" w:rsidR="00DB4407" w:rsidRPr="00292532" w:rsidRDefault="00DB4407" w:rsidP="005A1707">
      <w:pPr>
        <w:rPr>
          <w:lang w:val="pt-PT"/>
        </w:rPr>
      </w:pPr>
      <w:r w:rsidRPr="00292532">
        <w:rPr>
          <w:lang w:val="pt-PT"/>
        </w:rPr>
        <w:t xml:space="preserve">O foco principal da maioria das análises tem sido caracterizado pela composição e características dos agregados familiares. Os dados do IAF </w:t>
      </w:r>
      <w:proofErr w:type="spellStart"/>
      <w:r w:rsidRPr="00292532">
        <w:rPr>
          <w:lang w:val="pt-PT"/>
        </w:rPr>
        <w:t>actualizados</w:t>
      </w:r>
      <w:proofErr w:type="spellEnd"/>
      <w:r w:rsidRPr="00292532">
        <w:rPr>
          <w:lang w:val="pt-PT"/>
        </w:rPr>
        <w:t xml:space="preserve"> apontam que mais de metade dos agregados familiares (70%) residem nas áreas rurais e o restante em zonas urbanas. As províncias mais populosas do País, Zambézia e Nampula, são as que possuem o número mais elevado de agregados familiares com 19.5% e 20.7%, </w:t>
      </w:r>
      <w:proofErr w:type="spellStart"/>
      <w:r w:rsidRPr="00292532">
        <w:rPr>
          <w:lang w:val="pt-PT"/>
        </w:rPr>
        <w:t>respectivamente</w:t>
      </w:r>
      <w:proofErr w:type="spellEnd"/>
      <w:r w:rsidRPr="00292532">
        <w:rPr>
          <w:lang w:val="pt-PT"/>
        </w:rPr>
        <w:t>. Estas duas províncias albergam 38.0% da população do País (INE, 2017).</w:t>
      </w:r>
    </w:p>
    <w:p w14:paraId="77406BD0" w14:textId="4A9D6DD1" w:rsidR="00DB4407" w:rsidRPr="00292532" w:rsidRDefault="00DB4407" w:rsidP="005A1707">
      <w:pPr>
        <w:rPr>
          <w:lang w:val="pt-PT"/>
        </w:rPr>
      </w:pPr>
      <w:r w:rsidRPr="00292532">
        <w:rPr>
          <w:lang w:val="pt-PT"/>
        </w:rPr>
        <w:t>No geral, os dados mostram que a maioria de agregados familiares é composta por 3 a 4 membros (32.7%) seguindo-se os de 5 a 6 membros (27.9%)</w:t>
      </w:r>
      <w:r w:rsidR="005A1707" w:rsidRPr="00292532">
        <w:rPr>
          <w:lang w:val="pt-PT"/>
        </w:rPr>
        <w:t xml:space="preserve"> - </w:t>
      </w:r>
      <w:r w:rsidR="005A1707" w:rsidRPr="00292532">
        <w:rPr>
          <w:b/>
          <w:bCs/>
          <w:lang w:val="pt-PT"/>
        </w:rPr>
        <w:fldChar w:fldCharType="begin"/>
      </w:r>
      <w:r w:rsidR="005A1707" w:rsidRPr="00292532">
        <w:rPr>
          <w:b/>
          <w:bCs/>
          <w:lang w:val="pt-PT"/>
        </w:rPr>
        <w:instrText xml:space="preserve"> REF _Ref72953965 \h  \* MERGEFORMAT </w:instrText>
      </w:r>
      <w:r w:rsidR="005A1707" w:rsidRPr="00292532">
        <w:rPr>
          <w:b/>
          <w:bCs/>
          <w:lang w:val="pt-PT"/>
        </w:rPr>
      </w:r>
      <w:r w:rsidR="005A1707" w:rsidRPr="00292532">
        <w:rPr>
          <w:b/>
          <w:bCs/>
          <w:lang w:val="pt-PT"/>
        </w:rPr>
        <w:fldChar w:fldCharType="separate"/>
      </w:r>
      <w:r w:rsidR="005A1707" w:rsidRPr="00292532">
        <w:rPr>
          <w:b/>
          <w:bCs/>
          <w:lang w:val="pt-PT"/>
        </w:rPr>
        <w:t xml:space="preserve">Figura </w:t>
      </w:r>
      <w:r w:rsidR="005A1707" w:rsidRPr="00292532">
        <w:rPr>
          <w:b/>
          <w:bCs/>
          <w:noProof/>
          <w:lang w:val="pt-PT"/>
        </w:rPr>
        <w:t>15</w:t>
      </w:r>
      <w:r w:rsidR="005A1707" w:rsidRPr="00292532">
        <w:rPr>
          <w:b/>
          <w:bCs/>
          <w:lang w:val="pt-PT"/>
        </w:rPr>
        <w:fldChar w:fldCharType="end"/>
      </w:r>
      <w:r w:rsidRPr="00292532">
        <w:rPr>
          <w:lang w:val="pt-PT"/>
        </w:rPr>
        <w:t>. A proporção de agregados que têm 7 ou mais membros é de 21.7%. Por seu turno, a média de pessoas por agregado familiar em todo o País é de 4.8 pessoas.</w:t>
      </w:r>
    </w:p>
    <w:p w14:paraId="7D75122E" w14:textId="77777777" w:rsidR="00DB4407" w:rsidRPr="00292532" w:rsidRDefault="00DB4407" w:rsidP="005A1707">
      <w:pPr>
        <w:rPr>
          <w:lang w:val="pt-PT"/>
        </w:rPr>
      </w:pPr>
      <w:r w:rsidRPr="00292532">
        <w:rPr>
          <w:lang w:val="pt-PT"/>
        </w:rPr>
        <w:t xml:space="preserve">Consta da distribuição do número de membros nos agregados segundo o sexo do chefe que nos agregados familiares chefiados por mulheres são predominantemente compostos por 1 a 2 pessoas (31%) e por 3 a 4 (34.6%). Os chefiados pelos homens predominam agregados compostos por 3-4 pessoas (32.1%) e 5-6 (30.3%). Portanto, o número médio de pessoas por agregado familiar também é elevado entre os agregados chefiados pelos homens, 5.1 do que nos dirigidos pelas mulheres, 4.3 pessoas. </w:t>
      </w:r>
    </w:p>
    <w:p w14:paraId="0F47663A" w14:textId="17F1DAA1" w:rsidR="00DB4407" w:rsidRPr="00292532" w:rsidRDefault="00DB4407" w:rsidP="005A1707">
      <w:pPr>
        <w:rPr>
          <w:lang w:val="pt-PT"/>
        </w:rPr>
      </w:pPr>
      <w:r w:rsidRPr="00292532">
        <w:rPr>
          <w:lang w:val="pt-PT"/>
        </w:rPr>
        <w:t xml:space="preserve">O número de membros por agregado também difere em função do estado civil do chefe. Assim, os chefiados por solteiros são maioritariamente compostos por 3 a 4 membros (32.0%), seguindo-se os de 1 membro (26.1%) e 2 membros (21.9%). De referir que a composição dos agregados cujos chefes são viúvos/separado/divorciado, também apresentam agregados compostos maioritariamente por 1 a 2 membros (38.8%). </w:t>
      </w:r>
    </w:p>
    <w:p w14:paraId="412967C2" w14:textId="77777777" w:rsidR="00DB4407" w:rsidRPr="00292532" w:rsidRDefault="00DB4407" w:rsidP="005A1707">
      <w:pPr>
        <w:rPr>
          <w:color w:val="000000" w:themeColor="text1"/>
          <w:lang w:val="pt-PT"/>
        </w:rPr>
      </w:pPr>
      <w:r w:rsidRPr="00292532">
        <w:rPr>
          <w:color w:val="000000" w:themeColor="text1"/>
          <w:lang w:val="pt-PT"/>
        </w:rPr>
        <w:t>Relativamente ao nível de educação observa-se que à medida que o grau de escolaridade aumenta, o tamanho do agregado familiar aumenta também. Assim, nos agregados cujo chefe tem o ensino secundário ou mais, 32.0% são compostos por 7 ou mais pessoas. Esta tendência também se observa em relação ao número médio de pessoas por agregado. Segundo o INE (2017) o aumento do número de membros por nível de educação não deve ser visto como resultado de uma elevada fecundidade.</w:t>
      </w:r>
    </w:p>
    <w:p w14:paraId="6C7E4927" w14:textId="2095B3C6" w:rsidR="00DB4407" w:rsidRPr="00292532" w:rsidRDefault="00DB4407" w:rsidP="00DD780F">
      <w:pPr>
        <w:pStyle w:val="Caption"/>
      </w:pPr>
      <w:bookmarkStart w:id="148" w:name="_Toc80380238"/>
      <w:r w:rsidRPr="00292532">
        <w:rPr>
          <w:noProof/>
          <w:lang w:val="en-US" w:eastAsia="en-US"/>
        </w:rPr>
        <w:lastRenderedPageBreak/>
        <w:drawing>
          <wp:anchor distT="0" distB="0" distL="114300" distR="114300" simplePos="0" relativeHeight="252046336" behindDoc="0" locked="0" layoutInCell="1" allowOverlap="1" wp14:anchorId="2199F06A" wp14:editId="2788F0FB">
            <wp:simplePos x="0" y="0"/>
            <wp:positionH relativeFrom="column">
              <wp:posOffset>209550</wp:posOffset>
            </wp:positionH>
            <wp:positionV relativeFrom="paragraph">
              <wp:posOffset>1270</wp:posOffset>
            </wp:positionV>
            <wp:extent cx="5161915" cy="2871470"/>
            <wp:effectExtent l="0" t="0" r="635" b="5080"/>
            <wp:wrapTopAndBottom/>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61915" cy="287147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49" w:name="_Ref72953965"/>
      <w:r w:rsidR="005A1707" w:rsidRPr="00292532">
        <w:t xml:space="preserve">Figura </w:t>
      </w:r>
      <w:r w:rsidR="005A1707" w:rsidRPr="00292532">
        <w:fldChar w:fldCharType="begin"/>
      </w:r>
      <w:r w:rsidR="005A1707" w:rsidRPr="00292532">
        <w:instrText xml:space="preserve"> SEQ Figura \* ARABIC </w:instrText>
      </w:r>
      <w:r w:rsidR="005A1707" w:rsidRPr="00292532">
        <w:fldChar w:fldCharType="separate"/>
      </w:r>
      <w:r w:rsidR="000D7B05">
        <w:rPr>
          <w:noProof/>
        </w:rPr>
        <w:t>15</w:t>
      </w:r>
      <w:r w:rsidR="005A1707" w:rsidRPr="00292532">
        <w:fldChar w:fldCharType="end"/>
      </w:r>
      <w:bookmarkEnd w:id="149"/>
      <w:r w:rsidR="005A1707" w:rsidRPr="00292532">
        <w:t xml:space="preserve">: </w:t>
      </w:r>
      <w:r w:rsidRPr="00292532">
        <w:t>Número médio de pessoas por agregado familiar</w:t>
      </w:r>
      <w:bookmarkEnd w:id="148"/>
    </w:p>
    <w:p w14:paraId="43C9488A" w14:textId="4B6D221A" w:rsidR="00DB4407" w:rsidRPr="00292532" w:rsidRDefault="00DD780F" w:rsidP="00DB4407">
      <w:pPr>
        <w:spacing w:before="0" w:after="100" w:afterAutospacing="1"/>
        <w:rPr>
          <w:rFonts w:asciiTheme="minorHAnsi" w:hAnsiTheme="minorHAnsi"/>
          <w:lang w:val="pt-PT"/>
        </w:rPr>
      </w:pPr>
      <w:r w:rsidRPr="00292532">
        <w:rPr>
          <w:rFonts w:ascii="Arial" w:hAnsi="Arial" w:cs="Arial"/>
          <w:noProof/>
          <w:color w:val="4472C4" w:themeColor="accent1"/>
          <w:lang w:val="en-US"/>
        </w:rPr>
        <w:drawing>
          <wp:anchor distT="0" distB="0" distL="114300" distR="114300" simplePos="0" relativeHeight="252045312" behindDoc="0" locked="0" layoutInCell="1" allowOverlap="1" wp14:anchorId="4C3B9526" wp14:editId="3D6192D6">
            <wp:simplePos x="0" y="0"/>
            <wp:positionH relativeFrom="column">
              <wp:posOffset>851472</wp:posOffset>
            </wp:positionH>
            <wp:positionV relativeFrom="paragraph">
              <wp:posOffset>1324610</wp:posOffset>
            </wp:positionV>
            <wp:extent cx="4003675" cy="3652520"/>
            <wp:effectExtent l="0" t="0" r="0" b="508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03675" cy="3652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4407" w:rsidRPr="00292532">
        <w:rPr>
          <w:rFonts w:asciiTheme="minorHAnsi" w:hAnsiTheme="minorHAnsi"/>
          <w:lang w:val="pt-PT"/>
        </w:rPr>
        <w:t xml:space="preserve">No geral, os dados mostram que, o tamanho médio de </w:t>
      </w:r>
      <w:r w:rsidR="005A1707" w:rsidRPr="00292532">
        <w:rPr>
          <w:rFonts w:asciiTheme="minorHAnsi" w:hAnsiTheme="minorHAnsi"/>
          <w:lang w:val="pt-PT"/>
        </w:rPr>
        <w:t>um</w:t>
      </w:r>
      <w:r w:rsidR="00DB4407" w:rsidRPr="00292532">
        <w:rPr>
          <w:rFonts w:asciiTheme="minorHAnsi" w:hAnsiTheme="minorHAnsi"/>
          <w:lang w:val="pt-PT"/>
        </w:rPr>
        <w:t xml:space="preserve"> agregado familiar aumentou de 4.1 para 4.8 membros. Este aumento verificou-se mais nas áreas urbanas onde a média passou de 4.6 para 5.2 pessoas. A estrutura etária característica da zona centro e norte, conforme os dados de 2020, é de uma base larga e o topo afinado sendo este um formato típico de distribuição da população de Países em desenvolvimento, onde a estrutura etária é muito jovem (PES, 2021)</w:t>
      </w:r>
      <w:r w:rsidR="005A1707" w:rsidRPr="00292532">
        <w:rPr>
          <w:rFonts w:asciiTheme="minorHAnsi" w:hAnsiTheme="minorHAnsi"/>
          <w:lang w:val="pt-PT"/>
        </w:rPr>
        <w:t xml:space="preserve">. A </w:t>
      </w:r>
      <w:r w:rsidR="00792E14" w:rsidRPr="00292532">
        <w:rPr>
          <w:rFonts w:asciiTheme="minorHAnsi" w:hAnsiTheme="minorHAnsi"/>
          <w:b/>
          <w:bCs/>
          <w:lang w:val="pt-PT"/>
        </w:rPr>
        <w:fldChar w:fldCharType="begin"/>
      </w:r>
      <w:r w:rsidR="00792E14" w:rsidRPr="00292532">
        <w:rPr>
          <w:rFonts w:asciiTheme="minorHAnsi" w:hAnsiTheme="minorHAnsi"/>
          <w:b/>
          <w:bCs/>
          <w:lang w:val="pt-PT"/>
        </w:rPr>
        <w:instrText xml:space="preserve"> REF _Ref72954198 \h  \* MERGEFORMAT </w:instrText>
      </w:r>
      <w:r w:rsidR="00792E14" w:rsidRPr="00292532">
        <w:rPr>
          <w:rFonts w:asciiTheme="minorHAnsi" w:hAnsiTheme="minorHAnsi"/>
          <w:b/>
          <w:bCs/>
          <w:lang w:val="pt-PT"/>
        </w:rPr>
      </w:r>
      <w:r w:rsidR="00792E14" w:rsidRPr="00292532">
        <w:rPr>
          <w:rFonts w:asciiTheme="minorHAnsi" w:hAnsiTheme="minorHAnsi"/>
          <w:b/>
          <w:bCs/>
          <w:lang w:val="pt-PT"/>
        </w:rPr>
        <w:fldChar w:fldCharType="separate"/>
      </w:r>
      <w:r w:rsidR="00792E14" w:rsidRPr="00292532">
        <w:rPr>
          <w:b/>
          <w:bCs/>
          <w:lang w:val="pt-PT"/>
        </w:rPr>
        <w:t xml:space="preserve">Figura </w:t>
      </w:r>
      <w:r w:rsidR="00792E14" w:rsidRPr="00292532">
        <w:rPr>
          <w:b/>
          <w:bCs/>
          <w:noProof/>
          <w:lang w:val="pt-PT"/>
        </w:rPr>
        <w:t>16</w:t>
      </w:r>
      <w:r w:rsidR="00792E14" w:rsidRPr="00292532">
        <w:rPr>
          <w:rFonts w:asciiTheme="minorHAnsi" w:hAnsiTheme="minorHAnsi"/>
          <w:b/>
          <w:bCs/>
          <w:lang w:val="pt-PT"/>
        </w:rPr>
        <w:fldChar w:fldCharType="end"/>
      </w:r>
      <w:r w:rsidR="00792E14" w:rsidRPr="00292532">
        <w:rPr>
          <w:rFonts w:asciiTheme="minorHAnsi" w:hAnsiTheme="minorHAnsi"/>
          <w:lang w:val="pt-PT"/>
        </w:rPr>
        <w:t xml:space="preserve"> </w:t>
      </w:r>
      <w:r w:rsidR="005A1707" w:rsidRPr="00292532">
        <w:rPr>
          <w:rFonts w:asciiTheme="minorHAnsi" w:hAnsiTheme="minorHAnsi"/>
          <w:lang w:val="pt-PT"/>
        </w:rPr>
        <w:t>apresenta a</w:t>
      </w:r>
      <w:r w:rsidR="005A1707" w:rsidRPr="00292532">
        <w:rPr>
          <w:lang w:val="pt-PT"/>
        </w:rPr>
        <w:t xml:space="preserve"> </w:t>
      </w:r>
      <w:r w:rsidR="005A1707" w:rsidRPr="00292532">
        <w:rPr>
          <w:rFonts w:asciiTheme="minorHAnsi" w:hAnsiTheme="minorHAnsi"/>
          <w:lang w:val="pt-PT"/>
        </w:rPr>
        <w:t>Pirâmide etária da população/sexo segundo grupo de idade no país (INE, 2019).</w:t>
      </w:r>
    </w:p>
    <w:p w14:paraId="7A096DC3" w14:textId="7E81B062" w:rsidR="00DB4407" w:rsidRPr="00292532" w:rsidRDefault="005A1707" w:rsidP="005A1707">
      <w:pPr>
        <w:pStyle w:val="Caption"/>
        <w:rPr>
          <w:rFonts w:asciiTheme="minorHAnsi" w:hAnsiTheme="minorHAnsi"/>
          <w:sz w:val="22"/>
          <w:szCs w:val="22"/>
        </w:rPr>
      </w:pPr>
      <w:bookmarkStart w:id="150" w:name="_Ref72954198"/>
      <w:bookmarkStart w:id="151" w:name="_Toc80380239"/>
      <w:r w:rsidRPr="00292532">
        <w:t xml:space="preserve">Figura </w:t>
      </w:r>
      <w:r w:rsidRPr="00292532">
        <w:fldChar w:fldCharType="begin"/>
      </w:r>
      <w:r w:rsidRPr="00292532">
        <w:instrText xml:space="preserve"> SEQ Figura \* ARABIC </w:instrText>
      </w:r>
      <w:r w:rsidRPr="00292532">
        <w:fldChar w:fldCharType="separate"/>
      </w:r>
      <w:r w:rsidR="00A74521" w:rsidRPr="00292532">
        <w:rPr>
          <w:noProof/>
        </w:rPr>
        <w:t>16</w:t>
      </w:r>
      <w:r w:rsidRPr="00292532">
        <w:fldChar w:fldCharType="end"/>
      </w:r>
      <w:bookmarkEnd w:id="150"/>
      <w:r w:rsidRPr="00292532">
        <w:t xml:space="preserve">: </w:t>
      </w:r>
      <w:r w:rsidR="00DB4407" w:rsidRPr="00292532">
        <w:t>Pirâmide etária da população/sexo segundo grupo de idade (INE, 2019)</w:t>
      </w:r>
      <w:bookmarkEnd w:id="151"/>
    </w:p>
    <w:p w14:paraId="56C4BAF7" w14:textId="77777777" w:rsidR="00DB4407" w:rsidRPr="00292532" w:rsidRDefault="00DB4407" w:rsidP="00DB4407">
      <w:pPr>
        <w:spacing w:before="0" w:after="100" w:afterAutospacing="1"/>
        <w:rPr>
          <w:rFonts w:asciiTheme="minorHAnsi" w:hAnsiTheme="minorHAnsi"/>
          <w:lang w:val="pt-PT"/>
        </w:rPr>
      </w:pPr>
      <w:r w:rsidRPr="00292532">
        <w:rPr>
          <w:rFonts w:asciiTheme="minorHAnsi" w:hAnsiTheme="minorHAnsi"/>
          <w:lang w:val="pt-PT"/>
        </w:rPr>
        <w:t xml:space="preserve">A distribuição difere por área de residência, sendo a área rural com mais população jovem, com cerca 48% e a área urbana, com mais adultos com cerca de 58%. Relativamente a população </w:t>
      </w:r>
      <w:r w:rsidRPr="00292532">
        <w:rPr>
          <w:rFonts w:asciiTheme="minorHAnsi" w:hAnsiTheme="minorHAnsi"/>
          <w:lang w:val="pt-PT"/>
        </w:rPr>
        <w:lastRenderedPageBreak/>
        <w:t xml:space="preserve">idosa, destaca-se a área rural com 3.4% diferindo em um ponto percentual da urbana. A taxa de dependência total é de cerca 93 dependentes em cada 100 pessoas </w:t>
      </w:r>
      <w:proofErr w:type="spellStart"/>
      <w:r w:rsidRPr="00292532">
        <w:rPr>
          <w:rFonts w:asciiTheme="minorHAnsi" w:hAnsiTheme="minorHAnsi"/>
          <w:lang w:val="pt-PT"/>
        </w:rPr>
        <w:t>activas</w:t>
      </w:r>
      <w:proofErr w:type="spellEnd"/>
      <w:r w:rsidRPr="00292532">
        <w:rPr>
          <w:rFonts w:asciiTheme="minorHAnsi" w:hAnsiTheme="minorHAnsi"/>
          <w:lang w:val="pt-PT"/>
        </w:rPr>
        <w:t xml:space="preserve">. A área rural apresenta maior taxa de dependência, sendo de cerca de 104, 97 e 7 para o total, jovens e para os idosos </w:t>
      </w:r>
      <w:proofErr w:type="spellStart"/>
      <w:r w:rsidRPr="00292532">
        <w:rPr>
          <w:rFonts w:asciiTheme="minorHAnsi" w:hAnsiTheme="minorHAnsi"/>
          <w:lang w:val="pt-PT"/>
        </w:rPr>
        <w:t>respectivamente</w:t>
      </w:r>
      <w:proofErr w:type="spellEnd"/>
      <w:r w:rsidRPr="00292532">
        <w:rPr>
          <w:rFonts w:asciiTheme="minorHAnsi" w:hAnsiTheme="minorHAnsi"/>
          <w:lang w:val="pt-PT"/>
        </w:rPr>
        <w:t xml:space="preserve">. As províncias de Nampula e Zambézia, continuam sendo as que apresentam maior número da população. </w:t>
      </w:r>
    </w:p>
    <w:p w14:paraId="54456993" w14:textId="24F609BF" w:rsidR="00DB4407" w:rsidRPr="00292532" w:rsidRDefault="00DB4407" w:rsidP="00DB4407">
      <w:pPr>
        <w:spacing w:before="0" w:after="100" w:afterAutospacing="1"/>
        <w:rPr>
          <w:rFonts w:asciiTheme="minorHAnsi" w:hAnsiTheme="minorHAnsi" w:cs="Calibri"/>
          <w:lang w:val="pt-PT"/>
        </w:rPr>
      </w:pPr>
      <w:r w:rsidRPr="00292532">
        <w:rPr>
          <w:rFonts w:asciiTheme="minorHAnsi" w:hAnsiTheme="minorHAnsi"/>
          <w:lang w:val="pt-PT"/>
        </w:rPr>
        <w:t>Dados por província do INE (2017), apontam que a maior parte das casas nesta região são de material local na maioria dos distritos, e são geralmente, rondáveis feitas de caniço e estacas e cobertas de capim. Existem igualmente casas feitas de caniço e estacas, porém cobertas de chapas de zinco. Algumas famílias possuem habitação construída de material convencional, principalmente nas cidades e vilas. Estas, normalmente são feitas de blocos, tijolo queimado, cobertas de chapas de zinco</w:t>
      </w:r>
      <w:r w:rsidR="00A37ED8" w:rsidRPr="00292532">
        <w:rPr>
          <w:rFonts w:asciiTheme="minorHAnsi" w:hAnsiTheme="minorHAnsi"/>
          <w:lang w:val="pt-PT"/>
        </w:rPr>
        <w:t xml:space="preserve"> </w:t>
      </w:r>
      <w:r w:rsidRPr="00292532">
        <w:rPr>
          <w:rFonts w:asciiTheme="minorHAnsi" w:hAnsiTheme="minorHAnsi"/>
          <w:lang w:val="pt-PT"/>
        </w:rPr>
        <w:t xml:space="preserve">e placa de betão. </w:t>
      </w:r>
      <w:r w:rsidRPr="00292532">
        <w:rPr>
          <w:rFonts w:asciiTheme="minorHAnsi" w:eastAsia="Times New Roman" w:hAnsiTheme="minorHAnsi" w:cstheme="minorHAnsi"/>
          <w:lang w:val="pt-PT"/>
        </w:rPr>
        <w:t xml:space="preserve">O material de construção usado é adquirido localmente, porém, para as construções convencionais, o material é adquirido nas grandes cidades, Chimoio e em alguns casos é em pequena escala proveniente de </w:t>
      </w:r>
      <w:proofErr w:type="spellStart"/>
      <w:r w:rsidRPr="00292532">
        <w:rPr>
          <w:rFonts w:asciiTheme="minorHAnsi" w:eastAsia="Times New Roman" w:hAnsiTheme="minorHAnsi" w:cstheme="minorHAnsi"/>
          <w:lang w:val="pt-PT"/>
        </w:rPr>
        <w:t>Mutare</w:t>
      </w:r>
      <w:proofErr w:type="spellEnd"/>
      <w:r w:rsidRPr="00292532">
        <w:rPr>
          <w:rFonts w:asciiTheme="minorHAnsi" w:eastAsia="Times New Roman" w:hAnsiTheme="minorHAnsi" w:cstheme="minorHAnsi"/>
          <w:lang w:val="pt-PT"/>
        </w:rPr>
        <w:t xml:space="preserve"> </w:t>
      </w:r>
      <w:r w:rsidR="00A37ED8" w:rsidRPr="00292532">
        <w:rPr>
          <w:rFonts w:asciiTheme="minorHAnsi" w:eastAsia="Times New Roman" w:hAnsiTheme="minorHAnsi" w:cstheme="minorHAnsi"/>
          <w:lang w:val="pt-PT"/>
        </w:rPr>
        <w:t xml:space="preserve">no </w:t>
      </w:r>
      <w:r w:rsidR="0005701F" w:rsidRPr="00292532">
        <w:rPr>
          <w:rFonts w:asciiTheme="minorHAnsi" w:eastAsia="Times New Roman" w:hAnsiTheme="minorHAnsi" w:cstheme="minorHAnsi"/>
          <w:lang w:val="pt-PT"/>
        </w:rPr>
        <w:t>Zimbabwe</w:t>
      </w:r>
      <w:r w:rsidRPr="00292532">
        <w:rPr>
          <w:rFonts w:asciiTheme="minorHAnsi" w:eastAsia="Times New Roman" w:hAnsiTheme="minorHAnsi" w:cstheme="minorHAnsi"/>
          <w:lang w:val="pt-PT"/>
        </w:rPr>
        <w:t xml:space="preserve">. Em Nampula </w:t>
      </w:r>
      <w:r w:rsidRPr="00292532">
        <w:rPr>
          <w:rFonts w:asciiTheme="minorHAnsi" w:hAnsiTheme="minorHAnsi" w:cs="Calibri"/>
          <w:lang w:val="pt-PT"/>
        </w:rPr>
        <w:t>o tipo de habitação predominante compreende casas convencionais no centro da cidade, casas de paredes de adobe e casas construídas de paus maticados</w:t>
      </w:r>
      <w:r w:rsidR="00A37ED8" w:rsidRPr="00292532">
        <w:rPr>
          <w:rFonts w:asciiTheme="minorHAnsi" w:hAnsiTheme="minorHAnsi" w:cs="Calibri"/>
          <w:lang w:val="pt-PT"/>
        </w:rPr>
        <w:t xml:space="preserve"> (revestidos com argila)</w:t>
      </w:r>
      <w:r w:rsidRPr="00292532">
        <w:rPr>
          <w:rFonts w:asciiTheme="minorHAnsi" w:hAnsiTheme="minorHAnsi" w:cs="Calibri"/>
          <w:lang w:val="pt-PT"/>
        </w:rPr>
        <w:t xml:space="preserve"> nos arredores ou zonas rurais.</w:t>
      </w:r>
    </w:p>
    <w:p w14:paraId="05F01010" w14:textId="1FEA194F" w:rsidR="00DB4407" w:rsidRPr="00292532" w:rsidRDefault="00DB4407">
      <w:pPr>
        <w:pStyle w:val="Heading3"/>
      </w:pPr>
      <w:bookmarkStart w:id="152" w:name="_Toc80379961"/>
      <w:r w:rsidRPr="00292532">
        <w:t>Educação</w:t>
      </w:r>
      <w:bookmarkEnd w:id="152"/>
    </w:p>
    <w:p w14:paraId="65A4D940" w14:textId="383DC552" w:rsidR="00DB4407" w:rsidRPr="00292532" w:rsidRDefault="00DB4407" w:rsidP="00792E14">
      <w:pPr>
        <w:spacing w:before="0" w:after="100" w:afterAutospacing="1"/>
        <w:rPr>
          <w:rFonts w:asciiTheme="minorHAnsi" w:hAnsiTheme="minorHAnsi"/>
          <w:lang w:val="pt-PT"/>
        </w:rPr>
      </w:pPr>
      <w:r w:rsidRPr="00292532">
        <w:rPr>
          <w:rFonts w:asciiTheme="minorHAnsi" w:hAnsiTheme="minorHAnsi" w:cs="Calibri"/>
          <w:lang w:val="pt-PT"/>
        </w:rPr>
        <w:t xml:space="preserve">Dados </w:t>
      </w:r>
      <w:proofErr w:type="spellStart"/>
      <w:r w:rsidRPr="00292532">
        <w:rPr>
          <w:rFonts w:asciiTheme="minorHAnsi" w:hAnsiTheme="minorHAnsi" w:cs="Calibri"/>
          <w:lang w:val="pt-PT"/>
        </w:rPr>
        <w:t>actualizados</w:t>
      </w:r>
      <w:proofErr w:type="spellEnd"/>
      <w:r w:rsidRPr="00292532">
        <w:rPr>
          <w:rFonts w:asciiTheme="minorHAnsi" w:hAnsiTheme="minorHAnsi" w:cs="Calibri"/>
          <w:lang w:val="pt-PT"/>
        </w:rPr>
        <w:t xml:space="preserve"> do INE (2019) mostram </w:t>
      </w:r>
      <w:r w:rsidR="005A1707" w:rsidRPr="00292532">
        <w:rPr>
          <w:rFonts w:asciiTheme="minorHAnsi" w:hAnsiTheme="minorHAnsi" w:cs="Calibri"/>
          <w:lang w:val="pt-PT"/>
        </w:rPr>
        <w:t xml:space="preserve">um </w:t>
      </w:r>
      <w:r w:rsidRPr="00292532">
        <w:rPr>
          <w:rFonts w:asciiTheme="minorHAnsi" w:hAnsiTheme="minorHAnsi" w:cs="Calibri"/>
          <w:lang w:val="pt-PT"/>
        </w:rPr>
        <w:t>aumento crescente tanto</w:t>
      </w:r>
      <w:r w:rsidR="005A1707" w:rsidRPr="00292532">
        <w:rPr>
          <w:rFonts w:asciiTheme="minorHAnsi" w:hAnsiTheme="minorHAnsi" w:cs="Calibri"/>
          <w:lang w:val="pt-PT"/>
        </w:rPr>
        <w:t xml:space="preserve"> no</w:t>
      </w:r>
      <w:r w:rsidRPr="00292532">
        <w:rPr>
          <w:rFonts w:asciiTheme="minorHAnsi" w:hAnsiTheme="minorHAnsi" w:cs="Calibri"/>
          <w:lang w:val="pt-PT"/>
        </w:rPr>
        <w:t xml:space="preserve"> número de escolas do Ensino Primário, Secundário e pré-Universitário muito associado com a procura dado o número crescente dos alunos</w:t>
      </w:r>
      <w:r w:rsidR="00792E14" w:rsidRPr="00292532">
        <w:rPr>
          <w:rFonts w:asciiTheme="minorHAnsi" w:hAnsiTheme="minorHAnsi" w:cs="Calibri"/>
          <w:lang w:val="pt-PT"/>
        </w:rPr>
        <w:t xml:space="preserve"> (</w:t>
      </w:r>
      <w:r w:rsidR="00792E14" w:rsidRPr="00292532">
        <w:rPr>
          <w:rFonts w:asciiTheme="minorHAnsi" w:hAnsiTheme="minorHAnsi" w:cs="Calibri"/>
          <w:b/>
          <w:bCs/>
          <w:lang w:val="pt-PT"/>
        </w:rPr>
        <w:fldChar w:fldCharType="begin"/>
      </w:r>
      <w:r w:rsidR="00792E14" w:rsidRPr="00292532">
        <w:rPr>
          <w:rFonts w:asciiTheme="minorHAnsi" w:hAnsiTheme="minorHAnsi" w:cs="Calibri"/>
          <w:b/>
          <w:bCs/>
          <w:lang w:val="pt-PT"/>
        </w:rPr>
        <w:instrText xml:space="preserve"> REF _Ref72954320 \h  \* MERGEFORMAT </w:instrText>
      </w:r>
      <w:r w:rsidR="00792E14" w:rsidRPr="00292532">
        <w:rPr>
          <w:rFonts w:asciiTheme="minorHAnsi" w:hAnsiTheme="minorHAnsi" w:cs="Calibri"/>
          <w:b/>
          <w:bCs/>
          <w:lang w:val="pt-PT"/>
        </w:rPr>
      </w:r>
      <w:r w:rsidR="00792E14" w:rsidRPr="00292532">
        <w:rPr>
          <w:rFonts w:asciiTheme="minorHAnsi" w:hAnsiTheme="minorHAnsi" w:cs="Calibri"/>
          <w:b/>
          <w:bCs/>
          <w:lang w:val="pt-PT"/>
        </w:rPr>
        <w:fldChar w:fldCharType="separate"/>
      </w:r>
      <w:r w:rsidR="00792E14" w:rsidRPr="00292532">
        <w:rPr>
          <w:b/>
          <w:bCs/>
          <w:lang w:val="pt-PT"/>
        </w:rPr>
        <w:t xml:space="preserve">Figura </w:t>
      </w:r>
      <w:r w:rsidR="00792E14" w:rsidRPr="00292532">
        <w:rPr>
          <w:b/>
          <w:bCs/>
          <w:noProof/>
          <w:lang w:val="pt-PT"/>
        </w:rPr>
        <w:t>17</w:t>
      </w:r>
      <w:r w:rsidR="00792E14" w:rsidRPr="00292532">
        <w:rPr>
          <w:rFonts w:asciiTheme="minorHAnsi" w:hAnsiTheme="minorHAnsi" w:cs="Calibri"/>
          <w:b/>
          <w:bCs/>
          <w:lang w:val="pt-PT"/>
        </w:rPr>
        <w:fldChar w:fldCharType="end"/>
      </w:r>
      <w:r w:rsidR="00792E14" w:rsidRPr="00292532">
        <w:rPr>
          <w:rFonts w:asciiTheme="minorHAnsi" w:hAnsiTheme="minorHAnsi" w:cs="Calibri"/>
          <w:lang w:val="pt-PT"/>
        </w:rPr>
        <w:t>)</w:t>
      </w:r>
      <w:r w:rsidRPr="00292532">
        <w:rPr>
          <w:rFonts w:asciiTheme="minorHAnsi" w:hAnsiTheme="minorHAnsi" w:cs="Calibri"/>
          <w:lang w:val="pt-PT"/>
        </w:rPr>
        <w:t>.</w:t>
      </w:r>
      <w:r w:rsidRPr="00292532">
        <w:rPr>
          <w:rFonts w:asciiTheme="minorHAnsi" w:hAnsiTheme="minorHAnsi"/>
          <w:lang w:val="pt-PT"/>
        </w:rPr>
        <w:t xml:space="preserve"> O ensino primário público destaca-se com um aumento de mais 812 escolas (16</w:t>
      </w:r>
      <w:r w:rsidR="00A37ED8" w:rsidRPr="00292532">
        <w:rPr>
          <w:rFonts w:asciiTheme="minorHAnsi" w:hAnsiTheme="minorHAnsi"/>
          <w:lang w:val="pt-PT"/>
        </w:rPr>
        <w:t>.</w:t>
      </w:r>
      <w:r w:rsidRPr="00292532">
        <w:rPr>
          <w:rFonts w:asciiTheme="minorHAnsi" w:hAnsiTheme="minorHAnsi"/>
          <w:lang w:val="pt-PT"/>
        </w:rPr>
        <w:t>044</w:t>
      </w:r>
      <w:r w:rsidR="00A37ED8" w:rsidRPr="00292532">
        <w:rPr>
          <w:rFonts w:asciiTheme="minorHAnsi" w:hAnsiTheme="minorHAnsi"/>
          <w:lang w:val="pt-PT"/>
        </w:rPr>
        <w:t xml:space="preserve"> no total</w:t>
      </w:r>
      <w:r w:rsidRPr="00292532">
        <w:rPr>
          <w:rFonts w:asciiTheme="minorHAnsi" w:hAnsiTheme="minorHAnsi"/>
          <w:lang w:val="pt-PT"/>
        </w:rPr>
        <w:t xml:space="preserve">) comparativamente ao ensino primário privado com um aumento de 29 escolas (319 no total). As províncias de Zambézia e Nampula apresentam maior número de escolas do ensino primário, sendo 4.000 e 2.849 </w:t>
      </w:r>
      <w:proofErr w:type="spellStart"/>
      <w:r w:rsidRPr="00292532">
        <w:rPr>
          <w:rFonts w:asciiTheme="minorHAnsi" w:hAnsiTheme="minorHAnsi"/>
          <w:lang w:val="pt-PT"/>
        </w:rPr>
        <w:t>respectivamente</w:t>
      </w:r>
      <w:proofErr w:type="spellEnd"/>
      <w:r w:rsidRPr="00292532">
        <w:rPr>
          <w:rFonts w:asciiTheme="minorHAnsi" w:hAnsiTheme="minorHAnsi"/>
          <w:lang w:val="pt-PT"/>
        </w:rPr>
        <w:t>. Este número de escolas pode estar relacionado com</w:t>
      </w:r>
      <w:r w:rsidR="005A1707" w:rsidRPr="00292532">
        <w:rPr>
          <w:rFonts w:asciiTheme="minorHAnsi" w:hAnsiTheme="minorHAnsi"/>
          <w:lang w:val="pt-PT"/>
        </w:rPr>
        <w:t xml:space="preserve"> o</w:t>
      </w:r>
      <w:r w:rsidRPr="00292532">
        <w:rPr>
          <w:rFonts w:asciiTheme="minorHAnsi" w:hAnsiTheme="minorHAnsi"/>
          <w:lang w:val="pt-PT"/>
        </w:rPr>
        <w:t xml:space="preserve"> facto </w:t>
      </w:r>
      <w:r w:rsidR="0005701F" w:rsidRPr="00292532">
        <w:rPr>
          <w:rFonts w:asciiTheme="minorHAnsi" w:hAnsiTheme="minorHAnsi"/>
          <w:lang w:val="pt-PT"/>
        </w:rPr>
        <w:t>de estas</w:t>
      </w:r>
      <w:r w:rsidRPr="00292532">
        <w:rPr>
          <w:rFonts w:asciiTheme="minorHAnsi" w:hAnsiTheme="minorHAnsi"/>
          <w:lang w:val="pt-PT"/>
        </w:rPr>
        <w:t xml:space="preserve"> serem as províncias mais populosas do País, consequentemente apresentam maior </w:t>
      </w:r>
      <w:proofErr w:type="spellStart"/>
      <w:r w:rsidRPr="00292532">
        <w:rPr>
          <w:rFonts w:asciiTheme="minorHAnsi" w:hAnsiTheme="minorHAnsi"/>
          <w:lang w:val="pt-PT"/>
        </w:rPr>
        <w:t>efectivo</w:t>
      </w:r>
      <w:proofErr w:type="spellEnd"/>
      <w:r w:rsidRPr="00292532">
        <w:rPr>
          <w:rFonts w:asciiTheme="minorHAnsi" w:hAnsiTheme="minorHAnsi"/>
          <w:lang w:val="pt-PT"/>
        </w:rPr>
        <w:t xml:space="preserve"> em idade escolar (6-12 anos. </w:t>
      </w:r>
      <w:r w:rsidR="00A37ED8" w:rsidRPr="00292532">
        <w:rPr>
          <w:rFonts w:asciiTheme="minorHAnsi" w:hAnsiTheme="minorHAnsi"/>
          <w:lang w:val="pt-PT"/>
        </w:rPr>
        <w:t>À</w:t>
      </w:r>
      <w:r w:rsidRPr="00292532">
        <w:rPr>
          <w:rFonts w:asciiTheme="minorHAnsi" w:hAnsiTheme="minorHAnsi"/>
          <w:lang w:val="pt-PT"/>
        </w:rPr>
        <w:t xml:space="preserve"> semelhança do ensino </w:t>
      </w:r>
      <w:r w:rsidRPr="003F64BF">
        <w:rPr>
          <w:rFonts w:asciiTheme="minorHAnsi" w:hAnsiTheme="minorHAnsi"/>
          <w:lang w:val="pt-PT"/>
        </w:rPr>
        <w:t>primário, as províncias de Nampula e Zambézia são as que possuem mais escolas secundárias</w:t>
      </w:r>
      <w:r w:rsidR="005D718E" w:rsidRPr="003F64BF">
        <w:rPr>
          <w:rFonts w:asciiTheme="minorHAnsi" w:hAnsiTheme="minorHAnsi"/>
          <w:lang w:val="pt-PT"/>
        </w:rPr>
        <w:t xml:space="preserve">. </w:t>
      </w:r>
      <w:r w:rsidRPr="003F64BF">
        <w:rPr>
          <w:rFonts w:asciiTheme="minorHAnsi" w:hAnsiTheme="minorHAnsi" w:cs="Calibri"/>
          <w:lang w:val="pt-PT"/>
        </w:rPr>
        <w:t>(2019)</w:t>
      </w:r>
      <w:r w:rsidR="005A1707" w:rsidRPr="003F64BF">
        <w:rPr>
          <w:rFonts w:asciiTheme="minorHAnsi" w:hAnsiTheme="minorHAnsi" w:cs="Calibri"/>
          <w:lang w:val="pt-PT"/>
        </w:rPr>
        <w:t>.</w:t>
      </w:r>
    </w:p>
    <w:p w14:paraId="002F693C" w14:textId="53310BF1" w:rsidR="00DB4407" w:rsidRPr="00292532" w:rsidRDefault="00DB4407" w:rsidP="00DB4407">
      <w:pPr>
        <w:spacing w:before="0" w:after="100" w:afterAutospacing="1"/>
        <w:rPr>
          <w:rFonts w:ascii="Arial" w:hAnsi="Arial" w:cs="Arial"/>
          <w:color w:val="4472C4" w:themeColor="accent1"/>
          <w:lang w:val="pt-PT"/>
        </w:rPr>
      </w:pPr>
      <w:r w:rsidRPr="00292532">
        <w:rPr>
          <w:rFonts w:ascii="Arial" w:hAnsi="Arial" w:cs="Arial"/>
          <w:noProof/>
          <w:color w:val="4472C4" w:themeColor="accent1"/>
          <w:lang w:val="en-US"/>
        </w:rPr>
        <w:drawing>
          <wp:inline distT="0" distB="0" distL="0" distR="0" wp14:anchorId="3333544A" wp14:editId="53356224">
            <wp:extent cx="5732145" cy="2320290"/>
            <wp:effectExtent l="0" t="0" r="1905"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2145" cy="2320290"/>
                    </a:xfrm>
                    <a:prstGeom prst="rect">
                      <a:avLst/>
                    </a:prstGeom>
                    <a:noFill/>
                    <a:ln>
                      <a:noFill/>
                    </a:ln>
                  </pic:spPr>
                </pic:pic>
              </a:graphicData>
            </a:graphic>
          </wp:inline>
        </w:drawing>
      </w:r>
    </w:p>
    <w:p w14:paraId="35E4D560" w14:textId="34C79EC0" w:rsidR="00DB4407" w:rsidRPr="00292532" w:rsidRDefault="00792E14" w:rsidP="00792E14">
      <w:pPr>
        <w:pStyle w:val="Caption"/>
        <w:rPr>
          <w:rFonts w:asciiTheme="minorHAnsi" w:hAnsiTheme="minorHAnsi" w:cstheme="minorHAnsi"/>
          <w:sz w:val="22"/>
          <w:szCs w:val="22"/>
        </w:rPr>
      </w:pPr>
      <w:bookmarkStart w:id="153" w:name="_Ref72954320"/>
      <w:bookmarkStart w:id="154" w:name="_Toc80380240"/>
      <w:r w:rsidRPr="00292532">
        <w:t xml:space="preserve">Figura </w:t>
      </w:r>
      <w:r w:rsidRPr="00292532">
        <w:fldChar w:fldCharType="begin"/>
      </w:r>
      <w:r w:rsidRPr="00292532">
        <w:instrText xml:space="preserve"> SEQ Figura \* ARABIC </w:instrText>
      </w:r>
      <w:r w:rsidRPr="00292532">
        <w:fldChar w:fldCharType="separate"/>
      </w:r>
      <w:r w:rsidR="00A74521" w:rsidRPr="00292532">
        <w:rPr>
          <w:noProof/>
        </w:rPr>
        <w:t>17</w:t>
      </w:r>
      <w:r w:rsidRPr="00292532">
        <w:fldChar w:fldCharType="end"/>
      </w:r>
      <w:bookmarkEnd w:id="153"/>
      <w:r w:rsidRPr="00292532">
        <w:t xml:space="preserve">: </w:t>
      </w:r>
      <w:proofErr w:type="spellStart"/>
      <w:r w:rsidR="00DB4407" w:rsidRPr="00292532">
        <w:t>Efectivos</w:t>
      </w:r>
      <w:proofErr w:type="spellEnd"/>
      <w:r w:rsidR="00DB4407" w:rsidRPr="00292532">
        <w:t xml:space="preserve"> escolares do ensino privado 2015-2019</w:t>
      </w:r>
      <w:bookmarkEnd w:id="154"/>
    </w:p>
    <w:p w14:paraId="26DA8EA8" w14:textId="274D257A" w:rsidR="00DB4407" w:rsidRPr="00292532" w:rsidRDefault="00DB4407" w:rsidP="00792E14">
      <w:pPr>
        <w:rPr>
          <w:lang w:val="pt-PT"/>
        </w:rPr>
      </w:pPr>
      <w:r w:rsidRPr="00292532">
        <w:rPr>
          <w:lang w:val="pt-PT"/>
        </w:rPr>
        <w:t xml:space="preserve">No Ensino Primário, os </w:t>
      </w:r>
      <w:proofErr w:type="spellStart"/>
      <w:r w:rsidRPr="00292532">
        <w:rPr>
          <w:lang w:val="pt-PT"/>
        </w:rPr>
        <w:t>efectivos</w:t>
      </w:r>
      <w:proofErr w:type="spellEnd"/>
      <w:r w:rsidRPr="00292532">
        <w:rPr>
          <w:lang w:val="pt-PT"/>
        </w:rPr>
        <w:t xml:space="preserve"> do </w:t>
      </w:r>
      <w:r w:rsidR="0005701F" w:rsidRPr="00292532">
        <w:rPr>
          <w:lang w:val="pt-PT"/>
        </w:rPr>
        <w:t>subsistema</w:t>
      </w:r>
      <w:r w:rsidRPr="00292532">
        <w:rPr>
          <w:lang w:val="pt-PT"/>
        </w:rPr>
        <w:t xml:space="preserve"> duplicaram entre 2004 e 2018, com mais de 6,5 milhões de estudantes em 2018. Contudo, é necessário ter em conta a alta taxa de crescimento demográfico e a estrutura etária da população, com mais de metade em idade escolar. Segundo o MINEDH (2019), as causas do aumento de alunos no Ensino Primário centram-se</w:t>
      </w:r>
      <w:r w:rsidR="00A37ED8" w:rsidRPr="00292532">
        <w:rPr>
          <w:lang w:val="pt-PT"/>
        </w:rPr>
        <w:t xml:space="preserve"> em</w:t>
      </w:r>
      <w:r w:rsidRPr="00292532">
        <w:rPr>
          <w:lang w:val="pt-PT"/>
        </w:rPr>
        <w:t xml:space="preserve">: (i) </w:t>
      </w:r>
      <w:r w:rsidRPr="00292532">
        <w:rPr>
          <w:lang w:val="pt-PT"/>
        </w:rPr>
        <w:lastRenderedPageBreak/>
        <w:t>tomada de medidas para tornar o acesso menos dispendioso para as famílias (abolição de taxas de matrículas e livros gratuitos), (</w:t>
      </w:r>
      <w:proofErr w:type="spellStart"/>
      <w:r w:rsidRPr="00292532">
        <w:rPr>
          <w:lang w:val="pt-PT"/>
        </w:rPr>
        <w:t>ii</w:t>
      </w:r>
      <w:proofErr w:type="spellEnd"/>
      <w:r w:rsidRPr="00292532">
        <w:rPr>
          <w:lang w:val="pt-PT"/>
        </w:rPr>
        <w:t>) aumento, nos últimos anos, do número de alunos no Ensino Secundário é um progresso. Mesmo assim, em 2015, dos alunos que concluíram o Ensino Primário, apenas 64% entraram para o secundário, uma das mais baixas percentagens da região da SADC. De acordo o MINEDH (2019), o aumento no Ensino Secundário é fruto de mais alunos concluírem o Ensino Primário e de um esforço para abrir mais escolas secundárias em todos os distritos. Entre 2008 e 2017, o número de escolas secundárias aumentou para o ES1 (de 285 para 539) e para o ES2 (de 76 para 262), e (</w:t>
      </w:r>
      <w:proofErr w:type="spellStart"/>
      <w:r w:rsidRPr="00292532">
        <w:rPr>
          <w:lang w:val="pt-PT"/>
        </w:rPr>
        <w:t>iii</w:t>
      </w:r>
      <w:proofErr w:type="spellEnd"/>
      <w:r w:rsidRPr="00292532">
        <w:rPr>
          <w:lang w:val="pt-PT"/>
        </w:rPr>
        <w:t xml:space="preserve">) Aumento do número de professores no Ensino Secundário, nos últimos sete anos. </w:t>
      </w:r>
    </w:p>
    <w:p w14:paraId="299F8F89" w14:textId="77777777" w:rsidR="00DB4407" w:rsidRPr="00292532" w:rsidRDefault="00DB4407" w:rsidP="00792E14">
      <w:pPr>
        <w:rPr>
          <w:lang w:val="pt-PT"/>
        </w:rPr>
      </w:pPr>
      <w:r w:rsidRPr="00292532">
        <w:rPr>
          <w:lang w:val="pt-PT"/>
        </w:rPr>
        <w:t>Apesar da taxa de analfabetismo ter reduzido de 44,9% em 2015 para 39%, em 2017, (ultrapassando a meta estabelecida pela Estratégia da AEA de 41%), continuam várias disparidades, tais como a taxa de analfabetismo no meio rural (50,7%) e urbano (18,8%), entre homens (27,2%) e mulheres (49,4%) e regionais, com valores bastante diversos sobretudo entre províncias do Sul e do Norte onde, por exemplo, Maputo regista uma taxa de 9,5% e Cabo Delgado de 60,7%. MINEDH (2019).</w:t>
      </w:r>
    </w:p>
    <w:p w14:paraId="4D96BFDD" w14:textId="77777777" w:rsidR="00DB4407" w:rsidRPr="00292532" w:rsidRDefault="00DB4407" w:rsidP="00792E14">
      <w:pPr>
        <w:rPr>
          <w:lang w:val="pt-PT"/>
        </w:rPr>
      </w:pPr>
      <w:r w:rsidRPr="00292532">
        <w:rPr>
          <w:lang w:val="pt-PT"/>
        </w:rPr>
        <w:t xml:space="preserve">Por outro lado, o sector da Educação conta, em 2018, com um total de 136 mil professores, em todos os níveis de ensino. Destes, 62% dos professores estão no EP1, 21% no EP2 e 17% no Ensino Secundário. A distribuição de professores por sexo é mais equilibrada no EP1 onde 51% são mulheres. No EP2 e ES a proporção decresce de forma dramática atingindo os 29% e 23%, </w:t>
      </w:r>
      <w:proofErr w:type="spellStart"/>
      <w:r w:rsidRPr="00292532">
        <w:rPr>
          <w:lang w:val="pt-PT"/>
        </w:rPr>
        <w:t>respectivamente</w:t>
      </w:r>
      <w:proofErr w:type="spellEnd"/>
      <w:r w:rsidRPr="00292532">
        <w:rPr>
          <w:lang w:val="pt-PT"/>
        </w:rPr>
        <w:t xml:space="preserve">. As províncias de Nampula e Zambézia são as que comportam maior percentagem de professores, 16% e 21%, </w:t>
      </w:r>
      <w:proofErr w:type="spellStart"/>
      <w:r w:rsidRPr="00292532">
        <w:rPr>
          <w:lang w:val="pt-PT"/>
        </w:rPr>
        <w:t>respectivamente</w:t>
      </w:r>
      <w:proofErr w:type="spellEnd"/>
      <w:r w:rsidRPr="00292532">
        <w:rPr>
          <w:lang w:val="pt-PT"/>
        </w:rPr>
        <w:t xml:space="preserve">, por concentrarem maior </w:t>
      </w:r>
      <w:proofErr w:type="spellStart"/>
      <w:r w:rsidRPr="00292532">
        <w:rPr>
          <w:lang w:val="pt-PT"/>
        </w:rPr>
        <w:t>efectivo</w:t>
      </w:r>
      <w:proofErr w:type="spellEnd"/>
      <w:r w:rsidRPr="00292532">
        <w:rPr>
          <w:lang w:val="pt-PT"/>
        </w:rPr>
        <w:t xml:space="preserve"> de alunos. Mesmo assim, o número de professores nestas províncias, não satisfaz as necessidades.</w:t>
      </w:r>
    </w:p>
    <w:p w14:paraId="7B0AA062" w14:textId="17B633B5" w:rsidR="00DB4407" w:rsidRPr="00292532" w:rsidRDefault="00DB4407">
      <w:pPr>
        <w:pStyle w:val="Heading3"/>
      </w:pPr>
      <w:r w:rsidRPr="00292532">
        <w:t xml:space="preserve"> </w:t>
      </w:r>
      <w:bookmarkStart w:id="155" w:name="_Toc80379962"/>
      <w:r w:rsidR="00792E14" w:rsidRPr="00292532">
        <w:t>Saúde</w:t>
      </w:r>
      <w:bookmarkEnd w:id="155"/>
    </w:p>
    <w:p w14:paraId="7F9EF411" w14:textId="77777777" w:rsidR="005D718E" w:rsidRDefault="00DB4407" w:rsidP="00792E14">
      <w:pPr>
        <w:rPr>
          <w:lang w:val="pt-PT"/>
        </w:rPr>
      </w:pPr>
      <w:r w:rsidRPr="00292532">
        <w:rPr>
          <w:lang w:val="pt-PT"/>
        </w:rPr>
        <w:t>Em 2019 comparando com 2018, segundo o MISAU (2019) a rede sanitária passou de 1.652 para 1.674 Unidades Sanitárias</w:t>
      </w:r>
      <w:r w:rsidR="00A37ED8" w:rsidRPr="00292532">
        <w:rPr>
          <w:lang w:val="pt-PT"/>
        </w:rPr>
        <w:t xml:space="preserve"> (US)</w:t>
      </w:r>
      <w:r w:rsidRPr="00292532">
        <w:rPr>
          <w:lang w:val="pt-PT"/>
        </w:rPr>
        <w:t>. Assim a rede sanitária aumentou em 22 US (1.3%)</w:t>
      </w:r>
      <w:r w:rsidR="00792E14" w:rsidRPr="00292532">
        <w:rPr>
          <w:lang w:val="pt-PT"/>
        </w:rPr>
        <w:t xml:space="preserve"> -</w:t>
      </w:r>
      <w:r w:rsidR="00A37ED8" w:rsidRPr="00292532">
        <w:rPr>
          <w:b/>
          <w:bCs/>
          <w:lang w:val="pt-PT"/>
        </w:rPr>
        <w:fldChar w:fldCharType="begin"/>
      </w:r>
      <w:r w:rsidR="00A37ED8" w:rsidRPr="00292532">
        <w:rPr>
          <w:b/>
          <w:bCs/>
          <w:lang w:val="pt-PT"/>
        </w:rPr>
        <w:instrText xml:space="preserve"> REF _Ref73611044 \h  \* MERGEFORMAT </w:instrText>
      </w:r>
      <w:r w:rsidR="00A37ED8" w:rsidRPr="00292532">
        <w:rPr>
          <w:b/>
          <w:bCs/>
          <w:lang w:val="pt-PT"/>
        </w:rPr>
      </w:r>
      <w:r w:rsidR="00A37ED8" w:rsidRPr="00292532">
        <w:rPr>
          <w:b/>
          <w:bCs/>
          <w:lang w:val="pt-PT"/>
        </w:rPr>
        <w:fldChar w:fldCharType="separate"/>
      </w:r>
      <w:r w:rsidR="001A21CB" w:rsidRPr="00292532">
        <w:rPr>
          <w:b/>
          <w:bCs/>
          <w:lang w:val="pt-PT"/>
        </w:rPr>
        <w:t xml:space="preserve">Tabela </w:t>
      </w:r>
      <w:r w:rsidR="001A21CB" w:rsidRPr="00292532">
        <w:rPr>
          <w:b/>
          <w:bCs/>
          <w:noProof/>
          <w:lang w:val="pt-PT"/>
        </w:rPr>
        <w:t>12</w:t>
      </w:r>
      <w:r w:rsidR="00A37ED8" w:rsidRPr="00292532">
        <w:rPr>
          <w:b/>
          <w:bCs/>
          <w:lang w:val="pt-PT"/>
        </w:rPr>
        <w:fldChar w:fldCharType="end"/>
      </w:r>
      <w:r w:rsidRPr="00292532">
        <w:rPr>
          <w:lang w:val="pt-PT"/>
        </w:rPr>
        <w:t>. Das 22 US novas, mais de metade, especificamente 15 foram construídas nas Províncias de Nampula, Sofala e Zambézia. Não obstante o aumento do número absoluto das Unidades Sanitárias, o rácio Habitantes por Unidade Sanitária a nível nacional aumentou de 16.855 em 2018 para 17.514 em 2019, ainda aquém da recomendação da OMS (10.000 habitantes/unidade sanitária).</w:t>
      </w:r>
    </w:p>
    <w:p w14:paraId="55251178" w14:textId="77777777" w:rsidR="005D718E" w:rsidRDefault="005D718E">
      <w:pPr>
        <w:rPr>
          <w:lang w:val="pt-PT"/>
        </w:rPr>
      </w:pPr>
      <w:r>
        <w:rPr>
          <w:lang w:val="pt-PT"/>
        </w:rPr>
        <w:br w:type="page"/>
      </w:r>
    </w:p>
    <w:p w14:paraId="63332903" w14:textId="5F3CF125" w:rsidR="00DB4407" w:rsidRPr="00292532" w:rsidRDefault="00792E14" w:rsidP="00792E14">
      <w:pPr>
        <w:pStyle w:val="Caption"/>
        <w:rPr>
          <w:rFonts w:asciiTheme="minorHAnsi" w:hAnsiTheme="minorHAnsi"/>
          <w:sz w:val="22"/>
          <w:szCs w:val="22"/>
        </w:rPr>
      </w:pPr>
      <w:bookmarkStart w:id="156" w:name="_Ref73611044"/>
      <w:bookmarkStart w:id="157" w:name="_Toc75438153"/>
      <w:bookmarkStart w:id="158" w:name="_Toc80380259"/>
      <w:r w:rsidRPr="00292532">
        <w:lastRenderedPageBreak/>
        <w:t xml:space="preserve">Tabela </w:t>
      </w:r>
      <w:r w:rsidRPr="00292532">
        <w:fldChar w:fldCharType="begin"/>
      </w:r>
      <w:r w:rsidRPr="00292532">
        <w:instrText xml:space="preserve"> SEQ Tabela \* ARABIC </w:instrText>
      </w:r>
      <w:r w:rsidRPr="00292532">
        <w:fldChar w:fldCharType="separate"/>
      </w:r>
      <w:r w:rsidR="000D7B05">
        <w:rPr>
          <w:noProof/>
        </w:rPr>
        <w:t>12</w:t>
      </w:r>
      <w:r w:rsidRPr="00292532">
        <w:fldChar w:fldCharType="end"/>
      </w:r>
      <w:bookmarkEnd w:id="156"/>
      <w:r w:rsidRPr="00292532">
        <w:t xml:space="preserve">: </w:t>
      </w:r>
      <w:r w:rsidR="00DB4407" w:rsidRPr="00292532">
        <w:t>Total de US/província e número de habitantes/US (MISAU, 2019)</w:t>
      </w:r>
      <w:bookmarkEnd w:id="157"/>
      <w:bookmarkEnd w:id="158"/>
    </w:p>
    <w:p w14:paraId="3CB94C14" w14:textId="5009C569" w:rsidR="00DB4407" w:rsidRPr="00292532" w:rsidRDefault="00DB4407" w:rsidP="00DB4407">
      <w:pPr>
        <w:spacing w:before="0" w:after="100" w:afterAutospacing="1"/>
        <w:jc w:val="center"/>
        <w:rPr>
          <w:rFonts w:ascii="Arial" w:hAnsi="Arial" w:cs="Arial"/>
          <w:color w:val="4472C4" w:themeColor="accent1"/>
          <w:lang w:val="pt-PT"/>
        </w:rPr>
      </w:pPr>
      <w:r w:rsidRPr="00292532">
        <w:rPr>
          <w:rFonts w:ascii="Arial" w:hAnsi="Arial" w:cs="Arial"/>
          <w:noProof/>
          <w:color w:val="4472C4" w:themeColor="accent1"/>
          <w:lang w:val="en-US"/>
        </w:rPr>
        <w:drawing>
          <wp:inline distT="0" distB="0" distL="0" distR="0" wp14:anchorId="67F658ED" wp14:editId="70BE6538">
            <wp:extent cx="4477385" cy="5250180"/>
            <wp:effectExtent l="0" t="0" r="0"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77385" cy="5250180"/>
                    </a:xfrm>
                    <a:prstGeom prst="rect">
                      <a:avLst/>
                    </a:prstGeom>
                    <a:noFill/>
                    <a:ln>
                      <a:noFill/>
                    </a:ln>
                  </pic:spPr>
                </pic:pic>
              </a:graphicData>
            </a:graphic>
          </wp:inline>
        </w:drawing>
      </w:r>
    </w:p>
    <w:p w14:paraId="2BA87C00" w14:textId="77777777" w:rsidR="00DB4407" w:rsidRPr="00292532" w:rsidRDefault="00DB4407" w:rsidP="00792E14">
      <w:pPr>
        <w:rPr>
          <w:lang w:val="pt-PT"/>
        </w:rPr>
      </w:pPr>
      <w:r w:rsidRPr="00292532">
        <w:rPr>
          <w:lang w:val="pt-PT"/>
        </w:rPr>
        <w:t xml:space="preserve">Dados do MISAU realçam que no final de 2019, o Serviço Nacional de Saúde contava com um total de 21.651 camas hospitalares, contra 22.369 em 2018, correspondente a uma redução de 3.2%. Do total de camas, 9.042 (41.8%) são de maternidade. O rácio camas de maternidade por 1.000 MIF decresceu de 1,37 em 2018 para 1,29 em 2019. O rácio do Total de Camas/1.000 Habitantes também decresceu de 0.80 em 2018 para 0.74 em 2019. </w:t>
      </w:r>
    </w:p>
    <w:p w14:paraId="79A9D294" w14:textId="522B9776" w:rsidR="00DB4407" w:rsidRPr="00292532" w:rsidRDefault="00DB4407" w:rsidP="00792E14">
      <w:pPr>
        <w:rPr>
          <w:lang w:val="pt-PT"/>
        </w:rPr>
      </w:pPr>
      <w:r w:rsidRPr="00292532">
        <w:rPr>
          <w:lang w:val="pt-PT"/>
        </w:rPr>
        <w:t>Em 2019, segundo o MISAU o nº de Médicos cresceu cerca de 14.8%, passando de 2.225 em 2018, para 2.556 em 2019. Do total de Médicos em 2019, 99% são nacionais (2.108) e 1% estrangeiros (448). De uma forma geral o rácio de Médicos e Enfermeiros/1.000 Habitantes mostram uma ligeira melhoria em 2019, comparado com os registados em 2018, enquanto o rácio de Técnicos de Saúde/1.000 Habitantes e o de ESMI/1.000 MIF tiveram um ligeiro agravamento no mesmo período.</w:t>
      </w:r>
      <w:r w:rsidR="00792E14" w:rsidRPr="00292532">
        <w:rPr>
          <w:lang w:val="pt-PT"/>
        </w:rPr>
        <w:t xml:space="preserve"> Estes dados estão apresentados na </w:t>
      </w:r>
      <w:r w:rsidR="00792E14" w:rsidRPr="00292532">
        <w:rPr>
          <w:b/>
          <w:bCs/>
          <w:lang w:val="pt-PT"/>
        </w:rPr>
        <w:fldChar w:fldCharType="begin"/>
      </w:r>
      <w:r w:rsidR="00792E14" w:rsidRPr="00292532">
        <w:rPr>
          <w:b/>
          <w:bCs/>
          <w:lang w:val="pt-PT"/>
        </w:rPr>
        <w:instrText xml:space="preserve"> REF _Ref72954690 \h  \* MERGEFORMAT </w:instrText>
      </w:r>
      <w:r w:rsidR="00792E14" w:rsidRPr="00292532">
        <w:rPr>
          <w:b/>
          <w:bCs/>
          <w:lang w:val="pt-PT"/>
        </w:rPr>
      </w:r>
      <w:r w:rsidR="00792E14" w:rsidRPr="00292532">
        <w:rPr>
          <w:b/>
          <w:bCs/>
          <w:lang w:val="pt-PT"/>
        </w:rPr>
        <w:fldChar w:fldCharType="separate"/>
      </w:r>
      <w:r w:rsidR="000D7B05" w:rsidRPr="004500AE">
        <w:rPr>
          <w:b/>
          <w:bCs/>
          <w:lang w:val="pt-PT"/>
        </w:rPr>
        <w:t xml:space="preserve">Tabela </w:t>
      </w:r>
      <w:r w:rsidR="000D7B05" w:rsidRPr="004500AE">
        <w:rPr>
          <w:b/>
          <w:bCs/>
          <w:noProof/>
          <w:lang w:val="pt-PT"/>
        </w:rPr>
        <w:t>13</w:t>
      </w:r>
      <w:r w:rsidR="00792E14" w:rsidRPr="00292532">
        <w:rPr>
          <w:b/>
          <w:bCs/>
          <w:lang w:val="pt-PT"/>
        </w:rPr>
        <w:fldChar w:fldCharType="end"/>
      </w:r>
      <w:r w:rsidR="00792E14" w:rsidRPr="00292532">
        <w:rPr>
          <w:lang w:val="pt-PT"/>
        </w:rPr>
        <w:t>.</w:t>
      </w:r>
    </w:p>
    <w:p w14:paraId="03007C05" w14:textId="13E236C2" w:rsidR="00DB4407" w:rsidRPr="00292532" w:rsidRDefault="00792E14" w:rsidP="00792E14">
      <w:pPr>
        <w:pStyle w:val="Caption"/>
        <w:keepNext/>
        <w:rPr>
          <w:rFonts w:asciiTheme="minorHAnsi" w:hAnsiTheme="minorHAnsi"/>
          <w:sz w:val="22"/>
          <w:szCs w:val="22"/>
        </w:rPr>
      </w:pPr>
      <w:bookmarkStart w:id="159" w:name="_Ref72954690"/>
      <w:bookmarkStart w:id="160" w:name="_Toc75438154"/>
      <w:bookmarkStart w:id="161" w:name="_Toc80380260"/>
      <w:r w:rsidRPr="00292532">
        <w:lastRenderedPageBreak/>
        <w:t xml:space="preserve">Tabela </w:t>
      </w:r>
      <w:r w:rsidRPr="00292532">
        <w:fldChar w:fldCharType="begin"/>
      </w:r>
      <w:r w:rsidRPr="00292532">
        <w:instrText xml:space="preserve"> SEQ Tabela \* ARABIC </w:instrText>
      </w:r>
      <w:r w:rsidRPr="00292532">
        <w:fldChar w:fldCharType="separate"/>
      </w:r>
      <w:r w:rsidR="000D7B05">
        <w:rPr>
          <w:noProof/>
        </w:rPr>
        <w:t>13</w:t>
      </w:r>
      <w:r w:rsidRPr="00292532">
        <w:fldChar w:fldCharType="end"/>
      </w:r>
      <w:bookmarkEnd w:id="159"/>
      <w:r w:rsidRPr="00292532">
        <w:t xml:space="preserve">: </w:t>
      </w:r>
      <w:r w:rsidR="00DB4407" w:rsidRPr="00292532">
        <w:t>Rácio recursos humanos do SNS/ província (MISAU, 2019)</w:t>
      </w:r>
      <w:bookmarkEnd w:id="160"/>
      <w:bookmarkEnd w:id="161"/>
    </w:p>
    <w:p w14:paraId="44A26FDB" w14:textId="422F2F1E" w:rsidR="00DB4407" w:rsidRPr="00292532" w:rsidRDefault="00DB4407" w:rsidP="00DB4407">
      <w:pPr>
        <w:tabs>
          <w:tab w:val="left" w:pos="602"/>
        </w:tabs>
        <w:spacing w:before="0" w:after="100" w:afterAutospacing="1" w:line="360" w:lineRule="auto"/>
        <w:jc w:val="center"/>
        <w:rPr>
          <w:rFonts w:asciiTheme="minorHAnsi" w:hAnsiTheme="minorHAnsi" w:cstheme="minorHAnsi"/>
          <w:lang w:val="pt-PT"/>
        </w:rPr>
      </w:pPr>
      <w:r w:rsidRPr="00292532">
        <w:rPr>
          <w:rFonts w:asciiTheme="minorHAnsi" w:hAnsiTheme="minorHAnsi" w:cstheme="minorHAnsi"/>
          <w:noProof/>
          <w:lang w:val="en-US"/>
        </w:rPr>
        <w:drawing>
          <wp:inline distT="0" distB="0" distL="0" distR="0" wp14:anchorId="533E1AF1" wp14:editId="109C644C">
            <wp:extent cx="5013325" cy="509206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13325" cy="5092065"/>
                    </a:xfrm>
                    <a:prstGeom prst="rect">
                      <a:avLst/>
                    </a:prstGeom>
                    <a:noFill/>
                    <a:ln>
                      <a:noFill/>
                    </a:ln>
                  </pic:spPr>
                </pic:pic>
              </a:graphicData>
            </a:graphic>
          </wp:inline>
        </w:drawing>
      </w:r>
    </w:p>
    <w:p w14:paraId="26AA0C90" w14:textId="77777777" w:rsidR="00DB4407" w:rsidRPr="00292532" w:rsidRDefault="00DB4407" w:rsidP="00792E14">
      <w:pPr>
        <w:rPr>
          <w:lang w:val="pt-PT"/>
        </w:rPr>
      </w:pPr>
      <w:r w:rsidRPr="00292532">
        <w:rPr>
          <w:lang w:val="pt-PT"/>
        </w:rPr>
        <w:t>Relativamente aos Técnicos de saúde por província, as províncias de Zambézia e Nampula continuam em destaque tendo sido registado uma ligeira diminuição na província da Zambézia entre 2018 e 2019.</w:t>
      </w:r>
    </w:p>
    <w:p w14:paraId="64B0BF49" w14:textId="420FF1FA" w:rsidR="00DB4407" w:rsidRDefault="0046523E" w:rsidP="0046523E">
      <w:pPr>
        <w:pStyle w:val="Heading4"/>
      </w:pPr>
      <w:r>
        <w:t xml:space="preserve">Nutrição e segurança alimentar </w:t>
      </w:r>
    </w:p>
    <w:p w14:paraId="588DFA31" w14:textId="77777777" w:rsidR="0046523E" w:rsidRPr="00941934" w:rsidRDefault="0046523E" w:rsidP="0046523E">
      <w:pPr>
        <w:rPr>
          <w:lang w:val="pt-PT"/>
        </w:rPr>
      </w:pPr>
      <w:r w:rsidRPr="00941934">
        <w:rPr>
          <w:lang w:val="pt-PT"/>
        </w:rPr>
        <w:t xml:space="preserve">Devido aos altos níveis de pobreza no país, estima-se que pelo menos 43% das crianças menores de cinco anos sofram de baixa estatura, uma medida de desnutrição crónica e 6% sofrem de debilidade, uma medida de desnutrição aguda. Crianças com desnutrição enfrentam redução da capacidade cognitiva, o que leva a um mau desempenho escolar e baixa produtividade económica ao longo de suas vidas. O acesso limitado a alimentos nutritivos, a falta de conhecimento adequado e a falta de diversidade na produção de alimentos é a principal causa da desnutrição no país. A desnutrição crónica, de acordo com a evidência global e nacional, restringe o desenvolvimento económico de Moçambique, prejudicando o seu potencial humano e limitando uma maior produtividade. Em 2011, o IDS estimou em 43% a prevalência de subnutrição crónica, contra 48% do IDS de 2003, ou seja, apenas uma redução de 5 pontos percentuais em 8 anos (MISAU, INE e 2013). A províncias Nampula, em particular, apresenta as taxas mais elevadas do país (&gt; 50%), enquanto as taxas da Zambézia, em particular, ocupam </w:t>
      </w:r>
      <w:r w:rsidRPr="00941934">
        <w:rPr>
          <w:lang w:val="pt-PT"/>
        </w:rPr>
        <w:lastRenderedPageBreak/>
        <w:t xml:space="preserve">posições intermédias, (&gt;45%). A prevalência, segundo dados da Unicef (2017) varia entre 50% na província de Nampula, 41% na Zambézia. Nessas províncias perto de 500 mil agregados </w:t>
      </w:r>
      <w:proofErr w:type="spellStart"/>
      <w:r w:rsidRPr="00941934">
        <w:rPr>
          <w:lang w:val="pt-PT"/>
        </w:rPr>
        <w:t>familiars</w:t>
      </w:r>
      <w:proofErr w:type="spellEnd"/>
      <w:r w:rsidRPr="00941934">
        <w:rPr>
          <w:lang w:val="pt-PT"/>
        </w:rPr>
        <w:t xml:space="preserve"> serão abrangidos por um </w:t>
      </w:r>
      <w:proofErr w:type="spellStart"/>
      <w:r w:rsidRPr="00941934">
        <w:rPr>
          <w:lang w:val="pt-PT"/>
        </w:rPr>
        <w:t>projecto</w:t>
      </w:r>
      <w:proofErr w:type="spellEnd"/>
      <w:r w:rsidRPr="00941934">
        <w:rPr>
          <w:lang w:val="pt-PT"/>
        </w:rPr>
        <w:t xml:space="preserve"> de disseminação de variedades de batata-doce por forma a melhorar a nutrição, segurança alimentar e renda das famílias, com destaque para crianças menores de cinco anos de idade, mulheres grávidas e lactantes, através do aumento da produção e melhor utilização de variedades nutritivas da batata-doce de polpa alaranjada SETSAN (2021). Além de outros </w:t>
      </w:r>
      <w:proofErr w:type="spellStart"/>
      <w:r w:rsidRPr="00941934">
        <w:rPr>
          <w:lang w:val="pt-PT"/>
        </w:rPr>
        <w:t>factores</w:t>
      </w:r>
      <w:proofErr w:type="spellEnd"/>
      <w:r w:rsidRPr="00941934">
        <w:rPr>
          <w:lang w:val="pt-PT"/>
        </w:rPr>
        <w:t xml:space="preserve">, a </w:t>
      </w:r>
      <w:proofErr w:type="spellStart"/>
      <w:r w:rsidRPr="00941934">
        <w:rPr>
          <w:lang w:val="pt-PT"/>
        </w:rPr>
        <w:t>infra-estrutura</w:t>
      </w:r>
      <w:proofErr w:type="spellEnd"/>
      <w:r w:rsidRPr="00941934">
        <w:rPr>
          <w:lang w:val="pt-PT"/>
        </w:rPr>
        <w:t xml:space="preserve"> económica também joga um papel chave na situação de segurança alimentar, particularmente as relacionadas com irrigação, transportes e </w:t>
      </w:r>
      <w:proofErr w:type="spellStart"/>
      <w:r w:rsidRPr="00941934">
        <w:rPr>
          <w:lang w:val="pt-PT"/>
        </w:rPr>
        <w:t>electricidade</w:t>
      </w:r>
      <w:proofErr w:type="spellEnd"/>
      <w:r w:rsidRPr="00941934">
        <w:rPr>
          <w:lang w:val="pt-PT"/>
        </w:rPr>
        <w:t xml:space="preserve">. As </w:t>
      </w:r>
      <w:proofErr w:type="spellStart"/>
      <w:r w:rsidRPr="00941934">
        <w:rPr>
          <w:lang w:val="pt-PT"/>
        </w:rPr>
        <w:t>infra-estruturas</w:t>
      </w:r>
      <w:proofErr w:type="spellEnd"/>
      <w:r w:rsidRPr="00941934">
        <w:rPr>
          <w:lang w:val="pt-PT"/>
        </w:rPr>
        <w:t xml:space="preserve"> de irrigação têm cobertura limitada e concentram-se, para além das províncias nas províncias de Gaza, Tete e Manica, na província da Zambézia (ORAM, 2010).</w:t>
      </w:r>
    </w:p>
    <w:p w14:paraId="59C3FDCB" w14:textId="77777777" w:rsidR="0046523E" w:rsidRPr="00941934" w:rsidRDefault="0046523E" w:rsidP="0046523E">
      <w:pPr>
        <w:rPr>
          <w:lang w:val="pt-PT"/>
        </w:rPr>
      </w:pPr>
    </w:p>
    <w:p w14:paraId="4EEC4656" w14:textId="77777777" w:rsidR="0046523E" w:rsidRPr="00941934" w:rsidRDefault="0046523E" w:rsidP="0046523E">
      <w:pPr>
        <w:rPr>
          <w:b/>
          <w:i/>
          <w:lang w:val="pt-PT"/>
        </w:rPr>
      </w:pPr>
      <w:r w:rsidRPr="00941934">
        <w:rPr>
          <w:b/>
          <w:i/>
          <w:lang w:val="pt-PT"/>
        </w:rPr>
        <w:t xml:space="preserve">5.2.6 2. Prevalência da Malária e da Anemia </w:t>
      </w:r>
    </w:p>
    <w:p w14:paraId="5953392B" w14:textId="77777777" w:rsidR="0046523E" w:rsidRPr="007C5244" w:rsidRDefault="0046523E" w:rsidP="0046523E">
      <w:pPr>
        <w:rPr>
          <w:lang w:val="pt-PT"/>
        </w:rPr>
      </w:pPr>
      <w:r w:rsidRPr="00941934">
        <w:rPr>
          <w:lang w:val="pt-PT"/>
        </w:rPr>
        <w:t xml:space="preserve">A malária é a principal causa de problemas de saúde, sendo responsável por 40% de todas as consultas externas. Até 60% de doentes internados nas enfermarias de pediatria são admitidos como resultado da malária severa. A malária é também a principal causa de mortalidade nos hospitais. Quase 30% de todos os óbitos registados são por causa desta doença. A estimativa de prevalência no grupo etário de 2 a 9 anos de idade vária de 40% </w:t>
      </w:r>
      <w:proofErr w:type="gramStart"/>
      <w:r w:rsidRPr="00941934">
        <w:rPr>
          <w:lang w:val="pt-PT"/>
        </w:rPr>
        <w:t>à</w:t>
      </w:r>
      <w:proofErr w:type="gramEnd"/>
      <w:r w:rsidRPr="00941934">
        <w:rPr>
          <w:lang w:val="pt-PT"/>
        </w:rPr>
        <w:t xml:space="preserve"> 80%, e 90% em crianças menores de 5 anos de idade são </w:t>
      </w:r>
      <w:proofErr w:type="spellStart"/>
      <w:r w:rsidRPr="00941934">
        <w:rPr>
          <w:lang w:val="pt-PT"/>
        </w:rPr>
        <w:t>infectadas</w:t>
      </w:r>
      <w:proofErr w:type="spellEnd"/>
      <w:r w:rsidRPr="00941934">
        <w:rPr>
          <w:lang w:val="pt-PT"/>
        </w:rPr>
        <w:t xml:space="preserve"> por parasitas da malária, segundo revelam algumas estimativas realizadas em algumas áreas do país. A malária é também o maior problema que </w:t>
      </w:r>
      <w:proofErr w:type="spellStart"/>
      <w:r w:rsidRPr="00941934">
        <w:rPr>
          <w:lang w:val="pt-PT"/>
        </w:rPr>
        <w:t>afecta</w:t>
      </w:r>
      <w:proofErr w:type="spellEnd"/>
      <w:r w:rsidRPr="00941934">
        <w:rPr>
          <w:lang w:val="pt-PT"/>
        </w:rPr>
        <w:t xml:space="preserve"> mulheres grávidas nas zonas rurais. Aproximadamente 20% das mulheres grávidas estão </w:t>
      </w:r>
      <w:proofErr w:type="spellStart"/>
      <w:r w:rsidRPr="00941934">
        <w:rPr>
          <w:lang w:val="pt-PT"/>
        </w:rPr>
        <w:t>infectadas</w:t>
      </w:r>
      <w:proofErr w:type="spellEnd"/>
      <w:r w:rsidRPr="00941934">
        <w:rPr>
          <w:lang w:val="pt-PT"/>
        </w:rPr>
        <w:t xml:space="preserve"> pelo parasita, sendo as </w:t>
      </w:r>
      <w:proofErr w:type="spellStart"/>
      <w:r w:rsidRPr="00941934">
        <w:rPr>
          <w:lang w:val="pt-PT"/>
        </w:rPr>
        <w:t>primigrávidas</w:t>
      </w:r>
      <w:proofErr w:type="spellEnd"/>
      <w:r w:rsidRPr="00941934">
        <w:rPr>
          <w:lang w:val="pt-PT"/>
        </w:rPr>
        <w:t xml:space="preserve"> as mais </w:t>
      </w:r>
      <w:proofErr w:type="spellStart"/>
      <w:r w:rsidRPr="00941934">
        <w:rPr>
          <w:lang w:val="pt-PT"/>
        </w:rPr>
        <w:t>afectadas</w:t>
      </w:r>
      <w:proofErr w:type="spellEnd"/>
      <w:r w:rsidRPr="00941934">
        <w:rPr>
          <w:lang w:val="pt-PT"/>
        </w:rPr>
        <w:t xml:space="preserve"> com uma taxa de prevalência de 31% (MISAU, 2017). Associada a prevalência da malaria, destaca-se a anemia que contribui para o risco de morte em casos de malaria. Dados apontam que a anemia grave provoca entre 17% e 54% dos óbitos hospitalários de crianças menores de cinco anos atribuídos à malaria. No que respeita a distribuição geográfica, a malária é muito mais prevalente na região Norte do país diferentemente da zona Sul, onde as percentagens de casos positivos para malária são de 55% em Zambézia, e 42% em Nampula.</w:t>
      </w:r>
      <w:r w:rsidRPr="0046523E">
        <w:rPr>
          <w:lang w:val="pt-PT"/>
        </w:rPr>
        <w:t xml:space="preserve"> </w:t>
      </w:r>
    </w:p>
    <w:p w14:paraId="68C4FDFC" w14:textId="77777777" w:rsidR="0046523E" w:rsidRPr="00472547" w:rsidRDefault="0046523E" w:rsidP="0046523E">
      <w:pPr>
        <w:rPr>
          <w:lang w:val="pt-PT"/>
        </w:rPr>
      </w:pPr>
    </w:p>
    <w:p w14:paraId="6850A4CE" w14:textId="77777777" w:rsidR="0046523E" w:rsidRPr="00941934" w:rsidRDefault="0046523E" w:rsidP="0046523E">
      <w:pPr>
        <w:rPr>
          <w:b/>
          <w:i/>
          <w:lang w:val="pt-PT"/>
        </w:rPr>
      </w:pPr>
      <w:r w:rsidRPr="00941934">
        <w:rPr>
          <w:b/>
          <w:i/>
          <w:lang w:val="pt-PT"/>
        </w:rPr>
        <w:t>5.2.6 3. Prevalência do HIV</w:t>
      </w:r>
    </w:p>
    <w:p w14:paraId="78CF6121" w14:textId="6E03C596" w:rsidR="0046523E" w:rsidRPr="00292532" w:rsidRDefault="0046523E" w:rsidP="0046523E">
      <w:pPr>
        <w:spacing w:before="0" w:line="276" w:lineRule="auto"/>
        <w:rPr>
          <w:rFonts w:asciiTheme="minorHAnsi" w:hAnsiTheme="minorHAnsi" w:cstheme="minorHAnsi"/>
          <w:lang w:val="pt-PT"/>
        </w:rPr>
      </w:pPr>
      <w:r w:rsidRPr="00941934">
        <w:rPr>
          <w:b/>
          <w:i/>
          <w:lang w:val="pt-PT"/>
        </w:rPr>
        <w:t xml:space="preserve"> </w:t>
      </w:r>
      <w:r w:rsidRPr="00941934">
        <w:rPr>
          <w:lang w:val="pt-PT"/>
        </w:rPr>
        <w:t xml:space="preserve">A epidemia do HIV/SID continua, um dos mais destacáveis desafios de saúde pública </w:t>
      </w:r>
      <w:proofErr w:type="spellStart"/>
      <w:r w:rsidRPr="00941934">
        <w:rPr>
          <w:lang w:val="pt-PT"/>
        </w:rPr>
        <w:t>afectando</w:t>
      </w:r>
      <w:proofErr w:type="spellEnd"/>
      <w:r w:rsidRPr="00941934">
        <w:rPr>
          <w:lang w:val="pt-PT"/>
        </w:rPr>
        <w:t xml:space="preserve"> todos os segmentos da população, ainda que determinados grupos populacionais se destaquem, quer em termos de vulnerabilidade e propensão ao vírus, quer em termos de prevalência e </w:t>
      </w:r>
      <w:proofErr w:type="spellStart"/>
      <w:r w:rsidRPr="00941934">
        <w:rPr>
          <w:lang w:val="pt-PT"/>
        </w:rPr>
        <w:t>infecção</w:t>
      </w:r>
      <w:proofErr w:type="spellEnd"/>
      <w:r w:rsidRPr="00941934">
        <w:rPr>
          <w:lang w:val="pt-PT"/>
        </w:rPr>
        <w:t xml:space="preserve"> (GM, 2015). Os indivíduos, relativamente mais vulneráveis são os indivíduos na faixa etária entre os 31-40 anos de idade, residentes nas zonas urbanas. As mulheres, relativamente mais vulneráveis são as que iniciaram sua vida sexual entre os 10-14 anos de idade, sem educação e as mulheres estéreis. São menos vulneráveis as mulheres das províncias de Nampula em particular, que usam preservativo e que desejam ter filhos depois de dois anos e as que não desejam ter mais filhos. Os homens, são mais vulneráveis os que iniciaram sua vida sexual entre 15-19 anos de idade. A prevalência de HIV entre pessoas de 15-59, segundo IMASIDA (2015), aumentou entre 2009 e 2015 em </w:t>
      </w:r>
      <w:r w:rsidR="004E2EAC" w:rsidRPr="00941934">
        <w:rPr>
          <w:lang w:val="pt-PT"/>
        </w:rPr>
        <w:t>todas as províncias</w:t>
      </w:r>
      <w:r w:rsidRPr="00941934">
        <w:rPr>
          <w:lang w:val="pt-PT"/>
        </w:rPr>
        <w:t xml:space="preserve">, com particular destaque as províncias de Zambézia (12.6% para 15.1%) e Nampula (4.6% para 5.7%). Cerca de 63% de pessoas (1.081.102) </w:t>
      </w:r>
      <w:r w:rsidRPr="00941934">
        <w:rPr>
          <w:lang w:val="pt-PT"/>
        </w:rPr>
        <w:lastRenderedPageBreak/>
        <w:t xml:space="preserve">na provincial de Nampula foram aconselhadas e testadas e com igual percentagem (850.036) na província da </w:t>
      </w:r>
      <w:proofErr w:type="spellStart"/>
      <w:r w:rsidRPr="00941934">
        <w:rPr>
          <w:lang w:val="pt-PT"/>
        </w:rPr>
        <w:t>zambézia</w:t>
      </w:r>
      <w:proofErr w:type="spellEnd"/>
      <w:r w:rsidRPr="00941934">
        <w:rPr>
          <w:lang w:val="pt-PT"/>
        </w:rPr>
        <w:t xml:space="preserve"> (MISAU, 2021).</w:t>
      </w:r>
    </w:p>
    <w:p w14:paraId="6BA73E97" w14:textId="2F14AF0F" w:rsidR="00DB4407" w:rsidRPr="00292532" w:rsidRDefault="00DB4407">
      <w:pPr>
        <w:pStyle w:val="Heading3"/>
      </w:pPr>
      <w:bookmarkStart w:id="162" w:name="_Toc80379963"/>
      <w:r w:rsidRPr="00292532">
        <w:t xml:space="preserve">Principais </w:t>
      </w:r>
      <w:proofErr w:type="spellStart"/>
      <w:r w:rsidRPr="00292532">
        <w:t>actividades</w:t>
      </w:r>
      <w:proofErr w:type="spellEnd"/>
      <w:r w:rsidRPr="00292532">
        <w:t xml:space="preserve"> económicas e de subsistência no meio rural</w:t>
      </w:r>
      <w:bookmarkEnd w:id="162"/>
    </w:p>
    <w:p w14:paraId="0A19165A" w14:textId="5E149381" w:rsidR="00DB4407" w:rsidRPr="00292532" w:rsidRDefault="00DB4407" w:rsidP="005A1707">
      <w:pPr>
        <w:rPr>
          <w:lang w:val="pt-PT"/>
        </w:rPr>
      </w:pPr>
      <w:r w:rsidRPr="00292532">
        <w:rPr>
          <w:lang w:val="pt-PT"/>
        </w:rPr>
        <w:t xml:space="preserve">Tendo em conta os subcomponentes do </w:t>
      </w:r>
      <w:proofErr w:type="spellStart"/>
      <w:r w:rsidRPr="00292532">
        <w:rPr>
          <w:lang w:val="pt-PT"/>
        </w:rPr>
        <w:t>projecto</w:t>
      </w:r>
      <w:proofErr w:type="spellEnd"/>
      <w:r w:rsidRPr="00292532">
        <w:rPr>
          <w:lang w:val="pt-PT"/>
        </w:rPr>
        <w:t xml:space="preserve"> relacionados com a disponibilidade e acessibilidade </w:t>
      </w:r>
      <w:r w:rsidR="00A37ED8" w:rsidRPr="00292532">
        <w:rPr>
          <w:lang w:val="pt-PT"/>
        </w:rPr>
        <w:t>ao</w:t>
      </w:r>
      <w:r w:rsidRPr="00292532">
        <w:rPr>
          <w:lang w:val="pt-PT"/>
        </w:rPr>
        <w:t xml:space="preserve"> Abastecimento de água e saneamento básicos, várias </w:t>
      </w:r>
      <w:proofErr w:type="spellStart"/>
      <w:r w:rsidRPr="00292532">
        <w:rPr>
          <w:lang w:val="pt-PT"/>
        </w:rPr>
        <w:t>actividades</w:t>
      </w:r>
      <w:proofErr w:type="spellEnd"/>
      <w:r w:rsidRPr="00292532">
        <w:rPr>
          <w:lang w:val="pt-PT"/>
        </w:rPr>
        <w:t xml:space="preserve"> económicas se conectam a estes ao longo da área de abrangência, especificamente na região norte. Como é sabido a economia de Moçambique é maioritariamente dominada pelo sector primário, que, absorve 66,8% da População Economicamente </w:t>
      </w:r>
      <w:proofErr w:type="spellStart"/>
      <w:r w:rsidRPr="00292532">
        <w:rPr>
          <w:lang w:val="pt-PT"/>
        </w:rPr>
        <w:t>Activa</w:t>
      </w:r>
      <w:proofErr w:type="spellEnd"/>
      <w:r w:rsidRPr="00292532">
        <w:rPr>
          <w:lang w:val="pt-PT"/>
        </w:rPr>
        <w:t xml:space="preserve"> (INE, 2017). </w:t>
      </w:r>
    </w:p>
    <w:p w14:paraId="7F7B38F5" w14:textId="7AC7D020" w:rsidR="00DB4407" w:rsidRPr="00292532" w:rsidRDefault="00DB4407" w:rsidP="00792E14">
      <w:pPr>
        <w:rPr>
          <w:lang w:val="pt-PT"/>
        </w:rPr>
      </w:pPr>
      <w:bookmarkStart w:id="163" w:name="_Hlk75443007"/>
      <w:r w:rsidRPr="00292532">
        <w:rPr>
          <w:lang w:val="pt-PT"/>
        </w:rPr>
        <w:t xml:space="preserve">A agricultura é a principal </w:t>
      </w:r>
      <w:proofErr w:type="spellStart"/>
      <w:r w:rsidRPr="00292532">
        <w:rPr>
          <w:lang w:val="pt-PT"/>
        </w:rPr>
        <w:t>actividade</w:t>
      </w:r>
      <w:proofErr w:type="spellEnd"/>
      <w:r w:rsidRPr="00292532">
        <w:rPr>
          <w:lang w:val="pt-PT"/>
        </w:rPr>
        <w:t xml:space="preserve"> económica no meio rural, praticada pelo sector </w:t>
      </w:r>
      <w:r w:rsidR="005A1707" w:rsidRPr="00292532">
        <w:rPr>
          <w:lang w:val="pt-PT"/>
        </w:rPr>
        <w:t>fam</w:t>
      </w:r>
      <w:r w:rsidR="00A37ED8" w:rsidRPr="00292532">
        <w:rPr>
          <w:lang w:val="pt-PT"/>
        </w:rPr>
        <w:t>i</w:t>
      </w:r>
      <w:r w:rsidR="005A1707" w:rsidRPr="00292532">
        <w:rPr>
          <w:lang w:val="pt-PT"/>
        </w:rPr>
        <w:t>lia</w:t>
      </w:r>
      <w:r w:rsidR="00A37ED8" w:rsidRPr="00292532">
        <w:rPr>
          <w:lang w:val="pt-PT"/>
        </w:rPr>
        <w:t>r</w:t>
      </w:r>
      <w:bookmarkEnd w:id="163"/>
      <w:r w:rsidRPr="00292532">
        <w:rPr>
          <w:lang w:val="pt-PT"/>
        </w:rPr>
        <w:t xml:space="preserve">, que cultivam menos de 5 </w:t>
      </w:r>
      <w:proofErr w:type="spellStart"/>
      <w:r w:rsidRPr="00292532">
        <w:rPr>
          <w:lang w:val="pt-PT"/>
        </w:rPr>
        <w:t>ha</w:t>
      </w:r>
      <w:proofErr w:type="spellEnd"/>
      <w:r w:rsidRPr="00292532">
        <w:rPr>
          <w:lang w:val="pt-PT"/>
        </w:rPr>
        <w:t xml:space="preserve"> concentrando 99% das unidades </w:t>
      </w:r>
      <w:r w:rsidR="005A1707" w:rsidRPr="00292532">
        <w:rPr>
          <w:lang w:val="pt-PT"/>
        </w:rPr>
        <w:t>agrícolas</w:t>
      </w:r>
      <w:r w:rsidRPr="00292532">
        <w:rPr>
          <w:lang w:val="pt-PT"/>
        </w:rPr>
        <w:t xml:space="preserve">, segundo dados do II Censo </w:t>
      </w:r>
      <w:r w:rsidR="0005701F" w:rsidRPr="00292532">
        <w:rPr>
          <w:lang w:val="pt-PT"/>
        </w:rPr>
        <w:t>Agropecuário</w:t>
      </w:r>
      <w:r w:rsidRPr="00292532">
        <w:rPr>
          <w:lang w:val="pt-PT"/>
        </w:rPr>
        <w:t xml:space="preserve">. O sector familiar recorre a técnicas agrícolas rudimentares e não tem acesso a tecnologias modernas. O nível de utilização de insumos agrícolas (p.e. fertilizantes) é insignificante. A </w:t>
      </w:r>
      <w:proofErr w:type="spellStart"/>
      <w:r w:rsidRPr="00292532">
        <w:rPr>
          <w:lang w:val="pt-PT"/>
        </w:rPr>
        <w:t>actividade</w:t>
      </w:r>
      <w:proofErr w:type="spellEnd"/>
      <w:r w:rsidRPr="00292532">
        <w:rPr>
          <w:lang w:val="pt-PT"/>
        </w:rPr>
        <w:t xml:space="preserve"> é primariamente orientada para a subsistência e é altamente vulnerável às mudanças climáticas (estiagens, cheias e ciclones). Os empreendimentos agrícolas de grande escala abrangem as plantações de </w:t>
      </w:r>
      <w:r w:rsidR="0005701F" w:rsidRPr="00292532">
        <w:rPr>
          <w:lang w:val="pt-PT"/>
        </w:rPr>
        <w:t>açúcar</w:t>
      </w:r>
      <w:r w:rsidRPr="00292532">
        <w:rPr>
          <w:lang w:val="pt-PT"/>
        </w:rPr>
        <w:t xml:space="preserve">, </w:t>
      </w:r>
      <w:r w:rsidR="005A1707" w:rsidRPr="00292532">
        <w:rPr>
          <w:lang w:val="pt-PT"/>
        </w:rPr>
        <w:t>t</w:t>
      </w:r>
      <w:r w:rsidRPr="00292532">
        <w:rPr>
          <w:lang w:val="pt-PT"/>
        </w:rPr>
        <w:t xml:space="preserve">abaco e algodão promovidos por grandes multinacionais ou empresas estatais. No sector familiar paralelamente enquadra-se a </w:t>
      </w:r>
      <w:proofErr w:type="spellStart"/>
      <w:r w:rsidRPr="00292532">
        <w:rPr>
          <w:lang w:val="pt-PT"/>
        </w:rPr>
        <w:t>actividade</w:t>
      </w:r>
      <w:proofErr w:type="spellEnd"/>
      <w:r w:rsidRPr="00292532">
        <w:rPr>
          <w:lang w:val="pt-PT"/>
        </w:rPr>
        <w:t xml:space="preserve"> pecuária, com predominância de criação de aves (galinhas) e de espécies de pequeno porte (gado caprino e suíno). </w:t>
      </w:r>
    </w:p>
    <w:p w14:paraId="35450D09" w14:textId="45A70CE2" w:rsidR="00DB4407" w:rsidRPr="00292532" w:rsidRDefault="00DB4407" w:rsidP="005A1707">
      <w:pPr>
        <w:rPr>
          <w:lang w:val="pt-PT"/>
        </w:rPr>
      </w:pPr>
      <w:bookmarkStart w:id="164" w:name="_Hlk75443028"/>
      <w:r w:rsidRPr="00292532">
        <w:rPr>
          <w:lang w:val="pt-PT"/>
        </w:rPr>
        <w:t xml:space="preserve">A pesca é outra </w:t>
      </w:r>
      <w:proofErr w:type="spellStart"/>
      <w:r w:rsidRPr="00292532">
        <w:rPr>
          <w:lang w:val="pt-PT"/>
        </w:rPr>
        <w:t>actividade</w:t>
      </w:r>
      <w:proofErr w:type="spellEnd"/>
      <w:r w:rsidRPr="00292532">
        <w:rPr>
          <w:lang w:val="pt-PT"/>
        </w:rPr>
        <w:t xml:space="preserve"> largamente desenvolvida na faixa costeira e igualmente praticada em águas </w:t>
      </w:r>
      <w:r w:rsidR="0005701F" w:rsidRPr="00292532">
        <w:rPr>
          <w:lang w:val="pt-PT"/>
        </w:rPr>
        <w:t>interiores</w:t>
      </w:r>
      <w:bookmarkEnd w:id="164"/>
      <w:r w:rsidRPr="00292532">
        <w:rPr>
          <w:lang w:val="pt-PT"/>
        </w:rPr>
        <w:t xml:space="preserve">. Estão também identificadas no país diversas áreas com potencial de aquacultura, o que levou ao recente desenvolvimento da Estratégia para o Desenvolvimento da Aquacultura (2020 – 2030). Ao longo da sua cadeia de valor, </w:t>
      </w:r>
      <w:proofErr w:type="spellStart"/>
      <w:r w:rsidRPr="00292532">
        <w:rPr>
          <w:lang w:val="pt-PT"/>
        </w:rPr>
        <w:t>actividades</w:t>
      </w:r>
      <w:proofErr w:type="spellEnd"/>
      <w:r w:rsidRPr="00292532">
        <w:rPr>
          <w:lang w:val="pt-PT"/>
        </w:rPr>
        <w:t xml:space="preserve"> como o construção e reparação de embarcações e de artes de pesca, o processamento artesanal de pescado (salmoura e secagem) e a comercialização de pescado fresco ou processado, que tipicamente ocorrem nos centros de pesca, constituem importantes fontes de rendimento para as comunidades costeiras.</w:t>
      </w:r>
    </w:p>
    <w:p w14:paraId="3511D9D4" w14:textId="77777777" w:rsidR="00DB4407" w:rsidRPr="00292532" w:rsidRDefault="00DB4407" w:rsidP="005A1707">
      <w:pPr>
        <w:rPr>
          <w:lang w:val="pt-PT"/>
        </w:rPr>
      </w:pPr>
      <w:r w:rsidRPr="00292532">
        <w:rPr>
          <w:lang w:val="pt-PT"/>
        </w:rPr>
        <w:t xml:space="preserve">Ainda no ramo agrário destaca-se a exploração de recursos florestais como sendo uma </w:t>
      </w:r>
      <w:proofErr w:type="spellStart"/>
      <w:r w:rsidRPr="00292532">
        <w:rPr>
          <w:lang w:val="pt-PT"/>
        </w:rPr>
        <w:t>actividade</w:t>
      </w:r>
      <w:proofErr w:type="spellEnd"/>
      <w:r w:rsidRPr="00292532">
        <w:rPr>
          <w:lang w:val="pt-PT"/>
        </w:rPr>
        <w:t xml:space="preserve"> fortemente desenvolvida nas zonas rurais do centro e norte do país. Estes recursos são a alternativa para suprir necessidades das famílias rurais que não têm acesso à gama variada de produtos e serviços modernos disponíveis nos mercados das zonas urbanas. Recursos como produção e venda de carvão vegetal, a produção e venda de mel e de cestos e esteiras, a </w:t>
      </w:r>
      <w:proofErr w:type="spellStart"/>
      <w:r w:rsidRPr="00292532">
        <w:rPr>
          <w:lang w:val="pt-PT"/>
        </w:rPr>
        <w:t>extracção</w:t>
      </w:r>
      <w:proofErr w:type="spellEnd"/>
      <w:r w:rsidRPr="00292532">
        <w:rPr>
          <w:lang w:val="pt-PT"/>
        </w:rPr>
        <w:t xml:space="preserve"> de madeira para a produção de mobiliário, artesanato, portas e janelas, constituem também uma fonte de rendimento, especialmente para as famílias que estão próximas dos corredores de transporte.</w:t>
      </w:r>
    </w:p>
    <w:p w14:paraId="08DE5F67" w14:textId="77777777" w:rsidR="00DB4407" w:rsidRPr="00292532" w:rsidRDefault="00DB4407" w:rsidP="005A1707">
      <w:pPr>
        <w:rPr>
          <w:lang w:val="pt-PT"/>
        </w:rPr>
      </w:pPr>
      <w:r w:rsidRPr="00292532">
        <w:rPr>
          <w:lang w:val="pt-PT"/>
        </w:rPr>
        <w:t xml:space="preserve">No sector industrial, destacam-se as micro e pequenas indústrias que constituem também fontes de rendimento complementares para o sector familiar, e muitas destas estão associadas à exploração de recursos florestais, à pesca e à agricultura nomeadamente: carpintaria, a latoaria, a produção de tijolo queimado, o artesanato (produção de cestos, esteiras e olaria), o processamento de pescado, a panificação, o processamento de castanha de caju (descasque), a moagem de cereais e o fabrico de bebidas alcoólicas tradicionais. No meio rural, conforme referido, o comércio é essencialmente informal e praticado em micro e/ou pequena escala, desenvolvida maioritariamente por jovens, com idades compreendidas entre os 15 e 24 anos (24,4%) e jovens na faixa etária dos 25 aos 35 anos (26,1%). Juntos estes representam cerca de metade dos trabalhadores informais (50,5%). De notar que 6,5% dos trabalhadores informais têm idades compreendidas entre os 7 e 14 anos. Isto é um </w:t>
      </w:r>
      <w:proofErr w:type="spellStart"/>
      <w:r w:rsidRPr="00292532">
        <w:rPr>
          <w:lang w:val="pt-PT"/>
        </w:rPr>
        <w:t>aspecto</w:t>
      </w:r>
      <w:proofErr w:type="spellEnd"/>
      <w:r w:rsidRPr="00292532">
        <w:rPr>
          <w:lang w:val="pt-PT"/>
        </w:rPr>
        <w:t xml:space="preserve"> preocupante para o </w:t>
      </w:r>
      <w:r w:rsidRPr="00292532">
        <w:rPr>
          <w:lang w:val="pt-PT"/>
        </w:rPr>
        <w:lastRenderedPageBreak/>
        <w:t>desenvolvimento social e humano, e que contribui para perpetuar problemas associados com a pobreza e vulnerabilidades (PES, 2021).</w:t>
      </w:r>
    </w:p>
    <w:p w14:paraId="14897B11" w14:textId="072EA4D7" w:rsidR="00792E14" w:rsidRPr="00292532" w:rsidRDefault="00792E14" w:rsidP="003D1836">
      <w:pPr>
        <w:pStyle w:val="Caption"/>
      </w:pPr>
      <w:r w:rsidRPr="00292532">
        <w:br w:type="page"/>
      </w:r>
    </w:p>
    <w:p w14:paraId="48C45914" w14:textId="0098F8E5" w:rsidR="009F5F15" w:rsidRPr="00292532" w:rsidRDefault="00507213" w:rsidP="00597627">
      <w:pPr>
        <w:pStyle w:val="Heading1"/>
        <w:rPr>
          <w:lang w:val="pt-PT"/>
        </w:rPr>
      </w:pPr>
      <w:bookmarkStart w:id="165" w:name="_Toc80379964"/>
      <w:r w:rsidRPr="00292532">
        <w:rPr>
          <w:lang w:val="pt-PT"/>
        </w:rPr>
        <w:lastRenderedPageBreak/>
        <w:t>Avaliação de Riscos e Impactos Ambientais e Sociais</w:t>
      </w:r>
      <w:bookmarkEnd w:id="165"/>
    </w:p>
    <w:p w14:paraId="6D61CCE2" w14:textId="6D5E5BE9" w:rsidR="005C4F68" w:rsidRPr="00292532" w:rsidRDefault="005C4F68" w:rsidP="005C4F68">
      <w:pPr>
        <w:rPr>
          <w:lang w:val="pt-PT"/>
        </w:rPr>
      </w:pPr>
      <w:r w:rsidRPr="00292532">
        <w:rPr>
          <w:lang w:val="pt-PT"/>
        </w:rPr>
        <w:t xml:space="preserve">Quadro </w:t>
      </w:r>
      <w:r w:rsidR="00365FBE" w:rsidRPr="00292532">
        <w:rPr>
          <w:lang w:val="pt-PT"/>
        </w:rPr>
        <w:t xml:space="preserve">de Gestão </w:t>
      </w:r>
      <w:r w:rsidRPr="00292532">
        <w:rPr>
          <w:lang w:val="pt-PT"/>
        </w:rPr>
        <w:t xml:space="preserve">Ambiental e Social do Banco Mundial estabelece a necessidade da avaliação prévia dos riscos e impactos socioambientais dos </w:t>
      </w:r>
      <w:proofErr w:type="spellStart"/>
      <w:r w:rsidR="008C3A00" w:rsidRPr="00292532">
        <w:rPr>
          <w:lang w:val="pt-PT"/>
        </w:rPr>
        <w:t>projecto</w:t>
      </w:r>
      <w:r w:rsidRPr="00292532">
        <w:rPr>
          <w:lang w:val="pt-PT"/>
        </w:rPr>
        <w:t>s</w:t>
      </w:r>
      <w:proofErr w:type="spellEnd"/>
      <w:r w:rsidRPr="00292532">
        <w:rPr>
          <w:lang w:val="pt-PT"/>
        </w:rPr>
        <w:t xml:space="preserve"> financiados pelo banco e seus Intermediários Financeiros, com diretrizes para essa avaliação sendo apresentadas na Norma Ambiental e Social 1 (NAS1).</w:t>
      </w:r>
    </w:p>
    <w:p w14:paraId="3527C57C" w14:textId="04FD7283" w:rsidR="00507213" w:rsidRPr="00292532" w:rsidRDefault="005C4F68" w:rsidP="005C4F68">
      <w:pPr>
        <w:rPr>
          <w:lang w:val="pt-PT"/>
        </w:rPr>
      </w:pPr>
      <w:r w:rsidRPr="00292532">
        <w:rPr>
          <w:lang w:val="pt-PT"/>
        </w:rPr>
        <w:t xml:space="preserve">A NAS1 define as responsabilidades do Mutuário no que diz respeito à avaliação, gestão e monitoramento de riscos e impactos socioambientais associados a cada fase de um </w:t>
      </w:r>
      <w:proofErr w:type="spellStart"/>
      <w:r w:rsidR="008C3A00" w:rsidRPr="00292532">
        <w:rPr>
          <w:lang w:val="pt-PT"/>
        </w:rPr>
        <w:t>projecto</w:t>
      </w:r>
      <w:proofErr w:type="spellEnd"/>
      <w:r w:rsidRPr="00292532">
        <w:rPr>
          <w:lang w:val="pt-PT"/>
        </w:rPr>
        <w:t xml:space="preserve"> apoiado pelo Banco por meio do Financiamento de </w:t>
      </w:r>
      <w:proofErr w:type="spellStart"/>
      <w:r w:rsidR="008C3A00" w:rsidRPr="00292532">
        <w:rPr>
          <w:lang w:val="pt-PT"/>
        </w:rPr>
        <w:t>Projecto</w:t>
      </w:r>
      <w:r w:rsidRPr="00292532">
        <w:rPr>
          <w:lang w:val="pt-PT"/>
        </w:rPr>
        <w:t>s</w:t>
      </w:r>
      <w:proofErr w:type="spellEnd"/>
      <w:r w:rsidRPr="00292532">
        <w:rPr>
          <w:lang w:val="pt-PT"/>
        </w:rPr>
        <w:t xml:space="preserve"> de Investimento para a consecução de resultados ambientais e sociais consistentes com as Normas Ambientais e Sociais (NAS).</w:t>
      </w:r>
    </w:p>
    <w:p w14:paraId="040FD06A" w14:textId="77777777" w:rsidR="00877F20" w:rsidRPr="00292532" w:rsidRDefault="00877F20" w:rsidP="00877F20">
      <w:pPr>
        <w:rPr>
          <w:lang w:val="pt-PT"/>
        </w:rPr>
      </w:pPr>
      <w:r w:rsidRPr="00292532">
        <w:rPr>
          <w:lang w:val="pt-PT"/>
        </w:rPr>
        <w:t xml:space="preserve">Neste sentido, </w:t>
      </w:r>
      <w:bookmarkStart w:id="166" w:name="_Hlk75443053"/>
      <w:r w:rsidRPr="00292532">
        <w:rPr>
          <w:lang w:val="pt-PT"/>
        </w:rPr>
        <w:t xml:space="preserve">o presente QGAS fornece uma avaliação preliminar de riscos e impactos socioambientais considerando o âmbito geral do </w:t>
      </w:r>
      <w:proofErr w:type="spellStart"/>
      <w:r w:rsidRPr="00292532">
        <w:rPr>
          <w:lang w:val="pt-PT"/>
        </w:rPr>
        <w:t>Projecto</w:t>
      </w:r>
      <w:bookmarkEnd w:id="166"/>
      <w:proofErr w:type="spellEnd"/>
      <w:r w:rsidRPr="00292532">
        <w:rPr>
          <w:lang w:val="pt-PT"/>
        </w:rPr>
        <w:t>, oferecendo deste modo elementos conceituais para uma avaliação preliminar do grau de risco dos subprojectos a serem definidos, critérios para tomada de decisão sobre o financiamento, e medidas ambientais necessárias como resposta aos riscos e impactos.</w:t>
      </w:r>
    </w:p>
    <w:p w14:paraId="0CE43F77" w14:textId="0A1EC0CB" w:rsidR="00877F20" w:rsidRPr="00292532" w:rsidRDefault="00877F20" w:rsidP="00877F20">
      <w:pPr>
        <w:rPr>
          <w:lang w:val="pt-PT"/>
        </w:rPr>
      </w:pPr>
      <w:r w:rsidRPr="00292532">
        <w:rPr>
          <w:lang w:val="pt-PT"/>
        </w:rPr>
        <w:t xml:space="preserve">É importante esclarecer que </w:t>
      </w:r>
      <w:r w:rsidR="00A37ED8" w:rsidRPr="00292532">
        <w:rPr>
          <w:lang w:val="pt-PT"/>
        </w:rPr>
        <w:t xml:space="preserve">a </w:t>
      </w:r>
      <w:r w:rsidRPr="00292532">
        <w:rPr>
          <w:lang w:val="pt-PT"/>
        </w:rPr>
        <w:t xml:space="preserve">avaliação realizada nesta etapa possui característica de análise prévia, considerando os potenciais de geração de riscos e impactos do </w:t>
      </w:r>
      <w:proofErr w:type="spellStart"/>
      <w:r w:rsidRPr="00292532">
        <w:rPr>
          <w:lang w:val="pt-PT"/>
        </w:rPr>
        <w:t>Projecto</w:t>
      </w:r>
      <w:proofErr w:type="spellEnd"/>
      <w:r w:rsidRPr="00292532">
        <w:rPr>
          <w:lang w:val="pt-PT"/>
        </w:rPr>
        <w:t xml:space="preserve"> numa </w:t>
      </w:r>
      <w:proofErr w:type="spellStart"/>
      <w:r w:rsidRPr="00292532">
        <w:rPr>
          <w:lang w:val="pt-PT"/>
        </w:rPr>
        <w:t>perspectiva</w:t>
      </w:r>
      <w:proofErr w:type="spellEnd"/>
      <w:r w:rsidRPr="00292532">
        <w:rPr>
          <w:lang w:val="pt-PT"/>
        </w:rPr>
        <w:t xml:space="preserve"> global, apontando-se os riscos e impactos com base na literatura e </w:t>
      </w:r>
      <w:proofErr w:type="spellStart"/>
      <w:r w:rsidRPr="00292532">
        <w:rPr>
          <w:i/>
          <w:iCs/>
          <w:lang w:val="pt-PT"/>
        </w:rPr>
        <w:t>benchmark</w:t>
      </w:r>
      <w:proofErr w:type="spellEnd"/>
      <w:r w:rsidRPr="00292532">
        <w:rPr>
          <w:lang w:val="pt-PT"/>
        </w:rPr>
        <w:t xml:space="preserve"> com </w:t>
      </w:r>
      <w:proofErr w:type="spellStart"/>
      <w:r w:rsidR="008C3A00" w:rsidRPr="00292532">
        <w:rPr>
          <w:lang w:val="pt-PT"/>
        </w:rPr>
        <w:t>projecto</w:t>
      </w:r>
      <w:r w:rsidRPr="00292532">
        <w:rPr>
          <w:lang w:val="pt-PT"/>
        </w:rPr>
        <w:t>s</w:t>
      </w:r>
      <w:proofErr w:type="spellEnd"/>
      <w:r w:rsidRPr="00292532">
        <w:rPr>
          <w:lang w:val="pt-PT"/>
        </w:rPr>
        <w:t xml:space="preserve"> com âmbitos similares. </w:t>
      </w:r>
    </w:p>
    <w:p w14:paraId="7A92D044" w14:textId="1A8FFD16" w:rsidR="00877F20" w:rsidRPr="00292532" w:rsidRDefault="00877F20" w:rsidP="00877F20">
      <w:pPr>
        <w:rPr>
          <w:lang w:val="pt-PT"/>
        </w:rPr>
      </w:pPr>
      <w:r w:rsidRPr="00292532">
        <w:rPr>
          <w:lang w:val="pt-PT"/>
        </w:rPr>
        <w:t xml:space="preserve">Para a etapa de </w:t>
      </w:r>
      <w:proofErr w:type="spellStart"/>
      <w:r w:rsidRPr="00292532">
        <w:rPr>
          <w:lang w:val="pt-PT"/>
        </w:rPr>
        <w:t>sele</w:t>
      </w:r>
      <w:r w:rsidR="006B70CD" w:rsidRPr="00292532">
        <w:rPr>
          <w:lang w:val="pt-PT"/>
        </w:rPr>
        <w:t>c</w:t>
      </w:r>
      <w:r w:rsidRPr="00292532">
        <w:rPr>
          <w:lang w:val="pt-PT"/>
        </w:rPr>
        <w:t>ção</w:t>
      </w:r>
      <w:proofErr w:type="spellEnd"/>
      <w:r w:rsidRPr="00292532">
        <w:rPr>
          <w:lang w:val="pt-PT"/>
        </w:rPr>
        <w:t xml:space="preserve"> de </w:t>
      </w:r>
      <w:r w:rsidR="0005701F" w:rsidRPr="00292532">
        <w:rPr>
          <w:lang w:val="pt-PT"/>
        </w:rPr>
        <w:t>subprojectos</w:t>
      </w:r>
      <w:r w:rsidRPr="00292532">
        <w:rPr>
          <w:lang w:val="pt-PT"/>
        </w:rPr>
        <w:t xml:space="preserve">, uma nova avaliação de riscos e impactos deverá ser elaborada, tomando por base o contexto de inserção das </w:t>
      </w:r>
      <w:proofErr w:type="spellStart"/>
      <w:r w:rsidRPr="00292532">
        <w:rPr>
          <w:lang w:val="pt-PT"/>
        </w:rPr>
        <w:t>a</w:t>
      </w:r>
      <w:r w:rsidR="006B70CD" w:rsidRPr="00292532">
        <w:rPr>
          <w:lang w:val="pt-PT"/>
        </w:rPr>
        <w:t>c</w:t>
      </w:r>
      <w:r w:rsidRPr="00292532">
        <w:rPr>
          <w:lang w:val="pt-PT"/>
        </w:rPr>
        <w:t>tividades</w:t>
      </w:r>
      <w:proofErr w:type="spellEnd"/>
      <w:r w:rsidRPr="00292532">
        <w:rPr>
          <w:lang w:val="pt-PT"/>
        </w:rPr>
        <w:t xml:space="preserve">, adequando a análise já realizada à realidade local </w:t>
      </w:r>
      <w:r w:rsidR="0005701F" w:rsidRPr="00292532">
        <w:rPr>
          <w:lang w:val="pt-PT"/>
        </w:rPr>
        <w:t>dos subprojectos</w:t>
      </w:r>
      <w:r w:rsidRPr="00292532">
        <w:rPr>
          <w:lang w:val="pt-PT"/>
        </w:rPr>
        <w:t>.</w:t>
      </w:r>
      <w:r w:rsidR="00441818" w:rsidRPr="00292532">
        <w:rPr>
          <w:lang w:val="pt-PT"/>
        </w:rPr>
        <w:t xml:space="preserve"> Nesta fase, dado que serão disponibilizados detalhes dos subprojectos</w:t>
      </w:r>
      <w:r w:rsidR="00E737B0" w:rsidRPr="00292532">
        <w:rPr>
          <w:lang w:val="pt-PT"/>
        </w:rPr>
        <w:t xml:space="preserve">, será possível realizar </w:t>
      </w:r>
      <w:r w:rsidR="00441818" w:rsidRPr="00292532">
        <w:rPr>
          <w:lang w:val="pt-PT"/>
        </w:rPr>
        <w:t>uma avaliação mais aprofundada dos riscos e impactos ambientais e sociais com base nos critérios de avaliação de significância de impactos propostos na secção que se segue.</w:t>
      </w:r>
    </w:p>
    <w:p w14:paraId="2110B317" w14:textId="77777777" w:rsidR="00E737B0" w:rsidRPr="00292532" w:rsidRDefault="00E737B0" w:rsidP="00877F20">
      <w:pPr>
        <w:rPr>
          <w:lang w:val="pt-PT"/>
        </w:rPr>
      </w:pPr>
    </w:p>
    <w:p w14:paraId="43507B8D" w14:textId="76DC9C3C" w:rsidR="00441818" w:rsidRPr="00292532" w:rsidRDefault="00441818" w:rsidP="00441818">
      <w:pPr>
        <w:pStyle w:val="Heading2"/>
      </w:pPr>
      <w:bookmarkStart w:id="167" w:name="_Toc80379965"/>
      <w:r w:rsidRPr="00292532">
        <w:t>Metodologias de Avaliação da Significância dos Impactos</w:t>
      </w:r>
      <w:bookmarkEnd w:id="167"/>
      <w:r w:rsidRPr="00292532">
        <w:t xml:space="preserve"> </w:t>
      </w:r>
    </w:p>
    <w:p w14:paraId="619AF2CB" w14:textId="688E86DB" w:rsidR="00E737B0" w:rsidRPr="00292532" w:rsidRDefault="00E737B0" w:rsidP="00E737B0">
      <w:pPr>
        <w:rPr>
          <w:lang w:val="pt-PT" w:eastAsia="ja-JP"/>
        </w:rPr>
      </w:pPr>
      <w:r w:rsidRPr="00292532">
        <w:rPr>
          <w:lang w:val="pt-PT" w:eastAsia="ja-JP"/>
        </w:rPr>
        <w:t xml:space="preserve">A metodologia de avaliação dos impactos aqui proposta considera critérios de classificação que incidem sobre a caracterização de um impacto ambiental, a saber: o estatuto do impacto, probabilidade, extensão, duração, intensidade e significância. Estes critérios irão permitir </w:t>
      </w:r>
      <w:r w:rsidR="00201483" w:rsidRPr="00292532">
        <w:rPr>
          <w:lang w:val="pt-PT" w:eastAsia="ja-JP"/>
        </w:rPr>
        <w:t xml:space="preserve">um planeamento adequado </w:t>
      </w:r>
      <w:r w:rsidRPr="00292532">
        <w:rPr>
          <w:lang w:val="pt-PT" w:eastAsia="ja-JP"/>
        </w:rPr>
        <w:t xml:space="preserve">das </w:t>
      </w:r>
      <w:proofErr w:type="spellStart"/>
      <w:r w:rsidRPr="00292532">
        <w:rPr>
          <w:lang w:val="pt-PT" w:eastAsia="ja-JP"/>
        </w:rPr>
        <w:t>acções</w:t>
      </w:r>
      <w:proofErr w:type="spellEnd"/>
      <w:r w:rsidRPr="00292532">
        <w:rPr>
          <w:lang w:val="pt-PT" w:eastAsia="ja-JP"/>
        </w:rPr>
        <w:t xml:space="preserve"> de mitigação e de potencialização, bem como os procedimentos de monitoramento a serem </w:t>
      </w:r>
      <w:proofErr w:type="spellStart"/>
      <w:r w:rsidRPr="00292532">
        <w:rPr>
          <w:lang w:val="pt-PT" w:eastAsia="ja-JP"/>
        </w:rPr>
        <w:t>adoptados</w:t>
      </w:r>
      <w:proofErr w:type="spellEnd"/>
      <w:r w:rsidRPr="00292532">
        <w:rPr>
          <w:lang w:val="pt-PT" w:eastAsia="ja-JP"/>
        </w:rPr>
        <w:t>.</w:t>
      </w:r>
    </w:p>
    <w:p w14:paraId="1061519B" w14:textId="369B95FE" w:rsidR="00E737B0" w:rsidRPr="00292532" w:rsidRDefault="00E737B0" w:rsidP="00E737B0">
      <w:pPr>
        <w:rPr>
          <w:lang w:val="pt-PT" w:eastAsia="ja-JP"/>
        </w:rPr>
      </w:pPr>
      <w:r w:rsidRPr="00292532">
        <w:rPr>
          <w:lang w:val="pt-PT" w:eastAsia="ja-JP"/>
        </w:rPr>
        <w:t xml:space="preserve">Espera-se que os potenciais impactos ambientais e sociais negativos associados ao </w:t>
      </w:r>
      <w:proofErr w:type="spellStart"/>
      <w:r w:rsidRPr="00292532">
        <w:rPr>
          <w:lang w:val="pt-PT" w:eastAsia="ja-JP"/>
        </w:rPr>
        <w:t>Projecto</w:t>
      </w:r>
      <w:proofErr w:type="spellEnd"/>
      <w:r w:rsidRPr="00292532">
        <w:rPr>
          <w:lang w:val="pt-PT" w:eastAsia="ja-JP"/>
        </w:rPr>
        <w:t xml:space="preserve"> proposto sejam de natureza localizada e de curto prazo, e possam ser significativamente minimizados através de uma </w:t>
      </w:r>
      <w:proofErr w:type="spellStart"/>
      <w:r w:rsidRPr="00292532">
        <w:rPr>
          <w:lang w:val="pt-PT" w:eastAsia="ja-JP"/>
        </w:rPr>
        <w:t>efectiva</w:t>
      </w:r>
      <w:proofErr w:type="spellEnd"/>
      <w:r w:rsidRPr="00292532">
        <w:rPr>
          <w:lang w:val="pt-PT" w:eastAsia="ja-JP"/>
        </w:rPr>
        <w:t xml:space="preserve"> implementação das recomendações do Plano de Gestão Ambiental.  Destaca-se o papel dos empreiteiros durante a execução das obras previstas no âmbito do </w:t>
      </w:r>
      <w:proofErr w:type="spellStart"/>
      <w:r w:rsidRPr="00292532">
        <w:rPr>
          <w:lang w:val="pt-PT" w:eastAsia="ja-JP"/>
        </w:rPr>
        <w:t>Projecto</w:t>
      </w:r>
      <w:proofErr w:type="spellEnd"/>
      <w:r w:rsidRPr="00292532">
        <w:rPr>
          <w:lang w:val="pt-PT" w:eastAsia="ja-JP"/>
        </w:rPr>
        <w:t xml:space="preserve">, sendo fundamental que estes cumpram com os requisitos relevantes que constam nos estudos ambientais e dos planos de gestão a serem desenvolvidos pelos mesmos. </w:t>
      </w:r>
    </w:p>
    <w:p w14:paraId="09D5F816" w14:textId="709B0A0E" w:rsidR="007A0262" w:rsidRPr="00292532" w:rsidRDefault="007A0262" w:rsidP="00E737B0">
      <w:pPr>
        <w:rPr>
          <w:lang w:val="pt-PT" w:eastAsia="ja-JP"/>
        </w:rPr>
      </w:pPr>
    </w:p>
    <w:p w14:paraId="06DD9F6B" w14:textId="7F3987BC" w:rsidR="007A0262" w:rsidRPr="00292532" w:rsidRDefault="007A0262" w:rsidP="00E737B0">
      <w:pPr>
        <w:rPr>
          <w:lang w:val="pt-PT" w:eastAsia="ja-JP"/>
        </w:rPr>
      </w:pPr>
    </w:p>
    <w:p w14:paraId="60749A21" w14:textId="460AA1B5" w:rsidR="007A0262" w:rsidRPr="00292532" w:rsidRDefault="007A0262" w:rsidP="007A0262">
      <w:pPr>
        <w:keepNext/>
        <w:suppressAutoHyphens/>
        <w:spacing w:before="0" w:after="120"/>
        <w:rPr>
          <w:rFonts w:eastAsia="Times New Roman" w:cs="Calibri"/>
          <w:lang w:val="pt-PT" w:eastAsia="it-IT"/>
        </w:rPr>
      </w:pPr>
      <w:r w:rsidRPr="00292532">
        <w:rPr>
          <w:rFonts w:eastAsia="Times New Roman" w:cs="Calibri"/>
          <w:lang w:val="pt-PT" w:eastAsia="it-IT"/>
        </w:rPr>
        <w:lastRenderedPageBreak/>
        <w:t>A classificação dos impactos obedece os critérios apresentados na</w:t>
      </w:r>
      <w:r w:rsidR="00C31925" w:rsidRPr="00292532">
        <w:rPr>
          <w:rFonts w:eastAsia="Times New Roman" w:cs="Calibri"/>
          <w:lang w:val="pt-PT" w:eastAsia="it-IT"/>
        </w:rPr>
        <w:t xml:space="preserve"> </w:t>
      </w:r>
      <w:r w:rsidR="00C31925" w:rsidRPr="00292532">
        <w:rPr>
          <w:rFonts w:eastAsia="Times New Roman" w:cs="Calibri"/>
          <w:b/>
          <w:bCs/>
          <w:lang w:val="pt-PT" w:eastAsia="it-IT"/>
        </w:rPr>
        <w:fldChar w:fldCharType="begin"/>
      </w:r>
      <w:r w:rsidR="00C31925" w:rsidRPr="00292532">
        <w:rPr>
          <w:rFonts w:eastAsia="Times New Roman" w:cs="Calibri"/>
          <w:b/>
          <w:bCs/>
          <w:lang w:val="pt-PT" w:eastAsia="it-IT"/>
        </w:rPr>
        <w:instrText xml:space="preserve"> REF _Ref72944267 \h  \* MERGEFORMAT </w:instrText>
      </w:r>
      <w:r w:rsidR="00C31925" w:rsidRPr="00292532">
        <w:rPr>
          <w:rFonts w:eastAsia="Times New Roman" w:cs="Calibri"/>
          <w:b/>
          <w:bCs/>
          <w:lang w:val="pt-PT" w:eastAsia="it-IT"/>
        </w:rPr>
      </w:r>
      <w:r w:rsidR="00C31925" w:rsidRPr="00292532">
        <w:rPr>
          <w:rFonts w:eastAsia="Times New Roman" w:cs="Calibri"/>
          <w:b/>
          <w:bCs/>
          <w:lang w:val="pt-PT" w:eastAsia="it-IT"/>
        </w:rPr>
        <w:fldChar w:fldCharType="separate"/>
      </w:r>
      <w:r w:rsidR="000D7B05" w:rsidRPr="004500AE">
        <w:rPr>
          <w:b/>
          <w:bCs/>
          <w:lang w:val="pt-PT"/>
        </w:rPr>
        <w:t xml:space="preserve">Tabela </w:t>
      </w:r>
      <w:r w:rsidR="000D7B05" w:rsidRPr="004500AE">
        <w:rPr>
          <w:b/>
          <w:bCs/>
          <w:noProof/>
          <w:lang w:val="pt-PT"/>
        </w:rPr>
        <w:t>14</w:t>
      </w:r>
      <w:r w:rsidR="00C31925" w:rsidRPr="00292532">
        <w:rPr>
          <w:rFonts w:eastAsia="Times New Roman" w:cs="Calibri"/>
          <w:b/>
          <w:bCs/>
          <w:lang w:val="pt-PT" w:eastAsia="it-IT"/>
        </w:rPr>
        <w:fldChar w:fldCharType="end"/>
      </w:r>
      <w:r w:rsidRPr="00292532">
        <w:rPr>
          <w:rFonts w:eastAsia="Times New Roman" w:cs="Calibri"/>
          <w:lang w:val="pt-PT" w:eastAsia="it-IT"/>
        </w:rPr>
        <w:t xml:space="preserve">, abaixo. </w:t>
      </w:r>
    </w:p>
    <w:p w14:paraId="76A41055" w14:textId="6A325045" w:rsidR="007A0262" w:rsidRPr="00292532" w:rsidRDefault="007A0262" w:rsidP="007A0262">
      <w:pPr>
        <w:pStyle w:val="Caption"/>
      </w:pPr>
      <w:bookmarkStart w:id="168" w:name="_Ref72944267"/>
      <w:bookmarkStart w:id="169" w:name="_Toc480548985"/>
      <w:bookmarkStart w:id="170" w:name="_Toc488222814"/>
      <w:bookmarkStart w:id="171" w:name="_Toc13669479"/>
      <w:bookmarkStart w:id="172" w:name="_Toc21194442"/>
      <w:bookmarkStart w:id="173" w:name="_Toc39486196"/>
      <w:bookmarkStart w:id="174" w:name="_Toc39848710"/>
      <w:bookmarkStart w:id="175" w:name="_Toc75438155"/>
      <w:bookmarkStart w:id="176" w:name="_Toc80380261"/>
      <w:r w:rsidRPr="00292532">
        <w:t xml:space="preserve">Tabela </w:t>
      </w:r>
      <w:r w:rsidRPr="00292532">
        <w:fldChar w:fldCharType="begin"/>
      </w:r>
      <w:r w:rsidRPr="00292532">
        <w:instrText xml:space="preserve"> SEQ Tabela \* ARABIC </w:instrText>
      </w:r>
      <w:r w:rsidRPr="00292532">
        <w:fldChar w:fldCharType="separate"/>
      </w:r>
      <w:r w:rsidR="000D7B05">
        <w:rPr>
          <w:noProof/>
        </w:rPr>
        <w:t>14</w:t>
      </w:r>
      <w:r w:rsidRPr="00292532">
        <w:fldChar w:fldCharType="end"/>
      </w:r>
      <w:bookmarkEnd w:id="168"/>
      <w:r w:rsidRPr="00292532">
        <w:t xml:space="preserve"> Critérios </w:t>
      </w:r>
      <w:bookmarkEnd w:id="169"/>
      <w:bookmarkEnd w:id="170"/>
      <w:bookmarkEnd w:id="171"/>
      <w:bookmarkEnd w:id="172"/>
      <w:bookmarkEnd w:id="173"/>
      <w:bookmarkEnd w:id="174"/>
      <w:r w:rsidRPr="00292532">
        <w:t>Classificação dos Impactos</w:t>
      </w:r>
      <w:bookmarkEnd w:id="175"/>
      <w:bookmarkEnd w:id="176"/>
    </w:p>
    <w:tbl>
      <w:tblPr>
        <w:tblStyle w:val="GridTable4-Accent51"/>
        <w:tblW w:w="5000" w:type="pct"/>
        <w:tblLook w:val="01E0" w:firstRow="1" w:lastRow="1" w:firstColumn="1" w:lastColumn="1" w:noHBand="0" w:noVBand="0"/>
      </w:tblPr>
      <w:tblGrid>
        <w:gridCol w:w="1663"/>
        <w:gridCol w:w="6831"/>
      </w:tblGrid>
      <w:tr w:rsidR="007A0262" w:rsidRPr="00292532" w14:paraId="143E2945" w14:textId="77777777" w:rsidTr="001B461D">
        <w:trPr>
          <w:cnfStyle w:val="100000000000" w:firstRow="1" w:lastRow="0" w:firstColumn="0" w:lastColumn="0" w:oddVBand="0" w:evenVBand="0" w:oddHBand="0"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979" w:type="pct"/>
          </w:tcPr>
          <w:p w14:paraId="0F137C86" w14:textId="77777777" w:rsidR="007A0262" w:rsidRPr="00292532" w:rsidRDefault="007A0262" w:rsidP="007A0262">
            <w:pPr>
              <w:suppressAutoHyphens/>
              <w:spacing w:before="60" w:after="60" w:line="240" w:lineRule="atLeast"/>
              <w:jc w:val="left"/>
              <w:rPr>
                <w:rFonts w:eastAsia="Times New Roman" w:cs="Calibri"/>
                <w:lang w:val="pt-PT" w:eastAsia="it-IT"/>
              </w:rPr>
            </w:pPr>
            <w:r w:rsidRPr="00292532">
              <w:rPr>
                <w:rFonts w:eastAsia="Times New Roman" w:cs="Calibri"/>
                <w:lang w:val="pt-PT" w:eastAsia="it-IT"/>
              </w:rPr>
              <w:t>Critérios</w:t>
            </w:r>
          </w:p>
        </w:tc>
        <w:tc>
          <w:tcPr>
            <w:cnfStyle w:val="000100000000" w:firstRow="0" w:lastRow="0" w:firstColumn="0" w:lastColumn="1" w:oddVBand="0" w:evenVBand="0" w:oddHBand="0" w:evenHBand="0" w:firstRowFirstColumn="0" w:firstRowLastColumn="0" w:lastRowFirstColumn="0" w:lastRowLastColumn="0"/>
            <w:tcW w:w="4021" w:type="pct"/>
          </w:tcPr>
          <w:p w14:paraId="799CED07" w14:textId="77777777" w:rsidR="007A0262" w:rsidRPr="00292532" w:rsidRDefault="007A0262" w:rsidP="007A0262">
            <w:pPr>
              <w:suppressAutoHyphens/>
              <w:spacing w:before="60" w:after="60" w:line="240" w:lineRule="atLeast"/>
              <w:jc w:val="left"/>
              <w:rPr>
                <w:rFonts w:eastAsia="Times New Roman" w:cs="Calibri"/>
                <w:lang w:val="pt-PT" w:eastAsia="it-IT"/>
              </w:rPr>
            </w:pPr>
            <w:r w:rsidRPr="00292532">
              <w:rPr>
                <w:rFonts w:eastAsia="Times New Roman" w:cs="Calibri"/>
                <w:lang w:val="pt-PT" w:eastAsia="it-IT"/>
              </w:rPr>
              <w:t>Descrição</w:t>
            </w:r>
          </w:p>
        </w:tc>
      </w:tr>
      <w:tr w:rsidR="007A0262" w:rsidRPr="001E4B2C" w14:paraId="1C9189C1" w14:textId="77777777" w:rsidTr="001B461D">
        <w:trPr>
          <w:cnfStyle w:val="000000100000" w:firstRow="0" w:lastRow="0" w:firstColumn="0" w:lastColumn="0" w:oddVBand="0" w:evenVBand="0" w:oddHBand="1"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979" w:type="pct"/>
          </w:tcPr>
          <w:p w14:paraId="7B1D4664" w14:textId="584462C4" w:rsidR="007A0262" w:rsidRPr="00292532" w:rsidRDefault="007A0262" w:rsidP="007A0262">
            <w:pPr>
              <w:suppressAutoHyphens/>
              <w:spacing w:before="60" w:after="60" w:line="240" w:lineRule="atLeast"/>
              <w:jc w:val="left"/>
              <w:rPr>
                <w:rFonts w:eastAsia="Times New Roman" w:cs="Calibri"/>
                <w:bCs w:val="0"/>
                <w:lang w:val="pt-PT" w:eastAsia="it-IT"/>
              </w:rPr>
            </w:pPr>
            <w:r w:rsidRPr="00292532">
              <w:rPr>
                <w:rFonts w:eastAsia="Times New Roman" w:cs="Calibri"/>
                <w:bCs w:val="0"/>
                <w:lang w:val="pt-PT" w:eastAsia="it-IT"/>
              </w:rPr>
              <w:t>Estatu</w:t>
            </w:r>
            <w:r w:rsidR="0005701F" w:rsidRPr="00292532">
              <w:rPr>
                <w:rFonts w:eastAsia="Times New Roman" w:cs="Calibri"/>
                <w:bCs w:val="0"/>
                <w:lang w:val="pt-PT" w:eastAsia="it-IT"/>
              </w:rPr>
              <w:t>to</w:t>
            </w:r>
            <w:r w:rsidRPr="00292532">
              <w:rPr>
                <w:rFonts w:eastAsia="Times New Roman" w:cs="Calibri"/>
                <w:bCs w:val="0"/>
                <w:lang w:val="pt-PT" w:eastAsia="it-IT"/>
              </w:rPr>
              <w:t xml:space="preserve"> </w:t>
            </w:r>
          </w:p>
        </w:tc>
        <w:tc>
          <w:tcPr>
            <w:cnfStyle w:val="000100000000" w:firstRow="0" w:lastRow="0" w:firstColumn="0" w:lastColumn="1" w:oddVBand="0" w:evenVBand="0" w:oddHBand="0" w:evenHBand="0" w:firstRowFirstColumn="0" w:firstRowLastColumn="0" w:lastRowFirstColumn="0" w:lastRowLastColumn="0"/>
            <w:tcW w:w="4021" w:type="pct"/>
          </w:tcPr>
          <w:p w14:paraId="6193B131" w14:textId="77777777" w:rsidR="007A0262" w:rsidRPr="00292532" w:rsidRDefault="007A0262" w:rsidP="007A0262">
            <w:pPr>
              <w:suppressAutoHyphens/>
              <w:spacing w:before="60" w:after="60" w:line="240" w:lineRule="atLeast"/>
              <w:jc w:val="left"/>
              <w:rPr>
                <w:rFonts w:eastAsia="Times New Roman" w:cs="Calibri"/>
                <w:b w:val="0"/>
                <w:lang w:val="pt-PT" w:eastAsia="it-IT"/>
              </w:rPr>
            </w:pPr>
            <w:r w:rsidRPr="00292532">
              <w:rPr>
                <w:rFonts w:eastAsia="Times New Roman" w:cs="Calibri"/>
                <w:b w:val="0"/>
                <w:i/>
                <w:iCs/>
                <w:lang w:val="pt-PT" w:eastAsia="it-IT"/>
              </w:rPr>
              <w:t>Positivo:</w:t>
            </w:r>
            <w:r w:rsidRPr="00292532">
              <w:rPr>
                <w:rFonts w:eastAsia="Times New Roman" w:cs="Calibri"/>
                <w:b w:val="0"/>
                <w:lang w:val="pt-PT" w:eastAsia="it-IT"/>
              </w:rPr>
              <w:t xml:space="preserve"> mudança Ambiental benéfica</w:t>
            </w:r>
          </w:p>
          <w:p w14:paraId="2D226BE2" w14:textId="29FA724F" w:rsidR="007A0262" w:rsidRPr="00292532" w:rsidRDefault="007A0262" w:rsidP="007A0262">
            <w:pPr>
              <w:suppressAutoHyphens/>
              <w:spacing w:before="60" w:after="60" w:line="240" w:lineRule="atLeast"/>
              <w:jc w:val="left"/>
              <w:rPr>
                <w:rFonts w:eastAsia="Times New Roman" w:cs="Calibri"/>
                <w:b w:val="0"/>
                <w:lang w:val="pt-PT" w:eastAsia="it-IT"/>
              </w:rPr>
            </w:pPr>
            <w:r w:rsidRPr="00292532">
              <w:rPr>
                <w:rFonts w:eastAsia="Times New Roman" w:cs="Calibri"/>
                <w:b w:val="0"/>
                <w:i/>
                <w:iCs/>
                <w:lang w:val="pt-PT" w:eastAsia="it-IT"/>
              </w:rPr>
              <w:t>Negativo:</w:t>
            </w:r>
            <w:r w:rsidRPr="00292532">
              <w:rPr>
                <w:rFonts w:eastAsia="Times New Roman" w:cs="Calibri"/>
                <w:b w:val="0"/>
                <w:lang w:val="pt-PT" w:eastAsia="it-IT"/>
              </w:rPr>
              <w:t xml:space="preserve"> mudança Ambiental adversa</w:t>
            </w:r>
          </w:p>
        </w:tc>
      </w:tr>
      <w:tr w:rsidR="007A0262" w:rsidRPr="001E4B2C" w14:paraId="2551043D" w14:textId="77777777" w:rsidTr="001B461D">
        <w:trPr>
          <w:trHeight w:val="616"/>
        </w:trPr>
        <w:tc>
          <w:tcPr>
            <w:cnfStyle w:val="001000000000" w:firstRow="0" w:lastRow="0" w:firstColumn="1" w:lastColumn="0" w:oddVBand="0" w:evenVBand="0" w:oddHBand="0" w:evenHBand="0" w:firstRowFirstColumn="0" w:firstRowLastColumn="0" w:lastRowFirstColumn="0" w:lastRowLastColumn="0"/>
            <w:tcW w:w="979" w:type="pct"/>
          </w:tcPr>
          <w:p w14:paraId="4AA63757" w14:textId="24B86B1D" w:rsidR="007A0262" w:rsidRPr="00292532" w:rsidRDefault="007A0262" w:rsidP="007A0262">
            <w:pPr>
              <w:suppressAutoHyphens/>
              <w:spacing w:before="60" w:after="60" w:line="240" w:lineRule="atLeast"/>
              <w:jc w:val="left"/>
              <w:rPr>
                <w:rFonts w:eastAsia="Times New Roman" w:cs="Calibri"/>
                <w:bCs w:val="0"/>
                <w:lang w:val="pt-PT" w:eastAsia="it-IT"/>
              </w:rPr>
            </w:pPr>
            <w:r w:rsidRPr="00292532">
              <w:rPr>
                <w:rFonts w:eastAsia="Times New Roman" w:cs="Calibri"/>
                <w:bCs w:val="0"/>
                <w:lang w:val="pt-PT" w:eastAsia="it-IT"/>
              </w:rPr>
              <w:t>Probabilidade</w:t>
            </w:r>
          </w:p>
        </w:tc>
        <w:tc>
          <w:tcPr>
            <w:cnfStyle w:val="000100000000" w:firstRow="0" w:lastRow="0" w:firstColumn="0" w:lastColumn="1" w:oddVBand="0" w:evenVBand="0" w:oddHBand="0" w:evenHBand="0" w:firstRowFirstColumn="0" w:firstRowLastColumn="0" w:lastRowFirstColumn="0" w:lastRowLastColumn="0"/>
            <w:tcW w:w="4021" w:type="pct"/>
          </w:tcPr>
          <w:p w14:paraId="37990D19" w14:textId="04E57CCE" w:rsidR="007A0262" w:rsidRPr="00292532" w:rsidRDefault="007A0262" w:rsidP="007A0262">
            <w:pPr>
              <w:suppressAutoHyphens/>
              <w:spacing w:before="60" w:after="60" w:line="240" w:lineRule="atLeast"/>
              <w:jc w:val="left"/>
              <w:rPr>
                <w:rFonts w:eastAsia="Times New Roman" w:cs="Calibri"/>
                <w:b w:val="0"/>
                <w:lang w:val="pt-PT" w:eastAsia="it-IT"/>
              </w:rPr>
            </w:pPr>
            <w:r w:rsidRPr="00292532">
              <w:rPr>
                <w:rFonts w:eastAsia="Times New Roman" w:cs="Calibri"/>
                <w:b w:val="0"/>
                <w:i/>
                <w:iCs/>
                <w:lang w:val="pt-PT" w:eastAsia="it-IT"/>
              </w:rPr>
              <w:t>Improvável ou pouco provável:</w:t>
            </w:r>
            <w:r w:rsidRPr="00292532">
              <w:rPr>
                <w:rFonts w:eastAsia="Times New Roman" w:cs="Calibri"/>
                <w:b w:val="0"/>
                <w:lang w:val="pt-PT" w:eastAsia="it-IT"/>
              </w:rPr>
              <w:t xml:space="preserve"> a </w:t>
            </w:r>
            <w:r w:rsidR="006E1E13" w:rsidRPr="00292532">
              <w:rPr>
                <w:rFonts w:eastAsia="Times New Roman" w:cs="Calibri"/>
                <w:b w:val="0"/>
                <w:lang w:val="pt-PT" w:eastAsia="it-IT"/>
              </w:rPr>
              <w:t>possibilidade</w:t>
            </w:r>
            <w:r w:rsidRPr="00292532">
              <w:rPr>
                <w:rFonts w:eastAsia="Times New Roman" w:cs="Calibri"/>
                <w:b w:val="0"/>
                <w:lang w:val="pt-PT" w:eastAsia="it-IT"/>
              </w:rPr>
              <w:t xml:space="preserve"> de ocorrência é baixa quer seja pelo desenho do </w:t>
            </w:r>
            <w:proofErr w:type="spellStart"/>
            <w:r w:rsidRPr="00292532">
              <w:rPr>
                <w:rFonts w:eastAsia="Times New Roman" w:cs="Calibri"/>
                <w:b w:val="0"/>
                <w:lang w:val="pt-PT" w:eastAsia="it-IT"/>
              </w:rPr>
              <w:t>Projecto</w:t>
            </w:r>
            <w:proofErr w:type="spellEnd"/>
            <w:r w:rsidRPr="00292532">
              <w:rPr>
                <w:rFonts w:eastAsia="Times New Roman" w:cs="Calibri"/>
                <w:b w:val="0"/>
                <w:lang w:val="pt-PT" w:eastAsia="it-IT"/>
              </w:rPr>
              <w:t xml:space="preserve"> quer seja pela natureza do mesmo </w:t>
            </w:r>
          </w:p>
          <w:p w14:paraId="4149C0FB" w14:textId="77777777" w:rsidR="007A0262" w:rsidRPr="00292532" w:rsidRDefault="007A0262" w:rsidP="007A0262">
            <w:pPr>
              <w:suppressAutoHyphens/>
              <w:spacing w:before="60" w:after="60" w:line="240" w:lineRule="atLeast"/>
              <w:jc w:val="left"/>
              <w:rPr>
                <w:rFonts w:eastAsia="Times New Roman" w:cs="Calibri"/>
                <w:b w:val="0"/>
                <w:lang w:val="pt-PT" w:eastAsia="it-IT"/>
              </w:rPr>
            </w:pPr>
            <w:r w:rsidRPr="00292532">
              <w:rPr>
                <w:rFonts w:eastAsia="Times New Roman" w:cs="Calibri"/>
                <w:b w:val="0"/>
                <w:i/>
                <w:iCs/>
                <w:lang w:val="pt-PT" w:eastAsia="it-IT"/>
              </w:rPr>
              <w:t>Provável:</w:t>
            </w:r>
            <w:r w:rsidRPr="00292532">
              <w:rPr>
                <w:rFonts w:eastAsia="Times New Roman" w:cs="Calibri"/>
                <w:b w:val="0"/>
                <w:lang w:val="pt-PT" w:eastAsia="it-IT"/>
              </w:rPr>
              <w:t xml:space="preserve"> existe uma possibilidade distinta do impacto acontecer</w:t>
            </w:r>
          </w:p>
          <w:p w14:paraId="695406BD" w14:textId="77777777" w:rsidR="007A0262" w:rsidRPr="00292532" w:rsidRDefault="007A0262" w:rsidP="007A0262">
            <w:pPr>
              <w:suppressAutoHyphens/>
              <w:spacing w:before="60" w:after="60" w:line="240" w:lineRule="atLeast"/>
              <w:jc w:val="left"/>
              <w:rPr>
                <w:rFonts w:eastAsia="Times New Roman" w:cs="Calibri"/>
                <w:b w:val="0"/>
                <w:lang w:val="pt-PT" w:eastAsia="it-IT"/>
              </w:rPr>
            </w:pPr>
            <w:r w:rsidRPr="00292532">
              <w:rPr>
                <w:rFonts w:eastAsia="Times New Roman" w:cs="Calibri"/>
                <w:b w:val="0"/>
                <w:i/>
                <w:iCs/>
                <w:lang w:val="pt-PT" w:eastAsia="it-IT"/>
              </w:rPr>
              <w:t>Altamente provável:</w:t>
            </w:r>
            <w:r w:rsidRPr="00292532">
              <w:rPr>
                <w:rFonts w:eastAsia="Times New Roman" w:cs="Calibri"/>
                <w:b w:val="0"/>
                <w:lang w:val="pt-PT" w:eastAsia="it-IT"/>
              </w:rPr>
              <w:t xml:space="preserve"> quando é quase certo que o impacto ocorrerá</w:t>
            </w:r>
          </w:p>
          <w:p w14:paraId="65A5D108" w14:textId="3FC20083" w:rsidR="007A0262" w:rsidRPr="00292532" w:rsidRDefault="007A0262" w:rsidP="007A0262">
            <w:pPr>
              <w:suppressAutoHyphens/>
              <w:spacing w:before="60" w:after="60" w:line="240" w:lineRule="atLeast"/>
              <w:jc w:val="left"/>
              <w:rPr>
                <w:rFonts w:eastAsia="Times New Roman" w:cs="Calibri"/>
                <w:b w:val="0"/>
                <w:lang w:val="pt-PT" w:eastAsia="it-IT"/>
              </w:rPr>
            </w:pPr>
            <w:r w:rsidRPr="00292532">
              <w:rPr>
                <w:rFonts w:eastAsia="Times New Roman" w:cs="Calibri"/>
                <w:b w:val="0"/>
                <w:i/>
                <w:iCs/>
                <w:lang w:val="pt-PT" w:eastAsia="it-IT"/>
              </w:rPr>
              <w:t>Definitiva:</w:t>
            </w:r>
            <w:r w:rsidRPr="00292532">
              <w:rPr>
                <w:rFonts w:eastAsia="Times New Roman" w:cs="Calibri"/>
                <w:b w:val="0"/>
                <w:lang w:val="pt-PT" w:eastAsia="it-IT"/>
              </w:rPr>
              <w:t xml:space="preserve"> quando há certeza que o impacto </w:t>
            </w:r>
            <w:r w:rsidR="006E1E13" w:rsidRPr="00292532">
              <w:rPr>
                <w:rFonts w:eastAsia="Times New Roman" w:cs="Calibri"/>
                <w:b w:val="0"/>
                <w:lang w:val="pt-PT" w:eastAsia="it-IT"/>
              </w:rPr>
              <w:t>ocorrerá</w:t>
            </w:r>
            <w:r w:rsidRPr="00292532">
              <w:rPr>
                <w:rFonts w:eastAsia="Times New Roman" w:cs="Calibri"/>
                <w:b w:val="0"/>
                <w:lang w:val="pt-PT" w:eastAsia="it-IT"/>
              </w:rPr>
              <w:t xml:space="preserve"> </w:t>
            </w:r>
            <w:r w:rsidR="006E1E13" w:rsidRPr="00292532">
              <w:rPr>
                <w:rFonts w:eastAsia="Times New Roman" w:cs="Calibri"/>
                <w:b w:val="0"/>
                <w:lang w:val="pt-PT" w:eastAsia="it-IT"/>
              </w:rPr>
              <w:t>independentemente</w:t>
            </w:r>
            <w:r w:rsidRPr="00292532">
              <w:rPr>
                <w:rFonts w:eastAsia="Times New Roman" w:cs="Calibri"/>
                <w:b w:val="0"/>
                <w:lang w:val="pt-PT" w:eastAsia="it-IT"/>
              </w:rPr>
              <w:t xml:space="preserve"> das medidas preventivas </w:t>
            </w:r>
            <w:proofErr w:type="spellStart"/>
            <w:r w:rsidRPr="00292532">
              <w:rPr>
                <w:rFonts w:eastAsia="Times New Roman" w:cs="Calibri"/>
                <w:b w:val="0"/>
                <w:lang w:val="pt-PT" w:eastAsia="it-IT"/>
              </w:rPr>
              <w:t>adoptadas</w:t>
            </w:r>
            <w:proofErr w:type="spellEnd"/>
            <w:r w:rsidRPr="00292532">
              <w:rPr>
                <w:rFonts w:eastAsia="Times New Roman" w:cs="Calibri"/>
                <w:b w:val="0"/>
                <w:lang w:val="pt-PT" w:eastAsia="it-IT"/>
              </w:rPr>
              <w:t xml:space="preserve"> </w:t>
            </w:r>
          </w:p>
        </w:tc>
      </w:tr>
      <w:tr w:rsidR="007A0262" w:rsidRPr="001E4B2C" w14:paraId="653976C4" w14:textId="77777777" w:rsidTr="001B461D">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979" w:type="pct"/>
          </w:tcPr>
          <w:p w14:paraId="2FC1FC22" w14:textId="6547A04B" w:rsidR="007A0262" w:rsidRPr="00292532" w:rsidRDefault="007A0262" w:rsidP="007A0262">
            <w:pPr>
              <w:suppressAutoHyphens/>
              <w:spacing w:before="0" w:after="120"/>
              <w:jc w:val="left"/>
              <w:rPr>
                <w:rFonts w:eastAsia="Times New Roman" w:cs="Calibri"/>
                <w:bCs w:val="0"/>
                <w:color w:val="000000"/>
                <w:lang w:val="pt-PT" w:eastAsia="it-IT"/>
              </w:rPr>
            </w:pPr>
            <w:r w:rsidRPr="00292532">
              <w:rPr>
                <w:rFonts w:eastAsia="Times New Roman" w:cs="Calibri"/>
                <w:bCs w:val="0"/>
                <w:color w:val="000000"/>
                <w:lang w:val="pt-PT" w:eastAsia="it-IT"/>
              </w:rPr>
              <w:t xml:space="preserve">Duração </w:t>
            </w:r>
          </w:p>
        </w:tc>
        <w:tc>
          <w:tcPr>
            <w:cnfStyle w:val="000100000000" w:firstRow="0" w:lastRow="0" w:firstColumn="0" w:lastColumn="1" w:oddVBand="0" w:evenVBand="0" w:oddHBand="0" w:evenHBand="0" w:firstRowFirstColumn="0" w:firstRowLastColumn="0" w:lastRowFirstColumn="0" w:lastRowLastColumn="0"/>
            <w:tcW w:w="4021" w:type="pct"/>
          </w:tcPr>
          <w:p w14:paraId="614EB756" w14:textId="12B74E8A" w:rsidR="006E1E13" w:rsidRPr="00292532" w:rsidRDefault="007A0262"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Curto prazo</w:t>
            </w:r>
            <w:r w:rsidR="006E1E13" w:rsidRPr="00292532">
              <w:rPr>
                <w:rFonts w:eastAsia="Times New Roman" w:cs="Calibri"/>
                <w:b w:val="0"/>
                <w:i/>
                <w:iCs/>
                <w:color w:val="000000"/>
                <w:lang w:val="pt-PT" w:eastAsia="it-IT"/>
              </w:rPr>
              <w:t>:</w:t>
            </w:r>
            <w:r w:rsidR="006E1E13" w:rsidRPr="00292532">
              <w:rPr>
                <w:rFonts w:eastAsia="Times New Roman" w:cs="Calibri"/>
                <w:b w:val="0"/>
                <w:color w:val="000000"/>
                <w:lang w:val="pt-PT" w:eastAsia="it-IT"/>
              </w:rPr>
              <w:t xml:space="preserve"> um período aproximadamente entre 1 e 5 anos</w:t>
            </w:r>
          </w:p>
          <w:p w14:paraId="3D77222C" w14:textId="01DBB865" w:rsidR="007A0262" w:rsidRPr="00292532" w:rsidRDefault="006E1E1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Medio prazo:</w:t>
            </w:r>
            <w:r w:rsidRPr="00292532">
              <w:rPr>
                <w:rFonts w:eastAsia="Times New Roman" w:cs="Calibri"/>
                <w:b w:val="0"/>
                <w:color w:val="000000"/>
                <w:lang w:val="pt-PT" w:eastAsia="it-IT"/>
              </w:rPr>
              <w:t xml:space="preserve"> </w:t>
            </w:r>
            <w:r w:rsidR="007A0262" w:rsidRPr="00292532">
              <w:rPr>
                <w:rFonts w:eastAsia="Times New Roman" w:cs="Calibri"/>
                <w:b w:val="0"/>
                <w:color w:val="000000"/>
                <w:lang w:val="pt-PT" w:eastAsia="it-IT"/>
              </w:rPr>
              <w:t xml:space="preserve">um período aproximadamente entre 5 e </w:t>
            </w:r>
            <w:r w:rsidRPr="00292532">
              <w:rPr>
                <w:rFonts w:eastAsia="Times New Roman" w:cs="Calibri"/>
                <w:b w:val="0"/>
                <w:color w:val="000000"/>
                <w:lang w:val="pt-PT" w:eastAsia="it-IT"/>
              </w:rPr>
              <w:t>1</w:t>
            </w:r>
            <w:r w:rsidR="007A0262" w:rsidRPr="00292532">
              <w:rPr>
                <w:rFonts w:eastAsia="Times New Roman" w:cs="Calibri"/>
                <w:b w:val="0"/>
                <w:color w:val="000000"/>
                <w:lang w:val="pt-PT" w:eastAsia="it-IT"/>
              </w:rPr>
              <w:t xml:space="preserve">5 anos; </w:t>
            </w:r>
          </w:p>
          <w:p w14:paraId="68528202" w14:textId="5FBC7B5F" w:rsidR="006E1E13" w:rsidRPr="00292532" w:rsidRDefault="006E1E1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Longo prazo:</w:t>
            </w:r>
            <w:r w:rsidR="007A0262" w:rsidRPr="00292532">
              <w:rPr>
                <w:rFonts w:eastAsia="Times New Roman" w:cs="Calibri"/>
                <w:b w:val="0"/>
                <w:color w:val="000000"/>
                <w:lang w:val="pt-PT" w:eastAsia="it-IT"/>
              </w:rPr>
              <w:t xml:space="preserve"> </w:t>
            </w:r>
            <w:r w:rsidRPr="00292532">
              <w:rPr>
                <w:rFonts w:eastAsia="Times New Roman" w:cs="Calibri"/>
                <w:b w:val="0"/>
                <w:color w:val="000000"/>
                <w:lang w:val="pt-PT" w:eastAsia="it-IT"/>
              </w:rPr>
              <w:t xml:space="preserve">O impacto cessa quando termina o tempo de vida da </w:t>
            </w:r>
            <w:proofErr w:type="spellStart"/>
            <w:r w:rsidRPr="00292532">
              <w:rPr>
                <w:rFonts w:eastAsia="Times New Roman" w:cs="Calibri"/>
                <w:b w:val="0"/>
                <w:color w:val="000000"/>
                <w:lang w:val="pt-PT" w:eastAsia="it-IT"/>
              </w:rPr>
              <w:t>actividade</w:t>
            </w:r>
            <w:proofErr w:type="spellEnd"/>
          </w:p>
          <w:p w14:paraId="1E66B4F9" w14:textId="269B3686" w:rsidR="007A0262" w:rsidRPr="00292532" w:rsidRDefault="006E1E1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Permanente:</w:t>
            </w:r>
            <w:r w:rsidRPr="00292532">
              <w:rPr>
                <w:rFonts w:eastAsia="Times New Roman" w:cs="Calibri"/>
                <w:b w:val="0"/>
                <w:color w:val="000000"/>
                <w:lang w:val="pt-PT" w:eastAsia="it-IT"/>
              </w:rPr>
              <w:t xml:space="preserve"> quando o impacto </w:t>
            </w:r>
            <w:r w:rsidR="0005701F" w:rsidRPr="00292532">
              <w:rPr>
                <w:rFonts w:eastAsia="Times New Roman" w:cs="Calibri"/>
                <w:b w:val="0"/>
                <w:color w:val="000000"/>
                <w:lang w:val="pt-PT" w:eastAsia="it-IT"/>
              </w:rPr>
              <w:t>se prolonga</w:t>
            </w:r>
            <w:r w:rsidRPr="00292532">
              <w:rPr>
                <w:rFonts w:eastAsia="Times New Roman" w:cs="Calibri"/>
                <w:b w:val="0"/>
                <w:color w:val="000000"/>
                <w:lang w:val="pt-PT" w:eastAsia="it-IT"/>
              </w:rPr>
              <w:t xml:space="preserve"> mesmo depois de terminar a </w:t>
            </w:r>
            <w:proofErr w:type="spellStart"/>
            <w:r w:rsidRPr="00292532">
              <w:rPr>
                <w:rFonts w:eastAsia="Times New Roman" w:cs="Calibri"/>
                <w:b w:val="0"/>
                <w:color w:val="000000"/>
                <w:lang w:val="pt-PT" w:eastAsia="it-IT"/>
              </w:rPr>
              <w:t>actividade</w:t>
            </w:r>
            <w:proofErr w:type="spellEnd"/>
            <w:r w:rsidRPr="00292532">
              <w:rPr>
                <w:rFonts w:eastAsia="Times New Roman" w:cs="Calibri"/>
                <w:b w:val="0"/>
                <w:color w:val="000000"/>
                <w:lang w:val="pt-PT" w:eastAsia="it-IT"/>
              </w:rPr>
              <w:t xml:space="preserve"> e mesmo após a aplicação de medidas de mitigação </w:t>
            </w:r>
            <w:r w:rsidR="007A0262" w:rsidRPr="00292532">
              <w:rPr>
                <w:rFonts w:eastAsia="Times New Roman" w:cs="Calibri"/>
                <w:b w:val="0"/>
                <w:color w:val="000000"/>
                <w:lang w:val="pt-PT" w:eastAsia="it-IT"/>
              </w:rPr>
              <w:t xml:space="preserve"> </w:t>
            </w:r>
          </w:p>
        </w:tc>
      </w:tr>
      <w:tr w:rsidR="007A0262" w:rsidRPr="001E4B2C" w14:paraId="2B5833CA" w14:textId="77777777" w:rsidTr="001B461D">
        <w:trPr>
          <w:trHeight w:val="555"/>
        </w:trPr>
        <w:tc>
          <w:tcPr>
            <w:cnfStyle w:val="001000000000" w:firstRow="0" w:lastRow="0" w:firstColumn="1" w:lastColumn="0" w:oddVBand="0" w:evenVBand="0" w:oddHBand="0" w:evenHBand="0" w:firstRowFirstColumn="0" w:firstRowLastColumn="0" w:lastRowFirstColumn="0" w:lastRowLastColumn="0"/>
            <w:tcW w:w="979" w:type="pct"/>
          </w:tcPr>
          <w:p w14:paraId="688E33E3" w14:textId="5CD5CF04" w:rsidR="007A0262" w:rsidRPr="00292532" w:rsidRDefault="007A0262" w:rsidP="007A0262">
            <w:pPr>
              <w:suppressAutoHyphens/>
              <w:spacing w:before="0" w:after="120"/>
              <w:jc w:val="left"/>
              <w:rPr>
                <w:rFonts w:eastAsia="Times New Roman" w:cs="Calibri"/>
                <w:bCs w:val="0"/>
                <w:color w:val="000000"/>
                <w:lang w:val="pt-PT" w:eastAsia="it-IT"/>
              </w:rPr>
            </w:pPr>
            <w:r w:rsidRPr="00292532">
              <w:rPr>
                <w:rFonts w:eastAsia="Times New Roman" w:cs="Calibri"/>
                <w:bCs w:val="0"/>
                <w:color w:val="000000"/>
                <w:lang w:val="pt-PT" w:eastAsia="it-IT"/>
              </w:rPr>
              <w:t xml:space="preserve">Extensão </w:t>
            </w:r>
          </w:p>
        </w:tc>
        <w:tc>
          <w:tcPr>
            <w:cnfStyle w:val="000100000000" w:firstRow="0" w:lastRow="0" w:firstColumn="0" w:lastColumn="1" w:oddVBand="0" w:evenVBand="0" w:oddHBand="0" w:evenHBand="0" w:firstRowFirstColumn="0" w:firstRowLastColumn="0" w:lastRowFirstColumn="0" w:lastRowLastColumn="0"/>
            <w:tcW w:w="4021" w:type="pct"/>
          </w:tcPr>
          <w:p w14:paraId="1482036B" w14:textId="183BD71F" w:rsidR="007A0262" w:rsidRPr="00292532" w:rsidRDefault="007A0262"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Local</w:t>
            </w:r>
            <w:r w:rsidR="006E1E13" w:rsidRPr="00292532">
              <w:rPr>
                <w:rFonts w:eastAsia="Times New Roman" w:cs="Calibri"/>
                <w:b w:val="0"/>
                <w:i/>
                <w:iCs/>
                <w:color w:val="000000"/>
                <w:lang w:val="pt-PT" w:eastAsia="it-IT"/>
              </w:rPr>
              <w:t>izada</w:t>
            </w:r>
            <w:r w:rsidR="006E1E13" w:rsidRPr="00292532">
              <w:rPr>
                <w:rFonts w:eastAsia="Times New Roman" w:cs="Calibri"/>
                <w:b w:val="0"/>
                <w:color w:val="000000"/>
                <w:lang w:val="pt-PT" w:eastAsia="it-IT"/>
              </w:rPr>
              <w:t>:</w:t>
            </w:r>
            <w:r w:rsidRPr="00292532">
              <w:rPr>
                <w:rFonts w:eastAsia="Times New Roman" w:cs="Calibri"/>
                <w:b w:val="0"/>
                <w:color w:val="000000"/>
                <w:lang w:val="pt-PT" w:eastAsia="it-IT"/>
              </w:rPr>
              <w:t xml:space="preserve"> Os impact</w:t>
            </w:r>
            <w:r w:rsidR="006E1E13" w:rsidRPr="00292532">
              <w:rPr>
                <w:rFonts w:eastAsia="Times New Roman" w:cs="Calibri"/>
                <w:b w:val="0"/>
                <w:color w:val="000000"/>
                <w:lang w:val="pt-PT" w:eastAsia="it-IT"/>
              </w:rPr>
              <w:t>o</w:t>
            </w:r>
            <w:r w:rsidRPr="00292532">
              <w:rPr>
                <w:rFonts w:eastAsia="Times New Roman" w:cs="Calibri"/>
                <w:b w:val="0"/>
                <w:color w:val="000000"/>
                <w:lang w:val="pt-PT" w:eastAsia="it-IT"/>
              </w:rPr>
              <w:t xml:space="preserve">s locais são confinados a </w:t>
            </w:r>
            <w:r w:rsidR="006E1E13" w:rsidRPr="00292532">
              <w:rPr>
                <w:rFonts w:eastAsia="Times New Roman" w:cs="Calibri"/>
                <w:b w:val="0"/>
                <w:color w:val="000000"/>
                <w:lang w:val="pt-PT" w:eastAsia="it-IT"/>
              </w:rPr>
              <w:t xml:space="preserve">área de ocorrência das </w:t>
            </w:r>
            <w:proofErr w:type="spellStart"/>
            <w:r w:rsidR="006E1E13" w:rsidRPr="00292532">
              <w:rPr>
                <w:rFonts w:eastAsia="Times New Roman" w:cs="Calibri"/>
                <w:b w:val="0"/>
                <w:color w:val="000000"/>
                <w:lang w:val="pt-PT" w:eastAsia="it-IT"/>
              </w:rPr>
              <w:t>acções</w:t>
            </w:r>
            <w:proofErr w:type="spellEnd"/>
            <w:r w:rsidR="006E1E13" w:rsidRPr="00292532">
              <w:rPr>
                <w:rFonts w:eastAsia="Times New Roman" w:cs="Calibri"/>
                <w:b w:val="0"/>
                <w:color w:val="000000"/>
                <w:lang w:val="pt-PT" w:eastAsia="it-IT"/>
              </w:rPr>
              <w:t xml:space="preserve"> do </w:t>
            </w:r>
            <w:proofErr w:type="spellStart"/>
            <w:r w:rsidR="006E1E13" w:rsidRPr="00292532">
              <w:rPr>
                <w:rFonts w:eastAsia="Times New Roman" w:cs="Calibri"/>
                <w:b w:val="0"/>
                <w:color w:val="000000"/>
                <w:lang w:val="pt-PT" w:eastAsia="it-IT"/>
              </w:rPr>
              <w:t>Projecto</w:t>
            </w:r>
            <w:proofErr w:type="spellEnd"/>
          </w:p>
          <w:p w14:paraId="7639F89F" w14:textId="556CB8E0" w:rsidR="006E1E13" w:rsidRPr="00292532" w:rsidRDefault="006E1E1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Na área envolvente</w:t>
            </w:r>
            <w:r w:rsidRPr="00292532">
              <w:rPr>
                <w:rFonts w:eastAsia="Times New Roman" w:cs="Calibri"/>
                <w:b w:val="0"/>
                <w:color w:val="000000"/>
                <w:lang w:val="pt-PT" w:eastAsia="it-IT"/>
              </w:rPr>
              <w:t xml:space="preserve">: nos arredores da área do </w:t>
            </w:r>
            <w:proofErr w:type="spellStart"/>
            <w:r w:rsidRPr="00292532">
              <w:rPr>
                <w:rFonts w:eastAsia="Times New Roman" w:cs="Calibri"/>
                <w:b w:val="0"/>
                <w:color w:val="000000"/>
                <w:lang w:val="pt-PT" w:eastAsia="it-IT"/>
              </w:rPr>
              <w:t>Projecto</w:t>
            </w:r>
            <w:proofErr w:type="spellEnd"/>
            <w:r w:rsidRPr="00292532">
              <w:rPr>
                <w:rFonts w:eastAsia="Times New Roman" w:cs="Calibri"/>
                <w:b w:val="0"/>
                <w:color w:val="000000"/>
                <w:lang w:val="pt-PT" w:eastAsia="it-IT"/>
              </w:rPr>
              <w:t xml:space="preserve"> </w:t>
            </w:r>
          </w:p>
          <w:p w14:paraId="5AC9E4E1" w14:textId="56C5991A" w:rsidR="007A0262" w:rsidRPr="00292532" w:rsidRDefault="007A0262"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Regional</w:t>
            </w:r>
            <w:r w:rsidR="006E1E13" w:rsidRPr="00292532">
              <w:rPr>
                <w:rFonts w:eastAsia="Times New Roman" w:cs="Calibri"/>
                <w:b w:val="0"/>
                <w:i/>
                <w:iCs/>
                <w:color w:val="000000"/>
                <w:lang w:val="pt-PT" w:eastAsia="it-IT"/>
              </w:rPr>
              <w:t>:</w:t>
            </w:r>
            <w:r w:rsidR="006E1E13" w:rsidRPr="00292532">
              <w:rPr>
                <w:rFonts w:eastAsia="Times New Roman" w:cs="Calibri"/>
                <w:b w:val="0"/>
                <w:color w:val="000000"/>
                <w:lang w:val="pt-PT" w:eastAsia="it-IT"/>
              </w:rPr>
              <w:t xml:space="preserve"> provinciais circundantes</w:t>
            </w:r>
            <w:r w:rsidRPr="00292532">
              <w:rPr>
                <w:rFonts w:eastAsia="Times New Roman" w:cs="Calibri"/>
                <w:b w:val="0"/>
                <w:color w:val="000000"/>
                <w:lang w:val="pt-PT" w:eastAsia="it-IT"/>
              </w:rPr>
              <w:t xml:space="preserve">; </w:t>
            </w:r>
          </w:p>
          <w:p w14:paraId="0E5E70BF" w14:textId="53A1BA67" w:rsidR="007A0262" w:rsidRPr="00292532" w:rsidRDefault="007A0262"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Nacional</w:t>
            </w:r>
            <w:r w:rsidR="006E1E13" w:rsidRPr="00292532">
              <w:rPr>
                <w:rFonts w:eastAsia="Times New Roman" w:cs="Calibri"/>
                <w:b w:val="0"/>
                <w:color w:val="000000"/>
                <w:lang w:val="pt-PT" w:eastAsia="it-IT"/>
              </w:rPr>
              <w:t>:</w:t>
            </w:r>
            <w:r w:rsidRPr="00292532">
              <w:rPr>
                <w:rFonts w:eastAsia="Times New Roman" w:cs="Calibri"/>
                <w:b w:val="0"/>
                <w:color w:val="000000"/>
                <w:lang w:val="pt-PT" w:eastAsia="it-IT"/>
              </w:rPr>
              <w:t xml:space="preserve"> </w:t>
            </w:r>
            <w:r w:rsidR="006E1E13" w:rsidRPr="00292532">
              <w:rPr>
                <w:rFonts w:eastAsia="Times New Roman" w:cs="Calibri"/>
                <w:b w:val="0"/>
                <w:color w:val="000000"/>
                <w:lang w:val="pt-PT" w:eastAsia="it-IT"/>
              </w:rPr>
              <w:t>Moçambique</w:t>
            </w:r>
            <w:r w:rsidRPr="00292532">
              <w:rPr>
                <w:rFonts w:eastAsia="Times New Roman" w:cs="Calibri"/>
                <w:b w:val="0"/>
                <w:color w:val="000000"/>
                <w:lang w:val="pt-PT" w:eastAsia="it-IT"/>
              </w:rPr>
              <w:t xml:space="preserve">; </w:t>
            </w:r>
          </w:p>
          <w:p w14:paraId="5817FD2B" w14:textId="176EE6A2" w:rsidR="007A0262" w:rsidRPr="00292532" w:rsidRDefault="006E1E1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Internacional</w:t>
            </w:r>
            <w:r w:rsidR="007A0262" w:rsidRPr="00292532">
              <w:rPr>
                <w:rFonts w:eastAsia="Times New Roman" w:cs="Calibri"/>
                <w:b w:val="0"/>
                <w:color w:val="000000"/>
                <w:lang w:val="pt-PT" w:eastAsia="it-IT"/>
              </w:rPr>
              <w:t xml:space="preserve">. </w:t>
            </w:r>
            <w:r w:rsidRPr="00292532">
              <w:rPr>
                <w:rFonts w:eastAsia="Times New Roman" w:cs="Calibri"/>
                <w:b w:val="0"/>
                <w:color w:val="000000"/>
                <w:lang w:val="pt-PT" w:eastAsia="it-IT"/>
              </w:rPr>
              <w:t>Moçambique e países vizinhos</w:t>
            </w:r>
          </w:p>
        </w:tc>
      </w:tr>
      <w:tr w:rsidR="006E1E13" w:rsidRPr="001E4B2C" w14:paraId="196F9497" w14:textId="77777777" w:rsidTr="001B461D">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979" w:type="pct"/>
          </w:tcPr>
          <w:p w14:paraId="4932B9C0" w14:textId="645D2879" w:rsidR="006E1E13" w:rsidRPr="00292532" w:rsidRDefault="006E1E13" w:rsidP="007A0262">
            <w:pPr>
              <w:suppressAutoHyphens/>
              <w:spacing w:before="0" w:after="120"/>
              <w:jc w:val="left"/>
              <w:rPr>
                <w:rFonts w:eastAsia="Times New Roman" w:cs="Calibri"/>
                <w:bCs w:val="0"/>
                <w:color w:val="000000"/>
                <w:lang w:val="pt-PT" w:eastAsia="it-IT"/>
              </w:rPr>
            </w:pPr>
            <w:r w:rsidRPr="00292532">
              <w:rPr>
                <w:rFonts w:eastAsia="Times New Roman" w:cs="Calibri"/>
                <w:bCs w:val="0"/>
                <w:color w:val="000000"/>
                <w:lang w:val="pt-PT" w:eastAsia="it-IT"/>
              </w:rPr>
              <w:t>Intensidade</w:t>
            </w:r>
          </w:p>
        </w:tc>
        <w:tc>
          <w:tcPr>
            <w:cnfStyle w:val="000100000000" w:firstRow="0" w:lastRow="0" w:firstColumn="0" w:lastColumn="1" w:oddVBand="0" w:evenVBand="0" w:oddHBand="0" w:evenHBand="0" w:firstRowFirstColumn="0" w:firstRowLastColumn="0" w:lastRowFirstColumn="0" w:lastRowLastColumn="0"/>
            <w:tcW w:w="4021" w:type="pct"/>
          </w:tcPr>
          <w:p w14:paraId="381334DE" w14:textId="13FBC822" w:rsidR="006E1E13" w:rsidRPr="00292532" w:rsidRDefault="006E1E1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Baixa:</w:t>
            </w:r>
            <w:r w:rsidRPr="00292532">
              <w:rPr>
                <w:rFonts w:eastAsia="Times New Roman" w:cs="Calibri"/>
                <w:b w:val="0"/>
                <w:color w:val="000000"/>
                <w:lang w:val="pt-PT" w:eastAsia="it-IT"/>
              </w:rPr>
              <w:t xml:space="preserve"> funcionamento dos processos naturais, culturais e sociais não é </w:t>
            </w:r>
            <w:proofErr w:type="spellStart"/>
            <w:r w:rsidRPr="00292532">
              <w:rPr>
                <w:rFonts w:eastAsia="Times New Roman" w:cs="Calibri"/>
                <w:b w:val="0"/>
                <w:color w:val="000000"/>
                <w:lang w:val="pt-PT" w:eastAsia="it-IT"/>
              </w:rPr>
              <w:t>afectado</w:t>
            </w:r>
            <w:proofErr w:type="spellEnd"/>
          </w:p>
          <w:p w14:paraId="71B80D1A" w14:textId="220C84E8" w:rsidR="006E1E13" w:rsidRPr="00292532" w:rsidRDefault="006E1E1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Média:</w:t>
            </w:r>
            <w:r w:rsidRPr="00292532">
              <w:rPr>
                <w:rFonts w:eastAsia="Times New Roman" w:cs="Calibri"/>
                <w:b w:val="0"/>
                <w:color w:val="000000"/>
                <w:lang w:val="pt-PT" w:eastAsia="it-IT"/>
              </w:rPr>
              <w:t xml:space="preserve"> o funcionamento dos processos naturais, culturais ou sociais é </w:t>
            </w:r>
            <w:proofErr w:type="spellStart"/>
            <w:r w:rsidRPr="00292532">
              <w:rPr>
                <w:rFonts w:eastAsia="Times New Roman" w:cs="Calibri"/>
                <w:b w:val="0"/>
                <w:color w:val="000000"/>
                <w:lang w:val="pt-PT" w:eastAsia="it-IT"/>
              </w:rPr>
              <w:t>afectado</w:t>
            </w:r>
            <w:proofErr w:type="spellEnd"/>
            <w:r w:rsidRPr="00292532">
              <w:rPr>
                <w:rFonts w:eastAsia="Times New Roman" w:cs="Calibri"/>
                <w:b w:val="0"/>
                <w:color w:val="000000"/>
                <w:lang w:val="pt-PT" w:eastAsia="it-IT"/>
              </w:rPr>
              <w:t>, porém sem efeitos considerados significativos</w:t>
            </w:r>
          </w:p>
          <w:p w14:paraId="3A0CD5B7" w14:textId="49F649B7" w:rsidR="006E1E13" w:rsidRPr="00292532" w:rsidRDefault="006E1E1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Alta:</w:t>
            </w:r>
            <w:r w:rsidRPr="00292532">
              <w:rPr>
                <w:rFonts w:eastAsia="Times New Roman" w:cs="Calibri"/>
                <w:b w:val="0"/>
                <w:color w:val="000000"/>
                <w:lang w:val="pt-PT" w:eastAsia="it-IT"/>
              </w:rPr>
              <w:t xml:space="preserve"> funcionamento dos processos naturais, culturais ou sociais é temporariamente ou permanentemente interrompido</w:t>
            </w:r>
          </w:p>
        </w:tc>
      </w:tr>
      <w:tr w:rsidR="006E1E13" w:rsidRPr="001E4B2C" w14:paraId="1A9243A8" w14:textId="77777777" w:rsidTr="001B461D">
        <w:trPr>
          <w:cnfStyle w:val="010000000000" w:firstRow="0" w:lastRow="1" w:firstColumn="0" w:lastColumn="0" w:oddVBand="0" w:evenVBand="0" w:oddHBand="0"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979" w:type="pct"/>
          </w:tcPr>
          <w:p w14:paraId="6727AE8C" w14:textId="58C7773E" w:rsidR="006E1E13" w:rsidRPr="00292532" w:rsidRDefault="006E1E13" w:rsidP="007A0262">
            <w:pPr>
              <w:suppressAutoHyphens/>
              <w:spacing w:before="0" w:after="120"/>
              <w:jc w:val="left"/>
              <w:rPr>
                <w:rFonts w:eastAsia="Times New Roman" w:cs="Calibri"/>
                <w:bCs w:val="0"/>
                <w:color w:val="000000"/>
                <w:lang w:val="pt-PT" w:eastAsia="it-IT"/>
              </w:rPr>
            </w:pPr>
            <w:r w:rsidRPr="00292532">
              <w:rPr>
                <w:rFonts w:eastAsia="Times New Roman" w:cs="Calibri"/>
                <w:bCs w:val="0"/>
                <w:color w:val="000000"/>
                <w:lang w:val="pt-PT" w:eastAsia="it-IT"/>
              </w:rPr>
              <w:t>Significância</w:t>
            </w:r>
          </w:p>
        </w:tc>
        <w:tc>
          <w:tcPr>
            <w:cnfStyle w:val="000100000000" w:firstRow="0" w:lastRow="0" w:firstColumn="0" w:lastColumn="1" w:oddVBand="0" w:evenVBand="0" w:oddHBand="0" w:evenHBand="0" w:firstRowFirstColumn="0" w:firstRowLastColumn="0" w:lastRowFirstColumn="0" w:lastRowLastColumn="0"/>
            <w:tcW w:w="4021" w:type="pct"/>
          </w:tcPr>
          <w:p w14:paraId="45E4E7C1" w14:textId="05ABAF98" w:rsidR="006E1E13" w:rsidRPr="00292532" w:rsidRDefault="006E1E1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Baixa:</w:t>
            </w:r>
            <w:r w:rsidRPr="00292532">
              <w:rPr>
                <w:rFonts w:eastAsia="Times New Roman" w:cs="Calibri"/>
                <w:b w:val="0"/>
                <w:color w:val="000000"/>
                <w:lang w:val="pt-PT" w:eastAsia="it-IT"/>
              </w:rPr>
              <w:t xml:space="preserve"> o impacto não deve influenciar nas decisões, não exige investigação </w:t>
            </w:r>
            <w:r w:rsidR="0005701F" w:rsidRPr="00292532">
              <w:rPr>
                <w:rFonts w:eastAsia="Times New Roman" w:cs="Calibri"/>
                <w:b w:val="0"/>
                <w:color w:val="000000"/>
                <w:lang w:val="pt-PT" w:eastAsia="it-IT"/>
              </w:rPr>
              <w:t>profunda</w:t>
            </w:r>
            <w:r w:rsidRPr="00292532">
              <w:rPr>
                <w:rFonts w:eastAsia="Times New Roman" w:cs="Calibri"/>
                <w:b w:val="0"/>
                <w:color w:val="000000"/>
                <w:lang w:val="pt-PT" w:eastAsia="it-IT"/>
              </w:rPr>
              <w:t xml:space="preserve"> sobre suas causas e medidas de mitigação e gestão </w:t>
            </w:r>
          </w:p>
          <w:p w14:paraId="3C19CD44" w14:textId="1DE149D7" w:rsidR="006E1E13" w:rsidRPr="00292532" w:rsidRDefault="006E1E1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Média</w:t>
            </w:r>
            <w:r w:rsidR="001B461D" w:rsidRPr="00292532">
              <w:rPr>
                <w:rFonts w:eastAsia="Times New Roman" w:cs="Calibri"/>
                <w:b w:val="0"/>
                <w:i/>
                <w:iCs/>
                <w:color w:val="000000"/>
                <w:lang w:val="pt-PT" w:eastAsia="it-IT"/>
              </w:rPr>
              <w:t>:</w:t>
            </w:r>
            <w:r w:rsidR="001B461D" w:rsidRPr="00292532">
              <w:rPr>
                <w:rFonts w:eastAsia="Times New Roman" w:cs="Calibri"/>
                <w:b w:val="0"/>
                <w:color w:val="000000"/>
                <w:lang w:val="pt-PT" w:eastAsia="it-IT"/>
              </w:rPr>
              <w:t xml:space="preserve"> o impacto influência nas decisões pois, requer mitigação e gestão para minimizar o impacto negativo ou incrementar o impacto positivo</w:t>
            </w:r>
          </w:p>
          <w:p w14:paraId="78601F00" w14:textId="6681BC90" w:rsidR="006E1E13" w:rsidRPr="00292532" w:rsidRDefault="001B461D"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Alta:</w:t>
            </w:r>
            <w:r w:rsidRPr="00292532">
              <w:rPr>
                <w:rFonts w:eastAsia="Times New Roman" w:cs="Calibri"/>
                <w:b w:val="0"/>
                <w:color w:val="000000"/>
                <w:lang w:val="pt-PT" w:eastAsia="it-IT"/>
              </w:rPr>
              <w:t xml:space="preserve"> se não for mitigado ou gerido, deverá influenciar nas decisões sobre </w:t>
            </w:r>
            <w:proofErr w:type="spellStart"/>
            <w:r w:rsidRPr="00292532">
              <w:rPr>
                <w:rFonts w:eastAsia="Times New Roman" w:cs="Calibri"/>
                <w:b w:val="0"/>
                <w:color w:val="000000"/>
                <w:lang w:val="pt-PT" w:eastAsia="it-IT"/>
              </w:rPr>
              <w:t>aspectos</w:t>
            </w:r>
            <w:proofErr w:type="spellEnd"/>
            <w:r w:rsidRPr="00292532">
              <w:rPr>
                <w:rFonts w:eastAsia="Times New Roman" w:cs="Calibri"/>
                <w:b w:val="0"/>
                <w:color w:val="000000"/>
                <w:lang w:val="pt-PT" w:eastAsia="it-IT"/>
              </w:rPr>
              <w:t xml:space="preserve"> específicos relativos ao </w:t>
            </w:r>
            <w:proofErr w:type="spellStart"/>
            <w:r w:rsidRPr="00292532">
              <w:rPr>
                <w:rFonts w:eastAsia="Times New Roman" w:cs="Calibri"/>
                <w:b w:val="0"/>
                <w:color w:val="000000"/>
                <w:lang w:val="pt-PT" w:eastAsia="it-IT"/>
              </w:rPr>
              <w:t>projecto</w:t>
            </w:r>
            <w:proofErr w:type="spellEnd"/>
            <w:r w:rsidRPr="00292532">
              <w:rPr>
                <w:rFonts w:eastAsia="Times New Roman" w:cs="Calibri"/>
                <w:b w:val="0"/>
                <w:color w:val="000000"/>
                <w:lang w:val="pt-PT" w:eastAsia="it-IT"/>
              </w:rPr>
              <w:t xml:space="preserve">. </w:t>
            </w:r>
          </w:p>
        </w:tc>
      </w:tr>
    </w:tbl>
    <w:p w14:paraId="542DD203" w14:textId="77777777" w:rsidR="007A0262" w:rsidRPr="00292532" w:rsidRDefault="007A0262" w:rsidP="007A0262">
      <w:pPr>
        <w:suppressAutoHyphens/>
        <w:spacing w:before="0" w:after="120"/>
        <w:rPr>
          <w:rFonts w:eastAsia="Times New Roman" w:cs="Calibri"/>
          <w:lang w:val="pt-PT" w:eastAsia="it-IT"/>
        </w:rPr>
      </w:pPr>
    </w:p>
    <w:p w14:paraId="0E88691E" w14:textId="649975B6" w:rsidR="001B461D" w:rsidRPr="00292532" w:rsidRDefault="001B461D" w:rsidP="001B461D">
      <w:pPr>
        <w:rPr>
          <w:lang w:val="pt-PT"/>
        </w:rPr>
      </w:pPr>
      <w:r w:rsidRPr="00292532">
        <w:rPr>
          <w:lang w:val="pt-PT"/>
        </w:rPr>
        <w:t>É geralmente aceite que a significância é uma função da magnitude do impacto (intensidade) e da probabilidade de ocorrência do mesmo. É amplamente aceite que a magnitude do impacto (ou intensidade) é uma função da extensão e duração do impacto.</w:t>
      </w:r>
    </w:p>
    <w:p w14:paraId="518E16CA" w14:textId="030E89C9" w:rsidR="007A0262" w:rsidRPr="00292532" w:rsidRDefault="001B461D" w:rsidP="001B461D">
      <w:pPr>
        <w:rPr>
          <w:lang w:val="pt-PT"/>
        </w:rPr>
      </w:pPr>
      <w:r w:rsidRPr="00292532">
        <w:rPr>
          <w:lang w:val="pt-PT"/>
        </w:rPr>
        <w:t xml:space="preserve">Os critérios para a determinação da significância apresentam-se na </w:t>
      </w:r>
      <w:r w:rsidR="0005701F" w:rsidRPr="00292532">
        <w:rPr>
          <w:lang w:val="pt-PT"/>
        </w:rPr>
        <w:t>matriz</w:t>
      </w:r>
      <w:r w:rsidRPr="00292532">
        <w:rPr>
          <w:lang w:val="pt-PT"/>
        </w:rPr>
        <w:t xml:space="preserve"> abaixo (</w:t>
      </w:r>
      <w:r w:rsidRPr="00292532">
        <w:rPr>
          <w:b/>
          <w:bCs/>
          <w:lang w:val="pt-PT"/>
        </w:rPr>
        <w:fldChar w:fldCharType="begin"/>
      </w:r>
      <w:r w:rsidRPr="00292532">
        <w:rPr>
          <w:b/>
          <w:bCs/>
          <w:lang w:val="pt-PT"/>
        </w:rPr>
        <w:instrText xml:space="preserve"> REF _Ref72517085 \h  \* MERGEFORMAT </w:instrText>
      </w:r>
      <w:r w:rsidRPr="00292532">
        <w:rPr>
          <w:b/>
          <w:bCs/>
          <w:lang w:val="pt-PT"/>
        </w:rPr>
      </w:r>
      <w:r w:rsidRPr="00292532">
        <w:rPr>
          <w:b/>
          <w:bCs/>
          <w:lang w:val="pt-PT"/>
        </w:rPr>
        <w:fldChar w:fldCharType="separate"/>
      </w:r>
      <w:r w:rsidR="001A21CB" w:rsidRPr="00292532">
        <w:rPr>
          <w:b/>
          <w:bCs/>
          <w:lang w:val="pt-PT"/>
        </w:rPr>
        <w:t xml:space="preserve">Tabela </w:t>
      </w:r>
      <w:r w:rsidR="001A21CB" w:rsidRPr="00292532">
        <w:rPr>
          <w:b/>
          <w:bCs/>
          <w:noProof/>
          <w:lang w:val="pt-PT"/>
        </w:rPr>
        <w:t>15</w:t>
      </w:r>
      <w:r w:rsidRPr="00292532">
        <w:rPr>
          <w:b/>
          <w:bCs/>
          <w:lang w:val="pt-PT"/>
        </w:rPr>
        <w:fldChar w:fldCharType="end"/>
      </w:r>
      <w:r w:rsidRPr="00292532">
        <w:rPr>
          <w:b/>
          <w:bCs/>
          <w:lang w:val="pt-PT"/>
        </w:rPr>
        <w:t>).</w:t>
      </w:r>
      <w:r w:rsidRPr="00292532">
        <w:rPr>
          <w:lang w:val="pt-PT"/>
        </w:rPr>
        <w:t xml:space="preserve"> </w:t>
      </w:r>
    </w:p>
    <w:p w14:paraId="1633CC20" w14:textId="475005EF" w:rsidR="001B461D" w:rsidRPr="00292532" w:rsidRDefault="001B461D" w:rsidP="001B461D">
      <w:pPr>
        <w:pStyle w:val="Caption"/>
      </w:pPr>
      <w:bookmarkStart w:id="177" w:name="_Ref72517085"/>
      <w:bookmarkStart w:id="178" w:name="_Toc75438156"/>
      <w:bookmarkStart w:id="179" w:name="_Toc80380262"/>
      <w:r w:rsidRPr="00292532">
        <w:lastRenderedPageBreak/>
        <w:t xml:space="preserve">Tabela </w:t>
      </w:r>
      <w:r w:rsidRPr="00292532">
        <w:fldChar w:fldCharType="begin"/>
      </w:r>
      <w:r w:rsidRPr="00292532">
        <w:instrText xml:space="preserve"> SEQ Tabela \* ARABIC </w:instrText>
      </w:r>
      <w:r w:rsidRPr="00292532">
        <w:fldChar w:fldCharType="separate"/>
      </w:r>
      <w:r w:rsidR="000D7B05">
        <w:rPr>
          <w:noProof/>
        </w:rPr>
        <w:t>15</w:t>
      </w:r>
      <w:r w:rsidRPr="00292532">
        <w:fldChar w:fldCharType="end"/>
      </w:r>
      <w:bookmarkEnd w:id="177"/>
      <w:r w:rsidRPr="00292532">
        <w:t>: Matriz de Classificação da Significância</w:t>
      </w:r>
      <w:bookmarkEnd w:id="178"/>
      <w:bookmarkEnd w:id="179"/>
    </w:p>
    <w:p w14:paraId="00A3E675" w14:textId="407F4875" w:rsidR="001B461D" w:rsidRPr="00292532" w:rsidRDefault="001B461D" w:rsidP="001B461D">
      <w:pPr>
        <w:rPr>
          <w:lang w:val="pt-PT" w:eastAsia="ja-JP"/>
        </w:rPr>
      </w:pPr>
      <w:r w:rsidRPr="00292532">
        <w:rPr>
          <w:noProof/>
          <w:lang w:val="en-US"/>
        </w:rPr>
        <w:drawing>
          <wp:inline distT="0" distB="0" distL="0" distR="0" wp14:anchorId="61ACC225" wp14:editId="7E317641">
            <wp:extent cx="5400040" cy="2760345"/>
            <wp:effectExtent l="0" t="0" r="0" b="190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00040" cy="2760345"/>
                    </a:xfrm>
                    <a:prstGeom prst="rect">
                      <a:avLst/>
                    </a:prstGeom>
                  </pic:spPr>
                </pic:pic>
              </a:graphicData>
            </a:graphic>
          </wp:inline>
        </w:drawing>
      </w:r>
    </w:p>
    <w:p w14:paraId="15DB0F54" w14:textId="61C815F2" w:rsidR="00234235" w:rsidRPr="00292532" w:rsidRDefault="00234235" w:rsidP="00234235">
      <w:pPr>
        <w:pStyle w:val="Heading2"/>
      </w:pPr>
      <w:bookmarkStart w:id="180" w:name="_Toc80379966"/>
      <w:r w:rsidRPr="00292532">
        <w:t xml:space="preserve">Riscos e Ambientais e Sociais </w:t>
      </w:r>
      <w:r w:rsidR="005C17A3" w:rsidRPr="00292532">
        <w:t xml:space="preserve">do </w:t>
      </w:r>
      <w:proofErr w:type="spellStart"/>
      <w:r w:rsidR="005C17A3" w:rsidRPr="00292532">
        <w:t>Projecto</w:t>
      </w:r>
      <w:bookmarkEnd w:id="180"/>
      <w:proofErr w:type="spellEnd"/>
    </w:p>
    <w:p w14:paraId="2E714CD7" w14:textId="265F72A8" w:rsidR="00F05E86" w:rsidRPr="00292532" w:rsidRDefault="00F05E86">
      <w:pPr>
        <w:pStyle w:val="Heading3"/>
        <w:rPr>
          <w:lang w:eastAsia="ja-JP"/>
        </w:rPr>
      </w:pPr>
      <w:bookmarkStart w:id="181" w:name="_Toc80379967"/>
      <w:r w:rsidRPr="00292532">
        <w:rPr>
          <w:lang w:eastAsia="ja-JP"/>
        </w:rPr>
        <w:t>Riscos e impactos ambientais e sociais na fase de pré-construção</w:t>
      </w:r>
      <w:bookmarkEnd w:id="181"/>
    </w:p>
    <w:p w14:paraId="32A7D226" w14:textId="2E05C55D" w:rsidR="00234235" w:rsidRPr="00292532" w:rsidRDefault="00234235" w:rsidP="00234235">
      <w:pPr>
        <w:spacing w:before="0"/>
        <w:rPr>
          <w:lang w:val="pt-PT" w:eastAsia="ja-JP"/>
        </w:rPr>
      </w:pPr>
      <w:r w:rsidRPr="00292532">
        <w:rPr>
          <w:lang w:val="pt-PT" w:eastAsia="ja-JP"/>
        </w:rPr>
        <w:t xml:space="preserve">As principais </w:t>
      </w:r>
      <w:proofErr w:type="spellStart"/>
      <w:r w:rsidRPr="00292532">
        <w:rPr>
          <w:lang w:val="pt-PT" w:eastAsia="ja-JP"/>
        </w:rPr>
        <w:t>actividades</w:t>
      </w:r>
      <w:proofErr w:type="spellEnd"/>
      <w:r w:rsidRPr="00292532">
        <w:rPr>
          <w:lang w:val="pt-PT" w:eastAsia="ja-JP"/>
        </w:rPr>
        <w:t xml:space="preserve"> geradoras de impactos ambientais e sociais na fase de pré-construção identificam-se como sendo as seguintes: </w:t>
      </w:r>
    </w:p>
    <w:p w14:paraId="6B35D737" w14:textId="77777777" w:rsidR="00234235" w:rsidRPr="00292532" w:rsidRDefault="00234235" w:rsidP="00234235">
      <w:pPr>
        <w:spacing w:before="0"/>
        <w:rPr>
          <w:lang w:val="pt-PT" w:eastAsia="ja-JP"/>
        </w:rPr>
      </w:pPr>
      <w:r w:rsidRPr="00292532">
        <w:rPr>
          <w:lang w:val="pt-PT" w:eastAsia="ja-JP"/>
        </w:rPr>
        <w:t>•</w:t>
      </w:r>
      <w:r w:rsidRPr="00292532">
        <w:rPr>
          <w:lang w:val="pt-PT" w:eastAsia="ja-JP"/>
        </w:rPr>
        <w:tab/>
        <w:t xml:space="preserve">Levantamentos geotécnicos e geofísicos </w:t>
      </w:r>
    </w:p>
    <w:p w14:paraId="0B8E49E7" w14:textId="77777777" w:rsidR="00234235" w:rsidRPr="00292532" w:rsidRDefault="00234235" w:rsidP="00234235">
      <w:pPr>
        <w:spacing w:before="0"/>
        <w:rPr>
          <w:lang w:val="pt-PT" w:eastAsia="ja-JP"/>
        </w:rPr>
      </w:pPr>
      <w:r w:rsidRPr="00292532">
        <w:rPr>
          <w:lang w:val="pt-PT" w:eastAsia="ja-JP"/>
        </w:rPr>
        <w:t>•</w:t>
      </w:r>
      <w:r w:rsidRPr="00292532">
        <w:rPr>
          <w:lang w:val="pt-PT" w:eastAsia="ja-JP"/>
        </w:rPr>
        <w:tab/>
        <w:t xml:space="preserve">Estabelecimento de estaleiro </w:t>
      </w:r>
    </w:p>
    <w:p w14:paraId="6CB5CC33" w14:textId="77777777" w:rsidR="00234235" w:rsidRPr="00292532" w:rsidRDefault="00234235" w:rsidP="00234235">
      <w:pPr>
        <w:spacing w:before="0"/>
        <w:rPr>
          <w:lang w:val="pt-PT" w:eastAsia="ja-JP"/>
        </w:rPr>
      </w:pPr>
      <w:r w:rsidRPr="00292532">
        <w:rPr>
          <w:lang w:val="pt-PT" w:eastAsia="ja-JP"/>
        </w:rPr>
        <w:t>•</w:t>
      </w:r>
      <w:r w:rsidRPr="00292532">
        <w:rPr>
          <w:lang w:val="pt-PT" w:eastAsia="ja-JP"/>
        </w:rPr>
        <w:tab/>
        <w:t xml:space="preserve">Mobilização de equipamento e de pessoal </w:t>
      </w:r>
    </w:p>
    <w:p w14:paraId="1567C3F4" w14:textId="77777777" w:rsidR="00234235" w:rsidRPr="00292532" w:rsidRDefault="00234235" w:rsidP="00234235">
      <w:pPr>
        <w:spacing w:before="0"/>
        <w:rPr>
          <w:lang w:val="pt-PT" w:eastAsia="ja-JP"/>
        </w:rPr>
      </w:pPr>
      <w:r w:rsidRPr="00292532">
        <w:rPr>
          <w:lang w:val="pt-PT" w:eastAsia="ja-JP"/>
        </w:rPr>
        <w:t>•</w:t>
      </w:r>
      <w:r w:rsidRPr="00292532">
        <w:rPr>
          <w:lang w:val="pt-PT" w:eastAsia="ja-JP"/>
        </w:rPr>
        <w:tab/>
        <w:t>Demarcação do terreno</w:t>
      </w:r>
    </w:p>
    <w:p w14:paraId="48D53232" w14:textId="77777777" w:rsidR="00234235" w:rsidRPr="00292532" w:rsidRDefault="00234235" w:rsidP="00234235">
      <w:pPr>
        <w:spacing w:before="0"/>
        <w:rPr>
          <w:lang w:val="pt-PT" w:eastAsia="ja-JP"/>
        </w:rPr>
      </w:pPr>
      <w:r w:rsidRPr="00292532">
        <w:rPr>
          <w:lang w:val="pt-PT" w:eastAsia="ja-JP"/>
        </w:rPr>
        <w:t>•</w:t>
      </w:r>
      <w:r w:rsidRPr="00292532">
        <w:rPr>
          <w:lang w:val="pt-PT" w:eastAsia="ja-JP"/>
        </w:rPr>
        <w:tab/>
        <w:t xml:space="preserve">Aquisição da terra </w:t>
      </w:r>
    </w:p>
    <w:p w14:paraId="35F377BD" w14:textId="77777777" w:rsidR="00234235" w:rsidRPr="00292532" w:rsidRDefault="00234235" w:rsidP="00234235">
      <w:pPr>
        <w:spacing w:before="0"/>
        <w:rPr>
          <w:lang w:val="pt-PT" w:eastAsia="ja-JP"/>
        </w:rPr>
      </w:pPr>
      <w:r w:rsidRPr="00292532">
        <w:rPr>
          <w:lang w:val="pt-PT" w:eastAsia="ja-JP"/>
        </w:rPr>
        <w:t>•</w:t>
      </w:r>
      <w:r w:rsidRPr="00292532">
        <w:rPr>
          <w:lang w:val="pt-PT" w:eastAsia="ja-JP"/>
        </w:rPr>
        <w:tab/>
        <w:t xml:space="preserve">Contratação de mão-de-obra </w:t>
      </w:r>
    </w:p>
    <w:p w14:paraId="584563C0" w14:textId="77777777" w:rsidR="00234235" w:rsidRPr="00292532" w:rsidRDefault="00234235" w:rsidP="00234235">
      <w:pPr>
        <w:spacing w:before="0"/>
        <w:rPr>
          <w:lang w:val="pt-PT" w:eastAsia="ja-JP"/>
        </w:rPr>
      </w:pPr>
      <w:r w:rsidRPr="00292532">
        <w:rPr>
          <w:lang w:val="pt-PT" w:eastAsia="ja-JP"/>
        </w:rPr>
        <w:t>•</w:t>
      </w:r>
      <w:r w:rsidRPr="00292532">
        <w:rPr>
          <w:lang w:val="pt-PT" w:eastAsia="ja-JP"/>
        </w:rPr>
        <w:tab/>
        <w:t xml:space="preserve">Exploração de câmaras de empréstimo </w:t>
      </w:r>
    </w:p>
    <w:p w14:paraId="7CB026E7" w14:textId="555F1621" w:rsidR="00234235" w:rsidRPr="00292532" w:rsidRDefault="00234235" w:rsidP="00234235">
      <w:pPr>
        <w:spacing w:before="0"/>
        <w:rPr>
          <w:lang w:val="pt-PT" w:eastAsia="ja-JP"/>
        </w:rPr>
        <w:sectPr w:rsidR="00234235" w:rsidRPr="00292532" w:rsidSect="00C01674">
          <w:pgSz w:w="11906" w:h="16838"/>
          <w:pgMar w:top="1417" w:right="1701" w:bottom="1417" w:left="1701" w:header="708" w:footer="708"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r w:rsidRPr="00292532">
        <w:rPr>
          <w:lang w:val="pt-PT" w:eastAsia="ja-JP"/>
        </w:rPr>
        <w:t>•</w:t>
      </w:r>
      <w:r w:rsidRPr="00292532">
        <w:rPr>
          <w:lang w:val="pt-PT" w:eastAsia="ja-JP"/>
        </w:rPr>
        <w:tab/>
        <w:t>Aquisição de material e de equipamento</w:t>
      </w:r>
      <w:r w:rsidR="00610A0D" w:rsidRPr="00292532">
        <w:rPr>
          <w:lang w:val="pt-PT" w:eastAsia="ja-JP"/>
        </w:rPr>
        <w:t>.</w:t>
      </w:r>
    </w:p>
    <w:p w14:paraId="0C51AA2A" w14:textId="58C9ECD1" w:rsidR="00234235" w:rsidRPr="00292532" w:rsidRDefault="00234235" w:rsidP="00876367">
      <w:pPr>
        <w:rPr>
          <w:lang w:val="pt-PT" w:eastAsia="ja-JP"/>
        </w:rPr>
      </w:pPr>
    </w:p>
    <w:p w14:paraId="33F9C156" w14:textId="20EA7399" w:rsidR="00234235" w:rsidRPr="004500AE" w:rsidRDefault="00234235" w:rsidP="00234235">
      <w:pPr>
        <w:spacing w:after="120"/>
        <w:jc w:val="center"/>
        <w:rPr>
          <w:rFonts w:eastAsiaTheme="minorEastAsia"/>
          <w:b/>
          <w:iCs/>
          <w:sz w:val="18"/>
          <w:szCs w:val="18"/>
          <w:lang w:val="pt-PT" w:eastAsia="ja-JP"/>
        </w:rPr>
      </w:pPr>
      <w:bookmarkStart w:id="182" w:name="_Toc75438157"/>
      <w:bookmarkStart w:id="183" w:name="_Toc80380263"/>
      <w:r w:rsidRPr="004500AE">
        <w:rPr>
          <w:rFonts w:eastAsiaTheme="minorEastAsia"/>
          <w:b/>
          <w:iCs/>
          <w:sz w:val="18"/>
          <w:szCs w:val="18"/>
          <w:lang w:val="pt-PT" w:eastAsia="ja-JP"/>
        </w:rPr>
        <w:t xml:space="preserve">Tabela </w:t>
      </w:r>
      <w:r w:rsidRPr="004500AE">
        <w:rPr>
          <w:rFonts w:eastAsiaTheme="minorEastAsia"/>
          <w:b/>
          <w:iCs/>
          <w:sz w:val="18"/>
          <w:szCs w:val="18"/>
          <w:lang w:val="pt-PT" w:eastAsia="ja-JP"/>
        </w:rPr>
        <w:fldChar w:fldCharType="begin"/>
      </w:r>
      <w:r w:rsidRPr="004500AE">
        <w:rPr>
          <w:rFonts w:eastAsiaTheme="minorEastAsia"/>
          <w:b/>
          <w:iCs/>
          <w:sz w:val="18"/>
          <w:szCs w:val="18"/>
          <w:lang w:val="pt-PT" w:eastAsia="ja-JP"/>
        </w:rPr>
        <w:instrText xml:space="preserve"> SEQ Tabela \* ARABIC </w:instrText>
      </w:r>
      <w:r w:rsidRPr="004500AE">
        <w:rPr>
          <w:rFonts w:eastAsiaTheme="minorEastAsia"/>
          <w:b/>
          <w:iCs/>
          <w:sz w:val="18"/>
          <w:szCs w:val="18"/>
          <w:lang w:val="pt-PT" w:eastAsia="ja-JP"/>
        </w:rPr>
        <w:fldChar w:fldCharType="separate"/>
      </w:r>
      <w:r w:rsidR="000D7B05">
        <w:rPr>
          <w:rFonts w:eastAsiaTheme="minorEastAsia"/>
          <w:b/>
          <w:iCs/>
          <w:noProof/>
          <w:sz w:val="18"/>
          <w:szCs w:val="18"/>
          <w:lang w:val="pt-PT" w:eastAsia="ja-JP"/>
        </w:rPr>
        <w:t>16</w:t>
      </w:r>
      <w:r w:rsidRPr="004500AE">
        <w:rPr>
          <w:rFonts w:eastAsiaTheme="minorEastAsia"/>
          <w:b/>
          <w:iCs/>
          <w:sz w:val="18"/>
          <w:szCs w:val="18"/>
          <w:lang w:val="pt-PT" w:eastAsia="ja-JP"/>
        </w:rPr>
        <w:fldChar w:fldCharType="end"/>
      </w:r>
      <w:r w:rsidRPr="004500AE">
        <w:rPr>
          <w:rFonts w:eastAsiaTheme="minorEastAsia"/>
          <w:b/>
          <w:iCs/>
          <w:sz w:val="18"/>
          <w:szCs w:val="18"/>
          <w:lang w:val="pt-PT" w:eastAsia="ja-JP"/>
        </w:rPr>
        <w:t>: Riscos e Impactos Ambientais na fase de pré-construção</w:t>
      </w:r>
      <w:bookmarkEnd w:id="182"/>
      <w:bookmarkEnd w:id="183"/>
    </w:p>
    <w:tbl>
      <w:tblPr>
        <w:tblStyle w:val="GridTable1Light-Accent112"/>
        <w:tblW w:w="12780" w:type="dxa"/>
        <w:tblInd w:w="805" w:type="dxa"/>
        <w:tblLayout w:type="fixed"/>
        <w:tblLook w:val="04A0" w:firstRow="1" w:lastRow="0" w:firstColumn="1" w:lastColumn="0" w:noHBand="0" w:noVBand="1"/>
      </w:tblPr>
      <w:tblGrid>
        <w:gridCol w:w="1800"/>
        <w:gridCol w:w="5425"/>
        <w:gridCol w:w="5555"/>
      </w:tblGrid>
      <w:tr w:rsidR="00E67FA0" w:rsidRPr="00292532" w14:paraId="564D0722" w14:textId="1B55539E" w:rsidTr="004500AE">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1800" w:type="dxa"/>
            <w:shd w:val="clear" w:color="auto" w:fill="D9E2F3" w:themeFill="accent1" w:themeFillTint="33"/>
          </w:tcPr>
          <w:p w14:paraId="0F7ABCF0" w14:textId="77777777" w:rsidR="00E67FA0" w:rsidRPr="00292532" w:rsidRDefault="00E67FA0" w:rsidP="00234235">
            <w:pPr>
              <w:spacing w:after="160"/>
              <w:jc w:val="center"/>
              <w:rPr>
                <w:b w:val="0"/>
                <w:bCs w:val="0"/>
                <w:sz w:val="20"/>
                <w:szCs w:val="20"/>
                <w:lang w:val="pt-PT"/>
              </w:rPr>
            </w:pPr>
            <w:r w:rsidRPr="00292532">
              <w:rPr>
                <w:b w:val="0"/>
                <w:bCs w:val="0"/>
                <w:sz w:val="20"/>
                <w:szCs w:val="20"/>
                <w:lang w:val="pt-PT"/>
              </w:rPr>
              <w:t>Risco</w:t>
            </w:r>
          </w:p>
        </w:tc>
        <w:tc>
          <w:tcPr>
            <w:tcW w:w="5425" w:type="dxa"/>
            <w:shd w:val="clear" w:color="auto" w:fill="D9E2F3" w:themeFill="accent1" w:themeFillTint="33"/>
          </w:tcPr>
          <w:p w14:paraId="72AEFB9B" w14:textId="77777777" w:rsidR="00E67FA0" w:rsidRPr="00292532" w:rsidRDefault="00E67FA0" w:rsidP="00234235">
            <w:pPr>
              <w:spacing w:after="160"/>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pt-PT"/>
              </w:rPr>
            </w:pPr>
            <w:r w:rsidRPr="00292532">
              <w:rPr>
                <w:b w:val="0"/>
                <w:bCs w:val="0"/>
                <w:sz w:val="20"/>
                <w:szCs w:val="20"/>
                <w:lang w:val="pt-PT"/>
              </w:rPr>
              <w:t>Causas</w:t>
            </w:r>
          </w:p>
        </w:tc>
        <w:tc>
          <w:tcPr>
            <w:tcW w:w="5555" w:type="dxa"/>
            <w:shd w:val="clear" w:color="auto" w:fill="D9E2F3" w:themeFill="accent1" w:themeFillTint="33"/>
          </w:tcPr>
          <w:p w14:paraId="3DF760E5" w14:textId="77777777" w:rsidR="00E67FA0" w:rsidRPr="00292532" w:rsidRDefault="00E67FA0" w:rsidP="00234235">
            <w:pPr>
              <w:spacing w:after="160"/>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pt-PT"/>
              </w:rPr>
            </w:pPr>
            <w:r w:rsidRPr="00292532">
              <w:rPr>
                <w:b w:val="0"/>
                <w:bCs w:val="0"/>
                <w:sz w:val="20"/>
                <w:szCs w:val="20"/>
                <w:lang w:val="pt-PT"/>
              </w:rPr>
              <w:t>Impactos</w:t>
            </w:r>
          </w:p>
        </w:tc>
      </w:tr>
      <w:tr w:rsidR="00E67FA0" w:rsidRPr="001E4B2C" w14:paraId="30EF3B4A" w14:textId="3E7A5317" w:rsidTr="004500AE">
        <w:trPr>
          <w:trHeight w:val="517"/>
        </w:trPr>
        <w:tc>
          <w:tcPr>
            <w:cnfStyle w:val="001000000000" w:firstRow="0" w:lastRow="0" w:firstColumn="1" w:lastColumn="0" w:oddVBand="0" w:evenVBand="0" w:oddHBand="0" w:evenHBand="0" w:firstRowFirstColumn="0" w:firstRowLastColumn="0" w:lastRowFirstColumn="0" w:lastRowLastColumn="0"/>
            <w:tcW w:w="1800" w:type="dxa"/>
          </w:tcPr>
          <w:p w14:paraId="64178A4D" w14:textId="77777777" w:rsidR="00E67FA0" w:rsidRPr="00292532" w:rsidRDefault="00E67FA0" w:rsidP="00234235">
            <w:pPr>
              <w:spacing w:after="160"/>
              <w:rPr>
                <w:sz w:val="20"/>
                <w:szCs w:val="20"/>
                <w:lang w:val="pt-PT"/>
              </w:rPr>
            </w:pPr>
            <w:r w:rsidRPr="00292532">
              <w:rPr>
                <w:sz w:val="20"/>
                <w:szCs w:val="20"/>
                <w:lang w:val="pt-PT"/>
              </w:rPr>
              <w:t xml:space="preserve">Emissão de poluentes atmosféricos incluindo poeiras e emissões de gases das fontes de combustão </w:t>
            </w:r>
          </w:p>
        </w:tc>
        <w:tc>
          <w:tcPr>
            <w:tcW w:w="5425" w:type="dxa"/>
          </w:tcPr>
          <w:p w14:paraId="76219BD6" w14:textId="77777777" w:rsidR="00E67FA0" w:rsidRPr="00292532" w:rsidRDefault="00E67FA0"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Mobilização de pessoal, de maquinaria e equipamento da obra;</w:t>
            </w:r>
          </w:p>
          <w:p w14:paraId="02646837" w14:textId="77777777" w:rsidR="00E67FA0" w:rsidRPr="00292532" w:rsidRDefault="00E67FA0"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Exploração de câmaras de empréstimo </w:t>
            </w:r>
          </w:p>
          <w:p w14:paraId="60FEC90A" w14:textId="77777777" w:rsidR="00E67FA0" w:rsidRPr="00292532" w:rsidRDefault="00E67FA0"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Transporte de material (areia e pedra) para o local das obras</w:t>
            </w:r>
          </w:p>
          <w:p w14:paraId="29737448" w14:textId="77777777" w:rsidR="00E67FA0" w:rsidRPr="00292532" w:rsidRDefault="00E67FA0" w:rsidP="0024772D">
            <w:pPr>
              <w:numPr>
                <w:ilvl w:val="0"/>
                <w:numId w:val="30"/>
              </w:numPr>
              <w:spacing w:before="0"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Outros </w:t>
            </w:r>
            <w:proofErr w:type="spellStart"/>
            <w:r w:rsidRPr="00292532">
              <w:rPr>
                <w:sz w:val="20"/>
                <w:szCs w:val="20"/>
                <w:lang w:val="pt-PT"/>
              </w:rPr>
              <w:t>factores</w:t>
            </w:r>
            <w:proofErr w:type="spellEnd"/>
            <w:r w:rsidRPr="00292532">
              <w:rPr>
                <w:sz w:val="20"/>
                <w:szCs w:val="20"/>
                <w:lang w:val="pt-PT"/>
              </w:rPr>
              <w:t xml:space="preserve"> que potencialmente </w:t>
            </w:r>
            <w:proofErr w:type="spellStart"/>
            <w:r w:rsidRPr="00292532">
              <w:rPr>
                <w:sz w:val="20"/>
                <w:szCs w:val="20"/>
                <w:lang w:val="pt-PT"/>
              </w:rPr>
              <w:t>afectam</w:t>
            </w:r>
            <w:proofErr w:type="spellEnd"/>
            <w:r w:rsidRPr="00292532">
              <w:rPr>
                <w:sz w:val="20"/>
                <w:szCs w:val="20"/>
                <w:lang w:val="pt-PT"/>
              </w:rPr>
              <w:t xml:space="preserve"> a suspensão de partículas pela </w:t>
            </w:r>
            <w:proofErr w:type="spellStart"/>
            <w:r w:rsidRPr="00292532">
              <w:rPr>
                <w:sz w:val="20"/>
                <w:szCs w:val="20"/>
                <w:lang w:val="pt-PT"/>
              </w:rPr>
              <w:t>acção</w:t>
            </w:r>
            <w:proofErr w:type="spellEnd"/>
            <w:r w:rsidRPr="00292532">
              <w:rPr>
                <w:sz w:val="20"/>
                <w:szCs w:val="20"/>
                <w:lang w:val="pt-PT"/>
              </w:rPr>
              <w:t xml:space="preserve"> do tráfego são o tipo de solo, a velocidade a que os veículos circulam e influência do clima (ventos, pluviosidade)</w:t>
            </w:r>
          </w:p>
        </w:tc>
        <w:tc>
          <w:tcPr>
            <w:tcW w:w="5555" w:type="dxa"/>
          </w:tcPr>
          <w:p w14:paraId="4D40AAFF" w14:textId="77777777" w:rsidR="00E67FA0" w:rsidRPr="00292532" w:rsidRDefault="00E67FA0"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Poluição do ar</w:t>
            </w:r>
          </w:p>
          <w:p w14:paraId="44ECE55C" w14:textId="77777777" w:rsidR="00E67FA0" w:rsidRPr="00292532" w:rsidRDefault="00E67FA0"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Contaminação dos cursos de água</w:t>
            </w:r>
          </w:p>
          <w:p w14:paraId="4F27C367" w14:textId="77777777" w:rsidR="00E67FA0" w:rsidRPr="00292532" w:rsidRDefault="00E67FA0"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Inalação de poeiras pelas populações locais </w:t>
            </w:r>
          </w:p>
          <w:p w14:paraId="43801D1C" w14:textId="77777777" w:rsidR="00E67FA0" w:rsidRPr="00292532" w:rsidRDefault="00E67FA0"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Incomodo às populações residentes nas proximidades</w:t>
            </w:r>
          </w:p>
          <w:p w14:paraId="24E99B15" w14:textId="77777777" w:rsidR="00E67FA0" w:rsidRPr="00292532" w:rsidRDefault="00E67FA0"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Interferência e afugentamento da fauna</w:t>
            </w:r>
          </w:p>
        </w:tc>
      </w:tr>
      <w:tr w:rsidR="00E67FA0" w:rsidRPr="001E4B2C" w14:paraId="119291A7" w14:textId="269FAB12" w:rsidTr="004500AE">
        <w:trPr>
          <w:trHeight w:val="517"/>
        </w:trPr>
        <w:tc>
          <w:tcPr>
            <w:cnfStyle w:val="001000000000" w:firstRow="0" w:lastRow="0" w:firstColumn="1" w:lastColumn="0" w:oddVBand="0" w:evenVBand="0" w:oddHBand="0" w:evenHBand="0" w:firstRowFirstColumn="0" w:firstRowLastColumn="0" w:lastRowFirstColumn="0" w:lastRowLastColumn="0"/>
            <w:tcW w:w="1800" w:type="dxa"/>
          </w:tcPr>
          <w:p w14:paraId="64C2445F" w14:textId="77777777" w:rsidR="00E67FA0" w:rsidRPr="00292532" w:rsidRDefault="00E67FA0" w:rsidP="00234235">
            <w:pPr>
              <w:spacing w:after="160"/>
              <w:rPr>
                <w:sz w:val="20"/>
                <w:szCs w:val="20"/>
                <w:lang w:val="pt-PT"/>
              </w:rPr>
            </w:pPr>
            <w:r w:rsidRPr="00292532">
              <w:rPr>
                <w:sz w:val="20"/>
                <w:szCs w:val="20"/>
                <w:lang w:val="pt-PT"/>
              </w:rPr>
              <w:t>Alteração da paisagem</w:t>
            </w:r>
          </w:p>
        </w:tc>
        <w:tc>
          <w:tcPr>
            <w:tcW w:w="5425" w:type="dxa"/>
          </w:tcPr>
          <w:p w14:paraId="0BC5DD16" w14:textId="77777777" w:rsidR="00E67FA0" w:rsidRPr="00292532" w:rsidRDefault="00E67FA0"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Mobilização de maquinaria de construção e veículos</w:t>
            </w:r>
          </w:p>
          <w:p w14:paraId="40BF5009" w14:textId="77777777" w:rsidR="00E67FA0" w:rsidRPr="00292532" w:rsidRDefault="00E67FA0"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Estabelecimento de acampamentos </w:t>
            </w:r>
          </w:p>
        </w:tc>
        <w:tc>
          <w:tcPr>
            <w:tcW w:w="5555" w:type="dxa"/>
          </w:tcPr>
          <w:p w14:paraId="066E4835" w14:textId="77777777" w:rsidR="00E67FA0" w:rsidRPr="00292532" w:rsidRDefault="00E67FA0"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Alteração das vistas panorâmicas;</w:t>
            </w:r>
          </w:p>
          <w:p w14:paraId="4FD4D20D" w14:textId="77777777" w:rsidR="00E67FA0" w:rsidRPr="00292532" w:rsidRDefault="00E67FA0"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Modificação da paisagem natural</w:t>
            </w:r>
          </w:p>
          <w:p w14:paraId="328B0A6D" w14:textId="77777777" w:rsidR="00E67FA0" w:rsidRPr="00292532" w:rsidRDefault="00E67FA0"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Incomodo das populações residentes nas proximidades</w:t>
            </w:r>
          </w:p>
          <w:p w14:paraId="1B1BB8F0" w14:textId="77777777" w:rsidR="00E67FA0" w:rsidRPr="00292532" w:rsidRDefault="00E67FA0" w:rsidP="00234235">
            <w:pPr>
              <w:ind w:left="3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
        </w:tc>
      </w:tr>
      <w:tr w:rsidR="00E67FA0" w:rsidRPr="001E4B2C" w14:paraId="5ECFC9CA" w14:textId="03A1EDE7" w:rsidTr="004500AE">
        <w:trPr>
          <w:trHeight w:val="517"/>
        </w:trPr>
        <w:tc>
          <w:tcPr>
            <w:cnfStyle w:val="001000000000" w:firstRow="0" w:lastRow="0" w:firstColumn="1" w:lastColumn="0" w:oddVBand="0" w:evenVBand="0" w:oddHBand="0" w:evenHBand="0" w:firstRowFirstColumn="0" w:firstRowLastColumn="0" w:lastRowFirstColumn="0" w:lastRowLastColumn="0"/>
            <w:tcW w:w="1800" w:type="dxa"/>
          </w:tcPr>
          <w:p w14:paraId="3EEA6B91" w14:textId="77777777" w:rsidR="00E67FA0" w:rsidRPr="00292532" w:rsidRDefault="00E67FA0" w:rsidP="00234235">
            <w:pPr>
              <w:spacing w:after="160"/>
              <w:rPr>
                <w:sz w:val="20"/>
                <w:szCs w:val="20"/>
                <w:lang w:val="pt-PT"/>
              </w:rPr>
            </w:pPr>
            <w:r w:rsidRPr="00292532">
              <w:rPr>
                <w:sz w:val="20"/>
                <w:szCs w:val="20"/>
                <w:lang w:val="pt-PT"/>
              </w:rPr>
              <w:t>Contaminação, Remoção e degradação do solo</w:t>
            </w:r>
          </w:p>
        </w:tc>
        <w:tc>
          <w:tcPr>
            <w:tcW w:w="5425" w:type="dxa"/>
          </w:tcPr>
          <w:p w14:paraId="422D607C" w14:textId="77777777" w:rsidR="00E67FA0" w:rsidRPr="00292532" w:rsidRDefault="00E67FA0"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Exploração de câmaras de empréstimo </w:t>
            </w:r>
          </w:p>
          <w:p w14:paraId="61DB4179" w14:textId="77777777" w:rsidR="00E67FA0" w:rsidRPr="00292532" w:rsidRDefault="00E67FA0"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Características e sensibilidade dos solos das áreas e serem exploradas como câmaras de empréstimo </w:t>
            </w:r>
          </w:p>
          <w:p w14:paraId="336BA349" w14:textId="71FBB467" w:rsidR="00E67FA0" w:rsidRPr="00292532" w:rsidRDefault="00E67FA0"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Derrames acidentais </w:t>
            </w:r>
            <w:proofErr w:type="gramStart"/>
            <w:r w:rsidRPr="00292532">
              <w:rPr>
                <w:sz w:val="20"/>
                <w:szCs w:val="20"/>
                <w:lang w:val="pt-PT"/>
              </w:rPr>
              <w:t>à</w:t>
            </w:r>
            <w:proofErr w:type="gramEnd"/>
            <w:r w:rsidRPr="00292532">
              <w:rPr>
                <w:sz w:val="20"/>
                <w:szCs w:val="20"/>
                <w:lang w:val="pt-PT"/>
              </w:rPr>
              <w:t xml:space="preserve"> partir de veículos</w:t>
            </w:r>
          </w:p>
          <w:p w14:paraId="436409AD" w14:textId="77777777" w:rsidR="00E67FA0" w:rsidRPr="00292532" w:rsidRDefault="00E67FA0"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Circulação de veículos </w:t>
            </w:r>
          </w:p>
          <w:p w14:paraId="6FD409BC" w14:textId="77777777" w:rsidR="00E67FA0" w:rsidRPr="00292532" w:rsidRDefault="00E67FA0" w:rsidP="00234235">
            <w:pPr>
              <w:spacing w:after="160"/>
              <w:ind w:left="3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
        </w:tc>
        <w:tc>
          <w:tcPr>
            <w:tcW w:w="5555" w:type="dxa"/>
          </w:tcPr>
          <w:p w14:paraId="348673F9" w14:textId="77777777" w:rsidR="00E67FA0" w:rsidRPr="00292532" w:rsidRDefault="00E67FA0"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Contaminação dos solos por derrames acidentais de combustíveis</w:t>
            </w:r>
          </w:p>
          <w:p w14:paraId="251BE8E8" w14:textId="77777777" w:rsidR="00E67FA0" w:rsidRPr="00292532" w:rsidRDefault="00E67FA0"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Perda do solo por remoção do solo superficial ou enterramento de perfis inteiros de solo, escavação do manto rochoso e cobertura de áreas sob os depósitos de solo/rocha;</w:t>
            </w:r>
          </w:p>
          <w:p w14:paraId="3AC2D0C4" w14:textId="77777777" w:rsidR="00E67FA0" w:rsidRPr="00292532" w:rsidRDefault="00E67FA0"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Mudança nas características do solo por erosão pelos veículos de construção na área do local de trabalho e em torno das estradas de acesso;</w:t>
            </w:r>
          </w:p>
        </w:tc>
      </w:tr>
      <w:tr w:rsidR="00E67FA0" w:rsidRPr="001E4B2C" w14:paraId="0DD05632" w14:textId="3B6B6AFC" w:rsidTr="004500AE">
        <w:trPr>
          <w:trHeight w:val="517"/>
        </w:trPr>
        <w:tc>
          <w:tcPr>
            <w:cnfStyle w:val="001000000000" w:firstRow="0" w:lastRow="0" w:firstColumn="1" w:lastColumn="0" w:oddVBand="0" w:evenVBand="0" w:oddHBand="0" w:evenHBand="0" w:firstRowFirstColumn="0" w:firstRowLastColumn="0" w:lastRowFirstColumn="0" w:lastRowLastColumn="0"/>
            <w:tcW w:w="1800" w:type="dxa"/>
          </w:tcPr>
          <w:p w14:paraId="647D3B5F" w14:textId="77777777" w:rsidR="00E67FA0" w:rsidRPr="00292532" w:rsidRDefault="00E67FA0" w:rsidP="00234235">
            <w:pPr>
              <w:spacing w:after="160"/>
              <w:rPr>
                <w:sz w:val="20"/>
                <w:szCs w:val="20"/>
                <w:lang w:val="pt-PT"/>
              </w:rPr>
            </w:pPr>
            <w:r w:rsidRPr="00292532">
              <w:rPr>
                <w:sz w:val="20"/>
                <w:szCs w:val="20"/>
                <w:lang w:val="pt-PT"/>
              </w:rPr>
              <w:t xml:space="preserve">Geração de processos erosivos </w:t>
            </w:r>
          </w:p>
        </w:tc>
        <w:tc>
          <w:tcPr>
            <w:tcW w:w="5425" w:type="dxa"/>
          </w:tcPr>
          <w:p w14:paraId="335BA86B" w14:textId="77777777" w:rsidR="00E67FA0" w:rsidRPr="00292532" w:rsidRDefault="00E67FA0"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Exploração de câmaras de empréstimo </w:t>
            </w:r>
          </w:p>
          <w:p w14:paraId="5E58E2D7" w14:textId="77777777" w:rsidR="00E67FA0" w:rsidRPr="00292532" w:rsidRDefault="00E67FA0"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roofErr w:type="spellStart"/>
            <w:r w:rsidRPr="00292532">
              <w:rPr>
                <w:sz w:val="20"/>
                <w:szCs w:val="20"/>
                <w:lang w:val="pt-PT"/>
              </w:rPr>
              <w:t>Acção</w:t>
            </w:r>
            <w:proofErr w:type="spellEnd"/>
            <w:r w:rsidRPr="00292532">
              <w:rPr>
                <w:sz w:val="20"/>
                <w:szCs w:val="20"/>
                <w:lang w:val="pt-PT"/>
              </w:rPr>
              <w:t xml:space="preserve"> dos ventos e precipitação </w:t>
            </w:r>
          </w:p>
          <w:p w14:paraId="1303475F" w14:textId="77777777" w:rsidR="00E67FA0" w:rsidRPr="00292532" w:rsidRDefault="00E67FA0"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Tipo de solos </w:t>
            </w:r>
          </w:p>
        </w:tc>
        <w:tc>
          <w:tcPr>
            <w:tcW w:w="5555" w:type="dxa"/>
          </w:tcPr>
          <w:p w14:paraId="7FD5C540" w14:textId="6044BBCB" w:rsidR="00E67FA0" w:rsidRPr="00292532" w:rsidRDefault="00E67FA0"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Redução da qualidade do solo e capacidade reduzida de retenção de água dos solos erodidos, </w:t>
            </w:r>
          </w:p>
          <w:p w14:paraId="46FD1BDD" w14:textId="77777777" w:rsidR="00E67FA0" w:rsidRPr="00292532" w:rsidRDefault="00E67FA0"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interferência nos ecossistemas ribeirinhos e sedimentação que leva a uma qualidade reduzida da água superficial, escoamento de sedimentos e redução das áreas de colheitas</w:t>
            </w:r>
          </w:p>
          <w:p w14:paraId="7722D19C" w14:textId="77777777" w:rsidR="00E67FA0" w:rsidRPr="00292532" w:rsidRDefault="00E67FA0"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Perda e fragmentação de habitats</w:t>
            </w:r>
          </w:p>
        </w:tc>
      </w:tr>
      <w:tr w:rsidR="00E67FA0" w:rsidRPr="001E4B2C" w14:paraId="3907BBB5" w14:textId="07BE8929" w:rsidTr="004500AE">
        <w:trPr>
          <w:trHeight w:val="517"/>
        </w:trPr>
        <w:tc>
          <w:tcPr>
            <w:cnfStyle w:val="001000000000" w:firstRow="0" w:lastRow="0" w:firstColumn="1" w:lastColumn="0" w:oddVBand="0" w:evenVBand="0" w:oddHBand="0" w:evenHBand="0" w:firstRowFirstColumn="0" w:firstRowLastColumn="0" w:lastRowFirstColumn="0" w:lastRowLastColumn="0"/>
            <w:tcW w:w="1800" w:type="dxa"/>
          </w:tcPr>
          <w:p w14:paraId="0C876DD8" w14:textId="77777777" w:rsidR="00E67FA0" w:rsidRPr="00292532" w:rsidRDefault="00E67FA0" w:rsidP="00234235">
            <w:pPr>
              <w:rPr>
                <w:sz w:val="20"/>
                <w:szCs w:val="20"/>
                <w:lang w:val="pt-PT"/>
              </w:rPr>
            </w:pPr>
            <w:r w:rsidRPr="00292532">
              <w:rPr>
                <w:sz w:val="20"/>
                <w:szCs w:val="20"/>
                <w:lang w:val="pt-PT"/>
              </w:rPr>
              <w:lastRenderedPageBreak/>
              <w:t>Emissão de ruídos e vibrações</w:t>
            </w:r>
          </w:p>
        </w:tc>
        <w:tc>
          <w:tcPr>
            <w:tcW w:w="5425" w:type="dxa"/>
          </w:tcPr>
          <w:p w14:paraId="428DBB5B" w14:textId="77777777"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Mobilização de pessoal, maquinaria e de equipamentos de construção </w:t>
            </w:r>
          </w:p>
          <w:p w14:paraId="52595B43" w14:textId="77777777" w:rsidR="00E67FA0" w:rsidRPr="00292532" w:rsidRDefault="00E67FA0" w:rsidP="00234235">
            <w:pPr>
              <w:ind w:left="3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
        </w:tc>
        <w:tc>
          <w:tcPr>
            <w:tcW w:w="5555" w:type="dxa"/>
          </w:tcPr>
          <w:p w14:paraId="490F04F0"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Aumento dos níveis sonoros no ambiente</w:t>
            </w:r>
          </w:p>
          <w:p w14:paraId="603D3EBB"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Afugentamento da fauna </w:t>
            </w:r>
          </w:p>
          <w:p w14:paraId="289C7A14"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Incomodo às populações locais</w:t>
            </w:r>
          </w:p>
          <w:p w14:paraId="16042B8F"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Efeitos de perturbação de </w:t>
            </w:r>
            <w:proofErr w:type="spellStart"/>
            <w:r w:rsidRPr="00292532">
              <w:rPr>
                <w:sz w:val="20"/>
                <w:szCs w:val="20"/>
                <w:lang w:val="pt-PT"/>
              </w:rPr>
              <w:t>receptores</w:t>
            </w:r>
            <w:proofErr w:type="spellEnd"/>
            <w:r w:rsidRPr="00292532">
              <w:rPr>
                <w:sz w:val="20"/>
                <w:szCs w:val="20"/>
                <w:lang w:val="pt-PT"/>
              </w:rPr>
              <w:t xml:space="preserve"> sensíveis (escolas, hospitais)</w:t>
            </w:r>
          </w:p>
        </w:tc>
      </w:tr>
      <w:tr w:rsidR="00E67FA0" w:rsidRPr="001E4B2C" w14:paraId="28A5022F" w14:textId="35B640AF" w:rsidTr="004500AE">
        <w:trPr>
          <w:trHeight w:val="517"/>
        </w:trPr>
        <w:tc>
          <w:tcPr>
            <w:cnfStyle w:val="001000000000" w:firstRow="0" w:lastRow="0" w:firstColumn="1" w:lastColumn="0" w:oddVBand="0" w:evenVBand="0" w:oddHBand="0" w:evenHBand="0" w:firstRowFirstColumn="0" w:firstRowLastColumn="0" w:lastRowFirstColumn="0" w:lastRowLastColumn="0"/>
            <w:tcW w:w="1800" w:type="dxa"/>
          </w:tcPr>
          <w:p w14:paraId="78B8CF6A" w14:textId="77777777" w:rsidR="00E67FA0" w:rsidRPr="00292532" w:rsidRDefault="00E67FA0" w:rsidP="00234235">
            <w:pPr>
              <w:spacing w:after="160"/>
              <w:rPr>
                <w:sz w:val="20"/>
                <w:szCs w:val="20"/>
                <w:lang w:val="pt-PT"/>
              </w:rPr>
            </w:pPr>
            <w:r w:rsidRPr="00292532">
              <w:rPr>
                <w:sz w:val="20"/>
                <w:szCs w:val="20"/>
                <w:lang w:val="pt-PT"/>
              </w:rPr>
              <w:t xml:space="preserve">Mortalidade da fauna </w:t>
            </w:r>
          </w:p>
        </w:tc>
        <w:tc>
          <w:tcPr>
            <w:tcW w:w="5425" w:type="dxa"/>
          </w:tcPr>
          <w:p w14:paraId="64FA0C58" w14:textId="77777777" w:rsidR="00E67FA0" w:rsidRPr="00292532" w:rsidRDefault="00E67FA0" w:rsidP="0024772D">
            <w:pPr>
              <w:numPr>
                <w:ilvl w:val="0"/>
                <w:numId w:val="30"/>
              </w:numPr>
              <w:spacing w:after="12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Circulação de veículos  </w:t>
            </w:r>
          </w:p>
        </w:tc>
        <w:tc>
          <w:tcPr>
            <w:tcW w:w="5555" w:type="dxa"/>
          </w:tcPr>
          <w:p w14:paraId="67B8691A" w14:textId="77777777" w:rsidR="00E67FA0" w:rsidRPr="00292532" w:rsidRDefault="00E67FA0"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Redução das espécies faunísticas nas áreas de abrangência </w:t>
            </w:r>
          </w:p>
        </w:tc>
      </w:tr>
      <w:tr w:rsidR="00E67FA0" w:rsidRPr="001E4B2C" w14:paraId="37DDC429" w14:textId="3A6E09BD" w:rsidTr="004500AE">
        <w:trPr>
          <w:trHeight w:val="517"/>
        </w:trPr>
        <w:tc>
          <w:tcPr>
            <w:cnfStyle w:val="001000000000" w:firstRow="0" w:lastRow="0" w:firstColumn="1" w:lastColumn="0" w:oddVBand="0" w:evenVBand="0" w:oddHBand="0" w:evenHBand="0" w:firstRowFirstColumn="0" w:firstRowLastColumn="0" w:lastRowFirstColumn="0" w:lastRowLastColumn="0"/>
            <w:tcW w:w="1800" w:type="dxa"/>
          </w:tcPr>
          <w:p w14:paraId="5D518297" w14:textId="77777777" w:rsidR="00E67FA0" w:rsidRPr="00292532" w:rsidRDefault="00E67FA0" w:rsidP="00234235">
            <w:pPr>
              <w:rPr>
                <w:sz w:val="20"/>
                <w:szCs w:val="20"/>
                <w:lang w:val="pt-PT"/>
              </w:rPr>
            </w:pPr>
            <w:r w:rsidRPr="00292532">
              <w:rPr>
                <w:sz w:val="20"/>
                <w:szCs w:val="20"/>
                <w:lang w:val="pt-PT"/>
              </w:rPr>
              <w:t>Derrames de combustíveis e químicos</w:t>
            </w:r>
          </w:p>
        </w:tc>
        <w:tc>
          <w:tcPr>
            <w:tcW w:w="5425" w:type="dxa"/>
          </w:tcPr>
          <w:p w14:paraId="1B0BB991" w14:textId="47E535A2"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Descargas de veículos, </w:t>
            </w:r>
          </w:p>
          <w:p w14:paraId="2BDAB9EE" w14:textId="77777777"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Colisões de veículos </w:t>
            </w:r>
          </w:p>
          <w:p w14:paraId="011BB987" w14:textId="77777777"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roofErr w:type="spellStart"/>
            <w:r w:rsidRPr="00292532">
              <w:rPr>
                <w:sz w:val="20"/>
                <w:szCs w:val="20"/>
                <w:lang w:val="pt-PT"/>
              </w:rPr>
              <w:t>Ruptura</w:t>
            </w:r>
            <w:proofErr w:type="spellEnd"/>
            <w:r w:rsidRPr="00292532">
              <w:rPr>
                <w:sz w:val="20"/>
                <w:szCs w:val="20"/>
                <w:lang w:val="pt-PT"/>
              </w:rPr>
              <w:t xml:space="preserve"> de depósitos de armazenamento de combustíveis e químicos</w:t>
            </w:r>
          </w:p>
        </w:tc>
        <w:tc>
          <w:tcPr>
            <w:tcW w:w="5555" w:type="dxa"/>
          </w:tcPr>
          <w:p w14:paraId="1FA93042"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Poluição das águas subterrâneas e dos solos</w:t>
            </w:r>
          </w:p>
          <w:p w14:paraId="38AD2101"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Contaminação das águas superficiais </w:t>
            </w:r>
          </w:p>
          <w:p w14:paraId="64D7FE36"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Ingestão/assimilação de águas contaminadas pelos animais selvagens</w:t>
            </w:r>
          </w:p>
          <w:p w14:paraId="4D4053DB"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Consumo de água contaminada pelas populações</w:t>
            </w:r>
          </w:p>
        </w:tc>
      </w:tr>
    </w:tbl>
    <w:p w14:paraId="706E30D8" w14:textId="77777777" w:rsidR="00E67FA0" w:rsidRPr="00292532" w:rsidRDefault="00E67FA0" w:rsidP="00234235">
      <w:pPr>
        <w:ind w:right="606"/>
        <w:rPr>
          <w:lang w:val="pt-PT" w:eastAsia="ja-JP"/>
        </w:rPr>
      </w:pPr>
    </w:p>
    <w:p w14:paraId="59E19BFB" w14:textId="77777777" w:rsidR="00610A0D" w:rsidRPr="00292532" w:rsidRDefault="00610A0D" w:rsidP="00234235">
      <w:pPr>
        <w:ind w:right="606"/>
        <w:rPr>
          <w:lang w:val="pt-PT" w:eastAsia="ja-JP"/>
        </w:rPr>
      </w:pPr>
    </w:p>
    <w:p w14:paraId="207445DD" w14:textId="2B171CC1" w:rsidR="00234235" w:rsidRPr="004500AE" w:rsidRDefault="00234235" w:rsidP="00234235">
      <w:pPr>
        <w:spacing w:after="120"/>
        <w:jc w:val="center"/>
        <w:rPr>
          <w:rFonts w:eastAsiaTheme="minorEastAsia"/>
          <w:b/>
          <w:iCs/>
          <w:sz w:val="18"/>
          <w:szCs w:val="18"/>
          <w:lang w:val="pt-PT" w:eastAsia="ja-JP"/>
        </w:rPr>
      </w:pPr>
      <w:bookmarkStart w:id="184" w:name="_Toc75438158"/>
      <w:bookmarkStart w:id="185" w:name="_Toc80380264"/>
      <w:r w:rsidRPr="004500AE">
        <w:rPr>
          <w:rFonts w:eastAsiaTheme="minorEastAsia"/>
          <w:b/>
          <w:iCs/>
          <w:sz w:val="18"/>
          <w:szCs w:val="18"/>
          <w:lang w:val="pt-PT" w:eastAsia="ja-JP"/>
        </w:rPr>
        <w:t xml:space="preserve">Tabela </w:t>
      </w:r>
      <w:r w:rsidRPr="004500AE">
        <w:rPr>
          <w:rFonts w:eastAsiaTheme="minorEastAsia"/>
          <w:b/>
          <w:iCs/>
          <w:sz w:val="18"/>
          <w:szCs w:val="18"/>
          <w:lang w:val="pt-PT" w:eastAsia="ja-JP"/>
        </w:rPr>
        <w:fldChar w:fldCharType="begin"/>
      </w:r>
      <w:r w:rsidRPr="004500AE">
        <w:rPr>
          <w:rFonts w:eastAsiaTheme="minorEastAsia"/>
          <w:b/>
          <w:iCs/>
          <w:sz w:val="18"/>
          <w:szCs w:val="18"/>
          <w:lang w:val="pt-PT" w:eastAsia="ja-JP"/>
        </w:rPr>
        <w:instrText xml:space="preserve"> SEQ Tabela \* ARABIC </w:instrText>
      </w:r>
      <w:r w:rsidRPr="004500AE">
        <w:rPr>
          <w:rFonts w:eastAsiaTheme="minorEastAsia"/>
          <w:b/>
          <w:iCs/>
          <w:sz w:val="18"/>
          <w:szCs w:val="18"/>
          <w:lang w:val="pt-PT" w:eastAsia="ja-JP"/>
        </w:rPr>
        <w:fldChar w:fldCharType="separate"/>
      </w:r>
      <w:r w:rsidR="00C25AEB" w:rsidRPr="004500AE">
        <w:rPr>
          <w:rFonts w:eastAsiaTheme="minorEastAsia"/>
          <w:b/>
          <w:iCs/>
          <w:noProof/>
          <w:sz w:val="18"/>
          <w:szCs w:val="18"/>
          <w:lang w:val="pt-PT" w:eastAsia="ja-JP"/>
        </w:rPr>
        <w:t>17</w:t>
      </w:r>
      <w:r w:rsidRPr="004500AE">
        <w:rPr>
          <w:rFonts w:eastAsiaTheme="minorEastAsia"/>
          <w:b/>
          <w:iCs/>
          <w:sz w:val="18"/>
          <w:szCs w:val="18"/>
          <w:lang w:val="pt-PT" w:eastAsia="ja-JP"/>
        </w:rPr>
        <w:fldChar w:fldCharType="end"/>
      </w:r>
      <w:r w:rsidRPr="004500AE">
        <w:rPr>
          <w:rFonts w:eastAsiaTheme="minorEastAsia"/>
          <w:b/>
          <w:iCs/>
          <w:sz w:val="18"/>
          <w:szCs w:val="18"/>
          <w:lang w:val="pt-PT" w:eastAsia="ja-JP"/>
        </w:rPr>
        <w:t>: Riscos e Impactos Sociais na fase de Pré-construção</w:t>
      </w:r>
      <w:bookmarkEnd w:id="184"/>
      <w:bookmarkEnd w:id="185"/>
      <w:r w:rsidRPr="004500AE">
        <w:rPr>
          <w:rFonts w:eastAsiaTheme="minorEastAsia"/>
          <w:b/>
          <w:iCs/>
          <w:sz w:val="18"/>
          <w:szCs w:val="18"/>
          <w:lang w:val="pt-PT" w:eastAsia="ja-JP"/>
        </w:rPr>
        <w:t xml:space="preserve"> </w:t>
      </w:r>
    </w:p>
    <w:tbl>
      <w:tblPr>
        <w:tblStyle w:val="GridTable1Light-Accent112"/>
        <w:tblW w:w="12780" w:type="dxa"/>
        <w:tblInd w:w="805" w:type="dxa"/>
        <w:tblLayout w:type="fixed"/>
        <w:tblLook w:val="04A0" w:firstRow="1" w:lastRow="0" w:firstColumn="1" w:lastColumn="0" w:noHBand="0" w:noVBand="1"/>
      </w:tblPr>
      <w:tblGrid>
        <w:gridCol w:w="1800"/>
        <w:gridCol w:w="5251"/>
        <w:gridCol w:w="5729"/>
      </w:tblGrid>
      <w:tr w:rsidR="00E67FA0" w:rsidRPr="00292532" w14:paraId="27E1E931" w14:textId="33481B1A" w:rsidTr="004500AE">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1800" w:type="dxa"/>
            <w:shd w:val="clear" w:color="auto" w:fill="D9E2F3" w:themeFill="accent1" w:themeFillTint="33"/>
          </w:tcPr>
          <w:p w14:paraId="27A8FD4A" w14:textId="77777777" w:rsidR="00E67FA0" w:rsidRPr="00292532" w:rsidRDefault="00E67FA0" w:rsidP="00234235">
            <w:pPr>
              <w:spacing w:after="160"/>
              <w:jc w:val="center"/>
              <w:rPr>
                <w:b w:val="0"/>
                <w:bCs w:val="0"/>
                <w:sz w:val="20"/>
                <w:szCs w:val="20"/>
                <w:lang w:val="pt-PT"/>
              </w:rPr>
            </w:pPr>
            <w:r w:rsidRPr="00292532">
              <w:rPr>
                <w:sz w:val="20"/>
                <w:szCs w:val="20"/>
                <w:lang w:val="pt-PT"/>
              </w:rPr>
              <w:t>Risco</w:t>
            </w:r>
          </w:p>
        </w:tc>
        <w:tc>
          <w:tcPr>
            <w:tcW w:w="5251" w:type="dxa"/>
            <w:shd w:val="clear" w:color="auto" w:fill="D9E2F3" w:themeFill="accent1" w:themeFillTint="33"/>
          </w:tcPr>
          <w:p w14:paraId="1909B6BC" w14:textId="77777777" w:rsidR="00E67FA0" w:rsidRPr="00292532" w:rsidRDefault="00E67FA0" w:rsidP="00234235">
            <w:pPr>
              <w:spacing w:after="160"/>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pt-PT"/>
              </w:rPr>
            </w:pPr>
            <w:r w:rsidRPr="00292532">
              <w:rPr>
                <w:sz w:val="20"/>
                <w:szCs w:val="20"/>
                <w:lang w:val="pt-PT"/>
              </w:rPr>
              <w:t>Causas</w:t>
            </w:r>
          </w:p>
        </w:tc>
        <w:tc>
          <w:tcPr>
            <w:tcW w:w="5729" w:type="dxa"/>
            <w:shd w:val="clear" w:color="auto" w:fill="D9E2F3" w:themeFill="accent1" w:themeFillTint="33"/>
          </w:tcPr>
          <w:p w14:paraId="24B3FC47" w14:textId="77777777" w:rsidR="00E67FA0" w:rsidRPr="00292532" w:rsidRDefault="00E67FA0" w:rsidP="00234235">
            <w:pPr>
              <w:spacing w:after="160"/>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pt-PT"/>
              </w:rPr>
            </w:pPr>
            <w:r w:rsidRPr="00292532">
              <w:rPr>
                <w:sz w:val="20"/>
                <w:szCs w:val="20"/>
                <w:lang w:val="pt-PT"/>
              </w:rPr>
              <w:t>Impactos</w:t>
            </w:r>
          </w:p>
        </w:tc>
      </w:tr>
      <w:tr w:rsidR="00E67FA0" w:rsidRPr="001E4B2C" w14:paraId="7D84EBD9" w14:textId="0DF15C47" w:rsidTr="004500AE">
        <w:trPr>
          <w:trHeight w:val="517"/>
        </w:trPr>
        <w:tc>
          <w:tcPr>
            <w:cnfStyle w:val="001000000000" w:firstRow="0" w:lastRow="0" w:firstColumn="1" w:lastColumn="0" w:oddVBand="0" w:evenVBand="0" w:oddHBand="0" w:evenHBand="0" w:firstRowFirstColumn="0" w:firstRowLastColumn="0" w:lastRowFirstColumn="0" w:lastRowLastColumn="0"/>
            <w:tcW w:w="1800" w:type="dxa"/>
          </w:tcPr>
          <w:p w14:paraId="20BBB586" w14:textId="77777777" w:rsidR="00E67FA0" w:rsidRPr="00292532" w:rsidRDefault="00E67FA0" w:rsidP="00234235">
            <w:pPr>
              <w:rPr>
                <w:sz w:val="20"/>
                <w:szCs w:val="20"/>
                <w:lang w:val="pt-PT"/>
              </w:rPr>
            </w:pPr>
            <w:r w:rsidRPr="00292532">
              <w:rPr>
                <w:sz w:val="20"/>
                <w:szCs w:val="20"/>
                <w:lang w:val="pt-PT"/>
              </w:rPr>
              <w:t xml:space="preserve">Influxo de pessoas às áreas de implementação dos </w:t>
            </w:r>
            <w:proofErr w:type="spellStart"/>
            <w:r w:rsidRPr="00292532">
              <w:rPr>
                <w:sz w:val="20"/>
                <w:szCs w:val="20"/>
                <w:lang w:val="pt-PT"/>
              </w:rPr>
              <w:t>projectos</w:t>
            </w:r>
            <w:proofErr w:type="spellEnd"/>
            <w:r w:rsidRPr="00292532">
              <w:rPr>
                <w:sz w:val="20"/>
                <w:szCs w:val="20"/>
                <w:lang w:val="pt-PT"/>
              </w:rPr>
              <w:t xml:space="preserve"> </w:t>
            </w:r>
          </w:p>
        </w:tc>
        <w:tc>
          <w:tcPr>
            <w:tcW w:w="5251" w:type="dxa"/>
          </w:tcPr>
          <w:p w14:paraId="5C2F9C69" w14:textId="77777777" w:rsidR="00E67FA0" w:rsidRPr="00292532" w:rsidRDefault="00E67FA0"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Entrada de trabalhadores e candidatos a trabalho </w:t>
            </w:r>
          </w:p>
          <w:p w14:paraId="299053F8" w14:textId="77777777" w:rsidR="00E67FA0" w:rsidRPr="00292532" w:rsidRDefault="00E67FA0"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Entrada de pessoal a procura de oportunidades de emprego </w:t>
            </w:r>
          </w:p>
        </w:tc>
        <w:tc>
          <w:tcPr>
            <w:tcW w:w="5729" w:type="dxa"/>
          </w:tcPr>
          <w:p w14:paraId="20F2132F"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Aumento de níveis de criminalidade</w:t>
            </w:r>
          </w:p>
          <w:p w14:paraId="01D6AD7F"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presença acrescida de trabalhadores assalariados,</w:t>
            </w:r>
          </w:p>
          <w:p w14:paraId="23CA9630" w14:textId="4FCF3B6A" w:rsidR="00E67FA0"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 probabilidade de comportamentos antissociais acrescidos como pequena delinquência e prostituição </w:t>
            </w:r>
          </w:p>
          <w:p w14:paraId="110809DA" w14:textId="075E82DE" w:rsidR="00E63F3B" w:rsidRPr="00292532" w:rsidRDefault="00E63F3B"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Pr>
                <w:sz w:val="20"/>
                <w:szCs w:val="20"/>
                <w:lang w:val="pt-PT"/>
              </w:rPr>
              <w:t>Aumento de riscos de VBG incluindo, entre outros, assédio e exploração sexual</w:t>
            </w:r>
          </w:p>
          <w:p w14:paraId="2DF079FF"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Recolha de recursos naturais (lenha, plantas medicinais) </w:t>
            </w:r>
          </w:p>
        </w:tc>
      </w:tr>
      <w:tr w:rsidR="00E67FA0" w:rsidRPr="00292532" w14:paraId="25F5CF47" w14:textId="30AF8253" w:rsidTr="004500AE">
        <w:trPr>
          <w:trHeight w:val="517"/>
        </w:trPr>
        <w:tc>
          <w:tcPr>
            <w:cnfStyle w:val="001000000000" w:firstRow="0" w:lastRow="0" w:firstColumn="1" w:lastColumn="0" w:oddVBand="0" w:evenVBand="0" w:oddHBand="0" w:evenHBand="0" w:firstRowFirstColumn="0" w:firstRowLastColumn="0" w:lastRowFirstColumn="0" w:lastRowLastColumn="0"/>
            <w:tcW w:w="1800" w:type="dxa"/>
          </w:tcPr>
          <w:p w14:paraId="6F58D738" w14:textId="77777777" w:rsidR="00E67FA0" w:rsidRPr="00292532" w:rsidRDefault="00E67FA0" w:rsidP="00234235">
            <w:pPr>
              <w:rPr>
                <w:sz w:val="20"/>
                <w:szCs w:val="20"/>
                <w:lang w:val="pt-PT"/>
              </w:rPr>
            </w:pPr>
            <w:r w:rsidRPr="00292532">
              <w:rPr>
                <w:sz w:val="20"/>
                <w:szCs w:val="20"/>
                <w:lang w:val="pt-PT"/>
              </w:rPr>
              <w:lastRenderedPageBreak/>
              <w:t xml:space="preserve">Aquisição acrescida </w:t>
            </w:r>
          </w:p>
        </w:tc>
        <w:tc>
          <w:tcPr>
            <w:tcW w:w="5251" w:type="dxa"/>
          </w:tcPr>
          <w:p w14:paraId="3E45750E" w14:textId="77777777" w:rsidR="00E67FA0" w:rsidRPr="00292532" w:rsidRDefault="00E67FA0"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Necessidades do </w:t>
            </w:r>
            <w:proofErr w:type="spellStart"/>
            <w:r w:rsidRPr="00292532">
              <w:rPr>
                <w:sz w:val="20"/>
                <w:szCs w:val="20"/>
                <w:lang w:val="pt-PT"/>
              </w:rPr>
              <w:t>projecto</w:t>
            </w:r>
            <w:proofErr w:type="spellEnd"/>
            <w:r w:rsidRPr="00292532">
              <w:rPr>
                <w:sz w:val="20"/>
                <w:szCs w:val="20"/>
                <w:lang w:val="pt-PT"/>
              </w:rPr>
              <w:t xml:space="preserve"> para compra de equipamento e outros bens e serviços na fase de mobilização de pessoal</w:t>
            </w:r>
          </w:p>
          <w:p w14:paraId="09A881B7" w14:textId="77777777" w:rsidR="00E67FA0" w:rsidRPr="00292532" w:rsidRDefault="00E67FA0"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Necessidade alojamento temporários </w:t>
            </w:r>
          </w:p>
          <w:p w14:paraId="208504FA" w14:textId="77777777" w:rsidR="00E67FA0" w:rsidRPr="00292532" w:rsidRDefault="00E67FA0"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Demanda por bens alimentícios</w:t>
            </w:r>
          </w:p>
          <w:p w14:paraId="2A1CA6D7" w14:textId="77777777" w:rsidR="00E67FA0" w:rsidRPr="00292532" w:rsidRDefault="00E67FA0"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Necessidade de serviços de não técnicos, manutenção de veículos, lavandaria, transporte de trabalhadores, catering, etc.</w:t>
            </w:r>
          </w:p>
        </w:tc>
        <w:tc>
          <w:tcPr>
            <w:tcW w:w="5729" w:type="dxa"/>
          </w:tcPr>
          <w:p w14:paraId="28394C8A"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Geração de negócios a nível local </w:t>
            </w:r>
          </w:p>
          <w:p w14:paraId="393A1A15"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Contratação de serviços de empresas locais </w:t>
            </w:r>
          </w:p>
          <w:p w14:paraId="05076A34"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Desenvolvimento da economia local </w:t>
            </w:r>
          </w:p>
          <w:p w14:paraId="088206D0"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Criação de postos de trabalho</w:t>
            </w:r>
          </w:p>
          <w:p w14:paraId="7F4C1CB2" w14:textId="77777777" w:rsidR="00E67FA0" w:rsidRPr="00292532" w:rsidRDefault="00E67FA0" w:rsidP="00234235">
            <w:pPr>
              <w:ind w:left="3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
        </w:tc>
      </w:tr>
      <w:tr w:rsidR="00E67FA0" w:rsidRPr="00292532" w14:paraId="206E3EEB" w14:textId="7FCE6FA1" w:rsidTr="004500AE">
        <w:trPr>
          <w:trHeight w:val="517"/>
        </w:trPr>
        <w:tc>
          <w:tcPr>
            <w:cnfStyle w:val="001000000000" w:firstRow="0" w:lastRow="0" w:firstColumn="1" w:lastColumn="0" w:oddVBand="0" w:evenVBand="0" w:oddHBand="0" w:evenHBand="0" w:firstRowFirstColumn="0" w:firstRowLastColumn="0" w:lastRowFirstColumn="0" w:lastRowLastColumn="0"/>
            <w:tcW w:w="1800" w:type="dxa"/>
          </w:tcPr>
          <w:p w14:paraId="621D9EF2" w14:textId="77777777" w:rsidR="00E67FA0" w:rsidRPr="00292532" w:rsidRDefault="00E67FA0" w:rsidP="00234235">
            <w:pPr>
              <w:rPr>
                <w:sz w:val="20"/>
                <w:szCs w:val="20"/>
                <w:lang w:val="pt-PT"/>
              </w:rPr>
            </w:pPr>
            <w:r w:rsidRPr="00292532">
              <w:rPr>
                <w:sz w:val="20"/>
                <w:szCs w:val="20"/>
                <w:lang w:val="pt-PT"/>
              </w:rPr>
              <w:t xml:space="preserve">Aumento do volume de tráfego </w:t>
            </w:r>
          </w:p>
        </w:tc>
        <w:tc>
          <w:tcPr>
            <w:tcW w:w="5251" w:type="dxa"/>
          </w:tcPr>
          <w:p w14:paraId="2567A70C" w14:textId="77777777"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Veículos alocados aos </w:t>
            </w:r>
            <w:proofErr w:type="spellStart"/>
            <w:r w:rsidRPr="00292532">
              <w:rPr>
                <w:sz w:val="20"/>
                <w:szCs w:val="20"/>
                <w:lang w:val="pt-PT"/>
              </w:rPr>
              <w:t>Projectos</w:t>
            </w:r>
            <w:proofErr w:type="spellEnd"/>
            <w:r w:rsidRPr="00292532">
              <w:rPr>
                <w:sz w:val="20"/>
                <w:szCs w:val="20"/>
                <w:lang w:val="pt-PT"/>
              </w:rPr>
              <w:t xml:space="preserve"> durante a mobilização de pessoal, maquinaria e equipamentos de construção </w:t>
            </w:r>
          </w:p>
          <w:p w14:paraId="148037E0" w14:textId="77777777"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Circulação de veículos pesados </w:t>
            </w:r>
          </w:p>
        </w:tc>
        <w:tc>
          <w:tcPr>
            <w:tcW w:w="5729" w:type="dxa"/>
          </w:tcPr>
          <w:p w14:paraId="15EC4EEA"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Insegurança, </w:t>
            </w:r>
            <w:proofErr w:type="spellStart"/>
            <w:r w:rsidRPr="00292532">
              <w:rPr>
                <w:sz w:val="20"/>
                <w:szCs w:val="20"/>
                <w:lang w:val="pt-PT"/>
              </w:rPr>
              <w:t>afectando</w:t>
            </w:r>
            <w:proofErr w:type="spellEnd"/>
            <w:r w:rsidRPr="00292532">
              <w:rPr>
                <w:sz w:val="20"/>
                <w:szCs w:val="20"/>
                <w:lang w:val="pt-PT"/>
              </w:rPr>
              <w:t xml:space="preserve"> especialmente as crianças que circulam livremente, principalmente nas zonas rurais</w:t>
            </w:r>
          </w:p>
          <w:p w14:paraId="259C25E0"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Aumento de ruídos </w:t>
            </w:r>
          </w:p>
          <w:p w14:paraId="7265C50F"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Alteração do sentido de tranquilidade das zonas rurais </w:t>
            </w:r>
          </w:p>
          <w:p w14:paraId="4545C39D"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Atropelamentos de fauna </w:t>
            </w:r>
          </w:p>
        </w:tc>
      </w:tr>
      <w:tr w:rsidR="00E67FA0" w:rsidRPr="001E4B2C" w14:paraId="517D494B" w14:textId="0DE1CE3D" w:rsidTr="004500AE">
        <w:trPr>
          <w:trHeight w:val="517"/>
        </w:trPr>
        <w:tc>
          <w:tcPr>
            <w:cnfStyle w:val="001000000000" w:firstRow="0" w:lastRow="0" w:firstColumn="1" w:lastColumn="0" w:oddVBand="0" w:evenVBand="0" w:oddHBand="0" w:evenHBand="0" w:firstRowFirstColumn="0" w:firstRowLastColumn="0" w:lastRowFirstColumn="0" w:lastRowLastColumn="0"/>
            <w:tcW w:w="1800" w:type="dxa"/>
          </w:tcPr>
          <w:p w14:paraId="407091E4" w14:textId="77777777" w:rsidR="00E67FA0" w:rsidRPr="00292532" w:rsidRDefault="00E67FA0" w:rsidP="00234235">
            <w:pPr>
              <w:rPr>
                <w:sz w:val="20"/>
                <w:szCs w:val="20"/>
                <w:lang w:val="pt-PT"/>
              </w:rPr>
            </w:pPr>
            <w:r w:rsidRPr="00292532">
              <w:rPr>
                <w:sz w:val="20"/>
                <w:szCs w:val="20"/>
                <w:lang w:val="pt-PT"/>
              </w:rPr>
              <w:t xml:space="preserve">Interferência com os recursos de património cultural </w:t>
            </w:r>
          </w:p>
        </w:tc>
        <w:tc>
          <w:tcPr>
            <w:tcW w:w="5251" w:type="dxa"/>
          </w:tcPr>
          <w:p w14:paraId="3999AD79" w14:textId="77777777"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Aquisição de terras pelo </w:t>
            </w:r>
            <w:proofErr w:type="spellStart"/>
            <w:r w:rsidRPr="00292532">
              <w:rPr>
                <w:sz w:val="20"/>
                <w:szCs w:val="20"/>
                <w:lang w:val="pt-PT"/>
              </w:rPr>
              <w:t>Projecto</w:t>
            </w:r>
            <w:proofErr w:type="spellEnd"/>
            <w:r w:rsidRPr="00292532">
              <w:rPr>
                <w:sz w:val="20"/>
                <w:szCs w:val="20"/>
                <w:lang w:val="pt-PT"/>
              </w:rPr>
              <w:t xml:space="preserve"> </w:t>
            </w:r>
          </w:p>
          <w:p w14:paraId="57A0C609" w14:textId="77777777"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Presença de cemitérios familiares e locais sagrados </w:t>
            </w:r>
          </w:p>
          <w:p w14:paraId="4DDA2142" w14:textId="77777777"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Existência de campas ou corpos enterrados não identificados</w:t>
            </w:r>
          </w:p>
        </w:tc>
        <w:tc>
          <w:tcPr>
            <w:tcW w:w="5729" w:type="dxa"/>
          </w:tcPr>
          <w:p w14:paraId="443AC096"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Interferência com os hábitos culturais pela perda de locais sagrados / locais de culto</w:t>
            </w:r>
          </w:p>
          <w:p w14:paraId="1CFB0BA4"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Não aceitação do </w:t>
            </w:r>
            <w:proofErr w:type="spellStart"/>
            <w:r w:rsidRPr="00292532">
              <w:rPr>
                <w:sz w:val="20"/>
                <w:szCs w:val="20"/>
                <w:lang w:val="pt-PT"/>
              </w:rPr>
              <w:t>projecto</w:t>
            </w:r>
            <w:proofErr w:type="spellEnd"/>
            <w:r w:rsidRPr="00292532">
              <w:rPr>
                <w:sz w:val="20"/>
                <w:szCs w:val="20"/>
                <w:lang w:val="pt-PT"/>
              </w:rPr>
              <w:t xml:space="preserve"> pelas comunidades locais </w:t>
            </w:r>
          </w:p>
          <w:p w14:paraId="65FA618D" w14:textId="77777777" w:rsidR="00E67FA0" w:rsidRPr="00292532" w:rsidRDefault="00E67FA0" w:rsidP="00234235">
            <w:pPr>
              <w:ind w:left="3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
        </w:tc>
      </w:tr>
      <w:tr w:rsidR="00E67FA0" w:rsidRPr="001E4B2C" w14:paraId="252CDDDA" w14:textId="7E8CEA4E" w:rsidTr="004500AE">
        <w:trPr>
          <w:trHeight w:val="517"/>
        </w:trPr>
        <w:tc>
          <w:tcPr>
            <w:cnfStyle w:val="001000000000" w:firstRow="0" w:lastRow="0" w:firstColumn="1" w:lastColumn="0" w:oddVBand="0" w:evenVBand="0" w:oddHBand="0" w:evenHBand="0" w:firstRowFirstColumn="0" w:firstRowLastColumn="0" w:lastRowFirstColumn="0" w:lastRowLastColumn="0"/>
            <w:tcW w:w="1800" w:type="dxa"/>
          </w:tcPr>
          <w:p w14:paraId="4E71B1BD" w14:textId="77777777" w:rsidR="00E67FA0" w:rsidRPr="00292532" w:rsidRDefault="00E67FA0" w:rsidP="00234235">
            <w:pPr>
              <w:rPr>
                <w:sz w:val="20"/>
                <w:szCs w:val="20"/>
                <w:lang w:val="pt-PT"/>
              </w:rPr>
            </w:pPr>
            <w:r w:rsidRPr="00292532">
              <w:rPr>
                <w:sz w:val="20"/>
                <w:szCs w:val="20"/>
                <w:lang w:val="pt-PT"/>
              </w:rPr>
              <w:t>Acidentes rodoviários</w:t>
            </w:r>
          </w:p>
        </w:tc>
        <w:tc>
          <w:tcPr>
            <w:tcW w:w="5251" w:type="dxa"/>
          </w:tcPr>
          <w:p w14:paraId="7ABC8449" w14:textId="77777777"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Circulação de veículos durante a mobilização </w:t>
            </w:r>
          </w:p>
          <w:p w14:paraId="2D2BE28D" w14:textId="77777777"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Fraca sinalização das vias nas zonas rurais e nas pequenas cidades e vilas </w:t>
            </w:r>
          </w:p>
          <w:p w14:paraId="079F02C8" w14:textId="77777777"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Presença de crianças nas vias rodoviárias </w:t>
            </w:r>
          </w:p>
          <w:p w14:paraId="7A3A7809" w14:textId="77777777"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Presença de população não familiarizada com existência de tráfego rodoviário</w:t>
            </w:r>
          </w:p>
          <w:p w14:paraId="301BF91E" w14:textId="77777777"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Não cumprimento dos limites de velocidade </w:t>
            </w:r>
          </w:p>
        </w:tc>
        <w:tc>
          <w:tcPr>
            <w:tcW w:w="5729" w:type="dxa"/>
          </w:tcPr>
          <w:p w14:paraId="3C30B383"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Pressão sobre os serviços de assistência hospitalar em caso de acidentes resultando em feridos</w:t>
            </w:r>
          </w:p>
          <w:p w14:paraId="33638A99"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Atropelamentos de pessoas resultando em ferimentos ou mortes</w:t>
            </w:r>
          </w:p>
          <w:p w14:paraId="0CC8D98A"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Colisão de veículos e eventuais derrames de combustíveis</w:t>
            </w:r>
          </w:p>
          <w:p w14:paraId="104E4154" w14:textId="77777777" w:rsidR="00E67FA0" w:rsidRPr="00292532" w:rsidRDefault="00E67FA0" w:rsidP="00234235">
            <w:pPr>
              <w:ind w:left="3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
        </w:tc>
      </w:tr>
      <w:tr w:rsidR="00E67FA0" w:rsidRPr="00292532" w14:paraId="3DBF2DFD" w14:textId="16F2DD3A" w:rsidTr="004500AE">
        <w:trPr>
          <w:trHeight w:val="517"/>
        </w:trPr>
        <w:tc>
          <w:tcPr>
            <w:cnfStyle w:val="001000000000" w:firstRow="0" w:lastRow="0" w:firstColumn="1" w:lastColumn="0" w:oddVBand="0" w:evenVBand="0" w:oddHBand="0" w:evenHBand="0" w:firstRowFirstColumn="0" w:firstRowLastColumn="0" w:lastRowFirstColumn="0" w:lastRowLastColumn="0"/>
            <w:tcW w:w="1800" w:type="dxa"/>
          </w:tcPr>
          <w:p w14:paraId="4547BFB9" w14:textId="77777777" w:rsidR="00E67FA0" w:rsidRPr="00292532" w:rsidRDefault="00E67FA0" w:rsidP="00234235">
            <w:pPr>
              <w:rPr>
                <w:sz w:val="20"/>
                <w:szCs w:val="20"/>
                <w:lang w:val="pt-PT"/>
              </w:rPr>
            </w:pPr>
            <w:r w:rsidRPr="00292532">
              <w:rPr>
                <w:sz w:val="20"/>
                <w:szCs w:val="20"/>
                <w:lang w:val="pt-PT"/>
              </w:rPr>
              <w:t xml:space="preserve">Expropriação de terras </w:t>
            </w:r>
          </w:p>
        </w:tc>
        <w:tc>
          <w:tcPr>
            <w:tcW w:w="5251" w:type="dxa"/>
          </w:tcPr>
          <w:p w14:paraId="6C92F9A4"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Aquisição de terras necessárias para acomodar as infraestruturas previstas pelo </w:t>
            </w:r>
            <w:proofErr w:type="spellStart"/>
            <w:r w:rsidRPr="00292532">
              <w:rPr>
                <w:sz w:val="20"/>
                <w:szCs w:val="20"/>
                <w:lang w:val="pt-PT"/>
              </w:rPr>
              <w:t>Projecto</w:t>
            </w:r>
            <w:proofErr w:type="spellEnd"/>
            <w:r w:rsidRPr="00292532">
              <w:rPr>
                <w:sz w:val="20"/>
                <w:szCs w:val="20"/>
                <w:lang w:val="pt-PT"/>
              </w:rPr>
              <w:t xml:space="preserve">. Sendo estas: </w:t>
            </w:r>
          </w:p>
          <w:p w14:paraId="5D7FF5D2" w14:textId="77777777" w:rsidR="00E67FA0" w:rsidRPr="00292532" w:rsidRDefault="00E67FA0" w:rsidP="0024772D">
            <w:pPr>
              <w:numPr>
                <w:ilvl w:val="1"/>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Terras com Direitos de Uso e Aproveitamento de Terras (</w:t>
            </w:r>
            <w:proofErr w:type="spellStart"/>
            <w:r w:rsidRPr="00292532">
              <w:rPr>
                <w:sz w:val="20"/>
                <w:szCs w:val="20"/>
                <w:lang w:val="pt-PT"/>
              </w:rPr>
              <w:t>DUATs</w:t>
            </w:r>
            <w:proofErr w:type="spellEnd"/>
            <w:r w:rsidRPr="00292532">
              <w:rPr>
                <w:sz w:val="20"/>
                <w:szCs w:val="20"/>
                <w:lang w:val="pt-PT"/>
              </w:rPr>
              <w:t xml:space="preserve">) pertencente à privados </w:t>
            </w:r>
          </w:p>
          <w:p w14:paraId="11067333" w14:textId="77777777" w:rsidR="00E67FA0" w:rsidRPr="00292532" w:rsidRDefault="00E67FA0" w:rsidP="0024772D">
            <w:pPr>
              <w:numPr>
                <w:ilvl w:val="1"/>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Terras pertencentes a populações locais com direitos costumeiros</w:t>
            </w:r>
          </w:p>
          <w:p w14:paraId="3F7E334F" w14:textId="77777777" w:rsidR="00E67FA0" w:rsidRPr="00292532" w:rsidRDefault="00E67FA0" w:rsidP="00234235">
            <w:pPr>
              <w:ind w:left="108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
        </w:tc>
        <w:tc>
          <w:tcPr>
            <w:tcW w:w="5729" w:type="dxa"/>
          </w:tcPr>
          <w:p w14:paraId="678337FC"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lastRenderedPageBreak/>
              <w:t xml:space="preserve">Reassentamento involuntário  </w:t>
            </w:r>
          </w:p>
          <w:p w14:paraId="3007BA08" w14:textId="3981E044"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Perda de terras produtivas (por exemplo, agricultura, pastagem, silvicultura)</w:t>
            </w:r>
          </w:p>
          <w:p w14:paraId="33788592" w14:textId="631C38CB"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Deslocamento físico e económico de pessoas e famílias</w:t>
            </w:r>
          </w:p>
          <w:p w14:paraId="31A90283"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Perda de meios de subsistência locais</w:t>
            </w:r>
          </w:p>
          <w:p w14:paraId="3BD23894"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lastRenderedPageBreak/>
              <w:t>Perda de locais sagrados e necessidade de transladação de campas</w:t>
            </w:r>
          </w:p>
          <w:p w14:paraId="0AD14934"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Perda de </w:t>
            </w:r>
            <w:proofErr w:type="spellStart"/>
            <w:r w:rsidRPr="00292532">
              <w:rPr>
                <w:sz w:val="20"/>
                <w:szCs w:val="20"/>
                <w:lang w:val="pt-PT"/>
              </w:rPr>
              <w:t>DUATs</w:t>
            </w:r>
            <w:proofErr w:type="spellEnd"/>
            <w:r w:rsidRPr="00292532">
              <w:rPr>
                <w:sz w:val="20"/>
                <w:szCs w:val="20"/>
                <w:lang w:val="pt-PT"/>
              </w:rPr>
              <w:t xml:space="preserve"> </w:t>
            </w:r>
          </w:p>
          <w:p w14:paraId="19F215A7" w14:textId="185CCBA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 perda de acesso à terra agrícolas e de pastagem, que servem de fonte de sustento das populações locais </w:t>
            </w:r>
          </w:p>
          <w:p w14:paraId="1EBC5A85" w14:textId="1F9A7016"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Disrupção de redes sociais locais</w:t>
            </w:r>
          </w:p>
          <w:p w14:paraId="77355F43" w14:textId="58004DFA"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Potencial descontentamento e a degradação das condições de vida das comunidades a serem potencialmente reassentadas ou indemnizadas</w:t>
            </w:r>
          </w:p>
          <w:p w14:paraId="55948500"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Potenciais conflitos de terra </w:t>
            </w:r>
          </w:p>
        </w:tc>
      </w:tr>
      <w:tr w:rsidR="00E67FA0" w:rsidRPr="00292532" w14:paraId="13E968D1" w14:textId="55A88DBC" w:rsidTr="004500AE">
        <w:trPr>
          <w:trHeight w:val="517"/>
        </w:trPr>
        <w:tc>
          <w:tcPr>
            <w:cnfStyle w:val="001000000000" w:firstRow="0" w:lastRow="0" w:firstColumn="1" w:lastColumn="0" w:oddVBand="0" w:evenVBand="0" w:oddHBand="0" w:evenHBand="0" w:firstRowFirstColumn="0" w:firstRowLastColumn="0" w:lastRowFirstColumn="0" w:lastRowLastColumn="0"/>
            <w:tcW w:w="1800" w:type="dxa"/>
          </w:tcPr>
          <w:p w14:paraId="6A540658" w14:textId="77777777" w:rsidR="00E67FA0" w:rsidRPr="00292532" w:rsidRDefault="00E67FA0" w:rsidP="00234235">
            <w:pPr>
              <w:rPr>
                <w:sz w:val="20"/>
                <w:szCs w:val="20"/>
                <w:lang w:val="pt-PT"/>
              </w:rPr>
            </w:pPr>
            <w:r w:rsidRPr="00292532">
              <w:rPr>
                <w:sz w:val="20"/>
                <w:szCs w:val="20"/>
                <w:lang w:val="pt-PT"/>
              </w:rPr>
              <w:lastRenderedPageBreak/>
              <w:t xml:space="preserve">Geração de expectativas, insegurança e ansiedade da população em relação ao </w:t>
            </w:r>
            <w:proofErr w:type="spellStart"/>
            <w:r w:rsidRPr="00292532">
              <w:rPr>
                <w:sz w:val="20"/>
                <w:szCs w:val="20"/>
                <w:lang w:val="pt-PT"/>
              </w:rPr>
              <w:t>Projecto</w:t>
            </w:r>
            <w:proofErr w:type="spellEnd"/>
          </w:p>
        </w:tc>
        <w:tc>
          <w:tcPr>
            <w:tcW w:w="5251" w:type="dxa"/>
          </w:tcPr>
          <w:p w14:paraId="34844A17" w14:textId="77777777"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Expectativas de emprego e de melhorias de vida</w:t>
            </w:r>
          </w:p>
          <w:p w14:paraId="521B3251" w14:textId="77777777"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Presença de refugiados/deslocados provenientes de Cabo-Delgado, que já apresentam um sentimento de medo e insegurança pelos traumas vividos</w:t>
            </w:r>
          </w:p>
          <w:p w14:paraId="78661EB8" w14:textId="77777777"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Atrasos na implementação do </w:t>
            </w:r>
            <w:proofErr w:type="spellStart"/>
            <w:r w:rsidRPr="00292532">
              <w:rPr>
                <w:sz w:val="20"/>
                <w:szCs w:val="20"/>
                <w:lang w:val="pt-PT"/>
              </w:rPr>
              <w:t>Projecto</w:t>
            </w:r>
            <w:proofErr w:type="spellEnd"/>
            <w:r w:rsidRPr="00292532">
              <w:rPr>
                <w:sz w:val="20"/>
                <w:szCs w:val="20"/>
                <w:lang w:val="pt-PT"/>
              </w:rPr>
              <w:t xml:space="preserve"> </w:t>
            </w:r>
          </w:p>
        </w:tc>
        <w:tc>
          <w:tcPr>
            <w:tcW w:w="5729" w:type="dxa"/>
          </w:tcPr>
          <w:p w14:paraId="00B57C1F"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Expectativas não satisfeitas </w:t>
            </w:r>
          </w:p>
          <w:p w14:paraId="4D676DBA"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Reivindicações contra o </w:t>
            </w:r>
            <w:proofErr w:type="spellStart"/>
            <w:r w:rsidRPr="00292532">
              <w:rPr>
                <w:sz w:val="20"/>
                <w:szCs w:val="20"/>
                <w:lang w:val="pt-PT"/>
              </w:rPr>
              <w:t>Projecto</w:t>
            </w:r>
            <w:proofErr w:type="spellEnd"/>
            <w:r w:rsidRPr="00292532">
              <w:rPr>
                <w:sz w:val="20"/>
                <w:szCs w:val="20"/>
                <w:lang w:val="pt-PT"/>
              </w:rPr>
              <w:t xml:space="preserve"> </w:t>
            </w:r>
          </w:p>
        </w:tc>
      </w:tr>
      <w:tr w:rsidR="00E67FA0" w:rsidRPr="001E4B2C" w14:paraId="4358FE07" w14:textId="759A6462" w:rsidTr="004500AE">
        <w:trPr>
          <w:trHeight w:val="517"/>
        </w:trPr>
        <w:tc>
          <w:tcPr>
            <w:cnfStyle w:val="001000000000" w:firstRow="0" w:lastRow="0" w:firstColumn="1" w:lastColumn="0" w:oddVBand="0" w:evenVBand="0" w:oddHBand="0" w:evenHBand="0" w:firstRowFirstColumn="0" w:firstRowLastColumn="0" w:lastRowFirstColumn="0" w:lastRowLastColumn="0"/>
            <w:tcW w:w="1800" w:type="dxa"/>
          </w:tcPr>
          <w:p w14:paraId="7C66DC9C" w14:textId="77777777" w:rsidR="00E67FA0" w:rsidRPr="00292532" w:rsidRDefault="00E67FA0" w:rsidP="00234235">
            <w:pPr>
              <w:rPr>
                <w:sz w:val="20"/>
                <w:szCs w:val="20"/>
                <w:lang w:val="pt-PT"/>
              </w:rPr>
            </w:pPr>
            <w:r w:rsidRPr="00292532">
              <w:rPr>
                <w:sz w:val="20"/>
                <w:szCs w:val="20"/>
                <w:lang w:val="pt-PT"/>
              </w:rPr>
              <w:t xml:space="preserve">Aumento do conhecimento científico da região </w:t>
            </w:r>
          </w:p>
        </w:tc>
        <w:tc>
          <w:tcPr>
            <w:tcW w:w="5251" w:type="dxa"/>
          </w:tcPr>
          <w:p w14:paraId="112A3FD7" w14:textId="77777777"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Estudos ambientais e sociais a serem desenvolvidos para o </w:t>
            </w:r>
            <w:proofErr w:type="spellStart"/>
            <w:r w:rsidRPr="00292532">
              <w:rPr>
                <w:sz w:val="20"/>
                <w:szCs w:val="20"/>
                <w:lang w:val="pt-PT"/>
              </w:rPr>
              <w:t>Projecto</w:t>
            </w:r>
            <w:proofErr w:type="spellEnd"/>
          </w:p>
          <w:p w14:paraId="1CDFD5A0" w14:textId="77777777"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Levantamentos de campo e realização de censos hídricos, levantamentos geotécnicos, etc.</w:t>
            </w:r>
          </w:p>
        </w:tc>
        <w:tc>
          <w:tcPr>
            <w:tcW w:w="5729" w:type="dxa"/>
          </w:tcPr>
          <w:p w14:paraId="52132FA5"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roofErr w:type="spellStart"/>
            <w:r w:rsidRPr="00292532">
              <w:rPr>
                <w:sz w:val="20"/>
                <w:szCs w:val="20"/>
                <w:lang w:val="pt-PT"/>
              </w:rPr>
              <w:t>Actualização</w:t>
            </w:r>
            <w:proofErr w:type="spellEnd"/>
            <w:r w:rsidRPr="00292532">
              <w:rPr>
                <w:sz w:val="20"/>
                <w:szCs w:val="20"/>
                <w:lang w:val="pt-PT"/>
              </w:rPr>
              <w:t xml:space="preserve"> de informação e dados científicos nas áreas de abrangência </w:t>
            </w:r>
          </w:p>
          <w:p w14:paraId="4517A296"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Estabelecimento de referências e uma base comparativa para avaliação dos potenciais impactos durante a implementação do </w:t>
            </w:r>
            <w:proofErr w:type="spellStart"/>
            <w:r w:rsidRPr="00292532">
              <w:rPr>
                <w:sz w:val="20"/>
                <w:szCs w:val="20"/>
                <w:lang w:val="pt-PT"/>
              </w:rPr>
              <w:t>Projecto</w:t>
            </w:r>
            <w:proofErr w:type="spellEnd"/>
            <w:r w:rsidRPr="00292532">
              <w:rPr>
                <w:sz w:val="20"/>
                <w:szCs w:val="20"/>
                <w:lang w:val="pt-PT"/>
              </w:rPr>
              <w:t xml:space="preserve"> </w:t>
            </w:r>
          </w:p>
          <w:p w14:paraId="36C51F92"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Disponibilização de dados </w:t>
            </w:r>
            <w:proofErr w:type="spellStart"/>
            <w:r w:rsidRPr="00292532">
              <w:rPr>
                <w:sz w:val="20"/>
                <w:szCs w:val="20"/>
                <w:lang w:val="pt-PT"/>
              </w:rPr>
              <w:t>actualizados</w:t>
            </w:r>
            <w:proofErr w:type="spellEnd"/>
            <w:r w:rsidRPr="00292532">
              <w:rPr>
                <w:sz w:val="20"/>
                <w:szCs w:val="20"/>
                <w:lang w:val="pt-PT"/>
              </w:rPr>
              <w:t xml:space="preserve"> que podem ser usadas para outros </w:t>
            </w:r>
            <w:proofErr w:type="spellStart"/>
            <w:r w:rsidRPr="00292532">
              <w:rPr>
                <w:sz w:val="20"/>
                <w:szCs w:val="20"/>
                <w:lang w:val="pt-PT"/>
              </w:rPr>
              <w:t>projectos</w:t>
            </w:r>
            <w:proofErr w:type="spellEnd"/>
            <w:r w:rsidRPr="00292532">
              <w:rPr>
                <w:sz w:val="20"/>
                <w:szCs w:val="20"/>
                <w:lang w:val="pt-PT"/>
              </w:rPr>
              <w:t xml:space="preserve"> de desenvolvimento nas mesmas áreas de abrangência </w:t>
            </w:r>
          </w:p>
        </w:tc>
      </w:tr>
      <w:tr w:rsidR="00E67FA0" w:rsidRPr="001E4B2C" w14:paraId="12AEA36D" w14:textId="7B8926E0" w:rsidTr="004500AE">
        <w:trPr>
          <w:trHeight w:val="517"/>
        </w:trPr>
        <w:tc>
          <w:tcPr>
            <w:cnfStyle w:val="001000000000" w:firstRow="0" w:lastRow="0" w:firstColumn="1" w:lastColumn="0" w:oddVBand="0" w:evenVBand="0" w:oddHBand="0" w:evenHBand="0" w:firstRowFirstColumn="0" w:firstRowLastColumn="0" w:lastRowFirstColumn="0" w:lastRowLastColumn="0"/>
            <w:tcW w:w="1800" w:type="dxa"/>
          </w:tcPr>
          <w:p w14:paraId="48163227" w14:textId="77777777" w:rsidR="00E67FA0" w:rsidRPr="00292532" w:rsidRDefault="00E67FA0" w:rsidP="00234235">
            <w:pPr>
              <w:rPr>
                <w:sz w:val="20"/>
                <w:szCs w:val="20"/>
                <w:lang w:val="pt-PT"/>
              </w:rPr>
            </w:pPr>
            <w:r w:rsidRPr="00292532">
              <w:rPr>
                <w:sz w:val="20"/>
                <w:szCs w:val="20"/>
                <w:lang w:val="pt-PT"/>
              </w:rPr>
              <w:t xml:space="preserve">Geração de empregos e renda </w:t>
            </w:r>
          </w:p>
        </w:tc>
        <w:tc>
          <w:tcPr>
            <w:tcW w:w="5251" w:type="dxa"/>
          </w:tcPr>
          <w:p w14:paraId="168ED351" w14:textId="77777777"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Oportunidades de emprego para a fase de construção criadas pelas empresas contratadas</w:t>
            </w:r>
          </w:p>
          <w:p w14:paraId="004D9968" w14:textId="77777777"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 absorção de mão-de-obra local dependerá dos níveis de educação e competências das populações locais </w:t>
            </w:r>
          </w:p>
          <w:p w14:paraId="3C02C921" w14:textId="77777777"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Oportunidades para mão-de-obra não especializada e possível absorção do pessoal com baixo nível de educação </w:t>
            </w:r>
          </w:p>
        </w:tc>
        <w:tc>
          <w:tcPr>
            <w:tcW w:w="5729" w:type="dxa"/>
          </w:tcPr>
          <w:p w14:paraId="51EAC01E"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Geração de renda para as famílias locais</w:t>
            </w:r>
          </w:p>
          <w:p w14:paraId="35D931EA"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Diversidade de </w:t>
            </w:r>
            <w:proofErr w:type="spellStart"/>
            <w:r w:rsidRPr="00292532">
              <w:rPr>
                <w:sz w:val="20"/>
                <w:szCs w:val="20"/>
                <w:lang w:val="pt-PT"/>
              </w:rPr>
              <w:t>actividades</w:t>
            </w:r>
            <w:proofErr w:type="spellEnd"/>
            <w:r w:rsidRPr="00292532">
              <w:rPr>
                <w:sz w:val="20"/>
                <w:szCs w:val="20"/>
                <w:lang w:val="pt-PT"/>
              </w:rPr>
              <w:t xml:space="preserve"> económicas</w:t>
            </w:r>
          </w:p>
          <w:p w14:paraId="685CB0E0"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Oportunidades de empregos para mulheres e jovens </w:t>
            </w:r>
          </w:p>
          <w:p w14:paraId="46FA7D88" w14:textId="77777777"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Treinamento e melhoria de competências </w:t>
            </w:r>
          </w:p>
        </w:tc>
      </w:tr>
      <w:tr w:rsidR="00E67FA0" w:rsidRPr="001E4B2C" w14:paraId="56604CA9" w14:textId="7F44D771" w:rsidTr="004500AE">
        <w:trPr>
          <w:trHeight w:val="517"/>
        </w:trPr>
        <w:tc>
          <w:tcPr>
            <w:cnfStyle w:val="001000000000" w:firstRow="0" w:lastRow="0" w:firstColumn="1" w:lastColumn="0" w:oddVBand="0" w:evenVBand="0" w:oddHBand="0" w:evenHBand="0" w:firstRowFirstColumn="0" w:firstRowLastColumn="0" w:lastRowFirstColumn="0" w:lastRowLastColumn="0"/>
            <w:tcW w:w="1800" w:type="dxa"/>
          </w:tcPr>
          <w:p w14:paraId="70405F15" w14:textId="52A7B3FB" w:rsidR="00E67FA0" w:rsidRPr="00292532" w:rsidRDefault="00E67FA0" w:rsidP="00234235">
            <w:pPr>
              <w:rPr>
                <w:sz w:val="20"/>
                <w:szCs w:val="20"/>
                <w:lang w:val="pt-PT"/>
              </w:rPr>
            </w:pPr>
            <w:proofErr w:type="spellStart"/>
            <w:r>
              <w:rPr>
                <w:sz w:val="20"/>
                <w:szCs w:val="20"/>
                <w:lang w:val="pt-PT"/>
              </w:rPr>
              <w:lastRenderedPageBreak/>
              <w:t>Propagaçao</w:t>
            </w:r>
            <w:proofErr w:type="spellEnd"/>
            <w:r>
              <w:rPr>
                <w:sz w:val="20"/>
                <w:szCs w:val="20"/>
                <w:lang w:val="pt-PT"/>
              </w:rPr>
              <w:t xml:space="preserve"> da COVID 19</w:t>
            </w:r>
          </w:p>
        </w:tc>
        <w:tc>
          <w:tcPr>
            <w:tcW w:w="5251" w:type="dxa"/>
          </w:tcPr>
          <w:p w14:paraId="708CA229" w14:textId="02EAC689" w:rsidR="00E67FA0" w:rsidRPr="00292532" w:rsidRDefault="00E67FA0"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roofErr w:type="spellStart"/>
            <w:r>
              <w:rPr>
                <w:sz w:val="20"/>
                <w:szCs w:val="20"/>
                <w:lang w:val="pt-PT"/>
              </w:rPr>
              <w:t>Concentraçao</w:t>
            </w:r>
            <w:proofErr w:type="spellEnd"/>
            <w:r>
              <w:rPr>
                <w:sz w:val="20"/>
                <w:szCs w:val="20"/>
                <w:lang w:val="pt-PT"/>
              </w:rPr>
              <w:t xml:space="preserve"> de mão de obra em estaleiros e locais de obra</w:t>
            </w:r>
          </w:p>
        </w:tc>
        <w:tc>
          <w:tcPr>
            <w:tcW w:w="5729" w:type="dxa"/>
          </w:tcPr>
          <w:p w14:paraId="488330B6" w14:textId="77777777" w:rsidR="00E67FA0"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Pr>
                <w:sz w:val="20"/>
                <w:szCs w:val="20"/>
                <w:lang w:val="pt-PT"/>
              </w:rPr>
              <w:t xml:space="preserve">Aumento dos casos de </w:t>
            </w:r>
            <w:proofErr w:type="spellStart"/>
            <w:r>
              <w:rPr>
                <w:sz w:val="20"/>
                <w:szCs w:val="20"/>
                <w:lang w:val="pt-PT"/>
              </w:rPr>
              <w:t>infecção</w:t>
            </w:r>
            <w:proofErr w:type="spellEnd"/>
            <w:r>
              <w:rPr>
                <w:sz w:val="20"/>
                <w:szCs w:val="20"/>
                <w:lang w:val="pt-PT"/>
              </w:rPr>
              <w:t xml:space="preserve"> </w:t>
            </w:r>
          </w:p>
          <w:p w14:paraId="009F7717" w14:textId="77777777" w:rsidR="00E67FA0"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Pr>
                <w:sz w:val="20"/>
                <w:szCs w:val="20"/>
                <w:lang w:val="pt-PT"/>
              </w:rPr>
              <w:t>Taxa de mortalidade elevada;</w:t>
            </w:r>
          </w:p>
          <w:p w14:paraId="5E35F0B6" w14:textId="3F56B98D" w:rsidR="00E67FA0" w:rsidRPr="00292532" w:rsidRDefault="00E67FA0"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Pr>
                <w:sz w:val="20"/>
                <w:szCs w:val="20"/>
                <w:lang w:val="pt-PT"/>
              </w:rPr>
              <w:t xml:space="preserve">Redução da capacidade da mão de obra laboral </w:t>
            </w:r>
          </w:p>
        </w:tc>
      </w:tr>
    </w:tbl>
    <w:p w14:paraId="50C037FB" w14:textId="77777777" w:rsidR="00234235" w:rsidRPr="00292532" w:rsidRDefault="00234235" w:rsidP="00234235">
      <w:pPr>
        <w:keepNext/>
        <w:keepLines/>
        <w:spacing w:before="40" w:after="0"/>
        <w:outlineLvl w:val="2"/>
        <w:rPr>
          <w:rFonts w:eastAsiaTheme="majorEastAsia" w:cstheme="majorBidi"/>
          <w:b/>
          <w:i/>
          <w:sz w:val="24"/>
          <w:szCs w:val="24"/>
          <w:lang w:val="pt-PT"/>
        </w:rPr>
      </w:pPr>
    </w:p>
    <w:p w14:paraId="119A0A2A" w14:textId="77777777" w:rsidR="00201483" w:rsidRPr="00292532" w:rsidRDefault="00201483" w:rsidP="00E737B0">
      <w:pPr>
        <w:rPr>
          <w:lang w:val="pt-PT" w:eastAsia="ja-JP"/>
        </w:rPr>
      </w:pPr>
    </w:p>
    <w:p w14:paraId="004FDBD9" w14:textId="77777777" w:rsidR="00234235" w:rsidRPr="00292532" w:rsidRDefault="00234235" w:rsidP="00201483">
      <w:pPr>
        <w:pStyle w:val="Heading2"/>
        <w:sectPr w:rsidR="00234235" w:rsidRPr="00292532" w:rsidSect="00234235">
          <w:pgSz w:w="16838" w:h="11906" w:orient="landscape"/>
          <w:pgMar w:top="1701" w:right="1417" w:bottom="1701" w:left="1417" w:header="708" w:footer="708"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p>
    <w:p w14:paraId="31B072C7" w14:textId="00212BDD" w:rsidR="00E737B0" w:rsidRPr="00292532" w:rsidRDefault="00201483">
      <w:pPr>
        <w:pStyle w:val="Heading3"/>
      </w:pPr>
      <w:bookmarkStart w:id="186" w:name="_Toc80379968"/>
      <w:r w:rsidRPr="00292532">
        <w:lastRenderedPageBreak/>
        <w:t xml:space="preserve">Riscos e Ambientais e Sociais </w:t>
      </w:r>
      <w:r w:rsidR="00234235" w:rsidRPr="00292532">
        <w:t xml:space="preserve">na fase de construção </w:t>
      </w:r>
      <w:r w:rsidR="005C17A3" w:rsidRPr="00292532">
        <w:t>e operação</w:t>
      </w:r>
      <w:bookmarkEnd w:id="186"/>
    </w:p>
    <w:p w14:paraId="6E4F6DF8" w14:textId="4A9522FF" w:rsidR="00877F20" w:rsidRPr="00292532" w:rsidRDefault="00A25A4B" w:rsidP="00877F20">
      <w:pPr>
        <w:rPr>
          <w:lang w:val="pt-PT"/>
        </w:rPr>
      </w:pPr>
      <w:r w:rsidRPr="00292532">
        <w:rPr>
          <w:lang w:val="pt-PT"/>
        </w:rPr>
        <w:t xml:space="preserve">Nesta secção descrevem-se as principais </w:t>
      </w:r>
      <w:proofErr w:type="spellStart"/>
      <w:r w:rsidRPr="00292532">
        <w:rPr>
          <w:lang w:val="pt-PT"/>
        </w:rPr>
        <w:t>acções</w:t>
      </w:r>
      <w:proofErr w:type="spellEnd"/>
      <w:r w:rsidRPr="00292532">
        <w:rPr>
          <w:lang w:val="pt-PT"/>
        </w:rPr>
        <w:t xml:space="preserve"> previstas a serem desenvolvidas no âmbito da implementação do </w:t>
      </w:r>
      <w:proofErr w:type="spellStart"/>
      <w:r w:rsidRPr="00292532">
        <w:rPr>
          <w:lang w:val="pt-PT"/>
        </w:rPr>
        <w:t>Projecto</w:t>
      </w:r>
      <w:proofErr w:type="spellEnd"/>
      <w:r w:rsidRPr="00292532">
        <w:rPr>
          <w:lang w:val="pt-PT"/>
        </w:rPr>
        <w:t xml:space="preserve">, que serão potencialmente responsáveis pela geração dos riscos e impactos, consoante a sua fase de ocorrência, quer sejam nas fases de construção e de operação dos sistemas de abastecimento de água e saneamento. </w:t>
      </w:r>
    </w:p>
    <w:p w14:paraId="60B203CA" w14:textId="566C6DFF" w:rsidR="00A25A4B" w:rsidRPr="00292532" w:rsidRDefault="00A25A4B" w:rsidP="00877F20">
      <w:pPr>
        <w:rPr>
          <w:lang w:val="pt-PT"/>
        </w:rPr>
      </w:pPr>
      <w:r w:rsidRPr="00292532">
        <w:rPr>
          <w:lang w:val="pt-PT"/>
        </w:rPr>
        <w:t xml:space="preserve">Mais uma vez deve-se realçar que as </w:t>
      </w:r>
      <w:proofErr w:type="spellStart"/>
      <w:r w:rsidRPr="00292532">
        <w:rPr>
          <w:lang w:val="pt-PT"/>
        </w:rPr>
        <w:t>actividades</w:t>
      </w:r>
      <w:proofErr w:type="spellEnd"/>
      <w:r w:rsidRPr="00292532">
        <w:rPr>
          <w:lang w:val="pt-PT"/>
        </w:rPr>
        <w:t xml:space="preserve"> mencionadas foram identificadas com base no âmbito de </w:t>
      </w:r>
      <w:proofErr w:type="spellStart"/>
      <w:r w:rsidRPr="00292532">
        <w:rPr>
          <w:lang w:val="pt-PT"/>
        </w:rPr>
        <w:t>projectos</w:t>
      </w:r>
      <w:proofErr w:type="spellEnd"/>
      <w:r w:rsidRPr="00292532">
        <w:rPr>
          <w:lang w:val="pt-PT"/>
        </w:rPr>
        <w:t xml:space="preserve"> similares e métodos de construção comuns utilizados em </w:t>
      </w:r>
      <w:proofErr w:type="spellStart"/>
      <w:r w:rsidRPr="00292532">
        <w:rPr>
          <w:lang w:val="pt-PT"/>
        </w:rPr>
        <w:t>projectos</w:t>
      </w:r>
      <w:proofErr w:type="spellEnd"/>
      <w:r w:rsidRPr="00292532">
        <w:rPr>
          <w:lang w:val="pt-PT"/>
        </w:rPr>
        <w:t xml:space="preserve"> desenvolvidos anteriormente no País. </w:t>
      </w:r>
    </w:p>
    <w:p w14:paraId="18C4B5EB" w14:textId="35FD539B" w:rsidR="00AD65B6" w:rsidRPr="00292532" w:rsidRDefault="00AD65B6" w:rsidP="00877F20">
      <w:pPr>
        <w:rPr>
          <w:lang w:val="pt-PT"/>
        </w:rPr>
      </w:pPr>
      <w:bookmarkStart w:id="187" w:name="_Hlk75443237"/>
      <w:r w:rsidRPr="00292532">
        <w:rPr>
          <w:lang w:val="pt-PT"/>
        </w:rPr>
        <w:t xml:space="preserve">Considera-se a fase de construção das infraestruturas de abastecimento de água e saneamento como sendo o período onde serão potencialmente gerados a maior parte dos impactos ambientais e sociais do </w:t>
      </w:r>
      <w:proofErr w:type="spellStart"/>
      <w:r w:rsidRPr="00292532">
        <w:rPr>
          <w:lang w:val="pt-PT"/>
        </w:rPr>
        <w:t>Projecto</w:t>
      </w:r>
      <w:bookmarkEnd w:id="187"/>
      <w:proofErr w:type="spellEnd"/>
      <w:r w:rsidRPr="00292532">
        <w:rPr>
          <w:lang w:val="pt-PT"/>
        </w:rPr>
        <w:t xml:space="preserve">. As </w:t>
      </w:r>
      <w:proofErr w:type="spellStart"/>
      <w:r w:rsidRPr="00292532">
        <w:rPr>
          <w:lang w:val="pt-PT"/>
        </w:rPr>
        <w:t>actividades</w:t>
      </w:r>
      <w:proofErr w:type="spellEnd"/>
      <w:r w:rsidRPr="00292532">
        <w:rPr>
          <w:lang w:val="pt-PT"/>
        </w:rPr>
        <w:t xml:space="preserve"> primárias potencialmente geradoras de impactos foram preliminarmente </w:t>
      </w:r>
      <w:r w:rsidR="0005701F" w:rsidRPr="00292532">
        <w:rPr>
          <w:lang w:val="pt-PT"/>
        </w:rPr>
        <w:t>identificadas</w:t>
      </w:r>
      <w:r w:rsidRPr="00292532">
        <w:rPr>
          <w:lang w:val="pt-PT"/>
        </w:rPr>
        <w:t xml:space="preserve"> como sendo as seguintes: </w:t>
      </w:r>
    </w:p>
    <w:p w14:paraId="6DE61B1D" w14:textId="0F4F583C" w:rsidR="00AD65B6" w:rsidRPr="00292532" w:rsidRDefault="00AD65B6" w:rsidP="0024772D">
      <w:pPr>
        <w:pStyle w:val="ListParagraph"/>
        <w:numPr>
          <w:ilvl w:val="0"/>
          <w:numId w:val="41"/>
        </w:numPr>
        <w:rPr>
          <w:lang w:val="pt-PT"/>
        </w:rPr>
      </w:pPr>
      <w:r w:rsidRPr="00292532">
        <w:rPr>
          <w:lang w:val="pt-PT"/>
        </w:rPr>
        <w:t xml:space="preserve">Obras iniciais de limpeza dos terrenos, desmatação e remoção da vegetação </w:t>
      </w:r>
    </w:p>
    <w:p w14:paraId="71F8B496" w14:textId="1A3D8544" w:rsidR="00AD65B6" w:rsidRPr="00292532" w:rsidRDefault="00AD65B6" w:rsidP="0024772D">
      <w:pPr>
        <w:pStyle w:val="ListParagraph"/>
        <w:numPr>
          <w:ilvl w:val="0"/>
          <w:numId w:val="41"/>
        </w:numPr>
        <w:rPr>
          <w:lang w:val="pt-PT"/>
        </w:rPr>
      </w:pPr>
      <w:r w:rsidRPr="00292532">
        <w:rPr>
          <w:lang w:val="pt-PT"/>
        </w:rPr>
        <w:t>Terraplenagens (corte, aterro, transporte e armazenamento de material)</w:t>
      </w:r>
    </w:p>
    <w:p w14:paraId="4845E154" w14:textId="452E35DA" w:rsidR="00AD65B6" w:rsidRPr="00292532" w:rsidRDefault="00AD65B6" w:rsidP="0024772D">
      <w:pPr>
        <w:pStyle w:val="ListParagraph"/>
        <w:numPr>
          <w:ilvl w:val="0"/>
          <w:numId w:val="41"/>
        </w:numPr>
        <w:rPr>
          <w:lang w:val="pt-PT"/>
        </w:rPr>
      </w:pPr>
      <w:r w:rsidRPr="00292532">
        <w:rPr>
          <w:lang w:val="pt-PT"/>
        </w:rPr>
        <w:t>Exploração de áreas de empréstimo</w:t>
      </w:r>
    </w:p>
    <w:p w14:paraId="18D4D639" w14:textId="56D93B10" w:rsidR="00AD65B6" w:rsidRPr="00292532" w:rsidRDefault="00AD65B6" w:rsidP="0024772D">
      <w:pPr>
        <w:pStyle w:val="ListParagraph"/>
        <w:numPr>
          <w:ilvl w:val="0"/>
          <w:numId w:val="41"/>
        </w:numPr>
        <w:rPr>
          <w:lang w:val="pt-PT"/>
        </w:rPr>
      </w:pPr>
      <w:r w:rsidRPr="00292532">
        <w:rPr>
          <w:lang w:val="pt-PT"/>
        </w:rPr>
        <w:t>Circulação de veículos e de maquinaria pesada</w:t>
      </w:r>
    </w:p>
    <w:p w14:paraId="66BBB877" w14:textId="7DE84DC0" w:rsidR="00AD65B6" w:rsidRPr="00292532" w:rsidRDefault="00AD65B6" w:rsidP="0024772D">
      <w:pPr>
        <w:pStyle w:val="ListParagraph"/>
        <w:numPr>
          <w:ilvl w:val="0"/>
          <w:numId w:val="41"/>
        </w:numPr>
        <w:rPr>
          <w:lang w:val="pt-PT"/>
        </w:rPr>
      </w:pPr>
      <w:proofErr w:type="spellStart"/>
      <w:r w:rsidRPr="00292532">
        <w:rPr>
          <w:lang w:val="pt-PT"/>
        </w:rPr>
        <w:t>Actividades</w:t>
      </w:r>
      <w:proofErr w:type="spellEnd"/>
      <w:r w:rsidRPr="00292532">
        <w:rPr>
          <w:lang w:val="pt-PT"/>
        </w:rPr>
        <w:t xml:space="preserve"> de escavação</w:t>
      </w:r>
    </w:p>
    <w:p w14:paraId="782D2F32" w14:textId="0684F274" w:rsidR="00AD65B6" w:rsidRPr="00292532" w:rsidRDefault="00AD65B6" w:rsidP="0024772D">
      <w:pPr>
        <w:pStyle w:val="ListParagraph"/>
        <w:numPr>
          <w:ilvl w:val="0"/>
          <w:numId w:val="41"/>
        </w:numPr>
        <w:rPr>
          <w:lang w:val="pt-PT"/>
        </w:rPr>
      </w:pPr>
      <w:r w:rsidRPr="00292532">
        <w:rPr>
          <w:lang w:val="pt-PT"/>
        </w:rPr>
        <w:t xml:space="preserve">Betonagem </w:t>
      </w:r>
      <w:r w:rsidRPr="00292532">
        <w:rPr>
          <w:i/>
          <w:iCs/>
          <w:lang w:val="pt-PT"/>
        </w:rPr>
        <w:t>in loco</w:t>
      </w:r>
    </w:p>
    <w:p w14:paraId="3555F2E1" w14:textId="2EFB73FD" w:rsidR="00AD65B6" w:rsidRPr="00292532" w:rsidRDefault="006239A1" w:rsidP="0024772D">
      <w:pPr>
        <w:pStyle w:val="ListParagraph"/>
        <w:numPr>
          <w:ilvl w:val="0"/>
          <w:numId w:val="41"/>
        </w:numPr>
        <w:rPr>
          <w:lang w:val="pt-PT"/>
        </w:rPr>
      </w:pPr>
      <w:r w:rsidRPr="00292532">
        <w:rPr>
          <w:lang w:val="pt-PT"/>
        </w:rPr>
        <w:t xml:space="preserve">Recrutamento e </w:t>
      </w:r>
      <w:r w:rsidR="00381467" w:rsidRPr="00292532">
        <w:rPr>
          <w:lang w:val="pt-PT"/>
        </w:rPr>
        <w:t>contrata</w:t>
      </w:r>
      <w:r w:rsidR="00AD65B6" w:rsidRPr="00292532">
        <w:rPr>
          <w:lang w:val="pt-PT"/>
        </w:rPr>
        <w:t xml:space="preserve">ção de trabalhadores </w:t>
      </w:r>
    </w:p>
    <w:p w14:paraId="2B7764CD" w14:textId="5E9B2AE2" w:rsidR="00AD65B6" w:rsidRPr="00292532" w:rsidRDefault="00AD65B6" w:rsidP="0024772D">
      <w:pPr>
        <w:pStyle w:val="ListParagraph"/>
        <w:numPr>
          <w:ilvl w:val="0"/>
          <w:numId w:val="41"/>
        </w:numPr>
        <w:rPr>
          <w:lang w:val="pt-PT"/>
        </w:rPr>
      </w:pPr>
      <w:r w:rsidRPr="00292532">
        <w:rPr>
          <w:lang w:val="pt-PT"/>
        </w:rPr>
        <w:t>Alojamento de trabalhadores (potencialmente em acampamentos)</w:t>
      </w:r>
    </w:p>
    <w:p w14:paraId="01C917D7" w14:textId="3D191D0B" w:rsidR="00AD65B6" w:rsidRPr="00292532" w:rsidRDefault="00AD65B6" w:rsidP="0024772D">
      <w:pPr>
        <w:pStyle w:val="ListParagraph"/>
        <w:numPr>
          <w:ilvl w:val="0"/>
          <w:numId w:val="41"/>
        </w:numPr>
        <w:rPr>
          <w:lang w:val="pt-PT"/>
        </w:rPr>
      </w:pPr>
      <w:r w:rsidRPr="00292532">
        <w:rPr>
          <w:lang w:val="pt-PT"/>
        </w:rPr>
        <w:t xml:space="preserve">Estaleiro de obras </w:t>
      </w:r>
    </w:p>
    <w:p w14:paraId="077C04F1" w14:textId="4B2A1081" w:rsidR="006239A1" w:rsidRPr="00292532" w:rsidRDefault="006239A1" w:rsidP="0024772D">
      <w:pPr>
        <w:pStyle w:val="ListParagraph"/>
        <w:numPr>
          <w:ilvl w:val="0"/>
          <w:numId w:val="41"/>
        </w:numPr>
        <w:rPr>
          <w:lang w:val="pt-PT"/>
        </w:rPr>
      </w:pPr>
      <w:r w:rsidRPr="00292532">
        <w:rPr>
          <w:lang w:val="pt-PT"/>
        </w:rPr>
        <w:t>Construção de reservatórios de água</w:t>
      </w:r>
    </w:p>
    <w:p w14:paraId="0B9CA28F" w14:textId="7F9D8A39" w:rsidR="00AD65B6" w:rsidRPr="00292532" w:rsidRDefault="00AD65B6" w:rsidP="0024772D">
      <w:pPr>
        <w:pStyle w:val="ListParagraph"/>
        <w:numPr>
          <w:ilvl w:val="0"/>
          <w:numId w:val="41"/>
        </w:numPr>
        <w:rPr>
          <w:lang w:val="pt-PT"/>
        </w:rPr>
      </w:pPr>
      <w:r w:rsidRPr="00292532">
        <w:rPr>
          <w:lang w:val="pt-PT"/>
        </w:rPr>
        <w:t>Instalação de condutas</w:t>
      </w:r>
      <w:r w:rsidR="00A37ED8" w:rsidRPr="00292532">
        <w:rPr>
          <w:lang w:val="pt-PT"/>
        </w:rPr>
        <w:t>,</w:t>
      </w:r>
      <w:r w:rsidRPr="00292532">
        <w:rPr>
          <w:lang w:val="pt-PT"/>
        </w:rPr>
        <w:t xml:space="preserve"> adutoras</w:t>
      </w:r>
      <w:r w:rsidR="00A37ED8" w:rsidRPr="00292532">
        <w:rPr>
          <w:lang w:val="pt-PT"/>
        </w:rPr>
        <w:t xml:space="preserve"> e de distribuição</w:t>
      </w:r>
      <w:r w:rsidRPr="00292532">
        <w:rPr>
          <w:lang w:val="pt-PT"/>
        </w:rPr>
        <w:t xml:space="preserve"> </w:t>
      </w:r>
    </w:p>
    <w:p w14:paraId="54A24A79" w14:textId="294D32BD" w:rsidR="00AD65B6" w:rsidRPr="00292532" w:rsidRDefault="00AD65B6" w:rsidP="0024772D">
      <w:pPr>
        <w:pStyle w:val="ListParagraph"/>
        <w:numPr>
          <w:ilvl w:val="0"/>
          <w:numId w:val="41"/>
        </w:numPr>
        <w:rPr>
          <w:lang w:val="pt-PT"/>
        </w:rPr>
      </w:pPr>
      <w:r w:rsidRPr="00292532">
        <w:rPr>
          <w:lang w:val="pt-PT"/>
        </w:rPr>
        <w:t xml:space="preserve">Perfuração de furos de </w:t>
      </w:r>
      <w:r w:rsidR="0005701F" w:rsidRPr="00292532">
        <w:rPr>
          <w:lang w:val="pt-PT"/>
        </w:rPr>
        <w:t>captação</w:t>
      </w:r>
      <w:r w:rsidRPr="00292532">
        <w:rPr>
          <w:lang w:val="pt-PT"/>
        </w:rPr>
        <w:t xml:space="preserve"> de águas subterrâneas</w:t>
      </w:r>
    </w:p>
    <w:p w14:paraId="555537EB" w14:textId="59CC9A53" w:rsidR="00AD65B6" w:rsidRPr="00292532" w:rsidRDefault="00AD65B6" w:rsidP="0024772D">
      <w:pPr>
        <w:pStyle w:val="ListParagraph"/>
        <w:numPr>
          <w:ilvl w:val="0"/>
          <w:numId w:val="41"/>
        </w:numPr>
        <w:rPr>
          <w:lang w:val="pt-PT"/>
        </w:rPr>
      </w:pPr>
      <w:r w:rsidRPr="00292532">
        <w:rPr>
          <w:lang w:val="pt-PT"/>
        </w:rPr>
        <w:t>Construção de estações de tratamento de águas (para o abastecimento às populações</w:t>
      </w:r>
      <w:r w:rsidR="00D556E5" w:rsidRPr="00292532">
        <w:rPr>
          <w:lang w:val="pt-PT"/>
        </w:rPr>
        <w:t xml:space="preserve"> e residuais</w:t>
      </w:r>
      <w:r w:rsidRPr="00292532">
        <w:rPr>
          <w:lang w:val="pt-PT"/>
        </w:rPr>
        <w:t>)</w:t>
      </w:r>
    </w:p>
    <w:p w14:paraId="028495F4" w14:textId="691BD6F3" w:rsidR="00AD65B6" w:rsidRPr="00292532" w:rsidRDefault="006239A1" w:rsidP="0024772D">
      <w:pPr>
        <w:pStyle w:val="ListParagraph"/>
        <w:numPr>
          <w:ilvl w:val="0"/>
          <w:numId w:val="41"/>
        </w:numPr>
        <w:rPr>
          <w:lang w:val="pt-PT"/>
        </w:rPr>
      </w:pPr>
      <w:r w:rsidRPr="00292532">
        <w:rPr>
          <w:lang w:val="pt-PT"/>
        </w:rPr>
        <w:t xml:space="preserve">Consumo de água e energia </w:t>
      </w:r>
    </w:p>
    <w:p w14:paraId="6C121A51" w14:textId="52BD13BB" w:rsidR="006239A1" w:rsidRPr="00292532" w:rsidRDefault="006239A1" w:rsidP="0024772D">
      <w:pPr>
        <w:pStyle w:val="ListParagraph"/>
        <w:numPr>
          <w:ilvl w:val="0"/>
          <w:numId w:val="41"/>
        </w:numPr>
        <w:rPr>
          <w:lang w:val="pt-PT"/>
        </w:rPr>
      </w:pPr>
      <w:r w:rsidRPr="00292532">
        <w:rPr>
          <w:lang w:val="pt-PT"/>
        </w:rPr>
        <w:t>Geração e gestão de resíduos</w:t>
      </w:r>
    </w:p>
    <w:p w14:paraId="3AAADC5A" w14:textId="19495878" w:rsidR="006239A1" w:rsidRPr="00292532" w:rsidRDefault="006163A7" w:rsidP="0024772D">
      <w:pPr>
        <w:pStyle w:val="ListParagraph"/>
        <w:numPr>
          <w:ilvl w:val="0"/>
          <w:numId w:val="41"/>
        </w:numPr>
        <w:rPr>
          <w:lang w:val="pt-PT"/>
        </w:rPr>
      </w:pPr>
      <w:r w:rsidRPr="00292532">
        <w:rPr>
          <w:lang w:val="pt-PT"/>
        </w:rPr>
        <w:t>Contratação</w:t>
      </w:r>
      <w:r w:rsidR="006239A1" w:rsidRPr="00292532">
        <w:rPr>
          <w:lang w:val="pt-PT"/>
        </w:rPr>
        <w:t xml:space="preserve"> de serviços e gestão de empresas </w:t>
      </w:r>
      <w:r w:rsidR="00381467" w:rsidRPr="00292532">
        <w:rPr>
          <w:lang w:val="pt-PT"/>
        </w:rPr>
        <w:t>contrata</w:t>
      </w:r>
      <w:r w:rsidR="006239A1" w:rsidRPr="00292532">
        <w:rPr>
          <w:lang w:val="pt-PT"/>
        </w:rPr>
        <w:t>das (incluindo empreiteiros)</w:t>
      </w:r>
    </w:p>
    <w:p w14:paraId="540D088A" w14:textId="55DC33FB" w:rsidR="00F64A49" w:rsidRPr="00292532" w:rsidRDefault="00F64A49" w:rsidP="0024772D">
      <w:pPr>
        <w:pStyle w:val="ListParagraph"/>
        <w:numPr>
          <w:ilvl w:val="0"/>
          <w:numId w:val="41"/>
        </w:numPr>
        <w:rPr>
          <w:lang w:val="pt-PT"/>
        </w:rPr>
      </w:pPr>
      <w:r w:rsidRPr="00292532">
        <w:rPr>
          <w:lang w:val="pt-PT"/>
        </w:rPr>
        <w:t xml:space="preserve">Aquisições de bens e serviços nas áreas de implementação dos </w:t>
      </w:r>
      <w:proofErr w:type="spellStart"/>
      <w:r w:rsidRPr="00292532">
        <w:rPr>
          <w:lang w:val="pt-PT"/>
        </w:rPr>
        <w:t>projectos</w:t>
      </w:r>
      <w:proofErr w:type="spellEnd"/>
      <w:r w:rsidRPr="00292532">
        <w:rPr>
          <w:lang w:val="pt-PT"/>
        </w:rPr>
        <w:t xml:space="preserve"> (alojamento, bens alimentícios, </w:t>
      </w:r>
      <w:r w:rsidR="0005701F" w:rsidRPr="00292532">
        <w:rPr>
          <w:lang w:val="pt-PT"/>
        </w:rPr>
        <w:t>etc.</w:t>
      </w:r>
      <w:r w:rsidRPr="00292532">
        <w:rPr>
          <w:lang w:val="pt-PT"/>
        </w:rPr>
        <w:t>)</w:t>
      </w:r>
    </w:p>
    <w:p w14:paraId="0B7C374E" w14:textId="77777777" w:rsidR="00F64A49" w:rsidRPr="00292532" w:rsidRDefault="006239A1" w:rsidP="006239A1">
      <w:pPr>
        <w:rPr>
          <w:lang w:val="pt-PT"/>
        </w:rPr>
      </w:pPr>
      <w:bookmarkStart w:id="188" w:name="_Hlk75443248"/>
      <w:r w:rsidRPr="00292532">
        <w:rPr>
          <w:lang w:val="pt-PT"/>
        </w:rPr>
        <w:t xml:space="preserve">Durante a fase de </w:t>
      </w:r>
      <w:r w:rsidR="00F64A49" w:rsidRPr="00292532">
        <w:rPr>
          <w:lang w:val="pt-PT"/>
        </w:rPr>
        <w:t>operação, os riscos e impactos negativos serão mais reduzidos e localizados, resultantes da operação e funcionamento dos sistemas de abastecimento de água e saneamento instalados durante a fase de construção</w:t>
      </w:r>
      <w:bookmarkEnd w:id="188"/>
      <w:r w:rsidR="00F64A49" w:rsidRPr="00292532">
        <w:rPr>
          <w:lang w:val="pt-PT"/>
        </w:rPr>
        <w:t xml:space="preserve">. As principais </w:t>
      </w:r>
      <w:proofErr w:type="spellStart"/>
      <w:r w:rsidR="00F64A49" w:rsidRPr="00292532">
        <w:rPr>
          <w:lang w:val="pt-PT"/>
        </w:rPr>
        <w:t>actividades</w:t>
      </w:r>
      <w:proofErr w:type="spellEnd"/>
      <w:r w:rsidR="00F64A49" w:rsidRPr="00292532">
        <w:rPr>
          <w:lang w:val="pt-PT"/>
        </w:rPr>
        <w:t xml:space="preserve"> causadoras de impactos assumem-se como sendo as seguintes: </w:t>
      </w:r>
    </w:p>
    <w:p w14:paraId="1F679B93" w14:textId="565767C0" w:rsidR="006239A1" w:rsidRPr="00292532" w:rsidRDefault="00F64A49" w:rsidP="0024772D">
      <w:pPr>
        <w:pStyle w:val="ListParagraph"/>
        <w:numPr>
          <w:ilvl w:val="0"/>
          <w:numId w:val="42"/>
        </w:numPr>
        <w:rPr>
          <w:lang w:val="pt-PT"/>
        </w:rPr>
      </w:pPr>
      <w:r w:rsidRPr="00292532">
        <w:rPr>
          <w:lang w:val="pt-PT"/>
        </w:rPr>
        <w:t xml:space="preserve">Funcionamentos </w:t>
      </w:r>
      <w:r w:rsidR="0005701F" w:rsidRPr="00292532">
        <w:rPr>
          <w:lang w:val="pt-PT"/>
        </w:rPr>
        <w:t>dos sistemas</w:t>
      </w:r>
      <w:r w:rsidRPr="00292532">
        <w:rPr>
          <w:lang w:val="pt-PT"/>
        </w:rPr>
        <w:t xml:space="preserve"> de abastecimento de água (estações de bombagem e de tratamento de água)</w:t>
      </w:r>
    </w:p>
    <w:p w14:paraId="23959894" w14:textId="40261160" w:rsidR="00F64A49" w:rsidRPr="00292532" w:rsidRDefault="00F64A49" w:rsidP="0024772D">
      <w:pPr>
        <w:pStyle w:val="ListParagraph"/>
        <w:numPr>
          <w:ilvl w:val="0"/>
          <w:numId w:val="42"/>
        </w:numPr>
        <w:rPr>
          <w:lang w:val="pt-PT"/>
        </w:rPr>
      </w:pPr>
      <w:r w:rsidRPr="00292532">
        <w:rPr>
          <w:lang w:val="pt-PT"/>
        </w:rPr>
        <w:t xml:space="preserve">Abastecimento de água potável às populações beneficiadas </w:t>
      </w:r>
    </w:p>
    <w:p w14:paraId="0F755DA7" w14:textId="399AD96A" w:rsidR="00F64A49" w:rsidRPr="00292532" w:rsidRDefault="00F64A49" w:rsidP="0024772D">
      <w:pPr>
        <w:pStyle w:val="ListParagraph"/>
        <w:numPr>
          <w:ilvl w:val="0"/>
          <w:numId w:val="42"/>
        </w:numPr>
        <w:rPr>
          <w:lang w:val="pt-PT"/>
        </w:rPr>
      </w:pPr>
      <w:r w:rsidRPr="00292532">
        <w:rPr>
          <w:lang w:val="pt-PT"/>
        </w:rPr>
        <w:t xml:space="preserve">Fornecimento de serviços de saneamento </w:t>
      </w:r>
    </w:p>
    <w:p w14:paraId="04939CF7" w14:textId="7DC229DB" w:rsidR="00F64A49" w:rsidRPr="00292532" w:rsidRDefault="00F64A49" w:rsidP="0024772D">
      <w:pPr>
        <w:pStyle w:val="ListParagraph"/>
        <w:numPr>
          <w:ilvl w:val="0"/>
          <w:numId w:val="42"/>
        </w:numPr>
        <w:rPr>
          <w:lang w:val="pt-PT"/>
        </w:rPr>
      </w:pPr>
      <w:r w:rsidRPr="00292532">
        <w:rPr>
          <w:lang w:val="pt-PT"/>
        </w:rPr>
        <w:t xml:space="preserve">Consumo de energia para o funcionamento dos sistemas </w:t>
      </w:r>
    </w:p>
    <w:p w14:paraId="1CCCB437" w14:textId="2AA65BC2" w:rsidR="00F64A49" w:rsidRPr="00292532" w:rsidRDefault="00F64A49" w:rsidP="0024772D">
      <w:pPr>
        <w:pStyle w:val="ListParagraph"/>
        <w:numPr>
          <w:ilvl w:val="0"/>
          <w:numId w:val="42"/>
        </w:numPr>
        <w:rPr>
          <w:lang w:val="pt-PT"/>
        </w:rPr>
      </w:pPr>
      <w:r w:rsidRPr="00292532">
        <w:rPr>
          <w:lang w:val="pt-PT"/>
        </w:rPr>
        <w:t>Contratação de mão-de-obra para opera</w:t>
      </w:r>
      <w:r w:rsidR="00D556E5" w:rsidRPr="00292532">
        <w:rPr>
          <w:lang w:val="pt-PT"/>
        </w:rPr>
        <w:t>ção d</w:t>
      </w:r>
      <w:r w:rsidRPr="00292532">
        <w:rPr>
          <w:lang w:val="pt-PT"/>
        </w:rPr>
        <w:t xml:space="preserve">os sistemas </w:t>
      </w:r>
    </w:p>
    <w:p w14:paraId="02AC9A81" w14:textId="77777777" w:rsidR="00EC3D7C" w:rsidRPr="00292532" w:rsidRDefault="00F64A49" w:rsidP="0024772D">
      <w:pPr>
        <w:pStyle w:val="ListParagraph"/>
        <w:numPr>
          <w:ilvl w:val="0"/>
          <w:numId w:val="42"/>
        </w:numPr>
        <w:rPr>
          <w:lang w:val="pt-PT"/>
        </w:rPr>
        <w:sectPr w:rsidR="00EC3D7C" w:rsidRPr="00292532" w:rsidSect="00C01674">
          <w:pgSz w:w="11906" w:h="16838"/>
          <w:pgMar w:top="1417" w:right="1701" w:bottom="1417" w:left="1701" w:header="708" w:footer="708"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r w:rsidRPr="00292532">
        <w:rPr>
          <w:lang w:val="pt-PT"/>
        </w:rPr>
        <w:t>Envolvimento de operadores privados para os sistemas de abastecimento de água.</w:t>
      </w:r>
    </w:p>
    <w:p w14:paraId="00CE28FA" w14:textId="6B8BF849" w:rsidR="00231D12" w:rsidRPr="00292532" w:rsidRDefault="00231D12" w:rsidP="00876367">
      <w:pPr>
        <w:rPr>
          <w:lang w:val="pt-PT" w:eastAsia="ja-JP"/>
        </w:rPr>
      </w:pPr>
    </w:p>
    <w:p w14:paraId="488AC478" w14:textId="73C0E919" w:rsidR="00507213" w:rsidRPr="00292532" w:rsidRDefault="00507213" w:rsidP="005716B9">
      <w:pPr>
        <w:pStyle w:val="Caption"/>
      </w:pPr>
      <w:bookmarkStart w:id="189" w:name="_Toc75438159"/>
      <w:bookmarkStart w:id="190" w:name="_Toc80380265"/>
      <w:r w:rsidRPr="00292532">
        <w:t xml:space="preserve">Tabela </w:t>
      </w:r>
      <w:r w:rsidRPr="00292532">
        <w:fldChar w:fldCharType="begin"/>
      </w:r>
      <w:r w:rsidRPr="00292532">
        <w:instrText xml:space="preserve"> SEQ Tabela \* ARABIC </w:instrText>
      </w:r>
      <w:r w:rsidRPr="00292532">
        <w:fldChar w:fldCharType="separate"/>
      </w:r>
      <w:r w:rsidR="00C25AEB" w:rsidRPr="00292532">
        <w:rPr>
          <w:noProof/>
        </w:rPr>
        <w:t>18</w:t>
      </w:r>
      <w:r w:rsidRPr="00292532">
        <w:fldChar w:fldCharType="end"/>
      </w:r>
      <w:r w:rsidRPr="00292532">
        <w:t xml:space="preserve">: Riscos e Impactos Ambientais </w:t>
      </w:r>
      <w:r w:rsidR="003C1007" w:rsidRPr="00292532">
        <w:t>na fase de Construção</w:t>
      </w:r>
      <w:bookmarkEnd w:id="189"/>
      <w:bookmarkEnd w:id="190"/>
      <w:r w:rsidR="003C1007" w:rsidRPr="00292532">
        <w:t xml:space="preserve"> </w:t>
      </w:r>
    </w:p>
    <w:tbl>
      <w:tblPr>
        <w:tblStyle w:val="GridTable1Light-Accent11"/>
        <w:tblW w:w="12960" w:type="dxa"/>
        <w:tblInd w:w="805" w:type="dxa"/>
        <w:tblLayout w:type="fixed"/>
        <w:tblLook w:val="04A0" w:firstRow="1" w:lastRow="0" w:firstColumn="1" w:lastColumn="0" w:noHBand="0" w:noVBand="1"/>
      </w:tblPr>
      <w:tblGrid>
        <w:gridCol w:w="2520"/>
        <w:gridCol w:w="5310"/>
        <w:gridCol w:w="5130"/>
      </w:tblGrid>
      <w:tr w:rsidR="009D0486" w:rsidRPr="00292532" w14:paraId="4E0B5B58" w14:textId="0819C2C8" w:rsidTr="004500AE">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2520" w:type="dxa"/>
            <w:shd w:val="clear" w:color="auto" w:fill="D9E2F3" w:themeFill="accent1" w:themeFillTint="33"/>
          </w:tcPr>
          <w:p w14:paraId="671196EA" w14:textId="77777777" w:rsidR="009D0486" w:rsidRPr="00292532" w:rsidRDefault="009D0486" w:rsidP="00E415CD">
            <w:pPr>
              <w:spacing w:after="160"/>
              <w:jc w:val="center"/>
              <w:rPr>
                <w:b w:val="0"/>
                <w:bCs w:val="0"/>
                <w:sz w:val="20"/>
                <w:szCs w:val="20"/>
                <w:lang w:val="pt-PT"/>
              </w:rPr>
            </w:pPr>
            <w:r w:rsidRPr="00292532">
              <w:rPr>
                <w:b w:val="0"/>
                <w:bCs w:val="0"/>
                <w:sz w:val="20"/>
                <w:szCs w:val="20"/>
                <w:lang w:val="pt-PT"/>
              </w:rPr>
              <w:t>Risco</w:t>
            </w:r>
          </w:p>
        </w:tc>
        <w:tc>
          <w:tcPr>
            <w:tcW w:w="5310" w:type="dxa"/>
            <w:shd w:val="clear" w:color="auto" w:fill="D9E2F3" w:themeFill="accent1" w:themeFillTint="33"/>
          </w:tcPr>
          <w:p w14:paraId="28D784B9" w14:textId="77777777" w:rsidR="009D0486" w:rsidRPr="00292532" w:rsidRDefault="009D0486" w:rsidP="00E415CD">
            <w:pPr>
              <w:spacing w:after="160"/>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pt-PT"/>
              </w:rPr>
            </w:pPr>
            <w:r w:rsidRPr="00292532">
              <w:rPr>
                <w:b w:val="0"/>
                <w:bCs w:val="0"/>
                <w:sz w:val="20"/>
                <w:szCs w:val="20"/>
                <w:lang w:val="pt-PT"/>
              </w:rPr>
              <w:t>Causas</w:t>
            </w:r>
          </w:p>
        </w:tc>
        <w:tc>
          <w:tcPr>
            <w:tcW w:w="5130" w:type="dxa"/>
            <w:shd w:val="clear" w:color="auto" w:fill="D9E2F3" w:themeFill="accent1" w:themeFillTint="33"/>
          </w:tcPr>
          <w:p w14:paraId="2496F395" w14:textId="77777777" w:rsidR="009D0486" w:rsidRPr="00292532" w:rsidRDefault="009D0486" w:rsidP="00E415CD">
            <w:pPr>
              <w:spacing w:after="160"/>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pt-PT"/>
              </w:rPr>
            </w:pPr>
            <w:r w:rsidRPr="00292532">
              <w:rPr>
                <w:b w:val="0"/>
                <w:bCs w:val="0"/>
                <w:sz w:val="20"/>
                <w:szCs w:val="20"/>
                <w:lang w:val="pt-PT"/>
              </w:rPr>
              <w:t>Impactos</w:t>
            </w:r>
          </w:p>
        </w:tc>
      </w:tr>
      <w:tr w:rsidR="009D0486" w:rsidRPr="001E4B2C" w14:paraId="0F6354D2" w14:textId="6DB31657"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24BC0BFF" w14:textId="77777777" w:rsidR="009D0486" w:rsidRPr="00292532" w:rsidRDefault="009D0486" w:rsidP="00E415CD">
            <w:pPr>
              <w:spacing w:after="160"/>
              <w:rPr>
                <w:sz w:val="20"/>
                <w:szCs w:val="20"/>
                <w:lang w:val="pt-PT"/>
              </w:rPr>
            </w:pPr>
            <w:r w:rsidRPr="00292532">
              <w:rPr>
                <w:sz w:val="20"/>
                <w:szCs w:val="20"/>
                <w:lang w:val="pt-PT"/>
              </w:rPr>
              <w:t xml:space="preserve">Emissão de poluentes atmosféricos incluindo poeiras e emissões de gases das fontes de combustão </w:t>
            </w:r>
          </w:p>
        </w:tc>
        <w:tc>
          <w:tcPr>
            <w:tcW w:w="5310" w:type="dxa"/>
          </w:tcPr>
          <w:p w14:paraId="5D2504FC" w14:textId="77777777" w:rsidR="009D0486" w:rsidRPr="00292532" w:rsidRDefault="009D0486" w:rsidP="0024772D">
            <w:pPr>
              <w:numPr>
                <w:ilvl w:val="0"/>
                <w:numId w:val="30"/>
              </w:numPr>
              <w:spacing w:before="0"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Terraplenagens durantes as obras (ou seja, limpeza do local, remoção do solo superficial, depósitos, transporte de materiais);</w:t>
            </w:r>
          </w:p>
          <w:p w14:paraId="703D1F18" w14:textId="77777777" w:rsidR="009D0486" w:rsidRPr="00292532" w:rsidRDefault="009D0486" w:rsidP="0024772D">
            <w:pPr>
              <w:numPr>
                <w:ilvl w:val="0"/>
                <w:numId w:val="30"/>
              </w:numPr>
              <w:spacing w:before="0"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Limpeza, desmatação do terreno e remoção da vegetação</w:t>
            </w:r>
          </w:p>
          <w:p w14:paraId="73DEDCF8" w14:textId="4C9437B5" w:rsidR="009D0486" w:rsidRPr="00292532"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Circulação de veículos e maquinaria pesada (p.e, escavadoras, </w:t>
            </w:r>
            <w:proofErr w:type="spellStart"/>
            <w:r w:rsidRPr="00292532">
              <w:rPr>
                <w:sz w:val="20"/>
                <w:szCs w:val="20"/>
                <w:lang w:val="pt-PT"/>
              </w:rPr>
              <w:t>buldozer</w:t>
            </w:r>
            <w:proofErr w:type="spellEnd"/>
            <w:r w:rsidRPr="00292532">
              <w:rPr>
                <w:sz w:val="20"/>
                <w:szCs w:val="20"/>
                <w:lang w:val="pt-PT"/>
              </w:rPr>
              <w:t>, gruas, camiões) para a preparação dos terrenos, transporte de material, abastecimentos e pessoal;</w:t>
            </w:r>
          </w:p>
          <w:p w14:paraId="47CFFCAC" w14:textId="77777777" w:rsidR="009D0486" w:rsidRPr="00292532"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Utilização de maquinaria </w:t>
            </w:r>
            <w:proofErr w:type="spellStart"/>
            <w:r w:rsidRPr="00292532">
              <w:rPr>
                <w:sz w:val="20"/>
                <w:szCs w:val="20"/>
                <w:lang w:val="pt-PT"/>
              </w:rPr>
              <w:t>accionada</w:t>
            </w:r>
            <w:proofErr w:type="spellEnd"/>
            <w:r w:rsidRPr="00292532">
              <w:rPr>
                <w:sz w:val="20"/>
                <w:szCs w:val="20"/>
                <w:lang w:val="pt-PT"/>
              </w:rPr>
              <w:t xml:space="preserve"> por motor e geradores para abastecimento energético (ou seja, motores e geradores a gasóleo) durante as Obras; </w:t>
            </w:r>
          </w:p>
          <w:p w14:paraId="111D1F97" w14:textId="77777777" w:rsidR="009D0486" w:rsidRPr="00292532" w:rsidRDefault="009D0486" w:rsidP="0024772D">
            <w:pPr>
              <w:numPr>
                <w:ilvl w:val="0"/>
                <w:numId w:val="30"/>
              </w:numPr>
              <w:spacing w:before="0"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Abertura de valas para a instalação de condutas,</w:t>
            </w:r>
          </w:p>
          <w:p w14:paraId="255193D0" w14:textId="4AA6579A" w:rsidR="009D0486" w:rsidRPr="00292532" w:rsidRDefault="009D0486" w:rsidP="0024772D">
            <w:pPr>
              <w:numPr>
                <w:ilvl w:val="0"/>
                <w:numId w:val="30"/>
              </w:numPr>
              <w:spacing w:before="0"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Escavações para as fundações dos reservatórios e edifícios das instalações de tratamento de águas (residuais e para consumo)</w:t>
            </w:r>
          </w:p>
          <w:p w14:paraId="45A04FA1" w14:textId="6A7B7EBE" w:rsidR="009D0486" w:rsidRPr="00292532" w:rsidRDefault="009D0486" w:rsidP="0024772D">
            <w:pPr>
              <w:numPr>
                <w:ilvl w:val="0"/>
                <w:numId w:val="30"/>
              </w:numPr>
              <w:spacing w:before="0"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Outros </w:t>
            </w:r>
            <w:proofErr w:type="spellStart"/>
            <w:r w:rsidRPr="00292532">
              <w:rPr>
                <w:sz w:val="20"/>
                <w:szCs w:val="20"/>
                <w:lang w:val="pt-PT"/>
              </w:rPr>
              <w:t>factores</w:t>
            </w:r>
            <w:proofErr w:type="spellEnd"/>
            <w:r w:rsidRPr="00292532">
              <w:rPr>
                <w:sz w:val="20"/>
                <w:szCs w:val="20"/>
                <w:lang w:val="pt-PT"/>
              </w:rPr>
              <w:t xml:space="preserve"> que potencialmente </w:t>
            </w:r>
            <w:proofErr w:type="spellStart"/>
            <w:r w:rsidRPr="00292532">
              <w:rPr>
                <w:sz w:val="20"/>
                <w:szCs w:val="20"/>
                <w:lang w:val="pt-PT"/>
              </w:rPr>
              <w:t>afectam</w:t>
            </w:r>
            <w:proofErr w:type="spellEnd"/>
            <w:r w:rsidRPr="00292532">
              <w:rPr>
                <w:sz w:val="20"/>
                <w:szCs w:val="20"/>
                <w:lang w:val="pt-PT"/>
              </w:rPr>
              <w:t xml:space="preserve"> a suspensão de partículas pela </w:t>
            </w:r>
            <w:proofErr w:type="spellStart"/>
            <w:r w:rsidRPr="00292532">
              <w:rPr>
                <w:sz w:val="20"/>
                <w:szCs w:val="20"/>
                <w:lang w:val="pt-PT"/>
              </w:rPr>
              <w:t>acção</w:t>
            </w:r>
            <w:proofErr w:type="spellEnd"/>
            <w:r w:rsidRPr="00292532">
              <w:rPr>
                <w:sz w:val="20"/>
                <w:szCs w:val="20"/>
                <w:lang w:val="pt-PT"/>
              </w:rPr>
              <w:t xml:space="preserve"> do tráfego são o tipo de solo, a velocidade a que os veículos circulam e influência do clima (ventos, pluviosidade)</w:t>
            </w:r>
          </w:p>
          <w:p w14:paraId="76CCA236" w14:textId="77777777" w:rsidR="009D0486" w:rsidRPr="00292532" w:rsidRDefault="009D0486" w:rsidP="0024772D">
            <w:pPr>
              <w:numPr>
                <w:ilvl w:val="0"/>
                <w:numId w:val="30"/>
              </w:numPr>
              <w:spacing w:before="0"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Exploração de câmaras de empréstimo </w:t>
            </w:r>
          </w:p>
          <w:p w14:paraId="321BAEC1" w14:textId="1EBA2A06" w:rsidR="009D0486" w:rsidRPr="00292532" w:rsidRDefault="009D0486" w:rsidP="0024772D">
            <w:pPr>
              <w:numPr>
                <w:ilvl w:val="0"/>
                <w:numId w:val="30"/>
              </w:numPr>
              <w:spacing w:before="0"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Na desmobilização: </w:t>
            </w:r>
            <w:proofErr w:type="spellStart"/>
            <w:r w:rsidRPr="00292532">
              <w:rPr>
                <w:sz w:val="20"/>
                <w:szCs w:val="20"/>
                <w:lang w:val="pt-PT"/>
              </w:rPr>
              <w:t>actividades</w:t>
            </w:r>
            <w:proofErr w:type="spellEnd"/>
            <w:r w:rsidRPr="00292532">
              <w:rPr>
                <w:sz w:val="20"/>
                <w:szCs w:val="20"/>
                <w:lang w:val="pt-PT"/>
              </w:rPr>
              <w:t xml:space="preserve"> de limpeza, transporte de maquinaria, material e pessoal.</w:t>
            </w:r>
          </w:p>
        </w:tc>
        <w:tc>
          <w:tcPr>
            <w:tcW w:w="5130" w:type="dxa"/>
          </w:tcPr>
          <w:p w14:paraId="7B073217"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Poluição do ar</w:t>
            </w:r>
          </w:p>
          <w:p w14:paraId="5E199849"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Contaminação dos cursos de água</w:t>
            </w:r>
          </w:p>
          <w:p w14:paraId="16F41325"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Inalação de poeiras pelas populações locais </w:t>
            </w:r>
          </w:p>
          <w:p w14:paraId="2C8F3820"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Incomodo às populações residentes nas proximidades</w:t>
            </w:r>
          </w:p>
          <w:p w14:paraId="0D68FA9F"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Interferência e afugentamento da fauna</w:t>
            </w:r>
          </w:p>
        </w:tc>
      </w:tr>
      <w:tr w:rsidR="009D0486" w:rsidRPr="00292532" w14:paraId="15120CE3" w14:textId="11789D0E"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1C888F0E" w14:textId="77777777" w:rsidR="009D0486" w:rsidRPr="00292532" w:rsidRDefault="009D0486" w:rsidP="00E415CD">
            <w:pPr>
              <w:rPr>
                <w:sz w:val="20"/>
                <w:szCs w:val="20"/>
                <w:lang w:val="pt-PT"/>
              </w:rPr>
            </w:pPr>
            <w:r w:rsidRPr="00292532">
              <w:rPr>
                <w:sz w:val="20"/>
                <w:szCs w:val="20"/>
                <w:lang w:val="pt-PT"/>
              </w:rPr>
              <w:t>Emissões atmosféricas de gases de combustão</w:t>
            </w:r>
          </w:p>
        </w:tc>
        <w:tc>
          <w:tcPr>
            <w:tcW w:w="5310" w:type="dxa"/>
          </w:tcPr>
          <w:p w14:paraId="0C538074" w14:textId="7F7B2F61" w:rsidR="009D0486" w:rsidRPr="00292532" w:rsidRDefault="009D0486" w:rsidP="0024772D">
            <w:pPr>
              <w:pStyle w:val="ListParagraph"/>
              <w:numPr>
                <w:ilvl w:val="0"/>
                <w:numId w:val="30"/>
              </w:num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Utilização de maquinaria </w:t>
            </w:r>
            <w:proofErr w:type="spellStart"/>
            <w:r w:rsidRPr="00292532">
              <w:rPr>
                <w:sz w:val="20"/>
                <w:szCs w:val="20"/>
                <w:lang w:val="pt-PT"/>
              </w:rPr>
              <w:t>accionada</w:t>
            </w:r>
            <w:proofErr w:type="spellEnd"/>
            <w:r w:rsidRPr="00292532">
              <w:rPr>
                <w:sz w:val="20"/>
                <w:szCs w:val="20"/>
                <w:lang w:val="pt-PT"/>
              </w:rPr>
              <w:t xml:space="preserve"> por motor e geradores para abastecimento energético nas captações, estações de tratamento de águas e de tratamento de águas residuais  </w:t>
            </w:r>
          </w:p>
        </w:tc>
        <w:tc>
          <w:tcPr>
            <w:tcW w:w="5130" w:type="dxa"/>
          </w:tcPr>
          <w:p w14:paraId="209F29C4" w14:textId="3A435F8A"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Poluição do ar</w:t>
            </w:r>
          </w:p>
        </w:tc>
      </w:tr>
      <w:tr w:rsidR="009D0486" w:rsidRPr="001E4B2C" w14:paraId="4D8776A1" w14:textId="0744740D"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39280406" w14:textId="77777777" w:rsidR="009D0486" w:rsidRPr="00292532" w:rsidRDefault="009D0486" w:rsidP="00E415CD">
            <w:pPr>
              <w:rPr>
                <w:sz w:val="20"/>
                <w:szCs w:val="20"/>
                <w:lang w:val="pt-PT"/>
              </w:rPr>
            </w:pPr>
            <w:r w:rsidRPr="00292532">
              <w:rPr>
                <w:sz w:val="20"/>
                <w:szCs w:val="20"/>
                <w:lang w:val="pt-PT"/>
              </w:rPr>
              <w:lastRenderedPageBreak/>
              <w:t xml:space="preserve">Riscos no funcionamento dos serviços </w:t>
            </w:r>
            <w:proofErr w:type="spellStart"/>
            <w:r w:rsidRPr="00292532">
              <w:rPr>
                <w:sz w:val="20"/>
                <w:szCs w:val="20"/>
                <w:lang w:val="pt-PT"/>
              </w:rPr>
              <w:t>ecossistémicos</w:t>
            </w:r>
            <w:proofErr w:type="spellEnd"/>
          </w:p>
        </w:tc>
        <w:tc>
          <w:tcPr>
            <w:tcW w:w="5310" w:type="dxa"/>
          </w:tcPr>
          <w:p w14:paraId="4F2F39CA" w14:textId="77777777"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Ocupação da terra para instalar as infraestruturas de abastecimento de água e saneamento</w:t>
            </w:r>
          </w:p>
          <w:p w14:paraId="61C8CB87" w14:textId="77777777"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Presença de trabalhadores empregues nas </w:t>
            </w:r>
            <w:proofErr w:type="spellStart"/>
            <w:r w:rsidRPr="00292532">
              <w:rPr>
                <w:sz w:val="20"/>
                <w:szCs w:val="20"/>
                <w:lang w:val="pt-PT"/>
              </w:rPr>
              <w:t>actividades</w:t>
            </w:r>
            <w:proofErr w:type="spellEnd"/>
            <w:r w:rsidRPr="00292532">
              <w:rPr>
                <w:sz w:val="20"/>
                <w:szCs w:val="20"/>
                <w:lang w:val="pt-PT"/>
              </w:rPr>
              <w:t xml:space="preserve"> do </w:t>
            </w:r>
            <w:proofErr w:type="spellStart"/>
            <w:r w:rsidRPr="00292532">
              <w:rPr>
                <w:sz w:val="20"/>
                <w:szCs w:val="20"/>
                <w:lang w:val="pt-PT"/>
              </w:rPr>
              <w:t>projecto</w:t>
            </w:r>
            <w:proofErr w:type="spellEnd"/>
          </w:p>
          <w:p w14:paraId="6F34EF61"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Geração de resíduos</w:t>
            </w:r>
          </w:p>
          <w:p w14:paraId="5CD0474F"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Procura por materiais e bens</w:t>
            </w:r>
          </w:p>
        </w:tc>
        <w:tc>
          <w:tcPr>
            <w:tcW w:w="5130" w:type="dxa"/>
          </w:tcPr>
          <w:p w14:paraId="3D6DC94D"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Modificação e perda de terreno agrícola devido a ocupação de terra </w:t>
            </w:r>
          </w:p>
          <w:p w14:paraId="37D06285"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Perda de terrenos livres para as pessoas locais e exclusão do acesso de pessoas </w:t>
            </w:r>
          </w:p>
          <w:p w14:paraId="50605019"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poluição do ecossistema devido a geração de resíduos;</w:t>
            </w:r>
          </w:p>
          <w:p w14:paraId="19EDA960"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Potencial depleção dos recursos naturais (por exemplo, água, madeira)</w:t>
            </w:r>
          </w:p>
        </w:tc>
      </w:tr>
      <w:tr w:rsidR="009D0486" w:rsidRPr="001E4B2C" w14:paraId="6F8965CB" w14:textId="657F42EE"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60DEE583" w14:textId="77777777" w:rsidR="009D0486" w:rsidRPr="00292532" w:rsidRDefault="009D0486" w:rsidP="00E415CD">
            <w:pPr>
              <w:spacing w:after="160"/>
              <w:rPr>
                <w:sz w:val="20"/>
                <w:szCs w:val="20"/>
                <w:lang w:val="pt-PT"/>
              </w:rPr>
            </w:pPr>
            <w:r w:rsidRPr="00292532">
              <w:rPr>
                <w:sz w:val="20"/>
                <w:szCs w:val="20"/>
                <w:lang w:val="pt-PT"/>
              </w:rPr>
              <w:t>Perda de solo</w:t>
            </w:r>
          </w:p>
        </w:tc>
        <w:tc>
          <w:tcPr>
            <w:tcW w:w="5310" w:type="dxa"/>
          </w:tcPr>
          <w:p w14:paraId="6217C96D" w14:textId="77777777"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 </w:t>
            </w:r>
            <w:proofErr w:type="spellStart"/>
            <w:r w:rsidRPr="00292532">
              <w:rPr>
                <w:sz w:val="20"/>
                <w:szCs w:val="20"/>
                <w:lang w:val="pt-PT"/>
              </w:rPr>
              <w:t>Actividades</w:t>
            </w:r>
            <w:proofErr w:type="spellEnd"/>
            <w:r w:rsidRPr="00292532">
              <w:rPr>
                <w:sz w:val="20"/>
                <w:szCs w:val="20"/>
                <w:lang w:val="pt-PT"/>
              </w:rPr>
              <w:t xml:space="preserve"> de corte e aterro para a preparação dos terrenos onde serão construídas as infraestruturas previstas pelo </w:t>
            </w:r>
            <w:proofErr w:type="spellStart"/>
            <w:r w:rsidRPr="00292532">
              <w:rPr>
                <w:sz w:val="20"/>
                <w:szCs w:val="20"/>
                <w:lang w:val="pt-PT"/>
              </w:rPr>
              <w:t>Projecto</w:t>
            </w:r>
            <w:proofErr w:type="spellEnd"/>
            <w:r w:rsidRPr="00292532">
              <w:rPr>
                <w:sz w:val="20"/>
                <w:szCs w:val="20"/>
                <w:lang w:val="pt-PT"/>
              </w:rPr>
              <w:t xml:space="preserve"> </w:t>
            </w:r>
          </w:p>
          <w:p w14:paraId="45973795"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Escavações para a </w:t>
            </w:r>
            <w:proofErr w:type="spellStart"/>
            <w:r w:rsidRPr="00292532">
              <w:rPr>
                <w:sz w:val="20"/>
                <w:szCs w:val="20"/>
                <w:lang w:val="pt-PT"/>
              </w:rPr>
              <w:t>extracção</w:t>
            </w:r>
            <w:proofErr w:type="spellEnd"/>
            <w:r w:rsidRPr="00292532">
              <w:rPr>
                <w:sz w:val="20"/>
                <w:szCs w:val="20"/>
                <w:lang w:val="pt-PT"/>
              </w:rPr>
              <w:t xml:space="preserve"> de materiais</w:t>
            </w:r>
          </w:p>
        </w:tc>
        <w:tc>
          <w:tcPr>
            <w:tcW w:w="5130" w:type="dxa"/>
          </w:tcPr>
          <w:p w14:paraId="0260C839"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Mortalidade e afugentamento da fauna</w:t>
            </w:r>
          </w:p>
          <w:p w14:paraId="55EDEA4E"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Perda e fragmentação dos habitats</w:t>
            </w:r>
          </w:p>
          <w:p w14:paraId="234283A3"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Alterações do uso e ocupação da terra</w:t>
            </w:r>
          </w:p>
          <w:p w14:paraId="49C0D1C4"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Alteração de ecossistemas sensíveis</w:t>
            </w:r>
          </w:p>
          <w:p w14:paraId="053C25F9"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Redução de terras de cultivo e pasto</w:t>
            </w:r>
          </w:p>
        </w:tc>
      </w:tr>
      <w:tr w:rsidR="009D0486" w:rsidRPr="001E4B2C" w14:paraId="1F86661D" w14:textId="172805C5"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051320A0" w14:textId="77777777" w:rsidR="009D0486" w:rsidRPr="00292532" w:rsidRDefault="009D0486" w:rsidP="00E415CD">
            <w:pPr>
              <w:spacing w:after="160"/>
              <w:rPr>
                <w:sz w:val="20"/>
                <w:szCs w:val="20"/>
                <w:lang w:val="pt-PT"/>
              </w:rPr>
            </w:pPr>
            <w:r w:rsidRPr="00292532">
              <w:rPr>
                <w:sz w:val="20"/>
                <w:szCs w:val="20"/>
                <w:lang w:val="pt-PT"/>
              </w:rPr>
              <w:t>Alteração da paisagem</w:t>
            </w:r>
          </w:p>
        </w:tc>
        <w:tc>
          <w:tcPr>
            <w:tcW w:w="5310" w:type="dxa"/>
          </w:tcPr>
          <w:p w14:paraId="49D7419D" w14:textId="77777777"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limpeza e nivelamento do local </w:t>
            </w:r>
          </w:p>
          <w:p w14:paraId="61FCF34F" w14:textId="77777777"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Construção de reservatórios de água, sistemas de abastecimento de água e saneamento</w:t>
            </w:r>
          </w:p>
          <w:p w14:paraId="400EFE48" w14:textId="77777777"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Presença de maquinaria de construção e veículos</w:t>
            </w:r>
          </w:p>
          <w:p w14:paraId="1A3DEF2B" w14:textId="77777777"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Estabelecimento de acampamentos </w:t>
            </w:r>
          </w:p>
          <w:p w14:paraId="550D0462" w14:textId="77777777"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Iluminação durante o período noturno (estaleiros e acampamentos) </w:t>
            </w:r>
          </w:p>
        </w:tc>
        <w:tc>
          <w:tcPr>
            <w:tcW w:w="5130" w:type="dxa"/>
          </w:tcPr>
          <w:p w14:paraId="6CF0A392"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Alteração das vistas panorâmicas;</w:t>
            </w:r>
          </w:p>
          <w:p w14:paraId="66BFFD6A"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Modificação da paisagem natural</w:t>
            </w:r>
          </w:p>
          <w:p w14:paraId="6E69C291"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Incomodo das populações residentes nas proximidades</w:t>
            </w:r>
          </w:p>
          <w:p w14:paraId="6A5A2691" w14:textId="77777777" w:rsidR="009D0486" w:rsidRPr="00292532" w:rsidRDefault="009D0486" w:rsidP="00E415CD">
            <w:pPr>
              <w:ind w:left="3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
        </w:tc>
      </w:tr>
      <w:tr w:rsidR="009D0486" w:rsidRPr="001E4B2C" w14:paraId="17A5126E" w14:textId="346AE8FC"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02082D6C" w14:textId="77777777" w:rsidR="009D0486" w:rsidRPr="00292532" w:rsidRDefault="009D0486" w:rsidP="00E415CD">
            <w:pPr>
              <w:spacing w:after="160"/>
              <w:rPr>
                <w:sz w:val="20"/>
                <w:szCs w:val="20"/>
                <w:lang w:val="pt-PT"/>
              </w:rPr>
            </w:pPr>
            <w:r w:rsidRPr="00292532">
              <w:rPr>
                <w:sz w:val="20"/>
                <w:szCs w:val="20"/>
                <w:lang w:val="pt-PT"/>
              </w:rPr>
              <w:t>Remoção e degradação do solo</w:t>
            </w:r>
          </w:p>
        </w:tc>
        <w:tc>
          <w:tcPr>
            <w:tcW w:w="5310" w:type="dxa"/>
          </w:tcPr>
          <w:p w14:paraId="0EC33545"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Técnicas de construção, maquinaria em uso durante a execução das obras; gestão de água; gestão do local de trabalho, gestão de resíduos e gestão de tráfego; gestão do solo e recuperação das áreas</w:t>
            </w:r>
          </w:p>
          <w:p w14:paraId="71DF51E9" w14:textId="474ECC37"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Gestão indevida de resíduos e águas residuais </w:t>
            </w:r>
          </w:p>
          <w:p w14:paraId="1F56512E" w14:textId="34FD4341"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Descargas acidentais de materiais perigosos; </w:t>
            </w:r>
          </w:p>
          <w:p w14:paraId="4D751D2A" w14:textId="77777777"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Características e sensibilidade dos solos da área do </w:t>
            </w:r>
            <w:proofErr w:type="spellStart"/>
            <w:r w:rsidRPr="00292532">
              <w:rPr>
                <w:sz w:val="20"/>
                <w:szCs w:val="20"/>
                <w:lang w:val="pt-PT"/>
              </w:rPr>
              <w:t>Projecto</w:t>
            </w:r>
            <w:proofErr w:type="spellEnd"/>
            <w:r w:rsidRPr="00292532">
              <w:rPr>
                <w:sz w:val="20"/>
                <w:szCs w:val="20"/>
                <w:lang w:val="pt-PT"/>
              </w:rPr>
              <w:t xml:space="preserve"> </w:t>
            </w:r>
          </w:p>
          <w:p w14:paraId="20ECAABA" w14:textId="603B7C3B"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Derrames acidentais a partir de veículos, tanques de armazenamento e armazenamento de químicos e resíduos geridos indevidamente</w:t>
            </w:r>
          </w:p>
          <w:p w14:paraId="325E6C93" w14:textId="77777777" w:rsidR="009D0486" w:rsidRPr="00292532" w:rsidRDefault="009D0486" w:rsidP="00E415CD">
            <w:pPr>
              <w:spacing w:after="160"/>
              <w:ind w:left="3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
        </w:tc>
        <w:tc>
          <w:tcPr>
            <w:tcW w:w="5130" w:type="dxa"/>
          </w:tcPr>
          <w:p w14:paraId="790110F6"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lastRenderedPageBreak/>
              <w:t xml:space="preserve">Impacto na qualidade do solo e sedimentos na </w:t>
            </w:r>
            <w:proofErr w:type="spellStart"/>
            <w:r w:rsidRPr="00292532">
              <w:rPr>
                <w:sz w:val="20"/>
                <w:szCs w:val="20"/>
                <w:lang w:val="pt-PT"/>
              </w:rPr>
              <w:t>actividade</w:t>
            </w:r>
            <w:proofErr w:type="spellEnd"/>
            <w:r w:rsidRPr="00292532">
              <w:rPr>
                <w:sz w:val="20"/>
                <w:szCs w:val="20"/>
                <w:lang w:val="pt-PT"/>
              </w:rPr>
              <w:t xml:space="preserve"> agrícola dos serviços do ecossistema</w:t>
            </w:r>
          </w:p>
          <w:p w14:paraId="38F4A494"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Impactos </w:t>
            </w:r>
            <w:proofErr w:type="spellStart"/>
            <w:r w:rsidRPr="00292532">
              <w:rPr>
                <w:sz w:val="20"/>
                <w:szCs w:val="20"/>
                <w:lang w:val="pt-PT"/>
              </w:rPr>
              <w:t>indirectos</w:t>
            </w:r>
            <w:proofErr w:type="spellEnd"/>
            <w:r w:rsidRPr="00292532">
              <w:rPr>
                <w:sz w:val="20"/>
                <w:szCs w:val="20"/>
                <w:lang w:val="pt-PT"/>
              </w:rPr>
              <w:t xml:space="preserve"> na saúde humana através do contacto </w:t>
            </w:r>
            <w:proofErr w:type="spellStart"/>
            <w:r w:rsidRPr="00292532">
              <w:rPr>
                <w:sz w:val="20"/>
                <w:szCs w:val="20"/>
                <w:lang w:val="pt-PT"/>
              </w:rPr>
              <w:t>directo</w:t>
            </w:r>
            <w:proofErr w:type="spellEnd"/>
            <w:r w:rsidRPr="00292532">
              <w:rPr>
                <w:sz w:val="20"/>
                <w:szCs w:val="20"/>
                <w:lang w:val="pt-PT"/>
              </w:rPr>
              <w:t xml:space="preserve"> com o solo contaminado ou por infiltração da contaminação do solo nas águas subterrâneas usadas para consumo humano.</w:t>
            </w:r>
          </w:p>
          <w:p w14:paraId="1C5A9B4F"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O solo contaminado pode ter consequências prejudiciais para os ecossistemas. </w:t>
            </w:r>
          </w:p>
          <w:p w14:paraId="5B04DB7F"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As alterações químicas do solo podem decorrer da presença de químicos perigosos mesmo a baixa concentração nas espécies contaminantes.</w:t>
            </w:r>
          </w:p>
          <w:p w14:paraId="64658102"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lastRenderedPageBreak/>
              <w:t>Perda do solo por remoção do solo superficial ou enterramento de perfis inteiros de solo, escavação do manto rochoso e cobertura de áreas sob os depósitos de solo/rocha;</w:t>
            </w:r>
          </w:p>
          <w:p w14:paraId="25131CD2"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Mudança nas características do solo por compactação ou erosão pelos veículos de construção na área do local de trabalho e em torno das estradas de acesso;</w:t>
            </w:r>
          </w:p>
          <w:p w14:paraId="694557C3"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Erosão do solo e compactação de solo não recuperável que leva à degradação do solo;</w:t>
            </w:r>
          </w:p>
          <w:p w14:paraId="2444CBE1"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Alteração de inclinações e morfologias existentes devido a </w:t>
            </w:r>
            <w:proofErr w:type="spellStart"/>
            <w:r w:rsidRPr="00292532">
              <w:rPr>
                <w:sz w:val="20"/>
                <w:szCs w:val="20"/>
                <w:lang w:val="pt-PT"/>
              </w:rPr>
              <w:t>actividades</w:t>
            </w:r>
            <w:proofErr w:type="spellEnd"/>
            <w:r w:rsidRPr="00292532">
              <w:rPr>
                <w:sz w:val="20"/>
                <w:szCs w:val="20"/>
                <w:lang w:val="pt-PT"/>
              </w:rPr>
              <w:t xml:space="preserve"> de nivelamento; e</w:t>
            </w:r>
          </w:p>
          <w:p w14:paraId="7E4E29C3"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Degradação, alteração ou compactação de depósitos de solo armazenados em repositórios.</w:t>
            </w:r>
          </w:p>
        </w:tc>
      </w:tr>
      <w:tr w:rsidR="009D0486" w:rsidRPr="001E4B2C" w14:paraId="7C8EFBE1" w14:textId="2DC84FD8"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32C0D1B7" w14:textId="77777777" w:rsidR="009D0486" w:rsidRPr="00292532" w:rsidRDefault="009D0486" w:rsidP="00E415CD">
            <w:pPr>
              <w:rPr>
                <w:sz w:val="20"/>
                <w:szCs w:val="20"/>
                <w:lang w:val="pt-PT"/>
              </w:rPr>
            </w:pPr>
            <w:r w:rsidRPr="00292532">
              <w:rPr>
                <w:sz w:val="20"/>
                <w:szCs w:val="20"/>
                <w:lang w:val="pt-PT"/>
              </w:rPr>
              <w:lastRenderedPageBreak/>
              <w:t>Eliminação da vegetação existente (natural ou agrícola)</w:t>
            </w:r>
          </w:p>
        </w:tc>
        <w:tc>
          <w:tcPr>
            <w:tcW w:w="5310" w:type="dxa"/>
          </w:tcPr>
          <w:p w14:paraId="2A3A2576"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Limpeza, desmatação do terreno e remoção da vegetação</w:t>
            </w:r>
          </w:p>
          <w:p w14:paraId="13BBDA64"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Terraplenagens durantes as obras (ou seja, limpeza do local, remoção do solo superficial, depósitos, transporte de materiais);</w:t>
            </w:r>
          </w:p>
          <w:p w14:paraId="28B5DC7C" w14:textId="20A71E5A"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Circulação de veículos e maquinaria pesada (p.e, escavadoras, </w:t>
            </w:r>
            <w:proofErr w:type="spellStart"/>
            <w:r w:rsidRPr="00292532">
              <w:rPr>
                <w:sz w:val="20"/>
                <w:szCs w:val="20"/>
                <w:lang w:val="pt-PT"/>
              </w:rPr>
              <w:t>buldozer</w:t>
            </w:r>
            <w:proofErr w:type="spellEnd"/>
            <w:r w:rsidRPr="00292532">
              <w:rPr>
                <w:sz w:val="20"/>
                <w:szCs w:val="20"/>
                <w:lang w:val="pt-PT"/>
              </w:rPr>
              <w:t>, gruas, camiões) para a preparação dos terrenos, transporte de material, abastecimentos e pessoal</w:t>
            </w:r>
          </w:p>
        </w:tc>
        <w:tc>
          <w:tcPr>
            <w:tcW w:w="5130" w:type="dxa"/>
          </w:tcPr>
          <w:p w14:paraId="7D828F60"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Afugentamento da fauna </w:t>
            </w:r>
          </w:p>
          <w:p w14:paraId="14C3563B"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Perda e fragmentação de habitats </w:t>
            </w:r>
          </w:p>
          <w:p w14:paraId="24CFCEC1"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Remoção de árvores e plantas com valor nutricional e medicinal </w:t>
            </w:r>
          </w:p>
          <w:p w14:paraId="533B9A3A" w14:textId="2401993B"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Eliminação de espécies importantes para a biodiversidade (comunidades de flora e fauna)</w:t>
            </w:r>
          </w:p>
          <w:p w14:paraId="366EB2B4" w14:textId="3A2AB8C1"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Aumento do potencial de </w:t>
            </w:r>
            <w:proofErr w:type="spellStart"/>
            <w:r w:rsidRPr="00292532">
              <w:rPr>
                <w:sz w:val="20"/>
                <w:szCs w:val="20"/>
                <w:lang w:val="pt-PT"/>
              </w:rPr>
              <w:t>interacção</w:t>
            </w:r>
            <w:proofErr w:type="spellEnd"/>
            <w:r w:rsidRPr="00292532">
              <w:rPr>
                <w:sz w:val="20"/>
                <w:szCs w:val="20"/>
                <w:lang w:val="pt-PT"/>
              </w:rPr>
              <w:t xml:space="preserve"> homem e fauna bravia</w:t>
            </w:r>
          </w:p>
          <w:p w14:paraId="4FCA736A"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Perda de habitats para a nidificação, reprodução,</w:t>
            </w:r>
          </w:p>
          <w:p w14:paraId="24BA830D"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Mortalidade da fauna</w:t>
            </w:r>
          </w:p>
          <w:p w14:paraId="22423F86"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Afugentamento da fauna</w:t>
            </w:r>
          </w:p>
          <w:p w14:paraId="628BBB30"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Degradação da qualidade do solo </w:t>
            </w:r>
          </w:p>
          <w:p w14:paraId="25991387"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Perda de fontes de rendimento e sustento de famílias que praticam agricultura de subsistência</w:t>
            </w:r>
          </w:p>
        </w:tc>
      </w:tr>
      <w:tr w:rsidR="009D0486" w:rsidRPr="001E4B2C" w14:paraId="6369F04B" w14:textId="749D5C52"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1461DEC7" w14:textId="77777777" w:rsidR="009D0486" w:rsidRPr="00292532" w:rsidRDefault="009D0486" w:rsidP="00E415CD">
            <w:pPr>
              <w:spacing w:after="160"/>
              <w:rPr>
                <w:sz w:val="20"/>
                <w:szCs w:val="20"/>
                <w:lang w:val="pt-PT"/>
              </w:rPr>
            </w:pPr>
            <w:r w:rsidRPr="00292532">
              <w:rPr>
                <w:sz w:val="20"/>
                <w:szCs w:val="20"/>
                <w:lang w:val="pt-PT"/>
              </w:rPr>
              <w:t xml:space="preserve">Contaminação do solo </w:t>
            </w:r>
          </w:p>
        </w:tc>
        <w:tc>
          <w:tcPr>
            <w:tcW w:w="5310" w:type="dxa"/>
          </w:tcPr>
          <w:p w14:paraId="09AC2B79"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Uso de produtos químicos (óleos, combustíveis, lubrificantes de máquinas e veículos, restos de tintas)</w:t>
            </w:r>
          </w:p>
          <w:p w14:paraId="2D0C76C2"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Armazenamento inadequado de produtos químicos</w:t>
            </w:r>
          </w:p>
          <w:p w14:paraId="5234B3FC" w14:textId="77777777"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lastRenderedPageBreak/>
              <w:t>Falta de métodos e recursos de contenção e resposta em caso de derrames.</w:t>
            </w:r>
          </w:p>
          <w:p w14:paraId="4AE9BDA3" w14:textId="77777777"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Derrames acidentais de gasóleo ou gasolina em veículos, tanques de armazenamento e armazenamento de químicos </w:t>
            </w:r>
          </w:p>
          <w:p w14:paraId="041CF00F" w14:textId="77777777"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Resíduos sólidos e efluentes gerados nos estaleiros e acampamentos geridos indevidamente.</w:t>
            </w:r>
          </w:p>
          <w:p w14:paraId="65321AC1" w14:textId="77777777" w:rsidR="009D0486" w:rsidRPr="00292532" w:rsidRDefault="009D0486" w:rsidP="00E415CD">
            <w:pPr>
              <w:spacing w:after="160"/>
              <w:ind w:left="3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
        </w:tc>
        <w:tc>
          <w:tcPr>
            <w:tcW w:w="5130" w:type="dxa"/>
          </w:tcPr>
          <w:p w14:paraId="09D2DBE1"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lastRenderedPageBreak/>
              <w:t>Degradação da qualidade do solo, incluindo fertilidade</w:t>
            </w:r>
          </w:p>
          <w:p w14:paraId="7949EC20"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lastRenderedPageBreak/>
              <w:t xml:space="preserve">Impactos na saúde humana através do contacto </w:t>
            </w:r>
            <w:proofErr w:type="spellStart"/>
            <w:r w:rsidRPr="00292532">
              <w:rPr>
                <w:sz w:val="20"/>
                <w:szCs w:val="20"/>
                <w:lang w:val="pt-PT"/>
              </w:rPr>
              <w:t>directo</w:t>
            </w:r>
            <w:proofErr w:type="spellEnd"/>
            <w:r w:rsidRPr="00292532">
              <w:rPr>
                <w:sz w:val="20"/>
                <w:szCs w:val="20"/>
                <w:lang w:val="pt-PT"/>
              </w:rPr>
              <w:t xml:space="preserve"> com o solo ou por infiltração da contaminação do solo nas águas subterrâneas usadas para consumo humano. </w:t>
            </w:r>
          </w:p>
          <w:p w14:paraId="23F479F8"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Impacto negativo sobre os ecossistemas, incluindo ecossistemas sensíveis </w:t>
            </w:r>
          </w:p>
          <w:p w14:paraId="74F7D9C2"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Contaminação das águas subterrâneas e superficiais </w:t>
            </w:r>
          </w:p>
        </w:tc>
      </w:tr>
      <w:tr w:rsidR="009D0486" w:rsidRPr="00292532" w14:paraId="5F3F99F3" w14:textId="1130CB60"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72346128" w14:textId="77777777" w:rsidR="009D0486" w:rsidRPr="00292532" w:rsidRDefault="009D0486" w:rsidP="00E415CD">
            <w:pPr>
              <w:rPr>
                <w:sz w:val="20"/>
                <w:szCs w:val="20"/>
                <w:lang w:val="pt-PT"/>
              </w:rPr>
            </w:pPr>
            <w:r w:rsidRPr="00292532">
              <w:rPr>
                <w:sz w:val="20"/>
                <w:szCs w:val="20"/>
                <w:lang w:val="pt-PT"/>
              </w:rPr>
              <w:lastRenderedPageBreak/>
              <w:t xml:space="preserve">Compactação e impermeabilização dos solos </w:t>
            </w:r>
          </w:p>
        </w:tc>
        <w:tc>
          <w:tcPr>
            <w:tcW w:w="5310" w:type="dxa"/>
          </w:tcPr>
          <w:p w14:paraId="5E803BA8"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Circulação de veículos pesados de construção quando o solo é removido e depositado</w:t>
            </w:r>
          </w:p>
        </w:tc>
        <w:tc>
          <w:tcPr>
            <w:tcW w:w="5130" w:type="dxa"/>
          </w:tcPr>
          <w:p w14:paraId="03A09557"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Alteração da estrutura do solo e redução da quantidade de água que as plantas podem suportar.</w:t>
            </w:r>
          </w:p>
          <w:p w14:paraId="428DCA00"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Alteração dos fluxos de águas superficiais e subterrâneas</w:t>
            </w:r>
          </w:p>
          <w:p w14:paraId="548B3FF6"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Alteração na qualidade do solo e redução da sua capacidade para fins da prática da agricultura</w:t>
            </w:r>
          </w:p>
          <w:p w14:paraId="7D2191A9"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Perda de habitats </w:t>
            </w:r>
          </w:p>
          <w:p w14:paraId="0BDE03AC"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Alteração de ecossistemas sensíveis</w:t>
            </w:r>
          </w:p>
        </w:tc>
      </w:tr>
      <w:tr w:rsidR="009D0486" w:rsidRPr="001E4B2C" w14:paraId="5945C70D" w14:textId="7194E430"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2601EF86" w14:textId="77777777" w:rsidR="009D0486" w:rsidRPr="00292532" w:rsidRDefault="009D0486" w:rsidP="00E415CD">
            <w:pPr>
              <w:spacing w:after="160"/>
              <w:rPr>
                <w:sz w:val="20"/>
                <w:szCs w:val="20"/>
                <w:lang w:val="pt-PT"/>
              </w:rPr>
            </w:pPr>
            <w:r w:rsidRPr="00292532">
              <w:rPr>
                <w:sz w:val="20"/>
                <w:szCs w:val="20"/>
                <w:lang w:val="pt-PT"/>
              </w:rPr>
              <w:t xml:space="preserve">Geração de processos erosivos </w:t>
            </w:r>
          </w:p>
        </w:tc>
        <w:tc>
          <w:tcPr>
            <w:tcW w:w="5310" w:type="dxa"/>
          </w:tcPr>
          <w:p w14:paraId="334E9EE7" w14:textId="77777777"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Limpeza e remoção da vegetação</w:t>
            </w:r>
          </w:p>
          <w:p w14:paraId="6A32D8BC" w14:textId="77777777"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Terraplenagens (cortes, aterros e movimentação de materiais)</w:t>
            </w:r>
          </w:p>
          <w:p w14:paraId="3BB195D0" w14:textId="77777777"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Escavação para a </w:t>
            </w:r>
            <w:proofErr w:type="spellStart"/>
            <w:r w:rsidRPr="00292532">
              <w:rPr>
                <w:sz w:val="20"/>
                <w:szCs w:val="20"/>
                <w:lang w:val="pt-PT"/>
              </w:rPr>
              <w:t>extracção</w:t>
            </w:r>
            <w:proofErr w:type="spellEnd"/>
            <w:r w:rsidRPr="00292532">
              <w:rPr>
                <w:sz w:val="20"/>
                <w:szCs w:val="20"/>
                <w:lang w:val="pt-PT"/>
              </w:rPr>
              <w:t xml:space="preserve"> de materiais</w:t>
            </w:r>
          </w:p>
          <w:p w14:paraId="26CD2D86" w14:textId="77777777"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roofErr w:type="spellStart"/>
            <w:r w:rsidRPr="00292532">
              <w:rPr>
                <w:sz w:val="20"/>
                <w:szCs w:val="20"/>
                <w:lang w:val="pt-PT"/>
              </w:rPr>
              <w:t>Acção</w:t>
            </w:r>
            <w:proofErr w:type="spellEnd"/>
            <w:r w:rsidRPr="00292532">
              <w:rPr>
                <w:sz w:val="20"/>
                <w:szCs w:val="20"/>
                <w:lang w:val="pt-PT"/>
              </w:rPr>
              <w:t xml:space="preserve"> dos ventos e precipitação </w:t>
            </w:r>
          </w:p>
          <w:p w14:paraId="285822CE" w14:textId="77777777"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Tipo de solos </w:t>
            </w:r>
          </w:p>
        </w:tc>
        <w:tc>
          <w:tcPr>
            <w:tcW w:w="5130" w:type="dxa"/>
          </w:tcPr>
          <w:p w14:paraId="126636E1" w14:textId="13FE9C4F"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Redução da qualidade do solo e capacidade reduzida de retenção de água dos solos erodidos, </w:t>
            </w:r>
          </w:p>
          <w:p w14:paraId="765405D7"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interferência nos ecossistemas ribeirinhos e sedimentação que leva a uma qualidade reduzida da água superficial, escoamento de sedimentos e redução das áreas de colheitas</w:t>
            </w:r>
          </w:p>
          <w:p w14:paraId="1070FA7A"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Perda e fragmentação de habitats</w:t>
            </w:r>
          </w:p>
        </w:tc>
      </w:tr>
      <w:tr w:rsidR="009D0486" w:rsidRPr="001E4B2C" w14:paraId="508A5345" w14:textId="22DD45B7"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64F2286B" w14:textId="77777777" w:rsidR="009D0486" w:rsidRPr="00292532" w:rsidRDefault="009D0486" w:rsidP="00E415CD">
            <w:pPr>
              <w:rPr>
                <w:sz w:val="20"/>
                <w:szCs w:val="20"/>
                <w:lang w:val="pt-PT"/>
              </w:rPr>
            </w:pPr>
            <w:r w:rsidRPr="00292532">
              <w:rPr>
                <w:sz w:val="20"/>
                <w:szCs w:val="20"/>
                <w:lang w:val="pt-PT"/>
              </w:rPr>
              <w:t xml:space="preserve">Assoreamento de corpos hídricos </w:t>
            </w:r>
          </w:p>
        </w:tc>
        <w:tc>
          <w:tcPr>
            <w:tcW w:w="5310" w:type="dxa"/>
          </w:tcPr>
          <w:p w14:paraId="390583E3" w14:textId="26BC4991"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Instalação de infraestruturas de abastecimento de água nas margens dos ricos (condutas, adutoras, estações de captação, </w:t>
            </w:r>
            <w:proofErr w:type="spellStart"/>
            <w:r w:rsidRPr="00292532">
              <w:rPr>
                <w:sz w:val="20"/>
                <w:szCs w:val="20"/>
                <w:lang w:val="pt-PT"/>
              </w:rPr>
              <w:t>etc</w:t>
            </w:r>
            <w:proofErr w:type="spellEnd"/>
            <w:r w:rsidRPr="00292532">
              <w:rPr>
                <w:sz w:val="20"/>
                <w:szCs w:val="20"/>
                <w:lang w:val="pt-PT"/>
              </w:rPr>
              <w:t>)</w:t>
            </w:r>
          </w:p>
        </w:tc>
        <w:tc>
          <w:tcPr>
            <w:tcW w:w="5130" w:type="dxa"/>
          </w:tcPr>
          <w:p w14:paraId="0312AF0A"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Alterações do leito dos rios </w:t>
            </w:r>
          </w:p>
          <w:p w14:paraId="7ED1C548"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Alteração e perda de habitats aquáticos e redução das taxas e diversidade das espécies aquáticas de flora e fauna</w:t>
            </w:r>
          </w:p>
        </w:tc>
      </w:tr>
      <w:tr w:rsidR="009D0486" w:rsidRPr="00292532" w14:paraId="20439FA5" w14:textId="266C5D43"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65A94F10" w14:textId="77777777" w:rsidR="009D0486" w:rsidRPr="00292532" w:rsidRDefault="009D0486" w:rsidP="00E415CD">
            <w:pPr>
              <w:rPr>
                <w:sz w:val="20"/>
                <w:szCs w:val="20"/>
                <w:lang w:val="pt-PT"/>
              </w:rPr>
            </w:pPr>
            <w:r w:rsidRPr="00292532">
              <w:rPr>
                <w:sz w:val="20"/>
                <w:szCs w:val="20"/>
                <w:lang w:val="pt-PT"/>
              </w:rPr>
              <w:t xml:space="preserve">Emissão de odores </w:t>
            </w:r>
          </w:p>
        </w:tc>
        <w:tc>
          <w:tcPr>
            <w:tcW w:w="5310" w:type="dxa"/>
          </w:tcPr>
          <w:p w14:paraId="2B4B0037"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Gestão de resíduos domésticos (armazenamento temporário, manuseamento e deposição)</w:t>
            </w:r>
          </w:p>
        </w:tc>
        <w:tc>
          <w:tcPr>
            <w:tcW w:w="5130" w:type="dxa"/>
          </w:tcPr>
          <w:p w14:paraId="6E343B34"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Incómodo às populações </w:t>
            </w:r>
          </w:p>
          <w:p w14:paraId="64D025B6"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Incómodo aos trabalhadores</w:t>
            </w:r>
          </w:p>
        </w:tc>
      </w:tr>
      <w:tr w:rsidR="009D0486" w:rsidRPr="001E4B2C" w14:paraId="20EEF048" w14:textId="6277035F"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5D503F54" w14:textId="77777777" w:rsidR="009D0486" w:rsidRPr="00292532" w:rsidRDefault="009D0486" w:rsidP="00E415CD">
            <w:pPr>
              <w:rPr>
                <w:sz w:val="20"/>
                <w:szCs w:val="20"/>
                <w:lang w:val="pt-PT"/>
              </w:rPr>
            </w:pPr>
            <w:r w:rsidRPr="00292532">
              <w:rPr>
                <w:sz w:val="20"/>
                <w:szCs w:val="20"/>
                <w:lang w:val="pt-PT"/>
              </w:rPr>
              <w:lastRenderedPageBreak/>
              <w:t>Emissão de ruídos e vibrações</w:t>
            </w:r>
          </w:p>
        </w:tc>
        <w:tc>
          <w:tcPr>
            <w:tcW w:w="5310" w:type="dxa"/>
          </w:tcPr>
          <w:p w14:paraId="6A9A50CE"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Uso de maquinaria (de construção) e equipamentos com níveis elevados de ruído, </w:t>
            </w:r>
          </w:p>
          <w:p w14:paraId="3D1AE021"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circulação de veículos durante a execução das obras</w:t>
            </w:r>
          </w:p>
          <w:p w14:paraId="4B151E0A"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Funcionamento de estaleiro e de acampamentos temporários </w:t>
            </w:r>
          </w:p>
          <w:p w14:paraId="042E4D7D" w14:textId="77777777" w:rsidR="009D0486" w:rsidRPr="00292532" w:rsidRDefault="009D0486" w:rsidP="00E415CD">
            <w:pPr>
              <w:ind w:left="3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
        </w:tc>
        <w:tc>
          <w:tcPr>
            <w:tcW w:w="5130" w:type="dxa"/>
          </w:tcPr>
          <w:p w14:paraId="08B7116F"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Aumento dos níveis sonoros no ambiente</w:t>
            </w:r>
          </w:p>
          <w:p w14:paraId="722496E1"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Afugentamento da fauna </w:t>
            </w:r>
          </w:p>
          <w:p w14:paraId="00BD217D"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Alterações comportamentais da fauna, </w:t>
            </w:r>
          </w:p>
          <w:p w14:paraId="72BA73AD"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Efeitos negativos sobre a saúde humana e distúrbio dos animais selvagens</w:t>
            </w:r>
          </w:p>
          <w:p w14:paraId="75F4A7AF"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Incomodo às populações locais</w:t>
            </w:r>
          </w:p>
          <w:p w14:paraId="45D1E946"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Efeitos de perturbação de </w:t>
            </w:r>
            <w:proofErr w:type="spellStart"/>
            <w:r w:rsidRPr="00292532">
              <w:rPr>
                <w:sz w:val="20"/>
                <w:szCs w:val="20"/>
                <w:lang w:val="pt-PT"/>
              </w:rPr>
              <w:t>receptores</w:t>
            </w:r>
            <w:proofErr w:type="spellEnd"/>
            <w:r w:rsidRPr="00292532">
              <w:rPr>
                <w:sz w:val="20"/>
                <w:szCs w:val="20"/>
                <w:lang w:val="pt-PT"/>
              </w:rPr>
              <w:t xml:space="preserve"> sensíveis (escolas, hospitais)</w:t>
            </w:r>
          </w:p>
        </w:tc>
      </w:tr>
      <w:tr w:rsidR="009D0486" w:rsidRPr="001E4B2C" w14:paraId="2B8AB766" w14:textId="63DA9BFC"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0984C96F" w14:textId="77777777" w:rsidR="009D0486" w:rsidRPr="00292532" w:rsidRDefault="009D0486" w:rsidP="00E415CD">
            <w:pPr>
              <w:rPr>
                <w:sz w:val="20"/>
                <w:szCs w:val="20"/>
                <w:lang w:val="pt-PT"/>
              </w:rPr>
            </w:pPr>
            <w:r w:rsidRPr="00292532">
              <w:rPr>
                <w:sz w:val="20"/>
                <w:szCs w:val="20"/>
                <w:lang w:val="pt-PT"/>
              </w:rPr>
              <w:t>Alteração da qualidade das águas superficiais e subterrâneas</w:t>
            </w:r>
          </w:p>
        </w:tc>
        <w:tc>
          <w:tcPr>
            <w:tcW w:w="5310" w:type="dxa"/>
          </w:tcPr>
          <w:p w14:paraId="4630618B"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Localização dos pontos de captação próximos às margens dos rios </w:t>
            </w:r>
          </w:p>
          <w:p w14:paraId="491AF081" w14:textId="0093E934"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Instalação de condutas ao longo das margens dos rios </w:t>
            </w:r>
          </w:p>
          <w:p w14:paraId="29896AFE"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Gestão inadequada de efluentes e resíduos sólidos </w:t>
            </w:r>
          </w:p>
          <w:p w14:paraId="2F02A246"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Drenagem inadequada no estaleiro das obras, acampamentos temporários e locais das obras</w:t>
            </w:r>
          </w:p>
        </w:tc>
        <w:tc>
          <w:tcPr>
            <w:tcW w:w="5130" w:type="dxa"/>
          </w:tcPr>
          <w:p w14:paraId="1E1F042B"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Impactos na ecologia aquática,</w:t>
            </w:r>
          </w:p>
          <w:p w14:paraId="26EFAE4E"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Mortalidade de espécies aquáticas </w:t>
            </w:r>
          </w:p>
          <w:p w14:paraId="53FEA127"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Modificação do habitat aquático </w:t>
            </w:r>
          </w:p>
          <w:p w14:paraId="6A79458F"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Perda de biodiversidade</w:t>
            </w:r>
          </w:p>
          <w:p w14:paraId="496E6A79"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Poluição dos rios </w:t>
            </w:r>
          </w:p>
          <w:p w14:paraId="2BF77089" w14:textId="29BF2E29"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Impactos negativos na saúde das populações resultado do consumo de água com níveis de qualidade inadequados</w:t>
            </w:r>
          </w:p>
          <w:p w14:paraId="4EA503AC"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Contaminação dos solos pelo efeito de percolação</w:t>
            </w:r>
          </w:p>
        </w:tc>
      </w:tr>
      <w:tr w:rsidR="009D0486" w:rsidRPr="001E4B2C" w14:paraId="7EAC9ACE" w14:textId="72F30033"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03AA9CB3" w14:textId="77777777" w:rsidR="009D0486" w:rsidRPr="00292532" w:rsidRDefault="009D0486" w:rsidP="00E415CD">
            <w:pPr>
              <w:rPr>
                <w:sz w:val="20"/>
                <w:szCs w:val="20"/>
                <w:lang w:val="pt-PT"/>
              </w:rPr>
            </w:pPr>
            <w:r w:rsidRPr="00292532">
              <w:rPr>
                <w:sz w:val="20"/>
                <w:szCs w:val="20"/>
                <w:lang w:val="pt-PT"/>
              </w:rPr>
              <w:t>Captação excessiva de água em cursos de água intermitentes</w:t>
            </w:r>
          </w:p>
        </w:tc>
        <w:tc>
          <w:tcPr>
            <w:tcW w:w="5310" w:type="dxa"/>
          </w:tcPr>
          <w:p w14:paraId="434A2DEF" w14:textId="223E2050"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Captação de água para as </w:t>
            </w:r>
            <w:proofErr w:type="spellStart"/>
            <w:r w:rsidRPr="00292532">
              <w:rPr>
                <w:sz w:val="20"/>
                <w:szCs w:val="20"/>
                <w:lang w:val="pt-PT"/>
              </w:rPr>
              <w:t>actividades</w:t>
            </w:r>
            <w:proofErr w:type="spellEnd"/>
            <w:r w:rsidRPr="00292532">
              <w:rPr>
                <w:sz w:val="20"/>
                <w:szCs w:val="20"/>
                <w:lang w:val="pt-PT"/>
              </w:rPr>
              <w:t xml:space="preserve"> de construção em cursos de água intermitentes para o abastecimento de água </w:t>
            </w:r>
          </w:p>
          <w:p w14:paraId="0FD0F86D"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Condições climatológicas (precipitação) que </w:t>
            </w:r>
            <w:proofErr w:type="spellStart"/>
            <w:r w:rsidRPr="00292532">
              <w:rPr>
                <w:sz w:val="20"/>
                <w:szCs w:val="20"/>
                <w:lang w:val="pt-PT"/>
              </w:rPr>
              <w:t>afectam</w:t>
            </w:r>
            <w:proofErr w:type="spellEnd"/>
            <w:r w:rsidRPr="00292532">
              <w:rPr>
                <w:sz w:val="20"/>
                <w:szCs w:val="20"/>
                <w:lang w:val="pt-PT"/>
              </w:rPr>
              <w:t xml:space="preserve"> as taxas de recarga dos aquíferos</w:t>
            </w:r>
          </w:p>
        </w:tc>
        <w:tc>
          <w:tcPr>
            <w:tcW w:w="5130" w:type="dxa"/>
          </w:tcPr>
          <w:p w14:paraId="0138E3C1"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Alteração dos fluxos a jusante devido a potencial captação a montante</w:t>
            </w:r>
          </w:p>
          <w:p w14:paraId="0EA0CE4B" w14:textId="1F8168BA"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Criação de potencial alteração da qualidade de água subterrânea por intrusão salina (em locais junto à costa)</w:t>
            </w:r>
          </w:p>
          <w:p w14:paraId="7E861F81" w14:textId="154C83B9"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Redução da disponibilidade da água para outros usos existentes (agricultura)</w:t>
            </w:r>
          </w:p>
          <w:p w14:paraId="3C2E0909"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Redução da capacidade de manutenção dos caudais ecológicos, com impactos na conservação dos ecossistemas aquáticos </w:t>
            </w:r>
          </w:p>
          <w:p w14:paraId="4D1D78B5" w14:textId="456619ED" w:rsidR="009D0486" w:rsidRPr="00292532" w:rsidRDefault="009D0486" w:rsidP="007A1525">
            <w:pPr>
              <w:ind w:left="3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
        </w:tc>
      </w:tr>
      <w:tr w:rsidR="009D0486" w:rsidRPr="001E4B2C" w14:paraId="5006975E" w14:textId="273C092B"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3EBBD5FC" w14:textId="77777777" w:rsidR="009D0486" w:rsidRPr="00292532" w:rsidRDefault="009D0486" w:rsidP="00E415CD">
            <w:pPr>
              <w:rPr>
                <w:sz w:val="20"/>
                <w:szCs w:val="20"/>
                <w:lang w:val="pt-PT"/>
              </w:rPr>
            </w:pPr>
            <w:r w:rsidRPr="00292532">
              <w:rPr>
                <w:sz w:val="20"/>
                <w:szCs w:val="20"/>
                <w:lang w:val="pt-PT"/>
              </w:rPr>
              <w:t xml:space="preserve">Captação de água em aquíferos </w:t>
            </w:r>
          </w:p>
        </w:tc>
        <w:tc>
          <w:tcPr>
            <w:tcW w:w="5310" w:type="dxa"/>
          </w:tcPr>
          <w:p w14:paraId="470CF5D8" w14:textId="57C8B1CD"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Captação das águas para a fase de construção em aquíferos pouco produtivos</w:t>
            </w:r>
          </w:p>
          <w:p w14:paraId="57403C61"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lastRenderedPageBreak/>
              <w:t xml:space="preserve">Condições climatológicas (precipitação) que </w:t>
            </w:r>
            <w:proofErr w:type="spellStart"/>
            <w:r w:rsidRPr="00292532">
              <w:rPr>
                <w:sz w:val="20"/>
                <w:szCs w:val="20"/>
                <w:lang w:val="pt-PT"/>
              </w:rPr>
              <w:t>afectam</w:t>
            </w:r>
            <w:proofErr w:type="spellEnd"/>
            <w:r w:rsidRPr="00292532">
              <w:rPr>
                <w:sz w:val="20"/>
                <w:szCs w:val="20"/>
                <w:lang w:val="pt-PT"/>
              </w:rPr>
              <w:t xml:space="preserve"> as taxas de recarga dos aquíferos</w:t>
            </w:r>
          </w:p>
          <w:p w14:paraId="56593811"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Outros </w:t>
            </w:r>
            <w:proofErr w:type="spellStart"/>
            <w:r w:rsidRPr="00292532">
              <w:rPr>
                <w:sz w:val="20"/>
                <w:szCs w:val="20"/>
                <w:lang w:val="pt-PT"/>
              </w:rPr>
              <w:t>factores</w:t>
            </w:r>
            <w:proofErr w:type="spellEnd"/>
            <w:r w:rsidRPr="00292532">
              <w:rPr>
                <w:sz w:val="20"/>
                <w:szCs w:val="20"/>
                <w:lang w:val="pt-PT"/>
              </w:rPr>
              <w:t xml:space="preserve"> influenciados incluem, o tipo de aquífero (livre ou confinado), capacidade de recarga e tipo de porosidade do aquífero</w:t>
            </w:r>
          </w:p>
        </w:tc>
        <w:tc>
          <w:tcPr>
            <w:tcW w:w="5130" w:type="dxa"/>
          </w:tcPr>
          <w:p w14:paraId="2E89EA75"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lastRenderedPageBreak/>
              <w:t xml:space="preserve">Alteração da qualidade do solo </w:t>
            </w:r>
          </w:p>
          <w:p w14:paraId="7BF45F52"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Esgotamento das águas subterrâneas </w:t>
            </w:r>
          </w:p>
          <w:p w14:paraId="68F9BE4E"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lastRenderedPageBreak/>
              <w:t xml:space="preserve">Alteração das funções naturais dos aquíferos incluindo, manutenção dos fluxos dos rios e regulação de caudais dos rios durante as cheias. </w:t>
            </w:r>
          </w:p>
        </w:tc>
      </w:tr>
      <w:tr w:rsidR="009D0486" w:rsidRPr="00292532" w14:paraId="72092049" w14:textId="241C66C9"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27E9D39B" w14:textId="77777777" w:rsidR="009D0486" w:rsidRPr="00292532" w:rsidRDefault="009D0486" w:rsidP="00E415CD">
            <w:pPr>
              <w:spacing w:after="160"/>
              <w:rPr>
                <w:sz w:val="20"/>
                <w:szCs w:val="20"/>
                <w:lang w:val="pt-PT"/>
              </w:rPr>
            </w:pPr>
            <w:r w:rsidRPr="00292532">
              <w:rPr>
                <w:sz w:val="20"/>
                <w:szCs w:val="20"/>
                <w:lang w:val="pt-PT"/>
              </w:rPr>
              <w:lastRenderedPageBreak/>
              <w:t xml:space="preserve">Perda de espécimes por atropelamento e caça furtiva  </w:t>
            </w:r>
          </w:p>
        </w:tc>
        <w:tc>
          <w:tcPr>
            <w:tcW w:w="5310" w:type="dxa"/>
          </w:tcPr>
          <w:p w14:paraId="5067AEB5" w14:textId="77777777"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Movimentação de veículos </w:t>
            </w:r>
          </w:p>
          <w:p w14:paraId="34A647F2" w14:textId="77777777"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Remoção da vegetação e da cobertura arbórea para acomodar a implantação das infraestruturas </w:t>
            </w:r>
          </w:p>
          <w:p w14:paraId="6A22E1DC" w14:textId="77777777"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Atropelamentos causados pelos veículos e maquinaria móvel empregue no </w:t>
            </w:r>
            <w:proofErr w:type="spellStart"/>
            <w:r w:rsidRPr="00292532">
              <w:rPr>
                <w:sz w:val="20"/>
                <w:szCs w:val="20"/>
                <w:lang w:val="pt-PT"/>
              </w:rPr>
              <w:t>projecto</w:t>
            </w:r>
            <w:proofErr w:type="spellEnd"/>
            <w:r w:rsidRPr="00292532">
              <w:rPr>
                <w:sz w:val="20"/>
                <w:szCs w:val="20"/>
                <w:lang w:val="pt-PT"/>
              </w:rPr>
              <w:t xml:space="preserve"> </w:t>
            </w:r>
          </w:p>
        </w:tc>
        <w:tc>
          <w:tcPr>
            <w:tcW w:w="5130" w:type="dxa"/>
          </w:tcPr>
          <w:p w14:paraId="3CC4BB78"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Redução das espécies faunísticas nas áreas de abrangência </w:t>
            </w:r>
          </w:p>
          <w:p w14:paraId="6258BCB7"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Alteração da distribuição das espécies</w:t>
            </w:r>
          </w:p>
          <w:p w14:paraId="014C9552" w14:textId="77777777" w:rsidR="009D0486" w:rsidRPr="00292532" w:rsidRDefault="009D0486" w:rsidP="00E415CD">
            <w:p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
        </w:tc>
      </w:tr>
      <w:tr w:rsidR="009D0486" w:rsidRPr="00292532" w14:paraId="4B986468" w14:textId="43205B07"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632884E2" w14:textId="77777777" w:rsidR="009D0486" w:rsidRPr="00292532" w:rsidRDefault="009D0486" w:rsidP="00E415CD">
            <w:pPr>
              <w:rPr>
                <w:sz w:val="20"/>
                <w:szCs w:val="20"/>
                <w:lang w:val="pt-PT"/>
              </w:rPr>
            </w:pPr>
            <w:r w:rsidRPr="00292532">
              <w:rPr>
                <w:sz w:val="20"/>
                <w:szCs w:val="20"/>
                <w:lang w:val="pt-PT"/>
              </w:rPr>
              <w:t xml:space="preserve">Conflitos homem/fauna bravia </w:t>
            </w:r>
          </w:p>
        </w:tc>
        <w:tc>
          <w:tcPr>
            <w:tcW w:w="5310" w:type="dxa"/>
          </w:tcPr>
          <w:p w14:paraId="247EBAEE"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Presença de trabalhadores em habitats com animais selvagens </w:t>
            </w:r>
          </w:p>
        </w:tc>
        <w:tc>
          <w:tcPr>
            <w:tcW w:w="5130" w:type="dxa"/>
          </w:tcPr>
          <w:p w14:paraId="270C343B"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Mortalidade da fauna </w:t>
            </w:r>
          </w:p>
          <w:p w14:paraId="1A3C87DD"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Lesões e ferimentos em trabalhadores </w:t>
            </w:r>
          </w:p>
          <w:p w14:paraId="1F34E741"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Fatalidades </w:t>
            </w:r>
          </w:p>
        </w:tc>
      </w:tr>
      <w:tr w:rsidR="009D0486" w:rsidRPr="001E4B2C" w14:paraId="2BA469E5" w14:textId="7E4F6656"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3050C1AC" w14:textId="77777777" w:rsidR="009D0486" w:rsidRPr="00292532" w:rsidRDefault="009D0486" w:rsidP="00E415CD">
            <w:pPr>
              <w:rPr>
                <w:sz w:val="20"/>
                <w:szCs w:val="20"/>
                <w:lang w:val="pt-PT"/>
              </w:rPr>
            </w:pPr>
            <w:r w:rsidRPr="00292532">
              <w:rPr>
                <w:sz w:val="20"/>
                <w:szCs w:val="20"/>
                <w:lang w:val="pt-PT"/>
              </w:rPr>
              <w:t>Derrames de combustíveis e químicos</w:t>
            </w:r>
          </w:p>
        </w:tc>
        <w:tc>
          <w:tcPr>
            <w:tcW w:w="5310" w:type="dxa"/>
          </w:tcPr>
          <w:p w14:paraId="2522BFCC"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Descargas de equipamento, </w:t>
            </w:r>
          </w:p>
          <w:p w14:paraId="4124C68F"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descargas de veículos, </w:t>
            </w:r>
          </w:p>
          <w:p w14:paraId="3AE2206F"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Colisões de veículos </w:t>
            </w:r>
          </w:p>
          <w:p w14:paraId="10031CEA"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roofErr w:type="spellStart"/>
            <w:r w:rsidRPr="00292532">
              <w:rPr>
                <w:sz w:val="20"/>
                <w:szCs w:val="20"/>
                <w:lang w:val="pt-PT"/>
              </w:rPr>
              <w:t>Ruptura</w:t>
            </w:r>
            <w:proofErr w:type="spellEnd"/>
            <w:r w:rsidRPr="00292532">
              <w:rPr>
                <w:sz w:val="20"/>
                <w:szCs w:val="20"/>
                <w:lang w:val="pt-PT"/>
              </w:rPr>
              <w:t xml:space="preserve"> de depósitos de armazenamento de combustíveis e químicos</w:t>
            </w:r>
          </w:p>
        </w:tc>
        <w:tc>
          <w:tcPr>
            <w:tcW w:w="5130" w:type="dxa"/>
          </w:tcPr>
          <w:p w14:paraId="5826CEC2"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Poluição das águas subterrâneas e dos solos</w:t>
            </w:r>
          </w:p>
          <w:p w14:paraId="63D6BA72"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Contaminação das águas superficiais </w:t>
            </w:r>
          </w:p>
          <w:p w14:paraId="3FBB9CAD"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Ingestão/assimilação de águas contaminadas pelos animais selvagens</w:t>
            </w:r>
          </w:p>
          <w:p w14:paraId="1B767CF4"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Consumo de água contaminada pelas populações</w:t>
            </w:r>
          </w:p>
        </w:tc>
      </w:tr>
    </w:tbl>
    <w:p w14:paraId="468DB5B0" w14:textId="77777777" w:rsidR="00167670" w:rsidRPr="00292532" w:rsidRDefault="00167670" w:rsidP="002E2E90">
      <w:pPr>
        <w:ind w:right="606"/>
        <w:rPr>
          <w:lang w:val="pt-PT" w:eastAsia="ja-JP"/>
        </w:rPr>
      </w:pPr>
    </w:p>
    <w:p w14:paraId="2A51BEA9" w14:textId="7A92B996" w:rsidR="003C1007" w:rsidRPr="00292532" w:rsidRDefault="00F439E4" w:rsidP="00F439E4">
      <w:pPr>
        <w:pStyle w:val="Caption"/>
      </w:pPr>
      <w:bookmarkStart w:id="191" w:name="_Toc75438160"/>
      <w:bookmarkStart w:id="192" w:name="_Toc80380266"/>
      <w:r w:rsidRPr="00292532">
        <w:t xml:space="preserve">Tabela </w:t>
      </w:r>
      <w:r w:rsidRPr="00292532">
        <w:fldChar w:fldCharType="begin"/>
      </w:r>
      <w:r w:rsidRPr="00292532">
        <w:instrText xml:space="preserve"> SEQ Tabela \* ARABIC </w:instrText>
      </w:r>
      <w:r w:rsidRPr="00292532">
        <w:fldChar w:fldCharType="separate"/>
      </w:r>
      <w:r w:rsidR="00C25AEB" w:rsidRPr="00292532">
        <w:rPr>
          <w:noProof/>
        </w:rPr>
        <w:t>19</w:t>
      </w:r>
      <w:r w:rsidRPr="00292532">
        <w:fldChar w:fldCharType="end"/>
      </w:r>
      <w:r w:rsidRPr="00292532">
        <w:t>: Riscos e Impactos Ambientais na fase de Operação</w:t>
      </w:r>
      <w:bookmarkEnd w:id="191"/>
      <w:bookmarkEnd w:id="192"/>
    </w:p>
    <w:tbl>
      <w:tblPr>
        <w:tblStyle w:val="GridTable1Light-Accent11"/>
        <w:tblW w:w="13320" w:type="dxa"/>
        <w:tblInd w:w="805" w:type="dxa"/>
        <w:tblLayout w:type="fixed"/>
        <w:tblLook w:val="04A0" w:firstRow="1" w:lastRow="0" w:firstColumn="1" w:lastColumn="0" w:noHBand="0" w:noVBand="1"/>
      </w:tblPr>
      <w:tblGrid>
        <w:gridCol w:w="2520"/>
        <w:gridCol w:w="5310"/>
        <w:gridCol w:w="5490"/>
      </w:tblGrid>
      <w:tr w:rsidR="009D0486" w:rsidRPr="00292532" w14:paraId="0050DFD5" w14:textId="53B0C6E7" w:rsidTr="004500AE">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2520" w:type="dxa"/>
            <w:shd w:val="clear" w:color="auto" w:fill="D9E2F3" w:themeFill="accent1" w:themeFillTint="33"/>
          </w:tcPr>
          <w:p w14:paraId="16651644" w14:textId="77777777" w:rsidR="009D0486" w:rsidRPr="00292532" w:rsidRDefault="009D0486" w:rsidP="00507213">
            <w:pPr>
              <w:spacing w:after="160"/>
              <w:jc w:val="center"/>
              <w:rPr>
                <w:b w:val="0"/>
                <w:bCs w:val="0"/>
                <w:sz w:val="20"/>
                <w:szCs w:val="20"/>
                <w:lang w:val="pt-PT"/>
              </w:rPr>
            </w:pPr>
            <w:bookmarkStart w:id="193" w:name="_Hlk71817306"/>
            <w:r w:rsidRPr="00292532">
              <w:rPr>
                <w:b w:val="0"/>
                <w:bCs w:val="0"/>
                <w:sz w:val="20"/>
                <w:szCs w:val="20"/>
                <w:lang w:val="pt-PT"/>
              </w:rPr>
              <w:t>Risco</w:t>
            </w:r>
          </w:p>
        </w:tc>
        <w:tc>
          <w:tcPr>
            <w:tcW w:w="5310" w:type="dxa"/>
            <w:shd w:val="clear" w:color="auto" w:fill="D9E2F3" w:themeFill="accent1" w:themeFillTint="33"/>
          </w:tcPr>
          <w:p w14:paraId="3F13E297" w14:textId="77777777" w:rsidR="009D0486" w:rsidRPr="00292532" w:rsidRDefault="009D0486" w:rsidP="00507213">
            <w:pPr>
              <w:spacing w:after="160"/>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pt-PT"/>
              </w:rPr>
            </w:pPr>
            <w:r w:rsidRPr="00292532">
              <w:rPr>
                <w:b w:val="0"/>
                <w:bCs w:val="0"/>
                <w:sz w:val="20"/>
                <w:szCs w:val="20"/>
                <w:lang w:val="pt-PT"/>
              </w:rPr>
              <w:t>Causas</w:t>
            </w:r>
          </w:p>
        </w:tc>
        <w:tc>
          <w:tcPr>
            <w:tcW w:w="5490" w:type="dxa"/>
            <w:shd w:val="clear" w:color="auto" w:fill="D9E2F3" w:themeFill="accent1" w:themeFillTint="33"/>
          </w:tcPr>
          <w:p w14:paraId="0F425F5B" w14:textId="59190980" w:rsidR="009D0486" w:rsidRPr="00292532" w:rsidRDefault="009D0486" w:rsidP="00507213">
            <w:pPr>
              <w:spacing w:after="160"/>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pt-PT"/>
              </w:rPr>
            </w:pPr>
            <w:r w:rsidRPr="00292532">
              <w:rPr>
                <w:b w:val="0"/>
                <w:bCs w:val="0"/>
                <w:sz w:val="20"/>
                <w:szCs w:val="20"/>
                <w:lang w:val="pt-PT"/>
              </w:rPr>
              <w:t>Impactos</w:t>
            </w:r>
          </w:p>
        </w:tc>
      </w:tr>
      <w:tr w:rsidR="009D0486" w:rsidRPr="001E4B2C" w14:paraId="6C6EB4DD" w14:textId="7992AF11"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39A7A394" w14:textId="11A31FE2" w:rsidR="009D0486" w:rsidRPr="00292532" w:rsidRDefault="009D0486" w:rsidP="00507213">
            <w:pPr>
              <w:spacing w:after="160"/>
              <w:rPr>
                <w:sz w:val="20"/>
                <w:szCs w:val="20"/>
                <w:lang w:val="pt-PT"/>
              </w:rPr>
            </w:pPr>
            <w:r w:rsidRPr="00292532">
              <w:rPr>
                <w:sz w:val="20"/>
                <w:szCs w:val="20"/>
                <w:lang w:val="pt-PT"/>
              </w:rPr>
              <w:t xml:space="preserve">Emissão de poluentes atmosféricos incluindo </w:t>
            </w:r>
            <w:r w:rsidRPr="00292532">
              <w:rPr>
                <w:sz w:val="20"/>
                <w:szCs w:val="20"/>
                <w:lang w:val="pt-PT"/>
              </w:rPr>
              <w:lastRenderedPageBreak/>
              <w:t xml:space="preserve">poeiras e emissões de gases das fontes de combustão </w:t>
            </w:r>
          </w:p>
        </w:tc>
        <w:tc>
          <w:tcPr>
            <w:tcW w:w="5310" w:type="dxa"/>
          </w:tcPr>
          <w:p w14:paraId="6227552A" w14:textId="623045DF" w:rsidR="009D0486" w:rsidRPr="00292532"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lastRenderedPageBreak/>
              <w:t>Circulação de veículos envolvidos nas operações de gestão e manutenção dos sistemas de abastecimento de água e saneamento</w:t>
            </w:r>
          </w:p>
          <w:p w14:paraId="09194B02" w14:textId="4581C9A0" w:rsidR="009D0486" w:rsidRPr="00292532"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lastRenderedPageBreak/>
              <w:t xml:space="preserve">Utilização de maquinaria </w:t>
            </w:r>
            <w:proofErr w:type="spellStart"/>
            <w:r w:rsidRPr="00292532">
              <w:rPr>
                <w:sz w:val="20"/>
                <w:szCs w:val="20"/>
                <w:lang w:val="pt-PT"/>
              </w:rPr>
              <w:t>accionada</w:t>
            </w:r>
            <w:proofErr w:type="spellEnd"/>
            <w:r w:rsidRPr="00292532">
              <w:rPr>
                <w:sz w:val="20"/>
                <w:szCs w:val="20"/>
                <w:lang w:val="pt-PT"/>
              </w:rPr>
              <w:t xml:space="preserve"> por motor e geradores para abastecimento energético (ou seja, motores e geradores a gasóleo) durante as Obras; </w:t>
            </w:r>
          </w:p>
          <w:p w14:paraId="697C57CC" w14:textId="13DEC541" w:rsidR="009D0486" w:rsidRPr="00292532" w:rsidRDefault="009D0486" w:rsidP="0024772D">
            <w:pPr>
              <w:numPr>
                <w:ilvl w:val="0"/>
                <w:numId w:val="30"/>
              </w:numPr>
              <w:spacing w:before="0"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Manutenção dos canais e valas de drenagem e gestão dos sedimentos (acumulação e deposição)</w:t>
            </w:r>
          </w:p>
          <w:p w14:paraId="7849352E" w14:textId="54F7CB46" w:rsidR="009D0486" w:rsidRPr="00292532" w:rsidRDefault="009D0486" w:rsidP="0024772D">
            <w:pPr>
              <w:numPr>
                <w:ilvl w:val="0"/>
                <w:numId w:val="30"/>
              </w:numPr>
              <w:spacing w:before="0"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Escavações durante intervenções de manutenção das adutoras e condutas</w:t>
            </w:r>
          </w:p>
          <w:p w14:paraId="54A51286" w14:textId="0847AB74" w:rsidR="009D0486" w:rsidRPr="00292532" w:rsidRDefault="009D0486" w:rsidP="0024772D">
            <w:pPr>
              <w:numPr>
                <w:ilvl w:val="0"/>
                <w:numId w:val="30"/>
              </w:numPr>
              <w:spacing w:before="0"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Outros </w:t>
            </w:r>
            <w:proofErr w:type="spellStart"/>
            <w:r w:rsidRPr="00292532">
              <w:rPr>
                <w:sz w:val="20"/>
                <w:szCs w:val="20"/>
                <w:lang w:val="pt-PT"/>
              </w:rPr>
              <w:t>factores</w:t>
            </w:r>
            <w:proofErr w:type="spellEnd"/>
            <w:r w:rsidRPr="00292532">
              <w:rPr>
                <w:sz w:val="20"/>
                <w:szCs w:val="20"/>
                <w:lang w:val="pt-PT"/>
              </w:rPr>
              <w:t xml:space="preserve"> que potencialmente </w:t>
            </w:r>
            <w:proofErr w:type="spellStart"/>
            <w:r w:rsidRPr="00292532">
              <w:rPr>
                <w:sz w:val="20"/>
                <w:szCs w:val="20"/>
                <w:lang w:val="pt-PT"/>
              </w:rPr>
              <w:t>afectam</w:t>
            </w:r>
            <w:proofErr w:type="spellEnd"/>
            <w:r w:rsidRPr="00292532">
              <w:rPr>
                <w:sz w:val="20"/>
                <w:szCs w:val="20"/>
                <w:lang w:val="pt-PT"/>
              </w:rPr>
              <w:t xml:space="preserve"> a suspensão de partículas pela </w:t>
            </w:r>
            <w:proofErr w:type="spellStart"/>
            <w:r w:rsidRPr="00292532">
              <w:rPr>
                <w:sz w:val="20"/>
                <w:szCs w:val="20"/>
                <w:lang w:val="pt-PT"/>
              </w:rPr>
              <w:t>acção</w:t>
            </w:r>
            <w:proofErr w:type="spellEnd"/>
            <w:r w:rsidRPr="00292532">
              <w:rPr>
                <w:sz w:val="20"/>
                <w:szCs w:val="20"/>
                <w:lang w:val="pt-PT"/>
              </w:rPr>
              <w:t xml:space="preserve"> do tráfego são o tipo de solo, a velocidade a que os veículos circulam e influencia do clima (ventos)</w:t>
            </w:r>
          </w:p>
        </w:tc>
        <w:tc>
          <w:tcPr>
            <w:tcW w:w="5490" w:type="dxa"/>
          </w:tcPr>
          <w:p w14:paraId="5C61A792" w14:textId="5DBE39D6"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lastRenderedPageBreak/>
              <w:t>Poluição do ar</w:t>
            </w:r>
          </w:p>
          <w:p w14:paraId="29666D39" w14:textId="3E41F959"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Contaminação dos cursos de água</w:t>
            </w:r>
          </w:p>
          <w:p w14:paraId="5978EDBC"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Inalação de poeiras pelas populações locais </w:t>
            </w:r>
          </w:p>
          <w:p w14:paraId="184218EB"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Incomodo às populações residentes nas proximidades</w:t>
            </w:r>
          </w:p>
          <w:p w14:paraId="0F4530D3" w14:textId="057558E9"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Interferência e afugentamento da fauna</w:t>
            </w:r>
          </w:p>
        </w:tc>
      </w:tr>
      <w:tr w:rsidR="009D0486" w:rsidRPr="001E4B2C" w14:paraId="52B599BC" w14:textId="0E8E81EC"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4129C929" w14:textId="4CF71BDF" w:rsidR="009D0486" w:rsidRPr="00292532" w:rsidRDefault="009D0486" w:rsidP="00C30678">
            <w:pPr>
              <w:rPr>
                <w:sz w:val="20"/>
                <w:szCs w:val="20"/>
                <w:highlight w:val="yellow"/>
                <w:lang w:val="pt-PT"/>
              </w:rPr>
            </w:pPr>
            <w:r w:rsidRPr="00292532">
              <w:rPr>
                <w:sz w:val="20"/>
                <w:szCs w:val="20"/>
                <w:lang w:val="pt-PT"/>
              </w:rPr>
              <w:t>Aumento de emissões de Gases de Efeito de Estufa e baixa eficiência energética</w:t>
            </w:r>
          </w:p>
        </w:tc>
        <w:tc>
          <w:tcPr>
            <w:tcW w:w="5310" w:type="dxa"/>
          </w:tcPr>
          <w:p w14:paraId="7B16FC3D" w14:textId="37A5F444" w:rsidR="009D0486" w:rsidRPr="00292532"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Uso de geradores de energia para manter em funcionamento os sistemas de abastecimento de água (estações de bombagem) na fase de operação </w:t>
            </w:r>
          </w:p>
        </w:tc>
        <w:tc>
          <w:tcPr>
            <w:tcW w:w="5490" w:type="dxa"/>
          </w:tcPr>
          <w:p w14:paraId="5A6AEA91" w14:textId="3A443D95"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Contribuição (ínfima) no aumento Gases de Efeito de Estufa. </w:t>
            </w:r>
          </w:p>
        </w:tc>
      </w:tr>
      <w:tr w:rsidR="009D0486" w:rsidRPr="001E4B2C" w14:paraId="1BC67B70" w14:textId="0205EA37"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332CFCB4" w14:textId="2D3987A7" w:rsidR="009D0486" w:rsidRPr="00292532" w:rsidRDefault="009D0486" w:rsidP="00507213">
            <w:pPr>
              <w:spacing w:after="160"/>
              <w:rPr>
                <w:sz w:val="20"/>
                <w:szCs w:val="20"/>
                <w:lang w:val="pt-PT"/>
              </w:rPr>
            </w:pPr>
            <w:r w:rsidRPr="00292532">
              <w:rPr>
                <w:sz w:val="20"/>
                <w:szCs w:val="20"/>
                <w:lang w:val="pt-PT"/>
              </w:rPr>
              <w:t>Remoção e degradação do solo</w:t>
            </w:r>
          </w:p>
        </w:tc>
        <w:tc>
          <w:tcPr>
            <w:tcW w:w="5310" w:type="dxa"/>
          </w:tcPr>
          <w:p w14:paraId="6C729F6E" w14:textId="39904955"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Técnicas de manutenção das condutas de distribuição e adutoras incluindo gestão dos solos e recuperação das áreas </w:t>
            </w:r>
            <w:proofErr w:type="spellStart"/>
            <w:r w:rsidRPr="00292532">
              <w:rPr>
                <w:sz w:val="20"/>
                <w:szCs w:val="20"/>
                <w:lang w:val="pt-PT"/>
              </w:rPr>
              <w:t>afectadas</w:t>
            </w:r>
            <w:proofErr w:type="spellEnd"/>
            <w:r w:rsidRPr="00292532">
              <w:rPr>
                <w:sz w:val="20"/>
                <w:szCs w:val="20"/>
                <w:lang w:val="pt-PT"/>
              </w:rPr>
              <w:t xml:space="preserve"> pelas intervenções</w:t>
            </w:r>
          </w:p>
          <w:p w14:paraId="4076F3A9" w14:textId="5B4CB065"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Gestão indevida e falhas nos sistemas de condução, tratamento e descarga das águas residuais </w:t>
            </w:r>
          </w:p>
          <w:p w14:paraId="3715F1C9" w14:textId="265A9BDC"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Descargas acidentais de águas residuais não tratadas </w:t>
            </w:r>
          </w:p>
          <w:p w14:paraId="17BA94FD" w14:textId="5FC72EA7" w:rsidR="009D0486" w:rsidRPr="00292532" w:rsidRDefault="009D0486" w:rsidP="002E2E90">
            <w:pPr>
              <w:ind w:left="3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
        </w:tc>
        <w:tc>
          <w:tcPr>
            <w:tcW w:w="5490" w:type="dxa"/>
          </w:tcPr>
          <w:p w14:paraId="4C66A672" w14:textId="063A9D49"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Impacto na qualidade do solo e sedimentos na </w:t>
            </w:r>
            <w:proofErr w:type="spellStart"/>
            <w:r w:rsidRPr="00292532">
              <w:rPr>
                <w:sz w:val="20"/>
                <w:szCs w:val="20"/>
                <w:lang w:val="pt-PT"/>
              </w:rPr>
              <w:t>actividade</w:t>
            </w:r>
            <w:proofErr w:type="spellEnd"/>
            <w:r w:rsidRPr="00292532">
              <w:rPr>
                <w:sz w:val="20"/>
                <w:szCs w:val="20"/>
                <w:lang w:val="pt-PT"/>
              </w:rPr>
              <w:t xml:space="preserve"> agrícola dos serviços do ecossistema</w:t>
            </w:r>
          </w:p>
          <w:p w14:paraId="41F9B01B" w14:textId="7FC75E1F"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Impactos </w:t>
            </w:r>
            <w:proofErr w:type="spellStart"/>
            <w:r w:rsidRPr="00292532">
              <w:rPr>
                <w:sz w:val="20"/>
                <w:szCs w:val="20"/>
                <w:lang w:val="pt-PT"/>
              </w:rPr>
              <w:t>indirectos</w:t>
            </w:r>
            <w:proofErr w:type="spellEnd"/>
            <w:r w:rsidRPr="00292532">
              <w:rPr>
                <w:sz w:val="20"/>
                <w:szCs w:val="20"/>
                <w:lang w:val="pt-PT"/>
              </w:rPr>
              <w:t xml:space="preserve"> na saúde humana através do contacto </w:t>
            </w:r>
            <w:proofErr w:type="spellStart"/>
            <w:r w:rsidRPr="00292532">
              <w:rPr>
                <w:sz w:val="20"/>
                <w:szCs w:val="20"/>
                <w:lang w:val="pt-PT"/>
              </w:rPr>
              <w:t>directo</w:t>
            </w:r>
            <w:proofErr w:type="spellEnd"/>
            <w:r w:rsidRPr="00292532">
              <w:rPr>
                <w:sz w:val="20"/>
                <w:szCs w:val="20"/>
                <w:lang w:val="pt-PT"/>
              </w:rPr>
              <w:t xml:space="preserve"> com o solo contaminado ou por infiltração da contaminação do solo nas águas subterrâneas usadas para consumo humano.</w:t>
            </w:r>
          </w:p>
          <w:p w14:paraId="000C282B" w14:textId="38F51DC1"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O solo contaminado pode ter consequências prejudiciais para os ecossistemas como resultado da potencial liberação de gases poluentes, redução e desaparecimento da vegetação nativa, perda de nutrientes, aumento da erodibilidade.                                                                                                                                                                                                                                                                                                                                                                                                                                                                                                                                                                                                                                                                                                                                                                                                                                                                                                                                                                                                                                                                                                                                                                                                                                                                                                                                                                                                                                                                                                                                                                                                                                                                                                                                                                                                                                                                                                                                                                                                                                                                                                                                                                                                                                                                                                                                                                                                                                                                                                                                                                                                                                                                                                                                                                                                                                                                                                                                                                                                                                                                                                                                                                                                                                                                                                                                                                                                                                                                                                                                                                                                                                                                                                                                                                                                                                                                                                                                                                                                                                                                                                                                                                                                                                                                                                                                                                                                                                                                                                                                                                                                                                                                                                                                                                                                                                                                                                                                                                                                                                                                                                                                                                                                                                                                                                                                                                                                                                                                                                                                                                                                                                                                                                                                                                                                                                                                                                                                                                                                                                                                                                                                                                                                                                                                                                                                                                                                                                                                                                                                                                                                                                                                                                                                                                                                                                                                                                                                                                                                                                                                                                                                                                                                                                                                                                                                                                                                                                                                                                                                                                                                                                                                                                                                                                                                                                                                                                                                                                                                                                                                                                                                                                                                                                                                                                                                                                                                                                                                                                                                                                                                                                                                                                                                                                                                                                                                                                                                                                                                                                                                                                                                                                                                                                                                                                                                                                                                                                                                                                                                                                                                                                                                                                                                                                                                                                                                                                                                                                                                                                                                                                                                                                                                                                                                                                                                                                                                                                                                                                                                                                                    </w:t>
            </w:r>
          </w:p>
          <w:p w14:paraId="086B17B3" w14:textId="66AC6E30"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As alterações químicas do solo podem decorrer da presença de químicos perigosos mesmo a baixa concentração nas espécies contaminantes.</w:t>
            </w:r>
          </w:p>
          <w:p w14:paraId="0F78DE5C"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lastRenderedPageBreak/>
              <w:t>Perda do solo por remoção do solo superficial ou enterramento de perfis inteiros de solo, escavação do manto rochoso e cobertura de áreas sob os depósitos de solo/rocha;</w:t>
            </w:r>
          </w:p>
          <w:p w14:paraId="2AF728F8" w14:textId="2BA83FC4"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Mudança nas características do solo por compactação ou erosão pelos veículos de construção na área do local de trabalho e em torno das estradas de acesso;</w:t>
            </w:r>
          </w:p>
          <w:p w14:paraId="66EB78C0" w14:textId="37DD18B1"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Erosão do solo e compactação de solo não recuperável que leva à degradação do solo;</w:t>
            </w:r>
          </w:p>
          <w:p w14:paraId="7284429A" w14:textId="501DECAE"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Alteração de inclinações e morfologias existentes devido a </w:t>
            </w:r>
            <w:proofErr w:type="spellStart"/>
            <w:r w:rsidRPr="00292532">
              <w:rPr>
                <w:sz w:val="20"/>
                <w:szCs w:val="20"/>
                <w:lang w:val="pt-PT"/>
              </w:rPr>
              <w:t>actividades</w:t>
            </w:r>
            <w:proofErr w:type="spellEnd"/>
            <w:r w:rsidRPr="00292532">
              <w:rPr>
                <w:sz w:val="20"/>
                <w:szCs w:val="20"/>
                <w:lang w:val="pt-PT"/>
              </w:rPr>
              <w:t xml:space="preserve"> de nivelamento; e</w:t>
            </w:r>
          </w:p>
          <w:p w14:paraId="56FBFA84" w14:textId="53A7D78C"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Degradação, alteração ou compactação de depósitos de solo armazenados em repositórios.</w:t>
            </w:r>
          </w:p>
        </w:tc>
      </w:tr>
      <w:tr w:rsidR="009D0486" w:rsidRPr="001E4B2C" w14:paraId="7391AA9A" w14:textId="14E723B6"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287A373A" w14:textId="4C641914" w:rsidR="009D0486" w:rsidRPr="00292532" w:rsidRDefault="009D0486" w:rsidP="00507213">
            <w:pPr>
              <w:spacing w:after="160"/>
              <w:rPr>
                <w:sz w:val="20"/>
                <w:szCs w:val="20"/>
                <w:lang w:val="pt-PT"/>
              </w:rPr>
            </w:pPr>
            <w:r w:rsidRPr="00292532">
              <w:rPr>
                <w:sz w:val="20"/>
                <w:szCs w:val="20"/>
                <w:lang w:val="pt-PT"/>
              </w:rPr>
              <w:lastRenderedPageBreak/>
              <w:t xml:space="preserve">Contaminação do solo </w:t>
            </w:r>
          </w:p>
        </w:tc>
        <w:tc>
          <w:tcPr>
            <w:tcW w:w="5310" w:type="dxa"/>
          </w:tcPr>
          <w:p w14:paraId="2ACE06D4" w14:textId="38E1E548"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Uso de produtos químicos (óleos, combustíveis, lubrificantes de máquinas e veículos, restos de tintas) durante as manutenções dos sistemas</w:t>
            </w:r>
          </w:p>
          <w:p w14:paraId="3CE8B7CD" w14:textId="1D4DE0D1"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Armazenamento inadequado de produtos químicos (para o tratamento das águas e uso durante as manutenções)</w:t>
            </w:r>
          </w:p>
          <w:p w14:paraId="77D8A314" w14:textId="67B01A93" w:rsidR="009D0486" w:rsidRPr="00292532" w:rsidRDefault="009D0486"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Derrames acidentais de gasóleo ou gasolina em veículos, tanques de armazenamento e armazenamento de químicos </w:t>
            </w:r>
          </w:p>
          <w:p w14:paraId="303D0B40" w14:textId="77777777" w:rsidR="009D0486" w:rsidRPr="00292532" w:rsidRDefault="009D0486" w:rsidP="002E2E90">
            <w:pPr>
              <w:ind w:left="3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
        </w:tc>
        <w:tc>
          <w:tcPr>
            <w:tcW w:w="5490" w:type="dxa"/>
          </w:tcPr>
          <w:p w14:paraId="3175DC6C" w14:textId="1E2E41FC"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Degradação da qualidade do solo, incluindo fertilidade</w:t>
            </w:r>
          </w:p>
          <w:p w14:paraId="48A46102" w14:textId="0677DFF8"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Impactos na saúde humana através do contacto </w:t>
            </w:r>
            <w:proofErr w:type="spellStart"/>
            <w:r w:rsidRPr="00292532">
              <w:rPr>
                <w:sz w:val="20"/>
                <w:szCs w:val="20"/>
                <w:lang w:val="pt-PT"/>
              </w:rPr>
              <w:t>directo</w:t>
            </w:r>
            <w:proofErr w:type="spellEnd"/>
            <w:r w:rsidRPr="00292532">
              <w:rPr>
                <w:sz w:val="20"/>
                <w:szCs w:val="20"/>
                <w:lang w:val="pt-PT"/>
              </w:rPr>
              <w:t xml:space="preserve"> com o solo ou por infiltração da contaminação do solo nas águas subterrâneas usadas para consumo humano. </w:t>
            </w:r>
          </w:p>
          <w:p w14:paraId="0A589F91"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Impacto negativo sobre os ecossistemas, incluindo ecossistemas sensíveis </w:t>
            </w:r>
          </w:p>
          <w:p w14:paraId="68DCA422" w14:textId="5EE3BE0A"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Contaminação das águas subterrâneas e superficiais </w:t>
            </w:r>
          </w:p>
        </w:tc>
      </w:tr>
      <w:tr w:rsidR="009D0486" w:rsidRPr="001E4B2C" w14:paraId="2E79DD04" w14:textId="147D370C"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489C2E67" w14:textId="2370DABD" w:rsidR="009D0486" w:rsidRPr="00292532" w:rsidRDefault="009D0486" w:rsidP="00507213">
            <w:pPr>
              <w:rPr>
                <w:sz w:val="20"/>
                <w:szCs w:val="20"/>
                <w:lang w:val="pt-PT"/>
              </w:rPr>
            </w:pPr>
            <w:r w:rsidRPr="00292532">
              <w:rPr>
                <w:sz w:val="20"/>
                <w:szCs w:val="20"/>
                <w:lang w:val="pt-PT"/>
              </w:rPr>
              <w:t xml:space="preserve">Emissão de ruídos </w:t>
            </w:r>
          </w:p>
        </w:tc>
        <w:tc>
          <w:tcPr>
            <w:tcW w:w="5310" w:type="dxa"/>
          </w:tcPr>
          <w:p w14:paraId="44E3D53A" w14:textId="7D1A0CE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Circulação de veículos envolvidos na gestão e manutenção dos sistemas</w:t>
            </w:r>
          </w:p>
          <w:p w14:paraId="0F9C3DD4" w14:textId="2D9CA4EC"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Funcionamento das bombas de água nas estações de captação  </w:t>
            </w:r>
          </w:p>
          <w:p w14:paraId="2AAD12E4" w14:textId="27A07237" w:rsidR="009D0486" w:rsidRPr="00292532" w:rsidRDefault="009D0486" w:rsidP="00151CAD">
            <w:pPr>
              <w:ind w:left="3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
        </w:tc>
        <w:tc>
          <w:tcPr>
            <w:tcW w:w="5490" w:type="dxa"/>
          </w:tcPr>
          <w:p w14:paraId="6F0CD2CA" w14:textId="6EBD5230"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Aumento dos níveis sonoros no ambiente</w:t>
            </w:r>
          </w:p>
          <w:p w14:paraId="01C57F5E"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Afugentamento da fauna </w:t>
            </w:r>
          </w:p>
          <w:p w14:paraId="27E1AE5D"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Alterações comportamentais da fauna, </w:t>
            </w:r>
          </w:p>
          <w:p w14:paraId="72D88B64" w14:textId="546363FB"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Efeitos negativos sobre a saúde humana e distúrbio no modo de vida dos animais selvagens</w:t>
            </w:r>
          </w:p>
          <w:p w14:paraId="10E6D5AE"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Incomodo às populações locais</w:t>
            </w:r>
          </w:p>
          <w:p w14:paraId="286B110D" w14:textId="1F2B558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Efeitos de perturbação de </w:t>
            </w:r>
            <w:proofErr w:type="spellStart"/>
            <w:r w:rsidRPr="00292532">
              <w:rPr>
                <w:sz w:val="20"/>
                <w:szCs w:val="20"/>
                <w:lang w:val="pt-PT"/>
              </w:rPr>
              <w:t>receptores</w:t>
            </w:r>
            <w:proofErr w:type="spellEnd"/>
            <w:r w:rsidRPr="00292532">
              <w:rPr>
                <w:sz w:val="20"/>
                <w:szCs w:val="20"/>
                <w:lang w:val="pt-PT"/>
              </w:rPr>
              <w:t xml:space="preserve"> sensíveis (escolas, hospitais)</w:t>
            </w:r>
          </w:p>
        </w:tc>
      </w:tr>
      <w:tr w:rsidR="009D0486" w:rsidRPr="001E4B2C" w14:paraId="2FC62E15" w14:textId="2827C18E"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3CC5FA92" w14:textId="127497E5" w:rsidR="009D0486" w:rsidRPr="00292532" w:rsidRDefault="009D0486" w:rsidP="00507213">
            <w:pPr>
              <w:rPr>
                <w:sz w:val="20"/>
                <w:szCs w:val="20"/>
                <w:lang w:val="pt-PT"/>
              </w:rPr>
            </w:pPr>
            <w:r w:rsidRPr="00292532">
              <w:rPr>
                <w:sz w:val="20"/>
                <w:szCs w:val="20"/>
                <w:lang w:val="pt-PT"/>
              </w:rPr>
              <w:lastRenderedPageBreak/>
              <w:t>Alteração da qualidade das águas superficiais e subterrâneas</w:t>
            </w:r>
          </w:p>
        </w:tc>
        <w:tc>
          <w:tcPr>
            <w:tcW w:w="5310" w:type="dxa"/>
          </w:tcPr>
          <w:p w14:paraId="63D0D772"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Localização dos pontos de captação próximos às margens dos rios </w:t>
            </w:r>
          </w:p>
          <w:p w14:paraId="122A7EDF" w14:textId="60E3DB13"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Falhas no funcionamento das estações de tratamento de águas residuais</w:t>
            </w:r>
          </w:p>
        </w:tc>
        <w:tc>
          <w:tcPr>
            <w:tcW w:w="5490" w:type="dxa"/>
          </w:tcPr>
          <w:p w14:paraId="414F1248" w14:textId="5788ED65"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Impactos na ecologia aquática,</w:t>
            </w:r>
          </w:p>
          <w:p w14:paraId="7B61C5CF"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Mortalidade de espécies aquáticas </w:t>
            </w:r>
          </w:p>
          <w:p w14:paraId="1B3B1F8F"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Modificação do habitat aquático </w:t>
            </w:r>
          </w:p>
          <w:p w14:paraId="71581996"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Perda de biodiversidade</w:t>
            </w:r>
          </w:p>
          <w:p w14:paraId="1ABF91C8"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Poluição dos rios </w:t>
            </w:r>
          </w:p>
          <w:p w14:paraId="68A0FA28"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Impactos negativos na saúde das populações resultando do consumo de água com níveis de qualidade inadequados</w:t>
            </w:r>
          </w:p>
          <w:p w14:paraId="76AEECFA" w14:textId="32EDF1DD"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Contaminação dos solos pelo efeito de percolação</w:t>
            </w:r>
          </w:p>
        </w:tc>
      </w:tr>
      <w:tr w:rsidR="009D0486" w:rsidRPr="00292532" w14:paraId="0F5781A0" w14:textId="658D1F3E"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4A5223C6" w14:textId="179551E7" w:rsidR="009D0486" w:rsidRPr="00292532" w:rsidRDefault="009D0486" w:rsidP="00507213">
            <w:pPr>
              <w:rPr>
                <w:sz w:val="20"/>
                <w:szCs w:val="20"/>
                <w:lang w:val="pt-PT"/>
              </w:rPr>
            </w:pPr>
            <w:r w:rsidRPr="00292532">
              <w:rPr>
                <w:sz w:val="20"/>
                <w:szCs w:val="20"/>
                <w:lang w:val="pt-PT"/>
              </w:rPr>
              <w:t>Captação excessiva de água em cursos de água intermitentes</w:t>
            </w:r>
          </w:p>
        </w:tc>
        <w:tc>
          <w:tcPr>
            <w:tcW w:w="5310" w:type="dxa"/>
          </w:tcPr>
          <w:p w14:paraId="479D1B06" w14:textId="2058433E"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Captação de água em cursos de água intermitentes para o abastecimento de água </w:t>
            </w:r>
          </w:p>
          <w:p w14:paraId="4C333C18" w14:textId="69F85723"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Condições climatológicas (precipitação) que </w:t>
            </w:r>
            <w:proofErr w:type="spellStart"/>
            <w:r w:rsidRPr="00292532">
              <w:rPr>
                <w:sz w:val="20"/>
                <w:szCs w:val="20"/>
                <w:lang w:val="pt-PT"/>
              </w:rPr>
              <w:t>afectam</w:t>
            </w:r>
            <w:proofErr w:type="spellEnd"/>
            <w:r w:rsidRPr="00292532">
              <w:rPr>
                <w:sz w:val="20"/>
                <w:szCs w:val="20"/>
                <w:lang w:val="pt-PT"/>
              </w:rPr>
              <w:t xml:space="preserve"> as taxas de recarga dos aquíferos</w:t>
            </w:r>
          </w:p>
        </w:tc>
        <w:tc>
          <w:tcPr>
            <w:tcW w:w="5490" w:type="dxa"/>
          </w:tcPr>
          <w:p w14:paraId="6255A23E" w14:textId="41E3C06C"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Alteração dos fluxos a jusante devido a potencial captação a montante</w:t>
            </w:r>
          </w:p>
          <w:p w14:paraId="27EDCE83" w14:textId="35784D6F"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Redução da disponibilidade da água para outros usos existentes (agricultura)</w:t>
            </w:r>
          </w:p>
          <w:p w14:paraId="277C7B06"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Redução da capacidade de manutenção dos caudais ecológicos, com impactos na conservação dos ecossistemas aquáticos </w:t>
            </w:r>
          </w:p>
          <w:p w14:paraId="4D6DFB88" w14:textId="1EEE4275"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Redução </w:t>
            </w:r>
          </w:p>
        </w:tc>
      </w:tr>
      <w:tr w:rsidR="009D0486" w:rsidRPr="001E4B2C" w14:paraId="42699C6F" w14:textId="4D780F8B"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0DA6E726" w14:textId="3939FF9F" w:rsidR="009D0486" w:rsidRPr="00292532" w:rsidRDefault="009D0486" w:rsidP="00507213">
            <w:pPr>
              <w:rPr>
                <w:sz w:val="20"/>
                <w:szCs w:val="20"/>
                <w:lang w:val="pt-PT"/>
              </w:rPr>
            </w:pPr>
            <w:r w:rsidRPr="00292532">
              <w:rPr>
                <w:sz w:val="20"/>
                <w:szCs w:val="20"/>
                <w:lang w:val="pt-PT"/>
              </w:rPr>
              <w:t xml:space="preserve">Captação de água em aquíferos </w:t>
            </w:r>
          </w:p>
        </w:tc>
        <w:tc>
          <w:tcPr>
            <w:tcW w:w="5310" w:type="dxa"/>
          </w:tcPr>
          <w:p w14:paraId="57D7FC18"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Captação das águas em aquíferos pouco produtivos</w:t>
            </w:r>
          </w:p>
          <w:p w14:paraId="341FE1CC"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Condições climatológicas (precipitação) que </w:t>
            </w:r>
            <w:proofErr w:type="spellStart"/>
            <w:r w:rsidRPr="00292532">
              <w:rPr>
                <w:sz w:val="20"/>
                <w:szCs w:val="20"/>
                <w:lang w:val="pt-PT"/>
              </w:rPr>
              <w:t>afectam</w:t>
            </w:r>
            <w:proofErr w:type="spellEnd"/>
            <w:r w:rsidRPr="00292532">
              <w:rPr>
                <w:sz w:val="20"/>
                <w:szCs w:val="20"/>
                <w:lang w:val="pt-PT"/>
              </w:rPr>
              <w:t xml:space="preserve"> as taxas de recarga dos aquíferos</w:t>
            </w:r>
          </w:p>
          <w:p w14:paraId="56FE5BE5" w14:textId="2586E850"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Outros </w:t>
            </w:r>
            <w:proofErr w:type="spellStart"/>
            <w:r w:rsidRPr="00292532">
              <w:rPr>
                <w:sz w:val="20"/>
                <w:szCs w:val="20"/>
                <w:lang w:val="pt-PT"/>
              </w:rPr>
              <w:t>factores</w:t>
            </w:r>
            <w:proofErr w:type="spellEnd"/>
            <w:r w:rsidRPr="00292532">
              <w:rPr>
                <w:sz w:val="20"/>
                <w:szCs w:val="20"/>
                <w:lang w:val="pt-PT"/>
              </w:rPr>
              <w:t xml:space="preserve"> influenciados incluem, o tipo de aquífero (livre ou confinado), capacidade de recarga e tipo de porosidade do aquífero</w:t>
            </w:r>
          </w:p>
        </w:tc>
        <w:tc>
          <w:tcPr>
            <w:tcW w:w="5490" w:type="dxa"/>
          </w:tcPr>
          <w:p w14:paraId="67AB1193" w14:textId="23A9D1DF"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Alteração da qualidade do </w:t>
            </w:r>
            <w:proofErr w:type="gramStart"/>
            <w:r w:rsidRPr="00292532">
              <w:rPr>
                <w:sz w:val="20"/>
                <w:szCs w:val="20"/>
                <w:lang w:val="pt-PT"/>
              </w:rPr>
              <w:t>solo ,</w:t>
            </w:r>
            <w:proofErr w:type="gramEnd"/>
            <w:r w:rsidRPr="00292532">
              <w:rPr>
                <w:sz w:val="20"/>
                <w:szCs w:val="20"/>
                <w:lang w:val="pt-PT"/>
              </w:rPr>
              <w:t xml:space="preserve"> como consequência da potencial redução de capacidade de diluição e degradação de compostos contaminantes pelos aquíferos. </w:t>
            </w:r>
          </w:p>
          <w:p w14:paraId="52BEA2D6"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Esgotamento das águas subterrâneas </w:t>
            </w:r>
          </w:p>
          <w:p w14:paraId="7720DA74" w14:textId="3CC065AB"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Alteração das funções naturais dos aquíferos incluindo, manutenção dos fluxos dos rios e regulação de caudais dos rios durante as cheias. </w:t>
            </w:r>
          </w:p>
        </w:tc>
      </w:tr>
      <w:tr w:rsidR="009D0486" w:rsidRPr="001E4B2C" w14:paraId="73557239" w14:textId="1FC557CB" w:rsidTr="004500AE">
        <w:trPr>
          <w:trHeight w:val="517"/>
        </w:trPr>
        <w:tc>
          <w:tcPr>
            <w:cnfStyle w:val="001000000000" w:firstRow="0" w:lastRow="0" w:firstColumn="1" w:lastColumn="0" w:oddVBand="0" w:evenVBand="0" w:oddHBand="0" w:evenHBand="0" w:firstRowFirstColumn="0" w:firstRowLastColumn="0" w:lastRowFirstColumn="0" w:lastRowLastColumn="0"/>
            <w:tcW w:w="2520" w:type="dxa"/>
          </w:tcPr>
          <w:p w14:paraId="5B11BEAE" w14:textId="6A04F6CB" w:rsidR="009D0486" w:rsidRPr="00292532" w:rsidRDefault="009D0486" w:rsidP="00507213">
            <w:pPr>
              <w:rPr>
                <w:sz w:val="20"/>
                <w:szCs w:val="20"/>
                <w:lang w:val="pt-PT"/>
              </w:rPr>
            </w:pPr>
            <w:r w:rsidRPr="00292532">
              <w:rPr>
                <w:sz w:val="20"/>
                <w:szCs w:val="20"/>
                <w:lang w:val="pt-PT"/>
              </w:rPr>
              <w:t>Derrames de combustíveis e químicos</w:t>
            </w:r>
          </w:p>
        </w:tc>
        <w:tc>
          <w:tcPr>
            <w:tcW w:w="5310" w:type="dxa"/>
          </w:tcPr>
          <w:p w14:paraId="7093DA4F"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Descargas de equipamento, </w:t>
            </w:r>
          </w:p>
          <w:p w14:paraId="5149E265" w14:textId="6B6DECC8"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Descargas de veículos, </w:t>
            </w:r>
          </w:p>
          <w:p w14:paraId="55C1B8C1"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Colisões de veículos </w:t>
            </w:r>
          </w:p>
          <w:p w14:paraId="52CCECE8" w14:textId="1D8668DC"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roofErr w:type="spellStart"/>
            <w:r w:rsidRPr="00292532">
              <w:rPr>
                <w:sz w:val="20"/>
                <w:szCs w:val="20"/>
                <w:lang w:val="pt-PT"/>
              </w:rPr>
              <w:t>Ruptura</w:t>
            </w:r>
            <w:proofErr w:type="spellEnd"/>
            <w:r w:rsidRPr="00292532">
              <w:rPr>
                <w:sz w:val="20"/>
                <w:szCs w:val="20"/>
                <w:lang w:val="pt-PT"/>
              </w:rPr>
              <w:t xml:space="preserve"> de depósitos de armazenamento de combustíveis e químicos</w:t>
            </w:r>
          </w:p>
        </w:tc>
        <w:tc>
          <w:tcPr>
            <w:tcW w:w="5490" w:type="dxa"/>
          </w:tcPr>
          <w:p w14:paraId="771F28FF" w14:textId="7333005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Poluição das águas subterrâneas e dos solos</w:t>
            </w:r>
          </w:p>
          <w:p w14:paraId="0E6C8E8E" w14:textId="5F1C4F7F"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Contaminação das águas superficiais </w:t>
            </w:r>
          </w:p>
          <w:p w14:paraId="42939F4C"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Ingestão/assimilação de águas contaminadas pelos animais selvagens</w:t>
            </w:r>
          </w:p>
          <w:p w14:paraId="6D55100B" w14:textId="07179634"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Consumo de água contaminada pelas populações</w:t>
            </w:r>
          </w:p>
        </w:tc>
      </w:tr>
      <w:bookmarkEnd w:id="193"/>
    </w:tbl>
    <w:p w14:paraId="1EA841EE" w14:textId="0E3C67D1" w:rsidR="00F05E86" w:rsidRPr="00292532" w:rsidRDefault="00F05E86" w:rsidP="005C17A3">
      <w:pPr>
        <w:rPr>
          <w:lang w:val="pt-PT" w:eastAsia="ja-JP"/>
        </w:rPr>
      </w:pPr>
      <w:r w:rsidRPr="00292532">
        <w:rPr>
          <w:lang w:val="pt-PT" w:eastAsia="ja-JP"/>
        </w:rPr>
        <w:br w:type="page"/>
      </w:r>
    </w:p>
    <w:p w14:paraId="3E6762C4" w14:textId="77777777" w:rsidR="005C17A3" w:rsidRPr="00292532" w:rsidRDefault="005C17A3" w:rsidP="00876367">
      <w:pPr>
        <w:rPr>
          <w:lang w:val="pt-PT"/>
        </w:rPr>
      </w:pPr>
    </w:p>
    <w:p w14:paraId="0DB72D84" w14:textId="5219EE4A" w:rsidR="00507213" w:rsidRPr="00292532" w:rsidRDefault="00776F25" w:rsidP="00776F25">
      <w:pPr>
        <w:pStyle w:val="Caption"/>
      </w:pPr>
      <w:bookmarkStart w:id="194" w:name="_Toc75438161"/>
      <w:bookmarkStart w:id="195" w:name="_Toc80380267"/>
      <w:r w:rsidRPr="00292532">
        <w:t xml:space="preserve">Tabela </w:t>
      </w:r>
      <w:r w:rsidRPr="00292532">
        <w:fldChar w:fldCharType="begin"/>
      </w:r>
      <w:r w:rsidRPr="00292532">
        <w:instrText xml:space="preserve"> SEQ Tabela \* ARABIC </w:instrText>
      </w:r>
      <w:r w:rsidRPr="00292532">
        <w:fldChar w:fldCharType="separate"/>
      </w:r>
      <w:r w:rsidR="00C25AEB" w:rsidRPr="00292532">
        <w:rPr>
          <w:noProof/>
        </w:rPr>
        <w:t>20</w:t>
      </w:r>
      <w:r w:rsidRPr="00292532">
        <w:fldChar w:fldCharType="end"/>
      </w:r>
      <w:r w:rsidRPr="00292532">
        <w:t xml:space="preserve">: Riscos e Impactos Socioeconómicos </w:t>
      </w:r>
      <w:r w:rsidR="00151CAD" w:rsidRPr="00292532">
        <w:t>na fase de construção</w:t>
      </w:r>
      <w:bookmarkEnd w:id="194"/>
      <w:bookmarkEnd w:id="195"/>
      <w:r w:rsidR="00151CAD" w:rsidRPr="00292532">
        <w:t xml:space="preserve"> </w:t>
      </w:r>
    </w:p>
    <w:tbl>
      <w:tblPr>
        <w:tblStyle w:val="GridTable1Light-Accent11"/>
        <w:tblW w:w="13320" w:type="dxa"/>
        <w:tblInd w:w="805" w:type="dxa"/>
        <w:tblLayout w:type="fixed"/>
        <w:tblLook w:val="04A0" w:firstRow="1" w:lastRow="0" w:firstColumn="1" w:lastColumn="0" w:noHBand="0" w:noVBand="1"/>
      </w:tblPr>
      <w:tblGrid>
        <w:gridCol w:w="1710"/>
        <w:gridCol w:w="5396"/>
        <w:gridCol w:w="6214"/>
      </w:tblGrid>
      <w:tr w:rsidR="009D0486" w:rsidRPr="00292532" w14:paraId="0C978DEB" w14:textId="528D0AB2" w:rsidTr="004500AE">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1710" w:type="dxa"/>
            <w:shd w:val="clear" w:color="auto" w:fill="D9E2F3" w:themeFill="accent1" w:themeFillTint="33"/>
          </w:tcPr>
          <w:p w14:paraId="1AE8EC8C" w14:textId="77777777" w:rsidR="009D0486" w:rsidRPr="00292532" w:rsidRDefault="009D0486" w:rsidP="00ED6B05">
            <w:pPr>
              <w:spacing w:after="160"/>
              <w:jc w:val="center"/>
              <w:rPr>
                <w:b w:val="0"/>
                <w:bCs w:val="0"/>
                <w:sz w:val="20"/>
                <w:szCs w:val="20"/>
                <w:lang w:val="pt-PT"/>
              </w:rPr>
            </w:pPr>
            <w:r w:rsidRPr="00292532">
              <w:rPr>
                <w:sz w:val="20"/>
                <w:szCs w:val="20"/>
                <w:lang w:val="pt-PT"/>
              </w:rPr>
              <w:t>Risco</w:t>
            </w:r>
          </w:p>
        </w:tc>
        <w:tc>
          <w:tcPr>
            <w:tcW w:w="5396" w:type="dxa"/>
            <w:shd w:val="clear" w:color="auto" w:fill="D9E2F3" w:themeFill="accent1" w:themeFillTint="33"/>
          </w:tcPr>
          <w:p w14:paraId="74C77B91" w14:textId="77777777" w:rsidR="009D0486" w:rsidRPr="00292532" w:rsidRDefault="009D0486" w:rsidP="00ED6B05">
            <w:pPr>
              <w:spacing w:after="160"/>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pt-PT"/>
              </w:rPr>
            </w:pPr>
            <w:r w:rsidRPr="00292532">
              <w:rPr>
                <w:sz w:val="20"/>
                <w:szCs w:val="20"/>
                <w:lang w:val="pt-PT"/>
              </w:rPr>
              <w:t>Causas</w:t>
            </w:r>
          </w:p>
        </w:tc>
        <w:tc>
          <w:tcPr>
            <w:tcW w:w="6214" w:type="dxa"/>
            <w:shd w:val="clear" w:color="auto" w:fill="D9E2F3" w:themeFill="accent1" w:themeFillTint="33"/>
          </w:tcPr>
          <w:p w14:paraId="5755AB40" w14:textId="77777777" w:rsidR="009D0486" w:rsidRPr="00292532" w:rsidRDefault="009D0486" w:rsidP="00ED6B05">
            <w:pPr>
              <w:spacing w:after="160"/>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pt-PT"/>
              </w:rPr>
            </w:pPr>
            <w:r w:rsidRPr="00292532">
              <w:rPr>
                <w:sz w:val="20"/>
                <w:szCs w:val="20"/>
                <w:lang w:val="pt-PT"/>
              </w:rPr>
              <w:t>Impactos</w:t>
            </w:r>
          </w:p>
        </w:tc>
      </w:tr>
      <w:tr w:rsidR="009D0486" w:rsidRPr="001E4B2C" w14:paraId="0024BDE8" w14:textId="41448315" w:rsidTr="004500AE">
        <w:trPr>
          <w:trHeight w:val="517"/>
        </w:trPr>
        <w:tc>
          <w:tcPr>
            <w:cnfStyle w:val="001000000000" w:firstRow="0" w:lastRow="0" w:firstColumn="1" w:lastColumn="0" w:oddVBand="0" w:evenVBand="0" w:oddHBand="0" w:evenHBand="0" w:firstRowFirstColumn="0" w:firstRowLastColumn="0" w:lastRowFirstColumn="0" w:lastRowLastColumn="0"/>
            <w:tcW w:w="1710" w:type="dxa"/>
          </w:tcPr>
          <w:p w14:paraId="2D2C37C7" w14:textId="53C248E2" w:rsidR="009D0486" w:rsidRPr="00292532" w:rsidRDefault="009D0486" w:rsidP="00ED6B05">
            <w:pPr>
              <w:spacing w:after="160"/>
              <w:rPr>
                <w:sz w:val="20"/>
                <w:szCs w:val="20"/>
                <w:lang w:val="pt-PT"/>
              </w:rPr>
            </w:pPr>
            <w:r w:rsidRPr="00292532">
              <w:rPr>
                <w:sz w:val="20"/>
                <w:szCs w:val="20"/>
                <w:lang w:val="pt-PT"/>
              </w:rPr>
              <w:t xml:space="preserve">Alteração do uso da terra </w:t>
            </w:r>
          </w:p>
        </w:tc>
        <w:tc>
          <w:tcPr>
            <w:tcW w:w="5396" w:type="dxa"/>
          </w:tcPr>
          <w:p w14:paraId="3FDE18C6" w14:textId="67036625" w:rsidR="009D0486" w:rsidRPr="00292532" w:rsidRDefault="009D0486" w:rsidP="0024772D">
            <w:pPr>
              <w:numPr>
                <w:ilvl w:val="0"/>
                <w:numId w:val="30"/>
              </w:numPr>
              <w:spacing w:before="0"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Ocupação de terras para a implantação de infraestruturas do </w:t>
            </w:r>
            <w:proofErr w:type="spellStart"/>
            <w:r w:rsidRPr="00292532">
              <w:rPr>
                <w:sz w:val="20"/>
                <w:szCs w:val="20"/>
                <w:lang w:val="pt-PT"/>
              </w:rPr>
              <w:t>Projectos</w:t>
            </w:r>
            <w:proofErr w:type="spellEnd"/>
            <w:r w:rsidRPr="00292532">
              <w:rPr>
                <w:sz w:val="20"/>
                <w:szCs w:val="20"/>
                <w:lang w:val="pt-PT"/>
              </w:rPr>
              <w:t xml:space="preserve"> (estações de captação, reservatórios, condutas adutoras de distribuição, estações de tratamento de águas)</w:t>
            </w:r>
          </w:p>
          <w:p w14:paraId="3045DCDC" w14:textId="43DF99EA" w:rsidR="009D0486" w:rsidRPr="00292532" w:rsidRDefault="009D0486" w:rsidP="0024772D">
            <w:pPr>
              <w:numPr>
                <w:ilvl w:val="0"/>
                <w:numId w:val="30"/>
              </w:numPr>
              <w:spacing w:before="0"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Estabelecimento de estaleiros e acampamentos temporários</w:t>
            </w:r>
          </w:p>
        </w:tc>
        <w:tc>
          <w:tcPr>
            <w:tcW w:w="6214" w:type="dxa"/>
          </w:tcPr>
          <w:p w14:paraId="56B76EB3"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Perda de direitos de terra por parte das comunidades</w:t>
            </w:r>
          </w:p>
          <w:p w14:paraId="561E9E72"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Impacto negativo nos grupos mais vulneráveis (famílias chefiadas por mulheres e ou crianças)</w:t>
            </w:r>
          </w:p>
          <w:p w14:paraId="6FB157F3"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Conflitos de terra </w:t>
            </w:r>
          </w:p>
          <w:p w14:paraId="03B010F9"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Redução de terras de cultivo e de pasto</w:t>
            </w:r>
          </w:p>
          <w:p w14:paraId="36F0A6CA" w14:textId="77777777"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Perda de fontes de renda  </w:t>
            </w:r>
          </w:p>
          <w:p w14:paraId="5484A7C3" w14:textId="2931E75D"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Disrupção das redes sociais e de </w:t>
            </w:r>
            <w:proofErr w:type="spellStart"/>
            <w:r w:rsidRPr="00292532">
              <w:rPr>
                <w:sz w:val="20"/>
                <w:szCs w:val="20"/>
                <w:lang w:val="pt-PT"/>
              </w:rPr>
              <w:t>inter-ajuda</w:t>
            </w:r>
            <w:proofErr w:type="spellEnd"/>
          </w:p>
        </w:tc>
      </w:tr>
      <w:tr w:rsidR="009D0486" w:rsidRPr="001E4B2C" w14:paraId="33F40137" w14:textId="5FAF123F" w:rsidTr="004500AE">
        <w:trPr>
          <w:trHeight w:val="517"/>
        </w:trPr>
        <w:tc>
          <w:tcPr>
            <w:cnfStyle w:val="001000000000" w:firstRow="0" w:lastRow="0" w:firstColumn="1" w:lastColumn="0" w:oddVBand="0" w:evenVBand="0" w:oddHBand="0" w:evenHBand="0" w:firstRowFirstColumn="0" w:firstRowLastColumn="0" w:lastRowFirstColumn="0" w:lastRowLastColumn="0"/>
            <w:tcW w:w="1710" w:type="dxa"/>
          </w:tcPr>
          <w:p w14:paraId="0FBC635E" w14:textId="326605CE" w:rsidR="009D0486" w:rsidRPr="00292532" w:rsidRDefault="009D0486" w:rsidP="00ED6B05">
            <w:pPr>
              <w:rPr>
                <w:sz w:val="20"/>
                <w:szCs w:val="20"/>
                <w:lang w:val="pt-PT"/>
              </w:rPr>
            </w:pPr>
            <w:r w:rsidRPr="00292532">
              <w:rPr>
                <w:sz w:val="20"/>
                <w:szCs w:val="20"/>
                <w:lang w:val="pt-PT"/>
              </w:rPr>
              <w:t xml:space="preserve">Influxo de pessoas às áreas de implementação dos </w:t>
            </w:r>
            <w:proofErr w:type="spellStart"/>
            <w:r w:rsidRPr="00292532">
              <w:rPr>
                <w:sz w:val="20"/>
                <w:szCs w:val="20"/>
                <w:lang w:val="pt-PT"/>
              </w:rPr>
              <w:t>projectos</w:t>
            </w:r>
            <w:proofErr w:type="spellEnd"/>
            <w:r w:rsidRPr="00292532">
              <w:rPr>
                <w:sz w:val="20"/>
                <w:szCs w:val="20"/>
                <w:lang w:val="pt-PT"/>
              </w:rPr>
              <w:t xml:space="preserve"> </w:t>
            </w:r>
          </w:p>
        </w:tc>
        <w:tc>
          <w:tcPr>
            <w:tcW w:w="5396" w:type="dxa"/>
          </w:tcPr>
          <w:p w14:paraId="41149706" w14:textId="393DA0A6" w:rsidR="009D0486" w:rsidRPr="00292532"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Entrada de trabalhadores e candidatos a trabalho </w:t>
            </w:r>
          </w:p>
          <w:p w14:paraId="1AE7317D" w14:textId="04AECDAA" w:rsidR="009D0486" w:rsidRPr="00292532"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Demanda acrescida sobre bens e serviços </w:t>
            </w:r>
          </w:p>
          <w:p w14:paraId="340532C8" w14:textId="77777777" w:rsidR="009D0486"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Meios utilizados e abrangência da disseminação de informação sobre os postos de trabalho disponibilizados</w:t>
            </w:r>
            <w:r>
              <w:rPr>
                <w:sz w:val="20"/>
                <w:szCs w:val="20"/>
                <w:lang w:val="pt-PT"/>
              </w:rPr>
              <w:t>;</w:t>
            </w:r>
          </w:p>
          <w:p w14:paraId="3D6FCA72" w14:textId="7B6E7388" w:rsidR="009D0486" w:rsidRPr="00292532"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Pr>
                <w:sz w:val="20"/>
                <w:szCs w:val="20"/>
                <w:lang w:val="pt-PT"/>
              </w:rPr>
              <w:t xml:space="preserve">Entrada de mão-de-obra estrangeira na área do </w:t>
            </w:r>
            <w:proofErr w:type="spellStart"/>
            <w:r>
              <w:rPr>
                <w:sz w:val="20"/>
                <w:szCs w:val="20"/>
                <w:lang w:val="pt-PT"/>
              </w:rPr>
              <w:t>projecto</w:t>
            </w:r>
            <w:proofErr w:type="spellEnd"/>
            <w:r>
              <w:rPr>
                <w:sz w:val="20"/>
                <w:szCs w:val="20"/>
                <w:lang w:val="pt-PT"/>
              </w:rPr>
              <w:t xml:space="preserve"> </w:t>
            </w:r>
          </w:p>
          <w:p w14:paraId="493CD348" w14:textId="64F72D2F" w:rsidR="009D0486" w:rsidRPr="00292532" w:rsidRDefault="009D0486" w:rsidP="00552FF0">
            <w:pPr>
              <w:spacing w:before="0"/>
              <w:ind w:left="3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
        </w:tc>
        <w:tc>
          <w:tcPr>
            <w:tcW w:w="6214" w:type="dxa"/>
          </w:tcPr>
          <w:p w14:paraId="727A67D2"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Aumento de níveis de criminalidade</w:t>
            </w:r>
          </w:p>
          <w:p w14:paraId="1E79254E"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Alteração dos padrões de densidade e distribuição populacional </w:t>
            </w:r>
          </w:p>
          <w:p w14:paraId="076AE908" w14:textId="5753326C" w:rsidR="009D0486"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Presença acrescida de trabalhadores assalariados</w:t>
            </w:r>
            <w:r>
              <w:rPr>
                <w:sz w:val="20"/>
                <w:szCs w:val="20"/>
                <w:lang w:val="pt-PT"/>
              </w:rPr>
              <w:t>;</w:t>
            </w:r>
          </w:p>
          <w:p w14:paraId="520B1A75" w14:textId="2DC2498E"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Pr>
                <w:sz w:val="20"/>
                <w:szCs w:val="20"/>
                <w:lang w:val="pt-PT"/>
              </w:rPr>
              <w:t>Risco de conflitos sociais derivados da presença de mão-de-obra estrangeira</w:t>
            </w:r>
          </w:p>
          <w:p w14:paraId="0DB11F00" w14:textId="34B32892"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 probabilidade de comportamentos antissociais acrescidos como pequena delinquência, violência e assédio sexual e prostituição </w:t>
            </w:r>
          </w:p>
          <w:p w14:paraId="000627F8"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Tensão nos serviços de </w:t>
            </w:r>
            <w:proofErr w:type="spellStart"/>
            <w:r w:rsidRPr="00292532">
              <w:rPr>
                <w:sz w:val="20"/>
                <w:szCs w:val="20"/>
                <w:lang w:val="pt-PT"/>
              </w:rPr>
              <w:t>protecção</w:t>
            </w:r>
            <w:proofErr w:type="spellEnd"/>
            <w:r w:rsidRPr="00292532">
              <w:rPr>
                <w:sz w:val="20"/>
                <w:szCs w:val="20"/>
                <w:lang w:val="pt-PT"/>
              </w:rPr>
              <w:t xml:space="preserve"> pública</w:t>
            </w:r>
          </w:p>
          <w:p w14:paraId="5F88C754" w14:textId="52274C79"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Caça furtiva</w:t>
            </w:r>
          </w:p>
          <w:p w14:paraId="4A9AE946" w14:textId="6DF65528"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Recolha de recursos naturais (lenha, plantas medicinais) </w:t>
            </w:r>
          </w:p>
        </w:tc>
      </w:tr>
      <w:tr w:rsidR="009D0486" w:rsidRPr="001E4B2C" w14:paraId="238317E3" w14:textId="148600FF" w:rsidTr="004500AE">
        <w:trPr>
          <w:trHeight w:val="517"/>
        </w:trPr>
        <w:tc>
          <w:tcPr>
            <w:cnfStyle w:val="001000000000" w:firstRow="0" w:lastRow="0" w:firstColumn="1" w:lastColumn="0" w:oddVBand="0" w:evenVBand="0" w:oddHBand="0" w:evenHBand="0" w:firstRowFirstColumn="0" w:firstRowLastColumn="0" w:lastRowFirstColumn="0" w:lastRowLastColumn="0"/>
            <w:tcW w:w="1710" w:type="dxa"/>
          </w:tcPr>
          <w:p w14:paraId="0B32C618" w14:textId="78A34406" w:rsidR="009D0486" w:rsidRPr="00292532" w:rsidRDefault="009D0486" w:rsidP="00ED6B05">
            <w:pPr>
              <w:rPr>
                <w:sz w:val="20"/>
                <w:szCs w:val="20"/>
                <w:lang w:val="pt-PT"/>
              </w:rPr>
            </w:pPr>
            <w:r w:rsidRPr="00292532">
              <w:rPr>
                <w:sz w:val="20"/>
                <w:szCs w:val="20"/>
                <w:lang w:val="pt-PT"/>
              </w:rPr>
              <w:t>Elevada incidência de trabalhadores provenientes de outras regiões do País e estrangeiros</w:t>
            </w:r>
          </w:p>
        </w:tc>
        <w:tc>
          <w:tcPr>
            <w:tcW w:w="5396" w:type="dxa"/>
          </w:tcPr>
          <w:p w14:paraId="556ABEB5" w14:textId="77777777" w:rsidR="009D0486" w:rsidRPr="00292532"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Necessidades de mão-de-obra experiente </w:t>
            </w:r>
          </w:p>
          <w:p w14:paraId="45C253CA" w14:textId="0C48DB6C" w:rsidR="009D0486" w:rsidRPr="00292532"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Mecanismo de contratação poucos abrangentes</w:t>
            </w:r>
          </w:p>
          <w:p w14:paraId="1A4187FD" w14:textId="32366CCA" w:rsidR="009D0486" w:rsidRPr="00292532"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Níveis de escolaridade baixos das populações locais </w:t>
            </w:r>
          </w:p>
          <w:p w14:paraId="35E637B9" w14:textId="39F4A9DB" w:rsidR="009D0486" w:rsidRPr="00292532"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Competências existentes nas áreas de implementação do </w:t>
            </w:r>
            <w:proofErr w:type="spellStart"/>
            <w:r w:rsidRPr="00292532">
              <w:rPr>
                <w:sz w:val="20"/>
                <w:szCs w:val="20"/>
                <w:lang w:val="pt-PT"/>
              </w:rPr>
              <w:t>Projecto</w:t>
            </w:r>
            <w:proofErr w:type="spellEnd"/>
            <w:r w:rsidRPr="00292532">
              <w:rPr>
                <w:sz w:val="20"/>
                <w:szCs w:val="20"/>
                <w:lang w:val="pt-PT"/>
              </w:rPr>
              <w:t>, especialmente nas zonas rurais, são voltados para a prática da agricultura</w:t>
            </w:r>
          </w:p>
        </w:tc>
        <w:tc>
          <w:tcPr>
            <w:tcW w:w="6214" w:type="dxa"/>
          </w:tcPr>
          <w:p w14:paraId="565242E9"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Expectativas não satisfeitas</w:t>
            </w:r>
          </w:p>
          <w:p w14:paraId="6C627EA4"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Revoltas e frustrações por parte das populações locais </w:t>
            </w:r>
          </w:p>
          <w:p w14:paraId="4EC981BD" w14:textId="5504C876"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Aumento de prostituição e das taxas de HIV / AIDS</w:t>
            </w:r>
          </w:p>
        </w:tc>
      </w:tr>
      <w:tr w:rsidR="009D0486" w:rsidRPr="001E4B2C" w14:paraId="276755B6" w14:textId="19E64527" w:rsidTr="004500AE">
        <w:trPr>
          <w:trHeight w:val="517"/>
        </w:trPr>
        <w:tc>
          <w:tcPr>
            <w:cnfStyle w:val="001000000000" w:firstRow="0" w:lastRow="0" w:firstColumn="1" w:lastColumn="0" w:oddVBand="0" w:evenVBand="0" w:oddHBand="0" w:evenHBand="0" w:firstRowFirstColumn="0" w:firstRowLastColumn="0" w:lastRowFirstColumn="0" w:lastRowLastColumn="0"/>
            <w:tcW w:w="1710" w:type="dxa"/>
          </w:tcPr>
          <w:p w14:paraId="1C962D7F" w14:textId="54FD87B9" w:rsidR="009D0486" w:rsidRPr="00292532" w:rsidRDefault="009D0486" w:rsidP="00ED6B05">
            <w:pPr>
              <w:rPr>
                <w:b w:val="0"/>
                <w:bCs w:val="0"/>
                <w:sz w:val="20"/>
                <w:szCs w:val="20"/>
                <w:lang w:val="pt-PT"/>
              </w:rPr>
            </w:pPr>
            <w:r w:rsidRPr="00292532">
              <w:rPr>
                <w:sz w:val="20"/>
                <w:szCs w:val="20"/>
                <w:lang w:val="pt-PT"/>
              </w:rPr>
              <w:lastRenderedPageBreak/>
              <w:t xml:space="preserve">Interferências nas redes de serviços de utilidade pública </w:t>
            </w:r>
          </w:p>
        </w:tc>
        <w:tc>
          <w:tcPr>
            <w:tcW w:w="5396" w:type="dxa"/>
          </w:tcPr>
          <w:p w14:paraId="1CFAE65A" w14:textId="77777777" w:rsidR="009D0486" w:rsidRPr="00292532"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Estabelecimento de acampamentos de trabalhadores </w:t>
            </w:r>
          </w:p>
          <w:p w14:paraId="02BC82E0" w14:textId="77777777" w:rsidR="009D0486" w:rsidRPr="00292532"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Estabelecimento de estaleiros de obras </w:t>
            </w:r>
          </w:p>
          <w:p w14:paraId="164ED63B" w14:textId="77777777" w:rsidR="009D0486" w:rsidRPr="00292532"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Movimento acrescido de veículos </w:t>
            </w:r>
          </w:p>
          <w:p w14:paraId="7BE14632" w14:textId="77777777" w:rsidR="009D0486" w:rsidRPr="00292532"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Demanda por assistência médica </w:t>
            </w:r>
          </w:p>
          <w:p w14:paraId="71AD3303" w14:textId="77777777" w:rsidR="009D0486" w:rsidRPr="00292532"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Necessidades de energia e água para os acampamentos temporários, estaleiros de obras </w:t>
            </w:r>
          </w:p>
          <w:p w14:paraId="1363DEFF" w14:textId="23185F20" w:rsidR="009D0486" w:rsidRPr="00292532"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roofErr w:type="spellStart"/>
            <w:r w:rsidRPr="00292532">
              <w:rPr>
                <w:sz w:val="20"/>
                <w:szCs w:val="20"/>
                <w:lang w:val="pt-PT"/>
              </w:rPr>
              <w:t>Factores</w:t>
            </w:r>
            <w:proofErr w:type="spellEnd"/>
            <w:r w:rsidRPr="00292532">
              <w:rPr>
                <w:sz w:val="20"/>
                <w:szCs w:val="20"/>
                <w:lang w:val="pt-PT"/>
              </w:rPr>
              <w:t xml:space="preserve"> influenciadores incluem a fraca infraestrutura social e serviços e termos de acesso a </w:t>
            </w:r>
            <w:proofErr w:type="spellStart"/>
            <w:r w:rsidRPr="00292532">
              <w:rPr>
                <w:sz w:val="20"/>
                <w:szCs w:val="20"/>
                <w:lang w:val="pt-PT"/>
              </w:rPr>
              <w:t>electricidade</w:t>
            </w:r>
            <w:proofErr w:type="spellEnd"/>
            <w:r w:rsidRPr="00292532">
              <w:rPr>
                <w:sz w:val="20"/>
                <w:szCs w:val="20"/>
                <w:lang w:val="pt-PT"/>
              </w:rPr>
              <w:t xml:space="preserve"> e água potável, serviços de recolha de resíduos urbanos limitados e fracas condições rodoviárias e serviços de saúde limitados</w:t>
            </w:r>
          </w:p>
        </w:tc>
        <w:tc>
          <w:tcPr>
            <w:tcW w:w="6214" w:type="dxa"/>
          </w:tcPr>
          <w:p w14:paraId="351FFB8F" w14:textId="29E7719F"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Tensão acrescida sobre os serviços de utilidade pública (abastecimento de água, gestão de resíduos, serviços de saúde)</w:t>
            </w:r>
          </w:p>
          <w:p w14:paraId="2EFEB5AD" w14:textId="3BD6F0E5"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O aumento na procura de serviços de saúde irá limitar ainda mais o acesso a instalações de saúde, resultando em maiores tempos de espera ou em doentes não atendidos e piores resultados de saúde, como doenças/</w:t>
            </w:r>
            <w:proofErr w:type="spellStart"/>
            <w:r w:rsidRPr="00292532">
              <w:rPr>
                <w:sz w:val="20"/>
                <w:szCs w:val="20"/>
                <w:lang w:val="pt-PT"/>
              </w:rPr>
              <w:t>infecções</w:t>
            </w:r>
            <w:proofErr w:type="spellEnd"/>
            <w:r w:rsidRPr="00292532">
              <w:rPr>
                <w:sz w:val="20"/>
                <w:szCs w:val="20"/>
                <w:lang w:val="pt-PT"/>
              </w:rPr>
              <w:t xml:space="preserve"> de disseminação não controlada</w:t>
            </w:r>
          </w:p>
          <w:p w14:paraId="0156EE29" w14:textId="0FAFB3F2"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Impacto exacerbado nos seguintes grupos vulneráveis: </w:t>
            </w:r>
          </w:p>
          <w:p w14:paraId="45C9B131" w14:textId="77777777" w:rsidR="009D0486" w:rsidRPr="00292532" w:rsidRDefault="009D0486" w:rsidP="0024772D">
            <w:pPr>
              <w:numPr>
                <w:ilvl w:val="1"/>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Idosos, devido o acesso limitado às instalações de saúde</w:t>
            </w:r>
          </w:p>
          <w:p w14:paraId="22F18AD2" w14:textId="3A4896DA" w:rsidR="009D0486" w:rsidRPr="00292532" w:rsidRDefault="009D0486" w:rsidP="0024772D">
            <w:pPr>
              <w:numPr>
                <w:ilvl w:val="1"/>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Agregados de baixo rendimento por possuírem menos recursos e logo possuem opções limitadas para cuidados de saúde</w:t>
            </w:r>
          </w:p>
        </w:tc>
      </w:tr>
      <w:tr w:rsidR="009D0486" w:rsidRPr="00292532" w14:paraId="00D7C374" w14:textId="06661368" w:rsidTr="004500AE">
        <w:trPr>
          <w:trHeight w:val="517"/>
        </w:trPr>
        <w:tc>
          <w:tcPr>
            <w:cnfStyle w:val="001000000000" w:firstRow="0" w:lastRow="0" w:firstColumn="1" w:lastColumn="0" w:oddVBand="0" w:evenVBand="0" w:oddHBand="0" w:evenHBand="0" w:firstRowFirstColumn="0" w:firstRowLastColumn="0" w:lastRowFirstColumn="0" w:lastRowLastColumn="0"/>
            <w:tcW w:w="1710" w:type="dxa"/>
          </w:tcPr>
          <w:p w14:paraId="47DC58A9" w14:textId="3BD211B9" w:rsidR="009D0486" w:rsidRPr="00292532" w:rsidRDefault="009D0486" w:rsidP="00ED6B05">
            <w:pPr>
              <w:rPr>
                <w:sz w:val="20"/>
                <w:szCs w:val="20"/>
                <w:lang w:val="pt-PT"/>
              </w:rPr>
            </w:pPr>
            <w:r w:rsidRPr="00292532">
              <w:rPr>
                <w:sz w:val="20"/>
                <w:szCs w:val="20"/>
                <w:lang w:val="pt-PT"/>
              </w:rPr>
              <w:t xml:space="preserve">Aquisição acrescida </w:t>
            </w:r>
          </w:p>
        </w:tc>
        <w:tc>
          <w:tcPr>
            <w:tcW w:w="5396" w:type="dxa"/>
          </w:tcPr>
          <w:p w14:paraId="3DBF3186" w14:textId="7F56EE0A" w:rsidR="009D0486" w:rsidRPr="00292532"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Necessidades do </w:t>
            </w:r>
            <w:proofErr w:type="spellStart"/>
            <w:r w:rsidRPr="00292532">
              <w:rPr>
                <w:sz w:val="20"/>
                <w:szCs w:val="20"/>
                <w:lang w:val="pt-PT"/>
              </w:rPr>
              <w:t>projecto</w:t>
            </w:r>
            <w:proofErr w:type="spellEnd"/>
            <w:r w:rsidRPr="00292532">
              <w:rPr>
                <w:sz w:val="20"/>
                <w:szCs w:val="20"/>
                <w:lang w:val="pt-PT"/>
              </w:rPr>
              <w:t xml:space="preserve"> para compra de equipamento e outros bens e serviços </w:t>
            </w:r>
          </w:p>
          <w:p w14:paraId="53C486D4" w14:textId="3F691799" w:rsidR="009D0486" w:rsidRPr="00292532"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Necessidade alojamento temporários </w:t>
            </w:r>
          </w:p>
          <w:p w14:paraId="3DBB0FC4" w14:textId="4234CF64" w:rsidR="009D0486" w:rsidRPr="00292532"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Demanda por bens alimentícios</w:t>
            </w:r>
          </w:p>
          <w:p w14:paraId="6B42303F" w14:textId="6958C2AA" w:rsidR="009D0486" w:rsidRPr="00292532" w:rsidRDefault="009D0486" w:rsidP="0024772D">
            <w:pPr>
              <w:numPr>
                <w:ilvl w:val="0"/>
                <w:numId w:val="30"/>
              </w:numPr>
              <w:spacing w:before="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Necessidade de serviços de não técnicos, manutenção de veículos, lavandaria, transporte de trabalhadores, catering, etc.</w:t>
            </w:r>
          </w:p>
        </w:tc>
        <w:tc>
          <w:tcPr>
            <w:tcW w:w="6214" w:type="dxa"/>
          </w:tcPr>
          <w:p w14:paraId="658FDD5F"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Geração de negócios a nível local </w:t>
            </w:r>
          </w:p>
          <w:p w14:paraId="0BF13730" w14:textId="62166CEA"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Contratação de serviços de empresas locais </w:t>
            </w:r>
          </w:p>
          <w:p w14:paraId="373DABF8" w14:textId="01593915"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Desenvolvimento da economia local </w:t>
            </w:r>
          </w:p>
          <w:p w14:paraId="56EF79DF" w14:textId="3F8C78C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Criação de postos de trabalho</w:t>
            </w:r>
          </w:p>
          <w:p w14:paraId="2873E2FD" w14:textId="115D2D12" w:rsidR="009D0486" w:rsidRPr="00292532" w:rsidRDefault="009D0486" w:rsidP="007A1525">
            <w:pPr>
              <w:ind w:left="3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
        </w:tc>
      </w:tr>
      <w:tr w:rsidR="009D0486" w:rsidRPr="00292532" w14:paraId="688291CF" w14:textId="35DAEB99" w:rsidTr="004500AE">
        <w:trPr>
          <w:trHeight w:val="517"/>
        </w:trPr>
        <w:tc>
          <w:tcPr>
            <w:cnfStyle w:val="001000000000" w:firstRow="0" w:lastRow="0" w:firstColumn="1" w:lastColumn="0" w:oddVBand="0" w:evenVBand="0" w:oddHBand="0" w:evenHBand="0" w:firstRowFirstColumn="0" w:firstRowLastColumn="0" w:lastRowFirstColumn="0" w:lastRowLastColumn="0"/>
            <w:tcW w:w="1710" w:type="dxa"/>
          </w:tcPr>
          <w:p w14:paraId="424FDC2B" w14:textId="5D276E68" w:rsidR="009D0486" w:rsidRPr="00292532" w:rsidRDefault="009D0486" w:rsidP="00ED6B05">
            <w:pPr>
              <w:rPr>
                <w:sz w:val="20"/>
                <w:szCs w:val="20"/>
                <w:lang w:val="pt-PT"/>
              </w:rPr>
            </w:pPr>
            <w:r w:rsidRPr="00292532">
              <w:rPr>
                <w:sz w:val="20"/>
                <w:szCs w:val="20"/>
                <w:lang w:val="pt-PT"/>
              </w:rPr>
              <w:t xml:space="preserve">Aumento do volume de tráfego </w:t>
            </w:r>
          </w:p>
        </w:tc>
        <w:tc>
          <w:tcPr>
            <w:tcW w:w="5396" w:type="dxa"/>
          </w:tcPr>
          <w:p w14:paraId="35DC90E4" w14:textId="1505F889"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Veículos alocados aos </w:t>
            </w:r>
            <w:proofErr w:type="spellStart"/>
            <w:r w:rsidRPr="00292532">
              <w:rPr>
                <w:sz w:val="20"/>
                <w:szCs w:val="20"/>
                <w:lang w:val="pt-PT"/>
              </w:rPr>
              <w:t>Projectos</w:t>
            </w:r>
            <w:proofErr w:type="spellEnd"/>
            <w:r w:rsidRPr="00292532">
              <w:rPr>
                <w:sz w:val="20"/>
                <w:szCs w:val="20"/>
                <w:lang w:val="pt-PT"/>
              </w:rPr>
              <w:t xml:space="preserve"> durante a fase construção para o transporte de trabalhadores, bens e equipamentos </w:t>
            </w:r>
          </w:p>
          <w:p w14:paraId="4EAA979D" w14:textId="1CEE60F1"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Circulação de veículos pesados </w:t>
            </w:r>
          </w:p>
        </w:tc>
        <w:tc>
          <w:tcPr>
            <w:tcW w:w="6214" w:type="dxa"/>
          </w:tcPr>
          <w:p w14:paraId="632D0D29" w14:textId="3E96B9C5"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Insegurança, </w:t>
            </w:r>
            <w:proofErr w:type="spellStart"/>
            <w:r w:rsidRPr="00292532">
              <w:rPr>
                <w:sz w:val="20"/>
                <w:szCs w:val="20"/>
                <w:lang w:val="pt-PT"/>
              </w:rPr>
              <w:t>afectando</w:t>
            </w:r>
            <w:proofErr w:type="spellEnd"/>
            <w:r w:rsidRPr="00292532">
              <w:rPr>
                <w:sz w:val="20"/>
                <w:szCs w:val="20"/>
                <w:lang w:val="pt-PT"/>
              </w:rPr>
              <w:t xml:space="preserve"> especialmente as crianças que circulam livremente, principalmente nas zonas rurais</w:t>
            </w:r>
          </w:p>
          <w:p w14:paraId="36B022F8" w14:textId="472B4CC5"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Aumento de ruídos </w:t>
            </w:r>
          </w:p>
          <w:p w14:paraId="56BB555D" w14:textId="5D032092"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Alteração do sentido de tranquilidade das zonas rurais </w:t>
            </w:r>
          </w:p>
          <w:p w14:paraId="629425FF" w14:textId="2E1D5ADF"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Atropelamentos de fauna </w:t>
            </w:r>
          </w:p>
        </w:tc>
      </w:tr>
      <w:tr w:rsidR="009D0486" w:rsidRPr="001E4B2C" w14:paraId="773ADCB1" w14:textId="03A05391" w:rsidTr="004500AE">
        <w:trPr>
          <w:trHeight w:val="517"/>
        </w:trPr>
        <w:tc>
          <w:tcPr>
            <w:cnfStyle w:val="001000000000" w:firstRow="0" w:lastRow="0" w:firstColumn="1" w:lastColumn="0" w:oddVBand="0" w:evenVBand="0" w:oddHBand="0" w:evenHBand="0" w:firstRowFirstColumn="0" w:firstRowLastColumn="0" w:lastRowFirstColumn="0" w:lastRowLastColumn="0"/>
            <w:tcW w:w="1710" w:type="dxa"/>
          </w:tcPr>
          <w:p w14:paraId="681317A5" w14:textId="3190A7F2" w:rsidR="009D0486" w:rsidRPr="00292532" w:rsidRDefault="009D0486" w:rsidP="00ED6B05">
            <w:pPr>
              <w:rPr>
                <w:sz w:val="20"/>
                <w:szCs w:val="20"/>
                <w:lang w:val="pt-PT"/>
              </w:rPr>
            </w:pPr>
            <w:r w:rsidRPr="00292532">
              <w:rPr>
                <w:sz w:val="20"/>
                <w:szCs w:val="20"/>
                <w:lang w:val="pt-PT"/>
              </w:rPr>
              <w:t xml:space="preserve">Interferência com os recursos de património cultural </w:t>
            </w:r>
          </w:p>
        </w:tc>
        <w:tc>
          <w:tcPr>
            <w:tcW w:w="5396" w:type="dxa"/>
          </w:tcPr>
          <w:p w14:paraId="17A39689"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Presença de cemitérios familiares e locais sagrados </w:t>
            </w:r>
          </w:p>
          <w:p w14:paraId="231EE936"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Aquisição de terras pelo </w:t>
            </w:r>
            <w:proofErr w:type="spellStart"/>
            <w:r w:rsidRPr="00292532">
              <w:rPr>
                <w:sz w:val="20"/>
                <w:szCs w:val="20"/>
                <w:lang w:val="pt-PT"/>
              </w:rPr>
              <w:t>Projecto</w:t>
            </w:r>
            <w:proofErr w:type="spellEnd"/>
            <w:r w:rsidRPr="00292532">
              <w:rPr>
                <w:sz w:val="20"/>
                <w:szCs w:val="20"/>
                <w:lang w:val="pt-PT"/>
              </w:rPr>
              <w:t xml:space="preserve"> </w:t>
            </w:r>
          </w:p>
          <w:p w14:paraId="7A60D9FA" w14:textId="252F4E0A"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roofErr w:type="spellStart"/>
            <w:r w:rsidRPr="00292532">
              <w:rPr>
                <w:sz w:val="20"/>
                <w:szCs w:val="20"/>
                <w:lang w:val="pt-PT"/>
              </w:rPr>
              <w:t>Actividades</w:t>
            </w:r>
            <w:proofErr w:type="spellEnd"/>
            <w:r w:rsidRPr="00292532">
              <w:rPr>
                <w:sz w:val="20"/>
                <w:szCs w:val="20"/>
                <w:lang w:val="pt-PT"/>
              </w:rPr>
              <w:t xml:space="preserve"> de escavação durante a fase de construção possível desenterramento de artefactos</w:t>
            </w:r>
          </w:p>
          <w:p w14:paraId="3F7F0F00" w14:textId="78E70864"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Existência de campas ou corpos enterrados não identificados</w:t>
            </w:r>
          </w:p>
        </w:tc>
        <w:tc>
          <w:tcPr>
            <w:tcW w:w="6214" w:type="dxa"/>
          </w:tcPr>
          <w:p w14:paraId="326EF04B"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Interferência com os hábitos culturais pela perda de locais sagrados / locais de culto</w:t>
            </w:r>
          </w:p>
          <w:p w14:paraId="38D0E385"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Não aceitação do </w:t>
            </w:r>
            <w:proofErr w:type="spellStart"/>
            <w:r w:rsidRPr="00292532">
              <w:rPr>
                <w:sz w:val="20"/>
                <w:szCs w:val="20"/>
                <w:lang w:val="pt-PT"/>
              </w:rPr>
              <w:t>projecto</w:t>
            </w:r>
            <w:proofErr w:type="spellEnd"/>
            <w:r w:rsidRPr="00292532">
              <w:rPr>
                <w:sz w:val="20"/>
                <w:szCs w:val="20"/>
                <w:lang w:val="pt-PT"/>
              </w:rPr>
              <w:t xml:space="preserve"> pelas comunidades locais </w:t>
            </w:r>
          </w:p>
          <w:p w14:paraId="30458CE4" w14:textId="02DE4B5D" w:rsidR="009D0486" w:rsidRPr="00292532" w:rsidRDefault="009D0486" w:rsidP="003A3050">
            <w:pPr>
              <w:ind w:left="3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
        </w:tc>
      </w:tr>
      <w:tr w:rsidR="009D0486" w:rsidRPr="00292532" w14:paraId="1F2BBE59" w14:textId="353C1469" w:rsidTr="004500AE">
        <w:trPr>
          <w:trHeight w:val="517"/>
        </w:trPr>
        <w:tc>
          <w:tcPr>
            <w:cnfStyle w:val="001000000000" w:firstRow="0" w:lastRow="0" w:firstColumn="1" w:lastColumn="0" w:oddVBand="0" w:evenVBand="0" w:oddHBand="0" w:evenHBand="0" w:firstRowFirstColumn="0" w:firstRowLastColumn="0" w:lastRowFirstColumn="0" w:lastRowLastColumn="0"/>
            <w:tcW w:w="1710" w:type="dxa"/>
          </w:tcPr>
          <w:p w14:paraId="1376C049" w14:textId="2CE9A8C5" w:rsidR="009D0486" w:rsidRPr="00292532" w:rsidRDefault="009D0486" w:rsidP="00ED6B05">
            <w:pPr>
              <w:rPr>
                <w:sz w:val="20"/>
                <w:szCs w:val="20"/>
                <w:lang w:val="pt-PT"/>
              </w:rPr>
            </w:pPr>
            <w:r w:rsidRPr="00292532">
              <w:rPr>
                <w:sz w:val="20"/>
                <w:szCs w:val="20"/>
                <w:lang w:val="pt-PT"/>
              </w:rPr>
              <w:lastRenderedPageBreak/>
              <w:t>Acidentes rodoviários</w:t>
            </w:r>
          </w:p>
        </w:tc>
        <w:tc>
          <w:tcPr>
            <w:tcW w:w="5396" w:type="dxa"/>
          </w:tcPr>
          <w:p w14:paraId="005BF921"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Veículos alocados aos </w:t>
            </w:r>
            <w:proofErr w:type="spellStart"/>
            <w:r w:rsidRPr="00292532">
              <w:rPr>
                <w:sz w:val="20"/>
                <w:szCs w:val="20"/>
                <w:lang w:val="pt-PT"/>
              </w:rPr>
              <w:t>Projectos</w:t>
            </w:r>
            <w:proofErr w:type="spellEnd"/>
            <w:r w:rsidRPr="00292532">
              <w:rPr>
                <w:sz w:val="20"/>
                <w:szCs w:val="20"/>
                <w:lang w:val="pt-PT"/>
              </w:rPr>
              <w:t xml:space="preserve"> durante a fase construção para o transporte de trabalhadores, bens e equipamentos </w:t>
            </w:r>
          </w:p>
          <w:p w14:paraId="7DDC21C1"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Circulação de veículos pesados</w:t>
            </w:r>
          </w:p>
          <w:p w14:paraId="1318C330"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Fraca sinalização das vias nas zonas rurais e nas pequenas cidades e vilas </w:t>
            </w:r>
          </w:p>
          <w:p w14:paraId="6E1F828C"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Presença de crianças nas vias rodoviárias </w:t>
            </w:r>
          </w:p>
          <w:p w14:paraId="3E0A1D46"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Presença de população não familiarizada com existência de tráfego rodoviário</w:t>
            </w:r>
          </w:p>
          <w:p w14:paraId="4DBB7E25" w14:textId="1B9DC54B"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Não cumprimento dos limites de velocidade </w:t>
            </w:r>
          </w:p>
        </w:tc>
        <w:tc>
          <w:tcPr>
            <w:tcW w:w="6214" w:type="dxa"/>
          </w:tcPr>
          <w:p w14:paraId="6849CF66"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Pressão sobre os serviços de assistência hospitalar em caso de acidentes resultando em feridos</w:t>
            </w:r>
          </w:p>
          <w:p w14:paraId="4C00145D"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Atropelamentos de pessoas resultando em ferimentos ou mortes</w:t>
            </w:r>
          </w:p>
          <w:p w14:paraId="3A1A05D5"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Colisão de veículos e eventuais derrames de combustíveis</w:t>
            </w:r>
          </w:p>
          <w:p w14:paraId="135E9240"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Degradação rodoviária</w:t>
            </w:r>
          </w:p>
          <w:p w14:paraId="2308AEEF" w14:textId="09499E47" w:rsidR="009D0486" w:rsidRPr="00292532" w:rsidRDefault="009D0486" w:rsidP="00710798">
            <w:pPr>
              <w:ind w:left="3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
        </w:tc>
      </w:tr>
      <w:tr w:rsidR="009D0486" w:rsidRPr="00292532" w14:paraId="4230A43F" w14:textId="45466E5B" w:rsidTr="004500AE">
        <w:trPr>
          <w:trHeight w:val="517"/>
        </w:trPr>
        <w:tc>
          <w:tcPr>
            <w:cnfStyle w:val="001000000000" w:firstRow="0" w:lastRow="0" w:firstColumn="1" w:lastColumn="0" w:oddVBand="0" w:evenVBand="0" w:oddHBand="0" w:evenHBand="0" w:firstRowFirstColumn="0" w:firstRowLastColumn="0" w:lastRowFirstColumn="0" w:lastRowLastColumn="0"/>
            <w:tcW w:w="1710" w:type="dxa"/>
          </w:tcPr>
          <w:p w14:paraId="093EEC82" w14:textId="5BFEED06" w:rsidR="009D0486" w:rsidRPr="00292532" w:rsidRDefault="009D0486" w:rsidP="00ED6B05">
            <w:pPr>
              <w:rPr>
                <w:sz w:val="20"/>
                <w:szCs w:val="20"/>
                <w:lang w:val="pt-PT"/>
              </w:rPr>
            </w:pPr>
            <w:r w:rsidRPr="00292532">
              <w:rPr>
                <w:sz w:val="20"/>
                <w:szCs w:val="20"/>
                <w:lang w:val="pt-PT"/>
              </w:rPr>
              <w:t xml:space="preserve">Expropriação de terras </w:t>
            </w:r>
          </w:p>
        </w:tc>
        <w:tc>
          <w:tcPr>
            <w:tcW w:w="5396" w:type="dxa"/>
          </w:tcPr>
          <w:p w14:paraId="2A32C76E" w14:textId="31D94617" w:rsidR="009D0486" w:rsidRPr="00292532" w:rsidRDefault="009D0486" w:rsidP="0024772D">
            <w:pPr>
              <w:pStyle w:val="ListParagraph"/>
              <w:numPr>
                <w:ilvl w:val="0"/>
                <w:numId w:val="31"/>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Aquisição de terras necessárias para acomodar as infraestruturas previstas pelo </w:t>
            </w:r>
            <w:proofErr w:type="spellStart"/>
            <w:r w:rsidRPr="00292532">
              <w:rPr>
                <w:sz w:val="20"/>
                <w:szCs w:val="20"/>
                <w:lang w:val="pt-PT"/>
              </w:rPr>
              <w:t>Projecto</w:t>
            </w:r>
            <w:proofErr w:type="spellEnd"/>
            <w:r w:rsidRPr="00292532">
              <w:rPr>
                <w:sz w:val="20"/>
                <w:szCs w:val="20"/>
                <w:lang w:val="pt-PT"/>
              </w:rPr>
              <w:t xml:space="preserve">. Sendo estas: </w:t>
            </w:r>
          </w:p>
          <w:p w14:paraId="7762BB64" w14:textId="208AFEB0" w:rsidR="009D0486" w:rsidRPr="00292532" w:rsidRDefault="009D0486" w:rsidP="0024772D">
            <w:pPr>
              <w:pStyle w:val="ListParagraph"/>
              <w:numPr>
                <w:ilvl w:val="1"/>
                <w:numId w:val="31"/>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Terras com Direitos de Uso e Aproveitamento de Terras (</w:t>
            </w:r>
            <w:proofErr w:type="spellStart"/>
            <w:r w:rsidRPr="00292532">
              <w:rPr>
                <w:sz w:val="20"/>
                <w:szCs w:val="20"/>
                <w:lang w:val="pt-PT"/>
              </w:rPr>
              <w:t>DUATs</w:t>
            </w:r>
            <w:proofErr w:type="spellEnd"/>
            <w:r w:rsidRPr="00292532">
              <w:rPr>
                <w:sz w:val="20"/>
                <w:szCs w:val="20"/>
                <w:lang w:val="pt-PT"/>
              </w:rPr>
              <w:t xml:space="preserve">) pertencente à privados </w:t>
            </w:r>
          </w:p>
          <w:p w14:paraId="5AEBD3CB" w14:textId="77777777" w:rsidR="009D0486" w:rsidRPr="00292532" w:rsidRDefault="009D0486" w:rsidP="0024772D">
            <w:pPr>
              <w:pStyle w:val="ListParagraph"/>
              <w:numPr>
                <w:ilvl w:val="1"/>
                <w:numId w:val="31"/>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Terras pertencentes a populações locais com direitos costumeiros</w:t>
            </w:r>
          </w:p>
          <w:p w14:paraId="4C9B7830" w14:textId="22D83166" w:rsidR="009D0486" w:rsidRPr="00292532" w:rsidRDefault="009D0486" w:rsidP="0002457B">
            <w:pPr>
              <w:pStyle w:val="ListParagraph"/>
              <w:numPr>
                <w:ilvl w:val="0"/>
                <w:numId w:val="0"/>
              </w:numPr>
              <w:spacing w:after="0"/>
              <w:ind w:left="1080"/>
              <w:cnfStyle w:val="000000000000" w:firstRow="0" w:lastRow="0" w:firstColumn="0" w:lastColumn="0" w:oddVBand="0" w:evenVBand="0" w:oddHBand="0" w:evenHBand="0" w:firstRowFirstColumn="0" w:firstRowLastColumn="0" w:lastRowFirstColumn="0" w:lastRowLastColumn="0"/>
              <w:rPr>
                <w:sz w:val="20"/>
                <w:szCs w:val="20"/>
                <w:lang w:val="pt-PT"/>
              </w:rPr>
            </w:pPr>
          </w:p>
        </w:tc>
        <w:tc>
          <w:tcPr>
            <w:tcW w:w="6214" w:type="dxa"/>
          </w:tcPr>
          <w:p w14:paraId="0323221C"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Reassentamento involuntário  </w:t>
            </w:r>
          </w:p>
          <w:p w14:paraId="75E02DA9"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Perda de terras produtivas (por exemplo, agricultura, pastagem, silvicultura</w:t>
            </w:r>
          </w:p>
          <w:p w14:paraId="3444B405"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Deslocamento de pessoas e famílias</w:t>
            </w:r>
          </w:p>
          <w:p w14:paraId="4ABAE587"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Perda de meios de subsistência locais</w:t>
            </w:r>
          </w:p>
          <w:p w14:paraId="7F045158" w14:textId="6533DCE1"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Perda de locais sagrados e necessidade de transladação de campas</w:t>
            </w:r>
          </w:p>
          <w:p w14:paraId="3E158574"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Perda de </w:t>
            </w:r>
            <w:proofErr w:type="spellStart"/>
            <w:r w:rsidRPr="00292532">
              <w:rPr>
                <w:sz w:val="20"/>
                <w:szCs w:val="20"/>
                <w:lang w:val="pt-PT"/>
              </w:rPr>
              <w:t>DUATs</w:t>
            </w:r>
            <w:proofErr w:type="spellEnd"/>
            <w:r w:rsidRPr="00292532">
              <w:rPr>
                <w:sz w:val="20"/>
                <w:szCs w:val="20"/>
                <w:lang w:val="pt-PT"/>
              </w:rPr>
              <w:t xml:space="preserve"> </w:t>
            </w:r>
          </w:p>
          <w:p w14:paraId="2D7A8EAB" w14:textId="1BCCABD5"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 A perda de acesso à terra agrícolas e de pastagem, que servem de fonte de sustento das populações locais </w:t>
            </w:r>
          </w:p>
          <w:p w14:paraId="34C3ABBC"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Potencial descontentamento e a degradação das condições de vida das comunidades a serem potencialmente reassentadas ou indemnizadas</w:t>
            </w:r>
          </w:p>
          <w:p w14:paraId="6906BA94" w14:textId="6B272DC2"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Potenciais conflitos de terra </w:t>
            </w:r>
          </w:p>
        </w:tc>
      </w:tr>
      <w:tr w:rsidR="009D0486" w:rsidRPr="001E4B2C" w14:paraId="62A3C3D0" w14:textId="5A2B5708" w:rsidTr="004500AE">
        <w:trPr>
          <w:trHeight w:val="517"/>
        </w:trPr>
        <w:tc>
          <w:tcPr>
            <w:cnfStyle w:val="001000000000" w:firstRow="0" w:lastRow="0" w:firstColumn="1" w:lastColumn="0" w:oddVBand="0" w:evenVBand="0" w:oddHBand="0" w:evenHBand="0" w:firstRowFirstColumn="0" w:firstRowLastColumn="0" w:lastRowFirstColumn="0" w:lastRowLastColumn="0"/>
            <w:tcW w:w="1710" w:type="dxa"/>
          </w:tcPr>
          <w:p w14:paraId="5F19CE9D" w14:textId="209B03AB" w:rsidR="009D0486" w:rsidRPr="00292532" w:rsidRDefault="009D0486" w:rsidP="00ED6B05">
            <w:pPr>
              <w:spacing w:after="160"/>
              <w:rPr>
                <w:sz w:val="20"/>
                <w:szCs w:val="20"/>
                <w:lang w:val="pt-PT"/>
              </w:rPr>
            </w:pPr>
            <w:r w:rsidRPr="00292532">
              <w:rPr>
                <w:sz w:val="20"/>
                <w:szCs w:val="20"/>
                <w:lang w:val="pt-PT"/>
              </w:rPr>
              <w:t>Risco de oscilação de preços (inflação) de bens materiais e alimentícios</w:t>
            </w:r>
          </w:p>
        </w:tc>
        <w:tc>
          <w:tcPr>
            <w:tcW w:w="5396" w:type="dxa"/>
          </w:tcPr>
          <w:p w14:paraId="0AFA8582" w14:textId="60E969E8" w:rsidR="009D0486" w:rsidRPr="00292532" w:rsidRDefault="009D0486" w:rsidP="0024772D">
            <w:pPr>
              <w:pStyle w:val="ListParagraph"/>
              <w:numPr>
                <w:ilvl w:val="0"/>
                <w:numId w:val="31"/>
              </w:num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Recrutamento de estrangeiros e pessoal proveniente de outras regiões do País diferentes da área de implementação dos </w:t>
            </w:r>
            <w:proofErr w:type="spellStart"/>
            <w:r w:rsidRPr="00292532">
              <w:rPr>
                <w:sz w:val="20"/>
                <w:szCs w:val="20"/>
                <w:lang w:val="pt-PT"/>
              </w:rPr>
              <w:t>projectos</w:t>
            </w:r>
            <w:proofErr w:type="spellEnd"/>
          </w:p>
          <w:p w14:paraId="1123E75A" w14:textId="2249F9A2" w:rsidR="009D0486" w:rsidRPr="00292532" w:rsidRDefault="009D0486" w:rsidP="003038CB">
            <w:pPr>
              <w:pStyle w:val="ListParagraph"/>
              <w:numPr>
                <w:ilvl w:val="0"/>
                <w:numId w:val="0"/>
              </w:numPr>
              <w:ind w:left="360"/>
              <w:cnfStyle w:val="000000000000" w:firstRow="0" w:lastRow="0" w:firstColumn="0" w:lastColumn="0" w:oddVBand="0" w:evenVBand="0" w:oddHBand="0" w:evenHBand="0" w:firstRowFirstColumn="0" w:firstRowLastColumn="0" w:lastRowFirstColumn="0" w:lastRowLastColumn="0"/>
              <w:rPr>
                <w:sz w:val="20"/>
                <w:szCs w:val="20"/>
                <w:lang w:val="pt-PT"/>
              </w:rPr>
            </w:pPr>
          </w:p>
        </w:tc>
        <w:tc>
          <w:tcPr>
            <w:tcW w:w="6214" w:type="dxa"/>
          </w:tcPr>
          <w:p w14:paraId="2DF672ED" w14:textId="7BD5F131" w:rsidR="009D0486" w:rsidRPr="00292532" w:rsidRDefault="009D0486" w:rsidP="0024772D">
            <w:pPr>
              <w:numPr>
                <w:ilvl w:val="0"/>
                <w:numId w:val="31"/>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Os agregados com baixo rendimento são mais expostos aos impactos da inflação por disporem de menos recursos e probabilidade de poupanças</w:t>
            </w:r>
          </w:p>
        </w:tc>
      </w:tr>
      <w:tr w:rsidR="009D0486" w:rsidRPr="001E4B2C" w14:paraId="5DE486B7" w14:textId="3C95764C" w:rsidTr="004500AE">
        <w:trPr>
          <w:trHeight w:val="517"/>
        </w:trPr>
        <w:tc>
          <w:tcPr>
            <w:cnfStyle w:val="001000000000" w:firstRow="0" w:lastRow="0" w:firstColumn="1" w:lastColumn="0" w:oddVBand="0" w:evenVBand="0" w:oddHBand="0" w:evenHBand="0" w:firstRowFirstColumn="0" w:firstRowLastColumn="0" w:lastRowFirstColumn="0" w:lastRowLastColumn="0"/>
            <w:tcW w:w="1710" w:type="dxa"/>
          </w:tcPr>
          <w:p w14:paraId="3F9BFAF9" w14:textId="6671D3CD" w:rsidR="009D0486" w:rsidRPr="00292532" w:rsidRDefault="009D0486" w:rsidP="00ED6B05">
            <w:pPr>
              <w:rPr>
                <w:sz w:val="20"/>
                <w:szCs w:val="20"/>
                <w:lang w:val="pt-PT"/>
              </w:rPr>
            </w:pPr>
            <w:r w:rsidRPr="00292532">
              <w:rPr>
                <w:sz w:val="20"/>
                <w:szCs w:val="20"/>
                <w:lang w:val="pt-PT"/>
              </w:rPr>
              <w:lastRenderedPageBreak/>
              <w:t>Aumento de ocorrências criminais</w:t>
            </w:r>
          </w:p>
        </w:tc>
        <w:tc>
          <w:tcPr>
            <w:tcW w:w="5396" w:type="dxa"/>
          </w:tcPr>
          <w:p w14:paraId="4E2619D3"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Presença de imigrantes na região trabalhadores provenientes de outras regiões do País e estrangeiros </w:t>
            </w:r>
          </w:p>
          <w:p w14:paraId="3ECAD3BF"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Desigualdades sociais (melhores condições para os trabalhadores do </w:t>
            </w:r>
            <w:proofErr w:type="spellStart"/>
            <w:r w:rsidRPr="00292532">
              <w:rPr>
                <w:sz w:val="20"/>
                <w:szCs w:val="20"/>
                <w:lang w:val="pt-PT"/>
              </w:rPr>
              <w:t>Projecto</w:t>
            </w:r>
            <w:proofErr w:type="spellEnd"/>
            <w:r w:rsidRPr="00292532">
              <w:rPr>
                <w:sz w:val="20"/>
                <w:szCs w:val="20"/>
                <w:lang w:val="pt-PT"/>
              </w:rPr>
              <w:t xml:space="preserve"> e presença de população pobre) </w:t>
            </w:r>
          </w:p>
          <w:p w14:paraId="5DF7F853" w14:textId="35F186AB" w:rsidR="009D0486" w:rsidRPr="00292532" w:rsidRDefault="009D0486" w:rsidP="007A1525">
            <w:pPr>
              <w:ind w:left="3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
        </w:tc>
        <w:tc>
          <w:tcPr>
            <w:tcW w:w="6214" w:type="dxa"/>
          </w:tcPr>
          <w:p w14:paraId="311AF2AB"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Criação de um ambiente de medo, insegurança e desconfiança no seio da população </w:t>
            </w:r>
          </w:p>
          <w:p w14:paraId="2CB88DA0" w14:textId="250E148F"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Perda de bens pertencentes ao </w:t>
            </w:r>
            <w:proofErr w:type="spellStart"/>
            <w:r w:rsidRPr="00292532">
              <w:rPr>
                <w:sz w:val="20"/>
                <w:szCs w:val="20"/>
                <w:lang w:val="pt-PT"/>
              </w:rPr>
              <w:t>Projecto</w:t>
            </w:r>
            <w:proofErr w:type="spellEnd"/>
            <w:r w:rsidRPr="00292532">
              <w:rPr>
                <w:sz w:val="20"/>
                <w:szCs w:val="20"/>
                <w:lang w:val="pt-PT"/>
              </w:rPr>
              <w:t xml:space="preserve"> </w:t>
            </w:r>
          </w:p>
          <w:p w14:paraId="1D0C4422"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Perda de bens</w:t>
            </w:r>
          </w:p>
          <w:p w14:paraId="7E38A37A" w14:textId="176D0D5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Revolta, por expectativas de emprego não satisfeitas pelo </w:t>
            </w:r>
            <w:proofErr w:type="spellStart"/>
            <w:r w:rsidRPr="00292532">
              <w:rPr>
                <w:sz w:val="20"/>
                <w:szCs w:val="20"/>
                <w:lang w:val="pt-PT"/>
              </w:rPr>
              <w:t>Projecto</w:t>
            </w:r>
            <w:proofErr w:type="spellEnd"/>
          </w:p>
        </w:tc>
      </w:tr>
      <w:tr w:rsidR="009D0486" w:rsidRPr="001E4B2C" w14:paraId="3D550B83" w14:textId="7D443589" w:rsidTr="004500AE">
        <w:trPr>
          <w:trHeight w:val="517"/>
        </w:trPr>
        <w:tc>
          <w:tcPr>
            <w:cnfStyle w:val="001000000000" w:firstRow="0" w:lastRow="0" w:firstColumn="1" w:lastColumn="0" w:oddVBand="0" w:evenVBand="0" w:oddHBand="0" w:evenHBand="0" w:firstRowFirstColumn="0" w:firstRowLastColumn="0" w:lastRowFirstColumn="0" w:lastRowLastColumn="0"/>
            <w:tcW w:w="1710" w:type="dxa"/>
          </w:tcPr>
          <w:p w14:paraId="1C002E5D" w14:textId="0A87DF1C" w:rsidR="009D0486" w:rsidRPr="00292532" w:rsidRDefault="009D0486" w:rsidP="00ED6B05">
            <w:pPr>
              <w:rPr>
                <w:sz w:val="20"/>
                <w:szCs w:val="20"/>
                <w:lang w:val="pt-PT"/>
              </w:rPr>
            </w:pPr>
            <w:r w:rsidRPr="00292532">
              <w:rPr>
                <w:sz w:val="20"/>
                <w:szCs w:val="20"/>
                <w:lang w:val="pt-PT"/>
              </w:rPr>
              <w:t xml:space="preserve">Insatisfação por parte das populações sobre o </w:t>
            </w:r>
            <w:proofErr w:type="spellStart"/>
            <w:r w:rsidRPr="00292532">
              <w:rPr>
                <w:sz w:val="20"/>
                <w:szCs w:val="20"/>
                <w:lang w:val="pt-PT"/>
              </w:rPr>
              <w:t>Projecto</w:t>
            </w:r>
            <w:proofErr w:type="spellEnd"/>
          </w:p>
        </w:tc>
        <w:tc>
          <w:tcPr>
            <w:tcW w:w="5396" w:type="dxa"/>
          </w:tcPr>
          <w:p w14:paraId="50B6E62A" w14:textId="0DC8287D"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Baixos níveis salariais a serem aplicados pelas contratadas </w:t>
            </w:r>
          </w:p>
          <w:p w14:paraId="3D404E29"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Carácter temporário das oportunidades de emprego</w:t>
            </w:r>
          </w:p>
          <w:p w14:paraId="7662BAA3"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Programas do </w:t>
            </w:r>
            <w:proofErr w:type="spellStart"/>
            <w:r w:rsidRPr="00292532">
              <w:rPr>
                <w:sz w:val="20"/>
                <w:szCs w:val="20"/>
                <w:lang w:val="pt-PT"/>
              </w:rPr>
              <w:t>Projecto</w:t>
            </w:r>
            <w:proofErr w:type="spellEnd"/>
            <w:r w:rsidRPr="00292532">
              <w:rPr>
                <w:sz w:val="20"/>
                <w:szCs w:val="20"/>
                <w:lang w:val="pt-PT"/>
              </w:rPr>
              <w:t xml:space="preserve"> (e contratadas) para aumento das oportunidades da comunidade local </w:t>
            </w:r>
          </w:p>
          <w:p w14:paraId="4DFF7476" w14:textId="0951D53D"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Elevado nível de desemprego e presença de refugiados </w:t>
            </w:r>
          </w:p>
        </w:tc>
        <w:tc>
          <w:tcPr>
            <w:tcW w:w="6214" w:type="dxa"/>
          </w:tcPr>
          <w:p w14:paraId="4F544806"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Não aceitação do </w:t>
            </w:r>
            <w:proofErr w:type="spellStart"/>
            <w:r w:rsidRPr="00292532">
              <w:rPr>
                <w:sz w:val="20"/>
                <w:szCs w:val="20"/>
                <w:lang w:val="pt-PT"/>
              </w:rPr>
              <w:t>Projecto</w:t>
            </w:r>
            <w:proofErr w:type="spellEnd"/>
            <w:r w:rsidRPr="00292532">
              <w:rPr>
                <w:sz w:val="20"/>
                <w:szCs w:val="20"/>
                <w:lang w:val="pt-PT"/>
              </w:rPr>
              <w:t xml:space="preserve"> por parte das populações locais </w:t>
            </w:r>
          </w:p>
          <w:p w14:paraId="21B0B289"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Sabotagens às infraestruturas e equipamentos do </w:t>
            </w:r>
            <w:proofErr w:type="spellStart"/>
            <w:r w:rsidRPr="00292532">
              <w:rPr>
                <w:sz w:val="20"/>
                <w:szCs w:val="20"/>
                <w:lang w:val="pt-PT"/>
              </w:rPr>
              <w:t>Projecto</w:t>
            </w:r>
            <w:proofErr w:type="spellEnd"/>
            <w:r w:rsidRPr="00292532">
              <w:rPr>
                <w:sz w:val="20"/>
                <w:szCs w:val="20"/>
                <w:lang w:val="pt-PT"/>
              </w:rPr>
              <w:t xml:space="preserve"> </w:t>
            </w:r>
          </w:p>
          <w:p w14:paraId="5E0D3FCA" w14:textId="56362272"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Retaliações e interrupções das </w:t>
            </w:r>
            <w:proofErr w:type="spellStart"/>
            <w:r w:rsidRPr="00292532">
              <w:rPr>
                <w:sz w:val="20"/>
                <w:szCs w:val="20"/>
                <w:lang w:val="pt-PT"/>
              </w:rPr>
              <w:t>actividades</w:t>
            </w:r>
            <w:proofErr w:type="spellEnd"/>
            <w:r w:rsidRPr="00292532">
              <w:rPr>
                <w:sz w:val="20"/>
                <w:szCs w:val="20"/>
                <w:lang w:val="pt-PT"/>
              </w:rPr>
              <w:t xml:space="preserve"> </w:t>
            </w:r>
          </w:p>
        </w:tc>
      </w:tr>
      <w:tr w:rsidR="009D0486" w:rsidRPr="001E4B2C" w14:paraId="53187A26" w14:textId="301BD596" w:rsidTr="004500AE">
        <w:trPr>
          <w:trHeight w:val="517"/>
        </w:trPr>
        <w:tc>
          <w:tcPr>
            <w:cnfStyle w:val="001000000000" w:firstRow="0" w:lastRow="0" w:firstColumn="1" w:lastColumn="0" w:oddVBand="0" w:evenVBand="0" w:oddHBand="0" w:evenHBand="0" w:firstRowFirstColumn="0" w:firstRowLastColumn="0" w:lastRowFirstColumn="0" w:lastRowLastColumn="0"/>
            <w:tcW w:w="1710" w:type="dxa"/>
          </w:tcPr>
          <w:p w14:paraId="23DF9807" w14:textId="35F18904" w:rsidR="009D0486" w:rsidRPr="00292532" w:rsidRDefault="009D0486" w:rsidP="00ED6B05">
            <w:pPr>
              <w:rPr>
                <w:sz w:val="20"/>
                <w:szCs w:val="20"/>
                <w:lang w:val="pt-PT"/>
              </w:rPr>
            </w:pPr>
            <w:r w:rsidRPr="00292532">
              <w:rPr>
                <w:sz w:val="20"/>
                <w:szCs w:val="20"/>
                <w:lang w:val="pt-PT"/>
              </w:rPr>
              <w:t xml:space="preserve">Desmobilização de trabalhadores </w:t>
            </w:r>
          </w:p>
        </w:tc>
        <w:tc>
          <w:tcPr>
            <w:tcW w:w="5396" w:type="dxa"/>
          </w:tcPr>
          <w:p w14:paraId="4184C2DF"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Natureza temporária das </w:t>
            </w:r>
            <w:proofErr w:type="spellStart"/>
            <w:r w:rsidRPr="00292532">
              <w:rPr>
                <w:sz w:val="20"/>
                <w:szCs w:val="20"/>
                <w:lang w:val="pt-PT"/>
              </w:rPr>
              <w:t>actividades</w:t>
            </w:r>
            <w:proofErr w:type="spellEnd"/>
            <w:r w:rsidRPr="00292532">
              <w:rPr>
                <w:sz w:val="20"/>
                <w:szCs w:val="20"/>
                <w:lang w:val="pt-PT"/>
              </w:rPr>
              <w:t xml:space="preserve"> previstas (construção)</w:t>
            </w:r>
          </w:p>
          <w:p w14:paraId="53D80F19" w14:textId="52C5F922"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Fraca clareza e comunicação sobre os termos de contratação </w:t>
            </w:r>
          </w:p>
        </w:tc>
        <w:tc>
          <w:tcPr>
            <w:tcW w:w="6214" w:type="dxa"/>
          </w:tcPr>
          <w:p w14:paraId="2569F95F"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Perda de renda </w:t>
            </w:r>
          </w:p>
          <w:p w14:paraId="6DF4601F" w14:textId="0912C88E"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Insatisfação por parte dos trabalhadores desmobilizados </w:t>
            </w:r>
          </w:p>
        </w:tc>
      </w:tr>
      <w:tr w:rsidR="009D0486" w:rsidRPr="001E4B2C" w14:paraId="3A2D9298" w14:textId="70578882" w:rsidTr="004500AE">
        <w:trPr>
          <w:trHeight w:val="517"/>
        </w:trPr>
        <w:tc>
          <w:tcPr>
            <w:cnfStyle w:val="001000000000" w:firstRow="0" w:lastRow="0" w:firstColumn="1" w:lastColumn="0" w:oddVBand="0" w:evenVBand="0" w:oddHBand="0" w:evenHBand="0" w:firstRowFirstColumn="0" w:firstRowLastColumn="0" w:lastRowFirstColumn="0" w:lastRowLastColumn="0"/>
            <w:tcW w:w="1710" w:type="dxa"/>
          </w:tcPr>
          <w:p w14:paraId="329D1CA4" w14:textId="79FB041E" w:rsidR="009D0486" w:rsidRPr="00292532" w:rsidRDefault="009D0486" w:rsidP="00ED6B05">
            <w:pPr>
              <w:rPr>
                <w:sz w:val="20"/>
                <w:szCs w:val="20"/>
                <w:lang w:val="pt-PT"/>
              </w:rPr>
            </w:pPr>
            <w:r w:rsidRPr="00292532">
              <w:rPr>
                <w:sz w:val="20"/>
                <w:szCs w:val="20"/>
                <w:lang w:val="pt-PT"/>
              </w:rPr>
              <w:t xml:space="preserve">Geração de expectativas, insegurança e ansiedade da população em relação ao </w:t>
            </w:r>
            <w:proofErr w:type="spellStart"/>
            <w:r w:rsidRPr="00292532">
              <w:rPr>
                <w:sz w:val="20"/>
                <w:szCs w:val="20"/>
                <w:lang w:val="pt-PT"/>
              </w:rPr>
              <w:t>Projecto</w:t>
            </w:r>
            <w:proofErr w:type="spellEnd"/>
          </w:p>
        </w:tc>
        <w:tc>
          <w:tcPr>
            <w:tcW w:w="5396" w:type="dxa"/>
          </w:tcPr>
          <w:p w14:paraId="2F2409D4" w14:textId="00E8037D"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roofErr w:type="spellStart"/>
            <w:r w:rsidRPr="00292532">
              <w:rPr>
                <w:sz w:val="20"/>
                <w:szCs w:val="20"/>
                <w:lang w:val="pt-PT"/>
              </w:rPr>
              <w:t>Projectos</w:t>
            </w:r>
            <w:proofErr w:type="spellEnd"/>
            <w:r w:rsidRPr="00292532">
              <w:rPr>
                <w:sz w:val="20"/>
                <w:szCs w:val="20"/>
                <w:lang w:val="pt-PT"/>
              </w:rPr>
              <w:t xml:space="preserve"> concebidos para beneficiar as populações, criando expectativas logo a partida por parte das populações com carência de água  </w:t>
            </w:r>
          </w:p>
          <w:p w14:paraId="217C92F3" w14:textId="5BF2EF90"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Presença de refugiados/deslocados provenientes de Cabo-Delgado, que já apresentam um sentimento de medo e insegurança pelos traumas vividos</w:t>
            </w:r>
          </w:p>
          <w:p w14:paraId="759FEFFA"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Atrasos na implementação do </w:t>
            </w:r>
            <w:proofErr w:type="spellStart"/>
            <w:r w:rsidRPr="00292532">
              <w:rPr>
                <w:sz w:val="20"/>
                <w:szCs w:val="20"/>
                <w:lang w:val="pt-PT"/>
              </w:rPr>
              <w:t>Projecto</w:t>
            </w:r>
            <w:proofErr w:type="spellEnd"/>
            <w:r w:rsidRPr="00292532">
              <w:rPr>
                <w:sz w:val="20"/>
                <w:szCs w:val="20"/>
                <w:lang w:val="pt-PT"/>
              </w:rPr>
              <w:t xml:space="preserve"> </w:t>
            </w:r>
          </w:p>
          <w:p w14:paraId="75CC981F" w14:textId="77777777"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Expectativas de emprego e de melhorias de vida </w:t>
            </w:r>
          </w:p>
          <w:p w14:paraId="50607FF1" w14:textId="5723BAAB" w:rsidR="009D0486" w:rsidRPr="00292532" w:rsidRDefault="009D0486" w:rsidP="0024772D">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Desmobilização de trabalhadores após conclusão das intervenções de construção/reabilitação</w:t>
            </w:r>
          </w:p>
        </w:tc>
        <w:tc>
          <w:tcPr>
            <w:tcW w:w="6214" w:type="dxa"/>
          </w:tcPr>
          <w:p w14:paraId="1F185B42"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Expectativas não satisfeitas </w:t>
            </w:r>
          </w:p>
          <w:p w14:paraId="40933EB0" w14:textId="77777777"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Reivindicações contra o </w:t>
            </w:r>
            <w:proofErr w:type="spellStart"/>
            <w:r w:rsidRPr="00292532">
              <w:rPr>
                <w:sz w:val="20"/>
                <w:szCs w:val="20"/>
                <w:lang w:val="pt-PT"/>
              </w:rPr>
              <w:t>Projecto</w:t>
            </w:r>
            <w:proofErr w:type="spellEnd"/>
            <w:r w:rsidRPr="00292532">
              <w:rPr>
                <w:sz w:val="20"/>
                <w:szCs w:val="20"/>
                <w:lang w:val="pt-PT"/>
              </w:rPr>
              <w:t xml:space="preserve"> </w:t>
            </w:r>
          </w:p>
          <w:p w14:paraId="75C24DBF" w14:textId="4577DD02" w:rsidR="009D0486" w:rsidRPr="00292532" w:rsidRDefault="009D0486" w:rsidP="0024772D">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Sabotagens dos equipamentos e materiais durante a fase de construção </w:t>
            </w:r>
          </w:p>
        </w:tc>
      </w:tr>
    </w:tbl>
    <w:p w14:paraId="3C7E1CC8" w14:textId="564B69BE" w:rsidR="0002457B" w:rsidRPr="00292532" w:rsidRDefault="0002457B" w:rsidP="0002457B">
      <w:pPr>
        <w:pStyle w:val="Caption"/>
      </w:pPr>
    </w:p>
    <w:p w14:paraId="26248A99" w14:textId="729372AD" w:rsidR="00F42690" w:rsidRPr="00292532" w:rsidRDefault="00930429" w:rsidP="00930429">
      <w:pPr>
        <w:rPr>
          <w:lang w:val="pt-PT" w:eastAsia="ja-JP"/>
        </w:rPr>
      </w:pPr>
      <w:bookmarkStart w:id="196" w:name="_Hlk75443276"/>
      <w:r w:rsidRPr="00292532">
        <w:rPr>
          <w:lang w:val="pt-PT" w:eastAsia="ja-JP"/>
        </w:rPr>
        <w:t xml:space="preserve">Os impactos sociais na fase de operações são maioritariamente positivos, resultante do fornecimento de águas às populações nas pequenas cidades, vilas e </w:t>
      </w:r>
      <w:r w:rsidR="00C96AC4" w:rsidRPr="00292532">
        <w:rPr>
          <w:lang w:val="pt-PT" w:eastAsia="ja-JP"/>
        </w:rPr>
        <w:t>localidades e</w:t>
      </w:r>
      <w:r w:rsidRPr="00292532">
        <w:rPr>
          <w:lang w:val="pt-PT" w:eastAsia="ja-JP"/>
        </w:rPr>
        <w:t xml:space="preserve"> provisão de serviços de saneamento nas pequenas cidades e vilas</w:t>
      </w:r>
      <w:bookmarkEnd w:id="196"/>
      <w:r w:rsidRPr="00292532">
        <w:rPr>
          <w:lang w:val="pt-PT" w:eastAsia="ja-JP"/>
        </w:rPr>
        <w:t xml:space="preserve">. Os impactos positivos relativos à esta fase, estão identificados na </w:t>
      </w:r>
      <w:r w:rsidRPr="00292532">
        <w:rPr>
          <w:b/>
          <w:bCs/>
          <w:lang w:val="pt-PT" w:eastAsia="ja-JP"/>
        </w:rPr>
        <w:fldChar w:fldCharType="begin"/>
      </w:r>
      <w:r w:rsidRPr="00292532">
        <w:rPr>
          <w:b/>
          <w:bCs/>
          <w:lang w:val="pt-PT" w:eastAsia="ja-JP"/>
        </w:rPr>
        <w:instrText xml:space="preserve"> REF _Ref73148850 \h  \* MERGEFORMAT </w:instrText>
      </w:r>
      <w:r w:rsidRPr="00292532">
        <w:rPr>
          <w:b/>
          <w:bCs/>
          <w:lang w:val="pt-PT" w:eastAsia="ja-JP"/>
        </w:rPr>
      </w:r>
      <w:r w:rsidRPr="00292532">
        <w:rPr>
          <w:b/>
          <w:bCs/>
          <w:lang w:val="pt-PT" w:eastAsia="ja-JP"/>
        </w:rPr>
        <w:fldChar w:fldCharType="separate"/>
      </w:r>
      <w:r w:rsidRPr="00292532">
        <w:rPr>
          <w:b/>
          <w:bCs/>
          <w:lang w:val="pt-PT"/>
        </w:rPr>
        <w:t xml:space="preserve">Tabela </w:t>
      </w:r>
      <w:r w:rsidRPr="00292532">
        <w:rPr>
          <w:b/>
          <w:bCs/>
          <w:noProof/>
          <w:lang w:val="pt-PT"/>
        </w:rPr>
        <w:t>18</w:t>
      </w:r>
      <w:r w:rsidRPr="00292532">
        <w:rPr>
          <w:b/>
          <w:bCs/>
          <w:lang w:val="pt-PT" w:eastAsia="ja-JP"/>
        </w:rPr>
        <w:fldChar w:fldCharType="end"/>
      </w:r>
      <w:r w:rsidRPr="00292532">
        <w:rPr>
          <w:lang w:val="pt-PT" w:eastAsia="ja-JP"/>
        </w:rPr>
        <w:t xml:space="preserve"> – Oportunidades e Impactos Positivos do </w:t>
      </w:r>
      <w:proofErr w:type="spellStart"/>
      <w:r w:rsidRPr="00292532">
        <w:rPr>
          <w:lang w:val="pt-PT" w:eastAsia="ja-JP"/>
        </w:rPr>
        <w:t>Projecto</w:t>
      </w:r>
      <w:proofErr w:type="spellEnd"/>
      <w:r w:rsidRPr="00292532">
        <w:rPr>
          <w:lang w:val="pt-PT" w:eastAsia="ja-JP"/>
        </w:rPr>
        <w:t xml:space="preserve">. </w:t>
      </w:r>
    </w:p>
    <w:p w14:paraId="1F6F84F3" w14:textId="2A3D77C1" w:rsidR="00F05E86" w:rsidRPr="00292532" w:rsidRDefault="00F05E86">
      <w:pPr>
        <w:pStyle w:val="Heading3"/>
      </w:pPr>
      <w:bookmarkStart w:id="197" w:name="_Toc80379969"/>
      <w:r w:rsidRPr="00292532">
        <w:lastRenderedPageBreak/>
        <w:t xml:space="preserve">Oportunidades e impactos ambientais e sociais do </w:t>
      </w:r>
      <w:proofErr w:type="spellStart"/>
      <w:r w:rsidRPr="00292532">
        <w:t>Projecto</w:t>
      </w:r>
      <w:bookmarkEnd w:id="197"/>
      <w:proofErr w:type="spellEnd"/>
    </w:p>
    <w:p w14:paraId="43BB8C7A" w14:textId="69F724E6" w:rsidR="00F05E86" w:rsidRPr="00292532" w:rsidRDefault="00F05E86" w:rsidP="00F05E86">
      <w:pPr>
        <w:pStyle w:val="Caption"/>
      </w:pPr>
      <w:bookmarkStart w:id="198" w:name="_Toc75438162"/>
      <w:bookmarkStart w:id="199" w:name="_Toc80380268"/>
      <w:r w:rsidRPr="00292532">
        <w:t xml:space="preserve">Tabela </w:t>
      </w:r>
      <w:r w:rsidRPr="00292532">
        <w:fldChar w:fldCharType="begin"/>
      </w:r>
      <w:r w:rsidRPr="00292532">
        <w:instrText xml:space="preserve"> SEQ Tabela \* ARABIC </w:instrText>
      </w:r>
      <w:r w:rsidRPr="00292532">
        <w:fldChar w:fldCharType="separate"/>
      </w:r>
      <w:r w:rsidR="00C25AEB" w:rsidRPr="00292532">
        <w:rPr>
          <w:noProof/>
        </w:rPr>
        <w:t>21</w:t>
      </w:r>
      <w:r w:rsidRPr="00292532">
        <w:fldChar w:fldCharType="end"/>
      </w:r>
      <w:r w:rsidRPr="00292532">
        <w:t xml:space="preserve">: Oportunidades e Impactos Positivos do </w:t>
      </w:r>
      <w:proofErr w:type="spellStart"/>
      <w:r w:rsidRPr="00292532">
        <w:t>Projecto</w:t>
      </w:r>
      <w:bookmarkEnd w:id="198"/>
      <w:bookmarkEnd w:id="199"/>
      <w:proofErr w:type="spellEnd"/>
      <w:r w:rsidRPr="00292532">
        <w:t xml:space="preserve"> </w:t>
      </w:r>
    </w:p>
    <w:tbl>
      <w:tblPr>
        <w:tblStyle w:val="GridTable1Light-Accent14"/>
        <w:tblW w:w="12690" w:type="dxa"/>
        <w:tblInd w:w="985" w:type="dxa"/>
        <w:tblLayout w:type="fixed"/>
        <w:tblLook w:val="04A0" w:firstRow="1" w:lastRow="0" w:firstColumn="1" w:lastColumn="0" w:noHBand="0" w:noVBand="1"/>
      </w:tblPr>
      <w:tblGrid>
        <w:gridCol w:w="3780"/>
        <w:gridCol w:w="4500"/>
        <w:gridCol w:w="4410"/>
      </w:tblGrid>
      <w:tr w:rsidR="00F05E86" w:rsidRPr="00292532" w14:paraId="5AD527C3" w14:textId="77777777" w:rsidTr="006071CF">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0" w:type="dxa"/>
            <w:shd w:val="clear" w:color="auto" w:fill="D9E2F3" w:themeFill="accent1" w:themeFillTint="33"/>
          </w:tcPr>
          <w:p w14:paraId="0D08FD30" w14:textId="77777777" w:rsidR="00F05E86" w:rsidRPr="00292532" w:rsidRDefault="00F05E86" w:rsidP="006071CF">
            <w:pPr>
              <w:jc w:val="center"/>
              <w:rPr>
                <w:sz w:val="20"/>
                <w:szCs w:val="20"/>
                <w:lang w:val="pt-PT"/>
              </w:rPr>
            </w:pPr>
            <w:r w:rsidRPr="00292532">
              <w:rPr>
                <w:sz w:val="20"/>
                <w:szCs w:val="20"/>
                <w:lang w:val="pt-PT"/>
              </w:rPr>
              <w:t>Oportunidades</w:t>
            </w:r>
          </w:p>
        </w:tc>
        <w:tc>
          <w:tcPr>
            <w:tcW w:w="0" w:type="dxa"/>
            <w:shd w:val="clear" w:color="auto" w:fill="D9E2F3" w:themeFill="accent1" w:themeFillTint="33"/>
          </w:tcPr>
          <w:p w14:paraId="2CE5DE40" w14:textId="77777777" w:rsidR="00F05E86" w:rsidRPr="00292532" w:rsidRDefault="00F05E86" w:rsidP="006071CF">
            <w:pPr>
              <w:jc w:val="center"/>
              <w:cnfStyle w:val="100000000000" w:firstRow="1"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Causas</w:t>
            </w:r>
          </w:p>
        </w:tc>
        <w:tc>
          <w:tcPr>
            <w:tcW w:w="0" w:type="dxa"/>
            <w:shd w:val="clear" w:color="auto" w:fill="D9E2F3" w:themeFill="accent1" w:themeFillTint="33"/>
          </w:tcPr>
          <w:p w14:paraId="098BFF7E" w14:textId="77777777" w:rsidR="00F05E86" w:rsidRPr="00292532" w:rsidRDefault="00F05E86" w:rsidP="006071CF">
            <w:pPr>
              <w:jc w:val="center"/>
              <w:cnfStyle w:val="100000000000" w:firstRow="1"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Impactos Positivos </w:t>
            </w:r>
          </w:p>
        </w:tc>
      </w:tr>
      <w:tr w:rsidR="00F05E86" w:rsidRPr="00292532" w14:paraId="0501F72F" w14:textId="77777777" w:rsidTr="006071CF">
        <w:trPr>
          <w:trHeight w:val="517"/>
        </w:trPr>
        <w:tc>
          <w:tcPr>
            <w:cnfStyle w:val="001000000000" w:firstRow="0" w:lastRow="0" w:firstColumn="1" w:lastColumn="0" w:oddVBand="0" w:evenVBand="0" w:oddHBand="0" w:evenHBand="0" w:firstRowFirstColumn="0" w:firstRowLastColumn="0" w:lastRowFirstColumn="0" w:lastRowLastColumn="0"/>
            <w:tcW w:w="12690" w:type="dxa"/>
            <w:gridSpan w:val="3"/>
          </w:tcPr>
          <w:p w14:paraId="3E635D60" w14:textId="77777777" w:rsidR="00F05E86" w:rsidRPr="00292532" w:rsidRDefault="00F05E86" w:rsidP="006071CF">
            <w:pPr>
              <w:jc w:val="center"/>
              <w:rPr>
                <w:sz w:val="20"/>
                <w:szCs w:val="20"/>
                <w:lang w:val="pt-PT"/>
              </w:rPr>
            </w:pPr>
            <w:r w:rsidRPr="00292532">
              <w:rPr>
                <w:sz w:val="20"/>
                <w:szCs w:val="20"/>
                <w:lang w:val="pt-PT"/>
              </w:rPr>
              <w:t>Fase de Construção</w:t>
            </w:r>
          </w:p>
        </w:tc>
      </w:tr>
      <w:tr w:rsidR="00F05E86" w:rsidRPr="001E4B2C" w14:paraId="3BC46484" w14:textId="77777777" w:rsidTr="006071CF">
        <w:trPr>
          <w:trHeight w:val="517"/>
        </w:trPr>
        <w:tc>
          <w:tcPr>
            <w:cnfStyle w:val="001000000000" w:firstRow="0" w:lastRow="0" w:firstColumn="1" w:lastColumn="0" w:oddVBand="0" w:evenVBand="0" w:oddHBand="0" w:evenHBand="0" w:firstRowFirstColumn="0" w:firstRowLastColumn="0" w:lastRowFirstColumn="0" w:lastRowLastColumn="0"/>
            <w:tcW w:w="3780" w:type="dxa"/>
          </w:tcPr>
          <w:p w14:paraId="3774683E" w14:textId="77777777" w:rsidR="00F05E86" w:rsidRPr="00292532" w:rsidRDefault="00F05E86" w:rsidP="006071CF">
            <w:pPr>
              <w:rPr>
                <w:sz w:val="20"/>
                <w:szCs w:val="20"/>
                <w:lang w:val="pt-PT"/>
              </w:rPr>
            </w:pPr>
            <w:bookmarkStart w:id="200" w:name="_Hlk75443322"/>
            <w:r w:rsidRPr="00292532">
              <w:rPr>
                <w:sz w:val="20"/>
                <w:szCs w:val="20"/>
                <w:lang w:val="pt-PT"/>
              </w:rPr>
              <w:t>Aumento da arrecadação fiscal</w:t>
            </w:r>
          </w:p>
        </w:tc>
        <w:tc>
          <w:tcPr>
            <w:tcW w:w="4500" w:type="dxa"/>
          </w:tcPr>
          <w:p w14:paraId="07CFE5C6" w14:textId="77777777" w:rsidR="00F05E86" w:rsidRPr="00292532" w:rsidRDefault="00F05E86" w:rsidP="006071CF">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Durante a fase de construção, impostos pagos pelos trabalhadores do </w:t>
            </w:r>
            <w:proofErr w:type="spellStart"/>
            <w:r w:rsidRPr="00292532">
              <w:rPr>
                <w:sz w:val="20"/>
                <w:szCs w:val="20"/>
                <w:lang w:val="pt-PT"/>
              </w:rPr>
              <w:t>Projecto</w:t>
            </w:r>
            <w:proofErr w:type="spellEnd"/>
            <w:r w:rsidRPr="00292532">
              <w:rPr>
                <w:sz w:val="20"/>
                <w:szCs w:val="20"/>
                <w:lang w:val="pt-PT"/>
              </w:rPr>
              <w:t xml:space="preserve"> e despesas para conteúdo local tributadas através da empresa</w:t>
            </w:r>
          </w:p>
        </w:tc>
        <w:tc>
          <w:tcPr>
            <w:tcW w:w="4410" w:type="dxa"/>
          </w:tcPr>
          <w:p w14:paraId="4DAE88D6" w14:textId="77777777" w:rsidR="00F05E86" w:rsidRPr="00292532" w:rsidRDefault="00F05E86" w:rsidP="006071CF">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Desenvolvimento da economia local e regional</w:t>
            </w:r>
          </w:p>
        </w:tc>
      </w:tr>
      <w:tr w:rsidR="00F05E86" w:rsidRPr="001E4B2C" w14:paraId="48D0637D" w14:textId="77777777" w:rsidTr="006071CF">
        <w:trPr>
          <w:trHeight w:val="517"/>
        </w:trPr>
        <w:tc>
          <w:tcPr>
            <w:cnfStyle w:val="001000000000" w:firstRow="0" w:lastRow="0" w:firstColumn="1" w:lastColumn="0" w:oddVBand="0" w:evenVBand="0" w:oddHBand="0" w:evenHBand="0" w:firstRowFirstColumn="0" w:firstRowLastColumn="0" w:lastRowFirstColumn="0" w:lastRowLastColumn="0"/>
            <w:tcW w:w="3780" w:type="dxa"/>
          </w:tcPr>
          <w:p w14:paraId="7850EF92" w14:textId="77777777" w:rsidR="00F05E86" w:rsidRPr="00292532" w:rsidRDefault="00F05E86" w:rsidP="006071CF">
            <w:pPr>
              <w:rPr>
                <w:sz w:val="20"/>
                <w:szCs w:val="20"/>
                <w:lang w:val="pt-PT"/>
              </w:rPr>
            </w:pPr>
            <w:r w:rsidRPr="00292532">
              <w:rPr>
                <w:sz w:val="20"/>
                <w:szCs w:val="20"/>
                <w:lang w:val="pt-PT"/>
              </w:rPr>
              <w:t xml:space="preserve">Aumento do conhecimento científico da região </w:t>
            </w:r>
          </w:p>
        </w:tc>
        <w:tc>
          <w:tcPr>
            <w:tcW w:w="4500" w:type="dxa"/>
          </w:tcPr>
          <w:p w14:paraId="5403A927" w14:textId="77777777" w:rsidR="00F05E86" w:rsidRPr="00292532" w:rsidRDefault="00F05E86" w:rsidP="006071CF">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Estudos ambientais e sociais a serem desenvolvidos para o </w:t>
            </w:r>
            <w:proofErr w:type="spellStart"/>
            <w:r w:rsidRPr="00292532">
              <w:rPr>
                <w:sz w:val="20"/>
                <w:szCs w:val="20"/>
                <w:lang w:val="pt-PT"/>
              </w:rPr>
              <w:t>Projecto</w:t>
            </w:r>
            <w:proofErr w:type="spellEnd"/>
          </w:p>
          <w:p w14:paraId="2B7D1369" w14:textId="77777777" w:rsidR="00F05E86" w:rsidRPr="00292532" w:rsidRDefault="00F05E86" w:rsidP="006071CF">
            <w:pPr>
              <w:numPr>
                <w:ilvl w:val="0"/>
                <w:numId w:val="49"/>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Levantamentos de campo e realização de censos hídricos, levantamentos geotécnicos, etc.</w:t>
            </w:r>
          </w:p>
        </w:tc>
        <w:tc>
          <w:tcPr>
            <w:tcW w:w="4410" w:type="dxa"/>
          </w:tcPr>
          <w:p w14:paraId="785E7F9A" w14:textId="77777777" w:rsidR="00F05E86" w:rsidRPr="00292532" w:rsidRDefault="00F05E86" w:rsidP="006071CF">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roofErr w:type="spellStart"/>
            <w:r w:rsidRPr="00292532">
              <w:rPr>
                <w:sz w:val="20"/>
                <w:szCs w:val="20"/>
                <w:lang w:val="pt-PT"/>
              </w:rPr>
              <w:t>Actualização</w:t>
            </w:r>
            <w:proofErr w:type="spellEnd"/>
            <w:r w:rsidRPr="00292532">
              <w:rPr>
                <w:sz w:val="20"/>
                <w:szCs w:val="20"/>
                <w:lang w:val="pt-PT"/>
              </w:rPr>
              <w:t xml:space="preserve"> de informação e dados científicos nas áreas de abrangência </w:t>
            </w:r>
          </w:p>
          <w:p w14:paraId="5C523CB1" w14:textId="77777777" w:rsidR="00F05E86" w:rsidRPr="00292532" w:rsidRDefault="00F05E86" w:rsidP="006071CF">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Estabelecimento de referências e uma base comparativa para avaliação dos potenciais impactos durante a implementação do </w:t>
            </w:r>
            <w:proofErr w:type="spellStart"/>
            <w:r w:rsidRPr="00292532">
              <w:rPr>
                <w:sz w:val="20"/>
                <w:szCs w:val="20"/>
                <w:lang w:val="pt-PT"/>
              </w:rPr>
              <w:t>Projecto</w:t>
            </w:r>
            <w:proofErr w:type="spellEnd"/>
            <w:r w:rsidRPr="00292532">
              <w:rPr>
                <w:sz w:val="20"/>
                <w:szCs w:val="20"/>
                <w:lang w:val="pt-PT"/>
              </w:rPr>
              <w:t xml:space="preserve"> </w:t>
            </w:r>
          </w:p>
          <w:p w14:paraId="59EF34FB" w14:textId="77777777" w:rsidR="00F05E86" w:rsidRPr="00292532" w:rsidRDefault="00F05E86" w:rsidP="006071CF">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Disponibilização de dados </w:t>
            </w:r>
            <w:proofErr w:type="spellStart"/>
            <w:r w:rsidRPr="00292532">
              <w:rPr>
                <w:sz w:val="20"/>
                <w:szCs w:val="20"/>
                <w:lang w:val="pt-PT"/>
              </w:rPr>
              <w:t>actualizados</w:t>
            </w:r>
            <w:proofErr w:type="spellEnd"/>
            <w:r w:rsidRPr="00292532">
              <w:rPr>
                <w:sz w:val="20"/>
                <w:szCs w:val="20"/>
                <w:lang w:val="pt-PT"/>
              </w:rPr>
              <w:t xml:space="preserve"> que podem ser usadas para outros </w:t>
            </w:r>
            <w:proofErr w:type="spellStart"/>
            <w:r w:rsidRPr="00292532">
              <w:rPr>
                <w:sz w:val="20"/>
                <w:szCs w:val="20"/>
                <w:lang w:val="pt-PT"/>
              </w:rPr>
              <w:t>projectos</w:t>
            </w:r>
            <w:proofErr w:type="spellEnd"/>
            <w:r w:rsidRPr="00292532">
              <w:rPr>
                <w:sz w:val="20"/>
                <w:szCs w:val="20"/>
                <w:lang w:val="pt-PT"/>
              </w:rPr>
              <w:t xml:space="preserve"> de desenvolvimento nas mesmas áreas de abrangência </w:t>
            </w:r>
          </w:p>
        </w:tc>
      </w:tr>
      <w:tr w:rsidR="00F05E86" w:rsidRPr="001E4B2C" w14:paraId="36C5083E" w14:textId="77777777" w:rsidTr="006071CF">
        <w:trPr>
          <w:trHeight w:val="517"/>
        </w:trPr>
        <w:tc>
          <w:tcPr>
            <w:cnfStyle w:val="001000000000" w:firstRow="0" w:lastRow="0" w:firstColumn="1" w:lastColumn="0" w:oddVBand="0" w:evenVBand="0" w:oddHBand="0" w:evenHBand="0" w:firstRowFirstColumn="0" w:firstRowLastColumn="0" w:lastRowFirstColumn="0" w:lastRowLastColumn="0"/>
            <w:tcW w:w="3780" w:type="dxa"/>
          </w:tcPr>
          <w:p w14:paraId="7D85983C" w14:textId="77777777" w:rsidR="00F05E86" w:rsidRPr="00292532" w:rsidRDefault="00F05E86" w:rsidP="006071CF">
            <w:pPr>
              <w:rPr>
                <w:sz w:val="20"/>
                <w:szCs w:val="20"/>
                <w:lang w:val="pt-PT"/>
              </w:rPr>
            </w:pPr>
            <w:r w:rsidRPr="00292532">
              <w:rPr>
                <w:sz w:val="20"/>
                <w:szCs w:val="20"/>
                <w:lang w:val="pt-PT"/>
              </w:rPr>
              <w:t xml:space="preserve">Exploração de </w:t>
            </w:r>
            <w:proofErr w:type="spellStart"/>
            <w:r w:rsidRPr="00292532">
              <w:rPr>
                <w:sz w:val="20"/>
                <w:szCs w:val="20"/>
                <w:lang w:val="pt-PT"/>
              </w:rPr>
              <w:t>actividades</w:t>
            </w:r>
            <w:proofErr w:type="spellEnd"/>
            <w:r w:rsidRPr="00292532">
              <w:rPr>
                <w:sz w:val="20"/>
                <w:szCs w:val="20"/>
                <w:lang w:val="pt-PT"/>
              </w:rPr>
              <w:t xml:space="preserve"> ligadas ao turismo, lazer</w:t>
            </w:r>
          </w:p>
        </w:tc>
        <w:tc>
          <w:tcPr>
            <w:tcW w:w="4500" w:type="dxa"/>
          </w:tcPr>
          <w:p w14:paraId="092E303C" w14:textId="77777777" w:rsidR="00F05E86" w:rsidRPr="00292532" w:rsidRDefault="00F05E86" w:rsidP="006071CF">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Presença temporária de trabalhadores e pessoal envolvido no </w:t>
            </w:r>
            <w:proofErr w:type="spellStart"/>
            <w:r w:rsidRPr="00292532">
              <w:rPr>
                <w:sz w:val="20"/>
                <w:szCs w:val="20"/>
                <w:lang w:val="pt-PT"/>
              </w:rPr>
              <w:t>Projecto</w:t>
            </w:r>
            <w:proofErr w:type="spellEnd"/>
          </w:p>
          <w:p w14:paraId="4BFD19C8" w14:textId="77777777" w:rsidR="00F05E86" w:rsidRPr="00292532" w:rsidRDefault="00F05E86" w:rsidP="006071CF">
            <w:pPr>
              <w:ind w:left="3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
        </w:tc>
        <w:tc>
          <w:tcPr>
            <w:tcW w:w="4410" w:type="dxa"/>
          </w:tcPr>
          <w:p w14:paraId="47D2D909" w14:textId="77777777" w:rsidR="00F05E86" w:rsidRPr="00292532" w:rsidRDefault="00F05E86" w:rsidP="006071CF">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Desenvolvimento do turismo local </w:t>
            </w:r>
          </w:p>
          <w:p w14:paraId="7EDCFDC4" w14:textId="77777777" w:rsidR="00F05E86" w:rsidRPr="00292532" w:rsidRDefault="00F05E86" w:rsidP="006071CF">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Desenvolvimento da economia local </w:t>
            </w:r>
          </w:p>
          <w:p w14:paraId="7F003DB0" w14:textId="77777777" w:rsidR="00F05E86" w:rsidRPr="00292532" w:rsidRDefault="00F05E86" w:rsidP="006071CF">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Criação de oportunidades de emprego e aumento de renda para as famílias locais </w:t>
            </w:r>
          </w:p>
          <w:p w14:paraId="474B81F2" w14:textId="77777777" w:rsidR="00F05E86" w:rsidRPr="00292532" w:rsidRDefault="00F05E86" w:rsidP="006071CF">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Oportunidades para o desenvolvimento de negócios de pequena escala dentro da cadeia de valores</w:t>
            </w:r>
          </w:p>
        </w:tc>
      </w:tr>
      <w:tr w:rsidR="00F05E86" w:rsidRPr="001E4B2C" w14:paraId="67C6227C" w14:textId="77777777" w:rsidTr="006071CF">
        <w:trPr>
          <w:trHeight w:val="517"/>
        </w:trPr>
        <w:tc>
          <w:tcPr>
            <w:cnfStyle w:val="001000000000" w:firstRow="0" w:lastRow="0" w:firstColumn="1" w:lastColumn="0" w:oddVBand="0" w:evenVBand="0" w:oddHBand="0" w:evenHBand="0" w:firstRowFirstColumn="0" w:firstRowLastColumn="0" w:lastRowFirstColumn="0" w:lastRowLastColumn="0"/>
            <w:tcW w:w="3780" w:type="dxa"/>
          </w:tcPr>
          <w:p w14:paraId="3FD9F882" w14:textId="77777777" w:rsidR="00F05E86" w:rsidRPr="00292532" w:rsidRDefault="00F05E86" w:rsidP="006071CF">
            <w:pPr>
              <w:rPr>
                <w:sz w:val="20"/>
                <w:szCs w:val="20"/>
                <w:lang w:val="pt-PT"/>
              </w:rPr>
            </w:pPr>
            <w:r w:rsidRPr="00292532">
              <w:rPr>
                <w:sz w:val="20"/>
                <w:szCs w:val="20"/>
                <w:lang w:val="pt-PT"/>
              </w:rPr>
              <w:t xml:space="preserve">Geração de empregos e renda </w:t>
            </w:r>
          </w:p>
        </w:tc>
        <w:tc>
          <w:tcPr>
            <w:tcW w:w="4500" w:type="dxa"/>
          </w:tcPr>
          <w:p w14:paraId="281F5FBB" w14:textId="77777777" w:rsidR="00F05E86" w:rsidRPr="00292532" w:rsidRDefault="00F05E86" w:rsidP="006071CF">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Oportunidades de emprego para a fase de construção criadas pelas empresas contratadas</w:t>
            </w:r>
          </w:p>
          <w:p w14:paraId="56A84DDE" w14:textId="77777777" w:rsidR="00F05E86" w:rsidRPr="00292532" w:rsidRDefault="00F05E86" w:rsidP="006071CF">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 absorção de mão-de-obra local dependerá dos níveis de educação e competências das populações locais </w:t>
            </w:r>
          </w:p>
          <w:p w14:paraId="11C01BB0" w14:textId="77777777" w:rsidR="00F05E86" w:rsidRPr="00292532" w:rsidRDefault="00F05E86" w:rsidP="006071CF">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lastRenderedPageBreak/>
              <w:t xml:space="preserve">Oportunidades para mão-de-obra não especializada e possível absorção do pessoal com baixo nível de educação </w:t>
            </w:r>
          </w:p>
        </w:tc>
        <w:tc>
          <w:tcPr>
            <w:tcW w:w="4410" w:type="dxa"/>
          </w:tcPr>
          <w:p w14:paraId="11F2E0D8" w14:textId="77777777" w:rsidR="00F05E86" w:rsidRPr="00292532" w:rsidRDefault="00F05E86" w:rsidP="006071CF">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lastRenderedPageBreak/>
              <w:t>Geração de renda para as famílias locais</w:t>
            </w:r>
          </w:p>
          <w:p w14:paraId="2DA870E6" w14:textId="77777777" w:rsidR="00F05E86" w:rsidRPr="00292532" w:rsidRDefault="00F05E86" w:rsidP="006071CF">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Diversidade de </w:t>
            </w:r>
            <w:proofErr w:type="spellStart"/>
            <w:r w:rsidRPr="00292532">
              <w:rPr>
                <w:sz w:val="20"/>
                <w:szCs w:val="20"/>
                <w:lang w:val="pt-PT"/>
              </w:rPr>
              <w:t>actividades</w:t>
            </w:r>
            <w:proofErr w:type="spellEnd"/>
            <w:r w:rsidRPr="00292532">
              <w:rPr>
                <w:sz w:val="20"/>
                <w:szCs w:val="20"/>
                <w:lang w:val="pt-PT"/>
              </w:rPr>
              <w:t xml:space="preserve"> económicas</w:t>
            </w:r>
          </w:p>
          <w:p w14:paraId="31FFE466" w14:textId="77777777" w:rsidR="00F05E86" w:rsidRPr="00292532" w:rsidRDefault="00F05E86" w:rsidP="006071CF">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Oportunidades de empregos para mulheres e jovens </w:t>
            </w:r>
          </w:p>
          <w:p w14:paraId="40E9E36A" w14:textId="77777777" w:rsidR="00F05E86" w:rsidRPr="00292532" w:rsidRDefault="00F05E86" w:rsidP="006071CF">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Treinamento e melhoria de competências </w:t>
            </w:r>
          </w:p>
        </w:tc>
      </w:tr>
      <w:tr w:rsidR="00F05E86" w:rsidRPr="00292532" w14:paraId="44DF815B" w14:textId="77777777" w:rsidTr="006071CF">
        <w:trPr>
          <w:trHeight w:val="517"/>
        </w:trPr>
        <w:tc>
          <w:tcPr>
            <w:cnfStyle w:val="001000000000" w:firstRow="0" w:lastRow="0" w:firstColumn="1" w:lastColumn="0" w:oddVBand="0" w:evenVBand="0" w:oddHBand="0" w:evenHBand="0" w:firstRowFirstColumn="0" w:firstRowLastColumn="0" w:lastRowFirstColumn="0" w:lastRowLastColumn="0"/>
            <w:tcW w:w="12690" w:type="dxa"/>
            <w:gridSpan w:val="3"/>
          </w:tcPr>
          <w:p w14:paraId="3725EC1A" w14:textId="77777777" w:rsidR="00F05E86" w:rsidRPr="00292532" w:rsidRDefault="00F05E86" w:rsidP="006071CF">
            <w:pPr>
              <w:jc w:val="center"/>
              <w:rPr>
                <w:sz w:val="20"/>
                <w:szCs w:val="20"/>
                <w:lang w:val="pt-PT"/>
              </w:rPr>
            </w:pPr>
            <w:r w:rsidRPr="00292532">
              <w:rPr>
                <w:sz w:val="20"/>
                <w:szCs w:val="20"/>
                <w:lang w:val="pt-PT"/>
              </w:rPr>
              <w:t>Fase de Operação</w:t>
            </w:r>
          </w:p>
        </w:tc>
      </w:tr>
      <w:tr w:rsidR="00F05E86" w:rsidRPr="001E4B2C" w14:paraId="0E82F0AF" w14:textId="77777777" w:rsidTr="006071CF">
        <w:trPr>
          <w:trHeight w:val="2845"/>
        </w:trPr>
        <w:tc>
          <w:tcPr>
            <w:cnfStyle w:val="001000000000" w:firstRow="0" w:lastRow="0" w:firstColumn="1" w:lastColumn="0" w:oddVBand="0" w:evenVBand="0" w:oddHBand="0" w:evenHBand="0" w:firstRowFirstColumn="0" w:firstRowLastColumn="0" w:lastRowFirstColumn="0" w:lastRowLastColumn="0"/>
            <w:tcW w:w="3780" w:type="dxa"/>
          </w:tcPr>
          <w:p w14:paraId="4D7246B7" w14:textId="77777777" w:rsidR="00F05E86" w:rsidRPr="00292532" w:rsidRDefault="00F05E86" w:rsidP="006071CF">
            <w:pPr>
              <w:rPr>
                <w:sz w:val="20"/>
                <w:szCs w:val="20"/>
                <w:lang w:val="pt-PT"/>
              </w:rPr>
            </w:pPr>
            <w:r w:rsidRPr="00292532">
              <w:rPr>
                <w:sz w:val="20"/>
                <w:szCs w:val="20"/>
                <w:lang w:val="pt-PT"/>
              </w:rPr>
              <w:t xml:space="preserve">Acesso a serviços de saneamento nas cidades e vilas </w:t>
            </w:r>
          </w:p>
        </w:tc>
        <w:tc>
          <w:tcPr>
            <w:tcW w:w="4500" w:type="dxa"/>
          </w:tcPr>
          <w:p w14:paraId="340FBF56" w14:textId="77777777" w:rsidR="00F05E86" w:rsidRPr="00292532" w:rsidRDefault="00F05E86" w:rsidP="006071CF">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proofErr w:type="spellStart"/>
            <w:r w:rsidRPr="00292532">
              <w:rPr>
                <w:sz w:val="20"/>
                <w:szCs w:val="20"/>
                <w:lang w:val="pt-PT"/>
              </w:rPr>
              <w:t>Projecto</w:t>
            </w:r>
            <w:proofErr w:type="spellEnd"/>
            <w:r w:rsidRPr="00292532">
              <w:rPr>
                <w:sz w:val="20"/>
                <w:szCs w:val="20"/>
                <w:lang w:val="pt-PT"/>
              </w:rPr>
              <w:t xml:space="preserve"> concebido para a prestação dos serviços de saneamento nas pequenas cidades e vilas </w:t>
            </w:r>
          </w:p>
          <w:p w14:paraId="5B2C0C73" w14:textId="77777777" w:rsidR="00F05E86" w:rsidRPr="00292532" w:rsidRDefault="00F05E86" w:rsidP="006071CF">
            <w:pPr>
              <w:numPr>
                <w:ilvl w:val="0"/>
                <w:numId w:val="49"/>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Manutenção dos serviços durante a fase de operação e funcionamento dos sistemas</w:t>
            </w:r>
          </w:p>
        </w:tc>
        <w:tc>
          <w:tcPr>
            <w:tcW w:w="4410" w:type="dxa"/>
          </w:tcPr>
          <w:p w14:paraId="43E6792F" w14:textId="77777777" w:rsidR="00F05E86" w:rsidRPr="00292532" w:rsidRDefault="00F05E86" w:rsidP="006071CF">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Melhoria da qualidade ambiental urbana </w:t>
            </w:r>
          </w:p>
          <w:p w14:paraId="7BC3DF01" w14:textId="77777777" w:rsidR="00F05E86" w:rsidRPr="00292532" w:rsidRDefault="00F05E86" w:rsidP="006071CF">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Redução de focos de </w:t>
            </w:r>
            <w:proofErr w:type="spellStart"/>
            <w:r w:rsidRPr="00292532">
              <w:rPr>
                <w:sz w:val="20"/>
                <w:szCs w:val="20"/>
                <w:lang w:val="pt-PT"/>
              </w:rPr>
              <w:t>vectores</w:t>
            </w:r>
            <w:proofErr w:type="spellEnd"/>
            <w:r w:rsidRPr="00292532">
              <w:rPr>
                <w:sz w:val="20"/>
                <w:szCs w:val="20"/>
                <w:lang w:val="pt-PT"/>
              </w:rPr>
              <w:t xml:space="preserve"> de doenças de origem hídrica (malária, cólera e diarreias)</w:t>
            </w:r>
          </w:p>
          <w:p w14:paraId="244F2EE3" w14:textId="77777777" w:rsidR="00F05E86" w:rsidRPr="00292532" w:rsidRDefault="00F05E86" w:rsidP="006071CF">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Melhoria da higiene urbana</w:t>
            </w:r>
          </w:p>
          <w:p w14:paraId="0CC68852" w14:textId="77777777" w:rsidR="00F05E86" w:rsidRPr="00292532" w:rsidRDefault="00F05E86" w:rsidP="006071CF">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Melhor qualidade de vida dos residentes (menos odores desagradáveis e acumulação de águas residuais nas ruas), especialmente mulheres e crianças que são consideradas as mais expostas pela sua rotina geral diária </w:t>
            </w:r>
          </w:p>
          <w:p w14:paraId="37685AB3" w14:textId="77777777" w:rsidR="00F05E86" w:rsidRPr="00292532" w:rsidRDefault="00F05E86" w:rsidP="006071CF">
            <w:pPr>
              <w:numPr>
                <w:ilvl w:val="0"/>
                <w:numId w:val="3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Redução da poluição nos corpos de água e solos</w:t>
            </w:r>
          </w:p>
          <w:p w14:paraId="396C659C" w14:textId="77777777" w:rsidR="00F05E86" w:rsidRPr="00292532" w:rsidRDefault="00F05E86" w:rsidP="006071CF">
            <w:pPr>
              <w:cnfStyle w:val="000000000000" w:firstRow="0" w:lastRow="0" w:firstColumn="0" w:lastColumn="0" w:oddVBand="0" w:evenVBand="0" w:oddHBand="0" w:evenHBand="0" w:firstRowFirstColumn="0" w:firstRowLastColumn="0" w:lastRowFirstColumn="0" w:lastRowLastColumn="0"/>
              <w:rPr>
                <w:sz w:val="20"/>
                <w:szCs w:val="20"/>
                <w:lang w:val="pt-PT"/>
              </w:rPr>
            </w:pPr>
          </w:p>
        </w:tc>
      </w:tr>
      <w:tr w:rsidR="00F05E86" w:rsidRPr="001E4B2C" w14:paraId="218239FE" w14:textId="77777777" w:rsidTr="003F64BF">
        <w:trPr>
          <w:trHeight w:val="541"/>
        </w:trPr>
        <w:tc>
          <w:tcPr>
            <w:cnfStyle w:val="001000000000" w:firstRow="0" w:lastRow="0" w:firstColumn="1" w:lastColumn="0" w:oddVBand="0" w:evenVBand="0" w:oddHBand="0" w:evenHBand="0" w:firstRowFirstColumn="0" w:firstRowLastColumn="0" w:lastRowFirstColumn="0" w:lastRowLastColumn="0"/>
            <w:tcW w:w="3780" w:type="dxa"/>
          </w:tcPr>
          <w:p w14:paraId="50582956" w14:textId="77777777" w:rsidR="00F05E86" w:rsidRPr="00292532" w:rsidRDefault="00F05E86" w:rsidP="006071CF">
            <w:pPr>
              <w:rPr>
                <w:sz w:val="20"/>
                <w:szCs w:val="20"/>
                <w:lang w:val="pt-PT"/>
              </w:rPr>
            </w:pPr>
            <w:r w:rsidRPr="00292532">
              <w:rPr>
                <w:sz w:val="20"/>
                <w:szCs w:val="20"/>
                <w:lang w:val="pt-PT"/>
              </w:rPr>
              <w:t xml:space="preserve">Aumento do acesso </w:t>
            </w:r>
            <w:proofErr w:type="gramStart"/>
            <w:r w:rsidRPr="00292532">
              <w:rPr>
                <w:sz w:val="20"/>
                <w:szCs w:val="20"/>
                <w:lang w:val="pt-PT"/>
              </w:rPr>
              <w:t>à</w:t>
            </w:r>
            <w:proofErr w:type="gramEnd"/>
            <w:r w:rsidRPr="00292532">
              <w:rPr>
                <w:sz w:val="20"/>
                <w:szCs w:val="20"/>
                <w:lang w:val="pt-PT"/>
              </w:rPr>
              <w:t xml:space="preserve"> fontes de água seguras nas pequenas cidades e vilas e nas zonas rurais</w:t>
            </w:r>
          </w:p>
        </w:tc>
        <w:tc>
          <w:tcPr>
            <w:tcW w:w="4500" w:type="dxa"/>
          </w:tcPr>
          <w:p w14:paraId="6136B82F" w14:textId="77777777" w:rsidR="00F05E86" w:rsidRPr="00292532" w:rsidRDefault="00F05E86" w:rsidP="006071CF">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O </w:t>
            </w:r>
            <w:proofErr w:type="spellStart"/>
            <w:r w:rsidRPr="00292532">
              <w:rPr>
                <w:sz w:val="20"/>
                <w:szCs w:val="20"/>
                <w:lang w:val="pt-PT"/>
              </w:rPr>
              <w:t>projecto</w:t>
            </w:r>
            <w:proofErr w:type="spellEnd"/>
            <w:r w:rsidRPr="00292532">
              <w:rPr>
                <w:sz w:val="20"/>
                <w:szCs w:val="20"/>
                <w:lang w:val="pt-PT"/>
              </w:rPr>
              <w:t xml:space="preserve"> proporcionará maior acesso </w:t>
            </w:r>
            <w:proofErr w:type="gramStart"/>
            <w:r w:rsidRPr="00292532">
              <w:rPr>
                <w:sz w:val="20"/>
                <w:szCs w:val="20"/>
                <w:lang w:val="pt-PT"/>
              </w:rPr>
              <w:t>à</w:t>
            </w:r>
            <w:proofErr w:type="gramEnd"/>
            <w:r w:rsidRPr="00292532">
              <w:rPr>
                <w:sz w:val="20"/>
                <w:szCs w:val="20"/>
                <w:lang w:val="pt-PT"/>
              </w:rPr>
              <w:t xml:space="preserve"> fontes seguras de abastecimento de água </w:t>
            </w:r>
          </w:p>
          <w:p w14:paraId="0B44CB27" w14:textId="57B4C4FD" w:rsidR="00F05E86" w:rsidRPr="00292532" w:rsidRDefault="00E22772" w:rsidP="006071CF">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Contratação de operadores privados para a operação dos sistemas de abastecimento de água</w:t>
            </w:r>
          </w:p>
        </w:tc>
        <w:tc>
          <w:tcPr>
            <w:tcW w:w="4410" w:type="dxa"/>
          </w:tcPr>
          <w:p w14:paraId="3FC9568D" w14:textId="58EBE19F" w:rsidR="00E22772" w:rsidRPr="00292532" w:rsidRDefault="00F05E86" w:rsidP="006071CF">
            <w:pPr>
              <w:pStyle w:val="ListParagraph"/>
              <w:numPr>
                <w:ilvl w:val="0"/>
                <w:numId w:val="30"/>
              </w:num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 </w:t>
            </w:r>
            <w:r w:rsidR="00E22772" w:rsidRPr="00292532">
              <w:rPr>
                <w:sz w:val="20"/>
                <w:szCs w:val="20"/>
                <w:lang w:val="pt-PT"/>
              </w:rPr>
              <w:t>Aumento de renda por parte dos operadores privados e seus trabalhadores</w:t>
            </w:r>
          </w:p>
          <w:p w14:paraId="6932561B" w14:textId="2B06D295" w:rsidR="00F05E86" w:rsidRPr="00292532" w:rsidRDefault="00E22772" w:rsidP="006071CF">
            <w:pPr>
              <w:pStyle w:val="ListParagraph"/>
              <w:numPr>
                <w:ilvl w:val="0"/>
                <w:numId w:val="30"/>
              </w:num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 </w:t>
            </w:r>
            <w:r w:rsidR="00F05E86" w:rsidRPr="00292532">
              <w:rPr>
                <w:sz w:val="20"/>
                <w:szCs w:val="20"/>
                <w:lang w:val="pt-PT"/>
              </w:rPr>
              <w:t xml:space="preserve">Redução do esforço e distância para a captação de água. Papel este, maioritariamente desempenhado por mulheres e crianças </w:t>
            </w:r>
          </w:p>
          <w:p w14:paraId="4B1E39D3" w14:textId="77777777" w:rsidR="00F05E86" w:rsidRPr="00292532" w:rsidRDefault="00F05E86" w:rsidP="006071CF">
            <w:pPr>
              <w:pStyle w:val="ListParagraph"/>
              <w:numPr>
                <w:ilvl w:val="0"/>
                <w:numId w:val="30"/>
              </w:num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Melhoria da qualidade ambiental nas zonas rurais </w:t>
            </w:r>
          </w:p>
          <w:p w14:paraId="619D42B2" w14:textId="77777777" w:rsidR="00F05E86" w:rsidRPr="00292532" w:rsidRDefault="00F05E86" w:rsidP="006071CF">
            <w:pPr>
              <w:pStyle w:val="ListParagraph"/>
              <w:numPr>
                <w:ilvl w:val="0"/>
                <w:numId w:val="30"/>
              </w:num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Melhoria da saúde e da qualidade de vida das populações</w:t>
            </w:r>
          </w:p>
          <w:p w14:paraId="691487D8" w14:textId="77777777" w:rsidR="00F05E86" w:rsidRPr="00292532" w:rsidRDefault="00F05E86" w:rsidP="006071CF">
            <w:pPr>
              <w:pStyle w:val="ListParagraph"/>
              <w:numPr>
                <w:ilvl w:val="0"/>
                <w:numId w:val="30"/>
              </w:num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Melhoria da higiene nas zonas rurais e nas pequenas cidades e vilas</w:t>
            </w:r>
          </w:p>
          <w:p w14:paraId="53AC59DC" w14:textId="77777777" w:rsidR="00F05E86" w:rsidRPr="00292532" w:rsidRDefault="00F05E86" w:rsidP="006071CF">
            <w:pPr>
              <w:pStyle w:val="ListParagraph"/>
              <w:numPr>
                <w:ilvl w:val="0"/>
                <w:numId w:val="30"/>
              </w:num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Melhoria da higiene nas escolas </w:t>
            </w:r>
          </w:p>
          <w:p w14:paraId="16003872" w14:textId="77777777" w:rsidR="00F05E86" w:rsidRPr="00292532" w:rsidRDefault="00F05E86" w:rsidP="006071CF">
            <w:pPr>
              <w:pStyle w:val="ListParagraph"/>
              <w:numPr>
                <w:ilvl w:val="0"/>
                <w:numId w:val="30"/>
              </w:num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lastRenderedPageBreak/>
              <w:t>Redução da transmissão do vírus da covid-19</w:t>
            </w:r>
          </w:p>
        </w:tc>
      </w:tr>
      <w:tr w:rsidR="00F05E86" w:rsidRPr="001E4B2C" w14:paraId="02DCF255" w14:textId="77777777" w:rsidTr="006071CF">
        <w:trPr>
          <w:trHeight w:val="517"/>
        </w:trPr>
        <w:tc>
          <w:tcPr>
            <w:cnfStyle w:val="001000000000" w:firstRow="0" w:lastRow="0" w:firstColumn="1" w:lastColumn="0" w:oddVBand="0" w:evenVBand="0" w:oddHBand="0" w:evenHBand="0" w:firstRowFirstColumn="0" w:firstRowLastColumn="0" w:lastRowFirstColumn="0" w:lastRowLastColumn="0"/>
            <w:tcW w:w="3780" w:type="dxa"/>
          </w:tcPr>
          <w:p w14:paraId="1BF7912E" w14:textId="77777777" w:rsidR="00F05E86" w:rsidRPr="00292532" w:rsidRDefault="00F05E86" w:rsidP="006071CF">
            <w:pPr>
              <w:rPr>
                <w:sz w:val="20"/>
                <w:szCs w:val="20"/>
                <w:lang w:val="pt-PT"/>
              </w:rPr>
            </w:pPr>
            <w:r w:rsidRPr="00292532">
              <w:rPr>
                <w:sz w:val="20"/>
                <w:szCs w:val="20"/>
                <w:lang w:val="pt-PT"/>
              </w:rPr>
              <w:lastRenderedPageBreak/>
              <w:t xml:space="preserve">Concessão da operação de sistemas a operadores privados provenientes das áreas de abrangência do </w:t>
            </w:r>
            <w:proofErr w:type="spellStart"/>
            <w:r w:rsidRPr="00292532">
              <w:rPr>
                <w:sz w:val="20"/>
                <w:szCs w:val="20"/>
                <w:lang w:val="pt-PT"/>
              </w:rPr>
              <w:t>Projecto</w:t>
            </w:r>
            <w:proofErr w:type="spellEnd"/>
          </w:p>
        </w:tc>
        <w:tc>
          <w:tcPr>
            <w:tcW w:w="4500" w:type="dxa"/>
          </w:tcPr>
          <w:p w14:paraId="03894544" w14:textId="77777777" w:rsidR="00F05E86" w:rsidRPr="00292532" w:rsidRDefault="00F05E86" w:rsidP="006071CF">
            <w:pPr>
              <w:numPr>
                <w:ilvl w:val="0"/>
                <w:numId w:val="5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O </w:t>
            </w:r>
            <w:proofErr w:type="spellStart"/>
            <w:r w:rsidRPr="00292532">
              <w:rPr>
                <w:sz w:val="20"/>
                <w:szCs w:val="20"/>
                <w:lang w:val="pt-PT"/>
              </w:rPr>
              <w:t>Projecto</w:t>
            </w:r>
            <w:proofErr w:type="spellEnd"/>
            <w:r w:rsidRPr="00292532">
              <w:rPr>
                <w:sz w:val="20"/>
                <w:szCs w:val="20"/>
                <w:lang w:val="pt-PT"/>
              </w:rPr>
              <w:t xml:space="preserve"> requererá operadores privados para a operação e manutenção das infraestruturas de abastecimento de água </w:t>
            </w:r>
          </w:p>
        </w:tc>
        <w:tc>
          <w:tcPr>
            <w:tcW w:w="4410" w:type="dxa"/>
          </w:tcPr>
          <w:p w14:paraId="4432F3FB" w14:textId="77777777" w:rsidR="00F05E86" w:rsidRPr="00292532" w:rsidRDefault="00F05E86" w:rsidP="006071CF">
            <w:pPr>
              <w:pStyle w:val="ListParagraph"/>
              <w:numPr>
                <w:ilvl w:val="0"/>
                <w:numId w:val="30"/>
              </w:num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Promoção da economia local </w:t>
            </w:r>
          </w:p>
          <w:p w14:paraId="71C6B973" w14:textId="77777777" w:rsidR="00F05E86" w:rsidRPr="00292532" w:rsidRDefault="00F05E86" w:rsidP="006071CF">
            <w:pPr>
              <w:pStyle w:val="ListParagraph"/>
              <w:numPr>
                <w:ilvl w:val="0"/>
                <w:numId w:val="30"/>
              </w:num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Oportunidade de expansão dos serviços dos pequenos e médios operadores existentes na região </w:t>
            </w:r>
          </w:p>
          <w:p w14:paraId="6FC565BD" w14:textId="77777777" w:rsidR="00F05E86" w:rsidRPr="00292532" w:rsidRDefault="00F05E86" w:rsidP="006071CF">
            <w:pPr>
              <w:pStyle w:val="ListParagraph"/>
              <w:numPr>
                <w:ilvl w:val="0"/>
                <w:numId w:val="30"/>
              </w:num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Oportunidades de emprego às mulheres para as mulheres</w:t>
            </w:r>
          </w:p>
        </w:tc>
      </w:tr>
      <w:tr w:rsidR="00F05E86" w:rsidRPr="001E4B2C" w14:paraId="15E3EA31" w14:textId="77777777" w:rsidTr="006071CF">
        <w:trPr>
          <w:trHeight w:val="517"/>
        </w:trPr>
        <w:tc>
          <w:tcPr>
            <w:cnfStyle w:val="001000000000" w:firstRow="0" w:lastRow="0" w:firstColumn="1" w:lastColumn="0" w:oddVBand="0" w:evenVBand="0" w:oddHBand="0" w:evenHBand="0" w:firstRowFirstColumn="0" w:firstRowLastColumn="0" w:lastRowFirstColumn="0" w:lastRowLastColumn="0"/>
            <w:tcW w:w="3780" w:type="dxa"/>
          </w:tcPr>
          <w:p w14:paraId="7149654B" w14:textId="77777777" w:rsidR="00F05E86" w:rsidRPr="00292532" w:rsidRDefault="00F05E86" w:rsidP="006071CF">
            <w:pPr>
              <w:rPr>
                <w:sz w:val="20"/>
                <w:szCs w:val="20"/>
                <w:lang w:val="pt-PT"/>
              </w:rPr>
            </w:pPr>
            <w:r w:rsidRPr="00292532">
              <w:rPr>
                <w:sz w:val="20"/>
                <w:szCs w:val="20"/>
                <w:lang w:val="pt-PT"/>
              </w:rPr>
              <w:t>Acesso a água na época de estiagem para o consumo e prática da agricultura familiar</w:t>
            </w:r>
          </w:p>
        </w:tc>
        <w:tc>
          <w:tcPr>
            <w:tcW w:w="4500" w:type="dxa"/>
          </w:tcPr>
          <w:p w14:paraId="27BFD3DA" w14:textId="77777777" w:rsidR="00F05E86" w:rsidRPr="00292532" w:rsidRDefault="00F05E86" w:rsidP="006071CF">
            <w:pPr>
              <w:numPr>
                <w:ilvl w:val="0"/>
                <w:numId w:val="5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Ligações de água, construção de poços, fontanárias em zonas anteriormente dependentes de água em cursos de água vulneráveis a secas (cursos de água periódicos, apenas presentes na época chuvosa)</w:t>
            </w:r>
          </w:p>
        </w:tc>
        <w:tc>
          <w:tcPr>
            <w:tcW w:w="4410" w:type="dxa"/>
          </w:tcPr>
          <w:p w14:paraId="052F2871" w14:textId="77777777" w:rsidR="00F05E86" w:rsidRPr="00292532" w:rsidRDefault="00F05E86" w:rsidP="006071CF">
            <w:pPr>
              <w:pStyle w:val="ListParagraph"/>
              <w:numPr>
                <w:ilvl w:val="0"/>
                <w:numId w:val="50"/>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Melhoria da qualidade de vida </w:t>
            </w:r>
          </w:p>
          <w:p w14:paraId="7D2F2D25" w14:textId="77777777" w:rsidR="00F05E86" w:rsidRPr="00292532" w:rsidRDefault="00F05E86" w:rsidP="006071CF">
            <w:pPr>
              <w:pStyle w:val="ListParagraph"/>
              <w:numPr>
                <w:ilvl w:val="0"/>
                <w:numId w:val="50"/>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Melhoria dos meios de subsistência </w:t>
            </w:r>
          </w:p>
        </w:tc>
      </w:tr>
      <w:tr w:rsidR="00F05E86" w:rsidRPr="001E4B2C" w14:paraId="2CBD8D4F" w14:textId="77777777" w:rsidTr="006071CF">
        <w:trPr>
          <w:trHeight w:val="2080"/>
        </w:trPr>
        <w:tc>
          <w:tcPr>
            <w:cnfStyle w:val="001000000000" w:firstRow="0" w:lastRow="0" w:firstColumn="1" w:lastColumn="0" w:oddVBand="0" w:evenVBand="0" w:oddHBand="0" w:evenHBand="0" w:firstRowFirstColumn="0" w:firstRowLastColumn="0" w:lastRowFirstColumn="0" w:lastRowLastColumn="0"/>
            <w:tcW w:w="3780" w:type="dxa"/>
          </w:tcPr>
          <w:p w14:paraId="639C161E" w14:textId="77777777" w:rsidR="00F05E86" w:rsidRPr="00292532" w:rsidRDefault="00F05E86" w:rsidP="006071CF">
            <w:pPr>
              <w:rPr>
                <w:sz w:val="20"/>
                <w:szCs w:val="20"/>
                <w:lang w:val="pt-PT"/>
              </w:rPr>
            </w:pPr>
            <w:r w:rsidRPr="00292532">
              <w:rPr>
                <w:sz w:val="20"/>
                <w:szCs w:val="20"/>
                <w:lang w:val="pt-PT"/>
              </w:rPr>
              <w:t xml:space="preserve">Ligações de água e serviços de saneamento nas escolas </w:t>
            </w:r>
          </w:p>
        </w:tc>
        <w:tc>
          <w:tcPr>
            <w:tcW w:w="4500" w:type="dxa"/>
          </w:tcPr>
          <w:p w14:paraId="76095F34" w14:textId="77777777" w:rsidR="00F05E86" w:rsidRPr="00292532" w:rsidRDefault="00F05E86" w:rsidP="006071CF">
            <w:pPr>
              <w:pStyle w:val="ListParagraph"/>
              <w:numPr>
                <w:ilvl w:val="0"/>
                <w:numId w:val="50"/>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Ligações e fontes de abastecimento de água e infraestruturas de abastecimento de água institucionais (incluindo nas escolas)</w:t>
            </w:r>
          </w:p>
        </w:tc>
        <w:tc>
          <w:tcPr>
            <w:tcW w:w="4410" w:type="dxa"/>
          </w:tcPr>
          <w:p w14:paraId="609633B7" w14:textId="77777777" w:rsidR="00F05E86" w:rsidRPr="00292532" w:rsidRDefault="00F05E86" w:rsidP="006071CF">
            <w:pPr>
              <w:numPr>
                <w:ilvl w:val="0"/>
                <w:numId w:val="5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Melhoria da higiene dos alunos </w:t>
            </w:r>
          </w:p>
          <w:p w14:paraId="7D4AEDFC" w14:textId="77777777" w:rsidR="00F05E86" w:rsidRPr="00292532" w:rsidRDefault="00F05E86" w:rsidP="006071CF">
            <w:pPr>
              <w:numPr>
                <w:ilvl w:val="0"/>
                <w:numId w:val="5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Criação de condições para abertura das escolas durante a pandemia da covid-19</w:t>
            </w:r>
          </w:p>
          <w:p w14:paraId="3E98DC13" w14:textId="77777777" w:rsidR="00F05E86" w:rsidRPr="00292532" w:rsidRDefault="00F05E86" w:rsidP="006071CF">
            <w:pPr>
              <w:numPr>
                <w:ilvl w:val="0"/>
                <w:numId w:val="5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Motivação dos alunos e encarregados à participarem nas aulas </w:t>
            </w:r>
          </w:p>
          <w:p w14:paraId="093FA4BD" w14:textId="77777777" w:rsidR="00F05E86" w:rsidRPr="00292532" w:rsidRDefault="00F05E86" w:rsidP="006071CF">
            <w:pPr>
              <w:numPr>
                <w:ilvl w:val="0"/>
                <w:numId w:val="5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Estímulo das </w:t>
            </w:r>
            <w:proofErr w:type="spellStart"/>
            <w:r w:rsidRPr="00292532">
              <w:rPr>
                <w:sz w:val="20"/>
                <w:szCs w:val="20"/>
                <w:lang w:val="pt-PT"/>
              </w:rPr>
              <w:t>actividades</w:t>
            </w:r>
            <w:proofErr w:type="spellEnd"/>
            <w:r w:rsidRPr="00292532">
              <w:rPr>
                <w:sz w:val="20"/>
                <w:szCs w:val="20"/>
                <w:lang w:val="pt-PT"/>
              </w:rPr>
              <w:t xml:space="preserve"> de ensino e aprendizagem </w:t>
            </w:r>
          </w:p>
          <w:p w14:paraId="699FA659" w14:textId="77777777" w:rsidR="00F05E86" w:rsidRPr="00292532" w:rsidRDefault="00F05E86" w:rsidP="006071CF">
            <w:pPr>
              <w:numPr>
                <w:ilvl w:val="0"/>
                <w:numId w:val="5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Maior nível de participação da rapariga nas </w:t>
            </w:r>
            <w:proofErr w:type="spellStart"/>
            <w:r w:rsidRPr="00292532">
              <w:rPr>
                <w:sz w:val="20"/>
                <w:szCs w:val="20"/>
                <w:lang w:val="pt-PT"/>
              </w:rPr>
              <w:t>actividades</w:t>
            </w:r>
            <w:proofErr w:type="spellEnd"/>
            <w:r w:rsidRPr="00292532">
              <w:rPr>
                <w:sz w:val="20"/>
                <w:szCs w:val="20"/>
                <w:lang w:val="pt-PT"/>
              </w:rPr>
              <w:t xml:space="preserve"> escolares durante seu período menstrual</w:t>
            </w:r>
          </w:p>
        </w:tc>
      </w:tr>
      <w:tr w:rsidR="00F05E86" w:rsidRPr="001E4B2C" w14:paraId="6E5148BA" w14:textId="77777777" w:rsidTr="006071CF">
        <w:trPr>
          <w:trHeight w:val="775"/>
        </w:trPr>
        <w:tc>
          <w:tcPr>
            <w:cnfStyle w:val="001000000000" w:firstRow="0" w:lastRow="0" w:firstColumn="1" w:lastColumn="0" w:oddVBand="0" w:evenVBand="0" w:oddHBand="0" w:evenHBand="0" w:firstRowFirstColumn="0" w:firstRowLastColumn="0" w:lastRowFirstColumn="0" w:lastRowLastColumn="0"/>
            <w:tcW w:w="0" w:type="dxa"/>
          </w:tcPr>
          <w:p w14:paraId="7EE2D587" w14:textId="77777777" w:rsidR="00F05E86" w:rsidRPr="00292532" w:rsidRDefault="00F05E86" w:rsidP="006071CF">
            <w:pPr>
              <w:rPr>
                <w:sz w:val="20"/>
                <w:szCs w:val="20"/>
                <w:lang w:val="pt-PT"/>
              </w:rPr>
            </w:pPr>
            <w:r w:rsidRPr="00292532">
              <w:rPr>
                <w:sz w:val="20"/>
                <w:szCs w:val="20"/>
                <w:lang w:val="pt-PT"/>
              </w:rPr>
              <w:t>Aumento da arrecadação fiscal</w:t>
            </w:r>
          </w:p>
        </w:tc>
        <w:tc>
          <w:tcPr>
            <w:tcW w:w="0" w:type="dxa"/>
          </w:tcPr>
          <w:p w14:paraId="5F26A755" w14:textId="77777777" w:rsidR="00F05E86" w:rsidRPr="00292532" w:rsidRDefault="00F05E86" w:rsidP="006071CF">
            <w:pPr>
              <w:numPr>
                <w:ilvl w:val="0"/>
                <w:numId w:val="30"/>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Taxas de pagamento de água durante a fase de operação </w:t>
            </w:r>
          </w:p>
        </w:tc>
        <w:tc>
          <w:tcPr>
            <w:tcW w:w="0" w:type="dxa"/>
          </w:tcPr>
          <w:p w14:paraId="68EE5B7E" w14:textId="77777777" w:rsidR="00F05E86" w:rsidRPr="00292532" w:rsidRDefault="00F05E86" w:rsidP="006071CF">
            <w:pPr>
              <w:numPr>
                <w:ilvl w:val="0"/>
                <w:numId w:val="5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Desenvolvimento da economia local e regional</w:t>
            </w:r>
          </w:p>
          <w:p w14:paraId="1B38D508" w14:textId="77777777" w:rsidR="00F05E86" w:rsidRPr="00292532" w:rsidRDefault="00F05E86" w:rsidP="006071CF">
            <w:pPr>
              <w:numPr>
                <w:ilvl w:val="0"/>
                <w:numId w:val="51"/>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Maior sustentabilidade das infraestruturas de água e saneamento e dos serviços prestados</w:t>
            </w:r>
          </w:p>
        </w:tc>
      </w:tr>
      <w:bookmarkEnd w:id="200"/>
    </w:tbl>
    <w:p w14:paraId="31DBA99B" w14:textId="77777777" w:rsidR="00B46980" w:rsidRDefault="00B46980" w:rsidP="00F05E86">
      <w:pPr>
        <w:rPr>
          <w:lang w:val="pt-PT" w:eastAsia="ja-JP"/>
        </w:rPr>
        <w:sectPr w:rsidR="00B46980" w:rsidSect="00507213">
          <w:pgSz w:w="16838" w:h="11906" w:orient="landscape"/>
          <w:pgMar w:top="1699" w:right="1411" w:bottom="1699" w:left="1411" w:header="706" w:footer="706"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p>
    <w:p w14:paraId="4A065499" w14:textId="66102AAD" w:rsidR="00F05E86" w:rsidRPr="00292532" w:rsidRDefault="00CD1C60">
      <w:pPr>
        <w:pStyle w:val="Heading3"/>
        <w:rPr>
          <w:lang w:eastAsia="ja-JP"/>
        </w:rPr>
      </w:pPr>
      <w:bookmarkStart w:id="201" w:name="_Toc80379970"/>
      <w:r w:rsidRPr="00292532">
        <w:rPr>
          <w:lang w:eastAsia="ja-JP"/>
        </w:rPr>
        <w:lastRenderedPageBreak/>
        <w:t>Impactos Cumulativos</w:t>
      </w:r>
      <w:bookmarkEnd w:id="201"/>
      <w:r w:rsidRPr="00292532">
        <w:rPr>
          <w:lang w:eastAsia="ja-JP"/>
        </w:rPr>
        <w:t xml:space="preserve"> </w:t>
      </w:r>
    </w:p>
    <w:p w14:paraId="47AED850" w14:textId="77777777" w:rsidR="00F17EFF" w:rsidRPr="00F17EFF" w:rsidRDefault="00F17EFF" w:rsidP="00F17EFF">
      <w:pPr>
        <w:rPr>
          <w:lang w:val="pt-PT" w:eastAsia="ja-JP"/>
        </w:rPr>
      </w:pPr>
      <w:r w:rsidRPr="00F17EFF">
        <w:rPr>
          <w:lang w:val="pt-PT" w:eastAsia="ja-JP"/>
        </w:rPr>
        <w:t xml:space="preserve">Os impactos ambientais e sociais cumulativos podem ser definidos como mudanças no meio ambiente causadas pelo impacto combinado de </w:t>
      </w:r>
      <w:proofErr w:type="spellStart"/>
      <w:r w:rsidRPr="00F17EFF">
        <w:rPr>
          <w:lang w:val="pt-PT" w:eastAsia="ja-JP"/>
        </w:rPr>
        <w:t>actividades</w:t>
      </w:r>
      <w:proofErr w:type="spellEnd"/>
      <w:r w:rsidRPr="00F17EFF">
        <w:rPr>
          <w:lang w:val="pt-PT" w:eastAsia="ja-JP"/>
        </w:rPr>
        <w:t xml:space="preserve"> humanas e processos naturais passados, presentes e futuros. Eles são o resultado de várias </w:t>
      </w:r>
      <w:proofErr w:type="spellStart"/>
      <w:r w:rsidRPr="00F17EFF">
        <w:rPr>
          <w:lang w:val="pt-PT" w:eastAsia="ja-JP"/>
        </w:rPr>
        <w:t>actividades</w:t>
      </w:r>
      <w:proofErr w:type="spellEnd"/>
      <w:r w:rsidRPr="00F17EFF">
        <w:rPr>
          <w:lang w:val="pt-PT" w:eastAsia="ja-JP"/>
        </w:rPr>
        <w:t xml:space="preserve"> cujos impactos diretos individuais podem ser relativamente menores, mas em combinação com outros resultam em efeitos ambientais significativos. No caso vertente, estes resultarão de impactos incrementais, nas áreas do </w:t>
      </w:r>
      <w:proofErr w:type="spellStart"/>
      <w:r w:rsidRPr="00F17EFF">
        <w:rPr>
          <w:lang w:val="pt-PT" w:eastAsia="ja-JP"/>
        </w:rPr>
        <w:t>projecto</w:t>
      </w:r>
      <w:proofErr w:type="spellEnd"/>
      <w:r w:rsidRPr="00F17EFF">
        <w:rPr>
          <w:lang w:val="pt-PT" w:eastAsia="ja-JP"/>
        </w:rPr>
        <w:t xml:space="preserve"> ou nos recursos utilizados ou diretamente impactados pelo </w:t>
      </w:r>
      <w:proofErr w:type="spellStart"/>
      <w:r w:rsidRPr="00F17EFF">
        <w:rPr>
          <w:lang w:val="pt-PT" w:eastAsia="ja-JP"/>
        </w:rPr>
        <w:t>projecto</w:t>
      </w:r>
      <w:proofErr w:type="spellEnd"/>
      <w:r w:rsidRPr="00F17EFF">
        <w:rPr>
          <w:lang w:val="pt-PT" w:eastAsia="ja-JP"/>
        </w:rPr>
        <w:t>, de outros empreendimentos existentes, planejados ou razoavelmente definidos em suas proximidades.</w:t>
      </w:r>
    </w:p>
    <w:p w14:paraId="7957FACF" w14:textId="6A32CBD2" w:rsidR="00F17EFF" w:rsidRDefault="00F17EFF" w:rsidP="00F17EFF">
      <w:pPr>
        <w:rPr>
          <w:lang w:val="pt-PT" w:eastAsia="ja-JP"/>
        </w:rPr>
      </w:pPr>
      <w:r w:rsidRPr="00F17EFF">
        <w:rPr>
          <w:lang w:val="pt-PT" w:eastAsia="ja-JP"/>
        </w:rPr>
        <w:t xml:space="preserve">Os múltiplos impactos de diferentes </w:t>
      </w:r>
      <w:proofErr w:type="spellStart"/>
      <w:r w:rsidRPr="00F17EFF">
        <w:rPr>
          <w:lang w:val="pt-PT" w:eastAsia="ja-JP"/>
        </w:rPr>
        <w:t>actividades</w:t>
      </w:r>
      <w:proofErr w:type="spellEnd"/>
      <w:r w:rsidRPr="00F17EFF">
        <w:rPr>
          <w:lang w:val="pt-PT" w:eastAsia="ja-JP"/>
        </w:rPr>
        <w:t xml:space="preserve"> podem ter um efeito aditivo, sinérgico ou antagônico entre si e com os processos naturais, criando efeitos cumulativos para o meio ambiente que são diferentes e mais significativos do que os impactos individuais diretos das </w:t>
      </w:r>
      <w:proofErr w:type="spellStart"/>
      <w:r w:rsidRPr="00F17EFF">
        <w:rPr>
          <w:lang w:val="pt-PT" w:eastAsia="ja-JP"/>
        </w:rPr>
        <w:t>actividades</w:t>
      </w:r>
      <w:proofErr w:type="spellEnd"/>
      <w:r w:rsidRPr="00F17EFF">
        <w:rPr>
          <w:lang w:val="pt-PT" w:eastAsia="ja-JP"/>
        </w:rPr>
        <w:t xml:space="preserve">. Embora muitas </w:t>
      </w:r>
      <w:proofErr w:type="spellStart"/>
      <w:r w:rsidRPr="00F17EFF">
        <w:rPr>
          <w:lang w:val="pt-PT" w:eastAsia="ja-JP"/>
        </w:rPr>
        <w:t>actividades</w:t>
      </w:r>
      <w:proofErr w:type="spellEnd"/>
      <w:r w:rsidRPr="00F17EFF">
        <w:rPr>
          <w:lang w:val="pt-PT" w:eastAsia="ja-JP"/>
        </w:rPr>
        <w:t xml:space="preserve"> de desenvolvimento tenham impactos menores individualmente, coletivamente, ao longo do tempo, seu impacto sobre o meio ambiente pode ser substancial. Com o tempo, os impactos indiretos das </w:t>
      </w:r>
      <w:proofErr w:type="spellStart"/>
      <w:r w:rsidRPr="00F17EFF">
        <w:rPr>
          <w:lang w:val="pt-PT" w:eastAsia="ja-JP"/>
        </w:rPr>
        <w:t>actividades</w:t>
      </w:r>
      <w:proofErr w:type="spellEnd"/>
      <w:r w:rsidRPr="00F17EFF">
        <w:rPr>
          <w:lang w:val="pt-PT" w:eastAsia="ja-JP"/>
        </w:rPr>
        <w:t xml:space="preserve"> podem ter impactos mais graves nos ecossistemas do que os diretos e podem ter impactos em escalas temporais e espaciais maiores do que as de </w:t>
      </w:r>
      <w:proofErr w:type="spellStart"/>
      <w:r w:rsidRPr="00F17EFF">
        <w:rPr>
          <w:lang w:val="pt-PT" w:eastAsia="ja-JP"/>
        </w:rPr>
        <w:t>actividades</w:t>
      </w:r>
      <w:proofErr w:type="spellEnd"/>
      <w:r>
        <w:rPr>
          <w:lang w:val="pt-PT" w:eastAsia="ja-JP"/>
        </w:rPr>
        <w:t>.</w:t>
      </w:r>
    </w:p>
    <w:p w14:paraId="6D43163D" w14:textId="77777777" w:rsidR="00F17EFF" w:rsidRPr="00F17EFF" w:rsidRDefault="00F17EFF" w:rsidP="00F17EFF">
      <w:pPr>
        <w:rPr>
          <w:lang w:val="pt-PT" w:eastAsia="ja-JP"/>
        </w:rPr>
      </w:pPr>
      <w:r w:rsidRPr="00F17EFF">
        <w:rPr>
          <w:lang w:val="pt-PT" w:eastAsia="ja-JP"/>
        </w:rPr>
        <w:t xml:space="preserve">Os impactos do </w:t>
      </w:r>
      <w:proofErr w:type="spellStart"/>
      <w:r w:rsidRPr="00F17EFF">
        <w:rPr>
          <w:lang w:val="pt-PT" w:eastAsia="ja-JP"/>
        </w:rPr>
        <w:t>Projecto</w:t>
      </w:r>
      <w:proofErr w:type="spellEnd"/>
      <w:r w:rsidRPr="00F17EFF">
        <w:rPr>
          <w:lang w:val="pt-PT" w:eastAsia="ja-JP"/>
        </w:rPr>
        <w:t xml:space="preserve"> Água Segura serão considerados em conjunto com os impactos potenciais de outros desenvolvimentos ou </w:t>
      </w:r>
      <w:proofErr w:type="spellStart"/>
      <w:r w:rsidRPr="00F17EFF">
        <w:rPr>
          <w:lang w:val="pt-PT" w:eastAsia="ja-JP"/>
        </w:rPr>
        <w:t>actividades</w:t>
      </w:r>
      <w:proofErr w:type="spellEnd"/>
      <w:r w:rsidRPr="00F17EFF">
        <w:rPr>
          <w:lang w:val="pt-PT" w:eastAsia="ja-JP"/>
        </w:rPr>
        <w:t xml:space="preserve"> </w:t>
      </w:r>
      <w:proofErr w:type="spellStart"/>
      <w:r w:rsidRPr="00F17EFF">
        <w:rPr>
          <w:lang w:val="pt-PT" w:eastAsia="ja-JP"/>
        </w:rPr>
        <w:t>actuais</w:t>
      </w:r>
      <w:proofErr w:type="spellEnd"/>
      <w:r w:rsidRPr="00F17EFF">
        <w:rPr>
          <w:lang w:val="pt-PT" w:eastAsia="ja-JP"/>
        </w:rPr>
        <w:t xml:space="preserve"> e futuras que ocorram dentro da mesma área geográfica, para potenciais interações ambientais e sociais, para criar pelo menos um impacto geral significativo. No entanto, esses efeitos podem ser difíceis de prever e aferir devido a dados ambientais inadequados de base, processos ecológicos complexos e a grande escala em que o </w:t>
      </w:r>
      <w:proofErr w:type="spellStart"/>
      <w:r w:rsidRPr="00F17EFF">
        <w:rPr>
          <w:lang w:val="pt-PT" w:eastAsia="ja-JP"/>
        </w:rPr>
        <w:t>projecto</w:t>
      </w:r>
      <w:proofErr w:type="spellEnd"/>
      <w:r w:rsidRPr="00F17EFF">
        <w:rPr>
          <w:lang w:val="pt-PT" w:eastAsia="ja-JP"/>
        </w:rPr>
        <w:t xml:space="preserve"> será realizado. Para a consideração atual do QGAS, uma avaliação rápida dos impactos cumulativos será feita. Para a avaliação atual, os seguintes componentes ambientais e sociais (</w:t>
      </w:r>
      <w:proofErr w:type="spellStart"/>
      <w:r w:rsidRPr="00F17EFF">
        <w:rPr>
          <w:lang w:val="pt-PT" w:eastAsia="ja-JP"/>
        </w:rPr>
        <w:t>VECs</w:t>
      </w:r>
      <w:proofErr w:type="spellEnd"/>
      <w:r w:rsidRPr="00F17EFF">
        <w:rPr>
          <w:lang w:val="pt-PT" w:eastAsia="ja-JP"/>
        </w:rPr>
        <w:t>) são considerados:</w:t>
      </w:r>
    </w:p>
    <w:p w14:paraId="41B91CBE" w14:textId="77777777" w:rsidR="00F17EFF" w:rsidRPr="00F17EFF" w:rsidRDefault="00F17EFF" w:rsidP="004500AE">
      <w:pPr>
        <w:spacing w:before="120" w:after="120"/>
        <w:rPr>
          <w:lang w:val="pt-PT" w:eastAsia="ja-JP"/>
        </w:rPr>
      </w:pPr>
      <w:r w:rsidRPr="00F17EFF">
        <w:rPr>
          <w:lang w:val="pt-PT" w:eastAsia="ja-JP"/>
        </w:rPr>
        <w:t>•</w:t>
      </w:r>
      <w:r w:rsidRPr="00F17EFF">
        <w:rPr>
          <w:lang w:val="pt-PT" w:eastAsia="ja-JP"/>
        </w:rPr>
        <w:tab/>
        <w:t>Características físicas, incluindo solo e água;</w:t>
      </w:r>
    </w:p>
    <w:p w14:paraId="75908527" w14:textId="77777777" w:rsidR="00F17EFF" w:rsidRPr="00F17EFF" w:rsidRDefault="00F17EFF" w:rsidP="004500AE">
      <w:pPr>
        <w:spacing w:before="120" w:after="120"/>
        <w:rPr>
          <w:lang w:val="pt-PT" w:eastAsia="ja-JP"/>
        </w:rPr>
      </w:pPr>
      <w:r w:rsidRPr="00F17EFF">
        <w:rPr>
          <w:lang w:val="pt-PT" w:eastAsia="ja-JP"/>
        </w:rPr>
        <w:t>•</w:t>
      </w:r>
      <w:r w:rsidRPr="00F17EFF">
        <w:rPr>
          <w:lang w:val="pt-PT" w:eastAsia="ja-JP"/>
        </w:rPr>
        <w:tab/>
        <w:t>Processos ambientais;</w:t>
      </w:r>
    </w:p>
    <w:p w14:paraId="44512B18" w14:textId="77777777" w:rsidR="00F17EFF" w:rsidRPr="00F17EFF" w:rsidRDefault="00F17EFF" w:rsidP="004500AE">
      <w:pPr>
        <w:spacing w:before="120" w:after="120"/>
        <w:rPr>
          <w:lang w:val="pt-PT" w:eastAsia="ja-JP"/>
        </w:rPr>
      </w:pPr>
      <w:r w:rsidRPr="00F17EFF">
        <w:rPr>
          <w:lang w:val="pt-PT" w:eastAsia="ja-JP"/>
        </w:rPr>
        <w:t>•</w:t>
      </w:r>
      <w:r w:rsidRPr="00F17EFF">
        <w:rPr>
          <w:lang w:val="pt-PT" w:eastAsia="ja-JP"/>
        </w:rPr>
        <w:tab/>
        <w:t>Condições do ecossistema (por exemplo, biodiversidade);</w:t>
      </w:r>
    </w:p>
    <w:p w14:paraId="78EF105B" w14:textId="77777777" w:rsidR="00F17EFF" w:rsidRPr="00F17EFF" w:rsidRDefault="00F17EFF" w:rsidP="004500AE">
      <w:pPr>
        <w:spacing w:before="120" w:after="120"/>
        <w:rPr>
          <w:lang w:val="pt-PT" w:eastAsia="ja-JP"/>
        </w:rPr>
      </w:pPr>
      <w:r w:rsidRPr="00F17EFF">
        <w:rPr>
          <w:lang w:val="pt-PT" w:eastAsia="ja-JP"/>
        </w:rPr>
        <w:t>•</w:t>
      </w:r>
      <w:r w:rsidRPr="00F17EFF">
        <w:rPr>
          <w:lang w:val="pt-PT" w:eastAsia="ja-JP"/>
        </w:rPr>
        <w:tab/>
        <w:t>Condições sociais (por exemplo, saúde, economia); e</w:t>
      </w:r>
    </w:p>
    <w:p w14:paraId="39C22762" w14:textId="06536EB2" w:rsidR="00F17EFF" w:rsidRDefault="00F17EFF" w:rsidP="004500AE">
      <w:pPr>
        <w:spacing w:before="120" w:after="120"/>
        <w:rPr>
          <w:lang w:val="pt-PT" w:eastAsia="ja-JP"/>
        </w:rPr>
      </w:pPr>
      <w:r w:rsidRPr="00F17EFF">
        <w:rPr>
          <w:lang w:val="pt-PT" w:eastAsia="ja-JP"/>
        </w:rPr>
        <w:t>•</w:t>
      </w:r>
      <w:r w:rsidRPr="00F17EFF">
        <w:rPr>
          <w:lang w:val="pt-PT" w:eastAsia="ja-JP"/>
        </w:rPr>
        <w:tab/>
      </w:r>
      <w:proofErr w:type="spellStart"/>
      <w:r w:rsidRPr="00F17EFF">
        <w:rPr>
          <w:lang w:val="pt-PT" w:eastAsia="ja-JP"/>
        </w:rPr>
        <w:t>Aspectos</w:t>
      </w:r>
      <w:proofErr w:type="spellEnd"/>
      <w:r w:rsidRPr="00F17EFF">
        <w:rPr>
          <w:lang w:val="pt-PT" w:eastAsia="ja-JP"/>
        </w:rPr>
        <w:t xml:space="preserve"> culturais</w:t>
      </w:r>
    </w:p>
    <w:p w14:paraId="532AF886" w14:textId="538D9347" w:rsidR="00CD1C60" w:rsidRPr="00292532" w:rsidRDefault="00CD1C60" w:rsidP="00F17EFF">
      <w:pPr>
        <w:rPr>
          <w:lang w:val="pt-PT" w:eastAsia="ja-JP"/>
        </w:rPr>
      </w:pPr>
      <w:r w:rsidRPr="00292532">
        <w:rPr>
          <w:lang w:val="pt-PT" w:eastAsia="ja-JP"/>
        </w:rPr>
        <w:t xml:space="preserve">Os impactos cumulativos serão gerados devido às seguintes </w:t>
      </w:r>
      <w:proofErr w:type="spellStart"/>
      <w:r w:rsidRPr="00292532">
        <w:rPr>
          <w:lang w:val="pt-PT" w:eastAsia="ja-JP"/>
        </w:rPr>
        <w:t>interacções</w:t>
      </w:r>
      <w:proofErr w:type="spellEnd"/>
      <w:r w:rsidRPr="00292532">
        <w:rPr>
          <w:lang w:val="pt-PT" w:eastAsia="ja-JP"/>
        </w:rPr>
        <w:t xml:space="preserve">: </w:t>
      </w:r>
    </w:p>
    <w:p w14:paraId="5519A400" w14:textId="09FB761E" w:rsidR="00CD1C60" w:rsidRPr="00292532" w:rsidRDefault="00CD1C60" w:rsidP="00CD1C60">
      <w:pPr>
        <w:pStyle w:val="ListParagraph"/>
        <w:numPr>
          <w:ilvl w:val="0"/>
          <w:numId w:val="30"/>
        </w:numPr>
        <w:rPr>
          <w:lang w:val="pt-PT" w:eastAsia="ja-JP"/>
        </w:rPr>
      </w:pPr>
      <w:r w:rsidRPr="00292532">
        <w:rPr>
          <w:lang w:val="pt-PT" w:eastAsia="ja-JP"/>
        </w:rPr>
        <w:t xml:space="preserve">Entre os vários subprojectos no âmbito do </w:t>
      </w:r>
      <w:proofErr w:type="spellStart"/>
      <w:r w:rsidRPr="00292532">
        <w:rPr>
          <w:lang w:val="pt-PT" w:eastAsia="ja-JP"/>
        </w:rPr>
        <w:t>Projecto</w:t>
      </w:r>
      <w:proofErr w:type="spellEnd"/>
      <w:r w:rsidRPr="00292532">
        <w:rPr>
          <w:lang w:val="pt-PT" w:eastAsia="ja-JP"/>
        </w:rPr>
        <w:t xml:space="preserve"> Água Segura </w:t>
      </w:r>
    </w:p>
    <w:p w14:paraId="0EEF0AE8" w14:textId="7F0A2A04" w:rsidR="00CD1C60" w:rsidRPr="00292532" w:rsidRDefault="00CD1C60" w:rsidP="00CD1C60">
      <w:pPr>
        <w:pStyle w:val="ListParagraph"/>
        <w:numPr>
          <w:ilvl w:val="0"/>
          <w:numId w:val="30"/>
        </w:numPr>
        <w:rPr>
          <w:lang w:val="pt-PT" w:eastAsia="ja-JP"/>
        </w:rPr>
      </w:pPr>
      <w:r w:rsidRPr="00292532">
        <w:rPr>
          <w:lang w:val="pt-PT" w:eastAsia="ja-JP"/>
        </w:rPr>
        <w:t xml:space="preserve">Entre </w:t>
      </w:r>
      <w:r w:rsidR="0025375A" w:rsidRPr="00292532">
        <w:rPr>
          <w:lang w:val="pt-PT" w:eastAsia="ja-JP"/>
        </w:rPr>
        <w:t xml:space="preserve">os </w:t>
      </w:r>
      <w:proofErr w:type="spellStart"/>
      <w:r w:rsidR="0025375A" w:rsidRPr="00292532">
        <w:rPr>
          <w:lang w:val="pt-PT" w:eastAsia="ja-JP"/>
        </w:rPr>
        <w:t>projectos</w:t>
      </w:r>
      <w:proofErr w:type="spellEnd"/>
      <w:r w:rsidRPr="00292532">
        <w:rPr>
          <w:lang w:val="pt-PT" w:eastAsia="ja-JP"/>
        </w:rPr>
        <w:t xml:space="preserve"> </w:t>
      </w:r>
      <w:r w:rsidR="000A1762">
        <w:rPr>
          <w:lang w:val="pt-PT" w:eastAsia="ja-JP"/>
        </w:rPr>
        <w:t>Á</w:t>
      </w:r>
      <w:r w:rsidRPr="00292532">
        <w:rPr>
          <w:lang w:val="pt-PT" w:eastAsia="ja-JP"/>
        </w:rPr>
        <w:t xml:space="preserve">gua Segura e outros </w:t>
      </w:r>
      <w:proofErr w:type="spellStart"/>
      <w:r w:rsidRPr="00292532">
        <w:rPr>
          <w:lang w:val="pt-PT" w:eastAsia="ja-JP"/>
        </w:rPr>
        <w:t>projectos</w:t>
      </w:r>
      <w:proofErr w:type="spellEnd"/>
      <w:r w:rsidRPr="00292532">
        <w:rPr>
          <w:lang w:val="pt-PT" w:eastAsia="ja-JP"/>
        </w:rPr>
        <w:t xml:space="preserve"> do Sector (p.e. </w:t>
      </w:r>
      <w:proofErr w:type="spellStart"/>
      <w:r w:rsidRPr="00292532">
        <w:rPr>
          <w:lang w:val="pt-PT" w:eastAsia="ja-JP"/>
        </w:rPr>
        <w:t>Projecto</w:t>
      </w:r>
      <w:proofErr w:type="spellEnd"/>
      <w:r w:rsidRPr="00292532">
        <w:rPr>
          <w:lang w:val="pt-PT" w:eastAsia="ja-JP"/>
        </w:rPr>
        <w:t xml:space="preserve"> de Saneamento Urbano) </w:t>
      </w:r>
    </w:p>
    <w:p w14:paraId="0CD9975F" w14:textId="027C625B" w:rsidR="00CD1C60" w:rsidRPr="004500AE" w:rsidRDefault="00CD1C60" w:rsidP="004500AE">
      <w:pPr>
        <w:pStyle w:val="ListParagraph"/>
        <w:numPr>
          <w:ilvl w:val="0"/>
          <w:numId w:val="30"/>
        </w:numPr>
        <w:rPr>
          <w:lang w:val="pt-PT" w:eastAsia="ja-JP"/>
        </w:rPr>
      </w:pPr>
      <w:r w:rsidRPr="00292532">
        <w:rPr>
          <w:lang w:val="pt-PT" w:eastAsia="ja-JP"/>
        </w:rPr>
        <w:t xml:space="preserve">Entre os </w:t>
      </w:r>
      <w:proofErr w:type="spellStart"/>
      <w:r w:rsidRPr="00292532">
        <w:rPr>
          <w:lang w:val="pt-PT" w:eastAsia="ja-JP"/>
        </w:rPr>
        <w:t>Projecto</w:t>
      </w:r>
      <w:proofErr w:type="spellEnd"/>
      <w:r w:rsidRPr="00292532">
        <w:rPr>
          <w:lang w:val="pt-PT" w:eastAsia="ja-JP"/>
        </w:rPr>
        <w:t xml:space="preserve"> Água Segura e outros </w:t>
      </w:r>
      <w:proofErr w:type="spellStart"/>
      <w:r w:rsidRPr="00292532">
        <w:rPr>
          <w:lang w:val="pt-PT" w:eastAsia="ja-JP"/>
        </w:rPr>
        <w:t>projectos</w:t>
      </w:r>
      <w:proofErr w:type="spellEnd"/>
      <w:r w:rsidRPr="00292532">
        <w:rPr>
          <w:lang w:val="pt-PT" w:eastAsia="ja-JP"/>
        </w:rPr>
        <w:t xml:space="preserve"> de outros sectores </w:t>
      </w:r>
      <w:proofErr w:type="spellStart"/>
      <w:r w:rsidRPr="00292532">
        <w:rPr>
          <w:lang w:val="pt-PT" w:eastAsia="ja-JP"/>
        </w:rPr>
        <w:t>actualmente</w:t>
      </w:r>
      <w:proofErr w:type="spellEnd"/>
      <w:r w:rsidRPr="00292532">
        <w:rPr>
          <w:lang w:val="pt-PT" w:eastAsia="ja-JP"/>
        </w:rPr>
        <w:t xml:space="preserve"> a serem desenvolvidos (ou a desenvolver no futuro) </w:t>
      </w:r>
    </w:p>
    <w:p w14:paraId="26F0DD04" w14:textId="1A189B6A" w:rsidR="00F17EFF" w:rsidRPr="00F17EFF" w:rsidRDefault="00F17EFF" w:rsidP="00F17EFF">
      <w:pPr>
        <w:rPr>
          <w:lang w:val="pt-PT" w:eastAsia="ja-JP"/>
        </w:rPr>
      </w:pPr>
      <w:r w:rsidRPr="00F17EFF">
        <w:rPr>
          <w:lang w:val="pt-PT" w:eastAsia="ja-JP"/>
        </w:rPr>
        <w:t xml:space="preserve">Uma vez que os subprojectos ocorrerão perto de outras intervenções, como agricultura, turismo, infraestrutura, mineração, etc. e contribuirão para aumentar a importância para o ambiente natural e social </w:t>
      </w:r>
      <w:proofErr w:type="spellStart"/>
      <w:r w:rsidRPr="00F17EFF">
        <w:rPr>
          <w:lang w:val="pt-PT" w:eastAsia="ja-JP"/>
        </w:rPr>
        <w:t>receptor</w:t>
      </w:r>
      <w:proofErr w:type="spellEnd"/>
      <w:r w:rsidRPr="00F17EFF">
        <w:rPr>
          <w:lang w:val="pt-PT" w:eastAsia="ja-JP"/>
        </w:rPr>
        <w:t xml:space="preserve">, eles resultarão em aumento da pressão sobre a terra, solo, água, florestas, vida selvagem, ar, etc., que podem agravar os conflitos sociais e a degradação dos ecossistemas. Moçambique está bem-dotado de recursos naturais e tem uma densidade populacional relativamente </w:t>
      </w:r>
      <w:r>
        <w:rPr>
          <w:lang w:val="pt-PT" w:eastAsia="ja-JP"/>
        </w:rPr>
        <w:t>alta</w:t>
      </w:r>
      <w:r w:rsidRPr="00F17EFF">
        <w:rPr>
          <w:lang w:val="pt-PT" w:eastAsia="ja-JP"/>
        </w:rPr>
        <w:t xml:space="preserve">, especialmente nas </w:t>
      </w:r>
      <w:r>
        <w:rPr>
          <w:lang w:val="pt-PT" w:eastAsia="ja-JP"/>
        </w:rPr>
        <w:t xml:space="preserve">duas </w:t>
      </w:r>
      <w:proofErr w:type="spellStart"/>
      <w:r>
        <w:rPr>
          <w:lang w:val="pt-PT" w:eastAsia="ja-JP"/>
        </w:rPr>
        <w:t>Provincias</w:t>
      </w:r>
      <w:proofErr w:type="spellEnd"/>
      <w:r>
        <w:rPr>
          <w:lang w:val="pt-PT" w:eastAsia="ja-JP"/>
        </w:rPr>
        <w:t xml:space="preserve"> abrangidas pelo </w:t>
      </w:r>
      <w:proofErr w:type="spellStart"/>
      <w:r>
        <w:rPr>
          <w:lang w:val="pt-PT" w:eastAsia="ja-JP"/>
        </w:rPr>
        <w:t>projecto</w:t>
      </w:r>
      <w:proofErr w:type="spellEnd"/>
      <w:r>
        <w:rPr>
          <w:lang w:val="pt-PT" w:eastAsia="ja-JP"/>
        </w:rPr>
        <w:t xml:space="preserve">, </w:t>
      </w:r>
      <w:r>
        <w:rPr>
          <w:lang w:val="pt-PT" w:eastAsia="ja-JP"/>
        </w:rPr>
        <w:lastRenderedPageBreak/>
        <w:t xml:space="preserve">que </w:t>
      </w:r>
      <w:r w:rsidRPr="00F17EFF">
        <w:rPr>
          <w:lang w:val="pt-PT" w:eastAsia="ja-JP"/>
        </w:rPr>
        <w:t>utilizarão diferentes tipos de recursos</w:t>
      </w:r>
      <w:r>
        <w:rPr>
          <w:lang w:val="pt-PT" w:eastAsia="ja-JP"/>
        </w:rPr>
        <w:t xml:space="preserve">. Uma </w:t>
      </w:r>
      <w:r w:rsidRPr="00F17EFF">
        <w:rPr>
          <w:lang w:val="pt-PT" w:eastAsia="ja-JP"/>
        </w:rPr>
        <w:t xml:space="preserve">das melhores </w:t>
      </w:r>
      <w:r>
        <w:rPr>
          <w:lang w:val="pt-PT" w:eastAsia="ja-JP"/>
        </w:rPr>
        <w:t xml:space="preserve">formas de </w:t>
      </w:r>
      <w:r w:rsidRPr="00F17EFF">
        <w:rPr>
          <w:lang w:val="pt-PT" w:eastAsia="ja-JP"/>
        </w:rPr>
        <w:t>mitigar seus impactos potenciais é o planeamento adequado do uso da terra, da água e dos recursos naturais.</w:t>
      </w:r>
    </w:p>
    <w:p w14:paraId="015BBB52" w14:textId="13385BF3" w:rsidR="00F17EFF" w:rsidRPr="00F17EFF" w:rsidRDefault="00F17EFF" w:rsidP="00F17EFF">
      <w:pPr>
        <w:rPr>
          <w:lang w:val="pt-PT" w:eastAsia="ja-JP"/>
        </w:rPr>
      </w:pPr>
      <w:r w:rsidRPr="00F17EFF">
        <w:rPr>
          <w:lang w:val="pt-PT" w:eastAsia="ja-JP"/>
        </w:rPr>
        <w:t>•</w:t>
      </w:r>
      <w:r w:rsidRPr="00F17EFF">
        <w:rPr>
          <w:lang w:val="pt-PT" w:eastAsia="ja-JP"/>
        </w:rPr>
        <w:tab/>
        <w:t>Terr</w:t>
      </w:r>
      <w:r>
        <w:rPr>
          <w:lang w:val="pt-PT" w:eastAsia="ja-JP"/>
        </w:rPr>
        <w:t>a</w:t>
      </w:r>
      <w:r w:rsidRPr="00F17EFF">
        <w:rPr>
          <w:lang w:val="pt-PT" w:eastAsia="ja-JP"/>
        </w:rPr>
        <w:t xml:space="preserve">: </w:t>
      </w:r>
      <w:r>
        <w:rPr>
          <w:lang w:val="pt-PT" w:eastAsia="ja-JP"/>
        </w:rPr>
        <w:t xml:space="preserve">as </w:t>
      </w:r>
      <w:proofErr w:type="spellStart"/>
      <w:r>
        <w:rPr>
          <w:lang w:val="pt-PT" w:eastAsia="ja-JP"/>
        </w:rPr>
        <w:t>actividades</w:t>
      </w:r>
      <w:proofErr w:type="spellEnd"/>
      <w:r>
        <w:rPr>
          <w:lang w:val="pt-PT" w:eastAsia="ja-JP"/>
        </w:rPr>
        <w:t xml:space="preserve"> do </w:t>
      </w:r>
      <w:proofErr w:type="spellStart"/>
      <w:r>
        <w:rPr>
          <w:lang w:val="pt-PT" w:eastAsia="ja-JP"/>
        </w:rPr>
        <w:t>Projecto</w:t>
      </w:r>
      <w:proofErr w:type="spellEnd"/>
      <w:r>
        <w:rPr>
          <w:lang w:val="pt-PT" w:eastAsia="ja-JP"/>
        </w:rPr>
        <w:t xml:space="preserve"> deverão ser, sempre que possível e </w:t>
      </w:r>
      <w:proofErr w:type="spellStart"/>
      <w:r>
        <w:rPr>
          <w:lang w:val="pt-PT" w:eastAsia="ja-JP"/>
        </w:rPr>
        <w:t>exiquivel</w:t>
      </w:r>
      <w:proofErr w:type="spellEnd"/>
      <w:r>
        <w:rPr>
          <w:lang w:val="pt-PT" w:eastAsia="ja-JP"/>
        </w:rPr>
        <w:t>, de</w:t>
      </w:r>
      <w:r w:rsidRPr="00F17EFF">
        <w:rPr>
          <w:lang w:val="pt-PT" w:eastAsia="ja-JP"/>
        </w:rPr>
        <w:t xml:space="preserve">senvolvidos em terras que legalmente pertencem ao proponente do </w:t>
      </w:r>
      <w:proofErr w:type="spellStart"/>
      <w:proofErr w:type="gramStart"/>
      <w:r w:rsidRPr="00F17EFF">
        <w:rPr>
          <w:lang w:val="pt-PT" w:eastAsia="ja-JP"/>
        </w:rPr>
        <w:t>projecto</w:t>
      </w:r>
      <w:proofErr w:type="spellEnd"/>
      <w:r w:rsidRPr="00F17EFF">
        <w:rPr>
          <w:lang w:val="pt-PT" w:eastAsia="ja-JP"/>
        </w:rPr>
        <w:t xml:space="preserve"> </w:t>
      </w:r>
      <w:r>
        <w:rPr>
          <w:lang w:val="pt-PT" w:eastAsia="ja-JP"/>
        </w:rPr>
        <w:t>,</w:t>
      </w:r>
      <w:proofErr w:type="gramEnd"/>
      <w:r>
        <w:rPr>
          <w:lang w:val="pt-PT" w:eastAsia="ja-JP"/>
        </w:rPr>
        <w:t xml:space="preserve"> ou no domínio público, </w:t>
      </w:r>
      <w:r w:rsidRPr="00F17EFF">
        <w:rPr>
          <w:lang w:val="pt-PT" w:eastAsia="ja-JP"/>
        </w:rPr>
        <w:t xml:space="preserve">e que nenhum problema de terra possa surgir posteriormente. Os </w:t>
      </w:r>
      <w:proofErr w:type="spellStart"/>
      <w:r w:rsidRPr="00F17EFF">
        <w:rPr>
          <w:lang w:val="pt-PT" w:eastAsia="ja-JP"/>
        </w:rPr>
        <w:t>projectos</w:t>
      </w:r>
      <w:proofErr w:type="spellEnd"/>
      <w:r w:rsidRPr="00F17EFF">
        <w:rPr>
          <w:lang w:val="pt-PT" w:eastAsia="ja-JP"/>
        </w:rPr>
        <w:t xml:space="preserve"> com reassentamento involuntário devem ser evitados a </w:t>
      </w:r>
      <w:proofErr w:type="gramStart"/>
      <w:r w:rsidRPr="00F17EFF">
        <w:rPr>
          <w:lang w:val="pt-PT" w:eastAsia="ja-JP"/>
        </w:rPr>
        <w:t>todo</w:t>
      </w:r>
      <w:proofErr w:type="gramEnd"/>
      <w:r w:rsidRPr="00F17EFF">
        <w:rPr>
          <w:lang w:val="pt-PT" w:eastAsia="ja-JP"/>
        </w:rPr>
        <w:t xml:space="preserve"> custo. Além disso, deve</w:t>
      </w:r>
      <w:r>
        <w:rPr>
          <w:lang w:val="pt-PT" w:eastAsia="ja-JP"/>
        </w:rPr>
        <w:t xml:space="preserve">-se </w:t>
      </w:r>
      <w:r w:rsidRPr="00F17EFF">
        <w:rPr>
          <w:lang w:val="pt-PT" w:eastAsia="ja-JP"/>
        </w:rPr>
        <w:t>esforçar para utilizar a terra que já foi perturbada e evitar a abertura e limpeza de novas áreas.</w:t>
      </w:r>
    </w:p>
    <w:p w14:paraId="372DFC9A" w14:textId="6A4FE454" w:rsidR="00F17EFF" w:rsidRPr="00F17EFF" w:rsidRDefault="00F17EFF" w:rsidP="00F17EFF">
      <w:pPr>
        <w:rPr>
          <w:lang w:val="pt-PT" w:eastAsia="ja-JP"/>
        </w:rPr>
      </w:pPr>
      <w:r w:rsidRPr="00F17EFF">
        <w:rPr>
          <w:lang w:val="pt-PT" w:eastAsia="ja-JP"/>
        </w:rPr>
        <w:t>•</w:t>
      </w:r>
      <w:r w:rsidRPr="00F17EFF">
        <w:rPr>
          <w:lang w:val="pt-PT" w:eastAsia="ja-JP"/>
        </w:rPr>
        <w:tab/>
        <w:t xml:space="preserve">Água: </w:t>
      </w:r>
      <w:r w:rsidR="00DB608A">
        <w:rPr>
          <w:lang w:val="pt-PT" w:eastAsia="ja-JP"/>
        </w:rPr>
        <w:t xml:space="preserve">Sendo este um </w:t>
      </w:r>
      <w:proofErr w:type="spellStart"/>
      <w:r w:rsidR="00DB608A">
        <w:rPr>
          <w:lang w:val="pt-PT" w:eastAsia="ja-JP"/>
        </w:rPr>
        <w:t>Projecto</w:t>
      </w:r>
      <w:proofErr w:type="spellEnd"/>
      <w:r w:rsidR="00DB608A">
        <w:rPr>
          <w:lang w:val="pt-PT" w:eastAsia="ja-JP"/>
        </w:rPr>
        <w:t xml:space="preserve"> de uso da água, </w:t>
      </w:r>
      <w:r>
        <w:rPr>
          <w:lang w:val="pt-PT" w:eastAsia="ja-JP"/>
        </w:rPr>
        <w:t>as</w:t>
      </w:r>
      <w:r w:rsidRPr="00F17EFF">
        <w:rPr>
          <w:lang w:val="pt-PT" w:eastAsia="ja-JP"/>
        </w:rPr>
        <w:t xml:space="preserve"> necessidades de </w:t>
      </w:r>
      <w:r w:rsidR="00DB608A">
        <w:rPr>
          <w:lang w:val="pt-PT" w:eastAsia="ja-JP"/>
        </w:rPr>
        <w:t>outros usos deverão ser cuidadosamente avaliadas</w:t>
      </w:r>
      <w:r w:rsidRPr="00F17EFF">
        <w:rPr>
          <w:lang w:val="pt-PT" w:eastAsia="ja-JP"/>
        </w:rPr>
        <w:t>, de modo que as extrações excessivas sejam evitadas</w:t>
      </w:r>
      <w:r w:rsidR="00DB608A">
        <w:rPr>
          <w:lang w:val="pt-PT" w:eastAsia="ja-JP"/>
        </w:rPr>
        <w:t xml:space="preserve"> e perturbados os usos já existentes, mesmo </w:t>
      </w:r>
      <w:proofErr w:type="spellStart"/>
      <w:r w:rsidR="00DB608A">
        <w:rPr>
          <w:lang w:val="pt-PT" w:eastAsia="ja-JP"/>
        </w:rPr>
        <w:t>considernado</w:t>
      </w:r>
      <w:proofErr w:type="spellEnd"/>
      <w:r w:rsidR="00DB608A">
        <w:rPr>
          <w:lang w:val="pt-PT" w:eastAsia="ja-JP"/>
        </w:rPr>
        <w:t xml:space="preserve"> o caracter prioritário de abastecimento de água para consumo humano</w:t>
      </w:r>
      <w:r w:rsidRPr="00F17EFF">
        <w:rPr>
          <w:lang w:val="pt-PT" w:eastAsia="ja-JP"/>
        </w:rPr>
        <w:t>.</w:t>
      </w:r>
    </w:p>
    <w:p w14:paraId="4CAA3BEC" w14:textId="345D4D9D" w:rsidR="00F17EFF" w:rsidRDefault="00F17EFF" w:rsidP="00F17EFF">
      <w:pPr>
        <w:rPr>
          <w:lang w:val="pt-PT" w:eastAsia="ja-JP"/>
        </w:rPr>
      </w:pPr>
      <w:r w:rsidRPr="00F17EFF">
        <w:rPr>
          <w:lang w:val="pt-PT" w:eastAsia="ja-JP"/>
        </w:rPr>
        <w:t>•</w:t>
      </w:r>
      <w:r w:rsidRPr="00F17EFF">
        <w:rPr>
          <w:lang w:val="pt-PT" w:eastAsia="ja-JP"/>
        </w:rPr>
        <w:tab/>
        <w:t xml:space="preserve">Recursos naturais: </w:t>
      </w:r>
      <w:r w:rsidR="00DB608A">
        <w:rPr>
          <w:lang w:val="pt-PT" w:eastAsia="ja-JP"/>
        </w:rPr>
        <w:t xml:space="preserve">As </w:t>
      </w:r>
      <w:proofErr w:type="spellStart"/>
      <w:r w:rsidR="00DB608A">
        <w:rPr>
          <w:lang w:val="pt-PT" w:eastAsia="ja-JP"/>
        </w:rPr>
        <w:t>actividades</w:t>
      </w:r>
      <w:proofErr w:type="spellEnd"/>
      <w:r w:rsidR="00DB608A">
        <w:rPr>
          <w:lang w:val="pt-PT" w:eastAsia="ja-JP"/>
        </w:rPr>
        <w:t xml:space="preserve"> do </w:t>
      </w:r>
      <w:proofErr w:type="spellStart"/>
      <w:r w:rsidR="00DB608A">
        <w:rPr>
          <w:lang w:val="pt-PT" w:eastAsia="ja-JP"/>
        </w:rPr>
        <w:t>Projecto</w:t>
      </w:r>
      <w:proofErr w:type="spellEnd"/>
      <w:r w:rsidR="00DB608A">
        <w:rPr>
          <w:lang w:val="pt-PT" w:eastAsia="ja-JP"/>
        </w:rPr>
        <w:t xml:space="preserve"> </w:t>
      </w:r>
      <w:r w:rsidRPr="00F17EFF">
        <w:rPr>
          <w:lang w:val="pt-PT" w:eastAsia="ja-JP"/>
        </w:rPr>
        <w:t xml:space="preserve">devem ser </w:t>
      </w:r>
      <w:proofErr w:type="gramStart"/>
      <w:r w:rsidRPr="00F17EFF">
        <w:rPr>
          <w:lang w:val="pt-PT" w:eastAsia="ja-JP"/>
        </w:rPr>
        <w:t>avaliados</w:t>
      </w:r>
      <w:proofErr w:type="gramEnd"/>
      <w:r w:rsidRPr="00F17EFF">
        <w:rPr>
          <w:lang w:val="pt-PT" w:eastAsia="ja-JP"/>
        </w:rPr>
        <w:t xml:space="preserve"> em termos de suas necessidades de recursos naturais, de modo que a extração excessiva ou a extração de recursos naturais sejam evitadas. </w:t>
      </w:r>
      <w:r w:rsidR="00DB608A">
        <w:rPr>
          <w:lang w:val="pt-PT" w:eastAsia="ja-JP"/>
        </w:rPr>
        <w:t xml:space="preserve">Devem ser maximizadas as </w:t>
      </w:r>
      <w:r w:rsidRPr="00F17EFF">
        <w:rPr>
          <w:lang w:val="pt-PT" w:eastAsia="ja-JP"/>
        </w:rPr>
        <w:t xml:space="preserve">medidas relacionadas ao planeamento e coordenação do uso adequado da terra, água e recursos </w:t>
      </w:r>
      <w:r w:rsidR="00DB608A">
        <w:rPr>
          <w:lang w:val="pt-PT" w:eastAsia="ja-JP"/>
        </w:rPr>
        <w:t xml:space="preserve">de foram </w:t>
      </w:r>
      <w:r w:rsidRPr="00F17EFF">
        <w:rPr>
          <w:lang w:val="pt-PT" w:eastAsia="ja-JP"/>
        </w:rPr>
        <w:t>combinadas, contribui</w:t>
      </w:r>
      <w:r w:rsidR="00DB608A">
        <w:rPr>
          <w:lang w:val="pt-PT" w:eastAsia="ja-JP"/>
        </w:rPr>
        <w:t xml:space="preserve">ndo </w:t>
      </w:r>
      <w:r w:rsidRPr="00F17EFF">
        <w:rPr>
          <w:lang w:val="pt-PT" w:eastAsia="ja-JP"/>
        </w:rPr>
        <w:t xml:space="preserve">para reduzir a vulnerabilidade da área do </w:t>
      </w:r>
      <w:proofErr w:type="spellStart"/>
      <w:r w:rsidRPr="00F17EFF">
        <w:rPr>
          <w:lang w:val="pt-PT" w:eastAsia="ja-JP"/>
        </w:rPr>
        <w:t>projecto</w:t>
      </w:r>
      <w:proofErr w:type="spellEnd"/>
      <w:r w:rsidRPr="00F17EFF">
        <w:rPr>
          <w:lang w:val="pt-PT" w:eastAsia="ja-JP"/>
        </w:rPr>
        <w:t xml:space="preserve"> e aumentar sua resiliência às mudanças climáticas e à degradação geral do meio ambiente.</w:t>
      </w:r>
    </w:p>
    <w:p w14:paraId="3D82A154" w14:textId="43FAD3A3" w:rsidR="00F05E86" w:rsidRPr="00292532" w:rsidRDefault="00CD1C60" w:rsidP="00F05E86">
      <w:pPr>
        <w:rPr>
          <w:lang w:val="pt-PT" w:eastAsia="ja-JP"/>
        </w:rPr>
      </w:pPr>
      <w:r w:rsidRPr="00292532">
        <w:rPr>
          <w:lang w:val="pt-PT" w:eastAsia="ja-JP"/>
        </w:rPr>
        <w:t xml:space="preserve">A avaliação de impactos ambientais requer um levantamento sobre </w:t>
      </w:r>
      <w:proofErr w:type="spellStart"/>
      <w:r w:rsidRPr="00292532">
        <w:rPr>
          <w:lang w:val="pt-PT" w:eastAsia="ja-JP"/>
        </w:rPr>
        <w:t>Projectos</w:t>
      </w:r>
      <w:proofErr w:type="spellEnd"/>
      <w:r w:rsidRPr="00292532">
        <w:rPr>
          <w:lang w:val="pt-PT" w:eastAsia="ja-JP"/>
        </w:rPr>
        <w:t xml:space="preserve"> </w:t>
      </w:r>
      <w:r w:rsidR="0025375A" w:rsidRPr="00292532">
        <w:rPr>
          <w:lang w:val="pt-PT" w:eastAsia="ja-JP"/>
        </w:rPr>
        <w:t>existentes e</w:t>
      </w:r>
      <w:r w:rsidRPr="00292532">
        <w:rPr>
          <w:lang w:val="pt-PT" w:eastAsia="ja-JP"/>
        </w:rPr>
        <w:t xml:space="preserve"> planeados que potencial de interagir com o </w:t>
      </w:r>
      <w:proofErr w:type="spellStart"/>
      <w:r w:rsidRPr="00292532">
        <w:rPr>
          <w:lang w:val="pt-PT" w:eastAsia="ja-JP"/>
        </w:rPr>
        <w:t>Projecto</w:t>
      </w:r>
      <w:proofErr w:type="spellEnd"/>
      <w:r w:rsidRPr="00292532">
        <w:rPr>
          <w:lang w:val="pt-PT" w:eastAsia="ja-JP"/>
        </w:rPr>
        <w:t xml:space="preserve"> Água Segura. Esta análise será feita em detalhe no durante as avaliações de impacto ambiental futuras e estudos de viabilidade ambiental, saúde e segurança. </w:t>
      </w:r>
    </w:p>
    <w:p w14:paraId="35533A80" w14:textId="3B6E2E6E" w:rsidR="00CD1C60" w:rsidRPr="00292532" w:rsidRDefault="00CD1C60" w:rsidP="00F05E86">
      <w:pPr>
        <w:rPr>
          <w:lang w:val="pt-PT" w:eastAsia="ja-JP"/>
        </w:rPr>
      </w:pPr>
      <w:r w:rsidRPr="00292532">
        <w:rPr>
          <w:lang w:val="pt-PT" w:eastAsia="ja-JP"/>
        </w:rPr>
        <w:t xml:space="preserve">Foram identificados preliminarmente os seguintes potenciais impactos ambientais e sociais que podem resultar dos tipos de </w:t>
      </w:r>
      <w:proofErr w:type="spellStart"/>
      <w:r w:rsidRPr="00292532">
        <w:rPr>
          <w:lang w:val="pt-PT" w:eastAsia="ja-JP"/>
        </w:rPr>
        <w:t>interacções</w:t>
      </w:r>
      <w:proofErr w:type="spellEnd"/>
      <w:r w:rsidRPr="00292532">
        <w:rPr>
          <w:lang w:val="pt-PT" w:eastAsia="ja-JP"/>
        </w:rPr>
        <w:t xml:space="preserve"> acima mencionados: </w:t>
      </w:r>
    </w:p>
    <w:p w14:paraId="2AD88346" w14:textId="77777777" w:rsidR="00CD1C60" w:rsidRPr="00292532" w:rsidRDefault="00CD1C60" w:rsidP="00CD1C60">
      <w:pPr>
        <w:pStyle w:val="ListParagraph"/>
        <w:numPr>
          <w:ilvl w:val="0"/>
          <w:numId w:val="225"/>
        </w:numPr>
        <w:rPr>
          <w:lang w:val="pt-PT" w:eastAsia="ja-JP"/>
        </w:rPr>
      </w:pPr>
      <w:r w:rsidRPr="00292532">
        <w:rPr>
          <w:lang w:val="pt-PT" w:eastAsia="ja-JP"/>
        </w:rPr>
        <w:t>Emissões atmosféricas de gases de combustão</w:t>
      </w:r>
    </w:p>
    <w:p w14:paraId="4F30D372" w14:textId="77777777" w:rsidR="00CD1C60" w:rsidRPr="00292532" w:rsidRDefault="00CD1C60" w:rsidP="00CD1C60">
      <w:pPr>
        <w:pStyle w:val="ListParagraph"/>
        <w:numPr>
          <w:ilvl w:val="0"/>
          <w:numId w:val="225"/>
        </w:numPr>
        <w:rPr>
          <w:lang w:val="pt-PT" w:eastAsia="ja-JP"/>
        </w:rPr>
      </w:pPr>
      <w:r w:rsidRPr="00292532">
        <w:rPr>
          <w:lang w:val="pt-PT" w:eastAsia="ja-JP"/>
        </w:rPr>
        <w:t xml:space="preserve">Contaminação do solo </w:t>
      </w:r>
    </w:p>
    <w:p w14:paraId="1F2C8D0A" w14:textId="77777777" w:rsidR="00CD1C60" w:rsidRPr="00292532" w:rsidRDefault="00CD1C60" w:rsidP="00CD1C60">
      <w:pPr>
        <w:pStyle w:val="ListParagraph"/>
        <w:numPr>
          <w:ilvl w:val="0"/>
          <w:numId w:val="225"/>
        </w:numPr>
        <w:rPr>
          <w:lang w:val="pt-PT" w:eastAsia="ja-JP"/>
        </w:rPr>
      </w:pPr>
      <w:r w:rsidRPr="00292532">
        <w:rPr>
          <w:lang w:val="pt-PT" w:eastAsia="ja-JP"/>
        </w:rPr>
        <w:t xml:space="preserve">Assoreamento de corpos hídricos </w:t>
      </w:r>
    </w:p>
    <w:p w14:paraId="0B2B7D32" w14:textId="77777777" w:rsidR="00CD1C60" w:rsidRPr="00292532" w:rsidRDefault="00CD1C60" w:rsidP="00CD1C60">
      <w:pPr>
        <w:pStyle w:val="ListParagraph"/>
        <w:numPr>
          <w:ilvl w:val="0"/>
          <w:numId w:val="225"/>
        </w:numPr>
        <w:rPr>
          <w:lang w:val="pt-PT" w:eastAsia="ja-JP"/>
        </w:rPr>
      </w:pPr>
      <w:r w:rsidRPr="00292532">
        <w:rPr>
          <w:lang w:val="pt-PT" w:eastAsia="ja-JP"/>
        </w:rPr>
        <w:t>Alteração da qualidade das águas superficiais e subterrâneas</w:t>
      </w:r>
    </w:p>
    <w:p w14:paraId="1E6EA25C" w14:textId="77777777" w:rsidR="00CD1C60" w:rsidRPr="00292532" w:rsidRDefault="00CD1C60" w:rsidP="00CD1C60">
      <w:pPr>
        <w:pStyle w:val="ListParagraph"/>
        <w:numPr>
          <w:ilvl w:val="0"/>
          <w:numId w:val="225"/>
        </w:numPr>
        <w:rPr>
          <w:lang w:val="pt-PT" w:eastAsia="ja-JP"/>
        </w:rPr>
      </w:pPr>
      <w:r w:rsidRPr="00292532">
        <w:rPr>
          <w:lang w:val="pt-PT" w:eastAsia="ja-JP"/>
        </w:rPr>
        <w:t>Captação excessiva de água em cursos de água intermitentes</w:t>
      </w:r>
    </w:p>
    <w:p w14:paraId="155769EF" w14:textId="77777777" w:rsidR="00CD1C60" w:rsidRPr="00292532" w:rsidRDefault="00CD1C60" w:rsidP="00CD1C60">
      <w:pPr>
        <w:pStyle w:val="ListParagraph"/>
        <w:numPr>
          <w:ilvl w:val="0"/>
          <w:numId w:val="225"/>
        </w:numPr>
        <w:rPr>
          <w:lang w:val="pt-PT" w:eastAsia="ja-JP"/>
        </w:rPr>
      </w:pPr>
      <w:r w:rsidRPr="00292532">
        <w:rPr>
          <w:lang w:val="pt-PT" w:eastAsia="ja-JP"/>
        </w:rPr>
        <w:t xml:space="preserve">Captação de água em aquíferos </w:t>
      </w:r>
    </w:p>
    <w:p w14:paraId="5587A660" w14:textId="77777777" w:rsidR="00CD1C60" w:rsidRPr="00292532" w:rsidRDefault="00CD1C60" w:rsidP="00CD1C60">
      <w:pPr>
        <w:pStyle w:val="ListParagraph"/>
        <w:numPr>
          <w:ilvl w:val="0"/>
          <w:numId w:val="225"/>
        </w:numPr>
        <w:rPr>
          <w:lang w:val="pt-PT" w:eastAsia="ja-JP"/>
        </w:rPr>
      </w:pPr>
      <w:r w:rsidRPr="00292532">
        <w:rPr>
          <w:lang w:val="pt-PT" w:eastAsia="ja-JP"/>
        </w:rPr>
        <w:t>Aumento de emissões de Gases de Efeito de Estufa e baixa eficiência energética</w:t>
      </w:r>
    </w:p>
    <w:p w14:paraId="0ED2B22C" w14:textId="77777777" w:rsidR="00CD1C60" w:rsidRPr="00292532" w:rsidRDefault="00CD1C60" w:rsidP="00CD1C60">
      <w:pPr>
        <w:pStyle w:val="ListParagraph"/>
        <w:numPr>
          <w:ilvl w:val="0"/>
          <w:numId w:val="225"/>
        </w:numPr>
        <w:rPr>
          <w:lang w:val="pt-PT" w:eastAsia="ja-JP"/>
        </w:rPr>
      </w:pPr>
      <w:r w:rsidRPr="00292532">
        <w:rPr>
          <w:lang w:val="pt-PT" w:eastAsia="ja-JP"/>
        </w:rPr>
        <w:t xml:space="preserve">Influxo de pessoas às áreas de implementação dos </w:t>
      </w:r>
      <w:proofErr w:type="spellStart"/>
      <w:r w:rsidRPr="00292532">
        <w:rPr>
          <w:lang w:val="pt-PT" w:eastAsia="ja-JP"/>
        </w:rPr>
        <w:t>projectos</w:t>
      </w:r>
      <w:proofErr w:type="spellEnd"/>
      <w:r w:rsidRPr="00292532">
        <w:rPr>
          <w:lang w:val="pt-PT" w:eastAsia="ja-JP"/>
        </w:rPr>
        <w:t xml:space="preserve"> </w:t>
      </w:r>
    </w:p>
    <w:p w14:paraId="440A0BF0" w14:textId="77777777" w:rsidR="00CD1C60" w:rsidRPr="00292532" w:rsidRDefault="00CD1C60" w:rsidP="00CD1C60">
      <w:pPr>
        <w:pStyle w:val="ListParagraph"/>
        <w:numPr>
          <w:ilvl w:val="0"/>
          <w:numId w:val="225"/>
        </w:numPr>
        <w:rPr>
          <w:lang w:val="pt-PT" w:eastAsia="ja-JP"/>
        </w:rPr>
      </w:pPr>
      <w:r w:rsidRPr="00292532">
        <w:rPr>
          <w:lang w:val="pt-PT" w:eastAsia="ja-JP"/>
        </w:rPr>
        <w:t>Elevada incidência de trabalhadores provenientes de outras regiões do País e estrangeiros</w:t>
      </w:r>
    </w:p>
    <w:p w14:paraId="5078DABE" w14:textId="77777777" w:rsidR="00CD1C60" w:rsidRPr="00292532" w:rsidRDefault="00CD1C60" w:rsidP="00CD1C60">
      <w:pPr>
        <w:pStyle w:val="ListParagraph"/>
        <w:numPr>
          <w:ilvl w:val="0"/>
          <w:numId w:val="225"/>
        </w:numPr>
        <w:rPr>
          <w:lang w:val="pt-PT" w:eastAsia="ja-JP"/>
        </w:rPr>
      </w:pPr>
      <w:r w:rsidRPr="00292532">
        <w:rPr>
          <w:lang w:val="pt-PT" w:eastAsia="ja-JP"/>
        </w:rPr>
        <w:t xml:space="preserve">Interferências nas redes de serviços de utilidade pública </w:t>
      </w:r>
    </w:p>
    <w:p w14:paraId="476C7BB9" w14:textId="77777777" w:rsidR="00CD1C60" w:rsidRPr="00292532" w:rsidRDefault="00CD1C60" w:rsidP="00CD1C60">
      <w:pPr>
        <w:pStyle w:val="ListParagraph"/>
        <w:numPr>
          <w:ilvl w:val="0"/>
          <w:numId w:val="225"/>
        </w:numPr>
        <w:rPr>
          <w:lang w:val="pt-PT" w:eastAsia="ja-JP"/>
        </w:rPr>
      </w:pPr>
      <w:r w:rsidRPr="00292532">
        <w:rPr>
          <w:lang w:val="pt-PT" w:eastAsia="ja-JP"/>
        </w:rPr>
        <w:t xml:space="preserve">Aumento do volume de tráfego </w:t>
      </w:r>
    </w:p>
    <w:p w14:paraId="27D333BD" w14:textId="77777777" w:rsidR="00CD1C60" w:rsidRPr="00292532" w:rsidRDefault="00CD1C60" w:rsidP="00CD1C60">
      <w:pPr>
        <w:pStyle w:val="ListParagraph"/>
        <w:numPr>
          <w:ilvl w:val="0"/>
          <w:numId w:val="225"/>
        </w:numPr>
        <w:rPr>
          <w:lang w:val="pt-PT" w:eastAsia="ja-JP"/>
        </w:rPr>
      </w:pPr>
      <w:r w:rsidRPr="00292532">
        <w:rPr>
          <w:lang w:val="pt-PT" w:eastAsia="ja-JP"/>
        </w:rPr>
        <w:t>Aumento da arrecadação fiscal</w:t>
      </w:r>
    </w:p>
    <w:p w14:paraId="6C7490BB" w14:textId="77777777" w:rsidR="00CD1C60" w:rsidRPr="00292532" w:rsidRDefault="00CD1C60" w:rsidP="00CD1C60">
      <w:pPr>
        <w:pStyle w:val="ListParagraph"/>
        <w:numPr>
          <w:ilvl w:val="0"/>
          <w:numId w:val="225"/>
        </w:numPr>
        <w:rPr>
          <w:lang w:val="pt-PT" w:eastAsia="ja-JP"/>
        </w:rPr>
      </w:pPr>
      <w:r w:rsidRPr="00292532">
        <w:rPr>
          <w:lang w:val="pt-PT" w:eastAsia="ja-JP"/>
        </w:rPr>
        <w:t xml:space="preserve">Geração de empregos e renda </w:t>
      </w:r>
    </w:p>
    <w:p w14:paraId="4EE1432E" w14:textId="53E22F2F" w:rsidR="00CD1C60" w:rsidRPr="00292532" w:rsidRDefault="00CD1C60" w:rsidP="00CD1C60">
      <w:pPr>
        <w:pStyle w:val="ListParagraph"/>
        <w:numPr>
          <w:ilvl w:val="0"/>
          <w:numId w:val="225"/>
        </w:numPr>
        <w:rPr>
          <w:lang w:val="pt-PT" w:eastAsia="ja-JP"/>
        </w:rPr>
      </w:pPr>
      <w:r w:rsidRPr="00292532">
        <w:rPr>
          <w:lang w:val="pt-PT" w:eastAsia="ja-JP"/>
        </w:rPr>
        <w:t xml:space="preserve">Melhoria do acesso a serviços de saneamento nas cidades e vilas </w:t>
      </w:r>
    </w:p>
    <w:p w14:paraId="2F78D122" w14:textId="17A7DE2E" w:rsidR="00CD1C60" w:rsidRPr="00292532" w:rsidRDefault="00CD1C60" w:rsidP="00CD1C60">
      <w:pPr>
        <w:pStyle w:val="ListParagraph"/>
        <w:numPr>
          <w:ilvl w:val="0"/>
          <w:numId w:val="225"/>
        </w:numPr>
        <w:rPr>
          <w:lang w:val="pt-PT" w:eastAsia="ja-JP"/>
        </w:rPr>
      </w:pPr>
      <w:r w:rsidRPr="00292532">
        <w:rPr>
          <w:lang w:val="pt-PT" w:eastAsia="ja-JP"/>
        </w:rPr>
        <w:t xml:space="preserve">Aumento do acesso </w:t>
      </w:r>
      <w:proofErr w:type="gramStart"/>
      <w:r w:rsidRPr="00292532">
        <w:rPr>
          <w:lang w:val="pt-PT" w:eastAsia="ja-JP"/>
        </w:rPr>
        <w:t>à</w:t>
      </w:r>
      <w:proofErr w:type="gramEnd"/>
      <w:r w:rsidRPr="00292532">
        <w:rPr>
          <w:lang w:val="pt-PT" w:eastAsia="ja-JP"/>
        </w:rPr>
        <w:t xml:space="preserve"> fontes de água seguras nas pequenas cidades e vilas e nas zonas rurais</w:t>
      </w:r>
    </w:p>
    <w:p w14:paraId="1E034010" w14:textId="0895FB8B" w:rsidR="00CD1C60" w:rsidRPr="00292532" w:rsidRDefault="00CD1C60" w:rsidP="00BD0602">
      <w:pPr>
        <w:pStyle w:val="ListParagraph"/>
        <w:numPr>
          <w:ilvl w:val="0"/>
          <w:numId w:val="225"/>
        </w:numPr>
        <w:rPr>
          <w:lang w:val="pt-PT" w:eastAsia="ja-JP"/>
        </w:rPr>
      </w:pPr>
      <w:r w:rsidRPr="00292532">
        <w:rPr>
          <w:lang w:val="pt-PT" w:eastAsia="ja-JP"/>
        </w:rPr>
        <w:t>Aumento</w:t>
      </w:r>
      <w:r w:rsidR="00DB608A">
        <w:rPr>
          <w:lang w:val="pt-PT" w:eastAsia="ja-JP"/>
        </w:rPr>
        <w:t xml:space="preserve">/redução </w:t>
      </w:r>
      <w:r w:rsidRPr="00292532">
        <w:rPr>
          <w:lang w:val="pt-PT" w:eastAsia="ja-JP"/>
        </w:rPr>
        <w:t>de risco de doenças transmitidas pela água, como cólera, malária.</w:t>
      </w:r>
    </w:p>
    <w:p w14:paraId="482EB44A" w14:textId="77777777" w:rsidR="00B46980" w:rsidRDefault="00B46980">
      <w:pPr>
        <w:pStyle w:val="ListParagraph"/>
        <w:numPr>
          <w:ilvl w:val="0"/>
          <w:numId w:val="0"/>
        </w:numPr>
        <w:ind w:left="720"/>
        <w:rPr>
          <w:lang w:val="pt-PT" w:eastAsia="ja-JP"/>
        </w:rPr>
        <w:sectPr w:rsidR="00B46980" w:rsidSect="00B46980">
          <w:pgSz w:w="11906" w:h="16838"/>
          <w:pgMar w:top="1411" w:right="1699" w:bottom="1411" w:left="1699" w:header="706" w:footer="706"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p>
    <w:p w14:paraId="3674266C" w14:textId="20C7EA4F" w:rsidR="00F05E86" w:rsidRPr="00292532" w:rsidRDefault="00F05E86">
      <w:pPr>
        <w:pStyle w:val="Heading3"/>
        <w:rPr>
          <w:lang w:eastAsia="ja-JP"/>
        </w:rPr>
      </w:pPr>
      <w:bookmarkStart w:id="202" w:name="_Toc80379971"/>
      <w:r w:rsidRPr="00292532">
        <w:rPr>
          <w:lang w:eastAsia="ja-JP"/>
        </w:rPr>
        <w:lastRenderedPageBreak/>
        <w:t xml:space="preserve">Classificação dos Riscos e Impactos Ambientais e Sociais do </w:t>
      </w:r>
      <w:proofErr w:type="spellStart"/>
      <w:r w:rsidRPr="00292532">
        <w:rPr>
          <w:lang w:eastAsia="ja-JP"/>
        </w:rPr>
        <w:t>Projecto</w:t>
      </w:r>
      <w:bookmarkEnd w:id="202"/>
      <w:proofErr w:type="spellEnd"/>
    </w:p>
    <w:p w14:paraId="10A656F2" w14:textId="73DB71EA" w:rsidR="00F05E86" w:rsidRPr="00292532" w:rsidRDefault="00F05E86" w:rsidP="00876367">
      <w:pPr>
        <w:pStyle w:val="Caption"/>
        <w:rPr>
          <w:rFonts w:eastAsia="Times New Roman"/>
        </w:rPr>
      </w:pPr>
      <w:bookmarkStart w:id="203" w:name="_Toc75438163"/>
      <w:bookmarkStart w:id="204" w:name="_Toc80380269"/>
      <w:r w:rsidRPr="00292532">
        <w:t xml:space="preserve">Tabela </w:t>
      </w:r>
      <w:r w:rsidRPr="00292532">
        <w:fldChar w:fldCharType="begin"/>
      </w:r>
      <w:r w:rsidRPr="00292532">
        <w:instrText xml:space="preserve"> SEQ Tabela \* ARABIC </w:instrText>
      </w:r>
      <w:r w:rsidRPr="00292532">
        <w:fldChar w:fldCharType="separate"/>
      </w:r>
      <w:r w:rsidR="00C25AEB" w:rsidRPr="00292532">
        <w:rPr>
          <w:noProof/>
        </w:rPr>
        <w:t>22</w:t>
      </w:r>
      <w:r w:rsidRPr="00292532">
        <w:fldChar w:fldCharType="end"/>
      </w:r>
      <w:r w:rsidRPr="00292532">
        <w:rPr>
          <w:rFonts w:eastAsia="Times New Roman"/>
        </w:rPr>
        <w:t>: Classificação dos Impactos Ambientais</w:t>
      </w:r>
      <w:bookmarkEnd w:id="203"/>
      <w:bookmarkEnd w:id="204"/>
    </w:p>
    <w:tbl>
      <w:tblPr>
        <w:tblW w:w="14035" w:type="dxa"/>
        <w:tblLayout w:type="fixed"/>
        <w:tblLook w:val="04A0" w:firstRow="1" w:lastRow="0" w:firstColumn="1" w:lastColumn="0" w:noHBand="0" w:noVBand="1"/>
      </w:tblPr>
      <w:tblGrid>
        <w:gridCol w:w="571"/>
        <w:gridCol w:w="1543"/>
        <w:gridCol w:w="2122"/>
        <w:gridCol w:w="473"/>
        <w:gridCol w:w="473"/>
        <w:gridCol w:w="473"/>
        <w:gridCol w:w="473"/>
        <w:gridCol w:w="473"/>
        <w:gridCol w:w="473"/>
        <w:gridCol w:w="478"/>
        <w:gridCol w:w="530"/>
        <w:gridCol w:w="473"/>
        <w:gridCol w:w="18"/>
        <w:gridCol w:w="502"/>
        <w:gridCol w:w="26"/>
        <w:gridCol w:w="447"/>
        <w:gridCol w:w="28"/>
        <w:gridCol w:w="445"/>
        <w:gridCol w:w="30"/>
        <w:gridCol w:w="443"/>
        <w:gridCol w:w="18"/>
        <w:gridCol w:w="574"/>
        <w:gridCol w:w="31"/>
        <w:gridCol w:w="442"/>
        <w:gridCol w:w="18"/>
        <w:gridCol w:w="478"/>
        <w:gridCol w:w="490"/>
        <w:gridCol w:w="60"/>
        <w:gridCol w:w="385"/>
        <w:gridCol w:w="18"/>
        <w:gridCol w:w="510"/>
        <w:gridCol w:w="40"/>
        <w:gridCol w:w="477"/>
      </w:tblGrid>
      <w:tr w:rsidR="00F05E86" w:rsidRPr="00292532" w14:paraId="094E9FEA" w14:textId="77777777" w:rsidTr="006071CF">
        <w:trPr>
          <w:trHeight w:val="1550"/>
          <w:tblHeader/>
        </w:trPr>
        <w:tc>
          <w:tcPr>
            <w:tcW w:w="4236" w:type="dxa"/>
            <w:gridSpan w:val="3"/>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86246FF"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Riscos Ambientais do </w:t>
            </w:r>
            <w:proofErr w:type="spellStart"/>
            <w:r w:rsidRPr="004500AE">
              <w:rPr>
                <w:rFonts w:eastAsia="Times New Roman" w:cs="Calibri"/>
                <w:b/>
                <w:bCs/>
                <w:color w:val="000000"/>
                <w:sz w:val="20"/>
                <w:szCs w:val="20"/>
                <w:lang w:val="pt-PT"/>
              </w:rPr>
              <w:t>Projecto</w:t>
            </w:r>
            <w:proofErr w:type="spellEnd"/>
            <w:r w:rsidRPr="004500AE">
              <w:rPr>
                <w:rFonts w:eastAsia="Times New Roman" w:cs="Calibri"/>
                <w:b/>
                <w:bCs/>
                <w:color w:val="000000"/>
                <w:sz w:val="20"/>
                <w:szCs w:val="20"/>
                <w:lang w:val="pt-PT"/>
              </w:rPr>
              <w:t xml:space="preserve"> </w:t>
            </w:r>
          </w:p>
        </w:tc>
        <w:tc>
          <w:tcPr>
            <w:tcW w:w="946"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4D4A909C" w14:textId="77777777" w:rsidR="00F05E86" w:rsidRPr="004500AE" w:rsidRDefault="00F05E86" w:rsidP="006071CF">
            <w:pPr>
              <w:spacing w:before="0" w:after="0"/>
              <w:jc w:val="center"/>
              <w:rPr>
                <w:rFonts w:eastAsia="Times New Roman" w:cs="Calibri"/>
                <w:b/>
                <w:bCs/>
                <w:sz w:val="20"/>
                <w:szCs w:val="20"/>
                <w:lang w:val="pt-PT"/>
              </w:rPr>
            </w:pPr>
            <w:r w:rsidRPr="004500AE">
              <w:rPr>
                <w:rFonts w:eastAsia="Times New Roman" w:cs="Calibri"/>
                <w:b/>
                <w:bCs/>
                <w:sz w:val="20"/>
                <w:szCs w:val="20"/>
                <w:lang w:val="pt-PT"/>
              </w:rPr>
              <w:t xml:space="preserve">Estatuto </w:t>
            </w:r>
          </w:p>
        </w:tc>
        <w:tc>
          <w:tcPr>
            <w:tcW w:w="1892" w:type="dxa"/>
            <w:gridSpan w:val="4"/>
            <w:tcBorders>
              <w:top w:val="single" w:sz="4" w:space="0" w:color="auto"/>
              <w:left w:val="nil"/>
              <w:bottom w:val="single" w:sz="4" w:space="0" w:color="auto"/>
              <w:right w:val="single" w:sz="4" w:space="0" w:color="auto"/>
            </w:tcBorders>
            <w:shd w:val="clear" w:color="000000" w:fill="FFFFFF"/>
            <w:textDirection w:val="btLr"/>
            <w:vAlign w:val="center"/>
            <w:hideMark/>
          </w:tcPr>
          <w:p w14:paraId="409A80B2" w14:textId="77777777" w:rsidR="00F05E86" w:rsidRPr="004500AE" w:rsidRDefault="00F05E86" w:rsidP="006071CF">
            <w:pPr>
              <w:spacing w:before="0" w:after="0"/>
              <w:jc w:val="center"/>
              <w:rPr>
                <w:rFonts w:eastAsia="Times New Roman" w:cs="Calibri"/>
                <w:b/>
                <w:bCs/>
                <w:sz w:val="20"/>
                <w:szCs w:val="20"/>
                <w:lang w:val="pt-PT"/>
              </w:rPr>
            </w:pPr>
            <w:r w:rsidRPr="004500AE">
              <w:rPr>
                <w:rFonts w:eastAsia="Times New Roman" w:cs="Calibri"/>
                <w:b/>
                <w:bCs/>
                <w:sz w:val="20"/>
                <w:szCs w:val="20"/>
                <w:lang w:val="pt-PT"/>
              </w:rPr>
              <w:t xml:space="preserve">Extensão </w:t>
            </w:r>
          </w:p>
        </w:tc>
        <w:tc>
          <w:tcPr>
            <w:tcW w:w="2001" w:type="dxa"/>
            <w:gridSpan w:val="5"/>
            <w:tcBorders>
              <w:top w:val="single" w:sz="4" w:space="0" w:color="auto"/>
              <w:left w:val="nil"/>
              <w:bottom w:val="single" w:sz="4" w:space="0" w:color="auto"/>
              <w:right w:val="single" w:sz="4" w:space="0" w:color="auto"/>
            </w:tcBorders>
            <w:shd w:val="clear" w:color="000000" w:fill="D9D9D9"/>
            <w:textDirection w:val="btLr"/>
            <w:vAlign w:val="center"/>
            <w:hideMark/>
          </w:tcPr>
          <w:p w14:paraId="02480635" w14:textId="77777777" w:rsidR="00F05E86" w:rsidRPr="004500AE" w:rsidRDefault="00F05E86" w:rsidP="006071CF">
            <w:pPr>
              <w:spacing w:before="0" w:after="0"/>
              <w:jc w:val="center"/>
              <w:rPr>
                <w:rFonts w:eastAsia="Times New Roman" w:cs="Calibri"/>
                <w:b/>
                <w:bCs/>
                <w:sz w:val="20"/>
                <w:szCs w:val="20"/>
                <w:lang w:val="pt-PT"/>
              </w:rPr>
            </w:pPr>
            <w:r w:rsidRPr="004500AE">
              <w:rPr>
                <w:rFonts w:eastAsia="Times New Roman" w:cs="Calibri"/>
                <w:b/>
                <w:bCs/>
                <w:sz w:val="20"/>
                <w:szCs w:val="20"/>
                <w:lang w:val="pt-PT"/>
              </w:rPr>
              <w:t>Duração</w:t>
            </w:r>
          </w:p>
        </w:tc>
        <w:tc>
          <w:tcPr>
            <w:tcW w:w="1419" w:type="dxa"/>
            <w:gridSpan w:val="6"/>
            <w:tcBorders>
              <w:top w:val="single" w:sz="4" w:space="0" w:color="auto"/>
              <w:left w:val="nil"/>
              <w:bottom w:val="single" w:sz="4" w:space="0" w:color="auto"/>
              <w:right w:val="single" w:sz="4" w:space="0" w:color="auto"/>
            </w:tcBorders>
            <w:shd w:val="clear" w:color="000000" w:fill="FFFFFF"/>
            <w:textDirection w:val="btLr"/>
            <w:vAlign w:val="center"/>
            <w:hideMark/>
          </w:tcPr>
          <w:p w14:paraId="2022D50E" w14:textId="77777777" w:rsidR="00F05E86" w:rsidRPr="004500AE" w:rsidRDefault="00F05E86" w:rsidP="006071CF">
            <w:pPr>
              <w:spacing w:before="0" w:after="0"/>
              <w:jc w:val="center"/>
              <w:rPr>
                <w:rFonts w:eastAsia="Times New Roman" w:cs="Calibri"/>
                <w:b/>
                <w:bCs/>
                <w:sz w:val="20"/>
                <w:szCs w:val="20"/>
                <w:lang w:val="pt-PT"/>
              </w:rPr>
            </w:pPr>
            <w:r w:rsidRPr="004500AE">
              <w:rPr>
                <w:rFonts w:eastAsia="Times New Roman" w:cs="Calibri"/>
                <w:b/>
                <w:bCs/>
                <w:sz w:val="20"/>
                <w:szCs w:val="20"/>
                <w:lang w:val="pt-PT"/>
              </w:rPr>
              <w:t>Intensidade</w:t>
            </w:r>
          </w:p>
        </w:tc>
        <w:tc>
          <w:tcPr>
            <w:tcW w:w="2111" w:type="dxa"/>
            <w:gridSpan w:val="8"/>
            <w:tcBorders>
              <w:top w:val="single" w:sz="4" w:space="0" w:color="auto"/>
              <w:left w:val="nil"/>
              <w:bottom w:val="single" w:sz="4" w:space="0" w:color="auto"/>
              <w:right w:val="single" w:sz="4" w:space="0" w:color="auto"/>
            </w:tcBorders>
            <w:shd w:val="clear" w:color="000000" w:fill="D9D9D9"/>
            <w:textDirection w:val="btLr"/>
            <w:vAlign w:val="center"/>
            <w:hideMark/>
          </w:tcPr>
          <w:p w14:paraId="73543D99" w14:textId="77777777" w:rsidR="00F05E86" w:rsidRPr="004500AE" w:rsidRDefault="00F05E86" w:rsidP="006071CF">
            <w:pPr>
              <w:spacing w:before="0" w:after="0"/>
              <w:jc w:val="center"/>
              <w:rPr>
                <w:rFonts w:eastAsia="Times New Roman" w:cs="Calibri"/>
                <w:b/>
                <w:bCs/>
                <w:sz w:val="20"/>
                <w:szCs w:val="20"/>
                <w:lang w:val="pt-PT"/>
              </w:rPr>
            </w:pPr>
            <w:r w:rsidRPr="004500AE">
              <w:rPr>
                <w:rFonts w:eastAsia="Times New Roman" w:cs="Calibri"/>
                <w:b/>
                <w:bCs/>
                <w:sz w:val="20"/>
                <w:szCs w:val="20"/>
                <w:lang w:val="pt-PT"/>
              </w:rPr>
              <w:t>Probabilidade</w:t>
            </w:r>
          </w:p>
        </w:tc>
        <w:tc>
          <w:tcPr>
            <w:tcW w:w="1430" w:type="dxa"/>
            <w:gridSpan w:val="5"/>
            <w:tcBorders>
              <w:top w:val="single" w:sz="4" w:space="0" w:color="auto"/>
              <w:left w:val="nil"/>
              <w:bottom w:val="single" w:sz="4" w:space="0" w:color="auto"/>
              <w:right w:val="single" w:sz="4" w:space="0" w:color="auto"/>
            </w:tcBorders>
            <w:shd w:val="clear" w:color="000000" w:fill="BDD7EE"/>
            <w:textDirection w:val="btLr"/>
            <w:vAlign w:val="center"/>
            <w:hideMark/>
          </w:tcPr>
          <w:p w14:paraId="01CBFA51" w14:textId="77777777" w:rsidR="00F05E86" w:rsidRPr="004500AE" w:rsidRDefault="00F05E86" w:rsidP="006071CF">
            <w:pPr>
              <w:spacing w:before="0" w:after="0"/>
              <w:jc w:val="center"/>
              <w:rPr>
                <w:rFonts w:eastAsia="Times New Roman" w:cs="Calibri"/>
                <w:b/>
                <w:bCs/>
                <w:sz w:val="20"/>
                <w:szCs w:val="20"/>
                <w:lang w:val="pt-PT"/>
              </w:rPr>
            </w:pPr>
            <w:r w:rsidRPr="004500AE">
              <w:rPr>
                <w:rFonts w:eastAsia="Times New Roman" w:cs="Calibri"/>
                <w:b/>
                <w:bCs/>
                <w:sz w:val="20"/>
                <w:szCs w:val="20"/>
                <w:lang w:val="pt-PT"/>
              </w:rPr>
              <w:t xml:space="preserve">Significância </w:t>
            </w:r>
          </w:p>
        </w:tc>
      </w:tr>
      <w:tr w:rsidR="00876367" w:rsidRPr="00292532" w14:paraId="6A638F0A" w14:textId="77777777" w:rsidTr="00876367">
        <w:trPr>
          <w:trHeight w:val="2060"/>
          <w:tblHeader/>
        </w:trPr>
        <w:tc>
          <w:tcPr>
            <w:tcW w:w="4236" w:type="dxa"/>
            <w:gridSpan w:val="3"/>
            <w:vMerge/>
            <w:tcBorders>
              <w:top w:val="single" w:sz="4" w:space="0" w:color="auto"/>
              <w:left w:val="single" w:sz="4" w:space="0" w:color="auto"/>
              <w:bottom w:val="single" w:sz="4" w:space="0" w:color="auto"/>
              <w:right w:val="single" w:sz="4" w:space="0" w:color="auto"/>
            </w:tcBorders>
            <w:vAlign w:val="center"/>
            <w:hideMark/>
          </w:tcPr>
          <w:p w14:paraId="2859871D"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473" w:type="dxa"/>
            <w:tcBorders>
              <w:top w:val="nil"/>
              <w:left w:val="nil"/>
              <w:bottom w:val="single" w:sz="4" w:space="0" w:color="auto"/>
              <w:right w:val="single" w:sz="4" w:space="0" w:color="auto"/>
            </w:tcBorders>
            <w:shd w:val="clear" w:color="000000" w:fill="D9D9D9"/>
            <w:textDirection w:val="btLr"/>
            <w:vAlign w:val="center"/>
            <w:hideMark/>
          </w:tcPr>
          <w:p w14:paraId="0DA1295D"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Positivo</w:t>
            </w:r>
          </w:p>
        </w:tc>
        <w:tc>
          <w:tcPr>
            <w:tcW w:w="473" w:type="dxa"/>
            <w:tcBorders>
              <w:top w:val="nil"/>
              <w:left w:val="nil"/>
              <w:bottom w:val="single" w:sz="4" w:space="0" w:color="auto"/>
              <w:right w:val="single" w:sz="4" w:space="0" w:color="auto"/>
            </w:tcBorders>
            <w:shd w:val="clear" w:color="000000" w:fill="D9D9D9"/>
            <w:textDirection w:val="btLr"/>
            <w:vAlign w:val="center"/>
            <w:hideMark/>
          </w:tcPr>
          <w:p w14:paraId="7ABC8419"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Negativo</w:t>
            </w:r>
          </w:p>
        </w:tc>
        <w:tc>
          <w:tcPr>
            <w:tcW w:w="473" w:type="dxa"/>
            <w:tcBorders>
              <w:top w:val="nil"/>
              <w:left w:val="nil"/>
              <w:bottom w:val="single" w:sz="4" w:space="0" w:color="auto"/>
              <w:right w:val="single" w:sz="4" w:space="0" w:color="auto"/>
            </w:tcBorders>
            <w:shd w:val="clear" w:color="000000" w:fill="FFFFFF"/>
            <w:textDirection w:val="btLr"/>
            <w:vAlign w:val="center"/>
            <w:hideMark/>
          </w:tcPr>
          <w:p w14:paraId="2D24BB31"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Localizada </w:t>
            </w:r>
          </w:p>
        </w:tc>
        <w:tc>
          <w:tcPr>
            <w:tcW w:w="473" w:type="dxa"/>
            <w:tcBorders>
              <w:top w:val="nil"/>
              <w:left w:val="nil"/>
              <w:bottom w:val="single" w:sz="4" w:space="0" w:color="auto"/>
              <w:right w:val="single" w:sz="4" w:space="0" w:color="auto"/>
            </w:tcBorders>
            <w:shd w:val="clear" w:color="000000" w:fill="FFFFFF"/>
            <w:textDirection w:val="btLr"/>
            <w:vAlign w:val="center"/>
            <w:hideMark/>
          </w:tcPr>
          <w:p w14:paraId="752E0BA8"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Área envolvente</w:t>
            </w:r>
          </w:p>
        </w:tc>
        <w:tc>
          <w:tcPr>
            <w:tcW w:w="473" w:type="dxa"/>
            <w:tcBorders>
              <w:top w:val="nil"/>
              <w:left w:val="nil"/>
              <w:bottom w:val="single" w:sz="4" w:space="0" w:color="auto"/>
              <w:right w:val="single" w:sz="4" w:space="0" w:color="auto"/>
            </w:tcBorders>
            <w:shd w:val="clear" w:color="000000" w:fill="FFFFFF"/>
            <w:textDirection w:val="btLr"/>
            <w:vAlign w:val="center"/>
            <w:hideMark/>
          </w:tcPr>
          <w:p w14:paraId="02822977"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Regional </w:t>
            </w:r>
          </w:p>
        </w:tc>
        <w:tc>
          <w:tcPr>
            <w:tcW w:w="473" w:type="dxa"/>
            <w:tcBorders>
              <w:top w:val="nil"/>
              <w:left w:val="nil"/>
              <w:bottom w:val="single" w:sz="4" w:space="0" w:color="auto"/>
              <w:right w:val="single" w:sz="4" w:space="0" w:color="auto"/>
            </w:tcBorders>
            <w:shd w:val="clear" w:color="000000" w:fill="FFFFFF"/>
            <w:textDirection w:val="btLr"/>
            <w:vAlign w:val="center"/>
            <w:hideMark/>
          </w:tcPr>
          <w:p w14:paraId="567D7067"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Nacional </w:t>
            </w:r>
          </w:p>
        </w:tc>
        <w:tc>
          <w:tcPr>
            <w:tcW w:w="478" w:type="dxa"/>
            <w:tcBorders>
              <w:top w:val="nil"/>
              <w:left w:val="nil"/>
              <w:bottom w:val="single" w:sz="4" w:space="0" w:color="auto"/>
              <w:right w:val="single" w:sz="4" w:space="0" w:color="auto"/>
            </w:tcBorders>
            <w:shd w:val="clear" w:color="000000" w:fill="D9D9D9"/>
            <w:textDirection w:val="btLr"/>
            <w:vAlign w:val="center"/>
            <w:hideMark/>
          </w:tcPr>
          <w:p w14:paraId="254E05C6"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Curto Prazo </w:t>
            </w:r>
          </w:p>
        </w:tc>
        <w:tc>
          <w:tcPr>
            <w:tcW w:w="530" w:type="dxa"/>
            <w:tcBorders>
              <w:top w:val="nil"/>
              <w:left w:val="nil"/>
              <w:bottom w:val="single" w:sz="4" w:space="0" w:color="auto"/>
              <w:right w:val="single" w:sz="4" w:space="0" w:color="auto"/>
            </w:tcBorders>
            <w:shd w:val="clear" w:color="000000" w:fill="D9D9D9"/>
            <w:textDirection w:val="btLr"/>
            <w:vAlign w:val="center"/>
            <w:hideMark/>
          </w:tcPr>
          <w:p w14:paraId="3D404C0E"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Médio Prazo </w:t>
            </w:r>
          </w:p>
        </w:tc>
        <w:tc>
          <w:tcPr>
            <w:tcW w:w="473" w:type="dxa"/>
            <w:tcBorders>
              <w:top w:val="nil"/>
              <w:left w:val="nil"/>
              <w:bottom w:val="single" w:sz="4" w:space="0" w:color="auto"/>
              <w:right w:val="single" w:sz="4" w:space="0" w:color="auto"/>
            </w:tcBorders>
            <w:shd w:val="clear" w:color="000000" w:fill="D9D9D9"/>
            <w:textDirection w:val="btLr"/>
            <w:vAlign w:val="center"/>
            <w:hideMark/>
          </w:tcPr>
          <w:p w14:paraId="66B287BB"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Longo Prazo </w:t>
            </w:r>
          </w:p>
        </w:tc>
        <w:tc>
          <w:tcPr>
            <w:tcW w:w="520" w:type="dxa"/>
            <w:gridSpan w:val="2"/>
            <w:tcBorders>
              <w:top w:val="nil"/>
              <w:left w:val="nil"/>
              <w:bottom w:val="single" w:sz="4" w:space="0" w:color="auto"/>
              <w:right w:val="single" w:sz="4" w:space="0" w:color="auto"/>
            </w:tcBorders>
            <w:shd w:val="clear" w:color="000000" w:fill="D9D9D9"/>
            <w:textDirection w:val="btLr"/>
            <w:vAlign w:val="center"/>
            <w:hideMark/>
          </w:tcPr>
          <w:p w14:paraId="6A0DF82F"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Permanente</w:t>
            </w:r>
          </w:p>
        </w:tc>
        <w:tc>
          <w:tcPr>
            <w:tcW w:w="473" w:type="dxa"/>
            <w:gridSpan w:val="2"/>
            <w:tcBorders>
              <w:top w:val="nil"/>
              <w:left w:val="nil"/>
              <w:bottom w:val="single" w:sz="4" w:space="0" w:color="auto"/>
              <w:right w:val="single" w:sz="4" w:space="0" w:color="auto"/>
            </w:tcBorders>
            <w:shd w:val="clear" w:color="000000" w:fill="FFFFFF"/>
            <w:textDirection w:val="btLr"/>
            <w:vAlign w:val="center"/>
            <w:hideMark/>
          </w:tcPr>
          <w:p w14:paraId="34F70874"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Baixa</w:t>
            </w:r>
          </w:p>
        </w:tc>
        <w:tc>
          <w:tcPr>
            <w:tcW w:w="473" w:type="dxa"/>
            <w:gridSpan w:val="2"/>
            <w:tcBorders>
              <w:top w:val="nil"/>
              <w:left w:val="nil"/>
              <w:bottom w:val="single" w:sz="4" w:space="0" w:color="auto"/>
              <w:right w:val="single" w:sz="4" w:space="0" w:color="auto"/>
            </w:tcBorders>
            <w:shd w:val="clear" w:color="000000" w:fill="FFFFFF"/>
            <w:textDirection w:val="btLr"/>
            <w:vAlign w:val="center"/>
            <w:hideMark/>
          </w:tcPr>
          <w:p w14:paraId="040C1AC4"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Média</w:t>
            </w:r>
          </w:p>
        </w:tc>
        <w:tc>
          <w:tcPr>
            <w:tcW w:w="473" w:type="dxa"/>
            <w:gridSpan w:val="2"/>
            <w:tcBorders>
              <w:top w:val="nil"/>
              <w:left w:val="nil"/>
              <w:bottom w:val="single" w:sz="4" w:space="0" w:color="auto"/>
              <w:right w:val="single" w:sz="4" w:space="0" w:color="auto"/>
            </w:tcBorders>
            <w:shd w:val="clear" w:color="000000" w:fill="FFFFFF"/>
            <w:textDirection w:val="btLr"/>
            <w:vAlign w:val="center"/>
            <w:hideMark/>
          </w:tcPr>
          <w:p w14:paraId="5F6B95C3"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Alta</w:t>
            </w:r>
          </w:p>
        </w:tc>
        <w:tc>
          <w:tcPr>
            <w:tcW w:w="592" w:type="dxa"/>
            <w:gridSpan w:val="2"/>
            <w:tcBorders>
              <w:top w:val="nil"/>
              <w:left w:val="nil"/>
              <w:bottom w:val="single" w:sz="4" w:space="0" w:color="auto"/>
              <w:right w:val="single" w:sz="4" w:space="0" w:color="auto"/>
            </w:tcBorders>
            <w:shd w:val="clear" w:color="000000" w:fill="D9D9D9"/>
            <w:textDirection w:val="btLr"/>
            <w:vAlign w:val="center"/>
            <w:hideMark/>
          </w:tcPr>
          <w:p w14:paraId="3D5D3B66"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Improvável / pouco provável</w:t>
            </w:r>
          </w:p>
        </w:tc>
        <w:tc>
          <w:tcPr>
            <w:tcW w:w="473" w:type="dxa"/>
            <w:gridSpan w:val="2"/>
            <w:tcBorders>
              <w:top w:val="nil"/>
              <w:left w:val="nil"/>
              <w:bottom w:val="single" w:sz="4" w:space="0" w:color="auto"/>
              <w:right w:val="single" w:sz="4" w:space="0" w:color="auto"/>
            </w:tcBorders>
            <w:shd w:val="clear" w:color="000000" w:fill="D9D9D9"/>
            <w:textDirection w:val="btLr"/>
            <w:vAlign w:val="center"/>
            <w:hideMark/>
          </w:tcPr>
          <w:p w14:paraId="3CBC7E90"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Provável </w:t>
            </w:r>
          </w:p>
        </w:tc>
        <w:tc>
          <w:tcPr>
            <w:tcW w:w="496" w:type="dxa"/>
            <w:gridSpan w:val="2"/>
            <w:tcBorders>
              <w:top w:val="nil"/>
              <w:left w:val="nil"/>
              <w:bottom w:val="single" w:sz="4" w:space="0" w:color="auto"/>
              <w:right w:val="single" w:sz="4" w:space="0" w:color="auto"/>
            </w:tcBorders>
            <w:shd w:val="clear" w:color="000000" w:fill="D9D9D9"/>
            <w:textDirection w:val="btLr"/>
            <w:vAlign w:val="center"/>
            <w:hideMark/>
          </w:tcPr>
          <w:p w14:paraId="2650313B"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Altamente provável </w:t>
            </w:r>
          </w:p>
        </w:tc>
        <w:tc>
          <w:tcPr>
            <w:tcW w:w="490" w:type="dxa"/>
            <w:tcBorders>
              <w:top w:val="nil"/>
              <w:left w:val="nil"/>
              <w:bottom w:val="single" w:sz="4" w:space="0" w:color="auto"/>
              <w:right w:val="single" w:sz="4" w:space="0" w:color="auto"/>
            </w:tcBorders>
            <w:shd w:val="clear" w:color="000000" w:fill="D9D9D9"/>
            <w:textDirection w:val="btLr"/>
            <w:vAlign w:val="center"/>
            <w:hideMark/>
          </w:tcPr>
          <w:p w14:paraId="6D7D72E2"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Definitiva </w:t>
            </w:r>
          </w:p>
        </w:tc>
        <w:tc>
          <w:tcPr>
            <w:tcW w:w="445" w:type="dxa"/>
            <w:gridSpan w:val="2"/>
            <w:tcBorders>
              <w:top w:val="nil"/>
              <w:left w:val="nil"/>
              <w:bottom w:val="single" w:sz="4" w:space="0" w:color="auto"/>
              <w:right w:val="single" w:sz="4" w:space="0" w:color="auto"/>
            </w:tcBorders>
            <w:shd w:val="clear" w:color="000000" w:fill="BDD7EE"/>
            <w:textDirection w:val="btLr"/>
            <w:vAlign w:val="center"/>
            <w:hideMark/>
          </w:tcPr>
          <w:p w14:paraId="00AD28C3"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Pouco </w:t>
            </w:r>
            <w:proofErr w:type="gramStart"/>
            <w:r w:rsidRPr="004500AE">
              <w:rPr>
                <w:rFonts w:eastAsia="Times New Roman" w:cs="Calibri"/>
                <w:b/>
                <w:bCs/>
                <w:color w:val="000000"/>
                <w:sz w:val="20"/>
                <w:szCs w:val="20"/>
                <w:lang w:val="pt-PT"/>
              </w:rPr>
              <w:t>Significativo</w:t>
            </w:r>
            <w:proofErr w:type="gramEnd"/>
          </w:p>
        </w:tc>
        <w:tc>
          <w:tcPr>
            <w:tcW w:w="528" w:type="dxa"/>
            <w:gridSpan w:val="2"/>
            <w:tcBorders>
              <w:top w:val="nil"/>
              <w:left w:val="nil"/>
              <w:bottom w:val="single" w:sz="4" w:space="0" w:color="auto"/>
              <w:right w:val="single" w:sz="4" w:space="0" w:color="auto"/>
            </w:tcBorders>
            <w:shd w:val="clear" w:color="000000" w:fill="BDD7EE"/>
            <w:textDirection w:val="btLr"/>
            <w:vAlign w:val="center"/>
            <w:hideMark/>
          </w:tcPr>
          <w:p w14:paraId="0E01809B"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Significativo</w:t>
            </w:r>
          </w:p>
        </w:tc>
        <w:tc>
          <w:tcPr>
            <w:tcW w:w="517" w:type="dxa"/>
            <w:gridSpan w:val="2"/>
            <w:tcBorders>
              <w:top w:val="nil"/>
              <w:left w:val="nil"/>
              <w:bottom w:val="single" w:sz="4" w:space="0" w:color="auto"/>
              <w:right w:val="single" w:sz="4" w:space="0" w:color="auto"/>
            </w:tcBorders>
            <w:shd w:val="clear" w:color="000000" w:fill="BDD7EE"/>
            <w:textDirection w:val="btLr"/>
            <w:vAlign w:val="center"/>
            <w:hideMark/>
          </w:tcPr>
          <w:p w14:paraId="6AAF83E3" w14:textId="7B9B8B05" w:rsidR="00F05E86" w:rsidRPr="004500AE" w:rsidRDefault="000F7578"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Muito </w:t>
            </w:r>
            <w:proofErr w:type="gramStart"/>
            <w:r w:rsidR="00F05E86" w:rsidRPr="004500AE">
              <w:rPr>
                <w:rFonts w:eastAsia="Times New Roman" w:cs="Calibri"/>
                <w:b/>
                <w:bCs/>
                <w:color w:val="000000"/>
                <w:sz w:val="20"/>
                <w:szCs w:val="20"/>
                <w:lang w:val="pt-PT"/>
              </w:rPr>
              <w:t>Significativo</w:t>
            </w:r>
            <w:proofErr w:type="gramEnd"/>
            <w:r w:rsidR="00F05E86" w:rsidRPr="004500AE">
              <w:rPr>
                <w:rFonts w:eastAsia="Times New Roman" w:cs="Calibri"/>
                <w:b/>
                <w:bCs/>
                <w:color w:val="000000"/>
                <w:sz w:val="20"/>
                <w:szCs w:val="20"/>
                <w:lang w:val="pt-PT"/>
              </w:rPr>
              <w:t xml:space="preserve"> </w:t>
            </w:r>
          </w:p>
        </w:tc>
      </w:tr>
      <w:tr w:rsidR="00876367" w:rsidRPr="00292532" w14:paraId="58BA22B4" w14:textId="77777777" w:rsidTr="00876367">
        <w:trPr>
          <w:trHeight w:val="720"/>
        </w:trPr>
        <w:tc>
          <w:tcPr>
            <w:tcW w:w="571" w:type="dxa"/>
            <w:vMerge w:val="restart"/>
            <w:tcBorders>
              <w:top w:val="nil"/>
              <w:left w:val="single" w:sz="4" w:space="0" w:color="auto"/>
              <w:bottom w:val="single" w:sz="4" w:space="0" w:color="auto"/>
              <w:right w:val="single" w:sz="4" w:space="0" w:color="auto"/>
            </w:tcBorders>
            <w:shd w:val="clear" w:color="000000" w:fill="B4C6E7"/>
            <w:textDirection w:val="btLr"/>
            <w:vAlign w:val="center"/>
            <w:hideMark/>
          </w:tcPr>
          <w:p w14:paraId="087366A0" w14:textId="77777777" w:rsidR="00F05E86" w:rsidRPr="004500AE" w:rsidRDefault="00F05E86" w:rsidP="006071CF">
            <w:pPr>
              <w:spacing w:before="0" w:after="0"/>
              <w:jc w:val="center"/>
              <w:rPr>
                <w:rFonts w:eastAsia="Times New Roman" w:cs="Calibri"/>
                <w:b/>
                <w:bCs/>
                <w:sz w:val="20"/>
                <w:szCs w:val="20"/>
                <w:lang w:val="pt-PT"/>
              </w:rPr>
            </w:pPr>
            <w:bookmarkStart w:id="205" w:name="_Hlk75443403"/>
            <w:bookmarkStart w:id="206" w:name="_Hlk75443377"/>
            <w:r w:rsidRPr="004500AE">
              <w:rPr>
                <w:rFonts w:eastAsia="Times New Roman" w:cs="Calibri"/>
                <w:b/>
                <w:bCs/>
                <w:sz w:val="20"/>
                <w:szCs w:val="20"/>
                <w:lang w:val="pt-PT"/>
              </w:rPr>
              <w:t xml:space="preserve">Ambiente físico do </w:t>
            </w:r>
            <w:proofErr w:type="spellStart"/>
            <w:r w:rsidRPr="004500AE">
              <w:rPr>
                <w:rFonts w:eastAsia="Times New Roman" w:cs="Calibri"/>
                <w:b/>
                <w:bCs/>
                <w:sz w:val="20"/>
                <w:szCs w:val="20"/>
                <w:lang w:val="pt-PT"/>
              </w:rPr>
              <w:t>Projecto</w:t>
            </w:r>
            <w:proofErr w:type="spellEnd"/>
          </w:p>
        </w:tc>
        <w:tc>
          <w:tcPr>
            <w:tcW w:w="1543" w:type="dxa"/>
            <w:vMerge w:val="restart"/>
            <w:tcBorders>
              <w:top w:val="nil"/>
              <w:left w:val="single" w:sz="4" w:space="0" w:color="auto"/>
              <w:bottom w:val="single" w:sz="4" w:space="0" w:color="auto"/>
              <w:right w:val="single" w:sz="4" w:space="0" w:color="auto"/>
            </w:tcBorders>
            <w:shd w:val="clear" w:color="000000" w:fill="FFFFFF"/>
            <w:vAlign w:val="center"/>
            <w:hideMark/>
          </w:tcPr>
          <w:p w14:paraId="4E34C27E"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Qualidade do ar </w:t>
            </w:r>
          </w:p>
        </w:tc>
        <w:tc>
          <w:tcPr>
            <w:tcW w:w="2122" w:type="dxa"/>
            <w:tcBorders>
              <w:top w:val="nil"/>
              <w:left w:val="nil"/>
              <w:bottom w:val="single" w:sz="4" w:space="0" w:color="auto"/>
              <w:right w:val="single" w:sz="4" w:space="0" w:color="auto"/>
            </w:tcBorders>
            <w:shd w:val="clear" w:color="auto" w:fill="auto"/>
            <w:vAlign w:val="center"/>
            <w:hideMark/>
          </w:tcPr>
          <w:p w14:paraId="591648B8"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 xml:space="preserve">Emissão de poluentes atmosféricos incluindo poeiras (todas as fases do </w:t>
            </w:r>
            <w:proofErr w:type="spellStart"/>
            <w:r w:rsidRPr="00292532">
              <w:rPr>
                <w:rFonts w:eastAsia="Times New Roman" w:cs="Calibri"/>
                <w:color w:val="000000"/>
                <w:sz w:val="20"/>
                <w:szCs w:val="20"/>
                <w:lang w:val="pt-PT"/>
              </w:rPr>
              <w:t>Projecto</w:t>
            </w:r>
            <w:proofErr w:type="spellEnd"/>
            <w:r w:rsidRPr="00292532">
              <w:rPr>
                <w:rFonts w:eastAsia="Times New Roman" w:cs="Calibri"/>
                <w:color w:val="000000"/>
                <w:sz w:val="20"/>
                <w:szCs w:val="20"/>
                <w:lang w:val="pt-PT"/>
              </w:rPr>
              <w:t>)</w:t>
            </w:r>
          </w:p>
        </w:tc>
        <w:tc>
          <w:tcPr>
            <w:tcW w:w="473" w:type="dxa"/>
            <w:tcBorders>
              <w:top w:val="nil"/>
              <w:left w:val="nil"/>
              <w:bottom w:val="single" w:sz="4" w:space="0" w:color="auto"/>
              <w:right w:val="single" w:sz="4" w:space="0" w:color="auto"/>
            </w:tcBorders>
            <w:shd w:val="clear" w:color="000000" w:fill="D9D9D9"/>
            <w:vAlign w:val="center"/>
            <w:hideMark/>
          </w:tcPr>
          <w:p w14:paraId="46F098BB"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D9D9D9"/>
            <w:vAlign w:val="center"/>
            <w:hideMark/>
          </w:tcPr>
          <w:p w14:paraId="1720084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42E9D35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1F5EC5F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11DD887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7ACA3BF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3B6B45A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30" w:type="dxa"/>
            <w:tcBorders>
              <w:top w:val="nil"/>
              <w:left w:val="nil"/>
              <w:bottom w:val="single" w:sz="4" w:space="0" w:color="auto"/>
              <w:right w:val="single" w:sz="4" w:space="0" w:color="auto"/>
            </w:tcBorders>
            <w:shd w:val="clear" w:color="000000" w:fill="D9D9D9"/>
            <w:vAlign w:val="center"/>
            <w:hideMark/>
          </w:tcPr>
          <w:p w14:paraId="1D5CDAB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1" w:type="dxa"/>
            <w:gridSpan w:val="2"/>
            <w:tcBorders>
              <w:top w:val="nil"/>
              <w:left w:val="nil"/>
              <w:bottom w:val="single" w:sz="4" w:space="0" w:color="auto"/>
              <w:right w:val="single" w:sz="4" w:space="0" w:color="auto"/>
            </w:tcBorders>
            <w:shd w:val="clear" w:color="000000" w:fill="D9D9D9"/>
            <w:vAlign w:val="center"/>
            <w:hideMark/>
          </w:tcPr>
          <w:p w14:paraId="0E3E477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28" w:type="dxa"/>
            <w:gridSpan w:val="2"/>
            <w:tcBorders>
              <w:top w:val="nil"/>
              <w:left w:val="nil"/>
              <w:bottom w:val="single" w:sz="4" w:space="0" w:color="auto"/>
              <w:right w:val="single" w:sz="4" w:space="0" w:color="auto"/>
            </w:tcBorders>
            <w:shd w:val="clear" w:color="000000" w:fill="D9D9D9"/>
            <w:vAlign w:val="center"/>
            <w:hideMark/>
          </w:tcPr>
          <w:p w14:paraId="064761B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7B7B7A2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4B09DC2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61" w:type="dxa"/>
            <w:gridSpan w:val="2"/>
            <w:tcBorders>
              <w:top w:val="nil"/>
              <w:left w:val="nil"/>
              <w:bottom w:val="single" w:sz="4" w:space="0" w:color="auto"/>
              <w:right w:val="single" w:sz="4" w:space="0" w:color="auto"/>
            </w:tcBorders>
            <w:shd w:val="clear" w:color="000000" w:fill="FFFFFF"/>
            <w:vAlign w:val="center"/>
            <w:hideMark/>
          </w:tcPr>
          <w:p w14:paraId="544F574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605" w:type="dxa"/>
            <w:gridSpan w:val="2"/>
            <w:tcBorders>
              <w:top w:val="nil"/>
              <w:left w:val="nil"/>
              <w:bottom w:val="single" w:sz="4" w:space="0" w:color="auto"/>
              <w:right w:val="single" w:sz="4" w:space="0" w:color="auto"/>
            </w:tcBorders>
            <w:shd w:val="clear" w:color="000000" w:fill="D9D9D9"/>
            <w:vAlign w:val="center"/>
            <w:hideMark/>
          </w:tcPr>
          <w:p w14:paraId="02D3FE7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0" w:type="dxa"/>
            <w:gridSpan w:val="2"/>
            <w:tcBorders>
              <w:top w:val="nil"/>
              <w:left w:val="nil"/>
              <w:bottom w:val="single" w:sz="4" w:space="0" w:color="auto"/>
              <w:right w:val="single" w:sz="4" w:space="0" w:color="auto"/>
            </w:tcBorders>
            <w:shd w:val="clear" w:color="000000" w:fill="D9D9D9"/>
            <w:vAlign w:val="center"/>
            <w:hideMark/>
          </w:tcPr>
          <w:p w14:paraId="19D69DA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596B223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0" w:type="dxa"/>
            <w:tcBorders>
              <w:top w:val="nil"/>
              <w:left w:val="nil"/>
              <w:bottom w:val="single" w:sz="4" w:space="0" w:color="auto"/>
              <w:right w:val="single" w:sz="4" w:space="0" w:color="auto"/>
            </w:tcBorders>
            <w:shd w:val="clear" w:color="000000" w:fill="D9D9D9"/>
            <w:vAlign w:val="center"/>
            <w:hideMark/>
          </w:tcPr>
          <w:p w14:paraId="7E0D070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63" w:type="dxa"/>
            <w:gridSpan w:val="3"/>
            <w:tcBorders>
              <w:top w:val="nil"/>
              <w:left w:val="nil"/>
              <w:bottom w:val="single" w:sz="4" w:space="0" w:color="auto"/>
              <w:right w:val="single" w:sz="4" w:space="0" w:color="auto"/>
            </w:tcBorders>
            <w:shd w:val="clear" w:color="000000" w:fill="BDD7EE"/>
            <w:vAlign w:val="center"/>
            <w:hideMark/>
          </w:tcPr>
          <w:p w14:paraId="54D2757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50" w:type="dxa"/>
            <w:gridSpan w:val="2"/>
            <w:tcBorders>
              <w:top w:val="nil"/>
              <w:left w:val="nil"/>
              <w:bottom w:val="single" w:sz="4" w:space="0" w:color="auto"/>
              <w:right w:val="single" w:sz="4" w:space="0" w:color="auto"/>
            </w:tcBorders>
            <w:shd w:val="clear" w:color="000000" w:fill="BDD7EE"/>
            <w:vAlign w:val="center"/>
            <w:hideMark/>
          </w:tcPr>
          <w:p w14:paraId="28F1812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7" w:type="dxa"/>
            <w:tcBorders>
              <w:top w:val="nil"/>
              <w:left w:val="nil"/>
              <w:bottom w:val="single" w:sz="4" w:space="0" w:color="auto"/>
              <w:right w:val="single" w:sz="4" w:space="0" w:color="auto"/>
            </w:tcBorders>
            <w:shd w:val="clear" w:color="000000" w:fill="FF0000"/>
            <w:vAlign w:val="center"/>
            <w:hideMark/>
          </w:tcPr>
          <w:p w14:paraId="53F42848" w14:textId="77777777" w:rsidR="00F05E86" w:rsidRPr="004500AE" w:rsidRDefault="00F05E86" w:rsidP="006071CF">
            <w:pPr>
              <w:spacing w:before="0" w:after="0"/>
              <w:jc w:val="center"/>
              <w:rPr>
                <w:rFonts w:eastAsia="Times New Roman" w:cs="Calibri"/>
                <w:color w:val="FF0000"/>
                <w:sz w:val="20"/>
                <w:szCs w:val="20"/>
                <w:lang w:val="pt-PT"/>
              </w:rPr>
            </w:pPr>
            <w:r w:rsidRPr="004500AE">
              <w:rPr>
                <w:rFonts w:eastAsia="Times New Roman" w:cs="Calibri"/>
                <w:color w:val="FF0000"/>
                <w:sz w:val="20"/>
                <w:szCs w:val="20"/>
                <w:lang w:val="pt-PT"/>
              </w:rPr>
              <w:t> </w:t>
            </w:r>
          </w:p>
        </w:tc>
      </w:tr>
      <w:tr w:rsidR="00876367" w:rsidRPr="00292532" w14:paraId="4D703055" w14:textId="77777777" w:rsidTr="00876367">
        <w:trPr>
          <w:trHeight w:val="720"/>
        </w:trPr>
        <w:tc>
          <w:tcPr>
            <w:tcW w:w="571" w:type="dxa"/>
            <w:vMerge/>
            <w:tcBorders>
              <w:top w:val="nil"/>
              <w:left w:val="single" w:sz="4" w:space="0" w:color="auto"/>
              <w:bottom w:val="single" w:sz="4" w:space="0" w:color="auto"/>
              <w:right w:val="single" w:sz="4" w:space="0" w:color="auto"/>
            </w:tcBorders>
            <w:vAlign w:val="center"/>
            <w:hideMark/>
          </w:tcPr>
          <w:p w14:paraId="77D23758" w14:textId="77777777" w:rsidR="00F05E86" w:rsidRPr="004500AE" w:rsidRDefault="00F05E86" w:rsidP="006071CF">
            <w:pPr>
              <w:spacing w:before="0" w:after="0"/>
              <w:jc w:val="left"/>
              <w:rPr>
                <w:rFonts w:eastAsia="Times New Roman" w:cs="Calibri"/>
                <w:b/>
                <w:bCs/>
                <w:sz w:val="20"/>
                <w:szCs w:val="20"/>
                <w:lang w:val="pt-PT"/>
              </w:rPr>
            </w:pPr>
          </w:p>
        </w:tc>
        <w:tc>
          <w:tcPr>
            <w:tcW w:w="1543" w:type="dxa"/>
            <w:vMerge/>
            <w:tcBorders>
              <w:top w:val="nil"/>
              <w:left w:val="single" w:sz="4" w:space="0" w:color="auto"/>
              <w:bottom w:val="single" w:sz="4" w:space="0" w:color="auto"/>
              <w:right w:val="single" w:sz="4" w:space="0" w:color="auto"/>
            </w:tcBorders>
            <w:vAlign w:val="center"/>
            <w:hideMark/>
          </w:tcPr>
          <w:p w14:paraId="56A210A5"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122" w:type="dxa"/>
            <w:tcBorders>
              <w:top w:val="nil"/>
              <w:left w:val="nil"/>
              <w:bottom w:val="single" w:sz="4" w:space="0" w:color="auto"/>
              <w:right w:val="single" w:sz="4" w:space="0" w:color="auto"/>
            </w:tcBorders>
            <w:shd w:val="clear" w:color="auto" w:fill="auto"/>
            <w:vAlign w:val="center"/>
            <w:hideMark/>
          </w:tcPr>
          <w:p w14:paraId="22657684"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 xml:space="preserve">Emissões de gases das fontes de combustão (todas as fases do </w:t>
            </w:r>
            <w:proofErr w:type="spellStart"/>
            <w:r w:rsidRPr="00292532">
              <w:rPr>
                <w:rFonts w:eastAsia="Times New Roman" w:cs="Calibri"/>
                <w:color w:val="000000"/>
                <w:sz w:val="20"/>
                <w:szCs w:val="20"/>
                <w:lang w:val="pt-PT"/>
              </w:rPr>
              <w:t>Projecto</w:t>
            </w:r>
            <w:proofErr w:type="spellEnd"/>
            <w:r w:rsidRPr="00292532">
              <w:rPr>
                <w:rFonts w:eastAsia="Times New Roman" w:cs="Calibri"/>
                <w:color w:val="000000"/>
                <w:sz w:val="20"/>
                <w:szCs w:val="20"/>
                <w:lang w:val="pt-PT"/>
              </w:rPr>
              <w:t>)</w:t>
            </w:r>
          </w:p>
        </w:tc>
        <w:tc>
          <w:tcPr>
            <w:tcW w:w="473" w:type="dxa"/>
            <w:tcBorders>
              <w:top w:val="nil"/>
              <w:left w:val="nil"/>
              <w:bottom w:val="single" w:sz="4" w:space="0" w:color="auto"/>
              <w:right w:val="single" w:sz="4" w:space="0" w:color="auto"/>
            </w:tcBorders>
            <w:shd w:val="clear" w:color="000000" w:fill="D9D9D9"/>
            <w:vAlign w:val="center"/>
            <w:hideMark/>
          </w:tcPr>
          <w:p w14:paraId="29806100"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D9D9D9"/>
            <w:vAlign w:val="center"/>
            <w:hideMark/>
          </w:tcPr>
          <w:p w14:paraId="3D15F59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0E7AC13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16528F3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784D8BC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51F7ED6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2F5AF3A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30" w:type="dxa"/>
            <w:tcBorders>
              <w:top w:val="nil"/>
              <w:left w:val="nil"/>
              <w:bottom w:val="single" w:sz="4" w:space="0" w:color="auto"/>
              <w:right w:val="single" w:sz="4" w:space="0" w:color="auto"/>
            </w:tcBorders>
            <w:shd w:val="clear" w:color="000000" w:fill="D9D9D9"/>
            <w:vAlign w:val="center"/>
            <w:hideMark/>
          </w:tcPr>
          <w:p w14:paraId="4F428E8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1" w:type="dxa"/>
            <w:gridSpan w:val="2"/>
            <w:tcBorders>
              <w:top w:val="nil"/>
              <w:left w:val="nil"/>
              <w:bottom w:val="single" w:sz="4" w:space="0" w:color="auto"/>
              <w:right w:val="single" w:sz="4" w:space="0" w:color="auto"/>
            </w:tcBorders>
            <w:shd w:val="clear" w:color="000000" w:fill="D9D9D9"/>
            <w:vAlign w:val="center"/>
            <w:hideMark/>
          </w:tcPr>
          <w:p w14:paraId="4762E61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28" w:type="dxa"/>
            <w:gridSpan w:val="2"/>
            <w:tcBorders>
              <w:top w:val="nil"/>
              <w:left w:val="nil"/>
              <w:bottom w:val="single" w:sz="4" w:space="0" w:color="auto"/>
              <w:right w:val="single" w:sz="4" w:space="0" w:color="auto"/>
            </w:tcBorders>
            <w:shd w:val="clear" w:color="000000" w:fill="D9D9D9"/>
            <w:vAlign w:val="center"/>
            <w:hideMark/>
          </w:tcPr>
          <w:p w14:paraId="38214B9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705E57F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6E60A23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1" w:type="dxa"/>
            <w:gridSpan w:val="2"/>
            <w:tcBorders>
              <w:top w:val="nil"/>
              <w:left w:val="nil"/>
              <w:bottom w:val="single" w:sz="4" w:space="0" w:color="auto"/>
              <w:right w:val="single" w:sz="4" w:space="0" w:color="auto"/>
            </w:tcBorders>
            <w:shd w:val="clear" w:color="000000" w:fill="FFFFFF"/>
            <w:vAlign w:val="center"/>
            <w:hideMark/>
          </w:tcPr>
          <w:p w14:paraId="0C3B5CD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605" w:type="dxa"/>
            <w:gridSpan w:val="2"/>
            <w:tcBorders>
              <w:top w:val="nil"/>
              <w:left w:val="nil"/>
              <w:bottom w:val="single" w:sz="4" w:space="0" w:color="auto"/>
              <w:right w:val="single" w:sz="4" w:space="0" w:color="auto"/>
            </w:tcBorders>
            <w:shd w:val="clear" w:color="000000" w:fill="D9D9D9"/>
            <w:vAlign w:val="center"/>
            <w:hideMark/>
          </w:tcPr>
          <w:p w14:paraId="5C66582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0" w:type="dxa"/>
            <w:gridSpan w:val="2"/>
            <w:tcBorders>
              <w:top w:val="nil"/>
              <w:left w:val="nil"/>
              <w:bottom w:val="single" w:sz="4" w:space="0" w:color="auto"/>
              <w:right w:val="single" w:sz="4" w:space="0" w:color="auto"/>
            </w:tcBorders>
            <w:shd w:val="clear" w:color="000000" w:fill="D9D9D9"/>
            <w:vAlign w:val="center"/>
            <w:hideMark/>
          </w:tcPr>
          <w:p w14:paraId="5D5005F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62029B7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0" w:type="dxa"/>
            <w:tcBorders>
              <w:top w:val="nil"/>
              <w:left w:val="nil"/>
              <w:bottom w:val="single" w:sz="4" w:space="0" w:color="auto"/>
              <w:right w:val="single" w:sz="4" w:space="0" w:color="auto"/>
            </w:tcBorders>
            <w:shd w:val="clear" w:color="000000" w:fill="D9D9D9"/>
            <w:vAlign w:val="center"/>
            <w:hideMark/>
          </w:tcPr>
          <w:p w14:paraId="19140FC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63" w:type="dxa"/>
            <w:gridSpan w:val="3"/>
            <w:tcBorders>
              <w:top w:val="nil"/>
              <w:left w:val="nil"/>
              <w:bottom w:val="single" w:sz="4" w:space="0" w:color="auto"/>
              <w:right w:val="single" w:sz="4" w:space="0" w:color="auto"/>
            </w:tcBorders>
            <w:shd w:val="clear" w:color="000000" w:fill="BDD7EE"/>
            <w:vAlign w:val="center"/>
            <w:hideMark/>
          </w:tcPr>
          <w:p w14:paraId="31AE51C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50" w:type="dxa"/>
            <w:gridSpan w:val="2"/>
            <w:tcBorders>
              <w:top w:val="nil"/>
              <w:left w:val="nil"/>
              <w:bottom w:val="single" w:sz="4" w:space="0" w:color="auto"/>
              <w:right w:val="single" w:sz="4" w:space="0" w:color="auto"/>
            </w:tcBorders>
            <w:shd w:val="clear" w:color="000000" w:fill="FFFF00"/>
            <w:vAlign w:val="center"/>
            <w:hideMark/>
          </w:tcPr>
          <w:p w14:paraId="0784559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7" w:type="dxa"/>
            <w:tcBorders>
              <w:top w:val="nil"/>
              <w:left w:val="nil"/>
              <w:bottom w:val="single" w:sz="4" w:space="0" w:color="auto"/>
              <w:right w:val="single" w:sz="4" w:space="0" w:color="auto"/>
            </w:tcBorders>
            <w:shd w:val="clear" w:color="000000" w:fill="BDD7EE"/>
            <w:vAlign w:val="center"/>
            <w:hideMark/>
          </w:tcPr>
          <w:p w14:paraId="7AD4B6A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133F32BD" w14:textId="77777777" w:rsidTr="00876367">
        <w:trPr>
          <w:trHeight w:val="720"/>
        </w:trPr>
        <w:tc>
          <w:tcPr>
            <w:tcW w:w="571" w:type="dxa"/>
            <w:vMerge/>
            <w:tcBorders>
              <w:top w:val="nil"/>
              <w:left w:val="single" w:sz="4" w:space="0" w:color="auto"/>
              <w:bottom w:val="single" w:sz="4" w:space="0" w:color="auto"/>
              <w:right w:val="single" w:sz="4" w:space="0" w:color="auto"/>
            </w:tcBorders>
            <w:vAlign w:val="center"/>
            <w:hideMark/>
          </w:tcPr>
          <w:p w14:paraId="63FB1CE5" w14:textId="77777777" w:rsidR="00F05E86" w:rsidRPr="004500AE" w:rsidRDefault="00F05E86" w:rsidP="006071CF">
            <w:pPr>
              <w:spacing w:before="0" w:after="0"/>
              <w:jc w:val="left"/>
              <w:rPr>
                <w:rFonts w:eastAsia="Times New Roman" w:cs="Calibri"/>
                <w:b/>
                <w:bCs/>
                <w:sz w:val="20"/>
                <w:szCs w:val="20"/>
                <w:lang w:val="pt-PT"/>
              </w:rPr>
            </w:pPr>
          </w:p>
        </w:tc>
        <w:tc>
          <w:tcPr>
            <w:tcW w:w="1543" w:type="dxa"/>
            <w:vMerge/>
            <w:tcBorders>
              <w:top w:val="nil"/>
              <w:left w:val="single" w:sz="4" w:space="0" w:color="auto"/>
              <w:bottom w:val="single" w:sz="4" w:space="0" w:color="auto"/>
              <w:right w:val="single" w:sz="4" w:space="0" w:color="auto"/>
            </w:tcBorders>
            <w:vAlign w:val="center"/>
            <w:hideMark/>
          </w:tcPr>
          <w:p w14:paraId="33906C3C"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122" w:type="dxa"/>
            <w:tcBorders>
              <w:top w:val="nil"/>
              <w:left w:val="nil"/>
              <w:bottom w:val="single" w:sz="4" w:space="0" w:color="auto"/>
              <w:right w:val="single" w:sz="4" w:space="0" w:color="auto"/>
            </w:tcBorders>
            <w:shd w:val="clear" w:color="auto" w:fill="auto"/>
            <w:vAlign w:val="center"/>
            <w:hideMark/>
          </w:tcPr>
          <w:p w14:paraId="46951AFB"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Emissão de odores (fase de construção)</w:t>
            </w:r>
          </w:p>
        </w:tc>
        <w:tc>
          <w:tcPr>
            <w:tcW w:w="473" w:type="dxa"/>
            <w:tcBorders>
              <w:top w:val="nil"/>
              <w:left w:val="nil"/>
              <w:bottom w:val="single" w:sz="4" w:space="0" w:color="auto"/>
              <w:right w:val="single" w:sz="4" w:space="0" w:color="auto"/>
            </w:tcBorders>
            <w:shd w:val="clear" w:color="000000" w:fill="D9D9D9"/>
            <w:vAlign w:val="center"/>
            <w:hideMark/>
          </w:tcPr>
          <w:p w14:paraId="6138D936"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D9D9D9"/>
            <w:vAlign w:val="center"/>
            <w:hideMark/>
          </w:tcPr>
          <w:p w14:paraId="5CF1D82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44FDA9A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52625DE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22BA73B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65F6F24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4DBA493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30" w:type="dxa"/>
            <w:tcBorders>
              <w:top w:val="nil"/>
              <w:left w:val="nil"/>
              <w:bottom w:val="single" w:sz="4" w:space="0" w:color="auto"/>
              <w:right w:val="single" w:sz="4" w:space="0" w:color="auto"/>
            </w:tcBorders>
            <w:shd w:val="clear" w:color="000000" w:fill="D9D9D9"/>
            <w:vAlign w:val="center"/>
            <w:hideMark/>
          </w:tcPr>
          <w:p w14:paraId="7E989E1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1" w:type="dxa"/>
            <w:gridSpan w:val="2"/>
            <w:tcBorders>
              <w:top w:val="nil"/>
              <w:left w:val="nil"/>
              <w:bottom w:val="single" w:sz="4" w:space="0" w:color="auto"/>
              <w:right w:val="single" w:sz="4" w:space="0" w:color="auto"/>
            </w:tcBorders>
            <w:shd w:val="clear" w:color="000000" w:fill="D9D9D9"/>
            <w:vAlign w:val="center"/>
            <w:hideMark/>
          </w:tcPr>
          <w:p w14:paraId="3FF6F9D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28" w:type="dxa"/>
            <w:gridSpan w:val="2"/>
            <w:tcBorders>
              <w:top w:val="nil"/>
              <w:left w:val="nil"/>
              <w:bottom w:val="single" w:sz="4" w:space="0" w:color="auto"/>
              <w:right w:val="single" w:sz="4" w:space="0" w:color="auto"/>
            </w:tcBorders>
            <w:shd w:val="clear" w:color="000000" w:fill="D9D9D9"/>
            <w:vAlign w:val="center"/>
            <w:hideMark/>
          </w:tcPr>
          <w:p w14:paraId="00DC244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1869340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16FCCD4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1" w:type="dxa"/>
            <w:gridSpan w:val="2"/>
            <w:tcBorders>
              <w:top w:val="nil"/>
              <w:left w:val="nil"/>
              <w:bottom w:val="single" w:sz="4" w:space="0" w:color="auto"/>
              <w:right w:val="single" w:sz="4" w:space="0" w:color="auto"/>
            </w:tcBorders>
            <w:shd w:val="clear" w:color="000000" w:fill="FFFFFF"/>
            <w:vAlign w:val="center"/>
            <w:hideMark/>
          </w:tcPr>
          <w:p w14:paraId="7B5BE3A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605" w:type="dxa"/>
            <w:gridSpan w:val="2"/>
            <w:tcBorders>
              <w:top w:val="nil"/>
              <w:left w:val="nil"/>
              <w:bottom w:val="single" w:sz="4" w:space="0" w:color="auto"/>
              <w:right w:val="single" w:sz="4" w:space="0" w:color="auto"/>
            </w:tcBorders>
            <w:shd w:val="clear" w:color="000000" w:fill="D9D9D9"/>
            <w:vAlign w:val="center"/>
            <w:hideMark/>
          </w:tcPr>
          <w:p w14:paraId="0F38C75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0" w:type="dxa"/>
            <w:gridSpan w:val="2"/>
            <w:tcBorders>
              <w:top w:val="nil"/>
              <w:left w:val="nil"/>
              <w:bottom w:val="single" w:sz="4" w:space="0" w:color="auto"/>
              <w:right w:val="single" w:sz="4" w:space="0" w:color="auto"/>
            </w:tcBorders>
            <w:shd w:val="clear" w:color="000000" w:fill="D9D9D9"/>
            <w:vAlign w:val="center"/>
            <w:hideMark/>
          </w:tcPr>
          <w:p w14:paraId="1042F0E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8" w:type="dxa"/>
            <w:tcBorders>
              <w:top w:val="nil"/>
              <w:left w:val="nil"/>
              <w:bottom w:val="single" w:sz="4" w:space="0" w:color="auto"/>
              <w:right w:val="single" w:sz="4" w:space="0" w:color="auto"/>
            </w:tcBorders>
            <w:shd w:val="clear" w:color="000000" w:fill="D9D9D9"/>
            <w:vAlign w:val="center"/>
            <w:hideMark/>
          </w:tcPr>
          <w:p w14:paraId="7320812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0" w:type="dxa"/>
            <w:tcBorders>
              <w:top w:val="nil"/>
              <w:left w:val="nil"/>
              <w:bottom w:val="single" w:sz="4" w:space="0" w:color="auto"/>
              <w:right w:val="single" w:sz="4" w:space="0" w:color="auto"/>
            </w:tcBorders>
            <w:shd w:val="clear" w:color="000000" w:fill="D9D9D9"/>
            <w:vAlign w:val="center"/>
            <w:hideMark/>
          </w:tcPr>
          <w:p w14:paraId="410831C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3" w:type="dxa"/>
            <w:gridSpan w:val="3"/>
            <w:tcBorders>
              <w:top w:val="nil"/>
              <w:left w:val="nil"/>
              <w:bottom w:val="single" w:sz="4" w:space="0" w:color="auto"/>
              <w:right w:val="single" w:sz="4" w:space="0" w:color="auto"/>
            </w:tcBorders>
            <w:shd w:val="clear" w:color="000000" w:fill="92D050"/>
            <w:vAlign w:val="center"/>
            <w:hideMark/>
          </w:tcPr>
          <w:p w14:paraId="7269789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50" w:type="dxa"/>
            <w:gridSpan w:val="2"/>
            <w:tcBorders>
              <w:top w:val="nil"/>
              <w:left w:val="nil"/>
              <w:bottom w:val="single" w:sz="4" w:space="0" w:color="auto"/>
              <w:right w:val="single" w:sz="4" w:space="0" w:color="auto"/>
            </w:tcBorders>
            <w:shd w:val="clear" w:color="000000" w:fill="BDD7EE"/>
            <w:vAlign w:val="center"/>
            <w:hideMark/>
          </w:tcPr>
          <w:p w14:paraId="534399D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7" w:type="dxa"/>
            <w:tcBorders>
              <w:top w:val="nil"/>
              <w:left w:val="nil"/>
              <w:bottom w:val="single" w:sz="4" w:space="0" w:color="auto"/>
              <w:right w:val="single" w:sz="4" w:space="0" w:color="auto"/>
            </w:tcBorders>
            <w:shd w:val="clear" w:color="000000" w:fill="BDD7EE"/>
            <w:vAlign w:val="center"/>
            <w:hideMark/>
          </w:tcPr>
          <w:p w14:paraId="6371791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585E6BA7" w14:textId="77777777" w:rsidTr="00876367">
        <w:trPr>
          <w:trHeight w:val="720"/>
        </w:trPr>
        <w:tc>
          <w:tcPr>
            <w:tcW w:w="571" w:type="dxa"/>
            <w:vMerge/>
            <w:tcBorders>
              <w:top w:val="nil"/>
              <w:left w:val="single" w:sz="4" w:space="0" w:color="auto"/>
              <w:bottom w:val="single" w:sz="4" w:space="0" w:color="auto"/>
              <w:right w:val="single" w:sz="4" w:space="0" w:color="auto"/>
            </w:tcBorders>
            <w:vAlign w:val="center"/>
            <w:hideMark/>
          </w:tcPr>
          <w:p w14:paraId="7A8A25CB" w14:textId="77777777" w:rsidR="00F05E86" w:rsidRPr="004500AE" w:rsidRDefault="00F05E86" w:rsidP="006071CF">
            <w:pPr>
              <w:spacing w:before="0" w:after="0"/>
              <w:jc w:val="left"/>
              <w:rPr>
                <w:rFonts w:eastAsia="Times New Roman" w:cs="Calibri"/>
                <w:b/>
                <w:bCs/>
                <w:sz w:val="20"/>
                <w:szCs w:val="20"/>
                <w:lang w:val="pt-PT"/>
              </w:rPr>
            </w:pPr>
          </w:p>
        </w:tc>
        <w:tc>
          <w:tcPr>
            <w:tcW w:w="1543" w:type="dxa"/>
            <w:tcBorders>
              <w:top w:val="nil"/>
              <w:left w:val="nil"/>
              <w:bottom w:val="single" w:sz="4" w:space="0" w:color="auto"/>
              <w:right w:val="single" w:sz="4" w:space="0" w:color="auto"/>
            </w:tcBorders>
            <w:shd w:val="clear" w:color="000000" w:fill="FFFFFF"/>
            <w:vAlign w:val="center"/>
            <w:hideMark/>
          </w:tcPr>
          <w:p w14:paraId="20D8D23C"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Ruído e Vibrações</w:t>
            </w:r>
          </w:p>
        </w:tc>
        <w:tc>
          <w:tcPr>
            <w:tcW w:w="2122" w:type="dxa"/>
            <w:tcBorders>
              <w:top w:val="nil"/>
              <w:left w:val="nil"/>
              <w:bottom w:val="single" w:sz="4" w:space="0" w:color="auto"/>
              <w:right w:val="single" w:sz="4" w:space="0" w:color="auto"/>
            </w:tcBorders>
            <w:shd w:val="clear" w:color="auto" w:fill="auto"/>
            <w:vAlign w:val="center"/>
            <w:hideMark/>
          </w:tcPr>
          <w:p w14:paraId="39061A72" w14:textId="021023E0"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Emissão de ru</w:t>
            </w:r>
            <w:r w:rsidR="00153C26" w:rsidRPr="00292532">
              <w:rPr>
                <w:rFonts w:eastAsia="Times New Roman" w:cs="Calibri"/>
                <w:color w:val="000000"/>
                <w:sz w:val="20"/>
                <w:szCs w:val="20"/>
                <w:lang w:val="pt-PT"/>
              </w:rPr>
              <w:t>í</w:t>
            </w:r>
            <w:r w:rsidRPr="00292532">
              <w:rPr>
                <w:rFonts w:eastAsia="Times New Roman" w:cs="Calibri"/>
                <w:color w:val="000000"/>
                <w:sz w:val="20"/>
                <w:szCs w:val="20"/>
                <w:lang w:val="pt-PT"/>
              </w:rPr>
              <w:t xml:space="preserve">dos (todas as fases do </w:t>
            </w:r>
            <w:proofErr w:type="spellStart"/>
            <w:r w:rsidRPr="00292532">
              <w:rPr>
                <w:rFonts w:eastAsia="Times New Roman" w:cs="Calibri"/>
                <w:color w:val="000000"/>
                <w:sz w:val="20"/>
                <w:szCs w:val="20"/>
                <w:lang w:val="pt-PT"/>
              </w:rPr>
              <w:t>Projecto</w:t>
            </w:r>
            <w:proofErr w:type="spellEnd"/>
            <w:r w:rsidRPr="00292532">
              <w:rPr>
                <w:rFonts w:eastAsia="Times New Roman" w:cs="Calibri"/>
                <w:color w:val="000000"/>
                <w:sz w:val="20"/>
                <w:szCs w:val="20"/>
                <w:lang w:val="pt-PT"/>
              </w:rPr>
              <w:t>)</w:t>
            </w:r>
          </w:p>
        </w:tc>
        <w:tc>
          <w:tcPr>
            <w:tcW w:w="473" w:type="dxa"/>
            <w:tcBorders>
              <w:top w:val="nil"/>
              <w:left w:val="nil"/>
              <w:bottom w:val="single" w:sz="4" w:space="0" w:color="auto"/>
              <w:right w:val="single" w:sz="4" w:space="0" w:color="auto"/>
            </w:tcBorders>
            <w:shd w:val="clear" w:color="000000" w:fill="D9D9D9"/>
            <w:vAlign w:val="center"/>
            <w:hideMark/>
          </w:tcPr>
          <w:p w14:paraId="3A31484D"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D9D9D9"/>
            <w:vAlign w:val="center"/>
            <w:hideMark/>
          </w:tcPr>
          <w:p w14:paraId="0FAF975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5E4E285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776D965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422DB5E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6EA7B27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327723E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30" w:type="dxa"/>
            <w:tcBorders>
              <w:top w:val="nil"/>
              <w:left w:val="nil"/>
              <w:bottom w:val="single" w:sz="4" w:space="0" w:color="auto"/>
              <w:right w:val="single" w:sz="4" w:space="0" w:color="auto"/>
            </w:tcBorders>
            <w:shd w:val="clear" w:color="000000" w:fill="D9D9D9"/>
            <w:vAlign w:val="center"/>
            <w:hideMark/>
          </w:tcPr>
          <w:p w14:paraId="1FA91B4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1" w:type="dxa"/>
            <w:gridSpan w:val="2"/>
            <w:tcBorders>
              <w:top w:val="nil"/>
              <w:left w:val="nil"/>
              <w:bottom w:val="single" w:sz="4" w:space="0" w:color="auto"/>
              <w:right w:val="single" w:sz="4" w:space="0" w:color="auto"/>
            </w:tcBorders>
            <w:shd w:val="clear" w:color="000000" w:fill="D9D9D9"/>
            <w:vAlign w:val="center"/>
            <w:hideMark/>
          </w:tcPr>
          <w:p w14:paraId="35883BC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28" w:type="dxa"/>
            <w:gridSpan w:val="2"/>
            <w:tcBorders>
              <w:top w:val="nil"/>
              <w:left w:val="nil"/>
              <w:bottom w:val="single" w:sz="4" w:space="0" w:color="auto"/>
              <w:right w:val="single" w:sz="4" w:space="0" w:color="auto"/>
            </w:tcBorders>
            <w:shd w:val="clear" w:color="000000" w:fill="D9D9D9"/>
            <w:vAlign w:val="center"/>
            <w:hideMark/>
          </w:tcPr>
          <w:p w14:paraId="4669F19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696740A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3928CD2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61" w:type="dxa"/>
            <w:gridSpan w:val="2"/>
            <w:tcBorders>
              <w:top w:val="nil"/>
              <w:left w:val="nil"/>
              <w:bottom w:val="single" w:sz="4" w:space="0" w:color="auto"/>
              <w:right w:val="single" w:sz="4" w:space="0" w:color="auto"/>
            </w:tcBorders>
            <w:shd w:val="clear" w:color="000000" w:fill="FFFFFF"/>
            <w:vAlign w:val="center"/>
            <w:hideMark/>
          </w:tcPr>
          <w:p w14:paraId="6D52C2E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605" w:type="dxa"/>
            <w:gridSpan w:val="2"/>
            <w:tcBorders>
              <w:top w:val="nil"/>
              <w:left w:val="nil"/>
              <w:bottom w:val="single" w:sz="4" w:space="0" w:color="auto"/>
              <w:right w:val="single" w:sz="4" w:space="0" w:color="auto"/>
            </w:tcBorders>
            <w:shd w:val="clear" w:color="000000" w:fill="D9D9D9"/>
            <w:vAlign w:val="center"/>
            <w:hideMark/>
          </w:tcPr>
          <w:p w14:paraId="1B0D110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0" w:type="dxa"/>
            <w:gridSpan w:val="2"/>
            <w:tcBorders>
              <w:top w:val="nil"/>
              <w:left w:val="nil"/>
              <w:bottom w:val="single" w:sz="4" w:space="0" w:color="auto"/>
              <w:right w:val="single" w:sz="4" w:space="0" w:color="auto"/>
            </w:tcBorders>
            <w:shd w:val="clear" w:color="000000" w:fill="D9D9D9"/>
            <w:vAlign w:val="center"/>
            <w:hideMark/>
          </w:tcPr>
          <w:p w14:paraId="5F53416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8" w:type="dxa"/>
            <w:tcBorders>
              <w:top w:val="nil"/>
              <w:left w:val="nil"/>
              <w:bottom w:val="single" w:sz="4" w:space="0" w:color="auto"/>
              <w:right w:val="single" w:sz="4" w:space="0" w:color="auto"/>
            </w:tcBorders>
            <w:shd w:val="clear" w:color="000000" w:fill="D9D9D9"/>
            <w:vAlign w:val="center"/>
            <w:hideMark/>
          </w:tcPr>
          <w:p w14:paraId="180058D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0" w:type="dxa"/>
            <w:tcBorders>
              <w:top w:val="nil"/>
              <w:left w:val="nil"/>
              <w:bottom w:val="single" w:sz="4" w:space="0" w:color="auto"/>
              <w:right w:val="single" w:sz="4" w:space="0" w:color="auto"/>
            </w:tcBorders>
            <w:shd w:val="clear" w:color="000000" w:fill="D9D9D9"/>
            <w:vAlign w:val="center"/>
            <w:hideMark/>
          </w:tcPr>
          <w:p w14:paraId="605E17A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3" w:type="dxa"/>
            <w:gridSpan w:val="3"/>
            <w:tcBorders>
              <w:top w:val="nil"/>
              <w:left w:val="nil"/>
              <w:bottom w:val="single" w:sz="4" w:space="0" w:color="auto"/>
              <w:right w:val="single" w:sz="4" w:space="0" w:color="auto"/>
            </w:tcBorders>
            <w:shd w:val="clear" w:color="000000" w:fill="BDD7EE"/>
            <w:vAlign w:val="center"/>
            <w:hideMark/>
          </w:tcPr>
          <w:p w14:paraId="14BF890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50" w:type="dxa"/>
            <w:gridSpan w:val="2"/>
            <w:tcBorders>
              <w:top w:val="nil"/>
              <w:left w:val="nil"/>
              <w:bottom w:val="single" w:sz="4" w:space="0" w:color="auto"/>
              <w:right w:val="single" w:sz="4" w:space="0" w:color="auto"/>
            </w:tcBorders>
            <w:shd w:val="clear" w:color="000000" w:fill="FFFF00"/>
            <w:vAlign w:val="center"/>
            <w:hideMark/>
          </w:tcPr>
          <w:p w14:paraId="12F81C4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7" w:type="dxa"/>
            <w:tcBorders>
              <w:top w:val="nil"/>
              <w:left w:val="nil"/>
              <w:bottom w:val="single" w:sz="4" w:space="0" w:color="auto"/>
              <w:right w:val="single" w:sz="4" w:space="0" w:color="auto"/>
            </w:tcBorders>
            <w:shd w:val="clear" w:color="000000" w:fill="BDD7EE"/>
            <w:vAlign w:val="center"/>
            <w:hideMark/>
          </w:tcPr>
          <w:p w14:paraId="5361574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bookmarkEnd w:id="205"/>
      <w:tr w:rsidR="00876367" w:rsidRPr="00292532" w14:paraId="363B433F" w14:textId="77777777" w:rsidTr="00876367">
        <w:trPr>
          <w:trHeight w:val="720"/>
        </w:trPr>
        <w:tc>
          <w:tcPr>
            <w:tcW w:w="571" w:type="dxa"/>
            <w:vMerge/>
            <w:tcBorders>
              <w:top w:val="nil"/>
              <w:left w:val="single" w:sz="4" w:space="0" w:color="auto"/>
              <w:bottom w:val="single" w:sz="4" w:space="0" w:color="auto"/>
              <w:right w:val="single" w:sz="4" w:space="0" w:color="auto"/>
            </w:tcBorders>
            <w:vAlign w:val="center"/>
            <w:hideMark/>
          </w:tcPr>
          <w:p w14:paraId="3954C13B" w14:textId="77777777" w:rsidR="00F05E86" w:rsidRPr="004500AE" w:rsidRDefault="00F05E86" w:rsidP="006071CF">
            <w:pPr>
              <w:spacing w:before="0" w:after="0"/>
              <w:jc w:val="left"/>
              <w:rPr>
                <w:rFonts w:eastAsia="Times New Roman" w:cs="Calibri"/>
                <w:b/>
                <w:bCs/>
                <w:sz w:val="20"/>
                <w:szCs w:val="20"/>
                <w:lang w:val="pt-PT"/>
              </w:rPr>
            </w:pPr>
          </w:p>
        </w:tc>
        <w:tc>
          <w:tcPr>
            <w:tcW w:w="1543" w:type="dxa"/>
            <w:vMerge w:val="restart"/>
            <w:tcBorders>
              <w:top w:val="nil"/>
              <w:left w:val="single" w:sz="4" w:space="0" w:color="auto"/>
              <w:bottom w:val="single" w:sz="4" w:space="0" w:color="auto"/>
              <w:right w:val="single" w:sz="4" w:space="0" w:color="auto"/>
            </w:tcBorders>
            <w:shd w:val="clear" w:color="000000" w:fill="FFFFFF"/>
            <w:vAlign w:val="center"/>
            <w:hideMark/>
          </w:tcPr>
          <w:p w14:paraId="0385CCEE"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Solos</w:t>
            </w:r>
          </w:p>
        </w:tc>
        <w:tc>
          <w:tcPr>
            <w:tcW w:w="2122" w:type="dxa"/>
            <w:tcBorders>
              <w:top w:val="nil"/>
              <w:left w:val="nil"/>
              <w:bottom w:val="single" w:sz="4" w:space="0" w:color="auto"/>
              <w:right w:val="single" w:sz="4" w:space="0" w:color="auto"/>
            </w:tcBorders>
            <w:shd w:val="clear" w:color="auto" w:fill="auto"/>
            <w:vAlign w:val="center"/>
            <w:hideMark/>
          </w:tcPr>
          <w:p w14:paraId="3F13676E"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Perda de solo (fase de construção)</w:t>
            </w:r>
          </w:p>
        </w:tc>
        <w:tc>
          <w:tcPr>
            <w:tcW w:w="473" w:type="dxa"/>
            <w:tcBorders>
              <w:top w:val="nil"/>
              <w:left w:val="nil"/>
              <w:bottom w:val="single" w:sz="4" w:space="0" w:color="auto"/>
              <w:right w:val="single" w:sz="4" w:space="0" w:color="auto"/>
            </w:tcBorders>
            <w:shd w:val="clear" w:color="000000" w:fill="D9D9D9"/>
            <w:vAlign w:val="center"/>
            <w:hideMark/>
          </w:tcPr>
          <w:p w14:paraId="6673BDCD"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D9D9D9"/>
            <w:vAlign w:val="center"/>
            <w:hideMark/>
          </w:tcPr>
          <w:p w14:paraId="01454F5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5B00BB3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461A9F7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066595C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022F56C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6D1FAF5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30" w:type="dxa"/>
            <w:tcBorders>
              <w:top w:val="nil"/>
              <w:left w:val="nil"/>
              <w:bottom w:val="single" w:sz="4" w:space="0" w:color="auto"/>
              <w:right w:val="single" w:sz="4" w:space="0" w:color="auto"/>
            </w:tcBorders>
            <w:shd w:val="clear" w:color="000000" w:fill="D9D9D9"/>
            <w:vAlign w:val="center"/>
            <w:hideMark/>
          </w:tcPr>
          <w:p w14:paraId="73972B5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1" w:type="dxa"/>
            <w:gridSpan w:val="2"/>
            <w:tcBorders>
              <w:top w:val="nil"/>
              <w:left w:val="nil"/>
              <w:bottom w:val="single" w:sz="4" w:space="0" w:color="auto"/>
              <w:right w:val="single" w:sz="4" w:space="0" w:color="auto"/>
            </w:tcBorders>
            <w:shd w:val="clear" w:color="000000" w:fill="D9D9D9"/>
            <w:vAlign w:val="center"/>
            <w:hideMark/>
          </w:tcPr>
          <w:p w14:paraId="0965E3E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28" w:type="dxa"/>
            <w:gridSpan w:val="2"/>
            <w:tcBorders>
              <w:top w:val="nil"/>
              <w:left w:val="nil"/>
              <w:bottom w:val="single" w:sz="4" w:space="0" w:color="auto"/>
              <w:right w:val="single" w:sz="4" w:space="0" w:color="auto"/>
            </w:tcBorders>
            <w:shd w:val="clear" w:color="000000" w:fill="D9D9D9"/>
            <w:vAlign w:val="center"/>
            <w:hideMark/>
          </w:tcPr>
          <w:p w14:paraId="24E4B2D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74ACC19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228C54A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1" w:type="dxa"/>
            <w:gridSpan w:val="2"/>
            <w:tcBorders>
              <w:top w:val="nil"/>
              <w:left w:val="nil"/>
              <w:bottom w:val="single" w:sz="4" w:space="0" w:color="auto"/>
              <w:right w:val="single" w:sz="4" w:space="0" w:color="auto"/>
            </w:tcBorders>
            <w:shd w:val="clear" w:color="000000" w:fill="FFFFFF"/>
            <w:vAlign w:val="center"/>
            <w:hideMark/>
          </w:tcPr>
          <w:p w14:paraId="7C98D33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605" w:type="dxa"/>
            <w:gridSpan w:val="2"/>
            <w:tcBorders>
              <w:top w:val="nil"/>
              <w:left w:val="nil"/>
              <w:bottom w:val="single" w:sz="4" w:space="0" w:color="auto"/>
              <w:right w:val="single" w:sz="4" w:space="0" w:color="auto"/>
            </w:tcBorders>
            <w:shd w:val="clear" w:color="000000" w:fill="D9D9D9"/>
            <w:vAlign w:val="center"/>
            <w:hideMark/>
          </w:tcPr>
          <w:p w14:paraId="0DED21C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0" w:type="dxa"/>
            <w:gridSpan w:val="2"/>
            <w:tcBorders>
              <w:top w:val="nil"/>
              <w:left w:val="nil"/>
              <w:bottom w:val="single" w:sz="4" w:space="0" w:color="auto"/>
              <w:right w:val="single" w:sz="4" w:space="0" w:color="auto"/>
            </w:tcBorders>
            <w:shd w:val="clear" w:color="000000" w:fill="D9D9D9"/>
            <w:vAlign w:val="center"/>
            <w:hideMark/>
          </w:tcPr>
          <w:p w14:paraId="5D34CB5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4D69CDD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0" w:type="dxa"/>
            <w:tcBorders>
              <w:top w:val="nil"/>
              <w:left w:val="nil"/>
              <w:bottom w:val="single" w:sz="4" w:space="0" w:color="auto"/>
              <w:right w:val="single" w:sz="4" w:space="0" w:color="auto"/>
            </w:tcBorders>
            <w:shd w:val="clear" w:color="000000" w:fill="D9D9D9"/>
            <w:vAlign w:val="center"/>
            <w:hideMark/>
          </w:tcPr>
          <w:p w14:paraId="6F0A163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63" w:type="dxa"/>
            <w:gridSpan w:val="3"/>
            <w:tcBorders>
              <w:top w:val="nil"/>
              <w:left w:val="nil"/>
              <w:bottom w:val="single" w:sz="4" w:space="0" w:color="auto"/>
              <w:right w:val="single" w:sz="4" w:space="0" w:color="auto"/>
            </w:tcBorders>
            <w:shd w:val="clear" w:color="000000" w:fill="BDD7EE"/>
            <w:vAlign w:val="center"/>
            <w:hideMark/>
          </w:tcPr>
          <w:p w14:paraId="7102C11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50" w:type="dxa"/>
            <w:gridSpan w:val="2"/>
            <w:tcBorders>
              <w:top w:val="nil"/>
              <w:left w:val="nil"/>
              <w:bottom w:val="single" w:sz="4" w:space="0" w:color="auto"/>
              <w:right w:val="single" w:sz="4" w:space="0" w:color="auto"/>
            </w:tcBorders>
            <w:shd w:val="clear" w:color="000000" w:fill="BDD7EE"/>
            <w:vAlign w:val="center"/>
            <w:hideMark/>
          </w:tcPr>
          <w:p w14:paraId="11B5DD3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7" w:type="dxa"/>
            <w:tcBorders>
              <w:top w:val="nil"/>
              <w:left w:val="nil"/>
              <w:bottom w:val="single" w:sz="4" w:space="0" w:color="auto"/>
              <w:right w:val="single" w:sz="4" w:space="0" w:color="auto"/>
            </w:tcBorders>
            <w:shd w:val="clear" w:color="000000" w:fill="FF0000"/>
            <w:vAlign w:val="center"/>
            <w:hideMark/>
          </w:tcPr>
          <w:p w14:paraId="08F4E67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0A6BA3AE" w14:textId="77777777" w:rsidTr="00876367">
        <w:trPr>
          <w:trHeight w:val="720"/>
        </w:trPr>
        <w:tc>
          <w:tcPr>
            <w:tcW w:w="571" w:type="dxa"/>
            <w:vMerge/>
            <w:tcBorders>
              <w:top w:val="nil"/>
              <w:left w:val="single" w:sz="4" w:space="0" w:color="auto"/>
              <w:bottom w:val="single" w:sz="4" w:space="0" w:color="auto"/>
              <w:right w:val="single" w:sz="4" w:space="0" w:color="auto"/>
            </w:tcBorders>
            <w:vAlign w:val="center"/>
            <w:hideMark/>
          </w:tcPr>
          <w:p w14:paraId="1A8F88B4" w14:textId="77777777" w:rsidR="00F05E86" w:rsidRPr="004500AE" w:rsidRDefault="00F05E86" w:rsidP="006071CF">
            <w:pPr>
              <w:spacing w:before="0" w:after="0"/>
              <w:jc w:val="left"/>
              <w:rPr>
                <w:rFonts w:eastAsia="Times New Roman" w:cs="Calibri"/>
                <w:b/>
                <w:bCs/>
                <w:sz w:val="20"/>
                <w:szCs w:val="20"/>
                <w:lang w:val="pt-PT"/>
              </w:rPr>
            </w:pPr>
          </w:p>
        </w:tc>
        <w:tc>
          <w:tcPr>
            <w:tcW w:w="1543" w:type="dxa"/>
            <w:vMerge/>
            <w:tcBorders>
              <w:top w:val="nil"/>
              <w:left w:val="single" w:sz="4" w:space="0" w:color="auto"/>
              <w:bottom w:val="single" w:sz="4" w:space="0" w:color="auto"/>
              <w:right w:val="single" w:sz="4" w:space="0" w:color="auto"/>
            </w:tcBorders>
            <w:vAlign w:val="center"/>
            <w:hideMark/>
          </w:tcPr>
          <w:p w14:paraId="0F7C1971"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122" w:type="dxa"/>
            <w:tcBorders>
              <w:top w:val="nil"/>
              <w:left w:val="nil"/>
              <w:bottom w:val="single" w:sz="4" w:space="0" w:color="auto"/>
              <w:right w:val="single" w:sz="4" w:space="0" w:color="auto"/>
            </w:tcBorders>
            <w:shd w:val="clear" w:color="auto" w:fill="auto"/>
            <w:vAlign w:val="center"/>
            <w:hideMark/>
          </w:tcPr>
          <w:p w14:paraId="26E8B26F"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Degradação e contaminação do solo (fase de construção e pré-construção)</w:t>
            </w:r>
          </w:p>
        </w:tc>
        <w:tc>
          <w:tcPr>
            <w:tcW w:w="473" w:type="dxa"/>
            <w:tcBorders>
              <w:top w:val="nil"/>
              <w:left w:val="nil"/>
              <w:bottom w:val="single" w:sz="4" w:space="0" w:color="auto"/>
              <w:right w:val="single" w:sz="4" w:space="0" w:color="auto"/>
            </w:tcBorders>
            <w:shd w:val="clear" w:color="000000" w:fill="D9D9D9"/>
            <w:vAlign w:val="center"/>
            <w:hideMark/>
          </w:tcPr>
          <w:p w14:paraId="48121082"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D9D9D9"/>
            <w:vAlign w:val="center"/>
            <w:hideMark/>
          </w:tcPr>
          <w:p w14:paraId="7810304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2019FB7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1FD03FD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132D3B5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494A99E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4DFFF5B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30" w:type="dxa"/>
            <w:tcBorders>
              <w:top w:val="nil"/>
              <w:left w:val="nil"/>
              <w:bottom w:val="single" w:sz="4" w:space="0" w:color="auto"/>
              <w:right w:val="single" w:sz="4" w:space="0" w:color="auto"/>
            </w:tcBorders>
            <w:shd w:val="clear" w:color="000000" w:fill="D9D9D9"/>
            <w:vAlign w:val="center"/>
            <w:hideMark/>
          </w:tcPr>
          <w:p w14:paraId="6F820E1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1" w:type="dxa"/>
            <w:gridSpan w:val="2"/>
            <w:tcBorders>
              <w:top w:val="nil"/>
              <w:left w:val="nil"/>
              <w:bottom w:val="single" w:sz="4" w:space="0" w:color="auto"/>
              <w:right w:val="single" w:sz="4" w:space="0" w:color="auto"/>
            </w:tcBorders>
            <w:shd w:val="clear" w:color="000000" w:fill="D9D9D9"/>
            <w:vAlign w:val="center"/>
            <w:hideMark/>
          </w:tcPr>
          <w:p w14:paraId="6B62C94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28" w:type="dxa"/>
            <w:gridSpan w:val="2"/>
            <w:tcBorders>
              <w:top w:val="nil"/>
              <w:left w:val="nil"/>
              <w:bottom w:val="single" w:sz="4" w:space="0" w:color="auto"/>
              <w:right w:val="single" w:sz="4" w:space="0" w:color="auto"/>
            </w:tcBorders>
            <w:shd w:val="clear" w:color="000000" w:fill="D9D9D9"/>
            <w:vAlign w:val="center"/>
            <w:hideMark/>
          </w:tcPr>
          <w:p w14:paraId="47D011F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144D151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6C2F7C6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1" w:type="dxa"/>
            <w:gridSpan w:val="2"/>
            <w:tcBorders>
              <w:top w:val="nil"/>
              <w:left w:val="nil"/>
              <w:bottom w:val="single" w:sz="4" w:space="0" w:color="auto"/>
              <w:right w:val="single" w:sz="4" w:space="0" w:color="auto"/>
            </w:tcBorders>
            <w:shd w:val="clear" w:color="000000" w:fill="FFFFFF"/>
            <w:vAlign w:val="center"/>
            <w:hideMark/>
          </w:tcPr>
          <w:p w14:paraId="74C391B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605" w:type="dxa"/>
            <w:gridSpan w:val="2"/>
            <w:tcBorders>
              <w:top w:val="nil"/>
              <w:left w:val="nil"/>
              <w:bottom w:val="single" w:sz="4" w:space="0" w:color="auto"/>
              <w:right w:val="single" w:sz="4" w:space="0" w:color="auto"/>
            </w:tcBorders>
            <w:shd w:val="clear" w:color="000000" w:fill="D9D9D9"/>
            <w:vAlign w:val="center"/>
            <w:hideMark/>
          </w:tcPr>
          <w:p w14:paraId="0DB9284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0" w:type="dxa"/>
            <w:gridSpan w:val="2"/>
            <w:tcBorders>
              <w:top w:val="nil"/>
              <w:left w:val="nil"/>
              <w:bottom w:val="single" w:sz="4" w:space="0" w:color="auto"/>
              <w:right w:val="single" w:sz="4" w:space="0" w:color="auto"/>
            </w:tcBorders>
            <w:shd w:val="clear" w:color="000000" w:fill="D9D9D9"/>
            <w:vAlign w:val="center"/>
            <w:hideMark/>
          </w:tcPr>
          <w:p w14:paraId="134A810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8" w:type="dxa"/>
            <w:tcBorders>
              <w:top w:val="nil"/>
              <w:left w:val="nil"/>
              <w:bottom w:val="single" w:sz="4" w:space="0" w:color="auto"/>
              <w:right w:val="single" w:sz="4" w:space="0" w:color="auto"/>
            </w:tcBorders>
            <w:shd w:val="clear" w:color="000000" w:fill="D9D9D9"/>
            <w:vAlign w:val="center"/>
            <w:hideMark/>
          </w:tcPr>
          <w:p w14:paraId="2C440E6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0" w:type="dxa"/>
            <w:tcBorders>
              <w:top w:val="nil"/>
              <w:left w:val="nil"/>
              <w:bottom w:val="single" w:sz="4" w:space="0" w:color="auto"/>
              <w:right w:val="single" w:sz="4" w:space="0" w:color="auto"/>
            </w:tcBorders>
            <w:shd w:val="clear" w:color="000000" w:fill="D9D9D9"/>
            <w:vAlign w:val="center"/>
            <w:hideMark/>
          </w:tcPr>
          <w:p w14:paraId="49EA709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3" w:type="dxa"/>
            <w:gridSpan w:val="3"/>
            <w:tcBorders>
              <w:top w:val="nil"/>
              <w:left w:val="nil"/>
              <w:bottom w:val="single" w:sz="4" w:space="0" w:color="auto"/>
              <w:right w:val="single" w:sz="4" w:space="0" w:color="auto"/>
            </w:tcBorders>
            <w:shd w:val="clear" w:color="000000" w:fill="BDD7EE"/>
            <w:vAlign w:val="center"/>
            <w:hideMark/>
          </w:tcPr>
          <w:p w14:paraId="41EE60D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50" w:type="dxa"/>
            <w:gridSpan w:val="2"/>
            <w:tcBorders>
              <w:top w:val="nil"/>
              <w:left w:val="nil"/>
              <w:bottom w:val="single" w:sz="4" w:space="0" w:color="auto"/>
              <w:right w:val="single" w:sz="4" w:space="0" w:color="auto"/>
            </w:tcBorders>
            <w:shd w:val="clear" w:color="000000" w:fill="FFFF00"/>
            <w:vAlign w:val="center"/>
            <w:hideMark/>
          </w:tcPr>
          <w:p w14:paraId="710702D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7" w:type="dxa"/>
            <w:tcBorders>
              <w:top w:val="nil"/>
              <w:left w:val="nil"/>
              <w:bottom w:val="single" w:sz="4" w:space="0" w:color="auto"/>
              <w:right w:val="single" w:sz="4" w:space="0" w:color="auto"/>
            </w:tcBorders>
            <w:shd w:val="clear" w:color="000000" w:fill="BDD7EE"/>
            <w:vAlign w:val="center"/>
            <w:hideMark/>
          </w:tcPr>
          <w:p w14:paraId="35048B9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1DCE1DB6" w14:textId="77777777" w:rsidTr="00876367">
        <w:trPr>
          <w:trHeight w:val="720"/>
        </w:trPr>
        <w:tc>
          <w:tcPr>
            <w:tcW w:w="571" w:type="dxa"/>
            <w:vMerge/>
            <w:tcBorders>
              <w:top w:val="nil"/>
              <w:left w:val="single" w:sz="4" w:space="0" w:color="auto"/>
              <w:bottom w:val="single" w:sz="4" w:space="0" w:color="auto"/>
              <w:right w:val="single" w:sz="4" w:space="0" w:color="auto"/>
            </w:tcBorders>
            <w:vAlign w:val="center"/>
            <w:hideMark/>
          </w:tcPr>
          <w:p w14:paraId="5E7307CD" w14:textId="77777777" w:rsidR="00F05E86" w:rsidRPr="004500AE" w:rsidRDefault="00F05E86" w:rsidP="006071CF">
            <w:pPr>
              <w:spacing w:before="0" w:after="0"/>
              <w:jc w:val="left"/>
              <w:rPr>
                <w:rFonts w:eastAsia="Times New Roman" w:cs="Calibri"/>
                <w:b/>
                <w:bCs/>
                <w:sz w:val="20"/>
                <w:szCs w:val="20"/>
                <w:lang w:val="pt-PT"/>
              </w:rPr>
            </w:pPr>
          </w:p>
        </w:tc>
        <w:tc>
          <w:tcPr>
            <w:tcW w:w="1543" w:type="dxa"/>
            <w:vMerge/>
            <w:tcBorders>
              <w:top w:val="nil"/>
              <w:left w:val="single" w:sz="4" w:space="0" w:color="auto"/>
              <w:bottom w:val="single" w:sz="4" w:space="0" w:color="auto"/>
              <w:right w:val="single" w:sz="4" w:space="0" w:color="auto"/>
            </w:tcBorders>
            <w:vAlign w:val="center"/>
            <w:hideMark/>
          </w:tcPr>
          <w:p w14:paraId="7DFF2926"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122" w:type="dxa"/>
            <w:tcBorders>
              <w:top w:val="nil"/>
              <w:left w:val="nil"/>
              <w:bottom w:val="single" w:sz="4" w:space="0" w:color="auto"/>
              <w:right w:val="single" w:sz="4" w:space="0" w:color="auto"/>
            </w:tcBorders>
            <w:shd w:val="clear" w:color="auto" w:fill="auto"/>
            <w:vAlign w:val="center"/>
            <w:hideMark/>
          </w:tcPr>
          <w:p w14:paraId="40DA834D" w14:textId="403D055E"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Compactação e impermeabilização dos solos (fase de construção e pré-construção)</w:t>
            </w:r>
          </w:p>
        </w:tc>
        <w:tc>
          <w:tcPr>
            <w:tcW w:w="473" w:type="dxa"/>
            <w:tcBorders>
              <w:top w:val="nil"/>
              <w:left w:val="nil"/>
              <w:bottom w:val="single" w:sz="4" w:space="0" w:color="auto"/>
              <w:right w:val="single" w:sz="4" w:space="0" w:color="auto"/>
            </w:tcBorders>
            <w:shd w:val="clear" w:color="000000" w:fill="D9D9D9"/>
            <w:vAlign w:val="center"/>
            <w:hideMark/>
          </w:tcPr>
          <w:p w14:paraId="19EBFB6A"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D9D9D9"/>
            <w:vAlign w:val="center"/>
            <w:hideMark/>
          </w:tcPr>
          <w:p w14:paraId="0D18CE3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0BAB595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478E234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32EC7D7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3595FED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565D87C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30" w:type="dxa"/>
            <w:tcBorders>
              <w:top w:val="nil"/>
              <w:left w:val="nil"/>
              <w:bottom w:val="single" w:sz="4" w:space="0" w:color="auto"/>
              <w:right w:val="single" w:sz="4" w:space="0" w:color="auto"/>
            </w:tcBorders>
            <w:shd w:val="clear" w:color="000000" w:fill="D9D9D9"/>
            <w:vAlign w:val="center"/>
            <w:hideMark/>
          </w:tcPr>
          <w:p w14:paraId="5D2F57D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1" w:type="dxa"/>
            <w:gridSpan w:val="2"/>
            <w:tcBorders>
              <w:top w:val="nil"/>
              <w:left w:val="nil"/>
              <w:bottom w:val="single" w:sz="4" w:space="0" w:color="auto"/>
              <w:right w:val="single" w:sz="4" w:space="0" w:color="auto"/>
            </w:tcBorders>
            <w:shd w:val="clear" w:color="000000" w:fill="D9D9D9"/>
            <w:vAlign w:val="center"/>
            <w:hideMark/>
          </w:tcPr>
          <w:p w14:paraId="7C4A2F9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28" w:type="dxa"/>
            <w:gridSpan w:val="2"/>
            <w:tcBorders>
              <w:top w:val="nil"/>
              <w:left w:val="nil"/>
              <w:bottom w:val="single" w:sz="4" w:space="0" w:color="auto"/>
              <w:right w:val="single" w:sz="4" w:space="0" w:color="auto"/>
            </w:tcBorders>
            <w:shd w:val="clear" w:color="000000" w:fill="D9D9D9"/>
            <w:vAlign w:val="center"/>
            <w:hideMark/>
          </w:tcPr>
          <w:p w14:paraId="4511B00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529B625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2E18CDB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61" w:type="dxa"/>
            <w:gridSpan w:val="2"/>
            <w:tcBorders>
              <w:top w:val="nil"/>
              <w:left w:val="nil"/>
              <w:bottom w:val="single" w:sz="4" w:space="0" w:color="auto"/>
              <w:right w:val="single" w:sz="4" w:space="0" w:color="auto"/>
            </w:tcBorders>
            <w:shd w:val="clear" w:color="000000" w:fill="FFFFFF"/>
            <w:vAlign w:val="center"/>
            <w:hideMark/>
          </w:tcPr>
          <w:p w14:paraId="0897E59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605" w:type="dxa"/>
            <w:gridSpan w:val="2"/>
            <w:tcBorders>
              <w:top w:val="nil"/>
              <w:left w:val="nil"/>
              <w:bottom w:val="single" w:sz="4" w:space="0" w:color="auto"/>
              <w:right w:val="single" w:sz="4" w:space="0" w:color="auto"/>
            </w:tcBorders>
            <w:shd w:val="clear" w:color="000000" w:fill="D9D9D9"/>
            <w:vAlign w:val="center"/>
            <w:hideMark/>
          </w:tcPr>
          <w:p w14:paraId="464F364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0" w:type="dxa"/>
            <w:gridSpan w:val="2"/>
            <w:tcBorders>
              <w:top w:val="nil"/>
              <w:left w:val="nil"/>
              <w:bottom w:val="single" w:sz="4" w:space="0" w:color="auto"/>
              <w:right w:val="single" w:sz="4" w:space="0" w:color="auto"/>
            </w:tcBorders>
            <w:shd w:val="clear" w:color="000000" w:fill="D9D9D9"/>
            <w:vAlign w:val="center"/>
            <w:hideMark/>
          </w:tcPr>
          <w:p w14:paraId="67E247F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6EF09AF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90" w:type="dxa"/>
            <w:tcBorders>
              <w:top w:val="nil"/>
              <w:left w:val="nil"/>
              <w:bottom w:val="single" w:sz="4" w:space="0" w:color="auto"/>
              <w:right w:val="single" w:sz="4" w:space="0" w:color="auto"/>
            </w:tcBorders>
            <w:shd w:val="clear" w:color="000000" w:fill="D9D9D9"/>
            <w:vAlign w:val="center"/>
            <w:hideMark/>
          </w:tcPr>
          <w:p w14:paraId="1F75B85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3" w:type="dxa"/>
            <w:gridSpan w:val="3"/>
            <w:tcBorders>
              <w:top w:val="nil"/>
              <w:left w:val="nil"/>
              <w:bottom w:val="single" w:sz="4" w:space="0" w:color="auto"/>
              <w:right w:val="single" w:sz="4" w:space="0" w:color="auto"/>
            </w:tcBorders>
            <w:shd w:val="clear" w:color="000000" w:fill="BDD7EE"/>
            <w:vAlign w:val="center"/>
            <w:hideMark/>
          </w:tcPr>
          <w:p w14:paraId="022DCDE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50" w:type="dxa"/>
            <w:gridSpan w:val="2"/>
            <w:tcBorders>
              <w:top w:val="nil"/>
              <w:left w:val="nil"/>
              <w:bottom w:val="single" w:sz="4" w:space="0" w:color="auto"/>
              <w:right w:val="single" w:sz="4" w:space="0" w:color="auto"/>
            </w:tcBorders>
            <w:shd w:val="clear" w:color="000000" w:fill="FFFF00"/>
            <w:vAlign w:val="center"/>
            <w:hideMark/>
          </w:tcPr>
          <w:p w14:paraId="323FF64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7" w:type="dxa"/>
            <w:tcBorders>
              <w:top w:val="nil"/>
              <w:left w:val="nil"/>
              <w:bottom w:val="single" w:sz="4" w:space="0" w:color="auto"/>
              <w:right w:val="single" w:sz="4" w:space="0" w:color="auto"/>
            </w:tcBorders>
            <w:shd w:val="clear" w:color="000000" w:fill="BDD7EE"/>
            <w:vAlign w:val="center"/>
            <w:hideMark/>
          </w:tcPr>
          <w:p w14:paraId="5AD7A47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5974880F" w14:textId="77777777" w:rsidTr="00876367">
        <w:trPr>
          <w:trHeight w:val="720"/>
        </w:trPr>
        <w:tc>
          <w:tcPr>
            <w:tcW w:w="571" w:type="dxa"/>
            <w:vMerge/>
            <w:tcBorders>
              <w:top w:val="nil"/>
              <w:left w:val="single" w:sz="4" w:space="0" w:color="auto"/>
              <w:bottom w:val="single" w:sz="4" w:space="0" w:color="auto"/>
              <w:right w:val="single" w:sz="4" w:space="0" w:color="auto"/>
            </w:tcBorders>
            <w:vAlign w:val="center"/>
            <w:hideMark/>
          </w:tcPr>
          <w:p w14:paraId="0756A1D8" w14:textId="77777777" w:rsidR="00F05E86" w:rsidRPr="004500AE" w:rsidRDefault="00F05E86" w:rsidP="006071CF">
            <w:pPr>
              <w:spacing w:before="0" w:after="0"/>
              <w:jc w:val="left"/>
              <w:rPr>
                <w:rFonts w:eastAsia="Times New Roman" w:cs="Calibri"/>
                <w:b/>
                <w:bCs/>
                <w:sz w:val="20"/>
                <w:szCs w:val="20"/>
                <w:lang w:val="pt-PT"/>
              </w:rPr>
            </w:pPr>
          </w:p>
        </w:tc>
        <w:tc>
          <w:tcPr>
            <w:tcW w:w="1543" w:type="dxa"/>
            <w:tcBorders>
              <w:top w:val="nil"/>
              <w:left w:val="nil"/>
              <w:bottom w:val="single" w:sz="4" w:space="0" w:color="auto"/>
              <w:right w:val="single" w:sz="4" w:space="0" w:color="auto"/>
            </w:tcBorders>
            <w:shd w:val="clear" w:color="000000" w:fill="FFFFFF"/>
            <w:vAlign w:val="center"/>
            <w:hideMark/>
          </w:tcPr>
          <w:p w14:paraId="218B7CF7"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Erosão</w:t>
            </w:r>
          </w:p>
        </w:tc>
        <w:tc>
          <w:tcPr>
            <w:tcW w:w="2122" w:type="dxa"/>
            <w:tcBorders>
              <w:top w:val="nil"/>
              <w:left w:val="nil"/>
              <w:bottom w:val="single" w:sz="4" w:space="0" w:color="auto"/>
              <w:right w:val="single" w:sz="4" w:space="0" w:color="auto"/>
            </w:tcBorders>
            <w:shd w:val="clear" w:color="auto" w:fill="auto"/>
            <w:vAlign w:val="center"/>
            <w:hideMark/>
          </w:tcPr>
          <w:p w14:paraId="7F45CA9F"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Geração de processos erosivos (fase de construção e de operação)</w:t>
            </w:r>
          </w:p>
        </w:tc>
        <w:tc>
          <w:tcPr>
            <w:tcW w:w="473" w:type="dxa"/>
            <w:tcBorders>
              <w:top w:val="nil"/>
              <w:left w:val="nil"/>
              <w:bottom w:val="single" w:sz="4" w:space="0" w:color="auto"/>
              <w:right w:val="single" w:sz="4" w:space="0" w:color="auto"/>
            </w:tcBorders>
            <w:shd w:val="clear" w:color="000000" w:fill="D9D9D9"/>
            <w:vAlign w:val="center"/>
            <w:hideMark/>
          </w:tcPr>
          <w:p w14:paraId="337B2D20"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D9D9D9"/>
            <w:vAlign w:val="center"/>
            <w:hideMark/>
          </w:tcPr>
          <w:p w14:paraId="177EE5B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7A40579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116CB36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122AC91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0E712EF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272317F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30" w:type="dxa"/>
            <w:tcBorders>
              <w:top w:val="nil"/>
              <w:left w:val="nil"/>
              <w:bottom w:val="single" w:sz="4" w:space="0" w:color="auto"/>
              <w:right w:val="single" w:sz="4" w:space="0" w:color="auto"/>
            </w:tcBorders>
            <w:shd w:val="clear" w:color="000000" w:fill="D9D9D9"/>
            <w:vAlign w:val="center"/>
            <w:hideMark/>
          </w:tcPr>
          <w:p w14:paraId="085A2F1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1" w:type="dxa"/>
            <w:gridSpan w:val="2"/>
            <w:tcBorders>
              <w:top w:val="nil"/>
              <w:left w:val="nil"/>
              <w:bottom w:val="single" w:sz="4" w:space="0" w:color="auto"/>
              <w:right w:val="single" w:sz="4" w:space="0" w:color="auto"/>
            </w:tcBorders>
            <w:shd w:val="clear" w:color="000000" w:fill="D9D9D9"/>
            <w:vAlign w:val="center"/>
            <w:hideMark/>
          </w:tcPr>
          <w:p w14:paraId="06CDB4E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28" w:type="dxa"/>
            <w:gridSpan w:val="2"/>
            <w:tcBorders>
              <w:top w:val="nil"/>
              <w:left w:val="nil"/>
              <w:bottom w:val="single" w:sz="4" w:space="0" w:color="auto"/>
              <w:right w:val="single" w:sz="4" w:space="0" w:color="auto"/>
            </w:tcBorders>
            <w:shd w:val="clear" w:color="000000" w:fill="D9D9D9"/>
            <w:vAlign w:val="center"/>
            <w:hideMark/>
          </w:tcPr>
          <w:p w14:paraId="1CA23EE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1753680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75CB8F8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61" w:type="dxa"/>
            <w:gridSpan w:val="2"/>
            <w:tcBorders>
              <w:top w:val="nil"/>
              <w:left w:val="nil"/>
              <w:bottom w:val="single" w:sz="4" w:space="0" w:color="auto"/>
              <w:right w:val="single" w:sz="4" w:space="0" w:color="auto"/>
            </w:tcBorders>
            <w:shd w:val="clear" w:color="000000" w:fill="FFFFFF"/>
            <w:vAlign w:val="center"/>
            <w:hideMark/>
          </w:tcPr>
          <w:p w14:paraId="1D4E92A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605" w:type="dxa"/>
            <w:gridSpan w:val="2"/>
            <w:tcBorders>
              <w:top w:val="nil"/>
              <w:left w:val="nil"/>
              <w:bottom w:val="single" w:sz="4" w:space="0" w:color="auto"/>
              <w:right w:val="single" w:sz="4" w:space="0" w:color="auto"/>
            </w:tcBorders>
            <w:shd w:val="clear" w:color="000000" w:fill="D9D9D9"/>
            <w:vAlign w:val="center"/>
            <w:hideMark/>
          </w:tcPr>
          <w:p w14:paraId="6A5CCB5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0" w:type="dxa"/>
            <w:gridSpan w:val="2"/>
            <w:tcBorders>
              <w:top w:val="nil"/>
              <w:left w:val="nil"/>
              <w:bottom w:val="single" w:sz="4" w:space="0" w:color="auto"/>
              <w:right w:val="single" w:sz="4" w:space="0" w:color="auto"/>
            </w:tcBorders>
            <w:shd w:val="clear" w:color="000000" w:fill="D9D9D9"/>
            <w:vAlign w:val="center"/>
            <w:hideMark/>
          </w:tcPr>
          <w:p w14:paraId="04F184B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8" w:type="dxa"/>
            <w:tcBorders>
              <w:top w:val="nil"/>
              <w:left w:val="nil"/>
              <w:bottom w:val="single" w:sz="4" w:space="0" w:color="auto"/>
              <w:right w:val="single" w:sz="4" w:space="0" w:color="auto"/>
            </w:tcBorders>
            <w:shd w:val="clear" w:color="000000" w:fill="D9D9D9"/>
            <w:vAlign w:val="center"/>
            <w:hideMark/>
          </w:tcPr>
          <w:p w14:paraId="407C946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0" w:type="dxa"/>
            <w:tcBorders>
              <w:top w:val="nil"/>
              <w:left w:val="nil"/>
              <w:bottom w:val="single" w:sz="4" w:space="0" w:color="auto"/>
              <w:right w:val="single" w:sz="4" w:space="0" w:color="auto"/>
            </w:tcBorders>
            <w:shd w:val="clear" w:color="000000" w:fill="D9D9D9"/>
            <w:vAlign w:val="center"/>
            <w:hideMark/>
          </w:tcPr>
          <w:p w14:paraId="06570BC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3" w:type="dxa"/>
            <w:gridSpan w:val="3"/>
            <w:tcBorders>
              <w:top w:val="nil"/>
              <w:left w:val="nil"/>
              <w:bottom w:val="single" w:sz="4" w:space="0" w:color="auto"/>
              <w:right w:val="single" w:sz="4" w:space="0" w:color="auto"/>
            </w:tcBorders>
            <w:shd w:val="clear" w:color="000000" w:fill="BDD7EE"/>
            <w:vAlign w:val="center"/>
            <w:hideMark/>
          </w:tcPr>
          <w:p w14:paraId="546C175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50" w:type="dxa"/>
            <w:gridSpan w:val="2"/>
            <w:tcBorders>
              <w:top w:val="nil"/>
              <w:left w:val="nil"/>
              <w:bottom w:val="single" w:sz="4" w:space="0" w:color="auto"/>
              <w:right w:val="single" w:sz="4" w:space="0" w:color="auto"/>
            </w:tcBorders>
            <w:shd w:val="clear" w:color="000000" w:fill="FFFF00"/>
            <w:vAlign w:val="center"/>
            <w:hideMark/>
          </w:tcPr>
          <w:p w14:paraId="51C7CE4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7" w:type="dxa"/>
            <w:tcBorders>
              <w:top w:val="nil"/>
              <w:left w:val="nil"/>
              <w:bottom w:val="single" w:sz="4" w:space="0" w:color="auto"/>
              <w:right w:val="single" w:sz="4" w:space="0" w:color="auto"/>
            </w:tcBorders>
            <w:shd w:val="clear" w:color="000000" w:fill="BDD7EE"/>
            <w:vAlign w:val="center"/>
            <w:hideMark/>
          </w:tcPr>
          <w:p w14:paraId="79414EA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6B90546E" w14:textId="77777777" w:rsidTr="00876367">
        <w:trPr>
          <w:trHeight w:val="720"/>
        </w:trPr>
        <w:tc>
          <w:tcPr>
            <w:tcW w:w="571" w:type="dxa"/>
            <w:vMerge/>
            <w:tcBorders>
              <w:top w:val="nil"/>
              <w:left w:val="single" w:sz="4" w:space="0" w:color="auto"/>
              <w:bottom w:val="single" w:sz="4" w:space="0" w:color="auto"/>
              <w:right w:val="single" w:sz="4" w:space="0" w:color="auto"/>
            </w:tcBorders>
            <w:vAlign w:val="center"/>
            <w:hideMark/>
          </w:tcPr>
          <w:p w14:paraId="66948449" w14:textId="77777777" w:rsidR="00F05E86" w:rsidRPr="004500AE" w:rsidRDefault="00F05E86" w:rsidP="006071CF">
            <w:pPr>
              <w:spacing w:before="0" w:after="0"/>
              <w:jc w:val="left"/>
              <w:rPr>
                <w:rFonts w:eastAsia="Times New Roman" w:cs="Calibri"/>
                <w:b/>
                <w:bCs/>
                <w:sz w:val="20"/>
                <w:szCs w:val="20"/>
                <w:lang w:val="pt-PT"/>
              </w:rPr>
            </w:pPr>
          </w:p>
        </w:tc>
        <w:tc>
          <w:tcPr>
            <w:tcW w:w="1543" w:type="dxa"/>
            <w:tcBorders>
              <w:top w:val="nil"/>
              <w:left w:val="nil"/>
              <w:bottom w:val="single" w:sz="4" w:space="0" w:color="auto"/>
              <w:right w:val="single" w:sz="4" w:space="0" w:color="auto"/>
            </w:tcBorders>
            <w:shd w:val="clear" w:color="000000" w:fill="FFFFFF"/>
            <w:vAlign w:val="center"/>
            <w:hideMark/>
          </w:tcPr>
          <w:p w14:paraId="6AA3C061"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Paisagem</w:t>
            </w:r>
          </w:p>
        </w:tc>
        <w:tc>
          <w:tcPr>
            <w:tcW w:w="2122" w:type="dxa"/>
            <w:tcBorders>
              <w:top w:val="nil"/>
              <w:left w:val="nil"/>
              <w:bottom w:val="single" w:sz="4" w:space="0" w:color="auto"/>
              <w:right w:val="single" w:sz="4" w:space="0" w:color="auto"/>
            </w:tcBorders>
            <w:shd w:val="clear" w:color="auto" w:fill="auto"/>
            <w:vAlign w:val="center"/>
            <w:hideMark/>
          </w:tcPr>
          <w:p w14:paraId="27183D9B"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Alteração da paisagem natural (fase de construção)</w:t>
            </w:r>
          </w:p>
        </w:tc>
        <w:tc>
          <w:tcPr>
            <w:tcW w:w="473" w:type="dxa"/>
            <w:tcBorders>
              <w:top w:val="nil"/>
              <w:left w:val="nil"/>
              <w:bottom w:val="single" w:sz="4" w:space="0" w:color="auto"/>
              <w:right w:val="single" w:sz="4" w:space="0" w:color="auto"/>
            </w:tcBorders>
            <w:shd w:val="clear" w:color="000000" w:fill="D9D9D9"/>
            <w:vAlign w:val="center"/>
            <w:hideMark/>
          </w:tcPr>
          <w:p w14:paraId="68001A27"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D9D9D9"/>
            <w:vAlign w:val="center"/>
            <w:hideMark/>
          </w:tcPr>
          <w:p w14:paraId="66F848D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5E1072C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380FCEA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5177A36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75C46BE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0B6B58D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30" w:type="dxa"/>
            <w:tcBorders>
              <w:top w:val="nil"/>
              <w:left w:val="nil"/>
              <w:bottom w:val="single" w:sz="4" w:space="0" w:color="auto"/>
              <w:right w:val="single" w:sz="4" w:space="0" w:color="auto"/>
            </w:tcBorders>
            <w:shd w:val="clear" w:color="000000" w:fill="D9D9D9"/>
            <w:vAlign w:val="center"/>
            <w:hideMark/>
          </w:tcPr>
          <w:p w14:paraId="303B789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1" w:type="dxa"/>
            <w:gridSpan w:val="2"/>
            <w:tcBorders>
              <w:top w:val="nil"/>
              <w:left w:val="nil"/>
              <w:bottom w:val="single" w:sz="4" w:space="0" w:color="auto"/>
              <w:right w:val="single" w:sz="4" w:space="0" w:color="auto"/>
            </w:tcBorders>
            <w:shd w:val="clear" w:color="000000" w:fill="D9D9D9"/>
            <w:vAlign w:val="center"/>
            <w:hideMark/>
          </w:tcPr>
          <w:p w14:paraId="748DD57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28" w:type="dxa"/>
            <w:gridSpan w:val="2"/>
            <w:tcBorders>
              <w:top w:val="nil"/>
              <w:left w:val="nil"/>
              <w:bottom w:val="single" w:sz="4" w:space="0" w:color="auto"/>
              <w:right w:val="single" w:sz="4" w:space="0" w:color="auto"/>
            </w:tcBorders>
            <w:shd w:val="clear" w:color="000000" w:fill="D9D9D9"/>
            <w:vAlign w:val="center"/>
            <w:hideMark/>
          </w:tcPr>
          <w:p w14:paraId="0043920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3B44B40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55BB934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1" w:type="dxa"/>
            <w:gridSpan w:val="2"/>
            <w:tcBorders>
              <w:top w:val="nil"/>
              <w:left w:val="nil"/>
              <w:bottom w:val="single" w:sz="4" w:space="0" w:color="auto"/>
              <w:right w:val="single" w:sz="4" w:space="0" w:color="auto"/>
            </w:tcBorders>
            <w:shd w:val="clear" w:color="000000" w:fill="FFFFFF"/>
            <w:vAlign w:val="center"/>
            <w:hideMark/>
          </w:tcPr>
          <w:p w14:paraId="180E53D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605" w:type="dxa"/>
            <w:gridSpan w:val="2"/>
            <w:tcBorders>
              <w:top w:val="nil"/>
              <w:left w:val="nil"/>
              <w:bottom w:val="single" w:sz="4" w:space="0" w:color="auto"/>
              <w:right w:val="single" w:sz="4" w:space="0" w:color="auto"/>
            </w:tcBorders>
            <w:shd w:val="clear" w:color="000000" w:fill="D9D9D9"/>
            <w:vAlign w:val="center"/>
            <w:hideMark/>
          </w:tcPr>
          <w:p w14:paraId="78B2AC9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0" w:type="dxa"/>
            <w:gridSpan w:val="2"/>
            <w:tcBorders>
              <w:top w:val="nil"/>
              <w:left w:val="nil"/>
              <w:bottom w:val="single" w:sz="4" w:space="0" w:color="auto"/>
              <w:right w:val="single" w:sz="4" w:space="0" w:color="auto"/>
            </w:tcBorders>
            <w:shd w:val="clear" w:color="000000" w:fill="D9D9D9"/>
            <w:vAlign w:val="center"/>
            <w:hideMark/>
          </w:tcPr>
          <w:p w14:paraId="79947FC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50F82FB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90" w:type="dxa"/>
            <w:tcBorders>
              <w:top w:val="nil"/>
              <w:left w:val="nil"/>
              <w:bottom w:val="single" w:sz="4" w:space="0" w:color="auto"/>
              <w:right w:val="single" w:sz="4" w:space="0" w:color="auto"/>
            </w:tcBorders>
            <w:shd w:val="clear" w:color="000000" w:fill="D9D9D9"/>
            <w:vAlign w:val="center"/>
            <w:hideMark/>
          </w:tcPr>
          <w:p w14:paraId="5C4C7C7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3" w:type="dxa"/>
            <w:gridSpan w:val="3"/>
            <w:tcBorders>
              <w:top w:val="nil"/>
              <w:left w:val="nil"/>
              <w:bottom w:val="single" w:sz="4" w:space="0" w:color="auto"/>
              <w:right w:val="single" w:sz="4" w:space="0" w:color="auto"/>
            </w:tcBorders>
            <w:shd w:val="clear" w:color="000000" w:fill="92D050"/>
            <w:vAlign w:val="center"/>
            <w:hideMark/>
          </w:tcPr>
          <w:p w14:paraId="7D50B9E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50" w:type="dxa"/>
            <w:gridSpan w:val="2"/>
            <w:tcBorders>
              <w:top w:val="nil"/>
              <w:left w:val="nil"/>
              <w:bottom w:val="single" w:sz="4" w:space="0" w:color="auto"/>
              <w:right w:val="single" w:sz="4" w:space="0" w:color="auto"/>
            </w:tcBorders>
            <w:shd w:val="clear" w:color="000000" w:fill="BDD7EE"/>
            <w:vAlign w:val="center"/>
            <w:hideMark/>
          </w:tcPr>
          <w:p w14:paraId="1CF89B6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7" w:type="dxa"/>
            <w:tcBorders>
              <w:top w:val="nil"/>
              <w:left w:val="nil"/>
              <w:bottom w:val="single" w:sz="4" w:space="0" w:color="auto"/>
              <w:right w:val="single" w:sz="4" w:space="0" w:color="auto"/>
            </w:tcBorders>
            <w:shd w:val="clear" w:color="000000" w:fill="BDD7EE"/>
            <w:vAlign w:val="center"/>
            <w:hideMark/>
          </w:tcPr>
          <w:p w14:paraId="086D7E3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098CD750" w14:textId="77777777" w:rsidTr="00876367">
        <w:trPr>
          <w:trHeight w:val="720"/>
        </w:trPr>
        <w:tc>
          <w:tcPr>
            <w:tcW w:w="571" w:type="dxa"/>
            <w:vMerge/>
            <w:tcBorders>
              <w:top w:val="nil"/>
              <w:left w:val="single" w:sz="4" w:space="0" w:color="auto"/>
              <w:bottom w:val="single" w:sz="4" w:space="0" w:color="auto"/>
              <w:right w:val="single" w:sz="4" w:space="0" w:color="auto"/>
            </w:tcBorders>
            <w:vAlign w:val="center"/>
            <w:hideMark/>
          </w:tcPr>
          <w:p w14:paraId="1B03E63E" w14:textId="77777777" w:rsidR="00F05E86" w:rsidRPr="004500AE" w:rsidRDefault="00F05E86" w:rsidP="006071CF">
            <w:pPr>
              <w:spacing w:before="0" w:after="0"/>
              <w:jc w:val="left"/>
              <w:rPr>
                <w:rFonts w:eastAsia="Times New Roman" w:cs="Calibri"/>
                <w:b/>
                <w:bCs/>
                <w:sz w:val="20"/>
                <w:szCs w:val="20"/>
                <w:lang w:val="pt-PT"/>
              </w:rPr>
            </w:pPr>
          </w:p>
        </w:tc>
        <w:tc>
          <w:tcPr>
            <w:tcW w:w="1543" w:type="dxa"/>
            <w:vMerge w:val="restart"/>
            <w:tcBorders>
              <w:top w:val="nil"/>
              <w:left w:val="single" w:sz="4" w:space="0" w:color="auto"/>
              <w:bottom w:val="single" w:sz="4" w:space="0" w:color="auto"/>
              <w:right w:val="single" w:sz="4" w:space="0" w:color="auto"/>
            </w:tcBorders>
            <w:shd w:val="clear" w:color="000000" w:fill="FFFFFF"/>
            <w:vAlign w:val="center"/>
            <w:hideMark/>
          </w:tcPr>
          <w:p w14:paraId="7FA489BF" w14:textId="77777777" w:rsidR="00F05E86" w:rsidRPr="00292532" w:rsidRDefault="00F05E86" w:rsidP="006071CF">
            <w:pPr>
              <w:spacing w:before="0" w:after="0"/>
              <w:jc w:val="center"/>
              <w:rPr>
                <w:rFonts w:eastAsia="Times New Roman" w:cs="Calibri"/>
                <w:b/>
                <w:bCs/>
                <w:color w:val="000000"/>
                <w:sz w:val="20"/>
                <w:szCs w:val="20"/>
                <w:lang w:val="pt-PT"/>
              </w:rPr>
            </w:pPr>
            <w:r w:rsidRPr="00292532">
              <w:rPr>
                <w:rFonts w:eastAsia="Times New Roman" w:cs="Calibri"/>
                <w:b/>
                <w:bCs/>
                <w:color w:val="000000"/>
                <w:sz w:val="20"/>
                <w:szCs w:val="20"/>
                <w:lang w:val="pt-PT"/>
              </w:rPr>
              <w:t>Cursos de água e Recursos hídricos</w:t>
            </w:r>
          </w:p>
        </w:tc>
        <w:tc>
          <w:tcPr>
            <w:tcW w:w="2122" w:type="dxa"/>
            <w:tcBorders>
              <w:top w:val="nil"/>
              <w:left w:val="nil"/>
              <w:bottom w:val="single" w:sz="4" w:space="0" w:color="auto"/>
              <w:right w:val="single" w:sz="4" w:space="0" w:color="auto"/>
            </w:tcBorders>
            <w:shd w:val="clear" w:color="auto" w:fill="auto"/>
            <w:vAlign w:val="center"/>
            <w:hideMark/>
          </w:tcPr>
          <w:p w14:paraId="6645718D"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Assoreamento de corpos hídricos (fase de construção)</w:t>
            </w:r>
          </w:p>
        </w:tc>
        <w:tc>
          <w:tcPr>
            <w:tcW w:w="473" w:type="dxa"/>
            <w:tcBorders>
              <w:top w:val="nil"/>
              <w:left w:val="nil"/>
              <w:bottom w:val="single" w:sz="4" w:space="0" w:color="auto"/>
              <w:right w:val="single" w:sz="4" w:space="0" w:color="auto"/>
            </w:tcBorders>
            <w:shd w:val="clear" w:color="000000" w:fill="D9D9D9"/>
            <w:vAlign w:val="center"/>
            <w:hideMark/>
          </w:tcPr>
          <w:p w14:paraId="11221028"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D9D9D9"/>
            <w:vAlign w:val="center"/>
            <w:hideMark/>
          </w:tcPr>
          <w:p w14:paraId="62D2918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43255DA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0B85B9D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24362F9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4DCD65B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5BC3E27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30" w:type="dxa"/>
            <w:tcBorders>
              <w:top w:val="nil"/>
              <w:left w:val="nil"/>
              <w:bottom w:val="single" w:sz="4" w:space="0" w:color="auto"/>
              <w:right w:val="single" w:sz="4" w:space="0" w:color="auto"/>
            </w:tcBorders>
            <w:shd w:val="clear" w:color="000000" w:fill="D9D9D9"/>
            <w:vAlign w:val="center"/>
            <w:hideMark/>
          </w:tcPr>
          <w:p w14:paraId="04D4BA6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1" w:type="dxa"/>
            <w:gridSpan w:val="2"/>
            <w:tcBorders>
              <w:top w:val="nil"/>
              <w:left w:val="nil"/>
              <w:bottom w:val="single" w:sz="4" w:space="0" w:color="auto"/>
              <w:right w:val="single" w:sz="4" w:space="0" w:color="auto"/>
            </w:tcBorders>
            <w:shd w:val="clear" w:color="000000" w:fill="D9D9D9"/>
            <w:vAlign w:val="center"/>
            <w:hideMark/>
          </w:tcPr>
          <w:p w14:paraId="700048A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28" w:type="dxa"/>
            <w:gridSpan w:val="2"/>
            <w:tcBorders>
              <w:top w:val="nil"/>
              <w:left w:val="nil"/>
              <w:bottom w:val="single" w:sz="4" w:space="0" w:color="auto"/>
              <w:right w:val="single" w:sz="4" w:space="0" w:color="auto"/>
            </w:tcBorders>
            <w:shd w:val="clear" w:color="000000" w:fill="D9D9D9"/>
            <w:vAlign w:val="center"/>
            <w:hideMark/>
          </w:tcPr>
          <w:p w14:paraId="55F007D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7469563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081D3BA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61" w:type="dxa"/>
            <w:gridSpan w:val="2"/>
            <w:tcBorders>
              <w:top w:val="nil"/>
              <w:left w:val="nil"/>
              <w:bottom w:val="single" w:sz="4" w:space="0" w:color="auto"/>
              <w:right w:val="single" w:sz="4" w:space="0" w:color="auto"/>
            </w:tcBorders>
            <w:shd w:val="clear" w:color="000000" w:fill="FFFFFF"/>
            <w:vAlign w:val="center"/>
            <w:hideMark/>
          </w:tcPr>
          <w:p w14:paraId="6486F83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605" w:type="dxa"/>
            <w:gridSpan w:val="2"/>
            <w:tcBorders>
              <w:top w:val="nil"/>
              <w:left w:val="nil"/>
              <w:bottom w:val="single" w:sz="4" w:space="0" w:color="auto"/>
              <w:right w:val="single" w:sz="4" w:space="0" w:color="auto"/>
            </w:tcBorders>
            <w:shd w:val="clear" w:color="000000" w:fill="D9D9D9"/>
            <w:vAlign w:val="center"/>
            <w:hideMark/>
          </w:tcPr>
          <w:p w14:paraId="28EE5CA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60" w:type="dxa"/>
            <w:gridSpan w:val="2"/>
            <w:tcBorders>
              <w:top w:val="nil"/>
              <w:left w:val="nil"/>
              <w:bottom w:val="single" w:sz="4" w:space="0" w:color="auto"/>
              <w:right w:val="single" w:sz="4" w:space="0" w:color="auto"/>
            </w:tcBorders>
            <w:shd w:val="clear" w:color="000000" w:fill="D9D9D9"/>
            <w:vAlign w:val="center"/>
            <w:hideMark/>
          </w:tcPr>
          <w:p w14:paraId="5B6575B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5E61E1C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0" w:type="dxa"/>
            <w:tcBorders>
              <w:top w:val="nil"/>
              <w:left w:val="nil"/>
              <w:bottom w:val="single" w:sz="4" w:space="0" w:color="auto"/>
              <w:right w:val="single" w:sz="4" w:space="0" w:color="auto"/>
            </w:tcBorders>
            <w:shd w:val="clear" w:color="000000" w:fill="D9D9D9"/>
            <w:vAlign w:val="center"/>
            <w:hideMark/>
          </w:tcPr>
          <w:p w14:paraId="6C1F18C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3" w:type="dxa"/>
            <w:gridSpan w:val="3"/>
            <w:tcBorders>
              <w:top w:val="nil"/>
              <w:left w:val="nil"/>
              <w:bottom w:val="single" w:sz="4" w:space="0" w:color="auto"/>
              <w:right w:val="single" w:sz="4" w:space="0" w:color="auto"/>
            </w:tcBorders>
            <w:shd w:val="clear" w:color="000000" w:fill="92D050"/>
            <w:vAlign w:val="center"/>
            <w:hideMark/>
          </w:tcPr>
          <w:p w14:paraId="000799A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50" w:type="dxa"/>
            <w:gridSpan w:val="2"/>
            <w:tcBorders>
              <w:top w:val="nil"/>
              <w:left w:val="nil"/>
              <w:bottom w:val="single" w:sz="4" w:space="0" w:color="auto"/>
              <w:right w:val="single" w:sz="4" w:space="0" w:color="auto"/>
            </w:tcBorders>
            <w:shd w:val="clear" w:color="000000" w:fill="BDD7EE"/>
            <w:vAlign w:val="center"/>
            <w:hideMark/>
          </w:tcPr>
          <w:p w14:paraId="3E9EC7E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7" w:type="dxa"/>
            <w:tcBorders>
              <w:top w:val="nil"/>
              <w:left w:val="nil"/>
              <w:bottom w:val="single" w:sz="4" w:space="0" w:color="auto"/>
              <w:right w:val="single" w:sz="4" w:space="0" w:color="auto"/>
            </w:tcBorders>
            <w:shd w:val="clear" w:color="000000" w:fill="BDD7EE"/>
            <w:vAlign w:val="center"/>
            <w:hideMark/>
          </w:tcPr>
          <w:p w14:paraId="6C68BFA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3756F965" w14:textId="77777777" w:rsidTr="00876367">
        <w:trPr>
          <w:trHeight w:val="720"/>
        </w:trPr>
        <w:tc>
          <w:tcPr>
            <w:tcW w:w="571" w:type="dxa"/>
            <w:vMerge/>
            <w:tcBorders>
              <w:top w:val="nil"/>
              <w:left w:val="single" w:sz="4" w:space="0" w:color="auto"/>
              <w:bottom w:val="single" w:sz="4" w:space="0" w:color="auto"/>
              <w:right w:val="single" w:sz="4" w:space="0" w:color="auto"/>
            </w:tcBorders>
            <w:vAlign w:val="center"/>
            <w:hideMark/>
          </w:tcPr>
          <w:p w14:paraId="7B2CDEB7" w14:textId="77777777" w:rsidR="00F05E86" w:rsidRPr="004500AE" w:rsidRDefault="00F05E86" w:rsidP="006071CF">
            <w:pPr>
              <w:spacing w:before="0" w:after="0"/>
              <w:jc w:val="left"/>
              <w:rPr>
                <w:rFonts w:eastAsia="Times New Roman" w:cs="Calibri"/>
                <w:b/>
                <w:bCs/>
                <w:sz w:val="20"/>
                <w:szCs w:val="20"/>
                <w:lang w:val="pt-PT"/>
              </w:rPr>
            </w:pPr>
          </w:p>
        </w:tc>
        <w:tc>
          <w:tcPr>
            <w:tcW w:w="1543" w:type="dxa"/>
            <w:vMerge/>
            <w:tcBorders>
              <w:top w:val="nil"/>
              <w:left w:val="single" w:sz="4" w:space="0" w:color="auto"/>
              <w:bottom w:val="single" w:sz="4" w:space="0" w:color="auto"/>
              <w:right w:val="single" w:sz="4" w:space="0" w:color="auto"/>
            </w:tcBorders>
            <w:vAlign w:val="center"/>
            <w:hideMark/>
          </w:tcPr>
          <w:p w14:paraId="03691DB4"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122" w:type="dxa"/>
            <w:tcBorders>
              <w:top w:val="nil"/>
              <w:left w:val="nil"/>
              <w:bottom w:val="single" w:sz="4" w:space="0" w:color="auto"/>
              <w:right w:val="single" w:sz="4" w:space="0" w:color="auto"/>
            </w:tcBorders>
            <w:shd w:val="clear" w:color="auto" w:fill="auto"/>
            <w:vAlign w:val="center"/>
            <w:hideMark/>
          </w:tcPr>
          <w:p w14:paraId="72A52262"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 xml:space="preserve">Alteração da qualidade das águas superficiais e subterrâneas (todas as fases do </w:t>
            </w:r>
            <w:proofErr w:type="spellStart"/>
            <w:r w:rsidRPr="00292532">
              <w:rPr>
                <w:rFonts w:eastAsia="Times New Roman" w:cs="Calibri"/>
                <w:color w:val="000000"/>
                <w:sz w:val="20"/>
                <w:szCs w:val="20"/>
                <w:lang w:val="pt-PT"/>
              </w:rPr>
              <w:t>Projecto</w:t>
            </w:r>
            <w:proofErr w:type="spellEnd"/>
            <w:r w:rsidRPr="00292532">
              <w:rPr>
                <w:rFonts w:eastAsia="Times New Roman" w:cs="Calibri"/>
                <w:color w:val="000000"/>
                <w:sz w:val="20"/>
                <w:szCs w:val="20"/>
                <w:lang w:val="pt-PT"/>
              </w:rPr>
              <w:t>)</w:t>
            </w:r>
          </w:p>
        </w:tc>
        <w:tc>
          <w:tcPr>
            <w:tcW w:w="473" w:type="dxa"/>
            <w:tcBorders>
              <w:top w:val="nil"/>
              <w:left w:val="nil"/>
              <w:bottom w:val="single" w:sz="4" w:space="0" w:color="auto"/>
              <w:right w:val="single" w:sz="4" w:space="0" w:color="auto"/>
            </w:tcBorders>
            <w:shd w:val="clear" w:color="000000" w:fill="D9D9D9"/>
            <w:vAlign w:val="center"/>
            <w:hideMark/>
          </w:tcPr>
          <w:p w14:paraId="4424F8F2"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D9D9D9"/>
            <w:vAlign w:val="center"/>
            <w:hideMark/>
          </w:tcPr>
          <w:p w14:paraId="596F32C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19FB03F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4DD3B2C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4D7E884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0A3E318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0EFE006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30" w:type="dxa"/>
            <w:tcBorders>
              <w:top w:val="nil"/>
              <w:left w:val="nil"/>
              <w:bottom w:val="single" w:sz="4" w:space="0" w:color="auto"/>
              <w:right w:val="single" w:sz="4" w:space="0" w:color="auto"/>
            </w:tcBorders>
            <w:shd w:val="clear" w:color="000000" w:fill="D9D9D9"/>
            <w:vAlign w:val="center"/>
            <w:hideMark/>
          </w:tcPr>
          <w:p w14:paraId="416311E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1" w:type="dxa"/>
            <w:gridSpan w:val="2"/>
            <w:tcBorders>
              <w:top w:val="nil"/>
              <w:left w:val="nil"/>
              <w:bottom w:val="single" w:sz="4" w:space="0" w:color="auto"/>
              <w:right w:val="single" w:sz="4" w:space="0" w:color="auto"/>
            </w:tcBorders>
            <w:shd w:val="clear" w:color="000000" w:fill="D9D9D9"/>
            <w:vAlign w:val="center"/>
            <w:hideMark/>
          </w:tcPr>
          <w:p w14:paraId="10B3205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28" w:type="dxa"/>
            <w:gridSpan w:val="2"/>
            <w:tcBorders>
              <w:top w:val="nil"/>
              <w:left w:val="nil"/>
              <w:bottom w:val="single" w:sz="4" w:space="0" w:color="auto"/>
              <w:right w:val="single" w:sz="4" w:space="0" w:color="auto"/>
            </w:tcBorders>
            <w:shd w:val="clear" w:color="000000" w:fill="D9D9D9"/>
            <w:vAlign w:val="center"/>
            <w:hideMark/>
          </w:tcPr>
          <w:p w14:paraId="42EB82E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600938E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5CD8A1C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1" w:type="dxa"/>
            <w:gridSpan w:val="2"/>
            <w:tcBorders>
              <w:top w:val="nil"/>
              <w:left w:val="nil"/>
              <w:bottom w:val="single" w:sz="4" w:space="0" w:color="auto"/>
              <w:right w:val="single" w:sz="4" w:space="0" w:color="auto"/>
            </w:tcBorders>
            <w:shd w:val="clear" w:color="000000" w:fill="FFFFFF"/>
            <w:vAlign w:val="center"/>
            <w:hideMark/>
          </w:tcPr>
          <w:p w14:paraId="7DC2268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605" w:type="dxa"/>
            <w:gridSpan w:val="2"/>
            <w:tcBorders>
              <w:top w:val="nil"/>
              <w:left w:val="nil"/>
              <w:bottom w:val="single" w:sz="4" w:space="0" w:color="auto"/>
              <w:right w:val="single" w:sz="4" w:space="0" w:color="auto"/>
            </w:tcBorders>
            <w:shd w:val="clear" w:color="000000" w:fill="D9D9D9"/>
            <w:vAlign w:val="center"/>
            <w:hideMark/>
          </w:tcPr>
          <w:p w14:paraId="1C4DED5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0" w:type="dxa"/>
            <w:gridSpan w:val="2"/>
            <w:tcBorders>
              <w:top w:val="nil"/>
              <w:left w:val="nil"/>
              <w:bottom w:val="single" w:sz="4" w:space="0" w:color="auto"/>
              <w:right w:val="single" w:sz="4" w:space="0" w:color="auto"/>
            </w:tcBorders>
            <w:shd w:val="clear" w:color="000000" w:fill="D9D9D9"/>
            <w:vAlign w:val="center"/>
            <w:hideMark/>
          </w:tcPr>
          <w:p w14:paraId="74967DF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8" w:type="dxa"/>
            <w:tcBorders>
              <w:top w:val="nil"/>
              <w:left w:val="nil"/>
              <w:bottom w:val="single" w:sz="4" w:space="0" w:color="auto"/>
              <w:right w:val="single" w:sz="4" w:space="0" w:color="auto"/>
            </w:tcBorders>
            <w:shd w:val="clear" w:color="000000" w:fill="D9D9D9"/>
            <w:vAlign w:val="center"/>
            <w:hideMark/>
          </w:tcPr>
          <w:p w14:paraId="4C6B4D6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0" w:type="dxa"/>
            <w:tcBorders>
              <w:top w:val="nil"/>
              <w:left w:val="nil"/>
              <w:bottom w:val="single" w:sz="4" w:space="0" w:color="auto"/>
              <w:right w:val="single" w:sz="4" w:space="0" w:color="auto"/>
            </w:tcBorders>
            <w:shd w:val="clear" w:color="000000" w:fill="D9D9D9"/>
            <w:vAlign w:val="center"/>
            <w:hideMark/>
          </w:tcPr>
          <w:p w14:paraId="4B84B51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3" w:type="dxa"/>
            <w:gridSpan w:val="3"/>
            <w:tcBorders>
              <w:top w:val="nil"/>
              <w:left w:val="nil"/>
              <w:bottom w:val="single" w:sz="4" w:space="0" w:color="auto"/>
              <w:right w:val="single" w:sz="4" w:space="0" w:color="auto"/>
            </w:tcBorders>
            <w:shd w:val="clear" w:color="000000" w:fill="BDD7EE"/>
            <w:vAlign w:val="center"/>
            <w:hideMark/>
          </w:tcPr>
          <w:p w14:paraId="3D24234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50" w:type="dxa"/>
            <w:gridSpan w:val="2"/>
            <w:tcBorders>
              <w:top w:val="nil"/>
              <w:left w:val="nil"/>
              <w:bottom w:val="single" w:sz="4" w:space="0" w:color="auto"/>
              <w:right w:val="single" w:sz="4" w:space="0" w:color="auto"/>
            </w:tcBorders>
            <w:shd w:val="clear" w:color="000000" w:fill="FFFF00"/>
            <w:vAlign w:val="center"/>
            <w:hideMark/>
          </w:tcPr>
          <w:p w14:paraId="2E6B02B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7" w:type="dxa"/>
            <w:tcBorders>
              <w:top w:val="nil"/>
              <w:left w:val="nil"/>
              <w:bottom w:val="single" w:sz="4" w:space="0" w:color="auto"/>
              <w:right w:val="single" w:sz="4" w:space="0" w:color="auto"/>
            </w:tcBorders>
            <w:shd w:val="clear" w:color="000000" w:fill="BDD7EE"/>
            <w:vAlign w:val="center"/>
            <w:hideMark/>
          </w:tcPr>
          <w:p w14:paraId="5A52D8E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6A64D2BB" w14:textId="77777777" w:rsidTr="00876367">
        <w:trPr>
          <w:trHeight w:val="720"/>
        </w:trPr>
        <w:tc>
          <w:tcPr>
            <w:tcW w:w="571" w:type="dxa"/>
            <w:vMerge/>
            <w:tcBorders>
              <w:top w:val="nil"/>
              <w:left w:val="single" w:sz="4" w:space="0" w:color="auto"/>
              <w:bottom w:val="single" w:sz="4" w:space="0" w:color="auto"/>
              <w:right w:val="single" w:sz="4" w:space="0" w:color="auto"/>
            </w:tcBorders>
            <w:vAlign w:val="center"/>
            <w:hideMark/>
          </w:tcPr>
          <w:p w14:paraId="1EAA6060" w14:textId="77777777" w:rsidR="00F05E86" w:rsidRPr="004500AE" w:rsidRDefault="00F05E86" w:rsidP="006071CF">
            <w:pPr>
              <w:spacing w:before="0" w:after="0"/>
              <w:jc w:val="left"/>
              <w:rPr>
                <w:rFonts w:eastAsia="Times New Roman" w:cs="Calibri"/>
                <w:b/>
                <w:bCs/>
                <w:sz w:val="20"/>
                <w:szCs w:val="20"/>
                <w:lang w:val="pt-PT"/>
              </w:rPr>
            </w:pPr>
          </w:p>
        </w:tc>
        <w:tc>
          <w:tcPr>
            <w:tcW w:w="1543" w:type="dxa"/>
            <w:vMerge/>
            <w:tcBorders>
              <w:top w:val="nil"/>
              <w:left w:val="single" w:sz="4" w:space="0" w:color="auto"/>
              <w:bottom w:val="single" w:sz="4" w:space="0" w:color="auto"/>
              <w:right w:val="single" w:sz="4" w:space="0" w:color="auto"/>
            </w:tcBorders>
            <w:vAlign w:val="center"/>
            <w:hideMark/>
          </w:tcPr>
          <w:p w14:paraId="093FFDB3"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122" w:type="dxa"/>
            <w:tcBorders>
              <w:top w:val="nil"/>
              <w:left w:val="nil"/>
              <w:bottom w:val="single" w:sz="4" w:space="0" w:color="auto"/>
              <w:right w:val="single" w:sz="4" w:space="0" w:color="auto"/>
            </w:tcBorders>
            <w:shd w:val="clear" w:color="auto" w:fill="auto"/>
            <w:vAlign w:val="center"/>
            <w:hideMark/>
          </w:tcPr>
          <w:p w14:paraId="76F45FB1"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 xml:space="preserve">Potencial esgotamento das águas subterrâneas e alterações das funções dos aquíferos devido a captação </w:t>
            </w:r>
          </w:p>
        </w:tc>
        <w:tc>
          <w:tcPr>
            <w:tcW w:w="473" w:type="dxa"/>
            <w:tcBorders>
              <w:top w:val="nil"/>
              <w:left w:val="nil"/>
              <w:bottom w:val="single" w:sz="4" w:space="0" w:color="auto"/>
              <w:right w:val="single" w:sz="4" w:space="0" w:color="auto"/>
            </w:tcBorders>
            <w:shd w:val="clear" w:color="000000" w:fill="D9D9D9"/>
            <w:vAlign w:val="center"/>
            <w:hideMark/>
          </w:tcPr>
          <w:p w14:paraId="1807F4D3"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D9D9D9"/>
            <w:vAlign w:val="center"/>
            <w:hideMark/>
          </w:tcPr>
          <w:p w14:paraId="04480F4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5B7FF63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5715250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613B165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32D6329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5E60DE1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30" w:type="dxa"/>
            <w:tcBorders>
              <w:top w:val="nil"/>
              <w:left w:val="nil"/>
              <w:bottom w:val="single" w:sz="4" w:space="0" w:color="auto"/>
              <w:right w:val="single" w:sz="4" w:space="0" w:color="auto"/>
            </w:tcBorders>
            <w:shd w:val="clear" w:color="000000" w:fill="D9D9D9"/>
            <w:vAlign w:val="center"/>
            <w:hideMark/>
          </w:tcPr>
          <w:p w14:paraId="4536155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1" w:type="dxa"/>
            <w:gridSpan w:val="2"/>
            <w:tcBorders>
              <w:top w:val="nil"/>
              <w:left w:val="nil"/>
              <w:bottom w:val="single" w:sz="4" w:space="0" w:color="auto"/>
              <w:right w:val="single" w:sz="4" w:space="0" w:color="auto"/>
            </w:tcBorders>
            <w:shd w:val="clear" w:color="000000" w:fill="D9D9D9"/>
            <w:vAlign w:val="center"/>
            <w:hideMark/>
          </w:tcPr>
          <w:p w14:paraId="46DE834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28" w:type="dxa"/>
            <w:gridSpan w:val="2"/>
            <w:tcBorders>
              <w:top w:val="nil"/>
              <w:left w:val="nil"/>
              <w:bottom w:val="single" w:sz="4" w:space="0" w:color="auto"/>
              <w:right w:val="single" w:sz="4" w:space="0" w:color="auto"/>
            </w:tcBorders>
            <w:shd w:val="clear" w:color="000000" w:fill="D9D9D9"/>
            <w:vAlign w:val="center"/>
            <w:hideMark/>
          </w:tcPr>
          <w:p w14:paraId="615F033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150C7A8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1AC5637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1" w:type="dxa"/>
            <w:gridSpan w:val="2"/>
            <w:tcBorders>
              <w:top w:val="nil"/>
              <w:left w:val="nil"/>
              <w:bottom w:val="single" w:sz="4" w:space="0" w:color="auto"/>
              <w:right w:val="single" w:sz="4" w:space="0" w:color="auto"/>
            </w:tcBorders>
            <w:shd w:val="clear" w:color="000000" w:fill="FFFFFF"/>
            <w:vAlign w:val="center"/>
            <w:hideMark/>
          </w:tcPr>
          <w:p w14:paraId="218483B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605" w:type="dxa"/>
            <w:gridSpan w:val="2"/>
            <w:tcBorders>
              <w:top w:val="nil"/>
              <w:left w:val="nil"/>
              <w:bottom w:val="single" w:sz="4" w:space="0" w:color="auto"/>
              <w:right w:val="single" w:sz="4" w:space="0" w:color="auto"/>
            </w:tcBorders>
            <w:shd w:val="clear" w:color="000000" w:fill="D9D9D9"/>
            <w:vAlign w:val="center"/>
            <w:hideMark/>
          </w:tcPr>
          <w:p w14:paraId="73BE275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60" w:type="dxa"/>
            <w:gridSpan w:val="2"/>
            <w:tcBorders>
              <w:top w:val="nil"/>
              <w:left w:val="nil"/>
              <w:bottom w:val="single" w:sz="4" w:space="0" w:color="auto"/>
              <w:right w:val="single" w:sz="4" w:space="0" w:color="auto"/>
            </w:tcBorders>
            <w:shd w:val="clear" w:color="000000" w:fill="D9D9D9"/>
            <w:vAlign w:val="center"/>
            <w:hideMark/>
          </w:tcPr>
          <w:p w14:paraId="60F864A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343B886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0" w:type="dxa"/>
            <w:tcBorders>
              <w:top w:val="nil"/>
              <w:left w:val="nil"/>
              <w:bottom w:val="single" w:sz="4" w:space="0" w:color="auto"/>
              <w:right w:val="single" w:sz="4" w:space="0" w:color="auto"/>
            </w:tcBorders>
            <w:shd w:val="clear" w:color="000000" w:fill="D9D9D9"/>
            <w:vAlign w:val="center"/>
            <w:hideMark/>
          </w:tcPr>
          <w:p w14:paraId="6AEBE64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3" w:type="dxa"/>
            <w:gridSpan w:val="3"/>
            <w:tcBorders>
              <w:top w:val="nil"/>
              <w:left w:val="nil"/>
              <w:bottom w:val="single" w:sz="4" w:space="0" w:color="auto"/>
              <w:right w:val="single" w:sz="4" w:space="0" w:color="auto"/>
            </w:tcBorders>
            <w:shd w:val="clear" w:color="000000" w:fill="BDD7EE"/>
            <w:vAlign w:val="center"/>
            <w:hideMark/>
          </w:tcPr>
          <w:p w14:paraId="76EE00F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50" w:type="dxa"/>
            <w:gridSpan w:val="2"/>
            <w:tcBorders>
              <w:top w:val="nil"/>
              <w:left w:val="nil"/>
              <w:bottom w:val="single" w:sz="4" w:space="0" w:color="auto"/>
              <w:right w:val="single" w:sz="4" w:space="0" w:color="auto"/>
            </w:tcBorders>
            <w:shd w:val="clear" w:color="000000" w:fill="FFFF00"/>
            <w:vAlign w:val="center"/>
            <w:hideMark/>
          </w:tcPr>
          <w:p w14:paraId="23A8E9F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7" w:type="dxa"/>
            <w:tcBorders>
              <w:top w:val="nil"/>
              <w:left w:val="nil"/>
              <w:bottom w:val="single" w:sz="4" w:space="0" w:color="auto"/>
              <w:right w:val="single" w:sz="4" w:space="0" w:color="auto"/>
            </w:tcBorders>
            <w:shd w:val="clear" w:color="000000" w:fill="BDD7EE"/>
            <w:vAlign w:val="center"/>
            <w:hideMark/>
          </w:tcPr>
          <w:p w14:paraId="22246C8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59DA8319" w14:textId="77777777" w:rsidTr="00876367">
        <w:trPr>
          <w:trHeight w:val="720"/>
        </w:trPr>
        <w:tc>
          <w:tcPr>
            <w:tcW w:w="571" w:type="dxa"/>
            <w:vMerge/>
            <w:tcBorders>
              <w:top w:val="nil"/>
              <w:left w:val="single" w:sz="4" w:space="0" w:color="auto"/>
              <w:bottom w:val="single" w:sz="4" w:space="0" w:color="auto"/>
              <w:right w:val="single" w:sz="4" w:space="0" w:color="auto"/>
            </w:tcBorders>
            <w:vAlign w:val="center"/>
            <w:hideMark/>
          </w:tcPr>
          <w:p w14:paraId="38F53FA7" w14:textId="77777777" w:rsidR="00F05E86" w:rsidRPr="004500AE" w:rsidRDefault="00F05E86" w:rsidP="006071CF">
            <w:pPr>
              <w:spacing w:before="0" w:after="0"/>
              <w:jc w:val="left"/>
              <w:rPr>
                <w:rFonts w:eastAsia="Times New Roman" w:cs="Calibri"/>
                <w:b/>
                <w:bCs/>
                <w:sz w:val="20"/>
                <w:szCs w:val="20"/>
                <w:lang w:val="pt-PT"/>
              </w:rPr>
            </w:pPr>
          </w:p>
        </w:tc>
        <w:tc>
          <w:tcPr>
            <w:tcW w:w="1543" w:type="dxa"/>
            <w:vMerge/>
            <w:tcBorders>
              <w:top w:val="nil"/>
              <w:left w:val="single" w:sz="4" w:space="0" w:color="auto"/>
              <w:bottom w:val="single" w:sz="4" w:space="0" w:color="auto"/>
              <w:right w:val="single" w:sz="4" w:space="0" w:color="auto"/>
            </w:tcBorders>
            <w:vAlign w:val="center"/>
            <w:hideMark/>
          </w:tcPr>
          <w:p w14:paraId="3397BCD7"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122" w:type="dxa"/>
            <w:tcBorders>
              <w:top w:val="nil"/>
              <w:left w:val="nil"/>
              <w:bottom w:val="single" w:sz="4" w:space="0" w:color="auto"/>
              <w:right w:val="single" w:sz="4" w:space="0" w:color="auto"/>
            </w:tcBorders>
            <w:shd w:val="clear" w:color="auto" w:fill="auto"/>
            <w:vAlign w:val="center"/>
            <w:hideMark/>
          </w:tcPr>
          <w:p w14:paraId="5F344F68"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Captação excessiva de água em cursos de água intermitentes</w:t>
            </w:r>
          </w:p>
        </w:tc>
        <w:tc>
          <w:tcPr>
            <w:tcW w:w="473" w:type="dxa"/>
            <w:tcBorders>
              <w:top w:val="nil"/>
              <w:left w:val="nil"/>
              <w:bottom w:val="single" w:sz="4" w:space="0" w:color="auto"/>
              <w:right w:val="single" w:sz="4" w:space="0" w:color="auto"/>
            </w:tcBorders>
            <w:shd w:val="clear" w:color="000000" w:fill="D9D9D9"/>
            <w:vAlign w:val="center"/>
            <w:hideMark/>
          </w:tcPr>
          <w:p w14:paraId="74D737AC"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D9D9D9"/>
            <w:vAlign w:val="center"/>
            <w:hideMark/>
          </w:tcPr>
          <w:p w14:paraId="7F7FBB1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62395A1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4D4109A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531B3BF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56D7F10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3545ACC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30" w:type="dxa"/>
            <w:tcBorders>
              <w:top w:val="nil"/>
              <w:left w:val="nil"/>
              <w:bottom w:val="single" w:sz="4" w:space="0" w:color="auto"/>
              <w:right w:val="single" w:sz="4" w:space="0" w:color="auto"/>
            </w:tcBorders>
            <w:shd w:val="clear" w:color="000000" w:fill="D9D9D9"/>
            <w:vAlign w:val="center"/>
            <w:hideMark/>
          </w:tcPr>
          <w:p w14:paraId="4D00FF1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1" w:type="dxa"/>
            <w:gridSpan w:val="2"/>
            <w:tcBorders>
              <w:top w:val="nil"/>
              <w:left w:val="nil"/>
              <w:bottom w:val="single" w:sz="4" w:space="0" w:color="auto"/>
              <w:right w:val="single" w:sz="4" w:space="0" w:color="auto"/>
            </w:tcBorders>
            <w:shd w:val="clear" w:color="000000" w:fill="D9D9D9"/>
            <w:vAlign w:val="center"/>
            <w:hideMark/>
          </w:tcPr>
          <w:p w14:paraId="3A47F2A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28" w:type="dxa"/>
            <w:gridSpan w:val="2"/>
            <w:tcBorders>
              <w:top w:val="nil"/>
              <w:left w:val="nil"/>
              <w:bottom w:val="single" w:sz="4" w:space="0" w:color="auto"/>
              <w:right w:val="single" w:sz="4" w:space="0" w:color="auto"/>
            </w:tcBorders>
            <w:shd w:val="clear" w:color="000000" w:fill="D9D9D9"/>
            <w:vAlign w:val="center"/>
            <w:hideMark/>
          </w:tcPr>
          <w:p w14:paraId="753582F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20EEB08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7FF5E5C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61" w:type="dxa"/>
            <w:gridSpan w:val="2"/>
            <w:tcBorders>
              <w:top w:val="nil"/>
              <w:left w:val="nil"/>
              <w:bottom w:val="single" w:sz="4" w:space="0" w:color="auto"/>
              <w:right w:val="single" w:sz="4" w:space="0" w:color="auto"/>
            </w:tcBorders>
            <w:shd w:val="clear" w:color="000000" w:fill="FFFFFF"/>
            <w:vAlign w:val="center"/>
            <w:hideMark/>
          </w:tcPr>
          <w:p w14:paraId="177C135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605" w:type="dxa"/>
            <w:gridSpan w:val="2"/>
            <w:tcBorders>
              <w:top w:val="nil"/>
              <w:left w:val="nil"/>
              <w:bottom w:val="single" w:sz="4" w:space="0" w:color="auto"/>
              <w:right w:val="single" w:sz="4" w:space="0" w:color="auto"/>
            </w:tcBorders>
            <w:shd w:val="clear" w:color="000000" w:fill="D9D9D9"/>
            <w:vAlign w:val="center"/>
            <w:hideMark/>
          </w:tcPr>
          <w:p w14:paraId="0DFF2F7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0" w:type="dxa"/>
            <w:gridSpan w:val="2"/>
            <w:tcBorders>
              <w:top w:val="nil"/>
              <w:left w:val="nil"/>
              <w:bottom w:val="single" w:sz="4" w:space="0" w:color="auto"/>
              <w:right w:val="single" w:sz="4" w:space="0" w:color="auto"/>
            </w:tcBorders>
            <w:shd w:val="clear" w:color="000000" w:fill="D9D9D9"/>
            <w:vAlign w:val="center"/>
            <w:hideMark/>
          </w:tcPr>
          <w:p w14:paraId="11CC1AC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8" w:type="dxa"/>
            <w:tcBorders>
              <w:top w:val="nil"/>
              <w:left w:val="nil"/>
              <w:bottom w:val="single" w:sz="4" w:space="0" w:color="auto"/>
              <w:right w:val="single" w:sz="4" w:space="0" w:color="auto"/>
            </w:tcBorders>
            <w:shd w:val="clear" w:color="000000" w:fill="D9D9D9"/>
            <w:vAlign w:val="center"/>
            <w:hideMark/>
          </w:tcPr>
          <w:p w14:paraId="5E2B3EF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0" w:type="dxa"/>
            <w:tcBorders>
              <w:top w:val="nil"/>
              <w:left w:val="nil"/>
              <w:bottom w:val="single" w:sz="4" w:space="0" w:color="auto"/>
              <w:right w:val="single" w:sz="4" w:space="0" w:color="auto"/>
            </w:tcBorders>
            <w:shd w:val="clear" w:color="000000" w:fill="D9D9D9"/>
            <w:vAlign w:val="center"/>
            <w:hideMark/>
          </w:tcPr>
          <w:p w14:paraId="3C1C912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3" w:type="dxa"/>
            <w:gridSpan w:val="3"/>
            <w:tcBorders>
              <w:top w:val="nil"/>
              <w:left w:val="nil"/>
              <w:bottom w:val="single" w:sz="4" w:space="0" w:color="auto"/>
              <w:right w:val="single" w:sz="4" w:space="0" w:color="auto"/>
            </w:tcBorders>
            <w:shd w:val="clear" w:color="000000" w:fill="BDD7EE"/>
            <w:vAlign w:val="center"/>
            <w:hideMark/>
          </w:tcPr>
          <w:p w14:paraId="2EF9812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50" w:type="dxa"/>
            <w:gridSpan w:val="2"/>
            <w:tcBorders>
              <w:top w:val="nil"/>
              <w:left w:val="nil"/>
              <w:bottom w:val="single" w:sz="4" w:space="0" w:color="auto"/>
              <w:right w:val="single" w:sz="4" w:space="0" w:color="auto"/>
            </w:tcBorders>
            <w:shd w:val="clear" w:color="000000" w:fill="FFFF00"/>
            <w:vAlign w:val="center"/>
            <w:hideMark/>
          </w:tcPr>
          <w:p w14:paraId="34DD666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7" w:type="dxa"/>
            <w:tcBorders>
              <w:top w:val="nil"/>
              <w:left w:val="nil"/>
              <w:bottom w:val="single" w:sz="4" w:space="0" w:color="auto"/>
              <w:right w:val="single" w:sz="4" w:space="0" w:color="auto"/>
            </w:tcBorders>
            <w:shd w:val="clear" w:color="000000" w:fill="BDD7EE"/>
            <w:vAlign w:val="center"/>
            <w:hideMark/>
          </w:tcPr>
          <w:p w14:paraId="2CAF3D9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07E1EB96" w14:textId="77777777" w:rsidTr="00876367">
        <w:trPr>
          <w:trHeight w:val="720"/>
        </w:trPr>
        <w:tc>
          <w:tcPr>
            <w:tcW w:w="571" w:type="dxa"/>
            <w:vMerge/>
            <w:tcBorders>
              <w:top w:val="nil"/>
              <w:left w:val="single" w:sz="4" w:space="0" w:color="auto"/>
              <w:bottom w:val="single" w:sz="4" w:space="0" w:color="auto"/>
              <w:right w:val="single" w:sz="4" w:space="0" w:color="auto"/>
            </w:tcBorders>
            <w:vAlign w:val="center"/>
            <w:hideMark/>
          </w:tcPr>
          <w:p w14:paraId="2EE44D98" w14:textId="77777777" w:rsidR="00F05E86" w:rsidRPr="004500AE" w:rsidRDefault="00F05E86" w:rsidP="006071CF">
            <w:pPr>
              <w:spacing w:before="0" w:after="0"/>
              <w:jc w:val="left"/>
              <w:rPr>
                <w:rFonts w:eastAsia="Times New Roman" w:cs="Calibri"/>
                <w:b/>
                <w:bCs/>
                <w:sz w:val="20"/>
                <w:szCs w:val="20"/>
                <w:lang w:val="pt-PT"/>
              </w:rPr>
            </w:pPr>
          </w:p>
        </w:tc>
        <w:tc>
          <w:tcPr>
            <w:tcW w:w="1543" w:type="dxa"/>
            <w:tcBorders>
              <w:top w:val="nil"/>
              <w:left w:val="nil"/>
              <w:bottom w:val="single" w:sz="4" w:space="0" w:color="auto"/>
              <w:right w:val="single" w:sz="4" w:space="0" w:color="auto"/>
            </w:tcBorders>
            <w:shd w:val="clear" w:color="000000" w:fill="FFFFFF"/>
            <w:vAlign w:val="center"/>
            <w:hideMark/>
          </w:tcPr>
          <w:p w14:paraId="07818F32"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Eventos não planeados </w:t>
            </w:r>
          </w:p>
        </w:tc>
        <w:tc>
          <w:tcPr>
            <w:tcW w:w="2122" w:type="dxa"/>
            <w:tcBorders>
              <w:top w:val="nil"/>
              <w:left w:val="nil"/>
              <w:bottom w:val="single" w:sz="4" w:space="0" w:color="auto"/>
              <w:right w:val="single" w:sz="4" w:space="0" w:color="auto"/>
            </w:tcBorders>
            <w:shd w:val="clear" w:color="auto" w:fill="auto"/>
            <w:vAlign w:val="center"/>
            <w:hideMark/>
          </w:tcPr>
          <w:p w14:paraId="105F35E0"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 xml:space="preserve">Derrames de combustíveis e de </w:t>
            </w:r>
            <w:r w:rsidRPr="00292532">
              <w:rPr>
                <w:rFonts w:eastAsia="Times New Roman" w:cs="Calibri"/>
                <w:color w:val="000000"/>
                <w:sz w:val="20"/>
                <w:szCs w:val="20"/>
                <w:lang w:val="pt-PT"/>
              </w:rPr>
              <w:lastRenderedPageBreak/>
              <w:t xml:space="preserve">químicos (todas as fases do </w:t>
            </w:r>
            <w:proofErr w:type="spellStart"/>
            <w:r w:rsidRPr="00292532">
              <w:rPr>
                <w:rFonts w:eastAsia="Times New Roman" w:cs="Calibri"/>
                <w:color w:val="000000"/>
                <w:sz w:val="20"/>
                <w:szCs w:val="20"/>
                <w:lang w:val="pt-PT"/>
              </w:rPr>
              <w:t>Projecto</w:t>
            </w:r>
            <w:proofErr w:type="spellEnd"/>
            <w:r w:rsidRPr="00292532">
              <w:rPr>
                <w:rFonts w:eastAsia="Times New Roman" w:cs="Calibri"/>
                <w:color w:val="000000"/>
                <w:sz w:val="20"/>
                <w:szCs w:val="20"/>
                <w:lang w:val="pt-PT"/>
              </w:rPr>
              <w:t>)</w:t>
            </w:r>
          </w:p>
        </w:tc>
        <w:tc>
          <w:tcPr>
            <w:tcW w:w="473" w:type="dxa"/>
            <w:tcBorders>
              <w:top w:val="nil"/>
              <w:left w:val="nil"/>
              <w:bottom w:val="single" w:sz="4" w:space="0" w:color="auto"/>
              <w:right w:val="single" w:sz="4" w:space="0" w:color="auto"/>
            </w:tcBorders>
            <w:shd w:val="clear" w:color="000000" w:fill="D9D9D9"/>
            <w:vAlign w:val="center"/>
            <w:hideMark/>
          </w:tcPr>
          <w:p w14:paraId="2FA29B82"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lastRenderedPageBreak/>
              <w:t> </w:t>
            </w:r>
          </w:p>
        </w:tc>
        <w:tc>
          <w:tcPr>
            <w:tcW w:w="473" w:type="dxa"/>
            <w:tcBorders>
              <w:top w:val="nil"/>
              <w:left w:val="nil"/>
              <w:bottom w:val="single" w:sz="4" w:space="0" w:color="auto"/>
              <w:right w:val="single" w:sz="4" w:space="0" w:color="auto"/>
            </w:tcBorders>
            <w:shd w:val="clear" w:color="000000" w:fill="D9D9D9"/>
            <w:vAlign w:val="center"/>
            <w:hideMark/>
          </w:tcPr>
          <w:p w14:paraId="0C34887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5665217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00C0B37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7BB16D5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60BB7FC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142232C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30" w:type="dxa"/>
            <w:tcBorders>
              <w:top w:val="nil"/>
              <w:left w:val="nil"/>
              <w:bottom w:val="single" w:sz="4" w:space="0" w:color="auto"/>
              <w:right w:val="single" w:sz="4" w:space="0" w:color="auto"/>
            </w:tcBorders>
            <w:shd w:val="clear" w:color="000000" w:fill="D9D9D9"/>
            <w:vAlign w:val="center"/>
            <w:hideMark/>
          </w:tcPr>
          <w:p w14:paraId="7F03310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1" w:type="dxa"/>
            <w:gridSpan w:val="2"/>
            <w:tcBorders>
              <w:top w:val="nil"/>
              <w:left w:val="nil"/>
              <w:bottom w:val="single" w:sz="4" w:space="0" w:color="auto"/>
              <w:right w:val="single" w:sz="4" w:space="0" w:color="auto"/>
            </w:tcBorders>
            <w:shd w:val="clear" w:color="000000" w:fill="D9D9D9"/>
            <w:vAlign w:val="center"/>
            <w:hideMark/>
          </w:tcPr>
          <w:p w14:paraId="387C6B2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28" w:type="dxa"/>
            <w:gridSpan w:val="2"/>
            <w:tcBorders>
              <w:top w:val="nil"/>
              <w:left w:val="nil"/>
              <w:bottom w:val="single" w:sz="4" w:space="0" w:color="auto"/>
              <w:right w:val="single" w:sz="4" w:space="0" w:color="auto"/>
            </w:tcBorders>
            <w:shd w:val="clear" w:color="000000" w:fill="D9D9D9"/>
            <w:vAlign w:val="center"/>
            <w:hideMark/>
          </w:tcPr>
          <w:p w14:paraId="1827850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3F26E01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516FB2F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61" w:type="dxa"/>
            <w:gridSpan w:val="2"/>
            <w:tcBorders>
              <w:top w:val="nil"/>
              <w:left w:val="nil"/>
              <w:bottom w:val="single" w:sz="4" w:space="0" w:color="auto"/>
              <w:right w:val="single" w:sz="4" w:space="0" w:color="auto"/>
            </w:tcBorders>
            <w:shd w:val="clear" w:color="000000" w:fill="FFFFFF"/>
            <w:vAlign w:val="center"/>
            <w:hideMark/>
          </w:tcPr>
          <w:p w14:paraId="4530803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605" w:type="dxa"/>
            <w:gridSpan w:val="2"/>
            <w:tcBorders>
              <w:top w:val="nil"/>
              <w:left w:val="nil"/>
              <w:bottom w:val="single" w:sz="4" w:space="0" w:color="auto"/>
              <w:right w:val="single" w:sz="4" w:space="0" w:color="auto"/>
            </w:tcBorders>
            <w:shd w:val="clear" w:color="000000" w:fill="D9D9D9"/>
            <w:vAlign w:val="center"/>
            <w:hideMark/>
          </w:tcPr>
          <w:p w14:paraId="70B2E44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0" w:type="dxa"/>
            <w:gridSpan w:val="2"/>
            <w:tcBorders>
              <w:top w:val="nil"/>
              <w:left w:val="nil"/>
              <w:bottom w:val="single" w:sz="4" w:space="0" w:color="auto"/>
              <w:right w:val="single" w:sz="4" w:space="0" w:color="auto"/>
            </w:tcBorders>
            <w:shd w:val="clear" w:color="000000" w:fill="D9D9D9"/>
            <w:vAlign w:val="center"/>
            <w:hideMark/>
          </w:tcPr>
          <w:p w14:paraId="19ECDAD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8" w:type="dxa"/>
            <w:tcBorders>
              <w:top w:val="nil"/>
              <w:left w:val="nil"/>
              <w:bottom w:val="single" w:sz="4" w:space="0" w:color="auto"/>
              <w:right w:val="single" w:sz="4" w:space="0" w:color="auto"/>
            </w:tcBorders>
            <w:shd w:val="clear" w:color="000000" w:fill="D9D9D9"/>
            <w:vAlign w:val="center"/>
            <w:hideMark/>
          </w:tcPr>
          <w:p w14:paraId="2E93B8E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0" w:type="dxa"/>
            <w:tcBorders>
              <w:top w:val="nil"/>
              <w:left w:val="nil"/>
              <w:bottom w:val="single" w:sz="4" w:space="0" w:color="auto"/>
              <w:right w:val="single" w:sz="4" w:space="0" w:color="auto"/>
            </w:tcBorders>
            <w:shd w:val="clear" w:color="000000" w:fill="D9D9D9"/>
            <w:vAlign w:val="center"/>
            <w:hideMark/>
          </w:tcPr>
          <w:p w14:paraId="74285C9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3" w:type="dxa"/>
            <w:gridSpan w:val="3"/>
            <w:tcBorders>
              <w:top w:val="nil"/>
              <w:left w:val="nil"/>
              <w:bottom w:val="single" w:sz="4" w:space="0" w:color="auto"/>
              <w:right w:val="single" w:sz="4" w:space="0" w:color="auto"/>
            </w:tcBorders>
            <w:shd w:val="clear" w:color="000000" w:fill="BDD7EE"/>
            <w:vAlign w:val="center"/>
            <w:hideMark/>
          </w:tcPr>
          <w:p w14:paraId="4B75DAC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50" w:type="dxa"/>
            <w:gridSpan w:val="2"/>
            <w:tcBorders>
              <w:top w:val="nil"/>
              <w:left w:val="nil"/>
              <w:bottom w:val="single" w:sz="4" w:space="0" w:color="auto"/>
              <w:right w:val="single" w:sz="4" w:space="0" w:color="auto"/>
            </w:tcBorders>
            <w:shd w:val="clear" w:color="000000" w:fill="FFFF00"/>
            <w:vAlign w:val="center"/>
            <w:hideMark/>
          </w:tcPr>
          <w:p w14:paraId="0358271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7" w:type="dxa"/>
            <w:tcBorders>
              <w:top w:val="nil"/>
              <w:left w:val="nil"/>
              <w:bottom w:val="single" w:sz="4" w:space="0" w:color="auto"/>
              <w:right w:val="single" w:sz="4" w:space="0" w:color="auto"/>
            </w:tcBorders>
            <w:shd w:val="clear" w:color="000000" w:fill="BDD7EE"/>
            <w:vAlign w:val="center"/>
            <w:hideMark/>
          </w:tcPr>
          <w:p w14:paraId="67DF984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3D92FF99" w14:textId="77777777" w:rsidTr="00876367">
        <w:trPr>
          <w:trHeight w:val="720"/>
        </w:trPr>
        <w:tc>
          <w:tcPr>
            <w:tcW w:w="571" w:type="dxa"/>
            <w:vMerge/>
            <w:tcBorders>
              <w:top w:val="nil"/>
              <w:left w:val="single" w:sz="4" w:space="0" w:color="auto"/>
              <w:bottom w:val="single" w:sz="4" w:space="0" w:color="auto"/>
              <w:right w:val="single" w:sz="4" w:space="0" w:color="auto"/>
            </w:tcBorders>
            <w:vAlign w:val="center"/>
            <w:hideMark/>
          </w:tcPr>
          <w:p w14:paraId="01177C6A" w14:textId="77777777" w:rsidR="00F05E86" w:rsidRPr="004500AE" w:rsidRDefault="00F05E86" w:rsidP="006071CF">
            <w:pPr>
              <w:spacing w:before="0" w:after="0"/>
              <w:jc w:val="left"/>
              <w:rPr>
                <w:rFonts w:eastAsia="Times New Roman" w:cs="Calibri"/>
                <w:b/>
                <w:bCs/>
                <w:sz w:val="20"/>
                <w:szCs w:val="20"/>
                <w:lang w:val="pt-PT"/>
              </w:rPr>
            </w:pPr>
          </w:p>
        </w:tc>
        <w:tc>
          <w:tcPr>
            <w:tcW w:w="1543" w:type="dxa"/>
            <w:vMerge w:val="restart"/>
            <w:tcBorders>
              <w:top w:val="nil"/>
              <w:left w:val="single" w:sz="4" w:space="0" w:color="auto"/>
              <w:bottom w:val="single" w:sz="4" w:space="0" w:color="auto"/>
              <w:right w:val="single" w:sz="4" w:space="0" w:color="auto"/>
            </w:tcBorders>
            <w:shd w:val="clear" w:color="000000" w:fill="FFFFFF"/>
            <w:vAlign w:val="center"/>
            <w:hideMark/>
          </w:tcPr>
          <w:p w14:paraId="7D0C9458"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Biodiversidade </w:t>
            </w:r>
          </w:p>
        </w:tc>
        <w:tc>
          <w:tcPr>
            <w:tcW w:w="2122" w:type="dxa"/>
            <w:tcBorders>
              <w:top w:val="nil"/>
              <w:left w:val="nil"/>
              <w:bottom w:val="single" w:sz="4" w:space="0" w:color="auto"/>
              <w:right w:val="single" w:sz="4" w:space="0" w:color="auto"/>
            </w:tcBorders>
            <w:shd w:val="clear" w:color="auto" w:fill="auto"/>
            <w:vAlign w:val="center"/>
            <w:hideMark/>
          </w:tcPr>
          <w:p w14:paraId="66A3E9C1"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Eliminação da vegetação (natural) existente (fase de construção)</w:t>
            </w:r>
          </w:p>
        </w:tc>
        <w:tc>
          <w:tcPr>
            <w:tcW w:w="473" w:type="dxa"/>
            <w:tcBorders>
              <w:top w:val="nil"/>
              <w:left w:val="nil"/>
              <w:bottom w:val="single" w:sz="4" w:space="0" w:color="auto"/>
              <w:right w:val="single" w:sz="4" w:space="0" w:color="auto"/>
            </w:tcBorders>
            <w:shd w:val="clear" w:color="000000" w:fill="D9D9D9"/>
            <w:vAlign w:val="center"/>
            <w:hideMark/>
          </w:tcPr>
          <w:p w14:paraId="394B8B2C"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D9D9D9"/>
            <w:vAlign w:val="center"/>
            <w:hideMark/>
          </w:tcPr>
          <w:p w14:paraId="2226ECB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4A53877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017FA98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19988C9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0C558AA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48B587F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30" w:type="dxa"/>
            <w:tcBorders>
              <w:top w:val="nil"/>
              <w:left w:val="nil"/>
              <w:bottom w:val="single" w:sz="4" w:space="0" w:color="auto"/>
              <w:right w:val="single" w:sz="4" w:space="0" w:color="auto"/>
            </w:tcBorders>
            <w:shd w:val="clear" w:color="000000" w:fill="D9D9D9"/>
            <w:vAlign w:val="center"/>
            <w:hideMark/>
          </w:tcPr>
          <w:p w14:paraId="772EF08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1" w:type="dxa"/>
            <w:gridSpan w:val="2"/>
            <w:tcBorders>
              <w:top w:val="nil"/>
              <w:left w:val="nil"/>
              <w:bottom w:val="single" w:sz="4" w:space="0" w:color="auto"/>
              <w:right w:val="single" w:sz="4" w:space="0" w:color="auto"/>
            </w:tcBorders>
            <w:shd w:val="clear" w:color="000000" w:fill="D9D9D9"/>
            <w:vAlign w:val="center"/>
            <w:hideMark/>
          </w:tcPr>
          <w:p w14:paraId="5ECD631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28" w:type="dxa"/>
            <w:gridSpan w:val="2"/>
            <w:tcBorders>
              <w:top w:val="nil"/>
              <w:left w:val="nil"/>
              <w:bottom w:val="single" w:sz="4" w:space="0" w:color="auto"/>
              <w:right w:val="single" w:sz="4" w:space="0" w:color="auto"/>
            </w:tcBorders>
            <w:shd w:val="clear" w:color="000000" w:fill="D9D9D9"/>
            <w:vAlign w:val="center"/>
            <w:hideMark/>
          </w:tcPr>
          <w:p w14:paraId="0860899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7A8AF37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3FAC04D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1" w:type="dxa"/>
            <w:gridSpan w:val="2"/>
            <w:tcBorders>
              <w:top w:val="nil"/>
              <w:left w:val="nil"/>
              <w:bottom w:val="single" w:sz="4" w:space="0" w:color="auto"/>
              <w:right w:val="single" w:sz="4" w:space="0" w:color="auto"/>
            </w:tcBorders>
            <w:shd w:val="clear" w:color="000000" w:fill="FFFFFF"/>
            <w:vAlign w:val="center"/>
            <w:hideMark/>
          </w:tcPr>
          <w:p w14:paraId="45434EE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605" w:type="dxa"/>
            <w:gridSpan w:val="2"/>
            <w:tcBorders>
              <w:top w:val="nil"/>
              <w:left w:val="nil"/>
              <w:bottom w:val="single" w:sz="4" w:space="0" w:color="auto"/>
              <w:right w:val="single" w:sz="4" w:space="0" w:color="auto"/>
            </w:tcBorders>
            <w:shd w:val="clear" w:color="000000" w:fill="D9D9D9"/>
            <w:vAlign w:val="center"/>
            <w:hideMark/>
          </w:tcPr>
          <w:p w14:paraId="4236CBB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0" w:type="dxa"/>
            <w:gridSpan w:val="2"/>
            <w:tcBorders>
              <w:top w:val="nil"/>
              <w:left w:val="nil"/>
              <w:bottom w:val="single" w:sz="4" w:space="0" w:color="auto"/>
              <w:right w:val="single" w:sz="4" w:space="0" w:color="auto"/>
            </w:tcBorders>
            <w:shd w:val="clear" w:color="000000" w:fill="D9D9D9"/>
            <w:vAlign w:val="center"/>
            <w:hideMark/>
          </w:tcPr>
          <w:p w14:paraId="4B32C0A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7515292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0" w:type="dxa"/>
            <w:tcBorders>
              <w:top w:val="nil"/>
              <w:left w:val="nil"/>
              <w:bottom w:val="single" w:sz="4" w:space="0" w:color="auto"/>
              <w:right w:val="single" w:sz="4" w:space="0" w:color="auto"/>
            </w:tcBorders>
            <w:shd w:val="clear" w:color="000000" w:fill="D9D9D9"/>
            <w:vAlign w:val="center"/>
            <w:hideMark/>
          </w:tcPr>
          <w:p w14:paraId="47D85AE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63" w:type="dxa"/>
            <w:gridSpan w:val="3"/>
            <w:tcBorders>
              <w:top w:val="nil"/>
              <w:left w:val="nil"/>
              <w:bottom w:val="single" w:sz="4" w:space="0" w:color="auto"/>
              <w:right w:val="single" w:sz="4" w:space="0" w:color="auto"/>
            </w:tcBorders>
            <w:shd w:val="clear" w:color="000000" w:fill="BDD7EE"/>
            <w:vAlign w:val="center"/>
            <w:hideMark/>
          </w:tcPr>
          <w:p w14:paraId="5224A13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50" w:type="dxa"/>
            <w:gridSpan w:val="2"/>
            <w:tcBorders>
              <w:top w:val="nil"/>
              <w:left w:val="nil"/>
              <w:bottom w:val="single" w:sz="4" w:space="0" w:color="auto"/>
              <w:right w:val="single" w:sz="4" w:space="0" w:color="auto"/>
            </w:tcBorders>
            <w:shd w:val="clear" w:color="000000" w:fill="BDD7EE"/>
            <w:vAlign w:val="center"/>
            <w:hideMark/>
          </w:tcPr>
          <w:p w14:paraId="6248BB0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7" w:type="dxa"/>
            <w:tcBorders>
              <w:top w:val="nil"/>
              <w:left w:val="nil"/>
              <w:bottom w:val="single" w:sz="4" w:space="0" w:color="auto"/>
              <w:right w:val="single" w:sz="4" w:space="0" w:color="auto"/>
            </w:tcBorders>
            <w:shd w:val="clear" w:color="000000" w:fill="FF0000"/>
            <w:vAlign w:val="center"/>
            <w:hideMark/>
          </w:tcPr>
          <w:p w14:paraId="1B3AE5E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0411704E" w14:textId="77777777" w:rsidTr="00876367">
        <w:trPr>
          <w:trHeight w:val="720"/>
        </w:trPr>
        <w:tc>
          <w:tcPr>
            <w:tcW w:w="571" w:type="dxa"/>
            <w:vMerge/>
            <w:tcBorders>
              <w:top w:val="nil"/>
              <w:left w:val="single" w:sz="4" w:space="0" w:color="auto"/>
              <w:bottom w:val="single" w:sz="4" w:space="0" w:color="auto"/>
              <w:right w:val="single" w:sz="4" w:space="0" w:color="auto"/>
            </w:tcBorders>
            <w:vAlign w:val="center"/>
            <w:hideMark/>
          </w:tcPr>
          <w:p w14:paraId="4B647642" w14:textId="77777777" w:rsidR="00F05E86" w:rsidRPr="004500AE" w:rsidRDefault="00F05E86" w:rsidP="006071CF">
            <w:pPr>
              <w:spacing w:before="0" w:after="0"/>
              <w:jc w:val="left"/>
              <w:rPr>
                <w:rFonts w:eastAsia="Times New Roman" w:cs="Calibri"/>
                <w:b/>
                <w:bCs/>
                <w:sz w:val="20"/>
                <w:szCs w:val="20"/>
                <w:lang w:val="pt-PT"/>
              </w:rPr>
            </w:pPr>
          </w:p>
        </w:tc>
        <w:tc>
          <w:tcPr>
            <w:tcW w:w="1543" w:type="dxa"/>
            <w:vMerge/>
            <w:tcBorders>
              <w:top w:val="nil"/>
              <w:left w:val="single" w:sz="4" w:space="0" w:color="auto"/>
              <w:bottom w:val="single" w:sz="4" w:space="0" w:color="auto"/>
              <w:right w:val="single" w:sz="4" w:space="0" w:color="auto"/>
            </w:tcBorders>
            <w:vAlign w:val="center"/>
            <w:hideMark/>
          </w:tcPr>
          <w:p w14:paraId="6819AE78"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122" w:type="dxa"/>
            <w:tcBorders>
              <w:top w:val="nil"/>
              <w:left w:val="nil"/>
              <w:bottom w:val="single" w:sz="4" w:space="0" w:color="auto"/>
              <w:right w:val="single" w:sz="4" w:space="0" w:color="auto"/>
            </w:tcBorders>
            <w:shd w:val="clear" w:color="auto" w:fill="auto"/>
            <w:vAlign w:val="center"/>
            <w:hideMark/>
          </w:tcPr>
          <w:p w14:paraId="3C473265"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 xml:space="preserve">Riscos no funcionamento dos serviços </w:t>
            </w:r>
            <w:proofErr w:type="spellStart"/>
            <w:r w:rsidRPr="00292532">
              <w:rPr>
                <w:rFonts w:eastAsia="Times New Roman" w:cs="Calibri"/>
                <w:color w:val="000000"/>
                <w:sz w:val="20"/>
                <w:szCs w:val="20"/>
                <w:lang w:val="pt-PT"/>
              </w:rPr>
              <w:t>ecossistémicos</w:t>
            </w:r>
            <w:proofErr w:type="spellEnd"/>
            <w:r w:rsidRPr="00292532">
              <w:rPr>
                <w:rFonts w:eastAsia="Times New Roman" w:cs="Calibri"/>
                <w:color w:val="000000"/>
                <w:sz w:val="20"/>
                <w:szCs w:val="20"/>
                <w:lang w:val="pt-PT"/>
              </w:rPr>
              <w:t xml:space="preserve"> (fase de construção)</w:t>
            </w:r>
          </w:p>
        </w:tc>
        <w:tc>
          <w:tcPr>
            <w:tcW w:w="473" w:type="dxa"/>
            <w:tcBorders>
              <w:top w:val="nil"/>
              <w:left w:val="nil"/>
              <w:bottom w:val="single" w:sz="4" w:space="0" w:color="auto"/>
              <w:right w:val="single" w:sz="4" w:space="0" w:color="auto"/>
            </w:tcBorders>
            <w:shd w:val="clear" w:color="000000" w:fill="D9D9D9"/>
            <w:vAlign w:val="center"/>
            <w:hideMark/>
          </w:tcPr>
          <w:p w14:paraId="12652FC0"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D9D9D9"/>
            <w:vAlign w:val="center"/>
            <w:hideMark/>
          </w:tcPr>
          <w:p w14:paraId="4EE5912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57FF163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7003C53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5BB0F61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2EDEA68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2EA85E4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30" w:type="dxa"/>
            <w:tcBorders>
              <w:top w:val="nil"/>
              <w:left w:val="nil"/>
              <w:bottom w:val="single" w:sz="4" w:space="0" w:color="auto"/>
              <w:right w:val="single" w:sz="4" w:space="0" w:color="auto"/>
            </w:tcBorders>
            <w:shd w:val="clear" w:color="000000" w:fill="D9D9D9"/>
            <w:vAlign w:val="center"/>
            <w:hideMark/>
          </w:tcPr>
          <w:p w14:paraId="0C3537E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1" w:type="dxa"/>
            <w:gridSpan w:val="2"/>
            <w:tcBorders>
              <w:top w:val="nil"/>
              <w:left w:val="nil"/>
              <w:bottom w:val="single" w:sz="4" w:space="0" w:color="auto"/>
              <w:right w:val="single" w:sz="4" w:space="0" w:color="auto"/>
            </w:tcBorders>
            <w:shd w:val="clear" w:color="000000" w:fill="D9D9D9"/>
            <w:vAlign w:val="center"/>
            <w:hideMark/>
          </w:tcPr>
          <w:p w14:paraId="70ADC97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28" w:type="dxa"/>
            <w:gridSpan w:val="2"/>
            <w:tcBorders>
              <w:top w:val="nil"/>
              <w:left w:val="nil"/>
              <w:bottom w:val="single" w:sz="4" w:space="0" w:color="auto"/>
              <w:right w:val="single" w:sz="4" w:space="0" w:color="auto"/>
            </w:tcBorders>
            <w:shd w:val="clear" w:color="000000" w:fill="D9D9D9"/>
            <w:vAlign w:val="center"/>
            <w:hideMark/>
          </w:tcPr>
          <w:p w14:paraId="5617D24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6AEB7A4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66BE2F3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1" w:type="dxa"/>
            <w:gridSpan w:val="2"/>
            <w:tcBorders>
              <w:top w:val="nil"/>
              <w:left w:val="nil"/>
              <w:bottom w:val="single" w:sz="4" w:space="0" w:color="auto"/>
              <w:right w:val="single" w:sz="4" w:space="0" w:color="auto"/>
            </w:tcBorders>
            <w:shd w:val="clear" w:color="000000" w:fill="FFFFFF"/>
            <w:vAlign w:val="center"/>
            <w:hideMark/>
          </w:tcPr>
          <w:p w14:paraId="2926009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605" w:type="dxa"/>
            <w:gridSpan w:val="2"/>
            <w:tcBorders>
              <w:top w:val="nil"/>
              <w:left w:val="nil"/>
              <w:bottom w:val="single" w:sz="4" w:space="0" w:color="auto"/>
              <w:right w:val="single" w:sz="4" w:space="0" w:color="auto"/>
            </w:tcBorders>
            <w:shd w:val="clear" w:color="000000" w:fill="D9D9D9"/>
            <w:vAlign w:val="center"/>
            <w:hideMark/>
          </w:tcPr>
          <w:p w14:paraId="31F054E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0" w:type="dxa"/>
            <w:gridSpan w:val="2"/>
            <w:tcBorders>
              <w:top w:val="nil"/>
              <w:left w:val="nil"/>
              <w:bottom w:val="single" w:sz="4" w:space="0" w:color="auto"/>
              <w:right w:val="single" w:sz="4" w:space="0" w:color="auto"/>
            </w:tcBorders>
            <w:shd w:val="clear" w:color="000000" w:fill="D9D9D9"/>
            <w:vAlign w:val="center"/>
            <w:hideMark/>
          </w:tcPr>
          <w:p w14:paraId="6BF5EB6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8" w:type="dxa"/>
            <w:tcBorders>
              <w:top w:val="nil"/>
              <w:left w:val="nil"/>
              <w:bottom w:val="single" w:sz="4" w:space="0" w:color="auto"/>
              <w:right w:val="single" w:sz="4" w:space="0" w:color="auto"/>
            </w:tcBorders>
            <w:shd w:val="clear" w:color="000000" w:fill="D9D9D9"/>
            <w:vAlign w:val="center"/>
            <w:hideMark/>
          </w:tcPr>
          <w:p w14:paraId="54556F5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0" w:type="dxa"/>
            <w:tcBorders>
              <w:top w:val="nil"/>
              <w:left w:val="nil"/>
              <w:bottom w:val="single" w:sz="4" w:space="0" w:color="auto"/>
              <w:right w:val="single" w:sz="4" w:space="0" w:color="auto"/>
            </w:tcBorders>
            <w:shd w:val="clear" w:color="000000" w:fill="D9D9D9"/>
            <w:vAlign w:val="center"/>
            <w:hideMark/>
          </w:tcPr>
          <w:p w14:paraId="6C9D460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3" w:type="dxa"/>
            <w:gridSpan w:val="3"/>
            <w:tcBorders>
              <w:top w:val="nil"/>
              <w:left w:val="nil"/>
              <w:bottom w:val="single" w:sz="4" w:space="0" w:color="auto"/>
              <w:right w:val="single" w:sz="4" w:space="0" w:color="auto"/>
            </w:tcBorders>
            <w:shd w:val="clear" w:color="000000" w:fill="92D050"/>
            <w:vAlign w:val="center"/>
            <w:hideMark/>
          </w:tcPr>
          <w:p w14:paraId="68946A2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50" w:type="dxa"/>
            <w:gridSpan w:val="2"/>
            <w:tcBorders>
              <w:top w:val="nil"/>
              <w:left w:val="nil"/>
              <w:bottom w:val="single" w:sz="4" w:space="0" w:color="auto"/>
              <w:right w:val="single" w:sz="4" w:space="0" w:color="auto"/>
            </w:tcBorders>
            <w:shd w:val="clear" w:color="000000" w:fill="BDD7EE"/>
            <w:vAlign w:val="center"/>
            <w:hideMark/>
          </w:tcPr>
          <w:p w14:paraId="20BA7FC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7" w:type="dxa"/>
            <w:tcBorders>
              <w:top w:val="nil"/>
              <w:left w:val="nil"/>
              <w:bottom w:val="single" w:sz="4" w:space="0" w:color="auto"/>
              <w:right w:val="single" w:sz="4" w:space="0" w:color="auto"/>
            </w:tcBorders>
            <w:shd w:val="clear" w:color="000000" w:fill="BDD7EE"/>
            <w:vAlign w:val="center"/>
            <w:hideMark/>
          </w:tcPr>
          <w:p w14:paraId="2DC545B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0A8EDCC5" w14:textId="77777777" w:rsidTr="00876367">
        <w:trPr>
          <w:trHeight w:val="720"/>
        </w:trPr>
        <w:tc>
          <w:tcPr>
            <w:tcW w:w="571" w:type="dxa"/>
            <w:vMerge/>
            <w:tcBorders>
              <w:top w:val="nil"/>
              <w:left w:val="single" w:sz="4" w:space="0" w:color="auto"/>
              <w:bottom w:val="single" w:sz="4" w:space="0" w:color="auto"/>
              <w:right w:val="single" w:sz="4" w:space="0" w:color="auto"/>
            </w:tcBorders>
            <w:vAlign w:val="center"/>
            <w:hideMark/>
          </w:tcPr>
          <w:p w14:paraId="2C0E117E" w14:textId="77777777" w:rsidR="00F05E86" w:rsidRPr="004500AE" w:rsidRDefault="00F05E86" w:rsidP="006071CF">
            <w:pPr>
              <w:spacing w:before="0" w:after="0"/>
              <w:jc w:val="left"/>
              <w:rPr>
                <w:rFonts w:eastAsia="Times New Roman" w:cs="Calibri"/>
                <w:b/>
                <w:bCs/>
                <w:sz w:val="20"/>
                <w:szCs w:val="20"/>
                <w:lang w:val="pt-PT"/>
              </w:rPr>
            </w:pPr>
          </w:p>
        </w:tc>
        <w:tc>
          <w:tcPr>
            <w:tcW w:w="1543" w:type="dxa"/>
            <w:vMerge/>
            <w:tcBorders>
              <w:top w:val="nil"/>
              <w:left w:val="single" w:sz="4" w:space="0" w:color="auto"/>
              <w:bottom w:val="single" w:sz="4" w:space="0" w:color="auto"/>
              <w:right w:val="single" w:sz="4" w:space="0" w:color="auto"/>
            </w:tcBorders>
            <w:vAlign w:val="center"/>
            <w:hideMark/>
          </w:tcPr>
          <w:p w14:paraId="32C1C83F"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122" w:type="dxa"/>
            <w:tcBorders>
              <w:top w:val="nil"/>
              <w:left w:val="nil"/>
              <w:bottom w:val="single" w:sz="4" w:space="0" w:color="auto"/>
              <w:right w:val="single" w:sz="4" w:space="0" w:color="auto"/>
            </w:tcBorders>
            <w:shd w:val="clear" w:color="auto" w:fill="auto"/>
            <w:vAlign w:val="center"/>
            <w:hideMark/>
          </w:tcPr>
          <w:p w14:paraId="4F2BD893"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Perda de espécies de flora e fauna (fase de construção)</w:t>
            </w:r>
          </w:p>
        </w:tc>
        <w:tc>
          <w:tcPr>
            <w:tcW w:w="473" w:type="dxa"/>
            <w:tcBorders>
              <w:top w:val="nil"/>
              <w:left w:val="nil"/>
              <w:bottom w:val="single" w:sz="4" w:space="0" w:color="auto"/>
              <w:right w:val="single" w:sz="4" w:space="0" w:color="auto"/>
            </w:tcBorders>
            <w:shd w:val="clear" w:color="000000" w:fill="D9D9D9"/>
            <w:vAlign w:val="center"/>
            <w:hideMark/>
          </w:tcPr>
          <w:p w14:paraId="60206860"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D9D9D9"/>
            <w:vAlign w:val="center"/>
            <w:hideMark/>
          </w:tcPr>
          <w:p w14:paraId="5651171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7FEEF27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0CD8B2C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704F0D0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23B2A63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17A0926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30" w:type="dxa"/>
            <w:tcBorders>
              <w:top w:val="nil"/>
              <w:left w:val="nil"/>
              <w:bottom w:val="single" w:sz="4" w:space="0" w:color="auto"/>
              <w:right w:val="single" w:sz="4" w:space="0" w:color="auto"/>
            </w:tcBorders>
            <w:shd w:val="clear" w:color="000000" w:fill="D9D9D9"/>
            <w:vAlign w:val="center"/>
            <w:hideMark/>
          </w:tcPr>
          <w:p w14:paraId="061E741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1" w:type="dxa"/>
            <w:gridSpan w:val="2"/>
            <w:tcBorders>
              <w:top w:val="nil"/>
              <w:left w:val="nil"/>
              <w:bottom w:val="single" w:sz="4" w:space="0" w:color="auto"/>
              <w:right w:val="single" w:sz="4" w:space="0" w:color="auto"/>
            </w:tcBorders>
            <w:shd w:val="clear" w:color="000000" w:fill="D9D9D9"/>
            <w:vAlign w:val="center"/>
            <w:hideMark/>
          </w:tcPr>
          <w:p w14:paraId="59590A1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28" w:type="dxa"/>
            <w:gridSpan w:val="2"/>
            <w:tcBorders>
              <w:top w:val="nil"/>
              <w:left w:val="nil"/>
              <w:bottom w:val="single" w:sz="4" w:space="0" w:color="auto"/>
              <w:right w:val="single" w:sz="4" w:space="0" w:color="auto"/>
            </w:tcBorders>
            <w:shd w:val="clear" w:color="000000" w:fill="D9D9D9"/>
            <w:vAlign w:val="center"/>
            <w:hideMark/>
          </w:tcPr>
          <w:p w14:paraId="47E5363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3F5D298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740FFD0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61" w:type="dxa"/>
            <w:gridSpan w:val="2"/>
            <w:tcBorders>
              <w:top w:val="nil"/>
              <w:left w:val="nil"/>
              <w:bottom w:val="single" w:sz="4" w:space="0" w:color="auto"/>
              <w:right w:val="single" w:sz="4" w:space="0" w:color="auto"/>
            </w:tcBorders>
            <w:shd w:val="clear" w:color="000000" w:fill="FFFFFF"/>
            <w:vAlign w:val="center"/>
            <w:hideMark/>
          </w:tcPr>
          <w:p w14:paraId="246C057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605" w:type="dxa"/>
            <w:gridSpan w:val="2"/>
            <w:tcBorders>
              <w:top w:val="nil"/>
              <w:left w:val="nil"/>
              <w:bottom w:val="single" w:sz="4" w:space="0" w:color="auto"/>
              <w:right w:val="single" w:sz="4" w:space="0" w:color="auto"/>
            </w:tcBorders>
            <w:shd w:val="clear" w:color="000000" w:fill="D9D9D9"/>
            <w:vAlign w:val="center"/>
            <w:hideMark/>
          </w:tcPr>
          <w:p w14:paraId="5F195D3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0" w:type="dxa"/>
            <w:gridSpan w:val="2"/>
            <w:tcBorders>
              <w:top w:val="nil"/>
              <w:left w:val="nil"/>
              <w:bottom w:val="single" w:sz="4" w:space="0" w:color="auto"/>
              <w:right w:val="single" w:sz="4" w:space="0" w:color="auto"/>
            </w:tcBorders>
            <w:shd w:val="clear" w:color="000000" w:fill="D9D9D9"/>
            <w:vAlign w:val="center"/>
            <w:hideMark/>
          </w:tcPr>
          <w:p w14:paraId="6B193A4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8" w:type="dxa"/>
            <w:tcBorders>
              <w:top w:val="nil"/>
              <w:left w:val="nil"/>
              <w:bottom w:val="single" w:sz="4" w:space="0" w:color="auto"/>
              <w:right w:val="single" w:sz="4" w:space="0" w:color="auto"/>
            </w:tcBorders>
            <w:shd w:val="clear" w:color="000000" w:fill="D9D9D9"/>
            <w:vAlign w:val="center"/>
            <w:hideMark/>
          </w:tcPr>
          <w:p w14:paraId="41DCA97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0" w:type="dxa"/>
            <w:tcBorders>
              <w:top w:val="nil"/>
              <w:left w:val="nil"/>
              <w:bottom w:val="single" w:sz="4" w:space="0" w:color="auto"/>
              <w:right w:val="single" w:sz="4" w:space="0" w:color="auto"/>
            </w:tcBorders>
            <w:shd w:val="clear" w:color="000000" w:fill="D9D9D9"/>
            <w:vAlign w:val="center"/>
            <w:hideMark/>
          </w:tcPr>
          <w:p w14:paraId="495D98E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3" w:type="dxa"/>
            <w:gridSpan w:val="3"/>
            <w:tcBorders>
              <w:top w:val="nil"/>
              <w:left w:val="nil"/>
              <w:bottom w:val="single" w:sz="4" w:space="0" w:color="auto"/>
              <w:right w:val="single" w:sz="4" w:space="0" w:color="auto"/>
            </w:tcBorders>
            <w:shd w:val="clear" w:color="000000" w:fill="BDD7EE"/>
            <w:vAlign w:val="center"/>
            <w:hideMark/>
          </w:tcPr>
          <w:p w14:paraId="26BF1CD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50" w:type="dxa"/>
            <w:gridSpan w:val="2"/>
            <w:tcBorders>
              <w:top w:val="nil"/>
              <w:left w:val="nil"/>
              <w:bottom w:val="single" w:sz="4" w:space="0" w:color="auto"/>
              <w:right w:val="single" w:sz="4" w:space="0" w:color="auto"/>
            </w:tcBorders>
            <w:shd w:val="clear" w:color="000000" w:fill="FFFF00"/>
            <w:vAlign w:val="center"/>
            <w:hideMark/>
          </w:tcPr>
          <w:p w14:paraId="0CC194C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7" w:type="dxa"/>
            <w:tcBorders>
              <w:top w:val="nil"/>
              <w:left w:val="nil"/>
              <w:bottom w:val="single" w:sz="4" w:space="0" w:color="auto"/>
              <w:right w:val="single" w:sz="4" w:space="0" w:color="auto"/>
            </w:tcBorders>
            <w:shd w:val="clear" w:color="000000" w:fill="BDD7EE"/>
            <w:vAlign w:val="center"/>
            <w:hideMark/>
          </w:tcPr>
          <w:p w14:paraId="7974A29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591134CD" w14:textId="77777777" w:rsidTr="00876367">
        <w:trPr>
          <w:trHeight w:val="720"/>
        </w:trPr>
        <w:tc>
          <w:tcPr>
            <w:tcW w:w="571" w:type="dxa"/>
            <w:vMerge/>
            <w:tcBorders>
              <w:top w:val="nil"/>
              <w:left w:val="single" w:sz="4" w:space="0" w:color="auto"/>
              <w:bottom w:val="single" w:sz="4" w:space="0" w:color="auto"/>
              <w:right w:val="single" w:sz="4" w:space="0" w:color="auto"/>
            </w:tcBorders>
            <w:vAlign w:val="center"/>
            <w:hideMark/>
          </w:tcPr>
          <w:p w14:paraId="25B8178F" w14:textId="77777777" w:rsidR="00F05E86" w:rsidRPr="004500AE" w:rsidRDefault="00F05E86" w:rsidP="006071CF">
            <w:pPr>
              <w:spacing w:before="0" w:after="0"/>
              <w:jc w:val="left"/>
              <w:rPr>
                <w:rFonts w:eastAsia="Times New Roman" w:cs="Calibri"/>
                <w:b/>
                <w:bCs/>
                <w:sz w:val="20"/>
                <w:szCs w:val="20"/>
                <w:lang w:val="pt-PT"/>
              </w:rPr>
            </w:pPr>
          </w:p>
        </w:tc>
        <w:tc>
          <w:tcPr>
            <w:tcW w:w="1543" w:type="dxa"/>
            <w:vMerge/>
            <w:tcBorders>
              <w:top w:val="nil"/>
              <w:left w:val="single" w:sz="4" w:space="0" w:color="auto"/>
              <w:bottom w:val="single" w:sz="4" w:space="0" w:color="auto"/>
              <w:right w:val="single" w:sz="4" w:space="0" w:color="auto"/>
            </w:tcBorders>
            <w:vAlign w:val="center"/>
            <w:hideMark/>
          </w:tcPr>
          <w:p w14:paraId="226C7FF3"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122" w:type="dxa"/>
            <w:tcBorders>
              <w:top w:val="nil"/>
              <w:left w:val="nil"/>
              <w:bottom w:val="single" w:sz="4" w:space="0" w:color="auto"/>
              <w:right w:val="single" w:sz="4" w:space="0" w:color="auto"/>
            </w:tcBorders>
            <w:shd w:val="clear" w:color="auto" w:fill="auto"/>
            <w:vAlign w:val="center"/>
            <w:hideMark/>
          </w:tcPr>
          <w:p w14:paraId="37754D31"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Perda e fragmentação de habitats (fase de construção)</w:t>
            </w:r>
          </w:p>
        </w:tc>
        <w:tc>
          <w:tcPr>
            <w:tcW w:w="473" w:type="dxa"/>
            <w:tcBorders>
              <w:top w:val="nil"/>
              <w:left w:val="nil"/>
              <w:bottom w:val="single" w:sz="4" w:space="0" w:color="auto"/>
              <w:right w:val="single" w:sz="4" w:space="0" w:color="auto"/>
            </w:tcBorders>
            <w:shd w:val="clear" w:color="000000" w:fill="D9D9D9"/>
            <w:vAlign w:val="center"/>
            <w:hideMark/>
          </w:tcPr>
          <w:p w14:paraId="2A1F2852"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D9D9D9"/>
            <w:vAlign w:val="center"/>
            <w:hideMark/>
          </w:tcPr>
          <w:p w14:paraId="085A8B4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149D490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71077A8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46F4062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1A9CC4B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0B342D7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30" w:type="dxa"/>
            <w:tcBorders>
              <w:top w:val="nil"/>
              <w:left w:val="nil"/>
              <w:bottom w:val="single" w:sz="4" w:space="0" w:color="auto"/>
              <w:right w:val="single" w:sz="4" w:space="0" w:color="auto"/>
            </w:tcBorders>
            <w:shd w:val="clear" w:color="000000" w:fill="D9D9D9"/>
            <w:vAlign w:val="center"/>
            <w:hideMark/>
          </w:tcPr>
          <w:p w14:paraId="6BC1583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1" w:type="dxa"/>
            <w:gridSpan w:val="2"/>
            <w:tcBorders>
              <w:top w:val="nil"/>
              <w:left w:val="nil"/>
              <w:bottom w:val="single" w:sz="4" w:space="0" w:color="auto"/>
              <w:right w:val="single" w:sz="4" w:space="0" w:color="auto"/>
            </w:tcBorders>
            <w:shd w:val="clear" w:color="000000" w:fill="D9D9D9"/>
            <w:vAlign w:val="center"/>
            <w:hideMark/>
          </w:tcPr>
          <w:p w14:paraId="736321D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28" w:type="dxa"/>
            <w:gridSpan w:val="2"/>
            <w:tcBorders>
              <w:top w:val="nil"/>
              <w:left w:val="nil"/>
              <w:bottom w:val="single" w:sz="4" w:space="0" w:color="auto"/>
              <w:right w:val="single" w:sz="4" w:space="0" w:color="auto"/>
            </w:tcBorders>
            <w:shd w:val="clear" w:color="000000" w:fill="D9D9D9"/>
            <w:vAlign w:val="center"/>
            <w:hideMark/>
          </w:tcPr>
          <w:p w14:paraId="3D15C40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070DACF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32B2301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61" w:type="dxa"/>
            <w:gridSpan w:val="2"/>
            <w:tcBorders>
              <w:top w:val="nil"/>
              <w:left w:val="nil"/>
              <w:bottom w:val="single" w:sz="4" w:space="0" w:color="auto"/>
              <w:right w:val="single" w:sz="4" w:space="0" w:color="auto"/>
            </w:tcBorders>
            <w:shd w:val="clear" w:color="000000" w:fill="FFFFFF"/>
            <w:vAlign w:val="center"/>
            <w:hideMark/>
          </w:tcPr>
          <w:p w14:paraId="78EBB57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605" w:type="dxa"/>
            <w:gridSpan w:val="2"/>
            <w:tcBorders>
              <w:top w:val="nil"/>
              <w:left w:val="nil"/>
              <w:bottom w:val="single" w:sz="4" w:space="0" w:color="auto"/>
              <w:right w:val="single" w:sz="4" w:space="0" w:color="auto"/>
            </w:tcBorders>
            <w:shd w:val="clear" w:color="000000" w:fill="D9D9D9"/>
            <w:vAlign w:val="center"/>
            <w:hideMark/>
          </w:tcPr>
          <w:p w14:paraId="059CE77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0" w:type="dxa"/>
            <w:gridSpan w:val="2"/>
            <w:tcBorders>
              <w:top w:val="nil"/>
              <w:left w:val="nil"/>
              <w:bottom w:val="single" w:sz="4" w:space="0" w:color="auto"/>
              <w:right w:val="single" w:sz="4" w:space="0" w:color="auto"/>
            </w:tcBorders>
            <w:shd w:val="clear" w:color="000000" w:fill="D9D9D9"/>
            <w:vAlign w:val="center"/>
            <w:hideMark/>
          </w:tcPr>
          <w:p w14:paraId="6F68FFF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8" w:type="dxa"/>
            <w:tcBorders>
              <w:top w:val="nil"/>
              <w:left w:val="nil"/>
              <w:bottom w:val="single" w:sz="4" w:space="0" w:color="auto"/>
              <w:right w:val="single" w:sz="4" w:space="0" w:color="auto"/>
            </w:tcBorders>
            <w:shd w:val="clear" w:color="000000" w:fill="D9D9D9"/>
            <w:vAlign w:val="center"/>
            <w:hideMark/>
          </w:tcPr>
          <w:p w14:paraId="2A30C65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0" w:type="dxa"/>
            <w:tcBorders>
              <w:top w:val="nil"/>
              <w:left w:val="nil"/>
              <w:bottom w:val="single" w:sz="4" w:space="0" w:color="auto"/>
              <w:right w:val="single" w:sz="4" w:space="0" w:color="auto"/>
            </w:tcBorders>
            <w:shd w:val="clear" w:color="000000" w:fill="D9D9D9"/>
            <w:vAlign w:val="center"/>
            <w:hideMark/>
          </w:tcPr>
          <w:p w14:paraId="2C355A7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3" w:type="dxa"/>
            <w:gridSpan w:val="3"/>
            <w:tcBorders>
              <w:top w:val="nil"/>
              <w:left w:val="nil"/>
              <w:bottom w:val="single" w:sz="4" w:space="0" w:color="auto"/>
              <w:right w:val="single" w:sz="4" w:space="0" w:color="auto"/>
            </w:tcBorders>
            <w:shd w:val="clear" w:color="000000" w:fill="BDD7EE"/>
            <w:vAlign w:val="center"/>
            <w:hideMark/>
          </w:tcPr>
          <w:p w14:paraId="15DC217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50" w:type="dxa"/>
            <w:gridSpan w:val="2"/>
            <w:tcBorders>
              <w:top w:val="nil"/>
              <w:left w:val="nil"/>
              <w:bottom w:val="single" w:sz="4" w:space="0" w:color="auto"/>
              <w:right w:val="single" w:sz="4" w:space="0" w:color="auto"/>
            </w:tcBorders>
            <w:shd w:val="clear" w:color="000000" w:fill="FFFF00"/>
            <w:vAlign w:val="center"/>
            <w:hideMark/>
          </w:tcPr>
          <w:p w14:paraId="38FC4F0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7" w:type="dxa"/>
            <w:tcBorders>
              <w:top w:val="nil"/>
              <w:left w:val="nil"/>
              <w:bottom w:val="single" w:sz="4" w:space="0" w:color="auto"/>
              <w:right w:val="single" w:sz="4" w:space="0" w:color="auto"/>
            </w:tcBorders>
            <w:shd w:val="clear" w:color="000000" w:fill="BDD7EE"/>
            <w:vAlign w:val="center"/>
            <w:hideMark/>
          </w:tcPr>
          <w:p w14:paraId="426FE0D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31627DF1" w14:textId="77777777" w:rsidTr="00876367">
        <w:trPr>
          <w:trHeight w:val="720"/>
        </w:trPr>
        <w:tc>
          <w:tcPr>
            <w:tcW w:w="571" w:type="dxa"/>
            <w:vMerge/>
            <w:tcBorders>
              <w:top w:val="nil"/>
              <w:left w:val="single" w:sz="4" w:space="0" w:color="auto"/>
              <w:bottom w:val="single" w:sz="4" w:space="0" w:color="auto"/>
              <w:right w:val="single" w:sz="4" w:space="0" w:color="auto"/>
            </w:tcBorders>
            <w:vAlign w:val="center"/>
            <w:hideMark/>
          </w:tcPr>
          <w:p w14:paraId="04238C1F" w14:textId="77777777" w:rsidR="00F05E86" w:rsidRPr="004500AE" w:rsidRDefault="00F05E86" w:rsidP="006071CF">
            <w:pPr>
              <w:spacing w:before="0" w:after="0"/>
              <w:jc w:val="left"/>
              <w:rPr>
                <w:rFonts w:eastAsia="Times New Roman" w:cs="Calibri"/>
                <w:b/>
                <w:bCs/>
                <w:sz w:val="20"/>
                <w:szCs w:val="20"/>
                <w:lang w:val="pt-PT"/>
              </w:rPr>
            </w:pPr>
          </w:p>
        </w:tc>
        <w:tc>
          <w:tcPr>
            <w:tcW w:w="1543" w:type="dxa"/>
            <w:vMerge/>
            <w:tcBorders>
              <w:top w:val="nil"/>
              <w:left w:val="single" w:sz="4" w:space="0" w:color="auto"/>
              <w:bottom w:val="single" w:sz="4" w:space="0" w:color="auto"/>
              <w:right w:val="single" w:sz="4" w:space="0" w:color="auto"/>
            </w:tcBorders>
            <w:vAlign w:val="center"/>
            <w:hideMark/>
          </w:tcPr>
          <w:p w14:paraId="62C32719"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122" w:type="dxa"/>
            <w:tcBorders>
              <w:top w:val="nil"/>
              <w:left w:val="nil"/>
              <w:bottom w:val="single" w:sz="4" w:space="0" w:color="auto"/>
              <w:right w:val="single" w:sz="4" w:space="0" w:color="auto"/>
            </w:tcBorders>
            <w:shd w:val="clear" w:color="auto" w:fill="auto"/>
            <w:vAlign w:val="center"/>
            <w:hideMark/>
          </w:tcPr>
          <w:p w14:paraId="73BFDFDE" w14:textId="77777777" w:rsidR="00F05E86" w:rsidRPr="00292532" w:rsidRDefault="00F05E86" w:rsidP="006071CF">
            <w:pPr>
              <w:spacing w:before="0" w:after="0"/>
              <w:jc w:val="left"/>
              <w:rPr>
                <w:rFonts w:eastAsia="Times New Roman" w:cs="Calibri"/>
                <w:color w:val="000000"/>
                <w:sz w:val="20"/>
                <w:szCs w:val="20"/>
                <w:lang w:val="pt-PT"/>
              </w:rPr>
            </w:pPr>
            <w:bookmarkStart w:id="207" w:name="_Hlk75443461"/>
            <w:r w:rsidRPr="00292532">
              <w:rPr>
                <w:rFonts w:eastAsia="Times New Roman" w:cs="Calibri"/>
                <w:color w:val="000000"/>
                <w:sz w:val="20"/>
                <w:szCs w:val="20"/>
                <w:lang w:val="pt-PT"/>
              </w:rPr>
              <w:t>Conflitos homem-fauna bravia (fase de construção)</w:t>
            </w:r>
            <w:bookmarkEnd w:id="207"/>
          </w:p>
        </w:tc>
        <w:tc>
          <w:tcPr>
            <w:tcW w:w="473" w:type="dxa"/>
            <w:tcBorders>
              <w:top w:val="nil"/>
              <w:left w:val="nil"/>
              <w:bottom w:val="single" w:sz="4" w:space="0" w:color="auto"/>
              <w:right w:val="single" w:sz="4" w:space="0" w:color="auto"/>
            </w:tcBorders>
            <w:shd w:val="clear" w:color="000000" w:fill="D9D9D9"/>
            <w:vAlign w:val="center"/>
            <w:hideMark/>
          </w:tcPr>
          <w:p w14:paraId="22FC362B"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D9D9D9"/>
            <w:vAlign w:val="center"/>
            <w:hideMark/>
          </w:tcPr>
          <w:p w14:paraId="40B6E67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43B42AB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71D76CE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3" w:type="dxa"/>
            <w:tcBorders>
              <w:top w:val="nil"/>
              <w:left w:val="nil"/>
              <w:bottom w:val="single" w:sz="4" w:space="0" w:color="auto"/>
              <w:right w:val="single" w:sz="4" w:space="0" w:color="auto"/>
            </w:tcBorders>
            <w:shd w:val="clear" w:color="000000" w:fill="FFFFFF"/>
            <w:vAlign w:val="center"/>
            <w:hideMark/>
          </w:tcPr>
          <w:p w14:paraId="707972C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3" w:type="dxa"/>
            <w:tcBorders>
              <w:top w:val="nil"/>
              <w:left w:val="nil"/>
              <w:bottom w:val="single" w:sz="4" w:space="0" w:color="auto"/>
              <w:right w:val="single" w:sz="4" w:space="0" w:color="auto"/>
            </w:tcBorders>
            <w:shd w:val="clear" w:color="000000" w:fill="FFFFFF"/>
            <w:vAlign w:val="center"/>
            <w:hideMark/>
          </w:tcPr>
          <w:p w14:paraId="7E35BB4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8" w:type="dxa"/>
            <w:tcBorders>
              <w:top w:val="nil"/>
              <w:left w:val="nil"/>
              <w:bottom w:val="single" w:sz="4" w:space="0" w:color="auto"/>
              <w:right w:val="single" w:sz="4" w:space="0" w:color="auto"/>
            </w:tcBorders>
            <w:shd w:val="clear" w:color="000000" w:fill="D9D9D9"/>
            <w:vAlign w:val="center"/>
            <w:hideMark/>
          </w:tcPr>
          <w:p w14:paraId="6E5E4B1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30" w:type="dxa"/>
            <w:tcBorders>
              <w:top w:val="nil"/>
              <w:left w:val="nil"/>
              <w:bottom w:val="single" w:sz="4" w:space="0" w:color="auto"/>
              <w:right w:val="single" w:sz="4" w:space="0" w:color="auto"/>
            </w:tcBorders>
            <w:shd w:val="clear" w:color="000000" w:fill="D9D9D9"/>
            <w:vAlign w:val="center"/>
            <w:hideMark/>
          </w:tcPr>
          <w:p w14:paraId="32728E8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1" w:type="dxa"/>
            <w:gridSpan w:val="2"/>
            <w:tcBorders>
              <w:top w:val="nil"/>
              <w:left w:val="nil"/>
              <w:bottom w:val="single" w:sz="4" w:space="0" w:color="auto"/>
              <w:right w:val="single" w:sz="4" w:space="0" w:color="auto"/>
            </w:tcBorders>
            <w:shd w:val="clear" w:color="000000" w:fill="D9D9D9"/>
            <w:vAlign w:val="center"/>
            <w:hideMark/>
          </w:tcPr>
          <w:p w14:paraId="6FD302F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28" w:type="dxa"/>
            <w:gridSpan w:val="2"/>
            <w:tcBorders>
              <w:top w:val="nil"/>
              <w:left w:val="nil"/>
              <w:bottom w:val="single" w:sz="4" w:space="0" w:color="auto"/>
              <w:right w:val="single" w:sz="4" w:space="0" w:color="auto"/>
            </w:tcBorders>
            <w:shd w:val="clear" w:color="000000" w:fill="D9D9D9"/>
            <w:vAlign w:val="center"/>
            <w:hideMark/>
          </w:tcPr>
          <w:p w14:paraId="0D26D9B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267A01E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5" w:type="dxa"/>
            <w:gridSpan w:val="2"/>
            <w:tcBorders>
              <w:top w:val="nil"/>
              <w:left w:val="nil"/>
              <w:bottom w:val="single" w:sz="4" w:space="0" w:color="auto"/>
              <w:right w:val="single" w:sz="4" w:space="0" w:color="auto"/>
            </w:tcBorders>
            <w:shd w:val="clear" w:color="000000" w:fill="FFFFFF"/>
            <w:vAlign w:val="center"/>
            <w:hideMark/>
          </w:tcPr>
          <w:p w14:paraId="31A7503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1" w:type="dxa"/>
            <w:gridSpan w:val="2"/>
            <w:tcBorders>
              <w:top w:val="nil"/>
              <w:left w:val="nil"/>
              <w:bottom w:val="single" w:sz="4" w:space="0" w:color="auto"/>
              <w:right w:val="single" w:sz="4" w:space="0" w:color="auto"/>
            </w:tcBorders>
            <w:shd w:val="clear" w:color="000000" w:fill="FFFFFF"/>
            <w:vAlign w:val="center"/>
            <w:hideMark/>
          </w:tcPr>
          <w:p w14:paraId="7ABCECE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605" w:type="dxa"/>
            <w:gridSpan w:val="2"/>
            <w:tcBorders>
              <w:top w:val="nil"/>
              <w:left w:val="nil"/>
              <w:bottom w:val="single" w:sz="4" w:space="0" w:color="auto"/>
              <w:right w:val="single" w:sz="4" w:space="0" w:color="auto"/>
            </w:tcBorders>
            <w:shd w:val="clear" w:color="000000" w:fill="D9D9D9"/>
            <w:vAlign w:val="center"/>
            <w:hideMark/>
          </w:tcPr>
          <w:p w14:paraId="3CDA1A9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0" w:type="dxa"/>
            <w:gridSpan w:val="2"/>
            <w:tcBorders>
              <w:top w:val="nil"/>
              <w:left w:val="nil"/>
              <w:bottom w:val="single" w:sz="4" w:space="0" w:color="auto"/>
              <w:right w:val="single" w:sz="4" w:space="0" w:color="auto"/>
            </w:tcBorders>
            <w:shd w:val="clear" w:color="000000" w:fill="D9D9D9"/>
            <w:vAlign w:val="center"/>
            <w:hideMark/>
          </w:tcPr>
          <w:p w14:paraId="163BBCB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78" w:type="dxa"/>
            <w:tcBorders>
              <w:top w:val="nil"/>
              <w:left w:val="nil"/>
              <w:bottom w:val="single" w:sz="4" w:space="0" w:color="auto"/>
              <w:right w:val="single" w:sz="4" w:space="0" w:color="auto"/>
            </w:tcBorders>
            <w:shd w:val="clear" w:color="000000" w:fill="D9D9D9"/>
            <w:vAlign w:val="center"/>
            <w:hideMark/>
          </w:tcPr>
          <w:p w14:paraId="0CC2D35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90" w:type="dxa"/>
            <w:tcBorders>
              <w:top w:val="nil"/>
              <w:left w:val="nil"/>
              <w:bottom w:val="single" w:sz="4" w:space="0" w:color="auto"/>
              <w:right w:val="single" w:sz="4" w:space="0" w:color="auto"/>
            </w:tcBorders>
            <w:shd w:val="clear" w:color="000000" w:fill="D9D9D9"/>
            <w:vAlign w:val="center"/>
            <w:hideMark/>
          </w:tcPr>
          <w:p w14:paraId="29320F1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63" w:type="dxa"/>
            <w:gridSpan w:val="3"/>
            <w:tcBorders>
              <w:top w:val="nil"/>
              <w:left w:val="nil"/>
              <w:bottom w:val="single" w:sz="4" w:space="0" w:color="auto"/>
              <w:right w:val="single" w:sz="4" w:space="0" w:color="auto"/>
            </w:tcBorders>
            <w:shd w:val="clear" w:color="000000" w:fill="92D050"/>
            <w:vAlign w:val="center"/>
            <w:hideMark/>
          </w:tcPr>
          <w:p w14:paraId="007A9DF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50" w:type="dxa"/>
            <w:gridSpan w:val="2"/>
            <w:tcBorders>
              <w:top w:val="nil"/>
              <w:left w:val="nil"/>
              <w:bottom w:val="single" w:sz="4" w:space="0" w:color="auto"/>
              <w:right w:val="single" w:sz="4" w:space="0" w:color="auto"/>
            </w:tcBorders>
            <w:shd w:val="clear" w:color="000000" w:fill="BDD7EE"/>
            <w:vAlign w:val="center"/>
            <w:hideMark/>
          </w:tcPr>
          <w:p w14:paraId="7B0A925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77" w:type="dxa"/>
            <w:tcBorders>
              <w:top w:val="nil"/>
              <w:left w:val="nil"/>
              <w:bottom w:val="single" w:sz="4" w:space="0" w:color="auto"/>
              <w:right w:val="single" w:sz="4" w:space="0" w:color="auto"/>
            </w:tcBorders>
            <w:shd w:val="clear" w:color="000000" w:fill="BDD7EE"/>
            <w:vAlign w:val="center"/>
            <w:hideMark/>
          </w:tcPr>
          <w:p w14:paraId="5F9D521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bl>
    <w:p w14:paraId="7D205F30" w14:textId="77777777" w:rsidR="00F05E86" w:rsidRPr="00292532" w:rsidRDefault="00F05E86" w:rsidP="00F05E86">
      <w:pPr>
        <w:pStyle w:val="Caption"/>
      </w:pPr>
    </w:p>
    <w:p w14:paraId="75493504" w14:textId="77777777" w:rsidR="00F05E86" w:rsidRPr="00292532" w:rsidRDefault="00F05E86" w:rsidP="00F05E86">
      <w:pPr>
        <w:pStyle w:val="Caption"/>
      </w:pPr>
    </w:p>
    <w:p w14:paraId="200C6081" w14:textId="77777777" w:rsidR="00F05E86" w:rsidRPr="00292532" w:rsidRDefault="00F05E86" w:rsidP="00F05E86">
      <w:pPr>
        <w:pStyle w:val="Caption"/>
      </w:pPr>
    </w:p>
    <w:p w14:paraId="2586AC21" w14:textId="77777777" w:rsidR="00F05E86" w:rsidRPr="00292532" w:rsidRDefault="00F05E86" w:rsidP="00F05E86">
      <w:pPr>
        <w:pStyle w:val="Caption"/>
      </w:pPr>
    </w:p>
    <w:p w14:paraId="4B1CD198" w14:textId="77777777" w:rsidR="00F05E86" w:rsidRPr="00292532" w:rsidRDefault="00F05E86" w:rsidP="00F05E86">
      <w:pPr>
        <w:pStyle w:val="Caption"/>
      </w:pPr>
    </w:p>
    <w:p w14:paraId="70FBB9CC" w14:textId="77777777" w:rsidR="00F05E86" w:rsidRPr="00292532" w:rsidRDefault="00F05E86" w:rsidP="00F05E86">
      <w:pPr>
        <w:pStyle w:val="Caption"/>
      </w:pPr>
    </w:p>
    <w:p w14:paraId="0561FEC8" w14:textId="77777777" w:rsidR="00F05E86" w:rsidRPr="00292532" w:rsidRDefault="00F05E86" w:rsidP="00F05E86">
      <w:pPr>
        <w:pStyle w:val="Caption"/>
      </w:pPr>
    </w:p>
    <w:p w14:paraId="64966841" w14:textId="77777777" w:rsidR="00F05E86" w:rsidRPr="00292532" w:rsidRDefault="00F05E86" w:rsidP="00F05E86">
      <w:pPr>
        <w:pStyle w:val="Caption"/>
      </w:pPr>
    </w:p>
    <w:p w14:paraId="42BA0DB8" w14:textId="0560D2B5" w:rsidR="00F05E86" w:rsidRPr="00292532" w:rsidRDefault="00F05E86" w:rsidP="00876367">
      <w:pPr>
        <w:pStyle w:val="Caption"/>
        <w:rPr>
          <w:rFonts w:eastAsia="Times New Roman"/>
        </w:rPr>
      </w:pPr>
      <w:bookmarkStart w:id="208" w:name="_Toc75438164"/>
      <w:bookmarkStart w:id="209" w:name="_Toc80380270"/>
      <w:r w:rsidRPr="00292532">
        <w:lastRenderedPageBreak/>
        <w:t xml:space="preserve">Tabela </w:t>
      </w:r>
      <w:r w:rsidRPr="00292532">
        <w:fldChar w:fldCharType="begin"/>
      </w:r>
      <w:r w:rsidRPr="00292532">
        <w:instrText xml:space="preserve"> SEQ Tabela \* ARABIC </w:instrText>
      </w:r>
      <w:r w:rsidRPr="00292532">
        <w:fldChar w:fldCharType="separate"/>
      </w:r>
      <w:r w:rsidR="00C25AEB" w:rsidRPr="00292532">
        <w:rPr>
          <w:noProof/>
        </w:rPr>
        <w:t>23</w:t>
      </w:r>
      <w:r w:rsidRPr="00292532">
        <w:fldChar w:fldCharType="end"/>
      </w:r>
      <w:r w:rsidRPr="00292532">
        <w:rPr>
          <w:rFonts w:eastAsia="Times New Roman"/>
        </w:rPr>
        <w:t>: Classificação dos Impactos Sociais</w:t>
      </w:r>
      <w:bookmarkEnd w:id="208"/>
      <w:bookmarkEnd w:id="209"/>
    </w:p>
    <w:tbl>
      <w:tblPr>
        <w:tblW w:w="12955" w:type="dxa"/>
        <w:tblLayout w:type="fixed"/>
        <w:tblLook w:val="04A0" w:firstRow="1" w:lastRow="0" w:firstColumn="1" w:lastColumn="0" w:noHBand="0" w:noVBand="1"/>
      </w:tblPr>
      <w:tblGrid>
        <w:gridCol w:w="623"/>
        <w:gridCol w:w="1352"/>
        <w:gridCol w:w="2633"/>
        <w:gridCol w:w="427"/>
        <w:gridCol w:w="360"/>
        <w:gridCol w:w="360"/>
        <w:gridCol w:w="360"/>
        <w:gridCol w:w="360"/>
        <w:gridCol w:w="360"/>
        <w:gridCol w:w="360"/>
        <w:gridCol w:w="360"/>
        <w:gridCol w:w="360"/>
        <w:gridCol w:w="360"/>
        <w:gridCol w:w="450"/>
        <w:gridCol w:w="450"/>
        <w:gridCol w:w="360"/>
        <w:gridCol w:w="540"/>
        <w:gridCol w:w="450"/>
        <w:gridCol w:w="535"/>
        <w:gridCol w:w="455"/>
        <w:gridCol w:w="450"/>
        <w:gridCol w:w="450"/>
        <w:gridCol w:w="540"/>
      </w:tblGrid>
      <w:tr w:rsidR="00F05E86" w:rsidRPr="00292532" w14:paraId="70B4E944" w14:textId="77777777" w:rsidTr="00876367">
        <w:trPr>
          <w:trHeight w:val="1290"/>
          <w:tblHeader/>
        </w:trPr>
        <w:tc>
          <w:tcPr>
            <w:tcW w:w="4608" w:type="dxa"/>
            <w:gridSpan w:val="3"/>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6AD2767"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Riscos Sociais do </w:t>
            </w:r>
            <w:proofErr w:type="spellStart"/>
            <w:r w:rsidRPr="004500AE">
              <w:rPr>
                <w:rFonts w:eastAsia="Times New Roman" w:cs="Calibri"/>
                <w:b/>
                <w:bCs/>
                <w:color w:val="000000"/>
                <w:sz w:val="20"/>
                <w:szCs w:val="20"/>
                <w:lang w:val="pt-PT"/>
              </w:rPr>
              <w:t>Projecto</w:t>
            </w:r>
            <w:proofErr w:type="spellEnd"/>
            <w:r w:rsidRPr="004500AE">
              <w:rPr>
                <w:rFonts w:eastAsia="Times New Roman" w:cs="Calibri"/>
                <w:b/>
                <w:bCs/>
                <w:color w:val="000000"/>
                <w:sz w:val="20"/>
                <w:szCs w:val="20"/>
                <w:lang w:val="pt-PT"/>
              </w:rPr>
              <w:t xml:space="preserve"> </w:t>
            </w:r>
          </w:p>
        </w:tc>
        <w:tc>
          <w:tcPr>
            <w:tcW w:w="787"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6BCD9945" w14:textId="77777777" w:rsidR="00F05E86" w:rsidRPr="004500AE" w:rsidRDefault="00F05E86" w:rsidP="006071CF">
            <w:pPr>
              <w:spacing w:before="0" w:after="0"/>
              <w:jc w:val="center"/>
              <w:rPr>
                <w:rFonts w:eastAsia="Times New Roman" w:cs="Calibri"/>
                <w:b/>
                <w:bCs/>
                <w:sz w:val="20"/>
                <w:szCs w:val="20"/>
                <w:lang w:val="pt-PT"/>
              </w:rPr>
            </w:pPr>
            <w:r w:rsidRPr="004500AE">
              <w:rPr>
                <w:rFonts w:eastAsia="Times New Roman" w:cs="Calibri"/>
                <w:b/>
                <w:bCs/>
                <w:sz w:val="20"/>
                <w:szCs w:val="20"/>
                <w:lang w:val="pt-PT"/>
              </w:rPr>
              <w:t xml:space="preserve">Estatuto </w:t>
            </w:r>
          </w:p>
        </w:tc>
        <w:tc>
          <w:tcPr>
            <w:tcW w:w="1440" w:type="dxa"/>
            <w:gridSpan w:val="4"/>
            <w:tcBorders>
              <w:top w:val="single" w:sz="4" w:space="0" w:color="auto"/>
              <w:left w:val="nil"/>
              <w:bottom w:val="single" w:sz="4" w:space="0" w:color="auto"/>
              <w:right w:val="single" w:sz="4" w:space="0" w:color="auto"/>
            </w:tcBorders>
            <w:shd w:val="clear" w:color="000000" w:fill="FFFFFF"/>
            <w:textDirection w:val="btLr"/>
            <w:vAlign w:val="center"/>
            <w:hideMark/>
          </w:tcPr>
          <w:p w14:paraId="497DD9D6" w14:textId="77777777" w:rsidR="00F05E86" w:rsidRPr="004500AE" w:rsidRDefault="00F05E86" w:rsidP="006071CF">
            <w:pPr>
              <w:spacing w:before="0" w:after="0"/>
              <w:jc w:val="center"/>
              <w:rPr>
                <w:rFonts w:eastAsia="Times New Roman" w:cs="Calibri"/>
                <w:b/>
                <w:bCs/>
                <w:sz w:val="20"/>
                <w:szCs w:val="20"/>
                <w:lang w:val="pt-PT"/>
              </w:rPr>
            </w:pPr>
            <w:r w:rsidRPr="004500AE">
              <w:rPr>
                <w:rFonts w:eastAsia="Times New Roman" w:cs="Calibri"/>
                <w:b/>
                <w:bCs/>
                <w:sz w:val="20"/>
                <w:szCs w:val="20"/>
                <w:lang w:val="pt-PT"/>
              </w:rPr>
              <w:t xml:space="preserve">Extensão </w:t>
            </w:r>
          </w:p>
        </w:tc>
        <w:tc>
          <w:tcPr>
            <w:tcW w:w="1440" w:type="dxa"/>
            <w:gridSpan w:val="4"/>
            <w:tcBorders>
              <w:top w:val="single" w:sz="4" w:space="0" w:color="auto"/>
              <w:left w:val="nil"/>
              <w:bottom w:val="single" w:sz="4" w:space="0" w:color="auto"/>
              <w:right w:val="single" w:sz="4" w:space="0" w:color="auto"/>
            </w:tcBorders>
            <w:shd w:val="clear" w:color="000000" w:fill="D9D9D9"/>
            <w:textDirection w:val="btLr"/>
            <w:vAlign w:val="center"/>
            <w:hideMark/>
          </w:tcPr>
          <w:p w14:paraId="7C1AC4A0" w14:textId="77777777" w:rsidR="00F05E86" w:rsidRPr="004500AE" w:rsidRDefault="00F05E86" w:rsidP="006071CF">
            <w:pPr>
              <w:spacing w:before="0" w:after="0"/>
              <w:jc w:val="center"/>
              <w:rPr>
                <w:rFonts w:eastAsia="Times New Roman" w:cs="Calibri"/>
                <w:b/>
                <w:bCs/>
                <w:sz w:val="20"/>
                <w:szCs w:val="20"/>
                <w:lang w:val="pt-PT"/>
              </w:rPr>
            </w:pPr>
            <w:r w:rsidRPr="004500AE">
              <w:rPr>
                <w:rFonts w:eastAsia="Times New Roman" w:cs="Calibri"/>
                <w:b/>
                <w:bCs/>
                <w:sz w:val="20"/>
                <w:szCs w:val="20"/>
                <w:lang w:val="pt-PT"/>
              </w:rPr>
              <w:t>Duração</w:t>
            </w:r>
          </w:p>
        </w:tc>
        <w:tc>
          <w:tcPr>
            <w:tcW w:w="1260" w:type="dxa"/>
            <w:gridSpan w:val="3"/>
            <w:tcBorders>
              <w:top w:val="single" w:sz="4" w:space="0" w:color="auto"/>
              <w:left w:val="nil"/>
              <w:bottom w:val="single" w:sz="4" w:space="0" w:color="auto"/>
              <w:right w:val="single" w:sz="4" w:space="0" w:color="auto"/>
            </w:tcBorders>
            <w:shd w:val="clear" w:color="000000" w:fill="F2F2F2"/>
            <w:textDirection w:val="btLr"/>
            <w:vAlign w:val="center"/>
            <w:hideMark/>
          </w:tcPr>
          <w:p w14:paraId="29F61ED2" w14:textId="77777777" w:rsidR="00F05E86" w:rsidRPr="004500AE" w:rsidRDefault="00F05E86" w:rsidP="006071CF">
            <w:pPr>
              <w:spacing w:before="0" w:after="0"/>
              <w:jc w:val="center"/>
              <w:rPr>
                <w:rFonts w:eastAsia="Times New Roman" w:cs="Calibri"/>
                <w:b/>
                <w:bCs/>
                <w:sz w:val="20"/>
                <w:szCs w:val="20"/>
                <w:lang w:val="pt-PT"/>
              </w:rPr>
            </w:pPr>
            <w:r w:rsidRPr="004500AE">
              <w:rPr>
                <w:rFonts w:eastAsia="Times New Roman" w:cs="Calibri"/>
                <w:b/>
                <w:bCs/>
                <w:sz w:val="20"/>
                <w:szCs w:val="20"/>
                <w:lang w:val="pt-PT"/>
              </w:rPr>
              <w:t>Intensidade</w:t>
            </w:r>
          </w:p>
        </w:tc>
        <w:tc>
          <w:tcPr>
            <w:tcW w:w="1980" w:type="dxa"/>
            <w:gridSpan w:val="4"/>
            <w:tcBorders>
              <w:top w:val="single" w:sz="4" w:space="0" w:color="auto"/>
              <w:left w:val="nil"/>
              <w:bottom w:val="single" w:sz="4" w:space="0" w:color="auto"/>
              <w:right w:val="single" w:sz="4" w:space="0" w:color="auto"/>
            </w:tcBorders>
            <w:shd w:val="clear" w:color="000000" w:fill="D9D9D9"/>
            <w:textDirection w:val="btLr"/>
            <w:vAlign w:val="center"/>
            <w:hideMark/>
          </w:tcPr>
          <w:p w14:paraId="620918F5" w14:textId="77777777" w:rsidR="00F05E86" w:rsidRPr="004500AE" w:rsidRDefault="00F05E86" w:rsidP="006071CF">
            <w:pPr>
              <w:spacing w:before="0" w:after="0"/>
              <w:jc w:val="center"/>
              <w:rPr>
                <w:rFonts w:eastAsia="Times New Roman" w:cs="Calibri"/>
                <w:b/>
                <w:bCs/>
                <w:sz w:val="20"/>
                <w:szCs w:val="20"/>
                <w:lang w:val="pt-PT"/>
              </w:rPr>
            </w:pPr>
            <w:r w:rsidRPr="004500AE">
              <w:rPr>
                <w:rFonts w:eastAsia="Times New Roman" w:cs="Calibri"/>
                <w:b/>
                <w:bCs/>
                <w:sz w:val="20"/>
                <w:szCs w:val="20"/>
                <w:lang w:val="pt-PT"/>
              </w:rPr>
              <w:t>Probabilidade</w:t>
            </w:r>
          </w:p>
        </w:tc>
        <w:tc>
          <w:tcPr>
            <w:tcW w:w="1440" w:type="dxa"/>
            <w:gridSpan w:val="3"/>
            <w:tcBorders>
              <w:top w:val="single" w:sz="4" w:space="0" w:color="auto"/>
              <w:left w:val="nil"/>
              <w:bottom w:val="single" w:sz="4" w:space="0" w:color="auto"/>
              <w:right w:val="single" w:sz="4" w:space="0" w:color="auto"/>
            </w:tcBorders>
            <w:shd w:val="clear" w:color="000000" w:fill="BDD7EE"/>
            <w:textDirection w:val="btLr"/>
            <w:vAlign w:val="center"/>
            <w:hideMark/>
          </w:tcPr>
          <w:p w14:paraId="120F5176" w14:textId="77777777" w:rsidR="00F05E86" w:rsidRPr="004500AE" w:rsidRDefault="00F05E86" w:rsidP="006071CF">
            <w:pPr>
              <w:spacing w:before="0" w:after="0"/>
              <w:jc w:val="center"/>
              <w:rPr>
                <w:rFonts w:eastAsia="Times New Roman" w:cs="Calibri"/>
                <w:b/>
                <w:bCs/>
                <w:sz w:val="20"/>
                <w:szCs w:val="20"/>
                <w:lang w:val="pt-PT"/>
              </w:rPr>
            </w:pPr>
            <w:r w:rsidRPr="004500AE">
              <w:rPr>
                <w:rFonts w:eastAsia="Times New Roman" w:cs="Calibri"/>
                <w:b/>
                <w:bCs/>
                <w:sz w:val="20"/>
                <w:szCs w:val="20"/>
                <w:lang w:val="pt-PT"/>
              </w:rPr>
              <w:t xml:space="preserve">Significância </w:t>
            </w:r>
          </w:p>
        </w:tc>
      </w:tr>
      <w:tr w:rsidR="00876367" w:rsidRPr="00292532" w14:paraId="0DE018AC" w14:textId="77777777" w:rsidTr="00876367">
        <w:trPr>
          <w:trHeight w:val="2560"/>
          <w:tblHeader/>
        </w:trPr>
        <w:tc>
          <w:tcPr>
            <w:tcW w:w="4608" w:type="dxa"/>
            <w:gridSpan w:val="3"/>
            <w:vMerge/>
            <w:tcBorders>
              <w:top w:val="single" w:sz="4" w:space="0" w:color="auto"/>
              <w:left w:val="single" w:sz="4" w:space="0" w:color="auto"/>
              <w:bottom w:val="single" w:sz="4" w:space="0" w:color="auto"/>
              <w:right w:val="single" w:sz="4" w:space="0" w:color="auto"/>
            </w:tcBorders>
            <w:vAlign w:val="center"/>
            <w:hideMark/>
          </w:tcPr>
          <w:p w14:paraId="6765C7E4"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427" w:type="dxa"/>
            <w:tcBorders>
              <w:top w:val="nil"/>
              <w:left w:val="nil"/>
              <w:bottom w:val="single" w:sz="4" w:space="0" w:color="auto"/>
              <w:right w:val="single" w:sz="4" w:space="0" w:color="auto"/>
            </w:tcBorders>
            <w:shd w:val="clear" w:color="000000" w:fill="D9D9D9"/>
            <w:textDirection w:val="btLr"/>
            <w:vAlign w:val="center"/>
            <w:hideMark/>
          </w:tcPr>
          <w:p w14:paraId="46B26F23"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Positivo</w:t>
            </w:r>
          </w:p>
        </w:tc>
        <w:tc>
          <w:tcPr>
            <w:tcW w:w="360" w:type="dxa"/>
            <w:tcBorders>
              <w:top w:val="nil"/>
              <w:left w:val="nil"/>
              <w:bottom w:val="single" w:sz="4" w:space="0" w:color="auto"/>
              <w:right w:val="single" w:sz="4" w:space="0" w:color="auto"/>
            </w:tcBorders>
            <w:shd w:val="clear" w:color="000000" w:fill="D9D9D9"/>
            <w:textDirection w:val="btLr"/>
            <w:vAlign w:val="center"/>
            <w:hideMark/>
          </w:tcPr>
          <w:p w14:paraId="465E6E7A"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Negativo</w:t>
            </w:r>
          </w:p>
        </w:tc>
        <w:tc>
          <w:tcPr>
            <w:tcW w:w="360" w:type="dxa"/>
            <w:tcBorders>
              <w:top w:val="nil"/>
              <w:left w:val="nil"/>
              <w:bottom w:val="single" w:sz="4" w:space="0" w:color="auto"/>
              <w:right w:val="single" w:sz="4" w:space="0" w:color="auto"/>
            </w:tcBorders>
            <w:shd w:val="clear" w:color="000000" w:fill="FFFFFF"/>
            <w:textDirection w:val="btLr"/>
            <w:vAlign w:val="center"/>
            <w:hideMark/>
          </w:tcPr>
          <w:p w14:paraId="2FC11337"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Localizada </w:t>
            </w:r>
          </w:p>
        </w:tc>
        <w:tc>
          <w:tcPr>
            <w:tcW w:w="360" w:type="dxa"/>
            <w:tcBorders>
              <w:top w:val="nil"/>
              <w:left w:val="nil"/>
              <w:bottom w:val="single" w:sz="4" w:space="0" w:color="auto"/>
              <w:right w:val="single" w:sz="4" w:space="0" w:color="auto"/>
            </w:tcBorders>
            <w:shd w:val="clear" w:color="000000" w:fill="FFFFFF"/>
            <w:textDirection w:val="btLr"/>
            <w:vAlign w:val="center"/>
            <w:hideMark/>
          </w:tcPr>
          <w:p w14:paraId="1D0AF71B"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Área envolvente</w:t>
            </w:r>
          </w:p>
        </w:tc>
        <w:tc>
          <w:tcPr>
            <w:tcW w:w="360" w:type="dxa"/>
            <w:tcBorders>
              <w:top w:val="nil"/>
              <w:left w:val="nil"/>
              <w:bottom w:val="single" w:sz="4" w:space="0" w:color="auto"/>
              <w:right w:val="single" w:sz="4" w:space="0" w:color="auto"/>
            </w:tcBorders>
            <w:shd w:val="clear" w:color="000000" w:fill="FFFFFF"/>
            <w:textDirection w:val="btLr"/>
            <w:vAlign w:val="center"/>
            <w:hideMark/>
          </w:tcPr>
          <w:p w14:paraId="48B67D48"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Regional </w:t>
            </w:r>
          </w:p>
        </w:tc>
        <w:tc>
          <w:tcPr>
            <w:tcW w:w="360" w:type="dxa"/>
            <w:tcBorders>
              <w:top w:val="nil"/>
              <w:left w:val="nil"/>
              <w:bottom w:val="single" w:sz="4" w:space="0" w:color="auto"/>
              <w:right w:val="single" w:sz="4" w:space="0" w:color="auto"/>
            </w:tcBorders>
            <w:shd w:val="clear" w:color="000000" w:fill="FFFFFF"/>
            <w:textDirection w:val="btLr"/>
            <w:vAlign w:val="center"/>
            <w:hideMark/>
          </w:tcPr>
          <w:p w14:paraId="1BF10F05"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Nacional </w:t>
            </w:r>
          </w:p>
        </w:tc>
        <w:tc>
          <w:tcPr>
            <w:tcW w:w="360" w:type="dxa"/>
            <w:tcBorders>
              <w:top w:val="nil"/>
              <w:left w:val="nil"/>
              <w:bottom w:val="single" w:sz="4" w:space="0" w:color="auto"/>
              <w:right w:val="single" w:sz="4" w:space="0" w:color="auto"/>
            </w:tcBorders>
            <w:shd w:val="clear" w:color="000000" w:fill="D9D9D9"/>
            <w:textDirection w:val="btLr"/>
            <w:vAlign w:val="center"/>
            <w:hideMark/>
          </w:tcPr>
          <w:p w14:paraId="09DA00D2"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Curto Prazo </w:t>
            </w:r>
          </w:p>
        </w:tc>
        <w:tc>
          <w:tcPr>
            <w:tcW w:w="360" w:type="dxa"/>
            <w:tcBorders>
              <w:top w:val="nil"/>
              <w:left w:val="nil"/>
              <w:bottom w:val="single" w:sz="4" w:space="0" w:color="auto"/>
              <w:right w:val="single" w:sz="4" w:space="0" w:color="auto"/>
            </w:tcBorders>
            <w:shd w:val="clear" w:color="000000" w:fill="D9D9D9"/>
            <w:textDirection w:val="btLr"/>
            <w:vAlign w:val="center"/>
            <w:hideMark/>
          </w:tcPr>
          <w:p w14:paraId="0B5E2F24"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Médio Prazo </w:t>
            </w:r>
          </w:p>
        </w:tc>
        <w:tc>
          <w:tcPr>
            <w:tcW w:w="360" w:type="dxa"/>
            <w:tcBorders>
              <w:top w:val="nil"/>
              <w:left w:val="nil"/>
              <w:bottom w:val="single" w:sz="4" w:space="0" w:color="auto"/>
              <w:right w:val="single" w:sz="4" w:space="0" w:color="auto"/>
            </w:tcBorders>
            <w:shd w:val="clear" w:color="000000" w:fill="D9D9D9"/>
            <w:textDirection w:val="btLr"/>
            <w:vAlign w:val="center"/>
            <w:hideMark/>
          </w:tcPr>
          <w:p w14:paraId="37432A0E"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Longo Prazo </w:t>
            </w:r>
          </w:p>
        </w:tc>
        <w:tc>
          <w:tcPr>
            <w:tcW w:w="360" w:type="dxa"/>
            <w:tcBorders>
              <w:top w:val="nil"/>
              <w:left w:val="nil"/>
              <w:bottom w:val="single" w:sz="4" w:space="0" w:color="auto"/>
              <w:right w:val="single" w:sz="4" w:space="0" w:color="auto"/>
            </w:tcBorders>
            <w:shd w:val="clear" w:color="000000" w:fill="D9D9D9"/>
            <w:textDirection w:val="btLr"/>
            <w:vAlign w:val="center"/>
            <w:hideMark/>
          </w:tcPr>
          <w:p w14:paraId="26B13AD9"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Permanente</w:t>
            </w:r>
          </w:p>
        </w:tc>
        <w:tc>
          <w:tcPr>
            <w:tcW w:w="450" w:type="dxa"/>
            <w:tcBorders>
              <w:top w:val="nil"/>
              <w:left w:val="nil"/>
              <w:bottom w:val="single" w:sz="4" w:space="0" w:color="auto"/>
              <w:right w:val="single" w:sz="4" w:space="0" w:color="auto"/>
            </w:tcBorders>
            <w:shd w:val="clear" w:color="000000" w:fill="F2F2F2"/>
            <w:textDirection w:val="btLr"/>
            <w:vAlign w:val="center"/>
            <w:hideMark/>
          </w:tcPr>
          <w:p w14:paraId="782B4F8D"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Baixa</w:t>
            </w:r>
          </w:p>
        </w:tc>
        <w:tc>
          <w:tcPr>
            <w:tcW w:w="450" w:type="dxa"/>
            <w:tcBorders>
              <w:top w:val="nil"/>
              <w:left w:val="nil"/>
              <w:bottom w:val="single" w:sz="4" w:space="0" w:color="auto"/>
              <w:right w:val="single" w:sz="4" w:space="0" w:color="auto"/>
            </w:tcBorders>
            <w:shd w:val="clear" w:color="000000" w:fill="F2F2F2"/>
            <w:textDirection w:val="btLr"/>
            <w:vAlign w:val="center"/>
            <w:hideMark/>
          </w:tcPr>
          <w:p w14:paraId="3097C152"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Média</w:t>
            </w:r>
          </w:p>
        </w:tc>
        <w:tc>
          <w:tcPr>
            <w:tcW w:w="360" w:type="dxa"/>
            <w:tcBorders>
              <w:top w:val="nil"/>
              <w:left w:val="nil"/>
              <w:bottom w:val="single" w:sz="4" w:space="0" w:color="auto"/>
              <w:right w:val="single" w:sz="4" w:space="0" w:color="auto"/>
            </w:tcBorders>
            <w:shd w:val="clear" w:color="000000" w:fill="F2F2F2"/>
            <w:textDirection w:val="btLr"/>
            <w:vAlign w:val="center"/>
            <w:hideMark/>
          </w:tcPr>
          <w:p w14:paraId="48E02C3F"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Alta</w:t>
            </w:r>
          </w:p>
        </w:tc>
        <w:tc>
          <w:tcPr>
            <w:tcW w:w="540" w:type="dxa"/>
            <w:tcBorders>
              <w:top w:val="nil"/>
              <w:left w:val="nil"/>
              <w:bottom w:val="single" w:sz="4" w:space="0" w:color="auto"/>
              <w:right w:val="single" w:sz="4" w:space="0" w:color="auto"/>
            </w:tcBorders>
            <w:shd w:val="clear" w:color="000000" w:fill="D9D9D9"/>
            <w:textDirection w:val="btLr"/>
            <w:vAlign w:val="center"/>
            <w:hideMark/>
          </w:tcPr>
          <w:p w14:paraId="5B0E5556"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Improvável / pouco provável</w:t>
            </w:r>
          </w:p>
        </w:tc>
        <w:tc>
          <w:tcPr>
            <w:tcW w:w="450" w:type="dxa"/>
            <w:tcBorders>
              <w:top w:val="nil"/>
              <w:left w:val="nil"/>
              <w:bottom w:val="single" w:sz="4" w:space="0" w:color="auto"/>
              <w:right w:val="single" w:sz="4" w:space="0" w:color="auto"/>
            </w:tcBorders>
            <w:shd w:val="clear" w:color="000000" w:fill="D9D9D9"/>
            <w:textDirection w:val="btLr"/>
            <w:vAlign w:val="center"/>
            <w:hideMark/>
          </w:tcPr>
          <w:p w14:paraId="4FECA606"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Provável </w:t>
            </w:r>
          </w:p>
        </w:tc>
        <w:tc>
          <w:tcPr>
            <w:tcW w:w="535" w:type="dxa"/>
            <w:tcBorders>
              <w:top w:val="nil"/>
              <w:left w:val="nil"/>
              <w:bottom w:val="single" w:sz="4" w:space="0" w:color="auto"/>
              <w:right w:val="single" w:sz="4" w:space="0" w:color="auto"/>
            </w:tcBorders>
            <w:shd w:val="clear" w:color="000000" w:fill="D9D9D9"/>
            <w:textDirection w:val="btLr"/>
            <w:vAlign w:val="center"/>
            <w:hideMark/>
          </w:tcPr>
          <w:p w14:paraId="44AA0F98"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Altamente provável </w:t>
            </w:r>
          </w:p>
        </w:tc>
        <w:tc>
          <w:tcPr>
            <w:tcW w:w="455" w:type="dxa"/>
            <w:tcBorders>
              <w:top w:val="nil"/>
              <w:left w:val="nil"/>
              <w:bottom w:val="single" w:sz="4" w:space="0" w:color="auto"/>
              <w:right w:val="single" w:sz="4" w:space="0" w:color="auto"/>
            </w:tcBorders>
            <w:shd w:val="clear" w:color="000000" w:fill="D9D9D9"/>
            <w:textDirection w:val="btLr"/>
            <w:vAlign w:val="center"/>
            <w:hideMark/>
          </w:tcPr>
          <w:p w14:paraId="4B2504C6"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Definitiva </w:t>
            </w:r>
          </w:p>
        </w:tc>
        <w:tc>
          <w:tcPr>
            <w:tcW w:w="450" w:type="dxa"/>
            <w:tcBorders>
              <w:top w:val="nil"/>
              <w:left w:val="nil"/>
              <w:bottom w:val="single" w:sz="4" w:space="0" w:color="auto"/>
              <w:right w:val="single" w:sz="4" w:space="0" w:color="auto"/>
            </w:tcBorders>
            <w:shd w:val="clear" w:color="000000" w:fill="BDD7EE"/>
            <w:textDirection w:val="btLr"/>
            <w:vAlign w:val="center"/>
            <w:hideMark/>
          </w:tcPr>
          <w:p w14:paraId="6634EF80"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Pouco </w:t>
            </w:r>
            <w:proofErr w:type="gramStart"/>
            <w:r w:rsidRPr="004500AE">
              <w:rPr>
                <w:rFonts w:eastAsia="Times New Roman" w:cs="Calibri"/>
                <w:b/>
                <w:bCs/>
                <w:color w:val="000000"/>
                <w:sz w:val="20"/>
                <w:szCs w:val="20"/>
                <w:lang w:val="pt-PT"/>
              </w:rPr>
              <w:t>Significativo</w:t>
            </w:r>
            <w:proofErr w:type="gramEnd"/>
          </w:p>
        </w:tc>
        <w:tc>
          <w:tcPr>
            <w:tcW w:w="450" w:type="dxa"/>
            <w:tcBorders>
              <w:top w:val="nil"/>
              <w:left w:val="nil"/>
              <w:bottom w:val="single" w:sz="4" w:space="0" w:color="auto"/>
              <w:right w:val="single" w:sz="4" w:space="0" w:color="auto"/>
            </w:tcBorders>
            <w:shd w:val="clear" w:color="000000" w:fill="BDD7EE"/>
            <w:textDirection w:val="btLr"/>
            <w:vAlign w:val="center"/>
            <w:hideMark/>
          </w:tcPr>
          <w:p w14:paraId="17D4FDF5"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Significativo</w:t>
            </w:r>
          </w:p>
        </w:tc>
        <w:tc>
          <w:tcPr>
            <w:tcW w:w="540" w:type="dxa"/>
            <w:tcBorders>
              <w:top w:val="nil"/>
              <w:left w:val="nil"/>
              <w:bottom w:val="single" w:sz="4" w:space="0" w:color="auto"/>
              <w:right w:val="single" w:sz="4" w:space="0" w:color="auto"/>
            </w:tcBorders>
            <w:shd w:val="clear" w:color="000000" w:fill="BDD7EE"/>
            <w:textDirection w:val="btLr"/>
            <w:vAlign w:val="center"/>
            <w:hideMark/>
          </w:tcPr>
          <w:p w14:paraId="15D04351" w14:textId="77777777" w:rsidR="005A58F1" w:rsidRPr="004500AE" w:rsidRDefault="000F7578"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Muito </w:t>
            </w:r>
          </w:p>
          <w:p w14:paraId="611F6E87" w14:textId="60F0ED66"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Significativo </w:t>
            </w:r>
          </w:p>
        </w:tc>
      </w:tr>
      <w:tr w:rsidR="00876367" w:rsidRPr="00292532" w14:paraId="25AB385D" w14:textId="77777777" w:rsidTr="00876367">
        <w:trPr>
          <w:trHeight w:val="720"/>
        </w:trPr>
        <w:tc>
          <w:tcPr>
            <w:tcW w:w="623" w:type="dxa"/>
            <w:vMerge w:val="restart"/>
            <w:tcBorders>
              <w:top w:val="nil"/>
              <w:left w:val="single" w:sz="4" w:space="0" w:color="auto"/>
              <w:bottom w:val="single" w:sz="4" w:space="0" w:color="auto"/>
              <w:right w:val="single" w:sz="4" w:space="0" w:color="auto"/>
            </w:tcBorders>
            <w:shd w:val="clear" w:color="000000" w:fill="B4C6E7"/>
            <w:textDirection w:val="btLr"/>
            <w:vAlign w:val="center"/>
            <w:hideMark/>
          </w:tcPr>
          <w:p w14:paraId="691F39FA" w14:textId="77777777" w:rsidR="00F05E86" w:rsidRPr="004500AE" w:rsidRDefault="00F05E86" w:rsidP="006071CF">
            <w:pPr>
              <w:spacing w:before="0" w:after="0"/>
              <w:jc w:val="center"/>
              <w:rPr>
                <w:rFonts w:eastAsia="Times New Roman" w:cs="Calibri"/>
                <w:b/>
                <w:bCs/>
                <w:sz w:val="20"/>
                <w:szCs w:val="20"/>
                <w:lang w:val="pt-PT"/>
              </w:rPr>
            </w:pPr>
            <w:bookmarkStart w:id="210" w:name="_Hlk75443473"/>
            <w:r w:rsidRPr="004500AE">
              <w:rPr>
                <w:rFonts w:eastAsia="Times New Roman" w:cs="Calibri"/>
                <w:b/>
                <w:bCs/>
                <w:sz w:val="20"/>
                <w:szCs w:val="20"/>
                <w:lang w:val="pt-PT"/>
              </w:rPr>
              <w:t xml:space="preserve">Ambiente físico do </w:t>
            </w:r>
            <w:proofErr w:type="spellStart"/>
            <w:r w:rsidRPr="004500AE">
              <w:rPr>
                <w:rFonts w:eastAsia="Times New Roman" w:cs="Calibri"/>
                <w:b/>
                <w:bCs/>
                <w:sz w:val="20"/>
                <w:szCs w:val="20"/>
                <w:lang w:val="pt-PT"/>
              </w:rPr>
              <w:t>Projecto</w:t>
            </w:r>
            <w:proofErr w:type="spellEnd"/>
          </w:p>
        </w:tc>
        <w:tc>
          <w:tcPr>
            <w:tcW w:w="13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6E000E33"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Uso da terra </w:t>
            </w:r>
          </w:p>
        </w:tc>
        <w:tc>
          <w:tcPr>
            <w:tcW w:w="2633" w:type="dxa"/>
            <w:tcBorders>
              <w:top w:val="nil"/>
              <w:left w:val="nil"/>
              <w:bottom w:val="single" w:sz="4" w:space="0" w:color="auto"/>
              <w:right w:val="single" w:sz="4" w:space="0" w:color="auto"/>
            </w:tcBorders>
            <w:shd w:val="clear" w:color="auto" w:fill="auto"/>
            <w:vAlign w:val="center"/>
            <w:hideMark/>
          </w:tcPr>
          <w:p w14:paraId="132DA754"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Alteração do Uso da terra (fase de construção)</w:t>
            </w:r>
          </w:p>
        </w:tc>
        <w:tc>
          <w:tcPr>
            <w:tcW w:w="427" w:type="dxa"/>
            <w:tcBorders>
              <w:top w:val="nil"/>
              <w:left w:val="nil"/>
              <w:bottom w:val="single" w:sz="4" w:space="0" w:color="auto"/>
              <w:right w:val="single" w:sz="4" w:space="0" w:color="auto"/>
            </w:tcBorders>
            <w:shd w:val="clear" w:color="000000" w:fill="D9D9D9"/>
            <w:vAlign w:val="center"/>
            <w:hideMark/>
          </w:tcPr>
          <w:p w14:paraId="5978EB19"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0EE0170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45DFD4B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36F119C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5A77775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342ACC8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68F440A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7D617E6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203AAAD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05B9560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3225DC1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7178B21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2F2F2"/>
            <w:vAlign w:val="center"/>
            <w:hideMark/>
          </w:tcPr>
          <w:p w14:paraId="3E544F5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D9D9D9"/>
            <w:vAlign w:val="center"/>
            <w:hideMark/>
          </w:tcPr>
          <w:p w14:paraId="43742DD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D9D9D9"/>
            <w:vAlign w:val="center"/>
            <w:hideMark/>
          </w:tcPr>
          <w:p w14:paraId="5B0F99A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35" w:type="dxa"/>
            <w:tcBorders>
              <w:top w:val="nil"/>
              <w:left w:val="nil"/>
              <w:bottom w:val="single" w:sz="4" w:space="0" w:color="auto"/>
              <w:right w:val="single" w:sz="4" w:space="0" w:color="auto"/>
            </w:tcBorders>
            <w:shd w:val="clear" w:color="000000" w:fill="D9D9D9"/>
            <w:vAlign w:val="center"/>
            <w:hideMark/>
          </w:tcPr>
          <w:p w14:paraId="0085670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5" w:type="dxa"/>
            <w:tcBorders>
              <w:top w:val="nil"/>
              <w:left w:val="nil"/>
              <w:bottom w:val="single" w:sz="4" w:space="0" w:color="auto"/>
              <w:right w:val="single" w:sz="4" w:space="0" w:color="auto"/>
            </w:tcBorders>
            <w:shd w:val="clear" w:color="000000" w:fill="D9D9D9"/>
            <w:vAlign w:val="center"/>
            <w:hideMark/>
          </w:tcPr>
          <w:p w14:paraId="18CDE0C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50" w:type="dxa"/>
            <w:tcBorders>
              <w:top w:val="nil"/>
              <w:left w:val="nil"/>
              <w:bottom w:val="single" w:sz="4" w:space="0" w:color="auto"/>
              <w:right w:val="single" w:sz="4" w:space="0" w:color="auto"/>
            </w:tcBorders>
            <w:shd w:val="clear" w:color="000000" w:fill="BDD7EE"/>
            <w:vAlign w:val="center"/>
            <w:hideMark/>
          </w:tcPr>
          <w:p w14:paraId="2D3490A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549E26A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FF0000"/>
            <w:vAlign w:val="center"/>
            <w:hideMark/>
          </w:tcPr>
          <w:p w14:paraId="523DBDE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3A9B41F7" w14:textId="77777777" w:rsidTr="00876367">
        <w:trPr>
          <w:trHeight w:val="720"/>
        </w:trPr>
        <w:tc>
          <w:tcPr>
            <w:tcW w:w="623" w:type="dxa"/>
            <w:vMerge/>
            <w:tcBorders>
              <w:top w:val="nil"/>
              <w:left w:val="single" w:sz="4" w:space="0" w:color="auto"/>
              <w:bottom w:val="single" w:sz="4" w:space="0" w:color="auto"/>
              <w:right w:val="single" w:sz="4" w:space="0" w:color="auto"/>
            </w:tcBorders>
            <w:vAlign w:val="center"/>
            <w:hideMark/>
          </w:tcPr>
          <w:p w14:paraId="349DFB69" w14:textId="77777777" w:rsidR="00F05E86" w:rsidRPr="004500AE" w:rsidRDefault="00F05E86" w:rsidP="006071CF">
            <w:pPr>
              <w:spacing w:before="0" w:after="0"/>
              <w:jc w:val="left"/>
              <w:rPr>
                <w:rFonts w:eastAsia="Times New Roman" w:cs="Calibri"/>
                <w:b/>
                <w:bCs/>
                <w:sz w:val="20"/>
                <w:szCs w:val="20"/>
                <w:lang w:val="pt-PT"/>
              </w:rPr>
            </w:pPr>
          </w:p>
        </w:tc>
        <w:tc>
          <w:tcPr>
            <w:tcW w:w="1352" w:type="dxa"/>
            <w:vMerge/>
            <w:tcBorders>
              <w:top w:val="nil"/>
              <w:left w:val="single" w:sz="4" w:space="0" w:color="auto"/>
              <w:bottom w:val="single" w:sz="4" w:space="0" w:color="auto"/>
              <w:right w:val="single" w:sz="4" w:space="0" w:color="auto"/>
            </w:tcBorders>
            <w:vAlign w:val="center"/>
            <w:hideMark/>
          </w:tcPr>
          <w:p w14:paraId="2BC2CAC1"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633" w:type="dxa"/>
            <w:tcBorders>
              <w:top w:val="nil"/>
              <w:left w:val="nil"/>
              <w:bottom w:val="single" w:sz="4" w:space="0" w:color="auto"/>
              <w:right w:val="single" w:sz="4" w:space="0" w:color="auto"/>
            </w:tcBorders>
            <w:shd w:val="clear" w:color="auto" w:fill="auto"/>
            <w:vAlign w:val="center"/>
            <w:hideMark/>
          </w:tcPr>
          <w:p w14:paraId="6AE91F42" w14:textId="0003C6F2"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Expropriação de terras, perda de terras produtivas, perda de meios de subsistência (fase de construção)</w:t>
            </w:r>
          </w:p>
        </w:tc>
        <w:tc>
          <w:tcPr>
            <w:tcW w:w="427" w:type="dxa"/>
            <w:tcBorders>
              <w:top w:val="nil"/>
              <w:left w:val="nil"/>
              <w:bottom w:val="single" w:sz="4" w:space="0" w:color="auto"/>
              <w:right w:val="single" w:sz="4" w:space="0" w:color="auto"/>
            </w:tcBorders>
            <w:shd w:val="clear" w:color="000000" w:fill="D9D9D9"/>
            <w:vAlign w:val="center"/>
            <w:hideMark/>
          </w:tcPr>
          <w:p w14:paraId="0C611C51"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0488144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737F0B9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6BEC55E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64A7713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06AFABD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1C6034E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31DADEB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349F911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688DDB1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251A38D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7A02D71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2F2F2"/>
            <w:vAlign w:val="center"/>
            <w:hideMark/>
          </w:tcPr>
          <w:p w14:paraId="5A02381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40" w:type="dxa"/>
            <w:tcBorders>
              <w:top w:val="nil"/>
              <w:left w:val="nil"/>
              <w:bottom w:val="single" w:sz="4" w:space="0" w:color="auto"/>
              <w:right w:val="single" w:sz="4" w:space="0" w:color="auto"/>
            </w:tcBorders>
            <w:shd w:val="clear" w:color="000000" w:fill="D9D9D9"/>
            <w:vAlign w:val="center"/>
            <w:hideMark/>
          </w:tcPr>
          <w:p w14:paraId="222DAC5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D9D9D9"/>
            <w:vAlign w:val="center"/>
            <w:hideMark/>
          </w:tcPr>
          <w:p w14:paraId="4D390FA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35" w:type="dxa"/>
            <w:tcBorders>
              <w:top w:val="nil"/>
              <w:left w:val="nil"/>
              <w:bottom w:val="single" w:sz="4" w:space="0" w:color="auto"/>
              <w:right w:val="single" w:sz="4" w:space="0" w:color="auto"/>
            </w:tcBorders>
            <w:shd w:val="clear" w:color="000000" w:fill="D9D9D9"/>
            <w:vAlign w:val="center"/>
            <w:hideMark/>
          </w:tcPr>
          <w:p w14:paraId="211A13D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5" w:type="dxa"/>
            <w:tcBorders>
              <w:top w:val="nil"/>
              <w:left w:val="nil"/>
              <w:bottom w:val="single" w:sz="4" w:space="0" w:color="auto"/>
              <w:right w:val="single" w:sz="4" w:space="0" w:color="auto"/>
            </w:tcBorders>
            <w:shd w:val="clear" w:color="000000" w:fill="D9D9D9"/>
            <w:vAlign w:val="center"/>
            <w:hideMark/>
          </w:tcPr>
          <w:p w14:paraId="007721D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755980E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FFF00"/>
            <w:vAlign w:val="center"/>
            <w:hideMark/>
          </w:tcPr>
          <w:p w14:paraId="05B220C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BDD7EE"/>
            <w:vAlign w:val="center"/>
            <w:hideMark/>
          </w:tcPr>
          <w:p w14:paraId="1DA0BDB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0F7BE5FC" w14:textId="77777777" w:rsidTr="00876367">
        <w:trPr>
          <w:trHeight w:val="720"/>
        </w:trPr>
        <w:tc>
          <w:tcPr>
            <w:tcW w:w="623" w:type="dxa"/>
            <w:vMerge/>
            <w:tcBorders>
              <w:top w:val="nil"/>
              <w:left w:val="single" w:sz="4" w:space="0" w:color="auto"/>
              <w:bottom w:val="single" w:sz="4" w:space="0" w:color="auto"/>
              <w:right w:val="single" w:sz="4" w:space="0" w:color="auto"/>
            </w:tcBorders>
            <w:vAlign w:val="center"/>
            <w:hideMark/>
          </w:tcPr>
          <w:p w14:paraId="713E7FD0" w14:textId="77777777" w:rsidR="00F05E86" w:rsidRPr="004500AE" w:rsidRDefault="00F05E86" w:rsidP="006071CF">
            <w:pPr>
              <w:spacing w:before="0" w:after="0"/>
              <w:jc w:val="left"/>
              <w:rPr>
                <w:rFonts w:eastAsia="Times New Roman" w:cs="Calibri"/>
                <w:b/>
                <w:bCs/>
                <w:sz w:val="20"/>
                <w:szCs w:val="20"/>
                <w:lang w:val="pt-PT"/>
              </w:rPr>
            </w:pPr>
          </w:p>
        </w:tc>
        <w:tc>
          <w:tcPr>
            <w:tcW w:w="1352" w:type="dxa"/>
            <w:vMerge/>
            <w:tcBorders>
              <w:top w:val="nil"/>
              <w:left w:val="single" w:sz="4" w:space="0" w:color="auto"/>
              <w:bottom w:val="single" w:sz="4" w:space="0" w:color="auto"/>
              <w:right w:val="single" w:sz="4" w:space="0" w:color="auto"/>
            </w:tcBorders>
            <w:vAlign w:val="center"/>
            <w:hideMark/>
          </w:tcPr>
          <w:p w14:paraId="05BA3BA9"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633" w:type="dxa"/>
            <w:tcBorders>
              <w:top w:val="nil"/>
              <w:left w:val="nil"/>
              <w:bottom w:val="single" w:sz="4" w:space="0" w:color="auto"/>
              <w:right w:val="single" w:sz="4" w:space="0" w:color="auto"/>
            </w:tcBorders>
            <w:shd w:val="clear" w:color="auto" w:fill="auto"/>
            <w:vAlign w:val="center"/>
            <w:hideMark/>
          </w:tcPr>
          <w:p w14:paraId="548F87DA"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Expropriação de terras deslocamento de famílias (fase de construção)</w:t>
            </w:r>
          </w:p>
        </w:tc>
        <w:tc>
          <w:tcPr>
            <w:tcW w:w="427" w:type="dxa"/>
            <w:tcBorders>
              <w:top w:val="nil"/>
              <w:left w:val="nil"/>
              <w:bottom w:val="single" w:sz="4" w:space="0" w:color="auto"/>
              <w:right w:val="single" w:sz="4" w:space="0" w:color="auto"/>
            </w:tcBorders>
            <w:shd w:val="clear" w:color="000000" w:fill="D9D9D9"/>
            <w:vAlign w:val="center"/>
            <w:hideMark/>
          </w:tcPr>
          <w:p w14:paraId="215B9EA6"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52E201B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4368F19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2C0A2B5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1D2C920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51E9E01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1446C73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7A567D2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630BFCA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5DE8C1E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4564757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39FB444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2F2F2"/>
            <w:vAlign w:val="center"/>
            <w:hideMark/>
          </w:tcPr>
          <w:p w14:paraId="7778114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40" w:type="dxa"/>
            <w:tcBorders>
              <w:top w:val="nil"/>
              <w:left w:val="nil"/>
              <w:bottom w:val="single" w:sz="4" w:space="0" w:color="auto"/>
              <w:right w:val="single" w:sz="4" w:space="0" w:color="auto"/>
            </w:tcBorders>
            <w:shd w:val="clear" w:color="000000" w:fill="D9D9D9"/>
            <w:vAlign w:val="center"/>
            <w:hideMark/>
          </w:tcPr>
          <w:p w14:paraId="543C437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50" w:type="dxa"/>
            <w:tcBorders>
              <w:top w:val="nil"/>
              <w:left w:val="nil"/>
              <w:bottom w:val="single" w:sz="4" w:space="0" w:color="auto"/>
              <w:right w:val="single" w:sz="4" w:space="0" w:color="auto"/>
            </w:tcBorders>
            <w:shd w:val="clear" w:color="000000" w:fill="D9D9D9"/>
            <w:vAlign w:val="center"/>
            <w:hideMark/>
          </w:tcPr>
          <w:p w14:paraId="26F5D2C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35" w:type="dxa"/>
            <w:tcBorders>
              <w:top w:val="nil"/>
              <w:left w:val="nil"/>
              <w:bottom w:val="single" w:sz="4" w:space="0" w:color="auto"/>
              <w:right w:val="single" w:sz="4" w:space="0" w:color="auto"/>
            </w:tcBorders>
            <w:shd w:val="clear" w:color="000000" w:fill="D9D9D9"/>
            <w:vAlign w:val="center"/>
            <w:hideMark/>
          </w:tcPr>
          <w:p w14:paraId="3FA3D0E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5" w:type="dxa"/>
            <w:tcBorders>
              <w:top w:val="nil"/>
              <w:left w:val="nil"/>
              <w:bottom w:val="single" w:sz="4" w:space="0" w:color="auto"/>
              <w:right w:val="single" w:sz="4" w:space="0" w:color="auto"/>
            </w:tcBorders>
            <w:shd w:val="clear" w:color="000000" w:fill="D9D9D9"/>
            <w:vAlign w:val="center"/>
            <w:hideMark/>
          </w:tcPr>
          <w:p w14:paraId="0A91A84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10F253E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FFF00"/>
            <w:vAlign w:val="center"/>
            <w:hideMark/>
          </w:tcPr>
          <w:p w14:paraId="3B89E57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BDD7EE"/>
            <w:vAlign w:val="center"/>
            <w:hideMark/>
          </w:tcPr>
          <w:p w14:paraId="3435D01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129D8A8A" w14:textId="77777777" w:rsidTr="00876367">
        <w:trPr>
          <w:trHeight w:val="720"/>
        </w:trPr>
        <w:tc>
          <w:tcPr>
            <w:tcW w:w="623" w:type="dxa"/>
            <w:vMerge/>
            <w:tcBorders>
              <w:top w:val="nil"/>
              <w:left w:val="single" w:sz="4" w:space="0" w:color="auto"/>
              <w:bottom w:val="single" w:sz="4" w:space="0" w:color="auto"/>
              <w:right w:val="single" w:sz="4" w:space="0" w:color="auto"/>
            </w:tcBorders>
            <w:vAlign w:val="center"/>
            <w:hideMark/>
          </w:tcPr>
          <w:p w14:paraId="1F32A4CE" w14:textId="77777777" w:rsidR="00F05E86" w:rsidRPr="004500AE" w:rsidRDefault="00F05E86" w:rsidP="006071CF">
            <w:pPr>
              <w:spacing w:before="0" w:after="0"/>
              <w:jc w:val="left"/>
              <w:rPr>
                <w:rFonts w:eastAsia="Times New Roman" w:cs="Calibri"/>
                <w:b/>
                <w:bCs/>
                <w:sz w:val="20"/>
                <w:szCs w:val="20"/>
                <w:lang w:val="pt-PT"/>
              </w:rPr>
            </w:pPr>
          </w:p>
        </w:tc>
        <w:tc>
          <w:tcPr>
            <w:tcW w:w="13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74E92569"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Influxo </w:t>
            </w:r>
          </w:p>
        </w:tc>
        <w:tc>
          <w:tcPr>
            <w:tcW w:w="2633" w:type="dxa"/>
            <w:tcBorders>
              <w:top w:val="nil"/>
              <w:left w:val="nil"/>
              <w:bottom w:val="single" w:sz="4" w:space="0" w:color="auto"/>
              <w:right w:val="single" w:sz="4" w:space="0" w:color="auto"/>
            </w:tcBorders>
            <w:shd w:val="clear" w:color="auto" w:fill="auto"/>
            <w:vAlign w:val="center"/>
            <w:hideMark/>
          </w:tcPr>
          <w:p w14:paraId="2F4D1E4A"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 xml:space="preserve">Influxo de pessoas às áreas de implementação dos </w:t>
            </w:r>
            <w:proofErr w:type="spellStart"/>
            <w:r w:rsidRPr="00292532">
              <w:rPr>
                <w:rFonts w:eastAsia="Times New Roman" w:cs="Calibri"/>
                <w:color w:val="000000"/>
                <w:sz w:val="20"/>
                <w:szCs w:val="20"/>
                <w:lang w:val="pt-PT"/>
              </w:rPr>
              <w:t>projectos</w:t>
            </w:r>
            <w:proofErr w:type="spellEnd"/>
            <w:r w:rsidRPr="00292532">
              <w:rPr>
                <w:rFonts w:eastAsia="Times New Roman" w:cs="Calibri"/>
                <w:color w:val="000000"/>
                <w:sz w:val="20"/>
                <w:szCs w:val="20"/>
                <w:lang w:val="pt-PT"/>
              </w:rPr>
              <w:t xml:space="preserve"> (fases de construção e de pré-construção)</w:t>
            </w:r>
          </w:p>
        </w:tc>
        <w:tc>
          <w:tcPr>
            <w:tcW w:w="427" w:type="dxa"/>
            <w:tcBorders>
              <w:top w:val="nil"/>
              <w:left w:val="nil"/>
              <w:bottom w:val="single" w:sz="4" w:space="0" w:color="auto"/>
              <w:right w:val="single" w:sz="4" w:space="0" w:color="auto"/>
            </w:tcBorders>
            <w:shd w:val="clear" w:color="000000" w:fill="D9D9D9"/>
            <w:vAlign w:val="center"/>
            <w:hideMark/>
          </w:tcPr>
          <w:p w14:paraId="3C8FBB26"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710B787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6019815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4D84AAA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759452C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5639D69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03EA67C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529B051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20203DF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0FF6266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712C89B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54AD4B0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2F2F2"/>
            <w:vAlign w:val="center"/>
            <w:hideMark/>
          </w:tcPr>
          <w:p w14:paraId="172492C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40" w:type="dxa"/>
            <w:tcBorders>
              <w:top w:val="nil"/>
              <w:left w:val="nil"/>
              <w:bottom w:val="single" w:sz="4" w:space="0" w:color="auto"/>
              <w:right w:val="single" w:sz="4" w:space="0" w:color="auto"/>
            </w:tcBorders>
            <w:shd w:val="clear" w:color="000000" w:fill="D9D9D9"/>
            <w:vAlign w:val="center"/>
            <w:hideMark/>
          </w:tcPr>
          <w:p w14:paraId="711FB57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D9D9D9"/>
            <w:vAlign w:val="center"/>
            <w:hideMark/>
          </w:tcPr>
          <w:p w14:paraId="6881292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35" w:type="dxa"/>
            <w:tcBorders>
              <w:top w:val="nil"/>
              <w:left w:val="nil"/>
              <w:bottom w:val="single" w:sz="4" w:space="0" w:color="auto"/>
              <w:right w:val="single" w:sz="4" w:space="0" w:color="auto"/>
            </w:tcBorders>
            <w:shd w:val="clear" w:color="000000" w:fill="D9D9D9"/>
            <w:vAlign w:val="center"/>
            <w:hideMark/>
          </w:tcPr>
          <w:p w14:paraId="3E15EEA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55" w:type="dxa"/>
            <w:tcBorders>
              <w:top w:val="nil"/>
              <w:left w:val="nil"/>
              <w:bottom w:val="single" w:sz="4" w:space="0" w:color="auto"/>
              <w:right w:val="single" w:sz="4" w:space="0" w:color="auto"/>
            </w:tcBorders>
            <w:shd w:val="clear" w:color="000000" w:fill="D9D9D9"/>
            <w:vAlign w:val="center"/>
            <w:hideMark/>
          </w:tcPr>
          <w:p w14:paraId="6A70684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755E860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4648808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FF0000"/>
            <w:vAlign w:val="center"/>
            <w:hideMark/>
          </w:tcPr>
          <w:p w14:paraId="667787B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bookmarkEnd w:id="210"/>
      <w:tr w:rsidR="00876367" w:rsidRPr="00292532" w14:paraId="0A360CBA" w14:textId="77777777" w:rsidTr="00876367">
        <w:trPr>
          <w:trHeight w:val="720"/>
        </w:trPr>
        <w:tc>
          <w:tcPr>
            <w:tcW w:w="623" w:type="dxa"/>
            <w:vMerge/>
            <w:tcBorders>
              <w:top w:val="nil"/>
              <w:left w:val="single" w:sz="4" w:space="0" w:color="auto"/>
              <w:bottom w:val="single" w:sz="4" w:space="0" w:color="auto"/>
              <w:right w:val="single" w:sz="4" w:space="0" w:color="auto"/>
            </w:tcBorders>
            <w:vAlign w:val="center"/>
            <w:hideMark/>
          </w:tcPr>
          <w:p w14:paraId="40D87F90" w14:textId="77777777" w:rsidR="00F05E86" w:rsidRPr="004500AE" w:rsidRDefault="00F05E86" w:rsidP="006071CF">
            <w:pPr>
              <w:spacing w:before="0" w:after="0"/>
              <w:jc w:val="left"/>
              <w:rPr>
                <w:rFonts w:eastAsia="Times New Roman" w:cs="Calibri"/>
                <w:b/>
                <w:bCs/>
                <w:sz w:val="20"/>
                <w:szCs w:val="20"/>
                <w:lang w:val="pt-PT"/>
              </w:rPr>
            </w:pPr>
          </w:p>
        </w:tc>
        <w:tc>
          <w:tcPr>
            <w:tcW w:w="1352" w:type="dxa"/>
            <w:vMerge/>
            <w:tcBorders>
              <w:top w:val="nil"/>
              <w:left w:val="single" w:sz="4" w:space="0" w:color="auto"/>
              <w:bottom w:val="single" w:sz="4" w:space="0" w:color="auto"/>
              <w:right w:val="single" w:sz="4" w:space="0" w:color="auto"/>
            </w:tcBorders>
            <w:vAlign w:val="center"/>
            <w:hideMark/>
          </w:tcPr>
          <w:p w14:paraId="4CA29054"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633" w:type="dxa"/>
            <w:tcBorders>
              <w:top w:val="nil"/>
              <w:left w:val="nil"/>
              <w:bottom w:val="single" w:sz="4" w:space="0" w:color="auto"/>
              <w:right w:val="single" w:sz="4" w:space="0" w:color="auto"/>
            </w:tcBorders>
            <w:shd w:val="clear" w:color="auto" w:fill="auto"/>
            <w:vAlign w:val="center"/>
            <w:hideMark/>
          </w:tcPr>
          <w:p w14:paraId="1387B844"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Elevada incidência de trabalhadores provenientes de outras regiões do País e estrangeiros (fase de construção e de pré-construção)</w:t>
            </w:r>
          </w:p>
        </w:tc>
        <w:tc>
          <w:tcPr>
            <w:tcW w:w="427" w:type="dxa"/>
            <w:tcBorders>
              <w:top w:val="nil"/>
              <w:left w:val="nil"/>
              <w:bottom w:val="single" w:sz="4" w:space="0" w:color="auto"/>
              <w:right w:val="single" w:sz="4" w:space="0" w:color="auto"/>
            </w:tcBorders>
            <w:shd w:val="clear" w:color="000000" w:fill="D9D9D9"/>
            <w:vAlign w:val="center"/>
            <w:hideMark/>
          </w:tcPr>
          <w:p w14:paraId="58B4C2B2"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299E172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30EA3F7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25921A2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7101A35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66E4B07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6E52163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5E2C735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6A526FA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779254B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43C83A9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50" w:type="dxa"/>
            <w:tcBorders>
              <w:top w:val="nil"/>
              <w:left w:val="nil"/>
              <w:bottom w:val="single" w:sz="4" w:space="0" w:color="auto"/>
              <w:right w:val="single" w:sz="4" w:space="0" w:color="auto"/>
            </w:tcBorders>
            <w:shd w:val="clear" w:color="000000" w:fill="F2F2F2"/>
            <w:vAlign w:val="center"/>
            <w:hideMark/>
          </w:tcPr>
          <w:p w14:paraId="737D359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2F2F2"/>
            <w:vAlign w:val="center"/>
            <w:hideMark/>
          </w:tcPr>
          <w:p w14:paraId="257D76D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D9D9D9"/>
            <w:vAlign w:val="center"/>
            <w:hideMark/>
          </w:tcPr>
          <w:p w14:paraId="5944C42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D9D9D9"/>
            <w:vAlign w:val="center"/>
            <w:hideMark/>
          </w:tcPr>
          <w:p w14:paraId="3E27341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35" w:type="dxa"/>
            <w:tcBorders>
              <w:top w:val="nil"/>
              <w:left w:val="nil"/>
              <w:bottom w:val="single" w:sz="4" w:space="0" w:color="auto"/>
              <w:right w:val="single" w:sz="4" w:space="0" w:color="auto"/>
            </w:tcBorders>
            <w:shd w:val="clear" w:color="000000" w:fill="D9D9D9"/>
            <w:vAlign w:val="center"/>
            <w:hideMark/>
          </w:tcPr>
          <w:p w14:paraId="01070BB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5" w:type="dxa"/>
            <w:tcBorders>
              <w:top w:val="nil"/>
              <w:left w:val="nil"/>
              <w:bottom w:val="single" w:sz="4" w:space="0" w:color="auto"/>
              <w:right w:val="single" w:sz="4" w:space="0" w:color="auto"/>
            </w:tcBorders>
            <w:shd w:val="clear" w:color="000000" w:fill="D9D9D9"/>
            <w:vAlign w:val="center"/>
            <w:hideMark/>
          </w:tcPr>
          <w:p w14:paraId="065A04E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92D050"/>
            <w:vAlign w:val="center"/>
            <w:hideMark/>
          </w:tcPr>
          <w:p w14:paraId="467B41C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01973A2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BDD7EE"/>
            <w:vAlign w:val="center"/>
            <w:hideMark/>
          </w:tcPr>
          <w:p w14:paraId="219FCAD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369B1479" w14:textId="77777777" w:rsidTr="00876367">
        <w:trPr>
          <w:trHeight w:val="720"/>
        </w:trPr>
        <w:tc>
          <w:tcPr>
            <w:tcW w:w="623" w:type="dxa"/>
            <w:vMerge/>
            <w:tcBorders>
              <w:top w:val="nil"/>
              <w:left w:val="single" w:sz="4" w:space="0" w:color="auto"/>
              <w:bottom w:val="single" w:sz="4" w:space="0" w:color="auto"/>
              <w:right w:val="single" w:sz="4" w:space="0" w:color="auto"/>
            </w:tcBorders>
            <w:vAlign w:val="center"/>
            <w:hideMark/>
          </w:tcPr>
          <w:p w14:paraId="56930064" w14:textId="77777777" w:rsidR="00F05E86" w:rsidRPr="004500AE" w:rsidRDefault="00F05E86" w:rsidP="006071CF">
            <w:pPr>
              <w:spacing w:before="0" w:after="0"/>
              <w:jc w:val="left"/>
              <w:rPr>
                <w:rFonts w:eastAsia="Times New Roman" w:cs="Calibri"/>
                <w:b/>
                <w:bCs/>
                <w:sz w:val="20"/>
                <w:szCs w:val="20"/>
                <w:lang w:val="pt-PT"/>
              </w:rPr>
            </w:pPr>
          </w:p>
        </w:tc>
        <w:tc>
          <w:tcPr>
            <w:tcW w:w="13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6082E317"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Serviços e infraestruturas públicas </w:t>
            </w:r>
          </w:p>
        </w:tc>
        <w:tc>
          <w:tcPr>
            <w:tcW w:w="2633" w:type="dxa"/>
            <w:tcBorders>
              <w:top w:val="nil"/>
              <w:left w:val="nil"/>
              <w:bottom w:val="single" w:sz="4" w:space="0" w:color="auto"/>
              <w:right w:val="single" w:sz="4" w:space="0" w:color="auto"/>
            </w:tcBorders>
            <w:shd w:val="clear" w:color="auto" w:fill="auto"/>
            <w:vAlign w:val="center"/>
            <w:hideMark/>
          </w:tcPr>
          <w:p w14:paraId="184EDAF3"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Interferências nas redes de serviços de utilidade pública (fase de construção)</w:t>
            </w:r>
          </w:p>
        </w:tc>
        <w:tc>
          <w:tcPr>
            <w:tcW w:w="427" w:type="dxa"/>
            <w:tcBorders>
              <w:top w:val="nil"/>
              <w:left w:val="nil"/>
              <w:bottom w:val="single" w:sz="4" w:space="0" w:color="auto"/>
              <w:right w:val="single" w:sz="4" w:space="0" w:color="auto"/>
            </w:tcBorders>
            <w:shd w:val="clear" w:color="000000" w:fill="D9D9D9"/>
            <w:vAlign w:val="center"/>
            <w:hideMark/>
          </w:tcPr>
          <w:p w14:paraId="24325DD7"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3B46D87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27EB6BD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0D95787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3A3C3BA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33C8A91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340BBF2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41B044C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224B86C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467F074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1247912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5E9854E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2F2F2"/>
            <w:vAlign w:val="center"/>
            <w:hideMark/>
          </w:tcPr>
          <w:p w14:paraId="14FD92D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D9D9D9"/>
            <w:vAlign w:val="center"/>
            <w:hideMark/>
          </w:tcPr>
          <w:p w14:paraId="5EF7C83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D9D9D9"/>
            <w:vAlign w:val="center"/>
            <w:hideMark/>
          </w:tcPr>
          <w:p w14:paraId="62C85B4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35" w:type="dxa"/>
            <w:tcBorders>
              <w:top w:val="nil"/>
              <w:left w:val="nil"/>
              <w:bottom w:val="single" w:sz="4" w:space="0" w:color="auto"/>
              <w:right w:val="single" w:sz="4" w:space="0" w:color="auto"/>
            </w:tcBorders>
            <w:shd w:val="clear" w:color="000000" w:fill="D9D9D9"/>
            <w:vAlign w:val="center"/>
            <w:hideMark/>
          </w:tcPr>
          <w:p w14:paraId="3B621A8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5" w:type="dxa"/>
            <w:tcBorders>
              <w:top w:val="nil"/>
              <w:left w:val="nil"/>
              <w:bottom w:val="single" w:sz="4" w:space="0" w:color="auto"/>
              <w:right w:val="single" w:sz="4" w:space="0" w:color="auto"/>
            </w:tcBorders>
            <w:shd w:val="clear" w:color="000000" w:fill="D9D9D9"/>
            <w:vAlign w:val="center"/>
            <w:hideMark/>
          </w:tcPr>
          <w:p w14:paraId="3DA0197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41FE9A9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FFF00"/>
            <w:vAlign w:val="center"/>
            <w:hideMark/>
          </w:tcPr>
          <w:p w14:paraId="5F7D65F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BDD7EE"/>
            <w:vAlign w:val="center"/>
            <w:hideMark/>
          </w:tcPr>
          <w:p w14:paraId="68BD05F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58EDB611" w14:textId="77777777" w:rsidTr="00876367">
        <w:trPr>
          <w:trHeight w:val="720"/>
        </w:trPr>
        <w:tc>
          <w:tcPr>
            <w:tcW w:w="623" w:type="dxa"/>
            <w:vMerge/>
            <w:tcBorders>
              <w:top w:val="nil"/>
              <w:left w:val="single" w:sz="4" w:space="0" w:color="auto"/>
              <w:bottom w:val="single" w:sz="4" w:space="0" w:color="auto"/>
              <w:right w:val="single" w:sz="4" w:space="0" w:color="auto"/>
            </w:tcBorders>
            <w:vAlign w:val="center"/>
            <w:hideMark/>
          </w:tcPr>
          <w:p w14:paraId="766D38D3" w14:textId="77777777" w:rsidR="00F05E86" w:rsidRPr="004500AE" w:rsidRDefault="00F05E86" w:rsidP="006071CF">
            <w:pPr>
              <w:spacing w:before="0" w:after="0"/>
              <w:jc w:val="left"/>
              <w:rPr>
                <w:rFonts w:eastAsia="Times New Roman" w:cs="Calibri"/>
                <w:b/>
                <w:bCs/>
                <w:sz w:val="20"/>
                <w:szCs w:val="20"/>
                <w:lang w:val="pt-PT"/>
              </w:rPr>
            </w:pPr>
          </w:p>
        </w:tc>
        <w:tc>
          <w:tcPr>
            <w:tcW w:w="1352" w:type="dxa"/>
            <w:vMerge/>
            <w:tcBorders>
              <w:top w:val="nil"/>
              <w:left w:val="single" w:sz="4" w:space="0" w:color="auto"/>
              <w:bottom w:val="single" w:sz="4" w:space="0" w:color="auto"/>
              <w:right w:val="single" w:sz="4" w:space="0" w:color="auto"/>
            </w:tcBorders>
            <w:vAlign w:val="center"/>
            <w:hideMark/>
          </w:tcPr>
          <w:p w14:paraId="5729F2CF"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633" w:type="dxa"/>
            <w:tcBorders>
              <w:top w:val="nil"/>
              <w:left w:val="nil"/>
              <w:bottom w:val="single" w:sz="4" w:space="0" w:color="auto"/>
              <w:right w:val="single" w:sz="4" w:space="0" w:color="auto"/>
            </w:tcBorders>
            <w:shd w:val="clear" w:color="auto" w:fill="auto"/>
            <w:vAlign w:val="center"/>
            <w:hideMark/>
          </w:tcPr>
          <w:p w14:paraId="7F54C849"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Aquisição acrescida (fase de construção)</w:t>
            </w:r>
          </w:p>
        </w:tc>
        <w:tc>
          <w:tcPr>
            <w:tcW w:w="427" w:type="dxa"/>
            <w:tcBorders>
              <w:top w:val="nil"/>
              <w:left w:val="nil"/>
              <w:bottom w:val="single" w:sz="4" w:space="0" w:color="auto"/>
              <w:right w:val="single" w:sz="4" w:space="0" w:color="auto"/>
            </w:tcBorders>
            <w:shd w:val="clear" w:color="000000" w:fill="D9D9D9"/>
            <w:vAlign w:val="center"/>
            <w:hideMark/>
          </w:tcPr>
          <w:p w14:paraId="7294979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4988A4D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1A27D6D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0569EC0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4B91381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1D2198E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2CF2D75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7B3CECA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6B4F31F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583C70E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21C3185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548AA39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2F2F2"/>
            <w:vAlign w:val="center"/>
            <w:hideMark/>
          </w:tcPr>
          <w:p w14:paraId="65B1CE3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D9D9D9"/>
            <w:vAlign w:val="center"/>
            <w:hideMark/>
          </w:tcPr>
          <w:p w14:paraId="7140D3F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D9D9D9"/>
            <w:vAlign w:val="center"/>
            <w:hideMark/>
          </w:tcPr>
          <w:p w14:paraId="5F10AF9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35" w:type="dxa"/>
            <w:tcBorders>
              <w:top w:val="nil"/>
              <w:left w:val="nil"/>
              <w:bottom w:val="single" w:sz="4" w:space="0" w:color="auto"/>
              <w:right w:val="single" w:sz="4" w:space="0" w:color="auto"/>
            </w:tcBorders>
            <w:shd w:val="clear" w:color="000000" w:fill="D9D9D9"/>
            <w:vAlign w:val="center"/>
            <w:hideMark/>
          </w:tcPr>
          <w:p w14:paraId="1E2C9C8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5" w:type="dxa"/>
            <w:tcBorders>
              <w:top w:val="nil"/>
              <w:left w:val="nil"/>
              <w:bottom w:val="single" w:sz="4" w:space="0" w:color="auto"/>
              <w:right w:val="single" w:sz="4" w:space="0" w:color="auto"/>
            </w:tcBorders>
            <w:shd w:val="clear" w:color="000000" w:fill="D9D9D9"/>
            <w:vAlign w:val="center"/>
            <w:hideMark/>
          </w:tcPr>
          <w:p w14:paraId="307EBA9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08CA20B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FFF00"/>
            <w:vAlign w:val="center"/>
            <w:hideMark/>
          </w:tcPr>
          <w:p w14:paraId="4D567DE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BDD7EE"/>
            <w:vAlign w:val="center"/>
            <w:hideMark/>
          </w:tcPr>
          <w:p w14:paraId="0A28C3D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203D4DE9" w14:textId="77777777" w:rsidTr="00876367">
        <w:trPr>
          <w:trHeight w:val="720"/>
        </w:trPr>
        <w:tc>
          <w:tcPr>
            <w:tcW w:w="623" w:type="dxa"/>
            <w:vMerge/>
            <w:tcBorders>
              <w:top w:val="nil"/>
              <w:left w:val="single" w:sz="4" w:space="0" w:color="auto"/>
              <w:bottom w:val="single" w:sz="4" w:space="0" w:color="auto"/>
              <w:right w:val="single" w:sz="4" w:space="0" w:color="auto"/>
            </w:tcBorders>
            <w:vAlign w:val="center"/>
            <w:hideMark/>
          </w:tcPr>
          <w:p w14:paraId="326E9566" w14:textId="77777777" w:rsidR="00F05E86" w:rsidRPr="004500AE" w:rsidRDefault="00F05E86" w:rsidP="006071CF">
            <w:pPr>
              <w:spacing w:before="0" w:after="0"/>
              <w:jc w:val="left"/>
              <w:rPr>
                <w:rFonts w:eastAsia="Times New Roman" w:cs="Calibri"/>
                <w:b/>
                <w:bCs/>
                <w:sz w:val="20"/>
                <w:szCs w:val="20"/>
                <w:lang w:val="pt-PT"/>
              </w:rPr>
            </w:pPr>
          </w:p>
        </w:tc>
        <w:tc>
          <w:tcPr>
            <w:tcW w:w="13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5766411F"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Tráfego rodoviário</w:t>
            </w:r>
          </w:p>
        </w:tc>
        <w:tc>
          <w:tcPr>
            <w:tcW w:w="2633" w:type="dxa"/>
            <w:tcBorders>
              <w:top w:val="nil"/>
              <w:left w:val="nil"/>
              <w:bottom w:val="single" w:sz="4" w:space="0" w:color="auto"/>
              <w:right w:val="single" w:sz="4" w:space="0" w:color="auto"/>
            </w:tcBorders>
            <w:shd w:val="clear" w:color="auto" w:fill="auto"/>
            <w:vAlign w:val="center"/>
            <w:hideMark/>
          </w:tcPr>
          <w:p w14:paraId="08DD1EA7"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 xml:space="preserve">Aumento do volume de tráfego (todas as fases do </w:t>
            </w:r>
            <w:proofErr w:type="spellStart"/>
            <w:r w:rsidRPr="00292532">
              <w:rPr>
                <w:rFonts w:eastAsia="Times New Roman" w:cs="Calibri"/>
                <w:color w:val="000000"/>
                <w:sz w:val="20"/>
                <w:szCs w:val="20"/>
                <w:lang w:val="pt-PT"/>
              </w:rPr>
              <w:t>Projecto</w:t>
            </w:r>
            <w:proofErr w:type="spellEnd"/>
            <w:r w:rsidRPr="00292532">
              <w:rPr>
                <w:rFonts w:eastAsia="Times New Roman" w:cs="Calibri"/>
                <w:color w:val="000000"/>
                <w:sz w:val="20"/>
                <w:szCs w:val="20"/>
                <w:lang w:val="pt-PT"/>
              </w:rPr>
              <w:t>)</w:t>
            </w:r>
          </w:p>
        </w:tc>
        <w:tc>
          <w:tcPr>
            <w:tcW w:w="427" w:type="dxa"/>
            <w:tcBorders>
              <w:top w:val="nil"/>
              <w:left w:val="nil"/>
              <w:bottom w:val="single" w:sz="4" w:space="0" w:color="auto"/>
              <w:right w:val="single" w:sz="4" w:space="0" w:color="auto"/>
            </w:tcBorders>
            <w:shd w:val="clear" w:color="000000" w:fill="D9D9D9"/>
            <w:vAlign w:val="center"/>
            <w:hideMark/>
          </w:tcPr>
          <w:p w14:paraId="25ED9EB9"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27EEDF9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1203BF0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34C3507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43F2F3E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5A836C0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7ED478E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382FE5E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2093A59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5B45319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088BE7C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7A47EED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2F2F2"/>
            <w:vAlign w:val="center"/>
            <w:hideMark/>
          </w:tcPr>
          <w:p w14:paraId="34A3CD9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D9D9D9"/>
            <w:vAlign w:val="center"/>
            <w:hideMark/>
          </w:tcPr>
          <w:p w14:paraId="0B12AE9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D9D9D9"/>
            <w:vAlign w:val="center"/>
            <w:hideMark/>
          </w:tcPr>
          <w:p w14:paraId="66C17C9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35" w:type="dxa"/>
            <w:tcBorders>
              <w:top w:val="nil"/>
              <w:left w:val="nil"/>
              <w:bottom w:val="single" w:sz="4" w:space="0" w:color="auto"/>
              <w:right w:val="single" w:sz="4" w:space="0" w:color="auto"/>
            </w:tcBorders>
            <w:shd w:val="clear" w:color="000000" w:fill="D9D9D9"/>
            <w:vAlign w:val="center"/>
            <w:hideMark/>
          </w:tcPr>
          <w:p w14:paraId="27D4EE7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5" w:type="dxa"/>
            <w:tcBorders>
              <w:top w:val="nil"/>
              <w:left w:val="nil"/>
              <w:bottom w:val="single" w:sz="4" w:space="0" w:color="auto"/>
              <w:right w:val="single" w:sz="4" w:space="0" w:color="auto"/>
            </w:tcBorders>
            <w:shd w:val="clear" w:color="000000" w:fill="D9D9D9"/>
            <w:vAlign w:val="center"/>
            <w:hideMark/>
          </w:tcPr>
          <w:p w14:paraId="2ECC332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50" w:type="dxa"/>
            <w:tcBorders>
              <w:top w:val="nil"/>
              <w:left w:val="nil"/>
              <w:bottom w:val="single" w:sz="4" w:space="0" w:color="auto"/>
              <w:right w:val="single" w:sz="4" w:space="0" w:color="auto"/>
            </w:tcBorders>
            <w:shd w:val="clear" w:color="000000" w:fill="BDD7EE"/>
            <w:vAlign w:val="center"/>
            <w:hideMark/>
          </w:tcPr>
          <w:p w14:paraId="6AD236C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1D8D510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FF0000"/>
            <w:vAlign w:val="center"/>
            <w:hideMark/>
          </w:tcPr>
          <w:p w14:paraId="516B663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6D1EE563" w14:textId="77777777" w:rsidTr="00876367">
        <w:trPr>
          <w:trHeight w:val="720"/>
        </w:trPr>
        <w:tc>
          <w:tcPr>
            <w:tcW w:w="623" w:type="dxa"/>
            <w:vMerge/>
            <w:tcBorders>
              <w:top w:val="nil"/>
              <w:left w:val="single" w:sz="4" w:space="0" w:color="auto"/>
              <w:bottom w:val="single" w:sz="4" w:space="0" w:color="auto"/>
              <w:right w:val="single" w:sz="4" w:space="0" w:color="auto"/>
            </w:tcBorders>
            <w:vAlign w:val="center"/>
            <w:hideMark/>
          </w:tcPr>
          <w:p w14:paraId="6AE295C5" w14:textId="77777777" w:rsidR="00F05E86" w:rsidRPr="004500AE" w:rsidRDefault="00F05E86" w:rsidP="006071CF">
            <w:pPr>
              <w:spacing w:before="0" w:after="0"/>
              <w:jc w:val="left"/>
              <w:rPr>
                <w:rFonts w:eastAsia="Times New Roman" w:cs="Calibri"/>
                <w:b/>
                <w:bCs/>
                <w:sz w:val="20"/>
                <w:szCs w:val="20"/>
                <w:lang w:val="pt-PT"/>
              </w:rPr>
            </w:pPr>
          </w:p>
        </w:tc>
        <w:tc>
          <w:tcPr>
            <w:tcW w:w="1352" w:type="dxa"/>
            <w:vMerge/>
            <w:tcBorders>
              <w:top w:val="nil"/>
              <w:left w:val="single" w:sz="4" w:space="0" w:color="auto"/>
              <w:bottom w:val="single" w:sz="4" w:space="0" w:color="auto"/>
              <w:right w:val="single" w:sz="4" w:space="0" w:color="auto"/>
            </w:tcBorders>
            <w:vAlign w:val="center"/>
            <w:hideMark/>
          </w:tcPr>
          <w:p w14:paraId="11989444"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633" w:type="dxa"/>
            <w:tcBorders>
              <w:top w:val="nil"/>
              <w:left w:val="nil"/>
              <w:bottom w:val="single" w:sz="4" w:space="0" w:color="auto"/>
              <w:right w:val="single" w:sz="4" w:space="0" w:color="auto"/>
            </w:tcBorders>
            <w:shd w:val="clear" w:color="auto" w:fill="auto"/>
            <w:vAlign w:val="center"/>
            <w:hideMark/>
          </w:tcPr>
          <w:p w14:paraId="257CA52F"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 xml:space="preserve">Acidentes rodoviários (todas as fases do </w:t>
            </w:r>
            <w:proofErr w:type="spellStart"/>
            <w:r w:rsidRPr="00292532">
              <w:rPr>
                <w:rFonts w:eastAsia="Times New Roman" w:cs="Calibri"/>
                <w:color w:val="000000"/>
                <w:sz w:val="20"/>
                <w:szCs w:val="20"/>
                <w:lang w:val="pt-PT"/>
              </w:rPr>
              <w:t>Projecto</w:t>
            </w:r>
            <w:proofErr w:type="spellEnd"/>
            <w:r w:rsidRPr="00292532">
              <w:rPr>
                <w:rFonts w:eastAsia="Times New Roman" w:cs="Calibri"/>
                <w:color w:val="000000"/>
                <w:sz w:val="20"/>
                <w:szCs w:val="20"/>
                <w:lang w:val="pt-PT"/>
              </w:rPr>
              <w:t>)</w:t>
            </w:r>
          </w:p>
        </w:tc>
        <w:tc>
          <w:tcPr>
            <w:tcW w:w="427" w:type="dxa"/>
            <w:tcBorders>
              <w:top w:val="nil"/>
              <w:left w:val="nil"/>
              <w:bottom w:val="single" w:sz="4" w:space="0" w:color="auto"/>
              <w:right w:val="single" w:sz="4" w:space="0" w:color="auto"/>
            </w:tcBorders>
            <w:shd w:val="clear" w:color="000000" w:fill="D9D9D9"/>
            <w:vAlign w:val="center"/>
            <w:hideMark/>
          </w:tcPr>
          <w:p w14:paraId="39D9C38E"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7230035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36FDEC6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4662777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4A8EFB5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6A4CCE8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1F9D264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6AD1717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7FF9D01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2DB2079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21DAB72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5EB01D1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2F2F2"/>
            <w:vAlign w:val="center"/>
            <w:hideMark/>
          </w:tcPr>
          <w:p w14:paraId="2558ECB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40" w:type="dxa"/>
            <w:tcBorders>
              <w:top w:val="nil"/>
              <w:left w:val="nil"/>
              <w:bottom w:val="single" w:sz="4" w:space="0" w:color="auto"/>
              <w:right w:val="single" w:sz="4" w:space="0" w:color="auto"/>
            </w:tcBorders>
            <w:shd w:val="clear" w:color="000000" w:fill="D9D9D9"/>
            <w:vAlign w:val="center"/>
            <w:hideMark/>
          </w:tcPr>
          <w:p w14:paraId="5F7E483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D9D9D9"/>
            <w:vAlign w:val="center"/>
            <w:hideMark/>
          </w:tcPr>
          <w:p w14:paraId="0AA5BCC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35" w:type="dxa"/>
            <w:tcBorders>
              <w:top w:val="nil"/>
              <w:left w:val="nil"/>
              <w:bottom w:val="single" w:sz="4" w:space="0" w:color="auto"/>
              <w:right w:val="single" w:sz="4" w:space="0" w:color="auto"/>
            </w:tcBorders>
            <w:shd w:val="clear" w:color="000000" w:fill="D9D9D9"/>
            <w:vAlign w:val="center"/>
            <w:hideMark/>
          </w:tcPr>
          <w:p w14:paraId="1348D54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5" w:type="dxa"/>
            <w:tcBorders>
              <w:top w:val="nil"/>
              <w:left w:val="nil"/>
              <w:bottom w:val="single" w:sz="4" w:space="0" w:color="auto"/>
              <w:right w:val="single" w:sz="4" w:space="0" w:color="auto"/>
            </w:tcBorders>
            <w:shd w:val="clear" w:color="000000" w:fill="D9D9D9"/>
            <w:vAlign w:val="center"/>
            <w:hideMark/>
          </w:tcPr>
          <w:p w14:paraId="6C29A46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14941CE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FFF00"/>
            <w:vAlign w:val="center"/>
            <w:hideMark/>
          </w:tcPr>
          <w:p w14:paraId="11262AA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BDD7EE"/>
            <w:vAlign w:val="center"/>
            <w:hideMark/>
          </w:tcPr>
          <w:p w14:paraId="003E325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32300F78" w14:textId="77777777" w:rsidTr="00876367">
        <w:trPr>
          <w:trHeight w:val="720"/>
        </w:trPr>
        <w:tc>
          <w:tcPr>
            <w:tcW w:w="623" w:type="dxa"/>
            <w:vMerge/>
            <w:tcBorders>
              <w:top w:val="nil"/>
              <w:left w:val="single" w:sz="4" w:space="0" w:color="auto"/>
              <w:bottom w:val="single" w:sz="4" w:space="0" w:color="auto"/>
              <w:right w:val="single" w:sz="4" w:space="0" w:color="auto"/>
            </w:tcBorders>
            <w:vAlign w:val="center"/>
            <w:hideMark/>
          </w:tcPr>
          <w:p w14:paraId="5552EB5F" w14:textId="77777777" w:rsidR="00F05E86" w:rsidRPr="004500AE" w:rsidRDefault="00F05E86" w:rsidP="006071CF">
            <w:pPr>
              <w:spacing w:before="0" w:after="0"/>
              <w:jc w:val="left"/>
              <w:rPr>
                <w:rFonts w:eastAsia="Times New Roman" w:cs="Calibri"/>
                <w:b/>
                <w:bCs/>
                <w:sz w:val="20"/>
                <w:szCs w:val="20"/>
                <w:lang w:val="pt-PT"/>
              </w:rPr>
            </w:pPr>
          </w:p>
        </w:tc>
        <w:tc>
          <w:tcPr>
            <w:tcW w:w="1352" w:type="dxa"/>
            <w:tcBorders>
              <w:top w:val="nil"/>
              <w:left w:val="nil"/>
              <w:bottom w:val="single" w:sz="4" w:space="0" w:color="auto"/>
              <w:right w:val="single" w:sz="4" w:space="0" w:color="auto"/>
            </w:tcBorders>
            <w:shd w:val="clear" w:color="000000" w:fill="FFFFFF"/>
            <w:vAlign w:val="center"/>
            <w:hideMark/>
          </w:tcPr>
          <w:p w14:paraId="691C6CA8"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Património Cultural </w:t>
            </w:r>
          </w:p>
        </w:tc>
        <w:tc>
          <w:tcPr>
            <w:tcW w:w="2633" w:type="dxa"/>
            <w:tcBorders>
              <w:top w:val="nil"/>
              <w:left w:val="nil"/>
              <w:bottom w:val="single" w:sz="4" w:space="0" w:color="auto"/>
              <w:right w:val="single" w:sz="4" w:space="0" w:color="auto"/>
            </w:tcBorders>
            <w:shd w:val="clear" w:color="auto" w:fill="auto"/>
            <w:vAlign w:val="center"/>
            <w:hideMark/>
          </w:tcPr>
          <w:p w14:paraId="02815E5F"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Interferência com os recursos de património cultural (fase de construção e de pré-construção)</w:t>
            </w:r>
          </w:p>
        </w:tc>
        <w:tc>
          <w:tcPr>
            <w:tcW w:w="427" w:type="dxa"/>
            <w:tcBorders>
              <w:top w:val="nil"/>
              <w:left w:val="nil"/>
              <w:bottom w:val="single" w:sz="4" w:space="0" w:color="auto"/>
              <w:right w:val="single" w:sz="4" w:space="0" w:color="auto"/>
            </w:tcBorders>
            <w:shd w:val="clear" w:color="000000" w:fill="D9D9D9"/>
            <w:vAlign w:val="center"/>
            <w:hideMark/>
          </w:tcPr>
          <w:p w14:paraId="380E2739"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12037ED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2B25D36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652AD87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37BF888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49E666F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2708A7C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1218A6C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56C1F57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69F25DF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120B01F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4B56BCD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2F2F2"/>
            <w:vAlign w:val="center"/>
            <w:hideMark/>
          </w:tcPr>
          <w:p w14:paraId="59975DB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40" w:type="dxa"/>
            <w:tcBorders>
              <w:top w:val="nil"/>
              <w:left w:val="nil"/>
              <w:bottom w:val="single" w:sz="4" w:space="0" w:color="auto"/>
              <w:right w:val="single" w:sz="4" w:space="0" w:color="auto"/>
            </w:tcBorders>
            <w:shd w:val="clear" w:color="000000" w:fill="D9D9D9"/>
            <w:vAlign w:val="center"/>
            <w:hideMark/>
          </w:tcPr>
          <w:p w14:paraId="1EF33EF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D9D9D9"/>
            <w:vAlign w:val="center"/>
            <w:hideMark/>
          </w:tcPr>
          <w:p w14:paraId="74C3BC3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35" w:type="dxa"/>
            <w:tcBorders>
              <w:top w:val="nil"/>
              <w:left w:val="nil"/>
              <w:bottom w:val="single" w:sz="4" w:space="0" w:color="auto"/>
              <w:right w:val="single" w:sz="4" w:space="0" w:color="auto"/>
            </w:tcBorders>
            <w:shd w:val="clear" w:color="000000" w:fill="D9D9D9"/>
            <w:vAlign w:val="center"/>
            <w:hideMark/>
          </w:tcPr>
          <w:p w14:paraId="141830B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5" w:type="dxa"/>
            <w:tcBorders>
              <w:top w:val="nil"/>
              <w:left w:val="nil"/>
              <w:bottom w:val="single" w:sz="4" w:space="0" w:color="auto"/>
              <w:right w:val="single" w:sz="4" w:space="0" w:color="auto"/>
            </w:tcBorders>
            <w:shd w:val="clear" w:color="000000" w:fill="D9D9D9"/>
            <w:vAlign w:val="center"/>
            <w:hideMark/>
          </w:tcPr>
          <w:p w14:paraId="7F11D93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6AC7BD3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FFF00"/>
            <w:vAlign w:val="center"/>
            <w:hideMark/>
          </w:tcPr>
          <w:p w14:paraId="0BB1FE4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BDD7EE"/>
            <w:vAlign w:val="center"/>
            <w:hideMark/>
          </w:tcPr>
          <w:p w14:paraId="4675D9C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4543D52B" w14:textId="77777777" w:rsidTr="00876367">
        <w:trPr>
          <w:trHeight w:val="720"/>
        </w:trPr>
        <w:tc>
          <w:tcPr>
            <w:tcW w:w="623" w:type="dxa"/>
            <w:vMerge/>
            <w:tcBorders>
              <w:top w:val="nil"/>
              <w:left w:val="single" w:sz="4" w:space="0" w:color="auto"/>
              <w:bottom w:val="single" w:sz="4" w:space="0" w:color="auto"/>
              <w:right w:val="single" w:sz="4" w:space="0" w:color="auto"/>
            </w:tcBorders>
            <w:vAlign w:val="center"/>
            <w:hideMark/>
          </w:tcPr>
          <w:p w14:paraId="78CE2B35" w14:textId="77777777" w:rsidR="00F05E86" w:rsidRPr="004500AE" w:rsidRDefault="00F05E86" w:rsidP="006071CF">
            <w:pPr>
              <w:spacing w:before="0" w:after="0"/>
              <w:jc w:val="left"/>
              <w:rPr>
                <w:rFonts w:eastAsia="Times New Roman" w:cs="Calibri"/>
                <w:b/>
                <w:bCs/>
                <w:sz w:val="20"/>
                <w:szCs w:val="20"/>
                <w:lang w:val="pt-PT"/>
              </w:rPr>
            </w:pPr>
          </w:p>
        </w:tc>
        <w:tc>
          <w:tcPr>
            <w:tcW w:w="1352" w:type="dxa"/>
            <w:tcBorders>
              <w:top w:val="nil"/>
              <w:left w:val="nil"/>
              <w:bottom w:val="single" w:sz="4" w:space="0" w:color="auto"/>
              <w:right w:val="single" w:sz="4" w:space="0" w:color="auto"/>
            </w:tcBorders>
            <w:shd w:val="clear" w:color="000000" w:fill="FFFFFF"/>
            <w:vAlign w:val="center"/>
            <w:hideMark/>
          </w:tcPr>
          <w:p w14:paraId="185C8E70"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Custo de vida</w:t>
            </w:r>
          </w:p>
        </w:tc>
        <w:tc>
          <w:tcPr>
            <w:tcW w:w="2633" w:type="dxa"/>
            <w:tcBorders>
              <w:top w:val="nil"/>
              <w:left w:val="nil"/>
              <w:bottom w:val="single" w:sz="4" w:space="0" w:color="auto"/>
              <w:right w:val="single" w:sz="4" w:space="0" w:color="auto"/>
            </w:tcBorders>
            <w:shd w:val="clear" w:color="auto" w:fill="auto"/>
            <w:vAlign w:val="center"/>
            <w:hideMark/>
          </w:tcPr>
          <w:p w14:paraId="31D10DAB"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Risco de oscilação de preços (inflação) de bens materiais e alimentícios (Fase de construção)</w:t>
            </w:r>
          </w:p>
        </w:tc>
        <w:tc>
          <w:tcPr>
            <w:tcW w:w="427" w:type="dxa"/>
            <w:tcBorders>
              <w:top w:val="nil"/>
              <w:left w:val="nil"/>
              <w:bottom w:val="single" w:sz="4" w:space="0" w:color="auto"/>
              <w:right w:val="single" w:sz="4" w:space="0" w:color="auto"/>
            </w:tcBorders>
            <w:shd w:val="clear" w:color="000000" w:fill="D9D9D9"/>
            <w:vAlign w:val="center"/>
            <w:hideMark/>
          </w:tcPr>
          <w:p w14:paraId="3C062EB1"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543A006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502E9A4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26E08ED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0FD4EF8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76F4E51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2C05197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5AAEC4F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7DC736A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5E88BFB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3F2EE27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04B297B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2F2F2"/>
            <w:vAlign w:val="center"/>
            <w:hideMark/>
          </w:tcPr>
          <w:p w14:paraId="52723E7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D9D9D9"/>
            <w:vAlign w:val="center"/>
            <w:hideMark/>
          </w:tcPr>
          <w:p w14:paraId="03D2201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D9D9D9"/>
            <w:vAlign w:val="center"/>
            <w:hideMark/>
          </w:tcPr>
          <w:p w14:paraId="2F24C35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35" w:type="dxa"/>
            <w:tcBorders>
              <w:top w:val="nil"/>
              <w:left w:val="nil"/>
              <w:bottom w:val="single" w:sz="4" w:space="0" w:color="auto"/>
              <w:right w:val="single" w:sz="4" w:space="0" w:color="auto"/>
            </w:tcBorders>
            <w:shd w:val="clear" w:color="000000" w:fill="D9D9D9"/>
            <w:vAlign w:val="center"/>
            <w:hideMark/>
          </w:tcPr>
          <w:p w14:paraId="30664C3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5" w:type="dxa"/>
            <w:tcBorders>
              <w:top w:val="nil"/>
              <w:left w:val="nil"/>
              <w:bottom w:val="single" w:sz="4" w:space="0" w:color="auto"/>
              <w:right w:val="single" w:sz="4" w:space="0" w:color="auto"/>
            </w:tcBorders>
            <w:shd w:val="clear" w:color="000000" w:fill="D9D9D9"/>
            <w:vAlign w:val="center"/>
            <w:hideMark/>
          </w:tcPr>
          <w:p w14:paraId="5F87175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92D050"/>
            <w:vAlign w:val="center"/>
            <w:hideMark/>
          </w:tcPr>
          <w:p w14:paraId="5C96A53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1A4D158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BDD7EE"/>
            <w:vAlign w:val="center"/>
            <w:hideMark/>
          </w:tcPr>
          <w:p w14:paraId="1A40DBF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471F0866" w14:textId="77777777" w:rsidTr="00876367">
        <w:trPr>
          <w:trHeight w:val="720"/>
        </w:trPr>
        <w:tc>
          <w:tcPr>
            <w:tcW w:w="623" w:type="dxa"/>
            <w:vMerge/>
            <w:tcBorders>
              <w:top w:val="nil"/>
              <w:left w:val="single" w:sz="4" w:space="0" w:color="auto"/>
              <w:bottom w:val="single" w:sz="4" w:space="0" w:color="auto"/>
              <w:right w:val="single" w:sz="4" w:space="0" w:color="auto"/>
            </w:tcBorders>
            <w:vAlign w:val="center"/>
            <w:hideMark/>
          </w:tcPr>
          <w:p w14:paraId="5655BA2C" w14:textId="77777777" w:rsidR="00F05E86" w:rsidRPr="004500AE" w:rsidRDefault="00F05E86" w:rsidP="006071CF">
            <w:pPr>
              <w:spacing w:before="0" w:after="0"/>
              <w:jc w:val="left"/>
              <w:rPr>
                <w:rFonts w:eastAsia="Times New Roman" w:cs="Calibri"/>
                <w:b/>
                <w:bCs/>
                <w:sz w:val="20"/>
                <w:szCs w:val="20"/>
                <w:lang w:val="pt-PT"/>
              </w:rPr>
            </w:pPr>
          </w:p>
        </w:tc>
        <w:tc>
          <w:tcPr>
            <w:tcW w:w="13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31D404E0"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 xml:space="preserve">Economia local </w:t>
            </w:r>
          </w:p>
        </w:tc>
        <w:tc>
          <w:tcPr>
            <w:tcW w:w="2633" w:type="dxa"/>
            <w:tcBorders>
              <w:top w:val="nil"/>
              <w:left w:val="nil"/>
              <w:bottom w:val="single" w:sz="4" w:space="0" w:color="auto"/>
              <w:right w:val="single" w:sz="4" w:space="0" w:color="auto"/>
            </w:tcBorders>
            <w:shd w:val="clear" w:color="auto" w:fill="auto"/>
            <w:vAlign w:val="center"/>
            <w:hideMark/>
          </w:tcPr>
          <w:p w14:paraId="2DCBC584"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Aumento de arrecadação fiscal (fase de construção e de operação)</w:t>
            </w:r>
          </w:p>
        </w:tc>
        <w:tc>
          <w:tcPr>
            <w:tcW w:w="427" w:type="dxa"/>
            <w:tcBorders>
              <w:top w:val="nil"/>
              <w:left w:val="nil"/>
              <w:bottom w:val="single" w:sz="4" w:space="0" w:color="auto"/>
              <w:right w:val="single" w:sz="4" w:space="0" w:color="auto"/>
            </w:tcBorders>
            <w:shd w:val="clear" w:color="000000" w:fill="D9D9D9"/>
            <w:vAlign w:val="center"/>
            <w:hideMark/>
          </w:tcPr>
          <w:p w14:paraId="7D651F0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2B63899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24A11A4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5379DBC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04F12DC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3376B00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6B4C740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6F0C2F2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417A83E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1423E5F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403986B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79F2532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2F2F2"/>
            <w:vAlign w:val="center"/>
            <w:hideMark/>
          </w:tcPr>
          <w:p w14:paraId="606DDBB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40" w:type="dxa"/>
            <w:tcBorders>
              <w:top w:val="nil"/>
              <w:left w:val="nil"/>
              <w:bottom w:val="single" w:sz="4" w:space="0" w:color="auto"/>
              <w:right w:val="single" w:sz="4" w:space="0" w:color="auto"/>
            </w:tcBorders>
            <w:shd w:val="clear" w:color="000000" w:fill="D9D9D9"/>
            <w:vAlign w:val="center"/>
            <w:hideMark/>
          </w:tcPr>
          <w:p w14:paraId="719394D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D9D9D9"/>
            <w:vAlign w:val="center"/>
            <w:hideMark/>
          </w:tcPr>
          <w:p w14:paraId="45C1B1E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35" w:type="dxa"/>
            <w:tcBorders>
              <w:top w:val="nil"/>
              <w:left w:val="nil"/>
              <w:bottom w:val="single" w:sz="4" w:space="0" w:color="auto"/>
              <w:right w:val="single" w:sz="4" w:space="0" w:color="auto"/>
            </w:tcBorders>
            <w:shd w:val="clear" w:color="000000" w:fill="D9D9D9"/>
            <w:vAlign w:val="center"/>
            <w:hideMark/>
          </w:tcPr>
          <w:p w14:paraId="32D2D4F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5" w:type="dxa"/>
            <w:tcBorders>
              <w:top w:val="nil"/>
              <w:left w:val="nil"/>
              <w:bottom w:val="single" w:sz="4" w:space="0" w:color="auto"/>
              <w:right w:val="single" w:sz="4" w:space="0" w:color="auto"/>
            </w:tcBorders>
            <w:shd w:val="clear" w:color="000000" w:fill="D9D9D9"/>
            <w:vAlign w:val="center"/>
            <w:hideMark/>
          </w:tcPr>
          <w:p w14:paraId="5D3FFC3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50" w:type="dxa"/>
            <w:tcBorders>
              <w:top w:val="nil"/>
              <w:left w:val="nil"/>
              <w:bottom w:val="single" w:sz="4" w:space="0" w:color="auto"/>
              <w:right w:val="single" w:sz="4" w:space="0" w:color="auto"/>
            </w:tcBorders>
            <w:shd w:val="clear" w:color="000000" w:fill="BDD7EE"/>
            <w:vAlign w:val="center"/>
            <w:hideMark/>
          </w:tcPr>
          <w:p w14:paraId="7ABB9B9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0A4C4F3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FF0000"/>
            <w:vAlign w:val="center"/>
            <w:hideMark/>
          </w:tcPr>
          <w:p w14:paraId="2C86B6C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1149F7DD" w14:textId="77777777" w:rsidTr="00876367">
        <w:trPr>
          <w:trHeight w:val="720"/>
        </w:trPr>
        <w:tc>
          <w:tcPr>
            <w:tcW w:w="623" w:type="dxa"/>
            <w:vMerge/>
            <w:tcBorders>
              <w:top w:val="nil"/>
              <w:left w:val="single" w:sz="4" w:space="0" w:color="auto"/>
              <w:bottom w:val="single" w:sz="4" w:space="0" w:color="auto"/>
              <w:right w:val="single" w:sz="4" w:space="0" w:color="auto"/>
            </w:tcBorders>
            <w:vAlign w:val="center"/>
            <w:hideMark/>
          </w:tcPr>
          <w:p w14:paraId="0C92008F" w14:textId="77777777" w:rsidR="00F05E86" w:rsidRPr="004500AE" w:rsidRDefault="00F05E86" w:rsidP="006071CF">
            <w:pPr>
              <w:spacing w:before="0" w:after="0"/>
              <w:jc w:val="left"/>
              <w:rPr>
                <w:rFonts w:eastAsia="Times New Roman" w:cs="Calibri"/>
                <w:b/>
                <w:bCs/>
                <w:sz w:val="20"/>
                <w:szCs w:val="20"/>
                <w:lang w:val="pt-PT"/>
              </w:rPr>
            </w:pPr>
          </w:p>
        </w:tc>
        <w:tc>
          <w:tcPr>
            <w:tcW w:w="1352" w:type="dxa"/>
            <w:vMerge/>
            <w:tcBorders>
              <w:top w:val="nil"/>
              <w:left w:val="single" w:sz="4" w:space="0" w:color="auto"/>
              <w:bottom w:val="single" w:sz="4" w:space="0" w:color="auto"/>
              <w:right w:val="single" w:sz="4" w:space="0" w:color="auto"/>
            </w:tcBorders>
            <w:vAlign w:val="center"/>
            <w:hideMark/>
          </w:tcPr>
          <w:p w14:paraId="582C16B6"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633" w:type="dxa"/>
            <w:tcBorders>
              <w:top w:val="nil"/>
              <w:left w:val="nil"/>
              <w:bottom w:val="single" w:sz="4" w:space="0" w:color="auto"/>
              <w:right w:val="single" w:sz="4" w:space="0" w:color="auto"/>
            </w:tcBorders>
            <w:shd w:val="clear" w:color="auto" w:fill="auto"/>
            <w:vAlign w:val="center"/>
            <w:hideMark/>
          </w:tcPr>
          <w:p w14:paraId="2E7016C4"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 xml:space="preserve">Geração de empregos e renda (todas as fases do </w:t>
            </w:r>
            <w:proofErr w:type="spellStart"/>
            <w:r w:rsidRPr="00292532">
              <w:rPr>
                <w:rFonts w:eastAsia="Times New Roman" w:cs="Calibri"/>
                <w:color w:val="000000"/>
                <w:sz w:val="20"/>
                <w:szCs w:val="20"/>
                <w:lang w:val="pt-PT"/>
              </w:rPr>
              <w:t>projecto</w:t>
            </w:r>
            <w:proofErr w:type="spellEnd"/>
            <w:r w:rsidRPr="00292532">
              <w:rPr>
                <w:rFonts w:eastAsia="Times New Roman" w:cs="Calibri"/>
                <w:color w:val="000000"/>
                <w:sz w:val="20"/>
                <w:szCs w:val="20"/>
                <w:lang w:val="pt-PT"/>
              </w:rPr>
              <w:t>)</w:t>
            </w:r>
          </w:p>
        </w:tc>
        <w:tc>
          <w:tcPr>
            <w:tcW w:w="427" w:type="dxa"/>
            <w:tcBorders>
              <w:top w:val="nil"/>
              <w:left w:val="nil"/>
              <w:bottom w:val="single" w:sz="4" w:space="0" w:color="auto"/>
              <w:right w:val="single" w:sz="4" w:space="0" w:color="auto"/>
            </w:tcBorders>
            <w:shd w:val="clear" w:color="000000" w:fill="D9D9D9"/>
            <w:vAlign w:val="center"/>
            <w:hideMark/>
          </w:tcPr>
          <w:p w14:paraId="1D261E1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5A5D3DB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461625E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5AB9934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1C5485C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719DF65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540064E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2E2B26E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4880BFA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0E45C2B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254C884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0415E24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2F2F2"/>
            <w:vAlign w:val="center"/>
            <w:hideMark/>
          </w:tcPr>
          <w:p w14:paraId="5697156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40" w:type="dxa"/>
            <w:tcBorders>
              <w:top w:val="nil"/>
              <w:left w:val="nil"/>
              <w:bottom w:val="single" w:sz="4" w:space="0" w:color="auto"/>
              <w:right w:val="single" w:sz="4" w:space="0" w:color="auto"/>
            </w:tcBorders>
            <w:shd w:val="clear" w:color="000000" w:fill="D9D9D9"/>
            <w:vAlign w:val="center"/>
            <w:hideMark/>
          </w:tcPr>
          <w:p w14:paraId="7D1E3A6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D9D9D9"/>
            <w:vAlign w:val="center"/>
            <w:hideMark/>
          </w:tcPr>
          <w:p w14:paraId="0BB2B37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35" w:type="dxa"/>
            <w:tcBorders>
              <w:top w:val="nil"/>
              <w:left w:val="nil"/>
              <w:bottom w:val="single" w:sz="4" w:space="0" w:color="auto"/>
              <w:right w:val="single" w:sz="4" w:space="0" w:color="auto"/>
            </w:tcBorders>
            <w:shd w:val="clear" w:color="000000" w:fill="D9D9D9"/>
            <w:vAlign w:val="center"/>
            <w:hideMark/>
          </w:tcPr>
          <w:p w14:paraId="619CC63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5" w:type="dxa"/>
            <w:tcBorders>
              <w:top w:val="nil"/>
              <w:left w:val="nil"/>
              <w:bottom w:val="single" w:sz="4" w:space="0" w:color="auto"/>
              <w:right w:val="single" w:sz="4" w:space="0" w:color="auto"/>
            </w:tcBorders>
            <w:shd w:val="clear" w:color="000000" w:fill="D9D9D9"/>
            <w:vAlign w:val="center"/>
            <w:hideMark/>
          </w:tcPr>
          <w:p w14:paraId="566CCC8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50" w:type="dxa"/>
            <w:tcBorders>
              <w:top w:val="nil"/>
              <w:left w:val="nil"/>
              <w:bottom w:val="single" w:sz="4" w:space="0" w:color="auto"/>
              <w:right w:val="single" w:sz="4" w:space="0" w:color="auto"/>
            </w:tcBorders>
            <w:shd w:val="clear" w:color="000000" w:fill="BDD7EE"/>
            <w:vAlign w:val="center"/>
            <w:hideMark/>
          </w:tcPr>
          <w:p w14:paraId="26EE1DE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17FDBA6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FF0000"/>
            <w:vAlign w:val="center"/>
            <w:hideMark/>
          </w:tcPr>
          <w:p w14:paraId="7BE4BD9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3CC27C88" w14:textId="77777777" w:rsidTr="00876367">
        <w:trPr>
          <w:trHeight w:val="720"/>
        </w:trPr>
        <w:tc>
          <w:tcPr>
            <w:tcW w:w="623" w:type="dxa"/>
            <w:vMerge/>
            <w:tcBorders>
              <w:top w:val="nil"/>
              <w:left w:val="single" w:sz="4" w:space="0" w:color="auto"/>
              <w:bottom w:val="single" w:sz="4" w:space="0" w:color="auto"/>
              <w:right w:val="single" w:sz="4" w:space="0" w:color="auto"/>
            </w:tcBorders>
            <w:vAlign w:val="center"/>
            <w:hideMark/>
          </w:tcPr>
          <w:p w14:paraId="5DB6A124" w14:textId="77777777" w:rsidR="00F05E86" w:rsidRPr="004500AE" w:rsidRDefault="00F05E86" w:rsidP="006071CF">
            <w:pPr>
              <w:spacing w:before="0" w:after="0"/>
              <w:jc w:val="left"/>
              <w:rPr>
                <w:rFonts w:eastAsia="Times New Roman" w:cs="Calibri"/>
                <w:b/>
                <w:bCs/>
                <w:sz w:val="20"/>
                <w:szCs w:val="20"/>
                <w:lang w:val="pt-PT"/>
              </w:rPr>
            </w:pPr>
          </w:p>
        </w:tc>
        <w:tc>
          <w:tcPr>
            <w:tcW w:w="1352" w:type="dxa"/>
            <w:vMerge/>
            <w:tcBorders>
              <w:top w:val="nil"/>
              <w:left w:val="single" w:sz="4" w:space="0" w:color="auto"/>
              <w:bottom w:val="single" w:sz="4" w:space="0" w:color="auto"/>
              <w:right w:val="single" w:sz="4" w:space="0" w:color="auto"/>
            </w:tcBorders>
            <w:vAlign w:val="center"/>
            <w:hideMark/>
          </w:tcPr>
          <w:p w14:paraId="4250C356"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633" w:type="dxa"/>
            <w:tcBorders>
              <w:top w:val="nil"/>
              <w:left w:val="nil"/>
              <w:bottom w:val="single" w:sz="4" w:space="0" w:color="auto"/>
              <w:right w:val="single" w:sz="4" w:space="0" w:color="auto"/>
            </w:tcBorders>
            <w:shd w:val="clear" w:color="auto" w:fill="auto"/>
            <w:vAlign w:val="center"/>
            <w:hideMark/>
          </w:tcPr>
          <w:p w14:paraId="2F628B3E"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 xml:space="preserve">Exploração de </w:t>
            </w:r>
            <w:proofErr w:type="spellStart"/>
            <w:r w:rsidRPr="00292532">
              <w:rPr>
                <w:rFonts w:eastAsia="Times New Roman" w:cs="Calibri"/>
                <w:color w:val="000000"/>
                <w:sz w:val="20"/>
                <w:szCs w:val="20"/>
                <w:lang w:val="pt-PT"/>
              </w:rPr>
              <w:t>actividades</w:t>
            </w:r>
            <w:proofErr w:type="spellEnd"/>
            <w:r w:rsidRPr="00292532">
              <w:rPr>
                <w:rFonts w:eastAsia="Times New Roman" w:cs="Calibri"/>
                <w:color w:val="000000"/>
                <w:sz w:val="20"/>
                <w:szCs w:val="20"/>
                <w:lang w:val="pt-PT"/>
              </w:rPr>
              <w:t xml:space="preserve"> ligadas ao turismo, lazer (fase de construção)</w:t>
            </w:r>
          </w:p>
        </w:tc>
        <w:tc>
          <w:tcPr>
            <w:tcW w:w="427" w:type="dxa"/>
            <w:tcBorders>
              <w:top w:val="nil"/>
              <w:left w:val="nil"/>
              <w:bottom w:val="single" w:sz="4" w:space="0" w:color="auto"/>
              <w:right w:val="single" w:sz="4" w:space="0" w:color="auto"/>
            </w:tcBorders>
            <w:shd w:val="clear" w:color="000000" w:fill="D9D9D9"/>
            <w:vAlign w:val="center"/>
            <w:hideMark/>
          </w:tcPr>
          <w:p w14:paraId="72848A8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61C4834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4AEC902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7063412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2AC80B6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57694C5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7DA2D07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6A235E4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69E4EB4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0E2253E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55F9108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4EFC7F9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2F2F2"/>
            <w:vAlign w:val="center"/>
            <w:hideMark/>
          </w:tcPr>
          <w:p w14:paraId="47B858B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D9D9D9"/>
            <w:vAlign w:val="center"/>
            <w:hideMark/>
          </w:tcPr>
          <w:p w14:paraId="0630448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D9D9D9"/>
            <w:vAlign w:val="center"/>
            <w:hideMark/>
          </w:tcPr>
          <w:p w14:paraId="04C236B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35" w:type="dxa"/>
            <w:tcBorders>
              <w:top w:val="nil"/>
              <w:left w:val="nil"/>
              <w:bottom w:val="single" w:sz="4" w:space="0" w:color="auto"/>
              <w:right w:val="single" w:sz="4" w:space="0" w:color="auto"/>
            </w:tcBorders>
            <w:shd w:val="clear" w:color="000000" w:fill="D9D9D9"/>
            <w:vAlign w:val="center"/>
            <w:hideMark/>
          </w:tcPr>
          <w:p w14:paraId="29BA5A2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55" w:type="dxa"/>
            <w:tcBorders>
              <w:top w:val="nil"/>
              <w:left w:val="nil"/>
              <w:bottom w:val="single" w:sz="4" w:space="0" w:color="auto"/>
              <w:right w:val="single" w:sz="4" w:space="0" w:color="auto"/>
            </w:tcBorders>
            <w:shd w:val="clear" w:color="000000" w:fill="D9D9D9"/>
            <w:vAlign w:val="center"/>
            <w:hideMark/>
          </w:tcPr>
          <w:p w14:paraId="6D22840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6030014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FFF00"/>
            <w:vAlign w:val="center"/>
            <w:hideMark/>
          </w:tcPr>
          <w:p w14:paraId="2CAD904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BDD7EE"/>
            <w:vAlign w:val="center"/>
            <w:hideMark/>
          </w:tcPr>
          <w:p w14:paraId="1985CAD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5E80BCB6" w14:textId="77777777" w:rsidTr="00876367">
        <w:trPr>
          <w:trHeight w:val="720"/>
        </w:trPr>
        <w:tc>
          <w:tcPr>
            <w:tcW w:w="623" w:type="dxa"/>
            <w:vMerge/>
            <w:tcBorders>
              <w:top w:val="nil"/>
              <w:left w:val="single" w:sz="4" w:space="0" w:color="auto"/>
              <w:bottom w:val="single" w:sz="4" w:space="0" w:color="auto"/>
              <w:right w:val="single" w:sz="4" w:space="0" w:color="auto"/>
            </w:tcBorders>
            <w:vAlign w:val="center"/>
            <w:hideMark/>
          </w:tcPr>
          <w:p w14:paraId="0C3047A0" w14:textId="77777777" w:rsidR="00F05E86" w:rsidRPr="004500AE" w:rsidRDefault="00F05E86" w:rsidP="006071CF">
            <w:pPr>
              <w:spacing w:before="0" w:after="0"/>
              <w:jc w:val="left"/>
              <w:rPr>
                <w:rFonts w:eastAsia="Times New Roman" w:cs="Calibri"/>
                <w:b/>
                <w:bCs/>
                <w:sz w:val="20"/>
                <w:szCs w:val="20"/>
                <w:lang w:val="pt-PT"/>
              </w:rPr>
            </w:pPr>
            <w:bookmarkStart w:id="211" w:name="_Hlk75443510"/>
          </w:p>
        </w:tc>
        <w:tc>
          <w:tcPr>
            <w:tcW w:w="13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33386CEA" w14:textId="77777777" w:rsidR="00F05E86" w:rsidRPr="00292532" w:rsidRDefault="00F05E86" w:rsidP="006071CF">
            <w:pPr>
              <w:spacing w:before="0" w:after="0"/>
              <w:jc w:val="center"/>
              <w:rPr>
                <w:rFonts w:eastAsia="Times New Roman" w:cs="Calibri"/>
                <w:b/>
                <w:bCs/>
                <w:color w:val="000000"/>
                <w:sz w:val="20"/>
                <w:szCs w:val="20"/>
                <w:lang w:val="pt-PT"/>
              </w:rPr>
            </w:pPr>
            <w:r w:rsidRPr="00292532">
              <w:rPr>
                <w:rFonts w:eastAsia="Times New Roman" w:cs="Calibri"/>
                <w:b/>
                <w:bCs/>
                <w:color w:val="000000"/>
                <w:sz w:val="20"/>
                <w:szCs w:val="20"/>
                <w:lang w:val="pt-PT"/>
              </w:rPr>
              <w:t>Abastecimento de água e saneamento</w:t>
            </w:r>
          </w:p>
        </w:tc>
        <w:tc>
          <w:tcPr>
            <w:tcW w:w="2633" w:type="dxa"/>
            <w:tcBorders>
              <w:top w:val="nil"/>
              <w:left w:val="nil"/>
              <w:bottom w:val="single" w:sz="4" w:space="0" w:color="auto"/>
              <w:right w:val="single" w:sz="4" w:space="0" w:color="auto"/>
            </w:tcBorders>
            <w:shd w:val="clear" w:color="auto" w:fill="auto"/>
            <w:vAlign w:val="center"/>
            <w:hideMark/>
          </w:tcPr>
          <w:p w14:paraId="16B711CB"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Acesso a serviços de saneamento nas cidades e vilas (fase de operação)</w:t>
            </w:r>
          </w:p>
        </w:tc>
        <w:tc>
          <w:tcPr>
            <w:tcW w:w="427" w:type="dxa"/>
            <w:tcBorders>
              <w:top w:val="nil"/>
              <w:left w:val="nil"/>
              <w:bottom w:val="single" w:sz="4" w:space="0" w:color="auto"/>
              <w:right w:val="single" w:sz="4" w:space="0" w:color="auto"/>
            </w:tcBorders>
            <w:shd w:val="clear" w:color="000000" w:fill="D9D9D9"/>
            <w:vAlign w:val="center"/>
            <w:hideMark/>
          </w:tcPr>
          <w:p w14:paraId="083268D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10ED06F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70317CD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358FEE2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6DB0D75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3441F7C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61CB58B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51186DD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313B359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4782A85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50" w:type="dxa"/>
            <w:tcBorders>
              <w:top w:val="nil"/>
              <w:left w:val="nil"/>
              <w:bottom w:val="single" w:sz="4" w:space="0" w:color="auto"/>
              <w:right w:val="single" w:sz="4" w:space="0" w:color="auto"/>
            </w:tcBorders>
            <w:shd w:val="clear" w:color="000000" w:fill="F2F2F2"/>
            <w:vAlign w:val="center"/>
            <w:hideMark/>
          </w:tcPr>
          <w:p w14:paraId="7A80A89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34D1397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2F2F2"/>
            <w:vAlign w:val="center"/>
            <w:hideMark/>
          </w:tcPr>
          <w:p w14:paraId="59959D0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40" w:type="dxa"/>
            <w:tcBorders>
              <w:top w:val="nil"/>
              <w:left w:val="nil"/>
              <w:bottom w:val="single" w:sz="4" w:space="0" w:color="auto"/>
              <w:right w:val="single" w:sz="4" w:space="0" w:color="auto"/>
            </w:tcBorders>
            <w:shd w:val="clear" w:color="000000" w:fill="D9D9D9"/>
            <w:vAlign w:val="center"/>
            <w:hideMark/>
          </w:tcPr>
          <w:p w14:paraId="5BB72FB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D9D9D9"/>
            <w:vAlign w:val="center"/>
            <w:hideMark/>
          </w:tcPr>
          <w:p w14:paraId="1DADCB6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35" w:type="dxa"/>
            <w:tcBorders>
              <w:top w:val="nil"/>
              <w:left w:val="nil"/>
              <w:bottom w:val="single" w:sz="4" w:space="0" w:color="auto"/>
              <w:right w:val="single" w:sz="4" w:space="0" w:color="auto"/>
            </w:tcBorders>
            <w:shd w:val="clear" w:color="000000" w:fill="D9D9D9"/>
            <w:vAlign w:val="center"/>
            <w:hideMark/>
          </w:tcPr>
          <w:p w14:paraId="2F61256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5" w:type="dxa"/>
            <w:tcBorders>
              <w:top w:val="nil"/>
              <w:left w:val="nil"/>
              <w:bottom w:val="single" w:sz="4" w:space="0" w:color="auto"/>
              <w:right w:val="single" w:sz="4" w:space="0" w:color="auto"/>
            </w:tcBorders>
            <w:shd w:val="clear" w:color="000000" w:fill="D9D9D9"/>
            <w:vAlign w:val="center"/>
            <w:hideMark/>
          </w:tcPr>
          <w:p w14:paraId="3CE4CB5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50" w:type="dxa"/>
            <w:tcBorders>
              <w:top w:val="nil"/>
              <w:left w:val="nil"/>
              <w:bottom w:val="single" w:sz="4" w:space="0" w:color="auto"/>
              <w:right w:val="single" w:sz="4" w:space="0" w:color="auto"/>
            </w:tcBorders>
            <w:shd w:val="clear" w:color="000000" w:fill="BDD7EE"/>
            <w:vAlign w:val="center"/>
            <w:hideMark/>
          </w:tcPr>
          <w:p w14:paraId="3059AA2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7AE1D3C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FF0000"/>
            <w:vAlign w:val="center"/>
            <w:hideMark/>
          </w:tcPr>
          <w:p w14:paraId="4485DD1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67C9420F" w14:textId="77777777" w:rsidTr="00876367">
        <w:trPr>
          <w:trHeight w:val="720"/>
        </w:trPr>
        <w:tc>
          <w:tcPr>
            <w:tcW w:w="623" w:type="dxa"/>
            <w:vMerge/>
            <w:tcBorders>
              <w:top w:val="nil"/>
              <w:left w:val="single" w:sz="4" w:space="0" w:color="auto"/>
              <w:bottom w:val="single" w:sz="4" w:space="0" w:color="auto"/>
              <w:right w:val="single" w:sz="4" w:space="0" w:color="auto"/>
            </w:tcBorders>
            <w:vAlign w:val="center"/>
            <w:hideMark/>
          </w:tcPr>
          <w:p w14:paraId="0BD472C7" w14:textId="77777777" w:rsidR="00F05E86" w:rsidRPr="004500AE" w:rsidRDefault="00F05E86" w:rsidP="006071CF">
            <w:pPr>
              <w:spacing w:before="0" w:after="0"/>
              <w:jc w:val="left"/>
              <w:rPr>
                <w:rFonts w:eastAsia="Times New Roman" w:cs="Calibri"/>
                <w:b/>
                <w:bCs/>
                <w:sz w:val="20"/>
                <w:szCs w:val="20"/>
                <w:lang w:val="pt-PT"/>
              </w:rPr>
            </w:pPr>
          </w:p>
        </w:tc>
        <w:tc>
          <w:tcPr>
            <w:tcW w:w="1352" w:type="dxa"/>
            <w:vMerge/>
            <w:tcBorders>
              <w:top w:val="nil"/>
              <w:left w:val="single" w:sz="4" w:space="0" w:color="auto"/>
              <w:bottom w:val="single" w:sz="4" w:space="0" w:color="auto"/>
              <w:right w:val="single" w:sz="4" w:space="0" w:color="auto"/>
            </w:tcBorders>
            <w:vAlign w:val="center"/>
            <w:hideMark/>
          </w:tcPr>
          <w:p w14:paraId="7043FBE8"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633" w:type="dxa"/>
            <w:tcBorders>
              <w:top w:val="nil"/>
              <w:left w:val="nil"/>
              <w:bottom w:val="single" w:sz="4" w:space="0" w:color="auto"/>
              <w:right w:val="single" w:sz="4" w:space="0" w:color="auto"/>
            </w:tcBorders>
            <w:shd w:val="clear" w:color="auto" w:fill="auto"/>
            <w:vAlign w:val="center"/>
            <w:hideMark/>
          </w:tcPr>
          <w:p w14:paraId="7B23D549"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Ligações de água e serviços de saneamento nas escolas (fase de operação)</w:t>
            </w:r>
          </w:p>
        </w:tc>
        <w:tc>
          <w:tcPr>
            <w:tcW w:w="427" w:type="dxa"/>
            <w:tcBorders>
              <w:top w:val="nil"/>
              <w:left w:val="nil"/>
              <w:bottom w:val="single" w:sz="4" w:space="0" w:color="auto"/>
              <w:right w:val="single" w:sz="4" w:space="0" w:color="auto"/>
            </w:tcBorders>
            <w:shd w:val="clear" w:color="000000" w:fill="D9D9D9"/>
            <w:vAlign w:val="center"/>
            <w:hideMark/>
          </w:tcPr>
          <w:p w14:paraId="28BA41D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0C7C936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222E7B2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6C385B1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490C6BB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7C8CE87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44BF757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000A853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2EA4614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733578C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50" w:type="dxa"/>
            <w:tcBorders>
              <w:top w:val="nil"/>
              <w:left w:val="nil"/>
              <w:bottom w:val="single" w:sz="4" w:space="0" w:color="auto"/>
              <w:right w:val="single" w:sz="4" w:space="0" w:color="auto"/>
            </w:tcBorders>
            <w:shd w:val="clear" w:color="000000" w:fill="F2F2F2"/>
            <w:vAlign w:val="center"/>
            <w:hideMark/>
          </w:tcPr>
          <w:p w14:paraId="65682FE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6903A72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2F2F2"/>
            <w:vAlign w:val="center"/>
            <w:hideMark/>
          </w:tcPr>
          <w:p w14:paraId="4C319B3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40" w:type="dxa"/>
            <w:tcBorders>
              <w:top w:val="nil"/>
              <w:left w:val="nil"/>
              <w:bottom w:val="single" w:sz="4" w:space="0" w:color="auto"/>
              <w:right w:val="single" w:sz="4" w:space="0" w:color="auto"/>
            </w:tcBorders>
            <w:shd w:val="clear" w:color="000000" w:fill="D9D9D9"/>
            <w:vAlign w:val="center"/>
            <w:hideMark/>
          </w:tcPr>
          <w:p w14:paraId="261CE22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D9D9D9"/>
            <w:vAlign w:val="center"/>
            <w:hideMark/>
          </w:tcPr>
          <w:p w14:paraId="3D1CC31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35" w:type="dxa"/>
            <w:tcBorders>
              <w:top w:val="nil"/>
              <w:left w:val="nil"/>
              <w:bottom w:val="single" w:sz="4" w:space="0" w:color="auto"/>
              <w:right w:val="single" w:sz="4" w:space="0" w:color="auto"/>
            </w:tcBorders>
            <w:shd w:val="clear" w:color="000000" w:fill="D9D9D9"/>
            <w:vAlign w:val="center"/>
            <w:hideMark/>
          </w:tcPr>
          <w:p w14:paraId="137529C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5" w:type="dxa"/>
            <w:tcBorders>
              <w:top w:val="nil"/>
              <w:left w:val="nil"/>
              <w:bottom w:val="single" w:sz="4" w:space="0" w:color="auto"/>
              <w:right w:val="single" w:sz="4" w:space="0" w:color="auto"/>
            </w:tcBorders>
            <w:shd w:val="clear" w:color="000000" w:fill="D9D9D9"/>
            <w:vAlign w:val="center"/>
            <w:hideMark/>
          </w:tcPr>
          <w:p w14:paraId="10D0FB7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50" w:type="dxa"/>
            <w:tcBorders>
              <w:top w:val="nil"/>
              <w:left w:val="nil"/>
              <w:bottom w:val="single" w:sz="4" w:space="0" w:color="auto"/>
              <w:right w:val="single" w:sz="4" w:space="0" w:color="auto"/>
            </w:tcBorders>
            <w:shd w:val="clear" w:color="000000" w:fill="BDD7EE"/>
            <w:vAlign w:val="center"/>
            <w:hideMark/>
          </w:tcPr>
          <w:p w14:paraId="3C4B7F8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37678D6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FF0000"/>
            <w:vAlign w:val="center"/>
            <w:hideMark/>
          </w:tcPr>
          <w:p w14:paraId="1AA930F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35E943DA" w14:textId="77777777" w:rsidTr="00876367">
        <w:trPr>
          <w:trHeight w:val="720"/>
        </w:trPr>
        <w:tc>
          <w:tcPr>
            <w:tcW w:w="623" w:type="dxa"/>
            <w:vMerge/>
            <w:tcBorders>
              <w:top w:val="nil"/>
              <w:left w:val="single" w:sz="4" w:space="0" w:color="auto"/>
              <w:bottom w:val="single" w:sz="4" w:space="0" w:color="auto"/>
              <w:right w:val="single" w:sz="4" w:space="0" w:color="auto"/>
            </w:tcBorders>
            <w:vAlign w:val="center"/>
            <w:hideMark/>
          </w:tcPr>
          <w:p w14:paraId="2EF825B9" w14:textId="77777777" w:rsidR="00F05E86" w:rsidRPr="004500AE" w:rsidRDefault="00F05E86" w:rsidP="006071CF">
            <w:pPr>
              <w:spacing w:before="0" w:after="0"/>
              <w:jc w:val="left"/>
              <w:rPr>
                <w:rFonts w:eastAsia="Times New Roman" w:cs="Calibri"/>
                <w:b/>
                <w:bCs/>
                <w:sz w:val="20"/>
                <w:szCs w:val="20"/>
                <w:lang w:val="pt-PT"/>
              </w:rPr>
            </w:pPr>
          </w:p>
        </w:tc>
        <w:tc>
          <w:tcPr>
            <w:tcW w:w="1352" w:type="dxa"/>
            <w:vMerge/>
            <w:tcBorders>
              <w:top w:val="nil"/>
              <w:left w:val="single" w:sz="4" w:space="0" w:color="auto"/>
              <w:bottom w:val="single" w:sz="4" w:space="0" w:color="auto"/>
              <w:right w:val="single" w:sz="4" w:space="0" w:color="auto"/>
            </w:tcBorders>
            <w:vAlign w:val="center"/>
            <w:hideMark/>
          </w:tcPr>
          <w:p w14:paraId="00CBEFBF"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633" w:type="dxa"/>
            <w:tcBorders>
              <w:top w:val="nil"/>
              <w:left w:val="nil"/>
              <w:bottom w:val="single" w:sz="4" w:space="0" w:color="auto"/>
              <w:right w:val="single" w:sz="4" w:space="0" w:color="auto"/>
            </w:tcBorders>
            <w:shd w:val="clear" w:color="auto" w:fill="auto"/>
            <w:vAlign w:val="center"/>
            <w:hideMark/>
          </w:tcPr>
          <w:p w14:paraId="2AB91515"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Acesso a água na época de estiagem para o consumo e prática da agricultura familiar (fase de operação)</w:t>
            </w:r>
          </w:p>
        </w:tc>
        <w:tc>
          <w:tcPr>
            <w:tcW w:w="427" w:type="dxa"/>
            <w:tcBorders>
              <w:top w:val="nil"/>
              <w:left w:val="nil"/>
              <w:bottom w:val="single" w:sz="4" w:space="0" w:color="auto"/>
              <w:right w:val="single" w:sz="4" w:space="0" w:color="auto"/>
            </w:tcBorders>
            <w:shd w:val="clear" w:color="000000" w:fill="D9D9D9"/>
            <w:vAlign w:val="center"/>
            <w:hideMark/>
          </w:tcPr>
          <w:p w14:paraId="196A7DE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256DD46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0179AFA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34542EB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1C8FDAB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55C556D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0EA2870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0C23AFA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501565E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5FF3A53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50" w:type="dxa"/>
            <w:tcBorders>
              <w:top w:val="nil"/>
              <w:left w:val="nil"/>
              <w:bottom w:val="single" w:sz="4" w:space="0" w:color="auto"/>
              <w:right w:val="single" w:sz="4" w:space="0" w:color="auto"/>
            </w:tcBorders>
            <w:shd w:val="clear" w:color="000000" w:fill="F2F2F2"/>
            <w:vAlign w:val="center"/>
            <w:hideMark/>
          </w:tcPr>
          <w:p w14:paraId="2115F55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6271D39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2F2F2"/>
            <w:vAlign w:val="center"/>
            <w:hideMark/>
          </w:tcPr>
          <w:p w14:paraId="43CEF82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40" w:type="dxa"/>
            <w:tcBorders>
              <w:top w:val="nil"/>
              <w:left w:val="nil"/>
              <w:bottom w:val="single" w:sz="4" w:space="0" w:color="auto"/>
              <w:right w:val="single" w:sz="4" w:space="0" w:color="auto"/>
            </w:tcBorders>
            <w:shd w:val="clear" w:color="000000" w:fill="D9D9D9"/>
            <w:vAlign w:val="center"/>
            <w:hideMark/>
          </w:tcPr>
          <w:p w14:paraId="761402F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D9D9D9"/>
            <w:vAlign w:val="center"/>
            <w:hideMark/>
          </w:tcPr>
          <w:p w14:paraId="78C3443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35" w:type="dxa"/>
            <w:tcBorders>
              <w:top w:val="nil"/>
              <w:left w:val="nil"/>
              <w:bottom w:val="single" w:sz="4" w:space="0" w:color="auto"/>
              <w:right w:val="single" w:sz="4" w:space="0" w:color="auto"/>
            </w:tcBorders>
            <w:shd w:val="clear" w:color="000000" w:fill="D9D9D9"/>
            <w:vAlign w:val="center"/>
            <w:hideMark/>
          </w:tcPr>
          <w:p w14:paraId="761C63D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5" w:type="dxa"/>
            <w:tcBorders>
              <w:top w:val="nil"/>
              <w:left w:val="nil"/>
              <w:bottom w:val="single" w:sz="4" w:space="0" w:color="auto"/>
              <w:right w:val="single" w:sz="4" w:space="0" w:color="auto"/>
            </w:tcBorders>
            <w:shd w:val="clear" w:color="000000" w:fill="D9D9D9"/>
            <w:vAlign w:val="center"/>
            <w:hideMark/>
          </w:tcPr>
          <w:p w14:paraId="3A2E3C8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50" w:type="dxa"/>
            <w:tcBorders>
              <w:top w:val="nil"/>
              <w:left w:val="nil"/>
              <w:bottom w:val="single" w:sz="4" w:space="0" w:color="auto"/>
              <w:right w:val="single" w:sz="4" w:space="0" w:color="auto"/>
            </w:tcBorders>
            <w:shd w:val="clear" w:color="000000" w:fill="BDD7EE"/>
            <w:vAlign w:val="center"/>
            <w:hideMark/>
          </w:tcPr>
          <w:p w14:paraId="1AD55E7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0695B70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FF0000"/>
            <w:vAlign w:val="center"/>
            <w:hideMark/>
          </w:tcPr>
          <w:p w14:paraId="389B391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64E67D39" w14:textId="77777777" w:rsidTr="00876367">
        <w:trPr>
          <w:trHeight w:val="720"/>
        </w:trPr>
        <w:tc>
          <w:tcPr>
            <w:tcW w:w="623" w:type="dxa"/>
            <w:vMerge/>
            <w:tcBorders>
              <w:top w:val="nil"/>
              <w:left w:val="single" w:sz="4" w:space="0" w:color="auto"/>
              <w:bottom w:val="single" w:sz="4" w:space="0" w:color="auto"/>
              <w:right w:val="single" w:sz="4" w:space="0" w:color="auto"/>
            </w:tcBorders>
            <w:vAlign w:val="center"/>
            <w:hideMark/>
          </w:tcPr>
          <w:p w14:paraId="50DCD3A4" w14:textId="77777777" w:rsidR="00F05E86" w:rsidRPr="004500AE" w:rsidRDefault="00F05E86" w:rsidP="006071CF">
            <w:pPr>
              <w:spacing w:before="0" w:after="0"/>
              <w:jc w:val="left"/>
              <w:rPr>
                <w:rFonts w:eastAsia="Times New Roman" w:cs="Calibri"/>
                <w:b/>
                <w:bCs/>
                <w:sz w:val="20"/>
                <w:szCs w:val="20"/>
                <w:lang w:val="pt-PT"/>
              </w:rPr>
            </w:pPr>
          </w:p>
        </w:tc>
        <w:tc>
          <w:tcPr>
            <w:tcW w:w="1352" w:type="dxa"/>
            <w:vMerge/>
            <w:tcBorders>
              <w:top w:val="nil"/>
              <w:left w:val="single" w:sz="4" w:space="0" w:color="auto"/>
              <w:bottom w:val="single" w:sz="4" w:space="0" w:color="auto"/>
              <w:right w:val="single" w:sz="4" w:space="0" w:color="auto"/>
            </w:tcBorders>
            <w:vAlign w:val="center"/>
            <w:hideMark/>
          </w:tcPr>
          <w:p w14:paraId="42B0256D"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633" w:type="dxa"/>
            <w:tcBorders>
              <w:top w:val="nil"/>
              <w:left w:val="nil"/>
              <w:bottom w:val="single" w:sz="4" w:space="0" w:color="auto"/>
              <w:right w:val="single" w:sz="4" w:space="0" w:color="auto"/>
            </w:tcBorders>
            <w:shd w:val="clear" w:color="auto" w:fill="auto"/>
            <w:vAlign w:val="center"/>
            <w:hideMark/>
          </w:tcPr>
          <w:p w14:paraId="7A98A12F"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 xml:space="preserve">Concessão da operação de sistemas a operadores privados provenientes das áreas de abrangência do </w:t>
            </w:r>
            <w:proofErr w:type="spellStart"/>
            <w:r w:rsidRPr="00292532">
              <w:rPr>
                <w:rFonts w:eastAsia="Times New Roman" w:cs="Calibri"/>
                <w:color w:val="000000"/>
                <w:sz w:val="20"/>
                <w:szCs w:val="20"/>
                <w:lang w:val="pt-PT"/>
              </w:rPr>
              <w:t>Projecto</w:t>
            </w:r>
            <w:proofErr w:type="spellEnd"/>
            <w:r w:rsidRPr="00292532">
              <w:rPr>
                <w:rFonts w:eastAsia="Times New Roman" w:cs="Calibri"/>
                <w:color w:val="000000"/>
                <w:sz w:val="20"/>
                <w:szCs w:val="20"/>
                <w:lang w:val="pt-PT"/>
              </w:rPr>
              <w:t xml:space="preserve"> (fase de operação)</w:t>
            </w:r>
          </w:p>
        </w:tc>
        <w:tc>
          <w:tcPr>
            <w:tcW w:w="427" w:type="dxa"/>
            <w:tcBorders>
              <w:top w:val="nil"/>
              <w:left w:val="nil"/>
              <w:bottom w:val="single" w:sz="4" w:space="0" w:color="auto"/>
              <w:right w:val="single" w:sz="4" w:space="0" w:color="auto"/>
            </w:tcBorders>
            <w:shd w:val="clear" w:color="000000" w:fill="D9D9D9"/>
            <w:vAlign w:val="center"/>
            <w:hideMark/>
          </w:tcPr>
          <w:p w14:paraId="4C6C791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786D57B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15CAFFD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27C4C3F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429F198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6CA2088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1F2D483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2738D39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4A19ADE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5632632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50" w:type="dxa"/>
            <w:tcBorders>
              <w:top w:val="nil"/>
              <w:left w:val="nil"/>
              <w:bottom w:val="single" w:sz="4" w:space="0" w:color="auto"/>
              <w:right w:val="single" w:sz="4" w:space="0" w:color="auto"/>
            </w:tcBorders>
            <w:shd w:val="clear" w:color="000000" w:fill="F2F2F2"/>
            <w:vAlign w:val="center"/>
            <w:hideMark/>
          </w:tcPr>
          <w:p w14:paraId="66125A8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6928EAC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2F2F2"/>
            <w:vAlign w:val="center"/>
            <w:hideMark/>
          </w:tcPr>
          <w:p w14:paraId="61C4A5E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40" w:type="dxa"/>
            <w:tcBorders>
              <w:top w:val="nil"/>
              <w:left w:val="nil"/>
              <w:bottom w:val="single" w:sz="4" w:space="0" w:color="auto"/>
              <w:right w:val="single" w:sz="4" w:space="0" w:color="auto"/>
            </w:tcBorders>
            <w:shd w:val="clear" w:color="000000" w:fill="D9D9D9"/>
            <w:vAlign w:val="center"/>
            <w:hideMark/>
          </w:tcPr>
          <w:p w14:paraId="501E145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D9D9D9"/>
            <w:vAlign w:val="center"/>
            <w:hideMark/>
          </w:tcPr>
          <w:p w14:paraId="2CFF43F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35" w:type="dxa"/>
            <w:tcBorders>
              <w:top w:val="nil"/>
              <w:left w:val="nil"/>
              <w:bottom w:val="single" w:sz="4" w:space="0" w:color="auto"/>
              <w:right w:val="single" w:sz="4" w:space="0" w:color="auto"/>
            </w:tcBorders>
            <w:shd w:val="clear" w:color="000000" w:fill="D9D9D9"/>
            <w:vAlign w:val="center"/>
            <w:hideMark/>
          </w:tcPr>
          <w:p w14:paraId="57E040D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55" w:type="dxa"/>
            <w:tcBorders>
              <w:top w:val="nil"/>
              <w:left w:val="nil"/>
              <w:bottom w:val="single" w:sz="4" w:space="0" w:color="auto"/>
              <w:right w:val="single" w:sz="4" w:space="0" w:color="auto"/>
            </w:tcBorders>
            <w:shd w:val="clear" w:color="000000" w:fill="D9D9D9"/>
            <w:vAlign w:val="center"/>
            <w:hideMark/>
          </w:tcPr>
          <w:p w14:paraId="512347B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51836E1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3A22E85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FF0000"/>
            <w:vAlign w:val="center"/>
            <w:hideMark/>
          </w:tcPr>
          <w:p w14:paraId="6838C4E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4CF4463C" w14:textId="77777777" w:rsidTr="00876367">
        <w:trPr>
          <w:trHeight w:val="720"/>
        </w:trPr>
        <w:tc>
          <w:tcPr>
            <w:tcW w:w="623" w:type="dxa"/>
            <w:vMerge/>
            <w:tcBorders>
              <w:top w:val="nil"/>
              <w:left w:val="single" w:sz="4" w:space="0" w:color="auto"/>
              <w:bottom w:val="single" w:sz="4" w:space="0" w:color="auto"/>
              <w:right w:val="single" w:sz="4" w:space="0" w:color="auto"/>
            </w:tcBorders>
            <w:vAlign w:val="center"/>
            <w:hideMark/>
          </w:tcPr>
          <w:p w14:paraId="795EF375" w14:textId="77777777" w:rsidR="00F05E86" w:rsidRPr="004500AE" w:rsidRDefault="00F05E86" w:rsidP="006071CF">
            <w:pPr>
              <w:spacing w:before="0" w:after="0"/>
              <w:jc w:val="left"/>
              <w:rPr>
                <w:rFonts w:eastAsia="Times New Roman" w:cs="Calibri"/>
                <w:b/>
                <w:bCs/>
                <w:sz w:val="20"/>
                <w:szCs w:val="20"/>
                <w:lang w:val="pt-PT"/>
              </w:rPr>
            </w:pPr>
          </w:p>
        </w:tc>
        <w:tc>
          <w:tcPr>
            <w:tcW w:w="1352" w:type="dxa"/>
            <w:vMerge/>
            <w:tcBorders>
              <w:top w:val="nil"/>
              <w:left w:val="single" w:sz="4" w:space="0" w:color="auto"/>
              <w:bottom w:val="single" w:sz="4" w:space="0" w:color="auto"/>
              <w:right w:val="single" w:sz="4" w:space="0" w:color="auto"/>
            </w:tcBorders>
            <w:vAlign w:val="center"/>
            <w:hideMark/>
          </w:tcPr>
          <w:p w14:paraId="4AAEC418"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633" w:type="dxa"/>
            <w:tcBorders>
              <w:top w:val="nil"/>
              <w:left w:val="nil"/>
              <w:bottom w:val="single" w:sz="4" w:space="0" w:color="auto"/>
              <w:right w:val="single" w:sz="4" w:space="0" w:color="auto"/>
            </w:tcBorders>
            <w:shd w:val="clear" w:color="auto" w:fill="auto"/>
            <w:vAlign w:val="center"/>
            <w:hideMark/>
          </w:tcPr>
          <w:p w14:paraId="2DA59879"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 xml:space="preserve">Aumento do acesso </w:t>
            </w:r>
            <w:proofErr w:type="gramStart"/>
            <w:r w:rsidRPr="00292532">
              <w:rPr>
                <w:rFonts w:eastAsia="Times New Roman" w:cs="Calibri"/>
                <w:color w:val="000000"/>
                <w:sz w:val="20"/>
                <w:szCs w:val="20"/>
                <w:lang w:val="pt-PT"/>
              </w:rPr>
              <w:t>à</w:t>
            </w:r>
            <w:proofErr w:type="gramEnd"/>
            <w:r w:rsidRPr="00292532">
              <w:rPr>
                <w:rFonts w:eastAsia="Times New Roman" w:cs="Calibri"/>
                <w:color w:val="000000"/>
                <w:sz w:val="20"/>
                <w:szCs w:val="20"/>
                <w:lang w:val="pt-PT"/>
              </w:rPr>
              <w:t xml:space="preserve"> fontes de água seguras nas pequenas cidades e vilas e </w:t>
            </w:r>
            <w:r w:rsidRPr="00292532">
              <w:rPr>
                <w:rFonts w:eastAsia="Times New Roman" w:cs="Calibri"/>
                <w:color w:val="000000"/>
                <w:sz w:val="20"/>
                <w:szCs w:val="20"/>
                <w:lang w:val="pt-PT"/>
              </w:rPr>
              <w:lastRenderedPageBreak/>
              <w:t>nas zonas rurais (fase de operação)</w:t>
            </w:r>
          </w:p>
        </w:tc>
        <w:tc>
          <w:tcPr>
            <w:tcW w:w="427" w:type="dxa"/>
            <w:tcBorders>
              <w:top w:val="nil"/>
              <w:left w:val="nil"/>
              <w:bottom w:val="single" w:sz="4" w:space="0" w:color="auto"/>
              <w:right w:val="single" w:sz="4" w:space="0" w:color="auto"/>
            </w:tcBorders>
            <w:shd w:val="clear" w:color="000000" w:fill="D9D9D9"/>
            <w:vAlign w:val="center"/>
            <w:hideMark/>
          </w:tcPr>
          <w:p w14:paraId="44D725E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lastRenderedPageBreak/>
              <w:t>X</w:t>
            </w:r>
          </w:p>
        </w:tc>
        <w:tc>
          <w:tcPr>
            <w:tcW w:w="360" w:type="dxa"/>
            <w:tcBorders>
              <w:top w:val="nil"/>
              <w:left w:val="nil"/>
              <w:bottom w:val="single" w:sz="4" w:space="0" w:color="auto"/>
              <w:right w:val="single" w:sz="4" w:space="0" w:color="auto"/>
            </w:tcBorders>
            <w:shd w:val="clear" w:color="000000" w:fill="D9D9D9"/>
            <w:vAlign w:val="center"/>
            <w:hideMark/>
          </w:tcPr>
          <w:p w14:paraId="0CD722B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345B4E4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2DD6A91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1F2108F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51625F2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45E9FA9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3C3F6A5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67E0671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26E0FB5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50" w:type="dxa"/>
            <w:tcBorders>
              <w:top w:val="nil"/>
              <w:left w:val="nil"/>
              <w:bottom w:val="single" w:sz="4" w:space="0" w:color="auto"/>
              <w:right w:val="single" w:sz="4" w:space="0" w:color="auto"/>
            </w:tcBorders>
            <w:shd w:val="clear" w:color="000000" w:fill="F2F2F2"/>
            <w:vAlign w:val="center"/>
            <w:hideMark/>
          </w:tcPr>
          <w:p w14:paraId="2016DB6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27EAB02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2F2F2"/>
            <w:vAlign w:val="center"/>
            <w:hideMark/>
          </w:tcPr>
          <w:p w14:paraId="71742CB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40" w:type="dxa"/>
            <w:tcBorders>
              <w:top w:val="nil"/>
              <w:left w:val="nil"/>
              <w:bottom w:val="single" w:sz="4" w:space="0" w:color="auto"/>
              <w:right w:val="single" w:sz="4" w:space="0" w:color="auto"/>
            </w:tcBorders>
            <w:shd w:val="clear" w:color="000000" w:fill="D9D9D9"/>
            <w:vAlign w:val="center"/>
            <w:hideMark/>
          </w:tcPr>
          <w:p w14:paraId="10E562C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D9D9D9"/>
            <w:vAlign w:val="center"/>
            <w:hideMark/>
          </w:tcPr>
          <w:p w14:paraId="4B0BE3A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35" w:type="dxa"/>
            <w:tcBorders>
              <w:top w:val="nil"/>
              <w:left w:val="nil"/>
              <w:bottom w:val="single" w:sz="4" w:space="0" w:color="auto"/>
              <w:right w:val="single" w:sz="4" w:space="0" w:color="auto"/>
            </w:tcBorders>
            <w:shd w:val="clear" w:color="000000" w:fill="D9D9D9"/>
            <w:vAlign w:val="center"/>
            <w:hideMark/>
          </w:tcPr>
          <w:p w14:paraId="2228882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5" w:type="dxa"/>
            <w:tcBorders>
              <w:top w:val="nil"/>
              <w:left w:val="nil"/>
              <w:bottom w:val="single" w:sz="4" w:space="0" w:color="auto"/>
              <w:right w:val="single" w:sz="4" w:space="0" w:color="auto"/>
            </w:tcBorders>
            <w:shd w:val="clear" w:color="000000" w:fill="D9D9D9"/>
            <w:vAlign w:val="center"/>
            <w:hideMark/>
          </w:tcPr>
          <w:p w14:paraId="07FD2DB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50" w:type="dxa"/>
            <w:tcBorders>
              <w:top w:val="nil"/>
              <w:left w:val="nil"/>
              <w:bottom w:val="single" w:sz="4" w:space="0" w:color="auto"/>
              <w:right w:val="single" w:sz="4" w:space="0" w:color="auto"/>
            </w:tcBorders>
            <w:shd w:val="clear" w:color="000000" w:fill="BDD7EE"/>
            <w:vAlign w:val="center"/>
            <w:hideMark/>
          </w:tcPr>
          <w:p w14:paraId="16D0B47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5FA8A01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FF0000"/>
            <w:vAlign w:val="center"/>
            <w:hideMark/>
          </w:tcPr>
          <w:p w14:paraId="631237D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bookmarkEnd w:id="211"/>
      <w:tr w:rsidR="00876367" w:rsidRPr="00292532" w14:paraId="7B15C44A" w14:textId="77777777" w:rsidTr="00876367">
        <w:trPr>
          <w:trHeight w:val="720"/>
        </w:trPr>
        <w:tc>
          <w:tcPr>
            <w:tcW w:w="623" w:type="dxa"/>
            <w:vMerge/>
            <w:tcBorders>
              <w:top w:val="nil"/>
              <w:left w:val="single" w:sz="4" w:space="0" w:color="auto"/>
              <w:bottom w:val="single" w:sz="4" w:space="0" w:color="auto"/>
              <w:right w:val="single" w:sz="4" w:space="0" w:color="auto"/>
            </w:tcBorders>
            <w:vAlign w:val="center"/>
            <w:hideMark/>
          </w:tcPr>
          <w:p w14:paraId="5237488F" w14:textId="77777777" w:rsidR="00F05E86" w:rsidRPr="004500AE" w:rsidRDefault="00F05E86" w:rsidP="006071CF">
            <w:pPr>
              <w:spacing w:before="0" w:after="0"/>
              <w:jc w:val="left"/>
              <w:rPr>
                <w:rFonts w:eastAsia="Times New Roman" w:cs="Calibri"/>
                <w:b/>
                <w:bCs/>
                <w:sz w:val="20"/>
                <w:szCs w:val="20"/>
                <w:lang w:val="pt-PT"/>
              </w:rPr>
            </w:pPr>
          </w:p>
        </w:tc>
        <w:tc>
          <w:tcPr>
            <w:tcW w:w="1352" w:type="dxa"/>
            <w:tcBorders>
              <w:top w:val="nil"/>
              <w:left w:val="nil"/>
              <w:bottom w:val="single" w:sz="4" w:space="0" w:color="auto"/>
              <w:right w:val="single" w:sz="4" w:space="0" w:color="auto"/>
            </w:tcBorders>
            <w:shd w:val="clear" w:color="000000" w:fill="FFFFFF"/>
            <w:vAlign w:val="center"/>
            <w:hideMark/>
          </w:tcPr>
          <w:p w14:paraId="2DE76AD8"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Conhecimento científico</w:t>
            </w:r>
          </w:p>
        </w:tc>
        <w:tc>
          <w:tcPr>
            <w:tcW w:w="2633" w:type="dxa"/>
            <w:tcBorders>
              <w:top w:val="nil"/>
              <w:left w:val="nil"/>
              <w:bottom w:val="single" w:sz="4" w:space="0" w:color="auto"/>
              <w:right w:val="single" w:sz="4" w:space="0" w:color="auto"/>
            </w:tcBorders>
            <w:shd w:val="clear" w:color="auto" w:fill="auto"/>
            <w:vAlign w:val="center"/>
            <w:hideMark/>
          </w:tcPr>
          <w:p w14:paraId="21FAB298"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Aumento do conhecimento científico da região (fase de pré-construção)</w:t>
            </w:r>
          </w:p>
        </w:tc>
        <w:tc>
          <w:tcPr>
            <w:tcW w:w="427" w:type="dxa"/>
            <w:tcBorders>
              <w:top w:val="nil"/>
              <w:left w:val="nil"/>
              <w:bottom w:val="single" w:sz="4" w:space="0" w:color="auto"/>
              <w:right w:val="single" w:sz="4" w:space="0" w:color="auto"/>
            </w:tcBorders>
            <w:shd w:val="clear" w:color="000000" w:fill="D9D9D9"/>
            <w:vAlign w:val="center"/>
            <w:hideMark/>
          </w:tcPr>
          <w:p w14:paraId="29A227B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4CD98D2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5109524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6DA58B2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02D988C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6E611A2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1E3423A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5149A3E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112198A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50EA204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50" w:type="dxa"/>
            <w:tcBorders>
              <w:top w:val="nil"/>
              <w:left w:val="nil"/>
              <w:bottom w:val="single" w:sz="4" w:space="0" w:color="auto"/>
              <w:right w:val="single" w:sz="4" w:space="0" w:color="auto"/>
            </w:tcBorders>
            <w:shd w:val="clear" w:color="000000" w:fill="F2F2F2"/>
            <w:vAlign w:val="center"/>
            <w:hideMark/>
          </w:tcPr>
          <w:p w14:paraId="40E5F77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50" w:type="dxa"/>
            <w:tcBorders>
              <w:top w:val="nil"/>
              <w:left w:val="nil"/>
              <w:bottom w:val="single" w:sz="4" w:space="0" w:color="auto"/>
              <w:right w:val="single" w:sz="4" w:space="0" w:color="auto"/>
            </w:tcBorders>
            <w:shd w:val="clear" w:color="000000" w:fill="F2F2F2"/>
            <w:vAlign w:val="center"/>
            <w:hideMark/>
          </w:tcPr>
          <w:p w14:paraId="5152C99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2F2F2"/>
            <w:vAlign w:val="center"/>
            <w:hideMark/>
          </w:tcPr>
          <w:p w14:paraId="700BDB3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D9D9D9"/>
            <w:vAlign w:val="center"/>
            <w:hideMark/>
          </w:tcPr>
          <w:p w14:paraId="11E61D3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D9D9D9"/>
            <w:vAlign w:val="center"/>
            <w:hideMark/>
          </w:tcPr>
          <w:p w14:paraId="43FB4BB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35" w:type="dxa"/>
            <w:tcBorders>
              <w:top w:val="nil"/>
              <w:left w:val="nil"/>
              <w:bottom w:val="single" w:sz="4" w:space="0" w:color="auto"/>
              <w:right w:val="single" w:sz="4" w:space="0" w:color="auto"/>
            </w:tcBorders>
            <w:shd w:val="clear" w:color="000000" w:fill="D9D9D9"/>
            <w:vAlign w:val="center"/>
            <w:hideMark/>
          </w:tcPr>
          <w:p w14:paraId="1A93FCE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5" w:type="dxa"/>
            <w:tcBorders>
              <w:top w:val="nil"/>
              <w:left w:val="nil"/>
              <w:bottom w:val="single" w:sz="4" w:space="0" w:color="auto"/>
              <w:right w:val="single" w:sz="4" w:space="0" w:color="auto"/>
            </w:tcBorders>
            <w:shd w:val="clear" w:color="000000" w:fill="D9D9D9"/>
            <w:vAlign w:val="center"/>
            <w:hideMark/>
          </w:tcPr>
          <w:p w14:paraId="3A58F7F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50" w:type="dxa"/>
            <w:tcBorders>
              <w:top w:val="nil"/>
              <w:left w:val="nil"/>
              <w:bottom w:val="single" w:sz="4" w:space="0" w:color="auto"/>
              <w:right w:val="single" w:sz="4" w:space="0" w:color="auto"/>
            </w:tcBorders>
            <w:shd w:val="clear" w:color="000000" w:fill="BDD7EE"/>
            <w:vAlign w:val="center"/>
            <w:hideMark/>
          </w:tcPr>
          <w:p w14:paraId="022D895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27FB64F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FF0000"/>
            <w:vAlign w:val="center"/>
            <w:hideMark/>
          </w:tcPr>
          <w:p w14:paraId="725D29B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3589DC95" w14:textId="77777777" w:rsidTr="00876367">
        <w:trPr>
          <w:trHeight w:val="720"/>
        </w:trPr>
        <w:tc>
          <w:tcPr>
            <w:tcW w:w="623" w:type="dxa"/>
            <w:vMerge/>
            <w:tcBorders>
              <w:top w:val="nil"/>
              <w:left w:val="single" w:sz="4" w:space="0" w:color="auto"/>
              <w:bottom w:val="single" w:sz="4" w:space="0" w:color="auto"/>
              <w:right w:val="single" w:sz="4" w:space="0" w:color="auto"/>
            </w:tcBorders>
            <w:vAlign w:val="center"/>
            <w:hideMark/>
          </w:tcPr>
          <w:p w14:paraId="0D184C4A" w14:textId="77777777" w:rsidR="00F05E86" w:rsidRPr="004500AE" w:rsidRDefault="00F05E86" w:rsidP="006071CF">
            <w:pPr>
              <w:spacing w:before="0" w:after="0"/>
              <w:jc w:val="left"/>
              <w:rPr>
                <w:rFonts w:eastAsia="Times New Roman" w:cs="Calibri"/>
                <w:b/>
                <w:bCs/>
                <w:sz w:val="20"/>
                <w:szCs w:val="20"/>
                <w:lang w:val="pt-PT"/>
              </w:rPr>
            </w:pPr>
          </w:p>
        </w:tc>
        <w:tc>
          <w:tcPr>
            <w:tcW w:w="1352" w:type="dxa"/>
            <w:tcBorders>
              <w:top w:val="nil"/>
              <w:left w:val="nil"/>
              <w:bottom w:val="single" w:sz="4" w:space="0" w:color="auto"/>
              <w:right w:val="single" w:sz="4" w:space="0" w:color="auto"/>
            </w:tcBorders>
            <w:shd w:val="clear" w:color="000000" w:fill="FFFFFF"/>
            <w:vAlign w:val="center"/>
            <w:hideMark/>
          </w:tcPr>
          <w:p w14:paraId="78335AAB" w14:textId="77777777" w:rsidR="00F05E86" w:rsidRPr="004500AE" w:rsidRDefault="00F05E86" w:rsidP="006071CF">
            <w:pPr>
              <w:spacing w:before="0" w:after="0"/>
              <w:jc w:val="center"/>
              <w:rPr>
                <w:rFonts w:eastAsia="Times New Roman" w:cs="Calibri"/>
                <w:b/>
                <w:bCs/>
                <w:color w:val="000000"/>
                <w:sz w:val="20"/>
                <w:szCs w:val="20"/>
                <w:lang w:val="pt-PT"/>
              </w:rPr>
            </w:pPr>
            <w:r w:rsidRPr="004500AE">
              <w:rPr>
                <w:rFonts w:eastAsia="Times New Roman" w:cs="Calibri"/>
                <w:b/>
                <w:bCs/>
                <w:color w:val="000000"/>
                <w:sz w:val="20"/>
                <w:szCs w:val="20"/>
                <w:lang w:val="pt-PT"/>
              </w:rPr>
              <w:t>Segurança</w:t>
            </w:r>
          </w:p>
        </w:tc>
        <w:tc>
          <w:tcPr>
            <w:tcW w:w="2633" w:type="dxa"/>
            <w:tcBorders>
              <w:top w:val="nil"/>
              <w:left w:val="nil"/>
              <w:bottom w:val="single" w:sz="4" w:space="0" w:color="auto"/>
              <w:right w:val="single" w:sz="4" w:space="0" w:color="auto"/>
            </w:tcBorders>
            <w:shd w:val="clear" w:color="auto" w:fill="auto"/>
            <w:vAlign w:val="center"/>
            <w:hideMark/>
          </w:tcPr>
          <w:p w14:paraId="652A3D44"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Aumento de ocorrências criminais (fase de construção)</w:t>
            </w:r>
          </w:p>
        </w:tc>
        <w:tc>
          <w:tcPr>
            <w:tcW w:w="427" w:type="dxa"/>
            <w:tcBorders>
              <w:top w:val="nil"/>
              <w:left w:val="nil"/>
              <w:bottom w:val="single" w:sz="4" w:space="0" w:color="auto"/>
              <w:right w:val="single" w:sz="4" w:space="0" w:color="auto"/>
            </w:tcBorders>
            <w:shd w:val="clear" w:color="000000" w:fill="D9D9D9"/>
            <w:vAlign w:val="center"/>
            <w:hideMark/>
          </w:tcPr>
          <w:p w14:paraId="207D5051"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027EFB8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5C837A0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3AED232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366B74E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536F950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7AB6389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3BA4DD8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3ED36F9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506BDA4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54A0BB8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354690D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2F2F2"/>
            <w:vAlign w:val="center"/>
            <w:hideMark/>
          </w:tcPr>
          <w:p w14:paraId="6F306D4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D9D9D9"/>
            <w:vAlign w:val="center"/>
            <w:hideMark/>
          </w:tcPr>
          <w:p w14:paraId="2FDD852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D9D9D9"/>
            <w:vAlign w:val="center"/>
            <w:hideMark/>
          </w:tcPr>
          <w:p w14:paraId="6049F7E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35" w:type="dxa"/>
            <w:tcBorders>
              <w:top w:val="nil"/>
              <w:left w:val="nil"/>
              <w:bottom w:val="single" w:sz="4" w:space="0" w:color="auto"/>
              <w:right w:val="single" w:sz="4" w:space="0" w:color="auto"/>
            </w:tcBorders>
            <w:shd w:val="clear" w:color="000000" w:fill="D9D9D9"/>
            <w:vAlign w:val="center"/>
            <w:hideMark/>
          </w:tcPr>
          <w:p w14:paraId="10B8C88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5" w:type="dxa"/>
            <w:tcBorders>
              <w:top w:val="nil"/>
              <w:left w:val="nil"/>
              <w:bottom w:val="single" w:sz="4" w:space="0" w:color="auto"/>
              <w:right w:val="single" w:sz="4" w:space="0" w:color="auto"/>
            </w:tcBorders>
            <w:shd w:val="clear" w:color="000000" w:fill="D9D9D9"/>
            <w:vAlign w:val="center"/>
            <w:hideMark/>
          </w:tcPr>
          <w:p w14:paraId="1BF22BA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34807CA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FFF00"/>
            <w:vAlign w:val="center"/>
            <w:hideMark/>
          </w:tcPr>
          <w:p w14:paraId="403A0EB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BDD7EE"/>
            <w:vAlign w:val="center"/>
            <w:hideMark/>
          </w:tcPr>
          <w:p w14:paraId="0E5387B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47988152" w14:textId="77777777" w:rsidTr="00876367">
        <w:trPr>
          <w:trHeight w:val="720"/>
        </w:trPr>
        <w:tc>
          <w:tcPr>
            <w:tcW w:w="623" w:type="dxa"/>
            <w:vMerge/>
            <w:tcBorders>
              <w:top w:val="nil"/>
              <w:left w:val="single" w:sz="4" w:space="0" w:color="auto"/>
              <w:bottom w:val="single" w:sz="4" w:space="0" w:color="auto"/>
              <w:right w:val="single" w:sz="4" w:space="0" w:color="auto"/>
            </w:tcBorders>
            <w:vAlign w:val="center"/>
            <w:hideMark/>
          </w:tcPr>
          <w:p w14:paraId="04E011F4" w14:textId="77777777" w:rsidR="00F05E86" w:rsidRPr="004500AE" w:rsidRDefault="00F05E86" w:rsidP="006071CF">
            <w:pPr>
              <w:spacing w:before="0" w:after="0"/>
              <w:jc w:val="left"/>
              <w:rPr>
                <w:rFonts w:eastAsia="Times New Roman" w:cs="Calibri"/>
                <w:b/>
                <w:bCs/>
                <w:sz w:val="20"/>
                <w:szCs w:val="20"/>
                <w:lang w:val="pt-PT"/>
              </w:rPr>
            </w:pPr>
          </w:p>
        </w:tc>
        <w:tc>
          <w:tcPr>
            <w:tcW w:w="13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231D7E9B" w14:textId="77777777" w:rsidR="00F05E86" w:rsidRPr="00292532" w:rsidRDefault="00F05E86" w:rsidP="006071CF">
            <w:pPr>
              <w:spacing w:before="0" w:after="0"/>
              <w:jc w:val="center"/>
              <w:rPr>
                <w:rFonts w:eastAsia="Times New Roman" w:cs="Calibri"/>
                <w:b/>
                <w:bCs/>
                <w:color w:val="000000"/>
                <w:sz w:val="20"/>
                <w:szCs w:val="20"/>
                <w:lang w:val="pt-PT"/>
              </w:rPr>
            </w:pPr>
            <w:r w:rsidRPr="00292532">
              <w:rPr>
                <w:rFonts w:eastAsia="Times New Roman" w:cs="Calibri"/>
                <w:b/>
                <w:bCs/>
                <w:color w:val="000000"/>
                <w:sz w:val="20"/>
                <w:szCs w:val="20"/>
                <w:lang w:val="pt-PT"/>
              </w:rPr>
              <w:t>Expectativas e satisfação das Comunidades</w:t>
            </w:r>
          </w:p>
        </w:tc>
        <w:tc>
          <w:tcPr>
            <w:tcW w:w="2633" w:type="dxa"/>
            <w:tcBorders>
              <w:top w:val="nil"/>
              <w:left w:val="nil"/>
              <w:bottom w:val="single" w:sz="4" w:space="0" w:color="auto"/>
              <w:right w:val="single" w:sz="4" w:space="0" w:color="auto"/>
            </w:tcBorders>
            <w:shd w:val="clear" w:color="auto" w:fill="auto"/>
            <w:vAlign w:val="center"/>
            <w:hideMark/>
          </w:tcPr>
          <w:p w14:paraId="3D8EC64B"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 xml:space="preserve">Insatisfação por parte das populações sobre o </w:t>
            </w:r>
            <w:proofErr w:type="spellStart"/>
            <w:r w:rsidRPr="00292532">
              <w:rPr>
                <w:rFonts w:eastAsia="Times New Roman" w:cs="Calibri"/>
                <w:color w:val="000000"/>
                <w:sz w:val="20"/>
                <w:szCs w:val="20"/>
                <w:lang w:val="pt-PT"/>
              </w:rPr>
              <w:t>Projecto</w:t>
            </w:r>
            <w:proofErr w:type="spellEnd"/>
            <w:r w:rsidRPr="00292532">
              <w:rPr>
                <w:rFonts w:eastAsia="Times New Roman" w:cs="Calibri"/>
                <w:color w:val="000000"/>
                <w:sz w:val="20"/>
                <w:szCs w:val="20"/>
                <w:lang w:val="pt-PT"/>
              </w:rPr>
              <w:t xml:space="preserve"> (fase de </w:t>
            </w:r>
            <w:proofErr w:type="spellStart"/>
            <w:r w:rsidRPr="00292532">
              <w:rPr>
                <w:rFonts w:eastAsia="Times New Roman" w:cs="Calibri"/>
                <w:color w:val="000000"/>
                <w:sz w:val="20"/>
                <w:szCs w:val="20"/>
                <w:lang w:val="pt-PT"/>
              </w:rPr>
              <w:t>pre</w:t>
            </w:r>
            <w:proofErr w:type="spellEnd"/>
            <w:r w:rsidRPr="00292532">
              <w:rPr>
                <w:rFonts w:eastAsia="Times New Roman" w:cs="Calibri"/>
                <w:color w:val="000000"/>
                <w:sz w:val="20"/>
                <w:szCs w:val="20"/>
                <w:lang w:val="pt-PT"/>
              </w:rPr>
              <w:t>-construção e construção)</w:t>
            </w:r>
          </w:p>
        </w:tc>
        <w:tc>
          <w:tcPr>
            <w:tcW w:w="427" w:type="dxa"/>
            <w:tcBorders>
              <w:top w:val="nil"/>
              <w:left w:val="nil"/>
              <w:bottom w:val="single" w:sz="4" w:space="0" w:color="auto"/>
              <w:right w:val="single" w:sz="4" w:space="0" w:color="auto"/>
            </w:tcBorders>
            <w:shd w:val="clear" w:color="000000" w:fill="D9D9D9"/>
            <w:vAlign w:val="center"/>
            <w:hideMark/>
          </w:tcPr>
          <w:p w14:paraId="2959F7C0"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7B8245A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4FB8289C"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66FAC10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3CCB6FD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638EB6E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750C1C1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6C9EFD4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2A67023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4CCD53E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7C18567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4CB966F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2F2F2"/>
            <w:vAlign w:val="center"/>
            <w:hideMark/>
          </w:tcPr>
          <w:p w14:paraId="7FAF44C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D9D9D9"/>
            <w:vAlign w:val="center"/>
            <w:hideMark/>
          </w:tcPr>
          <w:p w14:paraId="01EE719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450" w:type="dxa"/>
            <w:tcBorders>
              <w:top w:val="nil"/>
              <w:left w:val="nil"/>
              <w:bottom w:val="single" w:sz="4" w:space="0" w:color="auto"/>
              <w:right w:val="single" w:sz="4" w:space="0" w:color="auto"/>
            </w:tcBorders>
            <w:shd w:val="clear" w:color="000000" w:fill="D9D9D9"/>
            <w:vAlign w:val="center"/>
            <w:hideMark/>
          </w:tcPr>
          <w:p w14:paraId="33888BE4"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35" w:type="dxa"/>
            <w:tcBorders>
              <w:top w:val="nil"/>
              <w:left w:val="nil"/>
              <w:bottom w:val="single" w:sz="4" w:space="0" w:color="auto"/>
              <w:right w:val="single" w:sz="4" w:space="0" w:color="auto"/>
            </w:tcBorders>
            <w:shd w:val="clear" w:color="000000" w:fill="D9D9D9"/>
            <w:vAlign w:val="center"/>
            <w:hideMark/>
          </w:tcPr>
          <w:p w14:paraId="186B821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5" w:type="dxa"/>
            <w:tcBorders>
              <w:top w:val="nil"/>
              <w:left w:val="nil"/>
              <w:bottom w:val="single" w:sz="4" w:space="0" w:color="auto"/>
              <w:right w:val="single" w:sz="4" w:space="0" w:color="auto"/>
            </w:tcBorders>
            <w:shd w:val="clear" w:color="000000" w:fill="D9D9D9"/>
            <w:vAlign w:val="center"/>
            <w:hideMark/>
          </w:tcPr>
          <w:p w14:paraId="6F6AC282"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92D050"/>
            <w:vAlign w:val="center"/>
            <w:hideMark/>
          </w:tcPr>
          <w:p w14:paraId="6DB4F5B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5243CE3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BDD7EE"/>
            <w:vAlign w:val="center"/>
            <w:hideMark/>
          </w:tcPr>
          <w:p w14:paraId="0E49FDC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r w:rsidR="00876367" w:rsidRPr="00292532" w14:paraId="12FA513F" w14:textId="77777777" w:rsidTr="00876367">
        <w:trPr>
          <w:trHeight w:val="720"/>
        </w:trPr>
        <w:tc>
          <w:tcPr>
            <w:tcW w:w="623" w:type="dxa"/>
            <w:vMerge/>
            <w:tcBorders>
              <w:top w:val="nil"/>
              <w:left w:val="single" w:sz="4" w:space="0" w:color="auto"/>
              <w:bottom w:val="single" w:sz="4" w:space="0" w:color="auto"/>
              <w:right w:val="single" w:sz="4" w:space="0" w:color="auto"/>
            </w:tcBorders>
            <w:vAlign w:val="center"/>
            <w:hideMark/>
          </w:tcPr>
          <w:p w14:paraId="40A60712" w14:textId="77777777" w:rsidR="00F05E86" w:rsidRPr="004500AE" w:rsidRDefault="00F05E86" w:rsidP="006071CF">
            <w:pPr>
              <w:spacing w:before="0" w:after="0"/>
              <w:jc w:val="left"/>
              <w:rPr>
                <w:rFonts w:eastAsia="Times New Roman" w:cs="Calibri"/>
                <w:b/>
                <w:bCs/>
                <w:sz w:val="20"/>
                <w:szCs w:val="20"/>
                <w:lang w:val="pt-PT"/>
              </w:rPr>
            </w:pPr>
          </w:p>
        </w:tc>
        <w:tc>
          <w:tcPr>
            <w:tcW w:w="1352" w:type="dxa"/>
            <w:vMerge/>
            <w:tcBorders>
              <w:top w:val="nil"/>
              <w:left w:val="single" w:sz="4" w:space="0" w:color="auto"/>
              <w:bottom w:val="single" w:sz="4" w:space="0" w:color="auto"/>
              <w:right w:val="single" w:sz="4" w:space="0" w:color="auto"/>
            </w:tcBorders>
            <w:vAlign w:val="center"/>
            <w:hideMark/>
          </w:tcPr>
          <w:p w14:paraId="3C6A270A" w14:textId="77777777" w:rsidR="00F05E86" w:rsidRPr="004500AE" w:rsidRDefault="00F05E86" w:rsidP="006071CF">
            <w:pPr>
              <w:spacing w:before="0" w:after="0"/>
              <w:jc w:val="left"/>
              <w:rPr>
                <w:rFonts w:eastAsia="Times New Roman" w:cs="Calibri"/>
                <w:b/>
                <w:bCs/>
                <w:color w:val="000000"/>
                <w:sz w:val="20"/>
                <w:szCs w:val="20"/>
                <w:lang w:val="pt-PT"/>
              </w:rPr>
            </w:pPr>
          </w:p>
        </w:tc>
        <w:tc>
          <w:tcPr>
            <w:tcW w:w="2633" w:type="dxa"/>
            <w:tcBorders>
              <w:top w:val="nil"/>
              <w:left w:val="nil"/>
              <w:bottom w:val="single" w:sz="4" w:space="0" w:color="auto"/>
              <w:right w:val="single" w:sz="4" w:space="0" w:color="auto"/>
            </w:tcBorders>
            <w:shd w:val="clear" w:color="auto" w:fill="auto"/>
            <w:vAlign w:val="center"/>
            <w:hideMark/>
          </w:tcPr>
          <w:p w14:paraId="4F687AE1" w14:textId="77777777" w:rsidR="00F05E86" w:rsidRPr="00292532" w:rsidRDefault="00F05E86" w:rsidP="006071CF">
            <w:pPr>
              <w:spacing w:before="0" w:after="0"/>
              <w:jc w:val="left"/>
              <w:rPr>
                <w:rFonts w:eastAsia="Times New Roman" w:cs="Calibri"/>
                <w:color w:val="000000"/>
                <w:sz w:val="20"/>
                <w:szCs w:val="20"/>
                <w:lang w:val="pt-PT"/>
              </w:rPr>
            </w:pPr>
            <w:r w:rsidRPr="00292532">
              <w:rPr>
                <w:rFonts w:eastAsia="Times New Roman" w:cs="Calibri"/>
                <w:color w:val="000000"/>
                <w:sz w:val="20"/>
                <w:szCs w:val="20"/>
                <w:lang w:val="pt-PT"/>
              </w:rPr>
              <w:t xml:space="preserve">Geração de expectativas, insegurança e ansiedade da população em relação ao </w:t>
            </w:r>
            <w:proofErr w:type="spellStart"/>
            <w:r w:rsidRPr="00292532">
              <w:rPr>
                <w:rFonts w:eastAsia="Times New Roman" w:cs="Calibri"/>
                <w:color w:val="000000"/>
                <w:sz w:val="20"/>
                <w:szCs w:val="20"/>
                <w:lang w:val="pt-PT"/>
              </w:rPr>
              <w:t>Projecto</w:t>
            </w:r>
            <w:proofErr w:type="spellEnd"/>
            <w:r w:rsidRPr="00292532">
              <w:rPr>
                <w:rFonts w:eastAsia="Times New Roman" w:cs="Calibri"/>
                <w:color w:val="000000"/>
                <w:sz w:val="20"/>
                <w:szCs w:val="20"/>
                <w:lang w:val="pt-PT"/>
              </w:rPr>
              <w:t xml:space="preserve"> (fase de </w:t>
            </w:r>
            <w:proofErr w:type="spellStart"/>
            <w:r w:rsidRPr="00292532">
              <w:rPr>
                <w:rFonts w:eastAsia="Times New Roman" w:cs="Calibri"/>
                <w:color w:val="000000"/>
                <w:sz w:val="20"/>
                <w:szCs w:val="20"/>
                <w:lang w:val="pt-PT"/>
              </w:rPr>
              <w:t>pre</w:t>
            </w:r>
            <w:proofErr w:type="spellEnd"/>
            <w:r w:rsidRPr="00292532">
              <w:rPr>
                <w:rFonts w:eastAsia="Times New Roman" w:cs="Calibri"/>
                <w:color w:val="000000"/>
                <w:sz w:val="20"/>
                <w:szCs w:val="20"/>
                <w:lang w:val="pt-PT"/>
              </w:rPr>
              <w:t>-construção e construção)</w:t>
            </w:r>
          </w:p>
        </w:tc>
        <w:tc>
          <w:tcPr>
            <w:tcW w:w="427" w:type="dxa"/>
            <w:tcBorders>
              <w:top w:val="nil"/>
              <w:left w:val="nil"/>
              <w:bottom w:val="single" w:sz="4" w:space="0" w:color="auto"/>
              <w:right w:val="single" w:sz="4" w:space="0" w:color="auto"/>
            </w:tcBorders>
            <w:shd w:val="clear" w:color="000000" w:fill="D9D9D9"/>
            <w:vAlign w:val="center"/>
            <w:hideMark/>
          </w:tcPr>
          <w:p w14:paraId="763EF82E" w14:textId="77777777" w:rsidR="00F05E86" w:rsidRPr="00292532" w:rsidRDefault="00F05E86" w:rsidP="006071CF">
            <w:pPr>
              <w:spacing w:before="0" w:after="0"/>
              <w:jc w:val="center"/>
              <w:rPr>
                <w:rFonts w:eastAsia="Times New Roman" w:cs="Calibri"/>
                <w:color w:val="000000"/>
                <w:sz w:val="20"/>
                <w:szCs w:val="20"/>
                <w:lang w:val="pt-PT"/>
              </w:rPr>
            </w:pPr>
            <w:r w:rsidRPr="00292532">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68C3F2D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40494016"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552C551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FFFFFF"/>
            <w:vAlign w:val="center"/>
            <w:hideMark/>
          </w:tcPr>
          <w:p w14:paraId="20CA6AE5"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FFFFF"/>
            <w:vAlign w:val="center"/>
            <w:hideMark/>
          </w:tcPr>
          <w:p w14:paraId="1073847F"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3AAEC38B"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D9D9D9"/>
            <w:vAlign w:val="center"/>
            <w:hideMark/>
          </w:tcPr>
          <w:p w14:paraId="5D90894E"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0CF05F1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360" w:type="dxa"/>
            <w:tcBorders>
              <w:top w:val="nil"/>
              <w:left w:val="nil"/>
              <w:bottom w:val="single" w:sz="4" w:space="0" w:color="auto"/>
              <w:right w:val="single" w:sz="4" w:space="0" w:color="auto"/>
            </w:tcBorders>
            <w:shd w:val="clear" w:color="000000" w:fill="D9D9D9"/>
            <w:vAlign w:val="center"/>
            <w:hideMark/>
          </w:tcPr>
          <w:p w14:paraId="7C7BA79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2ED9A10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2F2F2"/>
            <w:vAlign w:val="center"/>
            <w:hideMark/>
          </w:tcPr>
          <w:p w14:paraId="6E035A8A"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360" w:type="dxa"/>
            <w:tcBorders>
              <w:top w:val="nil"/>
              <w:left w:val="nil"/>
              <w:bottom w:val="single" w:sz="4" w:space="0" w:color="auto"/>
              <w:right w:val="single" w:sz="4" w:space="0" w:color="auto"/>
            </w:tcBorders>
            <w:shd w:val="clear" w:color="000000" w:fill="F2F2F2"/>
            <w:vAlign w:val="center"/>
            <w:hideMark/>
          </w:tcPr>
          <w:p w14:paraId="11B54789"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D9D9D9"/>
            <w:vAlign w:val="center"/>
            <w:hideMark/>
          </w:tcPr>
          <w:p w14:paraId="72861FB8"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D9D9D9"/>
            <w:vAlign w:val="center"/>
            <w:hideMark/>
          </w:tcPr>
          <w:p w14:paraId="1E7BC49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X</w:t>
            </w:r>
          </w:p>
        </w:tc>
        <w:tc>
          <w:tcPr>
            <w:tcW w:w="535" w:type="dxa"/>
            <w:tcBorders>
              <w:top w:val="nil"/>
              <w:left w:val="nil"/>
              <w:bottom w:val="single" w:sz="4" w:space="0" w:color="auto"/>
              <w:right w:val="single" w:sz="4" w:space="0" w:color="auto"/>
            </w:tcBorders>
            <w:shd w:val="clear" w:color="000000" w:fill="D9D9D9"/>
            <w:vAlign w:val="center"/>
            <w:hideMark/>
          </w:tcPr>
          <w:p w14:paraId="0D319A51"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5" w:type="dxa"/>
            <w:tcBorders>
              <w:top w:val="nil"/>
              <w:left w:val="nil"/>
              <w:bottom w:val="single" w:sz="4" w:space="0" w:color="auto"/>
              <w:right w:val="single" w:sz="4" w:space="0" w:color="auto"/>
            </w:tcBorders>
            <w:shd w:val="clear" w:color="000000" w:fill="D9D9D9"/>
            <w:vAlign w:val="center"/>
            <w:hideMark/>
          </w:tcPr>
          <w:p w14:paraId="42F9D783"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BDD7EE"/>
            <w:vAlign w:val="center"/>
            <w:hideMark/>
          </w:tcPr>
          <w:p w14:paraId="05CD9E60"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450" w:type="dxa"/>
            <w:tcBorders>
              <w:top w:val="nil"/>
              <w:left w:val="nil"/>
              <w:bottom w:val="single" w:sz="4" w:space="0" w:color="auto"/>
              <w:right w:val="single" w:sz="4" w:space="0" w:color="auto"/>
            </w:tcBorders>
            <w:shd w:val="clear" w:color="000000" w:fill="FFFF00"/>
            <w:vAlign w:val="center"/>
            <w:hideMark/>
          </w:tcPr>
          <w:p w14:paraId="3C417DED"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c>
          <w:tcPr>
            <w:tcW w:w="540" w:type="dxa"/>
            <w:tcBorders>
              <w:top w:val="nil"/>
              <w:left w:val="nil"/>
              <w:bottom w:val="single" w:sz="4" w:space="0" w:color="auto"/>
              <w:right w:val="single" w:sz="4" w:space="0" w:color="auto"/>
            </w:tcBorders>
            <w:shd w:val="clear" w:color="000000" w:fill="BDD7EE"/>
            <w:vAlign w:val="center"/>
            <w:hideMark/>
          </w:tcPr>
          <w:p w14:paraId="3788B7A7" w14:textId="77777777" w:rsidR="00F05E86" w:rsidRPr="004500AE" w:rsidRDefault="00F05E86" w:rsidP="006071CF">
            <w:pPr>
              <w:spacing w:before="0" w:after="0"/>
              <w:jc w:val="center"/>
              <w:rPr>
                <w:rFonts w:eastAsia="Times New Roman" w:cs="Calibri"/>
                <w:color w:val="000000"/>
                <w:sz w:val="20"/>
                <w:szCs w:val="20"/>
                <w:lang w:val="pt-PT"/>
              </w:rPr>
            </w:pPr>
            <w:r w:rsidRPr="004500AE">
              <w:rPr>
                <w:rFonts w:eastAsia="Times New Roman" w:cs="Calibri"/>
                <w:color w:val="000000"/>
                <w:sz w:val="20"/>
                <w:szCs w:val="20"/>
                <w:lang w:val="pt-PT"/>
              </w:rPr>
              <w:t> </w:t>
            </w:r>
          </w:p>
        </w:tc>
      </w:tr>
    </w:tbl>
    <w:p w14:paraId="10D13BC0" w14:textId="0A5FFCBD" w:rsidR="00C17832" w:rsidRPr="00292532" w:rsidRDefault="00C17832">
      <w:pPr>
        <w:pStyle w:val="Heading3"/>
      </w:pPr>
      <w:bookmarkStart w:id="212" w:name="_Toc80379972"/>
      <w:bookmarkEnd w:id="206"/>
      <w:r w:rsidRPr="00292532">
        <w:lastRenderedPageBreak/>
        <w:t>Riscos de Saúde e Segurança Ocupacional</w:t>
      </w:r>
      <w:bookmarkEnd w:id="212"/>
      <w:r w:rsidRPr="00292532">
        <w:t xml:space="preserve"> </w:t>
      </w:r>
    </w:p>
    <w:p w14:paraId="19829172" w14:textId="43420FC7" w:rsidR="00C17832" w:rsidRPr="00292532" w:rsidRDefault="00C17832" w:rsidP="00C17832">
      <w:pPr>
        <w:pStyle w:val="Caption"/>
      </w:pPr>
      <w:bookmarkStart w:id="213" w:name="_Toc75438165"/>
      <w:bookmarkStart w:id="214" w:name="_Toc80380271"/>
      <w:r w:rsidRPr="00292532">
        <w:t xml:space="preserve">Tabela </w:t>
      </w:r>
      <w:r w:rsidRPr="00292532">
        <w:fldChar w:fldCharType="begin"/>
      </w:r>
      <w:r w:rsidRPr="00292532">
        <w:instrText xml:space="preserve"> SEQ Tabela \* ARABIC </w:instrText>
      </w:r>
      <w:r w:rsidRPr="00292532">
        <w:fldChar w:fldCharType="separate"/>
      </w:r>
      <w:r w:rsidR="00C25AEB" w:rsidRPr="00292532">
        <w:rPr>
          <w:noProof/>
        </w:rPr>
        <w:t>24</w:t>
      </w:r>
      <w:r w:rsidRPr="00292532">
        <w:fldChar w:fldCharType="end"/>
      </w:r>
      <w:r w:rsidRPr="00292532">
        <w:t>: Riscos de Saúde e Segurança Ocupacional</w:t>
      </w:r>
      <w:bookmarkEnd w:id="213"/>
      <w:bookmarkEnd w:id="214"/>
    </w:p>
    <w:tbl>
      <w:tblPr>
        <w:tblStyle w:val="GridTable1Light-Accent13"/>
        <w:tblW w:w="12330" w:type="dxa"/>
        <w:tblInd w:w="895" w:type="dxa"/>
        <w:tblLayout w:type="fixed"/>
        <w:tblLook w:val="04A0" w:firstRow="1" w:lastRow="0" w:firstColumn="1" w:lastColumn="0" w:noHBand="0" w:noVBand="1"/>
      </w:tblPr>
      <w:tblGrid>
        <w:gridCol w:w="2610"/>
        <w:gridCol w:w="6660"/>
        <w:gridCol w:w="3060"/>
      </w:tblGrid>
      <w:tr w:rsidR="00597827" w:rsidRPr="00292532" w14:paraId="083D08D3" w14:textId="77777777" w:rsidTr="00597827">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2610" w:type="dxa"/>
            <w:shd w:val="clear" w:color="auto" w:fill="D9E2F3" w:themeFill="accent1" w:themeFillTint="33"/>
          </w:tcPr>
          <w:p w14:paraId="3B3FC578" w14:textId="77777777" w:rsidR="00597827" w:rsidRPr="00292532" w:rsidRDefault="00597827" w:rsidP="00C17832">
            <w:pPr>
              <w:jc w:val="center"/>
              <w:rPr>
                <w:sz w:val="20"/>
                <w:szCs w:val="20"/>
                <w:lang w:val="pt-PT"/>
              </w:rPr>
            </w:pPr>
            <w:r w:rsidRPr="00292532">
              <w:rPr>
                <w:sz w:val="20"/>
                <w:szCs w:val="20"/>
                <w:lang w:val="pt-PT"/>
              </w:rPr>
              <w:t>Risco</w:t>
            </w:r>
          </w:p>
        </w:tc>
        <w:tc>
          <w:tcPr>
            <w:tcW w:w="6660" w:type="dxa"/>
            <w:shd w:val="clear" w:color="auto" w:fill="D9E2F3" w:themeFill="accent1" w:themeFillTint="33"/>
          </w:tcPr>
          <w:p w14:paraId="18876264" w14:textId="77777777" w:rsidR="00597827" w:rsidRPr="00292532" w:rsidRDefault="00597827" w:rsidP="00C17832">
            <w:pPr>
              <w:jc w:val="center"/>
              <w:cnfStyle w:val="100000000000" w:firstRow="1"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Causas</w:t>
            </w:r>
          </w:p>
        </w:tc>
        <w:tc>
          <w:tcPr>
            <w:tcW w:w="3060" w:type="dxa"/>
            <w:shd w:val="clear" w:color="auto" w:fill="D9E2F3" w:themeFill="accent1" w:themeFillTint="33"/>
          </w:tcPr>
          <w:p w14:paraId="63BA96EE" w14:textId="77777777" w:rsidR="00597827" w:rsidRPr="00292532" w:rsidRDefault="00597827" w:rsidP="00C17832">
            <w:pPr>
              <w:jc w:val="center"/>
              <w:cnfStyle w:val="100000000000" w:firstRow="1"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Impactos</w:t>
            </w:r>
          </w:p>
        </w:tc>
      </w:tr>
      <w:tr w:rsidR="00597827" w:rsidRPr="001E4B2C" w14:paraId="039E5F27" w14:textId="77777777" w:rsidTr="00597827">
        <w:trPr>
          <w:trHeight w:val="517"/>
        </w:trPr>
        <w:tc>
          <w:tcPr>
            <w:cnfStyle w:val="001000000000" w:firstRow="0" w:lastRow="0" w:firstColumn="1" w:lastColumn="0" w:oddVBand="0" w:evenVBand="0" w:oddHBand="0" w:evenHBand="0" w:firstRowFirstColumn="0" w:firstRowLastColumn="0" w:lastRowFirstColumn="0" w:lastRowLastColumn="0"/>
            <w:tcW w:w="2610" w:type="dxa"/>
          </w:tcPr>
          <w:p w14:paraId="28882A65" w14:textId="77777777" w:rsidR="00597827" w:rsidRPr="00292532" w:rsidRDefault="00597827" w:rsidP="00C17832">
            <w:pPr>
              <w:rPr>
                <w:sz w:val="20"/>
                <w:szCs w:val="20"/>
                <w:lang w:val="pt-PT"/>
              </w:rPr>
            </w:pPr>
            <w:r w:rsidRPr="00292532">
              <w:rPr>
                <w:sz w:val="20"/>
                <w:szCs w:val="20"/>
                <w:lang w:val="pt-PT"/>
              </w:rPr>
              <w:t>Escorregões, tropeções, quedas</w:t>
            </w:r>
          </w:p>
        </w:tc>
        <w:tc>
          <w:tcPr>
            <w:tcW w:w="6660" w:type="dxa"/>
          </w:tcPr>
          <w:p w14:paraId="3DA99DA1" w14:textId="02BC42AC" w:rsidR="00597827" w:rsidRPr="00292532" w:rsidRDefault="00597827" w:rsidP="0024772D">
            <w:pPr>
              <w:pStyle w:val="ListParagraph"/>
              <w:numPr>
                <w:ilvl w:val="0"/>
                <w:numId w:val="48"/>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proofErr w:type="spellStart"/>
            <w:r w:rsidRPr="00292532">
              <w:rPr>
                <w:sz w:val="20"/>
                <w:szCs w:val="20"/>
                <w:lang w:val="pt-PT"/>
              </w:rPr>
              <w:t>Actividades</w:t>
            </w:r>
            <w:proofErr w:type="spellEnd"/>
            <w:r w:rsidRPr="00292532">
              <w:rPr>
                <w:sz w:val="20"/>
                <w:szCs w:val="20"/>
                <w:lang w:val="pt-PT"/>
              </w:rPr>
              <w:t xml:space="preserve"> de construção p.e. em trabalhos em altura, </w:t>
            </w:r>
            <w:proofErr w:type="spellStart"/>
            <w:r w:rsidRPr="00292532">
              <w:rPr>
                <w:sz w:val="20"/>
                <w:szCs w:val="20"/>
                <w:lang w:val="pt-PT"/>
              </w:rPr>
              <w:t>actividades</w:t>
            </w:r>
            <w:proofErr w:type="spellEnd"/>
            <w:r w:rsidRPr="00292532">
              <w:rPr>
                <w:sz w:val="20"/>
                <w:szCs w:val="20"/>
                <w:lang w:val="pt-PT"/>
              </w:rPr>
              <w:t xml:space="preserve"> de içamento e de elevação de carga, </w:t>
            </w:r>
            <w:r w:rsidR="0005701F" w:rsidRPr="00292532">
              <w:rPr>
                <w:sz w:val="20"/>
                <w:szCs w:val="20"/>
                <w:lang w:val="pt-PT"/>
              </w:rPr>
              <w:t>escavações</w:t>
            </w:r>
            <w:r w:rsidRPr="00292532">
              <w:rPr>
                <w:sz w:val="20"/>
                <w:szCs w:val="20"/>
                <w:lang w:val="pt-PT"/>
              </w:rPr>
              <w:t>, trabalhos em espaços confinados (p.e. tanques de água)</w:t>
            </w:r>
          </w:p>
          <w:p w14:paraId="0ACF30D2" w14:textId="1DF95BA6" w:rsidR="00597827" w:rsidRPr="00292532" w:rsidRDefault="00597827" w:rsidP="0024772D">
            <w:pPr>
              <w:pStyle w:val="ListParagraph"/>
              <w:numPr>
                <w:ilvl w:val="0"/>
                <w:numId w:val="48"/>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Sem avaliação prévia de riscos inerentes à </w:t>
            </w:r>
            <w:proofErr w:type="spellStart"/>
            <w:r w:rsidRPr="00292532">
              <w:rPr>
                <w:sz w:val="20"/>
                <w:szCs w:val="20"/>
                <w:lang w:val="pt-PT"/>
              </w:rPr>
              <w:t>actividade</w:t>
            </w:r>
            <w:proofErr w:type="spellEnd"/>
          </w:p>
        </w:tc>
        <w:tc>
          <w:tcPr>
            <w:tcW w:w="3060" w:type="dxa"/>
          </w:tcPr>
          <w:p w14:paraId="4ED95BAA" w14:textId="0B5660EF" w:rsidR="00597827" w:rsidRPr="00292532" w:rsidRDefault="00597827" w:rsidP="00C1783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Lesão do trabalhador (torceduras, tensões, </w:t>
            </w:r>
            <w:r w:rsidR="0005701F" w:rsidRPr="00292532">
              <w:rPr>
                <w:sz w:val="20"/>
                <w:szCs w:val="20"/>
                <w:lang w:val="pt-PT"/>
              </w:rPr>
              <w:t>fraturas</w:t>
            </w:r>
            <w:r w:rsidRPr="00292532">
              <w:rPr>
                <w:sz w:val="20"/>
                <w:szCs w:val="20"/>
                <w:lang w:val="pt-PT"/>
              </w:rPr>
              <w:t>, traumas fatais), perda de horas de trabalho por lesão, morte</w:t>
            </w:r>
          </w:p>
        </w:tc>
      </w:tr>
      <w:tr w:rsidR="00597827" w:rsidRPr="001E4B2C" w14:paraId="14567743" w14:textId="77777777" w:rsidTr="00597827">
        <w:trPr>
          <w:trHeight w:val="517"/>
        </w:trPr>
        <w:tc>
          <w:tcPr>
            <w:cnfStyle w:val="001000000000" w:firstRow="0" w:lastRow="0" w:firstColumn="1" w:lastColumn="0" w:oddVBand="0" w:evenVBand="0" w:oddHBand="0" w:evenHBand="0" w:firstRowFirstColumn="0" w:firstRowLastColumn="0" w:lastRowFirstColumn="0" w:lastRowLastColumn="0"/>
            <w:tcW w:w="2610" w:type="dxa"/>
          </w:tcPr>
          <w:p w14:paraId="6DB51F33" w14:textId="77777777" w:rsidR="00597827" w:rsidRPr="00292532" w:rsidRDefault="00597827" w:rsidP="00C17832">
            <w:pPr>
              <w:rPr>
                <w:sz w:val="20"/>
                <w:szCs w:val="20"/>
                <w:lang w:val="pt-PT"/>
              </w:rPr>
            </w:pPr>
            <w:r w:rsidRPr="00292532">
              <w:rPr>
                <w:sz w:val="20"/>
                <w:szCs w:val="20"/>
                <w:lang w:val="pt-PT"/>
              </w:rPr>
              <w:t>Colisão com equipamento em movimento (veículos, empilhadeiras, guindastes)</w:t>
            </w:r>
          </w:p>
        </w:tc>
        <w:tc>
          <w:tcPr>
            <w:tcW w:w="6660" w:type="dxa"/>
          </w:tcPr>
          <w:p w14:paraId="68AA5CC2" w14:textId="42A6EDF9" w:rsidR="00597827" w:rsidRPr="00292532" w:rsidRDefault="00597827"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Falta de sinalização rodoviária</w:t>
            </w:r>
          </w:p>
          <w:p w14:paraId="190443AC" w14:textId="6082DB4F" w:rsidR="00597827" w:rsidRPr="00292532" w:rsidRDefault="00597827"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Condições não adequadas das estradas e vias rodoviárias</w:t>
            </w:r>
          </w:p>
          <w:p w14:paraId="7DB14755" w14:textId="6167DD87" w:rsidR="00597827" w:rsidRPr="00292532" w:rsidRDefault="00597827"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Excesso de velocidade</w:t>
            </w:r>
          </w:p>
          <w:p w14:paraId="150A8982" w14:textId="0BD156E5" w:rsidR="00597827" w:rsidRPr="00292532" w:rsidRDefault="00597827"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Parqueamento de veículos e maquinaria em local inadequad</w:t>
            </w:r>
            <w:r w:rsidR="00153C26" w:rsidRPr="00292532">
              <w:rPr>
                <w:sz w:val="20"/>
                <w:szCs w:val="20"/>
                <w:lang w:val="pt-PT"/>
              </w:rPr>
              <w:t>o</w:t>
            </w:r>
            <w:r w:rsidRPr="00292532">
              <w:rPr>
                <w:sz w:val="20"/>
                <w:szCs w:val="20"/>
                <w:lang w:val="pt-PT"/>
              </w:rPr>
              <w:t xml:space="preserve"> </w:t>
            </w:r>
          </w:p>
          <w:p w14:paraId="5049FCFE" w14:textId="77777777" w:rsidR="00597827" w:rsidRPr="00292532" w:rsidRDefault="00597827"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Operação de maquinaria e condução dos veículos por pessoal não qualificado e experiente </w:t>
            </w:r>
          </w:p>
        </w:tc>
        <w:tc>
          <w:tcPr>
            <w:tcW w:w="3060" w:type="dxa"/>
          </w:tcPr>
          <w:p w14:paraId="67AE7FE2" w14:textId="77777777" w:rsidR="00597827" w:rsidRPr="00292532" w:rsidRDefault="00597827"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Lesão ou morte do trabalhador (traumas fatais)</w:t>
            </w:r>
          </w:p>
          <w:p w14:paraId="3A3813A5" w14:textId="7649731E" w:rsidR="00597827" w:rsidRPr="00292532" w:rsidRDefault="00597827"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Danos nos veículos e perdas de bens e materiais </w:t>
            </w:r>
          </w:p>
        </w:tc>
      </w:tr>
      <w:tr w:rsidR="00597827" w:rsidRPr="00292532" w14:paraId="7D203E84" w14:textId="77777777" w:rsidTr="00597827">
        <w:trPr>
          <w:trHeight w:val="517"/>
        </w:trPr>
        <w:tc>
          <w:tcPr>
            <w:cnfStyle w:val="001000000000" w:firstRow="0" w:lastRow="0" w:firstColumn="1" w:lastColumn="0" w:oddVBand="0" w:evenVBand="0" w:oddHBand="0" w:evenHBand="0" w:firstRowFirstColumn="0" w:firstRowLastColumn="0" w:lastRowFirstColumn="0" w:lastRowLastColumn="0"/>
            <w:tcW w:w="2610" w:type="dxa"/>
          </w:tcPr>
          <w:p w14:paraId="542A0268" w14:textId="4BC613F3" w:rsidR="00597827" w:rsidRPr="00292532" w:rsidRDefault="00597827" w:rsidP="00C17832">
            <w:pPr>
              <w:rPr>
                <w:sz w:val="20"/>
                <w:szCs w:val="20"/>
                <w:lang w:val="pt-PT"/>
              </w:rPr>
            </w:pPr>
            <w:r w:rsidRPr="00292532">
              <w:rPr>
                <w:sz w:val="20"/>
                <w:szCs w:val="20"/>
                <w:lang w:val="pt-PT"/>
              </w:rPr>
              <w:t xml:space="preserve">Trabalhador atingido por máquina inadequadamente guardada, sem </w:t>
            </w:r>
            <w:proofErr w:type="spellStart"/>
            <w:r w:rsidRPr="00292532">
              <w:rPr>
                <w:sz w:val="20"/>
                <w:szCs w:val="20"/>
                <w:lang w:val="pt-PT"/>
              </w:rPr>
              <w:t>prote</w:t>
            </w:r>
            <w:r w:rsidR="00153C26" w:rsidRPr="00292532">
              <w:rPr>
                <w:sz w:val="20"/>
                <w:szCs w:val="20"/>
                <w:lang w:val="pt-PT"/>
              </w:rPr>
              <w:t>c</w:t>
            </w:r>
            <w:r w:rsidRPr="00292532">
              <w:rPr>
                <w:sz w:val="20"/>
                <w:szCs w:val="20"/>
                <w:lang w:val="pt-PT"/>
              </w:rPr>
              <w:t>ção</w:t>
            </w:r>
            <w:proofErr w:type="spellEnd"/>
            <w:r w:rsidRPr="00292532">
              <w:rPr>
                <w:sz w:val="20"/>
                <w:szCs w:val="20"/>
                <w:lang w:val="pt-PT"/>
              </w:rPr>
              <w:t xml:space="preserve"> ou em movimento</w:t>
            </w:r>
          </w:p>
        </w:tc>
        <w:tc>
          <w:tcPr>
            <w:tcW w:w="6660" w:type="dxa"/>
          </w:tcPr>
          <w:p w14:paraId="6AAB2B0B" w14:textId="04C288A8" w:rsidR="00597827" w:rsidRPr="00292532" w:rsidRDefault="00597827"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Armazenamento de material em locais inadequados e não identificados </w:t>
            </w:r>
          </w:p>
          <w:p w14:paraId="360147E9" w14:textId="4EE16E58" w:rsidR="00597827" w:rsidRPr="00292532" w:rsidRDefault="00597827"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Falta de sinalização adequada </w:t>
            </w:r>
          </w:p>
          <w:p w14:paraId="3952FEE9" w14:textId="2F20174B" w:rsidR="00597827" w:rsidRPr="00292532" w:rsidRDefault="00597827"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Falta de atenção por parte do trabalhador</w:t>
            </w:r>
          </w:p>
          <w:p w14:paraId="439F27FA" w14:textId="77777777" w:rsidR="00597827" w:rsidRPr="00292532" w:rsidRDefault="00597827"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Falta de uso, ou uso inapropriado de equipamento de </w:t>
            </w:r>
            <w:proofErr w:type="spellStart"/>
            <w:r w:rsidRPr="00292532">
              <w:rPr>
                <w:sz w:val="20"/>
                <w:szCs w:val="20"/>
                <w:lang w:val="pt-PT"/>
              </w:rPr>
              <w:t>protecção</w:t>
            </w:r>
            <w:proofErr w:type="spellEnd"/>
            <w:r w:rsidRPr="00292532">
              <w:rPr>
                <w:sz w:val="20"/>
                <w:szCs w:val="20"/>
                <w:lang w:val="pt-PT"/>
              </w:rPr>
              <w:t xml:space="preserve"> individual (EPI) por parte dos trabalhadores</w:t>
            </w:r>
          </w:p>
        </w:tc>
        <w:tc>
          <w:tcPr>
            <w:tcW w:w="3060" w:type="dxa"/>
          </w:tcPr>
          <w:p w14:paraId="75AAF516" w14:textId="493C525B" w:rsidR="00597827" w:rsidRPr="00292532" w:rsidRDefault="00597827"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Lesão ou morte do trabalhador </w:t>
            </w:r>
          </w:p>
          <w:p w14:paraId="24C0378F" w14:textId="153CFD23" w:rsidR="00597827" w:rsidRPr="00292532" w:rsidRDefault="00597827"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Danos e perdas materiais </w:t>
            </w:r>
          </w:p>
        </w:tc>
      </w:tr>
      <w:tr w:rsidR="00597827" w:rsidRPr="001E4B2C" w14:paraId="6431BC89" w14:textId="77777777" w:rsidTr="00597827">
        <w:trPr>
          <w:trHeight w:val="517"/>
        </w:trPr>
        <w:tc>
          <w:tcPr>
            <w:cnfStyle w:val="001000000000" w:firstRow="0" w:lastRow="0" w:firstColumn="1" w:lastColumn="0" w:oddVBand="0" w:evenVBand="0" w:oddHBand="0" w:evenHBand="0" w:firstRowFirstColumn="0" w:firstRowLastColumn="0" w:lastRowFirstColumn="0" w:lastRowLastColumn="0"/>
            <w:tcW w:w="2610" w:type="dxa"/>
          </w:tcPr>
          <w:p w14:paraId="590B386D" w14:textId="77777777" w:rsidR="00597827" w:rsidRPr="00292532" w:rsidRDefault="00597827" w:rsidP="00C17832">
            <w:pPr>
              <w:rPr>
                <w:sz w:val="20"/>
                <w:szCs w:val="20"/>
                <w:lang w:val="pt-PT"/>
              </w:rPr>
            </w:pPr>
            <w:bookmarkStart w:id="215" w:name="_Hlk72087859"/>
            <w:r w:rsidRPr="00292532">
              <w:rPr>
                <w:sz w:val="20"/>
                <w:szCs w:val="20"/>
                <w:lang w:val="pt-PT"/>
              </w:rPr>
              <w:t>Exposição a nível alto ou excessivo de ruído</w:t>
            </w:r>
          </w:p>
        </w:tc>
        <w:tc>
          <w:tcPr>
            <w:tcW w:w="6660" w:type="dxa"/>
          </w:tcPr>
          <w:p w14:paraId="1E808BC9" w14:textId="77777777" w:rsidR="00597827" w:rsidRPr="00292532" w:rsidRDefault="00597827"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Uso de maquinaria (de construção) e equipamentos com níveis elevados de ruido</w:t>
            </w:r>
          </w:p>
          <w:p w14:paraId="447F5DDC" w14:textId="2C70F88B" w:rsidR="00597827" w:rsidRPr="00292532" w:rsidRDefault="00597827"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Trabalhos próximos de equipamentos que emitem elevado nível de ruido, sem o uso de EPI adequado (tampões ou abafadores de som)</w:t>
            </w:r>
          </w:p>
        </w:tc>
        <w:tc>
          <w:tcPr>
            <w:tcW w:w="3060" w:type="dxa"/>
          </w:tcPr>
          <w:p w14:paraId="79198C8C" w14:textId="77777777" w:rsidR="00597827" w:rsidRPr="00292532" w:rsidRDefault="00597827" w:rsidP="00C1783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Lesões no ouvido ou perda de audição</w:t>
            </w:r>
          </w:p>
        </w:tc>
      </w:tr>
      <w:bookmarkEnd w:id="215"/>
      <w:tr w:rsidR="00597827" w:rsidRPr="00292532" w14:paraId="3ACC6318" w14:textId="77777777" w:rsidTr="00597827">
        <w:trPr>
          <w:trHeight w:val="517"/>
        </w:trPr>
        <w:tc>
          <w:tcPr>
            <w:cnfStyle w:val="001000000000" w:firstRow="0" w:lastRow="0" w:firstColumn="1" w:lastColumn="0" w:oddVBand="0" w:evenVBand="0" w:oddHBand="0" w:evenHBand="0" w:firstRowFirstColumn="0" w:firstRowLastColumn="0" w:lastRowFirstColumn="0" w:lastRowLastColumn="0"/>
            <w:tcW w:w="2610" w:type="dxa"/>
          </w:tcPr>
          <w:p w14:paraId="631AC057" w14:textId="77777777" w:rsidR="00597827" w:rsidRPr="00292532" w:rsidRDefault="00597827" w:rsidP="00C17832">
            <w:pPr>
              <w:rPr>
                <w:sz w:val="20"/>
                <w:szCs w:val="20"/>
                <w:lang w:val="pt-PT"/>
              </w:rPr>
            </w:pPr>
            <w:r w:rsidRPr="00292532">
              <w:rPr>
                <w:sz w:val="20"/>
                <w:szCs w:val="20"/>
                <w:lang w:val="pt-PT"/>
              </w:rPr>
              <w:t>Exposição a temperaturas extremas</w:t>
            </w:r>
          </w:p>
        </w:tc>
        <w:tc>
          <w:tcPr>
            <w:tcW w:w="6660" w:type="dxa"/>
          </w:tcPr>
          <w:p w14:paraId="1451AB04" w14:textId="01DEB715" w:rsidR="00597827" w:rsidRPr="00292532" w:rsidRDefault="00597827"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Longas horas de trabalho em espaços confinados, sob o sol.</w:t>
            </w:r>
          </w:p>
          <w:p w14:paraId="1C1A7107" w14:textId="5A955776" w:rsidR="00597827" w:rsidRPr="00292532" w:rsidRDefault="00597827"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Muitas horas sem hidratar</w:t>
            </w:r>
          </w:p>
          <w:p w14:paraId="3D6ED257" w14:textId="77777777" w:rsidR="00597827" w:rsidRPr="00292532" w:rsidRDefault="00597827" w:rsidP="0024772D">
            <w:pPr>
              <w:numPr>
                <w:ilvl w:val="0"/>
                <w:numId w:val="30"/>
              </w:numPr>
              <w:spacing w:after="160"/>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Temperaturas extremas (acima de 40 graus)</w:t>
            </w:r>
          </w:p>
        </w:tc>
        <w:tc>
          <w:tcPr>
            <w:tcW w:w="3060" w:type="dxa"/>
          </w:tcPr>
          <w:p w14:paraId="0472950A" w14:textId="77777777" w:rsidR="00597827" w:rsidRPr="00292532" w:rsidRDefault="00597827" w:rsidP="00C1783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Hipotermia, exaustão térmica, desidratação</w:t>
            </w:r>
          </w:p>
        </w:tc>
      </w:tr>
      <w:tr w:rsidR="00597827" w:rsidRPr="001E4B2C" w14:paraId="3136A837" w14:textId="77777777" w:rsidTr="00597827">
        <w:trPr>
          <w:trHeight w:val="517"/>
        </w:trPr>
        <w:tc>
          <w:tcPr>
            <w:cnfStyle w:val="001000000000" w:firstRow="0" w:lastRow="0" w:firstColumn="1" w:lastColumn="0" w:oddVBand="0" w:evenVBand="0" w:oddHBand="0" w:evenHBand="0" w:firstRowFirstColumn="0" w:firstRowLastColumn="0" w:lastRowFirstColumn="0" w:lastRowLastColumn="0"/>
            <w:tcW w:w="2610" w:type="dxa"/>
          </w:tcPr>
          <w:p w14:paraId="4E026DFA" w14:textId="7FB37B0F" w:rsidR="00597827" w:rsidRPr="00292532" w:rsidRDefault="00597827" w:rsidP="00C17832">
            <w:pPr>
              <w:rPr>
                <w:sz w:val="20"/>
                <w:szCs w:val="20"/>
                <w:lang w:val="pt-PT"/>
              </w:rPr>
            </w:pPr>
            <w:r w:rsidRPr="00292532">
              <w:rPr>
                <w:sz w:val="20"/>
                <w:szCs w:val="20"/>
                <w:lang w:val="pt-PT"/>
              </w:rPr>
              <w:t>Conta</w:t>
            </w:r>
            <w:r w:rsidR="00AD1D41" w:rsidRPr="00292532">
              <w:rPr>
                <w:sz w:val="20"/>
                <w:szCs w:val="20"/>
                <w:lang w:val="pt-PT"/>
              </w:rPr>
              <w:t>c</w:t>
            </w:r>
            <w:r w:rsidRPr="00292532">
              <w:rPr>
                <w:sz w:val="20"/>
                <w:szCs w:val="20"/>
                <w:lang w:val="pt-PT"/>
              </w:rPr>
              <w:t xml:space="preserve">to com fios </w:t>
            </w:r>
            <w:proofErr w:type="spellStart"/>
            <w:r w:rsidRPr="00292532">
              <w:rPr>
                <w:sz w:val="20"/>
                <w:szCs w:val="20"/>
                <w:lang w:val="pt-PT"/>
              </w:rPr>
              <w:t>elé</w:t>
            </w:r>
            <w:r w:rsidR="00AD1D41" w:rsidRPr="00292532">
              <w:rPr>
                <w:sz w:val="20"/>
                <w:szCs w:val="20"/>
                <w:lang w:val="pt-PT"/>
              </w:rPr>
              <w:t>c</w:t>
            </w:r>
            <w:r w:rsidRPr="00292532">
              <w:rPr>
                <w:sz w:val="20"/>
                <w:szCs w:val="20"/>
                <w:lang w:val="pt-PT"/>
              </w:rPr>
              <w:t>tricos</w:t>
            </w:r>
            <w:proofErr w:type="spellEnd"/>
            <w:r w:rsidRPr="00292532">
              <w:rPr>
                <w:sz w:val="20"/>
                <w:szCs w:val="20"/>
                <w:lang w:val="pt-PT"/>
              </w:rPr>
              <w:t xml:space="preserve"> expostos ou defeituosos</w:t>
            </w:r>
          </w:p>
        </w:tc>
        <w:tc>
          <w:tcPr>
            <w:tcW w:w="6660" w:type="dxa"/>
          </w:tcPr>
          <w:p w14:paraId="67E82B8B" w14:textId="77777777" w:rsidR="00597827" w:rsidRPr="00292532" w:rsidRDefault="00597827" w:rsidP="0024772D">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Falta de sinalização </w:t>
            </w:r>
          </w:p>
          <w:p w14:paraId="47DBE7B8" w14:textId="77777777" w:rsidR="00597827" w:rsidRPr="00292532" w:rsidRDefault="00597827" w:rsidP="0024772D">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Cabos expostos </w:t>
            </w:r>
          </w:p>
          <w:p w14:paraId="4E41FCFE" w14:textId="7E0929D4" w:rsidR="00597827" w:rsidRPr="00292532" w:rsidRDefault="00597827" w:rsidP="0024772D">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Falta de atenção e mau manuseamento </w:t>
            </w:r>
          </w:p>
        </w:tc>
        <w:tc>
          <w:tcPr>
            <w:tcW w:w="3060" w:type="dxa"/>
          </w:tcPr>
          <w:p w14:paraId="36247F5B" w14:textId="2384DD7F" w:rsidR="00597827" w:rsidRPr="00292532" w:rsidRDefault="00597827" w:rsidP="00C1783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Lesão ou morte do trabalhador (choque </w:t>
            </w:r>
            <w:proofErr w:type="spellStart"/>
            <w:r w:rsidRPr="00292532">
              <w:rPr>
                <w:sz w:val="20"/>
                <w:szCs w:val="20"/>
                <w:lang w:val="pt-PT"/>
              </w:rPr>
              <w:t>elé</w:t>
            </w:r>
            <w:r w:rsidR="00AD1D41" w:rsidRPr="00292532">
              <w:rPr>
                <w:sz w:val="20"/>
                <w:szCs w:val="20"/>
                <w:lang w:val="pt-PT"/>
              </w:rPr>
              <w:t>c</w:t>
            </w:r>
            <w:r w:rsidRPr="00292532">
              <w:rPr>
                <w:sz w:val="20"/>
                <w:szCs w:val="20"/>
                <w:lang w:val="pt-PT"/>
              </w:rPr>
              <w:t>trico</w:t>
            </w:r>
            <w:proofErr w:type="spellEnd"/>
            <w:r w:rsidRPr="00292532">
              <w:rPr>
                <w:sz w:val="20"/>
                <w:szCs w:val="20"/>
                <w:lang w:val="pt-PT"/>
              </w:rPr>
              <w:t>)</w:t>
            </w:r>
          </w:p>
        </w:tc>
      </w:tr>
      <w:tr w:rsidR="00597827" w:rsidRPr="001E4B2C" w14:paraId="701C1385" w14:textId="77777777" w:rsidTr="00597827">
        <w:trPr>
          <w:trHeight w:val="517"/>
        </w:trPr>
        <w:tc>
          <w:tcPr>
            <w:cnfStyle w:val="001000000000" w:firstRow="0" w:lastRow="0" w:firstColumn="1" w:lastColumn="0" w:oddVBand="0" w:evenVBand="0" w:oddHBand="0" w:evenHBand="0" w:firstRowFirstColumn="0" w:firstRowLastColumn="0" w:lastRowFirstColumn="0" w:lastRowLastColumn="0"/>
            <w:tcW w:w="2610" w:type="dxa"/>
          </w:tcPr>
          <w:p w14:paraId="18E01DE0" w14:textId="77777777" w:rsidR="00597827" w:rsidRPr="00292532" w:rsidRDefault="00597827" w:rsidP="00C17832">
            <w:pPr>
              <w:rPr>
                <w:sz w:val="20"/>
                <w:szCs w:val="20"/>
                <w:lang w:val="pt-PT"/>
              </w:rPr>
            </w:pPr>
            <w:r w:rsidRPr="00292532">
              <w:rPr>
                <w:sz w:val="20"/>
                <w:szCs w:val="20"/>
                <w:lang w:val="pt-PT"/>
              </w:rPr>
              <w:lastRenderedPageBreak/>
              <w:t>Explosões ou incêndio devido a ignição de materiais inflamáveis</w:t>
            </w:r>
          </w:p>
        </w:tc>
        <w:tc>
          <w:tcPr>
            <w:tcW w:w="6660" w:type="dxa"/>
          </w:tcPr>
          <w:p w14:paraId="68E6D052" w14:textId="3B320C1B" w:rsidR="00597827" w:rsidRPr="00292532" w:rsidRDefault="00597827" w:rsidP="0024772D">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Uso inadequado de equipamentos </w:t>
            </w:r>
            <w:proofErr w:type="spellStart"/>
            <w:r w:rsidRPr="00292532">
              <w:rPr>
                <w:sz w:val="20"/>
                <w:szCs w:val="20"/>
                <w:lang w:val="pt-PT"/>
              </w:rPr>
              <w:t>elé</w:t>
            </w:r>
            <w:r w:rsidR="00AD1D41" w:rsidRPr="00292532">
              <w:rPr>
                <w:sz w:val="20"/>
                <w:szCs w:val="20"/>
                <w:lang w:val="pt-PT"/>
              </w:rPr>
              <w:t>c</w:t>
            </w:r>
            <w:r w:rsidRPr="00292532">
              <w:rPr>
                <w:sz w:val="20"/>
                <w:szCs w:val="20"/>
                <w:lang w:val="pt-PT"/>
              </w:rPr>
              <w:t>tricos</w:t>
            </w:r>
            <w:proofErr w:type="spellEnd"/>
            <w:r w:rsidRPr="00292532">
              <w:rPr>
                <w:sz w:val="20"/>
                <w:szCs w:val="20"/>
                <w:lang w:val="pt-PT"/>
              </w:rPr>
              <w:t>,</w:t>
            </w:r>
          </w:p>
          <w:p w14:paraId="06F2B4B7" w14:textId="0ADCC0FE" w:rsidR="00597827" w:rsidRPr="00292532" w:rsidRDefault="00597827" w:rsidP="0024772D">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Derrames de combustível e fugas de gás</w:t>
            </w:r>
          </w:p>
          <w:p w14:paraId="12366DA9" w14:textId="77777777" w:rsidR="00597827" w:rsidRPr="00292532" w:rsidRDefault="00597827" w:rsidP="0024772D">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Falta de meios de combate contra incêndios</w:t>
            </w:r>
          </w:p>
          <w:p w14:paraId="265DFC73" w14:textId="0A073FC7" w:rsidR="00597827" w:rsidRPr="00292532" w:rsidRDefault="00597827" w:rsidP="0024772D">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Uso inadequado de equipamentos </w:t>
            </w:r>
            <w:proofErr w:type="spellStart"/>
            <w:r w:rsidRPr="00292532">
              <w:rPr>
                <w:sz w:val="20"/>
                <w:szCs w:val="20"/>
                <w:lang w:val="pt-PT"/>
              </w:rPr>
              <w:t>elé</w:t>
            </w:r>
            <w:r w:rsidR="00AD1D41" w:rsidRPr="00292532">
              <w:rPr>
                <w:sz w:val="20"/>
                <w:szCs w:val="20"/>
                <w:lang w:val="pt-PT"/>
              </w:rPr>
              <w:t>c</w:t>
            </w:r>
            <w:r w:rsidRPr="00292532">
              <w:rPr>
                <w:sz w:val="20"/>
                <w:szCs w:val="20"/>
                <w:lang w:val="pt-PT"/>
              </w:rPr>
              <w:t>tricos</w:t>
            </w:r>
            <w:proofErr w:type="spellEnd"/>
            <w:r w:rsidRPr="00292532">
              <w:rPr>
                <w:sz w:val="20"/>
                <w:szCs w:val="20"/>
                <w:lang w:val="pt-PT"/>
              </w:rPr>
              <w:t xml:space="preserve">, manutenção inadequada de equipamentos </w:t>
            </w:r>
          </w:p>
          <w:p w14:paraId="79D2D199" w14:textId="7EAA7FBF" w:rsidR="00597827" w:rsidRPr="00292532" w:rsidRDefault="00597827" w:rsidP="0024772D">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Pessoal não treinado sobre os riscos e instruções de uso de equipamentos motorizados (bombas de água)</w:t>
            </w:r>
          </w:p>
        </w:tc>
        <w:tc>
          <w:tcPr>
            <w:tcW w:w="3060" w:type="dxa"/>
          </w:tcPr>
          <w:p w14:paraId="0305E7B4" w14:textId="77777777" w:rsidR="00597827" w:rsidRPr="00292532" w:rsidRDefault="00597827" w:rsidP="0024772D">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Lesão ou morte do trabalhador (asfixia, queimadura)</w:t>
            </w:r>
          </w:p>
          <w:p w14:paraId="39AE2180" w14:textId="66CEFAFE" w:rsidR="00597827" w:rsidRPr="00292532" w:rsidRDefault="00597827" w:rsidP="0024772D">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Danos e perdas materiais </w:t>
            </w:r>
            <w:r w:rsidR="00AD1D41" w:rsidRPr="00292532">
              <w:rPr>
                <w:sz w:val="20"/>
                <w:szCs w:val="20"/>
                <w:lang w:val="pt-PT"/>
              </w:rPr>
              <w:t>e humanas</w:t>
            </w:r>
          </w:p>
          <w:p w14:paraId="14969698" w14:textId="79F96493" w:rsidR="00597827" w:rsidRPr="00292532" w:rsidRDefault="00597827" w:rsidP="0024772D">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Alastramento de incêndios para fora das instalações de trabalho ou acampamento temporário, </w:t>
            </w:r>
            <w:proofErr w:type="spellStart"/>
            <w:r w:rsidRPr="00292532">
              <w:rPr>
                <w:sz w:val="20"/>
                <w:szCs w:val="20"/>
                <w:lang w:val="pt-PT"/>
              </w:rPr>
              <w:t>afectando</w:t>
            </w:r>
            <w:proofErr w:type="spellEnd"/>
            <w:r w:rsidRPr="00292532">
              <w:rPr>
                <w:sz w:val="20"/>
                <w:szCs w:val="20"/>
                <w:lang w:val="pt-PT"/>
              </w:rPr>
              <w:t xml:space="preserve"> às populações locais.</w:t>
            </w:r>
          </w:p>
        </w:tc>
      </w:tr>
      <w:tr w:rsidR="00597827" w:rsidRPr="001E4B2C" w14:paraId="5C6B2DBC" w14:textId="77777777" w:rsidTr="00597827">
        <w:trPr>
          <w:trHeight w:val="1684"/>
        </w:trPr>
        <w:tc>
          <w:tcPr>
            <w:cnfStyle w:val="001000000000" w:firstRow="0" w:lastRow="0" w:firstColumn="1" w:lastColumn="0" w:oddVBand="0" w:evenVBand="0" w:oddHBand="0" w:evenHBand="0" w:firstRowFirstColumn="0" w:firstRowLastColumn="0" w:lastRowFirstColumn="0" w:lastRowLastColumn="0"/>
            <w:tcW w:w="2610" w:type="dxa"/>
          </w:tcPr>
          <w:p w14:paraId="0025BF0B" w14:textId="77777777" w:rsidR="00597827" w:rsidRPr="00292532" w:rsidRDefault="00597827" w:rsidP="00C17832">
            <w:pPr>
              <w:rPr>
                <w:sz w:val="20"/>
                <w:szCs w:val="20"/>
                <w:lang w:val="pt-PT"/>
              </w:rPr>
            </w:pPr>
            <w:r w:rsidRPr="00292532">
              <w:rPr>
                <w:sz w:val="20"/>
                <w:szCs w:val="20"/>
                <w:lang w:val="pt-PT"/>
              </w:rPr>
              <w:t>Inalação de poeira</w:t>
            </w:r>
          </w:p>
        </w:tc>
        <w:tc>
          <w:tcPr>
            <w:tcW w:w="6660" w:type="dxa"/>
          </w:tcPr>
          <w:p w14:paraId="431EC7DC" w14:textId="77777777" w:rsidR="00597827" w:rsidRPr="00292532" w:rsidRDefault="00597827" w:rsidP="0024772D">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Libertação de poeiras durante a circulação dos veículos em estradas de terra, </w:t>
            </w:r>
          </w:p>
          <w:p w14:paraId="0EE62BFA" w14:textId="77777777" w:rsidR="00597827" w:rsidRPr="00292532" w:rsidRDefault="00597827" w:rsidP="0024772D">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proofErr w:type="spellStart"/>
            <w:r w:rsidRPr="00292532">
              <w:rPr>
                <w:sz w:val="20"/>
                <w:szCs w:val="20"/>
                <w:lang w:val="pt-PT"/>
              </w:rPr>
              <w:t>Actividades</w:t>
            </w:r>
            <w:proofErr w:type="spellEnd"/>
            <w:r w:rsidRPr="00292532">
              <w:rPr>
                <w:sz w:val="20"/>
                <w:szCs w:val="20"/>
                <w:lang w:val="pt-PT"/>
              </w:rPr>
              <w:t xml:space="preserve"> de terraplenagens </w:t>
            </w:r>
          </w:p>
          <w:p w14:paraId="629405C5" w14:textId="77777777" w:rsidR="00597827" w:rsidRPr="00292532" w:rsidRDefault="00597827" w:rsidP="0024772D">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Material granulado (p.e. areia) armazenado em pilhas, descobertos e expostos aos ventos </w:t>
            </w:r>
          </w:p>
          <w:p w14:paraId="2F31CAA5" w14:textId="31244225" w:rsidR="00597827" w:rsidRPr="00292532" w:rsidRDefault="00597827" w:rsidP="0024772D">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Falta de uso, ou uso inapropriado de equipamento de </w:t>
            </w:r>
            <w:proofErr w:type="spellStart"/>
            <w:r w:rsidRPr="00292532">
              <w:rPr>
                <w:sz w:val="20"/>
                <w:szCs w:val="20"/>
                <w:lang w:val="pt-PT"/>
              </w:rPr>
              <w:t>protecção</w:t>
            </w:r>
            <w:proofErr w:type="spellEnd"/>
            <w:r w:rsidRPr="00292532">
              <w:rPr>
                <w:sz w:val="20"/>
                <w:szCs w:val="20"/>
                <w:lang w:val="pt-PT"/>
              </w:rPr>
              <w:t xml:space="preserve"> individual (EPI) por parte dos trabalhadores</w:t>
            </w:r>
          </w:p>
        </w:tc>
        <w:tc>
          <w:tcPr>
            <w:tcW w:w="3060" w:type="dxa"/>
          </w:tcPr>
          <w:p w14:paraId="12302795" w14:textId="77777777" w:rsidR="00597827" w:rsidRPr="00292532" w:rsidRDefault="00597827" w:rsidP="00C1783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Impacto na saúde do trabalhador (redução da capacidade dos pulmões) </w:t>
            </w:r>
          </w:p>
        </w:tc>
      </w:tr>
      <w:tr w:rsidR="00597827" w:rsidRPr="001E4B2C" w14:paraId="0426A596" w14:textId="77777777" w:rsidTr="00597827">
        <w:trPr>
          <w:trHeight w:val="517"/>
        </w:trPr>
        <w:tc>
          <w:tcPr>
            <w:cnfStyle w:val="001000000000" w:firstRow="0" w:lastRow="0" w:firstColumn="1" w:lastColumn="0" w:oddVBand="0" w:evenVBand="0" w:oddHBand="0" w:evenHBand="0" w:firstRowFirstColumn="0" w:firstRowLastColumn="0" w:lastRowFirstColumn="0" w:lastRowLastColumn="0"/>
            <w:tcW w:w="2610" w:type="dxa"/>
          </w:tcPr>
          <w:p w14:paraId="16C65E64" w14:textId="77777777" w:rsidR="00597827" w:rsidRPr="00292532" w:rsidRDefault="00597827" w:rsidP="00C17832">
            <w:pPr>
              <w:rPr>
                <w:sz w:val="20"/>
                <w:szCs w:val="20"/>
                <w:lang w:val="pt-PT"/>
              </w:rPr>
            </w:pPr>
            <w:r w:rsidRPr="00292532">
              <w:rPr>
                <w:sz w:val="20"/>
                <w:szCs w:val="20"/>
                <w:lang w:val="pt-PT"/>
              </w:rPr>
              <w:t>Exposição a atmosfera perigosa em espaços confinados</w:t>
            </w:r>
          </w:p>
        </w:tc>
        <w:tc>
          <w:tcPr>
            <w:tcW w:w="6660" w:type="dxa"/>
          </w:tcPr>
          <w:p w14:paraId="00DA308A" w14:textId="77777777" w:rsidR="00597827" w:rsidRPr="00292532" w:rsidRDefault="00597827" w:rsidP="0024772D">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Construção de reservatórios de águas e torres de pressão</w:t>
            </w:r>
          </w:p>
          <w:p w14:paraId="592FF597" w14:textId="77777777" w:rsidR="00597827" w:rsidRPr="00292532" w:rsidRDefault="00597827" w:rsidP="0024772D">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Falta de procedimentos para instruções sobre trabalho em espaços confinados </w:t>
            </w:r>
          </w:p>
          <w:p w14:paraId="531FD4AE" w14:textId="509E276E" w:rsidR="00597827" w:rsidRPr="00292532" w:rsidRDefault="00597827" w:rsidP="0024772D">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 não realização prévia de avaliação de risco</w:t>
            </w:r>
          </w:p>
        </w:tc>
        <w:tc>
          <w:tcPr>
            <w:tcW w:w="3060" w:type="dxa"/>
          </w:tcPr>
          <w:p w14:paraId="2F3E4D42" w14:textId="485CC8FA" w:rsidR="00597827" w:rsidRPr="00292532" w:rsidRDefault="00597827" w:rsidP="00C1783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Morte do trabalhador por asfixia</w:t>
            </w:r>
          </w:p>
        </w:tc>
      </w:tr>
      <w:tr w:rsidR="00597827" w:rsidRPr="001E4B2C" w14:paraId="7A150F21" w14:textId="77777777" w:rsidTr="00597827">
        <w:trPr>
          <w:trHeight w:val="517"/>
        </w:trPr>
        <w:tc>
          <w:tcPr>
            <w:cnfStyle w:val="001000000000" w:firstRow="0" w:lastRow="0" w:firstColumn="1" w:lastColumn="0" w:oddVBand="0" w:evenVBand="0" w:oddHBand="0" w:evenHBand="0" w:firstRowFirstColumn="0" w:firstRowLastColumn="0" w:lastRowFirstColumn="0" w:lastRowLastColumn="0"/>
            <w:tcW w:w="2610" w:type="dxa"/>
          </w:tcPr>
          <w:p w14:paraId="59AB1F57" w14:textId="2D7FD883" w:rsidR="00597827" w:rsidRPr="00292532" w:rsidRDefault="00597827" w:rsidP="00C17832">
            <w:pPr>
              <w:rPr>
                <w:sz w:val="20"/>
                <w:szCs w:val="20"/>
                <w:lang w:val="pt-PT"/>
              </w:rPr>
            </w:pPr>
            <w:r w:rsidRPr="00292532">
              <w:rPr>
                <w:sz w:val="20"/>
                <w:szCs w:val="20"/>
                <w:lang w:val="pt-PT"/>
              </w:rPr>
              <w:t xml:space="preserve">Exposição a plantas, animais ou </w:t>
            </w:r>
            <w:proofErr w:type="spellStart"/>
            <w:r w:rsidRPr="00292532">
              <w:rPr>
                <w:sz w:val="20"/>
                <w:szCs w:val="20"/>
                <w:lang w:val="pt-PT"/>
              </w:rPr>
              <w:t>inse</w:t>
            </w:r>
            <w:r w:rsidR="00AD1D41" w:rsidRPr="00292532">
              <w:rPr>
                <w:sz w:val="20"/>
                <w:szCs w:val="20"/>
                <w:lang w:val="pt-PT"/>
              </w:rPr>
              <w:t>c</w:t>
            </w:r>
            <w:r w:rsidRPr="00292532">
              <w:rPr>
                <w:sz w:val="20"/>
                <w:szCs w:val="20"/>
                <w:lang w:val="pt-PT"/>
              </w:rPr>
              <w:t>tos</w:t>
            </w:r>
            <w:proofErr w:type="spellEnd"/>
            <w:r w:rsidRPr="00292532">
              <w:rPr>
                <w:sz w:val="20"/>
                <w:szCs w:val="20"/>
                <w:lang w:val="pt-PT"/>
              </w:rPr>
              <w:t xml:space="preserve"> venenosos</w:t>
            </w:r>
          </w:p>
        </w:tc>
        <w:tc>
          <w:tcPr>
            <w:tcW w:w="6660" w:type="dxa"/>
          </w:tcPr>
          <w:p w14:paraId="14DE411F" w14:textId="77777777" w:rsidR="00597827" w:rsidRPr="00292532" w:rsidRDefault="00597827" w:rsidP="0024772D">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Trabalhos em áreas menos urbanizadas com vegetação, </w:t>
            </w:r>
          </w:p>
          <w:p w14:paraId="2D75070C" w14:textId="6499F317" w:rsidR="00597827" w:rsidRPr="00292532" w:rsidRDefault="00597827" w:rsidP="0024772D">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O não uso de EPI (p.e. botas de segurança)</w:t>
            </w:r>
          </w:p>
        </w:tc>
        <w:tc>
          <w:tcPr>
            <w:tcW w:w="3060" w:type="dxa"/>
          </w:tcPr>
          <w:p w14:paraId="6AA29402" w14:textId="77777777" w:rsidR="00597827" w:rsidRPr="00292532" w:rsidRDefault="00597827" w:rsidP="00C1783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Doença ou morte do trabalhador</w:t>
            </w:r>
          </w:p>
        </w:tc>
      </w:tr>
      <w:tr w:rsidR="00597827" w:rsidRPr="001E4B2C" w14:paraId="0FA41369" w14:textId="77777777" w:rsidTr="00597827">
        <w:trPr>
          <w:trHeight w:val="517"/>
        </w:trPr>
        <w:tc>
          <w:tcPr>
            <w:cnfStyle w:val="001000000000" w:firstRow="0" w:lastRow="0" w:firstColumn="1" w:lastColumn="0" w:oddVBand="0" w:evenVBand="0" w:oddHBand="0" w:evenHBand="0" w:firstRowFirstColumn="0" w:firstRowLastColumn="0" w:lastRowFirstColumn="0" w:lastRowLastColumn="0"/>
            <w:tcW w:w="2610" w:type="dxa"/>
          </w:tcPr>
          <w:p w14:paraId="2C9B9A64" w14:textId="77777777" w:rsidR="00597827" w:rsidRPr="00292532" w:rsidRDefault="00597827" w:rsidP="00C17832">
            <w:pPr>
              <w:rPr>
                <w:sz w:val="20"/>
                <w:szCs w:val="20"/>
                <w:lang w:val="pt-PT"/>
              </w:rPr>
            </w:pPr>
            <w:r w:rsidRPr="00292532">
              <w:rPr>
                <w:sz w:val="20"/>
                <w:szCs w:val="20"/>
                <w:lang w:val="pt-PT"/>
              </w:rPr>
              <w:t xml:space="preserve">Riscos ergonómicos </w:t>
            </w:r>
          </w:p>
        </w:tc>
        <w:tc>
          <w:tcPr>
            <w:tcW w:w="6660" w:type="dxa"/>
          </w:tcPr>
          <w:p w14:paraId="687EBC7A" w14:textId="77777777" w:rsidR="00597827" w:rsidRPr="00292532" w:rsidRDefault="00597827" w:rsidP="0024772D">
            <w:pPr>
              <w:numPr>
                <w:ilvl w:val="0"/>
                <w:numId w:val="46"/>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Movimentos repetitivos </w:t>
            </w:r>
          </w:p>
          <w:p w14:paraId="61117F77" w14:textId="4F0FE581" w:rsidR="00597827" w:rsidRPr="00292532" w:rsidRDefault="00597827" w:rsidP="0024772D">
            <w:pPr>
              <w:numPr>
                <w:ilvl w:val="0"/>
                <w:numId w:val="46"/>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Técnicas inadequadas para levantar </w:t>
            </w:r>
            <w:proofErr w:type="spellStart"/>
            <w:r w:rsidRPr="00292532">
              <w:rPr>
                <w:sz w:val="20"/>
                <w:szCs w:val="20"/>
                <w:lang w:val="pt-PT"/>
              </w:rPr>
              <w:t>objectos</w:t>
            </w:r>
            <w:proofErr w:type="spellEnd"/>
            <w:r w:rsidRPr="00292532">
              <w:rPr>
                <w:sz w:val="20"/>
                <w:szCs w:val="20"/>
                <w:lang w:val="pt-PT"/>
              </w:rPr>
              <w:t xml:space="preserve"> pesados </w:t>
            </w:r>
          </w:p>
          <w:p w14:paraId="7753EEB0" w14:textId="1CA1E532" w:rsidR="00597827" w:rsidRPr="00292532" w:rsidRDefault="00597827" w:rsidP="0024772D">
            <w:pPr>
              <w:numPr>
                <w:ilvl w:val="0"/>
                <w:numId w:val="46"/>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Trabalho e</w:t>
            </w:r>
            <w:r w:rsidR="00AD1D41" w:rsidRPr="00292532">
              <w:rPr>
                <w:sz w:val="20"/>
                <w:szCs w:val="20"/>
                <w:lang w:val="pt-PT"/>
              </w:rPr>
              <w:t>m</w:t>
            </w:r>
            <w:r w:rsidRPr="00292532">
              <w:rPr>
                <w:sz w:val="20"/>
                <w:szCs w:val="20"/>
                <w:lang w:val="pt-PT"/>
              </w:rPr>
              <w:t xml:space="preserve"> pé durante longos períodos </w:t>
            </w:r>
          </w:p>
        </w:tc>
        <w:tc>
          <w:tcPr>
            <w:tcW w:w="3060" w:type="dxa"/>
          </w:tcPr>
          <w:p w14:paraId="0B3BC93E" w14:textId="77777777" w:rsidR="00597827" w:rsidRPr="00292532" w:rsidRDefault="00597827" w:rsidP="00C1783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Lesões do trabalhador (tensões e torceduras nos músculos e tecidos conectivos causando dor, inflamação, dormência ou perda da função muscular)</w:t>
            </w:r>
          </w:p>
        </w:tc>
      </w:tr>
      <w:tr w:rsidR="00597827" w:rsidRPr="001E4B2C" w14:paraId="38107934" w14:textId="77777777" w:rsidTr="00597827">
        <w:trPr>
          <w:trHeight w:val="517"/>
        </w:trPr>
        <w:tc>
          <w:tcPr>
            <w:cnfStyle w:val="001000000000" w:firstRow="0" w:lastRow="0" w:firstColumn="1" w:lastColumn="0" w:oddVBand="0" w:evenVBand="0" w:oddHBand="0" w:evenHBand="0" w:firstRowFirstColumn="0" w:firstRowLastColumn="0" w:lastRowFirstColumn="0" w:lastRowLastColumn="0"/>
            <w:tcW w:w="2610" w:type="dxa"/>
          </w:tcPr>
          <w:p w14:paraId="3297F0A0" w14:textId="37D5ECDE" w:rsidR="00597827" w:rsidRPr="00292532" w:rsidRDefault="00597827" w:rsidP="00C17832">
            <w:pPr>
              <w:rPr>
                <w:sz w:val="20"/>
                <w:szCs w:val="20"/>
                <w:lang w:val="pt-PT"/>
              </w:rPr>
            </w:pPr>
            <w:r w:rsidRPr="00292532">
              <w:rPr>
                <w:sz w:val="20"/>
                <w:szCs w:val="20"/>
                <w:lang w:val="pt-PT"/>
              </w:rPr>
              <w:lastRenderedPageBreak/>
              <w:t>Inalação, conta</w:t>
            </w:r>
            <w:r w:rsidR="00AD1D41" w:rsidRPr="00292532">
              <w:rPr>
                <w:sz w:val="20"/>
                <w:szCs w:val="20"/>
                <w:lang w:val="pt-PT"/>
              </w:rPr>
              <w:t>c</w:t>
            </w:r>
            <w:r w:rsidRPr="00292532">
              <w:rPr>
                <w:sz w:val="20"/>
                <w:szCs w:val="20"/>
                <w:lang w:val="pt-PT"/>
              </w:rPr>
              <w:t>to da pele ou ingestão de produtos químicos (p. ex. pesticidas, solventes, químicos para o tratamento das águas</w:t>
            </w:r>
          </w:p>
        </w:tc>
        <w:tc>
          <w:tcPr>
            <w:tcW w:w="6660" w:type="dxa"/>
          </w:tcPr>
          <w:p w14:paraId="09F6E9BE" w14:textId="5795F9EC" w:rsidR="00597827" w:rsidRPr="00292532" w:rsidRDefault="00597827" w:rsidP="0024772D">
            <w:pPr>
              <w:numPr>
                <w:ilvl w:val="0"/>
                <w:numId w:val="46"/>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Invent</w:t>
            </w:r>
            <w:r w:rsidR="00AD1D41" w:rsidRPr="00292532">
              <w:rPr>
                <w:sz w:val="20"/>
                <w:szCs w:val="20"/>
                <w:lang w:val="pt-PT"/>
              </w:rPr>
              <w:t>á</w:t>
            </w:r>
            <w:r w:rsidRPr="00292532">
              <w:rPr>
                <w:sz w:val="20"/>
                <w:szCs w:val="20"/>
                <w:lang w:val="pt-PT"/>
              </w:rPr>
              <w:t>rio de químicos armazenados não disponibilizado</w:t>
            </w:r>
          </w:p>
          <w:p w14:paraId="300B008E" w14:textId="4FFE2D15" w:rsidR="00597827" w:rsidRPr="00292532" w:rsidRDefault="00597827" w:rsidP="0024772D">
            <w:pPr>
              <w:numPr>
                <w:ilvl w:val="0"/>
                <w:numId w:val="46"/>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Fichas de dados de segurança do material atualizadas não disponibilizadas nos locais de armazenamento ou uso de químicos </w:t>
            </w:r>
          </w:p>
          <w:p w14:paraId="58A75794" w14:textId="77777777" w:rsidR="00597827" w:rsidRPr="00292532" w:rsidRDefault="00597827" w:rsidP="0024772D">
            <w:pPr>
              <w:numPr>
                <w:ilvl w:val="0"/>
                <w:numId w:val="46"/>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Falta de sinalização </w:t>
            </w:r>
          </w:p>
          <w:p w14:paraId="41C95400" w14:textId="2DF344C7" w:rsidR="005B1B11" w:rsidRPr="00292532" w:rsidRDefault="005B1B11" w:rsidP="0024772D">
            <w:pPr>
              <w:numPr>
                <w:ilvl w:val="0"/>
                <w:numId w:val="46"/>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o mau armazenamento destes químicos</w:t>
            </w:r>
          </w:p>
          <w:p w14:paraId="4B9DE45E" w14:textId="345257EF" w:rsidR="005B1B11" w:rsidRPr="00292532" w:rsidRDefault="005B1B11" w:rsidP="0024772D">
            <w:pPr>
              <w:numPr>
                <w:ilvl w:val="0"/>
                <w:numId w:val="46"/>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 falta de treinamento das pessoas que estão a manuseá-los</w:t>
            </w:r>
          </w:p>
          <w:p w14:paraId="6071D9AA" w14:textId="63A853A6" w:rsidR="005B1B11" w:rsidRPr="00292532" w:rsidRDefault="005B1B11" w:rsidP="0024772D">
            <w:pPr>
              <w:numPr>
                <w:ilvl w:val="0"/>
                <w:numId w:val="46"/>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falta de EPI adequado</w:t>
            </w:r>
          </w:p>
        </w:tc>
        <w:tc>
          <w:tcPr>
            <w:tcW w:w="3060" w:type="dxa"/>
          </w:tcPr>
          <w:p w14:paraId="5958A074" w14:textId="77777777" w:rsidR="00597827" w:rsidRPr="00292532" w:rsidRDefault="00597827" w:rsidP="00C1783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Lesão ou morte do trabalhador (irritação, danos aos órgãos internos, intoxicação)</w:t>
            </w:r>
          </w:p>
        </w:tc>
      </w:tr>
      <w:tr w:rsidR="002A07B8" w:rsidRPr="001E4B2C" w14:paraId="1C3EE67A" w14:textId="77777777" w:rsidTr="00597827">
        <w:trPr>
          <w:trHeight w:val="517"/>
        </w:trPr>
        <w:tc>
          <w:tcPr>
            <w:cnfStyle w:val="001000000000" w:firstRow="0" w:lastRow="0" w:firstColumn="1" w:lastColumn="0" w:oddVBand="0" w:evenVBand="0" w:oddHBand="0" w:evenHBand="0" w:firstRowFirstColumn="0" w:firstRowLastColumn="0" w:lastRowFirstColumn="0" w:lastRowLastColumn="0"/>
            <w:tcW w:w="2610" w:type="dxa"/>
          </w:tcPr>
          <w:p w14:paraId="352057DE" w14:textId="66A1D465" w:rsidR="002A07B8" w:rsidRPr="00292532" w:rsidRDefault="002A07B8" w:rsidP="00C17832">
            <w:pPr>
              <w:rPr>
                <w:sz w:val="20"/>
                <w:szCs w:val="20"/>
                <w:lang w:val="pt-PT"/>
              </w:rPr>
            </w:pPr>
            <w:r w:rsidRPr="00292532">
              <w:rPr>
                <w:sz w:val="20"/>
                <w:szCs w:val="20"/>
                <w:lang w:val="pt-PT"/>
              </w:rPr>
              <w:t xml:space="preserve">Consumo de alimentos deteriorados e de água não potável </w:t>
            </w:r>
          </w:p>
        </w:tc>
        <w:tc>
          <w:tcPr>
            <w:tcW w:w="6660" w:type="dxa"/>
          </w:tcPr>
          <w:p w14:paraId="1892367F" w14:textId="309ECD8F" w:rsidR="002A07B8" w:rsidRPr="00292532" w:rsidRDefault="002A07B8" w:rsidP="0024772D">
            <w:pPr>
              <w:numPr>
                <w:ilvl w:val="0"/>
                <w:numId w:val="46"/>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Má higiene durante a preparação</w:t>
            </w:r>
            <w:r w:rsidR="00C65801" w:rsidRPr="00292532">
              <w:rPr>
                <w:sz w:val="20"/>
                <w:szCs w:val="20"/>
                <w:lang w:val="pt-PT"/>
              </w:rPr>
              <w:t xml:space="preserve"> e conservação</w:t>
            </w:r>
            <w:r w:rsidRPr="00292532">
              <w:rPr>
                <w:sz w:val="20"/>
                <w:szCs w:val="20"/>
                <w:lang w:val="pt-PT"/>
              </w:rPr>
              <w:t xml:space="preserve"> dos alimentos para os trabalhadores </w:t>
            </w:r>
          </w:p>
          <w:p w14:paraId="3CB868E2" w14:textId="77777777" w:rsidR="002A07B8" w:rsidRPr="00292532" w:rsidRDefault="002A07B8" w:rsidP="0024772D">
            <w:pPr>
              <w:numPr>
                <w:ilvl w:val="0"/>
                <w:numId w:val="46"/>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Falta de monitorização da qualidade da água a ser fornecida aos trabalhadores para consumo </w:t>
            </w:r>
          </w:p>
          <w:p w14:paraId="34D7A28F" w14:textId="716FC468" w:rsidR="002A07B8" w:rsidRPr="00292532" w:rsidRDefault="002A07B8" w:rsidP="0024772D">
            <w:pPr>
              <w:numPr>
                <w:ilvl w:val="0"/>
                <w:numId w:val="46"/>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Fraco controlo de qualidade dos alimentados adquiridos no mercado </w:t>
            </w:r>
          </w:p>
        </w:tc>
        <w:tc>
          <w:tcPr>
            <w:tcW w:w="3060" w:type="dxa"/>
          </w:tcPr>
          <w:p w14:paraId="4F8429A8" w14:textId="7414960F" w:rsidR="002A07B8" w:rsidRPr="00292532" w:rsidRDefault="002A07B8" w:rsidP="0024772D">
            <w:pPr>
              <w:pStyle w:val="ListParagraph"/>
              <w:numPr>
                <w:ilvl w:val="0"/>
                <w:numId w:val="46"/>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Intoxicação, envenenamento e potencial morte. </w:t>
            </w:r>
          </w:p>
        </w:tc>
      </w:tr>
    </w:tbl>
    <w:p w14:paraId="039FE232" w14:textId="27B54114" w:rsidR="00C802F2" w:rsidRPr="00292532" w:rsidRDefault="00C802F2" w:rsidP="004500AE">
      <w:pPr>
        <w:pStyle w:val="Heading3"/>
        <w:numPr>
          <w:ilvl w:val="0"/>
          <w:numId w:val="0"/>
        </w:numPr>
        <w:ind w:left="720"/>
        <w:rPr>
          <w:lang w:eastAsia="ja-JP"/>
        </w:rPr>
      </w:pPr>
    </w:p>
    <w:p w14:paraId="3ECD7D93" w14:textId="77777777" w:rsidR="00930429" w:rsidRPr="00292532" w:rsidRDefault="00930429" w:rsidP="00C802F2">
      <w:pPr>
        <w:rPr>
          <w:lang w:val="pt-PT" w:eastAsia="ja-JP"/>
        </w:rPr>
      </w:pPr>
    </w:p>
    <w:p w14:paraId="052B9BC9" w14:textId="48ACCD5D" w:rsidR="00C17832" w:rsidRPr="00292532" w:rsidRDefault="009775A4" w:rsidP="00876367">
      <w:pPr>
        <w:rPr>
          <w:lang w:val="pt-PT" w:eastAsia="ja-JP"/>
        </w:rPr>
      </w:pPr>
      <w:r w:rsidRPr="00292532">
        <w:rPr>
          <w:lang w:val="pt-PT" w:eastAsia="ja-JP"/>
        </w:rPr>
        <w:t xml:space="preserve"> </w:t>
      </w:r>
    </w:p>
    <w:p w14:paraId="1028A691" w14:textId="77777777" w:rsidR="00F05E86" w:rsidRPr="00292532" w:rsidRDefault="00F05E86" w:rsidP="00876367">
      <w:pPr>
        <w:rPr>
          <w:lang w:val="pt-PT" w:eastAsia="ja-JP"/>
        </w:rPr>
      </w:pPr>
    </w:p>
    <w:p w14:paraId="3C2A7B01" w14:textId="77777777" w:rsidR="00930429" w:rsidRPr="00292532" w:rsidRDefault="00930429" w:rsidP="009775A4">
      <w:pPr>
        <w:rPr>
          <w:lang w:val="pt-PT" w:eastAsia="ja-JP"/>
        </w:rPr>
        <w:sectPr w:rsidR="00930429" w:rsidRPr="00292532" w:rsidSect="00B46980">
          <w:pgSz w:w="16838" w:h="11906" w:orient="landscape"/>
          <w:pgMar w:top="1699" w:right="1411" w:bottom="1699" w:left="1411" w:header="706" w:footer="706"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p>
    <w:p w14:paraId="0B7E4E67" w14:textId="54DB97E3" w:rsidR="003038CB" w:rsidRPr="00292532" w:rsidRDefault="003038CB">
      <w:pPr>
        <w:pStyle w:val="Heading3"/>
        <w:rPr>
          <w:lang w:eastAsia="ja-JP"/>
        </w:rPr>
      </w:pPr>
      <w:bookmarkStart w:id="216" w:name="_Toc78435347"/>
      <w:bookmarkStart w:id="217" w:name="_Toc78435348"/>
      <w:bookmarkStart w:id="218" w:name="_Toc80379973"/>
      <w:bookmarkEnd w:id="216"/>
      <w:bookmarkEnd w:id="217"/>
      <w:r w:rsidRPr="00292532">
        <w:rPr>
          <w:lang w:eastAsia="ja-JP"/>
        </w:rPr>
        <w:lastRenderedPageBreak/>
        <w:t>Riscos de Gestão e Direitos dos Trabalhadores</w:t>
      </w:r>
      <w:bookmarkEnd w:id="218"/>
      <w:r w:rsidRPr="00292532">
        <w:rPr>
          <w:lang w:eastAsia="ja-JP"/>
        </w:rPr>
        <w:t xml:space="preserve"> </w:t>
      </w:r>
    </w:p>
    <w:p w14:paraId="079279F2" w14:textId="72BD9D6B" w:rsidR="003038CB" w:rsidRPr="00292532" w:rsidRDefault="003038CB" w:rsidP="003038CB">
      <w:pPr>
        <w:rPr>
          <w:lang w:val="pt-PT" w:eastAsia="ja-JP"/>
        </w:rPr>
      </w:pPr>
      <w:bookmarkStart w:id="219" w:name="_Hlk75443613"/>
      <w:r w:rsidRPr="00292532">
        <w:rPr>
          <w:lang w:val="pt-PT" w:eastAsia="ja-JP"/>
        </w:rPr>
        <w:t xml:space="preserve">Assume-se que será necessária a </w:t>
      </w:r>
      <w:r w:rsidR="00381467" w:rsidRPr="00292532">
        <w:rPr>
          <w:lang w:val="pt-PT" w:eastAsia="ja-JP"/>
        </w:rPr>
        <w:t>contrata</w:t>
      </w:r>
      <w:r w:rsidRPr="00292532">
        <w:rPr>
          <w:lang w:val="pt-PT" w:eastAsia="ja-JP"/>
        </w:rPr>
        <w:t>ção de mão-</w:t>
      </w:r>
      <w:r w:rsidR="000B4F71" w:rsidRPr="00292532">
        <w:rPr>
          <w:lang w:val="pt-PT" w:eastAsia="ja-JP"/>
        </w:rPr>
        <w:t>obra maioritariamente</w:t>
      </w:r>
      <w:r w:rsidRPr="00292532">
        <w:rPr>
          <w:lang w:val="pt-PT" w:eastAsia="ja-JP"/>
        </w:rPr>
        <w:t xml:space="preserve"> para ser absorvida na fase</w:t>
      </w:r>
      <w:r w:rsidR="00F42690" w:rsidRPr="00292532">
        <w:rPr>
          <w:lang w:val="pt-PT" w:eastAsia="ja-JP"/>
        </w:rPr>
        <w:t xml:space="preserve"> de construção</w:t>
      </w:r>
      <w:r w:rsidRPr="00292532">
        <w:rPr>
          <w:lang w:val="pt-PT" w:eastAsia="ja-JP"/>
        </w:rPr>
        <w:t xml:space="preserve"> pelas empresas a serem </w:t>
      </w:r>
      <w:r w:rsidR="00381467" w:rsidRPr="00292532">
        <w:rPr>
          <w:lang w:val="pt-PT" w:eastAsia="ja-JP"/>
        </w:rPr>
        <w:t>contrata</w:t>
      </w:r>
      <w:r w:rsidRPr="00292532">
        <w:rPr>
          <w:lang w:val="pt-PT" w:eastAsia="ja-JP"/>
        </w:rPr>
        <w:t xml:space="preserve">das pelo mutuário. Durante a fase de operação prevê-se igualmente a </w:t>
      </w:r>
      <w:r w:rsidR="00381467" w:rsidRPr="00292532">
        <w:rPr>
          <w:lang w:val="pt-PT" w:eastAsia="ja-JP"/>
        </w:rPr>
        <w:t>contrata</w:t>
      </w:r>
      <w:r w:rsidRPr="00292532">
        <w:rPr>
          <w:lang w:val="pt-PT" w:eastAsia="ja-JP"/>
        </w:rPr>
        <w:t xml:space="preserve">ção de mão-de-obra, no entanto em números muito mais reduzidos. </w:t>
      </w:r>
    </w:p>
    <w:p w14:paraId="195CF90E" w14:textId="71BE9822" w:rsidR="003038CB" w:rsidRPr="00292532" w:rsidRDefault="003038CB" w:rsidP="003038CB">
      <w:pPr>
        <w:rPr>
          <w:lang w:val="pt-PT" w:eastAsia="ja-JP"/>
        </w:rPr>
      </w:pPr>
      <w:r w:rsidRPr="00292532">
        <w:rPr>
          <w:lang w:val="pt-PT" w:eastAsia="ja-JP"/>
        </w:rPr>
        <w:t xml:space="preserve">A </w:t>
      </w:r>
      <w:r w:rsidR="00381467" w:rsidRPr="00292532">
        <w:rPr>
          <w:lang w:val="pt-PT" w:eastAsia="ja-JP"/>
        </w:rPr>
        <w:t>contrata</w:t>
      </w:r>
      <w:r w:rsidRPr="00292532">
        <w:rPr>
          <w:lang w:val="pt-PT" w:eastAsia="ja-JP"/>
        </w:rPr>
        <w:t xml:space="preserve">ção e gestão de mão-de-obra acarreta riscos laborais influenciados principalmente pelos seguintes </w:t>
      </w:r>
      <w:proofErr w:type="spellStart"/>
      <w:r w:rsidRPr="00292532">
        <w:rPr>
          <w:lang w:val="pt-PT" w:eastAsia="ja-JP"/>
        </w:rPr>
        <w:t>factores</w:t>
      </w:r>
      <w:proofErr w:type="spellEnd"/>
      <w:r w:rsidRPr="00292532">
        <w:rPr>
          <w:lang w:val="pt-PT" w:eastAsia="ja-JP"/>
        </w:rPr>
        <w:t>:</w:t>
      </w:r>
    </w:p>
    <w:p w14:paraId="1ECB5425" w14:textId="77777777" w:rsidR="003038CB" w:rsidRPr="00292532" w:rsidRDefault="003038CB" w:rsidP="0024772D">
      <w:pPr>
        <w:pStyle w:val="ListParagraph"/>
        <w:numPr>
          <w:ilvl w:val="0"/>
          <w:numId w:val="43"/>
        </w:numPr>
        <w:rPr>
          <w:lang w:val="pt-PT" w:eastAsia="ja-JP"/>
        </w:rPr>
      </w:pPr>
      <w:r w:rsidRPr="00292532">
        <w:rPr>
          <w:lang w:val="pt-PT" w:eastAsia="ja-JP"/>
        </w:rPr>
        <w:t>Tipo de gestão das áreas de construção</w:t>
      </w:r>
    </w:p>
    <w:p w14:paraId="7967E2E9" w14:textId="77777777" w:rsidR="003038CB" w:rsidRPr="00292532" w:rsidRDefault="003038CB" w:rsidP="0024772D">
      <w:pPr>
        <w:pStyle w:val="ListParagraph"/>
        <w:numPr>
          <w:ilvl w:val="0"/>
          <w:numId w:val="43"/>
        </w:numPr>
        <w:rPr>
          <w:lang w:val="pt-PT" w:eastAsia="ja-JP"/>
        </w:rPr>
      </w:pPr>
      <w:r w:rsidRPr="00292532">
        <w:rPr>
          <w:lang w:val="pt-PT" w:eastAsia="ja-JP"/>
        </w:rPr>
        <w:t>Gestão dos acampamentos dos trabalhadores</w:t>
      </w:r>
    </w:p>
    <w:p w14:paraId="2178EBD3" w14:textId="7F7E59F6" w:rsidR="003038CB" w:rsidRPr="00292532" w:rsidRDefault="0005701F" w:rsidP="0024772D">
      <w:pPr>
        <w:pStyle w:val="ListParagraph"/>
        <w:numPr>
          <w:ilvl w:val="0"/>
          <w:numId w:val="43"/>
        </w:numPr>
        <w:rPr>
          <w:lang w:val="pt-PT" w:eastAsia="ja-JP"/>
        </w:rPr>
      </w:pPr>
      <w:r w:rsidRPr="00292532">
        <w:rPr>
          <w:lang w:val="pt-PT" w:eastAsia="ja-JP"/>
        </w:rPr>
        <w:t>Gestão</w:t>
      </w:r>
      <w:r w:rsidR="003038CB" w:rsidRPr="00292532">
        <w:rPr>
          <w:lang w:val="pt-PT" w:eastAsia="ja-JP"/>
        </w:rPr>
        <w:t xml:space="preserve"> da força de trabalho não residente</w:t>
      </w:r>
    </w:p>
    <w:p w14:paraId="717948A4" w14:textId="33FD80DC" w:rsidR="003038CB" w:rsidRPr="00292532" w:rsidRDefault="003038CB" w:rsidP="0024772D">
      <w:pPr>
        <w:pStyle w:val="ListParagraph"/>
        <w:numPr>
          <w:ilvl w:val="0"/>
          <w:numId w:val="43"/>
        </w:numPr>
        <w:rPr>
          <w:lang w:val="pt-PT" w:eastAsia="ja-JP"/>
        </w:rPr>
      </w:pPr>
      <w:r w:rsidRPr="00292532">
        <w:rPr>
          <w:lang w:val="pt-PT" w:eastAsia="ja-JP"/>
        </w:rPr>
        <w:t xml:space="preserve">Uso de </w:t>
      </w:r>
      <w:r w:rsidR="00381467" w:rsidRPr="00292532">
        <w:rPr>
          <w:lang w:val="pt-PT" w:eastAsia="ja-JP"/>
        </w:rPr>
        <w:t>contrata</w:t>
      </w:r>
      <w:r w:rsidRPr="00292532">
        <w:rPr>
          <w:lang w:val="pt-PT" w:eastAsia="ja-JP"/>
        </w:rPr>
        <w:t xml:space="preserve">dos e </w:t>
      </w:r>
      <w:r w:rsidR="0005701F" w:rsidRPr="00292532">
        <w:rPr>
          <w:lang w:val="pt-PT" w:eastAsia="ja-JP"/>
        </w:rPr>
        <w:t>subcontratados</w:t>
      </w:r>
      <w:bookmarkEnd w:id="219"/>
    </w:p>
    <w:p w14:paraId="54E4A201" w14:textId="6AFF7B4A" w:rsidR="003038CB" w:rsidRPr="00292532" w:rsidRDefault="003038CB" w:rsidP="003038CB">
      <w:pPr>
        <w:rPr>
          <w:lang w:val="pt-PT" w:eastAsia="ja-JP"/>
        </w:rPr>
      </w:pPr>
      <w:bookmarkStart w:id="220" w:name="_Hlk73124236"/>
      <w:r w:rsidRPr="00292532">
        <w:rPr>
          <w:lang w:val="pt-PT" w:eastAsia="ja-JP"/>
        </w:rPr>
        <w:t xml:space="preserve">O </w:t>
      </w:r>
      <w:proofErr w:type="spellStart"/>
      <w:r w:rsidRPr="00292532">
        <w:rPr>
          <w:lang w:val="pt-PT" w:eastAsia="ja-JP"/>
        </w:rPr>
        <w:t>Projecto</w:t>
      </w:r>
      <w:proofErr w:type="spellEnd"/>
      <w:r w:rsidRPr="00292532">
        <w:rPr>
          <w:lang w:val="pt-PT" w:eastAsia="ja-JP"/>
        </w:rPr>
        <w:t xml:space="preserve"> está sujeito aos seguintes potenciais riscos de gestão de mão-de-obra e direitos laborais: </w:t>
      </w:r>
    </w:p>
    <w:p w14:paraId="6227E5E4" w14:textId="7A56E28C" w:rsidR="003038CB" w:rsidRPr="00292532" w:rsidRDefault="003038CB" w:rsidP="0024772D">
      <w:pPr>
        <w:pStyle w:val="ListParagraph"/>
        <w:numPr>
          <w:ilvl w:val="0"/>
          <w:numId w:val="44"/>
        </w:numPr>
        <w:rPr>
          <w:lang w:val="pt-PT" w:eastAsia="ja-JP"/>
        </w:rPr>
      </w:pPr>
      <w:r w:rsidRPr="00292532">
        <w:rPr>
          <w:lang w:val="pt-PT" w:eastAsia="ja-JP"/>
        </w:rPr>
        <w:t xml:space="preserve">Abusos laborais, </w:t>
      </w:r>
      <w:r w:rsidR="000B4F71" w:rsidRPr="00292532">
        <w:rPr>
          <w:lang w:val="pt-PT" w:eastAsia="ja-JP"/>
        </w:rPr>
        <w:t>exacerbado</w:t>
      </w:r>
      <w:r w:rsidRPr="00292532">
        <w:rPr>
          <w:lang w:val="pt-PT" w:eastAsia="ja-JP"/>
        </w:rPr>
        <w:t xml:space="preserve"> pelo facto d</w:t>
      </w:r>
      <w:r w:rsidR="003545C3" w:rsidRPr="00292532">
        <w:rPr>
          <w:lang w:val="pt-PT" w:eastAsia="ja-JP"/>
        </w:rPr>
        <w:t>e a</w:t>
      </w:r>
      <w:r w:rsidRPr="00292532">
        <w:rPr>
          <w:lang w:val="pt-PT" w:eastAsia="ja-JP"/>
        </w:rPr>
        <w:t xml:space="preserve"> maioria das populações na</w:t>
      </w:r>
      <w:r w:rsidR="00B40B88" w:rsidRPr="00292532">
        <w:rPr>
          <w:lang w:val="pt-PT" w:eastAsia="ja-JP"/>
        </w:rPr>
        <w:t>s zonas de abrangência não estarem adequadamente consciencializadas sobre os direitos de trabalhadores exigidos pela lei</w:t>
      </w:r>
      <w:r w:rsidR="003545C3" w:rsidRPr="00292532">
        <w:rPr>
          <w:lang w:val="pt-PT" w:eastAsia="ja-JP"/>
        </w:rPr>
        <w:t xml:space="preserve"> e </w:t>
      </w:r>
      <w:r w:rsidR="00B40B88" w:rsidRPr="00292532">
        <w:rPr>
          <w:lang w:val="pt-PT" w:eastAsia="ja-JP"/>
        </w:rPr>
        <w:t>por muitas delas encontrarem-se em situação de desemprego e por vezes dispostas a sacrificarem os seus direitos para manterem o seu trabalho</w:t>
      </w:r>
    </w:p>
    <w:p w14:paraId="669D86EA" w14:textId="511A0B63" w:rsidR="00B40B88" w:rsidRPr="00292532" w:rsidRDefault="00B40B88" w:rsidP="0024772D">
      <w:pPr>
        <w:pStyle w:val="ListParagraph"/>
        <w:numPr>
          <w:ilvl w:val="0"/>
          <w:numId w:val="44"/>
        </w:numPr>
        <w:rPr>
          <w:lang w:val="pt-PT" w:eastAsia="ja-JP"/>
        </w:rPr>
      </w:pPr>
      <w:r w:rsidRPr="00292532">
        <w:rPr>
          <w:lang w:val="pt-PT" w:eastAsia="ja-JP"/>
        </w:rPr>
        <w:t>Baixo padrão de alojamentos dos trabalhadores, sem condições básicas de acesso à água potável</w:t>
      </w:r>
      <w:r w:rsidR="00917329" w:rsidRPr="00292532">
        <w:rPr>
          <w:lang w:val="pt-PT" w:eastAsia="ja-JP"/>
        </w:rPr>
        <w:t>, refeições básicas com dieta adequada e</w:t>
      </w:r>
      <w:r w:rsidRPr="00292532">
        <w:rPr>
          <w:lang w:val="pt-PT" w:eastAsia="ja-JP"/>
        </w:rPr>
        <w:t xml:space="preserve"> saneamento adequado</w:t>
      </w:r>
      <w:r w:rsidR="00917329" w:rsidRPr="00292532">
        <w:rPr>
          <w:lang w:val="pt-PT" w:eastAsia="ja-JP"/>
        </w:rPr>
        <w:t>. Alojamentos e espaços laborais</w:t>
      </w:r>
      <w:r w:rsidR="003545C3" w:rsidRPr="00292532">
        <w:rPr>
          <w:lang w:val="pt-PT" w:eastAsia="ja-JP"/>
        </w:rPr>
        <w:t xml:space="preserve"> sem</w:t>
      </w:r>
      <w:r w:rsidR="00917329" w:rsidRPr="00292532">
        <w:rPr>
          <w:lang w:val="pt-PT" w:eastAsia="ja-JP"/>
        </w:rPr>
        <w:t xml:space="preserve"> condições higiénicas. </w:t>
      </w:r>
      <w:r w:rsidRPr="00292532">
        <w:rPr>
          <w:lang w:val="pt-PT" w:eastAsia="ja-JP"/>
        </w:rPr>
        <w:t xml:space="preserve"> </w:t>
      </w:r>
    </w:p>
    <w:p w14:paraId="5F187FAD" w14:textId="34D6F71A" w:rsidR="003038CB" w:rsidRPr="00292532" w:rsidRDefault="003038CB" w:rsidP="0024772D">
      <w:pPr>
        <w:pStyle w:val="ListParagraph"/>
        <w:numPr>
          <w:ilvl w:val="0"/>
          <w:numId w:val="44"/>
        </w:numPr>
        <w:rPr>
          <w:lang w:val="pt-PT" w:eastAsia="ja-JP"/>
        </w:rPr>
      </w:pPr>
      <w:r w:rsidRPr="00292532">
        <w:rPr>
          <w:lang w:val="pt-PT" w:eastAsia="ja-JP"/>
        </w:rPr>
        <w:t>Falta de contratos, uso de contratos não compreendidos pelos funcionários ou uso de contratos com termos diferentes das reais condições de trabalho</w:t>
      </w:r>
    </w:p>
    <w:p w14:paraId="70C169D3" w14:textId="5DA0EB74" w:rsidR="00917329" w:rsidRPr="00292532" w:rsidRDefault="00917329" w:rsidP="0024772D">
      <w:pPr>
        <w:pStyle w:val="ListParagraph"/>
        <w:numPr>
          <w:ilvl w:val="0"/>
          <w:numId w:val="44"/>
        </w:numPr>
        <w:rPr>
          <w:lang w:val="pt-PT" w:eastAsia="ja-JP"/>
        </w:rPr>
      </w:pPr>
      <w:r w:rsidRPr="00292532">
        <w:rPr>
          <w:lang w:val="pt-PT" w:eastAsia="ja-JP"/>
        </w:rPr>
        <w:t xml:space="preserve">Salários baixos e desigualdades de direitos entre os vários trabalhadores (estrangeiros </w:t>
      </w:r>
      <w:r w:rsidR="0005701F" w:rsidRPr="00292532">
        <w:rPr>
          <w:i/>
          <w:iCs/>
          <w:lang w:val="pt-PT" w:eastAsia="ja-JP"/>
        </w:rPr>
        <w:t>vs.</w:t>
      </w:r>
      <w:r w:rsidRPr="00292532">
        <w:rPr>
          <w:lang w:val="pt-PT" w:eastAsia="ja-JP"/>
        </w:rPr>
        <w:t xml:space="preserve"> moçambicanos, trabalhadores locais </w:t>
      </w:r>
      <w:r w:rsidR="0005701F" w:rsidRPr="00292532">
        <w:rPr>
          <w:i/>
          <w:iCs/>
          <w:lang w:val="pt-PT" w:eastAsia="ja-JP"/>
        </w:rPr>
        <w:t>vs.</w:t>
      </w:r>
      <w:r w:rsidRPr="00292532">
        <w:rPr>
          <w:lang w:val="pt-PT" w:eastAsia="ja-JP"/>
        </w:rPr>
        <w:t xml:space="preserve"> trabalhadores provenientes de outras regiões do País, trabalhadores com curso técnico ou superior </w:t>
      </w:r>
      <w:r w:rsidR="0005701F" w:rsidRPr="00292532">
        <w:rPr>
          <w:i/>
          <w:iCs/>
          <w:lang w:val="pt-PT" w:eastAsia="ja-JP"/>
        </w:rPr>
        <w:t>vs.</w:t>
      </w:r>
      <w:r w:rsidRPr="00292532">
        <w:rPr>
          <w:lang w:val="pt-PT" w:eastAsia="ja-JP"/>
        </w:rPr>
        <w:t xml:space="preserve"> trabalhadores analfabetos/com níveis baixos de escolaridade, mulheres </w:t>
      </w:r>
      <w:r w:rsidR="0005701F" w:rsidRPr="00292532">
        <w:rPr>
          <w:i/>
          <w:iCs/>
          <w:lang w:val="pt-PT" w:eastAsia="ja-JP"/>
        </w:rPr>
        <w:t>vs.</w:t>
      </w:r>
      <w:r w:rsidRPr="00292532">
        <w:rPr>
          <w:lang w:val="pt-PT" w:eastAsia="ja-JP"/>
        </w:rPr>
        <w:t xml:space="preserve"> homens, </w:t>
      </w:r>
      <w:r w:rsidR="0005701F" w:rsidRPr="00292532">
        <w:rPr>
          <w:lang w:val="pt-PT" w:eastAsia="ja-JP"/>
        </w:rPr>
        <w:t>etc.</w:t>
      </w:r>
      <w:r w:rsidRPr="00292532">
        <w:rPr>
          <w:lang w:val="pt-PT" w:eastAsia="ja-JP"/>
        </w:rPr>
        <w:t>)</w:t>
      </w:r>
    </w:p>
    <w:p w14:paraId="6C14B06F" w14:textId="77777777" w:rsidR="00917329" w:rsidRPr="00292532" w:rsidRDefault="00917329" w:rsidP="0024772D">
      <w:pPr>
        <w:pStyle w:val="ListParagraph"/>
        <w:numPr>
          <w:ilvl w:val="0"/>
          <w:numId w:val="44"/>
        </w:numPr>
        <w:rPr>
          <w:lang w:val="pt-PT" w:eastAsia="ja-JP"/>
        </w:rPr>
      </w:pPr>
      <w:r w:rsidRPr="00292532">
        <w:rPr>
          <w:lang w:val="pt-PT" w:eastAsia="ja-JP"/>
        </w:rPr>
        <w:t xml:space="preserve">Cargas horárias excessivas </w:t>
      </w:r>
    </w:p>
    <w:p w14:paraId="35D2744B" w14:textId="3D41FEB4" w:rsidR="00917329" w:rsidRPr="00292532" w:rsidRDefault="00917329" w:rsidP="0024772D">
      <w:pPr>
        <w:pStyle w:val="ListParagraph"/>
        <w:numPr>
          <w:ilvl w:val="0"/>
          <w:numId w:val="44"/>
        </w:numPr>
        <w:rPr>
          <w:lang w:val="pt-PT" w:eastAsia="ja-JP"/>
        </w:rPr>
      </w:pPr>
      <w:r w:rsidRPr="00292532">
        <w:rPr>
          <w:lang w:val="pt-PT" w:eastAsia="ja-JP"/>
        </w:rPr>
        <w:t xml:space="preserve">Exploração de trabalhadores menores de idade potencialmente devido a </w:t>
      </w:r>
      <w:r w:rsidR="00381467" w:rsidRPr="00292532">
        <w:rPr>
          <w:lang w:val="pt-PT" w:eastAsia="ja-JP"/>
        </w:rPr>
        <w:t>contrata</w:t>
      </w:r>
      <w:r w:rsidRPr="00292532">
        <w:rPr>
          <w:lang w:val="pt-PT" w:eastAsia="ja-JP"/>
        </w:rPr>
        <w:t xml:space="preserve">ção de trabalhadores sem documentos de identificação ou contratação de menos de </w:t>
      </w:r>
      <w:r w:rsidR="00F32AE1" w:rsidRPr="00292532">
        <w:rPr>
          <w:lang w:val="pt-PT" w:eastAsia="ja-JP"/>
        </w:rPr>
        <w:t>15</w:t>
      </w:r>
      <w:r w:rsidRPr="00292532">
        <w:rPr>
          <w:lang w:val="pt-PT" w:eastAsia="ja-JP"/>
        </w:rPr>
        <w:t xml:space="preserve"> anos em má fé</w:t>
      </w:r>
    </w:p>
    <w:p w14:paraId="01F10AB3" w14:textId="0D462B02" w:rsidR="00917329" w:rsidRPr="00292532" w:rsidRDefault="00917329" w:rsidP="0024772D">
      <w:pPr>
        <w:pStyle w:val="ListParagraph"/>
        <w:numPr>
          <w:ilvl w:val="0"/>
          <w:numId w:val="44"/>
        </w:numPr>
        <w:rPr>
          <w:lang w:val="pt-PT" w:eastAsia="ja-JP"/>
        </w:rPr>
      </w:pPr>
      <w:r w:rsidRPr="00292532">
        <w:rPr>
          <w:lang w:val="pt-PT" w:eastAsia="ja-JP"/>
        </w:rPr>
        <w:t>Exploração de trabalhadores migrantes ou temporários por empreiteiros, incluindo deduções ilegais no salário (p. ex. taxas excessivas de recrutamento, custos de transporte/habitação)</w:t>
      </w:r>
    </w:p>
    <w:p w14:paraId="57ECABF0" w14:textId="0FD5F1CE" w:rsidR="00917329" w:rsidRPr="00292532" w:rsidRDefault="00917329" w:rsidP="0024772D">
      <w:pPr>
        <w:pStyle w:val="ListParagraph"/>
        <w:numPr>
          <w:ilvl w:val="0"/>
          <w:numId w:val="44"/>
        </w:numPr>
        <w:rPr>
          <w:lang w:val="pt-PT" w:eastAsia="ja-JP"/>
        </w:rPr>
      </w:pPr>
      <w:r w:rsidRPr="00292532">
        <w:rPr>
          <w:lang w:val="pt-PT" w:eastAsia="ja-JP"/>
        </w:rPr>
        <w:t>Falta de liberdade de associação e de mecanismos de queixas</w:t>
      </w:r>
    </w:p>
    <w:p w14:paraId="1DAA2A8E" w14:textId="5D80CFA6" w:rsidR="00917329" w:rsidRPr="00292532" w:rsidRDefault="00917329" w:rsidP="0024772D">
      <w:pPr>
        <w:pStyle w:val="ListParagraph"/>
        <w:numPr>
          <w:ilvl w:val="0"/>
          <w:numId w:val="44"/>
        </w:numPr>
        <w:rPr>
          <w:lang w:val="pt-PT" w:eastAsia="ja-JP"/>
        </w:rPr>
      </w:pPr>
      <w:r w:rsidRPr="00292532">
        <w:rPr>
          <w:lang w:val="pt-PT" w:eastAsia="ja-JP"/>
        </w:rPr>
        <w:t>Práticas de contratação e promoção discriminatórias</w:t>
      </w:r>
    </w:p>
    <w:p w14:paraId="31AAFF94" w14:textId="20EBB9C8" w:rsidR="00917329" w:rsidRPr="00292532" w:rsidRDefault="00917329" w:rsidP="0024772D">
      <w:pPr>
        <w:pStyle w:val="ListParagraph"/>
        <w:numPr>
          <w:ilvl w:val="0"/>
          <w:numId w:val="44"/>
        </w:numPr>
        <w:rPr>
          <w:lang w:val="pt-PT" w:eastAsia="ja-JP"/>
        </w:rPr>
      </w:pPr>
      <w:r w:rsidRPr="00292532">
        <w:rPr>
          <w:lang w:val="pt-PT" w:eastAsia="ja-JP"/>
        </w:rPr>
        <w:t xml:space="preserve">Situações de assédio verbal e físico </w:t>
      </w:r>
    </w:p>
    <w:bookmarkEnd w:id="220"/>
    <w:p w14:paraId="76303B8F" w14:textId="45303C33" w:rsidR="003038CB" w:rsidRPr="00292532" w:rsidRDefault="00917329" w:rsidP="00B40B88">
      <w:pPr>
        <w:ind w:left="360"/>
        <w:rPr>
          <w:lang w:val="pt-PT" w:eastAsia="ja-JP"/>
        </w:rPr>
      </w:pPr>
      <w:r w:rsidRPr="00292532">
        <w:rPr>
          <w:lang w:val="pt-PT" w:eastAsia="ja-JP"/>
        </w:rPr>
        <w:t xml:space="preserve">Os principais grupos vulneráveis a serem potencialmente </w:t>
      </w:r>
      <w:proofErr w:type="spellStart"/>
      <w:r w:rsidRPr="00292532">
        <w:rPr>
          <w:lang w:val="pt-PT" w:eastAsia="ja-JP"/>
        </w:rPr>
        <w:t>afectados</w:t>
      </w:r>
      <w:proofErr w:type="spellEnd"/>
      <w:r w:rsidRPr="00292532">
        <w:rPr>
          <w:lang w:val="pt-PT" w:eastAsia="ja-JP"/>
        </w:rPr>
        <w:t xml:space="preserve"> pelos riscos acima descritos são: </w:t>
      </w:r>
    </w:p>
    <w:p w14:paraId="24FFF08B" w14:textId="22CFAD45" w:rsidR="00917329" w:rsidRPr="00292532" w:rsidRDefault="00917329" w:rsidP="0024772D">
      <w:pPr>
        <w:pStyle w:val="ListParagraph"/>
        <w:numPr>
          <w:ilvl w:val="0"/>
          <w:numId w:val="45"/>
        </w:numPr>
        <w:rPr>
          <w:lang w:val="pt-PT" w:eastAsia="ja-JP"/>
        </w:rPr>
      </w:pPr>
      <w:r w:rsidRPr="00292532">
        <w:rPr>
          <w:lang w:val="pt-PT" w:eastAsia="ja-JP"/>
        </w:rPr>
        <w:t xml:space="preserve">Crianças de famílias pobres </w:t>
      </w:r>
      <w:r w:rsidR="009E5377" w:rsidRPr="00292532">
        <w:rPr>
          <w:lang w:val="pt-PT" w:eastAsia="ja-JP"/>
        </w:rPr>
        <w:t>e famílias chefiadas por crianças</w:t>
      </w:r>
    </w:p>
    <w:p w14:paraId="7F89779B" w14:textId="1436E4E5" w:rsidR="00917329" w:rsidRPr="00292532" w:rsidRDefault="00917329" w:rsidP="0024772D">
      <w:pPr>
        <w:pStyle w:val="ListParagraph"/>
        <w:numPr>
          <w:ilvl w:val="0"/>
          <w:numId w:val="45"/>
        </w:numPr>
        <w:rPr>
          <w:lang w:val="pt-PT" w:eastAsia="ja-JP"/>
        </w:rPr>
      </w:pPr>
      <w:r w:rsidRPr="00292532">
        <w:rPr>
          <w:lang w:val="pt-PT" w:eastAsia="ja-JP"/>
        </w:rPr>
        <w:t xml:space="preserve">Trabalhadores migrantes </w:t>
      </w:r>
    </w:p>
    <w:p w14:paraId="3965A5B2" w14:textId="38CCC82E" w:rsidR="009E5377" w:rsidRPr="00292532" w:rsidRDefault="009E5377" w:rsidP="00B31AE2">
      <w:pPr>
        <w:pStyle w:val="ListParagraph"/>
        <w:numPr>
          <w:ilvl w:val="0"/>
          <w:numId w:val="45"/>
        </w:numPr>
        <w:rPr>
          <w:lang w:val="pt-PT" w:eastAsia="ja-JP"/>
        </w:rPr>
      </w:pPr>
      <w:r w:rsidRPr="00292532">
        <w:rPr>
          <w:lang w:val="pt-PT" w:eastAsia="ja-JP"/>
        </w:rPr>
        <w:t>Famílias chefiadas por m</w:t>
      </w:r>
      <w:r w:rsidR="00917329" w:rsidRPr="00292532">
        <w:rPr>
          <w:lang w:val="pt-PT" w:eastAsia="ja-JP"/>
        </w:rPr>
        <w:t>ulheres</w:t>
      </w:r>
    </w:p>
    <w:p w14:paraId="39D3A262" w14:textId="7A2A52B5" w:rsidR="00917329" w:rsidRPr="00292532" w:rsidRDefault="009E5377">
      <w:pPr>
        <w:pStyle w:val="ListParagraph"/>
        <w:numPr>
          <w:ilvl w:val="0"/>
          <w:numId w:val="45"/>
        </w:numPr>
        <w:rPr>
          <w:lang w:val="pt-PT" w:eastAsia="ja-JP"/>
        </w:rPr>
      </w:pPr>
      <w:r w:rsidRPr="00292532">
        <w:rPr>
          <w:lang w:val="pt-PT" w:eastAsia="ja-JP"/>
        </w:rPr>
        <w:t>Agregados familiares chefiados por idosos</w:t>
      </w:r>
      <w:r w:rsidR="00917329" w:rsidRPr="00292532">
        <w:rPr>
          <w:lang w:val="pt-PT" w:eastAsia="ja-JP"/>
        </w:rPr>
        <w:t xml:space="preserve"> </w:t>
      </w:r>
    </w:p>
    <w:p w14:paraId="755C580A" w14:textId="35D0BFD8" w:rsidR="00917329" w:rsidRPr="00292532" w:rsidRDefault="00917329" w:rsidP="00C62097">
      <w:pPr>
        <w:pStyle w:val="ListParagraph"/>
        <w:numPr>
          <w:ilvl w:val="0"/>
          <w:numId w:val="45"/>
        </w:numPr>
        <w:rPr>
          <w:lang w:val="pt-PT" w:eastAsia="ja-JP"/>
        </w:rPr>
      </w:pPr>
      <w:r w:rsidRPr="00292532">
        <w:rPr>
          <w:lang w:val="pt-PT" w:eastAsia="ja-JP"/>
        </w:rPr>
        <w:lastRenderedPageBreak/>
        <w:t>Refugiados</w:t>
      </w:r>
      <w:r w:rsidR="003545C3" w:rsidRPr="00292532">
        <w:rPr>
          <w:lang w:val="pt-PT" w:eastAsia="ja-JP"/>
        </w:rPr>
        <w:t xml:space="preserve"> recentemente vítimas de ataques terroristas </w:t>
      </w:r>
      <w:r w:rsidRPr="00292532">
        <w:rPr>
          <w:lang w:val="pt-PT" w:eastAsia="ja-JP"/>
        </w:rPr>
        <w:t xml:space="preserve">provenientes de </w:t>
      </w:r>
      <w:r w:rsidR="003545C3" w:rsidRPr="00292532">
        <w:rPr>
          <w:lang w:val="pt-PT" w:eastAsia="ja-JP"/>
        </w:rPr>
        <w:t>C</w:t>
      </w:r>
      <w:r w:rsidRPr="00292532">
        <w:rPr>
          <w:lang w:val="pt-PT" w:eastAsia="ja-JP"/>
        </w:rPr>
        <w:t>abo-</w:t>
      </w:r>
      <w:r w:rsidR="003545C3" w:rsidRPr="00292532">
        <w:rPr>
          <w:lang w:val="pt-PT" w:eastAsia="ja-JP"/>
        </w:rPr>
        <w:t>D</w:t>
      </w:r>
      <w:r w:rsidRPr="00292532">
        <w:rPr>
          <w:lang w:val="pt-PT" w:eastAsia="ja-JP"/>
        </w:rPr>
        <w:t>elgado.</w:t>
      </w:r>
    </w:p>
    <w:p w14:paraId="547AE9E2" w14:textId="0B2866A1" w:rsidR="00917329" w:rsidRPr="00292532" w:rsidRDefault="000B4F71">
      <w:pPr>
        <w:pStyle w:val="Heading3"/>
        <w:rPr>
          <w:lang w:eastAsia="ja-JP"/>
        </w:rPr>
      </w:pPr>
      <w:bookmarkStart w:id="221" w:name="_Toc80379974"/>
      <w:r w:rsidRPr="00292532">
        <w:rPr>
          <w:lang w:eastAsia="ja-JP"/>
        </w:rPr>
        <w:t>Riscos de Saúde e Segurança da Comunidade</w:t>
      </w:r>
      <w:bookmarkEnd w:id="221"/>
      <w:r w:rsidRPr="00292532">
        <w:rPr>
          <w:lang w:eastAsia="ja-JP"/>
        </w:rPr>
        <w:t xml:space="preserve"> </w:t>
      </w:r>
    </w:p>
    <w:p w14:paraId="27F5E736" w14:textId="33A4DA75" w:rsidR="000B4F71" w:rsidRPr="00292532" w:rsidRDefault="000B4F71" w:rsidP="000B4F71">
      <w:pPr>
        <w:rPr>
          <w:lang w:val="pt-PT" w:eastAsia="ja-JP"/>
        </w:rPr>
      </w:pPr>
      <w:bookmarkStart w:id="222" w:name="_Hlk75444852"/>
      <w:r w:rsidRPr="00292532">
        <w:rPr>
          <w:lang w:val="pt-PT" w:eastAsia="ja-JP"/>
        </w:rPr>
        <w:t xml:space="preserve">As comunidades locais nas zonas de abrangência dos </w:t>
      </w:r>
      <w:proofErr w:type="spellStart"/>
      <w:r w:rsidRPr="00292532">
        <w:rPr>
          <w:lang w:val="pt-PT" w:eastAsia="ja-JP"/>
        </w:rPr>
        <w:t>projectos</w:t>
      </w:r>
      <w:proofErr w:type="spellEnd"/>
      <w:r w:rsidRPr="00292532">
        <w:rPr>
          <w:lang w:val="pt-PT" w:eastAsia="ja-JP"/>
        </w:rPr>
        <w:t xml:space="preserve"> estarão expostas à riscos de saúde e segurança gerados pelo </w:t>
      </w:r>
      <w:proofErr w:type="spellStart"/>
      <w:r w:rsidRPr="00292532">
        <w:rPr>
          <w:lang w:val="pt-PT" w:eastAsia="ja-JP"/>
        </w:rPr>
        <w:t>Projecto</w:t>
      </w:r>
      <w:proofErr w:type="spellEnd"/>
      <w:r w:rsidRPr="00292532">
        <w:rPr>
          <w:lang w:val="pt-PT" w:eastAsia="ja-JP"/>
        </w:rPr>
        <w:t xml:space="preserve">. </w:t>
      </w:r>
      <w:bookmarkEnd w:id="222"/>
      <w:r w:rsidRPr="00292532">
        <w:rPr>
          <w:lang w:val="pt-PT" w:eastAsia="ja-JP"/>
        </w:rPr>
        <w:t xml:space="preserve">Destacando-se os seguintes. </w:t>
      </w:r>
    </w:p>
    <w:p w14:paraId="244DF960" w14:textId="6B348A5E" w:rsidR="00B741E9" w:rsidRPr="00292532" w:rsidRDefault="00B741E9" w:rsidP="0024772D">
      <w:pPr>
        <w:pStyle w:val="ListParagraph"/>
        <w:numPr>
          <w:ilvl w:val="0"/>
          <w:numId w:val="52"/>
        </w:numPr>
        <w:rPr>
          <w:lang w:val="pt-PT" w:eastAsia="ja-JP"/>
        </w:rPr>
      </w:pPr>
      <w:r w:rsidRPr="00292532">
        <w:rPr>
          <w:lang w:val="pt-PT" w:eastAsia="ja-JP"/>
        </w:rPr>
        <w:t xml:space="preserve">Incêndios originados nas instalações do </w:t>
      </w:r>
      <w:proofErr w:type="spellStart"/>
      <w:r w:rsidRPr="00292532">
        <w:rPr>
          <w:lang w:val="pt-PT" w:eastAsia="ja-JP"/>
        </w:rPr>
        <w:t>Projecto</w:t>
      </w:r>
      <w:proofErr w:type="spellEnd"/>
      <w:r w:rsidRPr="00292532">
        <w:rPr>
          <w:lang w:val="pt-PT" w:eastAsia="ja-JP"/>
        </w:rPr>
        <w:t xml:space="preserve">, estaleiros, oficinas e acampamentos temporários; </w:t>
      </w:r>
    </w:p>
    <w:p w14:paraId="300DE0C3" w14:textId="7134A2C1" w:rsidR="005D19A6" w:rsidRPr="00292532" w:rsidRDefault="005D19A6" w:rsidP="0024772D">
      <w:pPr>
        <w:pStyle w:val="ListParagraph"/>
        <w:numPr>
          <w:ilvl w:val="0"/>
          <w:numId w:val="52"/>
        </w:numPr>
        <w:rPr>
          <w:lang w:val="pt-PT" w:eastAsia="ja-JP"/>
        </w:rPr>
      </w:pPr>
      <w:r w:rsidRPr="00292532">
        <w:rPr>
          <w:lang w:val="pt-PT" w:eastAsia="ja-JP"/>
        </w:rPr>
        <w:t xml:space="preserve">Contacto com substâncias e materiais perigoso provenientes das </w:t>
      </w:r>
      <w:proofErr w:type="spellStart"/>
      <w:r w:rsidRPr="00292532">
        <w:rPr>
          <w:lang w:val="pt-PT" w:eastAsia="ja-JP"/>
        </w:rPr>
        <w:t>actividades</w:t>
      </w:r>
      <w:proofErr w:type="spellEnd"/>
      <w:r w:rsidRPr="00292532">
        <w:rPr>
          <w:lang w:val="pt-PT" w:eastAsia="ja-JP"/>
        </w:rPr>
        <w:t xml:space="preserve"> de construção (químicos, </w:t>
      </w:r>
      <w:r w:rsidR="003545C3" w:rsidRPr="00292532">
        <w:rPr>
          <w:lang w:val="pt-PT" w:eastAsia="ja-JP"/>
        </w:rPr>
        <w:t xml:space="preserve">combustíveis e </w:t>
      </w:r>
      <w:r w:rsidRPr="00292532">
        <w:rPr>
          <w:lang w:val="pt-PT" w:eastAsia="ja-JP"/>
        </w:rPr>
        <w:t>resíduos perigosos</w:t>
      </w:r>
      <w:r w:rsidR="003545C3" w:rsidRPr="00292532">
        <w:rPr>
          <w:lang w:val="pt-PT" w:eastAsia="ja-JP"/>
        </w:rPr>
        <w:t>);</w:t>
      </w:r>
      <w:r w:rsidRPr="00292532">
        <w:rPr>
          <w:lang w:val="pt-PT" w:eastAsia="ja-JP"/>
        </w:rPr>
        <w:t xml:space="preserve"> </w:t>
      </w:r>
    </w:p>
    <w:p w14:paraId="728FE056" w14:textId="0F7EDD73" w:rsidR="00C61C91" w:rsidRPr="00292532" w:rsidRDefault="00C61C91" w:rsidP="0024772D">
      <w:pPr>
        <w:pStyle w:val="ListParagraph"/>
        <w:numPr>
          <w:ilvl w:val="0"/>
          <w:numId w:val="52"/>
        </w:numPr>
        <w:rPr>
          <w:lang w:val="pt-PT" w:eastAsia="ja-JP"/>
        </w:rPr>
      </w:pPr>
      <w:r w:rsidRPr="00292532">
        <w:rPr>
          <w:lang w:val="pt-PT" w:eastAsia="ja-JP"/>
        </w:rPr>
        <w:t xml:space="preserve">Contacto com solos contaminados pelas </w:t>
      </w:r>
      <w:proofErr w:type="spellStart"/>
      <w:r w:rsidRPr="00292532">
        <w:rPr>
          <w:lang w:val="pt-PT" w:eastAsia="ja-JP"/>
        </w:rPr>
        <w:t>actividades</w:t>
      </w:r>
      <w:proofErr w:type="spellEnd"/>
      <w:r w:rsidRPr="00292532">
        <w:rPr>
          <w:lang w:val="pt-PT" w:eastAsia="ja-JP"/>
        </w:rPr>
        <w:t xml:space="preserve"> do </w:t>
      </w:r>
      <w:proofErr w:type="spellStart"/>
      <w:r w:rsidRPr="00292532">
        <w:rPr>
          <w:lang w:val="pt-PT" w:eastAsia="ja-JP"/>
        </w:rPr>
        <w:t>Projecto</w:t>
      </w:r>
      <w:proofErr w:type="spellEnd"/>
      <w:r w:rsidR="003545C3" w:rsidRPr="00292532">
        <w:rPr>
          <w:lang w:val="pt-PT" w:eastAsia="ja-JP"/>
        </w:rPr>
        <w:t>;</w:t>
      </w:r>
    </w:p>
    <w:p w14:paraId="2E3C61AE" w14:textId="71D0CDEC" w:rsidR="00B741E9" w:rsidRPr="00292532" w:rsidRDefault="00B741E9" w:rsidP="0024772D">
      <w:pPr>
        <w:pStyle w:val="ListParagraph"/>
        <w:numPr>
          <w:ilvl w:val="0"/>
          <w:numId w:val="52"/>
        </w:numPr>
        <w:rPr>
          <w:lang w:val="pt-PT" w:eastAsia="ja-JP"/>
        </w:rPr>
      </w:pPr>
      <w:r w:rsidRPr="00292532">
        <w:rPr>
          <w:lang w:val="pt-PT" w:eastAsia="ja-JP"/>
        </w:rPr>
        <w:t>Uso de águas residuais (p.e. para a rega) não tratadas devidamente;</w:t>
      </w:r>
    </w:p>
    <w:p w14:paraId="39AD47F9" w14:textId="64DC0BED" w:rsidR="00B741E9" w:rsidRPr="00292532" w:rsidRDefault="00B741E9" w:rsidP="0024772D">
      <w:pPr>
        <w:pStyle w:val="ListParagraph"/>
        <w:numPr>
          <w:ilvl w:val="0"/>
          <w:numId w:val="52"/>
        </w:numPr>
        <w:rPr>
          <w:lang w:val="pt-PT" w:eastAsia="ja-JP"/>
        </w:rPr>
      </w:pPr>
      <w:r w:rsidRPr="00292532">
        <w:rPr>
          <w:lang w:val="pt-PT" w:eastAsia="ja-JP"/>
        </w:rPr>
        <w:t xml:space="preserve">Acidentes nos locais das obras devido a falta de cerca e barreiras de </w:t>
      </w:r>
      <w:proofErr w:type="spellStart"/>
      <w:r w:rsidRPr="00292532">
        <w:rPr>
          <w:lang w:val="pt-PT" w:eastAsia="ja-JP"/>
        </w:rPr>
        <w:t>protecção</w:t>
      </w:r>
      <w:proofErr w:type="spellEnd"/>
      <w:r w:rsidRPr="00292532">
        <w:rPr>
          <w:lang w:val="pt-PT" w:eastAsia="ja-JP"/>
        </w:rPr>
        <w:t>;</w:t>
      </w:r>
    </w:p>
    <w:p w14:paraId="6434D121" w14:textId="3EF5465C" w:rsidR="00B741E9" w:rsidRPr="00292532" w:rsidRDefault="00B741E9" w:rsidP="0024772D">
      <w:pPr>
        <w:pStyle w:val="ListParagraph"/>
        <w:numPr>
          <w:ilvl w:val="0"/>
          <w:numId w:val="52"/>
        </w:numPr>
        <w:rPr>
          <w:lang w:val="pt-PT" w:eastAsia="ja-JP"/>
        </w:rPr>
      </w:pPr>
      <w:r w:rsidRPr="00292532">
        <w:rPr>
          <w:lang w:val="pt-PT" w:eastAsia="ja-JP"/>
        </w:rPr>
        <w:t xml:space="preserve"> Aumento de risco de doenças transmitidas pela água, como cólera, malária;</w:t>
      </w:r>
    </w:p>
    <w:p w14:paraId="0097E28B" w14:textId="52FAA5AD" w:rsidR="00B741E9" w:rsidRPr="00292532" w:rsidRDefault="00B741E9" w:rsidP="0024772D">
      <w:pPr>
        <w:pStyle w:val="ListParagraph"/>
        <w:numPr>
          <w:ilvl w:val="0"/>
          <w:numId w:val="52"/>
        </w:numPr>
        <w:rPr>
          <w:lang w:val="pt-PT" w:eastAsia="ja-JP"/>
        </w:rPr>
      </w:pPr>
      <w:r w:rsidRPr="00292532">
        <w:rPr>
          <w:lang w:val="pt-PT" w:eastAsia="ja-JP"/>
        </w:rPr>
        <w:t>Presença d</w:t>
      </w:r>
      <w:r w:rsidR="003545C3" w:rsidRPr="00292532">
        <w:rPr>
          <w:lang w:val="pt-PT" w:eastAsia="ja-JP"/>
        </w:rPr>
        <w:t>e pessoal das equipas de</w:t>
      </w:r>
      <w:r w:rsidRPr="00292532">
        <w:rPr>
          <w:lang w:val="pt-PT" w:eastAsia="ja-JP"/>
        </w:rPr>
        <w:t xml:space="preserve"> segurança do </w:t>
      </w:r>
      <w:proofErr w:type="spellStart"/>
      <w:r w:rsidRPr="00292532">
        <w:rPr>
          <w:lang w:val="pt-PT" w:eastAsia="ja-JP"/>
        </w:rPr>
        <w:t>Projecto</w:t>
      </w:r>
      <w:proofErr w:type="spellEnd"/>
      <w:r w:rsidR="00617566" w:rsidRPr="00292532">
        <w:rPr>
          <w:lang w:val="pt-PT" w:eastAsia="ja-JP"/>
        </w:rPr>
        <w:t xml:space="preserve"> sem treinamento apropriado</w:t>
      </w:r>
      <w:r w:rsidRPr="00292532">
        <w:rPr>
          <w:lang w:val="pt-PT" w:eastAsia="ja-JP"/>
        </w:rPr>
        <w:t xml:space="preserve">. Violência contra membros da comunidade por guardas de segurança inadequadamente controlados ou treinado; </w:t>
      </w:r>
    </w:p>
    <w:p w14:paraId="08693A33" w14:textId="24D64D69" w:rsidR="00B741E9" w:rsidRPr="00292532" w:rsidRDefault="00A82B3D" w:rsidP="0024772D">
      <w:pPr>
        <w:pStyle w:val="ListParagraph"/>
        <w:numPr>
          <w:ilvl w:val="0"/>
          <w:numId w:val="52"/>
        </w:numPr>
        <w:rPr>
          <w:lang w:val="pt-PT" w:eastAsia="ja-JP"/>
        </w:rPr>
      </w:pPr>
      <w:r w:rsidRPr="00292532">
        <w:rPr>
          <w:lang w:val="pt-PT" w:eastAsia="ja-JP"/>
        </w:rPr>
        <w:t xml:space="preserve">A chegada </w:t>
      </w:r>
      <w:r w:rsidR="00B741E9" w:rsidRPr="00292532">
        <w:rPr>
          <w:lang w:val="pt-PT" w:eastAsia="ja-JP"/>
        </w:rPr>
        <w:t xml:space="preserve">da força de trabalho proveniente de outras regiões do país e estrangeira, que através das </w:t>
      </w:r>
      <w:proofErr w:type="spellStart"/>
      <w:r w:rsidR="00B741E9" w:rsidRPr="00292532">
        <w:rPr>
          <w:lang w:val="pt-PT" w:eastAsia="ja-JP"/>
        </w:rPr>
        <w:t>interacções</w:t>
      </w:r>
      <w:proofErr w:type="spellEnd"/>
      <w:r w:rsidR="00B741E9" w:rsidRPr="00292532">
        <w:rPr>
          <w:lang w:val="pt-PT" w:eastAsia="ja-JP"/>
        </w:rPr>
        <w:t xml:space="preserve"> com as comunidades pode levar a uma transmissão de doenças </w:t>
      </w:r>
      <w:r w:rsidR="005B1B11" w:rsidRPr="00292532">
        <w:rPr>
          <w:lang w:val="pt-PT" w:eastAsia="ja-JP"/>
        </w:rPr>
        <w:t xml:space="preserve">como por exemplo </w:t>
      </w:r>
      <w:r w:rsidR="004A443B" w:rsidRPr="00292532">
        <w:rPr>
          <w:lang w:val="pt-PT" w:eastAsia="ja-JP"/>
        </w:rPr>
        <w:t>ITS</w:t>
      </w:r>
      <w:r w:rsidR="005B1B11" w:rsidRPr="00292532">
        <w:rPr>
          <w:lang w:val="pt-PT" w:eastAsia="ja-JP"/>
        </w:rPr>
        <w:t xml:space="preserve"> e COVID-19</w:t>
      </w:r>
      <w:r w:rsidRPr="00292532">
        <w:rPr>
          <w:lang w:val="pt-PT" w:eastAsia="ja-JP"/>
        </w:rPr>
        <w:t>, caso estes venham já contaminados das suas origens e não tomem os cuidados necessários para evitar a transmissão</w:t>
      </w:r>
      <w:r w:rsidR="00B741E9" w:rsidRPr="00292532">
        <w:rPr>
          <w:lang w:val="pt-PT" w:eastAsia="ja-JP"/>
        </w:rPr>
        <w:t>;</w:t>
      </w:r>
    </w:p>
    <w:p w14:paraId="47EA68E2" w14:textId="77777777" w:rsidR="00B741E9" w:rsidRPr="00292532" w:rsidRDefault="00B741E9" w:rsidP="0024772D">
      <w:pPr>
        <w:pStyle w:val="ListParagraph"/>
        <w:numPr>
          <w:ilvl w:val="0"/>
          <w:numId w:val="52"/>
        </w:numPr>
        <w:rPr>
          <w:lang w:val="pt-PT" w:eastAsia="ja-JP"/>
        </w:rPr>
      </w:pPr>
      <w:r w:rsidRPr="00292532">
        <w:rPr>
          <w:lang w:val="pt-PT" w:eastAsia="ja-JP"/>
        </w:rPr>
        <w:t xml:space="preserve">A provisão de cuidados de saúde à força de trabalho (tanto principal como secundária) tem o potencial de </w:t>
      </w:r>
      <w:proofErr w:type="spellStart"/>
      <w:r w:rsidRPr="00292532">
        <w:rPr>
          <w:lang w:val="pt-PT" w:eastAsia="ja-JP"/>
        </w:rPr>
        <w:t>afectar</w:t>
      </w:r>
      <w:proofErr w:type="spellEnd"/>
      <w:r w:rsidRPr="00292532">
        <w:rPr>
          <w:lang w:val="pt-PT" w:eastAsia="ja-JP"/>
        </w:rPr>
        <w:t xml:space="preserve"> o acesso aos cuidados de saúde das comunidades devido à concorrência pelos recursos;</w:t>
      </w:r>
    </w:p>
    <w:p w14:paraId="06356C97" w14:textId="7278D210" w:rsidR="00B741E9" w:rsidRPr="00292532" w:rsidRDefault="00534FC6" w:rsidP="0024772D">
      <w:pPr>
        <w:pStyle w:val="ListParagraph"/>
        <w:numPr>
          <w:ilvl w:val="0"/>
          <w:numId w:val="52"/>
        </w:numPr>
        <w:rPr>
          <w:lang w:val="pt-PT" w:eastAsia="ja-JP"/>
        </w:rPr>
      </w:pPr>
      <w:r w:rsidRPr="00292532">
        <w:rPr>
          <w:lang w:val="pt-PT" w:eastAsia="ja-JP"/>
        </w:rPr>
        <w:t>Desconforto respiratório devido a m</w:t>
      </w:r>
      <w:r w:rsidR="00B741E9" w:rsidRPr="00292532">
        <w:rPr>
          <w:lang w:val="pt-PT" w:eastAsia="ja-JP"/>
        </w:rPr>
        <w:t>udanças no ambiente devido o aumento de ruído e vibração, diminuição da qualidade do ar e mudanças do ambiente visual;</w:t>
      </w:r>
    </w:p>
    <w:p w14:paraId="475F15D4" w14:textId="24946AD1" w:rsidR="00534FC6" w:rsidRPr="00292532" w:rsidRDefault="00534FC6" w:rsidP="0024772D">
      <w:pPr>
        <w:pStyle w:val="ListParagraph"/>
        <w:numPr>
          <w:ilvl w:val="0"/>
          <w:numId w:val="52"/>
        </w:numPr>
        <w:rPr>
          <w:lang w:val="pt-PT" w:eastAsia="ja-JP"/>
        </w:rPr>
      </w:pPr>
      <w:r w:rsidRPr="00292532">
        <w:rPr>
          <w:lang w:val="pt-PT" w:eastAsia="ja-JP"/>
        </w:rPr>
        <w:t>Desconforto devido à odores;</w:t>
      </w:r>
    </w:p>
    <w:p w14:paraId="4A937DD3" w14:textId="34C9F66F" w:rsidR="00B741E9" w:rsidRPr="00292532" w:rsidRDefault="00B741E9" w:rsidP="0024772D">
      <w:pPr>
        <w:pStyle w:val="ListParagraph"/>
        <w:numPr>
          <w:ilvl w:val="0"/>
          <w:numId w:val="52"/>
        </w:numPr>
        <w:rPr>
          <w:lang w:val="pt-PT" w:eastAsia="ja-JP"/>
        </w:rPr>
      </w:pPr>
      <w:r w:rsidRPr="00292532">
        <w:rPr>
          <w:lang w:val="pt-PT" w:eastAsia="ja-JP"/>
        </w:rPr>
        <w:t xml:space="preserve">Número acrescido de veículos pesados na área e tráfego podendo levar a um maior número de acidentes rodoviários e ferimentos; </w:t>
      </w:r>
    </w:p>
    <w:p w14:paraId="174EDE7F" w14:textId="49DF3613" w:rsidR="00B741E9" w:rsidRPr="00292532" w:rsidRDefault="00B741E9" w:rsidP="0024772D">
      <w:pPr>
        <w:pStyle w:val="ListParagraph"/>
        <w:numPr>
          <w:ilvl w:val="0"/>
          <w:numId w:val="52"/>
        </w:numPr>
        <w:rPr>
          <w:lang w:val="pt-PT" w:eastAsia="ja-JP"/>
        </w:rPr>
      </w:pPr>
      <w:r w:rsidRPr="00292532">
        <w:rPr>
          <w:lang w:val="pt-PT" w:eastAsia="ja-JP"/>
        </w:rPr>
        <w:t>Presença de migrantes económicos, levando a uma pressão acrescida dos recursos dos cuidados de saúde, mudanças no ambiente e risco acrescido de transmissão de doenças contagiosas</w:t>
      </w:r>
      <w:r w:rsidR="003545C3" w:rsidRPr="00292532">
        <w:rPr>
          <w:lang w:val="pt-PT" w:eastAsia="ja-JP"/>
        </w:rPr>
        <w:t>;</w:t>
      </w:r>
    </w:p>
    <w:p w14:paraId="236567B9" w14:textId="09DD96C2" w:rsidR="00C61C91" w:rsidRPr="00292532" w:rsidRDefault="00C61C91" w:rsidP="0024772D">
      <w:pPr>
        <w:pStyle w:val="ListParagraph"/>
        <w:numPr>
          <w:ilvl w:val="0"/>
          <w:numId w:val="52"/>
        </w:numPr>
        <w:rPr>
          <w:lang w:val="pt-PT" w:eastAsia="ja-JP"/>
        </w:rPr>
      </w:pPr>
      <w:r w:rsidRPr="00292532">
        <w:rPr>
          <w:lang w:val="pt-PT" w:eastAsia="ja-JP"/>
        </w:rPr>
        <w:t>Riscos de quedas e soterramentos em escavações abertas e não demarcadas</w:t>
      </w:r>
      <w:r w:rsidR="003545C3" w:rsidRPr="00292532">
        <w:rPr>
          <w:lang w:val="pt-PT" w:eastAsia="ja-JP"/>
        </w:rPr>
        <w:t>;</w:t>
      </w:r>
    </w:p>
    <w:p w14:paraId="1B82CDC8" w14:textId="56ED1746" w:rsidR="003545C3" w:rsidRPr="00292532" w:rsidRDefault="003545C3" w:rsidP="0024772D">
      <w:pPr>
        <w:pStyle w:val="ListParagraph"/>
        <w:numPr>
          <w:ilvl w:val="0"/>
          <w:numId w:val="52"/>
        </w:numPr>
        <w:rPr>
          <w:lang w:val="pt-PT" w:eastAsia="ja-JP"/>
        </w:rPr>
      </w:pPr>
      <w:r w:rsidRPr="00292532">
        <w:rPr>
          <w:lang w:val="pt-PT" w:eastAsia="ja-JP"/>
        </w:rPr>
        <w:t>Acidentes de trabalho durante a construção das infraestruturas devido à colapsos das estruturas.</w:t>
      </w:r>
    </w:p>
    <w:p w14:paraId="6A2CE5FC" w14:textId="6E48DBD1" w:rsidR="007A0262" w:rsidRPr="00292532" w:rsidRDefault="007A0262" w:rsidP="007A0262">
      <w:pPr>
        <w:rPr>
          <w:lang w:val="pt-PT" w:eastAsia="ja-JP"/>
        </w:rPr>
      </w:pPr>
      <w:bookmarkStart w:id="223" w:name="_Hlk75444864"/>
      <w:r w:rsidRPr="00292532">
        <w:rPr>
          <w:lang w:val="pt-PT" w:eastAsia="ja-JP"/>
        </w:rPr>
        <w:t xml:space="preserve">Os grupos vulneráveis da comunidade a serem potencialmente </w:t>
      </w:r>
      <w:proofErr w:type="spellStart"/>
      <w:r w:rsidRPr="00292532">
        <w:rPr>
          <w:lang w:val="pt-PT" w:eastAsia="ja-JP"/>
        </w:rPr>
        <w:t>afectados</w:t>
      </w:r>
      <w:proofErr w:type="spellEnd"/>
      <w:r w:rsidRPr="00292532">
        <w:rPr>
          <w:lang w:val="pt-PT" w:eastAsia="ja-JP"/>
        </w:rPr>
        <w:t xml:space="preserve"> são os seguintes: </w:t>
      </w:r>
    </w:p>
    <w:p w14:paraId="38BB808A" w14:textId="77777777" w:rsidR="007A0262" w:rsidRPr="00292532" w:rsidRDefault="007A0262" w:rsidP="007A0262">
      <w:pPr>
        <w:pStyle w:val="ListParagraph"/>
        <w:ind w:left="720"/>
        <w:rPr>
          <w:lang w:val="pt-PT" w:eastAsia="ja-JP"/>
        </w:rPr>
      </w:pPr>
      <w:r w:rsidRPr="00292532">
        <w:rPr>
          <w:lang w:val="pt-PT" w:eastAsia="ja-JP"/>
        </w:rPr>
        <w:t>Crianças, idosos e deficientes são os grupos tradicionalmente mais vulneráveis às doenças e mudanças ambientais e socioeconómicas;</w:t>
      </w:r>
    </w:p>
    <w:p w14:paraId="498332F0" w14:textId="4C648132" w:rsidR="006B4D00" w:rsidRPr="00292532" w:rsidRDefault="007A0262" w:rsidP="004500AE">
      <w:pPr>
        <w:pStyle w:val="ListParagraph"/>
        <w:numPr>
          <w:ilvl w:val="0"/>
          <w:numId w:val="0"/>
        </w:numPr>
        <w:ind w:left="720"/>
        <w:rPr>
          <w:lang w:val="pt-PT" w:eastAsia="ja-JP"/>
        </w:rPr>
      </w:pPr>
      <w:r w:rsidRPr="00292532">
        <w:rPr>
          <w:lang w:val="pt-PT" w:eastAsia="ja-JP"/>
        </w:rPr>
        <w:t xml:space="preserve">Pessoas com condições existentes de fraca saúde, por exemplo, que </w:t>
      </w:r>
      <w:proofErr w:type="spellStart"/>
      <w:r w:rsidRPr="00292532">
        <w:rPr>
          <w:lang w:val="pt-PT" w:eastAsia="ja-JP"/>
        </w:rPr>
        <w:t>actualmente</w:t>
      </w:r>
      <w:proofErr w:type="spellEnd"/>
      <w:r w:rsidRPr="00292532">
        <w:rPr>
          <w:lang w:val="pt-PT" w:eastAsia="ja-JP"/>
        </w:rPr>
        <w:t xml:space="preserve"> padeçam de doenças como HIV/SIDA, TB ou doenças respiratórias;</w:t>
      </w:r>
    </w:p>
    <w:p w14:paraId="473C5689" w14:textId="46BD4304" w:rsidR="005C17A3" w:rsidRPr="00292532" w:rsidRDefault="007A0262">
      <w:pPr>
        <w:pStyle w:val="ListParagraph"/>
        <w:ind w:left="720"/>
        <w:rPr>
          <w:lang w:val="pt-PT"/>
        </w:rPr>
      </w:pPr>
      <w:r w:rsidRPr="00292532">
        <w:rPr>
          <w:lang w:val="pt-PT" w:eastAsia="ja-JP"/>
        </w:rPr>
        <w:t xml:space="preserve">Jovens, em particular, meninas tradicionalmente associadas a níveis mais elevados de </w:t>
      </w:r>
      <w:proofErr w:type="spellStart"/>
      <w:r w:rsidRPr="00292532">
        <w:rPr>
          <w:lang w:val="pt-PT" w:eastAsia="ja-JP"/>
        </w:rPr>
        <w:t>interacções</w:t>
      </w:r>
      <w:proofErr w:type="spellEnd"/>
      <w:r w:rsidRPr="00292532">
        <w:rPr>
          <w:lang w:val="pt-PT" w:eastAsia="ja-JP"/>
        </w:rPr>
        <w:t xml:space="preserve"> com recém-chegados e mais propensas a incorrerem em riscos mais elevados relacionados (gravidez juvenil e prostituição, transmissão de doenças contagiosas, incluindo </w:t>
      </w:r>
      <w:r w:rsidR="004A443B" w:rsidRPr="00292532">
        <w:rPr>
          <w:lang w:val="pt-PT" w:eastAsia="ja-JP"/>
        </w:rPr>
        <w:t>ITS</w:t>
      </w:r>
      <w:r w:rsidRPr="00292532">
        <w:rPr>
          <w:lang w:val="pt-PT" w:eastAsia="ja-JP"/>
        </w:rPr>
        <w:t>).</w:t>
      </w:r>
    </w:p>
    <w:p w14:paraId="760FA909" w14:textId="3D2BBCA7" w:rsidR="00CD05E8" w:rsidRPr="00292532" w:rsidRDefault="00CD05E8">
      <w:pPr>
        <w:pStyle w:val="Heading3"/>
        <w:numPr>
          <w:ilvl w:val="2"/>
          <w:numId w:val="215"/>
        </w:numPr>
        <w:rPr>
          <w:lang w:eastAsia="ja-JP"/>
        </w:rPr>
      </w:pPr>
      <w:bookmarkStart w:id="224" w:name="_Toc80379975"/>
      <w:r w:rsidRPr="00292532">
        <w:rPr>
          <w:lang w:eastAsia="ja-JP"/>
        </w:rPr>
        <w:lastRenderedPageBreak/>
        <w:t>Riscos de Violência Baseada no Género</w:t>
      </w:r>
      <w:bookmarkEnd w:id="224"/>
      <w:r w:rsidRPr="00292532">
        <w:rPr>
          <w:lang w:eastAsia="ja-JP"/>
        </w:rPr>
        <w:t xml:space="preserve"> </w:t>
      </w:r>
    </w:p>
    <w:p w14:paraId="47D283D9" w14:textId="2EF109FF" w:rsidR="00CD05E8" w:rsidRPr="00292532" w:rsidRDefault="00CD05E8" w:rsidP="00CD05E8">
      <w:pPr>
        <w:rPr>
          <w:lang w:val="pt-PT"/>
        </w:rPr>
      </w:pPr>
      <w:r w:rsidRPr="00292532">
        <w:rPr>
          <w:lang w:val="pt-PT"/>
        </w:rPr>
        <w:t xml:space="preserve">O QGAS no seu Anexo 12 faz uma avaliação detalhada dos Riscos de </w:t>
      </w:r>
      <w:r w:rsidR="00292532" w:rsidRPr="00292532">
        <w:rPr>
          <w:lang w:val="pt-PT"/>
        </w:rPr>
        <w:t>Violência</w:t>
      </w:r>
      <w:r w:rsidRPr="00292532">
        <w:rPr>
          <w:lang w:val="pt-PT"/>
        </w:rPr>
        <w:t xml:space="preserve"> Baseada no Género e </w:t>
      </w:r>
      <w:r w:rsidR="00292532" w:rsidRPr="00292532">
        <w:rPr>
          <w:lang w:val="pt-PT"/>
        </w:rPr>
        <w:t>propõe</w:t>
      </w:r>
      <w:r w:rsidRPr="00292532">
        <w:rPr>
          <w:lang w:val="pt-PT"/>
        </w:rPr>
        <w:t xml:space="preserve"> um Plano de </w:t>
      </w:r>
      <w:proofErr w:type="spellStart"/>
      <w:r w:rsidRPr="00292532">
        <w:rPr>
          <w:lang w:val="pt-PT"/>
        </w:rPr>
        <w:t>Acç</w:t>
      </w:r>
      <w:r w:rsidR="00292532">
        <w:rPr>
          <w:lang w:val="pt-PT"/>
        </w:rPr>
        <w:t>ã</w:t>
      </w:r>
      <w:r w:rsidRPr="00292532">
        <w:rPr>
          <w:lang w:val="pt-PT"/>
        </w:rPr>
        <w:t>o</w:t>
      </w:r>
      <w:proofErr w:type="spellEnd"/>
      <w:r w:rsidRPr="00292532">
        <w:rPr>
          <w:lang w:val="pt-PT"/>
        </w:rPr>
        <w:t xml:space="preserve">. </w:t>
      </w:r>
    </w:p>
    <w:p w14:paraId="04ECB389" w14:textId="491314FA" w:rsidR="00CD05E8" w:rsidRPr="00292532" w:rsidRDefault="00CD05E8" w:rsidP="00CD05E8">
      <w:pPr>
        <w:rPr>
          <w:lang w:val="pt-PT"/>
        </w:rPr>
      </w:pPr>
      <w:r w:rsidRPr="00292532">
        <w:rPr>
          <w:lang w:val="pt-PT"/>
        </w:rPr>
        <w:t xml:space="preserve">Para fins de contextualização, A Violência Baseada no Género (VBG) pode se configurar em diferentes formas descritas a </w:t>
      </w:r>
      <w:r w:rsidR="004C62D0" w:rsidRPr="00292532">
        <w:rPr>
          <w:lang w:val="pt-PT"/>
        </w:rPr>
        <w:t>seguir:</w:t>
      </w:r>
    </w:p>
    <w:p w14:paraId="6A993C3D" w14:textId="77777777" w:rsidR="00CD05E8" w:rsidRPr="004500AE" w:rsidRDefault="00CD05E8" w:rsidP="00CD05E8">
      <w:pPr>
        <w:pBdr>
          <w:top w:val="single" w:sz="4" w:space="1" w:color="auto"/>
          <w:left w:val="single" w:sz="4" w:space="4" w:color="auto"/>
          <w:bottom w:val="single" w:sz="4" w:space="1" w:color="auto"/>
          <w:right w:val="single" w:sz="4" w:space="0" w:color="auto"/>
        </w:pBdr>
        <w:spacing w:before="0" w:after="120"/>
        <w:rPr>
          <w:rFonts w:asciiTheme="minorHAnsi" w:eastAsia="Times New Roman" w:hAnsiTheme="minorHAnsi" w:cstheme="minorHAnsi"/>
          <w:sz w:val="20"/>
          <w:szCs w:val="20"/>
          <w:lang w:val="pt-PT"/>
        </w:rPr>
      </w:pPr>
      <w:r w:rsidRPr="004500AE">
        <w:rPr>
          <w:rFonts w:asciiTheme="minorHAnsi" w:eastAsia="Times New Roman" w:hAnsiTheme="minorHAnsi" w:cstheme="minorHAnsi"/>
          <w:b/>
          <w:bCs/>
          <w:sz w:val="20"/>
          <w:szCs w:val="20"/>
          <w:lang w:val="pt-PT"/>
        </w:rPr>
        <w:t xml:space="preserve">Violência Física: </w:t>
      </w:r>
      <w:r w:rsidRPr="004500AE">
        <w:rPr>
          <w:rFonts w:asciiTheme="minorHAnsi" w:eastAsia="Times New Roman" w:hAnsiTheme="minorHAnsi" w:cstheme="minorHAnsi"/>
          <w:sz w:val="20"/>
          <w:szCs w:val="20"/>
          <w:lang w:val="pt-PT"/>
        </w:rPr>
        <w:t>resulta em lesões, angústia e problemas de saúde. Formas típicas de violência física são espancamento, estrangulamento, empurrão e uso de armas para atacar a vítima.</w:t>
      </w:r>
    </w:p>
    <w:p w14:paraId="13A8E8DF" w14:textId="77777777" w:rsidR="00CD05E8" w:rsidRPr="004500AE" w:rsidRDefault="00CD05E8" w:rsidP="00CD05E8">
      <w:pPr>
        <w:pBdr>
          <w:top w:val="single" w:sz="4" w:space="1" w:color="auto"/>
          <w:left w:val="single" w:sz="4" w:space="4" w:color="auto"/>
          <w:bottom w:val="single" w:sz="4" w:space="1" w:color="auto"/>
          <w:right w:val="single" w:sz="4" w:space="0" w:color="auto"/>
        </w:pBdr>
        <w:spacing w:before="0" w:after="120"/>
        <w:rPr>
          <w:rFonts w:asciiTheme="minorHAnsi" w:eastAsia="Times New Roman" w:hAnsiTheme="minorHAnsi" w:cstheme="minorHAnsi"/>
          <w:sz w:val="20"/>
          <w:szCs w:val="20"/>
          <w:lang w:val="pt-PT"/>
        </w:rPr>
      </w:pPr>
      <w:r w:rsidRPr="004500AE">
        <w:rPr>
          <w:rFonts w:asciiTheme="minorHAnsi" w:eastAsia="Times New Roman" w:hAnsiTheme="minorHAnsi" w:cstheme="minorHAnsi"/>
          <w:b/>
          <w:bCs/>
          <w:sz w:val="20"/>
          <w:szCs w:val="20"/>
          <w:lang w:val="pt-PT"/>
        </w:rPr>
        <w:t>Violência Sexual</w:t>
      </w:r>
      <w:r w:rsidRPr="004500AE">
        <w:rPr>
          <w:rFonts w:asciiTheme="minorHAnsi" w:eastAsia="Times New Roman" w:hAnsiTheme="minorHAnsi" w:cstheme="minorHAnsi"/>
          <w:sz w:val="20"/>
          <w:szCs w:val="20"/>
          <w:lang w:val="pt-PT"/>
        </w:rPr>
        <w:t xml:space="preserve">: inclui </w:t>
      </w:r>
      <w:proofErr w:type="spellStart"/>
      <w:r w:rsidRPr="004500AE">
        <w:rPr>
          <w:rFonts w:asciiTheme="minorHAnsi" w:eastAsia="Times New Roman" w:hAnsiTheme="minorHAnsi" w:cstheme="minorHAnsi"/>
          <w:sz w:val="20"/>
          <w:szCs w:val="20"/>
          <w:lang w:val="pt-PT"/>
        </w:rPr>
        <w:t>actos</w:t>
      </w:r>
      <w:proofErr w:type="spellEnd"/>
      <w:r w:rsidRPr="004500AE">
        <w:rPr>
          <w:rFonts w:asciiTheme="minorHAnsi" w:eastAsia="Times New Roman" w:hAnsiTheme="minorHAnsi" w:cstheme="minorHAnsi"/>
          <w:sz w:val="20"/>
          <w:szCs w:val="20"/>
          <w:lang w:val="pt-PT"/>
        </w:rPr>
        <w:t xml:space="preserve"> sexuais, tentativas de obter um </w:t>
      </w:r>
      <w:proofErr w:type="spellStart"/>
      <w:r w:rsidRPr="004500AE">
        <w:rPr>
          <w:rFonts w:asciiTheme="minorHAnsi" w:eastAsia="Times New Roman" w:hAnsiTheme="minorHAnsi" w:cstheme="minorHAnsi"/>
          <w:sz w:val="20"/>
          <w:szCs w:val="20"/>
          <w:lang w:val="pt-PT"/>
        </w:rPr>
        <w:t>acto</w:t>
      </w:r>
      <w:proofErr w:type="spellEnd"/>
      <w:r w:rsidRPr="004500AE">
        <w:rPr>
          <w:rFonts w:asciiTheme="minorHAnsi" w:eastAsia="Times New Roman" w:hAnsiTheme="minorHAnsi" w:cstheme="minorHAnsi"/>
          <w:sz w:val="20"/>
          <w:szCs w:val="20"/>
          <w:lang w:val="pt-PT"/>
        </w:rPr>
        <w:t xml:space="preserve"> sexual, </w:t>
      </w:r>
      <w:proofErr w:type="spellStart"/>
      <w:r w:rsidRPr="004500AE">
        <w:rPr>
          <w:rFonts w:asciiTheme="minorHAnsi" w:eastAsia="Times New Roman" w:hAnsiTheme="minorHAnsi" w:cstheme="minorHAnsi"/>
          <w:sz w:val="20"/>
          <w:szCs w:val="20"/>
          <w:lang w:val="pt-PT"/>
        </w:rPr>
        <w:t>actos</w:t>
      </w:r>
      <w:proofErr w:type="spellEnd"/>
      <w:r w:rsidRPr="004500AE">
        <w:rPr>
          <w:rFonts w:asciiTheme="minorHAnsi" w:eastAsia="Times New Roman" w:hAnsiTheme="minorHAnsi" w:cstheme="minorHAnsi"/>
          <w:sz w:val="20"/>
          <w:szCs w:val="20"/>
          <w:lang w:val="pt-PT"/>
        </w:rPr>
        <w:t xml:space="preserve"> de tráfico ou outros </w:t>
      </w:r>
      <w:proofErr w:type="spellStart"/>
      <w:r w:rsidRPr="004500AE">
        <w:rPr>
          <w:rFonts w:asciiTheme="minorHAnsi" w:eastAsia="Times New Roman" w:hAnsiTheme="minorHAnsi" w:cstheme="minorHAnsi"/>
          <w:sz w:val="20"/>
          <w:szCs w:val="20"/>
          <w:lang w:val="pt-PT"/>
        </w:rPr>
        <w:t>actos</w:t>
      </w:r>
      <w:proofErr w:type="spellEnd"/>
      <w:r w:rsidRPr="004500AE">
        <w:rPr>
          <w:rFonts w:asciiTheme="minorHAnsi" w:eastAsia="Times New Roman" w:hAnsiTheme="minorHAnsi" w:cstheme="minorHAnsi"/>
          <w:sz w:val="20"/>
          <w:szCs w:val="20"/>
          <w:lang w:val="pt-PT"/>
        </w:rPr>
        <w:t xml:space="preserve"> dirigidos contra a sexualidade de uma pessoa sem o consentimento da pessoa.</w:t>
      </w:r>
    </w:p>
    <w:p w14:paraId="51FA7E64" w14:textId="77777777" w:rsidR="00CD05E8" w:rsidRPr="004500AE" w:rsidRDefault="00CD05E8" w:rsidP="00CD05E8">
      <w:pPr>
        <w:pBdr>
          <w:top w:val="single" w:sz="4" w:space="1" w:color="auto"/>
          <w:left w:val="single" w:sz="4" w:space="4" w:color="auto"/>
          <w:bottom w:val="single" w:sz="4" w:space="1" w:color="auto"/>
          <w:right w:val="single" w:sz="4" w:space="0" w:color="auto"/>
        </w:pBdr>
        <w:spacing w:before="0" w:after="120"/>
        <w:rPr>
          <w:rFonts w:asciiTheme="minorHAnsi" w:eastAsia="Times New Roman" w:hAnsiTheme="minorHAnsi" w:cstheme="minorHAnsi"/>
          <w:sz w:val="20"/>
          <w:szCs w:val="20"/>
          <w:lang w:val="pt-PT"/>
        </w:rPr>
      </w:pPr>
      <w:r w:rsidRPr="004500AE">
        <w:rPr>
          <w:rFonts w:asciiTheme="minorHAnsi" w:eastAsia="Times New Roman" w:hAnsiTheme="minorHAnsi" w:cstheme="minorHAnsi"/>
          <w:b/>
          <w:bCs/>
          <w:sz w:val="20"/>
          <w:szCs w:val="20"/>
          <w:lang w:val="pt-PT"/>
        </w:rPr>
        <w:t xml:space="preserve">Violência Psicológica: </w:t>
      </w:r>
      <w:proofErr w:type="spellStart"/>
      <w:r w:rsidRPr="004500AE">
        <w:rPr>
          <w:rFonts w:asciiTheme="minorHAnsi" w:eastAsia="Times New Roman" w:hAnsiTheme="minorHAnsi" w:cstheme="minorHAnsi"/>
          <w:sz w:val="20"/>
          <w:szCs w:val="20"/>
          <w:lang w:val="pt-PT"/>
        </w:rPr>
        <w:t>Actos</w:t>
      </w:r>
      <w:proofErr w:type="spellEnd"/>
      <w:r w:rsidRPr="004500AE">
        <w:rPr>
          <w:rFonts w:asciiTheme="minorHAnsi" w:eastAsia="Times New Roman" w:hAnsiTheme="minorHAnsi" w:cstheme="minorHAnsi"/>
          <w:sz w:val="20"/>
          <w:szCs w:val="20"/>
          <w:lang w:val="pt-PT"/>
        </w:rPr>
        <w:t xml:space="preserve"> ou omissões com o </w:t>
      </w:r>
      <w:proofErr w:type="spellStart"/>
      <w:r w:rsidRPr="004500AE">
        <w:rPr>
          <w:rFonts w:asciiTheme="minorHAnsi" w:eastAsia="Times New Roman" w:hAnsiTheme="minorHAnsi" w:cstheme="minorHAnsi"/>
          <w:sz w:val="20"/>
          <w:szCs w:val="20"/>
          <w:lang w:val="pt-PT"/>
        </w:rPr>
        <w:t>objectivo</w:t>
      </w:r>
      <w:proofErr w:type="spellEnd"/>
      <w:r w:rsidRPr="004500AE">
        <w:rPr>
          <w:rFonts w:asciiTheme="minorHAnsi" w:eastAsia="Times New Roman" w:hAnsiTheme="minorHAnsi" w:cstheme="minorHAnsi"/>
          <w:sz w:val="20"/>
          <w:szCs w:val="20"/>
          <w:lang w:val="pt-PT"/>
        </w:rPr>
        <w:t xml:space="preserve"> de controlar o comportamento, </w:t>
      </w:r>
      <w:proofErr w:type="spellStart"/>
      <w:r w:rsidRPr="004500AE">
        <w:rPr>
          <w:rFonts w:asciiTheme="minorHAnsi" w:eastAsia="Times New Roman" w:hAnsiTheme="minorHAnsi" w:cstheme="minorHAnsi"/>
          <w:sz w:val="20"/>
          <w:szCs w:val="20"/>
          <w:lang w:val="pt-PT"/>
        </w:rPr>
        <w:t>acções</w:t>
      </w:r>
      <w:proofErr w:type="spellEnd"/>
      <w:r w:rsidRPr="004500AE">
        <w:rPr>
          <w:rFonts w:asciiTheme="minorHAnsi" w:eastAsia="Times New Roman" w:hAnsiTheme="minorHAnsi" w:cstheme="minorHAnsi"/>
          <w:sz w:val="20"/>
          <w:szCs w:val="20"/>
          <w:lang w:val="pt-PT"/>
        </w:rPr>
        <w:t xml:space="preserve">, crenças e capacidade de tomar decisões de uma pessoa através de manipulação, intimidação, insulto, ameaça, isolamento, humilhação, </w:t>
      </w:r>
      <w:r w:rsidRPr="004500AE">
        <w:rPr>
          <w:rFonts w:asciiTheme="minorHAnsi" w:eastAsia="Times New Roman" w:hAnsiTheme="minorHAnsi" w:cstheme="minorHAnsi"/>
          <w:i/>
          <w:iCs/>
          <w:sz w:val="20"/>
          <w:szCs w:val="20"/>
          <w:lang w:val="pt-PT"/>
        </w:rPr>
        <w:t>etc</w:t>
      </w:r>
      <w:r w:rsidRPr="004500AE">
        <w:rPr>
          <w:rFonts w:asciiTheme="minorHAnsi" w:eastAsia="Times New Roman" w:hAnsiTheme="minorHAnsi" w:cstheme="minorHAnsi"/>
          <w:sz w:val="20"/>
          <w:szCs w:val="20"/>
          <w:lang w:val="pt-PT"/>
        </w:rPr>
        <w:t>.</w:t>
      </w:r>
    </w:p>
    <w:p w14:paraId="11CF91D5" w14:textId="77777777" w:rsidR="00CD05E8" w:rsidRPr="004500AE" w:rsidRDefault="00CD05E8" w:rsidP="00CD05E8">
      <w:pPr>
        <w:pBdr>
          <w:top w:val="single" w:sz="4" w:space="1" w:color="auto"/>
          <w:left w:val="single" w:sz="4" w:space="4" w:color="auto"/>
          <w:bottom w:val="single" w:sz="4" w:space="1" w:color="auto"/>
          <w:right w:val="single" w:sz="4" w:space="0" w:color="auto"/>
        </w:pBdr>
        <w:spacing w:before="0" w:after="120"/>
        <w:rPr>
          <w:rFonts w:asciiTheme="minorHAnsi" w:eastAsia="Times New Roman" w:hAnsiTheme="minorHAnsi" w:cstheme="minorHAnsi"/>
          <w:sz w:val="20"/>
          <w:szCs w:val="20"/>
          <w:lang w:val="pt-PT"/>
        </w:rPr>
      </w:pPr>
      <w:r w:rsidRPr="004500AE">
        <w:rPr>
          <w:rFonts w:asciiTheme="minorHAnsi" w:eastAsia="Times New Roman" w:hAnsiTheme="minorHAnsi" w:cstheme="minorHAnsi"/>
          <w:b/>
          <w:bCs/>
          <w:sz w:val="20"/>
          <w:szCs w:val="20"/>
          <w:lang w:val="pt-PT"/>
        </w:rPr>
        <w:t xml:space="preserve">Violência Patrimonial ou Económica: </w:t>
      </w:r>
      <w:r w:rsidRPr="004500AE">
        <w:rPr>
          <w:rFonts w:asciiTheme="minorHAnsi" w:eastAsia="Times New Roman" w:hAnsiTheme="minorHAnsi" w:cstheme="minorHAnsi"/>
          <w:sz w:val="20"/>
          <w:szCs w:val="20"/>
          <w:lang w:val="pt-PT"/>
        </w:rPr>
        <w:t>inclui barreiras impostas pelo violador para que a vítima possa ter acesso ao dinheiro ou recursos. A pressão para não trabalhar e ficar em casa ou o controlo dos recursos, são exemplos muito claros de violência económica.</w:t>
      </w:r>
    </w:p>
    <w:p w14:paraId="631A4123" w14:textId="77777777" w:rsidR="00CD05E8" w:rsidRPr="004500AE" w:rsidRDefault="00CD05E8" w:rsidP="00CD05E8">
      <w:pPr>
        <w:pBdr>
          <w:top w:val="single" w:sz="4" w:space="1" w:color="auto"/>
          <w:left w:val="single" w:sz="4" w:space="4" w:color="auto"/>
          <w:bottom w:val="single" w:sz="4" w:space="1" w:color="auto"/>
          <w:right w:val="single" w:sz="4" w:space="0" w:color="auto"/>
        </w:pBdr>
        <w:spacing w:before="0" w:after="120"/>
        <w:rPr>
          <w:rFonts w:asciiTheme="minorHAnsi" w:eastAsia="Times New Roman" w:hAnsiTheme="minorHAnsi" w:cstheme="minorHAnsi"/>
          <w:sz w:val="20"/>
          <w:szCs w:val="20"/>
          <w:lang w:val="pt-PT"/>
        </w:rPr>
      </w:pPr>
      <w:r w:rsidRPr="004500AE">
        <w:rPr>
          <w:rFonts w:asciiTheme="minorHAnsi" w:eastAsia="Times New Roman" w:hAnsiTheme="minorHAnsi" w:cstheme="minorHAnsi"/>
          <w:b/>
          <w:bCs/>
          <w:sz w:val="20"/>
          <w:szCs w:val="20"/>
          <w:lang w:val="pt-PT"/>
        </w:rPr>
        <w:t xml:space="preserve">Violência </w:t>
      </w:r>
      <w:proofErr w:type="gramStart"/>
      <w:r w:rsidRPr="004500AE">
        <w:rPr>
          <w:rFonts w:asciiTheme="minorHAnsi" w:eastAsia="Times New Roman" w:hAnsiTheme="minorHAnsi" w:cstheme="minorHAnsi"/>
          <w:b/>
          <w:bCs/>
          <w:sz w:val="20"/>
          <w:szCs w:val="20"/>
          <w:lang w:val="pt-PT"/>
        </w:rPr>
        <w:t xml:space="preserve">Política </w:t>
      </w:r>
      <w:r w:rsidRPr="004500AE">
        <w:rPr>
          <w:rFonts w:asciiTheme="minorHAnsi" w:eastAsia="Times New Roman" w:hAnsiTheme="minorHAnsi" w:cstheme="minorHAnsi"/>
          <w:sz w:val="20"/>
          <w:szCs w:val="20"/>
          <w:lang w:val="pt-PT"/>
        </w:rPr>
        <w:t>Qualquer</w:t>
      </w:r>
      <w:proofErr w:type="gramEnd"/>
      <w:r w:rsidRPr="004500AE">
        <w:rPr>
          <w:rFonts w:asciiTheme="minorHAnsi" w:eastAsia="Times New Roman" w:hAnsiTheme="minorHAnsi" w:cstheme="minorHAnsi"/>
          <w:sz w:val="20"/>
          <w:szCs w:val="20"/>
          <w:lang w:val="pt-PT"/>
        </w:rPr>
        <w:t xml:space="preserve"> prática ou </w:t>
      </w:r>
      <w:proofErr w:type="spellStart"/>
      <w:r w:rsidRPr="004500AE">
        <w:rPr>
          <w:rFonts w:asciiTheme="minorHAnsi" w:eastAsia="Times New Roman" w:hAnsiTheme="minorHAnsi" w:cstheme="minorHAnsi"/>
          <w:sz w:val="20"/>
          <w:szCs w:val="20"/>
          <w:lang w:val="pt-PT"/>
        </w:rPr>
        <w:t>acto</w:t>
      </w:r>
      <w:proofErr w:type="spellEnd"/>
      <w:r w:rsidRPr="004500AE">
        <w:rPr>
          <w:rFonts w:asciiTheme="minorHAnsi" w:eastAsia="Times New Roman" w:hAnsiTheme="minorHAnsi" w:cstheme="minorHAnsi"/>
          <w:sz w:val="20"/>
          <w:szCs w:val="20"/>
          <w:lang w:val="pt-PT"/>
        </w:rPr>
        <w:t xml:space="preserve"> de discriminação ou violência verbal, psicológica, física, sexual ou económica, bem como ameaças de tais </w:t>
      </w:r>
      <w:proofErr w:type="spellStart"/>
      <w:r w:rsidRPr="004500AE">
        <w:rPr>
          <w:rFonts w:asciiTheme="minorHAnsi" w:eastAsia="Times New Roman" w:hAnsiTheme="minorHAnsi" w:cstheme="minorHAnsi"/>
          <w:sz w:val="20"/>
          <w:szCs w:val="20"/>
          <w:lang w:val="pt-PT"/>
        </w:rPr>
        <w:t>actos</w:t>
      </w:r>
      <w:proofErr w:type="spellEnd"/>
      <w:r w:rsidRPr="004500AE">
        <w:rPr>
          <w:rFonts w:asciiTheme="minorHAnsi" w:eastAsia="Times New Roman" w:hAnsiTheme="minorHAnsi" w:cstheme="minorHAnsi"/>
          <w:sz w:val="20"/>
          <w:szCs w:val="20"/>
          <w:lang w:val="pt-PT"/>
        </w:rPr>
        <w:t xml:space="preserve"> ou intimidação, que impeçam ou dificultem o acesso das vítimas a ocupar cargos públicos ou políticos ou o livre exercício ou carreira política.</w:t>
      </w:r>
    </w:p>
    <w:p w14:paraId="0141D4BA" w14:textId="14F57764" w:rsidR="00CD05E8" w:rsidRPr="004500AE" w:rsidRDefault="00CD05E8" w:rsidP="00CD05E8">
      <w:pPr>
        <w:pBdr>
          <w:top w:val="single" w:sz="4" w:space="1" w:color="auto"/>
          <w:left w:val="single" w:sz="4" w:space="4" w:color="auto"/>
          <w:bottom w:val="single" w:sz="4" w:space="1" w:color="auto"/>
          <w:right w:val="single" w:sz="4" w:space="0" w:color="auto"/>
        </w:pBdr>
        <w:spacing w:before="0" w:after="120"/>
        <w:rPr>
          <w:rFonts w:asciiTheme="minorHAnsi" w:eastAsia="Times New Roman" w:hAnsiTheme="minorHAnsi" w:cstheme="minorHAnsi"/>
          <w:sz w:val="20"/>
          <w:szCs w:val="20"/>
          <w:lang w:val="pt-PT"/>
        </w:rPr>
      </w:pPr>
      <w:r w:rsidRPr="004500AE">
        <w:rPr>
          <w:rFonts w:asciiTheme="minorHAnsi" w:eastAsia="Times New Roman" w:hAnsiTheme="minorHAnsi" w:cstheme="minorHAnsi"/>
          <w:b/>
          <w:bCs/>
          <w:sz w:val="20"/>
          <w:szCs w:val="20"/>
          <w:lang w:val="pt-PT"/>
        </w:rPr>
        <w:t xml:space="preserve">Violência </w:t>
      </w:r>
      <w:proofErr w:type="gramStart"/>
      <w:r w:rsidRPr="004500AE">
        <w:rPr>
          <w:rFonts w:asciiTheme="minorHAnsi" w:eastAsia="Times New Roman" w:hAnsiTheme="minorHAnsi" w:cstheme="minorHAnsi"/>
          <w:b/>
          <w:bCs/>
          <w:sz w:val="20"/>
          <w:szCs w:val="20"/>
          <w:lang w:val="pt-PT"/>
        </w:rPr>
        <w:t xml:space="preserve">Sociocultural </w:t>
      </w:r>
      <w:r w:rsidRPr="004500AE">
        <w:rPr>
          <w:rFonts w:asciiTheme="minorHAnsi" w:eastAsia="Times New Roman" w:hAnsiTheme="minorHAnsi" w:cstheme="minorHAnsi"/>
          <w:sz w:val="20"/>
          <w:szCs w:val="20"/>
          <w:lang w:val="pt-PT"/>
        </w:rPr>
        <w:t>Qualquer</w:t>
      </w:r>
      <w:proofErr w:type="gramEnd"/>
      <w:r w:rsidRPr="004500AE">
        <w:rPr>
          <w:rFonts w:asciiTheme="minorHAnsi" w:eastAsia="Times New Roman" w:hAnsiTheme="minorHAnsi" w:cstheme="minorHAnsi"/>
          <w:sz w:val="20"/>
          <w:szCs w:val="20"/>
          <w:lang w:val="pt-PT"/>
        </w:rPr>
        <w:t xml:space="preserve"> prática tradicional ou cultural que possa pôr em perigo a </w:t>
      </w:r>
      <w:r w:rsidR="00292532" w:rsidRPr="00292532">
        <w:rPr>
          <w:rFonts w:asciiTheme="minorHAnsi" w:eastAsia="Times New Roman" w:hAnsiTheme="minorHAnsi" w:cstheme="minorHAnsi"/>
          <w:sz w:val="20"/>
          <w:szCs w:val="20"/>
          <w:lang w:val="pt-PT"/>
        </w:rPr>
        <w:t>autoestima</w:t>
      </w:r>
      <w:r w:rsidRPr="004500AE">
        <w:rPr>
          <w:rFonts w:asciiTheme="minorHAnsi" w:eastAsia="Times New Roman" w:hAnsiTheme="minorHAnsi" w:cstheme="minorHAnsi"/>
          <w:sz w:val="20"/>
          <w:szCs w:val="20"/>
          <w:lang w:val="pt-PT"/>
        </w:rPr>
        <w:t>, saúde e vida das pessoas. Exemplos de violência sociocultural incluem: mutilação genital feminina, casamento precoce, trabalho forçado, exposição sexual forçada, impedimento de socializar com outras pessoas, amigos, familiares ou vizinhos, etc.</w:t>
      </w:r>
    </w:p>
    <w:p w14:paraId="558AA475" w14:textId="77777777" w:rsidR="00CD05E8" w:rsidRPr="00292532" w:rsidRDefault="00CD05E8" w:rsidP="00CD05E8">
      <w:pPr>
        <w:spacing w:before="0" w:after="0"/>
        <w:rPr>
          <w:rFonts w:ascii="Arial" w:eastAsia="Times New Roman" w:hAnsi="Arial" w:cs="Arial"/>
          <w:lang w:val="pt-PT"/>
        </w:rPr>
      </w:pPr>
    </w:p>
    <w:p w14:paraId="42D401E2" w14:textId="4ADF70CA" w:rsidR="00CD05E8" w:rsidRPr="004500AE" w:rsidRDefault="00CD05E8" w:rsidP="00CD05E8">
      <w:pPr>
        <w:spacing w:before="0" w:after="120"/>
        <w:rPr>
          <w:rFonts w:asciiTheme="minorHAnsi" w:eastAsia="Times New Roman" w:hAnsiTheme="minorHAnsi" w:cstheme="minorHAnsi"/>
          <w:sz w:val="20"/>
          <w:szCs w:val="20"/>
          <w:lang w:val="pt-PT"/>
        </w:rPr>
      </w:pPr>
      <w:r w:rsidRPr="004500AE">
        <w:rPr>
          <w:rFonts w:asciiTheme="minorHAnsi" w:eastAsia="Times New Roman" w:hAnsiTheme="minorHAnsi" w:cstheme="minorHAnsi"/>
          <w:sz w:val="20"/>
          <w:szCs w:val="20"/>
          <w:lang w:val="pt-PT"/>
        </w:rPr>
        <w:t>Alguns exemplos de VBG:</w:t>
      </w:r>
    </w:p>
    <w:p w14:paraId="5A591730" w14:textId="77777777" w:rsidR="00CD05E8" w:rsidRPr="004500AE" w:rsidRDefault="00CD05E8" w:rsidP="00CD05E8">
      <w:pPr>
        <w:pBdr>
          <w:top w:val="single" w:sz="4" w:space="1" w:color="auto"/>
          <w:left w:val="single" w:sz="4" w:space="4" w:color="auto"/>
          <w:bottom w:val="single" w:sz="4" w:space="1" w:color="auto"/>
          <w:right w:val="single" w:sz="4" w:space="4" w:color="auto"/>
        </w:pBdr>
        <w:spacing w:before="0" w:after="120"/>
        <w:rPr>
          <w:rFonts w:asciiTheme="minorHAnsi" w:eastAsia="Times New Roman" w:hAnsiTheme="minorHAnsi" w:cstheme="minorHAnsi"/>
          <w:sz w:val="20"/>
          <w:szCs w:val="20"/>
          <w:lang w:val="pt-PT"/>
        </w:rPr>
      </w:pPr>
      <w:r w:rsidRPr="004500AE">
        <w:rPr>
          <w:rFonts w:asciiTheme="minorHAnsi" w:eastAsia="Times New Roman" w:hAnsiTheme="minorHAnsi" w:cstheme="minorHAnsi"/>
          <w:b/>
          <w:sz w:val="20"/>
          <w:szCs w:val="20"/>
          <w:lang w:val="pt-PT"/>
        </w:rPr>
        <w:t>A violência doméstica:</w:t>
      </w:r>
      <w:r w:rsidRPr="004500AE">
        <w:rPr>
          <w:rFonts w:asciiTheme="minorHAnsi" w:eastAsia="Times New Roman" w:hAnsiTheme="minorHAnsi" w:cstheme="minorHAnsi"/>
          <w:sz w:val="20"/>
          <w:szCs w:val="20"/>
          <w:lang w:val="pt-PT"/>
        </w:rPr>
        <w:t xml:space="preserve"> inclui todos os </w:t>
      </w:r>
      <w:proofErr w:type="spellStart"/>
      <w:r w:rsidRPr="004500AE">
        <w:rPr>
          <w:rFonts w:asciiTheme="minorHAnsi" w:eastAsia="Times New Roman" w:hAnsiTheme="minorHAnsi" w:cstheme="minorHAnsi"/>
          <w:sz w:val="20"/>
          <w:szCs w:val="20"/>
          <w:lang w:val="pt-PT"/>
        </w:rPr>
        <w:t>actos</w:t>
      </w:r>
      <w:proofErr w:type="spellEnd"/>
      <w:r w:rsidRPr="004500AE">
        <w:rPr>
          <w:rFonts w:asciiTheme="minorHAnsi" w:eastAsia="Times New Roman" w:hAnsiTheme="minorHAnsi" w:cstheme="minorHAnsi"/>
          <w:sz w:val="20"/>
          <w:szCs w:val="20"/>
          <w:lang w:val="pt-PT"/>
        </w:rPr>
        <w:t xml:space="preserve"> de violência física, sexual, psicológica e económica que ocorrem no âmbito privado dentro da família, unidade doméstica ou entre parceiros íntimos (anteriores ou </w:t>
      </w:r>
      <w:proofErr w:type="spellStart"/>
      <w:r w:rsidRPr="004500AE">
        <w:rPr>
          <w:rFonts w:asciiTheme="minorHAnsi" w:eastAsia="Times New Roman" w:hAnsiTheme="minorHAnsi" w:cstheme="minorHAnsi"/>
          <w:sz w:val="20"/>
          <w:szCs w:val="20"/>
          <w:lang w:val="pt-PT"/>
        </w:rPr>
        <w:t>actuais</w:t>
      </w:r>
      <w:proofErr w:type="spellEnd"/>
      <w:r w:rsidRPr="004500AE">
        <w:rPr>
          <w:rFonts w:asciiTheme="minorHAnsi" w:eastAsia="Times New Roman" w:hAnsiTheme="minorHAnsi" w:cstheme="minorHAnsi"/>
          <w:sz w:val="20"/>
          <w:szCs w:val="20"/>
          <w:lang w:val="pt-PT"/>
        </w:rPr>
        <w:t>, mesmo quando não vivem juntos);</w:t>
      </w:r>
    </w:p>
    <w:p w14:paraId="26DB6F58" w14:textId="77777777" w:rsidR="00CD05E8" w:rsidRPr="004500AE" w:rsidRDefault="00CD05E8" w:rsidP="00CD05E8">
      <w:pPr>
        <w:pBdr>
          <w:top w:val="single" w:sz="4" w:space="1" w:color="auto"/>
          <w:left w:val="single" w:sz="4" w:space="4" w:color="auto"/>
          <w:bottom w:val="single" w:sz="4" w:space="1" w:color="auto"/>
          <w:right w:val="single" w:sz="4" w:space="4" w:color="auto"/>
        </w:pBdr>
        <w:spacing w:before="0" w:after="120"/>
        <w:rPr>
          <w:rFonts w:asciiTheme="minorHAnsi" w:eastAsia="Times New Roman" w:hAnsiTheme="minorHAnsi" w:cstheme="minorHAnsi"/>
          <w:sz w:val="20"/>
          <w:szCs w:val="20"/>
          <w:lang w:val="pt-PT"/>
        </w:rPr>
      </w:pPr>
      <w:r w:rsidRPr="004500AE">
        <w:rPr>
          <w:rFonts w:asciiTheme="minorHAnsi" w:eastAsia="Times New Roman" w:hAnsiTheme="minorHAnsi" w:cstheme="minorHAnsi"/>
          <w:b/>
          <w:sz w:val="20"/>
          <w:szCs w:val="20"/>
          <w:lang w:val="pt-PT"/>
        </w:rPr>
        <w:t>O assédio sexual</w:t>
      </w:r>
      <w:r w:rsidRPr="004500AE">
        <w:rPr>
          <w:rFonts w:asciiTheme="minorHAnsi" w:eastAsia="Times New Roman" w:hAnsiTheme="minorHAnsi" w:cstheme="minorHAnsi"/>
          <w:sz w:val="20"/>
          <w:szCs w:val="20"/>
          <w:lang w:val="pt-PT"/>
        </w:rPr>
        <w:t xml:space="preserve"> inclui conduta indesejada verbal, física ou outra, de natureza sexual, com o </w:t>
      </w:r>
      <w:proofErr w:type="spellStart"/>
      <w:r w:rsidRPr="004500AE">
        <w:rPr>
          <w:rFonts w:asciiTheme="minorHAnsi" w:eastAsia="Times New Roman" w:hAnsiTheme="minorHAnsi" w:cstheme="minorHAnsi"/>
          <w:sz w:val="20"/>
          <w:szCs w:val="20"/>
          <w:lang w:val="pt-PT"/>
        </w:rPr>
        <w:t>objectivo</w:t>
      </w:r>
      <w:proofErr w:type="spellEnd"/>
      <w:r w:rsidRPr="004500AE">
        <w:rPr>
          <w:rFonts w:asciiTheme="minorHAnsi" w:eastAsia="Times New Roman" w:hAnsiTheme="minorHAnsi" w:cstheme="minorHAnsi"/>
          <w:sz w:val="20"/>
          <w:szCs w:val="20"/>
          <w:lang w:val="pt-PT"/>
        </w:rPr>
        <w:t xml:space="preserve"> ou efeito de violar a dignidade de uma pessoa. Pode ocorrer em um contexto de relações desiguais de poder como um local de trabalho por exemplo e inclui </w:t>
      </w:r>
      <w:proofErr w:type="spellStart"/>
      <w:r w:rsidRPr="004500AE">
        <w:rPr>
          <w:rFonts w:asciiTheme="minorHAnsi" w:eastAsia="Times New Roman" w:hAnsiTheme="minorHAnsi" w:cstheme="minorHAnsi"/>
          <w:sz w:val="20"/>
          <w:szCs w:val="20"/>
          <w:lang w:val="pt-PT"/>
        </w:rPr>
        <w:t>actos</w:t>
      </w:r>
      <w:proofErr w:type="spellEnd"/>
      <w:r w:rsidRPr="004500AE">
        <w:rPr>
          <w:rFonts w:asciiTheme="minorHAnsi" w:eastAsia="Times New Roman" w:hAnsiTheme="minorHAnsi" w:cstheme="minorHAnsi"/>
          <w:sz w:val="20"/>
          <w:szCs w:val="20"/>
          <w:lang w:val="pt-PT"/>
        </w:rPr>
        <w:t xml:space="preserve"> verbais, toques sem consentimento da pessoa, visualização de pornografia, </w:t>
      </w:r>
      <w:proofErr w:type="spellStart"/>
      <w:r w:rsidRPr="004500AE">
        <w:rPr>
          <w:rFonts w:asciiTheme="minorHAnsi" w:eastAsia="Times New Roman" w:hAnsiTheme="minorHAnsi" w:cstheme="minorHAnsi"/>
          <w:sz w:val="20"/>
          <w:szCs w:val="20"/>
          <w:lang w:val="pt-PT"/>
        </w:rPr>
        <w:t>etc</w:t>
      </w:r>
      <w:proofErr w:type="spellEnd"/>
      <w:r w:rsidRPr="004500AE">
        <w:rPr>
          <w:rFonts w:asciiTheme="minorHAnsi" w:eastAsia="Times New Roman" w:hAnsiTheme="minorHAnsi" w:cstheme="minorHAnsi"/>
          <w:sz w:val="20"/>
          <w:szCs w:val="20"/>
          <w:lang w:val="pt-PT"/>
        </w:rPr>
        <w:t>;</w:t>
      </w:r>
    </w:p>
    <w:p w14:paraId="4B4B53D1" w14:textId="77777777" w:rsidR="00CD05E8" w:rsidRPr="004500AE" w:rsidRDefault="00CD05E8" w:rsidP="00CD05E8">
      <w:pPr>
        <w:pBdr>
          <w:top w:val="single" w:sz="4" w:space="1" w:color="auto"/>
          <w:left w:val="single" w:sz="4" w:space="4" w:color="auto"/>
          <w:bottom w:val="single" w:sz="4" w:space="1" w:color="auto"/>
          <w:right w:val="single" w:sz="4" w:space="4" w:color="auto"/>
        </w:pBdr>
        <w:spacing w:before="0" w:after="120"/>
        <w:rPr>
          <w:rFonts w:asciiTheme="minorHAnsi" w:eastAsia="Times New Roman" w:hAnsiTheme="minorHAnsi" w:cstheme="minorHAnsi"/>
          <w:sz w:val="20"/>
          <w:szCs w:val="20"/>
          <w:lang w:val="pt-PT"/>
        </w:rPr>
      </w:pPr>
      <w:r w:rsidRPr="004500AE">
        <w:rPr>
          <w:rFonts w:asciiTheme="minorHAnsi" w:eastAsia="Times New Roman" w:hAnsiTheme="minorHAnsi" w:cstheme="minorHAnsi"/>
          <w:b/>
          <w:sz w:val="20"/>
          <w:szCs w:val="20"/>
          <w:lang w:val="pt-PT"/>
        </w:rPr>
        <w:t>Mutilação genital feminina (MGF)</w:t>
      </w:r>
      <w:r w:rsidRPr="004500AE">
        <w:rPr>
          <w:rFonts w:asciiTheme="minorHAnsi" w:eastAsia="Times New Roman" w:hAnsiTheme="minorHAnsi" w:cstheme="minorHAnsi"/>
          <w:sz w:val="20"/>
          <w:szCs w:val="20"/>
          <w:lang w:val="pt-PT"/>
        </w:rPr>
        <w:t xml:space="preserve"> é o corte ou remoção ritual de parte ou de todos os órgãos genitais femininos externos. Isso viola o corpo das mulheres e muitas vezes prejudica sua sexualidade, saúde mental, bem-estar e participação em sua comunidade e pode até levar à morte;</w:t>
      </w:r>
    </w:p>
    <w:p w14:paraId="23DB5264" w14:textId="77777777" w:rsidR="00CD05E8" w:rsidRPr="004500AE" w:rsidRDefault="00CD05E8" w:rsidP="00CD05E8">
      <w:pPr>
        <w:pBdr>
          <w:top w:val="single" w:sz="4" w:space="1" w:color="auto"/>
          <w:left w:val="single" w:sz="4" w:space="4" w:color="auto"/>
          <w:bottom w:val="single" w:sz="4" w:space="1" w:color="auto"/>
          <w:right w:val="single" w:sz="4" w:space="4" w:color="auto"/>
        </w:pBdr>
        <w:spacing w:before="0" w:after="120"/>
        <w:rPr>
          <w:rFonts w:asciiTheme="minorHAnsi" w:eastAsia="Times New Roman" w:hAnsiTheme="minorHAnsi" w:cstheme="minorHAnsi"/>
          <w:sz w:val="20"/>
          <w:szCs w:val="20"/>
          <w:lang w:val="pt-PT"/>
        </w:rPr>
      </w:pPr>
      <w:r w:rsidRPr="004500AE">
        <w:rPr>
          <w:rFonts w:asciiTheme="minorHAnsi" w:eastAsia="Times New Roman" w:hAnsiTheme="minorHAnsi" w:cstheme="minorHAnsi"/>
          <w:b/>
          <w:sz w:val="20"/>
          <w:szCs w:val="20"/>
          <w:lang w:val="pt-PT"/>
        </w:rPr>
        <w:t>Casamento forçado</w:t>
      </w:r>
      <w:r w:rsidRPr="004500AE">
        <w:rPr>
          <w:rFonts w:asciiTheme="minorHAnsi" w:eastAsia="Times New Roman" w:hAnsiTheme="minorHAnsi" w:cstheme="minorHAnsi"/>
          <w:sz w:val="20"/>
          <w:szCs w:val="20"/>
          <w:lang w:val="pt-PT"/>
        </w:rPr>
        <w:t xml:space="preserve"> a uma união por meio de força ou coerção, incluindo o casamento infantil ou precoce, quando crianças se casam antes de atingirem a idade mínima para o casamento. É importante notar que em Moçambique é mais comum o uso do termo união forçada, uma vez que se entende que um casamento pela lei só ocorre quando existe o consentimento entre duas pessoas adultas;</w:t>
      </w:r>
    </w:p>
    <w:p w14:paraId="2FF49B86" w14:textId="77777777" w:rsidR="00CD05E8" w:rsidRPr="004500AE" w:rsidRDefault="00CD05E8" w:rsidP="00CD05E8">
      <w:pPr>
        <w:pBdr>
          <w:top w:val="single" w:sz="4" w:space="1" w:color="auto"/>
          <w:left w:val="single" w:sz="4" w:space="4" w:color="auto"/>
          <w:bottom w:val="single" w:sz="4" w:space="1" w:color="auto"/>
          <w:right w:val="single" w:sz="4" w:space="4" w:color="auto"/>
        </w:pBdr>
        <w:spacing w:before="0" w:after="120"/>
        <w:rPr>
          <w:rFonts w:asciiTheme="minorHAnsi" w:eastAsia="Times New Roman" w:hAnsiTheme="minorHAnsi" w:cstheme="minorHAnsi"/>
          <w:sz w:val="20"/>
          <w:szCs w:val="20"/>
          <w:lang w:val="pt-PT"/>
        </w:rPr>
      </w:pPr>
      <w:r w:rsidRPr="004500AE">
        <w:rPr>
          <w:rFonts w:asciiTheme="minorHAnsi" w:eastAsia="Times New Roman" w:hAnsiTheme="minorHAnsi" w:cstheme="minorHAnsi"/>
          <w:b/>
          <w:sz w:val="20"/>
          <w:szCs w:val="20"/>
          <w:lang w:val="pt-PT"/>
        </w:rPr>
        <w:t>Exploração e Abuso Sexual:</w:t>
      </w:r>
      <w:r w:rsidRPr="004500AE">
        <w:rPr>
          <w:rFonts w:asciiTheme="minorHAnsi" w:eastAsia="Times New Roman" w:hAnsiTheme="minorHAnsi" w:cstheme="minorHAnsi"/>
          <w:sz w:val="20"/>
          <w:szCs w:val="20"/>
          <w:lang w:val="pt-PT"/>
        </w:rPr>
        <w:t xml:space="preserve"> Qualquer abuso real ou tentativa de abuso da posição de vulnerabilidade, poder diferencial ou confiança de uma pessoa para fins sexuais, incluindo, mas não se limitando a, tirar proveito monetário, social ou político com a exploração sexual de outra pessoa. O abuso sexual é ainda definido como "a intrusão física real ou ameaça/tentativa de natureza sexual, seja pela força ou sob condições desiguais ou coercitivas". </w:t>
      </w:r>
    </w:p>
    <w:p w14:paraId="71D8B5B5" w14:textId="1A5EDAA4" w:rsidR="00CD05E8" w:rsidRPr="00292532" w:rsidRDefault="00CD05E8" w:rsidP="00CD05E8">
      <w:pPr>
        <w:rPr>
          <w:lang w:val="pt-PT"/>
        </w:rPr>
      </w:pPr>
      <w:r w:rsidRPr="00292532">
        <w:rPr>
          <w:lang w:val="pt-PT"/>
        </w:rPr>
        <w:t xml:space="preserve">A </w:t>
      </w:r>
      <w:r w:rsidR="004C5198" w:rsidRPr="004500AE">
        <w:rPr>
          <w:b/>
          <w:bCs/>
          <w:lang w:val="pt-PT"/>
        </w:rPr>
        <w:fldChar w:fldCharType="begin"/>
      </w:r>
      <w:r w:rsidR="004C5198" w:rsidRPr="004500AE">
        <w:rPr>
          <w:b/>
          <w:bCs/>
          <w:lang w:val="pt-PT"/>
        </w:rPr>
        <w:instrText xml:space="preserve"> REF _Ref78412414 \h </w:instrText>
      </w:r>
      <w:r w:rsidR="004C5198" w:rsidRPr="00292532">
        <w:rPr>
          <w:b/>
          <w:bCs/>
          <w:lang w:val="pt-PT"/>
        </w:rPr>
        <w:instrText xml:space="preserve"> \* MERGEFORMAT </w:instrText>
      </w:r>
      <w:r w:rsidR="004C5198" w:rsidRPr="004500AE">
        <w:rPr>
          <w:b/>
          <w:bCs/>
          <w:lang w:val="pt-PT"/>
        </w:rPr>
      </w:r>
      <w:r w:rsidR="004C5198" w:rsidRPr="004500AE">
        <w:rPr>
          <w:b/>
          <w:bCs/>
          <w:lang w:val="pt-PT"/>
        </w:rPr>
        <w:fldChar w:fldCharType="separate"/>
      </w:r>
      <w:r w:rsidR="000D7B05" w:rsidRPr="004500AE">
        <w:rPr>
          <w:b/>
          <w:bCs/>
          <w:lang w:val="pt-PT"/>
        </w:rPr>
        <w:t xml:space="preserve">Tabela </w:t>
      </w:r>
      <w:r w:rsidR="000D7B05" w:rsidRPr="004500AE">
        <w:rPr>
          <w:b/>
          <w:bCs/>
          <w:noProof/>
          <w:lang w:val="pt-PT"/>
        </w:rPr>
        <w:t>25</w:t>
      </w:r>
      <w:r w:rsidR="004C5198" w:rsidRPr="004500AE">
        <w:rPr>
          <w:b/>
          <w:bCs/>
          <w:lang w:val="pt-PT"/>
        </w:rPr>
        <w:fldChar w:fldCharType="end"/>
      </w:r>
      <w:r w:rsidR="004C5198" w:rsidRPr="00292532">
        <w:rPr>
          <w:lang w:val="pt-PT"/>
        </w:rPr>
        <w:t xml:space="preserve"> </w:t>
      </w:r>
      <w:r w:rsidRPr="00292532">
        <w:rPr>
          <w:lang w:val="pt-PT"/>
        </w:rPr>
        <w:t>abaixo apresenta um resumo dos principais riscos de VBG</w:t>
      </w:r>
      <w:r w:rsidRPr="004500AE">
        <w:rPr>
          <w:lang w:val="pt-PT"/>
        </w:rPr>
        <w:t xml:space="preserve">/EAS associados ao </w:t>
      </w:r>
      <w:proofErr w:type="spellStart"/>
      <w:r w:rsidRPr="004500AE">
        <w:rPr>
          <w:lang w:val="pt-PT"/>
        </w:rPr>
        <w:t>Projecto</w:t>
      </w:r>
      <w:proofErr w:type="spellEnd"/>
      <w:r w:rsidRPr="004500AE">
        <w:rPr>
          <w:lang w:val="pt-PT"/>
        </w:rPr>
        <w:t>.</w:t>
      </w:r>
    </w:p>
    <w:p w14:paraId="78438415" w14:textId="485EC543" w:rsidR="004C5198" w:rsidRPr="004500AE" w:rsidRDefault="004C5198" w:rsidP="004500AE">
      <w:pPr>
        <w:pStyle w:val="Caption"/>
      </w:pPr>
      <w:bookmarkStart w:id="225" w:name="_Ref78412414"/>
      <w:bookmarkStart w:id="226" w:name="_Toc80380272"/>
      <w:r w:rsidRPr="00292532">
        <w:lastRenderedPageBreak/>
        <w:t xml:space="preserve">Tabela </w:t>
      </w:r>
      <w:r w:rsidRPr="00292532">
        <w:fldChar w:fldCharType="begin"/>
      </w:r>
      <w:r w:rsidRPr="00292532">
        <w:instrText xml:space="preserve"> SEQ Tabela \* ARABIC </w:instrText>
      </w:r>
      <w:r w:rsidRPr="00292532">
        <w:fldChar w:fldCharType="separate"/>
      </w:r>
      <w:r w:rsidR="000D7B05">
        <w:rPr>
          <w:noProof/>
        </w:rPr>
        <w:t>25</w:t>
      </w:r>
      <w:r w:rsidRPr="00292532">
        <w:fldChar w:fldCharType="end"/>
      </w:r>
      <w:bookmarkEnd w:id="225"/>
      <w:r w:rsidRPr="00292532">
        <w:t xml:space="preserve">: Principais riscos de VBG/EAS associados ao </w:t>
      </w:r>
      <w:proofErr w:type="spellStart"/>
      <w:r w:rsidRPr="00292532">
        <w:t>Projecto</w:t>
      </w:r>
      <w:bookmarkEnd w:id="226"/>
      <w:proofErr w:type="spellEnd"/>
    </w:p>
    <w:tbl>
      <w:tblPr>
        <w:tblStyle w:val="0-Table2"/>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5"/>
        <w:gridCol w:w="3009"/>
        <w:gridCol w:w="3118"/>
      </w:tblGrid>
      <w:tr w:rsidR="004C5198" w:rsidRPr="00292532" w14:paraId="20468A68" w14:textId="77777777" w:rsidTr="004C5198">
        <w:trPr>
          <w:trHeight w:val="389"/>
          <w:tblHeader/>
        </w:trPr>
        <w:tc>
          <w:tcPr>
            <w:tcW w:w="2945" w:type="dxa"/>
            <w:shd w:val="clear" w:color="auto" w:fill="5B9BD5"/>
            <w:vAlign w:val="center"/>
          </w:tcPr>
          <w:p w14:paraId="2A7745DC" w14:textId="77777777" w:rsidR="004C5198" w:rsidRPr="004500AE" w:rsidRDefault="004C5198" w:rsidP="004C5198">
            <w:pPr>
              <w:spacing w:after="120"/>
              <w:jc w:val="center"/>
              <w:rPr>
                <w:rFonts w:asciiTheme="minorHAnsi" w:hAnsiTheme="minorHAnsi" w:cstheme="minorHAnsi"/>
                <w:b/>
                <w:color w:val="FFFFFF"/>
                <w:sz w:val="20"/>
                <w:szCs w:val="20"/>
                <w:lang w:val="pt-PT"/>
              </w:rPr>
            </w:pPr>
            <w:r w:rsidRPr="004500AE">
              <w:rPr>
                <w:rFonts w:asciiTheme="minorHAnsi" w:hAnsiTheme="minorHAnsi" w:cstheme="minorHAnsi"/>
                <w:b/>
                <w:color w:val="FFFFFF"/>
                <w:sz w:val="20"/>
                <w:szCs w:val="20"/>
                <w:lang w:val="pt-PT"/>
              </w:rPr>
              <w:t>Exploração e Abuso Sexual (EAS)</w:t>
            </w:r>
          </w:p>
        </w:tc>
        <w:tc>
          <w:tcPr>
            <w:tcW w:w="3009" w:type="dxa"/>
            <w:shd w:val="clear" w:color="auto" w:fill="5B9BD5"/>
            <w:vAlign w:val="center"/>
          </w:tcPr>
          <w:p w14:paraId="3CBFCA7C" w14:textId="77777777" w:rsidR="004C5198" w:rsidRPr="004500AE" w:rsidRDefault="004C5198" w:rsidP="004C5198">
            <w:pPr>
              <w:spacing w:after="120"/>
              <w:jc w:val="center"/>
              <w:rPr>
                <w:rFonts w:asciiTheme="minorHAnsi" w:hAnsiTheme="minorHAnsi" w:cstheme="minorHAnsi"/>
                <w:b/>
                <w:color w:val="FFFFFF"/>
                <w:sz w:val="20"/>
                <w:szCs w:val="20"/>
                <w:lang w:val="pt-PT"/>
              </w:rPr>
            </w:pPr>
            <w:r w:rsidRPr="004500AE">
              <w:rPr>
                <w:rFonts w:asciiTheme="minorHAnsi" w:hAnsiTheme="minorHAnsi" w:cstheme="minorHAnsi"/>
                <w:b/>
                <w:color w:val="FFFFFF"/>
                <w:sz w:val="20"/>
                <w:szCs w:val="20"/>
                <w:lang w:val="pt-PT"/>
              </w:rPr>
              <w:t>Assédio sexual no local de trabalho/comunidade</w:t>
            </w:r>
          </w:p>
        </w:tc>
        <w:tc>
          <w:tcPr>
            <w:tcW w:w="3118" w:type="dxa"/>
            <w:shd w:val="clear" w:color="auto" w:fill="5B9BD5"/>
            <w:vAlign w:val="center"/>
          </w:tcPr>
          <w:p w14:paraId="24C7CE6A" w14:textId="77777777" w:rsidR="004C5198" w:rsidRPr="004500AE" w:rsidRDefault="004C5198" w:rsidP="004C5198">
            <w:pPr>
              <w:spacing w:after="120"/>
              <w:jc w:val="center"/>
              <w:rPr>
                <w:rFonts w:asciiTheme="minorHAnsi" w:hAnsiTheme="minorHAnsi" w:cstheme="minorHAnsi"/>
                <w:b/>
                <w:color w:val="FFFFFF"/>
                <w:sz w:val="20"/>
                <w:szCs w:val="20"/>
                <w:lang w:val="pt-PT"/>
              </w:rPr>
            </w:pPr>
            <w:r w:rsidRPr="004500AE">
              <w:rPr>
                <w:rFonts w:asciiTheme="minorHAnsi" w:hAnsiTheme="minorHAnsi" w:cstheme="minorHAnsi"/>
                <w:b/>
                <w:color w:val="FFFFFF"/>
                <w:sz w:val="20"/>
                <w:szCs w:val="20"/>
                <w:lang w:val="pt-PT"/>
              </w:rPr>
              <w:t>Outras formas de VBG</w:t>
            </w:r>
          </w:p>
        </w:tc>
      </w:tr>
      <w:tr w:rsidR="004C5198" w:rsidRPr="001E4B2C" w14:paraId="157C5CAE" w14:textId="77777777" w:rsidTr="004C5198">
        <w:tc>
          <w:tcPr>
            <w:tcW w:w="2945" w:type="dxa"/>
            <w:tcBorders>
              <w:bottom w:val="single" w:sz="4" w:space="0" w:color="auto"/>
            </w:tcBorders>
          </w:tcPr>
          <w:p w14:paraId="4D387FB6" w14:textId="77777777" w:rsidR="004C5198" w:rsidRPr="004500AE" w:rsidRDefault="004C5198" w:rsidP="004C5198">
            <w:pPr>
              <w:numPr>
                <w:ilvl w:val="0"/>
                <w:numId w:val="158"/>
              </w:numPr>
              <w:spacing w:after="120" w:line="260" w:lineRule="exact"/>
              <w:ind w:left="176" w:hanging="176"/>
              <w:contextualSpacing/>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Exploração de uma posição vulnerável, poder diferencial de confiança para fins sexuais em troca de favores, serviços e bens</w:t>
            </w:r>
          </w:p>
          <w:p w14:paraId="0B885159" w14:textId="77777777" w:rsidR="004C5198" w:rsidRPr="004500AE" w:rsidRDefault="004C5198" w:rsidP="004C5198">
            <w:pPr>
              <w:numPr>
                <w:ilvl w:val="0"/>
                <w:numId w:val="158"/>
              </w:numPr>
              <w:spacing w:after="120" w:line="260" w:lineRule="exact"/>
              <w:ind w:left="176" w:hanging="176"/>
              <w:contextualSpacing/>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Casamento forçado ou precoce como uma estratégia de sobrevivência</w:t>
            </w:r>
          </w:p>
          <w:p w14:paraId="07A569D9" w14:textId="77777777" w:rsidR="004C5198" w:rsidRPr="004500AE" w:rsidRDefault="004C5198" w:rsidP="004C5198">
            <w:pPr>
              <w:numPr>
                <w:ilvl w:val="0"/>
                <w:numId w:val="158"/>
              </w:numPr>
              <w:spacing w:after="120" w:line="260" w:lineRule="exact"/>
              <w:ind w:left="176" w:hanging="176"/>
              <w:contextualSpacing/>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Violação sexual</w:t>
            </w:r>
          </w:p>
          <w:p w14:paraId="6FDA6B3E" w14:textId="77777777" w:rsidR="004C5198" w:rsidRPr="004500AE" w:rsidRDefault="004C5198" w:rsidP="004C5198">
            <w:pPr>
              <w:numPr>
                <w:ilvl w:val="0"/>
                <w:numId w:val="158"/>
              </w:numPr>
              <w:spacing w:after="120" w:line="260" w:lineRule="exact"/>
              <w:ind w:left="176" w:hanging="176"/>
              <w:contextualSpacing/>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Exploração sexual de mulheres e raparigas (sexo transacional), pelo influxo de trabalhadores nas obras e muitas vezes incitado pelas famílias. </w:t>
            </w:r>
          </w:p>
        </w:tc>
        <w:tc>
          <w:tcPr>
            <w:tcW w:w="3009" w:type="dxa"/>
            <w:tcBorders>
              <w:bottom w:val="single" w:sz="4" w:space="0" w:color="auto"/>
            </w:tcBorders>
          </w:tcPr>
          <w:p w14:paraId="29511951" w14:textId="77777777" w:rsidR="004C5198" w:rsidRPr="004500AE" w:rsidRDefault="004C5198" w:rsidP="004C5198">
            <w:pPr>
              <w:numPr>
                <w:ilvl w:val="0"/>
                <w:numId w:val="158"/>
              </w:numPr>
              <w:spacing w:after="120" w:line="260" w:lineRule="exact"/>
              <w:ind w:left="176" w:hanging="176"/>
              <w:contextualSpacing/>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Avanços sexuais indesejados </w:t>
            </w:r>
          </w:p>
          <w:p w14:paraId="27451291" w14:textId="77777777" w:rsidR="004C5198" w:rsidRPr="004500AE" w:rsidRDefault="004C5198" w:rsidP="004C5198">
            <w:pPr>
              <w:numPr>
                <w:ilvl w:val="0"/>
                <w:numId w:val="158"/>
              </w:numPr>
              <w:spacing w:after="120" w:line="260" w:lineRule="exact"/>
              <w:ind w:left="176" w:hanging="176"/>
              <w:contextualSpacing/>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Pedidos de favores sexuais</w:t>
            </w:r>
          </w:p>
          <w:p w14:paraId="1FE60BDC" w14:textId="77777777" w:rsidR="004C5198" w:rsidRPr="004500AE" w:rsidRDefault="004C5198" w:rsidP="004C5198">
            <w:pPr>
              <w:numPr>
                <w:ilvl w:val="0"/>
                <w:numId w:val="158"/>
              </w:numPr>
              <w:spacing w:after="120" w:line="260" w:lineRule="exact"/>
              <w:ind w:left="176" w:hanging="176"/>
              <w:contextualSpacing/>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Contacto físico sexual</w:t>
            </w:r>
          </w:p>
        </w:tc>
        <w:tc>
          <w:tcPr>
            <w:tcW w:w="3118" w:type="dxa"/>
            <w:tcBorders>
              <w:bottom w:val="single" w:sz="4" w:space="0" w:color="auto"/>
            </w:tcBorders>
          </w:tcPr>
          <w:p w14:paraId="5761BFD3" w14:textId="77777777" w:rsidR="004C5198" w:rsidRPr="004500AE" w:rsidRDefault="004C5198" w:rsidP="004C5198">
            <w:pPr>
              <w:numPr>
                <w:ilvl w:val="0"/>
                <w:numId w:val="158"/>
              </w:numPr>
              <w:spacing w:after="120" w:line="260" w:lineRule="exact"/>
              <w:ind w:left="176" w:hanging="176"/>
              <w:contextualSpacing/>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Agressão física</w:t>
            </w:r>
          </w:p>
          <w:p w14:paraId="5C08F7BD" w14:textId="77777777" w:rsidR="004C5198" w:rsidRPr="004500AE" w:rsidRDefault="004C5198" w:rsidP="004C5198">
            <w:pPr>
              <w:numPr>
                <w:ilvl w:val="0"/>
                <w:numId w:val="158"/>
              </w:numPr>
              <w:spacing w:after="120" w:line="260" w:lineRule="exact"/>
              <w:ind w:left="176" w:hanging="176"/>
              <w:contextualSpacing/>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Abuso psicológico ou físico</w:t>
            </w:r>
          </w:p>
          <w:p w14:paraId="5F14F1B0" w14:textId="77777777" w:rsidR="004C5198" w:rsidRPr="004500AE" w:rsidRDefault="004C5198" w:rsidP="004C5198">
            <w:pPr>
              <w:numPr>
                <w:ilvl w:val="0"/>
                <w:numId w:val="158"/>
              </w:numPr>
              <w:spacing w:after="120" w:line="260" w:lineRule="exact"/>
              <w:ind w:left="176" w:hanging="176"/>
              <w:contextualSpacing/>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Violência económica</w:t>
            </w:r>
          </w:p>
          <w:p w14:paraId="4188D995" w14:textId="77777777" w:rsidR="004C5198" w:rsidRPr="004500AE" w:rsidRDefault="004C5198" w:rsidP="004C5198">
            <w:pPr>
              <w:numPr>
                <w:ilvl w:val="0"/>
                <w:numId w:val="158"/>
              </w:numPr>
              <w:spacing w:after="120" w:line="260" w:lineRule="exact"/>
              <w:ind w:left="176" w:hanging="176"/>
              <w:contextualSpacing/>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Negação a recursos, oportunidades ou serviços</w:t>
            </w:r>
          </w:p>
          <w:p w14:paraId="3A101181" w14:textId="77777777" w:rsidR="004C5198" w:rsidRPr="004500AE" w:rsidRDefault="004C5198" w:rsidP="004C5198">
            <w:pPr>
              <w:numPr>
                <w:ilvl w:val="0"/>
                <w:numId w:val="158"/>
              </w:numPr>
              <w:spacing w:after="120" w:line="260" w:lineRule="exact"/>
              <w:ind w:left="176" w:hanging="176"/>
              <w:contextualSpacing/>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violência por parceiro íntimo (violência doméstica)</w:t>
            </w:r>
          </w:p>
        </w:tc>
      </w:tr>
    </w:tbl>
    <w:p w14:paraId="147B3ED0" w14:textId="57257F43" w:rsidR="00CD05E8" w:rsidRPr="00292532" w:rsidRDefault="00CD05E8" w:rsidP="00CD05E8">
      <w:pPr>
        <w:rPr>
          <w:lang w:val="pt-PT"/>
        </w:rPr>
      </w:pPr>
    </w:p>
    <w:p w14:paraId="7629EF53" w14:textId="393176A6" w:rsidR="00A329E2" w:rsidRPr="00292532" w:rsidRDefault="001B461D" w:rsidP="001B461D">
      <w:pPr>
        <w:pStyle w:val="Heading1"/>
        <w:rPr>
          <w:lang w:val="pt-PT"/>
        </w:rPr>
      </w:pPr>
      <w:bookmarkStart w:id="227" w:name="_Toc78435352"/>
      <w:bookmarkStart w:id="228" w:name="_Toc80379976"/>
      <w:bookmarkEnd w:id="223"/>
      <w:bookmarkEnd w:id="227"/>
      <w:r w:rsidRPr="00292532">
        <w:rPr>
          <w:lang w:val="pt-PT"/>
        </w:rPr>
        <w:t>Medidas de Mitigação dos Riscos e Impactos Ambientais e Sociais</w:t>
      </w:r>
      <w:bookmarkEnd w:id="228"/>
      <w:r w:rsidRPr="00292532">
        <w:rPr>
          <w:lang w:val="pt-PT"/>
        </w:rPr>
        <w:t xml:space="preserve"> </w:t>
      </w:r>
    </w:p>
    <w:p w14:paraId="239CDEAD" w14:textId="33E42737" w:rsidR="00A329E2" w:rsidRPr="00292532" w:rsidRDefault="004474A6" w:rsidP="00A329E2">
      <w:pPr>
        <w:rPr>
          <w:lang w:val="pt-PT"/>
        </w:rPr>
      </w:pPr>
      <w:r w:rsidRPr="00292532">
        <w:rPr>
          <w:lang w:val="pt-PT"/>
        </w:rPr>
        <w:t xml:space="preserve">De acordo com as Normas Ambientais e Sociais do Banco, a avaliação ambiental e social deve aplicar uma hierarquia de mitigação de uma forma sistemática e sequenciada para gerir os riscos e impactos potenciais do </w:t>
      </w:r>
      <w:proofErr w:type="spellStart"/>
      <w:r w:rsidRPr="00292532">
        <w:rPr>
          <w:lang w:val="pt-PT"/>
        </w:rPr>
        <w:t>Projecto</w:t>
      </w:r>
      <w:proofErr w:type="spellEnd"/>
      <w:r w:rsidRPr="00292532">
        <w:rPr>
          <w:lang w:val="pt-PT"/>
        </w:rPr>
        <w:t xml:space="preserve">. A abordagem segue as seguintes etapas numa ordem de preferência decrescente: </w:t>
      </w:r>
    </w:p>
    <w:p w14:paraId="72E7E7BD" w14:textId="4B0CF86D" w:rsidR="004474A6" w:rsidRPr="00292532" w:rsidRDefault="00464919" w:rsidP="0024772D">
      <w:pPr>
        <w:pStyle w:val="ListParagraph"/>
        <w:numPr>
          <w:ilvl w:val="0"/>
          <w:numId w:val="54"/>
        </w:numPr>
        <w:rPr>
          <w:lang w:val="pt-PT"/>
        </w:rPr>
      </w:pPr>
      <w:r w:rsidRPr="00292532">
        <w:rPr>
          <w:b/>
          <w:bCs/>
          <w:lang w:val="pt-PT"/>
        </w:rPr>
        <w:t xml:space="preserve">EVITAR </w:t>
      </w:r>
      <w:r w:rsidR="004474A6" w:rsidRPr="00292532">
        <w:rPr>
          <w:lang w:val="pt-PT"/>
        </w:rPr>
        <w:t>riscos e impactos adversos e aumentar os impactos e benefícios positivos para as comunidades e o meio físico, na medida do possível;</w:t>
      </w:r>
    </w:p>
    <w:p w14:paraId="4C9AF7C5" w14:textId="51C2F391" w:rsidR="004474A6" w:rsidRPr="00292532" w:rsidRDefault="00464919" w:rsidP="0024772D">
      <w:pPr>
        <w:pStyle w:val="ListParagraph"/>
        <w:numPr>
          <w:ilvl w:val="0"/>
          <w:numId w:val="54"/>
        </w:numPr>
        <w:rPr>
          <w:lang w:val="pt-PT"/>
        </w:rPr>
      </w:pPr>
      <w:r w:rsidRPr="00292532">
        <w:rPr>
          <w:b/>
          <w:bCs/>
          <w:lang w:val="pt-PT"/>
        </w:rPr>
        <w:t>MINIMIZAR</w:t>
      </w:r>
      <w:r w:rsidR="004474A6" w:rsidRPr="00292532">
        <w:rPr>
          <w:b/>
          <w:bCs/>
          <w:lang w:val="pt-PT"/>
        </w:rPr>
        <w:t xml:space="preserve"> </w:t>
      </w:r>
      <w:r w:rsidR="004474A6" w:rsidRPr="00292532">
        <w:rPr>
          <w:lang w:val="pt-PT"/>
        </w:rPr>
        <w:t xml:space="preserve">os riscos e impactos adversos que não podem ser evitados; </w:t>
      </w:r>
    </w:p>
    <w:p w14:paraId="5F5CA763" w14:textId="47A45363" w:rsidR="004474A6" w:rsidRPr="00292532" w:rsidRDefault="00464919" w:rsidP="0024772D">
      <w:pPr>
        <w:pStyle w:val="ListParagraph"/>
        <w:numPr>
          <w:ilvl w:val="0"/>
          <w:numId w:val="54"/>
        </w:numPr>
        <w:rPr>
          <w:lang w:val="pt-PT"/>
        </w:rPr>
      </w:pPr>
      <w:r w:rsidRPr="00292532">
        <w:rPr>
          <w:b/>
          <w:bCs/>
          <w:lang w:val="pt-PT"/>
        </w:rPr>
        <w:t>REMEDIAR</w:t>
      </w:r>
      <w:r w:rsidR="004474A6" w:rsidRPr="00292532">
        <w:rPr>
          <w:lang w:val="pt-PT"/>
        </w:rPr>
        <w:t xml:space="preserve"> ou mitigar os riscos e impactos adversos residuais a um nível aceitável; e</w:t>
      </w:r>
    </w:p>
    <w:p w14:paraId="1C02EF0D" w14:textId="19A5D937" w:rsidR="00A329E2" w:rsidRPr="00292532" w:rsidRDefault="00464919" w:rsidP="0024772D">
      <w:pPr>
        <w:pStyle w:val="ListParagraph"/>
        <w:numPr>
          <w:ilvl w:val="0"/>
          <w:numId w:val="54"/>
        </w:numPr>
        <w:rPr>
          <w:lang w:val="pt-PT"/>
        </w:rPr>
      </w:pPr>
      <w:r w:rsidRPr="00292532">
        <w:rPr>
          <w:b/>
          <w:bCs/>
          <w:lang w:val="pt-PT"/>
        </w:rPr>
        <w:t>COMPENSAR</w:t>
      </w:r>
      <w:r w:rsidR="004474A6" w:rsidRPr="00292532">
        <w:rPr>
          <w:b/>
          <w:bCs/>
          <w:lang w:val="pt-PT"/>
        </w:rPr>
        <w:t xml:space="preserve"> </w:t>
      </w:r>
      <w:r w:rsidR="004474A6" w:rsidRPr="00292532">
        <w:rPr>
          <w:lang w:val="pt-PT"/>
        </w:rPr>
        <w:t xml:space="preserve">ou equilibrar os riscos e impactos residuais que não podem ser remediados. </w:t>
      </w:r>
    </w:p>
    <w:p w14:paraId="17C55471" w14:textId="0D0B623B" w:rsidR="00A329E2" w:rsidRPr="00292532" w:rsidRDefault="004474A6" w:rsidP="00A329E2">
      <w:pPr>
        <w:rPr>
          <w:lang w:val="pt-PT"/>
        </w:rPr>
      </w:pPr>
      <w:bookmarkStart w:id="229" w:name="_Hlk75445074"/>
      <w:r w:rsidRPr="00292532">
        <w:rPr>
          <w:lang w:val="pt-PT"/>
        </w:rPr>
        <w:t xml:space="preserve">A minimização dos riscos e impactos ambientais e sociais identificados no capítulo anterior passa pela implementação de medidas </w:t>
      </w:r>
      <w:r w:rsidR="00CE6F94" w:rsidRPr="00292532">
        <w:rPr>
          <w:lang w:val="pt-PT"/>
        </w:rPr>
        <w:t xml:space="preserve">para </w:t>
      </w:r>
      <w:r w:rsidRPr="00292532">
        <w:rPr>
          <w:lang w:val="pt-PT"/>
        </w:rPr>
        <w:t xml:space="preserve">minimizar, remediar e compensar (p.e. reassentamento) através da implementação de planos de </w:t>
      </w:r>
      <w:proofErr w:type="spellStart"/>
      <w:r w:rsidRPr="00292532">
        <w:rPr>
          <w:lang w:val="pt-PT"/>
        </w:rPr>
        <w:t>acção</w:t>
      </w:r>
      <w:proofErr w:type="spellEnd"/>
      <w:r w:rsidRPr="00292532">
        <w:rPr>
          <w:lang w:val="pt-PT"/>
        </w:rPr>
        <w:t xml:space="preserve"> e planos de gestão ambientais durante a execução do </w:t>
      </w:r>
      <w:proofErr w:type="spellStart"/>
      <w:r w:rsidRPr="00292532">
        <w:rPr>
          <w:lang w:val="pt-PT"/>
        </w:rPr>
        <w:t>Projecto</w:t>
      </w:r>
      <w:proofErr w:type="spellEnd"/>
      <w:r w:rsidRPr="00292532">
        <w:rPr>
          <w:lang w:val="pt-PT"/>
        </w:rPr>
        <w:t>. Para este fim, é proposto um Plano de Gestão Ambiental</w:t>
      </w:r>
      <w:r w:rsidR="00D26A87" w:rsidRPr="00292532">
        <w:rPr>
          <w:lang w:val="pt-PT"/>
        </w:rPr>
        <w:t xml:space="preserve"> e Social</w:t>
      </w:r>
      <w:r w:rsidRPr="00292532">
        <w:rPr>
          <w:lang w:val="pt-PT"/>
        </w:rPr>
        <w:t xml:space="preserve"> </w:t>
      </w:r>
      <w:r w:rsidR="00E65F02" w:rsidRPr="00292532">
        <w:rPr>
          <w:lang w:val="pt-PT"/>
        </w:rPr>
        <w:t>(</w:t>
      </w:r>
      <w:r w:rsidR="001978AF" w:rsidRPr="00292532">
        <w:rPr>
          <w:lang w:val="pt-PT"/>
        </w:rPr>
        <w:t>PGAS</w:t>
      </w:r>
      <w:r w:rsidR="00E65F02" w:rsidRPr="00292532">
        <w:rPr>
          <w:lang w:val="pt-PT"/>
        </w:rPr>
        <w:t xml:space="preserve">) </w:t>
      </w:r>
      <w:r w:rsidRPr="00292532">
        <w:rPr>
          <w:lang w:val="pt-PT"/>
        </w:rPr>
        <w:t>genérico</w:t>
      </w:r>
      <w:r w:rsidR="00E65F02" w:rsidRPr="00292532">
        <w:rPr>
          <w:lang w:val="pt-PT"/>
        </w:rPr>
        <w:t xml:space="preserve"> (ver </w:t>
      </w:r>
      <w:r w:rsidR="00E65F02" w:rsidRPr="00292532">
        <w:rPr>
          <w:b/>
          <w:bCs/>
          <w:lang w:val="pt-PT"/>
        </w:rPr>
        <w:t xml:space="preserve">Anexo </w:t>
      </w:r>
      <w:r w:rsidR="000615DB" w:rsidRPr="00292532">
        <w:rPr>
          <w:b/>
          <w:bCs/>
          <w:lang w:val="pt-PT"/>
        </w:rPr>
        <w:t>4</w:t>
      </w:r>
      <w:r w:rsidR="00E65F02" w:rsidRPr="00292532">
        <w:rPr>
          <w:lang w:val="pt-PT"/>
        </w:rPr>
        <w:t>)</w:t>
      </w:r>
      <w:r w:rsidRPr="00292532">
        <w:rPr>
          <w:lang w:val="pt-PT"/>
        </w:rPr>
        <w:t xml:space="preserve">. É recomendável a implementação das medidas e recomendações propostas neste plano, conforme </w:t>
      </w:r>
      <w:r w:rsidR="0005701F" w:rsidRPr="00292532">
        <w:rPr>
          <w:lang w:val="pt-PT"/>
        </w:rPr>
        <w:t>praticável</w:t>
      </w:r>
      <w:r w:rsidRPr="00292532">
        <w:rPr>
          <w:lang w:val="pt-PT"/>
        </w:rPr>
        <w:t xml:space="preserve"> e relevante. Este </w:t>
      </w:r>
      <w:r w:rsidR="001978AF" w:rsidRPr="00292532">
        <w:rPr>
          <w:lang w:val="pt-PT"/>
        </w:rPr>
        <w:t>PGAS</w:t>
      </w:r>
      <w:r w:rsidRPr="00292532">
        <w:rPr>
          <w:lang w:val="pt-PT"/>
        </w:rPr>
        <w:t xml:space="preserve"> constitui um ponto de partida para a elaboração dos </w:t>
      </w:r>
      <w:r w:rsidR="001978AF" w:rsidRPr="00292532">
        <w:rPr>
          <w:lang w:val="pt-PT"/>
        </w:rPr>
        <w:t>PGAS</w:t>
      </w:r>
      <w:r w:rsidRPr="00292532">
        <w:rPr>
          <w:lang w:val="pt-PT"/>
        </w:rPr>
        <w:t xml:space="preserve"> específicos dos subprojectos aquando da sua definição em fases subsequentes. </w:t>
      </w:r>
    </w:p>
    <w:p w14:paraId="20DEAB07" w14:textId="033C7499" w:rsidR="00E65F02" w:rsidRPr="00292532" w:rsidRDefault="00E65F02" w:rsidP="00A329E2">
      <w:pPr>
        <w:rPr>
          <w:lang w:val="pt-PT"/>
        </w:rPr>
      </w:pPr>
      <w:r w:rsidRPr="00292532">
        <w:rPr>
          <w:lang w:val="pt-PT"/>
        </w:rPr>
        <w:t xml:space="preserve">Outras recomendações de gestão de impactos estão propostas nos seguintes planos integrados no </w:t>
      </w:r>
      <w:proofErr w:type="spellStart"/>
      <w:r w:rsidRPr="00292532">
        <w:rPr>
          <w:lang w:val="pt-PT"/>
        </w:rPr>
        <w:t>actual</w:t>
      </w:r>
      <w:proofErr w:type="spellEnd"/>
      <w:r w:rsidRPr="00292532">
        <w:rPr>
          <w:lang w:val="pt-PT"/>
        </w:rPr>
        <w:t xml:space="preserve"> QGAS: </w:t>
      </w:r>
    </w:p>
    <w:p w14:paraId="0A593A3D" w14:textId="23284C41" w:rsidR="00D02B2F" w:rsidRPr="00292532" w:rsidRDefault="00D02B2F" w:rsidP="00032E3B">
      <w:pPr>
        <w:pStyle w:val="ListParagraph"/>
        <w:numPr>
          <w:ilvl w:val="0"/>
          <w:numId w:val="55"/>
        </w:numPr>
        <w:rPr>
          <w:lang w:val="pt-PT"/>
        </w:rPr>
      </w:pPr>
      <w:r w:rsidRPr="00292532">
        <w:rPr>
          <w:lang w:val="pt-PT"/>
        </w:rPr>
        <w:t xml:space="preserve">Plano </w:t>
      </w:r>
      <w:r w:rsidR="00E65F02" w:rsidRPr="00292532">
        <w:rPr>
          <w:lang w:val="pt-PT"/>
        </w:rPr>
        <w:t>de Gestão de mão-de-obra (PGMO)</w:t>
      </w:r>
      <w:r w:rsidRPr="00292532">
        <w:rPr>
          <w:lang w:val="pt-PT"/>
        </w:rPr>
        <w:t xml:space="preserve"> e de Saúde e Segurança Ocupacional </w:t>
      </w:r>
    </w:p>
    <w:p w14:paraId="35AA57A4" w14:textId="77777777" w:rsidR="00E65F02" w:rsidRPr="00292532" w:rsidRDefault="00E65F02" w:rsidP="0024772D">
      <w:pPr>
        <w:pStyle w:val="ListParagraph"/>
        <w:numPr>
          <w:ilvl w:val="0"/>
          <w:numId w:val="55"/>
        </w:numPr>
        <w:rPr>
          <w:lang w:val="pt-PT"/>
        </w:rPr>
      </w:pPr>
      <w:r w:rsidRPr="00292532">
        <w:rPr>
          <w:lang w:val="pt-PT"/>
        </w:rPr>
        <w:t>Avaliação de Risco de Perigo e Prontidão de Resposta a Emergência (ARP-PRE)</w:t>
      </w:r>
    </w:p>
    <w:p w14:paraId="5092886F" w14:textId="77777777" w:rsidR="00E65F02" w:rsidRPr="00292532" w:rsidRDefault="00E65F02" w:rsidP="0024772D">
      <w:pPr>
        <w:pStyle w:val="ListParagraph"/>
        <w:numPr>
          <w:ilvl w:val="0"/>
          <w:numId w:val="55"/>
        </w:numPr>
        <w:rPr>
          <w:lang w:val="pt-PT"/>
        </w:rPr>
      </w:pPr>
      <w:r w:rsidRPr="00292532">
        <w:rPr>
          <w:lang w:val="pt-PT"/>
        </w:rPr>
        <w:t>Plano de Saúde e Segurança Comunitária (PDDC)</w:t>
      </w:r>
    </w:p>
    <w:p w14:paraId="2088F5EC" w14:textId="77777777" w:rsidR="00E65F02" w:rsidRPr="00292532" w:rsidRDefault="00E65F02" w:rsidP="0024772D">
      <w:pPr>
        <w:pStyle w:val="ListParagraph"/>
        <w:numPr>
          <w:ilvl w:val="0"/>
          <w:numId w:val="55"/>
        </w:numPr>
        <w:rPr>
          <w:lang w:val="pt-PT"/>
        </w:rPr>
      </w:pPr>
      <w:r w:rsidRPr="00292532">
        <w:rPr>
          <w:lang w:val="pt-PT"/>
        </w:rPr>
        <w:lastRenderedPageBreak/>
        <w:t>Plano de Gestão e Prevenção da Poluição (PGPP)</w:t>
      </w:r>
    </w:p>
    <w:p w14:paraId="4151C38F" w14:textId="0F1CC3BF" w:rsidR="00E65F02" w:rsidRPr="00292532" w:rsidRDefault="00E65F02" w:rsidP="0024772D">
      <w:pPr>
        <w:pStyle w:val="ListParagraph"/>
        <w:numPr>
          <w:ilvl w:val="0"/>
          <w:numId w:val="55"/>
        </w:numPr>
        <w:rPr>
          <w:lang w:val="pt-PT"/>
        </w:rPr>
      </w:pPr>
      <w:r w:rsidRPr="00292532">
        <w:rPr>
          <w:lang w:val="pt-PT"/>
        </w:rPr>
        <w:t>Procedimentos de Gestão de Património Cultural (PGPT)</w:t>
      </w:r>
    </w:p>
    <w:p w14:paraId="5D8E2AAF" w14:textId="02532B12" w:rsidR="00D02B2F" w:rsidRPr="00292532" w:rsidRDefault="00D02B2F" w:rsidP="0024772D">
      <w:pPr>
        <w:pStyle w:val="ListParagraph"/>
        <w:numPr>
          <w:ilvl w:val="0"/>
          <w:numId w:val="55"/>
        </w:numPr>
        <w:rPr>
          <w:lang w:val="pt-PT"/>
        </w:rPr>
      </w:pPr>
      <w:r w:rsidRPr="00292532">
        <w:rPr>
          <w:lang w:val="pt-PT"/>
        </w:rPr>
        <w:t>Plano de Conting</w:t>
      </w:r>
      <w:r w:rsidR="006B4D00" w:rsidRPr="00292532">
        <w:rPr>
          <w:lang w:val="pt-PT"/>
        </w:rPr>
        <w:t>ê</w:t>
      </w:r>
      <w:r w:rsidRPr="00292532">
        <w:rPr>
          <w:lang w:val="pt-PT"/>
        </w:rPr>
        <w:t>ncia da Covid-19</w:t>
      </w:r>
    </w:p>
    <w:p w14:paraId="052BEDC0" w14:textId="784F723C" w:rsidR="004C5198" w:rsidRPr="00292532" w:rsidRDefault="004C5198" w:rsidP="0024772D">
      <w:pPr>
        <w:pStyle w:val="ListParagraph"/>
        <w:numPr>
          <w:ilvl w:val="0"/>
          <w:numId w:val="55"/>
        </w:numPr>
        <w:rPr>
          <w:lang w:val="pt-PT"/>
        </w:rPr>
      </w:pPr>
      <w:r w:rsidRPr="00292532">
        <w:rPr>
          <w:lang w:val="pt-PT"/>
        </w:rPr>
        <w:t xml:space="preserve">Avaliação de Risco de e Plano de </w:t>
      </w:r>
      <w:proofErr w:type="spellStart"/>
      <w:r w:rsidRPr="00292532">
        <w:rPr>
          <w:lang w:val="pt-PT"/>
        </w:rPr>
        <w:t>Acção</w:t>
      </w:r>
      <w:proofErr w:type="spellEnd"/>
      <w:r w:rsidRPr="00292532">
        <w:rPr>
          <w:lang w:val="pt-PT"/>
        </w:rPr>
        <w:t xml:space="preserve"> sobre Violência Baseada no Género</w:t>
      </w:r>
    </w:p>
    <w:p w14:paraId="0F06649F" w14:textId="4EE0306C" w:rsidR="004C5198" w:rsidRPr="00292532" w:rsidRDefault="004C5198" w:rsidP="004C5198">
      <w:pPr>
        <w:pStyle w:val="ListParagraph"/>
        <w:numPr>
          <w:ilvl w:val="0"/>
          <w:numId w:val="55"/>
        </w:numPr>
        <w:rPr>
          <w:lang w:val="pt-PT"/>
        </w:rPr>
      </w:pPr>
      <w:r w:rsidRPr="00292532">
        <w:rPr>
          <w:lang w:val="pt-PT"/>
        </w:rPr>
        <w:t>Plano de Engajamento das Partes Interessadas (PEPI)</w:t>
      </w:r>
    </w:p>
    <w:p w14:paraId="605C9548" w14:textId="4BCF8238" w:rsidR="00A329E2" w:rsidRPr="00292532" w:rsidRDefault="00645334" w:rsidP="00A329E2">
      <w:pPr>
        <w:rPr>
          <w:lang w:val="pt-PT"/>
        </w:rPr>
      </w:pPr>
      <w:r w:rsidRPr="00292532">
        <w:rPr>
          <w:lang w:val="pt-PT"/>
        </w:rPr>
        <w:t xml:space="preserve">As estratégias e medidas a serem implementadas como partes do processo de reassentamento e indemnização de forma a minimizar os impactos do deslocamento físico e económico das comunidades </w:t>
      </w:r>
      <w:proofErr w:type="spellStart"/>
      <w:r w:rsidRPr="00292532">
        <w:rPr>
          <w:lang w:val="pt-PT"/>
        </w:rPr>
        <w:t>afectadas</w:t>
      </w:r>
      <w:proofErr w:type="spellEnd"/>
      <w:r w:rsidRPr="00292532">
        <w:rPr>
          <w:lang w:val="pt-PT"/>
        </w:rPr>
        <w:t xml:space="preserve"> são fornecidas no </w:t>
      </w:r>
      <w:r w:rsidR="001978AF" w:rsidRPr="00292532">
        <w:rPr>
          <w:lang w:val="pt-PT"/>
        </w:rPr>
        <w:t>PGAS</w:t>
      </w:r>
      <w:r w:rsidRPr="00292532">
        <w:rPr>
          <w:lang w:val="pt-PT"/>
        </w:rPr>
        <w:t xml:space="preserve"> genérico (</w:t>
      </w:r>
      <w:r w:rsidRPr="00292532">
        <w:rPr>
          <w:b/>
          <w:bCs/>
          <w:lang w:val="pt-PT"/>
        </w:rPr>
        <w:t xml:space="preserve">Anexo </w:t>
      </w:r>
      <w:r w:rsidR="000615DB" w:rsidRPr="00292532">
        <w:rPr>
          <w:b/>
          <w:bCs/>
          <w:lang w:val="pt-PT"/>
        </w:rPr>
        <w:t>4</w:t>
      </w:r>
      <w:r w:rsidRPr="00292532">
        <w:rPr>
          <w:lang w:val="pt-PT"/>
        </w:rPr>
        <w:t xml:space="preserve">) e com mais detalhe são fornecidas no Quadro da Política de Reassentamento (QPR). </w:t>
      </w:r>
    </w:p>
    <w:bookmarkEnd w:id="229"/>
    <w:p w14:paraId="78387AC4" w14:textId="77777777" w:rsidR="00167670" w:rsidRPr="00292532" w:rsidRDefault="00167670" w:rsidP="00A329E2">
      <w:pPr>
        <w:rPr>
          <w:lang w:val="pt-PT"/>
        </w:rPr>
      </w:pPr>
    </w:p>
    <w:p w14:paraId="00A34479" w14:textId="33B8CE16" w:rsidR="00597827" w:rsidRPr="00292532" w:rsidRDefault="002A07B8" w:rsidP="00534FC6">
      <w:pPr>
        <w:pStyle w:val="Heading2"/>
      </w:pPr>
      <w:bookmarkStart w:id="230" w:name="_Toc80379977"/>
      <w:r w:rsidRPr="00292532">
        <w:t>Medidas de incrementação dos impactos positivos</w:t>
      </w:r>
      <w:bookmarkEnd w:id="230"/>
    </w:p>
    <w:p w14:paraId="2554C433" w14:textId="77777777" w:rsidR="004C5198" w:rsidRPr="00292532" w:rsidRDefault="004C5198" w:rsidP="00534FC6">
      <w:pPr>
        <w:rPr>
          <w:lang w:val="pt-PT" w:eastAsia="ja-JP"/>
        </w:rPr>
      </w:pPr>
      <w:r w:rsidRPr="00292532">
        <w:rPr>
          <w:lang w:val="pt-PT" w:eastAsia="ja-JP"/>
        </w:rPr>
        <w:t xml:space="preserve">Os impactos positivos do </w:t>
      </w:r>
      <w:proofErr w:type="spellStart"/>
      <w:r w:rsidRPr="00292532">
        <w:rPr>
          <w:lang w:val="pt-PT" w:eastAsia="ja-JP"/>
        </w:rPr>
        <w:t>Projecto</w:t>
      </w:r>
      <w:proofErr w:type="spellEnd"/>
      <w:r w:rsidRPr="00292532">
        <w:rPr>
          <w:lang w:val="pt-PT" w:eastAsia="ja-JP"/>
        </w:rPr>
        <w:t xml:space="preserve"> identificados requerem a implementação de medidas de incrementação. As principais medidas mitigação são propostas abaixo</w:t>
      </w:r>
    </w:p>
    <w:p w14:paraId="215CD75A" w14:textId="5EE4DE6D" w:rsidR="00534FC6" w:rsidRPr="00292532" w:rsidRDefault="004C5198" w:rsidP="004500AE">
      <w:pPr>
        <w:pStyle w:val="ListParagraph"/>
        <w:numPr>
          <w:ilvl w:val="0"/>
          <w:numId w:val="216"/>
        </w:numPr>
        <w:rPr>
          <w:lang w:val="pt-PT" w:eastAsia="ja-JP"/>
        </w:rPr>
      </w:pPr>
      <w:r w:rsidRPr="00292532">
        <w:rPr>
          <w:lang w:val="pt-PT" w:eastAsia="ja-JP"/>
        </w:rPr>
        <w:t xml:space="preserve">Na </w:t>
      </w:r>
      <w:r w:rsidR="00534FC6" w:rsidRPr="00292532">
        <w:rPr>
          <w:lang w:val="pt-PT" w:eastAsia="ja-JP"/>
        </w:rPr>
        <w:t xml:space="preserve">Fase de construção: </w:t>
      </w:r>
    </w:p>
    <w:p w14:paraId="12399871" w14:textId="184624CD" w:rsidR="00534FC6" w:rsidRPr="00292532" w:rsidRDefault="00534FC6" w:rsidP="004500AE">
      <w:pPr>
        <w:pStyle w:val="ListParagraph"/>
        <w:numPr>
          <w:ilvl w:val="0"/>
          <w:numId w:val="217"/>
        </w:numPr>
        <w:rPr>
          <w:lang w:val="pt-PT" w:eastAsia="ja-JP"/>
        </w:rPr>
      </w:pPr>
      <w:r w:rsidRPr="00292532">
        <w:rPr>
          <w:lang w:val="pt-PT" w:eastAsia="ja-JP"/>
        </w:rPr>
        <w:t>Implementação de programas de recrutamento para priorizar os grupos vulneráveis (mão de obra não especializada, mulheres, refugiados, pessoal nativo)</w:t>
      </w:r>
    </w:p>
    <w:p w14:paraId="59DF53D7" w14:textId="60A2CE37" w:rsidR="00167670" w:rsidRPr="00292532" w:rsidRDefault="00167670" w:rsidP="004500AE">
      <w:pPr>
        <w:pStyle w:val="ListParagraph"/>
        <w:numPr>
          <w:ilvl w:val="0"/>
          <w:numId w:val="217"/>
        </w:numPr>
        <w:rPr>
          <w:lang w:val="pt-PT" w:eastAsia="ja-JP"/>
        </w:rPr>
      </w:pPr>
      <w:r w:rsidRPr="00292532">
        <w:rPr>
          <w:lang w:val="pt-PT" w:eastAsia="ja-JP"/>
        </w:rPr>
        <w:t xml:space="preserve">Implementação do Plano de Gestão de Mão-de-Obra no sentido de promover condições de trabalho justas e adequadas e boas relações de trabalho tanto </w:t>
      </w:r>
      <w:proofErr w:type="spellStart"/>
      <w:r w:rsidRPr="00292532">
        <w:rPr>
          <w:lang w:val="pt-PT" w:eastAsia="ja-JP"/>
        </w:rPr>
        <w:t>directamente</w:t>
      </w:r>
      <w:proofErr w:type="spellEnd"/>
      <w:r w:rsidRPr="00292532">
        <w:rPr>
          <w:lang w:val="pt-PT" w:eastAsia="ja-JP"/>
        </w:rPr>
        <w:t xml:space="preserve"> pelas </w:t>
      </w:r>
      <w:proofErr w:type="spellStart"/>
      <w:r w:rsidRPr="00292532">
        <w:rPr>
          <w:lang w:val="pt-PT" w:eastAsia="ja-JP"/>
        </w:rPr>
        <w:t>UIPs</w:t>
      </w:r>
      <w:proofErr w:type="spellEnd"/>
      <w:r w:rsidRPr="00292532">
        <w:rPr>
          <w:lang w:val="pt-PT" w:eastAsia="ja-JP"/>
        </w:rPr>
        <w:t xml:space="preserve"> como pelas </w:t>
      </w:r>
      <w:r w:rsidR="00381467" w:rsidRPr="00292532">
        <w:rPr>
          <w:lang w:val="pt-PT" w:eastAsia="ja-JP"/>
        </w:rPr>
        <w:t>contrata</w:t>
      </w:r>
      <w:r w:rsidRPr="00292532">
        <w:rPr>
          <w:lang w:val="pt-PT" w:eastAsia="ja-JP"/>
        </w:rPr>
        <w:t xml:space="preserve">das </w:t>
      </w:r>
    </w:p>
    <w:p w14:paraId="2952DFA7" w14:textId="22E06917" w:rsidR="00167670" w:rsidRPr="00292532" w:rsidRDefault="00167670" w:rsidP="004500AE">
      <w:pPr>
        <w:pStyle w:val="ListParagraph"/>
        <w:numPr>
          <w:ilvl w:val="0"/>
          <w:numId w:val="217"/>
        </w:numPr>
        <w:rPr>
          <w:lang w:val="pt-PT" w:eastAsia="ja-JP"/>
        </w:rPr>
      </w:pPr>
      <w:r w:rsidRPr="00292532">
        <w:rPr>
          <w:lang w:val="pt-PT" w:eastAsia="ja-JP"/>
        </w:rPr>
        <w:t xml:space="preserve">Desenvolver </w:t>
      </w:r>
      <w:proofErr w:type="spellStart"/>
      <w:r w:rsidRPr="00292532">
        <w:rPr>
          <w:lang w:val="pt-PT" w:eastAsia="ja-JP"/>
        </w:rPr>
        <w:t>acções</w:t>
      </w:r>
      <w:proofErr w:type="spellEnd"/>
      <w:r w:rsidRPr="00292532">
        <w:rPr>
          <w:lang w:val="pt-PT" w:eastAsia="ja-JP"/>
        </w:rPr>
        <w:t xml:space="preserve"> de capacitação aos membros da comunidade para criação de competências</w:t>
      </w:r>
      <w:r w:rsidR="004C5198" w:rsidRPr="00292532">
        <w:rPr>
          <w:lang w:val="pt-PT" w:eastAsia="ja-JP"/>
        </w:rPr>
        <w:t>.</w:t>
      </w:r>
      <w:r w:rsidRPr="00292532">
        <w:rPr>
          <w:lang w:val="pt-PT" w:eastAsia="ja-JP"/>
        </w:rPr>
        <w:t xml:space="preserve"> </w:t>
      </w:r>
    </w:p>
    <w:p w14:paraId="029938D3" w14:textId="23AF8EB6" w:rsidR="00534FC6" w:rsidRPr="00292532" w:rsidRDefault="00534FC6" w:rsidP="004500AE">
      <w:pPr>
        <w:pStyle w:val="ListParagraph"/>
        <w:numPr>
          <w:ilvl w:val="0"/>
          <w:numId w:val="216"/>
        </w:numPr>
        <w:rPr>
          <w:lang w:val="pt-PT" w:eastAsia="ja-JP"/>
        </w:rPr>
      </w:pPr>
      <w:r w:rsidRPr="00292532">
        <w:rPr>
          <w:lang w:val="pt-PT" w:eastAsia="ja-JP"/>
        </w:rPr>
        <w:t xml:space="preserve">Fase de operação: </w:t>
      </w:r>
    </w:p>
    <w:p w14:paraId="2102B2E3" w14:textId="06968FCA" w:rsidR="00534FC6" w:rsidRPr="00292532" w:rsidRDefault="00534FC6" w:rsidP="004500AE">
      <w:pPr>
        <w:pStyle w:val="ListParagraph"/>
        <w:numPr>
          <w:ilvl w:val="0"/>
          <w:numId w:val="217"/>
        </w:numPr>
        <w:rPr>
          <w:lang w:val="pt-PT" w:eastAsia="ja-JP"/>
        </w:rPr>
      </w:pPr>
      <w:r w:rsidRPr="00292532">
        <w:rPr>
          <w:lang w:val="pt-PT" w:eastAsia="ja-JP"/>
        </w:rPr>
        <w:t xml:space="preserve">Medidas e estratégias para garantir a sustentabilidades dos serviços de abastecimento de água e saneamento, com base numa avaliação do potencial de captação através de análise de dados de caudais históricos, testes de campo e modelações. Devem ser igualmente considerados os efeitos da variabilidade sazonal na </w:t>
      </w:r>
      <w:proofErr w:type="spellStart"/>
      <w:r w:rsidRPr="00292532">
        <w:rPr>
          <w:lang w:val="pt-PT" w:eastAsia="ja-JP"/>
        </w:rPr>
        <w:t>projecção</w:t>
      </w:r>
      <w:proofErr w:type="spellEnd"/>
      <w:r w:rsidRPr="00292532">
        <w:rPr>
          <w:lang w:val="pt-PT" w:eastAsia="ja-JP"/>
        </w:rPr>
        <w:t xml:space="preserve"> e manutenção dos sistemas</w:t>
      </w:r>
    </w:p>
    <w:p w14:paraId="1F9086B9" w14:textId="60CE027F" w:rsidR="00534FC6" w:rsidRPr="00292532" w:rsidRDefault="00534FC6" w:rsidP="004500AE">
      <w:pPr>
        <w:pStyle w:val="ListParagraph"/>
        <w:numPr>
          <w:ilvl w:val="0"/>
          <w:numId w:val="217"/>
        </w:numPr>
        <w:rPr>
          <w:lang w:val="pt-PT" w:eastAsia="ja-JP"/>
        </w:rPr>
      </w:pPr>
      <w:r w:rsidRPr="00292532">
        <w:rPr>
          <w:lang w:val="pt-PT" w:eastAsia="ja-JP"/>
        </w:rPr>
        <w:t xml:space="preserve">Promoção de iniciativas para a implementação de práticas com vista a </w:t>
      </w:r>
      <w:r w:rsidR="003545C3" w:rsidRPr="00292532">
        <w:rPr>
          <w:lang w:val="pt-PT" w:eastAsia="ja-JP"/>
        </w:rPr>
        <w:t xml:space="preserve">racionalizar </w:t>
      </w:r>
      <w:r w:rsidRPr="00292532">
        <w:rPr>
          <w:lang w:val="pt-PT" w:eastAsia="ja-JP"/>
        </w:rPr>
        <w:t xml:space="preserve">a captação das fontes naturais (rios e águas subterrâneas), p.e. captação e armazenamento de águas pluviais pelas populações </w:t>
      </w:r>
    </w:p>
    <w:p w14:paraId="514D5ABE" w14:textId="4BEB7750" w:rsidR="00534FC6" w:rsidRPr="00292532" w:rsidRDefault="00534FC6" w:rsidP="004500AE">
      <w:pPr>
        <w:pStyle w:val="ListParagraph"/>
        <w:numPr>
          <w:ilvl w:val="0"/>
          <w:numId w:val="217"/>
        </w:numPr>
        <w:rPr>
          <w:lang w:val="pt-PT" w:eastAsia="ja-JP"/>
        </w:rPr>
      </w:pPr>
      <w:r w:rsidRPr="00292532">
        <w:rPr>
          <w:lang w:val="pt-PT" w:eastAsia="ja-JP"/>
        </w:rPr>
        <w:t xml:space="preserve">Desenvolver estratégias para maior integração das mulheres como operadoras privadas dos </w:t>
      </w:r>
      <w:r w:rsidR="00C62097" w:rsidRPr="00292532">
        <w:rPr>
          <w:lang w:val="pt-PT" w:eastAsia="ja-JP"/>
        </w:rPr>
        <w:t>sistemas e</w:t>
      </w:r>
      <w:r w:rsidR="003545C3" w:rsidRPr="00292532">
        <w:rPr>
          <w:lang w:val="pt-PT" w:eastAsia="ja-JP"/>
        </w:rPr>
        <w:t xml:space="preserve"> de fontanários.</w:t>
      </w:r>
    </w:p>
    <w:p w14:paraId="234D082A" w14:textId="77777777" w:rsidR="004C5198" w:rsidRPr="00292532" w:rsidRDefault="004C5198" w:rsidP="004500AE">
      <w:pPr>
        <w:rPr>
          <w:lang w:val="pt-PT" w:eastAsia="ja-JP"/>
        </w:rPr>
      </w:pPr>
    </w:p>
    <w:p w14:paraId="221449BB" w14:textId="0D8D3A91" w:rsidR="004C5198" w:rsidRPr="00292532" w:rsidRDefault="000A1762" w:rsidP="004C5198">
      <w:pPr>
        <w:pStyle w:val="Heading2"/>
      </w:pPr>
      <w:bookmarkStart w:id="231" w:name="_Toc80379978"/>
      <w:r w:rsidRPr="00292532">
        <w:t>Planos e Programas Complementares ao PGAS</w:t>
      </w:r>
      <w:bookmarkEnd w:id="231"/>
      <w:r w:rsidR="00084D44">
        <w:t xml:space="preserve"> </w:t>
      </w:r>
    </w:p>
    <w:p w14:paraId="1E30D72B" w14:textId="08DF4944" w:rsidR="00720ADE" w:rsidRPr="004500AE" w:rsidRDefault="004C5198" w:rsidP="004C5198">
      <w:pPr>
        <w:pStyle w:val="Normal11"/>
        <w:rPr>
          <w:lang w:val="pt-PT"/>
        </w:rPr>
      </w:pPr>
      <w:r w:rsidRPr="004500AE">
        <w:rPr>
          <w:lang w:val="pt-PT"/>
        </w:rPr>
        <w:t xml:space="preserve">Como mencionado na </w:t>
      </w:r>
      <w:r w:rsidR="00292532" w:rsidRPr="00292532">
        <w:rPr>
          <w:lang w:val="pt-PT"/>
        </w:rPr>
        <w:t>secção</w:t>
      </w:r>
      <w:r w:rsidRPr="004500AE">
        <w:rPr>
          <w:lang w:val="pt-PT"/>
        </w:rPr>
        <w:t xml:space="preserve"> anterior, o PGAS proposto no Anexo 4 deste QGAS é complementado por vários planos </w:t>
      </w:r>
      <w:r w:rsidR="00292532" w:rsidRPr="00292532">
        <w:rPr>
          <w:lang w:val="pt-PT"/>
        </w:rPr>
        <w:t>gestão</w:t>
      </w:r>
      <w:r w:rsidRPr="004500AE">
        <w:rPr>
          <w:lang w:val="pt-PT"/>
        </w:rPr>
        <w:t xml:space="preserve"> sendo que estes, na </w:t>
      </w:r>
      <w:proofErr w:type="spellStart"/>
      <w:r w:rsidRPr="004500AE">
        <w:rPr>
          <w:lang w:val="pt-PT"/>
        </w:rPr>
        <w:t>excep</w:t>
      </w:r>
      <w:r w:rsidR="00292532">
        <w:rPr>
          <w:lang w:val="pt-PT"/>
        </w:rPr>
        <w:t>çã</w:t>
      </w:r>
      <w:r w:rsidRPr="004500AE">
        <w:rPr>
          <w:lang w:val="pt-PT"/>
        </w:rPr>
        <w:t>o</w:t>
      </w:r>
      <w:proofErr w:type="spellEnd"/>
      <w:r w:rsidRPr="004500AE">
        <w:rPr>
          <w:lang w:val="pt-PT"/>
        </w:rPr>
        <w:t xml:space="preserve"> do PEPI constituem Anexo do presente QGAS. A</w:t>
      </w:r>
      <w:r w:rsidRPr="004500AE">
        <w:rPr>
          <w:b/>
          <w:bCs/>
          <w:lang w:val="pt-PT"/>
        </w:rPr>
        <w:t xml:space="preserve"> </w:t>
      </w:r>
      <w:r w:rsidR="00720ADE" w:rsidRPr="004500AE">
        <w:rPr>
          <w:b/>
          <w:bCs/>
          <w:lang w:val="pt-PT"/>
        </w:rPr>
        <w:fldChar w:fldCharType="begin"/>
      </w:r>
      <w:r w:rsidR="00720ADE" w:rsidRPr="004500AE">
        <w:rPr>
          <w:b/>
          <w:bCs/>
          <w:lang w:val="pt-PT"/>
        </w:rPr>
        <w:instrText xml:space="preserve"> REF _Ref78414101 \h  \* MERGEFORMAT </w:instrText>
      </w:r>
      <w:r w:rsidR="00720ADE" w:rsidRPr="004500AE">
        <w:rPr>
          <w:b/>
          <w:bCs/>
          <w:lang w:val="pt-PT"/>
        </w:rPr>
      </w:r>
      <w:r w:rsidR="00720ADE" w:rsidRPr="004500AE">
        <w:rPr>
          <w:b/>
          <w:bCs/>
          <w:lang w:val="pt-PT"/>
        </w:rPr>
        <w:fldChar w:fldCharType="separate"/>
      </w:r>
      <w:r w:rsidR="000D7B05" w:rsidRPr="004500AE">
        <w:rPr>
          <w:b/>
          <w:bCs/>
          <w:lang w:val="pt-PT"/>
        </w:rPr>
        <w:t xml:space="preserve">Tabela </w:t>
      </w:r>
      <w:r w:rsidR="000D7B05" w:rsidRPr="004500AE">
        <w:rPr>
          <w:b/>
          <w:bCs/>
          <w:noProof/>
          <w:lang w:val="pt-PT"/>
        </w:rPr>
        <w:t>26</w:t>
      </w:r>
      <w:r w:rsidR="00720ADE" w:rsidRPr="004500AE">
        <w:rPr>
          <w:b/>
          <w:bCs/>
          <w:lang w:val="pt-PT"/>
        </w:rPr>
        <w:fldChar w:fldCharType="end"/>
      </w:r>
      <w:r w:rsidR="00720ADE" w:rsidRPr="004500AE">
        <w:rPr>
          <w:lang w:val="pt-PT"/>
        </w:rPr>
        <w:t xml:space="preserve"> </w:t>
      </w:r>
      <w:r w:rsidRPr="004500AE">
        <w:rPr>
          <w:lang w:val="pt-PT"/>
        </w:rPr>
        <w:t xml:space="preserve">abaixo identifica os planos complementares ao QGAS e define o seu </w:t>
      </w:r>
      <w:r w:rsidR="00292532" w:rsidRPr="00292532">
        <w:rPr>
          <w:lang w:val="pt-PT"/>
        </w:rPr>
        <w:t>âmbito</w:t>
      </w:r>
      <w:r w:rsidRPr="004500AE">
        <w:rPr>
          <w:lang w:val="pt-PT"/>
        </w:rPr>
        <w:t xml:space="preserve">. </w:t>
      </w:r>
    </w:p>
    <w:p w14:paraId="64B2C15B" w14:textId="77777777" w:rsidR="003F64BF" w:rsidRDefault="003F64BF">
      <w:pPr>
        <w:rPr>
          <w:rFonts w:eastAsiaTheme="minorEastAsia"/>
          <w:b/>
          <w:iCs/>
          <w:sz w:val="18"/>
          <w:szCs w:val="18"/>
          <w:lang w:val="pt-PT" w:eastAsia="ja-JP"/>
        </w:rPr>
      </w:pPr>
      <w:bookmarkStart w:id="232" w:name="_Ref78414101"/>
      <w:r w:rsidRPr="003625C7">
        <w:rPr>
          <w:lang w:val="pt-PT"/>
        </w:rPr>
        <w:br w:type="page"/>
      </w:r>
    </w:p>
    <w:p w14:paraId="6F8C59D8" w14:textId="362280C4" w:rsidR="004C5198" w:rsidRPr="00292532" w:rsidRDefault="004C5198" w:rsidP="004500AE">
      <w:pPr>
        <w:pStyle w:val="Caption"/>
      </w:pPr>
      <w:bookmarkStart w:id="233" w:name="_Toc80380273"/>
      <w:r w:rsidRPr="00292532">
        <w:lastRenderedPageBreak/>
        <w:t xml:space="preserve">Tabela </w:t>
      </w:r>
      <w:r w:rsidRPr="00292532">
        <w:fldChar w:fldCharType="begin"/>
      </w:r>
      <w:r w:rsidRPr="00292532">
        <w:instrText xml:space="preserve"> SEQ Tabela \* ARABIC </w:instrText>
      </w:r>
      <w:r w:rsidRPr="00292532">
        <w:fldChar w:fldCharType="separate"/>
      </w:r>
      <w:r w:rsidR="000D7B05">
        <w:rPr>
          <w:noProof/>
        </w:rPr>
        <w:t>26</w:t>
      </w:r>
      <w:r w:rsidRPr="00292532">
        <w:fldChar w:fldCharType="end"/>
      </w:r>
      <w:bookmarkEnd w:id="232"/>
      <w:r w:rsidRPr="00292532">
        <w:t>: Planos Complementares ao PGAS</w:t>
      </w:r>
      <w:bookmarkEnd w:id="233"/>
    </w:p>
    <w:tbl>
      <w:tblPr>
        <w:tblStyle w:val="GridTable4-Accent51"/>
        <w:tblW w:w="8815" w:type="dxa"/>
        <w:tblLook w:val="04A0" w:firstRow="1" w:lastRow="0" w:firstColumn="1" w:lastColumn="0" w:noHBand="0" w:noVBand="1"/>
      </w:tblPr>
      <w:tblGrid>
        <w:gridCol w:w="941"/>
        <w:gridCol w:w="1824"/>
        <w:gridCol w:w="6050"/>
      </w:tblGrid>
      <w:tr w:rsidR="009B0324" w:rsidRPr="00292532" w14:paraId="73A78995" w14:textId="38860E42" w:rsidTr="004500A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dxa"/>
          </w:tcPr>
          <w:p w14:paraId="7A001D65" w14:textId="20B281E3" w:rsidR="009B0324" w:rsidRPr="004500AE" w:rsidRDefault="009B0324" w:rsidP="004500AE">
            <w:pPr>
              <w:pStyle w:val="Normal11"/>
              <w:jc w:val="center"/>
              <w:rPr>
                <w:sz w:val="20"/>
                <w:szCs w:val="20"/>
                <w:lang w:val="pt-PT"/>
              </w:rPr>
            </w:pPr>
            <w:r w:rsidRPr="004500AE">
              <w:rPr>
                <w:sz w:val="20"/>
                <w:szCs w:val="20"/>
                <w:lang w:val="pt-PT"/>
              </w:rPr>
              <w:t>Anexo do QGAS no.</w:t>
            </w:r>
          </w:p>
        </w:tc>
        <w:tc>
          <w:tcPr>
            <w:tcW w:w="0" w:type="dxa"/>
          </w:tcPr>
          <w:p w14:paraId="7174A5BF" w14:textId="3EA5E02F" w:rsidR="009B0324" w:rsidRPr="004500AE" w:rsidRDefault="009B0324" w:rsidP="004500AE">
            <w:pPr>
              <w:pStyle w:val="Normal11"/>
              <w:jc w:val="center"/>
              <w:cnfStyle w:val="100000000000" w:firstRow="1" w:lastRow="0" w:firstColumn="0" w:lastColumn="0" w:oddVBand="0" w:evenVBand="0" w:oddHBand="0" w:evenHBand="0" w:firstRowFirstColumn="0" w:firstRowLastColumn="0" w:lastRowFirstColumn="0" w:lastRowLastColumn="0"/>
              <w:rPr>
                <w:sz w:val="20"/>
                <w:szCs w:val="20"/>
                <w:lang w:val="pt-PT"/>
              </w:rPr>
            </w:pPr>
            <w:r w:rsidRPr="004500AE">
              <w:rPr>
                <w:sz w:val="20"/>
                <w:szCs w:val="20"/>
                <w:lang w:val="pt-PT"/>
              </w:rPr>
              <w:t>Plano</w:t>
            </w:r>
          </w:p>
        </w:tc>
        <w:tc>
          <w:tcPr>
            <w:tcW w:w="4793" w:type="dxa"/>
          </w:tcPr>
          <w:p w14:paraId="23078C8C" w14:textId="1F714ACB" w:rsidR="009B0324" w:rsidRPr="004500AE" w:rsidRDefault="00292532" w:rsidP="004500AE">
            <w:pPr>
              <w:pStyle w:val="Normal11"/>
              <w:jc w:val="center"/>
              <w:cnfStyle w:val="100000000000" w:firstRow="1"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Descrição</w:t>
            </w:r>
          </w:p>
        </w:tc>
      </w:tr>
      <w:tr w:rsidR="009B0324" w:rsidRPr="001E4B2C" w14:paraId="383F4F2A" w14:textId="1D39546E" w:rsidTr="004500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7D561834" w14:textId="19F23144" w:rsidR="009B0324" w:rsidRPr="004500AE" w:rsidRDefault="009B0324" w:rsidP="009B0324">
            <w:pPr>
              <w:pStyle w:val="Normal11"/>
              <w:rPr>
                <w:sz w:val="20"/>
                <w:szCs w:val="20"/>
                <w:lang w:val="pt-PT"/>
              </w:rPr>
            </w:pPr>
            <w:r w:rsidRPr="004500AE">
              <w:rPr>
                <w:sz w:val="20"/>
                <w:szCs w:val="20"/>
                <w:lang w:val="pt-PT"/>
              </w:rPr>
              <w:t>Anexo 5</w:t>
            </w:r>
          </w:p>
        </w:tc>
        <w:tc>
          <w:tcPr>
            <w:tcW w:w="0" w:type="dxa"/>
          </w:tcPr>
          <w:p w14:paraId="6AEB857D" w14:textId="049E5452" w:rsidR="009B0324" w:rsidRPr="004500AE" w:rsidRDefault="009B0324" w:rsidP="009B0324">
            <w:pPr>
              <w:pStyle w:val="Normal11"/>
              <w:cnfStyle w:val="000000100000" w:firstRow="0" w:lastRow="0" w:firstColumn="0" w:lastColumn="0" w:oddVBand="0" w:evenVBand="0" w:oddHBand="1" w:evenHBand="0" w:firstRowFirstColumn="0" w:firstRowLastColumn="0" w:lastRowFirstColumn="0" w:lastRowLastColumn="0"/>
              <w:rPr>
                <w:sz w:val="20"/>
                <w:szCs w:val="20"/>
                <w:lang w:val="pt-PT"/>
              </w:rPr>
            </w:pPr>
            <w:r w:rsidRPr="004500AE">
              <w:rPr>
                <w:sz w:val="20"/>
                <w:szCs w:val="20"/>
                <w:lang w:val="pt-PT"/>
              </w:rPr>
              <w:t>Avaliação de Risco de Perigo e Prontidão de Resposta à Emergência (ARP-PRE)</w:t>
            </w:r>
          </w:p>
        </w:tc>
        <w:tc>
          <w:tcPr>
            <w:tcW w:w="4793" w:type="dxa"/>
          </w:tcPr>
          <w:p w14:paraId="686CFD53" w14:textId="409241FB" w:rsidR="009B0324" w:rsidRPr="004500AE" w:rsidRDefault="009B0324" w:rsidP="009B0324">
            <w:pPr>
              <w:pStyle w:val="Normal11"/>
              <w:cnfStyle w:val="000000100000" w:firstRow="0" w:lastRow="0" w:firstColumn="0" w:lastColumn="0" w:oddVBand="0" w:evenVBand="0" w:oddHBand="1" w:evenHBand="0" w:firstRowFirstColumn="0" w:firstRowLastColumn="0" w:lastRowFirstColumn="0" w:lastRowLastColumn="0"/>
              <w:rPr>
                <w:sz w:val="20"/>
                <w:szCs w:val="20"/>
                <w:lang w:val="pt-PT"/>
              </w:rPr>
            </w:pPr>
            <w:r w:rsidRPr="004500AE">
              <w:rPr>
                <w:sz w:val="20"/>
                <w:szCs w:val="20"/>
                <w:lang w:val="pt-PT"/>
              </w:rPr>
              <w:t xml:space="preserve">Fornece </w:t>
            </w:r>
            <w:r w:rsidR="00292532" w:rsidRPr="00292532">
              <w:rPr>
                <w:sz w:val="20"/>
                <w:szCs w:val="20"/>
                <w:lang w:val="pt-PT"/>
              </w:rPr>
              <w:t>orientações</w:t>
            </w:r>
            <w:r w:rsidRPr="004500AE">
              <w:rPr>
                <w:sz w:val="20"/>
                <w:szCs w:val="20"/>
                <w:lang w:val="pt-PT"/>
              </w:rPr>
              <w:t xml:space="preserve"> gerais para conduzir uma avaliação de riscos e para a prontidão e resposta em emergências. </w:t>
            </w:r>
          </w:p>
        </w:tc>
      </w:tr>
      <w:tr w:rsidR="009B0324" w:rsidRPr="001E4B2C" w14:paraId="647054AD" w14:textId="3B98D746" w:rsidTr="004500AE">
        <w:tc>
          <w:tcPr>
            <w:cnfStyle w:val="001000000000" w:firstRow="0" w:lastRow="0" w:firstColumn="1" w:lastColumn="0" w:oddVBand="0" w:evenVBand="0" w:oddHBand="0" w:evenHBand="0" w:firstRowFirstColumn="0" w:firstRowLastColumn="0" w:lastRowFirstColumn="0" w:lastRowLastColumn="0"/>
            <w:tcW w:w="0" w:type="dxa"/>
          </w:tcPr>
          <w:p w14:paraId="6FCCDB51" w14:textId="153DADBE" w:rsidR="009B0324" w:rsidRPr="004500AE" w:rsidRDefault="009B0324" w:rsidP="009B0324">
            <w:pPr>
              <w:pStyle w:val="Normal11"/>
              <w:rPr>
                <w:sz w:val="20"/>
                <w:szCs w:val="20"/>
                <w:lang w:val="pt-PT"/>
              </w:rPr>
            </w:pPr>
            <w:r w:rsidRPr="004500AE">
              <w:rPr>
                <w:sz w:val="20"/>
                <w:szCs w:val="20"/>
                <w:lang w:val="pt-PT"/>
              </w:rPr>
              <w:t>Anexo 6</w:t>
            </w:r>
          </w:p>
        </w:tc>
        <w:tc>
          <w:tcPr>
            <w:tcW w:w="0" w:type="dxa"/>
          </w:tcPr>
          <w:p w14:paraId="2106A332" w14:textId="18EAF161" w:rsidR="009B0324" w:rsidRPr="004500AE" w:rsidRDefault="009B0324" w:rsidP="009B0324">
            <w:pPr>
              <w:pStyle w:val="Normal11"/>
              <w:cnfStyle w:val="000000000000" w:firstRow="0" w:lastRow="0" w:firstColumn="0" w:lastColumn="0" w:oddVBand="0" w:evenVBand="0" w:oddHBand="0" w:evenHBand="0" w:firstRowFirstColumn="0" w:firstRowLastColumn="0" w:lastRowFirstColumn="0" w:lastRowLastColumn="0"/>
              <w:rPr>
                <w:sz w:val="20"/>
                <w:szCs w:val="20"/>
                <w:lang w:val="pt-PT"/>
              </w:rPr>
            </w:pPr>
            <w:r w:rsidRPr="004500AE">
              <w:rPr>
                <w:sz w:val="20"/>
                <w:szCs w:val="20"/>
                <w:lang w:val="pt-PT"/>
              </w:rPr>
              <w:t>Plano de Saúde e Segurança Comunitária</w:t>
            </w:r>
          </w:p>
        </w:tc>
        <w:tc>
          <w:tcPr>
            <w:tcW w:w="4793" w:type="dxa"/>
          </w:tcPr>
          <w:p w14:paraId="16AF76E1" w14:textId="52325C55" w:rsidR="009B0324" w:rsidRPr="004500AE" w:rsidRDefault="009B0324" w:rsidP="009B0324">
            <w:pPr>
              <w:pStyle w:val="Normal11"/>
              <w:cnfStyle w:val="000000000000" w:firstRow="0" w:lastRow="0" w:firstColumn="0" w:lastColumn="0" w:oddVBand="0" w:evenVBand="0" w:oddHBand="0" w:evenHBand="0" w:firstRowFirstColumn="0" w:firstRowLastColumn="0" w:lastRowFirstColumn="0" w:lastRowLastColumn="0"/>
              <w:rPr>
                <w:sz w:val="20"/>
                <w:szCs w:val="20"/>
                <w:lang w:val="pt-PT"/>
              </w:rPr>
            </w:pPr>
            <w:r w:rsidRPr="004500AE">
              <w:rPr>
                <w:sz w:val="20"/>
                <w:szCs w:val="20"/>
                <w:lang w:val="pt-PT"/>
              </w:rPr>
              <w:t xml:space="preserve">Providencia mecanismos para administrar quaisquer potenciais impactos adversos sobre a </w:t>
            </w:r>
            <w:proofErr w:type="spellStart"/>
            <w:r w:rsidRPr="004500AE">
              <w:rPr>
                <w:sz w:val="20"/>
                <w:szCs w:val="20"/>
                <w:lang w:val="pt-PT"/>
              </w:rPr>
              <w:t>protecção</w:t>
            </w:r>
            <w:proofErr w:type="spellEnd"/>
            <w:r w:rsidRPr="004500AE">
              <w:rPr>
                <w:sz w:val="20"/>
                <w:szCs w:val="20"/>
                <w:lang w:val="pt-PT"/>
              </w:rPr>
              <w:t xml:space="preserve"> e segurança das comunidades </w:t>
            </w:r>
            <w:proofErr w:type="spellStart"/>
            <w:r w:rsidRPr="004500AE">
              <w:rPr>
                <w:sz w:val="20"/>
                <w:szCs w:val="20"/>
                <w:lang w:val="pt-PT"/>
              </w:rPr>
              <w:t>afectadas</w:t>
            </w:r>
            <w:proofErr w:type="spellEnd"/>
            <w:r w:rsidRPr="004500AE">
              <w:rPr>
                <w:sz w:val="20"/>
                <w:szCs w:val="20"/>
                <w:lang w:val="pt-PT"/>
              </w:rPr>
              <w:t xml:space="preserve"> durante a vida do </w:t>
            </w:r>
            <w:proofErr w:type="spellStart"/>
            <w:r w:rsidRPr="004500AE">
              <w:rPr>
                <w:sz w:val="20"/>
                <w:szCs w:val="20"/>
                <w:lang w:val="pt-PT"/>
              </w:rPr>
              <w:t>projecto</w:t>
            </w:r>
            <w:proofErr w:type="spellEnd"/>
            <w:r w:rsidRPr="004500AE">
              <w:rPr>
                <w:sz w:val="20"/>
                <w:szCs w:val="20"/>
                <w:lang w:val="pt-PT"/>
              </w:rPr>
              <w:t xml:space="preserve"> - incluindo eventos de rotina e não rotineiros.</w:t>
            </w:r>
          </w:p>
        </w:tc>
      </w:tr>
      <w:tr w:rsidR="009B0324" w:rsidRPr="001E4B2C" w14:paraId="2DF5ED0F" w14:textId="71F8AC9A" w:rsidTr="004500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446D60DE" w14:textId="2F369DA8" w:rsidR="009B0324" w:rsidRPr="004500AE" w:rsidRDefault="009B0324" w:rsidP="009B0324">
            <w:pPr>
              <w:pStyle w:val="Normal11"/>
              <w:rPr>
                <w:sz w:val="20"/>
                <w:szCs w:val="20"/>
                <w:lang w:val="pt-PT"/>
              </w:rPr>
            </w:pPr>
            <w:r w:rsidRPr="004500AE">
              <w:rPr>
                <w:sz w:val="20"/>
                <w:szCs w:val="20"/>
                <w:lang w:val="pt-PT"/>
              </w:rPr>
              <w:t>Anexo 7</w:t>
            </w:r>
          </w:p>
        </w:tc>
        <w:tc>
          <w:tcPr>
            <w:tcW w:w="0" w:type="dxa"/>
          </w:tcPr>
          <w:p w14:paraId="3329ED54" w14:textId="49933F58" w:rsidR="009B0324" w:rsidRPr="004500AE" w:rsidRDefault="009B0324" w:rsidP="009B0324">
            <w:pPr>
              <w:pStyle w:val="Normal11"/>
              <w:cnfStyle w:val="000000100000" w:firstRow="0" w:lastRow="0" w:firstColumn="0" w:lastColumn="0" w:oddVBand="0" w:evenVBand="0" w:oddHBand="1" w:evenHBand="0" w:firstRowFirstColumn="0" w:firstRowLastColumn="0" w:lastRowFirstColumn="0" w:lastRowLastColumn="0"/>
              <w:rPr>
                <w:sz w:val="20"/>
                <w:szCs w:val="20"/>
                <w:lang w:val="pt-PT"/>
              </w:rPr>
            </w:pPr>
            <w:r w:rsidRPr="004500AE">
              <w:rPr>
                <w:sz w:val="20"/>
                <w:szCs w:val="20"/>
                <w:lang w:val="pt-PT"/>
              </w:rPr>
              <w:t xml:space="preserve">Plano de Gestão e Prevenção da Poluição </w:t>
            </w:r>
          </w:p>
        </w:tc>
        <w:tc>
          <w:tcPr>
            <w:tcW w:w="4793" w:type="dxa"/>
          </w:tcPr>
          <w:p w14:paraId="6A8290B2" w14:textId="754D7DFD" w:rsidR="009B0324" w:rsidRPr="004500AE" w:rsidRDefault="009B0324" w:rsidP="009B0324">
            <w:pPr>
              <w:pStyle w:val="Normal11"/>
              <w:cnfStyle w:val="000000100000" w:firstRow="0" w:lastRow="0" w:firstColumn="0" w:lastColumn="0" w:oddVBand="0" w:evenVBand="0" w:oddHBand="1" w:evenHBand="0" w:firstRowFirstColumn="0" w:firstRowLastColumn="0" w:lastRowFirstColumn="0" w:lastRowLastColumn="0"/>
              <w:rPr>
                <w:sz w:val="20"/>
                <w:szCs w:val="20"/>
                <w:lang w:val="pt-PT"/>
              </w:rPr>
            </w:pPr>
            <w:r w:rsidRPr="004500AE">
              <w:rPr>
                <w:sz w:val="20"/>
                <w:szCs w:val="20"/>
                <w:lang w:val="pt-PT"/>
              </w:rPr>
              <w:t xml:space="preserve">visa fornecer orientações gerais para limitar os impactos potenciais relativos a poluição atmosférica, dos solos e das águas superficiais e subterrâneas. E tem como âmbito a fase de construção do </w:t>
            </w:r>
            <w:proofErr w:type="spellStart"/>
            <w:r w:rsidRPr="004500AE">
              <w:rPr>
                <w:sz w:val="20"/>
                <w:szCs w:val="20"/>
                <w:lang w:val="pt-PT"/>
              </w:rPr>
              <w:t>Projecto</w:t>
            </w:r>
            <w:proofErr w:type="spellEnd"/>
            <w:r w:rsidRPr="004500AE">
              <w:rPr>
                <w:sz w:val="20"/>
                <w:szCs w:val="20"/>
                <w:lang w:val="pt-PT"/>
              </w:rPr>
              <w:t>.</w:t>
            </w:r>
          </w:p>
        </w:tc>
      </w:tr>
      <w:tr w:rsidR="009B0324" w:rsidRPr="001E4B2C" w14:paraId="03138F16" w14:textId="365E7636" w:rsidTr="004500AE">
        <w:tc>
          <w:tcPr>
            <w:cnfStyle w:val="001000000000" w:firstRow="0" w:lastRow="0" w:firstColumn="1" w:lastColumn="0" w:oddVBand="0" w:evenVBand="0" w:oddHBand="0" w:evenHBand="0" w:firstRowFirstColumn="0" w:firstRowLastColumn="0" w:lastRowFirstColumn="0" w:lastRowLastColumn="0"/>
            <w:tcW w:w="0" w:type="dxa"/>
          </w:tcPr>
          <w:p w14:paraId="4E941D9C" w14:textId="4B43E879" w:rsidR="009B0324" w:rsidRPr="004500AE" w:rsidRDefault="009B0324" w:rsidP="009B0324">
            <w:pPr>
              <w:pStyle w:val="Normal11"/>
              <w:rPr>
                <w:sz w:val="20"/>
                <w:szCs w:val="20"/>
                <w:lang w:val="pt-PT"/>
              </w:rPr>
            </w:pPr>
            <w:r w:rsidRPr="004500AE">
              <w:rPr>
                <w:sz w:val="20"/>
                <w:szCs w:val="20"/>
                <w:lang w:val="pt-PT"/>
              </w:rPr>
              <w:t>Anexo 8</w:t>
            </w:r>
          </w:p>
        </w:tc>
        <w:tc>
          <w:tcPr>
            <w:tcW w:w="0" w:type="dxa"/>
          </w:tcPr>
          <w:p w14:paraId="2340B640" w14:textId="025A099D" w:rsidR="009B0324" w:rsidRPr="004500AE" w:rsidRDefault="009B0324" w:rsidP="009B0324">
            <w:pPr>
              <w:pStyle w:val="Normal11"/>
              <w:cnfStyle w:val="000000000000" w:firstRow="0" w:lastRow="0" w:firstColumn="0" w:lastColumn="0" w:oddVBand="0" w:evenVBand="0" w:oddHBand="0" w:evenHBand="0" w:firstRowFirstColumn="0" w:firstRowLastColumn="0" w:lastRowFirstColumn="0" w:lastRowLastColumn="0"/>
              <w:rPr>
                <w:sz w:val="20"/>
                <w:szCs w:val="20"/>
                <w:lang w:val="pt-PT"/>
              </w:rPr>
            </w:pPr>
            <w:r w:rsidRPr="004500AE">
              <w:rPr>
                <w:sz w:val="20"/>
                <w:szCs w:val="20"/>
                <w:lang w:val="pt-PT"/>
              </w:rPr>
              <w:t xml:space="preserve">Procedimentos de Gestão de Património Cultural </w:t>
            </w:r>
          </w:p>
        </w:tc>
        <w:tc>
          <w:tcPr>
            <w:tcW w:w="4793" w:type="dxa"/>
          </w:tcPr>
          <w:p w14:paraId="049C8128" w14:textId="67DB5636" w:rsidR="009B0324" w:rsidRPr="004500AE" w:rsidRDefault="009B0324" w:rsidP="009B0324">
            <w:pPr>
              <w:pStyle w:val="Normal11"/>
              <w:cnfStyle w:val="000000000000" w:firstRow="0" w:lastRow="0" w:firstColumn="0" w:lastColumn="0" w:oddVBand="0" w:evenVBand="0" w:oddHBand="0" w:evenHBand="0" w:firstRowFirstColumn="0" w:firstRowLastColumn="0" w:lastRowFirstColumn="0" w:lastRowLastColumn="0"/>
              <w:rPr>
                <w:sz w:val="20"/>
                <w:szCs w:val="20"/>
                <w:lang w:val="pt-PT"/>
              </w:rPr>
            </w:pPr>
            <w:r w:rsidRPr="004500AE">
              <w:rPr>
                <w:sz w:val="20"/>
                <w:szCs w:val="20"/>
                <w:lang w:val="pt-PT"/>
              </w:rPr>
              <w:t xml:space="preserve">Providencia orientações gerais e requisitos mínimos a serem cumpridos pelos empreiteiros e subempreiteiros com o </w:t>
            </w:r>
            <w:proofErr w:type="spellStart"/>
            <w:r w:rsidRPr="004500AE">
              <w:rPr>
                <w:sz w:val="20"/>
                <w:szCs w:val="20"/>
                <w:lang w:val="pt-PT"/>
              </w:rPr>
              <w:t>objectivo</w:t>
            </w:r>
            <w:proofErr w:type="spellEnd"/>
            <w:r w:rsidRPr="004500AE">
              <w:rPr>
                <w:sz w:val="20"/>
                <w:szCs w:val="20"/>
                <w:lang w:val="pt-PT"/>
              </w:rPr>
              <w:t xml:space="preserve"> de mitigar os potenciais riscos e impactos ambientais do </w:t>
            </w:r>
            <w:proofErr w:type="spellStart"/>
            <w:r w:rsidRPr="004500AE">
              <w:rPr>
                <w:sz w:val="20"/>
                <w:szCs w:val="20"/>
                <w:lang w:val="pt-PT"/>
              </w:rPr>
              <w:t>Projecto</w:t>
            </w:r>
            <w:proofErr w:type="spellEnd"/>
            <w:r w:rsidRPr="004500AE">
              <w:rPr>
                <w:sz w:val="20"/>
                <w:szCs w:val="20"/>
                <w:lang w:val="pt-PT"/>
              </w:rPr>
              <w:t xml:space="preserve"> no património cultural, apoiar a preservação dos bens culturais e arqueológicos através da comunicação de achados fortuitos e devolução ao Estado moçambicano e promover o engajamento com as partes interessadas sobre as questões relacionadas com a preservação do património cultural.</w:t>
            </w:r>
          </w:p>
        </w:tc>
      </w:tr>
      <w:tr w:rsidR="009B0324" w:rsidRPr="001E4B2C" w14:paraId="1D292D00" w14:textId="048F0FC4" w:rsidTr="004500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2064F145" w14:textId="746F7253" w:rsidR="009B0324" w:rsidRPr="004500AE" w:rsidRDefault="009B0324" w:rsidP="009B0324">
            <w:pPr>
              <w:pStyle w:val="Normal11"/>
              <w:rPr>
                <w:sz w:val="20"/>
                <w:szCs w:val="20"/>
                <w:lang w:val="pt-PT"/>
              </w:rPr>
            </w:pPr>
            <w:r w:rsidRPr="004500AE">
              <w:rPr>
                <w:sz w:val="20"/>
                <w:szCs w:val="20"/>
                <w:lang w:val="pt-PT"/>
              </w:rPr>
              <w:t>Anexo 9</w:t>
            </w:r>
          </w:p>
        </w:tc>
        <w:tc>
          <w:tcPr>
            <w:tcW w:w="0" w:type="dxa"/>
          </w:tcPr>
          <w:p w14:paraId="5B88B956" w14:textId="5DC14101" w:rsidR="009B0324" w:rsidRPr="004500AE" w:rsidRDefault="009B0324" w:rsidP="009B0324">
            <w:pPr>
              <w:pStyle w:val="Normal11"/>
              <w:cnfStyle w:val="000000100000" w:firstRow="0" w:lastRow="0" w:firstColumn="0" w:lastColumn="0" w:oddVBand="0" w:evenVBand="0" w:oddHBand="1" w:evenHBand="0" w:firstRowFirstColumn="0" w:firstRowLastColumn="0" w:lastRowFirstColumn="0" w:lastRowLastColumn="0"/>
              <w:rPr>
                <w:sz w:val="20"/>
                <w:szCs w:val="20"/>
                <w:lang w:val="pt-PT"/>
              </w:rPr>
            </w:pPr>
            <w:r w:rsidRPr="004500AE">
              <w:rPr>
                <w:sz w:val="20"/>
                <w:szCs w:val="20"/>
                <w:lang w:val="pt-PT"/>
              </w:rPr>
              <w:t xml:space="preserve">Plano de Gestão de Mão-de-Obra e de Gestão de Saúde e Segurança Ocupacional </w:t>
            </w:r>
          </w:p>
        </w:tc>
        <w:tc>
          <w:tcPr>
            <w:tcW w:w="4793" w:type="dxa"/>
          </w:tcPr>
          <w:p w14:paraId="273AFDD9" w14:textId="0B195FF2" w:rsidR="009B0324" w:rsidRPr="004500AE" w:rsidRDefault="009B0324" w:rsidP="009B0324">
            <w:pPr>
              <w:pStyle w:val="Normal11"/>
              <w:cnfStyle w:val="000000100000" w:firstRow="0" w:lastRow="0" w:firstColumn="0" w:lastColumn="0" w:oddVBand="0" w:evenVBand="0" w:oddHBand="1" w:evenHBand="0" w:firstRowFirstColumn="0" w:firstRowLastColumn="0" w:lastRowFirstColumn="0" w:lastRowLastColumn="0"/>
              <w:rPr>
                <w:sz w:val="20"/>
                <w:szCs w:val="20"/>
                <w:lang w:val="pt-PT"/>
              </w:rPr>
            </w:pPr>
            <w:r w:rsidRPr="004500AE">
              <w:rPr>
                <w:sz w:val="20"/>
                <w:szCs w:val="20"/>
                <w:lang w:val="pt-PT"/>
              </w:rPr>
              <w:t xml:space="preserve">Visa limitar os riscos de ocorrência de acidentes e garantir a </w:t>
            </w:r>
            <w:proofErr w:type="spellStart"/>
            <w:r w:rsidRPr="004500AE">
              <w:rPr>
                <w:sz w:val="20"/>
                <w:szCs w:val="20"/>
                <w:lang w:val="pt-PT"/>
              </w:rPr>
              <w:t>protecção</w:t>
            </w:r>
            <w:proofErr w:type="spellEnd"/>
            <w:r w:rsidRPr="004500AE">
              <w:rPr>
                <w:sz w:val="20"/>
                <w:szCs w:val="20"/>
                <w:lang w:val="pt-PT"/>
              </w:rPr>
              <w:t xml:space="preserve"> da saúde e o bem-estar dos trabalhadores e da comunidade através da </w:t>
            </w:r>
            <w:r w:rsidR="00292532" w:rsidRPr="00292532">
              <w:rPr>
                <w:sz w:val="20"/>
                <w:szCs w:val="20"/>
                <w:lang w:val="pt-PT"/>
              </w:rPr>
              <w:t>delineação</w:t>
            </w:r>
            <w:r w:rsidRPr="004500AE">
              <w:rPr>
                <w:sz w:val="20"/>
                <w:szCs w:val="20"/>
                <w:lang w:val="pt-PT"/>
              </w:rPr>
              <w:t xml:space="preserve"> de </w:t>
            </w:r>
            <w:proofErr w:type="spellStart"/>
            <w:r w:rsidRPr="004500AE">
              <w:rPr>
                <w:sz w:val="20"/>
                <w:szCs w:val="20"/>
                <w:lang w:val="pt-PT"/>
              </w:rPr>
              <w:t>directrizes</w:t>
            </w:r>
            <w:proofErr w:type="spellEnd"/>
            <w:r w:rsidRPr="004500AE">
              <w:rPr>
                <w:sz w:val="20"/>
                <w:szCs w:val="20"/>
                <w:lang w:val="pt-PT"/>
              </w:rPr>
              <w:t xml:space="preserve"> para a </w:t>
            </w:r>
            <w:r w:rsidR="00292532" w:rsidRPr="00292532">
              <w:rPr>
                <w:sz w:val="20"/>
                <w:szCs w:val="20"/>
                <w:lang w:val="pt-PT"/>
              </w:rPr>
              <w:t>gestão</w:t>
            </w:r>
            <w:r w:rsidRPr="004500AE">
              <w:rPr>
                <w:sz w:val="20"/>
                <w:szCs w:val="20"/>
                <w:lang w:val="pt-PT"/>
              </w:rPr>
              <w:t xml:space="preserve"> de empresas contractadas, da </w:t>
            </w:r>
            <w:r w:rsidR="00292532" w:rsidRPr="00292532">
              <w:rPr>
                <w:sz w:val="20"/>
                <w:szCs w:val="20"/>
                <w:lang w:val="pt-PT"/>
              </w:rPr>
              <w:t>mão</w:t>
            </w:r>
            <w:r w:rsidRPr="004500AE">
              <w:rPr>
                <w:sz w:val="20"/>
                <w:szCs w:val="20"/>
                <w:lang w:val="pt-PT"/>
              </w:rPr>
              <w:t xml:space="preserve">-de-obra e dos </w:t>
            </w:r>
            <w:proofErr w:type="spellStart"/>
            <w:r w:rsidRPr="004500AE">
              <w:rPr>
                <w:sz w:val="20"/>
                <w:szCs w:val="20"/>
                <w:lang w:val="pt-PT"/>
              </w:rPr>
              <w:t>aspectos</w:t>
            </w:r>
            <w:proofErr w:type="spellEnd"/>
            <w:r w:rsidRPr="004500AE">
              <w:rPr>
                <w:sz w:val="20"/>
                <w:szCs w:val="20"/>
                <w:lang w:val="pt-PT"/>
              </w:rPr>
              <w:t xml:space="preserve"> de aúde e segurança ocupacional. Este plano define um mecanismo de </w:t>
            </w:r>
            <w:r w:rsidR="00292532" w:rsidRPr="00292532">
              <w:rPr>
                <w:sz w:val="20"/>
                <w:szCs w:val="20"/>
                <w:lang w:val="pt-PT"/>
              </w:rPr>
              <w:t>gestão</w:t>
            </w:r>
            <w:r w:rsidRPr="004500AE">
              <w:rPr>
                <w:sz w:val="20"/>
                <w:szCs w:val="20"/>
                <w:lang w:val="pt-PT"/>
              </w:rPr>
              <w:t xml:space="preserve"> de </w:t>
            </w:r>
            <w:r w:rsidR="00292532" w:rsidRPr="00292532">
              <w:rPr>
                <w:sz w:val="20"/>
                <w:szCs w:val="20"/>
                <w:lang w:val="pt-PT"/>
              </w:rPr>
              <w:t>reclamações</w:t>
            </w:r>
            <w:r w:rsidRPr="004500AE">
              <w:rPr>
                <w:sz w:val="20"/>
                <w:szCs w:val="20"/>
                <w:lang w:val="pt-PT"/>
              </w:rPr>
              <w:t xml:space="preserve"> dos trabalhadores e procedimentos de resposta a </w:t>
            </w:r>
            <w:r w:rsidR="00292532" w:rsidRPr="00292532">
              <w:rPr>
                <w:sz w:val="20"/>
                <w:szCs w:val="20"/>
                <w:lang w:val="pt-PT"/>
              </w:rPr>
              <w:t>emergências</w:t>
            </w:r>
            <w:r w:rsidRPr="004500AE">
              <w:rPr>
                <w:sz w:val="20"/>
                <w:szCs w:val="20"/>
                <w:lang w:val="pt-PT"/>
              </w:rPr>
              <w:t xml:space="preserve"> (complementares ao Anexo 5). </w:t>
            </w:r>
            <w:r w:rsidR="00292532" w:rsidRPr="00292532">
              <w:rPr>
                <w:sz w:val="20"/>
                <w:szCs w:val="20"/>
                <w:lang w:val="pt-PT"/>
              </w:rPr>
              <w:t>São</w:t>
            </w:r>
            <w:r w:rsidRPr="004500AE">
              <w:rPr>
                <w:sz w:val="20"/>
                <w:szCs w:val="20"/>
                <w:lang w:val="pt-PT"/>
              </w:rPr>
              <w:t xml:space="preserve"> definidos no </w:t>
            </w:r>
            <w:r w:rsidR="00292532" w:rsidRPr="00292532">
              <w:rPr>
                <w:sz w:val="20"/>
                <w:szCs w:val="20"/>
                <w:lang w:val="pt-PT"/>
              </w:rPr>
              <w:t>Plano, códigos</w:t>
            </w:r>
            <w:r w:rsidRPr="004500AE">
              <w:rPr>
                <w:sz w:val="20"/>
                <w:szCs w:val="20"/>
                <w:lang w:val="pt-PT"/>
              </w:rPr>
              <w:t xml:space="preserve"> de conduta para gestores e individuais.</w:t>
            </w:r>
          </w:p>
        </w:tc>
      </w:tr>
      <w:tr w:rsidR="009B0324" w:rsidRPr="001E4B2C" w14:paraId="3EB286C2" w14:textId="1C4A6CD5" w:rsidTr="004500AE">
        <w:tc>
          <w:tcPr>
            <w:cnfStyle w:val="001000000000" w:firstRow="0" w:lastRow="0" w:firstColumn="1" w:lastColumn="0" w:oddVBand="0" w:evenVBand="0" w:oddHBand="0" w:evenHBand="0" w:firstRowFirstColumn="0" w:firstRowLastColumn="0" w:lastRowFirstColumn="0" w:lastRowLastColumn="0"/>
            <w:tcW w:w="0" w:type="dxa"/>
          </w:tcPr>
          <w:p w14:paraId="4FB01132" w14:textId="71E1C4B0" w:rsidR="009B0324" w:rsidRPr="004500AE" w:rsidRDefault="009B0324" w:rsidP="009B0324">
            <w:pPr>
              <w:pStyle w:val="Normal11"/>
              <w:rPr>
                <w:sz w:val="20"/>
                <w:szCs w:val="20"/>
                <w:lang w:val="pt-PT"/>
              </w:rPr>
            </w:pPr>
            <w:r w:rsidRPr="004500AE">
              <w:rPr>
                <w:sz w:val="20"/>
                <w:szCs w:val="20"/>
                <w:lang w:val="pt-PT"/>
              </w:rPr>
              <w:t>Anexo 10</w:t>
            </w:r>
          </w:p>
        </w:tc>
        <w:tc>
          <w:tcPr>
            <w:tcW w:w="0" w:type="dxa"/>
          </w:tcPr>
          <w:p w14:paraId="30908DD9" w14:textId="679B9EE0" w:rsidR="009B0324" w:rsidRPr="004500AE" w:rsidRDefault="009B0324" w:rsidP="009B0324">
            <w:pPr>
              <w:pStyle w:val="Normal11"/>
              <w:cnfStyle w:val="000000000000" w:firstRow="0" w:lastRow="0" w:firstColumn="0" w:lastColumn="0" w:oddVBand="0" w:evenVBand="0" w:oddHBand="0" w:evenHBand="0" w:firstRowFirstColumn="0" w:firstRowLastColumn="0" w:lastRowFirstColumn="0" w:lastRowLastColumn="0"/>
              <w:rPr>
                <w:sz w:val="20"/>
                <w:szCs w:val="20"/>
                <w:lang w:val="pt-PT"/>
              </w:rPr>
            </w:pPr>
            <w:proofErr w:type="spellStart"/>
            <w:r w:rsidRPr="004500AE">
              <w:rPr>
                <w:sz w:val="20"/>
                <w:szCs w:val="20"/>
                <w:lang w:val="pt-PT"/>
              </w:rPr>
              <w:t>Directrizes</w:t>
            </w:r>
            <w:proofErr w:type="spellEnd"/>
            <w:r w:rsidRPr="004500AE">
              <w:rPr>
                <w:sz w:val="20"/>
                <w:szCs w:val="20"/>
                <w:lang w:val="pt-PT"/>
              </w:rPr>
              <w:t xml:space="preserve"> de Gestão do Tráfego Rodoviário</w:t>
            </w:r>
          </w:p>
        </w:tc>
        <w:tc>
          <w:tcPr>
            <w:tcW w:w="4793" w:type="dxa"/>
          </w:tcPr>
          <w:p w14:paraId="349E79C7" w14:textId="5E5F8B8B" w:rsidR="009B0324" w:rsidRPr="004500AE" w:rsidRDefault="00292532" w:rsidP="009B0324">
            <w:pPr>
              <w:pStyle w:val="Normal11"/>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Propõe</w:t>
            </w:r>
            <w:r w:rsidR="009B0324" w:rsidRPr="004500AE">
              <w:rPr>
                <w:sz w:val="20"/>
                <w:szCs w:val="20"/>
                <w:lang w:val="pt-PT"/>
              </w:rPr>
              <w:t xml:space="preserve"> estratégias e </w:t>
            </w:r>
            <w:r w:rsidRPr="00292532">
              <w:rPr>
                <w:sz w:val="20"/>
                <w:szCs w:val="20"/>
                <w:lang w:val="pt-PT"/>
              </w:rPr>
              <w:t>mitigação</w:t>
            </w:r>
            <w:r w:rsidR="009B0324" w:rsidRPr="004500AE">
              <w:rPr>
                <w:sz w:val="20"/>
                <w:szCs w:val="20"/>
                <w:lang w:val="pt-PT"/>
              </w:rPr>
              <w:t xml:space="preserve"> de potenciais riscos e perigos rodoviários, </w:t>
            </w:r>
            <w:proofErr w:type="spellStart"/>
            <w:r w:rsidR="009B0324" w:rsidRPr="004500AE">
              <w:rPr>
                <w:sz w:val="20"/>
                <w:szCs w:val="20"/>
                <w:lang w:val="pt-PT"/>
              </w:rPr>
              <w:t>directrizes</w:t>
            </w:r>
            <w:proofErr w:type="spellEnd"/>
            <w:r w:rsidR="009B0324" w:rsidRPr="004500AE">
              <w:rPr>
                <w:sz w:val="20"/>
                <w:szCs w:val="20"/>
                <w:lang w:val="pt-PT"/>
              </w:rPr>
              <w:t xml:space="preserve"> para planeamento de viagens e procedimentos a seguir em caso de </w:t>
            </w:r>
            <w:r w:rsidRPr="00292532">
              <w:rPr>
                <w:sz w:val="20"/>
                <w:szCs w:val="20"/>
                <w:lang w:val="pt-PT"/>
              </w:rPr>
              <w:t>ocorrência</w:t>
            </w:r>
            <w:r w:rsidR="009B0324" w:rsidRPr="004500AE">
              <w:rPr>
                <w:sz w:val="20"/>
                <w:szCs w:val="20"/>
                <w:lang w:val="pt-PT"/>
              </w:rPr>
              <w:t xml:space="preserve"> de acidentes rodoviários.</w:t>
            </w:r>
          </w:p>
        </w:tc>
      </w:tr>
      <w:tr w:rsidR="009B0324" w:rsidRPr="001E4B2C" w14:paraId="77166791" w14:textId="58B3B631" w:rsidTr="004500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61E8948B" w14:textId="437E422E" w:rsidR="009B0324" w:rsidRPr="004500AE" w:rsidRDefault="009B0324" w:rsidP="009B0324">
            <w:pPr>
              <w:pStyle w:val="Normal11"/>
              <w:rPr>
                <w:sz w:val="20"/>
                <w:szCs w:val="20"/>
                <w:lang w:val="pt-PT"/>
              </w:rPr>
            </w:pPr>
            <w:r w:rsidRPr="004500AE">
              <w:rPr>
                <w:sz w:val="20"/>
                <w:szCs w:val="20"/>
                <w:lang w:val="pt-PT"/>
              </w:rPr>
              <w:t>Anexo 11</w:t>
            </w:r>
          </w:p>
        </w:tc>
        <w:tc>
          <w:tcPr>
            <w:tcW w:w="0" w:type="dxa"/>
          </w:tcPr>
          <w:p w14:paraId="3297910F" w14:textId="6BA89E1A" w:rsidR="009B0324" w:rsidRPr="004500AE" w:rsidRDefault="009B0324" w:rsidP="009B0324">
            <w:pPr>
              <w:pStyle w:val="Normal11"/>
              <w:cnfStyle w:val="000000100000" w:firstRow="0" w:lastRow="0" w:firstColumn="0" w:lastColumn="0" w:oddVBand="0" w:evenVBand="0" w:oddHBand="1" w:evenHBand="0" w:firstRowFirstColumn="0" w:firstRowLastColumn="0" w:lastRowFirstColumn="0" w:lastRowLastColumn="0"/>
              <w:rPr>
                <w:sz w:val="20"/>
                <w:szCs w:val="20"/>
                <w:lang w:val="pt-PT"/>
              </w:rPr>
            </w:pPr>
            <w:r w:rsidRPr="004500AE">
              <w:rPr>
                <w:sz w:val="20"/>
                <w:szCs w:val="20"/>
                <w:lang w:val="pt-PT"/>
              </w:rPr>
              <w:t>Plano de Contingência da COVID-19</w:t>
            </w:r>
          </w:p>
        </w:tc>
        <w:tc>
          <w:tcPr>
            <w:tcW w:w="4793" w:type="dxa"/>
          </w:tcPr>
          <w:p w14:paraId="7BA4A9E3" w14:textId="5F65A0A5" w:rsidR="009B0324" w:rsidRPr="004500AE" w:rsidRDefault="009B0324" w:rsidP="009B0324">
            <w:pPr>
              <w:pStyle w:val="Normal11"/>
              <w:cnfStyle w:val="000000100000" w:firstRow="0" w:lastRow="0" w:firstColumn="0" w:lastColumn="0" w:oddVBand="0" w:evenVBand="0" w:oddHBand="1" w:evenHBand="0" w:firstRowFirstColumn="0" w:firstRowLastColumn="0" w:lastRowFirstColumn="0" w:lastRowLastColumn="0"/>
              <w:rPr>
                <w:sz w:val="20"/>
                <w:szCs w:val="20"/>
                <w:lang w:val="pt-PT"/>
              </w:rPr>
            </w:pPr>
            <w:r w:rsidRPr="004500AE">
              <w:rPr>
                <w:sz w:val="20"/>
                <w:szCs w:val="20"/>
                <w:lang w:val="pt-PT"/>
              </w:rPr>
              <w:t xml:space="preserve">Visa orientar as entidades que desenvolvem </w:t>
            </w:r>
            <w:proofErr w:type="spellStart"/>
            <w:r w:rsidRPr="004500AE">
              <w:rPr>
                <w:sz w:val="20"/>
                <w:szCs w:val="20"/>
                <w:lang w:val="pt-PT"/>
              </w:rPr>
              <w:t>actividades</w:t>
            </w:r>
            <w:proofErr w:type="spellEnd"/>
            <w:r w:rsidRPr="004500AE">
              <w:rPr>
                <w:sz w:val="20"/>
                <w:szCs w:val="20"/>
                <w:lang w:val="pt-PT"/>
              </w:rPr>
              <w:t xml:space="preserve"> no âmbito do </w:t>
            </w:r>
            <w:proofErr w:type="spellStart"/>
            <w:r w:rsidRPr="004500AE">
              <w:rPr>
                <w:sz w:val="20"/>
                <w:szCs w:val="20"/>
                <w:lang w:val="pt-PT"/>
              </w:rPr>
              <w:t>projecto</w:t>
            </w:r>
            <w:proofErr w:type="spellEnd"/>
            <w:r w:rsidRPr="004500AE">
              <w:rPr>
                <w:sz w:val="20"/>
                <w:szCs w:val="20"/>
                <w:lang w:val="pt-PT"/>
              </w:rPr>
              <w:t xml:space="preserve"> á </w:t>
            </w:r>
            <w:r w:rsidR="00292532" w:rsidRPr="00292532">
              <w:rPr>
                <w:sz w:val="20"/>
                <w:szCs w:val="20"/>
                <w:lang w:val="pt-PT"/>
              </w:rPr>
              <w:t>adotarem</w:t>
            </w:r>
            <w:r w:rsidRPr="004500AE">
              <w:rPr>
                <w:sz w:val="20"/>
                <w:szCs w:val="20"/>
                <w:lang w:val="pt-PT"/>
              </w:rPr>
              <w:t xml:space="preserve"> medidas preventivas da propagação da COVID-19, estabelecendo </w:t>
            </w:r>
            <w:proofErr w:type="spellStart"/>
            <w:r w:rsidRPr="004500AE">
              <w:rPr>
                <w:sz w:val="20"/>
                <w:szCs w:val="20"/>
                <w:lang w:val="pt-PT"/>
              </w:rPr>
              <w:t>directrizes</w:t>
            </w:r>
            <w:proofErr w:type="spellEnd"/>
            <w:r w:rsidRPr="004500AE">
              <w:rPr>
                <w:sz w:val="20"/>
                <w:szCs w:val="20"/>
                <w:lang w:val="pt-PT"/>
              </w:rPr>
              <w:t xml:space="preserve"> de prevenção da propagação e de resposta/</w:t>
            </w:r>
            <w:proofErr w:type="spellStart"/>
            <w:r w:rsidRPr="004500AE">
              <w:rPr>
                <w:sz w:val="20"/>
                <w:szCs w:val="20"/>
                <w:lang w:val="pt-PT"/>
              </w:rPr>
              <w:t>actuação</w:t>
            </w:r>
            <w:proofErr w:type="spellEnd"/>
            <w:r w:rsidRPr="004500AE">
              <w:rPr>
                <w:sz w:val="20"/>
                <w:szCs w:val="20"/>
                <w:lang w:val="pt-PT"/>
              </w:rPr>
              <w:t xml:space="preserve"> no contexto da COVID-19, por forma a salvaguardar a saúde dos trabalhadores do </w:t>
            </w:r>
            <w:proofErr w:type="spellStart"/>
            <w:r w:rsidRPr="004500AE">
              <w:rPr>
                <w:sz w:val="20"/>
                <w:szCs w:val="20"/>
                <w:lang w:val="pt-PT"/>
              </w:rPr>
              <w:t>projecto</w:t>
            </w:r>
            <w:proofErr w:type="spellEnd"/>
            <w:r w:rsidRPr="004500AE">
              <w:rPr>
                <w:sz w:val="20"/>
                <w:szCs w:val="20"/>
                <w:lang w:val="pt-PT"/>
              </w:rPr>
              <w:t>.</w:t>
            </w:r>
          </w:p>
        </w:tc>
      </w:tr>
      <w:tr w:rsidR="009B0324" w:rsidRPr="001E4B2C" w14:paraId="21CF5ED0" w14:textId="0E6F8A49" w:rsidTr="004500AE">
        <w:tc>
          <w:tcPr>
            <w:cnfStyle w:val="001000000000" w:firstRow="0" w:lastRow="0" w:firstColumn="1" w:lastColumn="0" w:oddVBand="0" w:evenVBand="0" w:oddHBand="0" w:evenHBand="0" w:firstRowFirstColumn="0" w:firstRowLastColumn="0" w:lastRowFirstColumn="0" w:lastRowLastColumn="0"/>
            <w:tcW w:w="0" w:type="dxa"/>
          </w:tcPr>
          <w:p w14:paraId="2EEFA0C4" w14:textId="4E69C73F" w:rsidR="009B0324" w:rsidRPr="004500AE" w:rsidRDefault="009B0324" w:rsidP="009B0324">
            <w:pPr>
              <w:pStyle w:val="Normal11"/>
              <w:rPr>
                <w:sz w:val="20"/>
                <w:szCs w:val="20"/>
                <w:lang w:val="pt-PT"/>
              </w:rPr>
            </w:pPr>
            <w:r w:rsidRPr="004500AE">
              <w:rPr>
                <w:sz w:val="20"/>
                <w:szCs w:val="20"/>
                <w:lang w:val="pt-PT"/>
              </w:rPr>
              <w:t>Anexo 12</w:t>
            </w:r>
          </w:p>
        </w:tc>
        <w:tc>
          <w:tcPr>
            <w:tcW w:w="0" w:type="dxa"/>
          </w:tcPr>
          <w:p w14:paraId="39F75C44" w14:textId="7271EDC7" w:rsidR="009B0324" w:rsidRPr="004500AE" w:rsidRDefault="009B0324" w:rsidP="009B0324">
            <w:pPr>
              <w:pStyle w:val="Normal11"/>
              <w:cnfStyle w:val="000000000000" w:firstRow="0" w:lastRow="0" w:firstColumn="0" w:lastColumn="0" w:oddVBand="0" w:evenVBand="0" w:oddHBand="0" w:evenHBand="0" w:firstRowFirstColumn="0" w:firstRowLastColumn="0" w:lastRowFirstColumn="0" w:lastRowLastColumn="0"/>
              <w:rPr>
                <w:sz w:val="20"/>
                <w:szCs w:val="20"/>
                <w:lang w:val="pt-PT"/>
              </w:rPr>
            </w:pPr>
            <w:r w:rsidRPr="004500AE">
              <w:rPr>
                <w:sz w:val="20"/>
                <w:szCs w:val="20"/>
                <w:lang w:val="pt-PT"/>
              </w:rPr>
              <w:t xml:space="preserve">Avaliação de Risco e Plano de </w:t>
            </w:r>
            <w:proofErr w:type="spellStart"/>
            <w:r w:rsidRPr="004500AE">
              <w:rPr>
                <w:sz w:val="20"/>
                <w:szCs w:val="20"/>
                <w:lang w:val="pt-PT"/>
              </w:rPr>
              <w:t>Acç</w:t>
            </w:r>
            <w:r w:rsidR="00292532">
              <w:rPr>
                <w:sz w:val="20"/>
                <w:szCs w:val="20"/>
                <w:lang w:val="pt-PT"/>
              </w:rPr>
              <w:t>ã</w:t>
            </w:r>
            <w:r w:rsidRPr="004500AE">
              <w:rPr>
                <w:sz w:val="20"/>
                <w:szCs w:val="20"/>
                <w:lang w:val="pt-PT"/>
              </w:rPr>
              <w:t>o</w:t>
            </w:r>
            <w:proofErr w:type="spellEnd"/>
            <w:r w:rsidRPr="004500AE">
              <w:rPr>
                <w:sz w:val="20"/>
                <w:szCs w:val="20"/>
                <w:lang w:val="pt-PT"/>
              </w:rPr>
              <w:t xml:space="preserve"> de Violência Baseada no Género</w:t>
            </w:r>
          </w:p>
        </w:tc>
        <w:tc>
          <w:tcPr>
            <w:tcW w:w="4793" w:type="dxa"/>
          </w:tcPr>
          <w:p w14:paraId="619B671B" w14:textId="38A1C621" w:rsidR="009B0324" w:rsidRPr="004500AE" w:rsidRDefault="009B0324" w:rsidP="009B0324">
            <w:pPr>
              <w:pStyle w:val="Normal11"/>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Contem um Plano de </w:t>
            </w:r>
            <w:proofErr w:type="spellStart"/>
            <w:r w:rsidRPr="00292532">
              <w:rPr>
                <w:sz w:val="20"/>
                <w:szCs w:val="20"/>
                <w:lang w:val="pt-PT"/>
              </w:rPr>
              <w:t>Acção</w:t>
            </w:r>
            <w:proofErr w:type="spellEnd"/>
            <w:r w:rsidRPr="00292532">
              <w:rPr>
                <w:sz w:val="20"/>
                <w:szCs w:val="20"/>
                <w:lang w:val="pt-PT"/>
              </w:rPr>
              <w:t xml:space="preserve"> com recomendações para mitigar os riscos de VBG identificados. Prop</w:t>
            </w:r>
            <w:r w:rsidR="00292532">
              <w:rPr>
                <w:sz w:val="20"/>
                <w:szCs w:val="20"/>
                <w:lang w:val="pt-PT"/>
              </w:rPr>
              <w:t>õe</w:t>
            </w:r>
            <w:r w:rsidRPr="00292532">
              <w:rPr>
                <w:sz w:val="20"/>
                <w:szCs w:val="20"/>
                <w:lang w:val="pt-PT"/>
              </w:rPr>
              <w:t xml:space="preserve"> as </w:t>
            </w:r>
            <w:proofErr w:type="spellStart"/>
            <w:r w:rsidRPr="00292532">
              <w:rPr>
                <w:sz w:val="20"/>
                <w:szCs w:val="20"/>
                <w:lang w:val="pt-PT"/>
              </w:rPr>
              <w:t>directrizes</w:t>
            </w:r>
            <w:proofErr w:type="spellEnd"/>
            <w:r w:rsidRPr="00292532">
              <w:rPr>
                <w:sz w:val="20"/>
                <w:szCs w:val="20"/>
                <w:lang w:val="pt-PT"/>
              </w:rPr>
              <w:t xml:space="preserve"> para um mecanismo de gestão de reclamações que enderece questões de Violência Baseada no Género (VBG), incluindo Exploração e Abuso Sexual (EAS), Assédio Sexual (AS), Uniões Prematuras, Trabalho Infantil, Trabalho Forçado, </w:t>
            </w:r>
            <w:proofErr w:type="spellStart"/>
            <w:r w:rsidRPr="00292532">
              <w:rPr>
                <w:sz w:val="20"/>
                <w:szCs w:val="20"/>
                <w:lang w:val="pt-PT"/>
              </w:rPr>
              <w:t>etc</w:t>
            </w:r>
            <w:proofErr w:type="spellEnd"/>
          </w:p>
        </w:tc>
      </w:tr>
      <w:tr w:rsidR="009B0324" w:rsidRPr="001E4B2C" w14:paraId="01FF7A00" w14:textId="1BA9CB35" w:rsidTr="004500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31CA2F60" w14:textId="77777777" w:rsidR="009B0324" w:rsidRPr="004500AE" w:rsidRDefault="009B0324" w:rsidP="004C5198">
            <w:pPr>
              <w:pStyle w:val="Normal11"/>
              <w:rPr>
                <w:sz w:val="20"/>
                <w:szCs w:val="20"/>
                <w:lang w:val="pt-PT"/>
              </w:rPr>
            </w:pPr>
          </w:p>
        </w:tc>
        <w:tc>
          <w:tcPr>
            <w:tcW w:w="0" w:type="dxa"/>
          </w:tcPr>
          <w:p w14:paraId="34883351" w14:textId="4C8A5338" w:rsidR="009B0324" w:rsidRPr="004500AE" w:rsidRDefault="009B0324" w:rsidP="009B0324">
            <w:pPr>
              <w:pStyle w:val="Normal11"/>
              <w:cnfStyle w:val="000000100000" w:firstRow="0" w:lastRow="0" w:firstColumn="0" w:lastColumn="0" w:oddVBand="0" w:evenVBand="0" w:oddHBand="1" w:evenHBand="0" w:firstRowFirstColumn="0" w:firstRowLastColumn="0" w:lastRowFirstColumn="0" w:lastRowLastColumn="0"/>
              <w:rPr>
                <w:sz w:val="20"/>
                <w:szCs w:val="20"/>
                <w:lang w:val="pt-PT"/>
              </w:rPr>
            </w:pPr>
          </w:p>
        </w:tc>
        <w:tc>
          <w:tcPr>
            <w:tcW w:w="4793" w:type="dxa"/>
          </w:tcPr>
          <w:p w14:paraId="6825822A" w14:textId="77777777" w:rsidR="009B0324" w:rsidRPr="004500AE" w:rsidRDefault="009B0324" w:rsidP="004C5198">
            <w:pPr>
              <w:pStyle w:val="Normal11"/>
              <w:cnfStyle w:val="000000100000" w:firstRow="0" w:lastRow="0" w:firstColumn="0" w:lastColumn="0" w:oddVBand="0" w:evenVBand="0" w:oddHBand="1" w:evenHBand="0" w:firstRowFirstColumn="0" w:firstRowLastColumn="0" w:lastRowFirstColumn="0" w:lastRowLastColumn="0"/>
              <w:rPr>
                <w:sz w:val="20"/>
                <w:szCs w:val="20"/>
                <w:lang w:val="pt-PT"/>
              </w:rPr>
            </w:pPr>
          </w:p>
        </w:tc>
      </w:tr>
    </w:tbl>
    <w:p w14:paraId="54923A64" w14:textId="2CEA9A98" w:rsidR="004C5198" w:rsidRPr="004500AE" w:rsidRDefault="004C5198" w:rsidP="004C5198">
      <w:pPr>
        <w:pStyle w:val="Normal11"/>
        <w:rPr>
          <w:lang w:val="pt-PT"/>
        </w:rPr>
      </w:pPr>
    </w:p>
    <w:p w14:paraId="1B55DBA7" w14:textId="1C2DB1BF" w:rsidR="00720ADE" w:rsidRPr="004500AE" w:rsidRDefault="009B0324" w:rsidP="004C5198">
      <w:pPr>
        <w:pStyle w:val="Normal11"/>
        <w:rPr>
          <w:lang w:val="pt-PT"/>
        </w:rPr>
      </w:pPr>
      <w:r w:rsidRPr="00292532">
        <w:rPr>
          <w:lang w:val="pt-PT"/>
        </w:rPr>
        <w:lastRenderedPageBreak/>
        <w:t>Alguns dos instrumentos e ferramentas comuns</w:t>
      </w:r>
      <w:r w:rsidR="00720ADE" w:rsidRPr="004500AE">
        <w:rPr>
          <w:lang w:val="pt-PT"/>
        </w:rPr>
        <w:t xml:space="preserve"> de </w:t>
      </w:r>
      <w:r w:rsidRPr="00292532">
        <w:rPr>
          <w:lang w:val="pt-PT"/>
        </w:rPr>
        <w:t>implementação</w:t>
      </w:r>
      <w:r w:rsidR="00720ADE" w:rsidRPr="004500AE">
        <w:rPr>
          <w:lang w:val="pt-PT"/>
        </w:rPr>
        <w:t xml:space="preserve"> do PGAS e dos planos mencionados na </w:t>
      </w:r>
      <w:r w:rsidRPr="004500AE">
        <w:rPr>
          <w:b/>
          <w:bCs/>
          <w:lang w:val="pt-PT"/>
        </w:rPr>
        <w:fldChar w:fldCharType="begin"/>
      </w:r>
      <w:r w:rsidRPr="00292532">
        <w:rPr>
          <w:b/>
          <w:bCs/>
          <w:lang w:val="pt-PT"/>
        </w:rPr>
        <w:instrText xml:space="preserve"> REF _Ref78414101 \h  \* MERGEFORMAT </w:instrText>
      </w:r>
      <w:r w:rsidRPr="004500AE">
        <w:rPr>
          <w:b/>
          <w:bCs/>
          <w:lang w:val="pt-PT"/>
        </w:rPr>
      </w:r>
      <w:r w:rsidRPr="004500AE">
        <w:rPr>
          <w:b/>
          <w:bCs/>
          <w:lang w:val="pt-PT"/>
        </w:rPr>
        <w:fldChar w:fldCharType="separate"/>
      </w:r>
      <w:r w:rsidR="000D7B05" w:rsidRPr="004500AE">
        <w:rPr>
          <w:b/>
          <w:bCs/>
          <w:lang w:val="pt-PT"/>
        </w:rPr>
        <w:t xml:space="preserve">Tabela </w:t>
      </w:r>
      <w:r w:rsidR="000D7B05" w:rsidRPr="004500AE">
        <w:rPr>
          <w:b/>
          <w:bCs/>
          <w:noProof/>
          <w:lang w:val="pt-PT"/>
        </w:rPr>
        <w:t>26</w:t>
      </w:r>
      <w:r w:rsidRPr="004500AE">
        <w:rPr>
          <w:b/>
          <w:bCs/>
          <w:lang w:val="pt-PT"/>
        </w:rPr>
        <w:fldChar w:fldCharType="end"/>
      </w:r>
      <w:r w:rsidR="00720ADE" w:rsidRPr="004500AE">
        <w:rPr>
          <w:lang w:val="pt-PT"/>
        </w:rPr>
        <w:t>, incluem</w:t>
      </w:r>
      <w:r w:rsidRPr="00292532">
        <w:rPr>
          <w:lang w:val="pt-PT"/>
        </w:rPr>
        <w:t>,</w:t>
      </w:r>
      <w:r w:rsidR="00720ADE" w:rsidRPr="004500AE">
        <w:rPr>
          <w:lang w:val="pt-PT"/>
        </w:rPr>
        <w:t xml:space="preserve"> mas </w:t>
      </w:r>
      <w:r w:rsidR="00292532" w:rsidRPr="00292532">
        <w:rPr>
          <w:lang w:val="pt-PT"/>
        </w:rPr>
        <w:t>não</w:t>
      </w:r>
      <w:r w:rsidR="00720ADE" w:rsidRPr="004500AE">
        <w:rPr>
          <w:lang w:val="pt-PT"/>
        </w:rPr>
        <w:t xml:space="preserve"> se limitam</w:t>
      </w:r>
      <w:r w:rsidRPr="00292532">
        <w:rPr>
          <w:lang w:val="pt-PT"/>
        </w:rPr>
        <w:t xml:space="preserve">, </w:t>
      </w:r>
      <w:r w:rsidR="00720ADE" w:rsidRPr="004500AE">
        <w:rPr>
          <w:lang w:val="pt-PT"/>
        </w:rPr>
        <w:t xml:space="preserve">aos seguintes: </w:t>
      </w:r>
    </w:p>
    <w:p w14:paraId="775CC4A5" w14:textId="2FF04569" w:rsidR="009B0324" w:rsidRPr="004500AE" w:rsidRDefault="009B0324" w:rsidP="009B0324">
      <w:pPr>
        <w:pStyle w:val="Normal11"/>
        <w:numPr>
          <w:ilvl w:val="0"/>
          <w:numId w:val="216"/>
        </w:numPr>
        <w:rPr>
          <w:lang w:val="pt-PT"/>
        </w:rPr>
      </w:pPr>
      <w:r w:rsidRPr="004500AE">
        <w:rPr>
          <w:lang w:val="pt-PT"/>
        </w:rPr>
        <w:t xml:space="preserve">QGAS (com foco na </w:t>
      </w:r>
      <w:r w:rsidR="00292532" w:rsidRPr="00292532">
        <w:rPr>
          <w:lang w:val="pt-PT"/>
        </w:rPr>
        <w:t>avaliação</w:t>
      </w:r>
      <w:r w:rsidRPr="004500AE">
        <w:rPr>
          <w:lang w:val="pt-PT"/>
        </w:rPr>
        <w:t xml:space="preserve"> de riscos e impactos ambientais e sociais, arranjo institucional de </w:t>
      </w:r>
      <w:r w:rsidR="00292532" w:rsidRPr="00292532">
        <w:rPr>
          <w:lang w:val="pt-PT"/>
        </w:rPr>
        <w:t>implementação</w:t>
      </w:r>
      <w:r w:rsidRPr="004500AE">
        <w:rPr>
          <w:lang w:val="pt-PT"/>
        </w:rPr>
        <w:t xml:space="preserve"> do </w:t>
      </w:r>
      <w:proofErr w:type="spellStart"/>
      <w:r w:rsidRPr="004500AE">
        <w:rPr>
          <w:lang w:val="pt-PT"/>
        </w:rPr>
        <w:t>Projecto</w:t>
      </w:r>
      <w:proofErr w:type="spellEnd"/>
      <w:r w:rsidRPr="004500AE">
        <w:rPr>
          <w:lang w:val="pt-PT"/>
        </w:rPr>
        <w:t xml:space="preserve">, requisitos de monitoria, relatórios e auditorias e </w:t>
      </w:r>
      <w:r w:rsidR="00292532" w:rsidRPr="00292532">
        <w:rPr>
          <w:lang w:val="pt-PT"/>
        </w:rPr>
        <w:t>orçamento</w:t>
      </w:r>
      <w:r w:rsidRPr="004500AE">
        <w:rPr>
          <w:lang w:val="pt-PT"/>
        </w:rPr>
        <w:t xml:space="preserve"> de </w:t>
      </w:r>
      <w:r w:rsidR="00292532" w:rsidRPr="00292532">
        <w:rPr>
          <w:lang w:val="pt-PT"/>
        </w:rPr>
        <w:t>implementação</w:t>
      </w:r>
      <w:r w:rsidRPr="004500AE">
        <w:rPr>
          <w:lang w:val="pt-PT"/>
        </w:rPr>
        <w:t xml:space="preserve"> do QGAS e seus planos)</w:t>
      </w:r>
    </w:p>
    <w:p w14:paraId="2AECF0E2" w14:textId="1F5412AA" w:rsidR="009B0324" w:rsidRPr="004500AE" w:rsidRDefault="009B0324" w:rsidP="009B0324">
      <w:pPr>
        <w:pStyle w:val="Normal11"/>
        <w:numPr>
          <w:ilvl w:val="0"/>
          <w:numId w:val="216"/>
        </w:numPr>
        <w:rPr>
          <w:lang w:val="pt-PT"/>
        </w:rPr>
      </w:pPr>
      <w:proofErr w:type="spellStart"/>
      <w:r w:rsidRPr="004500AE">
        <w:rPr>
          <w:lang w:val="pt-PT"/>
        </w:rPr>
        <w:t>Directrizes</w:t>
      </w:r>
      <w:proofErr w:type="spellEnd"/>
      <w:r w:rsidRPr="004500AE">
        <w:rPr>
          <w:lang w:val="pt-PT"/>
        </w:rPr>
        <w:t xml:space="preserve"> para Relatórios Trimestrais e Anuais (Anexo 3 do QGAS) </w:t>
      </w:r>
    </w:p>
    <w:p w14:paraId="522A4C76" w14:textId="466FFFAB" w:rsidR="009B0324" w:rsidRPr="004500AE" w:rsidRDefault="009B0324" w:rsidP="009B0324">
      <w:pPr>
        <w:pStyle w:val="Normal11"/>
        <w:numPr>
          <w:ilvl w:val="0"/>
          <w:numId w:val="216"/>
        </w:numPr>
        <w:rPr>
          <w:lang w:val="pt-PT"/>
        </w:rPr>
      </w:pPr>
      <w:r w:rsidRPr="004500AE">
        <w:rPr>
          <w:lang w:val="pt-PT"/>
        </w:rPr>
        <w:t>Plano de Engajamento das Partes Interessadas (documento independente)</w:t>
      </w:r>
    </w:p>
    <w:p w14:paraId="51B03097" w14:textId="6F81DF5F" w:rsidR="009B0324" w:rsidRPr="004500AE" w:rsidRDefault="009B0324" w:rsidP="004500AE">
      <w:pPr>
        <w:pStyle w:val="Normal11"/>
        <w:numPr>
          <w:ilvl w:val="0"/>
          <w:numId w:val="216"/>
        </w:numPr>
        <w:rPr>
          <w:lang w:val="pt-PT"/>
        </w:rPr>
      </w:pPr>
      <w:r w:rsidRPr="004500AE">
        <w:rPr>
          <w:lang w:val="pt-PT"/>
        </w:rPr>
        <w:t xml:space="preserve">Sistema de </w:t>
      </w:r>
      <w:r w:rsidR="00292532" w:rsidRPr="00292532">
        <w:rPr>
          <w:lang w:val="pt-PT"/>
        </w:rPr>
        <w:t>Gestão</w:t>
      </w:r>
      <w:r w:rsidRPr="004500AE">
        <w:rPr>
          <w:lang w:val="pt-PT"/>
        </w:rPr>
        <w:t xml:space="preserve"> Ambiental e Social (</w:t>
      </w:r>
      <w:r w:rsidR="003F64BF" w:rsidRPr="004500AE">
        <w:rPr>
          <w:lang w:val="pt-PT"/>
        </w:rPr>
        <w:t>SGAS) -</w:t>
      </w:r>
      <w:r w:rsidRPr="004500AE">
        <w:rPr>
          <w:lang w:val="pt-PT"/>
        </w:rPr>
        <w:t xml:space="preserve"> ver </w:t>
      </w:r>
      <w:r w:rsidR="00292532" w:rsidRPr="00292532">
        <w:rPr>
          <w:lang w:val="pt-PT"/>
        </w:rPr>
        <w:t>Secção</w:t>
      </w:r>
      <w:r w:rsidRPr="004500AE">
        <w:rPr>
          <w:lang w:val="pt-PT"/>
        </w:rPr>
        <w:t xml:space="preserve"> 7.3 e PGAS genérico (Anexo 4)</w:t>
      </w:r>
    </w:p>
    <w:p w14:paraId="5F7DDB40" w14:textId="02BCEF47" w:rsidR="00495F5C" w:rsidRPr="00292532" w:rsidRDefault="00495F5C" w:rsidP="004500AE">
      <w:pPr>
        <w:pStyle w:val="Heading2"/>
      </w:pPr>
      <w:bookmarkStart w:id="234" w:name="_Toc80379979"/>
      <w:r w:rsidRPr="00292532">
        <w:t xml:space="preserve">Sistema de </w:t>
      </w:r>
      <w:r w:rsidR="00292532" w:rsidRPr="00292532">
        <w:t>Gestão</w:t>
      </w:r>
      <w:r w:rsidRPr="00292532">
        <w:t xml:space="preserve"> Ambiental e Social (SGAS)</w:t>
      </w:r>
      <w:bookmarkEnd w:id="234"/>
    </w:p>
    <w:p w14:paraId="543895D6" w14:textId="54BDBD74" w:rsidR="00495F5C" w:rsidRPr="00292532" w:rsidRDefault="00495F5C" w:rsidP="00495F5C">
      <w:pPr>
        <w:rPr>
          <w:lang w:val="pt-PT"/>
        </w:rPr>
      </w:pPr>
      <w:r w:rsidRPr="00292532">
        <w:rPr>
          <w:lang w:val="pt-PT"/>
        </w:rPr>
        <w:t>Um Sistema de Gestão Ambiental e Social</w:t>
      </w:r>
      <w:r w:rsidR="008D76CB">
        <w:rPr>
          <w:lang w:val="pt-PT"/>
        </w:rPr>
        <w:t xml:space="preserve"> em conformidade com a Norma ISO </w:t>
      </w:r>
      <w:proofErr w:type="gramStart"/>
      <w:r w:rsidR="008D76CB">
        <w:rPr>
          <w:lang w:val="pt-PT"/>
        </w:rPr>
        <w:t xml:space="preserve">14001:2015 </w:t>
      </w:r>
      <w:r w:rsidRPr="00292532">
        <w:rPr>
          <w:lang w:val="pt-PT"/>
        </w:rPr>
        <w:t xml:space="preserve"> permite</w:t>
      </w:r>
      <w:proofErr w:type="gramEnd"/>
      <w:r w:rsidRPr="00292532">
        <w:rPr>
          <w:lang w:val="pt-PT"/>
        </w:rPr>
        <w:t xml:space="preserve"> uma melhor integração das medidas de mitigação e recomendações de gestão ambiental e social nos processos durante a fase de execução de uma </w:t>
      </w:r>
      <w:proofErr w:type="spellStart"/>
      <w:r w:rsidRPr="00292532">
        <w:rPr>
          <w:lang w:val="pt-PT"/>
        </w:rPr>
        <w:t>actividade</w:t>
      </w:r>
      <w:proofErr w:type="spellEnd"/>
      <w:r w:rsidRPr="00292532">
        <w:rPr>
          <w:lang w:val="pt-PT"/>
        </w:rPr>
        <w:t xml:space="preserve">. </w:t>
      </w:r>
    </w:p>
    <w:p w14:paraId="39FA9CD0" w14:textId="77777777" w:rsidR="00495F5C" w:rsidRPr="00292532" w:rsidRDefault="00495F5C" w:rsidP="00495F5C">
      <w:pPr>
        <w:rPr>
          <w:lang w:val="pt-PT"/>
        </w:rPr>
      </w:pPr>
      <w:r w:rsidRPr="00292532">
        <w:rPr>
          <w:lang w:val="pt-PT"/>
        </w:rPr>
        <w:t xml:space="preserve">O Mutuário através das suas </w:t>
      </w:r>
      <w:proofErr w:type="spellStart"/>
      <w:r w:rsidRPr="00292532">
        <w:rPr>
          <w:lang w:val="pt-PT"/>
        </w:rPr>
        <w:t>UIPs</w:t>
      </w:r>
      <w:proofErr w:type="spellEnd"/>
      <w:r w:rsidRPr="00292532">
        <w:rPr>
          <w:lang w:val="pt-PT"/>
        </w:rPr>
        <w:t xml:space="preserve"> deverá estabelecer um SGAS que integre os resultados das avaliações ambientais e sociais provenientes de vários meios e instrumentos, incluindo o </w:t>
      </w:r>
      <w:proofErr w:type="spellStart"/>
      <w:r w:rsidRPr="00292532">
        <w:rPr>
          <w:lang w:val="pt-PT"/>
        </w:rPr>
        <w:t>actual</w:t>
      </w:r>
      <w:proofErr w:type="spellEnd"/>
      <w:r w:rsidRPr="00292532">
        <w:rPr>
          <w:lang w:val="pt-PT"/>
        </w:rPr>
        <w:t xml:space="preserve"> QGAS e outros estudos ambientais e sociais futuros.  </w:t>
      </w:r>
    </w:p>
    <w:p w14:paraId="331DF77A" w14:textId="77777777" w:rsidR="00857196" w:rsidRDefault="00495F5C" w:rsidP="00495F5C">
      <w:pPr>
        <w:rPr>
          <w:lang w:val="pt-PT"/>
        </w:rPr>
        <w:sectPr w:rsidR="00857196" w:rsidSect="00C01674">
          <w:pgSz w:w="11906" w:h="16838"/>
          <w:pgMar w:top="1417" w:right="1701" w:bottom="1417" w:left="1701" w:header="708" w:footer="708"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r w:rsidRPr="00292532">
        <w:rPr>
          <w:lang w:val="pt-PT"/>
        </w:rPr>
        <w:t xml:space="preserve">O SGAS será baseado na UIP/AIAS </w:t>
      </w:r>
      <w:r w:rsidR="004B7F53" w:rsidRPr="00292532">
        <w:rPr>
          <w:lang w:val="pt-PT"/>
        </w:rPr>
        <w:t>e na UIP/DNAAS</w:t>
      </w:r>
      <w:r w:rsidRPr="00292532">
        <w:rPr>
          <w:lang w:val="pt-PT"/>
        </w:rPr>
        <w:t xml:space="preserve">. Com foco nas contratadas, recomenda-se que as mesmas implementem um SGAS, no entanto este requisito deverá ser aplicado mediante uma análise do âmbito e dimensão das </w:t>
      </w:r>
      <w:proofErr w:type="spellStart"/>
      <w:r w:rsidRPr="00292532">
        <w:rPr>
          <w:lang w:val="pt-PT"/>
        </w:rPr>
        <w:t>actividades</w:t>
      </w:r>
      <w:proofErr w:type="spellEnd"/>
      <w:r w:rsidRPr="00292532">
        <w:rPr>
          <w:lang w:val="pt-PT"/>
        </w:rPr>
        <w:t xml:space="preserve"> de cada contratada. Requisitos adicionais do SGAS são propostos no </w:t>
      </w:r>
      <w:r w:rsidR="001978AF" w:rsidRPr="00292532">
        <w:rPr>
          <w:lang w:val="pt-PT"/>
        </w:rPr>
        <w:t>PGAS</w:t>
      </w:r>
      <w:r w:rsidRPr="00292532">
        <w:rPr>
          <w:lang w:val="pt-PT"/>
        </w:rPr>
        <w:t xml:space="preserve"> genérico (</w:t>
      </w:r>
      <w:r w:rsidRPr="004500AE">
        <w:rPr>
          <w:b/>
          <w:bCs/>
          <w:lang w:val="pt-PT"/>
        </w:rPr>
        <w:t xml:space="preserve">Anexo </w:t>
      </w:r>
      <w:r w:rsidR="000615DB" w:rsidRPr="004500AE">
        <w:rPr>
          <w:b/>
          <w:bCs/>
          <w:lang w:val="pt-PT"/>
        </w:rPr>
        <w:t>4</w:t>
      </w:r>
      <w:r w:rsidRPr="00292532">
        <w:rPr>
          <w:lang w:val="pt-PT"/>
        </w:rPr>
        <w:t>).</w:t>
      </w:r>
    </w:p>
    <w:p w14:paraId="4B6822E0" w14:textId="152121E4" w:rsidR="00495F5C" w:rsidRPr="00292532" w:rsidRDefault="00495F5C" w:rsidP="00495F5C">
      <w:pPr>
        <w:rPr>
          <w:lang w:val="pt-PT"/>
        </w:rPr>
      </w:pPr>
    </w:p>
    <w:p w14:paraId="5F3AEE81" w14:textId="2B7935DB" w:rsidR="00C31925" w:rsidRPr="00292532" w:rsidRDefault="00C31925" w:rsidP="00C31925">
      <w:pPr>
        <w:pStyle w:val="Heading1"/>
        <w:rPr>
          <w:lang w:val="pt-PT" w:eastAsia="ja-JP"/>
        </w:rPr>
      </w:pPr>
      <w:bookmarkStart w:id="235" w:name="_Toc80379980"/>
      <w:r w:rsidRPr="00292532">
        <w:rPr>
          <w:lang w:val="pt-PT" w:eastAsia="ja-JP"/>
        </w:rPr>
        <w:t xml:space="preserve">Arranjo Institucional de Implementação do </w:t>
      </w:r>
      <w:proofErr w:type="spellStart"/>
      <w:r w:rsidRPr="00292532">
        <w:rPr>
          <w:lang w:val="pt-PT" w:eastAsia="ja-JP"/>
        </w:rPr>
        <w:t>Projecto</w:t>
      </w:r>
      <w:proofErr w:type="spellEnd"/>
      <w:r w:rsidRPr="00292532">
        <w:rPr>
          <w:lang w:val="pt-PT" w:eastAsia="ja-JP"/>
        </w:rPr>
        <w:t xml:space="preserve"> e Capacitação</w:t>
      </w:r>
      <w:bookmarkEnd w:id="235"/>
      <w:r w:rsidRPr="00292532">
        <w:rPr>
          <w:lang w:val="pt-PT" w:eastAsia="ja-JP"/>
        </w:rPr>
        <w:t xml:space="preserve"> </w:t>
      </w:r>
    </w:p>
    <w:p w14:paraId="22E2FDC8" w14:textId="6D58A9E9" w:rsidR="007E4B99" w:rsidRPr="00292532" w:rsidRDefault="00C31925" w:rsidP="00C31925">
      <w:pPr>
        <w:spacing w:before="0" w:line="259" w:lineRule="auto"/>
        <w:rPr>
          <w:rFonts w:eastAsia="Calibri" w:cs="Times New Roman"/>
          <w:sz w:val="24"/>
          <w:szCs w:val="24"/>
          <w:lang w:val="pt-PT"/>
        </w:rPr>
      </w:pPr>
      <w:r w:rsidRPr="00292532">
        <w:rPr>
          <w:rFonts w:eastAsia="Calibri" w:cs="Times New Roman"/>
          <w:sz w:val="24"/>
          <w:szCs w:val="24"/>
          <w:lang w:val="pt-PT"/>
        </w:rPr>
        <w:t xml:space="preserve">São aqui apresentadas as instituições e os </w:t>
      </w:r>
      <w:proofErr w:type="spellStart"/>
      <w:r w:rsidRPr="00292532">
        <w:rPr>
          <w:rFonts w:eastAsia="Calibri" w:cs="Times New Roman"/>
          <w:sz w:val="24"/>
          <w:szCs w:val="24"/>
          <w:lang w:val="pt-PT"/>
        </w:rPr>
        <w:t>actores</w:t>
      </w:r>
      <w:proofErr w:type="spellEnd"/>
      <w:r w:rsidRPr="00292532">
        <w:rPr>
          <w:rFonts w:eastAsia="Calibri" w:cs="Times New Roman"/>
          <w:sz w:val="24"/>
          <w:szCs w:val="24"/>
          <w:lang w:val="pt-PT"/>
        </w:rPr>
        <w:t xml:space="preserve"> relevantes que participam na implementação do </w:t>
      </w:r>
      <w:proofErr w:type="spellStart"/>
      <w:r w:rsidRPr="00292532">
        <w:rPr>
          <w:rFonts w:eastAsia="Calibri" w:cs="Times New Roman"/>
          <w:sz w:val="24"/>
          <w:szCs w:val="24"/>
          <w:lang w:val="pt-PT"/>
        </w:rPr>
        <w:t>projecto</w:t>
      </w:r>
      <w:proofErr w:type="spellEnd"/>
      <w:r w:rsidRPr="00292532">
        <w:rPr>
          <w:rFonts w:eastAsia="Calibri" w:cs="Times New Roman"/>
          <w:sz w:val="24"/>
          <w:szCs w:val="24"/>
          <w:lang w:val="pt-PT"/>
        </w:rPr>
        <w:t>, bem como as ligações entre eles</w:t>
      </w:r>
      <w:r w:rsidR="00F05E86" w:rsidRPr="00292532">
        <w:rPr>
          <w:rFonts w:eastAsia="Calibri" w:cs="Times New Roman"/>
          <w:sz w:val="24"/>
          <w:szCs w:val="24"/>
          <w:lang w:val="pt-PT"/>
        </w:rPr>
        <w:t xml:space="preserve"> (</w:t>
      </w:r>
      <w:r w:rsidR="00F05E86" w:rsidRPr="00292532">
        <w:rPr>
          <w:rFonts w:eastAsia="Calibri" w:cs="Times New Roman"/>
          <w:b/>
          <w:bCs/>
          <w:sz w:val="24"/>
          <w:szCs w:val="24"/>
          <w:lang w:val="pt-PT"/>
        </w:rPr>
        <w:fldChar w:fldCharType="begin"/>
      </w:r>
      <w:r w:rsidR="00F05E86" w:rsidRPr="00292532">
        <w:rPr>
          <w:rFonts w:eastAsia="Calibri" w:cs="Times New Roman"/>
          <w:b/>
          <w:bCs/>
          <w:sz w:val="24"/>
          <w:szCs w:val="24"/>
          <w:lang w:val="pt-PT"/>
        </w:rPr>
        <w:instrText xml:space="preserve"> REF _Ref73953892 \h  \* MERGEFORMAT </w:instrText>
      </w:r>
      <w:r w:rsidR="00F05E86" w:rsidRPr="00292532">
        <w:rPr>
          <w:rFonts w:eastAsia="Calibri" w:cs="Times New Roman"/>
          <w:b/>
          <w:bCs/>
          <w:sz w:val="24"/>
          <w:szCs w:val="24"/>
          <w:lang w:val="pt-PT"/>
        </w:rPr>
      </w:r>
      <w:r w:rsidR="00F05E86" w:rsidRPr="00292532">
        <w:rPr>
          <w:rFonts w:eastAsia="Calibri" w:cs="Times New Roman"/>
          <w:b/>
          <w:bCs/>
          <w:sz w:val="24"/>
          <w:szCs w:val="24"/>
          <w:lang w:val="pt-PT"/>
        </w:rPr>
        <w:fldChar w:fldCharType="separate"/>
      </w:r>
      <w:r w:rsidR="00F05E86" w:rsidRPr="00292532">
        <w:rPr>
          <w:b/>
          <w:bCs/>
          <w:lang w:val="pt-PT"/>
        </w:rPr>
        <w:t xml:space="preserve">Figura </w:t>
      </w:r>
      <w:r w:rsidR="00F05E86" w:rsidRPr="00292532">
        <w:rPr>
          <w:b/>
          <w:bCs/>
          <w:noProof/>
          <w:lang w:val="pt-PT"/>
        </w:rPr>
        <w:t>18</w:t>
      </w:r>
      <w:r w:rsidR="00F05E86" w:rsidRPr="00292532">
        <w:rPr>
          <w:rFonts w:eastAsia="Calibri" w:cs="Times New Roman"/>
          <w:b/>
          <w:bCs/>
          <w:sz w:val="24"/>
          <w:szCs w:val="24"/>
          <w:lang w:val="pt-PT"/>
        </w:rPr>
        <w:fldChar w:fldCharType="end"/>
      </w:r>
      <w:r w:rsidR="00F05E86" w:rsidRPr="00292532">
        <w:rPr>
          <w:rFonts w:eastAsia="Calibri" w:cs="Times New Roman"/>
          <w:b/>
          <w:bCs/>
          <w:sz w:val="24"/>
          <w:szCs w:val="24"/>
          <w:lang w:val="pt-PT"/>
        </w:rPr>
        <w:t>)</w:t>
      </w:r>
      <w:r w:rsidRPr="00292532">
        <w:rPr>
          <w:rFonts w:eastAsia="Calibri" w:cs="Times New Roman"/>
          <w:sz w:val="24"/>
          <w:szCs w:val="24"/>
          <w:lang w:val="pt-PT"/>
        </w:rPr>
        <w:t>. Também são identificados os papéis e responsabilidades das principais entidades intervenientes.</w:t>
      </w:r>
    </w:p>
    <w:p w14:paraId="6BD5754F" w14:textId="7059C561" w:rsidR="00C31925" w:rsidRPr="00292532" w:rsidRDefault="00C31925" w:rsidP="00C31925">
      <w:pPr>
        <w:pStyle w:val="Heading2"/>
      </w:pPr>
      <w:bookmarkStart w:id="236" w:name="_Toc78435359"/>
      <w:bookmarkStart w:id="237" w:name="_Toc14840071"/>
      <w:bookmarkStart w:id="238" w:name="_Toc80379981"/>
      <w:bookmarkEnd w:id="236"/>
      <w:r w:rsidRPr="00292532">
        <w:t>Principais Instituições</w:t>
      </w:r>
      <w:bookmarkEnd w:id="237"/>
      <w:r w:rsidR="0072765C" w:rsidRPr="00292532">
        <w:t xml:space="preserve"> envolvidas na Implementação do </w:t>
      </w:r>
      <w:proofErr w:type="spellStart"/>
      <w:r w:rsidR="0072765C" w:rsidRPr="00292532">
        <w:t>Projecto</w:t>
      </w:r>
      <w:bookmarkEnd w:id="238"/>
      <w:proofErr w:type="spellEnd"/>
    </w:p>
    <w:p w14:paraId="5320FC0A" w14:textId="4ED49F7C" w:rsidR="00857196" w:rsidRDefault="00857196" w:rsidP="0072765C">
      <w:pPr>
        <w:spacing w:before="0" w:line="259" w:lineRule="auto"/>
        <w:rPr>
          <w:rFonts w:eastAsia="Calibri" w:cs="Times New Roman"/>
          <w:lang w:val="pt-PT"/>
        </w:rPr>
      </w:pPr>
      <w:bookmarkStart w:id="239" w:name="_Hlk78296490"/>
      <w:r w:rsidRPr="00857196">
        <w:rPr>
          <w:rFonts w:eastAsia="Calibri" w:cs="Times New Roman"/>
          <w:lang w:val="pt-PT"/>
        </w:rPr>
        <w:t xml:space="preserve">O </w:t>
      </w:r>
      <w:proofErr w:type="spellStart"/>
      <w:r w:rsidRPr="00857196">
        <w:rPr>
          <w:rFonts w:eastAsia="Calibri" w:cs="Times New Roman"/>
          <w:lang w:val="pt-PT"/>
        </w:rPr>
        <w:t>Projecto</w:t>
      </w:r>
      <w:proofErr w:type="spellEnd"/>
      <w:r w:rsidRPr="00857196">
        <w:rPr>
          <w:rFonts w:eastAsia="Calibri" w:cs="Times New Roman"/>
          <w:lang w:val="pt-PT"/>
        </w:rPr>
        <w:t xml:space="preserve"> se baseará na partilha de recursos com os </w:t>
      </w:r>
      <w:proofErr w:type="spellStart"/>
      <w:r w:rsidRPr="00857196">
        <w:rPr>
          <w:rFonts w:eastAsia="Calibri" w:cs="Times New Roman"/>
          <w:lang w:val="pt-PT"/>
        </w:rPr>
        <w:t>Projectos</w:t>
      </w:r>
      <w:proofErr w:type="spellEnd"/>
      <w:r w:rsidRPr="00857196">
        <w:rPr>
          <w:rFonts w:eastAsia="Calibri" w:cs="Times New Roman"/>
          <w:lang w:val="pt-PT"/>
        </w:rPr>
        <w:t xml:space="preserve"> </w:t>
      </w:r>
      <w:proofErr w:type="spellStart"/>
      <w:r w:rsidRPr="00857196">
        <w:rPr>
          <w:rFonts w:eastAsia="Calibri" w:cs="Times New Roman"/>
          <w:lang w:val="pt-PT"/>
        </w:rPr>
        <w:t>activos</w:t>
      </w:r>
      <w:proofErr w:type="spellEnd"/>
      <w:r w:rsidRPr="00857196">
        <w:rPr>
          <w:rFonts w:eastAsia="Calibri" w:cs="Times New Roman"/>
          <w:lang w:val="pt-PT"/>
        </w:rPr>
        <w:t xml:space="preserve"> nas diferentes instituições </w:t>
      </w:r>
      <w:proofErr w:type="spellStart"/>
      <w:r w:rsidRPr="00857196">
        <w:rPr>
          <w:rFonts w:eastAsia="Calibri" w:cs="Times New Roman"/>
          <w:lang w:val="pt-PT"/>
        </w:rPr>
        <w:t>actualmente</w:t>
      </w:r>
      <w:proofErr w:type="spellEnd"/>
      <w:r w:rsidRPr="00857196">
        <w:rPr>
          <w:rFonts w:eastAsia="Calibri" w:cs="Times New Roman"/>
          <w:lang w:val="pt-PT"/>
        </w:rPr>
        <w:t xml:space="preserve"> </w:t>
      </w:r>
      <w:proofErr w:type="spellStart"/>
      <w:r w:rsidRPr="00857196">
        <w:rPr>
          <w:rFonts w:eastAsia="Calibri" w:cs="Times New Roman"/>
          <w:lang w:val="pt-PT"/>
        </w:rPr>
        <w:t>activas</w:t>
      </w:r>
      <w:proofErr w:type="spellEnd"/>
      <w:r w:rsidRPr="00857196">
        <w:rPr>
          <w:rFonts w:eastAsia="Calibri" w:cs="Times New Roman"/>
          <w:lang w:val="pt-PT"/>
        </w:rPr>
        <w:t xml:space="preserve"> na DNAAS e AIAS, especificamente do </w:t>
      </w:r>
      <w:proofErr w:type="spellStart"/>
      <w:r w:rsidRPr="00857196">
        <w:rPr>
          <w:rFonts w:eastAsia="Calibri" w:cs="Times New Roman"/>
          <w:lang w:val="pt-PT"/>
        </w:rPr>
        <w:t>Projecto</w:t>
      </w:r>
      <w:proofErr w:type="spellEnd"/>
      <w:r w:rsidRPr="00857196">
        <w:rPr>
          <w:rFonts w:eastAsia="Calibri" w:cs="Times New Roman"/>
          <w:lang w:val="pt-PT"/>
        </w:rPr>
        <w:t xml:space="preserve"> de Saneamento Urbano (PSU), e </w:t>
      </w:r>
      <w:r w:rsidR="009D5832" w:rsidRPr="00857196">
        <w:rPr>
          <w:rFonts w:eastAsia="Calibri" w:cs="Times New Roman"/>
          <w:lang w:val="pt-PT"/>
        </w:rPr>
        <w:t>para AURA</w:t>
      </w:r>
      <w:r w:rsidRPr="00857196">
        <w:rPr>
          <w:rFonts w:eastAsia="Calibri" w:cs="Times New Roman"/>
          <w:lang w:val="pt-PT"/>
        </w:rPr>
        <w:t xml:space="preserve">, do </w:t>
      </w:r>
      <w:proofErr w:type="spellStart"/>
      <w:r w:rsidRPr="00857196">
        <w:rPr>
          <w:rFonts w:eastAsia="Calibri" w:cs="Times New Roman"/>
          <w:lang w:val="pt-PT"/>
        </w:rPr>
        <w:t>Projecto</w:t>
      </w:r>
      <w:proofErr w:type="spellEnd"/>
      <w:r w:rsidRPr="00857196">
        <w:rPr>
          <w:rFonts w:eastAsia="Calibri" w:cs="Times New Roman"/>
          <w:lang w:val="pt-PT"/>
        </w:rPr>
        <w:t xml:space="preserve"> de Serviços de Água e Apoio Institucional (WASIS II). Assim, serão criadas Unidades Técnicas Provinciais (UTP) em cada uma das DPOP das províncias beneficiárias conforme apresentado na </w:t>
      </w:r>
      <w:r w:rsidRPr="00941934">
        <w:rPr>
          <w:rFonts w:eastAsia="Calibri" w:cs="Times New Roman"/>
          <w:b/>
          <w:bCs/>
          <w:lang w:val="pt-PT"/>
        </w:rPr>
        <w:t>Figura 18</w:t>
      </w:r>
      <w:r>
        <w:rPr>
          <w:rFonts w:eastAsia="Calibri" w:cs="Times New Roman"/>
          <w:lang w:val="pt-PT"/>
        </w:rPr>
        <w:t>.</w:t>
      </w:r>
    </w:p>
    <w:p w14:paraId="5BB6B513" w14:textId="6D790732" w:rsidR="00F42690" w:rsidRPr="00292532" w:rsidRDefault="00F42690" w:rsidP="00F42690">
      <w:pPr>
        <w:rPr>
          <w:lang w:val="pt-PT" w:eastAsia="ja-JP"/>
        </w:rPr>
      </w:pPr>
    </w:p>
    <w:p w14:paraId="16514A81" w14:textId="6A29572D" w:rsidR="00B670F3" w:rsidRPr="00292532" w:rsidRDefault="00857196" w:rsidP="00032E3B">
      <w:pPr>
        <w:jc w:val="center"/>
        <w:rPr>
          <w:lang w:val="pt-PT" w:eastAsia="ja-JP"/>
        </w:rPr>
      </w:pPr>
      <w:r w:rsidRPr="00857196">
        <w:rPr>
          <w:rFonts w:ascii="Arial" w:eastAsia="Calibri" w:hAnsi="Arial" w:cs="Times New Roman"/>
          <w:noProof/>
          <w:sz w:val="20"/>
          <w:lang w:val="en-US"/>
        </w:rPr>
        <w:drawing>
          <wp:inline distT="0" distB="0" distL="0" distR="0" wp14:anchorId="47CD8609" wp14:editId="329BDBF1">
            <wp:extent cx="4747565" cy="2532435"/>
            <wp:effectExtent l="0" t="0" r="0" b="1270"/>
            <wp:docPr id="64" name="Picture 4">
              <a:extLst xmlns:a="http://schemas.openxmlformats.org/drawingml/2006/main">
                <a:ext uri="{FF2B5EF4-FFF2-40B4-BE49-F238E27FC236}">
                  <a16:creationId xmlns:a16="http://schemas.microsoft.com/office/drawing/2014/main" id="{88A54277-04E2-4400-B110-767D307091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8A54277-04E2-4400-B110-767D30709129}"/>
                        </a:ext>
                      </a:extLst>
                    </pic:cNvPr>
                    <pic:cNvPicPr>
                      <a:picLocks noChangeAspect="1"/>
                    </pic:cNvPicPr>
                  </pic:nvPicPr>
                  <pic:blipFill>
                    <a:blip r:embed="rId33"/>
                    <a:stretch>
                      <a:fillRect/>
                    </a:stretch>
                  </pic:blipFill>
                  <pic:spPr>
                    <a:xfrm>
                      <a:off x="0" y="0"/>
                      <a:ext cx="4767719" cy="2543186"/>
                    </a:xfrm>
                    <a:prstGeom prst="rect">
                      <a:avLst/>
                    </a:prstGeom>
                  </pic:spPr>
                </pic:pic>
              </a:graphicData>
            </a:graphic>
          </wp:inline>
        </w:drawing>
      </w:r>
    </w:p>
    <w:p w14:paraId="65BC9FE0" w14:textId="7AD151C0" w:rsidR="00847F66" w:rsidRPr="00292532" w:rsidRDefault="00F05E86" w:rsidP="00847F66">
      <w:pPr>
        <w:pStyle w:val="Caption"/>
      </w:pPr>
      <w:bookmarkStart w:id="240" w:name="_Ref73953892"/>
      <w:bookmarkStart w:id="241" w:name="_Toc80380241"/>
      <w:r w:rsidRPr="00292532">
        <w:t xml:space="preserve">Figura </w:t>
      </w:r>
      <w:r w:rsidRPr="00292532">
        <w:fldChar w:fldCharType="begin"/>
      </w:r>
      <w:r w:rsidRPr="00292532">
        <w:instrText xml:space="preserve"> SEQ Figura \* ARABIC </w:instrText>
      </w:r>
      <w:r w:rsidRPr="00292532">
        <w:fldChar w:fldCharType="separate"/>
      </w:r>
      <w:r w:rsidR="000D7B05">
        <w:rPr>
          <w:noProof/>
        </w:rPr>
        <w:t>18</w:t>
      </w:r>
      <w:r w:rsidRPr="00292532">
        <w:fldChar w:fldCharType="end"/>
      </w:r>
      <w:bookmarkEnd w:id="240"/>
      <w:r w:rsidRPr="00292532">
        <w:t xml:space="preserve">: </w:t>
      </w:r>
      <w:r w:rsidR="00847F66" w:rsidRPr="00292532">
        <w:t>Instituições envolvidas e a sua relação com o MOPHRH</w:t>
      </w:r>
      <w:bookmarkEnd w:id="241"/>
    </w:p>
    <w:p w14:paraId="351ED48B" w14:textId="4B3A2DC8" w:rsidR="00F42690" w:rsidRPr="00292532" w:rsidRDefault="00F42690" w:rsidP="00F42690">
      <w:pPr>
        <w:rPr>
          <w:lang w:val="pt-PT" w:eastAsia="ja-JP"/>
        </w:rPr>
      </w:pPr>
      <w:bookmarkStart w:id="242" w:name="_Hlk75445098"/>
      <w:bookmarkEnd w:id="239"/>
      <w:r w:rsidRPr="00292532">
        <w:rPr>
          <w:lang w:val="pt-PT" w:eastAsia="ja-JP"/>
        </w:rPr>
        <w:t xml:space="preserve">Os principais </w:t>
      </w:r>
      <w:proofErr w:type="spellStart"/>
      <w:r w:rsidRPr="00292532">
        <w:rPr>
          <w:lang w:val="pt-PT" w:eastAsia="ja-JP"/>
        </w:rPr>
        <w:t>actores</w:t>
      </w:r>
      <w:proofErr w:type="spellEnd"/>
      <w:r w:rsidRPr="00292532">
        <w:rPr>
          <w:lang w:val="pt-PT" w:eastAsia="ja-JP"/>
        </w:rPr>
        <w:t xml:space="preserve"> envolvidos na implementação de </w:t>
      </w:r>
      <w:proofErr w:type="spellStart"/>
      <w:r w:rsidRPr="00292532">
        <w:rPr>
          <w:lang w:val="pt-PT" w:eastAsia="ja-JP"/>
        </w:rPr>
        <w:t>Projecto</w:t>
      </w:r>
      <w:proofErr w:type="spellEnd"/>
      <w:r w:rsidRPr="00292532">
        <w:rPr>
          <w:lang w:val="pt-PT" w:eastAsia="ja-JP"/>
        </w:rPr>
        <w:t xml:space="preserve"> Água segura, estão descritos abaixo com mais detalhes. Nomeadamente, O Ministério de Obras Públicas e Habitação e Recursos Hídricos, instituição de tutela das </w:t>
      </w:r>
      <w:proofErr w:type="spellStart"/>
      <w:r w:rsidRPr="00292532">
        <w:rPr>
          <w:lang w:val="pt-PT" w:eastAsia="ja-JP"/>
        </w:rPr>
        <w:t>Direcções</w:t>
      </w:r>
      <w:proofErr w:type="spellEnd"/>
      <w:r w:rsidRPr="00292532">
        <w:rPr>
          <w:lang w:val="pt-PT" w:eastAsia="ja-JP"/>
        </w:rPr>
        <w:t xml:space="preserve"> Nacionais de Gestão dos Recursos Hídricos (DNGRH) e a de Abastecimento de Água e Saneamento (DNAAS), a Administração de Infraestruturas de Água e Saneamento, Instituto Público (AIAS)</w:t>
      </w:r>
      <w:r w:rsidR="00A8535A">
        <w:rPr>
          <w:lang w:val="pt-PT" w:eastAsia="ja-JP"/>
        </w:rPr>
        <w:t>,</w:t>
      </w:r>
      <w:r w:rsidRPr="00292532">
        <w:rPr>
          <w:lang w:val="pt-PT" w:eastAsia="ja-JP"/>
        </w:rPr>
        <w:t xml:space="preserve"> a AURA</w:t>
      </w:r>
      <w:r w:rsidR="00B670F3" w:rsidRPr="00292532">
        <w:rPr>
          <w:lang w:val="pt-PT" w:eastAsia="ja-JP"/>
        </w:rPr>
        <w:t>, IP</w:t>
      </w:r>
      <w:r w:rsidRPr="00292532">
        <w:rPr>
          <w:lang w:val="pt-PT" w:eastAsia="ja-JP"/>
        </w:rPr>
        <w:t xml:space="preserve"> (Autoridade Reguladora de Águas</w:t>
      </w:r>
      <w:r w:rsidR="00B670F3" w:rsidRPr="00292532">
        <w:rPr>
          <w:lang w:val="pt-PT" w:eastAsia="ja-JP"/>
        </w:rPr>
        <w:t>, Instituto Público)</w:t>
      </w:r>
      <w:r w:rsidR="00A8535A">
        <w:rPr>
          <w:lang w:val="pt-PT" w:eastAsia="ja-JP"/>
        </w:rPr>
        <w:t xml:space="preserve">, as </w:t>
      </w:r>
      <w:proofErr w:type="spellStart"/>
      <w:r w:rsidR="00A8535A">
        <w:rPr>
          <w:lang w:val="pt-PT" w:eastAsia="ja-JP"/>
        </w:rPr>
        <w:t>Direcções</w:t>
      </w:r>
      <w:proofErr w:type="spellEnd"/>
      <w:r w:rsidR="00A8535A">
        <w:rPr>
          <w:lang w:val="pt-PT" w:eastAsia="ja-JP"/>
        </w:rPr>
        <w:t xml:space="preserve"> Provinciais de Obras Públicas</w:t>
      </w:r>
      <w:r w:rsidRPr="00292532">
        <w:rPr>
          <w:lang w:val="pt-PT" w:eastAsia="ja-JP"/>
        </w:rPr>
        <w:t xml:space="preserve">.  </w:t>
      </w:r>
    </w:p>
    <w:p w14:paraId="77023EF3" w14:textId="2FD4C04F" w:rsidR="00C31925" w:rsidRPr="00292532" w:rsidRDefault="00C31925">
      <w:pPr>
        <w:pStyle w:val="Heading3"/>
      </w:pPr>
      <w:bookmarkStart w:id="243" w:name="_Toc80379982"/>
      <w:bookmarkEnd w:id="242"/>
      <w:proofErr w:type="spellStart"/>
      <w:r w:rsidRPr="00292532">
        <w:t>Direcção</w:t>
      </w:r>
      <w:proofErr w:type="spellEnd"/>
      <w:r w:rsidRPr="00292532">
        <w:t xml:space="preserve"> Nacional de Abastecimento de Água e Saneamento (DNAAS)</w:t>
      </w:r>
      <w:bookmarkEnd w:id="243"/>
    </w:p>
    <w:p w14:paraId="2C35D5CF" w14:textId="56D20EF8" w:rsidR="00C31925" w:rsidRPr="00292532" w:rsidRDefault="00C31925" w:rsidP="00C31925">
      <w:pPr>
        <w:rPr>
          <w:lang w:val="pt-PT"/>
        </w:rPr>
      </w:pPr>
      <w:r w:rsidRPr="00292532">
        <w:rPr>
          <w:lang w:val="pt-PT"/>
        </w:rPr>
        <w:t xml:space="preserve">A DNAAS tem o mandato de propor e assegurar a implementação de políticas, estratégias, normas, regulamentos e especificações técnicas para o abastecimento de água e o saneamento, bem como a promoção de investimentos para construção, manutenção e expansão da </w:t>
      </w:r>
      <w:r w:rsidR="007C5057" w:rsidRPr="00292532">
        <w:rPr>
          <w:lang w:val="pt-PT"/>
        </w:rPr>
        <w:t>infraestrutura</w:t>
      </w:r>
      <w:r w:rsidRPr="00292532">
        <w:rPr>
          <w:lang w:val="pt-PT"/>
        </w:rPr>
        <w:t xml:space="preserve"> de abastecimento de água e saneamento. </w:t>
      </w:r>
    </w:p>
    <w:p w14:paraId="28581E79" w14:textId="77777777" w:rsidR="00C31925" w:rsidRPr="00292532" w:rsidRDefault="00C31925" w:rsidP="00C31925">
      <w:pPr>
        <w:rPr>
          <w:rFonts w:asciiTheme="minorHAnsi" w:hAnsiTheme="minorHAnsi"/>
          <w:lang w:val="pt-PT"/>
        </w:rPr>
      </w:pPr>
      <w:bookmarkStart w:id="244" w:name="_Hlk75445116"/>
      <w:r w:rsidRPr="00292532">
        <w:rPr>
          <w:rFonts w:asciiTheme="minorHAnsi" w:hAnsiTheme="minorHAnsi"/>
          <w:lang w:val="pt-PT"/>
        </w:rPr>
        <w:lastRenderedPageBreak/>
        <w:t xml:space="preserve">Para a implementação deste </w:t>
      </w:r>
      <w:proofErr w:type="spellStart"/>
      <w:r w:rsidRPr="00292532">
        <w:rPr>
          <w:rFonts w:asciiTheme="minorHAnsi" w:hAnsiTheme="minorHAnsi"/>
          <w:lang w:val="pt-PT"/>
        </w:rPr>
        <w:t>projecto</w:t>
      </w:r>
      <w:proofErr w:type="spellEnd"/>
      <w:r w:rsidRPr="00292532">
        <w:rPr>
          <w:rFonts w:asciiTheme="minorHAnsi" w:hAnsiTheme="minorHAnsi"/>
          <w:lang w:val="pt-PT"/>
        </w:rPr>
        <w:t xml:space="preserve">, na DNAAS será estabelecida uma Unidade de Implementação do </w:t>
      </w:r>
      <w:proofErr w:type="spellStart"/>
      <w:r w:rsidRPr="00292532">
        <w:rPr>
          <w:rFonts w:asciiTheme="minorHAnsi" w:hAnsiTheme="minorHAnsi"/>
          <w:lang w:val="pt-PT"/>
        </w:rPr>
        <w:t>Projecto</w:t>
      </w:r>
      <w:proofErr w:type="spellEnd"/>
      <w:r w:rsidRPr="00292532">
        <w:rPr>
          <w:rFonts w:asciiTheme="minorHAnsi" w:hAnsiTheme="minorHAnsi"/>
          <w:lang w:val="pt-PT"/>
        </w:rPr>
        <w:t xml:space="preserve"> (UIP/DNAAS), apoiada nas UIP existentes, que reportará administrativamente ao </w:t>
      </w:r>
      <w:proofErr w:type="spellStart"/>
      <w:r w:rsidRPr="00292532">
        <w:rPr>
          <w:rFonts w:asciiTheme="minorHAnsi" w:hAnsiTheme="minorHAnsi"/>
          <w:lang w:val="pt-PT"/>
        </w:rPr>
        <w:t>Director</w:t>
      </w:r>
      <w:proofErr w:type="spellEnd"/>
      <w:r w:rsidRPr="00292532">
        <w:rPr>
          <w:rFonts w:asciiTheme="minorHAnsi" w:hAnsiTheme="minorHAnsi"/>
          <w:lang w:val="pt-PT"/>
        </w:rPr>
        <w:t xml:space="preserve"> Nacional e tecnicamente ao Departamento de Saneamento (DS) da própria DNAAS. </w:t>
      </w:r>
    </w:p>
    <w:bookmarkEnd w:id="244"/>
    <w:p w14:paraId="5795CB3E" w14:textId="3D01743F" w:rsidR="00C31925" w:rsidRPr="00292532" w:rsidRDefault="00C31925" w:rsidP="00C31925">
      <w:pPr>
        <w:rPr>
          <w:rFonts w:asciiTheme="minorHAnsi" w:hAnsiTheme="minorHAnsi"/>
          <w:lang w:val="pt-PT"/>
        </w:rPr>
      </w:pPr>
      <w:r w:rsidRPr="00292532">
        <w:rPr>
          <w:rFonts w:asciiTheme="minorHAnsi" w:hAnsiTheme="minorHAnsi"/>
          <w:lang w:val="pt-PT"/>
        </w:rPr>
        <w:t xml:space="preserve">No quadro da implementação da </w:t>
      </w:r>
      <w:r w:rsidRPr="00292532">
        <w:rPr>
          <w:rFonts w:asciiTheme="minorHAnsi" w:hAnsiTheme="minorHAnsi"/>
          <w:szCs w:val="24"/>
          <w:u w:color="000000"/>
          <w:shd w:val="clear" w:color="auto" w:fill="FFFFFF"/>
          <w:lang w:val="pt-PT" w:eastAsia="pt-PT"/>
        </w:rPr>
        <w:t>Componente 2:</w:t>
      </w:r>
      <w:r w:rsidRPr="00292532">
        <w:rPr>
          <w:rFonts w:asciiTheme="minorHAnsi" w:hAnsiTheme="minorHAnsi"/>
          <w:b/>
          <w:bCs/>
          <w:szCs w:val="24"/>
          <w:u w:color="000000"/>
          <w:shd w:val="clear" w:color="auto" w:fill="FFFFFF"/>
          <w:lang w:val="pt-PT" w:eastAsia="pt-PT"/>
        </w:rPr>
        <w:t xml:space="preserve"> Fortalecimento dos serviços de abastecimento de água e saneamento nas zonas rurais</w:t>
      </w:r>
      <w:r w:rsidRPr="00292532" w:rsidDel="00A57B64">
        <w:rPr>
          <w:rFonts w:asciiTheme="minorHAnsi" w:hAnsiTheme="minorHAnsi"/>
          <w:lang w:val="pt-PT"/>
        </w:rPr>
        <w:t xml:space="preserve"> </w:t>
      </w:r>
      <w:r w:rsidRPr="00292532">
        <w:rPr>
          <w:rFonts w:asciiTheme="minorHAnsi" w:hAnsiTheme="minorHAnsi"/>
          <w:b/>
          <w:bCs/>
          <w:lang w:val="pt-PT"/>
        </w:rPr>
        <w:t xml:space="preserve">– </w:t>
      </w:r>
      <w:r w:rsidRPr="00292532">
        <w:rPr>
          <w:rFonts w:asciiTheme="minorHAnsi" w:hAnsiTheme="minorHAnsi"/>
          <w:bCs/>
          <w:lang w:val="pt-PT"/>
        </w:rPr>
        <w:t>A DNAAS assinará em separado com as</w:t>
      </w:r>
      <w:r w:rsidRPr="00292532">
        <w:rPr>
          <w:rFonts w:asciiTheme="minorHAnsi" w:hAnsiTheme="minorHAnsi" w:cs="Calibri"/>
          <w:lang w:val="pt-PT"/>
        </w:rPr>
        <w:t xml:space="preserve"> </w:t>
      </w:r>
      <w:proofErr w:type="spellStart"/>
      <w:r w:rsidRPr="00292532">
        <w:rPr>
          <w:rFonts w:asciiTheme="minorHAnsi" w:hAnsiTheme="minorHAnsi" w:cs="Calibri"/>
          <w:lang w:val="pt-PT"/>
        </w:rPr>
        <w:t>Direcções</w:t>
      </w:r>
      <w:proofErr w:type="spellEnd"/>
      <w:r w:rsidRPr="00292532">
        <w:rPr>
          <w:rFonts w:asciiTheme="minorHAnsi" w:hAnsiTheme="minorHAnsi" w:cs="Calibri"/>
          <w:lang w:val="pt-PT"/>
        </w:rPr>
        <w:t xml:space="preserve"> Prov</w:t>
      </w:r>
      <w:r w:rsidR="007C5057" w:rsidRPr="00292532">
        <w:rPr>
          <w:rFonts w:asciiTheme="minorHAnsi" w:hAnsiTheme="minorHAnsi" w:cs="Calibri"/>
          <w:lang w:val="pt-PT"/>
        </w:rPr>
        <w:t>i</w:t>
      </w:r>
      <w:r w:rsidRPr="00292532">
        <w:rPr>
          <w:rFonts w:asciiTheme="minorHAnsi" w:hAnsiTheme="minorHAnsi" w:cs="Calibri"/>
          <w:lang w:val="pt-PT"/>
        </w:rPr>
        <w:t xml:space="preserve">nciais de Obras Públicas (DPOP) de Zambézia e Nampula um “Acordo de Desempenho” para </w:t>
      </w:r>
      <w:r w:rsidRPr="00292532">
        <w:rPr>
          <w:rFonts w:asciiTheme="minorHAnsi" w:hAnsiTheme="minorHAnsi"/>
          <w:bCs/>
          <w:lang w:val="pt-PT"/>
        </w:rPr>
        <w:t xml:space="preserve">financiar, através de subvenções, </w:t>
      </w:r>
      <w:proofErr w:type="spellStart"/>
      <w:r w:rsidRPr="00292532">
        <w:rPr>
          <w:rFonts w:asciiTheme="minorHAnsi" w:hAnsiTheme="minorHAnsi"/>
          <w:bCs/>
          <w:lang w:val="pt-PT"/>
        </w:rPr>
        <w:t>actividades</w:t>
      </w:r>
      <w:proofErr w:type="spellEnd"/>
      <w:r w:rsidRPr="00292532">
        <w:rPr>
          <w:rFonts w:asciiTheme="minorHAnsi" w:hAnsiTheme="minorHAnsi"/>
          <w:bCs/>
          <w:lang w:val="pt-PT"/>
        </w:rPr>
        <w:t xml:space="preserve"> na melhoria de serviços de saneamento nas localidades selecionadas dessas províncias. Os termos dos Acordos deverão ser aceites pelo Banco Mundial.</w:t>
      </w:r>
    </w:p>
    <w:p w14:paraId="28A2E7B6" w14:textId="5AF7B697" w:rsidR="00C31925" w:rsidRPr="00292532" w:rsidRDefault="00C31925">
      <w:pPr>
        <w:pStyle w:val="Heading3"/>
        <w:rPr>
          <w:spacing w:val="-10"/>
        </w:rPr>
      </w:pPr>
      <w:bookmarkStart w:id="245" w:name="_Toc80379983"/>
      <w:r w:rsidRPr="00292532">
        <w:t>A Administração de Infraestruturas de Água e Saneamento, Instituto Público (A</w:t>
      </w:r>
      <w:r w:rsidRPr="00292532">
        <w:rPr>
          <w:spacing w:val="-1"/>
        </w:rPr>
        <w:t>I</w:t>
      </w:r>
      <w:r w:rsidRPr="00292532">
        <w:t>AS)</w:t>
      </w:r>
      <w:bookmarkEnd w:id="245"/>
    </w:p>
    <w:p w14:paraId="0C9FF0F6" w14:textId="77777777" w:rsidR="00C31925" w:rsidRPr="00292532" w:rsidRDefault="00C31925" w:rsidP="00C31925">
      <w:pPr>
        <w:rPr>
          <w:shd w:val="clear" w:color="auto" w:fill="FFFFFF"/>
          <w:lang w:val="pt-PT"/>
        </w:rPr>
      </w:pPr>
      <w:r w:rsidRPr="00292532">
        <w:rPr>
          <w:spacing w:val="-10"/>
          <w:lang w:val="pt-PT"/>
        </w:rPr>
        <w:t xml:space="preserve">AIAS </w:t>
      </w:r>
      <w:r w:rsidRPr="00292532">
        <w:rPr>
          <w:lang w:val="pt-PT"/>
        </w:rPr>
        <w:t>é</w:t>
      </w:r>
      <w:r w:rsidRPr="00292532">
        <w:rPr>
          <w:spacing w:val="3"/>
          <w:lang w:val="pt-PT"/>
        </w:rPr>
        <w:t xml:space="preserve"> </w:t>
      </w:r>
      <w:r w:rsidRPr="00292532">
        <w:rPr>
          <w:spacing w:val="-1"/>
          <w:lang w:val="pt-PT"/>
        </w:rPr>
        <w:t>u</w:t>
      </w:r>
      <w:r w:rsidRPr="00292532">
        <w:rPr>
          <w:spacing w:val="1"/>
          <w:lang w:val="pt-PT"/>
        </w:rPr>
        <w:t>m</w:t>
      </w:r>
      <w:r w:rsidRPr="00292532">
        <w:rPr>
          <w:lang w:val="pt-PT"/>
        </w:rPr>
        <w:t>a a</w:t>
      </w:r>
      <w:r w:rsidRPr="00292532">
        <w:rPr>
          <w:spacing w:val="-1"/>
          <w:lang w:val="pt-PT"/>
        </w:rPr>
        <w:t>g</w:t>
      </w:r>
      <w:r w:rsidRPr="00292532">
        <w:rPr>
          <w:lang w:val="pt-PT"/>
        </w:rPr>
        <w:t>ência</w:t>
      </w:r>
      <w:r w:rsidRPr="00292532">
        <w:rPr>
          <w:spacing w:val="4"/>
          <w:lang w:val="pt-PT"/>
        </w:rPr>
        <w:t xml:space="preserve"> </w:t>
      </w:r>
      <w:r w:rsidRPr="00292532">
        <w:rPr>
          <w:lang w:val="pt-PT"/>
        </w:rPr>
        <w:t>a</w:t>
      </w:r>
      <w:r w:rsidRPr="00292532">
        <w:rPr>
          <w:spacing w:val="-1"/>
          <w:lang w:val="pt-PT"/>
        </w:rPr>
        <w:t>u</w:t>
      </w:r>
      <w:r w:rsidRPr="00292532">
        <w:rPr>
          <w:spacing w:val="-2"/>
          <w:lang w:val="pt-PT"/>
        </w:rPr>
        <w:t>t</w:t>
      </w:r>
      <w:r w:rsidRPr="00292532">
        <w:rPr>
          <w:spacing w:val="-1"/>
          <w:lang w:val="pt-PT"/>
        </w:rPr>
        <w:t>ón</w:t>
      </w:r>
      <w:r w:rsidRPr="00292532">
        <w:rPr>
          <w:spacing w:val="1"/>
          <w:lang w:val="pt-PT"/>
        </w:rPr>
        <w:t>om</w:t>
      </w:r>
      <w:r w:rsidRPr="00292532">
        <w:rPr>
          <w:lang w:val="pt-PT"/>
        </w:rPr>
        <w:t>a</w:t>
      </w:r>
      <w:r w:rsidRPr="00292532">
        <w:rPr>
          <w:spacing w:val="1"/>
          <w:lang w:val="pt-PT"/>
        </w:rPr>
        <w:t xml:space="preserve"> </w:t>
      </w:r>
      <w:r w:rsidRPr="00292532">
        <w:rPr>
          <w:spacing w:val="-2"/>
          <w:lang w:val="pt-PT"/>
        </w:rPr>
        <w:t>s</w:t>
      </w:r>
      <w:r w:rsidRPr="00292532">
        <w:rPr>
          <w:spacing w:val="1"/>
          <w:lang w:val="pt-PT"/>
        </w:rPr>
        <w:t>o</w:t>
      </w:r>
      <w:r w:rsidRPr="00292532">
        <w:rPr>
          <w:lang w:val="pt-PT"/>
        </w:rPr>
        <w:t>b</w:t>
      </w:r>
      <w:r w:rsidRPr="00292532">
        <w:rPr>
          <w:spacing w:val="2"/>
          <w:lang w:val="pt-PT"/>
        </w:rPr>
        <w:t xml:space="preserve"> </w:t>
      </w:r>
      <w:r w:rsidRPr="00292532">
        <w:rPr>
          <w:lang w:val="pt-PT"/>
        </w:rPr>
        <w:t>a</w:t>
      </w:r>
      <w:r w:rsidRPr="00292532">
        <w:rPr>
          <w:spacing w:val="3"/>
          <w:lang w:val="pt-PT"/>
        </w:rPr>
        <w:t xml:space="preserve"> </w:t>
      </w:r>
      <w:r w:rsidRPr="00292532">
        <w:rPr>
          <w:lang w:val="pt-PT"/>
        </w:rPr>
        <w:t>su</w:t>
      </w:r>
      <w:r w:rsidRPr="00292532">
        <w:rPr>
          <w:spacing w:val="-2"/>
          <w:lang w:val="pt-PT"/>
        </w:rPr>
        <w:t>p</w:t>
      </w:r>
      <w:r w:rsidRPr="00292532">
        <w:rPr>
          <w:lang w:val="pt-PT"/>
        </w:rPr>
        <w:t>e</w:t>
      </w:r>
      <w:r w:rsidRPr="00292532">
        <w:rPr>
          <w:spacing w:val="-2"/>
          <w:lang w:val="pt-PT"/>
        </w:rPr>
        <w:t>r</w:t>
      </w:r>
      <w:r w:rsidRPr="00292532">
        <w:rPr>
          <w:spacing w:val="1"/>
          <w:lang w:val="pt-PT"/>
        </w:rPr>
        <w:t>v</w:t>
      </w:r>
      <w:r w:rsidRPr="00292532">
        <w:rPr>
          <w:lang w:val="pt-PT"/>
        </w:rPr>
        <w:t>is</w:t>
      </w:r>
      <w:r w:rsidRPr="00292532">
        <w:rPr>
          <w:spacing w:val="-3"/>
          <w:lang w:val="pt-PT"/>
        </w:rPr>
        <w:t>ã</w:t>
      </w:r>
      <w:r w:rsidRPr="00292532">
        <w:rPr>
          <w:lang w:val="pt-PT"/>
        </w:rPr>
        <w:t>o</w:t>
      </w:r>
      <w:r w:rsidRPr="00292532">
        <w:rPr>
          <w:spacing w:val="4"/>
          <w:lang w:val="pt-PT"/>
        </w:rPr>
        <w:t xml:space="preserve"> </w:t>
      </w:r>
      <w:r w:rsidRPr="00292532">
        <w:rPr>
          <w:spacing w:val="-1"/>
          <w:lang w:val="pt-PT"/>
        </w:rPr>
        <w:t>d</w:t>
      </w:r>
      <w:r w:rsidRPr="00292532">
        <w:rPr>
          <w:lang w:val="pt-PT"/>
        </w:rPr>
        <w:t>o</w:t>
      </w:r>
      <w:r w:rsidRPr="00292532">
        <w:rPr>
          <w:spacing w:val="2"/>
          <w:lang w:val="pt-PT"/>
        </w:rPr>
        <w:t xml:space="preserve"> </w:t>
      </w:r>
      <w:r w:rsidRPr="00292532">
        <w:rPr>
          <w:spacing w:val="1"/>
          <w:lang w:val="pt-PT"/>
        </w:rPr>
        <w:t>M</w:t>
      </w:r>
      <w:r w:rsidRPr="00292532">
        <w:rPr>
          <w:spacing w:val="-2"/>
          <w:lang w:val="pt-PT"/>
        </w:rPr>
        <w:t>O</w:t>
      </w:r>
      <w:r w:rsidRPr="00292532">
        <w:rPr>
          <w:spacing w:val="1"/>
          <w:lang w:val="pt-PT"/>
        </w:rPr>
        <w:t>P</w:t>
      </w:r>
      <w:r w:rsidRPr="00292532">
        <w:rPr>
          <w:spacing w:val="-1"/>
          <w:lang w:val="pt-PT"/>
        </w:rPr>
        <w:t>H</w:t>
      </w:r>
      <w:r w:rsidRPr="00292532">
        <w:rPr>
          <w:lang w:val="pt-PT"/>
        </w:rPr>
        <w:t>RH que é</w:t>
      </w:r>
      <w:r w:rsidRPr="00292532">
        <w:rPr>
          <w:spacing w:val="3"/>
          <w:lang w:val="pt-PT"/>
        </w:rPr>
        <w:t xml:space="preserve"> </w:t>
      </w:r>
      <w:r w:rsidRPr="00292532">
        <w:rPr>
          <w:lang w:val="pt-PT"/>
        </w:rPr>
        <w:t>r</w:t>
      </w:r>
      <w:r w:rsidRPr="00292532">
        <w:rPr>
          <w:spacing w:val="-2"/>
          <w:lang w:val="pt-PT"/>
        </w:rPr>
        <w:t>e</w:t>
      </w:r>
      <w:r w:rsidRPr="00292532">
        <w:rPr>
          <w:lang w:val="pt-PT"/>
        </w:rPr>
        <w:t>spons</w:t>
      </w:r>
      <w:r w:rsidRPr="00292532">
        <w:rPr>
          <w:spacing w:val="-3"/>
          <w:lang w:val="pt-PT"/>
        </w:rPr>
        <w:t>á</w:t>
      </w:r>
      <w:r w:rsidRPr="00292532">
        <w:rPr>
          <w:spacing w:val="1"/>
          <w:lang w:val="pt-PT"/>
        </w:rPr>
        <w:t>v</w:t>
      </w:r>
      <w:r w:rsidRPr="00292532">
        <w:rPr>
          <w:lang w:val="pt-PT"/>
        </w:rPr>
        <w:t xml:space="preserve">el </w:t>
      </w:r>
      <w:r w:rsidRPr="00292532">
        <w:rPr>
          <w:spacing w:val="-1"/>
          <w:lang w:val="pt-PT"/>
        </w:rPr>
        <w:t>p</w:t>
      </w:r>
      <w:r w:rsidRPr="00292532">
        <w:rPr>
          <w:lang w:val="pt-PT"/>
        </w:rPr>
        <w:t xml:space="preserve">ela </w:t>
      </w:r>
      <w:r w:rsidRPr="00292532">
        <w:rPr>
          <w:shd w:val="clear" w:color="auto" w:fill="FFFFFF"/>
          <w:lang w:val="pt-PT"/>
        </w:rPr>
        <w:t>gestão do património dos sistemas públicos secundários de distribuição de água e aqueles que lhe forem alocados, e pelos sistemas públicos de drenagem de águas residuais promovendo a sua gestão operacional autónoma, eficiente e financeiramente viável através da delegação a operadores privados ou outras entidades.</w:t>
      </w:r>
    </w:p>
    <w:p w14:paraId="6EEBB78D" w14:textId="77777777" w:rsidR="00C31925" w:rsidRPr="004500AE" w:rsidRDefault="00C31925" w:rsidP="00C31925">
      <w:pPr>
        <w:rPr>
          <w:rFonts w:eastAsia="Calibri" w:cs="Calibri"/>
          <w:color w:val="000000" w:themeColor="text1"/>
          <w:kern w:val="36"/>
          <w:lang w:val="pt-PT" w:eastAsia="x-none"/>
        </w:rPr>
      </w:pPr>
      <w:bookmarkStart w:id="246" w:name="_Hlk75445127"/>
      <w:r w:rsidRPr="004500AE">
        <w:rPr>
          <w:rFonts w:eastAsia="Calibri" w:cs="Times New Roman"/>
          <w:color w:val="000000" w:themeColor="text1"/>
          <w:lang w:val="pt-PT" w:eastAsia="x-none"/>
        </w:rPr>
        <w:t xml:space="preserve">Para a implementação deste </w:t>
      </w:r>
      <w:proofErr w:type="spellStart"/>
      <w:r w:rsidRPr="004500AE">
        <w:rPr>
          <w:rFonts w:eastAsia="Calibri" w:cs="Times New Roman"/>
          <w:color w:val="000000" w:themeColor="text1"/>
          <w:lang w:val="pt-PT" w:eastAsia="x-none"/>
        </w:rPr>
        <w:t>projecto</w:t>
      </w:r>
      <w:proofErr w:type="spellEnd"/>
      <w:r w:rsidRPr="004500AE">
        <w:rPr>
          <w:rFonts w:eastAsia="Calibri" w:cs="Times New Roman"/>
          <w:color w:val="000000" w:themeColor="text1"/>
          <w:lang w:val="pt-PT" w:eastAsia="x-none"/>
        </w:rPr>
        <w:t>, na AIAS deverá ser estabelecida uma UIP (UIP/AIAS) que estará enquadrada no Departamento de Controlo, Operações e Assistência Técnica (DCOAT) dessa instituição</w:t>
      </w:r>
      <w:bookmarkEnd w:id="246"/>
      <w:r w:rsidRPr="004500AE">
        <w:rPr>
          <w:rFonts w:eastAsia="Calibri" w:cs="Times New Roman"/>
          <w:color w:val="000000" w:themeColor="text1"/>
          <w:lang w:val="pt-PT" w:eastAsia="x-none"/>
        </w:rPr>
        <w:t>.</w:t>
      </w:r>
      <w:r w:rsidRPr="004500AE">
        <w:rPr>
          <w:rFonts w:eastAsia="Calibri" w:cs="Calibri"/>
          <w:color w:val="000000" w:themeColor="text1"/>
          <w:kern w:val="36"/>
          <w:lang w:val="pt-PT" w:eastAsia="x-none"/>
        </w:rPr>
        <w:t xml:space="preserve"> </w:t>
      </w:r>
    </w:p>
    <w:p w14:paraId="63ED802D" w14:textId="4A6C9EF1" w:rsidR="00C31925" w:rsidRPr="00292532" w:rsidRDefault="00C31925">
      <w:pPr>
        <w:pStyle w:val="Heading3"/>
      </w:pPr>
      <w:bookmarkStart w:id="247" w:name="_Toc80379984"/>
      <w:r w:rsidRPr="00292532">
        <w:t>A Autoridade Reguladora de Água, Instituto Público (AURA, IP)</w:t>
      </w:r>
      <w:bookmarkEnd w:id="247"/>
    </w:p>
    <w:p w14:paraId="295B242D" w14:textId="63E9EB02" w:rsidR="00C31925" w:rsidRPr="00292532" w:rsidRDefault="00C31925" w:rsidP="00C31925">
      <w:pPr>
        <w:rPr>
          <w:lang w:val="pt-PT"/>
        </w:rPr>
      </w:pPr>
      <w:r w:rsidRPr="00292532">
        <w:rPr>
          <w:lang w:val="pt-PT"/>
        </w:rPr>
        <w:t xml:space="preserve">A AURA,IP é um Instituto Público regulador e fiscalizador do serviço público de abastecimento de água e saneamento e tem entre outras a atribuição de regulação e fiscalização do serviço público de abastecimento de água e saneamento, incluindo o regime tarifário, acautelando, de forma imparcial e </w:t>
      </w:r>
      <w:proofErr w:type="spellStart"/>
      <w:r w:rsidR="007C5057" w:rsidRPr="00292532">
        <w:rPr>
          <w:lang w:val="pt-PT"/>
        </w:rPr>
        <w:t>obje</w:t>
      </w:r>
      <w:r w:rsidR="008C209A" w:rsidRPr="00292532">
        <w:rPr>
          <w:lang w:val="pt-PT"/>
        </w:rPr>
        <w:t>c</w:t>
      </w:r>
      <w:r w:rsidR="007C5057" w:rsidRPr="00292532">
        <w:rPr>
          <w:lang w:val="pt-PT"/>
        </w:rPr>
        <w:t>tiva</w:t>
      </w:r>
      <w:proofErr w:type="spellEnd"/>
      <w:r w:rsidRPr="00292532">
        <w:rPr>
          <w:lang w:val="pt-PT"/>
        </w:rPr>
        <w:t xml:space="preserve"> os interesses do Estado e dos consumidores ou utentes, assegurando o equilíbrio entre a qualidade do serviço prestado e a sustentabilidade económica e financeira das entidades responsáveis pela prestação do serviço. </w:t>
      </w:r>
    </w:p>
    <w:p w14:paraId="2887A66B" w14:textId="4EC352AC" w:rsidR="00847F66" w:rsidRDefault="00C31925" w:rsidP="00C31925">
      <w:pPr>
        <w:rPr>
          <w:lang w:val="pt-PT"/>
        </w:rPr>
      </w:pPr>
      <w:bookmarkStart w:id="248" w:name="_Hlk75445190"/>
      <w:r w:rsidRPr="00292532">
        <w:rPr>
          <w:lang w:val="pt-PT"/>
        </w:rPr>
        <w:t xml:space="preserve">A AURA IP </w:t>
      </w:r>
      <w:r w:rsidR="00857196">
        <w:rPr>
          <w:lang w:val="pt-PT"/>
        </w:rPr>
        <w:t xml:space="preserve">providenciará suporte à </w:t>
      </w:r>
      <w:r w:rsidRPr="00292532">
        <w:rPr>
          <w:lang w:val="pt-PT"/>
        </w:rPr>
        <w:t xml:space="preserve">componente de reforço da sustentabilidade dos serviços e apoio institucional de modo a estender o seu papel regulador às áreas rurais e sua consolidação em pequenas cidades, incluindo a revisões de modelos de contratos, modelos de tarifas e formas de subsídios para clientes de baixa renda, com o </w:t>
      </w:r>
      <w:proofErr w:type="spellStart"/>
      <w:r w:rsidRPr="00292532">
        <w:rPr>
          <w:lang w:val="pt-PT"/>
        </w:rPr>
        <w:t>objectivo</w:t>
      </w:r>
      <w:proofErr w:type="spellEnd"/>
      <w:r w:rsidRPr="00292532">
        <w:rPr>
          <w:lang w:val="pt-PT"/>
        </w:rPr>
        <w:t xml:space="preserve"> de melhorar o acesso inclusivo a serviços sustentáveis de abastecimento de água e saneamento</w:t>
      </w:r>
      <w:bookmarkEnd w:id="248"/>
      <w:r w:rsidRPr="00292532">
        <w:rPr>
          <w:lang w:val="pt-PT"/>
        </w:rPr>
        <w:t>.</w:t>
      </w:r>
    </w:p>
    <w:p w14:paraId="7AA03A19" w14:textId="77777777" w:rsidR="00D77D8B" w:rsidRDefault="00D77D8B" w:rsidP="004500AE">
      <w:pPr>
        <w:pStyle w:val="Heading3"/>
      </w:pPr>
      <w:bookmarkStart w:id="249" w:name="_Toc80379985"/>
      <w:r w:rsidRPr="00480D4E">
        <w:t>As Delega</w:t>
      </w:r>
      <w:r w:rsidRPr="00766CF4">
        <w:t>ções da AIAS</w:t>
      </w:r>
      <w:bookmarkEnd w:id="249"/>
    </w:p>
    <w:p w14:paraId="6FE1C3CB" w14:textId="2950F7FE" w:rsidR="00D77D8B" w:rsidRDefault="00D77D8B" w:rsidP="00D77D8B">
      <w:pPr>
        <w:rPr>
          <w:shd w:val="clear" w:color="auto" w:fill="FFFFFF"/>
          <w:lang w:val="pt-PT"/>
        </w:rPr>
      </w:pPr>
      <w:r>
        <w:rPr>
          <w:shd w:val="clear" w:color="auto" w:fill="FFFFFF"/>
          <w:lang w:val="pt-PT"/>
        </w:rPr>
        <w:t xml:space="preserve">As Delegações da AIAS nas províncias beneficiárias do </w:t>
      </w:r>
      <w:proofErr w:type="spellStart"/>
      <w:r>
        <w:rPr>
          <w:shd w:val="clear" w:color="auto" w:fill="FFFFFF"/>
          <w:lang w:val="pt-PT"/>
        </w:rPr>
        <w:t>projecto</w:t>
      </w:r>
      <w:proofErr w:type="spellEnd"/>
      <w:r>
        <w:rPr>
          <w:shd w:val="clear" w:color="auto" w:fill="FFFFFF"/>
          <w:lang w:val="pt-PT"/>
        </w:rPr>
        <w:t xml:space="preserve">, são </w:t>
      </w:r>
      <w:proofErr w:type="gramStart"/>
      <w:r>
        <w:rPr>
          <w:shd w:val="clear" w:color="auto" w:fill="FFFFFF"/>
          <w:lang w:val="pt-PT"/>
        </w:rPr>
        <w:t>representações  cuja</w:t>
      </w:r>
      <w:proofErr w:type="gramEnd"/>
      <w:r>
        <w:rPr>
          <w:shd w:val="clear" w:color="auto" w:fill="FFFFFF"/>
          <w:lang w:val="pt-PT"/>
        </w:rPr>
        <w:t xml:space="preserve"> função é assegurar a monitoria e acompanhamento das </w:t>
      </w:r>
      <w:proofErr w:type="spellStart"/>
      <w:r>
        <w:rPr>
          <w:shd w:val="clear" w:color="auto" w:fill="FFFFFF"/>
          <w:lang w:val="pt-PT"/>
        </w:rPr>
        <w:t>acções</w:t>
      </w:r>
      <w:proofErr w:type="spellEnd"/>
      <w:r>
        <w:rPr>
          <w:shd w:val="clear" w:color="auto" w:fill="FFFFFF"/>
          <w:lang w:val="pt-PT"/>
        </w:rPr>
        <w:t xml:space="preserve"> de investimento e operação desenvolvidas a nível local sob </w:t>
      </w:r>
      <w:r w:rsidR="00B85BA8">
        <w:rPr>
          <w:shd w:val="clear" w:color="auto" w:fill="FFFFFF"/>
          <w:lang w:val="pt-PT"/>
        </w:rPr>
        <w:t xml:space="preserve">sua </w:t>
      </w:r>
      <w:r>
        <w:rPr>
          <w:shd w:val="clear" w:color="auto" w:fill="FFFFFF"/>
          <w:lang w:val="pt-PT"/>
        </w:rPr>
        <w:t xml:space="preserve">coordenação central. </w:t>
      </w:r>
    </w:p>
    <w:p w14:paraId="77082910" w14:textId="042BF1C9" w:rsidR="00C31925" w:rsidRPr="00292532" w:rsidRDefault="00C31925">
      <w:pPr>
        <w:pStyle w:val="Heading3"/>
      </w:pPr>
      <w:bookmarkStart w:id="250" w:name="_Toc78435364"/>
      <w:bookmarkStart w:id="251" w:name="_Toc78435365"/>
      <w:bookmarkStart w:id="252" w:name="_Toc78435368"/>
      <w:bookmarkStart w:id="253" w:name="_Toc80379986"/>
      <w:bookmarkEnd w:id="250"/>
      <w:bookmarkEnd w:id="251"/>
      <w:bookmarkEnd w:id="252"/>
      <w:proofErr w:type="spellStart"/>
      <w:r w:rsidRPr="00292532">
        <w:t>Direcção</w:t>
      </w:r>
      <w:proofErr w:type="spellEnd"/>
      <w:r w:rsidRPr="00292532">
        <w:t xml:space="preserve"> Provincial de Obras Públicas</w:t>
      </w:r>
      <w:bookmarkEnd w:id="253"/>
      <w:r w:rsidRPr="00292532">
        <w:t xml:space="preserve"> </w:t>
      </w:r>
    </w:p>
    <w:p w14:paraId="0F1C54FC" w14:textId="4EDBC373" w:rsidR="00C31925" w:rsidRPr="00292532" w:rsidRDefault="00C31925" w:rsidP="00C31925">
      <w:pPr>
        <w:rPr>
          <w:lang w:val="pt-PT" w:eastAsia="x-none"/>
        </w:rPr>
      </w:pPr>
      <w:r w:rsidRPr="00292532">
        <w:rPr>
          <w:lang w:val="pt-PT"/>
        </w:rPr>
        <w:t xml:space="preserve">Os órgãos executivos de governação descentralizada provincial são pessoas </w:t>
      </w:r>
      <w:proofErr w:type="spellStart"/>
      <w:r w:rsidRPr="00292532">
        <w:rPr>
          <w:lang w:val="pt-PT"/>
        </w:rPr>
        <w:t>colectivas</w:t>
      </w:r>
      <w:proofErr w:type="spellEnd"/>
      <w:r w:rsidRPr="00292532">
        <w:rPr>
          <w:lang w:val="pt-PT"/>
        </w:rPr>
        <w:t xml:space="preserve"> de direito público, dotadas de personalidade jurídica, autonomia administrativa, patrimonial e financeira. A </w:t>
      </w:r>
      <w:proofErr w:type="spellStart"/>
      <w:r w:rsidRPr="00292532">
        <w:rPr>
          <w:lang w:val="pt-PT"/>
        </w:rPr>
        <w:t>Direcção</w:t>
      </w:r>
      <w:proofErr w:type="spellEnd"/>
      <w:r w:rsidRPr="00292532">
        <w:rPr>
          <w:lang w:val="pt-PT"/>
        </w:rPr>
        <w:t xml:space="preserve"> Provincial de Obras Pública pertence ao órgão executivo de governação </w:t>
      </w:r>
      <w:r w:rsidRPr="00292532">
        <w:rPr>
          <w:lang w:val="pt-PT"/>
        </w:rPr>
        <w:lastRenderedPageBreak/>
        <w:t xml:space="preserve">descentralizada provincial, e no âmbito do Abastecimento de Água e Saneamento tem as seguintes funções, com </w:t>
      </w:r>
      <w:proofErr w:type="spellStart"/>
      <w:r w:rsidRPr="00292532">
        <w:rPr>
          <w:lang w:val="pt-PT"/>
        </w:rPr>
        <w:t>excepção</w:t>
      </w:r>
      <w:proofErr w:type="spellEnd"/>
      <w:r w:rsidRPr="00292532">
        <w:rPr>
          <w:lang w:val="pt-PT"/>
        </w:rPr>
        <w:t xml:space="preserve"> das vilas e sedes distritais: a) garantir serviços de abastecimento de água e saneamento nas zonas rurais; b) assegurar a </w:t>
      </w:r>
      <w:proofErr w:type="spellStart"/>
      <w:r w:rsidRPr="00292532">
        <w:rPr>
          <w:lang w:val="pt-PT"/>
        </w:rPr>
        <w:t>actualização</w:t>
      </w:r>
      <w:proofErr w:type="spellEnd"/>
      <w:r w:rsidRPr="00292532">
        <w:rPr>
          <w:lang w:val="pt-PT"/>
        </w:rPr>
        <w:t xml:space="preserve"> do cadastro de infraestruturas de água e saneamento nas zonas rurais; c) promover a gestão autónoma dos sistemas de abastecimento de água e saneamento nas zonas rurais; d) promover o saneamento rural; e) promover o estabelecimento da rede de comercialização de bombas manuais e de peças sobressalentes na província; e f) incentivar o uso de sistemas de captação e retenção de águas pluviais na província. Estas funções realizam-se em coordenação com o órgão central.</w:t>
      </w:r>
      <w:r w:rsidRPr="00292532">
        <w:rPr>
          <w:highlight w:val="yellow"/>
          <w:lang w:val="pt-PT" w:eastAsia="x-none"/>
        </w:rPr>
        <w:t xml:space="preserve"> </w:t>
      </w:r>
    </w:p>
    <w:p w14:paraId="4CF4F8ED" w14:textId="77D9398A" w:rsidR="00C31925" w:rsidRPr="00292532" w:rsidRDefault="00C31925" w:rsidP="00C31925">
      <w:pPr>
        <w:rPr>
          <w:lang w:val="pt-PT" w:eastAsia="x-none"/>
        </w:rPr>
      </w:pPr>
      <w:bookmarkStart w:id="254" w:name="_Hlk75445218"/>
      <w:r w:rsidRPr="00292532">
        <w:rPr>
          <w:lang w:val="pt-PT" w:eastAsia="x-none"/>
        </w:rPr>
        <w:t xml:space="preserve">Para implementação do </w:t>
      </w:r>
      <w:proofErr w:type="spellStart"/>
      <w:r w:rsidRPr="00292532">
        <w:rPr>
          <w:lang w:val="pt-PT" w:eastAsia="x-none"/>
        </w:rPr>
        <w:t>Projecto</w:t>
      </w:r>
      <w:proofErr w:type="spellEnd"/>
      <w:r w:rsidRPr="00292532">
        <w:rPr>
          <w:lang w:val="pt-PT" w:eastAsia="x-none"/>
        </w:rPr>
        <w:t xml:space="preserve"> serão criadas Unidades Técnicas Provinciais (</w:t>
      </w:r>
      <w:proofErr w:type="spellStart"/>
      <w:r w:rsidRPr="00292532">
        <w:rPr>
          <w:lang w:val="pt-PT" w:eastAsia="x-none"/>
        </w:rPr>
        <w:t>UTPs</w:t>
      </w:r>
      <w:proofErr w:type="spellEnd"/>
      <w:r w:rsidRPr="00292532">
        <w:rPr>
          <w:lang w:val="pt-PT" w:eastAsia="x-none"/>
        </w:rPr>
        <w:t xml:space="preserve">) nas DPOP da Zambézia e Nampula, responsáveis pela implementação de todas componentes do </w:t>
      </w:r>
      <w:proofErr w:type="spellStart"/>
      <w:r w:rsidRPr="00292532">
        <w:rPr>
          <w:lang w:val="pt-PT" w:eastAsia="x-none"/>
        </w:rPr>
        <w:t>projecto</w:t>
      </w:r>
      <w:proofErr w:type="spellEnd"/>
      <w:r w:rsidRPr="00292532">
        <w:rPr>
          <w:lang w:val="pt-PT" w:eastAsia="x-none"/>
        </w:rPr>
        <w:t xml:space="preserve"> a nível local</w:t>
      </w:r>
      <w:r w:rsidR="005E1011" w:rsidRPr="00292532">
        <w:rPr>
          <w:lang w:val="pt-PT" w:eastAsia="x-none"/>
        </w:rPr>
        <w:t xml:space="preserve">. </w:t>
      </w:r>
      <w:r w:rsidRPr="00292532">
        <w:rPr>
          <w:lang w:val="pt-PT" w:eastAsia="x-none"/>
        </w:rPr>
        <w:t xml:space="preserve">Essas UT darão Assistência Técnica às autoridades distritais das áreas do </w:t>
      </w:r>
      <w:proofErr w:type="spellStart"/>
      <w:r w:rsidRPr="00292532">
        <w:rPr>
          <w:lang w:val="pt-PT" w:eastAsia="x-none"/>
        </w:rPr>
        <w:t>projecto</w:t>
      </w:r>
      <w:proofErr w:type="spellEnd"/>
      <w:r w:rsidRPr="00292532">
        <w:rPr>
          <w:lang w:val="pt-PT" w:eastAsia="x-none"/>
        </w:rPr>
        <w:t>, e os chefes dos Departamentos de Água e Saneamento serão os Coordenadores dessas UTP.</w:t>
      </w:r>
    </w:p>
    <w:bookmarkEnd w:id="254"/>
    <w:p w14:paraId="6CFE6A78" w14:textId="114EBC4A" w:rsidR="00C31925" w:rsidRPr="00292532" w:rsidRDefault="00C31925" w:rsidP="00C31925">
      <w:pPr>
        <w:spacing w:before="0" w:line="259" w:lineRule="auto"/>
        <w:jc w:val="left"/>
        <w:rPr>
          <w:rFonts w:asciiTheme="minorHAnsi" w:hAnsiTheme="minorHAnsi"/>
          <w:lang w:val="pt-PT" w:eastAsia="x-none"/>
        </w:rPr>
      </w:pPr>
    </w:p>
    <w:p w14:paraId="77477DA5" w14:textId="096AC7AC" w:rsidR="00C31925" w:rsidRPr="00292532" w:rsidRDefault="00C31925" w:rsidP="00C31925">
      <w:pPr>
        <w:pStyle w:val="Heading2"/>
      </w:pPr>
      <w:bookmarkStart w:id="255" w:name="_Toc78435370"/>
      <w:bookmarkStart w:id="256" w:name="_Toc78435371"/>
      <w:bookmarkStart w:id="257" w:name="_Toc78435372"/>
      <w:bookmarkStart w:id="258" w:name="_Toc14840072"/>
      <w:bookmarkStart w:id="259" w:name="_Toc80379987"/>
      <w:bookmarkEnd w:id="255"/>
      <w:bookmarkEnd w:id="256"/>
      <w:bookmarkEnd w:id="257"/>
      <w:r w:rsidRPr="00292532">
        <w:t xml:space="preserve">Estrutura de Implementação do </w:t>
      </w:r>
      <w:proofErr w:type="spellStart"/>
      <w:r w:rsidRPr="00292532">
        <w:t>Projecto</w:t>
      </w:r>
      <w:bookmarkEnd w:id="258"/>
      <w:bookmarkEnd w:id="259"/>
      <w:proofErr w:type="spellEnd"/>
    </w:p>
    <w:p w14:paraId="0CAC0D1E" w14:textId="5F66C231" w:rsidR="00C31925" w:rsidRPr="00C74A9C" w:rsidRDefault="00C74A9C" w:rsidP="00C31925">
      <w:pPr>
        <w:rPr>
          <w:lang w:val="pt-PT"/>
        </w:rPr>
      </w:pPr>
      <w:bookmarkStart w:id="260" w:name="_Hlk75445248"/>
      <w:r w:rsidRPr="004500AE">
        <w:rPr>
          <w:rFonts w:eastAsia="Calibri" w:cs="Times New Roman"/>
          <w:color w:val="000000"/>
          <w:lang w:val="pt-PT"/>
        </w:rPr>
        <w:t xml:space="preserve">O </w:t>
      </w:r>
      <w:proofErr w:type="spellStart"/>
      <w:r w:rsidRPr="004500AE">
        <w:rPr>
          <w:rFonts w:eastAsia="Calibri" w:cs="Times New Roman"/>
          <w:color w:val="000000"/>
          <w:lang w:val="pt-PT"/>
        </w:rPr>
        <w:t>projecto</w:t>
      </w:r>
      <w:proofErr w:type="spellEnd"/>
      <w:r w:rsidRPr="004500AE">
        <w:rPr>
          <w:rFonts w:eastAsia="Calibri" w:cs="Times New Roman"/>
          <w:color w:val="000000"/>
          <w:lang w:val="pt-PT"/>
        </w:rPr>
        <w:t xml:space="preserve"> será implementado pelo Ministério das Obras Públicas, Habitação e Recursos Hídricos (MOPHRH) através de uma estrutura baseada na DNAAS, na AIAS, na AURA, IP e nas DPOP da Zambézia e Nampula. Para tal, serão estabelecidas Unidades de Implementação do </w:t>
      </w:r>
      <w:proofErr w:type="spellStart"/>
      <w:r w:rsidRPr="004500AE">
        <w:rPr>
          <w:rFonts w:eastAsia="Calibri" w:cs="Times New Roman"/>
          <w:color w:val="000000"/>
          <w:lang w:val="pt-PT"/>
        </w:rPr>
        <w:t>Projecto</w:t>
      </w:r>
      <w:proofErr w:type="spellEnd"/>
      <w:r w:rsidRPr="004500AE">
        <w:rPr>
          <w:rFonts w:eastAsia="Calibri" w:cs="Times New Roman"/>
          <w:color w:val="000000"/>
          <w:lang w:val="pt-PT"/>
        </w:rPr>
        <w:t xml:space="preserve"> (UIP) na DNAAS</w:t>
      </w:r>
      <w:r w:rsidR="00857196">
        <w:rPr>
          <w:rFonts w:eastAsia="Calibri" w:cs="Times New Roman"/>
          <w:color w:val="000000"/>
          <w:lang w:val="pt-PT"/>
        </w:rPr>
        <w:t xml:space="preserve"> e</w:t>
      </w:r>
      <w:r w:rsidRPr="004500AE">
        <w:rPr>
          <w:rFonts w:eastAsia="Calibri" w:cs="Times New Roman"/>
          <w:color w:val="000000"/>
          <w:lang w:val="pt-PT"/>
        </w:rPr>
        <w:t xml:space="preserve"> AIAS </w:t>
      </w:r>
      <w:proofErr w:type="spellStart"/>
      <w:r w:rsidRPr="004500AE">
        <w:rPr>
          <w:rFonts w:eastAsia="Calibri" w:cs="Times New Roman"/>
          <w:color w:val="000000"/>
          <w:lang w:val="pt-PT"/>
        </w:rPr>
        <w:t>respectivamente</w:t>
      </w:r>
      <w:proofErr w:type="spellEnd"/>
      <w:r w:rsidRPr="004500AE">
        <w:rPr>
          <w:rFonts w:eastAsia="Calibri" w:cs="Times New Roman"/>
          <w:color w:val="000000"/>
          <w:lang w:val="pt-PT"/>
        </w:rPr>
        <w:t>, assentes nas UIP existente do PSU e WASIS II, e Unidades Técnicas Provinciais (UTP) em cada uma das duas províncias beneficiárias</w:t>
      </w:r>
      <w:r w:rsidR="00857196">
        <w:rPr>
          <w:rFonts w:eastAsia="Calibri" w:cs="Times New Roman"/>
          <w:color w:val="000000"/>
          <w:lang w:val="pt-PT"/>
        </w:rPr>
        <w:t>.</w:t>
      </w:r>
    </w:p>
    <w:p w14:paraId="4999FD30" w14:textId="77777777" w:rsidR="00C74A9C" w:rsidRPr="004500AE" w:rsidRDefault="00C74A9C" w:rsidP="004500AE">
      <w:pPr>
        <w:pStyle w:val="Heading3"/>
        <w:rPr>
          <w:b w:val="0"/>
        </w:rPr>
      </w:pPr>
      <w:bookmarkStart w:id="261" w:name="_Toc80379988"/>
      <w:r w:rsidRPr="004500AE">
        <w:t>A nível central</w:t>
      </w:r>
      <w:bookmarkEnd w:id="261"/>
    </w:p>
    <w:p w14:paraId="3393043D" w14:textId="77777777" w:rsidR="00C74A9C" w:rsidRPr="00C74A9C" w:rsidRDefault="00C74A9C" w:rsidP="00C74A9C">
      <w:pPr>
        <w:spacing w:before="0" w:after="120"/>
        <w:rPr>
          <w:rFonts w:eastAsia="Calibri" w:cs="Times New Roman"/>
          <w:color w:val="000000"/>
          <w:sz w:val="24"/>
          <w:lang w:val="pt-BR"/>
        </w:rPr>
      </w:pPr>
      <w:r w:rsidRPr="00C74A9C">
        <w:rPr>
          <w:rFonts w:eastAsia="Calibri" w:cs="Times New Roman"/>
          <w:color w:val="000000"/>
          <w:sz w:val="24"/>
          <w:lang w:val="pt-PT"/>
        </w:rPr>
        <w:t xml:space="preserve">A DNAAS será responsável pela coordenação geral do </w:t>
      </w:r>
      <w:proofErr w:type="spellStart"/>
      <w:r w:rsidRPr="00C74A9C">
        <w:rPr>
          <w:rFonts w:eastAsia="Calibri" w:cs="Times New Roman"/>
          <w:color w:val="000000"/>
          <w:sz w:val="24"/>
          <w:lang w:val="pt-PT"/>
        </w:rPr>
        <w:t>projecto</w:t>
      </w:r>
      <w:proofErr w:type="spellEnd"/>
      <w:r w:rsidRPr="00C74A9C">
        <w:rPr>
          <w:rFonts w:eastAsia="Calibri" w:cs="Times New Roman"/>
          <w:color w:val="000000"/>
          <w:sz w:val="24"/>
          <w:lang w:val="pt-PT"/>
        </w:rPr>
        <w:t xml:space="preserve">, planificação e monitoria e implementará a componente 2 – Fortalecimento dos serviços de abastecimento de água e saneamento nas zonas rurais, assim como parte da componente 3 – apoio institucional e à gestão do </w:t>
      </w:r>
      <w:proofErr w:type="spellStart"/>
      <w:r w:rsidRPr="00C74A9C">
        <w:rPr>
          <w:rFonts w:eastAsia="Calibri" w:cs="Times New Roman"/>
          <w:color w:val="000000"/>
          <w:sz w:val="24"/>
          <w:lang w:val="pt-PT"/>
        </w:rPr>
        <w:t>projecto</w:t>
      </w:r>
      <w:proofErr w:type="spellEnd"/>
      <w:r w:rsidRPr="00C74A9C">
        <w:rPr>
          <w:rFonts w:eastAsia="Calibri" w:cs="Times New Roman"/>
          <w:color w:val="000000"/>
          <w:sz w:val="24"/>
          <w:lang w:val="pt-BR"/>
        </w:rPr>
        <w:t>.</w:t>
      </w:r>
    </w:p>
    <w:p w14:paraId="2A165DEC" w14:textId="77777777" w:rsidR="00C74A9C" w:rsidRPr="00C74A9C" w:rsidRDefault="00C74A9C" w:rsidP="00C74A9C">
      <w:pPr>
        <w:spacing w:before="0" w:after="120"/>
        <w:rPr>
          <w:rFonts w:eastAsia="Calibri" w:cs="Times New Roman"/>
          <w:color w:val="000000"/>
          <w:sz w:val="24"/>
          <w:lang w:val="pt-PT"/>
        </w:rPr>
      </w:pPr>
      <w:r w:rsidRPr="00C74A9C">
        <w:rPr>
          <w:rFonts w:eastAsia="Calibri" w:cs="Times New Roman"/>
          <w:color w:val="000000"/>
          <w:sz w:val="24"/>
          <w:lang w:val="pt-PT"/>
        </w:rPr>
        <w:t xml:space="preserve">A UIP/DNAAS reportará administrativamente ao </w:t>
      </w:r>
      <w:proofErr w:type="spellStart"/>
      <w:r w:rsidRPr="00C74A9C">
        <w:rPr>
          <w:rFonts w:eastAsia="Calibri" w:cs="Times New Roman"/>
          <w:color w:val="000000"/>
          <w:sz w:val="24"/>
          <w:lang w:val="pt-PT"/>
        </w:rPr>
        <w:t>Director</w:t>
      </w:r>
      <w:proofErr w:type="spellEnd"/>
      <w:r w:rsidRPr="00C74A9C">
        <w:rPr>
          <w:rFonts w:eastAsia="Calibri" w:cs="Times New Roman"/>
          <w:color w:val="000000"/>
          <w:sz w:val="24"/>
          <w:lang w:val="pt-PT"/>
        </w:rPr>
        <w:t xml:space="preserve"> Nacional de Abastecimento de Água e Saneamento e tecnicamente aos Chefes de Departamentos de Abastecimento de Água (DAA) e de Saneamento (DS) da própria DNAAS, que desempenharão a função de Gestores do </w:t>
      </w:r>
      <w:proofErr w:type="spellStart"/>
      <w:r w:rsidRPr="00C74A9C">
        <w:rPr>
          <w:rFonts w:eastAsia="Calibri" w:cs="Times New Roman"/>
          <w:color w:val="000000"/>
          <w:sz w:val="24"/>
          <w:lang w:val="pt-PT"/>
        </w:rPr>
        <w:t>Projecto</w:t>
      </w:r>
      <w:proofErr w:type="spellEnd"/>
      <w:r w:rsidRPr="00C74A9C">
        <w:rPr>
          <w:rFonts w:eastAsia="Calibri" w:cs="Times New Roman"/>
          <w:color w:val="000000"/>
          <w:sz w:val="24"/>
          <w:lang w:val="pt-PT"/>
        </w:rPr>
        <w:t>.</w:t>
      </w:r>
    </w:p>
    <w:p w14:paraId="0FE7342E" w14:textId="77777777" w:rsidR="00C74A9C" w:rsidRPr="00C74A9C" w:rsidRDefault="00C74A9C" w:rsidP="00C74A9C">
      <w:pPr>
        <w:spacing w:before="0" w:after="120"/>
        <w:rPr>
          <w:rFonts w:eastAsia="Calibri" w:cs="Times New Roman"/>
          <w:color w:val="000000"/>
          <w:sz w:val="24"/>
          <w:lang w:val="pt-PT"/>
        </w:rPr>
      </w:pPr>
      <w:r w:rsidRPr="00C74A9C">
        <w:rPr>
          <w:rFonts w:eastAsia="Calibri" w:cs="Times New Roman"/>
          <w:color w:val="000000"/>
          <w:sz w:val="24"/>
          <w:szCs w:val="24"/>
          <w:lang w:val="pt-PT"/>
        </w:rPr>
        <w:t xml:space="preserve">A AIAS irá implementar a Componente 1 </w:t>
      </w:r>
      <w:r w:rsidRPr="00C74A9C">
        <w:rPr>
          <w:rFonts w:eastAsia="Calibri" w:cs="Times New Roman"/>
          <w:color w:val="000000"/>
          <w:sz w:val="24"/>
          <w:lang w:val="pt-PT"/>
        </w:rPr>
        <w:t>–</w:t>
      </w:r>
      <w:r w:rsidRPr="00C74A9C">
        <w:rPr>
          <w:rFonts w:eastAsia="Calibri" w:cs="Times New Roman"/>
          <w:color w:val="000000"/>
          <w:sz w:val="24"/>
          <w:szCs w:val="24"/>
          <w:lang w:val="pt-PT"/>
        </w:rPr>
        <w:t xml:space="preserve"> Fortalecimento dos serviços de abastecimento de água e saneamento nas vilas e pequenas cidades e parte da Componente 3 - </w:t>
      </w:r>
      <w:r w:rsidRPr="00C74A9C">
        <w:rPr>
          <w:rFonts w:eastAsia="Calibri" w:cs="Times New Roman"/>
          <w:color w:val="000000"/>
          <w:sz w:val="24"/>
          <w:lang w:val="pt-PT"/>
        </w:rPr>
        <w:t xml:space="preserve">apoio institucional e à gestão do </w:t>
      </w:r>
      <w:proofErr w:type="spellStart"/>
      <w:r w:rsidRPr="00C74A9C">
        <w:rPr>
          <w:rFonts w:eastAsia="Calibri" w:cs="Times New Roman"/>
          <w:color w:val="000000"/>
          <w:sz w:val="24"/>
          <w:lang w:val="pt-PT"/>
        </w:rPr>
        <w:t>projecto</w:t>
      </w:r>
      <w:proofErr w:type="spellEnd"/>
      <w:r w:rsidRPr="00C74A9C">
        <w:rPr>
          <w:rFonts w:eastAsia="Calibri" w:cs="Times New Roman"/>
          <w:color w:val="000000"/>
          <w:sz w:val="24"/>
          <w:lang w:val="pt-PT"/>
        </w:rPr>
        <w:t xml:space="preserve">. </w:t>
      </w:r>
    </w:p>
    <w:p w14:paraId="33C97F43" w14:textId="77777777" w:rsidR="00C74A9C" w:rsidRPr="00C74A9C" w:rsidRDefault="00C74A9C" w:rsidP="00C74A9C">
      <w:pPr>
        <w:spacing w:before="0" w:after="120"/>
        <w:rPr>
          <w:rFonts w:eastAsia="Calibri" w:cs="Times New Roman"/>
          <w:color w:val="000000"/>
          <w:sz w:val="24"/>
          <w:szCs w:val="24"/>
          <w:lang w:val="pt-PT"/>
        </w:rPr>
      </w:pPr>
      <w:r w:rsidRPr="00C74A9C">
        <w:rPr>
          <w:rFonts w:eastAsia="Calibri" w:cs="Times New Roman"/>
          <w:color w:val="000000"/>
          <w:sz w:val="24"/>
          <w:lang w:val="pt-PT"/>
        </w:rPr>
        <w:t xml:space="preserve">A UIP/AIAS reportará administrativamente ao </w:t>
      </w:r>
      <w:proofErr w:type="spellStart"/>
      <w:r w:rsidRPr="00C74A9C">
        <w:rPr>
          <w:rFonts w:eastAsia="Calibri" w:cs="Times New Roman"/>
          <w:color w:val="000000"/>
          <w:sz w:val="24"/>
          <w:lang w:val="pt-PT"/>
        </w:rPr>
        <w:t>Director</w:t>
      </w:r>
      <w:proofErr w:type="spellEnd"/>
      <w:r w:rsidRPr="00C74A9C">
        <w:rPr>
          <w:rFonts w:eastAsia="Calibri" w:cs="Times New Roman"/>
          <w:color w:val="000000"/>
          <w:sz w:val="24"/>
          <w:lang w:val="pt-PT"/>
        </w:rPr>
        <w:t xml:space="preserve"> Executivo da AIAS e tecnicamente ao </w:t>
      </w:r>
      <w:r w:rsidRPr="00C74A9C">
        <w:rPr>
          <w:rFonts w:eastAsia="Calibri" w:cs="Times New Roman"/>
          <w:color w:val="000000"/>
          <w:sz w:val="24"/>
          <w:szCs w:val="24"/>
          <w:lang w:val="pt-PT"/>
        </w:rPr>
        <w:t xml:space="preserve">Departamento de Controlo, Operações e Assistência Técnica (DCOAT), </w:t>
      </w:r>
      <w:r w:rsidRPr="00C74A9C">
        <w:rPr>
          <w:rFonts w:eastAsia="Calibri" w:cs="Times New Roman"/>
          <w:color w:val="000000"/>
          <w:sz w:val="24"/>
          <w:lang w:val="pt-PT"/>
        </w:rPr>
        <w:t xml:space="preserve">que desempenhará a função de Gestor do </w:t>
      </w:r>
      <w:proofErr w:type="spellStart"/>
      <w:r w:rsidRPr="00C74A9C">
        <w:rPr>
          <w:rFonts w:eastAsia="Calibri" w:cs="Times New Roman"/>
          <w:color w:val="000000"/>
          <w:sz w:val="24"/>
          <w:lang w:val="pt-PT"/>
        </w:rPr>
        <w:t>Projecto</w:t>
      </w:r>
      <w:proofErr w:type="spellEnd"/>
      <w:r w:rsidRPr="00C74A9C">
        <w:rPr>
          <w:rFonts w:eastAsia="Calibri" w:cs="Times New Roman"/>
          <w:color w:val="000000"/>
          <w:sz w:val="24"/>
          <w:szCs w:val="24"/>
          <w:lang w:val="pt-PT"/>
        </w:rPr>
        <w:t xml:space="preserve"> e irá</w:t>
      </w:r>
      <w:r w:rsidRPr="00C74A9C">
        <w:rPr>
          <w:rFonts w:eastAsia="Calibri" w:cs="Times New Roman"/>
          <w:color w:val="000000"/>
          <w:sz w:val="24"/>
          <w:lang w:val="pt-PT"/>
        </w:rPr>
        <w:t xml:space="preserve"> </w:t>
      </w:r>
      <w:r w:rsidRPr="00C74A9C">
        <w:rPr>
          <w:rFonts w:eastAsia="Calibri" w:cs="Times New Roman"/>
          <w:color w:val="000000"/>
          <w:sz w:val="24"/>
          <w:szCs w:val="24"/>
          <w:lang w:val="pt-PT"/>
        </w:rPr>
        <w:t xml:space="preserve">apoiar-se nas </w:t>
      </w:r>
      <w:proofErr w:type="spellStart"/>
      <w:r w:rsidRPr="00C74A9C">
        <w:rPr>
          <w:rFonts w:eastAsia="Calibri" w:cs="Times New Roman"/>
          <w:color w:val="000000"/>
          <w:sz w:val="24"/>
          <w:szCs w:val="24"/>
          <w:lang w:val="pt-PT"/>
        </w:rPr>
        <w:t>Delagações</w:t>
      </w:r>
      <w:proofErr w:type="spellEnd"/>
      <w:r w:rsidRPr="00C74A9C">
        <w:rPr>
          <w:rFonts w:eastAsia="Calibri" w:cs="Times New Roman"/>
          <w:color w:val="000000"/>
          <w:sz w:val="24"/>
          <w:szCs w:val="24"/>
          <w:lang w:val="pt-PT"/>
        </w:rPr>
        <w:t xml:space="preserve"> da AIAS existentes nas duas províncias beneficiárias.</w:t>
      </w:r>
    </w:p>
    <w:p w14:paraId="00CD7415" w14:textId="7D27C5D1" w:rsidR="00C74A9C" w:rsidRPr="00C74A9C" w:rsidRDefault="00C74A9C" w:rsidP="00C74A9C">
      <w:pPr>
        <w:spacing w:before="0" w:after="120"/>
        <w:rPr>
          <w:rFonts w:eastAsia="Calibri" w:cs="Times New Roman"/>
          <w:color w:val="000000"/>
          <w:szCs w:val="24"/>
          <w:lang w:val="pt-PT" w:eastAsia="x-none"/>
        </w:rPr>
      </w:pPr>
      <w:r w:rsidRPr="00C74A9C">
        <w:rPr>
          <w:rFonts w:eastAsia="Calibri" w:cs="Times New Roman"/>
          <w:color w:val="000000"/>
          <w:sz w:val="24"/>
          <w:szCs w:val="24"/>
          <w:lang w:val="pt-PT" w:eastAsia="x-none"/>
        </w:rPr>
        <w:t xml:space="preserve">A AURA, IP </w:t>
      </w:r>
      <w:r w:rsidR="00857196">
        <w:rPr>
          <w:rFonts w:eastAsia="Calibri" w:cs="Times New Roman"/>
          <w:color w:val="000000"/>
          <w:sz w:val="24"/>
          <w:szCs w:val="24"/>
          <w:lang w:val="pt-PT" w:eastAsia="x-none"/>
        </w:rPr>
        <w:t xml:space="preserve">providenciará suporte à </w:t>
      </w:r>
      <w:r w:rsidRPr="00C74A9C">
        <w:rPr>
          <w:rFonts w:eastAsia="Calibri" w:cs="Times New Roman"/>
          <w:color w:val="000000"/>
          <w:sz w:val="24"/>
          <w:szCs w:val="24"/>
          <w:lang w:val="pt-PT" w:eastAsia="x-none"/>
        </w:rPr>
        <w:t xml:space="preserve">Componente 3 </w:t>
      </w:r>
      <w:r w:rsidR="009D5832" w:rsidRPr="00C74A9C">
        <w:rPr>
          <w:rFonts w:eastAsia="Calibri" w:cs="Times New Roman"/>
          <w:color w:val="000000"/>
          <w:sz w:val="24"/>
          <w:szCs w:val="24"/>
          <w:lang w:val="pt-PT" w:eastAsia="x-none"/>
        </w:rPr>
        <w:t>– apoio</w:t>
      </w:r>
      <w:r w:rsidRPr="00C74A9C">
        <w:rPr>
          <w:rFonts w:eastAsia="Calibri" w:cs="Times New Roman"/>
          <w:color w:val="000000"/>
          <w:lang w:val="pt-PT" w:eastAsia="x-none"/>
        </w:rPr>
        <w:t xml:space="preserve"> institucional e à gestão do </w:t>
      </w:r>
      <w:proofErr w:type="spellStart"/>
      <w:proofErr w:type="gramStart"/>
      <w:r w:rsidRPr="00C74A9C">
        <w:rPr>
          <w:rFonts w:eastAsia="Calibri" w:cs="Times New Roman"/>
          <w:color w:val="000000"/>
          <w:lang w:val="pt-PT" w:eastAsia="x-none"/>
        </w:rPr>
        <w:t>projecto</w:t>
      </w:r>
      <w:proofErr w:type="spellEnd"/>
      <w:r w:rsidRPr="00C74A9C">
        <w:rPr>
          <w:rFonts w:eastAsia="Calibri" w:cs="Times New Roman"/>
          <w:color w:val="000000"/>
          <w:lang w:val="pt-PT" w:eastAsia="x-none"/>
        </w:rPr>
        <w:t xml:space="preserve"> </w:t>
      </w:r>
      <w:r w:rsidRPr="00C74A9C">
        <w:rPr>
          <w:rFonts w:eastAsia="Calibri" w:cs="Times New Roman"/>
          <w:color w:val="000000"/>
          <w:sz w:val="24"/>
          <w:szCs w:val="24"/>
          <w:lang w:val="pt-PT" w:eastAsia="x-none"/>
        </w:rPr>
        <w:t xml:space="preserve"> de</w:t>
      </w:r>
      <w:proofErr w:type="gramEnd"/>
      <w:r w:rsidRPr="00C74A9C">
        <w:rPr>
          <w:rFonts w:eastAsia="Calibri" w:cs="Times New Roman"/>
          <w:color w:val="000000"/>
          <w:sz w:val="24"/>
          <w:szCs w:val="24"/>
          <w:lang w:val="pt-PT" w:eastAsia="x-none"/>
        </w:rPr>
        <w:t xml:space="preserve"> modo a estender a </w:t>
      </w:r>
      <w:proofErr w:type="spellStart"/>
      <w:r w:rsidRPr="00C74A9C">
        <w:rPr>
          <w:rFonts w:eastAsia="Calibri" w:cs="Times New Roman"/>
          <w:color w:val="000000"/>
          <w:sz w:val="24"/>
          <w:szCs w:val="24"/>
          <w:lang w:val="pt-PT" w:eastAsia="x-none"/>
        </w:rPr>
        <w:t>acção</w:t>
      </w:r>
      <w:proofErr w:type="spellEnd"/>
      <w:r w:rsidRPr="00C74A9C">
        <w:rPr>
          <w:rFonts w:eastAsia="Calibri" w:cs="Times New Roman"/>
          <w:color w:val="000000"/>
          <w:sz w:val="24"/>
          <w:szCs w:val="24"/>
          <w:lang w:val="pt-PT" w:eastAsia="x-none"/>
        </w:rPr>
        <w:t xml:space="preserve"> regulatória para o espaço rural e sua consolidação em pequenas cidades e vilas, incluindo a revisão de modelos de contratos, modelos de tarifas e formas de subsídios para clientes de baixa renda, com o </w:t>
      </w:r>
      <w:proofErr w:type="spellStart"/>
      <w:r w:rsidRPr="00C74A9C">
        <w:rPr>
          <w:rFonts w:eastAsia="Calibri" w:cs="Times New Roman"/>
          <w:color w:val="000000"/>
          <w:sz w:val="24"/>
          <w:szCs w:val="24"/>
          <w:lang w:val="pt-PT" w:eastAsia="x-none"/>
        </w:rPr>
        <w:t>objectivo</w:t>
      </w:r>
      <w:proofErr w:type="spellEnd"/>
      <w:r w:rsidRPr="00C74A9C">
        <w:rPr>
          <w:rFonts w:eastAsia="Calibri" w:cs="Times New Roman"/>
          <w:color w:val="000000"/>
          <w:sz w:val="24"/>
          <w:szCs w:val="24"/>
          <w:lang w:val="pt-PT" w:eastAsia="x-none"/>
        </w:rPr>
        <w:t xml:space="preserve"> de melhorar o acesso inclusivo a serviços sustentáveis de abastecimento de água e saneamento.</w:t>
      </w:r>
    </w:p>
    <w:p w14:paraId="64EB00D9" w14:textId="78089E38" w:rsidR="00C74A9C" w:rsidRPr="00C74A9C" w:rsidRDefault="00C74A9C" w:rsidP="00C74A9C">
      <w:pPr>
        <w:spacing w:before="0" w:after="120"/>
        <w:rPr>
          <w:rFonts w:eastAsia="Calibri" w:cs="Times New Roman"/>
          <w:color w:val="000000"/>
          <w:sz w:val="24"/>
          <w:lang w:val="pt-PT"/>
        </w:rPr>
      </w:pPr>
      <w:r w:rsidRPr="00C74A9C">
        <w:rPr>
          <w:rFonts w:eastAsia="Calibri" w:cs="Times New Roman"/>
          <w:color w:val="000000"/>
          <w:sz w:val="24"/>
          <w:lang w:val="pt-PT"/>
        </w:rPr>
        <w:lastRenderedPageBreak/>
        <w:t xml:space="preserve">A UIP/AURA reportará administrativamente ao Presidente do Conselho de Administração da </w:t>
      </w:r>
      <w:r w:rsidR="008908C0" w:rsidRPr="00C74A9C">
        <w:rPr>
          <w:rFonts w:eastAsia="Calibri" w:cs="Times New Roman"/>
          <w:color w:val="000000"/>
          <w:sz w:val="24"/>
          <w:lang w:val="pt-PT"/>
        </w:rPr>
        <w:t>AURA, IP</w:t>
      </w:r>
      <w:r w:rsidRPr="00C74A9C">
        <w:rPr>
          <w:rFonts w:eastAsia="Calibri" w:cs="Times New Roman"/>
          <w:color w:val="000000"/>
          <w:sz w:val="24"/>
          <w:lang w:val="pt-PT"/>
        </w:rPr>
        <w:t xml:space="preserve"> e tecnicamente ao Administrador do Pelouro, que desempenhará a função de Gestor do </w:t>
      </w:r>
      <w:proofErr w:type="spellStart"/>
      <w:r w:rsidRPr="00C74A9C">
        <w:rPr>
          <w:rFonts w:eastAsia="Calibri" w:cs="Times New Roman"/>
          <w:color w:val="000000"/>
          <w:sz w:val="24"/>
          <w:lang w:val="pt-PT"/>
        </w:rPr>
        <w:t>Projecto</w:t>
      </w:r>
      <w:proofErr w:type="spellEnd"/>
      <w:r w:rsidRPr="00C74A9C">
        <w:rPr>
          <w:rFonts w:eastAsia="Calibri" w:cs="Times New Roman"/>
          <w:color w:val="000000"/>
          <w:sz w:val="24"/>
          <w:lang w:val="pt-PT"/>
        </w:rPr>
        <w:t>.</w:t>
      </w:r>
    </w:p>
    <w:p w14:paraId="309AB9B7" w14:textId="3BF3B2A3" w:rsidR="00C74A9C" w:rsidRPr="004500AE" w:rsidRDefault="00C74A9C" w:rsidP="004500AE">
      <w:pPr>
        <w:pStyle w:val="Heading3"/>
        <w:rPr>
          <w:b w:val="0"/>
        </w:rPr>
      </w:pPr>
      <w:bookmarkStart w:id="262" w:name="_Toc80379989"/>
      <w:r w:rsidRPr="004500AE">
        <w:t>A nível provincial</w:t>
      </w:r>
      <w:bookmarkEnd w:id="262"/>
    </w:p>
    <w:p w14:paraId="3AD37B05" w14:textId="77777777" w:rsidR="00C74A9C" w:rsidRPr="00C74A9C" w:rsidRDefault="00C74A9C" w:rsidP="00C74A9C">
      <w:pPr>
        <w:spacing w:before="0" w:after="120"/>
        <w:rPr>
          <w:rFonts w:eastAsia="Calibri" w:cs="Times New Roman"/>
          <w:color w:val="000000"/>
          <w:sz w:val="24"/>
          <w:lang w:val="pt-PT" w:eastAsia="x-none"/>
        </w:rPr>
      </w:pPr>
      <w:r w:rsidRPr="00C74A9C">
        <w:rPr>
          <w:rFonts w:eastAsia="Calibri" w:cs="Times New Roman"/>
          <w:color w:val="000000"/>
          <w:sz w:val="24"/>
          <w:lang w:val="pt-PT"/>
        </w:rPr>
        <w:t xml:space="preserve">As </w:t>
      </w:r>
      <w:r w:rsidRPr="00C74A9C">
        <w:rPr>
          <w:rFonts w:eastAsia="Calibri" w:cs="Times New Roman"/>
          <w:color w:val="000000"/>
          <w:sz w:val="24"/>
          <w:lang w:val="pt-PT" w:eastAsia="x-none"/>
        </w:rPr>
        <w:t xml:space="preserve">DPOP da Zambézia e Nampula, </w:t>
      </w:r>
      <w:proofErr w:type="spellStart"/>
      <w:r w:rsidRPr="00C74A9C">
        <w:rPr>
          <w:rFonts w:eastAsia="Calibri" w:cs="Times New Roman"/>
          <w:color w:val="000000"/>
          <w:sz w:val="24"/>
          <w:lang w:val="pt-PT" w:eastAsia="x-none"/>
        </w:rPr>
        <w:t>repectivamente</w:t>
      </w:r>
      <w:proofErr w:type="spellEnd"/>
      <w:r w:rsidRPr="00C74A9C">
        <w:rPr>
          <w:rFonts w:eastAsia="Calibri" w:cs="Times New Roman"/>
          <w:color w:val="000000"/>
          <w:sz w:val="24"/>
          <w:lang w:val="pt-PT" w:eastAsia="x-none"/>
        </w:rPr>
        <w:t xml:space="preserve"> são responsáveis pela implementação das </w:t>
      </w:r>
      <w:proofErr w:type="spellStart"/>
      <w:r w:rsidRPr="00C74A9C">
        <w:rPr>
          <w:rFonts w:eastAsia="Calibri" w:cs="Times New Roman"/>
          <w:color w:val="000000"/>
          <w:sz w:val="24"/>
          <w:lang w:val="pt-PT" w:eastAsia="x-none"/>
        </w:rPr>
        <w:t>actividades</w:t>
      </w:r>
      <w:proofErr w:type="spellEnd"/>
      <w:r w:rsidRPr="00C74A9C">
        <w:rPr>
          <w:rFonts w:eastAsia="Calibri" w:cs="Times New Roman"/>
          <w:color w:val="000000"/>
          <w:sz w:val="24"/>
          <w:lang w:val="pt-PT" w:eastAsia="x-none"/>
        </w:rPr>
        <w:t xml:space="preserve"> das componentes sob implementação da DNAAS a nível local com impacto no investimento e sua sustentabilidade, nomeadamente i) capacitação e fortalecimento institucional; </w:t>
      </w:r>
      <w:proofErr w:type="spellStart"/>
      <w:r w:rsidRPr="00C74A9C">
        <w:rPr>
          <w:rFonts w:eastAsia="Calibri" w:cs="Times New Roman"/>
          <w:color w:val="000000"/>
          <w:sz w:val="24"/>
          <w:lang w:val="pt-PT" w:eastAsia="x-none"/>
        </w:rPr>
        <w:t>ii</w:t>
      </w:r>
      <w:proofErr w:type="spellEnd"/>
      <w:r w:rsidRPr="00C74A9C">
        <w:rPr>
          <w:rFonts w:eastAsia="Calibri" w:cs="Times New Roman"/>
          <w:color w:val="000000"/>
          <w:sz w:val="24"/>
          <w:lang w:val="pt-PT" w:eastAsia="x-none"/>
        </w:rPr>
        <w:t xml:space="preserve">) apoio operacional para sustentabilidade dos investimentos, promoção de água, saneamento e higiene e M&amp;A a nível distrital; </w:t>
      </w:r>
      <w:proofErr w:type="spellStart"/>
      <w:r w:rsidRPr="00C74A9C">
        <w:rPr>
          <w:rFonts w:eastAsia="Calibri" w:cs="Times New Roman"/>
          <w:color w:val="000000"/>
          <w:sz w:val="24"/>
          <w:lang w:val="pt-PT" w:eastAsia="x-none"/>
        </w:rPr>
        <w:t>iii</w:t>
      </w:r>
      <w:proofErr w:type="spellEnd"/>
      <w:r w:rsidRPr="00C74A9C">
        <w:rPr>
          <w:rFonts w:eastAsia="Calibri" w:cs="Times New Roman"/>
          <w:color w:val="000000"/>
          <w:sz w:val="24"/>
          <w:lang w:val="pt-PT" w:eastAsia="x-none"/>
        </w:rPr>
        <w:t xml:space="preserve">) manutenção das fontes dispersas; </w:t>
      </w:r>
      <w:proofErr w:type="spellStart"/>
      <w:r w:rsidRPr="00C74A9C">
        <w:rPr>
          <w:rFonts w:eastAsia="Calibri" w:cs="Times New Roman"/>
          <w:color w:val="000000"/>
          <w:sz w:val="24"/>
          <w:lang w:val="pt-PT" w:eastAsia="x-none"/>
        </w:rPr>
        <w:t>iv</w:t>
      </w:r>
      <w:proofErr w:type="spellEnd"/>
      <w:r w:rsidRPr="00C74A9C">
        <w:rPr>
          <w:rFonts w:eastAsia="Calibri" w:cs="Times New Roman"/>
          <w:color w:val="000000"/>
          <w:sz w:val="24"/>
          <w:lang w:val="pt-PT" w:eastAsia="x-none"/>
        </w:rPr>
        <w:t xml:space="preserve">) investimentos para eficiência energética e resiliência climática; v) investimentos no saneamento localizado a nível institucional e domiciliário; e vi) investimento em novas fontes dispersas,  através das DPOP e dos Governos Distritais. A DNAAS e as DPOP assim como a DPOP e os Governos Distritais assinarão acordos de desempenho que irá reger a implementação do </w:t>
      </w:r>
      <w:proofErr w:type="spellStart"/>
      <w:r w:rsidRPr="00C74A9C">
        <w:rPr>
          <w:rFonts w:eastAsia="Calibri" w:cs="Times New Roman"/>
          <w:color w:val="000000"/>
          <w:sz w:val="24"/>
          <w:lang w:val="pt-PT" w:eastAsia="x-none"/>
        </w:rPr>
        <w:t>Projecto</w:t>
      </w:r>
      <w:proofErr w:type="spellEnd"/>
      <w:r w:rsidRPr="00C74A9C">
        <w:rPr>
          <w:rFonts w:eastAsia="Calibri" w:cs="Times New Roman"/>
          <w:color w:val="000000"/>
          <w:sz w:val="24"/>
          <w:lang w:val="pt-PT" w:eastAsia="x-none"/>
        </w:rPr>
        <w:t xml:space="preserve"> a nível provincial. O Banco Mundial terá que concordar com os acordos de desempenho.</w:t>
      </w:r>
    </w:p>
    <w:p w14:paraId="5E234AFA" w14:textId="77777777" w:rsidR="00C74A9C" w:rsidRPr="00C74A9C" w:rsidRDefault="00C74A9C" w:rsidP="00C74A9C">
      <w:pPr>
        <w:spacing w:before="0" w:after="120"/>
        <w:rPr>
          <w:rFonts w:eastAsia="Calibri" w:cs="Times New Roman"/>
          <w:color w:val="000000"/>
          <w:sz w:val="24"/>
          <w:lang w:val="pt-PT"/>
        </w:rPr>
      </w:pPr>
      <w:r w:rsidRPr="00C74A9C">
        <w:rPr>
          <w:rFonts w:eastAsia="Calibri" w:cs="Times New Roman"/>
          <w:color w:val="000000"/>
          <w:sz w:val="24"/>
          <w:lang w:val="pt-PT" w:eastAsia="x-none"/>
        </w:rPr>
        <w:t xml:space="preserve">As UTP reportarão administrativamente ao </w:t>
      </w:r>
      <w:proofErr w:type="spellStart"/>
      <w:r w:rsidRPr="00C74A9C">
        <w:rPr>
          <w:rFonts w:eastAsia="Calibri" w:cs="Times New Roman"/>
          <w:color w:val="000000"/>
          <w:sz w:val="24"/>
          <w:lang w:val="pt-PT" w:eastAsia="x-none"/>
        </w:rPr>
        <w:t>Director</w:t>
      </w:r>
      <w:proofErr w:type="spellEnd"/>
      <w:r w:rsidRPr="00C74A9C">
        <w:rPr>
          <w:rFonts w:eastAsia="Calibri" w:cs="Times New Roman"/>
          <w:color w:val="000000"/>
          <w:sz w:val="24"/>
          <w:lang w:val="pt-PT" w:eastAsia="x-none"/>
        </w:rPr>
        <w:t xml:space="preserve"> Provincial de Obras Públicas e tecnicamente ao Departamento de Água e Saneamento, e trabalharão em articulação com as Delegações do AIAS nas matérias de interesse.</w:t>
      </w:r>
      <w:r w:rsidRPr="00C74A9C">
        <w:rPr>
          <w:rFonts w:eastAsia="Calibri" w:cs="Times New Roman"/>
          <w:color w:val="000000"/>
          <w:sz w:val="24"/>
          <w:lang w:val="pt-PT"/>
        </w:rPr>
        <w:t xml:space="preserve"> </w:t>
      </w:r>
    </w:p>
    <w:p w14:paraId="631EFF6B" w14:textId="535FDDDD" w:rsidR="00C74A9C" w:rsidRDefault="00C74A9C" w:rsidP="00C74A9C">
      <w:pPr>
        <w:rPr>
          <w:lang w:val="pt-PT"/>
        </w:rPr>
      </w:pPr>
      <w:r w:rsidRPr="00C74A9C">
        <w:rPr>
          <w:rFonts w:eastAsia="Calibri" w:cs="Times New Roman"/>
          <w:color w:val="000000"/>
          <w:sz w:val="24"/>
          <w:shd w:val="clear" w:color="auto" w:fill="FFFFFF"/>
          <w:lang w:val="pt-PT"/>
        </w:rPr>
        <w:t xml:space="preserve">As Delegações Provinciais da AIAS irão apoiar a implementação das </w:t>
      </w:r>
      <w:proofErr w:type="spellStart"/>
      <w:r w:rsidRPr="00C74A9C">
        <w:rPr>
          <w:rFonts w:eastAsia="Calibri" w:cs="Times New Roman"/>
          <w:color w:val="000000"/>
          <w:sz w:val="24"/>
          <w:shd w:val="clear" w:color="auto" w:fill="FFFFFF"/>
          <w:lang w:val="pt-PT"/>
        </w:rPr>
        <w:t>actividades</w:t>
      </w:r>
      <w:proofErr w:type="spellEnd"/>
      <w:r w:rsidRPr="00C74A9C">
        <w:rPr>
          <w:rFonts w:eastAsia="Calibri" w:cs="Times New Roman"/>
          <w:color w:val="000000"/>
          <w:sz w:val="24"/>
          <w:shd w:val="clear" w:color="auto" w:fill="FFFFFF"/>
          <w:lang w:val="pt-PT"/>
        </w:rPr>
        <w:t xml:space="preserve"> sob responsabilidade da AIAS nas duas províncias beneficiárias, em articulação com as UTP da</w:t>
      </w:r>
      <w:r w:rsidR="00F13DAA">
        <w:rPr>
          <w:rFonts w:eastAsia="Calibri" w:cs="Times New Roman"/>
          <w:color w:val="000000"/>
          <w:sz w:val="24"/>
          <w:shd w:val="clear" w:color="auto" w:fill="FFFFFF"/>
          <w:lang w:val="pt-PT"/>
        </w:rPr>
        <w:t>s</w:t>
      </w:r>
      <w:r w:rsidRPr="00C74A9C">
        <w:rPr>
          <w:rFonts w:eastAsia="Calibri" w:cs="Times New Roman"/>
          <w:color w:val="000000"/>
          <w:sz w:val="24"/>
          <w:shd w:val="clear" w:color="auto" w:fill="FFFFFF"/>
          <w:lang w:val="pt-PT"/>
        </w:rPr>
        <w:t xml:space="preserve"> duas províncias</w:t>
      </w:r>
    </w:p>
    <w:p w14:paraId="2E3CCDC9" w14:textId="77777777" w:rsidR="00F13DAA" w:rsidRPr="004500AE" w:rsidRDefault="00F13DAA" w:rsidP="004500AE">
      <w:pPr>
        <w:pStyle w:val="Heading3"/>
        <w:rPr>
          <w:b w:val="0"/>
        </w:rPr>
      </w:pPr>
      <w:bookmarkStart w:id="263" w:name="_Toc80379990"/>
      <w:r w:rsidRPr="004500AE">
        <w:t>A nível distrital</w:t>
      </w:r>
      <w:bookmarkEnd w:id="263"/>
    </w:p>
    <w:p w14:paraId="482CB574" w14:textId="66622B11" w:rsidR="00F13DAA" w:rsidRDefault="00DB7BFE" w:rsidP="00F13DAA">
      <w:pPr>
        <w:spacing w:before="0" w:after="120"/>
        <w:rPr>
          <w:rFonts w:eastAsia="Calibri" w:cs="Times New Roman"/>
          <w:color w:val="000000"/>
          <w:sz w:val="24"/>
          <w:lang w:val="pt-PT"/>
        </w:rPr>
      </w:pPr>
      <w:r w:rsidRPr="00DB7BFE">
        <w:rPr>
          <w:rFonts w:eastAsia="Calibri" w:cs="Times New Roman"/>
          <w:color w:val="000000"/>
          <w:sz w:val="24"/>
          <w:lang w:val="pt-PT"/>
        </w:rPr>
        <w:t xml:space="preserve">O Serviço Distrital de Planeamento e </w:t>
      </w:r>
      <w:proofErr w:type="spellStart"/>
      <w:r w:rsidRPr="00DB7BFE">
        <w:rPr>
          <w:rFonts w:eastAsia="Calibri" w:cs="Times New Roman"/>
          <w:color w:val="000000"/>
          <w:sz w:val="24"/>
          <w:lang w:val="pt-PT"/>
        </w:rPr>
        <w:t>Infra-estruturas</w:t>
      </w:r>
      <w:proofErr w:type="spellEnd"/>
      <w:r w:rsidRPr="00DB7BFE">
        <w:rPr>
          <w:rFonts w:eastAsia="Calibri" w:cs="Times New Roman"/>
          <w:color w:val="000000"/>
          <w:sz w:val="24"/>
          <w:lang w:val="pt-PT"/>
        </w:rPr>
        <w:t xml:space="preserve"> (SDPI) é a entidade governamental distrital que coordena a implementação de </w:t>
      </w:r>
      <w:proofErr w:type="spellStart"/>
      <w:r w:rsidRPr="00DB7BFE">
        <w:rPr>
          <w:rFonts w:eastAsia="Calibri" w:cs="Times New Roman"/>
          <w:color w:val="000000"/>
          <w:sz w:val="24"/>
          <w:lang w:val="pt-PT"/>
        </w:rPr>
        <w:t>actividades</w:t>
      </w:r>
      <w:proofErr w:type="spellEnd"/>
      <w:r w:rsidRPr="00DB7BFE">
        <w:rPr>
          <w:rFonts w:eastAsia="Calibri" w:cs="Times New Roman"/>
          <w:color w:val="000000"/>
          <w:sz w:val="24"/>
          <w:lang w:val="pt-PT"/>
        </w:rPr>
        <w:t xml:space="preserve"> de abastecimento de água e saneamento nas comunidades. De acordo com as normas de organização territorial, o Distrito é a principal unidade territorial para a organização e funcionamento da Administração Local do Estado e a base para a planificação do desenvolvimento económico, social e cultural de Moçambique. </w:t>
      </w:r>
      <w:r w:rsidR="00B91438">
        <w:rPr>
          <w:rFonts w:eastAsia="Calibri" w:cs="Times New Roman"/>
          <w:color w:val="000000"/>
          <w:sz w:val="24"/>
          <w:lang w:val="pt-PT"/>
        </w:rPr>
        <w:t>Assim, a c</w:t>
      </w:r>
      <w:r w:rsidR="008908C0">
        <w:rPr>
          <w:rFonts w:eastAsia="Calibri" w:cs="Times New Roman"/>
          <w:color w:val="000000"/>
          <w:sz w:val="24"/>
          <w:lang w:val="pt-PT"/>
        </w:rPr>
        <w:t xml:space="preserve">omponente 2.2 </w:t>
      </w:r>
      <w:r w:rsidR="00B91438">
        <w:rPr>
          <w:rFonts w:eastAsia="Calibri" w:cs="Times New Roman"/>
          <w:color w:val="000000"/>
          <w:sz w:val="24"/>
          <w:lang w:val="pt-PT"/>
        </w:rPr>
        <w:t xml:space="preserve">cujo fundos serão alocados aos distritos abrangidos obedecerão as normas </w:t>
      </w:r>
      <w:proofErr w:type="spellStart"/>
      <w:r w:rsidR="00B91438">
        <w:rPr>
          <w:rFonts w:eastAsia="Calibri" w:cs="Times New Roman"/>
          <w:color w:val="000000"/>
          <w:sz w:val="24"/>
          <w:lang w:val="pt-PT"/>
        </w:rPr>
        <w:t>plamadas</w:t>
      </w:r>
      <w:proofErr w:type="spellEnd"/>
      <w:r w:rsidR="00B91438">
        <w:rPr>
          <w:rFonts w:eastAsia="Calibri" w:cs="Times New Roman"/>
          <w:color w:val="000000"/>
          <w:sz w:val="24"/>
          <w:lang w:val="pt-PT"/>
        </w:rPr>
        <w:t xml:space="preserve"> no PRONASAR. Deste modo caberá aos distritos, a planificação e orçamentação das </w:t>
      </w:r>
      <w:proofErr w:type="spellStart"/>
      <w:r w:rsidR="00B91438">
        <w:rPr>
          <w:rFonts w:eastAsia="Calibri" w:cs="Times New Roman"/>
          <w:color w:val="000000"/>
          <w:sz w:val="24"/>
          <w:lang w:val="pt-PT"/>
        </w:rPr>
        <w:t>actividades</w:t>
      </w:r>
      <w:proofErr w:type="spellEnd"/>
      <w:r w:rsidR="00B91438">
        <w:rPr>
          <w:rFonts w:eastAsia="Calibri" w:cs="Times New Roman"/>
          <w:color w:val="000000"/>
          <w:sz w:val="24"/>
          <w:lang w:val="pt-PT"/>
        </w:rPr>
        <w:t xml:space="preserve"> selecionadas, a licitação e a implementação e supervisão das </w:t>
      </w:r>
      <w:proofErr w:type="spellStart"/>
      <w:r w:rsidR="00B91438">
        <w:rPr>
          <w:rFonts w:eastAsia="Calibri" w:cs="Times New Roman"/>
          <w:color w:val="000000"/>
          <w:sz w:val="24"/>
          <w:lang w:val="pt-PT"/>
        </w:rPr>
        <w:t>actividades</w:t>
      </w:r>
      <w:proofErr w:type="spellEnd"/>
      <w:r w:rsidR="00B91438">
        <w:rPr>
          <w:rFonts w:eastAsia="Calibri" w:cs="Times New Roman"/>
          <w:color w:val="000000"/>
          <w:sz w:val="24"/>
          <w:lang w:val="pt-PT"/>
        </w:rPr>
        <w:t xml:space="preserve"> selecionadas. Os distritos terão a obrigatoriedade de preparar os relatórios semestrais e anuais de balanço.</w:t>
      </w:r>
    </w:p>
    <w:p w14:paraId="27B9B13B" w14:textId="77777777" w:rsidR="00F13DAA" w:rsidRPr="00F13DAA" w:rsidRDefault="00F13DAA" w:rsidP="00F13DAA">
      <w:pPr>
        <w:spacing w:before="0" w:after="120"/>
        <w:rPr>
          <w:rFonts w:eastAsia="Calibri" w:cs="Times New Roman"/>
          <w:color w:val="000000"/>
          <w:sz w:val="24"/>
          <w:lang w:val="pt-PT"/>
        </w:rPr>
      </w:pPr>
    </w:p>
    <w:p w14:paraId="7D3187CA" w14:textId="77777777" w:rsidR="00F13DAA" w:rsidRPr="004500AE" w:rsidRDefault="00F13DAA" w:rsidP="004500AE">
      <w:pPr>
        <w:pStyle w:val="Heading3"/>
        <w:rPr>
          <w:b w:val="0"/>
        </w:rPr>
      </w:pPr>
      <w:bookmarkStart w:id="264" w:name="_Toc80379991"/>
      <w:r w:rsidRPr="004500AE">
        <w:t xml:space="preserve">Coordenação do </w:t>
      </w:r>
      <w:proofErr w:type="spellStart"/>
      <w:r w:rsidRPr="004500AE">
        <w:t>Projecto</w:t>
      </w:r>
      <w:bookmarkEnd w:id="264"/>
      <w:proofErr w:type="spellEnd"/>
    </w:p>
    <w:p w14:paraId="73C0AA80" w14:textId="7DAAD40F" w:rsidR="00C74A9C" w:rsidRDefault="00F13DAA" w:rsidP="00F13DAA">
      <w:pPr>
        <w:rPr>
          <w:lang w:val="pt-PT"/>
        </w:rPr>
      </w:pPr>
      <w:r w:rsidRPr="00F13DAA">
        <w:rPr>
          <w:rFonts w:eastAsia="Calibri" w:cs="Times New Roman"/>
          <w:color w:val="000000"/>
          <w:sz w:val="24"/>
          <w:szCs w:val="24"/>
          <w:lang w:val="pt-PT"/>
        </w:rPr>
        <w:t xml:space="preserve">A DNAAS será encarregue de fazer a coordenação geral da implementação do </w:t>
      </w:r>
      <w:proofErr w:type="spellStart"/>
      <w:r w:rsidRPr="00F13DAA">
        <w:rPr>
          <w:rFonts w:eastAsia="Calibri" w:cs="Times New Roman"/>
          <w:color w:val="000000"/>
          <w:sz w:val="24"/>
          <w:szCs w:val="24"/>
          <w:lang w:val="pt-PT"/>
        </w:rPr>
        <w:t>Projecto</w:t>
      </w:r>
      <w:proofErr w:type="spellEnd"/>
      <w:r w:rsidRPr="00F13DAA">
        <w:rPr>
          <w:rFonts w:eastAsia="Calibri" w:cs="Times New Roman"/>
          <w:color w:val="000000"/>
          <w:sz w:val="24"/>
          <w:szCs w:val="24"/>
          <w:lang w:val="pt-PT"/>
        </w:rPr>
        <w:t xml:space="preserve">. O coordenador geral do </w:t>
      </w:r>
      <w:proofErr w:type="spellStart"/>
      <w:r w:rsidRPr="00F13DAA">
        <w:rPr>
          <w:rFonts w:eastAsia="Calibri" w:cs="Times New Roman"/>
          <w:color w:val="000000"/>
          <w:sz w:val="24"/>
          <w:szCs w:val="24"/>
          <w:lang w:val="pt-PT"/>
        </w:rPr>
        <w:t>Projecto</w:t>
      </w:r>
      <w:proofErr w:type="spellEnd"/>
      <w:r w:rsidRPr="00F13DAA">
        <w:rPr>
          <w:rFonts w:eastAsia="Calibri" w:cs="Times New Roman"/>
          <w:color w:val="000000"/>
          <w:sz w:val="24"/>
          <w:szCs w:val="24"/>
          <w:lang w:val="pt-PT"/>
        </w:rPr>
        <w:t xml:space="preserve"> estará baseado na DNAAS e fará a coordenação do trabalho das três UIP assumindo a chefia técnica e administrativa do </w:t>
      </w:r>
      <w:proofErr w:type="spellStart"/>
      <w:r w:rsidRPr="00F13DAA">
        <w:rPr>
          <w:rFonts w:eastAsia="Calibri" w:cs="Times New Roman"/>
          <w:color w:val="000000"/>
          <w:sz w:val="24"/>
          <w:szCs w:val="24"/>
          <w:lang w:val="pt-PT"/>
        </w:rPr>
        <w:t>projecto</w:t>
      </w:r>
      <w:proofErr w:type="spellEnd"/>
      <w:r w:rsidRPr="00F13DAA">
        <w:rPr>
          <w:rFonts w:eastAsia="Calibri" w:cs="Times New Roman"/>
          <w:color w:val="000000"/>
          <w:sz w:val="24"/>
          <w:szCs w:val="24"/>
          <w:lang w:val="pt-PT"/>
        </w:rPr>
        <w:t xml:space="preserve"> com responsabilidade de comando das equipas das três UIP </w:t>
      </w:r>
      <w:r w:rsidR="0088417E">
        <w:rPr>
          <w:rFonts w:eastAsia="Calibri" w:cs="Times New Roman"/>
          <w:color w:val="000000"/>
          <w:sz w:val="24"/>
          <w:szCs w:val="24"/>
          <w:lang w:val="pt-PT"/>
        </w:rPr>
        <w:t xml:space="preserve">reportando </w:t>
      </w:r>
      <w:r w:rsidRPr="00F13DAA">
        <w:rPr>
          <w:rFonts w:eastAsia="Calibri" w:cs="Times New Roman"/>
          <w:color w:val="000000"/>
          <w:sz w:val="24"/>
          <w:szCs w:val="24"/>
          <w:lang w:val="pt-PT"/>
        </w:rPr>
        <w:t>ao chefe do Departamento de Controlo, Operação e Assistência Técnica (DCOAT) da AIAS, e ao Administrador do Pelouro da AURA,</w:t>
      </w:r>
      <w:r w:rsidR="008908C0">
        <w:rPr>
          <w:rFonts w:eastAsia="Calibri" w:cs="Times New Roman"/>
          <w:color w:val="000000"/>
          <w:sz w:val="24"/>
          <w:szCs w:val="24"/>
          <w:lang w:val="pt-PT"/>
        </w:rPr>
        <w:t xml:space="preserve"> </w:t>
      </w:r>
      <w:r w:rsidRPr="00F13DAA">
        <w:rPr>
          <w:rFonts w:eastAsia="Calibri" w:cs="Times New Roman"/>
          <w:color w:val="000000"/>
          <w:sz w:val="24"/>
          <w:szCs w:val="24"/>
          <w:lang w:val="pt-PT"/>
        </w:rPr>
        <w:t xml:space="preserve">IP, os quais </w:t>
      </w:r>
      <w:r w:rsidR="008908C0" w:rsidRPr="00F13DAA">
        <w:rPr>
          <w:rFonts w:eastAsia="Calibri" w:cs="Times New Roman"/>
          <w:color w:val="000000"/>
          <w:sz w:val="24"/>
          <w:szCs w:val="24"/>
          <w:lang w:val="pt-PT"/>
        </w:rPr>
        <w:t>terão papéis</w:t>
      </w:r>
      <w:r w:rsidRPr="00F13DAA">
        <w:rPr>
          <w:rFonts w:eastAsia="Calibri" w:cs="Times New Roman"/>
          <w:color w:val="000000"/>
          <w:sz w:val="24"/>
          <w:szCs w:val="24"/>
          <w:lang w:val="pt-PT"/>
        </w:rPr>
        <w:t xml:space="preserve"> de supervisão da gestão </w:t>
      </w:r>
      <w:r w:rsidRPr="00F13DAA">
        <w:rPr>
          <w:rFonts w:eastAsia="Calibri" w:cs="Times New Roman"/>
          <w:color w:val="000000"/>
          <w:sz w:val="24"/>
          <w:szCs w:val="24"/>
          <w:lang w:val="pt-PT"/>
        </w:rPr>
        <w:lastRenderedPageBreak/>
        <w:t xml:space="preserve">do </w:t>
      </w:r>
      <w:proofErr w:type="spellStart"/>
      <w:r w:rsidRPr="00F13DAA">
        <w:rPr>
          <w:rFonts w:eastAsia="Calibri" w:cs="Times New Roman"/>
          <w:color w:val="000000"/>
          <w:sz w:val="24"/>
          <w:szCs w:val="24"/>
          <w:lang w:val="pt-PT"/>
        </w:rPr>
        <w:t>Projecto</w:t>
      </w:r>
      <w:proofErr w:type="spellEnd"/>
      <w:r w:rsidRPr="00F13DAA">
        <w:rPr>
          <w:rFonts w:eastAsia="Calibri" w:cs="Times New Roman"/>
          <w:color w:val="000000"/>
          <w:sz w:val="24"/>
          <w:szCs w:val="24"/>
          <w:lang w:val="pt-PT"/>
        </w:rPr>
        <w:t xml:space="preserve"> nas suas </w:t>
      </w:r>
      <w:proofErr w:type="spellStart"/>
      <w:r w:rsidRPr="00F13DAA">
        <w:rPr>
          <w:rFonts w:eastAsia="Calibri" w:cs="Times New Roman"/>
          <w:color w:val="000000"/>
          <w:sz w:val="24"/>
          <w:szCs w:val="24"/>
          <w:lang w:val="pt-PT"/>
        </w:rPr>
        <w:t>respectivas</w:t>
      </w:r>
      <w:proofErr w:type="spellEnd"/>
      <w:r w:rsidRPr="00F13DAA">
        <w:rPr>
          <w:rFonts w:eastAsia="Calibri" w:cs="Times New Roman"/>
          <w:color w:val="000000"/>
          <w:sz w:val="24"/>
          <w:szCs w:val="24"/>
          <w:lang w:val="pt-PT"/>
        </w:rPr>
        <w:t xml:space="preserve"> instituições. Esta configuração da estrutura de implementação do </w:t>
      </w:r>
      <w:proofErr w:type="spellStart"/>
      <w:r w:rsidRPr="00F13DAA">
        <w:rPr>
          <w:rFonts w:eastAsia="Calibri" w:cs="Times New Roman"/>
          <w:color w:val="000000"/>
          <w:sz w:val="24"/>
          <w:szCs w:val="24"/>
          <w:lang w:val="pt-PT"/>
        </w:rPr>
        <w:t>projecto</w:t>
      </w:r>
      <w:proofErr w:type="spellEnd"/>
      <w:r w:rsidRPr="00F13DAA">
        <w:rPr>
          <w:rFonts w:eastAsia="Calibri" w:cs="Times New Roman"/>
          <w:color w:val="000000"/>
          <w:sz w:val="24"/>
          <w:szCs w:val="24"/>
          <w:lang w:val="pt-PT"/>
        </w:rPr>
        <w:t xml:space="preserve"> baseada em três UIP dirigidas por um Coordenador do </w:t>
      </w:r>
      <w:proofErr w:type="spellStart"/>
      <w:r w:rsidRPr="00F13DAA">
        <w:rPr>
          <w:rFonts w:eastAsia="Calibri" w:cs="Times New Roman"/>
          <w:color w:val="000000"/>
          <w:sz w:val="24"/>
          <w:szCs w:val="24"/>
          <w:lang w:val="pt-PT"/>
        </w:rPr>
        <w:t>Projecto</w:t>
      </w:r>
      <w:proofErr w:type="spellEnd"/>
      <w:r w:rsidRPr="00F13DAA">
        <w:rPr>
          <w:rFonts w:eastAsia="Calibri" w:cs="Times New Roman"/>
          <w:color w:val="000000"/>
          <w:sz w:val="24"/>
          <w:szCs w:val="24"/>
          <w:lang w:val="pt-PT"/>
        </w:rPr>
        <w:t xml:space="preserve"> responde à necessidade de garantir a apropriação dos resultados, a prestação de contas, a capacitação do pessoal e a continuidade das </w:t>
      </w:r>
      <w:proofErr w:type="spellStart"/>
      <w:r w:rsidRPr="00F13DAA">
        <w:rPr>
          <w:rFonts w:eastAsia="Calibri" w:cs="Times New Roman"/>
          <w:color w:val="000000"/>
          <w:sz w:val="24"/>
          <w:szCs w:val="24"/>
          <w:lang w:val="pt-PT"/>
        </w:rPr>
        <w:t>actividades</w:t>
      </w:r>
      <w:proofErr w:type="spellEnd"/>
      <w:r w:rsidRPr="00F13DAA">
        <w:rPr>
          <w:rFonts w:eastAsia="Calibri" w:cs="Times New Roman"/>
          <w:color w:val="000000"/>
          <w:sz w:val="24"/>
          <w:szCs w:val="24"/>
          <w:lang w:val="pt-PT"/>
        </w:rPr>
        <w:t xml:space="preserve"> do </w:t>
      </w:r>
      <w:proofErr w:type="spellStart"/>
      <w:r w:rsidRPr="00F13DAA">
        <w:rPr>
          <w:rFonts w:eastAsia="Calibri" w:cs="Times New Roman"/>
          <w:color w:val="000000"/>
          <w:sz w:val="24"/>
          <w:szCs w:val="24"/>
          <w:lang w:val="pt-PT"/>
        </w:rPr>
        <w:t>projecto</w:t>
      </w:r>
      <w:proofErr w:type="spellEnd"/>
      <w:r w:rsidRPr="00F13DAA">
        <w:rPr>
          <w:rFonts w:eastAsia="Calibri" w:cs="Times New Roman"/>
          <w:color w:val="000000"/>
          <w:sz w:val="24"/>
          <w:szCs w:val="24"/>
          <w:lang w:val="pt-PT"/>
        </w:rPr>
        <w:t xml:space="preserve"> nas instituições existentes após o encerramento do </w:t>
      </w:r>
      <w:proofErr w:type="spellStart"/>
      <w:r w:rsidRPr="00F13DAA">
        <w:rPr>
          <w:rFonts w:eastAsia="Calibri" w:cs="Times New Roman"/>
          <w:color w:val="000000"/>
          <w:sz w:val="24"/>
          <w:szCs w:val="24"/>
          <w:lang w:val="pt-PT"/>
        </w:rPr>
        <w:t>projecto</w:t>
      </w:r>
      <w:proofErr w:type="spellEnd"/>
      <w:r w:rsidRPr="00F13DAA">
        <w:rPr>
          <w:rFonts w:eastAsia="Calibri" w:cs="Times New Roman"/>
          <w:color w:val="000000"/>
          <w:sz w:val="24"/>
          <w:szCs w:val="24"/>
          <w:lang w:val="pt-PT"/>
        </w:rPr>
        <w:t xml:space="preserve">. Fica também assim garantida a fluidez na </w:t>
      </w:r>
      <w:proofErr w:type="spellStart"/>
      <w:r w:rsidRPr="00F13DAA">
        <w:rPr>
          <w:rFonts w:eastAsia="Calibri" w:cs="Times New Roman"/>
          <w:color w:val="000000"/>
          <w:sz w:val="24"/>
          <w:szCs w:val="24"/>
          <w:lang w:val="pt-PT"/>
        </w:rPr>
        <w:t>interacção</w:t>
      </w:r>
      <w:proofErr w:type="spellEnd"/>
      <w:r w:rsidRPr="00F13DAA">
        <w:rPr>
          <w:rFonts w:eastAsia="Calibri" w:cs="Times New Roman"/>
          <w:color w:val="000000"/>
          <w:sz w:val="24"/>
          <w:szCs w:val="24"/>
          <w:lang w:val="pt-PT"/>
        </w:rPr>
        <w:t xml:space="preserve"> com o Banco Mundial em termos de implementação do </w:t>
      </w:r>
      <w:proofErr w:type="spellStart"/>
      <w:r w:rsidRPr="00F13DAA">
        <w:rPr>
          <w:rFonts w:eastAsia="Calibri" w:cs="Times New Roman"/>
          <w:color w:val="000000"/>
          <w:sz w:val="24"/>
          <w:szCs w:val="24"/>
          <w:lang w:val="pt-PT"/>
        </w:rPr>
        <w:t>projecto</w:t>
      </w:r>
      <w:proofErr w:type="spellEnd"/>
      <w:r w:rsidRPr="00F13DAA">
        <w:rPr>
          <w:rFonts w:eastAsia="Calibri" w:cs="Times New Roman"/>
          <w:color w:val="000000"/>
          <w:sz w:val="24"/>
          <w:szCs w:val="24"/>
          <w:lang w:val="pt-PT"/>
        </w:rPr>
        <w:t xml:space="preserve">: Relatórios, fluxo de fundos, não </w:t>
      </w:r>
      <w:proofErr w:type="spellStart"/>
      <w:r w:rsidRPr="00F13DAA">
        <w:rPr>
          <w:rFonts w:eastAsia="Calibri" w:cs="Times New Roman"/>
          <w:color w:val="000000"/>
          <w:sz w:val="24"/>
          <w:szCs w:val="24"/>
          <w:lang w:val="pt-PT"/>
        </w:rPr>
        <w:t>objecções</w:t>
      </w:r>
      <w:proofErr w:type="spellEnd"/>
      <w:r w:rsidRPr="00F13DAA">
        <w:rPr>
          <w:rFonts w:eastAsia="Calibri" w:cs="Times New Roman"/>
          <w:color w:val="000000"/>
          <w:sz w:val="24"/>
          <w:szCs w:val="24"/>
          <w:lang w:val="pt-PT"/>
        </w:rPr>
        <w:t>, supervisão pelo Banco Mundial, entre outros.</w:t>
      </w:r>
    </w:p>
    <w:p w14:paraId="6178CCFF" w14:textId="187B998A" w:rsidR="00B5659F" w:rsidRPr="00941934" w:rsidRDefault="00B5659F" w:rsidP="00B5659F">
      <w:pPr>
        <w:rPr>
          <w:sz w:val="24"/>
          <w:szCs w:val="24"/>
          <w:lang w:val="pt-PT"/>
        </w:rPr>
      </w:pPr>
      <w:bookmarkStart w:id="265" w:name="_Toc78435374"/>
      <w:bookmarkEnd w:id="260"/>
      <w:bookmarkEnd w:id="265"/>
      <w:r w:rsidRPr="00941934">
        <w:rPr>
          <w:sz w:val="24"/>
          <w:szCs w:val="24"/>
          <w:lang w:val="pt-PT"/>
        </w:rPr>
        <w:t>A</w:t>
      </w:r>
      <w:r w:rsidR="00857196">
        <w:rPr>
          <w:sz w:val="24"/>
          <w:szCs w:val="24"/>
          <w:lang w:val="pt-PT"/>
        </w:rPr>
        <w:t xml:space="preserve"> </w:t>
      </w:r>
      <w:r w:rsidR="00857196" w:rsidRPr="00941934">
        <w:rPr>
          <w:b/>
          <w:bCs/>
          <w:sz w:val="24"/>
          <w:szCs w:val="24"/>
          <w:lang w:val="pt-PT"/>
        </w:rPr>
        <w:fldChar w:fldCharType="begin"/>
      </w:r>
      <w:r w:rsidR="00857196" w:rsidRPr="00941934">
        <w:rPr>
          <w:b/>
          <w:bCs/>
          <w:sz w:val="24"/>
          <w:szCs w:val="24"/>
          <w:lang w:val="pt-PT"/>
        </w:rPr>
        <w:instrText xml:space="preserve"> REF _Ref80381262 \h </w:instrText>
      </w:r>
      <w:r w:rsidR="00857196">
        <w:rPr>
          <w:b/>
          <w:bCs/>
          <w:sz w:val="24"/>
          <w:szCs w:val="24"/>
          <w:lang w:val="pt-PT"/>
        </w:rPr>
        <w:instrText xml:space="preserve"> \* MERGEFORMAT </w:instrText>
      </w:r>
      <w:r w:rsidR="00857196" w:rsidRPr="00941934">
        <w:rPr>
          <w:b/>
          <w:bCs/>
          <w:sz w:val="24"/>
          <w:szCs w:val="24"/>
          <w:lang w:val="pt-PT"/>
        </w:rPr>
      </w:r>
      <w:r w:rsidR="00857196" w:rsidRPr="00941934">
        <w:rPr>
          <w:b/>
          <w:bCs/>
          <w:sz w:val="24"/>
          <w:szCs w:val="24"/>
          <w:lang w:val="pt-PT"/>
        </w:rPr>
        <w:fldChar w:fldCharType="separate"/>
      </w:r>
      <w:r w:rsidR="00857196" w:rsidRPr="00941934">
        <w:rPr>
          <w:b/>
          <w:bCs/>
          <w:lang w:val="pt-PT"/>
        </w:rPr>
        <w:t xml:space="preserve">Figura </w:t>
      </w:r>
      <w:r w:rsidR="00857196" w:rsidRPr="00941934">
        <w:rPr>
          <w:b/>
          <w:bCs/>
          <w:noProof/>
          <w:lang w:val="pt-PT"/>
        </w:rPr>
        <w:t>19</w:t>
      </w:r>
      <w:r w:rsidR="00857196" w:rsidRPr="00941934">
        <w:rPr>
          <w:b/>
          <w:bCs/>
          <w:sz w:val="24"/>
          <w:szCs w:val="24"/>
          <w:lang w:val="pt-PT"/>
        </w:rPr>
        <w:fldChar w:fldCharType="end"/>
      </w:r>
      <w:r w:rsidRPr="00941934">
        <w:rPr>
          <w:b/>
          <w:bCs/>
          <w:sz w:val="24"/>
          <w:szCs w:val="24"/>
          <w:lang w:val="pt-PT"/>
        </w:rPr>
        <w:t>,</w:t>
      </w:r>
      <w:r w:rsidRPr="00941934">
        <w:rPr>
          <w:sz w:val="24"/>
          <w:szCs w:val="24"/>
          <w:lang w:val="pt-PT"/>
        </w:rPr>
        <w:t xml:space="preserve"> abaixo ilustra as instituições envolvidas a nível central e os recursos humanos a serem envolvidos na implementação do </w:t>
      </w:r>
      <w:proofErr w:type="spellStart"/>
      <w:r w:rsidRPr="00941934">
        <w:rPr>
          <w:sz w:val="24"/>
          <w:szCs w:val="24"/>
          <w:lang w:val="pt-PT"/>
        </w:rPr>
        <w:t>Projecto</w:t>
      </w:r>
      <w:proofErr w:type="spellEnd"/>
      <w:r w:rsidRPr="00941934">
        <w:rPr>
          <w:sz w:val="24"/>
          <w:szCs w:val="24"/>
          <w:lang w:val="pt-PT"/>
        </w:rPr>
        <w:t xml:space="preserve">, cobrindo as várias responsabilidades desde técnica, administrativa-financeira, aquisições e de gestão ambiental e social.  </w:t>
      </w:r>
    </w:p>
    <w:p w14:paraId="725D3431" w14:textId="4A5F3805" w:rsidR="00B5659F" w:rsidRPr="00941934" w:rsidRDefault="00B5659F" w:rsidP="00B5659F">
      <w:pPr>
        <w:rPr>
          <w:sz w:val="24"/>
          <w:szCs w:val="24"/>
          <w:lang w:val="pt-PT"/>
        </w:rPr>
      </w:pPr>
      <w:r w:rsidRPr="00941934">
        <w:rPr>
          <w:sz w:val="24"/>
          <w:szCs w:val="24"/>
          <w:lang w:val="pt-PT"/>
        </w:rPr>
        <w:t>Estando previsto o uso das estruturas já existente na AIAS</w:t>
      </w:r>
      <w:r w:rsidR="00857196">
        <w:rPr>
          <w:sz w:val="24"/>
          <w:szCs w:val="24"/>
          <w:lang w:val="pt-PT"/>
        </w:rPr>
        <w:t xml:space="preserve"> e na </w:t>
      </w:r>
      <w:r w:rsidRPr="00941934">
        <w:rPr>
          <w:sz w:val="24"/>
          <w:szCs w:val="24"/>
          <w:lang w:val="pt-PT"/>
        </w:rPr>
        <w:t xml:space="preserve">DNAAS, </w:t>
      </w:r>
      <w:proofErr w:type="gramStart"/>
      <w:r w:rsidRPr="00941934">
        <w:rPr>
          <w:sz w:val="24"/>
          <w:szCs w:val="24"/>
          <w:lang w:val="pt-PT"/>
        </w:rPr>
        <w:t>e</w:t>
      </w:r>
      <w:proofErr w:type="gramEnd"/>
      <w:r w:rsidRPr="00941934">
        <w:rPr>
          <w:sz w:val="24"/>
          <w:szCs w:val="24"/>
          <w:lang w:val="pt-PT"/>
        </w:rPr>
        <w:t xml:space="preserve"> portanto, uma partilha de alguns recursos técnicos entre o </w:t>
      </w:r>
      <w:proofErr w:type="spellStart"/>
      <w:r w:rsidRPr="00941934">
        <w:rPr>
          <w:sz w:val="24"/>
          <w:szCs w:val="24"/>
          <w:lang w:val="pt-PT"/>
        </w:rPr>
        <w:t>Projecto</w:t>
      </w:r>
      <w:proofErr w:type="spellEnd"/>
      <w:r w:rsidRPr="00941934">
        <w:rPr>
          <w:sz w:val="24"/>
          <w:szCs w:val="24"/>
          <w:lang w:val="pt-PT"/>
        </w:rPr>
        <w:t xml:space="preserve"> Água Segura e o </w:t>
      </w:r>
      <w:proofErr w:type="spellStart"/>
      <w:r w:rsidRPr="00941934">
        <w:rPr>
          <w:sz w:val="24"/>
          <w:szCs w:val="24"/>
          <w:lang w:val="pt-PT"/>
        </w:rPr>
        <w:t>Projecto</w:t>
      </w:r>
      <w:proofErr w:type="spellEnd"/>
      <w:r w:rsidRPr="00941934">
        <w:rPr>
          <w:sz w:val="24"/>
          <w:szCs w:val="24"/>
          <w:lang w:val="pt-PT"/>
        </w:rPr>
        <w:t xml:space="preserve"> de Saneamento Urbano (PSU), a </w:t>
      </w:r>
      <w:r w:rsidR="00857196" w:rsidRPr="00AC50C8">
        <w:rPr>
          <w:b/>
          <w:bCs/>
          <w:sz w:val="24"/>
          <w:szCs w:val="24"/>
          <w:lang w:val="pt-PT"/>
        </w:rPr>
        <w:fldChar w:fldCharType="begin"/>
      </w:r>
      <w:r w:rsidR="00857196" w:rsidRPr="00AC50C8">
        <w:rPr>
          <w:b/>
          <w:bCs/>
          <w:sz w:val="24"/>
          <w:szCs w:val="24"/>
          <w:lang w:val="pt-PT"/>
        </w:rPr>
        <w:instrText xml:space="preserve"> REF _Ref80381262 \h </w:instrText>
      </w:r>
      <w:r w:rsidR="00857196">
        <w:rPr>
          <w:b/>
          <w:bCs/>
          <w:sz w:val="24"/>
          <w:szCs w:val="24"/>
          <w:lang w:val="pt-PT"/>
        </w:rPr>
        <w:instrText xml:space="preserve"> \* MERGEFORMAT </w:instrText>
      </w:r>
      <w:r w:rsidR="00857196" w:rsidRPr="00AC50C8">
        <w:rPr>
          <w:b/>
          <w:bCs/>
          <w:sz w:val="24"/>
          <w:szCs w:val="24"/>
          <w:lang w:val="pt-PT"/>
        </w:rPr>
      </w:r>
      <w:r w:rsidR="00857196" w:rsidRPr="00AC50C8">
        <w:rPr>
          <w:b/>
          <w:bCs/>
          <w:sz w:val="24"/>
          <w:szCs w:val="24"/>
          <w:lang w:val="pt-PT"/>
        </w:rPr>
        <w:fldChar w:fldCharType="separate"/>
      </w:r>
      <w:r w:rsidR="00857196" w:rsidRPr="00AC50C8">
        <w:rPr>
          <w:b/>
          <w:bCs/>
          <w:lang w:val="pt-PT"/>
        </w:rPr>
        <w:t xml:space="preserve">Figura </w:t>
      </w:r>
      <w:r w:rsidR="00857196" w:rsidRPr="00AC50C8">
        <w:rPr>
          <w:b/>
          <w:bCs/>
          <w:noProof/>
          <w:lang w:val="pt-PT"/>
        </w:rPr>
        <w:t>19</w:t>
      </w:r>
      <w:r w:rsidR="00857196" w:rsidRPr="00AC50C8">
        <w:rPr>
          <w:b/>
          <w:bCs/>
          <w:sz w:val="24"/>
          <w:szCs w:val="24"/>
          <w:lang w:val="pt-PT"/>
        </w:rPr>
        <w:fldChar w:fldCharType="end"/>
      </w:r>
      <w:r w:rsidR="00857196">
        <w:rPr>
          <w:b/>
          <w:bCs/>
          <w:sz w:val="24"/>
          <w:szCs w:val="24"/>
          <w:lang w:val="pt-PT"/>
        </w:rPr>
        <w:t xml:space="preserve"> </w:t>
      </w:r>
      <w:r w:rsidRPr="00941934">
        <w:rPr>
          <w:sz w:val="24"/>
          <w:szCs w:val="24"/>
          <w:lang w:val="pt-PT"/>
        </w:rPr>
        <w:t xml:space="preserve">indica a percentagem de esforço a ser dedicada por estes recursos partilhados. São, igualmente, evidenciados, os recursos que estarão dedicados a tempo integral ao </w:t>
      </w:r>
      <w:proofErr w:type="spellStart"/>
      <w:r w:rsidRPr="00941934">
        <w:rPr>
          <w:sz w:val="24"/>
          <w:szCs w:val="24"/>
          <w:lang w:val="pt-PT"/>
        </w:rPr>
        <w:t>Projecto</w:t>
      </w:r>
      <w:proofErr w:type="spellEnd"/>
      <w:r w:rsidRPr="00941934">
        <w:rPr>
          <w:sz w:val="24"/>
          <w:szCs w:val="24"/>
          <w:lang w:val="pt-PT"/>
        </w:rPr>
        <w:t xml:space="preserve"> Água Segura.  </w:t>
      </w:r>
    </w:p>
    <w:p w14:paraId="622DFC7A" w14:textId="193BCF48" w:rsidR="005E1011" w:rsidRPr="00941934" w:rsidRDefault="005E1011" w:rsidP="00C31925">
      <w:pPr>
        <w:rPr>
          <w:sz w:val="24"/>
          <w:szCs w:val="24"/>
          <w:lang w:val="pt-PT"/>
        </w:rPr>
      </w:pPr>
    </w:p>
    <w:p w14:paraId="7BA0C2E2" w14:textId="6EB2AE2A" w:rsidR="00B5659F" w:rsidRPr="00292532" w:rsidRDefault="00857196" w:rsidP="00B5659F">
      <w:pPr>
        <w:rPr>
          <w:lang w:val="pt-PT"/>
        </w:rPr>
      </w:pPr>
      <w:r w:rsidRPr="00857196">
        <w:rPr>
          <w:rFonts w:ascii="Arial" w:eastAsia="Calibri" w:hAnsi="Arial" w:cs="Arial"/>
          <w:noProof/>
          <w:sz w:val="20"/>
          <w:lang w:val="pt-PT"/>
        </w:rPr>
        <w:drawing>
          <wp:inline distT="0" distB="0" distL="0" distR="0" wp14:anchorId="3AB04BC2" wp14:editId="18571E95">
            <wp:extent cx="4717999" cy="2521560"/>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47449" cy="2537300"/>
                    </a:xfrm>
                    <a:prstGeom prst="rect">
                      <a:avLst/>
                    </a:prstGeom>
                    <a:noFill/>
                  </pic:spPr>
                </pic:pic>
              </a:graphicData>
            </a:graphic>
          </wp:inline>
        </w:drawing>
      </w:r>
    </w:p>
    <w:p w14:paraId="1F9B70D1" w14:textId="28AD11F0" w:rsidR="00D02FF4" w:rsidRPr="00292532" w:rsidRDefault="00D02FF4" w:rsidP="00D02FF4">
      <w:pPr>
        <w:pStyle w:val="Caption"/>
      </w:pPr>
      <w:bookmarkStart w:id="266" w:name="_Ref78298423"/>
      <w:bookmarkStart w:id="267" w:name="_Ref80381262"/>
      <w:bookmarkStart w:id="268" w:name="_Toc80380242"/>
      <w:r w:rsidRPr="00292532">
        <w:t>Figura</w:t>
      </w:r>
      <w:bookmarkEnd w:id="266"/>
      <w:r w:rsidRPr="00292532">
        <w:t xml:space="preserve"> </w:t>
      </w:r>
      <w:r w:rsidRPr="00292532">
        <w:fldChar w:fldCharType="begin"/>
      </w:r>
      <w:r w:rsidRPr="00292532">
        <w:instrText xml:space="preserve"> SEQ Figura \* ARABIC </w:instrText>
      </w:r>
      <w:r w:rsidRPr="00292532">
        <w:fldChar w:fldCharType="separate"/>
      </w:r>
      <w:r w:rsidRPr="00292532">
        <w:rPr>
          <w:noProof/>
        </w:rPr>
        <w:t>19</w:t>
      </w:r>
      <w:r w:rsidRPr="00292532">
        <w:fldChar w:fldCharType="end"/>
      </w:r>
      <w:bookmarkEnd w:id="267"/>
      <w:r w:rsidRPr="00292532">
        <w:t xml:space="preserve"> : Instituições Envolvidas e a Coordenação Geral do </w:t>
      </w:r>
      <w:proofErr w:type="spellStart"/>
      <w:r w:rsidRPr="00292532">
        <w:t>Projecto</w:t>
      </w:r>
      <w:bookmarkEnd w:id="268"/>
      <w:proofErr w:type="spellEnd"/>
    </w:p>
    <w:p w14:paraId="5D94A812" w14:textId="2943BCE5" w:rsidR="00D02FF4" w:rsidRPr="00292532" w:rsidRDefault="00D02FF4" w:rsidP="00D02FF4">
      <w:pPr>
        <w:pStyle w:val="Caption"/>
      </w:pPr>
    </w:p>
    <w:p w14:paraId="7505AC62" w14:textId="5C9A0AD6" w:rsidR="002F037B" w:rsidRPr="00292532" w:rsidRDefault="002F037B" w:rsidP="004500AE">
      <w:pPr>
        <w:pStyle w:val="Heading3"/>
      </w:pPr>
      <w:bookmarkStart w:id="269" w:name="_Toc78435376"/>
      <w:bookmarkStart w:id="270" w:name="_Toc78435377"/>
      <w:bookmarkStart w:id="271" w:name="_Toc80379992"/>
      <w:bookmarkEnd w:id="269"/>
      <w:bookmarkEnd w:id="270"/>
      <w:r w:rsidRPr="00292532">
        <w:t xml:space="preserve">Unidades Técnicas Provinciais nas </w:t>
      </w:r>
      <w:proofErr w:type="spellStart"/>
      <w:r w:rsidRPr="00292532">
        <w:t>Direcções</w:t>
      </w:r>
      <w:proofErr w:type="spellEnd"/>
      <w:r w:rsidRPr="00292532">
        <w:t xml:space="preserve"> Provinciais de Obras Públicas</w:t>
      </w:r>
      <w:bookmarkEnd w:id="271"/>
    </w:p>
    <w:p w14:paraId="047D0554" w14:textId="75713F62" w:rsidR="005E1011" w:rsidRPr="00292532" w:rsidRDefault="002F037B" w:rsidP="002F037B">
      <w:pPr>
        <w:rPr>
          <w:lang w:val="pt-PT"/>
        </w:rPr>
      </w:pPr>
      <w:r w:rsidRPr="00292532">
        <w:rPr>
          <w:szCs w:val="24"/>
          <w:lang w:val="pt-PT"/>
        </w:rPr>
        <w:t xml:space="preserve">As </w:t>
      </w:r>
      <w:r w:rsidR="00F937FC">
        <w:rPr>
          <w:szCs w:val="24"/>
          <w:lang w:val="pt-PT"/>
        </w:rPr>
        <w:t>Unidades Técnicas Provinciais</w:t>
      </w:r>
      <w:r w:rsidRPr="00292532">
        <w:rPr>
          <w:szCs w:val="24"/>
          <w:lang w:val="pt-PT"/>
        </w:rPr>
        <w:t xml:space="preserve"> para apoio à implementação do </w:t>
      </w:r>
      <w:proofErr w:type="spellStart"/>
      <w:r w:rsidRPr="00292532">
        <w:rPr>
          <w:szCs w:val="24"/>
          <w:lang w:val="pt-PT"/>
        </w:rPr>
        <w:t>projecto</w:t>
      </w:r>
      <w:proofErr w:type="spellEnd"/>
      <w:r w:rsidRPr="00292532">
        <w:rPr>
          <w:szCs w:val="24"/>
          <w:lang w:val="pt-PT"/>
        </w:rPr>
        <w:t xml:space="preserve"> nas DPOP de Zambézia e Nampula incluirão um Gestor d</w:t>
      </w:r>
      <w:r w:rsidR="00084D44">
        <w:rPr>
          <w:szCs w:val="24"/>
          <w:lang w:val="pt-PT"/>
        </w:rPr>
        <w:t>e cad</w:t>
      </w:r>
      <w:r w:rsidRPr="00292532">
        <w:rPr>
          <w:szCs w:val="24"/>
          <w:lang w:val="pt-PT"/>
        </w:rPr>
        <w:t>a UTP, que será o chefe do DAS, e técnicos de saneamento localizado, de abastecimento de água, de salvaguardas ambientais e sociais, de aquisições, de monitoria e avaliação e financeiro e de subvenção, a serem contratados ou indicados a partir do quadro de pessoal das DPOP e Governos Distritais.</w:t>
      </w:r>
      <w:r w:rsidRPr="00292532">
        <w:rPr>
          <w:lang w:val="pt-PT"/>
        </w:rPr>
        <w:t xml:space="preserve"> Essas equipas técnicas trabalharão em coordenação com a UIP/DNAAS. As </w:t>
      </w:r>
      <w:proofErr w:type="spellStart"/>
      <w:r w:rsidRPr="00292532">
        <w:rPr>
          <w:lang w:val="pt-PT"/>
        </w:rPr>
        <w:t>acções</w:t>
      </w:r>
      <w:proofErr w:type="spellEnd"/>
      <w:r w:rsidRPr="00292532">
        <w:rPr>
          <w:lang w:val="pt-PT"/>
        </w:rPr>
        <w:t xml:space="preserve"> de investimento e sustentabilidade </w:t>
      </w:r>
      <w:r w:rsidRPr="00292532">
        <w:rPr>
          <w:lang w:val="pt-PT"/>
        </w:rPr>
        <w:lastRenderedPageBreak/>
        <w:t>a serem desenvolvidas ao nível dos distritos beneficiários serão coordenadas através dos SDPI com suporte das UTP.</w:t>
      </w:r>
      <w:r w:rsidR="005E1011" w:rsidRPr="00292532">
        <w:rPr>
          <w:lang w:val="pt-PT"/>
        </w:rPr>
        <w:t xml:space="preserve"> A </w:t>
      </w:r>
      <w:r w:rsidR="005E1011" w:rsidRPr="00941934">
        <w:rPr>
          <w:b/>
          <w:bCs/>
          <w:lang w:val="pt-PT"/>
        </w:rPr>
        <w:fldChar w:fldCharType="begin"/>
      </w:r>
      <w:r w:rsidR="005E1011" w:rsidRPr="00941934">
        <w:rPr>
          <w:b/>
          <w:bCs/>
          <w:lang w:val="pt-PT"/>
        </w:rPr>
        <w:instrText xml:space="preserve"> REF _Ref78297279 \h </w:instrText>
      </w:r>
      <w:r w:rsidR="00857196">
        <w:rPr>
          <w:b/>
          <w:bCs/>
          <w:lang w:val="pt-PT"/>
        </w:rPr>
        <w:instrText xml:space="preserve"> \* MERGEFORMAT </w:instrText>
      </w:r>
      <w:r w:rsidR="005E1011" w:rsidRPr="00941934">
        <w:rPr>
          <w:b/>
          <w:bCs/>
          <w:lang w:val="pt-PT"/>
        </w:rPr>
      </w:r>
      <w:r w:rsidR="005E1011" w:rsidRPr="00941934">
        <w:rPr>
          <w:b/>
          <w:bCs/>
          <w:lang w:val="pt-PT"/>
        </w:rPr>
        <w:fldChar w:fldCharType="separate"/>
      </w:r>
      <w:proofErr w:type="spellStart"/>
      <w:r w:rsidR="00857196" w:rsidRPr="00941934">
        <w:rPr>
          <w:b/>
          <w:bCs/>
        </w:rPr>
        <w:t>Figura</w:t>
      </w:r>
      <w:proofErr w:type="spellEnd"/>
      <w:r w:rsidR="00857196" w:rsidRPr="00941934">
        <w:rPr>
          <w:b/>
          <w:bCs/>
        </w:rPr>
        <w:t xml:space="preserve"> </w:t>
      </w:r>
      <w:r w:rsidR="00857196" w:rsidRPr="00941934">
        <w:rPr>
          <w:b/>
          <w:bCs/>
          <w:noProof/>
        </w:rPr>
        <w:t>20</w:t>
      </w:r>
      <w:r w:rsidR="005E1011" w:rsidRPr="00941934">
        <w:rPr>
          <w:b/>
          <w:bCs/>
          <w:lang w:val="pt-PT"/>
        </w:rPr>
        <w:fldChar w:fldCharType="end"/>
      </w:r>
      <w:r w:rsidR="005E1011" w:rsidRPr="00292532">
        <w:rPr>
          <w:lang w:val="pt-PT"/>
        </w:rPr>
        <w:t xml:space="preserve"> ilustra estrutura do </w:t>
      </w:r>
      <w:proofErr w:type="spellStart"/>
      <w:r w:rsidR="005E1011" w:rsidRPr="00292532">
        <w:rPr>
          <w:lang w:val="pt-PT"/>
        </w:rPr>
        <w:t>Projecto</w:t>
      </w:r>
      <w:proofErr w:type="spellEnd"/>
      <w:r w:rsidR="005E1011" w:rsidRPr="00292532">
        <w:rPr>
          <w:lang w:val="pt-PT"/>
        </w:rPr>
        <w:t xml:space="preserve"> a nível provincial. </w:t>
      </w:r>
    </w:p>
    <w:p w14:paraId="50A05BFB" w14:textId="77777777" w:rsidR="005E1011" w:rsidRPr="00292532" w:rsidRDefault="005E1011" w:rsidP="002F037B">
      <w:pPr>
        <w:rPr>
          <w:lang w:val="pt-PT"/>
        </w:rPr>
      </w:pPr>
    </w:p>
    <w:p w14:paraId="5D0BF954" w14:textId="33E8D626" w:rsidR="005E1011" w:rsidRPr="00292532" w:rsidRDefault="00857196" w:rsidP="005E1011">
      <w:pPr>
        <w:spacing w:before="0" w:line="259" w:lineRule="auto"/>
        <w:jc w:val="center"/>
        <w:rPr>
          <w:rFonts w:asciiTheme="minorHAnsi" w:hAnsiTheme="minorHAnsi"/>
          <w:lang w:val="pt-PT" w:eastAsia="x-none"/>
        </w:rPr>
      </w:pPr>
      <w:r w:rsidRPr="00857196">
        <w:rPr>
          <w:rFonts w:ascii="Arial" w:eastAsia="Calibri" w:hAnsi="Arial" w:cs="Arial"/>
          <w:noProof/>
          <w:sz w:val="20"/>
          <w:lang w:val="pt-PT"/>
        </w:rPr>
        <w:drawing>
          <wp:inline distT="0" distB="0" distL="0" distR="0" wp14:anchorId="4FFDE864" wp14:editId="5AC91D0B">
            <wp:extent cx="4250131" cy="30192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55854" cy="3023286"/>
                    </a:xfrm>
                    <a:prstGeom prst="rect">
                      <a:avLst/>
                    </a:prstGeom>
                    <a:noFill/>
                  </pic:spPr>
                </pic:pic>
              </a:graphicData>
            </a:graphic>
          </wp:inline>
        </w:drawing>
      </w:r>
    </w:p>
    <w:p w14:paraId="2F68E7F7" w14:textId="7F8A910B" w:rsidR="005E1011" w:rsidRPr="00292532" w:rsidRDefault="005E1011" w:rsidP="005E1011">
      <w:pPr>
        <w:pStyle w:val="Caption"/>
      </w:pPr>
      <w:bookmarkStart w:id="272" w:name="_Ref78297279"/>
      <w:bookmarkStart w:id="273" w:name="_Toc80380243"/>
      <w:r w:rsidRPr="00292532">
        <w:t xml:space="preserve">Figura </w:t>
      </w:r>
      <w:r w:rsidRPr="00292532">
        <w:fldChar w:fldCharType="begin"/>
      </w:r>
      <w:r w:rsidRPr="00292532">
        <w:instrText xml:space="preserve"> SEQ Figura \* ARABIC </w:instrText>
      </w:r>
      <w:r w:rsidRPr="00292532">
        <w:fldChar w:fldCharType="separate"/>
      </w:r>
      <w:r w:rsidR="00857196">
        <w:rPr>
          <w:noProof/>
        </w:rPr>
        <w:t>20</w:t>
      </w:r>
      <w:r w:rsidRPr="00292532">
        <w:fldChar w:fldCharType="end"/>
      </w:r>
      <w:bookmarkEnd w:id="272"/>
      <w:r w:rsidRPr="00292532">
        <w:t xml:space="preserve">: Estrutura de </w:t>
      </w:r>
      <w:proofErr w:type="spellStart"/>
      <w:r w:rsidRPr="00292532">
        <w:t>Projecto</w:t>
      </w:r>
      <w:proofErr w:type="spellEnd"/>
      <w:r w:rsidRPr="00292532">
        <w:t xml:space="preserve"> a nível da Província</w:t>
      </w:r>
      <w:bookmarkEnd w:id="273"/>
    </w:p>
    <w:p w14:paraId="1B29018E" w14:textId="700F9F97" w:rsidR="00C31925" w:rsidRPr="00292532" w:rsidRDefault="00C31925" w:rsidP="00C31925">
      <w:pPr>
        <w:pStyle w:val="Caption"/>
      </w:pPr>
      <w:bookmarkStart w:id="274" w:name="_Ref72880992"/>
      <w:bookmarkStart w:id="275" w:name="_Toc75438166"/>
      <w:bookmarkStart w:id="276" w:name="_Toc80380274"/>
      <w:r w:rsidRPr="00292532">
        <w:t xml:space="preserve">Tabela </w:t>
      </w:r>
      <w:r w:rsidRPr="00292532">
        <w:fldChar w:fldCharType="begin"/>
      </w:r>
      <w:r w:rsidRPr="00292532">
        <w:instrText xml:space="preserve"> SEQ Tabela \* ARABIC </w:instrText>
      </w:r>
      <w:r w:rsidRPr="00292532">
        <w:fldChar w:fldCharType="separate"/>
      </w:r>
      <w:r w:rsidR="00857196">
        <w:rPr>
          <w:noProof/>
        </w:rPr>
        <w:t>27</w:t>
      </w:r>
      <w:r w:rsidRPr="00292532">
        <w:fldChar w:fldCharType="end"/>
      </w:r>
      <w:bookmarkEnd w:id="274"/>
      <w:r w:rsidRPr="00292532">
        <w:t xml:space="preserve"> Equipas das Unidades de Implementação dos </w:t>
      </w:r>
      <w:proofErr w:type="spellStart"/>
      <w:r w:rsidRPr="00292532">
        <w:t>Projectos</w:t>
      </w:r>
      <w:bookmarkEnd w:id="275"/>
      <w:bookmarkEnd w:id="276"/>
      <w:proofErr w:type="spellEnd"/>
      <w:r w:rsidRPr="00292532">
        <w:t xml:space="preserve"> </w:t>
      </w:r>
    </w:p>
    <w:tbl>
      <w:tblPr>
        <w:tblW w:w="9170" w:type="dxa"/>
        <w:tblLook w:val="04A0" w:firstRow="1" w:lastRow="0" w:firstColumn="1" w:lastColumn="0" w:noHBand="0" w:noVBand="1"/>
      </w:tblPr>
      <w:tblGrid>
        <w:gridCol w:w="1128"/>
        <w:gridCol w:w="2344"/>
        <w:gridCol w:w="1648"/>
        <w:gridCol w:w="1620"/>
        <w:gridCol w:w="2430"/>
      </w:tblGrid>
      <w:tr w:rsidR="00C31925" w:rsidRPr="00292532" w14:paraId="63B7F248" w14:textId="77777777" w:rsidTr="00C31925">
        <w:trPr>
          <w:trHeight w:val="570"/>
          <w:tblHeader/>
        </w:trPr>
        <w:tc>
          <w:tcPr>
            <w:tcW w:w="1128" w:type="dxa"/>
            <w:tcBorders>
              <w:top w:val="single" w:sz="8" w:space="0" w:color="auto"/>
              <w:left w:val="single" w:sz="8" w:space="0" w:color="auto"/>
              <w:bottom w:val="single" w:sz="8" w:space="0" w:color="auto"/>
              <w:right w:val="single" w:sz="8" w:space="0" w:color="auto"/>
            </w:tcBorders>
            <w:shd w:val="clear" w:color="auto" w:fill="8EAADB" w:themeFill="accent1" w:themeFillTint="99"/>
            <w:vAlign w:val="center"/>
            <w:hideMark/>
          </w:tcPr>
          <w:p w14:paraId="0F2D6EEB" w14:textId="77777777" w:rsidR="00C31925" w:rsidRPr="004500AE" w:rsidRDefault="00C31925" w:rsidP="00C31925">
            <w:pPr>
              <w:spacing w:before="0" w:after="0"/>
              <w:jc w:val="center"/>
              <w:rPr>
                <w:rFonts w:asciiTheme="minorHAnsi" w:eastAsia="Times New Roman" w:hAnsiTheme="minorHAnsi" w:cstheme="minorHAnsi"/>
                <w:b/>
                <w:bCs/>
                <w:color w:val="000000"/>
                <w:sz w:val="20"/>
                <w:szCs w:val="20"/>
                <w:lang w:val="pt-PT"/>
              </w:rPr>
            </w:pPr>
            <w:r w:rsidRPr="004500AE">
              <w:rPr>
                <w:rFonts w:asciiTheme="minorHAnsi" w:eastAsia="Times New Roman" w:hAnsiTheme="minorHAnsi" w:cstheme="minorHAnsi"/>
                <w:b/>
                <w:bCs/>
                <w:color w:val="000000"/>
                <w:sz w:val="20"/>
                <w:szCs w:val="20"/>
                <w:lang w:val="pt-PT"/>
              </w:rPr>
              <w:t>NO.</w:t>
            </w:r>
          </w:p>
        </w:tc>
        <w:tc>
          <w:tcPr>
            <w:tcW w:w="2344" w:type="dxa"/>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5D04E80A" w14:textId="77777777" w:rsidR="00C31925" w:rsidRPr="004500AE" w:rsidRDefault="00C31925" w:rsidP="00C31925">
            <w:pPr>
              <w:spacing w:before="0" w:after="0"/>
              <w:jc w:val="center"/>
              <w:rPr>
                <w:rFonts w:asciiTheme="minorHAnsi" w:eastAsia="Times New Roman" w:hAnsiTheme="minorHAnsi" w:cstheme="minorHAnsi"/>
                <w:b/>
                <w:bCs/>
                <w:color w:val="000000"/>
                <w:sz w:val="20"/>
                <w:szCs w:val="20"/>
                <w:lang w:val="pt-PT"/>
              </w:rPr>
            </w:pPr>
            <w:r w:rsidRPr="004500AE">
              <w:rPr>
                <w:rFonts w:asciiTheme="minorHAnsi" w:eastAsia="Times New Roman" w:hAnsiTheme="minorHAnsi" w:cstheme="minorHAnsi"/>
                <w:b/>
                <w:bCs/>
                <w:color w:val="000000"/>
                <w:sz w:val="20"/>
                <w:szCs w:val="20"/>
                <w:lang w:val="pt-PT"/>
              </w:rPr>
              <w:t>POSIÇÃO</w:t>
            </w:r>
          </w:p>
        </w:tc>
        <w:tc>
          <w:tcPr>
            <w:tcW w:w="1648" w:type="dxa"/>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2046AA17" w14:textId="77777777" w:rsidR="00C31925" w:rsidRPr="004500AE" w:rsidRDefault="00C31925" w:rsidP="00C31925">
            <w:pPr>
              <w:spacing w:before="0" w:after="0"/>
              <w:jc w:val="center"/>
              <w:rPr>
                <w:rFonts w:asciiTheme="minorHAnsi" w:eastAsia="Times New Roman" w:hAnsiTheme="minorHAnsi" w:cstheme="minorHAnsi"/>
                <w:b/>
                <w:bCs/>
                <w:color w:val="000000"/>
                <w:sz w:val="20"/>
                <w:szCs w:val="20"/>
                <w:lang w:val="pt-PT"/>
              </w:rPr>
            </w:pPr>
            <w:r w:rsidRPr="004500AE">
              <w:rPr>
                <w:rFonts w:asciiTheme="minorHAnsi" w:eastAsia="Times New Roman" w:hAnsiTheme="minorHAnsi" w:cstheme="minorHAnsi"/>
                <w:b/>
                <w:bCs/>
                <w:color w:val="000000"/>
                <w:sz w:val="20"/>
                <w:szCs w:val="20"/>
                <w:lang w:val="pt-PT"/>
              </w:rPr>
              <w:t>RESPONSÁVEL</w:t>
            </w:r>
          </w:p>
        </w:tc>
        <w:tc>
          <w:tcPr>
            <w:tcW w:w="1620" w:type="dxa"/>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51F801C1" w14:textId="77777777" w:rsidR="00C31925" w:rsidRPr="004500AE" w:rsidRDefault="00C31925" w:rsidP="00C31925">
            <w:pPr>
              <w:spacing w:before="0" w:after="0"/>
              <w:jc w:val="center"/>
              <w:rPr>
                <w:rFonts w:asciiTheme="minorHAnsi" w:eastAsia="Times New Roman" w:hAnsiTheme="minorHAnsi" w:cstheme="minorHAnsi"/>
                <w:b/>
                <w:bCs/>
                <w:color w:val="000000"/>
                <w:sz w:val="20"/>
                <w:szCs w:val="20"/>
                <w:lang w:val="pt-PT"/>
              </w:rPr>
            </w:pPr>
            <w:r w:rsidRPr="004500AE">
              <w:rPr>
                <w:rFonts w:asciiTheme="minorHAnsi" w:eastAsia="Times New Roman" w:hAnsiTheme="minorHAnsi" w:cstheme="minorHAnsi"/>
                <w:b/>
                <w:bCs/>
                <w:color w:val="000000"/>
                <w:sz w:val="20"/>
                <w:szCs w:val="20"/>
                <w:lang w:val="pt-PT"/>
              </w:rPr>
              <w:t>POSTO</w:t>
            </w:r>
          </w:p>
        </w:tc>
        <w:tc>
          <w:tcPr>
            <w:tcW w:w="2430" w:type="dxa"/>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32683B4E" w14:textId="77777777" w:rsidR="00C31925" w:rsidRPr="004500AE" w:rsidRDefault="00C31925" w:rsidP="00C31925">
            <w:pPr>
              <w:spacing w:before="0" w:after="0"/>
              <w:jc w:val="center"/>
              <w:rPr>
                <w:rFonts w:asciiTheme="minorHAnsi" w:eastAsia="Times New Roman" w:hAnsiTheme="minorHAnsi" w:cstheme="minorHAnsi"/>
                <w:b/>
                <w:bCs/>
                <w:color w:val="000000"/>
                <w:sz w:val="20"/>
                <w:szCs w:val="20"/>
                <w:lang w:val="pt-PT"/>
              </w:rPr>
            </w:pPr>
            <w:r w:rsidRPr="004500AE">
              <w:rPr>
                <w:rFonts w:asciiTheme="minorHAnsi" w:eastAsia="Times New Roman" w:hAnsiTheme="minorHAnsi" w:cstheme="minorHAnsi"/>
                <w:b/>
                <w:bCs/>
                <w:color w:val="000000"/>
                <w:sz w:val="20"/>
                <w:szCs w:val="20"/>
                <w:lang w:val="pt-PT"/>
              </w:rPr>
              <w:t>QUALIFICAÇÃO</w:t>
            </w:r>
          </w:p>
        </w:tc>
      </w:tr>
      <w:tr w:rsidR="00C31925" w:rsidRPr="00292532" w14:paraId="1C825C44" w14:textId="77777777" w:rsidTr="00C31925">
        <w:trPr>
          <w:trHeight w:val="570"/>
        </w:trPr>
        <w:tc>
          <w:tcPr>
            <w:tcW w:w="9170" w:type="dxa"/>
            <w:gridSpan w:val="5"/>
            <w:tcBorders>
              <w:top w:val="single" w:sz="8" w:space="0" w:color="auto"/>
              <w:left w:val="single" w:sz="8" w:space="0" w:color="auto"/>
              <w:bottom w:val="single" w:sz="8" w:space="0" w:color="auto"/>
              <w:right w:val="single" w:sz="8" w:space="0" w:color="000000"/>
            </w:tcBorders>
            <w:shd w:val="clear" w:color="000000" w:fill="D5DCE4"/>
            <w:vAlign w:val="center"/>
            <w:hideMark/>
          </w:tcPr>
          <w:p w14:paraId="22D690EB" w14:textId="77777777" w:rsidR="00C31925" w:rsidRPr="004500AE" w:rsidRDefault="00C31925" w:rsidP="00C31925">
            <w:pPr>
              <w:spacing w:before="0" w:after="0"/>
              <w:jc w:val="center"/>
              <w:rPr>
                <w:rFonts w:asciiTheme="minorHAnsi" w:eastAsia="Times New Roman" w:hAnsiTheme="minorHAnsi" w:cstheme="minorHAnsi"/>
                <w:b/>
                <w:bCs/>
                <w:color w:val="000000"/>
                <w:sz w:val="20"/>
                <w:szCs w:val="20"/>
                <w:lang w:val="pt-PT"/>
              </w:rPr>
            </w:pPr>
            <w:r w:rsidRPr="004500AE">
              <w:rPr>
                <w:rFonts w:asciiTheme="minorHAnsi" w:eastAsia="Times New Roman" w:hAnsiTheme="minorHAnsi" w:cstheme="minorHAnsi"/>
                <w:b/>
                <w:bCs/>
                <w:color w:val="000000"/>
                <w:sz w:val="20"/>
                <w:szCs w:val="20"/>
                <w:lang w:val="pt-PT"/>
              </w:rPr>
              <w:t>Posição Transversal</w:t>
            </w:r>
          </w:p>
        </w:tc>
      </w:tr>
      <w:tr w:rsidR="00C31925" w:rsidRPr="00292532" w14:paraId="313EDC53" w14:textId="77777777" w:rsidTr="00C31925">
        <w:trPr>
          <w:trHeight w:val="570"/>
        </w:trPr>
        <w:tc>
          <w:tcPr>
            <w:tcW w:w="1128" w:type="dxa"/>
            <w:tcBorders>
              <w:top w:val="nil"/>
              <w:left w:val="single" w:sz="8" w:space="0" w:color="auto"/>
              <w:bottom w:val="single" w:sz="8" w:space="0" w:color="auto"/>
              <w:right w:val="single" w:sz="8" w:space="0" w:color="auto"/>
            </w:tcBorders>
            <w:shd w:val="clear" w:color="auto" w:fill="auto"/>
            <w:vAlign w:val="center"/>
            <w:hideMark/>
          </w:tcPr>
          <w:p w14:paraId="501A6ED3" w14:textId="77777777" w:rsidR="00C31925" w:rsidRPr="004500AE" w:rsidRDefault="00C31925" w:rsidP="00C31925">
            <w:pPr>
              <w:spacing w:before="0" w:after="0"/>
              <w:jc w:val="center"/>
              <w:rPr>
                <w:rFonts w:asciiTheme="minorHAnsi" w:eastAsia="Times New Roman" w:hAnsiTheme="minorHAnsi" w:cstheme="minorHAnsi"/>
                <w:color w:val="000000"/>
                <w:lang w:val="pt-PT"/>
              </w:rPr>
            </w:pPr>
            <w:r w:rsidRPr="004500AE">
              <w:rPr>
                <w:rFonts w:asciiTheme="minorHAnsi" w:eastAsia="Times New Roman" w:hAnsiTheme="minorHAnsi" w:cstheme="minorHAnsi"/>
                <w:color w:val="000000"/>
                <w:lang w:val="pt-PT"/>
              </w:rPr>
              <w:t>1.</w:t>
            </w:r>
            <w:r w:rsidRPr="004500AE">
              <w:rPr>
                <w:rFonts w:asciiTheme="minorHAnsi" w:eastAsia="Times New Roman" w:hAnsiTheme="minorHAnsi" w:cstheme="minorHAnsi"/>
                <w:color w:val="000000"/>
                <w:sz w:val="14"/>
                <w:szCs w:val="14"/>
                <w:lang w:val="pt-PT"/>
              </w:rPr>
              <w:t xml:space="preserve">       </w:t>
            </w:r>
            <w:r w:rsidRPr="004500AE">
              <w:rPr>
                <w:rFonts w:asciiTheme="minorHAnsi" w:eastAsia="Times New Roman" w:hAnsiTheme="minorHAnsi" w:cstheme="minorHAnsi"/>
                <w:color w:val="000000"/>
                <w:lang w:val="pt-PT"/>
              </w:rPr>
              <w:t> </w:t>
            </w:r>
          </w:p>
        </w:tc>
        <w:tc>
          <w:tcPr>
            <w:tcW w:w="2344" w:type="dxa"/>
            <w:tcBorders>
              <w:top w:val="nil"/>
              <w:left w:val="nil"/>
              <w:bottom w:val="single" w:sz="8" w:space="0" w:color="auto"/>
              <w:right w:val="single" w:sz="8" w:space="0" w:color="auto"/>
            </w:tcBorders>
            <w:shd w:val="clear" w:color="auto" w:fill="auto"/>
            <w:vAlign w:val="center"/>
            <w:hideMark/>
          </w:tcPr>
          <w:p w14:paraId="211A717E"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Coordenador do </w:t>
            </w:r>
            <w:proofErr w:type="spellStart"/>
            <w:r w:rsidRPr="004500AE">
              <w:rPr>
                <w:rFonts w:asciiTheme="minorHAnsi" w:eastAsia="Times New Roman" w:hAnsiTheme="minorHAnsi" w:cstheme="minorHAnsi"/>
                <w:color w:val="000000"/>
                <w:sz w:val="20"/>
                <w:szCs w:val="20"/>
                <w:lang w:val="pt-PT"/>
              </w:rPr>
              <w:t>Projecto</w:t>
            </w:r>
            <w:proofErr w:type="spellEnd"/>
          </w:p>
        </w:tc>
        <w:tc>
          <w:tcPr>
            <w:tcW w:w="1648" w:type="dxa"/>
            <w:tcBorders>
              <w:top w:val="nil"/>
              <w:left w:val="nil"/>
              <w:bottom w:val="single" w:sz="8" w:space="0" w:color="auto"/>
              <w:right w:val="single" w:sz="8" w:space="0" w:color="auto"/>
            </w:tcBorders>
            <w:shd w:val="clear" w:color="auto" w:fill="auto"/>
            <w:vAlign w:val="center"/>
            <w:hideMark/>
          </w:tcPr>
          <w:p w14:paraId="0E80A447" w14:textId="48A59EAA"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DNAAS </w:t>
            </w:r>
          </w:p>
        </w:tc>
        <w:tc>
          <w:tcPr>
            <w:tcW w:w="1620" w:type="dxa"/>
            <w:tcBorders>
              <w:top w:val="nil"/>
              <w:left w:val="nil"/>
              <w:bottom w:val="single" w:sz="8" w:space="0" w:color="auto"/>
              <w:right w:val="single" w:sz="8" w:space="0" w:color="auto"/>
            </w:tcBorders>
            <w:shd w:val="clear" w:color="auto" w:fill="auto"/>
            <w:vAlign w:val="center"/>
            <w:hideMark/>
          </w:tcPr>
          <w:p w14:paraId="782ADF6D"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Consultor</w:t>
            </w:r>
          </w:p>
        </w:tc>
        <w:tc>
          <w:tcPr>
            <w:tcW w:w="2430" w:type="dxa"/>
            <w:tcBorders>
              <w:top w:val="nil"/>
              <w:left w:val="nil"/>
              <w:bottom w:val="single" w:sz="8" w:space="0" w:color="auto"/>
              <w:right w:val="single" w:sz="8" w:space="0" w:color="auto"/>
            </w:tcBorders>
            <w:shd w:val="clear" w:color="auto" w:fill="auto"/>
            <w:vAlign w:val="center"/>
            <w:hideMark/>
          </w:tcPr>
          <w:p w14:paraId="1FCA5C2D"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Qualificações e experiência relevantes </w:t>
            </w:r>
          </w:p>
        </w:tc>
      </w:tr>
      <w:tr w:rsidR="00C31925" w:rsidRPr="001E4B2C" w14:paraId="6BE238BA" w14:textId="77777777" w:rsidTr="00C31925">
        <w:trPr>
          <w:trHeight w:val="570"/>
        </w:trPr>
        <w:tc>
          <w:tcPr>
            <w:tcW w:w="9170" w:type="dxa"/>
            <w:gridSpan w:val="5"/>
            <w:tcBorders>
              <w:top w:val="single" w:sz="8" w:space="0" w:color="auto"/>
              <w:left w:val="single" w:sz="8" w:space="0" w:color="auto"/>
              <w:bottom w:val="single" w:sz="8" w:space="0" w:color="auto"/>
              <w:right w:val="single" w:sz="8" w:space="0" w:color="000000"/>
            </w:tcBorders>
            <w:shd w:val="clear" w:color="000000" w:fill="D5DCE4"/>
            <w:vAlign w:val="center"/>
            <w:hideMark/>
          </w:tcPr>
          <w:p w14:paraId="53973BE9" w14:textId="77777777" w:rsidR="00C31925" w:rsidRPr="004500AE" w:rsidRDefault="00C31925" w:rsidP="00C31925">
            <w:pPr>
              <w:spacing w:before="0" w:after="0"/>
              <w:jc w:val="left"/>
              <w:rPr>
                <w:rFonts w:asciiTheme="minorHAnsi" w:eastAsia="Times New Roman" w:hAnsiTheme="minorHAnsi" w:cstheme="minorHAnsi"/>
                <w:b/>
                <w:bCs/>
                <w:color w:val="000000"/>
                <w:lang w:val="pt-PT"/>
              </w:rPr>
            </w:pPr>
            <w:r w:rsidRPr="004500AE">
              <w:rPr>
                <w:rFonts w:asciiTheme="minorHAnsi" w:eastAsia="Times New Roman" w:hAnsiTheme="minorHAnsi" w:cstheme="minorHAnsi"/>
                <w:b/>
                <w:bCs/>
                <w:color w:val="000000"/>
                <w:lang w:val="pt-PT"/>
              </w:rPr>
              <w:t>UIP DA DIRECÇÃO NACIONAL DE ABASTECIMENTO DE ÁGUA E SANEAMENTO (UIP/DNAAS)</w:t>
            </w:r>
          </w:p>
        </w:tc>
      </w:tr>
      <w:tr w:rsidR="00C31925" w:rsidRPr="00292532" w14:paraId="35D75A2B" w14:textId="77777777" w:rsidTr="00C31925">
        <w:trPr>
          <w:trHeight w:val="570"/>
        </w:trPr>
        <w:tc>
          <w:tcPr>
            <w:tcW w:w="1128" w:type="dxa"/>
            <w:tcBorders>
              <w:top w:val="nil"/>
              <w:left w:val="single" w:sz="8" w:space="0" w:color="auto"/>
              <w:bottom w:val="single" w:sz="8" w:space="0" w:color="auto"/>
              <w:right w:val="single" w:sz="8" w:space="0" w:color="auto"/>
            </w:tcBorders>
            <w:shd w:val="clear" w:color="auto" w:fill="auto"/>
            <w:vAlign w:val="center"/>
            <w:hideMark/>
          </w:tcPr>
          <w:p w14:paraId="60A724AA" w14:textId="77777777" w:rsidR="00C31925" w:rsidRPr="004500AE" w:rsidRDefault="00C31925" w:rsidP="00C31925">
            <w:pPr>
              <w:spacing w:before="0" w:after="0"/>
              <w:ind w:firstLineChars="200" w:firstLine="40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2.</w:t>
            </w:r>
            <w:r w:rsidRPr="004500AE">
              <w:rPr>
                <w:rFonts w:asciiTheme="minorHAnsi" w:eastAsia="Times New Roman" w:hAnsiTheme="minorHAnsi" w:cstheme="minorHAnsi"/>
                <w:color w:val="000000"/>
                <w:sz w:val="14"/>
                <w:szCs w:val="14"/>
                <w:lang w:val="pt-PT"/>
              </w:rPr>
              <w:t xml:space="preserve">       </w:t>
            </w:r>
            <w:r w:rsidRPr="004500AE">
              <w:rPr>
                <w:rFonts w:asciiTheme="minorHAnsi" w:eastAsia="Times New Roman" w:hAnsiTheme="minorHAnsi" w:cstheme="minorHAnsi"/>
                <w:color w:val="000000"/>
                <w:sz w:val="20"/>
                <w:szCs w:val="20"/>
                <w:lang w:val="pt-PT"/>
              </w:rPr>
              <w:t> </w:t>
            </w:r>
          </w:p>
        </w:tc>
        <w:tc>
          <w:tcPr>
            <w:tcW w:w="2344" w:type="dxa"/>
            <w:tcBorders>
              <w:top w:val="nil"/>
              <w:left w:val="nil"/>
              <w:bottom w:val="single" w:sz="8" w:space="0" w:color="auto"/>
              <w:right w:val="single" w:sz="8" w:space="0" w:color="auto"/>
            </w:tcBorders>
            <w:shd w:val="clear" w:color="auto" w:fill="auto"/>
            <w:vAlign w:val="center"/>
            <w:hideMark/>
          </w:tcPr>
          <w:p w14:paraId="07367995"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Gestor do </w:t>
            </w:r>
            <w:proofErr w:type="spellStart"/>
            <w:r w:rsidRPr="004500AE">
              <w:rPr>
                <w:rFonts w:asciiTheme="minorHAnsi" w:eastAsia="Times New Roman" w:hAnsiTheme="minorHAnsi" w:cstheme="minorHAnsi"/>
                <w:color w:val="000000"/>
                <w:sz w:val="20"/>
                <w:szCs w:val="20"/>
                <w:lang w:val="pt-PT"/>
              </w:rPr>
              <w:t>Projecto</w:t>
            </w:r>
            <w:proofErr w:type="spellEnd"/>
          </w:p>
        </w:tc>
        <w:tc>
          <w:tcPr>
            <w:tcW w:w="1648" w:type="dxa"/>
            <w:tcBorders>
              <w:top w:val="nil"/>
              <w:left w:val="nil"/>
              <w:bottom w:val="single" w:sz="8" w:space="0" w:color="auto"/>
              <w:right w:val="single" w:sz="8" w:space="0" w:color="auto"/>
            </w:tcBorders>
            <w:shd w:val="clear" w:color="auto" w:fill="auto"/>
            <w:vAlign w:val="center"/>
            <w:hideMark/>
          </w:tcPr>
          <w:p w14:paraId="4FE30B37"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DNAAS</w:t>
            </w:r>
          </w:p>
        </w:tc>
        <w:tc>
          <w:tcPr>
            <w:tcW w:w="1620" w:type="dxa"/>
            <w:tcBorders>
              <w:top w:val="nil"/>
              <w:left w:val="nil"/>
              <w:bottom w:val="single" w:sz="8" w:space="0" w:color="auto"/>
              <w:right w:val="single" w:sz="8" w:space="0" w:color="auto"/>
            </w:tcBorders>
            <w:shd w:val="clear" w:color="auto" w:fill="auto"/>
            <w:vAlign w:val="center"/>
            <w:hideMark/>
          </w:tcPr>
          <w:p w14:paraId="54321EC3"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Chefe do DS</w:t>
            </w:r>
          </w:p>
        </w:tc>
        <w:tc>
          <w:tcPr>
            <w:tcW w:w="2430" w:type="dxa"/>
            <w:tcBorders>
              <w:top w:val="nil"/>
              <w:left w:val="nil"/>
              <w:bottom w:val="single" w:sz="8" w:space="0" w:color="auto"/>
              <w:right w:val="single" w:sz="8" w:space="0" w:color="auto"/>
            </w:tcBorders>
            <w:shd w:val="clear" w:color="auto" w:fill="auto"/>
            <w:vAlign w:val="center"/>
            <w:hideMark/>
          </w:tcPr>
          <w:p w14:paraId="21D2FA41"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Engenheiro Civil ou outro </w:t>
            </w:r>
          </w:p>
        </w:tc>
      </w:tr>
      <w:tr w:rsidR="00C31925" w:rsidRPr="00292532" w14:paraId="18457511" w14:textId="77777777" w:rsidTr="00C31925">
        <w:trPr>
          <w:trHeight w:val="570"/>
        </w:trPr>
        <w:tc>
          <w:tcPr>
            <w:tcW w:w="1128" w:type="dxa"/>
            <w:tcBorders>
              <w:top w:val="nil"/>
              <w:left w:val="single" w:sz="8" w:space="0" w:color="auto"/>
              <w:bottom w:val="single" w:sz="8" w:space="0" w:color="auto"/>
              <w:right w:val="single" w:sz="8" w:space="0" w:color="auto"/>
            </w:tcBorders>
            <w:shd w:val="clear" w:color="auto" w:fill="auto"/>
            <w:vAlign w:val="center"/>
            <w:hideMark/>
          </w:tcPr>
          <w:p w14:paraId="21AAF332" w14:textId="77777777" w:rsidR="00C31925" w:rsidRPr="004500AE" w:rsidRDefault="00C31925" w:rsidP="00C31925">
            <w:pPr>
              <w:spacing w:before="0" w:after="0"/>
              <w:ind w:firstLineChars="200" w:firstLine="40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3.</w:t>
            </w:r>
            <w:r w:rsidRPr="004500AE">
              <w:rPr>
                <w:rFonts w:asciiTheme="minorHAnsi" w:eastAsia="Times New Roman" w:hAnsiTheme="minorHAnsi" w:cstheme="minorHAnsi"/>
                <w:color w:val="000000"/>
                <w:sz w:val="14"/>
                <w:szCs w:val="14"/>
                <w:lang w:val="pt-PT"/>
              </w:rPr>
              <w:t xml:space="preserve">       </w:t>
            </w:r>
            <w:r w:rsidRPr="004500AE">
              <w:rPr>
                <w:rFonts w:asciiTheme="minorHAnsi" w:eastAsia="Times New Roman" w:hAnsiTheme="minorHAnsi" w:cstheme="minorHAnsi"/>
                <w:color w:val="000000"/>
                <w:sz w:val="20"/>
                <w:szCs w:val="20"/>
                <w:lang w:val="pt-PT"/>
              </w:rPr>
              <w:t> </w:t>
            </w:r>
          </w:p>
        </w:tc>
        <w:tc>
          <w:tcPr>
            <w:tcW w:w="2344" w:type="dxa"/>
            <w:tcBorders>
              <w:top w:val="nil"/>
              <w:left w:val="nil"/>
              <w:bottom w:val="single" w:sz="8" w:space="0" w:color="auto"/>
              <w:right w:val="single" w:sz="8" w:space="0" w:color="auto"/>
            </w:tcBorders>
            <w:shd w:val="clear" w:color="auto" w:fill="auto"/>
            <w:vAlign w:val="center"/>
            <w:hideMark/>
          </w:tcPr>
          <w:p w14:paraId="36409B42"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Engenheiro de Abastecimento de Água</w:t>
            </w:r>
          </w:p>
        </w:tc>
        <w:tc>
          <w:tcPr>
            <w:tcW w:w="1648" w:type="dxa"/>
            <w:tcBorders>
              <w:top w:val="nil"/>
              <w:left w:val="nil"/>
              <w:bottom w:val="single" w:sz="8" w:space="0" w:color="auto"/>
              <w:right w:val="single" w:sz="8" w:space="0" w:color="auto"/>
            </w:tcBorders>
            <w:shd w:val="clear" w:color="auto" w:fill="auto"/>
            <w:vAlign w:val="center"/>
            <w:hideMark/>
          </w:tcPr>
          <w:p w14:paraId="67910180" w14:textId="14C4B507" w:rsidR="00C31925" w:rsidRPr="004500AE" w:rsidRDefault="00084D44" w:rsidP="00C31925">
            <w:pPr>
              <w:spacing w:before="0" w:after="0"/>
              <w:jc w:val="center"/>
              <w:rPr>
                <w:rFonts w:asciiTheme="minorHAnsi" w:eastAsia="Times New Roman" w:hAnsiTheme="minorHAnsi" w:cstheme="minorHAnsi"/>
                <w:color w:val="000000"/>
                <w:sz w:val="20"/>
                <w:szCs w:val="20"/>
                <w:lang w:val="pt-PT"/>
              </w:rPr>
            </w:pPr>
            <w:r>
              <w:rPr>
                <w:rFonts w:asciiTheme="minorHAnsi" w:eastAsia="Times New Roman" w:hAnsiTheme="minorHAnsi" w:cstheme="minorHAnsi"/>
                <w:color w:val="000000"/>
                <w:sz w:val="20"/>
                <w:szCs w:val="20"/>
                <w:lang w:val="pt-PT"/>
              </w:rPr>
              <w:t>DNAAS</w:t>
            </w:r>
          </w:p>
        </w:tc>
        <w:tc>
          <w:tcPr>
            <w:tcW w:w="1620" w:type="dxa"/>
            <w:tcBorders>
              <w:top w:val="nil"/>
              <w:left w:val="nil"/>
              <w:bottom w:val="single" w:sz="8" w:space="0" w:color="auto"/>
              <w:right w:val="single" w:sz="8" w:space="0" w:color="auto"/>
            </w:tcBorders>
            <w:shd w:val="clear" w:color="auto" w:fill="auto"/>
            <w:vAlign w:val="center"/>
            <w:hideMark/>
          </w:tcPr>
          <w:p w14:paraId="40F37320"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Consultor</w:t>
            </w:r>
          </w:p>
        </w:tc>
        <w:tc>
          <w:tcPr>
            <w:tcW w:w="2430" w:type="dxa"/>
            <w:tcBorders>
              <w:top w:val="nil"/>
              <w:left w:val="nil"/>
              <w:bottom w:val="single" w:sz="8" w:space="0" w:color="auto"/>
              <w:right w:val="single" w:sz="8" w:space="0" w:color="auto"/>
            </w:tcBorders>
            <w:shd w:val="clear" w:color="auto" w:fill="auto"/>
            <w:vAlign w:val="center"/>
            <w:hideMark/>
          </w:tcPr>
          <w:p w14:paraId="5694747B" w14:textId="73C98B08" w:rsidR="00C31925" w:rsidRPr="004500AE" w:rsidRDefault="0005701F"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Engenheiro Civil,</w:t>
            </w:r>
            <w:r w:rsidR="00C31925" w:rsidRPr="004500AE">
              <w:rPr>
                <w:rFonts w:asciiTheme="minorHAnsi" w:eastAsia="Times New Roman" w:hAnsiTheme="minorHAnsi" w:cstheme="minorHAnsi"/>
                <w:color w:val="000000"/>
                <w:sz w:val="20"/>
                <w:szCs w:val="20"/>
                <w:lang w:val="pt-PT"/>
              </w:rPr>
              <w:t xml:space="preserve"> </w:t>
            </w:r>
            <w:proofErr w:type="gramStart"/>
            <w:r w:rsidR="00C31925" w:rsidRPr="004500AE">
              <w:rPr>
                <w:rFonts w:asciiTheme="minorHAnsi" w:eastAsia="Times New Roman" w:hAnsiTheme="minorHAnsi" w:cstheme="minorHAnsi"/>
                <w:color w:val="000000"/>
                <w:sz w:val="20"/>
                <w:szCs w:val="20"/>
                <w:lang w:val="pt-PT"/>
              </w:rPr>
              <w:t>ou Hidráulico</w:t>
            </w:r>
            <w:proofErr w:type="gramEnd"/>
          </w:p>
        </w:tc>
      </w:tr>
      <w:tr w:rsidR="00C31925" w:rsidRPr="001E4B2C" w14:paraId="6BA312F0" w14:textId="77777777" w:rsidTr="00C31925">
        <w:trPr>
          <w:trHeight w:val="570"/>
        </w:trPr>
        <w:tc>
          <w:tcPr>
            <w:tcW w:w="1128" w:type="dxa"/>
            <w:tcBorders>
              <w:top w:val="nil"/>
              <w:left w:val="single" w:sz="8" w:space="0" w:color="auto"/>
              <w:bottom w:val="single" w:sz="8" w:space="0" w:color="auto"/>
              <w:right w:val="single" w:sz="8" w:space="0" w:color="auto"/>
            </w:tcBorders>
            <w:shd w:val="clear" w:color="auto" w:fill="auto"/>
            <w:vAlign w:val="center"/>
            <w:hideMark/>
          </w:tcPr>
          <w:p w14:paraId="3BA8D39C" w14:textId="77777777" w:rsidR="00C31925" w:rsidRPr="004500AE" w:rsidRDefault="00C31925" w:rsidP="00C31925">
            <w:pPr>
              <w:spacing w:before="0" w:after="0"/>
              <w:ind w:firstLineChars="200" w:firstLine="40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4.</w:t>
            </w:r>
            <w:r w:rsidRPr="004500AE">
              <w:rPr>
                <w:rFonts w:asciiTheme="minorHAnsi" w:eastAsia="Times New Roman" w:hAnsiTheme="minorHAnsi" w:cstheme="minorHAnsi"/>
                <w:color w:val="000000"/>
                <w:sz w:val="14"/>
                <w:szCs w:val="14"/>
                <w:lang w:val="pt-PT"/>
              </w:rPr>
              <w:t xml:space="preserve">       </w:t>
            </w:r>
            <w:r w:rsidRPr="004500AE">
              <w:rPr>
                <w:rFonts w:asciiTheme="minorHAnsi" w:eastAsia="Times New Roman" w:hAnsiTheme="minorHAnsi" w:cstheme="minorHAnsi"/>
                <w:color w:val="000000"/>
                <w:sz w:val="20"/>
                <w:szCs w:val="20"/>
                <w:lang w:val="pt-PT"/>
              </w:rPr>
              <w:t> </w:t>
            </w:r>
          </w:p>
        </w:tc>
        <w:tc>
          <w:tcPr>
            <w:tcW w:w="2344" w:type="dxa"/>
            <w:tcBorders>
              <w:top w:val="nil"/>
              <w:left w:val="nil"/>
              <w:bottom w:val="single" w:sz="8" w:space="0" w:color="auto"/>
              <w:right w:val="single" w:sz="8" w:space="0" w:color="auto"/>
            </w:tcBorders>
            <w:shd w:val="clear" w:color="auto" w:fill="auto"/>
            <w:vAlign w:val="center"/>
            <w:hideMark/>
          </w:tcPr>
          <w:p w14:paraId="56CAD79F"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Engenheiro de Saneamento Localizado</w:t>
            </w:r>
          </w:p>
        </w:tc>
        <w:tc>
          <w:tcPr>
            <w:tcW w:w="1648" w:type="dxa"/>
            <w:tcBorders>
              <w:top w:val="nil"/>
              <w:left w:val="nil"/>
              <w:bottom w:val="single" w:sz="8" w:space="0" w:color="auto"/>
              <w:right w:val="single" w:sz="8" w:space="0" w:color="auto"/>
            </w:tcBorders>
            <w:shd w:val="clear" w:color="auto" w:fill="auto"/>
            <w:vAlign w:val="center"/>
            <w:hideMark/>
          </w:tcPr>
          <w:p w14:paraId="3EBEC155"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DNAAS</w:t>
            </w:r>
          </w:p>
        </w:tc>
        <w:tc>
          <w:tcPr>
            <w:tcW w:w="1620" w:type="dxa"/>
            <w:tcBorders>
              <w:top w:val="nil"/>
              <w:left w:val="nil"/>
              <w:bottom w:val="single" w:sz="8" w:space="0" w:color="auto"/>
              <w:right w:val="single" w:sz="8" w:space="0" w:color="auto"/>
            </w:tcBorders>
            <w:shd w:val="clear" w:color="auto" w:fill="auto"/>
            <w:vAlign w:val="center"/>
            <w:hideMark/>
          </w:tcPr>
          <w:p w14:paraId="370BBA2A"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Consultor</w:t>
            </w:r>
          </w:p>
        </w:tc>
        <w:tc>
          <w:tcPr>
            <w:tcW w:w="2430" w:type="dxa"/>
            <w:tcBorders>
              <w:top w:val="nil"/>
              <w:left w:val="nil"/>
              <w:bottom w:val="single" w:sz="8" w:space="0" w:color="auto"/>
              <w:right w:val="single" w:sz="8" w:space="0" w:color="auto"/>
            </w:tcBorders>
            <w:shd w:val="clear" w:color="auto" w:fill="auto"/>
            <w:vAlign w:val="center"/>
            <w:hideMark/>
          </w:tcPr>
          <w:p w14:paraId="57F1A064"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Engenheiro Civil, </w:t>
            </w:r>
            <w:proofErr w:type="gramStart"/>
            <w:r w:rsidRPr="004500AE">
              <w:rPr>
                <w:rFonts w:asciiTheme="minorHAnsi" w:eastAsia="Times New Roman" w:hAnsiTheme="minorHAnsi" w:cstheme="minorHAnsi"/>
                <w:color w:val="000000"/>
                <w:sz w:val="20"/>
                <w:szCs w:val="20"/>
                <w:lang w:val="pt-PT"/>
              </w:rPr>
              <w:t>Hidráulico ou Sanitário</w:t>
            </w:r>
            <w:proofErr w:type="gramEnd"/>
            <w:r w:rsidRPr="004500AE">
              <w:rPr>
                <w:rFonts w:asciiTheme="minorHAnsi" w:eastAsia="Times New Roman" w:hAnsiTheme="minorHAnsi" w:cstheme="minorHAnsi"/>
                <w:color w:val="000000"/>
                <w:sz w:val="20"/>
                <w:szCs w:val="20"/>
                <w:lang w:val="pt-PT"/>
              </w:rPr>
              <w:t xml:space="preserve"> </w:t>
            </w:r>
          </w:p>
        </w:tc>
      </w:tr>
      <w:tr w:rsidR="00C31925" w:rsidRPr="001E4B2C" w14:paraId="6B78EC7E" w14:textId="77777777" w:rsidTr="00C31925">
        <w:trPr>
          <w:trHeight w:val="570"/>
        </w:trPr>
        <w:tc>
          <w:tcPr>
            <w:tcW w:w="1128" w:type="dxa"/>
            <w:tcBorders>
              <w:top w:val="nil"/>
              <w:left w:val="single" w:sz="8" w:space="0" w:color="auto"/>
              <w:bottom w:val="single" w:sz="8" w:space="0" w:color="auto"/>
              <w:right w:val="single" w:sz="8" w:space="0" w:color="auto"/>
            </w:tcBorders>
            <w:shd w:val="clear" w:color="auto" w:fill="auto"/>
            <w:vAlign w:val="center"/>
            <w:hideMark/>
          </w:tcPr>
          <w:p w14:paraId="6A1A6FA1" w14:textId="77777777" w:rsidR="00C31925" w:rsidRPr="004500AE" w:rsidRDefault="00C31925" w:rsidP="00C31925">
            <w:pPr>
              <w:spacing w:before="0" w:after="0"/>
              <w:ind w:firstLineChars="200" w:firstLine="40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5.</w:t>
            </w:r>
            <w:r w:rsidRPr="004500AE">
              <w:rPr>
                <w:rFonts w:asciiTheme="minorHAnsi" w:eastAsia="Times New Roman" w:hAnsiTheme="minorHAnsi" w:cstheme="minorHAnsi"/>
                <w:color w:val="000000"/>
                <w:sz w:val="14"/>
                <w:szCs w:val="14"/>
                <w:lang w:val="pt-PT"/>
              </w:rPr>
              <w:t xml:space="preserve">       </w:t>
            </w:r>
            <w:r w:rsidRPr="004500AE">
              <w:rPr>
                <w:rFonts w:asciiTheme="minorHAnsi" w:eastAsia="Times New Roman" w:hAnsiTheme="minorHAnsi" w:cstheme="minorHAnsi"/>
                <w:color w:val="000000"/>
                <w:sz w:val="20"/>
                <w:szCs w:val="20"/>
                <w:lang w:val="pt-PT"/>
              </w:rPr>
              <w:t> </w:t>
            </w:r>
          </w:p>
        </w:tc>
        <w:tc>
          <w:tcPr>
            <w:tcW w:w="2344" w:type="dxa"/>
            <w:tcBorders>
              <w:top w:val="nil"/>
              <w:left w:val="nil"/>
              <w:bottom w:val="single" w:sz="8" w:space="0" w:color="auto"/>
              <w:right w:val="single" w:sz="8" w:space="0" w:color="auto"/>
            </w:tcBorders>
            <w:shd w:val="clear" w:color="auto" w:fill="auto"/>
            <w:vAlign w:val="center"/>
            <w:hideMark/>
          </w:tcPr>
          <w:p w14:paraId="133969CE"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Especialista de Aquisições </w:t>
            </w:r>
          </w:p>
        </w:tc>
        <w:tc>
          <w:tcPr>
            <w:tcW w:w="1648" w:type="dxa"/>
            <w:tcBorders>
              <w:top w:val="nil"/>
              <w:left w:val="nil"/>
              <w:bottom w:val="single" w:sz="8" w:space="0" w:color="auto"/>
              <w:right w:val="single" w:sz="8" w:space="0" w:color="auto"/>
            </w:tcBorders>
            <w:shd w:val="clear" w:color="auto" w:fill="auto"/>
            <w:vAlign w:val="center"/>
            <w:hideMark/>
          </w:tcPr>
          <w:p w14:paraId="1C9CB00C"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DNAAS</w:t>
            </w:r>
          </w:p>
        </w:tc>
        <w:tc>
          <w:tcPr>
            <w:tcW w:w="1620" w:type="dxa"/>
            <w:tcBorders>
              <w:top w:val="nil"/>
              <w:left w:val="nil"/>
              <w:bottom w:val="single" w:sz="8" w:space="0" w:color="auto"/>
              <w:right w:val="single" w:sz="8" w:space="0" w:color="auto"/>
            </w:tcBorders>
            <w:shd w:val="clear" w:color="auto" w:fill="auto"/>
            <w:vAlign w:val="center"/>
            <w:hideMark/>
          </w:tcPr>
          <w:p w14:paraId="421A7647"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Consultor</w:t>
            </w:r>
          </w:p>
        </w:tc>
        <w:tc>
          <w:tcPr>
            <w:tcW w:w="2430" w:type="dxa"/>
            <w:tcBorders>
              <w:top w:val="nil"/>
              <w:left w:val="nil"/>
              <w:bottom w:val="single" w:sz="8" w:space="0" w:color="auto"/>
              <w:right w:val="single" w:sz="8" w:space="0" w:color="auto"/>
            </w:tcBorders>
            <w:shd w:val="clear" w:color="auto" w:fill="auto"/>
            <w:vAlign w:val="center"/>
            <w:hideMark/>
          </w:tcPr>
          <w:p w14:paraId="0C386B4C"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Formação em aquisições, Economia ou área similar </w:t>
            </w:r>
          </w:p>
        </w:tc>
      </w:tr>
      <w:tr w:rsidR="00C31925" w:rsidRPr="001E4B2C" w14:paraId="56E48B5C" w14:textId="77777777" w:rsidTr="00C31925">
        <w:trPr>
          <w:trHeight w:val="570"/>
        </w:trPr>
        <w:tc>
          <w:tcPr>
            <w:tcW w:w="1128" w:type="dxa"/>
            <w:tcBorders>
              <w:top w:val="nil"/>
              <w:left w:val="single" w:sz="8" w:space="0" w:color="auto"/>
              <w:bottom w:val="single" w:sz="8" w:space="0" w:color="auto"/>
              <w:right w:val="single" w:sz="8" w:space="0" w:color="auto"/>
            </w:tcBorders>
            <w:shd w:val="clear" w:color="auto" w:fill="auto"/>
            <w:vAlign w:val="center"/>
            <w:hideMark/>
          </w:tcPr>
          <w:p w14:paraId="19158C38" w14:textId="77777777" w:rsidR="00C31925" w:rsidRPr="004500AE" w:rsidRDefault="00C31925" w:rsidP="00C31925">
            <w:pPr>
              <w:spacing w:before="0" w:after="0"/>
              <w:ind w:firstLineChars="200" w:firstLine="40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6.</w:t>
            </w:r>
            <w:r w:rsidRPr="004500AE">
              <w:rPr>
                <w:rFonts w:asciiTheme="minorHAnsi" w:eastAsia="Times New Roman" w:hAnsiTheme="minorHAnsi" w:cstheme="minorHAnsi"/>
                <w:color w:val="000000"/>
                <w:sz w:val="14"/>
                <w:szCs w:val="14"/>
                <w:lang w:val="pt-PT"/>
              </w:rPr>
              <w:t xml:space="preserve">       </w:t>
            </w:r>
            <w:r w:rsidRPr="004500AE">
              <w:rPr>
                <w:rFonts w:asciiTheme="minorHAnsi" w:eastAsia="Times New Roman" w:hAnsiTheme="minorHAnsi" w:cstheme="minorHAnsi"/>
                <w:color w:val="000000"/>
                <w:sz w:val="20"/>
                <w:szCs w:val="20"/>
                <w:lang w:val="pt-PT"/>
              </w:rPr>
              <w:t> </w:t>
            </w:r>
          </w:p>
        </w:tc>
        <w:tc>
          <w:tcPr>
            <w:tcW w:w="2344" w:type="dxa"/>
            <w:tcBorders>
              <w:top w:val="nil"/>
              <w:left w:val="nil"/>
              <w:bottom w:val="single" w:sz="8" w:space="0" w:color="auto"/>
              <w:right w:val="single" w:sz="8" w:space="0" w:color="auto"/>
            </w:tcBorders>
            <w:shd w:val="clear" w:color="auto" w:fill="auto"/>
            <w:vAlign w:val="center"/>
            <w:hideMark/>
          </w:tcPr>
          <w:p w14:paraId="6AB1104A"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Especialista em Gestão Financeira</w:t>
            </w:r>
          </w:p>
        </w:tc>
        <w:tc>
          <w:tcPr>
            <w:tcW w:w="1648" w:type="dxa"/>
            <w:tcBorders>
              <w:top w:val="nil"/>
              <w:left w:val="nil"/>
              <w:bottom w:val="single" w:sz="8" w:space="0" w:color="auto"/>
              <w:right w:val="single" w:sz="8" w:space="0" w:color="auto"/>
            </w:tcBorders>
            <w:shd w:val="clear" w:color="auto" w:fill="auto"/>
            <w:vAlign w:val="center"/>
            <w:hideMark/>
          </w:tcPr>
          <w:p w14:paraId="25CADFD2"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DNAAS</w:t>
            </w:r>
          </w:p>
        </w:tc>
        <w:tc>
          <w:tcPr>
            <w:tcW w:w="1620" w:type="dxa"/>
            <w:tcBorders>
              <w:top w:val="nil"/>
              <w:left w:val="nil"/>
              <w:bottom w:val="single" w:sz="8" w:space="0" w:color="auto"/>
              <w:right w:val="single" w:sz="8" w:space="0" w:color="auto"/>
            </w:tcBorders>
            <w:shd w:val="clear" w:color="auto" w:fill="auto"/>
            <w:vAlign w:val="center"/>
            <w:hideMark/>
          </w:tcPr>
          <w:p w14:paraId="72F93535"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Consultor</w:t>
            </w:r>
          </w:p>
        </w:tc>
        <w:tc>
          <w:tcPr>
            <w:tcW w:w="2430" w:type="dxa"/>
            <w:tcBorders>
              <w:top w:val="nil"/>
              <w:left w:val="nil"/>
              <w:bottom w:val="single" w:sz="8" w:space="0" w:color="auto"/>
              <w:right w:val="single" w:sz="8" w:space="0" w:color="auto"/>
            </w:tcBorders>
            <w:shd w:val="clear" w:color="auto" w:fill="auto"/>
            <w:vAlign w:val="center"/>
            <w:hideMark/>
          </w:tcPr>
          <w:p w14:paraId="5D7B1BC0"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Licenciatura em Economia, Finanças ou área similar</w:t>
            </w:r>
          </w:p>
        </w:tc>
      </w:tr>
      <w:tr w:rsidR="00C31925" w:rsidRPr="001E4B2C" w14:paraId="298FC04E" w14:textId="77777777" w:rsidTr="00C31925">
        <w:trPr>
          <w:trHeight w:val="570"/>
        </w:trPr>
        <w:tc>
          <w:tcPr>
            <w:tcW w:w="1128" w:type="dxa"/>
            <w:tcBorders>
              <w:top w:val="nil"/>
              <w:left w:val="single" w:sz="8" w:space="0" w:color="auto"/>
              <w:bottom w:val="single" w:sz="8" w:space="0" w:color="auto"/>
              <w:right w:val="single" w:sz="8" w:space="0" w:color="auto"/>
            </w:tcBorders>
            <w:shd w:val="clear" w:color="auto" w:fill="auto"/>
            <w:vAlign w:val="center"/>
            <w:hideMark/>
          </w:tcPr>
          <w:p w14:paraId="18C336DE" w14:textId="77777777" w:rsidR="00C31925" w:rsidRPr="004500AE" w:rsidRDefault="00C31925" w:rsidP="00C31925">
            <w:pPr>
              <w:spacing w:before="0" w:after="0"/>
              <w:ind w:firstLineChars="200" w:firstLine="40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7.</w:t>
            </w:r>
            <w:r w:rsidRPr="004500AE">
              <w:rPr>
                <w:rFonts w:asciiTheme="minorHAnsi" w:eastAsia="Times New Roman" w:hAnsiTheme="minorHAnsi" w:cstheme="minorHAnsi"/>
                <w:color w:val="000000"/>
                <w:sz w:val="14"/>
                <w:szCs w:val="14"/>
                <w:lang w:val="pt-PT"/>
              </w:rPr>
              <w:t xml:space="preserve">       </w:t>
            </w:r>
            <w:r w:rsidRPr="004500AE">
              <w:rPr>
                <w:rFonts w:asciiTheme="minorHAnsi" w:eastAsia="Times New Roman" w:hAnsiTheme="minorHAnsi" w:cstheme="minorHAnsi"/>
                <w:color w:val="000000"/>
                <w:sz w:val="20"/>
                <w:szCs w:val="20"/>
                <w:lang w:val="pt-PT"/>
              </w:rPr>
              <w:t> </w:t>
            </w:r>
          </w:p>
        </w:tc>
        <w:tc>
          <w:tcPr>
            <w:tcW w:w="2344" w:type="dxa"/>
            <w:tcBorders>
              <w:top w:val="nil"/>
              <w:left w:val="nil"/>
              <w:bottom w:val="single" w:sz="8" w:space="0" w:color="auto"/>
              <w:right w:val="single" w:sz="8" w:space="0" w:color="auto"/>
            </w:tcBorders>
            <w:shd w:val="clear" w:color="auto" w:fill="auto"/>
            <w:vAlign w:val="center"/>
            <w:hideMark/>
          </w:tcPr>
          <w:p w14:paraId="141CB273"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Especialista em Monitoria e Avaliação </w:t>
            </w:r>
          </w:p>
        </w:tc>
        <w:tc>
          <w:tcPr>
            <w:tcW w:w="1648" w:type="dxa"/>
            <w:tcBorders>
              <w:top w:val="nil"/>
              <w:left w:val="nil"/>
              <w:bottom w:val="single" w:sz="8" w:space="0" w:color="auto"/>
              <w:right w:val="single" w:sz="8" w:space="0" w:color="auto"/>
            </w:tcBorders>
            <w:shd w:val="clear" w:color="auto" w:fill="auto"/>
            <w:vAlign w:val="center"/>
            <w:hideMark/>
          </w:tcPr>
          <w:p w14:paraId="2BF6AA6A"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DNAAS</w:t>
            </w:r>
          </w:p>
        </w:tc>
        <w:tc>
          <w:tcPr>
            <w:tcW w:w="1620" w:type="dxa"/>
            <w:tcBorders>
              <w:top w:val="nil"/>
              <w:left w:val="nil"/>
              <w:bottom w:val="single" w:sz="8" w:space="0" w:color="auto"/>
              <w:right w:val="single" w:sz="8" w:space="0" w:color="auto"/>
            </w:tcBorders>
            <w:shd w:val="clear" w:color="auto" w:fill="auto"/>
            <w:vAlign w:val="center"/>
            <w:hideMark/>
          </w:tcPr>
          <w:p w14:paraId="30F466AC"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Consultor</w:t>
            </w:r>
          </w:p>
        </w:tc>
        <w:tc>
          <w:tcPr>
            <w:tcW w:w="2430" w:type="dxa"/>
            <w:tcBorders>
              <w:top w:val="nil"/>
              <w:left w:val="nil"/>
              <w:bottom w:val="single" w:sz="8" w:space="0" w:color="auto"/>
              <w:right w:val="single" w:sz="8" w:space="0" w:color="auto"/>
            </w:tcBorders>
            <w:shd w:val="clear" w:color="auto" w:fill="auto"/>
            <w:vAlign w:val="center"/>
            <w:hideMark/>
          </w:tcPr>
          <w:p w14:paraId="2B1396DF"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Ciências Sociais, Estatísticas, Gestão Pública, Gestão de Negócios ou similar </w:t>
            </w:r>
          </w:p>
        </w:tc>
      </w:tr>
      <w:tr w:rsidR="00C31925" w:rsidRPr="001E4B2C" w14:paraId="23AEAA49" w14:textId="77777777" w:rsidTr="00C31925">
        <w:trPr>
          <w:trHeight w:val="570"/>
        </w:trPr>
        <w:tc>
          <w:tcPr>
            <w:tcW w:w="1128" w:type="dxa"/>
            <w:tcBorders>
              <w:top w:val="nil"/>
              <w:left w:val="single" w:sz="8" w:space="0" w:color="auto"/>
              <w:bottom w:val="single" w:sz="8" w:space="0" w:color="auto"/>
              <w:right w:val="single" w:sz="8" w:space="0" w:color="auto"/>
            </w:tcBorders>
            <w:shd w:val="clear" w:color="auto" w:fill="auto"/>
            <w:vAlign w:val="center"/>
            <w:hideMark/>
          </w:tcPr>
          <w:p w14:paraId="0AD13B45" w14:textId="77777777" w:rsidR="00C31925" w:rsidRPr="004500AE" w:rsidRDefault="00C31925" w:rsidP="00C31925">
            <w:pPr>
              <w:spacing w:before="0" w:after="0"/>
              <w:ind w:firstLineChars="200" w:firstLine="40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lastRenderedPageBreak/>
              <w:t>8.</w:t>
            </w:r>
            <w:r w:rsidRPr="004500AE">
              <w:rPr>
                <w:rFonts w:asciiTheme="minorHAnsi" w:eastAsia="Times New Roman" w:hAnsiTheme="minorHAnsi" w:cstheme="minorHAnsi"/>
                <w:color w:val="000000"/>
                <w:sz w:val="14"/>
                <w:szCs w:val="14"/>
                <w:lang w:val="pt-PT"/>
              </w:rPr>
              <w:t xml:space="preserve">       </w:t>
            </w:r>
            <w:r w:rsidRPr="004500AE">
              <w:rPr>
                <w:rFonts w:asciiTheme="minorHAnsi" w:eastAsia="Times New Roman" w:hAnsiTheme="minorHAnsi" w:cstheme="minorHAnsi"/>
                <w:color w:val="000000"/>
                <w:sz w:val="20"/>
                <w:szCs w:val="20"/>
                <w:lang w:val="pt-PT"/>
              </w:rPr>
              <w:t> </w:t>
            </w:r>
          </w:p>
        </w:tc>
        <w:tc>
          <w:tcPr>
            <w:tcW w:w="2344" w:type="dxa"/>
            <w:tcBorders>
              <w:top w:val="nil"/>
              <w:left w:val="nil"/>
              <w:bottom w:val="single" w:sz="8" w:space="0" w:color="auto"/>
              <w:right w:val="single" w:sz="8" w:space="0" w:color="auto"/>
            </w:tcBorders>
            <w:shd w:val="clear" w:color="auto" w:fill="auto"/>
            <w:vAlign w:val="center"/>
            <w:hideMark/>
          </w:tcPr>
          <w:p w14:paraId="17DB6BC2"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Coordenador de Salvaguardas </w:t>
            </w:r>
          </w:p>
        </w:tc>
        <w:tc>
          <w:tcPr>
            <w:tcW w:w="1648" w:type="dxa"/>
            <w:tcBorders>
              <w:top w:val="nil"/>
              <w:left w:val="nil"/>
              <w:bottom w:val="single" w:sz="8" w:space="0" w:color="auto"/>
              <w:right w:val="single" w:sz="8" w:space="0" w:color="auto"/>
            </w:tcBorders>
            <w:shd w:val="clear" w:color="auto" w:fill="auto"/>
            <w:vAlign w:val="center"/>
            <w:hideMark/>
          </w:tcPr>
          <w:p w14:paraId="57C1B2F6"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DNAAS</w:t>
            </w:r>
          </w:p>
        </w:tc>
        <w:tc>
          <w:tcPr>
            <w:tcW w:w="1620" w:type="dxa"/>
            <w:tcBorders>
              <w:top w:val="nil"/>
              <w:left w:val="nil"/>
              <w:bottom w:val="single" w:sz="8" w:space="0" w:color="auto"/>
              <w:right w:val="single" w:sz="8" w:space="0" w:color="auto"/>
            </w:tcBorders>
            <w:shd w:val="clear" w:color="auto" w:fill="auto"/>
            <w:vAlign w:val="center"/>
            <w:hideMark/>
          </w:tcPr>
          <w:p w14:paraId="3CFB7E21"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No quadro da DNAAS </w:t>
            </w:r>
          </w:p>
        </w:tc>
        <w:tc>
          <w:tcPr>
            <w:tcW w:w="2430" w:type="dxa"/>
            <w:tcBorders>
              <w:top w:val="nil"/>
              <w:left w:val="nil"/>
              <w:bottom w:val="single" w:sz="8" w:space="0" w:color="auto"/>
              <w:right w:val="single" w:sz="8" w:space="0" w:color="auto"/>
            </w:tcBorders>
            <w:shd w:val="clear" w:color="auto" w:fill="auto"/>
            <w:vAlign w:val="center"/>
            <w:hideMark/>
          </w:tcPr>
          <w:p w14:paraId="17228E02"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Estudos em ciências ambientais e sociais </w:t>
            </w:r>
          </w:p>
        </w:tc>
      </w:tr>
      <w:tr w:rsidR="00C31925" w:rsidRPr="001E4B2C" w14:paraId="7B4DEFD9" w14:textId="77777777" w:rsidTr="00C31925">
        <w:trPr>
          <w:trHeight w:val="570"/>
        </w:trPr>
        <w:tc>
          <w:tcPr>
            <w:tcW w:w="9170" w:type="dxa"/>
            <w:gridSpan w:val="5"/>
            <w:tcBorders>
              <w:top w:val="single" w:sz="8" w:space="0" w:color="auto"/>
              <w:left w:val="single" w:sz="8" w:space="0" w:color="auto"/>
              <w:bottom w:val="single" w:sz="8" w:space="0" w:color="auto"/>
              <w:right w:val="single" w:sz="8" w:space="0" w:color="000000"/>
            </w:tcBorders>
            <w:shd w:val="clear" w:color="000000" w:fill="D5DCE4"/>
            <w:vAlign w:val="center"/>
            <w:hideMark/>
          </w:tcPr>
          <w:p w14:paraId="30A66A6F" w14:textId="4DB07A94" w:rsidR="00C31925" w:rsidRPr="004500AE" w:rsidRDefault="00C31925" w:rsidP="00C31925">
            <w:pPr>
              <w:spacing w:before="0" w:after="0"/>
              <w:jc w:val="left"/>
              <w:rPr>
                <w:rFonts w:asciiTheme="minorHAnsi" w:eastAsia="Times New Roman" w:hAnsiTheme="minorHAnsi" w:cstheme="minorHAnsi"/>
                <w:b/>
                <w:bCs/>
                <w:color w:val="000000"/>
                <w:lang w:val="pt-PT"/>
              </w:rPr>
            </w:pPr>
            <w:r w:rsidRPr="004500AE">
              <w:rPr>
                <w:rFonts w:asciiTheme="minorHAnsi" w:eastAsia="Times New Roman" w:hAnsiTheme="minorHAnsi" w:cstheme="minorHAnsi"/>
                <w:b/>
                <w:bCs/>
                <w:color w:val="000000"/>
                <w:lang w:val="pt-PT"/>
              </w:rPr>
              <w:t>UIP DA ADMINISTRAÇÃO DA INFRASTRUTURA DE ÁGUA E SANEAMENTO (UIP/AIAS)</w:t>
            </w:r>
          </w:p>
        </w:tc>
      </w:tr>
      <w:tr w:rsidR="00C31925" w:rsidRPr="00292532" w14:paraId="4E36C47E" w14:textId="77777777" w:rsidTr="00C31925">
        <w:trPr>
          <w:trHeight w:val="570"/>
        </w:trPr>
        <w:tc>
          <w:tcPr>
            <w:tcW w:w="1128" w:type="dxa"/>
            <w:tcBorders>
              <w:top w:val="nil"/>
              <w:left w:val="single" w:sz="8" w:space="0" w:color="auto"/>
              <w:bottom w:val="single" w:sz="8" w:space="0" w:color="auto"/>
              <w:right w:val="single" w:sz="8" w:space="0" w:color="auto"/>
            </w:tcBorders>
            <w:shd w:val="clear" w:color="auto" w:fill="auto"/>
            <w:vAlign w:val="center"/>
            <w:hideMark/>
          </w:tcPr>
          <w:p w14:paraId="77F75BA1" w14:textId="77777777" w:rsidR="00C31925" w:rsidRPr="004500AE" w:rsidRDefault="00C31925" w:rsidP="00C31925">
            <w:pPr>
              <w:spacing w:before="0" w:after="0"/>
              <w:ind w:firstLineChars="200" w:firstLine="40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1.</w:t>
            </w:r>
            <w:r w:rsidRPr="004500AE">
              <w:rPr>
                <w:rFonts w:asciiTheme="minorHAnsi" w:eastAsia="Times New Roman" w:hAnsiTheme="minorHAnsi" w:cstheme="minorHAnsi"/>
                <w:color w:val="000000"/>
                <w:sz w:val="14"/>
                <w:szCs w:val="14"/>
                <w:lang w:val="pt-PT"/>
              </w:rPr>
              <w:t xml:space="preserve">       </w:t>
            </w:r>
            <w:r w:rsidRPr="004500AE">
              <w:rPr>
                <w:rFonts w:asciiTheme="minorHAnsi" w:eastAsia="Times New Roman" w:hAnsiTheme="minorHAnsi" w:cstheme="minorHAnsi"/>
                <w:color w:val="000000"/>
                <w:sz w:val="20"/>
                <w:szCs w:val="20"/>
                <w:lang w:val="pt-PT"/>
              </w:rPr>
              <w:t> </w:t>
            </w:r>
          </w:p>
        </w:tc>
        <w:tc>
          <w:tcPr>
            <w:tcW w:w="2344" w:type="dxa"/>
            <w:tcBorders>
              <w:top w:val="nil"/>
              <w:left w:val="nil"/>
              <w:bottom w:val="single" w:sz="8" w:space="0" w:color="auto"/>
              <w:right w:val="single" w:sz="8" w:space="0" w:color="auto"/>
            </w:tcBorders>
            <w:shd w:val="clear" w:color="auto" w:fill="auto"/>
            <w:vAlign w:val="center"/>
            <w:hideMark/>
          </w:tcPr>
          <w:p w14:paraId="67831CCE"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Gestor do </w:t>
            </w:r>
            <w:proofErr w:type="spellStart"/>
            <w:r w:rsidRPr="004500AE">
              <w:rPr>
                <w:rFonts w:asciiTheme="minorHAnsi" w:eastAsia="Times New Roman" w:hAnsiTheme="minorHAnsi" w:cstheme="minorHAnsi"/>
                <w:color w:val="000000"/>
                <w:sz w:val="20"/>
                <w:szCs w:val="20"/>
                <w:lang w:val="pt-PT"/>
              </w:rPr>
              <w:t>Projecto</w:t>
            </w:r>
            <w:proofErr w:type="spellEnd"/>
            <w:r w:rsidRPr="004500AE">
              <w:rPr>
                <w:rFonts w:asciiTheme="minorHAnsi" w:eastAsia="Times New Roman" w:hAnsiTheme="minorHAnsi" w:cstheme="minorHAnsi"/>
                <w:color w:val="000000"/>
                <w:sz w:val="20"/>
                <w:szCs w:val="20"/>
                <w:lang w:val="pt-PT"/>
              </w:rPr>
              <w:t xml:space="preserve"> </w:t>
            </w:r>
          </w:p>
        </w:tc>
        <w:tc>
          <w:tcPr>
            <w:tcW w:w="1648" w:type="dxa"/>
            <w:tcBorders>
              <w:top w:val="nil"/>
              <w:left w:val="nil"/>
              <w:bottom w:val="single" w:sz="8" w:space="0" w:color="auto"/>
              <w:right w:val="single" w:sz="8" w:space="0" w:color="auto"/>
            </w:tcBorders>
            <w:shd w:val="clear" w:color="auto" w:fill="auto"/>
            <w:vAlign w:val="center"/>
            <w:hideMark/>
          </w:tcPr>
          <w:p w14:paraId="2BF50BA4"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AIAS</w:t>
            </w:r>
          </w:p>
        </w:tc>
        <w:tc>
          <w:tcPr>
            <w:tcW w:w="1620" w:type="dxa"/>
            <w:tcBorders>
              <w:top w:val="nil"/>
              <w:left w:val="nil"/>
              <w:bottom w:val="single" w:sz="8" w:space="0" w:color="auto"/>
              <w:right w:val="single" w:sz="8" w:space="0" w:color="auto"/>
            </w:tcBorders>
            <w:shd w:val="clear" w:color="auto" w:fill="auto"/>
            <w:vAlign w:val="center"/>
            <w:hideMark/>
          </w:tcPr>
          <w:p w14:paraId="72CC4F44"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Chefe do DCOAT</w:t>
            </w:r>
          </w:p>
        </w:tc>
        <w:tc>
          <w:tcPr>
            <w:tcW w:w="2430" w:type="dxa"/>
            <w:tcBorders>
              <w:top w:val="nil"/>
              <w:left w:val="nil"/>
              <w:bottom w:val="single" w:sz="8" w:space="0" w:color="auto"/>
              <w:right w:val="single" w:sz="8" w:space="0" w:color="auto"/>
            </w:tcBorders>
            <w:shd w:val="clear" w:color="auto" w:fill="auto"/>
            <w:vAlign w:val="center"/>
            <w:hideMark/>
          </w:tcPr>
          <w:p w14:paraId="2309E8DA"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Engenheiro Civil </w:t>
            </w:r>
          </w:p>
        </w:tc>
      </w:tr>
      <w:tr w:rsidR="00C31925" w:rsidRPr="00292532" w14:paraId="3833CC84" w14:textId="77777777" w:rsidTr="00C31925">
        <w:trPr>
          <w:trHeight w:val="570"/>
        </w:trPr>
        <w:tc>
          <w:tcPr>
            <w:tcW w:w="1128" w:type="dxa"/>
            <w:tcBorders>
              <w:top w:val="nil"/>
              <w:left w:val="single" w:sz="8" w:space="0" w:color="auto"/>
              <w:bottom w:val="single" w:sz="8" w:space="0" w:color="auto"/>
              <w:right w:val="single" w:sz="8" w:space="0" w:color="auto"/>
            </w:tcBorders>
            <w:shd w:val="clear" w:color="auto" w:fill="auto"/>
            <w:vAlign w:val="center"/>
            <w:hideMark/>
          </w:tcPr>
          <w:p w14:paraId="261CF2B0" w14:textId="77777777" w:rsidR="00C31925" w:rsidRPr="004500AE" w:rsidRDefault="00C31925" w:rsidP="00C31925">
            <w:pPr>
              <w:spacing w:before="0" w:after="0"/>
              <w:ind w:firstLineChars="200" w:firstLine="40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2.</w:t>
            </w:r>
            <w:r w:rsidRPr="004500AE">
              <w:rPr>
                <w:rFonts w:asciiTheme="minorHAnsi" w:eastAsia="Times New Roman" w:hAnsiTheme="minorHAnsi" w:cstheme="minorHAnsi"/>
                <w:color w:val="000000"/>
                <w:sz w:val="14"/>
                <w:szCs w:val="14"/>
                <w:lang w:val="pt-PT"/>
              </w:rPr>
              <w:t xml:space="preserve">       </w:t>
            </w:r>
            <w:r w:rsidRPr="004500AE">
              <w:rPr>
                <w:rFonts w:asciiTheme="minorHAnsi" w:eastAsia="Times New Roman" w:hAnsiTheme="minorHAnsi" w:cstheme="minorHAnsi"/>
                <w:color w:val="000000"/>
                <w:sz w:val="20"/>
                <w:szCs w:val="20"/>
                <w:lang w:val="pt-PT"/>
              </w:rPr>
              <w:t> </w:t>
            </w:r>
          </w:p>
        </w:tc>
        <w:tc>
          <w:tcPr>
            <w:tcW w:w="2344" w:type="dxa"/>
            <w:tcBorders>
              <w:top w:val="nil"/>
              <w:left w:val="nil"/>
              <w:bottom w:val="single" w:sz="8" w:space="0" w:color="auto"/>
              <w:right w:val="single" w:sz="8" w:space="0" w:color="auto"/>
            </w:tcBorders>
            <w:shd w:val="clear" w:color="auto" w:fill="auto"/>
            <w:vAlign w:val="center"/>
            <w:hideMark/>
          </w:tcPr>
          <w:p w14:paraId="3F970668"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Engenheiro de Abastecimento de Água </w:t>
            </w:r>
          </w:p>
        </w:tc>
        <w:tc>
          <w:tcPr>
            <w:tcW w:w="1648" w:type="dxa"/>
            <w:tcBorders>
              <w:top w:val="nil"/>
              <w:left w:val="nil"/>
              <w:bottom w:val="single" w:sz="8" w:space="0" w:color="auto"/>
              <w:right w:val="single" w:sz="8" w:space="0" w:color="auto"/>
            </w:tcBorders>
            <w:shd w:val="clear" w:color="auto" w:fill="auto"/>
            <w:vAlign w:val="center"/>
            <w:hideMark/>
          </w:tcPr>
          <w:p w14:paraId="1FDD8DAA"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AIAS</w:t>
            </w:r>
          </w:p>
        </w:tc>
        <w:tc>
          <w:tcPr>
            <w:tcW w:w="1620" w:type="dxa"/>
            <w:tcBorders>
              <w:top w:val="nil"/>
              <w:left w:val="nil"/>
              <w:bottom w:val="single" w:sz="8" w:space="0" w:color="auto"/>
              <w:right w:val="single" w:sz="8" w:space="0" w:color="auto"/>
            </w:tcBorders>
            <w:shd w:val="clear" w:color="auto" w:fill="auto"/>
            <w:vAlign w:val="center"/>
            <w:hideMark/>
          </w:tcPr>
          <w:p w14:paraId="119069FC"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Consultor</w:t>
            </w:r>
          </w:p>
        </w:tc>
        <w:tc>
          <w:tcPr>
            <w:tcW w:w="2430" w:type="dxa"/>
            <w:tcBorders>
              <w:top w:val="nil"/>
              <w:left w:val="nil"/>
              <w:bottom w:val="single" w:sz="8" w:space="0" w:color="auto"/>
              <w:right w:val="single" w:sz="8" w:space="0" w:color="auto"/>
            </w:tcBorders>
            <w:shd w:val="clear" w:color="auto" w:fill="auto"/>
            <w:vAlign w:val="center"/>
            <w:hideMark/>
          </w:tcPr>
          <w:p w14:paraId="6C3E9700" w14:textId="6B080368" w:rsidR="00C31925" w:rsidRPr="004500AE" w:rsidRDefault="0005701F"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Engenheiro Civil,</w:t>
            </w:r>
            <w:r w:rsidR="00C31925" w:rsidRPr="004500AE">
              <w:rPr>
                <w:rFonts w:asciiTheme="minorHAnsi" w:eastAsia="Times New Roman" w:hAnsiTheme="minorHAnsi" w:cstheme="minorHAnsi"/>
                <w:color w:val="000000"/>
                <w:sz w:val="20"/>
                <w:szCs w:val="20"/>
                <w:lang w:val="pt-PT"/>
              </w:rPr>
              <w:t xml:space="preserve"> </w:t>
            </w:r>
            <w:proofErr w:type="gramStart"/>
            <w:r w:rsidR="00C31925" w:rsidRPr="004500AE">
              <w:rPr>
                <w:rFonts w:asciiTheme="minorHAnsi" w:eastAsia="Times New Roman" w:hAnsiTheme="minorHAnsi" w:cstheme="minorHAnsi"/>
                <w:color w:val="000000"/>
                <w:sz w:val="20"/>
                <w:szCs w:val="20"/>
                <w:lang w:val="pt-PT"/>
              </w:rPr>
              <w:t>ou Hidráulico</w:t>
            </w:r>
            <w:proofErr w:type="gramEnd"/>
          </w:p>
        </w:tc>
      </w:tr>
      <w:tr w:rsidR="00C31925" w:rsidRPr="00292532" w14:paraId="2984D4F5" w14:textId="77777777" w:rsidTr="00C31925">
        <w:trPr>
          <w:trHeight w:val="570"/>
        </w:trPr>
        <w:tc>
          <w:tcPr>
            <w:tcW w:w="1128" w:type="dxa"/>
            <w:tcBorders>
              <w:top w:val="nil"/>
              <w:left w:val="single" w:sz="8" w:space="0" w:color="auto"/>
              <w:bottom w:val="single" w:sz="8" w:space="0" w:color="auto"/>
              <w:right w:val="single" w:sz="8" w:space="0" w:color="auto"/>
            </w:tcBorders>
            <w:shd w:val="clear" w:color="auto" w:fill="auto"/>
            <w:vAlign w:val="center"/>
            <w:hideMark/>
          </w:tcPr>
          <w:p w14:paraId="3639C4FC" w14:textId="77777777" w:rsidR="00C31925" w:rsidRPr="004500AE" w:rsidRDefault="00C31925" w:rsidP="00C31925">
            <w:pPr>
              <w:spacing w:before="0" w:after="0"/>
              <w:ind w:firstLineChars="200" w:firstLine="40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3.</w:t>
            </w:r>
            <w:r w:rsidRPr="004500AE">
              <w:rPr>
                <w:rFonts w:asciiTheme="minorHAnsi" w:eastAsia="Times New Roman" w:hAnsiTheme="minorHAnsi" w:cstheme="minorHAnsi"/>
                <w:color w:val="000000"/>
                <w:sz w:val="14"/>
                <w:szCs w:val="14"/>
                <w:lang w:val="pt-PT"/>
              </w:rPr>
              <w:t xml:space="preserve">       </w:t>
            </w:r>
            <w:r w:rsidRPr="004500AE">
              <w:rPr>
                <w:rFonts w:asciiTheme="minorHAnsi" w:eastAsia="Times New Roman" w:hAnsiTheme="minorHAnsi" w:cstheme="minorHAnsi"/>
                <w:color w:val="000000"/>
                <w:sz w:val="20"/>
                <w:szCs w:val="20"/>
                <w:lang w:val="pt-PT"/>
              </w:rPr>
              <w:t> </w:t>
            </w:r>
          </w:p>
        </w:tc>
        <w:tc>
          <w:tcPr>
            <w:tcW w:w="2344" w:type="dxa"/>
            <w:tcBorders>
              <w:top w:val="nil"/>
              <w:left w:val="nil"/>
              <w:bottom w:val="single" w:sz="8" w:space="0" w:color="auto"/>
              <w:right w:val="single" w:sz="8" w:space="0" w:color="auto"/>
            </w:tcBorders>
            <w:shd w:val="clear" w:color="auto" w:fill="auto"/>
            <w:vAlign w:val="center"/>
            <w:hideMark/>
          </w:tcPr>
          <w:p w14:paraId="6146DA00"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Engenheiro de Saneamento </w:t>
            </w:r>
          </w:p>
        </w:tc>
        <w:tc>
          <w:tcPr>
            <w:tcW w:w="1648" w:type="dxa"/>
            <w:tcBorders>
              <w:top w:val="nil"/>
              <w:left w:val="nil"/>
              <w:bottom w:val="single" w:sz="8" w:space="0" w:color="auto"/>
              <w:right w:val="single" w:sz="8" w:space="0" w:color="auto"/>
            </w:tcBorders>
            <w:shd w:val="clear" w:color="auto" w:fill="auto"/>
            <w:vAlign w:val="center"/>
            <w:hideMark/>
          </w:tcPr>
          <w:p w14:paraId="762625C3"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AIAS</w:t>
            </w:r>
          </w:p>
        </w:tc>
        <w:tc>
          <w:tcPr>
            <w:tcW w:w="1620" w:type="dxa"/>
            <w:tcBorders>
              <w:top w:val="nil"/>
              <w:left w:val="nil"/>
              <w:bottom w:val="single" w:sz="8" w:space="0" w:color="auto"/>
              <w:right w:val="single" w:sz="8" w:space="0" w:color="auto"/>
            </w:tcBorders>
            <w:shd w:val="clear" w:color="auto" w:fill="auto"/>
            <w:vAlign w:val="center"/>
            <w:hideMark/>
          </w:tcPr>
          <w:p w14:paraId="30839C08"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Consultor</w:t>
            </w:r>
          </w:p>
        </w:tc>
        <w:tc>
          <w:tcPr>
            <w:tcW w:w="2430" w:type="dxa"/>
            <w:tcBorders>
              <w:top w:val="nil"/>
              <w:left w:val="nil"/>
              <w:bottom w:val="single" w:sz="8" w:space="0" w:color="auto"/>
              <w:right w:val="single" w:sz="8" w:space="0" w:color="auto"/>
            </w:tcBorders>
            <w:shd w:val="clear" w:color="auto" w:fill="auto"/>
            <w:vAlign w:val="center"/>
            <w:hideMark/>
          </w:tcPr>
          <w:p w14:paraId="4405B1DA"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Engenheiro Civil/Sanitário</w:t>
            </w:r>
          </w:p>
        </w:tc>
      </w:tr>
      <w:tr w:rsidR="00C31925" w:rsidRPr="001E4B2C" w14:paraId="2F4EE0E4" w14:textId="77777777" w:rsidTr="00C31925">
        <w:trPr>
          <w:trHeight w:val="570"/>
        </w:trPr>
        <w:tc>
          <w:tcPr>
            <w:tcW w:w="1128" w:type="dxa"/>
            <w:tcBorders>
              <w:top w:val="nil"/>
              <w:left w:val="single" w:sz="8" w:space="0" w:color="auto"/>
              <w:bottom w:val="single" w:sz="8" w:space="0" w:color="auto"/>
              <w:right w:val="single" w:sz="8" w:space="0" w:color="auto"/>
            </w:tcBorders>
            <w:shd w:val="clear" w:color="auto" w:fill="auto"/>
            <w:vAlign w:val="center"/>
            <w:hideMark/>
          </w:tcPr>
          <w:p w14:paraId="67EA8FE5" w14:textId="77777777" w:rsidR="00C31925" w:rsidRPr="004500AE" w:rsidRDefault="00C31925" w:rsidP="00C31925">
            <w:pPr>
              <w:spacing w:before="0" w:after="0"/>
              <w:ind w:firstLineChars="200" w:firstLine="40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4.</w:t>
            </w:r>
            <w:r w:rsidRPr="004500AE">
              <w:rPr>
                <w:rFonts w:asciiTheme="minorHAnsi" w:eastAsia="Times New Roman" w:hAnsiTheme="minorHAnsi" w:cstheme="minorHAnsi"/>
                <w:color w:val="000000"/>
                <w:sz w:val="14"/>
                <w:szCs w:val="14"/>
                <w:lang w:val="pt-PT"/>
              </w:rPr>
              <w:t xml:space="preserve">       </w:t>
            </w:r>
            <w:r w:rsidRPr="004500AE">
              <w:rPr>
                <w:rFonts w:asciiTheme="minorHAnsi" w:eastAsia="Times New Roman" w:hAnsiTheme="minorHAnsi" w:cstheme="minorHAnsi"/>
                <w:color w:val="000000"/>
                <w:sz w:val="20"/>
                <w:szCs w:val="20"/>
                <w:lang w:val="pt-PT"/>
              </w:rPr>
              <w:t> </w:t>
            </w:r>
          </w:p>
        </w:tc>
        <w:tc>
          <w:tcPr>
            <w:tcW w:w="2344" w:type="dxa"/>
            <w:tcBorders>
              <w:top w:val="nil"/>
              <w:left w:val="nil"/>
              <w:bottom w:val="single" w:sz="8" w:space="0" w:color="auto"/>
              <w:right w:val="single" w:sz="8" w:space="0" w:color="auto"/>
            </w:tcBorders>
            <w:shd w:val="clear" w:color="auto" w:fill="auto"/>
            <w:vAlign w:val="center"/>
            <w:hideMark/>
          </w:tcPr>
          <w:p w14:paraId="2C9F3CAD"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Engenheiro de Água e Saneamento </w:t>
            </w:r>
          </w:p>
        </w:tc>
        <w:tc>
          <w:tcPr>
            <w:tcW w:w="1648" w:type="dxa"/>
            <w:tcBorders>
              <w:top w:val="nil"/>
              <w:left w:val="nil"/>
              <w:bottom w:val="single" w:sz="8" w:space="0" w:color="auto"/>
              <w:right w:val="single" w:sz="8" w:space="0" w:color="auto"/>
            </w:tcBorders>
            <w:shd w:val="clear" w:color="auto" w:fill="auto"/>
            <w:vAlign w:val="center"/>
            <w:hideMark/>
          </w:tcPr>
          <w:p w14:paraId="73E795AE"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AIAS – Delegação da Zambézia</w:t>
            </w:r>
          </w:p>
        </w:tc>
        <w:tc>
          <w:tcPr>
            <w:tcW w:w="1620" w:type="dxa"/>
            <w:tcBorders>
              <w:top w:val="nil"/>
              <w:left w:val="nil"/>
              <w:bottom w:val="single" w:sz="8" w:space="0" w:color="auto"/>
              <w:right w:val="single" w:sz="8" w:space="0" w:color="auto"/>
            </w:tcBorders>
            <w:shd w:val="clear" w:color="auto" w:fill="auto"/>
            <w:vAlign w:val="center"/>
            <w:hideMark/>
          </w:tcPr>
          <w:p w14:paraId="16663670"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Consultor</w:t>
            </w:r>
          </w:p>
        </w:tc>
        <w:tc>
          <w:tcPr>
            <w:tcW w:w="2430" w:type="dxa"/>
            <w:tcBorders>
              <w:top w:val="nil"/>
              <w:left w:val="nil"/>
              <w:bottom w:val="single" w:sz="8" w:space="0" w:color="auto"/>
              <w:right w:val="single" w:sz="8" w:space="0" w:color="auto"/>
            </w:tcBorders>
            <w:shd w:val="clear" w:color="auto" w:fill="auto"/>
            <w:vAlign w:val="center"/>
            <w:hideMark/>
          </w:tcPr>
          <w:p w14:paraId="6A4334D6"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Engenheiro </w:t>
            </w:r>
            <w:proofErr w:type="gramStart"/>
            <w:r w:rsidRPr="004500AE">
              <w:rPr>
                <w:rFonts w:asciiTheme="minorHAnsi" w:eastAsia="Times New Roman" w:hAnsiTheme="minorHAnsi" w:cstheme="minorHAnsi"/>
                <w:color w:val="000000"/>
                <w:sz w:val="20"/>
                <w:szCs w:val="20"/>
                <w:lang w:val="pt-PT"/>
              </w:rPr>
              <w:t>Civil,  Hidráulico</w:t>
            </w:r>
            <w:proofErr w:type="gramEnd"/>
            <w:r w:rsidRPr="004500AE">
              <w:rPr>
                <w:rFonts w:asciiTheme="minorHAnsi" w:eastAsia="Times New Roman" w:hAnsiTheme="minorHAnsi" w:cstheme="minorHAnsi"/>
                <w:color w:val="000000"/>
                <w:sz w:val="20"/>
                <w:szCs w:val="20"/>
                <w:lang w:val="pt-PT"/>
              </w:rPr>
              <w:t xml:space="preserve"> ou Sanitário</w:t>
            </w:r>
          </w:p>
        </w:tc>
      </w:tr>
      <w:tr w:rsidR="00C31925" w:rsidRPr="001E4B2C" w14:paraId="4BA67378" w14:textId="77777777" w:rsidTr="00C31925">
        <w:trPr>
          <w:trHeight w:val="570"/>
        </w:trPr>
        <w:tc>
          <w:tcPr>
            <w:tcW w:w="1128" w:type="dxa"/>
            <w:tcBorders>
              <w:top w:val="nil"/>
              <w:left w:val="single" w:sz="8" w:space="0" w:color="auto"/>
              <w:bottom w:val="single" w:sz="8" w:space="0" w:color="auto"/>
              <w:right w:val="single" w:sz="8" w:space="0" w:color="auto"/>
            </w:tcBorders>
            <w:shd w:val="clear" w:color="auto" w:fill="auto"/>
            <w:vAlign w:val="center"/>
            <w:hideMark/>
          </w:tcPr>
          <w:p w14:paraId="00165AEE" w14:textId="77777777" w:rsidR="00C31925" w:rsidRPr="004500AE" w:rsidRDefault="00C31925" w:rsidP="00C31925">
            <w:pPr>
              <w:spacing w:before="0" w:after="0"/>
              <w:ind w:firstLineChars="200" w:firstLine="40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5.</w:t>
            </w:r>
            <w:r w:rsidRPr="004500AE">
              <w:rPr>
                <w:rFonts w:asciiTheme="minorHAnsi" w:eastAsia="Times New Roman" w:hAnsiTheme="minorHAnsi" w:cstheme="minorHAnsi"/>
                <w:color w:val="000000"/>
                <w:sz w:val="14"/>
                <w:szCs w:val="14"/>
                <w:lang w:val="pt-PT"/>
              </w:rPr>
              <w:t xml:space="preserve">       </w:t>
            </w:r>
            <w:r w:rsidRPr="004500AE">
              <w:rPr>
                <w:rFonts w:asciiTheme="minorHAnsi" w:eastAsia="Times New Roman" w:hAnsiTheme="minorHAnsi" w:cstheme="minorHAnsi"/>
                <w:color w:val="000000"/>
                <w:sz w:val="20"/>
                <w:szCs w:val="20"/>
                <w:lang w:val="pt-PT"/>
              </w:rPr>
              <w:t> </w:t>
            </w:r>
          </w:p>
        </w:tc>
        <w:tc>
          <w:tcPr>
            <w:tcW w:w="2344" w:type="dxa"/>
            <w:tcBorders>
              <w:top w:val="nil"/>
              <w:left w:val="nil"/>
              <w:bottom w:val="single" w:sz="8" w:space="0" w:color="auto"/>
              <w:right w:val="single" w:sz="8" w:space="0" w:color="auto"/>
            </w:tcBorders>
            <w:shd w:val="clear" w:color="auto" w:fill="auto"/>
            <w:vAlign w:val="center"/>
            <w:hideMark/>
          </w:tcPr>
          <w:p w14:paraId="74AB169A"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Engenheiro de Água e Saneamento</w:t>
            </w:r>
          </w:p>
        </w:tc>
        <w:tc>
          <w:tcPr>
            <w:tcW w:w="1648" w:type="dxa"/>
            <w:tcBorders>
              <w:top w:val="nil"/>
              <w:left w:val="nil"/>
              <w:bottom w:val="single" w:sz="8" w:space="0" w:color="auto"/>
              <w:right w:val="single" w:sz="8" w:space="0" w:color="auto"/>
            </w:tcBorders>
            <w:shd w:val="clear" w:color="auto" w:fill="auto"/>
            <w:vAlign w:val="center"/>
            <w:hideMark/>
          </w:tcPr>
          <w:p w14:paraId="628F1059"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AIAS – Delegação de Nampula</w:t>
            </w:r>
          </w:p>
        </w:tc>
        <w:tc>
          <w:tcPr>
            <w:tcW w:w="1620" w:type="dxa"/>
            <w:tcBorders>
              <w:top w:val="nil"/>
              <w:left w:val="nil"/>
              <w:bottom w:val="single" w:sz="8" w:space="0" w:color="auto"/>
              <w:right w:val="single" w:sz="8" w:space="0" w:color="auto"/>
            </w:tcBorders>
            <w:shd w:val="clear" w:color="auto" w:fill="auto"/>
            <w:vAlign w:val="center"/>
            <w:hideMark/>
          </w:tcPr>
          <w:p w14:paraId="25731E4B"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Consultor</w:t>
            </w:r>
          </w:p>
        </w:tc>
        <w:tc>
          <w:tcPr>
            <w:tcW w:w="2430" w:type="dxa"/>
            <w:tcBorders>
              <w:top w:val="nil"/>
              <w:left w:val="nil"/>
              <w:bottom w:val="single" w:sz="8" w:space="0" w:color="auto"/>
              <w:right w:val="single" w:sz="8" w:space="0" w:color="auto"/>
            </w:tcBorders>
            <w:shd w:val="clear" w:color="auto" w:fill="auto"/>
            <w:vAlign w:val="center"/>
            <w:hideMark/>
          </w:tcPr>
          <w:p w14:paraId="4C5DF5AB"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Engenheiro </w:t>
            </w:r>
            <w:proofErr w:type="gramStart"/>
            <w:r w:rsidRPr="004500AE">
              <w:rPr>
                <w:rFonts w:asciiTheme="minorHAnsi" w:eastAsia="Times New Roman" w:hAnsiTheme="minorHAnsi" w:cstheme="minorHAnsi"/>
                <w:color w:val="000000"/>
                <w:sz w:val="20"/>
                <w:szCs w:val="20"/>
                <w:lang w:val="pt-PT"/>
              </w:rPr>
              <w:t>Civil,  Hidráulico</w:t>
            </w:r>
            <w:proofErr w:type="gramEnd"/>
            <w:r w:rsidRPr="004500AE">
              <w:rPr>
                <w:rFonts w:asciiTheme="minorHAnsi" w:eastAsia="Times New Roman" w:hAnsiTheme="minorHAnsi" w:cstheme="minorHAnsi"/>
                <w:color w:val="000000"/>
                <w:sz w:val="20"/>
                <w:szCs w:val="20"/>
                <w:lang w:val="pt-PT"/>
              </w:rPr>
              <w:t xml:space="preserve"> ou Sanitário</w:t>
            </w:r>
          </w:p>
        </w:tc>
      </w:tr>
      <w:tr w:rsidR="00C31925" w:rsidRPr="001E4B2C" w14:paraId="28B2BAB2" w14:textId="77777777" w:rsidTr="00C31925">
        <w:trPr>
          <w:trHeight w:val="570"/>
        </w:trPr>
        <w:tc>
          <w:tcPr>
            <w:tcW w:w="1128" w:type="dxa"/>
            <w:tcBorders>
              <w:top w:val="nil"/>
              <w:left w:val="single" w:sz="8" w:space="0" w:color="auto"/>
              <w:bottom w:val="single" w:sz="8" w:space="0" w:color="auto"/>
              <w:right w:val="single" w:sz="8" w:space="0" w:color="auto"/>
            </w:tcBorders>
            <w:shd w:val="clear" w:color="auto" w:fill="auto"/>
            <w:vAlign w:val="center"/>
            <w:hideMark/>
          </w:tcPr>
          <w:p w14:paraId="4BA88DF9" w14:textId="77777777" w:rsidR="00C31925" w:rsidRPr="004500AE" w:rsidRDefault="00C31925" w:rsidP="00C31925">
            <w:pPr>
              <w:spacing w:before="0" w:after="0"/>
              <w:ind w:firstLineChars="200" w:firstLine="40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6.</w:t>
            </w:r>
            <w:r w:rsidRPr="004500AE">
              <w:rPr>
                <w:rFonts w:asciiTheme="minorHAnsi" w:eastAsia="Times New Roman" w:hAnsiTheme="minorHAnsi" w:cstheme="minorHAnsi"/>
                <w:color w:val="000000"/>
                <w:sz w:val="14"/>
                <w:szCs w:val="14"/>
                <w:lang w:val="pt-PT"/>
              </w:rPr>
              <w:t xml:space="preserve">       </w:t>
            </w:r>
            <w:r w:rsidRPr="004500AE">
              <w:rPr>
                <w:rFonts w:asciiTheme="minorHAnsi" w:eastAsia="Times New Roman" w:hAnsiTheme="minorHAnsi" w:cstheme="minorHAnsi"/>
                <w:color w:val="000000"/>
                <w:sz w:val="20"/>
                <w:szCs w:val="20"/>
                <w:lang w:val="pt-PT"/>
              </w:rPr>
              <w:t> </w:t>
            </w:r>
          </w:p>
        </w:tc>
        <w:tc>
          <w:tcPr>
            <w:tcW w:w="2344" w:type="dxa"/>
            <w:tcBorders>
              <w:top w:val="nil"/>
              <w:left w:val="nil"/>
              <w:bottom w:val="single" w:sz="8" w:space="0" w:color="auto"/>
              <w:right w:val="single" w:sz="8" w:space="0" w:color="auto"/>
            </w:tcBorders>
            <w:shd w:val="clear" w:color="auto" w:fill="auto"/>
            <w:vAlign w:val="center"/>
            <w:hideMark/>
          </w:tcPr>
          <w:p w14:paraId="1C5B58F5" w14:textId="59619C24"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Especialista em Gestão Financeira</w:t>
            </w:r>
          </w:p>
        </w:tc>
        <w:tc>
          <w:tcPr>
            <w:tcW w:w="1648" w:type="dxa"/>
            <w:tcBorders>
              <w:top w:val="nil"/>
              <w:left w:val="nil"/>
              <w:bottom w:val="single" w:sz="8" w:space="0" w:color="auto"/>
              <w:right w:val="single" w:sz="8" w:space="0" w:color="auto"/>
            </w:tcBorders>
            <w:shd w:val="clear" w:color="auto" w:fill="auto"/>
            <w:vAlign w:val="center"/>
            <w:hideMark/>
          </w:tcPr>
          <w:p w14:paraId="77707E20"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AIAS</w:t>
            </w:r>
          </w:p>
        </w:tc>
        <w:tc>
          <w:tcPr>
            <w:tcW w:w="1620" w:type="dxa"/>
            <w:tcBorders>
              <w:top w:val="nil"/>
              <w:left w:val="nil"/>
              <w:bottom w:val="single" w:sz="8" w:space="0" w:color="auto"/>
              <w:right w:val="single" w:sz="8" w:space="0" w:color="auto"/>
            </w:tcBorders>
            <w:shd w:val="clear" w:color="auto" w:fill="auto"/>
            <w:vAlign w:val="center"/>
            <w:hideMark/>
          </w:tcPr>
          <w:p w14:paraId="31A38AA3"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Consultor</w:t>
            </w:r>
          </w:p>
        </w:tc>
        <w:tc>
          <w:tcPr>
            <w:tcW w:w="2430" w:type="dxa"/>
            <w:tcBorders>
              <w:top w:val="nil"/>
              <w:left w:val="nil"/>
              <w:bottom w:val="single" w:sz="8" w:space="0" w:color="auto"/>
              <w:right w:val="single" w:sz="8" w:space="0" w:color="auto"/>
            </w:tcBorders>
            <w:shd w:val="clear" w:color="auto" w:fill="auto"/>
            <w:vAlign w:val="center"/>
            <w:hideMark/>
          </w:tcPr>
          <w:p w14:paraId="6A0A502D"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Licenciatura </w:t>
            </w:r>
            <w:proofErr w:type="gramStart"/>
            <w:r w:rsidRPr="004500AE">
              <w:rPr>
                <w:rFonts w:asciiTheme="minorHAnsi" w:eastAsia="Times New Roman" w:hAnsiTheme="minorHAnsi" w:cstheme="minorHAnsi"/>
                <w:color w:val="000000"/>
                <w:sz w:val="20"/>
                <w:szCs w:val="20"/>
                <w:lang w:val="pt-PT"/>
              </w:rPr>
              <w:t>em  Economia</w:t>
            </w:r>
            <w:proofErr w:type="gramEnd"/>
            <w:r w:rsidRPr="004500AE">
              <w:rPr>
                <w:rFonts w:asciiTheme="minorHAnsi" w:eastAsia="Times New Roman" w:hAnsiTheme="minorHAnsi" w:cstheme="minorHAnsi"/>
                <w:color w:val="000000"/>
                <w:sz w:val="20"/>
                <w:szCs w:val="20"/>
                <w:lang w:val="pt-PT"/>
              </w:rPr>
              <w:t>, Finanças ou área similar</w:t>
            </w:r>
          </w:p>
        </w:tc>
      </w:tr>
      <w:tr w:rsidR="00C31925" w:rsidRPr="001E4B2C" w14:paraId="33545362" w14:textId="77777777" w:rsidTr="00C31925">
        <w:trPr>
          <w:trHeight w:val="570"/>
        </w:trPr>
        <w:tc>
          <w:tcPr>
            <w:tcW w:w="1128" w:type="dxa"/>
            <w:tcBorders>
              <w:top w:val="nil"/>
              <w:left w:val="single" w:sz="8" w:space="0" w:color="auto"/>
              <w:bottom w:val="single" w:sz="8" w:space="0" w:color="auto"/>
              <w:right w:val="single" w:sz="8" w:space="0" w:color="auto"/>
            </w:tcBorders>
            <w:shd w:val="clear" w:color="auto" w:fill="auto"/>
            <w:vAlign w:val="center"/>
            <w:hideMark/>
          </w:tcPr>
          <w:p w14:paraId="6BB10B2A" w14:textId="77777777" w:rsidR="00C31925" w:rsidRPr="004500AE" w:rsidRDefault="00C31925" w:rsidP="00C31925">
            <w:pPr>
              <w:spacing w:before="0" w:after="0"/>
              <w:ind w:firstLineChars="200" w:firstLine="40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7.</w:t>
            </w:r>
            <w:r w:rsidRPr="004500AE">
              <w:rPr>
                <w:rFonts w:asciiTheme="minorHAnsi" w:eastAsia="Times New Roman" w:hAnsiTheme="minorHAnsi" w:cstheme="minorHAnsi"/>
                <w:color w:val="000000"/>
                <w:sz w:val="14"/>
                <w:szCs w:val="14"/>
                <w:lang w:val="pt-PT"/>
              </w:rPr>
              <w:t xml:space="preserve">       </w:t>
            </w:r>
            <w:r w:rsidRPr="004500AE">
              <w:rPr>
                <w:rFonts w:asciiTheme="minorHAnsi" w:eastAsia="Times New Roman" w:hAnsiTheme="minorHAnsi" w:cstheme="minorHAnsi"/>
                <w:color w:val="000000"/>
                <w:sz w:val="20"/>
                <w:szCs w:val="20"/>
                <w:lang w:val="pt-PT"/>
              </w:rPr>
              <w:t> </w:t>
            </w:r>
          </w:p>
        </w:tc>
        <w:tc>
          <w:tcPr>
            <w:tcW w:w="2344" w:type="dxa"/>
            <w:tcBorders>
              <w:top w:val="nil"/>
              <w:left w:val="nil"/>
              <w:bottom w:val="single" w:sz="8" w:space="0" w:color="auto"/>
              <w:right w:val="single" w:sz="8" w:space="0" w:color="auto"/>
            </w:tcBorders>
            <w:shd w:val="clear" w:color="auto" w:fill="auto"/>
            <w:vAlign w:val="center"/>
            <w:hideMark/>
          </w:tcPr>
          <w:p w14:paraId="0206358F"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Especialista de Aquisições</w:t>
            </w:r>
          </w:p>
        </w:tc>
        <w:tc>
          <w:tcPr>
            <w:tcW w:w="1648" w:type="dxa"/>
            <w:tcBorders>
              <w:top w:val="nil"/>
              <w:left w:val="nil"/>
              <w:bottom w:val="single" w:sz="8" w:space="0" w:color="auto"/>
              <w:right w:val="single" w:sz="8" w:space="0" w:color="auto"/>
            </w:tcBorders>
            <w:shd w:val="clear" w:color="auto" w:fill="auto"/>
            <w:vAlign w:val="center"/>
            <w:hideMark/>
          </w:tcPr>
          <w:p w14:paraId="4341669F"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AIAS</w:t>
            </w:r>
          </w:p>
        </w:tc>
        <w:tc>
          <w:tcPr>
            <w:tcW w:w="1620" w:type="dxa"/>
            <w:tcBorders>
              <w:top w:val="nil"/>
              <w:left w:val="nil"/>
              <w:bottom w:val="single" w:sz="8" w:space="0" w:color="auto"/>
              <w:right w:val="single" w:sz="8" w:space="0" w:color="auto"/>
            </w:tcBorders>
            <w:shd w:val="clear" w:color="auto" w:fill="auto"/>
            <w:vAlign w:val="center"/>
            <w:hideMark/>
          </w:tcPr>
          <w:p w14:paraId="3F0ABA08"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Consultor</w:t>
            </w:r>
          </w:p>
        </w:tc>
        <w:tc>
          <w:tcPr>
            <w:tcW w:w="2430" w:type="dxa"/>
            <w:tcBorders>
              <w:top w:val="nil"/>
              <w:left w:val="nil"/>
              <w:bottom w:val="single" w:sz="8" w:space="0" w:color="auto"/>
              <w:right w:val="single" w:sz="8" w:space="0" w:color="auto"/>
            </w:tcBorders>
            <w:shd w:val="clear" w:color="auto" w:fill="auto"/>
            <w:vAlign w:val="center"/>
            <w:hideMark/>
          </w:tcPr>
          <w:p w14:paraId="198F8E57"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Formação em aquisições, Economia ou área similar</w:t>
            </w:r>
          </w:p>
        </w:tc>
      </w:tr>
      <w:tr w:rsidR="00C31925" w:rsidRPr="001E4B2C" w14:paraId="083EAE4A" w14:textId="77777777" w:rsidTr="00C31925">
        <w:trPr>
          <w:trHeight w:val="570"/>
        </w:trPr>
        <w:tc>
          <w:tcPr>
            <w:tcW w:w="1128" w:type="dxa"/>
            <w:tcBorders>
              <w:top w:val="nil"/>
              <w:left w:val="single" w:sz="8" w:space="0" w:color="auto"/>
              <w:bottom w:val="single" w:sz="8" w:space="0" w:color="auto"/>
              <w:right w:val="single" w:sz="8" w:space="0" w:color="auto"/>
            </w:tcBorders>
            <w:shd w:val="clear" w:color="auto" w:fill="auto"/>
            <w:vAlign w:val="center"/>
            <w:hideMark/>
          </w:tcPr>
          <w:p w14:paraId="450F9DC9" w14:textId="77777777" w:rsidR="00C31925" w:rsidRPr="004500AE" w:rsidRDefault="00C31925" w:rsidP="00C31925">
            <w:pPr>
              <w:spacing w:before="0" w:after="0"/>
              <w:ind w:firstLineChars="200" w:firstLine="40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8.</w:t>
            </w:r>
            <w:r w:rsidRPr="004500AE">
              <w:rPr>
                <w:rFonts w:asciiTheme="minorHAnsi" w:eastAsia="Times New Roman" w:hAnsiTheme="minorHAnsi" w:cstheme="minorHAnsi"/>
                <w:color w:val="000000"/>
                <w:sz w:val="14"/>
                <w:szCs w:val="14"/>
                <w:lang w:val="pt-PT"/>
              </w:rPr>
              <w:t xml:space="preserve">       </w:t>
            </w:r>
            <w:r w:rsidRPr="004500AE">
              <w:rPr>
                <w:rFonts w:asciiTheme="minorHAnsi" w:eastAsia="Times New Roman" w:hAnsiTheme="minorHAnsi" w:cstheme="minorHAnsi"/>
                <w:color w:val="000000"/>
                <w:sz w:val="20"/>
                <w:szCs w:val="20"/>
                <w:lang w:val="pt-PT"/>
              </w:rPr>
              <w:t> </w:t>
            </w:r>
          </w:p>
        </w:tc>
        <w:tc>
          <w:tcPr>
            <w:tcW w:w="2344" w:type="dxa"/>
            <w:tcBorders>
              <w:top w:val="nil"/>
              <w:left w:val="nil"/>
              <w:bottom w:val="single" w:sz="8" w:space="0" w:color="auto"/>
              <w:right w:val="single" w:sz="8" w:space="0" w:color="auto"/>
            </w:tcBorders>
            <w:shd w:val="clear" w:color="auto" w:fill="auto"/>
            <w:vAlign w:val="center"/>
            <w:hideMark/>
          </w:tcPr>
          <w:p w14:paraId="0324F0EE"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Especialista em Salvaguardas Ambientais</w:t>
            </w:r>
          </w:p>
        </w:tc>
        <w:tc>
          <w:tcPr>
            <w:tcW w:w="1648" w:type="dxa"/>
            <w:tcBorders>
              <w:top w:val="nil"/>
              <w:left w:val="nil"/>
              <w:bottom w:val="single" w:sz="8" w:space="0" w:color="auto"/>
              <w:right w:val="single" w:sz="8" w:space="0" w:color="auto"/>
            </w:tcBorders>
            <w:shd w:val="clear" w:color="auto" w:fill="auto"/>
            <w:vAlign w:val="center"/>
            <w:hideMark/>
          </w:tcPr>
          <w:p w14:paraId="3B3B83D2"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AIAS</w:t>
            </w:r>
          </w:p>
        </w:tc>
        <w:tc>
          <w:tcPr>
            <w:tcW w:w="1620" w:type="dxa"/>
            <w:tcBorders>
              <w:top w:val="nil"/>
              <w:left w:val="nil"/>
              <w:bottom w:val="single" w:sz="8" w:space="0" w:color="auto"/>
              <w:right w:val="single" w:sz="8" w:space="0" w:color="auto"/>
            </w:tcBorders>
            <w:shd w:val="clear" w:color="auto" w:fill="auto"/>
            <w:vAlign w:val="center"/>
            <w:hideMark/>
          </w:tcPr>
          <w:p w14:paraId="753CF351"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Consultor</w:t>
            </w:r>
          </w:p>
        </w:tc>
        <w:tc>
          <w:tcPr>
            <w:tcW w:w="2430" w:type="dxa"/>
            <w:tcBorders>
              <w:top w:val="nil"/>
              <w:left w:val="nil"/>
              <w:bottom w:val="single" w:sz="8" w:space="0" w:color="auto"/>
              <w:right w:val="single" w:sz="8" w:space="0" w:color="auto"/>
            </w:tcBorders>
            <w:shd w:val="clear" w:color="auto" w:fill="auto"/>
            <w:vAlign w:val="center"/>
            <w:hideMark/>
          </w:tcPr>
          <w:p w14:paraId="3E4F6E13"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Engenheiro </w:t>
            </w:r>
            <w:proofErr w:type="gramStart"/>
            <w:r w:rsidRPr="004500AE">
              <w:rPr>
                <w:rFonts w:asciiTheme="minorHAnsi" w:eastAsia="Times New Roman" w:hAnsiTheme="minorHAnsi" w:cstheme="minorHAnsi"/>
                <w:color w:val="000000"/>
                <w:sz w:val="20"/>
                <w:szCs w:val="20"/>
                <w:lang w:val="pt-PT"/>
              </w:rPr>
              <w:t>Ambiental  ou</w:t>
            </w:r>
            <w:proofErr w:type="gramEnd"/>
            <w:r w:rsidRPr="004500AE">
              <w:rPr>
                <w:rFonts w:asciiTheme="minorHAnsi" w:eastAsia="Times New Roman" w:hAnsiTheme="minorHAnsi" w:cstheme="minorHAnsi"/>
                <w:color w:val="000000"/>
                <w:sz w:val="20"/>
                <w:szCs w:val="20"/>
                <w:lang w:val="pt-PT"/>
              </w:rPr>
              <w:t xml:space="preserve"> área similar</w:t>
            </w:r>
          </w:p>
        </w:tc>
      </w:tr>
      <w:tr w:rsidR="00C31925" w:rsidRPr="001E4B2C" w14:paraId="09C16E3C" w14:textId="77777777" w:rsidTr="00C31925">
        <w:trPr>
          <w:trHeight w:val="795"/>
        </w:trPr>
        <w:tc>
          <w:tcPr>
            <w:tcW w:w="1128" w:type="dxa"/>
            <w:tcBorders>
              <w:top w:val="nil"/>
              <w:left w:val="single" w:sz="8" w:space="0" w:color="auto"/>
              <w:bottom w:val="single" w:sz="8" w:space="0" w:color="auto"/>
              <w:right w:val="single" w:sz="8" w:space="0" w:color="auto"/>
            </w:tcBorders>
            <w:shd w:val="clear" w:color="auto" w:fill="auto"/>
            <w:vAlign w:val="center"/>
            <w:hideMark/>
          </w:tcPr>
          <w:p w14:paraId="67B10920" w14:textId="77777777" w:rsidR="00C31925" w:rsidRPr="004500AE" w:rsidRDefault="00C31925" w:rsidP="00C31925">
            <w:pPr>
              <w:spacing w:before="0" w:after="0"/>
              <w:ind w:firstLineChars="200" w:firstLine="40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9.</w:t>
            </w:r>
            <w:r w:rsidRPr="004500AE">
              <w:rPr>
                <w:rFonts w:asciiTheme="minorHAnsi" w:eastAsia="Times New Roman" w:hAnsiTheme="minorHAnsi" w:cstheme="minorHAnsi"/>
                <w:color w:val="000000"/>
                <w:sz w:val="14"/>
                <w:szCs w:val="14"/>
                <w:lang w:val="pt-PT"/>
              </w:rPr>
              <w:t xml:space="preserve">       </w:t>
            </w:r>
            <w:r w:rsidRPr="004500AE">
              <w:rPr>
                <w:rFonts w:asciiTheme="minorHAnsi" w:eastAsia="Times New Roman" w:hAnsiTheme="minorHAnsi" w:cstheme="minorHAnsi"/>
                <w:color w:val="000000"/>
                <w:sz w:val="20"/>
                <w:szCs w:val="20"/>
                <w:lang w:val="pt-PT"/>
              </w:rPr>
              <w:t> </w:t>
            </w:r>
          </w:p>
        </w:tc>
        <w:tc>
          <w:tcPr>
            <w:tcW w:w="2344" w:type="dxa"/>
            <w:tcBorders>
              <w:top w:val="nil"/>
              <w:left w:val="nil"/>
              <w:bottom w:val="single" w:sz="8" w:space="0" w:color="auto"/>
              <w:right w:val="single" w:sz="8" w:space="0" w:color="auto"/>
            </w:tcBorders>
            <w:shd w:val="clear" w:color="auto" w:fill="auto"/>
            <w:vAlign w:val="center"/>
            <w:hideMark/>
          </w:tcPr>
          <w:p w14:paraId="0DB7EBF7"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Especialista em Salvaguardas Sociais</w:t>
            </w:r>
          </w:p>
        </w:tc>
        <w:tc>
          <w:tcPr>
            <w:tcW w:w="1648" w:type="dxa"/>
            <w:tcBorders>
              <w:top w:val="nil"/>
              <w:left w:val="nil"/>
              <w:bottom w:val="single" w:sz="8" w:space="0" w:color="auto"/>
              <w:right w:val="single" w:sz="8" w:space="0" w:color="auto"/>
            </w:tcBorders>
            <w:shd w:val="clear" w:color="auto" w:fill="auto"/>
            <w:vAlign w:val="center"/>
            <w:hideMark/>
          </w:tcPr>
          <w:p w14:paraId="63E42650"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AIAS</w:t>
            </w:r>
          </w:p>
        </w:tc>
        <w:tc>
          <w:tcPr>
            <w:tcW w:w="1620" w:type="dxa"/>
            <w:tcBorders>
              <w:top w:val="nil"/>
              <w:left w:val="nil"/>
              <w:bottom w:val="single" w:sz="8" w:space="0" w:color="auto"/>
              <w:right w:val="single" w:sz="8" w:space="0" w:color="auto"/>
            </w:tcBorders>
            <w:shd w:val="clear" w:color="auto" w:fill="auto"/>
            <w:vAlign w:val="center"/>
            <w:hideMark/>
          </w:tcPr>
          <w:p w14:paraId="429EC51F"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Consultor</w:t>
            </w:r>
          </w:p>
        </w:tc>
        <w:tc>
          <w:tcPr>
            <w:tcW w:w="2430" w:type="dxa"/>
            <w:tcBorders>
              <w:top w:val="nil"/>
              <w:left w:val="nil"/>
              <w:bottom w:val="single" w:sz="8" w:space="0" w:color="auto"/>
              <w:right w:val="single" w:sz="8" w:space="0" w:color="auto"/>
            </w:tcBorders>
            <w:shd w:val="clear" w:color="auto" w:fill="auto"/>
            <w:vAlign w:val="center"/>
            <w:hideMark/>
          </w:tcPr>
          <w:p w14:paraId="5FFD0BFA"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Especialista em Reassentamento ou área similar</w:t>
            </w:r>
          </w:p>
        </w:tc>
      </w:tr>
      <w:tr w:rsidR="00C31925" w:rsidRPr="001E4B2C" w14:paraId="28A3B33A" w14:textId="77777777" w:rsidTr="00C31925">
        <w:trPr>
          <w:trHeight w:val="570"/>
        </w:trPr>
        <w:tc>
          <w:tcPr>
            <w:tcW w:w="9170"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54DC75E5" w14:textId="77777777" w:rsidR="00C31925" w:rsidRPr="004500AE" w:rsidRDefault="00C31925" w:rsidP="00C31925">
            <w:pPr>
              <w:spacing w:before="0" w:after="0"/>
              <w:jc w:val="left"/>
              <w:rPr>
                <w:rFonts w:asciiTheme="minorHAnsi" w:eastAsia="Times New Roman" w:hAnsiTheme="minorHAnsi" w:cstheme="minorHAnsi"/>
                <w:b/>
                <w:bCs/>
                <w:color w:val="000000"/>
                <w:lang w:val="pt-PT"/>
              </w:rPr>
            </w:pPr>
            <w:r w:rsidRPr="004500AE">
              <w:rPr>
                <w:rFonts w:asciiTheme="minorHAnsi" w:eastAsia="Times New Roman" w:hAnsiTheme="minorHAnsi" w:cstheme="minorHAnsi"/>
                <w:b/>
                <w:bCs/>
                <w:color w:val="000000"/>
                <w:lang w:val="pt-PT"/>
              </w:rPr>
              <w:t>UTP DAS DIRECÇÕES PROVÍNCIAIS DE OBRAS PÚBLICAS – ZAMBÉZIA E NAMPULA</w:t>
            </w:r>
          </w:p>
        </w:tc>
      </w:tr>
      <w:tr w:rsidR="00C31925" w:rsidRPr="00292532" w14:paraId="078563DC" w14:textId="77777777" w:rsidTr="00C31925">
        <w:trPr>
          <w:trHeight w:val="570"/>
        </w:trPr>
        <w:tc>
          <w:tcPr>
            <w:tcW w:w="1128" w:type="dxa"/>
            <w:tcBorders>
              <w:top w:val="nil"/>
              <w:left w:val="single" w:sz="8" w:space="0" w:color="auto"/>
              <w:bottom w:val="single" w:sz="8" w:space="0" w:color="auto"/>
              <w:right w:val="single" w:sz="8" w:space="0" w:color="auto"/>
            </w:tcBorders>
            <w:shd w:val="clear" w:color="auto" w:fill="auto"/>
            <w:vAlign w:val="center"/>
            <w:hideMark/>
          </w:tcPr>
          <w:p w14:paraId="2B1F742A" w14:textId="77777777" w:rsidR="00C31925" w:rsidRPr="004500AE" w:rsidRDefault="00C31925" w:rsidP="00C31925">
            <w:pPr>
              <w:spacing w:before="0" w:after="0"/>
              <w:ind w:firstLineChars="200" w:firstLine="40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1.</w:t>
            </w:r>
            <w:r w:rsidRPr="004500AE">
              <w:rPr>
                <w:rFonts w:asciiTheme="minorHAnsi" w:eastAsia="Times New Roman" w:hAnsiTheme="minorHAnsi" w:cstheme="minorHAnsi"/>
                <w:color w:val="000000"/>
                <w:sz w:val="14"/>
                <w:szCs w:val="14"/>
                <w:lang w:val="pt-PT"/>
              </w:rPr>
              <w:t xml:space="preserve">       </w:t>
            </w:r>
            <w:r w:rsidRPr="004500AE">
              <w:rPr>
                <w:rFonts w:asciiTheme="minorHAnsi" w:eastAsia="Times New Roman" w:hAnsiTheme="minorHAnsi" w:cstheme="minorHAnsi"/>
                <w:color w:val="000000"/>
                <w:sz w:val="20"/>
                <w:szCs w:val="20"/>
                <w:lang w:val="pt-PT"/>
              </w:rPr>
              <w:t> </w:t>
            </w:r>
          </w:p>
        </w:tc>
        <w:tc>
          <w:tcPr>
            <w:tcW w:w="2344" w:type="dxa"/>
            <w:tcBorders>
              <w:top w:val="nil"/>
              <w:left w:val="nil"/>
              <w:bottom w:val="single" w:sz="8" w:space="0" w:color="auto"/>
              <w:right w:val="single" w:sz="8" w:space="0" w:color="auto"/>
            </w:tcBorders>
            <w:shd w:val="clear" w:color="auto" w:fill="auto"/>
            <w:vAlign w:val="center"/>
            <w:hideMark/>
          </w:tcPr>
          <w:p w14:paraId="70B83CA8"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Coordenador </w:t>
            </w:r>
          </w:p>
        </w:tc>
        <w:tc>
          <w:tcPr>
            <w:tcW w:w="1648" w:type="dxa"/>
            <w:tcBorders>
              <w:top w:val="nil"/>
              <w:left w:val="nil"/>
              <w:bottom w:val="single" w:sz="8" w:space="0" w:color="auto"/>
              <w:right w:val="single" w:sz="8" w:space="0" w:color="auto"/>
            </w:tcBorders>
            <w:shd w:val="clear" w:color="auto" w:fill="auto"/>
            <w:vAlign w:val="center"/>
            <w:hideMark/>
          </w:tcPr>
          <w:p w14:paraId="66FBEB38"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DPOP</w:t>
            </w:r>
          </w:p>
        </w:tc>
        <w:tc>
          <w:tcPr>
            <w:tcW w:w="1620" w:type="dxa"/>
            <w:tcBorders>
              <w:top w:val="nil"/>
              <w:left w:val="nil"/>
              <w:bottom w:val="single" w:sz="8" w:space="0" w:color="auto"/>
              <w:right w:val="single" w:sz="8" w:space="0" w:color="auto"/>
            </w:tcBorders>
            <w:shd w:val="clear" w:color="auto" w:fill="auto"/>
            <w:vAlign w:val="center"/>
            <w:hideMark/>
          </w:tcPr>
          <w:p w14:paraId="697BBCA7"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Chefe DAS</w:t>
            </w:r>
          </w:p>
        </w:tc>
        <w:tc>
          <w:tcPr>
            <w:tcW w:w="2430" w:type="dxa"/>
            <w:tcBorders>
              <w:top w:val="nil"/>
              <w:left w:val="nil"/>
              <w:bottom w:val="single" w:sz="8" w:space="0" w:color="auto"/>
              <w:right w:val="single" w:sz="8" w:space="0" w:color="auto"/>
            </w:tcBorders>
            <w:shd w:val="clear" w:color="auto" w:fill="auto"/>
            <w:vAlign w:val="center"/>
            <w:hideMark/>
          </w:tcPr>
          <w:p w14:paraId="4B012F6E"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Engenheiro Civil</w:t>
            </w:r>
          </w:p>
        </w:tc>
      </w:tr>
      <w:tr w:rsidR="00C31925" w:rsidRPr="00292532" w14:paraId="3CB51E01" w14:textId="77777777" w:rsidTr="00C31925">
        <w:trPr>
          <w:trHeight w:val="570"/>
        </w:trPr>
        <w:tc>
          <w:tcPr>
            <w:tcW w:w="1128" w:type="dxa"/>
            <w:tcBorders>
              <w:top w:val="nil"/>
              <w:left w:val="single" w:sz="8" w:space="0" w:color="auto"/>
              <w:bottom w:val="single" w:sz="8" w:space="0" w:color="auto"/>
              <w:right w:val="single" w:sz="8" w:space="0" w:color="auto"/>
            </w:tcBorders>
            <w:shd w:val="clear" w:color="auto" w:fill="auto"/>
            <w:vAlign w:val="center"/>
            <w:hideMark/>
          </w:tcPr>
          <w:p w14:paraId="23549AAF" w14:textId="77777777" w:rsidR="00C31925" w:rsidRPr="004500AE" w:rsidRDefault="00C31925" w:rsidP="00C31925">
            <w:pPr>
              <w:spacing w:before="0" w:after="0"/>
              <w:ind w:firstLineChars="200" w:firstLine="40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2.</w:t>
            </w:r>
            <w:r w:rsidRPr="004500AE">
              <w:rPr>
                <w:rFonts w:asciiTheme="minorHAnsi" w:eastAsia="Times New Roman" w:hAnsiTheme="minorHAnsi" w:cstheme="minorHAnsi"/>
                <w:color w:val="000000"/>
                <w:sz w:val="14"/>
                <w:szCs w:val="14"/>
                <w:lang w:val="pt-PT"/>
              </w:rPr>
              <w:t xml:space="preserve">       </w:t>
            </w:r>
            <w:r w:rsidRPr="004500AE">
              <w:rPr>
                <w:rFonts w:asciiTheme="minorHAnsi" w:eastAsia="Times New Roman" w:hAnsiTheme="minorHAnsi" w:cstheme="minorHAnsi"/>
                <w:color w:val="000000"/>
                <w:sz w:val="20"/>
                <w:szCs w:val="20"/>
                <w:lang w:val="pt-PT"/>
              </w:rPr>
              <w:t> </w:t>
            </w:r>
          </w:p>
        </w:tc>
        <w:tc>
          <w:tcPr>
            <w:tcW w:w="2344" w:type="dxa"/>
            <w:tcBorders>
              <w:top w:val="nil"/>
              <w:left w:val="nil"/>
              <w:bottom w:val="single" w:sz="8" w:space="0" w:color="auto"/>
              <w:right w:val="single" w:sz="8" w:space="0" w:color="auto"/>
            </w:tcBorders>
            <w:shd w:val="clear" w:color="auto" w:fill="auto"/>
            <w:vAlign w:val="center"/>
            <w:hideMark/>
          </w:tcPr>
          <w:p w14:paraId="7FBEE20B"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Engenheiro de Água e Saneamento</w:t>
            </w:r>
          </w:p>
        </w:tc>
        <w:tc>
          <w:tcPr>
            <w:tcW w:w="1648" w:type="dxa"/>
            <w:tcBorders>
              <w:top w:val="nil"/>
              <w:left w:val="nil"/>
              <w:bottom w:val="single" w:sz="8" w:space="0" w:color="auto"/>
              <w:right w:val="single" w:sz="8" w:space="0" w:color="auto"/>
            </w:tcBorders>
            <w:shd w:val="clear" w:color="auto" w:fill="auto"/>
            <w:vAlign w:val="center"/>
            <w:hideMark/>
          </w:tcPr>
          <w:p w14:paraId="58F2C238"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DPOP</w:t>
            </w:r>
          </w:p>
        </w:tc>
        <w:tc>
          <w:tcPr>
            <w:tcW w:w="1620" w:type="dxa"/>
            <w:tcBorders>
              <w:top w:val="nil"/>
              <w:left w:val="nil"/>
              <w:bottom w:val="single" w:sz="8" w:space="0" w:color="auto"/>
              <w:right w:val="single" w:sz="8" w:space="0" w:color="auto"/>
            </w:tcBorders>
            <w:shd w:val="clear" w:color="auto" w:fill="auto"/>
            <w:vAlign w:val="center"/>
            <w:hideMark/>
          </w:tcPr>
          <w:p w14:paraId="7411D2DB"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Consultor</w:t>
            </w:r>
          </w:p>
        </w:tc>
        <w:tc>
          <w:tcPr>
            <w:tcW w:w="2430" w:type="dxa"/>
            <w:tcBorders>
              <w:top w:val="nil"/>
              <w:left w:val="nil"/>
              <w:bottom w:val="single" w:sz="8" w:space="0" w:color="auto"/>
              <w:right w:val="single" w:sz="8" w:space="0" w:color="auto"/>
            </w:tcBorders>
            <w:shd w:val="clear" w:color="auto" w:fill="auto"/>
            <w:vAlign w:val="center"/>
            <w:hideMark/>
          </w:tcPr>
          <w:p w14:paraId="6AD306B4" w14:textId="58692EC6" w:rsidR="00C31925" w:rsidRPr="004500AE" w:rsidRDefault="0005701F"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Engenheiro Civil,</w:t>
            </w:r>
            <w:r w:rsidR="00C31925" w:rsidRPr="004500AE">
              <w:rPr>
                <w:rFonts w:asciiTheme="minorHAnsi" w:eastAsia="Times New Roman" w:hAnsiTheme="minorHAnsi" w:cstheme="minorHAnsi"/>
                <w:color w:val="000000"/>
                <w:sz w:val="20"/>
                <w:szCs w:val="20"/>
                <w:lang w:val="pt-PT"/>
              </w:rPr>
              <w:t xml:space="preserve"> </w:t>
            </w:r>
            <w:proofErr w:type="gramStart"/>
            <w:r w:rsidR="00C31925" w:rsidRPr="004500AE">
              <w:rPr>
                <w:rFonts w:asciiTheme="minorHAnsi" w:eastAsia="Times New Roman" w:hAnsiTheme="minorHAnsi" w:cstheme="minorHAnsi"/>
                <w:color w:val="000000"/>
                <w:sz w:val="20"/>
                <w:szCs w:val="20"/>
                <w:lang w:val="pt-PT"/>
              </w:rPr>
              <w:t>ou Hidráulico</w:t>
            </w:r>
            <w:proofErr w:type="gramEnd"/>
          </w:p>
        </w:tc>
      </w:tr>
      <w:tr w:rsidR="00C31925" w:rsidRPr="001E4B2C" w14:paraId="39AD953A" w14:textId="77777777" w:rsidTr="00C31925">
        <w:trPr>
          <w:trHeight w:val="570"/>
        </w:trPr>
        <w:tc>
          <w:tcPr>
            <w:tcW w:w="1128" w:type="dxa"/>
            <w:tcBorders>
              <w:top w:val="nil"/>
              <w:left w:val="single" w:sz="8" w:space="0" w:color="auto"/>
              <w:bottom w:val="single" w:sz="8" w:space="0" w:color="auto"/>
              <w:right w:val="single" w:sz="8" w:space="0" w:color="auto"/>
            </w:tcBorders>
            <w:shd w:val="clear" w:color="auto" w:fill="auto"/>
            <w:vAlign w:val="center"/>
            <w:hideMark/>
          </w:tcPr>
          <w:p w14:paraId="0B4CD486" w14:textId="77777777" w:rsidR="00C31925" w:rsidRPr="004500AE" w:rsidRDefault="00C31925" w:rsidP="00C31925">
            <w:pPr>
              <w:spacing w:before="0" w:after="0"/>
              <w:ind w:firstLineChars="200" w:firstLine="40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3.</w:t>
            </w:r>
            <w:r w:rsidRPr="004500AE">
              <w:rPr>
                <w:rFonts w:asciiTheme="minorHAnsi" w:eastAsia="Times New Roman" w:hAnsiTheme="minorHAnsi" w:cstheme="minorHAnsi"/>
                <w:color w:val="000000"/>
                <w:sz w:val="14"/>
                <w:szCs w:val="14"/>
                <w:lang w:val="pt-PT"/>
              </w:rPr>
              <w:t xml:space="preserve">       </w:t>
            </w:r>
            <w:r w:rsidRPr="004500AE">
              <w:rPr>
                <w:rFonts w:asciiTheme="minorHAnsi" w:eastAsia="Times New Roman" w:hAnsiTheme="minorHAnsi" w:cstheme="minorHAnsi"/>
                <w:color w:val="000000"/>
                <w:sz w:val="20"/>
                <w:szCs w:val="20"/>
                <w:lang w:val="pt-PT"/>
              </w:rPr>
              <w:t> </w:t>
            </w:r>
          </w:p>
        </w:tc>
        <w:tc>
          <w:tcPr>
            <w:tcW w:w="2344" w:type="dxa"/>
            <w:tcBorders>
              <w:top w:val="nil"/>
              <w:left w:val="nil"/>
              <w:bottom w:val="single" w:sz="8" w:space="0" w:color="auto"/>
              <w:right w:val="single" w:sz="8" w:space="0" w:color="auto"/>
            </w:tcBorders>
            <w:shd w:val="clear" w:color="auto" w:fill="auto"/>
            <w:vAlign w:val="center"/>
            <w:hideMark/>
          </w:tcPr>
          <w:p w14:paraId="1D81C916"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Oficial de Salvaguardas Ambientais e Sociais </w:t>
            </w:r>
          </w:p>
        </w:tc>
        <w:tc>
          <w:tcPr>
            <w:tcW w:w="1648" w:type="dxa"/>
            <w:tcBorders>
              <w:top w:val="nil"/>
              <w:left w:val="nil"/>
              <w:bottom w:val="single" w:sz="8" w:space="0" w:color="auto"/>
              <w:right w:val="single" w:sz="8" w:space="0" w:color="auto"/>
            </w:tcBorders>
            <w:shd w:val="clear" w:color="auto" w:fill="auto"/>
            <w:vAlign w:val="center"/>
            <w:hideMark/>
          </w:tcPr>
          <w:p w14:paraId="170C1182"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DPOP</w:t>
            </w:r>
          </w:p>
        </w:tc>
        <w:tc>
          <w:tcPr>
            <w:tcW w:w="1620" w:type="dxa"/>
            <w:tcBorders>
              <w:top w:val="nil"/>
              <w:left w:val="nil"/>
              <w:bottom w:val="single" w:sz="8" w:space="0" w:color="auto"/>
              <w:right w:val="single" w:sz="8" w:space="0" w:color="auto"/>
            </w:tcBorders>
            <w:shd w:val="clear" w:color="auto" w:fill="auto"/>
            <w:vAlign w:val="center"/>
            <w:hideMark/>
          </w:tcPr>
          <w:p w14:paraId="45086AC3"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Consultor</w:t>
            </w:r>
          </w:p>
        </w:tc>
        <w:tc>
          <w:tcPr>
            <w:tcW w:w="2430" w:type="dxa"/>
            <w:tcBorders>
              <w:top w:val="nil"/>
              <w:left w:val="nil"/>
              <w:bottom w:val="single" w:sz="8" w:space="0" w:color="auto"/>
              <w:right w:val="single" w:sz="8" w:space="0" w:color="auto"/>
            </w:tcBorders>
            <w:shd w:val="clear" w:color="auto" w:fill="auto"/>
            <w:vAlign w:val="center"/>
            <w:hideMark/>
          </w:tcPr>
          <w:p w14:paraId="6EF4A011"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Engenheiro </w:t>
            </w:r>
            <w:proofErr w:type="gramStart"/>
            <w:r w:rsidRPr="004500AE">
              <w:rPr>
                <w:rFonts w:asciiTheme="minorHAnsi" w:eastAsia="Times New Roman" w:hAnsiTheme="minorHAnsi" w:cstheme="minorHAnsi"/>
                <w:color w:val="000000"/>
                <w:sz w:val="20"/>
                <w:szCs w:val="20"/>
                <w:lang w:val="pt-PT"/>
              </w:rPr>
              <w:t>Ambiental  ou</w:t>
            </w:r>
            <w:proofErr w:type="gramEnd"/>
            <w:r w:rsidRPr="004500AE">
              <w:rPr>
                <w:rFonts w:asciiTheme="minorHAnsi" w:eastAsia="Times New Roman" w:hAnsiTheme="minorHAnsi" w:cstheme="minorHAnsi"/>
                <w:color w:val="000000"/>
                <w:sz w:val="20"/>
                <w:szCs w:val="20"/>
                <w:lang w:val="pt-PT"/>
              </w:rPr>
              <w:t xml:space="preserve"> área similar</w:t>
            </w:r>
          </w:p>
        </w:tc>
      </w:tr>
      <w:tr w:rsidR="00C31925" w:rsidRPr="001E4B2C" w14:paraId="44FD43E1" w14:textId="77777777" w:rsidTr="00C31925">
        <w:trPr>
          <w:trHeight w:val="810"/>
        </w:trPr>
        <w:tc>
          <w:tcPr>
            <w:tcW w:w="1128" w:type="dxa"/>
            <w:tcBorders>
              <w:top w:val="nil"/>
              <w:left w:val="single" w:sz="8" w:space="0" w:color="auto"/>
              <w:bottom w:val="single" w:sz="8" w:space="0" w:color="auto"/>
              <w:right w:val="single" w:sz="8" w:space="0" w:color="auto"/>
            </w:tcBorders>
            <w:shd w:val="clear" w:color="auto" w:fill="auto"/>
            <w:vAlign w:val="center"/>
            <w:hideMark/>
          </w:tcPr>
          <w:p w14:paraId="53429F05" w14:textId="77777777" w:rsidR="00C31925" w:rsidRPr="004500AE" w:rsidRDefault="00C31925" w:rsidP="00C31925">
            <w:pPr>
              <w:spacing w:before="0" w:after="0"/>
              <w:ind w:firstLineChars="200" w:firstLine="40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4.</w:t>
            </w:r>
            <w:r w:rsidRPr="004500AE">
              <w:rPr>
                <w:rFonts w:asciiTheme="minorHAnsi" w:eastAsia="Times New Roman" w:hAnsiTheme="minorHAnsi" w:cstheme="minorHAnsi"/>
                <w:color w:val="000000"/>
                <w:sz w:val="14"/>
                <w:szCs w:val="14"/>
                <w:lang w:val="pt-PT"/>
              </w:rPr>
              <w:t xml:space="preserve">       </w:t>
            </w:r>
            <w:r w:rsidRPr="004500AE">
              <w:rPr>
                <w:rFonts w:asciiTheme="minorHAnsi" w:eastAsia="Times New Roman" w:hAnsiTheme="minorHAnsi" w:cstheme="minorHAnsi"/>
                <w:color w:val="000000"/>
                <w:sz w:val="20"/>
                <w:szCs w:val="20"/>
                <w:lang w:val="pt-PT"/>
              </w:rPr>
              <w:t> </w:t>
            </w:r>
          </w:p>
        </w:tc>
        <w:tc>
          <w:tcPr>
            <w:tcW w:w="2344" w:type="dxa"/>
            <w:tcBorders>
              <w:top w:val="nil"/>
              <w:left w:val="nil"/>
              <w:bottom w:val="single" w:sz="8" w:space="0" w:color="auto"/>
              <w:right w:val="single" w:sz="8" w:space="0" w:color="auto"/>
            </w:tcBorders>
            <w:shd w:val="clear" w:color="auto" w:fill="auto"/>
            <w:vAlign w:val="center"/>
            <w:hideMark/>
          </w:tcPr>
          <w:p w14:paraId="3DDB7190"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Oficial de Gestão Financeira</w:t>
            </w:r>
          </w:p>
        </w:tc>
        <w:tc>
          <w:tcPr>
            <w:tcW w:w="1648" w:type="dxa"/>
            <w:tcBorders>
              <w:top w:val="nil"/>
              <w:left w:val="nil"/>
              <w:bottom w:val="single" w:sz="8" w:space="0" w:color="auto"/>
              <w:right w:val="single" w:sz="8" w:space="0" w:color="auto"/>
            </w:tcBorders>
            <w:shd w:val="clear" w:color="auto" w:fill="auto"/>
            <w:vAlign w:val="center"/>
            <w:hideMark/>
          </w:tcPr>
          <w:p w14:paraId="26A0669F"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DPOP</w:t>
            </w:r>
          </w:p>
        </w:tc>
        <w:tc>
          <w:tcPr>
            <w:tcW w:w="1620" w:type="dxa"/>
            <w:tcBorders>
              <w:top w:val="nil"/>
              <w:left w:val="nil"/>
              <w:bottom w:val="single" w:sz="8" w:space="0" w:color="auto"/>
              <w:right w:val="single" w:sz="8" w:space="0" w:color="auto"/>
            </w:tcBorders>
            <w:shd w:val="clear" w:color="auto" w:fill="auto"/>
            <w:vAlign w:val="center"/>
            <w:hideMark/>
          </w:tcPr>
          <w:p w14:paraId="728DBC46" w14:textId="77777777" w:rsidR="00C31925" w:rsidRPr="004500AE" w:rsidRDefault="00C31925" w:rsidP="00C31925">
            <w:pPr>
              <w:spacing w:before="0" w:after="0"/>
              <w:jc w:val="center"/>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A ser indicado entre os funcionários da DPOP ou Consultor</w:t>
            </w:r>
          </w:p>
        </w:tc>
        <w:tc>
          <w:tcPr>
            <w:tcW w:w="2430" w:type="dxa"/>
            <w:tcBorders>
              <w:top w:val="nil"/>
              <w:left w:val="nil"/>
              <w:bottom w:val="single" w:sz="8" w:space="0" w:color="auto"/>
              <w:right w:val="single" w:sz="8" w:space="0" w:color="auto"/>
            </w:tcBorders>
            <w:shd w:val="clear" w:color="auto" w:fill="auto"/>
            <w:vAlign w:val="center"/>
            <w:hideMark/>
          </w:tcPr>
          <w:p w14:paraId="427CB374" w14:textId="77777777" w:rsidR="00C31925" w:rsidRPr="004500AE" w:rsidRDefault="00C31925" w:rsidP="00C31925">
            <w:pPr>
              <w:spacing w:before="0" w:after="0"/>
              <w:jc w:val="left"/>
              <w:rPr>
                <w:rFonts w:asciiTheme="minorHAnsi" w:eastAsia="Times New Roman" w:hAnsiTheme="minorHAnsi" w:cstheme="minorHAnsi"/>
                <w:color w:val="000000"/>
                <w:sz w:val="20"/>
                <w:szCs w:val="20"/>
                <w:lang w:val="pt-PT"/>
              </w:rPr>
            </w:pPr>
            <w:r w:rsidRPr="004500AE">
              <w:rPr>
                <w:rFonts w:asciiTheme="minorHAnsi" w:eastAsia="Times New Roman" w:hAnsiTheme="minorHAnsi" w:cstheme="minorHAnsi"/>
                <w:color w:val="000000"/>
                <w:sz w:val="20"/>
                <w:szCs w:val="20"/>
                <w:lang w:val="pt-PT"/>
              </w:rPr>
              <w:t xml:space="preserve">Licenciatura </w:t>
            </w:r>
            <w:proofErr w:type="gramStart"/>
            <w:r w:rsidRPr="004500AE">
              <w:rPr>
                <w:rFonts w:asciiTheme="minorHAnsi" w:eastAsia="Times New Roman" w:hAnsiTheme="minorHAnsi" w:cstheme="minorHAnsi"/>
                <w:color w:val="000000"/>
                <w:sz w:val="20"/>
                <w:szCs w:val="20"/>
                <w:lang w:val="pt-PT"/>
              </w:rPr>
              <w:t>em  Economia</w:t>
            </w:r>
            <w:proofErr w:type="gramEnd"/>
            <w:r w:rsidRPr="004500AE">
              <w:rPr>
                <w:rFonts w:asciiTheme="minorHAnsi" w:eastAsia="Times New Roman" w:hAnsiTheme="minorHAnsi" w:cstheme="minorHAnsi"/>
                <w:color w:val="000000"/>
                <w:sz w:val="20"/>
                <w:szCs w:val="20"/>
                <w:lang w:val="pt-PT"/>
              </w:rPr>
              <w:t>, Finanças ou área similar</w:t>
            </w:r>
          </w:p>
        </w:tc>
      </w:tr>
    </w:tbl>
    <w:p w14:paraId="4321E74E" w14:textId="27CA2FBB" w:rsidR="00C31925" w:rsidRPr="00292532" w:rsidRDefault="00C31925" w:rsidP="00C31925">
      <w:pPr>
        <w:rPr>
          <w:lang w:val="pt-PT"/>
        </w:rPr>
      </w:pPr>
    </w:p>
    <w:p w14:paraId="445A849C" w14:textId="4E1C7AE0" w:rsidR="00C31925" w:rsidRPr="00292532" w:rsidRDefault="00C31925" w:rsidP="0024772D">
      <w:pPr>
        <w:keepNext/>
        <w:keepLines/>
        <w:numPr>
          <w:ilvl w:val="1"/>
          <w:numId w:val="26"/>
        </w:numPr>
        <w:tabs>
          <w:tab w:val="center" w:pos="4513"/>
          <w:tab w:val="right" w:pos="9026"/>
        </w:tabs>
        <w:spacing w:before="160" w:after="120" w:line="360" w:lineRule="auto"/>
        <w:ind w:left="1440" w:hanging="1080"/>
        <w:outlineLvl w:val="1"/>
        <w:rPr>
          <w:rFonts w:eastAsiaTheme="majorEastAsia" w:cstheme="majorBidi"/>
          <w:b/>
          <w:sz w:val="26"/>
          <w:szCs w:val="26"/>
          <w:lang w:val="pt-PT" w:eastAsia="ja-JP"/>
        </w:rPr>
      </w:pPr>
      <w:bookmarkStart w:id="277" w:name="_Toc78435379"/>
      <w:bookmarkStart w:id="278" w:name="_Toc80379993"/>
      <w:bookmarkEnd w:id="277"/>
      <w:r w:rsidRPr="00292532">
        <w:rPr>
          <w:rFonts w:eastAsiaTheme="majorEastAsia" w:cstheme="majorBidi"/>
          <w:b/>
          <w:sz w:val="26"/>
          <w:szCs w:val="26"/>
          <w:lang w:val="pt-PT" w:eastAsia="ja-JP"/>
        </w:rPr>
        <w:t>Capacidade Institucional e Capacitação</w:t>
      </w:r>
      <w:bookmarkEnd w:id="278"/>
    </w:p>
    <w:p w14:paraId="22037827" w14:textId="6A9EDB46" w:rsidR="000154F8" w:rsidRPr="00292532" w:rsidRDefault="000154F8" w:rsidP="00C31925">
      <w:pPr>
        <w:rPr>
          <w:lang w:val="pt-PT"/>
        </w:rPr>
      </w:pPr>
      <w:r w:rsidRPr="00292532">
        <w:rPr>
          <w:lang w:val="pt-PT"/>
        </w:rPr>
        <w:t xml:space="preserve">As Unidades de </w:t>
      </w:r>
      <w:r w:rsidR="007749E4" w:rsidRPr="00292532">
        <w:rPr>
          <w:lang w:val="pt-PT"/>
        </w:rPr>
        <w:t>Implementação</w:t>
      </w:r>
      <w:r w:rsidRPr="00292532">
        <w:rPr>
          <w:lang w:val="pt-PT"/>
        </w:rPr>
        <w:t xml:space="preserve"> do </w:t>
      </w:r>
      <w:proofErr w:type="spellStart"/>
      <w:r w:rsidR="007749E4" w:rsidRPr="00292532">
        <w:rPr>
          <w:lang w:val="pt-PT"/>
        </w:rPr>
        <w:t>Projecto</w:t>
      </w:r>
      <w:proofErr w:type="spellEnd"/>
      <w:r w:rsidRPr="00292532">
        <w:rPr>
          <w:lang w:val="pt-PT"/>
        </w:rPr>
        <w:t xml:space="preserve"> (</w:t>
      </w:r>
      <w:proofErr w:type="spellStart"/>
      <w:r w:rsidRPr="00292532">
        <w:rPr>
          <w:lang w:val="pt-PT"/>
        </w:rPr>
        <w:t>UIPs</w:t>
      </w:r>
      <w:proofErr w:type="spellEnd"/>
      <w:r w:rsidRPr="00292532">
        <w:rPr>
          <w:lang w:val="pt-PT"/>
        </w:rPr>
        <w:t xml:space="preserve">) </w:t>
      </w:r>
      <w:r w:rsidR="007749E4" w:rsidRPr="00292532">
        <w:rPr>
          <w:lang w:val="pt-PT"/>
        </w:rPr>
        <w:t xml:space="preserve">propostas, nomeadamente, a AIAS, DNAAS e AURA IP, </w:t>
      </w:r>
      <w:r w:rsidRPr="00292532">
        <w:rPr>
          <w:lang w:val="pt-PT"/>
        </w:rPr>
        <w:t xml:space="preserve">apresentam uma estrutura de implementação de </w:t>
      </w:r>
      <w:proofErr w:type="spellStart"/>
      <w:r w:rsidRPr="00292532">
        <w:rPr>
          <w:lang w:val="pt-PT"/>
        </w:rPr>
        <w:t>projecto</w:t>
      </w:r>
      <w:r w:rsidR="007749E4" w:rsidRPr="00292532">
        <w:rPr>
          <w:lang w:val="pt-PT"/>
        </w:rPr>
        <w:t>s</w:t>
      </w:r>
      <w:proofErr w:type="spellEnd"/>
      <w:r w:rsidRPr="00292532">
        <w:rPr>
          <w:lang w:val="pt-PT"/>
        </w:rPr>
        <w:t xml:space="preserve"> sólida e consistente pois </w:t>
      </w:r>
      <w:r w:rsidR="007749E4" w:rsidRPr="00292532">
        <w:rPr>
          <w:lang w:val="pt-PT"/>
        </w:rPr>
        <w:t>têm</w:t>
      </w:r>
      <w:r w:rsidRPr="00292532">
        <w:rPr>
          <w:lang w:val="pt-PT"/>
        </w:rPr>
        <w:t xml:space="preserve"> vindo a implementar </w:t>
      </w:r>
      <w:r w:rsidR="007749E4" w:rsidRPr="00292532">
        <w:rPr>
          <w:lang w:val="pt-PT"/>
        </w:rPr>
        <w:t>vários</w:t>
      </w:r>
      <w:r w:rsidRPr="00292532">
        <w:rPr>
          <w:lang w:val="pt-PT"/>
        </w:rPr>
        <w:t xml:space="preserve"> </w:t>
      </w:r>
      <w:proofErr w:type="spellStart"/>
      <w:r w:rsidRPr="00292532">
        <w:rPr>
          <w:lang w:val="pt-PT"/>
        </w:rPr>
        <w:t>projectos</w:t>
      </w:r>
      <w:proofErr w:type="spellEnd"/>
      <w:r w:rsidRPr="00292532">
        <w:rPr>
          <w:lang w:val="pt-PT"/>
        </w:rPr>
        <w:t xml:space="preserve">, alguns dos quais em conformidade com as exigências do Banco Mundial. Destes </w:t>
      </w:r>
      <w:proofErr w:type="spellStart"/>
      <w:r w:rsidRPr="00292532">
        <w:rPr>
          <w:lang w:val="pt-PT"/>
        </w:rPr>
        <w:t>projectos</w:t>
      </w:r>
      <w:proofErr w:type="spellEnd"/>
      <w:r w:rsidRPr="00292532">
        <w:rPr>
          <w:lang w:val="pt-PT"/>
        </w:rPr>
        <w:t xml:space="preserve"> </w:t>
      </w:r>
      <w:r w:rsidR="00E12454" w:rsidRPr="00292532">
        <w:rPr>
          <w:lang w:val="pt-PT"/>
        </w:rPr>
        <w:t xml:space="preserve">destacam-se os </w:t>
      </w:r>
      <w:r w:rsidR="007749E4" w:rsidRPr="00292532">
        <w:rPr>
          <w:lang w:val="pt-PT"/>
        </w:rPr>
        <w:t>exibidos</w:t>
      </w:r>
      <w:r w:rsidR="00E12454" w:rsidRPr="00292532">
        <w:rPr>
          <w:lang w:val="pt-PT"/>
        </w:rPr>
        <w:t xml:space="preserve"> na </w:t>
      </w:r>
      <w:r w:rsidR="007749E4" w:rsidRPr="004500AE">
        <w:rPr>
          <w:b/>
          <w:bCs/>
          <w:lang w:val="pt-PT"/>
        </w:rPr>
        <w:fldChar w:fldCharType="begin"/>
      </w:r>
      <w:r w:rsidR="007749E4" w:rsidRPr="004500AE">
        <w:rPr>
          <w:b/>
          <w:bCs/>
          <w:lang w:val="pt-PT"/>
        </w:rPr>
        <w:instrText xml:space="preserve"> REF _Ref78377552 \h </w:instrText>
      </w:r>
      <w:r w:rsidR="000D7B05">
        <w:rPr>
          <w:b/>
          <w:bCs/>
          <w:lang w:val="pt-PT"/>
        </w:rPr>
        <w:instrText xml:space="preserve"> \* MERGEFORMAT </w:instrText>
      </w:r>
      <w:r w:rsidR="007749E4" w:rsidRPr="004500AE">
        <w:rPr>
          <w:b/>
          <w:bCs/>
          <w:lang w:val="pt-PT"/>
        </w:rPr>
      </w:r>
      <w:r w:rsidR="007749E4" w:rsidRPr="004500AE">
        <w:rPr>
          <w:b/>
          <w:bCs/>
          <w:lang w:val="pt-PT"/>
        </w:rPr>
        <w:fldChar w:fldCharType="separate"/>
      </w:r>
      <w:r w:rsidR="00857196" w:rsidRPr="00941934">
        <w:rPr>
          <w:b/>
          <w:bCs/>
          <w:lang w:val="pt-PT"/>
        </w:rPr>
        <w:t xml:space="preserve">Tabela </w:t>
      </w:r>
      <w:r w:rsidR="00857196" w:rsidRPr="00941934">
        <w:rPr>
          <w:b/>
          <w:bCs/>
          <w:noProof/>
          <w:lang w:val="pt-PT"/>
        </w:rPr>
        <w:t>28</w:t>
      </w:r>
      <w:r w:rsidR="007749E4" w:rsidRPr="004500AE">
        <w:rPr>
          <w:b/>
          <w:bCs/>
          <w:lang w:val="pt-PT"/>
        </w:rPr>
        <w:fldChar w:fldCharType="end"/>
      </w:r>
      <w:r w:rsidR="001D51C1" w:rsidRPr="00292532">
        <w:rPr>
          <w:lang w:val="pt-PT"/>
        </w:rPr>
        <w:t xml:space="preserve"> </w:t>
      </w:r>
      <w:r w:rsidR="00E12454" w:rsidRPr="00292532">
        <w:rPr>
          <w:lang w:val="pt-PT"/>
        </w:rPr>
        <w:t xml:space="preserve">abaixo. </w:t>
      </w:r>
    </w:p>
    <w:p w14:paraId="158FF5D6" w14:textId="4ED6D308" w:rsidR="00E12454" w:rsidRPr="00292532" w:rsidRDefault="00E12454" w:rsidP="00C31925">
      <w:pPr>
        <w:rPr>
          <w:lang w:val="pt-PT"/>
        </w:rPr>
      </w:pPr>
    </w:p>
    <w:p w14:paraId="226AADE7" w14:textId="7C58EFF8" w:rsidR="00E12454" w:rsidRPr="00292532" w:rsidRDefault="00E12454" w:rsidP="004500AE">
      <w:pPr>
        <w:pStyle w:val="Caption"/>
      </w:pPr>
      <w:bookmarkStart w:id="279" w:name="_Ref78377552"/>
      <w:bookmarkStart w:id="280" w:name="_Toc80380275"/>
      <w:r w:rsidRPr="00292532">
        <w:t xml:space="preserve">Tabela </w:t>
      </w:r>
      <w:r w:rsidRPr="00292532">
        <w:fldChar w:fldCharType="begin"/>
      </w:r>
      <w:r w:rsidRPr="00292532">
        <w:instrText xml:space="preserve"> SEQ Tabela \* ARABIC </w:instrText>
      </w:r>
      <w:r w:rsidRPr="00292532">
        <w:fldChar w:fldCharType="separate"/>
      </w:r>
      <w:r w:rsidR="00DE4496">
        <w:rPr>
          <w:noProof/>
        </w:rPr>
        <w:t>28</w:t>
      </w:r>
      <w:r w:rsidRPr="00292532">
        <w:fldChar w:fldCharType="end"/>
      </w:r>
      <w:bookmarkEnd w:id="279"/>
      <w:r w:rsidRPr="00292532">
        <w:t xml:space="preserve">: Lista de </w:t>
      </w:r>
      <w:proofErr w:type="spellStart"/>
      <w:r w:rsidRPr="00292532">
        <w:t>Projectos</w:t>
      </w:r>
      <w:proofErr w:type="spellEnd"/>
      <w:r w:rsidRPr="00292532">
        <w:t xml:space="preserve"> Implementados pelo AIAS, DNAAS e AURA IP</w:t>
      </w:r>
      <w:bookmarkEnd w:id="280"/>
    </w:p>
    <w:tbl>
      <w:tblPr>
        <w:tblStyle w:val="ListTable4-Accent11"/>
        <w:tblW w:w="9535" w:type="dxa"/>
        <w:tblLook w:val="04A0" w:firstRow="1" w:lastRow="0" w:firstColumn="1" w:lastColumn="0" w:noHBand="0" w:noVBand="1"/>
      </w:tblPr>
      <w:tblGrid>
        <w:gridCol w:w="2605"/>
        <w:gridCol w:w="6930"/>
      </w:tblGrid>
      <w:tr w:rsidR="000154F8" w:rsidRPr="00E63F3B" w14:paraId="62314F38" w14:textId="77777777" w:rsidTr="004500A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605" w:type="dxa"/>
            <w:vAlign w:val="center"/>
          </w:tcPr>
          <w:p w14:paraId="216D0190" w14:textId="400DC666" w:rsidR="000154F8" w:rsidRPr="00941934" w:rsidRDefault="000154F8" w:rsidP="004500AE">
            <w:pPr>
              <w:jc w:val="center"/>
              <w:rPr>
                <w:bCs w:val="0"/>
                <w:sz w:val="18"/>
                <w:szCs w:val="18"/>
                <w:lang w:val="pt-PT"/>
              </w:rPr>
            </w:pPr>
            <w:proofErr w:type="spellStart"/>
            <w:r w:rsidRPr="00941934">
              <w:rPr>
                <w:sz w:val="18"/>
                <w:szCs w:val="18"/>
                <w:lang w:val="pt-PT"/>
              </w:rPr>
              <w:t>Projecto</w:t>
            </w:r>
            <w:proofErr w:type="spellEnd"/>
          </w:p>
        </w:tc>
        <w:tc>
          <w:tcPr>
            <w:tcW w:w="6930" w:type="dxa"/>
            <w:vAlign w:val="center"/>
          </w:tcPr>
          <w:p w14:paraId="6DE1A503" w14:textId="6A2FA85D" w:rsidR="000154F8" w:rsidRPr="00941934" w:rsidRDefault="000154F8" w:rsidP="004500AE">
            <w:pPr>
              <w:jc w:val="center"/>
              <w:cnfStyle w:val="100000000000" w:firstRow="1" w:lastRow="0" w:firstColumn="0" w:lastColumn="0" w:oddVBand="0" w:evenVBand="0" w:oddHBand="0" w:evenHBand="0" w:firstRowFirstColumn="0" w:firstRowLastColumn="0" w:lastRowFirstColumn="0" w:lastRowLastColumn="0"/>
              <w:rPr>
                <w:bCs w:val="0"/>
                <w:sz w:val="18"/>
                <w:szCs w:val="18"/>
                <w:lang w:val="pt-PT"/>
              </w:rPr>
            </w:pPr>
            <w:r w:rsidRPr="00941934">
              <w:rPr>
                <w:sz w:val="18"/>
                <w:szCs w:val="18"/>
                <w:lang w:val="pt-PT"/>
              </w:rPr>
              <w:t>Subprojectos</w:t>
            </w:r>
            <w:r w:rsidR="001D51C1" w:rsidRPr="00941934">
              <w:rPr>
                <w:sz w:val="18"/>
                <w:szCs w:val="18"/>
                <w:lang w:val="pt-PT"/>
              </w:rPr>
              <w:t xml:space="preserve"> </w:t>
            </w:r>
          </w:p>
        </w:tc>
      </w:tr>
      <w:tr w:rsidR="000154F8" w:rsidRPr="001E4B2C" w14:paraId="499157CE" w14:textId="77777777" w:rsidTr="004500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vAlign w:val="center"/>
          </w:tcPr>
          <w:p w14:paraId="18B91407" w14:textId="6DFA1719" w:rsidR="000154F8" w:rsidRPr="00941934" w:rsidRDefault="000154F8" w:rsidP="004500AE">
            <w:pPr>
              <w:jc w:val="center"/>
              <w:rPr>
                <w:sz w:val="18"/>
                <w:szCs w:val="18"/>
                <w:lang w:val="pt-PT"/>
              </w:rPr>
            </w:pPr>
            <w:proofErr w:type="spellStart"/>
            <w:r w:rsidRPr="00941934">
              <w:rPr>
                <w:sz w:val="18"/>
                <w:szCs w:val="18"/>
                <w:lang w:val="pt-PT"/>
              </w:rPr>
              <w:t>Projecto</w:t>
            </w:r>
            <w:proofErr w:type="spellEnd"/>
            <w:r w:rsidRPr="00941934">
              <w:rPr>
                <w:sz w:val="18"/>
                <w:szCs w:val="18"/>
                <w:lang w:val="pt-PT"/>
              </w:rPr>
              <w:t xml:space="preserve"> Cidades e Mudanças Climáticas (Saneamento e Drenagem)</w:t>
            </w:r>
          </w:p>
        </w:tc>
        <w:tc>
          <w:tcPr>
            <w:tcW w:w="6930" w:type="dxa"/>
          </w:tcPr>
          <w:p w14:paraId="1DD8127E" w14:textId="77777777" w:rsidR="000154F8" w:rsidRPr="00941934" w:rsidRDefault="000154F8" w:rsidP="00941934">
            <w:pPr>
              <w:spacing w:before="0"/>
              <w:ind w:hanging="20"/>
              <w:jc w:val="left"/>
              <w:cnfStyle w:val="000000100000" w:firstRow="0" w:lastRow="0" w:firstColumn="0" w:lastColumn="0" w:oddVBand="0" w:evenVBand="0" w:oddHBand="1" w:evenHBand="0" w:firstRowFirstColumn="0" w:firstRowLastColumn="0" w:lastRowFirstColumn="0" w:lastRowLastColumn="0"/>
              <w:rPr>
                <w:sz w:val="18"/>
                <w:szCs w:val="18"/>
                <w:lang w:val="pt-PT"/>
              </w:rPr>
            </w:pPr>
            <w:r w:rsidRPr="00941934">
              <w:rPr>
                <w:sz w:val="18"/>
                <w:szCs w:val="18"/>
                <w:lang w:val="pt-PT"/>
              </w:rPr>
              <w:t>- Obras de Reabilitação do Sistema de Drenagem Pluvial da Cidade da Beira;</w:t>
            </w:r>
          </w:p>
          <w:p w14:paraId="054A40D2" w14:textId="77777777" w:rsidR="000154F8" w:rsidRPr="00941934" w:rsidRDefault="000154F8" w:rsidP="00941934">
            <w:pPr>
              <w:spacing w:before="0"/>
              <w:ind w:hanging="20"/>
              <w:jc w:val="left"/>
              <w:cnfStyle w:val="000000100000" w:firstRow="0" w:lastRow="0" w:firstColumn="0" w:lastColumn="0" w:oddVBand="0" w:evenVBand="0" w:oddHBand="1" w:evenHBand="0" w:firstRowFirstColumn="0" w:firstRowLastColumn="0" w:lastRowFirstColumn="0" w:lastRowLastColumn="0"/>
              <w:rPr>
                <w:sz w:val="18"/>
                <w:szCs w:val="18"/>
                <w:lang w:val="pt-PT"/>
              </w:rPr>
            </w:pPr>
            <w:r w:rsidRPr="00941934">
              <w:rPr>
                <w:sz w:val="18"/>
                <w:szCs w:val="18"/>
                <w:lang w:val="pt-PT"/>
              </w:rPr>
              <w:t xml:space="preserve">- Obras de Reabertura e Reabilitação do Rio </w:t>
            </w:r>
            <w:proofErr w:type="spellStart"/>
            <w:r w:rsidRPr="00941934">
              <w:rPr>
                <w:sz w:val="18"/>
                <w:szCs w:val="18"/>
                <w:lang w:val="pt-PT"/>
              </w:rPr>
              <w:t>Chiveve</w:t>
            </w:r>
            <w:proofErr w:type="spellEnd"/>
            <w:r w:rsidRPr="00941934">
              <w:rPr>
                <w:sz w:val="18"/>
                <w:szCs w:val="18"/>
                <w:lang w:val="pt-PT"/>
              </w:rPr>
              <w:t>;</w:t>
            </w:r>
          </w:p>
          <w:p w14:paraId="0CA571FD" w14:textId="77777777" w:rsidR="000154F8" w:rsidRPr="00941934" w:rsidRDefault="000154F8" w:rsidP="00941934">
            <w:pPr>
              <w:spacing w:before="0"/>
              <w:ind w:hanging="20"/>
              <w:jc w:val="left"/>
              <w:cnfStyle w:val="000000100000" w:firstRow="0" w:lastRow="0" w:firstColumn="0" w:lastColumn="0" w:oddVBand="0" w:evenVBand="0" w:oddHBand="1" w:evenHBand="0" w:firstRowFirstColumn="0" w:firstRowLastColumn="0" w:lastRowFirstColumn="0" w:lastRowLastColumn="0"/>
              <w:rPr>
                <w:sz w:val="18"/>
                <w:szCs w:val="18"/>
                <w:lang w:val="pt-PT"/>
              </w:rPr>
            </w:pPr>
            <w:r w:rsidRPr="00941934">
              <w:rPr>
                <w:sz w:val="18"/>
                <w:szCs w:val="18"/>
                <w:lang w:val="pt-PT"/>
              </w:rPr>
              <w:t xml:space="preserve">- Obras de Construção do Parque de Infraestruturas Verdes do Rio </w:t>
            </w:r>
            <w:proofErr w:type="spellStart"/>
            <w:r w:rsidRPr="00941934">
              <w:rPr>
                <w:sz w:val="18"/>
                <w:szCs w:val="18"/>
                <w:lang w:val="pt-PT"/>
              </w:rPr>
              <w:t>Chiveve</w:t>
            </w:r>
            <w:proofErr w:type="spellEnd"/>
            <w:r w:rsidRPr="00941934">
              <w:rPr>
                <w:sz w:val="18"/>
                <w:szCs w:val="18"/>
                <w:lang w:val="pt-PT"/>
              </w:rPr>
              <w:t>;</w:t>
            </w:r>
          </w:p>
          <w:p w14:paraId="4212A524" w14:textId="77777777" w:rsidR="000154F8" w:rsidRPr="00941934" w:rsidRDefault="000154F8" w:rsidP="00941934">
            <w:pPr>
              <w:spacing w:before="0"/>
              <w:ind w:hanging="20"/>
              <w:jc w:val="left"/>
              <w:cnfStyle w:val="000000100000" w:firstRow="0" w:lastRow="0" w:firstColumn="0" w:lastColumn="0" w:oddVBand="0" w:evenVBand="0" w:oddHBand="1" w:evenHBand="0" w:firstRowFirstColumn="0" w:firstRowLastColumn="0" w:lastRowFirstColumn="0" w:lastRowLastColumn="0"/>
              <w:rPr>
                <w:sz w:val="18"/>
                <w:szCs w:val="18"/>
                <w:lang w:val="pt-PT"/>
              </w:rPr>
            </w:pPr>
            <w:r w:rsidRPr="00941934">
              <w:rPr>
                <w:sz w:val="18"/>
                <w:szCs w:val="18"/>
                <w:lang w:val="pt-PT"/>
              </w:rPr>
              <w:t>- Obras de Construção de Drenagem Prioritária da Bacia B e C da Cidade de Maputo;</w:t>
            </w:r>
          </w:p>
          <w:p w14:paraId="605632B0" w14:textId="77777777" w:rsidR="000154F8" w:rsidRPr="00941934" w:rsidRDefault="000154F8" w:rsidP="00941934">
            <w:pPr>
              <w:spacing w:before="0"/>
              <w:ind w:hanging="20"/>
              <w:jc w:val="left"/>
              <w:cnfStyle w:val="000000100000" w:firstRow="0" w:lastRow="0" w:firstColumn="0" w:lastColumn="0" w:oddVBand="0" w:evenVBand="0" w:oddHBand="1" w:evenHBand="0" w:firstRowFirstColumn="0" w:firstRowLastColumn="0" w:lastRowFirstColumn="0" w:lastRowLastColumn="0"/>
              <w:rPr>
                <w:sz w:val="18"/>
                <w:szCs w:val="18"/>
                <w:lang w:val="pt-PT"/>
              </w:rPr>
            </w:pPr>
            <w:r w:rsidRPr="00941934">
              <w:rPr>
                <w:sz w:val="18"/>
                <w:szCs w:val="18"/>
                <w:lang w:val="pt-PT"/>
              </w:rPr>
              <w:t xml:space="preserve">- Elaboração do Plano </w:t>
            </w:r>
            <w:proofErr w:type="spellStart"/>
            <w:r w:rsidRPr="00941934">
              <w:rPr>
                <w:sz w:val="18"/>
                <w:szCs w:val="18"/>
                <w:lang w:val="pt-PT"/>
              </w:rPr>
              <w:t>Director</w:t>
            </w:r>
            <w:proofErr w:type="spellEnd"/>
            <w:r w:rsidRPr="00941934">
              <w:rPr>
                <w:sz w:val="18"/>
                <w:szCs w:val="18"/>
                <w:lang w:val="pt-PT"/>
              </w:rPr>
              <w:t xml:space="preserve"> de Drenagem e Saneamento da Área Metropolitana de Maputo (Cidade de Maputo e </w:t>
            </w:r>
            <w:proofErr w:type="spellStart"/>
            <w:r w:rsidRPr="00941934">
              <w:rPr>
                <w:sz w:val="18"/>
                <w:szCs w:val="18"/>
                <w:lang w:val="pt-PT"/>
              </w:rPr>
              <w:t>Ka</w:t>
            </w:r>
            <w:proofErr w:type="spellEnd"/>
            <w:r w:rsidRPr="00941934">
              <w:rPr>
                <w:sz w:val="18"/>
                <w:szCs w:val="18"/>
                <w:lang w:val="pt-PT"/>
              </w:rPr>
              <w:t xml:space="preserve">-Tembe, Matola, </w:t>
            </w:r>
            <w:proofErr w:type="spellStart"/>
            <w:r w:rsidRPr="00941934">
              <w:rPr>
                <w:sz w:val="18"/>
                <w:szCs w:val="18"/>
                <w:lang w:val="pt-PT"/>
              </w:rPr>
              <w:t>Boane</w:t>
            </w:r>
            <w:proofErr w:type="spellEnd"/>
            <w:r w:rsidRPr="00941934">
              <w:rPr>
                <w:sz w:val="18"/>
                <w:szCs w:val="18"/>
                <w:lang w:val="pt-PT"/>
              </w:rPr>
              <w:t xml:space="preserve"> e Marracuene);</w:t>
            </w:r>
          </w:p>
          <w:p w14:paraId="65E37742" w14:textId="1999CB24" w:rsidR="000154F8" w:rsidRPr="00941934" w:rsidRDefault="000154F8" w:rsidP="00941934">
            <w:pPr>
              <w:spacing w:before="0"/>
              <w:ind w:hanging="20"/>
              <w:jc w:val="left"/>
              <w:cnfStyle w:val="000000100000" w:firstRow="0" w:lastRow="0" w:firstColumn="0" w:lastColumn="0" w:oddVBand="0" w:evenVBand="0" w:oddHBand="1" w:evenHBand="0" w:firstRowFirstColumn="0" w:firstRowLastColumn="0" w:lastRowFirstColumn="0" w:lastRowLastColumn="0"/>
              <w:rPr>
                <w:sz w:val="18"/>
                <w:szCs w:val="18"/>
                <w:lang w:val="pt-PT"/>
              </w:rPr>
            </w:pPr>
            <w:r w:rsidRPr="00941934">
              <w:rPr>
                <w:sz w:val="18"/>
                <w:szCs w:val="18"/>
                <w:lang w:val="pt-PT"/>
              </w:rPr>
              <w:t xml:space="preserve">- </w:t>
            </w:r>
            <w:r w:rsidR="00292532" w:rsidRPr="00941934">
              <w:rPr>
                <w:sz w:val="18"/>
                <w:szCs w:val="18"/>
                <w:lang w:val="pt-PT"/>
              </w:rPr>
              <w:t>Elaboração</w:t>
            </w:r>
            <w:r w:rsidRPr="00941934">
              <w:rPr>
                <w:sz w:val="18"/>
                <w:szCs w:val="18"/>
                <w:lang w:val="pt-PT"/>
              </w:rPr>
              <w:t xml:space="preserve"> do Plano </w:t>
            </w:r>
            <w:proofErr w:type="spellStart"/>
            <w:r w:rsidRPr="00941934">
              <w:rPr>
                <w:sz w:val="18"/>
                <w:szCs w:val="18"/>
                <w:lang w:val="pt-PT"/>
              </w:rPr>
              <w:t>Director</w:t>
            </w:r>
            <w:proofErr w:type="spellEnd"/>
            <w:r w:rsidRPr="00941934">
              <w:rPr>
                <w:sz w:val="18"/>
                <w:szCs w:val="18"/>
                <w:lang w:val="pt-PT"/>
              </w:rPr>
              <w:t xml:space="preserve"> e </w:t>
            </w:r>
            <w:proofErr w:type="spellStart"/>
            <w:r w:rsidRPr="00941934">
              <w:rPr>
                <w:sz w:val="18"/>
                <w:szCs w:val="18"/>
                <w:lang w:val="pt-PT"/>
              </w:rPr>
              <w:t>Projecto</w:t>
            </w:r>
            <w:proofErr w:type="spellEnd"/>
            <w:r w:rsidRPr="00941934">
              <w:rPr>
                <w:sz w:val="18"/>
                <w:szCs w:val="18"/>
                <w:lang w:val="pt-PT"/>
              </w:rPr>
              <w:t xml:space="preserve"> Executivo para a Drenagem e Saneamento da Cidade de </w:t>
            </w:r>
            <w:proofErr w:type="spellStart"/>
            <w:r w:rsidRPr="00941934">
              <w:rPr>
                <w:sz w:val="18"/>
                <w:szCs w:val="18"/>
                <w:lang w:val="pt-PT"/>
              </w:rPr>
              <w:t>Xai-Xai</w:t>
            </w:r>
            <w:proofErr w:type="spellEnd"/>
            <w:r w:rsidRPr="00941934">
              <w:rPr>
                <w:sz w:val="18"/>
                <w:szCs w:val="18"/>
                <w:lang w:val="pt-PT"/>
              </w:rPr>
              <w:t>.</w:t>
            </w:r>
          </w:p>
          <w:p w14:paraId="6262F957" w14:textId="77777777" w:rsidR="000154F8" w:rsidRPr="00941934" w:rsidRDefault="000154F8" w:rsidP="00941934">
            <w:pPr>
              <w:spacing w:before="0"/>
              <w:ind w:hanging="20"/>
              <w:jc w:val="left"/>
              <w:cnfStyle w:val="000000100000" w:firstRow="0" w:lastRow="0" w:firstColumn="0" w:lastColumn="0" w:oddVBand="0" w:evenVBand="0" w:oddHBand="1" w:evenHBand="0" w:firstRowFirstColumn="0" w:firstRowLastColumn="0" w:lastRowFirstColumn="0" w:lastRowLastColumn="0"/>
              <w:rPr>
                <w:sz w:val="18"/>
                <w:szCs w:val="18"/>
                <w:lang w:val="pt-PT"/>
              </w:rPr>
            </w:pPr>
            <w:r w:rsidRPr="00941934">
              <w:rPr>
                <w:sz w:val="18"/>
                <w:szCs w:val="18"/>
                <w:lang w:val="pt-PT"/>
              </w:rPr>
              <w:t>- Estudo de Viabilidade para Drenagem e Saneamento da Cidade de Pemba;</w:t>
            </w:r>
          </w:p>
          <w:p w14:paraId="0F420D9D" w14:textId="0A045AB2" w:rsidR="000154F8" w:rsidRPr="00941934" w:rsidRDefault="000154F8" w:rsidP="00941934">
            <w:pPr>
              <w:spacing w:before="0"/>
              <w:ind w:hanging="20"/>
              <w:jc w:val="left"/>
              <w:cnfStyle w:val="000000100000" w:firstRow="0" w:lastRow="0" w:firstColumn="0" w:lastColumn="0" w:oddVBand="0" w:evenVBand="0" w:oddHBand="1" w:evenHBand="0" w:firstRowFirstColumn="0" w:firstRowLastColumn="0" w:lastRowFirstColumn="0" w:lastRowLastColumn="0"/>
              <w:rPr>
                <w:sz w:val="18"/>
                <w:szCs w:val="18"/>
                <w:lang w:val="pt-PT"/>
              </w:rPr>
            </w:pPr>
            <w:r w:rsidRPr="00941934">
              <w:rPr>
                <w:sz w:val="18"/>
                <w:szCs w:val="18"/>
                <w:lang w:val="pt-PT"/>
              </w:rPr>
              <w:t xml:space="preserve">- </w:t>
            </w:r>
            <w:proofErr w:type="spellStart"/>
            <w:r w:rsidRPr="00941934">
              <w:rPr>
                <w:sz w:val="18"/>
                <w:szCs w:val="18"/>
                <w:lang w:val="pt-PT"/>
              </w:rPr>
              <w:t>Projecto</w:t>
            </w:r>
            <w:proofErr w:type="spellEnd"/>
            <w:r w:rsidRPr="00941934">
              <w:rPr>
                <w:sz w:val="18"/>
                <w:szCs w:val="18"/>
                <w:lang w:val="pt-PT"/>
              </w:rPr>
              <w:t xml:space="preserve"> de Combate à Erosão na Cidade de Nacala e Inundações na Cidade de Quelimane com Base em Soluções Naturais;</w:t>
            </w:r>
          </w:p>
        </w:tc>
      </w:tr>
      <w:tr w:rsidR="000154F8" w:rsidRPr="001E4B2C" w14:paraId="6CCEE0C8" w14:textId="77777777" w:rsidTr="004500AE">
        <w:tc>
          <w:tcPr>
            <w:cnfStyle w:val="001000000000" w:firstRow="0" w:lastRow="0" w:firstColumn="1" w:lastColumn="0" w:oddVBand="0" w:evenVBand="0" w:oddHBand="0" w:evenHBand="0" w:firstRowFirstColumn="0" w:firstRowLastColumn="0" w:lastRowFirstColumn="0" w:lastRowLastColumn="0"/>
            <w:tcW w:w="2605" w:type="dxa"/>
            <w:vAlign w:val="center"/>
          </w:tcPr>
          <w:p w14:paraId="67E251BA" w14:textId="639DAECC" w:rsidR="000154F8" w:rsidRPr="00941934" w:rsidRDefault="000154F8" w:rsidP="004500AE">
            <w:pPr>
              <w:jc w:val="center"/>
              <w:rPr>
                <w:sz w:val="18"/>
                <w:szCs w:val="18"/>
                <w:lang w:val="pt-PT"/>
              </w:rPr>
            </w:pPr>
            <w:proofErr w:type="spellStart"/>
            <w:proofErr w:type="gramStart"/>
            <w:r w:rsidRPr="00941934">
              <w:rPr>
                <w:sz w:val="18"/>
                <w:szCs w:val="18"/>
                <w:lang w:val="pt-PT"/>
              </w:rPr>
              <w:t>Projectos</w:t>
            </w:r>
            <w:proofErr w:type="spellEnd"/>
            <w:r w:rsidRPr="00941934">
              <w:rPr>
                <w:sz w:val="18"/>
                <w:szCs w:val="18"/>
                <w:lang w:val="pt-PT"/>
              </w:rPr>
              <w:t xml:space="preserve">  Financiados</w:t>
            </w:r>
            <w:proofErr w:type="gramEnd"/>
            <w:r w:rsidRPr="00941934">
              <w:rPr>
                <w:sz w:val="18"/>
                <w:szCs w:val="18"/>
                <w:lang w:val="pt-PT"/>
              </w:rPr>
              <w:t xml:space="preserve"> pelo </w:t>
            </w:r>
            <w:r w:rsidR="001D51C1" w:rsidRPr="00941934">
              <w:rPr>
                <w:sz w:val="18"/>
                <w:szCs w:val="18"/>
                <w:lang w:val="pt-PT"/>
              </w:rPr>
              <w:t xml:space="preserve">BM </w:t>
            </w:r>
            <w:r w:rsidRPr="00941934">
              <w:rPr>
                <w:sz w:val="18"/>
                <w:szCs w:val="18"/>
                <w:lang w:val="pt-PT"/>
              </w:rPr>
              <w:t xml:space="preserve">e </w:t>
            </w:r>
            <w:r w:rsidR="001D51C1" w:rsidRPr="00941934">
              <w:rPr>
                <w:sz w:val="18"/>
                <w:szCs w:val="18"/>
                <w:lang w:val="pt-PT"/>
              </w:rPr>
              <w:t>AUS</w:t>
            </w:r>
            <w:r w:rsidRPr="00941934">
              <w:rPr>
                <w:sz w:val="18"/>
                <w:szCs w:val="18"/>
                <w:lang w:val="pt-PT"/>
              </w:rPr>
              <w:t>AID (Abastecimento de Água e Saneamento)</w:t>
            </w:r>
          </w:p>
        </w:tc>
        <w:tc>
          <w:tcPr>
            <w:tcW w:w="6930" w:type="dxa"/>
          </w:tcPr>
          <w:p w14:paraId="461F8CA8" w14:textId="77777777" w:rsidR="000154F8" w:rsidRPr="00941934" w:rsidRDefault="000154F8" w:rsidP="00941934">
            <w:pPr>
              <w:spacing w:before="0"/>
              <w:ind w:hanging="2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Reabilitação do Sistema de Abastecimento de Água da Ilha de Moçambique;</w:t>
            </w:r>
          </w:p>
          <w:p w14:paraId="4363F54E" w14:textId="6BED011A" w:rsidR="000154F8" w:rsidRPr="00941934" w:rsidRDefault="000154F8" w:rsidP="00941934">
            <w:pPr>
              <w:spacing w:before="0"/>
              <w:ind w:hanging="2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xml:space="preserve">- Reabilitação do Sistema de Abastecimento de Água de </w:t>
            </w:r>
            <w:r w:rsidR="00292532" w:rsidRPr="00941934">
              <w:rPr>
                <w:sz w:val="18"/>
                <w:szCs w:val="18"/>
                <w:lang w:val="pt-PT"/>
              </w:rPr>
              <w:t>Mocímboa</w:t>
            </w:r>
            <w:r w:rsidRPr="00941934">
              <w:rPr>
                <w:sz w:val="18"/>
                <w:szCs w:val="18"/>
                <w:lang w:val="pt-PT"/>
              </w:rPr>
              <w:t xml:space="preserve"> da Praia;</w:t>
            </w:r>
          </w:p>
          <w:p w14:paraId="6CC676DE" w14:textId="77777777" w:rsidR="000154F8" w:rsidRPr="00941934" w:rsidRDefault="000154F8" w:rsidP="00941934">
            <w:pPr>
              <w:spacing w:before="0"/>
              <w:ind w:hanging="2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xml:space="preserve">- Plano </w:t>
            </w:r>
            <w:proofErr w:type="spellStart"/>
            <w:r w:rsidRPr="00941934">
              <w:rPr>
                <w:sz w:val="18"/>
                <w:szCs w:val="18"/>
                <w:lang w:val="pt-PT"/>
              </w:rPr>
              <w:t>Director</w:t>
            </w:r>
            <w:proofErr w:type="spellEnd"/>
            <w:r w:rsidRPr="00941934">
              <w:rPr>
                <w:sz w:val="18"/>
                <w:szCs w:val="18"/>
                <w:lang w:val="pt-PT"/>
              </w:rPr>
              <w:t xml:space="preserve"> de Drenagem, Saneamento e Recolha de RSU da Ilha de Moçambique;</w:t>
            </w:r>
          </w:p>
          <w:p w14:paraId="706628E1" w14:textId="1AB6AD54" w:rsidR="000154F8" w:rsidRPr="00941934" w:rsidRDefault="000154F8" w:rsidP="00941934">
            <w:pPr>
              <w:spacing w:before="0"/>
              <w:ind w:hanging="2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xml:space="preserve">- Plano </w:t>
            </w:r>
            <w:proofErr w:type="spellStart"/>
            <w:r w:rsidRPr="00941934">
              <w:rPr>
                <w:sz w:val="18"/>
                <w:szCs w:val="18"/>
                <w:lang w:val="pt-PT"/>
              </w:rPr>
              <w:t>Director</w:t>
            </w:r>
            <w:proofErr w:type="spellEnd"/>
            <w:r w:rsidRPr="00941934">
              <w:rPr>
                <w:sz w:val="18"/>
                <w:szCs w:val="18"/>
                <w:lang w:val="pt-PT"/>
              </w:rPr>
              <w:t xml:space="preserve"> de Drenagem, Saneamento e Recolha de RSU de </w:t>
            </w:r>
            <w:r w:rsidR="00292532" w:rsidRPr="00941934">
              <w:rPr>
                <w:sz w:val="18"/>
                <w:szCs w:val="18"/>
                <w:lang w:val="pt-PT"/>
              </w:rPr>
              <w:t>Mocímboa</w:t>
            </w:r>
            <w:r w:rsidRPr="00941934">
              <w:rPr>
                <w:sz w:val="18"/>
                <w:szCs w:val="18"/>
                <w:lang w:val="pt-PT"/>
              </w:rPr>
              <w:t xml:space="preserve"> da Praia;</w:t>
            </w:r>
          </w:p>
        </w:tc>
      </w:tr>
      <w:tr w:rsidR="000154F8" w:rsidRPr="001E4B2C" w14:paraId="066988C0" w14:textId="77777777" w:rsidTr="004500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vAlign w:val="center"/>
          </w:tcPr>
          <w:p w14:paraId="57923A36" w14:textId="415AF9C9" w:rsidR="000154F8" w:rsidRPr="00941934" w:rsidRDefault="000154F8" w:rsidP="004500AE">
            <w:pPr>
              <w:jc w:val="center"/>
              <w:rPr>
                <w:sz w:val="18"/>
                <w:szCs w:val="18"/>
                <w:lang w:val="pt-PT"/>
              </w:rPr>
            </w:pPr>
            <w:proofErr w:type="spellStart"/>
            <w:r w:rsidRPr="00941934">
              <w:rPr>
                <w:sz w:val="18"/>
                <w:szCs w:val="18"/>
                <w:lang w:val="pt-PT"/>
              </w:rPr>
              <w:t>Projectos</w:t>
            </w:r>
            <w:proofErr w:type="spellEnd"/>
            <w:r w:rsidRPr="00941934">
              <w:rPr>
                <w:sz w:val="18"/>
                <w:szCs w:val="18"/>
                <w:lang w:val="pt-PT"/>
              </w:rPr>
              <w:t xml:space="preserve"> Financiados pelo </w:t>
            </w:r>
            <w:r w:rsidR="001D51C1" w:rsidRPr="00941934">
              <w:rPr>
                <w:sz w:val="18"/>
                <w:szCs w:val="18"/>
                <w:lang w:val="pt-PT"/>
              </w:rPr>
              <w:t>BM</w:t>
            </w:r>
            <w:r w:rsidRPr="00941934">
              <w:rPr>
                <w:sz w:val="18"/>
                <w:szCs w:val="18"/>
                <w:lang w:val="pt-PT"/>
              </w:rPr>
              <w:t xml:space="preserve"> (Sistemas de Abastecimento de Água)</w:t>
            </w:r>
          </w:p>
        </w:tc>
        <w:tc>
          <w:tcPr>
            <w:tcW w:w="6930" w:type="dxa"/>
          </w:tcPr>
          <w:p w14:paraId="1EE02E77" w14:textId="77777777" w:rsidR="000154F8" w:rsidRPr="00941934" w:rsidRDefault="000154F8" w:rsidP="00941934">
            <w:pPr>
              <w:spacing w:before="0"/>
              <w:ind w:firstLine="70"/>
              <w:cnfStyle w:val="000000100000" w:firstRow="0" w:lastRow="0" w:firstColumn="0" w:lastColumn="0" w:oddVBand="0" w:evenVBand="0" w:oddHBand="1" w:evenHBand="0" w:firstRowFirstColumn="0" w:firstRowLastColumn="0" w:lastRowFirstColumn="0" w:lastRowLastColumn="0"/>
              <w:rPr>
                <w:sz w:val="18"/>
                <w:szCs w:val="18"/>
                <w:lang w:val="pt-PT"/>
              </w:rPr>
            </w:pPr>
            <w:r w:rsidRPr="00941934">
              <w:rPr>
                <w:sz w:val="18"/>
                <w:szCs w:val="18"/>
                <w:lang w:val="pt-PT"/>
              </w:rPr>
              <w:t>- Reabilitação de Emergência do Sistema de Abastecimento de Água da Cidade Mocuba;</w:t>
            </w:r>
          </w:p>
          <w:p w14:paraId="196340BB" w14:textId="77777777" w:rsidR="000154F8" w:rsidRPr="00941934" w:rsidRDefault="000154F8" w:rsidP="00941934">
            <w:pPr>
              <w:spacing w:before="0"/>
              <w:ind w:firstLine="70"/>
              <w:cnfStyle w:val="000000100000" w:firstRow="0" w:lastRow="0" w:firstColumn="0" w:lastColumn="0" w:oddVBand="0" w:evenVBand="0" w:oddHBand="1" w:evenHBand="0" w:firstRowFirstColumn="0" w:firstRowLastColumn="0" w:lastRowFirstColumn="0" w:lastRowLastColumn="0"/>
              <w:rPr>
                <w:sz w:val="18"/>
                <w:szCs w:val="18"/>
                <w:lang w:val="pt-PT"/>
              </w:rPr>
            </w:pPr>
            <w:r w:rsidRPr="00941934">
              <w:rPr>
                <w:sz w:val="18"/>
                <w:szCs w:val="18"/>
                <w:lang w:val="pt-PT"/>
              </w:rPr>
              <w:t xml:space="preserve">- Construção do Sistema de Abastecimento de Água da Vila Eduardo Mondlane no distrito de </w:t>
            </w:r>
            <w:proofErr w:type="spellStart"/>
            <w:r w:rsidRPr="00941934">
              <w:rPr>
                <w:sz w:val="18"/>
                <w:szCs w:val="18"/>
                <w:lang w:val="pt-PT"/>
              </w:rPr>
              <w:t>Chicualacuala</w:t>
            </w:r>
            <w:proofErr w:type="spellEnd"/>
            <w:r w:rsidRPr="00941934">
              <w:rPr>
                <w:sz w:val="18"/>
                <w:szCs w:val="18"/>
                <w:lang w:val="pt-PT"/>
              </w:rPr>
              <w:t>;</w:t>
            </w:r>
          </w:p>
          <w:p w14:paraId="1FD016A4" w14:textId="0FB713F0" w:rsidR="000154F8" w:rsidRPr="00941934" w:rsidRDefault="000154F8" w:rsidP="00941934">
            <w:pPr>
              <w:spacing w:before="0"/>
              <w:ind w:firstLine="70"/>
              <w:cnfStyle w:val="000000100000" w:firstRow="0" w:lastRow="0" w:firstColumn="0" w:lastColumn="0" w:oddVBand="0" w:evenVBand="0" w:oddHBand="1" w:evenHBand="0" w:firstRowFirstColumn="0" w:firstRowLastColumn="0" w:lastRowFirstColumn="0" w:lastRowLastColumn="0"/>
              <w:rPr>
                <w:sz w:val="18"/>
                <w:szCs w:val="18"/>
                <w:lang w:val="pt-PT"/>
              </w:rPr>
            </w:pPr>
            <w:r w:rsidRPr="00941934">
              <w:rPr>
                <w:sz w:val="18"/>
                <w:szCs w:val="18"/>
                <w:lang w:val="pt-PT"/>
              </w:rPr>
              <w:t xml:space="preserve">- Construção do Sistema de Abastecimento de Água da Vila Sede do distrito de </w:t>
            </w:r>
            <w:proofErr w:type="spellStart"/>
            <w:r w:rsidRPr="00941934">
              <w:rPr>
                <w:sz w:val="18"/>
                <w:szCs w:val="18"/>
                <w:lang w:val="pt-PT"/>
              </w:rPr>
              <w:t>Funhalouro</w:t>
            </w:r>
            <w:proofErr w:type="spellEnd"/>
            <w:r w:rsidRPr="00941934">
              <w:rPr>
                <w:sz w:val="18"/>
                <w:szCs w:val="18"/>
                <w:lang w:val="pt-PT"/>
              </w:rPr>
              <w:t>;</w:t>
            </w:r>
          </w:p>
        </w:tc>
      </w:tr>
      <w:tr w:rsidR="000154F8" w:rsidRPr="001E4B2C" w14:paraId="12C7B592" w14:textId="77777777" w:rsidTr="004500AE">
        <w:tc>
          <w:tcPr>
            <w:cnfStyle w:val="001000000000" w:firstRow="0" w:lastRow="0" w:firstColumn="1" w:lastColumn="0" w:oddVBand="0" w:evenVBand="0" w:oddHBand="0" w:evenHBand="0" w:firstRowFirstColumn="0" w:firstRowLastColumn="0" w:lastRowFirstColumn="0" w:lastRowLastColumn="0"/>
            <w:tcW w:w="2605" w:type="dxa"/>
            <w:vAlign w:val="center"/>
          </w:tcPr>
          <w:p w14:paraId="2F31110C" w14:textId="5A2D737A" w:rsidR="000154F8" w:rsidRPr="00941934" w:rsidRDefault="000154F8" w:rsidP="004500AE">
            <w:pPr>
              <w:jc w:val="center"/>
              <w:rPr>
                <w:sz w:val="18"/>
                <w:szCs w:val="18"/>
                <w:lang w:val="pt-PT"/>
              </w:rPr>
            </w:pPr>
            <w:proofErr w:type="spellStart"/>
            <w:r w:rsidRPr="00941934">
              <w:rPr>
                <w:sz w:val="18"/>
                <w:szCs w:val="18"/>
                <w:lang w:val="pt-PT"/>
              </w:rPr>
              <w:t>Projecto</w:t>
            </w:r>
            <w:proofErr w:type="spellEnd"/>
            <w:r w:rsidRPr="00941934">
              <w:rPr>
                <w:sz w:val="18"/>
                <w:szCs w:val="18"/>
                <w:lang w:val="pt-PT"/>
              </w:rPr>
              <w:t xml:space="preserve"> PRAVIDA (Sistemas de Abastecimento de Água)</w:t>
            </w:r>
          </w:p>
        </w:tc>
        <w:tc>
          <w:tcPr>
            <w:tcW w:w="6930" w:type="dxa"/>
          </w:tcPr>
          <w:p w14:paraId="234AFECD" w14:textId="77777777" w:rsidR="000154F8" w:rsidRPr="00941934" w:rsidRDefault="000154F8" w:rsidP="00941934">
            <w:pPr>
              <w:spacing w:before="0"/>
              <w:ind w:firstLine="7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Construção do Sistema de Abastecimento de Água da Vila de Chibuto;</w:t>
            </w:r>
          </w:p>
          <w:p w14:paraId="0F1DCB81" w14:textId="77777777" w:rsidR="000154F8" w:rsidRPr="00941934" w:rsidRDefault="000154F8" w:rsidP="00941934">
            <w:pPr>
              <w:spacing w:before="0"/>
              <w:ind w:firstLine="7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Construção do Sistema de Abastecimento de Água da Vila de Alto-</w:t>
            </w:r>
            <w:proofErr w:type="spellStart"/>
            <w:r w:rsidRPr="00941934">
              <w:rPr>
                <w:sz w:val="18"/>
                <w:szCs w:val="18"/>
                <w:lang w:val="pt-PT"/>
              </w:rPr>
              <w:t>Molocue</w:t>
            </w:r>
            <w:proofErr w:type="spellEnd"/>
            <w:r w:rsidRPr="00941934">
              <w:rPr>
                <w:sz w:val="18"/>
                <w:szCs w:val="18"/>
                <w:lang w:val="pt-PT"/>
              </w:rPr>
              <w:t>;</w:t>
            </w:r>
          </w:p>
          <w:p w14:paraId="0514BCDA" w14:textId="77777777" w:rsidR="000154F8" w:rsidRPr="00941934" w:rsidRDefault="000154F8" w:rsidP="00941934">
            <w:pPr>
              <w:spacing w:before="0"/>
              <w:ind w:firstLine="7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xml:space="preserve">- Construção do Sistema de Abastecimento de Água da Vila de </w:t>
            </w:r>
            <w:proofErr w:type="spellStart"/>
            <w:r w:rsidRPr="00941934">
              <w:rPr>
                <w:sz w:val="18"/>
                <w:szCs w:val="18"/>
                <w:lang w:val="pt-PT"/>
              </w:rPr>
              <w:t>Massangena</w:t>
            </w:r>
            <w:proofErr w:type="spellEnd"/>
            <w:r w:rsidRPr="00941934">
              <w:rPr>
                <w:sz w:val="18"/>
                <w:szCs w:val="18"/>
                <w:lang w:val="pt-PT"/>
              </w:rPr>
              <w:t>;</w:t>
            </w:r>
          </w:p>
          <w:p w14:paraId="079DB863" w14:textId="77777777" w:rsidR="000154F8" w:rsidRPr="00941934" w:rsidRDefault="000154F8" w:rsidP="00941934">
            <w:pPr>
              <w:spacing w:before="0"/>
              <w:ind w:firstLine="7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xml:space="preserve">- Construção do Sistema de Abastecimento de Água da Vila de </w:t>
            </w:r>
            <w:proofErr w:type="spellStart"/>
            <w:r w:rsidRPr="00941934">
              <w:rPr>
                <w:sz w:val="18"/>
                <w:szCs w:val="18"/>
                <w:lang w:val="pt-PT"/>
              </w:rPr>
              <w:t>Chigubo</w:t>
            </w:r>
            <w:proofErr w:type="spellEnd"/>
            <w:r w:rsidRPr="00941934">
              <w:rPr>
                <w:sz w:val="18"/>
                <w:szCs w:val="18"/>
                <w:lang w:val="pt-PT"/>
              </w:rPr>
              <w:t>;</w:t>
            </w:r>
          </w:p>
          <w:p w14:paraId="48B7627D" w14:textId="77777777" w:rsidR="000154F8" w:rsidRPr="00941934" w:rsidRDefault="000154F8" w:rsidP="00941934">
            <w:pPr>
              <w:spacing w:before="0"/>
              <w:ind w:firstLine="7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Construção do Sistema de Abastecimento de Água da Vila de Mabote;</w:t>
            </w:r>
          </w:p>
          <w:p w14:paraId="3E4A3BEA" w14:textId="77777777" w:rsidR="000154F8" w:rsidRPr="00941934" w:rsidRDefault="000154F8" w:rsidP="00941934">
            <w:pPr>
              <w:spacing w:before="0"/>
              <w:ind w:firstLine="7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xml:space="preserve">- Construção do Sistema de Abastecimento de Água da Vila de </w:t>
            </w:r>
            <w:proofErr w:type="spellStart"/>
            <w:r w:rsidRPr="00941934">
              <w:rPr>
                <w:sz w:val="18"/>
                <w:szCs w:val="18"/>
                <w:lang w:val="pt-PT"/>
              </w:rPr>
              <w:t>Guro</w:t>
            </w:r>
            <w:proofErr w:type="spellEnd"/>
            <w:r w:rsidRPr="00941934">
              <w:rPr>
                <w:sz w:val="18"/>
                <w:szCs w:val="18"/>
                <w:lang w:val="pt-PT"/>
              </w:rPr>
              <w:t>;</w:t>
            </w:r>
          </w:p>
          <w:p w14:paraId="40E94611" w14:textId="77777777" w:rsidR="000154F8" w:rsidRPr="00941934" w:rsidRDefault="000154F8" w:rsidP="00941934">
            <w:pPr>
              <w:spacing w:before="0"/>
              <w:ind w:firstLine="7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Construção do Sistema de Abastecimento de Água da Vila de Chibuto;</w:t>
            </w:r>
          </w:p>
          <w:p w14:paraId="5031CDA5" w14:textId="77777777" w:rsidR="000154F8" w:rsidRPr="00941934" w:rsidRDefault="000154F8" w:rsidP="00941934">
            <w:pPr>
              <w:spacing w:before="0"/>
              <w:ind w:firstLine="7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xml:space="preserve">- Construção do Sistema de Abastecimento de Água da Vila de </w:t>
            </w:r>
            <w:proofErr w:type="spellStart"/>
            <w:r w:rsidRPr="00941934">
              <w:rPr>
                <w:sz w:val="18"/>
                <w:szCs w:val="18"/>
                <w:lang w:val="pt-PT"/>
              </w:rPr>
              <w:t>Milange</w:t>
            </w:r>
            <w:proofErr w:type="spellEnd"/>
            <w:r w:rsidRPr="00941934">
              <w:rPr>
                <w:sz w:val="18"/>
                <w:szCs w:val="18"/>
                <w:lang w:val="pt-PT"/>
              </w:rPr>
              <w:t>;</w:t>
            </w:r>
          </w:p>
          <w:p w14:paraId="21AB1A1F" w14:textId="77777777" w:rsidR="000154F8" w:rsidRPr="00941934" w:rsidRDefault="000154F8" w:rsidP="00941934">
            <w:pPr>
              <w:spacing w:before="0"/>
              <w:ind w:firstLine="7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xml:space="preserve">- Construção do Sistema de Abastecimento de Água da Vila de </w:t>
            </w:r>
            <w:proofErr w:type="spellStart"/>
            <w:r w:rsidRPr="00941934">
              <w:rPr>
                <w:sz w:val="18"/>
                <w:szCs w:val="18"/>
                <w:lang w:val="pt-PT"/>
              </w:rPr>
              <w:t>Chiúre</w:t>
            </w:r>
            <w:proofErr w:type="spellEnd"/>
            <w:r w:rsidRPr="00941934">
              <w:rPr>
                <w:sz w:val="18"/>
                <w:szCs w:val="18"/>
                <w:lang w:val="pt-PT"/>
              </w:rPr>
              <w:t>;</w:t>
            </w:r>
          </w:p>
          <w:p w14:paraId="3C15CF4F" w14:textId="77777777" w:rsidR="000154F8" w:rsidRPr="00941934" w:rsidRDefault="000154F8" w:rsidP="00941934">
            <w:pPr>
              <w:spacing w:before="0"/>
              <w:ind w:firstLine="7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xml:space="preserve">- Construção do Sistema de Abastecimento de Água da Vila de </w:t>
            </w:r>
            <w:proofErr w:type="spellStart"/>
            <w:r w:rsidRPr="00941934">
              <w:rPr>
                <w:sz w:val="18"/>
                <w:szCs w:val="18"/>
                <w:lang w:val="pt-PT"/>
              </w:rPr>
              <w:t>Quissico</w:t>
            </w:r>
            <w:proofErr w:type="spellEnd"/>
            <w:r w:rsidRPr="00941934">
              <w:rPr>
                <w:sz w:val="18"/>
                <w:szCs w:val="18"/>
                <w:lang w:val="pt-PT"/>
              </w:rPr>
              <w:t>;</w:t>
            </w:r>
          </w:p>
          <w:p w14:paraId="2BBEDE72" w14:textId="77777777" w:rsidR="000154F8" w:rsidRPr="00941934" w:rsidRDefault="000154F8" w:rsidP="00941934">
            <w:pPr>
              <w:spacing w:before="0"/>
              <w:ind w:firstLine="7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Construção do Sistema de Abastecimento de Água da Vila de Massinga;</w:t>
            </w:r>
          </w:p>
          <w:p w14:paraId="54687F99" w14:textId="77777777" w:rsidR="000154F8" w:rsidRPr="00941934" w:rsidRDefault="000154F8" w:rsidP="00941934">
            <w:pPr>
              <w:spacing w:before="0"/>
              <w:ind w:firstLine="7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xml:space="preserve">- Construção do Sistema de Abastecimento de Água da Vila de </w:t>
            </w:r>
            <w:proofErr w:type="spellStart"/>
            <w:r w:rsidRPr="00941934">
              <w:rPr>
                <w:sz w:val="18"/>
                <w:szCs w:val="18"/>
                <w:lang w:val="pt-PT"/>
              </w:rPr>
              <w:t>Homoine</w:t>
            </w:r>
            <w:proofErr w:type="spellEnd"/>
            <w:r w:rsidRPr="00941934">
              <w:rPr>
                <w:sz w:val="18"/>
                <w:szCs w:val="18"/>
                <w:lang w:val="pt-PT"/>
              </w:rPr>
              <w:t xml:space="preserve"> (Extensão da Conduta);</w:t>
            </w:r>
          </w:p>
          <w:p w14:paraId="47F3F5A9" w14:textId="77777777" w:rsidR="000154F8" w:rsidRPr="00941934" w:rsidRDefault="000154F8" w:rsidP="00941934">
            <w:pPr>
              <w:spacing w:before="0"/>
              <w:ind w:firstLine="7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xml:space="preserve">- Construção do Sistema de Abastecimento de Água da Vila de </w:t>
            </w:r>
            <w:proofErr w:type="spellStart"/>
            <w:r w:rsidRPr="00941934">
              <w:rPr>
                <w:sz w:val="18"/>
                <w:szCs w:val="18"/>
                <w:lang w:val="pt-PT"/>
              </w:rPr>
              <w:t>Tambara</w:t>
            </w:r>
            <w:proofErr w:type="spellEnd"/>
            <w:r w:rsidRPr="00941934">
              <w:rPr>
                <w:sz w:val="18"/>
                <w:szCs w:val="18"/>
                <w:lang w:val="pt-PT"/>
              </w:rPr>
              <w:t>;</w:t>
            </w:r>
          </w:p>
          <w:p w14:paraId="75242F81" w14:textId="77777777" w:rsidR="000154F8" w:rsidRPr="00941934" w:rsidRDefault="000154F8" w:rsidP="00941934">
            <w:pPr>
              <w:spacing w:before="0"/>
              <w:ind w:firstLine="7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xml:space="preserve">- Construção do Sistema de Abastecimento de Água da Vila de </w:t>
            </w:r>
            <w:proofErr w:type="spellStart"/>
            <w:r w:rsidRPr="00941934">
              <w:rPr>
                <w:sz w:val="18"/>
                <w:szCs w:val="18"/>
                <w:lang w:val="pt-PT"/>
              </w:rPr>
              <w:t>Fingoe</w:t>
            </w:r>
            <w:proofErr w:type="spellEnd"/>
            <w:r w:rsidRPr="00941934">
              <w:rPr>
                <w:sz w:val="18"/>
                <w:szCs w:val="18"/>
                <w:lang w:val="pt-PT"/>
              </w:rPr>
              <w:t>;</w:t>
            </w:r>
          </w:p>
          <w:p w14:paraId="083F6346" w14:textId="77777777" w:rsidR="000154F8" w:rsidRPr="00941934" w:rsidRDefault="000154F8" w:rsidP="00941934">
            <w:pPr>
              <w:spacing w:before="0"/>
              <w:ind w:firstLine="7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xml:space="preserve">- Construção do Sistema de Abastecimento de Água da Vila de </w:t>
            </w:r>
            <w:proofErr w:type="spellStart"/>
            <w:r w:rsidRPr="00941934">
              <w:rPr>
                <w:sz w:val="18"/>
                <w:szCs w:val="18"/>
                <w:lang w:val="pt-PT"/>
              </w:rPr>
              <w:t>Macossa</w:t>
            </w:r>
            <w:proofErr w:type="spellEnd"/>
            <w:r w:rsidRPr="00941934">
              <w:rPr>
                <w:sz w:val="18"/>
                <w:szCs w:val="18"/>
                <w:lang w:val="pt-PT"/>
              </w:rPr>
              <w:t>;</w:t>
            </w:r>
          </w:p>
          <w:p w14:paraId="02D02E34" w14:textId="77777777" w:rsidR="000154F8" w:rsidRPr="00941934" w:rsidRDefault="000154F8" w:rsidP="00941934">
            <w:pPr>
              <w:spacing w:before="0"/>
              <w:ind w:firstLine="7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Construção do Sistema de Abastecimento de Água da Vila de Búzi;</w:t>
            </w:r>
          </w:p>
          <w:p w14:paraId="07893618" w14:textId="77777777" w:rsidR="000154F8" w:rsidRPr="00941934" w:rsidRDefault="000154F8" w:rsidP="00941934">
            <w:pPr>
              <w:spacing w:before="0"/>
              <w:ind w:firstLine="7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xml:space="preserve">- Construção do Sistema de Abastecimento de Água da Vila de </w:t>
            </w:r>
            <w:proofErr w:type="spellStart"/>
            <w:r w:rsidRPr="00941934">
              <w:rPr>
                <w:sz w:val="18"/>
                <w:szCs w:val="18"/>
                <w:lang w:val="pt-PT"/>
              </w:rPr>
              <w:t>Maringue</w:t>
            </w:r>
            <w:proofErr w:type="spellEnd"/>
            <w:r w:rsidRPr="00941934">
              <w:rPr>
                <w:sz w:val="18"/>
                <w:szCs w:val="18"/>
                <w:lang w:val="pt-PT"/>
              </w:rPr>
              <w:t>;</w:t>
            </w:r>
          </w:p>
          <w:p w14:paraId="35ECE8D9" w14:textId="77777777" w:rsidR="000154F8" w:rsidRPr="00941934" w:rsidRDefault="000154F8" w:rsidP="00941934">
            <w:pPr>
              <w:spacing w:before="0"/>
              <w:ind w:firstLine="7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Construção do Sistema de Abastecimento de Água da Vila de Cheringoma;</w:t>
            </w:r>
          </w:p>
          <w:p w14:paraId="5CADAB28" w14:textId="77777777" w:rsidR="000154F8" w:rsidRPr="00941934" w:rsidRDefault="000154F8" w:rsidP="00941934">
            <w:pPr>
              <w:spacing w:before="0"/>
              <w:ind w:firstLine="7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Construção do Sistema de Abastecimento de Água da Vila de Maganja da Costa;</w:t>
            </w:r>
          </w:p>
          <w:p w14:paraId="0D8C0263" w14:textId="77777777" w:rsidR="000154F8" w:rsidRPr="00941934" w:rsidRDefault="000154F8" w:rsidP="00941934">
            <w:pPr>
              <w:spacing w:before="0"/>
              <w:ind w:firstLine="7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xml:space="preserve">- Construção do Sistema de Abastecimento de Água da Vila de </w:t>
            </w:r>
            <w:proofErr w:type="spellStart"/>
            <w:r w:rsidRPr="00941934">
              <w:rPr>
                <w:sz w:val="18"/>
                <w:szCs w:val="18"/>
                <w:lang w:val="pt-PT"/>
              </w:rPr>
              <w:t>Mussuril</w:t>
            </w:r>
            <w:proofErr w:type="spellEnd"/>
            <w:r w:rsidRPr="00941934">
              <w:rPr>
                <w:sz w:val="18"/>
                <w:szCs w:val="18"/>
                <w:lang w:val="pt-PT"/>
              </w:rPr>
              <w:t>;</w:t>
            </w:r>
          </w:p>
          <w:p w14:paraId="4F44562C" w14:textId="77777777" w:rsidR="000154F8" w:rsidRPr="00941934" w:rsidRDefault="000154F8" w:rsidP="00941934">
            <w:pPr>
              <w:spacing w:before="0"/>
              <w:ind w:firstLine="7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xml:space="preserve">- Construção do Sistema de Abastecimento de Água da Vila de </w:t>
            </w:r>
            <w:proofErr w:type="spellStart"/>
            <w:r w:rsidRPr="00941934">
              <w:rPr>
                <w:sz w:val="18"/>
                <w:szCs w:val="18"/>
                <w:lang w:val="pt-PT"/>
              </w:rPr>
              <w:t>Marrupa</w:t>
            </w:r>
            <w:proofErr w:type="spellEnd"/>
            <w:r w:rsidRPr="00941934">
              <w:rPr>
                <w:sz w:val="18"/>
                <w:szCs w:val="18"/>
                <w:lang w:val="pt-PT"/>
              </w:rPr>
              <w:t>;</w:t>
            </w:r>
          </w:p>
          <w:p w14:paraId="0867D79F" w14:textId="0BAAB765" w:rsidR="000154F8" w:rsidRPr="00941934" w:rsidRDefault="000154F8" w:rsidP="00941934">
            <w:pPr>
              <w:spacing w:before="0"/>
              <w:ind w:firstLine="70"/>
              <w:cnfStyle w:val="000000000000" w:firstRow="0" w:lastRow="0" w:firstColumn="0" w:lastColumn="0" w:oddVBand="0" w:evenVBand="0" w:oddHBand="0" w:evenHBand="0" w:firstRowFirstColumn="0" w:firstRowLastColumn="0" w:lastRowFirstColumn="0" w:lastRowLastColumn="0"/>
              <w:rPr>
                <w:sz w:val="18"/>
                <w:szCs w:val="18"/>
                <w:lang w:val="pt-PT"/>
              </w:rPr>
            </w:pPr>
            <w:r w:rsidRPr="00941934">
              <w:rPr>
                <w:sz w:val="18"/>
                <w:szCs w:val="18"/>
                <w:lang w:val="pt-PT"/>
              </w:rPr>
              <w:t xml:space="preserve">- Construção do Sistema de Abastecimento de Água da Vila de </w:t>
            </w:r>
            <w:proofErr w:type="spellStart"/>
            <w:r w:rsidRPr="00941934">
              <w:rPr>
                <w:sz w:val="18"/>
                <w:szCs w:val="18"/>
                <w:lang w:val="pt-PT"/>
              </w:rPr>
              <w:t>Balama</w:t>
            </w:r>
            <w:proofErr w:type="spellEnd"/>
            <w:r w:rsidRPr="00941934">
              <w:rPr>
                <w:sz w:val="18"/>
                <w:szCs w:val="18"/>
                <w:lang w:val="pt-PT"/>
              </w:rPr>
              <w:t>.</w:t>
            </w:r>
          </w:p>
        </w:tc>
      </w:tr>
    </w:tbl>
    <w:p w14:paraId="5C16B5E9" w14:textId="5E6737C6" w:rsidR="00536C61" w:rsidRPr="00292532" w:rsidRDefault="00536C61" w:rsidP="00C31925">
      <w:pPr>
        <w:rPr>
          <w:lang w:val="pt-PT"/>
        </w:rPr>
      </w:pPr>
      <w:proofErr w:type="spellStart"/>
      <w:r w:rsidRPr="00292532">
        <w:rPr>
          <w:lang w:val="pt-PT"/>
        </w:rPr>
        <w:t>Actualmente</w:t>
      </w:r>
      <w:proofErr w:type="spellEnd"/>
      <w:r w:rsidRPr="00292532">
        <w:rPr>
          <w:lang w:val="pt-PT"/>
        </w:rPr>
        <w:t xml:space="preserve"> a AIAS, DNAAS e AURA IP encontram-se a implementar o </w:t>
      </w:r>
      <w:proofErr w:type="spellStart"/>
      <w:r w:rsidRPr="00292532">
        <w:rPr>
          <w:lang w:val="pt-PT"/>
        </w:rPr>
        <w:t>Projecto</w:t>
      </w:r>
      <w:proofErr w:type="spellEnd"/>
      <w:r w:rsidRPr="00292532">
        <w:rPr>
          <w:lang w:val="pt-PT"/>
        </w:rPr>
        <w:t xml:space="preserve"> de Saneamento Urbano (PSU), financiado pelo Banco Mundial</w:t>
      </w:r>
      <w:r w:rsidR="005A1BF8" w:rsidRPr="00292532">
        <w:rPr>
          <w:lang w:val="pt-PT"/>
        </w:rPr>
        <w:t xml:space="preserve"> com o apoio das unidades provinciais das Obras Públicas e Habitação. </w:t>
      </w:r>
      <w:r w:rsidRPr="00292532">
        <w:rPr>
          <w:lang w:val="pt-PT"/>
        </w:rPr>
        <w:t xml:space="preserve"> </w:t>
      </w:r>
      <w:r w:rsidR="005A1BF8" w:rsidRPr="00292532">
        <w:rPr>
          <w:lang w:val="pt-PT"/>
        </w:rPr>
        <w:t>Portanto, a</w:t>
      </w:r>
      <w:r w:rsidR="005A1BF8" w:rsidRPr="00292532">
        <w:rPr>
          <w:rStyle w:val="normaltextrun"/>
          <w:rFonts w:cs="Calibri"/>
          <w:color w:val="000000"/>
          <w:shd w:val="clear" w:color="auto" w:fill="FFFFFF"/>
          <w:lang w:val="pt-PT"/>
        </w:rPr>
        <w:t>s UIP e UTP deverão dar primazia a alocação dos recursos já existentes nas várias instituições, quer do seu quadro de pessoal quer dos </w:t>
      </w:r>
      <w:proofErr w:type="spellStart"/>
      <w:r w:rsidR="005A1BF8" w:rsidRPr="00292532">
        <w:rPr>
          <w:rStyle w:val="normaltextrun"/>
          <w:rFonts w:cs="Calibri"/>
          <w:color w:val="000000"/>
          <w:shd w:val="clear" w:color="auto" w:fill="FFFFFF"/>
          <w:lang w:val="pt-PT"/>
        </w:rPr>
        <w:t>projectos</w:t>
      </w:r>
      <w:proofErr w:type="spellEnd"/>
      <w:r w:rsidR="005A1BF8" w:rsidRPr="00292532">
        <w:rPr>
          <w:rStyle w:val="normaltextrun"/>
          <w:rFonts w:cs="Calibri"/>
          <w:color w:val="000000"/>
          <w:shd w:val="clear" w:color="auto" w:fill="FFFFFF"/>
          <w:lang w:val="pt-PT"/>
        </w:rPr>
        <w:t> em curso financiados pelo Banco Mundial, de modo a </w:t>
      </w:r>
      <w:proofErr w:type="spellStart"/>
      <w:r w:rsidR="005A1BF8" w:rsidRPr="00292532">
        <w:rPr>
          <w:rStyle w:val="normaltextrun"/>
          <w:rFonts w:cs="Calibri"/>
          <w:color w:val="000000"/>
          <w:shd w:val="clear" w:color="auto" w:fill="FFFFFF"/>
          <w:lang w:val="pt-PT"/>
        </w:rPr>
        <w:t>optimizar</w:t>
      </w:r>
      <w:proofErr w:type="spellEnd"/>
      <w:r w:rsidR="005A1BF8" w:rsidRPr="00292532">
        <w:rPr>
          <w:rStyle w:val="normaltextrun"/>
          <w:rFonts w:cs="Calibri"/>
          <w:color w:val="000000"/>
          <w:shd w:val="clear" w:color="auto" w:fill="FFFFFF"/>
          <w:lang w:val="pt-PT"/>
        </w:rPr>
        <w:t> a sua utilização, e contratar as posições que se mostrarem estritamente necessárias.</w:t>
      </w:r>
      <w:r w:rsidR="005A1BF8" w:rsidRPr="004500AE">
        <w:rPr>
          <w:rStyle w:val="eop"/>
          <w:rFonts w:cs="Calibri"/>
          <w:color w:val="000000"/>
          <w:shd w:val="clear" w:color="auto" w:fill="FFFFFF"/>
          <w:lang w:val="pt-PT"/>
        </w:rPr>
        <w:t> </w:t>
      </w:r>
    </w:p>
    <w:p w14:paraId="178830DD" w14:textId="7DE94823" w:rsidR="00C31925" w:rsidRPr="00292532" w:rsidRDefault="00C31925" w:rsidP="00C31925">
      <w:pPr>
        <w:rPr>
          <w:lang w:val="pt-PT"/>
        </w:rPr>
      </w:pPr>
      <w:r w:rsidRPr="00292532">
        <w:rPr>
          <w:lang w:val="pt-PT"/>
        </w:rPr>
        <w:t xml:space="preserve">As </w:t>
      </w:r>
      <w:proofErr w:type="spellStart"/>
      <w:r w:rsidRPr="00292532">
        <w:rPr>
          <w:lang w:val="pt-PT"/>
        </w:rPr>
        <w:t>UIP</w:t>
      </w:r>
      <w:r w:rsidR="00AF1EA4" w:rsidRPr="00292532">
        <w:rPr>
          <w:lang w:val="pt-PT"/>
        </w:rPr>
        <w:t>s</w:t>
      </w:r>
      <w:proofErr w:type="spellEnd"/>
      <w:r w:rsidRPr="00292532">
        <w:rPr>
          <w:lang w:val="pt-PT"/>
        </w:rPr>
        <w:t xml:space="preserve"> a serem </w:t>
      </w:r>
      <w:r w:rsidR="00AF1EA4" w:rsidRPr="00292532">
        <w:rPr>
          <w:lang w:val="pt-PT"/>
        </w:rPr>
        <w:t xml:space="preserve">constituídas </w:t>
      </w:r>
      <w:r w:rsidRPr="00292532">
        <w:rPr>
          <w:lang w:val="pt-PT"/>
        </w:rPr>
        <w:t xml:space="preserve">para a implementação do </w:t>
      </w:r>
      <w:proofErr w:type="spellStart"/>
      <w:r w:rsidRPr="00292532">
        <w:rPr>
          <w:lang w:val="pt-PT"/>
        </w:rPr>
        <w:t>Projecto</w:t>
      </w:r>
      <w:proofErr w:type="spellEnd"/>
      <w:r w:rsidRPr="00292532">
        <w:rPr>
          <w:lang w:val="pt-PT"/>
        </w:rPr>
        <w:t xml:space="preserve"> serão apoiadas pela</w:t>
      </w:r>
      <w:r w:rsidR="00AF1EA4" w:rsidRPr="00292532">
        <w:rPr>
          <w:lang w:val="pt-PT"/>
        </w:rPr>
        <w:t>s</w:t>
      </w:r>
      <w:r w:rsidRPr="00292532">
        <w:rPr>
          <w:lang w:val="pt-PT"/>
        </w:rPr>
        <w:t xml:space="preserve"> equipa</w:t>
      </w:r>
      <w:r w:rsidR="00AF1EA4" w:rsidRPr="00292532">
        <w:rPr>
          <w:lang w:val="pt-PT"/>
        </w:rPr>
        <w:t>s</w:t>
      </w:r>
      <w:r w:rsidRPr="00292532">
        <w:rPr>
          <w:lang w:val="pt-PT"/>
        </w:rPr>
        <w:t xml:space="preserve"> de salvaguardas baseada</w:t>
      </w:r>
      <w:r w:rsidR="00AF1EA4" w:rsidRPr="00292532">
        <w:rPr>
          <w:lang w:val="pt-PT"/>
        </w:rPr>
        <w:t>s</w:t>
      </w:r>
      <w:r w:rsidRPr="00292532">
        <w:rPr>
          <w:lang w:val="pt-PT"/>
        </w:rPr>
        <w:t xml:space="preserve"> n</w:t>
      </w:r>
      <w:r w:rsidR="003545C3" w:rsidRPr="00292532">
        <w:rPr>
          <w:lang w:val="pt-PT"/>
        </w:rPr>
        <w:t>a</w:t>
      </w:r>
      <w:r w:rsidR="00AF1EA4" w:rsidRPr="00292532">
        <w:rPr>
          <w:lang w:val="pt-PT"/>
        </w:rPr>
        <w:t xml:space="preserve"> DNAAS e na</w:t>
      </w:r>
      <w:r w:rsidRPr="00292532">
        <w:rPr>
          <w:lang w:val="pt-PT"/>
        </w:rPr>
        <w:t xml:space="preserve"> AIAS</w:t>
      </w:r>
      <w:r w:rsidR="00AF1EA4" w:rsidRPr="00292532">
        <w:rPr>
          <w:lang w:val="pt-PT"/>
        </w:rPr>
        <w:t xml:space="preserve">, que constituem as </w:t>
      </w:r>
      <w:proofErr w:type="spellStart"/>
      <w:r w:rsidR="00AF1EA4" w:rsidRPr="00292532">
        <w:rPr>
          <w:lang w:val="pt-PT"/>
        </w:rPr>
        <w:t>UIPs</w:t>
      </w:r>
      <w:proofErr w:type="spellEnd"/>
      <w:r w:rsidR="00AF1EA4" w:rsidRPr="00292532">
        <w:rPr>
          <w:lang w:val="pt-PT"/>
        </w:rPr>
        <w:t xml:space="preserve"> do PSU. </w:t>
      </w:r>
      <w:proofErr w:type="spellStart"/>
      <w:r w:rsidR="005A1BF8" w:rsidRPr="00292532">
        <w:rPr>
          <w:lang w:val="pt-PT"/>
        </w:rPr>
        <w:t>Actualmente</w:t>
      </w:r>
      <w:proofErr w:type="spellEnd"/>
      <w:r w:rsidR="005A1BF8" w:rsidRPr="00292532">
        <w:rPr>
          <w:lang w:val="pt-PT"/>
        </w:rPr>
        <w:t xml:space="preserve"> a AIAS tem no seu quadro de implementação do </w:t>
      </w:r>
      <w:proofErr w:type="spellStart"/>
      <w:r w:rsidR="005A1BF8" w:rsidRPr="00292532">
        <w:rPr>
          <w:lang w:val="pt-PT"/>
        </w:rPr>
        <w:t>Projecto</w:t>
      </w:r>
      <w:proofErr w:type="spellEnd"/>
      <w:r w:rsidR="005A1BF8" w:rsidRPr="00292532">
        <w:rPr>
          <w:lang w:val="pt-PT"/>
        </w:rPr>
        <w:t xml:space="preserve"> de Saneamento Urbano um consultor </w:t>
      </w:r>
      <w:r w:rsidR="003F05CA">
        <w:rPr>
          <w:lang w:val="pt-PT"/>
        </w:rPr>
        <w:lastRenderedPageBreak/>
        <w:t>e</w:t>
      </w:r>
      <w:r w:rsidR="005A1BF8" w:rsidRPr="00292532">
        <w:rPr>
          <w:lang w:val="pt-PT"/>
        </w:rPr>
        <w:t xml:space="preserve">specialista em </w:t>
      </w:r>
      <w:r w:rsidR="003F05CA">
        <w:rPr>
          <w:lang w:val="pt-PT"/>
        </w:rPr>
        <w:t>s</w:t>
      </w:r>
      <w:r w:rsidR="005A1BF8" w:rsidRPr="00292532">
        <w:rPr>
          <w:lang w:val="pt-PT"/>
        </w:rPr>
        <w:t>alvaguardas</w:t>
      </w:r>
      <w:r w:rsidR="001F1C4E" w:rsidRPr="00292532">
        <w:rPr>
          <w:lang w:val="pt-PT"/>
        </w:rPr>
        <w:t xml:space="preserve"> ambientais e sociais</w:t>
      </w:r>
      <w:r w:rsidRPr="00292532">
        <w:rPr>
          <w:lang w:val="pt-PT"/>
        </w:rPr>
        <w:t>.</w:t>
      </w:r>
      <w:r w:rsidR="001F1C4E" w:rsidRPr="00292532">
        <w:rPr>
          <w:lang w:val="pt-PT"/>
        </w:rPr>
        <w:t xml:space="preserve"> Propondo-se um reforço da equipa, com vista a serem compostas cada uma delas por um especialista de salvaguardas ambiental</w:t>
      </w:r>
      <w:r w:rsidR="005A1BF8" w:rsidRPr="00292532">
        <w:rPr>
          <w:lang w:val="pt-PT"/>
        </w:rPr>
        <w:t xml:space="preserve"> e social no AIAS (dedica a 50% no </w:t>
      </w:r>
      <w:proofErr w:type="spellStart"/>
      <w:r w:rsidR="005A1BF8" w:rsidRPr="00292532">
        <w:rPr>
          <w:lang w:val="pt-PT"/>
        </w:rPr>
        <w:t>Projecto</w:t>
      </w:r>
      <w:proofErr w:type="spellEnd"/>
      <w:r w:rsidR="005A1BF8" w:rsidRPr="00292532">
        <w:rPr>
          <w:lang w:val="pt-PT"/>
        </w:rPr>
        <w:t xml:space="preserve"> Água Segura e o remanescente no PSU) e um novo Consultor a ser contractado a ser baseado na UIP</w:t>
      </w:r>
      <w:r w:rsidR="005A1BF8" w:rsidRPr="004500AE">
        <w:rPr>
          <w:lang w:val="pt-PT"/>
        </w:rPr>
        <w:t>/</w:t>
      </w:r>
      <w:r w:rsidR="005A1BF8" w:rsidRPr="00292532">
        <w:rPr>
          <w:lang w:val="pt-PT"/>
        </w:rPr>
        <w:t xml:space="preserve">DNAAS (dedicado a tempo inteiro no </w:t>
      </w:r>
      <w:proofErr w:type="spellStart"/>
      <w:r w:rsidR="005A1BF8" w:rsidRPr="00292532">
        <w:rPr>
          <w:lang w:val="pt-PT"/>
        </w:rPr>
        <w:t>Projecto</w:t>
      </w:r>
      <w:proofErr w:type="spellEnd"/>
      <w:r w:rsidR="005A1BF8" w:rsidRPr="00292532">
        <w:rPr>
          <w:lang w:val="pt-PT"/>
        </w:rPr>
        <w:t xml:space="preserve"> Água Segura)</w:t>
      </w:r>
      <w:r w:rsidR="001F1C4E" w:rsidRPr="00292532">
        <w:rPr>
          <w:lang w:val="pt-PT"/>
        </w:rPr>
        <w:t>.</w:t>
      </w:r>
      <w:r w:rsidRPr="00292532">
        <w:rPr>
          <w:lang w:val="pt-PT"/>
        </w:rPr>
        <w:t xml:space="preserve"> Estes especialistas juntamente com os </w:t>
      </w:r>
      <w:r w:rsidR="00AF1EA4" w:rsidRPr="00292532">
        <w:rPr>
          <w:lang w:val="pt-PT"/>
        </w:rPr>
        <w:t xml:space="preserve">técnicos </w:t>
      </w:r>
      <w:r w:rsidRPr="00292532">
        <w:rPr>
          <w:lang w:val="pt-PT"/>
        </w:rPr>
        <w:t xml:space="preserve">de salvaguardas </w:t>
      </w:r>
      <w:r w:rsidR="005A1BF8" w:rsidRPr="00292532">
        <w:rPr>
          <w:lang w:val="pt-PT"/>
        </w:rPr>
        <w:t>(</w:t>
      </w:r>
      <w:r w:rsidRPr="00292532">
        <w:rPr>
          <w:lang w:val="pt-PT"/>
        </w:rPr>
        <w:t xml:space="preserve">a serem </w:t>
      </w:r>
      <w:r w:rsidR="00381467" w:rsidRPr="00292532">
        <w:rPr>
          <w:lang w:val="pt-PT"/>
        </w:rPr>
        <w:t>contrata</w:t>
      </w:r>
      <w:r w:rsidRPr="00292532">
        <w:rPr>
          <w:lang w:val="pt-PT"/>
        </w:rPr>
        <w:t>dos para estarem baseados</w:t>
      </w:r>
      <w:r w:rsidR="005A1BF8" w:rsidRPr="00292532">
        <w:rPr>
          <w:lang w:val="pt-PT"/>
        </w:rPr>
        <w:t>)</w:t>
      </w:r>
      <w:r w:rsidRPr="00292532">
        <w:rPr>
          <w:lang w:val="pt-PT"/>
        </w:rPr>
        <w:t xml:space="preserve"> nas Unidades Técnicas Provinciais (</w:t>
      </w:r>
      <w:proofErr w:type="spellStart"/>
      <w:r w:rsidRPr="00292532">
        <w:rPr>
          <w:lang w:val="pt-PT"/>
        </w:rPr>
        <w:t>UTPs</w:t>
      </w:r>
      <w:proofErr w:type="spellEnd"/>
      <w:r w:rsidRPr="00292532">
        <w:rPr>
          <w:lang w:val="pt-PT"/>
        </w:rPr>
        <w:t xml:space="preserve">) das </w:t>
      </w:r>
      <w:proofErr w:type="spellStart"/>
      <w:r w:rsidRPr="00292532">
        <w:rPr>
          <w:lang w:val="pt-PT"/>
        </w:rPr>
        <w:t>DPOPs</w:t>
      </w:r>
      <w:proofErr w:type="spellEnd"/>
      <w:r w:rsidR="005A1BF8" w:rsidRPr="00292532">
        <w:rPr>
          <w:lang w:val="pt-PT"/>
        </w:rPr>
        <w:t xml:space="preserve">. A equipa das salvaguardas aos níveis central e provincial </w:t>
      </w:r>
      <w:r w:rsidRPr="00292532">
        <w:rPr>
          <w:lang w:val="pt-PT"/>
        </w:rPr>
        <w:t xml:space="preserve">serão responsáveis </w:t>
      </w:r>
      <w:r w:rsidR="000B3AEA" w:rsidRPr="00292532">
        <w:rPr>
          <w:lang w:val="pt-PT"/>
        </w:rPr>
        <w:t>pelo</w:t>
      </w:r>
      <w:r w:rsidRPr="00292532">
        <w:rPr>
          <w:lang w:val="pt-PT"/>
        </w:rPr>
        <w:t xml:space="preserve"> processo de triagem ambiental e social, supervisão das </w:t>
      </w:r>
      <w:proofErr w:type="spellStart"/>
      <w:r w:rsidRPr="00292532">
        <w:rPr>
          <w:lang w:val="pt-PT"/>
        </w:rPr>
        <w:t>actividades</w:t>
      </w:r>
      <w:proofErr w:type="spellEnd"/>
      <w:r w:rsidRPr="00292532">
        <w:rPr>
          <w:lang w:val="pt-PT"/>
        </w:rPr>
        <w:t xml:space="preserve"> dos consultores na fase de Avaliação de Impactos Ambientais dos subprojectos, e serão responsáveis por garantir que os estudos e planos de gestão ambientais da AIA estejam em conformidade com a legislação nacional aplicável, com Normas Ambientais e Sociais, com as </w:t>
      </w:r>
      <w:proofErr w:type="spellStart"/>
      <w:r w:rsidRPr="00292532">
        <w:rPr>
          <w:lang w:val="pt-PT"/>
        </w:rPr>
        <w:t>Dire</w:t>
      </w:r>
      <w:r w:rsidR="009C222E" w:rsidRPr="00292532">
        <w:rPr>
          <w:lang w:val="pt-PT"/>
        </w:rPr>
        <w:t>c</w:t>
      </w:r>
      <w:r w:rsidRPr="00292532">
        <w:rPr>
          <w:lang w:val="pt-PT"/>
        </w:rPr>
        <w:t>trizes</w:t>
      </w:r>
      <w:proofErr w:type="spellEnd"/>
      <w:r w:rsidRPr="00292532">
        <w:rPr>
          <w:lang w:val="pt-PT"/>
        </w:rPr>
        <w:t xml:space="preserve"> de Saúde, Segurança</w:t>
      </w:r>
      <w:r w:rsidR="003545C3" w:rsidRPr="00292532">
        <w:rPr>
          <w:lang w:val="pt-PT"/>
        </w:rPr>
        <w:t xml:space="preserve"> e Ambiente</w:t>
      </w:r>
      <w:r w:rsidRPr="00292532">
        <w:rPr>
          <w:lang w:val="pt-PT"/>
        </w:rPr>
        <w:t xml:space="preserve"> do Banco.</w:t>
      </w:r>
      <w:r w:rsidR="005A1BF8" w:rsidRPr="00292532">
        <w:rPr>
          <w:lang w:val="pt-PT"/>
        </w:rPr>
        <w:t xml:space="preserve"> O SGAS deverá ser gerido </w:t>
      </w:r>
      <w:r w:rsidR="00292532" w:rsidRPr="00292532">
        <w:rPr>
          <w:lang w:val="pt-PT"/>
        </w:rPr>
        <w:t>a partir</w:t>
      </w:r>
      <w:r w:rsidR="005A1BF8" w:rsidRPr="00292532">
        <w:rPr>
          <w:lang w:val="pt-PT"/>
        </w:rPr>
        <w:t xml:space="preserve"> das </w:t>
      </w:r>
      <w:proofErr w:type="spellStart"/>
      <w:r w:rsidR="005A1BF8" w:rsidRPr="00292532">
        <w:rPr>
          <w:lang w:val="pt-PT"/>
        </w:rPr>
        <w:t>UIPs</w:t>
      </w:r>
      <w:proofErr w:type="spellEnd"/>
      <w:r w:rsidR="005A1BF8" w:rsidRPr="00292532">
        <w:rPr>
          <w:lang w:val="pt-PT"/>
        </w:rPr>
        <w:t xml:space="preserve"> (AIAS e DNAAS) </w:t>
      </w:r>
      <w:proofErr w:type="gramStart"/>
      <w:r w:rsidR="005A1BF8" w:rsidRPr="00292532">
        <w:rPr>
          <w:lang w:val="pt-PT"/>
        </w:rPr>
        <w:t>e</w:t>
      </w:r>
      <w:proofErr w:type="gramEnd"/>
      <w:r w:rsidR="005A1BF8" w:rsidRPr="00292532">
        <w:rPr>
          <w:lang w:val="pt-PT"/>
        </w:rPr>
        <w:t xml:space="preserve"> portanto, a sua gestão será da responsabilidade da equipa das salvaguardas na UIP AIAS e DNAAS. </w:t>
      </w:r>
      <w:r w:rsidRPr="00292532">
        <w:rPr>
          <w:lang w:val="pt-PT"/>
        </w:rPr>
        <w:t xml:space="preserve">Na fase de execução das </w:t>
      </w:r>
      <w:proofErr w:type="spellStart"/>
      <w:r w:rsidRPr="00292532">
        <w:rPr>
          <w:lang w:val="pt-PT"/>
        </w:rPr>
        <w:t>actividades</w:t>
      </w:r>
      <w:proofErr w:type="spellEnd"/>
      <w:r w:rsidRPr="00292532">
        <w:rPr>
          <w:lang w:val="pt-PT"/>
        </w:rPr>
        <w:t xml:space="preserve">, </w:t>
      </w:r>
      <w:r w:rsidR="005A1BF8" w:rsidRPr="00292532">
        <w:rPr>
          <w:lang w:val="pt-PT"/>
        </w:rPr>
        <w:t xml:space="preserve">a equipa das salvaguardas nas Províncias com o apoio da equipa das </w:t>
      </w:r>
      <w:proofErr w:type="spellStart"/>
      <w:r w:rsidR="005A1BF8" w:rsidRPr="00292532">
        <w:rPr>
          <w:lang w:val="pt-PT"/>
        </w:rPr>
        <w:t>UIPs</w:t>
      </w:r>
      <w:proofErr w:type="spellEnd"/>
      <w:r w:rsidR="005A1BF8" w:rsidRPr="00292532">
        <w:rPr>
          <w:lang w:val="pt-PT"/>
        </w:rPr>
        <w:t xml:space="preserve"> assumirão um papel principal na </w:t>
      </w:r>
      <w:r w:rsidRPr="00292532">
        <w:rPr>
          <w:lang w:val="pt-PT"/>
        </w:rPr>
        <w:t xml:space="preserve">monitoria e verificação do cumprimento das medidas de mitigação e planos de gestão ambiental assim como </w:t>
      </w:r>
      <w:r w:rsidR="005A1BF8" w:rsidRPr="00292532">
        <w:rPr>
          <w:lang w:val="pt-PT"/>
        </w:rPr>
        <w:t>elaboração</w:t>
      </w:r>
      <w:r w:rsidRPr="00292532">
        <w:rPr>
          <w:lang w:val="pt-PT"/>
        </w:rPr>
        <w:t xml:space="preserve"> relatórios de Progresso a serem submetidos às autoridades e ao Banco Mundial.</w:t>
      </w:r>
      <w:r w:rsidR="00A74521" w:rsidRPr="00292532">
        <w:rPr>
          <w:lang w:val="pt-PT"/>
        </w:rPr>
        <w:t xml:space="preserve"> As equipas de salvaguardas das </w:t>
      </w:r>
      <w:proofErr w:type="spellStart"/>
      <w:r w:rsidR="00A74521" w:rsidRPr="00292532">
        <w:rPr>
          <w:lang w:val="pt-PT"/>
        </w:rPr>
        <w:t>UIPs</w:t>
      </w:r>
      <w:proofErr w:type="spellEnd"/>
      <w:r w:rsidR="00A74521" w:rsidRPr="00292532">
        <w:rPr>
          <w:lang w:val="pt-PT"/>
        </w:rPr>
        <w:t xml:space="preserve"> terão</w:t>
      </w:r>
      <w:r w:rsidR="005A1BF8" w:rsidRPr="00292532">
        <w:rPr>
          <w:lang w:val="pt-PT"/>
        </w:rPr>
        <w:t xml:space="preserve"> igualmente </w:t>
      </w:r>
      <w:r w:rsidR="00A74521" w:rsidRPr="00292532">
        <w:rPr>
          <w:lang w:val="pt-PT"/>
        </w:rPr>
        <w:t xml:space="preserve">a responsabilidade de monitorar a implementação do Plano de Compromissos Ambientais e Sociais (PCAS) do </w:t>
      </w:r>
      <w:proofErr w:type="spellStart"/>
      <w:r w:rsidR="00A74521" w:rsidRPr="00292532">
        <w:rPr>
          <w:lang w:val="pt-PT"/>
        </w:rPr>
        <w:t>Projecto</w:t>
      </w:r>
      <w:proofErr w:type="spellEnd"/>
      <w:r w:rsidR="00A74521" w:rsidRPr="00292532">
        <w:rPr>
          <w:lang w:val="pt-PT"/>
        </w:rPr>
        <w:t xml:space="preserve">. </w:t>
      </w:r>
      <w:r w:rsidRPr="00292532">
        <w:rPr>
          <w:lang w:val="pt-PT"/>
        </w:rPr>
        <w:t xml:space="preserve"> </w:t>
      </w:r>
      <w:r w:rsidR="008E1947" w:rsidRPr="00292532">
        <w:rPr>
          <w:lang w:val="pt-PT"/>
        </w:rPr>
        <w:t>Propõe-se</w:t>
      </w:r>
      <w:r w:rsidR="000B3AEA" w:rsidRPr="00292532">
        <w:rPr>
          <w:lang w:val="pt-PT"/>
        </w:rPr>
        <w:t xml:space="preserve"> um reforço da equipa das salvaguardas das </w:t>
      </w:r>
      <w:proofErr w:type="spellStart"/>
      <w:r w:rsidR="000B3AEA" w:rsidRPr="00292532">
        <w:rPr>
          <w:lang w:val="pt-PT"/>
        </w:rPr>
        <w:t>UTPs</w:t>
      </w:r>
      <w:proofErr w:type="spellEnd"/>
      <w:r w:rsidR="000B3AEA" w:rsidRPr="00292532">
        <w:rPr>
          <w:lang w:val="pt-PT"/>
        </w:rPr>
        <w:t xml:space="preserve"> com a </w:t>
      </w:r>
      <w:r w:rsidR="00292532" w:rsidRPr="00292532">
        <w:rPr>
          <w:lang w:val="pt-PT"/>
        </w:rPr>
        <w:t>contratação</w:t>
      </w:r>
      <w:r w:rsidR="000B3AEA" w:rsidRPr="00292532">
        <w:rPr>
          <w:lang w:val="pt-PT"/>
        </w:rPr>
        <w:t xml:space="preserve"> de Oficiais de </w:t>
      </w:r>
      <w:r w:rsidR="005A1BF8" w:rsidRPr="00292532">
        <w:rPr>
          <w:lang w:val="pt-PT"/>
        </w:rPr>
        <w:t>Ligações</w:t>
      </w:r>
      <w:r w:rsidR="000B3AEA" w:rsidRPr="00292532">
        <w:rPr>
          <w:lang w:val="pt-PT"/>
        </w:rPr>
        <w:t xml:space="preserve"> com as Comunidades a serem baseados no campo. Estes serão responsáveis por apoiar na implementação do PEPI e do Mecanismo de Queixas e Reclamações (MQR) e de</w:t>
      </w:r>
      <w:r w:rsidRPr="00292532">
        <w:rPr>
          <w:lang w:val="pt-PT"/>
        </w:rPr>
        <w:t xml:space="preserve"> acompanhar todas as </w:t>
      </w:r>
      <w:proofErr w:type="spellStart"/>
      <w:r w:rsidRPr="00292532">
        <w:rPr>
          <w:lang w:val="pt-PT"/>
        </w:rPr>
        <w:t>actividades</w:t>
      </w:r>
      <w:proofErr w:type="spellEnd"/>
      <w:r w:rsidRPr="00292532">
        <w:rPr>
          <w:lang w:val="pt-PT"/>
        </w:rPr>
        <w:t xml:space="preserve"> de reassentamento (caso aplicável), compensações, reuniões de engajamento com as comunidades nas áreas de intervenções. As </w:t>
      </w:r>
      <w:proofErr w:type="spellStart"/>
      <w:r w:rsidRPr="00292532">
        <w:rPr>
          <w:lang w:val="pt-PT"/>
        </w:rPr>
        <w:t>UTPs</w:t>
      </w:r>
      <w:proofErr w:type="spellEnd"/>
      <w:r w:rsidRPr="00292532">
        <w:rPr>
          <w:lang w:val="pt-PT"/>
        </w:rPr>
        <w:t xml:space="preserve"> terão</w:t>
      </w:r>
      <w:r w:rsidR="005A1BF8" w:rsidRPr="00292532">
        <w:rPr>
          <w:lang w:val="pt-PT"/>
        </w:rPr>
        <w:t xml:space="preserve"> igualmente,</w:t>
      </w:r>
      <w:r w:rsidRPr="00292532">
        <w:rPr>
          <w:lang w:val="pt-PT"/>
        </w:rPr>
        <w:t xml:space="preserve"> a responsabilidade primária de implementação do Mecanismo de </w:t>
      </w:r>
      <w:r w:rsidR="0005701F" w:rsidRPr="00292532">
        <w:rPr>
          <w:lang w:val="pt-PT"/>
        </w:rPr>
        <w:t>Queixas</w:t>
      </w:r>
      <w:r w:rsidRPr="00292532">
        <w:rPr>
          <w:lang w:val="pt-PT"/>
        </w:rPr>
        <w:t>, sendo igualmente responsáveis pela disseminação deste mecanismo nas comunidades.</w:t>
      </w:r>
    </w:p>
    <w:p w14:paraId="5EC74282" w14:textId="1D02E151" w:rsidR="00C31925" w:rsidRPr="00292532" w:rsidRDefault="00C31925" w:rsidP="00C31925">
      <w:pPr>
        <w:rPr>
          <w:lang w:val="pt-PT"/>
        </w:rPr>
      </w:pPr>
      <w:r w:rsidRPr="00292532">
        <w:rPr>
          <w:lang w:val="pt-PT"/>
        </w:rPr>
        <w:t>Os especialistas das salvaguardas da UIP/</w:t>
      </w:r>
      <w:proofErr w:type="spellStart"/>
      <w:r w:rsidRPr="00292532">
        <w:rPr>
          <w:lang w:val="pt-PT"/>
        </w:rPr>
        <w:t>AIAs</w:t>
      </w:r>
      <w:proofErr w:type="spellEnd"/>
      <w:r w:rsidRPr="00292532">
        <w:rPr>
          <w:lang w:val="pt-PT"/>
        </w:rPr>
        <w:t xml:space="preserve"> e das </w:t>
      </w:r>
      <w:proofErr w:type="spellStart"/>
      <w:r w:rsidRPr="00292532">
        <w:rPr>
          <w:lang w:val="pt-PT"/>
        </w:rPr>
        <w:t>UTPs</w:t>
      </w:r>
      <w:proofErr w:type="spellEnd"/>
      <w:r w:rsidRPr="00292532">
        <w:rPr>
          <w:lang w:val="pt-PT"/>
        </w:rPr>
        <w:t xml:space="preserve"> (DPOP) trabalharão em estreita colaboração com o MTA e com as suas </w:t>
      </w:r>
      <w:r w:rsidR="0005701F" w:rsidRPr="00292532">
        <w:rPr>
          <w:lang w:val="pt-PT"/>
        </w:rPr>
        <w:t>direções</w:t>
      </w:r>
      <w:r w:rsidRPr="00292532">
        <w:rPr>
          <w:lang w:val="pt-PT"/>
        </w:rPr>
        <w:t xml:space="preserve"> provinciais (Serviços Provinciais de Ambiente, SPA) e parceiros relevantes, assegurando que as recomendações de salvaguardas do </w:t>
      </w:r>
      <w:proofErr w:type="spellStart"/>
      <w:r w:rsidRPr="00292532">
        <w:rPr>
          <w:lang w:val="pt-PT"/>
        </w:rPr>
        <w:t>Projecto</w:t>
      </w:r>
      <w:proofErr w:type="spellEnd"/>
      <w:r w:rsidRPr="00292532">
        <w:rPr>
          <w:lang w:val="pt-PT"/>
        </w:rPr>
        <w:t xml:space="preserve"> sejam cumpridas na integra durante a execução do </w:t>
      </w:r>
      <w:proofErr w:type="spellStart"/>
      <w:r w:rsidRPr="00292532">
        <w:rPr>
          <w:lang w:val="pt-PT"/>
        </w:rPr>
        <w:t>Projecto</w:t>
      </w:r>
      <w:proofErr w:type="spellEnd"/>
      <w:r w:rsidRPr="00292532">
        <w:rPr>
          <w:lang w:val="pt-PT"/>
        </w:rPr>
        <w:t xml:space="preserve">. </w:t>
      </w:r>
    </w:p>
    <w:p w14:paraId="128A9AB9" w14:textId="4E2C67FF" w:rsidR="008E1947" w:rsidRPr="00292532" w:rsidRDefault="008E1947" w:rsidP="00C31925">
      <w:pPr>
        <w:rPr>
          <w:lang w:val="pt-PT"/>
        </w:rPr>
      </w:pPr>
      <w:r w:rsidRPr="00292532">
        <w:rPr>
          <w:lang w:val="pt-PT"/>
        </w:rPr>
        <w:t>A</w:t>
      </w:r>
      <w:r w:rsidR="00A74521" w:rsidRPr="00292532">
        <w:rPr>
          <w:lang w:val="pt-PT"/>
        </w:rPr>
        <w:t xml:space="preserve"> </w:t>
      </w:r>
      <w:r w:rsidR="00A74521" w:rsidRPr="00941934">
        <w:rPr>
          <w:b/>
          <w:bCs/>
          <w:lang w:val="pt-PT"/>
        </w:rPr>
        <w:fldChar w:fldCharType="begin"/>
      </w:r>
      <w:r w:rsidR="00A74521" w:rsidRPr="00941934">
        <w:rPr>
          <w:b/>
          <w:bCs/>
          <w:lang w:val="pt-PT"/>
        </w:rPr>
        <w:instrText xml:space="preserve"> REF _Ref78303367 \h </w:instrText>
      </w:r>
      <w:r w:rsidR="00DE4496">
        <w:rPr>
          <w:b/>
          <w:bCs/>
          <w:lang w:val="pt-PT"/>
        </w:rPr>
        <w:instrText xml:space="preserve"> \* MERGEFORMAT </w:instrText>
      </w:r>
      <w:r w:rsidR="00A74521" w:rsidRPr="00941934">
        <w:rPr>
          <w:b/>
          <w:bCs/>
          <w:lang w:val="pt-PT"/>
        </w:rPr>
      </w:r>
      <w:r w:rsidR="00A74521" w:rsidRPr="00941934">
        <w:rPr>
          <w:b/>
          <w:bCs/>
          <w:lang w:val="pt-PT"/>
        </w:rPr>
        <w:fldChar w:fldCharType="separate"/>
      </w:r>
      <w:r w:rsidR="00DE4496" w:rsidRPr="00941934">
        <w:rPr>
          <w:b/>
          <w:bCs/>
          <w:lang w:val="pt-PT"/>
        </w:rPr>
        <w:t xml:space="preserve">Figura </w:t>
      </w:r>
      <w:r w:rsidR="00DE4496" w:rsidRPr="00941934">
        <w:rPr>
          <w:b/>
          <w:bCs/>
          <w:noProof/>
          <w:lang w:val="pt-PT"/>
        </w:rPr>
        <w:t>21</w:t>
      </w:r>
      <w:r w:rsidR="00A74521" w:rsidRPr="00941934">
        <w:rPr>
          <w:b/>
          <w:bCs/>
          <w:lang w:val="pt-PT"/>
        </w:rPr>
        <w:fldChar w:fldCharType="end"/>
      </w:r>
      <w:r w:rsidRPr="00292532">
        <w:rPr>
          <w:lang w:val="pt-PT"/>
        </w:rPr>
        <w:t xml:space="preserve">, apresenta a estrutura organizacional da equipa de salvaguardas existente nas </w:t>
      </w:r>
      <w:proofErr w:type="spellStart"/>
      <w:r w:rsidRPr="00292532">
        <w:rPr>
          <w:lang w:val="pt-PT"/>
        </w:rPr>
        <w:t>UIPs</w:t>
      </w:r>
      <w:proofErr w:type="spellEnd"/>
      <w:r w:rsidRPr="00292532">
        <w:rPr>
          <w:lang w:val="pt-PT"/>
        </w:rPr>
        <w:t xml:space="preserve"> para apoio a implementação do </w:t>
      </w:r>
      <w:proofErr w:type="spellStart"/>
      <w:r w:rsidRPr="00292532">
        <w:rPr>
          <w:lang w:val="pt-PT"/>
        </w:rPr>
        <w:t>Projecto</w:t>
      </w:r>
      <w:proofErr w:type="spellEnd"/>
      <w:r w:rsidRPr="00292532">
        <w:rPr>
          <w:lang w:val="pt-PT"/>
        </w:rPr>
        <w:t xml:space="preserve"> e a estrutura proposta considerando o reforço das equipas de salvaguardas nos níveis central e provincial. </w:t>
      </w:r>
    </w:p>
    <w:p w14:paraId="46A294E1" w14:textId="0399D13C" w:rsidR="004B7F53" w:rsidRPr="00292532" w:rsidRDefault="004B7F53" w:rsidP="00C31925">
      <w:pPr>
        <w:rPr>
          <w:lang w:val="pt-PT"/>
        </w:rPr>
      </w:pPr>
    </w:p>
    <w:p w14:paraId="3EFCACBC" w14:textId="349F4C43" w:rsidR="004B7F53" w:rsidRPr="00292532" w:rsidRDefault="004B7F53" w:rsidP="00C31925">
      <w:pPr>
        <w:rPr>
          <w:lang w:val="pt-PT"/>
        </w:rPr>
      </w:pPr>
    </w:p>
    <w:p w14:paraId="5E3D81E7" w14:textId="253FFFC2" w:rsidR="004B7F53" w:rsidRPr="00292532" w:rsidRDefault="004B7F53" w:rsidP="00C31925">
      <w:pPr>
        <w:rPr>
          <w:lang w:val="pt-PT"/>
        </w:rPr>
      </w:pPr>
    </w:p>
    <w:p w14:paraId="23436C53" w14:textId="1ADDF957" w:rsidR="004B7F53" w:rsidRPr="00292532" w:rsidRDefault="004B7F53" w:rsidP="00C31925">
      <w:pPr>
        <w:rPr>
          <w:lang w:val="pt-PT"/>
        </w:rPr>
      </w:pPr>
    </w:p>
    <w:p w14:paraId="50B3414A" w14:textId="1F3FFABC" w:rsidR="004B7F53" w:rsidRPr="00292532" w:rsidRDefault="004B7F53" w:rsidP="00C31925">
      <w:pPr>
        <w:rPr>
          <w:lang w:val="pt-PT"/>
        </w:rPr>
      </w:pPr>
    </w:p>
    <w:p w14:paraId="7482B3A5" w14:textId="437B3122" w:rsidR="004B7F53" w:rsidRPr="00292532" w:rsidRDefault="004B7F53" w:rsidP="00C31925">
      <w:pPr>
        <w:rPr>
          <w:lang w:val="pt-PT"/>
        </w:rPr>
      </w:pPr>
    </w:p>
    <w:p w14:paraId="6818B440" w14:textId="6B9F881B" w:rsidR="004B7F53" w:rsidRPr="00292532" w:rsidRDefault="004B7F53" w:rsidP="00C31925">
      <w:pPr>
        <w:rPr>
          <w:lang w:val="pt-PT"/>
        </w:rPr>
      </w:pPr>
    </w:p>
    <w:p w14:paraId="62356386" w14:textId="77777777" w:rsidR="004B7F53" w:rsidRPr="00292532" w:rsidRDefault="004B7F53" w:rsidP="00C31925">
      <w:pPr>
        <w:rPr>
          <w:lang w:val="pt-PT"/>
        </w:rPr>
      </w:pPr>
    </w:p>
    <w:p w14:paraId="342E8624" w14:textId="5CCB3E95" w:rsidR="008E1947" w:rsidRPr="00292532" w:rsidRDefault="005A1BF8" w:rsidP="005A1BF8">
      <w:pPr>
        <w:jc w:val="center"/>
        <w:rPr>
          <w:lang w:val="pt-PT"/>
        </w:rPr>
      </w:pPr>
      <w:r w:rsidRPr="00292532">
        <w:rPr>
          <w:noProof/>
          <w:lang w:val="en-US"/>
        </w:rPr>
        <w:lastRenderedPageBreak/>
        <w:drawing>
          <wp:inline distT="0" distB="0" distL="0" distR="0" wp14:anchorId="4ABBF21B" wp14:editId="0E6DABEA">
            <wp:extent cx="4072255" cy="1997612"/>
            <wp:effectExtent l="0" t="0" r="4445" b="317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38897" cy="2030303"/>
                    </a:xfrm>
                    <a:prstGeom prst="rect">
                      <a:avLst/>
                    </a:prstGeom>
                    <a:noFill/>
                  </pic:spPr>
                </pic:pic>
              </a:graphicData>
            </a:graphic>
          </wp:inline>
        </w:drawing>
      </w:r>
    </w:p>
    <w:p w14:paraId="7C2CB9E2" w14:textId="17F1E192" w:rsidR="005A1BF8" w:rsidRPr="00292532" w:rsidRDefault="00D11ADC" w:rsidP="005A1BF8">
      <w:pPr>
        <w:jc w:val="center"/>
        <w:rPr>
          <w:lang w:val="pt-PT"/>
        </w:rPr>
      </w:pPr>
      <w:r w:rsidRPr="00292532">
        <w:rPr>
          <w:noProof/>
          <w:lang w:val="en-US"/>
        </w:rPr>
        <w:drawing>
          <wp:inline distT="0" distB="0" distL="0" distR="0" wp14:anchorId="469F63E9" wp14:editId="32C26A6A">
            <wp:extent cx="5737600" cy="2426677"/>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86072" cy="2447178"/>
                    </a:xfrm>
                    <a:prstGeom prst="rect">
                      <a:avLst/>
                    </a:prstGeom>
                    <a:noFill/>
                  </pic:spPr>
                </pic:pic>
              </a:graphicData>
            </a:graphic>
          </wp:inline>
        </w:drawing>
      </w:r>
    </w:p>
    <w:p w14:paraId="6ED6436F" w14:textId="70E7F68D" w:rsidR="008E1947" w:rsidRPr="00292532" w:rsidRDefault="00A74521" w:rsidP="004500AE">
      <w:pPr>
        <w:pStyle w:val="Caption"/>
      </w:pPr>
      <w:bookmarkStart w:id="281" w:name="_Ref78303367"/>
      <w:bookmarkStart w:id="282" w:name="_Toc80380244"/>
      <w:r w:rsidRPr="00292532">
        <w:t xml:space="preserve">Figura </w:t>
      </w:r>
      <w:r w:rsidRPr="00292532">
        <w:fldChar w:fldCharType="begin"/>
      </w:r>
      <w:r w:rsidRPr="00292532">
        <w:instrText xml:space="preserve"> SEQ Figura \* ARABIC </w:instrText>
      </w:r>
      <w:r w:rsidRPr="00292532">
        <w:fldChar w:fldCharType="separate"/>
      </w:r>
      <w:r w:rsidR="00DE4496">
        <w:rPr>
          <w:noProof/>
        </w:rPr>
        <w:t>21</w:t>
      </w:r>
      <w:r w:rsidRPr="00292532">
        <w:fldChar w:fldCharType="end"/>
      </w:r>
      <w:bookmarkEnd w:id="281"/>
      <w:r w:rsidRPr="00292532">
        <w:t xml:space="preserve">: Estrutura organizacional para </w:t>
      </w:r>
      <w:r w:rsidR="00292532" w:rsidRPr="00292532">
        <w:t>Gestão</w:t>
      </w:r>
      <w:r w:rsidRPr="00292532">
        <w:t xml:space="preserve"> de Riscos Ambientais e Social existente </w:t>
      </w:r>
      <w:r w:rsidR="00292532" w:rsidRPr="00292532">
        <w:t>vs.</w:t>
      </w:r>
      <w:r w:rsidRPr="00292532">
        <w:t xml:space="preserve"> Estrutura Proposta</w:t>
      </w:r>
      <w:bookmarkEnd w:id="282"/>
    </w:p>
    <w:p w14:paraId="172FF60A" w14:textId="7428192F" w:rsidR="00D11ADC" w:rsidRPr="00292532" w:rsidRDefault="00D11ADC" w:rsidP="00C31925">
      <w:pPr>
        <w:rPr>
          <w:lang w:val="pt-PT"/>
        </w:rPr>
      </w:pPr>
      <w:r w:rsidRPr="00292532">
        <w:rPr>
          <w:lang w:val="pt-PT"/>
        </w:rPr>
        <w:t>Não obstante a experi</w:t>
      </w:r>
      <w:r w:rsidR="00CD1C60" w:rsidRPr="00292532">
        <w:rPr>
          <w:lang w:val="pt-PT"/>
        </w:rPr>
        <w:t>ê</w:t>
      </w:r>
      <w:r w:rsidRPr="00292532">
        <w:rPr>
          <w:lang w:val="pt-PT"/>
        </w:rPr>
        <w:t xml:space="preserve">ncia comprovada das </w:t>
      </w:r>
      <w:proofErr w:type="spellStart"/>
      <w:r w:rsidRPr="00292532">
        <w:rPr>
          <w:lang w:val="pt-PT"/>
        </w:rPr>
        <w:t>UIPs</w:t>
      </w:r>
      <w:proofErr w:type="spellEnd"/>
      <w:r w:rsidRPr="00292532">
        <w:rPr>
          <w:lang w:val="pt-PT"/>
        </w:rPr>
        <w:t xml:space="preserve"> na implementação das salvaguardas ambientais e sociais em </w:t>
      </w:r>
      <w:proofErr w:type="spellStart"/>
      <w:r w:rsidRPr="00292532">
        <w:rPr>
          <w:lang w:val="pt-PT"/>
        </w:rPr>
        <w:t>Projectos</w:t>
      </w:r>
      <w:proofErr w:type="spellEnd"/>
      <w:r w:rsidRPr="00292532">
        <w:rPr>
          <w:lang w:val="pt-PT"/>
        </w:rPr>
        <w:t xml:space="preserve">, vale </w:t>
      </w:r>
      <w:r w:rsidR="00084D44" w:rsidRPr="00292532">
        <w:rPr>
          <w:lang w:val="pt-PT"/>
        </w:rPr>
        <w:t>realçar que</w:t>
      </w:r>
      <w:r w:rsidRPr="00292532">
        <w:rPr>
          <w:lang w:val="pt-PT"/>
        </w:rPr>
        <w:t xml:space="preserve"> os principais desafios estão relacionados com a implementação das </w:t>
      </w:r>
      <w:r w:rsidR="003F05CA">
        <w:rPr>
          <w:lang w:val="pt-PT"/>
        </w:rPr>
        <w:t>p</w:t>
      </w:r>
      <w:r w:rsidRPr="00292532">
        <w:rPr>
          <w:lang w:val="pt-PT"/>
        </w:rPr>
        <w:t>olíticas de salvaguardas ambientais e sociais do Banco Mundial e da legislação nacional pelos Empreiteiros (maioritariamente Chineses) e por alguns fiscais (estrangeiros).</w:t>
      </w:r>
    </w:p>
    <w:p w14:paraId="22F493CF" w14:textId="77777777" w:rsidR="00E16139" w:rsidRDefault="00D11ADC" w:rsidP="00C31925">
      <w:pPr>
        <w:rPr>
          <w:lang w:val="pt-PT"/>
        </w:rPr>
      </w:pPr>
      <w:r w:rsidRPr="00292532">
        <w:rPr>
          <w:lang w:val="pt-PT"/>
        </w:rPr>
        <w:t xml:space="preserve">É com vista a colmatar este desafio que se propõe um reforço das equipas das salvaguardas nas Províncias com visto a intensificar a monitoria e supervisão do cumprimento das medidas de mitigação e recomendações dos Planos e programas desenhados no âmbito do QGAS, QPR, PEPI e dos PGAS a serem futuramente elaborados para os subprojectos. O programa de treinamento a ser desenhado deverá abranger os empreiteiros e fiscais. Sendo que sobre este </w:t>
      </w:r>
      <w:proofErr w:type="gramStart"/>
      <w:r w:rsidRPr="00292532">
        <w:rPr>
          <w:lang w:val="pt-PT"/>
        </w:rPr>
        <w:t>ultimo</w:t>
      </w:r>
      <w:proofErr w:type="gramEnd"/>
      <w:r w:rsidRPr="00292532">
        <w:rPr>
          <w:lang w:val="pt-PT"/>
        </w:rPr>
        <w:t>,</w:t>
      </w:r>
      <w:r w:rsidR="00E16139">
        <w:rPr>
          <w:lang w:val="pt-PT"/>
        </w:rPr>
        <w:t xml:space="preserve"> em casos de subprojectos cuja triagem ambiental e social revelem o potencial de risco ambiental e substancial, propõe-se o seguinte reforço da equipa: </w:t>
      </w:r>
    </w:p>
    <w:p w14:paraId="29CCA028" w14:textId="23F05323" w:rsidR="00E16139" w:rsidRDefault="00E16139" w:rsidP="00E16139">
      <w:pPr>
        <w:pStyle w:val="ListParagraph"/>
        <w:numPr>
          <w:ilvl w:val="0"/>
          <w:numId w:val="261"/>
        </w:numPr>
        <w:rPr>
          <w:lang w:val="pt-PT"/>
        </w:rPr>
      </w:pPr>
      <w:r>
        <w:rPr>
          <w:lang w:val="pt-PT"/>
        </w:rPr>
        <w:t xml:space="preserve">Os empreiteiros responsáveis devem recrutar um Especialista Ambiental, um Especialista Social assim como um Especialista de Saúde e Segurança devidamente certificado e treinado de acordo com a noma ISO 45001:2018. Este terão a responsabilidade </w:t>
      </w:r>
      <w:proofErr w:type="spellStart"/>
      <w:r>
        <w:rPr>
          <w:lang w:val="pt-PT"/>
        </w:rPr>
        <w:t>the</w:t>
      </w:r>
      <w:proofErr w:type="spellEnd"/>
      <w:r>
        <w:rPr>
          <w:lang w:val="pt-PT"/>
        </w:rPr>
        <w:t xml:space="preserve"> preparar e implementar o Plano de Gestão Ambiental e Social e o Plano de Saúde e Segurança Ocupacional do empreiteiro.</w:t>
      </w:r>
    </w:p>
    <w:p w14:paraId="4A34DC92" w14:textId="6F9F6870" w:rsidR="00E16139" w:rsidRPr="0063557C" w:rsidRDefault="00E16139" w:rsidP="00941934">
      <w:pPr>
        <w:pStyle w:val="ListParagraph"/>
        <w:numPr>
          <w:ilvl w:val="0"/>
          <w:numId w:val="261"/>
        </w:numPr>
        <w:rPr>
          <w:lang w:val="pt-PT"/>
        </w:rPr>
      </w:pPr>
      <w:r>
        <w:rPr>
          <w:lang w:val="pt-PT"/>
        </w:rPr>
        <w:t xml:space="preserve">A equipa de supervisão de engenharia será responsável pelo controlo de qualidade e implementação adequada do </w:t>
      </w:r>
      <w:r w:rsidRPr="00E16139">
        <w:rPr>
          <w:lang w:val="pt-PT"/>
        </w:rPr>
        <w:t xml:space="preserve">Plano de Gestão Ambiental e Social e o Plano de Saúde e </w:t>
      </w:r>
      <w:r w:rsidRPr="00E16139">
        <w:rPr>
          <w:lang w:val="pt-PT"/>
        </w:rPr>
        <w:lastRenderedPageBreak/>
        <w:t>Segurança Ocupacional do empreiteiro</w:t>
      </w:r>
      <w:r>
        <w:rPr>
          <w:lang w:val="pt-PT"/>
        </w:rPr>
        <w:t xml:space="preserve">. Para tal, o responsável pela fiscalização dever recrutar uma equipa composta por </w:t>
      </w:r>
      <w:r w:rsidRPr="00E16139">
        <w:rPr>
          <w:lang w:val="pt-PT"/>
        </w:rPr>
        <w:t>m Especialista Ambiental, um Especialista Social assim como um Especialista de Saúde e Segurança</w:t>
      </w:r>
    </w:p>
    <w:p w14:paraId="5EE001FB" w14:textId="3F5202A4" w:rsidR="00D11ADC" w:rsidRPr="00292532" w:rsidRDefault="00E16139" w:rsidP="00C31925">
      <w:pPr>
        <w:rPr>
          <w:lang w:val="pt-PT"/>
        </w:rPr>
      </w:pPr>
      <w:r>
        <w:rPr>
          <w:lang w:val="pt-PT"/>
        </w:rPr>
        <w:t>A estrutura acima composta por um total de seis (6) especialistas por parte do empreiteiro e do fiscal deve estar baseada nos locais de construção, num regime de tempo integral durantes as horas de trabalho.</w:t>
      </w:r>
      <w:r w:rsidR="002E5557">
        <w:rPr>
          <w:lang w:val="pt-PT"/>
        </w:rPr>
        <w:t xml:space="preserve"> Os requisitos </w:t>
      </w:r>
      <w:r w:rsidR="00D11ADC" w:rsidRPr="00292532">
        <w:rPr>
          <w:lang w:val="pt-PT"/>
        </w:rPr>
        <w:t xml:space="preserve">e Termos de </w:t>
      </w:r>
      <w:r w:rsidR="00CD1C60" w:rsidRPr="00292532">
        <w:rPr>
          <w:lang w:val="pt-PT"/>
        </w:rPr>
        <w:t>Referência</w:t>
      </w:r>
      <w:r w:rsidR="00D11ADC" w:rsidRPr="00292532">
        <w:rPr>
          <w:lang w:val="pt-PT"/>
        </w:rPr>
        <w:t xml:space="preserve"> </w:t>
      </w:r>
      <w:r w:rsidR="002E5557">
        <w:rPr>
          <w:lang w:val="pt-PT"/>
        </w:rPr>
        <w:t>destes especialistas</w:t>
      </w:r>
      <w:r w:rsidR="00D11ADC" w:rsidRPr="00292532">
        <w:rPr>
          <w:lang w:val="pt-PT"/>
        </w:rPr>
        <w:t xml:space="preserve"> serão enquadrados nos documentos de concurso para a contratação das empresas responsáveis pela</w:t>
      </w:r>
      <w:r w:rsidR="002E5557">
        <w:rPr>
          <w:lang w:val="pt-PT"/>
        </w:rPr>
        <w:t xml:space="preserve"> empreitada e pela</w:t>
      </w:r>
      <w:r w:rsidR="00D11ADC" w:rsidRPr="00292532">
        <w:rPr>
          <w:lang w:val="pt-PT"/>
        </w:rPr>
        <w:t xml:space="preserve"> fiscalização.</w:t>
      </w:r>
    </w:p>
    <w:p w14:paraId="1D4F6639" w14:textId="71F12F57" w:rsidR="00C31925" w:rsidRPr="00292532" w:rsidRDefault="00C31925" w:rsidP="00C31925">
      <w:pPr>
        <w:rPr>
          <w:lang w:val="pt-PT"/>
        </w:rPr>
      </w:pPr>
      <w:r w:rsidRPr="00292532">
        <w:rPr>
          <w:lang w:val="pt-PT"/>
        </w:rPr>
        <w:t xml:space="preserve">Relativamente as necessidades de capacitação, espera-se que a maior necessidade de capacitação em salvaguardas esteja a nível local, nas </w:t>
      </w:r>
      <w:proofErr w:type="spellStart"/>
      <w:r w:rsidRPr="00292532">
        <w:rPr>
          <w:lang w:val="pt-PT"/>
        </w:rPr>
        <w:t>UTPs</w:t>
      </w:r>
      <w:proofErr w:type="spellEnd"/>
      <w:r w:rsidRPr="00292532">
        <w:rPr>
          <w:lang w:val="pt-PT"/>
        </w:rPr>
        <w:t xml:space="preserve"> das </w:t>
      </w:r>
      <w:proofErr w:type="spellStart"/>
      <w:r w:rsidRPr="00292532">
        <w:rPr>
          <w:lang w:val="pt-PT"/>
        </w:rPr>
        <w:t>DPOPs</w:t>
      </w:r>
      <w:proofErr w:type="spellEnd"/>
      <w:r w:rsidRPr="00292532">
        <w:rPr>
          <w:lang w:val="pt-PT"/>
        </w:rPr>
        <w:t>, os Serviços Provinciais de Ambiente</w:t>
      </w:r>
      <w:r w:rsidR="00D11ADC" w:rsidRPr="00292532">
        <w:rPr>
          <w:lang w:val="pt-PT"/>
        </w:rPr>
        <w:t xml:space="preserve"> e por outro lado, dos fiscais e empreiteiros</w:t>
      </w:r>
      <w:r w:rsidRPr="00292532">
        <w:rPr>
          <w:lang w:val="pt-PT"/>
        </w:rPr>
        <w:t xml:space="preserve">. Espera-se que uma parte do </w:t>
      </w:r>
      <w:r w:rsidR="0005701F" w:rsidRPr="00292532">
        <w:rPr>
          <w:lang w:val="pt-PT"/>
        </w:rPr>
        <w:t>pessoal</w:t>
      </w:r>
      <w:r w:rsidRPr="00292532">
        <w:rPr>
          <w:lang w:val="pt-PT"/>
        </w:rPr>
        <w:t xml:space="preserve"> a ser envolvido no </w:t>
      </w:r>
      <w:proofErr w:type="spellStart"/>
      <w:r w:rsidRPr="00292532">
        <w:rPr>
          <w:lang w:val="pt-PT"/>
        </w:rPr>
        <w:t>Projecto</w:t>
      </w:r>
      <w:proofErr w:type="spellEnd"/>
      <w:r w:rsidRPr="00292532">
        <w:rPr>
          <w:lang w:val="pt-PT"/>
        </w:rPr>
        <w:t xml:space="preserve">, tenha já adquirido experiência na implementação de </w:t>
      </w:r>
      <w:proofErr w:type="spellStart"/>
      <w:r w:rsidRPr="00292532">
        <w:rPr>
          <w:lang w:val="pt-PT"/>
        </w:rPr>
        <w:t>Projectos</w:t>
      </w:r>
      <w:proofErr w:type="spellEnd"/>
      <w:r w:rsidRPr="00292532">
        <w:rPr>
          <w:lang w:val="pt-PT"/>
        </w:rPr>
        <w:t xml:space="preserve"> com requisitos de conformidade com as Normas Ambientais e Sociais e </w:t>
      </w:r>
      <w:proofErr w:type="spellStart"/>
      <w:r w:rsidRPr="00292532">
        <w:rPr>
          <w:lang w:val="pt-PT"/>
        </w:rPr>
        <w:t>Directrizes</w:t>
      </w:r>
      <w:proofErr w:type="spellEnd"/>
      <w:r w:rsidRPr="00292532">
        <w:rPr>
          <w:lang w:val="pt-PT"/>
        </w:rPr>
        <w:t xml:space="preserve"> do Banco. Contudo, é recomendável, que sejam organizados workshops e treinamento com a participação das equipadas das Salvaguardas das </w:t>
      </w:r>
      <w:proofErr w:type="spellStart"/>
      <w:r w:rsidRPr="00292532">
        <w:rPr>
          <w:lang w:val="pt-PT"/>
        </w:rPr>
        <w:t>UTPs</w:t>
      </w:r>
      <w:proofErr w:type="spellEnd"/>
      <w:r w:rsidRPr="00292532">
        <w:rPr>
          <w:lang w:val="pt-PT"/>
        </w:rPr>
        <w:t xml:space="preserve"> das </w:t>
      </w:r>
      <w:proofErr w:type="spellStart"/>
      <w:r w:rsidRPr="00292532">
        <w:rPr>
          <w:lang w:val="pt-PT"/>
        </w:rPr>
        <w:t>DPOPs</w:t>
      </w:r>
      <w:proofErr w:type="spellEnd"/>
      <w:r w:rsidRPr="00292532">
        <w:rPr>
          <w:lang w:val="pt-PT"/>
        </w:rPr>
        <w:t>, empreiteiros,</w:t>
      </w:r>
      <w:r w:rsidR="00D11ADC" w:rsidRPr="00292532">
        <w:rPr>
          <w:lang w:val="pt-PT"/>
        </w:rPr>
        <w:t xml:space="preserve"> fiscais,</w:t>
      </w:r>
      <w:r w:rsidRPr="00292532">
        <w:rPr>
          <w:lang w:val="pt-PT"/>
        </w:rPr>
        <w:t xml:space="preserve"> o MTA e </w:t>
      </w:r>
      <w:proofErr w:type="spellStart"/>
      <w:r w:rsidRPr="00292532">
        <w:rPr>
          <w:lang w:val="pt-PT"/>
        </w:rPr>
        <w:t>SPA</w:t>
      </w:r>
      <w:r w:rsidR="0005701F" w:rsidRPr="00292532">
        <w:rPr>
          <w:lang w:val="pt-PT"/>
        </w:rPr>
        <w:t>s</w:t>
      </w:r>
      <w:proofErr w:type="spellEnd"/>
      <w:r w:rsidRPr="00292532">
        <w:rPr>
          <w:lang w:val="pt-PT"/>
        </w:rPr>
        <w:t>. Dada a sua experiência</w:t>
      </w:r>
      <w:r w:rsidR="00D11ADC" w:rsidRPr="00292532">
        <w:rPr>
          <w:lang w:val="pt-PT"/>
        </w:rPr>
        <w:t xml:space="preserve"> no PSU</w:t>
      </w:r>
      <w:r w:rsidRPr="00292532">
        <w:rPr>
          <w:lang w:val="pt-PT"/>
        </w:rPr>
        <w:t>, espera-se que os Especialistas de Salvaguardas da</w:t>
      </w:r>
      <w:r w:rsidR="00AF1EA4" w:rsidRPr="00292532">
        <w:rPr>
          <w:lang w:val="pt-PT"/>
        </w:rPr>
        <w:t>s</w:t>
      </w:r>
      <w:r w:rsidRPr="00292532">
        <w:rPr>
          <w:lang w:val="pt-PT"/>
        </w:rPr>
        <w:t xml:space="preserve"> U</w:t>
      </w:r>
      <w:r w:rsidR="00AF1EA4" w:rsidRPr="00292532">
        <w:rPr>
          <w:lang w:val="pt-PT"/>
        </w:rPr>
        <w:t>I</w:t>
      </w:r>
      <w:r w:rsidRPr="00292532">
        <w:rPr>
          <w:lang w:val="pt-PT"/>
        </w:rPr>
        <w:t>P/</w:t>
      </w:r>
      <w:r w:rsidR="00D11ADC" w:rsidRPr="00292532">
        <w:rPr>
          <w:lang w:val="pt-PT"/>
        </w:rPr>
        <w:t xml:space="preserve">AIAS </w:t>
      </w:r>
      <w:r w:rsidRPr="00292532">
        <w:rPr>
          <w:lang w:val="pt-PT"/>
        </w:rPr>
        <w:t xml:space="preserve">apoiem no treinamento e transferência de conhecimento para o Especialistas das Salvaguardas </w:t>
      </w:r>
      <w:r w:rsidR="00D11ADC" w:rsidRPr="00292532">
        <w:rPr>
          <w:lang w:val="pt-PT"/>
        </w:rPr>
        <w:t>a ser contractado para a UIP</w:t>
      </w:r>
      <w:r w:rsidR="00D11ADC" w:rsidRPr="004500AE">
        <w:rPr>
          <w:lang w:val="pt-PT"/>
        </w:rPr>
        <w:t xml:space="preserve">/DNAAS e </w:t>
      </w:r>
      <w:r w:rsidR="00D11ADC" w:rsidRPr="00292532">
        <w:rPr>
          <w:lang w:val="pt-PT"/>
        </w:rPr>
        <w:t xml:space="preserve">para os técnicos de salvaguardas </w:t>
      </w:r>
      <w:r w:rsidRPr="00292532">
        <w:rPr>
          <w:lang w:val="pt-PT"/>
        </w:rPr>
        <w:t xml:space="preserve">nas </w:t>
      </w:r>
      <w:proofErr w:type="spellStart"/>
      <w:r w:rsidRPr="00292532">
        <w:rPr>
          <w:lang w:val="pt-PT"/>
        </w:rPr>
        <w:t>UTP</w:t>
      </w:r>
      <w:r w:rsidR="00D11ADC" w:rsidRPr="00292532">
        <w:rPr>
          <w:lang w:val="pt-PT"/>
        </w:rPr>
        <w:t>s</w:t>
      </w:r>
      <w:proofErr w:type="spellEnd"/>
      <w:r w:rsidRPr="00292532">
        <w:rPr>
          <w:lang w:val="pt-PT"/>
        </w:rPr>
        <w:t xml:space="preserve"> das </w:t>
      </w:r>
      <w:proofErr w:type="spellStart"/>
      <w:r w:rsidRPr="00292532">
        <w:rPr>
          <w:lang w:val="pt-PT"/>
        </w:rPr>
        <w:t>DPOPs</w:t>
      </w:r>
      <w:proofErr w:type="spellEnd"/>
      <w:r w:rsidRPr="00292532">
        <w:rPr>
          <w:lang w:val="pt-PT"/>
        </w:rPr>
        <w:t xml:space="preserve">. Estas </w:t>
      </w:r>
      <w:proofErr w:type="spellStart"/>
      <w:r w:rsidRPr="00292532">
        <w:rPr>
          <w:lang w:val="pt-PT"/>
        </w:rPr>
        <w:t>acções</w:t>
      </w:r>
      <w:proofErr w:type="spellEnd"/>
      <w:r w:rsidRPr="00292532">
        <w:rPr>
          <w:lang w:val="pt-PT"/>
        </w:rPr>
        <w:t xml:space="preserve"> de treinamento e de capacitação servirão para melhorar a compreensão das políticas de salvaguardas do Banco Mundial por parte de todos intervenientes envolvidos na implementação do </w:t>
      </w:r>
      <w:proofErr w:type="spellStart"/>
      <w:r w:rsidRPr="00292532">
        <w:rPr>
          <w:lang w:val="pt-PT"/>
        </w:rPr>
        <w:t>Projecto</w:t>
      </w:r>
      <w:proofErr w:type="spellEnd"/>
      <w:r w:rsidRPr="00292532">
        <w:rPr>
          <w:lang w:val="pt-PT"/>
        </w:rPr>
        <w:t>. Especial foco será dado ao processo de triagem ambiental e social, monitorização, supervisão e elaboração de relatórios.</w:t>
      </w:r>
    </w:p>
    <w:p w14:paraId="2D89F9DC" w14:textId="0E40B3D5" w:rsidR="001F1C4E" w:rsidRPr="00292532" w:rsidRDefault="001F1C4E" w:rsidP="00C31925">
      <w:pPr>
        <w:rPr>
          <w:lang w:val="pt-PT"/>
        </w:rPr>
      </w:pPr>
      <w:r w:rsidRPr="00292532">
        <w:rPr>
          <w:lang w:val="pt-PT"/>
        </w:rPr>
        <w:t xml:space="preserve">O QGAS propõe a implementação de um Sistema de Gestão Ambiental Social - </w:t>
      </w:r>
      <w:r w:rsidR="00084D44" w:rsidRPr="00292532">
        <w:rPr>
          <w:lang w:val="pt-PT"/>
        </w:rPr>
        <w:t>SGAS (ver</w:t>
      </w:r>
      <w:r w:rsidRPr="00292532">
        <w:rPr>
          <w:lang w:val="pt-PT"/>
        </w:rPr>
        <w:t xml:space="preserve"> Capítulo 7). </w:t>
      </w:r>
      <w:r w:rsidR="0023579E" w:rsidRPr="00292532">
        <w:rPr>
          <w:lang w:val="pt-PT"/>
        </w:rPr>
        <w:t xml:space="preserve">Consta que será a </w:t>
      </w:r>
      <w:r w:rsidRPr="00292532">
        <w:rPr>
          <w:lang w:val="pt-PT"/>
        </w:rPr>
        <w:t xml:space="preserve">primeira vez que as instituições onde serão baseadas as </w:t>
      </w:r>
      <w:proofErr w:type="spellStart"/>
      <w:r w:rsidRPr="00292532">
        <w:rPr>
          <w:lang w:val="pt-PT"/>
        </w:rPr>
        <w:t>UIPs</w:t>
      </w:r>
      <w:proofErr w:type="spellEnd"/>
      <w:r w:rsidRPr="00292532">
        <w:rPr>
          <w:lang w:val="pt-PT"/>
        </w:rPr>
        <w:t xml:space="preserve"> implementarão um SGAS, </w:t>
      </w:r>
      <w:proofErr w:type="gramStart"/>
      <w:r w:rsidRPr="00292532">
        <w:rPr>
          <w:lang w:val="pt-PT"/>
        </w:rPr>
        <w:t>e</w:t>
      </w:r>
      <w:proofErr w:type="gramEnd"/>
      <w:r w:rsidRPr="00292532">
        <w:rPr>
          <w:lang w:val="pt-PT"/>
        </w:rPr>
        <w:t xml:space="preserve"> portanto, será fundamental, o treinamento da equipa de Salvaguardas das </w:t>
      </w:r>
      <w:proofErr w:type="spellStart"/>
      <w:r w:rsidRPr="00292532">
        <w:rPr>
          <w:lang w:val="pt-PT"/>
        </w:rPr>
        <w:t>UIPs</w:t>
      </w:r>
      <w:proofErr w:type="spellEnd"/>
      <w:r w:rsidRPr="00292532">
        <w:rPr>
          <w:lang w:val="pt-PT"/>
        </w:rPr>
        <w:t xml:space="preserve"> na gestão de um SGAS assim como deverão ser envolvidos, mediante a sua relevância, outros membros das equipas da </w:t>
      </w:r>
      <w:proofErr w:type="spellStart"/>
      <w:r w:rsidRPr="00292532">
        <w:rPr>
          <w:lang w:val="pt-PT"/>
        </w:rPr>
        <w:t>UIPs</w:t>
      </w:r>
      <w:proofErr w:type="spellEnd"/>
      <w:r w:rsidRPr="00292532">
        <w:rPr>
          <w:lang w:val="pt-PT"/>
        </w:rPr>
        <w:t xml:space="preserve"> neste treinamento (p.e.  </w:t>
      </w:r>
      <w:r w:rsidR="00292532" w:rsidRPr="00292532">
        <w:rPr>
          <w:lang w:val="pt-PT"/>
        </w:rPr>
        <w:t>Coordenador</w:t>
      </w:r>
      <w:r w:rsidR="008E1947" w:rsidRPr="00292532">
        <w:rPr>
          <w:lang w:val="pt-PT"/>
        </w:rPr>
        <w:t xml:space="preserve"> do </w:t>
      </w:r>
      <w:proofErr w:type="spellStart"/>
      <w:r w:rsidR="008E1947" w:rsidRPr="00292532">
        <w:rPr>
          <w:lang w:val="pt-PT"/>
        </w:rPr>
        <w:t>Projecto</w:t>
      </w:r>
      <w:proofErr w:type="spellEnd"/>
      <w:r w:rsidR="008E1947" w:rsidRPr="00292532">
        <w:rPr>
          <w:lang w:val="pt-PT"/>
        </w:rPr>
        <w:t>, Especialista em Monitoria e Avaliação). A equipa a ser treinada será identificada pelo Consultor a ser engajado para desenvolver o sistema e providenciar treinamento em SGAS.</w:t>
      </w:r>
    </w:p>
    <w:p w14:paraId="3C758D07" w14:textId="57B59107" w:rsidR="002A1C98" w:rsidRPr="00292532" w:rsidRDefault="00CD1C60" w:rsidP="00C31925">
      <w:pPr>
        <w:rPr>
          <w:lang w:val="pt-PT"/>
        </w:rPr>
      </w:pPr>
      <w:r w:rsidRPr="00292532">
        <w:rPr>
          <w:lang w:val="pt-PT"/>
        </w:rPr>
        <w:t xml:space="preserve">Recomenda-se que seja a avaliada nas fases seguintes pelo Mutuário, a necessidade de inclusão de um Especialista em Salvaguardas Ambientais e Sociais </w:t>
      </w:r>
      <w:r w:rsidR="002E5557">
        <w:rPr>
          <w:lang w:val="pt-PT"/>
        </w:rPr>
        <w:t xml:space="preserve">e um Especialista de Saúde e Segurança </w:t>
      </w:r>
      <w:r w:rsidRPr="00292532">
        <w:rPr>
          <w:lang w:val="pt-PT"/>
        </w:rPr>
        <w:t xml:space="preserve">que fará parte da equipa de assistência técnica ao </w:t>
      </w:r>
      <w:proofErr w:type="spellStart"/>
      <w:r w:rsidRPr="00292532">
        <w:rPr>
          <w:lang w:val="pt-PT"/>
        </w:rPr>
        <w:t>Projecto</w:t>
      </w:r>
      <w:proofErr w:type="spellEnd"/>
      <w:r w:rsidRPr="00292532">
        <w:rPr>
          <w:lang w:val="pt-PT"/>
        </w:rPr>
        <w:t xml:space="preserve">. Este especialista apoiará as equipas da salvaguardas das </w:t>
      </w:r>
      <w:proofErr w:type="spellStart"/>
      <w:r w:rsidRPr="00292532">
        <w:rPr>
          <w:lang w:val="pt-PT"/>
        </w:rPr>
        <w:t>UIPs</w:t>
      </w:r>
      <w:proofErr w:type="spellEnd"/>
      <w:r w:rsidRPr="00292532">
        <w:rPr>
          <w:lang w:val="pt-PT"/>
        </w:rPr>
        <w:t xml:space="preserve"> na revisão dos documentos a serem produzidos por consultores, revisão dos </w:t>
      </w:r>
      <w:proofErr w:type="spellStart"/>
      <w:r w:rsidRPr="00292532">
        <w:rPr>
          <w:lang w:val="pt-PT"/>
        </w:rPr>
        <w:t>TdR</w:t>
      </w:r>
      <w:proofErr w:type="spellEnd"/>
      <w:r w:rsidRPr="00292532">
        <w:rPr>
          <w:lang w:val="pt-PT"/>
        </w:rPr>
        <w:t xml:space="preserve"> dos consultores, definição dos requisitos de Ambiente, Saúde e Segurança para as contractadas na fase de desenho dos documentos de concurso, revisão dos relatórios de desempenho ambiental e social, revisão dos procedimentos e planos desenvolvidos pelas contractadas, providenciar treinamento na implementação dos requisitos do QGAS, QPR, PEPI e futuros PGAS. </w:t>
      </w:r>
    </w:p>
    <w:p w14:paraId="0FF7354B" w14:textId="77777777" w:rsidR="00CD1C60" w:rsidRPr="00292532" w:rsidRDefault="00CD1C60" w:rsidP="00C31925">
      <w:pPr>
        <w:rPr>
          <w:lang w:val="pt-PT"/>
        </w:rPr>
      </w:pPr>
    </w:p>
    <w:p w14:paraId="2904C310" w14:textId="77777777" w:rsidR="002A1C98" w:rsidRPr="00292532" w:rsidRDefault="002A1C98" w:rsidP="00C31925">
      <w:pPr>
        <w:rPr>
          <w:lang w:val="pt-PT"/>
        </w:rPr>
      </w:pPr>
    </w:p>
    <w:p w14:paraId="277C1B95" w14:textId="77777777" w:rsidR="00C31925" w:rsidRPr="00292532" w:rsidRDefault="00C31925" w:rsidP="00C31925">
      <w:pPr>
        <w:rPr>
          <w:lang w:val="pt-PT" w:eastAsia="ja-JP"/>
        </w:rPr>
      </w:pPr>
      <w:r w:rsidRPr="00292532">
        <w:rPr>
          <w:lang w:val="pt-PT" w:eastAsia="ja-JP"/>
        </w:rPr>
        <w:br w:type="page"/>
      </w:r>
    </w:p>
    <w:p w14:paraId="66285C86" w14:textId="7F0DE904" w:rsidR="004025CD" w:rsidRDefault="004025CD" w:rsidP="004025CD">
      <w:pPr>
        <w:pStyle w:val="Heading1"/>
        <w:rPr>
          <w:lang w:val="pt-PT" w:eastAsia="ja-JP"/>
        </w:rPr>
      </w:pPr>
      <w:bookmarkStart w:id="283" w:name="_Toc80379994"/>
      <w:proofErr w:type="spellStart"/>
      <w:r w:rsidRPr="00292532">
        <w:rPr>
          <w:lang w:val="pt-PT" w:eastAsia="ja-JP"/>
        </w:rPr>
        <w:lastRenderedPageBreak/>
        <w:t>Directrizes</w:t>
      </w:r>
      <w:proofErr w:type="spellEnd"/>
      <w:r w:rsidRPr="00292532">
        <w:rPr>
          <w:lang w:val="pt-PT" w:eastAsia="ja-JP"/>
        </w:rPr>
        <w:t xml:space="preserve"> para a Preparação, Instrução, Aprovação e Acompanhamento do </w:t>
      </w:r>
      <w:proofErr w:type="spellStart"/>
      <w:r w:rsidRPr="00292532">
        <w:rPr>
          <w:lang w:val="pt-PT" w:eastAsia="ja-JP"/>
        </w:rPr>
        <w:t>Projecto</w:t>
      </w:r>
      <w:bookmarkEnd w:id="283"/>
      <w:proofErr w:type="spellEnd"/>
    </w:p>
    <w:p w14:paraId="53B13464" w14:textId="77777777" w:rsidR="00CE357C" w:rsidRPr="00F83E37" w:rsidRDefault="00CE357C" w:rsidP="00941934">
      <w:pPr>
        <w:rPr>
          <w:lang w:val="pt-PT" w:eastAsia="ja-JP"/>
        </w:rPr>
      </w:pPr>
    </w:p>
    <w:p w14:paraId="20CC232A" w14:textId="7117CBDC" w:rsidR="00CE357C" w:rsidRDefault="00CD05E8" w:rsidP="004025CD">
      <w:pPr>
        <w:pStyle w:val="Heading2"/>
      </w:pPr>
      <w:bookmarkStart w:id="284" w:name="_Toc80379698"/>
      <w:bookmarkStart w:id="285" w:name="_Toc80379995"/>
      <w:bookmarkStart w:id="286" w:name="_Toc80379699"/>
      <w:bookmarkStart w:id="287" w:name="_Toc80379996"/>
      <w:bookmarkStart w:id="288" w:name="_Toc80379700"/>
      <w:bookmarkStart w:id="289" w:name="_Toc80379997"/>
      <w:bookmarkStart w:id="290" w:name="_Toc80379701"/>
      <w:bookmarkStart w:id="291" w:name="_Toc80379998"/>
      <w:bookmarkStart w:id="292" w:name="_Toc80379702"/>
      <w:bookmarkStart w:id="293" w:name="_Toc80379999"/>
      <w:bookmarkStart w:id="294" w:name="_Toc80379703"/>
      <w:bookmarkStart w:id="295" w:name="_Toc80380000"/>
      <w:bookmarkStart w:id="296" w:name="_Toc80379704"/>
      <w:bookmarkStart w:id="297" w:name="_Toc80380001"/>
      <w:bookmarkStart w:id="298" w:name="_Toc80379705"/>
      <w:bookmarkStart w:id="299" w:name="_Toc80380002"/>
      <w:bookmarkStart w:id="300" w:name="_Toc80379706"/>
      <w:bookmarkStart w:id="301" w:name="_Toc80380003"/>
      <w:bookmarkStart w:id="302" w:name="_Toc80379707"/>
      <w:bookmarkStart w:id="303" w:name="_Toc80380004"/>
      <w:bookmarkStart w:id="304" w:name="_Toc80379708"/>
      <w:bookmarkStart w:id="305" w:name="_Toc80380005"/>
      <w:bookmarkStart w:id="306" w:name="_Toc80379709"/>
      <w:bookmarkStart w:id="307" w:name="_Toc80380006"/>
      <w:bookmarkStart w:id="308" w:name="_Toc80379710"/>
      <w:bookmarkStart w:id="309" w:name="_Toc80380007"/>
      <w:bookmarkStart w:id="310" w:name="_Toc80379711"/>
      <w:bookmarkStart w:id="311" w:name="_Toc80380008"/>
      <w:bookmarkStart w:id="312" w:name="_Toc80379712"/>
      <w:bookmarkStart w:id="313" w:name="_Toc80380009"/>
      <w:bookmarkStart w:id="314" w:name="_Toc80379713"/>
      <w:bookmarkStart w:id="315" w:name="_Toc80380010"/>
      <w:bookmarkStart w:id="316" w:name="_Toc80379714"/>
      <w:bookmarkStart w:id="317" w:name="_Toc80380011"/>
      <w:bookmarkStart w:id="318" w:name="_Toc80379715"/>
      <w:bookmarkStart w:id="319" w:name="_Toc80380012"/>
      <w:bookmarkStart w:id="320" w:name="_Toc80379716"/>
      <w:bookmarkStart w:id="321" w:name="_Toc80380013"/>
      <w:bookmarkStart w:id="322" w:name="_Toc80379717"/>
      <w:bookmarkStart w:id="323" w:name="_Toc80380014"/>
      <w:bookmarkStart w:id="324" w:name="_Toc80379718"/>
      <w:bookmarkStart w:id="325" w:name="_Toc80380015"/>
      <w:bookmarkStart w:id="326" w:name="_Toc80379719"/>
      <w:bookmarkStart w:id="327" w:name="_Toc80380016"/>
      <w:bookmarkStart w:id="328" w:name="_Toc80379720"/>
      <w:bookmarkStart w:id="329" w:name="_Toc80380017"/>
      <w:bookmarkStart w:id="330" w:name="_Toc80379721"/>
      <w:bookmarkStart w:id="331" w:name="_Toc80380018"/>
      <w:bookmarkStart w:id="332" w:name="_Toc80379722"/>
      <w:bookmarkStart w:id="333" w:name="_Toc80380019"/>
      <w:bookmarkStart w:id="334" w:name="_Toc80379723"/>
      <w:bookmarkStart w:id="335" w:name="_Toc80380020"/>
      <w:bookmarkStart w:id="336" w:name="_Toc80379724"/>
      <w:bookmarkStart w:id="337" w:name="_Toc80380021"/>
      <w:bookmarkStart w:id="338" w:name="_Toc80379725"/>
      <w:bookmarkStart w:id="339" w:name="_Toc80380022"/>
      <w:bookmarkStart w:id="340" w:name="_Toc80379726"/>
      <w:bookmarkStart w:id="341" w:name="_Toc80380023"/>
      <w:bookmarkStart w:id="342" w:name="_Toc80379727"/>
      <w:bookmarkStart w:id="343" w:name="_Toc80380024"/>
      <w:bookmarkStart w:id="344" w:name="_Toc80379728"/>
      <w:bookmarkStart w:id="345" w:name="_Toc80380025"/>
      <w:bookmarkStart w:id="346" w:name="_Toc80379729"/>
      <w:bookmarkStart w:id="347" w:name="_Toc80380026"/>
      <w:bookmarkStart w:id="348" w:name="_Toc80379730"/>
      <w:bookmarkStart w:id="349" w:name="_Toc80380027"/>
      <w:bookmarkStart w:id="350" w:name="_Toc80379731"/>
      <w:bookmarkStart w:id="351" w:name="_Toc80380028"/>
      <w:bookmarkStart w:id="352" w:name="_Toc80379732"/>
      <w:bookmarkStart w:id="353" w:name="_Toc80380029"/>
      <w:bookmarkStart w:id="354" w:name="_Toc80379733"/>
      <w:bookmarkStart w:id="355" w:name="_Toc80380030"/>
      <w:bookmarkStart w:id="356" w:name="_Toc80379734"/>
      <w:bookmarkStart w:id="357" w:name="_Toc80380031"/>
      <w:bookmarkStart w:id="358" w:name="_Toc80379735"/>
      <w:bookmarkStart w:id="359" w:name="_Toc80380032"/>
      <w:bookmarkStart w:id="360" w:name="_Toc80379736"/>
      <w:bookmarkStart w:id="361" w:name="_Toc80380033"/>
      <w:bookmarkStart w:id="362" w:name="_Toc80379737"/>
      <w:bookmarkStart w:id="363" w:name="_Toc80380034"/>
      <w:bookmarkStart w:id="364" w:name="_Toc80379738"/>
      <w:bookmarkStart w:id="365" w:name="_Toc80380035"/>
      <w:bookmarkStart w:id="366" w:name="_Toc80379739"/>
      <w:bookmarkStart w:id="367" w:name="_Toc80380036"/>
      <w:bookmarkStart w:id="368" w:name="_Toc80379740"/>
      <w:bookmarkStart w:id="369" w:name="_Toc80380037"/>
      <w:bookmarkStart w:id="370" w:name="_Toc80379741"/>
      <w:bookmarkStart w:id="371" w:name="_Toc80380038"/>
      <w:bookmarkStart w:id="372" w:name="_Toc80379742"/>
      <w:bookmarkStart w:id="373" w:name="_Toc80380039"/>
      <w:bookmarkStart w:id="374" w:name="_Toc80379743"/>
      <w:bookmarkStart w:id="375" w:name="_Toc80380040"/>
      <w:bookmarkStart w:id="376" w:name="_Toc80379744"/>
      <w:bookmarkStart w:id="377" w:name="_Toc80380041"/>
      <w:bookmarkStart w:id="378" w:name="_Toc80379745"/>
      <w:bookmarkStart w:id="379" w:name="_Toc80380042"/>
      <w:bookmarkStart w:id="380" w:name="_Toc80379746"/>
      <w:bookmarkStart w:id="381" w:name="_Toc80380043"/>
      <w:bookmarkStart w:id="382" w:name="_Toc80379747"/>
      <w:bookmarkStart w:id="383" w:name="_Toc80380044"/>
      <w:bookmarkStart w:id="384" w:name="_Toc80379748"/>
      <w:bookmarkStart w:id="385" w:name="_Toc80380045"/>
      <w:bookmarkStart w:id="386" w:name="_Toc80379749"/>
      <w:bookmarkStart w:id="387" w:name="_Toc80380046"/>
      <w:bookmarkStart w:id="388" w:name="_Toc80379750"/>
      <w:bookmarkStart w:id="389" w:name="_Toc80380047"/>
      <w:bookmarkStart w:id="390" w:name="_Toc80379751"/>
      <w:bookmarkStart w:id="391" w:name="_Toc80380048"/>
      <w:bookmarkStart w:id="392" w:name="_Toc80379752"/>
      <w:bookmarkStart w:id="393" w:name="_Toc80380049"/>
      <w:bookmarkStart w:id="394" w:name="_Toc80379753"/>
      <w:bookmarkStart w:id="395" w:name="_Toc80380050"/>
      <w:bookmarkStart w:id="396" w:name="_Toc80379754"/>
      <w:bookmarkStart w:id="397" w:name="_Toc80380051"/>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r w:rsidRPr="00F83E37">
        <w:t xml:space="preserve"> </w:t>
      </w:r>
      <w:bookmarkStart w:id="398" w:name="_Toc80379755"/>
      <w:bookmarkStart w:id="399" w:name="_Toc80380052"/>
      <w:bookmarkStart w:id="400" w:name="_Toc80379756"/>
      <w:bookmarkStart w:id="401" w:name="_Toc80380053"/>
      <w:bookmarkStart w:id="402" w:name="_Toc80379757"/>
      <w:bookmarkStart w:id="403" w:name="_Toc80380054"/>
      <w:bookmarkStart w:id="404" w:name="_Toc80379758"/>
      <w:bookmarkStart w:id="405" w:name="_Toc80380055"/>
      <w:bookmarkStart w:id="406" w:name="_Ref72426479"/>
      <w:bookmarkStart w:id="407" w:name="_Toc80380056"/>
      <w:bookmarkEnd w:id="398"/>
      <w:bookmarkEnd w:id="399"/>
      <w:bookmarkEnd w:id="400"/>
      <w:bookmarkEnd w:id="401"/>
      <w:bookmarkEnd w:id="402"/>
      <w:bookmarkEnd w:id="403"/>
      <w:bookmarkEnd w:id="404"/>
      <w:bookmarkEnd w:id="405"/>
      <w:r w:rsidR="004025CD" w:rsidRPr="00292532">
        <w:t xml:space="preserve">O Processo </w:t>
      </w:r>
      <w:bookmarkEnd w:id="406"/>
      <w:r w:rsidR="00CE357C">
        <w:t>de Triagem Ambiental e Social</w:t>
      </w:r>
      <w:bookmarkEnd w:id="407"/>
    </w:p>
    <w:p w14:paraId="6C37380B" w14:textId="342E6CC3" w:rsidR="00CE357C" w:rsidRPr="00292532" w:rsidRDefault="00CE357C" w:rsidP="00CE357C">
      <w:pPr>
        <w:rPr>
          <w:lang w:val="pt-PT"/>
        </w:rPr>
      </w:pPr>
      <w:r w:rsidRPr="00292532">
        <w:rPr>
          <w:lang w:val="pt-PT"/>
        </w:rPr>
        <w:t>A Triagem Ambiental e Social constitui o primeiro passo no processo de definição dos requisitos de Avaliação de Impacto Ambiental e Social.</w:t>
      </w:r>
      <w:r w:rsidR="004E44AB" w:rsidRPr="00941934">
        <w:rPr>
          <w:lang w:val="pt-PT"/>
        </w:rPr>
        <w:t xml:space="preserve"> </w:t>
      </w:r>
      <w:r w:rsidR="004E44AB" w:rsidRPr="004E44AB">
        <w:rPr>
          <w:lang w:val="pt-PT"/>
        </w:rPr>
        <w:t xml:space="preserve">O processo de triagem descrito nesta secção visa apoiar a determinação de </w:t>
      </w:r>
      <w:proofErr w:type="spellStart"/>
      <w:r w:rsidR="004E44AB" w:rsidRPr="004E44AB">
        <w:rPr>
          <w:lang w:val="pt-PT"/>
        </w:rPr>
        <w:t>actividades</w:t>
      </w:r>
      <w:proofErr w:type="spellEnd"/>
      <w:r w:rsidR="004E44AB" w:rsidRPr="004E44AB">
        <w:rPr>
          <w:lang w:val="pt-PT"/>
        </w:rPr>
        <w:t xml:space="preserve"> (subprojectos) </w:t>
      </w:r>
      <w:proofErr w:type="spellStart"/>
      <w:r w:rsidR="004E44AB" w:rsidRPr="004E44AB">
        <w:rPr>
          <w:lang w:val="pt-PT"/>
        </w:rPr>
        <w:t>susceptíveis</w:t>
      </w:r>
      <w:proofErr w:type="spellEnd"/>
      <w:r w:rsidR="004E44AB" w:rsidRPr="004E44AB">
        <w:rPr>
          <w:lang w:val="pt-PT"/>
        </w:rPr>
        <w:t xml:space="preserve"> de resultar em efeitos ambientais e sociais negativos significativos, com vista a determinar medidas de mitigação de impacto adequadas para essas atividades e garantir a sustentabilidade ambiental dos subprojectos realizados nas áreas do </w:t>
      </w:r>
      <w:proofErr w:type="spellStart"/>
      <w:r w:rsidR="004E44AB" w:rsidRPr="004E44AB">
        <w:rPr>
          <w:lang w:val="pt-PT"/>
        </w:rPr>
        <w:t>Projecto</w:t>
      </w:r>
      <w:proofErr w:type="spellEnd"/>
      <w:r w:rsidR="004E44AB" w:rsidRPr="004E44AB">
        <w:rPr>
          <w:lang w:val="pt-PT"/>
        </w:rPr>
        <w:t xml:space="preserve">, através do acompanhamento eficaz dos impactos durante a execução do </w:t>
      </w:r>
      <w:proofErr w:type="spellStart"/>
      <w:r w:rsidR="004E44AB" w:rsidRPr="004E44AB">
        <w:rPr>
          <w:lang w:val="pt-PT"/>
        </w:rPr>
        <w:t>Projecto</w:t>
      </w:r>
      <w:proofErr w:type="spellEnd"/>
      <w:r w:rsidR="004E44AB" w:rsidRPr="004E44AB">
        <w:rPr>
          <w:lang w:val="pt-PT"/>
        </w:rPr>
        <w:t xml:space="preserve">. </w:t>
      </w:r>
      <w:r w:rsidRPr="00292532">
        <w:rPr>
          <w:lang w:val="pt-PT"/>
        </w:rPr>
        <w:t xml:space="preserve">A responsabilidade do processo de triagem ambiental e social recairá sobre a equipa de Salvaguardas Ambiental alocado à cada Unidade de Implementação do </w:t>
      </w:r>
      <w:proofErr w:type="spellStart"/>
      <w:r w:rsidRPr="00292532">
        <w:rPr>
          <w:lang w:val="pt-PT"/>
        </w:rPr>
        <w:t>Projecto</w:t>
      </w:r>
      <w:proofErr w:type="spellEnd"/>
      <w:r w:rsidRPr="00292532">
        <w:rPr>
          <w:lang w:val="pt-PT"/>
        </w:rPr>
        <w:t xml:space="preserve"> (UIP). </w:t>
      </w:r>
    </w:p>
    <w:p w14:paraId="1D6DEE17" w14:textId="77777777" w:rsidR="00CE357C" w:rsidRPr="00292532" w:rsidRDefault="00CE357C" w:rsidP="00CE357C">
      <w:pPr>
        <w:rPr>
          <w:lang w:val="pt-PT"/>
        </w:rPr>
      </w:pPr>
      <w:r w:rsidRPr="00292532">
        <w:rPr>
          <w:lang w:val="pt-PT"/>
        </w:rPr>
        <w:t xml:space="preserve">O processo de Triagem Ambiental e Social culmina com a categorização do </w:t>
      </w:r>
      <w:proofErr w:type="spellStart"/>
      <w:r w:rsidRPr="00292532">
        <w:rPr>
          <w:lang w:val="pt-PT"/>
        </w:rPr>
        <w:t>Projecto</w:t>
      </w:r>
      <w:proofErr w:type="spellEnd"/>
      <w:r w:rsidRPr="00292532">
        <w:rPr>
          <w:lang w:val="pt-PT"/>
        </w:rPr>
        <w:t xml:space="preserve"> e definição dos Termos de Referência para os estudos ambientais subsequentes. </w:t>
      </w:r>
    </w:p>
    <w:p w14:paraId="086D105B" w14:textId="430C0794" w:rsidR="004E44AB" w:rsidRDefault="004E44AB" w:rsidP="00941934">
      <w:pPr>
        <w:pStyle w:val="Heading3"/>
      </w:pPr>
      <w:bookmarkStart w:id="408" w:name="_Toc80380057"/>
      <w:r>
        <w:t xml:space="preserve">Classificação do Risco Ambiental e Social do </w:t>
      </w:r>
      <w:proofErr w:type="spellStart"/>
      <w:r>
        <w:t>Projecto</w:t>
      </w:r>
      <w:bookmarkEnd w:id="408"/>
      <w:proofErr w:type="spellEnd"/>
    </w:p>
    <w:p w14:paraId="1D53B802" w14:textId="740F423D" w:rsidR="00CE357C" w:rsidRPr="00292532" w:rsidRDefault="00CE357C" w:rsidP="00CE357C">
      <w:pPr>
        <w:rPr>
          <w:lang w:val="pt-PT"/>
        </w:rPr>
      </w:pPr>
      <w:r w:rsidRPr="00292532">
        <w:rPr>
          <w:lang w:val="pt-PT"/>
        </w:rPr>
        <w:t xml:space="preserve">O Banco classifica os </w:t>
      </w:r>
      <w:proofErr w:type="spellStart"/>
      <w:r w:rsidRPr="00292532">
        <w:rPr>
          <w:lang w:val="pt-PT"/>
        </w:rPr>
        <w:t>projectos</w:t>
      </w:r>
      <w:proofErr w:type="spellEnd"/>
      <w:r w:rsidRPr="00292532">
        <w:rPr>
          <w:lang w:val="pt-PT"/>
        </w:rPr>
        <w:t xml:space="preserve"> mediante a magnitude dos seus potenciais riscos e impactos ambientais, sendo estas categorias as seguintes: Alto Risco, Risco Substancial, Risco Moderado e Baixo Risco. Estas categorias são descritas, abaixo:</w:t>
      </w:r>
    </w:p>
    <w:p w14:paraId="2FC6DB6D" w14:textId="77777777" w:rsidR="00CE357C" w:rsidRPr="00292532" w:rsidRDefault="00CE357C" w:rsidP="00CE357C">
      <w:pPr>
        <w:rPr>
          <w:lang w:val="pt-PT"/>
        </w:rPr>
      </w:pPr>
      <w:r w:rsidRPr="00292532">
        <w:rPr>
          <w:lang w:val="pt-PT"/>
        </w:rPr>
        <w:t>i.</w:t>
      </w:r>
      <w:r w:rsidRPr="00292532">
        <w:rPr>
          <w:lang w:val="pt-PT"/>
        </w:rPr>
        <w:tab/>
      </w:r>
      <w:r w:rsidRPr="00941934">
        <w:rPr>
          <w:b/>
          <w:bCs/>
          <w:lang w:val="pt-PT"/>
        </w:rPr>
        <w:t>Risco Ambiental e Social Alto</w:t>
      </w:r>
      <w:r w:rsidRPr="00292532">
        <w:rPr>
          <w:lang w:val="pt-PT"/>
        </w:rPr>
        <w:t xml:space="preserve"> – as operações, </w:t>
      </w:r>
      <w:proofErr w:type="spellStart"/>
      <w:r w:rsidRPr="00292532">
        <w:rPr>
          <w:lang w:val="pt-PT"/>
        </w:rPr>
        <w:t>projectos</w:t>
      </w:r>
      <w:proofErr w:type="spellEnd"/>
      <w:r w:rsidRPr="00292532">
        <w:rPr>
          <w:lang w:val="pt-PT"/>
        </w:rPr>
        <w:t xml:space="preserve"> ou </w:t>
      </w:r>
      <w:proofErr w:type="spellStart"/>
      <w:r w:rsidRPr="00292532">
        <w:rPr>
          <w:lang w:val="pt-PT"/>
        </w:rPr>
        <w:t>actividades</w:t>
      </w:r>
      <w:proofErr w:type="spellEnd"/>
      <w:r w:rsidRPr="00292532">
        <w:rPr>
          <w:lang w:val="pt-PT"/>
        </w:rPr>
        <w:t xml:space="preserve"> que tendem a gerar uma ampla gama de riscos e impactos adversos significativos para as populações humanas e o ambiente como consequência de sua grande escala, natureza perigosa e/ou da sensibilidade de sua localização, cujas medidas de mitigação de impactos possam não ser possíveis ou efetivas. </w:t>
      </w:r>
    </w:p>
    <w:p w14:paraId="7ADCAF00" w14:textId="77777777" w:rsidR="00CE357C" w:rsidRPr="00292532" w:rsidRDefault="00CE357C" w:rsidP="00CE357C">
      <w:pPr>
        <w:rPr>
          <w:lang w:val="pt-PT"/>
        </w:rPr>
      </w:pPr>
      <w:proofErr w:type="spellStart"/>
      <w:r w:rsidRPr="00292532">
        <w:rPr>
          <w:lang w:val="pt-PT"/>
        </w:rPr>
        <w:t>ii</w:t>
      </w:r>
      <w:proofErr w:type="spellEnd"/>
      <w:r w:rsidRPr="00292532">
        <w:rPr>
          <w:lang w:val="pt-PT"/>
        </w:rPr>
        <w:t>.</w:t>
      </w:r>
      <w:r w:rsidRPr="00292532">
        <w:rPr>
          <w:lang w:val="pt-PT"/>
        </w:rPr>
        <w:tab/>
      </w:r>
      <w:r w:rsidRPr="00941934">
        <w:rPr>
          <w:b/>
          <w:bCs/>
          <w:lang w:val="pt-PT"/>
        </w:rPr>
        <w:t>Risco Ambiental e Social Substancial –</w:t>
      </w:r>
      <w:r w:rsidRPr="00292532">
        <w:rPr>
          <w:lang w:val="pt-PT"/>
        </w:rPr>
        <w:t xml:space="preserve"> as operações, </w:t>
      </w:r>
      <w:proofErr w:type="spellStart"/>
      <w:r w:rsidRPr="00292532">
        <w:rPr>
          <w:lang w:val="pt-PT"/>
        </w:rPr>
        <w:t>projectos</w:t>
      </w:r>
      <w:proofErr w:type="spellEnd"/>
      <w:r w:rsidRPr="00292532">
        <w:rPr>
          <w:lang w:val="pt-PT"/>
        </w:rPr>
        <w:t xml:space="preserve"> ou </w:t>
      </w:r>
      <w:proofErr w:type="spellStart"/>
      <w:r w:rsidRPr="00292532">
        <w:rPr>
          <w:lang w:val="pt-PT"/>
        </w:rPr>
        <w:t>actividades</w:t>
      </w:r>
      <w:proofErr w:type="spellEnd"/>
      <w:r w:rsidRPr="00292532">
        <w:rPr>
          <w:lang w:val="pt-PT"/>
        </w:rPr>
        <w:t xml:space="preserve"> que sejam menos complexas, menores em escala ou menos sensíveis que as de alto risco, que possam ser preparadas e implementadas em ambientes onde a capacidade técnica e as tecnologias de mitigação disponíveis sejam elevadas e o marco regulatório sólido o bastante para assegurar que se podem evitar, minimizar, reduzir ou mitigar seus impactos adversos mais significativos.</w:t>
      </w:r>
    </w:p>
    <w:p w14:paraId="7F327AFF" w14:textId="77777777" w:rsidR="00CE357C" w:rsidRPr="00292532" w:rsidRDefault="00CE357C" w:rsidP="00CE357C">
      <w:pPr>
        <w:rPr>
          <w:lang w:val="pt-PT"/>
        </w:rPr>
      </w:pPr>
      <w:proofErr w:type="spellStart"/>
      <w:r w:rsidRPr="00292532">
        <w:rPr>
          <w:lang w:val="pt-PT"/>
        </w:rPr>
        <w:t>iii</w:t>
      </w:r>
      <w:proofErr w:type="spellEnd"/>
      <w:r w:rsidRPr="00292532">
        <w:rPr>
          <w:lang w:val="pt-PT"/>
        </w:rPr>
        <w:t>.</w:t>
      </w:r>
      <w:r w:rsidRPr="00292532">
        <w:rPr>
          <w:lang w:val="pt-PT"/>
        </w:rPr>
        <w:tab/>
      </w:r>
      <w:r w:rsidRPr="00941934">
        <w:rPr>
          <w:b/>
          <w:bCs/>
          <w:lang w:val="pt-PT"/>
        </w:rPr>
        <w:t>Risco Ambiental e Social Moderado</w:t>
      </w:r>
      <w:r w:rsidRPr="00292532">
        <w:rPr>
          <w:lang w:val="pt-PT"/>
        </w:rPr>
        <w:t xml:space="preserve"> – as operações, </w:t>
      </w:r>
      <w:proofErr w:type="spellStart"/>
      <w:r w:rsidRPr="00292532">
        <w:rPr>
          <w:lang w:val="pt-PT"/>
        </w:rPr>
        <w:t>projectos</w:t>
      </w:r>
      <w:proofErr w:type="spellEnd"/>
      <w:r w:rsidRPr="00292532">
        <w:rPr>
          <w:lang w:val="pt-PT"/>
        </w:rPr>
        <w:t xml:space="preserve"> ou </w:t>
      </w:r>
      <w:proofErr w:type="spellStart"/>
      <w:r w:rsidRPr="00292532">
        <w:rPr>
          <w:lang w:val="pt-PT"/>
        </w:rPr>
        <w:t>actividades</w:t>
      </w:r>
      <w:proofErr w:type="spellEnd"/>
      <w:r w:rsidRPr="00292532">
        <w:rPr>
          <w:lang w:val="pt-PT"/>
        </w:rPr>
        <w:t xml:space="preserve"> que ou (i) apresentam um potencial limitado de levarem a riscos e impactos ambientais e sociais adversos, ou (</w:t>
      </w:r>
      <w:proofErr w:type="spellStart"/>
      <w:r w:rsidRPr="00292532">
        <w:rPr>
          <w:lang w:val="pt-PT"/>
        </w:rPr>
        <w:t>ii</w:t>
      </w:r>
      <w:proofErr w:type="spellEnd"/>
      <w:r w:rsidRPr="00292532">
        <w:rPr>
          <w:lang w:val="pt-PT"/>
        </w:rPr>
        <w:t>) cujos impactos adversos são menores em número, geralmente restritos em sua área de influência, passíveis de serem revertidos por medidas de mitigação amplamente conhecidas ou (</w:t>
      </w:r>
      <w:proofErr w:type="spellStart"/>
      <w:r w:rsidRPr="00292532">
        <w:rPr>
          <w:lang w:val="pt-PT"/>
        </w:rPr>
        <w:t>iii</w:t>
      </w:r>
      <w:proofErr w:type="spellEnd"/>
      <w:r w:rsidRPr="00292532">
        <w:rPr>
          <w:lang w:val="pt-PT"/>
        </w:rPr>
        <w:t>) apresentam um número muito limitado de riscos e impactos ambientais e sociais adversos que sejam diversos, irreversíveis ou sem precedentes.</w:t>
      </w:r>
    </w:p>
    <w:p w14:paraId="4EA58D56" w14:textId="77777777" w:rsidR="00CE357C" w:rsidRPr="00292532" w:rsidRDefault="00CE357C" w:rsidP="00CE357C">
      <w:pPr>
        <w:rPr>
          <w:lang w:val="pt-PT"/>
        </w:rPr>
      </w:pPr>
      <w:proofErr w:type="spellStart"/>
      <w:r w:rsidRPr="00292532">
        <w:rPr>
          <w:lang w:val="pt-PT"/>
        </w:rPr>
        <w:t>iv</w:t>
      </w:r>
      <w:proofErr w:type="spellEnd"/>
      <w:r w:rsidRPr="00292532">
        <w:rPr>
          <w:lang w:val="pt-PT"/>
        </w:rPr>
        <w:t>.</w:t>
      </w:r>
      <w:r w:rsidRPr="00292532">
        <w:rPr>
          <w:lang w:val="pt-PT"/>
        </w:rPr>
        <w:tab/>
      </w:r>
      <w:r w:rsidRPr="00941934">
        <w:rPr>
          <w:b/>
          <w:bCs/>
          <w:lang w:val="pt-PT"/>
        </w:rPr>
        <w:t>Risco Ambiental e Social Baixo</w:t>
      </w:r>
      <w:r w:rsidRPr="00292532">
        <w:rPr>
          <w:lang w:val="pt-PT"/>
        </w:rPr>
        <w:t xml:space="preserve"> – as operações, </w:t>
      </w:r>
      <w:proofErr w:type="spellStart"/>
      <w:r w:rsidRPr="00292532">
        <w:rPr>
          <w:lang w:val="pt-PT"/>
        </w:rPr>
        <w:t>projectos</w:t>
      </w:r>
      <w:proofErr w:type="spellEnd"/>
      <w:r w:rsidRPr="00292532">
        <w:rPr>
          <w:lang w:val="pt-PT"/>
        </w:rPr>
        <w:t xml:space="preserve"> ou </w:t>
      </w:r>
      <w:proofErr w:type="spellStart"/>
      <w:r w:rsidRPr="00292532">
        <w:rPr>
          <w:lang w:val="pt-PT"/>
        </w:rPr>
        <w:t>actividades</w:t>
      </w:r>
      <w:proofErr w:type="spellEnd"/>
      <w:r w:rsidRPr="00292532">
        <w:rPr>
          <w:lang w:val="pt-PT"/>
        </w:rPr>
        <w:t xml:space="preserve"> que apresentam um potencial mínimo ou negligenciável de causarem riscos e impactos ambientais e sociais adversos.</w:t>
      </w:r>
    </w:p>
    <w:p w14:paraId="402BEA18" w14:textId="77777777" w:rsidR="00CE357C" w:rsidRPr="00292532" w:rsidRDefault="00CE357C" w:rsidP="00CE357C">
      <w:pPr>
        <w:rPr>
          <w:lang w:val="pt-PT"/>
        </w:rPr>
      </w:pPr>
      <w:r w:rsidRPr="00292532">
        <w:rPr>
          <w:lang w:val="pt-PT"/>
        </w:rPr>
        <w:lastRenderedPageBreak/>
        <w:t xml:space="preserve">Entretanto, para o presente </w:t>
      </w:r>
      <w:proofErr w:type="spellStart"/>
      <w:r w:rsidRPr="00292532">
        <w:rPr>
          <w:lang w:val="pt-PT"/>
        </w:rPr>
        <w:t>projecto</w:t>
      </w:r>
      <w:proofErr w:type="spellEnd"/>
      <w:r w:rsidRPr="00292532">
        <w:rPr>
          <w:lang w:val="pt-PT"/>
        </w:rPr>
        <w:t xml:space="preserve">, o banco realizou uma “avaliação de risco ambiental e social” preliminar e classificou o risco ambiental e social do </w:t>
      </w:r>
      <w:proofErr w:type="spellStart"/>
      <w:r w:rsidRPr="00292532">
        <w:rPr>
          <w:lang w:val="pt-PT"/>
        </w:rPr>
        <w:t>projecto</w:t>
      </w:r>
      <w:proofErr w:type="spellEnd"/>
      <w:r w:rsidRPr="00292532">
        <w:rPr>
          <w:lang w:val="pt-PT"/>
        </w:rPr>
        <w:t xml:space="preserve"> na fase da nota conceptual, como “</w:t>
      </w:r>
      <w:r w:rsidRPr="00292532">
        <w:rPr>
          <w:b/>
          <w:bCs/>
          <w:lang w:val="pt-PT"/>
        </w:rPr>
        <w:t>Substancial</w:t>
      </w:r>
      <w:r w:rsidRPr="00292532">
        <w:rPr>
          <w:lang w:val="pt-PT"/>
        </w:rPr>
        <w:t xml:space="preserve">”. As razões desta classificação incidem nos impactos potenciais esperados serem sensíveis, de magnitude moderada a elevada e no potencial do </w:t>
      </w:r>
      <w:proofErr w:type="spellStart"/>
      <w:r w:rsidRPr="00292532">
        <w:rPr>
          <w:lang w:val="pt-PT"/>
        </w:rPr>
        <w:t>Projecto</w:t>
      </w:r>
      <w:proofErr w:type="spellEnd"/>
      <w:r w:rsidRPr="00292532">
        <w:rPr>
          <w:lang w:val="pt-PT"/>
        </w:rPr>
        <w:t xml:space="preserve"> causar deslocamentos físicos ou económicos.  </w:t>
      </w:r>
    </w:p>
    <w:p w14:paraId="6FC069FE" w14:textId="5CD5B9AB" w:rsidR="00CE357C" w:rsidRPr="00292532" w:rsidRDefault="00CE357C" w:rsidP="00CE357C">
      <w:pPr>
        <w:rPr>
          <w:rFonts w:eastAsia="Times New Roman" w:cs="Calibri"/>
          <w:color w:val="000000"/>
          <w:lang w:val="pt-PT" w:eastAsia="en-GB"/>
        </w:rPr>
      </w:pPr>
      <w:r w:rsidRPr="00292532">
        <w:rPr>
          <w:rFonts w:eastAsia="Times New Roman" w:cs="Calibri"/>
          <w:color w:val="000000"/>
          <w:lang w:val="pt-PT" w:eastAsia="en-GB"/>
        </w:rPr>
        <w:t xml:space="preserve">Foi posteriormente feita uma análise aprofundada do risco ambiental e social do </w:t>
      </w:r>
      <w:proofErr w:type="spellStart"/>
      <w:r w:rsidRPr="00292532">
        <w:rPr>
          <w:rFonts w:eastAsia="Times New Roman" w:cs="Calibri"/>
          <w:color w:val="000000"/>
          <w:lang w:val="pt-PT" w:eastAsia="en-GB"/>
        </w:rPr>
        <w:t>Projecto</w:t>
      </w:r>
      <w:proofErr w:type="spellEnd"/>
      <w:r w:rsidRPr="00292532">
        <w:rPr>
          <w:rFonts w:eastAsia="Times New Roman" w:cs="Calibri"/>
          <w:color w:val="000000"/>
          <w:lang w:val="pt-PT" w:eastAsia="en-GB"/>
        </w:rPr>
        <w:t xml:space="preserve"> no âmbito do QGAS, tendo sido confirmada a classificação feita pelo Banco. A análise do risco do </w:t>
      </w:r>
      <w:proofErr w:type="spellStart"/>
      <w:r w:rsidRPr="00292532">
        <w:rPr>
          <w:rFonts w:eastAsia="Times New Roman" w:cs="Calibri"/>
          <w:color w:val="000000"/>
          <w:lang w:val="pt-PT" w:eastAsia="en-GB"/>
        </w:rPr>
        <w:t>Projecto</w:t>
      </w:r>
      <w:proofErr w:type="spellEnd"/>
      <w:r w:rsidRPr="00292532">
        <w:rPr>
          <w:rFonts w:eastAsia="Times New Roman" w:cs="Calibri"/>
          <w:color w:val="000000"/>
          <w:lang w:val="pt-PT" w:eastAsia="en-GB"/>
        </w:rPr>
        <w:t xml:space="preserve"> foi com base num levantamento dos principais potenciais impactos e riscos ambientais e sociais do </w:t>
      </w:r>
      <w:proofErr w:type="spellStart"/>
      <w:r w:rsidRPr="00292532">
        <w:rPr>
          <w:rFonts w:eastAsia="Times New Roman" w:cs="Calibri"/>
          <w:color w:val="000000"/>
          <w:lang w:val="pt-PT" w:eastAsia="en-GB"/>
        </w:rPr>
        <w:t>Projecto</w:t>
      </w:r>
      <w:proofErr w:type="spellEnd"/>
      <w:r w:rsidRPr="00292532">
        <w:rPr>
          <w:rFonts w:eastAsia="Times New Roman" w:cs="Calibri"/>
          <w:color w:val="000000"/>
          <w:lang w:val="pt-PT" w:eastAsia="en-GB"/>
        </w:rPr>
        <w:t xml:space="preserve">, assim como consideradas </w:t>
      </w:r>
      <w:r w:rsidR="00183404" w:rsidRPr="00292532">
        <w:rPr>
          <w:rFonts w:eastAsia="Times New Roman" w:cs="Calibri"/>
          <w:color w:val="000000"/>
          <w:lang w:val="pt-PT" w:eastAsia="en-GB"/>
        </w:rPr>
        <w:t>as principais</w:t>
      </w:r>
      <w:r w:rsidRPr="00292532">
        <w:rPr>
          <w:rFonts w:eastAsia="Times New Roman" w:cs="Calibri"/>
          <w:color w:val="000000"/>
          <w:lang w:val="pt-PT" w:eastAsia="en-GB"/>
        </w:rPr>
        <w:t xml:space="preserve"> sensibilidades ambientais e sociais das áreas de implementação do </w:t>
      </w:r>
      <w:proofErr w:type="spellStart"/>
      <w:r w:rsidRPr="00292532">
        <w:rPr>
          <w:rFonts w:eastAsia="Times New Roman" w:cs="Calibri"/>
          <w:color w:val="000000"/>
          <w:lang w:val="pt-PT" w:eastAsia="en-GB"/>
        </w:rPr>
        <w:t>Projecto</w:t>
      </w:r>
      <w:proofErr w:type="spellEnd"/>
      <w:r w:rsidRPr="00292532">
        <w:rPr>
          <w:rFonts w:eastAsia="Times New Roman" w:cs="Calibri"/>
          <w:color w:val="000000"/>
          <w:lang w:val="pt-PT" w:eastAsia="en-GB"/>
        </w:rPr>
        <w:t xml:space="preserve">. Os principais </w:t>
      </w:r>
      <w:proofErr w:type="spellStart"/>
      <w:r w:rsidRPr="00292532">
        <w:rPr>
          <w:rFonts w:eastAsia="Times New Roman" w:cs="Calibri"/>
          <w:color w:val="000000"/>
          <w:lang w:val="pt-PT" w:eastAsia="en-GB"/>
        </w:rPr>
        <w:t>factores</w:t>
      </w:r>
      <w:proofErr w:type="spellEnd"/>
      <w:r w:rsidRPr="00292532">
        <w:rPr>
          <w:rFonts w:eastAsia="Times New Roman" w:cs="Calibri"/>
          <w:color w:val="000000"/>
          <w:lang w:val="pt-PT" w:eastAsia="en-GB"/>
        </w:rPr>
        <w:t xml:space="preserve"> determinantes para a classificação do risco trazida pelo QGAS são abaixo resumidos:</w:t>
      </w:r>
    </w:p>
    <w:p w14:paraId="43AF15DB" w14:textId="77777777" w:rsidR="00CE357C" w:rsidRPr="00292532" w:rsidRDefault="00CE357C" w:rsidP="00CE357C">
      <w:pPr>
        <w:pStyle w:val="ListParagraph"/>
        <w:numPr>
          <w:ilvl w:val="0"/>
          <w:numId w:val="195"/>
        </w:numPr>
        <w:rPr>
          <w:rFonts w:eastAsia="Times New Roman" w:cs="Calibri"/>
          <w:color w:val="000000"/>
          <w:lang w:val="pt-PT" w:eastAsia="en-GB"/>
        </w:rPr>
      </w:pPr>
      <w:r w:rsidRPr="00292532">
        <w:rPr>
          <w:rFonts w:eastAsia="Times New Roman" w:cs="Calibri"/>
          <w:color w:val="000000"/>
          <w:lang w:val="pt-PT" w:eastAsia="en-GB"/>
        </w:rPr>
        <w:t xml:space="preserve">A maioria dos impactos ambientais e sociais identificados foram classificados como sendo “significativos”. </w:t>
      </w:r>
    </w:p>
    <w:p w14:paraId="2EE651A5" w14:textId="77777777" w:rsidR="00CE357C" w:rsidRPr="00292532" w:rsidRDefault="00CE357C" w:rsidP="00CE357C">
      <w:pPr>
        <w:pStyle w:val="ListParagraph"/>
        <w:numPr>
          <w:ilvl w:val="0"/>
          <w:numId w:val="195"/>
        </w:numPr>
        <w:rPr>
          <w:rFonts w:eastAsia="Times New Roman" w:cs="Calibri"/>
          <w:color w:val="000000"/>
          <w:lang w:val="pt-PT" w:eastAsia="en-GB"/>
        </w:rPr>
      </w:pPr>
      <w:r w:rsidRPr="00292532">
        <w:rPr>
          <w:rFonts w:eastAsia="Times New Roman" w:cs="Calibri"/>
          <w:color w:val="000000"/>
          <w:lang w:val="pt-PT" w:eastAsia="en-GB"/>
        </w:rPr>
        <w:t xml:space="preserve">Constatou-se que os potenciais impactos ambientais de estatuto negativo, cuja significância foi avaliada como elevada ou simplesmente referidos como “muito significativos” ainda que se apresentem em número reduzido, estes são de alta relevância pelo seu potencial de </w:t>
      </w:r>
      <w:proofErr w:type="spellStart"/>
      <w:r w:rsidRPr="00292532">
        <w:rPr>
          <w:rFonts w:eastAsia="Times New Roman" w:cs="Calibri"/>
          <w:color w:val="000000"/>
          <w:lang w:val="pt-PT" w:eastAsia="en-GB"/>
        </w:rPr>
        <w:t>afectaçao</w:t>
      </w:r>
      <w:proofErr w:type="spellEnd"/>
      <w:r w:rsidRPr="00292532">
        <w:rPr>
          <w:rFonts w:eastAsia="Times New Roman" w:cs="Calibri"/>
          <w:color w:val="000000"/>
          <w:lang w:val="pt-PT" w:eastAsia="en-GB"/>
        </w:rPr>
        <w:t xml:space="preserve"> na biodiversidade local e disponibilidade de terras para a prática da agricultura devido a eliminação da vegetação e ocupação da terra pelo </w:t>
      </w:r>
      <w:proofErr w:type="spellStart"/>
      <w:r w:rsidRPr="00292532">
        <w:rPr>
          <w:rFonts w:eastAsia="Times New Roman" w:cs="Calibri"/>
          <w:color w:val="000000"/>
          <w:lang w:val="pt-PT" w:eastAsia="en-GB"/>
        </w:rPr>
        <w:t>Projecto</w:t>
      </w:r>
      <w:proofErr w:type="spellEnd"/>
      <w:r w:rsidRPr="00292532">
        <w:rPr>
          <w:rFonts w:eastAsia="Times New Roman" w:cs="Calibri"/>
          <w:color w:val="000000"/>
          <w:lang w:val="pt-PT" w:eastAsia="en-GB"/>
        </w:rPr>
        <w:t xml:space="preserve">. </w:t>
      </w:r>
    </w:p>
    <w:p w14:paraId="54D6EDAC" w14:textId="77777777" w:rsidR="00CE357C" w:rsidRPr="00292532" w:rsidRDefault="00CE357C" w:rsidP="00CE357C">
      <w:pPr>
        <w:pStyle w:val="ListParagraph"/>
        <w:numPr>
          <w:ilvl w:val="0"/>
          <w:numId w:val="195"/>
        </w:numPr>
        <w:rPr>
          <w:rFonts w:eastAsia="Times New Roman" w:cs="Calibri"/>
          <w:color w:val="000000"/>
          <w:lang w:val="pt-PT" w:eastAsia="en-GB"/>
        </w:rPr>
      </w:pPr>
      <w:r w:rsidRPr="00292532">
        <w:rPr>
          <w:rFonts w:eastAsia="Times New Roman" w:cs="Calibri"/>
          <w:color w:val="000000"/>
          <w:lang w:val="pt-PT" w:eastAsia="en-GB"/>
        </w:rPr>
        <w:t xml:space="preserve">O </w:t>
      </w:r>
      <w:proofErr w:type="spellStart"/>
      <w:r w:rsidRPr="00292532">
        <w:rPr>
          <w:rFonts w:eastAsia="Times New Roman" w:cs="Calibri"/>
          <w:color w:val="000000"/>
          <w:lang w:val="pt-PT" w:eastAsia="en-GB"/>
        </w:rPr>
        <w:t>Projecto</w:t>
      </w:r>
      <w:proofErr w:type="spellEnd"/>
      <w:r w:rsidRPr="00292532">
        <w:rPr>
          <w:rFonts w:eastAsia="Times New Roman" w:cs="Calibri"/>
          <w:color w:val="000000"/>
          <w:lang w:val="pt-PT" w:eastAsia="en-GB"/>
        </w:rPr>
        <w:t xml:space="preserve">, especialmente, na sua fase de construção apresenta um potencial de riscos de saúde e segurança ocupacional e comunitário. Constituindo este último de grande preocupação, quando são acrescidos os </w:t>
      </w:r>
      <w:proofErr w:type="spellStart"/>
      <w:r w:rsidRPr="00292532">
        <w:rPr>
          <w:rFonts w:eastAsia="Times New Roman" w:cs="Calibri"/>
          <w:color w:val="000000"/>
          <w:lang w:val="pt-PT" w:eastAsia="en-GB"/>
        </w:rPr>
        <w:t>factores</w:t>
      </w:r>
      <w:proofErr w:type="spellEnd"/>
      <w:r w:rsidRPr="00292532">
        <w:rPr>
          <w:rFonts w:eastAsia="Times New Roman" w:cs="Calibri"/>
          <w:color w:val="000000"/>
          <w:lang w:val="pt-PT" w:eastAsia="en-GB"/>
        </w:rPr>
        <w:t xml:space="preserve"> de presença de grupos vulneráveis (idosos, crianças, mulheres, indivíduos com níveis de escolaridade muito baixo) nas áreas do </w:t>
      </w:r>
      <w:proofErr w:type="spellStart"/>
      <w:r w:rsidRPr="00292532">
        <w:rPr>
          <w:rFonts w:eastAsia="Times New Roman" w:cs="Calibri"/>
          <w:color w:val="000000"/>
          <w:lang w:val="pt-PT" w:eastAsia="en-GB"/>
        </w:rPr>
        <w:t>Projecto</w:t>
      </w:r>
      <w:proofErr w:type="spellEnd"/>
      <w:r w:rsidRPr="00292532">
        <w:rPr>
          <w:rFonts w:eastAsia="Times New Roman" w:cs="Calibri"/>
          <w:color w:val="000000"/>
          <w:lang w:val="pt-PT" w:eastAsia="en-GB"/>
        </w:rPr>
        <w:t xml:space="preserve"> assim como as condições existentes em termos de disponibilidade de serviços de assistência </w:t>
      </w:r>
      <w:r>
        <w:rPr>
          <w:rFonts w:eastAsia="Times New Roman" w:cs="Calibri"/>
          <w:color w:val="000000"/>
          <w:lang w:val="pt-PT" w:eastAsia="en-GB"/>
        </w:rPr>
        <w:t>médica</w:t>
      </w:r>
      <w:r w:rsidRPr="00292532">
        <w:rPr>
          <w:rFonts w:eastAsia="Times New Roman" w:cs="Calibri"/>
          <w:color w:val="000000"/>
          <w:lang w:val="pt-PT" w:eastAsia="en-GB"/>
        </w:rPr>
        <w:t xml:space="preserve"> em casos de acidentes envolvendo as populações locais.</w:t>
      </w:r>
    </w:p>
    <w:p w14:paraId="5468CB4E" w14:textId="77777777" w:rsidR="00CE357C" w:rsidRPr="00292532" w:rsidRDefault="00CE357C" w:rsidP="00CE357C">
      <w:pPr>
        <w:pStyle w:val="ListParagraph"/>
        <w:numPr>
          <w:ilvl w:val="0"/>
          <w:numId w:val="195"/>
        </w:numPr>
        <w:rPr>
          <w:rFonts w:eastAsia="Times New Roman" w:cs="Calibri"/>
          <w:color w:val="000000"/>
          <w:lang w:val="pt-PT" w:eastAsia="en-GB"/>
        </w:rPr>
      </w:pPr>
      <w:r w:rsidRPr="00292532">
        <w:rPr>
          <w:rFonts w:eastAsia="Times New Roman" w:cs="Calibri"/>
          <w:color w:val="000000"/>
          <w:lang w:val="pt-PT" w:eastAsia="en-GB"/>
        </w:rPr>
        <w:t xml:space="preserve">A ocupação da terra pelo </w:t>
      </w:r>
      <w:proofErr w:type="spellStart"/>
      <w:r w:rsidRPr="00292532">
        <w:rPr>
          <w:rFonts w:eastAsia="Times New Roman" w:cs="Calibri"/>
          <w:color w:val="000000"/>
          <w:lang w:val="pt-PT" w:eastAsia="en-GB"/>
        </w:rPr>
        <w:t>projecto</w:t>
      </w:r>
      <w:proofErr w:type="spellEnd"/>
      <w:r w:rsidRPr="00292532">
        <w:rPr>
          <w:rFonts w:eastAsia="Times New Roman" w:cs="Calibri"/>
          <w:color w:val="000000"/>
          <w:lang w:val="pt-PT" w:eastAsia="en-GB"/>
        </w:rPr>
        <w:t xml:space="preserve">, e o potencial reassentamento físico involuntário ou perda de terras de cultivo, ainda que não esteja confirmado nesta fase, caso este seja necessário, poderá </w:t>
      </w:r>
      <w:proofErr w:type="spellStart"/>
      <w:r w:rsidRPr="00292532">
        <w:rPr>
          <w:rFonts w:eastAsia="Times New Roman" w:cs="Calibri"/>
          <w:color w:val="000000"/>
          <w:lang w:val="pt-PT" w:eastAsia="en-GB"/>
        </w:rPr>
        <w:t>afectar</w:t>
      </w:r>
      <w:proofErr w:type="spellEnd"/>
      <w:r w:rsidRPr="00292532">
        <w:rPr>
          <w:rFonts w:eastAsia="Times New Roman" w:cs="Calibri"/>
          <w:color w:val="000000"/>
          <w:lang w:val="pt-PT" w:eastAsia="en-GB"/>
        </w:rPr>
        <w:t xml:space="preserve"> significativamente as populações (potencialmente) </w:t>
      </w:r>
      <w:proofErr w:type="spellStart"/>
      <w:r w:rsidRPr="00292532">
        <w:rPr>
          <w:rFonts w:eastAsia="Times New Roman" w:cs="Calibri"/>
          <w:color w:val="000000"/>
          <w:lang w:val="pt-PT" w:eastAsia="en-GB"/>
        </w:rPr>
        <w:t>afectadas</w:t>
      </w:r>
      <w:proofErr w:type="spellEnd"/>
      <w:r w:rsidRPr="00292532">
        <w:rPr>
          <w:rFonts w:eastAsia="Times New Roman" w:cs="Calibri"/>
          <w:color w:val="000000"/>
          <w:lang w:val="pt-PT" w:eastAsia="en-GB"/>
        </w:rPr>
        <w:t xml:space="preserve">.   </w:t>
      </w:r>
    </w:p>
    <w:p w14:paraId="534C57C9" w14:textId="77777777" w:rsidR="00CE357C" w:rsidRPr="00292532" w:rsidRDefault="00CE357C" w:rsidP="00CE357C">
      <w:pPr>
        <w:rPr>
          <w:lang w:val="pt-PT"/>
        </w:rPr>
      </w:pPr>
      <w:r w:rsidRPr="00292532">
        <w:rPr>
          <w:rFonts w:eastAsia="Times New Roman" w:cs="Calibri"/>
          <w:color w:val="000000"/>
          <w:lang w:val="pt-PT" w:eastAsia="en-GB"/>
        </w:rPr>
        <w:t xml:space="preserve">A análise da regulamentação ambiental nacional, especificamente, o Regulamento 54/2015 identifica uma série de condições que elevam a categorização do </w:t>
      </w:r>
      <w:proofErr w:type="spellStart"/>
      <w:r w:rsidRPr="00292532">
        <w:rPr>
          <w:rFonts w:eastAsia="Times New Roman" w:cs="Calibri"/>
          <w:color w:val="000000"/>
          <w:lang w:val="pt-PT" w:eastAsia="en-GB"/>
        </w:rPr>
        <w:t>Projecto</w:t>
      </w:r>
      <w:proofErr w:type="spellEnd"/>
      <w:r w:rsidRPr="00292532">
        <w:rPr>
          <w:rFonts w:eastAsia="Times New Roman" w:cs="Calibri"/>
          <w:color w:val="000000"/>
          <w:lang w:val="pt-PT" w:eastAsia="en-GB"/>
        </w:rPr>
        <w:t xml:space="preserve"> associada ao potencial risco ambiental do mesmo. Estes </w:t>
      </w:r>
      <w:proofErr w:type="spellStart"/>
      <w:r w:rsidRPr="00292532">
        <w:rPr>
          <w:rFonts w:eastAsia="Times New Roman" w:cs="Calibri"/>
          <w:color w:val="000000"/>
          <w:lang w:val="pt-PT" w:eastAsia="en-GB"/>
        </w:rPr>
        <w:t>aspectos</w:t>
      </w:r>
      <w:proofErr w:type="spellEnd"/>
      <w:r w:rsidRPr="00292532">
        <w:rPr>
          <w:rFonts w:eastAsia="Times New Roman" w:cs="Calibri"/>
          <w:color w:val="000000"/>
          <w:lang w:val="pt-PT" w:eastAsia="en-GB"/>
        </w:rPr>
        <w:t xml:space="preserve"> incluem, entre outros, o potencial reassentamento, a implementação do </w:t>
      </w:r>
      <w:proofErr w:type="spellStart"/>
      <w:r w:rsidRPr="00292532">
        <w:rPr>
          <w:rFonts w:eastAsia="Times New Roman" w:cs="Calibri"/>
          <w:color w:val="000000"/>
          <w:lang w:val="pt-PT" w:eastAsia="en-GB"/>
        </w:rPr>
        <w:t>Projecto</w:t>
      </w:r>
      <w:proofErr w:type="spellEnd"/>
      <w:r w:rsidRPr="00292532">
        <w:rPr>
          <w:rFonts w:eastAsia="Times New Roman" w:cs="Calibri"/>
          <w:color w:val="000000"/>
          <w:lang w:val="pt-PT" w:eastAsia="en-GB"/>
        </w:rPr>
        <w:t xml:space="preserve"> em áreas ambientalmente sensíveis (p.e. áreas de mangais), assim como critérios associados às características do </w:t>
      </w:r>
      <w:proofErr w:type="spellStart"/>
      <w:r w:rsidRPr="00292532">
        <w:rPr>
          <w:rFonts w:eastAsia="Times New Roman" w:cs="Calibri"/>
          <w:color w:val="000000"/>
          <w:lang w:val="pt-PT" w:eastAsia="en-GB"/>
        </w:rPr>
        <w:t>Projecto</w:t>
      </w:r>
      <w:proofErr w:type="spellEnd"/>
      <w:r w:rsidRPr="00292532">
        <w:rPr>
          <w:rFonts w:eastAsia="Times New Roman" w:cs="Calibri"/>
          <w:color w:val="000000"/>
          <w:lang w:val="pt-PT" w:eastAsia="en-GB"/>
        </w:rPr>
        <w:t xml:space="preserve"> (extensão e diâmetro das condutas e adutoras). Face ao nível de detalhe disponível sobre os subprojectos, o QGAS faz uma análise conservadora dos impactos, e não exclui do seu âmbito a potencial existência destes </w:t>
      </w:r>
      <w:proofErr w:type="spellStart"/>
      <w:r w:rsidRPr="00292532">
        <w:rPr>
          <w:rFonts w:eastAsia="Times New Roman" w:cs="Calibri"/>
          <w:color w:val="000000"/>
          <w:lang w:val="pt-PT" w:eastAsia="en-GB"/>
        </w:rPr>
        <w:t>aspectos</w:t>
      </w:r>
      <w:proofErr w:type="spellEnd"/>
      <w:r w:rsidRPr="00292532">
        <w:rPr>
          <w:rFonts w:eastAsia="Times New Roman" w:cs="Calibri"/>
          <w:color w:val="000000"/>
          <w:lang w:val="pt-PT" w:eastAsia="en-GB"/>
        </w:rPr>
        <w:t>.</w:t>
      </w:r>
    </w:p>
    <w:p w14:paraId="027E8762" w14:textId="018F598E" w:rsidR="004E44AB" w:rsidRPr="00F83E37" w:rsidRDefault="004E44AB" w:rsidP="00941934">
      <w:pPr>
        <w:pStyle w:val="Heading3"/>
      </w:pPr>
      <w:bookmarkStart w:id="409" w:name="_Toc80379761"/>
      <w:bookmarkStart w:id="410" w:name="_Toc80380058"/>
      <w:bookmarkStart w:id="411" w:name="_Toc80380059"/>
      <w:bookmarkEnd w:id="409"/>
      <w:bookmarkEnd w:id="410"/>
      <w:r>
        <w:t xml:space="preserve">Categorização do </w:t>
      </w:r>
      <w:proofErr w:type="spellStart"/>
      <w:r>
        <w:t>Projecto</w:t>
      </w:r>
      <w:bookmarkEnd w:id="411"/>
      <w:proofErr w:type="spellEnd"/>
      <w:r>
        <w:t xml:space="preserve"> </w:t>
      </w:r>
    </w:p>
    <w:p w14:paraId="26D0A4B8" w14:textId="340016FC" w:rsidR="004E44AB" w:rsidRPr="00292532" w:rsidRDefault="004E44AB" w:rsidP="004E44AB">
      <w:pPr>
        <w:rPr>
          <w:lang w:val="pt-PT"/>
        </w:rPr>
      </w:pPr>
      <w:r w:rsidRPr="00292532">
        <w:rPr>
          <w:lang w:val="pt-PT"/>
        </w:rPr>
        <w:t xml:space="preserve">Para cada subprojecto, no </w:t>
      </w:r>
      <w:proofErr w:type="spellStart"/>
      <w:r w:rsidRPr="00292532">
        <w:rPr>
          <w:lang w:val="pt-PT"/>
        </w:rPr>
        <w:t>acto</w:t>
      </w:r>
      <w:proofErr w:type="spellEnd"/>
      <w:r w:rsidRPr="00292532">
        <w:rPr>
          <w:lang w:val="pt-PT"/>
        </w:rPr>
        <w:t xml:space="preserve"> da instrução do </w:t>
      </w:r>
      <w:proofErr w:type="spellStart"/>
      <w:r w:rsidRPr="00292532">
        <w:rPr>
          <w:lang w:val="pt-PT"/>
        </w:rPr>
        <w:t>Projecto</w:t>
      </w:r>
      <w:proofErr w:type="spellEnd"/>
      <w:r w:rsidRPr="00292532">
        <w:rPr>
          <w:lang w:val="pt-PT"/>
        </w:rPr>
        <w:t xml:space="preserve"> deverá ser preenchida a Ficha de Pré-avaliação Ambiental e Social exigida pelo Decreto da AIA 54/2015 (</w:t>
      </w:r>
      <w:r w:rsidRPr="00292532">
        <w:rPr>
          <w:b/>
          <w:bCs/>
          <w:lang w:val="pt-PT"/>
        </w:rPr>
        <w:t>Anexo 1</w:t>
      </w:r>
      <w:r w:rsidRPr="00292532">
        <w:rPr>
          <w:lang w:val="pt-PT"/>
        </w:rPr>
        <w:t xml:space="preserve">). Tendo em consideração a este </w:t>
      </w:r>
      <w:proofErr w:type="spellStart"/>
      <w:r w:rsidRPr="00292532">
        <w:rPr>
          <w:lang w:val="pt-PT"/>
        </w:rPr>
        <w:t>aspecto</w:t>
      </w:r>
      <w:proofErr w:type="spellEnd"/>
      <w:r w:rsidRPr="00292532">
        <w:rPr>
          <w:lang w:val="pt-PT"/>
        </w:rPr>
        <w:t>, e pelo facto deste formulário não abordar totalmente alguns dos principais efeitos ambientais e sociais que provavelmente resultarão das atividades propostas, é proposto o preenchimento do Formulário de Triagem Ambiental e Social (</w:t>
      </w:r>
      <w:r w:rsidRPr="00292532">
        <w:rPr>
          <w:b/>
          <w:bCs/>
          <w:lang w:val="pt-PT"/>
        </w:rPr>
        <w:t>Anexo 1</w:t>
      </w:r>
      <w:r w:rsidRPr="00292532">
        <w:rPr>
          <w:lang w:val="pt-PT"/>
        </w:rPr>
        <w:t xml:space="preserve">) para apoiar na tomada de decisão sobre os requisitos de estudos ambientais a serem conduzidos para cada subprojecto. Contudo, mantém-se obrigatório o preenchimento da Ficha de Pré-Avaliação Ambiental e Social estipulada pela legislação. Em função dos resultados preliminares da triagem </w:t>
      </w:r>
      <w:r w:rsidRPr="00292532">
        <w:rPr>
          <w:lang w:val="pt-PT"/>
        </w:rPr>
        <w:lastRenderedPageBreak/>
        <w:t>proposta no Quadro de Gestão Ambiental e Social (QGAS), deverá se responder, de seguida, ao questionário de triagem social patente em Anexo II do QPR.</w:t>
      </w:r>
    </w:p>
    <w:p w14:paraId="2D4BF25F" w14:textId="77777777" w:rsidR="004E44AB" w:rsidRPr="00292532" w:rsidRDefault="004E44AB" w:rsidP="004E44AB">
      <w:pPr>
        <w:rPr>
          <w:lang w:val="pt-PT"/>
        </w:rPr>
      </w:pPr>
      <w:r w:rsidRPr="00292532">
        <w:rPr>
          <w:lang w:val="pt-PT"/>
        </w:rPr>
        <w:t xml:space="preserve">As equipas de especialistas em salvaguardas a serem estabelecidas nas Unidades de Implementação do </w:t>
      </w:r>
      <w:proofErr w:type="spellStart"/>
      <w:r w:rsidRPr="00292532">
        <w:rPr>
          <w:lang w:val="pt-PT"/>
        </w:rPr>
        <w:t>Projecto</w:t>
      </w:r>
      <w:proofErr w:type="spellEnd"/>
      <w:r w:rsidRPr="00292532">
        <w:rPr>
          <w:lang w:val="pt-PT"/>
        </w:rPr>
        <w:t xml:space="preserve"> (</w:t>
      </w:r>
      <w:proofErr w:type="spellStart"/>
      <w:r w:rsidRPr="00292532">
        <w:rPr>
          <w:lang w:val="pt-PT"/>
        </w:rPr>
        <w:t>UIPs</w:t>
      </w:r>
      <w:proofErr w:type="spellEnd"/>
      <w:r w:rsidRPr="00292532">
        <w:rPr>
          <w:lang w:val="pt-PT"/>
        </w:rPr>
        <w:t>) serão responsáveis pelo processo de triagem ambiental e social e de toda a coordenação necessária com outras partes a serem envolvidas incluindo, MTA, Serviços Provinciais de Ambiente (SPA).  O Processo de triagem deve iniciar o mais cedo possível na fase de definição e planeamento dos subprojectos, logo após sejam identificados com precisão as componentes dos subprojectos e os locais de implementação dos mesmos.</w:t>
      </w:r>
    </w:p>
    <w:p w14:paraId="52A844CF" w14:textId="09E5373F" w:rsidR="004E44AB" w:rsidRPr="00292532" w:rsidRDefault="004E44AB" w:rsidP="004E44AB">
      <w:pPr>
        <w:rPr>
          <w:lang w:val="pt-PT" w:eastAsia="ja-JP"/>
        </w:rPr>
      </w:pPr>
      <w:r w:rsidRPr="00292532">
        <w:rPr>
          <w:lang w:val="pt-PT" w:eastAsia="ja-JP"/>
        </w:rPr>
        <w:t xml:space="preserve">A </w:t>
      </w:r>
      <w:r w:rsidRPr="00292532">
        <w:rPr>
          <w:b/>
          <w:bCs/>
          <w:lang w:val="pt-PT" w:eastAsia="ja-JP"/>
        </w:rPr>
        <w:fldChar w:fldCharType="begin"/>
      </w:r>
      <w:r w:rsidRPr="00292532">
        <w:rPr>
          <w:b/>
          <w:bCs/>
          <w:lang w:val="pt-PT" w:eastAsia="ja-JP"/>
        </w:rPr>
        <w:instrText xml:space="preserve"> REF _Ref72942592 \h  \* MERGEFORMAT </w:instrText>
      </w:r>
      <w:r w:rsidRPr="00292532">
        <w:rPr>
          <w:b/>
          <w:bCs/>
          <w:lang w:val="pt-PT" w:eastAsia="ja-JP"/>
        </w:rPr>
      </w:r>
      <w:r w:rsidRPr="00292532">
        <w:rPr>
          <w:b/>
          <w:bCs/>
          <w:lang w:val="pt-PT" w:eastAsia="ja-JP"/>
        </w:rPr>
        <w:fldChar w:fldCharType="separate"/>
      </w:r>
      <w:r w:rsidR="00DE4496" w:rsidRPr="00941934">
        <w:rPr>
          <w:b/>
          <w:bCs/>
          <w:lang w:val="pt-PT"/>
        </w:rPr>
        <w:t xml:space="preserve">Tabela </w:t>
      </w:r>
      <w:r w:rsidR="00DE4496" w:rsidRPr="00941934">
        <w:rPr>
          <w:b/>
          <w:bCs/>
          <w:noProof/>
          <w:lang w:val="pt-PT"/>
        </w:rPr>
        <w:t>29</w:t>
      </w:r>
      <w:r w:rsidRPr="00292532">
        <w:rPr>
          <w:b/>
          <w:bCs/>
          <w:lang w:val="pt-PT" w:eastAsia="ja-JP"/>
        </w:rPr>
        <w:fldChar w:fldCharType="end"/>
      </w:r>
      <w:r w:rsidRPr="00292532">
        <w:rPr>
          <w:b/>
          <w:bCs/>
          <w:lang w:val="pt-PT" w:eastAsia="ja-JP"/>
        </w:rPr>
        <w:t xml:space="preserve"> </w:t>
      </w:r>
      <w:r w:rsidRPr="00292532">
        <w:rPr>
          <w:lang w:val="pt-PT" w:eastAsia="ja-JP"/>
        </w:rPr>
        <w:t xml:space="preserve">apresenta os critérios de categorização, para servir de guia ao Mutuário na definição do Processo da AIA de acordo com o Regulamento da AIA, Decreto 54/2015 nas fases subsequentes. </w:t>
      </w:r>
    </w:p>
    <w:p w14:paraId="1C64A1A7" w14:textId="3985280E" w:rsidR="004E44AB" w:rsidRPr="00292532" w:rsidRDefault="004E44AB" w:rsidP="004E44AB">
      <w:pPr>
        <w:pStyle w:val="Caption"/>
      </w:pPr>
      <w:bookmarkStart w:id="412" w:name="_Ref72942592"/>
      <w:bookmarkStart w:id="413" w:name="_Toc80380276"/>
      <w:r w:rsidRPr="00292532">
        <w:t xml:space="preserve">Tabela </w:t>
      </w:r>
      <w:r w:rsidRPr="00292532">
        <w:fldChar w:fldCharType="begin"/>
      </w:r>
      <w:r w:rsidRPr="00292532">
        <w:instrText xml:space="preserve"> SEQ Tabela \* ARABIC </w:instrText>
      </w:r>
      <w:r w:rsidRPr="00292532">
        <w:fldChar w:fldCharType="separate"/>
      </w:r>
      <w:r w:rsidR="00DE4496">
        <w:rPr>
          <w:noProof/>
        </w:rPr>
        <w:t>29</w:t>
      </w:r>
      <w:r w:rsidRPr="00292532">
        <w:fldChar w:fldCharType="end"/>
      </w:r>
      <w:bookmarkEnd w:id="412"/>
      <w:r w:rsidRPr="00292532">
        <w:t xml:space="preserve">: Critérios de Categorização de </w:t>
      </w:r>
      <w:proofErr w:type="spellStart"/>
      <w:r w:rsidRPr="00292532">
        <w:t>Actividades</w:t>
      </w:r>
      <w:proofErr w:type="spellEnd"/>
      <w:r w:rsidRPr="00292532">
        <w:t xml:space="preserve"> de Acordo com o Decreto 54/2015</w:t>
      </w:r>
      <w:bookmarkEnd w:id="413"/>
    </w:p>
    <w:tbl>
      <w:tblPr>
        <w:tblStyle w:val="GridTable1Light-Accent12"/>
        <w:tblW w:w="8635" w:type="dxa"/>
        <w:tblLook w:val="04A0" w:firstRow="1" w:lastRow="0" w:firstColumn="1" w:lastColumn="0" w:noHBand="0" w:noVBand="1"/>
      </w:tblPr>
      <w:tblGrid>
        <w:gridCol w:w="1795"/>
        <w:gridCol w:w="5760"/>
        <w:gridCol w:w="1088"/>
      </w:tblGrid>
      <w:tr w:rsidR="004E44AB" w:rsidRPr="00292532" w14:paraId="285D6CD1" w14:textId="77777777" w:rsidTr="00472547">
        <w:trPr>
          <w:cnfStyle w:val="100000000000" w:firstRow="1" w:lastRow="0" w:firstColumn="0" w:lastColumn="0" w:oddVBand="0" w:evenVBand="0" w:oddHBand="0" w:evenHBand="0" w:firstRowFirstColumn="0" w:firstRowLastColumn="0" w:lastRowFirstColumn="0" w:lastRowLastColumn="0"/>
          <w:trHeight w:val="409"/>
          <w:tblHeader/>
        </w:trPr>
        <w:tc>
          <w:tcPr>
            <w:cnfStyle w:val="001000000000" w:firstRow="0" w:lastRow="0" w:firstColumn="1" w:lastColumn="0" w:oddVBand="0" w:evenVBand="0" w:oddHBand="0" w:evenHBand="0" w:firstRowFirstColumn="0" w:firstRowLastColumn="0" w:lastRowFirstColumn="0" w:lastRowLastColumn="0"/>
            <w:tcW w:w="1795" w:type="dxa"/>
            <w:shd w:val="clear" w:color="auto" w:fill="BDD6EE" w:themeFill="accent5" w:themeFillTint="66"/>
            <w:noWrap/>
            <w:vAlign w:val="center"/>
            <w:hideMark/>
          </w:tcPr>
          <w:p w14:paraId="5B9A3F16" w14:textId="77777777" w:rsidR="004E44AB" w:rsidRPr="00292532" w:rsidRDefault="004E44AB" w:rsidP="00472547">
            <w:pPr>
              <w:spacing w:before="0"/>
              <w:jc w:val="center"/>
              <w:rPr>
                <w:rFonts w:eastAsia="Times New Roman" w:cs="Calibri"/>
                <w:color w:val="000000"/>
                <w:sz w:val="20"/>
                <w:szCs w:val="20"/>
                <w:lang w:val="pt-PT"/>
              </w:rPr>
            </w:pPr>
            <w:r w:rsidRPr="00292532">
              <w:rPr>
                <w:rFonts w:eastAsia="Times New Roman" w:cs="Calibri"/>
                <w:color w:val="000000"/>
                <w:sz w:val="20"/>
                <w:szCs w:val="20"/>
                <w:lang w:val="pt-PT"/>
              </w:rPr>
              <w:t>Tipo de Critério</w:t>
            </w:r>
          </w:p>
        </w:tc>
        <w:tc>
          <w:tcPr>
            <w:tcW w:w="5760" w:type="dxa"/>
            <w:shd w:val="clear" w:color="auto" w:fill="BDD6EE" w:themeFill="accent5" w:themeFillTint="66"/>
            <w:noWrap/>
            <w:vAlign w:val="center"/>
            <w:hideMark/>
          </w:tcPr>
          <w:p w14:paraId="47730A68" w14:textId="77777777" w:rsidR="004E44AB" w:rsidRPr="00292532" w:rsidRDefault="004E44AB" w:rsidP="00472547">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Descrição</w:t>
            </w:r>
          </w:p>
        </w:tc>
        <w:tc>
          <w:tcPr>
            <w:tcW w:w="1080" w:type="dxa"/>
            <w:shd w:val="clear" w:color="auto" w:fill="BDD6EE" w:themeFill="accent5" w:themeFillTint="66"/>
            <w:noWrap/>
            <w:vAlign w:val="center"/>
            <w:hideMark/>
          </w:tcPr>
          <w:p w14:paraId="23630256" w14:textId="77777777" w:rsidR="004E44AB" w:rsidRPr="00292532" w:rsidRDefault="004E44AB" w:rsidP="00472547">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Presente (SIM/Não)</w:t>
            </w:r>
          </w:p>
        </w:tc>
      </w:tr>
      <w:tr w:rsidR="004E44AB" w:rsidRPr="008D18CF" w14:paraId="03810B3C" w14:textId="77777777" w:rsidTr="00472547">
        <w:trPr>
          <w:trHeight w:val="776"/>
        </w:trPr>
        <w:tc>
          <w:tcPr>
            <w:cnfStyle w:val="001000000000" w:firstRow="0" w:lastRow="0" w:firstColumn="1" w:lastColumn="0" w:oddVBand="0" w:evenVBand="0" w:oddHBand="0" w:evenHBand="0" w:firstRowFirstColumn="0" w:firstRowLastColumn="0" w:lastRowFirstColumn="0" w:lastRowLastColumn="0"/>
            <w:tcW w:w="8635" w:type="dxa"/>
            <w:gridSpan w:val="3"/>
            <w:shd w:val="clear" w:color="auto" w:fill="F2F2F2" w:themeFill="background1" w:themeFillShade="F2"/>
            <w:noWrap/>
            <w:vAlign w:val="center"/>
            <w:hideMark/>
          </w:tcPr>
          <w:p w14:paraId="23246405" w14:textId="77777777" w:rsidR="004E44AB" w:rsidRPr="00292532" w:rsidRDefault="004E44AB" w:rsidP="00472547">
            <w:pPr>
              <w:spacing w:before="0"/>
              <w:jc w:val="center"/>
              <w:rPr>
                <w:rFonts w:eastAsia="Times New Roman" w:cs="Calibri"/>
                <w:color w:val="000000"/>
                <w:sz w:val="20"/>
                <w:szCs w:val="20"/>
                <w:lang w:val="pt-PT"/>
              </w:rPr>
            </w:pPr>
            <w:r w:rsidRPr="00292532">
              <w:rPr>
                <w:rFonts w:eastAsia="Times New Roman" w:cs="Calibri"/>
                <w:color w:val="000000"/>
                <w:sz w:val="20"/>
                <w:szCs w:val="20"/>
                <w:lang w:val="pt-PT"/>
              </w:rPr>
              <w:t xml:space="preserve">CATEGORIA A+ (não elegíveis) </w:t>
            </w:r>
          </w:p>
          <w:p w14:paraId="461DE257" w14:textId="77777777" w:rsidR="004E44AB" w:rsidRPr="00292532" w:rsidRDefault="004E44AB" w:rsidP="00472547">
            <w:pPr>
              <w:spacing w:before="0"/>
              <w:jc w:val="center"/>
              <w:rPr>
                <w:rFonts w:eastAsia="Times New Roman" w:cs="Calibri"/>
                <w:b w:val="0"/>
                <w:bCs w:val="0"/>
                <w:color w:val="000000"/>
                <w:sz w:val="20"/>
                <w:szCs w:val="20"/>
                <w:lang w:val="pt-PT"/>
              </w:rPr>
            </w:pPr>
            <w:r w:rsidRPr="00292532">
              <w:rPr>
                <w:rFonts w:eastAsia="Times New Roman" w:cs="Calibri"/>
                <w:b w:val="0"/>
                <w:bCs w:val="0"/>
                <w:i/>
                <w:iCs/>
                <w:color w:val="000000"/>
                <w:sz w:val="20"/>
                <w:szCs w:val="20"/>
                <w:lang w:val="pt-PT"/>
              </w:rPr>
              <w:t xml:space="preserve">…são </w:t>
            </w:r>
            <w:proofErr w:type="spellStart"/>
            <w:r w:rsidRPr="00292532">
              <w:rPr>
                <w:rFonts w:eastAsia="Times New Roman" w:cs="Calibri"/>
                <w:b w:val="0"/>
                <w:bCs w:val="0"/>
                <w:i/>
                <w:iCs/>
                <w:color w:val="000000"/>
                <w:sz w:val="20"/>
                <w:szCs w:val="20"/>
                <w:lang w:val="pt-PT"/>
              </w:rPr>
              <w:t>acções</w:t>
            </w:r>
            <w:proofErr w:type="spellEnd"/>
            <w:r w:rsidRPr="00292532">
              <w:rPr>
                <w:rFonts w:eastAsia="Times New Roman" w:cs="Calibri"/>
                <w:b w:val="0"/>
                <w:bCs w:val="0"/>
                <w:i/>
                <w:iCs/>
                <w:color w:val="000000"/>
                <w:sz w:val="20"/>
                <w:szCs w:val="20"/>
                <w:lang w:val="pt-PT"/>
              </w:rPr>
              <w:t xml:space="preserve"> que devido à sua complexidade, localização e/ou irreversibilidade e magnitude dos possíveis impactos, merecem um elevado nível de vigilância social e ambiental…</w:t>
            </w:r>
          </w:p>
        </w:tc>
      </w:tr>
      <w:tr w:rsidR="004E44AB" w:rsidRPr="008D18CF" w14:paraId="3D76E2AA"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noWrap/>
            <w:vAlign w:val="center"/>
            <w:hideMark/>
          </w:tcPr>
          <w:p w14:paraId="0898B84B" w14:textId="77777777" w:rsidR="004E44AB" w:rsidRPr="00292532" w:rsidRDefault="004E44AB" w:rsidP="00472547">
            <w:pPr>
              <w:spacing w:before="0"/>
              <w:jc w:val="center"/>
              <w:rPr>
                <w:rFonts w:eastAsia="Times New Roman" w:cs="Calibri"/>
                <w:color w:val="000000"/>
                <w:sz w:val="20"/>
                <w:szCs w:val="20"/>
                <w:lang w:val="pt-PT"/>
              </w:rPr>
            </w:pPr>
            <w:r w:rsidRPr="00292532">
              <w:rPr>
                <w:rFonts w:eastAsia="Times New Roman" w:cs="Calibri"/>
                <w:color w:val="000000"/>
                <w:sz w:val="20"/>
                <w:szCs w:val="20"/>
                <w:lang w:val="pt-PT"/>
              </w:rPr>
              <w:t>Tipo de reassentamento</w:t>
            </w:r>
          </w:p>
        </w:tc>
        <w:tc>
          <w:tcPr>
            <w:tcW w:w="5760" w:type="dxa"/>
            <w:noWrap/>
            <w:vAlign w:val="center"/>
          </w:tcPr>
          <w:p w14:paraId="65E2D143" w14:textId="77777777" w:rsidR="004E44AB" w:rsidRPr="00292532" w:rsidRDefault="004E44AB" w:rsidP="00472547">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 xml:space="preserve">Deslocamento físico e económico das famílias que não corresponde ao modelo de reassentamento pré-definido no Regulamento sobre o Processo de Reassentamento Resultante de </w:t>
            </w:r>
            <w:proofErr w:type="spellStart"/>
            <w:r w:rsidRPr="00292532">
              <w:rPr>
                <w:rFonts w:eastAsia="Times New Roman" w:cs="Calibri"/>
                <w:color w:val="000000"/>
                <w:sz w:val="20"/>
                <w:szCs w:val="20"/>
                <w:lang w:val="pt-PT"/>
              </w:rPr>
              <w:t>Actividades</w:t>
            </w:r>
            <w:proofErr w:type="spellEnd"/>
            <w:r w:rsidRPr="00292532">
              <w:rPr>
                <w:rFonts w:eastAsia="Times New Roman" w:cs="Calibri"/>
                <w:color w:val="000000"/>
                <w:sz w:val="20"/>
                <w:szCs w:val="20"/>
                <w:lang w:val="pt-PT"/>
              </w:rPr>
              <w:t xml:space="preserve"> Económicas</w:t>
            </w:r>
          </w:p>
        </w:tc>
        <w:tc>
          <w:tcPr>
            <w:tcW w:w="1080" w:type="dxa"/>
            <w:noWrap/>
            <w:vAlign w:val="center"/>
            <w:hideMark/>
          </w:tcPr>
          <w:p w14:paraId="4982E423"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4E44AB" w:rsidRPr="008D18CF" w14:paraId="34CB3645"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vMerge w:val="restart"/>
            <w:noWrap/>
            <w:vAlign w:val="center"/>
            <w:hideMark/>
          </w:tcPr>
          <w:p w14:paraId="14E26655" w14:textId="77777777" w:rsidR="004E44AB" w:rsidRPr="00292532" w:rsidRDefault="004E44AB" w:rsidP="00472547">
            <w:pPr>
              <w:spacing w:before="0"/>
              <w:jc w:val="center"/>
              <w:rPr>
                <w:rFonts w:eastAsia="Times New Roman" w:cs="Calibri"/>
                <w:color w:val="000000"/>
                <w:sz w:val="20"/>
                <w:szCs w:val="20"/>
                <w:lang w:val="pt-PT"/>
              </w:rPr>
            </w:pPr>
            <w:r w:rsidRPr="00292532">
              <w:rPr>
                <w:rFonts w:eastAsia="Times New Roman" w:cs="Calibri"/>
                <w:color w:val="000000"/>
                <w:sz w:val="20"/>
                <w:szCs w:val="20"/>
                <w:lang w:val="pt-PT"/>
              </w:rPr>
              <w:t xml:space="preserve">Localização da </w:t>
            </w:r>
            <w:proofErr w:type="spellStart"/>
            <w:r w:rsidRPr="00292532">
              <w:rPr>
                <w:rFonts w:eastAsia="Times New Roman" w:cs="Calibri"/>
                <w:color w:val="000000"/>
                <w:sz w:val="20"/>
                <w:szCs w:val="20"/>
                <w:lang w:val="pt-PT"/>
              </w:rPr>
              <w:t>actividade</w:t>
            </w:r>
            <w:proofErr w:type="spellEnd"/>
          </w:p>
        </w:tc>
        <w:tc>
          <w:tcPr>
            <w:tcW w:w="5760" w:type="dxa"/>
            <w:noWrap/>
            <w:vAlign w:val="center"/>
            <w:hideMark/>
          </w:tcPr>
          <w:p w14:paraId="4C7C84CC"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roofErr w:type="spellStart"/>
            <w:r w:rsidRPr="00292532">
              <w:rPr>
                <w:rFonts w:eastAsia="Times New Roman" w:cs="Calibri"/>
                <w:color w:val="000000"/>
                <w:sz w:val="20"/>
                <w:szCs w:val="20"/>
                <w:lang w:val="pt-PT"/>
              </w:rPr>
              <w:t>Actividades</w:t>
            </w:r>
            <w:proofErr w:type="spellEnd"/>
            <w:r w:rsidRPr="00292532">
              <w:rPr>
                <w:rFonts w:eastAsia="Times New Roman" w:cs="Calibri"/>
                <w:color w:val="000000"/>
                <w:sz w:val="20"/>
                <w:szCs w:val="20"/>
                <w:lang w:val="pt-PT"/>
              </w:rPr>
              <w:t xml:space="preserve"> localizadas em áreas com elevado valor de biodiversidade, nomeadamente:</w:t>
            </w:r>
          </w:p>
          <w:p w14:paraId="5FFF6F9B" w14:textId="77777777" w:rsidR="004E44AB" w:rsidRPr="00292532" w:rsidRDefault="004E44AB" w:rsidP="00472547">
            <w:pPr>
              <w:numPr>
                <w:ilvl w:val="0"/>
                <w:numId w:val="39"/>
              </w:num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Habitats de importância significativa para espécies criticamente ameaçadas e/ou Ameaçadas segundo a legislação nacional ou internacional;</w:t>
            </w:r>
          </w:p>
          <w:p w14:paraId="656983EB" w14:textId="77777777" w:rsidR="004E44AB" w:rsidRPr="00292532" w:rsidRDefault="004E44AB" w:rsidP="00472547">
            <w:pPr>
              <w:numPr>
                <w:ilvl w:val="0"/>
                <w:numId w:val="39"/>
              </w:num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 xml:space="preserve">Habitats de importância significativa para espécies endémicas e/ou de </w:t>
            </w:r>
            <w:proofErr w:type="spellStart"/>
            <w:r w:rsidRPr="00292532">
              <w:rPr>
                <w:rFonts w:eastAsia="Times New Roman" w:cs="Calibri"/>
                <w:color w:val="000000"/>
                <w:sz w:val="20"/>
                <w:szCs w:val="20"/>
                <w:lang w:val="pt-PT"/>
              </w:rPr>
              <w:t>acção</w:t>
            </w:r>
            <w:proofErr w:type="spellEnd"/>
            <w:r w:rsidRPr="00292532">
              <w:rPr>
                <w:rFonts w:eastAsia="Times New Roman" w:cs="Calibri"/>
                <w:color w:val="000000"/>
                <w:sz w:val="20"/>
                <w:szCs w:val="20"/>
                <w:lang w:val="pt-PT"/>
              </w:rPr>
              <w:t xml:space="preserve"> restrita;</w:t>
            </w:r>
          </w:p>
          <w:p w14:paraId="1BF6BCD1" w14:textId="77777777" w:rsidR="004E44AB" w:rsidRPr="00292532" w:rsidRDefault="004E44AB" w:rsidP="00472547">
            <w:pPr>
              <w:numPr>
                <w:ilvl w:val="0"/>
                <w:numId w:val="39"/>
              </w:num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Habitats de importância significativa para espécies protegidas no país;</w:t>
            </w:r>
          </w:p>
          <w:p w14:paraId="63B66DB9" w14:textId="77777777" w:rsidR="004E44AB" w:rsidRPr="00292532" w:rsidRDefault="004E44AB" w:rsidP="00472547">
            <w:pPr>
              <w:numPr>
                <w:ilvl w:val="0"/>
                <w:numId w:val="39"/>
              </w:num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 xml:space="preserve">Habitats que propiciem condições para a existência de concentrações significativas de espécies migratórias e/ou </w:t>
            </w:r>
            <w:proofErr w:type="spellStart"/>
            <w:r w:rsidRPr="00292532">
              <w:rPr>
                <w:rFonts w:eastAsia="Times New Roman" w:cs="Calibri"/>
                <w:color w:val="000000"/>
                <w:sz w:val="20"/>
                <w:szCs w:val="20"/>
                <w:lang w:val="pt-PT"/>
              </w:rPr>
              <w:t>congregatórias</w:t>
            </w:r>
            <w:proofErr w:type="spellEnd"/>
            <w:r w:rsidRPr="00292532">
              <w:rPr>
                <w:rFonts w:eastAsia="Times New Roman" w:cs="Calibri"/>
                <w:color w:val="000000"/>
                <w:sz w:val="20"/>
                <w:szCs w:val="20"/>
                <w:lang w:val="pt-PT"/>
              </w:rPr>
              <w:t>;</w:t>
            </w:r>
          </w:p>
          <w:p w14:paraId="689C3D34" w14:textId="77777777" w:rsidR="004E44AB" w:rsidRPr="00292532" w:rsidRDefault="004E44AB" w:rsidP="00472547">
            <w:pPr>
              <w:numPr>
                <w:ilvl w:val="0"/>
                <w:numId w:val="39"/>
              </w:num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Ecossistemas altamente ameaçados e/ou únicos;</w:t>
            </w:r>
          </w:p>
          <w:p w14:paraId="4CE4DC6A" w14:textId="77777777" w:rsidR="004E44AB" w:rsidRPr="00292532" w:rsidRDefault="004E44AB" w:rsidP="00472547">
            <w:pPr>
              <w:numPr>
                <w:ilvl w:val="0"/>
                <w:numId w:val="39"/>
              </w:num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 xml:space="preserve">Áreas associadas a processos evolutivos-chave como mangal. </w:t>
            </w:r>
          </w:p>
        </w:tc>
        <w:tc>
          <w:tcPr>
            <w:tcW w:w="1080" w:type="dxa"/>
            <w:noWrap/>
            <w:vAlign w:val="center"/>
            <w:hideMark/>
          </w:tcPr>
          <w:p w14:paraId="02E8B743"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4E44AB" w:rsidRPr="008D18CF" w14:paraId="75D3E9F4"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vMerge/>
            <w:noWrap/>
            <w:vAlign w:val="center"/>
          </w:tcPr>
          <w:p w14:paraId="72EDBFFF" w14:textId="77777777" w:rsidR="004E44AB" w:rsidRPr="00292532" w:rsidRDefault="004E44AB" w:rsidP="00472547">
            <w:pPr>
              <w:spacing w:before="0"/>
              <w:jc w:val="left"/>
              <w:rPr>
                <w:rFonts w:eastAsia="Times New Roman" w:cs="Calibri"/>
                <w:b w:val="0"/>
                <w:bCs w:val="0"/>
                <w:color w:val="000000"/>
                <w:sz w:val="20"/>
                <w:szCs w:val="20"/>
                <w:lang w:val="pt-PT"/>
              </w:rPr>
            </w:pPr>
          </w:p>
        </w:tc>
        <w:tc>
          <w:tcPr>
            <w:tcW w:w="5760" w:type="dxa"/>
            <w:noWrap/>
            <w:vAlign w:val="center"/>
          </w:tcPr>
          <w:p w14:paraId="25EB7CB2" w14:textId="77777777" w:rsidR="004E44AB" w:rsidRPr="00292532" w:rsidRDefault="004E44AB" w:rsidP="00472547">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roofErr w:type="spellStart"/>
            <w:r w:rsidRPr="00292532">
              <w:rPr>
                <w:rFonts w:eastAsia="Times New Roman" w:cs="Calibri"/>
                <w:color w:val="000000"/>
                <w:sz w:val="20"/>
                <w:szCs w:val="20"/>
                <w:lang w:val="pt-PT"/>
              </w:rPr>
              <w:t>Actividades</w:t>
            </w:r>
            <w:proofErr w:type="spellEnd"/>
            <w:r w:rsidRPr="00292532">
              <w:rPr>
                <w:rFonts w:eastAsia="Times New Roman" w:cs="Calibri"/>
                <w:color w:val="000000"/>
                <w:sz w:val="20"/>
                <w:szCs w:val="20"/>
                <w:lang w:val="pt-PT"/>
              </w:rPr>
              <w:t xml:space="preserve"> cuja localização seja em áreas de conservação e </w:t>
            </w:r>
            <w:proofErr w:type="spellStart"/>
            <w:r w:rsidRPr="00292532">
              <w:rPr>
                <w:rFonts w:eastAsia="Times New Roman" w:cs="Calibri"/>
                <w:color w:val="000000"/>
                <w:sz w:val="20"/>
                <w:szCs w:val="20"/>
                <w:lang w:val="pt-PT"/>
              </w:rPr>
              <w:t>protecção</w:t>
            </w:r>
            <w:proofErr w:type="spellEnd"/>
            <w:r w:rsidRPr="00292532">
              <w:rPr>
                <w:rFonts w:eastAsia="Times New Roman" w:cs="Calibri"/>
                <w:color w:val="000000"/>
                <w:sz w:val="20"/>
                <w:szCs w:val="20"/>
                <w:lang w:val="pt-PT"/>
              </w:rPr>
              <w:t xml:space="preserve"> e nas suas áreas tampão, com </w:t>
            </w:r>
            <w:proofErr w:type="spellStart"/>
            <w:r w:rsidRPr="00292532">
              <w:rPr>
                <w:rFonts w:eastAsia="Times New Roman" w:cs="Calibri"/>
                <w:color w:val="000000"/>
                <w:sz w:val="20"/>
                <w:szCs w:val="20"/>
                <w:lang w:val="pt-PT"/>
              </w:rPr>
              <w:t>excepção</w:t>
            </w:r>
            <w:proofErr w:type="spellEnd"/>
            <w:r w:rsidRPr="00292532">
              <w:rPr>
                <w:rFonts w:eastAsia="Times New Roman" w:cs="Calibri"/>
                <w:color w:val="000000"/>
                <w:sz w:val="20"/>
                <w:szCs w:val="20"/>
                <w:lang w:val="pt-PT"/>
              </w:rPr>
              <w:t xml:space="preserve"> de </w:t>
            </w:r>
            <w:proofErr w:type="spellStart"/>
            <w:r w:rsidRPr="00292532">
              <w:rPr>
                <w:rFonts w:eastAsia="Times New Roman" w:cs="Calibri"/>
                <w:color w:val="000000"/>
                <w:sz w:val="20"/>
                <w:szCs w:val="20"/>
                <w:lang w:val="pt-PT"/>
              </w:rPr>
              <w:t>actividades</w:t>
            </w:r>
            <w:proofErr w:type="spellEnd"/>
            <w:r w:rsidRPr="00292532">
              <w:rPr>
                <w:rFonts w:eastAsia="Times New Roman" w:cs="Calibri"/>
                <w:color w:val="000000"/>
                <w:sz w:val="20"/>
                <w:szCs w:val="20"/>
                <w:lang w:val="pt-PT"/>
              </w:rPr>
              <w:t xml:space="preserve"> propostas pela própria entidade gestora da referida Área de Conservação, quando destinadas a melhorar a sua gestão;</w:t>
            </w:r>
          </w:p>
        </w:tc>
        <w:tc>
          <w:tcPr>
            <w:tcW w:w="1080" w:type="dxa"/>
            <w:noWrap/>
            <w:vAlign w:val="center"/>
          </w:tcPr>
          <w:p w14:paraId="561B713C"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4E44AB" w:rsidRPr="008D18CF" w14:paraId="0611B1DE"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vMerge/>
            <w:noWrap/>
            <w:vAlign w:val="center"/>
          </w:tcPr>
          <w:p w14:paraId="5DC329B4" w14:textId="77777777" w:rsidR="004E44AB" w:rsidRPr="00292532" w:rsidRDefault="004E44AB" w:rsidP="00472547">
            <w:pPr>
              <w:spacing w:before="0"/>
              <w:jc w:val="left"/>
              <w:rPr>
                <w:rFonts w:eastAsia="Times New Roman" w:cs="Calibri"/>
                <w:b w:val="0"/>
                <w:bCs w:val="0"/>
                <w:color w:val="000000"/>
                <w:sz w:val="20"/>
                <w:szCs w:val="20"/>
                <w:lang w:val="pt-PT"/>
              </w:rPr>
            </w:pPr>
          </w:p>
        </w:tc>
        <w:tc>
          <w:tcPr>
            <w:tcW w:w="5760" w:type="dxa"/>
            <w:noWrap/>
            <w:vAlign w:val="center"/>
          </w:tcPr>
          <w:p w14:paraId="2323C62B" w14:textId="77777777" w:rsidR="004E44AB" w:rsidRPr="00292532" w:rsidRDefault="004E44AB" w:rsidP="00472547">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 xml:space="preserve">Áreas povoadas onde a </w:t>
            </w:r>
            <w:proofErr w:type="spellStart"/>
            <w:r w:rsidRPr="00292532">
              <w:rPr>
                <w:rFonts w:eastAsia="Times New Roman" w:cs="Calibri"/>
                <w:color w:val="000000"/>
                <w:sz w:val="20"/>
                <w:szCs w:val="20"/>
                <w:lang w:val="pt-PT"/>
              </w:rPr>
              <w:t>actividade</w:t>
            </w:r>
            <w:proofErr w:type="spellEnd"/>
            <w:r w:rsidRPr="00292532">
              <w:rPr>
                <w:rFonts w:eastAsia="Times New Roman" w:cs="Calibri"/>
                <w:color w:val="000000"/>
                <w:sz w:val="20"/>
                <w:szCs w:val="20"/>
                <w:lang w:val="pt-PT"/>
              </w:rPr>
              <w:t xml:space="preserve"> poderá implicar níveis elevados de poluição ou outro tipo de distúrbio que </w:t>
            </w:r>
            <w:proofErr w:type="spellStart"/>
            <w:r w:rsidRPr="00292532">
              <w:rPr>
                <w:rFonts w:eastAsia="Times New Roman" w:cs="Calibri"/>
                <w:color w:val="000000"/>
                <w:sz w:val="20"/>
                <w:szCs w:val="20"/>
                <w:lang w:val="pt-PT"/>
              </w:rPr>
              <w:t>afecte</w:t>
            </w:r>
            <w:proofErr w:type="spellEnd"/>
            <w:r w:rsidRPr="00292532">
              <w:rPr>
                <w:rFonts w:eastAsia="Times New Roman" w:cs="Calibri"/>
                <w:color w:val="000000"/>
                <w:sz w:val="20"/>
                <w:szCs w:val="20"/>
                <w:lang w:val="pt-PT"/>
              </w:rPr>
              <w:t xml:space="preserve"> significativamente as comunidades locais</w:t>
            </w:r>
          </w:p>
        </w:tc>
        <w:tc>
          <w:tcPr>
            <w:tcW w:w="1080" w:type="dxa"/>
            <w:noWrap/>
            <w:vAlign w:val="center"/>
          </w:tcPr>
          <w:p w14:paraId="2E76290D"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4E44AB" w:rsidRPr="00292532" w14:paraId="47BD729B"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vMerge/>
            <w:noWrap/>
            <w:vAlign w:val="center"/>
          </w:tcPr>
          <w:p w14:paraId="6FE13277" w14:textId="77777777" w:rsidR="004E44AB" w:rsidRPr="00292532" w:rsidRDefault="004E44AB" w:rsidP="00472547">
            <w:pPr>
              <w:spacing w:before="0"/>
              <w:jc w:val="left"/>
              <w:rPr>
                <w:rFonts w:eastAsia="Times New Roman" w:cs="Calibri"/>
                <w:b w:val="0"/>
                <w:bCs w:val="0"/>
                <w:color w:val="000000"/>
                <w:sz w:val="20"/>
                <w:szCs w:val="20"/>
                <w:lang w:val="pt-PT"/>
              </w:rPr>
            </w:pPr>
          </w:p>
        </w:tc>
        <w:tc>
          <w:tcPr>
            <w:tcW w:w="5760" w:type="dxa"/>
            <w:noWrap/>
            <w:vAlign w:val="center"/>
          </w:tcPr>
          <w:p w14:paraId="2D59EE80"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Zonas de cenário único</w:t>
            </w:r>
          </w:p>
        </w:tc>
        <w:tc>
          <w:tcPr>
            <w:tcW w:w="1080" w:type="dxa"/>
            <w:noWrap/>
            <w:vAlign w:val="center"/>
          </w:tcPr>
          <w:p w14:paraId="6E1F744C"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4E44AB" w:rsidRPr="00292532" w14:paraId="01E6CA17" w14:textId="77777777" w:rsidTr="00472547">
        <w:trPr>
          <w:trHeight w:val="472"/>
        </w:trPr>
        <w:tc>
          <w:tcPr>
            <w:cnfStyle w:val="001000000000" w:firstRow="0" w:lastRow="0" w:firstColumn="1" w:lastColumn="0" w:oddVBand="0" w:evenVBand="0" w:oddHBand="0" w:evenHBand="0" w:firstRowFirstColumn="0" w:firstRowLastColumn="0" w:lastRowFirstColumn="0" w:lastRowLastColumn="0"/>
            <w:tcW w:w="1795" w:type="dxa"/>
            <w:vMerge/>
            <w:noWrap/>
            <w:vAlign w:val="center"/>
          </w:tcPr>
          <w:p w14:paraId="49E28CD5" w14:textId="77777777" w:rsidR="004E44AB" w:rsidRPr="00292532" w:rsidRDefault="004E44AB" w:rsidP="00472547">
            <w:pPr>
              <w:spacing w:before="0"/>
              <w:jc w:val="left"/>
              <w:rPr>
                <w:rFonts w:eastAsia="Times New Roman" w:cs="Calibri"/>
                <w:b w:val="0"/>
                <w:bCs w:val="0"/>
                <w:color w:val="000000"/>
                <w:sz w:val="20"/>
                <w:szCs w:val="20"/>
                <w:lang w:val="pt-PT"/>
              </w:rPr>
            </w:pPr>
          </w:p>
        </w:tc>
        <w:tc>
          <w:tcPr>
            <w:tcW w:w="5760" w:type="dxa"/>
            <w:noWrap/>
            <w:vAlign w:val="center"/>
          </w:tcPr>
          <w:p w14:paraId="1341B022"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color w:val="231F20"/>
                <w:sz w:val="20"/>
                <w:lang w:val="pt-PT"/>
              </w:rPr>
              <w:t>Florestas</w:t>
            </w:r>
            <w:r w:rsidRPr="00292532">
              <w:rPr>
                <w:color w:val="231F20"/>
                <w:spacing w:val="-1"/>
                <w:sz w:val="20"/>
                <w:lang w:val="pt-PT"/>
              </w:rPr>
              <w:t xml:space="preserve"> </w:t>
            </w:r>
            <w:r w:rsidRPr="00292532">
              <w:rPr>
                <w:color w:val="231F20"/>
                <w:sz w:val="20"/>
                <w:lang w:val="pt-PT"/>
              </w:rPr>
              <w:t>nativas</w:t>
            </w:r>
          </w:p>
        </w:tc>
        <w:tc>
          <w:tcPr>
            <w:tcW w:w="1080" w:type="dxa"/>
            <w:noWrap/>
            <w:vAlign w:val="center"/>
          </w:tcPr>
          <w:p w14:paraId="5A0EB947"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4E44AB" w:rsidRPr="00292532" w14:paraId="5AB31734" w14:textId="77777777" w:rsidTr="00472547">
        <w:trPr>
          <w:trHeight w:val="590"/>
        </w:trPr>
        <w:tc>
          <w:tcPr>
            <w:cnfStyle w:val="001000000000" w:firstRow="0" w:lastRow="0" w:firstColumn="1" w:lastColumn="0" w:oddVBand="0" w:evenVBand="0" w:oddHBand="0" w:evenHBand="0" w:firstRowFirstColumn="0" w:firstRowLastColumn="0" w:lastRowFirstColumn="0" w:lastRowLastColumn="0"/>
            <w:tcW w:w="1795" w:type="dxa"/>
            <w:vMerge/>
            <w:noWrap/>
            <w:vAlign w:val="center"/>
          </w:tcPr>
          <w:p w14:paraId="0DE37A0C" w14:textId="77777777" w:rsidR="004E44AB" w:rsidRPr="00292532" w:rsidRDefault="004E44AB" w:rsidP="00472547">
            <w:pPr>
              <w:spacing w:before="0"/>
              <w:jc w:val="left"/>
              <w:rPr>
                <w:rFonts w:eastAsia="Times New Roman" w:cs="Calibri"/>
                <w:b w:val="0"/>
                <w:bCs w:val="0"/>
                <w:color w:val="000000"/>
                <w:sz w:val="20"/>
                <w:szCs w:val="20"/>
                <w:lang w:val="pt-PT"/>
              </w:rPr>
            </w:pPr>
          </w:p>
        </w:tc>
        <w:tc>
          <w:tcPr>
            <w:tcW w:w="5760" w:type="dxa"/>
            <w:noWrap/>
            <w:vAlign w:val="center"/>
          </w:tcPr>
          <w:p w14:paraId="6ACDDFD9" w14:textId="77777777" w:rsidR="004E44AB" w:rsidRPr="00292532" w:rsidRDefault="004E44AB" w:rsidP="00472547">
            <w:pPr>
              <w:widowControl w:val="0"/>
              <w:tabs>
                <w:tab w:val="left" w:pos="729"/>
              </w:tabs>
              <w:autoSpaceDE w:val="0"/>
              <w:autoSpaceDN w:val="0"/>
              <w:spacing w:before="0"/>
              <w:cnfStyle w:val="000000000000" w:firstRow="0" w:lastRow="0" w:firstColumn="0" w:lastColumn="0" w:oddVBand="0" w:evenVBand="0" w:oddHBand="0" w:evenHBand="0" w:firstRowFirstColumn="0" w:firstRowLastColumn="0" w:lastRowFirstColumn="0" w:lastRowLastColumn="0"/>
              <w:rPr>
                <w:sz w:val="20"/>
                <w:lang w:val="pt-PT"/>
              </w:rPr>
            </w:pPr>
            <w:r w:rsidRPr="00292532">
              <w:rPr>
                <w:color w:val="231F20"/>
                <w:sz w:val="20"/>
                <w:lang w:val="pt-PT"/>
              </w:rPr>
              <w:t>Zonas</w:t>
            </w:r>
            <w:r w:rsidRPr="00292532">
              <w:rPr>
                <w:color w:val="231F20"/>
                <w:spacing w:val="-2"/>
                <w:sz w:val="20"/>
                <w:lang w:val="pt-PT"/>
              </w:rPr>
              <w:t xml:space="preserve"> </w:t>
            </w:r>
            <w:r w:rsidRPr="00292532">
              <w:rPr>
                <w:color w:val="231F20"/>
                <w:sz w:val="20"/>
                <w:lang w:val="pt-PT"/>
              </w:rPr>
              <w:t>contendo</w:t>
            </w:r>
            <w:r w:rsidRPr="00292532">
              <w:rPr>
                <w:color w:val="231F20"/>
                <w:spacing w:val="-1"/>
                <w:sz w:val="20"/>
                <w:lang w:val="pt-PT"/>
              </w:rPr>
              <w:t xml:space="preserve"> </w:t>
            </w:r>
            <w:r w:rsidRPr="00292532">
              <w:rPr>
                <w:color w:val="231F20"/>
                <w:sz w:val="20"/>
                <w:lang w:val="pt-PT"/>
              </w:rPr>
              <w:t>espécies</w:t>
            </w:r>
            <w:r w:rsidRPr="00292532">
              <w:rPr>
                <w:color w:val="231F20"/>
                <w:spacing w:val="-1"/>
                <w:sz w:val="20"/>
                <w:lang w:val="pt-PT"/>
              </w:rPr>
              <w:t xml:space="preserve"> </w:t>
            </w:r>
            <w:r w:rsidRPr="00292532">
              <w:rPr>
                <w:color w:val="231F20"/>
                <w:sz w:val="20"/>
                <w:lang w:val="pt-PT"/>
              </w:rPr>
              <w:t>animais</w:t>
            </w:r>
            <w:r w:rsidRPr="00292532">
              <w:rPr>
                <w:color w:val="231F20"/>
                <w:spacing w:val="-1"/>
                <w:sz w:val="20"/>
                <w:lang w:val="pt-PT"/>
              </w:rPr>
              <w:t xml:space="preserve"> </w:t>
            </w:r>
            <w:r w:rsidRPr="00292532">
              <w:rPr>
                <w:color w:val="231F20"/>
                <w:sz w:val="20"/>
                <w:lang w:val="pt-PT"/>
              </w:rPr>
              <w:t>e/ou</w:t>
            </w:r>
            <w:r w:rsidRPr="00292532">
              <w:rPr>
                <w:color w:val="231F20"/>
                <w:spacing w:val="-1"/>
                <w:sz w:val="20"/>
                <w:lang w:val="pt-PT"/>
              </w:rPr>
              <w:t xml:space="preserve"> </w:t>
            </w:r>
            <w:r w:rsidRPr="00292532">
              <w:rPr>
                <w:color w:val="231F20"/>
                <w:sz w:val="20"/>
                <w:lang w:val="pt-PT"/>
              </w:rPr>
              <w:t>vegetais,</w:t>
            </w:r>
            <w:r w:rsidRPr="00292532">
              <w:rPr>
                <w:color w:val="231F20"/>
                <w:spacing w:val="-2"/>
                <w:sz w:val="20"/>
                <w:lang w:val="pt-PT"/>
              </w:rPr>
              <w:t xml:space="preserve"> </w:t>
            </w:r>
            <w:r w:rsidRPr="00292532">
              <w:rPr>
                <w:color w:val="231F20"/>
                <w:sz w:val="20"/>
                <w:lang w:val="pt-PT"/>
              </w:rPr>
              <w:t>habitats</w:t>
            </w:r>
          </w:p>
          <w:p w14:paraId="77116F3B"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color w:val="231F20"/>
                <w:lang w:val="pt-PT"/>
              </w:rPr>
              <w:t>e</w:t>
            </w:r>
            <w:r w:rsidRPr="00292532">
              <w:rPr>
                <w:color w:val="231F20"/>
                <w:spacing w:val="-1"/>
                <w:lang w:val="pt-PT"/>
              </w:rPr>
              <w:t xml:space="preserve"> </w:t>
            </w:r>
            <w:r w:rsidRPr="00292532">
              <w:rPr>
                <w:color w:val="231F20"/>
                <w:lang w:val="pt-PT"/>
              </w:rPr>
              <w:t>ecossistemas</w:t>
            </w:r>
            <w:r w:rsidRPr="00292532">
              <w:rPr>
                <w:color w:val="231F20"/>
                <w:spacing w:val="-1"/>
                <w:lang w:val="pt-PT"/>
              </w:rPr>
              <w:t xml:space="preserve"> </w:t>
            </w:r>
            <w:r w:rsidRPr="00292532">
              <w:rPr>
                <w:color w:val="231F20"/>
                <w:lang w:val="pt-PT"/>
              </w:rPr>
              <w:t>em</w:t>
            </w:r>
            <w:r w:rsidRPr="00292532">
              <w:rPr>
                <w:color w:val="231F20"/>
                <w:spacing w:val="-1"/>
                <w:lang w:val="pt-PT"/>
              </w:rPr>
              <w:t xml:space="preserve"> </w:t>
            </w:r>
            <w:r w:rsidRPr="00292532">
              <w:rPr>
                <w:color w:val="231F20"/>
                <w:lang w:val="pt-PT"/>
              </w:rPr>
              <w:t>extinção</w:t>
            </w:r>
          </w:p>
        </w:tc>
        <w:tc>
          <w:tcPr>
            <w:tcW w:w="1080" w:type="dxa"/>
            <w:noWrap/>
            <w:vAlign w:val="center"/>
          </w:tcPr>
          <w:p w14:paraId="72E51DBF"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4E44AB" w:rsidRPr="00292532" w14:paraId="3E9DA1DF"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vMerge w:val="restart"/>
            <w:noWrap/>
            <w:vAlign w:val="center"/>
            <w:hideMark/>
          </w:tcPr>
          <w:p w14:paraId="238E189C" w14:textId="77777777" w:rsidR="004E44AB" w:rsidRPr="00292532" w:rsidRDefault="004E44AB" w:rsidP="00472547">
            <w:pPr>
              <w:spacing w:before="0"/>
              <w:jc w:val="center"/>
              <w:rPr>
                <w:rFonts w:eastAsia="Times New Roman" w:cs="Calibri"/>
                <w:color w:val="000000"/>
                <w:sz w:val="20"/>
                <w:szCs w:val="20"/>
                <w:lang w:val="pt-PT"/>
              </w:rPr>
            </w:pPr>
            <w:r w:rsidRPr="00292532">
              <w:rPr>
                <w:rFonts w:eastAsia="Times New Roman" w:cs="Calibri"/>
                <w:color w:val="000000"/>
                <w:sz w:val="20"/>
                <w:szCs w:val="20"/>
                <w:lang w:val="pt-PT"/>
              </w:rPr>
              <w:t>Potenciais Impactos</w:t>
            </w:r>
          </w:p>
        </w:tc>
        <w:tc>
          <w:tcPr>
            <w:tcW w:w="5760" w:type="dxa"/>
            <w:noWrap/>
            <w:vAlign w:val="center"/>
            <w:hideMark/>
          </w:tcPr>
          <w:p w14:paraId="1D52CFAC"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p w14:paraId="0CF5B967"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c>
          <w:tcPr>
            <w:tcW w:w="1080" w:type="dxa"/>
            <w:noWrap/>
            <w:vAlign w:val="center"/>
            <w:hideMark/>
          </w:tcPr>
          <w:p w14:paraId="49D65592"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4E44AB" w:rsidRPr="008D18CF" w14:paraId="47A168D2"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vMerge/>
            <w:noWrap/>
            <w:vAlign w:val="center"/>
          </w:tcPr>
          <w:p w14:paraId="4057CE10" w14:textId="77777777" w:rsidR="004E44AB" w:rsidRPr="00292532" w:rsidRDefault="004E44AB" w:rsidP="00472547">
            <w:pPr>
              <w:spacing w:before="0"/>
              <w:jc w:val="left"/>
              <w:rPr>
                <w:rFonts w:eastAsia="Times New Roman" w:cs="Calibri"/>
                <w:b w:val="0"/>
                <w:bCs w:val="0"/>
                <w:color w:val="000000"/>
                <w:sz w:val="20"/>
                <w:szCs w:val="20"/>
                <w:lang w:val="pt-PT"/>
              </w:rPr>
            </w:pPr>
          </w:p>
        </w:tc>
        <w:tc>
          <w:tcPr>
            <w:tcW w:w="5760" w:type="dxa"/>
            <w:noWrap/>
            <w:vAlign w:val="center"/>
          </w:tcPr>
          <w:p w14:paraId="038924CB" w14:textId="77777777" w:rsidR="004E44AB" w:rsidRPr="00292532" w:rsidRDefault="004E44AB" w:rsidP="00472547">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roofErr w:type="spellStart"/>
            <w:r w:rsidRPr="00292532">
              <w:rPr>
                <w:rFonts w:eastAsia="Times New Roman" w:cs="Calibri"/>
                <w:color w:val="000000"/>
                <w:sz w:val="20"/>
                <w:szCs w:val="20"/>
                <w:lang w:val="pt-PT"/>
              </w:rPr>
              <w:t>Actividades</w:t>
            </w:r>
            <w:proofErr w:type="spellEnd"/>
            <w:r w:rsidRPr="00292532">
              <w:rPr>
                <w:rFonts w:eastAsia="Times New Roman" w:cs="Calibri"/>
                <w:color w:val="000000"/>
                <w:sz w:val="20"/>
                <w:szCs w:val="20"/>
                <w:lang w:val="pt-PT"/>
              </w:rPr>
              <w:t xml:space="preserve"> com impactos potenciais irreversíveis antes da aplicação de medidas de mitigação, em áreas cuja </w:t>
            </w:r>
            <w:proofErr w:type="spellStart"/>
            <w:r w:rsidRPr="00292532">
              <w:rPr>
                <w:rFonts w:eastAsia="Times New Roman" w:cs="Calibri"/>
                <w:color w:val="000000"/>
                <w:sz w:val="20"/>
                <w:szCs w:val="20"/>
                <w:lang w:val="pt-PT"/>
              </w:rPr>
              <w:t>actividade</w:t>
            </w:r>
            <w:proofErr w:type="spellEnd"/>
            <w:r w:rsidRPr="00292532">
              <w:rPr>
                <w:rFonts w:eastAsia="Times New Roman" w:cs="Calibri"/>
                <w:color w:val="000000"/>
                <w:sz w:val="20"/>
                <w:szCs w:val="20"/>
                <w:lang w:val="pt-PT"/>
              </w:rPr>
              <w:t xml:space="preserve"> humana não </w:t>
            </w:r>
            <w:r w:rsidRPr="00292532">
              <w:rPr>
                <w:rFonts w:eastAsia="Times New Roman" w:cs="Calibri"/>
                <w:color w:val="000000"/>
                <w:sz w:val="20"/>
                <w:szCs w:val="20"/>
                <w:lang w:val="pt-PT"/>
              </w:rPr>
              <w:lastRenderedPageBreak/>
              <w:t>tenha modificado substancialmente   as   funções   ecológicas   nativas e a composição das espécies da área</w:t>
            </w:r>
          </w:p>
          <w:p w14:paraId="3F551F37" w14:textId="77777777" w:rsidR="004E44AB" w:rsidRPr="00292532" w:rsidRDefault="004E44AB" w:rsidP="00472547">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c>
          <w:tcPr>
            <w:tcW w:w="1080" w:type="dxa"/>
            <w:noWrap/>
            <w:vAlign w:val="center"/>
          </w:tcPr>
          <w:p w14:paraId="3F9B65E9"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4E44AB" w:rsidRPr="008D18CF" w14:paraId="3EBBEF93"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vMerge/>
            <w:noWrap/>
            <w:vAlign w:val="center"/>
          </w:tcPr>
          <w:p w14:paraId="163F1D94" w14:textId="77777777" w:rsidR="004E44AB" w:rsidRPr="00292532" w:rsidRDefault="004E44AB" w:rsidP="00472547">
            <w:pPr>
              <w:spacing w:before="0"/>
              <w:jc w:val="left"/>
              <w:rPr>
                <w:rFonts w:eastAsia="Times New Roman" w:cs="Calibri"/>
                <w:b w:val="0"/>
                <w:bCs w:val="0"/>
                <w:color w:val="000000"/>
                <w:sz w:val="20"/>
                <w:szCs w:val="20"/>
                <w:lang w:val="pt-PT"/>
              </w:rPr>
            </w:pPr>
          </w:p>
        </w:tc>
        <w:tc>
          <w:tcPr>
            <w:tcW w:w="5760" w:type="dxa"/>
            <w:noWrap/>
            <w:vAlign w:val="center"/>
          </w:tcPr>
          <w:p w14:paraId="0E5E6FB7" w14:textId="77777777" w:rsidR="004E44AB" w:rsidRPr="00292532" w:rsidRDefault="004E44AB" w:rsidP="00472547">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roofErr w:type="spellStart"/>
            <w:r w:rsidRPr="00292532">
              <w:rPr>
                <w:rFonts w:eastAsia="Times New Roman" w:cs="Calibri"/>
                <w:color w:val="000000"/>
                <w:sz w:val="20"/>
                <w:szCs w:val="20"/>
                <w:lang w:val="pt-PT"/>
              </w:rPr>
              <w:t>Actividades</w:t>
            </w:r>
            <w:proofErr w:type="spellEnd"/>
            <w:r w:rsidRPr="00292532">
              <w:rPr>
                <w:rFonts w:eastAsia="Times New Roman" w:cs="Calibri"/>
                <w:color w:val="000000"/>
                <w:sz w:val="20"/>
                <w:szCs w:val="20"/>
                <w:lang w:val="pt-PT"/>
              </w:rPr>
              <w:t xml:space="preserve"> cuja implementação </w:t>
            </w:r>
            <w:proofErr w:type="spellStart"/>
            <w:r w:rsidRPr="00292532">
              <w:rPr>
                <w:rFonts w:eastAsia="Times New Roman" w:cs="Calibri"/>
                <w:color w:val="000000"/>
                <w:sz w:val="20"/>
                <w:szCs w:val="20"/>
                <w:lang w:val="pt-PT"/>
              </w:rPr>
              <w:t>afecte</w:t>
            </w:r>
            <w:proofErr w:type="spellEnd"/>
            <w:r w:rsidRPr="00292532">
              <w:rPr>
                <w:rFonts w:eastAsia="Times New Roman" w:cs="Calibri"/>
                <w:color w:val="000000"/>
                <w:sz w:val="20"/>
                <w:szCs w:val="20"/>
                <w:lang w:val="pt-PT"/>
              </w:rPr>
              <w:t xml:space="preserve"> </w:t>
            </w:r>
            <w:proofErr w:type="spellStart"/>
            <w:r w:rsidRPr="00292532">
              <w:rPr>
                <w:rFonts w:eastAsia="Times New Roman" w:cs="Calibri"/>
                <w:color w:val="000000"/>
                <w:sz w:val="20"/>
                <w:szCs w:val="20"/>
                <w:lang w:val="pt-PT"/>
              </w:rPr>
              <w:t>directamente</w:t>
            </w:r>
            <w:proofErr w:type="spellEnd"/>
            <w:r w:rsidRPr="00292532">
              <w:rPr>
                <w:rFonts w:eastAsia="Times New Roman" w:cs="Calibri"/>
                <w:color w:val="000000"/>
                <w:sz w:val="20"/>
                <w:szCs w:val="20"/>
                <w:lang w:val="pt-PT"/>
              </w:rPr>
              <w:t xml:space="preserve"> os recifes de coral e dunas primárias, mangal, zonas húmidas e ervas marinhas sempre que os mesmos sejam </w:t>
            </w:r>
            <w:proofErr w:type="spellStart"/>
            <w:r w:rsidRPr="00292532">
              <w:rPr>
                <w:rFonts w:eastAsia="Times New Roman" w:cs="Calibri"/>
                <w:color w:val="000000"/>
                <w:sz w:val="20"/>
                <w:szCs w:val="20"/>
                <w:lang w:val="pt-PT"/>
              </w:rPr>
              <w:t>afectados</w:t>
            </w:r>
            <w:proofErr w:type="spellEnd"/>
            <w:r w:rsidRPr="00292532">
              <w:rPr>
                <w:rFonts w:eastAsia="Times New Roman" w:cs="Calibri"/>
                <w:color w:val="000000"/>
                <w:sz w:val="20"/>
                <w:szCs w:val="20"/>
                <w:lang w:val="pt-PT"/>
              </w:rPr>
              <w:t xml:space="preserve"> numa área superior a 1ha;</w:t>
            </w:r>
          </w:p>
        </w:tc>
        <w:tc>
          <w:tcPr>
            <w:tcW w:w="1080" w:type="dxa"/>
            <w:noWrap/>
            <w:vAlign w:val="center"/>
          </w:tcPr>
          <w:p w14:paraId="57F074C1"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4E44AB" w:rsidRPr="008D18CF" w14:paraId="7C7E93A6"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vMerge/>
            <w:noWrap/>
            <w:vAlign w:val="center"/>
          </w:tcPr>
          <w:p w14:paraId="4AE29D9D" w14:textId="77777777" w:rsidR="004E44AB" w:rsidRPr="00292532" w:rsidRDefault="004E44AB" w:rsidP="00472547">
            <w:pPr>
              <w:spacing w:before="0"/>
              <w:jc w:val="left"/>
              <w:rPr>
                <w:rFonts w:eastAsia="Times New Roman" w:cs="Calibri"/>
                <w:b w:val="0"/>
                <w:bCs w:val="0"/>
                <w:color w:val="000000"/>
                <w:sz w:val="20"/>
                <w:szCs w:val="20"/>
                <w:lang w:val="pt-PT"/>
              </w:rPr>
            </w:pPr>
          </w:p>
        </w:tc>
        <w:tc>
          <w:tcPr>
            <w:tcW w:w="5760" w:type="dxa"/>
            <w:noWrap/>
            <w:vAlign w:val="center"/>
          </w:tcPr>
          <w:p w14:paraId="72C56740" w14:textId="77777777" w:rsidR="004E44AB" w:rsidRPr="00292532" w:rsidRDefault="004E44AB" w:rsidP="00472547">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 xml:space="preserve">Em áreas povoadas onde a </w:t>
            </w:r>
            <w:proofErr w:type="spellStart"/>
            <w:r w:rsidRPr="00292532">
              <w:rPr>
                <w:rFonts w:eastAsia="Times New Roman" w:cs="Calibri"/>
                <w:color w:val="000000"/>
                <w:sz w:val="20"/>
                <w:szCs w:val="20"/>
                <w:lang w:val="pt-PT"/>
              </w:rPr>
              <w:t>actividade</w:t>
            </w:r>
            <w:proofErr w:type="spellEnd"/>
            <w:r w:rsidRPr="00292532">
              <w:rPr>
                <w:rFonts w:eastAsia="Times New Roman" w:cs="Calibri"/>
                <w:color w:val="000000"/>
                <w:sz w:val="20"/>
                <w:szCs w:val="20"/>
                <w:lang w:val="pt-PT"/>
              </w:rPr>
              <w:t xml:space="preserve"> poderá implicar níveis elevados de poluição ou outro tipo de distúrbio que </w:t>
            </w:r>
            <w:proofErr w:type="spellStart"/>
            <w:r w:rsidRPr="00292532">
              <w:rPr>
                <w:rFonts w:eastAsia="Times New Roman" w:cs="Calibri"/>
                <w:color w:val="000000"/>
                <w:sz w:val="20"/>
                <w:szCs w:val="20"/>
                <w:lang w:val="pt-PT"/>
              </w:rPr>
              <w:t>afecte</w:t>
            </w:r>
            <w:proofErr w:type="spellEnd"/>
            <w:r w:rsidRPr="00292532">
              <w:rPr>
                <w:rFonts w:eastAsia="Times New Roman" w:cs="Calibri"/>
                <w:color w:val="000000"/>
                <w:sz w:val="20"/>
                <w:szCs w:val="20"/>
                <w:lang w:val="pt-PT"/>
              </w:rPr>
              <w:t xml:space="preserve"> significativamente as comunidades locais;</w:t>
            </w:r>
          </w:p>
        </w:tc>
        <w:tc>
          <w:tcPr>
            <w:tcW w:w="1080" w:type="dxa"/>
            <w:noWrap/>
            <w:vAlign w:val="center"/>
          </w:tcPr>
          <w:p w14:paraId="1A16EC93"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4E44AB" w:rsidRPr="008D18CF" w14:paraId="57D7C503"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noWrap/>
            <w:vAlign w:val="center"/>
          </w:tcPr>
          <w:p w14:paraId="1EF335C0" w14:textId="77777777" w:rsidR="004E44AB" w:rsidRPr="00292532" w:rsidRDefault="004E44AB" w:rsidP="00472547">
            <w:pPr>
              <w:spacing w:before="0"/>
              <w:jc w:val="left"/>
              <w:rPr>
                <w:rFonts w:eastAsia="Times New Roman" w:cs="Calibri"/>
                <w:color w:val="000000"/>
                <w:sz w:val="20"/>
                <w:szCs w:val="20"/>
                <w:lang w:val="pt-PT"/>
              </w:rPr>
            </w:pPr>
            <w:r w:rsidRPr="00292532">
              <w:rPr>
                <w:rFonts w:eastAsia="Times New Roman" w:cs="Calibri"/>
                <w:color w:val="000000"/>
                <w:sz w:val="20"/>
                <w:szCs w:val="20"/>
                <w:lang w:val="pt-PT"/>
              </w:rPr>
              <w:t xml:space="preserve">Tipo de </w:t>
            </w:r>
            <w:proofErr w:type="spellStart"/>
            <w:r w:rsidRPr="00292532">
              <w:rPr>
                <w:rFonts w:eastAsia="Times New Roman" w:cs="Calibri"/>
                <w:color w:val="000000"/>
                <w:sz w:val="20"/>
                <w:szCs w:val="20"/>
                <w:lang w:val="pt-PT"/>
              </w:rPr>
              <w:t>actividade</w:t>
            </w:r>
            <w:proofErr w:type="spellEnd"/>
          </w:p>
        </w:tc>
        <w:tc>
          <w:tcPr>
            <w:tcW w:w="5760" w:type="dxa"/>
            <w:noWrap/>
            <w:vAlign w:val="center"/>
          </w:tcPr>
          <w:p w14:paraId="7361D6B2" w14:textId="77777777" w:rsidR="004E44AB" w:rsidRPr="00292532" w:rsidRDefault="004E44AB" w:rsidP="00472547">
            <w:pPr>
              <w:widowControl w:val="0"/>
              <w:tabs>
                <w:tab w:val="left" w:pos="761"/>
              </w:tabs>
              <w:autoSpaceDE w:val="0"/>
              <w:autoSpaceDN w:val="0"/>
              <w:spacing w:before="2"/>
              <w:ind w:right="118"/>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color w:val="231F20"/>
                <w:spacing w:val="-4"/>
                <w:sz w:val="20"/>
                <w:lang w:val="pt-PT"/>
              </w:rPr>
              <w:t>Tratamento</w:t>
            </w:r>
            <w:r w:rsidRPr="00292532">
              <w:rPr>
                <w:color w:val="231F20"/>
                <w:spacing w:val="-23"/>
                <w:sz w:val="20"/>
                <w:lang w:val="pt-PT"/>
              </w:rPr>
              <w:t xml:space="preserve"> </w:t>
            </w:r>
            <w:r w:rsidRPr="00292532">
              <w:rPr>
                <w:color w:val="231F20"/>
                <w:spacing w:val="-4"/>
                <w:sz w:val="20"/>
                <w:lang w:val="pt-PT"/>
              </w:rPr>
              <w:t>e</w:t>
            </w:r>
            <w:r w:rsidRPr="00292532">
              <w:rPr>
                <w:color w:val="231F20"/>
                <w:spacing w:val="-23"/>
                <w:sz w:val="20"/>
                <w:lang w:val="pt-PT"/>
              </w:rPr>
              <w:t xml:space="preserve"> </w:t>
            </w:r>
            <w:r w:rsidRPr="00292532">
              <w:rPr>
                <w:color w:val="231F20"/>
                <w:spacing w:val="-4"/>
                <w:sz w:val="20"/>
                <w:lang w:val="pt-PT"/>
              </w:rPr>
              <w:t>fabrico</w:t>
            </w:r>
            <w:r w:rsidRPr="00292532">
              <w:rPr>
                <w:color w:val="231F20"/>
                <w:spacing w:val="-23"/>
                <w:sz w:val="20"/>
                <w:lang w:val="pt-PT"/>
              </w:rPr>
              <w:t xml:space="preserve"> </w:t>
            </w:r>
            <w:r w:rsidRPr="00292532">
              <w:rPr>
                <w:color w:val="231F20"/>
                <w:spacing w:val="-4"/>
                <w:sz w:val="20"/>
                <w:lang w:val="pt-PT"/>
              </w:rPr>
              <w:t>de</w:t>
            </w:r>
            <w:r w:rsidRPr="00292532">
              <w:rPr>
                <w:color w:val="231F20"/>
                <w:spacing w:val="-23"/>
                <w:sz w:val="20"/>
                <w:lang w:val="pt-PT"/>
              </w:rPr>
              <w:t xml:space="preserve"> </w:t>
            </w:r>
            <w:r w:rsidRPr="00292532">
              <w:rPr>
                <w:color w:val="231F20"/>
                <w:spacing w:val="-4"/>
                <w:sz w:val="20"/>
                <w:lang w:val="pt-PT"/>
              </w:rPr>
              <w:t>substâncias</w:t>
            </w:r>
            <w:r w:rsidRPr="00292532">
              <w:rPr>
                <w:color w:val="231F20"/>
                <w:spacing w:val="-22"/>
                <w:sz w:val="20"/>
                <w:lang w:val="pt-PT"/>
              </w:rPr>
              <w:t xml:space="preserve"> </w:t>
            </w:r>
            <w:r w:rsidRPr="00292532">
              <w:rPr>
                <w:color w:val="231F20"/>
                <w:spacing w:val="-4"/>
                <w:sz w:val="20"/>
                <w:lang w:val="pt-PT"/>
              </w:rPr>
              <w:t>perigosas</w:t>
            </w:r>
            <w:r w:rsidRPr="00292532">
              <w:rPr>
                <w:color w:val="231F20"/>
                <w:spacing w:val="-23"/>
                <w:sz w:val="20"/>
                <w:lang w:val="pt-PT"/>
              </w:rPr>
              <w:t xml:space="preserve"> </w:t>
            </w:r>
            <w:r w:rsidRPr="00292532">
              <w:rPr>
                <w:color w:val="231F20"/>
                <w:spacing w:val="-3"/>
                <w:sz w:val="20"/>
                <w:lang w:val="pt-PT"/>
              </w:rPr>
              <w:t>classificadas</w:t>
            </w:r>
            <w:r w:rsidRPr="00292532">
              <w:rPr>
                <w:color w:val="231F20"/>
                <w:spacing w:val="-48"/>
                <w:sz w:val="20"/>
                <w:lang w:val="pt-PT"/>
              </w:rPr>
              <w:t xml:space="preserve"> </w:t>
            </w:r>
            <w:r w:rsidRPr="00292532">
              <w:rPr>
                <w:color w:val="231F20"/>
                <w:sz w:val="20"/>
                <w:lang w:val="pt-PT"/>
              </w:rPr>
              <w:t>como</w:t>
            </w:r>
            <w:r w:rsidRPr="00292532">
              <w:rPr>
                <w:color w:val="231F20"/>
                <w:spacing w:val="-1"/>
                <w:sz w:val="20"/>
                <w:lang w:val="pt-PT"/>
              </w:rPr>
              <w:t xml:space="preserve"> </w:t>
            </w:r>
            <w:r w:rsidRPr="00292532">
              <w:rPr>
                <w:color w:val="231F20"/>
                <w:sz w:val="20"/>
                <w:lang w:val="pt-PT"/>
              </w:rPr>
              <w:t>cancerígenas,</w:t>
            </w:r>
            <w:r w:rsidRPr="00292532">
              <w:rPr>
                <w:color w:val="231F20"/>
                <w:spacing w:val="-1"/>
                <w:sz w:val="20"/>
                <w:lang w:val="pt-PT"/>
              </w:rPr>
              <w:t xml:space="preserve"> </w:t>
            </w:r>
            <w:r w:rsidRPr="00292532">
              <w:rPr>
                <w:color w:val="231F20"/>
                <w:sz w:val="20"/>
                <w:lang w:val="pt-PT"/>
              </w:rPr>
              <w:t>mutagénicas</w:t>
            </w:r>
            <w:r w:rsidRPr="00292532">
              <w:rPr>
                <w:color w:val="231F20"/>
                <w:spacing w:val="-1"/>
                <w:sz w:val="20"/>
                <w:lang w:val="pt-PT"/>
              </w:rPr>
              <w:t xml:space="preserve"> </w:t>
            </w:r>
            <w:r w:rsidRPr="00292532">
              <w:rPr>
                <w:color w:val="231F20"/>
                <w:sz w:val="20"/>
                <w:lang w:val="pt-PT"/>
              </w:rPr>
              <w:t>ou</w:t>
            </w:r>
            <w:r w:rsidRPr="00292532">
              <w:rPr>
                <w:color w:val="231F20"/>
                <w:spacing w:val="-1"/>
                <w:sz w:val="20"/>
                <w:lang w:val="pt-PT"/>
              </w:rPr>
              <w:t xml:space="preserve"> </w:t>
            </w:r>
            <w:r w:rsidRPr="00292532">
              <w:rPr>
                <w:color w:val="231F20"/>
                <w:sz w:val="20"/>
                <w:lang w:val="pt-PT"/>
              </w:rPr>
              <w:t>tóxicas;</w:t>
            </w:r>
          </w:p>
        </w:tc>
        <w:tc>
          <w:tcPr>
            <w:tcW w:w="1080" w:type="dxa"/>
            <w:noWrap/>
            <w:vAlign w:val="center"/>
          </w:tcPr>
          <w:p w14:paraId="0B76639A"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4E44AB" w:rsidRPr="008D18CF" w14:paraId="5C7D8EC1"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8635" w:type="dxa"/>
            <w:gridSpan w:val="3"/>
            <w:noWrap/>
            <w:vAlign w:val="center"/>
          </w:tcPr>
          <w:p w14:paraId="0BADFB87" w14:textId="77777777" w:rsidR="004E44AB" w:rsidRPr="00292532" w:rsidRDefault="004E44AB" w:rsidP="00472547">
            <w:pPr>
              <w:spacing w:before="0"/>
              <w:jc w:val="center"/>
              <w:rPr>
                <w:rFonts w:eastAsia="Times New Roman" w:cs="Calibri"/>
                <w:b w:val="0"/>
                <w:bCs w:val="0"/>
                <w:color w:val="000000"/>
                <w:sz w:val="20"/>
                <w:szCs w:val="20"/>
                <w:lang w:val="pt-PT"/>
              </w:rPr>
            </w:pPr>
            <w:r w:rsidRPr="00292532">
              <w:rPr>
                <w:rFonts w:eastAsia="Times New Roman" w:cs="Calibri"/>
                <w:color w:val="000000"/>
                <w:sz w:val="20"/>
                <w:szCs w:val="20"/>
                <w:lang w:val="pt-PT"/>
              </w:rPr>
              <w:t>CATEGORIA A</w:t>
            </w:r>
          </w:p>
          <w:p w14:paraId="2C97320D" w14:textId="77777777" w:rsidR="004E44AB" w:rsidRPr="00292532" w:rsidRDefault="004E44AB" w:rsidP="00472547">
            <w:pPr>
              <w:spacing w:before="0"/>
              <w:jc w:val="left"/>
              <w:rPr>
                <w:rFonts w:eastAsia="Times New Roman" w:cs="Calibri"/>
                <w:i/>
                <w:iCs/>
                <w:color w:val="000000"/>
                <w:sz w:val="20"/>
                <w:szCs w:val="20"/>
                <w:lang w:val="pt-PT"/>
              </w:rPr>
            </w:pPr>
            <w:r w:rsidRPr="00292532">
              <w:rPr>
                <w:rFonts w:eastAsia="Times New Roman" w:cs="Calibri"/>
                <w:b w:val="0"/>
                <w:bCs w:val="0"/>
                <w:i/>
                <w:iCs/>
                <w:color w:val="000000"/>
                <w:sz w:val="20"/>
                <w:szCs w:val="20"/>
                <w:lang w:val="pt-PT"/>
              </w:rPr>
              <w:t xml:space="preserve">(…são </w:t>
            </w:r>
            <w:proofErr w:type="spellStart"/>
            <w:r w:rsidRPr="00292532">
              <w:rPr>
                <w:rFonts w:eastAsia="Times New Roman" w:cs="Calibri"/>
                <w:b w:val="0"/>
                <w:bCs w:val="0"/>
                <w:i/>
                <w:iCs/>
                <w:color w:val="000000"/>
                <w:sz w:val="20"/>
                <w:szCs w:val="20"/>
                <w:lang w:val="pt-PT"/>
              </w:rPr>
              <w:t>acções</w:t>
            </w:r>
            <w:proofErr w:type="spellEnd"/>
            <w:r w:rsidRPr="00292532">
              <w:rPr>
                <w:rFonts w:eastAsia="Times New Roman" w:cs="Calibri"/>
                <w:b w:val="0"/>
                <w:bCs w:val="0"/>
                <w:i/>
                <w:iCs/>
                <w:color w:val="000000"/>
                <w:sz w:val="20"/>
                <w:szCs w:val="20"/>
                <w:lang w:val="pt-PT"/>
              </w:rPr>
              <w:t xml:space="preserve"> que </w:t>
            </w:r>
            <w:proofErr w:type="spellStart"/>
            <w:r w:rsidRPr="00292532">
              <w:rPr>
                <w:rFonts w:eastAsia="Times New Roman" w:cs="Calibri"/>
                <w:b w:val="0"/>
                <w:bCs w:val="0"/>
                <w:i/>
                <w:iCs/>
                <w:color w:val="000000"/>
                <w:sz w:val="20"/>
                <w:szCs w:val="20"/>
                <w:lang w:val="pt-PT"/>
              </w:rPr>
              <w:t>afectam</w:t>
            </w:r>
            <w:proofErr w:type="spellEnd"/>
            <w:r w:rsidRPr="00292532">
              <w:rPr>
                <w:rFonts w:eastAsia="Times New Roman" w:cs="Calibri"/>
                <w:b w:val="0"/>
                <w:bCs w:val="0"/>
                <w:i/>
                <w:iCs/>
                <w:color w:val="000000"/>
                <w:sz w:val="20"/>
                <w:szCs w:val="20"/>
                <w:lang w:val="pt-PT"/>
              </w:rPr>
              <w:t xml:space="preserve"> significativamente seres vivos e áreas ambientalmente sensíveis e os seus impactos são de maior duração, intensidade, magnitude e significância)</w:t>
            </w:r>
          </w:p>
          <w:p w14:paraId="3F67E58E" w14:textId="77777777" w:rsidR="004E44AB" w:rsidRPr="00292532" w:rsidRDefault="004E44AB" w:rsidP="00472547">
            <w:pPr>
              <w:spacing w:before="0"/>
              <w:jc w:val="left"/>
              <w:rPr>
                <w:rFonts w:eastAsia="Times New Roman" w:cs="Calibri"/>
                <w:i/>
                <w:iCs/>
                <w:color w:val="000000"/>
                <w:sz w:val="20"/>
                <w:szCs w:val="20"/>
                <w:lang w:val="pt-PT"/>
              </w:rPr>
            </w:pPr>
          </w:p>
          <w:p w14:paraId="0FDE4158" w14:textId="77777777" w:rsidR="004E44AB" w:rsidRPr="00292532" w:rsidRDefault="004E44AB" w:rsidP="00472547">
            <w:pPr>
              <w:spacing w:before="0"/>
              <w:jc w:val="left"/>
              <w:rPr>
                <w:rFonts w:eastAsia="Times New Roman" w:cs="Calibri"/>
                <w:i/>
                <w:iCs/>
                <w:color w:val="000000"/>
                <w:sz w:val="20"/>
                <w:szCs w:val="20"/>
                <w:lang w:val="pt-PT"/>
              </w:rPr>
            </w:pPr>
            <w:r w:rsidRPr="00292532">
              <w:rPr>
                <w:rFonts w:eastAsia="Times New Roman" w:cs="Calibri"/>
                <w:i/>
                <w:iCs/>
                <w:color w:val="000000"/>
                <w:sz w:val="20"/>
                <w:szCs w:val="20"/>
                <w:lang w:val="pt-PT"/>
              </w:rPr>
              <w:t xml:space="preserve">Cabem nesta categoria </w:t>
            </w:r>
            <w:proofErr w:type="spellStart"/>
            <w:r w:rsidRPr="00292532">
              <w:rPr>
                <w:rFonts w:eastAsia="Times New Roman" w:cs="Calibri"/>
                <w:i/>
                <w:iCs/>
                <w:color w:val="000000"/>
                <w:sz w:val="20"/>
                <w:szCs w:val="20"/>
                <w:lang w:val="pt-PT"/>
              </w:rPr>
              <w:t>projectos</w:t>
            </w:r>
            <w:proofErr w:type="spellEnd"/>
            <w:r w:rsidRPr="00292532">
              <w:rPr>
                <w:rFonts w:eastAsia="Times New Roman" w:cs="Calibri"/>
                <w:i/>
                <w:iCs/>
                <w:color w:val="000000"/>
                <w:sz w:val="20"/>
                <w:szCs w:val="20"/>
                <w:lang w:val="pt-PT"/>
              </w:rPr>
              <w:t xml:space="preserve"> com condutas e água com diâmetro de 0,5 m de diâmetro e mais de 10 km de comprimento (Anexo II - números 2.1/m/r)</w:t>
            </w:r>
          </w:p>
        </w:tc>
      </w:tr>
      <w:tr w:rsidR="004E44AB" w:rsidRPr="00292532" w14:paraId="6FDC206B"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vMerge w:val="restart"/>
            <w:noWrap/>
            <w:vAlign w:val="center"/>
          </w:tcPr>
          <w:p w14:paraId="57DA6E62" w14:textId="77777777" w:rsidR="004E44AB" w:rsidRPr="00292532" w:rsidRDefault="004E44AB" w:rsidP="00472547">
            <w:pPr>
              <w:spacing w:before="0"/>
              <w:jc w:val="left"/>
              <w:rPr>
                <w:rFonts w:eastAsia="Times New Roman" w:cs="Calibri"/>
                <w:color w:val="000000"/>
                <w:sz w:val="20"/>
                <w:szCs w:val="20"/>
                <w:lang w:val="pt-PT"/>
              </w:rPr>
            </w:pPr>
            <w:r w:rsidRPr="00292532">
              <w:rPr>
                <w:rFonts w:eastAsia="Times New Roman" w:cs="Calibri"/>
                <w:color w:val="000000"/>
                <w:sz w:val="20"/>
                <w:szCs w:val="20"/>
                <w:lang w:val="pt-PT"/>
              </w:rPr>
              <w:t xml:space="preserve">Localização da </w:t>
            </w:r>
            <w:proofErr w:type="spellStart"/>
            <w:r w:rsidRPr="00292532">
              <w:rPr>
                <w:rFonts w:eastAsia="Times New Roman" w:cs="Calibri"/>
                <w:color w:val="000000"/>
                <w:sz w:val="20"/>
                <w:szCs w:val="20"/>
                <w:lang w:val="pt-PT"/>
              </w:rPr>
              <w:t>actividade</w:t>
            </w:r>
            <w:proofErr w:type="spellEnd"/>
          </w:p>
        </w:tc>
        <w:tc>
          <w:tcPr>
            <w:tcW w:w="5760" w:type="dxa"/>
            <w:noWrap/>
            <w:vAlign w:val="center"/>
          </w:tcPr>
          <w:p w14:paraId="71C9917F" w14:textId="77777777" w:rsidR="004E44AB" w:rsidRPr="00292532" w:rsidRDefault="004E44AB" w:rsidP="00472547">
            <w:p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 xml:space="preserve">Áreas e ecossistemas reconhecidos como possuindo estatuto especial de </w:t>
            </w:r>
            <w:proofErr w:type="spellStart"/>
            <w:r w:rsidRPr="00292532">
              <w:rPr>
                <w:rFonts w:eastAsia="Times New Roman" w:cs="Calibri"/>
                <w:color w:val="000000"/>
                <w:sz w:val="20"/>
                <w:szCs w:val="20"/>
                <w:lang w:val="pt-PT"/>
              </w:rPr>
              <w:t>protecção</w:t>
            </w:r>
            <w:proofErr w:type="spellEnd"/>
            <w:r w:rsidRPr="00292532">
              <w:rPr>
                <w:rFonts w:eastAsia="Times New Roman" w:cs="Calibri"/>
                <w:color w:val="000000"/>
                <w:sz w:val="20"/>
                <w:szCs w:val="20"/>
                <w:lang w:val="pt-PT"/>
              </w:rPr>
              <w:t xml:space="preserve"> ao abrigo da legislação nacional e internacional tais como:</w:t>
            </w:r>
          </w:p>
          <w:p w14:paraId="5CDFA48E" w14:textId="77777777" w:rsidR="004E44AB" w:rsidRPr="00292532" w:rsidRDefault="004E44AB" w:rsidP="00472547">
            <w:pPr>
              <w:numPr>
                <w:ilvl w:val="0"/>
                <w:numId w:val="37"/>
              </w:num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Pequenas ilhas</w:t>
            </w:r>
          </w:p>
          <w:p w14:paraId="0AB8B953" w14:textId="77777777" w:rsidR="004E44AB" w:rsidRPr="00292532" w:rsidRDefault="004E44AB" w:rsidP="00472547">
            <w:pPr>
              <w:numPr>
                <w:ilvl w:val="0"/>
                <w:numId w:val="37"/>
              </w:num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Zonas de erosão eminentes</w:t>
            </w:r>
          </w:p>
          <w:p w14:paraId="6BAA618B" w14:textId="77777777" w:rsidR="004E44AB" w:rsidRPr="00292532" w:rsidRDefault="004E44AB" w:rsidP="00472547">
            <w:pPr>
              <w:numPr>
                <w:ilvl w:val="0"/>
                <w:numId w:val="37"/>
              </w:num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Zonas expostas a desertificação</w:t>
            </w:r>
          </w:p>
          <w:p w14:paraId="026CFAC6" w14:textId="77777777" w:rsidR="004E44AB" w:rsidRPr="00292532" w:rsidRDefault="004E44AB" w:rsidP="00472547">
            <w:pPr>
              <w:numPr>
                <w:ilvl w:val="0"/>
                <w:numId w:val="37"/>
              </w:num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 xml:space="preserve">Zonas de valor arqueológico, histórico e cultural a preservar </w:t>
            </w:r>
          </w:p>
          <w:p w14:paraId="29DD3959" w14:textId="77777777" w:rsidR="004E44AB" w:rsidRPr="00292532" w:rsidRDefault="004E44AB" w:rsidP="00472547">
            <w:pPr>
              <w:numPr>
                <w:ilvl w:val="0"/>
                <w:numId w:val="37"/>
              </w:num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 xml:space="preserve">Áreas de </w:t>
            </w:r>
            <w:proofErr w:type="spellStart"/>
            <w:r w:rsidRPr="00292532">
              <w:rPr>
                <w:rFonts w:eastAsia="Times New Roman" w:cs="Calibri"/>
                <w:color w:val="000000"/>
                <w:sz w:val="20"/>
                <w:szCs w:val="20"/>
                <w:lang w:val="pt-PT"/>
              </w:rPr>
              <w:t>protecção</w:t>
            </w:r>
            <w:proofErr w:type="spellEnd"/>
            <w:r w:rsidRPr="00292532">
              <w:rPr>
                <w:rFonts w:eastAsia="Times New Roman" w:cs="Calibri"/>
                <w:color w:val="000000"/>
                <w:sz w:val="20"/>
                <w:szCs w:val="20"/>
                <w:lang w:val="pt-PT"/>
              </w:rPr>
              <w:t xml:space="preserve"> de nascentes e mananciais de abastecimento </w:t>
            </w:r>
          </w:p>
          <w:p w14:paraId="26EDE6C0" w14:textId="77777777" w:rsidR="004E44AB" w:rsidRPr="00292532" w:rsidRDefault="004E44AB" w:rsidP="00472547">
            <w:pPr>
              <w:numPr>
                <w:ilvl w:val="0"/>
                <w:numId w:val="37"/>
              </w:num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Reservatórios de águas subterrâneas</w:t>
            </w:r>
          </w:p>
        </w:tc>
        <w:tc>
          <w:tcPr>
            <w:tcW w:w="1080" w:type="dxa"/>
            <w:noWrap/>
            <w:vAlign w:val="center"/>
          </w:tcPr>
          <w:p w14:paraId="0FBA0EF2"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4E44AB" w:rsidRPr="008D18CF" w14:paraId="34FEFB71"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vMerge/>
            <w:noWrap/>
            <w:vAlign w:val="center"/>
          </w:tcPr>
          <w:p w14:paraId="6AD4A626" w14:textId="77777777" w:rsidR="004E44AB" w:rsidRPr="00292532" w:rsidRDefault="004E44AB" w:rsidP="00472547">
            <w:pPr>
              <w:spacing w:before="0"/>
              <w:jc w:val="left"/>
              <w:rPr>
                <w:rFonts w:eastAsia="Times New Roman" w:cs="Calibri"/>
                <w:color w:val="000000"/>
                <w:sz w:val="20"/>
                <w:szCs w:val="20"/>
                <w:lang w:val="pt-PT"/>
              </w:rPr>
            </w:pPr>
          </w:p>
        </w:tc>
        <w:tc>
          <w:tcPr>
            <w:tcW w:w="5760" w:type="dxa"/>
            <w:noWrap/>
            <w:vAlign w:val="center"/>
          </w:tcPr>
          <w:p w14:paraId="7AF6F49D"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Áreas povoadas que impliquem a necessidade de reassentamento:</w:t>
            </w:r>
          </w:p>
          <w:p w14:paraId="6F133221" w14:textId="77777777" w:rsidR="004E44AB" w:rsidRPr="00292532" w:rsidRDefault="004E44AB" w:rsidP="00472547">
            <w:pPr>
              <w:numPr>
                <w:ilvl w:val="0"/>
                <w:numId w:val="38"/>
              </w:num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Regiões sujeitas a níveis altos de desenvolvimento ou onde existam conflitos na distribuição e uso de recursos naturais</w:t>
            </w:r>
          </w:p>
          <w:p w14:paraId="4E770902" w14:textId="77777777" w:rsidR="004E44AB" w:rsidRPr="00292532" w:rsidRDefault="004E44AB" w:rsidP="00472547">
            <w:pPr>
              <w:numPr>
                <w:ilvl w:val="0"/>
                <w:numId w:val="38"/>
              </w:num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 xml:space="preserve">Áreas ao longo de cursos de água ou áreas usadas como fonte de abastecimento de água para o consumo das comunidades </w:t>
            </w:r>
          </w:p>
          <w:p w14:paraId="47A176A8" w14:textId="77777777" w:rsidR="004E44AB" w:rsidRPr="00292532" w:rsidRDefault="004E44AB" w:rsidP="00472547">
            <w:pPr>
              <w:numPr>
                <w:ilvl w:val="0"/>
                <w:numId w:val="38"/>
              </w:num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Zonas contendo recursos de valor como por exemplo aquáticos, minerais, plantas medicinais, etc.;</w:t>
            </w:r>
          </w:p>
          <w:p w14:paraId="1851D836" w14:textId="77777777" w:rsidR="004E44AB" w:rsidRPr="00292532" w:rsidRDefault="004E44AB" w:rsidP="00472547">
            <w:pPr>
              <w:numPr>
                <w:ilvl w:val="0"/>
                <w:numId w:val="38"/>
              </w:num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Zonas propensas a calamidades naturais</w:t>
            </w:r>
          </w:p>
        </w:tc>
        <w:tc>
          <w:tcPr>
            <w:tcW w:w="1080" w:type="dxa"/>
            <w:noWrap/>
            <w:vAlign w:val="center"/>
          </w:tcPr>
          <w:p w14:paraId="16E0468B"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4E44AB" w:rsidRPr="008D18CF" w14:paraId="70EFB7EB"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noWrap/>
            <w:vAlign w:val="center"/>
          </w:tcPr>
          <w:p w14:paraId="3500F9B0" w14:textId="77777777" w:rsidR="004E44AB" w:rsidRPr="00292532" w:rsidRDefault="004E44AB" w:rsidP="00472547">
            <w:pPr>
              <w:spacing w:before="0"/>
              <w:jc w:val="left"/>
              <w:rPr>
                <w:rFonts w:eastAsia="Times New Roman" w:cs="Calibri"/>
                <w:color w:val="000000"/>
                <w:sz w:val="20"/>
                <w:szCs w:val="20"/>
                <w:lang w:val="pt-PT"/>
              </w:rPr>
            </w:pPr>
            <w:r w:rsidRPr="00292532">
              <w:rPr>
                <w:rFonts w:eastAsia="Times New Roman" w:cs="Calibri"/>
                <w:color w:val="000000"/>
                <w:sz w:val="20"/>
                <w:szCs w:val="20"/>
                <w:lang w:val="pt-PT"/>
              </w:rPr>
              <w:t xml:space="preserve">Reassentamento </w:t>
            </w:r>
          </w:p>
        </w:tc>
        <w:tc>
          <w:tcPr>
            <w:tcW w:w="5760" w:type="dxa"/>
            <w:noWrap/>
            <w:vAlign w:val="center"/>
          </w:tcPr>
          <w:p w14:paraId="0177B466"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 xml:space="preserve">Todas as </w:t>
            </w:r>
            <w:proofErr w:type="spellStart"/>
            <w:r w:rsidRPr="00292532">
              <w:rPr>
                <w:rFonts w:eastAsia="Times New Roman" w:cs="Calibri"/>
                <w:color w:val="000000"/>
                <w:sz w:val="20"/>
                <w:szCs w:val="20"/>
                <w:lang w:val="pt-PT"/>
              </w:rPr>
              <w:t>actividades</w:t>
            </w:r>
            <w:proofErr w:type="spellEnd"/>
            <w:r w:rsidRPr="00292532">
              <w:rPr>
                <w:rFonts w:eastAsia="Times New Roman" w:cs="Calibri"/>
                <w:color w:val="000000"/>
                <w:sz w:val="20"/>
                <w:szCs w:val="20"/>
                <w:lang w:val="pt-PT"/>
              </w:rPr>
              <w:t xml:space="preserve"> que impliquem Reassentamento populacional</w:t>
            </w:r>
          </w:p>
        </w:tc>
        <w:tc>
          <w:tcPr>
            <w:tcW w:w="1080" w:type="dxa"/>
            <w:noWrap/>
            <w:vAlign w:val="center"/>
          </w:tcPr>
          <w:p w14:paraId="68507043"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4E44AB" w:rsidRPr="008D18CF" w14:paraId="1DE94D6C"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vMerge w:val="restart"/>
            <w:noWrap/>
            <w:vAlign w:val="center"/>
          </w:tcPr>
          <w:p w14:paraId="376FA829" w14:textId="77777777" w:rsidR="004E44AB" w:rsidRPr="00292532" w:rsidRDefault="004E44AB" w:rsidP="00472547">
            <w:pPr>
              <w:spacing w:before="0"/>
              <w:jc w:val="left"/>
              <w:rPr>
                <w:rFonts w:eastAsia="Times New Roman" w:cs="Calibri"/>
                <w:color w:val="000000"/>
                <w:sz w:val="20"/>
                <w:szCs w:val="20"/>
                <w:lang w:val="pt-PT"/>
              </w:rPr>
            </w:pPr>
            <w:r w:rsidRPr="00292532">
              <w:rPr>
                <w:rFonts w:eastAsia="Times New Roman" w:cs="Calibri"/>
                <w:color w:val="000000"/>
                <w:sz w:val="20"/>
                <w:szCs w:val="20"/>
                <w:lang w:val="pt-PT"/>
              </w:rPr>
              <w:t xml:space="preserve">Tipo de </w:t>
            </w:r>
            <w:proofErr w:type="spellStart"/>
            <w:r w:rsidRPr="00292532">
              <w:rPr>
                <w:rFonts w:eastAsia="Times New Roman" w:cs="Calibri"/>
                <w:color w:val="000000"/>
                <w:sz w:val="20"/>
                <w:szCs w:val="20"/>
                <w:lang w:val="pt-PT"/>
              </w:rPr>
              <w:t>actividade</w:t>
            </w:r>
            <w:proofErr w:type="spellEnd"/>
          </w:p>
        </w:tc>
        <w:tc>
          <w:tcPr>
            <w:tcW w:w="5760" w:type="dxa"/>
            <w:noWrap/>
            <w:vAlign w:val="center"/>
          </w:tcPr>
          <w:p w14:paraId="5192F50D"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Condutas de água de mais de 0.5m de diâmetro e com</w:t>
            </w:r>
          </w:p>
          <w:p w14:paraId="0DCFCA7E"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mais de 10km de comprimento</w:t>
            </w:r>
          </w:p>
        </w:tc>
        <w:tc>
          <w:tcPr>
            <w:tcW w:w="1080" w:type="dxa"/>
            <w:noWrap/>
            <w:vAlign w:val="center"/>
          </w:tcPr>
          <w:p w14:paraId="77980449"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4E44AB" w:rsidRPr="008D18CF" w14:paraId="31A0550D"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vMerge/>
            <w:noWrap/>
            <w:vAlign w:val="center"/>
            <w:hideMark/>
          </w:tcPr>
          <w:p w14:paraId="1A4BE71A" w14:textId="77777777" w:rsidR="004E44AB" w:rsidRPr="00292532" w:rsidRDefault="004E44AB" w:rsidP="00472547">
            <w:pPr>
              <w:spacing w:before="0"/>
              <w:jc w:val="left"/>
              <w:rPr>
                <w:rFonts w:eastAsia="Times New Roman" w:cs="Calibri"/>
                <w:color w:val="000000"/>
                <w:sz w:val="20"/>
                <w:szCs w:val="20"/>
                <w:lang w:val="pt-PT"/>
              </w:rPr>
            </w:pPr>
          </w:p>
        </w:tc>
        <w:tc>
          <w:tcPr>
            <w:tcW w:w="5760" w:type="dxa"/>
            <w:noWrap/>
            <w:vAlign w:val="center"/>
          </w:tcPr>
          <w:p w14:paraId="6CED9321"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Adutoras (com aquedutos) de mais de 10km de comprimento e diâmetro igual ou superior a 1m</w:t>
            </w:r>
          </w:p>
        </w:tc>
        <w:tc>
          <w:tcPr>
            <w:tcW w:w="1080" w:type="dxa"/>
            <w:noWrap/>
            <w:vAlign w:val="center"/>
            <w:hideMark/>
          </w:tcPr>
          <w:p w14:paraId="71324C27"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4E44AB" w:rsidRPr="008D18CF" w14:paraId="07323139"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vMerge/>
            <w:noWrap/>
            <w:vAlign w:val="center"/>
            <w:hideMark/>
          </w:tcPr>
          <w:p w14:paraId="6EEBA850" w14:textId="77777777" w:rsidR="004E44AB" w:rsidRPr="00292532" w:rsidRDefault="004E44AB" w:rsidP="00472547">
            <w:pPr>
              <w:spacing w:before="0"/>
              <w:jc w:val="left"/>
              <w:rPr>
                <w:rFonts w:eastAsia="Times New Roman" w:cs="Calibri"/>
                <w:color w:val="000000"/>
                <w:sz w:val="20"/>
                <w:szCs w:val="20"/>
                <w:lang w:val="pt-PT"/>
              </w:rPr>
            </w:pPr>
          </w:p>
        </w:tc>
        <w:tc>
          <w:tcPr>
            <w:tcW w:w="5760" w:type="dxa"/>
            <w:noWrap/>
            <w:vAlign w:val="center"/>
          </w:tcPr>
          <w:p w14:paraId="61A50809"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 xml:space="preserve">Exploração para, e uso de recursos de água subterrânea incluindo a produção de energia geotérmica que impliquem a </w:t>
            </w:r>
            <w:proofErr w:type="spellStart"/>
            <w:r w:rsidRPr="00292532">
              <w:rPr>
                <w:rFonts w:eastAsia="Times New Roman" w:cs="Calibri"/>
                <w:color w:val="000000"/>
                <w:sz w:val="20"/>
                <w:szCs w:val="20"/>
                <w:lang w:val="pt-PT"/>
              </w:rPr>
              <w:t>extracção</w:t>
            </w:r>
            <w:proofErr w:type="spellEnd"/>
            <w:r w:rsidRPr="00292532">
              <w:rPr>
                <w:rFonts w:eastAsia="Times New Roman" w:cs="Calibri"/>
                <w:color w:val="000000"/>
                <w:sz w:val="20"/>
                <w:szCs w:val="20"/>
                <w:lang w:val="pt-PT"/>
              </w:rPr>
              <w:t xml:space="preserve"> de mais de 500m</w:t>
            </w:r>
            <w:r w:rsidRPr="00292532">
              <w:rPr>
                <w:rFonts w:eastAsia="Times New Roman" w:cs="Calibri"/>
                <w:color w:val="000000"/>
                <w:sz w:val="20"/>
                <w:szCs w:val="20"/>
                <w:vertAlign w:val="superscript"/>
                <w:lang w:val="pt-PT"/>
              </w:rPr>
              <w:t>3</w:t>
            </w:r>
            <w:r w:rsidRPr="00292532">
              <w:rPr>
                <w:rFonts w:eastAsia="Times New Roman" w:cs="Calibri"/>
                <w:color w:val="000000"/>
                <w:sz w:val="20"/>
                <w:szCs w:val="20"/>
                <w:lang w:val="pt-PT"/>
              </w:rPr>
              <w:t>/h ou 12.000m</w:t>
            </w:r>
            <w:r w:rsidRPr="00292532">
              <w:rPr>
                <w:rFonts w:eastAsia="Times New Roman" w:cs="Calibri"/>
                <w:color w:val="000000"/>
                <w:sz w:val="20"/>
                <w:szCs w:val="20"/>
                <w:vertAlign w:val="superscript"/>
                <w:lang w:val="pt-PT"/>
              </w:rPr>
              <w:t>3</w:t>
            </w:r>
            <w:r w:rsidRPr="00292532">
              <w:rPr>
                <w:rFonts w:eastAsia="Times New Roman" w:cs="Calibri"/>
                <w:color w:val="000000"/>
                <w:sz w:val="20"/>
                <w:szCs w:val="20"/>
                <w:lang w:val="pt-PT"/>
              </w:rPr>
              <w:t>/dia</w:t>
            </w:r>
          </w:p>
        </w:tc>
        <w:tc>
          <w:tcPr>
            <w:tcW w:w="1080" w:type="dxa"/>
            <w:noWrap/>
            <w:vAlign w:val="center"/>
            <w:hideMark/>
          </w:tcPr>
          <w:p w14:paraId="13322E98"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4E44AB" w:rsidRPr="008D18CF" w14:paraId="7F8B9199"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vMerge/>
            <w:noWrap/>
            <w:vAlign w:val="center"/>
            <w:hideMark/>
          </w:tcPr>
          <w:p w14:paraId="2B970D6F" w14:textId="77777777" w:rsidR="004E44AB" w:rsidRPr="00292532" w:rsidRDefault="004E44AB" w:rsidP="00472547">
            <w:pPr>
              <w:spacing w:before="0"/>
              <w:jc w:val="left"/>
              <w:rPr>
                <w:rFonts w:eastAsia="Times New Roman" w:cs="Calibri"/>
                <w:color w:val="000000"/>
                <w:sz w:val="20"/>
                <w:szCs w:val="20"/>
                <w:lang w:val="pt-PT"/>
              </w:rPr>
            </w:pPr>
          </w:p>
        </w:tc>
        <w:tc>
          <w:tcPr>
            <w:tcW w:w="5760" w:type="dxa"/>
            <w:noWrap/>
            <w:vAlign w:val="center"/>
            <w:hideMark/>
          </w:tcPr>
          <w:p w14:paraId="5CEB17DD"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Instalações de tratamento de águas residuais/esgotos com capacidade para mais de 150.000 habitantes</w:t>
            </w:r>
          </w:p>
        </w:tc>
        <w:tc>
          <w:tcPr>
            <w:tcW w:w="1080" w:type="dxa"/>
            <w:noWrap/>
            <w:vAlign w:val="center"/>
            <w:hideMark/>
          </w:tcPr>
          <w:p w14:paraId="41FF707F"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4E44AB" w:rsidRPr="008D18CF" w14:paraId="352A8042"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8635" w:type="dxa"/>
            <w:gridSpan w:val="3"/>
            <w:noWrap/>
            <w:vAlign w:val="center"/>
            <w:hideMark/>
          </w:tcPr>
          <w:p w14:paraId="285D9624" w14:textId="77777777" w:rsidR="004E44AB" w:rsidRPr="00292532" w:rsidRDefault="004E44AB" w:rsidP="00472547">
            <w:pPr>
              <w:spacing w:before="0"/>
              <w:jc w:val="center"/>
              <w:rPr>
                <w:rFonts w:eastAsia="Times New Roman" w:cs="Calibri"/>
                <w:b w:val="0"/>
                <w:bCs w:val="0"/>
                <w:color w:val="000000"/>
                <w:sz w:val="20"/>
                <w:szCs w:val="20"/>
                <w:lang w:val="pt-PT"/>
              </w:rPr>
            </w:pPr>
            <w:r w:rsidRPr="00292532">
              <w:rPr>
                <w:rFonts w:eastAsia="Times New Roman" w:cs="Calibri"/>
                <w:color w:val="000000"/>
                <w:sz w:val="20"/>
                <w:szCs w:val="20"/>
                <w:lang w:val="pt-PT"/>
              </w:rPr>
              <w:t>CATEGORIA B</w:t>
            </w:r>
          </w:p>
          <w:p w14:paraId="2955AAC9" w14:textId="77777777" w:rsidR="004E44AB" w:rsidRPr="00292532" w:rsidRDefault="004E44AB" w:rsidP="00472547">
            <w:pPr>
              <w:spacing w:before="0"/>
              <w:jc w:val="left"/>
              <w:rPr>
                <w:rFonts w:eastAsia="Times New Roman" w:cs="Calibri"/>
                <w:i/>
                <w:iCs/>
                <w:color w:val="000000"/>
                <w:sz w:val="20"/>
                <w:szCs w:val="20"/>
                <w:lang w:val="pt-PT"/>
              </w:rPr>
            </w:pPr>
            <w:r w:rsidRPr="00292532">
              <w:rPr>
                <w:rFonts w:eastAsia="Times New Roman" w:cs="Calibri"/>
                <w:b w:val="0"/>
                <w:bCs w:val="0"/>
                <w:i/>
                <w:iCs/>
                <w:color w:val="000000"/>
                <w:sz w:val="20"/>
                <w:szCs w:val="20"/>
                <w:lang w:val="pt-PT"/>
              </w:rPr>
              <w:t>(</w:t>
            </w:r>
            <w:r w:rsidRPr="00292532">
              <w:rPr>
                <w:rFonts w:eastAsia="Times New Roman" w:cs="Calibri"/>
                <w:b w:val="0"/>
                <w:bCs w:val="0"/>
                <w:color w:val="000000"/>
                <w:sz w:val="20"/>
                <w:szCs w:val="20"/>
                <w:lang w:val="pt-PT"/>
              </w:rPr>
              <w:t xml:space="preserve">… </w:t>
            </w:r>
            <w:r w:rsidRPr="00292532">
              <w:rPr>
                <w:rFonts w:eastAsia="Times New Roman" w:cs="Calibri"/>
                <w:b w:val="0"/>
                <w:bCs w:val="0"/>
                <w:i/>
                <w:iCs/>
                <w:color w:val="000000"/>
                <w:sz w:val="20"/>
                <w:szCs w:val="20"/>
                <w:lang w:val="pt-PT"/>
              </w:rPr>
              <w:t xml:space="preserve">São </w:t>
            </w:r>
            <w:proofErr w:type="spellStart"/>
            <w:r w:rsidRPr="00292532">
              <w:rPr>
                <w:rFonts w:eastAsia="Times New Roman" w:cs="Calibri"/>
                <w:b w:val="0"/>
                <w:bCs w:val="0"/>
                <w:i/>
                <w:iCs/>
                <w:color w:val="000000"/>
                <w:sz w:val="20"/>
                <w:szCs w:val="20"/>
                <w:lang w:val="pt-PT"/>
              </w:rPr>
              <w:t>acções</w:t>
            </w:r>
            <w:proofErr w:type="spellEnd"/>
            <w:r w:rsidRPr="00292532">
              <w:rPr>
                <w:rFonts w:eastAsia="Times New Roman" w:cs="Calibri"/>
                <w:b w:val="0"/>
                <w:bCs w:val="0"/>
                <w:i/>
                <w:iCs/>
                <w:color w:val="000000"/>
                <w:sz w:val="20"/>
                <w:szCs w:val="20"/>
                <w:lang w:val="pt-PT"/>
              </w:rPr>
              <w:t xml:space="preserve"> que não </w:t>
            </w:r>
            <w:proofErr w:type="spellStart"/>
            <w:r w:rsidRPr="00292532">
              <w:rPr>
                <w:rFonts w:eastAsia="Times New Roman" w:cs="Calibri"/>
                <w:b w:val="0"/>
                <w:bCs w:val="0"/>
                <w:i/>
                <w:iCs/>
                <w:color w:val="000000"/>
                <w:sz w:val="20"/>
                <w:szCs w:val="20"/>
                <w:lang w:val="pt-PT"/>
              </w:rPr>
              <w:t>afectam</w:t>
            </w:r>
            <w:proofErr w:type="spellEnd"/>
            <w:r w:rsidRPr="00292532">
              <w:rPr>
                <w:rFonts w:eastAsia="Times New Roman" w:cs="Calibri"/>
                <w:b w:val="0"/>
                <w:bCs w:val="0"/>
                <w:i/>
                <w:iCs/>
                <w:color w:val="000000"/>
                <w:sz w:val="20"/>
                <w:szCs w:val="20"/>
                <w:lang w:val="pt-PT"/>
              </w:rPr>
              <w:t xml:space="preserve"> significativamente seres vivos nem áreas ambientalmente sensíveis comparativamente às </w:t>
            </w:r>
            <w:proofErr w:type="spellStart"/>
            <w:r w:rsidRPr="00292532">
              <w:rPr>
                <w:rFonts w:eastAsia="Times New Roman" w:cs="Calibri"/>
                <w:b w:val="0"/>
                <w:bCs w:val="0"/>
                <w:i/>
                <w:iCs/>
                <w:color w:val="000000"/>
                <w:sz w:val="20"/>
                <w:szCs w:val="20"/>
                <w:lang w:val="pt-PT"/>
              </w:rPr>
              <w:t>actividades</w:t>
            </w:r>
            <w:proofErr w:type="spellEnd"/>
            <w:r w:rsidRPr="00292532">
              <w:rPr>
                <w:rFonts w:eastAsia="Times New Roman" w:cs="Calibri"/>
                <w:b w:val="0"/>
                <w:bCs w:val="0"/>
                <w:i/>
                <w:iCs/>
                <w:color w:val="000000"/>
                <w:sz w:val="20"/>
                <w:szCs w:val="20"/>
                <w:lang w:val="pt-PT"/>
              </w:rPr>
              <w:t xml:space="preserve"> de Categoria A).</w:t>
            </w:r>
          </w:p>
          <w:p w14:paraId="5685B457" w14:textId="77777777" w:rsidR="004E44AB" w:rsidRPr="00292532" w:rsidRDefault="004E44AB" w:rsidP="00472547">
            <w:pPr>
              <w:spacing w:before="0"/>
              <w:jc w:val="left"/>
              <w:rPr>
                <w:rFonts w:eastAsia="Times New Roman" w:cs="Calibri"/>
                <w:i/>
                <w:iCs/>
                <w:color w:val="000000"/>
                <w:sz w:val="20"/>
                <w:szCs w:val="20"/>
                <w:lang w:val="pt-PT"/>
              </w:rPr>
            </w:pPr>
          </w:p>
          <w:p w14:paraId="626446D8" w14:textId="77777777" w:rsidR="004E44AB" w:rsidRPr="00292532" w:rsidRDefault="004E44AB" w:rsidP="00472547">
            <w:pPr>
              <w:spacing w:before="0"/>
              <w:jc w:val="left"/>
              <w:rPr>
                <w:rFonts w:eastAsia="Times New Roman" w:cs="Calibri"/>
                <w:b w:val="0"/>
                <w:bCs w:val="0"/>
                <w:color w:val="000000"/>
                <w:sz w:val="20"/>
                <w:szCs w:val="20"/>
                <w:lang w:val="pt-PT"/>
              </w:rPr>
            </w:pPr>
            <w:r w:rsidRPr="00292532">
              <w:rPr>
                <w:rFonts w:eastAsia="Times New Roman" w:cs="Calibri"/>
                <w:color w:val="000000"/>
                <w:sz w:val="20"/>
                <w:szCs w:val="20"/>
                <w:lang w:val="pt-PT"/>
              </w:rPr>
              <w:t>De acordo com o Anexo III, número 2/c Sistemas de abastecimento de Águas e de Saneamento suas condutas, estações de tratamento e sistemas de deposição de efluentes.</w:t>
            </w:r>
          </w:p>
          <w:p w14:paraId="3BFEB31F" w14:textId="77777777" w:rsidR="004E44AB" w:rsidRPr="00292532" w:rsidRDefault="004E44AB" w:rsidP="00472547">
            <w:pPr>
              <w:spacing w:before="0"/>
              <w:jc w:val="left"/>
              <w:rPr>
                <w:rFonts w:eastAsia="Times New Roman" w:cs="Calibri"/>
                <w:color w:val="000000"/>
                <w:sz w:val="20"/>
                <w:szCs w:val="20"/>
                <w:lang w:val="pt-PT"/>
              </w:rPr>
            </w:pPr>
          </w:p>
        </w:tc>
      </w:tr>
      <w:tr w:rsidR="004E44AB" w:rsidRPr="008D18CF" w14:paraId="5F3EA14A"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noWrap/>
            <w:vAlign w:val="center"/>
            <w:hideMark/>
          </w:tcPr>
          <w:p w14:paraId="3A872F35" w14:textId="77777777" w:rsidR="004E44AB" w:rsidRPr="00292532" w:rsidRDefault="004E44AB" w:rsidP="00472547">
            <w:pPr>
              <w:spacing w:before="0"/>
              <w:jc w:val="left"/>
              <w:rPr>
                <w:rFonts w:eastAsia="Times New Roman" w:cs="Calibri"/>
                <w:color w:val="000000"/>
                <w:sz w:val="20"/>
                <w:szCs w:val="20"/>
                <w:lang w:val="pt-PT"/>
              </w:rPr>
            </w:pPr>
            <w:r w:rsidRPr="00292532">
              <w:rPr>
                <w:rFonts w:eastAsia="Times New Roman" w:cs="Calibri"/>
                <w:color w:val="000000"/>
                <w:sz w:val="20"/>
                <w:szCs w:val="20"/>
                <w:lang w:val="pt-PT"/>
              </w:rPr>
              <w:lastRenderedPageBreak/>
              <w:t xml:space="preserve">Tipo de </w:t>
            </w:r>
            <w:proofErr w:type="spellStart"/>
            <w:r w:rsidRPr="00292532">
              <w:rPr>
                <w:rFonts w:eastAsia="Times New Roman" w:cs="Calibri"/>
                <w:color w:val="000000"/>
                <w:sz w:val="20"/>
                <w:szCs w:val="20"/>
                <w:lang w:val="pt-PT"/>
              </w:rPr>
              <w:t>actividade</w:t>
            </w:r>
            <w:proofErr w:type="spellEnd"/>
          </w:p>
        </w:tc>
        <w:tc>
          <w:tcPr>
            <w:tcW w:w="5760" w:type="dxa"/>
            <w:noWrap/>
            <w:vAlign w:val="center"/>
            <w:hideMark/>
          </w:tcPr>
          <w:p w14:paraId="6F2AC5D0" w14:textId="77777777" w:rsidR="004E44AB" w:rsidRPr="00292532" w:rsidRDefault="004E44AB" w:rsidP="00472547">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Sistemas de abastecimento de água e de saneamento, suas condutas, estações de tratamento e sistemas de disposição de efluentes</w:t>
            </w:r>
          </w:p>
        </w:tc>
        <w:tc>
          <w:tcPr>
            <w:tcW w:w="1080" w:type="dxa"/>
            <w:noWrap/>
            <w:vAlign w:val="center"/>
            <w:hideMark/>
          </w:tcPr>
          <w:p w14:paraId="56F3BA4B" w14:textId="77777777" w:rsidR="004E44AB" w:rsidRPr="00292532" w:rsidRDefault="004E44AB"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4E44AB" w:rsidRPr="008D18CF" w14:paraId="34A123F2"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8635" w:type="dxa"/>
            <w:gridSpan w:val="3"/>
            <w:noWrap/>
            <w:vAlign w:val="center"/>
            <w:hideMark/>
          </w:tcPr>
          <w:p w14:paraId="00BE901E" w14:textId="77777777" w:rsidR="004E44AB" w:rsidRPr="00292532" w:rsidRDefault="004E44AB" w:rsidP="00472547">
            <w:pPr>
              <w:spacing w:before="0"/>
              <w:jc w:val="center"/>
              <w:rPr>
                <w:rFonts w:eastAsia="Times New Roman" w:cs="Calibri"/>
                <w:b w:val="0"/>
                <w:bCs w:val="0"/>
                <w:color w:val="000000"/>
                <w:sz w:val="20"/>
                <w:szCs w:val="20"/>
                <w:lang w:val="pt-PT"/>
              </w:rPr>
            </w:pPr>
            <w:r w:rsidRPr="00292532">
              <w:rPr>
                <w:rFonts w:eastAsia="Times New Roman" w:cs="Calibri"/>
                <w:color w:val="000000"/>
                <w:sz w:val="20"/>
                <w:szCs w:val="20"/>
                <w:lang w:val="pt-PT"/>
              </w:rPr>
              <w:t>CATEGORIA C</w:t>
            </w:r>
          </w:p>
          <w:p w14:paraId="29AB8885" w14:textId="77777777" w:rsidR="004E44AB" w:rsidRPr="00292532" w:rsidRDefault="004E44AB" w:rsidP="00472547">
            <w:pPr>
              <w:spacing w:before="0"/>
              <w:jc w:val="left"/>
              <w:rPr>
                <w:rFonts w:eastAsia="Times New Roman" w:cs="Calibri"/>
                <w:b w:val="0"/>
                <w:bCs w:val="0"/>
                <w:i/>
                <w:iCs/>
                <w:color w:val="000000"/>
                <w:sz w:val="20"/>
                <w:szCs w:val="20"/>
                <w:lang w:val="pt-PT"/>
              </w:rPr>
            </w:pPr>
            <w:r w:rsidRPr="00292532">
              <w:rPr>
                <w:rFonts w:eastAsia="Times New Roman" w:cs="Calibri"/>
                <w:b w:val="0"/>
                <w:bCs w:val="0"/>
                <w:i/>
                <w:iCs/>
                <w:color w:val="000000"/>
                <w:sz w:val="20"/>
                <w:szCs w:val="20"/>
                <w:lang w:val="pt-PT"/>
              </w:rPr>
              <w:t xml:space="preserve">(São </w:t>
            </w:r>
            <w:proofErr w:type="spellStart"/>
            <w:r w:rsidRPr="00292532">
              <w:rPr>
                <w:rFonts w:eastAsia="Times New Roman" w:cs="Calibri"/>
                <w:b w:val="0"/>
                <w:bCs w:val="0"/>
                <w:i/>
                <w:iCs/>
                <w:color w:val="000000"/>
                <w:sz w:val="20"/>
                <w:szCs w:val="20"/>
                <w:lang w:val="pt-PT"/>
              </w:rPr>
              <w:t>acções</w:t>
            </w:r>
            <w:proofErr w:type="spellEnd"/>
            <w:r w:rsidRPr="00292532">
              <w:rPr>
                <w:rFonts w:eastAsia="Times New Roman" w:cs="Calibri"/>
                <w:b w:val="0"/>
                <w:bCs w:val="0"/>
                <w:i/>
                <w:iCs/>
                <w:color w:val="000000"/>
                <w:sz w:val="20"/>
                <w:szCs w:val="20"/>
                <w:lang w:val="pt-PT"/>
              </w:rPr>
              <w:t xml:space="preserve"> que provocam impactos negativos negligenciáveis, insignificantes ou mínimos. Não existem impactos irreversíveis nesta categoria e os positivos são superiores e mais significantes que os negativos)</w:t>
            </w:r>
          </w:p>
        </w:tc>
      </w:tr>
    </w:tbl>
    <w:p w14:paraId="24ECC0C9" w14:textId="4B7AC4B1" w:rsidR="004E44AB" w:rsidRDefault="004E44AB" w:rsidP="004E44AB">
      <w:pPr>
        <w:rPr>
          <w:lang w:val="pt-PT" w:eastAsia="ja-JP"/>
        </w:rPr>
      </w:pPr>
      <w:r w:rsidRPr="00292532">
        <w:rPr>
          <w:lang w:val="pt-PT" w:eastAsia="ja-JP"/>
        </w:rPr>
        <w:t xml:space="preserve">Com base numa análise preliminar das disposições do Regulamento da AIA, é correto afirmar que os subprojectos não serão isentos da realização de Estudos de Impacto Ambiental, quer estes sejam simplificados (Categoria B) ou completos (categorias A). Os </w:t>
      </w:r>
      <w:proofErr w:type="spellStart"/>
      <w:r w:rsidRPr="00292532">
        <w:rPr>
          <w:lang w:val="pt-PT" w:eastAsia="ja-JP"/>
        </w:rPr>
        <w:t>Projectos</w:t>
      </w:r>
      <w:proofErr w:type="spellEnd"/>
      <w:r w:rsidRPr="00292532">
        <w:rPr>
          <w:lang w:val="pt-PT" w:eastAsia="ja-JP"/>
        </w:rPr>
        <w:t xml:space="preserve"> de Categoria A+ não serão elegíveis à financiamento por parte do Banco e, portanto, são considerados critérios de exclusão. E para os </w:t>
      </w:r>
      <w:proofErr w:type="spellStart"/>
      <w:r w:rsidRPr="00292532">
        <w:rPr>
          <w:lang w:val="pt-PT" w:eastAsia="ja-JP"/>
        </w:rPr>
        <w:t>Projectos</w:t>
      </w:r>
      <w:proofErr w:type="spellEnd"/>
      <w:r w:rsidRPr="00292532">
        <w:rPr>
          <w:lang w:val="pt-PT" w:eastAsia="ja-JP"/>
        </w:rPr>
        <w:t xml:space="preserve"> de Categoria A é recomendável que na fase de definição dos </w:t>
      </w:r>
      <w:proofErr w:type="spellStart"/>
      <w:r w:rsidRPr="00292532">
        <w:rPr>
          <w:lang w:val="pt-PT" w:eastAsia="ja-JP"/>
        </w:rPr>
        <w:t>projectos</w:t>
      </w:r>
      <w:proofErr w:type="spellEnd"/>
      <w:r w:rsidRPr="00292532">
        <w:rPr>
          <w:lang w:val="pt-PT" w:eastAsia="ja-JP"/>
        </w:rPr>
        <w:t xml:space="preserve"> sejam identificadas e estudadas alternativas dos </w:t>
      </w:r>
      <w:proofErr w:type="spellStart"/>
      <w:r w:rsidRPr="00292532">
        <w:rPr>
          <w:lang w:val="pt-PT" w:eastAsia="ja-JP"/>
        </w:rPr>
        <w:t>Projectos</w:t>
      </w:r>
      <w:proofErr w:type="spellEnd"/>
      <w:r w:rsidRPr="00292532">
        <w:rPr>
          <w:lang w:val="pt-PT" w:eastAsia="ja-JP"/>
        </w:rPr>
        <w:t xml:space="preserve"> com vista a excluir uma possível categorização A, pois a dimensão das condutas de água deverá ser inferior a 0,5 m de diâmetro.</w:t>
      </w:r>
    </w:p>
    <w:p w14:paraId="3FD899E9" w14:textId="27AE2861" w:rsidR="00D4704C" w:rsidRPr="00292532" w:rsidRDefault="00D4704C" w:rsidP="004E44AB">
      <w:pPr>
        <w:rPr>
          <w:lang w:val="pt-PT" w:eastAsia="ja-JP"/>
        </w:rPr>
      </w:pPr>
      <w:r w:rsidRPr="00D4704C">
        <w:rPr>
          <w:lang w:val="pt-PT" w:eastAsia="ja-JP"/>
        </w:rPr>
        <w:t xml:space="preserve">O Regulamento da AIA identifica as áreas de proibição de qualquer tipo de </w:t>
      </w:r>
      <w:proofErr w:type="spellStart"/>
      <w:r w:rsidRPr="00D4704C">
        <w:rPr>
          <w:lang w:val="pt-PT" w:eastAsia="ja-JP"/>
        </w:rPr>
        <w:t>actividade</w:t>
      </w:r>
      <w:proofErr w:type="spellEnd"/>
      <w:r w:rsidRPr="00D4704C">
        <w:rPr>
          <w:lang w:val="pt-PT" w:eastAsia="ja-JP"/>
        </w:rPr>
        <w:t xml:space="preserve"> potencialmente causadora de impactos negativos significantes. Recomenda-se a avaliação destes </w:t>
      </w:r>
      <w:proofErr w:type="spellStart"/>
      <w:r w:rsidRPr="00D4704C">
        <w:rPr>
          <w:lang w:val="pt-PT" w:eastAsia="ja-JP"/>
        </w:rPr>
        <w:t>aspectos</w:t>
      </w:r>
      <w:proofErr w:type="spellEnd"/>
      <w:r w:rsidRPr="00D4704C">
        <w:rPr>
          <w:lang w:val="pt-PT" w:eastAsia="ja-JP"/>
        </w:rPr>
        <w:t xml:space="preserve"> durante a definição da </w:t>
      </w:r>
      <w:proofErr w:type="spellStart"/>
      <w:r w:rsidRPr="00D4704C">
        <w:rPr>
          <w:lang w:val="pt-PT" w:eastAsia="ja-JP"/>
        </w:rPr>
        <w:t>conce</w:t>
      </w:r>
      <w:r>
        <w:rPr>
          <w:lang w:val="pt-PT" w:eastAsia="ja-JP"/>
        </w:rPr>
        <w:t>p</w:t>
      </w:r>
      <w:r w:rsidRPr="00D4704C">
        <w:rPr>
          <w:lang w:val="pt-PT" w:eastAsia="ja-JP"/>
        </w:rPr>
        <w:t>ção</w:t>
      </w:r>
      <w:proofErr w:type="spellEnd"/>
      <w:r w:rsidRPr="00D4704C">
        <w:rPr>
          <w:lang w:val="pt-PT" w:eastAsia="ja-JP"/>
        </w:rPr>
        <w:t xml:space="preserve"> dos subprojectos</w:t>
      </w:r>
      <w:r>
        <w:rPr>
          <w:lang w:val="pt-PT" w:eastAsia="ja-JP"/>
        </w:rPr>
        <w:t xml:space="preserve"> previamente a triagem ambiental e social</w:t>
      </w:r>
      <w:r w:rsidRPr="00D4704C">
        <w:rPr>
          <w:lang w:val="pt-PT" w:eastAsia="ja-JP"/>
        </w:rPr>
        <w:t>, de forma a antecipar possíveis questões fatais e identificar alternativas mais viáveis. As áreas de restrição para fins de análise de existência de questões fatais doravante consideradas “critérios de exclusão” (</w:t>
      </w:r>
      <w:r w:rsidR="00DE4496">
        <w:rPr>
          <w:lang w:val="pt-PT" w:eastAsia="ja-JP"/>
        </w:rPr>
        <w:fldChar w:fldCharType="begin"/>
      </w:r>
      <w:r w:rsidR="00DE4496">
        <w:rPr>
          <w:lang w:val="pt-PT" w:eastAsia="ja-JP"/>
        </w:rPr>
        <w:instrText xml:space="preserve"> REF _Ref80376308 \h  \* MERGEFORMAT </w:instrText>
      </w:r>
      <w:r w:rsidR="00DE4496">
        <w:rPr>
          <w:lang w:val="pt-PT" w:eastAsia="ja-JP"/>
        </w:rPr>
      </w:r>
      <w:r w:rsidR="00DE4496">
        <w:rPr>
          <w:lang w:val="pt-PT" w:eastAsia="ja-JP"/>
        </w:rPr>
        <w:fldChar w:fldCharType="separate"/>
      </w:r>
      <w:r w:rsidR="00DE4496" w:rsidRPr="00941934">
        <w:rPr>
          <w:b/>
          <w:bCs/>
          <w:lang w:val="pt-PT"/>
        </w:rPr>
        <w:t xml:space="preserve">Tabela </w:t>
      </w:r>
      <w:r w:rsidR="00DE4496" w:rsidRPr="00941934">
        <w:rPr>
          <w:b/>
          <w:bCs/>
          <w:noProof/>
          <w:lang w:val="pt-PT"/>
        </w:rPr>
        <w:t>30</w:t>
      </w:r>
      <w:r w:rsidR="00DE4496">
        <w:rPr>
          <w:lang w:val="pt-PT" w:eastAsia="ja-JP"/>
        </w:rPr>
        <w:fldChar w:fldCharType="end"/>
      </w:r>
      <w:r w:rsidRPr="00D4704C">
        <w:rPr>
          <w:lang w:val="pt-PT" w:eastAsia="ja-JP"/>
        </w:rPr>
        <w:t>).</w:t>
      </w:r>
    </w:p>
    <w:p w14:paraId="58D52F14" w14:textId="7FDB050B" w:rsidR="00D4704C" w:rsidRPr="00292532" w:rsidRDefault="00D4704C" w:rsidP="00D4704C">
      <w:pPr>
        <w:pStyle w:val="Caption"/>
      </w:pPr>
      <w:bookmarkStart w:id="414" w:name="_Ref80377431"/>
      <w:bookmarkStart w:id="415" w:name="_Ref80376308"/>
      <w:bookmarkStart w:id="416" w:name="_Toc80380277"/>
      <w:r w:rsidRPr="00292532">
        <w:t xml:space="preserve">Tabela </w:t>
      </w:r>
      <w:r w:rsidRPr="00292532">
        <w:fldChar w:fldCharType="begin"/>
      </w:r>
      <w:r w:rsidRPr="00292532">
        <w:instrText xml:space="preserve"> SEQ Tabela \* ARABIC </w:instrText>
      </w:r>
      <w:r w:rsidRPr="00292532">
        <w:fldChar w:fldCharType="separate"/>
      </w:r>
      <w:r w:rsidR="00DE4496">
        <w:rPr>
          <w:noProof/>
        </w:rPr>
        <w:t>30</w:t>
      </w:r>
      <w:r w:rsidRPr="00292532">
        <w:fldChar w:fldCharType="end"/>
      </w:r>
      <w:bookmarkEnd w:id="414"/>
      <w:r w:rsidRPr="00292532">
        <w:t>: Critérios de Exclusão</w:t>
      </w:r>
      <w:bookmarkEnd w:id="415"/>
      <w:bookmarkEnd w:id="416"/>
      <w:r w:rsidRPr="00292532">
        <w:t xml:space="preserve"> </w:t>
      </w:r>
    </w:p>
    <w:tbl>
      <w:tblPr>
        <w:tblStyle w:val="GridTable1Light-Accent12"/>
        <w:tblW w:w="9445" w:type="dxa"/>
        <w:tblLook w:val="04A0" w:firstRow="1" w:lastRow="0" w:firstColumn="1" w:lastColumn="0" w:noHBand="0" w:noVBand="1"/>
      </w:tblPr>
      <w:tblGrid>
        <w:gridCol w:w="1795"/>
        <w:gridCol w:w="5760"/>
        <w:gridCol w:w="1890"/>
      </w:tblGrid>
      <w:tr w:rsidR="00D4704C" w:rsidRPr="00292532" w14:paraId="48F7E9B7" w14:textId="77777777" w:rsidTr="00472547">
        <w:trPr>
          <w:cnfStyle w:val="100000000000" w:firstRow="1" w:lastRow="0" w:firstColumn="0" w:lastColumn="0" w:oddVBand="0" w:evenVBand="0" w:oddHBand="0" w:evenHBand="0" w:firstRowFirstColumn="0" w:firstRowLastColumn="0" w:lastRowFirstColumn="0" w:lastRowLastColumn="0"/>
          <w:trHeight w:val="409"/>
          <w:tblHeader/>
        </w:trPr>
        <w:tc>
          <w:tcPr>
            <w:cnfStyle w:val="001000000000" w:firstRow="0" w:lastRow="0" w:firstColumn="1" w:lastColumn="0" w:oddVBand="0" w:evenVBand="0" w:oddHBand="0" w:evenHBand="0" w:firstRowFirstColumn="0" w:firstRowLastColumn="0" w:lastRowFirstColumn="0" w:lastRowLastColumn="0"/>
            <w:tcW w:w="1795" w:type="dxa"/>
            <w:shd w:val="clear" w:color="auto" w:fill="BDD6EE" w:themeFill="accent5" w:themeFillTint="66"/>
            <w:noWrap/>
            <w:vAlign w:val="center"/>
            <w:hideMark/>
          </w:tcPr>
          <w:p w14:paraId="057C0163" w14:textId="77777777" w:rsidR="00D4704C" w:rsidRPr="00292532" w:rsidRDefault="00D4704C" w:rsidP="00472547">
            <w:pPr>
              <w:spacing w:before="0"/>
              <w:jc w:val="center"/>
              <w:rPr>
                <w:rFonts w:eastAsia="Times New Roman" w:cs="Calibri"/>
                <w:color w:val="000000"/>
                <w:sz w:val="20"/>
                <w:szCs w:val="20"/>
                <w:lang w:val="pt-PT"/>
              </w:rPr>
            </w:pPr>
            <w:r w:rsidRPr="00292532">
              <w:rPr>
                <w:rFonts w:eastAsia="Times New Roman" w:cs="Calibri"/>
                <w:color w:val="000000"/>
                <w:sz w:val="20"/>
                <w:szCs w:val="20"/>
                <w:lang w:val="pt-PT"/>
              </w:rPr>
              <w:t>Tipo de Critério</w:t>
            </w:r>
          </w:p>
        </w:tc>
        <w:tc>
          <w:tcPr>
            <w:tcW w:w="5760" w:type="dxa"/>
            <w:shd w:val="clear" w:color="auto" w:fill="BDD6EE" w:themeFill="accent5" w:themeFillTint="66"/>
            <w:noWrap/>
            <w:vAlign w:val="center"/>
            <w:hideMark/>
          </w:tcPr>
          <w:p w14:paraId="014DF4C2" w14:textId="77777777" w:rsidR="00D4704C" w:rsidRPr="00292532" w:rsidRDefault="00D4704C" w:rsidP="00472547">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Descrição</w:t>
            </w:r>
          </w:p>
        </w:tc>
        <w:tc>
          <w:tcPr>
            <w:tcW w:w="1890" w:type="dxa"/>
            <w:shd w:val="clear" w:color="auto" w:fill="BDD6EE" w:themeFill="accent5" w:themeFillTint="66"/>
            <w:noWrap/>
            <w:vAlign w:val="center"/>
            <w:hideMark/>
          </w:tcPr>
          <w:p w14:paraId="26B35606" w14:textId="77777777" w:rsidR="00D4704C" w:rsidRPr="00292532" w:rsidRDefault="00D4704C" w:rsidP="00472547">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Presente (SIM/Não)</w:t>
            </w:r>
          </w:p>
        </w:tc>
      </w:tr>
      <w:tr w:rsidR="00D4704C" w:rsidRPr="008D18CF" w14:paraId="224002DB"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noWrap/>
            <w:vAlign w:val="center"/>
            <w:hideMark/>
          </w:tcPr>
          <w:p w14:paraId="69CDE609" w14:textId="77777777" w:rsidR="00D4704C" w:rsidRPr="00292532" w:rsidRDefault="00D4704C" w:rsidP="00472547">
            <w:pPr>
              <w:spacing w:before="0"/>
              <w:jc w:val="center"/>
              <w:rPr>
                <w:rFonts w:eastAsia="Times New Roman" w:cs="Calibri"/>
                <w:color w:val="000000"/>
                <w:sz w:val="20"/>
                <w:szCs w:val="20"/>
                <w:lang w:val="pt-PT"/>
              </w:rPr>
            </w:pPr>
            <w:r w:rsidRPr="00292532">
              <w:rPr>
                <w:rFonts w:eastAsia="Times New Roman" w:cs="Calibri"/>
                <w:color w:val="000000"/>
                <w:sz w:val="20"/>
                <w:szCs w:val="20"/>
                <w:lang w:val="pt-PT"/>
              </w:rPr>
              <w:t>Tipo de reassentamento</w:t>
            </w:r>
          </w:p>
        </w:tc>
        <w:tc>
          <w:tcPr>
            <w:tcW w:w="5760" w:type="dxa"/>
            <w:noWrap/>
            <w:vAlign w:val="center"/>
          </w:tcPr>
          <w:p w14:paraId="1AFED39E" w14:textId="77777777" w:rsidR="00D4704C" w:rsidRPr="00292532" w:rsidRDefault="00D4704C" w:rsidP="00472547">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 xml:space="preserve">Deslocamento físico e económico das famílias que não corresponde ao modelo de reassentamento pré-definido no Regulamento sobre o Processo de Reassentamento Resultante de </w:t>
            </w:r>
            <w:proofErr w:type="spellStart"/>
            <w:r w:rsidRPr="00292532">
              <w:rPr>
                <w:rFonts w:eastAsia="Times New Roman" w:cs="Calibri"/>
                <w:color w:val="000000"/>
                <w:sz w:val="20"/>
                <w:szCs w:val="20"/>
                <w:lang w:val="pt-PT"/>
              </w:rPr>
              <w:t>Actividades</w:t>
            </w:r>
            <w:proofErr w:type="spellEnd"/>
            <w:r w:rsidRPr="00292532">
              <w:rPr>
                <w:rFonts w:eastAsia="Times New Roman" w:cs="Calibri"/>
                <w:color w:val="000000"/>
                <w:sz w:val="20"/>
                <w:szCs w:val="20"/>
                <w:lang w:val="pt-PT"/>
              </w:rPr>
              <w:t xml:space="preserve"> Económicas</w:t>
            </w:r>
          </w:p>
        </w:tc>
        <w:tc>
          <w:tcPr>
            <w:tcW w:w="1890" w:type="dxa"/>
            <w:noWrap/>
            <w:vAlign w:val="center"/>
            <w:hideMark/>
          </w:tcPr>
          <w:p w14:paraId="3D0920E7"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D4704C" w:rsidRPr="008D18CF" w14:paraId="4FB42EB1"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vMerge w:val="restart"/>
            <w:noWrap/>
            <w:vAlign w:val="center"/>
            <w:hideMark/>
          </w:tcPr>
          <w:p w14:paraId="0CBA433C" w14:textId="77777777" w:rsidR="00D4704C" w:rsidRPr="00292532" w:rsidRDefault="00D4704C" w:rsidP="00472547">
            <w:pPr>
              <w:spacing w:before="0"/>
              <w:jc w:val="center"/>
              <w:rPr>
                <w:rFonts w:eastAsia="Times New Roman" w:cs="Calibri"/>
                <w:color w:val="000000"/>
                <w:sz w:val="20"/>
                <w:szCs w:val="20"/>
                <w:lang w:val="pt-PT"/>
              </w:rPr>
            </w:pPr>
            <w:r w:rsidRPr="00292532">
              <w:rPr>
                <w:rFonts w:eastAsia="Times New Roman" w:cs="Calibri"/>
                <w:color w:val="000000"/>
                <w:sz w:val="20"/>
                <w:szCs w:val="20"/>
                <w:lang w:val="pt-PT"/>
              </w:rPr>
              <w:t xml:space="preserve">Localização da </w:t>
            </w:r>
            <w:proofErr w:type="spellStart"/>
            <w:r w:rsidRPr="00292532">
              <w:rPr>
                <w:rFonts w:eastAsia="Times New Roman" w:cs="Calibri"/>
                <w:color w:val="000000"/>
                <w:sz w:val="20"/>
                <w:szCs w:val="20"/>
                <w:lang w:val="pt-PT"/>
              </w:rPr>
              <w:t>actividade</w:t>
            </w:r>
            <w:proofErr w:type="spellEnd"/>
          </w:p>
        </w:tc>
        <w:tc>
          <w:tcPr>
            <w:tcW w:w="5760" w:type="dxa"/>
            <w:noWrap/>
            <w:vAlign w:val="center"/>
            <w:hideMark/>
          </w:tcPr>
          <w:p w14:paraId="60B206B3"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roofErr w:type="spellStart"/>
            <w:r w:rsidRPr="00292532">
              <w:rPr>
                <w:rFonts w:eastAsia="Times New Roman" w:cs="Calibri"/>
                <w:color w:val="000000"/>
                <w:sz w:val="20"/>
                <w:szCs w:val="20"/>
                <w:lang w:val="pt-PT"/>
              </w:rPr>
              <w:t>Actividades</w:t>
            </w:r>
            <w:proofErr w:type="spellEnd"/>
            <w:r w:rsidRPr="00292532">
              <w:rPr>
                <w:rFonts w:eastAsia="Times New Roman" w:cs="Calibri"/>
                <w:color w:val="000000"/>
                <w:sz w:val="20"/>
                <w:szCs w:val="20"/>
                <w:lang w:val="pt-PT"/>
              </w:rPr>
              <w:t xml:space="preserve"> localizadas em áreas com elevado valor de biodiversidade, nomeadamente:</w:t>
            </w:r>
          </w:p>
          <w:p w14:paraId="28B7D9D2" w14:textId="77777777" w:rsidR="00D4704C" w:rsidRPr="00292532" w:rsidRDefault="00D4704C" w:rsidP="00472547">
            <w:pPr>
              <w:numPr>
                <w:ilvl w:val="0"/>
                <w:numId w:val="39"/>
              </w:num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Habitats de importância significativa para espécies criticamente ameaçadas e/ou Ameaçadas segundo a legislação nacional ou internacional;</w:t>
            </w:r>
          </w:p>
          <w:p w14:paraId="302C0A22" w14:textId="77777777" w:rsidR="00D4704C" w:rsidRPr="00292532" w:rsidRDefault="00D4704C" w:rsidP="00472547">
            <w:pPr>
              <w:numPr>
                <w:ilvl w:val="0"/>
                <w:numId w:val="39"/>
              </w:num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 xml:space="preserve">Habitats de importância significativa para espécies endémicas e/ou de </w:t>
            </w:r>
            <w:proofErr w:type="spellStart"/>
            <w:r w:rsidRPr="00292532">
              <w:rPr>
                <w:rFonts w:eastAsia="Times New Roman" w:cs="Calibri"/>
                <w:color w:val="000000"/>
                <w:sz w:val="20"/>
                <w:szCs w:val="20"/>
                <w:lang w:val="pt-PT"/>
              </w:rPr>
              <w:t>acção</w:t>
            </w:r>
            <w:proofErr w:type="spellEnd"/>
            <w:r w:rsidRPr="00292532">
              <w:rPr>
                <w:rFonts w:eastAsia="Times New Roman" w:cs="Calibri"/>
                <w:color w:val="000000"/>
                <w:sz w:val="20"/>
                <w:szCs w:val="20"/>
                <w:lang w:val="pt-PT"/>
              </w:rPr>
              <w:t xml:space="preserve"> restrita;</w:t>
            </w:r>
          </w:p>
          <w:p w14:paraId="248D80B6" w14:textId="77777777" w:rsidR="00D4704C" w:rsidRPr="00292532" w:rsidRDefault="00D4704C" w:rsidP="00472547">
            <w:pPr>
              <w:numPr>
                <w:ilvl w:val="0"/>
                <w:numId w:val="39"/>
              </w:num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Habitats de importância significativa para espécies protegidas no país;</w:t>
            </w:r>
          </w:p>
          <w:p w14:paraId="638F8F18" w14:textId="77777777" w:rsidR="00D4704C" w:rsidRPr="00292532" w:rsidRDefault="00D4704C" w:rsidP="00472547">
            <w:pPr>
              <w:numPr>
                <w:ilvl w:val="0"/>
                <w:numId w:val="39"/>
              </w:num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 xml:space="preserve">Habitats que propiciem condições para a existência de concentrações significativas de espécies migratórias e/ou </w:t>
            </w:r>
            <w:proofErr w:type="spellStart"/>
            <w:r w:rsidRPr="00292532">
              <w:rPr>
                <w:rFonts w:eastAsia="Times New Roman" w:cs="Calibri"/>
                <w:color w:val="000000"/>
                <w:sz w:val="20"/>
                <w:szCs w:val="20"/>
                <w:lang w:val="pt-PT"/>
              </w:rPr>
              <w:t>congregatórias</w:t>
            </w:r>
            <w:proofErr w:type="spellEnd"/>
            <w:r w:rsidRPr="00292532">
              <w:rPr>
                <w:rFonts w:eastAsia="Times New Roman" w:cs="Calibri"/>
                <w:color w:val="000000"/>
                <w:sz w:val="20"/>
                <w:szCs w:val="20"/>
                <w:lang w:val="pt-PT"/>
              </w:rPr>
              <w:t>;</w:t>
            </w:r>
          </w:p>
          <w:p w14:paraId="157188C7" w14:textId="77777777" w:rsidR="00D4704C" w:rsidRPr="00292532" w:rsidRDefault="00D4704C" w:rsidP="00472547">
            <w:pPr>
              <w:numPr>
                <w:ilvl w:val="0"/>
                <w:numId w:val="39"/>
              </w:num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Ecossistemas altamente ameaçados e/ou únicos;</w:t>
            </w:r>
          </w:p>
          <w:p w14:paraId="3F98F3D7" w14:textId="77777777" w:rsidR="00D4704C" w:rsidRPr="00292532" w:rsidRDefault="00D4704C" w:rsidP="00472547">
            <w:pPr>
              <w:numPr>
                <w:ilvl w:val="0"/>
                <w:numId w:val="39"/>
              </w:numPr>
              <w:spacing w:before="0"/>
              <w:contextualSpacing/>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 xml:space="preserve">Áreas associadas a processos evolutivos-chave como mangal. </w:t>
            </w:r>
          </w:p>
        </w:tc>
        <w:tc>
          <w:tcPr>
            <w:tcW w:w="1890" w:type="dxa"/>
            <w:noWrap/>
            <w:vAlign w:val="center"/>
            <w:hideMark/>
          </w:tcPr>
          <w:p w14:paraId="69CF45C3"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D4704C" w:rsidRPr="008D18CF" w14:paraId="17DC1CFF"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vMerge/>
            <w:noWrap/>
            <w:vAlign w:val="center"/>
          </w:tcPr>
          <w:p w14:paraId="4E7028DF" w14:textId="77777777" w:rsidR="00D4704C" w:rsidRPr="00292532" w:rsidRDefault="00D4704C" w:rsidP="00472547">
            <w:pPr>
              <w:spacing w:before="0"/>
              <w:jc w:val="left"/>
              <w:rPr>
                <w:rFonts w:eastAsia="Times New Roman" w:cs="Calibri"/>
                <w:b w:val="0"/>
                <w:bCs w:val="0"/>
                <w:color w:val="000000"/>
                <w:sz w:val="20"/>
                <w:szCs w:val="20"/>
                <w:lang w:val="pt-PT"/>
              </w:rPr>
            </w:pPr>
          </w:p>
        </w:tc>
        <w:tc>
          <w:tcPr>
            <w:tcW w:w="5760" w:type="dxa"/>
            <w:noWrap/>
            <w:vAlign w:val="center"/>
          </w:tcPr>
          <w:p w14:paraId="3FDCD46B" w14:textId="77777777" w:rsidR="00D4704C" w:rsidRPr="00292532" w:rsidRDefault="00D4704C" w:rsidP="00472547">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roofErr w:type="spellStart"/>
            <w:r w:rsidRPr="00292532">
              <w:rPr>
                <w:rFonts w:eastAsia="Times New Roman" w:cs="Calibri"/>
                <w:color w:val="000000"/>
                <w:sz w:val="20"/>
                <w:szCs w:val="20"/>
                <w:lang w:val="pt-PT"/>
              </w:rPr>
              <w:t>Actividades</w:t>
            </w:r>
            <w:proofErr w:type="spellEnd"/>
            <w:r w:rsidRPr="00292532">
              <w:rPr>
                <w:rFonts w:eastAsia="Times New Roman" w:cs="Calibri"/>
                <w:color w:val="000000"/>
                <w:sz w:val="20"/>
                <w:szCs w:val="20"/>
                <w:lang w:val="pt-PT"/>
              </w:rPr>
              <w:t xml:space="preserve"> cuja localização seja em áreas de conservação e </w:t>
            </w:r>
            <w:proofErr w:type="spellStart"/>
            <w:r w:rsidRPr="00292532">
              <w:rPr>
                <w:rFonts w:eastAsia="Times New Roman" w:cs="Calibri"/>
                <w:color w:val="000000"/>
                <w:sz w:val="20"/>
                <w:szCs w:val="20"/>
                <w:lang w:val="pt-PT"/>
              </w:rPr>
              <w:t>protecção</w:t>
            </w:r>
            <w:proofErr w:type="spellEnd"/>
            <w:r w:rsidRPr="00292532">
              <w:rPr>
                <w:rFonts w:eastAsia="Times New Roman" w:cs="Calibri"/>
                <w:color w:val="000000"/>
                <w:sz w:val="20"/>
                <w:szCs w:val="20"/>
                <w:lang w:val="pt-PT"/>
              </w:rPr>
              <w:t xml:space="preserve"> e nas suas áreas tampão, com </w:t>
            </w:r>
            <w:proofErr w:type="spellStart"/>
            <w:r w:rsidRPr="00292532">
              <w:rPr>
                <w:rFonts w:eastAsia="Times New Roman" w:cs="Calibri"/>
                <w:color w:val="000000"/>
                <w:sz w:val="20"/>
                <w:szCs w:val="20"/>
                <w:lang w:val="pt-PT"/>
              </w:rPr>
              <w:t>excepção</w:t>
            </w:r>
            <w:proofErr w:type="spellEnd"/>
            <w:r w:rsidRPr="00292532">
              <w:rPr>
                <w:rFonts w:eastAsia="Times New Roman" w:cs="Calibri"/>
                <w:color w:val="000000"/>
                <w:sz w:val="20"/>
                <w:szCs w:val="20"/>
                <w:lang w:val="pt-PT"/>
              </w:rPr>
              <w:t xml:space="preserve"> de </w:t>
            </w:r>
            <w:proofErr w:type="spellStart"/>
            <w:r w:rsidRPr="00292532">
              <w:rPr>
                <w:rFonts w:eastAsia="Times New Roman" w:cs="Calibri"/>
                <w:color w:val="000000"/>
                <w:sz w:val="20"/>
                <w:szCs w:val="20"/>
                <w:lang w:val="pt-PT"/>
              </w:rPr>
              <w:t>actividades</w:t>
            </w:r>
            <w:proofErr w:type="spellEnd"/>
            <w:r w:rsidRPr="00292532">
              <w:rPr>
                <w:rFonts w:eastAsia="Times New Roman" w:cs="Calibri"/>
                <w:color w:val="000000"/>
                <w:sz w:val="20"/>
                <w:szCs w:val="20"/>
                <w:lang w:val="pt-PT"/>
              </w:rPr>
              <w:t xml:space="preserve"> propostas pela própria entidade gestora da referida Área de Conservação, quando destinadas a melhorar a sua gestão;</w:t>
            </w:r>
          </w:p>
        </w:tc>
        <w:tc>
          <w:tcPr>
            <w:tcW w:w="1890" w:type="dxa"/>
            <w:noWrap/>
            <w:vAlign w:val="center"/>
          </w:tcPr>
          <w:p w14:paraId="15CDEBCF"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D4704C" w:rsidRPr="008D18CF" w14:paraId="0345F924"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vMerge/>
            <w:noWrap/>
            <w:vAlign w:val="center"/>
          </w:tcPr>
          <w:p w14:paraId="72513056" w14:textId="77777777" w:rsidR="00D4704C" w:rsidRPr="00292532" w:rsidRDefault="00D4704C" w:rsidP="00472547">
            <w:pPr>
              <w:spacing w:before="0"/>
              <w:jc w:val="left"/>
              <w:rPr>
                <w:rFonts w:eastAsia="Times New Roman" w:cs="Calibri"/>
                <w:b w:val="0"/>
                <w:bCs w:val="0"/>
                <w:color w:val="000000"/>
                <w:sz w:val="20"/>
                <w:szCs w:val="20"/>
                <w:lang w:val="pt-PT"/>
              </w:rPr>
            </w:pPr>
          </w:p>
        </w:tc>
        <w:tc>
          <w:tcPr>
            <w:tcW w:w="5760" w:type="dxa"/>
            <w:noWrap/>
            <w:vAlign w:val="center"/>
          </w:tcPr>
          <w:p w14:paraId="2FB83AF2" w14:textId="77777777" w:rsidR="00D4704C" w:rsidRPr="00292532" w:rsidRDefault="00D4704C" w:rsidP="00472547">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 xml:space="preserve">Áreas povoadas onde a </w:t>
            </w:r>
            <w:proofErr w:type="spellStart"/>
            <w:r w:rsidRPr="00292532">
              <w:rPr>
                <w:rFonts w:eastAsia="Times New Roman" w:cs="Calibri"/>
                <w:color w:val="000000"/>
                <w:sz w:val="20"/>
                <w:szCs w:val="20"/>
                <w:lang w:val="pt-PT"/>
              </w:rPr>
              <w:t>actividade</w:t>
            </w:r>
            <w:proofErr w:type="spellEnd"/>
            <w:r w:rsidRPr="00292532">
              <w:rPr>
                <w:rFonts w:eastAsia="Times New Roman" w:cs="Calibri"/>
                <w:color w:val="000000"/>
                <w:sz w:val="20"/>
                <w:szCs w:val="20"/>
                <w:lang w:val="pt-PT"/>
              </w:rPr>
              <w:t xml:space="preserve"> poderá implicar níveis elevados de poluição ou outro tipo de distúrbio que </w:t>
            </w:r>
            <w:proofErr w:type="spellStart"/>
            <w:r w:rsidRPr="00292532">
              <w:rPr>
                <w:rFonts w:eastAsia="Times New Roman" w:cs="Calibri"/>
                <w:color w:val="000000"/>
                <w:sz w:val="20"/>
                <w:szCs w:val="20"/>
                <w:lang w:val="pt-PT"/>
              </w:rPr>
              <w:t>afecte</w:t>
            </w:r>
            <w:proofErr w:type="spellEnd"/>
            <w:r w:rsidRPr="00292532">
              <w:rPr>
                <w:rFonts w:eastAsia="Times New Roman" w:cs="Calibri"/>
                <w:color w:val="000000"/>
                <w:sz w:val="20"/>
                <w:szCs w:val="20"/>
                <w:lang w:val="pt-PT"/>
              </w:rPr>
              <w:t xml:space="preserve"> significativamente as comunidades locais</w:t>
            </w:r>
          </w:p>
        </w:tc>
        <w:tc>
          <w:tcPr>
            <w:tcW w:w="1890" w:type="dxa"/>
            <w:noWrap/>
            <w:vAlign w:val="center"/>
          </w:tcPr>
          <w:p w14:paraId="49BA1860"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D4704C" w:rsidRPr="00292532" w14:paraId="16CAD42C"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vMerge/>
            <w:noWrap/>
            <w:vAlign w:val="center"/>
          </w:tcPr>
          <w:p w14:paraId="2E737A86" w14:textId="77777777" w:rsidR="00D4704C" w:rsidRPr="00292532" w:rsidRDefault="00D4704C" w:rsidP="00472547">
            <w:pPr>
              <w:spacing w:before="0"/>
              <w:jc w:val="left"/>
              <w:rPr>
                <w:rFonts w:eastAsia="Times New Roman" w:cs="Calibri"/>
                <w:b w:val="0"/>
                <w:bCs w:val="0"/>
                <w:color w:val="000000"/>
                <w:sz w:val="20"/>
                <w:szCs w:val="20"/>
                <w:lang w:val="pt-PT"/>
              </w:rPr>
            </w:pPr>
          </w:p>
        </w:tc>
        <w:tc>
          <w:tcPr>
            <w:tcW w:w="5760" w:type="dxa"/>
            <w:noWrap/>
            <w:vAlign w:val="center"/>
          </w:tcPr>
          <w:p w14:paraId="1F30331C"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Zonas de cenário único</w:t>
            </w:r>
          </w:p>
        </w:tc>
        <w:tc>
          <w:tcPr>
            <w:tcW w:w="1890" w:type="dxa"/>
            <w:noWrap/>
            <w:vAlign w:val="center"/>
          </w:tcPr>
          <w:p w14:paraId="17258E25"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D4704C" w:rsidRPr="00292532" w14:paraId="303125BC" w14:textId="77777777" w:rsidTr="00472547">
        <w:trPr>
          <w:trHeight w:val="472"/>
        </w:trPr>
        <w:tc>
          <w:tcPr>
            <w:cnfStyle w:val="001000000000" w:firstRow="0" w:lastRow="0" w:firstColumn="1" w:lastColumn="0" w:oddVBand="0" w:evenVBand="0" w:oddHBand="0" w:evenHBand="0" w:firstRowFirstColumn="0" w:firstRowLastColumn="0" w:lastRowFirstColumn="0" w:lastRowLastColumn="0"/>
            <w:tcW w:w="1795" w:type="dxa"/>
            <w:vMerge/>
            <w:noWrap/>
            <w:vAlign w:val="center"/>
          </w:tcPr>
          <w:p w14:paraId="7E3A4E55" w14:textId="77777777" w:rsidR="00D4704C" w:rsidRPr="00292532" w:rsidRDefault="00D4704C" w:rsidP="00472547">
            <w:pPr>
              <w:spacing w:before="0"/>
              <w:jc w:val="left"/>
              <w:rPr>
                <w:rFonts w:eastAsia="Times New Roman" w:cs="Calibri"/>
                <w:b w:val="0"/>
                <w:bCs w:val="0"/>
                <w:color w:val="000000"/>
                <w:sz w:val="20"/>
                <w:szCs w:val="20"/>
                <w:lang w:val="pt-PT"/>
              </w:rPr>
            </w:pPr>
          </w:p>
        </w:tc>
        <w:tc>
          <w:tcPr>
            <w:tcW w:w="5760" w:type="dxa"/>
            <w:noWrap/>
            <w:vAlign w:val="center"/>
          </w:tcPr>
          <w:p w14:paraId="1DDC157B"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color w:val="231F20"/>
                <w:sz w:val="20"/>
                <w:lang w:val="pt-PT"/>
              </w:rPr>
              <w:t>Florestas</w:t>
            </w:r>
            <w:r w:rsidRPr="00292532">
              <w:rPr>
                <w:color w:val="231F20"/>
                <w:spacing w:val="-1"/>
                <w:sz w:val="20"/>
                <w:lang w:val="pt-PT"/>
              </w:rPr>
              <w:t xml:space="preserve"> </w:t>
            </w:r>
            <w:r w:rsidRPr="00292532">
              <w:rPr>
                <w:color w:val="231F20"/>
                <w:sz w:val="20"/>
                <w:lang w:val="pt-PT"/>
              </w:rPr>
              <w:t>nativas</w:t>
            </w:r>
          </w:p>
        </w:tc>
        <w:tc>
          <w:tcPr>
            <w:tcW w:w="1890" w:type="dxa"/>
            <w:noWrap/>
            <w:vAlign w:val="center"/>
          </w:tcPr>
          <w:p w14:paraId="1F30DA3D"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D4704C" w:rsidRPr="00292532" w14:paraId="7B6B96D2" w14:textId="77777777" w:rsidTr="00472547">
        <w:trPr>
          <w:trHeight w:val="590"/>
        </w:trPr>
        <w:tc>
          <w:tcPr>
            <w:cnfStyle w:val="001000000000" w:firstRow="0" w:lastRow="0" w:firstColumn="1" w:lastColumn="0" w:oddVBand="0" w:evenVBand="0" w:oddHBand="0" w:evenHBand="0" w:firstRowFirstColumn="0" w:firstRowLastColumn="0" w:lastRowFirstColumn="0" w:lastRowLastColumn="0"/>
            <w:tcW w:w="1795" w:type="dxa"/>
            <w:vMerge/>
            <w:noWrap/>
            <w:vAlign w:val="center"/>
          </w:tcPr>
          <w:p w14:paraId="68817363" w14:textId="77777777" w:rsidR="00D4704C" w:rsidRPr="00292532" w:rsidRDefault="00D4704C" w:rsidP="00472547">
            <w:pPr>
              <w:spacing w:before="0"/>
              <w:jc w:val="left"/>
              <w:rPr>
                <w:rFonts w:eastAsia="Times New Roman" w:cs="Calibri"/>
                <w:b w:val="0"/>
                <w:bCs w:val="0"/>
                <w:color w:val="000000"/>
                <w:sz w:val="20"/>
                <w:szCs w:val="20"/>
                <w:lang w:val="pt-PT"/>
              </w:rPr>
            </w:pPr>
          </w:p>
        </w:tc>
        <w:tc>
          <w:tcPr>
            <w:tcW w:w="5760" w:type="dxa"/>
            <w:noWrap/>
            <w:vAlign w:val="center"/>
          </w:tcPr>
          <w:p w14:paraId="493491DA" w14:textId="77777777" w:rsidR="00D4704C" w:rsidRPr="00292532" w:rsidRDefault="00D4704C" w:rsidP="00472547">
            <w:pPr>
              <w:widowControl w:val="0"/>
              <w:tabs>
                <w:tab w:val="left" w:pos="729"/>
              </w:tabs>
              <w:autoSpaceDE w:val="0"/>
              <w:autoSpaceDN w:val="0"/>
              <w:spacing w:before="0"/>
              <w:cnfStyle w:val="000000000000" w:firstRow="0" w:lastRow="0" w:firstColumn="0" w:lastColumn="0" w:oddVBand="0" w:evenVBand="0" w:oddHBand="0" w:evenHBand="0" w:firstRowFirstColumn="0" w:firstRowLastColumn="0" w:lastRowFirstColumn="0" w:lastRowLastColumn="0"/>
              <w:rPr>
                <w:sz w:val="20"/>
                <w:lang w:val="pt-PT"/>
              </w:rPr>
            </w:pPr>
            <w:r w:rsidRPr="00292532">
              <w:rPr>
                <w:color w:val="231F20"/>
                <w:sz w:val="20"/>
                <w:lang w:val="pt-PT"/>
              </w:rPr>
              <w:t>Zonas</w:t>
            </w:r>
            <w:r w:rsidRPr="00292532">
              <w:rPr>
                <w:color w:val="231F20"/>
                <w:spacing w:val="-2"/>
                <w:sz w:val="20"/>
                <w:lang w:val="pt-PT"/>
              </w:rPr>
              <w:t xml:space="preserve"> </w:t>
            </w:r>
            <w:r w:rsidRPr="00292532">
              <w:rPr>
                <w:color w:val="231F20"/>
                <w:sz w:val="20"/>
                <w:lang w:val="pt-PT"/>
              </w:rPr>
              <w:t>contendo</w:t>
            </w:r>
            <w:r w:rsidRPr="00292532">
              <w:rPr>
                <w:color w:val="231F20"/>
                <w:spacing w:val="-1"/>
                <w:sz w:val="20"/>
                <w:lang w:val="pt-PT"/>
              </w:rPr>
              <w:t xml:space="preserve"> </w:t>
            </w:r>
            <w:r w:rsidRPr="00292532">
              <w:rPr>
                <w:color w:val="231F20"/>
                <w:sz w:val="20"/>
                <w:lang w:val="pt-PT"/>
              </w:rPr>
              <w:t>espécies</w:t>
            </w:r>
            <w:r w:rsidRPr="00292532">
              <w:rPr>
                <w:color w:val="231F20"/>
                <w:spacing w:val="-1"/>
                <w:sz w:val="20"/>
                <w:lang w:val="pt-PT"/>
              </w:rPr>
              <w:t xml:space="preserve"> </w:t>
            </w:r>
            <w:r w:rsidRPr="00292532">
              <w:rPr>
                <w:color w:val="231F20"/>
                <w:sz w:val="20"/>
                <w:lang w:val="pt-PT"/>
              </w:rPr>
              <w:t>animais</w:t>
            </w:r>
            <w:r w:rsidRPr="00292532">
              <w:rPr>
                <w:color w:val="231F20"/>
                <w:spacing w:val="-1"/>
                <w:sz w:val="20"/>
                <w:lang w:val="pt-PT"/>
              </w:rPr>
              <w:t xml:space="preserve"> </w:t>
            </w:r>
            <w:r w:rsidRPr="00292532">
              <w:rPr>
                <w:color w:val="231F20"/>
                <w:sz w:val="20"/>
                <w:lang w:val="pt-PT"/>
              </w:rPr>
              <w:t>e/ou</w:t>
            </w:r>
            <w:r w:rsidRPr="00292532">
              <w:rPr>
                <w:color w:val="231F20"/>
                <w:spacing w:val="-1"/>
                <w:sz w:val="20"/>
                <w:lang w:val="pt-PT"/>
              </w:rPr>
              <w:t xml:space="preserve"> </w:t>
            </w:r>
            <w:r w:rsidRPr="00292532">
              <w:rPr>
                <w:color w:val="231F20"/>
                <w:sz w:val="20"/>
                <w:lang w:val="pt-PT"/>
              </w:rPr>
              <w:t>vegetais,</w:t>
            </w:r>
            <w:r w:rsidRPr="00292532">
              <w:rPr>
                <w:color w:val="231F20"/>
                <w:spacing w:val="-2"/>
                <w:sz w:val="20"/>
                <w:lang w:val="pt-PT"/>
              </w:rPr>
              <w:t xml:space="preserve"> </w:t>
            </w:r>
            <w:r w:rsidRPr="00292532">
              <w:rPr>
                <w:color w:val="231F20"/>
                <w:sz w:val="20"/>
                <w:lang w:val="pt-PT"/>
              </w:rPr>
              <w:t>habitats</w:t>
            </w:r>
          </w:p>
          <w:p w14:paraId="00CC3FD3"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color w:val="231F20"/>
                <w:lang w:val="pt-PT"/>
              </w:rPr>
              <w:t>e</w:t>
            </w:r>
            <w:r w:rsidRPr="00292532">
              <w:rPr>
                <w:color w:val="231F20"/>
                <w:spacing w:val="-1"/>
                <w:lang w:val="pt-PT"/>
              </w:rPr>
              <w:t xml:space="preserve"> </w:t>
            </w:r>
            <w:r w:rsidRPr="00292532">
              <w:rPr>
                <w:color w:val="231F20"/>
                <w:lang w:val="pt-PT"/>
              </w:rPr>
              <w:t>ecossistemas</w:t>
            </w:r>
            <w:r w:rsidRPr="00292532">
              <w:rPr>
                <w:color w:val="231F20"/>
                <w:spacing w:val="-1"/>
                <w:lang w:val="pt-PT"/>
              </w:rPr>
              <w:t xml:space="preserve"> </w:t>
            </w:r>
            <w:r w:rsidRPr="00292532">
              <w:rPr>
                <w:color w:val="231F20"/>
                <w:lang w:val="pt-PT"/>
              </w:rPr>
              <w:t>em</w:t>
            </w:r>
            <w:r w:rsidRPr="00292532">
              <w:rPr>
                <w:color w:val="231F20"/>
                <w:spacing w:val="-1"/>
                <w:lang w:val="pt-PT"/>
              </w:rPr>
              <w:t xml:space="preserve"> </w:t>
            </w:r>
            <w:r w:rsidRPr="00292532">
              <w:rPr>
                <w:color w:val="231F20"/>
                <w:lang w:val="pt-PT"/>
              </w:rPr>
              <w:t>extinção</w:t>
            </w:r>
          </w:p>
        </w:tc>
        <w:tc>
          <w:tcPr>
            <w:tcW w:w="1890" w:type="dxa"/>
            <w:noWrap/>
            <w:vAlign w:val="center"/>
          </w:tcPr>
          <w:p w14:paraId="36B93D25"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D4704C" w:rsidRPr="00292532" w14:paraId="505260A7"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vMerge w:val="restart"/>
            <w:noWrap/>
            <w:vAlign w:val="center"/>
            <w:hideMark/>
          </w:tcPr>
          <w:p w14:paraId="6985EE8C" w14:textId="77777777" w:rsidR="00D4704C" w:rsidRPr="00292532" w:rsidRDefault="00D4704C" w:rsidP="00472547">
            <w:pPr>
              <w:spacing w:before="0"/>
              <w:jc w:val="center"/>
              <w:rPr>
                <w:rFonts w:eastAsia="Times New Roman" w:cs="Calibri"/>
                <w:color w:val="000000"/>
                <w:sz w:val="20"/>
                <w:szCs w:val="20"/>
                <w:lang w:val="pt-PT"/>
              </w:rPr>
            </w:pPr>
            <w:r w:rsidRPr="00292532">
              <w:rPr>
                <w:rFonts w:eastAsia="Times New Roman" w:cs="Calibri"/>
                <w:color w:val="000000"/>
                <w:sz w:val="20"/>
                <w:szCs w:val="20"/>
                <w:lang w:val="pt-PT"/>
              </w:rPr>
              <w:t>Potenciais Impactos</w:t>
            </w:r>
          </w:p>
        </w:tc>
        <w:tc>
          <w:tcPr>
            <w:tcW w:w="5760" w:type="dxa"/>
            <w:noWrap/>
            <w:vAlign w:val="center"/>
            <w:hideMark/>
          </w:tcPr>
          <w:p w14:paraId="521D5F3A"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p w14:paraId="4BDB2343"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c>
          <w:tcPr>
            <w:tcW w:w="1890" w:type="dxa"/>
            <w:noWrap/>
            <w:vAlign w:val="center"/>
            <w:hideMark/>
          </w:tcPr>
          <w:p w14:paraId="30E4B076"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D4704C" w:rsidRPr="008D18CF" w14:paraId="059933E8"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vMerge/>
            <w:noWrap/>
            <w:vAlign w:val="center"/>
          </w:tcPr>
          <w:p w14:paraId="0352D2F2" w14:textId="77777777" w:rsidR="00D4704C" w:rsidRPr="00292532" w:rsidRDefault="00D4704C" w:rsidP="00472547">
            <w:pPr>
              <w:spacing w:before="0"/>
              <w:jc w:val="left"/>
              <w:rPr>
                <w:rFonts w:eastAsia="Times New Roman" w:cs="Calibri"/>
                <w:b w:val="0"/>
                <w:bCs w:val="0"/>
                <w:color w:val="000000"/>
                <w:sz w:val="20"/>
                <w:szCs w:val="20"/>
                <w:lang w:val="pt-PT"/>
              </w:rPr>
            </w:pPr>
          </w:p>
        </w:tc>
        <w:tc>
          <w:tcPr>
            <w:tcW w:w="5760" w:type="dxa"/>
            <w:noWrap/>
            <w:vAlign w:val="center"/>
          </w:tcPr>
          <w:p w14:paraId="1B732D16" w14:textId="77777777" w:rsidR="00D4704C" w:rsidRPr="00292532" w:rsidRDefault="00D4704C" w:rsidP="00472547">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roofErr w:type="spellStart"/>
            <w:r w:rsidRPr="00292532">
              <w:rPr>
                <w:rFonts w:eastAsia="Times New Roman" w:cs="Calibri"/>
                <w:color w:val="000000"/>
                <w:sz w:val="20"/>
                <w:szCs w:val="20"/>
                <w:lang w:val="pt-PT"/>
              </w:rPr>
              <w:t>Actividades</w:t>
            </w:r>
            <w:proofErr w:type="spellEnd"/>
            <w:r w:rsidRPr="00292532">
              <w:rPr>
                <w:rFonts w:eastAsia="Times New Roman" w:cs="Calibri"/>
                <w:color w:val="000000"/>
                <w:sz w:val="20"/>
                <w:szCs w:val="20"/>
                <w:lang w:val="pt-PT"/>
              </w:rPr>
              <w:t xml:space="preserve"> com impactos potenciais irreversíveis antes da aplicação de medidas de mitigação, em áreas cuja </w:t>
            </w:r>
            <w:proofErr w:type="spellStart"/>
            <w:r w:rsidRPr="00292532">
              <w:rPr>
                <w:rFonts w:eastAsia="Times New Roman" w:cs="Calibri"/>
                <w:color w:val="000000"/>
                <w:sz w:val="20"/>
                <w:szCs w:val="20"/>
                <w:lang w:val="pt-PT"/>
              </w:rPr>
              <w:t>actividade</w:t>
            </w:r>
            <w:proofErr w:type="spellEnd"/>
            <w:r w:rsidRPr="00292532">
              <w:rPr>
                <w:rFonts w:eastAsia="Times New Roman" w:cs="Calibri"/>
                <w:color w:val="000000"/>
                <w:sz w:val="20"/>
                <w:szCs w:val="20"/>
                <w:lang w:val="pt-PT"/>
              </w:rPr>
              <w:t xml:space="preserve"> humana não tenha modificado substancialmente   as   funções   ecológicas   nativas e a composição das espécies da área</w:t>
            </w:r>
          </w:p>
          <w:p w14:paraId="2C956E0D" w14:textId="77777777" w:rsidR="00D4704C" w:rsidRPr="00292532" w:rsidRDefault="00D4704C" w:rsidP="00472547">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c>
          <w:tcPr>
            <w:tcW w:w="1890" w:type="dxa"/>
            <w:noWrap/>
            <w:vAlign w:val="center"/>
          </w:tcPr>
          <w:p w14:paraId="7BABB705"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D4704C" w:rsidRPr="008D18CF" w14:paraId="3E9C94BA"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vMerge/>
            <w:noWrap/>
            <w:vAlign w:val="center"/>
          </w:tcPr>
          <w:p w14:paraId="6168ECC6" w14:textId="77777777" w:rsidR="00D4704C" w:rsidRPr="00292532" w:rsidRDefault="00D4704C" w:rsidP="00472547">
            <w:pPr>
              <w:spacing w:before="0"/>
              <w:jc w:val="left"/>
              <w:rPr>
                <w:rFonts w:eastAsia="Times New Roman" w:cs="Calibri"/>
                <w:b w:val="0"/>
                <w:bCs w:val="0"/>
                <w:color w:val="000000"/>
                <w:sz w:val="20"/>
                <w:szCs w:val="20"/>
                <w:lang w:val="pt-PT"/>
              </w:rPr>
            </w:pPr>
          </w:p>
        </w:tc>
        <w:tc>
          <w:tcPr>
            <w:tcW w:w="5760" w:type="dxa"/>
            <w:noWrap/>
            <w:vAlign w:val="center"/>
          </w:tcPr>
          <w:p w14:paraId="11504931" w14:textId="77777777" w:rsidR="00D4704C" w:rsidRPr="00292532" w:rsidRDefault="00D4704C" w:rsidP="00472547">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roofErr w:type="spellStart"/>
            <w:r w:rsidRPr="00292532">
              <w:rPr>
                <w:rFonts w:eastAsia="Times New Roman" w:cs="Calibri"/>
                <w:color w:val="000000"/>
                <w:sz w:val="20"/>
                <w:szCs w:val="20"/>
                <w:lang w:val="pt-PT"/>
              </w:rPr>
              <w:t>Actividades</w:t>
            </w:r>
            <w:proofErr w:type="spellEnd"/>
            <w:r w:rsidRPr="00292532">
              <w:rPr>
                <w:rFonts w:eastAsia="Times New Roman" w:cs="Calibri"/>
                <w:color w:val="000000"/>
                <w:sz w:val="20"/>
                <w:szCs w:val="20"/>
                <w:lang w:val="pt-PT"/>
              </w:rPr>
              <w:t xml:space="preserve"> cuja implementação </w:t>
            </w:r>
            <w:proofErr w:type="spellStart"/>
            <w:r w:rsidRPr="00292532">
              <w:rPr>
                <w:rFonts w:eastAsia="Times New Roman" w:cs="Calibri"/>
                <w:color w:val="000000"/>
                <w:sz w:val="20"/>
                <w:szCs w:val="20"/>
                <w:lang w:val="pt-PT"/>
              </w:rPr>
              <w:t>afecte</w:t>
            </w:r>
            <w:proofErr w:type="spellEnd"/>
            <w:r w:rsidRPr="00292532">
              <w:rPr>
                <w:rFonts w:eastAsia="Times New Roman" w:cs="Calibri"/>
                <w:color w:val="000000"/>
                <w:sz w:val="20"/>
                <w:szCs w:val="20"/>
                <w:lang w:val="pt-PT"/>
              </w:rPr>
              <w:t xml:space="preserve"> </w:t>
            </w:r>
            <w:proofErr w:type="spellStart"/>
            <w:r w:rsidRPr="00292532">
              <w:rPr>
                <w:rFonts w:eastAsia="Times New Roman" w:cs="Calibri"/>
                <w:color w:val="000000"/>
                <w:sz w:val="20"/>
                <w:szCs w:val="20"/>
                <w:lang w:val="pt-PT"/>
              </w:rPr>
              <w:t>directamente</w:t>
            </w:r>
            <w:proofErr w:type="spellEnd"/>
            <w:r w:rsidRPr="00292532">
              <w:rPr>
                <w:rFonts w:eastAsia="Times New Roman" w:cs="Calibri"/>
                <w:color w:val="000000"/>
                <w:sz w:val="20"/>
                <w:szCs w:val="20"/>
                <w:lang w:val="pt-PT"/>
              </w:rPr>
              <w:t xml:space="preserve"> recifes de coral e dunas primárias, mangal, zonas húmidas e ervas marinhas sempre que os mesmos sejam </w:t>
            </w:r>
            <w:proofErr w:type="spellStart"/>
            <w:r w:rsidRPr="00292532">
              <w:rPr>
                <w:rFonts w:eastAsia="Times New Roman" w:cs="Calibri"/>
                <w:color w:val="000000"/>
                <w:sz w:val="20"/>
                <w:szCs w:val="20"/>
                <w:lang w:val="pt-PT"/>
              </w:rPr>
              <w:t>afectados</w:t>
            </w:r>
            <w:proofErr w:type="spellEnd"/>
            <w:r w:rsidRPr="00292532">
              <w:rPr>
                <w:rFonts w:eastAsia="Times New Roman" w:cs="Calibri"/>
                <w:color w:val="000000"/>
                <w:sz w:val="20"/>
                <w:szCs w:val="20"/>
                <w:lang w:val="pt-PT"/>
              </w:rPr>
              <w:t xml:space="preserve"> numa área superior a 1ha;</w:t>
            </w:r>
          </w:p>
        </w:tc>
        <w:tc>
          <w:tcPr>
            <w:tcW w:w="1890" w:type="dxa"/>
            <w:noWrap/>
            <w:vAlign w:val="center"/>
          </w:tcPr>
          <w:p w14:paraId="5014876F"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D4704C" w:rsidRPr="008D18CF" w14:paraId="5278D3C6"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vMerge/>
            <w:noWrap/>
            <w:vAlign w:val="center"/>
          </w:tcPr>
          <w:p w14:paraId="18027086" w14:textId="77777777" w:rsidR="00D4704C" w:rsidRPr="00292532" w:rsidRDefault="00D4704C" w:rsidP="00472547">
            <w:pPr>
              <w:spacing w:before="0"/>
              <w:jc w:val="left"/>
              <w:rPr>
                <w:rFonts w:eastAsia="Times New Roman" w:cs="Calibri"/>
                <w:b w:val="0"/>
                <w:bCs w:val="0"/>
                <w:color w:val="000000"/>
                <w:sz w:val="20"/>
                <w:szCs w:val="20"/>
                <w:lang w:val="pt-PT"/>
              </w:rPr>
            </w:pPr>
          </w:p>
        </w:tc>
        <w:tc>
          <w:tcPr>
            <w:tcW w:w="5760" w:type="dxa"/>
            <w:noWrap/>
            <w:vAlign w:val="center"/>
          </w:tcPr>
          <w:p w14:paraId="30A38D10" w14:textId="77777777" w:rsidR="00D4704C" w:rsidRPr="00292532" w:rsidRDefault="00D4704C" w:rsidP="00472547">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 xml:space="preserve">Em áreas povoadas onde a </w:t>
            </w:r>
            <w:proofErr w:type="spellStart"/>
            <w:r w:rsidRPr="00292532">
              <w:rPr>
                <w:rFonts w:eastAsia="Times New Roman" w:cs="Calibri"/>
                <w:color w:val="000000"/>
                <w:sz w:val="20"/>
                <w:szCs w:val="20"/>
                <w:lang w:val="pt-PT"/>
              </w:rPr>
              <w:t>actividade</w:t>
            </w:r>
            <w:proofErr w:type="spellEnd"/>
            <w:r w:rsidRPr="00292532">
              <w:rPr>
                <w:rFonts w:eastAsia="Times New Roman" w:cs="Calibri"/>
                <w:color w:val="000000"/>
                <w:sz w:val="20"/>
                <w:szCs w:val="20"/>
                <w:lang w:val="pt-PT"/>
              </w:rPr>
              <w:t xml:space="preserve"> poderá implicar níveis elevados de poluição ou outro tipo de distúrbio que </w:t>
            </w:r>
            <w:proofErr w:type="spellStart"/>
            <w:r w:rsidRPr="00292532">
              <w:rPr>
                <w:rFonts w:eastAsia="Times New Roman" w:cs="Calibri"/>
                <w:color w:val="000000"/>
                <w:sz w:val="20"/>
                <w:szCs w:val="20"/>
                <w:lang w:val="pt-PT"/>
              </w:rPr>
              <w:t>afecte</w:t>
            </w:r>
            <w:proofErr w:type="spellEnd"/>
            <w:r w:rsidRPr="00292532">
              <w:rPr>
                <w:rFonts w:eastAsia="Times New Roman" w:cs="Calibri"/>
                <w:color w:val="000000"/>
                <w:sz w:val="20"/>
                <w:szCs w:val="20"/>
                <w:lang w:val="pt-PT"/>
              </w:rPr>
              <w:t xml:space="preserve"> significativamente as comunidades locais;</w:t>
            </w:r>
          </w:p>
        </w:tc>
        <w:tc>
          <w:tcPr>
            <w:tcW w:w="1890" w:type="dxa"/>
            <w:noWrap/>
            <w:vAlign w:val="center"/>
          </w:tcPr>
          <w:p w14:paraId="0D676420"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D4704C" w:rsidRPr="008D18CF" w14:paraId="2DCFBDA2"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noWrap/>
            <w:vAlign w:val="center"/>
          </w:tcPr>
          <w:p w14:paraId="00613CF5" w14:textId="77777777" w:rsidR="00D4704C" w:rsidRPr="00292532" w:rsidRDefault="00D4704C" w:rsidP="00472547">
            <w:pPr>
              <w:spacing w:before="0"/>
              <w:jc w:val="left"/>
              <w:rPr>
                <w:rFonts w:eastAsia="Times New Roman" w:cs="Calibri"/>
                <w:color w:val="000000"/>
                <w:sz w:val="20"/>
                <w:szCs w:val="20"/>
                <w:lang w:val="pt-PT"/>
              </w:rPr>
            </w:pPr>
            <w:r w:rsidRPr="00292532">
              <w:rPr>
                <w:rFonts w:eastAsia="Times New Roman" w:cs="Calibri"/>
                <w:color w:val="000000"/>
                <w:sz w:val="20"/>
                <w:szCs w:val="20"/>
                <w:lang w:val="pt-PT"/>
              </w:rPr>
              <w:t xml:space="preserve">Tipo de </w:t>
            </w:r>
            <w:proofErr w:type="spellStart"/>
            <w:r w:rsidRPr="00292532">
              <w:rPr>
                <w:rFonts w:eastAsia="Times New Roman" w:cs="Calibri"/>
                <w:color w:val="000000"/>
                <w:sz w:val="20"/>
                <w:szCs w:val="20"/>
                <w:lang w:val="pt-PT"/>
              </w:rPr>
              <w:t>actividade</w:t>
            </w:r>
            <w:proofErr w:type="spellEnd"/>
          </w:p>
        </w:tc>
        <w:tc>
          <w:tcPr>
            <w:tcW w:w="5760" w:type="dxa"/>
            <w:noWrap/>
            <w:vAlign w:val="center"/>
          </w:tcPr>
          <w:p w14:paraId="2D6C374E" w14:textId="77777777" w:rsidR="00D4704C" w:rsidRPr="00292532" w:rsidRDefault="00D4704C" w:rsidP="00472547">
            <w:pPr>
              <w:widowControl w:val="0"/>
              <w:tabs>
                <w:tab w:val="left" w:pos="761"/>
              </w:tabs>
              <w:autoSpaceDE w:val="0"/>
              <w:autoSpaceDN w:val="0"/>
              <w:spacing w:before="2"/>
              <w:ind w:right="118"/>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color w:val="231F20"/>
                <w:spacing w:val="-4"/>
                <w:sz w:val="20"/>
                <w:lang w:val="pt-PT"/>
              </w:rPr>
              <w:t>Tratamento</w:t>
            </w:r>
            <w:r w:rsidRPr="00292532">
              <w:rPr>
                <w:color w:val="231F20"/>
                <w:spacing w:val="-23"/>
                <w:sz w:val="20"/>
                <w:lang w:val="pt-PT"/>
              </w:rPr>
              <w:t xml:space="preserve"> </w:t>
            </w:r>
            <w:r w:rsidRPr="00292532">
              <w:rPr>
                <w:color w:val="231F20"/>
                <w:spacing w:val="-4"/>
                <w:sz w:val="20"/>
                <w:lang w:val="pt-PT"/>
              </w:rPr>
              <w:t>e</w:t>
            </w:r>
            <w:r w:rsidRPr="00292532">
              <w:rPr>
                <w:color w:val="231F20"/>
                <w:spacing w:val="-23"/>
                <w:sz w:val="20"/>
                <w:lang w:val="pt-PT"/>
              </w:rPr>
              <w:t xml:space="preserve"> </w:t>
            </w:r>
            <w:r w:rsidRPr="00292532">
              <w:rPr>
                <w:color w:val="231F20"/>
                <w:spacing w:val="-4"/>
                <w:sz w:val="20"/>
                <w:lang w:val="pt-PT"/>
              </w:rPr>
              <w:t>fabrico</w:t>
            </w:r>
            <w:r w:rsidRPr="00292532">
              <w:rPr>
                <w:color w:val="231F20"/>
                <w:spacing w:val="-23"/>
                <w:sz w:val="20"/>
                <w:lang w:val="pt-PT"/>
              </w:rPr>
              <w:t xml:space="preserve"> </w:t>
            </w:r>
            <w:r w:rsidRPr="00292532">
              <w:rPr>
                <w:color w:val="231F20"/>
                <w:spacing w:val="-4"/>
                <w:sz w:val="20"/>
                <w:lang w:val="pt-PT"/>
              </w:rPr>
              <w:t>de</w:t>
            </w:r>
            <w:r w:rsidRPr="00292532">
              <w:rPr>
                <w:color w:val="231F20"/>
                <w:spacing w:val="-23"/>
                <w:sz w:val="20"/>
                <w:lang w:val="pt-PT"/>
              </w:rPr>
              <w:t xml:space="preserve"> </w:t>
            </w:r>
            <w:r w:rsidRPr="00292532">
              <w:rPr>
                <w:color w:val="231F20"/>
                <w:spacing w:val="-4"/>
                <w:sz w:val="20"/>
                <w:lang w:val="pt-PT"/>
              </w:rPr>
              <w:t>substâncias</w:t>
            </w:r>
            <w:r w:rsidRPr="00292532">
              <w:rPr>
                <w:color w:val="231F20"/>
                <w:spacing w:val="-22"/>
                <w:sz w:val="20"/>
                <w:lang w:val="pt-PT"/>
              </w:rPr>
              <w:t xml:space="preserve"> </w:t>
            </w:r>
            <w:r w:rsidRPr="00292532">
              <w:rPr>
                <w:color w:val="231F20"/>
                <w:spacing w:val="-4"/>
                <w:sz w:val="20"/>
                <w:lang w:val="pt-PT"/>
              </w:rPr>
              <w:t>perigosas</w:t>
            </w:r>
            <w:r w:rsidRPr="00292532">
              <w:rPr>
                <w:color w:val="231F20"/>
                <w:spacing w:val="-23"/>
                <w:sz w:val="20"/>
                <w:lang w:val="pt-PT"/>
              </w:rPr>
              <w:t xml:space="preserve"> </w:t>
            </w:r>
            <w:r w:rsidRPr="00292532">
              <w:rPr>
                <w:color w:val="231F20"/>
                <w:spacing w:val="-3"/>
                <w:sz w:val="20"/>
                <w:lang w:val="pt-PT"/>
              </w:rPr>
              <w:t>classificadas</w:t>
            </w:r>
            <w:r w:rsidRPr="00292532">
              <w:rPr>
                <w:color w:val="231F20"/>
                <w:spacing w:val="-48"/>
                <w:sz w:val="20"/>
                <w:lang w:val="pt-PT"/>
              </w:rPr>
              <w:t xml:space="preserve"> </w:t>
            </w:r>
            <w:r w:rsidRPr="00292532">
              <w:rPr>
                <w:color w:val="231F20"/>
                <w:sz w:val="20"/>
                <w:lang w:val="pt-PT"/>
              </w:rPr>
              <w:t>como</w:t>
            </w:r>
            <w:r w:rsidRPr="00292532">
              <w:rPr>
                <w:color w:val="231F20"/>
                <w:spacing w:val="-1"/>
                <w:sz w:val="20"/>
                <w:lang w:val="pt-PT"/>
              </w:rPr>
              <w:t xml:space="preserve"> </w:t>
            </w:r>
            <w:r w:rsidRPr="00292532">
              <w:rPr>
                <w:color w:val="231F20"/>
                <w:sz w:val="20"/>
                <w:lang w:val="pt-PT"/>
              </w:rPr>
              <w:t>cancerígenas,</w:t>
            </w:r>
            <w:r w:rsidRPr="00292532">
              <w:rPr>
                <w:color w:val="231F20"/>
                <w:spacing w:val="-1"/>
                <w:sz w:val="20"/>
                <w:lang w:val="pt-PT"/>
              </w:rPr>
              <w:t xml:space="preserve"> </w:t>
            </w:r>
            <w:r w:rsidRPr="00292532">
              <w:rPr>
                <w:color w:val="231F20"/>
                <w:sz w:val="20"/>
                <w:lang w:val="pt-PT"/>
              </w:rPr>
              <w:t>mutagénicas</w:t>
            </w:r>
            <w:r w:rsidRPr="00292532">
              <w:rPr>
                <w:color w:val="231F20"/>
                <w:spacing w:val="-1"/>
                <w:sz w:val="20"/>
                <w:lang w:val="pt-PT"/>
              </w:rPr>
              <w:t xml:space="preserve"> </w:t>
            </w:r>
            <w:r w:rsidRPr="00292532">
              <w:rPr>
                <w:color w:val="231F20"/>
                <w:sz w:val="20"/>
                <w:lang w:val="pt-PT"/>
              </w:rPr>
              <w:t>ou</w:t>
            </w:r>
            <w:r w:rsidRPr="00292532">
              <w:rPr>
                <w:color w:val="231F20"/>
                <w:spacing w:val="-1"/>
                <w:sz w:val="20"/>
                <w:lang w:val="pt-PT"/>
              </w:rPr>
              <w:t xml:space="preserve"> </w:t>
            </w:r>
            <w:r w:rsidRPr="00292532">
              <w:rPr>
                <w:color w:val="231F20"/>
                <w:sz w:val="20"/>
                <w:lang w:val="pt-PT"/>
              </w:rPr>
              <w:t>tóxicas;</w:t>
            </w:r>
          </w:p>
        </w:tc>
        <w:tc>
          <w:tcPr>
            <w:tcW w:w="1890" w:type="dxa"/>
            <w:noWrap/>
            <w:vAlign w:val="center"/>
          </w:tcPr>
          <w:p w14:paraId="2B927CF0"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D4704C" w:rsidRPr="008D18CF" w14:paraId="1C1512CE"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1795" w:type="dxa"/>
            <w:noWrap/>
            <w:vAlign w:val="center"/>
          </w:tcPr>
          <w:p w14:paraId="15AABD68" w14:textId="77777777" w:rsidR="00D4704C" w:rsidRPr="00292532" w:rsidRDefault="00D4704C" w:rsidP="00472547">
            <w:pPr>
              <w:spacing w:before="0"/>
              <w:jc w:val="left"/>
              <w:rPr>
                <w:rFonts w:eastAsia="Times New Roman" w:cs="Calibri"/>
                <w:color w:val="000000"/>
                <w:sz w:val="20"/>
                <w:szCs w:val="20"/>
                <w:lang w:val="pt-PT"/>
              </w:rPr>
            </w:pPr>
            <w:r w:rsidRPr="00292532">
              <w:rPr>
                <w:rFonts w:eastAsia="Times New Roman" w:cs="Calibri"/>
                <w:color w:val="000000"/>
                <w:sz w:val="20"/>
                <w:szCs w:val="20"/>
                <w:lang w:val="pt-PT"/>
              </w:rPr>
              <w:t xml:space="preserve">Reassentamento </w:t>
            </w:r>
          </w:p>
        </w:tc>
        <w:tc>
          <w:tcPr>
            <w:tcW w:w="5760" w:type="dxa"/>
            <w:noWrap/>
            <w:vAlign w:val="center"/>
          </w:tcPr>
          <w:p w14:paraId="5230F22E"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 xml:space="preserve">Todas as </w:t>
            </w:r>
            <w:proofErr w:type="spellStart"/>
            <w:r w:rsidRPr="00292532">
              <w:rPr>
                <w:rFonts w:eastAsia="Times New Roman" w:cs="Calibri"/>
                <w:color w:val="000000"/>
                <w:sz w:val="20"/>
                <w:szCs w:val="20"/>
                <w:lang w:val="pt-PT"/>
              </w:rPr>
              <w:t>actividades</w:t>
            </w:r>
            <w:proofErr w:type="spellEnd"/>
            <w:r w:rsidRPr="00292532">
              <w:rPr>
                <w:rFonts w:eastAsia="Times New Roman" w:cs="Calibri"/>
                <w:color w:val="000000"/>
                <w:sz w:val="20"/>
                <w:szCs w:val="20"/>
                <w:lang w:val="pt-PT"/>
              </w:rPr>
              <w:t xml:space="preserve"> que impliquem Reassentamento populacional</w:t>
            </w:r>
          </w:p>
        </w:tc>
        <w:tc>
          <w:tcPr>
            <w:tcW w:w="1890" w:type="dxa"/>
            <w:noWrap/>
            <w:vAlign w:val="center"/>
          </w:tcPr>
          <w:p w14:paraId="3AC7BFC7"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D4704C" w:rsidRPr="008D18CF" w14:paraId="70AB505A"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0" w:type="dxa"/>
            <w:vMerge w:val="restart"/>
            <w:noWrap/>
            <w:vAlign w:val="center"/>
          </w:tcPr>
          <w:p w14:paraId="6F7F36AF" w14:textId="77777777" w:rsidR="00D4704C" w:rsidRPr="00292532" w:rsidRDefault="00D4704C" w:rsidP="00472547">
            <w:pPr>
              <w:spacing w:before="0"/>
              <w:jc w:val="left"/>
              <w:rPr>
                <w:rFonts w:eastAsia="Times New Roman" w:cs="Calibri"/>
                <w:color w:val="000000"/>
                <w:sz w:val="20"/>
                <w:szCs w:val="20"/>
                <w:lang w:val="pt-PT"/>
              </w:rPr>
            </w:pPr>
            <w:r w:rsidRPr="00292532">
              <w:rPr>
                <w:rFonts w:eastAsia="Times New Roman" w:cs="Calibri"/>
                <w:color w:val="000000"/>
                <w:sz w:val="20"/>
                <w:szCs w:val="20"/>
                <w:lang w:val="pt-PT"/>
              </w:rPr>
              <w:t xml:space="preserve">Localização </w:t>
            </w:r>
          </w:p>
        </w:tc>
        <w:tc>
          <w:tcPr>
            <w:tcW w:w="0" w:type="dxa"/>
            <w:noWrap/>
            <w:vAlign w:val="center"/>
          </w:tcPr>
          <w:p w14:paraId="7E61CD35"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i.</w:t>
            </w:r>
            <w:r w:rsidRPr="00292532">
              <w:rPr>
                <w:rFonts w:eastAsia="Times New Roman" w:cs="Calibri"/>
                <w:color w:val="000000"/>
                <w:sz w:val="20"/>
                <w:szCs w:val="20"/>
                <w:lang w:val="pt-PT"/>
              </w:rPr>
              <w:tab/>
              <w:t xml:space="preserve">Áreas de </w:t>
            </w:r>
            <w:proofErr w:type="spellStart"/>
            <w:r w:rsidRPr="00292532">
              <w:rPr>
                <w:rFonts w:eastAsia="Times New Roman" w:cs="Calibri"/>
                <w:color w:val="000000"/>
                <w:sz w:val="20"/>
                <w:szCs w:val="20"/>
                <w:lang w:val="pt-PT"/>
              </w:rPr>
              <w:t>protecção</w:t>
            </w:r>
            <w:proofErr w:type="spellEnd"/>
            <w:r w:rsidRPr="00292532">
              <w:rPr>
                <w:rFonts w:eastAsia="Times New Roman" w:cs="Calibri"/>
                <w:color w:val="000000"/>
                <w:sz w:val="20"/>
                <w:szCs w:val="20"/>
                <w:lang w:val="pt-PT"/>
              </w:rPr>
              <w:t xml:space="preserve"> total, com </w:t>
            </w:r>
            <w:proofErr w:type="spellStart"/>
            <w:r w:rsidRPr="00292532">
              <w:rPr>
                <w:rFonts w:eastAsia="Times New Roman" w:cs="Calibri"/>
                <w:color w:val="000000"/>
                <w:sz w:val="20"/>
                <w:szCs w:val="20"/>
                <w:lang w:val="pt-PT"/>
              </w:rPr>
              <w:t>excepção</w:t>
            </w:r>
            <w:proofErr w:type="spellEnd"/>
            <w:r w:rsidRPr="00292532">
              <w:rPr>
                <w:rFonts w:eastAsia="Times New Roman" w:cs="Calibri"/>
                <w:color w:val="000000"/>
                <w:sz w:val="20"/>
                <w:szCs w:val="20"/>
                <w:lang w:val="pt-PT"/>
              </w:rPr>
              <w:t xml:space="preserve"> de </w:t>
            </w:r>
            <w:proofErr w:type="spellStart"/>
            <w:r w:rsidRPr="00292532">
              <w:rPr>
                <w:rFonts w:eastAsia="Times New Roman" w:cs="Calibri"/>
                <w:color w:val="000000"/>
                <w:sz w:val="20"/>
                <w:szCs w:val="20"/>
                <w:lang w:val="pt-PT"/>
              </w:rPr>
              <w:t>actividades</w:t>
            </w:r>
            <w:proofErr w:type="spellEnd"/>
            <w:r w:rsidRPr="00292532">
              <w:rPr>
                <w:rFonts w:eastAsia="Times New Roman" w:cs="Calibri"/>
                <w:color w:val="000000"/>
                <w:sz w:val="20"/>
                <w:szCs w:val="20"/>
                <w:lang w:val="pt-PT"/>
              </w:rPr>
              <w:t xml:space="preserve"> propostas pela própria entidade gestora da área de conservação, quando destinadas a melhorar a sua gestão</w:t>
            </w:r>
          </w:p>
        </w:tc>
        <w:tc>
          <w:tcPr>
            <w:tcW w:w="1890" w:type="dxa"/>
            <w:noWrap/>
            <w:vAlign w:val="center"/>
          </w:tcPr>
          <w:p w14:paraId="090A715A"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D4704C" w:rsidRPr="008D18CF" w14:paraId="5AA505CF"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0" w:type="dxa"/>
            <w:vMerge/>
            <w:noWrap/>
            <w:vAlign w:val="center"/>
          </w:tcPr>
          <w:p w14:paraId="7736718C" w14:textId="77777777" w:rsidR="00D4704C" w:rsidRPr="00292532" w:rsidRDefault="00D4704C" w:rsidP="00472547">
            <w:pPr>
              <w:spacing w:before="0"/>
              <w:jc w:val="left"/>
              <w:rPr>
                <w:rFonts w:eastAsia="Times New Roman" w:cs="Calibri"/>
                <w:color w:val="000000"/>
                <w:sz w:val="20"/>
                <w:szCs w:val="20"/>
                <w:lang w:val="pt-PT"/>
              </w:rPr>
            </w:pPr>
          </w:p>
        </w:tc>
        <w:tc>
          <w:tcPr>
            <w:tcW w:w="0" w:type="dxa"/>
            <w:noWrap/>
            <w:vAlign w:val="center"/>
          </w:tcPr>
          <w:p w14:paraId="7EAEF494"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roofErr w:type="spellStart"/>
            <w:r w:rsidRPr="00292532">
              <w:rPr>
                <w:rFonts w:eastAsia="Times New Roman" w:cs="Calibri"/>
                <w:color w:val="000000"/>
                <w:sz w:val="20"/>
                <w:szCs w:val="20"/>
                <w:lang w:val="pt-PT"/>
              </w:rPr>
              <w:t>ii</w:t>
            </w:r>
            <w:proofErr w:type="spellEnd"/>
            <w:r w:rsidRPr="00292532">
              <w:rPr>
                <w:rFonts w:eastAsia="Times New Roman" w:cs="Calibri"/>
                <w:color w:val="000000"/>
                <w:sz w:val="20"/>
                <w:szCs w:val="20"/>
                <w:lang w:val="pt-PT"/>
              </w:rPr>
              <w:t>.</w:t>
            </w:r>
            <w:r w:rsidRPr="00292532">
              <w:rPr>
                <w:rFonts w:eastAsia="Times New Roman" w:cs="Calibri"/>
                <w:color w:val="000000"/>
                <w:sz w:val="20"/>
                <w:szCs w:val="20"/>
                <w:lang w:val="pt-PT"/>
              </w:rPr>
              <w:tab/>
              <w:t xml:space="preserve">Áreas de Conservação   classificadas   como   áreas de conservação total, e zonas de </w:t>
            </w:r>
            <w:proofErr w:type="spellStart"/>
            <w:r w:rsidRPr="00292532">
              <w:rPr>
                <w:rFonts w:eastAsia="Times New Roman" w:cs="Calibri"/>
                <w:color w:val="000000"/>
                <w:sz w:val="20"/>
                <w:szCs w:val="20"/>
                <w:lang w:val="pt-PT"/>
              </w:rPr>
              <w:t>protecção</w:t>
            </w:r>
            <w:proofErr w:type="spellEnd"/>
            <w:r w:rsidRPr="00292532">
              <w:rPr>
                <w:rFonts w:eastAsia="Times New Roman" w:cs="Calibri"/>
                <w:color w:val="000000"/>
                <w:sz w:val="20"/>
                <w:szCs w:val="20"/>
                <w:lang w:val="pt-PT"/>
              </w:rPr>
              <w:t xml:space="preserve"> total de outras categorias de Áreas de Conservação, com </w:t>
            </w:r>
            <w:proofErr w:type="spellStart"/>
            <w:r w:rsidRPr="00292532">
              <w:rPr>
                <w:rFonts w:eastAsia="Times New Roman" w:cs="Calibri"/>
                <w:color w:val="000000"/>
                <w:sz w:val="20"/>
                <w:szCs w:val="20"/>
                <w:lang w:val="pt-PT"/>
              </w:rPr>
              <w:t>excepção</w:t>
            </w:r>
            <w:proofErr w:type="spellEnd"/>
            <w:r w:rsidRPr="00292532">
              <w:rPr>
                <w:rFonts w:eastAsia="Times New Roman" w:cs="Calibri"/>
                <w:color w:val="000000"/>
                <w:sz w:val="20"/>
                <w:szCs w:val="20"/>
                <w:lang w:val="pt-PT"/>
              </w:rPr>
              <w:t xml:space="preserve"> de </w:t>
            </w:r>
            <w:proofErr w:type="spellStart"/>
            <w:r w:rsidRPr="00292532">
              <w:rPr>
                <w:rFonts w:eastAsia="Times New Roman" w:cs="Calibri"/>
                <w:color w:val="000000"/>
                <w:sz w:val="20"/>
                <w:szCs w:val="20"/>
                <w:lang w:val="pt-PT"/>
              </w:rPr>
              <w:t>actividades</w:t>
            </w:r>
            <w:proofErr w:type="spellEnd"/>
            <w:r w:rsidRPr="00292532">
              <w:rPr>
                <w:rFonts w:eastAsia="Times New Roman" w:cs="Calibri"/>
                <w:color w:val="000000"/>
                <w:sz w:val="20"/>
                <w:szCs w:val="20"/>
                <w:lang w:val="pt-PT"/>
              </w:rPr>
              <w:t xml:space="preserve"> propostas pela </w:t>
            </w:r>
            <w:proofErr w:type="spellStart"/>
            <w:r w:rsidRPr="00292532">
              <w:rPr>
                <w:rFonts w:eastAsia="Times New Roman" w:cs="Calibri"/>
                <w:color w:val="000000"/>
                <w:sz w:val="20"/>
                <w:szCs w:val="20"/>
                <w:lang w:val="pt-PT"/>
              </w:rPr>
              <w:t>respectiva</w:t>
            </w:r>
            <w:proofErr w:type="spellEnd"/>
            <w:r w:rsidRPr="00292532">
              <w:rPr>
                <w:rFonts w:eastAsia="Times New Roman" w:cs="Calibri"/>
                <w:color w:val="000000"/>
                <w:sz w:val="20"/>
                <w:szCs w:val="20"/>
                <w:lang w:val="pt-PT"/>
              </w:rPr>
              <w:t xml:space="preserve"> entidade gestora, quando destinadas a melhorar a sua gestão</w:t>
            </w:r>
          </w:p>
        </w:tc>
        <w:tc>
          <w:tcPr>
            <w:tcW w:w="1890" w:type="dxa"/>
            <w:noWrap/>
            <w:vAlign w:val="center"/>
          </w:tcPr>
          <w:p w14:paraId="18E9C130"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D4704C" w:rsidRPr="008D18CF" w14:paraId="7FBBC3EC"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0" w:type="dxa"/>
            <w:vMerge/>
            <w:noWrap/>
            <w:vAlign w:val="center"/>
          </w:tcPr>
          <w:p w14:paraId="07DCB8F5" w14:textId="77777777" w:rsidR="00D4704C" w:rsidRPr="00292532" w:rsidRDefault="00D4704C" w:rsidP="00472547">
            <w:pPr>
              <w:spacing w:before="0"/>
              <w:jc w:val="left"/>
              <w:rPr>
                <w:rFonts w:eastAsia="Times New Roman" w:cs="Calibri"/>
                <w:color w:val="000000"/>
                <w:sz w:val="20"/>
                <w:szCs w:val="20"/>
                <w:lang w:val="pt-PT"/>
              </w:rPr>
            </w:pPr>
          </w:p>
        </w:tc>
        <w:tc>
          <w:tcPr>
            <w:tcW w:w="0" w:type="dxa"/>
            <w:noWrap/>
            <w:vAlign w:val="center"/>
          </w:tcPr>
          <w:p w14:paraId="39B051EA"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roofErr w:type="spellStart"/>
            <w:r w:rsidRPr="00292532">
              <w:rPr>
                <w:rFonts w:eastAsia="Times New Roman" w:cs="Calibri"/>
                <w:color w:val="000000"/>
                <w:sz w:val="20"/>
                <w:szCs w:val="20"/>
                <w:lang w:val="pt-PT"/>
              </w:rPr>
              <w:t>iv</w:t>
            </w:r>
            <w:proofErr w:type="spellEnd"/>
            <w:r w:rsidRPr="00292532">
              <w:rPr>
                <w:rFonts w:eastAsia="Times New Roman" w:cs="Calibri"/>
                <w:color w:val="000000"/>
                <w:sz w:val="20"/>
                <w:szCs w:val="20"/>
                <w:lang w:val="pt-PT"/>
              </w:rPr>
              <w:t>.</w:t>
            </w:r>
            <w:r w:rsidRPr="00292532">
              <w:rPr>
                <w:rFonts w:eastAsia="Times New Roman" w:cs="Calibri"/>
                <w:color w:val="000000"/>
                <w:sz w:val="20"/>
                <w:szCs w:val="20"/>
                <w:lang w:val="pt-PT"/>
              </w:rPr>
              <w:tab/>
              <w:t>Presença de Espécies Criticamente em Perigo (CP) e/ /ou Em Perigo (EP), englobando habitat necessário para sustentar ≥ 10 por cento da população global ou nacional de uma CP ou EP espécies/subespécie onde são conhecidas, ocorrências regulares das espécies e que onde esse habitat podia ser considerado uma unidade de gestão discreta para a espécie; ou habitat com conhecidas ocorrências regulares de espécies CP ou EP onde esse habitat é um dos 10 ou menos locais de gestão discreta globalmente para essas espécies</w:t>
            </w:r>
          </w:p>
        </w:tc>
        <w:tc>
          <w:tcPr>
            <w:tcW w:w="1890" w:type="dxa"/>
            <w:noWrap/>
            <w:vAlign w:val="center"/>
          </w:tcPr>
          <w:p w14:paraId="3C435FB7"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D4704C" w:rsidRPr="008D18CF" w14:paraId="7933E9DB"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0" w:type="dxa"/>
            <w:vMerge/>
            <w:noWrap/>
            <w:vAlign w:val="center"/>
          </w:tcPr>
          <w:p w14:paraId="615829C5" w14:textId="77777777" w:rsidR="00D4704C" w:rsidRPr="00292532" w:rsidRDefault="00D4704C" w:rsidP="00472547">
            <w:pPr>
              <w:spacing w:before="0"/>
              <w:jc w:val="left"/>
              <w:rPr>
                <w:rFonts w:eastAsia="Times New Roman" w:cs="Calibri"/>
                <w:color w:val="000000"/>
                <w:sz w:val="20"/>
                <w:szCs w:val="20"/>
                <w:lang w:val="pt-PT"/>
              </w:rPr>
            </w:pPr>
          </w:p>
        </w:tc>
        <w:tc>
          <w:tcPr>
            <w:tcW w:w="0" w:type="dxa"/>
            <w:noWrap/>
            <w:vAlign w:val="center"/>
          </w:tcPr>
          <w:p w14:paraId="0E476048"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v.</w:t>
            </w:r>
            <w:r w:rsidRPr="00292532">
              <w:rPr>
                <w:rFonts w:eastAsia="Times New Roman" w:cs="Calibri"/>
                <w:color w:val="000000"/>
                <w:sz w:val="20"/>
                <w:szCs w:val="20"/>
                <w:lang w:val="pt-PT"/>
              </w:rPr>
              <w:tab/>
              <w:t>Presença de uma gama de Espécies Endémicas/ /Restritas, nomeadamente habitat conhecido por sustentar ≥ 95 por cento da população mundial ou nacional de uma espécie endémica ou de alcance limitado, onde o habitat poderia ser considerado uma unidade de gestão discreta para as espécies (por exemplo, um único local endémico);</w:t>
            </w:r>
          </w:p>
        </w:tc>
        <w:tc>
          <w:tcPr>
            <w:tcW w:w="1890" w:type="dxa"/>
            <w:noWrap/>
            <w:vAlign w:val="center"/>
          </w:tcPr>
          <w:p w14:paraId="63456B58"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D4704C" w:rsidRPr="008D18CF" w14:paraId="3C8C6FDC"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0" w:type="dxa"/>
            <w:vMerge/>
            <w:noWrap/>
            <w:vAlign w:val="center"/>
          </w:tcPr>
          <w:p w14:paraId="579F5D0F" w14:textId="77777777" w:rsidR="00D4704C" w:rsidRPr="00292532" w:rsidRDefault="00D4704C" w:rsidP="00472547">
            <w:pPr>
              <w:spacing w:before="0"/>
              <w:jc w:val="left"/>
              <w:rPr>
                <w:rFonts w:eastAsia="Times New Roman" w:cs="Calibri"/>
                <w:color w:val="000000"/>
                <w:sz w:val="20"/>
                <w:szCs w:val="20"/>
                <w:lang w:val="pt-PT"/>
              </w:rPr>
            </w:pPr>
          </w:p>
        </w:tc>
        <w:tc>
          <w:tcPr>
            <w:tcW w:w="0" w:type="dxa"/>
            <w:noWrap/>
            <w:vAlign w:val="center"/>
          </w:tcPr>
          <w:p w14:paraId="17C1F4E0"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r w:rsidRPr="00292532">
              <w:rPr>
                <w:rFonts w:eastAsia="Times New Roman" w:cs="Calibri"/>
                <w:color w:val="000000"/>
                <w:sz w:val="20"/>
                <w:szCs w:val="20"/>
                <w:lang w:val="pt-PT"/>
              </w:rPr>
              <w:t>vi.</w:t>
            </w:r>
            <w:r w:rsidRPr="00292532">
              <w:rPr>
                <w:rFonts w:eastAsia="Times New Roman" w:cs="Calibri"/>
                <w:color w:val="000000"/>
                <w:sz w:val="20"/>
                <w:szCs w:val="20"/>
                <w:lang w:val="pt-PT"/>
              </w:rPr>
              <w:tab/>
              <w:t>Presença de Espécies Migratórias/</w:t>
            </w:r>
            <w:proofErr w:type="spellStart"/>
            <w:r w:rsidRPr="00292532">
              <w:rPr>
                <w:rFonts w:eastAsia="Times New Roman" w:cs="Calibri"/>
                <w:color w:val="000000"/>
                <w:sz w:val="20"/>
                <w:szCs w:val="20"/>
                <w:lang w:val="pt-PT"/>
              </w:rPr>
              <w:t>congregatórias</w:t>
            </w:r>
            <w:proofErr w:type="spellEnd"/>
            <w:r w:rsidRPr="00292532">
              <w:rPr>
                <w:rFonts w:eastAsia="Times New Roman" w:cs="Calibri"/>
                <w:color w:val="000000"/>
                <w:sz w:val="20"/>
                <w:szCs w:val="20"/>
                <w:lang w:val="pt-PT"/>
              </w:rPr>
              <w:t xml:space="preserve">, integrando habitat conhecido por sustentar, de forma cíclica ou de outra forma regular, ≥ 95 por cento da população mundial ou nacional de uma espécie migratória ou </w:t>
            </w:r>
            <w:proofErr w:type="spellStart"/>
            <w:r w:rsidRPr="00292532">
              <w:rPr>
                <w:rFonts w:eastAsia="Times New Roman" w:cs="Calibri"/>
                <w:color w:val="000000"/>
                <w:sz w:val="20"/>
                <w:szCs w:val="20"/>
                <w:lang w:val="pt-PT"/>
              </w:rPr>
              <w:t>congregatória</w:t>
            </w:r>
            <w:proofErr w:type="spellEnd"/>
            <w:r w:rsidRPr="00292532">
              <w:rPr>
                <w:rFonts w:eastAsia="Times New Roman" w:cs="Calibri"/>
                <w:color w:val="000000"/>
                <w:sz w:val="20"/>
                <w:szCs w:val="20"/>
                <w:lang w:val="pt-PT"/>
              </w:rPr>
              <w:t xml:space="preserve"> em qualquer </w:t>
            </w:r>
            <w:r w:rsidRPr="00292532">
              <w:rPr>
                <w:rFonts w:eastAsia="Times New Roman" w:cs="Calibri"/>
                <w:color w:val="000000"/>
                <w:sz w:val="20"/>
                <w:szCs w:val="20"/>
                <w:lang w:val="pt-PT"/>
              </w:rPr>
              <w:lastRenderedPageBreak/>
              <w:t>ponto do ciclo de vida das espécies, onde esse habitat poderia ser considerado uma unidade de maneio discreta para essas espécies</w:t>
            </w:r>
          </w:p>
        </w:tc>
        <w:tc>
          <w:tcPr>
            <w:tcW w:w="1890" w:type="dxa"/>
            <w:noWrap/>
            <w:vAlign w:val="center"/>
          </w:tcPr>
          <w:p w14:paraId="06DBE27C"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r w:rsidR="00D4704C" w:rsidRPr="008D18CF" w14:paraId="4A2D47A6" w14:textId="77777777" w:rsidTr="00472547">
        <w:trPr>
          <w:trHeight w:val="290"/>
        </w:trPr>
        <w:tc>
          <w:tcPr>
            <w:cnfStyle w:val="001000000000" w:firstRow="0" w:lastRow="0" w:firstColumn="1" w:lastColumn="0" w:oddVBand="0" w:evenVBand="0" w:oddHBand="0" w:evenHBand="0" w:firstRowFirstColumn="0" w:firstRowLastColumn="0" w:lastRowFirstColumn="0" w:lastRowLastColumn="0"/>
            <w:tcW w:w="0" w:type="dxa"/>
            <w:vMerge/>
            <w:noWrap/>
            <w:vAlign w:val="center"/>
          </w:tcPr>
          <w:p w14:paraId="72AC2954" w14:textId="77777777" w:rsidR="00D4704C" w:rsidRPr="00292532" w:rsidRDefault="00D4704C" w:rsidP="00472547">
            <w:pPr>
              <w:spacing w:before="0"/>
              <w:jc w:val="left"/>
              <w:rPr>
                <w:rFonts w:eastAsia="Times New Roman" w:cs="Calibri"/>
                <w:color w:val="000000"/>
                <w:sz w:val="20"/>
                <w:szCs w:val="20"/>
                <w:lang w:val="pt-PT"/>
              </w:rPr>
            </w:pPr>
          </w:p>
        </w:tc>
        <w:tc>
          <w:tcPr>
            <w:tcW w:w="0" w:type="dxa"/>
            <w:noWrap/>
            <w:vAlign w:val="center"/>
          </w:tcPr>
          <w:p w14:paraId="51BA769F"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roofErr w:type="spellStart"/>
            <w:r w:rsidRPr="00292532">
              <w:rPr>
                <w:rFonts w:eastAsia="Times New Roman" w:cs="Calibri"/>
                <w:color w:val="000000"/>
                <w:sz w:val="20"/>
                <w:szCs w:val="20"/>
                <w:lang w:val="pt-PT"/>
              </w:rPr>
              <w:t>vii</w:t>
            </w:r>
            <w:proofErr w:type="spellEnd"/>
            <w:r w:rsidRPr="00292532">
              <w:rPr>
                <w:rFonts w:eastAsia="Times New Roman" w:cs="Calibri"/>
                <w:color w:val="000000"/>
                <w:sz w:val="20"/>
                <w:szCs w:val="20"/>
                <w:lang w:val="pt-PT"/>
              </w:rPr>
              <w:t>.</w:t>
            </w:r>
            <w:r w:rsidRPr="00292532">
              <w:rPr>
                <w:rFonts w:eastAsia="Times New Roman" w:cs="Calibri"/>
                <w:color w:val="000000"/>
                <w:sz w:val="20"/>
                <w:szCs w:val="20"/>
                <w:lang w:val="pt-PT"/>
              </w:rPr>
              <w:tab/>
              <w:t>Área crucial para a provisão de serviços de ecossistemas chaves nas escalas nacional, provincial ou distrital</w:t>
            </w:r>
          </w:p>
        </w:tc>
        <w:tc>
          <w:tcPr>
            <w:tcW w:w="1890" w:type="dxa"/>
            <w:noWrap/>
            <w:vAlign w:val="center"/>
          </w:tcPr>
          <w:p w14:paraId="79659C62" w14:textId="77777777" w:rsidR="00D4704C" w:rsidRPr="00292532" w:rsidRDefault="00D4704C" w:rsidP="0047254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pt-PT"/>
              </w:rPr>
            </w:pPr>
          </w:p>
        </w:tc>
      </w:tr>
    </w:tbl>
    <w:p w14:paraId="6CEE87DE" w14:textId="77777777" w:rsidR="00D4704C" w:rsidRDefault="00D4704C" w:rsidP="00941934">
      <w:pPr>
        <w:pStyle w:val="Heading2"/>
        <w:numPr>
          <w:ilvl w:val="0"/>
          <w:numId w:val="0"/>
        </w:numPr>
        <w:ind w:left="576"/>
      </w:pPr>
    </w:p>
    <w:p w14:paraId="46228272" w14:textId="11C5D0F8" w:rsidR="00D4704C" w:rsidRDefault="00D4704C" w:rsidP="00D4704C">
      <w:pPr>
        <w:pStyle w:val="Heading2"/>
      </w:pPr>
      <w:bookmarkStart w:id="417" w:name="_Toc80380060"/>
      <w:r>
        <w:t xml:space="preserve">Processo de Avaliação Ambiental e Social do </w:t>
      </w:r>
      <w:proofErr w:type="spellStart"/>
      <w:r>
        <w:t>Projecto</w:t>
      </w:r>
      <w:bookmarkEnd w:id="417"/>
      <w:proofErr w:type="spellEnd"/>
      <w:r>
        <w:t xml:space="preserve"> </w:t>
      </w:r>
    </w:p>
    <w:p w14:paraId="09F37257" w14:textId="77777777" w:rsidR="007D6223" w:rsidRPr="00292532" w:rsidRDefault="007D6223" w:rsidP="007D6223">
      <w:pPr>
        <w:rPr>
          <w:lang w:val="pt-PT"/>
        </w:rPr>
      </w:pPr>
      <w:r w:rsidRPr="00292532">
        <w:rPr>
          <w:lang w:val="pt-PT"/>
        </w:rPr>
        <w:t xml:space="preserve">A avaliação ambiental e social é o principal meio para minimizar os riscos e impactos de um </w:t>
      </w:r>
      <w:proofErr w:type="spellStart"/>
      <w:r w:rsidRPr="00292532">
        <w:rPr>
          <w:lang w:val="pt-PT"/>
        </w:rPr>
        <w:t>Projecto</w:t>
      </w:r>
      <w:proofErr w:type="spellEnd"/>
      <w:r w:rsidRPr="00292532">
        <w:rPr>
          <w:lang w:val="pt-PT"/>
        </w:rPr>
        <w:t xml:space="preserve"> e assegurar a robustez e sustentabilidade dos </w:t>
      </w:r>
      <w:proofErr w:type="spellStart"/>
      <w:r w:rsidRPr="00292532">
        <w:rPr>
          <w:lang w:val="pt-PT"/>
        </w:rPr>
        <w:t>projectos</w:t>
      </w:r>
      <w:proofErr w:type="spellEnd"/>
      <w:r w:rsidRPr="00292532">
        <w:rPr>
          <w:lang w:val="pt-PT"/>
        </w:rPr>
        <w:t xml:space="preserve"> do ponto de vista ambiental e social, e será utilizada para informar o processo decisório.</w:t>
      </w:r>
    </w:p>
    <w:p w14:paraId="5B76183E" w14:textId="77777777" w:rsidR="007D6223" w:rsidRPr="00292532" w:rsidRDefault="007D6223" w:rsidP="007D6223">
      <w:pPr>
        <w:rPr>
          <w:lang w:val="pt-PT"/>
        </w:rPr>
      </w:pPr>
      <w:r w:rsidRPr="00292532">
        <w:rPr>
          <w:lang w:val="pt-PT"/>
        </w:rPr>
        <w:t xml:space="preserve">O Mutuário, ao definir o processo de Avaliação Ambiental e Social deverá considerar uma série de atividades, incluindo a delimitação do âmbito, o envolvimento das partes interessadas, as questões ambientais e sociais potenciais e quaisquer questões específicas que surjam entre o Banco e o Mutuário. </w:t>
      </w:r>
    </w:p>
    <w:p w14:paraId="2E990313" w14:textId="6D636F75" w:rsidR="00D4704C" w:rsidRDefault="00DE4496" w:rsidP="00D4704C">
      <w:pPr>
        <w:rPr>
          <w:lang w:val="pt-PT" w:eastAsia="ja-JP"/>
        </w:rPr>
      </w:pPr>
      <w:r>
        <w:rPr>
          <w:lang w:val="pt-PT" w:eastAsia="ja-JP"/>
        </w:rPr>
        <w:t>O</w:t>
      </w:r>
      <w:r w:rsidR="00D4704C">
        <w:rPr>
          <w:lang w:val="pt-PT" w:eastAsia="ja-JP"/>
        </w:rPr>
        <w:t xml:space="preserve"> Processo de Avaliação Ambiental e Social do </w:t>
      </w:r>
      <w:proofErr w:type="spellStart"/>
      <w:r w:rsidR="00D4704C">
        <w:rPr>
          <w:lang w:val="pt-PT" w:eastAsia="ja-JP"/>
        </w:rPr>
        <w:t>Projecto</w:t>
      </w:r>
      <w:proofErr w:type="spellEnd"/>
      <w:r w:rsidR="00D4704C">
        <w:rPr>
          <w:lang w:val="pt-PT" w:eastAsia="ja-JP"/>
        </w:rPr>
        <w:t xml:space="preserve"> inicia fundamentalmente com a triagem ambiental e social do </w:t>
      </w:r>
      <w:proofErr w:type="spellStart"/>
      <w:r w:rsidR="00D4704C">
        <w:rPr>
          <w:lang w:val="pt-PT" w:eastAsia="ja-JP"/>
        </w:rPr>
        <w:t>Projecto</w:t>
      </w:r>
      <w:proofErr w:type="spellEnd"/>
      <w:r>
        <w:rPr>
          <w:lang w:val="pt-PT" w:eastAsia="ja-JP"/>
        </w:rPr>
        <w:t xml:space="preserve"> descrita na secção anterior. E é com base nos resultados desta fase que é </w:t>
      </w:r>
      <w:r w:rsidR="00D4704C">
        <w:rPr>
          <w:lang w:val="pt-PT" w:eastAsia="ja-JP"/>
        </w:rPr>
        <w:t xml:space="preserve">definido o Processo de Avaliação de Ambiental e Social do </w:t>
      </w:r>
      <w:proofErr w:type="spellStart"/>
      <w:r w:rsidR="00D4704C">
        <w:rPr>
          <w:lang w:val="pt-PT" w:eastAsia="ja-JP"/>
        </w:rPr>
        <w:t>Projecto</w:t>
      </w:r>
      <w:proofErr w:type="spellEnd"/>
      <w:r w:rsidR="00D4704C">
        <w:rPr>
          <w:lang w:val="pt-PT" w:eastAsia="ja-JP"/>
        </w:rPr>
        <w:t xml:space="preserve">. </w:t>
      </w:r>
    </w:p>
    <w:p w14:paraId="3F459540" w14:textId="77777777" w:rsidR="007D6223" w:rsidRDefault="00D4704C" w:rsidP="007D6223">
      <w:pPr>
        <w:rPr>
          <w:lang w:val="pt-PT"/>
        </w:rPr>
      </w:pPr>
      <w:r w:rsidRPr="00D4704C">
        <w:rPr>
          <w:lang w:val="pt-PT" w:eastAsia="ja-JP"/>
        </w:rPr>
        <w:t xml:space="preserve">Avaliação de Impacto Ambiental </w:t>
      </w:r>
      <w:r w:rsidR="00DE4496">
        <w:rPr>
          <w:lang w:val="pt-PT" w:eastAsia="ja-JP"/>
        </w:rPr>
        <w:t xml:space="preserve">em Moçambique </w:t>
      </w:r>
      <w:r w:rsidRPr="00D4704C">
        <w:rPr>
          <w:lang w:val="pt-PT" w:eastAsia="ja-JP"/>
        </w:rPr>
        <w:t xml:space="preserve">é exigida pela Lei do Ambiente nº 20/97, de 7 de </w:t>
      </w:r>
      <w:proofErr w:type="gramStart"/>
      <w:r w:rsidRPr="00D4704C">
        <w:rPr>
          <w:lang w:val="pt-PT" w:eastAsia="ja-JP"/>
        </w:rPr>
        <w:t>Outubro</w:t>
      </w:r>
      <w:proofErr w:type="gramEnd"/>
      <w:r w:rsidRPr="00D4704C">
        <w:rPr>
          <w:lang w:val="pt-PT" w:eastAsia="ja-JP"/>
        </w:rPr>
        <w:t>, e pelo Decreto nº 54/2015 de 31 de Dezembro- Regulamento sobre o Processo de Avaliação de Impacto Ambiental (AIA)</w:t>
      </w:r>
      <w:r w:rsidR="007D6223">
        <w:rPr>
          <w:lang w:val="pt-PT" w:eastAsia="ja-JP"/>
        </w:rPr>
        <w:t>.</w:t>
      </w:r>
      <w:r w:rsidR="007D6223" w:rsidRPr="007D6223">
        <w:rPr>
          <w:lang w:val="pt-PT"/>
        </w:rPr>
        <w:t xml:space="preserve"> </w:t>
      </w:r>
    </w:p>
    <w:p w14:paraId="60020FE8" w14:textId="77777777" w:rsidR="007D6223" w:rsidRDefault="007D6223" w:rsidP="00D4704C">
      <w:pPr>
        <w:rPr>
          <w:lang w:val="pt-PT"/>
        </w:rPr>
      </w:pPr>
      <w:r w:rsidRPr="00292532">
        <w:rPr>
          <w:lang w:val="pt-PT"/>
        </w:rPr>
        <w:t xml:space="preserve">Tendo em conta que a legislação nacional define o processo da AIA a ser conduzido com base numa abordagem combinada de tipos e significância de potenciais riscos e impactos  ambientais e sociais, natureza da </w:t>
      </w:r>
      <w:proofErr w:type="spellStart"/>
      <w:r w:rsidRPr="00292532">
        <w:rPr>
          <w:lang w:val="pt-PT"/>
        </w:rPr>
        <w:t>actividade</w:t>
      </w:r>
      <w:proofErr w:type="spellEnd"/>
      <w:r w:rsidRPr="00292532">
        <w:rPr>
          <w:lang w:val="pt-PT"/>
        </w:rPr>
        <w:t xml:space="preserve"> e situação de referência onde se insere a mesma </w:t>
      </w:r>
      <w:proofErr w:type="spellStart"/>
      <w:r w:rsidRPr="00292532">
        <w:rPr>
          <w:lang w:val="pt-PT"/>
        </w:rPr>
        <w:t>actividade</w:t>
      </w:r>
      <w:proofErr w:type="spellEnd"/>
      <w:r w:rsidRPr="00292532">
        <w:rPr>
          <w:lang w:val="pt-PT"/>
        </w:rPr>
        <w:t xml:space="preserve">, julga-se prudente que o processo de avaliação de impactos ambientais e sociais para os subprojectos seja definido com base no Regulamento da AIA, não se tratando de uma abordagem que contraste com os requisitos de avaliação de impacto ambiental e social do Banco Mundial, mas que cumpre com a obrigação da NAS1 de realizar uma avaliação ambiental e social do </w:t>
      </w:r>
      <w:proofErr w:type="spellStart"/>
      <w:r w:rsidRPr="00292532">
        <w:rPr>
          <w:lang w:val="pt-PT"/>
        </w:rPr>
        <w:t>Projecto</w:t>
      </w:r>
      <w:proofErr w:type="spellEnd"/>
      <w:r w:rsidRPr="00292532">
        <w:rPr>
          <w:lang w:val="pt-PT"/>
        </w:rPr>
        <w:t xml:space="preserve"> com o envolvimento de especialistas independentes. Para fins de cumprimento com a legislação nacional, o processo da AIA deverá ser conduzido por consultores (empresa ou individual) devidamente registados no MTA.</w:t>
      </w:r>
      <w:r>
        <w:rPr>
          <w:lang w:val="pt-PT"/>
        </w:rPr>
        <w:t xml:space="preserve"> </w:t>
      </w:r>
    </w:p>
    <w:p w14:paraId="30009A9C" w14:textId="22382C23" w:rsidR="007D6223" w:rsidRDefault="00DE4496" w:rsidP="00D4704C">
      <w:pPr>
        <w:rPr>
          <w:lang w:val="pt-PT" w:eastAsia="ja-JP"/>
        </w:rPr>
      </w:pPr>
      <w:r w:rsidRPr="00DE4496">
        <w:rPr>
          <w:lang w:val="pt-PT" w:eastAsia="ja-JP"/>
        </w:rPr>
        <w:t xml:space="preserve">A </w:t>
      </w:r>
      <w:r w:rsidRPr="00941934">
        <w:rPr>
          <w:b/>
          <w:bCs/>
          <w:lang w:val="pt-PT" w:eastAsia="ja-JP"/>
        </w:rPr>
        <w:fldChar w:fldCharType="begin"/>
      </w:r>
      <w:r w:rsidRPr="00941934">
        <w:rPr>
          <w:b/>
          <w:bCs/>
          <w:lang w:val="pt-PT" w:eastAsia="ja-JP"/>
        </w:rPr>
        <w:instrText xml:space="preserve"> REF _Ref80376548 \h </w:instrText>
      </w:r>
      <w:r>
        <w:rPr>
          <w:b/>
          <w:bCs/>
          <w:lang w:val="pt-PT" w:eastAsia="ja-JP"/>
        </w:rPr>
        <w:instrText xml:space="preserve"> \* MERGEFORMAT </w:instrText>
      </w:r>
      <w:r w:rsidRPr="00941934">
        <w:rPr>
          <w:b/>
          <w:bCs/>
          <w:lang w:val="pt-PT" w:eastAsia="ja-JP"/>
        </w:rPr>
      </w:r>
      <w:r w:rsidRPr="00941934">
        <w:rPr>
          <w:b/>
          <w:bCs/>
          <w:lang w:val="pt-PT" w:eastAsia="ja-JP"/>
        </w:rPr>
        <w:fldChar w:fldCharType="separate"/>
      </w:r>
      <w:r w:rsidRPr="00941934">
        <w:rPr>
          <w:b/>
          <w:bCs/>
          <w:lang w:val="pt-PT"/>
        </w:rPr>
        <w:t xml:space="preserve">Figura </w:t>
      </w:r>
      <w:r w:rsidRPr="00941934">
        <w:rPr>
          <w:b/>
          <w:bCs/>
          <w:noProof/>
          <w:lang w:val="pt-PT"/>
        </w:rPr>
        <w:t>22</w:t>
      </w:r>
      <w:r w:rsidRPr="00941934">
        <w:rPr>
          <w:b/>
          <w:bCs/>
          <w:lang w:val="pt-PT" w:eastAsia="ja-JP"/>
        </w:rPr>
        <w:fldChar w:fldCharType="end"/>
      </w:r>
      <w:r>
        <w:rPr>
          <w:lang w:val="pt-PT" w:eastAsia="ja-JP"/>
        </w:rPr>
        <w:t xml:space="preserve"> </w:t>
      </w:r>
      <w:r w:rsidRPr="00DE4496">
        <w:rPr>
          <w:lang w:val="pt-PT" w:eastAsia="ja-JP"/>
        </w:rPr>
        <w:t xml:space="preserve">abaixo ilustra o fluxograma do Processo de Avaliação Ambiental e Social ajustado para o </w:t>
      </w:r>
      <w:proofErr w:type="spellStart"/>
      <w:r w:rsidRPr="00DE4496">
        <w:rPr>
          <w:lang w:val="pt-PT" w:eastAsia="ja-JP"/>
        </w:rPr>
        <w:t>Projecto</w:t>
      </w:r>
      <w:proofErr w:type="spellEnd"/>
      <w:r w:rsidRPr="00DE4496">
        <w:rPr>
          <w:lang w:val="pt-PT" w:eastAsia="ja-JP"/>
        </w:rPr>
        <w:t>.</w:t>
      </w:r>
    </w:p>
    <w:p w14:paraId="61F6227B" w14:textId="0FE06EA0" w:rsidR="00DE4496" w:rsidRDefault="00DE4496" w:rsidP="00D4704C">
      <w:pPr>
        <w:rPr>
          <w:lang w:val="pt-PT" w:eastAsia="ja-JP"/>
        </w:rPr>
      </w:pPr>
      <w:r w:rsidRPr="00DE4496">
        <w:rPr>
          <w:lang w:val="pt-PT" w:eastAsia="ja-JP"/>
        </w:rPr>
        <w:lastRenderedPageBreak/>
        <w:t xml:space="preserve"> </w:t>
      </w:r>
      <w:r w:rsidR="007D6223" w:rsidRPr="00EC2545">
        <w:rPr>
          <w:rFonts w:asciiTheme="minorHAnsi" w:hAnsiTheme="minorHAnsi" w:cstheme="minorHAnsi"/>
          <w:noProof/>
          <w:lang w:val="en-US"/>
        </w:rPr>
        <w:drawing>
          <wp:inline distT="0" distB="0" distL="0" distR="0" wp14:anchorId="51FC842D" wp14:editId="3D2B91F0">
            <wp:extent cx="4660729" cy="4703673"/>
            <wp:effectExtent l="0" t="0" r="0" b="1905"/>
            <wp:docPr id="287"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65963" cy="4708955"/>
                    </a:xfrm>
                    <a:prstGeom prst="rect">
                      <a:avLst/>
                    </a:prstGeom>
                    <a:noFill/>
                    <a:ln>
                      <a:noFill/>
                    </a:ln>
                  </pic:spPr>
                </pic:pic>
              </a:graphicData>
            </a:graphic>
          </wp:inline>
        </w:drawing>
      </w:r>
    </w:p>
    <w:p w14:paraId="71FF05DB" w14:textId="0B1D672C" w:rsidR="00DE4496" w:rsidRPr="00292532" w:rsidRDefault="00DE4496" w:rsidP="00DE4496">
      <w:pPr>
        <w:pStyle w:val="Caption"/>
      </w:pPr>
      <w:bookmarkStart w:id="418" w:name="_Ref80376548"/>
      <w:bookmarkStart w:id="419" w:name="_Toc80380245"/>
      <w:r w:rsidRPr="00292532">
        <w:t>F</w:t>
      </w:r>
      <w:r w:rsidRPr="00F83E37">
        <w:t xml:space="preserve">igura </w:t>
      </w:r>
      <w:r w:rsidRPr="00292532">
        <w:fldChar w:fldCharType="begin"/>
      </w:r>
      <w:r w:rsidRPr="00DE4496">
        <w:instrText xml:space="preserve"> SEQ Figura \* ARABIC </w:instrText>
      </w:r>
      <w:r w:rsidRPr="00292532">
        <w:fldChar w:fldCharType="separate"/>
      </w:r>
      <w:r>
        <w:rPr>
          <w:noProof/>
        </w:rPr>
        <w:t>22</w:t>
      </w:r>
      <w:r w:rsidRPr="00292532">
        <w:fldChar w:fldCharType="end"/>
      </w:r>
      <w:bookmarkEnd w:id="418"/>
      <w:r w:rsidRPr="00F83E37">
        <w:t xml:space="preserve">: Fluxograma de Processo de Avaliação Ambiental ajustado ao </w:t>
      </w:r>
      <w:proofErr w:type="spellStart"/>
      <w:r w:rsidRPr="00F83E37">
        <w:t>Projecto</w:t>
      </w:r>
      <w:bookmarkEnd w:id="419"/>
      <w:proofErr w:type="spellEnd"/>
    </w:p>
    <w:p w14:paraId="07E7A18C" w14:textId="77777777" w:rsidR="00DE4496" w:rsidRDefault="004025CD" w:rsidP="00DE4496">
      <w:pPr>
        <w:rPr>
          <w:lang w:val="pt-PT" w:eastAsia="ja-JP"/>
        </w:rPr>
      </w:pPr>
      <w:bookmarkStart w:id="420" w:name="_Hlk75445314"/>
      <w:r w:rsidRPr="00292532">
        <w:rPr>
          <w:lang w:val="pt-PT" w:eastAsia="ja-JP"/>
        </w:rPr>
        <w:t xml:space="preserve">Até a data de elaboração do presente QGAS, não tinham sido divulgados os subprojectos a serem desenvolvidos. Portanto, não sendo ainda possível categorizá-los a fim de identificar o nível da AIA a ser conduzida. </w:t>
      </w:r>
      <w:r w:rsidR="000F59C7" w:rsidRPr="00292532">
        <w:rPr>
          <w:lang w:val="pt-PT" w:eastAsia="ja-JP"/>
        </w:rPr>
        <w:t xml:space="preserve">Contudo, com base nas informações disponíveis, os </w:t>
      </w:r>
      <w:proofErr w:type="spellStart"/>
      <w:r w:rsidR="000F59C7" w:rsidRPr="00292532">
        <w:rPr>
          <w:lang w:val="pt-PT" w:eastAsia="ja-JP"/>
        </w:rPr>
        <w:t>projectos</w:t>
      </w:r>
      <w:proofErr w:type="spellEnd"/>
      <w:r w:rsidR="000F59C7" w:rsidRPr="00292532">
        <w:rPr>
          <w:lang w:val="pt-PT" w:eastAsia="ja-JP"/>
        </w:rPr>
        <w:t xml:space="preserve"> de categoria A+ não serão </w:t>
      </w:r>
      <w:r w:rsidR="00C62097" w:rsidRPr="00292532">
        <w:rPr>
          <w:lang w:val="pt-PT" w:eastAsia="ja-JP"/>
        </w:rPr>
        <w:t>elegíveis</w:t>
      </w:r>
      <w:bookmarkEnd w:id="420"/>
      <w:r w:rsidR="000F59C7" w:rsidRPr="00292532">
        <w:rPr>
          <w:lang w:val="pt-PT" w:eastAsia="ja-JP"/>
        </w:rPr>
        <w:t>.</w:t>
      </w:r>
    </w:p>
    <w:p w14:paraId="68FB6782" w14:textId="77777777" w:rsidR="007D6223" w:rsidRPr="00292532" w:rsidRDefault="007D6223" w:rsidP="007D6223">
      <w:pPr>
        <w:rPr>
          <w:lang w:val="pt-PT" w:eastAsia="ja-JP"/>
        </w:rPr>
      </w:pPr>
      <w:r w:rsidRPr="00292532">
        <w:rPr>
          <w:lang w:val="pt-PT" w:eastAsia="ja-JP"/>
        </w:rPr>
        <w:t xml:space="preserve">No que respeita ao licenciamento ambiental das </w:t>
      </w:r>
      <w:proofErr w:type="spellStart"/>
      <w:r w:rsidRPr="00292532">
        <w:rPr>
          <w:lang w:val="pt-PT" w:eastAsia="ja-JP"/>
        </w:rPr>
        <w:t>actividades</w:t>
      </w:r>
      <w:proofErr w:type="spellEnd"/>
      <w:r w:rsidRPr="00292532">
        <w:rPr>
          <w:lang w:val="pt-PT" w:eastAsia="ja-JP"/>
        </w:rPr>
        <w:t xml:space="preserve"> previstas no âmbito do </w:t>
      </w:r>
      <w:proofErr w:type="spellStart"/>
      <w:r w:rsidRPr="00292532">
        <w:rPr>
          <w:lang w:val="pt-PT" w:eastAsia="ja-JP"/>
        </w:rPr>
        <w:t>Projecto</w:t>
      </w:r>
      <w:proofErr w:type="spellEnd"/>
      <w:r w:rsidRPr="00292532">
        <w:rPr>
          <w:lang w:val="pt-PT" w:eastAsia="ja-JP"/>
        </w:rPr>
        <w:t xml:space="preserve">, são aplicáveis os requisitos do Decreto 54/2015 que estabelece uma abordagem faseada de licenciamento ambiental, prevendo-se uma licença de instalação para a fase de construção (válida por 3 anos) e uma licença de operação (válida por 5 anos renováveis). Aplicando-se mediante a categoria do </w:t>
      </w:r>
      <w:proofErr w:type="spellStart"/>
      <w:r w:rsidRPr="00292532">
        <w:rPr>
          <w:lang w:val="pt-PT" w:eastAsia="ja-JP"/>
        </w:rPr>
        <w:t>Projecto</w:t>
      </w:r>
      <w:proofErr w:type="spellEnd"/>
      <w:r w:rsidRPr="00292532">
        <w:rPr>
          <w:lang w:val="pt-PT" w:eastAsia="ja-JP"/>
        </w:rPr>
        <w:t xml:space="preserve"> taxas de licenciamento ambiental a serem pagas pelo Proponente (neste caso o Mutuário) após o cumprimento das obrigações relevantes para a obtenção das licenças. Sendo assim, salvo os subprojectos que forem isentos de realização de uma AIA, deve-se prever uma licença de instalação e uma de operação. A licença de instalação está condicionada a uma AIA e aprovação do </w:t>
      </w:r>
      <w:proofErr w:type="spellStart"/>
      <w:r w:rsidRPr="00292532">
        <w:rPr>
          <w:lang w:val="pt-PT" w:eastAsia="ja-JP"/>
        </w:rPr>
        <w:t>respectivo</w:t>
      </w:r>
      <w:proofErr w:type="spellEnd"/>
      <w:r w:rsidRPr="00292532">
        <w:rPr>
          <w:lang w:val="pt-PT" w:eastAsia="ja-JP"/>
        </w:rPr>
        <w:t xml:space="preserve"> EIA. Enquanto a licença de operação requer uma Auditoria de Conformidade e submissão do Relatório de Auditoria a demonstrar que as medidas de mitigação inerentes a fase de instalação/construção de acordo com os compromissos da licença de instalação, foram devidamente cumpridas.</w:t>
      </w:r>
    </w:p>
    <w:p w14:paraId="6BF778B3" w14:textId="1588A509" w:rsidR="00DE4496" w:rsidRPr="00292532" w:rsidRDefault="00DE4496" w:rsidP="00DE4496">
      <w:pPr>
        <w:rPr>
          <w:lang w:val="pt-PT" w:eastAsia="ja-JP"/>
        </w:rPr>
      </w:pPr>
      <w:r w:rsidRPr="00292532">
        <w:rPr>
          <w:lang w:val="pt-PT" w:eastAsia="ja-JP"/>
        </w:rPr>
        <w:t>A definição antecipada da estratégia de licenciamento ambiental será importante para definir o âmbito dos estudos de impacto ambiental.</w:t>
      </w:r>
    </w:p>
    <w:p w14:paraId="6CE55932" w14:textId="2B87E999" w:rsidR="002F74AA" w:rsidRPr="00292532" w:rsidRDefault="002F74AA" w:rsidP="002F74AA">
      <w:pPr>
        <w:rPr>
          <w:lang w:val="pt-PT" w:eastAsia="ja-JP"/>
        </w:rPr>
      </w:pPr>
      <w:r w:rsidRPr="00292532">
        <w:rPr>
          <w:lang w:val="pt-PT" w:eastAsia="ja-JP"/>
        </w:rPr>
        <w:lastRenderedPageBreak/>
        <w:t>A isenção de realização de uma AIA</w:t>
      </w:r>
      <w:r w:rsidR="005F49A1" w:rsidRPr="00292532">
        <w:rPr>
          <w:lang w:val="pt-PT" w:eastAsia="ja-JP"/>
        </w:rPr>
        <w:t xml:space="preserve">, essencialmente para as 250 fontes dispersas e 75 sistemas de saneamento nas infraestruturas públicas por província, </w:t>
      </w:r>
      <w:r w:rsidRPr="00292532">
        <w:rPr>
          <w:lang w:val="pt-PT" w:eastAsia="ja-JP"/>
        </w:rPr>
        <w:t xml:space="preserve">pode-se justificar tendo em conta a </w:t>
      </w:r>
      <w:r w:rsidR="005F49A1" w:rsidRPr="00292532">
        <w:rPr>
          <w:lang w:val="pt-PT" w:eastAsia="ja-JP"/>
        </w:rPr>
        <w:t xml:space="preserve">dimensão e </w:t>
      </w:r>
      <w:r w:rsidRPr="00292532">
        <w:rPr>
          <w:lang w:val="pt-PT" w:eastAsia="ja-JP"/>
        </w:rPr>
        <w:t xml:space="preserve">localização, a existência de estudos ambientais prévios realizados na área de intervenção, e a significância dos potenciais riscos e impactos ambientais da </w:t>
      </w:r>
      <w:proofErr w:type="spellStart"/>
      <w:r w:rsidRPr="00292532">
        <w:rPr>
          <w:lang w:val="pt-PT" w:eastAsia="ja-JP"/>
        </w:rPr>
        <w:t>actividade</w:t>
      </w:r>
      <w:proofErr w:type="spellEnd"/>
      <w:r w:rsidRPr="00292532">
        <w:rPr>
          <w:lang w:val="pt-PT" w:eastAsia="ja-JP"/>
        </w:rPr>
        <w:t xml:space="preserve">. Nesta fase, será fundamental articular estas questões com a autoridade ambiental. </w:t>
      </w:r>
    </w:p>
    <w:p w14:paraId="7F052152" w14:textId="37A57C15" w:rsidR="002F74AA" w:rsidRPr="00292532" w:rsidRDefault="005F49A1" w:rsidP="00E578AB">
      <w:pPr>
        <w:rPr>
          <w:lang w:val="pt-PT" w:eastAsia="ja-JP"/>
        </w:rPr>
      </w:pPr>
      <w:r w:rsidRPr="00292532">
        <w:rPr>
          <w:lang w:val="pt-PT" w:eastAsia="ja-JP"/>
        </w:rPr>
        <w:t xml:space="preserve">A AIAS e DNAAS, </w:t>
      </w:r>
      <w:r w:rsidR="00E578AB" w:rsidRPr="00292532">
        <w:rPr>
          <w:lang w:val="pt-PT" w:eastAsia="ja-JP"/>
        </w:rPr>
        <w:t>deve</w:t>
      </w:r>
      <w:r w:rsidRPr="00292532">
        <w:rPr>
          <w:lang w:val="pt-PT" w:eastAsia="ja-JP"/>
        </w:rPr>
        <w:t>m</w:t>
      </w:r>
      <w:r w:rsidR="00E578AB" w:rsidRPr="00292532">
        <w:rPr>
          <w:lang w:val="pt-PT" w:eastAsia="ja-JP"/>
        </w:rPr>
        <w:t xml:space="preserve"> avaliar a possibilidade de </w:t>
      </w:r>
      <w:r w:rsidR="002F74AA" w:rsidRPr="00292532">
        <w:rPr>
          <w:lang w:val="pt-PT" w:eastAsia="ja-JP"/>
        </w:rPr>
        <w:t>agregar mais de um subprojecto num único processo da AIA, tendo como base justificativa, considerações de abrangência territorial (</w:t>
      </w:r>
      <w:proofErr w:type="spellStart"/>
      <w:r w:rsidR="002F74AA" w:rsidRPr="00292532">
        <w:rPr>
          <w:lang w:val="pt-PT" w:eastAsia="ja-JP"/>
        </w:rPr>
        <w:t>projectos</w:t>
      </w:r>
      <w:proofErr w:type="spellEnd"/>
      <w:r w:rsidR="002F74AA" w:rsidRPr="00292532">
        <w:rPr>
          <w:lang w:val="pt-PT" w:eastAsia="ja-JP"/>
        </w:rPr>
        <w:t xml:space="preserve"> no mesmo distrito, na mesma vila ou cidade), responsabilidades de implementação dos </w:t>
      </w:r>
      <w:proofErr w:type="spellStart"/>
      <w:r w:rsidR="002F74AA" w:rsidRPr="00292532">
        <w:rPr>
          <w:lang w:val="pt-PT" w:eastAsia="ja-JP"/>
        </w:rPr>
        <w:t>projectos</w:t>
      </w:r>
      <w:proofErr w:type="spellEnd"/>
      <w:r w:rsidR="002F74AA" w:rsidRPr="00292532">
        <w:rPr>
          <w:lang w:val="pt-PT" w:eastAsia="ja-JP"/>
        </w:rPr>
        <w:t xml:space="preserve"> (licenças ambientais dos subprojectos serão em nome da </w:t>
      </w:r>
      <w:proofErr w:type="spellStart"/>
      <w:r w:rsidR="002F74AA" w:rsidRPr="00292532">
        <w:rPr>
          <w:lang w:val="pt-PT" w:eastAsia="ja-JP"/>
        </w:rPr>
        <w:t>respectiva</w:t>
      </w:r>
      <w:proofErr w:type="spellEnd"/>
      <w:r w:rsidR="002F74AA" w:rsidRPr="00292532">
        <w:rPr>
          <w:lang w:val="pt-PT" w:eastAsia="ja-JP"/>
        </w:rPr>
        <w:t xml:space="preserve"> UIP), critérios técnicos (sistemas interligados, semelhanças nas características técnicas dos </w:t>
      </w:r>
      <w:proofErr w:type="spellStart"/>
      <w:r w:rsidR="002F74AA" w:rsidRPr="00292532">
        <w:rPr>
          <w:lang w:val="pt-PT" w:eastAsia="ja-JP"/>
        </w:rPr>
        <w:t>Projectos</w:t>
      </w:r>
      <w:proofErr w:type="spellEnd"/>
      <w:r w:rsidR="002F74AA" w:rsidRPr="00292532">
        <w:rPr>
          <w:lang w:val="pt-PT" w:eastAsia="ja-JP"/>
        </w:rPr>
        <w:t xml:space="preserve">, </w:t>
      </w:r>
      <w:r w:rsidR="00E578AB" w:rsidRPr="00292532">
        <w:rPr>
          <w:lang w:val="pt-PT" w:eastAsia="ja-JP"/>
        </w:rPr>
        <w:t>prazos de implementação (</w:t>
      </w:r>
      <w:proofErr w:type="spellStart"/>
      <w:r w:rsidR="00E578AB" w:rsidRPr="00292532">
        <w:rPr>
          <w:lang w:val="pt-PT" w:eastAsia="ja-JP"/>
        </w:rPr>
        <w:t>projectos</w:t>
      </w:r>
      <w:proofErr w:type="spellEnd"/>
      <w:r w:rsidR="00E578AB" w:rsidRPr="00292532">
        <w:rPr>
          <w:lang w:val="pt-PT" w:eastAsia="ja-JP"/>
        </w:rPr>
        <w:t xml:space="preserve"> implementados no mesmo período podem ser alvo de uma única AIA). </w:t>
      </w:r>
    </w:p>
    <w:p w14:paraId="4F45C40A" w14:textId="07A8B87C" w:rsidR="004025CD" w:rsidRPr="00292532" w:rsidRDefault="00645AE5" w:rsidP="004025CD">
      <w:pPr>
        <w:rPr>
          <w:lang w:val="pt-PT"/>
        </w:rPr>
      </w:pPr>
      <w:r w:rsidRPr="00292532">
        <w:rPr>
          <w:lang w:val="pt-PT" w:eastAsia="ja-JP"/>
        </w:rPr>
        <w:t xml:space="preserve">O artigo 5 do Decreto 54/2015 prevê a isenção na realização do EIA ou EIA simplificado para algumas atividades, particularmente aquelas relacionadas a </w:t>
      </w:r>
      <w:proofErr w:type="spellStart"/>
      <w:r w:rsidRPr="00292532">
        <w:rPr>
          <w:lang w:val="pt-PT" w:eastAsia="ja-JP"/>
        </w:rPr>
        <w:t>a</w:t>
      </w:r>
      <w:r w:rsidR="005F49A1" w:rsidRPr="00292532">
        <w:rPr>
          <w:lang w:val="pt-PT" w:eastAsia="ja-JP"/>
        </w:rPr>
        <w:t>c</w:t>
      </w:r>
      <w:r w:rsidRPr="00292532">
        <w:rPr>
          <w:lang w:val="pt-PT" w:eastAsia="ja-JP"/>
        </w:rPr>
        <w:t>ções</w:t>
      </w:r>
      <w:proofErr w:type="spellEnd"/>
      <w:r w:rsidRPr="00292532">
        <w:rPr>
          <w:lang w:val="pt-PT" w:eastAsia="ja-JP"/>
        </w:rPr>
        <w:t xml:space="preserve"> imediatas em resposta a desastres ou calamidades naturais, emergências resultantes de atividades de desenvolvimento e atividades relacionadas com a defesa nacional e segurança. No caso de desastres e emergências, o Artigo (2) estipula que o MTA deve dar instruções para tais isenções, e fazer provisões para auditorias posteriormente.</w:t>
      </w:r>
      <w:bookmarkStart w:id="421" w:name="_Hlk75445659"/>
      <w:r w:rsidR="00AA7544">
        <w:rPr>
          <w:lang w:val="pt-PT" w:eastAsia="ja-JP"/>
        </w:rPr>
        <w:t xml:space="preserve"> </w:t>
      </w:r>
      <w:r w:rsidR="004025CD" w:rsidRPr="00292532">
        <w:rPr>
          <w:lang w:val="pt-PT"/>
        </w:rPr>
        <w:t xml:space="preserve">As principais etapas a seguir </w:t>
      </w:r>
      <w:r w:rsidR="006C0227" w:rsidRPr="00292532">
        <w:rPr>
          <w:lang w:val="pt-PT"/>
        </w:rPr>
        <w:t>no processo de avaliação ambiental e social</w:t>
      </w:r>
      <w:r w:rsidR="004025CD" w:rsidRPr="00292532">
        <w:rPr>
          <w:lang w:val="pt-PT"/>
        </w:rPr>
        <w:t xml:space="preserve"> são</w:t>
      </w:r>
      <w:r w:rsidR="007D6223">
        <w:rPr>
          <w:lang w:val="pt-PT"/>
        </w:rPr>
        <w:t xml:space="preserve"> desde a </w:t>
      </w:r>
      <w:r w:rsidR="004025CD" w:rsidRPr="00292532">
        <w:rPr>
          <w:lang w:val="pt-PT"/>
        </w:rPr>
        <w:t xml:space="preserve">Fase de </w:t>
      </w:r>
      <w:proofErr w:type="spellStart"/>
      <w:r w:rsidR="004025CD" w:rsidRPr="00292532">
        <w:rPr>
          <w:lang w:val="pt-PT"/>
        </w:rPr>
        <w:t>prospecção</w:t>
      </w:r>
      <w:proofErr w:type="spellEnd"/>
      <w:r w:rsidR="004025CD" w:rsidRPr="00292532">
        <w:rPr>
          <w:lang w:val="pt-PT"/>
        </w:rPr>
        <w:t xml:space="preserve"> e enquadramento</w:t>
      </w:r>
      <w:bookmarkEnd w:id="421"/>
      <w:r w:rsidR="00F83E37">
        <w:rPr>
          <w:lang w:val="pt-PT"/>
        </w:rPr>
        <w:t xml:space="preserve"> ao acompanhamento e monitoria durante a implementação do </w:t>
      </w:r>
      <w:proofErr w:type="spellStart"/>
      <w:r w:rsidR="00F83E37">
        <w:rPr>
          <w:lang w:val="pt-PT"/>
        </w:rPr>
        <w:t>Projecto</w:t>
      </w:r>
      <w:proofErr w:type="spellEnd"/>
      <w:r w:rsidR="00F83E37">
        <w:rPr>
          <w:lang w:val="pt-PT"/>
        </w:rPr>
        <w:t xml:space="preserve"> são descritas na </w:t>
      </w:r>
      <w:r w:rsidR="004025CD" w:rsidRPr="00292532">
        <w:rPr>
          <w:b/>
          <w:bCs/>
          <w:lang w:val="pt-PT"/>
        </w:rPr>
        <w:fldChar w:fldCharType="begin"/>
      </w:r>
      <w:r w:rsidR="004025CD" w:rsidRPr="00292532">
        <w:rPr>
          <w:b/>
          <w:bCs/>
          <w:lang w:val="pt-PT"/>
        </w:rPr>
        <w:instrText xml:space="preserve"> REF _Ref72337785 \h  \* MERGEFORMAT </w:instrText>
      </w:r>
      <w:r w:rsidR="004025CD" w:rsidRPr="00292532">
        <w:rPr>
          <w:b/>
          <w:bCs/>
          <w:lang w:val="pt-PT"/>
        </w:rPr>
      </w:r>
      <w:r w:rsidR="004025CD" w:rsidRPr="00292532">
        <w:rPr>
          <w:b/>
          <w:bCs/>
          <w:lang w:val="pt-PT"/>
        </w:rPr>
        <w:fldChar w:fldCharType="separate"/>
      </w:r>
      <w:r w:rsidR="00F83E37" w:rsidRPr="00941934">
        <w:rPr>
          <w:b/>
          <w:bCs/>
          <w:lang w:val="pt-PT"/>
        </w:rPr>
        <w:t xml:space="preserve">Tabela </w:t>
      </w:r>
      <w:r w:rsidR="00F83E37" w:rsidRPr="00941934">
        <w:rPr>
          <w:b/>
          <w:bCs/>
          <w:noProof/>
          <w:lang w:val="pt-PT"/>
        </w:rPr>
        <w:t>31</w:t>
      </w:r>
      <w:r w:rsidR="004025CD" w:rsidRPr="00292532">
        <w:rPr>
          <w:b/>
          <w:bCs/>
          <w:lang w:val="pt-PT"/>
        </w:rPr>
        <w:fldChar w:fldCharType="end"/>
      </w:r>
      <w:r w:rsidR="004025CD" w:rsidRPr="00292532">
        <w:rPr>
          <w:lang w:val="pt-PT"/>
        </w:rPr>
        <w:t xml:space="preserve"> .  </w:t>
      </w:r>
    </w:p>
    <w:p w14:paraId="427EA526" w14:textId="699209D2" w:rsidR="004025CD" w:rsidRPr="00292532" w:rsidRDefault="004025CD" w:rsidP="004025CD">
      <w:pPr>
        <w:pStyle w:val="Caption"/>
      </w:pPr>
      <w:bookmarkStart w:id="422" w:name="_Ref72337785"/>
      <w:bookmarkStart w:id="423" w:name="_Toc75438169"/>
      <w:bookmarkStart w:id="424" w:name="_Toc80380278"/>
      <w:r w:rsidRPr="00292532">
        <w:t xml:space="preserve">Tabela </w:t>
      </w:r>
      <w:r w:rsidRPr="00292532">
        <w:fldChar w:fldCharType="begin"/>
      </w:r>
      <w:r w:rsidRPr="00292532">
        <w:instrText xml:space="preserve"> SEQ Tabela \* ARABIC </w:instrText>
      </w:r>
      <w:r w:rsidRPr="00292532">
        <w:fldChar w:fldCharType="separate"/>
      </w:r>
      <w:r w:rsidR="000D7B05">
        <w:rPr>
          <w:noProof/>
        </w:rPr>
        <w:t>31</w:t>
      </w:r>
      <w:r w:rsidRPr="00292532">
        <w:fldChar w:fldCharType="end"/>
      </w:r>
      <w:bookmarkEnd w:id="422"/>
      <w:r w:rsidRPr="00292532">
        <w:t xml:space="preserve">: Principais Etapas do Processo de </w:t>
      </w:r>
      <w:bookmarkEnd w:id="423"/>
      <w:r w:rsidR="00F83E37">
        <w:t>Avaliação Ambiental e Social</w:t>
      </w:r>
      <w:bookmarkEnd w:id="424"/>
      <w:r w:rsidRPr="00292532">
        <w:t xml:space="preserve"> </w:t>
      </w:r>
    </w:p>
    <w:tbl>
      <w:tblPr>
        <w:tblStyle w:val="GridTable2-Accent5"/>
        <w:tblW w:w="8820" w:type="dxa"/>
        <w:tblLook w:val="04A0" w:firstRow="1" w:lastRow="0" w:firstColumn="1" w:lastColumn="0" w:noHBand="0" w:noVBand="1"/>
      </w:tblPr>
      <w:tblGrid>
        <w:gridCol w:w="529"/>
        <w:gridCol w:w="1810"/>
        <w:gridCol w:w="4065"/>
        <w:gridCol w:w="2416"/>
      </w:tblGrid>
      <w:tr w:rsidR="004025CD" w:rsidRPr="00292532" w14:paraId="1BE27777" w14:textId="77777777" w:rsidTr="00876367">
        <w:trPr>
          <w:cnfStyle w:val="100000000000" w:firstRow="1" w:lastRow="0" w:firstColumn="0" w:lastColumn="0" w:oddVBand="0" w:evenVBand="0" w:oddHBand="0" w:evenHBand="0" w:firstRowFirstColumn="0" w:firstRowLastColumn="0" w:lastRowFirstColumn="0" w:lastRowLastColumn="0"/>
          <w:trHeight w:val="752"/>
          <w:tblHeader/>
        </w:trPr>
        <w:tc>
          <w:tcPr>
            <w:cnfStyle w:val="001000000000" w:firstRow="0" w:lastRow="0" w:firstColumn="1" w:lastColumn="0" w:oddVBand="0" w:evenVBand="0" w:oddHBand="0" w:evenHBand="0" w:firstRowFirstColumn="0" w:firstRowLastColumn="0" w:lastRowFirstColumn="0" w:lastRowLastColumn="0"/>
            <w:tcW w:w="0" w:type="dxa"/>
          </w:tcPr>
          <w:p w14:paraId="0F9283C4" w14:textId="77777777" w:rsidR="004025CD" w:rsidRPr="00292532" w:rsidRDefault="004025CD" w:rsidP="005706BC">
            <w:pPr>
              <w:tabs>
                <w:tab w:val="left" w:pos="157"/>
              </w:tabs>
              <w:spacing w:before="120"/>
              <w:jc w:val="center"/>
              <w:rPr>
                <w:sz w:val="20"/>
                <w:szCs w:val="20"/>
                <w:lang w:val="pt-PT"/>
              </w:rPr>
            </w:pPr>
            <w:r w:rsidRPr="00292532">
              <w:rPr>
                <w:sz w:val="20"/>
                <w:szCs w:val="20"/>
                <w:lang w:val="pt-PT"/>
              </w:rPr>
              <w:t>No.</w:t>
            </w:r>
          </w:p>
        </w:tc>
        <w:tc>
          <w:tcPr>
            <w:tcW w:w="0" w:type="dxa"/>
          </w:tcPr>
          <w:p w14:paraId="02D5AB55" w14:textId="77777777" w:rsidR="004025CD" w:rsidRPr="00292532" w:rsidRDefault="004025CD" w:rsidP="005706BC">
            <w:pPr>
              <w:spacing w:before="120"/>
              <w:jc w:val="center"/>
              <w:cnfStyle w:val="100000000000" w:firstRow="1"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Etapas do Processo de Triagem</w:t>
            </w:r>
          </w:p>
        </w:tc>
        <w:tc>
          <w:tcPr>
            <w:tcW w:w="0" w:type="dxa"/>
          </w:tcPr>
          <w:p w14:paraId="5A1A8709" w14:textId="77777777" w:rsidR="004025CD" w:rsidRPr="00292532" w:rsidRDefault="004025CD" w:rsidP="005706BC">
            <w:pPr>
              <w:spacing w:before="120"/>
              <w:jc w:val="center"/>
              <w:cnfStyle w:val="100000000000" w:firstRow="1"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Principais Tarefas</w:t>
            </w:r>
          </w:p>
        </w:tc>
        <w:tc>
          <w:tcPr>
            <w:tcW w:w="0" w:type="dxa"/>
          </w:tcPr>
          <w:p w14:paraId="46BB5616" w14:textId="77777777" w:rsidR="004025CD" w:rsidRPr="00292532" w:rsidRDefault="004025CD" w:rsidP="005706BC">
            <w:pPr>
              <w:spacing w:before="120"/>
              <w:cnfStyle w:val="100000000000" w:firstRow="1"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Responsabilidade</w:t>
            </w:r>
          </w:p>
        </w:tc>
      </w:tr>
      <w:tr w:rsidR="004025CD" w:rsidRPr="008D18CF" w14:paraId="5C92D416" w14:textId="77777777" w:rsidTr="00C31925">
        <w:trPr>
          <w:cnfStyle w:val="000000100000" w:firstRow="0" w:lastRow="0" w:firstColumn="0" w:lastColumn="0" w:oddVBand="0" w:evenVBand="0" w:oddHBand="1" w:evenHBand="0" w:firstRowFirstColumn="0" w:firstRowLastColumn="0" w:lastRowFirstColumn="0" w:lastRowLastColumn="0"/>
          <w:trHeight w:val="1127"/>
        </w:trPr>
        <w:tc>
          <w:tcPr>
            <w:cnfStyle w:val="001000000000" w:firstRow="0" w:lastRow="0" w:firstColumn="1" w:lastColumn="0" w:oddVBand="0" w:evenVBand="0" w:oddHBand="0" w:evenHBand="0" w:firstRowFirstColumn="0" w:firstRowLastColumn="0" w:lastRowFirstColumn="0" w:lastRowLastColumn="0"/>
            <w:tcW w:w="530" w:type="dxa"/>
          </w:tcPr>
          <w:p w14:paraId="5A0DD22B" w14:textId="77777777" w:rsidR="004025CD" w:rsidRPr="00292532" w:rsidRDefault="004025CD" w:rsidP="00C31925">
            <w:pPr>
              <w:tabs>
                <w:tab w:val="left" w:pos="157"/>
              </w:tabs>
              <w:rPr>
                <w:b w:val="0"/>
                <w:bCs w:val="0"/>
                <w:sz w:val="20"/>
                <w:szCs w:val="20"/>
                <w:lang w:val="pt-PT"/>
              </w:rPr>
            </w:pPr>
            <w:bookmarkStart w:id="425" w:name="_Hlk75445647"/>
            <w:r w:rsidRPr="00292532">
              <w:rPr>
                <w:b w:val="0"/>
                <w:bCs w:val="0"/>
                <w:sz w:val="20"/>
                <w:szCs w:val="20"/>
                <w:lang w:val="pt-PT"/>
              </w:rPr>
              <w:t>1.</w:t>
            </w:r>
          </w:p>
        </w:tc>
        <w:tc>
          <w:tcPr>
            <w:tcW w:w="1759" w:type="dxa"/>
          </w:tcPr>
          <w:p w14:paraId="5F448F77"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b/>
                <w:bCs/>
                <w:sz w:val="20"/>
                <w:szCs w:val="20"/>
                <w:lang w:val="pt-PT"/>
              </w:rPr>
            </w:pPr>
            <w:proofErr w:type="spellStart"/>
            <w:r w:rsidRPr="00292532">
              <w:rPr>
                <w:b/>
                <w:bCs/>
                <w:sz w:val="20"/>
                <w:szCs w:val="20"/>
                <w:lang w:val="pt-PT"/>
              </w:rPr>
              <w:t>Prospecção</w:t>
            </w:r>
            <w:proofErr w:type="spellEnd"/>
            <w:r w:rsidRPr="00292532">
              <w:rPr>
                <w:b/>
                <w:bCs/>
                <w:sz w:val="20"/>
                <w:szCs w:val="20"/>
                <w:lang w:val="pt-PT"/>
              </w:rPr>
              <w:t xml:space="preserve"> e enquadramento </w:t>
            </w:r>
          </w:p>
        </w:tc>
        <w:tc>
          <w:tcPr>
            <w:tcW w:w="4101" w:type="dxa"/>
          </w:tcPr>
          <w:p w14:paraId="200EED46" w14:textId="1BCE8D01"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Análise de cada subprojecto com referência aos critérios de exclusão </w:t>
            </w:r>
            <w:r w:rsidR="00B41DA7" w:rsidRPr="00292532">
              <w:rPr>
                <w:sz w:val="20"/>
                <w:szCs w:val="20"/>
                <w:lang w:val="pt-PT"/>
              </w:rPr>
              <w:t>(</w:t>
            </w:r>
            <w:r w:rsidR="00F83E37" w:rsidRPr="00941934">
              <w:rPr>
                <w:b/>
                <w:bCs/>
                <w:sz w:val="20"/>
                <w:szCs w:val="20"/>
                <w:lang w:val="pt-PT"/>
              </w:rPr>
              <w:fldChar w:fldCharType="begin"/>
            </w:r>
            <w:r w:rsidR="00F83E37" w:rsidRPr="00941934">
              <w:rPr>
                <w:b/>
                <w:bCs/>
                <w:sz w:val="20"/>
                <w:szCs w:val="20"/>
                <w:lang w:val="pt-PT"/>
              </w:rPr>
              <w:instrText xml:space="preserve"> REF _Ref80377431 \h  \* MERGEFORMAT </w:instrText>
            </w:r>
            <w:r w:rsidR="00F83E37" w:rsidRPr="00941934">
              <w:rPr>
                <w:b/>
                <w:bCs/>
                <w:sz w:val="20"/>
                <w:szCs w:val="20"/>
                <w:lang w:val="pt-PT"/>
              </w:rPr>
            </w:r>
            <w:r w:rsidR="00F83E37" w:rsidRPr="00941934">
              <w:rPr>
                <w:b/>
                <w:bCs/>
                <w:sz w:val="20"/>
                <w:szCs w:val="20"/>
                <w:lang w:val="pt-PT"/>
              </w:rPr>
              <w:fldChar w:fldCharType="separate"/>
            </w:r>
            <w:r w:rsidR="00F83E37" w:rsidRPr="00941934">
              <w:rPr>
                <w:b/>
                <w:bCs/>
                <w:lang w:val="pt-PT"/>
              </w:rPr>
              <w:t xml:space="preserve">Tabela </w:t>
            </w:r>
            <w:r w:rsidR="00F83E37" w:rsidRPr="00941934">
              <w:rPr>
                <w:b/>
                <w:bCs/>
                <w:noProof/>
                <w:lang w:val="pt-PT"/>
              </w:rPr>
              <w:t>30</w:t>
            </w:r>
            <w:r w:rsidR="00F83E37" w:rsidRPr="00941934">
              <w:rPr>
                <w:b/>
                <w:bCs/>
                <w:sz w:val="20"/>
                <w:szCs w:val="20"/>
                <w:lang w:val="pt-PT"/>
              </w:rPr>
              <w:fldChar w:fldCharType="end"/>
            </w:r>
            <w:r w:rsidR="00F83E37">
              <w:rPr>
                <w:sz w:val="20"/>
                <w:szCs w:val="20"/>
                <w:lang w:val="pt-PT"/>
              </w:rPr>
              <w:t>)</w:t>
            </w:r>
          </w:p>
          <w:p w14:paraId="44549EED"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Propostas de alternativas para viabilizar os </w:t>
            </w:r>
            <w:proofErr w:type="spellStart"/>
            <w:r w:rsidRPr="00292532">
              <w:rPr>
                <w:sz w:val="20"/>
                <w:szCs w:val="20"/>
                <w:lang w:val="pt-PT"/>
              </w:rPr>
              <w:t>projectos</w:t>
            </w:r>
            <w:proofErr w:type="spellEnd"/>
            <w:r w:rsidRPr="00292532">
              <w:rPr>
                <w:sz w:val="20"/>
                <w:szCs w:val="20"/>
                <w:lang w:val="pt-PT"/>
              </w:rPr>
              <w:t xml:space="preserve"> no ponto de vista ambiental e social. </w:t>
            </w:r>
          </w:p>
          <w:p w14:paraId="77B146AE" w14:textId="0B6C1FBB" w:rsidR="000054CE" w:rsidRPr="00292532" w:rsidRDefault="000054CE"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Análise das opções de abordagem de licenciamento ambiental e </w:t>
            </w:r>
            <w:proofErr w:type="spellStart"/>
            <w:r w:rsidRPr="00292532">
              <w:rPr>
                <w:sz w:val="20"/>
                <w:szCs w:val="20"/>
                <w:lang w:val="pt-PT"/>
              </w:rPr>
              <w:t>interacção</w:t>
            </w:r>
            <w:proofErr w:type="spellEnd"/>
            <w:r w:rsidRPr="00292532">
              <w:rPr>
                <w:sz w:val="20"/>
                <w:szCs w:val="20"/>
                <w:lang w:val="pt-PT"/>
              </w:rPr>
              <w:t xml:space="preserve"> com as autoridades.</w:t>
            </w:r>
          </w:p>
        </w:tc>
        <w:tc>
          <w:tcPr>
            <w:tcW w:w="2430" w:type="dxa"/>
          </w:tcPr>
          <w:p w14:paraId="66F18083"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Equipa de especialistas em salvaguardas das </w:t>
            </w:r>
            <w:proofErr w:type="spellStart"/>
            <w:r w:rsidRPr="00292532">
              <w:rPr>
                <w:sz w:val="20"/>
                <w:szCs w:val="20"/>
                <w:lang w:val="pt-PT"/>
              </w:rPr>
              <w:t>UIPs</w:t>
            </w:r>
            <w:proofErr w:type="spellEnd"/>
            <w:r w:rsidRPr="00292532">
              <w:rPr>
                <w:sz w:val="20"/>
                <w:szCs w:val="20"/>
                <w:lang w:val="pt-PT"/>
              </w:rPr>
              <w:t xml:space="preserve"> (AIAS) e UTP (DPOPH)</w:t>
            </w:r>
          </w:p>
          <w:p w14:paraId="59DC12CE"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proofErr w:type="spellStart"/>
            <w:r w:rsidRPr="00292532">
              <w:rPr>
                <w:sz w:val="20"/>
                <w:szCs w:val="20"/>
                <w:lang w:val="pt-PT"/>
              </w:rPr>
              <w:t>UIPs</w:t>
            </w:r>
            <w:proofErr w:type="spellEnd"/>
            <w:r w:rsidRPr="00292532">
              <w:rPr>
                <w:sz w:val="20"/>
                <w:szCs w:val="20"/>
                <w:lang w:val="pt-PT"/>
              </w:rPr>
              <w:t xml:space="preserve"> (AIAS e DNAAS)</w:t>
            </w:r>
          </w:p>
          <w:p w14:paraId="6ACA5448"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Banco Mundial</w:t>
            </w:r>
          </w:p>
          <w:p w14:paraId="6F103A20"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p>
        </w:tc>
      </w:tr>
      <w:tr w:rsidR="004025CD" w:rsidRPr="008D18CF" w14:paraId="4CC7EB1A" w14:textId="77777777" w:rsidTr="004500AE">
        <w:trPr>
          <w:trHeight w:val="954"/>
        </w:trPr>
        <w:tc>
          <w:tcPr>
            <w:cnfStyle w:val="001000000000" w:firstRow="0" w:lastRow="0" w:firstColumn="1" w:lastColumn="0" w:oddVBand="0" w:evenVBand="0" w:oddHBand="0" w:evenHBand="0" w:firstRowFirstColumn="0" w:firstRowLastColumn="0" w:lastRowFirstColumn="0" w:lastRowLastColumn="0"/>
            <w:tcW w:w="0" w:type="dxa"/>
          </w:tcPr>
          <w:p w14:paraId="07DF3094" w14:textId="77777777" w:rsidR="004025CD" w:rsidRPr="00292532" w:rsidRDefault="004025CD" w:rsidP="00C31925">
            <w:pPr>
              <w:tabs>
                <w:tab w:val="left" w:pos="157"/>
              </w:tabs>
              <w:rPr>
                <w:b w:val="0"/>
                <w:bCs w:val="0"/>
                <w:sz w:val="20"/>
                <w:szCs w:val="20"/>
                <w:lang w:val="pt-PT"/>
              </w:rPr>
            </w:pPr>
            <w:r w:rsidRPr="00292532">
              <w:rPr>
                <w:b w:val="0"/>
                <w:bCs w:val="0"/>
                <w:sz w:val="20"/>
                <w:szCs w:val="20"/>
                <w:lang w:val="pt-PT"/>
              </w:rPr>
              <w:t>2</w:t>
            </w:r>
          </w:p>
        </w:tc>
        <w:tc>
          <w:tcPr>
            <w:tcW w:w="0" w:type="dxa"/>
          </w:tcPr>
          <w:p w14:paraId="1857566A" w14:textId="77777777" w:rsidR="004025CD" w:rsidRPr="00292532" w:rsidRDefault="004025CD" w:rsidP="00C31925">
            <w:pPr>
              <w:cnfStyle w:val="000000000000" w:firstRow="0" w:lastRow="0" w:firstColumn="0" w:lastColumn="0" w:oddVBand="0" w:evenVBand="0" w:oddHBand="0" w:evenHBand="0" w:firstRowFirstColumn="0" w:firstRowLastColumn="0" w:lastRowFirstColumn="0" w:lastRowLastColumn="0"/>
              <w:rPr>
                <w:b/>
                <w:bCs/>
                <w:sz w:val="20"/>
                <w:szCs w:val="20"/>
                <w:lang w:val="pt-PT"/>
              </w:rPr>
            </w:pPr>
            <w:r w:rsidRPr="00292532">
              <w:rPr>
                <w:b/>
                <w:bCs/>
                <w:sz w:val="20"/>
                <w:szCs w:val="20"/>
                <w:lang w:val="pt-PT"/>
              </w:rPr>
              <w:t>Triagem e análise dos Subprojectos</w:t>
            </w:r>
          </w:p>
        </w:tc>
        <w:tc>
          <w:tcPr>
            <w:tcW w:w="0" w:type="dxa"/>
          </w:tcPr>
          <w:p w14:paraId="699AE045" w14:textId="26DA8972" w:rsidR="004025CD" w:rsidRPr="00292532" w:rsidRDefault="004025CD"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Elaboração de um estudo de gabinete para cada subprojecto com o objetivo de avaliar os planos e atividades do </w:t>
            </w:r>
            <w:proofErr w:type="spellStart"/>
            <w:r w:rsidR="008C3A00" w:rsidRPr="00292532">
              <w:rPr>
                <w:sz w:val="20"/>
                <w:szCs w:val="20"/>
                <w:lang w:val="pt-PT"/>
              </w:rPr>
              <w:t>projecto</w:t>
            </w:r>
            <w:proofErr w:type="spellEnd"/>
            <w:r w:rsidRPr="00292532">
              <w:rPr>
                <w:sz w:val="20"/>
                <w:szCs w:val="20"/>
                <w:lang w:val="pt-PT"/>
              </w:rPr>
              <w:t>.</w:t>
            </w:r>
            <w:r w:rsidRPr="00292532">
              <w:rPr>
                <w:lang w:val="pt-PT"/>
              </w:rPr>
              <w:t xml:space="preserve"> </w:t>
            </w:r>
            <w:r w:rsidRPr="00292532">
              <w:rPr>
                <w:sz w:val="20"/>
                <w:szCs w:val="20"/>
                <w:lang w:val="pt-PT"/>
              </w:rPr>
              <w:t xml:space="preserve">para determinar a probabilidade do </w:t>
            </w:r>
            <w:proofErr w:type="spellStart"/>
            <w:r w:rsidR="008C3A00" w:rsidRPr="00292532">
              <w:rPr>
                <w:sz w:val="20"/>
                <w:szCs w:val="20"/>
                <w:lang w:val="pt-PT"/>
              </w:rPr>
              <w:t>projecto</w:t>
            </w:r>
            <w:proofErr w:type="spellEnd"/>
            <w:r w:rsidRPr="00292532">
              <w:rPr>
                <w:sz w:val="20"/>
                <w:szCs w:val="20"/>
                <w:lang w:val="pt-PT"/>
              </w:rPr>
              <w:t xml:space="preserve"> causar impactos ambientais e sociais negativos. Esta fase consiste em: </w:t>
            </w:r>
          </w:p>
          <w:p w14:paraId="759AA702" w14:textId="77777777" w:rsidR="004025CD" w:rsidRPr="00292532" w:rsidRDefault="004025CD" w:rsidP="0024772D">
            <w:pPr>
              <w:pStyle w:val="ListParagraph"/>
              <w:numPr>
                <w:ilvl w:val="0"/>
                <w:numId w:val="40"/>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Descrever as necessidades dos subprojectos</w:t>
            </w:r>
          </w:p>
          <w:p w14:paraId="4905DFCD" w14:textId="77777777" w:rsidR="004025CD" w:rsidRPr="00292532" w:rsidRDefault="004025CD" w:rsidP="0024772D">
            <w:pPr>
              <w:pStyle w:val="ListParagraph"/>
              <w:numPr>
                <w:ilvl w:val="0"/>
                <w:numId w:val="40"/>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Descrever o subprojecto e alternativas a considerar</w:t>
            </w:r>
          </w:p>
          <w:p w14:paraId="0167A0DB" w14:textId="77777777" w:rsidR="004025CD" w:rsidRPr="00292532" w:rsidRDefault="004025CD" w:rsidP="0024772D">
            <w:pPr>
              <w:pStyle w:val="ListParagraph"/>
              <w:numPr>
                <w:ilvl w:val="0"/>
                <w:numId w:val="40"/>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Identificar os principais potenciais impactos ambientais e sociais dos subprojectos</w:t>
            </w:r>
          </w:p>
          <w:p w14:paraId="7F929BD1" w14:textId="77777777" w:rsidR="004025CD" w:rsidRPr="00292532" w:rsidRDefault="004025CD" w:rsidP="0024772D">
            <w:pPr>
              <w:pStyle w:val="ListParagraph"/>
              <w:numPr>
                <w:ilvl w:val="0"/>
                <w:numId w:val="40"/>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lastRenderedPageBreak/>
              <w:t>Consulta prévia com as autoridades para apoiar na análise</w:t>
            </w:r>
          </w:p>
          <w:p w14:paraId="36708BDA" w14:textId="77777777" w:rsidR="004025CD" w:rsidRPr="00292532" w:rsidRDefault="004025CD"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Realização de uma visita prévia aos locais de implementação de cada </w:t>
            </w:r>
            <w:proofErr w:type="spellStart"/>
            <w:r w:rsidRPr="00292532">
              <w:rPr>
                <w:sz w:val="20"/>
                <w:szCs w:val="20"/>
                <w:lang w:val="pt-PT"/>
              </w:rPr>
              <w:t>projecto</w:t>
            </w:r>
            <w:proofErr w:type="spellEnd"/>
            <w:r w:rsidRPr="00292532">
              <w:rPr>
                <w:sz w:val="20"/>
                <w:szCs w:val="20"/>
                <w:lang w:val="pt-PT"/>
              </w:rPr>
              <w:t xml:space="preserve"> com o objetivo de verificar as condições do local e determinar quais são os potenciais impactos ambientais e sociais associados às atividades a serem implementadas.</w:t>
            </w:r>
          </w:p>
        </w:tc>
        <w:tc>
          <w:tcPr>
            <w:tcW w:w="0" w:type="dxa"/>
          </w:tcPr>
          <w:p w14:paraId="16B1F101" w14:textId="77777777" w:rsidR="004025CD" w:rsidRPr="00292532" w:rsidRDefault="004025CD"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lastRenderedPageBreak/>
              <w:t xml:space="preserve">Equipa de especialistas em salvaguardas das </w:t>
            </w:r>
            <w:proofErr w:type="spellStart"/>
            <w:r w:rsidRPr="00292532">
              <w:rPr>
                <w:sz w:val="20"/>
                <w:szCs w:val="20"/>
                <w:lang w:val="pt-PT"/>
              </w:rPr>
              <w:t>UIPs</w:t>
            </w:r>
            <w:proofErr w:type="spellEnd"/>
            <w:r w:rsidRPr="00292532">
              <w:rPr>
                <w:sz w:val="20"/>
                <w:szCs w:val="20"/>
                <w:lang w:val="pt-PT"/>
              </w:rPr>
              <w:t xml:space="preserve"> (AIAS) e UTP (DPOPH)</w:t>
            </w:r>
          </w:p>
          <w:p w14:paraId="43777FCA" w14:textId="77777777" w:rsidR="004025CD" w:rsidRPr="00292532" w:rsidRDefault="004025CD"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proofErr w:type="spellStart"/>
            <w:r w:rsidRPr="00292532">
              <w:rPr>
                <w:sz w:val="20"/>
                <w:szCs w:val="20"/>
                <w:lang w:val="pt-PT"/>
              </w:rPr>
              <w:t>UIPs</w:t>
            </w:r>
            <w:proofErr w:type="spellEnd"/>
            <w:r w:rsidRPr="00292532">
              <w:rPr>
                <w:sz w:val="20"/>
                <w:szCs w:val="20"/>
                <w:lang w:val="pt-PT"/>
              </w:rPr>
              <w:t xml:space="preserve"> (AIAS e DNAAS)</w:t>
            </w:r>
          </w:p>
          <w:p w14:paraId="5A6E4CB6" w14:textId="77777777" w:rsidR="004025CD" w:rsidRPr="00292532" w:rsidRDefault="004025CD"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proofErr w:type="spellStart"/>
            <w:r w:rsidRPr="00292532">
              <w:rPr>
                <w:sz w:val="20"/>
                <w:szCs w:val="20"/>
                <w:lang w:val="pt-PT"/>
              </w:rPr>
              <w:t>Direcção</w:t>
            </w:r>
            <w:proofErr w:type="spellEnd"/>
            <w:r w:rsidRPr="00292532">
              <w:rPr>
                <w:sz w:val="20"/>
                <w:szCs w:val="20"/>
                <w:lang w:val="pt-PT"/>
              </w:rPr>
              <w:t xml:space="preserve"> Nacional do Ambiente (DINAB)</w:t>
            </w:r>
          </w:p>
          <w:p w14:paraId="5481C446" w14:textId="77777777" w:rsidR="004025CD" w:rsidRPr="00292532" w:rsidRDefault="004025CD"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Serviços Provinciais de Ambiente (SPA)</w:t>
            </w:r>
          </w:p>
          <w:p w14:paraId="11538953" w14:textId="77777777" w:rsidR="004025CD" w:rsidRPr="00292532" w:rsidRDefault="004025CD"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p>
        </w:tc>
      </w:tr>
      <w:tr w:rsidR="004025CD" w:rsidRPr="008D18CF" w14:paraId="60A90113" w14:textId="77777777" w:rsidTr="00C31925">
        <w:trPr>
          <w:cnfStyle w:val="000000100000" w:firstRow="0" w:lastRow="0" w:firstColumn="0" w:lastColumn="0" w:oddVBand="0" w:evenVBand="0" w:oddHBand="1" w:evenHBand="0" w:firstRowFirstColumn="0" w:firstRowLastColumn="0" w:lastRowFirstColumn="0" w:lastRowLastColumn="0"/>
          <w:trHeight w:val="933"/>
        </w:trPr>
        <w:tc>
          <w:tcPr>
            <w:cnfStyle w:val="001000000000" w:firstRow="0" w:lastRow="0" w:firstColumn="1" w:lastColumn="0" w:oddVBand="0" w:evenVBand="0" w:oddHBand="0" w:evenHBand="0" w:firstRowFirstColumn="0" w:firstRowLastColumn="0" w:lastRowFirstColumn="0" w:lastRowLastColumn="0"/>
            <w:tcW w:w="530" w:type="dxa"/>
          </w:tcPr>
          <w:p w14:paraId="2C9315E5" w14:textId="77777777" w:rsidR="004025CD" w:rsidRPr="00292532" w:rsidRDefault="004025CD" w:rsidP="00C31925">
            <w:pPr>
              <w:tabs>
                <w:tab w:val="left" w:pos="157"/>
              </w:tabs>
              <w:rPr>
                <w:b w:val="0"/>
                <w:bCs w:val="0"/>
                <w:sz w:val="20"/>
                <w:szCs w:val="20"/>
                <w:lang w:val="pt-PT"/>
              </w:rPr>
            </w:pPr>
            <w:r w:rsidRPr="00292532">
              <w:rPr>
                <w:b w:val="0"/>
                <w:bCs w:val="0"/>
                <w:sz w:val="20"/>
                <w:szCs w:val="20"/>
                <w:lang w:val="pt-PT"/>
              </w:rPr>
              <w:t>3</w:t>
            </w:r>
          </w:p>
        </w:tc>
        <w:tc>
          <w:tcPr>
            <w:tcW w:w="1759" w:type="dxa"/>
          </w:tcPr>
          <w:p w14:paraId="21BBB6AE"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b/>
                <w:bCs/>
                <w:sz w:val="20"/>
                <w:szCs w:val="20"/>
                <w:lang w:val="pt-PT"/>
              </w:rPr>
            </w:pPr>
            <w:r w:rsidRPr="00292532">
              <w:rPr>
                <w:b/>
                <w:bCs/>
                <w:sz w:val="20"/>
                <w:szCs w:val="20"/>
                <w:lang w:val="pt-PT"/>
              </w:rPr>
              <w:t>Categorização</w:t>
            </w:r>
          </w:p>
        </w:tc>
        <w:tc>
          <w:tcPr>
            <w:tcW w:w="4101" w:type="dxa"/>
          </w:tcPr>
          <w:p w14:paraId="395BE570" w14:textId="74480902"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Preenchimento dos formulários de triagem ambiental e social (</w:t>
            </w:r>
            <w:r w:rsidRPr="00292532">
              <w:rPr>
                <w:b/>
                <w:bCs/>
                <w:sz w:val="20"/>
                <w:szCs w:val="20"/>
                <w:lang w:val="pt-PT"/>
              </w:rPr>
              <w:t xml:space="preserve">Anexo </w:t>
            </w:r>
            <w:r w:rsidR="000615DB" w:rsidRPr="00292532">
              <w:rPr>
                <w:b/>
                <w:bCs/>
                <w:sz w:val="20"/>
                <w:szCs w:val="20"/>
                <w:lang w:val="pt-PT"/>
              </w:rPr>
              <w:t>1</w:t>
            </w:r>
            <w:r w:rsidRPr="00292532">
              <w:rPr>
                <w:sz w:val="20"/>
                <w:szCs w:val="20"/>
                <w:lang w:val="pt-PT"/>
              </w:rPr>
              <w:t>) e da Ficha de Informação Ambiental Preliminar (</w:t>
            </w:r>
            <w:r w:rsidRPr="00292532">
              <w:rPr>
                <w:b/>
                <w:bCs/>
                <w:sz w:val="20"/>
                <w:szCs w:val="20"/>
                <w:lang w:val="pt-PT"/>
              </w:rPr>
              <w:t xml:space="preserve">Anexo </w:t>
            </w:r>
            <w:r w:rsidR="000615DB" w:rsidRPr="00292532">
              <w:rPr>
                <w:b/>
                <w:bCs/>
                <w:sz w:val="20"/>
                <w:szCs w:val="20"/>
                <w:lang w:val="pt-PT"/>
              </w:rPr>
              <w:t>1</w:t>
            </w:r>
            <w:r w:rsidRPr="00292532">
              <w:rPr>
                <w:sz w:val="20"/>
                <w:szCs w:val="20"/>
                <w:lang w:val="pt-PT"/>
              </w:rPr>
              <w:t xml:space="preserve">) social para cada subprojecto proposto </w:t>
            </w:r>
          </w:p>
          <w:p w14:paraId="157DC452"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Identificação e atribuição de uma categoria para cada subprojecto e preparação da documentação de instrução do processo. </w:t>
            </w:r>
          </w:p>
          <w:p w14:paraId="14E12DF9"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Definição do Processo da AIA (incluindo os prazos previstos) e elaboração/</w:t>
            </w:r>
            <w:proofErr w:type="spellStart"/>
            <w:r w:rsidRPr="00292532">
              <w:rPr>
                <w:sz w:val="20"/>
                <w:szCs w:val="20"/>
                <w:lang w:val="pt-PT"/>
              </w:rPr>
              <w:t>actualização</w:t>
            </w:r>
            <w:proofErr w:type="spellEnd"/>
            <w:r w:rsidRPr="00292532">
              <w:rPr>
                <w:sz w:val="20"/>
                <w:szCs w:val="20"/>
                <w:lang w:val="pt-PT"/>
              </w:rPr>
              <w:t xml:space="preserve"> dos Termos de Referência para as avaliações ambientais subsequentes.</w:t>
            </w:r>
          </w:p>
          <w:p w14:paraId="1DAD5511"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 Os formulários preenchidos e resultados da categorização devem discutidos com o Banco e partilhados com o MTA para consulta e validação da avaliação.</w:t>
            </w:r>
          </w:p>
        </w:tc>
        <w:tc>
          <w:tcPr>
            <w:tcW w:w="2430" w:type="dxa"/>
          </w:tcPr>
          <w:p w14:paraId="1DA53C14"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Equipa de especialistas em salvaguardas das </w:t>
            </w:r>
            <w:proofErr w:type="spellStart"/>
            <w:r w:rsidRPr="00292532">
              <w:rPr>
                <w:sz w:val="20"/>
                <w:szCs w:val="20"/>
                <w:lang w:val="pt-PT"/>
              </w:rPr>
              <w:t>UIPs</w:t>
            </w:r>
            <w:proofErr w:type="spellEnd"/>
            <w:r w:rsidRPr="00292532">
              <w:rPr>
                <w:sz w:val="20"/>
                <w:szCs w:val="20"/>
                <w:lang w:val="pt-PT"/>
              </w:rPr>
              <w:t xml:space="preserve"> (AIAS) e UTP (DPOPH)</w:t>
            </w:r>
          </w:p>
          <w:p w14:paraId="66FE8901"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proofErr w:type="spellStart"/>
            <w:r w:rsidRPr="00292532">
              <w:rPr>
                <w:sz w:val="20"/>
                <w:szCs w:val="20"/>
                <w:lang w:val="pt-PT"/>
              </w:rPr>
              <w:t>UIPs</w:t>
            </w:r>
            <w:proofErr w:type="spellEnd"/>
            <w:r w:rsidRPr="00292532">
              <w:rPr>
                <w:sz w:val="20"/>
                <w:szCs w:val="20"/>
                <w:lang w:val="pt-PT"/>
              </w:rPr>
              <w:t xml:space="preserve"> (AIAS e DNAAS)</w:t>
            </w:r>
          </w:p>
          <w:p w14:paraId="4DDADEFA"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Banco Mundial (equipa das salvaguardas)</w:t>
            </w:r>
          </w:p>
        </w:tc>
      </w:tr>
      <w:tr w:rsidR="004025CD" w:rsidRPr="00292532" w14:paraId="646E2347" w14:textId="77777777" w:rsidTr="00C31925">
        <w:trPr>
          <w:trHeight w:val="910"/>
        </w:trPr>
        <w:tc>
          <w:tcPr>
            <w:cnfStyle w:val="001000000000" w:firstRow="0" w:lastRow="0" w:firstColumn="1" w:lastColumn="0" w:oddVBand="0" w:evenVBand="0" w:oddHBand="0" w:evenHBand="0" w:firstRowFirstColumn="0" w:firstRowLastColumn="0" w:lastRowFirstColumn="0" w:lastRowLastColumn="0"/>
            <w:tcW w:w="530" w:type="dxa"/>
          </w:tcPr>
          <w:p w14:paraId="4E9B1117" w14:textId="77777777" w:rsidR="004025CD" w:rsidRPr="00292532" w:rsidRDefault="004025CD" w:rsidP="00C31925">
            <w:pPr>
              <w:tabs>
                <w:tab w:val="left" w:pos="157"/>
              </w:tabs>
              <w:rPr>
                <w:b w:val="0"/>
                <w:bCs w:val="0"/>
                <w:sz w:val="20"/>
                <w:szCs w:val="20"/>
                <w:lang w:val="pt-PT"/>
              </w:rPr>
            </w:pPr>
            <w:r w:rsidRPr="00292532">
              <w:rPr>
                <w:b w:val="0"/>
                <w:bCs w:val="0"/>
                <w:sz w:val="20"/>
                <w:szCs w:val="20"/>
                <w:lang w:val="pt-PT"/>
              </w:rPr>
              <w:t>4</w:t>
            </w:r>
          </w:p>
        </w:tc>
        <w:tc>
          <w:tcPr>
            <w:tcW w:w="1759" w:type="dxa"/>
          </w:tcPr>
          <w:p w14:paraId="2DEB7B5E" w14:textId="4259727E" w:rsidR="004025CD" w:rsidRPr="00292532" w:rsidRDefault="004025CD" w:rsidP="00C31925">
            <w:pPr>
              <w:cnfStyle w:val="000000000000" w:firstRow="0" w:lastRow="0" w:firstColumn="0" w:lastColumn="0" w:oddVBand="0" w:evenVBand="0" w:oddHBand="0" w:evenHBand="0" w:firstRowFirstColumn="0" w:firstRowLastColumn="0" w:lastRowFirstColumn="0" w:lastRowLastColumn="0"/>
              <w:rPr>
                <w:b/>
                <w:bCs/>
                <w:sz w:val="20"/>
                <w:szCs w:val="20"/>
                <w:lang w:val="pt-PT"/>
              </w:rPr>
            </w:pPr>
            <w:r w:rsidRPr="00292532">
              <w:rPr>
                <w:b/>
                <w:bCs/>
                <w:sz w:val="20"/>
                <w:szCs w:val="20"/>
                <w:lang w:val="pt-PT"/>
              </w:rPr>
              <w:t>Revisão e aprovação</w:t>
            </w:r>
            <w:r w:rsidR="004C0194" w:rsidRPr="00292532">
              <w:rPr>
                <w:b/>
                <w:bCs/>
                <w:sz w:val="20"/>
                <w:szCs w:val="20"/>
                <w:lang w:val="pt-PT"/>
              </w:rPr>
              <w:t xml:space="preserve"> da fase de triagem</w:t>
            </w:r>
          </w:p>
        </w:tc>
        <w:tc>
          <w:tcPr>
            <w:tcW w:w="4101" w:type="dxa"/>
          </w:tcPr>
          <w:p w14:paraId="3DE8A116" w14:textId="77777777" w:rsidR="004025CD" w:rsidRPr="00292532" w:rsidRDefault="004025CD"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Os formulários de avaliação ambiental e social e os relatórios de EIA devem ser submetidos à DINAB para revisão e tomada de decisão. A DINAB deverá: </w:t>
            </w:r>
          </w:p>
          <w:p w14:paraId="3287BE2B" w14:textId="43731B8B" w:rsidR="00CD2106" w:rsidRPr="00292532" w:rsidRDefault="004025CD" w:rsidP="00CD2106">
            <w:pPr>
              <w:pStyle w:val="CBNtext"/>
              <w:numPr>
                <w:ilvl w:val="0"/>
                <w:numId w:val="212"/>
              </w:numPr>
              <w:suppressAutoHyphens/>
              <w:autoSpaceDE w:val="0"/>
              <w:autoSpaceDN w:val="0"/>
              <w:adjustRightInd w:val="0"/>
              <w:spacing w:before="0" w:after="0" w:afterAutospacing="0"/>
              <w:ind w:right="0"/>
              <w:cnfStyle w:val="000000000000" w:firstRow="0" w:lastRow="0" w:firstColumn="0" w:lastColumn="0" w:oddVBand="0" w:evenVBand="0" w:oddHBand="0" w:evenHBand="0" w:firstRowFirstColumn="0" w:firstRowLastColumn="0" w:lastRowFirstColumn="0" w:lastRowLastColumn="0"/>
              <w:rPr>
                <w:lang w:val="pt-PT"/>
              </w:rPr>
            </w:pPr>
            <w:r w:rsidRPr="00292532">
              <w:rPr>
                <w:sz w:val="20"/>
                <w:lang w:val="pt-PT"/>
              </w:rPr>
              <w:t>Rever os resultados e recomendações apresentados pela equipe de Especialistas em Salvaguardas com base no formulário de triagem ambiental e social (</w:t>
            </w:r>
            <w:r w:rsidRPr="00292532">
              <w:rPr>
                <w:b/>
                <w:bCs/>
                <w:sz w:val="20"/>
                <w:lang w:val="pt-PT"/>
              </w:rPr>
              <w:t xml:space="preserve">Anexo </w:t>
            </w:r>
            <w:r w:rsidR="000615DB" w:rsidRPr="00292532">
              <w:rPr>
                <w:b/>
                <w:bCs/>
                <w:sz w:val="20"/>
                <w:lang w:val="pt-PT"/>
              </w:rPr>
              <w:t>1</w:t>
            </w:r>
            <w:r w:rsidRPr="00292532">
              <w:rPr>
                <w:sz w:val="20"/>
                <w:lang w:val="pt-PT"/>
              </w:rPr>
              <w:t>)</w:t>
            </w:r>
            <w:r w:rsidR="00CD2106" w:rsidRPr="00292532">
              <w:rPr>
                <w:sz w:val="20"/>
                <w:lang w:val="pt-PT"/>
              </w:rPr>
              <w:t xml:space="preserve"> e se necessário com base no</w:t>
            </w:r>
            <w:r w:rsidR="00CD2106" w:rsidRPr="004500AE">
              <w:rPr>
                <w:sz w:val="20"/>
                <w:lang w:val="pt-PT"/>
              </w:rPr>
              <w:t xml:space="preserve"> </w:t>
            </w:r>
            <w:r w:rsidR="00CD2106" w:rsidRPr="00292532">
              <w:rPr>
                <w:sz w:val="20"/>
                <w:lang w:val="pt-PT"/>
              </w:rPr>
              <w:t xml:space="preserve">Formulário de Triagem de Impactos de Uso da </w:t>
            </w:r>
            <w:r w:rsidR="00AA7544" w:rsidRPr="00292532">
              <w:rPr>
                <w:sz w:val="20"/>
                <w:lang w:val="pt-PT"/>
              </w:rPr>
              <w:t xml:space="preserve">Terra </w:t>
            </w:r>
            <w:r w:rsidR="00AA7544" w:rsidRPr="004500AE">
              <w:rPr>
                <w:sz w:val="20"/>
                <w:lang w:val="pt-PT"/>
              </w:rPr>
              <w:t>patente</w:t>
            </w:r>
            <w:r w:rsidR="00CD2106" w:rsidRPr="004500AE">
              <w:rPr>
                <w:sz w:val="20"/>
                <w:lang w:val="pt-PT"/>
              </w:rPr>
              <w:t xml:space="preserve"> em Anexo II d</w:t>
            </w:r>
            <w:r w:rsidR="00CD2106" w:rsidRPr="00292532">
              <w:rPr>
                <w:sz w:val="20"/>
                <w:lang w:val="pt-PT"/>
              </w:rPr>
              <w:t>o</w:t>
            </w:r>
            <w:r w:rsidR="00CD2106" w:rsidRPr="004500AE">
              <w:rPr>
                <w:sz w:val="20"/>
                <w:lang w:val="pt-PT"/>
              </w:rPr>
              <w:t xml:space="preserve"> QPR.</w:t>
            </w:r>
          </w:p>
          <w:p w14:paraId="4E50BF75" w14:textId="77777777" w:rsidR="004025CD" w:rsidRPr="00292532" w:rsidRDefault="004025CD" w:rsidP="0024772D">
            <w:pPr>
              <w:pStyle w:val="ListParagraph"/>
              <w:numPr>
                <w:ilvl w:val="0"/>
                <w:numId w:val="40"/>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Rever as medidas de mitigação, alternativas propostas na fase de </w:t>
            </w:r>
            <w:proofErr w:type="spellStart"/>
            <w:r w:rsidRPr="00292532">
              <w:rPr>
                <w:sz w:val="20"/>
                <w:szCs w:val="20"/>
                <w:lang w:val="pt-PT"/>
              </w:rPr>
              <w:t>Prospecção</w:t>
            </w:r>
            <w:proofErr w:type="spellEnd"/>
            <w:r w:rsidRPr="00292532">
              <w:rPr>
                <w:sz w:val="20"/>
                <w:szCs w:val="20"/>
                <w:lang w:val="pt-PT"/>
              </w:rPr>
              <w:t xml:space="preserve"> e Análise</w:t>
            </w:r>
          </w:p>
          <w:p w14:paraId="0ACDC439" w14:textId="77777777" w:rsidR="004025CD" w:rsidRPr="00292532" w:rsidRDefault="004025CD" w:rsidP="0024772D">
            <w:pPr>
              <w:pStyle w:val="ListParagraph"/>
              <w:numPr>
                <w:ilvl w:val="0"/>
                <w:numId w:val="40"/>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Realizar uma visita prévia aos locais de implementação dos subprojectos. </w:t>
            </w:r>
          </w:p>
        </w:tc>
        <w:tc>
          <w:tcPr>
            <w:tcW w:w="2430" w:type="dxa"/>
          </w:tcPr>
          <w:p w14:paraId="12ED7495" w14:textId="77777777" w:rsidR="004025CD" w:rsidRPr="00292532" w:rsidRDefault="004025CD"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DINAB  </w:t>
            </w:r>
          </w:p>
          <w:p w14:paraId="3A9E429C" w14:textId="77777777" w:rsidR="004025CD" w:rsidRPr="00292532" w:rsidRDefault="004025CD"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proofErr w:type="spellStart"/>
            <w:r w:rsidRPr="00292532">
              <w:rPr>
                <w:sz w:val="20"/>
                <w:szCs w:val="20"/>
                <w:lang w:val="pt-PT"/>
              </w:rPr>
              <w:t>SPAs</w:t>
            </w:r>
            <w:proofErr w:type="spellEnd"/>
          </w:p>
        </w:tc>
      </w:tr>
      <w:tr w:rsidR="004025CD" w:rsidRPr="00292532" w14:paraId="6C3A6434" w14:textId="77777777" w:rsidTr="00C31925">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530" w:type="dxa"/>
          </w:tcPr>
          <w:p w14:paraId="704C3501" w14:textId="77777777" w:rsidR="004025CD" w:rsidRPr="00292532" w:rsidRDefault="004025CD" w:rsidP="00C31925">
            <w:pPr>
              <w:tabs>
                <w:tab w:val="left" w:pos="157"/>
              </w:tabs>
              <w:rPr>
                <w:b w:val="0"/>
                <w:bCs w:val="0"/>
                <w:sz w:val="20"/>
                <w:szCs w:val="20"/>
                <w:lang w:val="pt-PT"/>
              </w:rPr>
            </w:pPr>
            <w:r w:rsidRPr="00292532">
              <w:rPr>
                <w:b w:val="0"/>
                <w:bCs w:val="0"/>
                <w:sz w:val="20"/>
                <w:szCs w:val="20"/>
                <w:lang w:val="pt-PT"/>
              </w:rPr>
              <w:t>5</w:t>
            </w:r>
          </w:p>
        </w:tc>
        <w:tc>
          <w:tcPr>
            <w:tcW w:w="1759" w:type="dxa"/>
          </w:tcPr>
          <w:p w14:paraId="369A5BE1"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b/>
                <w:bCs/>
                <w:sz w:val="20"/>
                <w:szCs w:val="20"/>
                <w:lang w:val="pt-PT"/>
              </w:rPr>
            </w:pPr>
            <w:proofErr w:type="spellStart"/>
            <w:r w:rsidRPr="00292532">
              <w:rPr>
                <w:b/>
                <w:bCs/>
                <w:sz w:val="20"/>
                <w:szCs w:val="20"/>
                <w:lang w:val="pt-PT"/>
              </w:rPr>
              <w:t>Selecção</w:t>
            </w:r>
            <w:proofErr w:type="spellEnd"/>
            <w:r w:rsidRPr="00292532">
              <w:rPr>
                <w:b/>
                <w:bCs/>
                <w:sz w:val="20"/>
                <w:szCs w:val="20"/>
                <w:lang w:val="pt-PT"/>
              </w:rPr>
              <w:t xml:space="preserve"> do Consultor da AIA</w:t>
            </w:r>
          </w:p>
        </w:tc>
        <w:tc>
          <w:tcPr>
            <w:tcW w:w="4101" w:type="dxa"/>
          </w:tcPr>
          <w:p w14:paraId="5AC38B99" w14:textId="73276321"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Processo de </w:t>
            </w:r>
            <w:r w:rsidR="002E5ACD" w:rsidRPr="00292532">
              <w:rPr>
                <w:sz w:val="20"/>
                <w:szCs w:val="20"/>
                <w:lang w:val="pt-PT"/>
              </w:rPr>
              <w:t xml:space="preserve">concurso </w:t>
            </w:r>
            <w:r w:rsidRPr="00292532">
              <w:rPr>
                <w:sz w:val="20"/>
                <w:szCs w:val="20"/>
                <w:lang w:val="pt-PT"/>
              </w:rPr>
              <w:t xml:space="preserve">e </w:t>
            </w:r>
            <w:proofErr w:type="spellStart"/>
            <w:r w:rsidRPr="00292532">
              <w:rPr>
                <w:sz w:val="20"/>
                <w:szCs w:val="20"/>
                <w:lang w:val="pt-PT"/>
              </w:rPr>
              <w:t>selecção</w:t>
            </w:r>
            <w:proofErr w:type="spellEnd"/>
            <w:r w:rsidRPr="00292532">
              <w:rPr>
                <w:sz w:val="20"/>
                <w:szCs w:val="20"/>
                <w:lang w:val="pt-PT"/>
              </w:rPr>
              <w:t xml:space="preserve"> de uma equipa de consultores devidamente credenciados e registados no MTA</w:t>
            </w:r>
          </w:p>
        </w:tc>
        <w:tc>
          <w:tcPr>
            <w:tcW w:w="2430" w:type="dxa"/>
          </w:tcPr>
          <w:p w14:paraId="1ACF43A7"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Equipa de especialistas em salvaguardas das </w:t>
            </w:r>
            <w:proofErr w:type="spellStart"/>
            <w:r w:rsidRPr="00292532">
              <w:rPr>
                <w:sz w:val="20"/>
                <w:szCs w:val="20"/>
                <w:lang w:val="pt-PT"/>
              </w:rPr>
              <w:t>UIPs</w:t>
            </w:r>
            <w:proofErr w:type="spellEnd"/>
            <w:r w:rsidRPr="00292532">
              <w:rPr>
                <w:sz w:val="20"/>
                <w:szCs w:val="20"/>
                <w:lang w:val="pt-PT"/>
              </w:rPr>
              <w:t xml:space="preserve"> (AIAS) e UTP (DPOPH)</w:t>
            </w:r>
          </w:p>
          <w:p w14:paraId="1C6313B2"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proofErr w:type="spellStart"/>
            <w:r w:rsidRPr="00292532">
              <w:rPr>
                <w:sz w:val="20"/>
                <w:szCs w:val="20"/>
                <w:lang w:val="pt-PT"/>
              </w:rPr>
              <w:lastRenderedPageBreak/>
              <w:t>UIPs</w:t>
            </w:r>
            <w:proofErr w:type="spellEnd"/>
            <w:r w:rsidRPr="00292532">
              <w:rPr>
                <w:sz w:val="20"/>
                <w:szCs w:val="20"/>
                <w:lang w:val="pt-PT"/>
              </w:rPr>
              <w:t xml:space="preserve"> (AIAS e DNAAS)</w:t>
            </w:r>
          </w:p>
          <w:p w14:paraId="1FF745B8"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p>
        </w:tc>
      </w:tr>
      <w:tr w:rsidR="004025CD" w:rsidRPr="00292532" w14:paraId="3E88983C" w14:textId="77777777" w:rsidTr="00C31925">
        <w:trPr>
          <w:trHeight w:val="910"/>
        </w:trPr>
        <w:tc>
          <w:tcPr>
            <w:cnfStyle w:val="001000000000" w:firstRow="0" w:lastRow="0" w:firstColumn="1" w:lastColumn="0" w:oddVBand="0" w:evenVBand="0" w:oddHBand="0" w:evenHBand="0" w:firstRowFirstColumn="0" w:firstRowLastColumn="0" w:lastRowFirstColumn="0" w:lastRowLastColumn="0"/>
            <w:tcW w:w="530" w:type="dxa"/>
          </w:tcPr>
          <w:p w14:paraId="17232038" w14:textId="434698D8" w:rsidR="004025CD" w:rsidRPr="00292532" w:rsidRDefault="00276009" w:rsidP="00C31925">
            <w:pPr>
              <w:tabs>
                <w:tab w:val="left" w:pos="157"/>
              </w:tabs>
              <w:rPr>
                <w:b w:val="0"/>
                <w:bCs w:val="0"/>
                <w:sz w:val="20"/>
                <w:szCs w:val="20"/>
                <w:lang w:val="pt-PT"/>
              </w:rPr>
            </w:pPr>
            <w:r w:rsidRPr="00292532">
              <w:rPr>
                <w:b w:val="0"/>
                <w:bCs w:val="0"/>
                <w:sz w:val="20"/>
                <w:szCs w:val="20"/>
                <w:lang w:val="pt-PT"/>
              </w:rPr>
              <w:lastRenderedPageBreak/>
              <w:t>6</w:t>
            </w:r>
          </w:p>
        </w:tc>
        <w:tc>
          <w:tcPr>
            <w:tcW w:w="1759" w:type="dxa"/>
          </w:tcPr>
          <w:p w14:paraId="3997CB9A" w14:textId="3C3287D9" w:rsidR="000054CE" w:rsidRPr="00292532" w:rsidRDefault="004025CD" w:rsidP="00C31925">
            <w:pPr>
              <w:cnfStyle w:val="000000000000" w:firstRow="0" w:lastRow="0" w:firstColumn="0" w:lastColumn="0" w:oddVBand="0" w:evenVBand="0" w:oddHBand="0" w:evenHBand="0" w:firstRowFirstColumn="0" w:firstRowLastColumn="0" w:lastRowFirstColumn="0" w:lastRowLastColumn="0"/>
              <w:rPr>
                <w:b/>
                <w:bCs/>
                <w:sz w:val="20"/>
                <w:szCs w:val="20"/>
                <w:lang w:val="pt-PT"/>
              </w:rPr>
            </w:pPr>
            <w:r w:rsidRPr="00292532">
              <w:rPr>
                <w:b/>
                <w:bCs/>
                <w:sz w:val="20"/>
                <w:szCs w:val="20"/>
                <w:lang w:val="pt-PT"/>
              </w:rPr>
              <w:t>Elaboração dos EIAS</w:t>
            </w:r>
            <w:r w:rsidR="000054CE" w:rsidRPr="00292532">
              <w:rPr>
                <w:b/>
                <w:bCs/>
                <w:sz w:val="20"/>
                <w:szCs w:val="20"/>
                <w:lang w:val="pt-PT"/>
              </w:rPr>
              <w:t xml:space="preserve"> e de Procedimentos de Boas Práticas Ambientais </w:t>
            </w:r>
          </w:p>
        </w:tc>
        <w:tc>
          <w:tcPr>
            <w:tcW w:w="4101" w:type="dxa"/>
          </w:tcPr>
          <w:p w14:paraId="2847B402" w14:textId="77777777" w:rsidR="004025CD" w:rsidRPr="00292532" w:rsidRDefault="004025CD"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Condução do Processo da AIA, incluindo a elaboração dos EIAS, e submissão a autoridade ambiental</w:t>
            </w:r>
            <w:r w:rsidR="000054CE" w:rsidRPr="00292532">
              <w:rPr>
                <w:sz w:val="20"/>
                <w:szCs w:val="20"/>
                <w:lang w:val="pt-PT"/>
              </w:rPr>
              <w:t>.</w:t>
            </w:r>
          </w:p>
          <w:p w14:paraId="0F6AA2D2" w14:textId="05C612CB" w:rsidR="000054CE" w:rsidRPr="00292532" w:rsidRDefault="000054CE"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Para os </w:t>
            </w:r>
            <w:proofErr w:type="spellStart"/>
            <w:r w:rsidRPr="00292532">
              <w:rPr>
                <w:sz w:val="20"/>
                <w:szCs w:val="20"/>
                <w:lang w:val="pt-PT"/>
              </w:rPr>
              <w:t>projectos</w:t>
            </w:r>
            <w:proofErr w:type="spellEnd"/>
            <w:r w:rsidRPr="00292532">
              <w:rPr>
                <w:sz w:val="20"/>
                <w:szCs w:val="20"/>
                <w:lang w:val="pt-PT"/>
              </w:rPr>
              <w:t xml:space="preserve"> isentos de realização de um processo de AIA, nesta etapa serão elaborados os Procedimentos de Boas Práticas Ambientais com base na metodologia e abordagem para a elaboração dos </w:t>
            </w:r>
            <w:r w:rsidR="001978AF" w:rsidRPr="00292532">
              <w:rPr>
                <w:sz w:val="20"/>
                <w:szCs w:val="20"/>
                <w:lang w:val="pt-PT"/>
              </w:rPr>
              <w:t>PGAS</w:t>
            </w:r>
            <w:r w:rsidRPr="00292532">
              <w:rPr>
                <w:sz w:val="20"/>
                <w:szCs w:val="20"/>
                <w:lang w:val="pt-PT"/>
              </w:rPr>
              <w:t>, definida nos Termos de Referência padrão (</w:t>
            </w:r>
            <w:r w:rsidRPr="00292532">
              <w:rPr>
                <w:b/>
                <w:bCs/>
                <w:sz w:val="20"/>
                <w:szCs w:val="20"/>
                <w:lang w:val="pt-PT"/>
              </w:rPr>
              <w:t xml:space="preserve">Anexo </w:t>
            </w:r>
            <w:r w:rsidR="000615DB" w:rsidRPr="00292532">
              <w:rPr>
                <w:b/>
                <w:bCs/>
                <w:sz w:val="20"/>
                <w:szCs w:val="20"/>
                <w:lang w:val="pt-PT"/>
              </w:rPr>
              <w:t>2</w:t>
            </w:r>
            <w:r w:rsidRPr="00292532">
              <w:rPr>
                <w:sz w:val="20"/>
                <w:szCs w:val="20"/>
                <w:lang w:val="pt-PT"/>
              </w:rPr>
              <w:t>)</w:t>
            </w:r>
          </w:p>
        </w:tc>
        <w:tc>
          <w:tcPr>
            <w:tcW w:w="2430" w:type="dxa"/>
          </w:tcPr>
          <w:p w14:paraId="08F51DE5" w14:textId="4912DFF9" w:rsidR="004025CD" w:rsidRPr="00292532" w:rsidRDefault="004025CD"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Consultor da AIA </w:t>
            </w:r>
            <w:r w:rsidR="00381467" w:rsidRPr="00292532">
              <w:rPr>
                <w:sz w:val="20"/>
                <w:szCs w:val="20"/>
                <w:lang w:val="pt-PT"/>
              </w:rPr>
              <w:t>contrata</w:t>
            </w:r>
            <w:r w:rsidRPr="00292532">
              <w:rPr>
                <w:sz w:val="20"/>
                <w:szCs w:val="20"/>
                <w:lang w:val="pt-PT"/>
              </w:rPr>
              <w:t>do</w:t>
            </w:r>
          </w:p>
        </w:tc>
      </w:tr>
      <w:tr w:rsidR="004025CD" w:rsidRPr="008D18CF" w14:paraId="6BCF57F3" w14:textId="77777777" w:rsidTr="00C31925">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530" w:type="dxa"/>
          </w:tcPr>
          <w:p w14:paraId="1944F890" w14:textId="0662746F" w:rsidR="004025CD" w:rsidRPr="00292532" w:rsidRDefault="00276009" w:rsidP="00C31925">
            <w:pPr>
              <w:tabs>
                <w:tab w:val="left" w:pos="157"/>
              </w:tabs>
              <w:rPr>
                <w:b w:val="0"/>
                <w:bCs w:val="0"/>
                <w:sz w:val="20"/>
                <w:szCs w:val="20"/>
                <w:lang w:val="pt-PT"/>
              </w:rPr>
            </w:pPr>
            <w:r w:rsidRPr="00292532">
              <w:rPr>
                <w:b w:val="0"/>
                <w:bCs w:val="0"/>
                <w:sz w:val="20"/>
                <w:szCs w:val="20"/>
                <w:lang w:val="pt-PT"/>
              </w:rPr>
              <w:t>7</w:t>
            </w:r>
          </w:p>
        </w:tc>
        <w:tc>
          <w:tcPr>
            <w:tcW w:w="1759" w:type="dxa"/>
          </w:tcPr>
          <w:p w14:paraId="060059B9"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b/>
                <w:bCs/>
                <w:sz w:val="20"/>
                <w:szCs w:val="20"/>
                <w:lang w:val="pt-PT"/>
              </w:rPr>
            </w:pPr>
            <w:r w:rsidRPr="00292532">
              <w:rPr>
                <w:b/>
                <w:bCs/>
                <w:sz w:val="20"/>
                <w:szCs w:val="20"/>
                <w:lang w:val="pt-PT"/>
              </w:rPr>
              <w:t>Consulta Pública e divulgação</w:t>
            </w:r>
          </w:p>
        </w:tc>
        <w:tc>
          <w:tcPr>
            <w:tcW w:w="4101" w:type="dxa"/>
          </w:tcPr>
          <w:p w14:paraId="3A3A59A8" w14:textId="74273E60"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Realização das consultas públicas previstas durante o processo de AIA, como prescrito </w:t>
            </w:r>
            <w:r w:rsidR="002E5ACD" w:rsidRPr="00292532">
              <w:rPr>
                <w:sz w:val="20"/>
                <w:szCs w:val="20"/>
                <w:lang w:val="pt-PT"/>
              </w:rPr>
              <w:t xml:space="preserve">na </w:t>
            </w:r>
            <w:r w:rsidRPr="00292532">
              <w:rPr>
                <w:sz w:val="20"/>
                <w:szCs w:val="20"/>
                <w:lang w:val="pt-PT"/>
              </w:rPr>
              <w:t>legislação.</w:t>
            </w:r>
          </w:p>
          <w:p w14:paraId="567EC487" w14:textId="50052CD2" w:rsidR="000054CE" w:rsidRPr="00292532" w:rsidRDefault="000054CE"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Em cumprimento dos requisitos da NAS1 do Banco Mundial, serão realizadas consultas públicas para todos os subprojectos, incluindo os isentos à realização de uma AIA. Para estes, a consulta pública divulgará os Procedimentos de Boas Práticas Ambientais.</w:t>
            </w:r>
          </w:p>
        </w:tc>
        <w:tc>
          <w:tcPr>
            <w:tcW w:w="2430" w:type="dxa"/>
          </w:tcPr>
          <w:p w14:paraId="58466355" w14:textId="2090F0CC"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Consultor da AIA </w:t>
            </w:r>
            <w:r w:rsidR="00381467" w:rsidRPr="00292532">
              <w:rPr>
                <w:sz w:val="20"/>
                <w:szCs w:val="20"/>
                <w:lang w:val="pt-PT"/>
              </w:rPr>
              <w:t>contrata</w:t>
            </w:r>
            <w:r w:rsidRPr="00292532">
              <w:rPr>
                <w:sz w:val="20"/>
                <w:szCs w:val="20"/>
                <w:lang w:val="pt-PT"/>
              </w:rPr>
              <w:t>do</w:t>
            </w:r>
          </w:p>
          <w:p w14:paraId="1F5D8A20"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Equipa de especialistas em salvaguardas das </w:t>
            </w:r>
            <w:proofErr w:type="spellStart"/>
            <w:r w:rsidRPr="00292532">
              <w:rPr>
                <w:sz w:val="20"/>
                <w:szCs w:val="20"/>
                <w:lang w:val="pt-PT"/>
              </w:rPr>
              <w:t>UIPs</w:t>
            </w:r>
            <w:proofErr w:type="spellEnd"/>
            <w:r w:rsidRPr="00292532">
              <w:rPr>
                <w:sz w:val="20"/>
                <w:szCs w:val="20"/>
                <w:lang w:val="pt-PT"/>
              </w:rPr>
              <w:t xml:space="preserve"> (AIAS) e UTP (DPOPH)</w:t>
            </w:r>
          </w:p>
          <w:p w14:paraId="6288A3B9"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proofErr w:type="spellStart"/>
            <w:r w:rsidRPr="00292532">
              <w:rPr>
                <w:sz w:val="20"/>
                <w:szCs w:val="20"/>
                <w:lang w:val="pt-PT"/>
              </w:rPr>
              <w:t>UIPs</w:t>
            </w:r>
            <w:proofErr w:type="spellEnd"/>
            <w:r w:rsidRPr="00292532">
              <w:rPr>
                <w:sz w:val="20"/>
                <w:szCs w:val="20"/>
                <w:lang w:val="pt-PT"/>
              </w:rPr>
              <w:t xml:space="preserve"> (AIAS e DNAAS)</w:t>
            </w:r>
          </w:p>
          <w:p w14:paraId="2EFDCF98"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MOPHRH</w:t>
            </w:r>
          </w:p>
          <w:p w14:paraId="5A11B676"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MTA (DINAB)</w:t>
            </w:r>
          </w:p>
          <w:p w14:paraId="7491A834"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SPA</w:t>
            </w:r>
          </w:p>
          <w:p w14:paraId="12EEBCD8"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Partes Interessadas e </w:t>
            </w:r>
            <w:proofErr w:type="spellStart"/>
            <w:r w:rsidRPr="00292532">
              <w:rPr>
                <w:sz w:val="20"/>
                <w:szCs w:val="20"/>
                <w:lang w:val="pt-PT"/>
              </w:rPr>
              <w:t>Afectadas</w:t>
            </w:r>
            <w:proofErr w:type="spellEnd"/>
          </w:p>
        </w:tc>
      </w:tr>
      <w:tr w:rsidR="004025CD" w:rsidRPr="00292532" w14:paraId="103E68D8" w14:textId="77777777" w:rsidTr="00C31925">
        <w:trPr>
          <w:trHeight w:val="910"/>
        </w:trPr>
        <w:tc>
          <w:tcPr>
            <w:cnfStyle w:val="001000000000" w:firstRow="0" w:lastRow="0" w:firstColumn="1" w:lastColumn="0" w:oddVBand="0" w:evenVBand="0" w:oddHBand="0" w:evenHBand="0" w:firstRowFirstColumn="0" w:firstRowLastColumn="0" w:lastRowFirstColumn="0" w:lastRowLastColumn="0"/>
            <w:tcW w:w="530" w:type="dxa"/>
          </w:tcPr>
          <w:p w14:paraId="0C6DE8EF" w14:textId="77777777" w:rsidR="004025CD" w:rsidRPr="00292532" w:rsidRDefault="004025CD" w:rsidP="00C31925">
            <w:pPr>
              <w:tabs>
                <w:tab w:val="left" w:pos="157"/>
              </w:tabs>
              <w:rPr>
                <w:b w:val="0"/>
                <w:bCs w:val="0"/>
                <w:sz w:val="20"/>
                <w:szCs w:val="20"/>
                <w:lang w:val="pt-PT"/>
              </w:rPr>
            </w:pPr>
          </w:p>
        </w:tc>
        <w:tc>
          <w:tcPr>
            <w:tcW w:w="1759" w:type="dxa"/>
          </w:tcPr>
          <w:p w14:paraId="6F8DE2C7" w14:textId="77777777" w:rsidR="004025CD" w:rsidRPr="00292532" w:rsidRDefault="004025CD" w:rsidP="00C31925">
            <w:pPr>
              <w:cnfStyle w:val="000000000000" w:firstRow="0" w:lastRow="0" w:firstColumn="0" w:lastColumn="0" w:oddVBand="0" w:evenVBand="0" w:oddHBand="0" w:evenHBand="0" w:firstRowFirstColumn="0" w:firstRowLastColumn="0" w:lastRowFirstColumn="0" w:lastRowLastColumn="0"/>
              <w:rPr>
                <w:b/>
                <w:bCs/>
                <w:sz w:val="20"/>
                <w:szCs w:val="20"/>
                <w:lang w:val="pt-PT"/>
              </w:rPr>
            </w:pPr>
            <w:r w:rsidRPr="00292532">
              <w:rPr>
                <w:b/>
                <w:bCs/>
                <w:sz w:val="20"/>
                <w:szCs w:val="20"/>
                <w:lang w:val="pt-PT"/>
              </w:rPr>
              <w:t>Revisão e aprovação dos Relatórios de Estudos de Impacto Ambiental (REIAS) e Procedimentos de Boas Práticas Ambientais</w:t>
            </w:r>
          </w:p>
        </w:tc>
        <w:tc>
          <w:tcPr>
            <w:tcW w:w="4101" w:type="dxa"/>
          </w:tcPr>
          <w:p w14:paraId="3141D0D9" w14:textId="77777777" w:rsidR="004025CD" w:rsidRPr="00292532" w:rsidRDefault="004025CD"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Revisão dos </w:t>
            </w:r>
            <w:proofErr w:type="spellStart"/>
            <w:r w:rsidRPr="00292532">
              <w:rPr>
                <w:sz w:val="20"/>
                <w:szCs w:val="20"/>
                <w:lang w:val="pt-PT"/>
              </w:rPr>
              <w:t>REIAs</w:t>
            </w:r>
            <w:proofErr w:type="spellEnd"/>
            <w:r w:rsidRPr="00292532">
              <w:rPr>
                <w:sz w:val="20"/>
                <w:szCs w:val="20"/>
                <w:lang w:val="pt-PT"/>
              </w:rPr>
              <w:t>, aprovação e emissão da licença ambiental com recomendações para implementação durante a execução dos subprojectos.</w:t>
            </w:r>
          </w:p>
          <w:p w14:paraId="44F5E5AE" w14:textId="12196207" w:rsidR="004025CD" w:rsidRPr="00292532" w:rsidRDefault="004025CD"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O Banco </w:t>
            </w:r>
            <w:r w:rsidR="0005701F" w:rsidRPr="00292532">
              <w:rPr>
                <w:sz w:val="20"/>
                <w:szCs w:val="20"/>
                <w:lang w:val="pt-PT"/>
              </w:rPr>
              <w:t>Mundial</w:t>
            </w:r>
            <w:r w:rsidRPr="00292532">
              <w:rPr>
                <w:sz w:val="20"/>
                <w:szCs w:val="20"/>
                <w:lang w:val="pt-PT"/>
              </w:rPr>
              <w:t xml:space="preserve"> examinará todos os relatórios de Estudo de Impacto Ambiental, </w:t>
            </w:r>
            <w:r w:rsidR="001978AF" w:rsidRPr="00292532">
              <w:rPr>
                <w:sz w:val="20"/>
                <w:szCs w:val="20"/>
                <w:lang w:val="pt-PT"/>
              </w:rPr>
              <w:t>PGAS</w:t>
            </w:r>
            <w:r w:rsidRPr="00292532">
              <w:rPr>
                <w:sz w:val="20"/>
                <w:szCs w:val="20"/>
                <w:lang w:val="pt-PT"/>
              </w:rPr>
              <w:t xml:space="preserve"> e Procedimentos de Boas Práticas desenvolvidos pelos Consultores para determinação de conformidade com os requisitos do Banco Mundial e emitirá recomendações. </w:t>
            </w:r>
          </w:p>
        </w:tc>
        <w:tc>
          <w:tcPr>
            <w:tcW w:w="2430" w:type="dxa"/>
          </w:tcPr>
          <w:p w14:paraId="28791DAD" w14:textId="77777777" w:rsidR="004025CD" w:rsidRPr="00292532" w:rsidRDefault="004025CD"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DINAB  </w:t>
            </w:r>
          </w:p>
          <w:p w14:paraId="49744B0A" w14:textId="77777777" w:rsidR="004025CD" w:rsidRPr="00292532" w:rsidRDefault="004025CD"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SPA </w:t>
            </w:r>
          </w:p>
          <w:p w14:paraId="0D6FACA2" w14:textId="77777777" w:rsidR="004025CD" w:rsidRPr="00292532" w:rsidRDefault="004025CD"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Banco Mundial</w:t>
            </w:r>
          </w:p>
        </w:tc>
      </w:tr>
      <w:tr w:rsidR="004025CD" w:rsidRPr="00292532" w14:paraId="070C7BA6" w14:textId="77777777" w:rsidTr="00C31925">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530" w:type="dxa"/>
          </w:tcPr>
          <w:p w14:paraId="4548DD77" w14:textId="0A197143" w:rsidR="004025CD" w:rsidRPr="00292532" w:rsidRDefault="00276009" w:rsidP="00C31925">
            <w:pPr>
              <w:tabs>
                <w:tab w:val="left" w:pos="157"/>
              </w:tabs>
              <w:rPr>
                <w:b w:val="0"/>
                <w:bCs w:val="0"/>
                <w:sz w:val="20"/>
                <w:szCs w:val="20"/>
                <w:lang w:val="pt-PT"/>
              </w:rPr>
            </w:pPr>
            <w:r w:rsidRPr="00292532">
              <w:rPr>
                <w:b w:val="0"/>
                <w:bCs w:val="0"/>
                <w:sz w:val="20"/>
                <w:szCs w:val="20"/>
                <w:lang w:val="pt-PT"/>
              </w:rPr>
              <w:t>8</w:t>
            </w:r>
          </w:p>
        </w:tc>
        <w:tc>
          <w:tcPr>
            <w:tcW w:w="1759" w:type="dxa"/>
          </w:tcPr>
          <w:p w14:paraId="17650483" w14:textId="1027CA6B"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b/>
                <w:bCs/>
                <w:sz w:val="20"/>
                <w:szCs w:val="20"/>
                <w:lang w:val="pt-PT"/>
              </w:rPr>
            </w:pPr>
            <w:r w:rsidRPr="00292532">
              <w:rPr>
                <w:b/>
                <w:bCs/>
                <w:sz w:val="20"/>
                <w:szCs w:val="20"/>
                <w:lang w:val="pt-PT"/>
              </w:rPr>
              <w:t>Acompanhamento</w:t>
            </w:r>
            <w:r w:rsidR="000054CE" w:rsidRPr="00292532">
              <w:rPr>
                <w:b/>
                <w:bCs/>
                <w:sz w:val="20"/>
                <w:szCs w:val="20"/>
                <w:lang w:val="pt-PT"/>
              </w:rPr>
              <w:t>, auditoria</w:t>
            </w:r>
            <w:r w:rsidRPr="00292532">
              <w:rPr>
                <w:b/>
                <w:bCs/>
                <w:sz w:val="20"/>
                <w:szCs w:val="20"/>
                <w:lang w:val="pt-PT"/>
              </w:rPr>
              <w:t xml:space="preserve"> e monitor</w:t>
            </w:r>
            <w:r w:rsidR="000054CE" w:rsidRPr="00292532">
              <w:rPr>
                <w:b/>
                <w:bCs/>
                <w:sz w:val="20"/>
                <w:szCs w:val="20"/>
                <w:lang w:val="pt-PT"/>
              </w:rPr>
              <w:t xml:space="preserve">ização </w:t>
            </w:r>
            <w:r w:rsidRPr="00292532">
              <w:rPr>
                <w:b/>
                <w:bCs/>
                <w:sz w:val="20"/>
                <w:szCs w:val="20"/>
                <w:lang w:val="pt-PT"/>
              </w:rPr>
              <w:t>ambiental</w:t>
            </w:r>
          </w:p>
        </w:tc>
        <w:tc>
          <w:tcPr>
            <w:tcW w:w="4101" w:type="dxa"/>
          </w:tcPr>
          <w:p w14:paraId="5B60AB66" w14:textId="0DD980B4"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Acompanhamento, monitoria e apresentação de relatórios de implementação dos </w:t>
            </w:r>
            <w:r w:rsidR="001978AF" w:rsidRPr="00292532">
              <w:rPr>
                <w:sz w:val="20"/>
                <w:szCs w:val="20"/>
                <w:lang w:val="pt-PT"/>
              </w:rPr>
              <w:t>PGASS</w:t>
            </w:r>
            <w:r w:rsidRPr="00292532">
              <w:rPr>
                <w:sz w:val="20"/>
                <w:szCs w:val="20"/>
                <w:lang w:val="pt-PT"/>
              </w:rPr>
              <w:t xml:space="preserve"> e recomendações dos estudos ambientais durante a execução das </w:t>
            </w:r>
            <w:proofErr w:type="spellStart"/>
            <w:r w:rsidRPr="00292532">
              <w:rPr>
                <w:sz w:val="20"/>
                <w:szCs w:val="20"/>
                <w:lang w:val="pt-PT"/>
              </w:rPr>
              <w:t>actividades</w:t>
            </w:r>
            <w:proofErr w:type="spellEnd"/>
            <w:r w:rsidRPr="00292532">
              <w:rPr>
                <w:sz w:val="20"/>
                <w:szCs w:val="20"/>
                <w:lang w:val="pt-PT"/>
              </w:rPr>
              <w:t xml:space="preserve">. Monitoria dos indicadores chave de desempenho dos </w:t>
            </w:r>
            <w:proofErr w:type="spellStart"/>
            <w:r w:rsidRPr="00292532">
              <w:rPr>
                <w:sz w:val="20"/>
                <w:szCs w:val="20"/>
                <w:lang w:val="pt-PT"/>
              </w:rPr>
              <w:t>projectos</w:t>
            </w:r>
            <w:proofErr w:type="spellEnd"/>
            <w:r w:rsidRPr="00292532">
              <w:rPr>
                <w:sz w:val="20"/>
                <w:szCs w:val="20"/>
                <w:lang w:val="pt-PT"/>
              </w:rPr>
              <w:t>.</w:t>
            </w:r>
          </w:p>
          <w:p w14:paraId="196AC6BF" w14:textId="466A15F8" w:rsidR="000054CE" w:rsidRPr="00292532" w:rsidRDefault="000054CE"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lastRenderedPageBreak/>
              <w:t>Realça-se o requisito legislativo de realizar uma auditoria ambiental anual por um consultor registado na AQUA.</w:t>
            </w:r>
          </w:p>
        </w:tc>
        <w:tc>
          <w:tcPr>
            <w:tcW w:w="2430" w:type="dxa"/>
          </w:tcPr>
          <w:p w14:paraId="305746DC"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lastRenderedPageBreak/>
              <w:t xml:space="preserve">Equipa de especialistas em salvaguardas das </w:t>
            </w:r>
            <w:proofErr w:type="spellStart"/>
            <w:r w:rsidRPr="00292532">
              <w:rPr>
                <w:sz w:val="20"/>
                <w:szCs w:val="20"/>
                <w:lang w:val="pt-PT"/>
              </w:rPr>
              <w:t>UIPs</w:t>
            </w:r>
            <w:proofErr w:type="spellEnd"/>
            <w:r w:rsidRPr="00292532">
              <w:rPr>
                <w:sz w:val="20"/>
                <w:szCs w:val="20"/>
                <w:lang w:val="pt-PT"/>
              </w:rPr>
              <w:t xml:space="preserve"> (AIAS) e UTP (DPOPH)</w:t>
            </w:r>
          </w:p>
          <w:p w14:paraId="1F46259D"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proofErr w:type="spellStart"/>
            <w:r w:rsidRPr="00292532">
              <w:rPr>
                <w:sz w:val="20"/>
                <w:szCs w:val="20"/>
                <w:lang w:val="pt-PT"/>
              </w:rPr>
              <w:t>UIPs</w:t>
            </w:r>
            <w:proofErr w:type="spellEnd"/>
            <w:r w:rsidRPr="00292532">
              <w:rPr>
                <w:sz w:val="20"/>
                <w:szCs w:val="20"/>
                <w:lang w:val="pt-PT"/>
              </w:rPr>
              <w:t xml:space="preserve"> (AIAS e DNAAS)</w:t>
            </w:r>
          </w:p>
          <w:p w14:paraId="611DBAA5" w14:textId="6C2B3076"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lastRenderedPageBreak/>
              <w:t xml:space="preserve">Consultor para acompanhamento de implementação do </w:t>
            </w:r>
            <w:r w:rsidR="001978AF" w:rsidRPr="00292532">
              <w:rPr>
                <w:sz w:val="20"/>
                <w:szCs w:val="20"/>
                <w:lang w:val="pt-PT"/>
              </w:rPr>
              <w:t>PGAS</w:t>
            </w:r>
          </w:p>
          <w:p w14:paraId="641D8449" w14:textId="4E52C15B" w:rsidR="000054CE" w:rsidRPr="00292532" w:rsidRDefault="000054CE"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Consultor (Auditor Ambiental)</w:t>
            </w:r>
          </w:p>
          <w:p w14:paraId="4C8E3823" w14:textId="77777777" w:rsidR="004025CD" w:rsidRPr="00292532" w:rsidRDefault="004025CD"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Empreiteiros</w:t>
            </w:r>
          </w:p>
        </w:tc>
      </w:tr>
      <w:tr w:rsidR="000054CE" w:rsidRPr="00292532" w14:paraId="39BA5085" w14:textId="77777777" w:rsidTr="00C31925">
        <w:trPr>
          <w:trHeight w:val="910"/>
        </w:trPr>
        <w:tc>
          <w:tcPr>
            <w:cnfStyle w:val="001000000000" w:firstRow="0" w:lastRow="0" w:firstColumn="1" w:lastColumn="0" w:oddVBand="0" w:evenVBand="0" w:oddHBand="0" w:evenHBand="0" w:firstRowFirstColumn="0" w:firstRowLastColumn="0" w:lastRowFirstColumn="0" w:lastRowLastColumn="0"/>
            <w:tcW w:w="530" w:type="dxa"/>
          </w:tcPr>
          <w:p w14:paraId="6B4B1B15" w14:textId="0D1ACDE4" w:rsidR="000054CE" w:rsidRPr="00292532" w:rsidRDefault="00276009" w:rsidP="00C31925">
            <w:pPr>
              <w:tabs>
                <w:tab w:val="left" w:pos="157"/>
              </w:tabs>
              <w:rPr>
                <w:b w:val="0"/>
                <w:bCs w:val="0"/>
                <w:sz w:val="20"/>
                <w:szCs w:val="20"/>
                <w:lang w:val="pt-PT"/>
              </w:rPr>
            </w:pPr>
            <w:r w:rsidRPr="00292532">
              <w:rPr>
                <w:b w:val="0"/>
                <w:bCs w:val="0"/>
                <w:sz w:val="20"/>
                <w:szCs w:val="20"/>
                <w:lang w:val="pt-PT"/>
              </w:rPr>
              <w:lastRenderedPageBreak/>
              <w:t>9</w:t>
            </w:r>
          </w:p>
        </w:tc>
        <w:tc>
          <w:tcPr>
            <w:tcW w:w="1759" w:type="dxa"/>
          </w:tcPr>
          <w:p w14:paraId="3B5AE95E" w14:textId="30F96885" w:rsidR="000054CE" w:rsidRPr="00292532" w:rsidRDefault="000054CE" w:rsidP="00C31925">
            <w:pPr>
              <w:cnfStyle w:val="000000000000" w:firstRow="0" w:lastRow="0" w:firstColumn="0" w:lastColumn="0" w:oddVBand="0" w:evenVBand="0" w:oddHBand="0" w:evenHBand="0" w:firstRowFirstColumn="0" w:firstRowLastColumn="0" w:lastRowFirstColumn="0" w:lastRowLastColumn="0"/>
              <w:rPr>
                <w:b/>
                <w:bCs/>
                <w:sz w:val="20"/>
                <w:szCs w:val="20"/>
                <w:lang w:val="pt-PT"/>
              </w:rPr>
            </w:pPr>
            <w:r w:rsidRPr="00292532">
              <w:rPr>
                <w:b/>
                <w:bCs/>
                <w:sz w:val="20"/>
                <w:szCs w:val="20"/>
                <w:lang w:val="pt-PT"/>
              </w:rPr>
              <w:t>Auditoria de Conformidade Ambiental e emissão da licença ambiental</w:t>
            </w:r>
          </w:p>
        </w:tc>
        <w:tc>
          <w:tcPr>
            <w:tcW w:w="4101" w:type="dxa"/>
          </w:tcPr>
          <w:p w14:paraId="2EA3B2BC" w14:textId="77777777" w:rsidR="000054CE" w:rsidRPr="00292532" w:rsidRDefault="000054CE"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Realização de auditorias de conformidade ambiental com a finalidade de aplicar para a emissão da licença (ambiental) de operação dos sistemas. </w:t>
            </w:r>
          </w:p>
          <w:p w14:paraId="29B794FD" w14:textId="328CD7C4" w:rsidR="000054CE" w:rsidRPr="00292532" w:rsidRDefault="000054CE"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Renovação da licença ambiental de 5 em 5 anos.</w:t>
            </w:r>
          </w:p>
        </w:tc>
        <w:tc>
          <w:tcPr>
            <w:tcW w:w="2430" w:type="dxa"/>
          </w:tcPr>
          <w:p w14:paraId="7A560C0E" w14:textId="77777777" w:rsidR="000054CE" w:rsidRPr="00292532" w:rsidRDefault="000054CE"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UIPS (AIAS e DNAAS)</w:t>
            </w:r>
          </w:p>
          <w:p w14:paraId="0B58B1DF" w14:textId="77777777" w:rsidR="000054CE" w:rsidRPr="00292532" w:rsidRDefault="000054CE"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Consultor ambiental e social </w:t>
            </w:r>
          </w:p>
          <w:p w14:paraId="02DB7F96" w14:textId="62FFDA02" w:rsidR="000054CE" w:rsidRPr="00292532" w:rsidRDefault="000054CE" w:rsidP="00C31925">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MTA</w:t>
            </w:r>
          </w:p>
        </w:tc>
      </w:tr>
      <w:tr w:rsidR="000054CE" w:rsidRPr="00292532" w14:paraId="167D9C61" w14:textId="77777777" w:rsidTr="00C31925">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530" w:type="dxa"/>
          </w:tcPr>
          <w:p w14:paraId="74FCC38E" w14:textId="5859604B" w:rsidR="000054CE" w:rsidRPr="00292532" w:rsidRDefault="00276009" w:rsidP="00C31925">
            <w:pPr>
              <w:tabs>
                <w:tab w:val="left" w:pos="157"/>
              </w:tabs>
              <w:rPr>
                <w:b w:val="0"/>
                <w:bCs w:val="0"/>
                <w:sz w:val="20"/>
                <w:szCs w:val="20"/>
                <w:lang w:val="pt-PT"/>
              </w:rPr>
            </w:pPr>
            <w:r w:rsidRPr="00292532">
              <w:rPr>
                <w:b w:val="0"/>
                <w:bCs w:val="0"/>
                <w:sz w:val="20"/>
                <w:szCs w:val="20"/>
                <w:lang w:val="pt-PT"/>
              </w:rPr>
              <w:t>10</w:t>
            </w:r>
          </w:p>
        </w:tc>
        <w:tc>
          <w:tcPr>
            <w:tcW w:w="1759" w:type="dxa"/>
          </w:tcPr>
          <w:p w14:paraId="1FE717BF" w14:textId="6AD79DC7" w:rsidR="000054CE" w:rsidRPr="00292532" w:rsidRDefault="000054CE" w:rsidP="00C31925">
            <w:pPr>
              <w:cnfStyle w:val="000000100000" w:firstRow="0" w:lastRow="0" w:firstColumn="0" w:lastColumn="0" w:oddVBand="0" w:evenVBand="0" w:oddHBand="1" w:evenHBand="0" w:firstRowFirstColumn="0" w:firstRowLastColumn="0" w:lastRowFirstColumn="0" w:lastRowLastColumn="0"/>
              <w:rPr>
                <w:b/>
                <w:bCs/>
                <w:sz w:val="20"/>
                <w:szCs w:val="20"/>
                <w:lang w:val="pt-PT"/>
              </w:rPr>
            </w:pPr>
            <w:r w:rsidRPr="00292532">
              <w:rPr>
                <w:b/>
                <w:bCs/>
                <w:sz w:val="20"/>
                <w:szCs w:val="20"/>
                <w:lang w:val="pt-PT"/>
              </w:rPr>
              <w:t>Acompanhamento, auditoria</w:t>
            </w:r>
          </w:p>
        </w:tc>
        <w:tc>
          <w:tcPr>
            <w:tcW w:w="4101" w:type="dxa"/>
          </w:tcPr>
          <w:p w14:paraId="09065357" w14:textId="1D26D0FD" w:rsidR="000054CE" w:rsidRPr="00292532" w:rsidRDefault="000054CE"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Acompanhamento e Implementação do Plano de Gestão Ambiental e </w:t>
            </w:r>
            <w:proofErr w:type="gramStart"/>
            <w:r w:rsidRPr="00292532">
              <w:rPr>
                <w:sz w:val="20"/>
                <w:szCs w:val="20"/>
                <w:lang w:val="pt-PT"/>
              </w:rPr>
              <w:t>Social .</w:t>
            </w:r>
            <w:proofErr w:type="gramEnd"/>
          </w:p>
          <w:p w14:paraId="494932EA" w14:textId="10484B7D" w:rsidR="000054CE" w:rsidRPr="00292532" w:rsidRDefault="000054CE"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Reali</w:t>
            </w:r>
            <w:r w:rsidR="00266BE1" w:rsidRPr="00292532">
              <w:rPr>
                <w:sz w:val="20"/>
                <w:szCs w:val="20"/>
                <w:lang w:val="pt-PT"/>
              </w:rPr>
              <w:t>z</w:t>
            </w:r>
            <w:r w:rsidRPr="00292532">
              <w:rPr>
                <w:sz w:val="20"/>
                <w:szCs w:val="20"/>
                <w:lang w:val="pt-PT"/>
              </w:rPr>
              <w:t>ação de auditorias ambientais anuais.</w:t>
            </w:r>
          </w:p>
          <w:p w14:paraId="50E89F04" w14:textId="3F14FD34" w:rsidR="000054CE" w:rsidRPr="00292532" w:rsidRDefault="000054CE"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Submissão de relatórios de desempenho ambiental e social ao MTA.</w:t>
            </w:r>
          </w:p>
          <w:p w14:paraId="7F86C948" w14:textId="5EA8CAA6" w:rsidR="000054CE" w:rsidRPr="00292532" w:rsidRDefault="000054CE"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p>
        </w:tc>
        <w:tc>
          <w:tcPr>
            <w:tcW w:w="2430" w:type="dxa"/>
          </w:tcPr>
          <w:p w14:paraId="0890CD2A" w14:textId="77777777" w:rsidR="000054CE" w:rsidRPr="00292532" w:rsidRDefault="000054CE"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Consultor (Auditor Ambiental)</w:t>
            </w:r>
          </w:p>
          <w:p w14:paraId="78BF68CE" w14:textId="77777777" w:rsidR="000054CE" w:rsidRPr="00292532" w:rsidRDefault="000054CE"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Operadores dos sistemas </w:t>
            </w:r>
          </w:p>
          <w:p w14:paraId="70E4D99F" w14:textId="6ABF620E" w:rsidR="000054CE" w:rsidRPr="00292532" w:rsidRDefault="000054CE" w:rsidP="00C31925">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AQUA</w:t>
            </w:r>
          </w:p>
        </w:tc>
      </w:tr>
      <w:bookmarkEnd w:id="425"/>
    </w:tbl>
    <w:p w14:paraId="472C7E96" w14:textId="54453921" w:rsidR="00D37C9E" w:rsidRPr="00292532" w:rsidRDefault="00D37C9E" w:rsidP="004025CD">
      <w:pPr>
        <w:rPr>
          <w:lang w:val="pt-PT"/>
        </w:rPr>
      </w:pPr>
    </w:p>
    <w:p w14:paraId="6433FC7A" w14:textId="77777777" w:rsidR="00613BE1" w:rsidRPr="00292532" w:rsidRDefault="00613BE1" w:rsidP="004025CD">
      <w:pPr>
        <w:rPr>
          <w:lang w:val="pt-PT"/>
        </w:rPr>
      </w:pPr>
      <w:r w:rsidRPr="00292532">
        <w:rPr>
          <w:lang w:val="pt-PT"/>
        </w:rPr>
        <w:br w:type="page"/>
      </w:r>
    </w:p>
    <w:p w14:paraId="602B2B81" w14:textId="2F78ECC0" w:rsidR="00C31925" w:rsidRPr="00292532" w:rsidRDefault="00C31925" w:rsidP="00C31925">
      <w:pPr>
        <w:pStyle w:val="Heading1"/>
        <w:rPr>
          <w:lang w:val="pt-PT" w:eastAsia="ja-JP"/>
        </w:rPr>
      </w:pPr>
      <w:bookmarkStart w:id="426" w:name="_Toc73954557"/>
      <w:bookmarkStart w:id="427" w:name="_Toc73954558"/>
      <w:bookmarkStart w:id="428" w:name="_Toc80380061"/>
      <w:bookmarkEnd w:id="426"/>
      <w:bookmarkEnd w:id="427"/>
      <w:r w:rsidRPr="00292532">
        <w:rPr>
          <w:lang w:val="pt-PT" w:eastAsia="ja-JP"/>
        </w:rPr>
        <w:lastRenderedPageBreak/>
        <w:t>Monitoria, Relatórios e Auditorias</w:t>
      </w:r>
      <w:bookmarkEnd w:id="428"/>
      <w:r w:rsidRPr="00292532">
        <w:rPr>
          <w:lang w:val="pt-PT" w:eastAsia="ja-JP"/>
        </w:rPr>
        <w:t xml:space="preserve"> </w:t>
      </w:r>
    </w:p>
    <w:p w14:paraId="7330DC89" w14:textId="77777777" w:rsidR="00C31925" w:rsidRPr="00292532" w:rsidRDefault="00C31925" w:rsidP="00C31925">
      <w:pPr>
        <w:rPr>
          <w:lang w:val="pt-PT" w:eastAsia="ja-JP"/>
        </w:rPr>
      </w:pPr>
    </w:p>
    <w:p w14:paraId="34896A75" w14:textId="0E47A92F" w:rsidR="00C31925" w:rsidRPr="00292532" w:rsidRDefault="00CD2106" w:rsidP="00C31925">
      <w:pPr>
        <w:pStyle w:val="Heading2"/>
      </w:pPr>
      <w:bookmarkStart w:id="429" w:name="_Toc80380062"/>
      <w:r w:rsidRPr="00292532">
        <w:t>Monitoria</w:t>
      </w:r>
      <w:r w:rsidR="00C31925" w:rsidRPr="00292532">
        <w:t>, Acompanhamento e Relatórios</w:t>
      </w:r>
      <w:bookmarkEnd w:id="429"/>
    </w:p>
    <w:p w14:paraId="16C5D98E" w14:textId="3A6B0085" w:rsidR="00C31925" w:rsidRPr="00292532" w:rsidRDefault="00C31925" w:rsidP="00C31925">
      <w:pPr>
        <w:rPr>
          <w:lang w:val="pt-PT" w:eastAsia="ja-JP"/>
        </w:rPr>
      </w:pPr>
      <w:bookmarkStart w:id="430" w:name="_Hlk75445673"/>
      <w:r w:rsidRPr="00292532">
        <w:rPr>
          <w:lang w:val="pt-PT" w:eastAsia="ja-JP"/>
        </w:rPr>
        <w:t xml:space="preserve">A </w:t>
      </w:r>
      <w:r w:rsidR="00292532" w:rsidRPr="00292532">
        <w:rPr>
          <w:lang w:val="pt-PT" w:eastAsia="ja-JP"/>
        </w:rPr>
        <w:t>monitoria</w:t>
      </w:r>
      <w:r w:rsidR="00CD2106" w:rsidRPr="00292532">
        <w:rPr>
          <w:lang w:val="pt-PT" w:eastAsia="ja-JP"/>
        </w:rPr>
        <w:t xml:space="preserve"> </w:t>
      </w:r>
      <w:r w:rsidRPr="00292532">
        <w:rPr>
          <w:lang w:val="pt-PT" w:eastAsia="ja-JP"/>
        </w:rPr>
        <w:t xml:space="preserve">servirá para acompanhar o desempenho ambiental e social do </w:t>
      </w:r>
      <w:proofErr w:type="spellStart"/>
      <w:r w:rsidR="008C3A00" w:rsidRPr="00292532">
        <w:rPr>
          <w:lang w:val="pt-PT" w:eastAsia="ja-JP"/>
        </w:rPr>
        <w:t>projecto</w:t>
      </w:r>
      <w:proofErr w:type="spellEnd"/>
      <w:r w:rsidRPr="00292532">
        <w:rPr>
          <w:lang w:val="pt-PT" w:eastAsia="ja-JP"/>
        </w:rPr>
        <w:t>, para determinar o alcance dos resultados atendendo aos vários requisitos ambientais e sociais (</w:t>
      </w:r>
      <w:r w:rsidR="001978AF" w:rsidRPr="00292532">
        <w:rPr>
          <w:lang w:val="pt-PT" w:eastAsia="ja-JP"/>
        </w:rPr>
        <w:t>PGAS</w:t>
      </w:r>
      <w:r w:rsidRPr="00292532">
        <w:rPr>
          <w:lang w:val="pt-PT" w:eastAsia="ja-JP"/>
        </w:rPr>
        <w:t xml:space="preserve">, PCAS, QGAS, QPR, PAR) e para identificar a necessidade de proposta de medidas de mitigação adicionais e de remediação. </w:t>
      </w:r>
    </w:p>
    <w:bookmarkEnd w:id="430"/>
    <w:p w14:paraId="3F37E844" w14:textId="0D94EC75" w:rsidR="00C31925" w:rsidRPr="00292532" w:rsidRDefault="00C31925" w:rsidP="00C31925">
      <w:pPr>
        <w:rPr>
          <w:lang w:val="pt-PT" w:eastAsia="ja-JP"/>
        </w:rPr>
      </w:pPr>
      <w:r w:rsidRPr="00292532">
        <w:rPr>
          <w:lang w:val="pt-PT" w:eastAsia="ja-JP"/>
        </w:rPr>
        <w:t xml:space="preserve">A </w:t>
      </w:r>
      <w:r w:rsidR="00292532" w:rsidRPr="00292532">
        <w:rPr>
          <w:lang w:val="pt-PT" w:eastAsia="ja-JP"/>
        </w:rPr>
        <w:t>monitoria envolverá</w:t>
      </w:r>
      <w:r w:rsidRPr="00292532">
        <w:rPr>
          <w:lang w:val="pt-PT" w:eastAsia="ja-JP"/>
        </w:rPr>
        <w:t xml:space="preserve"> </w:t>
      </w:r>
      <w:r w:rsidR="007C5057" w:rsidRPr="00292532">
        <w:rPr>
          <w:lang w:val="pt-PT" w:eastAsia="ja-JP"/>
        </w:rPr>
        <w:t>várias</w:t>
      </w:r>
      <w:r w:rsidRPr="00292532">
        <w:rPr>
          <w:lang w:val="pt-PT" w:eastAsia="ja-JP"/>
        </w:rPr>
        <w:t xml:space="preserve"> partes, a saber, as </w:t>
      </w:r>
      <w:proofErr w:type="spellStart"/>
      <w:r w:rsidRPr="00292532">
        <w:rPr>
          <w:lang w:val="pt-PT" w:eastAsia="ja-JP"/>
        </w:rPr>
        <w:t>UIPs</w:t>
      </w:r>
      <w:proofErr w:type="spellEnd"/>
      <w:r w:rsidRPr="00292532">
        <w:rPr>
          <w:lang w:val="pt-PT" w:eastAsia="ja-JP"/>
        </w:rPr>
        <w:t xml:space="preserve">, </w:t>
      </w:r>
      <w:proofErr w:type="spellStart"/>
      <w:r w:rsidRPr="00292532">
        <w:rPr>
          <w:lang w:val="pt-PT" w:eastAsia="ja-JP"/>
        </w:rPr>
        <w:t>UTPs</w:t>
      </w:r>
      <w:proofErr w:type="spellEnd"/>
      <w:r w:rsidRPr="00292532">
        <w:rPr>
          <w:lang w:val="pt-PT" w:eastAsia="ja-JP"/>
        </w:rPr>
        <w:t xml:space="preserve">, </w:t>
      </w:r>
      <w:r w:rsidR="00381467" w:rsidRPr="00292532">
        <w:rPr>
          <w:lang w:val="pt-PT" w:eastAsia="ja-JP"/>
        </w:rPr>
        <w:t>contrata</w:t>
      </w:r>
      <w:r w:rsidRPr="00292532">
        <w:rPr>
          <w:lang w:val="pt-PT" w:eastAsia="ja-JP"/>
        </w:rPr>
        <w:t xml:space="preserve">das (empreiteiros), SPA, DINAB, AQUA, comunidades locais, especialistas ambientais e sociais </w:t>
      </w:r>
      <w:r w:rsidR="00381467" w:rsidRPr="00292532">
        <w:rPr>
          <w:lang w:val="pt-PT" w:eastAsia="ja-JP"/>
        </w:rPr>
        <w:t>contrata</w:t>
      </w:r>
      <w:r w:rsidRPr="00292532">
        <w:rPr>
          <w:lang w:val="pt-PT" w:eastAsia="ja-JP"/>
        </w:rPr>
        <w:t xml:space="preserve">dos pelo </w:t>
      </w:r>
      <w:proofErr w:type="spellStart"/>
      <w:r w:rsidRPr="00292532">
        <w:rPr>
          <w:lang w:val="pt-PT" w:eastAsia="ja-JP"/>
        </w:rPr>
        <w:t>Projecto</w:t>
      </w:r>
      <w:proofErr w:type="spellEnd"/>
      <w:r w:rsidR="0063557C">
        <w:rPr>
          <w:lang w:val="pt-PT" w:eastAsia="ja-JP"/>
        </w:rPr>
        <w:t xml:space="preserve">, </w:t>
      </w:r>
      <w:r w:rsidR="00AA7544">
        <w:rPr>
          <w:lang w:val="pt-PT" w:eastAsia="ja-JP"/>
        </w:rPr>
        <w:t>os empreiteiros</w:t>
      </w:r>
      <w:r w:rsidR="0063557C">
        <w:rPr>
          <w:lang w:val="pt-PT" w:eastAsia="ja-JP"/>
        </w:rPr>
        <w:t>, equipas de fiscalização</w:t>
      </w:r>
      <w:r w:rsidRPr="00292532">
        <w:rPr>
          <w:lang w:val="pt-PT" w:eastAsia="ja-JP"/>
        </w:rPr>
        <w:t xml:space="preserve"> e outras partes interessadas e </w:t>
      </w:r>
      <w:proofErr w:type="spellStart"/>
      <w:r w:rsidRPr="00292532">
        <w:rPr>
          <w:lang w:val="pt-PT" w:eastAsia="ja-JP"/>
        </w:rPr>
        <w:t>afectadas</w:t>
      </w:r>
      <w:proofErr w:type="spellEnd"/>
      <w:r w:rsidRPr="00292532">
        <w:rPr>
          <w:lang w:val="pt-PT" w:eastAsia="ja-JP"/>
        </w:rPr>
        <w:t xml:space="preserve"> do </w:t>
      </w:r>
      <w:proofErr w:type="spellStart"/>
      <w:r w:rsidRPr="00292532">
        <w:rPr>
          <w:lang w:val="pt-PT" w:eastAsia="ja-JP"/>
        </w:rPr>
        <w:t>Projecto</w:t>
      </w:r>
      <w:proofErr w:type="spellEnd"/>
      <w:r w:rsidRPr="00292532">
        <w:rPr>
          <w:lang w:val="pt-PT" w:eastAsia="ja-JP"/>
        </w:rPr>
        <w:t xml:space="preserve">. Cada uma destas partes desempenhará o seu papel, desde </w:t>
      </w:r>
      <w:proofErr w:type="spellStart"/>
      <w:r w:rsidRPr="00292532">
        <w:rPr>
          <w:lang w:val="pt-PT" w:eastAsia="ja-JP"/>
        </w:rPr>
        <w:t>inspecções</w:t>
      </w:r>
      <w:proofErr w:type="spellEnd"/>
      <w:r w:rsidRPr="00292532">
        <w:rPr>
          <w:lang w:val="pt-PT" w:eastAsia="ja-JP"/>
        </w:rPr>
        <w:t xml:space="preserve"> ambientais, elaboração de relatórios de progresso, revisão e aprovação destes relatórios. </w:t>
      </w:r>
    </w:p>
    <w:p w14:paraId="1349FD69" w14:textId="6C8B0FD3" w:rsidR="00C31925" w:rsidRPr="00292532" w:rsidRDefault="00C31925" w:rsidP="00C31925">
      <w:pPr>
        <w:rPr>
          <w:lang w:val="pt-PT" w:eastAsia="ja-JP"/>
        </w:rPr>
      </w:pPr>
      <w:r w:rsidRPr="00292532">
        <w:rPr>
          <w:lang w:val="pt-PT" w:eastAsia="ja-JP"/>
        </w:rPr>
        <w:t xml:space="preserve">Os requisitos dos programas de monitorização ambiental e social, serão definidos nos </w:t>
      </w:r>
      <w:r w:rsidR="001978AF" w:rsidRPr="00292532">
        <w:rPr>
          <w:lang w:val="pt-PT" w:eastAsia="ja-JP"/>
        </w:rPr>
        <w:t>PGAS</w:t>
      </w:r>
      <w:r w:rsidRPr="00292532">
        <w:rPr>
          <w:lang w:val="pt-PT" w:eastAsia="ja-JP"/>
        </w:rPr>
        <w:t xml:space="preserve"> a serem desenvolvidos no âmbito dos processos de Avaliação de Impacto Ambiental dos subprojectos. Estes serão definidos com base numa avaliação criteriosa e detalhadas dos potenciais impactos do </w:t>
      </w:r>
      <w:proofErr w:type="spellStart"/>
      <w:r w:rsidRPr="00292532">
        <w:rPr>
          <w:lang w:val="pt-PT" w:eastAsia="ja-JP"/>
        </w:rPr>
        <w:t>Projecto</w:t>
      </w:r>
      <w:proofErr w:type="spellEnd"/>
      <w:r w:rsidRPr="00292532">
        <w:rPr>
          <w:lang w:val="pt-PT" w:eastAsia="ja-JP"/>
        </w:rPr>
        <w:t xml:space="preserve"> e sensibilidades ambientais e sociais das áreas de implementação dos </w:t>
      </w:r>
      <w:proofErr w:type="spellStart"/>
      <w:r w:rsidRPr="00292532">
        <w:rPr>
          <w:lang w:val="pt-PT" w:eastAsia="ja-JP"/>
        </w:rPr>
        <w:t>Projectos</w:t>
      </w:r>
      <w:proofErr w:type="spellEnd"/>
      <w:r w:rsidRPr="00292532">
        <w:rPr>
          <w:lang w:val="pt-PT" w:eastAsia="ja-JP"/>
        </w:rPr>
        <w:t xml:space="preserve">.  Contudo, recomenda-se que sejam definidos indicadores-chave de desempenho para o acompanhamento do desempenho ambiental e social do </w:t>
      </w:r>
      <w:proofErr w:type="spellStart"/>
      <w:r w:rsidRPr="00292532">
        <w:rPr>
          <w:lang w:val="pt-PT" w:eastAsia="ja-JP"/>
        </w:rPr>
        <w:t>Projecto</w:t>
      </w:r>
      <w:proofErr w:type="spellEnd"/>
      <w:r w:rsidRPr="00292532">
        <w:rPr>
          <w:lang w:val="pt-PT" w:eastAsia="ja-JP"/>
        </w:rPr>
        <w:t xml:space="preserve">. A </w:t>
      </w:r>
      <w:r w:rsidRPr="00292532">
        <w:rPr>
          <w:b/>
          <w:bCs/>
          <w:lang w:val="pt-PT" w:eastAsia="ja-JP"/>
        </w:rPr>
        <w:fldChar w:fldCharType="begin"/>
      </w:r>
      <w:r w:rsidRPr="00292532">
        <w:rPr>
          <w:b/>
          <w:bCs/>
          <w:lang w:val="pt-PT" w:eastAsia="ja-JP"/>
        </w:rPr>
        <w:instrText xml:space="preserve"> REF _Ref72933267 \h  \* MERGEFORMAT </w:instrText>
      </w:r>
      <w:r w:rsidRPr="00292532">
        <w:rPr>
          <w:b/>
          <w:bCs/>
          <w:lang w:val="pt-PT" w:eastAsia="ja-JP"/>
        </w:rPr>
      </w:r>
      <w:r w:rsidRPr="00292532">
        <w:rPr>
          <w:b/>
          <w:bCs/>
          <w:lang w:val="pt-PT" w:eastAsia="ja-JP"/>
        </w:rPr>
        <w:fldChar w:fldCharType="separate"/>
      </w:r>
      <w:r w:rsidR="00F83E37" w:rsidRPr="00941934">
        <w:rPr>
          <w:b/>
          <w:bCs/>
          <w:lang w:val="pt-PT"/>
        </w:rPr>
        <w:t xml:space="preserve">Tabela </w:t>
      </w:r>
      <w:r w:rsidR="00F83E37" w:rsidRPr="00941934">
        <w:rPr>
          <w:b/>
          <w:bCs/>
          <w:noProof/>
          <w:lang w:val="pt-PT"/>
        </w:rPr>
        <w:t>32</w:t>
      </w:r>
      <w:r w:rsidRPr="00292532">
        <w:rPr>
          <w:b/>
          <w:bCs/>
          <w:lang w:val="pt-PT" w:eastAsia="ja-JP"/>
        </w:rPr>
        <w:fldChar w:fldCharType="end"/>
      </w:r>
      <w:r w:rsidRPr="00292532">
        <w:rPr>
          <w:b/>
          <w:bCs/>
          <w:lang w:val="pt-PT" w:eastAsia="ja-JP"/>
        </w:rPr>
        <w:t xml:space="preserve"> </w:t>
      </w:r>
      <w:r w:rsidRPr="00292532">
        <w:rPr>
          <w:lang w:val="pt-PT" w:eastAsia="ja-JP"/>
        </w:rPr>
        <w:t xml:space="preserve">abaixo providencia uma lista preliminar de Indicadores-Chave de Desempenho propostos a serem monitorados e inclusos em relatórios de progresso. </w:t>
      </w:r>
    </w:p>
    <w:p w14:paraId="188B57F3" w14:textId="5B0E593F" w:rsidR="00C31925" w:rsidRPr="00292532" w:rsidRDefault="00C31925" w:rsidP="00C31925">
      <w:pPr>
        <w:pStyle w:val="Caption"/>
      </w:pPr>
      <w:bookmarkStart w:id="431" w:name="_Ref72933267"/>
      <w:bookmarkStart w:id="432" w:name="_Toc75438170"/>
      <w:bookmarkStart w:id="433" w:name="_Toc80380279"/>
      <w:r w:rsidRPr="00292532">
        <w:t xml:space="preserve">Tabela </w:t>
      </w:r>
      <w:r w:rsidRPr="00292532">
        <w:fldChar w:fldCharType="begin"/>
      </w:r>
      <w:r w:rsidRPr="00292532">
        <w:instrText xml:space="preserve"> SEQ Tabela \* ARABIC </w:instrText>
      </w:r>
      <w:r w:rsidRPr="00292532">
        <w:fldChar w:fldCharType="separate"/>
      </w:r>
      <w:r w:rsidR="00F83E37">
        <w:rPr>
          <w:noProof/>
        </w:rPr>
        <w:t>32</w:t>
      </w:r>
      <w:r w:rsidRPr="00292532">
        <w:fldChar w:fldCharType="end"/>
      </w:r>
      <w:bookmarkEnd w:id="431"/>
      <w:r w:rsidRPr="00292532">
        <w:t>: Indicadores-chave de Desempenho Ambiental e Social</w:t>
      </w:r>
      <w:bookmarkEnd w:id="432"/>
      <w:bookmarkEnd w:id="433"/>
    </w:p>
    <w:tbl>
      <w:tblPr>
        <w:tblStyle w:val="GridTable3-Accent5"/>
        <w:tblW w:w="0" w:type="auto"/>
        <w:tblLook w:val="04A0" w:firstRow="1" w:lastRow="0" w:firstColumn="1" w:lastColumn="0" w:noHBand="0" w:noVBand="1"/>
      </w:tblPr>
      <w:tblGrid>
        <w:gridCol w:w="3248"/>
        <w:gridCol w:w="5256"/>
      </w:tblGrid>
      <w:tr w:rsidR="00C31925" w:rsidRPr="00292532" w14:paraId="0F805CE2" w14:textId="77777777" w:rsidTr="00C3192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3960" w:type="dxa"/>
          </w:tcPr>
          <w:p w14:paraId="34B9BE99" w14:textId="77777777" w:rsidR="00C31925" w:rsidRPr="00292532" w:rsidRDefault="00C31925" w:rsidP="00C31925">
            <w:pPr>
              <w:jc w:val="center"/>
              <w:rPr>
                <w:rFonts w:eastAsiaTheme="majorEastAsia" w:cstheme="majorBidi"/>
                <w:sz w:val="20"/>
                <w:szCs w:val="20"/>
                <w:lang w:val="pt-PT"/>
              </w:rPr>
            </w:pPr>
            <w:r w:rsidRPr="00292532">
              <w:rPr>
                <w:rFonts w:eastAsiaTheme="majorEastAsia" w:cstheme="majorBidi"/>
                <w:sz w:val="20"/>
                <w:szCs w:val="20"/>
                <w:lang w:val="pt-PT"/>
              </w:rPr>
              <w:t>Campos de Aplicação</w:t>
            </w:r>
          </w:p>
        </w:tc>
        <w:tc>
          <w:tcPr>
            <w:tcW w:w="6390" w:type="dxa"/>
          </w:tcPr>
          <w:p w14:paraId="54D1CBB2" w14:textId="77777777" w:rsidR="00C31925" w:rsidRPr="00292532" w:rsidRDefault="00C31925" w:rsidP="00C31925">
            <w:pPr>
              <w:jc w:val="center"/>
              <w:cnfStyle w:val="100000000000" w:firstRow="1" w:lastRow="0" w:firstColumn="0" w:lastColumn="0" w:oddVBand="0" w:evenVBand="0" w:oddHBand="0" w:evenHBand="0" w:firstRowFirstColumn="0" w:firstRowLastColumn="0" w:lastRowFirstColumn="0" w:lastRowLastColumn="0"/>
              <w:rPr>
                <w:rFonts w:eastAsiaTheme="majorEastAsia" w:cstheme="majorBidi"/>
                <w:sz w:val="20"/>
                <w:szCs w:val="20"/>
                <w:lang w:val="pt-PT"/>
              </w:rPr>
            </w:pPr>
            <w:r w:rsidRPr="00292532">
              <w:rPr>
                <w:rFonts w:eastAsiaTheme="majorEastAsia" w:cstheme="majorBidi"/>
                <w:sz w:val="20"/>
                <w:szCs w:val="20"/>
                <w:lang w:val="pt-PT"/>
              </w:rPr>
              <w:t>Indicadores-chave de Desempenho</w:t>
            </w:r>
          </w:p>
        </w:tc>
      </w:tr>
      <w:tr w:rsidR="00C31925" w:rsidRPr="008D18CF" w14:paraId="5121D209" w14:textId="77777777" w:rsidTr="00C319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tcPr>
          <w:p w14:paraId="4A780F2F" w14:textId="77777777" w:rsidR="00C31925" w:rsidRPr="00292532" w:rsidRDefault="00C31925" w:rsidP="00C31925">
            <w:pPr>
              <w:rPr>
                <w:rFonts w:eastAsiaTheme="majorEastAsia" w:cstheme="majorBidi"/>
                <w:sz w:val="20"/>
                <w:szCs w:val="20"/>
                <w:lang w:val="pt-PT"/>
              </w:rPr>
            </w:pPr>
            <w:r w:rsidRPr="00292532">
              <w:rPr>
                <w:rFonts w:eastAsiaTheme="majorEastAsia" w:cstheme="majorBidi"/>
                <w:sz w:val="20"/>
                <w:szCs w:val="20"/>
                <w:lang w:val="pt-PT"/>
              </w:rPr>
              <w:t>Gestão dos impactos ambientais</w:t>
            </w:r>
          </w:p>
        </w:tc>
        <w:tc>
          <w:tcPr>
            <w:tcW w:w="6390" w:type="dxa"/>
          </w:tcPr>
          <w:p w14:paraId="7AEB6A0B" w14:textId="77777777" w:rsidR="00C31925" w:rsidRPr="00292532" w:rsidRDefault="00C31925" w:rsidP="0024772D">
            <w:pPr>
              <w:numPr>
                <w:ilvl w:val="0"/>
                <w:numId w:val="59"/>
              </w:numPr>
              <w:contextualSpacing/>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Volume de resíduos sólidos gerado </w:t>
            </w:r>
          </w:p>
          <w:p w14:paraId="34501E62" w14:textId="77777777" w:rsidR="00C31925" w:rsidRPr="00292532" w:rsidRDefault="00C31925" w:rsidP="0024772D">
            <w:pPr>
              <w:numPr>
                <w:ilvl w:val="0"/>
                <w:numId w:val="59"/>
              </w:numPr>
              <w:contextualSpacing/>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Qualidade das águas residuais tratadas  </w:t>
            </w:r>
          </w:p>
          <w:p w14:paraId="00AA6F25" w14:textId="7E36B20B" w:rsidR="00C31925" w:rsidRPr="00292532" w:rsidRDefault="00C31925" w:rsidP="0024772D">
            <w:pPr>
              <w:numPr>
                <w:ilvl w:val="0"/>
                <w:numId w:val="59"/>
              </w:numPr>
              <w:contextualSpacing/>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Campanhas de consciencialização, treinamento e capacitação em </w:t>
            </w:r>
            <w:r w:rsidR="0005701F" w:rsidRPr="00292532">
              <w:rPr>
                <w:sz w:val="20"/>
                <w:szCs w:val="20"/>
                <w:lang w:val="pt-PT"/>
              </w:rPr>
              <w:t>Saúde</w:t>
            </w:r>
            <w:r w:rsidRPr="00292532">
              <w:rPr>
                <w:sz w:val="20"/>
                <w:szCs w:val="20"/>
                <w:lang w:val="pt-PT"/>
              </w:rPr>
              <w:t xml:space="preserve"> e Segurança ambiental</w:t>
            </w:r>
          </w:p>
          <w:p w14:paraId="2576943E" w14:textId="77777777" w:rsidR="00C31925" w:rsidRPr="00292532" w:rsidRDefault="00C31925" w:rsidP="0024772D">
            <w:pPr>
              <w:numPr>
                <w:ilvl w:val="0"/>
                <w:numId w:val="59"/>
              </w:numPr>
              <w:contextualSpacing/>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Consumo de energia nas instalações com consumos mais altos de energia do </w:t>
            </w:r>
            <w:proofErr w:type="spellStart"/>
            <w:r w:rsidRPr="00292532">
              <w:rPr>
                <w:sz w:val="20"/>
                <w:szCs w:val="20"/>
                <w:lang w:val="pt-PT"/>
              </w:rPr>
              <w:t>Projecto</w:t>
            </w:r>
            <w:proofErr w:type="spellEnd"/>
          </w:p>
        </w:tc>
      </w:tr>
      <w:tr w:rsidR="00C31925" w:rsidRPr="00941934" w14:paraId="43F9AEC7" w14:textId="77777777" w:rsidTr="00C31925">
        <w:tc>
          <w:tcPr>
            <w:cnfStyle w:val="001000000000" w:firstRow="0" w:lastRow="0" w:firstColumn="1" w:lastColumn="0" w:oddVBand="0" w:evenVBand="0" w:oddHBand="0" w:evenHBand="0" w:firstRowFirstColumn="0" w:firstRowLastColumn="0" w:lastRowFirstColumn="0" w:lastRowLastColumn="0"/>
            <w:tcW w:w="3960" w:type="dxa"/>
          </w:tcPr>
          <w:p w14:paraId="19837B80" w14:textId="77777777" w:rsidR="00C31925" w:rsidRPr="00292532" w:rsidRDefault="00C31925" w:rsidP="00C31925">
            <w:pPr>
              <w:rPr>
                <w:rFonts w:eastAsiaTheme="majorEastAsia" w:cstheme="majorBidi"/>
                <w:sz w:val="20"/>
                <w:szCs w:val="20"/>
                <w:lang w:val="pt-PT"/>
              </w:rPr>
            </w:pPr>
            <w:r w:rsidRPr="00292532">
              <w:rPr>
                <w:rFonts w:eastAsiaTheme="majorEastAsia" w:cstheme="majorBidi"/>
                <w:sz w:val="20"/>
                <w:szCs w:val="20"/>
                <w:lang w:val="pt-PT"/>
              </w:rPr>
              <w:t xml:space="preserve">Gestão dos impactos sociais </w:t>
            </w:r>
          </w:p>
        </w:tc>
        <w:tc>
          <w:tcPr>
            <w:tcW w:w="6390" w:type="dxa"/>
          </w:tcPr>
          <w:p w14:paraId="64259F96" w14:textId="5007D3EA" w:rsidR="00C31925" w:rsidRPr="00292532" w:rsidRDefault="00C31925" w:rsidP="0024772D">
            <w:pPr>
              <w:numPr>
                <w:ilvl w:val="0"/>
                <w:numId w:val="59"/>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Número de queixas e reclamações registadas </w:t>
            </w:r>
            <w:r w:rsidR="0005701F" w:rsidRPr="00292532">
              <w:rPr>
                <w:sz w:val="20"/>
                <w:szCs w:val="20"/>
                <w:lang w:val="pt-PT"/>
              </w:rPr>
              <w:t>vs.</w:t>
            </w:r>
            <w:r w:rsidRPr="00292532">
              <w:rPr>
                <w:sz w:val="20"/>
                <w:szCs w:val="20"/>
                <w:lang w:val="pt-PT"/>
              </w:rPr>
              <w:t xml:space="preserve"> resolvidas</w:t>
            </w:r>
          </w:p>
          <w:p w14:paraId="12681F47" w14:textId="77777777" w:rsidR="00C31925" w:rsidRPr="00292532" w:rsidRDefault="00C31925" w:rsidP="0024772D">
            <w:pPr>
              <w:numPr>
                <w:ilvl w:val="0"/>
                <w:numId w:val="59"/>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Número de famílias beneficiarias do </w:t>
            </w:r>
            <w:proofErr w:type="spellStart"/>
            <w:r w:rsidRPr="00292532">
              <w:rPr>
                <w:sz w:val="20"/>
                <w:szCs w:val="20"/>
                <w:lang w:val="pt-PT"/>
              </w:rPr>
              <w:t>Projecto</w:t>
            </w:r>
            <w:proofErr w:type="spellEnd"/>
            <w:r w:rsidRPr="00292532">
              <w:rPr>
                <w:sz w:val="20"/>
                <w:szCs w:val="20"/>
                <w:lang w:val="pt-PT"/>
              </w:rPr>
              <w:t xml:space="preserve"> e número de mulheres beneficiadas pelo </w:t>
            </w:r>
            <w:proofErr w:type="spellStart"/>
            <w:r w:rsidRPr="00292532">
              <w:rPr>
                <w:sz w:val="20"/>
                <w:szCs w:val="20"/>
                <w:lang w:val="pt-PT"/>
              </w:rPr>
              <w:t>Projecto</w:t>
            </w:r>
            <w:proofErr w:type="spellEnd"/>
          </w:p>
          <w:p w14:paraId="3F849BD8" w14:textId="77777777" w:rsidR="00C31925" w:rsidRPr="00292532" w:rsidRDefault="00C31925" w:rsidP="0024772D">
            <w:pPr>
              <w:numPr>
                <w:ilvl w:val="0"/>
                <w:numId w:val="59"/>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Reuniões de engajamento com as partes interessadas </w:t>
            </w:r>
          </w:p>
          <w:p w14:paraId="5D5B7805" w14:textId="77777777" w:rsidR="00C31925" w:rsidRPr="00292532" w:rsidRDefault="00C31925" w:rsidP="0024772D">
            <w:pPr>
              <w:numPr>
                <w:ilvl w:val="0"/>
                <w:numId w:val="59"/>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Postos de emprego criados na fase de construção</w:t>
            </w:r>
          </w:p>
          <w:p w14:paraId="19184DC2" w14:textId="77777777" w:rsidR="00C31925" w:rsidRPr="00292532" w:rsidRDefault="00C31925" w:rsidP="0024772D">
            <w:pPr>
              <w:numPr>
                <w:ilvl w:val="0"/>
                <w:numId w:val="59"/>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Volumes de águas residuais tratadas </w:t>
            </w:r>
          </w:p>
          <w:p w14:paraId="2D800D8F" w14:textId="77777777" w:rsidR="00C31925" w:rsidRDefault="00C31925" w:rsidP="0024772D">
            <w:pPr>
              <w:numPr>
                <w:ilvl w:val="0"/>
                <w:numId w:val="59"/>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Volumes de águas fornecidos </w:t>
            </w:r>
          </w:p>
          <w:p w14:paraId="546BBB34" w14:textId="595264FE" w:rsidR="0063557C" w:rsidRPr="00292532" w:rsidRDefault="0063557C" w:rsidP="0024772D">
            <w:pPr>
              <w:numPr>
                <w:ilvl w:val="0"/>
                <w:numId w:val="59"/>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Pr>
                <w:sz w:val="20"/>
                <w:szCs w:val="20"/>
                <w:lang w:val="pt-PT"/>
              </w:rPr>
              <w:t>Qualidade da água fornecida</w:t>
            </w:r>
          </w:p>
        </w:tc>
      </w:tr>
      <w:tr w:rsidR="00C31925" w:rsidRPr="00292532" w14:paraId="6BA45D44" w14:textId="77777777" w:rsidTr="00C319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tcPr>
          <w:p w14:paraId="5CB2EFEB" w14:textId="77777777" w:rsidR="00C31925" w:rsidRPr="00292532" w:rsidRDefault="00C31925" w:rsidP="00C31925">
            <w:pPr>
              <w:rPr>
                <w:rFonts w:eastAsiaTheme="majorEastAsia" w:cstheme="majorBidi"/>
                <w:sz w:val="20"/>
                <w:szCs w:val="20"/>
                <w:lang w:val="pt-PT"/>
              </w:rPr>
            </w:pPr>
            <w:r w:rsidRPr="00292532">
              <w:rPr>
                <w:rFonts w:eastAsiaTheme="majorEastAsia" w:cstheme="majorBidi"/>
                <w:sz w:val="20"/>
                <w:szCs w:val="20"/>
                <w:lang w:val="pt-PT"/>
              </w:rPr>
              <w:t>Gestão de mão-de-obra</w:t>
            </w:r>
          </w:p>
        </w:tc>
        <w:tc>
          <w:tcPr>
            <w:tcW w:w="6390" w:type="dxa"/>
          </w:tcPr>
          <w:p w14:paraId="57AAEC3A" w14:textId="77777777" w:rsidR="00C31925" w:rsidRPr="00292532" w:rsidRDefault="00C31925" w:rsidP="0024772D">
            <w:pPr>
              <w:numPr>
                <w:ilvl w:val="0"/>
                <w:numId w:val="58"/>
              </w:numPr>
              <w:contextualSpacing/>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Médias de horas trabalhadas e níveis salariais</w:t>
            </w:r>
          </w:p>
          <w:p w14:paraId="53354F73" w14:textId="77777777" w:rsidR="00C31925" w:rsidRPr="00292532" w:rsidRDefault="00C31925" w:rsidP="0024772D">
            <w:pPr>
              <w:numPr>
                <w:ilvl w:val="0"/>
                <w:numId w:val="58"/>
              </w:numPr>
              <w:contextualSpacing/>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Incidência de trabalho infantil</w:t>
            </w:r>
          </w:p>
          <w:p w14:paraId="3F35DB93" w14:textId="77777777" w:rsidR="00C31925" w:rsidRPr="00292532" w:rsidRDefault="00C31925" w:rsidP="0024772D">
            <w:pPr>
              <w:numPr>
                <w:ilvl w:val="0"/>
                <w:numId w:val="58"/>
              </w:numPr>
              <w:contextualSpacing/>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Incidência de reclamações disciplinares e de discriminação</w:t>
            </w:r>
          </w:p>
          <w:p w14:paraId="1035665B" w14:textId="77777777" w:rsidR="00C31925" w:rsidRPr="00292532" w:rsidRDefault="00C31925" w:rsidP="0024772D">
            <w:pPr>
              <w:numPr>
                <w:ilvl w:val="0"/>
                <w:numId w:val="58"/>
              </w:numPr>
              <w:contextualSpacing/>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Treinamento e capacitação</w:t>
            </w:r>
          </w:p>
        </w:tc>
      </w:tr>
      <w:tr w:rsidR="00C31925" w:rsidRPr="008D18CF" w14:paraId="0B813204" w14:textId="77777777" w:rsidTr="00C31925">
        <w:tc>
          <w:tcPr>
            <w:cnfStyle w:val="001000000000" w:firstRow="0" w:lastRow="0" w:firstColumn="1" w:lastColumn="0" w:oddVBand="0" w:evenVBand="0" w:oddHBand="0" w:evenHBand="0" w:firstRowFirstColumn="0" w:firstRowLastColumn="0" w:lastRowFirstColumn="0" w:lastRowLastColumn="0"/>
            <w:tcW w:w="3960" w:type="dxa"/>
          </w:tcPr>
          <w:p w14:paraId="1B9AD9FD" w14:textId="77777777" w:rsidR="00C31925" w:rsidRPr="00292532" w:rsidRDefault="00C31925" w:rsidP="00C31925">
            <w:pPr>
              <w:rPr>
                <w:rFonts w:eastAsiaTheme="majorEastAsia" w:cstheme="majorBidi"/>
                <w:sz w:val="20"/>
                <w:szCs w:val="20"/>
                <w:lang w:val="pt-PT"/>
              </w:rPr>
            </w:pPr>
            <w:r w:rsidRPr="00292532">
              <w:rPr>
                <w:rFonts w:eastAsiaTheme="majorEastAsia" w:cstheme="majorBidi"/>
                <w:sz w:val="20"/>
                <w:szCs w:val="20"/>
                <w:lang w:val="pt-PT"/>
              </w:rPr>
              <w:t xml:space="preserve">Saúde, segurança ocupacional </w:t>
            </w:r>
          </w:p>
        </w:tc>
        <w:tc>
          <w:tcPr>
            <w:tcW w:w="6390" w:type="dxa"/>
          </w:tcPr>
          <w:p w14:paraId="1EA98220" w14:textId="77777777" w:rsidR="00C31925" w:rsidRPr="00292532" w:rsidRDefault="00C31925" w:rsidP="0024772D">
            <w:pPr>
              <w:numPr>
                <w:ilvl w:val="0"/>
                <w:numId w:val="57"/>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Acidentes (lesões, doenças, danos materiais) e quase acidentes</w:t>
            </w:r>
          </w:p>
          <w:p w14:paraId="67F1B67A" w14:textId="77777777" w:rsidR="00C31925" w:rsidRPr="00292532" w:rsidRDefault="00C31925" w:rsidP="0024772D">
            <w:pPr>
              <w:numPr>
                <w:ilvl w:val="0"/>
                <w:numId w:val="57"/>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lastRenderedPageBreak/>
              <w:t>tempo perdido, frequência das lesões, incidência e índice de gravidade</w:t>
            </w:r>
          </w:p>
          <w:p w14:paraId="3EF250A5" w14:textId="77777777" w:rsidR="00C31925" w:rsidRPr="00292532" w:rsidRDefault="00C31925" w:rsidP="0024772D">
            <w:pPr>
              <w:numPr>
                <w:ilvl w:val="0"/>
                <w:numId w:val="57"/>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Situações de emergências </w:t>
            </w:r>
          </w:p>
          <w:p w14:paraId="710C9A1D" w14:textId="23EC301B" w:rsidR="00C31925" w:rsidRPr="00292532" w:rsidRDefault="00C31925" w:rsidP="0024772D">
            <w:pPr>
              <w:numPr>
                <w:ilvl w:val="0"/>
                <w:numId w:val="57"/>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Campanhas de consciencialização, treinamento e capacitação em </w:t>
            </w:r>
            <w:r w:rsidR="0005701F" w:rsidRPr="00292532">
              <w:rPr>
                <w:sz w:val="20"/>
                <w:szCs w:val="20"/>
                <w:lang w:val="pt-PT"/>
              </w:rPr>
              <w:t>Saúde</w:t>
            </w:r>
            <w:r w:rsidRPr="00292532">
              <w:rPr>
                <w:sz w:val="20"/>
                <w:szCs w:val="20"/>
                <w:lang w:val="pt-PT"/>
              </w:rPr>
              <w:t xml:space="preserve"> e Segurança ambiental </w:t>
            </w:r>
          </w:p>
        </w:tc>
      </w:tr>
      <w:tr w:rsidR="00C31925" w:rsidRPr="008D18CF" w14:paraId="700B0E6E" w14:textId="77777777" w:rsidTr="00C319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tcPr>
          <w:p w14:paraId="76687115" w14:textId="77777777" w:rsidR="00C31925" w:rsidRPr="00292532" w:rsidRDefault="00C31925" w:rsidP="00C31925">
            <w:pPr>
              <w:rPr>
                <w:rFonts w:eastAsiaTheme="majorEastAsia" w:cstheme="majorBidi"/>
                <w:sz w:val="20"/>
                <w:szCs w:val="20"/>
                <w:lang w:val="pt-PT"/>
              </w:rPr>
            </w:pPr>
            <w:r w:rsidRPr="00292532">
              <w:rPr>
                <w:rFonts w:eastAsiaTheme="majorEastAsia" w:cstheme="majorBidi"/>
                <w:sz w:val="20"/>
                <w:szCs w:val="20"/>
                <w:lang w:val="pt-PT"/>
              </w:rPr>
              <w:lastRenderedPageBreak/>
              <w:t>Saúde e segurança da comunidade</w:t>
            </w:r>
          </w:p>
        </w:tc>
        <w:tc>
          <w:tcPr>
            <w:tcW w:w="6390" w:type="dxa"/>
          </w:tcPr>
          <w:p w14:paraId="1FC72439" w14:textId="77777777" w:rsidR="00C31925" w:rsidRPr="00292532" w:rsidRDefault="00C31925" w:rsidP="0024772D">
            <w:pPr>
              <w:numPr>
                <w:ilvl w:val="0"/>
                <w:numId w:val="58"/>
              </w:numPr>
              <w:contextualSpacing/>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Incidentes rodoviários envolvendo membros da comunidade</w:t>
            </w:r>
          </w:p>
          <w:p w14:paraId="35C56045" w14:textId="77777777" w:rsidR="00C31925" w:rsidRPr="00292532" w:rsidRDefault="00C31925" w:rsidP="0024772D">
            <w:pPr>
              <w:numPr>
                <w:ilvl w:val="0"/>
                <w:numId w:val="58"/>
              </w:numPr>
              <w:contextualSpacing/>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Incidentes nas instalações do </w:t>
            </w:r>
            <w:proofErr w:type="spellStart"/>
            <w:r w:rsidRPr="00292532">
              <w:rPr>
                <w:sz w:val="20"/>
                <w:szCs w:val="20"/>
                <w:lang w:val="pt-PT"/>
              </w:rPr>
              <w:t>Projecto</w:t>
            </w:r>
            <w:proofErr w:type="spellEnd"/>
            <w:r w:rsidRPr="00292532">
              <w:rPr>
                <w:sz w:val="20"/>
                <w:szCs w:val="20"/>
                <w:lang w:val="pt-PT"/>
              </w:rPr>
              <w:t xml:space="preserve"> com impacto nas comunidades </w:t>
            </w:r>
          </w:p>
        </w:tc>
      </w:tr>
      <w:tr w:rsidR="00C65CB1" w:rsidRPr="008D18CF" w14:paraId="7BC76DAD" w14:textId="77777777" w:rsidTr="00C31925">
        <w:tc>
          <w:tcPr>
            <w:cnfStyle w:val="001000000000" w:firstRow="0" w:lastRow="0" w:firstColumn="1" w:lastColumn="0" w:oddVBand="0" w:evenVBand="0" w:oddHBand="0" w:evenHBand="0" w:firstRowFirstColumn="0" w:firstRowLastColumn="0" w:lastRowFirstColumn="0" w:lastRowLastColumn="0"/>
            <w:tcW w:w="3960" w:type="dxa"/>
          </w:tcPr>
          <w:p w14:paraId="226845A4" w14:textId="2F2A4B81" w:rsidR="00C65CB1" w:rsidRPr="00292532" w:rsidRDefault="00292532" w:rsidP="00C31925">
            <w:pPr>
              <w:rPr>
                <w:rFonts w:eastAsiaTheme="majorEastAsia" w:cstheme="majorBidi"/>
                <w:sz w:val="20"/>
                <w:szCs w:val="20"/>
                <w:lang w:val="pt-PT"/>
              </w:rPr>
            </w:pPr>
            <w:r w:rsidRPr="00292532">
              <w:rPr>
                <w:rFonts w:eastAsiaTheme="majorEastAsia" w:cstheme="majorBidi"/>
                <w:sz w:val="20"/>
                <w:szCs w:val="20"/>
                <w:lang w:val="pt-PT"/>
              </w:rPr>
              <w:t>Implementação</w:t>
            </w:r>
            <w:r w:rsidR="00C65CB1" w:rsidRPr="00292532">
              <w:rPr>
                <w:rFonts w:eastAsiaTheme="majorEastAsia" w:cstheme="majorBidi"/>
                <w:sz w:val="20"/>
                <w:szCs w:val="20"/>
                <w:lang w:val="pt-PT"/>
              </w:rPr>
              <w:t xml:space="preserve"> do PEPI e do Mecanismo de Queixas e </w:t>
            </w:r>
            <w:r w:rsidRPr="00292532">
              <w:rPr>
                <w:rFonts w:eastAsiaTheme="majorEastAsia" w:cstheme="majorBidi"/>
                <w:sz w:val="20"/>
                <w:szCs w:val="20"/>
                <w:lang w:val="pt-PT"/>
              </w:rPr>
              <w:t>Reclamações</w:t>
            </w:r>
          </w:p>
        </w:tc>
        <w:tc>
          <w:tcPr>
            <w:tcW w:w="6390" w:type="dxa"/>
          </w:tcPr>
          <w:p w14:paraId="5CC18C8A" w14:textId="77777777" w:rsidR="00C65CB1" w:rsidRPr="00292532" w:rsidRDefault="00C65CB1" w:rsidP="0024772D">
            <w:pPr>
              <w:numPr>
                <w:ilvl w:val="0"/>
                <w:numId w:val="58"/>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Número de encontros realizados/Planificados</w:t>
            </w:r>
          </w:p>
          <w:p w14:paraId="15446445" w14:textId="0DBE5762" w:rsidR="00C65CB1" w:rsidRPr="00292532" w:rsidRDefault="00C65CB1" w:rsidP="0024772D">
            <w:pPr>
              <w:numPr>
                <w:ilvl w:val="0"/>
                <w:numId w:val="58"/>
              </w:numPr>
              <w:contextualSpacing/>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Número de queixas dos trabalhadores levantadas e resolvidas</w:t>
            </w:r>
          </w:p>
        </w:tc>
      </w:tr>
    </w:tbl>
    <w:p w14:paraId="680474B6" w14:textId="62EFB301" w:rsidR="00C31925" w:rsidRPr="00292532" w:rsidRDefault="00C31925" w:rsidP="00C31925">
      <w:pPr>
        <w:rPr>
          <w:lang w:val="pt-PT" w:eastAsia="ja-JP"/>
        </w:rPr>
      </w:pPr>
      <w:r w:rsidRPr="00292532">
        <w:rPr>
          <w:lang w:val="pt-PT" w:eastAsia="ja-JP"/>
        </w:rPr>
        <w:t>O progresso na implementação do Plano de Compromisso Ambiental e Social (PCAS) deverá ser compilado e consolidado pela</w:t>
      </w:r>
      <w:r w:rsidR="00C65CB1" w:rsidRPr="00292532">
        <w:rPr>
          <w:lang w:val="pt-PT" w:eastAsia="ja-JP"/>
        </w:rPr>
        <w:t>s equipas das salvaguardas das</w:t>
      </w:r>
      <w:r w:rsidRPr="00292532">
        <w:rPr>
          <w:lang w:val="pt-PT" w:eastAsia="ja-JP"/>
        </w:rPr>
        <w:t xml:space="preserve"> </w:t>
      </w:r>
      <w:proofErr w:type="spellStart"/>
      <w:r w:rsidRPr="00292532">
        <w:rPr>
          <w:lang w:val="pt-PT" w:eastAsia="ja-JP"/>
        </w:rPr>
        <w:t>UIP</w:t>
      </w:r>
      <w:r w:rsidR="00C65CB1" w:rsidRPr="00292532">
        <w:rPr>
          <w:lang w:val="pt-PT" w:eastAsia="ja-JP"/>
        </w:rPr>
        <w:t>s</w:t>
      </w:r>
      <w:proofErr w:type="spellEnd"/>
      <w:r w:rsidR="00C65CB1" w:rsidRPr="00292532">
        <w:rPr>
          <w:lang w:val="pt-PT" w:eastAsia="ja-JP"/>
        </w:rPr>
        <w:t xml:space="preserve"> </w:t>
      </w:r>
      <w:r w:rsidRPr="00292532">
        <w:rPr>
          <w:lang w:val="pt-PT" w:eastAsia="ja-JP"/>
        </w:rPr>
        <w:t>AIAS</w:t>
      </w:r>
      <w:r w:rsidR="00C65CB1" w:rsidRPr="00292532">
        <w:rPr>
          <w:lang w:val="pt-PT" w:eastAsia="ja-JP"/>
        </w:rPr>
        <w:t xml:space="preserve"> e DNAAS</w:t>
      </w:r>
      <w:r w:rsidRPr="00292532">
        <w:rPr>
          <w:lang w:val="pt-PT" w:eastAsia="ja-JP"/>
        </w:rPr>
        <w:t xml:space="preserve"> e enviado periodicamente ao Coordenador do </w:t>
      </w:r>
      <w:proofErr w:type="spellStart"/>
      <w:r w:rsidRPr="00292532">
        <w:rPr>
          <w:lang w:val="pt-PT" w:eastAsia="ja-JP"/>
        </w:rPr>
        <w:t>Projecto</w:t>
      </w:r>
      <w:proofErr w:type="spellEnd"/>
      <w:r w:rsidRPr="00292532">
        <w:rPr>
          <w:lang w:val="pt-PT" w:eastAsia="ja-JP"/>
        </w:rPr>
        <w:t xml:space="preserve">, que por sua vez deverá submeter o relatório ao Banco Mundial. </w:t>
      </w:r>
    </w:p>
    <w:p w14:paraId="28B5F6B9" w14:textId="1224C52A" w:rsidR="00CD2106" w:rsidRPr="00292532" w:rsidRDefault="00C31925" w:rsidP="00C31925">
      <w:pPr>
        <w:rPr>
          <w:lang w:val="pt-PT" w:eastAsia="ja-JP"/>
        </w:rPr>
      </w:pPr>
      <w:bookmarkStart w:id="434" w:name="_Hlk75450838"/>
      <w:r w:rsidRPr="00292532">
        <w:rPr>
          <w:lang w:val="pt-PT" w:eastAsia="ja-JP"/>
        </w:rPr>
        <w:t xml:space="preserve">Cabe igualmente às </w:t>
      </w:r>
      <w:proofErr w:type="spellStart"/>
      <w:r w:rsidRPr="00292532">
        <w:rPr>
          <w:lang w:val="pt-PT" w:eastAsia="ja-JP"/>
        </w:rPr>
        <w:t>UIPs</w:t>
      </w:r>
      <w:proofErr w:type="spellEnd"/>
      <w:r w:rsidRPr="00292532">
        <w:rPr>
          <w:lang w:val="pt-PT" w:eastAsia="ja-JP"/>
        </w:rPr>
        <w:t xml:space="preserve"> (AIAS e DNAAS) a elaboração de relatórios de desempenho ambientais e sociais sobre a implementação das medidas propostas no QGAS, QPR</w:t>
      </w:r>
      <w:r w:rsidR="00C65CB1" w:rsidRPr="00292532">
        <w:rPr>
          <w:lang w:val="pt-PT" w:eastAsia="ja-JP"/>
        </w:rPr>
        <w:t xml:space="preserve">, no PGAS </w:t>
      </w:r>
      <w:r w:rsidR="00292532" w:rsidRPr="00292532">
        <w:rPr>
          <w:lang w:val="pt-PT" w:eastAsia="ja-JP"/>
        </w:rPr>
        <w:t>padrão</w:t>
      </w:r>
      <w:r w:rsidR="00C65CB1" w:rsidRPr="00292532">
        <w:rPr>
          <w:lang w:val="pt-PT" w:eastAsia="ja-JP"/>
        </w:rPr>
        <w:t xml:space="preserve">, nos Planos e Programas complementares ao PGAS (Anexos 5 – 12) </w:t>
      </w:r>
      <w:r w:rsidRPr="00292532">
        <w:rPr>
          <w:lang w:val="pt-PT" w:eastAsia="ja-JP"/>
        </w:rPr>
        <w:t xml:space="preserve">e nos vários </w:t>
      </w:r>
      <w:r w:rsidR="001978AF" w:rsidRPr="00292532">
        <w:rPr>
          <w:lang w:val="pt-PT" w:eastAsia="ja-JP"/>
        </w:rPr>
        <w:t>PGAS</w:t>
      </w:r>
      <w:r w:rsidRPr="00292532">
        <w:rPr>
          <w:lang w:val="pt-PT" w:eastAsia="ja-JP"/>
        </w:rPr>
        <w:t xml:space="preserve"> a sempre desenvolvidos para os subprojectos</w:t>
      </w:r>
      <w:r w:rsidR="00CD2106" w:rsidRPr="00292532">
        <w:rPr>
          <w:lang w:val="pt-PT" w:eastAsia="ja-JP"/>
        </w:rPr>
        <w:t xml:space="preserve"> assim como futuros Planos de </w:t>
      </w:r>
      <w:proofErr w:type="spellStart"/>
      <w:r w:rsidR="00CD2106" w:rsidRPr="00292532">
        <w:rPr>
          <w:lang w:val="pt-PT" w:eastAsia="ja-JP"/>
        </w:rPr>
        <w:t>Acç</w:t>
      </w:r>
      <w:r w:rsidR="00292532">
        <w:rPr>
          <w:lang w:val="pt-PT" w:eastAsia="ja-JP"/>
        </w:rPr>
        <w:t>ã</w:t>
      </w:r>
      <w:r w:rsidR="00CD2106" w:rsidRPr="00292532">
        <w:rPr>
          <w:lang w:val="pt-PT" w:eastAsia="ja-JP"/>
        </w:rPr>
        <w:t>o</w:t>
      </w:r>
      <w:proofErr w:type="spellEnd"/>
      <w:r w:rsidR="00CD2106" w:rsidRPr="00292532">
        <w:rPr>
          <w:lang w:val="pt-PT" w:eastAsia="ja-JP"/>
        </w:rPr>
        <w:t xml:space="preserve"> de Reassentamento</w:t>
      </w:r>
      <w:r w:rsidRPr="00292532">
        <w:rPr>
          <w:lang w:val="pt-PT" w:eastAsia="ja-JP"/>
        </w:rPr>
        <w:t>.</w:t>
      </w:r>
      <w:bookmarkEnd w:id="434"/>
      <w:r w:rsidR="00CD2106" w:rsidRPr="00292532">
        <w:rPr>
          <w:lang w:val="pt-PT" w:eastAsia="ja-JP"/>
        </w:rPr>
        <w:t xml:space="preserve"> O grau de implementação do PEPI deverá e descrito nos relatórios de pr</w:t>
      </w:r>
      <w:r w:rsidR="00292532">
        <w:rPr>
          <w:lang w:val="pt-PT" w:eastAsia="ja-JP"/>
        </w:rPr>
        <w:t>o</w:t>
      </w:r>
      <w:r w:rsidR="00CD2106" w:rsidRPr="00292532">
        <w:rPr>
          <w:lang w:val="pt-PT" w:eastAsia="ja-JP"/>
        </w:rPr>
        <w:t>gresso.</w:t>
      </w:r>
    </w:p>
    <w:p w14:paraId="0DFE5964" w14:textId="6E9A1440" w:rsidR="00C31925" w:rsidRPr="00292532" w:rsidRDefault="00C31925" w:rsidP="00C31925">
      <w:pPr>
        <w:rPr>
          <w:lang w:val="pt-PT" w:eastAsia="ja-JP"/>
        </w:rPr>
      </w:pPr>
      <w:r w:rsidRPr="00292532">
        <w:rPr>
          <w:lang w:val="pt-PT" w:eastAsia="ja-JP"/>
        </w:rPr>
        <w:t xml:space="preserve"> A</w:t>
      </w:r>
      <w:r w:rsidR="0005701F" w:rsidRPr="00292532">
        <w:rPr>
          <w:lang w:val="pt-PT" w:eastAsia="ja-JP"/>
        </w:rPr>
        <w:t>s</w:t>
      </w:r>
      <w:r w:rsidRPr="00292532">
        <w:rPr>
          <w:lang w:val="pt-PT" w:eastAsia="ja-JP"/>
        </w:rPr>
        <w:t xml:space="preserve"> </w:t>
      </w:r>
      <w:proofErr w:type="spellStart"/>
      <w:r w:rsidRPr="00292532">
        <w:rPr>
          <w:lang w:val="pt-PT" w:eastAsia="ja-JP"/>
        </w:rPr>
        <w:t>UIPs</w:t>
      </w:r>
      <w:proofErr w:type="spellEnd"/>
      <w:r w:rsidRPr="00292532">
        <w:rPr>
          <w:lang w:val="pt-PT" w:eastAsia="ja-JP"/>
        </w:rPr>
        <w:t xml:space="preserve"> serão apoiadas pelas Unidades de Técnicas Provinciais na compilação dos relatórios de progresso. É importante realçar que as </w:t>
      </w:r>
      <w:r w:rsidR="00381467" w:rsidRPr="00292532">
        <w:rPr>
          <w:lang w:val="pt-PT" w:eastAsia="ja-JP"/>
        </w:rPr>
        <w:t>contrata</w:t>
      </w:r>
      <w:r w:rsidRPr="00292532">
        <w:rPr>
          <w:lang w:val="pt-PT" w:eastAsia="ja-JP"/>
        </w:rPr>
        <w:t xml:space="preserve">das deverão submeter relatórios de desempenho ambientais e sociais, cujo </w:t>
      </w:r>
      <w:proofErr w:type="spellStart"/>
      <w:r w:rsidRPr="00292532">
        <w:rPr>
          <w:lang w:val="pt-PT" w:eastAsia="ja-JP"/>
        </w:rPr>
        <w:t>objecto</w:t>
      </w:r>
      <w:proofErr w:type="spellEnd"/>
      <w:r w:rsidRPr="00292532">
        <w:rPr>
          <w:lang w:val="pt-PT" w:eastAsia="ja-JP"/>
        </w:rPr>
        <w:t xml:space="preserve"> serão os compromissos de </w:t>
      </w:r>
      <w:r w:rsidR="001978AF" w:rsidRPr="00292532">
        <w:rPr>
          <w:lang w:val="pt-PT" w:eastAsia="ja-JP"/>
        </w:rPr>
        <w:t>PGAS</w:t>
      </w:r>
      <w:r w:rsidRPr="00292532">
        <w:rPr>
          <w:lang w:val="pt-PT" w:eastAsia="ja-JP"/>
        </w:rPr>
        <w:t xml:space="preserve"> que estarão sobre a sua responsabilidade.</w:t>
      </w:r>
    </w:p>
    <w:p w14:paraId="71B7FAB0" w14:textId="2807BC10" w:rsidR="00C31925" w:rsidRPr="00292532" w:rsidRDefault="00C31925" w:rsidP="00C31925">
      <w:pPr>
        <w:rPr>
          <w:lang w:val="pt-PT" w:eastAsia="ja-JP"/>
        </w:rPr>
      </w:pPr>
      <w:r w:rsidRPr="00292532">
        <w:rPr>
          <w:lang w:val="pt-PT" w:eastAsia="ja-JP"/>
        </w:rPr>
        <w:t xml:space="preserve">A equipa de salvaguardas será igualmente responsável por liderar a compilação dos relatórios de desempenho ambiental e social a serem submetidos às autoridades ambientais, nomeadamente, a Agência Nacional para o Controlo de Qualidade Ambiental (AQUA) e Serviços Provinciais de Ambiente (SPA) e outras entidades a serem definidas. </w:t>
      </w:r>
      <w:bookmarkStart w:id="435" w:name="_Hlk75445694"/>
      <w:r w:rsidRPr="00292532">
        <w:rPr>
          <w:lang w:val="pt-PT" w:eastAsia="ja-JP"/>
        </w:rPr>
        <w:t>Estes relatórios serão submetidos trimestralmente</w:t>
      </w:r>
      <w:r w:rsidR="005706BC" w:rsidRPr="00292532">
        <w:rPr>
          <w:lang w:val="pt-PT" w:eastAsia="ja-JP"/>
        </w:rPr>
        <w:t xml:space="preserve"> ou semestralmente dependendo da necessidade definida no </w:t>
      </w:r>
      <w:proofErr w:type="spellStart"/>
      <w:r w:rsidR="005706BC" w:rsidRPr="00292532">
        <w:rPr>
          <w:lang w:val="pt-PT" w:eastAsia="ja-JP"/>
        </w:rPr>
        <w:t>acto</w:t>
      </w:r>
      <w:proofErr w:type="spellEnd"/>
      <w:r w:rsidR="005706BC" w:rsidRPr="00292532">
        <w:rPr>
          <w:lang w:val="pt-PT" w:eastAsia="ja-JP"/>
        </w:rPr>
        <w:t xml:space="preserve"> da definição do âmbito da </w:t>
      </w:r>
      <w:proofErr w:type="spellStart"/>
      <w:r w:rsidR="005706BC" w:rsidRPr="00292532">
        <w:rPr>
          <w:lang w:val="pt-PT" w:eastAsia="ja-JP"/>
        </w:rPr>
        <w:t>actividade</w:t>
      </w:r>
      <w:proofErr w:type="spellEnd"/>
      <w:r w:rsidRPr="00292532">
        <w:rPr>
          <w:lang w:val="pt-PT" w:eastAsia="ja-JP"/>
        </w:rPr>
        <w:t xml:space="preserve"> e obedecerão </w:t>
      </w:r>
      <w:r w:rsidR="00BD18C5" w:rsidRPr="00292532">
        <w:rPr>
          <w:lang w:val="pt-PT" w:eastAsia="ja-JP"/>
        </w:rPr>
        <w:t xml:space="preserve">um modelo a ser proposto com base no âmbito dos PGAS e Relatórios de Boas Práticas Ambientais e serem aprovados pelo MTA e alinhado, conforme </w:t>
      </w:r>
      <w:r w:rsidR="00292532" w:rsidRPr="00292532">
        <w:rPr>
          <w:lang w:val="pt-PT" w:eastAsia="ja-JP"/>
        </w:rPr>
        <w:t>relevante</w:t>
      </w:r>
      <w:r w:rsidR="00BD18C5" w:rsidRPr="00292532">
        <w:rPr>
          <w:lang w:val="pt-PT" w:eastAsia="ja-JP"/>
        </w:rPr>
        <w:t xml:space="preserve">, ao </w:t>
      </w:r>
      <w:r w:rsidRPr="00292532">
        <w:rPr>
          <w:lang w:val="pt-PT" w:eastAsia="ja-JP"/>
        </w:rPr>
        <w:t xml:space="preserve">modelo proposto no </w:t>
      </w:r>
      <w:r w:rsidRPr="00292532">
        <w:rPr>
          <w:b/>
          <w:bCs/>
          <w:lang w:val="pt-PT" w:eastAsia="ja-JP"/>
        </w:rPr>
        <w:t>Anexo 3</w:t>
      </w:r>
      <w:r w:rsidRPr="00292532">
        <w:rPr>
          <w:lang w:val="pt-PT" w:eastAsia="ja-JP"/>
        </w:rPr>
        <w:t xml:space="preserve">. </w:t>
      </w:r>
      <w:bookmarkEnd w:id="435"/>
    </w:p>
    <w:p w14:paraId="3A1915F8" w14:textId="55038E91" w:rsidR="00C31925" w:rsidRPr="00292532" w:rsidRDefault="00C31925" w:rsidP="00C31925">
      <w:pPr>
        <w:rPr>
          <w:lang w:val="pt-PT" w:eastAsia="ja-JP"/>
        </w:rPr>
      </w:pPr>
      <w:r w:rsidRPr="00292532">
        <w:rPr>
          <w:lang w:val="pt-PT" w:eastAsia="ja-JP"/>
        </w:rPr>
        <w:t xml:space="preserve">Serão igualmente elaborados relatórios anuais de desempenho ambiental e social. Estes relatórios serão preparados com o </w:t>
      </w:r>
      <w:proofErr w:type="spellStart"/>
      <w:r w:rsidRPr="00292532">
        <w:rPr>
          <w:lang w:val="pt-PT" w:eastAsia="ja-JP"/>
        </w:rPr>
        <w:t>objectivo</w:t>
      </w:r>
      <w:proofErr w:type="spellEnd"/>
      <w:r w:rsidRPr="00292532">
        <w:rPr>
          <w:lang w:val="pt-PT" w:eastAsia="ja-JP"/>
        </w:rPr>
        <w:t xml:space="preserve"> de apresentar um resumo de todas as </w:t>
      </w:r>
      <w:proofErr w:type="spellStart"/>
      <w:r w:rsidRPr="00292532">
        <w:rPr>
          <w:lang w:val="pt-PT" w:eastAsia="ja-JP"/>
        </w:rPr>
        <w:t>actividades</w:t>
      </w:r>
      <w:proofErr w:type="spellEnd"/>
      <w:r w:rsidRPr="00292532">
        <w:rPr>
          <w:lang w:val="pt-PT" w:eastAsia="ja-JP"/>
        </w:rPr>
        <w:t xml:space="preserve"> inerentes à implementação dos compromissos de gestão ambiental e social de cada subprojecto, avaliar o desempenho global dos subprojectos em matérias de gestão ambiental e social, partilhar lições aprendidas e propor melhorias. Novamente, o relatório de desempenho ambiental e social anual será da responsabilidade das </w:t>
      </w:r>
      <w:proofErr w:type="spellStart"/>
      <w:r w:rsidRPr="00292532">
        <w:rPr>
          <w:lang w:val="pt-PT" w:eastAsia="ja-JP"/>
        </w:rPr>
        <w:t>UIPs</w:t>
      </w:r>
      <w:proofErr w:type="spellEnd"/>
      <w:r w:rsidR="00C65CB1" w:rsidRPr="00292532">
        <w:rPr>
          <w:lang w:val="pt-PT" w:eastAsia="ja-JP"/>
        </w:rPr>
        <w:t xml:space="preserve"> AIAS e DNAAS</w:t>
      </w:r>
      <w:r w:rsidRPr="00292532">
        <w:rPr>
          <w:lang w:val="pt-PT" w:eastAsia="ja-JP"/>
        </w:rPr>
        <w:t xml:space="preserve">, com o apoio das equipas de salvaguardas das </w:t>
      </w:r>
      <w:proofErr w:type="spellStart"/>
      <w:r w:rsidRPr="00292532">
        <w:rPr>
          <w:lang w:val="pt-PT" w:eastAsia="ja-JP"/>
        </w:rPr>
        <w:t>UTPs</w:t>
      </w:r>
      <w:proofErr w:type="spellEnd"/>
      <w:r w:rsidRPr="00292532">
        <w:rPr>
          <w:lang w:val="pt-PT" w:eastAsia="ja-JP"/>
        </w:rPr>
        <w:t xml:space="preserve">. </w:t>
      </w:r>
    </w:p>
    <w:p w14:paraId="6F6C9173" w14:textId="328C635E" w:rsidR="00C31925" w:rsidRPr="00292532" w:rsidRDefault="00C31925" w:rsidP="00C31925">
      <w:pPr>
        <w:rPr>
          <w:lang w:val="pt-PT" w:eastAsia="ja-JP"/>
        </w:rPr>
      </w:pPr>
      <w:r w:rsidRPr="00292532">
        <w:rPr>
          <w:lang w:val="pt-PT" w:eastAsia="ja-JP"/>
        </w:rPr>
        <w:t xml:space="preserve">As </w:t>
      </w:r>
      <w:proofErr w:type="spellStart"/>
      <w:r w:rsidRPr="00292532">
        <w:rPr>
          <w:lang w:val="pt-PT" w:eastAsia="ja-JP"/>
        </w:rPr>
        <w:t>UIPs</w:t>
      </w:r>
      <w:proofErr w:type="spellEnd"/>
      <w:r w:rsidRPr="00292532">
        <w:rPr>
          <w:lang w:val="pt-PT" w:eastAsia="ja-JP"/>
        </w:rPr>
        <w:t xml:space="preserve"> deverão assegurar o engajamento necessário com as autoridades relevantes (MTA, </w:t>
      </w:r>
      <w:proofErr w:type="spellStart"/>
      <w:r w:rsidRPr="00292532">
        <w:rPr>
          <w:lang w:val="pt-PT" w:eastAsia="ja-JP"/>
        </w:rPr>
        <w:t>SPAs</w:t>
      </w:r>
      <w:proofErr w:type="spellEnd"/>
      <w:r w:rsidRPr="00292532">
        <w:rPr>
          <w:lang w:val="pt-PT" w:eastAsia="ja-JP"/>
        </w:rPr>
        <w:t>) durante a elaboração destes relatórios.</w:t>
      </w:r>
    </w:p>
    <w:p w14:paraId="3314D81F" w14:textId="77777777" w:rsidR="00C31925" w:rsidRPr="00292532" w:rsidRDefault="00C31925" w:rsidP="00C31925">
      <w:pPr>
        <w:rPr>
          <w:lang w:val="pt-PT" w:eastAsia="ja-JP"/>
        </w:rPr>
      </w:pPr>
      <w:r w:rsidRPr="00292532">
        <w:rPr>
          <w:lang w:val="pt-PT" w:eastAsia="ja-JP"/>
        </w:rPr>
        <w:lastRenderedPageBreak/>
        <w:t xml:space="preserve">A abordagem e modelo de relatórios a serem </w:t>
      </w:r>
      <w:proofErr w:type="spellStart"/>
      <w:r w:rsidRPr="00292532">
        <w:rPr>
          <w:lang w:val="pt-PT" w:eastAsia="ja-JP"/>
        </w:rPr>
        <w:t>adoptados</w:t>
      </w:r>
      <w:proofErr w:type="spellEnd"/>
      <w:r w:rsidRPr="00292532">
        <w:rPr>
          <w:lang w:val="pt-PT" w:eastAsia="ja-JP"/>
        </w:rPr>
        <w:t xml:space="preserve"> pelos </w:t>
      </w:r>
      <w:proofErr w:type="spellStart"/>
      <w:r w:rsidRPr="00292532">
        <w:rPr>
          <w:lang w:val="pt-PT" w:eastAsia="ja-JP"/>
        </w:rPr>
        <w:t>Projectos</w:t>
      </w:r>
      <w:proofErr w:type="spellEnd"/>
      <w:r w:rsidRPr="00292532">
        <w:rPr>
          <w:lang w:val="pt-PT" w:eastAsia="ja-JP"/>
        </w:rPr>
        <w:t xml:space="preserve"> obedecem o formato já definido em </w:t>
      </w:r>
      <w:proofErr w:type="spellStart"/>
      <w:r w:rsidRPr="00292532">
        <w:rPr>
          <w:lang w:val="pt-PT" w:eastAsia="ja-JP"/>
        </w:rPr>
        <w:t>projectos</w:t>
      </w:r>
      <w:proofErr w:type="spellEnd"/>
      <w:r w:rsidRPr="00292532">
        <w:rPr>
          <w:lang w:val="pt-PT" w:eastAsia="ja-JP"/>
        </w:rPr>
        <w:t xml:space="preserve"> anteriores, nomeadamente do </w:t>
      </w:r>
      <w:proofErr w:type="spellStart"/>
      <w:r w:rsidRPr="00292532">
        <w:rPr>
          <w:lang w:val="pt-PT" w:eastAsia="ja-JP"/>
        </w:rPr>
        <w:t>Projecto</w:t>
      </w:r>
      <w:proofErr w:type="spellEnd"/>
      <w:r w:rsidRPr="00292532">
        <w:rPr>
          <w:lang w:val="pt-PT" w:eastAsia="ja-JP"/>
        </w:rPr>
        <w:t xml:space="preserve"> de Recuperação de Resiliência de Emergência para as Regiões Norte e Centro. </w:t>
      </w:r>
    </w:p>
    <w:p w14:paraId="41B3F41B" w14:textId="4E143120" w:rsidR="00C31925" w:rsidRPr="00292532" w:rsidRDefault="00C31925" w:rsidP="00C31925">
      <w:pPr>
        <w:rPr>
          <w:lang w:val="pt-PT" w:eastAsia="ja-JP"/>
        </w:rPr>
      </w:pPr>
      <w:r w:rsidRPr="00292532">
        <w:rPr>
          <w:lang w:val="pt-PT" w:eastAsia="ja-JP"/>
        </w:rPr>
        <w:t>Assim espera-se garantir uma consistência no tratamento dos dados e análise ao banco e minimizará complexidade no entendimento dos requisitos de relatórios por parte da equipa responsável pelos relatórios.</w:t>
      </w:r>
    </w:p>
    <w:p w14:paraId="77AD6AF8" w14:textId="5137603A" w:rsidR="00C6730F" w:rsidRPr="00292532" w:rsidRDefault="00C6730F" w:rsidP="00C31925">
      <w:pPr>
        <w:rPr>
          <w:lang w:val="pt-PT" w:eastAsia="ja-JP"/>
        </w:rPr>
      </w:pPr>
      <w:r w:rsidRPr="00292532">
        <w:rPr>
          <w:lang w:val="pt-PT" w:eastAsia="ja-JP"/>
        </w:rPr>
        <w:t xml:space="preserve">Alinhado com o já definido no PEPI, em relação a monitoria externa, a UIP irá contratar uma entidade externa para uma revisão operacional independente de monitorias e avaliações da implementação, verificação de todos os resultados do </w:t>
      </w:r>
      <w:proofErr w:type="spellStart"/>
      <w:r w:rsidRPr="00292532">
        <w:rPr>
          <w:lang w:val="pt-PT" w:eastAsia="ja-JP"/>
        </w:rPr>
        <w:t>projecto</w:t>
      </w:r>
      <w:proofErr w:type="spellEnd"/>
      <w:r w:rsidRPr="00292532">
        <w:rPr>
          <w:lang w:val="pt-PT" w:eastAsia="ja-JP"/>
        </w:rPr>
        <w:t xml:space="preserve">, a aderência em todos os níveis de implementação aos procedimentos estabelecidos no Manual de Operações do </w:t>
      </w:r>
      <w:proofErr w:type="spellStart"/>
      <w:r w:rsidRPr="00292532">
        <w:rPr>
          <w:lang w:val="pt-PT" w:eastAsia="ja-JP"/>
        </w:rPr>
        <w:t>Projecto</w:t>
      </w:r>
      <w:proofErr w:type="spellEnd"/>
      <w:r w:rsidRPr="00292532">
        <w:rPr>
          <w:lang w:val="pt-PT" w:eastAsia="ja-JP"/>
        </w:rPr>
        <w:t xml:space="preserve"> e, que irá concomitantemente monitorar e avaliar a implementação do PEPI. Os termos para realização da monitoria e avaliação externa serão acordados com o Banco Mundial e relatórios de monitoramento serão compartilhados.</w:t>
      </w:r>
    </w:p>
    <w:p w14:paraId="6CF536A9" w14:textId="69C4A192" w:rsidR="00C31925" w:rsidRPr="00292532" w:rsidRDefault="00C65CB1" w:rsidP="00C31925">
      <w:pPr>
        <w:pStyle w:val="Heading2"/>
      </w:pPr>
      <w:bookmarkStart w:id="436" w:name="_Toc78435391"/>
      <w:bookmarkStart w:id="437" w:name="_Toc78435392"/>
      <w:bookmarkStart w:id="438" w:name="_Toc80380063"/>
      <w:bookmarkEnd w:id="436"/>
      <w:bookmarkEnd w:id="437"/>
      <w:proofErr w:type="spellStart"/>
      <w:r w:rsidRPr="00292532">
        <w:t>Inspecç</w:t>
      </w:r>
      <w:r w:rsidR="00292532">
        <w:t>õ</w:t>
      </w:r>
      <w:r w:rsidRPr="00292532">
        <w:t>es</w:t>
      </w:r>
      <w:proofErr w:type="spellEnd"/>
      <w:r w:rsidRPr="00292532">
        <w:t xml:space="preserve"> e </w:t>
      </w:r>
      <w:r w:rsidR="00C31925" w:rsidRPr="00292532">
        <w:t>Auditoria</w:t>
      </w:r>
      <w:r w:rsidRPr="00292532">
        <w:t>s</w:t>
      </w:r>
      <w:r w:rsidR="00C31925" w:rsidRPr="00292532">
        <w:t xml:space="preserve"> </w:t>
      </w:r>
      <w:r w:rsidRPr="00292532">
        <w:t>A</w:t>
      </w:r>
      <w:r w:rsidR="00C31925" w:rsidRPr="00292532">
        <w:t xml:space="preserve">mbiental e </w:t>
      </w:r>
      <w:r w:rsidRPr="00292532">
        <w:t>S</w:t>
      </w:r>
      <w:r w:rsidR="00C31925" w:rsidRPr="00292532">
        <w:t>ocial</w:t>
      </w:r>
      <w:bookmarkEnd w:id="438"/>
    </w:p>
    <w:p w14:paraId="5A89261B" w14:textId="77777777" w:rsidR="00C65CB1" w:rsidRPr="00292532" w:rsidRDefault="00C65CB1" w:rsidP="00C65CB1">
      <w:pPr>
        <w:rPr>
          <w:lang w:val="pt-PT" w:eastAsia="ja-JP"/>
        </w:rPr>
      </w:pPr>
      <w:bookmarkStart w:id="439" w:name="_Hlk75450964"/>
      <w:proofErr w:type="spellStart"/>
      <w:r w:rsidRPr="00292532">
        <w:rPr>
          <w:lang w:val="pt-PT" w:eastAsia="ja-JP"/>
        </w:rPr>
        <w:t>Inspecções</w:t>
      </w:r>
      <w:proofErr w:type="spellEnd"/>
      <w:r w:rsidRPr="00292532">
        <w:rPr>
          <w:lang w:val="pt-PT" w:eastAsia="ja-JP"/>
        </w:rPr>
        <w:t xml:space="preserve"> ambientais regulares no local das </w:t>
      </w:r>
      <w:proofErr w:type="spellStart"/>
      <w:r w:rsidRPr="00292532">
        <w:rPr>
          <w:lang w:val="pt-PT" w:eastAsia="ja-JP"/>
        </w:rPr>
        <w:t>actividades</w:t>
      </w:r>
      <w:proofErr w:type="spellEnd"/>
      <w:r w:rsidRPr="00292532">
        <w:rPr>
          <w:lang w:val="pt-PT" w:eastAsia="ja-JP"/>
        </w:rPr>
        <w:t xml:space="preserve"> realizar-se-ão com vista a verificar no local a implementação das medidas de mitigação contidas nos PGASS, QGAS, QPR e/ou PAR. Estas </w:t>
      </w:r>
      <w:proofErr w:type="spellStart"/>
      <w:r w:rsidRPr="00292532">
        <w:rPr>
          <w:lang w:val="pt-PT" w:eastAsia="ja-JP"/>
        </w:rPr>
        <w:t>inspecções</w:t>
      </w:r>
      <w:proofErr w:type="spellEnd"/>
      <w:r w:rsidRPr="00292532">
        <w:rPr>
          <w:lang w:val="pt-PT" w:eastAsia="ja-JP"/>
        </w:rPr>
        <w:t xml:space="preserve"> poderão ser realizadas pela equipa de salvaguardas da UIP/AIAS e UIP/DNAAS ou poderá ser contratado um especialista ambiental e social para realizar </w:t>
      </w:r>
      <w:proofErr w:type="spellStart"/>
      <w:r w:rsidRPr="00292532">
        <w:rPr>
          <w:lang w:val="pt-PT" w:eastAsia="ja-JP"/>
        </w:rPr>
        <w:t>inspecções</w:t>
      </w:r>
      <w:proofErr w:type="spellEnd"/>
      <w:r w:rsidRPr="00292532">
        <w:rPr>
          <w:lang w:val="pt-PT" w:eastAsia="ja-JP"/>
        </w:rPr>
        <w:t xml:space="preserve"> no campo para a verificação da implementação das medidas de mitigação por parte dos empreiteiros.</w:t>
      </w:r>
    </w:p>
    <w:p w14:paraId="5A87B478" w14:textId="77777777" w:rsidR="00C65CB1" w:rsidRPr="00292532" w:rsidRDefault="00C65CB1" w:rsidP="00C65CB1">
      <w:pPr>
        <w:rPr>
          <w:lang w:val="pt-PT" w:eastAsia="ja-JP"/>
        </w:rPr>
      </w:pPr>
      <w:r w:rsidRPr="00292532">
        <w:rPr>
          <w:lang w:val="pt-PT" w:eastAsia="ja-JP"/>
        </w:rPr>
        <w:t xml:space="preserve">Por outro lado, o MTA, através das suas instituições subordinadas, a </w:t>
      </w:r>
      <w:proofErr w:type="spellStart"/>
      <w:r w:rsidRPr="00292532">
        <w:rPr>
          <w:lang w:val="pt-PT" w:eastAsia="ja-JP"/>
        </w:rPr>
        <w:t>Direcção</w:t>
      </w:r>
      <w:proofErr w:type="spellEnd"/>
      <w:r w:rsidRPr="00292532">
        <w:rPr>
          <w:lang w:val="pt-PT" w:eastAsia="ja-JP"/>
        </w:rPr>
        <w:t xml:space="preserve"> Nacional de Ambiente (DINAB), AQUA, SPE realizará inspeções ambientais nos locais dos </w:t>
      </w:r>
      <w:proofErr w:type="spellStart"/>
      <w:r w:rsidRPr="00292532">
        <w:rPr>
          <w:lang w:val="pt-PT" w:eastAsia="ja-JP"/>
        </w:rPr>
        <w:t>Projectos</w:t>
      </w:r>
      <w:proofErr w:type="spellEnd"/>
      <w:r w:rsidRPr="00292532">
        <w:rPr>
          <w:lang w:val="pt-PT" w:eastAsia="ja-JP"/>
        </w:rPr>
        <w:t>.</w:t>
      </w:r>
    </w:p>
    <w:p w14:paraId="163ED700" w14:textId="3C427902" w:rsidR="00C31925" w:rsidRPr="00292532" w:rsidRDefault="00C31925" w:rsidP="00C31925">
      <w:pPr>
        <w:rPr>
          <w:lang w:val="pt-PT"/>
        </w:rPr>
      </w:pPr>
      <w:r w:rsidRPr="00292532">
        <w:rPr>
          <w:lang w:val="pt-PT"/>
        </w:rPr>
        <w:t>A legislação ambiental estabelece o requisito de realização de, no mínimo, uma auditoria ambiental independente</w:t>
      </w:r>
      <w:r w:rsidR="002E5557">
        <w:rPr>
          <w:lang w:val="pt-PT"/>
        </w:rPr>
        <w:t xml:space="preserve"> anual</w:t>
      </w:r>
      <w:r w:rsidRPr="00292532">
        <w:rPr>
          <w:lang w:val="pt-PT"/>
        </w:rPr>
        <w:t xml:space="preserve"> realizada por consultores devidamente registados no AQUA como auditores ambientais. </w:t>
      </w:r>
      <w:r w:rsidR="002E5557">
        <w:rPr>
          <w:lang w:val="pt-PT"/>
        </w:rPr>
        <w:t xml:space="preserve">Para o </w:t>
      </w:r>
      <w:proofErr w:type="spellStart"/>
      <w:r w:rsidR="002E5557">
        <w:rPr>
          <w:lang w:val="pt-PT"/>
        </w:rPr>
        <w:t>Projecto</w:t>
      </w:r>
      <w:proofErr w:type="spellEnd"/>
      <w:r w:rsidR="002E5557">
        <w:rPr>
          <w:lang w:val="pt-PT"/>
        </w:rPr>
        <w:t xml:space="preserve"> Água Segura propõe-se a realização de uma auditoria ambiental, social e de saúde e segurança por semestre</w:t>
      </w:r>
      <w:r w:rsidR="0063557C">
        <w:rPr>
          <w:lang w:val="pt-PT"/>
        </w:rPr>
        <w:t xml:space="preserve"> durante a fase de construção e uma anual durante a fase de operação.</w:t>
      </w:r>
      <w:r w:rsidR="002E5557">
        <w:rPr>
          <w:lang w:val="pt-PT"/>
        </w:rPr>
        <w:t xml:space="preserve"> </w:t>
      </w:r>
    </w:p>
    <w:p w14:paraId="03CADA2B" w14:textId="418F6D0F" w:rsidR="00C31925" w:rsidRPr="00292532" w:rsidRDefault="00C31925" w:rsidP="00C31925">
      <w:pPr>
        <w:rPr>
          <w:lang w:val="pt-PT"/>
        </w:rPr>
      </w:pPr>
      <w:r w:rsidRPr="00292532">
        <w:rPr>
          <w:lang w:val="pt-PT"/>
        </w:rPr>
        <w:t xml:space="preserve">A auditoria obedecerá as práticas da </w:t>
      </w:r>
      <w:r w:rsidR="0005701F" w:rsidRPr="00292532">
        <w:rPr>
          <w:lang w:val="pt-PT"/>
        </w:rPr>
        <w:t>indústria</w:t>
      </w:r>
      <w:r w:rsidRPr="00292532">
        <w:rPr>
          <w:lang w:val="pt-PT"/>
        </w:rPr>
        <w:t xml:space="preserve"> para planear e realizar auditorias e será laborado um relatório de auditoria pelos consultores a serem posteriormente submetido às </w:t>
      </w:r>
      <w:proofErr w:type="spellStart"/>
      <w:r w:rsidRPr="00292532">
        <w:rPr>
          <w:lang w:val="pt-PT"/>
        </w:rPr>
        <w:t>UIPs</w:t>
      </w:r>
      <w:proofErr w:type="spellEnd"/>
      <w:r w:rsidRPr="00292532">
        <w:rPr>
          <w:lang w:val="pt-PT"/>
        </w:rPr>
        <w:t xml:space="preserve"> e ao </w:t>
      </w:r>
      <w:r w:rsidR="0005701F" w:rsidRPr="00292532">
        <w:rPr>
          <w:lang w:val="pt-PT"/>
        </w:rPr>
        <w:t>Coordenador</w:t>
      </w:r>
      <w:r w:rsidRPr="00292532">
        <w:rPr>
          <w:lang w:val="pt-PT"/>
        </w:rPr>
        <w:t xml:space="preserve"> do </w:t>
      </w:r>
      <w:proofErr w:type="spellStart"/>
      <w:r w:rsidRPr="00292532">
        <w:rPr>
          <w:lang w:val="pt-PT"/>
        </w:rPr>
        <w:t>Projecto</w:t>
      </w:r>
      <w:bookmarkEnd w:id="439"/>
      <w:proofErr w:type="spellEnd"/>
      <w:r w:rsidRPr="00292532">
        <w:rPr>
          <w:lang w:val="pt-PT"/>
        </w:rPr>
        <w:t xml:space="preserve">. </w:t>
      </w:r>
    </w:p>
    <w:p w14:paraId="6AAC1180" w14:textId="583D33DD" w:rsidR="00C31925" w:rsidRPr="00292532" w:rsidRDefault="00C31925" w:rsidP="00C31925">
      <w:pPr>
        <w:pStyle w:val="Heading1"/>
        <w:numPr>
          <w:ilvl w:val="0"/>
          <w:numId w:val="0"/>
        </w:numPr>
        <w:ind w:left="432"/>
        <w:rPr>
          <w:lang w:val="pt-PT" w:eastAsia="ja-JP"/>
        </w:rPr>
      </w:pPr>
      <w:r w:rsidRPr="00292532">
        <w:rPr>
          <w:lang w:val="pt-PT" w:eastAsia="ja-JP"/>
        </w:rPr>
        <w:br w:type="page"/>
      </w:r>
    </w:p>
    <w:p w14:paraId="46A18F82" w14:textId="651927BF" w:rsidR="00597827" w:rsidRPr="00292532" w:rsidRDefault="00597827" w:rsidP="00597827">
      <w:pPr>
        <w:pStyle w:val="Heading1"/>
        <w:rPr>
          <w:lang w:val="pt-PT" w:eastAsia="ja-JP"/>
        </w:rPr>
      </w:pPr>
      <w:bookmarkStart w:id="440" w:name="_Toc80380064"/>
      <w:r w:rsidRPr="00292532">
        <w:rPr>
          <w:lang w:val="pt-PT" w:eastAsia="ja-JP"/>
        </w:rPr>
        <w:lastRenderedPageBreak/>
        <w:t>ENVOLVIMENTO DAS PARTES INTERESSADAS</w:t>
      </w:r>
      <w:bookmarkEnd w:id="440"/>
      <w:r w:rsidRPr="00292532">
        <w:rPr>
          <w:lang w:val="pt-PT" w:eastAsia="ja-JP"/>
        </w:rPr>
        <w:t xml:space="preserve"> </w:t>
      </w:r>
    </w:p>
    <w:p w14:paraId="1116BBC2" w14:textId="77431255" w:rsidR="00652BE7" w:rsidRPr="00292532" w:rsidRDefault="00652BE7" w:rsidP="004500AE">
      <w:pPr>
        <w:rPr>
          <w:lang w:val="pt-PT" w:eastAsia="ja-JP"/>
        </w:rPr>
      </w:pPr>
    </w:p>
    <w:p w14:paraId="243F9D47" w14:textId="1874368B" w:rsidR="00652BE7" w:rsidRPr="00292532" w:rsidRDefault="003A7D5E" w:rsidP="004500AE">
      <w:pPr>
        <w:pStyle w:val="Heading2"/>
      </w:pPr>
      <w:bookmarkStart w:id="441" w:name="_Toc80380065"/>
      <w:bookmarkStart w:id="442" w:name="_Hlk75451008"/>
      <w:r w:rsidRPr="00292532">
        <w:t>O Plano de Engajamento das Partes Interessadas</w:t>
      </w:r>
      <w:bookmarkEnd w:id="441"/>
    </w:p>
    <w:p w14:paraId="2788E8C5" w14:textId="6AD8350B" w:rsidR="00652BE7" w:rsidRPr="00292532" w:rsidRDefault="00652BE7" w:rsidP="00597827">
      <w:pPr>
        <w:rPr>
          <w:lang w:val="pt-PT"/>
        </w:rPr>
      </w:pPr>
      <w:r w:rsidRPr="00292532">
        <w:rPr>
          <w:lang w:val="pt-PT"/>
        </w:rPr>
        <w:t xml:space="preserve">O Plano de Engajamento das Partes Interessadas (PEPI), elaborado como um documento separado do QGAS, visa desenvolver uma estratégia eficiente e eficaz para o engajamento das partes interessadas e </w:t>
      </w:r>
      <w:proofErr w:type="spellStart"/>
      <w:r w:rsidRPr="00292532">
        <w:rPr>
          <w:lang w:val="pt-PT"/>
        </w:rPr>
        <w:t>afectadas</w:t>
      </w:r>
      <w:proofErr w:type="spellEnd"/>
      <w:r w:rsidRPr="00292532">
        <w:rPr>
          <w:lang w:val="pt-PT"/>
        </w:rPr>
        <w:t xml:space="preserve"> pelo </w:t>
      </w:r>
      <w:proofErr w:type="spellStart"/>
      <w:r w:rsidRPr="00292532">
        <w:rPr>
          <w:lang w:val="pt-PT"/>
        </w:rPr>
        <w:t>projecto</w:t>
      </w:r>
      <w:proofErr w:type="spellEnd"/>
      <w:r w:rsidRPr="00292532">
        <w:rPr>
          <w:lang w:val="pt-PT"/>
        </w:rPr>
        <w:t xml:space="preserve">, partindo da identificação e análise das partes interessadas e </w:t>
      </w:r>
      <w:proofErr w:type="spellStart"/>
      <w:r w:rsidRPr="00292532">
        <w:rPr>
          <w:lang w:val="pt-PT"/>
        </w:rPr>
        <w:t>afectadas</w:t>
      </w:r>
      <w:proofErr w:type="spellEnd"/>
      <w:r w:rsidRPr="00292532">
        <w:rPr>
          <w:lang w:val="pt-PT"/>
        </w:rPr>
        <w:t xml:space="preserve"> ao desenvolvimento </w:t>
      </w:r>
      <w:r w:rsidR="003A7D5E" w:rsidRPr="00292532">
        <w:rPr>
          <w:lang w:val="pt-PT"/>
        </w:rPr>
        <w:t xml:space="preserve">de um programa de engajamento das partes interessadas e </w:t>
      </w:r>
      <w:proofErr w:type="spellStart"/>
      <w:r w:rsidR="003A7D5E" w:rsidRPr="00292532">
        <w:rPr>
          <w:lang w:val="pt-PT"/>
        </w:rPr>
        <w:t>afectadas</w:t>
      </w:r>
      <w:proofErr w:type="spellEnd"/>
      <w:r w:rsidR="003A7D5E" w:rsidRPr="00292532">
        <w:rPr>
          <w:lang w:val="pt-PT"/>
        </w:rPr>
        <w:t xml:space="preserve">. Este documento constitui o principal instrumento de gestão do engajamento com as partes interessadas no que </w:t>
      </w:r>
      <w:r w:rsidR="00766377" w:rsidRPr="00292532">
        <w:rPr>
          <w:lang w:val="pt-PT"/>
        </w:rPr>
        <w:t>respeita às</w:t>
      </w:r>
      <w:r w:rsidR="003A7D5E" w:rsidRPr="00292532">
        <w:rPr>
          <w:lang w:val="pt-PT"/>
        </w:rPr>
        <w:t xml:space="preserve"> questões de gestão ambiental e social do </w:t>
      </w:r>
      <w:proofErr w:type="spellStart"/>
      <w:r w:rsidR="003A7D5E" w:rsidRPr="00292532">
        <w:rPr>
          <w:lang w:val="pt-PT"/>
        </w:rPr>
        <w:t>Projecto</w:t>
      </w:r>
      <w:proofErr w:type="spellEnd"/>
      <w:r w:rsidR="003A7D5E" w:rsidRPr="00292532">
        <w:rPr>
          <w:lang w:val="pt-PT"/>
        </w:rPr>
        <w:t xml:space="preserve"> endereçadas </w:t>
      </w:r>
      <w:proofErr w:type="gramStart"/>
      <w:r w:rsidR="003A7D5E" w:rsidRPr="00292532">
        <w:rPr>
          <w:lang w:val="pt-PT"/>
        </w:rPr>
        <w:t>no  presente</w:t>
      </w:r>
      <w:proofErr w:type="gramEnd"/>
      <w:r w:rsidR="003A7D5E" w:rsidRPr="00292532">
        <w:rPr>
          <w:lang w:val="pt-PT"/>
        </w:rPr>
        <w:t xml:space="preserve"> QGAS e no documento do QPR e em instrumentos a serem futuramente desenvolvidos (AIAS, PGAS, </w:t>
      </w:r>
      <w:proofErr w:type="spellStart"/>
      <w:r w:rsidR="003A7D5E" w:rsidRPr="00292532">
        <w:rPr>
          <w:lang w:val="pt-PT"/>
        </w:rPr>
        <w:t>etc</w:t>
      </w:r>
      <w:proofErr w:type="spellEnd"/>
      <w:r w:rsidR="003A7D5E" w:rsidRPr="00292532">
        <w:rPr>
          <w:lang w:val="pt-PT"/>
        </w:rPr>
        <w:t>).</w:t>
      </w:r>
    </w:p>
    <w:p w14:paraId="508DE57B" w14:textId="1442C32D" w:rsidR="003A7D5E" w:rsidRPr="00292532" w:rsidRDefault="003A7D5E">
      <w:pPr>
        <w:pStyle w:val="Heading3"/>
      </w:pPr>
      <w:bookmarkStart w:id="443" w:name="_Toc80380066"/>
      <w:r w:rsidRPr="00292532">
        <w:t xml:space="preserve">Partes Interessadas e </w:t>
      </w:r>
      <w:proofErr w:type="spellStart"/>
      <w:r w:rsidRPr="00292532">
        <w:t>Afectadas</w:t>
      </w:r>
      <w:bookmarkEnd w:id="443"/>
      <w:proofErr w:type="spellEnd"/>
      <w:r w:rsidRPr="00292532">
        <w:t xml:space="preserve"> </w:t>
      </w:r>
    </w:p>
    <w:p w14:paraId="449763AB" w14:textId="10D22FDB" w:rsidR="003A7D5E" w:rsidRPr="00292532" w:rsidRDefault="003A7D5E" w:rsidP="003A7D5E">
      <w:pPr>
        <w:rPr>
          <w:lang w:val="pt-PT"/>
        </w:rPr>
      </w:pPr>
      <w:r w:rsidRPr="00292532">
        <w:rPr>
          <w:lang w:val="pt-PT"/>
        </w:rPr>
        <w:t xml:space="preserve">Para fins de engajamento o PEPI identifica as Partes Interessadas e </w:t>
      </w:r>
      <w:proofErr w:type="spellStart"/>
      <w:r w:rsidRPr="00292532">
        <w:rPr>
          <w:lang w:val="pt-PT"/>
        </w:rPr>
        <w:t>Afectadas</w:t>
      </w:r>
      <w:proofErr w:type="spellEnd"/>
      <w:r w:rsidRPr="00292532">
        <w:rPr>
          <w:lang w:val="pt-PT"/>
        </w:rPr>
        <w:t xml:space="preserve"> (</w:t>
      </w:r>
      <w:proofErr w:type="spellStart"/>
      <w:r w:rsidRPr="00292532">
        <w:rPr>
          <w:lang w:val="pt-PT"/>
        </w:rPr>
        <w:t>PIAs</w:t>
      </w:r>
      <w:proofErr w:type="spellEnd"/>
      <w:r w:rsidRPr="00292532">
        <w:rPr>
          <w:lang w:val="pt-PT"/>
        </w:rPr>
        <w:t xml:space="preserve">), </w:t>
      </w:r>
      <w:r w:rsidR="00292532" w:rsidRPr="00292532">
        <w:rPr>
          <w:lang w:val="pt-PT"/>
        </w:rPr>
        <w:t>subdividindo-as</w:t>
      </w:r>
      <w:r w:rsidRPr="00292532">
        <w:rPr>
          <w:lang w:val="pt-PT"/>
        </w:rPr>
        <w:t xml:space="preserve"> em três categorias principais. Sendo estas as seguintes: </w:t>
      </w:r>
    </w:p>
    <w:p w14:paraId="14B8E3CB" w14:textId="4ED31FEC" w:rsidR="003A7D5E" w:rsidRPr="00292532" w:rsidRDefault="003A7D5E" w:rsidP="004500AE">
      <w:pPr>
        <w:pStyle w:val="ListParagraph"/>
        <w:numPr>
          <w:ilvl w:val="0"/>
          <w:numId w:val="40"/>
        </w:numPr>
        <w:rPr>
          <w:lang w:val="pt-PT"/>
        </w:rPr>
      </w:pPr>
      <w:r w:rsidRPr="004500AE">
        <w:rPr>
          <w:b/>
          <w:bCs/>
          <w:lang w:val="pt-PT"/>
        </w:rPr>
        <w:t xml:space="preserve">Partes </w:t>
      </w:r>
      <w:proofErr w:type="spellStart"/>
      <w:r w:rsidRPr="004500AE">
        <w:rPr>
          <w:b/>
          <w:bCs/>
          <w:lang w:val="pt-PT"/>
        </w:rPr>
        <w:t>Afectadas</w:t>
      </w:r>
      <w:proofErr w:type="spellEnd"/>
      <w:r w:rsidRPr="00292532">
        <w:rPr>
          <w:lang w:val="pt-PT"/>
        </w:rPr>
        <w:t xml:space="preserve"> - pessoas, grupos e outras entidades dentro da Área de Influência do </w:t>
      </w:r>
      <w:proofErr w:type="spellStart"/>
      <w:r w:rsidRPr="00292532">
        <w:rPr>
          <w:lang w:val="pt-PT"/>
        </w:rPr>
        <w:t>Projecto</w:t>
      </w:r>
      <w:proofErr w:type="spellEnd"/>
      <w:r w:rsidRPr="00292532">
        <w:rPr>
          <w:lang w:val="pt-PT"/>
        </w:rPr>
        <w:t xml:space="preserve"> (AIP) que são </w:t>
      </w:r>
      <w:proofErr w:type="spellStart"/>
      <w:r w:rsidRPr="00292532">
        <w:rPr>
          <w:lang w:val="pt-PT"/>
        </w:rPr>
        <w:t>directamente</w:t>
      </w:r>
      <w:proofErr w:type="spellEnd"/>
      <w:r w:rsidRPr="00292532">
        <w:rPr>
          <w:lang w:val="pt-PT"/>
        </w:rPr>
        <w:t xml:space="preserve"> influenciadas (real ou potencialmente) pelo </w:t>
      </w:r>
      <w:proofErr w:type="spellStart"/>
      <w:r w:rsidRPr="00292532">
        <w:rPr>
          <w:lang w:val="pt-PT"/>
        </w:rPr>
        <w:t>projecto</w:t>
      </w:r>
      <w:proofErr w:type="spellEnd"/>
      <w:r w:rsidRPr="00292532">
        <w:rPr>
          <w:lang w:val="pt-PT"/>
        </w:rPr>
        <w:t xml:space="preserve"> e/ou foram identificadas como mais </w:t>
      </w:r>
      <w:proofErr w:type="spellStart"/>
      <w:r w:rsidRPr="00292532">
        <w:rPr>
          <w:lang w:val="pt-PT"/>
        </w:rPr>
        <w:t>susceptíveis</w:t>
      </w:r>
      <w:proofErr w:type="spellEnd"/>
      <w:r w:rsidRPr="00292532">
        <w:rPr>
          <w:lang w:val="pt-PT"/>
        </w:rPr>
        <w:t xml:space="preserve"> à mudança associada ao </w:t>
      </w:r>
      <w:proofErr w:type="spellStart"/>
      <w:r w:rsidRPr="00292532">
        <w:rPr>
          <w:lang w:val="pt-PT"/>
        </w:rPr>
        <w:t>projecto</w:t>
      </w:r>
      <w:proofErr w:type="spellEnd"/>
      <w:r w:rsidRPr="00292532">
        <w:rPr>
          <w:lang w:val="pt-PT"/>
        </w:rPr>
        <w:t>, e que precisam estar intimamente envolvidas na identificação de impactos e sua importância, bem como na tomada de decisões sobre medidas de mitigação e de gestão;</w:t>
      </w:r>
    </w:p>
    <w:p w14:paraId="1407ACEE" w14:textId="3F3DE7A5" w:rsidR="003A7D5E" w:rsidRPr="00292532" w:rsidRDefault="003A7D5E" w:rsidP="004500AE">
      <w:pPr>
        <w:pStyle w:val="ListParagraph"/>
        <w:numPr>
          <w:ilvl w:val="0"/>
          <w:numId w:val="40"/>
        </w:numPr>
        <w:rPr>
          <w:lang w:val="pt-PT"/>
        </w:rPr>
      </w:pPr>
      <w:r w:rsidRPr="004500AE">
        <w:rPr>
          <w:b/>
          <w:bCs/>
          <w:lang w:val="pt-PT"/>
        </w:rPr>
        <w:t>Outras Partes Interessadas</w:t>
      </w:r>
      <w:r w:rsidRPr="00292532">
        <w:rPr>
          <w:lang w:val="pt-PT"/>
        </w:rPr>
        <w:t xml:space="preserve"> - indivíduos/grupos/entidades que podem não sofrer impactos </w:t>
      </w:r>
      <w:proofErr w:type="spellStart"/>
      <w:r w:rsidRPr="00292532">
        <w:rPr>
          <w:lang w:val="pt-PT"/>
        </w:rPr>
        <w:t>directos</w:t>
      </w:r>
      <w:proofErr w:type="spellEnd"/>
      <w:r w:rsidRPr="00292532">
        <w:rPr>
          <w:lang w:val="pt-PT"/>
        </w:rPr>
        <w:t xml:space="preserve"> do </w:t>
      </w:r>
      <w:proofErr w:type="spellStart"/>
      <w:r w:rsidRPr="00292532">
        <w:rPr>
          <w:lang w:val="pt-PT"/>
        </w:rPr>
        <w:t>Projecto</w:t>
      </w:r>
      <w:proofErr w:type="spellEnd"/>
      <w:r w:rsidRPr="00292532">
        <w:rPr>
          <w:lang w:val="pt-PT"/>
        </w:rPr>
        <w:t xml:space="preserve">, mas que consideram ou percebem seus interesses como a ser </w:t>
      </w:r>
      <w:proofErr w:type="spellStart"/>
      <w:r w:rsidRPr="00292532">
        <w:rPr>
          <w:lang w:val="pt-PT"/>
        </w:rPr>
        <w:t>afectados</w:t>
      </w:r>
      <w:proofErr w:type="spellEnd"/>
      <w:r w:rsidRPr="00292532">
        <w:rPr>
          <w:lang w:val="pt-PT"/>
        </w:rPr>
        <w:t xml:space="preserve"> pelo </w:t>
      </w:r>
      <w:proofErr w:type="spellStart"/>
      <w:r w:rsidRPr="00292532">
        <w:rPr>
          <w:lang w:val="pt-PT"/>
        </w:rPr>
        <w:t>projecto</w:t>
      </w:r>
      <w:proofErr w:type="spellEnd"/>
      <w:r w:rsidRPr="00292532">
        <w:rPr>
          <w:lang w:val="pt-PT"/>
        </w:rPr>
        <w:t xml:space="preserve"> e/ou que podem </w:t>
      </w:r>
      <w:proofErr w:type="spellStart"/>
      <w:r w:rsidRPr="00292532">
        <w:rPr>
          <w:lang w:val="pt-PT"/>
        </w:rPr>
        <w:t>afectar</w:t>
      </w:r>
      <w:proofErr w:type="spellEnd"/>
      <w:r w:rsidRPr="00292532">
        <w:rPr>
          <w:lang w:val="pt-PT"/>
        </w:rPr>
        <w:t xml:space="preserve"> o </w:t>
      </w:r>
      <w:proofErr w:type="spellStart"/>
      <w:r w:rsidRPr="00292532">
        <w:rPr>
          <w:lang w:val="pt-PT"/>
        </w:rPr>
        <w:t>projecto</w:t>
      </w:r>
      <w:proofErr w:type="spellEnd"/>
      <w:r w:rsidRPr="00292532">
        <w:rPr>
          <w:lang w:val="pt-PT"/>
        </w:rPr>
        <w:t xml:space="preserve"> e o processo de sua implementação de alguma forma; e</w:t>
      </w:r>
    </w:p>
    <w:p w14:paraId="60465A48" w14:textId="26B18686" w:rsidR="003A7D5E" w:rsidRPr="00292532" w:rsidRDefault="003A7D5E" w:rsidP="004500AE">
      <w:pPr>
        <w:pStyle w:val="ListParagraph"/>
        <w:numPr>
          <w:ilvl w:val="0"/>
          <w:numId w:val="40"/>
        </w:numPr>
        <w:rPr>
          <w:lang w:val="pt-PT"/>
        </w:rPr>
      </w:pPr>
      <w:r w:rsidRPr="004500AE">
        <w:rPr>
          <w:b/>
          <w:bCs/>
          <w:lang w:val="pt-PT"/>
        </w:rPr>
        <w:t>Grupos Vulneráveis</w:t>
      </w:r>
      <w:r w:rsidRPr="00292532">
        <w:rPr>
          <w:lang w:val="pt-PT"/>
        </w:rPr>
        <w:t xml:space="preserve"> - pessoas que podem ser desproporcionalmente impactadas ou ainda mais prejudicadas pelo(s) </w:t>
      </w:r>
      <w:proofErr w:type="spellStart"/>
      <w:r w:rsidRPr="00292532">
        <w:rPr>
          <w:lang w:val="pt-PT"/>
        </w:rPr>
        <w:t>projecto</w:t>
      </w:r>
      <w:proofErr w:type="spellEnd"/>
      <w:r w:rsidRPr="00292532">
        <w:rPr>
          <w:lang w:val="pt-PT"/>
        </w:rPr>
        <w:t xml:space="preserve">(s) em comparação com quaisquer outros grupos devido ao seu estatuto de </w:t>
      </w:r>
      <w:r w:rsidR="00766377" w:rsidRPr="00292532">
        <w:rPr>
          <w:lang w:val="pt-PT"/>
        </w:rPr>
        <w:t>vulnerabilidade,</w:t>
      </w:r>
      <w:r w:rsidRPr="00292532">
        <w:rPr>
          <w:lang w:val="pt-PT"/>
        </w:rPr>
        <w:t xml:space="preserve"> e que podem exigir esforços especiais de engajamento para garantir a sua representação igual na consulta e nos processos de tomada de decisões associados ao </w:t>
      </w:r>
      <w:proofErr w:type="spellStart"/>
      <w:r w:rsidRPr="00292532">
        <w:rPr>
          <w:lang w:val="pt-PT"/>
        </w:rPr>
        <w:t>projecto</w:t>
      </w:r>
      <w:proofErr w:type="spellEnd"/>
      <w:r w:rsidRPr="00292532">
        <w:rPr>
          <w:lang w:val="pt-PT"/>
        </w:rPr>
        <w:t>.</w:t>
      </w:r>
    </w:p>
    <w:p w14:paraId="60C089DA" w14:textId="3B1F1D09" w:rsidR="003A7D5E" w:rsidRPr="00292532" w:rsidRDefault="003A7D5E" w:rsidP="003A7D5E">
      <w:pPr>
        <w:rPr>
          <w:lang w:val="pt-PT"/>
        </w:rPr>
      </w:pPr>
      <w:r w:rsidRPr="00292532">
        <w:rPr>
          <w:lang w:val="pt-PT"/>
        </w:rPr>
        <w:t>O PEPI faz a identifi</w:t>
      </w:r>
      <w:r w:rsidR="00292532">
        <w:rPr>
          <w:lang w:val="pt-PT"/>
        </w:rPr>
        <w:t>ca</w:t>
      </w:r>
      <w:r w:rsidRPr="00292532">
        <w:rPr>
          <w:lang w:val="pt-PT"/>
        </w:rPr>
        <w:t xml:space="preserve">ção das </w:t>
      </w:r>
      <w:proofErr w:type="spellStart"/>
      <w:r w:rsidRPr="00292532">
        <w:rPr>
          <w:lang w:val="pt-PT"/>
        </w:rPr>
        <w:t>PIAs</w:t>
      </w:r>
      <w:proofErr w:type="spellEnd"/>
      <w:r w:rsidRPr="00292532">
        <w:rPr>
          <w:lang w:val="pt-PT"/>
        </w:rPr>
        <w:t xml:space="preserve"> relevantes com base nas componentes do </w:t>
      </w:r>
      <w:proofErr w:type="spellStart"/>
      <w:r w:rsidRPr="00292532">
        <w:rPr>
          <w:lang w:val="pt-PT"/>
        </w:rPr>
        <w:t>Projecto</w:t>
      </w:r>
      <w:proofErr w:type="spellEnd"/>
      <w:r w:rsidRPr="00292532">
        <w:rPr>
          <w:lang w:val="pt-PT"/>
        </w:rPr>
        <w:t xml:space="preserve"> tendo em conta todos os </w:t>
      </w:r>
      <w:proofErr w:type="spellStart"/>
      <w:r w:rsidRPr="00292532">
        <w:rPr>
          <w:lang w:val="pt-PT"/>
        </w:rPr>
        <w:t>aspectos</w:t>
      </w:r>
      <w:proofErr w:type="spellEnd"/>
      <w:r w:rsidRPr="00292532">
        <w:rPr>
          <w:lang w:val="pt-PT"/>
        </w:rPr>
        <w:t xml:space="preserve"> acima referidos (ver</w:t>
      </w:r>
      <w:r w:rsidR="00292532">
        <w:rPr>
          <w:lang w:val="pt-PT"/>
        </w:rPr>
        <w:t xml:space="preserve"> </w:t>
      </w:r>
      <w:r w:rsidR="00292532" w:rsidRPr="004500AE">
        <w:rPr>
          <w:b/>
          <w:bCs/>
          <w:lang w:val="pt-PT"/>
        </w:rPr>
        <w:fldChar w:fldCharType="begin"/>
      </w:r>
      <w:r w:rsidR="00292532" w:rsidRPr="004500AE">
        <w:rPr>
          <w:b/>
          <w:bCs/>
          <w:lang w:val="pt-PT"/>
        </w:rPr>
        <w:instrText xml:space="preserve"> REF _Ref78433371 \h </w:instrText>
      </w:r>
      <w:r w:rsidR="00292532">
        <w:rPr>
          <w:b/>
          <w:bCs/>
          <w:lang w:val="pt-PT"/>
        </w:rPr>
        <w:instrText xml:space="preserve"> \* MERGEFORMAT </w:instrText>
      </w:r>
      <w:r w:rsidR="00292532" w:rsidRPr="004500AE">
        <w:rPr>
          <w:b/>
          <w:bCs/>
          <w:lang w:val="pt-PT"/>
        </w:rPr>
      </w:r>
      <w:r w:rsidR="00292532" w:rsidRPr="004500AE">
        <w:rPr>
          <w:b/>
          <w:bCs/>
          <w:lang w:val="pt-PT"/>
        </w:rPr>
        <w:fldChar w:fldCharType="separate"/>
      </w:r>
      <w:r w:rsidR="000D7B05" w:rsidRPr="004500AE">
        <w:rPr>
          <w:b/>
          <w:bCs/>
          <w:lang w:val="pt-PT"/>
        </w:rPr>
        <w:t xml:space="preserve">Tabela </w:t>
      </w:r>
      <w:r w:rsidR="000D7B05" w:rsidRPr="004500AE">
        <w:rPr>
          <w:b/>
          <w:bCs/>
          <w:noProof/>
          <w:lang w:val="pt-PT"/>
        </w:rPr>
        <w:t>33</w:t>
      </w:r>
      <w:r w:rsidR="00292532" w:rsidRPr="004500AE">
        <w:rPr>
          <w:b/>
          <w:bCs/>
          <w:lang w:val="pt-PT"/>
        </w:rPr>
        <w:fldChar w:fldCharType="end"/>
      </w:r>
      <w:r w:rsidRPr="00292532">
        <w:rPr>
          <w:lang w:val="pt-PT"/>
        </w:rPr>
        <w:t xml:space="preserve">). </w:t>
      </w:r>
    </w:p>
    <w:p w14:paraId="0537DDAB" w14:textId="1775CB85" w:rsidR="003A7D5E" w:rsidRPr="00292532" w:rsidRDefault="00B00D6D" w:rsidP="004500AE">
      <w:pPr>
        <w:pStyle w:val="Caption"/>
      </w:pPr>
      <w:bookmarkStart w:id="444" w:name="_Ref78433371"/>
      <w:bookmarkStart w:id="445" w:name="_Toc80380280"/>
      <w:r w:rsidRPr="00292532">
        <w:t xml:space="preserve">Tabela </w:t>
      </w:r>
      <w:r w:rsidRPr="00292532">
        <w:fldChar w:fldCharType="begin"/>
      </w:r>
      <w:r w:rsidRPr="00292532">
        <w:instrText xml:space="preserve"> SEQ Tabela \* ARABIC </w:instrText>
      </w:r>
      <w:r w:rsidRPr="00292532">
        <w:fldChar w:fldCharType="separate"/>
      </w:r>
      <w:r w:rsidR="007C5244">
        <w:rPr>
          <w:noProof/>
        </w:rPr>
        <w:t>33</w:t>
      </w:r>
      <w:r w:rsidRPr="00292532">
        <w:fldChar w:fldCharType="end"/>
      </w:r>
      <w:bookmarkEnd w:id="444"/>
      <w:r w:rsidRPr="00292532">
        <w:t xml:space="preserve">: Partes Interessadas e </w:t>
      </w:r>
      <w:proofErr w:type="spellStart"/>
      <w:r w:rsidRPr="00292532">
        <w:t>Afectadas</w:t>
      </w:r>
      <w:proofErr w:type="spellEnd"/>
      <w:r w:rsidRPr="00292532">
        <w:t xml:space="preserve"> divididas por Categoria em cada Componente (</w:t>
      </w:r>
      <w:r w:rsidRPr="004500AE">
        <w:rPr>
          <w:i/>
          <w:iCs w:val="0"/>
        </w:rPr>
        <w:t xml:space="preserve">fonte: PEPI, </w:t>
      </w:r>
      <w:proofErr w:type="gramStart"/>
      <w:r w:rsidRPr="004500AE">
        <w:rPr>
          <w:i/>
          <w:iCs w:val="0"/>
        </w:rPr>
        <w:t>Junho</w:t>
      </w:r>
      <w:proofErr w:type="gramEnd"/>
      <w:r w:rsidRPr="004500AE">
        <w:rPr>
          <w:i/>
          <w:iCs w:val="0"/>
        </w:rPr>
        <w:t xml:space="preserve"> 2021</w:t>
      </w:r>
      <w:r w:rsidRPr="00292532">
        <w:t>)</w:t>
      </w:r>
      <w:bookmarkEnd w:id="445"/>
    </w:p>
    <w:tbl>
      <w:tblPr>
        <w:tblStyle w:val="GridTable1Light-Accent113"/>
        <w:tblW w:w="10199" w:type="dxa"/>
        <w:jc w:val="center"/>
        <w:tblLook w:val="04A0" w:firstRow="1" w:lastRow="0" w:firstColumn="1" w:lastColumn="0" w:noHBand="0" w:noVBand="1"/>
      </w:tblPr>
      <w:tblGrid>
        <w:gridCol w:w="2425"/>
        <w:gridCol w:w="2430"/>
        <w:gridCol w:w="3503"/>
        <w:gridCol w:w="1841"/>
      </w:tblGrid>
      <w:tr w:rsidR="003A7D5E" w:rsidRPr="00292532" w14:paraId="2067224C" w14:textId="77777777" w:rsidTr="004500AE">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2425" w:type="dxa"/>
            <w:shd w:val="clear" w:color="auto" w:fill="DEEAF6"/>
            <w:vAlign w:val="center"/>
          </w:tcPr>
          <w:p w14:paraId="5C5BCF9D" w14:textId="77777777" w:rsidR="003A7D5E" w:rsidRPr="004500AE" w:rsidRDefault="003A7D5E" w:rsidP="003A7D5E">
            <w:pPr>
              <w:jc w:val="center"/>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Componentes e Subcomponentes</w:t>
            </w:r>
          </w:p>
        </w:tc>
        <w:tc>
          <w:tcPr>
            <w:tcW w:w="2430" w:type="dxa"/>
            <w:shd w:val="clear" w:color="auto" w:fill="DEEAF6"/>
            <w:vAlign w:val="center"/>
          </w:tcPr>
          <w:p w14:paraId="4938ACC0" w14:textId="77777777" w:rsidR="003A7D5E" w:rsidRPr="004500AE" w:rsidRDefault="003A7D5E" w:rsidP="003A7D5E">
            <w:pPr>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Partes Interessadas pelo </w:t>
            </w:r>
            <w:proofErr w:type="spellStart"/>
            <w:r w:rsidRPr="004500AE">
              <w:rPr>
                <w:rFonts w:asciiTheme="minorHAnsi" w:eastAsia="Calibri" w:hAnsiTheme="minorHAnsi" w:cstheme="minorHAnsi"/>
                <w:sz w:val="18"/>
                <w:szCs w:val="18"/>
                <w:lang w:val="pt-PT"/>
              </w:rPr>
              <w:t>Projecto</w:t>
            </w:r>
            <w:proofErr w:type="spellEnd"/>
          </w:p>
        </w:tc>
        <w:tc>
          <w:tcPr>
            <w:tcW w:w="3503" w:type="dxa"/>
            <w:shd w:val="clear" w:color="auto" w:fill="DEEAF6"/>
            <w:vAlign w:val="center"/>
          </w:tcPr>
          <w:p w14:paraId="1E481F1D" w14:textId="77777777" w:rsidR="003A7D5E" w:rsidRPr="004500AE" w:rsidRDefault="003A7D5E" w:rsidP="003A7D5E">
            <w:pPr>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Partes </w:t>
            </w:r>
            <w:proofErr w:type="spellStart"/>
            <w:r w:rsidRPr="004500AE">
              <w:rPr>
                <w:rFonts w:asciiTheme="minorHAnsi" w:eastAsia="Calibri" w:hAnsiTheme="minorHAnsi" w:cstheme="minorHAnsi"/>
                <w:sz w:val="18"/>
                <w:szCs w:val="18"/>
                <w:lang w:val="pt-PT"/>
              </w:rPr>
              <w:t>Afectadas</w:t>
            </w:r>
            <w:proofErr w:type="spellEnd"/>
            <w:r w:rsidRPr="004500AE">
              <w:rPr>
                <w:rFonts w:asciiTheme="minorHAnsi" w:eastAsia="Calibri" w:hAnsiTheme="minorHAnsi" w:cstheme="minorHAnsi"/>
                <w:sz w:val="18"/>
                <w:szCs w:val="18"/>
                <w:lang w:val="pt-PT"/>
              </w:rPr>
              <w:t xml:space="preserve"> pelo </w:t>
            </w:r>
            <w:proofErr w:type="spellStart"/>
            <w:r w:rsidRPr="004500AE">
              <w:rPr>
                <w:rFonts w:asciiTheme="minorHAnsi" w:eastAsia="Calibri" w:hAnsiTheme="minorHAnsi" w:cstheme="minorHAnsi"/>
                <w:sz w:val="18"/>
                <w:szCs w:val="18"/>
                <w:lang w:val="pt-PT"/>
              </w:rPr>
              <w:t>Projecto</w:t>
            </w:r>
            <w:proofErr w:type="spellEnd"/>
          </w:p>
        </w:tc>
        <w:tc>
          <w:tcPr>
            <w:tcW w:w="1841" w:type="dxa"/>
            <w:shd w:val="clear" w:color="auto" w:fill="DEEAF6"/>
            <w:vAlign w:val="center"/>
          </w:tcPr>
          <w:p w14:paraId="4FDE5B73" w14:textId="77777777" w:rsidR="003A7D5E" w:rsidRPr="004500AE" w:rsidRDefault="003A7D5E" w:rsidP="003A7D5E">
            <w:pPr>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Grupos Vulneráveis</w:t>
            </w:r>
          </w:p>
        </w:tc>
      </w:tr>
      <w:tr w:rsidR="003A7D5E" w:rsidRPr="008D18CF" w14:paraId="397B5DEC" w14:textId="77777777" w:rsidTr="004500AE">
        <w:trPr>
          <w:jc w:val="center"/>
        </w:trPr>
        <w:tc>
          <w:tcPr>
            <w:cnfStyle w:val="001000000000" w:firstRow="0" w:lastRow="0" w:firstColumn="1" w:lastColumn="0" w:oddVBand="0" w:evenVBand="0" w:oddHBand="0" w:evenHBand="0" w:firstRowFirstColumn="0" w:firstRowLastColumn="0" w:lastRowFirstColumn="0" w:lastRowLastColumn="0"/>
            <w:tcW w:w="0" w:type="dxa"/>
          </w:tcPr>
          <w:p w14:paraId="2F9B7715" w14:textId="77777777" w:rsidR="003A7D5E" w:rsidRPr="004500AE" w:rsidRDefault="003A7D5E" w:rsidP="003A7D5E">
            <w:pPr>
              <w:rPr>
                <w:rFonts w:asciiTheme="minorHAnsi" w:eastAsia="Calibri" w:hAnsiTheme="minorHAnsi" w:cstheme="minorHAnsi"/>
                <w:i/>
                <w:sz w:val="18"/>
                <w:szCs w:val="18"/>
                <w:lang w:val="pt-PT"/>
              </w:rPr>
            </w:pPr>
            <w:r w:rsidRPr="004500AE">
              <w:rPr>
                <w:rFonts w:asciiTheme="minorHAnsi" w:eastAsia="Calibri" w:hAnsiTheme="minorHAnsi" w:cstheme="minorHAnsi"/>
                <w:i/>
                <w:sz w:val="18"/>
                <w:szCs w:val="18"/>
                <w:lang w:val="pt-PT"/>
              </w:rPr>
              <w:t>Componente 1 - Fortalecimento dos serviços de abastecimento de água e saneamento nas vilas e pequenas cidades</w:t>
            </w:r>
          </w:p>
        </w:tc>
        <w:tc>
          <w:tcPr>
            <w:tcW w:w="2430" w:type="dxa"/>
          </w:tcPr>
          <w:p w14:paraId="7A342051"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Ministério das Obras Públicas, Habitação, e Recursos Hídricos (MOPHRH)</w:t>
            </w:r>
          </w:p>
          <w:p w14:paraId="3CC8AC67"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w:t>
            </w:r>
            <w:proofErr w:type="spellStart"/>
            <w:r w:rsidRPr="004500AE">
              <w:rPr>
                <w:rFonts w:asciiTheme="minorHAnsi" w:eastAsia="Calibri" w:hAnsiTheme="minorHAnsi" w:cstheme="minorHAnsi"/>
                <w:sz w:val="18"/>
                <w:szCs w:val="18"/>
                <w:lang w:val="pt-PT"/>
              </w:rPr>
              <w:t>Direcção</w:t>
            </w:r>
            <w:proofErr w:type="spellEnd"/>
            <w:r w:rsidRPr="004500AE">
              <w:rPr>
                <w:rFonts w:asciiTheme="minorHAnsi" w:eastAsia="Calibri" w:hAnsiTheme="minorHAnsi" w:cstheme="minorHAnsi"/>
                <w:sz w:val="18"/>
                <w:szCs w:val="18"/>
                <w:lang w:val="pt-PT"/>
              </w:rPr>
              <w:t xml:space="preserve"> Nacional de Abastecimento de Água e Saneamento (DNAAS)</w:t>
            </w:r>
          </w:p>
          <w:p w14:paraId="798AB153"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Administração de Infraestruturas de Água e Saneamento (AIAS)</w:t>
            </w:r>
          </w:p>
          <w:p w14:paraId="58C1A90C"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lastRenderedPageBreak/>
              <w:t>- Autoridade Reguladora de Águas (AURA)</w:t>
            </w:r>
          </w:p>
          <w:p w14:paraId="187F20C8"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w:t>
            </w:r>
            <w:proofErr w:type="spellStart"/>
            <w:r w:rsidRPr="004500AE">
              <w:rPr>
                <w:rFonts w:asciiTheme="minorHAnsi" w:eastAsia="Calibri" w:hAnsiTheme="minorHAnsi" w:cstheme="minorHAnsi"/>
                <w:sz w:val="18"/>
                <w:szCs w:val="18"/>
                <w:lang w:val="pt-PT"/>
              </w:rPr>
              <w:t>Direcção</w:t>
            </w:r>
            <w:proofErr w:type="spellEnd"/>
            <w:r w:rsidRPr="004500AE">
              <w:rPr>
                <w:rFonts w:asciiTheme="minorHAnsi" w:eastAsia="Calibri" w:hAnsiTheme="minorHAnsi" w:cstheme="minorHAnsi"/>
                <w:sz w:val="18"/>
                <w:szCs w:val="18"/>
                <w:lang w:val="pt-PT"/>
              </w:rPr>
              <w:t xml:space="preserve"> Nacional de Gestão de Recursos Hídricos (DNGRH)</w:t>
            </w:r>
          </w:p>
          <w:p w14:paraId="60194FF4"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Fundo de Investimento e Património do Abastecimento de Água (FIPAG) </w:t>
            </w:r>
          </w:p>
          <w:p w14:paraId="461D1F6E"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-Governos Provinciais abrangidos</w:t>
            </w:r>
          </w:p>
          <w:p w14:paraId="664B85FE"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Secretarias do Estado abrangidos</w:t>
            </w:r>
          </w:p>
          <w:p w14:paraId="7A60429A"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w:t>
            </w:r>
            <w:proofErr w:type="spellStart"/>
            <w:r w:rsidRPr="004500AE">
              <w:rPr>
                <w:rFonts w:asciiTheme="minorHAnsi" w:eastAsia="Calibri" w:hAnsiTheme="minorHAnsi" w:cstheme="minorHAnsi"/>
                <w:sz w:val="18"/>
                <w:szCs w:val="18"/>
                <w:lang w:val="pt-PT"/>
              </w:rPr>
              <w:t>Direcções</w:t>
            </w:r>
            <w:proofErr w:type="spellEnd"/>
            <w:r w:rsidRPr="004500AE">
              <w:rPr>
                <w:rFonts w:asciiTheme="minorHAnsi" w:eastAsia="Calibri" w:hAnsiTheme="minorHAnsi" w:cstheme="minorHAnsi"/>
                <w:sz w:val="18"/>
                <w:szCs w:val="18"/>
                <w:lang w:val="pt-PT"/>
              </w:rPr>
              <w:t xml:space="preserve"> Provinciais de Obras Públicas (DPOPHRH)</w:t>
            </w:r>
          </w:p>
          <w:p w14:paraId="59E80C46"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Serviços Provinciais de Infraestruturas (SPIE)</w:t>
            </w:r>
          </w:p>
          <w:p w14:paraId="362BBCDC"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Média</w:t>
            </w:r>
          </w:p>
          <w:p w14:paraId="46F91F2F"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-Banco Mundial</w:t>
            </w:r>
          </w:p>
        </w:tc>
        <w:tc>
          <w:tcPr>
            <w:tcW w:w="0" w:type="dxa"/>
          </w:tcPr>
          <w:p w14:paraId="5E2E310E"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lastRenderedPageBreak/>
              <w:t xml:space="preserve">- </w:t>
            </w:r>
            <w:proofErr w:type="spellStart"/>
            <w:r w:rsidRPr="004500AE">
              <w:rPr>
                <w:rFonts w:asciiTheme="minorHAnsi" w:eastAsia="Calibri" w:hAnsiTheme="minorHAnsi" w:cstheme="minorHAnsi"/>
                <w:sz w:val="18"/>
                <w:szCs w:val="18"/>
                <w:lang w:val="pt-PT"/>
              </w:rPr>
              <w:t>Direcção</w:t>
            </w:r>
            <w:proofErr w:type="spellEnd"/>
            <w:r w:rsidRPr="004500AE">
              <w:rPr>
                <w:rFonts w:asciiTheme="minorHAnsi" w:eastAsia="Calibri" w:hAnsiTheme="minorHAnsi" w:cstheme="minorHAnsi"/>
                <w:sz w:val="18"/>
                <w:szCs w:val="18"/>
                <w:lang w:val="pt-PT"/>
              </w:rPr>
              <w:t xml:space="preserve"> Provincial de Obras Públicas de Nampula (DPOP-NPL)</w:t>
            </w:r>
          </w:p>
          <w:p w14:paraId="2D1CBDE7"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w:t>
            </w:r>
            <w:proofErr w:type="spellStart"/>
            <w:r w:rsidRPr="004500AE">
              <w:rPr>
                <w:rFonts w:asciiTheme="minorHAnsi" w:eastAsia="Calibri" w:hAnsiTheme="minorHAnsi" w:cstheme="minorHAnsi"/>
                <w:sz w:val="18"/>
                <w:szCs w:val="18"/>
                <w:lang w:val="pt-PT"/>
              </w:rPr>
              <w:t>Direcção</w:t>
            </w:r>
            <w:proofErr w:type="spellEnd"/>
            <w:r w:rsidRPr="004500AE">
              <w:rPr>
                <w:rFonts w:asciiTheme="minorHAnsi" w:eastAsia="Calibri" w:hAnsiTheme="minorHAnsi" w:cstheme="minorHAnsi"/>
                <w:sz w:val="18"/>
                <w:szCs w:val="18"/>
                <w:lang w:val="pt-PT"/>
              </w:rPr>
              <w:t xml:space="preserve"> Provincial de Obras Públicas de Zambézia (DPOP-ZBZ)</w:t>
            </w:r>
          </w:p>
          <w:p w14:paraId="42AE1C43"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Governos Distritais abrangidos</w:t>
            </w:r>
          </w:p>
          <w:p w14:paraId="2C7F0BE9"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Governos municipais abrangidos</w:t>
            </w:r>
          </w:p>
          <w:p w14:paraId="20F8ADC2" w14:textId="795668A4"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Serviços Distritais de </w:t>
            </w:r>
            <w:r w:rsidR="00292532" w:rsidRPr="00292532">
              <w:rPr>
                <w:rFonts w:asciiTheme="minorHAnsi" w:eastAsia="Calibri" w:hAnsiTheme="minorHAnsi" w:cstheme="minorHAnsi"/>
                <w:sz w:val="18"/>
                <w:szCs w:val="18"/>
                <w:lang w:val="pt-PT"/>
              </w:rPr>
              <w:t>Planeamento</w:t>
            </w:r>
            <w:r w:rsidRPr="004500AE">
              <w:rPr>
                <w:rFonts w:asciiTheme="minorHAnsi" w:eastAsia="Calibri" w:hAnsiTheme="minorHAnsi" w:cstheme="minorHAnsi"/>
                <w:sz w:val="18"/>
                <w:szCs w:val="18"/>
                <w:lang w:val="pt-PT"/>
              </w:rPr>
              <w:t xml:space="preserve"> e Infraestruturas </w:t>
            </w:r>
          </w:p>
          <w:p w14:paraId="7F2EA338"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-Lideranças comunitárias nas zonas rurais abrangidas</w:t>
            </w:r>
          </w:p>
          <w:p w14:paraId="3B38A0F1"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lastRenderedPageBreak/>
              <w:t>- Habitantes de vilas e pequenas cidades</w:t>
            </w:r>
          </w:p>
          <w:p w14:paraId="0683124C"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-Habitantes das zonas rurais </w:t>
            </w:r>
          </w:p>
          <w:p w14:paraId="6D61B1CB"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Operadores, empresas e negócios formais do sector de água</w:t>
            </w:r>
          </w:p>
          <w:p w14:paraId="57EE9DD3"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Operadores, empresas e negócios informais do sector de água</w:t>
            </w:r>
          </w:p>
          <w:p w14:paraId="782982D6"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Associações de operadores e dos sistemas de abastecimento de água;</w:t>
            </w:r>
          </w:p>
          <w:p w14:paraId="6B8D4E1D"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Instituições públicas, instituições académicas; centros de saúde e escolas beneficiárias do </w:t>
            </w:r>
            <w:proofErr w:type="spellStart"/>
            <w:r w:rsidRPr="004500AE">
              <w:rPr>
                <w:rFonts w:asciiTheme="minorHAnsi" w:eastAsia="Calibri" w:hAnsiTheme="minorHAnsi" w:cstheme="minorHAnsi"/>
                <w:sz w:val="18"/>
                <w:szCs w:val="18"/>
                <w:lang w:val="pt-PT"/>
              </w:rPr>
              <w:t>projecto</w:t>
            </w:r>
            <w:proofErr w:type="spellEnd"/>
            <w:r w:rsidRPr="004500AE">
              <w:rPr>
                <w:rFonts w:asciiTheme="minorHAnsi" w:eastAsia="Calibri" w:hAnsiTheme="minorHAnsi" w:cstheme="minorHAnsi"/>
                <w:sz w:val="18"/>
                <w:szCs w:val="18"/>
                <w:lang w:val="pt-PT"/>
              </w:rPr>
              <w:t>;</w:t>
            </w:r>
          </w:p>
          <w:p w14:paraId="26FAB0D6" w14:textId="136BFDCC"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Organizações Não Governamentais nacionais e internacionais com </w:t>
            </w:r>
            <w:r w:rsidR="00292532" w:rsidRPr="00292532">
              <w:rPr>
                <w:rFonts w:asciiTheme="minorHAnsi" w:eastAsia="Calibri" w:hAnsiTheme="minorHAnsi" w:cstheme="minorHAnsi"/>
                <w:sz w:val="18"/>
                <w:szCs w:val="18"/>
                <w:lang w:val="pt-PT"/>
              </w:rPr>
              <w:t>interesse</w:t>
            </w:r>
            <w:r w:rsidRPr="004500AE">
              <w:rPr>
                <w:rFonts w:asciiTheme="minorHAnsi" w:eastAsia="Calibri" w:hAnsiTheme="minorHAnsi" w:cstheme="minorHAnsi"/>
                <w:sz w:val="18"/>
                <w:szCs w:val="18"/>
                <w:lang w:val="pt-PT"/>
              </w:rPr>
              <w:t xml:space="preserve"> nas áreas de saneamento e água,</w:t>
            </w:r>
          </w:p>
          <w:p w14:paraId="7A5ED6C8"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Organizações comunitária de Base </w:t>
            </w:r>
          </w:p>
          <w:p w14:paraId="2362BD14"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-Empresas de Construção Civil envolvidas no </w:t>
            </w:r>
            <w:proofErr w:type="spellStart"/>
            <w:r w:rsidRPr="004500AE">
              <w:rPr>
                <w:rFonts w:asciiTheme="minorHAnsi" w:eastAsia="Calibri" w:hAnsiTheme="minorHAnsi" w:cstheme="minorHAnsi"/>
                <w:sz w:val="18"/>
                <w:szCs w:val="18"/>
                <w:lang w:val="pt-PT"/>
              </w:rPr>
              <w:t>projecto</w:t>
            </w:r>
            <w:proofErr w:type="spellEnd"/>
          </w:p>
          <w:p w14:paraId="1DFC7D03"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Empresas de estudos de viabilidade de sistemas de abastecimento de água e saneamento;</w:t>
            </w:r>
          </w:p>
          <w:p w14:paraId="7A54A045"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Trabalhadores das empresas de construção envolvidas no </w:t>
            </w:r>
            <w:proofErr w:type="spellStart"/>
            <w:r w:rsidRPr="004500AE">
              <w:rPr>
                <w:rFonts w:asciiTheme="minorHAnsi" w:eastAsia="Calibri" w:hAnsiTheme="minorHAnsi" w:cstheme="minorHAnsi"/>
                <w:sz w:val="18"/>
                <w:szCs w:val="18"/>
                <w:lang w:val="pt-PT"/>
              </w:rPr>
              <w:t>projecto</w:t>
            </w:r>
            <w:proofErr w:type="spellEnd"/>
          </w:p>
          <w:p w14:paraId="1B958283"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-Trabalhadores do </w:t>
            </w:r>
            <w:proofErr w:type="spellStart"/>
            <w:r w:rsidRPr="004500AE">
              <w:rPr>
                <w:rFonts w:asciiTheme="minorHAnsi" w:eastAsia="Calibri" w:hAnsiTheme="minorHAnsi" w:cstheme="minorHAnsi"/>
                <w:sz w:val="18"/>
                <w:szCs w:val="18"/>
                <w:lang w:val="pt-PT"/>
              </w:rPr>
              <w:t>Projecto</w:t>
            </w:r>
            <w:proofErr w:type="spellEnd"/>
          </w:p>
          <w:p w14:paraId="51BC906A"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-Proprietários das áreas que serão </w:t>
            </w:r>
            <w:proofErr w:type="spellStart"/>
            <w:r w:rsidRPr="004500AE">
              <w:rPr>
                <w:rFonts w:asciiTheme="minorHAnsi" w:eastAsia="Calibri" w:hAnsiTheme="minorHAnsi" w:cstheme="minorHAnsi"/>
                <w:sz w:val="18"/>
                <w:szCs w:val="18"/>
                <w:lang w:val="pt-PT"/>
              </w:rPr>
              <w:t>afectadas</w:t>
            </w:r>
            <w:proofErr w:type="spellEnd"/>
            <w:r w:rsidRPr="004500AE">
              <w:rPr>
                <w:rFonts w:asciiTheme="minorHAnsi" w:eastAsia="Calibri" w:hAnsiTheme="minorHAnsi" w:cstheme="minorHAnsi"/>
                <w:sz w:val="18"/>
                <w:szCs w:val="18"/>
                <w:lang w:val="pt-PT"/>
              </w:rPr>
              <w:t xml:space="preserve"> pelo </w:t>
            </w:r>
            <w:proofErr w:type="spellStart"/>
            <w:r w:rsidRPr="004500AE">
              <w:rPr>
                <w:rFonts w:asciiTheme="minorHAnsi" w:eastAsia="Calibri" w:hAnsiTheme="minorHAnsi" w:cstheme="minorHAnsi"/>
                <w:sz w:val="18"/>
                <w:szCs w:val="18"/>
                <w:lang w:val="pt-PT"/>
              </w:rPr>
              <w:t>projecto</w:t>
            </w:r>
            <w:proofErr w:type="spellEnd"/>
          </w:p>
          <w:p w14:paraId="49FD0E85"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-Administração Regional de Águas (ARA) Norte e ARA Centro</w:t>
            </w:r>
          </w:p>
        </w:tc>
        <w:tc>
          <w:tcPr>
            <w:tcW w:w="0" w:type="dxa"/>
          </w:tcPr>
          <w:p w14:paraId="0C22E042"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lastRenderedPageBreak/>
              <w:t>- Grupos de Mulheres e raparigas e Mulheres que sejam responsáveis pelo agregado familiar</w:t>
            </w:r>
          </w:p>
          <w:p w14:paraId="3101F295"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Pessoas desempregadas e </w:t>
            </w:r>
          </w:p>
          <w:p w14:paraId="32C41738"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pessoas que vivem abaixo da linha de pobreza</w:t>
            </w:r>
          </w:p>
          <w:p w14:paraId="27BB9810"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lastRenderedPageBreak/>
              <w:t>- Pessoas portadoras de deficiência (visual, física, mental)</w:t>
            </w:r>
          </w:p>
          <w:p w14:paraId="62C553AF"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Pessoas que sofrem de doenças provocadas pelo consumo de água imprópria</w:t>
            </w:r>
          </w:p>
          <w:p w14:paraId="4728516B"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Pessoas deslocadas internamente devido à instabilidade na província de Cabo Delgado</w:t>
            </w:r>
          </w:p>
          <w:p w14:paraId="70C83E79"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Pessoas portadoras de doenças crónica</w:t>
            </w:r>
          </w:p>
          <w:p w14:paraId="4D11A889"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Pessoas idosas</w:t>
            </w:r>
          </w:p>
        </w:tc>
      </w:tr>
      <w:tr w:rsidR="003A7D5E" w:rsidRPr="008D18CF" w14:paraId="0B52140B" w14:textId="77777777" w:rsidTr="004500AE">
        <w:trPr>
          <w:jc w:val="center"/>
        </w:trPr>
        <w:tc>
          <w:tcPr>
            <w:cnfStyle w:val="001000000000" w:firstRow="0" w:lastRow="0" w:firstColumn="1" w:lastColumn="0" w:oddVBand="0" w:evenVBand="0" w:oddHBand="0" w:evenHBand="0" w:firstRowFirstColumn="0" w:firstRowLastColumn="0" w:lastRowFirstColumn="0" w:lastRowLastColumn="0"/>
            <w:tcW w:w="0" w:type="dxa"/>
          </w:tcPr>
          <w:p w14:paraId="4CCEEB85" w14:textId="77777777" w:rsidR="003A7D5E" w:rsidRPr="004500AE" w:rsidRDefault="003A7D5E" w:rsidP="003A7D5E">
            <w:pPr>
              <w:rPr>
                <w:rFonts w:asciiTheme="minorHAnsi" w:eastAsia="Calibri" w:hAnsiTheme="minorHAnsi" w:cstheme="minorHAnsi"/>
                <w:i/>
                <w:sz w:val="18"/>
                <w:szCs w:val="18"/>
                <w:lang w:val="pt-PT"/>
              </w:rPr>
            </w:pPr>
            <w:r w:rsidRPr="004500AE">
              <w:rPr>
                <w:rFonts w:asciiTheme="minorHAnsi" w:eastAsia="Calibri" w:hAnsiTheme="minorHAnsi" w:cstheme="minorHAnsi"/>
                <w:i/>
                <w:sz w:val="18"/>
                <w:szCs w:val="18"/>
                <w:lang w:val="pt-PT"/>
              </w:rPr>
              <w:lastRenderedPageBreak/>
              <w:t>Componente 2 - Fortalecimento dos serviços de abastecimento de água e saneamento nas zonas rurais</w:t>
            </w:r>
          </w:p>
        </w:tc>
        <w:tc>
          <w:tcPr>
            <w:tcW w:w="2430" w:type="dxa"/>
          </w:tcPr>
          <w:p w14:paraId="392E1D6A"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Ministério das Obras Públicas, Habitação, e Recursos Hídricos (MOPHRH)</w:t>
            </w:r>
          </w:p>
          <w:p w14:paraId="392B4C04"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w:t>
            </w:r>
            <w:proofErr w:type="spellStart"/>
            <w:r w:rsidRPr="004500AE">
              <w:rPr>
                <w:rFonts w:asciiTheme="minorHAnsi" w:eastAsia="Calibri" w:hAnsiTheme="minorHAnsi" w:cstheme="minorHAnsi"/>
                <w:sz w:val="18"/>
                <w:szCs w:val="18"/>
                <w:lang w:val="pt-PT"/>
              </w:rPr>
              <w:t>Direcção</w:t>
            </w:r>
            <w:proofErr w:type="spellEnd"/>
            <w:r w:rsidRPr="004500AE">
              <w:rPr>
                <w:rFonts w:asciiTheme="minorHAnsi" w:eastAsia="Calibri" w:hAnsiTheme="minorHAnsi" w:cstheme="minorHAnsi"/>
                <w:sz w:val="18"/>
                <w:szCs w:val="18"/>
                <w:lang w:val="pt-PT"/>
              </w:rPr>
              <w:t xml:space="preserve"> Nacional de Abastecimento de Água e Saneamento (DNAAS)</w:t>
            </w:r>
          </w:p>
          <w:p w14:paraId="4D100D7E"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Administração de Infraestruturas de Água e Saneamento (AIAS)</w:t>
            </w:r>
          </w:p>
          <w:p w14:paraId="7BE28505"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Autoridade Reguladora de Águas (AURA)</w:t>
            </w:r>
          </w:p>
          <w:p w14:paraId="3C160063"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w:t>
            </w:r>
            <w:proofErr w:type="spellStart"/>
            <w:r w:rsidRPr="004500AE">
              <w:rPr>
                <w:rFonts w:asciiTheme="minorHAnsi" w:eastAsia="Calibri" w:hAnsiTheme="minorHAnsi" w:cstheme="minorHAnsi"/>
                <w:sz w:val="18"/>
                <w:szCs w:val="18"/>
                <w:lang w:val="pt-PT"/>
              </w:rPr>
              <w:t>Direcção</w:t>
            </w:r>
            <w:proofErr w:type="spellEnd"/>
            <w:r w:rsidRPr="004500AE">
              <w:rPr>
                <w:rFonts w:asciiTheme="minorHAnsi" w:eastAsia="Calibri" w:hAnsiTheme="minorHAnsi" w:cstheme="minorHAnsi"/>
                <w:sz w:val="18"/>
                <w:szCs w:val="18"/>
                <w:lang w:val="pt-PT"/>
              </w:rPr>
              <w:t xml:space="preserve"> Nacional de Gestão de Recursos Hídricos (DNGRH)</w:t>
            </w:r>
          </w:p>
          <w:p w14:paraId="33199B46"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-Governos Provinciais abrangidos</w:t>
            </w:r>
          </w:p>
          <w:p w14:paraId="7866A6F1"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Secretarias do Estado abrangidos</w:t>
            </w:r>
          </w:p>
          <w:p w14:paraId="151F5594"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w:t>
            </w:r>
            <w:proofErr w:type="spellStart"/>
            <w:r w:rsidRPr="004500AE">
              <w:rPr>
                <w:rFonts w:asciiTheme="minorHAnsi" w:eastAsia="Calibri" w:hAnsiTheme="minorHAnsi" w:cstheme="minorHAnsi"/>
                <w:sz w:val="18"/>
                <w:szCs w:val="18"/>
                <w:lang w:val="pt-PT"/>
              </w:rPr>
              <w:t>Direcções</w:t>
            </w:r>
            <w:proofErr w:type="spellEnd"/>
            <w:r w:rsidRPr="004500AE">
              <w:rPr>
                <w:rFonts w:asciiTheme="minorHAnsi" w:eastAsia="Calibri" w:hAnsiTheme="minorHAnsi" w:cstheme="minorHAnsi"/>
                <w:sz w:val="18"/>
                <w:szCs w:val="18"/>
                <w:lang w:val="pt-PT"/>
              </w:rPr>
              <w:t xml:space="preserve"> Provinciais de Obras Públicas (DPOPHRH)</w:t>
            </w:r>
          </w:p>
          <w:p w14:paraId="6E22C323"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Serviços Provinciais de Infraestruturas (SPIE)</w:t>
            </w:r>
          </w:p>
          <w:p w14:paraId="46A514A5"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Média</w:t>
            </w:r>
          </w:p>
          <w:p w14:paraId="4615CC64"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-Banco Mundial</w:t>
            </w:r>
          </w:p>
        </w:tc>
        <w:tc>
          <w:tcPr>
            <w:tcW w:w="0" w:type="dxa"/>
          </w:tcPr>
          <w:p w14:paraId="4D4EF8FC"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w:t>
            </w:r>
            <w:proofErr w:type="spellStart"/>
            <w:r w:rsidRPr="004500AE">
              <w:rPr>
                <w:rFonts w:asciiTheme="minorHAnsi" w:eastAsia="Calibri" w:hAnsiTheme="minorHAnsi" w:cstheme="minorHAnsi"/>
                <w:sz w:val="18"/>
                <w:szCs w:val="18"/>
                <w:lang w:val="pt-PT"/>
              </w:rPr>
              <w:t>Direcção</w:t>
            </w:r>
            <w:proofErr w:type="spellEnd"/>
            <w:r w:rsidRPr="004500AE">
              <w:rPr>
                <w:rFonts w:asciiTheme="minorHAnsi" w:eastAsia="Calibri" w:hAnsiTheme="minorHAnsi" w:cstheme="minorHAnsi"/>
                <w:sz w:val="18"/>
                <w:szCs w:val="18"/>
                <w:lang w:val="pt-PT"/>
              </w:rPr>
              <w:t xml:space="preserve"> Provincial de Obras Públicas de Nampula (DPOP-NPL)</w:t>
            </w:r>
          </w:p>
          <w:p w14:paraId="69B2C186"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w:t>
            </w:r>
            <w:proofErr w:type="spellStart"/>
            <w:r w:rsidRPr="004500AE">
              <w:rPr>
                <w:rFonts w:asciiTheme="minorHAnsi" w:eastAsia="Calibri" w:hAnsiTheme="minorHAnsi" w:cstheme="minorHAnsi"/>
                <w:sz w:val="18"/>
                <w:szCs w:val="18"/>
                <w:lang w:val="pt-PT"/>
              </w:rPr>
              <w:t>Direcção</w:t>
            </w:r>
            <w:proofErr w:type="spellEnd"/>
            <w:r w:rsidRPr="004500AE">
              <w:rPr>
                <w:rFonts w:asciiTheme="minorHAnsi" w:eastAsia="Calibri" w:hAnsiTheme="minorHAnsi" w:cstheme="minorHAnsi"/>
                <w:sz w:val="18"/>
                <w:szCs w:val="18"/>
                <w:lang w:val="pt-PT"/>
              </w:rPr>
              <w:t xml:space="preserve"> Provincial de Obras Públicas de Zambézia (DPOP-ZBZ)</w:t>
            </w:r>
          </w:p>
          <w:p w14:paraId="09B713B1"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Governos Distritais abrangidos</w:t>
            </w:r>
          </w:p>
          <w:p w14:paraId="4F7B10E4"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Governos municipais abrangidos</w:t>
            </w:r>
          </w:p>
          <w:p w14:paraId="3F43DF62" w14:textId="32DA9145"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Serviços Distritais de </w:t>
            </w:r>
            <w:r w:rsidR="00292532" w:rsidRPr="00292532">
              <w:rPr>
                <w:rFonts w:asciiTheme="minorHAnsi" w:eastAsia="Calibri" w:hAnsiTheme="minorHAnsi" w:cstheme="minorHAnsi"/>
                <w:sz w:val="18"/>
                <w:szCs w:val="18"/>
                <w:lang w:val="pt-PT"/>
              </w:rPr>
              <w:t>Planeamento</w:t>
            </w:r>
            <w:r w:rsidRPr="004500AE">
              <w:rPr>
                <w:rFonts w:asciiTheme="minorHAnsi" w:eastAsia="Calibri" w:hAnsiTheme="minorHAnsi" w:cstheme="minorHAnsi"/>
                <w:sz w:val="18"/>
                <w:szCs w:val="18"/>
                <w:lang w:val="pt-PT"/>
              </w:rPr>
              <w:t xml:space="preserve"> e Infraestruturas </w:t>
            </w:r>
          </w:p>
          <w:p w14:paraId="29DD834D"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-Lideranças comunitárias nas zonas rurais abrangidas</w:t>
            </w:r>
          </w:p>
          <w:p w14:paraId="3202EC80"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Habitantes de vilas e pequenas cidades</w:t>
            </w:r>
          </w:p>
          <w:p w14:paraId="3537C7F0"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-Habitantes das zonas rurais </w:t>
            </w:r>
          </w:p>
          <w:p w14:paraId="37FE0912"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Operadores, empresas e negócios formais do sector de saneamento</w:t>
            </w:r>
          </w:p>
          <w:p w14:paraId="27AECAF0"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Operadores, empresas e negócios informais do sector de saneamento </w:t>
            </w:r>
          </w:p>
          <w:p w14:paraId="77AC1307" w14:textId="64D787CC"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Associações de operadores e dos sistemas de água e </w:t>
            </w:r>
            <w:r w:rsidR="00292532" w:rsidRPr="00292532">
              <w:rPr>
                <w:rFonts w:asciiTheme="minorHAnsi" w:eastAsia="Calibri" w:hAnsiTheme="minorHAnsi" w:cstheme="minorHAnsi"/>
                <w:sz w:val="18"/>
                <w:szCs w:val="18"/>
                <w:lang w:val="pt-PT"/>
              </w:rPr>
              <w:t>saneamento</w:t>
            </w:r>
          </w:p>
          <w:p w14:paraId="1F62FC70"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Instituições públicas, instituições académicas; centros de saúde e escolas beneficiárias do </w:t>
            </w:r>
            <w:proofErr w:type="spellStart"/>
            <w:r w:rsidRPr="004500AE">
              <w:rPr>
                <w:rFonts w:asciiTheme="minorHAnsi" w:eastAsia="Calibri" w:hAnsiTheme="minorHAnsi" w:cstheme="minorHAnsi"/>
                <w:sz w:val="18"/>
                <w:szCs w:val="18"/>
                <w:lang w:val="pt-PT"/>
              </w:rPr>
              <w:t>projecto</w:t>
            </w:r>
            <w:proofErr w:type="spellEnd"/>
            <w:r w:rsidRPr="004500AE">
              <w:rPr>
                <w:rFonts w:asciiTheme="minorHAnsi" w:eastAsia="Calibri" w:hAnsiTheme="minorHAnsi" w:cstheme="minorHAnsi"/>
                <w:sz w:val="18"/>
                <w:szCs w:val="18"/>
                <w:lang w:val="pt-PT"/>
              </w:rPr>
              <w:t>;</w:t>
            </w:r>
          </w:p>
          <w:p w14:paraId="337B2922" w14:textId="38FFE8DA"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Organizações não Governamentais nacionais e internacionais com </w:t>
            </w:r>
            <w:r w:rsidR="00292532" w:rsidRPr="00292532">
              <w:rPr>
                <w:rFonts w:asciiTheme="minorHAnsi" w:eastAsia="Calibri" w:hAnsiTheme="minorHAnsi" w:cstheme="minorHAnsi"/>
                <w:sz w:val="18"/>
                <w:szCs w:val="18"/>
                <w:lang w:val="pt-PT"/>
              </w:rPr>
              <w:t>interesse</w:t>
            </w:r>
            <w:r w:rsidRPr="004500AE">
              <w:rPr>
                <w:rFonts w:asciiTheme="minorHAnsi" w:eastAsia="Calibri" w:hAnsiTheme="minorHAnsi" w:cstheme="minorHAnsi"/>
                <w:sz w:val="18"/>
                <w:szCs w:val="18"/>
                <w:lang w:val="pt-PT"/>
              </w:rPr>
              <w:t xml:space="preserve"> nas áreas de saneamento e água,</w:t>
            </w:r>
          </w:p>
          <w:p w14:paraId="16E5CC07"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Organizações comunitária de Base </w:t>
            </w:r>
          </w:p>
          <w:p w14:paraId="08D0F7BF"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-Empresas de Construção Civil envolvidas no </w:t>
            </w:r>
            <w:proofErr w:type="spellStart"/>
            <w:r w:rsidRPr="004500AE">
              <w:rPr>
                <w:rFonts w:asciiTheme="minorHAnsi" w:eastAsia="Calibri" w:hAnsiTheme="minorHAnsi" w:cstheme="minorHAnsi"/>
                <w:sz w:val="18"/>
                <w:szCs w:val="18"/>
                <w:lang w:val="pt-PT"/>
              </w:rPr>
              <w:t>projecto</w:t>
            </w:r>
            <w:proofErr w:type="spellEnd"/>
          </w:p>
          <w:p w14:paraId="53BD0DA3"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Empresas de estudos de viabilidade de sistemas de abastecimento de água e saneamento;</w:t>
            </w:r>
          </w:p>
          <w:p w14:paraId="16C10959"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Trabalhadores das empresas de construção envolvidas no </w:t>
            </w:r>
            <w:proofErr w:type="spellStart"/>
            <w:r w:rsidRPr="004500AE">
              <w:rPr>
                <w:rFonts w:asciiTheme="minorHAnsi" w:eastAsia="Calibri" w:hAnsiTheme="minorHAnsi" w:cstheme="minorHAnsi"/>
                <w:sz w:val="18"/>
                <w:szCs w:val="18"/>
                <w:lang w:val="pt-PT"/>
              </w:rPr>
              <w:t>projecto</w:t>
            </w:r>
            <w:proofErr w:type="spellEnd"/>
          </w:p>
          <w:p w14:paraId="06905ABA"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-Trabalhadores do </w:t>
            </w:r>
            <w:proofErr w:type="spellStart"/>
            <w:r w:rsidRPr="004500AE">
              <w:rPr>
                <w:rFonts w:asciiTheme="minorHAnsi" w:eastAsia="Calibri" w:hAnsiTheme="minorHAnsi" w:cstheme="minorHAnsi"/>
                <w:sz w:val="18"/>
                <w:szCs w:val="18"/>
                <w:lang w:val="pt-PT"/>
              </w:rPr>
              <w:t>Projecto</w:t>
            </w:r>
            <w:proofErr w:type="spellEnd"/>
          </w:p>
          <w:p w14:paraId="6AF5384E"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lastRenderedPageBreak/>
              <w:t xml:space="preserve">-Proprietários das áreas que serão </w:t>
            </w:r>
            <w:proofErr w:type="spellStart"/>
            <w:r w:rsidRPr="004500AE">
              <w:rPr>
                <w:rFonts w:asciiTheme="minorHAnsi" w:eastAsia="Calibri" w:hAnsiTheme="minorHAnsi" w:cstheme="minorHAnsi"/>
                <w:sz w:val="18"/>
                <w:szCs w:val="18"/>
                <w:lang w:val="pt-PT"/>
              </w:rPr>
              <w:t>afectadas</w:t>
            </w:r>
            <w:proofErr w:type="spellEnd"/>
            <w:r w:rsidRPr="004500AE">
              <w:rPr>
                <w:rFonts w:asciiTheme="minorHAnsi" w:eastAsia="Calibri" w:hAnsiTheme="minorHAnsi" w:cstheme="minorHAnsi"/>
                <w:sz w:val="18"/>
                <w:szCs w:val="18"/>
                <w:lang w:val="pt-PT"/>
              </w:rPr>
              <w:t xml:space="preserve"> pelo </w:t>
            </w:r>
            <w:proofErr w:type="spellStart"/>
            <w:r w:rsidRPr="004500AE">
              <w:rPr>
                <w:rFonts w:asciiTheme="minorHAnsi" w:eastAsia="Calibri" w:hAnsiTheme="minorHAnsi" w:cstheme="minorHAnsi"/>
                <w:sz w:val="18"/>
                <w:szCs w:val="18"/>
                <w:lang w:val="pt-PT"/>
              </w:rPr>
              <w:t>projecto</w:t>
            </w:r>
            <w:proofErr w:type="spellEnd"/>
          </w:p>
          <w:p w14:paraId="5C7E0504"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-Administração Regional de Águas (ARA) Norte e ARA Centro</w:t>
            </w:r>
          </w:p>
        </w:tc>
        <w:tc>
          <w:tcPr>
            <w:tcW w:w="0" w:type="dxa"/>
          </w:tcPr>
          <w:p w14:paraId="69934DE1"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lastRenderedPageBreak/>
              <w:t>- Grupos de Mulheres e raparigas e Mulheres que sejam responsáveis pelo agregado familiar</w:t>
            </w:r>
          </w:p>
          <w:p w14:paraId="531FB25D"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Pessoas desempregadas e </w:t>
            </w:r>
          </w:p>
          <w:p w14:paraId="020A7CC5"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pessoas que vivem abaixo da linha de pobreza</w:t>
            </w:r>
          </w:p>
          <w:p w14:paraId="67614304"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Pessoas portadoras de deficiência (visual, física, mental)</w:t>
            </w:r>
          </w:p>
          <w:p w14:paraId="1954EC2A"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Pessoas que sofrem de doenças provocadas pelo consumo de água imprópria</w:t>
            </w:r>
          </w:p>
          <w:p w14:paraId="69F4CD77"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Pessoas deslocadas internamente devido à instabilidade na província de Cabo Delgado</w:t>
            </w:r>
          </w:p>
          <w:p w14:paraId="6F7B2FA2"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Pessoas portadoras de doenças crónica</w:t>
            </w:r>
          </w:p>
          <w:p w14:paraId="63DF5F26"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Pessoas idosas</w:t>
            </w:r>
          </w:p>
        </w:tc>
      </w:tr>
      <w:tr w:rsidR="003A7D5E" w:rsidRPr="008D18CF" w14:paraId="560CEE52" w14:textId="77777777" w:rsidTr="004500AE">
        <w:trPr>
          <w:jc w:val="center"/>
        </w:trPr>
        <w:tc>
          <w:tcPr>
            <w:cnfStyle w:val="001000000000" w:firstRow="0" w:lastRow="0" w:firstColumn="1" w:lastColumn="0" w:oddVBand="0" w:evenVBand="0" w:oddHBand="0" w:evenHBand="0" w:firstRowFirstColumn="0" w:firstRowLastColumn="0" w:lastRowFirstColumn="0" w:lastRowLastColumn="0"/>
            <w:tcW w:w="0" w:type="dxa"/>
          </w:tcPr>
          <w:p w14:paraId="66D7984D" w14:textId="77777777" w:rsidR="003A7D5E" w:rsidRPr="004500AE" w:rsidRDefault="003A7D5E" w:rsidP="003A7D5E">
            <w:pPr>
              <w:rPr>
                <w:rFonts w:asciiTheme="minorHAnsi" w:eastAsia="Calibri" w:hAnsiTheme="minorHAnsi" w:cstheme="minorHAnsi"/>
                <w:sz w:val="18"/>
                <w:szCs w:val="18"/>
                <w:lang w:val="pt-PT"/>
              </w:rPr>
            </w:pPr>
            <w:r w:rsidRPr="004500AE">
              <w:rPr>
                <w:rFonts w:asciiTheme="minorHAnsi" w:eastAsia="Calibri" w:hAnsiTheme="minorHAnsi" w:cstheme="minorHAnsi"/>
                <w:i/>
                <w:sz w:val="18"/>
                <w:szCs w:val="18"/>
                <w:lang w:val="pt-PT"/>
              </w:rPr>
              <w:t>Componente 3 –</w:t>
            </w:r>
            <w:r w:rsidRPr="004500AE">
              <w:rPr>
                <w:rFonts w:asciiTheme="minorHAnsi" w:eastAsia="Calibri" w:hAnsiTheme="minorHAnsi" w:cstheme="minorHAnsi"/>
                <w:lang w:val="pt-PT"/>
              </w:rPr>
              <w:t xml:space="preserve"> </w:t>
            </w:r>
            <w:r w:rsidRPr="004500AE">
              <w:rPr>
                <w:rFonts w:asciiTheme="minorHAnsi" w:eastAsia="Calibri" w:hAnsiTheme="minorHAnsi" w:cstheme="minorHAnsi"/>
                <w:i/>
                <w:sz w:val="18"/>
                <w:szCs w:val="18"/>
                <w:lang w:val="pt-PT"/>
              </w:rPr>
              <w:t xml:space="preserve">Apoio institucional e à gestão do </w:t>
            </w:r>
            <w:proofErr w:type="spellStart"/>
            <w:r w:rsidRPr="004500AE">
              <w:rPr>
                <w:rFonts w:asciiTheme="minorHAnsi" w:eastAsia="Calibri" w:hAnsiTheme="minorHAnsi" w:cstheme="minorHAnsi"/>
                <w:i/>
                <w:sz w:val="18"/>
                <w:szCs w:val="18"/>
                <w:lang w:val="pt-PT"/>
              </w:rPr>
              <w:t>projecto</w:t>
            </w:r>
            <w:proofErr w:type="spellEnd"/>
            <w:r w:rsidRPr="004500AE" w:rsidDel="005F2D50">
              <w:rPr>
                <w:rFonts w:asciiTheme="minorHAnsi" w:eastAsia="Calibri" w:hAnsiTheme="minorHAnsi" w:cstheme="minorHAnsi"/>
                <w:i/>
                <w:sz w:val="18"/>
                <w:szCs w:val="18"/>
                <w:lang w:val="pt-PT"/>
              </w:rPr>
              <w:t xml:space="preserve"> </w:t>
            </w:r>
          </w:p>
          <w:p w14:paraId="77FAA58D" w14:textId="77777777" w:rsidR="003A7D5E" w:rsidRPr="004500AE" w:rsidRDefault="003A7D5E" w:rsidP="003A7D5E">
            <w:pPr>
              <w:rPr>
                <w:rFonts w:asciiTheme="minorHAnsi" w:eastAsia="Calibri" w:hAnsiTheme="minorHAnsi" w:cstheme="minorHAnsi"/>
                <w:i/>
                <w:sz w:val="18"/>
                <w:szCs w:val="18"/>
                <w:lang w:val="pt-PT"/>
              </w:rPr>
            </w:pPr>
          </w:p>
        </w:tc>
        <w:tc>
          <w:tcPr>
            <w:tcW w:w="2430" w:type="dxa"/>
          </w:tcPr>
          <w:p w14:paraId="65ADFB6C"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Associação Internacional de Desenvolvimento (IDA)</w:t>
            </w:r>
          </w:p>
          <w:p w14:paraId="5E9338F9"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Ministério das Obras Públicas, Habitação, e Recursos Hídricos (MOPHRH)</w:t>
            </w:r>
          </w:p>
          <w:p w14:paraId="50FD8106"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w:t>
            </w:r>
            <w:proofErr w:type="spellStart"/>
            <w:r w:rsidRPr="004500AE">
              <w:rPr>
                <w:rFonts w:asciiTheme="minorHAnsi" w:eastAsia="Calibri" w:hAnsiTheme="minorHAnsi" w:cstheme="minorHAnsi"/>
                <w:sz w:val="18"/>
                <w:szCs w:val="18"/>
                <w:lang w:val="pt-PT"/>
              </w:rPr>
              <w:t>Direcção</w:t>
            </w:r>
            <w:proofErr w:type="spellEnd"/>
            <w:r w:rsidRPr="004500AE">
              <w:rPr>
                <w:rFonts w:asciiTheme="minorHAnsi" w:eastAsia="Calibri" w:hAnsiTheme="minorHAnsi" w:cstheme="minorHAnsi"/>
                <w:sz w:val="18"/>
                <w:szCs w:val="18"/>
                <w:lang w:val="pt-PT"/>
              </w:rPr>
              <w:t xml:space="preserve"> Nacional de Abastecimento de Água e Saneamento (DNAAS)</w:t>
            </w:r>
          </w:p>
          <w:p w14:paraId="284B917B"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Administração de Infraestruturas de Água e Saneamento (AIAS)</w:t>
            </w:r>
          </w:p>
          <w:p w14:paraId="7618EE67"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Autoridade Reguladora de Águas (AURA)</w:t>
            </w:r>
          </w:p>
          <w:p w14:paraId="357ED3A3"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w:t>
            </w:r>
            <w:proofErr w:type="spellStart"/>
            <w:r w:rsidRPr="004500AE">
              <w:rPr>
                <w:rFonts w:asciiTheme="minorHAnsi" w:eastAsia="Calibri" w:hAnsiTheme="minorHAnsi" w:cstheme="minorHAnsi"/>
                <w:sz w:val="18"/>
                <w:szCs w:val="18"/>
                <w:lang w:val="pt-PT"/>
              </w:rPr>
              <w:t>Direcção</w:t>
            </w:r>
            <w:proofErr w:type="spellEnd"/>
            <w:r w:rsidRPr="004500AE">
              <w:rPr>
                <w:rFonts w:asciiTheme="minorHAnsi" w:eastAsia="Calibri" w:hAnsiTheme="minorHAnsi" w:cstheme="minorHAnsi"/>
                <w:sz w:val="18"/>
                <w:szCs w:val="18"/>
                <w:lang w:val="pt-PT"/>
              </w:rPr>
              <w:t xml:space="preserve"> Nacional de Gestão de Recursos Hídricos (DNGRH)</w:t>
            </w:r>
          </w:p>
          <w:p w14:paraId="5D89F58C"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Fundo de Investimento e Património do Abastecimento de Água (FIPAG)</w:t>
            </w:r>
          </w:p>
          <w:p w14:paraId="109DD3D4"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ARA Norte e ARA Centro</w:t>
            </w:r>
          </w:p>
          <w:p w14:paraId="11D428EF"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w:t>
            </w:r>
            <w:proofErr w:type="spellStart"/>
            <w:r w:rsidRPr="004500AE">
              <w:rPr>
                <w:rFonts w:asciiTheme="minorHAnsi" w:eastAsia="Calibri" w:hAnsiTheme="minorHAnsi" w:cstheme="minorHAnsi"/>
                <w:sz w:val="18"/>
                <w:szCs w:val="18"/>
                <w:lang w:val="pt-PT"/>
              </w:rPr>
              <w:t>Direcções</w:t>
            </w:r>
            <w:proofErr w:type="spellEnd"/>
            <w:r w:rsidRPr="004500AE">
              <w:rPr>
                <w:rFonts w:asciiTheme="minorHAnsi" w:eastAsia="Calibri" w:hAnsiTheme="minorHAnsi" w:cstheme="minorHAnsi"/>
                <w:sz w:val="18"/>
                <w:szCs w:val="18"/>
                <w:lang w:val="pt-PT"/>
              </w:rPr>
              <w:t xml:space="preserve"> Provinciais de Obras Públicas (</w:t>
            </w:r>
            <w:proofErr w:type="spellStart"/>
            <w:r w:rsidRPr="004500AE">
              <w:rPr>
                <w:rFonts w:asciiTheme="minorHAnsi" w:eastAsia="Calibri" w:hAnsiTheme="minorHAnsi" w:cstheme="minorHAnsi"/>
                <w:sz w:val="18"/>
                <w:szCs w:val="18"/>
                <w:lang w:val="pt-PT"/>
              </w:rPr>
              <w:t>DPOPs</w:t>
            </w:r>
            <w:proofErr w:type="spellEnd"/>
            <w:r w:rsidRPr="004500AE">
              <w:rPr>
                <w:rFonts w:asciiTheme="minorHAnsi" w:eastAsia="Calibri" w:hAnsiTheme="minorHAnsi" w:cstheme="minorHAnsi"/>
                <w:sz w:val="18"/>
                <w:szCs w:val="18"/>
                <w:lang w:val="pt-PT"/>
              </w:rPr>
              <w:t>)</w:t>
            </w:r>
          </w:p>
          <w:p w14:paraId="13332627"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Serviços Provinciais de Infraestruturas (SPIE)</w:t>
            </w:r>
          </w:p>
          <w:p w14:paraId="2C4B6B07" w14:textId="38B41D6C"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Serviços Distritais de Planeamento e Infraestruturas dos</w:t>
            </w:r>
            <w:r w:rsidR="00292532">
              <w:rPr>
                <w:rFonts w:asciiTheme="minorHAnsi" w:eastAsia="Calibri" w:hAnsiTheme="minorHAnsi" w:cstheme="minorHAnsi"/>
                <w:sz w:val="18"/>
                <w:szCs w:val="18"/>
                <w:lang w:val="pt-PT"/>
              </w:rPr>
              <w:t xml:space="preserve"> </w:t>
            </w:r>
            <w:r w:rsidRPr="004500AE">
              <w:rPr>
                <w:rFonts w:asciiTheme="minorHAnsi" w:eastAsia="Calibri" w:hAnsiTheme="minorHAnsi" w:cstheme="minorHAnsi"/>
                <w:sz w:val="18"/>
                <w:szCs w:val="18"/>
                <w:lang w:val="pt-PT"/>
              </w:rPr>
              <w:t xml:space="preserve">distritos </w:t>
            </w:r>
            <w:r w:rsidR="00292532" w:rsidRPr="00292532">
              <w:rPr>
                <w:rFonts w:asciiTheme="minorHAnsi" w:eastAsia="Calibri" w:hAnsiTheme="minorHAnsi" w:cstheme="minorHAnsi"/>
                <w:sz w:val="18"/>
                <w:szCs w:val="18"/>
                <w:lang w:val="pt-PT"/>
              </w:rPr>
              <w:t>abrangidos</w:t>
            </w:r>
          </w:p>
        </w:tc>
        <w:tc>
          <w:tcPr>
            <w:tcW w:w="0" w:type="dxa"/>
          </w:tcPr>
          <w:p w14:paraId="6455C29C"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w:t>
            </w:r>
            <w:proofErr w:type="spellStart"/>
            <w:r w:rsidRPr="004500AE">
              <w:rPr>
                <w:rFonts w:asciiTheme="minorHAnsi" w:eastAsia="Calibri" w:hAnsiTheme="minorHAnsi" w:cstheme="minorHAnsi"/>
                <w:sz w:val="18"/>
                <w:szCs w:val="18"/>
                <w:lang w:val="pt-PT"/>
              </w:rPr>
              <w:t>Direcção</w:t>
            </w:r>
            <w:proofErr w:type="spellEnd"/>
            <w:r w:rsidRPr="004500AE">
              <w:rPr>
                <w:rFonts w:asciiTheme="minorHAnsi" w:eastAsia="Calibri" w:hAnsiTheme="minorHAnsi" w:cstheme="minorHAnsi"/>
                <w:sz w:val="18"/>
                <w:szCs w:val="18"/>
                <w:lang w:val="pt-PT"/>
              </w:rPr>
              <w:t xml:space="preserve"> Provincial de Obras Públicas de Nampula (DPOP-NPL)</w:t>
            </w:r>
          </w:p>
          <w:p w14:paraId="4917B70F"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w:t>
            </w:r>
            <w:proofErr w:type="spellStart"/>
            <w:r w:rsidRPr="004500AE">
              <w:rPr>
                <w:rFonts w:asciiTheme="minorHAnsi" w:eastAsia="Calibri" w:hAnsiTheme="minorHAnsi" w:cstheme="minorHAnsi"/>
                <w:sz w:val="18"/>
                <w:szCs w:val="18"/>
                <w:lang w:val="pt-PT"/>
              </w:rPr>
              <w:t>Direcção</w:t>
            </w:r>
            <w:proofErr w:type="spellEnd"/>
            <w:r w:rsidRPr="004500AE">
              <w:rPr>
                <w:rFonts w:asciiTheme="minorHAnsi" w:eastAsia="Calibri" w:hAnsiTheme="minorHAnsi" w:cstheme="minorHAnsi"/>
                <w:sz w:val="18"/>
                <w:szCs w:val="18"/>
                <w:lang w:val="pt-PT"/>
              </w:rPr>
              <w:t xml:space="preserve"> Provincial de Obras Públicas de Zambézia (DPOP-ZBZ)</w:t>
            </w:r>
          </w:p>
          <w:p w14:paraId="2DD692DE"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Autoridade Reguladora de Águas (AURA)- Nacional e Provinciais</w:t>
            </w:r>
          </w:p>
          <w:p w14:paraId="1BCD0F04"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Vereação de Infraestruturas Água e Saneamento</w:t>
            </w:r>
          </w:p>
          <w:p w14:paraId="24C5C10E"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Operadores, empresas e negócios formais do sector de água</w:t>
            </w:r>
          </w:p>
          <w:p w14:paraId="518BFD31"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Operadores, empresas e negócios informais do sector de água;</w:t>
            </w:r>
          </w:p>
          <w:p w14:paraId="027D291B"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Operadores informais do sector de água</w:t>
            </w:r>
          </w:p>
          <w:p w14:paraId="169E9E4B"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Governos Distritais das províncias de Nampula e Zambézia onde o </w:t>
            </w:r>
            <w:proofErr w:type="spellStart"/>
            <w:r w:rsidRPr="004500AE">
              <w:rPr>
                <w:rFonts w:asciiTheme="minorHAnsi" w:eastAsia="Calibri" w:hAnsiTheme="minorHAnsi" w:cstheme="minorHAnsi"/>
                <w:sz w:val="18"/>
                <w:szCs w:val="18"/>
                <w:lang w:val="pt-PT"/>
              </w:rPr>
              <w:t>projecto</w:t>
            </w:r>
            <w:proofErr w:type="spellEnd"/>
            <w:r w:rsidRPr="004500AE">
              <w:rPr>
                <w:rFonts w:asciiTheme="minorHAnsi" w:eastAsia="Calibri" w:hAnsiTheme="minorHAnsi" w:cstheme="minorHAnsi"/>
                <w:sz w:val="18"/>
                <w:szCs w:val="18"/>
                <w:lang w:val="pt-PT"/>
              </w:rPr>
              <w:t xml:space="preserve"> será implementado</w:t>
            </w:r>
          </w:p>
          <w:p w14:paraId="5E2B608A"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Comités comunitários de gestão de água</w:t>
            </w:r>
          </w:p>
          <w:p w14:paraId="41236EF1"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Agentes de Gestão de sistemas de abastecimento de água </w:t>
            </w:r>
          </w:p>
          <w:p w14:paraId="0763E11B" w14:textId="77777777" w:rsidR="003A7D5E" w:rsidRPr="004500AE" w:rsidRDefault="003A7D5E" w:rsidP="003A7D5E">
            <w:pPr>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p>
        </w:tc>
        <w:tc>
          <w:tcPr>
            <w:tcW w:w="0" w:type="dxa"/>
          </w:tcPr>
          <w:p w14:paraId="1DBF7C36" w14:textId="77777777" w:rsidR="003A7D5E" w:rsidRPr="004500AE" w:rsidRDefault="003A7D5E" w:rsidP="003A7D5E">
            <w:pPr>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p>
        </w:tc>
      </w:tr>
      <w:tr w:rsidR="003A7D5E" w:rsidRPr="008D18CF" w14:paraId="7FE43F74" w14:textId="77777777" w:rsidTr="004500AE">
        <w:trPr>
          <w:jc w:val="center"/>
        </w:trPr>
        <w:tc>
          <w:tcPr>
            <w:cnfStyle w:val="001000000000" w:firstRow="0" w:lastRow="0" w:firstColumn="1" w:lastColumn="0" w:oddVBand="0" w:evenVBand="0" w:oddHBand="0" w:evenHBand="0" w:firstRowFirstColumn="0" w:firstRowLastColumn="0" w:lastRowFirstColumn="0" w:lastRowLastColumn="0"/>
            <w:tcW w:w="0" w:type="dxa"/>
          </w:tcPr>
          <w:p w14:paraId="491F9D4D" w14:textId="77777777" w:rsidR="003A7D5E" w:rsidRPr="004500AE" w:rsidRDefault="003A7D5E" w:rsidP="003A7D5E">
            <w:pPr>
              <w:rPr>
                <w:rFonts w:asciiTheme="minorHAnsi" w:eastAsia="Calibri" w:hAnsiTheme="minorHAnsi" w:cstheme="minorHAnsi"/>
                <w:i/>
                <w:sz w:val="18"/>
                <w:szCs w:val="18"/>
                <w:lang w:val="pt-PT"/>
              </w:rPr>
            </w:pPr>
            <w:r w:rsidRPr="004500AE">
              <w:rPr>
                <w:rFonts w:asciiTheme="minorHAnsi" w:eastAsia="Calibri" w:hAnsiTheme="minorHAnsi" w:cstheme="minorHAnsi"/>
                <w:i/>
                <w:sz w:val="18"/>
                <w:szCs w:val="18"/>
                <w:lang w:val="pt-PT"/>
              </w:rPr>
              <w:t>Componente 4 – Componente de resposta de emergência contingente – CERC</w:t>
            </w:r>
          </w:p>
        </w:tc>
        <w:tc>
          <w:tcPr>
            <w:tcW w:w="2430" w:type="dxa"/>
          </w:tcPr>
          <w:p w14:paraId="5CE260D2"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Governo de Moçambique</w:t>
            </w:r>
          </w:p>
          <w:p w14:paraId="73A94DEC"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Banco Mundial</w:t>
            </w:r>
          </w:p>
        </w:tc>
        <w:tc>
          <w:tcPr>
            <w:tcW w:w="0" w:type="dxa"/>
          </w:tcPr>
          <w:p w14:paraId="411F5DAE"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Ministério das Obras Públicas, Habitação, e Recursos Hídricos (MOPHRH)</w:t>
            </w:r>
          </w:p>
          <w:p w14:paraId="6B59BB4B"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w:t>
            </w:r>
            <w:proofErr w:type="spellStart"/>
            <w:r w:rsidRPr="004500AE">
              <w:rPr>
                <w:rFonts w:asciiTheme="minorHAnsi" w:eastAsia="Calibri" w:hAnsiTheme="minorHAnsi" w:cstheme="minorHAnsi"/>
                <w:sz w:val="18"/>
                <w:szCs w:val="18"/>
                <w:lang w:val="pt-PT"/>
              </w:rPr>
              <w:t>Direcção</w:t>
            </w:r>
            <w:proofErr w:type="spellEnd"/>
            <w:r w:rsidRPr="004500AE">
              <w:rPr>
                <w:rFonts w:asciiTheme="minorHAnsi" w:eastAsia="Calibri" w:hAnsiTheme="minorHAnsi" w:cstheme="minorHAnsi"/>
                <w:sz w:val="18"/>
                <w:szCs w:val="18"/>
                <w:lang w:val="pt-PT"/>
              </w:rPr>
              <w:t xml:space="preserve"> Nacional de Abastecimento de Água e Saneamento (DNAAS)</w:t>
            </w:r>
          </w:p>
          <w:p w14:paraId="6C731957"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Administração de Infraestruturas de Água e Saneamento (AIAS)</w:t>
            </w:r>
          </w:p>
          <w:p w14:paraId="16A00A6E"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Autoridade Reguladora de Águas (AURA)</w:t>
            </w:r>
          </w:p>
          <w:p w14:paraId="14BCE020"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w:t>
            </w:r>
            <w:proofErr w:type="spellStart"/>
            <w:r w:rsidRPr="004500AE">
              <w:rPr>
                <w:rFonts w:asciiTheme="minorHAnsi" w:eastAsia="Calibri" w:hAnsiTheme="minorHAnsi" w:cstheme="minorHAnsi"/>
                <w:sz w:val="18"/>
                <w:szCs w:val="18"/>
                <w:lang w:val="pt-PT"/>
              </w:rPr>
              <w:t>Direcção</w:t>
            </w:r>
            <w:proofErr w:type="spellEnd"/>
            <w:r w:rsidRPr="004500AE">
              <w:rPr>
                <w:rFonts w:asciiTheme="minorHAnsi" w:eastAsia="Calibri" w:hAnsiTheme="minorHAnsi" w:cstheme="minorHAnsi"/>
                <w:sz w:val="18"/>
                <w:szCs w:val="18"/>
                <w:lang w:val="pt-PT"/>
              </w:rPr>
              <w:t xml:space="preserve"> Nacional de Gestão de Recursos Hídricos (DNGRH)</w:t>
            </w:r>
          </w:p>
          <w:p w14:paraId="2CEEEE03"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w:t>
            </w:r>
            <w:proofErr w:type="spellStart"/>
            <w:r w:rsidRPr="004500AE">
              <w:rPr>
                <w:rFonts w:asciiTheme="minorHAnsi" w:eastAsia="Calibri" w:hAnsiTheme="minorHAnsi" w:cstheme="minorHAnsi"/>
                <w:sz w:val="18"/>
                <w:szCs w:val="18"/>
                <w:lang w:val="pt-PT"/>
              </w:rPr>
              <w:t>Direcções</w:t>
            </w:r>
            <w:proofErr w:type="spellEnd"/>
            <w:r w:rsidRPr="004500AE">
              <w:rPr>
                <w:rFonts w:asciiTheme="minorHAnsi" w:eastAsia="Calibri" w:hAnsiTheme="minorHAnsi" w:cstheme="minorHAnsi"/>
                <w:sz w:val="18"/>
                <w:szCs w:val="18"/>
                <w:lang w:val="pt-PT"/>
              </w:rPr>
              <w:t xml:space="preserve"> Provinciais de Obras Públicas (</w:t>
            </w:r>
            <w:proofErr w:type="spellStart"/>
            <w:r w:rsidRPr="004500AE">
              <w:rPr>
                <w:rFonts w:asciiTheme="minorHAnsi" w:eastAsia="Calibri" w:hAnsiTheme="minorHAnsi" w:cstheme="minorHAnsi"/>
                <w:sz w:val="18"/>
                <w:szCs w:val="18"/>
                <w:lang w:val="pt-PT"/>
              </w:rPr>
              <w:t>DPOPs</w:t>
            </w:r>
            <w:proofErr w:type="spellEnd"/>
            <w:r w:rsidRPr="004500AE">
              <w:rPr>
                <w:rFonts w:asciiTheme="minorHAnsi" w:eastAsia="Calibri" w:hAnsiTheme="minorHAnsi" w:cstheme="minorHAnsi"/>
                <w:sz w:val="18"/>
                <w:szCs w:val="18"/>
                <w:lang w:val="pt-PT"/>
              </w:rPr>
              <w:t>)</w:t>
            </w:r>
          </w:p>
          <w:p w14:paraId="652DC061" w14:textId="77777777" w:rsidR="003A7D5E" w:rsidRPr="004500AE" w:rsidRDefault="003A7D5E" w:rsidP="003A7D5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r w:rsidRPr="004500AE">
              <w:rPr>
                <w:rFonts w:asciiTheme="minorHAnsi" w:eastAsia="Calibri" w:hAnsiTheme="minorHAnsi" w:cstheme="minorHAnsi"/>
                <w:sz w:val="18"/>
                <w:szCs w:val="18"/>
                <w:lang w:val="pt-PT"/>
              </w:rPr>
              <w:t xml:space="preserve">- Serviços Provinciais de Infraestruturas (SPIE) </w:t>
            </w:r>
          </w:p>
        </w:tc>
        <w:tc>
          <w:tcPr>
            <w:tcW w:w="0" w:type="dxa"/>
          </w:tcPr>
          <w:p w14:paraId="273A3A88" w14:textId="77777777" w:rsidR="003A7D5E" w:rsidRPr="004500AE" w:rsidRDefault="003A7D5E" w:rsidP="003A7D5E">
            <w:pPr>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lang w:val="pt-PT"/>
              </w:rPr>
            </w:pPr>
          </w:p>
        </w:tc>
      </w:tr>
    </w:tbl>
    <w:p w14:paraId="56639673" w14:textId="77777777" w:rsidR="003A7D5E" w:rsidRPr="004500AE" w:rsidRDefault="003A7D5E" w:rsidP="003A7D5E">
      <w:pPr>
        <w:rPr>
          <w:lang w:val="pt-PT"/>
        </w:rPr>
      </w:pPr>
    </w:p>
    <w:p w14:paraId="05EA1DD5" w14:textId="3373EACB" w:rsidR="00B00D6D" w:rsidRPr="00292532" w:rsidRDefault="00B00D6D">
      <w:pPr>
        <w:pStyle w:val="Heading3"/>
      </w:pPr>
      <w:bookmarkStart w:id="446" w:name="_Toc80380067"/>
      <w:r w:rsidRPr="00292532">
        <w:t xml:space="preserve">Plano para Consulta das </w:t>
      </w:r>
      <w:proofErr w:type="spellStart"/>
      <w:r w:rsidRPr="00292532">
        <w:t>PIAs</w:t>
      </w:r>
      <w:proofErr w:type="spellEnd"/>
      <w:r w:rsidRPr="00292532">
        <w:t xml:space="preserve"> no </w:t>
      </w:r>
      <w:proofErr w:type="spellStart"/>
      <w:r w:rsidRPr="00292532">
        <w:t>Projecto</w:t>
      </w:r>
      <w:bookmarkEnd w:id="446"/>
      <w:proofErr w:type="spellEnd"/>
      <w:r w:rsidRPr="00292532">
        <w:t xml:space="preserve"> </w:t>
      </w:r>
    </w:p>
    <w:p w14:paraId="01034784" w14:textId="07DBD021" w:rsidR="00B00D6D" w:rsidRPr="00292532" w:rsidRDefault="00B00D6D" w:rsidP="00B00D6D">
      <w:pPr>
        <w:rPr>
          <w:lang w:val="pt-PT"/>
        </w:rPr>
      </w:pPr>
      <w:r w:rsidRPr="00292532">
        <w:rPr>
          <w:lang w:val="pt-PT"/>
        </w:rPr>
        <w:t xml:space="preserve">No âmbito do PEPI foi elaborada uma proposta de um plano de consulta das partes interessadas e </w:t>
      </w:r>
      <w:proofErr w:type="spellStart"/>
      <w:r w:rsidRPr="00292532">
        <w:rPr>
          <w:lang w:val="pt-PT"/>
        </w:rPr>
        <w:t>afectadas</w:t>
      </w:r>
      <w:proofErr w:type="spellEnd"/>
      <w:r w:rsidRPr="00292532">
        <w:rPr>
          <w:lang w:val="pt-PT"/>
        </w:rPr>
        <w:t xml:space="preserve"> (</w:t>
      </w:r>
      <w:proofErr w:type="spellStart"/>
      <w:r w:rsidRPr="00292532">
        <w:rPr>
          <w:lang w:val="pt-PT"/>
        </w:rPr>
        <w:t>PIAs</w:t>
      </w:r>
      <w:proofErr w:type="spellEnd"/>
      <w:r w:rsidRPr="00292532">
        <w:rPr>
          <w:lang w:val="pt-PT"/>
        </w:rPr>
        <w:t xml:space="preserve">) do </w:t>
      </w:r>
      <w:proofErr w:type="spellStart"/>
      <w:r w:rsidRPr="00292532">
        <w:rPr>
          <w:lang w:val="pt-PT"/>
        </w:rPr>
        <w:t>Projecto</w:t>
      </w:r>
      <w:proofErr w:type="spellEnd"/>
      <w:r w:rsidRPr="00292532">
        <w:rPr>
          <w:lang w:val="pt-PT"/>
        </w:rPr>
        <w:t xml:space="preserve"> (ver </w:t>
      </w:r>
      <w:r w:rsidRPr="004500AE">
        <w:rPr>
          <w:b/>
          <w:bCs/>
          <w:lang w:val="pt-PT"/>
        </w:rPr>
        <w:fldChar w:fldCharType="begin"/>
      </w:r>
      <w:r w:rsidRPr="004500AE">
        <w:rPr>
          <w:b/>
          <w:bCs/>
          <w:lang w:val="pt-PT"/>
        </w:rPr>
        <w:instrText xml:space="preserve"> REF _Ref78399268 \h </w:instrText>
      </w:r>
      <w:r w:rsidRPr="00292532">
        <w:rPr>
          <w:b/>
          <w:bCs/>
          <w:lang w:val="pt-PT"/>
        </w:rPr>
        <w:instrText xml:space="preserve"> \* MERGEFORMAT </w:instrText>
      </w:r>
      <w:r w:rsidRPr="004500AE">
        <w:rPr>
          <w:b/>
          <w:bCs/>
          <w:lang w:val="pt-PT"/>
        </w:rPr>
      </w:r>
      <w:r w:rsidRPr="004500AE">
        <w:rPr>
          <w:b/>
          <w:bCs/>
          <w:lang w:val="pt-PT"/>
        </w:rPr>
        <w:fldChar w:fldCharType="separate"/>
      </w:r>
      <w:r w:rsidR="000D7B05" w:rsidRPr="004500AE">
        <w:rPr>
          <w:b/>
          <w:bCs/>
          <w:lang w:val="pt-PT"/>
        </w:rPr>
        <w:t xml:space="preserve">Tabela </w:t>
      </w:r>
      <w:r w:rsidR="000D7B05" w:rsidRPr="004500AE">
        <w:rPr>
          <w:b/>
          <w:bCs/>
          <w:noProof/>
          <w:lang w:val="pt-PT"/>
        </w:rPr>
        <w:t>34</w:t>
      </w:r>
      <w:r w:rsidRPr="004500AE">
        <w:rPr>
          <w:b/>
          <w:bCs/>
          <w:lang w:val="pt-PT"/>
        </w:rPr>
        <w:fldChar w:fldCharType="end"/>
      </w:r>
      <w:r w:rsidRPr="00292532">
        <w:rPr>
          <w:lang w:val="pt-PT"/>
        </w:rPr>
        <w:t xml:space="preserve">). Dada a natureza dinâmica do PEPI, este plano deve ser considerado preliminar e sujeito a alterações. No presente QGAS este é apresentado à título de referência, no entanto o Plano </w:t>
      </w:r>
      <w:proofErr w:type="spellStart"/>
      <w:r w:rsidRPr="00292532">
        <w:rPr>
          <w:lang w:val="pt-PT"/>
        </w:rPr>
        <w:t>actualizado</w:t>
      </w:r>
      <w:proofErr w:type="spellEnd"/>
      <w:r w:rsidRPr="00292532">
        <w:rPr>
          <w:lang w:val="pt-PT"/>
        </w:rPr>
        <w:t xml:space="preserve"> deve ser consultado no PEPI. </w:t>
      </w:r>
    </w:p>
    <w:p w14:paraId="79196AFF" w14:textId="77777777" w:rsidR="00720ADE" w:rsidRPr="00292532" w:rsidRDefault="00720ADE" w:rsidP="00B00D6D">
      <w:pPr>
        <w:rPr>
          <w:lang w:val="pt-PT"/>
        </w:rPr>
      </w:pPr>
    </w:p>
    <w:p w14:paraId="3C1DF5BB" w14:textId="7FE12C48" w:rsidR="00B00D6D" w:rsidRPr="00292532" w:rsidRDefault="00B00D6D" w:rsidP="004500AE">
      <w:pPr>
        <w:pStyle w:val="Caption"/>
      </w:pPr>
      <w:bookmarkStart w:id="447" w:name="_Ref78399268"/>
      <w:bookmarkStart w:id="448" w:name="_Toc80380281"/>
      <w:r w:rsidRPr="00292532">
        <w:lastRenderedPageBreak/>
        <w:t xml:space="preserve">Tabela </w:t>
      </w:r>
      <w:r w:rsidRPr="00292532">
        <w:fldChar w:fldCharType="begin"/>
      </w:r>
      <w:r w:rsidRPr="00292532">
        <w:instrText xml:space="preserve"> SEQ Tabela \* ARABIC </w:instrText>
      </w:r>
      <w:r w:rsidRPr="00292532">
        <w:fldChar w:fldCharType="separate"/>
      </w:r>
      <w:r w:rsidR="007C5244">
        <w:rPr>
          <w:noProof/>
        </w:rPr>
        <w:t>34</w:t>
      </w:r>
      <w:r w:rsidRPr="00292532">
        <w:fldChar w:fldCharType="end"/>
      </w:r>
      <w:bookmarkEnd w:id="447"/>
      <w:r w:rsidRPr="00292532">
        <w:t xml:space="preserve">: Proposta do Plano para consulta das </w:t>
      </w:r>
      <w:proofErr w:type="spellStart"/>
      <w:r w:rsidRPr="00292532">
        <w:t>PIAs</w:t>
      </w:r>
      <w:proofErr w:type="spellEnd"/>
      <w:r w:rsidRPr="00292532">
        <w:t xml:space="preserve"> no </w:t>
      </w:r>
      <w:proofErr w:type="spellStart"/>
      <w:r w:rsidRPr="00292532">
        <w:t>Projecto</w:t>
      </w:r>
      <w:proofErr w:type="spellEnd"/>
      <w:r w:rsidRPr="00292532">
        <w:t xml:space="preserve"> (fonte: PEPI, </w:t>
      </w:r>
      <w:proofErr w:type="gramStart"/>
      <w:r w:rsidRPr="00292532">
        <w:t>Junho</w:t>
      </w:r>
      <w:proofErr w:type="gramEnd"/>
      <w:r w:rsidRPr="00292532">
        <w:t xml:space="preserve"> 2021)</w:t>
      </w:r>
      <w:bookmarkEnd w:id="448"/>
    </w:p>
    <w:tbl>
      <w:tblPr>
        <w:tblStyle w:val="GridTable1Light-Accent114"/>
        <w:tblW w:w="10960" w:type="dxa"/>
        <w:jc w:val="center"/>
        <w:tblLook w:val="04A0" w:firstRow="1" w:lastRow="0" w:firstColumn="1" w:lastColumn="0" w:noHBand="0" w:noVBand="1"/>
      </w:tblPr>
      <w:tblGrid>
        <w:gridCol w:w="1615"/>
        <w:gridCol w:w="2070"/>
        <w:gridCol w:w="1350"/>
        <w:gridCol w:w="2250"/>
        <w:gridCol w:w="2070"/>
        <w:gridCol w:w="1605"/>
      </w:tblGrid>
      <w:tr w:rsidR="00B00D6D" w:rsidRPr="00292532" w14:paraId="3EC3830E" w14:textId="77777777" w:rsidTr="004500AE">
        <w:trPr>
          <w:cnfStyle w:val="100000000000" w:firstRow="1" w:lastRow="0" w:firstColumn="0" w:lastColumn="0" w:oddVBand="0" w:evenVBand="0" w:oddHBand="0" w:evenHBand="0" w:firstRowFirstColumn="0" w:firstRowLastColumn="0" w:lastRowFirstColumn="0" w:lastRowLastColumn="0"/>
          <w:trHeight w:val="480"/>
          <w:tblHeader/>
          <w:jc w:val="center"/>
        </w:trPr>
        <w:tc>
          <w:tcPr>
            <w:cnfStyle w:val="001000000000" w:firstRow="0" w:lastRow="0" w:firstColumn="1" w:lastColumn="0" w:oddVBand="0" w:evenVBand="0" w:oddHBand="0" w:evenHBand="0" w:firstRowFirstColumn="0" w:firstRowLastColumn="0" w:lastRowFirstColumn="0" w:lastRowLastColumn="0"/>
            <w:tcW w:w="1615" w:type="dxa"/>
            <w:shd w:val="clear" w:color="auto" w:fill="DEEAF6"/>
            <w:hideMark/>
          </w:tcPr>
          <w:p w14:paraId="2CC4E576" w14:textId="77777777" w:rsidR="00B00D6D" w:rsidRPr="004500AE" w:rsidRDefault="00B00D6D" w:rsidP="00B00D6D">
            <w:pPr>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Estágio do </w:t>
            </w:r>
            <w:proofErr w:type="spellStart"/>
            <w:r w:rsidRPr="004500AE">
              <w:rPr>
                <w:rFonts w:asciiTheme="minorHAnsi" w:eastAsia="Times New Roman" w:hAnsiTheme="minorHAnsi" w:cstheme="minorHAnsi"/>
                <w:color w:val="000000"/>
                <w:sz w:val="18"/>
                <w:szCs w:val="18"/>
                <w:lang w:val="pt-PT"/>
              </w:rPr>
              <w:t>Projecto</w:t>
            </w:r>
            <w:proofErr w:type="spellEnd"/>
          </w:p>
        </w:tc>
        <w:tc>
          <w:tcPr>
            <w:tcW w:w="2070" w:type="dxa"/>
            <w:shd w:val="clear" w:color="auto" w:fill="DEEAF6"/>
            <w:hideMark/>
          </w:tcPr>
          <w:p w14:paraId="18A39A17" w14:textId="77777777" w:rsidR="00B00D6D" w:rsidRPr="004500AE" w:rsidRDefault="00B00D6D" w:rsidP="00B00D6D">
            <w:pPr>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Lista de informação a ser divulgada</w:t>
            </w:r>
          </w:p>
        </w:tc>
        <w:tc>
          <w:tcPr>
            <w:tcW w:w="1350" w:type="dxa"/>
            <w:shd w:val="clear" w:color="auto" w:fill="DEEAF6"/>
            <w:hideMark/>
          </w:tcPr>
          <w:p w14:paraId="575B1D00" w14:textId="77777777" w:rsidR="00B00D6D" w:rsidRPr="004500AE" w:rsidRDefault="00B00D6D" w:rsidP="00B00D6D">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Método proposto</w:t>
            </w:r>
          </w:p>
        </w:tc>
        <w:tc>
          <w:tcPr>
            <w:tcW w:w="2250" w:type="dxa"/>
            <w:shd w:val="clear" w:color="auto" w:fill="DEEAF6"/>
            <w:noWrap/>
            <w:hideMark/>
          </w:tcPr>
          <w:p w14:paraId="5D746F20" w14:textId="77777777" w:rsidR="00B00D6D" w:rsidRPr="004500AE" w:rsidRDefault="00B00D6D" w:rsidP="00B00D6D">
            <w:pPr>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Datas </w:t>
            </w:r>
            <w:r w:rsidRPr="004500AE">
              <w:rPr>
                <w:rFonts w:asciiTheme="minorHAnsi" w:eastAsia="Times New Roman" w:hAnsiTheme="minorHAnsi" w:cstheme="minorHAnsi"/>
                <w:color w:val="000000"/>
                <w:sz w:val="18"/>
                <w:szCs w:val="18"/>
                <w:vertAlign w:val="superscript"/>
                <w:lang w:val="pt-PT"/>
              </w:rPr>
              <w:footnoteReference w:id="7"/>
            </w:r>
          </w:p>
        </w:tc>
        <w:tc>
          <w:tcPr>
            <w:tcW w:w="2070" w:type="dxa"/>
            <w:shd w:val="clear" w:color="auto" w:fill="DEEAF6"/>
            <w:hideMark/>
          </w:tcPr>
          <w:p w14:paraId="56D80E91" w14:textId="77777777" w:rsidR="00B00D6D" w:rsidRPr="004500AE" w:rsidRDefault="00B00D6D" w:rsidP="00B00D6D">
            <w:pPr>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Partes Interessadas pretendidas </w:t>
            </w:r>
          </w:p>
        </w:tc>
        <w:tc>
          <w:tcPr>
            <w:tcW w:w="1605" w:type="dxa"/>
            <w:shd w:val="clear" w:color="auto" w:fill="DEEAF6"/>
            <w:hideMark/>
          </w:tcPr>
          <w:p w14:paraId="39B3B8C0" w14:textId="77777777" w:rsidR="00B00D6D" w:rsidRPr="004500AE" w:rsidRDefault="00B00D6D" w:rsidP="00B00D6D">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Responsabilidades</w:t>
            </w:r>
          </w:p>
        </w:tc>
      </w:tr>
      <w:tr w:rsidR="00B00D6D" w:rsidRPr="00292532" w14:paraId="1E15E70A" w14:textId="77777777" w:rsidTr="004500AE">
        <w:trPr>
          <w:trHeight w:val="975"/>
          <w:jc w:val="center"/>
        </w:trPr>
        <w:tc>
          <w:tcPr>
            <w:cnfStyle w:val="001000000000" w:firstRow="0" w:lastRow="0" w:firstColumn="1" w:lastColumn="0" w:oddVBand="0" w:evenVBand="0" w:oddHBand="0" w:evenHBand="0" w:firstRowFirstColumn="0" w:firstRowLastColumn="0" w:lastRowFirstColumn="0" w:lastRowLastColumn="0"/>
            <w:tcW w:w="1615" w:type="dxa"/>
            <w:vMerge w:val="restart"/>
            <w:hideMark/>
          </w:tcPr>
          <w:p w14:paraId="6D8779BD" w14:textId="77777777" w:rsidR="00B00D6D" w:rsidRPr="004500AE" w:rsidRDefault="00B00D6D" w:rsidP="00B00D6D">
            <w:pPr>
              <w:jc w:val="center"/>
              <w:rPr>
                <w:rFonts w:asciiTheme="minorHAnsi" w:eastAsia="Times New Roman" w:hAnsiTheme="minorHAnsi" w:cstheme="minorHAnsi"/>
                <w:color w:val="000000"/>
                <w:sz w:val="18"/>
                <w:szCs w:val="18"/>
                <w:lang w:val="pt-PT"/>
              </w:rPr>
            </w:pPr>
            <w:proofErr w:type="spellStart"/>
            <w:r w:rsidRPr="004500AE">
              <w:rPr>
                <w:rFonts w:asciiTheme="minorHAnsi" w:eastAsia="Times New Roman" w:hAnsiTheme="minorHAnsi" w:cstheme="minorHAnsi"/>
                <w:color w:val="000000"/>
                <w:sz w:val="18"/>
                <w:szCs w:val="18"/>
                <w:lang w:val="pt-PT"/>
              </w:rPr>
              <w:t>Concepção</w:t>
            </w:r>
            <w:proofErr w:type="spellEnd"/>
            <w:r w:rsidRPr="004500AE">
              <w:rPr>
                <w:rFonts w:asciiTheme="minorHAnsi" w:eastAsia="Times New Roman" w:hAnsiTheme="minorHAnsi" w:cstheme="minorHAnsi"/>
                <w:color w:val="000000"/>
                <w:sz w:val="18"/>
                <w:szCs w:val="18"/>
                <w:lang w:val="pt-PT"/>
              </w:rPr>
              <w:t xml:space="preserve"> e Avaliação do </w:t>
            </w:r>
            <w:proofErr w:type="spellStart"/>
            <w:r w:rsidRPr="004500AE">
              <w:rPr>
                <w:rFonts w:asciiTheme="minorHAnsi" w:eastAsia="Times New Roman" w:hAnsiTheme="minorHAnsi" w:cstheme="minorHAnsi"/>
                <w:color w:val="000000"/>
                <w:sz w:val="18"/>
                <w:szCs w:val="18"/>
                <w:lang w:val="pt-PT"/>
              </w:rPr>
              <w:t>Projecto</w:t>
            </w:r>
            <w:proofErr w:type="spellEnd"/>
            <w:r w:rsidRPr="004500AE">
              <w:rPr>
                <w:rFonts w:asciiTheme="minorHAnsi" w:eastAsia="Times New Roman" w:hAnsiTheme="minorHAnsi" w:cstheme="minorHAnsi"/>
                <w:color w:val="000000"/>
                <w:sz w:val="18"/>
                <w:szCs w:val="18"/>
                <w:lang w:val="pt-PT"/>
              </w:rPr>
              <w:t xml:space="preserve"> </w:t>
            </w:r>
          </w:p>
        </w:tc>
        <w:tc>
          <w:tcPr>
            <w:tcW w:w="2070" w:type="dxa"/>
            <w:hideMark/>
          </w:tcPr>
          <w:p w14:paraId="015636B5"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Divulgação do </w:t>
            </w:r>
            <w:proofErr w:type="spellStart"/>
            <w:r w:rsidRPr="004500AE">
              <w:rPr>
                <w:rFonts w:asciiTheme="minorHAnsi" w:eastAsia="Times New Roman" w:hAnsiTheme="minorHAnsi" w:cstheme="minorHAnsi"/>
                <w:iCs/>
                <w:color w:val="000000"/>
                <w:sz w:val="18"/>
                <w:szCs w:val="18"/>
                <w:lang w:val="pt-PT"/>
              </w:rPr>
              <w:t>Projecto</w:t>
            </w:r>
            <w:proofErr w:type="spellEnd"/>
            <w:r w:rsidRPr="004500AE">
              <w:rPr>
                <w:rFonts w:asciiTheme="minorHAnsi" w:eastAsia="Times New Roman" w:hAnsiTheme="minorHAnsi" w:cstheme="minorHAnsi"/>
                <w:iCs/>
                <w:color w:val="000000"/>
                <w:sz w:val="18"/>
                <w:szCs w:val="18"/>
                <w:lang w:val="pt-PT"/>
              </w:rPr>
              <w:t xml:space="preserve"> Água Segura para Vilas e Zonas Rurais</w:t>
            </w:r>
            <w:r w:rsidRPr="004500AE" w:rsidDel="008044E4">
              <w:rPr>
                <w:rFonts w:asciiTheme="minorHAnsi" w:eastAsia="Times New Roman" w:hAnsiTheme="minorHAnsi" w:cstheme="minorHAnsi"/>
                <w:color w:val="000000"/>
                <w:sz w:val="18"/>
                <w:szCs w:val="18"/>
                <w:lang w:val="pt-PT"/>
              </w:rPr>
              <w:t xml:space="preserve"> </w:t>
            </w:r>
          </w:p>
        </w:tc>
        <w:tc>
          <w:tcPr>
            <w:tcW w:w="1350" w:type="dxa"/>
            <w:hideMark/>
          </w:tcPr>
          <w:p w14:paraId="637D78B8" w14:textId="77777777" w:rsidR="00B00D6D" w:rsidRPr="004500AE" w:rsidRDefault="00B00D6D" w:rsidP="00B00D6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Consultas públicas e individuais </w:t>
            </w:r>
          </w:p>
        </w:tc>
        <w:tc>
          <w:tcPr>
            <w:tcW w:w="2250" w:type="dxa"/>
            <w:hideMark/>
          </w:tcPr>
          <w:p w14:paraId="5F8D292C"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Julho e </w:t>
            </w:r>
            <w:proofErr w:type="gramStart"/>
            <w:r w:rsidRPr="004500AE">
              <w:rPr>
                <w:rFonts w:asciiTheme="minorHAnsi" w:eastAsia="Times New Roman" w:hAnsiTheme="minorHAnsi" w:cstheme="minorHAnsi"/>
                <w:color w:val="000000"/>
                <w:sz w:val="18"/>
                <w:szCs w:val="18"/>
                <w:lang w:val="pt-PT"/>
              </w:rPr>
              <w:t>Agosto</w:t>
            </w:r>
            <w:proofErr w:type="gramEnd"/>
            <w:r w:rsidRPr="004500AE">
              <w:rPr>
                <w:rFonts w:asciiTheme="minorHAnsi" w:eastAsia="Times New Roman" w:hAnsiTheme="minorHAnsi" w:cstheme="minorHAnsi"/>
                <w:color w:val="000000"/>
                <w:sz w:val="18"/>
                <w:szCs w:val="18"/>
                <w:lang w:val="pt-PT"/>
              </w:rPr>
              <w:t xml:space="preserve"> 2021</w:t>
            </w:r>
          </w:p>
        </w:tc>
        <w:tc>
          <w:tcPr>
            <w:tcW w:w="2070" w:type="dxa"/>
            <w:hideMark/>
          </w:tcPr>
          <w:p w14:paraId="45716BBA"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Instituições governamentais envolvidas no </w:t>
            </w:r>
            <w:proofErr w:type="spellStart"/>
            <w:r w:rsidRPr="004500AE">
              <w:rPr>
                <w:rFonts w:asciiTheme="minorHAnsi" w:eastAsia="Times New Roman" w:hAnsiTheme="minorHAnsi" w:cstheme="minorHAnsi"/>
                <w:color w:val="000000"/>
                <w:sz w:val="18"/>
                <w:szCs w:val="18"/>
                <w:lang w:val="pt-PT"/>
              </w:rPr>
              <w:t>projecto</w:t>
            </w:r>
            <w:proofErr w:type="spellEnd"/>
            <w:r w:rsidRPr="004500AE">
              <w:rPr>
                <w:rFonts w:asciiTheme="minorHAnsi" w:eastAsia="Times New Roman" w:hAnsiTheme="minorHAnsi" w:cstheme="minorHAnsi"/>
                <w:color w:val="000000"/>
                <w:sz w:val="18"/>
                <w:szCs w:val="18"/>
                <w:lang w:val="pt-PT"/>
              </w:rPr>
              <w:t xml:space="preserve"> (nacional, provincial e distrital), autoridades locais, </w:t>
            </w:r>
            <w:proofErr w:type="spellStart"/>
            <w:r w:rsidRPr="004500AE">
              <w:rPr>
                <w:rFonts w:asciiTheme="minorHAnsi" w:eastAsia="Times New Roman" w:hAnsiTheme="minorHAnsi" w:cstheme="minorHAnsi"/>
                <w:color w:val="000000"/>
                <w:sz w:val="18"/>
                <w:szCs w:val="18"/>
                <w:lang w:val="pt-PT"/>
              </w:rPr>
              <w:t>ONGs</w:t>
            </w:r>
            <w:proofErr w:type="spellEnd"/>
            <w:r w:rsidRPr="004500AE">
              <w:rPr>
                <w:rFonts w:asciiTheme="minorHAnsi" w:eastAsia="Times New Roman" w:hAnsiTheme="minorHAnsi" w:cstheme="minorHAnsi"/>
                <w:color w:val="000000"/>
                <w:sz w:val="18"/>
                <w:szCs w:val="18"/>
                <w:lang w:val="pt-PT"/>
              </w:rPr>
              <w:t xml:space="preserve">, parceiros de implementação, doadores e o público em geral, principalmente mulheres e grupos marginalizados, Pessoas </w:t>
            </w:r>
            <w:proofErr w:type="spellStart"/>
            <w:r w:rsidRPr="004500AE">
              <w:rPr>
                <w:rFonts w:asciiTheme="minorHAnsi" w:eastAsia="Times New Roman" w:hAnsiTheme="minorHAnsi" w:cstheme="minorHAnsi"/>
                <w:color w:val="000000"/>
                <w:sz w:val="18"/>
                <w:szCs w:val="18"/>
                <w:lang w:val="pt-PT"/>
              </w:rPr>
              <w:t>Afectadas</w:t>
            </w:r>
            <w:proofErr w:type="spellEnd"/>
            <w:r w:rsidRPr="004500AE">
              <w:rPr>
                <w:rFonts w:asciiTheme="minorHAnsi" w:eastAsia="Times New Roman" w:hAnsiTheme="minorHAnsi" w:cstheme="minorHAnsi"/>
                <w:color w:val="000000"/>
                <w:sz w:val="18"/>
                <w:szCs w:val="18"/>
                <w:lang w:val="pt-PT"/>
              </w:rPr>
              <w:t xml:space="preserve"> pelo </w:t>
            </w:r>
            <w:proofErr w:type="spellStart"/>
            <w:r w:rsidRPr="004500AE">
              <w:rPr>
                <w:rFonts w:asciiTheme="minorHAnsi" w:eastAsia="Times New Roman" w:hAnsiTheme="minorHAnsi" w:cstheme="minorHAnsi"/>
                <w:color w:val="000000"/>
                <w:sz w:val="18"/>
                <w:szCs w:val="18"/>
                <w:lang w:val="pt-PT"/>
              </w:rPr>
              <w:t>Projecto</w:t>
            </w:r>
            <w:proofErr w:type="spellEnd"/>
            <w:r w:rsidRPr="004500AE">
              <w:rPr>
                <w:rFonts w:asciiTheme="minorHAnsi" w:eastAsia="Times New Roman" w:hAnsiTheme="minorHAnsi" w:cstheme="minorHAnsi"/>
                <w:color w:val="000000"/>
                <w:sz w:val="18"/>
                <w:szCs w:val="18"/>
                <w:lang w:val="pt-PT"/>
              </w:rPr>
              <w:t xml:space="preserve"> e outras partes interessadas </w:t>
            </w:r>
          </w:p>
        </w:tc>
        <w:tc>
          <w:tcPr>
            <w:tcW w:w="1605" w:type="dxa"/>
            <w:noWrap/>
            <w:hideMark/>
          </w:tcPr>
          <w:p w14:paraId="2B3EAA3E" w14:textId="77777777" w:rsidR="00B00D6D" w:rsidRPr="004500AE" w:rsidRDefault="00B00D6D" w:rsidP="00B00D6D">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DNAAS e AIAS </w:t>
            </w:r>
          </w:p>
        </w:tc>
      </w:tr>
      <w:tr w:rsidR="00B00D6D" w:rsidRPr="008D18CF" w14:paraId="4AE2BA37" w14:textId="77777777" w:rsidTr="004500AE">
        <w:trPr>
          <w:trHeight w:val="735"/>
          <w:jc w:val="center"/>
        </w:trPr>
        <w:tc>
          <w:tcPr>
            <w:cnfStyle w:val="001000000000" w:firstRow="0" w:lastRow="0" w:firstColumn="1" w:lastColumn="0" w:oddVBand="0" w:evenVBand="0" w:oddHBand="0" w:evenHBand="0" w:firstRowFirstColumn="0" w:firstRowLastColumn="0" w:lastRowFirstColumn="0" w:lastRowLastColumn="0"/>
            <w:tcW w:w="1615" w:type="dxa"/>
            <w:vMerge/>
          </w:tcPr>
          <w:p w14:paraId="494D2E4B" w14:textId="77777777" w:rsidR="00B00D6D" w:rsidRPr="004500AE" w:rsidRDefault="00B00D6D" w:rsidP="00B00D6D">
            <w:pPr>
              <w:rPr>
                <w:rFonts w:asciiTheme="minorHAnsi" w:eastAsia="Times New Roman" w:hAnsiTheme="minorHAnsi" w:cstheme="minorHAnsi"/>
                <w:color w:val="000000"/>
                <w:sz w:val="18"/>
                <w:szCs w:val="18"/>
                <w:lang w:val="pt-PT"/>
              </w:rPr>
            </w:pPr>
          </w:p>
        </w:tc>
        <w:tc>
          <w:tcPr>
            <w:tcW w:w="2070" w:type="dxa"/>
          </w:tcPr>
          <w:p w14:paraId="30F5CDE9"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Plano de Compromisso Ambiental e Social</w:t>
            </w:r>
          </w:p>
        </w:tc>
        <w:tc>
          <w:tcPr>
            <w:tcW w:w="1350" w:type="dxa"/>
          </w:tcPr>
          <w:p w14:paraId="60E9353D" w14:textId="77777777" w:rsidR="00B00D6D" w:rsidRPr="004500AE" w:rsidRDefault="00B00D6D" w:rsidP="00B00D6D">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c>
          <w:tcPr>
            <w:tcW w:w="2250" w:type="dxa"/>
            <w:noWrap/>
          </w:tcPr>
          <w:p w14:paraId="6DAC5DF1"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Maio- Junho 2021</w:t>
            </w:r>
          </w:p>
        </w:tc>
        <w:tc>
          <w:tcPr>
            <w:tcW w:w="2070" w:type="dxa"/>
          </w:tcPr>
          <w:p w14:paraId="089CDF44"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Instituições governamentais envolvidas no </w:t>
            </w:r>
            <w:proofErr w:type="spellStart"/>
            <w:r w:rsidRPr="004500AE">
              <w:rPr>
                <w:rFonts w:asciiTheme="minorHAnsi" w:eastAsia="Times New Roman" w:hAnsiTheme="minorHAnsi" w:cstheme="minorHAnsi"/>
                <w:color w:val="000000"/>
                <w:sz w:val="18"/>
                <w:szCs w:val="18"/>
                <w:lang w:val="pt-PT"/>
              </w:rPr>
              <w:t>projecto</w:t>
            </w:r>
            <w:proofErr w:type="spellEnd"/>
            <w:r w:rsidRPr="004500AE">
              <w:rPr>
                <w:rFonts w:asciiTheme="minorHAnsi" w:eastAsia="Times New Roman" w:hAnsiTheme="minorHAnsi" w:cstheme="minorHAnsi"/>
                <w:color w:val="000000"/>
                <w:sz w:val="18"/>
                <w:szCs w:val="18"/>
                <w:lang w:val="pt-PT"/>
              </w:rPr>
              <w:t>; Banco Mundial</w:t>
            </w:r>
          </w:p>
        </w:tc>
        <w:tc>
          <w:tcPr>
            <w:tcW w:w="1605" w:type="dxa"/>
          </w:tcPr>
          <w:p w14:paraId="052DD8CC" w14:textId="77777777" w:rsidR="00B00D6D" w:rsidRPr="004500AE" w:rsidRDefault="00B00D6D" w:rsidP="00B00D6D">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r>
      <w:tr w:rsidR="00B00D6D" w:rsidRPr="008D18CF" w14:paraId="216C2ADC" w14:textId="77777777" w:rsidTr="004500AE">
        <w:trPr>
          <w:trHeight w:val="735"/>
          <w:jc w:val="center"/>
        </w:trPr>
        <w:tc>
          <w:tcPr>
            <w:cnfStyle w:val="001000000000" w:firstRow="0" w:lastRow="0" w:firstColumn="1" w:lastColumn="0" w:oddVBand="0" w:evenVBand="0" w:oddHBand="0" w:evenHBand="0" w:firstRowFirstColumn="0" w:firstRowLastColumn="0" w:lastRowFirstColumn="0" w:lastRowLastColumn="0"/>
            <w:tcW w:w="1615" w:type="dxa"/>
            <w:vMerge/>
            <w:hideMark/>
          </w:tcPr>
          <w:p w14:paraId="770E9AFB" w14:textId="77777777" w:rsidR="00B00D6D" w:rsidRPr="004500AE" w:rsidRDefault="00B00D6D" w:rsidP="00B00D6D">
            <w:pPr>
              <w:rPr>
                <w:rFonts w:asciiTheme="minorHAnsi" w:eastAsia="Times New Roman" w:hAnsiTheme="minorHAnsi" w:cstheme="minorHAnsi"/>
                <w:color w:val="000000"/>
                <w:sz w:val="18"/>
                <w:szCs w:val="18"/>
                <w:lang w:val="pt-PT"/>
              </w:rPr>
            </w:pPr>
          </w:p>
        </w:tc>
        <w:tc>
          <w:tcPr>
            <w:tcW w:w="2070" w:type="dxa"/>
            <w:hideMark/>
          </w:tcPr>
          <w:p w14:paraId="065C8892"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Plano de Engajamento das Partes Interessadas incluindo o MGQR</w:t>
            </w:r>
          </w:p>
        </w:tc>
        <w:tc>
          <w:tcPr>
            <w:tcW w:w="1350" w:type="dxa"/>
            <w:hideMark/>
          </w:tcPr>
          <w:p w14:paraId="26F00668" w14:textId="77777777" w:rsidR="00B00D6D" w:rsidRPr="004500AE" w:rsidRDefault="00B00D6D" w:rsidP="00B00D6D">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Consultas técnicas</w:t>
            </w:r>
          </w:p>
          <w:p w14:paraId="6132948D" w14:textId="77777777" w:rsidR="00B00D6D" w:rsidRPr="004500AE" w:rsidRDefault="00B00D6D" w:rsidP="00B00D6D">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Consultas públicas e individuais </w:t>
            </w:r>
          </w:p>
        </w:tc>
        <w:tc>
          <w:tcPr>
            <w:tcW w:w="2250" w:type="dxa"/>
            <w:noWrap/>
            <w:hideMark/>
          </w:tcPr>
          <w:p w14:paraId="6C79DE14"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Maio- Junho de 2021</w:t>
            </w:r>
          </w:p>
        </w:tc>
        <w:tc>
          <w:tcPr>
            <w:tcW w:w="2070" w:type="dxa"/>
            <w:hideMark/>
          </w:tcPr>
          <w:p w14:paraId="1A49A4F2"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Instituições governamentais envolvidas no </w:t>
            </w:r>
            <w:proofErr w:type="spellStart"/>
            <w:r w:rsidRPr="004500AE">
              <w:rPr>
                <w:rFonts w:asciiTheme="minorHAnsi" w:eastAsia="Times New Roman" w:hAnsiTheme="minorHAnsi" w:cstheme="minorHAnsi"/>
                <w:color w:val="000000"/>
                <w:sz w:val="18"/>
                <w:szCs w:val="18"/>
                <w:lang w:val="pt-PT"/>
              </w:rPr>
              <w:t>projecto</w:t>
            </w:r>
            <w:proofErr w:type="spellEnd"/>
            <w:r w:rsidRPr="004500AE">
              <w:rPr>
                <w:rFonts w:asciiTheme="minorHAnsi" w:eastAsia="Times New Roman" w:hAnsiTheme="minorHAnsi" w:cstheme="minorHAnsi"/>
                <w:color w:val="000000"/>
                <w:sz w:val="18"/>
                <w:szCs w:val="18"/>
                <w:lang w:val="pt-PT"/>
              </w:rPr>
              <w:t xml:space="preserve"> (nacional, provincial e distrital), autoridades locais, </w:t>
            </w:r>
            <w:proofErr w:type="spellStart"/>
            <w:r w:rsidRPr="004500AE">
              <w:rPr>
                <w:rFonts w:asciiTheme="minorHAnsi" w:eastAsia="Times New Roman" w:hAnsiTheme="minorHAnsi" w:cstheme="minorHAnsi"/>
                <w:color w:val="000000"/>
                <w:sz w:val="18"/>
                <w:szCs w:val="18"/>
                <w:lang w:val="pt-PT"/>
              </w:rPr>
              <w:t>ONGs</w:t>
            </w:r>
            <w:proofErr w:type="spellEnd"/>
            <w:r w:rsidRPr="004500AE">
              <w:rPr>
                <w:rFonts w:asciiTheme="minorHAnsi" w:eastAsia="Times New Roman" w:hAnsiTheme="minorHAnsi" w:cstheme="minorHAnsi"/>
                <w:color w:val="000000"/>
                <w:sz w:val="18"/>
                <w:szCs w:val="18"/>
                <w:lang w:val="pt-PT"/>
              </w:rPr>
              <w:t xml:space="preserve">, parceiros de implementação, doadores e o público em geral, principalmente mulheres e grupos marginalizados, Pessoas </w:t>
            </w:r>
            <w:proofErr w:type="spellStart"/>
            <w:r w:rsidRPr="004500AE">
              <w:rPr>
                <w:rFonts w:asciiTheme="minorHAnsi" w:eastAsia="Times New Roman" w:hAnsiTheme="minorHAnsi" w:cstheme="minorHAnsi"/>
                <w:color w:val="000000"/>
                <w:sz w:val="18"/>
                <w:szCs w:val="18"/>
                <w:lang w:val="pt-PT"/>
              </w:rPr>
              <w:t>Afectadas</w:t>
            </w:r>
            <w:proofErr w:type="spellEnd"/>
            <w:r w:rsidRPr="004500AE">
              <w:rPr>
                <w:rFonts w:asciiTheme="minorHAnsi" w:eastAsia="Times New Roman" w:hAnsiTheme="minorHAnsi" w:cstheme="minorHAnsi"/>
                <w:color w:val="000000"/>
                <w:sz w:val="18"/>
                <w:szCs w:val="18"/>
                <w:lang w:val="pt-PT"/>
              </w:rPr>
              <w:t xml:space="preserve"> pelo </w:t>
            </w:r>
            <w:proofErr w:type="spellStart"/>
            <w:r w:rsidRPr="004500AE">
              <w:rPr>
                <w:rFonts w:asciiTheme="minorHAnsi" w:eastAsia="Times New Roman" w:hAnsiTheme="minorHAnsi" w:cstheme="minorHAnsi"/>
                <w:color w:val="000000"/>
                <w:sz w:val="18"/>
                <w:szCs w:val="18"/>
                <w:lang w:val="pt-PT"/>
              </w:rPr>
              <w:t>Projecto</w:t>
            </w:r>
            <w:proofErr w:type="spellEnd"/>
            <w:r w:rsidRPr="004500AE">
              <w:rPr>
                <w:rFonts w:asciiTheme="minorHAnsi" w:eastAsia="Times New Roman" w:hAnsiTheme="minorHAnsi" w:cstheme="minorHAnsi"/>
                <w:color w:val="000000"/>
                <w:sz w:val="18"/>
                <w:szCs w:val="18"/>
                <w:lang w:val="pt-PT"/>
              </w:rPr>
              <w:t xml:space="preserve"> e outras partes interessadas</w:t>
            </w:r>
          </w:p>
        </w:tc>
        <w:tc>
          <w:tcPr>
            <w:tcW w:w="1605" w:type="dxa"/>
            <w:hideMark/>
          </w:tcPr>
          <w:p w14:paraId="16499F2C" w14:textId="77777777" w:rsidR="00B00D6D" w:rsidRPr="004500AE" w:rsidRDefault="00B00D6D" w:rsidP="00B00D6D">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Equipa de Salvaguardas AIAS/DNAAS</w:t>
            </w:r>
          </w:p>
        </w:tc>
      </w:tr>
      <w:tr w:rsidR="00B00D6D" w:rsidRPr="008D18CF" w14:paraId="29A2D6DC" w14:textId="77777777" w:rsidTr="004500AE">
        <w:trPr>
          <w:trHeight w:val="975"/>
          <w:jc w:val="center"/>
        </w:trPr>
        <w:tc>
          <w:tcPr>
            <w:cnfStyle w:val="001000000000" w:firstRow="0" w:lastRow="0" w:firstColumn="1" w:lastColumn="0" w:oddVBand="0" w:evenVBand="0" w:oddHBand="0" w:evenHBand="0" w:firstRowFirstColumn="0" w:firstRowLastColumn="0" w:lastRowFirstColumn="0" w:lastRowLastColumn="0"/>
            <w:tcW w:w="1615" w:type="dxa"/>
            <w:vMerge/>
            <w:hideMark/>
          </w:tcPr>
          <w:p w14:paraId="4DB50586" w14:textId="77777777" w:rsidR="00B00D6D" w:rsidRPr="004500AE" w:rsidRDefault="00B00D6D" w:rsidP="00B00D6D">
            <w:pPr>
              <w:rPr>
                <w:rFonts w:asciiTheme="minorHAnsi" w:eastAsia="Times New Roman" w:hAnsiTheme="minorHAnsi" w:cstheme="minorHAnsi"/>
                <w:color w:val="000000"/>
                <w:sz w:val="18"/>
                <w:szCs w:val="18"/>
                <w:lang w:val="pt-PT"/>
              </w:rPr>
            </w:pPr>
          </w:p>
        </w:tc>
        <w:tc>
          <w:tcPr>
            <w:tcW w:w="2070" w:type="dxa"/>
            <w:hideMark/>
          </w:tcPr>
          <w:p w14:paraId="34A1CA16"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Divulgação do QGAS</w:t>
            </w:r>
          </w:p>
          <w:p w14:paraId="3DD270C1"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incluindo a descrição do procedimento de Gestão laboral; Mecanismo de Queixas e Reclamações para Trabalhadores do </w:t>
            </w:r>
            <w:proofErr w:type="spellStart"/>
            <w:r w:rsidRPr="004500AE">
              <w:rPr>
                <w:rFonts w:asciiTheme="minorHAnsi" w:eastAsia="Times New Roman" w:hAnsiTheme="minorHAnsi" w:cstheme="minorHAnsi"/>
                <w:color w:val="000000"/>
                <w:sz w:val="18"/>
                <w:szCs w:val="18"/>
                <w:lang w:val="pt-PT"/>
              </w:rPr>
              <w:t>Projecto</w:t>
            </w:r>
            <w:proofErr w:type="spellEnd"/>
            <w:r w:rsidRPr="004500AE">
              <w:rPr>
                <w:rFonts w:asciiTheme="minorHAnsi" w:eastAsia="Times New Roman" w:hAnsiTheme="minorHAnsi" w:cstheme="minorHAnsi"/>
                <w:color w:val="000000"/>
                <w:sz w:val="18"/>
                <w:szCs w:val="18"/>
                <w:lang w:val="pt-PT"/>
              </w:rPr>
              <w:t xml:space="preserve">, Avaliação de Riscos de VBG e EAS e Plano de </w:t>
            </w:r>
            <w:proofErr w:type="spellStart"/>
            <w:r w:rsidRPr="004500AE">
              <w:rPr>
                <w:rFonts w:asciiTheme="minorHAnsi" w:eastAsia="Times New Roman" w:hAnsiTheme="minorHAnsi" w:cstheme="minorHAnsi"/>
                <w:color w:val="000000"/>
                <w:sz w:val="18"/>
                <w:szCs w:val="18"/>
                <w:lang w:val="pt-PT"/>
              </w:rPr>
              <w:t>Acção</w:t>
            </w:r>
            <w:proofErr w:type="spellEnd"/>
            <w:r w:rsidRPr="004500AE">
              <w:rPr>
                <w:rFonts w:asciiTheme="minorHAnsi" w:eastAsia="Times New Roman" w:hAnsiTheme="minorHAnsi" w:cstheme="minorHAnsi"/>
                <w:color w:val="000000"/>
                <w:sz w:val="18"/>
                <w:szCs w:val="18"/>
                <w:lang w:val="pt-PT"/>
              </w:rPr>
              <w:t xml:space="preserve">, Diretrizes Gerais sobre Tráfego e Segurança Rodoviária; </w:t>
            </w:r>
          </w:p>
          <w:p w14:paraId="4D3C6FE2"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Plano de </w:t>
            </w:r>
            <w:proofErr w:type="spellStart"/>
            <w:r w:rsidRPr="004500AE">
              <w:rPr>
                <w:rFonts w:asciiTheme="minorHAnsi" w:eastAsia="Times New Roman" w:hAnsiTheme="minorHAnsi" w:cstheme="minorHAnsi"/>
                <w:color w:val="000000"/>
                <w:sz w:val="18"/>
                <w:szCs w:val="18"/>
                <w:lang w:val="pt-PT"/>
              </w:rPr>
              <w:t>acção</w:t>
            </w:r>
            <w:proofErr w:type="spellEnd"/>
            <w:r w:rsidRPr="004500AE">
              <w:rPr>
                <w:rFonts w:asciiTheme="minorHAnsi" w:eastAsia="Times New Roman" w:hAnsiTheme="minorHAnsi" w:cstheme="minorHAnsi"/>
                <w:color w:val="000000"/>
                <w:sz w:val="18"/>
                <w:szCs w:val="18"/>
                <w:lang w:val="pt-PT"/>
              </w:rPr>
              <w:t xml:space="preserve"> sobre violência baseada no género, Saúde e Segurança da Comunidade; Desperdício</w:t>
            </w:r>
          </w:p>
          <w:p w14:paraId="229D0DCA"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Entre outras informações. </w:t>
            </w:r>
          </w:p>
        </w:tc>
        <w:tc>
          <w:tcPr>
            <w:tcW w:w="1350" w:type="dxa"/>
            <w:hideMark/>
          </w:tcPr>
          <w:p w14:paraId="7E26CC4E" w14:textId="77777777" w:rsidR="00B00D6D" w:rsidRPr="004500AE" w:rsidRDefault="00B00D6D" w:rsidP="00B00D6D">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Consultas técnicas</w:t>
            </w:r>
          </w:p>
          <w:p w14:paraId="3178C8F1" w14:textId="77777777" w:rsidR="00B00D6D" w:rsidRPr="004500AE" w:rsidRDefault="00B00D6D" w:rsidP="00B00D6D">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Consultas públicas e individuais</w:t>
            </w:r>
          </w:p>
        </w:tc>
        <w:tc>
          <w:tcPr>
            <w:tcW w:w="2250" w:type="dxa"/>
            <w:noWrap/>
            <w:hideMark/>
          </w:tcPr>
          <w:p w14:paraId="01C1A217"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Maio- Junho de 2021</w:t>
            </w:r>
          </w:p>
        </w:tc>
        <w:tc>
          <w:tcPr>
            <w:tcW w:w="2070" w:type="dxa"/>
            <w:hideMark/>
          </w:tcPr>
          <w:p w14:paraId="7C740C57"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Instituições governamentais envolvidas no </w:t>
            </w:r>
            <w:proofErr w:type="spellStart"/>
            <w:r w:rsidRPr="004500AE">
              <w:rPr>
                <w:rFonts w:asciiTheme="minorHAnsi" w:eastAsia="Times New Roman" w:hAnsiTheme="minorHAnsi" w:cstheme="minorHAnsi"/>
                <w:color w:val="000000"/>
                <w:sz w:val="18"/>
                <w:szCs w:val="18"/>
                <w:lang w:val="pt-PT"/>
              </w:rPr>
              <w:t>projecto</w:t>
            </w:r>
            <w:proofErr w:type="spellEnd"/>
            <w:r w:rsidRPr="004500AE">
              <w:rPr>
                <w:rFonts w:asciiTheme="minorHAnsi" w:eastAsia="Times New Roman" w:hAnsiTheme="minorHAnsi" w:cstheme="minorHAnsi"/>
                <w:color w:val="000000"/>
                <w:sz w:val="18"/>
                <w:szCs w:val="18"/>
                <w:lang w:val="pt-PT"/>
              </w:rPr>
              <w:t xml:space="preserve"> (nacional, provincial e distrital), autoridades locais, </w:t>
            </w:r>
            <w:proofErr w:type="spellStart"/>
            <w:r w:rsidRPr="004500AE">
              <w:rPr>
                <w:rFonts w:asciiTheme="minorHAnsi" w:eastAsia="Times New Roman" w:hAnsiTheme="minorHAnsi" w:cstheme="minorHAnsi"/>
                <w:color w:val="000000"/>
                <w:sz w:val="18"/>
                <w:szCs w:val="18"/>
                <w:lang w:val="pt-PT"/>
              </w:rPr>
              <w:t>ONGs</w:t>
            </w:r>
            <w:proofErr w:type="spellEnd"/>
            <w:r w:rsidRPr="004500AE">
              <w:rPr>
                <w:rFonts w:asciiTheme="minorHAnsi" w:eastAsia="Times New Roman" w:hAnsiTheme="minorHAnsi" w:cstheme="minorHAnsi"/>
                <w:color w:val="000000"/>
                <w:sz w:val="18"/>
                <w:szCs w:val="18"/>
                <w:lang w:val="pt-PT"/>
              </w:rPr>
              <w:t xml:space="preserve">, parceiros de implementação, doadores e o público em geral, principalmente mulheres e grupos marginalizados, Pessoas </w:t>
            </w:r>
            <w:proofErr w:type="spellStart"/>
            <w:r w:rsidRPr="004500AE">
              <w:rPr>
                <w:rFonts w:asciiTheme="minorHAnsi" w:eastAsia="Times New Roman" w:hAnsiTheme="minorHAnsi" w:cstheme="minorHAnsi"/>
                <w:color w:val="000000"/>
                <w:sz w:val="18"/>
                <w:szCs w:val="18"/>
                <w:lang w:val="pt-PT"/>
              </w:rPr>
              <w:t>Afectadas</w:t>
            </w:r>
            <w:proofErr w:type="spellEnd"/>
            <w:r w:rsidRPr="004500AE">
              <w:rPr>
                <w:rFonts w:asciiTheme="minorHAnsi" w:eastAsia="Times New Roman" w:hAnsiTheme="minorHAnsi" w:cstheme="minorHAnsi"/>
                <w:color w:val="000000"/>
                <w:sz w:val="18"/>
                <w:szCs w:val="18"/>
                <w:lang w:val="pt-PT"/>
              </w:rPr>
              <w:t xml:space="preserve"> pelo </w:t>
            </w:r>
            <w:proofErr w:type="spellStart"/>
            <w:r w:rsidRPr="004500AE">
              <w:rPr>
                <w:rFonts w:asciiTheme="minorHAnsi" w:eastAsia="Times New Roman" w:hAnsiTheme="minorHAnsi" w:cstheme="minorHAnsi"/>
                <w:color w:val="000000"/>
                <w:sz w:val="18"/>
                <w:szCs w:val="18"/>
                <w:lang w:val="pt-PT"/>
              </w:rPr>
              <w:t>Projecto</w:t>
            </w:r>
            <w:proofErr w:type="spellEnd"/>
            <w:r w:rsidRPr="004500AE">
              <w:rPr>
                <w:rFonts w:asciiTheme="minorHAnsi" w:eastAsia="Times New Roman" w:hAnsiTheme="minorHAnsi" w:cstheme="minorHAnsi"/>
                <w:color w:val="000000"/>
                <w:sz w:val="18"/>
                <w:szCs w:val="18"/>
                <w:lang w:val="pt-PT"/>
              </w:rPr>
              <w:t xml:space="preserve"> e outras partes interessadas</w:t>
            </w:r>
          </w:p>
        </w:tc>
        <w:tc>
          <w:tcPr>
            <w:tcW w:w="1605" w:type="dxa"/>
            <w:hideMark/>
          </w:tcPr>
          <w:p w14:paraId="0B0A6A76" w14:textId="77777777" w:rsidR="00B00D6D" w:rsidRPr="004500AE" w:rsidRDefault="00B00D6D" w:rsidP="00B00D6D">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Equipa de Salvaguardas AIAS/DNAAS</w:t>
            </w:r>
          </w:p>
        </w:tc>
      </w:tr>
      <w:tr w:rsidR="00B00D6D" w:rsidRPr="008D18CF" w14:paraId="7407C439" w14:textId="77777777" w:rsidTr="004500AE">
        <w:trPr>
          <w:trHeight w:val="558"/>
          <w:jc w:val="center"/>
        </w:trPr>
        <w:tc>
          <w:tcPr>
            <w:cnfStyle w:val="001000000000" w:firstRow="0" w:lastRow="0" w:firstColumn="1" w:lastColumn="0" w:oddVBand="0" w:evenVBand="0" w:oddHBand="0" w:evenHBand="0" w:firstRowFirstColumn="0" w:firstRowLastColumn="0" w:lastRowFirstColumn="0" w:lastRowLastColumn="0"/>
            <w:tcW w:w="1615" w:type="dxa"/>
            <w:vMerge w:val="restart"/>
            <w:hideMark/>
          </w:tcPr>
          <w:p w14:paraId="67196CEB" w14:textId="77777777" w:rsidR="00B00D6D" w:rsidRPr="004500AE" w:rsidRDefault="00B00D6D" w:rsidP="00B00D6D">
            <w:pPr>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lastRenderedPageBreak/>
              <w:t xml:space="preserve">Fase de implementação </w:t>
            </w:r>
          </w:p>
        </w:tc>
        <w:tc>
          <w:tcPr>
            <w:tcW w:w="2070" w:type="dxa"/>
            <w:hideMark/>
          </w:tcPr>
          <w:p w14:paraId="557459A6"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Estudos de Impacto Ambiental e Social dos subprojectos  </w:t>
            </w:r>
          </w:p>
        </w:tc>
        <w:tc>
          <w:tcPr>
            <w:tcW w:w="1350" w:type="dxa"/>
            <w:hideMark/>
          </w:tcPr>
          <w:p w14:paraId="6BA00CD2" w14:textId="07E391FA" w:rsidR="00B00D6D" w:rsidRPr="004500AE" w:rsidRDefault="00B00D6D" w:rsidP="00B00D6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Consultas públicas e comunitárias, grupos focais de discussão, </w:t>
            </w:r>
            <w:r w:rsidR="00292532" w:rsidRPr="00292532">
              <w:rPr>
                <w:rFonts w:asciiTheme="minorHAnsi" w:eastAsia="Times New Roman" w:hAnsiTheme="minorHAnsi" w:cstheme="minorHAnsi"/>
                <w:color w:val="000000"/>
                <w:sz w:val="18"/>
                <w:szCs w:val="18"/>
                <w:lang w:val="pt-PT"/>
              </w:rPr>
              <w:t>média</w:t>
            </w:r>
            <w:r w:rsidRPr="004500AE">
              <w:rPr>
                <w:rFonts w:asciiTheme="minorHAnsi" w:eastAsia="Times New Roman" w:hAnsiTheme="minorHAnsi" w:cstheme="minorHAnsi"/>
                <w:color w:val="000000"/>
                <w:sz w:val="18"/>
                <w:szCs w:val="18"/>
                <w:lang w:val="pt-PT"/>
              </w:rPr>
              <w:t xml:space="preserve">, website da DNAAS e AIAS </w:t>
            </w:r>
          </w:p>
        </w:tc>
        <w:tc>
          <w:tcPr>
            <w:tcW w:w="2250" w:type="dxa"/>
            <w:hideMark/>
          </w:tcPr>
          <w:p w14:paraId="7618B41F" w14:textId="77777777" w:rsidR="00B00D6D" w:rsidRPr="004500AE" w:rsidRDefault="00B00D6D" w:rsidP="00B00D6D">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A ser definido pela PIU- Antes do início das atividades em subprojectos que exigem esses instrumentos. Consultas serão realizadas continuamente ao longo do estágio de implementação</w:t>
            </w:r>
          </w:p>
        </w:tc>
        <w:tc>
          <w:tcPr>
            <w:tcW w:w="2070" w:type="dxa"/>
            <w:hideMark/>
          </w:tcPr>
          <w:p w14:paraId="2CC2EF64"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Pessoas </w:t>
            </w:r>
            <w:proofErr w:type="spellStart"/>
            <w:r w:rsidRPr="004500AE">
              <w:rPr>
                <w:rFonts w:asciiTheme="minorHAnsi" w:eastAsia="Times New Roman" w:hAnsiTheme="minorHAnsi" w:cstheme="minorHAnsi"/>
                <w:color w:val="000000"/>
                <w:sz w:val="18"/>
                <w:szCs w:val="18"/>
                <w:lang w:val="pt-PT"/>
              </w:rPr>
              <w:t>Afectadas</w:t>
            </w:r>
            <w:proofErr w:type="spellEnd"/>
            <w:r w:rsidRPr="004500AE">
              <w:rPr>
                <w:rFonts w:asciiTheme="minorHAnsi" w:eastAsia="Times New Roman" w:hAnsiTheme="minorHAnsi" w:cstheme="minorHAnsi"/>
                <w:color w:val="000000"/>
                <w:sz w:val="18"/>
                <w:szCs w:val="18"/>
                <w:lang w:val="pt-PT"/>
              </w:rPr>
              <w:t xml:space="preserve"> pelo </w:t>
            </w:r>
            <w:proofErr w:type="spellStart"/>
            <w:r w:rsidRPr="004500AE">
              <w:rPr>
                <w:rFonts w:asciiTheme="minorHAnsi" w:eastAsia="Times New Roman" w:hAnsiTheme="minorHAnsi" w:cstheme="minorHAnsi"/>
                <w:color w:val="000000"/>
                <w:sz w:val="18"/>
                <w:szCs w:val="18"/>
                <w:lang w:val="pt-PT"/>
              </w:rPr>
              <w:t>Projecto</w:t>
            </w:r>
            <w:proofErr w:type="spellEnd"/>
            <w:r w:rsidRPr="004500AE">
              <w:rPr>
                <w:rFonts w:asciiTheme="minorHAnsi" w:eastAsia="Times New Roman" w:hAnsiTheme="minorHAnsi" w:cstheme="minorHAnsi"/>
                <w:color w:val="000000"/>
                <w:sz w:val="18"/>
                <w:szCs w:val="18"/>
                <w:lang w:val="pt-PT"/>
              </w:rPr>
              <w:t xml:space="preserve">, Partes Interessadas públicas e privadas </w:t>
            </w:r>
          </w:p>
        </w:tc>
        <w:tc>
          <w:tcPr>
            <w:tcW w:w="1605" w:type="dxa"/>
            <w:hideMark/>
          </w:tcPr>
          <w:p w14:paraId="4D6698FB" w14:textId="77777777" w:rsidR="00B00D6D" w:rsidRPr="004500AE" w:rsidRDefault="00B00D6D" w:rsidP="00B00D6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Equipa de Salvaguardas AIAS/DNAAS</w:t>
            </w:r>
          </w:p>
        </w:tc>
      </w:tr>
      <w:tr w:rsidR="00B00D6D" w:rsidRPr="008D18CF" w14:paraId="794ECF1D" w14:textId="77777777" w:rsidTr="004500AE">
        <w:trPr>
          <w:trHeight w:val="1680"/>
          <w:jc w:val="center"/>
        </w:trPr>
        <w:tc>
          <w:tcPr>
            <w:cnfStyle w:val="001000000000" w:firstRow="0" w:lastRow="0" w:firstColumn="1" w:lastColumn="0" w:oddVBand="0" w:evenVBand="0" w:oddHBand="0" w:evenHBand="0" w:firstRowFirstColumn="0" w:firstRowLastColumn="0" w:lastRowFirstColumn="0" w:lastRowLastColumn="0"/>
            <w:tcW w:w="1615" w:type="dxa"/>
            <w:vMerge/>
            <w:hideMark/>
          </w:tcPr>
          <w:p w14:paraId="68FFC640" w14:textId="77777777" w:rsidR="00B00D6D" w:rsidRPr="004500AE" w:rsidRDefault="00B00D6D" w:rsidP="00B00D6D">
            <w:pPr>
              <w:rPr>
                <w:rFonts w:asciiTheme="minorHAnsi" w:eastAsia="Times New Roman" w:hAnsiTheme="minorHAnsi" w:cstheme="minorHAnsi"/>
                <w:color w:val="000000"/>
                <w:sz w:val="18"/>
                <w:szCs w:val="18"/>
                <w:lang w:val="pt-PT"/>
              </w:rPr>
            </w:pPr>
            <w:bookmarkStart w:id="449" w:name="_Hlk71124476"/>
          </w:p>
        </w:tc>
        <w:tc>
          <w:tcPr>
            <w:tcW w:w="2070" w:type="dxa"/>
            <w:hideMark/>
          </w:tcPr>
          <w:p w14:paraId="376575B8"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Planos de Gestão Ambiental dos subprojectos</w:t>
            </w:r>
          </w:p>
        </w:tc>
        <w:tc>
          <w:tcPr>
            <w:tcW w:w="1350" w:type="dxa"/>
            <w:hideMark/>
          </w:tcPr>
          <w:p w14:paraId="4A61DFF8" w14:textId="77777777" w:rsidR="00B00D6D" w:rsidRPr="004500AE" w:rsidRDefault="00B00D6D" w:rsidP="00B00D6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Consultas públicas e comunitárias, grupos focais de discussão, </w:t>
            </w:r>
            <w:proofErr w:type="spellStart"/>
            <w:r w:rsidRPr="004500AE">
              <w:rPr>
                <w:rFonts w:asciiTheme="minorHAnsi" w:eastAsia="Times New Roman" w:hAnsiTheme="minorHAnsi" w:cstheme="minorHAnsi"/>
                <w:color w:val="000000"/>
                <w:sz w:val="18"/>
                <w:szCs w:val="18"/>
                <w:lang w:val="pt-PT"/>
              </w:rPr>
              <w:t>mídia</w:t>
            </w:r>
            <w:proofErr w:type="spellEnd"/>
            <w:r w:rsidRPr="004500AE">
              <w:rPr>
                <w:rFonts w:asciiTheme="minorHAnsi" w:eastAsia="Times New Roman" w:hAnsiTheme="minorHAnsi" w:cstheme="minorHAnsi"/>
                <w:color w:val="000000"/>
                <w:sz w:val="18"/>
                <w:szCs w:val="18"/>
                <w:lang w:val="pt-PT"/>
              </w:rPr>
              <w:t xml:space="preserve">, website da DNAAS e AIAS </w:t>
            </w:r>
          </w:p>
        </w:tc>
        <w:tc>
          <w:tcPr>
            <w:tcW w:w="2250" w:type="dxa"/>
            <w:hideMark/>
          </w:tcPr>
          <w:p w14:paraId="27DA1BEA" w14:textId="77777777" w:rsidR="00B00D6D" w:rsidRPr="004500AE" w:rsidRDefault="00B00D6D" w:rsidP="00B00D6D">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A ser definido pela PIU- Antes do início das atividades em subprojectos que exigem esses instrumentos. Consultas serão realizadas continuamente ao longo do estágio de implementação</w:t>
            </w:r>
          </w:p>
        </w:tc>
        <w:tc>
          <w:tcPr>
            <w:tcW w:w="2070" w:type="dxa"/>
            <w:hideMark/>
          </w:tcPr>
          <w:p w14:paraId="756DAC48"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Pessoas </w:t>
            </w:r>
            <w:proofErr w:type="spellStart"/>
            <w:r w:rsidRPr="004500AE">
              <w:rPr>
                <w:rFonts w:asciiTheme="minorHAnsi" w:eastAsia="Times New Roman" w:hAnsiTheme="minorHAnsi" w:cstheme="minorHAnsi"/>
                <w:color w:val="000000"/>
                <w:sz w:val="18"/>
                <w:szCs w:val="18"/>
                <w:lang w:val="pt-PT"/>
              </w:rPr>
              <w:t>Afectadas</w:t>
            </w:r>
            <w:proofErr w:type="spellEnd"/>
            <w:r w:rsidRPr="004500AE">
              <w:rPr>
                <w:rFonts w:asciiTheme="minorHAnsi" w:eastAsia="Times New Roman" w:hAnsiTheme="minorHAnsi" w:cstheme="minorHAnsi"/>
                <w:color w:val="000000"/>
                <w:sz w:val="18"/>
                <w:szCs w:val="18"/>
                <w:lang w:val="pt-PT"/>
              </w:rPr>
              <w:t xml:space="preserve"> pelo </w:t>
            </w:r>
            <w:proofErr w:type="spellStart"/>
            <w:r w:rsidRPr="004500AE">
              <w:rPr>
                <w:rFonts w:asciiTheme="minorHAnsi" w:eastAsia="Times New Roman" w:hAnsiTheme="minorHAnsi" w:cstheme="minorHAnsi"/>
                <w:color w:val="000000"/>
                <w:sz w:val="18"/>
                <w:szCs w:val="18"/>
                <w:lang w:val="pt-PT"/>
              </w:rPr>
              <w:t>Projecto</w:t>
            </w:r>
            <w:proofErr w:type="spellEnd"/>
            <w:r w:rsidRPr="004500AE">
              <w:rPr>
                <w:rFonts w:asciiTheme="minorHAnsi" w:eastAsia="Times New Roman" w:hAnsiTheme="minorHAnsi" w:cstheme="minorHAnsi"/>
                <w:color w:val="000000"/>
                <w:sz w:val="18"/>
                <w:szCs w:val="18"/>
                <w:lang w:val="pt-PT"/>
              </w:rPr>
              <w:t xml:space="preserve">, Partes Interessadas públicas e privadas </w:t>
            </w:r>
          </w:p>
        </w:tc>
        <w:tc>
          <w:tcPr>
            <w:tcW w:w="1605" w:type="dxa"/>
            <w:hideMark/>
          </w:tcPr>
          <w:p w14:paraId="0B7742EA" w14:textId="77777777" w:rsidR="00B00D6D" w:rsidRPr="004500AE" w:rsidRDefault="00B00D6D" w:rsidP="00B00D6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Equipa de Salvaguardas AIAS/DNAAS</w:t>
            </w:r>
          </w:p>
        </w:tc>
      </w:tr>
      <w:bookmarkEnd w:id="449"/>
      <w:tr w:rsidR="00B00D6D" w:rsidRPr="00292532" w14:paraId="6B9A5FC4" w14:textId="77777777" w:rsidTr="004500AE">
        <w:trPr>
          <w:trHeight w:val="1695"/>
          <w:jc w:val="center"/>
        </w:trPr>
        <w:tc>
          <w:tcPr>
            <w:cnfStyle w:val="001000000000" w:firstRow="0" w:lastRow="0" w:firstColumn="1" w:lastColumn="0" w:oddVBand="0" w:evenVBand="0" w:oddHBand="0" w:evenHBand="0" w:firstRowFirstColumn="0" w:firstRowLastColumn="0" w:lastRowFirstColumn="0" w:lastRowLastColumn="0"/>
            <w:tcW w:w="1615" w:type="dxa"/>
            <w:vMerge/>
            <w:hideMark/>
          </w:tcPr>
          <w:p w14:paraId="5F6C9002" w14:textId="77777777" w:rsidR="00B00D6D" w:rsidRPr="004500AE" w:rsidRDefault="00B00D6D" w:rsidP="00B00D6D">
            <w:pPr>
              <w:rPr>
                <w:rFonts w:asciiTheme="minorHAnsi" w:eastAsia="Times New Roman" w:hAnsiTheme="minorHAnsi" w:cstheme="minorHAnsi"/>
                <w:color w:val="000000"/>
                <w:sz w:val="18"/>
                <w:szCs w:val="18"/>
                <w:lang w:val="pt-PT"/>
              </w:rPr>
            </w:pPr>
          </w:p>
        </w:tc>
        <w:tc>
          <w:tcPr>
            <w:tcW w:w="2070" w:type="dxa"/>
            <w:hideMark/>
          </w:tcPr>
          <w:p w14:paraId="62DD7BF5"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Planos de Reassentamento dos subprojectos  </w:t>
            </w:r>
          </w:p>
        </w:tc>
        <w:tc>
          <w:tcPr>
            <w:tcW w:w="1350" w:type="dxa"/>
            <w:hideMark/>
          </w:tcPr>
          <w:p w14:paraId="65E96109" w14:textId="77777777" w:rsidR="00B00D6D" w:rsidRPr="004500AE" w:rsidRDefault="00B00D6D" w:rsidP="00B00D6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Consultas públicas e comunitárias, grupos focais de discussão, </w:t>
            </w:r>
            <w:proofErr w:type="spellStart"/>
            <w:r w:rsidRPr="004500AE">
              <w:rPr>
                <w:rFonts w:asciiTheme="minorHAnsi" w:eastAsia="Times New Roman" w:hAnsiTheme="minorHAnsi" w:cstheme="minorHAnsi"/>
                <w:color w:val="000000"/>
                <w:sz w:val="18"/>
                <w:szCs w:val="18"/>
                <w:lang w:val="pt-PT"/>
              </w:rPr>
              <w:t>mídia</w:t>
            </w:r>
            <w:proofErr w:type="spellEnd"/>
            <w:r w:rsidRPr="004500AE">
              <w:rPr>
                <w:rFonts w:asciiTheme="minorHAnsi" w:eastAsia="Times New Roman" w:hAnsiTheme="minorHAnsi" w:cstheme="minorHAnsi"/>
                <w:color w:val="000000"/>
                <w:sz w:val="18"/>
                <w:szCs w:val="18"/>
                <w:lang w:val="pt-PT"/>
              </w:rPr>
              <w:t xml:space="preserve">, website da DNAAS e AIAS </w:t>
            </w:r>
          </w:p>
          <w:p w14:paraId="453C79D9" w14:textId="77777777" w:rsidR="00B00D6D" w:rsidRPr="004500AE" w:rsidRDefault="00B00D6D" w:rsidP="00B00D6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c>
          <w:tcPr>
            <w:tcW w:w="2250" w:type="dxa"/>
            <w:hideMark/>
          </w:tcPr>
          <w:p w14:paraId="3C1B6308"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A ser definido pela PIU- Antes do início das atividades em subprojectos que exigem esses instrumentos. Consultas serão realizadas continuamente ao longo do estágio de implementação</w:t>
            </w:r>
          </w:p>
        </w:tc>
        <w:tc>
          <w:tcPr>
            <w:tcW w:w="2070" w:type="dxa"/>
            <w:hideMark/>
          </w:tcPr>
          <w:p w14:paraId="01B304A6"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Pessoas </w:t>
            </w:r>
            <w:proofErr w:type="spellStart"/>
            <w:r w:rsidRPr="004500AE">
              <w:rPr>
                <w:rFonts w:asciiTheme="minorHAnsi" w:eastAsia="Times New Roman" w:hAnsiTheme="minorHAnsi" w:cstheme="minorHAnsi"/>
                <w:color w:val="000000"/>
                <w:sz w:val="18"/>
                <w:szCs w:val="18"/>
                <w:lang w:val="pt-PT"/>
              </w:rPr>
              <w:t>Afectadas</w:t>
            </w:r>
            <w:proofErr w:type="spellEnd"/>
            <w:r w:rsidRPr="004500AE">
              <w:rPr>
                <w:rFonts w:asciiTheme="minorHAnsi" w:eastAsia="Times New Roman" w:hAnsiTheme="minorHAnsi" w:cstheme="minorHAnsi"/>
                <w:color w:val="000000"/>
                <w:sz w:val="18"/>
                <w:szCs w:val="18"/>
                <w:lang w:val="pt-PT"/>
              </w:rPr>
              <w:t xml:space="preserve"> pelo </w:t>
            </w:r>
            <w:proofErr w:type="spellStart"/>
            <w:r w:rsidRPr="004500AE">
              <w:rPr>
                <w:rFonts w:asciiTheme="minorHAnsi" w:eastAsia="Times New Roman" w:hAnsiTheme="minorHAnsi" w:cstheme="minorHAnsi"/>
                <w:color w:val="000000"/>
                <w:sz w:val="18"/>
                <w:szCs w:val="18"/>
                <w:lang w:val="pt-PT"/>
              </w:rPr>
              <w:t>Projecto</w:t>
            </w:r>
            <w:proofErr w:type="spellEnd"/>
            <w:r w:rsidRPr="004500AE">
              <w:rPr>
                <w:rFonts w:asciiTheme="minorHAnsi" w:eastAsia="Times New Roman" w:hAnsiTheme="minorHAnsi" w:cstheme="minorHAnsi"/>
                <w:color w:val="000000"/>
                <w:sz w:val="18"/>
                <w:szCs w:val="18"/>
                <w:lang w:val="pt-PT"/>
              </w:rPr>
              <w:t xml:space="preserve">, Partes Interessadas públicas e privadas </w:t>
            </w:r>
          </w:p>
        </w:tc>
        <w:tc>
          <w:tcPr>
            <w:tcW w:w="1605" w:type="dxa"/>
            <w:hideMark/>
          </w:tcPr>
          <w:p w14:paraId="4BC60682" w14:textId="77777777" w:rsidR="00B00D6D" w:rsidRPr="004500AE" w:rsidRDefault="00B00D6D" w:rsidP="00B00D6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Equipa de Salvaguardas AIAS/DNAAS</w:t>
            </w:r>
          </w:p>
          <w:p w14:paraId="06F47788" w14:textId="77777777" w:rsidR="00B00D6D" w:rsidRPr="004500AE" w:rsidRDefault="00B00D6D" w:rsidP="00B00D6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r>
      <w:tr w:rsidR="00B00D6D" w:rsidRPr="008D18CF" w14:paraId="60F4821C" w14:textId="77777777" w:rsidTr="004500AE">
        <w:trPr>
          <w:trHeight w:val="1695"/>
          <w:jc w:val="center"/>
        </w:trPr>
        <w:tc>
          <w:tcPr>
            <w:cnfStyle w:val="001000000000" w:firstRow="0" w:lastRow="0" w:firstColumn="1" w:lastColumn="0" w:oddVBand="0" w:evenVBand="0" w:oddHBand="0" w:evenHBand="0" w:firstRowFirstColumn="0" w:firstRowLastColumn="0" w:lastRowFirstColumn="0" w:lastRowLastColumn="0"/>
            <w:tcW w:w="1615" w:type="dxa"/>
          </w:tcPr>
          <w:p w14:paraId="1C58C75C" w14:textId="77777777" w:rsidR="00B00D6D" w:rsidRPr="004500AE" w:rsidRDefault="00B00D6D" w:rsidP="00B00D6D">
            <w:pPr>
              <w:rPr>
                <w:rFonts w:asciiTheme="minorHAnsi" w:eastAsia="Times New Roman" w:hAnsiTheme="minorHAnsi" w:cstheme="minorHAnsi"/>
                <w:color w:val="000000"/>
                <w:sz w:val="18"/>
                <w:szCs w:val="18"/>
                <w:lang w:val="pt-PT"/>
              </w:rPr>
            </w:pPr>
          </w:p>
        </w:tc>
        <w:tc>
          <w:tcPr>
            <w:tcW w:w="2070" w:type="dxa"/>
          </w:tcPr>
          <w:p w14:paraId="14E4D04B"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Relatórios de progresso do </w:t>
            </w:r>
            <w:proofErr w:type="spellStart"/>
            <w:r w:rsidRPr="004500AE">
              <w:rPr>
                <w:rFonts w:asciiTheme="minorHAnsi" w:eastAsia="Times New Roman" w:hAnsiTheme="minorHAnsi" w:cstheme="minorHAnsi"/>
                <w:color w:val="000000"/>
                <w:sz w:val="18"/>
                <w:szCs w:val="18"/>
                <w:lang w:val="pt-PT"/>
              </w:rPr>
              <w:t>projecto</w:t>
            </w:r>
            <w:proofErr w:type="spellEnd"/>
            <w:r w:rsidRPr="004500AE">
              <w:rPr>
                <w:rFonts w:asciiTheme="minorHAnsi" w:eastAsia="Times New Roman" w:hAnsiTheme="minorHAnsi" w:cstheme="minorHAnsi"/>
                <w:color w:val="000000"/>
                <w:sz w:val="18"/>
                <w:szCs w:val="18"/>
                <w:lang w:val="pt-PT"/>
              </w:rPr>
              <w:t>,</w:t>
            </w:r>
          </w:p>
          <w:p w14:paraId="291785BE"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Relatórios de auditoria, Resultados do Mecanismo de gestão de queixas e reclamações, relatório de </w:t>
            </w:r>
            <w:r w:rsidRPr="004500AE">
              <w:rPr>
                <w:rFonts w:asciiTheme="minorHAnsi" w:eastAsia="Times New Roman" w:hAnsiTheme="minorHAnsi" w:cstheme="minorHAnsi"/>
                <w:i/>
                <w:iCs/>
                <w:color w:val="000000"/>
                <w:sz w:val="18"/>
                <w:szCs w:val="18"/>
                <w:lang w:val="pt-PT"/>
              </w:rPr>
              <w:t>feedback</w:t>
            </w:r>
            <w:r w:rsidRPr="004500AE">
              <w:rPr>
                <w:rFonts w:asciiTheme="minorHAnsi" w:eastAsia="Times New Roman" w:hAnsiTheme="minorHAnsi" w:cstheme="minorHAnsi"/>
                <w:color w:val="000000"/>
                <w:sz w:val="18"/>
                <w:szCs w:val="18"/>
                <w:lang w:val="pt-PT"/>
              </w:rPr>
              <w:t xml:space="preserve"> das partes interessadas</w:t>
            </w:r>
          </w:p>
        </w:tc>
        <w:tc>
          <w:tcPr>
            <w:tcW w:w="1350" w:type="dxa"/>
          </w:tcPr>
          <w:p w14:paraId="76C5E9CD" w14:textId="2BBE5AE0" w:rsidR="00B00D6D" w:rsidRPr="004500AE" w:rsidRDefault="00B00D6D" w:rsidP="00B00D6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Reuniões comunitárias, </w:t>
            </w:r>
            <w:r w:rsidR="00292532">
              <w:rPr>
                <w:rFonts w:asciiTheme="minorHAnsi" w:eastAsia="Times New Roman" w:hAnsiTheme="minorHAnsi" w:cstheme="minorHAnsi"/>
                <w:color w:val="000000"/>
                <w:sz w:val="18"/>
                <w:szCs w:val="18"/>
                <w:lang w:val="pt-PT"/>
              </w:rPr>
              <w:t>Reuniões de Grupo de Foco, Q</w:t>
            </w:r>
            <w:r w:rsidRPr="004500AE">
              <w:rPr>
                <w:rFonts w:asciiTheme="minorHAnsi" w:eastAsia="Times New Roman" w:hAnsiTheme="minorHAnsi" w:cstheme="minorHAnsi"/>
                <w:color w:val="000000"/>
                <w:sz w:val="18"/>
                <w:szCs w:val="18"/>
                <w:lang w:val="pt-PT"/>
              </w:rPr>
              <w:t>uadro de avisos,</w:t>
            </w:r>
          </w:p>
          <w:p w14:paraId="21A744CD" w14:textId="77777777" w:rsidR="00B00D6D" w:rsidRPr="004500AE" w:rsidRDefault="00B00D6D" w:rsidP="00B00D6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roofErr w:type="spellStart"/>
            <w:r w:rsidRPr="004500AE">
              <w:rPr>
                <w:rFonts w:asciiTheme="minorHAnsi" w:eastAsia="Times New Roman" w:hAnsiTheme="minorHAnsi" w:cstheme="minorHAnsi"/>
                <w:color w:val="000000"/>
                <w:sz w:val="18"/>
                <w:szCs w:val="18"/>
                <w:lang w:val="pt-PT"/>
              </w:rPr>
              <w:t>mídia</w:t>
            </w:r>
            <w:proofErr w:type="spellEnd"/>
            <w:r w:rsidRPr="004500AE">
              <w:rPr>
                <w:rFonts w:asciiTheme="minorHAnsi" w:eastAsia="Times New Roman" w:hAnsiTheme="minorHAnsi" w:cstheme="minorHAnsi"/>
                <w:color w:val="000000"/>
                <w:sz w:val="18"/>
                <w:szCs w:val="18"/>
                <w:lang w:val="pt-PT"/>
              </w:rPr>
              <w:t xml:space="preserve">, rádio, linha direta do </w:t>
            </w:r>
            <w:proofErr w:type="spellStart"/>
            <w:r w:rsidRPr="004500AE">
              <w:rPr>
                <w:rFonts w:asciiTheme="minorHAnsi" w:eastAsia="Times New Roman" w:hAnsiTheme="minorHAnsi" w:cstheme="minorHAnsi"/>
                <w:color w:val="000000"/>
                <w:sz w:val="18"/>
                <w:szCs w:val="18"/>
                <w:lang w:val="pt-PT"/>
              </w:rPr>
              <w:t>projecto</w:t>
            </w:r>
            <w:proofErr w:type="spellEnd"/>
            <w:r w:rsidRPr="004500AE">
              <w:rPr>
                <w:rFonts w:asciiTheme="minorHAnsi" w:eastAsia="Times New Roman" w:hAnsiTheme="minorHAnsi" w:cstheme="minorHAnsi"/>
                <w:color w:val="000000"/>
                <w:sz w:val="18"/>
                <w:szCs w:val="18"/>
                <w:lang w:val="pt-PT"/>
              </w:rPr>
              <w:t>,</w:t>
            </w:r>
          </w:p>
          <w:p w14:paraId="29073288" w14:textId="77777777" w:rsidR="00B00D6D" w:rsidRPr="004500AE" w:rsidRDefault="00B00D6D" w:rsidP="00B00D6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SMS, website,</w:t>
            </w:r>
          </w:p>
          <w:p w14:paraId="142A5EE1" w14:textId="77777777" w:rsidR="00B00D6D" w:rsidRPr="004500AE" w:rsidRDefault="00B00D6D" w:rsidP="00B00D6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Quadro de avisos da comunidade, rádio,</w:t>
            </w:r>
          </w:p>
          <w:p w14:paraId="38869E8D" w14:textId="77777777" w:rsidR="00B00D6D" w:rsidRPr="004500AE" w:rsidRDefault="00B00D6D" w:rsidP="00B00D6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c>
          <w:tcPr>
            <w:tcW w:w="2250" w:type="dxa"/>
          </w:tcPr>
          <w:p w14:paraId="1F7D65A2"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A ser definido pela UIP</w:t>
            </w:r>
          </w:p>
        </w:tc>
        <w:tc>
          <w:tcPr>
            <w:tcW w:w="2070" w:type="dxa"/>
          </w:tcPr>
          <w:p w14:paraId="28B0CC99"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Comunidades afetadas, público em geral, </w:t>
            </w:r>
            <w:proofErr w:type="spellStart"/>
            <w:r w:rsidRPr="004500AE">
              <w:rPr>
                <w:rFonts w:asciiTheme="minorHAnsi" w:eastAsia="Times New Roman" w:hAnsiTheme="minorHAnsi" w:cstheme="minorHAnsi"/>
                <w:color w:val="000000"/>
                <w:sz w:val="18"/>
                <w:szCs w:val="18"/>
                <w:lang w:val="pt-PT"/>
              </w:rPr>
              <w:t>ONGs</w:t>
            </w:r>
            <w:proofErr w:type="spellEnd"/>
            <w:r w:rsidRPr="004500AE">
              <w:rPr>
                <w:rFonts w:asciiTheme="minorHAnsi" w:eastAsia="Times New Roman" w:hAnsiTheme="minorHAnsi" w:cstheme="minorHAnsi"/>
                <w:color w:val="000000"/>
                <w:sz w:val="18"/>
                <w:szCs w:val="18"/>
                <w:lang w:val="pt-PT"/>
              </w:rPr>
              <w:t xml:space="preserve">, mulheres e outros </w:t>
            </w:r>
          </w:p>
          <w:p w14:paraId="21A5CDC5"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grupos vulneráveis serão</w:t>
            </w:r>
          </w:p>
          <w:p w14:paraId="70D3BD47" w14:textId="77777777" w:rsidR="00B00D6D" w:rsidRPr="004500AE" w:rsidRDefault="00B00D6D" w:rsidP="00B00D6D">
            <w:pPr>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consultados em particular</w:t>
            </w:r>
          </w:p>
        </w:tc>
        <w:tc>
          <w:tcPr>
            <w:tcW w:w="0" w:type="dxa"/>
          </w:tcPr>
          <w:p w14:paraId="06114E46" w14:textId="77777777" w:rsidR="00B00D6D" w:rsidRPr="004500AE" w:rsidRDefault="00B00D6D" w:rsidP="00B00D6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Equipa de Salvaguardas AIAS/DNAAS</w:t>
            </w:r>
          </w:p>
        </w:tc>
      </w:tr>
    </w:tbl>
    <w:p w14:paraId="6EAC8B38" w14:textId="77777777" w:rsidR="00B00D6D" w:rsidRPr="004500AE" w:rsidRDefault="00B00D6D" w:rsidP="004500AE">
      <w:pPr>
        <w:rPr>
          <w:lang w:val="pt-PT"/>
        </w:rPr>
      </w:pPr>
    </w:p>
    <w:p w14:paraId="73C95678" w14:textId="21EA0ABE" w:rsidR="00652BE7" w:rsidRPr="00292532" w:rsidRDefault="00292532" w:rsidP="004500AE">
      <w:pPr>
        <w:pStyle w:val="Heading2"/>
      </w:pPr>
      <w:bookmarkStart w:id="450" w:name="_Toc80380068"/>
      <w:r w:rsidRPr="00292532">
        <w:t>Reuniões</w:t>
      </w:r>
      <w:r w:rsidR="00C6730F" w:rsidRPr="00292532">
        <w:t xml:space="preserve"> de Consulta Pública</w:t>
      </w:r>
      <w:bookmarkEnd w:id="450"/>
    </w:p>
    <w:p w14:paraId="7874D7F6" w14:textId="6D341CFB" w:rsidR="006C7402" w:rsidRPr="00292532" w:rsidRDefault="009C0A1A" w:rsidP="00597827">
      <w:pPr>
        <w:rPr>
          <w:lang w:val="pt-PT"/>
        </w:rPr>
      </w:pPr>
      <w:r w:rsidRPr="00292532">
        <w:rPr>
          <w:lang w:val="pt-PT"/>
        </w:rPr>
        <w:t xml:space="preserve">Os relatórios do QGAS foram tornados públicos através de um anúncio publicado no Jornal Notícias </w:t>
      </w:r>
      <w:r w:rsidR="006C7402" w:rsidRPr="00292532">
        <w:rPr>
          <w:lang w:val="pt-PT"/>
        </w:rPr>
        <w:t xml:space="preserve">do dia 29 de Junho de 2021 </w:t>
      </w:r>
      <w:r w:rsidRPr="00292532">
        <w:rPr>
          <w:lang w:val="pt-PT"/>
        </w:rPr>
        <w:t>e disponibilizados através do portal da AIAS e poderá ser obtido através do link  “</w:t>
      </w:r>
      <w:hyperlink r:id="rId39" w:history="1">
        <w:r w:rsidRPr="00292532">
          <w:rPr>
            <w:rStyle w:val="Hyperlink"/>
            <w:rFonts w:eastAsia="Times New Roman"/>
            <w:lang w:val="pt-PT"/>
          </w:rPr>
          <w:t>24_06_2021_Q</w:t>
        </w:r>
        <w:r w:rsidR="001978AF" w:rsidRPr="00292532">
          <w:rPr>
            <w:rStyle w:val="Hyperlink"/>
            <w:rFonts w:eastAsia="Times New Roman"/>
            <w:lang w:val="pt-PT"/>
          </w:rPr>
          <w:t>PGAS</w:t>
        </w:r>
        <w:r w:rsidRPr="00292532">
          <w:rPr>
            <w:rStyle w:val="Hyperlink"/>
            <w:rFonts w:eastAsia="Times New Roman"/>
            <w:lang w:val="pt-PT"/>
          </w:rPr>
          <w:t>_AIAS-Versão Final</w:t>
        </w:r>
      </w:hyperlink>
      <w:r w:rsidRPr="00292532">
        <w:rPr>
          <w:lang w:val="pt-PT"/>
        </w:rPr>
        <w:t>”.</w:t>
      </w:r>
      <w:r w:rsidR="006C7402" w:rsidRPr="00292532">
        <w:rPr>
          <w:lang w:val="pt-PT"/>
        </w:rPr>
        <w:t xml:space="preserve"> Simultaneamente foi disponibilizado um endereço de email dedicado (</w:t>
      </w:r>
      <w:hyperlink r:id="rId40" w:history="1">
        <w:r w:rsidR="006C7402" w:rsidRPr="00292532">
          <w:rPr>
            <w:rStyle w:val="Hyperlink"/>
            <w:lang w:val="pt-PT"/>
          </w:rPr>
          <w:t>consulta.pub@gmail.com</w:t>
        </w:r>
      </w:hyperlink>
      <w:r w:rsidR="006C7402" w:rsidRPr="00292532">
        <w:rPr>
          <w:lang w:val="pt-PT"/>
        </w:rPr>
        <w:t xml:space="preserve">) para que fosse possível contactos </w:t>
      </w:r>
      <w:proofErr w:type="spellStart"/>
      <w:r w:rsidR="006C7402" w:rsidRPr="00292532">
        <w:rPr>
          <w:lang w:val="pt-PT"/>
        </w:rPr>
        <w:t>directos</w:t>
      </w:r>
      <w:proofErr w:type="spellEnd"/>
      <w:r w:rsidR="006C7402" w:rsidRPr="00292532">
        <w:rPr>
          <w:lang w:val="pt-PT"/>
        </w:rPr>
        <w:t xml:space="preserve"> com as partes interessadas e </w:t>
      </w:r>
      <w:proofErr w:type="spellStart"/>
      <w:r w:rsidR="006C7402" w:rsidRPr="00292532">
        <w:rPr>
          <w:lang w:val="pt-PT"/>
        </w:rPr>
        <w:t>afectadas</w:t>
      </w:r>
      <w:proofErr w:type="spellEnd"/>
      <w:r w:rsidR="006C7402" w:rsidRPr="00292532">
        <w:rPr>
          <w:lang w:val="pt-PT"/>
        </w:rPr>
        <w:t xml:space="preserve">. </w:t>
      </w:r>
    </w:p>
    <w:p w14:paraId="71D5564C" w14:textId="7AC77450" w:rsidR="009F7F71" w:rsidRPr="00292532" w:rsidRDefault="006C7402" w:rsidP="00597827">
      <w:pPr>
        <w:rPr>
          <w:lang w:val="pt-PT"/>
        </w:rPr>
      </w:pPr>
      <w:r w:rsidRPr="00292532">
        <w:rPr>
          <w:lang w:val="pt-PT"/>
        </w:rPr>
        <w:t xml:space="preserve">Para completar o processo de consulta e considerando o Âmbito rural do </w:t>
      </w:r>
      <w:proofErr w:type="spellStart"/>
      <w:r w:rsidRPr="00292532">
        <w:rPr>
          <w:lang w:val="pt-PT"/>
        </w:rPr>
        <w:t>projecto</w:t>
      </w:r>
      <w:proofErr w:type="spellEnd"/>
      <w:r w:rsidRPr="00292532">
        <w:rPr>
          <w:lang w:val="pt-PT"/>
        </w:rPr>
        <w:t xml:space="preserve">, foram planificadas reuniões presenciais </w:t>
      </w:r>
      <w:bookmarkEnd w:id="442"/>
      <w:r w:rsidR="009F7F71" w:rsidRPr="00292532">
        <w:rPr>
          <w:lang w:val="pt-PT"/>
        </w:rPr>
        <w:t xml:space="preserve">nas </w:t>
      </w:r>
      <w:r w:rsidR="009C0A1A" w:rsidRPr="00292532">
        <w:rPr>
          <w:lang w:val="pt-PT"/>
        </w:rPr>
        <w:t>Províncias</w:t>
      </w:r>
      <w:r w:rsidR="009F7F71" w:rsidRPr="00292532">
        <w:rPr>
          <w:lang w:val="pt-PT"/>
        </w:rPr>
        <w:t xml:space="preserve"> de Nampula e Zambézia, obedecendo as restrições impostas pela pandemia do Covid 19 e da nota técnica, “</w:t>
      </w:r>
      <w:proofErr w:type="spellStart"/>
      <w:r w:rsidR="009F7F71" w:rsidRPr="00292532">
        <w:rPr>
          <w:lang w:val="pt-PT"/>
        </w:rPr>
        <w:t>Public</w:t>
      </w:r>
      <w:proofErr w:type="spellEnd"/>
      <w:r w:rsidR="009F7F71" w:rsidRPr="00292532">
        <w:rPr>
          <w:lang w:val="pt-PT"/>
        </w:rPr>
        <w:t xml:space="preserve"> </w:t>
      </w:r>
      <w:proofErr w:type="spellStart"/>
      <w:r w:rsidR="009F7F71" w:rsidRPr="00292532">
        <w:rPr>
          <w:lang w:val="pt-PT"/>
        </w:rPr>
        <w:t>Consultations</w:t>
      </w:r>
      <w:proofErr w:type="spellEnd"/>
      <w:r w:rsidR="009F7F71" w:rsidRPr="00292532">
        <w:rPr>
          <w:lang w:val="pt-PT"/>
        </w:rPr>
        <w:t xml:space="preserve"> and </w:t>
      </w:r>
      <w:proofErr w:type="spellStart"/>
      <w:r w:rsidR="009F7F71" w:rsidRPr="00292532">
        <w:rPr>
          <w:lang w:val="pt-PT"/>
        </w:rPr>
        <w:t>Stakeholder</w:t>
      </w:r>
      <w:proofErr w:type="spellEnd"/>
      <w:r w:rsidR="009F7F71" w:rsidRPr="00292532">
        <w:rPr>
          <w:lang w:val="pt-PT"/>
        </w:rPr>
        <w:t xml:space="preserve"> </w:t>
      </w:r>
      <w:proofErr w:type="spellStart"/>
      <w:r w:rsidR="009F7F71" w:rsidRPr="00292532">
        <w:rPr>
          <w:lang w:val="pt-PT"/>
        </w:rPr>
        <w:t>Engagement</w:t>
      </w:r>
      <w:proofErr w:type="spellEnd"/>
      <w:r w:rsidR="009F7F71" w:rsidRPr="00292532">
        <w:rPr>
          <w:lang w:val="pt-PT"/>
        </w:rPr>
        <w:t xml:space="preserve"> in WB-</w:t>
      </w:r>
      <w:proofErr w:type="spellStart"/>
      <w:r w:rsidR="009F7F71" w:rsidRPr="00292532">
        <w:rPr>
          <w:lang w:val="pt-PT"/>
        </w:rPr>
        <w:t>supported</w:t>
      </w:r>
      <w:proofErr w:type="spellEnd"/>
      <w:r w:rsidR="009F7F71" w:rsidRPr="00292532">
        <w:rPr>
          <w:lang w:val="pt-PT"/>
        </w:rPr>
        <w:t xml:space="preserve"> </w:t>
      </w:r>
      <w:proofErr w:type="spellStart"/>
      <w:r w:rsidR="009F7F71" w:rsidRPr="00292532">
        <w:rPr>
          <w:lang w:val="pt-PT"/>
        </w:rPr>
        <w:t>operations</w:t>
      </w:r>
      <w:proofErr w:type="spellEnd"/>
      <w:r w:rsidR="009F7F71" w:rsidRPr="00292532">
        <w:rPr>
          <w:lang w:val="pt-PT"/>
        </w:rPr>
        <w:t xml:space="preserve"> </w:t>
      </w:r>
      <w:proofErr w:type="spellStart"/>
      <w:r w:rsidR="009F7F71" w:rsidRPr="00292532">
        <w:rPr>
          <w:lang w:val="pt-PT"/>
        </w:rPr>
        <w:t>when</w:t>
      </w:r>
      <w:proofErr w:type="spellEnd"/>
      <w:r w:rsidR="009F7F71" w:rsidRPr="00292532">
        <w:rPr>
          <w:lang w:val="pt-PT"/>
        </w:rPr>
        <w:t xml:space="preserve"> </w:t>
      </w:r>
      <w:proofErr w:type="spellStart"/>
      <w:r w:rsidR="009F7F71" w:rsidRPr="00292532">
        <w:rPr>
          <w:lang w:val="pt-PT"/>
        </w:rPr>
        <w:t>there</w:t>
      </w:r>
      <w:proofErr w:type="spellEnd"/>
      <w:r w:rsidR="009F7F71" w:rsidRPr="00292532">
        <w:rPr>
          <w:lang w:val="pt-PT"/>
        </w:rPr>
        <w:t xml:space="preserve"> are </w:t>
      </w:r>
      <w:proofErr w:type="spellStart"/>
      <w:r w:rsidR="009F7F71" w:rsidRPr="00292532">
        <w:rPr>
          <w:lang w:val="pt-PT"/>
        </w:rPr>
        <w:t>constraints</w:t>
      </w:r>
      <w:proofErr w:type="spellEnd"/>
      <w:r w:rsidR="009F7F71" w:rsidRPr="00292532">
        <w:rPr>
          <w:lang w:val="pt-PT"/>
        </w:rPr>
        <w:t xml:space="preserve"> </w:t>
      </w:r>
      <w:proofErr w:type="spellStart"/>
      <w:r w:rsidR="009F7F71" w:rsidRPr="00292532">
        <w:rPr>
          <w:lang w:val="pt-PT"/>
        </w:rPr>
        <w:t>on</w:t>
      </w:r>
      <w:proofErr w:type="spellEnd"/>
      <w:r w:rsidR="009F7F71" w:rsidRPr="00292532">
        <w:rPr>
          <w:lang w:val="pt-PT"/>
        </w:rPr>
        <w:t xml:space="preserve"> </w:t>
      </w:r>
      <w:proofErr w:type="spellStart"/>
      <w:r w:rsidR="009F7F71" w:rsidRPr="00292532">
        <w:rPr>
          <w:lang w:val="pt-PT"/>
        </w:rPr>
        <w:t>conducting</w:t>
      </w:r>
      <w:proofErr w:type="spellEnd"/>
      <w:r w:rsidR="009F7F71" w:rsidRPr="00292532">
        <w:rPr>
          <w:lang w:val="pt-PT"/>
        </w:rPr>
        <w:t xml:space="preserve"> </w:t>
      </w:r>
      <w:proofErr w:type="spellStart"/>
      <w:r w:rsidR="009F7F71" w:rsidRPr="00292532">
        <w:rPr>
          <w:lang w:val="pt-PT"/>
        </w:rPr>
        <w:t>public</w:t>
      </w:r>
      <w:proofErr w:type="spellEnd"/>
      <w:r w:rsidR="009F7F71" w:rsidRPr="00292532">
        <w:rPr>
          <w:lang w:val="pt-PT"/>
        </w:rPr>
        <w:t xml:space="preserve"> meetings”, elaborada pelo Banco Mundial em </w:t>
      </w:r>
      <w:proofErr w:type="gramStart"/>
      <w:r w:rsidR="009F7F71" w:rsidRPr="00292532">
        <w:rPr>
          <w:lang w:val="pt-PT"/>
        </w:rPr>
        <w:t>Março</w:t>
      </w:r>
      <w:proofErr w:type="gramEnd"/>
      <w:r w:rsidR="009F7F71" w:rsidRPr="00292532">
        <w:rPr>
          <w:lang w:val="pt-PT"/>
        </w:rPr>
        <w:t xml:space="preserve"> de 2020. </w:t>
      </w:r>
    </w:p>
    <w:p w14:paraId="07B107B2" w14:textId="0233892B" w:rsidR="009F7F71" w:rsidRPr="00292532" w:rsidRDefault="009F7F71" w:rsidP="00597827">
      <w:pPr>
        <w:rPr>
          <w:lang w:val="pt-PT"/>
        </w:rPr>
      </w:pPr>
      <w:r w:rsidRPr="00292532">
        <w:rPr>
          <w:lang w:val="pt-PT"/>
        </w:rPr>
        <w:lastRenderedPageBreak/>
        <w:t xml:space="preserve">As reuniões tiveram lugar nos distritos de </w:t>
      </w:r>
      <w:proofErr w:type="spellStart"/>
      <w:r w:rsidR="00EB4BC8" w:rsidRPr="00292532">
        <w:rPr>
          <w:lang w:val="pt-PT"/>
        </w:rPr>
        <w:t>Monapo</w:t>
      </w:r>
      <w:proofErr w:type="spellEnd"/>
      <w:r w:rsidR="00EB4BC8" w:rsidRPr="00292532">
        <w:rPr>
          <w:lang w:val="pt-PT"/>
        </w:rPr>
        <w:t xml:space="preserve">, </w:t>
      </w:r>
      <w:proofErr w:type="spellStart"/>
      <w:r w:rsidR="00EB4BC8" w:rsidRPr="00292532">
        <w:rPr>
          <w:lang w:val="pt-PT"/>
        </w:rPr>
        <w:t>Namialo</w:t>
      </w:r>
      <w:proofErr w:type="spellEnd"/>
      <w:r w:rsidR="00EB4BC8" w:rsidRPr="00292532">
        <w:rPr>
          <w:lang w:val="pt-PT"/>
        </w:rPr>
        <w:t xml:space="preserve">, </w:t>
      </w:r>
      <w:proofErr w:type="spellStart"/>
      <w:r w:rsidR="00EB4BC8" w:rsidRPr="00292532">
        <w:rPr>
          <w:lang w:val="pt-PT"/>
        </w:rPr>
        <w:t>Musuril</w:t>
      </w:r>
      <w:proofErr w:type="spellEnd"/>
      <w:r w:rsidR="00EB4BC8" w:rsidRPr="00292532">
        <w:rPr>
          <w:lang w:val="pt-PT"/>
        </w:rPr>
        <w:t xml:space="preserve"> e na Ilha de Moçambique,</w:t>
      </w:r>
      <w:r w:rsidRPr="00292532">
        <w:rPr>
          <w:lang w:val="pt-PT"/>
        </w:rPr>
        <w:t xml:space="preserve"> na Província de Nampula e nos distritos de Lugela, Mocuba e </w:t>
      </w:r>
      <w:proofErr w:type="spellStart"/>
      <w:r w:rsidRPr="00292532">
        <w:rPr>
          <w:lang w:val="pt-PT"/>
        </w:rPr>
        <w:t>Nicoadala</w:t>
      </w:r>
      <w:proofErr w:type="spellEnd"/>
      <w:r w:rsidRPr="00292532">
        <w:rPr>
          <w:lang w:val="pt-PT"/>
        </w:rPr>
        <w:t xml:space="preserve"> na Província da Zambézia</w:t>
      </w:r>
      <w:r w:rsidR="00644896" w:rsidRPr="00292532">
        <w:rPr>
          <w:lang w:val="pt-PT"/>
        </w:rPr>
        <w:t xml:space="preserve"> e na Cidade de </w:t>
      </w:r>
      <w:r w:rsidRPr="00292532">
        <w:rPr>
          <w:lang w:val="pt-PT"/>
        </w:rPr>
        <w:t>Quelimane.</w:t>
      </w:r>
    </w:p>
    <w:p w14:paraId="2A9D7C02" w14:textId="09CD40A7" w:rsidR="00644896" w:rsidRPr="00292532" w:rsidRDefault="009F7F71" w:rsidP="00597827">
      <w:pPr>
        <w:rPr>
          <w:lang w:val="pt-PT"/>
        </w:rPr>
      </w:pPr>
      <w:r w:rsidRPr="00292532">
        <w:rPr>
          <w:lang w:val="pt-PT"/>
        </w:rPr>
        <w:t>E</w:t>
      </w:r>
      <w:r w:rsidR="00597827" w:rsidRPr="00292532">
        <w:rPr>
          <w:lang w:val="pt-PT"/>
        </w:rPr>
        <w:t xml:space="preserve">stas reuniões serviram para </w:t>
      </w:r>
      <w:r w:rsidRPr="00292532">
        <w:rPr>
          <w:lang w:val="pt-PT"/>
        </w:rPr>
        <w:t xml:space="preserve">divulgar o </w:t>
      </w:r>
      <w:proofErr w:type="spellStart"/>
      <w:r w:rsidR="00597827" w:rsidRPr="00292532">
        <w:rPr>
          <w:lang w:val="pt-PT"/>
        </w:rPr>
        <w:t>Projecto</w:t>
      </w:r>
      <w:proofErr w:type="spellEnd"/>
      <w:r w:rsidR="00597827" w:rsidRPr="00292532">
        <w:rPr>
          <w:lang w:val="pt-PT"/>
        </w:rPr>
        <w:t xml:space="preserve"> às partes interessadas, apresentar os resultados do QGAS e do QPR assim como esclarecer as questões colocadas pelos participantes e recolher sugestões e preocupações sobre o </w:t>
      </w:r>
      <w:proofErr w:type="spellStart"/>
      <w:r w:rsidR="00597827" w:rsidRPr="00292532">
        <w:rPr>
          <w:lang w:val="pt-PT"/>
        </w:rPr>
        <w:t>Projecto</w:t>
      </w:r>
      <w:proofErr w:type="spellEnd"/>
      <w:r w:rsidR="00597827" w:rsidRPr="00292532">
        <w:rPr>
          <w:lang w:val="pt-PT"/>
        </w:rPr>
        <w:t>. O</w:t>
      </w:r>
      <w:r w:rsidR="00644896" w:rsidRPr="00292532">
        <w:rPr>
          <w:lang w:val="pt-PT"/>
        </w:rPr>
        <w:t>s</w:t>
      </w:r>
      <w:r w:rsidR="00597827" w:rsidRPr="00292532">
        <w:rPr>
          <w:lang w:val="pt-PT"/>
        </w:rPr>
        <w:t xml:space="preserve"> relatório</w:t>
      </w:r>
      <w:r w:rsidR="00644896" w:rsidRPr="00292532">
        <w:rPr>
          <w:lang w:val="pt-PT"/>
        </w:rPr>
        <w:t>s</w:t>
      </w:r>
      <w:r w:rsidR="00597827" w:rsidRPr="00292532">
        <w:rPr>
          <w:lang w:val="pt-PT"/>
        </w:rPr>
        <w:t xml:space="preserve"> de Consulta pública </w:t>
      </w:r>
      <w:r w:rsidR="00644896" w:rsidRPr="00292532">
        <w:rPr>
          <w:lang w:val="pt-PT"/>
        </w:rPr>
        <w:t xml:space="preserve">por província são </w:t>
      </w:r>
      <w:r w:rsidR="00597827" w:rsidRPr="00292532">
        <w:rPr>
          <w:lang w:val="pt-PT"/>
        </w:rPr>
        <w:t>apresentado</w:t>
      </w:r>
      <w:r w:rsidR="00644896" w:rsidRPr="00292532">
        <w:rPr>
          <w:lang w:val="pt-PT"/>
        </w:rPr>
        <w:t>s</w:t>
      </w:r>
      <w:r w:rsidR="00597827" w:rsidRPr="00292532">
        <w:rPr>
          <w:lang w:val="pt-PT"/>
        </w:rPr>
        <w:t xml:space="preserve"> no </w:t>
      </w:r>
      <w:r w:rsidR="00597827" w:rsidRPr="00292532">
        <w:rPr>
          <w:b/>
          <w:bCs/>
          <w:lang w:val="pt-PT"/>
        </w:rPr>
        <w:t xml:space="preserve">Anexo </w:t>
      </w:r>
      <w:r w:rsidR="00187A99" w:rsidRPr="00292532">
        <w:rPr>
          <w:b/>
          <w:bCs/>
          <w:lang w:val="pt-PT"/>
        </w:rPr>
        <w:t>1</w:t>
      </w:r>
      <w:r w:rsidR="000615DB" w:rsidRPr="00292532">
        <w:rPr>
          <w:b/>
          <w:bCs/>
          <w:lang w:val="pt-PT"/>
        </w:rPr>
        <w:t>3</w:t>
      </w:r>
      <w:r w:rsidR="00597827" w:rsidRPr="00292532">
        <w:rPr>
          <w:lang w:val="pt-PT"/>
        </w:rPr>
        <w:t xml:space="preserve">. </w:t>
      </w:r>
    </w:p>
    <w:p w14:paraId="02AB5D81" w14:textId="76AB1ACF" w:rsidR="00EB4BC8" w:rsidRPr="00292532" w:rsidRDefault="00EB4BC8" w:rsidP="00597827">
      <w:pPr>
        <w:rPr>
          <w:lang w:val="pt-PT"/>
        </w:rPr>
      </w:pPr>
      <w:r w:rsidRPr="00292532">
        <w:rPr>
          <w:lang w:val="pt-PT"/>
        </w:rPr>
        <w:t>De forma sucinta, as principais questões levantadas são a seguir sumarizadas:</w:t>
      </w:r>
    </w:p>
    <w:p w14:paraId="1D307F59" w14:textId="66DC5A70" w:rsidR="00644896" w:rsidRPr="00292532" w:rsidRDefault="00644896" w:rsidP="00597827">
      <w:pPr>
        <w:rPr>
          <w:b/>
          <w:bCs/>
          <w:lang w:val="pt-PT"/>
        </w:rPr>
      </w:pPr>
      <w:r w:rsidRPr="00292532">
        <w:rPr>
          <w:b/>
          <w:bCs/>
          <w:lang w:val="pt-PT"/>
        </w:rPr>
        <w:t>Sobre a qualidade e quantidade de água:</w:t>
      </w:r>
    </w:p>
    <w:p w14:paraId="42089AD7" w14:textId="6BFD9762" w:rsidR="00644896" w:rsidRPr="00292532" w:rsidRDefault="00644896" w:rsidP="00AE14AE">
      <w:pPr>
        <w:numPr>
          <w:ilvl w:val="0"/>
          <w:numId w:val="170"/>
        </w:numPr>
        <w:spacing w:before="0" w:line="256" w:lineRule="auto"/>
        <w:contextualSpacing/>
        <w:jc w:val="left"/>
        <w:rPr>
          <w:rFonts w:asciiTheme="minorHAnsi" w:hAnsiTheme="minorHAnsi"/>
          <w:lang w:val="pt-PT"/>
        </w:rPr>
      </w:pPr>
      <w:r w:rsidRPr="00292532">
        <w:rPr>
          <w:rFonts w:asciiTheme="minorHAnsi" w:hAnsiTheme="minorHAnsi"/>
          <w:lang w:val="pt-PT"/>
        </w:rPr>
        <w:t xml:space="preserve">É referido que muitas das fontes de água possuem água salobra. Pede-se que ao identificar os locais das novas fontes tenham em </w:t>
      </w:r>
      <w:r w:rsidR="00030811" w:rsidRPr="00292532">
        <w:rPr>
          <w:rFonts w:asciiTheme="minorHAnsi" w:hAnsiTheme="minorHAnsi"/>
          <w:lang w:val="pt-PT"/>
        </w:rPr>
        <w:t>conta esta situação.</w:t>
      </w:r>
    </w:p>
    <w:p w14:paraId="1225D480" w14:textId="0D10DED8" w:rsidR="00EB4BC8" w:rsidRPr="00292532" w:rsidRDefault="00644896" w:rsidP="00AE14AE">
      <w:pPr>
        <w:numPr>
          <w:ilvl w:val="0"/>
          <w:numId w:val="170"/>
        </w:numPr>
        <w:spacing w:before="0" w:line="256" w:lineRule="auto"/>
        <w:contextualSpacing/>
        <w:jc w:val="left"/>
        <w:rPr>
          <w:rFonts w:asciiTheme="minorHAnsi" w:hAnsiTheme="minorHAnsi"/>
          <w:lang w:val="pt-PT"/>
        </w:rPr>
      </w:pPr>
      <w:r w:rsidRPr="00292532">
        <w:rPr>
          <w:rFonts w:asciiTheme="minorHAnsi" w:hAnsiTheme="minorHAnsi"/>
          <w:lang w:val="pt-PT"/>
        </w:rPr>
        <w:t xml:space="preserve">Que o </w:t>
      </w:r>
      <w:proofErr w:type="spellStart"/>
      <w:r w:rsidRPr="00292532">
        <w:rPr>
          <w:rFonts w:asciiTheme="minorHAnsi" w:hAnsiTheme="minorHAnsi"/>
          <w:lang w:val="pt-PT"/>
        </w:rPr>
        <w:t>projecto</w:t>
      </w:r>
      <w:proofErr w:type="spellEnd"/>
      <w:r w:rsidRPr="00292532">
        <w:rPr>
          <w:rFonts w:asciiTheme="minorHAnsi" w:hAnsiTheme="minorHAnsi"/>
          <w:lang w:val="pt-PT"/>
        </w:rPr>
        <w:t xml:space="preserve"> </w:t>
      </w:r>
      <w:r w:rsidR="00030811" w:rsidRPr="00292532">
        <w:rPr>
          <w:rFonts w:asciiTheme="minorHAnsi" w:hAnsiTheme="minorHAnsi"/>
          <w:lang w:val="pt-PT"/>
        </w:rPr>
        <w:t xml:space="preserve">aumente a quantidade de </w:t>
      </w:r>
      <w:r w:rsidRPr="00292532">
        <w:rPr>
          <w:rFonts w:asciiTheme="minorHAnsi" w:hAnsiTheme="minorHAnsi"/>
          <w:lang w:val="pt-PT"/>
        </w:rPr>
        <w:t xml:space="preserve">água disponível </w:t>
      </w:r>
      <w:r w:rsidR="00EB4BC8" w:rsidRPr="00292532">
        <w:rPr>
          <w:rFonts w:asciiTheme="minorHAnsi" w:hAnsiTheme="minorHAnsi"/>
          <w:lang w:val="pt-PT"/>
        </w:rPr>
        <w:t xml:space="preserve">em todas épocas do ano e </w:t>
      </w:r>
      <w:r w:rsidRPr="00292532">
        <w:rPr>
          <w:rFonts w:asciiTheme="minorHAnsi" w:hAnsiTheme="minorHAnsi"/>
          <w:lang w:val="pt-PT"/>
        </w:rPr>
        <w:t>satisfaça a</w:t>
      </w:r>
      <w:r w:rsidR="00030811" w:rsidRPr="00292532">
        <w:rPr>
          <w:rFonts w:asciiTheme="minorHAnsi" w:hAnsiTheme="minorHAnsi"/>
          <w:lang w:val="pt-PT"/>
        </w:rPr>
        <w:t xml:space="preserve">s necessidades da </w:t>
      </w:r>
      <w:r w:rsidRPr="00292532">
        <w:rPr>
          <w:rFonts w:asciiTheme="minorHAnsi" w:hAnsiTheme="minorHAnsi"/>
          <w:lang w:val="pt-PT"/>
        </w:rPr>
        <w:t>comunidade no seu todo.</w:t>
      </w:r>
    </w:p>
    <w:p w14:paraId="4AE21A65" w14:textId="7696EEBB" w:rsidR="00644896" w:rsidRPr="00292532" w:rsidRDefault="00644896" w:rsidP="00AE14AE">
      <w:pPr>
        <w:pStyle w:val="ListParagraph"/>
        <w:numPr>
          <w:ilvl w:val="0"/>
          <w:numId w:val="170"/>
        </w:numPr>
        <w:spacing w:before="0" w:line="256" w:lineRule="auto"/>
        <w:jc w:val="left"/>
        <w:rPr>
          <w:rFonts w:asciiTheme="minorHAnsi" w:hAnsiTheme="minorHAnsi"/>
          <w:lang w:val="pt-PT"/>
        </w:rPr>
      </w:pPr>
      <w:r w:rsidRPr="00292532">
        <w:rPr>
          <w:rFonts w:asciiTheme="minorHAnsi" w:hAnsiTheme="minorHAnsi"/>
          <w:lang w:val="pt-PT"/>
        </w:rPr>
        <w:t xml:space="preserve">A </w:t>
      </w:r>
      <w:r w:rsidR="00030811" w:rsidRPr="00292532">
        <w:rPr>
          <w:rFonts w:asciiTheme="minorHAnsi" w:hAnsiTheme="minorHAnsi"/>
          <w:lang w:val="pt-PT"/>
        </w:rPr>
        <w:t xml:space="preserve">quantidade reduzida ou ausência de um </w:t>
      </w:r>
      <w:r w:rsidRPr="00292532">
        <w:rPr>
          <w:rFonts w:asciiTheme="minorHAnsi" w:hAnsiTheme="minorHAnsi"/>
          <w:lang w:val="pt-PT"/>
        </w:rPr>
        <w:t>sistema de abastecimento de água contribui para que as comunidades busquem água nos rios, aumentando os riscos de ataques por crocodilos, afogamento, atropelamentos durante a busca de água em comunidades distantes</w:t>
      </w:r>
      <w:r w:rsidR="00E03E9E" w:rsidRPr="00292532">
        <w:rPr>
          <w:rFonts w:asciiTheme="minorHAnsi" w:hAnsiTheme="minorHAnsi"/>
          <w:lang w:val="pt-PT"/>
        </w:rPr>
        <w:t>.</w:t>
      </w:r>
    </w:p>
    <w:p w14:paraId="4D446423" w14:textId="77777777" w:rsidR="00644896" w:rsidRPr="00292532" w:rsidRDefault="00644896" w:rsidP="00644896">
      <w:pPr>
        <w:spacing w:before="0" w:line="256" w:lineRule="auto"/>
        <w:contextualSpacing/>
        <w:jc w:val="left"/>
        <w:rPr>
          <w:rFonts w:asciiTheme="minorHAnsi" w:hAnsiTheme="minorHAnsi"/>
          <w:highlight w:val="yellow"/>
          <w:lang w:val="pt-PT"/>
        </w:rPr>
      </w:pPr>
    </w:p>
    <w:p w14:paraId="49F9AEDA" w14:textId="5B1B9C34" w:rsidR="00644896" w:rsidRPr="00292532" w:rsidRDefault="00644896" w:rsidP="00644896">
      <w:pPr>
        <w:spacing w:before="0" w:line="256" w:lineRule="auto"/>
        <w:contextualSpacing/>
        <w:jc w:val="left"/>
        <w:rPr>
          <w:rFonts w:asciiTheme="minorHAnsi" w:hAnsiTheme="minorHAnsi"/>
          <w:b/>
          <w:bCs/>
          <w:lang w:val="pt-PT"/>
        </w:rPr>
      </w:pPr>
      <w:r w:rsidRPr="00292532">
        <w:rPr>
          <w:rFonts w:asciiTheme="minorHAnsi" w:hAnsiTheme="minorHAnsi"/>
          <w:b/>
          <w:bCs/>
          <w:lang w:val="pt-PT"/>
        </w:rPr>
        <w:t>Envolvimento dos Líderes Locais</w:t>
      </w:r>
    </w:p>
    <w:p w14:paraId="5055F5EF" w14:textId="22360D67" w:rsidR="00EB4BC8" w:rsidRPr="00292532" w:rsidRDefault="00030811" w:rsidP="00AE14AE">
      <w:pPr>
        <w:numPr>
          <w:ilvl w:val="0"/>
          <w:numId w:val="170"/>
        </w:numPr>
        <w:spacing w:before="0" w:line="256" w:lineRule="auto"/>
        <w:contextualSpacing/>
        <w:jc w:val="left"/>
        <w:rPr>
          <w:rFonts w:asciiTheme="minorHAnsi" w:hAnsiTheme="minorHAnsi"/>
          <w:lang w:val="pt-PT"/>
        </w:rPr>
      </w:pPr>
      <w:r w:rsidRPr="00292532">
        <w:rPr>
          <w:rFonts w:asciiTheme="minorHAnsi" w:hAnsiTheme="minorHAnsi"/>
          <w:lang w:val="pt-PT"/>
        </w:rPr>
        <w:t xml:space="preserve">Os gestores do </w:t>
      </w:r>
      <w:proofErr w:type="spellStart"/>
      <w:r w:rsidRPr="00292532">
        <w:rPr>
          <w:rFonts w:asciiTheme="minorHAnsi" w:hAnsiTheme="minorHAnsi"/>
          <w:lang w:val="pt-PT"/>
        </w:rPr>
        <w:t>projecto</w:t>
      </w:r>
      <w:proofErr w:type="spellEnd"/>
      <w:r w:rsidRPr="00292532">
        <w:rPr>
          <w:rFonts w:asciiTheme="minorHAnsi" w:hAnsiTheme="minorHAnsi"/>
          <w:lang w:val="pt-PT"/>
        </w:rPr>
        <w:t>/empreiteiros d</w:t>
      </w:r>
      <w:r w:rsidR="00EB4BC8" w:rsidRPr="00292532">
        <w:rPr>
          <w:rFonts w:asciiTheme="minorHAnsi" w:hAnsiTheme="minorHAnsi"/>
          <w:lang w:val="pt-PT"/>
        </w:rPr>
        <w:t>eve</w:t>
      </w:r>
      <w:r w:rsidRPr="00292532">
        <w:rPr>
          <w:rFonts w:asciiTheme="minorHAnsi" w:hAnsiTheme="minorHAnsi"/>
          <w:lang w:val="pt-PT"/>
        </w:rPr>
        <w:t>m</w:t>
      </w:r>
      <w:r w:rsidR="00EB4BC8" w:rsidRPr="00292532">
        <w:rPr>
          <w:rFonts w:asciiTheme="minorHAnsi" w:hAnsiTheme="minorHAnsi"/>
          <w:lang w:val="pt-PT"/>
        </w:rPr>
        <w:t xml:space="preserve"> intera</w:t>
      </w:r>
      <w:r w:rsidRPr="00292532">
        <w:rPr>
          <w:rFonts w:asciiTheme="minorHAnsi" w:hAnsiTheme="minorHAnsi"/>
          <w:lang w:val="pt-PT"/>
        </w:rPr>
        <w:t xml:space="preserve">gir </w:t>
      </w:r>
      <w:proofErr w:type="spellStart"/>
      <w:r w:rsidR="00EB4BC8" w:rsidRPr="00292532">
        <w:rPr>
          <w:rFonts w:asciiTheme="minorHAnsi" w:hAnsiTheme="minorHAnsi"/>
          <w:lang w:val="pt-PT"/>
        </w:rPr>
        <w:t>directa</w:t>
      </w:r>
      <w:proofErr w:type="spellEnd"/>
      <w:r w:rsidR="00EB4BC8" w:rsidRPr="00292532">
        <w:rPr>
          <w:rFonts w:asciiTheme="minorHAnsi" w:hAnsiTheme="minorHAnsi"/>
          <w:lang w:val="pt-PT"/>
        </w:rPr>
        <w:t xml:space="preserve"> e </w:t>
      </w:r>
      <w:r w:rsidRPr="00292532">
        <w:rPr>
          <w:rFonts w:asciiTheme="minorHAnsi" w:hAnsiTheme="minorHAnsi"/>
          <w:lang w:val="pt-PT"/>
        </w:rPr>
        <w:t>constantemente</w:t>
      </w:r>
      <w:r w:rsidR="00EB4BC8" w:rsidRPr="00292532">
        <w:rPr>
          <w:rFonts w:asciiTheme="minorHAnsi" w:hAnsiTheme="minorHAnsi"/>
          <w:lang w:val="pt-PT"/>
        </w:rPr>
        <w:t xml:space="preserve"> com as lideranças locais e com a comunidade em todas as etapas do </w:t>
      </w:r>
      <w:proofErr w:type="spellStart"/>
      <w:r w:rsidR="00EB4BC8" w:rsidRPr="00292532">
        <w:rPr>
          <w:rFonts w:asciiTheme="minorHAnsi" w:hAnsiTheme="minorHAnsi"/>
          <w:lang w:val="pt-PT"/>
        </w:rPr>
        <w:t>projecto</w:t>
      </w:r>
      <w:proofErr w:type="spellEnd"/>
      <w:r w:rsidR="00EB4BC8" w:rsidRPr="00292532">
        <w:rPr>
          <w:rFonts w:asciiTheme="minorHAnsi" w:hAnsiTheme="minorHAnsi"/>
          <w:lang w:val="pt-PT"/>
        </w:rPr>
        <w:t>.</w:t>
      </w:r>
    </w:p>
    <w:p w14:paraId="1373BA4A" w14:textId="77777777" w:rsidR="00030811" w:rsidRPr="00292532" w:rsidRDefault="00030811" w:rsidP="00644896">
      <w:pPr>
        <w:spacing w:before="0" w:line="256" w:lineRule="auto"/>
        <w:contextualSpacing/>
        <w:jc w:val="left"/>
        <w:rPr>
          <w:rFonts w:asciiTheme="minorHAnsi" w:hAnsiTheme="minorHAnsi"/>
          <w:lang w:val="pt-PT"/>
        </w:rPr>
      </w:pPr>
    </w:p>
    <w:p w14:paraId="343C4283" w14:textId="5A769D0C" w:rsidR="00644896" w:rsidRPr="00292532" w:rsidRDefault="00644896" w:rsidP="00644896">
      <w:pPr>
        <w:spacing w:before="0" w:line="256" w:lineRule="auto"/>
        <w:contextualSpacing/>
        <w:jc w:val="left"/>
        <w:rPr>
          <w:rFonts w:asciiTheme="minorHAnsi" w:hAnsiTheme="minorHAnsi"/>
          <w:b/>
          <w:bCs/>
          <w:lang w:val="pt-PT"/>
        </w:rPr>
      </w:pPr>
      <w:r w:rsidRPr="00292532">
        <w:rPr>
          <w:rFonts w:asciiTheme="minorHAnsi" w:hAnsiTheme="minorHAnsi"/>
          <w:b/>
          <w:bCs/>
          <w:lang w:val="pt-PT"/>
        </w:rPr>
        <w:t>Contratação de Mão de Obra</w:t>
      </w:r>
    </w:p>
    <w:p w14:paraId="2ACCF79B" w14:textId="77777777" w:rsidR="00030811" w:rsidRPr="00292532" w:rsidRDefault="00030811" w:rsidP="00AE14AE">
      <w:pPr>
        <w:numPr>
          <w:ilvl w:val="0"/>
          <w:numId w:val="170"/>
        </w:numPr>
        <w:spacing w:before="0" w:line="256" w:lineRule="auto"/>
        <w:contextualSpacing/>
        <w:jc w:val="left"/>
        <w:rPr>
          <w:rFonts w:asciiTheme="minorHAnsi" w:hAnsiTheme="minorHAnsi"/>
          <w:lang w:val="pt-PT"/>
        </w:rPr>
      </w:pPr>
      <w:r w:rsidRPr="00292532">
        <w:rPr>
          <w:rFonts w:asciiTheme="minorHAnsi" w:hAnsiTheme="minorHAnsi"/>
          <w:lang w:val="pt-PT"/>
        </w:rPr>
        <w:t>Deve-se priorizar a contratação de mão de obra local</w:t>
      </w:r>
    </w:p>
    <w:p w14:paraId="4A802301" w14:textId="77777777" w:rsidR="00030811" w:rsidRPr="00292532" w:rsidRDefault="00030811" w:rsidP="00AE14AE">
      <w:pPr>
        <w:numPr>
          <w:ilvl w:val="0"/>
          <w:numId w:val="170"/>
        </w:numPr>
        <w:spacing w:before="0" w:line="256" w:lineRule="auto"/>
        <w:contextualSpacing/>
        <w:jc w:val="left"/>
        <w:rPr>
          <w:rFonts w:asciiTheme="minorHAnsi" w:hAnsiTheme="minorHAnsi"/>
          <w:lang w:val="pt-PT"/>
        </w:rPr>
      </w:pPr>
      <w:r w:rsidRPr="00292532">
        <w:rPr>
          <w:rFonts w:asciiTheme="minorHAnsi" w:hAnsiTheme="minorHAnsi"/>
          <w:lang w:val="pt-PT"/>
        </w:rPr>
        <w:t xml:space="preserve">Deve-se envolver os líderes comunitários no processo de </w:t>
      </w:r>
      <w:r w:rsidR="00EB4BC8" w:rsidRPr="00292532">
        <w:rPr>
          <w:rFonts w:asciiTheme="minorHAnsi" w:hAnsiTheme="minorHAnsi"/>
          <w:lang w:val="pt-PT"/>
        </w:rPr>
        <w:t>o recrutamento</w:t>
      </w:r>
      <w:r w:rsidRPr="00292532">
        <w:rPr>
          <w:rFonts w:asciiTheme="minorHAnsi" w:hAnsiTheme="minorHAnsi"/>
          <w:lang w:val="pt-PT"/>
        </w:rPr>
        <w:t xml:space="preserve"> e as oportunidades de emprego devem ser devidamente divulgadas.</w:t>
      </w:r>
    </w:p>
    <w:p w14:paraId="0C2BCAE1" w14:textId="674513ED" w:rsidR="00EB4BC8" w:rsidRPr="00292532" w:rsidRDefault="00030811" w:rsidP="00AE14AE">
      <w:pPr>
        <w:numPr>
          <w:ilvl w:val="0"/>
          <w:numId w:val="170"/>
        </w:numPr>
        <w:spacing w:before="0" w:line="256" w:lineRule="auto"/>
        <w:contextualSpacing/>
        <w:jc w:val="left"/>
        <w:rPr>
          <w:rFonts w:asciiTheme="minorHAnsi" w:hAnsiTheme="minorHAnsi"/>
          <w:lang w:val="pt-PT"/>
        </w:rPr>
      </w:pPr>
      <w:r w:rsidRPr="00292532">
        <w:rPr>
          <w:rFonts w:asciiTheme="minorHAnsi" w:hAnsiTheme="minorHAnsi"/>
          <w:lang w:val="pt-PT"/>
        </w:rPr>
        <w:t xml:space="preserve">As mulheres devem ser incluídas no </w:t>
      </w:r>
      <w:r w:rsidR="00EB4BC8" w:rsidRPr="00292532">
        <w:rPr>
          <w:rFonts w:asciiTheme="minorHAnsi" w:hAnsiTheme="minorHAnsi"/>
          <w:lang w:val="pt-PT"/>
        </w:rPr>
        <w:t>processo de contratação de mão de obra</w:t>
      </w:r>
    </w:p>
    <w:p w14:paraId="7FD05512" w14:textId="77777777" w:rsidR="00644896" w:rsidRPr="00292532" w:rsidRDefault="00644896" w:rsidP="00644896">
      <w:pPr>
        <w:spacing w:before="0" w:line="256" w:lineRule="auto"/>
        <w:contextualSpacing/>
        <w:jc w:val="left"/>
        <w:rPr>
          <w:rFonts w:asciiTheme="minorHAnsi" w:hAnsiTheme="minorHAnsi"/>
          <w:lang w:val="pt-PT"/>
        </w:rPr>
      </w:pPr>
    </w:p>
    <w:p w14:paraId="0712C4AD" w14:textId="01804E46" w:rsidR="00EB4BC8" w:rsidRPr="00292532" w:rsidRDefault="00644896" w:rsidP="00644896">
      <w:pPr>
        <w:spacing w:before="0" w:line="256" w:lineRule="auto"/>
        <w:contextualSpacing/>
        <w:jc w:val="left"/>
        <w:rPr>
          <w:rFonts w:asciiTheme="minorHAnsi" w:hAnsiTheme="minorHAnsi"/>
          <w:b/>
          <w:bCs/>
          <w:lang w:val="pt-PT"/>
        </w:rPr>
      </w:pPr>
      <w:r w:rsidRPr="00292532">
        <w:rPr>
          <w:rFonts w:asciiTheme="minorHAnsi" w:hAnsiTheme="minorHAnsi"/>
          <w:b/>
          <w:bCs/>
          <w:lang w:val="pt-PT"/>
        </w:rPr>
        <w:t xml:space="preserve">Saneamento </w:t>
      </w:r>
      <w:r w:rsidR="00030811" w:rsidRPr="00292532">
        <w:rPr>
          <w:rFonts w:asciiTheme="minorHAnsi" w:hAnsiTheme="minorHAnsi"/>
          <w:b/>
          <w:bCs/>
          <w:lang w:val="pt-PT"/>
        </w:rPr>
        <w:t>do meio</w:t>
      </w:r>
    </w:p>
    <w:p w14:paraId="1AD64197" w14:textId="00D6C9D2" w:rsidR="00644896" w:rsidRPr="00292532" w:rsidRDefault="00030811" w:rsidP="00AE14AE">
      <w:pPr>
        <w:numPr>
          <w:ilvl w:val="0"/>
          <w:numId w:val="170"/>
        </w:numPr>
        <w:spacing w:before="0" w:line="256" w:lineRule="auto"/>
        <w:contextualSpacing/>
        <w:jc w:val="left"/>
        <w:rPr>
          <w:rFonts w:asciiTheme="minorHAnsi" w:hAnsiTheme="minorHAnsi"/>
          <w:lang w:val="pt-PT"/>
        </w:rPr>
      </w:pPr>
      <w:r w:rsidRPr="00292532">
        <w:rPr>
          <w:rFonts w:asciiTheme="minorHAnsi" w:hAnsiTheme="minorHAnsi"/>
          <w:lang w:val="pt-PT"/>
        </w:rPr>
        <w:t>Para a c</w:t>
      </w:r>
      <w:r w:rsidR="00644896" w:rsidRPr="00292532">
        <w:rPr>
          <w:rFonts w:asciiTheme="minorHAnsi" w:hAnsiTheme="minorHAnsi"/>
          <w:lang w:val="pt-PT"/>
        </w:rPr>
        <w:t xml:space="preserve">onstrução de sanitários públicos </w:t>
      </w:r>
      <w:r w:rsidRPr="00292532">
        <w:rPr>
          <w:rFonts w:asciiTheme="minorHAnsi" w:hAnsiTheme="minorHAnsi"/>
          <w:lang w:val="pt-PT"/>
        </w:rPr>
        <w:t xml:space="preserve">deve </w:t>
      </w:r>
      <w:r w:rsidR="00644896" w:rsidRPr="00292532">
        <w:rPr>
          <w:rFonts w:asciiTheme="minorHAnsi" w:hAnsiTheme="minorHAnsi"/>
          <w:lang w:val="pt-PT"/>
        </w:rPr>
        <w:t xml:space="preserve">potenciar </w:t>
      </w:r>
      <w:r w:rsidRPr="00292532">
        <w:rPr>
          <w:rFonts w:asciiTheme="minorHAnsi" w:hAnsiTheme="minorHAnsi"/>
          <w:lang w:val="pt-PT"/>
        </w:rPr>
        <w:t xml:space="preserve">os </w:t>
      </w:r>
      <w:r w:rsidR="00644896" w:rsidRPr="00292532">
        <w:rPr>
          <w:rFonts w:asciiTheme="minorHAnsi" w:hAnsiTheme="minorHAnsi"/>
          <w:lang w:val="pt-PT"/>
        </w:rPr>
        <w:t>artesãos locais para massificar a produção e venda de lajes.</w:t>
      </w:r>
    </w:p>
    <w:p w14:paraId="0F81FCB8" w14:textId="3A7F5D5C" w:rsidR="00644896" w:rsidRPr="00292532" w:rsidRDefault="00030811" w:rsidP="00AE14AE">
      <w:pPr>
        <w:numPr>
          <w:ilvl w:val="0"/>
          <w:numId w:val="170"/>
        </w:numPr>
        <w:spacing w:before="0" w:line="256" w:lineRule="auto"/>
        <w:contextualSpacing/>
        <w:jc w:val="left"/>
        <w:rPr>
          <w:rFonts w:asciiTheme="minorHAnsi" w:hAnsiTheme="minorHAnsi"/>
          <w:lang w:val="pt-PT"/>
        </w:rPr>
      </w:pPr>
      <w:r w:rsidRPr="00292532">
        <w:rPr>
          <w:rFonts w:asciiTheme="minorHAnsi" w:hAnsiTheme="minorHAnsi"/>
          <w:lang w:val="pt-PT"/>
        </w:rPr>
        <w:t xml:space="preserve">Os sanitários públicos devem respeitar as necessidades dos grupos vulneráveis </w:t>
      </w:r>
      <w:r w:rsidR="00644896" w:rsidRPr="00292532">
        <w:rPr>
          <w:rFonts w:asciiTheme="minorHAnsi" w:hAnsiTheme="minorHAnsi"/>
          <w:lang w:val="pt-PT"/>
        </w:rPr>
        <w:t xml:space="preserve">e </w:t>
      </w:r>
      <w:r w:rsidRPr="00292532">
        <w:rPr>
          <w:rFonts w:asciiTheme="minorHAnsi" w:hAnsiTheme="minorHAnsi"/>
          <w:lang w:val="pt-PT"/>
        </w:rPr>
        <w:t xml:space="preserve">pessoas portadoras de </w:t>
      </w:r>
      <w:r w:rsidR="00644896" w:rsidRPr="00292532">
        <w:rPr>
          <w:rFonts w:asciiTheme="minorHAnsi" w:hAnsiTheme="minorHAnsi"/>
          <w:lang w:val="pt-PT"/>
        </w:rPr>
        <w:t xml:space="preserve">deficiência. </w:t>
      </w:r>
    </w:p>
    <w:p w14:paraId="4B93D1EA" w14:textId="77777777" w:rsidR="00030811" w:rsidRPr="00292532" w:rsidRDefault="00030811" w:rsidP="00AE14AE">
      <w:pPr>
        <w:numPr>
          <w:ilvl w:val="0"/>
          <w:numId w:val="170"/>
        </w:numPr>
        <w:spacing w:before="0" w:line="256" w:lineRule="auto"/>
        <w:contextualSpacing/>
        <w:jc w:val="left"/>
        <w:rPr>
          <w:rFonts w:asciiTheme="minorHAnsi" w:hAnsiTheme="minorHAnsi"/>
          <w:lang w:val="pt-PT"/>
        </w:rPr>
      </w:pPr>
      <w:r w:rsidRPr="00292532">
        <w:rPr>
          <w:rFonts w:asciiTheme="minorHAnsi" w:hAnsiTheme="minorHAnsi"/>
          <w:lang w:val="pt-PT"/>
        </w:rPr>
        <w:t>A localização dos sanitários deve ter em conta a localização dos mais vulneráveis, dando preferência a instalação dos sistemas de abastecimento de água em locais próximos a deficientes, pessoas mais pobres, etc.</w:t>
      </w:r>
    </w:p>
    <w:p w14:paraId="5A8B1B86" w14:textId="77777777" w:rsidR="00644896" w:rsidRPr="00292532" w:rsidRDefault="00644896" w:rsidP="00030811">
      <w:pPr>
        <w:spacing w:before="0" w:line="256" w:lineRule="auto"/>
        <w:ind w:left="720"/>
        <w:contextualSpacing/>
        <w:jc w:val="left"/>
        <w:rPr>
          <w:rFonts w:asciiTheme="minorHAnsi" w:hAnsiTheme="minorHAnsi"/>
          <w:lang w:val="pt-PT"/>
        </w:rPr>
      </w:pPr>
    </w:p>
    <w:p w14:paraId="4C91BAF3" w14:textId="0BA3BA2D" w:rsidR="00644896" w:rsidRPr="00292532" w:rsidRDefault="00644896" w:rsidP="00644896">
      <w:pPr>
        <w:spacing w:before="0" w:line="256" w:lineRule="auto"/>
        <w:contextualSpacing/>
        <w:jc w:val="left"/>
        <w:rPr>
          <w:rFonts w:asciiTheme="minorHAnsi" w:hAnsiTheme="minorHAnsi"/>
          <w:b/>
          <w:bCs/>
          <w:lang w:val="pt-PT"/>
        </w:rPr>
      </w:pPr>
      <w:r w:rsidRPr="00292532">
        <w:rPr>
          <w:rFonts w:asciiTheme="minorHAnsi" w:hAnsiTheme="minorHAnsi"/>
          <w:b/>
          <w:bCs/>
          <w:lang w:val="pt-PT"/>
        </w:rPr>
        <w:t xml:space="preserve">Gestão dos Sistemas </w:t>
      </w:r>
    </w:p>
    <w:p w14:paraId="354D6C52" w14:textId="20DF43C3" w:rsidR="00030811" w:rsidRPr="00292532" w:rsidRDefault="00030811" w:rsidP="00AE14AE">
      <w:pPr>
        <w:pStyle w:val="ListParagraph"/>
        <w:numPr>
          <w:ilvl w:val="0"/>
          <w:numId w:val="171"/>
        </w:numPr>
        <w:spacing w:before="0" w:line="256" w:lineRule="auto"/>
        <w:jc w:val="left"/>
        <w:rPr>
          <w:rFonts w:asciiTheme="minorHAnsi" w:hAnsiTheme="minorHAnsi"/>
          <w:lang w:val="pt-PT"/>
        </w:rPr>
      </w:pPr>
      <w:r w:rsidRPr="00292532">
        <w:rPr>
          <w:rFonts w:asciiTheme="minorHAnsi" w:hAnsiTheme="minorHAnsi"/>
          <w:lang w:val="pt-PT"/>
        </w:rPr>
        <w:t xml:space="preserve">Assegurar a continuidade dos comités de gestão de água, porque a </w:t>
      </w:r>
      <w:r w:rsidR="00644896" w:rsidRPr="00292532">
        <w:rPr>
          <w:rFonts w:asciiTheme="minorHAnsi" w:hAnsiTheme="minorHAnsi"/>
          <w:lang w:val="pt-PT"/>
        </w:rPr>
        <w:t>desistência de membros do comité de gestão de água inviabiliza o funcionamento dos sistemas de abastecimento de água</w:t>
      </w:r>
      <w:r w:rsidRPr="00292532">
        <w:rPr>
          <w:rFonts w:asciiTheme="minorHAnsi" w:hAnsiTheme="minorHAnsi"/>
          <w:lang w:val="pt-PT"/>
        </w:rPr>
        <w:t>.</w:t>
      </w:r>
    </w:p>
    <w:p w14:paraId="31CBCA8E" w14:textId="5B4682E7" w:rsidR="00644896" w:rsidRPr="00292532" w:rsidRDefault="00644896" w:rsidP="00AE14AE">
      <w:pPr>
        <w:numPr>
          <w:ilvl w:val="0"/>
          <w:numId w:val="170"/>
        </w:numPr>
        <w:spacing w:before="0" w:line="256" w:lineRule="auto"/>
        <w:contextualSpacing/>
        <w:jc w:val="left"/>
        <w:rPr>
          <w:rFonts w:asciiTheme="minorHAnsi" w:hAnsiTheme="minorHAnsi"/>
          <w:lang w:val="pt-PT"/>
        </w:rPr>
      </w:pPr>
      <w:r w:rsidRPr="00292532">
        <w:rPr>
          <w:rFonts w:asciiTheme="minorHAnsi" w:hAnsiTheme="minorHAnsi"/>
          <w:lang w:val="pt-PT"/>
        </w:rPr>
        <w:lastRenderedPageBreak/>
        <w:t xml:space="preserve">O </w:t>
      </w:r>
      <w:proofErr w:type="spellStart"/>
      <w:r w:rsidRPr="00292532">
        <w:rPr>
          <w:rFonts w:asciiTheme="minorHAnsi" w:hAnsiTheme="minorHAnsi"/>
          <w:lang w:val="pt-PT"/>
        </w:rPr>
        <w:t>projecto</w:t>
      </w:r>
      <w:proofErr w:type="spellEnd"/>
      <w:r w:rsidRPr="00292532">
        <w:rPr>
          <w:rFonts w:asciiTheme="minorHAnsi" w:hAnsiTheme="minorHAnsi"/>
          <w:lang w:val="pt-PT"/>
        </w:rPr>
        <w:t xml:space="preserve"> deve envolver </w:t>
      </w:r>
      <w:r w:rsidR="00030811" w:rsidRPr="00292532">
        <w:rPr>
          <w:rFonts w:asciiTheme="minorHAnsi" w:hAnsiTheme="minorHAnsi"/>
          <w:lang w:val="pt-PT"/>
        </w:rPr>
        <w:t xml:space="preserve">os </w:t>
      </w:r>
      <w:r w:rsidRPr="00292532">
        <w:rPr>
          <w:rFonts w:asciiTheme="minorHAnsi" w:hAnsiTheme="minorHAnsi"/>
          <w:lang w:val="pt-PT"/>
        </w:rPr>
        <w:t xml:space="preserve">vários </w:t>
      </w:r>
      <w:proofErr w:type="spellStart"/>
      <w:r w:rsidRPr="00292532">
        <w:rPr>
          <w:rFonts w:asciiTheme="minorHAnsi" w:hAnsiTheme="minorHAnsi"/>
          <w:lang w:val="pt-PT"/>
        </w:rPr>
        <w:t>actores</w:t>
      </w:r>
      <w:proofErr w:type="spellEnd"/>
      <w:r w:rsidRPr="00292532">
        <w:rPr>
          <w:rFonts w:asciiTheme="minorHAnsi" w:hAnsiTheme="minorHAnsi"/>
          <w:lang w:val="pt-PT"/>
        </w:rPr>
        <w:t xml:space="preserve"> </w:t>
      </w:r>
      <w:r w:rsidR="00030811" w:rsidRPr="00292532">
        <w:rPr>
          <w:rFonts w:asciiTheme="minorHAnsi" w:hAnsiTheme="minorHAnsi"/>
          <w:lang w:val="pt-PT"/>
        </w:rPr>
        <w:t xml:space="preserve">existentes da comunidade, como </w:t>
      </w:r>
      <w:r w:rsidRPr="00292532">
        <w:rPr>
          <w:rFonts w:asciiTheme="minorHAnsi" w:hAnsiTheme="minorHAnsi"/>
          <w:lang w:val="pt-PT"/>
        </w:rPr>
        <w:t xml:space="preserve">a educação, Saúde, SDPI, Sistemas comunitários (Comissão de Gestão de Recursos Naturais, Comissão de Gestão de Água e Saneamento, APE, Conselhos de escolas, Líderes religiosos, líderes comunitários) e outros </w:t>
      </w:r>
      <w:proofErr w:type="spellStart"/>
      <w:r w:rsidRPr="00292532">
        <w:rPr>
          <w:rFonts w:asciiTheme="minorHAnsi" w:hAnsiTheme="minorHAnsi"/>
          <w:lang w:val="pt-PT"/>
        </w:rPr>
        <w:t>actores</w:t>
      </w:r>
      <w:proofErr w:type="spellEnd"/>
      <w:r w:rsidR="00030811" w:rsidRPr="00292532">
        <w:rPr>
          <w:rFonts w:asciiTheme="minorHAnsi" w:hAnsiTheme="minorHAnsi"/>
          <w:lang w:val="pt-PT"/>
        </w:rPr>
        <w:t xml:space="preserve"> para assegurar a sustentabilidade dos sistemas.</w:t>
      </w:r>
    </w:p>
    <w:p w14:paraId="6D27C324" w14:textId="46272C49" w:rsidR="00644896" w:rsidRPr="00292532" w:rsidRDefault="00030811" w:rsidP="00AE14AE">
      <w:pPr>
        <w:numPr>
          <w:ilvl w:val="0"/>
          <w:numId w:val="170"/>
        </w:numPr>
        <w:spacing w:before="0" w:line="256" w:lineRule="auto"/>
        <w:contextualSpacing/>
        <w:jc w:val="left"/>
        <w:rPr>
          <w:rFonts w:asciiTheme="minorHAnsi" w:hAnsiTheme="minorHAnsi"/>
          <w:lang w:val="pt-PT"/>
        </w:rPr>
      </w:pPr>
      <w:r w:rsidRPr="00292532">
        <w:rPr>
          <w:rFonts w:asciiTheme="minorHAnsi" w:hAnsiTheme="minorHAnsi"/>
          <w:lang w:val="pt-PT"/>
        </w:rPr>
        <w:t xml:space="preserve">Nalgumas comunidades o </w:t>
      </w:r>
      <w:proofErr w:type="spellStart"/>
      <w:r w:rsidR="00644896" w:rsidRPr="00292532">
        <w:rPr>
          <w:rFonts w:asciiTheme="minorHAnsi" w:hAnsiTheme="minorHAnsi"/>
          <w:lang w:val="pt-PT"/>
        </w:rPr>
        <w:t>fecalismo</w:t>
      </w:r>
      <w:proofErr w:type="spellEnd"/>
      <w:r w:rsidR="00644896" w:rsidRPr="00292532">
        <w:rPr>
          <w:rFonts w:asciiTheme="minorHAnsi" w:hAnsiTheme="minorHAnsi"/>
          <w:lang w:val="pt-PT"/>
        </w:rPr>
        <w:t xml:space="preserve"> a céu aberto é visto como um mecanismo de fertilização do solo</w:t>
      </w:r>
      <w:r w:rsidRPr="00292532">
        <w:rPr>
          <w:rFonts w:asciiTheme="minorHAnsi" w:hAnsiTheme="minorHAnsi"/>
          <w:lang w:val="pt-PT"/>
        </w:rPr>
        <w:t xml:space="preserve">. É preciso </w:t>
      </w:r>
      <w:r w:rsidR="00644896" w:rsidRPr="00292532">
        <w:rPr>
          <w:rFonts w:asciiTheme="minorHAnsi" w:hAnsiTheme="minorHAnsi"/>
          <w:lang w:val="pt-PT"/>
        </w:rPr>
        <w:t xml:space="preserve">desenvolver campanhas de desmitificação desses </w:t>
      </w:r>
      <w:proofErr w:type="spellStart"/>
      <w:r w:rsidR="00644896" w:rsidRPr="00292532">
        <w:rPr>
          <w:rFonts w:asciiTheme="minorHAnsi" w:hAnsiTheme="minorHAnsi"/>
          <w:lang w:val="pt-PT"/>
        </w:rPr>
        <w:t>aspectos</w:t>
      </w:r>
      <w:proofErr w:type="spellEnd"/>
      <w:r w:rsidR="00644896" w:rsidRPr="00292532">
        <w:rPr>
          <w:rFonts w:asciiTheme="minorHAnsi" w:hAnsiTheme="minorHAnsi"/>
          <w:lang w:val="pt-PT"/>
        </w:rPr>
        <w:t>.</w:t>
      </w:r>
    </w:p>
    <w:p w14:paraId="6A377EA2" w14:textId="77777777" w:rsidR="00EB4BC8" w:rsidRPr="00292532" w:rsidRDefault="00EB4BC8" w:rsidP="00AE14AE">
      <w:pPr>
        <w:numPr>
          <w:ilvl w:val="0"/>
          <w:numId w:val="170"/>
        </w:numPr>
        <w:spacing w:before="0" w:line="256" w:lineRule="auto"/>
        <w:contextualSpacing/>
        <w:jc w:val="left"/>
        <w:rPr>
          <w:rFonts w:asciiTheme="minorHAnsi" w:hAnsiTheme="minorHAnsi"/>
          <w:lang w:val="pt-PT"/>
        </w:rPr>
      </w:pPr>
      <w:r w:rsidRPr="00292532">
        <w:rPr>
          <w:rFonts w:asciiTheme="minorHAnsi" w:hAnsiTheme="minorHAnsi"/>
          <w:lang w:val="pt-PT"/>
        </w:rPr>
        <w:t>A taxa aplicada sem um estudo económico das comunidades promove a desistência da busca de água nas fontes construídas e impulsiona as sabotagens das tubagens e recorrem aos poços artesanais.</w:t>
      </w:r>
    </w:p>
    <w:p w14:paraId="1C7193DC" w14:textId="605EC033" w:rsidR="00EB4BC8" w:rsidRPr="00292532" w:rsidRDefault="00EB4BC8" w:rsidP="00AE14AE">
      <w:pPr>
        <w:numPr>
          <w:ilvl w:val="0"/>
          <w:numId w:val="170"/>
        </w:numPr>
        <w:spacing w:before="0" w:line="256" w:lineRule="auto"/>
        <w:contextualSpacing/>
        <w:jc w:val="left"/>
        <w:rPr>
          <w:rFonts w:asciiTheme="minorHAnsi" w:hAnsiTheme="minorHAnsi"/>
          <w:noProof/>
          <w:lang w:val="pt-PT"/>
        </w:rPr>
      </w:pPr>
      <w:r w:rsidRPr="00292532">
        <w:rPr>
          <w:rFonts w:asciiTheme="minorHAnsi" w:hAnsiTheme="minorHAnsi"/>
          <w:lang w:val="pt-PT"/>
        </w:rPr>
        <w:t xml:space="preserve">Deve se ter em conta como será gerido o </w:t>
      </w:r>
      <w:proofErr w:type="spellStart"/>
      <w:r w:rsidRPr="00292532">
        <w:rPr>
          <w:rFonts w:asciiTheme="minorHAnsi" w:hAnsiTheme="minorHAnsi"/>
          <w:lang w:val="pt-PT"/>
        </w:rPr>
        <w:t>projecto</w:t>
      </w:r>
      <w:proofErr w:type="spellEnd"/>
      <w:r w:rsidRPr="00292532">
        <w:rPr>
          <w:rFonts w:asciiTheme="minorHAnsi" w:hAnsiTheme="minorHAnsi"/>
          <w:lang w:val="pt-PT"/>
        </w:rPr>
        <w:t xml:space="preserve"> no âmbito da descentralização que está a ocorrer no nosso país, por forma a se evitar o protagonismo</w:t>
      </w:r>
      <w:r w:rsidRPr="00292532">
        <w:rPr>
          <w:rFonts w:asciiTheme="minorHAnsi" w:hAnsiTheme="minorHAnsi"/>
          <w:noProof/>
          <w:lang w:val="pt-PT"/>
        </w:rPr>
        <w:t>.</w:t>
      </w:r>
    </w:p>
    <w:p w14:paraId="2D34D8BB" w14:textId="1C0693E1" w:rsidR="00597827" w:rsidRPr="00292532" w:rsidRDefault="00EB4BC8" w:rsidP="00597827">
      <w:pPr>
        <w:rPr>
          <w:lang w:val="pt-PT"/>
        </w:rPr>
      </w:pPr>
      <w:bookmarkStart w:id="451" w:name="_Hlk75450989"/>
      <w:r w:rsidRPr="00292532">
        <w:rPr>
          <w:lang w:val="pt-PT"/>
        </w:rPr>
        <w:t xml:space="preserve">O </w:t>
      </w:r>
      <w:proofErr w:type="spellStart"/>
      <w:r w:rsidRPr="00292532">
        <w:rPr>
          <w:lang w:val="pt-PT"/>
        </w:rPr>
        <w:t>Projecto</w:t>
      </w:r>
      <w:proofErr w:type="spellEnd"/>
      <w:r w:rsidRPr="00292532">
        <w:rPr>
          <w:lang w:val="pt-PT"/>
        </w:rPr>
        <w:t xml:space="preserve"> Água Segura, trará sem qualquer dúvida, muitos benefícios para as comunidades aonde ele será implementado. Contudo, existem </w:t>
      </w:r>
      <w:r w:rsidR="00597827" w:rsidRPr="00292532">
        <w:rPr>
          <w:lang w:val="pt-PT"/>
        </w:rPr>
        <w:t xml:space="preserve">potenciais impactos </w:t>
      </w:r>
      <w:r w:rsidRPr="00292532">
        <w:rPr>
          <w:lang w:val="pt-PT"/>
        </w:rPr>
        <w:t xml:space="preserve">negativos, </w:t>
      </w:r>
      <w:r w:rsidR="00597827" w:rsidRPr="00292532">
        <w:rPr>
          <w:lang w:val="pt-PT"/>
        </w:rPr>
        <w:t xml:space="preserve">tanto </w:t>
      </w:r>
      <w:r w:rsidR="0005701F" w:rsidRPr="00292532">
        <w:rPr>
          <w:lang w:val="pt-PT"/>
        </w:rPr>
        <w:t>nas fases</w:t>
      </w:r>
      <w:r w:rsidR="00597827" w:rsidRPr="00292532">
        <w:rPr>
          <w:lang w:val="pt-PT"/>
        </w:rPr>
        <w:t xml:space="preserve"> de construção e operação dos sistemas</w:t>
      </w:r>
      <w:r w:rsidRPr="00292532">
        <w:rPr>
          <w:lang w:val="pt-PT"/>
        </w:rPr>
        <w:t xml:space="preserve">, </w:t>
      </w:r>
      <w:r w:rsidR="006F0AD5" w:rsidRPr="00292532">
        <w:rPr>
          <w:lang w:val="pt-PT"/>
        </w:rPr>
        <w:t>sendo, portanto,</w:t>
      </w:r>
      <w:r w:rsidRPr="00292532">
        <w:rPr>
          <w:lang w:val="pt-PT"/>
        </w:rPr>
        <w:t xml:space="preserve"> necessário que as preocupações enumeradas pelas várias comunidades consultadas, tomadas em consideração, sendo por isso necessário que seja </w:t>
      </w:r>
      <w:r w:rsidR="00597827" w:rsidRPr="00292532">
        <w:rPr>
          <w:lang w:val="pt-PT"/>
        </w:rPr>
        <w:t>elabora</w:t>
      </w:r>
      <w:r w:rsidRPr="00292532">
        <w:rPr>
          <w:lang w:val="pt-PT"/>
        </w:rPr>
        <w:t xml:space="preserve">do e implementado </w:t>
      </w:r>
      <w:r w:rsidR="00597827" w:rsidRPr="00292532">
        <w:rPr>
          <w:lang w:val="pt-PT"/>
        </w:rPr>
        <w:t xml:space="preserve">um Plano de Envolvimento as Partes Interessadas. </w:t>
      </w:r>
      <w:bookmarkEnd w:id="451"/>
    </w:p>
    <w:p w14:paraId="73A9B706" w14:textId="5A097086" w:rsidR="002E5ACD" w:rsidRPr="00292532" w:rsidRDefault="002E5ACD" w:rsidP="00597827">
      <w:pPr>
        <w:tabs>
          <w:tab w:val="center" w:pos="4513"/>
          <w:tab w:val="right" w:pos="9026"/>
        </w:tabs>
        <w:spacing w:after="120"/>
        <w:ind w:left="720"/>
        <w:rPr>
          <w:bCs/>
          <w:lang w:val="pt-PT" w:eastAsia="ja-JP"/>
        </w:rPr>
      </w:pPr>
      <w:r w:rsidRPr="00292532">
        <w:rPr>
          <w:bCs/>
          <w:lang w:val="pt-PT" w:eastAsia="ja-JP"/>
        </w:rPr>
        <w:br w:type="page"/>
      </w:r>
    </w:p>
    <w:p w14:paraId="372EB35A" w14:textId="77777777" w:rsidR="00597827" w:rsidRPr="00292532" w:rsidRDefault="00597827" w:rsidP="00597827">
      <w:pPr>
        <w:tabs>
          <w:tab w:val="center" w:pos="4513"/>
          <w:tab w:val="right" w:pos="9026"/>
        </w:tabs>
        <w:spacing w:after="120"/>
        <w:ind w:left="720"/>
        <w:rPr>
          <w:bCs/>
          <w:lang w:val="pt-PT" w:eastAsia="ja-JP"/>
        </w:rPr>
      </w:pPr>
    </w:p>
    <w:p w14:paraId="6CF7B1F0" w14:textId="00E38581" w:rsidR="00C31925" w:rsidRPr="00292532" w:rsidRDefault="009757BD" w:rsidP="00C31925">
      <w:pPr>
        <w:pStyle w:val="Heading1"/>
        <w:rPr>
          <w:lang w:val="pt-PT" w:eastAsia="ja-JP"/>
        </w:rPr>
      </w:pPr>
      <w:bookmarkStart w:id="452" w:name="_Toc80380069"/>
      <w:r w:rsidRPr="00292532">
        <w:rPr>
          <w:lang w:val="pt-PT" w:eastAsia="ja-JP"/>
        </w:rPr>
        <w:t>Mecanismo de Queixa e Reclamações (MQR)</w:t>
      </w:r>
      <w:bookmarkEnd w:id="452"/>
    </w:p>
    <w:p w14:paraId="1B5ED7E6" w14:textId="18C18189" w:rsidR="00E4088A" w:rsidRPr="00292532" w:rsidRDefault="009757BD" w:rsidP="00753DC0">
      <w:pPr>
        <w:rPr>
          <w:rFonts w:asciiTheme="minorHAnsi" w:eastAsia="Calibri" w:hAnsiTheme="minorHAnsi" w:cs="Times New Roman"/>
          <w:lang w:val="pt-PT"/>
        </w:rPr>
      </w:pPr>
      <w:bookmarkStart w:id="453" w:name="_Hlk75445756"/>
      <w:r w:rsidRPr="00292532">
        <w:rPr>
          <w:rFonts w:asciiTheme="minorHAnsi" w:hAnsiTheme="minorHAnsi"/>
          <w:lang w:val="pt-PT"/>
        </w:rPr>
        <w:t>O MQR que a seguir é descrito, foi proposto no âmbito da implementação do PEPI</w:t>
      </w:r>
      <w:r w:rsidR="00E4088A" w:rsidRPr="00292532">
        <w:rPr>
          <w:rFonts w:asciiTheme="minorHAnsi" w:hAnsiTheme="minorHAnsi"/>
          <w:lang w:val="pt-PT"/>
        </w:rPr>
        <w:t xml:space="preserve"> </w:t>
      </w:r>
      <w:r w:rsidRPr="00292532">
        <w:rPr>
          <w:rFonts w:asciiTheme="minorHAnsi" w:hAnsiTheme="minorHAnsi"/>
          <w:lang w:val="pt-PT"/>
        </w:rPr>
        <w:t xml:space="preserve">e </w:t>
      </w:r>
      <w:bookmarkStart w:id="454" w:name="_Hlk75451154"/>
      <w:r w:rsidRPr="00292532">
        <w:rPr>
          <w:rFonts w:asciiTheme="minorHAnsi" w:hAnsiTheme="minorHAnsi"/>
          <w:lang w:val="pt-PT"/>
        </w:rPr>
        <w:t>estabelece um conjunto de</w:t>
      </w:r>
      <w:r w:rsidRPr="00292532">
        <w:rPr>
          <w:rFonts w:asciiTheme="minorHAnsi" w:eastAsia="Calibri" w:hAnsiTheme="minorHAnsi" w:cs="Times New Roman"/>
          <w:lang w:val="pt-PT"/>
        </w:rPr>
        <w:t xml:space="preserve"> etapas </w:t>
      </w:r>
      <w:r w:rsidR="00E4088A" w:rsidRPr="00292532">
        <w:rPr>
          <w:rFonts w:asciiTheme="minorHAnsi" w:eastAsia="Calibri" w:hAnsiTheme="minorHAnsi" w:cs="Times New Roman"/>
          <w:lang w:val="pt-PT"/>
        </w:rPr>
        <w:t xml:space="preserve">necessárias para a </w:t>
      </w:r>
      <w:proofErr w:type="spellStart"/>
      <w:r w:rsidR="00E4088A" w:rsidRPr="00292532">
        <w:rPr>
          <w:rFonts w:asciiTheme="minorHAnsi" w:eastAsia="Calibri" w:hAnsiTheme="minorHAnsi" w:cs="Times New Roman"/>
          <w:lang w:val="pt-PT"/>
        </w:rPr>
        <w:t>correcta</w:t>
      </w:r>
      <w:proofErr w:type="spellEnd"/>
      <w:r w:rsidR="00E4088A" w:rsidRPr="00292532">
        <w:rPr>
          <w:rFonts w:asciiTheme="minorHAnsi" w:eastAsia="Calibri" w:hAnsiTheme="minorHAnsi" w:cs="Times New Roman"/>
          <w:lang w:val="pt-PT"/>
        </w:rPr>
        <w:t xml:space="preserve"> gestão do </w:t>
      </w:r>
      <w:r w:rsidRPr="00292532">
        <w:rPr>
          <w:rFonts w:asciiTheme="minorHAnsi" w:eastAsia="Calibri" w:hAnsiTheme="minorHAnsi" w:cs="Times New Roman"/>
          <w:lang w:val="pt-PT"/>
        </w:rPr>
        <w:t>processo de resolução de queixas e reclamações</w:t>
      </w:r>
      <w:bookmarkEnd w:id="454"/>
      <w:r w:rsidR="00E4088A" w:rsidRPr="00292532">
        <w:rPr>
          <w:rFonts w:asciiTheme="minorHAnsi" w:eastAsia="Calibri" w:hAnsiTheme="minorHAnsi" w:cs="Times New Roman"/>
          <w:lang w:val="pt-PT"/>
        </w:rPr>
        <w:t xml:space="preserve">. </w:t>
      </w:r>
      <w:bookmarkEnd w:id="453"/>
      <w:r w:rsidR="00E4088A" w:rsidRPr="00292532">
        <w:rPr>
          <w:rFonts w:asciiTheme="minorHAnsi" w:eastAsia="Calibri" w:hAnsiTheme="minorHAnsi" w:cs="Times New Roman"/>
          <w:lang w:val="pt-PT"/>
        </w:rPr>
        <w:t xml:space="preserve">Descreve </w:t>
      </w:r>
      <w:r w:rsidRPr="00292532">
        <w:rPr>
          <w:rFonts w:asciiTheme="minorHAnsi" w:eastAsia="Calibri" w:hAnsiTheme="minorHAnsi" w:cs="Times New Roman"/>
          <w:lang w:val="pt-PT"/>
        </w:rPr>
        <w:t>o papel d</w:t>
      </w:r>
      <w:r w:rsidR="00E4088A" w:rsidRPr="00292532">
        <w:rPr>
          <w:rFonts w:asciiTheme="minorHAnsi" w:eastAsia="Calibri" w:hAnsiTheme="minorHAnsi" w:cs="Times New Roman"/>
          <w:lang w:val="pt-PT"/>
        </w:rPr>
        <w:t xml:space="preserve">os </w:t>
      </w:r>
      <w:r w:rsidRPr="00292532">
        <w:rPr>
          <w:rFonts w:asciiTheme="minorHAnsi" w:eastAsia="Calibri" w:hAnsiTheme="minorHAnsi" w:cs="Times New Roman"/>
          <w:lang w:val="pt-PT"/>
        </w:rPr>
        <w:t xml:space="preserve">diferentes intervenientes envolvidos e </w:t>
      </w:r>
      <w:r w:rsidR="00E4088A" w:rsidRPr="00292532">
        <w:rPr>
          <w:rFonts w:asciiTheme="minorHAnsi" w:eastAsia="Calibri" w:hAnsiTheme="minorHAnsi" w:cs="Times New Roman"/>
          <w:lang w:val="pt-PT"/>
        </w:rPr>
        <w:t xml:space="preserve">os </w:t>
      </w:r>
      <w:r w:rsidRPr="00292532">
        <w:rPr>
          <w:rFonts w:asciiTheme="minorHAnsi" w:eastAsia="Calibri" w:hAnsiTheme="minorHAnsi" w:cs="Times New Roman"/>
          <w:lang w:val="pt-PT"/>
        </w:rPr>
        <w:t xml:space="preserve">prazos </w:t>
      </w:r>
      <w:r w:rsidR="00E4088A" w:rsidRPr="00292532">
        <w:rPr>
          <w:rFonts w:asciiTheme="minorHAnsi" w:eastAsia="Calibri" w:hAnsiTheme="minorHAnsi" w:cs="Times New Roman"/>
          <w:lang w:val="pt-PT"/>
        </w:rPr>
        <w:t xml:space="preserve">para </w:t>
      </w:r>
      <w:r w:rsidR="00C2683B" w:rsidRPr="00292532">
        <w:rPr>
          <w:rFonts w:asciiTheme="minorHAnsi" w:eastAsia="Calibri" w:hAnsiTheme="minorHAnsi" w:cs="Times New Roman"/>
          <w:lang w:val="pt-PT"/>
        </w:rPr>
        <w:t xml:space="preserve">a </w:t>
      </w:r>
      <w:r w:rsidR="00E4088A" w:rsidRPr="00292532">
        <w:rPr>
          <w:rFonts w:asciiTheme="minorHAnsi" w:eastAsia="Calibri" w:hAnsiTheme="minorHAnsi" w:cs="Times New Roman"/>
          <w:lang w:val="pt-PT"/>
        </w:rPr>
        <w:t xml:space="preserve">tomada de </w:t>
      </w:r>
      <w:r w:rsidRPr="00292532">
        <w:rPr>
          <w:rFonts w:asciiTheme="minorHAnsi" w:eastAsia="Calibri" w:hAnsiTheme="minorHAnsi" w:cs="Times New Roman"/>
          <w:lang w:val="pt-PT"/>
        </w:rPr>
        <w:t xml:space="preserve">decisão sobre </w:t>
      </w:r>
      <w:r w:rsidR="00C2683B" w:rsidRPr="00292532">
        <w:rPr>
          <w:rFonts w:asciiTheme="minorHAnsi" w:eastAsia="Calibri" w:hAnsiTheme="minorHAnsi" w:cs="Times New Roman"/>
          <w:lang w:val="pt-PT"/>
        </w:rPr>
        <w:t xml:space="preserve">qualquer </w:t>
      </w:r>
      <w:r w:rsidRPr="00292532">
        <w:rPr>
          <w:rFonts w:asciiTheme="minorHAnsi" w:eastAsia="Calibri" w:hAnsiTheme="minorHAnsi" w:cs="Times New Roman"/>
          <w:lang w:val="pt-PT"/>
        </w:rPr>
        <w:t>reclamação</w:t>
      </w:r>
      <w:r w:rsidR="00E4088A" w:rsidRPr="00292532">
        <w:rPr>
          <w:rFonts w:asciiTheme="minorHAnsi" w:eastAsia="Calibri" w:hAnsiTheme="minorHAnsi" w:cs="Times New Roman"/>
          <w:lang w:val="pt-PT"/>
        </w:rPr>
        <w:t xml:space="preserve"> </w:t>
      </w:r>
      <w:r w:rsidR="00C2683B" w:rsidRPr="00292532">
        <w:rPr>
          <w:rFonts w:asciiTheme="minorHAnsi" w:eastAsia="Calibri" w:hAnsiTheme="minorHAnsi" w:cs="Times New Roman"/>
          <w:lang w:val="pt-PT"/>
        </w:rPr>
        <w:t>e/</w:t>
      </w:r>
      <w:r w:rsidR="00E4088A" w:rsidRPr="00292532">
        <w:rPr>
          <w:rFonts w:asciiTheme="minorHAnsi" w:eastAsia="Calibri" w:hAnsiTheme="minorHAnsi" w:cs="Times New Roman"/>
          <w:lang w:val="pt-PT"/>
        </w:rPr>
        <w:t xml:space="preserve">ou </w:t>
      </w:r>
      <w:r w:rsidRPr="00292532">
        <w:rPr>
          <w:rFonts w:asciiTheme="minorHAnsi" w:eastAsia="Calibri" w:hAnsiTheme="minorHAnsi" w:cs="Times New Roman"/>
          <w:lang w:val="pt-PT"/>
        </w:rPr>
        <w:t xml:space="preserve">queixa apresentada. </w:t>
      </w:r>
      <w:r w:rsidR="00E4088A" w:rsidRPr="00292532">
        <w:rPr>
          <w:rFonts w:asciiTheme="minorHAnsi" w:eastAsia="Calibri" w:hAnsiTheme="minorHAnsi" w:cs="Times New Roman"/>
          <w:lang w:val="pt-PT"/>
        </w:rPr>
        <w:t xml:space="preserve">A tipologia </w:t>
      </w:r>
      <w:r w:rsidRPr="00292532">
        <w:rPr>
          <w:rFonts w:asciiTheme="minorHAnsi" w:eastAsia="Calibri" w:hAnsiTheme="minorHAnsi" w:cs="Times New Roman"/>
          <w:lang w:val="pt-PT"/>
        </w:rPr>
        <w:t xml:space="preserve">de queixas e reclamações </w:t>
      </w:r>
      <w:r w:rsidR="00E4088A" w:rsidRPr="00292532">
        <w:rPr>
          <w:rFonts w:asciiTheme="minorHAnsi" w:eastAsia="Calibri" w:hAnsiTheme="minorHAnsi" w:cs="Times New Roman"/>
          <w:lang w:val="pt-PT"/>
        </w:rPr>
        <w:t>incluem, mas não se limitam a:</w:t>
      </w:r>
    </w:p>
    <w:p w14:paraId="5CAC74BF" w14:textId="77777777" w:rsidR="009757BD" w:rsidRPr="00292532" w:rsidRDefault="009757BD" w:rsidP="00AE14AE">
      <w:pPr>
        <w:numPr>
          <w:ilvl w:val="0"/>
          <w:numId w:val="113"/>
        </w:numPr>
        <w:spacing w:before="0"/>
        <w:contextualSpacing/>
        <w:jc w:val="left"/>
        <w:rPr>
          <w:rFonts w:asciiTheme="minorHAnsi" w:eastAsia="Calibri" w:hAnsiTheme="minorHAnsi" w:cs="Times New Roman"/>
          <w:lang w:val="pt-PT"/>
        </w:rPr>
      </w:pPr>
      <w:r w:rsidRPr="00292532">
        <w:rPr>
          <w:rFonts w:asciiTheme="minorHAnsi" w:eastAsia="Calibri" w:hAnsiTheme="minorHAnsi" w:cs="Times New Roman"/>
          <w:lang w:val="pt-PT"/>
        </w:rPr>
        <w:t>Impactos negativos dos subprojectos nas comunidades</w:t>
      </w:r>
    </w:p>
    <w:p w14:paraId="5F07A3E5" w14:textId="77777777" w:rsidR="009757BD" w:rsidRPr="00292532" w:rsidRDefault="009757BD" w:rsidP="00AE14AE">
      <w:pPr>
        <w:pStyle w:val="ListParagraph"/>
        <w:numPr>
          <w:ilvl w:val="0"/>
          <w:numId w:val="114"/>
        </w:numPr>
        <w:spacing w:before="0"/>
        <w:jc w:val="left"/>
        <w:rPr>
          <w:rFonts w:asciiTheme="minorHAnsi" w:eastAsia="Calibri" w:hAnsiTheme="minorHAnsi" w:cs="Times New Roman"/>
          <w:lang w:val="pt-PT"/>
        </w:rPr>
      </w:pPr>
      <w:r w:rsidRPr="00292532">
        <w:rPr>
          <w:rFonts w:asciiTheme="minorHAnsi" w:eastAsia="Calibri" w:hAnsiTheme="minorHAnsi" w:cs="Times New Roman"/>
          <w:lang w:val="pt-PT"/>
        </w:rPr>
        <w:t xml:space="preserve">Perdas financeiras, </w:t>
      </w:r>
    </w:p>
    <w:p w14:paraId="4327603B" w14:textId="77777777" w:rsidR="009757BD" w:rsidRPr="00292532" w:rsidRDefault="009757BD" w:rsidP="00AE14AE">
      <w:pPr>
        <w:pStyle w:val="ListParagraph"/>
        <w:numPr>
          <w:ilvl w:val="0"/>
          <w:numId w:val="114"/>
        </w:numPr>
        <w:spacing w:before="0"/>
        <w:jc w:val="left"/>
        <w:rPr>
          <w:rFonts w:asciiTheme="minorHAnsi" w:eastAsia="Calibri" w:hAnsiTheme="minorHAnsi" w:cs="Times New Roman"/>
          <w:lang w:val="pt-PT"/>
        </w:rPr>
      </w:pPr>
      <w:r w:rsidRPr="00292532">
        <w:rPr>
          <w:rFonts w:asciiTheme="minorHAnsi" w:eastAsia="Calibri" w:hAnsiTheme="minorHAnsi" w:cs="Times New Roman"/>
          <w:lang w:val="pt-PT"/>
        </w:rPr>
        <w:t xml:space="preserve">Danos físicos e incômodo de construção e/ou das </w:t>
      </w:r>
      <w:proofErr w:type="spellStart"/>
      <w:r w:rsidRPr="00292532">
        <w:rPr>
          <w:rFonts w:asciiTheme="minorHAnsi" w:eastAsia="Calibri" w:hAnsiTheme="minorHAnsi" w:cs="Times New Roman"/>
          <w:lang w:val="pt-PT"/>
        </w:rPr>
        <w:t>actividades</w:t>
      </w:r>
      <w:proofErr w:type="spellEnd"/>
      <w:r w:rsidRPr="00292532">
        <w:rPr>
          <w:rFonts w:asciiTheme="minorHAnsi" w:eastAsia="Calibri" w:hAnsiTheme="minorHAnsi" w:cs="Times New Roman"/>
          <w:lang w:val="pt-PT"/>
        </w:rPr>
        <w:t xml:space="preserve"> operacionais do </w:t>
      </w:r>
      <w:proofErr w:type="spellStart"/>
      <w:r w:rsidRPr="00292532">
        <w:rPr>
          <w:rFonts w:asciiTheme="minorHAnsi" w:eastAsia="Calibri" w:hAnsiTheme="minorHAnsi" w:cs="Times New Roman"/>
          <w:lang w:val="pt-PT"/>
        </w:rPr>
        <w:t>projecto</w:t>
      </w:r>
      <w:proofErr w:type="spellEnd"/>
      <w:r w:rsidRPr="00292532">
        <w:rPr>
          <w:rFonts w:asciiTheme="minorHAnsi" w:eastAsia="Calibri" w:hAnsiTheme="minorHAnsi" w:cs="Times New Roman"/>
          <w:lang w:val="pt-PT"/>
        </w:rPr>
        <w:t>;</w:t>
      </w:r>
    </w:p>
    <w:p w14:paraId="58A3A1AE" w14:textId="693FF72A" w:rsidR="009757BD" w:rsidRPr="00292532" w:rsidRDefault="009757BD" w:rsidP="00AE14AE">
      <w:pPr>
        <w:numPr>
          <w:ilvl w:val="0"/>
          <w:numId w:val="113"/>
        </w:numPr>
        <w:spacing w:before="0" w:after="240"/>
        <w:contextualSpacing/>
        <w:jc w:val="left"/>
        <w:rPr>
          <w:rFonts w:asciiTheme="minorHAnsi" w:eastAsia="Calibri" w:hAnsiTheme="minorHAnsi" w:cs="Times New Roman"/>
          <w:lang w:val="pt-PT"/>
        </w:rPr>
      </w:pPr>
      <w:r w:rsidRPr="00292532">
        <w:rPr>
          <w:rFonts w:asciiTheme="minorHAnsi" w:eastAsia="Calibri" w:hAnsiTheme="minorHAnsi" w:cs="Times New Roman"/>
          <w:lang w:val="pt-PT"/>
        </w:rPr>
        <w:t>Riscos de saúde e segurança;</w:t>
      </w:r>
    </w:p>
    <w:p w14:paraId="187E7FC8" w14:textId="77777777" w:rsidR="009757BD" w:rsidRPr="00292532" w:rsidRDefault="009757BD" w:rsidP="00AE14AE">
      <w:pPr>
        <w:numPr>
          <w:ilvl w:val="1"/>
          <w:numId w:val="115"/>
        </w:numPr>
        <w:contextualSpacing/>
        <w:jc w:val="left"/>
        <w:rPr>
          <w:rFonts w:asciiTheme="minorHAnsi" w:eastAsia="Calibri" w:hAnsiTheme="minorHAnsi" w:cs="Times New Roman"/>
          <w:lang w:val="pt-PT"/>
        </w:rPr>
      </w:pPr>
      <w:r w:rsidRPr="00292532">
        <w:rPr>
          <w:rFonts w:asciiTheme="minorHAnsi" w:eastAsia="Calibri" w:hAnsiTheme="minorHAnsi" w:cs="Times New Roman"/>
          <w:lang w:val="pt-PT"/>
        </w:rPr>
        <w:t>Circulação perigosa de veículos de obras;</w:t>
      </w:r>
    </w:p>
    <w:p w14:paraId="47F8E0E4" w14:textId="77777777" w:rsidR="009757BD" w:rsidRPr="00292532" w:rsidRDefault="009757BD" w:rsidP="00AE14AE">
      <w:pPr>
        <w:numPr>
          <w:ilvl w:val="1"/>
          <w:numId w:val="115"/>
        </w:numPr>
        <w:spacing w:before="0"/>
        <w:contextualSpacing/>
        <w:jc w:val="left"/>
        <w:rPr>
          <w:rFonts w:asciiTheme="minorHAnsi" w:eastAsia="Calibri" w:hAnsiTheme="minorHAnsi" w:cs="Times New Roman"/>
          <w:lang w:val="pt-PT"/>
        </w:rPr>
      </w:pPr>
      <w:r w:rsidRPr="00292532">
        <w:rPr>
          <w:rFonts w:asciiTheme="minorHAnsi" w:eastAsia="Calibri" w:hAnsiTheme="minorHAnsi" w:cs="Times New Roman"/>
          <w:lang w:val="pt-PT"/>
        </w:rPr>
        <w:t>Emissão de fumos e poeiras da maquinaria e veículos de obras</w:t>
      </w:r>
    </w:p>
    <w:p w14:paraId="31D85E60" w14:textId="614D30A7" w:rsidR="009757BD" w:rsidRPr="00292532" w:rsidRDefault="009757BD" w:rsidP="00AE14AE">
      <w:pPr>
        <w:numPr>
          <w:ilvl w:val="1"/>
          <w:numId w:val="115"/>
        </w:numPr>
        <w:spacing w:before="0"/>
        <w:contextualSpacing/>
        <w:jc w:val="left"/>
        <w:rPr>
          <w:rFonts w:asciiTheme="minorHAnsi" w:eastAsia="Calibri" w:hAnsiTheme="minorHAnsi" w:cs="Times New Roman"/>
          <w:lang w:val="pt-PT"/>
        </w:rPr>
      </w:pPr>
      <w:r w:rsidRPr="00292532">
        <w:rPr>
          <w:rFonts w:asciiTheme="minorHAnsi" w:eastAsia="Calibri" w:hAnsiTheme="minorHAnsi" w:cs="Times New Roman"/>
          <w:lang w:val="pt-PT"/>
        </w:rPr>
        <w:t xml:space="preserve"> Interferência com caminhos de circulação usados pelas comunidades</w:t>
      </w:r>
    </w:p>
    <w:p w14:paraId="6950675C" w14:textId="77777777" w:rsidR="00E4088A" w:rsidRPr="00292532" w:rsidRDefault="00E4088A" w:rsidP="00753DC0">
      <w:pPr>
        <w:spacing w:before="0"/>
        <w:ind w:left="1080"/>
        <w:contextualSpacing/>
        <w:jc w:val="left"/>
        <w:rPr>
          <w:rFonts w:asciiTheme="minorHAnsi" w:eastAsia="Calibri" w:hAnsiTheme="minorHAnsi" w:cs="Times New Roman"/>
          <w:lang w:val="pt-PT"/>
        </w:rPr>
      </w:pPr>
    </w:p>
    <w:p w14:paraId="54A950A8" w14:textId="4C9A1574" w:rsidR="009757BD" w:rsidRPr="00292532" w:rsidRDefault="009757BD" w:rsidP="00AE14AE">
      <w:pPr>
        <w:numPr>
          <w:ilvl w:val="0"/>
          <w:numId w:val="113"/>
        </w:numPr>
        <w:spacing w:before="0"/>
        <w:contextualSpacing/>
        <w:jc w:val="left"/>
        <w:rPr>
          <w:rFonts w:asciiTheme="minorHAnsi" w:eastAsia="Calibri" w:hAnsiTheme="minorHAnsi" w:cs="Times New Roman"/>
          <w:lang w:val="pt-PT"/>
        </w:rPr>
      </w:pPr>
      <w:r w:rsidRPr="00292532">
        <w:rPr>
          <w:rFonts w:asciiTheme="minorHAnsi" w:eastAsia="Calibri" w:hAnsiTheme="minorHAnsi" w:cs="Times New Roman"/>
          <w:lang w:val="pt-PT"/>
        </w:rPr>
        <w:t>Impactos negativos sobre o meio ambiente em redor;</w:t>
      </w:r>
    </w:p>
    <w:p w14:paraId="4E35E599" w14:textId="77777777" w:rsidR="00E4088A" w:rsidRPr="00292532" w:rsidRDefault="00E4088A" w:rsidP="00753DC0">
      <w:pPr>
        <w:spacing w:before="0"/>
        <w:ind w:left="360"/>
        <w:contextualSpacing/>
        <w:jc w:val="left"/>
        <w:rPr>
          <w:rFonts w:asciiTheme="minorHAnsi" w:eastAsia="Calibri" w:hAnsiTheme="minorHAnsi" w:cs="Times New Roman"/>
          <w:lang w:val="pt-PT"/>
        </w:rPr>
      </w:pPr>
    </w:p>
    <w:p w14:paraId="7E881751" w14:textId="77777777" w:rsidR="009757BD" w:rsidRPr="00292532" w:rsidRDefault="009757BD" w:rsidP="00AE14AE">
      <w:pPr>
        <w:numPr>
          <w:ilvl w:val="0"/>
          <w:numId w:val="113"/>
        </w:numPr>
        <w:spacing w:before="0"/>
        <w:contextualSpacing/>
        <w:jc w:val="left"/>
        <w:rPr>
          <w:rFonts w:asciiTheme="minorHAnsi" w:eastAsia="Calibri" w:hAnsiTheme="minorHAnsi" w:cs="Times New Roman"/>
          <w:lang w:val="pt-PT"/>
        </w:rPr>
      </w:pPr>
      <w:r w:rsidRPr="00292532">
        <w:rPr>
          <w:rFonts w:asciiTheme="minorHAnsi" w:eastAsia="Calibri" w:hAnsiTheme="minorHAnsi" w:cs="Times New Roman"/>
          <w:lang w:val="pt-PT"/>
        </w:rPr>
        <w:t>Comportamento inaceitável por parte da equipa ou funcionários da empreitada, incluindo:</w:t>
      </w:r>
    </w:p>
    <w:p w14:paraId="45F379E8" w14:textId="77777777" w:rsidR="009757BD" w:rsidRPr="00292532" w:rsidRDefault="009757BD" w:rsidP="00AE14AE">
      <w:pPr>
        <w:numPr>
          <w:ilvl w:val="1"/>
          <w:numId w:val="116"/>
        </w:numPr>
        <w:contextualSpacing/>
        <w:jc w:val="left"/>
        <w:rPr>
          <w:rFonts w:asciiTheme="minorHAnsi" w:eastAsia="Calibri" w:hAnsiTheme="minorHAnsi" w:cs="Times New Roman"/>
          <w:lang w:val="pt-PT"/>
        </w:rPr>
      </w:pPr>
      <w:r w:rsidRPr="00292532">
        <w:rPr>
          <w:rFonts w:asciiTheme="minorHAnsi" w:eastAsia="Calibri" w:hAnsiTheme="minorHAnsi" w:cs="Times New Roman"/>
          <w:lang w:val="pt-PT"/>
        </w:rPr>
        <w:t>Desrespeito as normas culturais locais;</w:t>
      </w:r>
    </w:p>
    <w:p w14:paraId="2898A04F" w14:textId="77777777" w:rsidR="009757BD" w:rsidRPr="00292532" w:rsidRDefault="009757BD" w:rsidP="00AE14AE">
      <w:pPr>
        <w:numPr>
          <w:ilvl w:val="1"/>
          <w:numId w:val="116"/>
        </w:numPr>
        <w:spacing w:before="0"/>
        <w:contextualSpacing/>
        <w:jc w:val="left"/>
        <w:rPr>
          <w:rFonts w:asciiTheme="minorHAnsi" w:eastAsia="Calibri" w:hAnsiTheme="minorHAnsi" w:cs="Times New Roman"/>
          <w:lang w:val="pt-PT"/>
        </w:rPr>
      </w:pPr>
      <w:r w:rsidRPr="00292532">
        <w:rPr>
          <w:rFonts w:asciiTheme="minorHAnsi" w:eastAsia="Calibri" w:hAnsiTheme="minorHAnsi" w:cs="Times New Roman"/>
          <w:lang w:val="pt-PT"/>
        </w:rPr>
        <w:t xml:space="preserve">Violência baseada em gênero; </w:t>
      </w:r>
    </w:p>
    <w:p w14:paraId="024AC72D" w14:textId="77777777" w:rsidR="009757BD" w:rsidRPr="00292532" w:rsidRDefault="009757BD" w:rsidP="00AE14AE">
      <w:pPr>
        <w:numPr>
          <w:ilvl w:val="1"/>
          <w:numId w:val="116"/>
        </w:numPr>
        <w:spacing w:before="0"/>
        <w:contextualSpacing/>
        <w:jc w:val="left"/>
        <w:rPr>
          <w:rFonts w:asciiTheme="minorHAnsi" w:eastAsia="Calibri" w:hAnsiTheme="minorHAnsi" w:cs="Times New Roman"/>
          <w:lang w:val="pt-PT"/>
        </w:rPr>
      </w:pPr>
      <w:r w:rsidRPr="00292532">
        <w:rPr>
          <w:rFonts w:asciiTheme="minorHAnsi" w:eastAsia="Calibri" w:hAnsiTheme="minorHAnsi" w:cs="Times New Roman"/>
          <w:lang w:val="pt-PT"/>
        </w:rPr>
        <w:t xml:space="preserve">Abuso sexual </w:t>
      </w:r>
    </w:p>
    <w:p w14:paraId="773F7140" w14:textId="77777777" w:rsidR="00E4088A" w:rsidRPr="00292532" w:rsidRDefault="00E4088A" w:rsidP="00753DC0">
      <w:pPr>
        <w:spacing w:before="0"/>
        <w:rPr>
          <w:rFonts w:asciiTheme="minorHAnsi" w:eastAsia="Calibri" w:hAnsiTheme="minorHAnsi" w:cs="Times New Roman"/>
          <w:lang w:val="pt-PT"/>
        </w:rPr>
      </w:pPr>
    </w:p>
    <w:p w14:paraId="6F044B6D" w14:textId="537D6E93" w:rsidR="00393C68" w:rsidRPr="00292532" w:rsidRDefault="00C2683B" w:rsidP="00753DC0">
      <w:pPr>
        <w:spacing w:before="0"/>
        <w:rPr>
          <w:rFonts w:asciiTheme="minorHAnsi" w:eastAsia="Calibri" w:hAnsiTheme="minorHAnsi" w:cs="Times New Roman"/>
          <w:lang w:val="pt-PT"/>
        </w:rPr>
      </w:pPr>
      <w:r w:rsidRPr="00292532">
        <w:rPr>
          <w:rFonts w:asciiTheme="minorHAnsi" w:eastAsia="Calibri" w:hAnsiTheme="minorHAnsi" w:cs="Times New Roman"/>
          <w:lang w:val="pt-PT"/>
        </w:rPr>
        <w:t xml:space="preserve">É de referir </w:t>
      </w:r>
      <w:r w:rsidR="009757BD" w:rsidRPr="00292532">
        <w:rPr>
          <w:rFonts w:asciiTheme="minorHAnsi" w:eastAsia="Calibri" w:hAnsiTheme="minorHAnsi" w:cs="Times New Roman"/>
          <w:lang w:val="pt-PT"/>
        </w:rPr>
        <w:t xml:space="preserve">que este mecanismo </w:t>
      </w:r>
      <w:r w:rsidR="00393C68" w:rsidRPr="00292532">
        <w:rPr>
          <w:rFonts w:asciiTheme="minorHAnsi" w:eastAsia="Calibri" w:hAnsiTheme="minorHAnsi" w:cs="Times New Roman"/>
          <w:lang w:val="pt-PT"/>
        </w:rPr>
        <w:t xml:space="preserve">é aberto e único, e que </w:t>
      </w:r>
      <w:r w:rsidR="009757BD" w:rsidRPr="00292532">
        <w:rPr>
          <w:rFonts w:asciiTheme="minorHAnsi" w:eastAsia="Calibri" w:hAnsiTheme="minorHAnsi" w:cs="Times New Roman"/>
          <w:lang w:val="pt-PT"/>
        </w:rPr>
        <w:t>as queixas apresentadas</w:t>
      </w:r>
      <w:r w:rsidR="00393C68" w:rsidRPr="00292532">
        <w:rPr>
          <w:rFonts w:asciiTheme="minorHAnsi" w:eastAsia="Calibri" w:hAnsiTheme="minorHAnsi" w:cs="Times New Roman"/>
          <w:lang w:val="pt-PT"/>
        </w:rPr>
        <w:t xml:space="preserve"> são públicas</w:t>
      </w:r>
      <w:r w:rsidR="009757BD" w:rsidRPr="00292532">
        <w:rPr>
          <w:rFonts w:asciiTheme="minorHAnsi" w:eastAsia="Calibri" w:hAnsiTheme="minorHAnsi" w:cs="Times New Roman"/>
          <w:lang w:val="pt-PT"/>
        </w:rPr>
        <w:t>, independentemente da fase</w:t>
      </w:r>
      <w:r w:rsidR="00393C68" w:rsidRPr="00292532">
        <w:rPr>
          <w:rFonts w:asciiTheme="minorHAnsi" w:eastAsia="Calibri" w:hAnsiTheme="minorHAnsi" w:cs="Times New Roman"/>
          <w:lang w:val="pt-PT"/>
        </w:rPr>
        <w:t>/</w:t>
      </w:r>
      <w:proofErr w:type="spellStart"/>
      <w:r w:rsidR="009757BD" w:rsidRPr="00292532">
        <w:rPr>
          <w:rFonts w:asciiTheme="minorHAnsi" w:eastAsia="Calibri" w:hAnsiTheme="minorHAnsi" w:cs="Times New Roman"/>
          <w:lang w:val="pt-PT"/>
        </w:rPr>
        <w:t>actividade</w:t>
      </w:r>
      <w:proofErr w:type="spellEnd"/>
      <w:r w:rsidR="009757BD" w:rsidRPr="00292532">
        <w:rPr>
          <w:rFonts w:asciiTheme="minorHAnsi" w:eastAsia="Calibri" w:hAnsiTheme="minorHAnsi" w:cs="Times New Roman"/>
          <w:lang w:val="pt-PT"/>
        </w:rPr>
        <w:t xml:space="preserve"> </w:t>
      </w:r>
      <w:r w:rsidR="00393C68" w:rsidRPr="00292532">
        <w:rPr>
          <w:rFonts w:asciiTheme="minorHAnsi" w:eastAsia="Calibri" w:hAnsiTheme="minorHAnsi" w:cs="Times New Roman"/>
          <w:lang w:val="pt-PT"/>
        </w:rPr>
        <w:t xml:space="preserve">ou </w:t>
      </w:r>
      <w:r w:rsidR="009757BD" w:rsidRPr="00292532">
        <w:rPr>
          <w:rFonts w:asciiTheme="minorHAnsi" w:eastAsia="Calibri" w:hAnsiTheme="minorHAnsi" w:cs="Times New Roman"/>
          <w:lang w:val="pt-PT"/>
        </w:rPr>
        <w:t>subprojecto a ser implementado</w:t>
      </w:r>
      <w:r w:rsidR="00393C68" w:rsidRPr="00292532">
        <w:rPr>
          <w:rFonts w:asciiTheme="minorHAnsi" w:eastAsia="Calibri" w:hAnsiTheme="minorHAnsi" w:cs="Times New Roman"/>
          <w:lang w:val="pt-PT"/>
        </w:rPr>
        <w:t>. As etapas de resolução das queixas e/ou reclamações seguirão todas os mesmos procedimentos de resolução.</w:t>
      </w:r>
    </w:p>
    <w:p w14:paraId="4F1C76E5" w14:textId="4D95E401" w:rsidR="009757BD" w:rsidRPr="00292532" w:rsidRDefault="009C3E6E" w:rsidP="00753DC0">
      <w:pPr>
        <w:spacing w:before="0"/>
        <w:rPr>
          <w:rFonts w:asciiTheme="minorHAnsi" w:eastAsia="Calibri" w:hAnsiTheme="minorHAnsi" w:cs="Times New Roman"/>
          <w:lang w:val="pt-PT"/>
        </w:rPr>
      </w:pPr>
      <w:r w:rsidRPr="00292532">
        <w:rPr>
          <w:rFonts w:asciiTheme="minorHAnsi" w:eastAsia="Calibri" w:hAnsiTheme="minorHAnsi" w:cs="Times New Roman"/>
          <w:lang w:val="pt-PT"/>
        </w:rPr>
        <w:t>MQR</w:t>
      </w:r>
      <w:r w:rsidR="009757BD" w:rsidRPr="00292532">
        <w:rPr>
          <w:rFonts w:asciiTheme="minorHAnsi" w:eastAsia="Calibri" w:hAnsiTheme="minorHAnsi" w:cs="Times New Roman"/>
          <w:lang w:val="pt-PT"/>
        </w:rPr>
        <w:t xml:space="preserve"> </w:t>
      </w:r>
      <w:r w:rsidR="00393C68" w:rsidRPr="00292532">
        <w:rPr>
          <w:rFonts w:asciiTheme="minorHAnsi" w:eastAsia="Calibri" w:hAnsiTheme="minorHAnsi" w:cs="Times New Roman"/>
          <w:lang w:val="pt-PT"/>
        </w:rPr>
        <w:t xml:space="preserve">deve ser amplamente divulgado e os beneficiários </w:t>
      </w:r>
      <w:r w:rsidR="009757BD" w:rsidRPr="00292532">
        <w:rPr>
          <w:rFonts w:asciiTheme="minorHAnsi" w:eastAsia="Calibri" w:hAnsiTheme="minorHAnsi" w:cs="Times New Roman"/>
          <w:lang w:val="pt-PT"/>
        </w:rPr>
        <w:t>consciencializa</w:t>
      </w:r>
      <w:r w:rsidR="00393C68" w:rsidRPr="00292532">
        <w:rPr>
          <w:rFonts w:asciiTheme="minorHAnsi" w:eastAsia="Calibri" w:hAnsiTheme="minorHAnsi" w:cs="Times New Roman"/>
          <w:lang w:val="pt-PT"/>
        </w:rPr>
        <w:t xml:space="preserve">dos da sua </w:t>
      </w:r>
      <w:r w:rsidR="009757BD" w:rsidRPr="00292532">
        <w:rPr>
          <w:rFonts w:asciiTheme="minorHAnsi" w:eastAsia="Calibri" w:hAnsiTheme="minorHAnsi" w:cs="Times New Roman"/>
          <w:lang w:val="pt-PT"/>
        </w:rPr>
        <w:t xml:space="preserve">existência </w:t>
      </w:r>
      <w:r w:rsidR="00393C68" w:rsidRPr="00292532">
        <w:rPr>
          <w:rFonts w:asciiTheme="minorHAnsi" w:eastAsia="Calibri" w:hAnsiTheme="minorHAnsi" w:cs="Times New Roman"/>
          <w:lang w:val="pt-PT"/>
        </w:rPr>
        <w:t xml:space="preserve">e da sua importância. As </w:t>
      </w:r>
      <w:r w:rsidR="009757BD" w:rsidRPr="00292532">
        <w:rPr>
          <w:rFonts w:asciiTheme="minorHAnsi" w:eastAsia="Calibri" w:hAnsiTheme="minorHAnsi" w:cs="Times New Roman"/>
          <w:lang w:val="pt-PT"/>
        </w:rPr>
        <w:t xml:space="preserve">formas de apresentação de queixas e reclamações </w:t>
      </w:r>
      <w:r w:rsidR="00393C68" w:rsidRPr="00292532">
        <w:rPr>
          <w:rFonts w:asciiTheme="minorHAnsi" w:eastAsia="Calibri" w:hAnsiTheme="minorHAnsi" w:cs="Times New Roman"/>
          <w:lang w:val="pt-PT"/>
        </w:rPr>
        <w:t xml:space="preserve">ao longo das etapas da </w:t>
      </w:r>
      <w:r w:rsidR="009757BD" w:rsidRPr="00292532">
        <w:rPr>
          <w:rFonts w:asciiTheme="minorHAnsi" w:eastAsia="Calibri" w:hAnsiTheme="minorHAnsi" w:cs="Times New Roman"/>
          <w:lang w:val="pt-PT"/>
        </w:rPr>
        <w:t xml:space="preserve">implementação do </w:t>
      </w:r>
      <w:proofErr w:type="spellStart"/>
      <w:r w:rsidR="009757BD" w:rsidRPr="00292532">
        <w:rPr>
          <w:rFonts w:asciiTheme="minorHAnsi" w:eastAsia="Calibri" w:hAnsiTheme="minorHAnsi" w:cs="Times New Roman"/>
          <w:lang w:val="pt-PT"/>
        </w:rPr>
        <w:t>projecto</w:t>
      </w:r>
      <w:proofErr w:type="spellEnd"/>
      <w:r w:rsidR="009757BD" w:rsidRPr="00292532">
        <w:rPr>
          <w:rFonts w:asciiTheme="minorHAnsi" w:eastAsia="Calibri" w:hAnsiTheme="minorHAnsi" w:cs="Times New Roman"/>
          <w:lang w:val="pt-PT"/>
        </w:rPr>
        <w:t xml:space="preserve"> proporciona</w:t>
      </w:r>
      <w:r w:rsidR="00393C68" w:rsidRPr="00292532">
        <w:rPr>
          <w:rFonts w:asciiTheme="minorHAnsi" w:eastAsia="Calibri" w:hAnsiTheme="minorHAnsi" w:cs="Times New Roman"/>
          <w:lang w:val="pt-PT"/>
        </w:rPr>
        <w:t xml:space="preserve">m </w:t>
      </w:r>
      <w:r w:rsidR="009757BD" w:rsidRPr="00292532">
        <w:rPr>
          <w:rFonts w:asciiTheme="minorHAnsi" w:eastAsia="Calibri" w:hAnsiTheme="minorHAnsi" w:cs="Times New Roman"/>
          <w:lang w:val="pt-PT"/>
        </w:rPr>
        <w:t xml:space="preserve">às </w:t>
      </w:r>
      <w:proofErr w:type="spellStart"/>
      <w:r w:rsidR="009757BD" w:rsidRPr="00292532">
        <w:rPr>
          <w:rFonts w:asciiTheme="minorHAnsi" w:eastAsia="Calibri" w:hAnsiTheme="minorHAnsi" w:cs="Times New Roman"/>
          <w:lang w:val="pt-PT"/>
        </w:rPr>
        <w:t>PIAs</w:t>
      </w:r>
      <w:proofErr w:type="spellEnd"/>
      <w:r w:rsidR="009757BD" w:rsidRPr="00292532">
        <w:rPr>
          <w:rFonts w:asciiTheme="minorHAnsi" w:eastAsia="Calibri" w:hAnsiTheme="minorHAnsi" w:cs="Times New Roman"/>
          <w:lang w:val="pt-PT"/>
        </w:rPr>
        <w:t xml:space="preserve"> </w:t>
      </w:r>
      <w:r w:rsidR="00393C68" w:rsidRPr="00292532">
        <w:rPr>
          <w:rFonts w:asciiTheme="minorHAnsi" w:eastAsia="Calibri" w:hAnsiTheme="minorHAnsi" w:cs="Times New Roman"/>
          <w:lang w:val="pt-PT"/>
        </w:rPr>
        <w:t xml:space="preserve">um </w:t>
      </w:r>
      <w:r w:rsidR="009757BD" w:rsidRPr="00292532">
        <w:rPr>
          <w:rFonts w:asciiTheme="minorHAnsi" w:eastAsia="Calibri" w:hAnsiTheme="minorHAnsi" w:cs="Times New Roman"/>
          <w:lang w:val="pt-PT"/>
        </w:rPr>
        <w:t xml:space="preserve">mecanismo justo e transparente </w:t>
      </w:r>
      <w:r w:rsidR="00393C68" w:rsidRPr="00292532">
        <w:rPr>
          <w:rFonts w:asciiTheme="minorHAnsi" w:eastAsia="Calibri" w:hAnsiTheme="minorHAnsi" w:cs="Times New Roman"/>
          <w:lang w:val="pt-PT"/>
        </w:rPr>
        <w:t xml:space="preserve">de </w:t>
      </w:r>
      <w:r w:rsidR="009757BD" w:rsidRPr="00292532">
        <w:rPr>
          <w:rFonts w:asciiTheme="minorHAnsi" w:eastAsia="Calibri" w:hAnsiTheme="minorHAnsi" w:cs="Times New Roman"/>
          <w:lang w:val="pt-PT"/>
        </w:rPr>
        <w:t>apresenta</w:t>
      </w:r>
      <w:r w:rsidR="00393C68" w:rsidRPr="00292532">
        <w:rPr>
          <w:rFonts w:asciiTheme="minorHAnsi" w:eastAsia="Calibri" w:hAnsiTheme="minorHAnsi" w:cs="Times New Roman"/>
          <w:lang w:val="pt-PT"/>
        </w:rPr>
        <w:t xml:space="preserve">ção de </w:t>
      </w:r>
      <w:r w:rsidR="009757BD" w:rsidRPr="00292532">
        <w:rPr>
          <w:rFonts w:asciiTheme="minorHAnsi" w:eastAsia="Calibri" w:hAnsiTheme="minorHAnsi" w:cs="Times New Roman"/>
          <w:lang w:val="pt-PT"/>
        </w:rPr>
        <w:t>inquietaç</w:t>
      </w:r>
      <w:r w:rsidR="00393C68" w:rsidRPr="00292532">
        <w:rPr>
          <w:rFonts w:asciiTheme="minorHAnsi" w:eastAsia="Calibri" w:hAnsiTheme="minorHAnsi" w:cs="Times New Roman"/>
          <w:lang w:val="pt-PT"/>
        </w:rPr>
        <w:t xml:space="preserve">ões, que igualmente permite a resolução de </w:t>
      </w:r>
      <w:r w:rsidR="009757BD" w:rsidRPr="00292532">
        <w:rPr>
          <w:rFonts w:asciiTheme="minorHAnsi" w:eastAsia="Calibri" w:hAnsiTheme="minorHAnsi" w:cs="Times New Roman"/>
          <w:lang w:val="pt-PT"/>
        </w:rPr>
        <w:t xml:space="preserve">qualquer litígio </w:t>
      </w:r>
      <w:r w:rsidR="00393C68" w:rsidRPr="00292532">
        <w:rPr>
          <w:rFonts w:asciiTheme="minorHAnsi" w:eastAsia="Calibri" w:hAnsiTheme="minorHAnsi" w:cs="Times New Roman"/>
          <w:lang w:val="pt-PT"/>
        </w:rPr>
        <w:t xml:space="preserve">resultante da implementação do </w:t>
      </w:r>
      <w:proofErr w:type="spellStart"/>
      <w:r w:rsidR="00393C68" w:rsidRPr="00292532">
        <w:rPr>
          <w:rFonts w:asciiTheme="minorHAnsi" w:eastAsia="Calibri" w:hAnsiTheme="minorHAnsi" w:cs="Times New Roman"/>
          <w:lang w:val="pt-PT"/>
        </w:rPr>
        <w:t>projecto</w:t>
      </w:r>
      <w:proofErr w:type="spellEnd"/>
      <w:r w:rsidR="009757BD" w:rsidRPr="00292532">
        <w:rPr>
          <w:rFonts w:asciiTheme="minorHAnsi" w:eastAsia="Calibri" w:hAnsiTheme="minorHAnsi" w:cs="Times New Roman"/>
          <w:lang w:val="pt-PT"/>
        </w:rPr>
        <w:t xml:space="preserve">, sem custos ou medo de represálias. </w:t>
      </w:r>
    </w:p>
    <w:p w14:paraId="26790886" w14:textId="598406F5" w:rsidR="009757BD" w:rsidRPr="00292532" w:rsidRDefault="009757BD" w:rsidP="00753DC0">
      <w:pPr>
        <w:spacing w:before="0"/>
        <w:rPr>
          <w:rFonts w:asciiTheme="minorHAnsi" w:eastAsia="Calibri" w:hAnsiTheme="minorHAnsi" w:cs="Times New Roman"/>
          <w:lang w:val="pt-PT"/>
        </w:rPr>
      </w:pPr>
      <w:r w:rsidRPr="00292532">
        <w:rPr>
          <w:rFonts w:asciiTheme="minorHAnsi" w:eastAsia="Calibri" w:hAnsiTheme="minorHAnsi" w:cs="Times New Roman"/>
          <w:lang w:val="pt-PT"/>
        </w:rPr>
        <w:t xml:space="preserve">Os intervenientes na implementação do PEPI, nomeadamente líderes comunitários, especialistas das salvaguardas ambiental e social das </w:t>
      </w:r>
      <w:r w:rsidR="00393C68" w:rsidRPr="00292532">
        <w:rPr>
          <w:rFonts w:asciiTheme="minorHAnsi" w:eastAsia="Calibri" w:hAnsiTheme="minorHAnsi" w:cs="Times New Roman"/>
          <w:lang w:val="pt-PT"/>
        </w:rPr>
        <w:t>Unidades Técnicas,</w:t>
      </w:r>
      <w:r w:rsidRPr="00292532">
        <w:rPr>
          <w:rFonts w:asciiTheme="minorHAnsi" w:eastAsia="Calibri" w:hAnsiTheme="minorHAnsi" w:cs="Times New Roman"/>
          <w:lang w:val="pt-PT"/>
        </w:rPr>
        <w:t xml:space="preserve"> especialistas das salvaguardas ambiental e social central da UIP e outros intervenientes que possam especificamente ser </w:t>
      </w:r>
      <w:r w:rsidR="00753DC0" w:rsidRPr="00292532">
        <w:rPr>
          <w:rFonts w:asciiTheme="minorHAnsi" w:eastAsia="Calibri" w:hAnsiTheme="minorHAnsi" w:cs="Times New Roman"/>
          <w:lang w:val="pt-PT"/>
        </w:rPr>
        <w:t xml:space="preserve">contratados/nomeados ou indigitados </w:t>
      </w:r>
      <w:r w:rsidRPr="00292532">
        <w:rPr>
          <w:rFonts w:asciiTheme="minorHAnsi" w:eastAsia="Calibri" w:hAnsiTheme="minorHAnsi" w:cs="Times New Roman"/>
          <w:lang w:val="pt-PT"/>
        </w:rPr>
        <w:t xml:space="preserve">ao nível da implementação dos subprojectos, desempenham um papel fundamental no envolvimento das </w:t>
      </w:r>
      <w:proofErr w:type="spellStart"/>
      <w:r w:rsidRPr="00292532">
        <w:rPr>
          <w:rFonts w:asciiTheme="minorHAnsi" w:eastAsia="Calibri" w:hAnsiTheme="minorHAnsi" w:cs="Times New Roman"/>
          <w:lang w:val="pt-PT"/>
        </w:rPr>
        <w:t>PIAs</w:t>
      </w:r>
      <w:proofErr w:type="spellEnd"/>
      <w:r w:rsidRPr="00292532">
        <w:rPr>
          <w:rFonts w:asciiTheme="minorHAnsi" w:eastAsia="Calibri" w:hAnsiTheme="minorHAnsi" w:cs="Times New Roman"/>
          <w:lang w:val="pt-PT"/>
        </w:rPr>
        <w:t xml:space="preserve"> e resolução de queixas e reclamações.</w:t>
      </w:r>
    </w:p>
    <w:p w14:paraId="62650F25" w14:textId="77777777" w:rsidR="00753DC0" w:rsidRPr="00292532" w:rsidRDefault="009757BD" w:rsidP="00753DC0">
      <w:pPr>
        <w:spacing w:before="0"/>
        <w:rPr>
          <w:rFonts w:asciiTheme="minorHAnsi" w:eastAsia="Calibri" w:hAnsiTheme="minorHAnsi" w:cs="Times New Roman"/>
          <w:lang w:val="pt-PT"/>
        </w:rPr>
      </w:pPr>
      <w:r w:rsidRPr="00292532">
        <w:rPr>
          <w:rFonts w:asciiTheme="minorHAnsi" w:eastAsia="Calibri" w:hAnsiTheme="minorHAnsi" w:cs="Times New Roman"/>
          <w:lang w:val="pt-PT"/>
        </w:rPr>
        <w:t xml:space="preserve">As principais </w:t>
      </w:r>
      <w:proofErr w:type="spellStart"/>
      <w:r w:rsidRPr="00292532">
        <w:rPr>
          <w:rFonts w:asciiTheme="minorHAnsi" w:eastAsia="Calibri" w:hAnsiTheme="minorHAnsi" w:cs="Times New Roman"/>
          <w:lang w:val="pt-PT"/>
        </w:rPr>
        <w:t>actividades</w:t>
      </w:r>
      <w:proofErr w:type="spellEnd"/>
      <w:r w:rsidRPr="00292532">
        <w:rPr>
          <w:rFonts w:asciiTheme="minorHAnsi" w:eastAsia="Calibri" w:hAnsiTheme="minorHAnsi" w:cs="Times New Roman"/>
          <w:lang w:val="pt-PT"/>
        </w:rPr>
        <w:t xml:space="preserve"> do</w:t>
      </w:r>
      <w:r w:rsidR="00753DC0" w:rsidRPr="00292532">
        <w:rPr>
          <w:rFonts w:asciiTheme="minorHAnsi" w:eastAsia="Calibri" w:hAnsiTheme="minorHAnsi" w:cs="Times New Roman"/>
          <w:lang w:val="pt-PT"/>
        </w:rPr>
        <w:t xml:space="preserve">s </w:t>
      </w:r>
      <w:r w:rsidRPr="00292532">
        <w:rPr>
          <w:rFonts w:asciiTheme="minorHAnsi" w:eastAsia="Calibri" w:hAnsiTheme="minorHAnsi" w:cs="Times New Roman"/>
          <w:lang w:val="pt-PT"/>
        </w:rPr>
        <w:t xml:space="preserve">intervenientes na gestão do </w:t>
      </w:r>
      <w:r w:rsidR="009C3E6E" w:rsidRPr="00292532">
        <w:rPr>
          <w:rFonts w:asciiTheme="minorHAnsi" w:eastAsia="Calibri" w:hAnsiTheme="minorHAnsi" w:cs="Times New Roman"/>
          <w:lang w:val="pt-PT"/>
        </w:rPr>
        <w:t>MQR</w:t>
      </w:r>
      <w:r w:rsidRPr="00292532">
        <w:rPr>
          <w:rFonts w:asciiTheme="minorHAnsi" w:eastAsia="Calibri" w:hAnsiTheme="minorHAnsi" w:cs="Times New Roman"/>
          <w:lang w:val="pt-PT"/>
        </w:rPr>
        <w:t xml:space="preserve"> </w:t>
      </w:r>
      <w:r w:rsidR="00753DC0" w:rsidRPr="00292532">
        <w:rPr>
          <w:rFonts w:asciiTheme="minorHAnsi" w:eastAsia="Calibri" w:hAnsiTheme="minorHAnsi" w:cs="Times New Roman"/>
          <w:lang w:val="pt-PT"/>
        </w:rPr>
        <w:t>são:</w:t>
      </w:r>
    </w:p>
    <w:p w14:paraId="20FAB0F2" w14:textId="417B2937" w:rsidR="00753DC0" w:rsidRPr="00292532" w:rsidRDefault="009757BD" w:rsidP="00AE14AE">
      <w:pPr>
        <w:pStyle w:val="ListParagraph"/>
        <w:numPr>
          <w:ilvl w:val="0"/>
          <w:numId w:val="117"/>
        </w:numPr>
        <w:spacing w:before="0"/>
        <w:rPr>
          <w:rFonts w:asciiTheme="minorHAnsi" w:eastAsia="Calibri" w:hAnsiTheme="minorHAnsi" w:cs="Times New Roman"/>
          <w:lang w:val="pt-PT"/>
        </w:rPr>
      </w:pPr>
      <w:r w:rsidRPr="00292532">
        <w:rPr>
          <w:rFonts w:asciiTheme="minorHAnsi" w:eastAsia="Calibri" w:hAnsiTheme="minorHAnsi" w:cs="Times New Roman"/>
          <w:lang w:val="pt-PT"/>
        </w:rPr>
        <w:t xml:space="preserve">deliberar sobre questões complexas e reclamações das partes interessadas que </w:t>
      </w:r>
      <w:r w:rsidR="00753DC0" w:rsidRPr="00292532">
        <w:rPr>
          <w:rFonts w:asciiTheme="minorHAnsi" w:eastAsia="Calibri" w:hAnsiTheme="minorHAnsi" w:cs="Times New Roman"/>
          <w:lang w:val="pt-PT"/>
        </w:rPr>
        <w:t>tenham sido a</w:t>
      </w:r>
      <w:r w:rsidRPr="00292532">
        <w:rPr>
          <w:rFonts w:asciiTheme="minorHAnsi" w:eastAsia="Calibri" w:hAnsiTheme="minorHAnsi" w:cs="Times New Roman"/>
          <w:lang w:val="pt-PT"/>
        </w:rPr>
        <w:t>presentadas</w:t>
      </w:r>
      <w:r w:rsidR="00753DC0" w:rsidRPr="00292532">
        <w:rPr>
          <w:rFonts w:asciiTheme="minorHAnsi" w:eastAsia="Calibri" w:hAnsiTheme="minorHAnsi" w:cs="Times New Roman"/>
          <w:lang w:val="pt-PT"/>
        </w:rPr>
        <w:t>; e</w:t>
      </w:r>
    </w:p>
    <w:p w14:paraId="7A629A16" w14:textId="77777777" w:rsidR="00753DC0" w:rsidRPr="00292532" w:rsidRDefault="009757BD" w:rsidP="00AE14AE">
      <w:pPr>
        <w:pStyle w:val="ListParagraph"/>
        <w:numPr>
          <w:ilvl w:val="0"/>
          <w:numId w:val="117"/>
        </w:numPr>
        <w:spacing w:before="0"/>
        <w:rPr>
          <w:rFonts w:asciiTheme="minorHAnsi" w:eastAsia="Calibri" w:hAnsiTheme="minorHAnsi" w:cs="Times New Roman"/>
          <w:lang w:val="pt-PT"/>
        </w:rPr>
      </w:pPr>
      <w:r w:rsidRPr="00292532">
        <w:rPr>
          <w:rFonts w:asciiTheme="minorHAnsi" w:eastAsia="Calibri" w:hAnsiTheme="minorHAnsi" w:cs="Times New Roman"/>
          <w:lang w:val="pt-PT"/>
        </w:rPr>
        <w:t xml:space="preserve">encontrar </w:t>
      </w:r>
      <w:r w:rsidR="00753DC0" w:rsidRPr="00292532">
        <w:rPr>
          <w:rFonts w:asciiTheme="minorHAnsi" w:eastAsia="Calibri" w:hAnsiTheme="minorHAnsi" w:cs="Times New Roman"/>
          <w:lang w:val="pt-PT"/>
        </w:rPr>
        <w:t xml:space="preserve">consensualmente </w:t>
      </w:r>
      <w:r w:rsidRPr="00292532">
        <w:rPr>
          <w:rFonts w:asciiTheme="minorHAnsi" w:eastAsia="Calibri" w:hAnsiTheme="minorHAnsi" w:cs="Times New Roman"/>
          <w:lang w:val="pt-PT"/>
        </w:rPr>
        <w:t>soluções adequadas, construtiv</w:t>
      </w:r>
      <w:r w:rsidR="00753DC0" w:rsidRPr="00292532">
        <w:rPr>
          <w:rFonts w:asciiTheme="minorHAnsi" w:eastAsia="Calibri" w:hAnsiTheme="minorHAnsi" w:cs="Times New Roman"/>
          <w:lang w:val="pt-PT"/>
        </w:rPr>
        <w:t>a</w:t>
      </w:r>
      <w:r w:rsidRPr="00292532">
        <w:rPr>
          <w:rFonts w:asciiTheme="minorHAnsi" w:eastAsia="Calibri" w:hAnsiTheme="minorHAnsi" w:cs="Times New Roman"/>
          <w:lang w:val="pt-PT"/>
        </w:rPr>
        <w:t>s</w:t>
      </w:r>
      <w:r w:rsidR="00753DC0" w:rsidRPr="00292532">
        <w:rPr>
          <w:rFonts w:asciiTheme="minorHAnsi" w:eastAsia="Calibri" w:hAnsiTheme="minorHAnsi" w:cs="Times New Roman"/>
          <w:lang w:val="pt-PT"/>
        </w:rPr>
        <w:t>;</w:t>
      </w:r>
    </w:p>
    <w:p w14:paraId="37C17786" w14:textId="77777777" w:rsidR="00753DC0" w:rsidRPr="00292532" w:rsidRDefault="00753DC0" w:rsidP="00AE14AE">
      <w:pPr>
        <w:pStyle w:val="ListParagraph"/>
        <w:numPr>
          <w:ilvl w:val="0"/>
          <w:numId w:val="117"/>
        </w:numPr>
        <w:spacing w:before="0"/>
        <w:rPr>
          <w:rFonts w:asciiTheme="minorHAnsi" w:eastAsia="Calibri" w:hAnsiTheme="minorHAnsi" w:cs="Times New Roman"/>
          <w:lang w:val="pt-PT"/>
        </w:rPr>
      </w:pPr>
      <w:r w:rsidRPr="00292532">
        <w:rPr>
          <w:rFonts w:asciiTheme="minorHAnsi" w:eastAsia="Calibri" w:hAnsiTheme="minorHAnsi" w:cs="Times New Roman"/>
          <w:lang w:val="pt-PT"/>
        </w:rPr>
        <w:lastRenderedPageBreak/>
        <w:t xml:space="preserve">Preparar e fazer chegar a parte queixosa, em nome do </w:t>
      </w:r>
      <w:proofErr w:type="spellStart"/>
      <w:r w:rsidRPr="00292532">
        <w:rPr>
          <w:rFonts w:asciiTheme="minorHAnsi" w:eastAsia="Calibri" w:hAnsiTheme="minorHAnsi" w:cs="Times New Roman"/>
          <w:lang w:val="pt-PT"/>
        </w:rPr>
        <w:t>projecto</w:t>
      </w:r>
      <w:proofErr w:type="spellEnd"/>
      <w:r w:rsidRPr="00292532">
        <w:rPr>
          <w:rFonts w:asciiTheme="minorHAnsi" w:eastAsia="Calibri" w:hAnsiTheme="minorHAnsi" w:cs="Times New Roman"/>
          <w:lang w:val="pt-PT"/>
        </w:rPr>
        <w:t xml:space="preserve">, as </w:t>
      </w:r>
      <w:r w:rsidR="009757BD" w:rsidRPr="00292532">
        <w:rPr>
          <w:rFonts w:asciiTheme="minorHAnsi" w:eastAsia="Calibri" w:hAnsiTheme="minorHAnsi" w:cs="Times New Roman"/>
          <w:lang w:val="pt-PT"/>
        </w:rPr>
        <w:t>respostas</w:t>
      </w:r>
      <w:r w:rsidRPr="00292532">
        <w:rPr>
          <w:rFonts w:asciiTheme="minorHAnsi" w:eastAsia="Calibri" w:hAnsiTheme="minorHAnsi" w:cs="Times New Roman"/>
          <w:lang w:val="pt-PT"/>
        </w:rPr>
        <w:t xml:space="preserve"> as reclamações apresentadas.</w:t>
      </w:r>
    </w:p>
    <w:p w14:paraId="5FE1EEEE" w14:textId="77777777" w:rsidR="009757BD" w:rsidRPr="00292532" w:rsidRDefault="009757BD" w:rsidP="00753DC0">
      <w:pPr>
        <w:pStyle w:val="Heading2"/>
        <w:spacing w:line="240" w:lineRule="auto"/>
      </w:pPr>
      <w:bookmarkStart w:id="455" w:name="_Toc482789067"/>
      <w:bookmarkStart w:id="456" w:name="_Toc80380070"/>
      <w:r w:rsidRPr="00292532">
        <w:t>Processo de Queixas e Reclamações</w:t>
      </w:r>
      <w:bookmarkEnd w:id="455"/>
      <w:bookmarkEnd w:id="456"/>
      <w:r w:rsidRPr="00292532">
        <w:t xml:space="preserve">  </w:t>
      </w:r>
    </w:p>
    <w:p w14:paraId="7997FC9F" w14:textId="102D32CE" w:rsidR="009757BD" w:rsidRPr="00292532" w:rsidRDefault="009757BD" w:rsidP="00753DC0">
      <w:pPr>
        <w:spacing w:before="0"/>
        <w:rPr>
          <w:rFonts w:asciiTheme="minorHAnsi" w:eastAsia="Calibri" w:hAnsiTheme="minorHAnsi" w:cs="Times New Roman"/>
          <w:lang w:val="pt-PT"/>
        </w:rPr>
      </w:pPr>
      <w:r w:rsidRPr="00292532">
        <w:rPr>
          <w:rFonts w:asciiTheme="minorHAnsi" w:eastAsia="Calibri" w:hAnsiTheme="minorHAnsi" w:cs="Times New Roman"/>
          <w:lang w:val="pt-PT"/>
        </w:rPr>
        <w:t xml:space="preserve">O </w:t>
      </w:r>
      <w:r w:rsidR="009C3E6E" w:rsidRPr="00292532">
        <w:rPr>
          <w:rFonts w:asciiTheme="minorHAnsi" w:eastAsia="Calibri" w:hAnsiTheme="minorHAnsi" w:cs="Times New Roman"/>
          <w:lang w:val="pt-PT"/>
        </w:rPr>
        <w:t>MQR</w:t>
      </w:r>
      <w:r w:rsidRPr="00292532">
        <w:rPr>
          <w:rFonts w:asciiTheme="minorHAnsi" w:eastAsia="Calibri" w:hAnsiTheme="minorHAnsi" w:cs="Times New Roman"/>
          <w:lang w:val="pt-PT"/>
        </w:rPr>
        <w:t xml:space="preserve"> foi preparado para funcionar de</w:t>
      </w:r>
      <w:r w:rsidR="00B97555" w:rsidRPr="00292532">
        <w:rPr>
          <w:rFonts w:asciiTheme="minorHAnsi" w:eastAsia="Calibri" w:hAnsiTheme="minorHAnsi" w:cs="Times New Roman"/>
          <w:lang w:val="pt-PT"/>
        </w:rPr>
        <w:t xml:space="preserve"> acordo com os requisitos legais </w:t>
      </w:r>
      <w:r w:rsidRPr="00292532">
        <w:rPr>
          <w:rFonts w:asciiTheme="minorHAnsi" w:eastAsia="Calibri" w:hAnsiTheme="minorHAnsi" w:cs="Times New Roman"/>
          <w:lang w:val="pt-PT"/>
        </w:rPr>
        <w:t xml:space="preserve">e culturais existentes, proporcionando uma oportunidade </w:t>
      </w:r>
      <w:r w:rsidR="00B97555" w:rsidRPr="00292532">
        <w:rPr>
          <w:rFonts w:asciiTheme="minorHAnsi" w:eastAsia="Calibri" w:hAnsiTheme="minorHAnsi" w:cs="Times New Roman"/>
          <w:lang w:val="pt-PT"/>
        </w:rPr>
        <w:t xml:space="preserve">complementar </w:t>
      </w:r>
      <w:r w:rsidRPr="00292532">
        <w:rPr>
          <w:rFonts w:asciiTheme="minorHAnsi" w:eastAsia="Calibri" w:hAnsiTheme="minorHAnsi" w:cs="Times New Roman"/>
          <w:lang w:val="pt-PT"/>
        </w:rPr>
        <w:t xml:space="preserve">para resolver queixas no nível local do </w:t>
      </w:r>
      <w:proofErr w:type="spellStart"/>
      <w:r w:rsidRPr="00292532">
        <w:rPr>
          <w:rFonts w:asciiTheme="minorHAnsi" w:eastAsia="Calibri" w:hAnsiTheme="minorHAnsi" w:cs="Times New Roman"/>
          <w:lang w:val="pt-PT"/>
        </w:rPr>
        <w:t>projecto</w:t>
      </w:r>
      <w:proofErr w:type="spellEnd"/>
      <w:r w:rsidRPr="00292532">
        <w:rPr>
          <w:rFonts w:asciiTheme="minorHAnsi" w:eastAsia="Calibri" w:hAnsiTheme="minorHAnsi" w:cs="Times New Roman"/>
          <w:lang w:val="pt-PT"/>
        </w:rPr>
        <w:t xml:space="preserve">. Os principais </w:t>
      </w:r>
      <w:proofErr w:type="spellStart"/>
      <w:r w:rsidRPr="00292532">
        <w:rPr>
          <w:rFonts w:asciiTheme="minorHAnsi" w:eastAsia="Calibri" w:hAnsiTheme="minorHAnsi" w:cs="Times New Roman"/>
          <w:lang w:val="pt-PT"/>
        </w:rPr>
        <w:t>obje</w:t>
      </w:r>
      <w:r w:rsidR="00B97555" w:rsidRPr="00292532">
        <w:rPr>
          <w:rFonts w:asciiTheme="minorHAnsi" w:eastAsia="Calibri" w:hAnsiTheme="minorHAnsi" w:cs="Times New Roman"/>
          <w:lang w:val="pt-PT"/>
        </w:rPr>
        <w:t>c</w:t>
      </w:r>
      <w:r w:rsidRPr="00292532">
        <w:rPr>
          <w:rFonts w:asciiTheme="minorHAnsi" w:eastAsia="Calibri" w:hAnsiTheme="minorHAnsi" w:cs="Times New Roman"/>
          <w:lang w:val="pt-PT"/>
        </w:rPr>
        <w:t>tivos</w:t>
      </w:r>
      <w:proofErr w:type="spellEnd"/>
      <w:r w:rsidRPr="00292532">
        <w:rPr>
          <w:rFonts w:asciiTheme="minorHAnsi" w:eastAsia="Calibri" w:hAnsiTheme="minorHAnsi" w:cs="Times New Roman"/>
          <w:lang w:val="pt-PT"/>
        </w:rPr>
        <w:t xml:space="preserve"> do </w:t>
      </w:r>
      <w:r w:rsidR="009C3E6E" w:rsidRPr="00292532">
        <w:rPr>
          <w:rFonts w:asciiTheme="minorHAnsi" w:eastAsia="Calibri" w:hAnsiTheme="minorHAnsi" w:cs="Times New Roman"/>
          <w:lang w:val="pt-PT"/>
        </w:rPr>
        <w:t>MQR</w:t>
      </w:r>
      <w:r w:rsidRPr="00292532">
        <w:rPr>
          <w:rFonts w:asciiTheme="minorHAnsi" w:eastAsia="Calibri" w:hAnsiTheme="minorHAnsi" w:cs="Times New Roman"/>
          <w:lang w:val="pt-PT"/>
        </w:rPr>
        <w:t xml:space="preserve"> são: </w:t>
      </w:r>
    </w:p>
    <w:p w14:paraId="56C349A2" w14:textId="77777777" w:rsidR="009757BD" w:rsidRPr="00292532" w:rsidRDefault="009757BD" w:rsidP="00AE14AE">
      <w:pPr>
        <w:numPr>
          <w:ilvl w:val="0"/>
          <w:numId w:val="109"/>
        </w:numPr>
        <w:spacing w:before="0"/>
        <w:contextualSpacing/>
        <w:jc w:val="left"/>
        <w:rPr>
          <w:rFonts w:asciiTheme="minorHAnsi" w:eastAsia="Calibri" w:hAnsiTheme="minorHAnsi" w:cs="Times New Roman"/>
          <w:lang w:val="pt-PT"/>
        </w:rPr>
      </w:pPr>
      <w:r w:rsidRPr="00292532">
        <w:rPr>
          <w:rFonts w:asciiTheme="minorHAnsi" w:eastAsia="Calibri" w:hAnsiTheme="minorHAnsi" w:cs="Times New Roman"/>
          <w:lang w:val="pt-PT"/>
        </w:rPr>
        <w:t>Registar, categorizar e priorizar o tratamento das queixas;</w:t>
      </w:r>
    </w:p>
    <w:p w14:paraId="1CECBF05" w14:textId="2A523D8A" w:rsidR="009757BD" w:rsidRPr="00292532" w:rsidRDefault="009757BD" w:rsidP="00AE14AE">
      <w:pPr>
        <w:numPr>
          <w:ilvl w:val="0"/>
          <w:numId w:val="109"/>
        </w:numPr>
        <w:spacing w:before="0"/>
        <w:contextualSpacing/>
        <w:jc w:val="left"/>
        <w:rPr>
          <w:rFonts w:asciiTheme="minorHAnsi" w:eastAsia="Calibri" w:hAnsiTheme="minorHAnsi" w:cs="Times New Roman"/>
          <w:lang w:val="pt-PT"/>
        </w:rPr>
      </w:pPr>
      <w:r w:rsidRPr="00292532">
        <w:rPr>
          <w:rFonts w:asciiTheme="minorHAnsi" w:eastAsia="Calibri" w:hAnsiTheme="minorHAnsi" w:cs="Times New Roman"/>
          <w:lang w:val="pt-PT"/>
        </w:rPr>
        <w:t xml:space="preserve">Resolver as queixas e reclamações por meio de consulta a todas as partes interessadas e envolvidas e </w:t>
      </w:r>
      <w:r w:rsidR="00B97555" w:rsidRPr="00292532">
        <w:rPr>
          <w:rFonts w:asciiTheme="minorHAnsi" w:eastAsia="Calibri" w:hAnsiTheme="minorHAnsi" w:cs="Times New Roman"/>
          <w:lang w:val="pt-PT"/>
        </w:rPr>
        <w:t xml:space="preserve">notificar das decisões tomadas e dos consensos </w:t>
      </w:r>
      <w:r w:rsidRPr="00292532">
        <w:rPr>
          <w:rFonts w:asciiTheme="minorHAnsi" w:eastAsia="Calibri" w:hAnsiTheme="minorHAnsi" w:cs="Times New Roman"/>
          <w:lang w:val="pt-PT"/>
        </w:rPr>
        <w:t xml:space="preserve">e soluções alcançadas e, </w:t>
      </w:r>
    </w:p>
    <w:p w14:paraId="4168DD43" w14:textId="20398223" w:rsidR="009757BD" w:rsidRPr="00292532" w:rsidRDefault="00B97555" w:rsidP="00AE14AE">
      <w:pPr>
        <w:numPr>
          <w:ilvl w:val="0"/>
          <w:numId w:val="109"/>
        </w:numPr>
        <w:spacing w:before="0"/>
        <w:contextualSpacing/>
        <w:jc w:val="left"/>
        <w:rPr>
          <w:rFonts w:asciiTheme="minorHAnsi" w:eastAsia="Calibri" w:hAnsiTheme="minorHAnsi" w:cs="Times New Roman"/>
          <w:lang w:val="pt-PT"/>
        </w:rPr>
      </w:pPr>
      <w:r w:rsidRPr="00292532">
        <w:rPr>
          <w:rFonts w:asciiTheme="minorHAnsi" w:eastAsia="Calibri" w:hAnsiTheme="minorHAnsi" w:cs="Times New Roman"/>
          <w:lang w:val="pt-PT"/>
        </w:rPr>
        <w:t xml:space="preserve">Em caso de discordância, a </w:t>
      </w:r>
      <w:r w:rsidR="009757BD" w:rsidRPr="00292532">
        <w:rPr>
          <w:rFonts w:asciiTheme="minorHAnsi" w:eastAsia="Calibri" w:hAnsiTheme="minorHAnsi" w:cs="Times New Roman"/>
          <w:lang w:val="pt-PT"/>
        </w:rPr>
        <w:t>determinado nível, encaminhar à autoridade competente no nível a seguir.</w:t>
      </w:r>
    </w:p>
    <w:p w14:paraId="594236C1" w14:textId="77777777" w:rsidR="00B97555" w:rsidRPr="00292532" w:rsidRDefault="00B97555" w:rsidP="00B97555">
      <w:pPr>
        <w:spacing w:before="0"/>
        <w:contextualSpacing/>
        <w:jc w:val="left"/>
        <w:rPr>
          <w:rFonts w:asciiTheme="minorHAnsi" w:eastAsia="Calibri" w:hAnsiTheme="minorHAnsi" w:cs="Times New Roman"/>
          <w:lang w:val="pt-PT"/>
        </w:rPr>
      </w:pPr>
    </w:p>
    <w:p w14:paraId="6EFD20E3" w14:textId="7A221AD4" w:rsidR="009757BD" w:rsidRPr="00292532" w:rsidRDefault="009757BD" w:rsidP="00753DC0">
      <w:pPr>
        <w:spacing w:before="0"/>
        <w:rPr>
          <w:rFonts w:asciiTheme="minorHAnsi" w:eastAsia="Calibri" w:hAnsiTheme="minorHAnsi" w:cs="Times New Roman"/>
          <w:lang w:val="pt-PT"/>
        </w:rPr>
      </w:pPr>
      <w:r w:rsidRPr="00292532">
        <w:rPr>
          <w:rFonts w:asciiTheme="minorHAnsi" w:eastAsia="Calibri" w:hAnsiTheme="minorHAnsi" w:cs="Times New Roman"/>
          <w:lang w:val="pt-PT"/>
        </w:rPr>
        <w:t xml:space="preserve">O </w:t>
      </w:r>
      <w:r w:rsidR="009C3E6E" w:rsidRPr="00292532">
        <w:rPr>
          <w:rFonts w:asciiTheme="minorHAnsi" w:eastAsia="Calibri" w:hAnsiTheme="minorHAnsi" w:cs="Times New Roman"/>
          <w:lang w:val="pt-PT"/>
        </w:rPr>
        <w:t>MQR</w:t>
      </w:r>
      <w:r w:rsidRPr="00292532">
        <w:rPr>
          <w:rFonts w:asciiTheme="minorHAnsi" w:eastAsia="Calibri" w:hAnsiTheme="minorHAnsi" w:cs="Times New Roman"/>
          <w:lang w:val="pt-PT"/>
        </w:rPr>
        <w:t xml:space="preserve">, </w:t>
      </w:r>
      <w:r w:rsidR="00B97555" w:rsidRPr="00292532">
        <w:rPr>
          <w:rFonts w:asciiTheme="minorHAnsi" w:eastAsia="Calibri" w:hAnsiTheme="minorHAnsi" w:cs="Times New Roman"/>
          <w:lang w:val="pt-PT"/>
        </w:rPr>
        <w:t xml:space="preserve">no âmbito </w:t>
      </w:r>
      <w:r w:rsidRPr="00292532">
        <w:rPr>
          <w:rFonts w:asciiTheme="minorHAnsi" w:eastAsia="Calibri" w:hAnsiTheme="minorHAnsi" w:cs="Times New Roman"/>
          <w:lang w:val="pt-PT"/>
        </w:rPr>
        <w:t>do quadro</w:t>
      </w:r>
      <w:r w:rsidR="00B97555" w:rsidRPr="00292532">
        <w:rPr>
          <w:rFonts w:asciiTheme="minorHAnsi" w:eastAsia="Calibri" w:hAnsiTheme="minorHAnsi" w:cs="Times New Roman"/>
          <w:lang w:val="pt-PT"/>
        </w:rPr>
        <w:t xml:space="preserve"> </w:t>
      </w:r>
      <w:r w:rsidRPr="00292532">
        <w:rPr>
          <w:rFonts w:asciiTheme="minorHAnsi" w:eastAsia="Calibri" w:hAnsiTheme="minorHAnsi" w:cs="Times New Roman"/>
          <w:lang w:val="pt-PT"/>
        </w:rPr>
        <w:t>lega</w:t>
      </w:r>
      <w:r w:rsidR="00B97555" w:rsidRPr="00292532">
        <w:rPr>
          <w:rFonts w:asciiTheme="minorHAnsi" w:eastAsia="Calibri" w:hAnsiTheme="minorHAnsi" w:cs="Times New Roman"/>
          <w:lang w:val="pt-PT"/>
        </w:rPr>
        <w:t xml:space="preserve">l </w:t>
      </w:r>
      <w:r w:rsidRPr="00292532">
        <w:rPr>
          <w:rFonts w:asciiTheme="minorHAnsi" w:eastAsia="Calibri" w:hAnsiTheme="minorHAnsi" w:cs="Times New Roman"/>
          <w:lang w:val="pt-PT"/>
        </w:rPr>
        <w:t xml:space="preserve">e culturais existentes, irá </w:t>
      </w:r>
      <w:r w:rsidR="00B97555" w:rsidRPr="00292532">
        <w:rPr>
          <w:rFonts w:asciiTheme="minorHAnsi" w:eastAsia="Calibri" w:hAnsiTheme="minorHAnsi" w:cs="Times New Roman"/>
          <w:lang w:val="pt-PT"/>
        </w:rPr>
        <w:t xml:space="preserve">envolver </w:t>
      </w:r>
      <w:r w:rsidRPr="00292532">
        <w:rPr>
          <w:rFonts w:asciiTheme="minorHAnsi" w:eastAsia="Calibri" w:hAnsiTheme="minorHAnsi" w:cs="Times New Roman"/>
          <w:lang w:val="pt-PT"/>
        </w:rPr>
        <w:t xml:space="preserve">três níveis de resolução de queixas e reclamações, nomeadamente nível da comunidade, ao nível do </w:t>
      </w:r>
      <w:proofErr w:type="spellStart"/>
      <w:r w:rsidRPr="00292532">
        <w:rPr>
          <w:rFonts w:asciiTheme="minorHAnsi" w:eastAsia="Calibri" w:hAnsiTheme="minorHAnsi" w:cs="Times New Roman"/>
          <w:lang w:val="pt-PT"/>
        </w:rPr>
        <w:t>projecto</w:t>
      </w:r>
      <w:proofErr w:type="spellEnd"/>
      <w:r w:rsidRPr="00292532">
        <w:rPr>
          <w:rFonts w:asciiTheme="minorHAnsi" w:eastAsia="Calibri" w:hAnsiTheme="minorHAnsi" w:cs="Times New Roman"/>
          <w:lang w:val="pt-PT"/>
        </w:rPr>
        <w:t xml:space="preserve"> e ao nível do sistema judiciário moçambicano. Os detalhes de cada um desses componentes são descritos a seguir.</w:t>
      </w:r>
    </w:p>
    <w:p w14:paraId="7FE3A497" w14:textId="4E3A2990" w:rsidR="009757BD" w:rsidRPr="00292532" w:rsidRDefault="009757BD">
      <w:pPr>
        <w:pStyle w:val="Heading3"/>
      </w:pPr>
      <w:bookmarkStart w:id="457" w:name="_Toc482789068"/>
      <w:bookmarkStart w:id="458" w:name="_Toc80380071"/>
      <w:r w:rsidRPr="00292532">
        <w:t>Gestão de queixas e reclamações a nível comunitário</w:t>
      </w:r>
      <w:bookmarkEnd w:id="457"/>
      <w:bookmarkEnd w:id="458"/>
      <w:r w:rsidRPr="00292532">
        <w:t xml:space="preserve"> </w:t>
      </w:r>
    </w:p>
    <w:p w14:paraId="7F8590C7" w14:textId="63D4F54C" w:rsidR="008B7412" w:rsidRPr="00292532" w:rsidRDefault="009757BD" w:rsidP="008B7412">
      <w:pPr>
        <w:spacing w:before="120"/>
        <w:rPr>
          <w:rFonts w:asciiTheme="minorHAnsi" w:eastAsia="Calibri" w:hAnsiTheme="minorHAnsi" w:cs="Times New Roman"/>
          <w:lang w:val="pt-PT"/>
        </w:rPr>
      </w:pPr>
      <w:r w:rsidRPr="00292532">
        <w:rPr>
          <w:rFonts w:asciiTheme="minorHAnsi" w:eastAsia="Calibri" w:hAnsiTheme="minorHAnsi" w:cs="Times New Roman"/>
          <w:lang w:val="pt-PT"/>
        </w:rPr>
        <w:t xml:space="preserve">Ao nível </w:t>
      </w:r>
      <w:r w:rsidR="007818D1" w:rsidRPr="00292532">
        <w:rPr>
          <w:rFonts w:asciiTheme="minorHAnsi" w:eastAsia="Calibri" w:hAnsiTheme="minorHAnsi" w:cs="Times New Roman"/>
          <w:lang w:val="pt-PT"/>
        </w:rPr>
        <w:t xml:space="preserve">local, </w:t>
      </w:r>
      <w:r w:rsidRPr="00292532">
        <w:rPr>
          <w:rFonts w:asciiTheme="minorHAnsi" w:eastAsia="Calibri" w:hAnsiTheme="minorHAnsi" w:cs="Times New Roman"/>
          <w:lang w:val="pt-PT"/>
        </w:rPr>
        <w:t>existem mecanismos tradicionais e culturais de resolução de problemas e queixas através das estruturas familiares e lideranças comunitárias e/ou tradicionais</w:t>
      </w:r>
      <w:r w:rsidRPr="00292532">
        <w:rPr>
          <w:rFonts w:asciiTheme="minorHAnsi" w:eastAsia="Calibri" w:hAnsiTheme="minorHAnsi" w:cs="Times New Roman"/>
          <w:vertAlign w:val="superscript"/>
          <w:lang w:val="pt-PT"/>
        </w:rPr>
        <w:footnoteReference w:id="8"/>
      </w:r>
      <w:r w:rsidRPr="00292532">
        <w:rPr>
          <w:rFonts w:asciiTheme="minorHAnsi" w:eastAsia="Calibri" w:hAnsiTheme="minorHAnsi" w:cs="Times New Roman"/>
          <w:lang w:val="pt-PT"/>
        </w:rPr>
        <w:t>. Espera-se que algumas das disputas que sur</w:t>
      </w:r>
      <w:r w:rsidR="007818D1" w:rsidRPr="00292532">
        <w:rPr>
          <w:rFonts w:asciiTheme="minorHAnsi" w:eastAsia="Calibri" w:hAnsiTheme="minorHAnsi" w:cs="Times New Roman"/>
          <w:lang w:val="pt-PT"/>
        </w:rPr>
        <w:t xml:space="preserve">jam </w:t>
      </w:r>
      <w:r w:rsidRPr="00292532">
        <w:rPr>
          <w:rFonts w:asciiTheme="minorHAnsi" w:eastAsia="Calibri" w:hAnsiTheme="minorHAnsi" w:cs="Times New Roman"/>
          <w:lang w:val="pt-PT"/>
        </w:rPr>
        <w:t xml:space="preserve">possam ser resolvidas </w:t>
      </w:r>
      <w:r w:rsidR="007818D1" w:rsidRPr="00292532">
        <w:rPr>
          <w:rFonts w:asciiTheme="minorHAnsi" w:eastAsia="Calibri" w:hAnsiTheme="minorHAnsi" w:cs="Times New Roman"/>
          <w:lang w:val="pt-PT"/>
        </w:rPr>
        <w:t xml:space="preserve">através destes </w:t>
      </w:r>
      <w:r w:rsidRPr="00292532">
        <w:rPr>
          <w:rFonts w:asciiTheme="minorHAnsi" w:eastAsia="Calibri" w:hAnsiTheme="minorHAnsi" w:cs="Times New Roman"/>
          <w:lang w:val="pt-PT"/>
        </w:rPr>
        <w:t>mecanismos, sem o envolvimento do proponente, contratante/empreiteiro ou representantes do Governo a nível local</w:t>
      </w:r>
      <w:r w:rsidR="007818D1" w:rsidRPr="00292532">
        <w:rPr>
          <w:rFonts w:asciiTheme="minorHAnsi" w:eastAsia="Calibri" w:hAnsiTheme="minorHAnsi" w:cs="Times New Roman"/>
          <w:lang w:val="pt-PT"/>
        </w:rPr>
        <w:t>.</w:t>
      </w:r>
      <w:r w:rsidRPr="00292532">
        <w:rPr>
          <w:rFonts w:asciiTheme="minorHAnsi" w:eastAsia="Calibri" w:hAnsiTheme="minorHAnsi" w:cs="Times New Roman"/>
          <w:lang w:val="pt-PT"/>
        </w:rPr>
        <w:t xml:space="preserve"> Contudo, questões desencadeadas indiretamente pelo </w:t>
      </w:r>
      <w:proofErr w:type="spellStart"/>
      <w:r w:rsidRPr="00292532">
        <w:rPr>
          <w:rFonts w:asciiTheme="minorHAnsi" w:eastAsia="Calibri" w:hAnsiTheme="minorHAnsi" w:cs="Times New Roman"/>
          <w:lang w:val="pt-PT"/>
        </w:rPr>
        <w:t>Projecto</w:t>
      </w:r>
      <w:proofErr w:type="spellEnd"/>
      <w:r w:rsidR="008B7412" w:rsidRPr="00292532">
        <w:rPr>
          <w:rFonts w:asciiTheme="minorHAnsi" w:eastAsia="Calibri" w:hAnsiTheme="minorHAnsi" w:cs="Times New Roman"/>
          <w:lang w:val="pt-PT"/>
        </w:rPr>
        <w:t xml:space="preserve">, </w:t>
      </w:r>
      <w:r w:rsidRPr="00292532">
        <w:rPr>
          <w:rFonts w:asciiTheme="minorHAnsi" w:eastAsia="Calibri" w:hAnsiTheme="minorHAnsi" w:cs="Times New Roman"/>
          <w:lang w:val="pt-PT"/>
        </w:rPr>
        <w:t xml:space="preserve">deverão ter o envolvimento </w:t>
      </w:r>
      <w:r w:rsidR="008B7412" w:rsidRPr="00292532">
        <w:rPr>
          <w:rFonts w:asciiTheme="minorHAnsi" w:eastAsia="Calibri" w:hAnsiTheme="minorHAnsi" w:cs="Times New Roman"/>
          <w:lang w:val="pt-PT"/>
        </w:rPr>
        <w:t xml:space="preserve">dos oficias do </w:t>
      </w:r>
      <w:proofErr w:type="spellStart"/>
      <w:r w:rsidR="008B7412" w:rsidRPr="00292532">
        <w:rPr>
          <w:rFonts w:asciiTheme="minorHAnsi" w:eastAsia="Calibri" w:hAnsiTheme="minorHAnsi" w:cs="Times New Roman"/>
          <w:lang w:val="pt-PT"/>
        </w:rPr>
        <w:t>projecto</w:t>
      </w:r>
      <w:proofErr w:type="spellEnd"/>
      <w:r w:rsidR="008B7412" w:rsidRPr="00292532">
        <w:rPr>
          <w:rFonts w:asciiTheme="minorHAnsi" w:eastAsia="Calibri" w:hAnsiTheme="minorHAnsi" w:cs="Times New Roman"/>
          <w:lang w:val="pt-PT"/>
        </w:rPr>
        <w:t xml:space="preserve"> e as entidades </w:t>
      </w:r>
      <w:r w:rsidRPr="00292532">
        <w:rPr>
          <w:rFonts w:asciiTheme="minorHAnsi" w:eastAsia="Calibri" w:hAnsiTheme="minorHAnsi" w:cs="Times New Roman"/>
          <w:lang w:val="pt-PT"/>
        </w:rPr>
        <w:t>oficia</w:t>
      </w:r>
      <w:r w:rsidR="008B7412" w:rsidRPr="00292532">
        <w:rPr>
          <w:rFonts w:asciiTheme="minorHAnsi" w:eastAsia="Calibri" w:hAnsiTheme="minorHAnsi" w:cs="Times New Roman"/>
          <w:lang w:val="pt-PT"/>
        </w:rPr>
        <w:t>is deverão ser notificadas, isto é, qualquer que seja a queixa ou reclamação apresentado e a sua solução, o mesmo deve impreterivelmente ficar formalmente registado, com todos os detalhes necessários, incluído tipo de queixa, partes envolvidas e os respetivos contactos e finalmente a solução encontrada.</w:t>
      </w:r>
    </w:p>
    <w:p w14:paraId="1A81EFA1" w14:textId="70AB85E9" w:rsidR="008B7412" w:rsidRPr="00292532" w:rsidRDefault="008B7412" w:rsidP="00753DC0">
      <w:pPr>
        <w:spacing w:before="0"/>
        <w:rPr>
          <w:rFonts w:asciiTheme="minorHAnsi" w:eastAsia="Calibri" w:hAnsiTheme="minorHAnsi" w:cs="Times New Roman"/>
          <w:lang w:val="pt-PT"/>
        </w:rPr>
      </w:pPr>
      <w:r w:rsidRPr="00292532">
        <w:rPr>
          <w:rFonts w:asciiTheme="minorHAnsi" w:eastAsia="Calibri" w:hAnsiTheme="minorHAnsi" w:cs="Times New Roman"/>
          <w:lang w:val="pt-PT"/>
        </w:rPr>
        <w:t>Caso exista uma queixa ou reclamação não resolvida ao nível comunitário o mesmo será elevado ao nível seguinte, isto é</w:t>
      </w:r>
      <w:r w:rsidR="006422FC" w:rsidRPr="00292532">
        <w:rPr>
          <w:rFonts w:asciiTheme="minorHAnsi" w:eastAsia="Calibri" w:hAnsiTheme="minorHAnsi" w:cs="Times New Roman"/>
          <w:lang w:val="pt-PT"/>
        </w:rPr>
        <w:t>,</w:t>
      </w:r>
      <w:r w:rsidRPr="00292532">
        <w:rPr>
          <w:rFonts w:asciiTheme="minorHAnsi" w:eastAsia="Calibri" w:hAnsiTheme="minorHAnsi" w:cs="Times New Roman"/>
          <w:lang w:val="pt-PT"/>
        </w:rPr>
        <w:t xml:space="preserve"> do </w:t>
      </w:r>
      <w:proofErr w:type="spellStart"/>
      <w:r w:rsidRPr="00292532">
        <w:rPr>
          <w:rFonts w:asciiTheme="minorHAnsi" w:eastAsia="Calibri" w:hAnsiTheme="minorHAnsi" w:cs="Times New Roman"/>
          <w:lang w:val="pt-PT"/>
        </w:rPr>
        <w:t>projecto</w:t>
      </w:r>
      <w:proofErr w:type="spellEnd"/>
      <w:r w:rsidRPr="00292532">
        <w:rPr>
          <w:rFonts w:asciiTheme="minorHAnsi" w:eastAsia="Calibri" w:hAnsiTheme="minorHAnsi" w:cs="Times New Roman"/>
          <w:lang w:val="pt-PT"/>
        </w:rPr>
        <w:t>.</w:t>
      </w:r>
    </w:p>
    <w:p w14:paraId="018CBE3C" w14:textId="2CB0B305" w:rsidR="009757BD" w:rsidRPr="00292532" w:rsidRDefault="009757BD">
      <w:pPr>
        <w:pStyle w:val="Heading3"/>
      </w:pPr>
      <w:bookmarkStart w:id="459" w:name="_Toc482789069"/>
      <w:bookmarkStart w:id="460" w:name="_Toc80380072"/>
      <w:r w:rsidRPr="00292532">
        <w:t xml:space="preserve">Gestão de queixas e reclamações a nível de </w:t>
      </w:r>
      <w:proofErr w:type="spellStart"/>
      <w:r w:rsidRPr="00292532">
        <w:t>projecto</w:t>
      </w:r>
      <w:bookmarkEnd w:id="459"/>
      <w:bookmarkEnd w:id="460"/>
      <w:proofErr w:type="spellEnd"/>
    </w:p>
    <w:p w14:paraId="0F6AB75A" w14:textId="7BEEB6F3" w:rsidR="009757BD" w:rsidRPr="00292532" w:rsidRDefault="009757BD" w:rsidP="008B7412">
      <w:pPr>
        <w:spacing w:before="120"/>
        <w:rPr>
          <w:rFonts w:asciiTheme="minorHAnsi" w:eastAsia="Calibri" w:hAnsiTheme="minorHAnsi" w:cs="Times New Roman"/>
          <w:lang w:val="pt-PT"/>
        </w:rPr>
      </w:pPr>
      <w:r w:rsidRPr="00292532">
        <w:rPr>
          <w:rFonts w:asciiTheme="minorHAnsi" w:eastAsia="Calibri" w:hAnsiTheme="minorHAnsi" w:cs="Times New Roman"/>
          <w:lang w:val="pt-PT"/>
        </w:rPr>
        <w:t xml:space="preserve">Deve ser estabelecido ao nível da área de implementação dos subprojectos, um comité de gestão do </w:t>
      </w:r>
      <w:r w:rsidR="009C3E6E" w:rsidRPr="00292532">
        <w:rPr>
          <w:rFonts w:asciiTheme="minorHAnsi" w:eastAsia="Calibri" w:hAnsiTheme="minorHAnsi" w:cs="Times New Roman"/>
          <w:caps/>
          <w:lang w:val="pt-PT"/>
        </w:rPr>
        <w:t>MQR</w:t>
      </w:r>
      <w:r w:rsidRPr="00292532">
        <w:rPr>
          <w:rFonts w:asciiTheme="minorHAnsi" w:eastAsia="Calibri" w:hAnsiTheme="minorHAnsi" w:cs="Times New Roman"/>
          <w:caps/>
          <w:lang w:val="pt-PT"/>
        </w:rPr>
        <w:t xml:space="preserve"> </w:t>
      </w:r>
      <w:r w:rsidRPr="00292532">
        <w:rPr>
          <w:rFonts w:asciiTheme="minorHAnsi" w:eastAsia="Calibri" w:hAnsiTheme="minorHAnsi" w:cs="Times New Roman"/>
          <w:lang w:val="pt-PT"/>
        </w:rPr>
        <w:t xml:space="preserve">constituído pelos especialistas em salvaguardas das </w:t>
      </w:r>
      <w:proofErr w:type="spellStart"/>
      <w:r w:rsidRPr="00292532">
        <w:rPr>
          <w:rFonts w:asciiTheme="minorHAnsi" w:eastAsia="Calibri" w:hAnsiTheme="minorHAnsi" w:cs="Times New Roman"/>
          <w:lang w:val="pt-PT"/>
        </w:rPr>
        <w:t>UT</w:t>
      </w:r>
      <w:r w:rsidR="00292532">
        <w:rPr>
          <w:rFonts w:asciiTheme="minorHAnsi" w:eastAsia="Calibri" w:hAnsiTheme="minorHAnsi" w:cs="Times New Roman"/>
          <w:lang w:val="pt-PT"/>
        </w:rPr>
        <w:t>P</w:t>
      </w:r>
      <w:r w:rsidRPr="00292532">
        <w:rPr>
          <w:rFonts w:asciiTheme="minorHAnsi" w:eastAsia="Calibri" w:hAnsiTheme="minorHAnsi" w:cs="Times New Roman"/>
          <w:lang w:val="pt-PT"/>
        </w:rPr>
        <w:t>s</w:t>
      </w:r>
      <w:proofErr w:type="spellEnd"/>
      <w:r w:rsidRPr="00292532">
        <w:rPr>
          <w:rFonts w:asciiTheme="minorHAnsi" w:eastAsia="Calibri" w:hAnsiTheme="minorHAnsi" w:cs="Times New Roman"/>
          <w:lang w:val="pt-PT"/>
        </w:rPr>
        <w:t xml:space="preserve"> da província ou distrito, especialistas das salvaguardas a nível central e a contratada/ empreiteiro ou um escritório regional com representantes locais do </w:t>
      </w:r>
      <w:proofErr w:type="spellStart"/>
      <w:r w:rsidRPr="00292532">
        <w:rPr>
          <w:rFonts w:asciiTheme="minorHAnsi" w:eastAsia="Calibri" w:hAnsiTheme="minorHAnsi" w:cs="Times New Roman"/>
          <w:lang w:val="pt-PT"/>
        </w:rPr>
        <w:t>projecto</w:t>
      </w:r>
      <w:proofErr w:type="spellEnd"/>
      <w:r w:rsidRPr="00292532">
        <w:rPr>
          <w:rFonts w:asciiTheme="minorHAnsi" w:eastAsia="Calibri" w:hAnsiTheme="minorHAnsi" w:cs="Times New Roman"/>
          <w:lang w:val="pt-PT"/>
        </w:rPr>
        <w:t>. Este comité estabelecido deve ser autorizado e possuir autonomia para lidar com reclamações no nível local e garantir que as mesmas sejam resolvidas de forma rápida</w:t>
      </w:r>
      <w:r w:rsidR="008B7412" w:rsidRPr="00292532">
        <w:rPr>
          <w:rFonts w:asciiTheme="minorHAnsi" w:eastAsia="Calibri" w:hAnsiTheme="minorHAnsi" w:cs="Times New Roman"/>
          <w:lang w:val="pt-PT"/>
        </w:rPr>
        <w:t xml:space="preserve">, justa </w:t>
      </w:r>
      <w:r w:rsidRPr="00292532">
        <w:rPr>
          <w:rFonts w:asciiTheme="minorHAnsi" w:eastAsia="Calibri" w:hAnsiTheme="minorHAnsi" w:cs="Times New Roman"/>
          <w:lang w:val="pt-PT"/>
        </w:rPr>
        <w:t xml:space="preserve">e transparente. Contudo, </w:t>
      </w:r>
      <w:r w:rsidR="008B7412" w:rsidRPr="00292532">
        <w:rPr>
          <w:rFonts w:asciiTheme="minorHAnsi" w:eastAsia="Calibri" w:hAnsiTheme="minorHAnsi" w:cs="Times New Roman"/>
          <w:lang w:val="pt-PT"/>
        </w:rPr>
        <w:t xml:space="preserve">em caso de não obtenção de consensos, </w:t>
      </w:r>
      <w:r w:rsidRPr="00292532">
        <w:rPr>
          <w:rFonts w:asciiTheme="minorHAnsi" w:eastAsia="Calibri" w:hAnsiTheme="minorHAnsi" w:cs="Times New Roman"/>
          <w:lang w:val="pt-PT"/>
        </w:rPr>
        <w:t>as queixas e</w:t>
      </w:r>
      <w:r w:rsidR="008B7412" w:rsidRPr="00292532">
        <w:rPr>
          <w:rFonts w:asciiTheme="minorHAnsi" w:eastAsia="Calibri" w:hAnsiTheme="minorHAnsi" w:cs="Times New Roman"/>
          <w:lang w:val="pt-PT"/>
        </w:rPr>
        <w:t>/ou</w:t>
      </w:r>
      <w:r w:rsidRPr="00292532">
        <w:rPr>
          <w:rFonts w:asciiTheme="minorHAnsi" w:eastAsia="Calibri" w:hAnsiTheme="minorHAnsi" w:cs="Times New Roman"/>
          <w:lang w:val="pt-PT"/>
        </w:rPr>
        <w:t xml:space="preserve"> reclamações </w:t>
      </w:r>
      <w:r w:rsidR="008B7412" w:rsidRPr="00292532">
        <w:rPr>
          <w:rFonts w:asciiTheme="minorHAnsi" w:eastAsia="Calibri" w:hAnsiTheme="minorHAnsi" w:cs="Times New Roman"/>
          <w:lang w:val="pt-PT"/>
        </w:rPr>
        <w:t xml:space="preserve">devem ser enviadas a um </w:t>
      </w:r>
      <w:r w:rsidRPr="00292532">
        <w:rPr>
          <w:rFonts w:asciiTheme="minorHAnsi" w:eastAsia="Calibri" w:hAnsiTheme="minorHAnsi" w:cs="Times New Roman"/>
          <w:lang w:val="pt-PT"/>
        </w:rPr>
        <w:t xml:space="preserve">nível </w:t>
      </w:r>
      <w:r w:rsidR="008B7412" w:rsidRPr="00292532">
        <w:rPr>
          <w:rFonts w:asciiTheme="minorHAnsi" w:eastAsia="Calibri" w:hAnsiTheme="minorHAnsi" w:cs="Times New Roman"/>
          <w:lang w:val="pt-PT"/>
        </w:rPr>
        <w:t>imediatamente a seguir, obedecendo as seguintes etapas:</w:t>
      </w:r>
    </w:p>
    <w:p w14:paraId="436D963A" w14:textId="6DBAA1BC" w:rsidR="009757BD" w:rsidRPr="00292532" w:rsidRDefault="009757BD" w:rsidP="006D3C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left="720"/>
        <w:contextualSpacing/>
        <w:jc w:val="left"/>
        <w:rPr>
          <w:rFonts w:asciiTheme="minorHAnsi" w:eastAsia="Times New Roman" w:hAnsiTheme="minorHAnsi" w:cs="Calibri"/>
          <w:lang w:val="pt-PT"/>
        </w:rPr>
      </w:pPr>
      <w:r w:rsidRPr="00292532">
        <w:rPr>
          <w:rFonts w:asciiTheme="minorHAnsi" w:eastAsia="Times New Roman" w:hAnsiTheme="minorHAnsi" w:cs="Calibri"/>
          <w:b/>
          <w:bCs/>
          <w:lang w:val="pt-PT"/>
        </w:rPr>
        <w:t>Etapa 1</w:t>
      </w:r>
      <w:r w:rsidRPr="00292532">
        <w:rPr>
          <w:rFonts w:asciiTheme="minorHAnsi" w:eastAsia="Times New Roman" w:hAnsiTheme="minorHAnsi" w:cs="Calibri"/>
          <w:lang w:val="pt-PT"/>
        </w:rPr>
        <w:t xml:space="preserve">: Reclamação recebida e registada pela unidade de implementação do subprojecto / Ponto Focal das reclamações/empreiteiro. Uma reclamação pode ser </w:t>
      </w:r>
      <w:r w:rsidRPr="00292532">
        <w:rPr>
          <w:rFonts w:asciiTheme="minorHAnsi" w:eastAsia="Times New Roman" w:hAnsiTheme="minorHAnsi" w:cs="Calibri"/>
          <w:lang w:val="pt-PT"/>
        </w:rPr>
        <w:lastRenderedPageBreak/>
        <w:t xml:space="preserve">registada </w:t>
      </w:r>
      <w:proofErr w:type="spellStart"/>
      <w:r w:rsidRPr="00292532">
        <w:rPr>
          <w:rFonts w:asciiTheme="minorHAnsi" w:eastAsia="Times New Roman" w:hAnsiTheme="minorHAnsi" w:cs="Calibri"/>
          <w:lang w:val="pt-PT"/>
        </w:rPr>
        <w:t>dire</w:t>
      </w:r>
      <w:r w:rsidR="00C24E45" w:rsidRPr="00292532">
        <w:rPr>
          <w:rFonts w:asciiTheme="minorHAnsi" w:eastAsia="Times New Roman" w:hAnsiTheme="minorHAnsi" w:cs="Calibri"/>
          <w:lang w:val="pt-PT"/>
        </w:rPr>
        <w:t>c</w:t>
      </w:r>
      <w:r w:rsidRPr="00292532">
        <w:rPr>
          <w:rFonts w:asciiTheme="minorHAnsi" w:eastAsia="Times New Roman" w:hAnsiTheme="minorHAnsi" w:cs="Calibri"/>
          <w:lang w:val="pt-PT"/>
        </w:rPr>
        <w:t>tamente</w:t>
      </w:r>
      <w:proofErr w:type="spellEnd"/>
      <w:r w:rsidRPr="00292532">
        <w:rPr>
          <w:rFonts w:asciiTheme="minorHAnsi" w:eastAsia="Times New Roman" w:hAnsiTheme="minorHAnsi" w:cs="Calibri"/>
          <w:lang w:val="pt-PT"/>
        </w:rPr>
        <w:t xml:space="preserve"> no Comitê de </w:t>
      </w:r>
      <w:r w:rsidR="008B7412" w:rsidRPr="00292532">
        <w:rPr>
          <w:rFonts w:asciiTheme="minorHAnsi" w:eastAsia="Times New Roman" w:hAnsiTheme="minorHAnsi" w:cs="Calibri"/>
          <w:lang w:val="pt-PT"/>
        </w:rPr>
        <w:t>G</w:t>
      </w:r>
      <w:r w:rsidRPr="00292532">
        <w:rPr>
          <w:rFonts w:asciiTheme="minorHAnsi" w:eastAsia="Times New Roman" w:hAnsiTheme="minorHAnsi" w:cs="Calibri"/>
          <w:lang w:val="pt-PT"/>
        </w:rPr>
        <w:t xml:space="preserve">estão de </w:t>
      </w:r>
      <w:r w:rsidR="008B7412" w:rsidRPr="00292532">
        <w:rPr>
          <w:rFonts w:asciiTheme="minorHAnsi" w:eastAsia="Times New Roman" w:hAnsiTheme="minorHAnsi" w:cs="Calibri"/>
          <w:lang w:val="pt-PT"/>
        </w:rPr>
        <w:t>R</w:t>
      </w:r>
      <w:r w:rsidRPr="00292532">
        <w:rPr>
          <w:rFonts w:asciiTheme="minorHAnsi" w:eastAsia="Times New Roman" w:hAnsiTheme="minorHAnsi" w:cs="Calibri"/>
          <w:lang w:val="pt-PT"/>
        </w:rPr>
        <w:t xml:space="preserve">eclamações (CGR) por qualquer um dos </w:t>
      </w:r>
      <w:r w:rsidR="006D3CBF" w:rsidRPr="00292532">
        <w:rPr>
          <w:rFonts w:asciiTheme="minorHAnsi" w:eastAsia="Times New Roman" w:hAnsiTheme="minorHAnsi" w:cs="Calibri"/>
          <w:lang w:val="pt-PT"/>
        </w:rPr>
        <w:t xml:space="preserve">meios a seguir indicados, </w:t>
      </w:r>
      <w:proofErr w:type="spellStart"/>
      <w:r w:rsidR="006D3CBF" w:rsidRPr="00292532">
        <w:rPr>
          <w:rFonts w:asciiTheme="minorHAnsi" w:eastAsia="Times New Roman" w:hAnsiTheme="minorHAnsi" w:cs="Calibri"/>
          <w:lang w:val="pt-PT"/>
        </w:rPr>
        <w:t>directamente</w:t>
      </w:r>
      <w:proofErr w:type="spellEnd"/>
      <w:r w:rsidR="006D3CBF" w:rsidRPr="00292532">
        <w:rPr>
          <w:rFonts w:asciiTheme="minorHAnsi" w:eastAsia="Times New Roman" w:hAnsiTheme="minorHAnsi" w:cs="Calibri"/>
          <w:lang w:val="pt-PT"/>
        </w:rPr>
        <w:t xml:space="preserve"> ou por terceiros e de </w:t>
      </w:r>
      <w:r w:rsidRPr="00292532">
        <w:rPr>
          <w:rFonts w:asciiTheme="minorHAnsi" w:eastAsia="Times New Roman" w:hAnsiTheme="minorHAnsi" w:cs="Calibri"/>
          <w:lang w:val="pt-PT"/>
        </w:rPr>
        <w:t>forma anônima</w:t>
      </w:r>
      <w:r w:rsidR="006D3CBF" w:rsidRPr="00292532">
        <w:rPr>
          <w:rFonts w:asciiTheme="minorHAnsi" w:eastAsia="Times New Roman" w:hAnsiTheme="minorHAnsi" w:cs="Calibri"/>
          <w:lang w:val="pt-PT"/>
        </w:rPr>
        <w:t>:</w:t>
      </w:r>
    </w:p>
    <w:p w14:paraId="5E290C51" w14:textId="15B91F63" w:rsidR="009757BD" w:rsidRPr="00292532" w:rsidRDefault="009757BD" w:rsidP="00AE14AE">
      <w:pPr>
        <w:numPr>
          <w:ilvl w:val="0"/>
          <w:numId w:val="1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rPr>
          <w:rFonts w:asciiTheme="minorHAnsi" w:eastAsia="Times New Roman" w:hAnsiTheme="minorHAnsi" w:cs="Calibri"/>
          <w:lang w:val="pt-PT"/>
        </w:rPr>
      </w:pPr>
      <w:r w:rsidRPr="00292532">
        <w:rPr>
          <w:rFonts w:asciiTheme="minorHAnsi" w:eastAsia="Times New Roman" w:hAnsiTheme="minorHAnsi" w:cs="Calibri"/>
          <w:lang w:val="pt-PT"/>
        </w:rPr>
        <w:t>Por telefone</w:t>
      </w:r>
      <w:r w:rsidR="006D3CBF" w:rsidRPr="00292532">
        <w:rPr>
          <w:rFonts w:asciiTheme="minorHAnsi" w:eastAsia="Times New Roman" w:hAnsiTheme="minorHAnsi" w:cs="Calibri"/>
          <w:lang w:val="pt-PT"/>
        </w:rPr>
        <w:t>, (</w:t>
      </w:r>
      <w:r w:rsidRPr="00292532">
        <w:rPr>
          <w:rFonts w:asciiTheme="minorHAnsi" w:eastAsia="Times New Roman" w:hAnsiTheme="minorHAnsi" w:cs="Calibri"/>
          <w:lang w:val="pt-PT"/>
        </w:rPr>
        <w:t>ligação gratuita</w:t>
      </w:r>
      <w:r w:rsidR="006D3CBF" w:rsidRPr="00292532">
        <w:rPr>
          <w:rFonts w:asciiTheme="minorHAnsi" w:eastAsia="Times New Roman" w:hAnsiTheme="minorHAnsi" w:cs="Calibri"/>
          <w:lang w:val="pt-PT"/>
        </w:rPr>
        <w:t>)</w:t>
      </w:r>
      <w:r w:rsidRPr="00292532">
        <w:rPr>
          <w:rFonts w:asciiTheme="minorHAnsi" w:eastAsia="Times New Roman" w:hAnsiTheme="minorHAnsi" w:cs="Calibri"/>
          <w:lang w:val="pt-PT"/>
        </w:rPr>
        <w:t xml:space="preserve">, </w:t>
      </w:r>
      <w:proofErr w:type="spellStart"/>
      <w:r w:rsidRPr="00292532">
        <w:rPr>
          <w:rFonts w:asciiTheme="minorHAnsi" w:eastAsia="Times New Roman" w:hAnsiTheme="minorHAnsi" w:cs="Calibri"/>
          <w:lang w:val="pt-PT"/>
        </w:rPr>
        <w:t>sms</w:t>
      </w:r>
      <w:proofErr w:type="spellEnd"/>
      <w:r w:rsidRPr="00292532">
        <w:rPr>
          <w:rFonts w:asciiTheme="minorHAnsi" w:eastAsia="Times New Roman" w:hAnsiTheme="minorHAnsi" w:cs="Calibri"/>
          <w:lang w:val="pt-PT"/>
        </w:rPr>
        <w:t xml:space="preserve"> e</w:t>
      </w:r>
      <w:r w:rsidR="006D3CBF" w:rsidRPr="00292532">
        <w:rPr>
          <w:rFonts w:asciiTheme="minorHAnsi" w:eastAsia="Times New Roman" w:hAnsiTheme="minorHAnsi" w:cs="Calibri"/>
          <w:lang w:val="pt-PT"/>
        </w:rPr>
        <w:t xml:space="preserve">/ou </w:t>
      </w:r>
      <w:r w:rsidRPr="00292532">
        <w:rPr>
          <w:rFonts w:asciiTheme="minorHAnsi" w:eastAsia="Times New Roman" w:hAnsiTheme="minorHAnsi" w:cs="Calibri"/>
          <w:lang w:val="pt-PT"/>
        </w:rPr>
        <w:t>WhatsApp</w:t>
      </w:r>
      <w:r w:rsidR="006D3CBF" w:rsidRPr="00292532">
        <w:rPr>
          <w:rFonts w:asciiTheme="minorHAnsi" w:eastAsia="Times New Roman" w:hAnsiTheme="minorHAnsi" w:cs="Calibri"/>
          <w:lang w:val="pt-PT"/>
        </w:rPr>
        <w:t xml:space="preserve">. Uma linha aberta estará disponível e será extensamente divulgada. </w:t>
      </w:r>
      <w:r w:rsidRPr="00292532">
        <w:rPr>
          <w:rFonts w:asciiTheme="minorHAnsi" w:eastAsia="Times New Roman" w:hAnsiTheme="minorHAnsi" w:cs="Calibri"/>
          <w:lang w:val="pt-PT"/>
        </w:rPr>
        <w:t xml:space="preserve">A equipe de salvaguarda da UIP </w:t>
      </w:r>
      <w:r w:rsidR="006D3CBF" w:rsidRPr="00292532">
        <w:rPr>
          <w:rFonts w:asciiTheme="minorHAnsi" w:eastAsia="Times New Roman" w:hAnsiTheme="minorHAnsi" w:cs="Calibri"/>
          <w:lang w:val="pt-PT"/>
        </w:rPr>
        <w:t>será responsável pela gestão da mesma;</w:t>
      </w:r>
    </w:p>
    <w:p w14:paraId="67CA6E78" w14:textId="3D2FC314" w:rsidR="009757BD" w:rsidRPr="00292532" w:rsidRDefault="009757BD" w:rsidP="00AE14AE">
      <w:pPr>
        <w:numPr>
          <w:ilvl w:val="0"/>
          <w:numId w:val="1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rPr>
          <w:rFonts w:asciiTheme="minorHAnsi" w:eastAsia="Times New Roman" w:hAnsiTheme="minorHAnsi" w:cs="Calibri"/>
          <w:lang w:val="pt-PT"/>
        </w:rPr>
      </w:pPr>
      <w:r w:rsidRPr="00292532">
        <w:rPr>
          <w:rFonts w:asciiTheme="minorHAnsi" w:eastAsia="Times New Roman" w:hAnsiTheme="minorHAnsi" w:cs="Calibri"/>
          <w:lang w:val="pt-PT"/>
        </w:rPr>
        <w:t xml:space="preserve">Por e-mail para </w:t>
      </w:r>
      <w:r w:rsidR="006D3CBF" w:rsidRPr="00292532">
        <w:rPr>
          <w:rFonts w:asciiTheme="minorHAnsi" w:eastAsia="Times New Roman" w:hAnsiTheme="minorHAnsi" w:cs="Calibri"/>
          <w:lang w:val="pt-PT"/>
        </w:rPr>
        <w:t xml:space="preserve">um </w:t>
      </w:r>
      <w:r w:rsidRPr="00292532">
        <w:rPr>
          <w:rFonts w:asciiTheme="minorHAnsi" w:eastAsia="Times New Roman" w:hAnsiTheme="minorHAnsi" w:cs="Calibri"/>
          <w:lang w:val="pt-PT"/>
        </w:rPr>
        <w:t>endereço de</w:t>
      </w:r>
      <w:r w:rsidR="006D3CBF" w:rsidRPr="00292532">
        <w:rPr>
          <w:rFonts w:asciiTheme="minorHAnsi" w:eastAsia="Times New Roman" w:hAnsiTheme="minorHAnsi" w:cs="Calibri"/>
          <w:lang w:val="pt-PT"/>
        </w:rPr>
        <w:t xml:space="preserve">dicado, igualmente gerido pela </w:t>
      </w:r>
      <w:r w:rsidRPr="00292532">
        <w:rPr>
          <w:rFonts w:asciiTheme="minorHAnsi" w:eastAsia="Times New Roman" w:hAnsiTheme="minorHAnsi" w:cs="Calibri"/>
          <w:lang w:val="pt-PT"/>
        </w:rPr>
        <w:t>equipe de salvaguarda da UIP</w:t>
      </w:r>
      <w:r w:rsidR="006D3CBF" w:rsidRPr="00292532">
        <w:rPr>
          <w:rFonts w:asciiTheme="minorHAnsi" w:eastAsia="Times New Roman" w:hAnsiTheme="minorHAnsi" w:cs="Calibri"/>
          <w:lang w:val="pt-PT"/>
        </w:rPr>
        <w:t>;</w:t>
      </w:r>
    </w:p>
    <w:p w14:paraId="54AC0F00" w14:textId="0E07E329" w:rsidR="006D3CBF" w:rsidRPr="00292532" w:rsidRDefault="009757BD" w:rsidP="00AE14AE">
      <w:pPr>
        <w:numPr>
          <w:ilvl w:val="0"/>
          <w:numId w:val="1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rPr>
          <w:rFonts w:asciiTheme="minorHAnsi" w:eastAsia="Times New Roman" w:hAnsiTheme="minorHAnsi" w:cs="Calibri"/>
          <w:lang w:val="pt-PT"/>
        </w:rPr>
      </w:pPr>
      <w:r w:rsidRPr="00292532">
        <w:rPr>
          <w:rFonts w:asciiTheme="minorHAnsi" w:eastAsia="Times New Roman" w:hAnsiTheme="minorHAnsi" w:cs="Calibri"/>
          <w:lang w:val="pt-PT"/>
        </w:rPr>
        <w:t xml:space="preserve">Por carta à UIP do </w:t>
      </w:r>
      <w:proofErr w:type="spellStart"/>
      <w:r w:rsidR="008C3A00" w:rsidRPr="00292532">
        <w:rPr>
          <w:rFonts w:asciiTheme="minorHAnsi" w:eastAsia="Times New Roman" w:hAnsiTheme="minorHAnsi" w:cs="Calibri"/>
          <w:lang w:val="pt-PT"/>
        </w:rPr>
        <w:t>projecto</w:t>
      </w:r>
      <w:proofErr w:type="spellEnd"/>
      <w:r w:rsidRPr="00292532">
        <w:rPr>
          <w:rFonts w:asciiTheme="minorHAnsi" w:eastAsia="Times New Roman" w:hAnsiTheme="minorHAnsi" w:cs="Calibri"/>
          <w:lang w:val="pt-PT"/>
        </w:rPr>
        <w:t xml:space="preserve"> ou agência de implementação do subprojecto</w:t>
      </w:r>
      <w:r w:rsidR="006D3CBF" w:rsidRPr="00292532">
        <w:rPr>
          <w:rFonts w:asciiTheme="minorHAnsi" w:eastAsia="Times New Roman" w:hAnsiTheme="minorHAnsi" w:cs="Calibri"/>
          <w:lang w:val="pt-PT"/>
        </w:rPr>
        <w:t>;</w:t>
      </w:r>
    </w:p>
    <w:p w14:paraId="0D2EE653" w14:textId="77777777" w:rsidR="009757BD" w:rsidRPr="00292532" w:rsidRDefault="009757BD" w:rsidP="00AE14AE">
      <w:pPr>
        <w:numPr>
          <w:ilvl w:val="0"/>
          <w:numId w:val="1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rPr>
          <w:rFonts w:asciiTheme="minorHAnsi" w:eastAsia="Times New Roman" w:hAnsiTheme="minorHAnsi" w:cs="Calibri"/>
          <w:lang w:val="pt-PT"/>
        </w:rPr>
      </w:pPr>
      <w:r w:rsidRPr="00292532">
        <w:rPr>
          <w:rFonts w:asciiTheme="minorHAnsi" w:eastAsia="Times New Roman" w:hAnsiTheme="minorHAnsi" w:cs="Calibri"/>
          <w:lang w:val="pt-PT"/>
        </w:rPr>
        <w:t xml:space="preserve">Por carta a empresas / consultores contratados envolvidos na implementação de subprojectos </w:t>
      </w:r>
    </w:p>
    <w:p w14:paraId="5B46C34F" w14:textId="755D6215" w:rsidR="009757BD" w:rsidRPr="00292532" w:rsidRDefault="009757BD" w:rsidP="00AE14AE">
      <w:pPr>
        <w:numPr>
          <w:ilvl w:val="0"/>
          <w:numId w:val="1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rPr>
          <w:rFonts w:asciiTheme="minorHAnsi" w:eastAsia="Times New Roman" w:hAnsiTheme="minorHAnsi" w:cs="Calibri"/>
          <w:lang w:val="pt-PT"/>
        </w:rPr>
      </w:pPr>
      <w:r w:rsidRPr="00292532">
        <w:rPr>
          <w:rFonts w:asciiTheme="minorHAnsi" w:eastAsia="Times New Roman" w:hAnsiTheme="minorHAnsi" w:cs="Calibri"/>
          <w:lang w:val="pt-PT"/>
        </w:rPr>
        <w:t xml:space="preserve">Por </w:t>
      </w:r>
      <w:r w:rsidR="006D3CBF" w:rsidRPr="00292532">
        <w:rPr>
          <w:rFonts w:asciiTheme="minorHAnsi" w:eastAsia="Times New Roman" w:hAnsiTheme="minorHAnsi" w:cs="Calibri"/>
          <w:lang w:val="pt-PT"/>
        </w:rPr>
        <w:t xml:space="preserve">preenchimento de um </w:t>
      </w:r>
      <w:r w:rsidRPr="00292532">
        <w:rPr>
          <w:rFonts w:asciiTheme="minorHAnsi" w:eastAsia="Times New Roman" w:hAnsiTheme="minorHAnsi" w:cs="Calibri"/>
          <w:lang w:val="pt-PT"/>
        </w:rPr>
        <w:t>formulário de reclamação/livro</w:t>
      </w:r>
      <w:r w:rsidR="006D3CBF" w:rsidRPr="00292532">
        <w:rPr>
          <w:rFonts w:asciiTheme="minorHAnsi" w:eastAsia="Times New Roman" w:hAnsiTheme="minorHAnsi" w:cs="Calibri"/>
          <w:lang w:val="pt-PT"/>
        </w:rPr>
        <w:t xml:space="preserve"> ou </w:t>
      </w:r>
      <w:r w:rsidRPr="00292532">
        <w:rPr>
          <w:rFonts w:asciiTheme="minorHAnsi" w:eastAsia="Times New Roman" w:hAnsiTheme="minorHAnsi" w:cs="Calibri"/>
          <w:lang w:val="pt-PT"/>
        </w:rPr>
        <w:t>caixa de sugestões</w:t>
      </w:r>
      <w:r w:rsidR="006D3CBF" w:rsidRPr="00292532">
        <w:rPr>
          <w:rFonts w:asciiTheme="minorHAnsi" w:eastAsia="Times New Roman" w:hAnsiTheme="minorHAnsi" w:cs="Calibri"/>
          <w:lang w:val="pt-PT"/>
        </w:rPr>
        <w:t xml:space="preserve">, disponível em </w:t>
      </w:r>
      <w:r w:rsidRPr="00292532">
        <w:rPr>
          <w:rFonts w:asciiTheme="minorHAnsi" w:eastAsia="Times New Roman" w:hAnsiTheme="minorHAnsi" w:cs="Calibri"/>
          <w:lang w:val="pt-PT"/>
        </w:rPr>
        <w:t xml:space="preserve">instituições públicas </w:t>
      </w:r>
      <w:r w:rsidR="006D3CBF" w:rsidRPr="00292532">
        <w:rPr>
          <w:rFonts w:asciiTheme="minorHAnsi" w:eastAsia="Times New Roman" w:hAnsiTheme="minorHAnsi" w:cs="Calibri"/>
          <w:lang w:val="pt-PT"/>
        </w:rPr>
        <w:t xml:space="preserve">ou nos escritórios dos </w:t>
      </w:r>
      <w:r w:rsidRPr="00292532">
        <w:rPr>
          <w:rFonts w:asciiTheme="minorHAnsi" w:eastAsia="Times New Roman" w:hAnsiTheme="minorHAnsi" w:cs="Calibri"/>
          <w:lang w:val="pt-PT"/>
        </w:rPr>
        <w:t>subprojectos</w:t>
      </w:r>
      <w:r w:rsidR="006D3CBF" w:rsidRPr="00292532">
        <w:rPr>
          <w:rFonts w:asciiTheme="minorHAnsi" w:eastAsia="Times New Roman" w:hAnsiTheme="minorHAnsi" w:cs="Calibri"/>
          <w:lang w:val="pt-PT"/>
        </w:rPr>
        <w:t>;</w:t>
      </w:r>
    </w:p>
    <w:p w14:paraId="44BFA0A4" w14:textId="2D6A7000" w:rsidR="009757BD" w:rsidRPr="00292532" w:rsidRDefault="006D3CBF" w:rsidP="00AE14AE">
      <w:pPr>
        <w:numPr>
          <w:ilvl w:val="0"/>
          <w:numId w:val="1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rPr>
          <w:rFonts w:asciiTheme="minorHAnsi" w:eastAsia="Times New Roman" w:hAnsiTheme="minorHAnsi" w:cs="Calibri"/>
          <w:lang w:val="pt-PT"/>
        </w:rPr>
      </w:pPr>
      <w:r w:rsidRPr="00292532">
        <w:rPr>
          <w:rFonts w:asciiTheme="minorHAnsi" w:eastAsia="Times New Roman" w:hAnsiTheme="minorHAnsi" w:cs="Calibri"/>
          <w:lang w:val="pt-PT"/>
        </w:rPr>
        <w:t xml:space="preserve">Por </w:t>
      </w:r>
      <w:r w:rsidR="009757BD" w:rsidRPr="00292532">
        <w:rPr>
          <w:rFonts w:asciiTheme="minorHAnsi" w:eastAsia="Times New Roman" w:hAnsiTheme="minorHAnsi" w:cs="Calibri"/>
          <w:lang w:val="pt-PT"/>
        </w:rPr>
        <w:t>regist</w:t>
      </w:r>
      <w:r w:rsidRPr="00292532">
        <w:rPr>
          <w:rFonts w:asciiTheme="minorHAnsi" w:eastAsia="Times New Roman" w:hAnsiTheme="minorHAnsi" w:cs="Calibri"/>
          <w:lang w:val="pt-PT"/>
        </w:rPr>
        <w:t xml:space="preserve">o da </w:t>
      </w:r>
      <w:r w:rsidR="009757BD" w:rsidRPr="00292532">
        <w:rPr>
          <w:rFonts w:asciiTheme="minorHAnsi" w:eastAsia="Times New Roman" w:hAnsiTheme="minorHAnsi" w:cs="Calibri"/>
          <w:lang w:val="pt-PT"/>
        </w:rPr>
        <w:t>reclamação no livro de registo de reclamações no departamento</w:t>
      </w:r>
      <w:r w:rsidRPr="00292532">
        <w:rPr>
          <w:rFonts w:asciiTheme="minorHAnsi" w:eastAsia="Times New Roman" w:hAnsiTheme="minorHAnsi" w:cs="Calibri"/>
          <w:lang w:val="pt-PT"/>
        </w:rPr>
        <w:t xml:space="preserve"> ou </w:t>
      </w:r>
      <w:r w:rsidR="009757BD" w:rsidRPr="00292532">
        <w:rPr>
          <w:rFonts w:asciiTheme="minorHAnsi" w:eastAsia="Times New Roman" w:hAnsiTheme="minorHAnsi" w:cs="Calibri"/>
          <w:lang w:val="pt-PT"/>
        </w:rPr>
        <w:t>agência específica</w:t>
      </w:r>
      <w:r w:rsidRPr="00292532">
        <w:rPr>
          <w:rFonts w:asciiTheme="minorHAnsi" w:eastAsia="Times New Roman" w:hAnsiTheme="minorHAnsi" w:cs="Calibri"/>
          <w:lang w:val="pt-PT"/>
        </w:rPr>
        <w:t>; e finalmente,</w:t>
      </w:r>
    </w:p>
    <w:p w14:paraId="06827F7C" w14:textId="0E31C1F2" w:rsidR="009757BD" w:rsidRPr="00292532" w:rsidRDefault="006D3CBF" w:rsidP="00AE14AE">
      <w:pPr>
        <w:numPr>
          <w:ilvl w:val="0"/>
          <w:numId w:val="1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rPr>
          <w:rFonts w:asciiTheme="minorHAnsi" w:eastAsia="Times New Roman" w:hAnsiTheme="minorHAnsi" w:cs="Calibri"/>
          <w:lang w:val="pt-PT"/>
        </w:rPr>
      </w:pPr>
      <w:r w:rsidRPr="00292532">
        <w:rPr>
          <w:rFonts w:asciiTheme="minorHAnsi" w:eastAsia="Times New Roman" w:hAnsiTheme="minorHAnsi" w:cs="Calibri"/>
          <w:lang w:val="pt-PT"/>
        </w:rPr>
        <w:t xml:space="preserve">Nas páginas </w:t>
      </w:r>
      <w:r w:rsidR="00324C3E" w:rsidRPr="00292532">
        <w:rPr>
          <w:rFonts w:asciiTheme="minorHAnsi" w:eastAsia="Times New Roman" w:hAnsiTheme="minorHAnsi" w:cs="Calibri"/>
          <w:lang w:val="pt-PT"/>
        </w:rPr>
        <w:t xml:space="preserve">web da </w:t>
      </w:r>
      <w:r w:rsidR="009757BD" w:rsidRPr="00292532">
        <w:rPr>
          <w:rFonts w:asciiTheme="minorHAnsi" w:eastAsia="Times New Roman" w:hAnsiTheme="minorHAnsi" w:cs="Calibri"/>
          <w:lang w:val="pt-PT"/>
        </w:rPr>
        <w:t>AIAS</w:t>
      </w:r>
      <w:r w:rsidR="00324C3E" w:rsidRPr="00292532">
        <w:rPr>
          <w:rFonts w:asciiTheme="minorHAnsi" w:eastAsia="Times New Roman" w:hAnsiTheme="minorHAnsi" w:cs="Calibri"/>
          <w:lang w:val="pt-PT"/>
        </w:rPr>
        <w:t xml:space="preserve"> e </w:t>
      </w:r>
      <w:r w:rsidR="009757BD" w:rsidRPr="00292532">
        <w:rPr>
          <w:rFonts w:asciiTheme="minorHAnsi" w:eastAsia="Times New Roman" w:hAnsiTheme="minorHAnsi" w:cs="Calibri"/>
          <w:lang w:val="pt-PT"/>
        </w:rPr>
        <w:t>DNAAS ou do Banco Mundial.</w:t>
      </w:r>
    </w:p>
    <w:p w14:paraId="6D19BD9D" w14:textId="77777777" w:rsidR="008B7412" w:rsidRPr="00292532" w:rsidRDefault="008B7412" w:rsidP="008B74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jc w:val="left"/>
        <w:rPr>
          <w:rFonts w:asciiTheme="minorHAnsi" w:eastAsia="Times New Roman" w:hAnsiTheme="minorHAnsi" w:cs="Calibri"/>
          <w:lang w:val="pt-PT"/>
        </w:rPr>
      </w:pPr>
    </w:p>
    <w:p w14:paraId="57616B99" w14:textId="695E1B1E" w:rsidR="009757BD" w:rsidRPr="00292532" w:rsidRDefault="00324C3E" w:rsidP="00753D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left="10" w:hanging="10"/>
        <w:rPr>
          <w:rFonts w:asciiTheme="minorHAnsi" w:eastAsia="Times New Roman" w:hAnsiTheme="minorHAnsi" w:cs="Calibri"/>
          <w:lang w:val="pt-PT"/>
        </w:rPr>
      </w:pPr>
      <w:r w:rsidRPr="00292532">
        <w:rPr>
          <w:rFonts w:asciiTheme="minorHAnsi" w:eastAsia="Times New Roman" w:hAnsiTheme="minorHAnsi" w:cs="Calibri"/>
          <w:lang w:val="pt-PT"/>
        </w:rPr>
        <w:t xml:space="preserve">Uma vez recebida </w:t>
      </w:r>
      <w:r w:rsidR="009757BD" w:rsidRPr="00292532">
        <w:rPr>
          <w:rFonts w:asciiTheme="minorHAnsi" w:eastAsia="Times New Roman" w:hAnsiTheme="minorHAnsi" w:cs="Calibri"/>
          <w:lang w:val="pt-PT"/>
        </w:rPr>
        <w:t xml:space="preserve">uma reclamação ela deve ser </w:t>
      </w:r>
      <w:r w:rsidRPr="00292532">
        <w:rPr>
          <w:rFonts w:asciiTheme="minorHAnsi" w:eastAsia="Times New Roman" w:hAnsiTheme="minorHAnsi" w:cs="Calibri"/>
          <w:lang w:val="pt-PT"/>
        </w:rPr>
        <w:t xml:space="preserve">incluída na base de </w:t>
      </w:r>
      <w:r w:rsidR="009757BD" w:rsidRPr="00292532">
        <w:rPr>
          <w:rFonts w:asciiTheme="minorHAnsi" w:eastAsia="Times New Roman" w:hAnsiTheme="minorHAnsi" w:cs="Calibri"/>
          <w:lang w:val="pt-PT"/>
        </w:rPr>
        <w:t>base de dados de reclamações.</w:t>
      </w:r>
    </w:p>
    <w:p w14:paraId="4F69A539" w14:textId="77777777" w:rsidR="009757BD" w:rsidRPr="00292532" w:rsidRDefault="009757BD" w:rsidP="00753D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left="10" w:hanging="10"/>
        <w:rPr>
          <w:rFonts w:asciiTheme="minorHAnsi" w:eastAsia="Times New Roman" w:hAnsiTheme="minorHAnsi" w:cs="Calibri"/>
          <w:lang w:val="pt-PT"/>
        </w:rPr>
      </w:pPr>
    </w:p>
    <w:p w14:paraId="22F450FA" w14:textId="77777777" w:rsidR="009757BD" w:rsidRPr="00292532" w:rsidRDefault="009757BD" w:rsidP="00AE14AE">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jc w:val="left"/>
        <w:rPr>
          <w:rFonts w:asciiTheme="minorHAnsi" w:eastAsia="Times New Roman" w:hAnsiTheme="minorHAnsi" w:cs="Calibri"/>
          <w:lang w:val="pt-PT"/>
        </w:rPr>
      </w:pPr>
      <w:r w:rsidRPr="00292532">
        <w:rPr>
          <w:rFonts w:asciiTheme="minorHAnsi" w:eastAsia="Times New Roman" w:hAnsiTheme="minorHAnsi" w:cs="Calibri"/>
          <w:b/>
          <w:bCs/>
          <w:lang w:val="pt-PT"/>
        </w:rPr>
        <w:t>Etapa 2</w:t>
      </w:r>
      <w:r w:rsidRPr="00292532">
        <w:rPr>
          <w:rFonts w:asciiTheme="minorHAnsi" w:eastAsia="Times New Roman" w:hAnsiTheme="minorHAnsi" w:cs="Calibri"/>
          <w:lang w:val="pt-PT"/>
        </w:rPr>
        <w:t>: Confirme o recebimento da reclamação, avalie sua complexidade e atribua a pessoa responsável por tratar a reclamação.</w:t>
      </w:r>
    </w:p>
    <w:p w14:paraId="11D3556C" w14:textId="5FA242A1" w:rsidR="009757BD" w:rsidRPr="00292532" w:rsidRDefault="00C24E45" w:rsidP="00AE14AE">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jc w:val="left"/>
        <w:rPr>
          <w:rFonts w:asciiTheme="minorHAnsi" w:eastAsia="Times New Roman" w:hAnsiTheme="minorHAnsi" w:cs="Calibri"/>
          <w:lang w:val="pt-PT"/>
        </w:rPr>
      </w:pPr>
      <w:r w:rsidRPr="00292532">
        <w:rPr>
          <w:rFonts w:asciiTheme="minorHAnsi" w:eastAsia="Times New Roman" w:hAnsiTheme="minorHAnsi" w:cs="Calibri"/>
          <w:b/>
          <w:bCs/>
          <w:lang w:val="pt-PT"/>
        </w:rPr>
        <w:t>E</w:t>
      </w:r>
      <w:r w:rsidR="009757BD" w:rsidRPr="00292532">
        <w:rPr>
          <w:rFonts w:asciiTheme="minorHAnsi" w:eastAsia="Times New Roman" w:hAnsiTheme="minorHAnsi" w:cs="Calibri"/>
          <w:b/>
          <w:bCs/>
          <w:lang w:val="pt-PT"/>
        </w:rPr>
        <w:t>tapa 3</w:t>
      </w:r>
      <w:r w:rsidR="009757BD" w:rsidRPr="00292532">
        <w:rPr>
          <w:rFonts w:asciiTheme="minorHAnsi" w:eastAsia="Times New Roman" w:hAnsiTheme="minorHAnsi" w:cs="Calibri"/>
          <w:lang w:val="pt-PT"/>
        </w:rPr>
        <w:t>: Desenvolver e propor uma resolução e obter aprovação ao nível do subprojecto (</w:t>
      </w:r>
      <w:r w:rsidR="00324C3E" w:rsidRPr="00292532">
        <w:rPr>
          <w:rFonts w:asciiTheme="minorHAnsi" w:eastAsia="Times New Roman" w:hAnsiTheme="minorHAnsi" w:cs="Calibri"/>
          <w:lang w:val="pt-PT"/>
        </w:rPr>
        <w:t>C</w:t>
      </w:r>
      <w:r w:rsidR="009757BD" w:rsidRPr="00292532">
        <w:rPr>
          <w:rFonts w:asciiTheme="minorHAnsi" w:eastAsia="Times New Roman" w:hAnsiTheme="minorHAnsi" w:cs="Calibri"/>
          <w:lang w:val="pt-PT"/>
        </w:rPr>
        <w:t xml:space="preserve">omitês de </w:t>
      </w:r>
      <w:r w:rsidR="00324C3E" w:rsidRPr="00292532">
        <w:rPr>
          <w:rFonts w:asciiTheme="minorHAnsi" w:eastAsia="Times New Roman" w:hAnsiTheme="minorHAnsi" w:cs="Calibri"/>
          <w:lang w:val="pt-PT"/>
        </w:rPr>
        <w:t>G</w:t>
      </w:r>
      <w:r w:rsidR="009757BD" w:rsidRPr="00292532">
        <w:rPr>
          <w:rFonts w:asciiTheme="minorHAnsi" w:eastAsia="Times New Roman" w:hAnsiTheme="minorHAnsi" w:cs="Calibri"/>
          <w:lang w:val="pt-PT"/>
        </w:rPr>
        <w:t xml:space="preserve">estão de </w:t>
      </w:r>
      <w:r w:rsidR="00324C3E" w:rsidRPr="00292532">
        <w:rPr>
          <w:rFonts w:asciiTheme="minorHAnsi" w:eastAsia="Times New Roman" w:hAnsiTheme="minorHAnsi" w:cs="Calibri"/>
          <w:lang w:val="pt-PT"/>
        </w:rPr>
        <w:t>R</w:t>
      </w:r>
      <w:r w:rsidR="009757BD" w:rsidRPr="00292532">
        <w:rPr>
          <w:rFonts w:asciiTheme="minorHAnsi" w:eastAsia="Times New Roman" w:hAnsiTheme="minorHAnsi" w:cs="Calibri"/>
          <w:lang w:val="pt-PT"/>
        </w:rPr>
        <w:t>eclamações</w:t>
      </w:r>
      <w:r w:rsidR="00324C3E" w:rsidRPr="00292532">
        <w:rPr>
          <w:rFonts w:asciiTheme="minorHAnsi" w:eastAsia="Times New Roman" w:hAnsiTheme="minorHAnsi" w:cs="Calibri"/>
          <w:lang w:val="pt-PT"/>
        </w:rPr>
        <w:t xml:space="preserve"> (</w:t>
      </w:r>
      <w:r w:rsidR="009757BD" w:rsidRPr="00292532">
        <w:rPr>
          <w:rFonts w:asciiTheme="minorHAnsi" w:eastAsia="Times New Roman" w:hAnsiTheme="minorHAnsi" w:cs="Calibri"/>
          <w:lang w:val="pt-PT"/>
        </w:rPr>
        <w:t>CGR</w:t>
      </w:r>
      <w:r w:rsidR="00324C3E" w:rsidRPr="00292532">
        <w:rPr>
          <w:rFonts w:asciiTheme="minorHAnsi" w:eastAsia="Times New Roman" w:hAnsiTheme="minorHAnsi" w:cs="Calibri"/>
          <w:lang w:val="pt-PT"/>
        </w:rPr>
        <w:t xml:space="preserve">) criados a diferentes </w:t>
      </w:r>
      <w:r w:rsidR="009757BD" w:rsidRPr="00292532">
        <w:rPr>
          <w:rFonts w:asciiTheme="minorHAnsi" w:eastAsia="Times New Roman" w:hAnsiTheme="minorHAnsi" w:cs="Calibri"/>
          <w:lang w:val="pt-PT"/>
        </w:rPr>
        <w:t>níveis).</w:t>
      </w:r>
    </w:p>
    <w:p w14:paraId="7380D876" w14:textId="6EE3172B" w:rsidR="009757BD" w:rsidRPr="00292532" w:rsidRDefault="00C24E45" w:rsidP="00AE14AE">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jc w:val="left"/>
        <w:rPr>
          <w:rFonts w:asciiTheme="minorHAnsi" w:eastAsia="Times New Roman" w:hAnsiTheme="minorHAnsi" w:cs="Calibri"/>
          <w:lang w:val="pt-PT"/>
        </w:rPr>
      </w:pPr>
      <w:r w:rsidRPr="00292532">
        <w:rPr>
          <w:rFonts w:asciiTheme="minorHAnsi" w:eastAsia="Times New Roman" w:hAnsiTheme="minorHAnsi" w:cs="Calibri"/>
          <w:b/>
          <w:bCs/>
          <w:lang w:val="pt-PT"/>
        </w:rPr>
        <w:t xml:space="preserve">Etapa </w:t>
      </w:r>
      <w:r w:rsidR="009757BD" w:rsidRPr="00292532">
        <w:rPr>
          <w:rFonts w:asciiTheme="minorHAnsi" w:eastAsia="Times New Roman" w:hAnsiTheme="minorHAnsi" w:cs="Calibri"/>
          <w:b/>
          <w:bCs/>
          <w:lang w:val="pt-PT"/>
        </w:rPr>
        <w:t>4</w:t>
      </w:r>
      <w:r w:rsidR="009757BD" w:rsidRPr="00292532">
        <w:rPr>
          <w:rFonts w:asciiTheme="minorHAnsi" w:eastAsia="Times New Roman" w:hAnsiTheme="minorHAnsi" w:cs="Calibri"/>
          <w:lang w:val="pt-PT"/>
        </w:rPr>
        <w:t>: Comuni</w:t>
      </w:r>
      <w:r w:rsidR="00324C3E" w:rsidRPr="00292532">
        <w:rPr>
          <w:rFonts w:asciiTheme="minorHAnsi" w:eastAsia="Times New Roman" w:hAnsiTheme="minorHAnsi" w:cs="Calibri"/>
          <w:lang w:val="pt-PT"/>
        </w:rPr>
        <w:t xml:space="preserve">cação da </w:t>
      </w:r>
      <w:r w:rsidR="009757BD" w:rsidRPr="00292532">
        <w:rPr>
          <w:rFonts w:asciiTheme="minorHAnsi" w:eastAsia="Times New Roman" w:hAnsiTheme="minorHAnsi" w:cs="Calibri"/>
          <w:lang w:val="pt-PT"/>
        </w:rPr>
        <w:t xml:space="preserve">proposta da solução ao reclamante e </w:t>
      </w:r>
      <w:r w:rsidR="00324C3E" w:rsidRPr="00292532">
        <w:rPr>
          <w:rFonts w:asciiTheme="minorHAnsi" w:eastAsia="Times New Roman" w:hAnsiTheme="minorHAnsi" w:cs="Calibri"/>
          <w:lang w:val="pt-PT"/>
        </w:rPr>
        <w:t>obtenção de consensos para encerramento da reclamação ou queixa;</w:t>
      </w:r>
    </w:p>
    <w:p w14:paraId="30FD2AF8" w14:textId="155396CD" w:rsidR="009757BD" w:rsidRPr="00292532" w:rsidRDefault="009757BD" w:rsidP="00AE14AE">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jc w:val="left"/>
        <w:rPr>
          <w:rFonts w:asciiTheme="minorHAnsi" w:eastAsia="Times New Roman" w:hAnsiTheme="minorHAnsi" w:cs="Calibri"/>
          <w:lang w:val="pt-PT"/>
        </w:rPr>
      </w:pPr>
      <w:r w:rsidRPr="00292532">
        <w:rPr>
          <w:rFonts w:asciiTheme="minorHAnsi" w:eastAsia="Times New Roman" w:hAnsiTheme="minorHAnsi" w:cs="Calibri"/>
          <w:b/>
          <w:bCs/>
          <w:lang w:val="pt-PT"/>
        </w:rPr>
        <w:t>Etapa 5</w:t>
      </w:r>
      <w:r w:rsidRPr="00292532">
        <w:rPr>
          <w:rFonts w:asciiTheme="minorHAnsi" w:eastAsia="Times New Roman" w:hAnsiTheme="minorHAnsi" w:cs="Calibri"/>
          <w:lang w:val="pt-PT"/>
        </w:rPr>
        <w:t>: Implementa</w:t>
      </w:r>
      <w:r w:rsidR="00324C3E" w:rsidRPr="00292532">
        <w:rPr>
          <w:rFonts w:asciiTheme="minorHAnsi" w:eastAsia="Times New Roman" w:hAnsiTheme="minorHAnsi" w:cs="Calibri"/>
          <w:lang w:val="pt-PT"/>
        </w:rPr>
        <w:t xml:space="preserve">ção da solução </w:t>
      </w:r>
      <w:r w:rsidRPr="00292532">
        <w:rPr>
          <w:rFonts w:asciiTheme="minorHAnsi" w:eastAsia="Times New Roman" w:hAnsiTheme="minorHAnsi" w:cs="Calibri"/>
          <w:lang w:val="pt-PT"/>
        </w:rPr>
        <w:t>para resolver a reclamação</w:t>
      </w:r>
      <w:r w:rsidR="00324C3E" w:rsidRPr="00292532">
        <w:rPr>
          <w:rFonts w:asciiTheme="minorHAnsi" w:eastAsia="Times New Roman" w:hAnsiTheme="minorHAnsi" w:cs="Calibri"/>
          <w:lang w:val="pt-PT"/>
        </w:rPr>
        <w:t>, com base no consenso alcançado;</w:t>
      </w:r>
    </w:p>
    <w:p w14:paraId="7B66288F" w14:textId="11009905" w:rsidR="009757BD" w:rsidRPr="00292532" w:rsidRDefault="009757BD" w:rsidP="00AE14AE">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jc w:val="left"/>
        <w:rPr>
          <w:rFonts w:asciiTheme="minorHAnsi" w:eastAsia="Times New Roman" w:hAnsiTheme="minorHAnsi" w:cs="Calibri"/>
          <w:lang w:val="pt-PT"/>
        </w:rPr>
      </w:pPr>
      <w:r w:rsidRPr="00292532">
        <w:rPr>
          <w:rFonts w:asciiTheme="minorHAnsi" w:eastAsia="Times New Roman" w:hAnsiTheme="minorHAnsi" w:cs="Calibri"/>
          <w:b/>
          <w:bCs/>
          <w:lang w:val="pt-PT"/>
        </w:rPr>
        <w:t>Etapa 6:</w:t>
      </w:r>
      <w:r w:rsidRPr="00292532">
        <w:rPr>
          <w:rFonts w:asciiTheme="minorHAnsi" w:eastAsia="Times New Roman" w:hAnsiTheme="minorHAnsi" w:cs="Calibri"/>
          <w:lang w:val="pt-PT"/>
        </w:rPr>
        <w:t xml:space="preserve"> </w:t>
      </w:r>
      <w:r w:rsidR="00324C3E" w:rsidRPr="00292532">
        <w:rPr>
          <w:rFonts w:asciiTheme="minorHAnsi" w:eastAsia="Times New Roman" w:hAnsiTheme="minorHAnsi" w:cs="Calibri"/>
          <w:lang w:val="pt-PT"/>
        </w:rPr>
        <w:t xml:space="preserve">Em caso de desacordo, revisão da proposta </w:t>
      </w:r>
      <w:proofErr w:type="spellStart"/>
      <w:r w:rsidR="00324C3E" w:rsidRPr="00292532">
        <w:rPr>
          <w:rFonts w:asciiTheme="minorHAnsi" w:eastAsia="Times New Roman" w:hAnsiTheme="minorHAnsi" w:cs="Calibri"/>
          <w:lang w:val="pt-PT"/>
        </w:rPr>
        <w:t>efectuada</w:t>
      </w:r>
      <w:proofErr w:type="spellEnd"/>
      <w:r w:rsidR="00324C3E" w:rsidRPr="00292532">
        <w:rPr>
          <w:rFonts w:asciiTheme="minorHAnsi" w:eastAsia="Times New Roman" w:hAnsiTheme="minorHAnsi" w:cs="Calibri"/>
          <w:lang w:val="pt-PT"/>
        </w:rPr>
        <w:t xml:space="preserve"> e proposta de nova solu</w:t>
      </w:r>
      <w:r w:rsidRPr="00292532">
        <w:rPr>
          <w:rFonts w:asciiTheme="minorHAnsi" w:eastAsia="Times New Roman" w:hAnsiTheme="minorHAnsi" w:cs="Calibri"/>
          <w:lang w:val="pt-PT"/>
        </w:rPr>
        <w:t>ção</w:t>
      </w:r>
      <w:r w:rsidR="00324C3E" w:rsidRPr="00292532">
        <w:rPr>
          <w:rFonts w:asciiTheme="minorHAnsi" w:eastAsia="Times New Roman" w:hAnsiTheme="minorHAnsi" w:cs="Calibri"/>
          <w:lang w:val="pt-PT"/>
        </w:rPr>
        <w:t>;</w:t>
      </w:r>
    </w:p>
    <w:p w14:paraId="192EE632" w14:textId="18FCB00E" w:rsidR="009757BD" w:rsidRPr="00292532" w:rsidRDefault="009757BD" w:rsidP="00AE14AE">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jc w:val="left"/>
        <w:rPr>
          <w:rFonts w:asciiTheme="minorHAnsi" w:eastAsia="Times New Roman" w:hAnsiTheme="minorHAnsi" w:cs="Calibri"/>
          <w:lang w:val="pt-PT"/>
        </w:rPr>
      </w:pPr>
      <w:r w:rsidRPr="00292532">
        <w:rPr>
          <w:rFonts w:asciiTheme="minorHAnsi" w:eastAsia="Times New Roman" w:hAnsiTheme="minorHAnsi" w:cs="Calibri"/>
          <w:b/>
          <w:bCs/>
          <w:lang w:val="pt-PT"/>
        </w:rPr>
        <w:t>Etapa 7</w:t>
      </w:r>
      <w:r w:rsidRPr="00292532">
        <w:rPr>
          <w:rFonts w:asciiTheme="minorHAnsi" w:eastAsia="Times New Roman" w:hAnsiTheme="minorHAnsi" w:cs="Calibri"/>
          <w:lang w:val="pt-PT"/>
        </w:rPr>
        <w:t xml:space="preserve">: </w:t>
      </w:r>
      <w:r w:rsidR="00C24E45" w:rsidRPr="00292532">
        <w:rPr>
          <w:rFonts w:asciiTheme="minorHAnsi" w:eastAsia="Times New Roman" w:hAnsiTheme="minorHAnsi" w:cs="Calibri"/>
          <w:lang w:val="pt-PT"/>
        </w:rPr>
        <w:t>E</w:t>
      </w:r>
      <w:r w:rsidR="00324C3E" w:rsidRPr="00292532">
        <w:rPr>
          <w:rFonts w:asciiTheme="minorHAnsi" w:eastAsia="Times New Roman" w:hAnsiTheme="minorHAnsi" w:cs="Calibri"/>
          <w:lang w:val="pt-PT"/>
        </w:rPr>
        <w:t>ncerramento da reclamação/</w:t>
      </w:r>
      <w:r w:rsidRPr="00292532">
        <w:rPr>
          <w:rFonts w:asciiTheme="minorHAnsi" w:eastAsia="Times New Roman" w:hAnsiTheme="minorHAnsi" w:cs="Calibri"/>
          <w:lang w:val="pt-PT"/>
        </w:rPr>
        <w:t xml:space="preserve">queixa ou </w:t>
      </w:r>
      <w:r w:rsidR="00324C3E" w:rsidRPr="00292532">
        <w:rPr>
          <w:rFonts w:asciiTheme="minorHAnsi" w:eastAsia="Times New Roman" w:hAnsiTheme="minorHAnsi" w:cs="Calibri"/>
          <w:lang w:val="pt-PT"/>
        </w:rPr>
        <w:t xml:space="preserve">tramitação para o </w:t>
      </w:r>
      <w:r w:rsidRPr="00292532">
        <w:rPr>
          <w:rFonts w:asciiTheme="minorHAnsi" w:eastAsia="Times New Roman" w:hAnsiTheme="minorHAnsi" w:cs="Calibri"/>
          <w:lang w:val="pt-PT"/>
        </w:rPr>
        <w:t xml:space="preserve">nível </w:t>
      </w:r>
      <w:r w:rsidR="00324C3E" w:rsidRPr="00292532">
        <w:rPr>
          <w:rFonts w:asciiTheme="minorHAnsi" w:eastAsia="Times New Roman" w:hAnsiTheme="minorHAnsi" w:cs="Calibri"/>
          <w:lang w:val="pt-PT"/>
        </w:rPr>
        <w:t>seguinte.</w:t>
      </w:r>
    </w:p>
    <w:p w14:paraId="3741C389" w14:textId="77777777" w:rsidR="009757BD" w:rsidRPr="00292532" w:rsidRDefault="009757BD" w:rsidP="00753D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left="720"/>
        <w:rPr>
          <w:rFonts w:asciiTheme="minorHAnsi" w:eastAsia="Times New Roman" w:hAnsiTheme="minorHAnsi" w:cs="Calibri"/>
          <w:lang w:val="pt-PT"/>
        </w:rPr>
      </w:pPr>
    </w:p>
    <w:p w14:paraId="70F74186" w14:textId="02E61EC6" w:rsidR="009757BD" w:rsidRPr="00292532" w:rsidRDefault="00324C3E" w:rsidP="00753D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rPr>
          <w:rFonts w:asciiTheme="minorHAnsi" w:eastAsia="Times New Roman" w:hAnsiTheme="minorHAnsi" w:cs="Calibri"/>
          <w:lang w:val="pt-PT"/>
        </w:rPr>
      </w:pPr>
      <w:r w:rsidRPr="00292532">
        <w:rPr>
          <w:rFonts w:asciiTheme="minorHAnsi" w:eastAsia="Times New Roman" w:hAnsiTheme="minorHAnsi" w:cs="Calibri"/>
          <w:lang w:val="pt-PT"/>
        </w:rPr>
        <w:t xml:space="preserve">Se esgotadas todas as possibilidades de acordo, o reclamante </w:t>
      </w:r>
      <w:r w:rsidR="009757BD" w:rsidRPr="00292532">
        <w:rPr>
          <w:rFonts w:asciiTheme="minorHAnsi" w:eastAsia="Times New Roman" w:hAnsiTheme="minorHAnsi" w:cs="Calibri"/>
          <w:lang w:val="pt-PT"/>
        </w:rPr>
        <w:t xml:space="preserve">deverá ser informado do seu direito ao recurso legal. O diagrama abaixo resume o processo de </w:t>
      </w:r>
      <w:r w:rsidR="009C3E6E" w:rsidRPr="00292532">
        <w:rPr>
          <w:rFonts w:asciiTheme="minorHAnsi" w:eastAsia="Times New Roman" w:hAnsiTheme="minorHAnsi" w:cs="Calibri"/>
          <w:lang w:val="pt-PT"/>
        </w:rPr>
        <w:t>MQR</w:t>
      </w:r>
      <w:r w:rsidR="009757BD" w:rsidRPr="00292532">
        <w:rPr>
          <w:rFonts w:asciiTheme="minorHAnsi" w:eastAsia="Times New Roman" w:hAnsiTheme="minorHAnsi" w:cs="Calibri"/>
          <w:lang w:val="pt-PT"/>
        </w:rPr>
        <w:t xml:space="preserve"> e os níveis de recorrência que o queixoso tem direito.</w:t>
      </w:r>
    </w:p>
    <w:p w14:paraId="58999AF4" w14:textId="77777777" w:rsidR="009757BD" w:rsidRPr="00292532" w:rsidRDefault="009757BD" w:rsidP="00753D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rPr>
          <w:rFonts w:asciiTheme="minorHAnsi" w:eastAsia="Times New Roman" w:hAnsiTheme="minorHAnsi" w:cs="Calibri"/>
          <w:lang w:val="pt-PT"/>
        </w:rPr>
      </w:pPr>
    </w:p>
    <w:p w14:paraId="17DA646D" w14:textId="77777777" w:rsidR="009757BD" w:rsidRPr="00292532" w:rsidRDefault="009757BD" w:rsidP="00753D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left="10" w:hanging="10"/>
        <w:rPr>
          <w:rFonts w:asciiTheme="minorHAnsi" w:eastAsia="Times New Roman" w:hAnsiTheme="minorHAnsi" w:cs="Calibri"/>
          <w:lang w:val="pt-PT"/>
        </w:rPr>
      </w:pPr>
    </w:p>
    <w:p w14:paraId="304B5EA6" w14:textId="77777777" w:rsidR="009757BD" w:rsidRPr="00292532" w:rsidRDefault="009757BD" w:rsidP="00753D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left="10" w:hanging="10"/>
        <w:rPr>
          <w:rFonts w:asciiTheme="minorHAnsi" w:eastAsia="Times New Roman" w:hAnsiTheme="minorHAnsi" w:cs="Calibri"/>
          <w:lang w:val="pt-PT"/>
        </w:rPr>
      </w:pPr>
    </w:p>
    <w:p w14:paraId="567AD0DB" w14:textId="77777777" w:rsidR="009757BD" w:rsidRPr="00292532" w:rsidRDefault="009757BD" w:rsidP="00753D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left="10" w:hanging="10"/>
        <w:rPr>
          <w:rFonts w:asciiTheme="minorHAnsi" w:eastAsia="Times New Roman" w:hAnsiTheme="minorHAnsi" w:cs="Calibri"/>
          <w:lang w:val="pt-PT"/>
        </w:rPr>
      </w:pPr>
    </w:p>
    <w:p w14:paraId="40AB577F" w14:textId="7EA4DB4B" w:rsidR="009757BD" w:rsidRPr="00292532" w:rsidRDefault="009757BD" w:rsidP="00753DC0">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rPr>
          <w:rFonts w:asciiTheme="minorHAnsi" w:eastAsia="Calibri" w:hAnsiTheme="minorHAnsi" w:cs="Times New Roman"/>
          <w:lang w:val="pt-PT"/>
        </w:rPr>
      </w:pPr>
      <w:r w:rsidRPr="00292532">
        <w:rPr>
          <w:rFonts w:asciiTheme="minorHAnsi" w:eastAsia="Times New Roman" w:hAnsiTheme="minorHAnsi" w:cs="Calibri"/>
          <w:noProof/>
          <w:color w:val="000000"/>
          <w:lang w:val="en-US"/>
        </w:rPr>
        <w:lastRenderedPageBreak/>
        <mc:AlternateContent>
          <mc:Choice Requires="wps">
            <w:drawing>
              <wp:anchor distT="0" distB="0" distL="114300" distR="114300" simplePos="0" relativeHeight="252051456" behindDoc="0" locked="0" layoutInCell="1" allowOverlap="1" wp14:anchorId="26A587AB" wp14:editId="3752627E">
                <wp:simplePos x="0" y="0"/>
                <wp:positionH relativeFrom="column">
                  <wp:posOffset>2512060</wp:posOffset>
                </wp:positionH>
                <wp:positionV relativeFrom="paragraph">
                  <wp:posOffset>3110230</wp:posOffset>
                </wp:positionV>
                <wp:extent cx="1409700" cy="270510"/>
                <wp:effectExtent l="0" t="1905" r="17145" b="17145"/>
                <wp:wrapNone/>
                <wp:docPr id="210" name="Rectangle: Rounded Corners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409700" cy="270510"/>
                        </a:xfrm>
                        <a:prstGeom prst="roundRect">
                          <a:avLst/>
                        </a:prstGeom>
                        <a:solidFill>
                          <a:srgbClr val="92D050"/>
                        </a:solidFill>
                        <a:ln w="12700" cap="flat" cmpd="sng" algn="ctr">
                          <a:solidFill>
                            <a:sysClr val="windowText" lastClr="000000"/>
                          </a:solidFill>
                          <a:prstDash val="solid"/>
                          <a:miter lim="800000"/>
                        </a:ln>
                        <a:effectLst/>
                      </wps:spPr>
                      <wps:txbx>
                        <w:txbxContent>
                          <w:p w14:paraId="1D873E38" w14:textId="77777777" w:rsidR="00857196" w:rsidRPr="00A956DF" w:rsidRDefault="00857196" w:rsidP="00324C3E">
                            <w:pPr>
                              <w:spacing w:before="0" w:after="0"/>
                              <w:jc w:val="center"/>
                              <w:rPr>
                                <w:rFonts w:cs="Times New Roman"/>
                                <w:b/>
                                <w:bCs/>
                                <w:color w:val="000000"/>
                                <w:kern w:val="24"/>
                                <w:sz w:val="18"/>
                                <w:szCs w:val="18"/>
                              </w:rPr>
                            </w:pPr>
                            <w:r w:rsidRPr="00A956DF">
                              <w:rPr>
                                <w:rFonts w:cs="Times New Roman"/>
                                <w:b/>
                                <w:bCs/>
                                <w:color w:val="000000"/>
                                <w:kern w:val="24"/>
                                <w:sz w:val="18"/>
                                <w:szCs w:val="18"/>
                              </w:rPr>
                              <w:t>Reclamação resolvida</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oundrect w14:anchorId="26A587AB" id="Rectangle: Rounded Corners 210" o:spid="_x0000_s1026" style="position:absolute;left:0;text-align:left;margin-left:197.8pt;margin-top:244.9pt;width:111pt;height:21.3pt;rotation:-90;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" fillcolor="#92d050" strokecolor="windowText" strokeweight="1pt">
                <v:stroke joinstyle="miter"/>
                <v:path arrowok="t"/>
                <v:textbox>
                  <w:txbxContent>
                    <w:p w14:paraId="1D873E38" w14:textId="77777777" w:rsidR="00857196" w:rsidRPr="00A956DF" w:rsidRDefault="00857196" w:rsidP="00324C3E">
                      <w:pPr>
                        <w:spacing w:before="0" w:after="0"/>
                        <w:jc w:val="center"/>
                        <w:rPr>
                          <w:rFonts w:cs="Times New Roman"/>
                          <w:b/>
                          <w:bCs/>
                          <w:color w:val="000000"/>
                          <w:kern w:val="24"/>
                          <w:sz w:val="18"/>
                          <w:szCs w:val="18"/>
                        </w:rPr>
                      </w:pPr>
                      <w:r w:rsidRPr="00A956DF">
                        <w:rPr>
                          <w:rFonts w:cs="Times New Roman"/>
                          <w:b/>
                          <w:bCs/>
                          <w:color w:val="000000"/>
                          <w:kern w:val="24"/>
                          <w:sz w:val="18"/>
                          <w:szCs w:val="18"/>
                        </w:rPr>
                        <w:t>Reclamação resolvida</w:t>
                      </w:r>
                    </w:p>
                  </w:txbxContent>
                </v:textbox>
              </v:roundrect>
            </w:pict>
          </mc:Fallback>
        </mc:AlternateContent>
      </w:r>
      <w:r w:rsidRPr="00292532">
        <w:rPr>
          <w:rFonts w:asciiTheme="minorHAnsi" w:eastAsia="Times New Roman" w:hAnsiTheme="minorHAnsi" w:cs="Calibri"/>
          <w:noProof/>
          <w:color w:val="000000"/>
          <w:lang w:val="en-US"/>
        </w:rPr>
        <mc:AlternateContent>
          <mc:Choice Requires="wpg">
            <w:drawing>
              <wp:inline distT="0" distB="0" distL="0" distR="0" wp14:anchorId="6E995E87" wp14:editId="0CCC4A52">
                <wp:extent cx="5947576" cy="4699110"/>
                <wp:effectExtent l="0" t="0" r="15240" b="25400"/>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7576" cy="4699110"/>
                          <a:chOff x="0" y="0"/>
                          <a:chExt cx="8747760" cy="6056630"/>
                        </a:xfrm>
                      </wpg:grpSpPr>
                      <wps:wsp>
                        <wps:cNvPr id="212" name="Retângulo: Cantos Arredondados 11"/>
                        <wps:cNvSpPr/>
                        <wps:spPr>
                          <a:xfrm>
                            <a:off x="2895600" y="0"/>
                            <a:ext cx="3251090" cy="599440"/>
                          </a:xfrm>
                          <a:prstGeom prst="roundRect">
                            <a:avLst/>
                          </a:prstGeom>
                          <a:solidFill>
                            <a:sysClr val="window" lastClr="FFFFFF">
                              <a:lumMod val="95000"/>
                            </a:sysClr>
                          </a:solidFill>
                          <a:ln w="12700" cap="flat" cmpd="sng" algn="ctr">
                            <a:solidFill>
                              <a:sysClr val="window" lastClr="FFFFFF">
                                <a:lumMod val="85000"/>
                              </a:sysClr>
                            </a:solidFill>
                            <a:prstDash val="solid"/>
                            <a:miter lim="800000"/>
                          </a:ln>
                          <a:effectLst/>
                        </wps:spPr>
                        <wps:txbx>
                          <w:txbxContent>
                            <w:p w14:paraId="61C45E74" w14:textId="77777777" w:rsidR="00857196" w:rsidRPr="00324C3E" w:rsidRDefault="00857196" w:rsidP="00324C3E">
                              <w:pPr>
                                <w:spacing w:before="0" w:after="0"/>
                                <w:jc w:val="center"/>
                                <w:rPr>
                                  <w:rFonts w:cs="Times New Roman"/>
                                  <w:b/>
                                  <w:bCs/>
                                  <w:color w:val="000000"/>
                                  <w:kern w:val="24"/>
                                  <w:sz w:val="16"/>
                                  <w:szCs w:val="16"/>
                                  <w:lang w:val="pt-PT"/>
                                </w:rPr>
                              </w:pPr>
                              <w:r w:rsidRPr="00324C3E">
                                <w:rPr>
                                  <w:rFonts w:cs="Times New Roman"/>
                                  <w:b/>
                                  <w:bCs/>
                                  <w:color w:val="000000"/>
                                  <w:kern w:val="24"/>
                                  <w:sz w:val="16"/>
                                  <w:szCs w:val="16"/>
                                  <w:lang w:val="pt-PT"/>
                                </w:rPr>
                                <w:t>Reclamação levantada pela parte afetada / interessada</w:t>
                              </w:r>
                            </w:p>
                          </w:txbxContent>
                        </wps:txbx>
                        <wps:bodyPr rtlCol="0" anchor="ctr"/>
                      </wps:wsp>
                      <wps:wsp>
                        <wps:cNvPr id="213" name="Retângulo: Cantos Arredondados 12"/>
                        <wps:cNvSpPr/>
                        <wps:spPr>
                          <a:xfrm>
                            <a:off x="1612169" y="883595"/>
                            <a:ext cx="5936982" cy="470473"/>
                          </a:xfrm>
                          <a:prstGeom prst="roundRect">
                            <a:avLst/>
                          </a:prstGeom>
                          <a:solidFill>
                            <a:sysClr val="window" lastClr="FFFFFF">
                              <a:lumMod val="85000"/>
                            </a:sysClr>
                          </a:solidFill>
                          <a:ln w="12700" cap="flat" cmpd="sng" algn="ctr">
                            <a:solidFill>
                              <a:sysClr val="window" lastClr="FFFFFF">
                                <a:lumMod val="85000"/>
                              </a:sysClr>
                            </a:solidFill>
                            <a:prstDash val="solid"/>
                            <a:miter lim="800000"/>
                          </a:ln>
                          <a:effectLst/>
                        </wps:spPr>
                        <wps:txbx>
                          <w:txbxContent>
                            <w:p w14:paraId="52AB9306" w14:textId="77777777" w:rsidR="00857196" w:rsidRPr="00324C3E" w:rsidRDefault="00857196" w:rsidP="00324C3E">
                              <w:pPr>
                                <w:spacing w:before="0" w:after="0"/>
                                <w:jc w:val="center"/>
                                <w:rPr>
                                  <w:rFonts w:cs="Times New Roman"/>
                                  <w:b/>
                                  <w:bCs/>
                                  <w:color w:val="000000"/>
                                  <w:kern w:val="24"/>
                                  <w:sz w:val="16"/>
                                  <w:szCs w:val="16"/>
                                  <w:lang w:val="pt-PT"/>
                                </w:rPr>
                              </w:pPr>
                              <w:r w:rsidRPr="00324C3E">
                                <w:rPr>
                                  <w:rFonts w:cs="Times New Roman"/>
                                  <w:b/>
                                  <w:bCs/>
                                  <w:color w:val="000000"/>
                                  <w:kern w:val="24"/>
                                  <w:sz w:val="16"/>
                                  <w:szCs w:val="16"/>
                                  <w:lang w:val="pt-PT"/>
                                </w:rPr>
                                <w:t xml:space="preserve">Ponto focal/empreteiro/acusa a recepção </w:t>
                              </w:r>
                            </w:p>
                            <w:p w14:paraId="1B3434F5" w14:textId="77777777" w:rsidR="00857196" w:rsidRPr="00324C3E" w:rsidRDefault="00857196" w:rsidP="00324C3E">
                              <w:pPr>
                                <w:spacing w:before="0" w:after="0"/>
                                <w:jc w:val="center"/>
                                <w:rPr>
                                  <w:rFonts w:cs="Times New Roman"/>
                                  <w:b/>
                                  <w:bCs/>
                                  <w:color w:val="000000"/>
                                  <w:kern w:val="24"/>
                                  <w:sz w:val="16"/>
                                  <w:szCs w:val="16"/>
                                  <w:lang w:val="pt-PT"/>
                                </w:rPr>
                              </w:pPr>
                            </w:p>
                            <w:p w14:paraId="3CE0646F" w14:textId="77777777" w:rsidR="00857196" w:rsidRPr="00324C3E" w:rsidRDefault="00857196" w:rsidP="00324C3E">
                              <w:pPr>
                                <w:spacing w:before="0" w:after="0"/>
                                <w:jc w:val="center"/>
                                <w:rPr>
                                  <w:rFonts w:cs="Times New Roman"/>
                                  <w:b/>
                                  <w:bCs/>
                                  <w:color w:val="000000"/>
                                  <w:kern w:val="24"/>
                                  <w:sz w:val="16"/>
                                  <w:szCs w:val="16"/>
                                  <w:lang w:val="pt-PT"/>
                                </w:rPr>
                              </w:pPr>
                            </w:p>
                            <w:p w14:paraId="0779D077" w14:textId="77777777" w:rsidR="00857196" w:rsidRPr="00324C3E" w:rsidRDefault="00857196" w:rsidP="00324C3E">
                              <w:pPr>
                                <w:spacing w:before="0" w:after="0"/>
                                <w:jc w:val="center"/>
                                <w:rPr>
                                  <w:rFonts w:cs="Times New Roman"/>
                                  <w:b/>
                                  <w:bCs/>
                                  <w:color w:val="000000"/>
                                  <w:kern w:val="24"/>
                                  <w:sz w:val="16"/>
                                  <w:szCs w:val="16"/>
                                  <w:lang w:val="pt-PT"/>
                                </w:rPr>
                              </w:pPr>
                            </w:p>
                          </w:txbxContent>
                        </wps:txbx>
                        <wps:bodyPr rtlCol="0" anchor="ctr"/>
                      </wps:wsp>
                      <wps:wsp>
                        <wps:cNvPr id="214" name="Retângulo: Cantos Arredondados 13"/>
                        <wps:cNvSpPr/>
                        <wps:spPr>
                          <a:xfrm>
                            <a:off x="2687565" y="1574800"/>
                            <a:ext cx="3267234" cy="508000"/>
                          </a:xfrm>
                          <a:prstGeom prst="roundRect">
                            <a:avLst/>
                          </a:prstGeom>
                          <a:solidFill>
                            <a:sysClr val="window" lastClr="FFFFFF">
                              <a:lumMod val="85000"/>
                            </a:sysClr>
                          </a:solidFill>
                          <a:ln w="12700" cap="flat" cmpd="sng" algn="ctr">
                            <a:solidFill>
                              <a:sysClr val="window" lastClr="FFFFFF">
                                <a:lumMod val="85000"/>
                              </a:sysClr>
                            </a:solidFill>
                            <a:prstDash val="solid"/>
                            <a:miter lim="800000"/>
                          </a:ln>
                          <a:effectLst/>
                        </wps:spPr>
                        <wps:txbx>
                          <w:txbxContent>
                            <w:p w14:paraId="7D97A769" w14:textId="77777777" w:rsidR="00857196" w:rsidRPr="00324C3E" w:rsidRDefault="00857196" w:rsidP="00324C3E">
                              <w:pPr>
                                <w:spacing w:before="0" w:after="0"/>
                                <w:jc w:val="center"/>
                                <w:rPr>
                                  <w:rFonts w:cs="Times New Roman"/>
                                  <w:b/>
                                  <w:bCs/>
                                  <w:color w:val="000000"/>
                                  <w:kern w:val="24"/>
                                  <w:sz w:val="16"/>
                                  <w:szCs w:val="16"/>
                                  <w:lang w:val="pt-PT"/>
                                </w:rPr>
                              </w:pPr>
                              <w:r w:rsidRPr="00324C3E">
                                <w:rPr>
                                  <w:rFonts w:cs="Times New Roman"/>
                                  <w:b/>
                                  <w:bCs/>
                                  <w:color w:val="000000"/>
                                  <w:kern w:val="24"/>
                                  <w:sz w:val="16"/>
                                  <w:szCs w:val="16"/>
                                  <w:lang w:val="pt-PT"/>
                                </w:rPr>
                                <w:t>Reclamação enviada e resolvida pelo CGR no nível do ponto focal do subprojecto</w:t>
                              </w:r>
                            </w:p>
                          </w:txbxContent>
                        </wps:txbx>
                        <wps:bodyPr rtlCol="0" anchor="ctr"/>
                      </wps:wsp>
                      <wps:wsp>
                        <wps:cNvPr id="215" name="Retângulo: Cantos Arredondados 14"/>
                        <wps:cNvSpPr/>
                        <wps:spPr>
                          <a:xfrm>
                            <a:off x="0" y="3315970"/>
                            <a:ext cx="3749040" cy="396240"/>
                          </a:xfrm>
                          <a:prstGeom prst="roundRect">
                            <a:avLst/>
                          </a:prstGeom>
                          <a:solidFill>
                            <a:srgbClr val="92D050"/>
                          </a:solidFill>
                          <a:ln w="12700" cap="flat" cmpd="sng" algn="ctr">
                            <a:solidFill>
                              <a:sysClr val="window" lastClr="FFFFFF">
                                <a:lumMod val="85000"/>
                              </a:sysClr>
                            </a:solidFill>
                            <a:prstDash val="solid"/>
                            <a:miter lim="800000"/>
                          </a:ln>
                          <a:effectLst/>
                        </wps:spPr>
                        <wps:txbx>
                          <w:txbxContent>
                            <w:p w14:paraId="624B8476" w14:textId="05B869B0" w:rsidR="00857196" w:rsidRPr="00324C3E" w:rsidRDefault="00857196" w:rsidP="00324C3E">
                              <w:pPr>
                                <w:spacing w:before="0" w:after="0"/>
                                <w:jc w:val="center"/>
                                <w:rPr>
                                  <w:rFonts w:cs="Times New Roman"/>
                                  <w:b/>
                                  <w:bCs/>
                                  <w:color w:val="000000"/>
                                  <w:kern w:val="24"/>
                                  <w:sz w:val="16"/>
                                  <w:szCs w:val="16"/>
                                  <w:lang w:val="pt-PT"/>
                                </w:rPr>
                              </w:pPr>
                              <w:r w:rsidRPr="00324C3E">
                                <w:rPr>
                                  <w:rFonts w:cs="Times New Roman"/>
                                  <w:b/>
                                  <w:bCs/>
                                  <w:color w:val="000000"/>
                                  <w:kern w:val="24"/>
                                  <w:sz w:val="16"/>
                                  <w:szCs w:val="16"/>
                                  <w:lang w:val="pt-PT"/>
                                </w:rPr>
                                <w:t xml:space="preserve">Informe o reclamante </w:t>
                              </w:r>
                            </w:p>
                          </w:txbxContent>
                        </wps:txbx>
                        <wps:bodyPr rtlCol="0" anchor="ctr"/>
                      </wps:wsp>
                      <wps:wsp>
                        <wps:cNvPr id="216" name="Retângulo: Cantos Arredondados 15"/>
                        <wps:cNvSpPr/>
                        <wps:spPr>
                          <a:xfrm>
                            <a:off x="0" y="4055110"/>
                            <a:ext cx="3749040" cy="396240"/>
                          </a:xfrm>
                          <a:prstGeom prst="roundRect">
                            <a:avLst/>
                          </a:prstGeom>
                          <a:solidFill>
                            <a:srgbClr val="92D050"/>
                          </a:solidFill>
                          <a:ln w="12700" cap="flat" cmpd="sng" algn="ctr">
                            <a:solidFill>
                              <a:sysClr val="window" lastClr="FFFFFF">
                                <a:lumMod val="85000"/>
                              </a:sysClr>
                            </a:solidFill>
                            <a:prstDash val="solid"/>
                            <a:miter lim="800000"/>
                          </a:ln>
                          <a:effectLst/>
                        </wps:spPr>
                        <wps:txbx>
                          <w:txbxContent>
                            <w:p w14:paraId="69FF7CF6" w14:textId="77777777" w:rsidR="00857196" w:rsidRPr="00324C3E" w:rsidRDefault="00857196" w:rsidP="00324C3E">
                              <w:pPr>
                                <w:spacing w:before="0" w:after="0"/>
                                <w:jc w:val="center"/>
                                <w:rPr>
                                  <w:rFonts w:cs="Times New Roman"/>
                                  <w:b/>
                                  <w:bCs/>
                                  <w:color w:val="000000"/>
                                  <w:kern w:val="24"/>
                                  <w:sz w:val="16"/>
                                  <w:szCs w:val="16"/>
                                </w:rPr>
                              </w:pPr>
                              <w:r w:rsidRPr="00324C3E">
                                <w:rPr>
                                  <w:rFonts w:cs="Times New Roman"/>
                                  <w:b/>
                                  <w:bCs/>
                                  <w:color w:val="000000"/>
                                  <w:kern w:val="24"/>
                                  <w:sz w:val="16"/>
                                  <w:szCs w:val="16"/>
                                </w:rPr>
                                <w:t>Implementação do acordo / solução acordada</w:t>
                              </w:r>
                            </w:p>
                          </w:txbxContent>
                        </wps:txbx>
                        <wps:bodyPr rtlCol="0" anchor="ctr"/>
                      </wps:wsp>
                      <wps:wsp>
                        <wps:cNvPr id="217" name="Retângulo: Cantos Arredondados 16"/>
                        <wps:cNvSpPr/>
                        <wps:spPr>
                          <a:xfrm>
                            <a:off x="0" y="4824730"/>
                            <a:ext cx="3749040" cy="396240"/>
                          </a:xfrm>
                          <a:prstGeom prst="roundRect">
                            <a:avLst/>
                          </a:prstGeom>
                          <a:solidFill>
                            <a:srgbClr val="92D050"/>
                          </a:solidFill>
                          <a:ln w="12700" cap="flat" cmpd="sng" algn="ctr">
                            <a:solidFill>
                              <a:sysClr val="window" lastClr="FFFFFF">
                                <a:lumMod val="85000"/>
                              </a:sysClr>
                            </a:solidFill>
                            <a:prstDash val="solid"/>
                            <a:miter lim="800000"/>
                          </a:ln>
                          <a:effectLst/>
                        </wps:spPr>
                        <wps:txbx>
                          <w:txbxContent>
                            <w:p w14:paraId="3F57B608" w14:textId="77777777" w:rsidR="00857196" w:rsidRPr="00324C3E" w:rsidRDefault="00857196" w:rsidP="00324C3E">
                              <w:pPr>
                                <w:spacing w:before="0" w:after="0"/>
                                <w:jc w:val="center"/>
                                <w:rPr>
                                  <w:rFonts w:cs="Times New Roman"/>
                                  <w:b/>
                                  <w:bCs/>
                                  <w:color w:val="000000"/>
                                  <w:kern w:val="24"/>
                                  <w:sz w:val="16"/>
                                  <w:szCs w:val="16"/>
                                </w:rPr>
                              </w:pPr>
                              <w:r w:rsidRPr="00324C3E">
                                <w:rPr>
                                  <w:rFonts w:cs="Times New Roman"/>
                                  <w:b/>
                                  <w:bCs/>
                                  <w:color w:val="000000"/>
                                  <w:kern w:val="24"/>
                                  <w:sz w:val="16"/>
                                  <w:szCs w:val="16"/>
                                </w:rPr>
                                <w:t>Reclamante informado e satisfeito</w:t>
                              </w:r>
                            </w:p>
                          </w:txbxContent>
                        </wps:txbx>
                        <wps:bodyPr rtlCol="0" anchor="ctr"/>
                      </wps:wsp>
                      <wps:wsp>
                        <wps:cNvPr id="218" name="Retângulo: Cantos Arredondados 17"/>
                        <wps:cNvSpPr/>
                        <wps:spPr>
                          <a:xfrm>
                            <a:off x="1148082" y="2126615"/>
                            <a:ext cx="1452879" cy="638810"/>
                          </a:xfrm>
                          <a:prstGeom prst="roundRect">
                            <a:avLst/>
                          </a:prstGeom>
                          <a:solidFill>
                            <a:srgbClr val="92D050"/>
                          </a:solidFill>
                          <a:ln w="12700" cap="flat" cmpd="sng" algn="ctr">
                            <a:solidFill>
                              <a:sysClr val="window" lastClr="FFFFFF">
                                <a:lumMod val="85000"/>
                              </a:sysClr>
                            </a:solidFill>
                            <a:prstDash val="solid"/>
                            <a:miter lim="800000"/>
                          </a:ln>
                          <a:effectLst/>
                        </wps:spPr>
                        <wps:txbx>
                          <w:txbxContent>
                            <w:p w14:paraId="49EEEE16" w14:textId="77777777" w:rsidR="00857196" w:rsidRPr="00324C3E" w:rsidRDefault="00857196" w:rsidP="00324C3E">
                              <w:pPr>
                                <w:spacing w:before="0" w:after="0"/>
                                <w:jc w:val="center"/>
                                <w:rPr>
                                  <w:rFonts w:cs="Times New Roman"/>
                                  <w:b/>
                                  <w:bCs/>
                                  <w:color w:val="000000"/>
                                  <w:kern w:val="24"/>
                                  <w:sz w:val="16"/>
                                  <w:szCs w:val="16"/>
                                </w:rPr>
                              </w:pPr>
                              <w:r w:rsidRPr="00324C3E">
                                <w:rPr>
                                  <w:rFonts w:cs="Times New Roman"/>
                                  <w:b/>
                                  <w:bCs/>
                                  <w:color w:val="000000"/>
                                  <w:kern w:val="24"/>
                                  <w:sz w:val="16"/>
                                  <w:szCs w:val="16"/>
                                </w:rPr>
                                <w:t>Reclamação resolvida</w:t>
                              </w:r>
                            </w:p>
                          </w:txbxContent>
                        </wps:txbx>
                        <wps:bodyPr rtlCol="0" anchor="ctr"/>
                      </wps:wsp>
                      <wps:wsp>
                        <wps:cNvPr id="219" name="Retângulo: Cantos Arredondados 18"/>
                        <wps:cNvSpPr/>
                        <wps:spPr>
                          <a:xfrm>
                            <a:off x="4998720" y="3235960"/>
                            <a:ext cx="3749040" cy="396240"/>
                          </a:xfrm>
                          <a:prstGeom prst="roundRect">
                            <a:avLst/>
                          </a:prstGeom>
                          <a:solidFill>
                            <a:srgbClr val="FFC000">
                              <a:lumMod val="60000"/>
                              <a:lumOff val="40000"/>
                            </a:srgbClr>
                          </a:solidFill>
                          <a:ln w="12700" cap="flat" cmpd="sng" algn="ctr">
                            <a:solidFill>
                              <a:sysClr val="window" lastClr="FFFFFF">
                                <a:lumMod val="85000"/>
                              </a:sysClr>
                            </a:solidFill>
                            <a:prstDash val="solid"/>
                            <a:miter lim="800000"/>
                          </a:ln>
                          <a:effectLst/>
                        </wps:spPr>
                        <wps:txbx>
                          <w:txbxContent>
                            <w:p w14:paraId="15D93997" w14:textId="6A8AC32A" w:rsidR="00857196" w:rsidRPr="00324C3E" w:rsidRDefault="00857196" w:rsidP="00324C3E">
                              <w:pPr>
                                <w:spacing w:before="0" w:after="0"/>
                                <w:jc w:val="center"/>
                                <w:rPr>
                                  <w:rFonts w:cs="Times New Roman"/>
                                  <w:b/>
                                  <w:bCs/>
                                  <w:color w:val="000000"/>
                                  <w:kern w:val="24"/>
                                  <w:sz w:val="16"/>
                                  <w:szCs w:val="16"/>
                                </w:rPr>
                              </w:pPr>
                              <w:r w:rsidRPr="00324C3E">
                                <w:rPr>
                                  <w:rFonts w:cs="Times New Roman"/>
                                  <w:b/>
                                  <w:bCs/>
                                  <w:color w:val="000000"/>
                                  <w:kern w:val="24"/>
                                  <w:sz w:val="16"/>
                                  <w:szCs w:val="16"/>
                                </w:rPr>
                                <w:t xml:space="preserve">Intervenção da UT Distrital </w:t>
                              </w:r>
                            </w:p>
                          </w:txbxContent>
                        </wps:txbx>
                        <wps:bodyPr rtlCol="0" anchor="ctr"/>
                      </wps:wsp>
                      <wps:wsp>
                        <wps:cNvPr id="220" name="Retângulo: Cantos Arredondados 19"/>
                        <wps:cNvSpPr/>
                        <wps:spPr>
                          <a:xfrm>
                            <a:off x="4998720" y="4037330"/>
                            <a:ext cx="3749040" cy="396240"/>
                          </a:xfrm>
                          <a:prstGeom prst="roundRect">
                            <a:avLst/>
                          </a:prstGeom>
                          <a:solidFill>
                            <a:srgbClr val="FFC000">
                              <a:lumMod val="60000"/>
                              <a:lumOff val="40000"/>
                            </a:srgbClr>
                          </a:solidFill>
                          <a:ln w="12700" cap="flat" cmpd="sng" algn="ctr">
                            <a:solidFill>
                              <a:sysClr val="window" lastClr="FFFFFF">
                                <a:lumMod val="85000"/>
                              </a:sysClr>
                            </a:solidFill>
                            <a:prstDash val="solid"/>
                            <a:miter lim="800000"/>
                          </a:ln>
                          <a:effectLst/>
                        </wps:spPr>
                        <wps:txbx>
                          <w:txbxContent>
                            <w:p w14:paraId="4379EE82" w14:textId="77777777" w:rsidR="00857196" w:rsidRPr="00324C3E" w:rsidRDefault="00857196" w:rsidP="00324C3E">
                              <w:pPr>
                                <w:spacing w:before="0" w:after="0"/>
                                <w:jc w:val="center"/>
                                <w:rPr>
                                  <w:rFonts w:cs="Times New Roman"/>
                                  <w:b/>
                                  <w:bCs/>
                                  <w:color w:val="000000"/>
                                  <w:kern w:val="24"/>
                                  <w:sz w:val="16"/>
                                  <w:szCs w:val="16"/>
                                  <w:lang w:val="pt-PT"/>
                                </w:rPr>
                              </w:pPr>
                              <w:r w:rsidRPr="00324C3E">
                                <w:rPr>
                                  <w:rFonts w:cs="Times New Roman"/>
                                  <w:b/>
                                  <w:bCs/>
                                  <w:color w:val="000000"/>
                                  <w:kern w:val="24"/>
                                  <w:sz w:val="16"/>
                                  <w:szCs w:val="16"/>
                                  <w:lang w:val="pt-PT"/>
                                </w:rPr>
                                <w:t>Intervenção da UT Provincial</w:t>
                              </w:r>
                            </w:p>
                          </w:txbxContent>
                        </wps:txbx>
                        <wps:bodyPr rtlCol="0" anchor="ctr"/>
                      </wps:wsp>
                      <wps:wsp>
                        <wps:cNvPr id="221" name="Retângulo: Cantos Arredondados 20"/>
                        <wps:cNvSpPr/>
                        <wps:spPr>
                          <a:xfrm>
                            <a:off x="4998720" y="4838701"/>
                            <a:ext cx="3749040" cy="396240"/>
                          </a:xfrm>
                          <a:prstGeom prst="roundRect">
                            <a:avLst/>
                          </a:prstGeom>
                          <a:solidFill>
                            <a:srgbClr val="FFC000">
                              <a:lumMod val="60000"/>
                              <a:lumOff val="40000"/>
                            </a:srgbClr>
                          </a:solidFill>
                          <a:ln w="12700" cap="flat" cmpd="sng" algn="ctr">
                            <a:solidFill>
                              <a:sysClr val="window" lastClr="FFFFFF">
                                <a:lumMod val="85000"/>
                              </a:sysClr>
                            </a:solidFill>
                            <a:prstDash val="solid"/>
                            <a:miter lim="800000"/>
                          </a:ln>
                          <a:effectLst/>
                        </wps:spPr>
                        <wps:txbx>
                          <w:txbxContent>
                            <w:p w14:paraId="52B60A2B" w14:textId="77777777" w:rsidR="00857196" w:rsidRPr="00324C3E" w:rsidRDefault="00857196" w:rsidP="00324C3E">
                              <w:pPr>
                                <w:spacing w:before="0" w:after="0"/>
                                <w:jc w:val="center"/>
                                <w:rPr>
                                  <w:rFonts w:cs="Times New Roman"/>
                                  <w:b/>
                                  <w:bCs/>
                                  <w:color w:val="000000"/>
                                  <w:kern w:val="24"/>
                                  <w:sz w:val="16"/>
                                  <w:szCs w:val="16"/>
                                  <w:lang w:val="pt-PT"/>
                                </w:rPr>
                              </w:pPr>
                              <w:r w:rsidRPr="00324C3E">
                                <w:rPr>
                                  <w:rFonts w:cs="Times New Roman"/>
                                  <w:b/>
                                  <w:bCs/>
                                  <w:color w:val="000000"/>
                                  <w:kern w:val="24"/>
                                  <w:sz w:val="16"/>
                                  <w:szCs w:val="16"/>
                                  <w:lang w:val="pt-PT"/>
                                </w:rPr>
                                <w:t>Intervenção do UIP Central</w:t>
                              </w:r>
                            </w:p>
                          </w:txbxContent>
                        </wps:txbx>
                        <wps:bodyPr rtlCol="0" anchor="ctr"/>
                      </wps:wsp>
                      <wps:wsp>
                        <wps:cNvPr id="222" name="Retângulo: Cantos Arredondados 21"/>
                        <wps:cNvSpPr/>
                        <wps:spPr>
                          <a:xfrm>
                            <a:off x="6146801" y="2090420"/>
                            <a:ext cx="1452880" cy="711200"/>
                          </a:xfrm>
                          <a:prstGeom prst="roundRect">
                            <a:avLst/>
                          </a:prstGeom>
                          <a:solidFill>
                            <a:srgbClr val="FFC000">
                              <a:lumMod val="60000"/>
                              <a:lumOff val="40000"/>
                            </a:srgbClr>
                          </a:solidFill>
                          <a:ln w="12700" cap="flat" cmpd="sng" algn="ctr">
                            <a:solidFill>
                              <a:sysClr val="window" lastClr="FFFFFF">
                                <a:lumMod val="85000"/>
                              </a:sysClr>
                            </a:solidFill>
                            <a:prstDash val="solid"/>
                            <a:miter lim="800000"/>
                          </a:ln>
                          <a:effectLst/>
                        </wps:spPr>
                        <wps:txbx>
                          <w:txbxContent>
                            <w:p w14:paraId="1AE0360D" w14:textId="77777777" w:rsidR="00857196" w:rsidRPr="00324C3E" w:rsidRDefault="00857196" w:rsidP="00324C3E">
                              <w:pPr>
                                <w:spacing w:before="0" w:after="0"/>
                                <w:jc w:val="center"/>
                                <w:rPr>
                                  <w:rFonts w:cs="Times New Roman"/>
                                  <w:b/>
                                  <w:bCs/>
                                  <w:color w:val="000000"/>
                                  <w:kern w:val="24"/>
                                  <w:sz w:val="16"/>
                                  <w:szCs w:val="16"/>
                                </w:rPr>
                              </w:pPr>
                              <w:r w:rsidRPr="00324C3E">
                                <w:rPr>
                                  <w:rFonts w:cs="Times New Roman"/>
                                  <w:b/>
                                  <w:bCs/>
                                  <w:color w:val="000000"/>
                                  <w:kern w:val="24"/>
                                  <w:sz w:val="16"/>
                                  <w:szCs w:val="16"/>
                                </w:rPr>
                                <w:t>Reclamação não resolvida</w:t>
                              </w:r>
                            </w:p>
                          </w:txbxContent>
                        </wps:txbx>
                        <wps:bodyPr rtlCol="0" anchor="ctr"/>
                      </wps:wsp>
                      <wps:wsp>
                        <wps:cNvPr id="223" name="Retângulo: Cantos Arredondados 22"/>
                        <wps:cNvSpPr/>
                        <wps:spPr>
                          <a:xfrm>
                            <a:off x="4998720" y="5660390"/>
                            <a:ext cx="3749040" cy="396240"/>
                          </a:xfrm>
                          <a:prstGeom prst="roundRect">
                            <a:avLst/>
                          </a:prstGeom>
                          <a:solidFill>
                            <a:srgbClr val="FFC000">
                              <a:lumMod val="60000"/>
                              <a:lumOff val="40000"/>
                            </a:srgbClr>
                          </a:solidFill>
                          <a:ln w="12700" cap="flat" cmpd="sng" algn="ctr">
                            <a:solidFill>
                              <a:sysClr val="window" lastClr="FFFFFF">
                                <a:lumMod val="85000"/>
                              </a:sysClr>
                            </a:solidFill>
                            <a:prstDash val="solid"/>
                            <a:miter lim="800000"/>
                          </a:ln>
                          <a:effectLst/>
                        </wps:spPr>
                        <wps:txbx>
                          <w:txbxContent>
                            <w:p w14:paraId="08748462" w14:textId="6D3CF1B7" w:rsidR="00857196" w:rsidRPr="00324C3E" w:rsidRDefault="00857196" w:rsidP="00324C3E">
                              <w:pPr>
                                <w:spacing w:before="0" w:after="0"/>
                                <w:jc w:val="center"/>
                                <w:rPr>
                                  <w:rFonts w:cs="Times New Roman"/>
                                  <w:b/>
                                  <w:bCs/>
                                  <w:color w:val="000000"/>
                                  <w:kern w:val="24"/>
                                  <w:sz w:val="16"/>
                                  <w:szCs w:val="16"/>
                                  <w:lang w:val="pt-PT"/>
                                </w:rPr>
                              </w:pPr>
                              <w:r>
                                <w:rPr>
                                  <w:rFonts w:cs="Times New Roman"/>
                                  <w:b/>
                                  <w:bCs/>
                                  <w:color w:val="000000"/>
                                  <w:kern w:val="24"/>
                                  <w:sz w:val="16"/>
                                  <w:szCs w:val="16"/>
                                  <w:lang w:val="pt-PT"/>
                                </w:rPr>
                                <w:t xml:space="preserve">Envio a </w:t>
                              </w:r>
                              <w:r w:rsidRPr="00324C3E">
                                <w:rPr>
                                  <w:rFonts w:cs="Times New Roman"/>
                                  <w:b/>
                                  <w:bCs/>
                                  <w:color w:val="000000"/>
                                  <w:kern w:val="24"/>
                                  <w:sz w:val="16"/>
                                  <w:szCs w:val="16"/>
                                  <w:lang w:val="pt-PT"/>
                                </w:rPr>
                                <w:t>Justiça</w:t>
                              </w:r>
                            </w:p>
                          </w:txbxContent>
                        </wps:txbx>
                        <wps:bodyPr rtlCol="0" anchor="ctr"/>
                      </wps:wsp>
                      <wps:wsp>
                        <wps:cNvPr id="243" name="Retângulo 23"/>
                        <wps:cNvSpPr/>
                        <wps:spPr>
                          <a:xfrm>
                            <a:off x="7040880" y="3688715"/>
                            <a:ext cx="1574800" cy="292100"/>
                          </a:xfrm>
                          <a:prstGeom prst="rect">
                            <a:avLst/>
                          </a:prstGeom>
                          <a:solidFill>
                            <a:srgbClr val="FF0000"/>
                          </a:solidFill>
                          <a:ln w="12700" cap="flat" cmpd="sng" algn="ctr">
                            <a:solidFill>
                              <a:sysClr val="window" lastClr="FFFFFF">
                                <a:lumMod val="85000"/>
                              </a:sysClr>
                            </a:solidFill>
                            <a:prstDash val="solid"/>
                            <a:miter lim="800000"/>
                          </a:ln>
                          <a:effectLst/>
                        </wps:spPr>
                        <wps:txbx>
                          <w:txbxContent>
                            <w:p w14:paraId="2A8781B9" w14:textId="77777777" w:rsidR="00857196" w:rsidRPr="00324C3E" w:rsidRDefault="00857196" w:rsidP="00324C3E">
                              <w:pPr>
                                <w:spacing w:before="0" w:after="0"/>
                                <w:rPr>
                                  <w:rFonts w:cs="Times New Roman"/>
                                  <w:b/>
                                  <w:bCs/>
                                  <w:color w:val="000000"/>
                                  <w:kern w:val="24"/>
                                  <w:sz w:val="16"/>
                                  <w:szCs w:val="16"/>
                                  <w:lang w:val="pt-PT"/>
                                </w:rPr>
                              </w:pPr>
                              <w:r w:rsidRPr="00324C3E">
                                <w:rPr>
                                  <w:rFonts w:cs="Times New Roman"/>
                                  <w:b/>
                                  <w:bCs/>
                                  <w:color w:val="000000"/>
                                  <w:kern w:val="24"/>
                                  <w:sz w:val="16"/>
                                  <w:szCs w:val="16"/>
                                  <w:lang w:val="pt-PT"/>
                                </w:rPr>
                                <w:t>Não resolvido</w:t>
                              </w:r>
                            </w:p>
                            <w:p w14:paraId="2B885D04" w14:textId="77777777" w:rsidR="00857196" w:rsidRPr="00324C3E" w:rsidRDefault="00857196" w:rsidP="00324C3E">
                              <w:pPr>
                                <w:spacing w:before="0" w:after="0"/>
                                <w:rPr>
                                  <w:rFonts w:cs="Times New Roman"/>
                                  <w:b/>
                                  <w:bCs/>
                                  <w:color w:val="000000"/>
                                  <w:kern w:val="24"/>
                                  <w:sz w:val="16"/>
                                  <w:szCs w:val="16"/>
                                  <w:lang w:val="pt-PT"/>
                                </w:rPr>
                              </w:pPr>
                            </w:p>
                          </w:txbxContent>
                        </wps:txbx>
                        <wps:bodyPr rtlCol="0" anchor="ctr"/>
                      </wps:wsp>
                      <wps:wsp>
                        <wps:cNvPr id="244" name="Retângulo 24"/>
                        <wps:cNvSpPr/>
                        <wps:spPr>
                          <a:xfrm>
                            <a:off x="7040880" y="4490085"/>
                            <a:ext cx="1574800" cy="292100"/>
                          </a:xfrm>
                          <a:prstGeom prst="rect">
                            <a:avLst/>
                          </a:prstGeom>
                          <a:solidFill>
                            <a:srgbClr val="FF0000"/>
                          </a:solidFill>
                          <a:ln w="12700" cap="flat" cmpd="sng" algn="ctr">
                            <a:solidFill>
                              <a:sysClr val="window" lastClr="FFFFFF">
                                <a:lumMod val="85000"/>
                              </a:sysClr>
                            </a:solidFill>
                            <a:prstDash val="solid"/>
                            <a:miter lim="800000"/>
                          </a:ln>
                          <a:effectLst/>
                        </wps:spPr>
                        <wps:txbx>
                          <w:txbxContent>
                            <w:p w14:paraId="29C45212" w14:textId="77777777" w:rsidR="00857196" w:rsidRPr="00324C3E" w:rsidRDefault="00857196" w:rsidP="00324C3E">
                              <w:pPr>
                                <w:spacing w:before="0" w:after="0"/>
                                <w:rPr>
                                  <w:rFonts w:cs="Times New Roman"/>
                                  <w:b/>
                                  <w:bCs/>
                                  <w:color w:val="000000"/>
                                  <w:kern w:val="24"/>
                                  <w:sz w:val="16"/>
                                  <w:szCs w:val="16"/>
                                  <w:lang w:val="pt-PT"/>
                                </w:rPr>
                              </w:pPr>
                              <w:r w:rsidRPr="00324C3E">
                                <w:rPr>
                                  <w:rFonts w:cs="Times New Roman"/>
                                  <w:b/>
                                  <w:bCs/>
                                  <w:color w:val="000000"/>
                                  <w:kern w:val="24"/>
                                  <w:sz w:val="16"/>
                                  <w:szCs w:val="16"/>
                                  <w:lang w:val="pt-PT"/>
                                </w:rPr>
                                <w:t>Não resolvido</w:t>
                              </w:r>
                            </w:p>
                            <w:p w14:paraId="6B8D3854" w14:textId="77777777" w:rsidR="00857196" w:rsidRPr="00324C3E" w:rsidRDefault="00857196" w:rsidP="00324C3E">
                              <w:pPr>
                                <w:spacing w:before="0" w:after="0"/>
                                <w:rPr>
                                  <w:rFonts w:cs="Times New Roman"/>
                                  <w:b/>
                                  <w:bCs/>
                                  <w:color w:val="000000"/>
                                  <w:kern w:val="24"/>
                                  <w:sz w:val="16"/>
                                  <w:szCs w:val="16"/>
                                  <w:lang w:val="pt-PT"/>
                                </w:rPr>
                              </w:pPr>
                              <w:r w:rsidRPr="00324C3E">
                                <w:rPr>
                                  <w:rFonts w:cs="Times New Roman"/>
                                  <w:b/>
                                  <w:bCs/>
                                  <w:color w:val="000000"/>
                                  <w:kern w:val="24"/>
                                  <w:sz w:val="16"/>
                                  <w:szCs w:val="16"/>
                                  <w:lang w:val="pt-PT"/>
                                </w:rPr>
                                <w:t>Não resolvido</w:t>
                              </w:r>
                            </w:p>
                          </w:txbxContent>
                        </wps:txbx>
                        <wps:bodyPr rtlCol="0" anchor="ctr"/>
                      </wps:wsp>
                      <wps:wsp>
                        <wps:cNvPr id="245" name="Retângulo 25"/>
                        <wps:cNvSpPr/>
                        <wps:spPr>
                          <a:xfrm>
                            <a:off x="7040880" y="2887345"/>
                            <a:ext cx="1574800" cy="292100"/>
                          </a:xfrm>
                          <a:prstGeom prst="rect">
                            <a:avLst/>
                          </a:prstGeom>
                          <a:solidFill>
                            <a:srgbClr val="FF0000"/>
                          </a:solidFill>
                          <a:ln w="12700" cap="flat" cmpd="sng" algn="ctr">
                            <a:solidFill>
                              <a:sysClr val="window" lastClr="FFFFFF">
                                <a:lumMod val="85000"/>
                              </a:sysClr>
                            </a:solidFill>
                            <a:prstDash val="solid"/>
                            <a:miter lim="800000"/>
                          </a:ln>
                          <a:effectLst/>
                        </wps:spPr>
                        <wps:txbx>
                          <w:txbxContent>
                            <w:p w14:paraId="3BA61DF4" w14:textId="77777777" w:rsidR="00857196" w:rsidRPr="00324C3E" w:rsidRDefault="00857196" w:rsidP="00324C3E">
                              <w:pPr>
                                <w:spacing w:before="0" w:after="0"/>
                                <w:rPr>
                                  <w:rFonts w:cs="Times New Roman"/>
                                  <w:b/>
                                  <w:bCs/>
                                  <w:color w:val="000000"/>
                                  <w:kern w:val="24"/>
                                  <w:sz w:val="16"/>
                                  <w:szCs w:val="16"/>
                                </w:rPr>
                              </w:pPr>
                              <w:r w:rsidRPr="00324C3E">
                                <w:rPr>
                                  <w:rFonts w:cs="Times New Roman"/>
                                  <w:b/>
                                  <w:bCs/>
                                  <w:color w:val="000000"/>
                                  <w:kern w:val="24"/>
                                  <w:sz w:val="16"/>
                                  <w:szCs w:val="16"/>
                                </w:rPr>
                                <w:t>Não resolvido</w:t>
                              </w:r>
                            </w:p>
                          </w:txbxContent>
                        </wps:txbx>
                        <wps:bodyPr rtlCol="0" anchor="ctr"/>
                      </wps:wsp>
                      <wps:wsp>
                        <wps:cNvPr id="246" name="Retângulo 26"/>
                        <wps:cNvSpPr/>
                        <wps:spPr>
                          <a:xfrm>
                            <a:off x="7040880" y="5291455"/>
                            <a:ext cx="1574800" cy="292100"/>
                          </a:xfrm>
                          <a:prstGeom prst="rect">
                            <a:avLst/>
                          </a:prstGeom>
                          <a:solidFill>
                            <a:srgbClr val="FF0000"/>
                          </a:solidFill>
                          <a:ln w="12700" cap="flat" cmpd="sng" algn="ctr">
                            <a:solidFill>
                              <a:sysClr val="window" lastClr="FFFFFF">
                                <a:lumMod val="85000"/>
                              </a:sysClr>
                            </a:solidFill>
                            <a:prstDash val="solid"/>
                            <a:miter lim="800000"/>
                          </a:ln>
                          <a:effectLst/>
                        </wps:spPr>
                        <wps:txbx>
                          <w:txbxContent>
                            <w:p w14:paraId="6D6DE9CF" w14:textId="77777777" w:rsidR="00857196" w:rsidRPr="00324C3E" w:rsidRDefault="00857196" w:rsidP="00324C3E">
                              <w:pPr>
                                <w:spacing w:before="0" w:after="0"/>
                                <w:rPr>
                                  <w:rFonts w:cs="Times New Roman"/>
                                  <w:b/>
                                  <w:bCs/>
                                  <w:color w:val="000000"/>
                                  <w:kern w:val="24"/>
                                  <w:sz w:val="16"/>
                                  <w:szCs w:val="16"/>
                                  <w:lang w:val="pt-PT"/>
                                </w:rPr>
                              </w:pPr>
                              <w:r w:rsidRPr="00324C3E">
                                <w:rPr>
                                  <w:rFonts w:cs="Times New Roman"/>
                                  <w:b/>
                                  <w:bCs/>
                                  <w:color w:val="000000"/>
                                  <w:kern w:val="24"/>
                                  <w:sz w:val="16"/>
                                  <w:szCs w:val="16"/>
                                  <w:lang w:val="pt-PT"/>
                                </w:rPr>
                                <w:t>Não resolvido</w:t>
                              </w:r>
                            </w:p>
                            <w:p w14:paraId="2CAFAB9A" w14:textId="77777777" w:rsidR="00857196" w:rsidRPr="00324C3E" w:rsidRDefault="00857196" w:rsidP="00324C3E">
                              <w:pPr>
                                <w:spacing w:before="0" w:after="0"/>
                                <w:rPr>
                                  <w:rFonts w:cs="Times New Roman"/>
                                  <w:b/>
                                  <w:bCs/>
                                  <w:color w:val="000000"/>
                                  <w:kern w:val="24"/>
                                  <w:sz w:val="16"/>
                                  <w:szCs w:val="16"/>
                                  <w:lang w:val="pt-PT"/>
                                </w:rPr>
                              </w:pPr>
                              <w:r w:rsidRPr="00324C3E">
                                <w:rPr>
                                  <w:rFonts w:cs="Times New Roman"/>
                                  <w:b/>
                                  <w:bCs/>
                                  <w:color w:val="000000"/>
                                  <w:kern w:val="24"/>
                                  <w:sz w:val="16"/>
                                  <w:szCs w:val="16"/>
                                  <w:lang w:val="pt-PT"/>
                                </w:rPr>
                                <w:t>Não resolvido</w:t>
                              </w:r>
                            </w:p>
                          </w:txbxContent>
                        </wps:txbx>
                        <wps:bodyPr rtlCol="0" anchor="ctr"/>
                      </wps:wsp>
                      <wps:wsp>
                        <wps:cNvPr id="247" name="Conexão reta unidirecional 27"/>
                        <wps:cNvCnPr/>
                        <wps:spPr>
                          <a:xfrm>
                            <a:off x="4348480" y="599440"/>
                            <a:ext cx="0" cy="284480"/>
                          </a:xfrm>
                          <a:prstGeom prst="straightConnector1">
                            <a:avLst/>
                          </a:prstGeom>
                          <a:noFill/>
                          <a:ln w="28575" cap="flat" cmpd="sng" algn="ctr">
                            <a:solidFill>
                              <a:sysClr val="window" lastClr="FFFFFF">
                                <a:lumMod val="85000"/>
                              </a:sysClr>
                            </a:solidFill>
                            <a:prstDash val="solid"/>
                            <a:miter lim="800000"/>
                            <a:tailEnd type="triangle"/>
                          </a:ln>
                          <a:effectLst/>
                        </wps:spPr>
                        <wps:bodyPr/>
                      </wps:wsp>
                      <wps:wsp>
                        <wps:cNvPr id="248" name="Conexão reta unidirecional 28"/>
                        <wps:cNvCnPr>
                          <a:cxnSpLocks/>
                        </wps:cNvCnPr>
                        <wps:spPr>
                          <a:xfrm>
                            <a:off x="4348480" y="1280160"/>
                            <a:ext cx="0" cy="294640"/>
                          </a:xfrm>
                          <a:prstGeom prst="straightConnector1">
                            <a:avLst/>
                          </a:prstGeom>
                          <a:noFill/>
                          <a:ln w="28575" cap="flat" cmpd="sng" algn="ctr">
                            <a:solidFill>
                              <a:sysClr val="window" lastClr="FFFFFF">
                                <a:lumMod val="85000"/>
                              </a:sysClr>
                            </a:solidFill>
                            <a:prstDash val="solid"/>
                            <a:miter lim="800000"/>
                            <a:tailEnd type="triangle"/>
                          </a:ln>
                          <a:effectLst/>
                        </wps:spPr>
                        <wps:bodyPr/>
                      </wps:wsp>
                      <wps:wsp>
                        <wps:cNvPr id="249" name="Conexão: Ângulo Reto 29"/>
                        <wps:cNvCnPr/>
                        <wps:spPr>
                          <a:xfrm rot="16200000" flipH="1">
                            <a:off x="5066030" y="1365249"/>
                            <a:ext cx="363220" cy="1798321"/>
                          </a:xfrm>
                          <a:prstGeom prst="bentConnector2">
                            <a:avLst/>
                          </a:prstGeom>
                          <a:noFill/>
                          <a:ln w="28575" cap="flat" cmpd="sng" algn="ctr">
                            <a:solidFill>
                              <a:sysClr val="window" lastClr="FFFFFF">
                                <a:lumMod val="85000"/>
                              </a:sysClr>
                            </a:solidFill>
                            <a:prstDash val="solid"/>
                            <a:miter lim="800000"/>
                            <a:tailEnd type="triangle"/>
                          </a:ln>
                          <a:effectLst/>
                        </wps:spPr>
                        <wps:bodyPr/>
                      </wps:wsp>
                      <wps:wsp>
                        <wps:cNvPr id="250" name="Conexão: Ângulo Reto 30"/>
                        <wps:cNvCnPr>
                          <a:cxnSpLocks/>
                        </wps:cNvCnPr>
                        <wps:spPr>
                          <a:xfrm rot="5400000">
                            <a:off x="3293111" y="1390651"/>
                            <a:ext cx="363220" cy="1747518"/>
                          </a:xfrm>
                          <a:prstGeom prst="bentConnector2">
                            <a:avLst/>
                          </a:prstGeom>
                          <a:noFill/>
                          <a:ln w="28575" cap="flat" cmpd="sng" algn="ctr">
                            <a:solidFill>
                              <a:sysClr val="window" lastClr="FFFFFF">
                                <a:lumMod val="85000"/>
                              </a:sysClr>
                            </a:solidFill>
                            <a:prstDash val="solid"/>
                            <a:miter lim="800000"/>
                            <a:tailEnd type="triangle"/>
                          </a:ln>
                          <a:effectLst/>
                        </wps:spPr>
                        <wps:bodyPr/>
                      </wps:wsp>
                      <wps:wsp>
                        <wps:cNvPr id="251" name="Conexão reta unidirecional 31"/>
                        <wps:cNvCnPr>
                          <a:cxnSpLocks/>
                        </wps:cNvCnPr>
                        <wps:spPr>
                          <a:xfrm flipH="1">
                            <a:off x="6873240" y="2801620"/>
                            <a:ext cx="1" cy="434340"/>
                          </a:xfrm>
                          <a:prstGeom prst="straightConnector1">
                            <a:avLst/>
                          </a:prstGeom>
                          <a:noFill/>
                          <a:ln w="28575" cap="flat" cmpd="sng" algn="ctr">
                            <a:solidFill>
                              <a:sysClr val="window" lastClr="FFFFFF">
                                <a:lumMod val="85000"/>
                              </a:sysClr>
                            </a:solidFill>
                            <a:prstDash val="solid"/>
                            <a:miter lim="800000"/>
                            <a:tailEnd type="triangle"/>
                          </a:ln>
                          <a:effectLst/>
                        </wps:spPr>
                        <wps:bodyPr/>
                      </wps:wsp>
                      <wps:wsp>
                        <wps:cNvPr id="252" name="Conexão reta unidirecional 32"/>
                        <wps:cNvCnPr>
                          <a:cxnSpLocks/>
                        </wps:cNvCnPr>
                        <wps:spPr>
                          <a:xfrm flipH="1">
                            <a:off x="1874520" y="2765425"/>
                            <a:ext cx="2" cy="550545"/>
                          </a:xfrm>
                          <a:prstGeom prst="straightConnector1">
                            <a:avLst/>
                          </a:prstGeom>
                          <a:noFill/>
                          <a:ln w="28575" cap="flat" cmpd="sng" algn="ctr">
                            <a:solidFill>
                              <a:sysClr val="window" lastClr="FFFFFF">
                                <a:lumMod val="85000"/>
                              </a:sysClr>
                            </a:solidFill>
                            <a:prstDash val="solid"/>
                            <a:miter lim="800000"/>
                            <a:tailEnd type="triangle"/>
                          </a:ln>
                          <a:effectLst/>
                        </wps:spPr>
                        <wps:bodyPr/>
                      </wps:wsp>
                      <wps:wsp>
                        <wps:cNvPr id="253" name="Conexão reta unidirecional 54"/>
                        <wps:cNvCnPr>
                          <a:cxnSpLocks/>
                        </wps:cNvCnPr>
                        <wps:spPr>
                          <a:xfrm>
                            <a:off x="1874520" y="3712210"/>
                            <a:ext cx="0" cy="342900"/>
                          </a:xfrm>
                          <a:prstGeom prst="straightConnector1">
                            <a:avLst/>
                          </a:prstGeom>
                          <a:noFill/>
                          <a:ln w="28575" cap="flat" cmpd="sng" algn="ctr">
                            <a:solidFill>
                              <a:sysClr val="window" lastClr="FFFFFF">
                                <a:lumMod val="85000"/>
                              </a:sysClr>
                            </a:solidFill>
                            <a:prstDash val="solid"/>
                            <a:miter lim="800000"/>
                            <a:tailEnd type="triangle"/>
                          </a:ln>
                          <a:effectLst/>
                        </wps:spPr>
                        <wps:bodyPr/>
                      </wps:wsp>
                      <wps:wsp>
                        <wps:cNvPr id="254" name="Conexão reta unidirecional 55"/>
                        <wps:cNvCnPr>
                          <a:cxnSpLocks/>
                        </wps:cNvCnPr>
                        <wps:spPr>
                          <a:xfrm>
                            <a:off x="1874520" y="4451350"/>
                            <a:ext cx="0" cy="373380"/>
                          </a:xfrm>
                          <a:prstGeom prst="straightConnector1">
                            <a:avLst/>
                          </a:prstGeom>
                          <a:noFill/>
                          <a:ln w="28575" cap="flat" cmpd="sng" algn="ctr">
                            <a:solidFill>
                              <a:sysClr val="window" lastClr="FFFFFF">
                                <a:lumMod val="85000"/>
                              </a:sysClr>
                            </a:solidFill>
                            <a:prstDash val="solid"/>
                            <a:miter lim="800000"/>
                            <a:tailEnd type="triangle"/>
                          </a:ln>
                          <a:effectLst/>
                        </wps:spPr>
                        <wps:bodyPr/>
                      </wps:wsp>
                      <wps:wsp>
                        <wps:cNvPr id="255" name="Conexão reta unidirecional 56"/>
                        <wps:cNvCnPr>
                          <a:cxnSpLocks/>
                        </wps:cNvCnPr>
                        <wps:spPr>
                          <a:xfrm>
                            <a:off x="6873240" y="3632200"/>
                            <a:ext cx="0" cy="405130"/>
                          </a:xfrm>
                          <a:prstGeom prst="straightConnector1">
                            <a:avLst/>
                          </a:prstGeom>
                          <a:noFill/>
                          <a:ln w="28575" cap="flat" cmpd="sng" algn="ctr">
                            <a:solidFill>
                              <a:sysClr val="window" lastClr="FFFFFF">
                                <a:lumMod val="85000"/>
                              </a:sysClr>
                            </a:solidFill>
                            <a:prstDash val="solid"/>
                            <a:miter lim="800000"/>
                            <a:tailEnd type="triangle"/>
                          </a:ln>
                          <a:effectLst/>
                        </wps:spPr>
                        <wps:bodyPr/>
                      </wps:wsp>
                      <wps:wsp>
                        <wps:cNvPr id="256" name="Conexão reta unidirecional 57"/>
                        <wps:cNvCnPr>
                          <a:cxnSpLocks/>
                        </wps:cNvCnPr>
                        <wps:spPr>
                          <a:xfrm>
                            <a:off x="6873240" y="4433570"/>
                            <a:ext cx="0" cy="405130"/>
                          </a:xfrm>
                          <a:prstGeom prst="straightConnector1">
                            <a:avLst/>
                          </a:prstGeom>
                          <a:noFill/>
                          <a:ln w="28575" cap="flat" cmpd="sng" algn="ctr">
                            <a:solidFill>
                              <a:sysClr val="window" lastClr="FFFFFF">
                                <a:lumMod val="85000"/>
                              </a:sysClr>
                            </a:solidFill>
                            <a:prstDash val="solid"/>
                            <a:miter lim="800000"/>
                            <a:tailEnd type="triangle"/>
                          </a:ln>
                          <a:effectLst/>
                        </wps:spPr>
                        <wps:bodyPr/>
                      </wps:wsp>
                      <wps:wsp>
                        <wps:cNvPr id="257" name="Conexão reta unidirecional 58"/>
                        <wps:cNvCnPr>
                          <a:cxnSpLocks/>
                        </wps:cNvCnPr>
                        <wps:spPr>
                          <a:xfrm>
                            <a:off x="6873240" y="5234940"/>
                            <a:ext cx="0" cy="425450"/>
                          </a:xfrm>
                          <a:prstGeom prst="straightConnector1">
                            <a:avLst/>
                          </a:prstGeom>
                          <a:noFill/>
                          <a:ln w="28575" cap="flat" cmpd="sng" algn="ctr">
                            <a:solidFill>
                              <a:sysClr val="window" lastClr="FFFFFF">
                                <a:lumMod val="85000"/>
                              </a:sysClr>
                            </a:solidFill>
                            <a:prstDash val="solid"/>
                            <a:miter lim="800000"/>
                            <a:tailEnd type="triangle"/>
                          </a:ln>
                          <a:effectLst/>
                        </wps:spPr>
                        <wps:bodyPr/>
                      </wps:wsp>
                      <wps:wsp>
                        <wps:cNvPr id="258" name="Conexão reta unidirecional 59"/>
                        <wps:cNvCnPr>
                          <a:cxnSpLocks/>
                        </wps:cNvCnPr>
                        <wps:spPr>
                          <a:xfrm flipH="1">
                            <a:off x="2743200" y="2602866"/>
                            <a:ext cx="1605279" cy="0"/>
                          </a:xfrm>
                          <a:prstGeom prst="straightConnector1">
                            <a:avLst/>
                          </a:prstGeom>
                          <a:noFill/>
                          <a:ln w="28575" cap="flat" cmpd="sng" algn="ctr">
                            <a:solidFill>
                              <a:sysClr val="window" lastClr="FFFFFF">
                                <a:lumMod val="85000"/>
                              </a:sysClr>
                            </a:solidFill>
                            <a:prstDash val="solid"/>
                            <a:miter lim="800000"/>
                            <a:tailEnd type="triangle"/>
                          </a:ln>
                          <a:effectLst/>
                        </wps:spPr>
                        <wps:bodyPr/>
                      </wps:wsp>
                      <wps:wsp>
                        <wps:cNvPr id="259" name="Conexão reta 60"/>
                        <wps:cNvCnPr>
                          <a:cxnSpLocks/>
                        </wps:cNvCnPr>
                        <wps:spPr>
                          <a:xfrm>
                            <a:off x="4338323" y="2602547"/>
                            <a:ext cx="10266" cy="2479186"/>
                          </a:xfrm>
                          <a:prstGeom prst="line">
                            <a:avLst/>
                          </a:prstGeom>
                          <a:noFill/>
                          <a:ln w="28575" cap="flat" cmpd="sng" algn="ctr">
                            <a:solidFill>
                              <a:sysClr val="window" lastClr="FFFFFF">
                                <a:lumMod val="85000"/>
                              </a:sysClr>
                            </a:solidFill>
                            <a:prstDash val="solid"/>
                            <a:miter lim="800000"/>
                          </a:ln>
                          <a:effectLst/>
                        </wps:spPr>
                        <wps:bodyPr/>
                      </wps:wsp>
                      <wps:wsp>
                        <wps:cNvPr id="260" name="Conexão reta unidirecional 61"/>
                        <wps:cNvCnPr>
                          <a:cxnSpLocks/>
                        </wps:cNvCnPr>
                        <wps:spPr>
                          <a:xfrm flipH="1">
                            <a:off x="4348372" y="3433660"/>
                            <a:ext cx="650348" cy="15337"/>
                          </a:xfrm>
                          <a:prstGeom prst="straightConnector1">
                            <a:avLst/>
                          </a:prstGeom>
                          <a:noFill/>
                          <a:ln w="28575" cap="flat" cmpd="sng" algn="ctr">
                            <a:solidFill>
                              <a:sysClr val="window" lastClr="FFFFFF">
                                <a:lumMod val="85000"/>
                              </a:sysClr>
                            </a:solidFill>
                            <a:prstDash val="solid"/>
                            <a:miter lim="800000"/>
                            <a:tailEnd type="triangle"/>
                          </a:ln>
                          <a:effectLst/>
                        </wps:spPr>
                        <wps:bodyPr/>
                      </wps:wsp>
                      <wps:wsp>
                        <wps:cNvPr id="261" name="Conexão reta unidirecional 62"/>
                        <wps:cNvCnPr>
                          <a:cxnSpLocks/>
                        </wps:cNvCnPr>
                        <wps:spPr>
                          <a:xfrm flipH="1">
                            <a:off x="4296777" y="4234932"/>
                            <a:ext cx="701943" cy="11448"/>
                          </a:xfrm>
                          <a:prstGeom prst="straightConnector1">
                            <a:avLst/>
                          </a:prstGeom>
                          <a:noFill/>
                          <a:ln w="28575" cap="flat" cmpd="sng" algn="ctr">
                            <a:solidFill>
                              <a:sysClr val="window" lastClr="FFFFFF">
                                <a:lumMod val="85000"/>
                              </a:sysClr>
                            </a:solidFill>
                            <a:prstDash val="solid"/>
                            <a:miter lim="800000"/>
                            <a:tailEnd type="triangle"/>
                          </a:ln>
                          <a:effectLst/>
                        </wps:spPr>
                        <wps:bodyPr/>
                      </wps:wsp>
                      <wps:wsp>
                        <wps:cNvPr id="262" name="Conexão reta unidirecional 63"/>
                        <wps:cNvCnPr>
                          <a:cxnSpLocks/>
                        </wps:cNvCnPr>
                        <wps:spPr>
                          <a:xfrm flipH="1">
                            <a:off x="4317805" y="5036204"/>
                            <a:ext cx="680916" cy="7558"/>
                          </a:xfrm>
                          <a:prstGeom prst="straightConnector1">
                            <a:avLst/>
                          </a:prstGeom>
                          <a:noFill/>
                          <a:ln w="28575" cap="flat" cmpd="sng" algn="ctr">
                            <a:solidFill>
                              <a:sysClr val="window" lastClr="FFFFFF">
                                <a:lumMod val="85000"/>
                              </a:sysClr>
                            </a:solidFill>
                            <a:prstDash val="solid"/>
                            <a:miter lim="800000"/>
                            <a:tailEnd type="triangle"/>
                          </a:ln>
                          <a:effectLst/>
                        </wps:spPr>
                        <wps:bodyPr/>
                      </wps:wsp>
                    </wpg:wgp>
                  </a:graphicData>
                </a:graphic>
              </wp:inline>
            </w:drawing>
          </mc:Choice>
          <mc:Fallback xmlns:w16sdtdh="http://schemas.microsoft.com/office/word/2020/wordml/sdtdatahash">
            <w:pict>
              <v:group w14:anchorId="6E995E87" id="Group 211" o:spid="_x0000_s1027" style="width:468.3pt;height:370pt;mso-position-horizontal-relative:char;mso-position-vertical-relative:line" coordsize="87477,60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">
                <v:roundrect id="Retângulo: Cantos Arredondados 11" o:spid="_x0000_s1028" style="position:absolute;left:28956;width:32510;height:59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" fillcolor="#f2f2f2" strokecolor="#d9d9d9" strokeweight="1pt">
                  <v:stroke joinstyle="miter"/>
                  <v:textbox>
                    <w:txbxContent>
                      <w:p w14:paraId="61C45E74" w14:textId="77777777" w:rsidR="00857196" w:rsidRPr="00324C3E" w:rsidRDefault="00857196" w:rsidP="00324C3E">
                        <w:pPr>
                          <w:spacing w:before="0" w:after="0"/>
                          <w:jc w:val="center"/>
                          <w:rPr>
                            <w:rFonts w:cs="Times New Roman"/>
                            <w:b/>
                            <w:bCs/>
                            <w:color w:val="000000"/>
                            <w:kern w:val="24"/>
                            <w:sz w:val="16"/>
                            <w:szCs w:val="16"/>
                            <w:lang w:val="pt-PT"/>
                          </w:rPr>
                        </w:pPr>
                        <w:r w:rsidRPr="00324C3E">
                          <w:rPr>
                            <w:rFonts w:cs="Times New Roman"/>
                            <w:b/>
                            <w:bCs/>
                            <w:color w:val="000000"/>
                            <w:kern w:val="24"/>
                            <w:sz w:val="16"/>
                            <w:szCs w:val="16"/>
                            <w:lang w:val="pt-PT"/>
                          </w:rPr>
                          <w:t>Reclamação levantada pela parte afetada / interessada</w:t>
                        </w:r>
                      </w:p>
                    </w:txbxContent>
                  </v:textbox>
                </v:roundrect>
                <v:roundrect id="Retângulo: Cantos Arredondados 12" o:spid="_x0000_s1029" style="position:absolute;left:16121;top:8835;width:59370;height:47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" fillcolor="#d9d9d9" strokecolor="#d9d9d9" strokeweight="1pt">
                  <v:stroke joinstyle="miter"/>
                  <v:textbox>
                    <w:txbxContent>
                      <w:p w14:paraId="52AB9306" w14:textId="77777777" w:rsidR="00857196" w:rsidRPr="00324C3E" w:rsidRDefault="00857196" w:rsidP="00324C3E">
                        <w:pPr>
                          <w:spacing w:before="0" w:after="0"/>
                          <w:jc w:val="center"/>
                          <w:rPr>
                            <w:rFonts w:cs="Times New Roman"/>
                            <w:b/>
                            <w:bCs/>
                            <w:color w:val="000000"/>
                            <w:kern w:val="24"/>
                            <w:sz w:val="16"/>
                            <w:szCs w:val="16"/>
                            <w:lang w:val="pt-PT"/>
                          </w:rPr>
                        </w:pPr>
                        <w:r w:rsidRPr="00324C3E">
                          <w:rPr>
                            <w:rFonts w:cs="Times New Roman"/>
                            <w:b/>
                            <w:bCs/>
                            <w:color w:val="000000"/>
                            <w:kern w:val="24"/>
                            <w:sz w:val="16"/>
                            <w:szCs w:val="16"/>
                            <w:lang w:val="pt-PT"/>
                          </w:rPr>
                          <w:t xml:space="preserve">Ponto focal/empreteiro/acusa a recepção </w:t>
                        </w:r>
                      </w:p>
                      <w:p w14:paraId="1B3434F5" w14:textId="77777777" w:rsidR="00857196" w:rsidRPr="00324C3E" w:rsidRDefault="00857196" w:rsidP="00324C3E">
                        <w:pPr>
                          <w:spacing w:before="0" w:after="0"/>
                          <w:jc w:val="center"/>
                          <w:rPr>
                            <w:rFonts w:cs="Times New Roman"/>
                            <w:b/>
                            <w:bCs/>
                            <w:color w:val="000000"/>
                            <w:kern w:val="24"/>
                            <w:sz w:val="16"/>
                            <w:szCs w:val="16"/>
                            <w:lang w:val="pt-PT"/>
                          </w:rPr>
                        </w:pPr>
                      </w:p>
                      <w:p w14:paraId="3CE0646F" w14:textId="77777777" w:rsidR="00857196" w:rsidRPr="00324C3E" w:rsidRDefault="00857196" w:rsidP="00324C3E">
                        <w:pPr>
                          <w:spacing w:before="0" w:after="0"/>
                          <w:jc w:val="center"/>
                          <w:rPr>
                            <w:rFonts w:cs="Times New Roman"/>
                            <w:b/>
                            <w:bCs/>
                            <w:color w:val="000000"/>
                            <w:kern w:val="24"/>
                            <w:sz w:val="16"/>
                            <w:szCs w:val="16"/>
                            <w:lang w:val="pt-PT"/>
                          </w:rPr>
                        </w:pPr>
                      </w:p>
                      <w:p w14:paraId="0779D077" w14:textId="77777777" w:rsidR="00857196" w:rsidRPr="00324C3E" w:rsidRDefault="00857196" w:rsidP="00324C3E">
                        <w:pPr>
                          <w:spacing w:before="0" w:after="0"/>
                          <w:jc w:val="center"/>
                          <w:rPr>
                            <w:rFonts w:cs="Times New Roman"/>
                            <w:b/>
                            <w:bCs/>
                            <w:color w:val="000000"/>
                            <w:kern w:val="24"/>
                            <w:sz w:val="16"/>
                            <w:szCs w:val="16"/>
                            <w:lang w:val="pt-PT"/>
                          </w:rPr>
                        </w:pPr>
                      </w:p>
                    </w:txbxContent>
                  </v:textbox>
                </v:roundrect>
                <v:roundrect id="Retângulo: Cantos Arredondados 13" o:spid="_x0000_s1030" style="position:absolute;left:26875;top:15748;width:32672;height:50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" fillcolor="#d9d9d9" strokecolor="#d9d9d9" strokeweight="1pt">
                  <v:stroke joinstyle="miter"/>
                  <v:textbox>
                    <w:txbxContent>
                      <w:p w14:paraId="7D97A769" w14:textId="77777777" w:rsidR="00857196" w:rsidRPr="00324C3E" w:rsidRDefault="00857196" w:rsidP="00324C3E">
                        <w:pPr>
                          <w:spacing w:before="0" w:after="0"/>
                          <w:jc w:val="center"/>
                          <w:rPr>
                            <w:rFonts w:cs="Times New Roman"/>
                            <w:b/>
                            <w:bCs/>
                            <w:color w:val="000000"/>
                            <w:kern w:val="24"/>
                            <w:sz w:val="16"/>
                            <w:szCs w:val="16"/>
                            <w:lang w:val="pt-PT"/>
                          </w:rPr>
                        </w:pPr>
                        <w:r w:rsidRPr="00324C3E">
                          <w:rPr>
                            <w:rFonts w:cs="Times New Roman"/>
                            <w:b/>
                            <w:bCs/>
                            <w:color w:val="000000"/>
                            <w:kern w:val="24"/>
                            <w:sz w:val="16"/>
                            <w:szCs w:val="16"/>
                            <w:lang w:val="pt-PT"/>
                          </w:rPr>
                          <w:t>Reclamação enviada e resolvida pelo CGR no nível do ponto focal do subprojecto</w:t>
                        </w:r>
                      </w:p>
                    </w:txbxContent>
                  </v:textbox>
                </v:roundrect>
                <v:roundrect id="Retângulo: Cantos Arredondados 14" o:spid="_x0000_s1031" style="position:absolute;top:33159;width:37490;height:39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" fillcolor="#92d050" strokecolor="#d9d9d9" strokeweight="1pt">
                  <v:stroke joinstyle="miter"/>
                  <v:textbox>
                    <w:txbxContent>
                      <w:p w14:paraId="624B8476" w14:textId="05B869B0" w:rsidR="00857196" w:rsidRPr="00324C3E" w:rsidRDefault="00857196" w:rsidP="00324C3E">
                        <w:pPr>
                          <w:spacing w:before="0" w:after="0"/>
                          <w:jc w:val="center"/>
                          <w:rPr>
                            <w:rFonts w:cs="Times New Roman"/>
                            <w:b/>
                            <w:bCs/>
                            <w:color w:val="000000"/>
                            <w:kern w:val="24"/>
                            <w:sz w:val="16"/>
                            <w:szCs w:val="16"/>
                            <w:lang w:val="pt-PT"/>
                          </w:rPr>
                        </w:pPr>
                        <w:r w:rsidRPr="00324C3E">
                          <w:rPr>
                            <w:rFonts w:cs="Times New Roman"/>
                            <w:b/>
                            <w:bCs/>
                            <w:color w:val="000000"/>
                            <w:kern w:val="24"/>
                            <w:sz w:val="16"/>
                            <w:szCs w:val="16"/>
                            <w:lang w:val="pt-PT"/>
                          </w:rPr>
                          <w:t xml:space="preserve">Informe o reclamante </w:t>
                        </w:r>
                      </w:p>
                    </w:txbxContent>
                  </v:textbox>
                </v:roundrect>
                <v:roundrect id="Retângulo: Cantos Arredondados 15" o:spid="_x0000_s1032" style="position:absolute;top:40551;width:37490;height:39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" fillcolor="#92d050" strokecolor="#d9d9d9" strokeweight="1pt">
                  <v:stroke joinstyle="miter"/>
                  <v:textbox>
                    <w:txbxContent>
                      <w:p w14:paraId="69FF7CF6" w14:textId="77777777" w:rsidR="00857196" w:rsidRPr="00324C3E" w:rsidRDefault="00857196" w:rsidP="00324C3E">
                        <w:pPr>
                          <w:spacing w:before="0" w:after="0"/>
                          <w:jc w:val="center"/>
                          <w:rPr>
                            <w:rFonts w:cs="Times New Roman"/>
                            <w:b/>
                            <w:bCs/>
                            <w:color w:val="000000"/>
                            <w:kern w:val="24"/>
                            <w:sz w:val="16"/>
                            <w:szCs w:val="16"/>
                          </w:rPr>
                        </w:pPr>
                        <w:r w:rsidRPr="00324C3E">
                          <w:rPr>
                            <w:rFonts w:cs="Times New Roman"/>
                            <w:b/>
                            <w:bCs/>
                            <w:color w:val="000000"/>
                            <w:kern w:val="24"/>
                            <w:sz w:val="16"/>
                            <w:szCs w:val="16"/>
                          </w:rPr>
                          <w:t>Implementação do acordo / solução acordada</w:t>
                        </w:r>
                      </w:p>
                    </w:txbxContent>
                  </v:textbox>
                </v:roundrect>
                <v:roundrect id="Retângulo: Cantos Arredondados 16" o:spid="_x0000_s1033" style="position:absolute;top:48247;width:37490;height:39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" fillcolor="#92d050" strokecolor="#d9d9d9" strokeweight="1pt">
                  <v:stroke joinstyle="miter"/>
                  <v:textbox>
                    <w:txbxContent>
                      <w:p w14:paraId="3F57B608" w14:textId="77777777" w:rsidR="00857196" w:rsidRPr="00324C3E" w:rsidRDefault="00857196" w:rsidP="00324C3E">
                        <w:pPr>
                          <w:spacing w:before="0" w:after="0"/>
                          <w:jc w:val="center"/>
                          <w:rPr>
                            <w:rFonts w:cs="Times New Roman"/>
                            <w:b/>
                            <w:bCs/>
                            <w:color w:val="000000"/>
                            <w:kern w:val="24"/>
                            <w:sz w:val="16"/>
                            <w:szCs w:val="16"/>
                          </w:rPr>
                        </w:pPr>
                        <w:r w:rsidRPr="00324C3E">
                          <w:rPr>
                            <w:rFonts w:cs="Times New Roman"/>
                            <w:b/>
                            <w:bCs/>
                            <w:color w:val="000000"/>
                            <w:kern w:val="24"/>
                            <w:sz w:val="16"/>
                            <w:szCs w:val="16"/>
                          </w:rPr>
                          <w:t>Reclamante informado e satisfeito</w:t>
                        </w:r>
                      </w:p>
                    </w:txbxContent>
                  </v:textbox>
                </v:roundrect>
                <v:roundrect id="Retângulo: Cantos Arredondados 17" o:spid="_x0000_s1034" style="position:absolute;left:11480;top:21266;width:14529;height:63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" fillcolor="#92d050" strokecolor="#d9d9d9" strokeweight="1pt">
                  <v:stroke joinstyle="miter"/>
                  <v:textbox>
                    <w:txbxContent>
                      <w:p w14:paraId="49EEEE16" w14:textId="77777777" w:rsidR="00857196" w:rsidRPr="00324C3E" w:rsidRDefault="00857196" w:rsidP="00324C3E">
                        <w:pPr>
                          <w:spacing w:before="0" w:after="0"/>
                          <w:jc w:val="center"/>
                          <w:rPr>
                            <w:rFonts w:cs="Times New Roman"/>
                            <w:b/>
                            <w:bCs/>
                            <w:color w:val="000000"/>
                            <w:kern w:val="24"/>
                            <w:sz w:val="16"/>
                            <w:szCs w:val="16"/>
                          </w:rPr>
                        </w:pPr>
                        <w:r w:rsidRPr="00324C3E">
                          <w:rPr>
                            <w:rFonts w:cs="Times New Roman"/>
                            <w:b/>
                            <w:bCs/>
                            <w:color w:val="000000"/>
                            <w:kern w:val="24"/>
                            <w:sz w:val="16"/>
                            <w:szCs w:val="16"/>
                          </w:rPr>
                          <w:t>Reclamação resolvida</w:t>
                        </w:r>
                      </w:p>
                    </w:txbxContent>
                  </v:textbox>
                </v:roundrect>
                <v:roundrect id="Retângulo: Cantos Arredondados 18" o:spid="_x0000_s1035" style="position:absolute;left:49987;top:32359;width:37490;height:39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" fillcolor="#ffd966" strokecolor="#d9d9d9" strokeweight="1pt">
                  <v:stroke joinstyle="miter"/>
                  <v:textbox>
                    <w:txbxContent>
                      <w:p w14:paraId="15D93997" w14:textId="6A8AC32A" w:rsidR="00857196" w:rsidRPr="00324C3E" w:rsidRDefault="00857196" w:rsidP="00324C3E">
                        <w:pPr>
                          <w:spacing w:before="0" w:after="0"/>
                          <w:jc w:val="center"/>
                          <w:rPr>
                            <w:rFonts w:cs="Times New Roman"/>
                            <w:b/>
                            <w:bCs/>
                            <w:color w:val="000000"/>
                            <w:kern w:val="24"/>
                            <w:sz w:val="16"/>
                            <w:szCs w:val="16"/>
                          </w:rPr>
                        </w:pPr>
                        <w:r w:rsidRPr="00324C3E">
                          <w:rPr>
                            <w:rFonts w:cs="Times New Roman"/>
                            <w:b/>
                            <w:bCs/>
                            <w:color w:val="000000"/>
                            <w:kern w:val="24"/>
                            <w:sz w:val="16"/>
                            <w:szCs w:val="16"/>
                          </w:rPr>
                          <w:t xml:space="preserve">Intervenção da UT Distrital </w:t>
                        </w:r>
                      </w:p>
                    </w:txbxContent>
                  </v:textbox>
                </v:roundrect>
                <v:roundrect id="Retângulo: Cantos Arredondados 19" o:spid="_x0000_s1036" style="position:absolute;left:49987;top:40373;width:37490;height:39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" fillcolor="#ffd966" strokecolor="#d9d9d9" strokeweight="1pt">
                  <v:stroke joinstyle="miter"/>
                  <v:textbox>
                    <w:txbxContent>
                      <w:p w14:paraId="4379EE82" w14:textId="77777777" w:rsidR="00857196" w:rsidRPr="00324C3E" w:rsidRDefault="00857196" w:rsidP="00324C3E">
                        <w:pPr>
                          <w:spacing w:before="0" w:after="0"/>
                          <w:jc w:val="center"/>
                          <w:rPr>
                            <w:rFonts w:cs="Times New Roman"/>
                            <w:b/>
                            <w:bCs/>
                            <w:color w:val="000000"/>
                            <w:kern w:val="24"/>
                            <w:sz w:val="16"/>
                            <w:szCs w:val="16"/>
                            <w:lang w:val="pt-PT"/>
                          </w:rPr>
                        </w:pPr>
                        <w:r w:rsidRPr="00324C3E">
                          <w:rPr>
                            <w:rFonts w:cs="Times New Roman"/>
                            <w:b/>
                            <w:bCs/>
                            <w:color w:val="000000"/>
                            <w:kern w:val="24"/>
                            <w:sz w:val="16"/>
                            <w:szCs w:val="16"/>
                            <w:lang w:val="pt-PT"/>
                          </w:rPr>
                          <w:t>Intervenção da UT Provincial</w:t>
                        </w:r>
                      </w:p>
                    </w:txbxContent>
                  </v:textbox>
                </v:roundrect>
                <v:roundrect id="Retângulo: Cantos Arredondados 20" o:spid="_x0000_s1037" style="position:absolute;left:49987;top:48387;width:37490;height:39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" fillcolor="#ffd966" strokecolor="#d9d9d9" strokeweight="1pt">
                  <v:stroke joinstyle="miter"/>
                  <v:textbox>
                    <w:txbxContent>
                      <w:p w14:paraId="52B60A2B" w14:textId="77777777" w:rsidR="00857196" w:rsidRPr="00324C3E" w:rsidRDefault="00857196" w:rsidP="00324C3E">
                        <w:pPr>
                          <w:spacing w:before="0" w:after="0"/>
                          <w:jc w:val="center"/>
                          <w:rPr>
                            <w:rFonts w:cs="Times New Roman"/>
                            <w:b/>
                            <w:bCs/>
                            <w:color w:val="000000"/>
                            <w:kern w:val="24"/>
                            <w:sz w:val="16"/>
                            <w:szCs w:val="16"/>
                            <w:lang w:val="pt-PT"/>
                          </w:rPr>
                        </w:pPr>
                        <w:r w:rsidRPr="00324C3E">
                          <w:rPr>
                            <w:rFonts w:cs="Times New Roman"/>
                            <w:b/>
                            <w:bCs/>
                            <w:color w:val="000000"/>
                            <w:kern w:val="24"/>
                            <w:sz w:val="16"/>
                            <w:szCs w:val="16"/>
                            <w:lang w:val="pt-PT"/>
                          </w:rPr>
                          <w:t>Intervenção do UIP Central</w:t>
                        </w:r>
                      </w:p>
                    </w:txbxContent>
                  </v:textbox>
                </v:roundrect>
                <v:roundrect id="Retângulo: Cantos Arredondados 21" o:spid="_x0000_s1038" style="position:absolute;left:61468;top:20904;width:14528;height:71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" fillcolor="#ffd966" strokecolor="#d9d9d9" strokeweight="1pt">
                  <v:stroke joinstyle="miter"/>
                  <v:textbox>
                    <w:txbxContent>
                      <w:p w14:paraId="1AE0360D" w14:textId="77777777" w:rsidR="00857196" w:rsidRPr="00324C3E" w:rsidRDefault="00857196" w:rsidP="00324C3E">
                        <w:pPr>
                          <w:spacing w:before="0" w:after="0"/>
                          <w:jc w:val="center"/>
                          <w:rPr>
                            <w:rFonts w:cs="Times New Roman"/>
                            <w:b/>
                            <w:bCs/>
                            <w:color w:val="000000"/>
                            <w:kern w:val="24"/>
                            <w:sz w:val="16"/>
                            <w:szCs w:val="16"/>
                          </w:rPr>
                        </w:pPr>
                        <w:r w:rsidRPr="00324C3E">
                          <w:rPr>
                            <w:rFonts w:cs="Times New Roman"/>
                            <w:b/>
                            <w:bCs/>
                            <w:color w:val="000000"/>
                            <w:kern w:val="24"/>
                            <w:sz w:val="16"/>
                            <w:szCs w:val="16"/>
                          </w:rPr>
                          <w:t>Reclamação não resolvida</w:t>
                        </w:r>
                      </w:p>
                    </w:txbxContent>
                  </v:textbox>
                </v:roundrect>
                <v:roundrect id="Retângulo: Cantos Arredondados 22" o:spid="_x0000_s1039" style="position:absolute;left:49987;top:56603;width:37490;height:39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" fillcolor="#ffd966" strokecolor="#d9d9d9" strokeweight="1pt">
                  <v:stroke joinstyle="miter"/>
                  <v:textbox>
                    <w:txbxContent>
                      <w:p w14:paraId="08748462" w14:textId="6D3CF1B7" w:rsidR="00857196" w:rsidRPr="00324C3E" w:rsidRDefault="00857196" w:rsidP="00324C3E">
                        <w:pPr>
                          <w:spacing w:before="0" w:after="0"/>
                          <w:jc w:val="center"/>
                          <w:rPr>
                            <w:rFonts w:cs="Times New Roman"/>
                            <w:b/>
                            <w:bCs/>
                            <w:color w:val="000000"/>
                            <w:kern w:val="24"/>
                            <w:sz w:val="16"/>
                            <w:szCs w:val="16"/>
                            <w:lang w:val="pt-PT"/>
                          </w:rPr>
                        </w:pPr>
                        <w:r>
                          <w:rPr>
                            <w:rFonts w:cs="Times New Roman"/>
                            <w:b/>
                            <w:bCs/>
                            <w:color w:val="000000"/>
                            <w:kern w:val="24"/>
                            <w:sz w:val="16"/>
                            <w:szCs w:val="16"/>
                            <w:lang w:val="pt-PT"/>
                          </w:rPr>
                          <w:t xml:space="preserve">Envio a </w:t>
                        </w:r>
                        <w:r w:rsidRPr="00324C3E">
                          <w:rPr>
                            <w:rFonts w:cs="Times New Roman"/>
                            <w:b/>
                            <w:bCs/>
                            <w:color w:val="000000"/>
                            <w:kern w:val="24"/>
                            <w:sz w:val="16"/>
                            <w:szCs w:val="16"/>
                            <w:lang w:val="pt-PT"/>
                          </w:rPr>
                          <w:t>Justiça</w:t>
                        </w:r>
                      </w:p>
                    </w:txbxContent>
                  </v:textbox>
                </v:roundrect>
                <v:rect id="Retângulo 23" o:spid="_x0000_s1040" style="position:absolute;left:70408;top:36887;width:15748;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" fillcolor="red" strokecolor="#d9d9d9" strokeweight="1pt">
                  <v:textbox>
                    <w:txbxContent>
                      <w:p w14:paraId="2A8781B9" w14:textId="77777777" w:rsidR="00857196" w:rsidRPr="00324C3E" w:rsidRDefault="00857196" w:rsidP="00324C3E">
                        <w:pPr>
                          <w:spacing w:before="0" w:after="0"/>
                          <w:rPr>
                            <w:rFonts w:cs="Times New Roman"/>
                            <w:b/>
                            <w:bCs/>
                            <w:color w:val="000000"/>
                            <w:kern w:val="24"/>
                            <w:sz w:val="16"/>
                            <w:szCs w:val="16"/>
                            <w:lang w:val="pt-PT"/>
                          </w:rPr>
                        </w:pPr>
                        <w:r w:rsidRPr="00324C3E">
                          <w:rPr>
                            <w:rFonts w:cs="Times New Roman"/>
                            <w:b/>
                            <w:bCs/>
                            <w:color w:val="000000"/>
                            <w:kern w:val="24"/>
                            <w:sz w:val="16"/>
                            <w:szCs w:val="16"/>
                            <w:lang w:val="pt-PT"/>
                          </w:rPr>
                          <w:t>Não resolvido</w:t>
                        </w:r>
                      </w:p>
                      <w:p w14:paraId="2B885D04" w14:textId="77777777" w:rsidR="00857196" w:rsidRPr="00324C3E" w:rsidRDefault="00857196" w:rsidP="00324C3E">
                        <w:pPr>
                          <w:spacing w:before="0" w:after="0"/>
                          <w:rPr>
                            <w:rFonts w:cs="Times New Roman"/>
                            <w:b/>
                            <w:bCs/>
                            <w:color w:val="000000"/>
                            <w:kern w:val="24"/>
                            <w:sz w:val="16"/>
                            <w:szCs w:val="16"/>
                            <w:lang w:val="pt-PT"/>
                          </w:rPr>
                        </w:pPr>
                      </w:p>
                    </w:txbxContent>
                  </v:textbox>
                </v:rect>
                <v:rect id="Retângulo 24" o:spid="_x0000_s1041" style="position:absolute;left:70408;top:44900;width:15748;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" fillcolor="red" strokecolor="#d9d9d9" strokeweight="1pt">
                  <v:textbox>
                    <w:txbxContent>
                      <w:p w14:paraId="29C45212" w14:textId="77777777" w:rsidR="00857196" w:rsidRPr="00324C3E" w:rsidRDefault="00857196" w:rsidP="00324C3E">
                        <w:pPr>
                          <w:spacing w:before="0" w:after="0"/>
                          <w:rPr>
                            <w:rFonts w:cs="Times New Roman"/>
                            <w:b/>
                            <w:bCs/>
                            <w:color w:val="000000"/>
                            <w:kern w:val="24"/>
                            <w:sz w:val="16"/>
                            <w:szCs w:val="16"/>
                            <w:lang w:val="pt-PT"/>
                          </w:rPr>
                        </w:pPr>
                        <w:r w:rsidRPr="00324C3E">
                          <w:rPr>
                            <w:rFonts w:cs="Times New Roman"/>
                            <w:b/>
                            <w:bCs/>
                            <w:color w:val="000000"/>
                            <w:kern w:val="24"/>
                            <w:sz w:val="16"/>
                            <w:szCs w:val="16"/>
                            <w:lang w:val="pt-PT"/>
                          </w:rPr>
                          <w:t>Não resolvido</w:t>
                        </w:r>
                      </w:p>
                      <w:p w14:paraId="6B8D3854" w14:textId="77777777" w:rsidR="00857196" w:rsidRPr="00324C3E" w:rsidRDefault="00857196" w:rsidP="00324C3E">
                        <w:pPr>
                          <w:spacing w:before="0" w:after="0"/>
                          <w:rPr>
                            <w:rFonts w:cs="Times New Roman"/>
                            <w:b/>
                            <w:bCs/>
                            <w:color w:val="000000"/>
                            <w:kern w:val="24"/>
                            <w:sz w:val="16"/>
                            <w:szCs w:val="16"/>
                            <w:lang w:val="pt-PT"/>
                          </w:rPr>
                        </w:pPr>
                        <w:r w:rsidRPr="00324C3E">
                          <w:rPr>
                            <w:rFonts w:cs="Times New Roman"/>
                            <w:b/>
                            <w:bCs/>
                            <w:color w:val="000000"/>
                            <w:kern w:val="24"/>
                            <w:sz w:val="16"/>
                            <w:szCs w:val="16"/>
                            <w:lang w:val="pt-PT"/>
                          </w:rPr>
                          <w:t>Não resolvido</w:t>
                        </w:r>
                      </w:p>
                    </w:txbxContent>
                  </v:textbox>
                </v:rect>
                <v:rect id="Retângulo 25" o:spid="_x0000_s1042" style="position:absolute;left:70408;top:28873;width:15748;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" fillcolor="red" strokecolor="#d9d9d9" strokeweight="1pt">
                  <v:textbox>
                    <w:txbxContent>
                      <w:p w14:paraId="3BA61DF4" w14:textId="77777777" w:rsidR="00857196" w:rsidRPr="00324C3E" w:rsidRDefault="00857196" w:rsidP="00324C3E">
                        <w:pPr>
                          <w:spacing w:before="0" w:after="0"/>
                          <w:rPr>
                            <w:rFonts w:cs="Times New Roman"/>
                            <w:b/>
                            <w:bCs/>
                            <w:color w:val="000000"/>
                            <w:kern w:val="24"/>
                            <w:sz w:val="16"/>
                            <w:szCs w:val="16"/>
                          </w:rPr>
                        </w:pPr>
                        <w:r w:rsidRPr="00324C3E">
                          <w:rPr>
                            <w:rFonts w:cs="Times New Roman"/>
                            <w:b/>
                            <w:bCs/>
                            <w:color w:val="000000"/>
                            <w:kern w:val="24"/>
                            <w:sz w:val="16"/>
                            <w:szCs w:val="16"/>
                          </w:rPr>
                          <w:t>Não resolvido</w:t>
                        </w:r>
                      </w:p>
                    </w:txbxContent>
                  </v:textbox>
                </v:rect>
                <v:rect id="Retângulo 26" o:spid="_x0000_s1043" style="position:absolute;left:70408;top:52914;width:15748;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" fillcolor="red" strokecolor="#d9d9d9" strokeweight="1pt">
                  <v:textbox>
                    <w:txbxContent>
                      <w:p w14:paraId="6D6DE9CF" w14:textId="77777777" w:rsidR="00857196" w:rsidRPr="00324C3E" w:rsidRDefault="00857196" w:rsidP="00324C3E">
                        <w:pPr>
                          <w:spacing w:before="0" w:after="0"/>
                          <w:rPr>
                            <w:rFonts w:cs="Times New Roman"/>
                            <w:b/>
                            <w:bCs/>
                            <w:color w:val="000000"/>
                            <w:kern w:val="24"/>
                            <w:sz w:val="16"/>
                            <w:szCs w:val="16"/>
                            <w:lang w:val="pt-PT"/>
                          </w:rPr>
                        </w:pPr>
                        <w:r w:rsidRPr="00324C3E">
                          <w:rPr>
                            <w:rFonts w:cs="Times New Roman"/>
                            <w:b/>
                            <w:bCs/>
                            <w:color w:val="000000"/>
                            <w:kern w:val="24"/>
                            <w:sz w:val="16"/>
                            <w:szCs w:val="16"/>
                            <w:lang w:val="pt-PT"/>
                          </w:rPr>
                          <w:t>Não resolvido</w:t>
                        </w:r>
                      </w:p>
                      <w:p w14:paraId="2CAFAB9A" w14:textId="77777777" w:rsidR="00857196" w:rsidRPr="00324C3E" w:rsidRDefault="00857196" w:rsidP="00324C3E">
                        <w:pPr>
                          <w:spacing w:before="0" w:after="0"/>
                          <w:rPr>
                            <w:rFonts w:cs="Times New Roman"/>
                            <w:b/>
                            <w:bCs/>
                            <w:color w:val="000000"/>
                            <w:kern w:val="24"/>
                            <w:sz w:val="16"/>
                            <w:szCs w:val="16"/>
                            <w:lang w:val="pt-PT"/>
                          </w:rPr>
                        </w:pPr>
                        <w:r w:rsidRPr="00324C3E">
                          <w:rPr>
                            <w:rFonts w:cs="Times New Roman"/>
                            <w:b/>
                            <w:bCs/>
                            <w:color w:val="000000"/>
                            <w:kern w:val="24"/>
                            <w:sz w:val="16"/>
                            <w:szCs w:val="16"/>
                            <w:lang w:val="pt-PT"/>
                          </w:rPr>
                          <w:t>Não resolvido</w:t>
                        </w:r>
                      </w:p>
                    </w:txbxContent>
                  </v:textbox>
                </v:rect>
                <v:shapetype id="_x0000_t32" coordsize="21600,21600" o:spt="32" o:oned="t" path="m,l21600,21600e" filled="f">
                  <v:path arrowok="t" fillok="f" o:connecttype="none"/>
                  <o:lock v:ext="edit" shapetype="t"/>
                </v:shapetype>
                <v:shape id="Conexão reta unidirecional 27" o:spid="_x0000_s1044" type="#_x0000_t32" style="position:absolute;left:43484;top:5994;width:0;height:28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" strokecolor="#d9d9d9" strokeweight="2.25pt">
                  <v:stroke endarrow="block" joinstyle="miter"/>
                </v:shape>
                <v:shape id="Conexão reta unidirecional 28" o:spid="_x0000_s1045" type="#_x0000_t32" style="position:absolute;left:43484;top:12801;width:0;height:29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" strokecolor="#d9d9d9" strokeweight="2.25pt">
                  <v:stroke endarrow="block" joinstyle="miter"/>
                  <o:lock v:ext="edit" shapetype="f"/>
                </v:shape>
                <v:shapetype id="_x0000_t33" coordsize="21600,21600" o:spt="33" o:oned="t" path="m,l21600,r,21600e" filled="f">
                  <v:stroke joinstyle="miter"/>
                  <v:path arrowok="t" fillok="f" o:connecttype="none"/>
                  <o:lock v:ext="edit" shapetype="t"/>
                </v:shapetype>
                <v:shape id="Conexão: Ângulo Reto 29" o:spid="_x0000_s1046" type="#_x0000_t33" style="position:absolute;left:50660;top:13652;width:3632;height:1798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" strokecolor="#d9d9d9" strokeweight="2.25pt">
                  <v:stroke endarrow="block"/>
                </v:shape>
                <v:shape id="Conexão: Ângulo Reto 30" o:spid="_x0000_s1047" type="#_x0000_t33" style="position:absolute;left:32931;top:13906;width:3632;height:17475;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" strokecolor="#d9d9d9" strokeweight="2.25pt">
                  <v:stroke endarrow="block"/>
                  <o:lock v:ext="edit" shapetype="f"/>
                </v:shape>
                <v:shape id="Conexão reta unidirecional 31" o:spid="_x0000_s1048" type="#_x0000_t32" style="position:absolute;left:68732;top:28016;width:0;height:43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" strokecolor="#d9d9d9" strokeweight="2.25pt">
                  <v:stroke endarrow="block" joinstyle="miter"/>
                  <o:lock v:ext="edit" shapetype="f"/>
                </v:shape>
                <v:shape id="Conexão reta unidirecional 32" o:spid="_x0000_s1049" type="#_x0000_t32" style="position:absolute;left:18745;top:27654;width:0;height:55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" strokecolor="#d9d9d9" strokeweight="2.25pt">
                  <v:stroke endarrow="block" joinstyle="miter"/>
                  <o:lock v:ext="edit" shapetype="f"/>
                </v:shape>
                <v:shape id="Conexão reta unidirecional 54" o:spid="_x0000_s1050" type="#_x0000_t32" style="position:absolute;left:18745;top:37122;width:0;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" strokecolor="#d9d9d9" strokeweight="2.25pt">
                  <v:stroke endarrow="block" joinstyle="miter"/>
                  <o:lock v:ext="edit" shapetype="f"/>
                </v:shape>
                <v:shape id="Conexão reta unidirecional 55" o:spid="_x0000_s1051" type="#_x0000_t32" style="position:absolute;left:18745;top:44513;width:0;height:37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" strokecolor="#d9d9d9" strokeweight="2.25pt">
                  <v:stroke endarrow="block" joinstyle="miter"/>
                  <o:lock v:ext="edit" shapetype="f"/>
                </v:shape>
                <v:shape id="Conexão reta unidirecional 56" o:spid="_x0000_s1052" type="#_x0000_t32" style="position:absolute;left:68732;top:36322;width:0;height:40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" strokecolor="#d9d9d9" strokeweight="2.25pt">
                  <v:stroke endarrow="block" joinstyle="miter"/>
                  <o:lock v:ext="edit" shapetype="f"/>
                </v:shape>
                <v:shape id="Conexão reta unidirecional 57" o:spid="_x0000_s1053" type="#_x0000_t32" style="position:absolute;left:68732;top:44335;width:0;height:40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" strokecolor="#d9d9d9" strokeweight="2.25pt">
                  <v:stroke endarrow="block" joinstyle="miter"/>
                  <o:lock v:ext="edit" shapetype="f"/>
                </v:shape>
                <v:shape id="Conexão reta unidirecional 58" o:spid="_x0000_s1054" type="#_x0000_t32" style="position:absolute;left:68732;top:52349;width:0;height:42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" strokecolor="#d9d9d9" strokeweight="2.25pt">
                  <v:stroke endarrow="block" joinstyle="miter"/>
                  <o:lock v:ext="edit" shapetype="f"/>
                </v:shape>
                <v:shape id="Conexão reta unidirecional 59" o:spid="_x0000_s1055" type="#_x0000_t32" style="position:absolute;left:27432;top:26028;width:1605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" strokecolor="#d9d9d9" strokeweight="2.25pt">
                  <v:stroke endarrow="block" joinstyle="miter"/>
                  <o:lock v:ext="edit" shapetype="f"/>
                </v:shape>
                <v:line id="Conexão reta 60" o:spid="_x0000_s1056" style="position:absolute;visibility:visible;mso-wrap-style:square" from="43383,26025" to="43485,50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" strokecolor="#d9d9d9" strokeweight="2.25pt">
                  <v:stroke joinstyle="miter"/>
                  <o:lock v:ext="edit" shapetype="f"/>
                </v:line>
                <v:shape id="Conexão reta unidirecional 61" o:spid="_x0000_s1057" type="#_x0000_t32" style="position:absolute;left:43483;top:34336;width:6504;height:1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" strokecolor="#d9d9d9" strokeweight="2.25pt">
                  <v:stroke endarrow="block" joinstyle="miter"/>
                  <o:lock v:ext="edit" shapetype="f"/>
                </v:shape>
                <v:shape id="Conexão reta unidirecional 62" o:spid="_x0000_s1058" type="#_x0000_t32" style="position:absolute;left:42967;top:42349;width:7020;height:11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" strokecolor="#d9d9d9" strokeweight="2.25pt">
                  <v:stroke endarrow="block" joinstyle="miter"/>
                  <o:lock v:ext="edit" shapetype="f"/>
                </v:shape>
                <v:shape id="Conexão reta unidirecional 63" o:spid="_x0000_s1059" type="#_x0000_t32" style="position:absolute;left:43178;top:50362;width:6809;height: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" strokecolor="#d9d9d9" strokeweight="2.25pt">
                  <v:stroke endarrow="block" joinstyle="miter"/>
                  <o:lock v:ext="edit" shapetype="f"/>
                </v:shape>
                <w10:anchorlock/>
              </v:group>
            </w:pict>
          </mc:Fallback>
        </mc:AlternateContent>
      </w:r>
    </w:p>
    <w:p w14:paraId="0848793C" w14:textId="77777777" w:rsidR="009757BD" w:rsidRPr="00292532" w:rsidRDefault="009757BD" w:rsidP="00753DC0">
      <w:pPr>
        <w:spacing w:before="0" w:after="200"/>
        <w:jc w:val="center"/>
        <w:rPr>
          <w:rFonts w:asciiTheme="minorHAnsi" w:eastAsia="Calibri" w:hAnsiTheme="minorHAnsi" w:cs="Times New Roman"/>
          <w:lang w:val="pt-PT"/>
        </w:rPr>
      </w:pPr>
    </w:p>
    <w:p w14:paraId="5F5F9AF5" w14:textId="79433389" w:rsidR="009757BD" w:rsidRPr="00292532" w:rsidRDefault="00C25AEB" w:rsidP="008E52F7">
      <w:pPr>
        <w:pStyle w:val="Caption"/>
      </w:pPr>
      <w:bookmarkStart w:id="461" w:name="_Toc71892175"/>
      <w:bookmarkStart w:id="462" w:name="_Toc80380246"/>
      <w:r w:rsidRPr="00292532">
        <w:t xml:space="preserve">Figura </w:t>
      </w:r>
      <w:r w:rsidRPr="00292532">
        <w:fldChar w:fldCharType="begin"/>
      </w:r>
      <w:r w:rsidRPr="00292532">
        <w:instrText xml:space="preserve"> SEQ Figura \* ARABIC </w:instrText>
      </w:r>
      <w:r w:rsidRPr="00292532">
        <w:fldChar w:fldCharType="separate"/>
      </w:r>
      <w:r w:rsidR="002D6D99">
        <w:rPr>
          <w:noProof/>
        </w:rPr>
        <w:t>23</w:t>
      </w:r>
      <w:r w:rsidRPr="00292532">
        <w:fldChar w:fldCharType="end"/>
      </w:r>
      <w:r w:rsidRPr="00292532">
        <w:t>:</w:t>
      </w:r>
      <w:r w:rsidR="009757BD" w:rsidRPr="00292532">
        <w:t xml:space="preserve"> </w:t>
      </w:r>
      <w:r w:rsidR="008E52F7" w:rsidRPr="00292532">
        <w:t>Fluxograma do MQR</w:t>
      </w:r>
      <w:bookmarkEnd w:id="461"/>
      <w:bookmarkEnd w:id="462"/>
    </w:p>
    <w:p w14:paraId="71C890A1" w14:textId="636A410C" w:rsidR="009757BD" w:rsidRPr="00292532" w:rsidRDefault="008E52F7">
      <w:pPr>
        <w:pStyle w:val="Heading3"/>
      </w:pPr>
      <w:bookmarkStart w:id="463" w:name="_Toc80380073"/>
      <w:r w:rsidRPr="00292532">
        <w:t>Etapas e cronologia</w:t>
      </w:r>
      <w:r w:rsidR="009757BD" w:rsidRPr="00292532">
        <w:t>:</w:t>
      </w:r>
      <w:bookmarkEnd w:id="463"/>
    </w:p>
    <w:p w14:paraId="36615258" w14:textId="463CBF8C" w:rsidR="009757BD" w:rsidRPr="00292532" w:rsidRDefault="008E52F7" w:rsidP="008E52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0"/>
        <w:ind w:left="14" w:hanging="14"/>
        <w:rPr>
          <w:rFonts w:asciiTheme="minorHAnsi" w:eastAsia="Times New Roman" w:hAnsiTheme="minorHAnsi" w:cs="Calibri"/>
          <w:lang w:val="pt-PT"/>
        </w:rPr>
      </w:pPr>
      <w:r w:rsidRPr="00292532">
        <w:rPr>
          <w:rFonts w:asciiTheme="minorHAnsi" w:eastAsia="Times New Roman" w:hAnsiTheme="minorHAnsi" w:cs="Calibri"/>
          <w:lang w:val="pt-PT"/>
        </w:rPr>
        <w:t xml:space="preserve">Logo após a notificação de uma </w:t>
      </w:r>
      <w:r w:rsidR="009757BD" w:rsidRPr="00292532">
        <w:rPr>
          <w:rFonts w:asciiTheme="minorHAnsi" w:eastAsia="Times New Roman" w:hAnsiTheme="minorHAnsi" w:cs="Calibri"/>
          <w:lang w:val="pt-PT"/>
        </w:rPr>
        <w:t>reclamação</w:t>
      </w:r>
      <w:r w:rsidRPr="00292532">
        <w:rPr>
          <w:rFonts w:asciiTheme="minorHAnsi" w:eastAsia="Times New Roman" w:hAnsiTheme="minorHAnsi" w:cs="Calibri"/>
          <w:lang w:val="pt-PT"/>
        </w:rPr>
        <w:t xml:space="preserve">, a mesma </w:t>
      </w:r>
      <w:r w:rsidR="009757BD" w:rsidRPr="00292532">
        <w:rPr>
          <w:rFonts w:asciiTheme="minorHAnsi" w:eastAsia="Times New Roman" w:hAnsiTheme="minorHAnsi" w:cs="Calibri"/>
          <w:lang w:val="pt-PT"/>
        </w:rPr>
        <w:t xml:space="preserve">deve ser </w:t>
      </w:r>
      <w:r w:rsidRPr="00292532">
        <w:rPr>
          <w:rFonts w:asciiTheme="minorHAnsi" w:eastAsia="Times New Roman" w:hAnsiTheme="minorHAnsi" w:cs="Calibri"/>
          <w:lang w:val="pt-PT"/>
        </w:rPr>
        <w:t xml:space="preserve">de imediato </w:t>
      </w:r>
      <w:r w:rsidR="009757BD" w:rsidRPr="00292532">
        <w:rPr>
          <w:rFonts w:asciiTheme="minorHAnsi" w:eastAsia="Times New Roman" w:hAnsiTheme="minorHAnsi" w:cs="Calibri"/>
          <w:lang w:val="pt-PT"/>
        </w:rPr>
        <w:t>registada na base de dados da UIP</w:t>
      </w:r>
      <w:r w:rsidRPr="00292532">
        <w:rPr>
          <w:rFonts w:asciiTheme="minorHAnsi" w:eastAsia="Times New Roman" w:hAnsiTheme="minorHAnsi" w:cs="Calibri"/>
          <w:lang w:val="pt-PT"/>
        </w:rPr>
        <w:t xml:space="preserve">, através de um sistema de registo </w:t>
      </w:r>
      <w:r w:rsidR="009757BD" w:rsidRPr="00292532">
        <w:rPr>
          <w:rFonts w:asciiTheme="minorHAnsi" w:eastAsia="Times New Roman" w:hAnsiTheme="minorHAnsi" w:cs="Calibri"/>
          <w:lang w:val="pt-PT"/>
        </w:rPr>
        <w:t>online</w:t>
      </w:r>
      <w:r w:rsidRPr="00292532">
        <w:rPr>
          <w:rFonts w:asciiTheme="minorHAnsi" w:eastAsia="Times New Roman" w:hAnsiTheme="minorHAnsi" w:cs="Calibri"/>
          <w:lang w:val="pt-PT"/>
        </w:rPr>
        <w:t>, caso exista, ou num espaço de 48 h</w:t>
      </w:r>
      <w:r w:rsidR="009757BD" w:rsidRPr="00292532">
        <w:rPr>
          <w:rFonts w:asciiTheme="minorHAnsi" w:eastAsia="Times New Roman" w:hAnsiTheme="minorHAnsi" w:cs="Calibri"/>
          <w:lang w:val="pt-PT"/>
        </w:rPr>
        <w:t xml:space="preserve"> </w:t>
      </w:r>
      <w:r w:rsidRPr="00292532">
        <w:rPr>
          <w:rFonts w:asciiTheme="minorHAnsi" w:eastAsia="Times New Roman" w:hAnsiTheme="minorHAnsi" w:cs="Calibri"/>
          <w:lang w:val="pt-PT"/>
        </w:rPr>
        <w:t xml:space="preserve">se for utilizado qualquer outro sistema de registo. </w:t>
      </w:r>
      <w:r w:rsidR="009757BD" w:rsidRPr="00292532">
        <w:rPr>
          <w:rFonts w:asciiTheme="minorHAnsi" w:eastAsia="Times New Roman" w:hAnsiTheme="minorHAnsi" w:cs="Calibri"/>
          <w:lang w:val="pt-PT"/>
        </w:rPr>
        <w:t xml:space="preserve">O </w:t>
      </w:r>
      <w:r w:rsidRPr="00292532">
        <w:rPr>
          <w:rFonts w:asciiTheme="minorHAnsi" w:eastAsia="Times New Roman" w:hAnsiTheme="minorHAnsi" w:cs="Calibri"/>
          <w:lang w:val="pt-PT"/>
        </w:rPr>
        <w:t xml:space="preserve">gestor do </w:t>
      </w:r>
      <w:r w:rsidR="009757BD" w:rsidRPr="00292532">
        <w:rPr>
          <w:rFonts w:asciiTheme="minorHAnsi" w:eastAsia="Times New Roman" w:hAnsiTheme="minorHAnsi" w:cs="Calibri"/>
          <w:lang w:val="pt-PT"/>
        </w:rPr>
        <w:t xml:space="preserve">subprojecto responsável </w:t>
      </w:r>
      <w:r w:rsidRPr="00292532">
        <w:rPr>
          <w:rFonts w:asciiTheme="minorHAnsi" w:eastAsia="Times New Roman" w:hAnsiTheme="minorHAnsi" w:cs="Calibri"/>
          <w:lang w:val="pt-PT"/>
        </w:rPr>
        <w:t>pela</w:t>
      </w:r>
      <w:r w:rsidR="009757BD" w:rsidRPr="00292532">
        <w:rPr>
          <w:rFonts w:asciiTheme="minorHAnsi" w:eastAsia="Times New Roman" w:hAnsiTheme="minorHAnsi" w:cs="Calibri"/>
          <w:lang w:val="pt-PT"/>
        </w:rPr>
        <w:t xml:space="preserve"> reclamação deverá </w:t>
      </w:r>
      <w:r w:rsidRPr="00292532">
        <w:rPr>
          <w:rFonts w:asciiTheme="minorHAnsi" w:eastAsia="Times New Roman" w:hAnsiTheme="minorHAnsi" w:cs="Calibri"/>
          <w:lang w:val="pt-PT"/>
        </w:rPr>
        <w:t xml:space="preserve">assegurar que uma proposta de solução é apresentada dentro de </w:t>
      </w:r>
      <w:r w:rsidR="009757BD" w:rsidRPr="00292532">
        <w:rPr>
          <w:rFonts w:asciiTheme="minorHAnsi" w:eastAsia="Times New Roman" w:hAnsiTheme="minorHAnsi" w:cs="Calibri"/>
          <w:lang w:val="pt-PT"/>
        </w:rPr>
        <w:t>5 dias. Caso contrário, as seguintes etapas deve</w:t>
      </w:r>
      <w:r w:rsidRPr="00292532">
        <w:rPr>
          <w:rFonts w:asciiTheme="minorHAnsi" w:eastAsia="Times New Roman" w:hAnsiTheme="minorHAnsi" w:cs="Calibri"/>
          <w:lang w:val="pt-PT"/>
        </w:rPr>
        <w:t xml:space="preserve">rão </w:t>
      </w:r>
      <w:r w:rsidR="009757BD" w:rsidRPr="00292532">
        <w:rPr>
          <w:rFonts w:asciiTheme="minorHAnsi" w:eastAsia="Times New Roman" w:hAnsiTheme="minorHAnsi" w:cs="Calibri"/>
          <w:lang w:val="pt-PT"/>
        </w:rPr>
        <w:t>ser seguidas:</w:t>
      </w:r>
    </w:p>
    <w:p w14:paraId="238D37ED" w14:textId="77777777" w:rsidR="00AC60F1" w:rsidRPr="00292532" w:rsidRDefault="00AC60F1" w:rsidP="008E52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0"/>
        <w:ind w:left="14" w:hanging="14"/>
        <w:rPr>
          <w:rFonts w:asciiTheme="minorHAnsi" w:eastAsia="Times New Roman" w:hAnsiTheme="minorHAnsi" w:cs="Calibri"/>
          <w:lang w:val="pt-PT"/>
        </w:rPr>
      </w:pPr>
    </w:p>
    <w:p w14:paraId="4EA0DC80" w14:textId="77777777" w:rsidR="009757BD" w:rsidRPr="00292532" w:rsidRDefault="009757BD" w:rsidP="00AE14AE">
      <w:pPr>
        <w:numPr>
          <w:ilvl w:val="0"/>
          <w:numId w:val="119"/>
        </w:numPr>
        <w:tabs>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left="1080" w:hanging="360"/>
        <w:jc w:val="left"/>
        <w:rPr>
          <w:rFonts w:asciiTheme="minorHAnsi" w:eastAsia="Times New Roman" w:hAnsiTheme="minorHAnsi" w:cs="Calibri"/>
          <w:lang w:val="pt-PT"/>
        </w:rPr>
      </w:pPr>
      <w:r w:rsidRPr="00292532">
        <w:rPr>
          <w:rFonts w:asciiTheme="minorHAnsi" w:eastAsia="Times New Roman" w:hAnsiTheme="minorHAnsi" w:cs="Calibri"/>
          <w:lang w:val="pt-PT"/>
        </w:rPr>
        <w:t xml:space="preserve"> O primeiro nível de recurso - intervenção da UT Distrital não deve exceder 10 dias após a notificação.</w:t>
      </w:r>
    </w:p>
    <w:p w14:paraId="0C37EEDF" w14:textId="1E5A2F66" w:rsidR="009757BD" w:rsidRPr="00292532" w:rsidRDefault="009757BD" w:rsidP="00AE14AE">
      <w:pPr>
        <w:numPr>
          <w:ilvl w:val="0"/>
          <w:numId w:val="119"/>
        </w:numPr>
        <w:tabs>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left="1080" w:hanging="360"/>
        <w:jc w:val="left"/>
        <w:rPr>
          <w:rFonts w:asciiTheme="minorHAnsi" w:eastAsia="Times New Roman" w:hAnsiTheme="minorHAnsi" w:cs="Calibri"/>
          <w:lang w:val="pt-PT"/>
        </w:rPr>
      </w:pPr>
      <w:r w:rsidRPr="00292532">
        <w:rPr>
          <w:rFonts w:asciiTheme="minorHAnsi" w:eastAsia="Times New Roman" w:hAnsiTheme="minorHAnsi" w:cs="Calibri"/>
          <w:lang w:val="pt-PT"/>
        </w:rPr>
        <w:t>A segunda instância de recurso - intervenção do UT Provincial não deve exceder 15 dias após a notificação.</w:t>
      </w:r>
    </w:p>
    <w:p w14:paraId="58D3A8B8" w14:textId="77777777" w:rsidR="009757BD" w:rsidRPr="00292532" w:rsidRDefault="009757BD" w:rsidP="00AE14AE">
      <w:pPr>
        <w:numPr>
          <w:ilvl w:val="0"/>
          <w:numId w:val="119"/>
        </w:numPr>
        <w:tabs>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left="1080" w:hanging="360"/>
        <w:jc w:val="left"/>
        <w:rPr>
          <w:rFonts w:asciiTheme="minorHAnsi" w:eastAsia="Times New Roman" w:hAnsiTheme="minorHAnsi" w:cs="Calibri"/>
          <w:lang w:val="pt-PT"/>
        </w:rPr>
      </w:pPr>
      <w:r w:rsidRPr="00292532">
        <w:rPr>
          <w:rFonts w:asciiTheme="minorHAnsi" w:eastAsia="Times New Roman" w:hAnsiTheme="minorHAnsi" w:cs="Calibri"/>
          <w:lang w:val="pt-PT"/>
        </w:rPr>
        <w:t xml:space="preserve">O terceiro nível de recurso – UIP central - não deve exceder 21 dias após a notificação. </w:t>
      </w:r>
    </w:p>
    <w:p w14:paraId="4AFC6E2A" w14:textId="6CC74726" w:rsidR="009757BD" w:rsidRPr="00292532" w:rsidRDefault="009757BD" w:rsidP="00AE14AE">
      <w:pPr>
        <w:numPr>
          <w:ilvl w:val="0"/>
          <w:numId w:val="119"/>
        </w:numPr>
        <w:tabs>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left="1080" w:hanging="360"/>
        <w:jc w:val="left"/>
        <w:rPr>
          <w:rFonts w:asciiTheme="minorHAnsi" w:eastAsia="Times New Roman" w:hAnsiTheme="minorHAnsi" w:cs="Calibri"/>
          <w:lang w:val="pt-PT"/>
        </w:rPr>
      </w:pPr>
      <w:r w:rsidRPr="00292532">
        <w:rPr>
          <w:rFonts w:asciiTheme="minorHAnsi" w:eastAsia="Times New Roman" w:hAnsiTheme="minorHAnsi" w:cs="Calibri"/>
          <w:lang w:val="pt-PT"/>
        </w:rPr>
        <w:t xml:space="preserve">Além disso, caso uma das partes esteja insatisfeita, a parte </w:t>
      </w:r>
      <w:proofErr w:type="spellStart"/>
      <w:r w:rsidRPr="00292532">
        <w:rPr>
          <w:rFonts w:asciiTheme="minorHAnsi" w:eastAsia="Times New Roman" w:hAnsiTheme="minorHAnsi" w:cs="Calibri"/>
          <w:lang w:val="pt-PT"/>
        </w:rPr>
        <w:t>afe</w:t>
      </w:r>
      <w:r w:rsidR="00C24E45" w:rsidRPr="00292532">
        <w:rPr>
          <w:rFonts w:asciiTheme="minorHAnsi" w:eastAsia="Times New Roman" w:hAnsiTheme="minorHAnsi" w:cs="Calibri"/>
          <w:lang w:val="pt-PT"/>
        </w:rPr>
        <w:t>c</w:t>
      </w:r>
      <w:r w:rsidRPr="00292532">
        <w:rPr>
          <w:rFonts w:asciiTheme="minorHAnsi" w:eastAsia="Times New Roman" w:hAnsiTheme="minorHAnsi" w:cs="Calibri"/>
          <w:lang w:val="pt-PT"/>
        </w:rPr>
        <w:t>tada</w:t>
      </w:r>
      <w:proofErr w:type="spellEnd"/>
      <w:r w:rsidRPr="00292532">
        <w:rPr>
          <w:rFonts w:asciiTheme="minorHAnsi" w:eastAsia="Times New Roman" w:hAnsiTheme="minorHAnsi" w:cs="Calibri"/>
          <w:lang w:val="pt-PT"/>
        </w:rPr>
        <w:t xml:space="preserve"> pode levar a reclamação a tribunal, onde será tratada de acordo com a lei moçambicana.</w:t>
      </w:r>
    </w:p>
    <w:p w14:paraId="17D460CB" w14:textId="04D92FC1" w:rsidR="009757BD" w:rsidRPr="00292532" w:rsidRDefault="009757BD" w:rsidP="00753D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left="10" w:hanging="10"/>
        <w:rPr>
          <w:rFonts w:asciiTheme="minorHAnsi" w:eastAsia="Times New Roman" w:hAnsiTheme="minorHAnsi" w:cs="Calibri"/>
          <w:lang w:val="pt-PT"/>
        </w:rPr>
      </w:pPr>
      <w:r w:rsidRPr="00292532">
        <w:rPr>
          <w:rFonts w:asciiTheme="minorHAnsi" w:eastAsia="Times New Roman" w:hAnsiTheme="minorHAnsi" w:cs="Calibri"/>
          <w:lang w:val="pt-PT"/>
        </w:rPr>
        <w:t xml:space="preserve">A UIP irá garantir que seja criado e mantido um “Registo de Reclamações" centralizado durante todo o ciclo de vida do </w:t>
      </w:r>
      <w:proofErr w:type="spellStart"/>
      <w:r w:rsidR="008C3A00" w:rsidRPr="00292532">
        <w:rPr>
          <w:rFonts w:asciiTheme="minorHAnsi" w:eastAsia="Times New Roman" w:hAnsiTheme="minorHAnsi" w:cs="Calibri"/>
          <w:lang w:val="pt-PT"/>
        </w:rPr>
        <w:t>projecto</w:t>
      </w:r>
      <w:proofErr w:type="spellEnd"/>
      <w:r w:rsidRPr="00292532">
        <w:rPr>
          <w:rFonts w:asciiTheme="minorHAnsi" w:eastAsia="Times New Roman" w:hAnsiTheme="minorHAnsi" w:cs="Calibri"/>
          <w:lang w:val="pt-PT"/>
        </w:rPr>
        <w:t>. Os registos da reclamação devem conter: i) os detalhes de conta</w:t>
      </w:r>
      <w:r w:rsidR="00C24E45" w:rsidRPr="00292532">
        <w:rPr>
          <w:rFonts w:asciiTheme="minorHAnsi" w:eastAsia="Times New Roman" w:hAnsiTheme="minorHAnsi" w:cs="Calibri"/>
          <w:lang w:val="pt-PT"/>
        </w:rPr>
        <w:t>c</w:t>
      </w:r>
      <w:r w:rsidRPr="00292532">
        <w:rPr>
          <w:rFonts w:asciiTheme="minorHAnsi" w:eastAsia="Times New Roman" w:hAnsiTheme="minorHAnsi" w:cs="Calibri"/>
          <w:lang w:val="pt-PT"/>
        </w:rPr>
        <w:t xml:space="preserve">to do reclamante e informações sobre a reclamação em si, </w:t>
      </w:r>
      <w:proofErr w:type="spellStart"/>
      <w:r w:rsidRPr="00292532">
        <w:rPr>
          <w:rFonts w:asciiTheme="minorHAnsi" w:eastAsia="Times New Roman" w:hAnsiTheme="minorHAnsi" w:cs="Calibri"/>
          <w:lang w:val="pt-PT"/>
        </w:rPr>
        <w:t>ii</w:t>
      </w:r>
      <w:proofErr w:type="spellEnd"/>
      <w:r w:rsidRPr="00292532">
        <w:rPr>
          <w:rFonts w:asciiTheme="minorHAnsi" w:eastAsia="Times New Roman" w:hAnsiTheme="minorHAnsi" w:cs="Calibri"/>
          <w:lang w:val="pt-PT"/>
        </w:rPr>
        <w:t xml:space="preserve">) os resultados das </w:t>
      </w:r>
      <w:r w:rsidRPr="00292532">
        <w:rPr>
          <w:rFonts w:asciiTheme="minorHAnsi" w:eastAsia="Times New Roman" w:hAnsiTheme="minorHAnsi" w:cs="Calibri"/>
          <w:lang w:val="pt-PT"/>
        </w:rPr>
        <w:lastRenderedPageBreak/>
        <w:t xml:space="preserve">investigações e respostas fornecidas, </w:t>
      </w:r>
      <w:proofErr w:type="spellStart"/>
      <w:r w:rsidRPr="00292532">
        <w:rPr>
          <w:rFonts w:asciiTheme="minorHAnsi" w:eastAsia="Times New Roman" w:hAnsiTheme="minorHAnsi" w:cs="Calibri"/>
          <w:lang w:val="pt-PT"/>
        </w:rPr>
        <w:t>iii</w:t>
      </w:r>
      <w:proofErr w:type="spellEnd"/>
      <w:r w:rsidRPr="00292532">
        <w:rPr>
          <w:rFonts w:asciiTheme="minorHAnsi" w:eastAsia="Times New Roman" w:hAnsiTheme="minorHAnsi" w:cs="Calibri"/>
          <w:lang w:val="pt-PT"/>
        </w:rPr>
        <w:t xml:space="preserve">) </w:t>
      </w:r>
      <w:proofErr w:type="spellStart"/>
      <w:r w:rsidRPr="00292532">
        <w:rPr>
          <w:rFonts w:asciiTheme="minorHAnsi" w:eastAsia="Times New Roman" w:hAnsiTheme="minorHAnsi" w:cs="Calibri"/>
          <w:lang w:val="pt-PT"/>
        </w:rPr>
        <w:t>a</w:t>
      </w:r>
      <w:r w:rsidR="00C24E45" w:rsidRPr="00292532">
        <w:rPr>
          <w:rFonts w:asciiTheme="minorHAnsi" w:eastAsia="Times New Roman" w:hAnsiTheme="minorHAnsi" w:cs="Calibri"/>
          <w:lang w:val="pt-PT"/>
        </w:rPr>
        <w:t>c</w:t>
      </w:r>
      <w:r w:rsidRPr="00292532">
        <w:rPr>
          <w:rFonts w:asciiTheme="minorHAnsi" w:eastAsia="Times New Roman" w:hAnsiTheme="minorHAnsi" w:cs="Calibri"/>
          <w:lang w:val="pt-PT"/>
        </w:rPr>
        <w:t>ções</w:t>
      </w:r>
      <w:proofErr w:type="spellEnd"/>
      <w:r w:rsidRPr="00292532">
        <w:rPr>
          <w:rFonts w:asciiTheme="minorHAnsi" w:eastAsia="Times New Roman" w:hAnsiTheme="minorHAnsi" w:cs="Calibri"/>
          <w:lang w:val="pt-PT"/>
        </w:rPr>
        <w:t xml:space="preserve"> de acompanhamento necessárias e comunicações internas feitas em resposta às reclamações e o resultado.</w:t>
      </w:r>
    </w:p>
    <w:p w14:paraId="4991F961" w14:textId="7CCA7F30" w:rsidR="009757BD" w:rsidRPr="00292532" w:rsidRDefault="009757BD">
      <w:pPr>
        <w:pStyle w:val="Heading3"/>
      </w:pPr>
      <w:bookmarkStart w:id="464" w:name="_Toc482789070"/>
      <w:bookmarkStart w:id="465" w:name="_Toc80380074"/>
      <w:r w:rsidRPr="00292532">
        <w:t>Gestão de queixas a nível judicial</w:t>
      </w:r>
      <w:bookmarkEnd w:id="464"/>
      <w:bookmarkEnd w:id="465"/>
      <w:r w:rsidRPr="00292532">
        <w:t xml:space="preserve">  </w:t>
      </w:r>
    </w:p>
    <w:p w14:paraId="0018C978" w14:textId="39D42B62" w:rsidR="009757BD" w:rsidRPr="00292532" w:rsidRDefault="009757BD" w:rsidP="008E52F7">
      <w:pPr>
        <w:spacing w:before="120"/>
        <w:rPr>
          <w:rFonts w:asciiTheme="minorHAnsi" w:eastAsia="Calibri" w:hAnsiTheme="minorHAnsi" w:cs="Times New Roman"/>
          <w:lang w:val="pt-PT"/>
        </w:rPr>
      </w:pPr>
      <w:r w:rsidRPr="00292532">
        <w:rPr>
          <w:rFonts w:asciiTheme="minorHAnsi" w:eastAsia="Calibri" w:hAnsiTheme="minorHAnsi" w:cs="Times New Roman"/>
          <w:lang w:val="pt-PT"/>
        </w:rPr>
        <w:t xml:space="preserve">No processo de gestão de queixas e reclamações, os queixosos e /ou reclamantes, podem aceder o nível judicial para apresentação e </w:t>
      </w:r>
      <w:r w:rsidR="00AC60F1" w:rsidRPr="00292532">
        <w:rPr>
          <w:rFonts w:asciiTheme="minorHAnsi" w:eastAsia="Calibri" w:hAnsiTheme="minorHAnsi" w:cs="Times New Roman"/>
          <w:lang w:val="pt-PT"/>
        </w:rPr>
        <w:t xml:space="preserve">obtenção </w:t>
      </w:r>
      <w:r w:rsidRPr="00292532">
        <w:rPr>
          <w:rFonts w:asciiTheme="minorHAnsi" w:eastAsia="Calibri" w:hAnsiTheme="minorHAnsi" w:cs="Times New Roman"/>
          <w:lang w:val="pt-PT"/>
        </w:rPr>
        <w:t xml:space="preserve">de soluções das suas inquietações. A qualquer momento, o queixoso e/ou reclamante pode levar as questões as autoridades legais ou judiciais competentes, de acordo com o quadro legal da República de Moçambique. </w:t>
      </w:r>
    </w:p>
    <w:p w14:paraId="51F5C228" w14:textId="1AAEEB67" w:rsidR="009757BD" w:rsidRPr="00292532" w:rsidRDefault="009757BD">
      <w:pPr>
        <w:pStyle w:val="Heading3"/>
      </w:pPr>
      <w:bookmarkStart w:id="466" w:name="_Toc42008347"/>
      <w:bookmarkStart w:id="467" w:name="_Toc69292415"/>
      <w:bookmarkStart w:id="468" w:name="_Toc19298262"/>
      <w:bookmarkStart w:id="469" w:name="_Toc6147361"/>
      <w:bookmarkStart w:id="470" w:name="_Toc482789071"/>
      <w:bookmarkStart w:id="471" w:name="_Toc80380075"/>
      <w:r w:rsidRPr="00292532">
        <w:t>Queixas relacionadas à violência baseada no gênero (VBG)</w:t>
      </w:r>
      <w:bookmarkEnd w:id="466"/>
      <w:bookmarkEnd w:id="467"/>
      <w:bookmarkEnd w:id="468"/>
      <w:bookmarkEnd w:id="469"/>
      <w:bookmarkEnd w:id="470"/>
      <w:bookmarkEnd w:id="471"/>
    </w:p>
    <w:p w14:paraId="5C264FE6" w14:textId="39D38072" w:rsidR="009757BD" w:rsidRPr="00292532" w:rsidRDefault="009757BD" w:rsidP="00AC6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0"/>
        <w:ind w:left="14" w:hanging="14"/>
        <w:rPr>
          <w:rFonts w:asciiTheme="minorHAnsi" w:eastAsia="Times New Roman" w:hAnsiTheme="minorHAnsi" w:cs="Calibri"/>
          <w:lang w:val="pt-PT"/>
        </w:rPr>
      </w:pPr>
      <w:r w:rsidRPr="00292532">
        <w:rPr>
          <w:rFonts w:asciiTheme="minorHAnsi" w:eastAsia="Times New Roman" w:hAnsiTheme="minorHAnsi" w:cs="Calibri"/>
          <w:lang w:val="pt-PT"/>
        </w:rPr>
        <w:t xml:space="preserve">Procedimentos específicos para lidar com queixas relacionadas a situações de VBG </w:t>
      </w:r>
      <w:r w:rsidR="006174BB" w:rsidRPr="00292532">
        <w:rPr>
          <w:rFonts w:asciiTheme="minorHAnsi" w:eastAsia="Times New Roman" w:hAnsiTheme="minorHAnsi" w:cs="Calibri"/>
          <w:lang w:val="pt-PT"/>
        </w:rPr>
        <w:t xml:space="preserve">estão </w:t>
      </w:r>
      <w:r w:rsidRPr="00292532">
        <w:rPr>
          <w:rFonts w:asciiTheme="minorHAnsi" w:eastAsia="Times New Roman" w:hAnsiTheme="minorHAnsi" w:cs="Calibri"/>
          <w:lang w:val="pt-PT"/>
        </w:rPr>
        <w:t>estabelecid</w:t>
      </w:r>
      <w:r w:rsidR="006174BB" w:rsidRPr="00292532">
        <w:rPr>
          <w:rFonts w:asciiTheme="minorHAnsi" w:eastAsia="Times New Roman" w:hAnsiTheme="minorHAnsi" w:cs="Calibri"/>
          <w:lang w:val="pt-PT"/>
        </w:rPr>
        <w:t>o</w:t>
      </w:r>
      <w:r w:rsidRPr="00292532">
        <w:rPr>
          <w:rFonts w:asciiTheme="minorHAnsi" w:eastAsia="Times New Roman" w:hAnsiTheme="minorHAnsi" w:cs="Calibri"/>
          <w:lang w:val="pt-PT"/>
        </w:rPr>
        <w:t>s no</w:t>
      </w:r>
      <w:r w:rsidR="006174BB" w:rsidRPr="00292532">
        <w:rPr>
          <w:rFonts w:asciiTheme="minorHAnsi" w:eastAsia="Times New Roman" w:hAnsiTheme="minorHAnsi" w:cs="Calibri"/>
          <w:lang w:val="pt-PT"/>
        </w:rPr>
        <w:t xml:space="preserve"> Anexo 12 do</w:t>
      </w:r>
      <w:r w:rsidRPr="00292532">
        <w:rPr>
          <w:rFonts w:asciiTheme="minorHAnsi" w:eastAsia="Times New Roman" w:hAnsiTheme="minorHAnsi" w:cs="Calibri"/>
          <w:lang w:val="pt-PT"/>
        </w:rPr>
        <w:t xml:space="preserve"> QGAS com disposições de confidencialidade, bem como documentação segura e ética</w:t>
      </w:r>
      <w:r w:rsidR="00AC60F1" w:rsidRPr="00292532">
        <w:rPr>
          <w:rFonts w:asciiTheme="minorHAnsi" w:eastAsia="Times New Roman" w:hAnsiTheme="minorHAnsi" w:cs="Calibri"/>
          <w:lang w:val="pt-PT"/>
        </w:rPr>
        <w:t xml:space="preserve">, respeitando o </w:t>
      </w:r>
      <w:r w:rsidR="00C24E45" w:rsidRPr="00292532">
        <w:rPr>
          <w:rFonts w:asciiTheme="minorHAnsi" w:eastAsia="Times New Roman" w:hAnsiTheme="minorHAnsi" w:cs="Calibri"/>
          <w:lang w:val="pt-PT"/>
        </w:rPr>
        <w:t>carácter</w:t>
      </w:r>
      <w:r w:rsidR="00AC60F1" w:rsidRPr="00292532">
        <w:rPr>
          <w:rFonts w:asciiTheme="minorHAnsi" w:eastAsia="Times New Roman" w:hAnsiTheme="minorHAnsi" w:cs="Calibri"/>
          <w:lang w:val="pt-PT"/>
        </w:rPr>
        <w:t xml:space="preserve"> de crime público</w:t>
      </w:r>
      <w:r w:rsidRPr="00292532">
        <w:rPr>
          <w:rFonts w:asciiTheme="minorHAnsi" w:eastAsia="Times New Roman" w:hAnsiTheme="minorHAnsi" w:cs="Calibri"/>
          <w:lang w:val="pt-PT"/>
        </w:rPr>
        <w:t xml:space="preserve">. Os canais de captação das queixas serão iguais aos apresentados acima, porém haverá considerações específicas de </w:t>
      </w:r>
      <w:r w:rsidR="009C3E6E" w:rsidRPr="00292532">
        <w:rPr>
          <w:rFonts w:asciiTheme="minorHAnsi" w:eastAsia="Times New Roman" w:hAnsiTheme="minorHAnsi" w:cs="Calibri"/>
          <w:lang w:val="pt-PT"/>
        </w:rPr>
        <w:t>MQR</w:t>
      </w:r>
      <w:r w:rsidRPr="00292532">
        <w:rPr>
          <w:rFonts w:asciiTheme="minorHAnsi" w:eastAsia="Times New Roman" w:hAnsiTheme="minorHAnsi" w:cs="Calibri"/>
          <w:lang w:val="pt-PT"/>
        </w:rPr>
        <w:t xml:space="preserve">, tais como: </w:t>
      </w:r>
    </w:p>
    <w:p w14:paraId="44D40A17" w14:textId="3026CEF2" w:rsidR="009757BD" w:rsidRPr="00292532" w:rsidRDefault="009757BD" w:rsidP="00AE14AE">
      <w:pPr>
        <w:numPr>
          <w:ilvl w:val="0"/>
          <w:numId w:val="11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rPr>
          <w:rFonts w:asciiTheme="minorHAnsi" w:eastAsia="Times New Roman" w:hAnsiTheme="minorHAnsi" w:cs="Calibri"/>
          <w:lang w:val="pt-PT"/>
        </w:rPr>
      </w:pPr>
      <w:r w:rsidRPr="00292532">
        <w:rPr>
          <w:rFonts w:asciiTheme="minorHAnsi" w:eastAsia="Times New Roman" w:hAnsiTheme="minorHAnsi" w:cs="Calibri"/>
          <w:lang w:val="pt-PT"/>
        </w:rPr>
        <w:t xml:space="preserve">Estabelecimento de um </w:t>
      </w:r>
      <w:r w:rsidR="00C24E45" w:rsidRPr="00292532">
        <w:rPr>
          <w:rFonts w:asciiTheme="minorHAnsi" w:eastAsia="Times New Roman" w:hAnsiTheme="minorHAnsi" w:cs="Calibri"/>
          <w:lang w:val="pt-PT"/>
        </w:rPr>
        <w:t xml:space="preserve">MQR </w:t>
      </w:r>
      <w:r w:rsidRPr="00292532">
        <w:rPr>
          <w:rFonts w:asciiTheme="minorHAnsi" w:eastAsia="Times New Roman" w:hAnsiTheme="minorHAnsi" w:cs="Calibri"/>
          <w:lang w:val="pt-PT"/>
        </w:rPr>
        <w:t xml:space="preserve">separado, potencialmente administrado por um Provedor de Serviços especializado com </w:t>
      </w:r>
      <w:r w:rsidR="00AC60F1" w:rsidRPr="00292532">
        <w:rPr>
          <w:rFonts w:asciiTheme="minorHAnsi" w:eastAsia="Times New Roman" w:hAnsiTheme="minorHAnsi" w:cs="Calibri"/>
          <w:lang w:val="pt-PT"/>
        </w:rPr>
        <w:t xml:space="preserve">obrigações de retroalimentação do </w:t>
      </w:r>
      <w:r w:rsidR="009C3E6E" w:rsidRPr="00292532">
        <w:rPr>
          <w:rFonts w:asciiTheme="minorHAnsi" w:eastAsia="Times New Roman" w:hAnsiTheme="minorHAnsi" w:cs="Calibri"/>
          <w:lang w:val="pt-PT"/>
        </w:rPr>
        <w:t>MQR</w:t>
      </w:r>
      <w:r w:rsidRPr="00292532">
        <w:rPr>
          <w:rFonts w:asciiTheme="minorHAnsi" w:eastAsia="Times New Roman" w:hAnsiTheme="minorHAnsi" w:cs="Calibri"/>
          <w:lang w:val="pt-PT"/>
        </w:rPr>
        <w:t xml:space="preserve"> do </w:t>
      </w:r>
      <w:proofErr w:type="spellStart"/>
      <w:r w:rsidR="008C3A00" w:rsidRPr="00292532">
        <w:rPr>
          <w:rFonts w:asciiTheme="minorHAnsi" w:eastAsia="Times New Roman" w:hAnsiTheme="minorHAnsi" w:cs="Calibri"/>
          <w:lang w:val="pt-PT"/>
        </w:rPr>
        <w:t>projecto</w:t>
      </w:r>
      <w:proofErr w:type="spellEnd"/>
      <w:r w:rsidRPr="00292532">
        <w:rPr>
          <w:rFonts w:asciiTheme="minorHAnsi" w:eastAsia="Times New Roman" w:hAnsiTheme="minorHAnsi" w:cs="Calibri"/>
          <w:lang w:val="pt-PT"/>
        </w:rPr>
        <w:t xml:space="preserve">; trabalhadores específicos do </w:t>
      </w:r>
      <w:proofErr w:type="spellStart"/>
      <w:r w:rsidR="008C3A00" w:rsidRPr="00292532">
        <w:rPr>
          <w:rFonts w:asciiTheme="minorHAnsi" w:eastAsia="Times New Roman" w:hAnsiTheme="minorHAnsi" w:cs="Calibri"/>
          <w:lang w:val="pt-PT"/>
        </w:rPr>
        <w:t>projecto</w:t>
      </w:r>
      <w:proofErr w:type="spellEnd"/>
      <w:r w:rsidRPr="00292532">
        <w:rPr>
          <w:rFonts w:asciiTheme="minorHAnsi" w:eastAsia="Times New Roman" w:hAnsiTheme="minorHAnsi" w:cs="Calibri"/>
          <w:lang w:val="pt-PT"/>
        </w:rPr>
        <w:t xml:space="preserve"> devem ser treinados sobre como documentar casos de Violência Baseada no Gênero de maneira confidencial;</w:t>
      </w:r>
    </w:p>
    <w:p w14:paraId="1593DE8A" w14:textId="5BDDF780" w:rsidR="009757BD" w:rsidRPr="00292532" w:rsidRDefault="009757BD" w:rsidP="00AE14AE">
      <w:pPr>
        <w:numPr>
          <w:ilvl w:val="0"/>
          <w:numId w:val="11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rPr>
          <w:rFonts w:asciiTheme="minorHAnsi" w:eastAsia="Times New Roman" w:hAnsiTheme="minorHAnsi" w:cs="Calibri"/>
          <w:lang w:val="pt-PT"/>
        </w:rPr>
      </w:pPr>
      <w:r w:rsidRPr="00292532">
        <w:rPr>
          <w:rFonts w:asciiTheme="minorHAnsi" w:eastAsia="Times New Roman" w:hAnsiTheme="minorHAnsi" w:cs="Calibri"/>
          <w:lang w:val="pt-PT"/>
        </w:rPr>
        <w:t xml:space="preserve">O </w:t>
      </w:r>
      <w:proofErr w:type="spellStart"/>
      <w:r w:rsidR="008C3A00" w:rsidRPr="00292532">
        <w:rPr>
          <w:rFonts w:asciiTheme="minorHAnsi" w:eastAsia="Times New Roman" w:hAnsiTheme="minorHAnsi" w:cs="Calibri"/>
          <w:lang w:val="pt-PT"/>
        </w:rPr>
        <w:t>projecto</w:t>
      </w:r>
      <w:proofErr w:type="spellEnd"/>
      <w:r w:rsidRPr="00292532">
        <w:rPr>
          <w:rFonts w:asciiTheme="minorHAnsi" w:eastAsia="Times New Roman" w:hAnsiTheme="minorHAnsi" w:cs="Calibri"/>
          <w:lang w:val="pt-PT"/>
        </w:rPr>
        <w:t xml:space="preserve"> deverá disponibilizar múltiplos canais de reclamação;</w:t>
      </w:r>
    </w:p>
    <w:p w14:paraId="64CD00DD" w14:textId="153CBAB2" w:rsidR="009757BD" w:rsidRPr="00292532" w:rsidRDefault="009757BD" w:rsidP="00AE14AE">
      <w:pPr>
        <w:numPr>
          <w:ilvl w:val="0"/>
          <w:numId w:val="11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rPr>
          <w:rFonts w:asciiTheme="minorHAnsi" w:eastAsia="Times New Roman" w:hAnsiTheme="minorHAnsi" w:cs="Calibri"/>
          <w:lang w:val="pt-PT"/>
        </w:rPr>
      </w:pPr>
      <w:r w:rsidRPr="00292532">
        <w:rPr>
          <w:rFonts w:asciiTheme="minorHAnsi" w:eastAsia="Times New Roman" w:hAnsiTheme="minorHAnsi" w:cs="Calibri"/>
          <w:lang w:val="pt-PT"/>
        </w:rPr>
        <w:t xml:space="preserve">Nenhuma informação identificável sobre o sobrevivente deve ser armazenada no livro de registo ou base de dados do </w:t>
      </w:r>
      <w:r w:rsidR="009C3E6E" w:rsidRPr="00292532">
        <w:rPr>
          <w:rFonts w:asciiTheme="minorHAnsi" w:eastAsia="Times New Roman" w:hAnsiTheme="minorHAnsi" w:cs="Calibri"/>
          <w:lang w:val="pt-PT"/>
        </w:rPr>
        <w:t>MQR</w:t>
      </w:r>
      <w:r w:rsidRPr="00292532">
        <w:rPr>
          <w:rFonts w:asciiTheme="minorHAnsi" w:eastAsia="Times New Roman" w:hAnsiTheme="minorHAnsi" w:cs="Calibri"/>
          <w:lang w:val="pt-PT"/>
        </w:rPr>
        <w:t>.</w:t>
      </w:r>
    </w:p>
    <w:p w14:paraId="27A708FC" w14:textId="6D6CBE51" w:rsidR="009757BD" w:rsidRPr="00292532" w:rsidRDefault="009757BD" w:rsidP="00AE14AE">
      <w:pPr>
        <w:numPr>
          <w:ilvl w:val="0"/>
          <w:numId w:val="11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rPr>
          <w:rFonts w:asciiTheme="minorHAnsi" w:eastAsia="Times New Roman" w:hAnsiTheme="minorHAnsi" w:cs="Calibri"/>
          <w:lang w:val="pt-PT"/>
        </w:rPr>
      </w:pPr>
      <w:r w:rsidRPr="00292532">
        <w:rPr>
          <w:rFonts w:asciiTheme="minorHAnsi" w:eastAsia="Times New Roman" w:hAnsiTheme="minorHAnsi" w:cs="Calibri"/>
          <w:lang w:val="pt-PT"/>
        </w:rPr>
        <w:t xml:space="preserve">O </w:t>
      </w:r>
      <w:r w:rsidR="009C3E6E" w:rsidRPr="00292532">
        <w:rPr>
          <w:rFonts w:asciiTheme="minorHAnsi" w:eastAsia="Times New Roman" w:hAnsiTheme="minorHAnsi" w:cs="Calibri"/>
          <w:lang w:val="pt-PT"/>
        </w:rPr>
        <w:t>MQR</w:t>
      </w:r>
      <w:r w:rsidRPr="00292532">
        <w:rPr>
          <w:rFonts w:asciiTheme="minorHAnsi" w:eastAsia="Times New Roman" w:hAnsiTheme="minorHAnsi" w:cs="Calibri"/>
          <w:lang w:val="pt-PT"/>
        </w:rPr>
        <w:t xml:space="preserve"> deve ajudar os sobreviventes de VBG, referindo-os ao (s) Provedor (</w:t>
      </w:r>
      <w:proofErr w:type="spellStart"/>
      <w:r w:rsidRPr="00292532">
        <w:rPr>
          <w:rFonts w:asciiTheme="minorHAnsi" w:eastAsia="Times New Roman" w:hAnsiTheme="minorHAnsi" w:cs="Calibri"/>
          <w:lang w:val="pt-PT"/>
        </w:rPr>
        <w:t>es</w:t>
      </w:r>
      <w:proofErr w:type="spellEnd"/>
      <w:r w:rsidRPr="00292532">
        <w:rPr>
          <w:rFonts w:asciiTheme="minorHAnsi" w:eastAsia="Times New Roman" w:hAnsiTheme="minorHAnsi" w:cs="Calibri"/>
          <w:lang w:val="pt-PT"/>
        </w:rPr>
        <w:t>) de Serviços de VBG</w:t>
      </w:r>
      <w:r w:rsidR="005900D3" w:rsidRPr="00292532">
        <w:rPr>
          <w:rFonts w:asciiTheme="minorHAnsi" w:eastAsia="Times New Roman" w:hAnsiTheme="minorHAnsi" w:cs="Calibri"/>
          <w:lang w:val="pt-PT"/>
        </w:rPr>
        <w:t xml:space="preserve"> (conforme identificados no mapeamento incluído </w:t>
      </w:r>
      <w:r w:rsidR="009847F1" w:rsidRPr="00292532">
        <w:rPr>
          <w:rFonts w:asciiTheme="minorHAnsi" w:eastAsia="Times New Roman" w:hAnsiTheme="minorHAnsi" w:cs="Calibri"/>
          <w:lang w:val="pt-PT"/>
        </w:rPr>
        <w:t xml:space="preserve">no </w:t>
      </w:r>
      <w:r w:rsidR="009847F1" w:rsidRPr="004500AE">
        <w:rPr>
          <w:rFonts w:asciiTheme="minorHAnsi" w:eastAsia="Times New Roman" w:hAnsiTheme="minorHAnsi" w:cs="Calibri"/>
          <w:b/>
          <w:bCs/>
          <w:lang w:val="pt-PT"/>
        </w:rPr>
        <w:t>Anexo 1</w:t>
      </w:r>
      <w:r w:rsidR="000615DB" w:rsidRPr="00292532">
        <w:rPr>
          <w:rFonts w:asciiTheme="minorHAnsi" w:eastAsia="Times New Roman" w:hAnsiTheme="minorHAnsi" w:cs="Calibri"/>
          <w:b/>
          <w:bCs/>
          <w:lang w:val="pt-PT"/>
        </w:rPr>
        <w:t>2</w:t>
      </w:r>
      <w:r w:rsidR="009847F1" w:rsidRPr="00292532">
        <w:rPr>
          <w:rFonts w:asciiTheme="minorHAnsi" w:eastAsia="Times New Roman" w:hAnsiTheme="minorHAnsi" w:cs="Calibri"/>
          <w:lang w:val="pt-PT"/>
        </w:rPr>
        <w:t>)</w:t>
      </w:r>
      <w:r w:rsidRPr="00292532">
        <w:rPr>
          <w:rFonts w:asciiTheme="minorHAnsi" w:eastAsia="Times New Roman" w:hAnsiTheme="minorHAnsi" w:cs="Calibri"/>
          <w:lang w:val="pt-PT"/>
        </w:rPr>
        <w:t xml:space="preserve"> para apoio imediatamente após receber uma reclamação </w:t>
      </w:r>
      <w:proofErr w:type="spellStart"/>
      <w:r w:rsidRPr="00292532">
        <w:rPr>
          <w:rFonts w:asciiTheme="minorHAnsi" w:eastAsia="Times New Roman" w:hAnsiTheme="minorHAnsi" w:cs="Calibri"/>
          <w:lang w:val="pt-PT"/>
        </w:rPr>
        <w:t>dire</w:t>
      </w:r>
      <w:r w:rsidR="00BC4846" w:rsidRPr="00292532">
        <w:rPr>
          <w:rFonts w:asciiTheme="minorHAnsi" w:eastAsia="Times New Roman" w:hAnsiTheme="minorHAnsi" w:cs="Calibri"/>
          <w:lang w:val="pt-PT"/>
        </w:rPr>
        <w:t>c</w:t>
      </w:r>
      <w:r w:rsidRPr="00292532">
        <w:rPr>
          <w:rFonts w:asciiTheme="minorHAnsi" w:eastAsia="Times New Roman" w:hAnsiTheme="minorHAnsi" w:cs="Calibri"/>
          <w:lang w:val="pt-PT"/>
        </w:rPr>
        <w:t>tamente</w:t>
      </w:r>
      <w:proofErr w:type="spellEnd"/>
      <w:r w:rsidRPr="00292532">
        <w:rPr>
          <w:rFonts w:asciiTheme="minorHAnsi" w:eastAsia="Times New Roman" w:hAnsiTheme="minorHAnsi" w:cs="Calibri"/>
          <w:lang w:val="pt-PT"/>
        </w:rPr>
        <w:t xml:space="preserve"> de um sobrevivente. </w:t>
      </w:r>
    </w:p>
    <w:p w14:paraId="4E107833" w14:textId="5E1C64F6" w:rsidR="009757BD" w:rsidRPr="00292532" w:rsidRDefault="009757BD" w:rsidP="00AE14AE">
      <w:pPr>
        <w:numPr>
          <w:ilvl w:val="0"/>
          <w:numId w:val="11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rPr>
          <w:rFonts w:asciiTheme="minorHAnsi" w:eastAsia="Times New Roman" w:hAnsiTheme="minorHAnsi" w:cs="Calibri"/>
          <w:lang w:val="pt-PT"/>
        </w:rPr>
      </w:pPr>
      <w:r w:rsidRPr="00292532">
        <w:rPr>
          <w:rFonts w:asciiTheme="minorHAnsi" w:eastAsia="Times New Roman" w:hAnsiTheme="minorHAnsi" w:cs="Calibri"/>
          <w:lang w:val="pt-PT"/>
        </w:rPr>
        <w:t xml:space="preserve">A UIP deverá imediatamente notificar o Banco Mundial de quaisquer reclamações de VBG com o consentimento do sobrevivente. </w:t>
      </w:r>
    </w:p>
    <w:p w14:paraId="025A1387" w14:textId="3615DFDB" w:rsidR="004A443B" w:rsidRPr="00292532" w:rsidRDefault="004A443B" w:rsidP="00AE14AE">
      <w:pPr>
        <w:numPr>
          <w:ilvl w:val="0"/>
          <w:numId w:val="11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rPr>
          <w:rFonts w:asciiTheme="minorHAnsi" w:eastAsia="Times New Roman" w:hAnsiTheme="minorHAnsi" w:cs="Calibri"/>
          <w:lang w:val="pt-PT"/>
        </w:rPr>
      </w:pPr>
      <w:r w:rsidRPr="00292532">
        <w:rPr>
          <w:rFonts w:asciiTheme="minorHAnsi" w:eastAsia="Times New Roman" w:hAnsiTheme="minorHAnsi" w:cstheme="minorHAnsi"/>
          <w:lang w:val="pt-PT"/>
        </w:rPr>
        <w:t xml:space="preserve">Sensibilização para o uso eficaz e mapear </w:t>
      </w:r>
      <w:proofErr w:type="spellStart"/>
      <w:r w:rsidRPr="00292532">
        <w:rPr>
          <w:rFonts w:asciiTheme="minorHAnsi" w:eastAsia="Times New Roman" w:hAnsiTheme="minorHAnsi" w:cstheme="minorHAnsi"/>
          <w:lang w:val="pt-PT"/>
        </w:rPr>
        <w:t>actores</w:t>
      </w:r>
      <w:proofErr w:type="spellEnd"/>
      <w:r w:rsidRPr="00292532">
        <w:rPr>
          <w:rFonts w:asciiTheme="minorHAnsi" w:eastAsia="Times New Roman" w:hAnsiTheme="minorHAnsi" w:cstheme="minorHAnsi"/>
          <w:lang w:val="pt-PT"/>
        </w:rPr>
        <w:t xml:space="preserve"> de prevenção e resposta à VBG em comunidades adjacentes ao </w:t>
      </w:r>
      <w:proofErr w:type="spellStart"/>
      <w:r w:rsidRPr="00292532">
        <w:rPr>
          <w:rFonts w:asciiTheme="minorHAnsi" w:eastAsia="Times New Roman" w:hAnsiTheme="minorHAnsi" w:cstheme="minorHAnsi"/>
          <w:lang w:val="pt-PT"/>
        </w:rPr>
        <w:t>projecto</w:t>
      </w:r>
      <w:proofErr w:type="spellEnd"/>
    </w:p>
    <w:p w14:paraId="197249D3" w14:textId="2AD5AF7E" w:rsidR="004A443B" w:rsidRPr="00292532" w:rsidRDefault="004A443B" w:rsidP="004A443B">
      <w:pPr>
        <w:pStyle w:val="ListParagraph"/>
        <w:numPr>
          <w:ilvl w:val="0"/>
          <w:numId w:val="11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rPr>
          <w:rFonts w:asciiTheme="minorHAnsi" w:eastAsia="Times New Roman" w:hAnsiTheme="minorHAnsi" w:cstheme="minorHAnsi"/>
          <w:lang w:val="pt-PT"/>
        </w:rPr>
      </w:pPr>
      <w:r w:rsidRPr="00292532">
        <w:rPr>
          <w:rFonts w:asciiTheme="minorHAnsi" w:eastAsia="Times New Roman" w:hAnsiTheme="minorHAnsi" w:cstheme="minorHAnsi"/>
          <w:lang w:val="pt-PT"/>
        </w:rPr>
        <w:t>Deve-se implementar o mecanismo de reclamação em todos os subprojectos com potencial risco de VBG alguns dos quais podem ser com base em livros ou caixa de reclamações</w:t>
      </w:r>
    </w:p>
    <w:p w14:paraId="62BA476B" w14:textId="22F979A5" w:rsidR="004A443B" w:rsidRPr="00292532" w:rsidRDefault="00292532" w:rsidP="004A443B">
      <w:pPr>
        <w:pStyle w:val="ListParagraph"/>
        <w:numPr>
          <w:ilvl w:val="0"/>
          <w:numId w:val="11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rPr>
          <w:rFonts w:asciiTheme="minorHAnsi" w:eastAsia="Times New Roman" w:hAnsiTheme="minorHAnsi" w:cstheme="minorHAnsi"/>
          <w:lang w:val="pt-PT"/>
        </w:rPr>
      </w:pPr>
      <w:r w:rsidRPr="00292532">
        <w:rPr>
          <w:rFonts w:asciiTheme="minorHAnsi" w:eastAsia="Times New Roman" w:hAnsiTheme="minorHAnsi" w:cstheme="minorHAnsi"/>
          <w:lang w:val="pt-PT"/>
        </w:rPr>
        <w:t>Alocação</w:t>
      </w:r>
      <w:r w:rsidR="004A443B" w:rsidRPr="00292532">
        <w:rPr>
          <w:rFonts w:asciiTheme="minorHAnsi" w:eastAsia="Times New Roman" w:hAnsiTheme="minorHAnsi" w:cstheme="minorHAnsi"/>
          <w:lang w:val="pt-PT"/>
        </w:rPr>
        <w:t xml:space="preserve"> e treinamento de facilitadores comunitários nos diferentes </w:t>
      </w:r>
      <w:proofErr w:type="spellStart"/>
      <w:r w:rsidR="004A443B" w:rsidRPr="00292532">
        <w:rPr>
          <w:rFonts w:asciiTheme="minorHAnsi" w:eastAsia="Times New Roman" w:hAnsiTheme="minorHAnsi" w:cstheme="minorHAnsi"/>
          <w:lang w:val="pt-PT"/>
        </w:rPr>
        <w:t>projectos</w:t>
      </w:r>
      <w:proofErr w:type="spellEnd"/>
      <w:r w:rsidR="004A443B" w:rsidRPr="00292532">
        <w:rPr>
          <w:rFonts w:asciiTheme="minorHAnsi" w:eastAsia="Times New Roman" w:hAnsiTheme="minorHAnsi" w:cstheme="minorHAnsi"/>
          <w:lang w:val="pt-PT"/>
        </w:rPr>
        <w:t xml:space="preserve"> em matérias de VBG para fazerem a monitoria dos mesmos nas comunidades junto aos beneficiários, encorajar/facilitar a denúncia e seguimento dos mesmos</w:t>
      </w:r>
    </w:p>
    <w:p w14:paraId="1176073F" w14:textId="749C6BAA" w:rsidR="004A443B" w:rsidRPr="00292532" w:rsidRDefault="004A443B" w:rsidP="004A443B">
      <w:pPr>
        <w:pStyle w:val="ListParagraph"/>
        <w:numPr>
          <w:ilvl w:val="0"/>
          <w:numId w:val="11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rPr>
          <w:rFonts w:asciiTheme="minorHAnsi" w:eastAsia="Times New Roman" w:hAnsiTheme="minorHAnsi" w:cstheme="minorHAnsi"/>
          <w:lang w:val="pt-PT"/>
        </w:rPr>
      </w:pPr>
      <w:r w:rsidRPr="00292532">
        <w:rPr>
          <w:rFonts w:asciiTheme="minorHAnsi" w:eastAsia="Times New Roman" w:hAnsiTheme="minorHAnsi" w:cstheme="minorHAnsi"/>
          <w:lang w:val="pt-PT"/>
        </w:rPr>
        <w:t>Mapeamento dos serviços disponíveis na comunidade e disponibilizar informação sobre os mesmos, incluindo fluxograma de denúncias.</w:t>
      </w:r>
    </w:p>
    <w:p w14:paraId="00399839" w14:textId="77777777" w:rsidR="004A443B" w:rsidRPr="00292532" w:rsidRDefault="004A443B" w:rsidP="004500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left="720"/>
        <w:contextualSpacing/>
        <w:rPr>
          <w:rFonts w:asciiTheme="minorHAnsi" w:eastAsia="Times New Roman" w:hAnsiTheme="minorHAnsi" w:cs="Calibri"/>
          <w:lang w:val="pt-PT"/>
        </w:rPr>
      </w:pPr>
    </w:p>
    <w:p w14:paraId="62B20A95" w14:textId="588D26F6" w:rsidR="006174BB" w:rsidRPr="00292532" w:rsidRDefault="006174BB" w:rsidP="006174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rPr>
          <w:rFonts w:asciiTheme="minorHAnsi" w:eastAsia="Times New Roman" w:hAnsiTheme="minorHAnsi" w:cstheme="minorHAnsi"/>
          <w:lang w:val="pt-PT"/>
        </w:rPr>
      </w:pPr>
      <w:r w:rsidRPr="00292532">
        <w:rPr>
          <w:rFonts w:asciiTheme="minorHAnsi" w:eastAsia="Times New Roman" w:hAnsiTheme="minorHAnsi" w:cstheme="minorHAnsi"/>
          <w:lang w:val="pt-PT"/>
        </w:rPr>
        <w:t xml:space="preserve">O Mecanismo Multissectorial de Atendimento Integrado às Mulheres Vítimas de Violência contempla as seguintes instituições: Ministério da Género, Criança e </w:t>
      </w:r>
      <w:proofErr w:type="spellStart"/>
      <w:r w:rsidRPr="00292532">
        <w:rPr>
          <w:rFonts w:asciiTheme="minorHAnsi" w:eastAsia="Times New Roman" w:hAnsiTheme="minorHAnsi" w:cstheme="minorHAnsi"/>
          <w:lang w:val="pt-PT"/>
        </w:rPr>
        <w:t>Acção</w:t>
      </w:r>
      <w:proofErr w:type="spellEnd"/>
      <w:r w:rsidRPr="00292532">
        <w:rPr>
          <w:rFonts w:asciiTheme="minorHAnsi" w:eastAsia="Times New Roman" w:hAnsiTheme="minorHAnsi" w:cstheme="minorHAnsi"/>
          <w:lang w:val="pt-PT"/>
        </w:rPr>
        <w:t xml:space="preserve"> Social (MGCAS), Ministério da Saúde (MISAU), Ministério do Interior (MINIT) e Ministério da Justiça, Assuntos Constitucionais e Religiosos (MJCR). O Anexo 12 do QGAS sobre a Análise de Risco de VBG identifica as seguintes três portas de entrada para aceder a este mecanismo, nomeadamente: </w:t>
      </w:r>
    </w:p>
    <w:p w14:paraId="5AF3ABBB" w14:textId="77777777" w:rsidR="006174BB" w:rsidRPr="00292532" w:rsidRDefault="006174BB" w:rsidP="006174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rPr>
          <w:rFonts w:asciiTheme="minorHAnsi" w:eastAsia="Times New Roman" w:hAnsiTheme="minorHAnsi" w:cstheme="minorHAnsi"/>
          <w:lang w:val="pt-PT"/>
        </w:rPr>
      </w:pPr>
    </w:p>
    <w:p w14:paraId="4E497A1E" w14:textId="77777777" w:rsidR="006174BB" w:rsidRPr="004500AE" w:rsidRDefault="006174BB" w:rsidP="006174BB">
      <w:pPr>
        <w:numPr>
          <w:ilvl w:val="0"/>
          <w:numId w:val="157"/>
        </w:numPr>
        <w:spacing w:before="0" w:after="80"/>
        <w:ind w:left="1077"/>
        <w:rPr>
          <w:rFonts w:asciiTheme="minorHAnsi" w:eastAsia="Calibri" w:hAnsiTheme="minorHAnsi" w:cstheme="minorHAnsi"/>
          <w:lang w:val="pt-PT"/>
        </w:rPr>
      </w:pPr>
      <w:r w:rsidRPr="004500AE">
        <w:rPr>
          <w:rFonts w:asciiTheme="minorHAnsi" w:eastAsia="Calibri" w:hAnsiTheme="minorHAnsi" w:cstheme="minorHAnsi"/>
          <w:lang w:val="pt-PT"/>
        </w:rPr>
        <w:lastRenderedPageBreak/>
        <w:t xml:space="preserve">Centro de Atendimento Integrado: nos quais estão integrados serviços de saúde, psicossociais, policiais e jurídicos. Existem no país 25 CAIS, </w:t>
      </w:r>
      <w:proofErr w:type="spellStart"/>
      <w:r w:rsidRPr="004500AE">
        <w:rPr>
          <w:rFonts w:asciiTheme="minorHAnsi" w:eastAsia="Calibri" w:hAnsiTheme="minorHAnsi" w:cstheme="minorHAnsi"/>
          <w:lang w:val="pt-PT"/>
        </w:rPr>
        <w:t>excepto</w:t>
      </w:r>
      <w:proofErr w:type="spellEnd"/>
      <w:r w:rsidRPr="004500AE">
        <w:rPr>
          <w:rFonts w:asciiTheme="minorHAnsi" w:eastAsia="Calibri" w:hAnsiTheme="minorHAnsi" w:cstheme="minorHAnsi"/>
          <w:lang w:val="pt-PT"/>
        </w:rPr>
        <w:t xml:space="preserve"> nas províncias de Zambézia, Manica, Cabo Delgado e Niassa;</w:t>
      </w:r>
      <w:r w:rsidRPr="004500AE">
        <w:rPr>
          <w:rFonts w:asciiTheme="minorHAnsi" w:eastAsia="Calibri" w:hAnsiTheme="minorHAnsi" w:cstheme="minorHAnsi"/>
          <w:vertAlign w:val="superscript"/>
          <w:lang w:val="pt-PT"/>
        </w:rPr>
        <w:footnoteReference w:id="9"/>
      </w:r>
      <w:r w:rsidRPr="004500AE">
        <w:rPr>
          <w:rFonts w:asciiTheme="minorHAnsi" w:eastAsia="Calibri" w:hAnsiTheme="minorHAnsi" w:cstheme="minorHAnsi"/>
          <w:lang w:val="pt-PT"/>
        </w:rPr>
        <w:t xml:space="preserve"> </w:t>
      </w:r>
    </w:p>
    <w:p w14:paraId="73DEBFB7" w14:textId="77777777" w:rsidR="006174BB" w:rsidRPr="004500AE" w:rsidRDefault="006174BB" w:rsidP="006174BB">
      <w:pPr>
        <w:numPr>
          <w:ilvl w:val="0"/>
          <w:numId w:val="157"/>
        </w:numPr>
        <w:spacing w:before="0" w:after="80"/>
        <w:ind w:left="1077"/>
        <w:rPr>
          <w:rFonts w:asciiTheme="minorHAnsi" w:eastAsia="Calibri" w:hAnsiTheme="minorHAnsi" w:cstheme="minorHAnsi"/>
          <w:lang w:val="pt-PT"/>
        </w:rPr>
      </w:pPr>
      <w:r w:rsidRPr="004500AE">
        <w:rPr>
          <w:rFonts w:asciiTheme="minorHAnsi" w:eastAsia="Calibri" w:hAnsiTheme="minorHAnsi" w:cstheme="minorHAnsi"/>
          <w:lang w:val="pt-PT"/>
        </w:rPr>
        <w:t>Gabinete de Atendimento à Família e Menor Vítima de Violência (GAFMVV): que funcionam sob a égide das esquadras da Polícia da República de Moçambique existindo no país 25 gabinetes e 351 secções de atendimento;</w:t>
      </w:r>
    </w:p>
    <w:p w14:paraId="436DC21F" w14:textId="77777777" w:rsidR="006174BB" w:rsidRPr="004500AE" w:rsidRDefault="006174BB" w:rsidP="006174BB">
      <w:pPr>
        <w:numPr>
          <w:ilvl w:val="0"/>
          <w:numId w:val="157"/>
        </w:numPr>
        <w:spacing w:before="0" w:after="80"/>
        <w:ind w:left="1077"/>
        <w:rPr>
          <w:rFonts w:asciiTheme="minorHAnsi" w:eastAsia="Calibri" w:hAnsiTheme="minorHAnsi" w:cstheme="minorHAnsi"/>
          <w:lang w:val="pt-PT"/>
        </w:rPr>
      </w:pPr>
      <w:r w:rsidRPr="004500AE">
        <w:rPr>
          <w:rFonts w:asciiTheme="minorHAnsi" w:eastAsia="Calibri" w:hAnsiTheme="minorHAnsi" w:cstheme="minorHAnsi"/>
          <w:lang w:val="pt-PT"/>
        </w:rPr>
        <w:t xml:space="preserve">Ao nível do país e sobretudo nos locais abrangidos pelo </w:t>
      </w:r>
      <w:proofErr w:type="spellStart"/>
      <w:r w:rsidRPr="004500AE">
        <w:rPr>
          <w:rFonts w:asciiTheme="minorHAnsi" w:eastAsia="Calibri" w:hAnsiTheme="minorHAnsi" w:cstheme="minorHAnsi"/>
          <w:lang w:val="pt-PT"/>
        </w:rPr>
        <w:t>projecto</w:t>
      </w:r>
      <w:proofErr w:type="spellEnd"/>
      <w:r w:rsidRPr="004500AE">
        <w:rPr>
          <w:rFonts w:asciiTheme="minorHAnsi" w:eastAsia="Calibri" w:hAnsiTheme="minorHAnsi" w:cstheme="minorHAnsi"/>
          <w:lang w:val="pt-PT"/>
        </w:rPr>
        <w:t xml:space="preserve">, existem organizações da sociedade civil, Organizações Comunitárias de Base, Organizações Não Governamentais e outras organizações internacionais que implementam iniciativas na área de VBG. É importante ainda mencionar o papel das lideranças comunitárias como agentes que desempenham um papel importante na prevenção da VBG. Existem alguns Programas como a Iniciativa </w:t>
      </w:r>
      <w:proofErr w:type="spellStart"/>
      <w:r w:rsidRPr="004500AE">
        <w:rPr>
          <w:rFonts w:asciiTheme="minorHAnsi" w:eastAsia="Calibri" w:hAnsiTheme="minorHAnsi" w:cstheme="minorHAnsi"/>
          <w:lang w:val="pt-PT"/>
        </w:rPr>
        <w:t>Spotlight</w:t>
      </w:r>
      <w:proofErr w:type="spellEnd"/>
      <w:r w:rsidRPr="004500AE">
        <w:rPr>
          <w:rFonts w:asciiTheme="minorHAnsi" w:eastAsia="Calibri" w:hAnsiTheme="minorHAnsi" w:cstheme="minorHAnsi"/>
          <w:lang w:val="pt-PT"/>
        </w:rPr>
        <w:t xml:space="preserve"> das Nações Unidas em algumas das localidades do </w:t>
      </w:r>
      <w:proofErr w:type="spellStart"/>
      <w:r w:rsidRPr="004500AE">
        <w:rPr>
          <w:rFonts w:asciiTheme="minorHAnsi" w:eastAsia="Calibri" w:hAnsiTheme="minorHAnsi" w:cstheme="minorHAnsi"/>
          <w:lang w:val="pt-PT"/>
        </w:rPr>
        <w:t>projecto</w:t>
      </w:r>
      <w:proofErr w:type="spellEnd"/>
      <w:r w:rsidRPr="004500AE">
        <w:rPr>
          <w:rFonts w:asciiTheme="minorHAnsi" w:eastAsia="Calibri" w:hAnsiTheme="minorHAnsi" w:cstheme="minorHAnsi"/>
          <w:lang w:val="pt-PT"/>
        </w:rPr>
        <w:t xml:space="preserve"> como o caso de Nampula; Organizações como a Pathfinder, </w:t>
      </w:r>
      <w:proofErr w:type="spellStart"/>
      <w:r w:rsidRPr="004500AE">
        <w:rPr>
          <w:rFonts w:asciiTheme="minorHAnsi" w:eastAsia="Calibri" w:hAnsiTheme="minorHAnsi" w:cstheme="minorHAnsi"/>
          <w:lang w:val="pt-PT"/>
        </w:rPr>
        <w:t>Medicus</w:t>
      </w:r>
      <w:proofErr w:type="spellEnd"/>
      <w:r w:rsidRPr="004500AE">
        <w:rPr>
          <w:rFonts w:asciiTheme="minorHAnsi" w:eastAsia="Calibri" w:hAnsiTheme="minorHAnsi" w:cstheme="minorHAnsi"/>
          <w:lang w:val="pt-PT"/>
        </w:rPr>
        <w:t xml:space="preserve"> </w:t>
      </w:r>
      <w:proofErr w:type="spellStart"/>
      <w:r w:rsidRPr="004500AE">
        <w:rPr>
          <w:rFonts w:asciiTheme="minorHAnsi" w:eastAsia="Calibri" w:hAnsiTheme="minorHAnsi" w:cstheme="minorHAnsi"/>
          <w:lang w:val="pt-PT"/>
        </w:rPr>
        <w:t>Mundi</w:t>
      </w:r>
      <w:proofErr w:type="spellEnd"/>
      <w:r w:rsidRPr="004500AE">
        <w:rPr>
          <w:rFonts w:asciiTheme="minorHAnsi" w:eastAsia="Calibri" w:hAnsiTheme="minorHAnsi" w:cstheme="minorHAnsi"/>
          <w:lang w:val="pt-PT"/>
        </w:rPr>
        <w:t xml:space="preserve">, Save </w:t>
      </w:r>
      <w:proofErr w:type="spellStart"/>
      <w:r w:rsidRPr="004500AE">
        <w:rPr>
          <w:rFonts w:asciiTheme="minorHAnsi" w:eastAsia="Calibri" w:hAnsiTheme="minorHAnsi" w:cstheme="minorHAnsi"/>
          <w:lang w:val="pt-PT"/>
        </w:rPr>
        <w:t>the</w:t>
      </w:r>
      <w:proofErr w:type="spellEnd"/>
      <w:r w:rsidRPr="004500AE">
        <w:rPr>
          <w:rFonts w:asciiTheme="minorHAnsi" w:eastAsia="Calibri" w:hAnsiTheme="minorHAnsi" w:cstheme="minorHAnsi"/>
          <w:lang w:val="pt-PT"/>
        </w:rPr>
        <w:t xml:space="preserve"> </w:t>
      </w:r>
      <w:proofErr w:type="spellStart"/>
      <w:r w:rsidRPr="004500AE">
        <w:rPr>
          <w:rFonts w:asciiTheme="minorHAnsi" w:eastAsia="Calibri" w:hAnsiTheme="minorHAnsi" w:cstheme="minorHAnsi"/>
          <w:lang w:val="pt-PT"/>
        </w:rPr>
        <w:t>Children</w:t>
      </w:r>
      <w:proofErr w:type="spellEnd"/>
      <w:r w:rsidRPr="004500AE">
        <w:rPr>
          <w:rFonts w:asciiTheme="minorHAnsi" w:eastAsia="Calibri" w:hAnsiTheme="minorHAnsi" w:cstheme="minorHAnsi"/>
          <w:lang w:val="pt-PT"/>
        </w:rPr>
        <w:t xml:space="preserve">, WLSA Moçambique, </w:t>
      </w:r>
      <w:proofErr w:type="spellStart"/>
      <w:r w:rsidRPr="004500AE">
        <w:rPr>
          <w:rFonts w:asciiTheme="minorHAnsi" w:eastAsia="Calibri" w:hAnsiTheme="minorHAnsi" w:cstheme="minorHAnsi"/>
          <w:lang w:val="pt-PT"/>
        </w:rPr>
        <w:t>Muleide</w:t>
      </w:r>
      <w:proofErr w:type="spellEnd"/>
      <w:r w:rsidRPr="004500AE">
        <w:rPr>
          <w:rFonts w:asciiTheme="minorHAnsi" w:eastAsia="Calibri" w:hAnsiTheme="minorHAnsi" w:cstheme="minorHAnsi"/>
          <w:lang w:val="pt-PT"/>
        </w:rPr>
        <w:t>, Fórum Mulher, Gender Links, ONU Mulheres, UNICEF e UNFPA são algumas das organizações que trabalham na área.</w:t>
      </w:r>
    </w:p>
    <w:p w14:paraId="2D58C865" w14:textId="002CFA4B" w:rsidR="006174BB" w:rsidRPr="00292532" w:rsidRDefault="006174BB" w:rsidP="006174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rPr>
          <w:rFonts w:asciiTheme="minorHAnsi" w:eastAsia="Times New Roman" w:hAnsiTheme="minorHAnsi" w:cs="Calibri"/>
          <w:lang w:val="pt-PT"/>
        </w:rPr>
      </w:pPr>
    </w:p>
    <w:p w14:paraId="588AC977" w14:textId="5EC4F017" w:rsidR="006174BB" w:rsidRPr="00292532" w:rsidRDefault="006174BB" w:rsidP="006174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rPr>
          <w:rFonts w:asciiTheme="minorHAnsi" w:eastAsia="Times New Roman" w:hAnsiTheme="minorHAnsi" w:cs="Calibri"/>
          <w:lang w:val="pt-PT"/>
        </w:rPr>
      </w:pPr>
      <w:r w:rsidRPr="00292532">
        <w:rPr>
          <w:rFonts w:asciiTheme="minorHAnsi" w:eastAsia="Times New Roman" w:hAnsiTheme="minorHAnsi" w:cs="Calibri"/>
          <w:lang w:val="pt-PT"/>
        </w:rPr>
        <w:t>A tabela abaixo (</w:t>
      </w:r>
      <w:r w:rsidRPr="004500AE">
        <w:rPr>
          <w:rFonts w:asciiTheme="minorHAnsi" w:eastAsia="Times New Roman" w:hAnsiTheme="minorHAnsi" w:cs="Calibri"/>
          <w:b/>
          <w:bCs/>
          <w:lang w:val="pt-PT"/>
        </w:rPr>
        <w:fldChar w:fldCharType="begin"/>
      </w:r>
      <w:r w:rsidRPr="004500AE">
        <w:rPr>
          <w:rFonts w:asciiTheme="minorHAnsi" w:eastAsia="Times New Roman" w:hAnsiTheme="minorHAnsi" w:cs="Calibri"/>
          <w:b/>
          <w:bCs/>
          <w:lang w:val="pt-PT"/>
        </w:rPr>
        <w:instrText xml:space="preserve"> REF _Ref78390993 \h </w:instrText>
      </w:r>
      <w:r w:rsidRPr="00292532">
        <w:rPr>
          <w:rFonts w:asciiTheme="minorHAnsi" w:eastAsia="Times New Roman" w:hAnsiTheme="minorHAnsi" w:cs="Calibri"/>
          <w:b/>
          <w:bCs/>
          <w:lang w:val="pt-PT"/>
        </w:rPr>
        <w:instrText xml:space="preserve"> \* MERGEFORMAT </w:instrText>
      </w:r>
      <w:r w:rsidRPr="004500AE">
        <w:rPr>
          <w:rFonts w:asciiTheme="minorHAnsi" w:eastAsia="Times New Roman" w:hAnsiTheme="minorHAnsi" w:cs="Calibri"/>
          <w:b/>
          <w:bCs/>
          <w:lang w:val="pt-PT"/>
        </w:rPr>
      </w:r>
      <w:r w:rsidRPr="004500AE">
        <w:rPr>
          <w:rFonts w:asciiTheme="minorHAnsi" w:eastAsia="Times New Roman" w:hAnsiTheme="minorHAnsi" w:cs="Calibri"/>
          <w:b/>
          <w:bCs/>
          <w:lang w:val="pt-PT"/>
        </w:rPr>
        <w:fldChar w:fldCharType="separate"/>
      </w:r>
      <w:r w:rsidR="00F83E37" w:rsidRPr="00941934">
        <w:rPr>
          <w:b/>
          <w:bCs/>
          <w:lang w:val="pt-PT"/>
        </w:rPr>
        <w:t xml:space="preserve">Tabela </w:t>
      </w:r>
      <w:r w:rsidR="00F83E37" w:rsidRPr="00941934">
        <w:rPr>
          <w:b/>
          <w:bCs/>
          <w:noProof/>
          <w:lang w:val="pt-PT"/>
        </w:rPr>
        <w:t>35</w:t>
      </w:r>
      <w:r w:rsidRPr="004500AE">
        <w:rPr>
          <w:rFonts w:asciiTheme="minorHAnsi" w:eastAsia="Times New Roman" w:hAnsiTheme="minorHAnsi" w:cs="Calibri"/>
          <w:b/>
          <w:bCs/>
          <w:lang w:val="pt-PT"/>
        </w:rPr>
        <w:fldChar w:fldCharType="end"/>
      </w:r>
      <w:r w:rsidRPr="00292532">
        <w:rPr>
          <w:rFonts w:asciiTheme="minorHAnsi" w:eastAsia="Times New Roman" w:hAnsiTheme="minorHAnsi" w:cs="Calibri"/>
          <w:lang w:val="pt-PT"/>
        </w:rPr>
        <w:t xml:space="preserve">) apresenta o mapeamento preliminar dos prestadores de serviços de VBG pelas organizações não estatais (ONG, OSC, </w:t>
      </w:r>
      <w:proofErr w:type="spellStart"/>
      <w:r w:rsidRPr="00292532">
        <w:rPr>
          <w:rFonts w:asciiTheme="minorHAnsi" w:eastAsia="Times New Roman" w:hAnsiTheme="minorHAnsi" w:cs="Calibri"/>
          <w:lang w:val="pt-PT"/>
        </w:rPr>
        <w:t>OCBs</w:t>
      </w:r>
      <w:proofErr w:type="spellEnd"/>
      <w:r w:rsidRPr="00292532">
        <w:rPr>
          <w:rFonts w:asciiTheme="minorHAnsi" w:eastAsia="Times New Roman" w:hAnsiTheme="minorHAnsi" w:cs="Calibri"/>
          <w:lang w:val="pt-PT"/>
        </w:rPr>
        <w:t xml:space="preserve">, Redes) nos locais abrangidos pelo </w:t>
      </w:r>
      <w:proofErr w:type="spellStart"/>
      <w:r w:rsidRPr="00292532">
        <w:rPr>
          <w:rFonts w:asciiTheme="minorHAnsi" w:eastAsia="Times New Roman" w:hAnsiTheme="minorHAnsi" w:cs="Calibri"/>
          <w:lang w:val="pt-PT"/>
        </w:rPr>
        <w:t>projecto</w:t>
      </w:r>
      <w:proofErr w:type="spellEnd"/>
      <w:r w:rsidRPr="00292532">
        <w:rPr>
          <w:rFonts w:asciiTheme="minorHAnsi" w:eastAsia="Times New Roman" w:hAnsiTheme="minorHAnsi" w:cs="Calibri"/>
          <w:lang w:val="pt-PT"/>
        </w:rPr>
        <w:t xml:space="preserve"> com um foco para as duas províncias. Entretanto, importa realçar ainda que este mapeamento está sujeito à </w:t>
      </w:r>
      <w:proofErr w:type="spellStart"/>
      <w:r w:rsidRPr="00292532">
        <w:rPr>
          <w:rFonts w:asciiTheme="minorHAnsi" w:eastAsia="Times New Roman" w:hAnsiTheme="minorHAnsi" w:cs="Calibri"/>
          <w:lang w:val="pt-PT"/>
        </w:rPr>
        <w:t>actualização</w:t>
      </w:r>
      <w:proofErr w:type="spellEnd"/>
      <w:r w:rsidRPr="00292532">
        <w:rPr>
          <w:rFonts w:asciiTheme="minorHAnsi" w:eastAsia="Times New Roman" w:hAnsiTheme="minorHAnsi" w:cs="Calibri"/>
          <w:lang w:val="pt-PT"/>
        </w:rPr>
        <w:t xml:space="preserve"> e aprofundamento que é recomendado que seja feito a nível local no início da implementação do </w:t>
      </w:r>
      <w:proofErr w:type="spellStart"/>
      <w:r w:rsidRPr="00292532">
        <w:rPr>
          <w:rFonts w:asciiTheme="minorHAnsi" w:eastAsia="Times New Roman" w:hAnsiTheme="minorHAnsi" w:cs="Calibri"/>
          <w:lang w:val="pt-PT"/>
        </w:rPr>
        <w:t>projecto</w:t>
      </w:r>
      <w:proofErr w:type="spellEnd"/>
      <w:r w:rsidRPr="00292532">
        <w:rPr>
          <w:rFonts w:asciiTheme="minorHAnsi" w:eastAsia="Times New Roman" w:hAnsiTheme="minorHAnsi" w:cs="Calibri"/>
          <w:lang w:val="pt-PT"/>
        </w:rPr>
        <w:t>.</w:t>
      </w:r>
    </w:p>
    <w:p w14:paraId="216D1380" w14:textId="26CDB478" w:rsidR="006174BB" w:rsidRPr="00292532" w:rsidRDefault="006174BB" w:rsidP="006174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rPr>
          <w:rFonts w:asciiTheme="minorHAnsi" w:eastAsia="Times New Roman" w:hAnsiTheme="minorHAnsi" w:cs="Calibri"/>
          <w:lang w:val="pt-PT"/>
        </w:rPr>
      </w:pPr>
    </w:p>
    <w:p w14:paraId="44BE56FF" w14:textId="4244C500" w:rsidR="006174BB" w:rsidRPr="00292532" w:rsidRDefault="006174BB" w:rsidP="004500AE">
      <w:pPr>
        <w:pStyle w:val="Caption"/>
        <w:rPr>
          <w:rFonts w:asciiTheme="minorHAnsi" w:eastAsia="Times New Roman" w:hAnsiTheme="minorHAnsi" w:cs="Calibri"/>
        </w:rPr>
      </w:pPr>
      <w:bookmarkStart w:id="472" w:name="_Ref78390993"/>
      <w:bookmarkStart w:id="473" w:name="_Toc80380282"/>
      <w:r w:rsidRPr="00292532">
        <w:t xml:space="preserve">Tabela </w:t>
      </w:r>
      <w:r w:rsidRPr="00292532">
        <w:fldChar w:fldCharType="begin"/>
      </w:r>
      <w:r w:rsidRPr="00292532">
        <w:instrText xml:space="preserve"> SEQ Tabela \* ARABIC </w:instrText>
      </w:r>
      <w:r w:rsidRPr="00292532">
        <w:fldChar w:fldCharType="separate"/>
      </w:r>
      <w:r w:rsidR="00F83E37">
        <w:rPr>
          <w:noProof/>
        </w:rPr>
        <w:t>35</w:t>
      </w:r>
      <w:r w:rsidRPr="00292532">
        <w:fldChar w:fldCharType="end"/>
      </w:r>
      <w:bookmarkEnd w:id="472"/>
      <w:r w:rsidRPr="00292532">
        <w:t xml:space="preserve">: Mapeamento preliminar dos prestadores de serviços de VBG pelas organizações não estatais nos locais abrangidos pelo </w:t>
      </w:r>
      <w:proofErr w:type="spellStart"/>
      <w:r w:rsidRPr="00292532">
        <w:t>Projecto</w:t>
      </w:r>
      <w:bookmarkEnd w:id="473"/>
      <w:proofErr w:type="spellEnd"/>
    </w:p>
    <w:tbl>
      <w:tblPr>
        <w:tblStyle w:val="TableGrid11"/>
        <w:tblW w:w="9072" w:type="dxa"/>
        <w:tblInd w:w="-5" w:type="dxa"/>
        <w:tblCellMar>
          <w:left w:w="107" w:type="dxa"/>
          <w:right w:w="62" w:type="dxa"/>
        </w:tblCellMar>
        <w:tblLook w:val="04A0" w:firstRow="1" w:lastRow="0" w:firstColumn="1" w:lastColumn="0" w:noHBand="0" w:noVBand="1"/>
      </w:tblPr>
      <w:tblGrid>
        <w:gridCol w:w="2977"/>
        <w:gridCol w:w="6095"/>
      </w:tblGrid>
      <w:tr w:rsidR="006174BB" w:rsidRPr="008D18CF" w14:paraId="4735F9AE" w14:textId="77777777" w:rsidTr="006174BB">
        <w:trPr>
          <w:trHeight w:val="101"/>
          <w:tblHeader/>
        </w:trPr>
        <w:tc>
          <w:tcPr>
            <w:tcW w:w="2977" w:type="dxa"/>
            <w:tcBorders>
              <w:top w:val="single" w:sz="4" w:space="0" w:color="000000"/>
              <w:left w:val="single" w:sz="4" w:space="0" w:color="000000"/>
              <w:bottom w:val="single" w:sz="4" w:space="0" w:color="000000"/>
              <w:right w:val="single" w:sz="4" w:space="0" w:color="000000"/>
            </w:tcBorders>
            <w:shd w:val="clear" w:color="auto" w:fill="5B9BD5"/>
          </w:tcPr>
          <w:p w14:paraId="3DC53CCB" w14:textId="77777777" w:rsidR="006174BB" w:rsidRPr="004500AE" w:rsidRDefault="006174BB" w:rsidP="006174BB">
            <w:pPr>
              <w:spacing w:line="259" w:lineRule="auto"/>
              <w:jc w:val="both"/>
              <w:rPr>
                <w:rFonts w:asciiTheme="minorHAnsi" w:hAnsiTheme="minorHAnsi" w:cstheme="minorHAnsi"/>
                <w:color w:val="FFFFFF"/>
                <w:sz w:val="20"/>
                <w:szCs w:val="20"/>
                <w:lang w:val="pt-PT"/>
              </w:rPr>
            </w:pPr>
            <w:r w:rsidRPr="004500AE">
              <w:rPr>
                <w:rFonts w:asciiTheme="minorHAnsi" w:eastAsia="Calibri" w:hAnsiTheme="minorHAnsi" w:cstheme="minorHAnsi"/>
                <w:b/>
                <w:color w:val="FFFFFF"/>
                <w:sz w:val="20"/>
                <w:szCs w:val="20"/>
                <w:lang w:val="pt-PT"/>
              </w:rPr>
              <w:t>Nome</w:t>
            </w:r>
          </w:p>
        </w:tc>
        <w:tc>
          <w:tcPr>
            <w:tcW w:w="6095" w:type="dxa"/>
            <w:tcBorders>
              <w:top w:val="single" w:sz="4" w:space="0" w:color="000000"/>
              <w:left w:val="single" w:sz="4" w:space="0" w:color="000000"/>
              <w:bottom w:val="single" w:sz="4" w:space="0" w:color="000000"/>
              <w:right w:val="single" w:sz="4" w:space="0" w:color="000000"/>
            </w:tcBorders>
            <w:shd w:val="clear" w:color="auto" w:fill="5B9BD5"/>
          </w:tcPr>
          <w:p w14:paraId="52BA1149" w14:textId="77777777" w:rsidR="006174BB" w:rsidRPr="004500AE" w:rsidRDefault="006174BB" w:rsidP="006174BB">
            <w:pPr>
              <w:spacing w:line="259" w:lineRule="auto"/>
              <w:ind w:left="1"/>
              <w:jc w:val="both"/>
              <w:rPr>
                <w:rFonts w:asciiTheme="minorHAnsi" w:hAnsiTheme="minorHAnsi" w:cstheme="minorHAnsi"/>
                <w:color w:val="FFFFFF"/>
                <w:sz w:val="20"/>
                <w:szCs w:val="20"/>
                <w:lang w:val="pt-PT"/>
              </w:rPr>
            </w:pPr>
            <w:proofErr w:type="spellStart"/>
            <w:r w:rsidRPr="004500AE">
              <w:rPr>
                <w:rFonts w:asciiTheme="minorHAnsi" w:eastAsia="Calibri" w:hAnsiTheme="minorHAnsi" w:cstheme="minorHAnsi"/>
                <w:b/>
                <w:color w:val="FFFFFF"/>
                <w:sz w:val="20"/>
                <w:szCs w:val="20"/>
                <w:lang w:val="pt-PT"/>
              </w:rPr>
              <w:t>Actividades</w:t>
            </w:r>
            <w:proofErr w:type="spellEnd"/>
            <w:r w:rsidRPr="004500AE">
              <w:rPr>
                <w:rFonts w:asciiTheme="minorHAnsi" w:eastAsia="Calibri" w:hAnsiTheme="minorHAnsi" w:cstheme="minorHAnsi"/>
                <w:b/>
                <w:color w:val="FFFFFF"/>
                <w:sz w:val="20"/>
                <w:szCs w:val="20"/>
                <w:lang w:val="pt-PT"/>
              </w:rPr>
              <w:t xml:space="preserve"> específicas na área de Género</w:t>
            </w:r>
          </w:p>
        </w:tc>
      </w:tr>
      <w:tr w:rsidR="006174BB" w:rsidRPr="00292532" w14:paraId="7A8CA6AE" w14:textId="77777777" w:rsidTr="006174BB">
        <w:trPr>
          <w:trHeight w:val="54"/>
        </w:trPr>
        <w:tc>
          <w:tcPr>
            <w:tcW w:w="2977" w:type="dxa"/>
            <w:tcBorders>
              <w:top w:val="single" w:sz="4" w:space="0" w:color="000000"/>
              <w:left w:val="single" w:sz="4" w:space="0" w:color="000000"/>
              <w:bottom w:val="single" w:sz="4" w:space="0" w:color="000000"/>
              <w:right w:val="nil"/>
            </w:tcBorders>
            <w:shd w:val="clear" w:color="auto" w:fill="5B9BD5"/>
          </w:tcPr>
          <w:p w14:paraId="7CB87215" w14:textId="77777777" w:rsidR="006174BB" w:rsidRPr="004500AE" w:rsidRDefault="006174BB" w:rsidP="006174BB">
            <w:pPr>
              <w:spacing w:line="259" w:lineRule="auto"/>
              <w:rPr>
                <w:rFonts w:asciiTheme="minorHAnsi" w:hAnsiTheme="minorHAnsi" w:cstheme="minorHAnsi"/>
                <w:color w:val="FFFFFF"/>
                <w:sz w:val="20"/>
                <w:szCs w:val="20"/>
                <w:lang w:val="pt-PT"/>
              </w:rPr>
            </w:pPr>
          </w:p>
        </w:tc>
        <w:tc>
          <w:tcPr>
            <w:tcW w:w="6095" w:type="dxa"/>
            <w:tcBorders>
              <w:top w:val="single" w:sz="4" w:space="0" w:color="000000"/>
              <w:left w:val="nil"/>
              <w:bottom w:val="single" w:sz="4" w:space="0" w:color="000000"/>
              <w:right w:val="single" w:sz="4" w:space="0" w:color="000000"/>
            </w:tcBorders>
            <w:shd w:val="clear" w:color="auto" w:fill="5B9BD5"/>
          </w:tcPr>
          <w:p w14:paraId="4AFD82B8" w14:textId="77777777" w:rsidR="006174BB" w:rsidRPr="004500AE" w:rsidRDefault="006174BB" w:rsidP="006174BB">
            <w:pPr>
              <w:spacing w:line="259" w:lineRule="auto"/>
              <w:ind w:left="1353"/>
              <w:rPr>
                <w:rFonts w:asciiTheme="minorHAnsi" w:hAnsiTheme="minorHAnsi" w:cstheme="minorHAnsi"/>
                <w:color w:val="FFFFFF"/>
                <w:sz w:val="20"/>
                <w:szCs w:val="20"/>
                <w:lang w:val="pt-PT"/>
              </w:rPr>
            </w:pPr>
            <w:r w:rsidRPr="004500AE">
              <w:rPr>
                <w:rFonts w:asciiTheme="minorHAnsi" w:eastAsia="Calibri" w:hAnsiTheme="minorHAnsi" w:cstheme="minorHAnsi"/>
                <w:b/>
                <w:color w:val="FFFFFF"/>
                <w:sz w:val="20"/>
                <w:szCs w:val="20"/>
                <w:lang w:val="pt-PT"/>
              </w:rPr>
              <w:t xml:space="preserve">Nampula </w:t>
            </w:r>
          </w:p>
        </w:tc>
      </w:tr>
      <w:tr w:rsidR="006174BB" w:rsidRPr="008D18CF" w14:paraId="3367F4C3" w14:textId="77777777" w:rsidTr="006174BB">
        <w:trPr>
          <w:trHeight w:val="673"/>
        </w:trPr>
        <w:tc>
          <w:tcPr>
            <w:tcW w:w="2977" w:type="dxa"/>
            <w:tcBorders>
              <w:top w:val="single" w:sz="4" w:space="0" w:color="000000"/>
              <w:left w:val="single" w:sz="4" w:space="0" w:color="000000"/>
              <w:bottom w:val="single" w:sz="4" w:space="0" w:color="000000"/>
              <w:right w:val="single" w:sz="4" w:space="0" w:color="000000"/>
            </w:tcBorders>
          </w:tcPr>
          <w:p w14:paraId="00E35940" w14:textId="77777777" w:rsidR="006174BB" w:rsidRPr="004500AE" w:rsidRDefault="006174BB" w:rsidP="006174BB">
            <w:pPr>
              <w:spacing w:line="259" w:lineRule="auto"/>
              <w:rPr>
                <w:rFonts w:asciiTheme="minorHAnsi" w:hAnsiTheme="minorHAnsi" w:cstheme="minorHAnsi"/>
                <w:sz w:val="20"/>
                <w:szCs w:val="20"/>
                <w:lang w:val="pt-PT"/>
              </w:rPr>
            </w:pPr>
            <w:r w:rsidRPr="004500AE">
              <w:rPr>
                <w:rFonts w:asciiTheme="minorHAnsi" w:eastAsia="Calibri" w:hAnsiTheme="minorHAnsi" w:cstheme="minorHAnsi"/>
                <w:sz w:val="20"/>
                <w:szCs w:val="20"/>
                <w:lang w:val="pt-PT"/>
              </w:rPr>
              <w:t xml:space="preserve">AENA (Associação Nacional de Extensão Rural) </w:t>
            </w:r>
          </w:p>
        </w:tc>
        <w:tc>
          <w:tcPr>
            <w:tcW w:w="6095" w:type="dxa"/>
            <w:tcBorders>
              <w:top w:val="single" w:sz="4" w:space="0" w:color="000000"/>
              <w:left w:val="single" w:sz="4" w:space="0" w:color="000000"/>
              <w:bottom w:val="single" w:sz="4" w:space="0" w:color="000000"/>
              <w:right w:val="single" w:sz="4" w:space="0" w:color="000000"/>
            </w:tcBorders>
          </w:tcPr>
          <w:p w14:paraId="2CE39F6D" w14:textId="77777777" w:rsidR="006174BB" w:rsidRPr="004500AE" w:rsidRDefault="006174BB" w:rsidP="006174BB">
            <w:pPr>
              <w:spacing w:line="259" w:lineRule="auto"/>
              <w:ind w:left="1" w:right="22"/>
              <w:rPr>
                <w:rFonts w:asciiTheme="minorHAnsi" w:hAnsiTheme="minorHAnsi" w:cstheme="minorHAnsi"/>
                <w:sz w:val="20"/>
                <w:szCs w:val="20"/>
                <w:lang w:val="pt-PT"/>
              </w:rPr>
            </w:pPr>
            <w:r w:rsidRPr="004500AE">
              <w:rPr>
                <w:rFonts w:asciiTheme="minorHAnsi" w:eastAsia="Calibri" w:hAnsiTheme="minorHAnsi" w:cstheme="minorHAnsi"/>
                <w:sz w:val="20"/>
                <w:szCs w:val="20"/>
                <w:lang w:val="pt-PT"/>
              </w:rPr>
              <w:t xml:space="preserve">Divulgação de leis de família e violência doméstica; Debates sobre Género e HIV/SIDA; Debates sobre género, participação e liderança; Integração de mulheres no processo de alfabetização de educação de adultos; agricultura; recursos naturais </w:t>
            </w:r>
          </w:p>
        </w:tc>
      </w:tr>
      <w:tr w:rsidR="006174BB" w:rsidRPr="008D18CF" w14:paraId="2462AC41" w14:textId="77777777" w:rsidTr="006174BB">
        <w:trPr>
          <w:trHeight w:val="403"/>
        </w:trPr>
        <w:tc>
          <w:tcPr>
            <w:tcW w:w="2977" w:type="dxa"/>
            <w:tcBorders>
              <w:top w:val="single" w:sz="4" w:space="0" w:color="000000"/>
              <w:left w:val="single" w:sz="4" w:space="0" w:color="000000"/>
              <w:bottom w:val="single" w:sz="4" w:space="0" w:color="000000"/>
              <w:right w:val="single" w:sz="4" w:space="0" w:color="000000"/>
            </w:tcBorders>
          </w:tcPr>
          <w:p w14:paraId="3625ABDA" w14:textId="77777777" w:rsidR="006174BB" w:rsidRPr="004500AE" w:rsidRDefault="006174BB" w:rsidP="006174BB">
            <w:pPr>
              <w:spacing w:line="259" w:lineRule="auto"/>
              <w:rPr>
                <w:rFonts w:asciiTheme="minorHAnsi" w:hAnsiTheme="minorHAnsi" w:cstheme="minorHAnsi"/>
                <w:sz w:val="20"/>
                <w:szCs w:val="20"/>
                <w:lang w:val="pt-PT"/>
              </w:rPr>
            </w:pPr>
            <w:r w:rsidRPr="004500AE">
              <w:rPr>
                <w:rFonts w:asciiTheme="minorHAnsi" w:eastAsia="Calibri" w:hAnsiTheme="minorHAnsi" w:cstheme="minorHAnsi"/>
                <w:sz w:val="20"/>
                <w:szCs w:val="20"/>
                <w:lang w:val="pt-PT"/>
              </w:rPr>
              <w:t xml:space="preserve">AMR (Associação de Mulheres Rurais) </w:t>
            </w:r>
          </w:p>
        </w:tc>
        <w:tc>
          <w:tcPr>
            <w:tcW w:w="6095" w:type="dxa"/>
            <w:tcBorders>
              <w:top w:val="single" w:sz="4" w:space="0" w:color="000000"/>
              <w:left w:val="single" w:sz="4" w:space="0" w:color="000000"/>
              <w:bottom w:val="single" w:sz="4" w:space="0" w:color="000000"/>
              <w:right w:val="single" w:sz="4" w:space="0" w:color="000000"/>
            </w:tcBorders>
          </w:tcPr>
          <w:p w14:paraId="5E3EA592" w14:textId="77777777" w:rsidR="006174BB" w:rsidRPr="004500AE" w:rsidRDefault="006174BB" w:rsidP="006174BB">
            <w:pPr>
              <w:spacing w:line="259" w:lineRule="auto"/>
              <w:ind w:left="1"/>
              <w:rPr>
                <w:rFonts w:asciiTheme="minorHAnsi" w:hAnsiTheme="minorHAnsi" w:cstheme="minorHAnsi"/>
                <w:sz w:val="20"/>
                <w:szCs w:val="20"/>
                <w:lang w:val="pt-PT"/>
              </w:rPr>
            </w:pPr>
            <w:r w:rsidRPr="004500AE">
              <w:rPr>
                <w:rFonts w:asciiTheme="minorHAnsi" w:eastAsia="Calibri" w:hAnsiTheme="minorHAnsi" w:cstheme="minorHAnsi"/>
                <w:sz w:val="20"/>
                <w:szCs w:val="20"/>
                <w:lang w:val="pt-PT"/>
              </w:rPr>
              <w:t xml:space="preserve">Divulgação de leis contra violência; Debates sobre género e violência </w:t>
            </w:r>
          </w:p>
        </w:tc>
      </w:tr>
      <w:tr w:rsidR="006174BB" w:rsidRPr="008D18CF" w14:paraId="6952F028" w14:textId="77777777" w:rsidTr="006174BB">
        <w:trPr>
          <w:trHeight w:val="571"/>
        </w:trPr>
        <w:tc>
          <w:tcPr>
            <w:tcW w:w="2977" w:type="dxa"/>
            <w:tcBorders>
              <w:top w:val="single" w:sz="4" w:space="0" w:color="000000"/>
              <w:left w:val="single" w:sz="4" w:space="0" w:color="000000"/>
              <w:bottom w:val="single" w:sz="4" w:space="0" w:color="000000"/>
              <w:right w:val="single" w:sz="4" w:space="0" w:color="000000"/>
            </w:tcBorders>
          </w:tcPr>
          <w:p w14:paraId="787707C3" w14:textId="77777777" w:rsidR="006174BB" w:rsidRPr="004500AE" w:rsidRDefault="006174BB" w:rsidP="006174BB">
            <w:pPr>
              <w:spacing w:line="259" w:lineRule="auto"/>
              <w:jc w:val="both"/>
              <w:rPr>
                <w:rFonts w:asciiTheme="minorHAnsi" w:hAnsiTheme="minorHAnsi" w:cstheme="minorHAnsi"/>
                <w:sz w:val="20"/>
                <w:szCs w:val="20"/>
                <w:lang w:val="pt-PT"/>
              </w:rPr>
            </w:pPr>
            <w:r w:rsidRPr="004500AE">
              <w:rPr>
                <w:rFonts w:asciiTheme="minorHAnsi" w:eastAsia="Calibri" w:hAnsiTheme="minorHAnsi" w:cstheme="minorHAnsi"/>
                <w:sz w:val="20"/>
                <w:szCs w:val="20"/>
                <w:lang w:val="pt-PT"/>
              </w:rPr>
              <w:t xml:space="preserve">AMORA – Associação de Mulheres para Apoio da Rapariga </w:t>
            </w:r>
          </w:p>
        </w:tc>
        <w:tc>
          <w:tcPr>
            <w:tcW w:w="6095" w:type="dxa"/>
            <w:tcBorders>
              <w:top w:val="single" w:sz="4" w:space="0" w:color="000000"/>
              <w:left w:val="single" w:sz="4" w:space="0" w:color="000000"/>
              <w:bottom w:val="single" w:sz="4" w:space="0" w:color="000000"/>
              <w:right w:val="single" w:sz="4" w:space="0" w:color="000000"/>
            </w:tcBorders>
          </w:tcPr>
          <w:p w14:paraId="0971AEFE" w14:textId="77777777" w:rsidR="006174BB" w:rsidRPr="004500AE" w:rsidRDefault="006174BB" w:rsidP="006174BB">
            <w:pPr>
              <w:spacing w:line="259" w:lineRule="auto"/>
              <w:ind w:left="1"/>
              <w:rPr>
                <w:rFonts w:asciiTheme="minorHAnsi" w:hAnsiTheme="minorHAnsi" w:cstheme="minorHAnsi"/>
                <w:sz w:val="20"/>
                <w:szCs w:val="20"/>
                <w:lang w:val="pt-PT"/>
              </w:rPr>
            </w:pPr>
            <w:r w:rsidRPr="004500AE">
              <w:rPr>
                <w:rFonts w:asciiTheme="minorHAnsi" w:eastAsia="Calibri" w:hAnsiTheme="minorHAnsi" w:cstheme="minorHAnsi"/>
                <w:sz w:val="20"/>
                <w:szCs w:val="20"/>
                <w:lang w:val="pt-PT"/>
              </w:rPr>
              <w:t xml:space="preserve">Direitos das mulheres, Violência baseada no género </w:t>
            </w:r>
          </w:p>
        </w:tc>
      </w:tr>
      <w:tr w:rsidR="006174BB" w:rsidRPr="00292532" w14:paraId="6B020265" w14:textId="77777777" w:rsidTr="006174BB">
        <w:trPr>
          <w:trHeight w:val="403"/>
        </w:trPr>
        <w:tc>
          <w:tcPr>
            <w:tcW w:w="2977" w:type="dxa"/>
            <w:tcBorders>
              <w:top w:val="single" w:sz="4" w:space="0" w:color="000000"/>
              <w:left w:val="single" w:sz="4" w:space="0" w:color="000000"/>
              <w:bottom w:val="single" w:sz="4" w:space="0" w:color="000000"/>
              <w:right w:val="single" w:sz="4" w:space="0" w:color="000000"/>
            </w:tcBorders>
          </w:tcPr>
          <w:p w14:paraId="2DD41CFA" w14:textId="77777777" w:rsidR="006174BB" w:rsidRPr="004500AE" w:rsidRDefault="006174BB" w:rsidP="006174BB">
            <w:pPr>
              <w:spacing w:line="259" w:lineRule="auto"/>
              <w:rPr>
                <w:rFonts w:asciiTheme="minorHAnsi" w:hAnsiTheme="minorHAnsi" w:cstheme="minorHAnsi"/>
                <w:sz w:val="20"/>
                <w:szCs w:val="20"/>
                <w:lang w:val="pt-PT"/>
              </w:rPr>
            </w:pPr>
            <w:proofErr w:type="spellStart"/>
            <w:r w:rsidRPr="004500AE">
              <w:rPr>
                <w:rFonts w:asciiTheme="minorHAnsi" w:eastAsia="Calibri" w:hAnsiTheme="minorHAnsi" w:cstheme="minorHAnsi"/>
                <w:sz w:val="20"/>
                <w:szCs w:val="20"/>
                <w:lang w:val="pt-PT"/>
              </w:rPr>
              <w:t>Activa</w:t>
            </w:r>
            <w:proofErr w:type="spellEnd"/>
            <w:r w:rsidRPr="004500AE">
              <w:rPr>
                <w:rFonts w:asciiTheme="minorHAnsi" w:eastAsia="Calibri" w:hAnsiTheme="minorHAnsi" w:cstheme="minorHAnsi"/>
                <w:sz w:val="20"/>
                <w:szCs w:val="20"/>
                <w:lang w:val="pt-PT"/>
              </w:rPr>
              <w:t xml:space="preserve"> </w:t>
            </w:r>
          </w:p>
        </w:tc>
        <w:tc>
          <w:tcPr>
            <w:tcW w:w="6095" w:type="dxa"/>
            <w:tcBorders>
              <w:top w:val="single" w:sz="4" w:space="0" w:color="000000"/>
              <w:left w:val="single" w:sz="4" w:space="0" w:color="000000"/>
              <w:bottom w:val="single" w:sz="4" w:space="0" w:color="000000"/>
              <w:right w:val="single" w:sz="4" w:space="0" w:color="000000"/>
            </w:tcBorders>
          </w:tcPr>
          <w:p w14:paraId="3D68729F" w14:textId="77777777" w:rsidR="006174BB" w:rsidRPr="004500AE" w:rsidRDefault="006174BB" w:rsidP="006174BB">
            <w:pPr>
              <w:spacing w:line="259" w:lineRule="auto"/>
              <w:ind w:left="1"/>
              <w:rPr>
                <w:rFonts w:asciiTheme="minorHAnsi" w:hAnsiTheme="minorHAnsi" w:cstheme="minorHAnsi"/>
                <w:sz w:val="20"/>
                <w:szCs w:val="20"/>
                <w:lang w:val="pt-PT"/>
              </w:rPr>
            </w:pPr>
            <w:r w:rsidRPr="004500AE">
              <w:rPr>
                <w:rFonts w:asciiTheme="minorHAnsi" w:eastAsia="Calibri" w:hAnsiTheme="minorHAnsi" w:cstheme="minorHAnsi"/>
                <w:sz w:val="20"/>
                <w:szCs w:val="20"/>
                <w:lang w:val="pt-PT"/>
              </w:rPr>
              <w:t xml:space="preserve">Direitos das Mulheres </w:t>
            </w:r>
          </w:p>
        </w:tc>
      </w:tr>
      <w:tr w:rsidR="006174BB" w:rsidRPr="008D18CF" w14:paraId="163C3819" w14:textId="77777777" w:rsidTr="006174BB">
        <w:trPr>
          <w:trHeight w:val="408"/>
        </w:trPr>
        <w:tc>
          <w:tcPr>
            <w:tcW w:w="2977" w:type="dxa"/>
            <w:tcBorders>
              <w:top w:val="single" w:sz="4" w:space="0" w:color="000000"/>
              <w:left w:val="single" w:sz="4" w:space="0" w:color="000000"/>
              <w:bottom w:val="single" w:sz="4" w:space="0" w:color="000000"/>
              <w:right w:val="single" w:sz="4" w:space="0" w:color="000000"/>
            </w:tcBorders>
          </w:tcPr>
          <w:p w14:paraId="4722C537" w14:textId="77777777" w:rsidR="006174BB" w:rsidRPr="004500AE" w:rsidRDefault="006174BB" w:rsidP="006174BB">
            <w:pPr>
              <w:spacing w:line="259" w:lineRule="auto"/>
              <w:rPr>
                <w:rFonts w:asciiTheme="minorHAnsi" w:hAnsiTheme="minorHAnsi" w:cstheme="minorHAnsi"/>
                <w:sz w:val="20"/>
                <w:szCs w:val="20"/>
                <w:lang w:val="pt-PT"/>
              </w:rPr>
            </w:pPr>
            <w:r w:rsidRPr="004500AE">
              <w:rPr>
                <w:rFonts w:asciiTheme="minorHAnsi" w:eastAsia="Calibri" w:hAnsiTheme="minorHAnsi" w:cstheme="minorHAnsi"/>
                <w:sz w:val="20"/>
                <w:szCs w:val="20"/>
                <w:lang w:val="pt-PT"/>
              </w:rPr>
              <w:t xml:space="preserve">NUGENA – Núcleo de Género de Nampula </w:t>
            </w:r>
          </w:p>
        </w:tc>
        <w:tc>
          <w:tcPr>
            <w:tcW w:w="6095" w:type="dxa"/>
            <w:tcBorders>
              <w:top w:val="single" w:sz="4" w:space="0" w:color="000000"/>
              <w:left w:val="single" w:sz="4" w:space="0" w:color="000000"/>
              <w:bottom w:val="single" w:sz="4" w:space="0" w:color="000000"/>
              <w:right w:val="single" w:sz="4" w:space="0" w:color="000000"/>
            </w:tcBorders>
          </w:tcPr>
          <w:p w14:paraId="1BF4B7CF" w14:textId="77777777" w:rsidR="006174BB" w:rsidRPr="004500AE" w:rsidRDefault="006174BB" w:rsidP="006174BB">
            <w:pPr>
              <w:spacing w:line="259" w:lineRule="auto"/>
              <w:ind w:left="1"/>
              <w:rPr>
                <w:rFonts w:asciiTheme="minorHAnsi" w:hAnsiTheme="minorHAnsi" w:cstheme="minorHAnsi"/>
                <w:sz w:val="20"/>
                <w:szCs w:val="20"/>
                <w:lang w:val="pt-PT"/>
              </w:rPr>
            </w:pPr>
            <w:r w:rsidRPr="004500AE">
              <w:rPr>
                <w:rFonts w:asciiTheme="minorHAnsi" w:eastAsia="Calibri" w:hAnsiTheme="minorHAnsi" w:cstheme="minorHAnsi"/>
                <w:sz w:val="20"/>
                <w:szCs w:val="20"/>
                <w:lang w:val="pt-PT"/>
              </w:rPr>
              <w:t xml:space="preserve">Defesa dos Direitos Humanos das Mulheres </w:t>
            </w:r>
          </w:p>
        </w:tc>
      </w:tr>
      <w:tr w:rsidR="006174BB" w:rsidRPr="008D18CF" w14:paraId="0B76BCB6" w14:textId="77777777" w:rsidTr="006174BB">
        <w:trPr>
          <w:trHeight w:val="787"/>
        </w:trPr>
        <w:tc>
          <w:tcPr>
            <w:tcW w:w="2977" w:type="dxa"/>
            <w:tcBorders>
              <w:top w:val="single" w:sz="4" w:space="0" w:color="000000"/>
              <w:left w:val="single" w:sz="4" w:space="0" w:color="000000"/>
              <w:bottom w:val="single" w:sz="4" w:space="0" w:color="000000"/>
              <w:right w:val="single" w:sz="4" w:space="0" w:color="000000"/>
            </w:tcBorders>
          </w:tcPr>
          <w:p w14:paraId="1F40DDE4" w14:textId="77777777" w:rsidR="006174BB" w:rsidRPr="004500AE" w:rsidRDefault="006174BB" w:rsidP="006174BB">
            <w:pPr>
              <w:tabs>
                <w:tab w:val="center" w:pos="1161"/>
                <w:tab w:val="center" w:pos="1924"/>
                <w:tab w:val="center" w:pos="2807"/>
                <w:tab w:val="right" w:pos="3430"/>
              </w:tabs>
              <w:spacing w:line="259" w:lineRule="auto"/>
              <w:rPr>
                <w:rFonts w:asciiTheme="minorHAnsi" w:hAnsiTheme="minorHAnsi" w:cstheme="minorHAnsi"/>
                <w:sz w:val="20"/>
                <w:szCs w:val="20"/>
                <w:lang w:val="pt-PT"/>
              </w:rPr>
            </w:pPr>
            <w:r w:rsidRPr="004500AE">
              <w:rPr>
                <w:rFonts w:asciiTheme="minorHAnsi" w:eastAsia="Calibri" w:hAnsiTheme="minorHAnsi" w:cstheme="minorHAnsi"/>
                <w:sz w:val="20"/>
                <w:szCs w:val="20"/>
                <w:lang w:val="pt-PT"/>
              </w:rPr>
              <w:t xml:space="preserve">OPHAVELA </w:t>
            </w:r>
            <w:r w:rsidRPr="004500AE">
              <w:rPr>
                <w:rFonts w:asciiTheme="minorHAnsi" w:eastAsia="Calibri" w:hAnsiTheme="minorHAnsi" w:cstheme="minorHAnsi"/>
                <w:sz w:val="20"/>
                <w:szCs w:val="20"/>
                <w:lang w:val="pt-PT"/>
              </w:rPr>
              <w:tab/>
              <w:t xml:space="preserve">– </w:t>
            </w:r>
            <w:r w:rsidRPr="004500AE">
              <w:rPr>
                <w:rFonts w:asciiTheme="minorHAnsi" w:eastAsia="Calibri" w:hAnsiTheme="minorHAnsi" w:cstheme="minorHAnsi"/>
                <w:sz w:val="20"/>
                <w:szCs w:val="20"/>
                <w:lang w:val="pt-PT"/>
              </w:rPr>
              <w:tab/>
              <w:t xml:space="preserve">Associação </w:t>
            </w:r>
            <w:r w:rsidRPr="004500AE">
              <w:rPr>
                <w:rFonts w:asciiTheme="minorHAnsi" w:eastAsia="Calibri" w:hAnsiTheme="minorHAnsi" w:cstheme="minorHAnsi"/>
                <w:sz w:val="20"/>
                <w:szCs w:val="20"/>
                <w:lang w:val="pt-PT"/>
              </w:rPr>
              <w:tab/>
              <w:t xml:space="preserve">para </w:t>
            </w:r>
            <w:r w:rsidRPr="004500AE">
              <w:rPr>
                <w:rFonts w:asciiTheme="minorHAnsi" w:eastAsia="Calibri" w:hAnsiTheme="minorHAnsi" w:cstheme="minorHAnsi"/>
                <w:sz w:val="20"/>
                <w:szCs w:val="20"/>
                <w:lang w:val="pt-PT"/>
              </w:rPr>
              <w:tab/>
              <w:t xml:space="preserve">o </w:t>
            </w:r>
          </w:p>
          <w:p w14:paraId="168D4042" w14:textId="77777777" w:rsidR="006174BB" w:rsidRPr="004500AE" w:rsidRDefault="006174BB" w:rsidP="006174BB">
            <w:pPr>
              <w:spacing w:line="259" w:lineRule="auto"/>
              <w:rPr>
                <w:rFonts w:asciiTheme="minorHAnsi" w:hAnsiTheme="minorHAnsi" w:cstheme="minorHAnsi"/>
                <w:sz w:val="20"/>
                <w:szCs w:val="20"/>
                <w:lang w:val="pt-PT"/>
              </w:rPr>
            </w:pPr>
            <w:r w:rsidRPr="004500AE">
              <w:rPr>
                <w:rFonts w:asciiTheme="minorHAnsi" w:eastAsia="Calibri" w:hAnsiTheme="minorHAnsi" w:cstheme="minorHAnsi"/>
                <w:sz w:val="20"/>
                <w:szCs w:val="20"/>
                <w:lang w:val="pt-PT"/>
              </w:rPr>
              <w:t xml:space="preserve">Desenvolvimento Socio Económico </w:t>
            </w:r>
          </w:p>
        </w:tc>
        <w:tc>
          <w:tcPr>
            <w:tcW w:w="6095" w:type="dxa"/>
            <w:tcBorders>
              <w:top w:val="single" w:sz="4" w:space="0" w:color="000000"/>
              <w:left w:val="single" w:sz="4" w:space="0" w:color="000000"/>
              <w:bottom w:val="single" w:sz="4" w:space="0" w:color="000000"/>
              <w:right w:val="single" w:sz="4" w:space="0" w:color="000000"/>
            </w:tcBorders>
          </w:tcPr>
          <w:p w14:paraId="43E6E1F1" w14:textId="77777777" w:rsidR="006174BB" w:rsidRPr="004500AE" w:rsidRDefault="006174BB" w:rsidP="006174BB">
            <w:pPr>
              <w:spacing w:line="259" w:lineRule="auto"/>
              <w:ind w:left="1" w:right="41"/>
              <w:jc w:val="both"/>
              <w:rPr>
                <w:rFonts w:asciiTheme="minorHAnsi" w:hAnsiTheme="minorHAnsi" w:cstheme="minorHAnsi"/>
                <w:sz w:val="20"/>
                <w:szCs w:val="20"/>
                <w:lang w:val="pt-PT"/>
              </w:rPr>
            </w:pPr>
            <w:r w:rsidRPr="004500AE">
              <w:rPr>
                <w:rFonts w:asciiTheme="minorHAnsi" w:eastAsia="Calibri" w:hAnsiTheme="minorHAnsi" w:cstheme="minorHAnsi"/>
                <w:sz w:val="20"/>
                <w:szCs w:val="20"/>
                <w:lang w:val="pt-PT"/>
              </w:rPr>
              <w:t xml:space="preserve">Temas transversais: Meio Ambiente, Género e HIV e SIDA; Sessões de Debate nos grupos de Poupança sobre as relações sociais de género no contexto do Desenvolvimento Comunitário e do HIV e SIDA </w:t>
            </w:r>
          </w:p>
        </w:tc>
      </w:tr>
      <w:tr w:rsidR="006174BB" w:rsidRPr="008D18CF" w14:paraId="18EFA810" w14:textId="77777777" w:rsidTr="006174BB">
        <w:trPr>
          <w:trHeight w:val="619"/>
        </w:trPr>
        <w:tc>
          <w:tcPr>
            <w:tcW w:w="2977" w:type="dxa"/>
            <w:tcBorders>
              <w:top w:val="single" w:sz="4" w:space="0" w:color="000000"/>
              <w:left w:val="single" w:sz="4" w:space="0" w:color="000000"/>
              <w:bottom w:val="single" w:sz="4" w:space="0" w:color="000000"/>
              <w:right w:val="single" w:sz="4" w:space="0" w:color="000000"/>
            </w:tcBorders>
          </w:tcPr>
          <w:p w14:paraId="653243A5" w14:textId="77777777" w:rsidR="006174BB" w:rsidRPr="004500AE" w:rsidRDefault="006174BB" w:rsidP="006174BB">
            <w:pPr>
              <w:spacing w:line="259" w:lineRule="auto"/>
              <w:rPr>
                <w:rFonts w:asciiTheme="minorHAnsi" w:hAnsiTheme="minorHAnsi" w:cstheme="minorHAnsi"/>
                <w:sz w:val="20"/>
                <w:szCs w:val="20"/>
                <w:lang w:val="pt-PT"/>
              </w:rPr>
            </w:pPr>
            <w:r w:rsidRPr="004500AE">
              <w:rPr>
                <w:rFonts w:asciiTheme="minorHAnsi" w:eastAsia="Calibri" w:hAnsiTheme="minorHAnsi" w:cstheme="minorHAnsi"/>
                <w:sz w:val="20"/>
                <w:szCs w:val="20"/>
                <w:lang w:val="pt-PT"/>
              </w:rPr>
              <w:t xml:space="preserve">OPHENTA- Associação de Mulheres e Apoio à Raparigas </w:t>
            </w:r>
          </w:p>
        </w:tc>
        <w:tc>
          <w:tcPr>
            <w:tcW w:w="6095" w:type="dxa"/>
            <w:tcBorders>
              <w:top w:val="single" w:sz="4" w:space="0" w:color="000000"/>
              <w:left w:val="single" w:sz="4" w:space="0" w:color="000000"/>
              <w:bottom w:val="single" w:sz="4" w:space="0" w:color="000000"/>
              <w:right w:val="single" w:sz="4" w:space="0" w:color="000000"/>
            </w:tcBorders>
          </w:tcPr>
          <w:p w14:paraId="5459ED41" w14:textId="77777777" w:rsidR="006174BB" w:rsidRPr="004500AE" w:rsidRDefault="006174BB" w:rsidP="006174BB">
            <w:pPr>
              <w:spacing w:line="259" w:lineRule="auto"/>
              <w:ind w:left="1"/>
              <w:rPr>
                <w:rFonts w:asciiTheme="minorHAnsi" w:hAnsiTheme="minorHAnsi" w:cstheme="minorHAnsi"/>
                <w:sz w:val="20"/>
                <w:szCs w:val="20"/>
                <w:lang w:val="pt-PT"/>
              </w:rPr>
            </w:pPr>
            <w:r w:rsidRPr="004500AE">
              <w:rPr>
                <w:rFonts w:asciiTheme="minorHAnsi" w:eastAsia="Calibri" w:hAnsiTheme="minorHAnsi" w:cstheme="minorHAnsi"/>
                <w:sz w:val="20"/>
                <w:szCs w:val="20"/>
                <w:lang w:val="pt-PT"/>
              </w:rPr>
              <w:t xml:space="preserve">Governação com enfoque para os direitos humanos, direitos humanos das mulheres e raparigas </w:t>
            </w:r>
          </w:p>
        </w:tc>
      </w:tr>
      <w:tr w:rsidR="006174BB" w:rsidRPr="008D18CF" w14:paraId="02EF3729" w14:textId="77777777" w:rsidTr="006174BB">
        <w:trPr>
          <w:trHeight w:val="444"/>
        </w:trPr>
        <w:tc>
          <w:tcPr>
            <w:tcW w:w="2977" w:type="dxa"/>
            <w:tcBorders>
              <w:top w:val="single" w:sz="4" w:space="0" w:color="000000"/>
              <w:left w:val="single" w:sz="4" w:space="0" w:color="000000"/>
              <w:bottom w:val="single" w:sz="4" w:space="0" w:color="000000"/>
              <w:right w:val="single" w:sz="4" w:space="0" w:color="000000"/>
            </w:tcBorders>
          </w:tcPr>
          <w:p w14:paraId="3D0F324C" w14:textId="77777777" w:rsidR="006174BB" w:rsidRPr="004500AE" w:rsidRDefault="006174BB" w:rsidP="006174BB">
            <w:pPr>
              <w:spacing w:line="259" w:lineRule="auto"/>
              <w:rPr>
                <w:rFonts w:asciiTheme="minorHAnsi" w:hAnsiTheme="minorHAnsi" w:cstheme="minorHAnsi"/>
                <w:sz w:val="20"/>
                <w:szCs w:val="20"/>
                <w:lang w:val="pt-PT"/>
              </w:rPr>
            </w:pPr>
            <w:r w:rsidRPr="004500AE">
              <w:rPr>
                <w:rFonts w:asciiTheme="minorHAnsi" w:eastAsia="Calibri" w:hAnsiTheme="minorHAnsi" w:cstheme="minorHAnsi"/>
                <w:sz w:val="20"/>
                <w:szCs w:val="20"/>
                <w:lang w:val="pt-PT"/>
              </w:rPr>
              <w:lastRenderedPageBreak/>
              <w:t>Nações Unidas/</w:t>
            </w:r>
            <w:proofErr w:type="spellStart"/>
            <w:r w:rsidRPr="004500AE">
              <w:rPr>
                <w:rFonts w:asciiTheme="minorHAnsi" w:eastAsia="Calibri" w:hAnsiTheme="minorHAnsi" w:cstheme="minorHAnsi"/>
                <w:sz w:val="20"/>
                <w:szCs w:val="20"/>
                <w:lang w:val="pt-PT"/>
              </w:rPr>
              <w:t>Spotlight</w:t>
            </w:r>
            <w:proofErr w:type="spellEnd"/>
            <w:r w:rsidRPr="004500AE">
              <w:rPr>
                <w:rFonts w:asciiTheme="minorHAnsi" w:eastAsia="Calibri" w:hAnsiTheme="minorHAnsi" w:cstheme="minorHAnsi"/>
                <w:sz w:val="20"/>
                <w:szCs w:val="20"/>
                <w:lang w:val="pt-PT"/>
              </w:rPr>
              <w:t xml:space="preserve"> </w:t>
            </w:r>
            <w:proofErr w:type="spellStart"/>
            <w:r w:rsidRPr="004500AE">
              <w:rPr>
                <w:rFonts w:asciiTheme="minorHAnsi" w:eastAsia="Calibri" w:hAnsiTheme="minorHAnsi" w:cstheme="minorHAnsi"/>
                <w:sz w:val="20"/>
                <w:szCs w:val="20"/>
                <w:lang w:val="pt-PT"/>
              </w:rPr>
              <w:t>Initiative</w:t>
            </w:r>
            <w:proofErr w:type="spellEnd"/>
            <w:r w:rsidRPr="004500AE">
              <w:rPr>
                <w:rFonts w:asciiTheme="minorHAnsi" w:eastAsia="Calibri" w:hAnsiTheme="minorHAnsi" w:cstheme="minorHAnsi"/>
                <w:sz w:val="20"/>
                <w:szCs w:val="20"/>
                <w:vertAlign w:val="superscript"/>
                <w:lang w:val="pt-PT"/>
              </w:rPr>
              <w:footnoteReference w:id="10"/>
            </w:r>
            <w:r w:rsidRPr="004500AE">
              <w:rPr>
                <w:rFonts w:asciiTheme="minorHAnsi" w:eastAsia="Calibri" w:hAnsiTheme="minorHAnsi" w:cstheme="minorHAnsi"/>
                <w:sz w:val="20"/>
                <w:szCs w:val="20"/>
                <w:lang w:val="pt-PT"/>
              </w:rPr>
              <w:t xml:space="preserve"> </w:t>
            </w:r>
          </w:p>
        </w:tc>
        <w:tc>
          <w:tcPr>
            <w:tcW w:w="6095" w:type="dxa"/>
            <w:tcBorders>
              <w:top w:val="single" w:sz="4" w:space="0" w:color="000000"/>
              <w:left w:val="single" w:sz="4" w:space="0" w:color="000000"/>
              <w:bottom w:val="single" w:sz="4" w:space="0" w:color="000000"/>
              <w:right w:val="single" w:sz="4" w:space="0" w:color="000000"/>
            </w:tcBorders>
          </w:tcPr>
          <w:p w14:paraId="0B096834" w14:textId="77777777" w:rsidR="006174BB" w:rsidRPr="004500AE" w:rsidRDefault="006174BB" w:rsidP="006174BB">
            <w:pPr>
              <w:spacing w:line="259" w:lineRule="auto"/>
              <w:ind w:left="1"/>
              <w:jc w:val="both"/>
              <w:rPr>
                <w:rFonts w:asciiTheme="minorHAnsi" w:hAnsiTheme="minorHAnsi" w:cstheme="minorHAnsi"/>
                <w:sz w:val="20"/>
                <w:szCs w:val="20"/>
                <w:lang w:val="pt-PT"/>
              </w:rPr>
            </w:pPr>
            <w:r w:rsidRPr="004500AE">
              <w:rPr>
                <w:rFonts w:asciiTheme="minorHAnsi" w:eastAsia="Calibri" w:hAnsiTheme="minorHAnsi" w:cstheme="minorHAnsi"/>
                <w:sz w:val="20"/>
                <w:szCs w:val="20"/>
                <w:lang w:val="pt-PT"/>
              </w:rPr>
              <w:t xml:space="preserve">Violência baseada no género (10-24 anos), práticas nocivas; serviços essenciais de apoio às vítimas e sobreviventes de violência;  </w:t>
            </w:r>
          </w:p>
        </w:tc>
      </w:tr>
      <w:tr w:rsidR="006174BB" w:rsidRPr="008D18CF" w14:paraId="1DC98948" w14:textId="77777777" w:rsidTr="006174BB">
        <w:trPr>
          <w:trHeight w:val="167"/>
        </w:trPr>
        <w:tc>
          <w:tcPr>
            <w:tcW w:w="2977" w:type="dxa"/>
            <w:tcBorders>
              <w:top w:val="single" w:sz="4" w:space="0" w:color="000000"/>
              <w:left w:val="single" w:sz="4" w:space="0" w:color="000000"/>
              <w:bottom w:val="single" w:sz="4" w:space="0" w:color="000000"/>
              <w:right w:val="single" w:sz="4" w:space="0" w:color="000000"/>
            </w:tcBorders>
          </w:tcPr>
          <w:p w14:paraId="2E23D013" w14:textId="77777777" w:rsidR="006174BB" w:rsidRPr="004500AE" w:rsidRDefault="006174BB" w:rsidP="006174BB">
            <w:pPr>
              <w:spacing w:line="259" w:lineRule="auto"/>
              <w:rPr>
                <w:rFonts w:asciiTheme="minorHAnsi" w:hAnsiTheme="minorHAnsi" w:cstheme="minorHAnsi"/>
                <w:sz w:val="20"/>
                <w:szCs w:val="20"/>
                <w:lang w:val="pt-PT"/>
              </w:rPr>
            </w:pPr>
            <w:r w:rsidRPr="004500AE">
              <w:rPr>
                <w:rFonts w:asciiTheme="minorHAnsi" w:eastAsia="Calibri" w:hAnsiTheme="minorHAnsi" w:cstheme="minorHAnsi"/>
                <w:sz w:val="20"/>
                <w:szCs w:val="20"/>
                <w:lang w:val="pt-PT"/>
              </w:rPr>
              <w:t xml:space="preserve">TCV – Todos Contra Violência </w:t>
            </w:r>
          </w:p>
        </w:tc>
        <w:tc>
          <w:tcPr>
            <w:tcW w:w="6095" w:type="dxa"/>
            <w:tcBorders>
              <w:top w:val="single" w:sz="4" w:space="0" w:color="000000"/>
              <w:left w:val="single" w:sz="4" w:space="0" w:color="000000"/>
              <w:bottom w:val="single" w:sz="4" w:space="0" w:color="000000"/>
              <w:right w:val="single" w:sz="4" w:space="0" w:color="000000"/>
            </w:tcBorders>
          </w:tcPr>
          <w:p w14:paraId="2EF23AE1" w14:textId="77777777" w:rsidR="006174BB" w:rsidRPr="004500AE" w:rsidRDefault="006174BB" w:rsidP="006174BB">
            <w:pPr>
              <w:spacing w:line="259" w:lineRule="auto"/>
              <w:ind w:left="1"/>
              <w:rPr>
                <w:rFonts w:asciiTheme="minorHAnsi" w:hAnsiTheme="minorHAnsi" w:cstheme="minorHAnsi"/>
                <w:sz w:val="20"/>
                <w:szCs w:val="20"/>
                <w:lang w:val="pt-PT"/>
              </w:rPr>
            </w:pPr>
            <w:r w:rsidRPr="004500AE">
              <w:rPr>
                <w:rFonts w:asciiTheme="minorHAnsi" w:eastAsia="Calibri" w:hAnsiTheme="minorHAnsi" w:cstheme="minorHAnsi"/>
                <w:sz w:val="20"/>
                <w:szCs w:val="20"/>
                <w:lang w:val="pt-PT"/>
              </w:rPr>
              <w:t xml:space="preserve">Assistência Social, Defesa dos direitos da Mulher na área da Violência </w:t>
            </w:r>
          </w:p>
        </w:tc>
      </w:tr>
      <w:tr w:rsidR="006174BB" w:rsidRPr="00292532" w14:paraId="53CB1074" w14:textId="77777777" w:rsidTr="006174BB">
        <w:trPr>
          <w:trHeight w:val="25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5B9BD5"/>
          </w:tcPr>
          <w:p w14:paraId="57A443D4" w14:textId="77777777" w:rsidR="006174BB" w:rsidRPr="004500AE" w:rsidRDefault="006174BB" w:rsidP="006174BB">
            <w:pPr>
              <w:spacing w:line="259" w:lineRule="auto"/>
              <w:jc w:val="center"/>
              <w:rPr>
                <w:rFonts w:asciiTheme="minorHAnsi" w:hAnsiTheme="minorHAnsi" w:cstheme="minorHAnsi"/>
                <w:b/>
                <w:color w:val="FFFFFF"/>
                <w:sz w:val="20"/>
                <w:szCs w:val="20"/>
                <w:lang w:val="pt-PT"/>
              </w:rPr>
            </w:pPr>
            <w:r w:rsidRPr="004500AE">
              <w:rPr>
                <w:rFonts w:asciiTheme="minorHAnsi" w:hAnsiTheme="minorHAnsi" w:cstheme="minorHAnsi"/>
                <w:b/>
                <w:color w:val="FFFFFF"/>
                <w:sz w:val="20"/>
                <w:szCs w:val="20"/>
                <w:lang w:val="pt-PT"/>
              </w:rPr>
              <w:t>Zambézia</w:t>
            </w:r>
          </w:p>
        </w:tc>
      </w:tr>
      <w:tr w:rsidR="006174BB" w:rsidRPr="008D18CF" w14:paraId="038B58DD"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30431652" w14:textId="77777777" w:rsidR="006174BB" w:rsidRPr="004500AE" w:rsidRDefault="006174BB" w:rsidP="006174BB">
            <w:pPr>
              <w:spacing w:line="259" w:lineRule="auto"/>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NAFEZA </w:t>
            </w:r>
          </w:p>
        </w:tc>
        <w:tc>
          <w:tcPr>
            <w:tcW w:w="6095" w:type="dxa"/>
            <w:tcBorders>
              <w:top w:val="single" w:sz="4" w:space="0" w:color="000000"/>
              <w:left w:val="single" w:sz="4" w:space="0" w:color="000000"/>
              <w:bottom w:val="single" w:sz="4" w:space="0" w:color="000000"/>
              <w:right w:val="single" w:sz="4" w:space="0" w:color="000000"/>
            </w:tcBorders>
          </w:tcPr>
          <w:p w14:paraId="18BC1C03"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Advocacia, mobilização social, sensibilização comunitária, género e equidade, desenvolvimento institucional, política, mulher</w:t>
            </w:r>
          </w:p>
        </w:tc>
      </w:tr>
      <w:tr w:rsidR="006174BB" w:rsidRPr="008D18CF" w14:paraId="2EF47177"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13DCCB7D" w14:textId="77777777" w:rsidR="006174BB" w:rsidRPr="004500AE" w:rsidRDefault="006174BB" w:rsidP="006174BB">
            <w:pPr>
              <w:spacing w:line="259" w:lineRule="auto"/>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COMUTRA-OTM.CS</w:t>
            </w:r>
          </w:p>
        </w:tc>
        <w:tc>
          <w:tcPr>
            <w:tcW w:w="6095" w:type="dxa"/>
            <w:tcBorders>
              <w:top w:val="single" w:sz="4" w:space="0" w:color="000000"/>
              <w:left w:val="single" w:sz="4" w:space="0" w:color="000000"/>
              <w:bottom w:val="single" w:sz="4" w:space="0" w:color="000000"/>
              <w:right w:val="single" w:sz="4" w:space="0" w:color="000000"/>
            </w:tcBorders>
          </w:tcPr>
          <w:p w14:paraId="18772C8A"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Advocacia, mobilização social, sensibilização comunitária, género e equidade</w:t>
            </w:r>
          </w:p>
        </w:tc>
      </w:tr>
      <w:tr w:rsidR="006174BB" w:rsidRPr="008D18CF" w14:paraId="0BA7F589"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72B1B912" w14:textId="77777777" w:rsidR="006174BB" w:rsidRPr="004500AE" w:rsidRDefault="006174BB" w:rsidP="006174BB">
            <w:pPr>
              <w:spacing w:line="259" w:lineRule="auto"/>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Liga dos Direitos da criança</w:t>
            </w:r>
          </w:p>
        </w:tc>
        <w:tc>
          <w:tcPr>
            <w:tcW w:w="6095" w:type="dxa"/>
            <w:tcBorders>
              <w:top w:val="single" w:sz="4" w:space="0" w:color="000000"/>
              <w:left w:val="single" w:sz="4" w:space="0" w:color="000000"/>
              <w:bottom w:val="single" w:sz="4" w:space="0" w:color="000000"/>
              <w:right w:val="single" w:sz="4" w:space="0" w:color="000000"/>
            </w:tcBorders>
          </w:tcPr>
          <w:p w14:paraId="2715D563"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Direitos da criança e educação</w:t>
            </w:r>
          </w:p>
        </w:tc>
      </w:tr>
      <w:tr w:rsidR="006174BB" w:rsidRPr="00292532" w14:paraId="2EDE75D1"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45832F95" w14:textId="77777777" w:rsidR="006174BB" w:rsidRPr="004500AE" w:rsidRDefault="006174BB" w:rsidP="006174BB">
            <w:pPr>
              <w:spacing w:line="259" w:lineRule="auto"/>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NAMUALI- Associação para o desenvolvimento da criança</w:t>
            </w:r>
          </w:p>
        </w:tc>
        <w:tc>
          <w:tcPr>
            <w:tcW w:w="6095" w:type="dxa"/>
            <w:tcBorders>
              <w:top w:val="single" w:sz="4" w:space="0" w:color="000000"/>
              <w:left w:val="single" w:sz="4" w:space="0" w:color="000000"/>
              <w:bottom w:val="single" w:sz="4" w:space="0" w:color="000000"/>
              <w:right w:val="single" w:sz="4" w:space="0" w:color="000000"/>
            </w:tcBorders>
          </w:tcPr>
          <w:p w14:paraId="54C5446A"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Educação e mobilização social</w:t>
            </w:r>
          </w:p>
        </w:tc>
      </w:tr>
      <w:tr w:rsidR="006174BB" w:rsidRPr="008D18CF" w14:paraId="3E68D424"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275AAE91" w14:textId="77777777" w:rsidR="006174BB" w:rsidRPr="004500AE" w:rsidRDefault="006174BB" w:rsidP="006174BB">
            <w:pPr>
              <w:spacing w:line="259" w:lineRule="auto"/>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A voz do deserto de Moçambique</w:t>
            </w:r>
          </w:p>
        </w:tc>
        <w:tc>
          <w:tcPr>
            <w:tcW w:w="6095" w:type="dxa"/>
            <w:tcBorders>
              <w:top w:val="single" w:sz="4" w:space="0" w:color="000000"/>
              <w:left w:val="single" w:sz="4" w:space="0" w:color="000000"/>
              <w:bottom w:val="single" w:sz="4" w:space="0" w:color="000000"/>
              <w:right w:val="single" w:sz="4" w:space="0" w:color="000000"/>
            </w:tcBorders>
          </w:tcPr>
          <w:p w14:paraId="5CE7A9C5"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Educação, Saúde, Direitos Humanos, Advocacia, capacitação e sensibilização</w:t>
            </w:r>
          </w:p>
        </w:tc>
      </w:tr>
      <w:tr w:rsidR="006174BB" w:rsidRPr="008D18CF" w14:paraId="5DFC1C36"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569F404B" w14:textId="77777777" w:rsidR="006174BB" w:rsidRPr="004500AE" w:rsidRDefault="006174BB" w:rsidP="006174BB">
            <w:pPr>
              <w:spacing w:line="259" w:lineRule="auto"/>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AMUCSE</w:t>
            </w:r>
          </w:p>
        </w:tc>
        <w:tc>
          <w:tcPr>
            <w:tcW w:w="6095" w:type="dxa"/>
            <w:tcBorders>
              <w:top w:val="single" w:sz="4" w:space="0" w:color="000000"/>
              <w:left w:val="single" w:sz="4" w:space="0" w:color="000000"/>
              <w:bottom w:val="single" w:sz="4" w:space="0" w:color="000000"/>
              <w:right w:val="single" w:sz="4" w:space="0" w:color="000000"/>
            </w:tcBorders>
          </w:tcPr>
          <w:p w14:paraId="36726792"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proofErr w:type="spellStart"/>
            <w:r w:rsidRPr="004500AE">
              <w:rPr>
                <w:rFonts w:asciiTheme="minorHAnsi" w:eastAsia="Calibri" w:hAnsiTheme="minorHAnsi" w:cstheme="minorHAnsi"/>
                <w:sz w:val="20"/>
                <w:szCs w:val="20"/>
                <w:lang w:val="pt-PT"/>
              </w:rPr>
              <w:t>COVs</w:t>
            </w:r>
            <w:proofErr w:type="spellEnd"/>
            <w:r w:rsidRPr="004500AE">
              <w:rPr>
                <w:rFonts w:asciiTheme="minorHAnsi" w:eastAsia="Calibri" w:hAnsiTheme="minorHAnsi" w:cstheme="minorHAnsi"/>
                <w:sz w:val="20"/>
                <w:szCs w:val="20"/>
                <w:lang w:val="pt-PT"/>
              </w:rPr>
              <w:t xml:space="preserve"> e Mulheres, sensibilização comunitária</w:t>
            </w:r>
          </w:p>
        </w:tc>
      </w:tr>
      <w:tr w:rsidR="006174BB" w:rsidRPr="00292532" w14:paraId="44B056D6"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2BD32B18" w14:textId="77777777" w:rsidR="006174BB" w:rsidRPr="004500AE" w:rsidRDefault="006174BB" w:rsidP="006174BB">
            <w:pPr>
              <w:spacing w:line="259" w:lineRule="auto"/>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Associação dos jovens amigos de Nama</w:t>
            </w:r>
          </w:p>
        </w:tc>
        <w:tc>
          <w:tcPr>
            <w:tcW w:w="6095" w:type="dxa"/>
            <w:tcBorders>
              <w:top w:val="single" w:sz="4" w:space="0" w:color="000000"/>
              <w:left w:val="single" w:sz="4" w:space="0" w:color="000000"/>
              <w:bottom w:val="single" w:sz="4" w:space="0" w:color="000000"/>
              <w:right w:val="single" w:sz="4" w:space="0" w:color="000000"/>
            </w:tcBorders>
          </w:tcPr>
          <w:p w14:paraId="5F290BA3"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Saúde e Sensibilização comunitária</w:t>
            </w:r>
          </w:p>
        </w:tc>
      </w:tr>
      <w:tr w:rsidR="006174BB" w:rsidRPr="008D18CF" w14:paraId="2CA9B74B"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3C003BCA" w14:textId="77777777" w:rsidR="006174BB" w:rsidRPr="004500AE" w:rsidRDefault="006174BB" w:rsidP="006174BB">
            <w:pPr>
              <w:spacing w:line="259" w:lineRule="auto"/>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LDH- Liga dos Direitos Básicos Humanos</w:t>
            </w:r>
          </w:p>
        </w:tc>
        <w:tc>
          <w:tcPr>
            <w:tcW w:w="6095" w:type="dxa"/>
            <w:tcBorders>
              <w:top w:val="single" w:sz="4" w:space="0" w:color="000000"/>
              <w:left w:val="single" w:sz="4" w:space="0" w:color="000000"/>
              <w:bottom w:val="single" w:sz="4" w:space="0" w:color="000000"/>
              <w:right w:val="single" w:sz="4" w:space="0" w:color="000000"/>
            </w:tcBorders>
          </w:tcPr>
          <w:p w14:paraId="70028B5F"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Direitos Humanos, Cidadania, Violação, Advocacia, mobilização social, sensibilização comunitária, capacitação e prestação de serviços</w:t>
            </w:r>
          </w:p>
        </w:tc>
      </w:tr>
      <w:tr w:rsidR="006174BB" w:rsidRPr="00292532" w14:paraId="59636236"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05E994C9" w14:textId="77777777" w:rsidR="006174BB" w:rsidRPr="004500AE" w:rsidRDefault="006174BB" w:rsidP="006174BB">
            <w:pPr>
              <w:spacing w:line="259" w:lineRule="auto"/>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Geração </w:t>
            </w:r>
            <w:proofErr w:type="spellStart"/>
            <w:r w:rsidRPr="004500AE">
              <w:rPr>
                <w:rFonts w:asciiTheme="minorHAnsi" w:eastAsia="Calibri" w:hAnsiTheme="minorHAnsi" w:cstheme="minorHAnsi"/>
                <w:sz w:val="20"/>
                <w:szCs w:val="20"/>
                <w:lang w:val="pt-PT"/>
              </w:rPr>
              <w:t>Biz</w:t>
            </w:r>
            <w:proofErr w:type="spellEnd"/>
          </w:p>
        </w:tc>
        <w:tc>
          <w:tcPr>
            <w:tcW w:w="6095" w:type="dxa"/>
            <w:tcBorders>
              <w:top w:val="single" w:sz="4" w:space="0" w:color="000000"/>
              <w:left w:val="single" w:sz="4" w:space="0" w:color="000000"/>
              <w:bottom w:val="single" w:sz="4" w:space="0" w:color="000000"/>
              <w:right w:val="single" w:sz="4" w:space="0" w:color="000000"/>
            </w:tcBorders>
          </w:tcPr>
          <w:p w14:paraId="6CFDA302"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Saúde</w:t>
            </w:r>
          </w:p>
        </w:tc>
      </w:tr>
      <w:tr w:rsidR="006174BB" w:rsidRPr="00292532" w14:paraId="5B7C2DE5"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54BB8D67" w14:textId="77777777" w:rsidR="006174BB" w:rsidRPr="004500AE" w:rsidRDefault="006174BB" w:rsidP="006174BB">
            <w:pPr>
              <w:spacing w:line="259" w:lineRule="auto"/>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Associação </w:t>
            </w:r>
            <w:proofErr w:type="spellStart"/>
            <w:r w:rsidRPr="004500AE">
              <w:rPr>
                <w:rFonts w:asciiTheme="minorHAnsi" w:eastAsia="Calibri" w:hAnsiTheme="minorHAnsi" w:cstheme="minorHAnsi"/>
                <w:sz w:val="20"/>
                <w:szCs w:val="20"/>
                <w:lang w:val="pt-PT"/>
              </w:rPr>
              <w:t>Niwandane</w:t>
            </w:r>
            <w:proofErr w:type="spellEnd"/>
          </w:p>
        </w:tc>
        <w:tc>
          <w:tcPr>
            <w:tcW w:w="6095" w:type="dxa"/>
            <w:tcBorders>
              <w:top w:val="single" w:sz="4" w:space="0" w:color="000000"/>
              <w:left w:val="single" w:sz="4" w:space="0" w:color="000000"/>
              <w:bottom w:val="single" w:sz="4" w:space="0" w:color="000000"/>
              <w:right w:val="single" w:sz="4" w:space="0" w:color="000000"/>
            </w:tcBorders>
          </w:tcPr>
          <w:p w14:paraId="3A2C95D0"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Saúde, Sensibilização social</w:t>
            </w:r>
          </w:p>
        </w:tc>
      </w:tr>
      <w:tr w:rsidR="006174BB" w:rsidRPr="00292532" w14:paraId="624EC7E3"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45F98228" w14:textId="77777777" w:rsidR="006174BB" w:rsidRPr="004500AE" w:rsidRDefault="006174BB" w:rsidP="006174BB">
            <w:pPr>
              <w:spacing w:line="259" w:lineRule="auto"/>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Associação para Ajuda ao </w:t>
            </w:r>
            <w:proofErr w:type="spellStart"/>
            <w:r w:rsidRPr="004500AE">
              <w:rPr>
                <w:rFonts w:asciiTheme="minorHAnsi" w:eastAsia="Calibri" w:hAnsiTheme="minorHAnsi" w:cstheme="minorHAnsi"/>
                <w:sz w:val="20"/>
                <w:szCs w:val="20"/>
                <w:lang w:val="pt-PT"/>
              </w:rPr>
              <w:t>Desenv</w:t>
            </w:r>
            <w:proofErr w:type="spellEnd"/>
            <w:r w:rsidRPr="004500AE">
              <w:rPr>
                <w:rFonts w:asciiTheme="minorHAnsi" w:eastAsia="Calibri" w:hAnsiTheme="minorHAnsi" w:cstheme="minorHAnsi"/>
                <w:sz w:val="20"/>
                <w:szCs w:val="20"/>
                <w:lang w:val="pt-PT"/>
              </w:rPr>
              <w:t>. e Ocupação da Mulher (AADOM)</w:t>
            </w:r>
          </w:p>
        </w:tc>
        <w:tc>
          <w:tcPr>
            <w:tcW w:w="6095" w:type="dxa"/>
            <w:tcBorders>
              <w:top w:val="single" w:sz="4" w:space="0" w:color="000000"/>
              <w:left w:val="single" w:sz="4" w:space="0" w:color="000000"/>
              <w:bottom w:val="single" w:sz="4" w:space="0" w:color="000000"/>
              <w:right w:val="single" w:sz="4" w:space="0" w:color="000000"/>
            </w:tcBorders>
          </w:tcPr>
          <w:p w14:paraId="10031BD1"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Agricultura, Saúde</w:t>
            </w:r>
          </w:p>
        </w:tc>
      </w:tr>
      <w:tr w:rsidR="006174BB" w:rsidRPr="00292532" w14:paraId="15C487C1"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03573AB1" w14:textId="77777777" w:rsidR="006174BB" w:rsidRPr="004500AE" w:rsidRDefault="006174BB" w:rsidP="006174BB">
            <w:pPr>
              <w:spacing w:line="259" w:lineRule="auto"/>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Movimento Cívico da Zambézia (MOCIZA)</w:t>
            </w:r>
          </w:p>
        </w:tc>
        <w:tc>
          <w:tcPr>
            <w:tcW w:w="6095" w:type="dxa"/>
            <w:tcBorders>
              <w:top w:val="single" w:sz="4" w:space="0" w:color="000000"/>
              <w:left w:val="single" w:sz="4" w:space="0" w:color="000000"/>
              <w:bottom w:val="single" w:sz="4" w:space="0" w:color="000000"/>
              <w:right w:val="single" w:sz="4" w:space="0" w:color="000000"/>
            </w:tcBorders>
          </w:tcPr>
          <w:p w14:paraId="44734901"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Direitos Humanos, Saúde</w:t>
            </w:r>
          </w:p>
        </w:tc>
      </w:tr>
      <w:tr w:rsidR="006174BB" w:rsidRPr="008D18CF" w14:paraId="75131C82"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2F98A92B" w14:textId="77777777" w:rsidR="006174BB" w:rsidRPr="004500AE" w:rsidRDefault="006174BB" w:rsidP="006174BB">
            <w:pPr>
              <w:spacing w:line="259" w:lineRule="auto"/>
              <w:rPr>
                <w:rFonts w:asciiTheme="minorHAnsi" w:eastAsia="Calibri" w:hAnsiTheme="minorHAnsi" w:cstheme="minorHAnsi"/>
                <w:sz w:val="20"/>
                <w:szCs w:val="20"/>
                <w:lang w:val="pt-PT"/>
              </w:rPr>
            </w:pPr>
            <w:proofErr w:type="spellStart"/>
            <w:r w:rsidRPr="004500AE">
              <w:rPr>
                <w:rFonts w:asciiTheme="minorHAnsi" w:eastAsia="Calibri" w:hAnsiTheme="minorHAnsi" w:cstheme="minorHAnsi"/>
                <w:sz w:val="20"/>
                <w:szCs w:val="20"/>
                <w:lang w:val="pt-PT"/>
              </w:rPr>
              <w:t>Ass</w:t>
            </w:r>
            <w:proofErr w:type="spellEnd"/>
            <w:r w:rsidRPr="004500AE">
              <w:rPr>
                <w:rFonts w:asciiTheme="minorHAnsi" w:eastAsia="Calibri" w:hAnsiTheme="minorHAnsi" w:cstheme="minorHAnsi"/>
                <w:sz w:val="20"/>
                <w:szCs w:val="20"/>
                <w:lang w:val="pt-PT"/>
              </w:rPr>
              <w:t>. Para Apoio aos Jovens Casados (AAJOCA)</w:t>
            </w:r>
          </w:p>
        </w:tc>
        <w:tc>
          <w:tcPr>
            <w:tcW w:w="6095" w:type="dxa"/>
            <w:tcBorders>
              <w:top w:val="single" w:sz="4" w:space="0" w:color="000000"/>
              <w:left w:val="single" w:sz="4" w:space="0" w:color="000000"/>
              <w:bottom w:val="single" w:sz="4" w:space="0" w:color="000000"/>
              <w:right w:val="single" w:sz="4" w:space="0" w:color="000000"/>
            </w:tcBorders>
          </w:tcPr>
          <w:p w14:paraId="0E9E96FD"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Educação, Construção latrinas e poços, Género</w:t>
            </w:r>
          </w:p>
        </w:tc>
      </w:tr>
      <w:tr w:rsidR="006174BB" w:rsidRPr="00292532" w14:paraId="7506AF85"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793994B2" w14:textId="77777777" w:rsidR="006174BB" w:rsidRPr="004500AE" w:rsidRDefault="006174BB" w:rsidP="006174BB">
            <w:pPr>
              <w:spacing w:line="259" w:lineRule="auto"/>
              <w:rPr>
                <w:rFonts w:asciiTheme="minorHAnsi" w:eastAsia="Calibri" w:hAnsiTheme="minorHAnsi" w:cstheme="minorHAnsi"/>
                <w:sz w:val="20"/>
                <w:szCs w:val="20"/>
                <w:lang w:val="pt-PT"/>
              </w:rPr>
            </w:pPr>
            <w:proofErr w:type="spellStart"/>
            <w:r w:rsidRPr="004500AE">
              <w:rPr>
                <w:rFonts w:asciiTheme="minorHAnsi" w:eastAsia="Calibri" w:hAnsiTheme="minorHAnsi" w:cstheme="minorHAnsi"/>
                <w:sz w:val="20"/>
                <w:szCs w:val="20"/>
                <w:lang w:val="pt-PT"/>
              </w:rPr>
              <w:t>Ass</w:t>
            </w:r>
            <w:proofErr w:type="spellEnd"/>
            <w:r w:rsidRPr="004500AE">
              <w:rPr>
                <w:rFonts w:asciiTheme="minorHAnsi" w:eastAsia="Calibri" w:hAnsiTheme="minorHAnsi" w:cstheme="minorHAnsi"/>
                <w:sz w:val="20"/>
                <w:szCs w:val="20"/>
                <w:lang w:val="pt-PT"/>
              </w:rPr>
              <w:t>. Moçambicana das Mulheres e Educação (AMME)</w:t>
            </w:r>
          </w:p>
        </w:tc>
        <w:tc>
          <w:tcPr>
            <w:tcW w:w="6095" w:type="dxa"/>
            <w:tcBorders>
              <w:top w:val="single" w:sz="4" w:space="0" w:color="000000"/>
              <w:left w:val="single" w:sz="4" w:space="0" w:color="000000"/>
              <w:bottom w:val="single" w:sz="4" w:space="0" w:color="000000"/>
              <w:right w:val="single" w:sz="4" w:space="0" w:color="000000"/>
            </w:tcBorders>
          </w:tcPr>
          <w:p w14:paraId="310A590A"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Educação da rapariga, Saúde</w:t>
            </w:r>
          </w:p>
        </w:tc>
      </w:tr>
      <w:tr w:rsidR="006174BB" w:rsidRPr="00292532" w14:paraId="7F848ECC"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1C8867D2" w14:textId="77777777" w:rsidR="006174BB" w:rsidRPr="004500AE" w:rsidRDefault="006174BB" w:rsidP="006174BB">
            <w:pPr>
              <w:spacing w:line="259" w:lineRule="auto"/>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ARO MOÇAMBIQUE</w:t>
            </w:r>
          </w:p>
        </w:tc>
        <w:tc>
          <w:tcPr>
            <w:tcW w:w="6095" w:type="dxa"/>
            <w:tcBorders>
              <w:top w:val="single" w:sz="4" w:space="0" w:color="000000"/>
              <w:left w:val="single" w:sz="4" w:space="0" w:color="000000"/>
              <w:bottom w:val="single" w:sz="4" w:space="0" w:color="000000"/>
              <w:right w:val="single" w:sz="4" w:space="0" w:color="000000"/>
            </w:tcBorders>
          </w:tcPr>
          <w:p w14:paraId="3803A959"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Educação, Saúde</w:t>
            </w:r>
          </w:p>
        </w:tc>
      </w:tr>
      <w:tr w:rsidR="006174BB" w:rsidRPr="00292532" w14:paraId="533EC418"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1B6735A7" w14:textId="77777777" w:rsidR="006174BB" w:rsidRPr="004500AE" w:rsidRDefault="006174BB" w:rsidP="006174BB">
            <w:pPr>
              <w:spacing w:line="259" w:lineRule="auto"/>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Tomás Fernando (TIRE PABODZE)</w:t>
            </w:r>
          </w:p>
        </w:tc>
        <w:tc>
          <w:tcPr>
            <w:tcW w:w="6095" w:type="dxa"/>
            <w:tcBorders>
              <w:top w:val="single" w:sz="4" w:space="0" w:color="000000"/>
              <w:left w:val="single" w:sz="4" w:space="0" w:color="000000"/>
              <w:bottom w:val="single" w:sz="4" w:space="0" w:color="000000"/>
              <w:right w:val="single" w:sz="4" w:space="0" w:color="000000"/>
            </w:tcBorders>
          </w:tcPr>
          <w:p w14:paraId="6181FFCA"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Saúde e Educação</w:t>
            </w:r>
          </w:p>
        </w:tc>
      </w:tr>
      <w:tr w:rsidR="006174BB" w:rsidRPr="00292532" w14:paraId="119263C9"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29F5B326" w14:textId="77777777" w:rsidR="006174BB" w:rsidRPr="004500AE" w:rsidRDefault="006174BB" w:rsidP="006174BB">
            <w:pPr>
              <w:spacing w:line="259" w:lineRule="auto"/>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Associação de Ajuda Humanitária a População Vulnerável (AAHPOV)</w:t>
            </w:r>
          </w:p>
        </w:tc>
        <w:tc>
          <w:tcPr>
            <w:tcW w:w="6095" w:type="dxa"/>
            <w:tcBorders>
              <w:top w:val="single" w:sz="4" w:space="0" w:color="000000"/>
              <w:left w:val="single" w:sz="4" w:space="0" w:color="000000"/>
              <w:bottom w:val="single" w:sz="4" w:space="0" w:color="000000"/>
              <w:right w:val="single" w:sz="4" w:space="0" w:color="000000"/>
            </w:tcBorders>
          </w:tcPr>
          <w:p w14:paraId="51E677E5"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Saúde</w:t>
            </w:r>
          </w:p>
        </w:tc>
      </w:tr>
      <w:tr w:rsidR="006174BB" w:rsidRPr="00292532" w14:paraId="236613AD"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380AD675" w14:textId="77777777" w:rsidR="006174BB" w:rsidRPr="004500AE" w:rsidRDefault="006174BB" w:rsidP="006174BB">
            <w:pPr>
              <w:spacing w:line="259" w:lineRule="auto"/>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Associação de Género Adolescentes da Zambézia (AGAZA)</w:t>
            </w:r>
          </w:p>
        </w:tc>
        <w:tc>
          <w:tcPr>
            <w:tcW w:w="6095" w:type="dxa"/>
            <w:tcBorders>
              <w:top w:val="single" w:sz="4" w:space="0" w:color="000000"/>
              <w:left w:val="single" w:sz="4" w:space="0" w:color="000000"/>
              <w:bottom w:val="single" w:sz="4" w:space="0" w:color="000000"/>
              <w:right w:val="single" w:sz="4" w:space="0" w:color="000000"/>
            </w:tcBorders>
          </w:tcPr>
          <w:p w14:paraId="12D22870"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Saúde e Género</w:t>
            </w:r>
          </w:p>
        </w:tc>
      </w:tr>
      <w:tr w:rsidR="006174BB" w:rsidRPr="008D18CF" w14:paraId="4BBEFA65"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1E0D9629" w14:textId="77777777" w:rsidR="006174BB" w:rsidRPr="004500AE" w:rsidRDefault="006174BB" w:rsidP="006174BB">
            <w:pPr>
              <w:spacing w:line="259" w:lineRule="auto"/>
              <w:rPr>
                <w:rFonts w:asciiTheme="minorHAnsi" w:eastAsia="Calibri" w:hAnsiTheme="minorHAnsi" w:cstheme="minorHAnsi"/>
                <w:sz w:val="20"/>
                <w:szCs w:val="20"/>
                <w:lang w:val="pt-PT"/>
              </w:rPr>
            </w:pPr>
            <w:proofErr w:type="spellStart"/>
            <w:r w:rsidRPr="004500AE">
              <w:rPr>
                <w:rFonts w:asciiTheme="minorHAnsi" w:eastAsia="Calibri" w:hAnsiTheme="minorHAnsi" w:cstheme="minorHAnsi"/>
                <w:sz w:val="20"/>
                <w:szCs w:val="20"/>
                <w:lang w:val="pt-PT"/>
              </w:rPr>
              <w:t>Ass</w:t>
            </w:r>
            <w:proofErr w:type="spellEnd"/>
            <w:r w:rsidRPr="004500AE">
              <w:rPr>
                <w:rFonts w:asciiTheme="minorHAnsi" w:eastAsia="Calibri" w:hAnsiTheme="minorHAnsi" w:cstheme="minorHAnsi"/>
                <w:sz w:val="20"/>
                <w:szCs w:val="20"/>
                <w:lang w:val="pt-PT"/>
              </w:rPr>
              <w:t>. Moçambicana das Mulheres de Carreira Jurídica (AMMCJ)</w:t>
            </w:r>
          </w:p>
        </w:tc>
        <w:tc>
          <w:tcPr>
            <w:tcW w:w="6095" w:type="dxa"/>
            <w:tcBorders>
              <w:top w:val="single" w:sz="4" w:space="0" w:color="000000"/>
              <w:left w:val="single" w:sz="4" w:space="0" w:color="000000"/>
              <w:bottom w:val="single" w:sz="4" w:space="0" w:color="000000"/>
              <w:right w:val="single" w:sz="4" w:space="0" w:color="000000"/>
            </w:tcBorders>
          </w:tcPr>
          <w:p w14:paraId="0A467339"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Género, Saúde e Direitos Humanos</w:t>
            </w:r>
          </w:p>
        </w:tc>
      </w:tr>
      <w:tr w:rsidR="006174BB" w:rsidRPr="00292532" w14:paraId="2BC4F065"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7898C05E" w14:textId="77777777" w:rsidR="006174BB" w:rsidRPr="004500AE" w:rsidRDefault="006174BB" w:rsidP="006174BB">
            <w:pPr>
              <w:spacing w:line="259" w:lineRule="auto"/>
              <w:rPr>
                <w:rFonts w:asciiTheme="minorHAnsi" w:eastAsia="Calibri" w:hAnsiTheme="minorHAnsi" w:cstheme="minorHAnsi"/>
                <w:sz w:val="20"/>
                <w:szCs w:val="20"/>
                <w:lang w:val="pt-PT"/>
              </w:rPr>
            </w:pPr>
            <w:proofErr w:type="spellStart"/>
            <w:r w:rsidRPr="004500AE">
              <w:rPr>
                <w:rFonts w:asciiTheme="minorHAnsi" w:eastAsia="Calibri" w:hAnsiTheme="minorHAnsi" w:cstheme="minorHAnsi"/>
                <w:sz w:val="20"/>
                <w:szCs w:val="20"/>
                <w:lang w:val="pt-PT"/>
              </w:rPr>
              <w:t>Ass</w:t>
            </w:r>
            <w:proofErr w:type="spellEnd"/>
            <w:r w:rsidRPr="004500AE">
              <w:rPr>
                <w:rFonts w:asciiTheme="minorHAnsi" w:eastAsia="Calibri" w:hAnsiTheme="minorHAnsi" w:cstheme="minorHAnsi"/>
                <w:sz w:val="20"/>
                <w:szCs w:val="20"/>
                <w:lang w:val="pt-PT"/>
              </w:rPr>
              <w:t>. Para o Desenvolvimento Comunitário da Zambézia (ADECOZA)</w:t>
            </w:r>
          </w:p>
        </w:tc>
        <w:tc>
          <w:tcPr>
            <w:tcW w:w="6095" w:type="dxa"/>
            <w:tcBorders>
              <w:top w:val="single" w:sz="4" w:space="0" w:color="000000"/>
              <w:left w:val="single" w:sz="4" w:space="0" w:color="000000"/>
              <w:bottom w:val="single" w:sz="4" w:space="0" w:color="000000"/>
              <w:right w:val="single" w:sz="4" w:space="0" w:color="000000"/>
            </w:tcBorders>
          </w:tcPr>
          <w:p w14:paraId="1718C186"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Desenvolvimento Comunitário e Saúde</w:t>
            </w:r>
          </w:p>
        </w:tc>
      </w:tr>
      <w:tr w:rsidR="006174BB" w:rsidRPr="008D18CF" w14:paraId="32BBF3CC"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3D472DCE" w14:textId="77777777" w:rsidR="006174BB" w:rsidRPr="004500AE" w:rsidRDefault="006174BB" w:rsidP="006174BB">
            <w:pPr>
              <w:spacing w:line="259" w:lineRule="auto"/>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Cada Criança um Sonho um Sorriso (CCSS)</w:t>
            </w:r>
          </w:p>
        </w:tc>
        <w:tc>
          <w:tcPr>
            <w:tcW w:w="6095" w:type="dxa"/>
            <w:tcBorders>
              <w:top w:val="single" w:sz="4" w:space="0" w:color="000000"/>
              <w:left w:val="single" w:sz="4" w:space="0" w:color="000000"/>
              <w:bottom w:val="single" w:sz="4" w:space="0" w:color="000000"/>
              <w:right w:val="single" w:sz="4" w:space="0" w:color="000000"/>
            </w:tcBorders>
          </w:tcPr>
          <w:p w14:paraId="6EB50CE1"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Direitos da criança e Saúde</w:t>
            </w:r>
          </w:p>
        </w:tc>
      </w:tr>
      <w:tr w:rsidR="006174BB" w:rsidRPr="00292532" w14:paraId="54BB5440"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6F84ADDA" w14:textId="77777777" w:rsidR="006174BB" w:rsidRPr="004500AE" w:rsidRDefault="006174BB" w:rsidP="006174BB">
            <w:pPr>
              <w:spacing w:line="259" w:lineRule="auto"/>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Associação de apoio a criança órfã e vulnerável (OVILELA)</w:t>
            </w:r>
          </w:p>
        </w:tc>
        <w:tc>
          <w:tcPr>
            <w:tcW w:w="6095" w:type="dxa"/>
            <w:tcBorders>
              <w:top w:val="single" w:sz="4" w:space="0" w:color="000000"/>
              <w:left w:val="single" w:sz="4" w:space="0" w:color="000000"/>
              <w:bottom w:val="single" w:sz="4" w:space="0" w:color="000000"/>
              <w:right w:val="single" w:sz="4" w:space="0" w:color="000000"/>
            </w:tcBorders>
          </w:tcPr>
          <w:p w14:paraId="500E6EBE"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Saúde</w:t>
            </w:r>
          </w:p>
        </w:tc>
      </w:tr>
      <w:tr w:rsidR="006174BB" w:rsidRPr="00292532" w14:paraId="2E38EEBD"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319C044D" w14:textId="77777777" w:rsidR="006174BB" w:rsidRPr="004500AE" w:rsidRDefault="006174BB" w:rsidP="006174BB">
            <w:pPr>
              <w:spacing w:line="259" w:lineRule="auto"/>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lastRenderedPageBreak/>
              <w:t>Associação das mulheres</w:t>
            </w:r>
          </w:p>
        </w:tc>
        <w:tc>
          <w:tcPr>
            <w:tcW w:w="6095" w:type="dxa"/>
            <w:tcBorders>
              <w:top w:val="single" w:sz="4" w:space="0" w:color="000000"/>
              <w:left w:val="single" w:sz="4" w:space="0" w:color="000000"/>
              <w:bottom w:val="single" w:sz="4" w:space="0" w:color="000000"/>
              <w:right w:val="single" w:sz="4" w:space="0" w:color="000000"/>
            </w:tcBorders>
          </w:tcPr>
          <w:p w14:paraId="495DCAC6"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Governação; Âmbito distrital</w:t>
            </w:r>
          </w:p>
        </w:tc>
      </w:tr>
      <w:tr w:rsidR="006174BB" w:rsidRPr="008D18CF" w14:paraId="2873CD4F" w14:textId="77777777" w:rsidTr="006174BB">
        <w:trPr>
          <w:trHeight w:val="277"/>
        </w:trPr>
        <w:tc>
          <w:tcPr>
            <w:tcW w:w="2977" w:type="dxa"/>
            <w:tcBorders>
              <w:top w:val="single" w:sz="4" w:space="0" w:color="000000"/>
              <w:left w:val="single" w:sz="4" w:space="0" w:color="000000"/>
              <w:bottom w:val="single" w:sz="4" w:space="0" w:color="000000"/>
              <w:right w:val="single" w:sz="4" w:space="0" w:color="000000"/>
            </w:tcBorders>
          </w:tcPr>
          <w:p w14:paraId="592B9636" w14:textId="77777777" w:rsidR="006174BB" w:rsidRPr="004500AE" w:rsidRDefault="006174BB" w:rsidP="006174BB">
            <w:pPr>
              <w:spacing w:line="259" w:lineRule="auto"/>
              <w:rPr>
                <w:rFonts w:asciiTheme="minorHAnsi" w:eastAsia="Calibri" w:hAnsiTheme="minorHAnsi" w:cstheme="minorHAnsi"/>
                <w:sz w:val="20"/>
                <w:szCs w:val="20"/>
                <w:lang w:val="pt-PT"/>
              </w:rPr>
            </w:pPr>
            <w:proofErr w:type="spellStart"/>
            <w:r w:rsidRPr="004500AE">
              <w:rPr>
                <w:rFonts w:asciiTheme="minorHAnsi" w:eastAsia="Calibri" w:hAnsiTheme="minorHAnsi" w:cstheme="minorHAnsi"/>
                <w:sz w:val="20"/>
                <w:szCs w:val="20"/>
                <w:lang w:val="pt-PT"/>
              </w:rPr>
              <w:t>Ass</w:t>
            </w:r>
            <w:proofErr w:type="spellEnd"/>
            <w:r w:rsidRPr="004500AE">
              <w:rPr>
                <w:rFonts w:asciiTheme="minorHAnsi" w:eastAsia="Calibri" w:hAnsiTheme="minorHAnsi" w:cstheme="minorHAnsi"/>
                <w:sz w:val="20"/>
                <w:szCs w:val="20"/>
                <w:lang w:val="pt-PT"/>
              </w:rPr>
              <w:t>. De Género Adolescentes da Zambézia (AGAZA)</w:t>
            </w:r>
          </w:p>
        </w:tc>
        <w:tc>
          <w:tcPr>
            <w:tcW w:w="6095" w:type="dxa"/>
            <w:tcBorders>
              <w:top w:val="single" w:sz="4" w:space="0" w:color="000000"/>
              <w:left w:val="single" w:sz="4" w:space="0" w:color="000000"/>
              <w:bottom w:val="single" w:sz="4" w:space="0" w:color="000000"/>
              <w:right w:val="single" w:sz="4" w:space="0" w:color="000000"/>
            </w:tcBorders>
          </w:tcPr>
          <w:p w14:paraId="782E6F61" w14:textId="77777777" w:rsidR="006174BB" w:rsidRPr="004500AE" w:rsidRDefault="006174BB" w:rsidP="006174BB">
            <w:pPr>
              <w:spacing w:line="259" w:lineRule="auto"/>
              <w:ind w:left="1"/>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Direitos da criança e Saúde</w:t>
            </w:r>
          </w:p>
        </w:tc>
      </w:tr>
      <w:tr w:rsidR="006174BB" w:rsidRPr="008D18CF" w14:paraId="4C4E608E" w14:textId="77777777" w:rsidTr="006174BB">
        <w:tblPrEx>
          <w:tblCellMar>
            <w:left w:w="106" w:type="dxa"/>
            <w:right w:w="63" w:type="dxa"/>
          </w:tblCellMar>
        </w:tblPrEx>
        <w:trPr>
          <w:trHeight w:val="34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5B9BD5"/>
          </w:tcPr>
          <w:p w14:paraId="7D9806EB" w14:textId="77777777" w:rsidR="006174BB" w:rsidRPr="004500AE" w:rsidRDefault="006174BB" w:rsidP="006174BB">
            <w:pPr>
              <w:spacing w:line="259" w:lineRule="auto"/>
              <w:ind w:right="41"/>
              <w:jc w:val="center"/>
              <w:rPr>
                <w:rFonts w:asciiTheme="minorHAnsi" w:hAnsiTheme="minorHAnsi" w:cstheme="minorHAnsi"/>
                <w:color w:val="FFFFFF"/>
                <w:sz w:val="20"/>
                <w:szCs w:val="20"/>
                <w:lang w:val="pt-PT"/>
              </w:rPr>
            </w:pPr>
            <w:r w:rsidRPr="004500AE">
              <w:rPr>
                <w:rFonts w:asciiTheme="minorHAnsi" w:eastAsia="Calibri" w:hAnsiTheme="minorHAnsi" w:cstheme="minorHAnsi"/>
                <w:b/>
                <w:color w:val="FFFFFF"/>
                <w:sz w:val="20"/>
                <w:szCs w:val="20"/>
                <w:lang w:val="pt-PT"/>
              </w:rPr>
              <w:t xml:space="preserve">Nacionais (Organizações de âmbito nacional que </w:t>
            </w:r>
            <w:proofErr w:type="spellStart"/>
            <w:r w:rsidRPr="004500AE">
              <w:rPr>
                <w:rFonts w:asciiTheme="minorHAnsi" w:eastAsia="Calibri" w:hAnsiTheme="minorHAnsi" w:cstheme="minorHAnsi"/>
                <w:b/>
                <w:color w:val="FFFFFF"/>
                <w:sz w:val="20"/>
                <w:szCs w:val="20"/>
                <w:lang w:val="pt-PT"/>
              </w:rPr>
              <w:t>actuam</w:t>
            </w:r>
            <w:proofErr w:type="spellEnd"/>
            <w:r w:rsidRPr="004500AE">
              <w:rPr>
                <w:rFonts w:asciiTheme="minorHAnsi" w:eastAsia="Calibri" w:hAnsiTheme="minorHAnsi" w:cstheme="minorHAnsi"/>
                <w:b/>
                <w:color w:val="FFFFFF"/>
                <w:sz w:val="20"/>
                <w:szCs w:val="20"/>
                <w:lang w:val="pt-PT"/>
              </w:rPr>
              <w:t xml:space="preserve"> em um ou mais províncias cobertas pelo </w:t>
            </w:r>
            <w:proofErr w:type="spellStart"/>
            <w:r w:rsidRPr="004500AE">
              <w:rPr>
                <w:rFonts w:asciiTheme="minorHAnsi" w:eastAsia="Calibri" w:hAnsiTheme="minorHAnsi" w:cstheme="minorHAnsi"/>
                <w:b/>
                <w:color w:val="FFFFFF"/>
                <w:sz w:val="20"/>
                <w:szCs w:val="20"/>
                <w:lang w:val="pt-PT"/>
              </w:rPr>
              <w:t>projecto</w:t>
            </w:r>
            <w:proofErr w:type="spellEnd"/>
            <w:r w:rsidRPr="004500AE">
              <w:rPr>
                <w:rFonts w:asciiTheme="minorHAnsi" w:eastAsia="Calibri" w:hAnsiTheme="minorHAnsi" w:cstheme="minorHAnsi"/>
                <w:b/>
                <w:color w:val="FFFFFF"/>
                <w:sz w:val="20"/>
                <w:szCs w:val="20"/>
                <w:lang w:val="pt-PT"/>
              </w:rPr>
              <w:t xml:space="preserve">) </w:t>
            </w:r>
          </w:p>
        </w:tc>
      </w:tr>
      <w:tr w:rsidR="006174BB" w:rsidRPr="008D18CF" w14:paraId="52401209" w14:textId="77777777" w:rsidTr="006174BB">
        <w:tblPrEx>
          <w:tblCellMar>
            <w:left w:w="106" w:type="dxa"/>
            <w:right w:w="63" w:type="dxa"/>
          </w:tblCellMar>
        </w:tblPrEx>
        <w:trPr>
          <w:trHeight w:val="568"/>
        </w:trPr>
        <w:tc>
          <w:tcPr>
            <w:tcW w:w="2977" w:type="dxa"/>
            <w:tcBorders>
              <w:top w:val="single" w:sz="4" w:space="0" w:color="000000"/>
              <w:left w:val="single" w:sz="4" w:space="0" w:color="000000"/>
              <w:bottom w:val="single" w:sz="4" w:space="0" w:color="000000"/>
              <w:right w:val="single" w:sz="4" w:space="0" w:color="000000"/>
            </w:tcBorders>
          </w:tcPr>
          <w:p w14:paraId="75DAF2BC" w14:textId="77777777" w:rsidR="006174BB" w:rsidRPr="004500AE" w:rsidRDefault="006174BB" w:rsidP="006174BB">
            <w:pPr>
              <w:spacing w:line="259" w:lineRule="auto"/>
              <w:ind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AMMCJ </w:t>
            </w:r>
            <w:r w:rsidRPr="004500AE">
              <w:rPr>
                <w:rFonts w:asciiTheme="minorHAnsi" w:eastAsia="Calibri" w:hAnsiTheme="minorHAnsi" w:cstheme="minorHAnsi"/>
                <w:sz w:val="20"/>
                <w:szCs w:val="20"/>
                <w:lang w:val="pt-PT"/>
              </w:rPr>
              <w:tab/>
              <w:t xml:space="preserve">– Associação Moçambicana de Mulheres de carreira Jurídica </w:t>
            </w:r>
          </w:p>
        </w:tc>
        <w:tc>
          <w:tcPr>
            <w:tcW w:w="6095" w:type="dxa"/>
            <w:tcBorders>
              <w:top w:val="single" w:sz="4" w:space="0" w:color="000000"/>
              <w:left w:val="single" w:sz="4" w:space="0" w:color="000000"/>
              <w:bottom w:val="single" w:sz="4" w:space="0" w:color="000000"/>
              <w:right w:val="single" w:sz="4" w:space="0" w:color="000000"/>
            </w:tcBorders>
          </w:tcPr>
          <w:p w14:paraId="6B9F1D9D"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Assistência Jurídica e Apoio </w:t>
            </w:r>
            <w:proofErr w:type="spellStart"/>
            <w:r w:rsidRPr="004500AE">
              <w:rPr>
                <w:rFonts w:asciiTheme="minorHAnsi" w:eastAsia="Calibri" w:hAnsiTheme="minorHAnsi" w:cstheme="minorHAnsi"/>
                <w:sz w:val="20"/>
                <w:szCs w:val="20"/>
                <w:lang w:val="pt-PT"/>
              </w:rPr>
              <w:t>psico</w:t>
            </w:r>
            <w:proofErr w:type="spellEnd"/>
            <w:r w:rsidRPr="004500AE">
              <w:rPr>
                <w:rFonts w:asciiTheme="minorHAnsi" w:eastAsia="Calibri" w:hAnsiTheme="minorHAnsi" w:cstheme="minorHAnsi"/>
                <w:sz w:val="20"/>
                <w:szCs w:val="20"/>
                <w:lang w:val="pt-PT"/>
              </w:rPr>
              <w:t xml:space="preserve"> social as vítimas de VBG </w:t>
            </w:r>
          </w:p>
        </w:tc>
      </w:tr>
      <w:tr w:rsidR="006174BB" w:rsidRPr="00292532" w14:paraId="79D223B2" w14:textId="77777777" w:rsidTr="006174BB">
        <w:tblPrEx>
          <w:tblCellMar>
            <w:left w:w="106" w:type="dxa"/>
            <w:right w:w="63" w:type="dxa"/>
          </w:tblCellMar>
        </w:tblPrEx>
        <w:trPr>
          <w:trHeight w:val="571"/>
        </w:trPr>
        <w:tc>
          <w:tcPr>
            <w:tcW w:w="2977" w:type="dxa"/>
            <w:tcBorders>
              <w:top w:val="single" w:sz="4" w:space="0" w:color="000000"/>
              <w:left w:val="single" w:sz="4" w:space="0" w:color="000000"/>
              <w:bottom w:val="single" w:sz="4" w:space="0" w:color="000000"/>
              <w:right w:val="single" w:sz="4" w:space="0" w:color="000000"/>
            </w:tcBorders>
          </w:tcPr>
          <w:p w14:paraId="7F00C2CD"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AMODEFA- Associação Moçambicana para o Desenvolvimento da Família </w:t>
            </w:r>
          </w:p>
        </w:tc>
        <w:tc>
          <w:tcPr>
            <w:tcW w:w="6095" w:type="dxa"/>
            <w:tcBorders>
              <w:top w:val="single" w:sz="4" w:space="0" w:color="000000"/>
              <w:left w:val="single" w:sz="4" w:space="0" w:color="000000"/>
              <w:bottom w:val="single" w:sz="4" w:space="0" w:color="000000"/>
              <w:right w:val="single" w:sz="4" w:space="0" w:color="000000"/>
            </w:tcBorders>
          </w:tcPr>
          <w:p w14:paraId="5B3E2303"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Direitos sexuais reprodutivos </w:t>
            </w:r>
          </w:p>
        </w:tc>
      </w:tr>
      <w:tr w:rsidR="006174BB" w:rsidRPr="008D18CF" w14:paraId="25EDD4F7" w14:textId="77777777" w:rsidTr="006174BB">
        <w:tblPrEx>
          <w:tblCellMar>
            <w:left w:w="106" w:type="dxa"/>
            <w:right w:w="63" w:type="dxa"/>
          </w:tblCellMar>
        </w:tblPrEx>
        <w:trPr>
          <w:trHeight w:val="571"/>
        </w:trPr>
        <w:tc>
          <w:tcPr>
            <w:tcW w:w="2977" w:type="dxa"/>
            <w:tcBorders>
              <w:top w:val="single" w:sz="4" w:space="0" w:color="000000"/>
              <w:left w:val="single" w:sz="4" w:space="0" w:color="000000"/>
              <w:bottom w:val="single" w:sz="4" w:space="0" w:color="000000"/>
              <w:right w:val="single" w:sz="4" w:space="0" w:color="000000"/>
            </w:tcBorders>
          </w:tcPr>
          <w:p w14:paraId="0DB05C4D"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AGA KHAN </w:t>
            </w:r>
          </w:p>
        </w:tc>
        <w:tc>
          <w:tcPr>
            <w:tcW w:w="6095" w:type="dxa"/>
            <w:tcBorders>
              <w:top w:val="single" w:sz="4" w:space="0" w:color="000000"/>
              <w:left w:val="single" w:sz="4" w:space="0" w:color="000000"/>
              <w:bottom w:val="single" w:sz="4" w:space="0" w:color="000000"/>
              <w:right w:val="single" w:sz="4" w:space="0" w:color="000000"/>
            </w:tcBorders>
          </w:tcPr>
          <w:p w14:paraId="41D1BA88"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VBG, empoderamento económico da mulher, voz </w:t>
            </w:r>
            <w:proofErr w:type="spellStart"/>
            <w:r w:rsidRPr="004500AE">
              <w:rPr>
                <w:rFonts w:asciiTheme="minorHAnsi" w:eastAsia="Calibri" w:hAnsiTheme="minorHAnsi" w:cstheme="minorHAnsi"/>
                <w:sz w:val="20"/>
                <w:szCs w:val="20"/>
                <w:lang w:val="pt-PT"/>
              </w:rPr>
              <w:t>activa</w:t>
            </w:r>
            <w:proofErr w:type="spellEnd"/>
            <w:r w:rsidRPr="004500AE">
              <w:rPr>
                <w:rFonts w:asciiTheme="minorHAnsi" w:eastAsia="Calibri" w:hAnsiTheme="minorHAnsi" w:cstheme="minorHAnsi"/>
                <w:sz w:val="20"/>
                <w:szCs w:val="20"/>
                <w:lang w:val="pt-PT"/>
              </w:rPr>
              <w:t xml:space="preserve">, Promoção da igualdade de género nas organizações </w:t>
            </w:r>
          </w:p>
        </w:tc>
      </w:tr>
      <w:tr w:rsidR="006174BB" w:rsidRPr="008D18CF" w14:paraId="4ECCBAB7" w14:textId="77777777" w:rsidTr="006174BB">
        <w:tblPrEx>
          <w:tblCellMar>
            <w:left w:w="106" w:type="dxa"/>
            <w:right w:w="63" w:type="dxa"/>
          </w:tblCellMar>
        </w:tblPrEx>
        <w:trPr>
          <w:trHeight w:val="346"/>
        </w:trPr>
        <w:tc>
          <w:tcPr>
            <w:tcW w:w="2977" w:type="dxa"/>
            <w:tcBorders>
              <w:top w:val="single" w:sz="4" w:space="0" w:color="000000"/>
              <w:left w:val="single" w:sz="4" w:space="0" w:color="000000"/>
              <w:bottom w:val="single" w:sz="4" w:space="0" w:color="000000"/>
              <w:right w:val="single" w:sz="4" w:space="0" w:color="000000"/>
            </w:tcBorders>
          </w:tcPr>
          <w:p w14:paraId="300FCE3D"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Ariel </w:t>
            </w:r>
            <w:proofErr w:type="spellStart"/>
            <w:r w:rsidRPr="004500AE">
              <w:rPr>
                <w:rFonts w:asciiTheme="minorHAnsi" w:eastAsia="Calibri" w:hAnsiTheme="minorHAnsi" w:cstheme="minorHAnsi"/>
                <w:sz w:val="20"/>
                <w:szCs w:val="20"/>
                <w:lang w:val="pt-PT"/>
              </w:rPr>
              <w:t>Gleiser</w:t>
            </w:r>
            <w:proofErr w:type="spellEnd"/>
            <w:r w:rsidRPr="004500AE">
              <w:rPr>
                <w:rFonts w:asciiTheme="minorHAnsi" w:eastAsia="Calibri" w:hAnsiTheme="minorHAnsi" w:cstheme="minorHAnsi"/>
                <w:sz w:val="20"/>
                <w:szCs w:val="20"/>
                <w:lang w:val="pt-PT"/>
              </w:rPr>
              <w:t xml:space="preserve"> </w:t>
            </w:r>
          </w:p>
        </w:tc>
        <w:tc>
          <w:tcPr>
            <w:tcW w:w="6095" w:type="dxa"/>
            <w:tcBorders>
              <w:top w:val="single" w:sz="4" w:space="0" w:color="000000"/>
              <w:left w:val="single" w:sz="4" w:space="0" w:color="000000"/>
              <w:bottom w:val="single" w:sz="4" w:space="0" w:color="000000"/>
              <w:right w:val="single" w:sz="4" w:space="0" w:color="000000"/>
            </w:tcBorders>
          </w:tcPr>
          <w:p w14:paraId="6967D113"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Direitos Sexuais e Reprodutivos e HIV/SIDA </w:t>
            </w:r>
          </w:p>
        </w:tc>
      </w:tr>
      <w:tr w:rsidR="006174BB" w:rsidRPr="008D18CF" w14:paraId="71E3934E" w14:textId="77777777" w:rsidTr="006174BB">
        <w:tblPrEx>
          <w:tblCellMar>
            <w:left w:w="106" w:type="dxa"/>
            <w:right w:w="63" w:type="dxa"/>
          </w:tblCellMar>
        </w:tblPrEx>
        <w:trPr>
          <w:trHeight w:val="571"/>
        </w:trPr>
        <w:tc>
          <w:tcPr>
            <w:tcW w:w="2977" w:type="dxa"/>
            <w:tcBorders>
              <w:top w:val="single" w:sz="4" w:space="0" w:color="000000"/>
              <w:left w:val="single" w:sz="4" w:space="0" w:color="000000"/>
              <w:bottom w:val="single" w:sz="4" w:space="0" w:color="000000"/>
              <w:right w:val="single" w:sz="4" w:space="0" w:color="000000"/>
            </w:tcBorders>
          </w:tcPr>
          <w:p w14:paraId="1F23DF24"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Associação Mulher, Lei e Desenvolvimento (MULEIDE) </w:t>
            </w:r>
          </w:p>
        </w:tc>
        <w:tc>
          <w:tcPr>
            <w:tcW w:w="6095" w:type="dxa"/>
            <w:tcBorders>
              <w:top w:val="single" w:sz="4" w:space="0" w:color="000000"/>
              <w:left w:val="single" w:sz="4" w:space="0" w:color="000000"/>
              <w:bottom w:val="single" w:sz="4" w:space="0" w:color="000000"/>
              <w:right w:val="single" w:sz="4" w:space="0" w:color="000000"/>
            </w:tcBorders>
          </w:tcPr>
          <w:p w14:paraId="3E3427B1"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Pesquisa e treinamento de mulheres no setor informal, treinamento em saúde e prevenção de HIV / SIDA e treinamento em consciencialização jurídica </w:t>
            </w:r>
          </w:p>
        </w:tc>
      </w:tr>
      <w:tr w:rsidR="006174BB" w:rsidRPr="008D18CF" w14:paraId="1A801947" w14:textId="77777777" w:rsidTr="006174BB">
        <w:tblPrEx>
          <w:tblCellMar>
            <w:left w:w="106" w:type="dxa"/>
            <w:right w:w="63" w:type="dxa"/>
          </w:tblCellMar>
        </w:tblPrEx>
        <w:trPr>
          <w:trHeight w:val="792"/>
        </w:trPr>
        <w:tc>
          <w:tcPr>
            <w:tcW w:w="2977" w:type="dxa"/>
            <w:tcBorders>
              <w:top w:val="single" w:sz="4" w:space="0" w:color="000000"/>
              <w:left w:val="single" w:sz="4" w:space="0" w:color="000000"/>
              <w:bottom w:val="single" w:sz="4" w:space="0" w:color="000000"/>
              <w:right w:val="single" w:sz="4" w:space="0" w:color="000000"/>
            </w:tcBorders>
          </w:tcPr>
          <w:p w14:paraId="429707A7"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CARE </w:t>
            </w:r>
            <w:proofErr w:type="spellStart"/>
            <w:r w:rsidRPr="004500AE">
              <w:rPr>
                <w:rFonts w:asciiTheme="minorHAnsi" w:eastAsia="Calibri" w:hAnsiTheme="minorHAnsi" w:cstheme="minorHAnsi"/>
                <w:sz w:val="20"/>
                <w:szCs w:val="20"/>
                <w:lang w:val="pt-PT"/>
              </w:rPr>
              <w:t>International</w:t>
            </w:r>
            <w:proofErr w:type="spellEnd"/>
            <w:r w:rsidRPr="004500AE">
              <w:rPr>
                <w:rFonts w:asciiTheme="minorHAnsi" w:eastAsia="Calibri" w:hAnsiTheme="minorHAnsi" w:cstheme="minorHAnsi"/>
                <w:sz w:val="20"/>
                <w:szCs w:val="20"/>
                <w:lang w:val="pt-PT"/>
              </w:rPr>
              <w:t xml:space="preserve"> </w:t>
            </w:r>
          </w:p>
        </w:tc>
        <w:tc>
          <w:tcPr>
            <w:tcW w:w="6095" w:type="dxa"/>
            <w:tcBorders>
              <w:top w:val="single" w:sz="4" w:space="0" w:color="000000"/>
              <w:left w:val="single" w:sz="4" w:space="0" w:color="000000"/>
              <w:bottom w:val="single" w:sz="4" w:space="0" w:color="000000"/>
              <w:right w:val="single" w:sz="4" w:space="0" w:color="000000"/>
            </w:tcBorders>
          </w:tcPr>
          <w:p w14:paraId="370D764C"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Género e nutrição; Treinamento sobre lei de terra, lei de família e violência baseada no género; Género e Inclusão Social no Programa de Prevenção e Resposta a Emergência em Moçambique; Empoderamento da mulher para alcançar a igualdade de género. </w:t>
            </w:r>
          </w:p>
        </w:tc>
      </w:tr>
      <w:tr w:rsidR="006174BB" w:rsidRPr="008D18CF" w14:paraId="144386F8" w14:textId="77777777" w:rsidTr="006174BB">
        <w:tblPrEx>
          <w:tblCellMar>
            <w:left w:w="106" w:type="dxa"/>
            <w:right w:w="63" w:type="dxa"/>
          </w:tblCellMar>
        </w:tblPrEx>
        <w:trPr>
          <w:trHeight w:val="346"/>
        </w:trPr>
        <w:tc>
          <w:tcPr>
            <w:tcW w:w="2977" w:type="dxa"/>
            <w:tcBorders>
              <w:top w:val="single" w:sz="4" w:space="0" w:color="000000"/>
              <w:left w:val="single" w:sz="4" w:space="0" w:color="000000"/>
              <w:bottom w:val="single" w:sz="4" w:space="0" w:color="000000"/>
              <w:right w:val="single" w:sz="4" w:space="0" w:color="000000"/>
            </w:tcBorders>
          </w:tcPr>
          <w:p w14:paraId="3F568033"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DKT – Íntimo </w:t>
            </w:r>
          </w:p>
        </w:tc>
        <w:tc>
          <w:tcPr>
            <w:tcW w:w="6095" w:type="dxa"/>
            <w:tcBorders>
              <w:top w:val="single" w:sz="4" w:space="0" w:color="000000"/>
              <w:left w:val="single" w:sz="4" w:space="0" w:color="000000"/>
              <w:bottom w:val="single" w:sz="4" w:space="0" w:color="000000"/>
              <w:right w:val="single" w:sz="4" w:space="0" w:color="000000"/>
            </w:tcBorders>
          </w:tcPr>
          <w:p w14:paraId="74810256"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 Direitos Sexuais Reprodutivos da mulher </w:t>
            </w:r>
          </w:p>
        </w:tc>
      </w:tr>
      <w:tr w:rsidR="006174BB" w:rsidRPr="008D18CF" w14:paraId="3C4ECC0A" w14:textId="77777777" w:rsidTr="006174BB">
        <w:tblPrEx>
          <w:tblCellMar>
            <w:left w:w="106" w:type="dxa"/>
            <w:right w:w="63" w:type="dxa"/>
          </w:tblCellMar>
        </w:tblPrEx>
        <w:trPr>
          <w:trHeight w:val="571"/>
        </w:trPr>
        <w:tc>
          <w:tcPr>
            <w:tcW w:w="2977" w:type="dxa"/>
            <w:tcBorders>
              <w:top w:val="single" w:sz="4" w:space="0" w:color="000000"/>
              <w:left w:val="single" w:sz="4" w:space="0" w:color="000000"/>
              <w:bottom w:val="single" w:sz="4" w:space="0" w:color="000000"/>
              <w:right w:val="single" w:sz="4" w:space="0" w:color="000000"/>
            </w:tcBorders>
          </w:tcPr>
          <w:p w14:paraId="7D9D96F5"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FDC-Fundação para o Desenvolvimento da Comunidade  </w:t>
            </w:r>
          </w:p>
        </w:tc>
        <w:tc>
          <w:tcPr>
            <w:tcW w:w="6095" w:type="dxa"/>
            <w:tcBorders>
              <w:top w:val="single" w:sz="4" w:space="0" w:color="000000"/>
              <w:left w:val="single" w:sz="4" w:space="0" w:color="000000"/>
              <w:bottom w:val="single" w:sz="4" w:space="0" w:color="000000"/>
              <w:right w:val="single" w:sz="4" w:space="0" w:color="000000"/>
            </w:tcBorders>
          </w:tcPr>
          <w:p w14:paraId="21B51E0E"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Erradicação da pobreza, advocacia, justiça social, construção da paz e reconciliação nacional e coesão social, direitos das mulheres, crianças e raparigas  </w:t>
            </w:r>
          </w:p>
        </w:tc>
      </w:tr>
      <w:tr w:rsidR="006174BB" w:rsidRPr="008D18CF" w14:paraId="4D41BD5A" w14:textId="77777777" w:rsidTr="006174BB">
        <w:tblPrEx>
          <w:tblCellMar>
            <w:left w:w="106" w:type="dxa"/>
            <w:right w:w="63" w:type="dxa"/>
          </w:tblCellMar>
        </w:tblPrEx>
        <w:trPr>
          <w:trHeight w:val="571"/>
        </w:trPr>
        <w:tc>
          <w:tcPr>
            <w:tcW w:w="2977" w:type="dxa"/>
            <w:tcBorders>
              <w:top w:val="single" w:sz="4" w:space="0" w:color="000000"/>
              <w:left w:val="single" w:sz="4" w:space="0" w:color="000000"/>
              <w:bottom w:val="single" w:sz="4" w:space="0" w:color="000000"/>
              <w:right w:val="single" w:sz="4" w:space="0" w:color="000000"/>
            </w:tcBorders>
          </w:tcPr>
          <w:p w14:paraId="35F66404"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IREX-Programa para Fortalecimento da </w:t>
            </w:r>
            <w:proofErr w:type="spellStart"/>
            <w:r w:rsidRPr="004500AE">
              <w:rPr>
                <w:rFonts w:asciiTheme="minorHAnsi" w:eastAsia="Calibri" w:hAnsiTheme="minorHAnsi" w:cstheme="minorHAnsi"/>
                <w:sz w:val="20"/>
                <w:szCs w:val="20"/>
                <w:lang w:val="pt-PT"/>
              </w:rPr>
              <w:t>Mídia</w:t>
            </w:r>
            <w:proofErr w:type="spellEnd"/>
            <w:r w:rsidRPr="004500AE">
              <w:rPr>
                <w:rFonts w:asciiTheme="minorHAnsi" w:eastAsia="Calibri" w:hAnsiTheme="minorHAnsi" w:cstheme="minorHAnsi"/>
                <w:sz w:val="20"/>
                <w:szCs w:val="20"/>
                <w:lang w:val="pt-PT"/>
              </w:rPr>
              <w:t xml:space="preserve">  </w:t>
            </w:r>
          </w:p>
        </w:tc>
        <w:tc>
          <w:tcPr>
            <w:tcW w:w="6095" w:type="dxa"/>
            <w:tcBorders>
              <w:top w:val="single" w:sz="4" w:space="0" w:color="000000"/>
              <w:left w:val="single" w:sz="4" w:space="0" w:color="000000"/>
              <w:bottom w:val="single" w:sz="4" w:space="0" w:color="000000"/>
              <w:right w:val="single" w:sz="4" w:space="0" w:color="000000"/>
            </w:tcBorders>
          </w:tcPr>
          <w:p w14:paraId="4867B2C3"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Cobertura de matérias relacionadas com Violência baseada no Género (Rede de Pontos Focais nas Rádios Comunitárias parceiras) </w:t>
            </w:r>
          </w:p>
        </w:tc>
      </w:tr>
      <w:tr w:rsidR="006174BB" w:rsidRPr="008D18CF" w14:paraId="7CF6ACF8" w14:textId="77777777" w:rsidTr="006174BB">
        <w:tblPrEx>
          <w:tblCellMar>
            <w:left w:w="106" w:type="dxa"/>
            <w:right w:w="63" w:type="dxa"/>
          </w:tblCellMar>
        </w:tblPrEx>
        <w:trPr>
          <w:trHeight w:val="350"/>
        </w:trPr>
        <w:tc>
          <w:tcPr>
            <w:tcW w:w="2977" w:type="dxa"/>
            <w:tcBorders>
              <w:top w:val="single" w:sz="4" w:space="0" w:color="000000"/>
              <w:left w:val="single" w:sz="4" w:space="0" w:color="000000"/>
              <w:bottom w:val="single" w:sz="4" w:space="0" w:color="000000"/>
              <w:right w:val="single" w:sz="4" w:space="0" w:color="000000"/>
            </w:tcBorders>
          </w:tcPr>
          <w:p w14:paraId="6E0A0FB7"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LAMBDA  </w:t>
            </w:r>
          </w:p>
        </w:tc>
        <w:tc>
          <w:tcPr>
            <w:tcW w:w="6095" w:type="dxa"/>
            <w:tcBorders>
              <w:top w:val="single" w:sz="4" w:space="0" w:color="000000"/>
              <w:left w:val="single" w:sz="4" w:space="0" w:color="000000"/>
              <w:bottom w:val="single" w:sz="4" w:space="0" w:color="000000"/>
              <w:right w:val="single" w:sz="4" w:space="0" w:color="000000"/>
            </w:tcBorders>
          </w:tcPr>
          <w:p w14:paraId="1309E083"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 Defesa dos direitos das minorias sexuais </w:t>
            </w:r>
          </w:p>
        </w:tc>
      </w:tr>
      <w:tr w:rsidR="006174BB" w:rsidRPr="008D18CF" w14:paraId="294AF6C7" w14:textId="77777777" w:rsidTr="006174BB">
        <w:tblPrEx>
          <w:tblCellMar>
            <w:left w:w="106" w:type="dxa"/>
            <w:right w:w="63" w:type="dxa"/>
          </w:tblCellMar>
        </w:tblPrEx>
        <w:trPr>
          <w:trHeight w:val="346"/>
        </w:trPr>
        <w:tc>
          <w:tcPr>
            <w:tcW w:w="2977" w:type="dxa"/>
            <w:tcBorders>
              <w:top w:val="single" w:sz="4" w:space="0" w:color="000000"/>
              <w:left w:val="single" w:sz="4" w:space="0" w:color="000000"/>
              <w:bottom w:val="single" w:sz="4" w:space="0" w:color="000000"/>
              <w:right w:val="single" w:sz="4" w:space="0" w:color="000000"/>
            </w:tcBorders>
          </w:tcPr>
          <w:p w14:paraId="1E56ACD1"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proofErr w:type="spellStart"/>
            <w:r w:rsidRPr="004500AE">
              <w:rPr>
                <w:rFonts w:asciiTheme="minorHAnsi" w:eastAsia="Calibri" w:hAnsiTheme="minorHAnsi" w:cstheme="minorHAnsi"/>
                <w:sz w:val="20"/>
                <w:szCs w:val="20"/>
                <w:lang w:val="pt-PT"/>
              </w:rPr>
              <w:t>Magariro</w:t>
            </w:r>
            <w:proofErr w:type="spellEnd"/>
            <w:r w:rsidRPr="004500AE">
              <w:rPr>
                <w:rFonts w:asciiTheme="minorHAnsi" w:eastAsia="Calibri" w:hAnsiTheme="minorHAnsi" w:cstheme="minorHAnsi"/>
                <w:sz w:val="20"/>
                <w:szCs w:val="20"/>
                <w:lang w:val="pt-PT"/>
              </w:rPr>
              <w:t xml:space="preserve"> </w:t>
            </w:r>
          </w:p>
        </w:tc>
        <w:tc>
          <w:tcPr>
            <w:tcW w:w="6095" w:type="dxa"/>
            <w:tcBorders>
              <w:top w:val="single" w:sz="4" w:space="0" w:color="000000"/>
              <w:left w:val="single" w:sz="4" w:space="0" w:color="000000"/>
              <w:bottom w:val="single" w:sz="4" w:space="0" w:color="000000"/>
              <w:right w:val="single" w:sz="4" w:space="0" w:color="000000"/>
            </w:tcBorders>
          </w:tcPr>
          <w:p w14:paraId="7E30982D"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Advocacia e defesa dos direitos dos grupos mais desfavorecidos </w:t>
            </w:r>
          </w:p>
        </w:tc>
      </w:tr>
      <w:tr w:rsidR="006174BB" w:rsidRPr="008D18CF" w14:paraId="6DEAF8BE" w14:textId="77777777" w:rsidTr="006174BB">
        <w:tblPrEx>
          <w:tblCellMar>
            <w:left w:w="106" w:type="dxa"/>
            <w:right w:w="63" w:type="dxa"/>
          </w:tblCellMar>
        </w:tblPrEx>
        <w:trPr>
          <w:trHeight w:val="571"/>
        </w:trPr>
        <w:tc>
          <w:tcPr>
            <w:tcW w:w="2977" w:type="dxa"/>
            <w:tcBorders>
              <w:top w:val="single" w:sz="4" w:space="0" w:color="000000"/>
              <w:left w:val="single" w:sz="4" w:space="0" w:color="000000"/>
              <w:bottom w:val="single" w:sz="4" w:space="0" w:color="000000"/>
              <w:right w:val="single" w:sz="4" w:space="0" w:color="000000"/>
            </w:tcBorders>
          </w:tcPr>
          <w:p w14:paraId="3BE9F0A8"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N´</w:t>
            </w:r>
            <w:proofErr w:type="spellStart"/>
            <w:r w:rsidRPr="004500AE">
              <w:rPr>
                <w:rFonts w:asciiTheme="minorHAnsi" w:eastAsia="Calibri" w:hAnsiTheme="minorHAnsi" w:cstheme="minorHAnsi"/>
                <w:sz w:val="20"/>
                <w:szCs w:val="20"/>
                <w:lang w:val="pt-PT"/>
              </w:rPr>
              <w:t>weti</w:t>
            </w:r>
            <w:proofErr w:type="spellEnd"/>
            <w:r w:rsidRPr="004500AE">
              <w:rPr>
                <w:rFonts w:asciiTheme="minorHAnsi" w:eastAsia="Calibri" w:hAnsiTheme="minorHAnsi" w:cstheme="minorHAnsi"/>
                <w:sz w:val="20"/>
                <w:szCs w:val="20"/>
                <w:lang w:val="pt-PT"/>
              </w:rPr>
              <w:t xml:space="preserve"> </w:t>
            </w:r>
          </w:p>
        </w:tc>
        <w:tc>
          <w:tcPr>
            <w:tcW w:w="6095" w:type="dxa"/>
            <w:tcBorders>
              <w:top w:val="single" w:sz="4" w:space="0" w:color="000000"/>
              <w:left w:val="single" w:sz="4" w:space="0" w:color="000000"/>
              <w:bottom w:val="single" w:sz="4" w:space="0" w:color="000000"/>
              <w:right w:val="single" w:sz="4" w:space="0" w:color="000000"/>
            </w:tcBorders>
          </w:tcPr>
          <w:p w14:paraId="18C237FF"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Comunicação para mudança de comportamento na área da saúde e género; multimédia, Pesquisa e Mobilização social </w:t>
            </w:r>
          </w:p>
        </w:tc>
      </w:tr>
      <w:tr w:rsidR="006174BB" w:rsidRPr="00292532" w14:paraId="11C3724B" w14:textId="77777777" w:rsidTr="006174BB">
        <w:tblPrEx>
          <w:tblCellMar>
            <w:left w:w="106" w:type="dxa"/>
            <w:right w:w="63" w:type="dxa"/>
          </w:tblCellMar>
        </w:tblPrEx>
        <w:trPr>
          <w:trHeight w:val="350"/>
        </w:trPr>
        <w:tc>
          <w:tcPr>
            <w:tcW w:w="2977" w:type="dxa"/>
            <w:tcBorders>
              <w:top w:val="single" w:sz="4" w:space="0" w:color="000000"/>
              <w:left w:val="single" w:sz="4" w:space="0" w:color="000000"/>
              <w:bottom w:val="single" w:sz="4" w:space="0" w:color="000000"/>
              <w:right w:val="single" w:sz="4" w:space="0" w:color="000000"/>
            </w:tcBorders>
          </w:tcPr>
          <w:p w14:paraId="6A557952"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PATHFINDER </w:t>
            </w:r>
          </w:p>
        </w:tc>
        <w:tc>
          <w:tcPr>
            <w:tcW w:w="6095" w:type="dxa"/>
            <w:tcBorders>
              <w:top w:val="single" w:sz="4" w:space="0" w:color="000000"/>
              <w:left w:val="single" w:sz="4" w:space="0" w:color="000000"/>
              <w:bottom w:val="single" w:sz="4" w:space="0" w:color="000000"/>
              <w:right w:val="single" w:sz="4" w:space="0" w:color="000000"/>
            </w:tcBorders>
          </w:tcPr>
          <w:p w14:paraId="6C1C38FF"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Direitos sexuais reprodutivos </w:t>
            </w:r>
          </w:p>
        </w:tc>
      </w:tr>
      <w:tr w:rsidR="006174BB" w:rsidRPr="008D18CF" w14:paraId="39C57454" w14:textId="77777777" w:rsidTr="006174BB">
        <w:tblPrEx>
          <w:tblCellMar>
            <w:left w:w="106" w:type="dxa"/>
            <w:right w:w="63" w:type="dxa"/>
          </w:tblCellMar>
        </w:tblPrEx>
        <w:trPr>
          <w:trHeight w:val="571"/>
        </w:trPr>
        <w:tc>
          <w:tcPr>
            <w:tcW w:w="2977" w:type="dxa"/>
            <w:tcBorders>
              <w:top w:val="single" w:sz="4" w:space="0" w:color="000000"/>
              <w:left w:val="single" w:sz="4" w:space="0" w:color="000000"/>
              <w:bottom w:val="single" w:sz="4" w:space="0" w:color="000000"/>
              <w:right w:val="single" w:sz="4" w:space="0" w:color="000000"/>
            </w:tcBorders>
          </w:tcPr>
          <w:p w14:paraId="12047134"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Rede CAME  </w:t>
            </w:r>
          </w:p>
        </w:tc>
        <w:tc>
          <w:tcPr>
            <w:tcW w:w="6095" w:type="dxa"/>
            <w:tcBorders>
              <w:top w:val="single" w:sz="4" w:space="0" w:color="000000"/>
              <w:left w:val="single" w:sz="4" w:space="0" w:color="000000"/>
              <w:bottom w:val="single" w:sz="4" w:space="0" w:color="000000"/>
              <w:right w:val="single" w:sz="4" w:space="0" w:color="000000"/>
            </w:tcBorders>
          </w:tcPr>
          <w:p w14:paraId="4F779615"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Prevenção e combate a todas as formas de abuso da criança através da educação, advocacia e sensibilização </w:t>
            </w:r>
          </w:p>
        </w:tc>
      </w:tr>
      <w:tr w:rsidR="006174BB" w:rsidRPr="008D18CF" w14:paraId="38983635" w14:textId="77777777" w:rsidTr="006174BB">
        <w:tblPrEx>
          <w:tblCellMar>
            <w:left w:w="106" w:type="dxa"/>
            <w:right w:w="63" w:type="dxa"/>
          </w:tblCellMar>
        </w:tblPrEx>
        <w:trPr>
          <w:trHeight w:val="566"/>
        </w:trPr>
        <w:tc>
          <w:tcPr>
            <w:tcW w:w="2977" w:type="dxa"/>
            <w:tcBorders>
              <w:top w:val="single" w:sz="4" w:space="0" w:color="000000"/>
              <w:left w:val="single" w:sz="4" w:space="0" w:color="000000"/>
              <w:bottom w:val="single" w:sz="4" w:space="0" w:color="000000"/>
              <w:right w:val="single" w:sz="4" w:space="0" w:color="000000"/>
            </w:tcBorders>
          </w:tcPr>
          <w:p w14:paraId="670C860B"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WLSA- Mulher e Lei na Africa Austral  </w:t>
            </w:r>
          </w:p>
        </w:tc>
        <w:tc>
          <w:tcPr>
            <w:tcW w:w="6095" w:type="dxa"/>
            <w:tcBorders>
              <w:top w:val="single" w:sz="4" w:space="0" w:color="000000"/>
              <w:left w:val="single" w:sz="4" w:space="0" w:color="000000"/>
              <w:bottom w:val="single" w:sz="4" w:space="0" w:color="000000"/>
              <w:right w:val="single" w:sz="4" w:space="0" w:color="000000"/>
            </w:tcBorders>
          </w:tcPr>
          <w:p w14:paraId="667F316E" w14:textId="77777777" w:rsidR="006174BB" w:rsidRPr="004500AE" w:rsidRDefault="006174BB" w:rsidP="006174BB">
            <w:pPr>
              <w:spacing w:line="259" w:lineRule="auto"/>
              <w:ind w:left="1" w:right="22"/>
              <w:rPr>
                <w:rFonts w:asciiTheme="minorHAnsi" w:eastAsia="Calibri" w:hAnsiTheme="minorHAnsi" w:cstheme="minorHAnsi"/>
                <w:sz w:val="20"/>
                <w:szCs w:val="20"/>
                <w:lang w:val="pt-PT"/>
              </w:rPr>
            </w:pPr>
            <w:r w:rsidRPr="004500AE">
              <w:rPr>
                <w:rFonts w:asciiTheme="minorHAnsi" w:eastAsia="Calibri" w:hAnsiTheme="minorHAnsi" w:cstheme="minorHAnsi"/>
                <w:sz w:val="20"/>
                <w:szCs w:val="20"/>
                <w:lang w:val="pt-PT"/>
              </w:rPr>
              <w:t xml:space="preserve">Pesquisa sobre a situação dos direitos das mulheres, advocacia, mobilização social sobre o combate e prevenção a VBG </w:t>
            </w:r>
          </w:p>
        </w:tc>
      </w:tr>
    </w:tbl>
    <w:p w14:paraId="597C04B1" w14:textId="77777777" w:rsidR="006174BB" w:rsidRPr="00292532" w:rsidRDefault="006174BB" w:rsidP="006174BB">
      <w:pPr>
        <w:spacing w:before="0" w:after="120"/>
        <w:rPr>
          <w:rFonts w:ascii="Arial" w:eastAsia="Times New Roman" w:hAnsi="Arial" w:cs="Arial"/>
          <w:i/>
          <w:sz w:val="18"/>
          <w:lang w:val="pt-PT"/>
        </w:rPr>
      </w:pPr>
      <w:r w:rsidRPr="00292532">
        <w:rPr>
          <w:rFonts w:ascii="Arial" w:eastAsia="Times New Roman" w:hAnsi="Arial" w:cs="Arial"/>
          <w:sz w:val="18"/>
          <w:lang w:val="pt-PT"/>
        </w:rPr>
        <w:t>Fonte</w:t>
      </w:r>
      <w:r w:rsidRPr="00292532">
        <w:rPr>
          <w:rFonts w:ascii="Arial" w:eastAsia="Times New Roman" w:hAnsi="Arial" w:cs="Arial"/>
          <w:lang w:val="pt-PT"/>
        </w:rPr>
        <w:t xml:space="preserve">: </w:t>
      </w:r>
      <w:hyperlink r:id="rId41" w:history="1">
        <w:r w:rsidRPr="00292532">
          <w:rPr>
            <w:rFonts w:ascii="Arial" w:eastAsia="Times New Roman" w:hAnsi="Arial" w:cs="Arial"/>
            <w:i/>
            <w:color w:val="0563C1" w:themeColor="hyperlink"/>
            <w:sz w:val="18"/>
            <w:u w:val="single"/>
            <w:lang w:val="pt-PT"/>
          </w:rPr>
          <w:t>www.Joint.org.mz//public/assets/documentos/ongs_nacionais_que_actuam_no_pais</w:t>
        </w:r>
      </w:hyperlink>
    </w:p>
    <w:p w14:paraId="08B50799" w14:textId="15F58414" w:rsidR="006174BB" w:rsidRPr="00292532" w:rsidRDefault="006174BB" w:rsidP="006174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rPr>
          <w:rFonts w:asciiTheme="minorHAnsi" w:eastAsia="Times New Roman" w:hAnsiTheme="minorHAnsi" w:cs="Calibri"/>
          <w:lang w:val="pt-PT"/>
        </w:rPr>
      </w:pPr>
    </w:p>
    <w:p w14:paraId="76BB91D8" w14:textId="4005EE55" w:rsidR="009757BD" w:rsidRPr="00292532" w:rsidRDefault="009757BD">
      <w:pPr>
        <w:pStyle w:val="Heading3"/>
      </w:pPr>
      <w:bookmarkStart w:id="474" w:name="_Toc78435406"/>
      <w:bookmarkStart w:id="475" w:name="_Toc482789072"/>
      <w:bookmarkStart w:id="476" w:name="_Toc80380076"/>
      <w:bookmarkEnd w:id="474"/>
      <w:r w:rsidRPr="00292532">
        <w:t>Queixas relacionadas às relações Laborais</w:t>
      </w:r>
      <w:bookmarkEnd w:id="475"/>
      <w:bookmarkEnd w:id="476"/>
      <w:r w:rsidRPr="00292532">
        <w:t xml:space="preserve"> </w:t>
      </w:r>
    </w:p>
    <w:p w14:paraId="237900F8" w14:textId="6732B723" w:rsidR="00954266" w:rsidRPr="00292532" w:rsidRDefault="00954266" w:rsidP="009542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rPr>
          <w:rFonts w:asciiTheme="minorHAnsi" w:eastAsia="Times New Roman" w:hAnsiTheme="minorHAnsi" w:cs="Calibri"/>
          <w:lang w:val="pt-PT"/>
        </w:rPr>
      </w:pPr>
      <w:r w:rsidRPr="00292532">
        <w:rPr>
          <w:rFonts w:asciiTheme="minorHAnsi" w:eastAsia="Times New Roman" w:hAnsiTheme="minorHAnsi" w:cs="Calibri"/>
          <w:lang w:val="pt-PT"/>
        </w:rPr>
        <w:t>P</w:t>
      </w:r>
      <w:r w:rsidR="009757BD" w:rsidRPr="00292532">
        <w:rPr>
          <w:rFonts w:asciiTheme="minorHAnsi" w:eastAsia="Times New Roman" w:hAnsiTheme="minorHAnsi" w:cs="Calibri"/>
          <w:lang w:val="pt-PT"/>
        </w:rPr>
        <w:t xml:space="preserve">rocedimentos específicos para lidar com queixas trabalhistas em conformidade com a NAS 2 e a legislação nacional </w:t>
      </w:r>
      <w:r w:rsidR="00292532">
        <w:rPr>
          <w:rFonts w:asciiTheme="minorHAnsi" w:eastAsia="Times New Roman" w:hAnsiTheme="minorHAnsi" w:cs="Calibri"/>
          <w:lang w:val="pt-PT"/>
        </w:rPr>
        <w:t>são</w:t>
      </w:r>
      <w:r w:rsidRPr="00292532">
        <w:rPr>
          <w:rFonts w:asciiTheme="minorHAnsi" w:eastAsia="Times New Roman" w:hAnsiTheme="minorHAnsi" w:cs="Calibri"/>
          <w:lang w:val="pt-PT"/>
        </w:rPr>
        <w:t xml:space="preserve"> </w:t>
      </w:r>
      <w:r w:rsidR="009757BD" w:rsidRPr="00292532">
        <w:rPr>
          <w:rFonts w:asciiTheme="minorHAnsi" w:eastAsia="Times New Roman" w:hAnsiTheme="minorHAnsi" w:cs="Calibri"/>
          <w:lang w:val="pt-PT"/>
        </w:rPr>
        <w:t>detalhad</w:t>
      </w:r>
      <w:r w:rsidRPr="00292532">
        <w:rPr>
          <w:rFonts w:asciiTheme="minorHAnsi" w:eastAsia="Times New Roman" w:hAnsiTheme="minorHAnsi" w:cs="Calibri"/>
          <w:lang w:val="pt-PT"/>
        </w:rPr>
        <w:t>os</w:t>
      </w:r>
      <w:r w:rsidR="009757BD" w:rsidRPr="00292532">
        <w:rPr>
          <w:rFonts w:asciiTheme="minorHAnsi" w:eastAsia="Times New Roman" w:hAnsiTheme="minorHAnsi" w:cs="Calibri"/>
          <w:lang w:val="pt-PT"/>
        </w:rPr>
        <w:t xml:space="preserve"> no </w:t>
      </w:r>
      <w:r w:rsidRPr="00292532">
        <w:rPr>
          <w:rFonts w:asciiTheme="minorHAnsi" w:eastAsia="Times New Roman" w:hAnsiTheme="minorHAnsi" w:cs="Calibri"/>
          <w:lang w:val="pt-PT"/>
        </w:rPr>
        <w:t>Plano de Gestão de Mão-de-Obra e de Gestão de Saúde e Segurança Ocupacional (</w:t>
      </w:r>
      <w:r w:rsidRPr="004500AE">
        <w:rPr>
          <w:rFonts w:asciiTheme="minorHAnsi" w:eastAsia="Times New Roman" w:hAnsiTheme="minorHAnsi" w:cs="Calibri"/>
          <w:b/>
          <w:bCs/>
          <w:lang w:val="pt-PT"/>
        </w:rPr>
        <w:t xml:space="preserve">Anexo </w:t>
      </w:r>
      <w:r w:rsidR="000615DB" w:rsidRPr="004500AE">
        <w:rPr>
          <w:rFonts w:asciiTheme="minorHAnsi" w:eastAsia="Times New Roman" w:hAnsiTheme="minorHAnsi" w:cs="Calibri"/>
          <w:b/>
          <w:bCs/>
          <w:lang w:val="pt-PT"/>
        </w:rPr>
        <w:t>9</w:t>
      </w:r>
      <w:r w:rsidRPr="00292532">
        <w:rPr>
          <w:rFonts w:asciiTheme="minorHAnsi" w:eastAsia="Times New Roman" w:hAnsiTheme="minorHAnsi" w:cs="Calibri"/>
          <w:lang w:val="pt-PT"/>
        </w:rPr>
        <w:t>).</w:t>
      </w:r>
      <w:r w:rsidR="007C62C5" w:rsidRPr="00292532">
        <w:rPr>
          <w:rFonts w:asciiTheme="minorHAnsi" w:eastAsia="Times New Roman" w:hAnsiTheme="minorHAnsi" w:cs="Calibri"/>
          <w:lang w:val="pt-PT"/>
        </w:rPr>
        <w:t xml:space="preserve"> Todos os empreiteiros e outras empresas com trabalhadores envolvidos no </w:t>
      </w:r>
      <w:proofErr w:type="spellStart"/>
      <w:r w:rsidR="007C62C5" w:rsidRPr="00292532">
        <w:rPr>
          <w:rFonts w:asciiTheme="minorHAnsi" w:eastAsia="Times New Roman" w:hAnsiTheme="minorHAnsi" w:cs="Calibri"/>
          <w:lang w:val="pt-PT"/>
        </w:rPr>
        <w:t>Projecto</w:t>
      </w:r>
      <w:proofErr w:type="spellEnd"/>
      <w:r w:rsidR="007C62C5" w:rsidRPr="00292532">
        <w:rPr>
          <w:rFonts w:asciiTheme="minorHAnsi" w:eastAsia="Times New Roman" w:hAnsiTheme="minorHAnsi" w:cs="Calibri"/>
          <w:lang w:val="pt-PT"/>
        </w:rPr>
        <w:t xml:space="preserve"> deverão dispor de um interno sincronizado com o Mecanismo de Gestão de Reclamações (MGR) do </w:t>
      </w:r>
      <w:proofErr w:type="spellStart"/>
      <w:r w:rsidR="007C62C5" w:rsidRPr="00292532">
        <w:rPr>
          <w:rFonts w:asciiTheme="minorHAnsi" w:eastAsia="Times New Roman" w:hAnsiTheme="minorHAnsi" w:cs="Calibri"/>
          <w:lang w:val="pt-PT"/>
        </w:rPr>
        <w:t>Projecto</w:t>
      </w:r>
      <w:proofErr w:type="spellEnd"/>
      <w:r w:rsidR="007C62C5" w:rsidRPr="00292532">
        <w:rPr>
          <w:rFonts w:asciiTheme="minorHAnsi" w:eastAsia="Times New Roman" w:hAnsiTheme="minorHAnsi" w:cs="Calibri"/>
          <w:lang w:val="pt-PT"/>
        </w:rPr>
        <w:t xml:space="preserve"> proposto neste anexo. No   Apêndice A deste anexo é proposto o Guia de operacionalização do MGR para trabalhadores.</w:t>
      </w:r>
      <w:r w:rsidR="009757BD" w:rsidRPr="00292532">
        <w:rPr>
          <w:rFonts w:asciiTheme="minorHAnsi" w:eastAsia="Times New Roman" w:hAnsiTheme="minorHAnsi" w:cs="Calibri"/>
          <w:lang w:val="pt-PT"/>
        </w:rPr>
        <w:t xml:space="preserve"> Este </w:t>
      </w:r>
      <w:r w:rsidR="009C3E6E" w:rsidRPr="00292532">
        <w:rPr>
          <w:rFonts w:asciiTheme="minorHAnsi" w:eastAsia="Times New Roman" w:hAnsiTheme="minorHAnsi" w:cs="Calibri"/>
          <w:lang w:val="pt-PT"/>
        </w:rPr>
        <w:t>M</w:t>
      </w:r>
      <w:r w:rsidR="007C62C5" w:rsidRPr="00292532">
        <w:rPr>
          <w:rFonts w:asciiTheme="minorHAnsi" w:eastAsia="Times New Roman" w:hAnsiTheme="minorHAnsi" w:cs="Calibri"/>
          <w:lang w:val="pt-PT"/>
        </w:rPr>
        <w:t>G</w:t>
      </w:r>
      <w:r w:rsidR="009C3E6E" w:rsidRPr="00292532">
        <w:rPr>
          <w:rFonts w:asciiTheme="minorHAnsi" w:eastAsia="Times New Roman" w:hAnsiTheme="minorHAnsi" w:cs="Calibri"/>
          <w:lang w:val="pt-PT"/>
        </w:rPr>
        <w:t>R</w:t>
      </w:r>
      <w:r w:rsidR="007C62C5" w:rsidRPr="00292532">
        <w:rPr>
          <w:rFonts w:asciiTheme="minorHAnsi" w:eastAsia="Times New Roman" w:hAnsiTheme="minorHAnsi" w:cs="Calibri"/>
          <w:lang w:val="pt-PT"/>
        </w:rPr>
        <w:t xml:space="preserve"> </w:t>
      </w:r>
      <w:r w:rsidR="007C62C5" w:rsidRPr="00292532">
        <w:rPr>
          <w:rFonts w:asciiTheme="minorHAnsi" w:eastAsia="Times New Roman" w:hAnsiTheme="minorHAnsi" w:cs="Calibri"/>
          <w:lang w:val="pt-PT"/>
        </w:rPr>
        <w:lastRenderedPageBreak/>
        <w:t>apresenta</w:t>
      </w:r>
      <w:r w:rsidRPr="00292532">
        <w:rPr>
          <w:rFonts w:asciiTheme="minorHAnsi" w:eastAsia="Times New Roman" w:hAnsiTheme="minorHAnsi" w:cs="Calibri"/>
          <w:lang w:val="pt-PT"/>
        </w:rPr>
        <w:t xml:space="preserve"> </w:t>
      </w:r>
      <w:r w:rsidR="009757BD" w:rsidRPr="00292532">
        <w:rPr>
          <w:rFonts w:asciiTheme="minorHAnsi" w:eastAsia="Times New Roman" w:hAnsiTheme="minorHAnsi" w:cs="Calibri"/>
          <w:lang w:val="pt-PT"/>
        </w:rPr>
        <w:t xml:space="preserve">mecanismos bem claros sobre a necessidade de notificar imediatamente o Banco Mundial em caso de reclamações ou queixas. </w:t>
      </w:r>
    </w:p>
    <w:p w14:paraId="14D70ADA" w14:textId="443B9BE4" w:rsidR="009757BD" w:rsidRPr="00292532" w:rsidRDefault="00954266" w:rsidP="009542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rPr>
          <w:rFonts w:asciiTheme="minorHAnsi" w:eastAsia="Times New Roman" w:hAnsiTheme="minorHAnsi" w:cs="Calibri"/>
          <w:lang w:val="pt-PT"/>
        </w:rPr>
      </w:pPr>
      <w:r w:rsidRPr="00292532">
        <w:rPr>
          <w:rFonts w:asciiTheme="minorHAnsi" w:eastAsia="Times New Roman" w:hAnsiTheme="minorHAnsi" w:cs="Calibri"/>
          <w:lang w:val="pt-PT"/>
        </w:rPr>
        <w:tab/>
        <w:t xml:space="preserve"> </w:t>
      </w:r>
    </w:p>
    <w:p w14:paraId="4A982620" w14:textId="76031831" w:rsidR="009757BD" w:rsidRPr="00292532" w:rsidRDefault="00F83E37" w:rsidP="00941934">
      <w:pPr>
        <w:pStyle w:val="Heading2"/>
      </w:pPr>
      <w:bookmarkStart w:id="477" w:name="_Toc80379780"/>
      <w:bookmarkStart w:id="478" w:name="_Toc80380077"/>
      <w:bookmarkStart w:id="479" w:name="_Toc80380078"/>
      <w:bookmarkEnd w:id="477"/>
      <w:bookmarkEnd w:id="478"/>
      <w:r>
        <w:t>Monitoria e Relatórios</w:t>
      </w:r>
      <w:bookmarkEnd w:id="479"/>
    </w:p>
    <w:p w14:paraId="49FB63BB" w14:textId="173DBE2A" w:rsidR="009757BD" w:rsidRPr="00292532" w:rsidRDefault="009757BD" w:rsidP="00753DC0">
      <w:pPr>
        <w:spacing w:before="0"/>
        <w:rPr>
          <w:rFonts w:asciiTheme="minorHAnsi" w:eastAsia="Calibri" w:hAnsiTheme="minorHAnsi" w:cs="Times New Roman"/>
          <w:lang w:val="pt-PT"/>
        </w:rPr>
      </w:pPr>
      <w:r w:rsidRPr="00292532">
        <w:rPr>
          <w:rFonts w:asciiTheme="minorHAnsi" w:eastAsia="Calibri" w:hAnsiTheme="minorHAnsi" w:cs="Times New Roman"/>
          <w:lang w:val="pt-PT"/>
        </w:rPr>
        <w:t>Os especialistas em salvaguardas ambientais e sociais da UIP</w:t>
      </w:r>
      <w:r w:rsidR="00793BC1" w:rsidRPr="00292532">
        <w:rPr>
          <w:rFonts w:asciiTheme="minorHAnsi" w:eastAsia="Calibri" w:hAnsiTheme="minorHAnsi" w:cs="Times New Roman"/>
          <w:lang w:val="pt-PT"/>
        </w:rPr>
        <w:t>/AIAS</w:t>
      </w:r>
      <w:r w:rsidR="00CA52F1" w:rsidRPr="00292532">
        <w:rPr>
          <w:rFonts w:asciiTheme="minorHAnsi" w:eastAsia="Calibri" w:hAnsiTheme="minorHAnsi" w:cs="Times New Roman"/>
          <w:lang w:val="pt-PT"/>
        </w:rPr>
        <w:t xml:space="preserve"> e da UIP/DNAAS</w:t>
      </w:r>
      <w:r w:rsidRPr="00292532">
        <w:rPr>
          <w:rFonts w:asciiTheme="minorHAnsi" w:eastAsia="Calibri" w:hAnsiTheme="minorHAnsi" w:cs="Times New Roman"/>
          <w:lang w:val="pt-PT"/>
        </w:rPr>
        <w:t xml:space="preserve"> serão responsáveis por coordenar e monitorar a implementação do PEPI junto as partes interessadas e será realizado trimestralmente. Poderá ser contratada a monitoria externa do PEPI que será feita juntamente com o monitoramento do </w:t>
      </w:r>
      <w:proofErr w:type="spellStart"/>
      <w:r w:rsidRPr="00292532">
        <w:rPr>
          <w:rFonts w:asciiTheme="minorHAnsi" w:eastAsia="Calibri" w:hAnsiTheme="minorHAnsi" w:cs="Times New Roman"/>
          <w:lang w:val="pt-PT"/>
        </w:rPr>
        <w:t>Projecto</w:t>
      </w:r>
      <w:proofErr w:type="spellEnd"/>
      <w:r w:rsidRPr="00292532">
        <w:rPr>
          <w:rFonts w:asciiTheme="minorHAnsi" w:eastAsia="Calibri" w:hAnsiTheme="minorHAnsi" w:cs="Times New Roman"/>
          <w:lang w:val="pt-PT"/>
        </w:rPr>
        <w:t xml:space="preserve"> numa base mínima anual. </w:t>
      </w:r>
      <w:r w:rsidR="00793BC1" w:rsidRPr="00292532">
        <w:rPr>
          <w:rFonts w:asciiTheme="minorHAnsi" w:eastAsia="Calibri" w:hAnsiTheme="minorHAnsi" w:cs="Times New Roman"/>
          <w:lang w:val="pt-PT"/>
        </w:rPr>
        <w:t>A</w:t>
      </w:r>
      <w:r w:rsidRPr="00292532">
        <w:rPr>
          <w:rFonts w:asciiTheme="minorHAnsi" w:eastAsia="Calibri" w:hAnsiTheme="minorHAnsi" w:cs="Times New Roman"/>
          <w:lang w:val="pt-PT"/>
        </w:rPr>
        <w:t xml:space="preserve"> monitoria deve ser um processo contínuo</w:t>
      </w:r>
      <w:r w:rsidR="00793BC1" w:rsidRPr="00292532">
        <w:rPr>
          <w:rFonts w:asciiTheme="minorHAnsi" w:eastAsia="Calibri" w:hAnsiTheme="minorHAnsi" w:cs="Times New Roman"/>
          <w:lang w:val="pt-PT"/>
        </w:rPr>
        <w:t xml:space="preserve"> e</w:t>
      </w:r>
      <w:r w:rsidRPr="00292532">
        <w:rPr>
          <w:rFonts w:asciiTheme="minorHAnsi" w:eastAsia="Calibri" w:hAnsiTheme="minorHAnsi" w:cs="Times New Roman"/>
          <w:lang w:val="pt-PT"/>
        </w:rPr>
        <w:t xml:space="preserve"> deve estar alinhado com os </w:t>
      </w:r>
      <w:proofErr w:type="spellStart"/>
      <w:r w:rsidRPr="00292532">
        <w:rPr>
          <w:rFonts w:asciiTheme="minorHAnsi" w:eastAsia="Calibri" w:hAnsiTheme="minorHAnsi" w:cs="Times New Roman"/>
          <w:lang w:val="pt-PT"/>
        </w:rPr>
        <w:t>obje</w:t>
      </w:r>
      <w:r w:rsidR="00814D42" w:rsidRPr="00292532">
        <w:rPr>
          <w:rFonts w:asciiTheme="minorHAnsi" w:eastAsia="Calibri" w:hAnsiTheme="minorHAnsi" w:cs="Times New Roman"/>
          <w:lang w:val="pt-PT"/>
        </w:rPr>
        <w:t>c</w:t>
      </w:r>
      <w:r w:rsidRPr="00292532">
        <w:rPr>
          <w:rFonts w:asciiTheme="minorHAnsi" w:eastAsia="Calibri" w:hAnsiTheme="minorHAnsi" w:cs="Times New Roman"/>
          <w:lang w:val="pt-PT"/>
        </w:rPr>
        <w:t>tivos</w:t>
      </w:r>
      <w:proofErr w:type="spellEnd"/>
      <w:r w:rsidRPr="00292532">
        <w:rPr>
          <w:rFonts w:asciiTheme="minorHAnsi" w:eastAsia="Calibri" w:hAnsiTheme="minorHAnsi" w:cs="Times New Roman"/>
          <w:lang w:val="pt-PT"/>
        </w:rPr>
        <w:t xml:space="preserve"> PEPI. </w:t>
      </w:r>
    </w:p>
    <w:p w14:paraId="4C2DC90F" w14:textId="77777777" w:rsidR="009757BD" w:rsidRPr="00292532" w:rsidRDefault="009757BD" w:rsidP="00753DC0">
      <w:pPr>
        <w:spacing w:before="0"/>
        <w:rPr>
          <w:rFonts w:asciiTheme="minorHAnsi" w:eastAsia="Calibri" w:hAnsiTheme="minorHAnsi" w:cs="Times New Roman"/>
          <w:lang w:val="pt-PT"/>
        </w:rPr>
      </w:pPr>
      <w:r w:rsidRPr="00292532">
        <w:rPr>
          <w:rFonts w:asciiTheme="minorHAnsi" w:eastAsia="Calibri" w:hAnsiTheme="minorHAnsi" w:cs="Times New Roman"/>
          <w:lang w:val="pt-PT"/>
        </w:rPr>
        <w:t xml:space="preserve">O </w:t>
      </w:r>
      <w:proofErr w:type="spellStart"/>
      <w:r w:rsidRPr="00292532">
        <w:rPr>
          <w:rFonts w:asciiTheme="minorHAnsi" w:eastAsia="Calibri" w:hAnsiTheme="minorHAnsi" w:cs="Times New Roman"/>
          <w:lang w:val="pt-PT"/>
        </w:rPr>
        <w:t>objectivo</w:t>
      </w:r>
      <w:proofErr w:type="spellEnd"/>
      <w:r w:rsidRPr="00292532">
        <w:rPr>
          <w:rFonts w:asciiTheme="minorHAnsi" w:eastAsia="Calibri" w:hAnsiTheme="minorHAnsi" w:cs="Times New Roman"/>
          <w:lang w:val="pt-PT"/>
        </w:rPr>
        <w:t xml:space="preserve"> geral do processo de monitoria é o de garantir que todas as </w:t>
      </w:r>
      <w:proofErr w:type="spellStart"/>
      <w:r w:rsidRPr="00292532">
        <w:rPr>
          <w:rFonts w:asciiTheme="minorHAnsi" w:eastAsia="Calibri" w:hAnsiTheme="minorHAnsi" w:cs="Times New Roman"/>
          <w:lang w:val="pt-PT"/>
        </w:rPr>
        <w:t>actividades</w:t>
      </w:r>
      <w:proofErr w:type="spellEnd"/>
      <w:r w:rsidRPr="00292532">
        <w:rPr>
          <w:rFonts w:asciiTheme="minorHAnsi" w:eastAsia="Calibri" w:hAnsiTheme="minorHAnsi" w:cs="Times New Roman"/>
          <w:lang w:val="pt-PT"/>
        </w:rPr>
        <w:t xml:space="preserve"> previstas para o engajamento e envolvimento das PIAS no </w:t>
      </w:r>
      <w:proofErr w:type="spellStart"/>
      <w:r w:rsidRPr="00292532">
        <w:rPr>
          <w:rFonts w:asciiTheme="minorHAnsi" w:eastAsia="Calibri" w:hAnsiTheme="minorHAnsi" w:cs="Times New Roman"/>
          <w:lang w:val="pt-PT"/>
        </w:rPr>
        <w:t>projecto</w:t>
      </w:r>
      <w:proofErr w:type="spellEnd"/>
      <w:r w:rsidRPr="00292532">
        <w:rPr>
          <w:rFonts w:asciiTheme="minorHAnsi" w:eastAsia="Calibri" w:hAnsiTheme="minorHAnsi" w:cs="Times New Roman"/>
          <w:lang w:val="pt-PT"/>
        </w:rPr>
        <w:t xml:space="preserve"> sejam cumpridas e verificadas a todos os níveis e fases do ciclo de implementação do </w:t>
      </w:r>
      <w:proofErr w:type="spellStart"/>
      <w:r w:rsidRPr="00292532">
        <w:rPr>
          <w:rFonts w:asciiTheme="minorHAnsi" w:eastAsia="Calibri" w:hAnsiTheme="minorHAnsi" w:cs="Times New Roman"/>
          <w:lang w:val="pt-PT"/>
        </w:rPr>
        <w:t>projecto</w:t>
      </w:r>
      <w:proofErr w:type="spellEnd"/>
      <w:r w:rsidRPr="00292532">
        <w:rPr>
          <w:rFonts w:asciiTheme="minorHAnsi" w:eastAsia="Calibri" w:hAnsiTheme="minorHAnsi" w:cs="Times New Roman"/>
          <w:lang w:val="pt-PT"/>
        </w:rPr>
        <w:t xml:space="preserve">. Os </w:t>
      </w:r>
      <w:proofErr w:type="spellStart"/>
      <w:r w:rsidRPr="00292532">
        <w:rPr>
          <w:rFonts w:asciiTheme="minorHAnsi" w:eastAsia="Calibri" w:hAnsiTheme="minorHAnsi" w:cs="Times New Roman"/>
          <w:lang w:val="pt-PT"/>
        </w:rPr>
        <w:t>objectivos</w:t>
      </w:r>
      <w:proofErr w:type="spellEnd"/>
      <w:r w:rsidRPr="00292532">
        <w:rPr>
          <w:rFonts w:asciiTheme="minorHAnsi" w:eastAsia="Calibri" w:hAnsiTheme="minorHAnsi" w:cs="Times New Roman"/>
          <w:lang w:val="pt-PT"/>
        </w:rPr>
        <w:t xml:space="preserve"> específicos de monitoria incluem:</w:t>
      </w:r>
    </w:p>
    <w:p w14:paraId="13873345" w14:textId="77777777" w:rsidR="009757BD" w:rsidRPr="00292532" w:rsidRDefault="009757BD" w:rsidP="00AE14AE">
      <w:pPr>
        <w:numPr>
          <w:ilvl w:val="0"/>
          <w:numId w:val="110"/>
        </w:numPr>
        <w:spacing w:before="0"/>
        <w:contextualSpacing/>
        <w:jc w:val="left"/>
        <w:rPr>
          <w:rFonts w:asciiTheme="minorHAnsi" w:eastAsia="Calibri" w:hAnsiTheme="minorHAnsi" w:cs="Times New Roman"/>
          <w:lang w:val="pt-PT"/>
        </w:rPr>
      </w:pPr>
      <w:r w:rsidRPr="00292532">
        <w:rPr>
          <w:rFonts w:asciiTheme="minorHAnsi" w:eastAsia="Calibri" w:hAnsiTheme="minorHAnsi" w:cs="Times New Roman"/>
          <w:lang w:val="pt-PT"/>
        </w:rPr>
        <w:t xml:space="preserve">Garantir que são implementados e controlados os critérios de engajamento das </w:t>
      </w:r>
      <w:proofErr w:type="spellStart"/>
      <w:r w:rsidRPr="00292532">
        <w:rPr>
          <w:rFonts w:asciiTheme="minorHAnsi" w:eastAsia="Calibri" w:hAnsiTheme="minorHAnsi" w:cs="Times New Roman"/>
          <w:lang w:val="pt-PT"/>
        </w:rPr>
        <w:t>PIAs</w:t>
      </w:r>
      <w:proofErr w:type="spellEnd"/>
      <w:r w:rsidRPr="00292532">
        <w:rPr>
          <w:rFonts w:asciiTheme="minorHAnsi" w:eastAsia="Calibri" w:hAnsiTheme="minorHAnsi" w:cs="Times New Roman"/>
          <w:lang w:val="pt-PT"/>
        </w:rPr>
        <w:t xml:space="preserve"> definidos neste PEPI.</w:t>
      </w:r>
    </w:p>
    <w:p w14:paraId="44C6AA58" w14:textId="77777777" w:rsidR="009757BD" w:rsidRPr="00292532" w:rsidRDefault="009757BD" w:rsidP="00AE14AE">
      <w:pPr>
        <w:numPr>
          <w:ilvl w:val="0"/>
          <w:numId w:val="110"/>
        </w:numPr>
        <w:spacing w:before="0"/>
        <w:contextualSpacing/>
        <w:jc w:val="left"/>
        <w:rPr>
          <w:rFonts w:asciiTheme="minorHAnsi" w:eastAsia="Calibri" w:hAnsiTheme="minorHAnsi" w:cs="Times New Roman"/>
          <w:lang w:val="pt-PT"/>
        </w:rPr>
      </w:pPr>
      <w:r w:rsidRPr="00292532">
        <w:rPr>
          <w:rFonts w:asciiTheme="minorHAnsi" w:eastAsia="Calibri" w:hAnsiTheme="minorHAnsi" w:cs="Times New Roman"/>
          <w:lang w:val="pt-PT"/>
        </w:rPr>
        <w:t xml:space="preserve">Fornecer orientação para o envolvimento das </w:t>
      </w:r>
      <w:proofErr w:type="spellStart"/>
      <w:r w:rsidRPr="00292532">
        <w:rPr>
          <w:rFonts w:asciiTheme="minorHAnsi" w:eastAsia="Calibri" w:hAnsiTheme="minorHAnsi" w:cs="Times New Roman"/>
          <w:lang w:val="pt-PT"/>
        </w:rPr>
        <w:t>PIAs</w:t>
      </w:r>
      <w:proofErr w:type="spellEnd"/>
      <w:r w:rsidRPr="00292532">
        <w:rPr>
          <w:rFonts w:asciiTheme="minorHAnsi" w:eastAsia="Calibri" w:hAnsiTheme="minorHAnsi" w:cs="Times New Roman"/>
          <w:lang w:val="pt-PT"/>
        </w:rPr>
        <w:t xml:space="preserve"> tendo em conta os padrões previstos nas Políticas de Salvaguardas do BM e na legislação moçambicana aplicável.</w:t>
      </w:r>
    </w:p>
    <w:p w14:paraId="1481C85D" w14:textId="77777777" w:rsidR="009757BD" w:rsidRPr="00292532" w:rsidRDefault="009757BD" w:rsidP="00AE14AE">
      <w:pPr>
        <w:numPr>
          <w:ilvl w:val="0"/>
          <w:numId w:val="110"/>
        </w:numPr>
        <w:spacing w:before="0"/>
        <w:contextualSpacing/>
        <w:jc w:val="left"/>
        <w:rPr>
          <w:rFonts w:asciiTheme="minorHAnsi" w:eastAsia="Calibri" w:hAnsiTheme="minorHAnsi" w:cs="Times New Roman"/>
          <w:lang w:val="pt-PT"/>
        </w:rPr>
      </w:pPr>
      <w:r w:rsidRPr="00292532">
        <w:rPr>
          <w:rFonts w:asciiTheme="minorHAnsi" w:eastAsia="Calibri" w:hAnsiTheme="minorHAnsi" w:cs="Times New Roman"/>
          <w:lang w:val="pt-PT"/>
        </w:rPr>
        <w:t xml:space="preserve">Verificar a identificação e distinguir as categorias de </w:t>
      </w:r>
      <w:proofErr w:type="spellStart"/>
      <w:r w:rsidRPr="00292532">
        <w:rPr>
          <w:rFonts w:asciiTheme="minorHAnsi" w:eastAsia="Calibri" w:hAnsiTheme="minorHAnsi" w:cs="Times New Roman"/>
          <w:lang w:val="pt-PT"/>
        </w:rPr>
        <w:t>PIAs</w:t>
      </w:r>
      <w:proofErr w:type="spellEnd"/>
      <w:r w:rsidRPr="00292532">
        <w:rPr>
          <w:rFonts w:asciiTheme="minorHAnsi" w:eastAsia="Calibri" w:hAnsiTheme="minorHAnsi" w:cs="Times New Roman"/>
          <w:lang w:val="pt-PT"/>
        </w:rPr>
        <w:t xml:space="preserve"> </w:t>
      </w:r>
      <w:proofErr w:type="spellStart"/>
      <w:r w:rsidRPr="00292532">
        <w:rPr>
          <w:rFonts w:asciiTheme="minorHAnsi" w:eastAsia="Calibri" w:hAnsiTheme="minorHAnsi" w:cs="Times New Roman"/>
          <w:lang w:val="pt-PT"/>
        </w:rPr>
        <w:t>afectadas</w:t>
      </w:r>
      <w:proofErr w:type="spellEnd"/>
      <w:r w:rsidRPr="00292532">
        <w:rPr>
          <w:rFonts w:asciiTheme="minorHAnsi" w:eastAsia="Calibri" w:hAnsiTheme="minorHAnsi" w:cs="Times New Roman"/>
          <w:lang w:val="pt-PT"/>
        </w:rPr>
        <w:t xml:space="preserve"> e que podem influenciar o </w:t>
      </w:r>
      <w:proofErr w:type="spellStart"/>
      <w:r w:rsidRPr="00292532">
        <w:rPr>
          <w:rFonts w:asciiTheme="minorHAnsi" w:eastAsia="Calibri" w:hAnsiTheme="minorHAnsi" w:cs="Times New Roman"/>
          <w:lang w:val="pt-PT"/>
        </w:rPr>
        <w:t>projecto</w:t>
      </w:r>
      <w:proofErr w:type="spellEnd"/>
      <w:r w:rsidRPr="00292532">
        <w:rPr>
          <w:rFonts w:asciiTheme="minorHAnsi" w:eastAsia="Calibri" w:hAnsiTheme="minorHAnsi" w:cs="Times New Roman"/>
          <w:lang w:val="pt-PT"/>
        </w:rPr>
        <w:t>.</w:t>
      </w:r>
    </w:p>
    <w:p w14:paraId="51F05BD2" w14:textId="5877AA18" w:rsidR="009757BD" w:rsidRPr="00292532" w:rsidRDefault="009757BD" w:rsidP="00AE14AE">
      <w:pPr>
        <w:numPr>
          <w:ilvl w:val="0"/>
          <w:numId w:val="110"/>
        </w:numPr>
        <w:spacing w:before="0"/>
        <w:contextualSpacing/>
        <w:jc w:val="left"/>
        <w:rPr>
          <w:rFonts w:asciiTheme="minorHAnsi" w:eastAsia="Calibri" w:hAnsiTheme="minorHAnsi" w:cs="Times New Roman"/>
          <w:lang w:val="pt-PT"/>
        </w:rPr>
      </w:pPr>
      <w:r w:rsidRPr="00292532">
        <w:rPr>
          <w:rFonts w:asciiTheme="minorHAnsi" w:eastAsia="Calibri" w:hAnsiTheme="minorHAnsi" w:cs="Times New Roman"/>
          <w:lang w:val="pt-PT"/>
        </w:rPr>
        <w:t xml:space="preserve">Verificar a </w:t>
      </w:r>
      <w:proofErr w:type="spellStart"/>
      <w:r w:rsidRPr="00292532">
        <w:rPr>
          <w:rFonts w:asciiTheme="minorHAnsi" w:eastAsia="Calibri" w:hAnsiTheme="minorHAnsi" w:cs="Times New Roman"/>
          <w:lang w:val="pt-PT"/>
        </w:rPr>
        <w:t>efectividade</w:t>
      </w:r>
      <w:proofErr w:type="spellEnd"/>
      <w:r w:rsidRPr="00292532">
        <w:rPr>
          <w:rFonts w:asciiTheme="minorHAnsi" w:eastAsia="Calibri" w:hAnsiTheme="minorHAnsi" w:cs="Times New Roman"/>
          <w:lang w:val="pt-PT"/>
        </w:rPr>
        <w:t xml:space="preserve"> dos métodos e alcance dos meios usados para disseminação de informação do </w:t>
      </w:r>
      <w:proofErr w:type="spellStart"/>
      <w:r w:rsidRPr="00292532">
        <w:rPr>
          <w:rFonts w:asciiTheme="minorHAnsi" w:eastAsia="Calibri" w:hAnsiTheme="minorHAnsi" w:cs="Times New Roman"/>
          <w:lang w:val="pt-PT"/>
        </w:rPr>
        <w:t>projecto</w:t>
      </w:r>
      <w:proofErr w:type="spellEnd"/>
      <w:r w:rsidRPr="00292532">
        <w:rPr>
          <w:rFonts w:asciiTheme="minorHAnsi" w:eastAsia="Calibri" w:hAnsiTheme="minorHAnsi" w:cs="Times New Roman"/>
          <w:lang w:val="pt-PT"/>
        </w:rPr>
        <w:t xml:space="preserve"> e engajamento das </w:t>
      </w:r>
      <w:proofErr w:type="spellStart"/>
      <w:r w:rsidRPr="00292532">
        <w:rPr>
          <w:rFonts w:asciiTheme="minorHAnsi" w:eastAsia="Calibri" w:hAnsiTheme="minorHAnsi" w:cs="Times New Roman"/>
          <w:lang w:val="pt-PT"/>
        </w:rPr>
        <w:t>PIA</w:t>
      </w:r>
      <w:r w:rsidR="00F83E37">
        <w:rPr>
          <w:rFonts w:asciiTheme="minorHAnsi" w:eastAsia="Calibri" w:hAnsiTheme="minorHAnsi" w:cs="Times New Roman"/>
          <w:lang w:val="pt-PT"/>
        </w:rPr>
        <w:t>s</w:t>
      </w:r>
      <w:proofErr w:type="spellEnd"/>
      <w:r w:rsidRPr="00292532">
        <w:rPr>
          <w:rFonts w:asciiTheme="minorHAnsi" w:eastAsia="Calibri" w:hAnsiTheme="minorHAnsi" w:cs="Times New Roman"/>
          <w:lang w:val="pt-PT"/>
        </w:rPr>
        <w:t>.</w:t>
      </w:r>
    </w:p>
    <w:p w14:paraId="0CFF5E6F" w14:textId="77777777" w:rsidR="009757BD" w:rsidRPr="00292532" w:rsidRDefault="009757BD" w:rsidP="00AE14AE">
      <w:pPr>
        <w:numPr>
          <w:ilvl w:val="0"/>
          <w:numId w:val="110"/>
        </w:numPr>
        <w:spacing w:before="0"/>
        <w:contextualSpacing/>
        <w:jc w:val="left"/>
        <w:rPr>
          <w:rFonts w:asciiTheme="minorHAnsi" w:eastAsia="Calibri" w:hAnsiTheme="minorHAnsi" w:cs="Times New Roman"/>
          <w:lang w:val="pt-PT"/>
        </w:rPr>
      </w:pPr>
      <w:r w:rsidRPr="00292532">
        <w:rPr>
          <w:rFonts w:asciiTheme="minorHAnsi" w:eastAsia="Calibri" w:hAnsiTheme="minorHAnsi" w:cs="Times New Roman"/>
          <w:lang w:val="pt-PT"/>
        </w:rPr>
        <w:t xml:space="preserve">Monitorar o envolvimento dos grupos vulneráveis na disseminação da informação do </w:t>
      </w:r>
      <w:proofErr w:type="spellStart"/>
      <w:r w:rsidRPr="00292532">
        <w:rPr>
          <w:rFonts w:asciiTheme="minorHAnsi" w:eastAsia="Calibri" w:hAnsiTheme="minorHAnsi" w:cs="Times New Roman"/>
          <w:lang w:val="pt-PT"/>
        </w:rPr>
        <w:t>projecto</w:t>
      </w:r>
      <w:proofErr w:type="spellEnd"/>
      <w:r w:rsidRPr="00292532">
        <w:rPr>
          <w:rFonts w:asciiTheme="minorHAnsi" w:eastAsia="Calibri" w:hAnsiTheme="minorHAnsi" w:cs="Times New Roman"/>
          <w:lang w:val="pt-PT"/>
        </w:rPr>
        <w:t xml:space="preserve"> e no processo de engajamentos.</w:t>
      </w:r>
    </w:p>
    <w:p w14:paraId="3BD68551" w14:textId="551BF05E" w:rsidR="009757BD" w:rsidRPr="00292532" w:rsidRDefault="009757BD" w:rsidP="00AE14AE">
      <w:pPr>
        <w:numPr>
          <w:ilvl w:val="0"/>
          <w:numId w:val="110"/>
        </w:numPr>
        <w:spacing w:before="0"/>
        <w:contextualSpacing/>
        <w:jc w:val="left"/>
        <w:rPr>
          <w:rFonts w:asciiTheme="minorHAnsi" w:eastAsia="Calibri" w:hAnsiTheme="minorHAnsi" w:cs="Times New Roman"/>
          <w:lang w:val="pt-PT"/>
        </w:rPr>
      </w:pPr>
      <w:r w:rsidRPr="00292532">
        <w:rPr>
          <w:rFonts w:asciiTheme="minorHAnsi" w:eastAsia="Calibri" w:hAnsiTheme="minorHAnsi" w:cs="Times New Roman"/>
          <w:lang w:val="pt-PT"/>
        </w:rPr>
        <w:t xml:space="preserve">Monitorar a cumprimento de conformidade dos mecanismos de engajamento com padrões culturais e sociais das </w:t>
      </w:r>
      <w:proofErr w:type="spellStart"/>
      <w:r w:rsidRPr="00292532">
        <w:rPr>
          <w:rFonts w:asciiTheme="minorHAnsi" w:eastAsia="Calibri" w:hAnsiTheme="minorHAnsi" w:cs="Times New Roman"/>
          <w:lang w:val="pt-PT"/>
        </w:rPr>
        <w:t>PIAs</w:t>
      </w:r>
      <w:proofErr w:type="spellEnd"/>
      <w:r w:rsidRPr="00292532">
        <w:rPr>
          <w:rFonts w:asciiTheme="minorHAnsi" w:eastAsia="Calibri" w:hAnsiTheme="minorHAnsi" w:cs="Times New Roman"/>
          <w:lang w:val="pt-PT"/>
        </w:rPr>
        <w:t>.</w:t>
      </w:r>
    </w:p>
    <w:p w14:paraId="1CB9CC6D" w14:textId="77777777" w:rsidR="007A5843" w:rsidRPr="00292532" w:rsidRDefault="007A5843" w:rsidP="004500AE">
      <w:pPr>
        <w:spacing w:before="0"/>
        <w:ind w:left="720"/>
        <w:contextualSpacing/>
        <w:jc w:val="left"/>
        <w:rPr>
          <w:rFonts w:asciiTheme="minorHAnsi" w:eastAsia="Calibri" w:hAnsiTheme="minorHAnsi" w:cs="Times New Roman"/>
          <w:lang w:val="pt-PT"/>
        </w:rPr>
      </w:pPr>
    </w:p>
    <w:p w14:paraId="285F3D00" w14:textId="6E4C131E" w:rsidR="00BD18C5" w:rsidRPr="00292532" w:rsidRDefault="009757BD" w:rsidP="00753DC0">
      <w:pPr>
        <w:spacing w:before="0"/>
        <w:rPr>
          <w:rFonts w:asciiTheme="minorHAnsi" w:eastAsia="Calibri" w:hAnsiTheme="minorHAnsi" w:cs="Times New Roman"/>
          <w:lang w:val="pt-PT"/>
        </w:rPr>
      </w:pPr>
      <w:r w:rsidRPr="00292532">
        <w:rPr>
          <w:rFonts w:asciiTheme="minorHAnsi" w:eastAsia="Calibri" w:hAnsiTheme="minorHAnsi" w:cs="Times New Roman"/>
          <w:lang w:val="pt-PT"/>
        </w:rPr>
        <w:t xml:space="preserve">O relatório de monitoria será baseado num conjunto de indicadores que devem ser relatados, de forma regular, especificamente definidos na tabela abaixo, que serão integrados </w:t>
      </w:r>
      <w:r w:rsidR="007A5843" w:rsidRPr="00292532">
        <w:rPr>
          <w:rFonts w:asciiTheme="minorHAnsi" w:eastAsia="Calibri" w:hAnsiTheme="minorHAnsi" w:cs="Times New Roman"/>
          <w:lang w:val="pt-PT"/>
        </w:rPr>
        <w:t>nos relatórios de progresso</w:t>
      </w:r>
      <w:r w:rsidR="00BD18C5" w:rsidRPr="00292532">
        <w:rPr>
          <w:rFonts w:asciiTheme="minorHAnsi" w:eastAsia="Calibri" w:hAnsiTheme="minorHAnsi" w:cs="Times New Roman"/>
          <w:lang w:val="pt-PT"/>
        </w:rPr>
        <w:t>.</w:t>
      </w:r>
    </w:p>
    <w:p w14:paraId="5AE8985B" w14:textId="3A966DBD" w:rsidR="009757BD" w:rsidRPr="00292532" w:rsidRDefault="00C25AEB">
      <w:pPr>
        <w:pStyle w:val="Caption"/>
      </w:pPr>
      <w:bookmarkStart w:id="480" w:name="_Toc71892311"/>
      <w:bookmarkStart w:id="481" w:name="_Toc75438171"/>
      <w:bookmarkStart w:id="482" w:name="_Toc80380283"/>
      <w:bookmarkStart w:id="483" w:name="_Hlk73974111"/>
      <w:r w:rsidRPr="00292532">
        <w:t xml:space="preserve">Tabela </w:t>
      </w:r>
      <w:r w:rsidRPr="00292532">
        <w:fldChar w:fldCharType="begin"/>
      </w:r>
      <w:r w:rsidRPr="00292532">
        <w:instrText xml:space="preserve"> SEQ Tabela \* ARABIC </w:instrText>
      </w:r>
      <w:r w:rsidRPr="00292532">
        <w:fldChar w:fldCharType="separate"/>
      </w:r>
      <w:r w:rsidR="00F83E37">
        <w:rPr>
          <w:noProof/>
        </w:rPr>
        <w:t>36</w:t>
      </w:r>
      <w:r w:rsidRPr="00292532">
        <w:fldChar w:fldCharType="end"/>
      </w:r>
      <w:r w:rsidR="009757BD" w:rsidRPr="00292532">
        <w:t>: Indicadores de monitoria</w:t>
      </w:r>
      <w:bookmarkEnd w:id="480"/>
      <w:bookmarkEnd w:id="481"/>
      <w:bookmarkEnd w:id="482"/>
    </w:p>
    <w:tbl>
      <w:tblPr>
        <w:tblW w:w="9440" w:type="dxa"/>
        <w:tblLook w:val="04A0" w:firstRow="1" w:lastRow="0" w:firstColumn="1" w:lastColumn="0" w:noHBand="0" w:noVBand="1"/>
      </w:tblPr>
      <w:tblGrid>
        <w:gridCol w:w="2160"/>
        <w:gridCol w:w="2300"/>
        <w:gridCol w:w="1660"/>
        <w:gridCol w:w="1660"/>
        <w:gridCol w:w="1660"/>
      </w:tblGrid>
      <w:tr w:rsidR="00AC60F1" w:rsidRPr="008D18CF" w14:paraId="260133EB" w14:textId="77777777" w:rsidTr="004500AE">
        <w:trPr>
          <w:trHeight w:val="540"/>
          <w:tblHeader/>
        </w:trPr>
        <w:tc>
          <w:tcPr>
            <w:tcW w:w="2160" w:type="dxa"/>
            <w:vMerge w:val="restart"/>
            <w:tcBorders>
              <w:top w:val="double" w:sz="6" w:space="0" w:color="auto"/>
              <w:left w:val="double" w:sz="6" w:space="0" w:color="auto"/>
              <w:bottom w:val="single" w:sz="4" w:space="0" w:color="auto"/>
              <w:right w:val="single" w:sz="4" w:space="0" w:color="auto"/>
            </w:tcBorders>
            <w:shd w:val="clear" w:color="000000" w:fill="DEEAF6"/>
            <w:noWrap/>
            <w:vAlign w:val="center"/>
            <w:hideMark/>
          </w:tcPr>
          <w:bookmarkEnd w:id="483"/>
          <w:p w14:paraId="1A5D5F9C" w14:textId="77777777" w:rsidR="00AC60F1" w:rsidRPr="004500AE" w:rsidRDefault="00AC60F1" w:rsidP="00AC60F1">
            <w:pPr>
              <w:spacing w:before="0" w:after="0"/>
              <w:jc w:val="center"/>
              <w:rPr>
                <w:rFonts w:asciiTheme="minorHAnsi" w:eastAsia="Times New Roman" w:hAnsiTheme="minorHAnsi" w:cstheme="minorHAnsi"/>
                <w:b/>
                <w:bCs/>
                <w:color w:val="000000"/>
                <w:sz w:val="18"/>
                <w:szCs w:val="18"/>
                <w:lang w:val="pt-PT"/>
              </w:rPr>
            </w:pPr>
            <w:proofErr w:type="spellStart"/>
            <w:r w:rsidRPr="004500AE">
              <w:rPr>
                <w:rFonts w:asciiTheme="minorHAnsi" w:eastAsia="Times New Roman" w:hAnsiTheme="minorHAnsi" w:cstheme="minorHAnsi"/>
                <w:b/>
                <w:bCs/>
                <w:color w:val="000000"/>
                <w:sz w:val="18"/>
                <w:szCs w:val="18"/>
                <w:lang w:val="pt-PT"/>
              </w:rPr>
              <w:t>Actividade</w:t>
            </w:r>
            <w:proofErr w:type="spellEnd"/>
          </w:p>
        </w:tc>
        <w:tc>
          <w:tcPr>
            <w:tcW w:w="2300" w:type="dxa"/>
            <w:vMerge w:val="restart"/>
            <w:tcBorders>
              <w:top w:val="double" w:sz="6" w:space="0" w:color="auto"/>
              <w:left w:val="single" w:sz="4" w:space="0" w:color="auto"/>
              <w:bottom w:val="single" w:sz="4" w:space="0" w:color="auto"/>
              <w:right w:val="single" w:sz="4" w:space="0" w:color="auto"/>
            </w:tcBorders>
            <w:shd w:val="clear" w:color="000000" w:fill="DEEAF6"/>
            <w:noWrap/>
            <w:vAlign w:val="center"/>
            <w:hideMark/>
          </w:tcPr>
          <w:p w14:paraId="0B299B1F" w14:textId="77777777" w:rsidR="00AC60F1" w:rsidRPr="004500AE" w:rsidRDefault="00AC60F1" w:rsidP="00AC60F1">
            <w:pPr>
              <w:spacing w:before="0" w:after="0"/>
              <w:jc w:val="center"/>
              <w:rPr>
                <w:rFonts w:asciiTheme="minorHAnsi" w:eastAsia="Times New Roman" w:hAnsiTheme="minorHAnsi" w:cstheme="minorHAnsi"/>
                <w:b/>
                <w:bCs/>
                <w:color w:val="000000"/>
                <w:sz w:val="18"/>
                <w:szCs w:val="18"/>
                <w:lang w:val="pt-PT"/>
              </w:rPr>
            </w:pPr>
            <w:r w:rsidRPr="004500AE">
              <w:rPr>
                <w:rFonts w:asciiTheme="minorHAnsi" w:eastAsia="Times New Roman" w:hAnsiTheme="minorHAnsi" w:cstheme="minorHAnsi"/>
                <w:b/>
                <w:bCs/>
                <w:color w:val="000000"/>
                <w:sz w:val="18"/>
                <w:szCs w:val="18"/>
                <w:lang w:val="pt-PT"/>
              </w:rPr>
              <w:t xml:space="preserve">Indicador preferencial </w:t>
            </w:r>
          </w:p>
        </w:tc>
        <w:tc>
          <w:tcPr>
            <w:tcW w:w="4980" w:type="dxa"/>
            <w:gridSpan w:val="3"/>
            <w:tcBorders>
              <w:top w:val="double" w:sz="6" w:space="0" w:color="auto"/>
              <w:left w:val="nil"/>
              <w:bottom w:val="single" w:sz="4" w:space="0" w:color="auto"/>
              <w:right w:val="double" w:sz="6" w:space="0" w:color="000000"/>
            </w:tcBorders>
            <w:shd w:val="clear" w:color="000000" w:fill="DEEAF6"/>
            <w:vAlign w:val="center"/>
            <w:hideMark/>
          </w:tcPr>
          <w:p w14:paraId="5630B79F" w14:textId="77777777" w:rsidR="00AC60F1" w:rsidRPr="004500AE" w:rsidRDefault="00AC60F1" w:rsidP="00AC60F1">
            <w:pPr>
              <w:spacing w:before="0" w:after="0"/>
              <w:jc w:val="center"/>
              <w:rPr>
                <w:rFonts w:asciiTheme="minorHAnsi" w:eastAsia="Times New Roman" w:hAnsiTheme="minorHAnsi" w:cstheme="minorHAnsi"/>
                <w:b/>
                <w:bCs/>
                <w:color w:val="000000"/>
                <w:sz w:val="18"/>
                <w:szCs w:val="18"/>
                <w:lang w:val="pt-PT"/>
              </w:rPr>
            </w:pPr>
            <w:r w:rsidRPr="004500AE">
              <w:rPr>
                <w:rFonts w:asciiTheme="minorHAnsi" w:eastAsia="Times New Roman" w:hAnsiTheme="minorHAnsi" w:cstheme="minorHAnsi"/>
                <w:b/>
                <w:bCs/>
                <w:color w:val="000000"/>
                <w:sz w:val="18"/>
                <w:szCs w:val="18"/>
                <w:lang w:val="pt-PT"/>
              </w:rPr>
              <w:t xml:space="preserve">Grau de realização em relação ao planificado </w:t>
            </w:r>
          </w:p>
        </w:tc>
      </w:tr>
      <w:tr w:rsidR="00AC60F1" w:rsidRPr="00292532" w14:paraId="3C2C769C" w14:textId="77777777" w:rsidTr="004500AE">
        <w:trPr>
          <w:trHeight w:val="300"/>
          <w:tblHeader/>
        </w:trPr>
        <w:tc>
          <w:tcPr>
            <w:tcW w:w="2160" w:type="dxa"/>
            <w:vMerge/>
            <w:tcBorders>
              <w:top w:val="double" w:sz="6" w:space="0" w:color="auto"/>
              <w:left w:val="double" w:sz="6" w:space="0" w:color="auto"/>
              <w:bottom w:val="single" w:sz="4" w:space="0" w:color="auto"/>
              <w:right w:val="single" w:sz="4" w:space="0" w:color="auto"/>
            </w:tcBorders>
            <w:vAlign w:val="center"/>
            <w:hideMark/>
          </w:tcPr>
          <w:p w14:paraId="17317A17" w14:textId="77777777" w:rsidR="00AC60F1" w:rsidRPr="004500AE" w:rsidRDefault="00AC60F1" w:rsidP="00AC60F1">
            <w:pPr>
              <w:spacing w:before="0" w:after="0"/>
              <w:jc w:val="left"/>
              <w:rPr>
                <w:rFonts w:asciiTheme="minorHAnsi" w:eastAsia="Times New Roman" w:hAnsiTheme="minorHAnsi" w:cstheme="minorHAnsi"/>
                <w:b/>
                <w:bCs/>
                <w:color w:val="000000"/>
                <w:sz w:val="18"/>
                <w:szCs w:val="18"/>
                <w:lang w:val="pt-PT"/>
              </w:rPr>
            </w:pPr>
          </w:p>
        </w:tc>
        <w:tc>
          <w:tcPr>
            <w:tcW w:w="2300" w:type="dxa"/>
            <w:vMerge/>
            <w:tcBorders>
              <w:top w:val="double" w:sz="6" w:space="0" w:color="auto"/>
              <w:left w:val="single" w:sz="4" w:space="0" w:color="auto"/>
              <w:bottom w:val="single" w:sz="4" w:space="0" w:color="auto"/>
              <w:right w:val="single" w:sz="4" w:space="0" w:color="auto"/>
            </w:tcBorders>
            <w:vAlign w:val="center"/>
            <w:hideMark/>
          </w:tcPr>
          <w:p w14:paraId="60259547" w14:textId="77777777" w:rsidR="00AC60F1" w:rsidRPr="004500AE" w:rsidRDefault="00AC60F1" w:rsidP="00AC60F1">
            <w:pPr>
              <w:spacing w:before="0" w:after="0"/>
              <w:jc w:val="left"/>
              <w:rPr>
                <w:rFonts w:asciiTheme="minorHAnsi" w:eastAsia="Times New Roman" w:hAnsiTheme="minorHAnsi" w:cstheme="minorHAnsi"/>
                <w:b/>
                <w:bCs/>
                <w:color w:val="000000"/>
                <w:sz w:val="18"/>
                <w:szCs w:val="18"/>
                <w:lang w:val="pt-PT"/>
              </w:rPr>
            </w:pPr>
          </w:p>
        </w:tc>
        <w:tc>
          <w:tcPr>
            <w:tcW w:w="1660" w:type="dxa"/>
            <w:tcBorders>
              <w:top w:val="nil"/>
              <w:left w:val="nil"/>
              <w:bottom w:val="single" w:sz="4" w:space="0" w:color="auto"/>
              <w:right w:val="single" w:sz="4" w:space="0" w:color="auto"/>
            </w:tcBorders>
            <w:shd w:val="clear" w:color="000000" w:fill="DEEAF6"/>
            <w:vAlign w:val="center"/>
            <w:hideMark/>
          </w:tcPr>
          <w:p w14:paraId="1CDCA53A" w14:textId="77777777" w:rsidR="00AC60F1" w:rsidRPr="004500AE" w:rsidRDefault="00AC60F1" w:rsidP="00AC60F1">
            <w:pPr>
              <w:spacing w:before="0" w:after="0"/>
              <w:jc w:val="center"/>
              <w:rPr>
                <w:rFonts w:asciiTheme="minorHAnsi" w:eastAsia="Times New Roman" w:hAnsiTheme="minorHAnsi" w:cstheme="minorHAnsi"/>
                <w:b/>
                <w:bCs/>
                <w:color w:val="000000"/>
                <w:sz w:val="18"/>
                <w:szCs w:val="18"/>
                <w:lang w:val="pt-PT"/>
              </w:rPr>
            </w:pPr>
            <w:r w:rsidRPr="004500AE">
              <w:rPr>
                <w:rFonts w:asciiTheme="minorHAnsi" w:eastAsia="Times New Roman" w:hAnsiTheme="minorHAnsi" w:cstheme="minorHAnsi"/>
                <w:b/>
                <w:bCs/>
                <w:color w:val="000000"/>
                <w:sz w:val="18"/>
                <w:szCs w:val="18"/>
                <w:lang w:val="pt-PT"/>
              </w:rPr>
              <w:t xml:space="preserve">Aceitável </w:t>
            </w:r>
          </w:p>
        </w:tc>
        <w:tc>
          <w:tcPr>
            <w:tcW w:w="1660" w:type="dxa"/>
            <w:tcBorders>
              <w:top w:val="nil"/>
              <w:left w:val="nil"/>
              <w:bottom w:val="single" w:sz="4" w:space="0" w:color="auto"/>
              <w:right w:val="single" w:sz="4" w:space="0" w:color="auto"/>
            </w:tcBorders>
            <w:shd w:val="clear" w:color="000000" w:fill="DEEAF6"/>
            <w:vAlign w:val="center"/>
            <w:hideMark/>
          </w:tcPr>
          <w:p w14:paraId="57BB7324" w14:textId="77777777" w:rsidR="00AC60F1" w:rsidRPr="004500AE" w:rsidRDefault="00AC60F1" w:rsidP="00AC60F1">
            <w:pPr>
              <w:spacing w:before="0" w:after="0"/>
              <w:jc w:val="center"/>
              <w:rPr>
                <w:rFonts w:asciiTheme="minorHAnsi" w:eastAsia="Times New Roman" w:hAnsiTheme="minorHAnsi" w:cstheme="minorHAnsi"/>
                <w:b/>
                <w:bCs/>
                <w:color w:val="000000"/>
                <w:sz w:val="18"/>
                <w:szCs w:val="18"/>
                <w:lang w:val="pt-PT"/>
              </w:rPr>
            </w:pPr>
            <w:r w:rsidRPr="004500AE">
              <w:rPr>
                <w:rFonts w:asciiTheme="minorHAnsi" w:eastAsia="Times New Roman" w:hAnsiTheme="minorHAnsi" w:cstheme="minorHAnsi"/>
                <w:b/>
                <w:bCs/>
                <w:color w:val="000000"/>
                <w:sz w:val="18"/>
                <w:szCs w:val="18"/>
                <w:lang w:val="pt-PT"/>
              </w:rPr>
              <w:t xml:space="preserve">Bom </w:t>
            </w:r>
          </w:p>
        </w:tc>
        <w:tc>
          <w:tcPr>
            <w:tcW w:w="1660" w:type="dxa"/>
            <w:tcBorders>
              <w:top w:val="nil"/>
              <w:left w:val="nil"/>
              <w:bottom w:val="single" w:sz="4" w:space="0" w:color="auto"/>
              <w:right w:val="double" w:sz="6" w:space="0" w:color="auto"/>
            </w:tcBorders>
            <w:shd w:val="clear" w:color="000000" w:fill="DEEAF6"/>
            <w:vAlign w:val="center"/>
            <w:hideMark/>
          </w:tcPr>
          <w:p w14:paraId="4D3D1A72" w14:textId="77777777" w:rsidR="00AC60F1" w:rsidRPr="004500AE" w:rsidRDefault="00AC60F1" w:rsidP="00AC60F1">
            <w:pPr>
              <w:spacing w:before="0" w:after="0"/>
              <w:jc w:val="center"/>
              <w:rPr>
                <w:rFonts w:asciiTheme="minorHAnsi" w:eastAsia="Times New Roman" w:hAnsiTheme="minorHAnsi" w:cstheme="minorHAnsi"/>
                <w:b/>
                <w:bCs/>
                <w:color w:val="000000"/>
                <w:sz w:val="18"/>
                <w:szCs w:val="18"/>
                <w:lang w:val="pt-PT"/>
              </w:rPr>
            </w:pPr>
            <w:r w:rsidRPr="004500AE">
              <w:rPr>
                <w:rFonts w:asciiTheme="minorHAnsi" w:eastAsia="Times New Roman" w:hAnsiTheme="minorHAnsi" w:cstheme="minorHAnsi"/>
                <w:b/>
                <w:bCs/>
                <w:color w:val="000000"/>
                <w:sz w:val="18"/>
                <w:szCs w:val="18"/>
                <w:lang w:val="pt-PT"/>
              </w:rPr>
              <w:t xml:space="preserve">Muito bom </w:t>
            </w:r>
          </w:p>
        </w:tc>
      </w:tr>
      <w:tr w:rsidR="00AC60F1" w:rsidRPr="00292532" w14:paraId="6252AD81" w14:textId="77777777" w:rsidTr="00AC60F1">
        <w:trPr>
          <w:trHeight w:val="540"/>
        </w:trPr>
        <w:tc>
          <w:tcPr>
            <w:tcW w:w="2160" w:type="dxa"/>
            <w:tcBorders>
              <w:top w:val="nil"/>
              <w:left w:val="double" w:sz="6" w:space="0" w:color="auto"/>
              <w:bottom w:val="single" w:sz="4" w:space="0" w:color="auto"/>
              <w:right w:val="single" w:sz="4" w:space="0" w:color="auto"/>
            </w:tcBorders>
            <w:shd w:val="clear" w:color="auto" w:fill="auto"/>
            <w:vAlign w:val="center"/>
            <w:hideMark/>
          </w:tcPr>
          <w:p w14:paraId="10CF076E" w14:textId="77777777" w:rsidR="00AC60F1" w:rsidRPr="004500AE" w:rsidRDefault="00AC60F1" w:rsidP="00AC60F1">
            <w:pPr>
              <w:spacing w:before="0" w:after="0"/>
              <w:jc w:val="center"/>
              <w:rPr>
                <w:rFonts w:asciiTheme="minorHAnsi" w:eastAsia="Times New Roman" w:hAnsiTheme="minorHAnsi" w:cstheme="minorHAnsi"/>
                <w:b/>
                <w:bCs/>
                <w:color w:val="000000"/>
                <w:sz w:val="18"/>
                <w:szCs w:val="18"/>
                <w:lang w:val="pt-PT"/>
              </w:rPr>
            </w:pPr>
            <w:r w:rsidRPr="004500AE">
              <w:rPr>
                <w:rFonts w:asciiTheme="minorHAnsi" w:eastAsia="Times New Roman" w:hAnsiTheme="minorHAnsi" w:cstheme="minorHAnsi"/>
                <w:b/>
                <w:bCs/>
                <w:color w:val="000000"/>
                <w:sz w:val="18"/>
                <w:szCs w:val="18"/>
                <w:lang w:val="pt-PT"/>
              </w:rPr>
              <w:t xml:space="preserve">Encontros de divulgação e mobilização realizados  </w:t>
            </w:r>
          </w:p>
        </w:tc>
        <w:tc>
          <w:tcPr>
            <w:tcW w:w="2300" w:type="dxa"/>
            <w:tcBorders>
              <w:top w:val="nil"/>
              <w:left w:val="nil"/>
              <w:bottom w:val="single" w:sz="4" w:space="0" w:color="auto"/>
              <w:right w:val="single" w:sz="4" w:space="0" w:color="auto"/>
            </w:tcBorders>
            <w:shd w:val="clear" w:color="auto" w:fill="auto"/>
            <w:vAlign w:val="center"/>
            <w:hideMark/>
          </w:tcPr>
          <w:p w14:paraId="715CC8BF"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encontros realizados/Planificados </w:t>
            </w:r>
          </w:p>
        </w:tc>
        <w:tc>
          <w:tcPr>
            <w:tcW w:w="1660" w:type="dxa"/>
            <w:tcBorders>
              <w:top w:val="nil"/>
              <w:left w:val="nil"/>
              <w:bottom w:val="single" w:sz="4" w:space="0" w:color="auto"/>
              <w:right w:val="single" w:sz="4" w:space="0" w:color="auto"/>
            </w:tcBorders>
            <w:shd w:val="clear" w:color="auto" w:fill="auto"/>
            <w:noWrap/>
            <w:vAlign w:val="center"/>
            <w:hideMark/>
          </w:tcPr>
          <w:p w14:paraId="0F8E33A9"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30-50% do planificado</w:t>
            </w:r>
          </w:p>
        </w:tc>
        <w:tc>
          <w:tcPr>
            <w:tcW w:w="1660" w:type="dxa"/>
            <w:tcBorders>
              <w:top w:val="nil"/>
              <w:left w:val="nil"/>
              <w:bottom w:val="single" w:sz="4" w:space="0" w:color="auto"/>
              <w:right w:val="single" w:sz="4" w:space="0" w:color="auto"/>
            </w:tcBorders>
            <w:shd w:val="clear" w:color="auto" w:fill="auto"/>
            <w:noWrap/>
            <w:vAlign w:val="center"/>
            <w:hideMark/>
          </w:tcPr>
          <w:p w14:paraId="5D60A000"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51-70% do planificado</w:t>
            </w:r>
          </w:p>
        </w:tc>
        <w:tc>
          <w:tcPr>
            <w:tcW w:w="1660" w:type="dxa"/>
            <w:tcBorders>
              <w:top w:val="nil"/>
              <w:left w:val="nil"/>
              <w:bottom w:val="single" w:sz="4" w:space="0" w:color="auto"/>
              <w:right w:val="double" w:sz="6" w:space="0" w:color="auto"/>
            </w:tcBorders>
            <w:shd w:val="clear" w:color="auto" w:fill="auto"/>
            <w:noWrap/>
            <w:vAlign w:val="center"/>
            <w:hideMark/>
          </w:tcPr>
          <w:p w14:paraId="5EE71663"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&gt;70%</w:t>
            </w:r>
          </w:p>
        </w:tc>
      </w:tr>
      <w:tr w:rsidR="00AC60F1" w:rsidRPr="00292532" w14:paraId="7AD060E4" w14:textId="77777777" w:rsidTr="00AC60F1">
        <w:trPr>
          <w:trHeight w:val="540"/>
        </w:trPr>
        <w:tc>
          <w:tcPr>
            <w:tcW w:w="2160" w:type="dxa"/>
            <w:tcBorders>
              <w:top w:val="nil"/>
              <w:left w:val="double" w:sz="6" w:space="0" w:color="auto"/>
              <w:bottom w:val="single" w:sz="4" w:space="0" w:color="auto"/>
              <w:right w:val="single" w:sz="4" w:space="0" w:color="auto"/>
            </w:tcBorders>
            <w:shd w:val="clear" w:color="auto" w:fill="auto"/>
            <w:vAlign w:val="center"/>
            <w:hideMark/>
          </w:tcPr>
          <w:p w14:paraId="18D70A07" w14:textId="77777777" w:rsidR="00AC60F1" w:rsidRPr="004500AE" w:rsidRDefault="00AC60F1" w:rsidP="00AC60F1">
            <w:pPr>
              <w:spacing w:before="0" w:after="0"/>
              <w:jc w:val="center"/>
              <w:rPr>
                <w:rFonts w:asciiTheme="minorHAnsi" w:eastAsia="Times New Roman" w:hAnsiTheme="minorHAnsi" w:cstheme="minorHAnsi"/>
                <w:b/>
                <w:bCs/>
                <w:color w:val="000000"/>
                <w:sz w:val="18"/>
                <w:szCs w:val="18"/>
                <w:lang w:val="pt-PT"/>
              </w:rPr>
            </w:pPr>
            <w:r w:rsidRPr="004500AE">
              <w:rPr>
                <w:rFonts w:asciiTheme="minorHAnsi" w:eastAsia="Times New Roman" w:hAnsiTheme="minorHAnsi" w:cstheme="minorHAnsi"/>
                <w:b/>
                <w:bCs/>
                <w:color w:val="000000"/>
                <w:sz w:val="18"/>
                <w:szCs w:val="18"/>
                <w:lang w:val="pt-PT"/>
              </w:rPr>
              <w:t xml:space="preserve">Encontros de avaliação de </w:t>
            </w:r>
            <w:proofErr w:type="spellStart"/>
            <w:r w:rsidRPr="004500AE">
              <w:rPr>
                <w:rFonts w:asciiTheme="minorHAnsi" w:eastAsia="Times New Roman" w:hAnsiTheme="minorHAnsi" w:cstheme="minorHAnsi"/>
                <w:b/>
                <w:bCs/>
                <w:color w:val="000000"/>
                <w:sz w:val="18"/>
                <w:szCs w:val="18"/>
                <w:lang w:val="pt-PT"/>
              </w:rPr>
              <w:t>actividades</w:t>
            </w:r>
            <w:proofErr w:type="spellEnd"/>
            <w:r w:rsidRPr="004500AE">
              <w:rPr>
                <w:rFonts w:asciiTheme="minorHAnsi" w:eastAsia="Times New Roman" w:hAnsiTheme="minorHAnsi" w:cstheme="minorHAnsi"/>
                <w:b/>
                <w:bCs/>
                <w:color w:val="000000"/>
                <w:sz w:val="18"/>
                <w:szCs w:val="18"/>
                <w:lang w:val="pt-PT"/>
              </w:rPr>
              <w:t xml:space="preserve"> de engajamento </w:t>
            </w:r>
          </w:p>
        </w:tc>
        <w:tc>
          <w:tcPr>
            <w:tcW w:w="2300" w:type="dxa"/>
            <w:tcBorders>
              <w:top w:val="nil"/>
              <w:left w:val="nil"/>
              <w:bottom w:val="single" w:sz="4" w:space="0" w:color="auto"/>
              <w:right w:val="single" w:sz="4" w:space="0" w:color="auto"/>
            </w:tcBorders>
            <w:shd w:val="clear" w:color="auto" w:fill="auto"/>
            <w:vAlign w:val="center"/>
            <w:hideMark/>
          </w:tcPr>
          <w:p w14:paraId="0CA8720F"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encontros realizados/Planificados </w:t>
            </w:r>
          </w:p>
        </w:tc>
        <w:tc>
          <w:tcPr>
            <w:tcW w:w="1660" w:type="dxa"/>
            <w:tcBorders>
              <w:top w:val="nil"/>
              <w:left w:val="nil"/>
              <w:bottom w:val="single" w:sz="4" w:space="0" w:color="auto"/>
              <w:right w:val="single" w:sz="4" w:space="0" w:color="auto"/>
            </w:tcBorders>
            <w:shd w:val="clear" w:color="auto" w:fill="auto"/>
            <w:noWrap/>
            <w:vAlign w:val="center"/>
            <w:hideMark/>
          </w:tcPr>
          <w:p w14:paraId="352C4FD0"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50-70% do planificado</w:t>
            </w:r>
          </w:p>
        </w:tc>
        <w:tc>
          <w:tcPr>
            <w:tcW w:w="1660" w:type="dxa"/>
            <w:tcBorders>
              <w:top w:val="nil"/>
              <w:left w:val="nil"/>
              <w:bottom w:val="single" w:sz="4" w:space="0" w:color="auto"/>
              <w:right w:val="single" w:sz="4" w:space="0" w:color="auto"/>
            </w:tcBorders>
            <w:shd w:val="clear" w:color="auto" w:fill="auto"/>
            <w:noWrap/>
            <w:vAlign w:val="center"/>
            <w:hideMark/>
          </w:tcPr>
          <w:p w14:paraId="7FFEB866"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71-90% do planificado</w:t>
            </w:r>
          </w:p>
        </w:tc>
        <w:tc>
          <w:tcPr>
            <w:tcW w:w="1660" w:type="dxa"/>
            <w:tcBorders>
              <w:top w:val="nil"/>
              <w:left w:val="nil"/>
              <w:bottom w:val="single" w:sz="4" w:space="0" w:color="auto"/>
              <w:right w:val="double" w:sz="6" w:space="0" w:color="auto"/>
            </w:tcBorders>
            <w:shd w:val="clear" w:color="auto" w:fill="auto"/>
            <w:noWrap/>
            <w:vAlign w:val="center"/>
            <w:hideMark/>
          </w:tcPr>
          <w:p w14:paraId="69F51916" w14:textId="2D2363CF" w:rsidR="00AC60F1" w:rsidRPr="004500AE" w:rsidRDefault="00814D42"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&gt;</w:t>
            </w:r>
            <w:r w:rsidR="00AC60F1" w:rsidRPr="004500AE">
              <w:rPr>
                <w:rFonts w:asciiTheme="minorHAnsi" w:eastAsia="Times New Roman" w:hAnsiTheme="minorHAnsi" w:cstheme="minorHAnsi"/>
                <w:color w:val="000000"/>
                <w:sz w:val="18"/>
                <w:szCs w:val="18"/>
                <w:lang w:val="pt-PT"/>
              </w:rPr>
              <w:t> 90%</w:t>
            </w:r>
          </w:p>
        </w:tc>
      </w:tr>
      <w:tr w:rsidR="00AC60F1" w:rsidRPr="00292532" w14:paraId="7110B431" w14:textId="77777777" w:rsidTr="00AC60F1">
        <w:trPr>
          <w:trHeight w:val="540"/>
        </w:trPr>
        <w:tc>
          <w:tcPr>
            <w:tcW w:w="2160" w:type="dxa"/>
            <w:tcBorders>
              <w:top w:val="nil"/>
              <w:left w:val="double" w:sz="6" w:space="0" w:color="auto"/>
              <w:bottom w:val="single" w:sz="4" w:space="0" w:color="auto"/>
              <w:right w:val="single" w:sz="4" w:space="0" w:color="auto"/>
            </w:tcBorders>
            <w:shd w:val="clear" w:color="auto" w:fill="auto"/>
            <w:vAlign w:val="center"/>
            <w:hideMark/>
          </w:tcPr>
          <w:p w14:paraId="27220D5B" w14:textId="41B8CCD3" w:rsidR="00AC60F1" w:rsidRPr="004500AE" w:rsidRDefault="00AC60F1" w:rsidP="00AC60F1">
            <w:pPr>
              <w:spacing w:before="0" w:after="0"/>
              <w:jc w:val="center"/>
              <w:rPr>
                <w:rFonts w:asciiTheme="minorHAnsi" w:eastAsia="Times New Roman" w:hAnsiTheme="minorHAnsi" w:cstheme="minorHAnsi"/>
                <w:b/>
                <w:bCs/>
                <w:color w:val="000000"/>
                <w:sz w:val="18"/>
                <w:szCs w:val="18"/>
                <w:lang w:val="pt-PT"/>
              </w:rPr>
            </w:pPr>
            <w:r w:rsidRPr="004500AE">
              <w:rPr>
                <w:rFonts w:asciiTheme="minorHAnsi" w:eastAsia="Times New Roman" w:hAnsiTheme="minorHAnsi" w:cstheme="minorHAnsi"/>
                <w:b/>
                <w:bCs/>
                <w:color w:val="000000"/>
                <w:sz w:val="18"/>
                <w:szCs w:val="18"/>
                <w:lang w:val="pt-PT"/>
              </w:rPr>
              <w:t>Encontros de EIA/EAS/</w:t>
            </w:r>
            <w:r w:rsidR="001978AF" w:rsidRPr="004500AE">
              <w:rPr>
                <w:rFonts w:asciiTheme="minorHAnsi" w:eastAsia="Times New Roman" w:hAnsiTheme="minorHAnsi" w:cstheme="minorHAnsi"/>
                <w:b/>
                <w:bCs/>
                <w:color w:val="000000"/>
                <w:sz w:val="18"/>
                <w:szCs w:val="18"/>
                <w:lang w:val="pt-PT"/>
              </w:rPr>
              <w:t>PGAS</w:t>
            </w:r>
            <w:r w:rsidRPr="004500AE">
              <w:rPr>
                <w:rFonts w:asciiTheme="minorHAnsi" w:eastAsia="Times New Roman" w:hAnsiTheme="minorHAnsi" w:cstheme="minorHAnsi"/>
                <w:b/>
                <w:bCs/>
                <w:color w:val="000000"/>
                <w:sz w:val="18"/>
                <w:szCs w:val="18"/>
                <w:lang w:val="pt-PT"/>
              </w:rPr>
              <w:t xml:space="preserve"> dos subprojectos</w:t>
            </w:r>
          </w:p>
        </w:tc>
        <w:tc>
          <w:tcPr>
            <w:tcW w:w="2300" w:type="dxa"/>
            <w:tcBorders>
              <w:top w:val="nil"/>
              <w:left w:val="nil"/>
              <w:bottom w:val="single" w:sz="4" w:space="0" w:color="auto"/>
              <w:right w:val="single" w:sz="4" w:space="0" w:color="auto"/>
            </w:tcBorders>
            <w:shd w:val="clear" w:color="auto" w:fill="auto"/>
            <w:vAlign w:val="center"/>
            <w:hideMark/>
          </w:tcPr>
          <w:p w14:paraId="60671FB8"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encontros realizados/Planificados </w:t>
            </w:r>
          </w:p>
        </w:tc>
        <w:tc>
          <w:tcPr>
            <w:tcW w:w="1660" w:type="dxa"/>
            <w:tcBorders>
              <w:top w:val="nil"/>
              <w:left w:val="nil"/>
              <w:bottom w:val="single" w:sz="4" w:space="0" w:color="auto"/>
              <w:right w:val="single" w:sz="4" w:space="0" w:color="auto"/>
            </w:tcBorders>
            <w:shd w:val="clear" w:color="auto" w:fill="auto"/>
            <w:noWrap/>
            <w:vAlign w:val="center"/>
            <w:hideMark/>
          </w:tcPr>
          <w:p w14:paraId="6F38B081"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80-95% do planificado</w:t>
            </w:r>
          </w:p>
        </w:tc>
        <w:tc>
          <w:tcPr>
            <w:tcW w:w="1660" w:type="dxa"/>
            <w:tcBorders>
              <w:top w:val="nil"/>
              <w:left w:val="nil"/>
              <w:bottom w:val="single" w:sz="4" w:space="0" w:color="auto"/>
              <w:right w:val="single" w:sz="4" w:space="0" w:color="auto"/>
            </w:tcBorders>
            <w:shd w:val="clear" w:color="auto" w:fill="auto"/>
            <w:noWrap/>
            <w:vAlign w:val="center"/>
            <w:hideMark/>
          </w:tcPr>
          <w:p w14:paraId="6CD83CD2"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660" w:type="dxa"/>
            <w:tcBorders>
              <w:top w:val="nil"/>
              <w:left w:val="nil"/>
              <w:bottom w:val="single" w:sz="4" w:space="0" w:color="auto"/>
              <w:right w:val="double" w:sz="6" w:space="0" w:color="auto"/>
            </w:tcBorders>
            <w:shd w:val="clear" w:color="auto" w:fill="auto"/>
            <w:noWrap/>
            <w:vAlign w:val="center"/>
            <w:hideMark/>
          </w:tcPr>
          <w:p w14:paraId="3EA23D26"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r>
      <w:tr w:rsidR="00AC60F1" w:rsidRPr="00292532" w14:paraId="3C773B6F" w14:textId="77777777" w:rsidTr="00AC60F1">
        <w:trPr>
          <w:trHeight w:val="540"/>
        </w:trPr>
        <w:tc>
          <w:tcPr>
            <w:tcW w:w="2160" w:type="dxa"/>
            <w:tcBorders>
              <w:top w:val="nil"/>
              <w:left w:val="double" w:sz="6" w:space="0" w:color="auto"/>
              <w:bottom w:val="single" w:sz="4" w:space="0" w:color="auto"/>
              <w:right w:val="single" w:sz="4" w:space="0" w:color="auto"/>
            </w:tcBorders>
            <w:shd w:val="clear" w:color="auto" w:fill="auto"/>
            <w:vAlign w:val="center"/>
            <w:hideMark/>
          </w:tcPr>
          <w:p w14:paraId="28DDB064" w14:textId="3AA2FD2F" w:rsidR="00AC60F1" w:rsidRPr="004500AE" w:rsidRDefault="00AC60F1" w:rsidP="00AC60F1">
            <w:pPr>
              <w:spacing w:before="0" w:after="0"/>
              <w:jc w:val="center"/>
              <w:rPr>
                <w:rFonts w:asciiTheme="minorHAnsi" w:eastAsia="Times New Roman" w:hAnsiTheme="minorHAnsi" w:cstheme="minorHAnsi"/>
                <w:b/>
                <w:bCs/>
                <w:color w:val="000000"/>
                <w:sz w:val="18"/>
                <w:szCs w:val="18"/>
                <w:lang w:val="pt-PT"/>
              </w:rPr>
            </w:pPr>
            <w:r w:rsidRPr="004500AE">
              <w:rPr>
                <w:rFonts w:asciiTheme="minorHAnsi" w:eastAsia="Times New Roman" w:hAnsiTheme="minorHAnsi" w:cstheme="minorHAnsi"/>
                <w:b/>
                <w:bCs/>
                <w:color w:val="000000"/>
                <w:sz w:val="18"/>
                <w:szCs w:val="18"/>
                <w:lang w:val="pt-PT"/>
              </w:rPr>
              <w:t xml:space="preserve">Encontros de Elaboração de </w:t>
            </w:r>
            <w:proofErr w:type="spellStart"/>
            <w:r w:rsidRPr="004500AE">
              <w:rPr>
                <w:rFonts w:asciiTheme="minorHAnsi" w:eastAsia="Times New Roman" w:hAnsiTheme="minorHAnsi" w:cstheme="minorHAnsi"/>
                <w:b/>
                <w:bCs/>
                <w:color w:val="000000"/>
                <w:sz w:val="18"/>
                <w:szCs w:val="18"/>
                <w:lang w:val="pt-PT"/>
              </w:rPr>
              <w:t>PARs</w:t>
            </w:r>
            <w:proofErr w:type="spellEnd"/>
            <w:r w:rsidRPr="004500AE">
              <w:rPr>
                <w:rFonts w:asciiTheme="minorHAnsi" w:eastAsia="Times New Roman" w:hAnsiTheme="minorHAnsi" w:cstheme="minorHAnsi"/>
                <w:b/>
                <w:bCs/>
                <w:color w:val="000000"/>
                <w:sz w:val="18"/>
                <w:szCs w:val="18"/>
                <w:lang w:val="pt-PT"/>
              </w:rPr>
              <w:t xml:space="preserve"> dos subprojecto</w:t>
            </w:r>
            <w:r w:rsidR="00292532">
              <w:rPr>
                <w:rFonts w:asciiTheme="minorHAnsi" w:eastAsia="Times New Roman" w:hAnsiTheme="minorHAnsi" w:cstheme="minorHAnsi"/>
                <w:b/>
                <w:bCs/>
                <w:color w:val="000000"/>
                <w:sz w:val="18"/>
                <w:szCs w:val="18"/>
                <w:lang w:val="pt-PT"/>
              </w:rPr>
              <w:t>s</w:t>
            </w:r>
          </w:p>
        </w:tc>
        <w:tc>
          <w:tcPr>
            <w:tcW w:w="2300" w:type="dxa"/>
            <w:tcBorders>
              <w:top w:val="nil"/>
              <w:left w:val="nil"/>
              <w:bottom w:val="single" w:sz="4" w:space="0" w:color="auto"/>
              <w:right w:val="single" w:sz="4" w:space="0" w:color="auto"/>
            </w:tcBorders>
            <w:shd w:val="clear" w:color="auto" w:fill="auto"/>
            <w:vAlign w:val="center"/>
            <w:hideMark/>
          </w:tcPr>
          <w:p w14:paraId="5BC4B814"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encontros realizados/Planificados </w:t>
            </w:r>
          </w:p>
        </w:tc>
        <w:tc>
          <w:tcPr>
            <w:tcW w:w="1660" w:type="dxa"/>
            <w:tcBorders>
              <w:top w:val="nil"/>
              <w:left w:val="nil"/>
              <w:bottom w:val="single" w:sz="4" w:space="0" w:color="auto"/>
              <w:right w:val="single" w:sz="4" w:space="0" w:color="auto"/>
            </w:tcBorders>
            <w:shd w:val="clear" w:color="auto" w:fill="auto"/>
            <w:noWrap/>
            <w:vAlign w:val="center"/>
            <w:hideMark/>
          </w:tcPr>
          <w:p w14:paraId="24D6C99C"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80-95% do planificado</w:t>
            </w:r>
          </w:p>
        </w:tc>
        <w:tc>
          <w:tcPr>
            <w:tcW w:w="1660" w:type="dxa"/>
            <w:tcBorders>
              <w:top w:val="nil"/>
              <w:left w:val="nil"/>
              <w:bottom w:val="single" w:sz="4" w:space="0" w:color="auto"/>
              <w:right w:val="single" w:sz="4" w:space="0" w:color="auto"/>
            </w:tcBorders>
            <w:shd w:val="clear" w:color="auto" w:fill="auto"/>
            <w:noWrap/>
            <w:vAlign w:val="center"/>
            <w:hideMark/>
          </w:tcPr>
          <w:p w14:paraId="5F012030"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660" w:type="dxa"/>
            <w:tcBorders>
              <w:top w:val="nil"/>
              <w:left w:val="nil"/>
              <w:bottom w:val="single" w:sz="4" w:space="0" w:color="auto"/>
              <w:right w:val="double" w:sz="6" w:space="0" w:color="auto"/>
            </w:tcBorders>
            <w:shd w:val="clear" w:color="auto" w:fill="auto"/>
            <w:noWrap/>
            <w:vAlign w:val="center"/>
            <w:hideMark/>
          </w:tcPr>
          <w:p w14:paraId="493CCC52"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r>
      <w:tr w:rsidR="00AC60F1" w:rsidRPr="00292532" w14:paraId="6548E630" w14:textId="77777777" w:rsidTr="00AC60F1">
        <w:trPr>
          <w:trHeight w:val="810"/>
        </w:trPr>
        <w:tc>
          <w:tcPr>
            <w:tcW w:w="2160" w:type="dxa"/>
            <w:tcBorders>
              <w:top w:val="nil"/>
              <w:left w:val="double" w:sz="6" w:space="0" w:color="auto"/>
              <w:bottom w:val="single" w:sz="4" w:space="0" w:color="auto"/>
              <w:right w:val="single" w:sz="4" w:space="0" w:color="auto"/>
            </w:tcBorders>
            <w:shd w:val="clear" w:color="auto" w:fill="auto"/>
            <w:vAlign w:val="center"/>
            <w:hideMark/>
          </w:tcPr>
          <w:p w14:paraId="452FDC67" w14:textId="77777777" w:rsidR="00AC60F1" w:rsidRPr="004500AE" w:rsidRDefault="00AC60F1" w:rsidP="00AC60F1">
            <w:pPr>
              <w:spacing w:before="0" w:after="0"/>
              <w:jc w:val="center"/>
              <w:rPr>
                <w:rFonts w:asciiTheme="minorHAnsi" w:eastAsia="Times New Roman" w:hAnsiTheme="minorHAnsi" w:cstheme="minorHAnsi"/>
                <w:b/>
                <w:bCs/>
                <w:color w:val="000000"/>
                <w:sz w:val="18"/>
                <w:szCs w:val="18"/>
                <w:lang w:val="pt-PT"/>
              </w:rPr>
            </w:pPr>
            <w:r w:rsidRPr="004500AE">
              <w:rPr>
                <w:rFonts w:asciiTheme="minorHAnsi" w:eastAsia="Times New Roman" w:hAnsiTheme="minorHAnsi" w:cstheme="minorHAnsi"/>
                <w:b/>
                <w:bCs/>
                <w:color w:val="000000"/>
                <w:sz w:val="18"/>
                <w:szCs w:val="18"/>
                <w:lang w:val="pt-PT"/>
              </w:rPr>
              <w:t>Envolvimento dos grupos vulneráveis nos encontros de engajamento</w:t>
            </w:r>
          </w:p>
        </w:tc>
        <w:tc>
          <w:tcPr>
            <w:tcW w:w="2300" w:type="dxa"/>
            <w:tcBorders>
              <w:top w:val="nil"/>
              <w:left w:val="nil"/>
              <w:bottom w:val="single" w:sz="4" w:space="0" w:color="auto"/>
              <w:right w:val="single" w:sz="4" w:space="0" w:color="auto"/>
            </w:tcBorders>
            <w:shd w:val="clear" w:color="auto" w:fill="auto"/>
            <w:vAlign w:val="center"/>
            <w:hideMark/>
          </w:tcPr>
          <w:p w14:paraId="58273568"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encontros realizados/Planificados </w:t>
            </w:r>
          </w:p>
        </w:tc>
        <w:tc>
          <w:tcPr>
            <w:tcW w:w="1660" w:type="dxa"/>
            <w:tcBorders>
              <w:top w:val="nil"/>
              <w:left w:val="nil"/>
              <w:bottom w:val="single" w:sz="4" w:space="0" w:color="auto"/>
              <w:right w:val="single" w:sz="4" w:space="0" w:color="auto"/>
            </w:tcBorders>
            <w:shd w:val="clear" w:color="auto" w:fill="auto"/>
            <w:noWrap/>
            <w:vAlign w:val="center"/>
            <w:hideMark/>
          </w:tcPr>
          <w:p w14:paraId="7338B663"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80-95% do planificado</w:t>
            </w:r>
          </w:p>
        </w:tc>
        <w:tc>
          <w:tcPr>
            <w:tcW w:w="1660" w:type="dxa"/>
            <w:tcBorders>
              <w:top w:val="nil"/>
              <w:left w:val="nil"/>
              <w:bottom w:val="single" w:sz="4" w:space="0" w:color="auto"/>
              <w:right w:val="single" w:sz="4" w:space="0" w:color="auto"/>
            </w:tcBorders>
            <w:shd w:val="clear" w:color="auto" w:fill="auto"/>
            <w:noWrap/>
            <w:vAlign w:val="center"/>
            <w:hideMark/>
          </w:tcPr>
          <w:p w14:paraId="61B9EB79"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660" w:type="dxa"/>
            <w:tcBorders>
              <w:top w:val="nil"/>
              <w:left w:val="nil"/>
              <w:bottom w:val="single" w:sz="4" w:space="0" w:color="auto"/>
              <w:right w:val="double" w:sz="6" w:space="0" w:color="auto"/>
            </w:tcBorders>
            <w:shd w:val="clear" w:color="auto" w:fill="auto"/>
            <w:noWrap/>
            <w:vAlign w:val="center"/>
            <w:hideMark/>
          </w:tcPr>
          <w:p w14:paraId="348B765F"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r>
      <w:tr w:rsidR="00AC60F1" w:rsidRPr="00292532" w14:paraId="22F1E7A9" w14:textId="77777777" w:rsidTr="00AC60F1">
        <w:trPr>
          <w:trHeight w:val="810"/>
        </w:trPr>
        <w:tc>
          <w:tcPr>
            <w:tcW w:w="2160" w:type="dxa"/>
            <w:vMerge w:val="restart"/>
            <w:tcBorders>
              <w:top w:val="nil"/>
              <w:left w:val="double" w:sz="6" w:space="0" w:color="auto"/>
              <w:bottom w:val="double" w:sz="6" w:space="0" w:color="000000"/>
              <w:right w:val="single" w:sz="4" w:space="0" w:color="auto"/>
            </w:tcBorders>
            <w:shd w:val="clear" w:color="auto" w:fill="auto"/>
            <w:vAlign w:val="center"/>
            <w:hideMark/>
          </w:tcPr>
          <w:p w14:paraId="38B3AACF" w14:textId="77777777" w:rsidR="00AC60F1" w:rsidRPr="004500AE" w:rsidRDefault="00AC60F1" w:rsidP="00AC60F1">
            <w:pPr>
              <w:spacing w:before="0" w:after="0"/>
              <w:jc w:val="center"/>
              <w:rPr>
                <w:rFonts w:asciiTheme="minorHAnsi" w:eastAsia="Times New Roman" w:hAnsiTheme="minorHAnsi" w:cstheme="minorHAnsi"/>
                <w:b/>
                <w:bCs/>
                <w:color w:val="000000"/>
                <w:sz w:val="18"/>
                <w:szCs w:val="18"/>
                <w:lang w:val="pt-PT"/>
              </w:rPr>
            </w:pPr>
            <w:r w:rsidRPr="004500AE">
              <w:rPr>
                <w:rFonts w:asciiTheme="minorHAnsi" w:eastAsia="Times New Roman" w:hAnsiTheme="minorHAnsi" w:cstheme="minorHAnsi"/>
                <w:b/>
                <w:bCs/>
                <w:color w:val="000000"/>
                <w:sz w:val="18"/>
                <w:szCs w:val="18"/>
                <w:lang w:val="pt-PT"/>
              </w:rPr>
              <w:lastRenderedPageBreak/>
              <w:t xml:space="preserve">Mecanismos de Queixas e Reclamação </w:t>
            </w:r>
          </w:p>
        </w:tc>
        <w:tc>
          <w:tcPr>
            <w:tcW w:w="2300" w:type="dxa"/>
            <w:tcBorders>
              <w:top w:val="nil"/>
              <w:left w:val="nil"/>
              <w:bottom w:val="single" w:sz="4" w:space="0" w:color="auto"/>
              <w:right w:val="single" w:sz="4" w:space="0" w:color="auto"/>
            </w:tcBorders>
            <w:shd w:val="clear" w:color="auto" w:fill="auto"/>
            <w:vAlign w:val="center"/>
            <w:hideMark/>
          </w:tcPr>
          <w:p w14:paraId="5FACAC33"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queixas dos trabalhadores levantadas e resolvidas </w:t>
            </w:r>
          </w:p>
        </w:tc>
        <w:tc>
          <w:tcPr>
            <w:tcW w:w="1660" w:type="dxa"/>
            <w:tcBorders>
              <w:top w:val="nil"/>
              <w:left w:val="nil"/>
              <w:bottom w:val="single" w:sz="4" w:space="0" w:color="auto"/>
              <w:right w:val="single" w:sz="4" w:space="0" w:color="auto"/>
            </w:tcBorders>
            <w:shd w:val="clear" w:color="auto" w:fill="auto"/>
            <w:noWrap/>
            <w:vAlign w:val="center"/>
            <w:hideMark/>
          </w:tcPr>
          <w:p w14:paraId="7E571B08"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90-95% do planificado</w:t>
            </w:r>
          </w:p>
        </w:tc>
        <w:tc>
          <w:tcPr>
            <w:tcW w:w="1660" w:type="dxa"/>
            <w:tcBorders>
              <w:top w:val="nil"/>
              <w:left w:val="nil"/>
              <w:bottom w:val="single" w:sz="4" w:space="0" w:color="auto"/>
              <w:right w:val="single" w:sz="4" w:space="0" w:color="auto"/>
            </w:tcBorders>
            <w:shd w:val="clear" w:color="auto" w:fill="auto"/>
            <w:noWrap/>
            <w:vAlign w:val="center"/>
            <w:hideMark/>
          </w:tcPr>
          <w:p w14:paraId="6EB5016F"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660" w:type="dxa"/>
            <w:tcBorders>
              <w:top w:val="nil"/>
              <w:left w:val="nil"/>
              <w:bottom w:val="single" w:sz="4" w:space="0" w:color="auto"/>
              <w:right w:val="double" w:sz="6" w:space="0" w:color="auto"/>
            </w:tcBorders>
            <w:shd w:val="clear" w:color="auto" w:fill="auto"/>
            <w:noWrap/>
            <w:vAlign w:val="center"/>
            <w:hideMark/>
          </w:tcPr>
          <w:p w14:paraId="3104DF29"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r>
      <w:tr w:rsidR="00AC60F1" w:rsidRPr="00292532" w14:paraId="1F0C8A12" w14:textId="77777777" w:rsidTr="00AC60F1">
        <w:trPr>
          <w:trHeight w:val="540"/>
        </w:trPr>
        <w:tc>
          <w:tcPr>
            <w:tcW w:w="2160" w:type="dxa"/>
            <w:vMerge/>
            <w:tcBorders>
              <w:top w:val="nil"/>
              <w:left w:val="double" w:sz="6" w:space="0" w:color="auto"/>
              <w:bottom w:val="double" w:sz="6" w:space="0" w:color="000000"/>
              <w:right w:val="single" w:sz="4" w:space="0" w:color="auto"/>
            </w:tcBorders>
            <w:vAlign w:val="center"/>
            <w:hideMark/>
          </w:tcPr>
          <w:p w14:paraId="355107FA" w14:textId="77777777" w:rsidR="00AC60F1" w:rsidRPr="004500AE" w:rsidRDefault="00AC60F1" w:rsidP="00AC60F1">
            <w:pPr>
              <w:spacing w:before="0" w:after="0"/>
              <w:jc w:val="left"/>
              <w:rPr>
                <w:rFonts w:asciiTheme="minorHAnsi" w:eastAsia="Times New Roman" w:hAnsiTheme="minorHAnsi" w:cstheme="minorHAnsi"/>
                <w:b/>
                <w:bCs/>
                <w:color w:val="000000"/>
                <w:sz w:val="18"/>
                <w:szCs w:val="18"/>
                <w:lang w:val="pt-PT"/>
              </w:rPr>
            </w:pPr>
          </w:p>
        </w:tc>
        <w:tc>
          <w:tcPr>
            <w:tcW w:w="2300" w:type="dxa"/>
            <w:tcBorders>
              <w:top w:val="nil"/>
              <w:left w:val="nil"/>
              <w:bottom w:val="single" w:sz="4" w:space="0" w:color="auto"/>
              <w:right w:val="single" w:sz="4" w:space="0" w:color="auto"/>
            </w:tcBorders>
            <w:shd w:val="clear" w:color="auto" w:fill="auto"/>
            <w:vAlign w:val="center"/>
            <w:hideMark/>
          </w:tcPr>
          <w:p w14:paraId="00ABC389"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Número de queixas apresentadas e resolvidas no nível 1</w:t>
            </w:r>
          </w:p>
        </w:tc>
        <w:tc>
          <w:tcPr>
            <w:tcW w:w="1660" w:type="dxa"/>
            <w:tcBorders>
              <w:top w:val="nil"/>
              <w:left w:val="nil"/>
              <w:bottom w:val="single" w:sz="4" w:space="0" w:color="auto"/>
              <w:right w:val="single" w:sz="4" w:space="0" w:color="auto"/>
            </w:tcBorders>
            <w:shd w:val="clear" w:color="auto" w:fill="auto"/>
            <w:noWrap/>
            <w:vAlign w:val="center"/>
            <w:hideMark/>
          </w:tcPr>
          <w:p w14:paraId="58791DB5"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80-95% do planificado</w:t>
            </w:r>
          </w:p>
        </w:tc>
        <w:tc>
          <w:tcPr>
            <w:tcW w:w="1660" w:type="dxa"/>
            <w:tcBorders>
              <w:top w:val="nil"/>
              <w:left w:val="nil"/>
              <w:bottom w:val="single" w:sz="4" w:space="0" w:color="auto"/>
              <w:right w:val="single" w:sz="4" w:space="0" w:color="auto"/>
            </w:tcBorders>
            <w:shd w:val="clear" w:color="auto" w:fill="auto"/>
            <w:noWrap/>
            <w:vAlign w:val="center"/>
            <w:hideMark/>
          </w:tcPr>
          <w:p w14:paraId="397598C6"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660" w:type="dxa"/>
            <w:tcBorders>
              <w:top w:val="nil"/>
              <w:left w:val="nil"/>
              <w:bottom w:val="single" w:sz="4" w:space="0" w:color="auto"/>
              <w:right w:val="double" w:sz="6" w:space="0" w:color="auto"/>
            </w:tcBorders>
            <w:shd w:val="clear" w:color="auto" w:fill="auto"/>
            <w:noWrap/>
            <w:vAlign w:val="center"/>
            <w:hideMark/>
          </w:tcPr>
          <w:p w14:paraId="6F72B812"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r>
      <w:tr w:rsidR="00AC60F1" w:rsidRPr="00292532" w14:paraId="1E8EB93A" w14:textId="77777777" w:rsidTr="00AC60F1">
        <w:trPr>
          <w:trHeight w:val="540"/>
        </w:trPr>
        <w:tc>
          <w:tcPr>
            <w:tcW w:w="2160" w:type="dxa"/>
            <w:vMerge/>
            <w:tcBorders>
              <w:top w:val="nil"/>
              <w:left w:val="double" w:sz="6" w:space="0" w:color="auto"/>
              <w:bottom w:val="double" w:sz="6" w:space="0" w:color="000000"/>
              <w:right w:val="single" w:sz="4" w:space="0" w:color="auto"/>
            </w:tcBorders>
            <w:vAlign w:val="center"/>
            <w:hideMark/>
          </w:tcPr>
          <w:p w14:paraId="3F198E02" w14:textId="77777777" w:rsidR="00AC60F1" w:rsidRPr="004500AE" w:rsidRDefault="00AC60F1" w:rsidP="00AC60F1">
            <w:pPr>
              <w:spacing w:before="0" w:after="0"/>
              <w:jc w:val="left"/>
              <w:rPr>
                <w:rFonts w:asciiTheme="minorHAnsi" w:eastAsia="Times New Roman" w:hAnsiTheme="minorHAnsi" w:cstheme="minorHAnsi"/>
                <w:b/>
                <w:bCs/>
                <w:color w:val="000000"/>
                <w:sz w:val="18"/>
                <w:szCs w:val="18"/>
                <w:lang w:val="pt-PT"/>
              </w:rPr>
            </w:pPr>
          </w:p>
        </w:tc>
        <w:tc>
          <w:tcPr>
            <w:tcW w:w="2300" w:type="dxa"/>
            <w:tcBorders>
              <w:top w:val="nil"/>
              <w:left w:val="nil"/>
              <w:bottom w:val="single" w:sz="4" w:space="0" w:color="auto"/>
              <w:right w:val="single" w:sz="4" w:space="0" w:color="auto"/>
            </w:tcBorders>
            <w:shd w:val="clear" w:color="auto" w:fill="auto"/>
            <w:vAlign w:val="center"/>
            <w:hideMark/>
          </w:tcPr>
          <w:p w14:paraId="5269C8C7"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Número de queixas apresentadas e resolvidas no nível 2</w:t>
            </w:r>
          </w:p>
        </w:tc>
        <w:tc>
          <w:tcPr>
            <w:tcW w:w="1660" w:type="dxa"/>
            <w:tcBorders>
              <w:top w:val="nil"/>
              <w:left w:val="nil"/>
              <w:bottom w:val="single" w:sz="4" w:space="0" w:color="auto"/>
              <w:right w:val="single" w:sz="4" w:space="0" w:color="auto"/>
            </w:tcBorders>
            <w:shd w:val="clear" w:color="auto" w:fill="auto"/>
            <w:noWrap/>
            <w:vAlign w:val="center"/>
            <w:hideMark/>
          </w:tcPr>
          <w:p w14:paraId="3F486345"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80-95% do planificado</w:t>
            </w:r>
          </w:p>
        </w:tc>
        <w:tc>
          <w:tcPr>
            <w:tcW w:w="1660" w:type="dxa"/>
            <w:tcBorders>
              <w:top w:val="nil"/>
              <w:left w:val="nil"/>
              <w:bottom w:val="single" w:sz="4" w:space="0" w:color="auto"/>
              <w:right w:val="single" w:sz="4" w:space="0" w:color="auto"/>
            </w:tcBorders>
            <w:shd w:val="clear" w:color="auto" w:fill="auto"/>
            <w:noWrap/>
            <w:vAlign w:val="center"/>
            <w:hideMark/>
          </w:tcPr>
          <w:p w14:paraId="571513E6"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660" w:type="dxa"/>
            <w:tcBorders>
              <w:top w:val="nil"/>
              <w:left w:val="nil"/>
              <w:bottom w:val="single" w:sz="4" w:space="0" w:color="auto"/>
              <w:right w:val="double" w:sz="6" w:space="0" w:color="auto"/>
            </w:tcBorders>
            <w:shd w:val="clear" w:color="auto" w:fill="auto"/>
            <w:noWrap/>
            <w:vAlign w:val="center"/>
            <w:hideMark/>
          </w:tcPr>
          <w:p w14:paraId="5EA9437B"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r>
      <w:tr w:rsidR="00AC60F1" w:rsidRPr="00292532" w14:paraId="1E3B0DA3" w14:textId="77777777" w:rsidTr="00AC60F1">
        <w:trPr>
          <w:trHeight w:val="540"/>
        </w:trPr>
        <w:tc>
          <w:tcPr>
            <w:tcW w:w="2160" w:type="dxa"/>
            <w:vMerge/>
            <w:tcBorders>
              <w:top w:val="nil"/>
              <w:left w:val="double" w:sz="6" w:space="0" w:color="auto"/>
              <w:bottom w:val="double" w:sz="6" w:space="0" w:color="000000"/>
              <w:right w:val="single" w:sz="4" w:space="0" w:color="auto"/>
            </w:tcBorders>
            <w:vAlign w:val="center"/>
            <w:hideMark/>
          </w:tcPr>
          <w:p w14:paraId="64649CFE" w14:textId="77777777" w:rsidR="00AC60F1" w:rsidRPr="004500AE" w:rsidRDefault="00AC60F1" w:rsidP="00AC60F1">
            <w:pPr>
              <w:spacing w:before="0" w:after="0"/>
              <w:jc w:val="left"/>
              <w:rPr>
                <w:rFonts w:asciiTheme="minorHAnsi" w:eastAsia="Times New Roman" w:hAnsiTheme="minorHAnsi" w:cstheme="minorHAnsi"/>
                <w:b/>
                <w:bCs/>
                <w:color w:val="000000"/>
                <w:sz w:val="18"/>
                <w:szCs w:val="18"/>
                <w:lang w:val="pt-PT"/>
              </w:rPr>
            </w:pPr>
          </w:p>
        </w:tc>
        <w:tc>
          <w:tcPr>
            <w:tcW w:w="2300" w:type="dxa"/>
            <w:tcBorders>
              <w:top w:val="nil"/>
              <w:left w:val="nil"/>
              <w:bottom w:val="single" w:sz="4" w:space="0" w:color="auto"/>
              <w:right w:val="single" w:sz="4" w:space="0" w:color="auto"/>
            </w:tcBorders>
            <w:shd w:val="clear" w:color="auto" w:fill="auto"/>
            <w:vAlign w:val="center"/>
            <w:hideMark/>
          </w:tcPr>
          <w:p w14:paraId="02E79B96"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queixas apresentadas e resolvidas no nível 3 </w:t>
            </w:r>
          </w:p>
        </w:tc>
        <w:tc>
          <w:tcPr>
            <w:tcW w:w="1660" w:type="dxa"/>
            <w:tcBorders>
              <w:top w:val="nil"/>
              <w:left w:val="nil"/>
              <w:bottom w:val="single" w:sz="4" w:space="0" w:color="auto"/>
              <w:right w:val="single" w:sz="4" w:space="0" w:color="auto"/>
            </w:tcBorders>
            <w:shd w:val="clear" w:color="auto" w:fill="auto"/>
            <w:noWrap/>
            <w:vAlign w:val="center"/>
            <w:hideMark/>
          </w:tcPr>
          <w:p w14:paraId="0A487EC5"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80-95% do planificado</w:t>
            </w:r>
          </w:p>
        </w:tc>
        <w:tc>
          <w:tcPr>
            <w:tcW w:w="1660" w:type="dxa"/>
            <w:tcBorders>
              <w:top w:val="nil"/>
              <w:left w:val="nil"/>
              <w:bottom w:val="single" w:sz="4" w:space="0" w:color="auto"/>
              <w:right w:val="single" w:sz="4" w:space="0" w:color="auto"/>
            </w:tcBorders>
            <w:shd w:val="clear" w:color="auto" w:fill="auto"/>
            <w:noWrap/>
            <w:vAlign w:val="center"/>
            <w:hideMark/>
          </w:tcPr>
          <w:p w14:paraId="1A3404AB"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660" w:type="dxa"/>
            <w:tcBorders>
              <w:top w:val="nil"/>
              <w:left w:val="nil"/>
              <w:bottom w:val="single" w:sz="4" w:space="0" w:color="auto"/>
              <w:right w:val="double" w:sz="6" w:space="0" w:color="auto"/>
            </w:tcBorders>
            <w:shd w:val="clear" w:color="auto" w:fill="auto"/>
            <w:noWrap/>
            <w:vAlign w:val="center"/>
            <w:hideMark/>
          </w:tcPr>
          <w:p w14:paraId="58A3C7F6"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r>
      <w:tr w:rsidR="00AC60F1" w:rsidRPr="00292532" w14:paraId="24061DD2" w14:textId="77777777" w:rsidTr="00AC60F1">
        <w:trPr>
          <w:trHeight w:val="555"/>
        </w:trPr>
        <w:tc>
          <w:tcPr>
            <w:tcW w:w="2160" w:type="dxa"/>
            <w:vMerge/>
            <w:tcBorders>
              <w:top w:val="nil"/>
              <w:left w:val="double" w:sz="6" w:space="0" w:color="auto"/>
              <w:bottom w:val="double" w:sz="6" w:space="0" w:color="000000"/>
              <w:right w:val="single" w:sz="4" w:space="0" w:color="auto"/>
            </w:tcBorders>
            <w:vAlign w:val="center"/>
            <w:hideMark/>
          </w:tcPr>
          <w:p w14:paraId="5A86D92A" w14:textId="77777777" w:rsidR="00AC60F1" w:rsidRPr="004500AE" w:rsidRDefault="00AC60F1" w:rsidP="00AC60F1">
            <w:pPr>
              <w:spacing w:before="0" w:after="0"/>
              <w:jc w:val="left"/>
              <w:rPr>
                <w:rFonts w:asciiTheme="minorHAnsi" w:eastAsia="Times New Roman" w:hAnsiTheme="minorHAnsi" w:cstheme="minorHAnsi"/>
                <w:b/>
                <w:bCs/>
                <w:color w:val="000000"/>
                <w:sz w:val="18"/>
                <w:szCs w:val="18"/>
                <w:lang w:val="pt-PT"/>
              </w:rPr>
            </w:pPr>
          </w:p>
        </w:tc>
        <w:tc>
          <w:tcPr>
            <w:tcW w:w="2300" w:type="dxa"/>
            <w:tcBorders>
              <w:top w:val="nil"/>
              <w:left w:val="nil"/>
              <w:bottom w:val="double" w:sz="6" w:space="0" w:color="auto"/>
              <w:right w:val="single" w:sz="4" w:space="0" w:color="auto"/>
            </w:tcBorders>
            <w:shd w:val="clear" w:color="auto" w:fill="auto"/>
            <w:vAlign w:val="center"/>
            <w:hideMark/>
          </w:tcPr>
          <w:p w14:paraId="02460DE2"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queixas tramitadas para tribunal </w:t>
            </w:r>
          </w:p>
        </w:tc>
        <w:tc>
          <w:tcPr>
            <w:tcW w:w="1660" w:type="dxa"/>
            <w:tcBorders>
              <w:top w:val="nil"/>
              <w:left w:val="nil"/>
              <w:bottom w:val="double" w:sz="6" w:space="0" w:color="auto"/>
              <w:right w:val="single" w:sz="4" w:space="0" w:color="auto"/>
            </w:tcBorders>
            <w:shd w:val="clear" w:color="auto" w:fill="auto"/>
            <w:noWrap/>
            <w:vAlign w:val="center"/>
            <w:hideMark/>
          </w:tcPr>
          <w:p w14:paraId="548F409C"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80-95% do planificado</w:t>
            </w:r>
          </w:p>
        </w:tc>
        <w:tc>
          <w:tcPr>
            <w:tcW w:w="1660" w:type="dxa"/>
            <w:tcBorders>
              <w:top w:val="nil"/>
              <w:left w:val="nil"/>
              <w:bottom w:val="double" w:sz="6" w:space="0" w:color="auto"/>
              <w:right w:val="single" w:sz="4" w:space="0" w:color="auto"/>
            </w:tcBorders>
            <w:shd w:val="clear" w:color="auto" w:fill="auto"/>
            <w:noWrap/>
            <w:vAlign w:val="center"/>
            <w:hideMark/>
          </w:tcPr>
          <w:p w14:paraId="16AE92A5"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660" w:type="dxa"/>
            <w:tcBorders>
              <w:top w:val="nil"/>
              <w:left w:val="nil"/>
              <w:bottom w:val="double" w:sz="6" w:space="0" w:color="auto"/>
              <w:right w:val="double" w:sz="6" w:space="0" w:color="auto"/>
            </w:tcBorders>
            <w:shd w:val="clear" w:color="auto" w:fill="auto"/>
            <w:noWrap/>
            <w:vAlign w:val="center"/>
            <w:hideMark/>
          </w:tcPr>
          <w:p w14:paraId="423C729F" w14:textId="77777777" w:rsidR="00AC60F1" w:rsidRPr="004500AE" w:rsidRDefault="00AC60F1" w:rsidP="00AC60F1">
            <w:pPr>
              <w:spacing w:before="0" w:after="0"/>
              <w:jc w:val="cente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r>
    </w:tbl>
    <w:p w14:paraId="43AE045A" w14:textId="05E9BDE0" w:rsidR="009757BD" w:rsidRPr="00292532" w:rsidRDefault="009757BD" w:rsidP="009757BD">
      <w:pPr>
        <w:rPr>
          <w:lang w:val="pt-PT"/>
        </w:rPr>
      </w:pPr>
    </w:p>
    <w:p w14:paraId="6352D6B2" w14:textId="77777777" w:rsidR="009757BD" w:rsidRPr="00292532" w:rsidRDefault="009757BD" w:rsidP="004500AE">
      <w:pPr>
        <w:tabs>
          <w:tab w:val="left" w:pos="2160"/>
        </w:tabs>
        <w:rPr>
          <w:lang w:val="pt-PT"/>
        </w:rPr>
        <w:sectPr w:rsidR="009757BD" w:rsidRPr="00292532" w:rsidSect="00C01674">
          <w:pgSz w:w="11906" w:h="16838"/>
          <w:pgMar w:top="1417" w:right="1701" w:bottom="1417" w:left="1701" w:header="708" w:footer="708"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p>
    <w:p w14:paraId="7325F14B" w14:textId="1B1081DE" w:rsidR="009757BD" w:rsidRPr="00292532" w:rsidRDefault="009757BD" w:rsidP="009757BD">
      <w:pPr>
        <w:rPr>
          <w:lang w:val="pt-PT"/>
        </w:rPr>
      </w:pPr>
    </w:p>
    <w:p w14:paraId="54A66673" w14:textId="7CF0F4FF" w:rsidR="00167670" w:rsidRPr="00292532" w:rsidRDefault="009757BD" w:rsidP="009757BD">
      <w:pPr>
        <w:pStyle w:val="Heading1"/>
        <w:rPr>
          <w:lang w:val="pt-PT" w:eastAsia="ja-JP"/>
        </w:rPr>
      </w:pPr>
      <w:bookmarkStart w:id="484" w:name="_Toc80380079"/>
      <w:r w:rsidRPr="00292532">
        <w:rPr>
          <w:lang w:val="pt-PT" w:eastAsia="ja-JP"/>
        </w:rPr>
        <w:t xml:space="preserve">Estimativa de orçamento e cronograma de implementação do </w:t>
      </w:r>
      <w:proofErr w:type="spellStart"/>
      <w:r w:rsidRPr="00292532">
        <w:rPr>
          <w:lang w:val="pt-PT" w:eastAsia="ja-JP"/>
        </w:rPr>
        <w:t>Projecto</w:t>
      </w:r>
      <w:bookmarkEnd w:id="484"/>
      <w:proofErr w:type="spellEnd"/>
    </w:p>
    <w:p w14:paraId="1CA08009" w14:textId="0B498153" w:rsidR="00CA0B03" w:rsidRDefault="00C62097" w:rsidP="002E2E90">
      <w:pPr>
        <w:rPr>
          <w:lang w:val="pt-PT" w:eastAsia="ja-JP"/>
        </w:rPr>
      </w:pPr>
      <w:bookmarkStart w:id="485" w:name="_Hlk75445783"/>
      <w:r w:rsidRPr="00292532">
        <w:rPr>
          <w:lang w:val="pt-PT" w:eastAsia="ja-JP"/>
        </w:rPr>
        <w:t xml:space="preserve">O orçamento estimado para a implementação do QGAS do </w:t>
      </w:r>
      <w:proofErr w:type="spellStart"/>
      <w:r w:rsidRPr="00292532">
        <w:rPr>
          <w:lang w:val="pt-PT" w:eastAsia="ja-JP"/>
        </w:rPr>
        <w:t>Projecto</w:t>
      </w:r>
      <w:proofErr w:type="spellEnd"/>
      <w:r w:rsidRPr="00292532">
        <w:rPr>
          <w:lang w:val="pt-PT" w:eastAsia="ja-JP"/>
        </w:rPr>
        <w:t xml:space="preserve"> visa assegurar recursos financeiros necessários para a implementação de </w:t>
      </w:r>
      <w:proofErr w:type="spellStart"/>
      <w:r w:rsidRPr="00292532">
        <w:rPr>
          <w:lang w:val="pt-PT" w:eastAsia="ja-JP"/>
        </w:rPr>
        <w:t>actividades</w:t>
      </w:r>
      <w:proofErr w:type="spellEnd"/>
      <w:r w:rsidRPr="00292532">
        <w:rPr>
          <w:lang w:val="pt-PT" w:eastAsia="ja-JP"/>
        </w:rPr>
        <w:t xml:space="preserve"> relacionadas com a aplicação das ferramentas de salvaguardas (gestão ambiental e social), incluindo reforço de capacidade das UIP. O custo total para a implementação do QGAS é de </w:t>
      </w:r>
      <w:r w:rsidRPr="003625C7">
        <w:rPr>
          <w:lang w:val="pt-PT" w:eastAsia="ja-JP"/>
        </w:rPr>
        <w:t xml:space="preserve">US$ </w:t>
      </w:r>
      <w:r w:rsidR="003625C7" w:rsidRPr="003625C7">
        <w:rPr>
          <w:lang w:val="pt-PT" w:eastAsia="ja-JP"/>
        </w:rPr>
        <w:t>4</w:t>
      </w:r>
      <w:r w:rsidR="00CA0B03" w:rsidRPr="003625C7">
        <w:rPr>
          <w:lang w:val="pt-PT" w:eastAsia="ja-JP"/>
        </w:rPr>
        <w:t>.</w:t>
      </w:r>
      <w:r w:rsidR="003625C7" w:rsidRPr="003625C7">
        <w:rPr>
          <w:lang w:val="pt-PT" w:eastAsia="ja-JP"/>
        </w:rPr>
        <w:t>999.6</w:t>
      </w:r>
      <w:r w:rsidR="00CA0B03" w:rsidRPr="003625C7">
        <w:rPr>
          <w:lang w:val="pt-PT" w:eastAsia="ja-JP"/>
        </w:rPr>
        <w:t>00</w:t>
      </w:r>
      <w:r w:rsidRPr="003625C7">
        <w:rPr>
          <w:lang w:val="pt-PT" w:eastAsia="ja-JP"/>
        </w:rPr>
        <w:t xml:space="preserve"> Dólares Americanos, </w:t>
      </w:r>
      <w:bookmarkEnd w:id="485"/>
      <w:r w:rsidRPr="003625C7">
        <w:rPr>
          <w:lang w:val="pt-PT" w:eastAsia="ja-JP"/>
        </w:rPr>
        <w:t>conforme apresentado na seguinte</w:t>
      </w:r>
      <w:r w:rsidR="000D7B05" w:rsidRPr="003625C7">
        <w:rPr>
          <w:lang w:val="pt-PT" w:eastAsia="ja-JP"/>
        </w:rPr>
        <w:t xml:space="preserve"> </w:t>
      </w:r>
      <w:r w:rsidR="000D7B05" w:rsidRPr="003625C7">
        <w:rPr>
          <w:b/>
          <w:bCs/>
          <w:lang w:val="pt-PT" w:eastAsia="ja-JP"/>
        </w:rPr>
        <w:fldChar w:fldCharType="begin"/>
      </w:r>
      <w:r w:rsidR="000D7B05" w:rsidRPr="003625C7">
        <w:rPr>
          <w:b/>
          <w:bCs/>
          <w:lang w:val="pt-PT" w:eastAsia="ja-JP"/>
        </w:rPr>
        <w:instrText xml:space="preserve"> REF _Ref78435237 \h  \* MERGEFORMAT </w:instrText>
      </w:r>
      <w:r w:rsidR="000D7B05" w:rsidRPr="003625C7">
        <w:rPr>
          <w:b/>
          <w:bCs/>
          <w:lang w:val="pt-PT" w:eastAsia="ja-JP"/>
        </w:rPr>
      </w:r>
      <w:r w:rsidR="000D7B05" w:rsidRPr="003625C7">
        <w:rPr>
          <w:b/>
          <w:bCs/>
          <w:lang w:val="pt-PT" w:eastAsia="ja-JP"/>
        </w:rPr>
        <w:fldChar w:fldCharType="separate"/>
      </w:r>
      <w:r w:rsidR="000D7B05" w:rsidRPr="003625C7">
        <w:rPr>
          <w:b/>
          <w:bCs/>
          <w:lang w:val="pt-PT"/>
        </w:rPr>
        <w:t xml:space="preserve">Tabela </w:t>
      </w:r>
      <w:r w:rsidR="000D7B05" w:rsidRPr="003625C7">
        <w:rPr>
          <w:b/>
          <w:bCs/>
          <w:noProof/>
          <w:lang w:val="pt-PT"/>
        </w:rPr>
        <w:t>37</w:t>
      </w:r>
      <w:r w:rsidR="000D7B05" w:rsidRPr="003625C7">
        <w:rPr>
          <w:b/>
          <w:bCs/>
          <w:lang w:val="pt-PT" w:eastAsia="ja-JP"/>
        </w:rPr>
        <w:fldChar w:fldCharType="end"/>
      </w:r>
      <w:r w:rsidR="00CA0B03" w:rsidRPr="003625C7">
        <w:rPr>
          <w:lang w:val="pt-PT" w:eastAsia="ja-JP"/>
        </w:rPr>
        <w:t xml:space="preserve">. O custo aqui apresentado é indicativo e cobrem todas as necessidades de </w:t>
      </w:r>
      <w:proofErr w:type="spellStart"/>
      <w:r w:rsidR="00CA0B03" w:rsidRPr="003625C7">
        <w:rPr>
          <w:lang w:val="pt-PT" w:eastAsia="ja-JP"/>
        </w:rPr>
        <w:t>implemetação</w:t>
      </w:r>
      <w:proofErr w:type="spellEnd"/>
      <w:r w:rsidR="00CA0B03" w:rsidRPr="003625C7">
        <w:rPr>
          <w:lang w:val="pt-PT" w:eastAsia="ja-JP"/>
        </w:rPr>
        <w:t xml:space="preserve"> do QGAS, incluindo os custos para a preparação dos Estudos de Impacto Ambiental em cada uma das províncias, a taxa de licenciamento ambiental, assumindo </w:t>
      </w:r>
      <w:proofErr w:type="spellStart"/>
      <w:r w:rsidR="00CA0B03" w:rsidRPr="003625C7">
        <w:rPr>
          <w:lang w:val="pt-PT" w:eastAsia="ja-JP"/>
        </w:rPr>
        <w:t>projectos</w:t>
      </w:r>
      <w:proofErr w:type="spellEnd"/>
      <w:r w:rsidR="00CA0B03" w:rsidRPr="003625C7">
        <w:rPr>
          <w:lang w:val="pt-PT" w:eastAsia="ja-JP"/>
        </w:rPr>
        <w:t xml:space="preserve"> de categoria B. Foi alocado US$ </w:t>
      </w:r>
      <w:r w:rsidR="003625C7" w:rsidRPr="003625C7">
        <w:rPr>
          <w:lang w:val="pt-PT" w:eastAsia="ja-JP"/>
        </w:rPr>
        <w:t>657</w:t>
      </w:r>
      <w:r w:rsidR="003625C7">
        <w:rPr>
          <w:lang w:val="pt-PT" w:eastAsia="ja-JP"/>
        </w:rPr>
        <w:t>.</w:t>
      </w:r>
      <w:r w:rsidR="003625C7" w:rsidRPr="003625C7">
        <w:rPr>
          <w:lang w:val="pt-PT" w:eastAsia="ja-JP"/>
        </w:rPr>
        <w:t>600</w:t>
      </w:r>
      <w:r w:rsidR="00CA0B03" w:rsidRPr="003625C7">
        <w:rPr>
          <w:lang w:val="pt-PT" w:eastAsia="ja-JP"/>
        </w:rPr>
        <w:t xml:space="preserve"> dólares</w:t>
      </w:r>
      <w:r w:rsidR="00CA0B03">
        <w:rPr>
          <w:lang w:val="pt-PT" w:eastAsia="ja-JP"/>
        </w:rPr>
        <w:t xml:space="preserve"> para a </w:t>
      </w:r>
      <w:proofErr w:type="spellStart"/>
      <w:r w:rsidR="00CA0B03">
        <w:rPr>
          <w:lang w:val="pt-PT" w:eastAsia="ja-JP"/>
        </w:rPr>
        <w:t>implemtacao</w:t>
      </w:r>
      <w:proofErr w:type="spellEnd"/>
      <w:r w:rsidR="00CA0B03">
        <w:rPr>
          <w:lang w:val="pt-PT" w:eastAsia="ja-JP"/>
        </w:rPr>
        <w:t xml:space="preserve"> do PEPI, como previsto no </w:t>
      </w:r>
      <w:proofErr w:type="spellStart"/>
      <w:r w:rsidR="00CA0B03">
        <w:rPr>
          <w:lang w:val="pt-PT" w:eastAsia="ja-JP"/>
        </w:rPr>
        <w:t>respectivo</w:t>
      </w:r>
      <w:proofErr w:type="spellEnd"/>
      <w:r w:rsidR="00CA0B03">
        <w:rPr>
          <w:lang w:val="pt-PT" w:eastAsia="ja-JP"/>
        </w:rPr>
        <w:t xml:space="preserve"> relatório.</w:t>
      </w:r>
    </w:p>
    <w:p w14:paraId="53C8987D" w14:textId="005753C1" w:rsidR="00C62097" w:rsidRPr="00292532" w:rsidRDefault="00E438E6" w:rsidP="000D7B05">
      <w:pPr>
        <w:pStyle w:val="Caption"/>
      </w:pPr>
      <w:bookmarkStart w:id="486" w:name="_Ref78435237"/>
      <w:bookmarkStart w:id="487" w:name="_Toc80380284"/>
      <w:r w:rsidRPr="00E438E6">
        <w:rPr>
          <w:noProof/>
        </w:rPr>
        <w:drawing>
          <wp:anchor distT="0" distB="0" distL="114300" distR="114300" simplePos="0" relativeHeight="252142592" behindDoc="0" locked="0" layoutInCell="1" allowOverlap="1" wp14:anchorId="7DB389C0" wp14:editId="549B4036">
            <wp:simplePos x="0" y="0"/>
            <wp:positionH relativeFrom="column">
              <wp:posOffset>-127635</wp:posOffset>
            </wp:positionH>
            <wp:positionV relativeFrom="paragraph">
              <wp:posOffset>344170</wp:posOffset>
            </wp:positionV>
            <wp:extent cx="6200140" cy="4687570"/>
            <wp:effectExtent l="0" t="0" r="0" b="0"/>
            <wp:wrapTopAndBottom/>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00140" cy="4687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7B05">
        <w:t xml:space="preserve">Tabela </w:t>
      </w:r>
      <w:r w:rsidR="000D7B05">
        <w:fldChar w:fldCharType="begin"/>
      </w:r>
      <w:r w:rsidR="000D7B05">
        <w:instrText xml:space="preserve"> SEQ Tabela \* ARABIC </w:instrText>
      </w:r>
      <w:r w:rsidR="000D7B05">
        <w:fldChar w:fldCharType="separate"/>
      </w:r>
      <w:r w:rsidR="007C5244">
        <w:rPr>
          <w:noProof/>
        </w:rPr>
        <w:t>37</w:t>
      </w:r>
      <w:r w:rsidR="000D7B05">
        <w:fldChar w:fldCharType="end"/>
      </w:r>
      <w:bookmarkEnd w:id="486"/>
      <w:r w:rsidR="00C62097" w:rsidRPr="00292532">
        <w:t>: Proposta do Orçamento indicativo</w:t>
      </w:r>
      <w:bookmarkEnd w:id="487"/>
    </w:p>
    <w:p w14:paraId="1E3CDEC5" w14:textId="46023DAC" w:rsidR="002E5ACD" w:rsidRPr="00292532" w:rsidRDefault="002E5ACD" w:rsidP="00C31925">
      <w:pPr>
        <w:rPr>
          <w:lang w:val="pt-PT" w:eastAsia="ja-JP"/>
        </w:rPr>
      </w:pPr>
    </w:p>
    <w:p w14:paraId="5B1FB2DA" w14:textId="77777777" w:rsidR="002A1C98" w:rsidRPr="00292532" w:rsidRDefault="002A1C98" w:rsidP="00C31925">
      <w:pPr>
        <w:rPr>
          <w:lang w:val="pt-PT" w:eastAsia="ja-JP"/>
        </w:rPr>
      </w:pPr>
    </w:p>
    <w:p w14:paraId="5FC6874A" w14:textId="77777777" w:rsidR="002A1C98" w:rsidRPr="00292532" w:rsidRDefault="002A1C98" w:rsidP="00C31925">
      <w:pPr>
        <w:rPr>
          <w:lang w:val="pt-PT" w:eastAsia="ja-JP"/>
        </w:rPr>
      </w:pPr>
    </w:p>
    <w:p w14:paraId="6E1F6DC8" w14:textId="77777777" w:rsidR="002A1C98" w:rsidRPr="004500AE" w:rsidRDefault="002A1C98" w:rsidP="004500AE">
      <w:pPr>
        <w:pStyle w:val="Heading1"/>
        <w:rPr>
          <w:lang w:val="pt-PT"/>
        </w:rPr>
      </w:pPr>
      <w:bookmarkStart w:id="488" w:name="_Toc80380080"/>
      <w:proofErr w:type="spellStart"/>
      <w:r w:rsidRPr="004500AE">
        <w:rPr>
          <w:lang w:val="pt-PT"/>
        </w:rPr>
        <w:lastRenderedPageBreak/>
        <w:t>Directrizes</w:t>
      </w:r>
      <w:proofErr w:type="spellEnd"/>
      <w:r w:rsidRPr="004500AE">
        <w:rPr>
          <w:lang w:val="pt-PT"/>
        </w:rPr>
        <w:t xml:space="preserve"> Gerais para a Componente de Resposta a Emergências e Contingências</w:t>
      </w:r>
      <w:bookmarkEnd w:id="488"/>
      <w:r w:rsidRPr="004500AE">
        <w:rPr>
          <w:lang w:val="pt-PT"/>
        </w:rPr>
        <w:t xml:space="preserve"> </w:t>
      </w:r>
    </w:p>
    <w:p w14:paraId="46C37B28" w14:textId="4F669D06" w:rsidR="002A1C98" w:rsidRPr="00292532" w:rsidRDefault="002A1C98" w:rsidP="002A1C98">
      <w:pPr>
        <w:rPr>
          <w:lang w:val="pt-PT" w:eastAsia="ja-JP"/>
        </w:rPr>
      </w:pPr>
      <w:r w:rsidRPr="00292532">
        <w:rPr>
          <w:lang w:val="pt-PT" w:eastAsia="ja-JP"/>
        </w:rPr>
        <w:t>A Componente de Reposta a Emergências e Contingências (CERC) englobará atividades propostas a serem realizadas no âmbito da Contingência e Resposta de Emergência, normalmente para responder a um eventual desastre ou catástrofe natural (p.e. obras de</w:t>
      </w:r>
      <w:r w:rsidR="00292532">
        <w:rPr>
          <w:lang w:val="pt-PT" w:eastAsia="ja-JP"/>
        </w:rPr>
        <w:t xml:space="preserve"> </w:t>
      </w:r>
      <w:r w:rsidR="00292532" w:rsidRPr="00292532">
        <w:rPr>
          <w:lang w:val="pt-PT" w:eastAsia="ja-JP"/>
        </w:rPr>
        <w:t>reabilitação</w:t>
      </w:r>
      <w:r w:rsidRPr="00292532">
        <w:rPr>
          <w:lang w:val="pt-PT" w:eastAsia="ja-JP"/>
        </w:rPr>
        <w:t xml:space="preserve"> de sistemas de abastecimento de água pó- cheias). </w:t>
      </w:r>
    </w:p>
    <w:p w14:paraId="5577155F" w14:textId="1C16F989" w:rsidR="002A1C98" w:rsidRPr="00292532" w:rsidRDefault="002A1C98" w:rsidP="002A1C98">
      <w:pPr>
        <w:rPr>
          <w:lang w:val="pt-PT" w:eastAsia="ja-JP"/>
        </w:rPr>
      </w:pPr>
      <w:r w:rsidRPr="00292532">
        <w:rPr>
          <w:lang w:val="pt-PT" w:eastAsia="ja-JP"/>
        </w:rPr>
        <w:t xml:space="preserve">Em situações de emergências, as </w:t>
      </w:r>
      <w:proofErr w:type="spellStart"/>
      <w:r w:rsidRPr="00292532">
        <w:rPr>
          <w:lang w:val="pt-PT" w:eastAsia="ja-JP"/>
        </w:rPr>
        <w:t>UIPs</w:t>
      </w:r>
      <w:proofErr w:type="spellEnd"/>
      <w:r w:rsidRPr="00292532">
        <w:rPr>
          <w:lang w:val="pt-PT" w:eastAsia="ja-JP"/>
        </w:rPr>
        <w:t xml:space="preserve"> implementarão os </w:t>
      </w:r>
      <w:proofErr w:type="spellStart"/>
      <w:r w:rsidRPr="00292532">
        <w:rPr>
          <w:lang w:val="pt-PT" w:eastAsia="ja-JP"/>
        </w:rPr>
        <w:t>Projectos</w:t>
      </w:r>
      <w:proofErr w:type="spellEnd"/>
      <w:r w:rsidRPr="00292532">
        <w:rPr>
          <w:lang w:val="pt-PT" w:eastAsia="ja-JP"/>
        </w:rPr>
        <w:t xml:space="preserve"> em coordenação com o Instituto Nacional de Gestão de Desastres (</w:t>
      </w:r>
      <w:r w:rsidR="005D718E">
        <w:rPr>
          <w:lang w:val="pt-PT" w:eastAsia="ja-JP"/>
        </w:rPr>
        <w:t>INGDINGD</w:t>
      </w:r>
      <w:r w:rsidRPr="00292532">
        <w:rPr>
          <w:lang w:val="pt-PT" w:eastAsia="ja-JP"/>
        </w:rPr>
        <w:t>), tendo este a responsabilidade e uma estrutura eficaz para dar resposta em situação de desastre.</w:t>
      </w:r>
    </w:p>
    <w:p w14:paraId="75946C46" w14:textId="4E12102A" w:rsidR="002A1C98" w:rsidRPr="00292532" w:rsidRDefault="002A1C98" w:rsidP="002A1C98">
      <w:pPr>
        <w:rPr>
          <w:lang w:val="pt-PT" w:eastAsia="ja-JP"/>
        </w:rPr>
      </w:pPr>
      <w:r w:rsidRPr="00292532">
        <w:rPr>
          <w:lang w:val="pt-PT" w:eastAsia="ja-JP"/>
        </w:rPr>
        <w:t xml:space="preserve">Assume-se que os </w:t>
      </w:r>
      <w:proofErr w:type="spellStart"/>
      <w:r w:rsidRPr="00292532">
        <w:rPr>
          <w:lang w:val="pt-PT" w:eastAsia="ja-JP"/>
        </w:rPr>
        <w:t>Projecto</w:t>
      </w:r>
      <w:proofErr w:type="spellEnd"/>
      <w:r w:rsidRPr="00292532">
        <w:rPr>
          <w:lang w:val="pt-PT" w:eastAsia="ja-JP"/>
        </w:rPr>
        <w:t xml:space="preserve"> a serem implementados, devido a sua natureza (de recuperação e restituição) e urgência não implicarão</w:t>
      </w:r>
      <w:r w:rsidR="00814BC5" w:rsidRPr="00292532">
        <w:rPr>
          <w:lang w:val="pt-PT" w:eastAsia="ja-JP"/>
        </w:rPr>
        <w:t>, na sua maioria,</w:t>
      </w:r>
      <w:r w:rsidRPr="00292532">
        <w:rPr>
          <w:lang w:val="pt-PT" w:eastAsia="ja-JP"/>
        </w:rPr>
        <w:t xml:space="preserve"> impactos negativos significativos dada a reduzida dimensão e complexidade. Todavia, no caso de </w:t>
      </w:r>
      <w:proofErr w:type="spellStart"/>
      <w:r w:rsidRPr="00292532">
        <w:rPr>
          <w:lang w:val="pt-PT" w:eastAsia="ja-JP"/>
        </w:rPr>
        <w:t>activação</w:t>
      </w:r>
      <w:proofErr w:type="spellEnd"/>
      <w:r w:rsidRPr="00292532">
        <w:rPr>
          <w:lang w:val="pt-PT" w:eastAsia="ja-JP"/>
        </w:rPr>
        <w:t xml:space="preserve"> da Componente CERC e </w:t>
      </w:r>
      <w:proofErr w:type="spellStart"/>
      <w:r w:rsidRPr="00292532">
        <w:rPr>
          <w:lang w:val="pt-PT" w:eastAsia="ja-JP"/>
        </w:rPr>
        <w:t>selecção</w:t>
      </w:r>
      <w:proofErr w:type="spellEnd"/>
      <w:r w:rsidRPr="00292532">
        <w:rPr>
          <w:lang w:val="pt-PT" w:eastAsia="ja-JP"/>
        </w:rPr>
        <w:t xml:space="preserve"> de um subprojecto, deverão ser seguidos os seguintes passos com vista a gestão apropriada das riscos e minimização dos impactos ambientais em conformidade com os requisitos do Banco Mundial e da legislação nacional. </w:t>
      </w:r>
    </w:p>
    <w:p w14:paraId="18C272E2" w14:textId="7C211B73" w:rsidR="00814BC5" w:rsidRPr="00292532" w:rsidRDefault="00814BC5" w:rsidP="002A1C98">
      <w:pPr>
        <w:rPr>
          <w:lang w:val="pt-PT" w:eastAsia="ja-JP"/>
        </w:rPr>
      </w:pPr>
      <w:r w:rsidRPr="00292532">
        <w:rPr>
          <w:lang w:val="pt-PT" w:eastAsia="ja-JP"/>
        </w:rPr>
        <w:t xml:space="preserve">Por outro lado, como mencionado, o artigo 5 do Decreto 54/2015 prevê a isenção na realização do EIA ou EIA simplificado para algumas atividades, particularmente aquelas relacionadas a </w:t>
      </w:r>
      <w:proofErr w:type="spellStart"/>
      <w:r w:rsidRPr="00292532">
        <w:rPr>
          <w:lang w:val="pt-PT" w:eastAsia="ja-JP"/>
        </w:rPr>
        <w:t>acções</w:t>
      </w:r>
      <w:proofErr w:type="spellEnd"/>
      <w:r w:rsidRPr="00292532">
        <w:rPr>
          <w:lang w:val="pt-PT" w:eastAsia="ja-JP"/>
        </w:rPr>
        <w:t xml:space="preserve"> imediatas em resposta a desastres ou calamidades naturais, emergências resultantes de atividades de desenvolvimento e atividades relacionadas com a defesa nacional e segurança. No caso de desastres e emergências, o Artigo (2) estipula que o MTA deve dar instruções para tais isenções, e fazer provisões para auditorias posteriormente.</w:t>
      </w:r>
    </w:p>
    <w:p w14:paraId="3C5FFEEE" w14:textId="751604B9" w:rsidR="00814BC5" w:rsidRPr="00292532" w:rsidRDefault="00814BC5" w:rsidP="002A1C98">
      <w:pPr>
        <w:rPr>
          <w:lang w:val="pt-PT" w:eastAsia="ja-JP"/>
        </w:rPr>
      </w:pPr>
      <w:r w:rsidRPr="00292532">
        <w:rPr>
          <w:lang w:val="pt-PT" w:eastAsia="ja-JP"/>
        </w:rPr>
        <w:t xml:space="preserve">Tendo em conta o acima exposto e com o </w:t>
      </w:r>
      <w:proofErr w:type="spellStart"/>
      <w:r w:rsidRPr="00292532">
        <w:rPr>
          <w:lang w:val="pt-PT" w:eastAsia="ja-JP"/>
        </w:rPr>
        <w:t>objectivo</w:t>
      </w:r>
      <w:proofErr w:type="spellEnd"/>
      <w:r w:rsidRPr="00292532">
        <w:rPr>
          <w:lang w:val="pt-PT" w:eastAsia="ja-JP"/>
        </w:rPr>
        <w:t xml:space="preserve"> de manter conformidade com a legislação nacional e com os requisitos do Banco Mundial, imediatamente após a identificação e </w:t>
      </w:r>
      <w:proofErr w:type="spellStart"/>
      <w:r w:rsidRPr="00292532">
        <w:rPr>
          <w:lang w:val="pt-PT" w:eastAsia="ja-JP"/>
        </w:rPr>
        <w:t>activação</w:t>
      </w:r>
      <w:proofErr w:type="spellEnd"/>
      <w:r w:rsidRPr="00292532">
        <w:rPr>
          <w:lang w:val="pt-PT" w:eastAsia="ja-JP"/>
        </w:rPr>
        <w:t xml:space="preserve"> de um </w:t>
      </w:r>
      <w:proofErr w:type="spellStart"/>
      <w:r w:rsidRPr="00292532">
        <w:rPr>
          <w:lang w:val="pt-PT" w:eastAsia="ja-JP"/>
        </w:rPr>
        <w:t>Projecto</w:t>
      </w:r>
      <w:proofErr w:type="spellEnd"/>
      <w:r w:rsidRPr="00292532">
        <w:rPr>
          <w:lang w:val="pt-PT" w:eastAsia="ja-JP"/>
        </w:rPr>
        <w:t xml:space="preserve"> no </w:t>
      </w:r>
      <w:r w:rsidR="00292532" w:rsidRPr="00292532">
        <w:rPr>
          <w:lang w:val="pt-PT" w:eastAsia="ja-JP"/>
        </w:rPr>
        <w:t>âmbito</w:t>
      </w:r>
      <w:r w:rsidRPr="00292532">
        <w:rPr>
          <w:lang w:val="pt-PT" w:eastAsia="ja-JP"/>
        </w:rPr>
        <w:t xml:space="preserve"> da CERC, propõe-se que sejam seguidas as etapas descritas na  </w:t>
      </w:r>
      <w:r w:rsidRPr="004500AE">
        <w:rPr>
          <w:b/>
          <w:bCs/>
          <w:lang w:val="pt-PT" w:eastAsia="ja-JP"/>
        </w:rPr>
        <w:fldChar w:fldCharType="begin"/>
      </w:r>
      <w:r w:rsidRPr="004500AE">
        <w:rPr>
          <w:b/>
          <w:bCs/>
          <w:lang w:val="pt-PT" w:eastAsia="ja-JP"/>
        </w:rPr>
        <w:instrText xml:space="preserve"> REF _Ref78421047 \h </w:instrText>
      </w:r>
      <w:r w:rsidRPr="00292532">
        <w:rPr>
          <w:b/>
          <w:bCs/>
          <w:lang w:val="pt-PT" w:eastAsia="ja-JP"/>
        </w:rPr>
        <w:instrText xml:space="preserve"> \* MERGEFORMAT </w:instrText>
      </w:r>
      <w:r w:rsidRPr="004500AE">
        <w:rPr>
          <w:b/>
          <w:bCs/>
          <w:lang w:val="pt-PT" w:eastAsia="ja-JP"/>
        </w:rPr>
      </w:r>
      <w:r w:rsidRPr="004500AE">
        <w:rPr>
          <w:b/>
          <w:bCs/>
          <w:lang w:val="pt-PT" w:eastAsia="ja-JP"/>
        </w:rPr>
        <w:fldChar w:fldCharType="separate"/>
      </w:r>
      <w:r w:rsidR="000D7B05" w:rsidRPr="004500AE">
        <w:rPr>
          <w:b/>
          <w:bCs/>
          <w:lang w:val="pt-PT"/>
        </w:rPr>
        <w:t xml:space="preserve">Tabela </w:t>
      </w:r>
      <w:r w:rsidR="000D7B05" w:rsidRPr="004500AE">
        <w:rPr>
          <w:b/>
          <w:bCs/>
          <w:noProof/>
          <w:lang w:val="pt-PT"/>
        </w:rPr>
        <w:t>38</w:t>
      </w:r>
      <w:r w:rsidRPr="004500AE">
        <w:rPr>
          <w:b/>
          <w:bCs/>
          <w:lang w:val="pt-PT" w:eastAsia="ja-JP"/>
        </w:rPr>
        <w:fldChar w:fldCharType="end"/>
      </w:r>
      <w:r w:rsidRPr="00292532">
        <w:rPr>
          <w:lang w:val="pt-PT" w:eastAsia="ja-JP"/>
        </w:rPr>
        <w:t xml:space="preserve"> abaixo.</w:t>
      </w:r>
    </w:p>
    <w:p w14:paraId="5720557D" w14:textId="605C0594" w:rsidR="00814BC5" w:rsidRPr="00292532" w:rsidRDefault="00814BC5" w:rsidP="00814BC5">
      <w:pPr>
        <w:pStyle w:val="Caption"/>
      </w:pPr>
      <w:bookmarkStart w:id="489" w:name="_Ref78421047"/>
      <w:bookmarkStart w:id="490" w:name="_Toc80380285"/>
      <w:r w:rsidRPr="00292532">
        <w:t xml:space="preserve">Tabela </w:t>
      </w:r>
      <w:r w:rsidRPr="00292532">
        <w:fldChar w:fldCharType="begin"/>
      </w:r>
      <w:r w:rsidRPr="00292532">
        <w:instrText xml:space="preserve"> SEQ Tabela \* ARABIC </w:instrText>
      </w:r>
      <w:r w:rsidRPr="00292532">
        <w:fldChar w:fldCharType="separate"/>
      </w:r>
      <w:r w:rsidR="00F83E37">
        <w:rPr>
          <w:noProof/>
        </w:rPr>
        <w:t>38</w:t>
      </w:r>
      <w:r w:rsidRPr="00292532">
        <w:fldChar w:fldCharType="end"/>
      </w:r>
      <w:bookmarkEnd w:id="489"/>
      <w:r w:rsidRPr="00292532">
        <w:t>: Principais Etapas do Processo de Triagem Ambiental e Social para Subprojectos no âmbito da CERC</w:t>
      </w:r>
      <w:bookmarkEnd w:id="490"/>
    </w:p>
    <w:tbl>
      <w:tblPr>
        <w:tblStyle w:val="GridTable2-Accent5"/>
        <w:tblW w:w="8820" w:type="dxa"/>
        <w:tblLook w:val="04A0" w:firstRow="1" w:lastRow="0" w:firstColumn="1" w:lastColumn="0" w:noHBand="0" w:noVBand="1"/>
      </w:tblPr>
      <w:tblGrid>
        <w:gridCol w:w="529"/>
        <w:gridCol w:w="1810"/>
        <w:gridCol w:w="4065"/>
        <w:gridCol w:w="2416"/>
      </w:tblGrid>
      <w:tr w:rsidR="00814BC5" w:rsidRPr="00292532" w14:paraId="6056DB3D" w14:textId="77777777" w:rsidTr="00BD0602">
        <w:trPr>
          <w:cnfStyle w:val="100000000000" w:firstRow="1" w:lastRow="0" w:firstColumn="0" w:lastColumn="0" w:oddVBand="0" w:evenVBand="0" w:oddHBand="0" w:evenHBand="0" w:firstRowFirstColumn="0" w:firstRowLastColumn="0" w:lastRowFirstColumn="0" w:lastRowLastColumn="0"/>
          <w:trHeight w:val="752"/>
          <w:tblHeader/>
        </w:trPr>
        <w:tc>
          <w:tcPr>
            <w:cnfStyle w:val="001000000000" w:firstRow="0" w:lastRow="0" w:firstColumn="1" w:lastColumn="0" w:oddVBand="0" w:evenVBand="0" w:oddHBand="0" w:evenHBand="0" w:firstRowFirstColumn="0" w:firstRowLastColumn="0" w:lastRowFirstColumn="0" w:lastRowLastColumn="0"/>
            <w:tcW w:w="0" w:type="dxa"/>
          </w:tcPr>
          <w:p w14:paraId="0E7C8EAE" w14:textId="77777777" w:rsidR="00814BC5" w:rsidRPr="00292532" w:rsidRDefault="00814BC5" w:rsidP="00BD0602">
            <w:pPr>
              <w:tabs>
                <w:tab w:val="left" w:pos="157"/>
              </w:tabs>
              <w:spacing w:before="120"/>
              <w:jc w:val="center"/>
              <w:rPr>
                <w:sz w:val="20"/>
                <w:szCs w:val="20"/>
                <w:lang w:val="pt-PT"/>
              </w:rPr>
            </w:pPr>
            <w:r w:rsidRPr="00292532">
              <w:rPr>
                <w:sz w:val="20"/>
                <w:szCs w:val="20"/>
                <w:lang w:val="pt-PT"/>
              </w:rPr>
              <w:t>No.</w:t>
            </w:r>
          </w:p>
        </w:tc>
        <w:tc>
          <w:tcPr>
            <w:tcW w:w="0" w:type="dxa"/>
          </w:tcPr>
          <w:p w14:paraId="5B7A5CC3" w14:textId="77777777" w:rsidR="00814BC5" w:rsidRPr="00292532" w:rsidRDefault="00814BC5" w:rsidP="00BD0602">
            <w:pPr>
              <w:spacing w:before="120"/>
              <w:jc w:val="center"/>
              <w:cnfStyle w:val="100000000000" w:firstRow="1"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Etapas do Processo de Triagem</w:t>
            </w:r>
          </w:p>
        </w:tc>
        <w:tc>
          <w:tcPr>
            <w:tcW w:w="0" w:type="dxa"/>
          </w:tcPr>
          <w:p w14:paraId="00457D7C" w14:textId="77777777" w:rsidR="00814BC5" w:rsidRPr="00292532" w:rsidRDefault="00814BC5" w:rsidP="00BD0602">
            <w:pPr>
              <w:spacing w:before="120"/>
              <w:jc w:val="center"/>
              <w:cnfStyle w:val="100000000000" w:firstRow="1"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Principais Tarefas</w:t>
            </w:r>
          </w:p>
        </w:tc>
        <w:tc>
          <w:tcPr>
            <w:tcW w:w="0" w:type="dxa"/>
          </w:tcPr>
          <w:p w14:paraId="04EBACF5" w14:textId="77777777" w:rsidR="00814BC5" w:rsidRPr="00292532" w:rsidRDefault="00814BC5" w:rsidP="00BD0602">
            <w:pPr>
              <w:spacing w:before="120"/>
              <w:cnfStyle w:val="100000000000" w:firstRow="1"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Responsabilidade</w:t>
            </w:r>
          </w:p>
        </w:tc>
      </w:tr>
      <w:tr w:rsidR="00814BC5" w:rsidRPr="00292532" w14:paraId="602EFA93" w14:textId="77777777" w:rsidTr="00BD0602">
        <w:trPr>
          <w:cnfStyle w:val="000000100000" w:firstRow="0" w:lastRow="0" w:firstColumn="0" w:lastColumn="0" w:oddVBand="0" w:evenVBand="0" w:oddHBand="1" w:evenHBand="0" w:firstRowFirstColumn="0" w:firstRowLastColumn="0" w:lastRowFirstColumn="0" w:lastRowLastColumn="0"/>
          <w:trHeight w:val="1127"/>
        </w:trPr>
        <w:tc>
          <w:tcPr>
            <w:cnfStyle w:val="001000000000" w:firstRow="0" w:lastRow="0" w:firstColumn="1" w:lastColumn="0" w:oddVBand="0" w:evenVBand="0" w:oddHBand="0" w:evenHBand="0" w:firstRowFirstColumn="0" w:firstRowLastColumn="0" w:lastRowFirstColumn="0" w:lastRowLastColumn="0"/>
            <w:tcW w:w="530" w:type="dxa"/>
          </w:tcPr>
          <w:p w14:paraId="7F25B01F" w14:textId="77777777" w:rsidR="00814BC5" w:rsidRPr="00292532" w:rsidRDefault="00814BC5" w:rsidP="00BD0602">
            <w:pPr>
              <w:tabs>
                <w:tab w:val="left" w:pos="157"/>
              </w:tabs>
              <w:rPr>
                <w:b w:val="0"/>
                <w:bCs w:val="0"/>
                <w:sz w:val="20"/>
                <w:szCs w:val="20"/>
                <w:lang w:val="pt-PT"/>
              </w:rPr>
            </w:pPr>
            <w:r w:rsidRPr="00292532">
              <w:rPr>
                <w:b w:val="0"/>
                <w:bCs w:val="0"/>
                <w:sz w:val="20"/>
                <w:szCs w:val="20"/>
                <w:lang w:val="pt-PT"/>
              </w:rPr>
              <w:t>1.</w:t>
            </w:r>
          </w:p>
        </w:tc>
        <w:tc>
          <w:tcPr>
            <w:tcW w:w="1759" w:type="dxa"/>
          </w:tcPr>
          <w:p w14:paraId="63E2A413"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b/>
                <w:bCs/>
                <w:sz w:val="20"/>
                <w:szCs w:val="20"/>
                <w:lang w:val="pt-PT"/>
              </w:rPr>
            </w:pPr>
            <w:proofErr w:type="spellStart"/>
            <w:r w:rsidRPr="00292532">
              <w:rPr>
                <w:b/>
                <w:bCs/>
                <w:sz w:val="20"/>
                <w:szCs w:val="20"/>
                <w:lang w:val="pt-PT"/>
              </w:rPr>
              <w:t>Prospecção</w:t>
            </w:r>
            <w:proofErr w:type="spellEnd"/>
            <w:r w:rsidRPr="00292532">
              <w:rPr>
                <w:b/>
                <w:bCs/>
                <w:sz w:val="20"/>
                <w:szCs w:val="20"/>
                <w:lang w:val="pt-PT"/>
              </w:rPr>
              <w:t xml:space="preserve"> e enquadramento </w:t>
            </w:r>
          </w:p>
        </w:tc>
        <w:tc>
          <w:tcPr>
            <w:tcW w:w="4101" w:type="dxa"/>
          </w:tcPr>
          <w:p w14:paraId="08BD4ED6" w14:textId="69973942"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Análise do subprojecto com referência aos critérios de exclusão (</w:t>
            </w:r>
            <w:r w:rsidR="00F83E37">
              <w:rPr>
                <w:sz w:val="20"/>
                <w:szCs w:val="20"/>
                <w:lang w:val="pt-PT"/>
              </w:rPr>
              <w:fldChar w:fldCharType="begin"/>
            </w:r>
            <w:r w:rsidR="00F83E37">
              <w:rPr>
                <w:sz w:val="20"/>
                <w:szCs w:val="20"/>
                <w:lang w:val="pt-PT"/>
              </w:rPr>
              <w:instrText xml:space="preserve"> REF _Ref80377431 \h </w:instrText>
            </w:r>
            <w:r w:rsidR="00F83E37">
              <w:rPr>
                <w:sz w:val="20"/>
                <w:szCs w:val="20"/>
                <w:lang w:val="pt-PT"/>
              </w:rPr>
            </w:r>
            <w:r w:rsidR="00F83E37">
              <w:rPr>
                <w:sz w:val="20"/>
                <w:szCs w:val="20"/>
                <w:lang w:val="pt-PT"/>
              </w:rPr>
              <w:fldChar w:fldCharType="separate"/>
            </w:r>
            <w:r w:rsidR="00F83E37" w:rsidRPr="00941934">
              <w:rPr>
                <w:lang w:val="pt-PT"/>
              </w:rPr>
              <w:t xml:space="preserve">Tabela </w:t>
            </w:r>
            <w:r w:rsidR="00F83E37" w:rsidRPr="00941934">
              <w:rPr>
                <w:noProof/>
                <w:lang w:val="pt-PT"/>
              </w:rPr>
              <w:t>30</w:t>
            </w:r>
            <w:r w:rsidR="00F83E37">
              <w:rPr>
                <w:sz w:val="20"/>
                <w:szCs w:val="20"/>
                <w:lang w:val="pt-PT"/>
              </w:rPr>
              <w:fldChar w:fldCharType="end"/>
            </w:r>
          </w:p>
          <w:p w14:paraId="61862ABA"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Propostas de alternativas para viabilizar os </w:t>
            </w:r>
            <w:proofErr w:type="spellStart"/>
            <w:r w:rsidRPr="00292532">
              <w:rPr>
                <w:sz w:val="20"/>
                <w:szCs w:val="20"/>
                <w:lang w:val="pt-PT"/>
              </w:rPr>
              <w:t>projectos</w:t>
            </w:r>
            <w:proofErr w:type="spellEnd"/>
            <w:r w:rsidRPr="00292532">
              <w:rPr>
                <w:sz w:val="20"/>
                <w:szCs w:val="20"/>
                <w:lang w:val="pt-PT"/>
              </w:rPr>
              <w:t xml:space="preserve"> no ponto de vista ambiental e social. </w:t>
            </w:r>
          </w:p>
          <w:p w14:paraId="73220A3E" w14:textId="56A8A37C"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proofErr w:type="spellStart"/>
            <w:r w:rsidRPr="00292532">
              <w:rPr>
                <w:sz w:val="20"/>
                <w:szCs w:val="20"/>
                <w:lang w:val="pt-PT"/>
              </w:rPr>
              <w:t>Interacção</w:t>
            </w:r>
            <w:proofErr w:type="spellEnd"/>
            <w:r w:rsidRPr="00292532">
              <w:rPr>
                <w:sz w:val="20"/>
                <w:szCs w:val="20"/>
                <w:lang w:val="pt-PT"/>
              </w:rPr>
              <w:t xml:space="preserve"> com as autoridades, para confirmar possível isenção de elaboração de </w:t>
            </w:r>
            <w:proofErr w:type="spellStart"/>
            <w:r w:rsidRPr="00292532">
              <w:rPr>
                <w:sz w:val="20"/>
                <w:szCs w:val="20"/>
                <w:lang w:val="pt-PT"/>
              </w:rPr>
              <w:t>EIAs</w:t>
            </w:r>
            <w:proofErr w:type="spellEnd"/>
            <w:r w:rsidRPr="00292532">
              <w:rPr>
                <w:sz w:val="20"/>
                <w:szCs w:val="20"/>
                <w:lang w:val="pt-PT"/>
              </w:rPr>
              <w:t>.</w:t>
            </w:r>
          </w:p>
        </w:tc>
        <w:tc>
          <w:tcPr>
            <w:tcW w:w="2430" w:type="dxa"/>
          </w:tcPr>
          <w:p w14:paraId="7BEFE335"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Equipa de especialistas em salvaguardas das </w:t>
            </w:r>
            <w:proofErr w:type="spellStart"/>
            <w:r w:rsidRPr="00292532">
              <w:rPr>
                <w:sz w:val="20"/>
                <w:szCs w:val="20"/>
                <w:lang w:val="pt-PT"/>
              </w:rPr>
              <w:t>UIPs</w:t>
            </w:r>
            <w:proofErr w:type="spellEnd"/>
            <w:r w:rsidRPr="00292532">
              <w:rPr>
                <w:sz w:val="20"/>
                <w:szCs w:val="20"/>
                <w:lang w:val="pt-PT"/>
              </w:rPr>
              <w:t xml:space="preserve"> (AIAS) e UTP (DPOPH)</w:t>
            </w:r>
          </w:p>
          <w:p w14:paraId="3CEC5DAB"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proofErr w:type="spellStart"/>
            <w:r w:rsidRPr="00292532">
              <w:rPr>
                <w:sz w:val="20"/>
                <w:szCs w:val="20"/>
                <w:lang w:val="pt-PT"/>
              </w:rPr>
              <w:t>UIPs</w:t>
            </w:r>
            <w:proofErr w:type="spellEnd"/>
            <w:r w:rsidRPr="00292532">
              <w:rPr>
                <w:sz w:val="20"/>
                <w:szCs w:val="20"/>
                <w:lang w:val="pt-PT"/>
              </w:rPr>
              <w:t xml:space="preserve"> (AIAS e DNAAS)</w:t>
            </w:r>
          </w:p>
          <w:p w14:paraId="52D234DF" w14:textId="402488A4"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Banco Mundial</w:t>
            </w:r>
          </w:p>
          <w:p w14:paraId="549AD50B" w14:textId="607153C5" w:rsidR="00814BC5" w:rsidRPr="00292532" w:rsidRDefault="005D718E"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Pr>
                <w:sz w:val="20"/>
                <w:szCs w:val="20"/>
                <w:lang w:val="pt-PT"/>
              </w:rPr>
              <w:t>INGD</w:t>
            </w:r>
          </w:p>
          <w:p w14:paraId="6543415A"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p>
        </w:tc>
      </w:tr>
      <w:tr w:rsidR="00814BC5" w:rsidRPr="008D18CF" w14:paraId="3980382E" w14:textId="77777777" w:rsidTr="00BD0602">
        <w:trPr>
          <w:trHeight w:val="954"/>
        </w:trPr>
        <w:tc>
          <w:tcPr>
            <w:cnfStyle w:val="001000000000" w:firstRow="0" w:lastRow="0" w:firstColumn="1" w:lastColumn="0" w:oddVBand="0" w:evenVBand="0" w:oddHBand="0" w:evenHBand="0" w:firstRowFirstColumn="0" w:firstRowLastColumn="0" w:lastRowFirstColumn="0" w:lastRowLastColumn="0"/>
            <w:tcW w:w="530" w:type="dxa"/>
          </w:tcPr>
          <w:p w14:paraId="054FD44A" w14:textId="77777777" w:rsidR="00814BC5" w:rsidRPr="00292532" w:rsidRDefault="00814BC5" w:rsidP="00BD0602">
            <w:pPr>
              <w:tabs>
                <w:tab w:val="left" w:pos="157"/>
              </w:tabs>
              <w:rPr>
                <w:b w:val="0"/>
                <w:bCs w:val="0"/>
                <w:sz w:val="20"/>
                <w:szCs w:val="20"/>
                <w:lang w:val="pt-PT"/>
              </w:rPr>
            </w:pPr>
            <w:r w:rsidRPr="00292532">
              <w:rPr>
                <w:b w:val="0"/>
                <w:bCs w:val="0"/>
                <w:sz w:val="20"/>
                <w:szCs w:val="20"/>
                <w:lang w:val="pt-PT"/>
              </w:rPr>
              <w:t>2</w:t>
            </w:r>
          </w:p>
        </w:tc>
        <w:tc>
          <w:tcPr>
            <w:tcW w:w="1759" w:type="dxa"/>
          </w:tcPr>
          <w:p w14:paraId="628FCA29"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b/>
                <w:bCs/>
                <w:sz w:val="20"/>
                <w:szCs w:val="20"/>
                <w:lang w:val="pt-PT"/>
              </w:rPr>
            </w:pPr>
            <w:r w:rsidRPr="00292532">
              <w:rPr>
                <w:b/>
                <w:bCs/>
                <w:sz w:val="20"/>
                <w:szCs w:val="20"/>
                <w:lang w:val="pt-PT"/>
              </w:rPr>
              <w:t>Triagem e análise dos Subprojectos</w:t>
            </w:r>
          </w:p>
        </w:tc>
        <w:tc>
          <w:tcPr>
            <w:tcW w:w="4101" w:type="dxa"/>
          </w:tcPr>
          <w:p w14:paraId="414B7856"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Elaboração de um estudo de gabinete para cada subprojecto com o objetivo de avaliar os planos e atividades do </w:t>
            </w:r>
            <w:proofErr w:type="spellStart"/>
            <w:r w:rsidRPr="00292532">
              <w:rPr>
                <w:sz w:val="20"/>
                <w:szCs w:val="20"/>
                <w:lang w:val="pt-PT"/>
              </w:rPr>
              <w:t>projecto</w:t>
            </w:r>
            <w:proofErr w:type="spellEnd"/>
            <w:r w:rsidRPr="00292532">
              <w:rPr>
                <w:sz w:val="20"/>
                <w:szCs w:val="20"/>
                <w:lang w:val="pt-PT"/>
              </w:rPr>
              <w:t>.</w:t>
            </w:r>
            <w:r w:rsidRPr="00292532">
              <w:rPr>
                <w:lang w:val="pt-PT"/>
              </w:rPr>
              <w:t xml:space="preserve"> </w:t>
            </w:r>
            <w:r w:rsidRPr="00292532">
              <w:rPr>
                <w:sz w:val="20"/>
                <w:szCs w:val="20"/>
                <w:lang w:val="pt-PT"/>
              </w:rPr>
              <w:t xml:space="preserve">para determinar a probabilidade do </w:t>
            </w:r>
            <w:proofErr w:type="spellStart"/>
            <w:r w:rsidRPr="00292532">
              <w:rPr>
                <w:sz w:val="20"/>
                <w:szCs w:val="20"/>
                <w:lang w:val="pt-PT"/>
              </w:rPr>
              <w:t>projecto</w:t>
            </w:r>
            <w:proofErr w:type="spellEnd"/>
            <w:r w:rsidRPr="00292532">
              <w:rPr>
                <w:sz w:val="20"/>
                <w:szCs w:val="20"/>
                <w:lang w:val="pt-PT"/>
              </w:rPr>
              <w:t xml:space="preserve"> causar impactos </w:t>
            </w:r>
            <w:r w:rsidRPr="00292532">
              <w:rPr>
                <w:sz w:val="20"/>
                <w:szCs w:val="20"/>
                <w:lang w:val="pt-PT"/>
              </w:rPr>
              <w:lastRenderedPageBreak/>
              <w:t xml:space="preserve">ambientais e sociais negativos. Esta fase consiste em: </w:t>
            </w:r>
          </w:p>
          <w:p w14:paraId="0754553C" w14:textId="77777777" w:rsidR="00814BC5" w:rsidRPr="00292532" w:rsidRDefault="00814BC5" w:rsidP="00BD0602">
            <w:pPr>
              <w:pStyle w:val="ListParagraph"/>
              <w:numPr>
                <w:ilvl w:val="0"/>
                <w:numId w:val="40"/>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Descrever as necessidades dos subprojectos</w:t>
            </w:r>
          </w:p>
          <w:p w14:paraId="4956980B" w14:textId="77777777" w:rsidR="00814BC5" w:rsidRPr="00292532" w:rsidRDefault="00814BC5" w:rsidP="00BD0602">
            <w:pPr>
              <w:pStyle w:val="ListParagraph"/>
              <w:numPr>
                <w:ilvl w:val="0"/>
                <w:numId w:val="40"/>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Descrever o subprojecto e alternativas a considerar</w:t>
            </w:r>
          </w:p>
          <w:p w14:paraId="1A13AF25" w14:textId="77777777" w:rsidR="00814BC5" w:rsidRPr="00292532" w:rsidRDefault="00814BC5" w:rsidP="00BD0602">
            <w:pPr>
              <w:pStyle w:val="ListParagraph"/>
              <w:numPr>
                <w:ilvl w:val="0"/>
                <w:numId w:val="40"/>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Identificar os principais potenciais impactos ambientais e sociais dos subprojectos</w:t>
            </w:r>
          </w:p>
          <w:p w14:paraId="0032ED6C" w14:textId="77777777" w:rsidR="00814BC5" w:rsidRPr="00292532" w:rsidRDefault="00814BC5" w:rsidP="00BD0602">
            <w:pPr>
              <w:pStyle w:val="ListParagraph"/>
              <w:numPr>
                <w:ilvl w:val="0"/>
                <w:numId w:val="40"/>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Consulta prévia com as autoridades para apoiar na análise</w:t>
            </w:r>
          </w:p>
          <w:p w14:paraId="3CCAE695" w14:textId="07EC8E04"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Se possível, realização de uma visita prévia aos locais de implementação de cada </w:t>
            </w:r>
            <w:proofErr w:type="spellStart"/>
            <w:r w:rsidRPr="00292532">
              <w:rPr>
                <w:sz w:val="20"/>
                <w:szCs w:val="20"/>
                <w:lang w:val="pt-PT"/>
              </w:rPr>
              <w:t>projecto</w:t>
            </w:r>
            <w:proofErr w:type="spellEnd"/>
            <w:r w:rsidRPr="00292532">
              <w:rPr>
                <w:sz w:val="20"/>
                <w:szCs w:val="20"/>
                <w:lang w:val="pt-PT"/>
              </w:rPr>
              <w:t xml:space="preserve"> com o objetivo de verificar as condições do local e determinar quais são os potenciais impactos ambientais e sociais associados às atividades a serem implementadas.</w:t>
            </w:r>
          </w:p>
        </w:tc>
        <w:tc>
          <w:tcPr>
            <w:tcW w:w="2430" w:type="dxa"/>
          </w:tcPr>
          <w:p w14:paraId="4EFCAB43"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lastRenderedPageBreak/>
              <w:t xml:space="preserve">Equipa de especialistas em salvaguardas das </w:t>
            </w:r>
            <w:proofErr w:type="spellStart"/>
            <w:r w:rsidRPr="00292532">
              <w:rPr>
                <w:sz w:val="20"/>
                <w:szCs w:val="20"/>
                <w:lang w:val="pt-PT"/>
              </w:rPr>
              <w:t>UIPs</w:t>
            </w:r>
            <w:proofErr w:type="spellEnd"/>
            <w:r w:rsidRPr="00292532">
              <w:rPr>
                <w:sz w:val="20"/>
                <w:szCs w:val="20"/>
                <w:lang w:val="pt-PT"/>
              </w:rPr>
              <w:t xml:space="preserve"> (AIAS) e UTP (DPOPH)</w:t>
            </w:r>
          </w:p>
          <w:p w14:paraId="4E42F5FE"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proofErr w:type="spellStart"/>
            <w:r w:rsidRPr="00292532">
              <w:rPr>
                <w:sz w:val="20"/>
                <w:szCs w:val="20"/>
                <w:lang w:val="pt-PT"/>
              </w:rPr>
              <w:lastRenderedPageBreak/>
              <w:t>UIPs</w:t>
            </w:r>
            <w:proofErr w:type="spellEnd"/>
            <w:r w:rsidRPr="00292532">
              <w:rPr>
                <w:sz w:val="20"/>
                <w:szCs w:val="20"/>
                <w:lang w:val="pt-PT"/>
              </w:rPr>
              <w:t xml:space="preserve"> (AIAS e DNAAS)</w:t>
            </w:r>
          </w:p>
          <w:p w14:paraId="79E3E424"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proofErr w:type="spellStart"/>
            <w:r w:rsidRPr="00292532">
              <w:rPr>
                <w:sz w:val="20"/>
                <w:szCs w:val="20"/>
                <w:lang w:val="pt-PT"/>
              </w:rPr>
              <w:t>Direcção</w:t>
            </w:r>
            <w:proofErr w:type="spellEnd"/>
            <w:r w:rsidRPr="00292532">
              <w:rPr>
                <w:sz w:val="20"/>
                <w:szCs w:val="20"/>
                <w:lang w:val="pt-PT"/>
              </w:rPr>
              <w:t xml:space="preserve"> Nacional do Ambiente (DINAB)</w:t>
            </w:r>
          </w:p>
          <w:p w14:paraId="36B4353C"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Serviços Provinciais de Ambiente (SPA)</w:t>
            </w:r>
          </w:p>
          <w:p w14:paraId="3A6B17E3"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p>
        </w:tc>
      </w:tr>
      <w:tr w:rsidR="00814BC5" w:rsidRPr="00292532" w14:paraId="20025EE5" w14:textId="77777777" w:rsidTr="00BD0602">
        <w:trPr>
          <w:cnfStyle w:val="000000100000" w:firstRow="0" w:lastRow="0" w:firstColumn="0" w:lastColumn="0" w:oddVBand="0" w:evenVBand="0" w:oddHBand="1" w:evenHBand="0" w:firstRowFirstColumn="0" w:firstRowLastColumn="0" w:lastRowFirstColumn="0" w:lastRowLastColumn="0"/>
          <w:trHeight w:val="933"/>
        </w:trPr>
        <w:tc>
          <w:tcPr>
            <w:cnfStyle w:val="001000000000" w:firstRow="0" w:lastRow="0" w:firstColumn="1" w:lastColumn="0" w:oddVBand="0" w:evenVBand="0" w:oddHBand="0" w:evenHBand="0" w:firstRowFirstColumn="0" w:firstRowLastColumn="0" w:lastRowFirstColumn="0" w:lastRowLastColumn="0"/>
            <w:tcW w:w="530" w:type="dxa"/>
          </w:tcPr>
          <w:p w14:paraId="06F818F4" w14:textId="77777777" w:rsidR="00814BC5" w:rsidRPr="00292532" w:rsidRDefault="00814BC5" w:rsidP="00BD0602">
            <w:pPr>
              <w:tabs>
                <w:tab w:val="left" w:pos="157"/>
              </w:tabs>
              <w:rPr>
                <w:b w:val="0"/>
                <w:bCs w:val="0"/>
                <w:sz w:val="20"/>
                <w:szCs w:val="20"/>
                <w:lang w:val="pt-PT"/>
              </w:rPr>
            </w:pPr>
            <w:r w:rsidRPr="00292532">
              <w:rPr>
                <w:b w:val="0"/>
                <w:bCs w:val="0"/>
                <w:sz w:val="20"/>
                <w:szCs w:val="20"/>
                <w:lang w:val="pt-PT"/>
              </w:rPr>
              <w:lastRenderedPageBreak/>
              <w:t>3</w:t>
            </w:r>
          </w:p>
        </w:tc>
        <w:tc>
          <w:tcPr>
            <w:tcW w:w="1759" w:type="dxa"/>
          </w:tcPr>
          <w:p w14:paraId="76E1ECC1" w14:textId="79187F48"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b/>
                <w:bCs/>
                <w:sz w:val="20"/>
                <w:szCs w:val="20"/>
                <w:lang w:val="pt-PT"/>
              </w:rPr>
            </w:pPr>
            <w:r w:rsidRPr="00292532">
              <w:rPr>
                <w:b/>
                <w:bCs/>
                <w:sz w:val="20"/>
                <w:szCs w:val="20"/>
                <w:lang w:val="pt-PT"/>
              </w:rPr>
              <w:t>Categorização ou isenção</w:t>
            </w:r>
          </w:p>
        </w:tc>
        <w:tc>
          <w:tcPr>
            <w:tcW w:w="4101" w:type="dxa"/>
          </w:tcPr>
          <w:p w14:paraId="54449715"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Preenchimento dos formulários de triagem ambiental e social (</w:t>
            </w:r>
            <w:r w:rsidRPr="00292532">
              <w:rPr>
                <w:b/>
                <w:bCs/>
                <w:sz w:val="20"/>
                <w:szCs w:val="20"/>
                <w:lang w:val="pt-PT"/>
              </w:rPr>
              <w:t>Anexo 1</w:t>
            </w:r>
            <w:r w:rsidRPr="00292532">
              <w:rPr>
                <w:sz w:val="20"/>
                <w:szCs w:val="20"/>
                <w:lang w:val="pt-PT"/>
              </w:rPr>
              <w:t>) e da Ficha de Informação Ambiental Preliminar (</w:t>
            </w:r>
            <w:r w:rsidRPr="00292532">
              <w:rPr>
                <w:b/>
                <w:bCs/>
                <w:sz w:val="20"/>
                <w:szCs w:val="20"/>
                <w:lang w:val="pt-PT"/>
              </w:rPr>
              <w:t>Anexo 1</w:t>
            </w:r>
            <w:r w:rsidRPr="00292532">
              <w:rPr>
                <w:sz w:val="20"/>
                <w:szCs w:val="20"/>
                <w:lang w:val="pt-PT"/>
              </w:rPr>
              <w:t xml:space="preserve">) social para cada subprojecto proposto </w:t>
            </w:r>
          </w:p>
          <w:p w14:paraId="6664DAEA"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Identificação e atribuição de uma categoria para cada subprojecto e preparação da documentação de instrução do processo. </w:t>
            </w:r>
          </w:p>
          <w:p w14:paraId="462F3E7D"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Definição do Processo da AIA (incluindo os prazos previstos) e elaboração/</w:t>
            </w:r>
            <w:proofErr w:type="spellStart"/>
            <w:r w:rsidRPr="00292532">
              <w:rPr>
                <w:sz w:val="20"/>
                <w:szCs w:val="20"/>
                <w:lang w:val="pt-PT"/>
              </w:rPr>
              <w:t>actualização</w:t>
            </w:r>
            <w:proofErr w:type="spellEnd"/>
            <w:r w:rsidRPr="00292532">
              <w:rPr>
                <w:sz w:val="20"/>
                <w:szCs w:val="20"/>
                <w:lang w:val="pt-PT"/>
              </w:rPr>
              <w:t xml:space="preserve"> dos Termos de Referência para as avaliações ambientais subsequentes.</w:t>
            </w:r>
          </w:p>
          <w:p w14:paraId="1D7D2870" w14:textId="35CC6396"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 Os formulários preenchidos e resultados da categorização ou isenção de realização de </w:t>
            </w:r>
            <w:proofErr w:type="spellStart"/>
            <w:r w:rsidRPr="00292532">
              <w:rPr>
                <w:sz w:val="20"/>
                <w:szCs w:val="20"/>
                <w:lang w:val="pt-PT"/>
              </w:rPr>
              <w:t>EIAs</w:t>
            </w:r>
            <w:proofErr w:type="spellEnd"/>
            <w:r w:rsidRPr="00292532">
              <w:rPr>
                <w:sz w:val="20"/>
                <w:szCs w:val="20"/>
                <w:lang w:val="pt-PT"/>
              </w:rPr>
              <w:t xml:space="preserve"> devem ser discutidos com o Banco e partilhados com o MTA para consulta e validação da avaliação.</w:t>
            </w:r>
          </w:p>
        </w:tc>
        <w:tc>
          <w:tcPr>
            <w:tcW w:w="2430" w:type="dxa"/>
          </w:tcPr>
          <w:p w14:paraId="65852129"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Equipa de especialistas em salvaguardas das </w:t>
            </w:r>
            <w:proofErr w:type="spellStart"/>
            <w:r w:rsidRPr="00292532">
              <w:rPr>
                <w:sz w:val="20"/>
                <w:szCs w:val="20"/>
                <w:lang w:val="pt-PT"/>
              </w:rPr>
              <w:t>UIPs</w:t>
            </w:r>
            <w:proofErr w:type="spellEnd"/>
            <w:r w:rsidRPr="00292532">
              <w:rPr>
                <w:sz w:val="20"/>
                <w:szCs w:val="20"/>
                <w:lang w:val="pt-PT"/>
              </w:rPr>
              <w:t xml:space="preserve"> (AIAS) e UTP (DPOPH)</w:t>
            </w:r>
          </w:p>
          <w:p w14:paraId="3F55FEE2"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proofErr w:type="spellStart"/>
            <w:r w:rsidRPr="00292532">
              <w:rPr>
                <w:sz w:val="20"/>
                <w:szCs w:val="20"/>
                <w:lang w:val="pt-PT"/>
              </w:rPr>
              <w:t>UIPs</w:t>
            </w:r>
            <w:proofErr w:type="spellEnd"/>
            <w:r w:rsidRPr="00292532">
              <w:rPr>
                <w:sz w:val="20"/>
                <w:szCs w:val="20"/>
                <w:lang w:val="pt-PT"/>
              </w:rPr>
              <w:t xml:space="preserve"> (AIAS e DNAAS)</w:t>
            </w:r>
          </w:p>
          <w:p w14:paraId="418A4631"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Banco Mundial (equipa das salvaguardas)</w:t>
            </w:r>
          </w:p>
          <w:p w14:paraId="611FE789" w14:textId="76A7A51F" w:rsidR="00814BC5" w:rsidRPr="00292532" w:rsidRDefault="005D718E"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Pr>
                <w:sz w:val="20"/>
                <w:szCs w:val="20"/>
                <w:lang w:val="pt-PT"/>
              </w:rPr>
              <w:t>INGD</w:t>
            </w:r>
          </w:p>
        </w:tc>
      </w:tr>
      <w:tr w:rsidR="00814BC5" w:rsidRPr="00292532" w14:paraId="145E3D49" w14:textId="77777777" w:rsidTr="00BD0602">
        <w:trPr>
          <w:trHeight w:val="910"/>
        </w:trPr>
        <w:tc>
          <w:tcPr>
            <w:cnfStyle w:val="001000000000" w:firstRow="0" w:lastRow="0" w:firstColumn="1" w:lastColumn="0" w:oddVBand="0" w:evenVBand="0" w:oddHBand="0" w:evenHBand="0" w:firstRowFirstColumn="0" w:firstRowLastColumn="0" w:lastRowFirstColumn="0" w:lastRowLastColumn="0"/>
            <w:tcW w:w="530" w:type="dxa"/>
          </w:tcPr>
          <w:p w14:paraId="15FF2ECB" w14:textId="77777777" w:rsidR="00814BC5" w:rsidRPr="00292532" w:rsidRDefault="00814BC5" w:rsidP="00BD0602">
            <w:pPr>
              <w:tabs>
                <w:tab w:val="left" w:pos="157"/>
              </w:tabs>
              <w:rPr>
                <w:b w:val="0"/>
                <w:bCs w:val="0"/>
                <w:sz w:val="20"/>
                <w:szCs w:val="20"/>
                <w:lang w:val="pt-PT"/>
              </w:rPr>
            </w:pPr>
            <w:r w:rsidRPr="00292532">
              <w:rPr>
                <w:b w:val="0"/>
                <w:bCs w:val="0"/>
                <w:sz w:val="20"/>
                <w:szCs w:val="20"/>
                <w:lang w:val="pt-PT"/>
              </w:rPr>
              <w:t>4</w:t>
            </w:r>
          </w:p>
        </w:tc>
        <w:tc>
          <w:tcPr>
            <w:tcW w:w="1759" w:type="dxa"/>
          </w:tcPr>
          <w:p w14:paraId="79B2CCAD"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b/>
                <w:bCs/>
                <w:sz w:val="20"/>
                <w:szCs w:val="20"/>
                <w:lang w:val="pt-PT"/>
              </w:rPr>
            </w:pPr>
            <w:r w:rsidRPr="00292532">
              <w:rPr>
                <w:b/>
                <w:bCs/>
                <w:sz w:val="20"/>
                <w:szCs w:val="20"/>
                <w:lang w:val="pt-PT"/>
              </w:rPr>
              <w:t>Revisão e aprovação da fase de triagem</w:t>
            </w:r>
          </w:p>
        </w:tc>
        <w:tc>
          <w:tcPr>
            <w:tcW w:w="4101" w:type="dxa"/>
          </w:tcPr>
          <w:p w14:paraId="5B630C1F" w14:textId="25DEAB8C"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Os formulários de avaliação ambiental e social e os relatórios de EIA devem ser submetidos à DINAB para revisão e tomada de decisão sobre a necessidade de elaboração de </w:t>
            </w:r>
            <w:proofErr w:type="spellStart"/>
            <w:r w:rsidRPr="00292532">
              <w:rPr>
                <w:sz w:val="20"/>
                <w:szCs w:val="20"/>
                <w:lang w:val="pt-PT"/>
              </w:rPr>
              <w:t>EIAs</w:t>
            </w:r>
            <w:proofErr w:type="spellEnd"/>
            <w:r w:rsidRPr="00292532">
              <w:rPr>
                <w:sz w:val="20"/>
                <w:szCs w:val="20"/>
                <w:lang w:val="pt-PT"/>
              </w:rPr>
              <w:t xml:space="preserve"> ou isenção. A DINAB deverá: </w:t>
            </w:r>
          </w:p>
          <w:p w14:paraId="01D4E419" w14:textId="0BCCAEFE" w:rsidR="00814BC5" w:rsidRPr="00292532" w:rsidRDefault="00814BC5" w:rsidP="00BD0602">
            <w:pPr>
              <w:pStyle w:val="CBNtext"/>
              <w:numPr>
                <w:ilvl w:val="0"/>
                <w:numId w:val="212"/>
              </w:numPr>
              <w:suppressAutoHyphens/>
              <w:autoSpaceDE w:val="0"/>
              <w:autoSpaceDN w:val="0"/>
              <w:adjustRightInd w:val="0"/>
              <w:spacing w:before="0" w:after="0" w:afterAutospacing="0"/>
              <w:ind w:right="0"/>
              <w:cnfStyle w:val="000000000000" w:firstRow="0" w:lastRow="0" w:firstColumn="0" w:lastColumn="0" w:oddVBand="0" w:evenVBand="0" w:oddHBand="0" w:evenHBand="0" w:firstRowFirstColumn="0" w:firstRowLastColumn="0" w:lastRowFirstColumn="0" w:lastRowLastColumn="0"/>
              <w:rPr>
                <w:lang w:val="pt-PT"/>
              </w:rPr>
            </w:pPr>
            <w:r w:rsidRPr="00292532">
              <w:rPr>
                <w:sz w:val="20"/>
                <w:lang w:val="pt-PT"/>
              </w:rPr>
              <w:t>Rever os resultados e recomendações apresentados pela equipe de Especialistas em Salvaguardas com base no formulário de triagem ambiental e social (</w:t>
            </w:r>
            <w:r w:rsidRPr="00292532">
              <w:rPr>
                <w:b/>
                <w:bCs/>
                <w:sz w:val="20"/>
                <w:lang w:val="pt-PT"/>
              </w:rPr>
              <w:t>Anexo 1</w:t>
            </w:r>
            <w:r w:rsidRPr="00292532">
              <w:rPr>
                <w:sz w:val="20"/>
                <w:lang w:val="pt-PT"/>
              </w:rPr>
              <w:t xml:space="preserve">) e se necessário com base no Formulário de </w:t>
            </w:r>
            <w:r w:rsidRPr="00292532">
              <w:rPr>
                <w:sz w:val="20"/>
                <w:lang w:val="pt-PT"/>
              </w:rPr>
              <w:lastRenderedPageBreak/>
              <w:t xml:space="preserve">Triagem de Impactos de Uso da </w:t>
            </w:r>
            <w:proofErr w:type="gramStart"/>
            <w:r w:rsidRPr="00292532">
              <w:rPr>
                <w:sz w:val="20"/>
                <w:lang w:val="pt-PT"/>
              </w:rPr>
              <w:t>Terra  patente</w:t>
            </w:r>
            <w:proofErr w:type="gramEnd"/>
            <w:r w:rsidRPr="00292532">
              <w:rPr>
                <w:sz w:val="20"/>
                <w:lang w:val="pt-PT"/>
              </w:rPr>
              <w:t xml:space="preserve"> em Anexo II do QPR.</w:t>
            </w:r>
          </w:p>
          <w:p w14:paraId="5F3F3699" w14:textId="77777777" w:rsidR="00814BC5" w:rsidRPr="00292532" w:rsidRDefault="00814BC5" w:rsidP="00BD0602">
            <w:pPr>
              <w:pStyle w:val="ListParagraph"/>
              <w:numPr>
                <w:ilvl w:val="0"/>
                <w:numId w:val="40"/>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Rever as medidas de mitigação, alternativas propostas na fase de </w:t>
            </w:r>
            <w:proofErr w:type="spellStart"/>
            <w:r w:rsidRPr="00292532">
              <w:rPr>
                <w:sz w:val="20"/>
                <w:szCs w:val="20"/>
                <w:lang w:val="pt-PT"/>
              </w:rPr>
              <w:t>Prospecção</w:t>
            </w:r>
            <w:proofErr w:type="spellEnd"/>
            <w:r w:rsidRPr="00292532">
              <w:rPr>
                <w:sz w:val="20"/>
                <w:szCs w:val="20"/>
                <w:lang w:val="pt-PT"/>
              </w:rPr>
              <w:t xml:space="preserve"> e Análise</w:t>
            </w:r>
          </w:p>
          <w:p w14:paraId="3ECBF00A" w14:textId="77777777" w:rsidR="00814BC5" w:rsidRPr="00292532" w:rsidRDefault="00814BC5" w:rsidP="00BD0602">
            <w:pPr>
              <w:pStyle w:val="ListParagraph"/>
              <w:numPr>
                <w:ilvl w:val="0"/>
                <w:numId w:val="40"/>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Realizar uma visita prévia aos locais de implementação dos subprojectos. </w:t>
            </w:r>
          </w:p>
          <w:p w14:paraId="171E692C" w14:textId="77A2B991" w:rsidR="00814BC5" w:rsidRPr="00292532" w:rsidRDefault="00814BC5" w:rsidP="00BD0602">
            <w:pPr>
              <w:pStyle w:val="ListParagraph"/>
              <w:numPr>
                <w:ilvl w:val="0"/>
                <w:numId w:val="40"/>
              </w:numPr>
              <w:spacing w:after="0"/>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Emitir um parecer sobre a categorização ou isenção de elaboração de </w:t>
            </w:r>
            <w:proofErr w:type="spellStart"/>
            <w:r w:rsidRPr="00292532">
              <w:rPr>
                <w:sz w:val="20"/>
                <w:szCs w:val="20"/>
                <w:lang w:val="pt-PT"/>
              </w:rPr>
              <w:t>EIAs</w:t>
            </w:r>
            <w:proofErr w:type="spellEnd"/>
            <w:r w:rsidRPr="00292532">
              <w:rPr>
                <w:sz w:val="20"/>
                <w:szCs w:val="20"/>
                <w:lang w:val="pt-PT"/>
              </w:rPr>
              <w:t>.</w:t>
            </w:r>
          </w:p>
        </w:tc>
        <w:tc>
          <w:tcPr>
            <w:tcW w:w="2430" w:type="dxa"/>
          </w:tcPr>
          <w:p w14:paraId="04B58272"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lastRenderedPageBreak/>
              <w:t xml:space="preserve">DINAB  </w:t>
            </w:r>
          </w:p>
          <w:p w14:paraId="37EF0ABB"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proofErr w:type="spellStart"/>
            <w:r w:rsidRPr="00292532">
              <w:rPr>
                <w:sz w:val="20"/>
                <w:szCs w:val="20"/>
                <w:lang w:val="pt-PT"/>
              </w:rPr>
              <w:t>SPAs</w:t>
            </w:r>
            <w:proofErr w:type="spellEnd"/>
          </w:p>
          <w:p w14:paraId="425A1180" w14:textId="1876A06F" w:rsidR="00814BC5" w:rsidRPr="00292532" w:rsidRDefault="005D718E"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r>
              <w:rPr>
                <w:sz w:val="20"/>
                <w:szCs w:val="20"/>
                <w:lang w:val="pt-PT"/>
              </w:rPr>
              <w:t>INGD</w:t>
            </w:r>
          </w:p>
        </w:tc>
      </w:tr>
      <w:tr w:rsidR="00814BC5" w:rsidRPr="00292532" w14:paraId="4DBED7C3" w14:textId="77777777" w:rsidTr="00BD0602">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530" w:type="dxa"/>
          </w:tcPr>
          <w:p w14:paraId="7E61CE91" w14:textId="77777777" w:rsidR="00814BC5" w:rsidRPr="00292532" w:rsidRDefault="00814BC5" w:rsidP="00BD0602">
            <w:pPr>
              <w:tabs>
                <w:tab w:val="left" w:pos="157"/>
              </w:tabs>
              <w:rPr>
                <w:b w:val="0"/>
                <w:bCs w:val="0"/>
                <w:sz w:val="20"/>
                <w:szCs w:val="20"/>
                <w:lang w:val="pt-PT"/>
              </w:rPr>
            </w:pPr>
            <w:r w:rsidRPr="00292532">
              <w:rPr>
                <w:b w:val="0"/>
                <w:bCs w:val="0"/>
                <w:sz w:val="20"/>
                <w:szCs w:val="20"/>
                <w:lang w:val="pt-PT"/>
              </w:rPr>
              <w:t>5</w:t>
            </w:r>
          </w:p>
        </w:tc>
        <w:tc>
          <w:tcPr>
            <w:tcW w:w="1759" w:type="dxa"/>
          </w:tcPr>
          <w:p w14:paraId="44250F02"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b/>
                <w:bCs/>
                <w:sz w:val="20"/>
                <w:szCs w:val="20"/>
                <w:lang w:val="pt-PT"/>
              </w:rPr>
            </w:pPr>
            <w:proofErr w:type="spellStart"/>
            <w:r w:rsidRPr="00292532">
              <w:rPr>
                <w:b/>
                <w:bCs/>
                <w:sz w:val="20"/>
                <w:szCs w:val="20"/>
                <w:lang w:val="pt-PT"/>
              </w:rPr>
              <w:t>Selecção</w:t>
            </w:r>
            <w:proofErr w:type="spellEnd"/>
            <w:r w:rsidRPr="00292532">
              <w:rPr>
                <w:b/>
                <w:bCs/>
                <w:sz w:val="20"/>
                <w:szCs w:val="20"/>
                <w:lang w:val="pt-PT"/>
              </w:rPr>
              <w:t xml:space="preserve"> do Consultor da AIA</w:t>
            </w:r>
          </w:p>
          <w:p w14:paraId="0F50AC1B"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b/>
                <w:bCs/>
                <w:sz w:val="20"/>
                <w:szCs w:val="20"/>
                <w:lang w:val="pt-PT"/>
              </w:rPr>
            </w:pPr>
          </w:p>
          <w:p w14:paraId="093E8199" w14:textId="51852C77" w:rsidR="00814BC5" w:rsidRPr="004500AE" w:rsidRDefault="00814BC5" w:rsidP="00BD0602">
            <w:pPr>
              <w:cnfStyle w:val="000000100000" w:firstRow="0" w:lastRow="0" w:firstColumn="0" w:lastColumn="0" w:oddVBand="0" w:evenVBand="0" w:oddHBand="1" w:evenHBand="0" w:firstRowFirstColumn="0" w:firstRowLastColumn="0" w:lastRowFirstColumn="0" w:lastRowLastColumn="0"/>
              <w:rPr>
                <w:b/>
                <w:bCs/>
                <w:i/>
                <w:iCs/>
                <w:sz w:val="20"/>
                <w:szCs w:val="20"/>
                <w:lang w:val="pt-PT"/>
              </w:rPr>
            </w:pPr>
            <w:r w:rsidRPr="004500AE">
              <w:rPr>
                <w:b/>
                <w:bCs/>
                <w:i/>
                <w:iCs/>
                <w:sz w:val="20"/>
                <w:szCs w:val="20"/>
                <w:lang w:val="pt-PT"/>
              </w:rPr>
              <w:t>(</w:t>
            </w:r>
            <w:r w:rsidRPr="00292532">
              <w:rPr>
                <w:b/>
                <w:bCs/>
                <w:i/>
                <w:iCs/>
                <w:sz w:val="20"/>
                <w:szCs w:val="20"/>
                <w:lang w:val="pt-PT"/>
              </w:rPr>
              <w:t>para a elaboração de um EIA ou para a preparação de procedimentos de boas práticas ambientais caso seja obtida Isenção</w:t>
            </w:r>
            <w:r w:rsidRPr="004500AE">
              <w:rPr>
                <w:b/>
                <w:bCs/>
                <w:i/>
                <w:iCs/>
                <w:sz w:val="20"/>
                <w:szCs w:val="20"/>
                <w:lang w:val="pt-PT"/>
              </w:rPr>
              <w:t>)</w:t>
            </w:r>
          </w:p>
        </w:tc>
        <w:tc>
          <w:tcPr>
            <w:tcW w:w="4101" w:type="dxa"/>
          </w:tcPr>
          <w:p w14:paraId="3DFE73DE"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Processo de concurso e </w:t>
            </w:r>
            <w:proofErr w:type="spellStart"/>
            <w:r w:rsidRPr="00292532">
              <w:rPr>
                <w:sz w:val="20"/>
                <w:szCs w:val="20"/>
                <w:lang w:val="pt-PT"/>
              </w:rPr>
              <w:t>selecção</w:t>
            </w:r>
            <w:proofErr w:type="spellEnd"/>
            <w:r w:rsidRPr="00292532">
              <w:rPr>
                <w:sz w:val="20"/>
                <w:szCs w:val="20"/>
                <w:lang w:val="pt-PT"/>
              </w:rPr>
              <w:t xml:space="preserve"> de uma equipa de consultores devidamente credenciados e registados no MTA</w:t>
            </w:r>
          </w:p>
        </w:tc>
        <w:tc>
          <w:tcPr>
            <w:tcW w:w="2430" w:type="dxa"/>
          </w:tcPr>
          <w:p w14:paraId="65AFE8B5"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Equipa de especialistas em salvaguardas das </w:t>
            </w:r>
            <w:proofErr w:type="spellStart"/>
            <w:r w:rsidRPr="00292532">
              <w:rPr>
                <w:sz w:val="20"/>
                <w:szCs w:val="20"/>
                <w:lang w:val="pt-PT"/>
              </w:rPr>
              <w:t>UIPs</w:t>
            </w:r>
            <w:proofErr w:type="spellEnd"/>
            <w:r w:rsidRPr="00292532">
              <w:rPr>
                <w:sz w:val="20"/>
                <w:szCs w:val="20"/>
                <w:lang w:val="pt-PT"/>
              </w:rPr>
              <w:t xml:space="preserve"> (AIAS) e UTP (DPOPH)</w:t>
            </w:r>
          </w:p>
          <w:p w14:paraId="287F5886" w14:textId="487A2C6A"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proofErr w:type="spellStart"/>
            <w:r w:rsidRPr="00292532">
              <w:rPr>
                <w:sz w:val="20"/>
                <w:szCs w:val="20"/>
                <w:lang w:val="pt-PT"/>
              </w:rPr>
              <w:t>UIPs</w:t>
            </w:r>
            <w:proofErr w:type="spellEnd"/>
            <w:r w:rsidRPr="00292532">
              <w:rPr>
                <w:sz w:val="20"/>
                <w:szCs w:val="20"/>
                <w:lang w:val="pt-PT"/>
              </w:rPr>
              <w:t xml:space="preserve"> (AIAS e DNAAS)</w:t>
            </w:r>
          </w:p>
          <w:p w14:paraId="1206CA68"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p>
          <w:p w14:paraId="3873CE51"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p>
        </w:tc>
      </w:tr>
      <w:tr w:rsidR="00814BC5" w:rsidRPr="00292532" w14:paraId="1A4DF328" w14:textId="77777777" w:rsidTr="00BD0602">
        <w:trPr>
          <w:trHeight w:val="910"/>
        </w:trPr>
        <w:tc>
          <w:tcPr>
            <w:cnfStyle w:val="001000000000" w:firstRow="0" w:lastRow="0" w:firstColumn="1" w:lastColumn="0" w:oddVBand="0" w:evenVBand="0" w:oddHBand="0" w:evenHBand="0" w:firstRowFirstColumn="0" w:firstRowLastColumn="0" w:lastRowFirstColumn="0" w:lastRowLastColumn="0"/>
            <w:tcW w:w="530" w:type="dxa"/>
          </w:tcPr>
          <w:p w14:paraId="2D68219E" w14:textId="77777777" w:rsidR="00814BC5" w:rsidRPr="00292532" w:rsidRDefault="00814BC5" w:rsidP="00BD0602">
            <w:pPr>
              <w:tabs>
                <w:tab w:val="left" w:pos="157"/>
              </w:tabs>
              <w:rPr>
                <w:b w:val="0"/>
                <w:bCs w:val="0"/>
                <w:sz w:val="20"/>
                <w:szCs w:val="20"/>
                <w:lang w:val="pt-PT"/>
              </w:rPr>
            </w:pPr>
            <w:r w:rsidRPr="00292532">
              <w:rPr>
                <w:b w:val="0"/>
                <w:bCs w:val="0"/>
                <w:sz w:val="20"/>
                <w:szCs w:val="20"/>
                <w:lang w:val="pt-PT"/>
              </w:rPr>
              <w:t>6</w:t>
            </w:r>
          </w:p>
        </w:tc>
        <w:tc>
          <w:tcPr>
            <w:tcW w:w="1759" w:type="dxa"/>
          </w:tcPr>
          <w:p w14:paraId="0EDE72B5"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b/>
                <w:bCs/>
                <w:sz w:val="20"/>
                <w:szCs w:val="20"/>
                <w:lang w:val="pt-PT"/>
              </w:rPr>
            </w:pPr>
            <w:r w:rsidRPr="00292532">
              <w:rPr>
                <w:b/>
                <w:bCs/>
                <w:sz w:val="20"/>
                <w:szCs w:val="20"/>
                <w:lang w:val="pt-PT"/>
              </w:rPr>
              <w:t xml:space="preserve">Elaboração dos EIAS e de Procedimentos de Boas Práticas Ambientais </w:t>
            </w:r>
          </w:p>
        </w:tc>
        <w:tc>
          <w:tcPr>
            <w:tcW w:w="4101" w:type="dxa"/>
          </w:tcPr>
          <w:p w14:paraId="06E34819"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Condução do Processo da AIA, incluindo a elaboração dos EIAS, e submissão a autoridade ambiental.</w:t>
            </w:r>
          </w:p>
          <w:p w14:paraId="58519F5A"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Para os </w:t>
            </w:r>
            <w:proofErr w:type="spellStart"/>
            <w:r w:rsidRPr="00292532">
              <w:rPr>
                <w:sz w:val="20"/>
                <w:szCs w:val="20"/>
                <w:lang w:val="pt-PT"/>
              </w:rPr>
              <w:t>projectos</w:t>
            </w:r>
            <w:proofErr w:type="spellEnd"/>
            <w:r w:rsidRPr="00292532">
              <w:rPr>
                <w:sz w:val="20"/>
                <w:szCs w:val="20"/>
                <w:lang w:val="pt-PT"/>
              </w:rPr>
              <w:t xml:space="preserve"> isentos de realização de um processo de AIA, nesta etapa serão elaborados os Procedimentos de Boas Práticas Ambientais com base na metodologia e abordagem para a elaboração dos PGAS, definida nos Termos de Referência padrão (</w:t>
            </w:r>
            <w:r w:rsidRPr="00292532">
              <w:rPr>
                <w:b/>
                <w:bCs/>
                <w:sz w:val="20"/>
                <w:szCs w:val="20"/>
                <w:lang w:val="pt-PT"/>
              </w:rPr>
              <w:t>Anexo 2</w:t>
            </w:r>
            <w:r w:rsidRPr="00292532">
              <w:rPr>
                <w:sz w:val="20"/>
                <w:szCs w:val="20"/>
                <w:lang w:val="pt-PT"/>
              </w:rPr>
              <w:t>)</w:t>
            </w:r>
          </w:p>
        </w:tc>
        <w:tc>
          <w:tcPr>
            <w:tcW w:w="2430" w:type="dxa"/>
          </w:tcPr>
          <w:p w14:paraId="4E5B2958"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Consultor da AIA contratado</w:t>
            </w:r>
          </w:p>
        </w:tc>
      </w:tr>
      <w:tr w:rsidR="00814BC5" w:rsidRPr="008D18CF" w14:paraId="50E72EBA" w14:textId="77777777" w:rsidTr="00BD0602">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530" w:type="dxa"/>
          </w:tcPr>
          <w:p w14:paraId="3B76055F" w14:textId="77777777" w:rsidR="00814BC5" w:rsidRPr="00292532" w:rsidRDefault="00814BC5" w:rsidP="00BD0602">
            <w:pPr>
              <w:tabs>
                <w:tab w:val="left" w:pos="157"/>
              </w:tabs>
              <w:rPr>
                <w:b w:val="0"/>
                <w:bCs w:val="0"/>
                <w:sz w:val="20"/>
                <w:szCs w:val="20"/>
                <w:lang w:val="pt-PT"/>
              </w:rPr>
            </w:pPr>
            <w:r w:rsidRPr="00292532">
              <w:rPr>
                <w:b w:val="0"/>
                <w:bCs w:val="0"/>
                <w:sz w:val="20"/>
                <w:szCs w:val="20"/>
                <w:lang w:val="pt-PT"/>
              </w:rPr>
              <w:t>7</w:t>
            </w:r>
          </w:p>
        </w:tc>
        <w:tc>
          <w:tcPr>
            <w:tcW w:w="1759" w:type="dxa"/>
          </w:tcPr>
          <w:p w14:paraId="39B8DE0F" w14:textId="7E64E54D"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b/>
                <w:bCs/>
                <w:sz w:val="20"/>
                <w:szCs w:val="20"/>
                <w:lang w:val="pt-PT"/>
              </w:rPr>
            </w:pPr>
            <w:r w:rsidRPr="00292532">
              <w:rPr>
                <w:b/>
                <w:bCs/>
                <w:sz w:val="20"/>
                <w:szCs w:val="20"/>
                <w:lang w:val="pt-PT"/>
              </w:rPr>
              <w:t xml:space="preserve">Consulta </w:t>
            </w:r>
            <w:proofErr w:type="gramStart"/>
            <w:r w:rsidRPr="00292532">
              <w:rPr>
                <w:b/>
                <w:bCs/>
                <w:sz w:val="20"/>
                <w:szCs w:val="20"/>
                <w:lang w:val="pt-PT"/>
              </w:rPr>
              <w:t>Pública</w:t>
            </w:r>
            <w:proofErr w:type="gramEnd"/>
            <w:r w:rsidRPr="00292532">
              <w:rPr>
                <w:b/>
                <w:bCs/>
                <w:sz w:val="20"/>
                <w:szCs w:val="20"/>
                <w:lang w:val="pt-PT"/>
              </w:rPr>
              <w:t xml:space="preserve"> e divulgação </w:t>
            </w:r>
            <w:r w:rsidRPr="004500AE">
              <w:rPr>
                <w:b/>
                <w:bCs/>
                <w:i/>
                <w:iCs/>
                <w:sz w:val="20"/>
                <w:szCs w:val="20"/>
                <w:lang w:val="pt-PT"/>
              </w:rPr>
              <w:t>(a necessidade de Consulta Pública será avaliada na fase de triagem e posteriormente confirmada pelo MTA)</w:t>
            </w:r>
          </w:p>
        </w:tc>
        <w:tc>
          <w:tcPr>
            <w:tcW w:w="4101" w:type="dxa"/>
          </w:tcPr>
          <w:p w14:paraId="042BC968"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Realização das consultas públicas previstas durante o processo de AIA, como prescrito na legislação.</w:t>
            </w:r>
          </w:p>
          <w:p w14:paraId="1EDA5A19"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Em cumprimento dos requisitos da NAS1 do Banco Mundial, serão realizadas consultas públicas para todos os subprojectos, incluindo os isentos à realização de uma AIA. Para estes, a consulta pública divulgará os Procedimentos de Boas Práticas Ambientais.</w:t>
            </w:r>
          </w:p>
        </w:tc>
        <w:tc>
          <w:tcPr>
            <w:tcW w:w="2430" w:type="dxa"/>
          </w:tcPr>
          <w:p w14:paraId="39BF3737"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Consultor da AIA contratado</w:t>
            </w:r>
          </w:p>
          <w:p w14:paraId="77B6136A"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Equipa de especialistas em salvaguardas das </w:t>
            </w:r>
            <w:proofErr w:type="spellStart"/>
            <w:r w:rsidRPr="00292532">
              <w:rPr>
                <w:sz w:val="20"/>
                <w:szCs w:val="20"/>
                <w:lang w:val="pt-PT"/>
              </w:rPr>
              <w:t>UIPs</w:t>
            </w:r>
            <w:proofErr w:type="spellEnd"/>
            <w:r w:rsidRPr="00292532">
              <w:rPr>
                <w:sz w:val="20"/>
                <w:szCs w:val="20"/>
                <w:lang w:val="pt-PT"/>
              </w:rPr>
              <w:t xml:space="preserve"> (AIAS) e UTP (DPOPH)</w:t>
            </w:r>
          </w:p>
          <w:p w14:paraId="1F13D2EE"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proofErr w:type="spellStart"/>
            <w:r w:rsidRPr="00292532">
              <w:rPr>
                <w:sz w:val="20"/>
                <w:szCs w:val="20"/>
                <w:lang w:val="pt-PT"/>
              </w:rPr>
              <w:t>UIPs</w:t>
            </w:r>
            <w:proofErr w:type="spellEnd"/>
            <w:r w:rsidRPr="00292532">
              <w:rPr>
                <w:sz w:val="20"/>
                <w:szCs w:val="20"/>
                <w:lang w:val="pt-PT"/>
              </w:rPr>
              <w:t xml:space="preserve"> (AIAS e DNAAS)</w:t>
            </w:r>
          </w:p>
          <w:p w14:paraId="568FAD08"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MOPHRH</w:t>
            </w:r>
          </w:p>
          <w:p w14:paraId="60EDEB10"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MTA (DINAB)</w:t>
            </w:r>
          </w:p>
          <w:p w14:paraId="225FB8E1"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SPA</w:t>
            </w:r>
          </w:p>
          <w:p w14:paraId="0BBBBEB9"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Partes Interessadas e </w:t>
            </w:r>
            <w:proofErr w:type="spellStart"/>
            <w:r w:rsidRPr="00292532">
              <w:rPr>
                <w:sz w:val="20"/>
                <w:szCs w:val="20"/>
                <w:lang w:val="pt-PT"/>
              </w:rPr>
              <w:t>Afectadas</w:t>
            </w:r>
            <w:proofErr w:type="spellEnd"/>
          </w:p>
          <w:p w14:paraId="66BC11EA"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p>
          <w:p w14:paraId="4D445113" w14:textId="2372F984"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NGC</w:t>
            </w:r>
          </w:p>
        </w:tc>
      </w:tr>
      <w:tr w:rsidR="00814BC5" w:rsidRPr="008D18CF" w14:paraId="425C6644" w14:textId="77777777" w:rsidTr="00BD0602">
        <w:trPr>
          <w:trHeight w:val="910"/>
        </w:trPr>
        <w:tc>
          <w:tcPr>
            <w:cnfStyle w:val="001000000000" w:firstRow="0" w:lastRow="0" w:firstColumn="1" w:lastColumn="0" w:oddVBand="0" w:evenVBand="0" w:oddHBand="0" w:evenHBand="0" w:firstRowFirstColumn="0" w:firstRowLastColumn="0" w:lastRowFirstColumn="0" w:lastRowLastColumn="0"/>
            <w:tcW w:w="530" w:type="dxa"/>
          </w:tcPr>
          <w:p w14:paraId="4FF873D4" w14:textId="77777777" w:rsidR="00814BC5" w:rsidRPr="00292532" w:rsidRDefault="00814BC5" w:rsidP="00BD0602">
            <w:pPr>
              <w:tabs>
                <w:tab w:val="left" w:pos="157"/>
              </w:tabs>
              <w:rPr>
                <w:b w:val="0"/>
                <w:bCs w:val="0"/>
                <w:sz w:val="20"/>
                <w:szCs w:val="20"/>
                <w:lang w:val="pt-PT"/>
              </w:rPr>
            </w:pPr>
          </w:p>
        </w:tc>
        <w:tc>
          <w:tcPr>
            <w:tcW w:w="1759" w:type="dxa"/>
          </w:tcPr>
          <w:p w14:paraId="09807931"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b/>
                <w:bCs/>
                <w:sz w:val="20"/>
                <w:szCs w:val="20"/>
                <w:lang w:val="pt-PT"/>
              </w:rPr>
            </w:pPr>
            <w:r w:rsidRPr="00292532">
              <w:rPr>
                <w:b/>
                <w:bCs/>
                <w:sz w:val="20"/>
                <w:szCs w:val="20"/>
                <w:lang w:val="pt-PT"/>
              </w:rPr>
              <w:t>Revisão e aprovação dos Relatórios de Estudos de Impacto Ambiental (REIAS) e Procedimentos de Boas Práticas Ambientais</w:t>
            </w:r>
          </w:p>
        </w:tc>
        <w:tc>
          <w:tcPr>
            <w:tcW w:w="4101" w:type="dxa"/>
          </w:tcPr>
          <w:p w14:paraId="20B5F2DE"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Revisão dos </w:t>
            </w:r>
            <w:proofErr w:type="spellStart"/>
            <w:r w:rsidRPr="00292532">
              <w:rPr>
                <w:sz w:val="20"/>
                <w:szCs w:val="20"/>
                <w:lang w:val="pt-PT"/>
              </w:rPr>
              <w:t>REIAs</w:t>
            </w:r>
            <w:proofErr w:type="spellEnd"/>
            <w:r w:rsidRPr="00292532">
              <w:rPr>
                <w:sz w:val="20"/>
                <w:szCs w:val="20"/>
                <w:lang w:val="pt-PT"/>
              </w:rPr>
              <w:t>, aprovação e emissão da licença ambiental com recomendações para implementação durante a execução dos subprojectos.</w:t>
            </w:r>
          </w:p>
          <w:p w14:paraId="7F32EC9C"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O Banco Mundial examinará todos os relatórios de Estudo de Impacto Ambiental, PGAS e Procedimentos de Boas Práticas desenvolvidos pelos Consultores para determinação de conformidade com os requisitos do Banco Mundial e emitirá recomendações. </w:t>
            </w:r>
          </w:p>
        </w:tc>
        <w:tc>
          <w:tcPr>
            <w:tcW w:w="2430" w:type="dxa"/>
          </w:tcPr>
          <w:p w14:paraId="5FAC2531"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DINAB  </w:t>
            </w:r>
          </w:p>
          <w:p w14:paraId="6A1BA0D7"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SPA </w:t>
            </w:r>
          </w:p>
          <w:p w14:paraId="10939722"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Banco Mundial</w:t>
            </w:r>
          </w:p>
          <w:p w14:paraId="63CD2872"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p>
          <w:p w14:paraId="40F6425B" w14:textId="15CE9AEC"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NGC</w:t>
            </w:r>
          </w:p>
        </w:tc>
      </w:tr>
      <w:tr w:rsidR="00814BC5" w:rsidRPr="008D18CF" w14:paraId="2884DEBC" w14:textId="77777777" w:rsidTr="00BD0602">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530" w:type="dxa"/>
          </w:tcPr>
          <w:p w14:paraId="6DCC03EF" w14:textId="77777777" w:rsidR="00814BC5" w:rsidRPr="00292532" w:rsidRDefault="00814BC5" w:rsidP="00BD0602">
            <w:pPr>
              <w:tabs>
                <w:tab w:val="left" w:pos="157"/>
              </w:tabs>
              <w:rPr>
                <w:b w:val="0"/>
                <w:bCs w:val="0"/>
                <w:sz w:val="20"/>
                <w:szCs w:val="20"/>
                <w:lang w:val="pt-PT"/>
              </w:rPr>
            </w:pPr>
            <w:r w:rsidRPr="00292532">
              <w:rPr>
                <w:b w:val="0"/>
                <w:bCs w:val="0"/>
                <w:sz w:val="20"/>
                <w:szCs w:val="20"/>
                <w:lang w:val="pt-PT"/>
              </w:rPr>
              <w:t>8</w:t>
            </w:r>
          </w:p>
        </w:tc>
        <w:tc>
          <w:tcPr>
            <w:tcW w:w="1759" w:type="dxa"/>
          </w:tcPr>
          <w:p w14:paraId="46BFE1BC"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b/>
                <w:bCs/>
                <w:sz w:val="20"/>
                <w:szCs w:val="20"/>
                <w:lang w:val="pt-PT"/>
              </w:rPr>
            </w:pPr>
            <w:r w:rsidRPr="00292532">
              <w:rPr>
                <w:b/>
                <w:bCs/>
                <w:sz w:val="20"/>
                <w:szCs w:val="20"/>
                <w:lang w:val="pt-PT"/>
              </w:rPr>
              <w:t>Acompanhamento, auditoria e monitorização ambiental</w:t>
            </w:r>
          </w:p>
        </w:tc>
        <w:tc>
          <w:tcPr>
            <w:tcW w:w="4101" w:type="dxa"/>
          </w:tcPr>
          <w:p w14:paraId="4A43B127"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Acompanhamento, monitoria e apresentação de relatórios de implementação dos PGASS e recomendações dos estudos ambientais durante a execução das </w:t>
            </w:r>
            <w:proofErr w:type="spellStart"/>
            <w:r w:rsidRPr="00292532">
              <w:rPr>
                <w:sz w:val="20"/>
                <w:szCs w:val="20"/>
                <w:lang w:val="pt-PT"/>
              </w:rPr>
              <w:t>actividades</w:t>
            </w:r>
            <w:proofErr w:type="spellEnd"/>
            <w:r w:rsidRPr="00292532">
              <w:rPr>
                <w:sz w:val="20"/>
                <w:szCs w:val="20"/>
                <w:lang w:val="pt-PT"/>
              </w:rPr>
              <w:t xml:space="preserve">. Monitoria dos indicadores chave de desempenho dos </w:t>
            </w:r>
            <w:proofErr w:type="spellStart"/>
            <w:r w:rsidRPr="00292532">
              <w:rPr>
                <w:sz w:val="20"/>
                <w:szCs w:val="20"/>
                <w:lang w:val="pt-PT"/>
              </w:rPr>
              <w:t>projectos</w:t>
            </w:r>
            <w:proofErr w:type="spellEnd"/>
            <w:r w:rsidRPr="00292532">
              <w:rPr>
                <w:sz w:val="20"/>
                <w:szCs w:val="20"/>
                <w:lang w:val="pt-PT"/>
              </w:rPr>
              <w:t>.</w:t>
            </w:r>
          </w:p>
          <w:p w14:paraId="21F0066D"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Realça-se o requisito legislativo de realizar uma auditoria ambiental anual por um consultor registado na AQUA.</w:t>
            </w:r>
          </w:p>
        </w:tc>
        <w:tc>
          <w:tcPr>
            <w:tcW w:w="2430" w:type="dxa"/>
          </w:tcPr>
          <w:p w14:paraId="10335499"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Equipa de especialistas em salvaguardas das </w:t>
            </w:r>
            <w:proofErr w:type="spellStart"/>
            <w:r w:rsidRPr="00292532">
              <w:rPr>
                <w:sz w:val="20"/>
                <w:szCs w:val="20"/>
                <w:lang w:val="pt-PT"/>
              </w:rPr>
              <w:t>UIPs</w:t>
            </w:r>
            <w:proofErr w:type="spellEnd"/>
            <w:r w:rsidRPr="00292532">
              <w:rPr>
                <w:sz w:val="20"/>
                <w:szCs w:val="20"/>
                <w:lang w:val="pt-PT"/>
              </w:rPr>
              <w:t xml:space="preserve"> (AIAS) e UTP (DPOPH)</w:t>
            </w:r>
          </w:p>
          <w:p w14:paraId="1C41329F"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proofErr w:type="spellStart"/>
            <w:r w:rsidRPr="00292532">
              <w:rPr>
                <w:sz w:val="20"/>
                <w:szCs w:val="20"/>
                <w:lang w:val="pt-PT"/>
              </w:rPr>
              <w:t>UIPs</w:t>
            </w:r>
            <w:proofErr w:type="spellEnd"/>
            <w:r w:rsidRPr="00292532">
              <w:rPr>
                <w:sz w:val="20"/>
                <w:szCs w:val="20"/>
                <w:lang w:val="pt-PT"/>
              </w:rPr>
              <w:t xml:space="preserve"> (AIAS e DNAAS)</w:t>
            </w:r>
          </w:p>
          <w:p w14:paraId="0C3FCAB7"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Consultor para acompanhamento de implementação do PGAS</w:t>
            </w:r>
          </w:p>
          <w:p w14:paraId="065096DD"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Consultor (Auditor Ambiental)</w:t>
            </w:r>
          </w:p>
          <w:p w14:paraId="4F394018"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Empreiteiros</w:t>
            </w:r>
          </w:p>
          <w:p w14:paraId="5CB86198" w14:textId="6190D3A1"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NGC</w:t>
            </w:r>
          </w:p>
        </w:tc>
      </w:tr>
      <w:tr w:rsidR="00814BC5" w:rsidRPr="00292532" w14:paraId="64722809" w14:textId="77777777" w:rsidTr="00BD0602">
        <w:trPr>
          <w:trHeight w:val="910"/>
        </w:trPr>
        <w:tc>
          <w:tcPr>
            <w:cnfStyle w:val="001000000000" w:firstRow="0" w:lastRow="0" w:firstColumn="1" w:lastColumn="0" w:oddVBand="0" w:evenVBand="0" w:oddHBand="0" w:evenHBand="0" w:firstRowFirstColumn="0" w:firstRowLastColumn="0" w:lastRowFirstColumn="0" w:lastRowLastColumn="0"/>
            <w:tcW w:w="530" w:type="dxa"/>
          </w:tcPr>
          <w:p w14:paraId="0C6195F6" w14:textId="77777777" w:rsidR="00814BC5" w:rsidRPr="00292532" w:rsidRDefault="00814BC5" w:rsidP="00BD0602">
            <w:pPr>
              <w:tabs>
                <w:tab w:val="left" w:pos="157"/>
              </w:tabs>
              <w:rPr>
                <w:b w:val="0"/>
                <w:bCs w:val="0"/>
                <w:sz w:val="20"/>
                <w:szCs w:val="20"/>
                <w:lang w:val="pt-PT"/>
              </w:rPr>
            </w:pPr>
            <w:r w:rsidRPr="00292532">
              <w:rPr>
                <w:b w:val="0"/>
                <w:bCs w:val="0"/>
                <w:sz w:val="20"/>
                <w:szCs w:val="20"/>
                <w:lang w:val="pt-PT"/>
              </w:rPr>
              <w:t>9</w:t>
            </w:r>
          </w:p>
        </w:tc>
        <w:tc>
          <w:tcPr>
            <w:tcW w:w="1759" w:type="dxa"/>
          </w:tcPr>
          <w:p w14:paraId="16C2B2AC" w14:textId="123096F9"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b/>
                <w:bCs/>
                <w:sz w:val="20"/>
                <w:szCs w:val="20"/>
                <w:lang w:val="pt-PT"/>
              </w:rPr>
            </w:pPr>
            <w:r w:rsidRPr="00292532">
              <w:rPr>
                <w:b/>
                <w:bCs/>
                <w:sz w:val="20"/>
                <w:szCs w:val="20"/>
                <w:lang w:val="pt-PT"/>
              </w:rPr>
              <w:t>Auditoria de Conformidade Ambiental e emissão da licença ambiental</w:t>
            </w:r>
            <w:proofErr w:type="gramStart"/>
            <w:r w:rsidRPr="00292532">
              <w:rPr>
                <w:b/>
                <w:bCs/>
                <w:sz w:val="20"/>
                <w:szCs w:val="20"/>
                <w:lang w:val="pt-PT"/>
              </w:rPr>
              <w:t xml:space="preserve">   </w:t>
            </w:r>
            <w:r w:rsidRPr="004500AE">
              <w:rPr>
                <w:b/>
                <w:bCs/>
                <w:i/>
                <w:iCs/>
                <w:sz w:val="20"/>
                <w:szCs w:val="20"/>
                <w:lang w:val="pt-PT"/>
              </w:rPr>
              <w:t>(</w:t>
            </w:r>
            <w:proofErr w:type="gramEnd"/>
            <w:r w:rsidRPr="004500AE">
              <w:rPr>
                <w:b/>
                <w:bCs/>
                <w:i/>
                <w:iCs/>
                <w:sz w:val="20"/>
                <w:szCs w:val="20"/>
                <w:lang w:val="pt-PT"/>
              </w:rPr>
              <w:t>requisito aplicável caso não seja obtida a isenção)</w:t>
            </w:r>
          </w:p>
        </w:tc>
        <w:tc>
          <w:tcPr>
            <w:tcW w:w="4101" w:type="dxa"/>
          </w:tcPr>
          <w:p w14:paraId="464D1BB8"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Realização de auditorias de conformidade ambiental com a finalidade de aplicar para a emissão da licença (ambiental) de operação dos sistemas. </w:t>
            </w:r>
          </w:p>
          <w:p w14:paraId="172D3445"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Renovação da licença ambiental de 5 em 5 anos.</w:t>
            </w:r>
          </w:p>
        </w:tc>
        <w:tc>
          <w:tcPr>
            <w:tcW w:w="2430" w:type="dxa"/>
          </w:tcPr>
          <w:p w14:paraId="3C3AE70D"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UIPS (AIAS e DNAAS)</w:t>
            </w:r>
          </w:p>
          <w:p w14:paraId="3ABEA91A"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 xml:space="preserve">Consultor ambiental e social </w:t>
            </w:r>
          </w:p>
          <w:p w14:paraId="135A18C9" w14:textId="77777777"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MTA</w:t>
            </w:r>
          </w:p>
          <w:p w14:paraId="3F6A19F2" w14:textId="65E3508F" w:rsidR="00814BC5" w:rsidRPr="00292532" w:rsidRDefault="00814BC5" w:rsidP="00BD0602">
            <w:pPr>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rPr>
              <w:t>NGC</w:t>
            </w:r>
          </w:p>
        </w:tc>
      </w:tr>
      <w:tr w:rsidR="00814BC5" w:rsidRPr="00292532" w14:paraId="2990971F" w14:textId="77777777" w:rsidTr="00BD0602">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530" w:type="dxa"/>
          </w:tcPr>
          <w:p w14:paraId="0A76DA48" w14:textId="77777777" w:rsidR="00814BC5" w:rsidRPr="00292532" w:rsidRDefault="00814BC5" w:rsidP="00BD0602">
            <w:pPr>
              <w:tabs>
                <w:tab w:val="left" w:pos="157"/>
              </w:tabs>
              <w:rPr>
                <w:b w:val="0"/>
                <w:bCs w:val="0"/>
                <w:sz w:val="20"/>
                <w:szCs w:val="20"/>
                <w:lang w:val="pt-PT"/>
              </w:rPr>
            </w:pPr>
            <w:r w:rsidRPr="00292532">
              <w:rPr>
                <w:b w:val="0"/>
                <w:bCs w:val="0"/>
                <w:sz w:val="20"/>
                <w:szCs w:val="20"/>
                <w:lang w:val="pt-PT"/>
              </w:rPr>
              <w:t>10</w:t>
            </w:r>
          </w:p>
        </w:tc>
        <w:tc>
          <w:tcPr>
            <w:tcW w:w="1759" w:type="dxa"/>
          </w:tcPr>
          <w:p w14:paraId="0CA0BD0C"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b/>
                <w:bCs/>
                <w:sz w:val="20"/>
                <w:szCs w:val="20"/>
                <w:lang w:val="pt-PT"/>
              </w:rPr>
            </w:pPr>
            <w:r w:rsidRPr="00292532">
              <w:rPr>
                <w:b/>
                <w:bCs/>
                <w:sz w:val="20"/>
                <w:szCs w:val="20"/>
                <w:lang w:val="pt-PT"/>
              </w:rPr>
              <w:t>Acompanhamento, auditoria</w:t>
            </w:r>
          </w:p>
        </w:tc>
        <w:tc>
          <w:tcPr>
            <w:tcW w:w="4101" w:type="dxa"/>
          </w:tcPr>
          <w:p w14:paraId="0D813461" w14:textId="6D6BB4E6"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Acompanhamento e Implementação do Plano de Gestão Ambiental e </w:t>
            </w:r>
            <w:r w:rsidR="00477909" w:rsidRPr="00292532">
              <w:rPr>
                <w:sz w:val="20"/>
                <w:szCs w:val="20"/>
                <w:lang w:val="pt-PT"/>
              </w:rPr>
              <w:t>Social.</w:t>
            </w:r>
          </w:p>
          <w:p w14:paraId="30C31780"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Realização de auditorias ambientais anuais.</w:t>
            </w:r>
          </w:p>
          <w:p w14:paraId="47694E0F"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Submissão de relatórios de desempenho ambiental e social ao MTA.</w:t>
            </w:r>
          </w:p>
          <w:p w14:paraId="2DE47702"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p>
        </w:tc>
        <w:tc>
          <w:tcPr>
            <w:tcW w:w="2430" w:type="dxa"/>
          </w:tcPr>
          <w:p w14:paraId="30B64E3C"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Consultor (Auditor Ambiental)</w:t>
            </w:r>
          </w:p>
          <w:p w14:paraId="5CE42AB6"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Operadores dos sistemas </w:t>
            </w:r>
          </w:p>
          <w:p w14:paraId="38477CEE" w14:textId="77777777" w:rsidR="00814BC5" w:rsidRPr="00292532" w:rsidRDefault="00814BC5" w:rsidP="00BD0602">
            <w:pPr>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AQUA</w:t>
            </w:r>
          </w:p>
        </w:tc>
      </w:tr>
    </w:tbl>
    <w:p w14:paraId="1BF2C474" w14:textId="77777777" w:rsidR="002A1C98" w:rsidRPr="00292532" w:rsidRDefault="002A1C98" w:rsidP="002A1C98">
      <w:pPr>
        <w:rPr>
          <w:lang w:val="pt-PT" w:eastAsia="ja-JP"/>
        </w:rPr>
        <w:sectPr w:rsidR="002A1C98" w:rsidRPr="00292532" w:rsidSect="00C01674">
          <w:pgSz w:w="11906" w:h="16838"/>
          <w:pgMar w:top="1417" w:right="1701" w:bottom="1417" w:left="1701" w:header="708" w:footer="708"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p>
    <w:p w14:paraId="0667AF78" w14:textId="2542E981" w:rsidR="002A1C98" w:rsidRPr="004500AE" w:rsidRDefault="002A1C98" w:rsidP="004500AE">
      <w:pPr>
        <w:pStyle w:val="Heading1"/>
        <w:rPr>
          <w:b w:val="0"/>
          <w:lang w:val="pt-PT"/>
        </w:rPr>
      </w:pPr>
      <w:bookmarkStart w:id="491" w:name="_Toc80380081"/>
      <w:proofErr w:type="spellStart"/>
      <w:r w:rsidRPr="004500AE">
        <w:rPr>
          <w:lang w:val="pt-PT"/>
        </w:rPr>
        <w:lastRenderedPageBreak/>
        <w:t>Directrizes</w:t>
      </w:r>
      <w:proofErr w:type="spellEnd"/>
      <w:r w:rsidRPr="004500AE">
        <w:rPr>
          <w:lang w:val="pt-PT"/>
        </w:rPr>
        <w:t xml:space="preserve"> para a Preparação de Estudos de Viabilidade Ambiental, Saúde e Segurança Ocupacional</w:t>
      </w:r>
      <w:bookmarkEnd w:id="491"/>
      <w:r w:rsidRPr="004500AE">
        <w:rPr>
          <w:lang w:val="pt-PT"/>
        </w:rPr>
        <w:t xml:space="preserve"> </w:t>
      </w:r>
    </w:p>
    <w:p w14:paraId="20B75077" w14:textId="77777777" w:rsidR="00106219" w:rsidRPr="004500AE" w:rsidRDefault="00106219" w:rsidP="00106219">
      <w:pPr>
        <w:pStyle w:val="Normal11"/>
        <w:rPr>
          <w:lang w:val="pt-PT"/>
        </w:rPr>
      </w:pPr>
    </w:p>
    <w:p w14:paraId="6C24DD9C" w14:textId="7B569854" w:rsidR="00106219" w:rsidRPr="004500AE" w:rsidRDefault="00106219" w:rsidP="00106219">
      <w:pPr>
        <w:pStyle w:val="Normal11"/>
        <w:rPr>
          <w:lang w:val="pt-PT"/>
        </w:rPr>
      </w:pPr>
      <w:r w:rsidRPr="004500AE">
        <w:rPr>
          <w:lang w:val="pt-PT"/>
        </w:rPr>
        <w:t xml:space="preserve">Esta secção apresenta as linhas de orientação gerais para a elaboração de Estudos Viabilidade Ambiental, Saúde e Segurança Ocupacional quer estes sejam para as </w:t>
      </w:r>
      <w:proofErr w:type="spellStart"/>
      <w:r w:rsidRPr="004500AE">
        <w:rPr>
          <w:lang w:val="pt-PT"/>
        </w:rPr>
        <w:t>actividades</w:t>
      </w:r>
      <w:proofErr w:type="spellEnd"/>
      <w:r w:rsidRPr="004500AE">
        <w:rPr>
          <w:lang w:val="pt-PT"/>
        </w:rPr>
        <w:t xml:space="preserve"> de </w:t>
      </w:r>
      <w:r w:rsidR="00477909" w:rsidRPr="004500AE">
        <w:rPr>
          <w:lang w:val="pt-PT"/>
        </w:rPr>
        <w:t>Reabilitação,</w:t>
      </w:r>
      <w:r w:rsidRPr="004500AE">
        <w:rPr>
          <w:lang w:val="pt-PT"/>
        </w:rPr>
        <w:t xml:space="preserve"> Construção, Operação e Manutenção das Infraestrutura de Abastecimento de Água </w:t>
      </w:r>
      <w:proofErr w:type="gramStart"/>
      <w:r w:rsidRPr="004500AE">
        <w:rPr>
          <w:lang w:val="pt-PT"/>
        </w:rPr>
        <w:t>ou  para</w:t>
      </w:r>
      <w:proofErr w:type="gramEnd"/>
      <w:r w:rsidRPr="004500AE">
        <w:rPr>
          <w:lang w:val="pt-PT"/>
        </w:rPr>
        <w:t xml:space="preserve"> as </w:t>
      </w:r>
      <w:proofErr w:type="spellStart"/>
      <w:r w:rsidRPr="004500AE">
        <w:rPr>
          <w:lang w:val="pt-PT"/>
        </w:rPr>
        <w:t>actividades</w:t>
      </w:r>
      <w:proofErr w:type="spellEnd"/>
      <w:r w:rsidRPr="004500AE">
        <w:rPr>
          <w:lang w:val="pt-PT"/>
        </w:rPr>
        <w:t xml:space="preserve"> de melhoria do acesso aos serviços de saneamento.</w:t>
      </w:r>
    </w:p>
    <w:p w14:paraId="4362EB59" w14:textId="43D05A87" w:rsidR="00106219" w:rsidRPr="004500AE" w:rsidRDefault="00516D11" w:rsidP="00106219">
      <w:pPr>
        <w:pStyle w:val="Normal11"/>
        <w:rPr>
          <w:lang w:val="pt-PT"/>
        </w:rPr>
      </w:pPr>
      <w:r w:rsidRPr="004500AE">
        <w:rPr>
          <w:lang w:val="pt-PT"/>
        </w:rPr>
        <w:t xml:space="preserve">A necessidade de elaboração de Estudos de Viabilidade será identificada pelo Mutuário em comum acordo com o Banco Mundial, após definição dos subprojectos. Os Estudos de Viabilidade poderão ser elaborados para atingir os seguintes </w:t>
      </w:r>
      <w:proofErr w:type="spellStart"/>
      <w:r w:rsidRPr="004500AE">
        <w:rPr>
          <w:lang w:val="pt-PT"/>
        </w:rPr>
        <w:t>objectivos</w:t>
      </w:r>
      <w:proofErr w:type="spellEnd"/>
      <w:r w:rsidRPr="004500AE">
        <w:rPr>
          <w:lang w:val="pt-PT"/>
        </w:rPr>
        <w:t xml:space="preserve">: </w:t>
      </w:r>
    </w:p>
    <w:p w14:paraId="1A1A83EF" w14:textId="3F60E9CC" w:rsidR="00516D11" w:rsidRPr="004500AE" w:rsidRDefault="00516D11" w:rsidP="00516D11">
      <w:pPr>
        <w:pStyle w:val="Normal11"/>
        <w:numPr>
          <w:ilvl w:val="0"/>
          <w:numId w:val="223"/>
        </w:numPr>
        <w:rPr>
          <w:lang w:val="pt-PT"/>
        </w:rPr>
      </w:pPr>
      <w:r w:rsidRPr="004500AE">
        <w:rPr>
          <w:lang w:val="pt-PT"/>
        </w:rPr>
        <w:t xml:space="preserve">Identificação de potenciais questões ambientais e sociais fatais. Com possam impedir as </w:t>
      </w:r>
      <w:proofErr w:type="spellStart"/>
      <w:r w:rsidRPr="004500AE">
        <w:rPr>
          <w:lang w:val="pt-PT"/>
        </w:rPr>
        <w:t>actividades</w:t>
      </w:r>
      <w:proofErr w:type="spellEnd"/>
      <w:r w:rsidRPr="004500AE">
        <w:rPr>
          <w:lang w:val="pt-PT"/>
        </w:rPr>
        <w:t xml:space="preserve"> de serem desenvolvidas </w:t>
      </w:r>
    </w:p>
    <w:p w14:paraId="65B2946D" w14:textId="109582F5" w:rsidR="00516D11" w:rsidRPr="004500AE" w:rsidRDefault="00516D11" w:rsidP="00516D11">
      <w:pPr>
        <w:pStyle w:val="Normal11"/>
        <w:numPr>
          <w:ilvl w:val="0"/>
          <w:numId w:val="223"/>
        </w:numPr>
        <w:rPr>
          <w:lang w:val="pt-PT"/>
        </w:rPr>
      </w:pPr>
      <w:r w:rsidRPr="004500AE">
        <w:rPr>
          <w:lang w:val="pt-PT"/>
        </w:rPr>
        <w:t>Revis</w:t>
      </w:r>
      <w:r w:rsidR="007B21A1" w:rsidRPr="004500AE">
        <w:rPr>
          <w:lang w:val="pt-PT"/>
        </w:rPr>
        <w:t>ã</w:t>
      </w:r>
      <w:r w:rsidRPr="004500AE">
        <w:rPr>
          <w:lang w:val="pt-PT"/>
        </w:rPr>
        <w:t xml:space="preserve">o detalhada da </w:t>
      </w:r>
      <w:r w:rsidR="00292532" w:rsidRPr="00292532">
        <w:rPr>
          <w:lang w:val="pt-PT"/>
        </w:rPr>
        <w:t>legislação</w:t>
      </w:r>
      <w:r w:rsidRPr="004500AE">
        <w:rPr>
          <w:lang w:val="pt-PT"/>
        </w:rPr>
        <w:t xml:space="preserve"> requisitos aplicáveis do Banco Mundial e </w:t>
      </w:r>
      <w:r w:rsidR="00292532" w:rsidRPr="00292532">
        <w:rPr>
          <w:lang w:val="pt-PT"/>
        </w:rPr>
        <w:t>identificação</w:t>
      </w:r>
      <w:r w:rsidRPr="004500AE">
        <w:rPr>
          <w:lang w:val="pt-PT"/>
        </w:rPr>
        <w:t xml:space="preserve"> de potenciais desafios em atingir a sua conformidade</w:t>
      </w:r>
    </w:p>
    <w:p w14:paraId="03F60543" w14:textId="15973AAC" w:rsidR="00516D11" w:rsidRPr="004500AE" w:rsidRDefault="00516D11" w:rsidP="00516D11">
      <w:pPr>
        <w:pStyle w:val="Normal11"/>
        <w:numPr>
          <w:ilvl w:val="0"/>
          <w:numId w:val="223"/>
        </w:numPr>
        <w:rPr>
          <w:lang w:val="pt-PT"/>
        </w:rPr>
      </w:pPr>
      <w:r w:rsidRPr="004500AE">
        <w:rPr>
          <w:lang w:val="pt-PT"/>
        </w:rPr>
        <w:t xml:space="preserve">Investigar os principais desafios de saúde e segurança que podem substancialmente conduzir a lesões graves, mortes e doenças ocupacionais graves </w:t>
      </w:r>
    </w:p>
    <w:p w14:paraId="069406F2" w14:textId="68D750BC" w:rsidR="00516D11" w:rsidRPr="004500AE" w:rsidRDefault="00516D11" w:rsidP="00516D11">
      <w:pPr>
        <w:pStyle w:val="Normal11"/>
        <w:numPr>
          <w:ilvl w:val="0"/>
          <w:numId w:val="223"/>
        </w:numPr>
        <w:rPr>
          <w:lang w:val="pt-PT"/>
        </w:rPr>
      </w:pPr>
      <w:r w:rsidRPr="004500AE">
        <w:rPr>
          <w:lang w:val="pt-PT"/>
        </w:rPr>
        <w:t>Analisar a viabilidade das alternativas propostas antes de se prosseguir para um processo de Avaliação de Impactos Ambientais em conformidade com a legislação Ambiental em vigor</w:t>
      </w:r>
    </w:p>
    <w:p w14:paraId="3190C6DF" w14:textId="58B19787" w:rsidR="00516D11" w:rsidRPr="004500AE" w:rsidRDefault="00516D11" w:rsidP="00516D11">
      <w:pPr>
        <w:pStyle w:val="Normal11"/>
        <w:numPr>
          <w:ilvl w:val="0"/>
          <w:numId w:val="223"/>
        </w:numPr>
        <w:rPr>
          <w:lang w:val="pt-PT"/>
        </w:rPr>
      </w:pPr>
      <w:r w:rsidRPr="004500AE">
        <w:rPr>
          <w:lang w:val="pt-PT"/>
        </w:rPr>
        <w:t xml:space="preserve">Com base em estudos de gabinete </w:t>
      </w:r>
      <w:proofErr w:type="spellStart"/>
      <w:r w:rsidRPr="004500AE">
        <w:rPr>
          <w:lang w:val="pt-PT"/>
        </w:rPr>
        <w:t>efectuar</w:t>
      </w:r>
      <w:proofErr w:type="spellEnd"/>
      <w:r w:rsidRPr="004500AE">
        <w:rPr>
          <w:lang w:val="pt-PT"/>
        </w:rPr>
        <w:t xml:space="preserve"> uma caracterização Ambiental e social das áreas de implementação do </w:t>
      </w:r>
      <w:proofErr w:type="spellStart"/>
      <w:r w:rsidRPr="004500AE">
        <w:rPr>
          <w:lang w:val="pt-PT"/>
        </w:rPr>
        <w:t>projecto</w:t>
      </w:r>
      <w:proofErr w:type="spellEnd"/>
      <w:r w:rsidRPr="004500AE">
        <w:rPr>
          <w:lang w:val="pt-PT"/>
        </w:rPr>
        <w:t>/subprojectos</w:t>
      </w:r>
    </w:p>
    <w:p w14:paraId="407B3575" w14:textId="3E14CB3A" w:rsidR="00516D11" w:rsidRPr="004500AE" w:rsidRDefault="00516D11" w:rsidP="00516D11">
      <w:pPr>
        <w:pStyle w:val="Normal11"/>
        <w:numPr>
          <w:ilvl w:val="0"/>
          <w:numId w:val="223"/>
        </w:numPr>
        <w:rPr>
          <w:lang w:val="pt-PT"/>
        </w:rPr>
      </w:pPr>
      <w:r w:rsidRPr="004500AE">
        <w:rPr>
          <w:lang w:val="pt-PT"/>
        </w:rPr>
        <w:t xml:space="preserve">Identificar as principais lacunas existentes (p.e. em termos de potencial cumprimento com os requisitos do Banco Mundial (NAS), </w:t>
      </w:r>
      <w:r w:rsidR="00292532" w:rsidRPr="00292532">
        <w:rPr>
          <w:lang w:val="pt-PT"/>
        </w:rPr>
        <w:t>legislação</w:t>
      </w:r>
      <w:r w:rsidRPr="004500AE">
        <w:rPr>
          <w:lang w:val="pt-PT"/>
        </w:rPr>
        <w:t xml:space="preserve"> nacional, dados primários das áreas de implementação dos </w:t>
      </w:r>
      <w:proofErr w:type="spellStart"/>
      <w:r w:rsidRPr="004500AE">
        <w:rPr>
          <w:lang w:val="pt-PT"/>
        </w:rPr>
        <w:t>Projectos</w:t>
      </w:r>
      <w:proofErr w:type="spellEnd"/>
      <w:r w:rsidRPr="004500AE">
        <w:rPr>
          <w:lang w:val="pt-PT"/>
        </w:rPr>
        <w:t xml:space="preserve">) a serem colmatadas no âmbito de AIAS futuras. </w:t>
      </w:r>
    </w:p>
    <w:p w14:paraId="2837D8A7" w14:textId="16E8AFC0" w:rsidR="00516D11" w:rsidRPr="004500AE" w:rsidRDefault="00516D11" w:rsidP="00516D11">
      <w:pPr>
        <w:pStyle w:val="Normal11"/>
        <w:numPr>
          <w:ilvl w:val="0"/>
          <w:numId w:val="223"/>
        </w:numPr>
        <w:rPr>
          <w:lang w:val="pt-PT"/>
        </w:rPr>
      </w:pPr>
      <w:r w:rsidRPr="004500AE">
        <w:rPr>
          <w:lang w:val="pt-PT"/>
        </w:rPr>
        <w:t xml:space="preserve">Identificar os principais impactos e riscos ambientais resultantes da </w:t>
      </w:r>
      <w:r w:rsidR="00292532" w:rsidRPr="00292532">
        <w:rPr>
          <w:lang w:val="pt-PT"/>
        </w:rPr>
        <w:t>implementação</w:t>
      </w:r>
      <w:r w:rsidRPr="004500AE">
        <w:rPr>
          <w:lang w:val="pt-PT"/>
        </w:rPr>
        <w:t xml:space="preserve"> das </w:t>
      </w:r>
      <w:proofErr w:type="spellStart"/>
      <w:r w:rsidRPr="004500AE">
        <w:rPr>
          <w:lang w:val="pt-PT"/>
        </w:rPr>
        <w:t>actividades</w:t>
      </w:r>
      <w:proofErr w:type="spellEnd"/>
      <w:r w:rsidRPr="004500AE">
        <w:rPr>
          <w:lang w:val="pt-PT"/>
        </w:rPr>
        <w:t xml:space="preserve">. Deve incluir uma avaliação dos impactos </w:t>
      </w:r>
      <w:r w:rsidR="00292532" w:rsidRPr="00292532">
        <w:rPr>
          <w:lang w:val="pt-PT"/>
        </w:rPr>
        <w:t>cumulativos</w:t>
      </w:r>
      <w:r w:rsidRPr="004500AE">
        <w:rPr>
          <w:lang w:val="pt-PT"/>
        </w:rPr>
        <w:t xml:space="preserve"> considerando a combinação de subprojectos e impactos combinados com outros </w:t>
      </w:r>
      <w:proofErr w:type="spellStart"/>
      <w:r w:rsidRPr="004500AE">
        <w:rPr>
          <w:lang w:val="pt-PT"/>
        </w:rPr>
        <w:t>projectos</w:t>
      </w:r>
      <w:proofErr w:type="spellEnd"/>
      <w:r w:rsidRPr="004500AE">
        <w:rPr>
          <w:lang w:val="pt-PT"/>
        </w:rPr>
        <w:t xml:space="preserve"> no sector de </w:t>
      </w:r>
      <w:r w:rsidR="00477909" w:rsidRPr="004500AE">
        <w:rPr>
          <w:lang w:val="pt-PT"/>
        </w:rPr>
        <w:t>águas,</w:t>
      </w:r>
      <w:r w:rsidRPr="004500AE">
        <w:rPr>
          <w:lang w:val="pt-PT"/>
        </w:rPr>
        <w:t xml:space="preserve"> mas fora do âmbito do </w:t>
      </w:r>
      <w:proofErr w:type="spellStart"/>
      <w:r w:rsidRPr="004500AE">
        <w:rPr>
          <w:lang w:val="pt-PT"/>
        </w:rPr>
        <w:t>Projecto</w:t>
      </w:r>
      <w:proofErr w:type="spellEnd"/>
      <w:r w:rsidRPr="004500AE">
        <w:rPr>
          <w:lang w:val="pt-PT"/>
        </w:rPr>
        <w:t xml:space="preserve"> Água Segura e </w:t>
      </w:r>
      <w:proofErr w:type="spellStart"/>
      <w:r w:rsidRPr="004500AE">
        <w:rPr>
          <w:lang w:val="pt-PT"/>
        </w:rPr>
        <w:t>projectos</w:t>
      </w:r>
      <w:proofErr w:type="spellEnd"/>
      <w:r w:rsidRPr="004500AE">
        <w:rPr>
          <w:lang w:val="pt-PT"/>
        </w:rPr>
        <w:t xml:space="preserve"> pertencentes a outros sectores</w:t>
      </w:r>
      <w:r w:rsidR="007B21A1" w:rsidRPr="004500AE">
        <w:rPr>
          <w:lang w:val="pt-PT"/>
        </w:rPr>
        <w:t>.</w:t>
      </w:r>
    </w:p>
    <w:p w14:paraId="5E8EE07F" w14:textId="76897BF9" w:rsidR="007B21A1" w:rsidRDefault="007B21A1" w:rsidP="00516D11">
      <w:pPr>
        <w:pStyle w:val="Normal11"/>
        <w:numPr>
          <w:ilvl w:val="0"/>
          <w:numId w:val="223"/>
        </w:numPr>
        <w:rPr>
          <w:lang w:val="pt-PT"/>
        </w:rPr>
      </w:pPr>
      <w:r w:rsidRPr="004500AE">
        <w:rPr>
          <w:lang w:val="pt-PT"/>
        </w:rPr>
        <w:t xml:space="preserve">Identificar e avaliar os potenciais riscos que poderão originar do ambiente externo para o </w:t>
      </w:r>
      <w:proofErr w:type="spellStart"/>
      <w:r w:rsidRPr="004500AE">
        <w:rPr>
          <w:lang w:val="pt-PT"/>
        </w:rPr>
        <w:t>Projecto</w:t>
      </w:r>
      <w:proofErr w:type="spellEnd"/>
      <w:r w:rsidRPr="004500AE">
        <w:rPr>
          <w:lang w:val="pt-PT"/>
        </w:rPr>
        <w:t xml:space="preserve"> (p.e. desastres naturais, sabotagens)</w:t>
      </w:r>
    </w:p>
    <w:p w14:paraId="1365EDFB" w14:textId="75927077" w:rsidR="0063557C" w:rsidRPr="004500AE" w:rsidRDefault="0063557C" w:rsidP="00516D11">
      <w:pPr>
        <w:pStyle w:val="Normal11"/>
        <w:numPr>
          <w:ilvl w:val="0"/>
          <w:numId w:val="223"/>
        </w:numPr>
        <w:rPr>
          <w:lang w:val="pt-PT"/>
        </w:rPr>
      </w:pPr>
      <w:r>
        <w:rPr>
          <w:lang w:val="pt-PT"/>
        </w:rPr>
        <w:t xml:space="preserve">Analisar a qualidade de água existente nas fontes selecionadas pelo </w:t>
      </w:r>
      <w:proofErr w:type="spellStart"/>
      <w:r>
        <w:rPr>
          <w:lang w:val="pt-PT"/>
        </w:rPr>
        <w:t>Projecto</w:t>
      </w:r>
      <w:proofErr w:type="spellEnd"/>
      <w:r>
        <w:rPr>
          <w:lang w:val="pt-PT"/>
        </w:rPr>
        <w:t xml:space="preserve">. Os parâmetros a serem medidos deverão </w:t>
      </w:r>
      <w:proofErr w:type="spellStart"/>
      <w:r>
        <w:rPr>
          <w:lang w:val="pt-PT"/>
        </w:rPr>
        <w:t>permitirar</w:t>
      </w:r>
      <w:proofErr w:type="spellEnd"/>
      <w:r>
        <w:rPr>
          <w:lang w:val="pt-PT"/>
        </w:rPr>
        <w:t xml:space="preserve"> uma análise comparativa com os padrões estabelecidos pela legislação nacional e padrões </w:t>
      </w:r>
      <w:proofErr w:type="spellStart"/>
      <w:r>
        <w:rPr>
          <w:lang w:val="pt-PT"/>
        </w:rPr>
        <w:t>internacionals</w:t>
      </w:r>
      <w:proofErr w:type="spellEnd"/>
      <w:r>
        <w:rPr>
          <w:lang w:val="pt-PT"/>
        </w:rPr>
        <w:t xml:space="preserve"> (p.e. Organização Mundial da Saúde)</w:t>
      </w:r>
    </w:p>
    <w:p w14:paraId="43D8968F" w14:textId="4CEC1124" w:rsidR="007B21A1" w:rsidRPr="004500AE" w:rsidRDefault="00292532" w:rsidP="00516D11">
      <w:pPr>
        <w:pStyle w:val="Normal11"/>
        <w:numPr>
          <w:ilvl w:val="0"/>
          <w:numId w:val="223"/>
        </w:numPr>
        <w:rPr>
          <w:lang w:val="pt-PT"/>
        </w:rPr>
      </w:pPr>
      <w:r w:rsidRPr="00292532">
        <w:rPr>
          <w:lang w:val="pt-PT"/>
        </w:rPr>
        <w:t>Analisar</w:t>
      </w:r>
      <w:r w:rsidR="007B21A1" w:rsidRPr="004500AE">
        <w:rPr>
          <w:lang w:val="pt-PT"/>
        </w:rPr>
        <w:t xml:space="preserve"> sensibilidade com base em </w:t>
      </w:r>
      <w:r w:rsidRPr="00292532">
        <w:rPr>
          <w:lang w:val="pt-PT"/>
        </w:rPr>
        <w:t>multicritérios</w:t>
      </w:r>
      <w:r w:rsidR="007B21A1" w:rsidRPr="004500AE">
        <w:rPr>
          <w:lang w:val="pt-PT"/>
        </w:rPr>
        <w:t xml:space="preserve"> ambientais e sociais (topografia, recursos </w:t>
      </w:r>
      <w:r w:rsidRPr="00292532">
        <w:rPr>
          <w:lang w:val="pt-PT"/>
        </w:rPr>
        <w:t>hídricos</w:t>
      </w:r>
      <w:r w:rsidR="007B21A1" w:rsidRPr="004500AE">
        <w:rPr>
          <w:lang w:val="pt-PT"/>
        </w:rPr>
        <w:t xml:space="preserve">, biodiversidades, serviços </w:t>
      </w:r>
      <w:r w:rsidRPr="00292532">
        <w:rPr>
          <w:lang w:val="pt-PT"/>
        </w:rPr>
        <w:t>ecos sistémicos</w:t>
      </w:r>
      <w:r w:rsidR="007B21A1" w:rsidRPr="004500AE">
        <w:rPr>
          <w:lang w:val="pt-PT"/>
        </w:rPr>
        <w:t xml:space="preserve">, presença de grupos vulneráveis, </w:t>
      </w:r>
      <w:proofErr w:type="spellStart"/>
      <w:r w:rsidR="007B21A1" w:rsidRPr="004500AE">
        <w:rPr>
          <w:lang w:val="pt-PT"/>
        </w:rPr>
        <w:t>actividades</w:t>
      </w:r>
      <w:proofErr w:type="spellEnd"/>
      <w:r w:rsidR="007B21A1" w:rsidRPr="004500AE">
        <w:rPr>
          <w:lang w:val="pt-PT"/>
        </w:rPr>
        <w:t xml:space="preserve"> económicas, nível de educação da população local)</w:t>
      </w:r>
    </w:p>
    <w:p w14:paraId="04154684" w14:textId="7D4C5E8C" w:rsidR="007B21A1" w:rsidRPr="004500AE" w:rsidRDefault="007B21A1" w:rsidP="00516D11">
      <w:pPr>
        <w:pStyle w:val="Normal11"/>
        <w:numPr>
          <w:ilvl w:val="0"/>
          <w:numId w:val="223"/>
        </w:numPr>
        <w:rPr>
          <w:lang w:val="pt-PT"/>
        </w:rPr>
      </w:pPr>
      <w:r w:rsidRPr="004500AE">
        <w:rPr>
          <w:lang w:val="pt-PT"/>
        </w:rPr>
        <w:lastRenderedPageBreak/>
        <w:t xml:space="preserve">Propor </w:t>
      </w:r>
      <w:proofErr w:type="spellStart"/>
      <w:r w:rsidRPr="004500AE">
        <w:rPr>
          <w:lang w:val="pt-PT"/>
        </w:rPr>
        <w:t>acões</w:t>
      </w:r>
      <w:proofErr w:type="spellEnd"/>
      <w:r w:rsidRPr="004500AE">
        <w:rPr>
          <w:lang w:val="pt-PT"/>
        </w:rPr>
        <w:t xml:space="preserve"> estratégicas de gestão Ambiental e social</w:t>
      </w:r>
    </w:p>
    <w:p w14:paraId="7A868DDD" w14:textId="2F2D8FF2" w:rsidR="007B21A1" w:rsidRPr="004500AE" w:rsidRDefault="007B21A1" w:rsidP="00516D11">
      <w:pPr>
        <w:pStyle w:val="Normal11"/>
        <w:numPr>
          <w:ilvl w:val="0"/>
          <w:numId w:val="223"/>
        </w:numPr>
        <w:rPr>
          <w:lang w:val="pt-PT"/>
        </w:rPr>
      </w:pPr>
      <w:r w:rsidRPr="004500AE">
        <w:rPr>
          <w:lang w:val="pt-PT"/>
        </w:rPr>
        <w:t xml:space="preserve">Com base nos resultados dos Estudos de Viabilidade, rever os Termos de </w:t>
      </w:r>
      <w:r w:rsidR="00292532" w:rsidRPr="00292532">
        <w:rPr>
          <w:lang w:val="pt-PT"/>
        </w:rPr>
        <w:t>Referência</w:t>
      </w:r>
      <w:r w:rsidRPr="004500AE">
        <w:rPr>
          <w:lang w:val="pt-PT"/>
        </w:rPr>
        <w:t xml:space="preserve"> para AIA.</w:t>
      </w:r>
    </w:p>
    <w:p w14:paraId="1812980E" w14:textId="790F78B4" w:rsidR="007B21A1" w:rsidRPr="00292532" w:rsidRDefault="007B21A1" w:rsidP="007B21A1">
      <w:pPr>
        <w:pStyle w:val="Normal11"/>
        <w:rPr>
          <w:lang w:val="pt-PT"/>
        </w:rPr>
      </w:pPr>
      <w:r w:rsidRPr="004500AE">
        <w:rPr>
          <w:lang w:val="pt-PT"/>
        </w:rPr>
        <w:t xml:space="preserve">Os Estudos de Viabilidade Ambiental, Saúde e Segurança requerem que sejam elaborados por uma equipa ou um Consultor individual com vasta experiência na elaboração de estudos ambientais e sociais e procedimentos de saúde e segurança para </w:t>
      </w:r>
      <w:proofErr w:type="spellStart"/>
      <w:r w:rsidRPr="004500AE">
        <w:rPr>
          <w:lang w:val="pt-PT"/>
        </w:rPr>
        <w:t>actividades</w:t>
      </w:r>
      <w:proofErr w:type="spellEnd"/>
      <w:r w:rsidRPr="004500AE">
        <w:rPr>
          <w:lang w:val="pt-PT"/>
        </w:rPr>
        <w:t xml:space="preserve"> de </w:t>
      </w:r>
      <w:proofErr w:type="gramStart"/>
      <w:r w:rsidRPr="004500AE">
        <w:rPr>
          <w:lang w:val="pt-PT"/>
        </w:rPr>
        <w:t xml:space="preserve">construção,   </w:t>
      </w:r>
      <w:proofErr w:type="gramEnd"/>
      <w:r w:rsidRPr="004500AE">
        <w:rPr>
          <w:lang w:val="pt-PT"/>
        </w:rPr>
        <w:t xml:space="preserve">Construção, Operação e Manutenção das Infraestrutura de Abastecimento de Água ou  para as </w:t>
      </w:r>
      <w:proofErr w:type="spellStart"/>
      <w:r w:rsidRPr="004500AE">
        <w:rPr>
          <w:lang w:val="pt-PT"/>
        </w:rPr>
        <w:t>actividades</w:t>
      </w:r>
      <w:proofErr w:type="spellEnd"/>
      <w:r w:rsidRPr="004500AE">
        <w:rPr>
          <w:lang w:val="pt-PT"/>
        </w:rPr>
        <w:t xml:space="preserve"> de melhoria do acesso aos serviços de saneamento.</w:t>
      </w:r>
    </w:p>
    <w:p w14:paraId="344D1990" w14:textId="42AEF935" w:rsidR="007B21A1" w:rsidRPr="004500AE" w:rsidRDefault="007B21A1" w:rsidP="007B21A1">
      <w:pPr>
        <w:pStyle w:val="Normal11"/>
        <w:rPr>
          <w:lang w:val="pt-PT"/>
        </w:rPr>
      </w:pPr>
      <w:r w:rsidRPr="00292532">
        <w:rPr>
          <w:lang w:val="pt-PT"/>
        </w:rPr>
        <w:t xml:space="preserve">Os requisitos de elaboração de Estudos de </w:t>
      </w:r>
      <w:proofErr w:type="spellStart"/>
      <w:r w:rsidRPr="00292532">
        <w:rPr>
          <w:lang w:val="pt-PT"/>
        </w:rPr>
        <w:t>Previabilidade</w:t>
      </w:r>
      <w:proofErr w:type="spellEnd"/>
      <w:r w:rsidRPr="00292532">
        <w:rPr>
          <w:lang w:val="pt-PT"/>
        </w:rPr>
        <w:t xml:space="preserve"> Ambiental e Definição de Âmbito estabelecidos pelo Regulamento sobre o Processo de Avaliação Ambiental devem ser observados durante a elaboração dos Estudos de Viabilidade Ambiental, Saúde e Segurança. No entanto, estes devem ser complementados com os requisitos do Banco Mundial (NAS e as </w:t>
      </w:r>
      <w:proofErr w:type="spellStart"/>
      <w:r w:rsidRPr="00292532">
        <w:rPr>
          <w:lang w:val="pt-PT"/>
        </w:rPr>
        <w:t>Directrizes</w:t>
      </w:r>
      <w:proofErr w:type="spellEnd"/>
      <w:r w:rsidRPr="00292532">
        <w:rPr>
          <w:lang w:val="pt-PT"/>
        </w:rPr>
        <w:t xml:space="preserve"> de Saúde e Segurança e Ambiente e </w:t>
      </w:r>
      <w:proofErr w:type="spellStart"/>
      <w:r w:rsidRPr="00292532">
        <w:rPr>
          <w:lang w:val="pt-PT"/>
        </w:rPr>
        <w:t>Directrizes</w:t>
      </w:r>
      <w:proofErr w:type="spellEnd"/>
      <w:r w:rsidRPr="00292532">
        <w:rPr>
          <w:lang w:val="pt-PT"/>
        </w:rPr>
        <w:t xml:space="preserve"> sectoriais para </w:t>
      </w:r>
      <w:proofErr w:type="spellStart"/>
      <w:r w:rsidRPr="00292532">
        <w:rPr>
          <w:lang w:val="pt-PT"/>
        </w:rPr>
        <w:t>projectos</w:t>
      </w:r>
      <w:proofErr w:type="spellEnd"/>
      <w:r w:rsidRPr="00292532">
        <w:rPr>
          <w:lang w:val="pt-PT"/>
        </w:rPr>
        <w:t xml:space="preserve"> de abastecimento e saneamento).</w:t>
      </w:r>
    </w:p>
    <w:p w14:paraId="32A73E0C" w14:textId="1933A40B" w:rsidR="007B21A1" w:rsidRPr="004500AE" w:rsidRDefault="007B21A1" w:rsidP="007B21A1">
      <w:pPr>
        <w:pStyle w:val="Normal11"/>
        <w:rPr>
          <w:lang w:val="pt-PT"/>
        </w:rPr>
      </w:pPr>
      <w:r w:rsidRPr="004500AE">
        <w:rPr>
          <w:lang w:val="pt-PT"/>
        </w:rPr>
        <w:t xml:space="preserve">Os relatórios dos estudos de viabilidade </w:t>
      </w:r>
      <w:r w:rsidR="00292532" w:rsidRPr="00292532">
        <w:rPr>
          <w:lang w:val="pt-PT"/>
        </w:rPr>
        <w:t>ambiental</w:t>
      </w:r>
      <w:r w:rsidRPr="004500AE">
        <w:rPr>
          <w:lang w:val="pt-PT"/>
        </w:rPr>
        <w:t xml:space="preserve">, aúde e segurança devera conter o seguinte conteúdo mínimo: </w:t>
      </w:r>
    </w:p>
    <w:p w14:paraId="1188C84A" w14:textId="5BA65FC3" w:rsidR="007B21A1" w:rsidRPr="004500AE" w:rsidRDefault="007B21A1" w:rsidP="007B21A1">
      <w:pPr>
        <w:pStyle w:val="Normal11"/>
        <w:numPr>
          <w:ilvl w:val="0"/>
          <w:numId w:val="224"/>
        </w:numPr>
        <w:rPr>
          <w:lang w:val="pt-PT"/>
        </w:rPr>
      </w:pPr>
      <w:r w:rsidRPr="004500AE">
        <w:rPr>
          <w:lang w:val="pt-PT"/>
        </w:rPr>
        <w:t>Sumário executivo</w:t>
      </w:r>
    </w:p>
    <w:p w14:paraId="036B18A9" w14:textId="1A75F567" w:rsidR="007B21A1" w:rsidRPr="004500AE" w:rsidRDefault="007B21A1" w:rsidP="007B21A1">
      <w:pPr>
        <w:pStyle w:val="Normal11"/>
        <w:numPr>
          <w:ilvl w:val="0"/>
          <w:numId w:val="224"/>
        </w:numPr>
        <w:rPr>
          <w:lang w:val="pt-PT"/>
        </w:rPr>
      </w:pPr>
      <w:r w:rsidRPr="004500AE">
        <w:rPr>
          <w:lang w:val="pt-PT"/>
        </w:rPr>
        <w:t xml:space="preserve">Descrição das </w:t>
      </w:r>
      <w:proofErr w:type="spellStart"/>
      <w:r w:rsidRPr="004500AE">
        <w:rPr>
          <w:lang w:val="pt-PT"/>
        </w:rPr>
        <w:t>actividades</w:t>
      </w:r>
      <w:proofErr w:type="spellEnd"/>
      <w:r w:rsidRPr="004500AE">
        <w:rPr>
          <w:lang w:val="pt-PT"/>
        </w:rPr>
        <w:t xml:space="preserve"> que fazem parte do âmbito do Estudo de Viabilidade</w:t>
      </w:r>
    </w:p>
    <w:p w14:paraId="3A5441B7" w14:textId="01EE23DB" w:rsidR="007B21A1" w:rsidRPr="004500AE" w:rsidRDefault="007B21A1" w:rsidP="007B21A1">
      <w:pPr>
        <w:pStyle w:val="Normal11"/>
        <w:numPr>
          <w:ilvl w:val="0"/>
          <w:numId w:val="224"/>
        </w:numPr>
        <w:rPr>
          <w:lang w:val="pt-PT"/>
        </w:rPr>
      </w:pPr>
      <w:r w:rsidRPr="004500AE">
        <w:rPr>
          <w:lang w:val="pt-PT"/>
        </w:rPr>
        <w:t>Análise das alternativas</w:t>
      </w:r>
    </w:p>
    <w:p w14:paraId="75E6BE8E" w14:textId="6EF83676" w:rsidR="007B21A1" w:rsidRPr="004500AE" w:rsidRDefault="007B21A1" w:rsidP="007B21A1">
      <w:pPr>
        <w:pStyle w:val="Normal11"/>
        <w:numPr>
          <w:ilvl w:val="0"/>
          <w:numId w:val="224"/>
        </w:numPr>
        <w:rPr>
          <w:lang w:val="pt-PT"/>
        </w:rPr>
      </w:pPr>
      <w:r w:rsidRPr="004500AE">
        <w:rPr>
          <w:lang w:val="pt-PT"/>
        </w:rPr>
        <w:t xml:space="preserve"> Enquadramento legal e institucional </w:t>
      </w:r>
    </w:p>
    <w:p w14:paraId="434E2F66" w14:textId="731FEE68" w:rsidR="007B21A1" w:rsidRPr="004500AE" w:rsidRDefault="007B21A1" w:rsidP="007B21A1">
      <w:pPr>
        <w:pStyle w:val="Normal11"/>
        <w:numPr>
          <w:ilvl w:val="0"/>
          <w:numId w:val="224"/>
        </w:numPr>
        <w:rPr>
          <w:lang w:val="pt-PT"/>
        </w:rPr>
      </w:pPr>
      <w:r w:rsidRPr="004500AE">
        <w:rPr>
          <w:lang w:val="pt-PT"/>
        </w:rPr>
        <w:t xml:space="preserve">Caracterização geral da situação de referência </w:t>
      </w:r>
    </w:p>
    <w:p w14:paraId="2B0A0E15" w14:textId="7B4B2924" w:rsidR="007B21A1" w:rsidRPr="004500AE" w:rsidRDefault="007B21A1" w:rsidP="007B21A1">
      <w:pPr>
        <w:pStyle w:val="Normal11"/>
        <w:numPr>
          <w:ilvl w:val="0"/>
          <w:numId w:val="224"/>
        </w:numPr>
        <w:rPr>
          <w:lang w:val="pt-PT"/>
        </w:rPr>
      </w:pPr>
      <w:r w:rsidRPr="004500AE">
        <w:rPr>
          <w:lang w:val="pt-PT"/>
        </w:rPr>
        <w:t xml:space="preserve">Identificação de Riscos de </w:t>
      </w:r>
      <w:r w:rsidR="00292532" w:rsidRPr="00292532">
        <w:rPr>
          <w:lang w:val="pt-PT"/>
        </w:rPr>
        <w:t>Saúde</w:t>
      </w:r>
      <w:r w:rsidRPr="004500AE">
        <w:rPr>
          <w:lang w:val="pt-PT"/>
        </w:rPr>
        <w:t xml:space="preserve"> e Segurança com Elevado potencial de resultar em ferimentos graves, danos materiais avultados e fatalidades </w:t>
      </w:r>
    </w:p>
    <w:p w14:paraId="4354BD2C" w14:textId="23194799" w:rsidR="007B21A1" w:rsidRPr="004500AE" w:rsidRDefault="007B21A1" w:rsidP="007B21A1">
      <w:pPr>
        <w:pStyle w:val="Normal11"/>
        <w:numPr>
          <w:ilvl w:val="0"/>
          <w:numId w:val="224"/>
        </w:numPr>
        <w:rPr>
          <w:lang w:val="pt-PT"/>
        </w:rPr>
      </w:pPr>
      <w:r w:rsidRPr="004500AE">
        <w:rPr>
          <w:lang w:val="pt-PT"/>
        </w:rPr>
        <w:t>Identificação de questões ambientais e sociais fatais</w:t>
      </w:r>
    </w:p>
    <w:p w14:paraId="571C3FCC" w14:textId="4981B470" w:rsidR="007B21A1" w:rsidRPr="004500AE" w:rsidRDefault="007B21A1" w:rsidP="007B21A1">
      <w:pPr>
        <w:pStyle w:val="Normal11"/>
        <w:numPr>
          <w:ilvl w:val="0"/>
          <w:numId w:val="224"/>
        </w:numPr>
        <w:rPr>
          <w:lang w:val="pt-PT"/>
        </w:rPr>
      </w:pPr>
      <w:r w:rsidRPr="004500AE">
        <w:rPr>
          <w:lang w:val="pt-PT"/>
        </w:rPr>
        <w:t xml:space="preserve">Análise preliminar dos Potenciais Riscos e Impactos Ambientais das </w:t>
      </w:r>
      <w:proofErr w:type="spellStart"/>
      <w:r w:rsidRPr="004500AE">
        <w:rPr>
          <w:lang w:val="pt-PT"/>
        </w:rPr>
        <w:t>actividades</w:t>
      </w:r>
      <w:proofErr w:type="spellEnd"/>
      <w:r w:rsidRPr="004500AE">
        <w:rPr>
          <w:lang w:val="pt-PT"/>
        </w:rPr>
        <w:t xml:space="preserve"> propostas </w:t>
      </w:r>
    </w:p>
    <w:p w14:paraId="5A4C9EE6" w14:textId="1758BEFD" w:rsidR="007B21A1" w:rsidRPr="004500AE" w:rsidRDefault="007B21A1" w:rsidP="007B21A1">
      <w:pPr>
        <w:pStyle w:val="Normal11"/>
        <w:numPr>
          <w:ilvl w:val="0"/>
          <w:numId w:val="224"/>
        </w:numPr>
        <w:rPr>
          <w:lang w:val="pt-PT"/>
        </w:rPr>
      </w:pPr>
      <w:r w:rsidRPr="004500AE">
        <w:rPr>
          <w:lang w:val="pt-PT"/>
        </w:rPr>
        <w:t xml:space="preserve">Identificação e análise dos impactos cumulativos </w:t>
      </w:r>
    </w:p>
    <w:p w14:paraId="304237BB" w14:textId="4595233B" w:rsidR="007B21A1" w:rsidRPr="004500AE" w:rsidRDefault="007B21A1" w:rsidP="007B21A1">
      <w:pPr>
        <w:pStyle w:val="Normal11"/>
        <w:numPr>
          <w:ilvl w:val="0"/>
          <w:numId w:val="224"/>
        </w:numPr>
        <w:rPr>
          <w:lang w:val="pt-PT"/>
        </w:rPr>
      </w:pPr>
      <w:r w:rsidRPr="004500AE">
        <w:rPr>
          <w:lang w:val="pt-PT"/>
        </w:rPr>
        <w:t xml:space="preserve">Identificação dos Riscos e Impactos </w:t>
      </w:r>
      <w:r w:rsidR="00292532" w:rsidRPr="00292532">
        <w:rPr>
          <w:lang w:val="pt-PT"/>
        </w:rPr>
        <w:t>percetíveis</w:t>
      </w:r>
      <w:r w:rsidRPr="004500AE">
        <w:rPr>
          <w:lang w:val="pt-PT"/>
        </w:rPr>
        <w:t xml:space="preserve"> pelas </w:t>
      </w:r>
      <w:proofErr w:type="spellStart"/>
      <w:r w:rsidRPr="004500AE">
        <w:rPr>
          <w:lang w:val="pt-PT"/>
        </w:rPr>
        <w:t>PIAs</w:t>
      </w:r>
      <w:proofErr w:type="spellEnd"/>
      <w:r w:rsidRPr="004500AE">
        <w:rPr>
          <w:lang w:val="pt-PT"/>
        </w:rPr>
        <w:t xml:space="preserve"> e principais preocupações das mesmas</w:t>
      </w:r>
    </w:p>
    <w:p w14:paraId="594B9D71" w14:textId="7C8FE55B" w:rsidR="007B21A1" w:rsidRPr="004500AE" w:rsidRDefault="007B21A1" w:rsidP="007B21A1">
      <w:pPr>
        <w:pStyle w:val="Normal11"/>
        <w:numPr>
          <w:ilvl w:val="0"/>
          <w:numId w:val="224"/>
        </w:numPr>
        <w:rPr>
          <w:lang w:val="pt-PT"/>
        </w:rPr>
      </w:pPr>
      <w:r w:rsidRPr="004500AE">
        <w:rPr>
          <w:lang w:val="pt-PT"/>
        </w:rPr>
        <w:t>Proposta de medidas de mitigação (estratégicas e globais)</w:t>
      </w:r>
    </w:p>
    <w:p w14:paraId="18BA8C23" w14:textId="1CBFDCA1" w:rsidR="007B21A1" w:rsidRPr="004500AE" w:rsidRDefault="007B21A1" w:rsidP="007B21A1">
      <w:pPr>
        <w:pStyle w:val="Normal11"/>
        <w:numPr>
          <w:ilvl w:val="0"/>
          <w:numId w:val="224"/>
        </w:numPr>
        <w:rPr>
          <w:lang w:val="pt-PT"/>
        </w:rPr>
      </w:pPr>
      <w:r w:rsidRPr="004500AE">
        <w:rPr>
          <w:lang w:val="pt-PT"/>
        </w:rPr>
        <w:t xml:space="preserve">Identificação de lacunas de informação e Plano de </w:t>
      </w:r>
      <w:proofErr w:type="spellStart"/>
      <w:r w:rsidRPr="004500AE">
        <w:rPr>
          <w:lang w:val="pt-PT"/>
        </w:rPr>
        <w:t>Acção</w:t>
      </w:r>
      <w:proofErr w:type="spellEnd"/>
      <w:r w:rsidRPr="004500AE">
        <w:rPr>
          <w:lang w:val="pt-PT"/>
        </w:rPr>
        <w:t xml:space="preserve"> </w:t>
      </w:r>
    </w:p>
    <w:p w14:paraId="077FCF7A" w14:textId="6917A859" w:rsidR="007B21A1" w:rsidRPr="004500AE" w:rsidRDefault="007B21A1" w:rsidP="007B21A1">
      <w:pPr>
        <w:pStyle w:val="Normal11"/>
        <w:numPr>
          <w:ilvl w:val="0"/>
          <w:numId w:val="224"/>
        </w:numPr>
        <w:rPr>
          <w:lang w:val="pt-PT"/>
        </w:rPr>
      </w:pPr>
      <w:r w:rsidRPr="004500AE">
        <w:rPr>
          <w:lang w:val="pt-PT"/>
        </w:rPr>
        <w:t>Revisão dos Termos de Referências padrão para AIA</w:t>
      </w:r>
    </w:p>
    <w:p w14:paraId="5EA38EC6" w14:textId="68659523" w:rsidR="007B21A1" w:rsidRPr="004500AE" w:rsidRDefault="007B21A1" w:rsidP="004500AE">
      <w:pPr>
        <w:pStyle w:val="Normal11"/>
        <w:numPr>
          <w:ilvl w:val="0"/>
          <w:numId w:val="224"/>
        </w:numPr>
        <w:rPr>
          <w:lang w:val="pt-PT"/>
        </w:rPr>
      </w:pPr>
      <w:r w:rsidRPr="004500AE">
        <w:rPr>
          <w:lang w:val="pt-PT"/>
        </w:rPr>
        <w:t xml:space="preserve">Referências Bibliográficas </w:t>
      </w:r>
    </w:p>
    <w:p w14:paraId="171D6245" w14:textId="77777777" w:rsidR="007B21A1" w:rsidRPr="004500AE" w:rsidRDefault="007B21A1" w:rsidP="007B21A1">
      <w:pPr>
        <w:pStyle w:val="Normal11"/>
        <w:rPr>
          <w:lang w:val="pt-PT"/>
        </w:rPr>
      </w:pPr>
    </w:p>
    <w:p w14:paraId="1A7A8146" w14:textId="77366E40" w:rsidR="007B21A1" w:rsidRPr="004500AE" w:rsidRDefault="007B21A1" w:rsidP="004500AE">
      <w:pPr>
        <w:pStyle w:val="Normal11"/>
        <w:rPr>
          <w:lang w:val="pt-PT"/>
        </w:rPr>
      </w:pPr>
    </w:p>
    <w:p w14:paraId="5EC84F83" w14:textId="36A53F06" w:rsidR="00516D11" w:rsidRPr="004500AE" w:rsidRDefault="00516D11" w:rsidP="00516D11">
      <w:pPr>
        <w:pStyle w:val="Normal11"/>
        <w:rPr>
          <w:lang w:val="pt-PT"/>
        </w:rPr>
      </w:pPr>
    </w:p>
    <w:p w14:paraId="7C6F91B5" w14:textId="77777777" w:rsidR="00516D11" w:rsidRPr="004500AE" w:rsidRDefault="00516D11" w:rsidP="00516D11">
      <w:pPr>
        <w:pStyle w:val="Normal11"/>
        <w:rPr>
          <w:lang w:val="pt-PT"/>
        </w:rPr>
      </w:pPr>
    </w:p>
    <w:p w14:paraId="3A27E1FA" w14:textId="77777777" w:rsidR="00516D11" w:rsidRPr="004500AE" w:rsidRDefault="00516D11" w:rsidP="00106219">
      <w:pPr>
        <w:pStyle w:val="Normal11"/>
        <w:rPr>
          <w:lang w:val="pt-PT"/>
        </w:rPr>
      </w:pPr>
    </w:p>
    <w:p w14:paraId="4B1C0959" w14:textId="7CC4F935" w:rsidR="00C31925" w:rsidRPr="00292532" w:rsidRDefault="00C31925" w:rsidP="00C31925">
      <w:pPr>
        <w:pStyle w:val="Heading1"/>
        <w:rPr>
          <w:lang w:val="pt-PT" w:eastAsia="ja-JP"/>
        </w:rPr>
      </w:pPr>
      <w:bookmarkStart w:id="492" w:name="_Toc80380082"/>
      <w:r w:rsidRPr="00292532">
        <w:rPr>
          <w:lang w:val="pt-PT" w:eastAsia="ja-JP"/>
        </w:rPr>
        <w:t>Referências Bibliográficas</w:t>
      </w:r>
      <w:bookmarkEnd w:id="492"/>
      <w:r w:rsidRPr="00292532">
        <w:rPr>
          <w:lang w:val="pt-PT" w:eastAsia="ja-JP"/>
        </w:rPr>
        <w:t xml:space="preserve"> </w:t>
      </w:r>
    </w:p>
    <w:p w14:paraId="2B9971D9" w14:textId="77777777" w:rsidR="002E5ACD" w:rsidRPr="00292532" w:rsidRDefault="002E5ACD" w:rsidP="007A1525">
      <w:pPr>
        <w:rPr>
          <w:lang w:val="pt-PT" w:eastAsia="ja-JP"/>
        </w:rPr>
      </w:pPr>
    </w:p>
    <w:p w14:paraId="50B85D7B" w14:textId="5E1CC23C" w:rsidR="00A6116B" w:rsidRPr="00292532" w:rsidRDefault="00A6116B" w:rsidP="00AE14AE">
      <w:pPr>
        <w:pStyle w:val="ListParagraph"/>
        <w:numPr>
          <w:ilvl w:val="0"/>
          <w:numId w:val="105"/>
        </w:numPr>
        <w:spacing w:before="0" w:after="160" w:line="276" w:lineRule="auto"/>
        <w:rPr>
          <w:rFonts w:asciiTheme="minorHAnsi" w:hAnsiTheme="minorHAnsi" w:cstheme="minorHAnsi"/>
          <w:lang w:val="pt-PT"/>
        </w:rPr>
      </w:pPr>
      <w:r w:rsidRPr="00292532">
        <w:rPr>
          <w:rFonts w:asciiTheme="minorHAnsi" w:hAnsiTheme="minorHAnsi" w:cstheme="minorHAnsi"/>
          <w:lang w:val="pt-PT"/>
        </w:rPr>
        <w:t>Banco Mundial, 2020. Nota Técnica do Banco Mundial sobre Consulta Pública e Engajamento de Partes Interessadas Durante a Pandemia do COVID 19 em Operações Apoiadas pelo Banco Mundial</w:t>
      </w:r>
    </w:p>
    <w:p w14:paraId="5EE8C668" w14:textId="4DEB235C" w:rsidR="00A94216" w:rsidRPr="00336B2D" w:rsidRDefault="00A94216" w:rsidP="00AE14AE">
      <w:pPr>
        <w:pStyle w:val="ListParagraph"/>
        <w:numPr>
          <w:ilvl w:val="0"/>
          <w:numId w:val="105"/>
        </w:numPr>
        <w:spacing w:before="0" w:after="160" w:line="276" w:lineRule="auto"/>
        <w:rPr>
          <w:rFonts w:asciiTheme="minorHAnsi" w:hAnsiTheme="minorHAnsi" w:cstheme="minorHAnsi"/>
          <w:lang w:val="en-US"/>
        </w:rPr>
      </w:pPr>
      <w:r w:rsidRPr="00EC2545">
        <w:rPr>
          <w:rFonts w:asciiTheme="minorHAnsi" w:eastAsia="Times New Roman" w:hAnsiTheme="minorHAnsi" w:cstheme="minorHAnsi"/>
          <w:lang w:val="en-US"/>
        </w:rPr>
        <w:t>Banco Mundial: (2020). Good Practice Note: Addressing Sexual Exploitation and Abuse and sexual harassment (SEA/SH) in Investment P</w:t>
      </w:r>
      <w:r w:rsidRPr="00237EA9">
        <w:rPr>
          <w:rFonts w:asciiTheme="minorHAnsi" w:eastAsia="Times New Roman" w:hAnsiTheme="minorHAnsi" w:cstheme="minorHAnsi"/>
          <w:lang w:val="en-US"/>
        </w:rPr>
        <w:t>roject Financing involving Major Civil Works Exploitation and Abuse and Sexual Harassment</w:t>
      </w:r>
    </w:p>
    <w:p w14:paraId="7D9192BA" w14:textId="19B3ED55" w:rsidR="00A94216" w:rsidRPr="00941934" w:rsidRDefault="00A94216" w:rsidP="00AE14AE">
      <w:pPr>
        <w:pStyle w:val="ListParagraph"/>
        <w:numPr>
          <w:ilvl w:val="0"/>
          <w:numId w:val="105"/>
        </w:numPr>
        <w:spacing w:before="0" w:after="160" w:line="276" w:lineRule="auto"/>
        <w:rPr>
          <w:rFonts w:asciiTheme="minorHAnsi" w:hAnsiTheme="minorHAnsi" w:cstheme="minorHAnsi"/>
          <w:lang w:val="en-US"/>
        </w:rPr>
      </w:pPr>
      <w:r w:rsidRPr="00941934">
        <w:rPr>
          <w:rFonts w:asciiTheme="minorHAnsi" w:hAnsiTheme="minorHAnsi" w:cstheme="minorHAnsi"/>
          <w:lang w:val="en-US"/>
        </w:rPr>
        <w:t>Banco Mundial (2019).  Gender Based Violence (GBV) Risk Assessment Portfolio Review Mozambique</w:t>
      </w:r>
    </w:p>
    <w:p w14:paraId="26A4A53B" w14:textId="3C0ADB73" w:rsidR="00A94216" w:rsidRPr="00292532" w:rsidRDefault="00A94216" w:rsidP="00AE14AE">
      <w:pPr>
        <w:pStyle w:val="ListParagraph"/>
        <w:numPr>
          <w:ilvl w:val="0"/>
          <w:numId w:val="105"/>
        </w:numPr>
        <w:spacing w:before="0" w:after="160" w:line="276" w:lineRule="auto"/>
        <w:rPr>
          <w:rFonts w:asciiTheme="minorHAnsi" w:hAnsiTheme="minorHAnsi" w:cstheme="minorHAnsi"/>
          <w:lang w:val="pt-PT"/>
        </w:rPr>
      </w:pPr>
      <w:r w:rsidRPr="00292532">
        <w:rPr>
          <w:rFonts w:asciiTheme="minorHAnsi" w:hAnsiTheme="minorHAnsi" w:cstheme="minorHAnsi"/>
          <w:lang w:val="pt-PT"/>
        </w:rPr>
        <w:t>CECAGE/UEM (2018): Inquérito sobre Violência contra Mulheres e Raparigas em moçambique- Províncias de Gaza, Sofala e Nampula;</w:t>
      </w:r>
    </w:p>
    <w:p w14:paraId="78453B50" w14:textId="6A80812F" w:rsidR="002E5ACD" w:rsidRPr="00292532" w:rsidRDefault="002E5ACD" w:rsidP="00AE14AE">
      <w:pPr>
        <w:pStyle w:val="ListParagraph"/>
        <w:numPr>
          <w:ilvl w:val="0"/>
          <w:numId w:val="105"/>
        </w:numPr>
        <w:spacing w:before="0" w:after="160" w:line="276" w:lineRule="auto"/>
        <w:rPr>
          <w:rFonts w:asciiTheme="minorHAnsi" w:hAnsiTheme="minorHAnsi" w:cstheme="minorHAnsi"/>
          <w:lang w:val="pt-PT"/>
        </w:rPr>
      </w:pPr>
      <w:r w:rsidRPr="00292532">
        <w:rPr>
          <w:rFonts w:asciiTheme="minorHAnsi" w:hAnsiTheme="minorHAnsi" w:cstheme="minorHAnsi"/>
          <w:lang w:val="pt-PT"/>
        </w:rPr>
        <w:t xml:space="preserve">CGS (2006) - Notícia Explicativa / </w:t>
      </w:r>
      <w:proofErr w:type="spellStart"/>
      <w:r w:rsidRPr="00292532">
        <w:rPr>
          <w:rFonts w:asciiTheme="minorHAnsi" w:hAnsiTheme="minorHAnsi" w:cstheme="minorHAnsi"/>
          <w:lang w:val="pt-PT"/>
        </w:rPr>
        <w:t>Map</w:t>
      </w:r>
      <w:proofErr w:type="spellEnd"/>
      <w:r w:rsidRPr="00292532">
        <w:rPr>
          <w:rFonts w:asciiTheme="minorHAnsi" w:hAnsiTheme="minorHAnsi" w:cstheme="minorHAnsi"/>
          <w:lang w:val="pt-PT"/>
        </w:rPr>
        <w:t xml:space="preserve"> </w:t>
      </w:r>
      <w:proofErr w:type="spellStart"/>
      <w:r w:rsidRPr="00292532">
        <w:rPr>
          <w:rFonts w:asciiTheme="minorHAnsi" w:hAnsiTheme="minorHAnsi" w:cstheme="minorHAnsi"/>
          <w:lang w:val="pt-PT"/>
        </w:rPr>
        <w:t>Explanation</w:t>
      </w:r>
      <w:proofErr w:type="spellEnd"/>
      <w:r w:rsidRPr="00292532">
        <w:rPr>
          <w:rFonts w:asciiTheme="minorHAnsi" w:hAnsiTheme="minorHAnsi" w:cstheme="minorHAnsi"/>
          <w:lang w:val="pt-PT"/>
        </w:rPr>
        <w:t>. Folhas/</w:t>
      </w:r>
      <w:proofErr w:type="spellStart"/>
      <w:r w:rsidRPr="00292532">
        <w:rPr>
          <w:rFonts w:asciiTheme="minorHAnsi" w:hAnsiTheme="minorHAnsi" w:cstheme="minorHAnsi"/>
          <w:lang w:val="pt-PT"/>
        </w:rPr>
        <w:t>sheets</w:t>
      </w:r>
      <w:proofErr w:type="spellEnd"/>
      <w:r w:rsidRPr="00292532">
        <w:rPr>
          <w:rFonts w:asciiTheme="minorHAnsi" w:hAnsiTheme="minorHAnsi" w:cstheme="minorHAnsi"/>
          <w:lang w:val="pt-PT"/>
        </w:rPr>
        <w:t xml:space="preserve"> Alto </w:t>
      </w:r>
      <w:proofErr w:type="spellStart"/>
      <w:r w:rsidRPr="00292532">
        <w:rPr>
          <w:rFonts w:asciiTheme="minorHAnsi" w:hAnsiTheme="minorHAnsi" w:cstheme="minorHAnsi"/>
          <w:lang w:val="pt-PT"/>
        </w:rPr>
        <w:t>Molócuè</w:t>
      </w:r>
      <w:proofErr w:type="spellEnd"/>
      <w:r w:rsidRPr="00292532">
        <w:rPr>
          <w:rFonts w:asciiTheme="minorHAnsi" w:hAnsiTheme="minorHAnsi" w:cstheme="minorHAnsi"/>
          <w:lang w:val="pt-PT"/>
        </w:rPr>
        <w:t xml:space="preserve"> (1537), </w:t>
      </w:r>
      <w:proofErr w:type="spellStart"/>
      <w:r w:rsidRPr="00292532">
        <w:rPr>
          <w:rFonts w:asciiTheme="minorHAnsi" w:hAnsiTheme="minorHAnsi" w:cstheme="minorHAnsi"/>
          <w:lang w:val="pt-PT"/>
        </w:rPr>
        <w:t>Murrupula</w:t>
      </w:r>
      <w:proofErr w:type="spellEnd"/>
      <w:r w:rsidRPr="00292532">
        <w:rPr>
          <w:rFonts w:asciiTheme="minorHAnsi" w:hAnsiTheme="minorHAnsi" w:cstheme="minorHAnsi"/>
          <w:lang w:val="pt-PT"/>
        </w:rPr>
        <w:t xml:space="preserve"> (1538), Nampula (1539), </w:t>
      </w:r>
      <w:proofErr w:type="spellStart"/>
      <w:r w:rsidRPr="00292532">
        <w:rPr>
          <w:rFonts w:asciiTheme="minorHAnsi" w:hAnsiTheme="minorHAnsi" w:cstheme="minorHAnsi"/>
          <w:lang w:val="pt-PT"/>
        </w:rPr>
        <w:t>Mogincual</w:t>
      </w:r>
      <w:proofErr w:type="spellEnd"/>
      <w:r w:rsidRPr="00292532">
        <w:rPr>
          <w:rFonts w:asciiTheme="minorHAnsi" w:hAnsiTheme="minorHAnsi" w:cstheme="minorHAnsi"/>
          <w:lang w:val="pt-PT"/>
        </w:rPr>
        <w:t xml:space="preserve"> (1540), </w:t>
      </w:r>
      <w:proofErr w:type="spellStart"/>
      <w:r w:rsidRPr="00292532">
        <w:rPr>
          <w:rFonts w:asciiTheme="minorHAnsi" w:hAnsiTheme="minorHAnsi" w:cstheme="minorHAnsi"/>
          <w:lang w:val="pt-PT"/>
        </w:rPr>
        <w:t>Errego</w:t>
      </w:r>
      <w:proofErr w:type="spellEnd"/>
      <w:r w:rsidRPr="00292532">
        <w:rPr>
          <w:rFonts w:asciiTheme="minorHAnsi" w:hAnsiTheme="minorHAnsi" w:cstheme="minorHAnsi"/>
          <w:lang w:val="pt-PT"/>
        </w:rPr>
        <w:t xml:space="preserve"> (1637), Gilé (1638) and </w:t>
      </w:r>
      <w:proofErr w:type="spellStart"/>
      <w:r w:rsidRPr="00292532">
        <w:rPr>
          <w:rFonts w:asciiTheme="minorHAnsi" w:hAnsiTheme="minorHAnsi" w:cstheme="minorHAnsi"/>
          <w:lang w:val="pt-PT"/>
        </w:rPr>
        <w:t>Angoche</w:t>
      </w:r>
      <w:proofErr w:type="spellEnd"/>
      <w:r w:rsidRPr="00292532">
        <w:rPr>
          <w:rFonts w:asciiTheme="minorHAnsi" w:hAnsiTheme="minorHAnsi" w:cstheme="minorHAnsi"/>
          <w:lang w:val="pt-PT"/>
        </w:rPr>
        <w:t xml:space="preserve"> (1639 –40). </w:t>
      </w:r>
      <w:r w:rsidRPr="004500AE">
        <w:rPr>
          <w:rFonts w:asciiTheme="minorHAnsi" w:hAnsiTheme="minorHAnsi" w:cstheme="minorHAnsi"/>
          <w:lang w:val="pt-PT"/>
        </w:rPr>
        <w:t>DNG.33-41-302-303</w:t>
      </w:r>
    </w:p>
    <w:p w14:paraId="130170EA" w14:textId="2C230558" w:rsidR="002E5ACD" w:rsidRPr="00292532" w:rsidRDefault="002E5ACD" w:rsidP="00AE14AE">
      <w:pPr>
        <w:pStyle w:val="ListParagraph"/>
        <w:numPr>
          <w:ilvl w:val="0"/>
          <w:numId w:val="105"/>
        </w:numPr>
        <w:spacing w:before="0" w:after="160" w:line="276" w:lineRule="auto"/>
        <w:rPr>
          <w:rFonts w:asciiTheme="minorHAnsi" w:hAnsiTheme="minorHAnsi" w:cstheme="minorHAnsi"/>
          <w:lang w:val="pt-PT"/>
        </w:rPr>
      </w:pPr>
      <w:r w:rsidRPr="00292532">
        <w:rPr>
          <w:rFonts w:asciiTheme="minorHAnsi" w:hAnsiTheme="minorHAnsi" w:cstheme="minorHAnsi"/>
          <w:lang w:val="pt-PT"/>
        </w:rPr>
        <w:t xml:space="preserve">CPI&amp;JICA, (2015) Mozambique Provincial </w:t>
      </w:r>
      <w:proofErr w:type="spellStart"/>
      <w:r w:rsidRPr="00292532">
        <w:rPr>
          <w:rFonts w:asciiTheme="minorHAnsi" w:hAnsiTheme="minorHAnsi" w:cstheme="minorHAnsi"/>
          <w:lang w:val="pt-PT"/>
        </w:rPr>
        <w:t>Profiles</w:t>
      </w:r>
      <w:proofErr w:type="spellEnd"/>
      <w:r w:rsidRPr="00292532">
        <w:rPr>
          <w:rFonts w:asciiTheme="minorHAnsi" w:hAnsiTheme="minorHAnsi" w:cstheme="minorHAnsi"/>
          <w:lang w:val="pt-PT"/>
        </w:rPr>
        <w:t>. Maputo.</w:t>
      </w:r>
    </w:p>
    <w:p w14:paraId="5690BE55" w14:textId="116F6869" w:rsidR="00A94216" w:rsidRPr="00292532" w:rsidRDefault="00A94216" w:rsidP="00AE14AE">
      <w:pPr>
        <w:pStyle w:val="ListParagraph"/>
        <w:numPr>
          <w:ilvl w:val="0"/>
          <w:numId w:val="105"/>
        </w:numPr>
        <w:spacing w:before="0" w:after="160" w:line="276" w:lineRule="auto"/>
        <w:rPr>
          <w:rFonts w:asciiTheme="minorHAnsi" w:hAnsiTheme="minorHAnsi" w:cstheme="minorHAnsi"/>
          <w:lang w:val="pt-PT"/>
        </w:rPr>
      </w:pPr>
      <w:r w:rsidRPr="00292532">
        <w:rPr>
          <w:rFonts w:asciiTheme="minorHAnsi" w:hAnsiTheme="minorHAnsi" w:cstheme="minorHAnsi"/>
          <w:lang w:val="pt-PT"/>
        </w:rPr>
        <w:t>DHS: (2011). Índice Demográfico e de Saúde</w:t>
      </w:r>
    </w:p>
    <w:p w14:paraId="3955766F" w14:textId="77777777" w:rsidR="002E5ACD" w:rsidRPr="00237EA9" w:rsidRDefault="002E5ACD" w:rsidP="00AE14AE">
      <w:pPr>
        <w:pStyle w:val="ListParagraph"/>
        <w:numPr>
          <w:ilvl w:val="0"/>
          <w:numId w:val="105"/>
        </w:numPr>
        <w:spacing w:before="0" w:after="160" w:line="276" w:lineRule="auto"/>
        <w:rPr>
          <w:rFonts w:asciiTheme="minorHAnsi" w:hAnsiTheme="minorHAnsi" w:cstheme="minorHAnsi"/>
          <w:lang w:val="en-US"/>
        </w:rPr>
      </w:pPr>
      <w:r w:rsidRPr="00EC2545">
        <w:rPr>
          <w:rFonts w:asciiTheme="minorHAnsi" w:hAnsiTheme="minorHAnsi" w:cstheme="minorHAnsi"/>
          <w:lang w:val="en-US"/>
        </w:rPr>
        <w:t xml:space="preserve">EAME. (2004) The Eastern African Marine Ecoregion Biodiversity Conservation Strategic Framework 2005 – 2025 Dar es Salaam, Tanzania pp </w:t>
      </w:r>
      <w:proofErr w:type="gramStart"/>
      <w:r w:rsidRPr="00EC2545">
        <w:rPr>
          <w:rFonts w:asciiTheme="minorHAnsi" w:hAnsiTheme="minorHAnsi" w:cstheme="minorHAnsi"/>
          <w:lang w:val="en-US"/>
        </w:rPr>
        <w:t>54;</w:t>
      </w:r>
      <w:proofErr w:type="gramEnd"/>
    </w:p>
    <w:p w14:paraId="1EAD475C" w14:textId="77777777" w:rsidR="002E5ACD" w:rsidRPr="00292532" w:rsidRDefault="002E5ACD" w:rsidP="00AE14AE">
      <w:pPr>
        <w:pStyle w:val="ListParagraph"/>
        <w:numPr>
          <w:ilvl w:val="0"/>
          <w:numId w:val="105"/>
        </w:numPr>
        <w:spacing w:before="0" w:after="160" w:line="276" w:lineRule="auto"/>
        <w:rPr>
          <w:rFonts w:asciiTheme="minorHAnsi" w:hAnsiTheme="minorHAnsi" w:cstheme="minorHAnsi"/>
          <w:lang w:val="pt-PT"/>
        </w:rPr>
      </w:pPr>
      <w:r w:rsidRPr="00292532">
        <w:rPr>
          <w:rFonts w:asciiTheme="minorHAnsi" w:hAnsiTheme="minorHAnsi" w:cstheme="minorHAnsi"/>
          <w:lang w:val="pt-PT"/>
        </w:rPr>
        <w:t xml:space="preserve">FAO. (2018). </w:t>
      </w:r>
      <w:proofErr w:type="spellStart"/>
      <w:r w:rsidRPr="00292532">
        <w:rPr>
          <w:rFonts w:asciiTheme="minorHAnsi" w:hAnsiTheme="minorHAnsi" w:cstheme="minorHAnsi"/>
          <w:lang w:val="pt-PT"/>
        </w:rPr>
        <w:t>Mocambique</w:t>
      </w:r>
      <w:proofErr w:type="spellEnd"/>
      <w:r w:rsidRPr="00292532">
        <w:rPr>
          <w:rFonts w:asciiTheme="minorHAnsi" w:hAnsiTheme="minorHAnsi" w:cstheme="minorHAnsi"/>
          <w:lang w:val="pt-PT"/>
        </w:rPr>
        <w:t xml:space="preserve">: Análise do Clima. </w:t>
      </w:r>
      <w:r w:rsidRPr="004500AE">
        <w:rPr>
          <w:rFonts w:asciiTheme="minorHAnsi" w:hAnsiTheme="minorHAnsi" w:cstheme="minorHAnsi"/>
          <w:lang w:val="pt-PT"/>
        </w:rPr>
        <w:t>Moçambique;</w:t>
      </w:r>
    </w:p>
    <w:p w14:paraId="78974F63" w14:textId="77777777" w:rsidR="002E5ACD" w:rsidRPr="00292532" w:rsidRDefault="002E5ACD" w:rsidP="00AE14AE">
      <w:pPr>
        <w:pStyle w:val="ListParagraph"/>
        <w:numPr>
          <w:ilvl w:val="0"/>
          <w:numId w:val="105"/>
        </w:numPr>
        <w:spacing w:before="0" w:after="160" w:line="276" w:lineRule="auto"/>
        <w:rPr>
          <w:rFonts w:asciiTheme="minorHAnsi" w:hAnsiTheme="minorHAnsi" w:cstheme="minorHAnsi"/>
          <w:lang w:val="pt-PT"/>
        </w:rPr>
      </w:pPr>
      <w:proofErr w:type="spellStart"/>
      <w:r w:rsidRPr="00292532">
        <w:rPr>
          <w:rFonts w:asciiTheme="minorHAnsi" w:hAnsiTheme="minorHAnsi" w:cstheme="minorHAnsi"/>
          <w:lang w:val="pt-PT"/>
        </w:rPr>
        <w:t>Hoguane</w:t>
      </w:r>
      <w:proofErr w:type="spellEnd"/>
      <w:r w:rsidRPr="00292532">
        <w:rPr>
          <w:rFonts w:asciiTheme="minorHAnsi" w:hAnsiTheme="minorHAnsi" w:cstheme="minorHAnsi"/>
          <w:lang w:val="pt-PT"/>
        </w:rPr>
        <w:t>, A. M. (2007). Perfil Diagnóstico da Zona Costeira de Moçambique. UEM –ESCM, Quelimane, Moçambique;</w:t>
      </w:r>
    </w:p>
    <w:p w14:paraId="5FCD874B" w14:textId="77777777" w:rsidR="002E5ACD" w:rsidRPr="00EC2545" w:rsidRDefault="002E5ACD" w:rsidP="00AE14AE">
      <w:pPr>
        <w:pStyle w:val="ListParagraph"/>
        <w:numPr>
          <w:ilvl w:val="0"/>
          <w:numId w:val="105"/>
        </w:numPr>
        <w:spacing w:before="0" w:after="160" w:line="276" w:lineRule="auto"/>
        <w:rPr>
          <w:rFonts w:asciiTheme="minorHAnsi" w:hAnsiTheme="minorHAnsi" w:cstheme="minorHAnsi"/>
          <w:lang w:val="en-US"/>
        </w:rPr>
      </w:pPr>
      <w:proofErr w:type="spellStart"/>
      <w:r w:rsidRPr="004500AE">
        <w:rPr>
          <w:rFonts w:asciiTheme="minorHAnsi" w:hAnsiTheme="minorHAnsi" w:cstheme="minorHAnsi"/>
          <w:lang w:val="en-US"/>
        </w:rPr>
        <w:t>Hoguane</w:t>
      </w:r>
      <w:proofErr w:type="spellEnd"/>
      <w:r w:rsidRPr="004500AE">
        <w:rPr>
          <w:rFonts w:asciiTheme="minorHAnsi" w:hAnsiTheme="minorHAnsi" w:cstheme="minorHAnsi"/>
          <w:lang w:val="en-US"/>
        </w:rPr>
        <w:t xml:space="preserve">, A.M. &amp; Pereira, M.A.M. (2003) - National Report: Marine biodiversity in Mozambique - the known and the unknown. p. 138-155. In: C. Decker, C. Griffiths, K. </w:t>
      </w:r>
      <w:proofErr w:type="spellStart"/>
      <w:r w:rsidRPr="004500AE">
        <w:rPr>
          <w:rFonts w:asciiTheme="minorHAnsi" w:hAnsiTheme="minorHAnsi" w:cstheme="minorHAnsi"/>
          <w:lang w:val="en-US"/>
        </w:rPr>
        <w:t>Prochazka</w:t>
      </w:r>
      <w:proofErr w:type="spellEnd"/>
      <w:r w:rsidRPr="004500AE">
        <w:rPr>
          <w:rFonts w:asciiTheme="minorHAnsi" w:hAnsiTheme="minorHAnsi" w:cstheme="minorHAnsi"/>
          <w:lang w:val="en-US"/>
        </w:rPr>
        <w:t xml:space="preserve">, C. Ras &amp; A. Whitefield, Marine Biodiversity in Sub-Saharan Africa: the known and the unknown. Proceedings of the marine biodiversity in Sub-Saharan Africa: the known and the unknown Cape Town, South Africa 23-26 September </w:t>
      </w:r>
      <w:proofErr w:type="gramStart"/>
      <w:r w:rsidRPr="004500AE">
        <w:rPr>
          <w:rFonts w:asciiTheme="minorHAnsi" w:hAnsiTheme="minorHAnsi" w:cstheme="minorHAnsi"/>
          <w:lang w:val="en-US"/>
        </w:rPr>
        <w:t>2003;</w:t>
      </w:r>
      <w:proofErr w:type="gramEnd"/>
    </w:p>
    <w:p w14:paraId="381BE887" w14:textId="257A4EF1" w:rsidR="00A94216" w:rsidRPr="00237EA9" w:rsidRDefault="00A94216" w:rsidP="00AE14AE">
      <w:pPr>
        <w:pStyle w:val="ListParagraph"/>
        <w:numPr>
          <w:ilvl w:val="0"/>
          <w:numId w:val="105"/>
        </w:numPr>
        <w:spacing w:before="0" w:after="160" w:line="276" w:lineRule="auto"/>
        <w:rPr>
          <w:rFonts w:asciiTheme="minorHAnsi" w:hAnsiTheme="minorHAnsi" w:cstheme="minorHAnsi"/>
          <w:lang w:val="en-US"/>
        </w:rPr>
      </w:pPr>
      <w:r w:rsidRPr="00237EA9">
        <w:rPr>
          <w:rFonts w:asciiTheme="minorHAnsi" w:hAnsiTheme="minorHAnsi" w:cstheme="minorHAnsi"/>
          <w:lang w:val="en-US"/>
        </w:rPr>
        <w:t xml:space="preserve">IIED: (2015). Violence, </w:t>
      </w:r>
      <w:proofErr w:type="gramStart"/>
      <w:r w:rsidRPr="00237EA9">
        <w:rPr>
          <w:rFonts w:asciiTheme="minorHAnsi" w:hAnsiTheme="minorHAnsi" w:cstheme="minorHAnsi"/>
          <w:lang w:val="en-US"/>
        </w:rPr>
        <w:t>gender</w:t>
      </w:r>
      <w:proofErr w:type="gramEnd"/>
      <w:r w:rsidRPr="00237EA9">
        <w:rPr>
          <w:rFonts w:asciiTheme="minorHAnsi" w:hAnsiTheme="minorHAnsi" w:cstheme="minorHAnsi"/>
          <w:lang w:val="en-US"/>
        </w:rPr>
        <w:t xml:space="preserve"> and WASH: spurring action on a complex, </w:t>
      </w:r>
      <w:proofErr w:type="spellStart"/>
      <w:r w:rsidRPr="00237EA9">
        <w:rPr>
          <w:rFonts w:asciiTheme="minorHAnsi" w:hAnsiTheme="minorHAnsi" w:cstheme="minorHAnsi"/>
          <w:lang w:val="en-US"/>
        </w:rPr>
        <w:t>underdocumented</w:t>
      </w:r>
      <w:proofErr w:type="spellEnd"/>
      <w:r w:rsidRPr="00237EA9">
        <w:rPr>
          <w:rFonts w:asciiTheme="minorHAnsi" w:hAnsiTheme="minorHAnsi" w:cstheme="minorHAnsi"/>
          <w:lang w:val="en-US"/>
        </w:rPr>
        <w:t xml:space="preserve"> and sensitive topic</w:t>
      </w:r>
    </w:p>
    <w:p w14:paraId="6ACC2BAC" w14:textId="76265871" w:rsidR="002E5ACD" w:rsidRPr="00292532" w:rsidRDefault="002E5ACD" w:rsidP="00AE14AE">
      <w:pPr>
        <w:pStyle w:val="ListParagraph"/>
        <w:numPr>
          <w:ilvl w:val="0"/>
          <w:numId w:val="105"/>
        </w:numPr>
        <w:spacing w:before="0" w:after="160" w:line="276" w:lineRule="auto"/>
        <w:rPr>
          <w:rFonts w:asciiTheme="minorHAnsi" w:hAnsiTheme="minorHAnsi" w:cstheme="minorHAnsi"/>
          <w:lang w:val="pt-PT"/>
        </w:rPr>
      </w:pPr>
      <w:r w:rsidRPr="004500AE">
        <w:rPr>
          <w:rFonts w:asciiTheme="minorHAnsi" w:hAnsiTheme="minorHAnsi" w:cstheme="minorHAnsi"/>
          <w:lang w:val="en-US"/>
        </w:rPr>
        <w:t xml:space="preserve">IFC. (2012). IFC Performance Standards on Environmental and Social Sustainability. </w:t>
      </w:r>
      <w:r w:rsidRPr="004500AE">
        <w:rPr>
          <w:rFonts w:asciiTheme="minorHAnsi" w:hAnsiTheme="minorHAnsi" w:cstheme="minorHAnsi"/>
          <w:lang w:val="pt-PT"/>
        </w:rPr>
        <w:t xml:space="preserve">Washington, D. C: </w:t>
      </w:r>
      <w:proofErr w:type="spellStart"/>
      <w:r w:rsidRPr="004500AE">
        <w:rPr>
          <w:rFonts w:asciiTheme="minorHAnsi" w:hAnsiTheme="minorHAnsi" w:cstheme="minorHAnsi"/>
          <w:lang w:val="pt-PT"/>
        </w:rPr>
        <w:t>World</w:t>
      </w:r>
      <w:proofErr w:type="spellEnd"/>
      <w:r w:rsidRPr="004500AE">
        <w:rPr>
          <w:rFonts w:asciiTheme="minorHAnsi" w:hAnsiTheme="minorHAnsi" w:cstheme="minorHAnsi"/>
          <w:lang w:val="pt-PT"/>
        </w:rPr>
        <w:t xml:space="preserve"> </w:t>
      </w:r>
      <w:proofErr w:type="spellStart"/>
      <w:r w:rsidRPr="004500AE">
        <w:rPr>
          <w:rFonts w:asciiTheme="minorHAnsi" w:hAnsiTheme="minorHAnsi" w:cstheme="minorHAnsi"/>
          <w:lang w:val="pt-PT"/>
        </w:rPr>
        <w:t>Bank</w:t>
      </w:r>
      <w:proofErr w:type="spellEnd"/>
      <w:r w:rsidRPr="004500AE">
        <w:rPr>
          <w:rFonts w:asciiTheme="minorHAnsi" w:hAnsiTheme="minorHAnsi" w:cstheme="minorHAnsi"/>
          <w:lang w:val="pt-PT"/>
        </w:rPr>
        <w:t xml:space="preserve"> </w:t>
      </w:r>
      <w:proofErr w:type="spellStart"/>
      <w:r w:rsidRPr="004500AE">
        <w:rPr>
          <w:rFonts w:asciiTheme="minorHAnsi" w:hAnsiTheme="minorHAnsi" w:cstheme="minorHAnsi"/>
          <w:lang w:val="pt-PT"/>
        </w:rPr>
        <w:t>Group</w:t>
      </w:r>
      <w:proofErr w:type="spellEnd"/>
      <w:r w:rsidRPr="004500AE">
        <w:rPr>
          <w:rFonts w:asciiTheme="minorHAnsi" w:hAnsiTheme="minorHAnsi" w:cstheme="minorHAnsi"/>
          <w:lang w:val="pt-PT"/>
        </w:rPr>
        <w:t>;</w:t>
      </w:r>
    </w:p>
    <w:p w14:paraId="35B4671C" w14:textId="77777777" w:rsidR="002E5ACD" w:rsidRPr="00292532" w:rsidRDefault="002E5ACD" w:rsidP="00AE14AE">
      <w:pPr>
        <w:pStyle w:val="ListParagraph"/>
        <w:numPr>
          <w:ilvl w:val="0"/>
          <w:numId w:val="105"/>
        </w:numPr>
        <w:spacing w:before="0" w:after="160" w:line="276" w:lineRule="auto"/>
        <w:rPr>
          <w:rFonts w:asciiTheme="minorHAnsi" w:hAnsiTheme="minorHAnsi" w:cstheme="minorHAnsi"/>
          <w:lang w:val="pt-PT"/>
        </w:rPr>
      </w:pPr>
      <w:r w:rsidRPr="00292532">
        <w:rPr>
          <w:rFonts w:asciiTheme="minorHAnsi" w:hAnsiTheme="minorHAnsi" w:cstheme="minorHAnsi"/>
          <w:lang w:val="pt-PT"/>
        </w:rPr>
        <w:t xml:space="preserve">INE (2004). IAF 2002/3 Relatório Final do </w:t>
      </w:r>
      <w:proofErr w:type="spellStart"/>
      <w:r w:rsidRPr="00292532">
        <w:rPr>
          <w:rFonts w:asciiTheme="minorHAnsi" w:hAnsiTheme="minorHAnsi" w:cstheme="minorHAnsi"/>
          <w:lang w:val="pt-PT"/>
        </w:rPr>
        <w:t>Iqérito</w:t>
      </w:r>
      <w:proofErr w:type="spellEnd"/>
      <w:r w:rsidRPr="00292532">
        <w:rPr>
          <w:rFonts w:asciiTheme="minorHAnsi" w:hAnsiTheme="minorHAnsi" w:cstheme="minorHAnsi"/>
          <w:lang w:val="pt-PT"/>
        </w:rPr>
        <w:t xml:space="preserve"> dos Agregados Familiares sobre Orçamento Familiar, 2002/03. Maputo.</w:t>
      </w:r>
    </w:p>
    <w:p w14:paraId="64E4804D" w14:textId="77777777" w:rsidR="002E5ACD" w:rsidRPr="00292532" w:rsidRDefault="002E5ACD" w:rsidP="00AE14AE">
      <w:pPr>
        <w:pStyle w:val="ListParagraph"/>
        <w:numPr>
          <w:ilvl w:val="0"/>
          <w:numId w:val="105"/>
        </w:numPr>
        <w:spacing w:before="0" w:after="160" w:line="276" w:lineRule="auto"/>
        <w:rPr>
          <w:rFonts w:asciiTheme="minorHAnsi" w:hAnsiTheme="minorHAnsi" w:cstheme="minorHAnsi"/>
          <w:lang w:val="pt-PT"/>
        </w:rPr>
      </w:pPr>
      <w:r w:rsidRPr="00292532">
        <w:rPr>
          <w:rFonts w:asciiTheme="minorHAnsi" w:hAnsiTheme="minorHAnsi" w:cstheme="minorHAnsi"/>
          <w:lang w:val="pt-PT"/>
        </w:rPr>
        <w:t xml:space="preserve">INE (2015), </w:t>
      </w:r>
      <w:proofErr w:type="gramStart"/>
      <w:r w:rsidRPr="00292532">
        <w:rPr>
          <w:rFonts w:asciiTheme="minorHAnsi" w:hAnsiTheme="minorHAnsi" w:cstheme="minorHAnsi"/>
          <w:lang w:val="pt-PT"/>
        </w:rPr>
        <w:t>Estatísticas</w:t>
      </w:r>
      <w:proofErr w:type="gramEnd"/>
      <w:r w:rsidRPr="00292532">
        <w:rPr>
          <w:rFonts w:asciiTheme="minorHAnsi" w:hAnsiTheme="minorHAnsi" w:cstheme="minorHAnsi"/>
          <w:lang w:val="pt-PT"/>
        </w:rPr>
        <w:t xml:space="preserve"> e Indicadores Socias, 2012 – 2013;</w:t>
      </w:r>
    </w:p>
    <w:p w14:paraId="2D1AEFBA" w14:textId="77777777" w:rsidR="002E5ACD" w:rsidRPr="00292532" w:rsidRDefault="002E5ACD" w:rsidP="00AE14AE">
      <w:pPr>
        <w:pStyle w:val="ListParagraph"/>
        <w:numPr>
          <w:ilvl w:val="0"/>
          <w:numId w:val="105"/>
        </w:numPr>
        <w:spacing w:before="0" w:after="160" w:line="276" w:lineRule="auto"/>
        <w:rPr>
          <w:rFonts w:asciiTheme="minorHAnsi" w:hAnsiTheme="minorHAnsi" w:cstheme="minorHAnsi"/>
          <w:lang w:val="pt-PT"/>
        </w:rPr>
      </w:pPr>
      <w:r w:rsidRPr="00292532">
        <w:rPr>
          <w:rFonts w:asciiTheme="minorHAnsi" w:hAnsiTheme="minorHAnsi" w:cstheme="minorHAnsi"/>
          <w:lang w:val="pt-PT"/>
        </w:rPr>
        <w:t xml:space="preserve">INE, Contas Nacionais, II trimestre 2020. Acedido em www.ine.gov.mz entre 1 e 10 ed Fevereiro de 2020. </w:t>
      </w:r>
    </w:p>
    <w:p w14:paraId="7D6B7FAB" w14:textId="77777777" w:rsidR="002E5ACD" w:rsidRPr="00292532" w:rsidRDefault="002E5ACD" w:rsidP="00AE14AE">
      <w:pPr>
        <w:pStyle w:val="ListParagraph"/>
        <w:numPr>
          <w:ilvl w:val="0"/>
          <w:numId w:val="105"/>
        </w:numPr>
        <w:spacing w:before="0" w:after="160" w:line="276" w:lineRule="auto"/>
        <w:rPr>
          <w:rFonts w:asciiTheme="minorHAnsi" w:hAnsiTheme="minorHAnsi" w:cstheme="minorHAnsi"/>
          <w:lang w:val="pt-PT"/>
        </w:rPr>
      </w:pPr>
      <w:r w:rsidRPr="00292532">
        <w:rPr>
          <w:rFonts w:asciiTheme="minorHAnsi" w:hAnsiTheme="minorHAnsi" w:cstheme="minorHAnsi"/>
          <w:lang w:val="pt-PT"/>
        </w:rPr>
        <w:t xml:space="preserve">INE. (2014). Anuário </w:t>
      </w:r>
      <w:proofErr w:type="spellStart"/>
      <w:r w:rsidRPr="00292532">
        <w:rPr>
          <w:rFonts w:asciiTheme="minorHAnsi" w:hAnsiTheme="minorHAnsi" w:cstheme="minorHAnsi"/>
          <w:lang w:val="pt-PT"/>
        </w:rPr>
        <w:t>Estatiistico</w:t>
      </w:r>
      <w:proofErr w:type="spellEnd"/>
    </w:p>
    <w:p w14:paraId="200DBFCE" w14:textId="77777777" w:rsidR="002E5ACD" w:rsidRPr="00292532" w:rsidRDefault="002E5ACD" w:rsidP="00AE14AE">
      <w:pPr>
        <w:pStyle w:val="ListParagraph"/>
        <w:numPr>
          <w:ilvl w:val="0"/>
          <w:numId w:val="105"/>
        </w:numPr>
        <w:spacing w:before="0" w:after="160" w:line="276" w:lineRule="auto"/>
        <w:rPr>
          <w:rFonts w:asciiTheme="minorHAnsi" w:hAnsiTheme="minorHAnsi" w:cstheme="minorHAnsi"/>
          <w:lang w:val="pt-PT"/>
        </w:rPr>
      </w:pPr>
      <w:r w:rsidRPr="00292532">
        <w:rPr>
          <w:rFonts w:asciiTheme="minorHAnsi" w:hAnsiTheme="minorHAnsi" w:cstheme="minorHAnsi"/>
          <w:lang w:val="pt-PT"/>
        </w:rPr>
        <w:t>INE. (2016). Inquérito ao Orçamento Familiar (IOF) 2014-2015</w:t>
      </w:r>
    </w:p>
    <w:p w14:paraId="4A83FEE7" w14:textId="77777777" w:rsidR="002E5ACD" w:rsidRPr="00292532" w:rsidRDefault="002E5ACD" w:rsidP="00AE14AE">
      <w:pPr>
        <w:pStyle w:val="ListParagraph"/>
        <w:numPr>
          <w:ilvl w:val="0"/>
          <w:numId w:val="105"/>
        </w:numPr>
        <w:spacing w:before="0" w:after="160" w:line="276" w:lineRule="auto"/>
        <w:rPr>
          <w:rFonts w:asciiTheme="minorHAnsi" w:hAnsiTheme="minorHAnsi" w:cstheme="minorHAnsi"/>
          <w:lang w:val="pt-PT"/>
        </w:rPr>
      </w:pPr>
      <w:r w:rsidRPr="00292532">
        <w:rPr>
          <w:rFonts w:asciiTheme="minorHAnsi" w:hAnsiTheme="minorHAnsi" w:cstheme="minorHAnsi"/>
          <w:lang w:val="pt-PT"/>
        </w:rPr>
        <w:lastRenderedPageBreak/>
        <w:t xml:space="preserve">INE. (2019). Anuário Estatístico; </w:t>
      </w:r>
    </w:p>
    <w:p w14:paraId="44D6BF2E" w14:textId="77777777" w:rsidR="002E5ACD" w:rsidRPr="00292532" w:rsidRDefault="002E5ACD" w:rsidP="00AE14AE">
      <w:pPr>
        <w:pStyle w:val="ListParagraph"/>
        <w:numPr>
          <w:ilvl w:val="0"/>
          <w:numId w:val="105"/>
        </w:numPr>
        <w:spacing w:before="0" w:after="160" w:line="276" w:lineRule="auto"/>
        <w:rPr>
          <w:rFonts w:asciiTheme="minorHAnsi" w:hAnsiTheme="minorHAnsi" w:cstheme="minorHAnsi"/>
          <w:lang w:val="pt-PT"/>
        </w:rPr>
      </w:pPr>
      <w:r w:rsidRPr="00EC2545">
        <w:rPr>
          <w:rFonts w:asciiTheme="minorHAnsi" w:hAnsiTheme="minorHAnsi" w:cstheme="minorHAnsi"/>
          <w:lang w:val="en-US"/>
        </w:rPr>
        <w:t xml:space="preserve">International Finance Corporation (IFC). (2012). Biodiversity Conservation and Sustainable Management of Living Natural Resources. </w:t>
      </w:r>
      <w:proofErr w:type="spellStart"/>
      <w:r w:rsidRPr="00292532">
        <w:rPr>
          <w:rFonts w:asciiTheme="minorHAnsi" w:hAnsiTheme="minorHAnsi" w:cstheme="minorHAnsi"/>
          <w:lang w:val="pt-PT"/>
        </w:rPr>
        <w:t>Guidance</w:t>
      </w:r>
      <w:proofErr w:type="spellEnd"/>
      <w:r w:rsidRPr="00292532">
        <w:rPr>
          <w:rFonts w:asciiTheme="minorHAnsi" w:hAnsiTheme="minorHAnsi" w:cstheme="minorHAnsi"/>
          <w:lang w:val="pt-PT"/>
        </w:rPr>
        <w:t>. Note 6;</w:t>
      </w:r>
    </w:p>
    <w:p w14:paraId="7D712AB0" w14:textId="5971C757" w:rsidR="002E5ACD" w:rsidRPr="00292532" w:rsidRDefault="002E5ACD" w:rsidP="00AE14AE">
      <w:pPr>
        <w:pStyle w:val="ListParagraph"/>
        <w:numPr>
          <w:ilvl w:val="0"/>
          <w:numId w:val="105"/>
        </w:numPr>
        <w:spacing w:before="0" w:after="160" w:line="276" w:lineRule="auto"/>
        <w:rPr>
          <w:rFonts w:asciiTheme="minorHAnsi" w:hAnsiTheme="minorHAnsi" w:cstheme="minorHAnsi"/>
          <w:lang w:val="pt-PT"/>
        </w:rPr>
      </w:pPr>
      <w:r w:rsidRPr="00292532">
        <w:rPr>
          <w:rFonts w:asciiTheme="minorHAnsi" w:hAnsiTheme="minorHAnsi" w:cstheme="minorHAnsi"/>
          <w:lang w:val="pt-PT"/>
        </w:rPr>
        <w:t>MAEFP. (2019). Q</w:t>
      </w:r>
      <w:r w:rsidR="001978AF" w:rsidRPr="00292532">
        <w:rPr>
          <w:rFonts w:asciiTheme="minorHAnsi" w:hAnsiTheme="minorHAnsi" w:cstheme="minorHAnsi"/>
          <w:lang w:val="pt-PT"/>
        </w:rPr>
        <w:t>PGAS</w:t>
      </w:r>
      <w:r w:rsidRPr="00292532">
        <w:rPr>
          <w:rFonts w:asciiTheme="minorHAnsi" w:hAnsiTheme="minorHAnsi" w:cstheme="minorHAnsi"/>
          <w:lang w:val="pt-PT"/>
        </w:rPr>
        <w:t xml:space="preserve">. </w:t>
      </w:r>
      <w:proofErr w:type="spellStart"/>
      <w:r w:rsidRPr="00292532">
        <w:rPr>
          <w:rFonts w:asciiTheme="minorHAnsi" w:hAnsiTheme="minorHAnsi" w:cstheme="minorHAnsi"/>
          <w:lang w:val="pt-PT"/>
        </w:rPr>
        <w:t>Projecto</w:t>
      </w:r>
      <w:proofErr w:type="spellEnd"/>
      <w:r w:rsidRPr="00292532">
        <w:rPr>
          <w:rFonts w:asciiTheme="minorHAnsi" w:hAnsiTheme="minorHAnsi" w:cstheme="minorHAnsi"/>
          <w:lang w:val="pt-PT"/>
        </w:rPr>
        <w:t xml:space="preserve"> de Desenvolvimento Urbano e Social (PDUL). </w:t>
      </w:r>
      <w:proofErr w:type="spellStart"/>
      <w:r w:rsidRPr="00292532">
        <w:rPr>
          <w:rFonts w:asciiTheme="minorHAnsi" w:hAnsiTheme="minorHAnsi" w:cstheme="minorHAnsi"/>
          <w:lang w:val="pt-PT"/>
        </w:rPr>
        <w:t>World</w:t>
      </w:r>
      <w:proofErr w:type="spellEnd"/>
      <w:r w:rsidRPr="00292532">
        <w:rPr>
          <w:rFonts w:asciiTheme="minorHAnsi" w:hAnsiTheme="minorHAnsi" w:cstheme="minorHAnsi"/>
          <w:lang w:val="pt-PT"/>
        </w:rPr>
        <w:t xml:space="preserve"> </w:t>
      </w:r>
      <w:proofErr w:type="spellStart"/>
      <w:r w:rsidRPr="00292532">
        <w:rPr>
          <w:rFonts w:asciiTheme="minorHAnsi" w:hAnsiTheme="minorHAnsi" w:cstheme="minorHAnsi"/>
          <w:lang w:val="pt-PT"/>
        </w:rPr>
        <w:t>Bank.Maputo</w:t>
      </w:r>
      <w:proofErr w:type="spellEnd"/>
    </w:p>
    <w:p w14:paraId="797FA01D" w14:textId="1AE2D72D" w:rsidR="002E5ACD" w:rsidRPr="00292532" w:rsidRDefault="002E5ACD" w:rsidP="00AE14AE">
      <w:pPr>
        <w:pStyle w:val="ListParagraph"/>
        <w:numPr>
          <w:ilvl w:val="0"/>
          <w:numId w:val="105"/>
        </w:numPr>
        <w:spacing w:before="0" w:after="160" w:line="276" w:lineRule="auto"/>
        <w:rPr>
          <w:rFonts w:asciiTheme="minorHAnsi" w:hAnsiTheme="minorHAnsi" w:cstheme="minorHAnsi"/>
          <w:lang w:val="pt-PT"/>
        </w:rPr>
      </w:pPr>
      <w:proofErr w:type="spellStart"/>
      <w:r w:rsidRPr="00292532">
        <w:rPr>
          <w:rFonts w:asciiTheme="minorHAnsi" w:hAnsiTheme="minorHAnsi" w:cstheme="minorHAnsi"/>
          <w:lang w:val="pt-PT"/>
        </w:rPr>
        <w:t>Marzoli</w:t>
      </w:r>
      <w:proofErr w:type="spellEnd"/>
      <w:r w:rsidRPr="00292532">
        <w:rPr>
          <w:rFonts w:asciiTheme="minorHAnsi" w:hAnsiTheme="minorHAnsi" w:cstheme="minorHAnsi"/>
          <w:lang w:val="pt-PT"/>
        </w:rPr>
        <w:t xml:space="preserve"> A. 2007. Inventário florestal nacional. Relatório final. </w:t>
      </w:r>
      <w:proofErr w:type="spellStart"/>
      <w:r w:rsidRPr="00292532">
        <w:rPr>
          <w:rFonts w:asciiTheme="minorHAnsi" w:hAnsiTheme="minorHAnsi" w:cstheme="minorHAnsi"/>
          <w:lang w:val="pt-PT"/>
        </w:rPr>
        <w:t>Direcção</w:t>
      </w:r>
      <w:proofErr w:type="spellEnd"/>
      <w:r w:rsidRPr="00292532">
        <w:rPr>
          <w:rFonts w:asciiTheme="minorHAnsi" w:hAnsiTheme="minorHAnsi" w:cstheme="minorHAnsi"/>
          <w:lang w:val="pt-PT"/>
        </w:rPr>
        <w:t xml:space="preserve"> Nacional de Terras e Florestas. </w:t>
      </w:r>
      <w:r w:rsidRPr="004500AE">
        <w:rPr>
          <w:rFonts w:asciiTheme="minorHAnsi" w:hAnsiTheme="minorHAnsi" w:cstheme="minorHAnsi"/>
          <w:lang w:val="pt-PT"/>
        </w:rPr>
        <w:t>Ministério da Agricultura. Maputo, Mozambique. 74p.</w:t>
      </w:r>
    </w:p>
    <w:p w14:paraId="2410A933" w14:textId="77777777" w:rsidR="00A94216" w:rsidRPr="00292532" w:rsidRDefault="00A94216" w:rsidP="00AE14AE">
      <w:pPr>
        <w:pStyle w:val="ListParagraph"/>
        <w:numPr>
          <w:ilvl w:val="0"/>
          <w:numId w:val="105"/>
        </w:numPr>
        <w:spacing w:before="0" w:line="276" w:lineRule="auto"/>
        <w:rPr>
          <w:rFonts w:asciiTheme="minorHAnsi" w:hAnsiTheme="minorHAnsi" w:cstheme="minorHAnsi"/>
          <w:lang w:val="pt-PT"/>
        </w:rPr>
      </w:pPr>
      <w:r w:rsidRPr="00292532">
        <w:rPr>
          <w:rFonts w:asciiTheme="minorHAnsi" w:hAnsiTheme="minorHAnsi" w:cstheme="minorHAnsi"/>
          <w:lang w:val="pt-PT"/>
        </w:rPr>
        <w:t>MGCAS: (2004). Inquérito Nacional sobre Prevalência da Violência em Moçambique;</w:t>
      </w:r>
    </w:p>
    <w:p w14:paraId="0B659957" w14:textId="2E37BD3B" w:rsidR="00A94216" w:rsidRPr="00292532" w:rsidRDefault="00A94216" w:rsidP="00AE14AE">
      <w:pPr>
        <w:pStyle w:val="ListParagraph"/>
        <w:numPr>
          <w:ilvl w:val="0"/>
          <w:numId w:val="105"/>
        </w:numPr>
        <w:spacing w:before="0" w:after="160" w:line="276" w:lineRule="auto"/>
        <w:rPr>
          <w:rFonts w:asciiTheme="minorHAnsi" w:hAnsiTheme="minorHAnsi" w:cstheme="minorHAnsi"/>
          <w:lang w:val="pt-PT"/>
        </w:rPr>
      </w:pPr>
      <w:r w:rsidRPr="00292532">
        <w:rPr>
          <w:rFonts w:asciiTheme="minorHAnsi" w:hAnsiTheme="minorHAnsi" w:cstheme="minorHAnsi"/>
          <w:lang w:val="pt-PT"/>
        </w:rPr>
        <w:t>MGCAS: (2016). Perfil De Género De Moçambique</w:t>
      </w:r>
    </w:p>
    <w:p w14:paraId="302E743E" w14:textId="0E2DBEF3" w:rsidR="002E5ACD" w:rsidRPr="00292532" w:rsidRDefault="002E5ACD" w:rsidP="00AE14AE">
      <w:pPr>
        <w:pStyle w:val="ListParagraph"/>
        <w:numPr>
          <w:ilvl w:val="0"/>
          <w:numId w:val="105"/>
        </w:numPr>
        <w:spacing w:before="0" w:after="160" w:line="276" w:lineRule="auto"/>
        <w:rPr>
          <w:rFonts w:asciiTheme="minorHAnsi" w:hAnsiTheme="minorHAnsi" w:cstheme="minorHAnsi"/>
          <w:lang w:val="pt-PT"/>
        </w:rPr>
      </w:pPr>
      <w:r w:rsidRPr="00292532">
        <w:rPr>
          <w:rFonts w:asciiTheme="minorHAnsi" w:hAnsiTheme="minorHAnsi" w:cstheme="minorHAnsi"/>
          <w:lang w:val="pt-PT"/>
        </w:rPr>
        <w:t xml:space="preserve">MICOA. (2013): Estratégia Nacional de Adaptação e Mitigação de Mudanças Climáticas 2013-2025. Ministério Para a Coordenação da </w:t>
      </w:r>
      <w:proofErr w:type="spellStart"/>
      <w:r w:rsidRPr="00292532">
        <w:rPr>
          <w:rFonts w:asciiTheme="minorHAnsi" w:hAnsiTheme="minorHAnsi" w:cstheme="minorHAnsi"/>
          <w:lang w:val="pt-PT"/>
        </w:rPr>
        <w:t>Acção</w:t>
      </w:r>
      <w:proofErr w:type="spellEnd"/>
      <w:r w:rsidRPr="00292532">
        <w:rPr>
          <w:rFonts w:asciiTheme="minorHAnsi" w:hAnsiTheme="minorHAnsi" w:cstheme="minorHAnsi"/>
          <w:lang w:val="pt-PT"/>
        </w:rPr>
        <w:t xml:space="preserve"> Ambiental, República de Moçambique, Maputo, Moçambique;</w:t>
      </w:r>
    </w:p>
    <w:p w14:paraId="0C0330A5" w14:textId="1618C104" w:rsidR="00A6116B" w:rsidRPr="00292532" w:rsidRDefault="00A6116B" w:rsidP="00AE14AE">
      <w:pPr>
        <w:pStyle w:val="ListParagraph"/>
        <w:numPr>
          <w:ilvl w:val="0"/>
          <w:numId w:val="105"/>
        </w:numPr>
        <w:spacing w:before="0" w:after="160" w:line="276" w:lineRule="auto"/>
        <w:rPr>
          <w:rFonts w:asciiTheme="minorHAnsi" w:hAnsiTheme="minorHAnsi" w:cstheme="minorHAnsi"/>
          <w:lang w:val="pt-PT"/>
        </w:rPr>
      </w:pPr>
      <w:r w:rsidRPr="00292532">
        <w:rPr>
          <w:rFonts w:asciiTheme="minorHAnsi" w:hAnsiTheme="minorHAnsi" w:cstheme="minorHAnsi"/>
          <w:lang w:val="pt-PT"/>
        </w:rPr>
        <w:t>Ministério da Saúde.  Plano Nacional de Preparação e Resposta a Pandemia da Covid-19. Maputo.</w:t>
      </w:r>
    </w:p>
    <w:p w14:paraId="20687167" w14:textId="2ACB1DCA" w:rsidR="00A6116B" w:rsidRPr="00292532" w:rsidRDefault="00A6116B" w:rsidP="00AE14AE">
      <w:pPr>
        <w:pStyle w:val="ListParagraph"/>
        <w:numPr>
          <w:ilvl w:val="0"/>
          <w:numId w:val="105"/>
        </w:numPr>
        <w:spacing w:before="0" w:after="160" w:line="276" w:lineRule="auto"/>
        <w:rPr>
          <w:rFonts w:asciiTheme="minorHAnsi" w:hAnsiTheme="minorHAnsi" w:cstheme="minorHAnsi"/>
          <w:lang w:val="pt-PT"/>
        </w:rPr>
      </w:pPr>
      <w:r w:rsidRPr="00292532">
        <w:rPr>
          <w:rFonts w:asciiTheme="minorHAnsi" w:hAnsiTheme="minorHAnsi" w:cstheme="minorHAnsi"/>
          <w:lang w:val="pt-PT"/>
        </w:rPr>
        <w:t>MISAU 2020a. Procedimentos de Prevenção Controle e Vigilância da COVID-19 no local de Trabalho. Maputo.</w:t>
      </w:r>
    </w:p>
    <w:p w14:paraId="4D429544" w14:textId="081319D2" w:rsidR="00A6116B" w:rsidRPr="00292532" w:rsidRDefault="00A6116B" w:rsidP="00AE14AE">
      <w:pPr>
        <w:pStyle w:val="ListParagraph"/>
        <w:numPr>
          <w:ilvl w:val="0"/>
          <w:numId w:val="105"/>
        </w:numPr>
        <w:spacing w:before="0" w:after="160" w:line="276" w:lineRule="auto"/>
        <w:rPr>
          <w:rFonts w:asciiTheme="minorHAnsi" w:hAnsiTheme="minorHAnsi" w:cstheme="minorHAnsi"/>
          <w:lang w:val="pt-PT"/>
        </w:rPr>
      </w:pPr>
      <w:r w:rsidRPr="00292532">
        <w:rPr>
          <w:rFonts w:asciiTheme="minorHAnsi" w:hAnsiTheme="minorHAnsi" w:cstheme="minorHAnsi"/>
          <w:lang w:val="pt-PT"/>
        </w:rPr>
        <w:t>MISAU 2020b. Manual de Prevenção da COVID-19. Maputo.</w:t>
      </w:r>
    </w:p>
    <w:p w14:paraId="5FD23C6B" w14:textId="60447E27" w:rsidR="00A6116B" w:rsidRPr="00292532" w:rsidRDefault="00A6116B" w:rsidP="00AE14AE">
      <w:pPr>
        <w:pStyle w:val="ListParagraph"/>
        <w:numPr>
          <w:ilvl w:val="0"/>
          <w:numId w:val="105"/>
        </w:numPr>
        <w:spacing w:before="0" w:after="160" w:line="276" w:lineRule="auto"/>
        <w:rPr>
          <w:rFonts w:asciiTheme="minorHAnsi" w:hAnsiTheme="minorHAnsi" w:cstheme="minorHAnsi"/>
          <w:lang w:val="pt-PT"/>
        </w:rPr>
      </w:pPr>
      <w:r w:rsidRPr="00292532">
        <w:rPr>
          <w:rFonts w:asciiTheme="minorHAnsi" w:hAnsiTheme="minorHAnsi" w:cstheme="minorHAnsi"/>
          <w:lang w:val="pt-PT"/>
        </w:rPr>
        <w:t>MISAU 2020c. Fluxograma de Pacientes com Suspeita de COVID-19 nos Serviços ambulatórios (Triagem e Consultas Externas).</w:t>
      </w:r>
    </w:p>
    <w:p w14:paraId="012E442C" w14:textId="77777777" w:rsidR="002E5ACD" w:rsidRPr="00292532" w:rsidRDefault="002E5ACD" w:rsidP="00AE14AE">
      <w:pPr>
        <w:pStyle w:val="ListParagraph"/>
        <w:numPr>
          <w:ilvl w:val="0"/>
          <w:numId w:val="105"/>
        </w:numPr>
        <w:spacing w:before="0" w:after="160" w:line="276" w:lineRule="auto"/>
        <w:rPr>
          <w:rFonts w:asciiTheme="minorHAnsi" w:hAnsiTheme="minorHAnsi" w:cstheme="minorHAnsi"/>
          <w:lang w:val="pt-PT"/>
        </w:rPr>
      </w:pPr>
      <w:r w:rsidRPr="00292532">
        <w:rPr>
          <w:rFonts w:asciiTheme="minorHAnsi" w:hAnsiTheme="minorHAnsi" w:cstheme="minorHAnsi"/>
          <w:lang w:val="pt-PT"/>
        </w:rPr>
        <w:t xml:space="preserve">PES (2021). Proposta de Plano Económico Social 2021. </w:t>
      </w:r>
      <w:r w:rsidRPr="004500AE">
        <w:rPr>
          <w:rFonts w:asciiTheme="minorHAnsi" w:hAnsiTheme="minorHAnsi" w:cstheme="minorHAnsi"/>
          <w:lang w:val="pt-PT"/>
        </w:rPr>
        <w:t>Maputo, Moçambique</w:t>
      </w:r>
    </w:p>
    <w:p w14:paraId="4E6DF957" w14:textId="5BDF1898" w:rsidR="00A94216" w:rsidRPr="00292532" w:rsidRDefault="00A94216" w:rsidP="00AE14AE">
      <w:pPr>
        <w:pStyle w:val="ListParagraph"/>
        <w:numPr>
          <w:ilvl w:val="0"/>
          <w:numId w:val="105"/>
        </w:numPr>
        <w:spacing w:before="0" w:after="160" w:line="276" w:lineRule="auto"/>
        <w:rPr>
          <w:rFonts w:asciiTheme="minorHAnsi" w:hAnsiTheme="minorHAnsi" w:cstheme="minorHAnsi"/>
          <w:lang w:val="pt-PT"/>
        </w:rPr>
      </w:pPr>
      <w:r w:rsidRPr="00292532">
        <w:rPr>
          <w:rFonts w:asciiTheme="minorHAnsi" w:hAnsiTheme="minorHAnsi" w:cstheme="minorHAnsi"/>
          <w:lang w:val="pt-PT"/>
        </w:rPr>
        <w:t xml:space="preserve">UICEF (2015). </w:t>
      </w:r>
      <w:proofErr w:type="spellStart"/>
      <w:r w:rsidRPr="00292532">
        <w:rPr>
          <w:rFonts w:asciiTheme="minorHAnsi" w:hAnsiTheme="minorHAnsi" w:cstheme="minorHAnsi"/>
          <w:lang w:val="pt-PT"/>
        </w:rPr>
        <w:t>Directrizes</w:t>
      </w:r>
      <w:proofErr w:type="spellEnd"/>
      <w:r w:rsidRPr="00292532">
        <w:rPr>
          <w:rFonts w:asciiTheme="minorHAnsi" w:hAnsiTheme="minorHAnsi" w:cstheme="minorHAnsi"/>
          <w:lang w:val="pt-PT"/>
        </w:rPr>
        <w:t xml:space="preserve"> para a Integração com base no género para intervenções de violência em </w:t>
      </w:r>
      <w:proofErr w:type="spellStart"/>
      <w:r w:rsidRPr="00292532">
        <w:rPr>
          <w:rFonts w:asciiTheme="minorHAnsi" w:hAnsiTheme="minorHAnsi" w:cstheme="minorHAnsi"/>
          <w:lang w:val="pt-PT"/>
        </w:rPr>
        <w:t>acções</w:t>
      </w:r>
      <w:proofErr w:type="spellEnd"/>
      <w:r w:rsidRPr="00292532">
        <w:rPr>
          <w:rFonts w:asciiTheme="minorHAnsi" w:hAnsiTheme="minorHAnsi" w:cstheme="minorHAnsi"/>
          <w:lang w:val="pt-PT"/>
        </w:rPr>
        <w:t xml:space="preserve"> humanitárias</w:t>
      </w:r>
    </w:p>
    <w:p w14:paraId="18BF5C0F" w14:textId="3247A150" w:rsidR="00A94216" w:rsidRPr="00EC2545" w:rsidRDefault="00A94216" w:rsidP="00AE14AE">
      <w:pPr>
        <w:pStyle w:val="ListParagraph"/>
        <w:numPr>
          <w:ilvl w:val="0"/>
          <w:numId w:val="105"/>
        </w:numPr>
        <w:spacing w:before="0" w:after="160" w:line="276" w:lineRule="auto"/>
        <w:rPr>
          <w:rFonts w:asciiTheme="minorHAnsi" w:hAnsiTheme="minorHAnsi" w:cstheme="minorHAnsi"/>
          <w:lang w:val="en-US"/>
        </w:rPr>
      </w:pPr>
      <w:r w:rsidRPr="00EC2545">
        <w:rPr>
          <w:rFonts w:asciiTheme="minorHAnsi" w:hAnsiTheme="minorHAnsi" w:cstheme="minorHAnsi"/>
          <w:lang w:val="en-US"/>
        </w:rPr>
        <w:t>UN Women (2016). Gender stereotypes: In laws and court decisions in southeast Asia</w:t>
      </w:r>
    </w:p>
    <w:p w14:paraId="66F9F0B2" w14:textId="2ADF2A7E" w:rsidR="002E5ACD" w:rsidRPr="00EC2545" w:rsidRDefault="002E5ACD" w:rsidP="00AE14AE">
      <w:pPr>
        <w:pStyle w:val="ListParagraph"/>
        <w:numPr>
          <w:ilvl w:val="0"/>
          <w:numId w:val="105"/>
        </w:numPr>
        <w:spacing w:before="0" w:after="160" w:line="276" w:lineRule="auto"/>
        <w:rPr>
          <w:rFonts w:asciiTheme="minorHAnsi" w:hAnsiTheme="minorHAnsi" w:cstheme="minorHAnsi"/>
          <w:lang w:val="en-US"/>
        </w:rPr>
      </w:pPr>
      <w:r w:rsidRPr="004500AE">
        <w:rPr>
          <w:rFonts w:asciiTheme="minorHAnsi" w:hAnsiTheme="minorHAnsi" w:cstheme="minorHAnsi"/>
          <w:lang w:val="en-US"/>
        </w:rPr>
        <w:t xml:space="preserve">UNDP (2019). Human Development Report 2020 - The Next Frontier: Human Development and the Anthropocene. Briefing note for countries on the 2020 Human Development Report- </w:t>
      </w:r>
      <w:proofErr w:type="gramStart"/>
      <w:r w:rsidRPr="004500AE">
        <w:rPr>
          <w:rFonts w:asciiTheme="minorHAnsi" w:hAnsiTheme="minorHAnsi" w:cstheme="minorHAnsi"/>
          <w:lang w:val="en-US"/>
        </w:rPr>
        <w:t>Mozambique;</w:t>
      </w:r>
      <w:proofErr w:type="gramEnd"/>
    </w:p>
    <w:p w14:paraId="1D93DD05" w14:textId="77777777" w:rsidR="002E5ACD" w:rsidRPr="00237EA9" w:rsidRDefault="002E5ACD" w:rsidP="00AE14AE">
      <w:pPr>
        <w:pStyle w:val="ListParagraph"/>
        <w:numPr>
          <w:ilvl w:val="0"/>
          <w:numId w:val="105"/>
        </w:numPr>
        <w:spacing w:before="0" w:after="160" w:line="276" w:lineRule="auto"/>
        <w:rPr>
          <w:rFonts w:asciiTheme="minorHAnsi" w:hAnsiTheme="minorHAnsi" w:cstheme="minorHAnsi"/>
          <w:lang w:val="en-US"/>
        </w:rPr>
      </w:pPr>
      <w:r w:rsidRPr="00237EA9">
        <w:rPr>
          <w:rFonts w:asciiTheme="minorHAnsi" w:hAnsiTheme="minorHAnsi" w:cstheme="minorHAnsi"/>
          <w:lang w:val="en-US"/>
        </w:rPr>
        <w:t>White, F. (1983</w:t>
      </w:r>
      <w:proofErr w:type="gramStart"/>
      <w:r w:rsidRPr="00237EA9">
        <w:rPr>
          <w:rFonts w:asciiTheme="minorHAnsi" w:hAnsiTheme="minorHAnsi" w:cstheme="minorHAnsi"/>
          <w:lang w:val="en-US"/>
        </w:rPr>
        <w:t>).The</w:t>
      </w:r>
      <w:proofErr w:type="gramEnd"/>
      <w:r w:rsidRPr="00237EA9">
        <w:rPr>
          <w:rFonts w:asciiTheme="minorHAnsi" w:hAnsiTheme="minorHAnsi" w:cstheme="minorHAnsi"/>
          <w:lang w:val="en-US"/>
        </w:rPr>
        <w:t xml:space="preserve"> vegetation of </w:t>
      </w:r>
      <w:proofErr w:type="spellStart"/>
      <w:r w:rsidRPr="00237EA9">
        <w:rPr>
          <w:rFonts w:asciiTheme="minorHAnsi" w:hAnsiTheme="minorHAnsi" w:cstheme="minorHAnsi"/>
          <w:lang w:val="en-US"/>
        </w:rPr>
        <w:t>africa</w:t>
      </w:r>
      <w:proofErr w:type="spellEnd"/>
      <w:r w:rsidRPr="00237EA9">
        <w:rPr>
          <w:rFonts w:asciiTheme="minorHAnsi" w:hAnsiTheme="minorHAnsi" w:cstheme="minorHAnsi"/>
          <w:lang w:val="en-US"/>
        </w:rPr>
        <w:t xml:space="preserve">. </w:t>
      </w:r>
      <w:proofErr w:type="spellStart"/>
      <w:r w:rsidRPr="00237EA9">
        <w:rPr>
          <w:rFonts w:asciiTheme="minorHAnsi" w:hAnsiTheme="minorHAnsi" w:cstheme="minorHAnsi"/>
          <w:lang w:val="en-US"/>
        </w:rPr>
        <w:t>Unesco</w:t>
      </w:r>
      <w:proofErr w:type="spellEnd"/>
      <w:r w:rsidRPr="00237EA9">
        <w:rPr>
          <w:rFonts w:asciiTheme="minorHAnsi" w:hAnsiTheme="minorHAnsi" w:cstheme="minorHAnsi"/>
          <w:lang w:val="en-US"/>
        </w:rPr>
        <w:t xml:space="preserve">, Paris, Natural Resource </w:t>
      </w:r>
      <w:proofErr w:type="gramStart"/>
      <w:r w:rsidRPr="00237EA9">
        <w:rPr>
          <w:rFonts w:asciiTheme="minorHAnsi" w:hAnsiTheme="minorHAnsi" w:cstheme="minorHAnsi"/>
          <w:lang w:val="en-US"/>
        </w:rPr>
        <w:t>Research;</w:t>
      </w:r>
      <w:proofErr w:type="gramEnd"/>
      <w:r w:rsidRPr="00237EA9">
        <w:rPr>
          <w:rFonts w:asciiTheme="minorHAnsi" w:hAnsiTheme="minorHAnsi" w:cstheme="minorHAnsi"/>
          <w:lang w:val="en-US"/>
        </w:rPr>
        <w:t xml:space="preserve"> </w:t>
      </w:r>
    </w:p>
    <w:p w14:paraId="4C92CD86" w14:textId="77777777" w:rsidR="002E5ACD" w:rsidRPr="00237EA9" w:rsidRDefault="002E5ACD" w:rsidP="00AE14AE">
      <w:pPr>
        <w:pStyle w:val="ListParagraph"/>
        <w:numPr>
          <w:ilvl w:val="0"/>
          <w:numId w:val="105"/>
        </w:numPr>
        <w:spacing w:before="0" w:after="160" w:line="276" w:lineRule="auto"/>
        <w:rPr>
          <w:rFonts w:asciiTheme="minorHAnsi" w:hAnsiTheme="minorHAnsi" w:cstheme="minorHAnsi"/>
          <w:lang w:val="en-US"/>
        </w:rPr>
      </w:pPr>
      <w:proofErr w:type="spellStart"/>
      <w:r w:rsidRPr="00E14ED4">
        <w:rPr>
          <w:rFonts w:asciiTheme="minorHAnsi" w:hAnsiTheme="minorHAnsi" w:cstheme="minorHAnsi"/>
          <w:lang w:val="pt-PT"/>
        </w:rPr>
        <w:t>Wild</w:t>
      </w:r>
      <w:proofErr w:type="spellEnd"/>
      <w:r w:rsidRPr="00E14ED4">
        <w:rPr>
          <w:rFonts w:asciiTheme="minorHAnsi" w:hAnsiTheme="minorHAnsi" w:cstheme="minorHAnsi"/>
          <w:lang w:val="pt-PT"/>
        </w:rPr>
        <w:t xml:space="preserve">, G. e Barbosa, L.A. </w:t>
      </w:r>
      <w:proofErr w:type="spellStart"/>
      <w:r w:rsidRPr="00E14ED4">
        <w:rPr>
          <w:rFonts w:asciiTheme="minorHAnsi" w:hAnsiTheme="minorHAnsi" w:cstheme="minorHAnsi"/>
          <w:lang w:val="pt-PT"/>
        </w:rPr>
        <w:t>Grandvaux</w:t>
      </w:r>
      <w:proofErr w:type="spellEnd"/>
      <w:r w:rsidRPr="00E14ED4">
        <w:rPr>
          <w:rFonts w:asciiTheme="minorHAnsi" w:hAnsiTheme="minorHAnsi" w:cstheme="minorHAnsi"/>
          <w:lang w:val="pt-PT"/>
        </w:rPr>
        <w:t xml:space="preserve">. </w:t>
      </w:r>
      <w:r w:rsidRPr="00EC2545">
        <w:rPr>
          <w:rFonts w:asciiTheme="minorHAnsi" w:hAnsiTheme="minorHAnsi" w:cstheme="minorHAnsi"/>
          <w:lang w:val="en-US"/>
        </w:rPr>
        <w:t xml:space="preserve">1967. </w:t>
      </w:r>
      <w:proofErr w:type="spellStart"/>
      <w:r w:rsidRPr="00EC2545">
        <w:rPr>
          <w:rFonts w:asciiTheme="minorHAnsi" w:hAnsiTheme="minorHAnsi" w:cstheme="minorHAnsi"/>
          <w:lang w:val="en-US"/>
        </w:rPr>
        <w:t>Vegetationmap</w:t>
      </w:r>
      <w:proofErr w:type="spellEnd"/>
      <w:r w:rsidRPr="00EC2545">
        <w:rPr>
          <w:rFonts w:asciiTheme="minorHAnsi" w:hAnsiTheme="minorHAnsi" w:cstheme="minorHAnsi"/>
          <w:lang w:val="en-US"/>
        </w:rPr>
        <w:t xml:space="preserve"> (1:2 500 000) of the flora </w:t>
      </w:r>
      <w:proofErr w:type="spellStart"/>
      <w:r w:rsidRPr="00EC2545">
        <w:rPr>
          <w:rFonts w:asciiTheme="minorHAnsi" w:hAnsiTheme="minorHAnsi" w:cstheme="minorHAnsi"/>
          <w:lang w:val="en-US"/>
        </w:rPr>
        <w:t>Zambeziaca</w:t>
      </w:r>
      <w:proofErr w:type="spellEnd"/>
      <w:r w:rsidRPr="00EC2545">
        <w:rPr>
          <w:rFonts w:asciiTheme="minorHAnsi" w:hAnsiTheme="minorHAnsi" w:cstheme="minorHAnsi"/>
          <w:lang w:val="en-US"/>
        </w:rPr>
        <w:t xml:space="preserve"> area. Descriptive memoir, Salisbury, Rhodesia, Collins. 71pp.</w:t>
      </w:r>
    </w:p>
    <w:p w14:paraId="36E37D2D" w14:textId="77777777" w:rsidR="002E5ACD" w:rsidRPr="00292532" w:rsidRDefault="002E5ACD" w:rsidP="00AE14AE">
      <w:pPr>
        <w:pStyle w:val="ListParagraph"/>
        <w:numPr>
          <w:ilvl w:val="0"/>
          <w:numId w:val="105"/>
        </w:numPr>
        <w:spacing w:before="0" w:after="160" w:line="276" w:lineRule="auto"/>
        <w:rPr>
          <w:rFonts w:asciiTheme="minorHAnsi" w:hAnsiTheme="minorHAnsi" w:cstheme="minorHAnsi"/>
          <w:lang w:val="pt-PT"/>
        </w:rPr>
      </w:pPr>
      <w:r w:rsidRPr="00EC2545">
        <w:rPr>
          <w:rFonts w:asciiTheme="minorHAnsi" w:hAnsiTheme="minorHAnsi" w:cstheme="minorHAnsi"/>
          <w:lang w:val="en-US"/>
        </w:rPr>
        <w:t xml:space="preserve">World Bank (2016): World Development Indicators 2016. </w:t>
      </w:r>
      <w:proofErr w:type="spellStart"/>
      <w:r w:rsidRPr="00292532">
        <w:rPr>
          <w:rFonts w:asciiTheme="minorHAnsi" w:hAnsiTheme="minorHAnsi" w:cstheme="minorHAnsi"/>
          <w:lang w:val="pt-PT"/>
        </w:rPr>
        <w:t>World</w:t>
      </w:r>
      <w:proofErr w:type="spellEnd"/>
      <w:r w:rsidRPr="00292532">
        <w:rPr>
          <w:rFonts w:asciiTheme="minorHAnsi" w:hAnsiTheme="minorHAnsi" w:cstheme="minorHAnsi"/>
          <w:lang w:val="pt-PT"/>
        </w:rPr>
        <w:t xml:space="preserve"> </w:t>
      </w:r>
      <w:proofErr w:type="spellStart"/>
      <w:r w:rsidRPr="00292532">
        <w:rPr>
          <w:rFonts w:asciiTheme="minorHAnsi" w:hAnsiTheme="minorHAnsi" w:cstheme="minorHAnsi"/>
          <w:lang w:val="pt-PT"/>
        </w:rPr>
        <w:t>Bank</w:t>
      </w:r>
      <w:proofErr w:type="spellEnd"/>
      <w:r w:rsidRPr="00292532">
        <w:rPr>
          <w:rFonts w:asciiTheme="minorHAnsi" w:hAnsiTheme="minorHAnsi" w:cstheme="minorHAnsi"/>
          <w:lang w:val="pt-PT"/>
        </w:rPr>
        <w:t xml:space="preserve"> </w:t>
      </w:r>
      <w:proofErr w:type="spellStart"/>
      <w:r w:rsidRPr="00292532">
        <w:rPr>
          <w:rFonts w:asciiTheme="minorHAnsi" w:hAnsiTheme="minorHAnsi" w:cstheme="minorHAnsi"/>
          <w:lang w:val="pt-PT"/>
        </w:rPr>
        <w:t>Group</w:t>
      </w:r>
      <w:proofErr w:type="spellEnd"/>
      <w:r w:rsidRPr="00292532">
        <w:rPr>
          <w:rFonts w:asciiTheme="minorHAnsi" w:hAnsiTheme="minorHAnsi" w:cstheme="minorHAnsi"/>
          <w:lang w:val="pt-PT"/>
        </w:rPr>
        <w:t xml:space="preserve">. </w:t>
      </w:r>
      <w:proofErr w:type="spellStart"/>
      <w:r w:rsidRPr="00292532">
        <w:rPr>
          <w:rFonts w:asciiTheme="minorHAnsi" w:hAnsiTheme="minorHAnsi" w:cstheme="minorHAnsi"/>
          <w:lang w:val="pt-PT"/>
        </w:rPr>
        <w:t>Acessado</w:t>
      </w:r>
      <w:proofErr w:type="spellEnd"/>
      <w:r w:rsidRPr="00292532">
        <w:rPr>
          <w:rFonts w:asciiTheme="minorHAnsi" w:hAnsiTheme="minorHAnsi" w:cstheme="minorHAnsi"/>
          <w:lang w:val="pt-PT"/>
        </w:rPr>
        <w:t xml:space="preserve"> em 19 de </w:t>
      </w:r>
      <w:proofErr w:type="spellStart"/>
      <w:r w:rsidRPr="00292532">
        <w:rPr>
          <w:rFonts w:asciiTheme="minorHAnsi" w:hAnsiTheme="minorHAnsi" w:cstheme="minorHAnsi"/>
          <w:lang w:val="pt-PT"/>
        </w:rPr>
        <w:t>Abilde</w:t>
      </w:r>
      <w:proofErr w:type="spellEnd"/>
      <w:r w:rsidRPr="00292532">
        <w:rPr>
          <w:rFonts w:asciiTheme="minorHAnsi" w:hAnsiTheme="minorHAnsi" w:cstheme="minorHAnsi"/>
          <w:lang w:val="pt-PT"/>
        </w:rPr>
        <w:t xml:space="preserve"> 2020.</w:t>
      </w:r>
    </w:p>
    <w:p w14:paraId="5045E59D" w14:textId="77777777" w:rsidR="002E5ACD" w:rsidRPr="00EC2545" w:rsidRDefault="002E5ACD" w:rsidP="00AE14AE">
      <w:pPr>
        <w:pStyle w:val="ListParagraph"/>
        <w:numPr>
          <w:ilvl w:val="0"/>
          <w:numId w:val="105"/>
        </w:numPr>
        <w:spacing w:before="0" w:after="160" w:line="276" w:lineRule="auto"/>
        <w:rPr>
          <w:rStyle w:val="Hyperlink"/>
          <w:rFonts w:asciiTheme="minorHAnsi" w:hAnsiTheme="minorHAnsi" w:cstheme="minorHAnsi"/>
          <w:color w:val="auto"/>
          <w:u w:val="none"/>
          <w:lang w:val="en-US"/>
        </w:rPr>
      </w:pPr>
      <w:r w:rsidRPr="004500AE">
        <w:rPr>
          <w:rFonts w:asciiTheme="minorHAnsi" w:hAnsiTheme="minorHAnsi" w:cstheme="minorHAnsi"/>
          <w:lang w:val="en-US"/>
        </w:rPr>
        <w:t xml:space="preserve">World Bank (2017) Environmental and Social Framework, International Bank for Reconstruction and Development/The World Bank 1818 H Street NW, Washington, DC 20433 Telephone: 202- 473-1000; Telephone: 202-473-1000; Internet: </w:t>
      </w:r>
      <w:hyperlink r:id="rId43" w:history="1">
        <w:r w:rsidRPr="004500AE">
          <w:rPr>
            <w:rStyle w:val="Hyperlink"/>
            <w:rFonts w:asciiTheme="minorHAnsi" w:hAnsiTheme="minorHAnsi" w:cstheme="minorHAnsi"/>
            <w:lang w:val="en-US"/>
          </w:rPr>
          <w:t>www.worldbank.org</w:t>
        </w:r>
      </w:hyperlink>
      <w:r w:rsidRPr="004500AE">
        <w:rPr>
          <w:rStyle w:val="Hyperlink"/>
          <w:rFonts w:asciiTheme="minorHAnsi" w:hAnsiTheme="minorHAnsi" w:cstheme="minorHAnsi"/>
          <w:lang w:val="en-US"/>
        </w:rPr>
        <w:t>;</w:t>
      </w:r>
    </w:p>
    <w:p w14:paraId="24868FB4" w14:textId="77777777" w:rsidR="002E5ACD" w:rsidRPr="004500AE" w:rsidRDefault="002E5ACD" w:rsidP="00AE14AE">
      <w:pPr>
        <w:numPr>
          <w:ilvl w:val="0"/>
          <w:numId w:val="105"/>
        </w:numPr>
        <w:spacing w:before="0" w:after="0" w:line="360" w:lineRule="auto"/>
        <w:rPr>
          <w:rFonts w:cs="Calibri"/>
          <w:lang w:val="en-US"/>
        </w:rPr>
      </w:pPr>
      <w:r w:rsidRPr="004500AE">
        <w:rPr>
          <w:rFonts w:cs="Calibri"/>
          <w:lang w:val="en-US"/>
        </w:rPr>
        <w:t xml:space="preserve">IUCN (2014) “The IUCN Red List of Threatened Species”. http://www.iucnredlist.org/. 2014.1. International Union for Conservation of Nature and Natural </w:t>
      </w:r>
      <w:proofErr w:type="spellStart"/>
      <w:r w:rsidRPr="004500AE">
        <w:rPr>
          <w:rFonts w:cs="Calibri"/>
          <w:lang w:val="en-US"/>
        </w:rPr>
        <w:t>Resources.n.d</w:t>
      </w:r>
      <w:proofErr w:type="spellEnd"/>
      <w:r w:rsidRPr="004500AE">
        <w:rPr>
          <w:rFonts w:cs="Calibri"/>
          <w:lang w:val="en-US"/>
        </w:rPr>
        <w:t>. Web.</w:t>
      </w:r>
    </w:p>
    <w:p w14:paraId="5943B3CC" w14:textId="77777777" w:rsidR="002E5ACD" w:rsidRPr="004500AE" w:rsidRDefault="002E5ACD" w:rsidP="00AE14AE">
      <w:pPr>
        <w:numPr>
          <w:ilvl w:val="0"/>
          <w:numId w:val="105"/>
        </w:numPr>
        <w:spacing w:before="0" w:after="0" w:line="360" w:lineRule="auto"/>
        <w:rPr>
          <w:rFonts w:cs="Calibri"/>
          <w:lang w:val="en-US"/>
        </w:rPr>
      </w:pPr>
      <w:r w:rsidRPr="004500AE">
        <w:rPr>
          <w:rFonts w:cs="Calibri"/>
          <w:lang w:val="en-US"/>
        </w:rPr>
        <w:t xml:space="preserve">IUCN (2012) “The IUCN Red List of Threatened Species”. http://www.iucnredlist.org/. 2012.1. International Union for Conservation of Nature and Natural </w:t>
      </w:r>
      <w:proofErr w:type="spellStart"/>
      <w:r w:rsidRPr="004500AE">
        <w:rPr>
          <w:rFonts w:cs="Calibri"/>
          <w:lang w:val="en-US"/>
        </w:rPr>
        <w:t>Resources.n.d</w:t>
      </w:r>
      <w:proofErr w:type="spellEnd"/>
      <w:r w:rsidRPr="004500AE">
        <w:rPr>
          <w:rFonts w:cs="Calibri"/>
          <w:lang w:val="en-US"/>
        </w:rPr>
        <w:t>. Web. 17 Sep. 2012</w:t>
      </w:r>
    </w:p>
    <w:p w14:paraId="155576EC" w14:textId="77777777" w:rsidR="002E5ACD" w:rsidRPr="00292532" w:rsidRDefault="002E5ACD" w:rsidP="00AE14AE">
      <w:pPr>
        <w:numPr>
          <w:ilvl w:val="0"/>
          <w:numId w:val="105"/>
        </w:numPr>
        <w:spacing w:before="0" w:after="0" w:line="360" w:lineRule="auto"/>
        <w:rPr>
          <w:rFonts w:cs="Calibri"/>
          <w:lang w:val="pt-PT"/>
        </w:rPr>
      </w:pPr>
      <w:r w:rsidRPr="004500AE">
        <w:rPr>
          <w:rFonts w:cs="Calibri"/>
          <w:lang w:val="en-US"/>
        </w:rPr>
        <w:t xml:space="preserve">MICOA &amp; IMPACTO (1998) The Biological Diversity of Mozambique. </w:t>
      </w:r>
      <w:r w:rsidRPr="00292532">
        <w:rPr>
          <w:rFonts w:cs="Calibri"/>
          <w:lang w:val="pt-PT"/>
        </w:rPr>
        <w:t xml:space="preserve">Programa das Nações Unidas para o Desenvolvimento – PNUD. </w:t>
      </w:r>
      <w:r w:rsidRPr="004500AE">
        <w:rPr>
          <w:rFonts w:cs="Calibri"/>
          <w:lang w:val="pt-PT"/>
        </w:rPr>
        <w:t>Maputo. Mozambique.</w:t>
      </w:r>
    </w:p>
    <w:p w14:paraId="0ABFFF19" w14:textId="77777777" w:rsidR="002E5ACD" w:rsidRPr="004500AE" w:rsidRDefault="002E5ACD" w:rsidP="00AE14AE">
      <w:pPr>
        <w:numPr>
          <w:ilvl w:val="0"/>
          <w:numId w:val="105"/>
        </w:numPr>
        <w:spacing w:before="0" w:after="0" w:line="360" w:lineRule="auto"/>
        <w:rPr>
          <w:rFonts w:cs="Calibri"/>
          <w:lang w:val="pt-PT"/>
        </w:rPr>
      </w:pPr>
      <w:r w:rsidRPr="00292532">
        <w:rPr>
          <w:rFonts w:cs="Calibri"/>
          <w:lang w:val="pt-PT"/>
        </w:rPr>
        <w:lastRenderedPageBreak/>
        <w:t xml:space="preserve">CEAGRE. (2015). Mapeamento de habitats de moçambique: Criando as bases para contrabalanços de biodiversidade em Moçambique. </w:t>
      </w:r>
      <w:r w:rsidRPr="004500AE">
        <w:rPr>
          <w:rFonts w:cs="Calibri"/>
          <w:lang w:val="pt-PT"/>
        </w:rPr>
        <w:t>60pp.</w:t>
      </w:r>
    </w:p>
    <w:p w14:paraId="02AA20E0" w14:textId="77777777" w:rsidR="002E5ACD" w:rsidRPr="004500AE" w:rsidRDefault="002E5ACD" w:rsidP="00AE14AE">
      <w:pPr>
        <w:numPr>
          <w:ilvl w:val="0"/>
          <w:numId w:val="105"/>
        </w:numPr>
        <w:spacing w:before="0" w:after="0" w:line="360" w:lineRule="auto"/>
        <w:rPr>
          <w:rFonts w:cs="Calibri"/>
          <w:lang w:val="en-US"/>
        </w:rPr>
      </w:pPr>
      <w:proofErr w:type="spellStart"/>
      <w:r w:rsidRPr="004500AE">
        <w:rPr>
          <w:rFonts w:cs="Calibri"/>
          <w:lang w:val="en-US"/>
        </w:rPr>
        <w:t>Gradin</w:t>
      </w:r>
      <w:proofErr w:type="spellEnd"/>
      <w:r w:rsidRPr="004500AE">
        <w:rPr>
          <w:rFonts w:cs="Calibri"/>
          <w:lang w:val="en-US"/>
        </w:rPr>
        <w:t xml:space="preserve">, C.; &amp; </w:t>
      </w:r>
      <w:proofErr w:type="spellStart"/>
      <w:r w:rsidRPr="004500AE">
        <w:rPr>
          <w:rFonts w:cs="Calibri"/>
          <w:lang w:val="en-US"/>
        </w:rPr>
        <w:t>Trarp</w:t>
      </w:r>
      <w:proofErr w:type="spellEnd"/>
      <w:r w:rsidRPr="004500AE">
        <w:rPr>
          <w:rFonts w:cs="Calibri"/>
          <w:lang w:val="en-US"/>
        </w:rPr>
        <w:t>, F.; (2019). Gender Inequality in Employment in Mozambique, SAJE. 87pp.</w:t>
      </w:r>
    </w:p>
    <w:p w14:paraId="53BBED18" w14:textId="77777777" w:rsidR="002E5ACD" w:rsidRPr="00292532" w:rsidRDefault="002E5ACD" w:rsidP="00AE14AE">
      <w:pPr>
        <w:numPr>
          <w:ilvl w:val="0"/>
          <w:numId w:val="105"/>
        </w:numPr>
        <w:spacing w:before="0" w:after="0" w:line="360" w:lineRule="auto"/>
        <w:rPr>
          <w:rFonts w:cs="Calibri"/>
          <w:lang w:val="pt-PT"/>
        </w:rPr>
      </w:pPr>
      <w:r w:rsidRPr="00292532">
        <w:rPr>
          <w:rFonts w:cs="Calibri"/>
          <w:lang w:val="pt-PT"/>
        </w:rPr>
        <w:t>MINEDH (2019) Avaliação do Plano Estratégico da Educação 2012 – 2016/19, Maputo: MINEDH.</w:t>
      </w:r>
    </w:p>
    <w:p w14:paraId="6B8382A4" w14:textId="77777777" w:rsidR="002E5ACD" w:rsidRPr="00292532" w:rsidRDefault="002E5ACD" w:rsidP="00AE14AE">
      <w:pPr>
        <w:numPr>
          <w:ilvl w:val="0"/>
          <w:numId w:val="105"/>
        </w:numPr>
        <w:spacing w:before="0" w:after="0" w:line="360" w:lineRule="auto"/>
        <w:rPr>
          <w:rFonts w:cs="Calibri"/>
          <w:lang w:val="pt-PT"/>
        </w:rPr>
      </w:pPr>
      <w:proofErr w:type="spellStart"/>
      <w:r w:rsidRPr="00292532">
        <w:rPr>
          <w:rFonts w:cs="Calibri"/>
          <w:lang w:val="pt-PT"/>
        </w:rPr>
        <w:t>Maueua</w:t>
      </w:r>
      <w:proofErr w:type="spellEnd"/>
      <w:r w:rsidRPr="00292532">
        <w:rPr>
          <w:rFonts w:cs="Calibri"/>
          <w:lang w:val="pt-PT"/>
        </w:rPr>
        <w:t xml:space="preserve">, C., </w:t>
      </w:r>
      <w:proofErr w:type="spellStart"/>
      <w:r w:rsidRPr="00292532">
        <w:rPr>
          <w:rFonts w:cs="Calibri"/>
          <w:lang w:val="pt-PT"/>
        </w:rPr>
        <w:t>et</w:t>
      </w:r>
      <w:proofErr w:type="spellEnd"/>
      <w:r w:rsidRPr="00292532">
        <w:rPr>
          <w:rFonts w:cs="Calibri"/>
          <w:lang w:val="pt-PT"/>
        </w:rPr>
        <w:t xml:space="preserve"> al. (2007). Vulnerabilidade Climática nas Zonas Costeiras.’</w:t>
      </w:r>
    </w:p>
    <w:p w14:paraId="2F37C504" w14:textId="77777777" w:rsidR="002E5ACD" w:rsidRPr="004500AE" w:rsidRDefault="002E5ACD" w:rsidP="00AE14AE">
      <w:pPr>
        <w:numPr>
          <w:ilvl w:val="0"/>
          <w:numId w:val="105"/>
        </w:numPr>
        <w:spacing w:before="0" w:after="0" w:line="360" w:lineRule="auto"/>
        <w:rPr>
          <w:rFonts w:cs="Calibri"/>
          <w:lang w:val="pt-PT"/>
        </w:rPr>
      </w:pPr>
      <w:r w:rsidRPr="004500AE">
        <w:rPr>
          <w:rFonts w:cs="Calibri"/>
          <w:lang w:val="en-US"/>
        </w:rPr>
        <w:t xml:space="preserve">Nicholls, R. &amp; </w:t>
      </w:r>
      <w:proofErr w:type="spellStart"/>
      <w:r w:rsidRPr="004500AE">
        <w:rPr>
          <w:rFonts w:cs="Calibri"/>
          <w:lang w:val="en-US"/>
        </w:rPr>
        <w:t>Kllein</w:t>
      </w:r>
      <w:proofErr w:type="spellEnd"/>
      <w:r w:rsidRPr="004500AE">
        <w:rPr>
          <w:rFonts w:cs="Calibri"/>
          <w:lang w:val="en-US"/>
        </w:rPr>
        <w:t xml:space="preserve">, R. (1999). Assessment of coastal Vulnerability to climate change. </w:t>
      </w:r>
      <w:r w:rsidRPr="004500AE">
        <w:rPr>
          <w:rFonts w:cs="Calibri"/>
          <w:lang w:val="pt-PT"/>
        </w:rPr>
        <w:t>AMBIO 28pp.</w:t>
      </w:r>
    </w:p>
    <w:p w14:paraId="098DF29D" w14:textId="3F451B27" w:rsidR="002E5ACD" w:rsidRPr="00292532" w:rsidRDefault="002E5ACD" w:rsidP="00AE14AE">
      <w:pPr>
        <w:numPr>
          <w:ilvl w:val="0"/>
          <w:numId w:val="105"/>
        </w:numPr>
        <w:spacing w:before="0" w:after="0" w:line="360" w:lineRule="auto"/>
        <w:rPr>
          <w:rFonts w:cs="Calibri"/>
          <w:lang w:val="pt-PT"/>
        </w:rPr>
      </w:pPr>
      <w:r w:rsidRPr="00292532">
        <w:rPr>
          <w:rFonts w:cs="Calibri"/>
          <w:lang w:val="pt-PT"/>
        </w:rPr>
        <w:t>ENAMMC. (2020). Estratégia Nacional de Adaptação e Mitigação de Mudanças Climáticas 2020-2025.</w:t>
      </w:r>
    </w:p>
    <w:p w14:paraId="2B109138" w14:textId="77777777" w:rsidR="00A94216" w:rsidRPr="00292532" w:rsidRDefault="00A94216" w:rsidP="00AE14AE">
      <w:pPr>
        <w:numPr>
          <w:ilvl w:val="0"/>
          <w:numId w:val="105"/>
        </w:numPr>
        <w:spacing w:before="0" w:after="0" w:line="360" w:lineRule="auto"/>
        <w:rPr>
          <w:rFonts w:cs="Calibri"/>
          <w:lang w:val="pt-PT"/>
        </w:rPr>
      </w:pPr>
      <w:r w:rsidRPr="00292532">
        <w:rPr>
          <w:rFonts w:cs="Calibri"/>
          <w:lang w:val="pt-PT"/>
        </w:rPr>
        <w:t>https://ec.europa.eu/info/policies/justice-and-fundamental-rights/gender-equality/gender-based-violence/what-gender-based-violence_en</w:t>
      </w:r>
    </w:p>
    <w:p w14:paraId="592F84A4" w14:textId="359FDA06" w:rsidR="00A94216" w:rsidRPr="00292532" w:rsidRDefault="00A94216" w:rsidP="00AE14AE">
      <w:pPr>
        <w:numPr>
          <w:ilvl w:val="0"/>
          <w:numId w:val="105"/>
        </w:numPr>
        <w:spacing w:before="0" w:after="0" w:line="360" w:lineRule="auto"/>
        <w:rPr>
          <w:rFonts w:cs="Calibri"/>
          <w:lang w:val="pt-PT"/>
        </w:rPr>
      </w:pPr>
      <w:r w:rsidRPr="00292532">
        <w:rPr>
          <w:rFonts w:cs="Calibri"/>
          <w:lang w:val="pt-PT"/>
        </w:rPr>
        <w:t>https://reliefweb.int/report/mozambique/uphill-task-eliminate-violence-against-women-mozambique-and-southern-africa</w:t>
      </w:r>
    </w:p>
    <w:p w14:paraId="0DD19807" w14:textId="7CF92B72" w:rsidR="00A6116B" w:rsidRPr="00292532" w:rsidRDefault="00167670" w:rsidP="002E5ACD">
      <w:pPr>
        <w:rPr>
          <w:lang w:val="pt-PT" w:eastAsia="ja-JP"/>
        </w:rPr>
      </w:pPr>
      <w:r w:rsidRPr="00292532">
        <w:rPr>
          <w:lang w:val="pt-PT" w:eastAsia="ja-JP"/>
        </w:rPr>
        <w:br w:type="page"/>
      </w:r>
    </w:p>
    <w:p w14:paraId="72A5F562" w14:textId="1A884383" w:rsidR="00444EF2" w:rsidRPr="00292532" w:rsidRDefault="00444EF2" w:rsidP="004500AE">
      <w:pPr>
        <w:rPr>
          <w:lang w:val="pt-PT"/>
        </w:rPr>
      </w:pPr>
    </w:p>
    <w:p w14:paraId="1078C564" w14:textId="7892A88A" w:rsidR="00CA778E" w:rsidRPr="00292532" w:rsidRDefault="000F0611" w:rsidP="000D7B05">
      <w:pPr>
        <w:pStyle w:val="Title"/>
      </w:pPr>
      <w:r w:rsidRPr="00292532">
        <w:t xml:space="preserve">Anexo </w:t>
      </w:r>
      <w:r w:rsidR="00F638C3" w:rsidRPr="00292532">
        <w:t>1</w:t>
      </w:r>
    </w:p>
    <w:p w14:paraId="557F46AF" w14:textId="10CFB353" w:rsidR="000F0611" w:rsidRPr="00292532" w:rsidRDefault="00CA778E" w:rsidP="00AE14AE">
      <w:pPr>
        <w:pStyle w:val="Heading1"/>
        <w:numPr>
          <w:ilvl w:val="0"/>
          <w:numId w:val="107"/>
        </w:numPr>
        <w:rPr>
          <w:lang w:val="pt-PT"/>
        </w:rPr>
      </w:pPr>
      <w:bookmarkStart w:id="493" w:name="_Toc73620177"/>
      <w:bookmarkStart w:id="494" w:name="_Toc73623804"/>
      <w:bookmarkStart w:id="495" w:name="_Toc73624452"/>
      <w:bookmarkStart w:id="496" w:name="_Toc73954587"/>
      <w:bookmarkStart w:id="497" w:name="_Toc75437986"/>
      <w:bookmarkStart w:id="498" w:name="_Toc78435413"/>
      <w:bookmarkStart w:id="499" w:name="_Toc80380083"/>
      <w:r w:rsidRPr="00292532">
        <w:rPr>
          <w:lang w:val="pt-PT"/>
        </w:rPr>
        <w:t>F</w:t>
      </w:r>
      <w:r w:rsidR="000F0611" w:rsidRPr="00292532">
        <w:rPr>
          <w:lang w:val="pt-PT"/>
        </w:rPr>
        <w:t xml:space="preserve">ormulário de </w:t>
      </w:r>
      <w:r w:rsidR="000D2119" w:rsidRPr="00292532">
        <w:rPr>
          <w:lang w:val="pt-PT"/>
        </w:rPr>
        <w:t>T</w:t>
      </w:r>
      <w:r w:rsidR="000F0611" w:rsidRPr="00292532">
        <w:rPr>
          <w:lang w:val="pt-PT"/>
        </w:rPr>
        <w:t xml:space="preserve">riagem </w:t>
      </w:r>
      <w:r w:rsidR="000D2119" w:rsidRPr="00292532">
        <w:rPr>
          <w:lang w:val="pt-PT"/>
        </w:rPr>
        <w:t>A</w:t>
      </w:r>
      <w:r w:rsidR="000F0611" w:rsidRPr="00292532">
        <w:rPr>
          <w:lang w:val="pt-PT"/>
        </w:rPr>
        <w:t xml:space="preserve">mbiental e </w:t>
      </w:r>
      <w:r w:rsidR="000D2119" w:rsidRPr="00292532">
        <w:rPr>
          <w:lang w:val="pt-PT"/>
        </w:rPr>
        <w:t>S</w:t>
      </w:r>
      <w:r w:rsidR="000F0611" w:rsidRPr="00292532">
        <w:rPr>
          <w:lang w:val="pt-PT"/>
        </w:rPr>
        <w:t>ocial</w:t>
      </w:r>
      <w:bookmarkEnd w:id="493"/>
      <w:bookmarkEnd w:id="494"/>
      <w:bookmarkEnd w:id="495"/>
      <w:bookmarkEnd w:id="496"/>
      <w:bookmarkEnd w:id="497"/>
      <w:bookmarkEnd w:id="498"/>
      <w:bookmarkEnd w:id="499"/>
    </w:p>
    <w:p w14:paraId="1C23CA62" w14:textId="2417D471" w:rsidR="00B94A74" w:rsidRPr="00292532" w:rsidRDefault="00B94A74" w:rsidP="000D7B05">
      <w:pPr>
        <w:pStyle w:val="Title"/>
      </w:pPr>
    </w:p>
    <w:p w14:paraId="413DA76D" w14:textId="754CD929" w:rsidR="00B94A74" w:rsidRPr="00292532" w:rsidRDefault="00B94A74" w:rsidP="000D7B05">
      <w:pPr>
        <w:pStyle w:val="Title"/>
      </w:pPr>
    </w:p>
    <w:p w14:paraId="2DE1EB10" w14:textId="77777777" w:rsidR="0093465A" w:rsidRPr="00292532" w:rsidRDefault="0093465A" w:rsidP="0093465A">
      <w:pPr>
        <w:spacing w:before="0" w:after="0" w:line="102" w:lineRule="exact"/>
        <w:jc w:val="left"/>
        <w:rPr>
          <w:rFonts w:ascii="Times New Roman" w:eastAsia="Times New Roman" w:hAnsi="Times New Roman" w:cs="Times New Roman"/>
          <w:lang w:val="pt-PT"/>
        </w:rPr>
      </w:pPr>
    </w:p>
    <w:tbl>
      <w:tblPr>
        <w:tblW w:w="0" w:type="auto"/>
        <w:tblInd w:w="130" w:type="dxa"/>
        <w:tblLayout w:type="fixed"/>
        <w:tblCellMar>
          <w:left w:w="0" w:type="dxa"/>
          <w:right w:w="0" w:type="dxa"/>
        </w:tblCellMar>
        <w:tblLook w:val="04A0" w:firstRow="1" w:lastRow="0" w:firstColumn="1" w:lastColumn="0" w:noHBand="0" w:noVBand="1"/>
      </w:tblPr>
      <w:tblGrid>
        <w:gridCol w:w="4420"/>
        <w:gridCol w:w="4220"/>
      </w:tblGrid>
      <w:tr w:rsidR="0093465A" w:rsidRPr="00292532" w14:paraId="3B715416" w14:textId="77777777" w:rsidTr="0093465A">
        <w:trPr>
          <w:trHeight w:val="490"/>
        </w:trPr>
        <w:tc>
          <w:tcPr>
            <w:tcW w:w="4420" w:type="dxa"/>
            <w:tcBorders>
              <w:top w:val="single" w:sz="8" w:space="0" w:color="auto"/>
              <w:left w:val="single" w:sz="8" w:space="0" w:color="auto"/>
              <w:bottom w:val="nil"/>
              <w:right w:val="single" w:sz="8" w:space="0" w:color="auto"/>
            </w:tcBorders>
            <w:vAlign w:val="bottom"/>
            <w:hideMark/>
          </w:tcPr>
          <w:p w14:paraId="4F039450" w14:textId="77777777" w:rsidR="0093465A" w:rsidRPr="00292532" w:rsidRDefault="0093465A" w:rsidP="0093465A">
            <w:pPr>
              <w:spacing w:before="0" w:after="0"/>
              <w:ind w:left="120"/>
              <w:jc w:val="left"/>
              <w:rPr>
                <w:rFonts w:ascii="Times New Roman" w:eastAsia="Times New Roman" w:hAnsi="Times New Roman" w:cs="Times New Roman"/>
                <w:lang w:val="pt-PT"/>
              </w:rPr>
            </w:pPr>
            <w:r w:rsidRPr="00292532">
              <w:rPr>
                <w:rFonts w:eastAsia="Calibri" w:cs="Times New Roman"/>
                <w:lang w:val="pt-PT"/>
              </w:rPr>
              <w:t>N. º de ordem: ..................</w:t>
            </w:r>
          </w:p>
        </w:tc>
        <w:tc>
          <w:tcPr>
            <w:tcW w:w="4220" w:type="dxa"/>
            <w:tcBorders>
              <w:top w:val="single" w:sz="8" w:space="0" w:color="auto"/>
              <w:left w:val="nil"/>
              <w:bottom w:val="nil"/>
              <w:right w:val="single" w:sz="8" w:space="0" w:color="auto"/>
            </w:tcBorders>
            <w:vAlign w:val="bottom"/>
            <w:hideMark/>
          </w:tcPr>
          <w:p w14:paraId="575D9030" w14:textId="77777777" w:rsidR="0093465A" w:rsidRPr="00292532" w:rsidRDefault="0093465A" w:rsidP="0093465A">
            <w:pPr>
              <w:spacing w:before="0" w:after="0"/>
              <w:ind w:left="100"/>
              <w:jc w:val="left"/>
              <w:rPr>
                <w:rFonts w:ascii="Times New Roman" w:eastAsia="Times New Roman" w:hAnsi="Times New Roman" w:cs="Times New Roman"/>
                <w:lang w:val="pt-PT"/>
              </w:rPr>
            </w:pPr>
            <w:r w:rsidRPr="00292532">
              <w:rPr>
                <w:rFonts w:eastAsia="Calibri" w:cs="Times New Roman"/>
                <w:lang w:val="pt-PT"/>
              </w:rPr>
              <w:t>Data de preenchimento</w:t>
            </w:r>
          </w:p>
        </w:tc>
      </w:tr>
      <w:tr w:rsidR="0093465A" w:rsidRPr="00292532" w14:paraId="619A6885" w14:textId="77777777" w:rsidTr="0093465A">
        <w:trPr>
          <w:trHeight w:val="166"/>
        </w:trPr>
        <w:tc>
          <w:tcPr>
            <w:tcW w:w="4420" w:type="dxa"/>
            <w:tcBorders>
              <w:top w:val="nil"/>
              <w:left w:val="single" w:sz="8" w:space="0" w:color="auto"/>
              <w:bottom w:val="single" w:sz="8" w:space="0" w:color="auto"/>
              <w:right w:val="single" w:sz="8" w:space="0" w:color="auto"/>
            </w:tcBorders>
            <w:vAlign w:val="bottom"/>
          </w:tcPr>
          <w:p w14:paraId="05B390E2" w14:textId="77777777" w:rsidR="0093465A" w:rsidRPr="00292532" w:rsidRDefault="0093465A" w:rsidP="0093465A">
            <w:pPr>
              <w:spacing w:before="0" w:after="0"/>
              <w:jc w:val="left"/>
              <w:rPr>
                <w:rFonts w:ascii="Times New Roman" w:eastAsia="Times New Roman" w:hAnsi="Times New Roman" w:cs="Times New Roman"/>
                <w:lang w:val="pt-PT"/>
              </w:rPr>
            </w:pPr>
          </w:p>
        </w:tc>
        <w:tc>
          <w:tcPr>
            <w:tcW w:w="4220" w:type="dxa"/>
            <w:tcBorders>
              <w:top w:val="nil"/>
              <w:left w:val="nil"/>
              <w:bottom w:val="single" w:sz="8" w:space="0" w:color="auto"/>
              <w:right w:val="single" w:sz="8" w:space="0" w:color="auto"/>
            </w:tcBorders>
            <w:vAlign w:val="bottom"/>
          </w:tcPr>
          <w:p w14:paraId="54C9ED1E" w14:textId="77777777" w:rsidR="0093465A" w:rsidRPr="00292532" w:rsidRDefault="0093465A" w:rsidP="0093465A">
            <w:pPr>
              <w:spacing w:before="0" w:after="0"/>
              <w:jc w:val="left"/>
              <w:rPr>
                <w:rFonts w:ascii="Times New Roman" w:eastAsia="Times New Roman" w:hAnsi="Times New Roman" w:cs="Times New Roman"/>
                <w:lang w:val="pt-PT"/>
              </w:rPr>
            </w:pPr>
          </w:p>
        </w:tc>
      </w:tr>
    </w:tbl>
    <w:p w14:paraId="7BA8A13C" w14:textId="77777777" w:rsidR="0093465A" w:rsidRPr="00292532" w:rsidRDefault="0093465A" w:rsidP="0093465A">
      <w:pPr>
        <w:spacing w:before="0" w:after="0" w:line="200" w:lineRule="exact"/>
        <w:jc w:val="left"/>
        <w:rPr>
          <w:rFonts w:ascii="Times New Roman" w:eastAsia="Times New Roman" w:hAnsi="Times New Roman" w:cs="Times New Roman"/>
          <w:lang w:val="pt-PT"/>
        </w:rPr>
      </w:pPr>
    </w:p>
    <w:p w14:paraId="0F3E82B8" w14:textId="77777777" w:rsidR="0093465A" w:rsidRPr="00292532" w:rsidRDefault="0093465A" w:rsidP="0093465A">
      <w:pPr>
        <w:spacing w:before="0" w:after="0" w:line="200" w:lineRule="exact"/>
        <w:jc w:val="left"/>
        <w:rPr>
          <w:rFonts w:ascii="Times New Roman" w:eastAsia="Times New Roman" w:hAnsi="Times New Roman" w:cs="Times New Roman"/>
          <w:lang w:val="pt-PT"/>
        </w:rPr>
      </w:pPr>
    </w:p>
    <w:p w14:paraId="120C7A5B" w14:textId="40C7C26F" w:rsidR="0093465A" w:rsidRPr="00292532" w:rsidRDefault="0093465A" w:rsidP="0093465A">
      <w:pPr>
        <w:spacing w:before="0" w:after="0" w:line="220" w:lineRule="auto"/>
        <w:ind w:left="20" w:right="40"/>
        <w:rPr>
          <w:rFonts w:ascii="Times New Roman" w:eastAsia="Times New Roman" w:hAnsi="Times New Roman" w:cs="Times New Roman"/>
          <w:lang w:val="pt-PT"/>
        </w:rPr>
      </w:pPr>
      <w:r w:rsidRPr="00292532">
        <w:rPr>
          <w:rFonts w:eastAsia="Calibri" w:cs="Times New Roman"/>
          <w:lang w:val="pt-PT"/>
        </w:rPr>
        <w:t xml:space="preserve">Este formulário de triagem ambiental e social, é complementar aos anexos II, III e IV do Decreto 54/2015 de 31 de </w:t>
      </w:r>
      <w:proofErr w:type="gramStart"/>
      <w:r w:rsidRPr="00292532">
        <w:rPr>
          <w:rFonts w:eastAsia="Calibri" w:cs="Times New Roman"/>
          <w:lang w:val="pt-PT"/>
        </w:rPr>
        <w:t>Dezembro</w:t>
      </w:r>
      <w:proofErr w:type="gramEnd"/>
      <w:r w:rsidRPr="00292532">
        <w:rPr>
          <w:rFonts w:eastAsia="Calibri" w:cs="Times New Roman"/>
          <w:lang w:val="pt-PT"/>
        </w:rPr>
        <w:t xml:space="preserve">. E é concebido para ajudar na avaliação ambiental e social preliminar do </w:t>
      </w:r>
      <w:proofErr w:type="spellStart"/>
      <w:r w:rsidR="008C3A00" w:rsidRPr="00292532">
        <w:rPr>
          <w:rFonts w:eastAsia="Calibri" w:cs="Times New Roman"/>
          <w:lang w:val="pt-PT"/>
        </w:rPr>
        <w:t>projecto</w:t>
      </w:r>
      <w:proofErr w:type="spellEnd"/>
      <w:r w:rsidRPr="00292532">
        <w:rPr>
          <w:rFonts w:eastAsia="Calibri" w:cs="Times New Roman"/>
          <w:lang w:val="pt-PT"/>
        </w:rPr>
        <w:t xml:space="preserve"> a serem executados no campo nos locais de incidência do </w:t>
      </w:r>
      <w:proofErr w:type="spellStart"/>
      <w:r w:rsidR="008C3A00" w:rsidRPr="00292532">
        <w:rPr>
          <w:rFonts w:eastAsia="Calibri" w:cs="Times New Roman"/>
          <w:lang w:val="pt-PT"/>
        </w:rPr>
        <w:t>projecto</w:t>
      </w:r>
      <w:proofErr w:type="spellEnd"/>
      <w:r w:rsidRPr="00292532">
        <w:rPr>
          <w:rFonts w:eastAsia="Calibri" w:cs="Times New Roman"/>
          <w:lang w:val="pt-PT"/>
        </w:rPr>
        <w:t>.</w:t>
      </w:r>
    </w:p>
    <w:p w14:paraId="03BEBB6C" w14:textId="77777777" w:rsidR="0093465A" w:rsidRPr="00292532" w:rsidRDefault="0093465A" w:rsidP="0093465A">
      <w:pPr>
        <w:spacing w:before="0" w:after="0" w:line="245" w:lineRule="exact"/>
        <w:jc w:val="left"/>
        <w:rPr>
          <w:rFonts w:ascii="Times New Roman" w:eastAsia="Times New Roman" w:hAnsi="Times New Roman" w:cs="Times New Roman"/>
          <w:lang w:val="pt-PT"/>
        </w:rPr>
      </w:pPr>
    </w:p>
    <w:p w14:paraId="4728C0DA" w14:textId="4A7B0646" w:rsidR="0093465A" w:rsidRPr="00292532" w:rsidRDefault="0093465A" w:rsidP="0093465A">
      <w:pPr>
        <w:spacing w:before="0" w:after="0"/>
        <w:ind w:left="20"/>
        <w:jc w:val="left"/>
        <w:rPr>
          <w:rFonts w:eastAsia="Calibri" w:cs="Times New Roman"/>
          <w:lang w:val="pt-PT"/>
        </w:rPr>
      </w:pPr>
      <w:r w:rsidRPr="00292532">
        <w:rPr>
          <w:rFonts w:eastAsia="Calibri" w:cs="Times New Roman"/>
          <w:lang w:val="pt-PT"/>
        </w:rPr>
        <w:t xml:space="preserve">Localização do </w:t>
      </w:r>
      <w:proofErr w:type="spellStart"/>
      <w:r w:rsidR="008C3A00" w:rsidRPr="00292532">
        <w:rPr>
          <w:rFonts w:eastAsia="Calibri" w:cs="Times New Roman"/>
          <w:lang w:val="pt-PT"/>
        </w:rPr>
        <w:t>projecto</w:t>
      </w:r>
      <w:proofErr w:type="spellEnd"/>
      <w:r w:rsidRPr="00292532">
        <w:rPr>
          <w:rFonts w:eastAsia="Calibri" w:cs="Times New Roman"/>
          <w:lang w:val="pt-PT"/>
        </w:rPr>
        <w:t>: ........................................................................................................................................................</w:t>
      </w:r>
    </w:p>
    <w:p w14:paraId="445F2AD8" w14:textId="11FB85DA" w:rsidR="0093465A" w:rsidRPr="00292532" w:rsidRDefault="0093465A" w:rsidP="0093465A">
      <w:pPr>
        <w:spacing w:before="0" w:after="0"/>
        <w:ind w:left="20"/>
        <w:jc w:val="left"/>
        <w:rPr>
          <w:rFonts w:eastAsia="Calibri" w:cs="Times New Roman"/>
          <w:lang w:val="pt-PT"/>
        </w:rPr>
      </w:pPr>
    </w:p>
    <w:p w14:paraId="794AA674" w14:textId="7603985A" w:rsidR="0093465A" w:rsidRPr="00292532" w:rsidRDefault="0093465A" w:rsidP="0093465A">
      <w:pPr>
        <w:spacing w:before="0" w:after="0"/>
        <w:ind w:left="20"/>
        <w:jc w:val="left"/>
        <w:rPr>
          <w:rFonts w:ascii="Times New Roman" w:eastAsia="Times New Roman" w:hAnsi="Times New Roman" w:cs="Times New Roman"/>
          <w:lang w:val="pt-PT"/>
        </w:rPr>
      </w:pPr>
      <w:r w:rsidRPr="00292532">
        <w:rPr>
          <w:rFonts w:eastAsia="Calibri" w:cs="Times New Roman"/>
          <w:lang w:val="pt-PT"/>
        </w:rPr>
        <w:t>…………………………………………………………………………………………………………………………………………………</w:t>
      </w:r>
    </w:p>
    <w:p w14:paraId="017B41E4" w14:textId="77777777" w:rsidR="0093465A" w:rsidRPr="00292532" w:rsidRDefault="0093465A" w:rsidP="0093465A">
      <w:pPr>
        <w:spacing w:before="0" w:after="0" w:line="238" w:lineRule="exact"/>
        <w:jc w:val="left"/>
        <w:rPr>
          <w:rFonts w:ascii="Times New Roman" w:eastAsia="Times New Roman" w:hAnsi="Times New Roman" w:cs="Times New Roman"/>
          <w:lang w:val="pt-PT"/>
        </w:rPr>
      </w:pPr>
    </w:p>
    <w:p w14:paraId="7EE81B83" w14:textId="6CAC7F1F" w:rsidR="00031219" w:rsidRPr="00292532" w:rsidRDefault="0093465A" w:rsidP="0093465A">
      <w:pPr>
        <w:spacing w:before="0" w:after="0"/>
        <w:ind w:left="20"/>
        <w:jc w:val="left"/>
        <w:rPr>
          <w:rFonts w:eastAsia="Calibri" w:cs="Times New Roman"/>
          <w:lang w:val="pt-PT"/>
        </w:rPr>
      </w:pPr>
      <w:r w:rsidRPr="00292532">
        <w:rPr>
          <w:rFonts w:eastAsia="Calibri" w:cs="Times New Roman"/>
          <w:lang w:val="pt-PT"/>
        </w:rPr>
        <w:t xml:space="preserve">Líderes de </w:t>
      </w:r>
      <w:proofErr w:type="spellStart"/>
      <w:r w:rsidR="008C3A00" w:rsidRPr="00292532">
        <w:rPr>
          <w:rFonts w:eastAsia="Calibri" w:cs="Times New Roman"/>
          <w:lang w:val="pt-PT"/>
        </w:rPr>
        <w:t>projecto</w:t>
      </w:r>
      <w:proofErr w:type="spellEnd"/>
      <w:r w:rsidRPr="00292532">
        <w:rPr>
          <w:rFonts w:eastAsia="Calibri" w:cs="Times New Roman"/>
          <w:lang w:val="pt-PT"/>
        </w:rPr>
        <w:t>:</w:t>
      </w:r>
    </w:p>
    <w:p w14:paraId="7123C3FE" w14:textId="77777777" w:rsidR="00031219" w:rsidRPr="00292532" w:rsidRDefault="00031219" w:rsidP="0093465A">
      <w:pPr>
        <w:spacing w:before="0" w:after="0"/>
        <w:ind w:left="20"/>
        <w:jc w:val="left"/>
        <w:rPr>
          <w:rFonts w:eastAsia="Calibri" w:cs="Times New Roman"/>
          <w:lang w:val="pt-PT"/>
        </w:rPr>
      </w:pPr>
    </w:p>
    <w:p w14:paraId="709B815F" w14:textId="297463C2" w:rsidR="0093465A" w:rsidRPr="00292532" w:rsidRDefault="0093465A" w:rsidP="0093465A">
      <w:pPr>
        <w:spacing w:before="0" w:after="0"/>
        <w:ind w:left="20"/>
        <w:jc w:val="left"/>
        <w:rPr>
          <w:rFonts w:eastAsia="Calibri" w:cs="Times New Roman"/>
          <w:lang w:val="pt-PT"/>
        </w:rPr>
      </w:pPr>
      <w:r w:rsidRPr="00292532">
        <w:rPr>
          <w:rFonts w:eastAsia="Calibri" w:cs="Times New Roman"/>
          <w:lang w:val="pt-PT"/>
        </w:rPr>
        <w:t>………………………………………………………………………………………………………………………………………………</w:t>
      </w:r>
    </w:p>
    <w:p w14:paraId="3297AFFC" w14:textId="77777777" w:rsidR="0093465A" w:rsidRPr="00292532" w:rsidRDefault="0093465A" w:rsidP="0093465A">
      <w:pPr>
        <w:spacing w:before="0" w:after="0"/>
        <w:ind w:left="20"/>
        <w:jc w:val="left"/>
        <w:rPr>
          <w:rFonts w:eastAsia="Calibri" w:cs="Times New Roman"/>
          <w:lang w:val="pt-PT"/>
        </w:rPr>
      </w:pPr>
    </w:p>
    <w:p w14:paraId="178DBDF8" w14:textId="0422E229" w:rsidR="0093465A" w:rsidRPr="00292532" w:rsidRDefault="0093465A" w:rsidP="0093465A">
      <w:pPr>
        <w:spacing w:before="0" w:after="0"/>
        <w:ind w:left="20"/>
        <w:jc w:val="left"/>
        <w:rPr>
          <w:rFonts w:eastAsia="Calibri" w:cs="Times New Roman"/>
          <w:lang w:val="pt-PT"/>
        </w:rPr>
      </w:pPr>
      <w:r w:rsidRPr="00292532">
        <w:rPr>
          <w:rFonts w:eastAsia="Calibri" w:cs="Times New Roman"/>
          <w:lang w:val="pt-PT"/>
        </w:rPr>
        <w:t>…………………………………………………………………………………………………………………………………………………</w:t>
      </w:r>
    </w:p>
    <w:p w14:paraId="465D1488" w14:textId="7BE98EFA" w:rsidR="0093465A" w:rsidRPr="00292532" w:rsidRDefault="0093465A" w:rsidP="0093465A">
      <w:pPr>
        <w:spacing w:before="0" w:after="0"/>
        <w:ind w:left="20"/>
        <w:jc w:val="left"/>
        <w:rPr>
          <w:rFonts w:eastAsia="Calibri" w:cs="Times New Roman"/>
          <w:lang w:val="pt-PT"/>
        </w:rPr>
      </w:pPr>
    </w:p>
    <w:p w14:paraId="18BF0689" w14:textId="46EF7831" w:rsidR="0093465A" w:rsidRPr="00292532" w:rsidRDefault="0093465A" w:rsidP="00031219">
      <w:pPr>
        <w:spacing w:before="0" w:after="0"/>
        <w:ind w:left="20"/>
        <w:jc w:val="left"/>
        <w:rPr>
          <w:rFonts w:eastAsia="Calibri" w:cs="Times New Roman"/>
          <w:lang w:val="pt-PT"/>
        </w:rPr>
      </w:pPr>
      <w:r w:rsidRPr="00292532">
        <w:rPr>
          <w:rFonts w:eastAsia="Calibri" w:cs="Times New Roman"/>
          <w:lang w:val="pt-PT"/>
        </w:rPr>
        <w:t>…………………………………………………………………………………………………………………………………………………</w:t>
      </w:r>
    </w:p>
    <w:p w14:paraId="6BE2DADF" w14:textId="77777777" w:rsidR="00031219" w:rsidRPr="00292532" w:rsidRDefault="00031219" w:rsidP="00031219">
      <w:pPr>
        <w:spacing w:before="0" w:after="0"/>
        <w:ind w:left="20"/>
        <w:jc w:val="left"/>
        <w:rPr>
          <w:rFonts w:ascii="Times New Roman" w:eastAsia="Times New Roman" w:hAnsi="Times New Roman" w:cs="Times New Roman"/>
          <w:lang w:val="pt-PT"/>
        </w:rPr>
      </w:pPr>
    </w:p>
    <w:p w14:paraId="0C0CE8DD" w14:textId="7255F9FC" w:rsidR="0093465A" w:rsidRPr="00292532" w:rsidRDefault="0093465A" w:rsidP="0093465A">
      <w:pPr>
        <w:spacing w:before="0" w:after="0"/>
        <w:ind w:left="20"/>
        <w:jc w:val="left"/>
        <w:rPr>
          <w:rFonts w:eastAsia="Calibri" w:cs="Times New Roman"/>
          <w:b/>
          <w:bCs/>
          <w:lang w:val="pt-PT"/>
        </w:rPr>
      </w:pPr>
      <w:r w:rsidRPr="00292532">
        <w:rPr>
          <w:rFonts w:eastAsia="Calibri" w:cs="Times New Roman"/>
          <w:b/>
          <w:bCs/>
          <w:lang w:val="pt-PT"/>
        </w:rPr>
        <w:t xml:space="preserve">Parte A: Breve descrição do </w:t>
      </w:r>
      <w:proofErr w:type="spellStart"/>
      <w:r w:rsidR="008C3A00" w:rsidRPr="00292532">
        <w:rPr>
          <w:rFonts w:eastAsia="Calibri" w:cs="Times New Roman"/>
          <w:b/>
          <w:bCs/>
          <w:lang w:val="pt-PT"/>
        </w:rPr>
        <w:t>projecto</w:t>
      </w:r>
      <w:proofErr w:type="spellEnd"/>
      <w:r w:rsidRPr="00292532">
        <w:rPr>
          <w:rFonts w:eastAsia="Calibri" w:cs="Times New Roman"/>
          <w:b/>
          <w:bCs/>
          <w:lang w:val="pt-PT"/>
        </w:rPr>
        <w:t xml:space="preserve"> </w:t>
      </w:r>
      <w:r w:rsidR="00D43610" w:rsidRPr="00941934">
        <w:rPr>
          <w:rFonts w:eastAsia="Calibri" w:cs="Times New Roman"/>
          <w:lang w:val="pt-PT"/>
        </w:rPr>
        <w:t xml:space="preserve">(incluindo </w:t>
      </w:r>
      <w:proofErr w:type="spellStart"/>
      <w:r w:rsidR="00D43610" w:rsidRPr="00941934">
        <w:rPr>
          <w:rFonts w:eastAsia="Calibri" w:cs="Times New Roman"/>
          <w:lang w:val="pt-PT"/>
        </w:rPr>
        <w:t>inter</w:t>
      </w:r>
      <w:proofErr w:type="spellEnd"/>
      <w:r w:rsidR="00D43610" w:rsidRPr="00941934">
        <w:rPr>
          <w:rFonts w:eastAsia="Calibri" w:cs="Times New Roman"/>
          <w:lang w:val="pt-PT"/>
        </w:rPr>
        <w:t xml:space="preserve"> alia, fontes de água, qualidade de água nas fontes de água, layout dos sistemas de abastecimento de água e de saneamento propostas, beneficiários, calendário de implementação do </w:t>
      </w:r>
      <w:proofErr w:type="spellStart"/>
      <w:r w:rsidR="00D43610" w:rsidRPr="00941934">
        <w:rPr>
          <w:rFonts w:eastAsia="Calibri" w:cs="Times New Roman"/>
          <w:lang w:val="pt-PT"/>
        </w:rPr>
        <w:t>projecto</w:t>
      </w:r>
      <w:proofErr w:type="spellEnd"/>
      <w:r w:rsidR="00D43610" w:rsidRPr="00941934">
        <w:rPr>
          <w:rFonts w:eastAsia="Calibri" w:cs="Times New Roman"/>
          <w:lang w:val="pt-PT"/>
        </w:rPr>
        <w:t xml:space="preserve">, equipamentos e materiais a serem empregues durante a construção, capacidade dos sistemas a serem instalados, requisitos de mão de obra e origem (nacionais </w:t>
      </w:r>
      <w:proofErr w:type="spellStart"/>
      <w:r w:rsidR="00D43610" w:rsidRPr="00941934">
        <w:rPr>
          <w:rFonts w:eastAsia="Calibri" w:cs="Times New Roman"/>
          <w:lang w:val="pt-PT"/>
        </w:rPr>
        <w:t>vs</w:t>
      </w:r>
      <w:proofErr w:type="spellEnd"/>
      <w:r w:rsidR="00D43610" w:rsidRPr="00941934">
        <w:rPr>
          <w:rFonts w:eastAsia="Calibri" w:cs="Times New Roman"/>
          <w:lang w:val="pt-PT"/>
        </w:rPr>
        <w:t xml:space="preserve"> estrangeiros), </w:t>
      </w:r>
      <w:proofErr w:type="spellStart"/>
      <w:r w:rsidR="00D43610" w:rsidRPr="00941934">
        <w:rPr>
          <w:rFonts w:eastAsia="Calibri" w:cs="Times New Roman"/>
          <w:lang w:val="pt-PT"/>
        </w:rPr>
        <w:t>etc</w:t>
      </w:r>
      <w:proofErr w:type="spellEnd"/>
      <w:r w:rsidR="00D43610" w:rsidRPr="00941934">
        <w:rPr>
          <w:rFonts w:eastAsia="Calibri" w:cs="Times New Roman"/>
          <w:lang w:val="pt-PT"/>
        </w:rPr>
        <w:t>)</w:t>
      </w:r>
      <w:r w:rsidR="00D43610" w:rsidRPr="00D43610">
        <w:rPr>
          <w:rFonts w:eastAsia="Calibri" w:cs="Times New Roman"/>
          <w:b/>
          <w:bCs/>
          <w:lang w:val="pt-PT"/>
        </w:rPr>
        <w:t xml:space="preserve">  </w:t>
      </w:r>
    </w:p>
    <w:p w14:paraId="7B07A8FC" w14:textId="068442C4" w:rsidR="0093465A" w:rsidRPr="00292532" w:rsidRDefault="0093465A" w:rsidP="00031219">
      <w:pPr>
        <w:spacing w:before="0" w:after="0"/>
        <w:ind w:left="20"/>
        <w:jc w:val="left"/>
        <w:rPr>
          <w:rFonts w:eastAsia="Calibri" w:cs="Times New Roman"/>
          <w:lang w:val="pt-PT"/>
        </w:rPr>
      </w:pPr>
      <w:r w:rsidRPr="00292532">
        <w:rPr>
          <w:rFonts w:eastAsia="Calibri" w:cs="Times New Roman"/>
          <w:lang w:val="pt-PT"/>
        </w:rPr>
        <w:t>…………………………………………………………………………………………………………………………………………………</w:t>
      </w:r>
    </w:p>
    <w:p w14:paraId="1B021BBE" w14:textId="77777777" w:rsidR="00031219" w:rsidRPr="00292532" w:rsidRDefault="00031219" w:rsidP="00031219">
      <w:pPr>
        <w:spacing w:before="0" w:after="0"/>
        <w:ind w:left="20"/>
        <w:jc w:val="left"/>
        <w:rPr>
          <w:rFonts w:eastAsia="Calibri" w:cs="Times New Roman"/>
          <w:lang w:val="pt-PT"/>
        </w:rPr>
      </w:pPr>
    </w:p>
    <w:p w14:paraId="19FCA017" w14:textId="19D5A183" w:rsidR="0093465A" w:rsidRPr="00292532" w:rsidRDefault="0093465A" w:rsidP="0093465A">
      <w:pPr>
        <w:spacing w:before="0" w:after="0"/>
        <w:ind w:left="20"/>
        <w:jc w:val="left"/>
        <w:rPr>
          <w:rFonts w:eastAsia="Calibri" w:cs="Times New Roman"/>
          <w:lang w:val="pt-PT"/>
        </w:rPr>
      </w:pPr>
      <w:r w:rsidRPr="00292532">
        <w:rPr>
          <w:rFonts w:eastAsia="Calibri" w:cs="Times New Roman"/>
          <w:lang w:val="pt-PT"/>
        </w:rPr>
        <w:t>…………………………………………………………………………………………………………………………………………………</w:t>
      </w:r>
    </w:p>
    <w:p w14:paraId="00F678A4" w14:textId="0A7ECA74" w:rsidR="0093465A" w:rsidRPr="00292532" w:rsidRDefault="0093465A" w:rsidP="0093465A">
      <w:pPr>
        <w:spacing w:before="0" w:after="0"/>
        <w:ind w:left="20"/>
        <w:jc w:val="left"/>
        <w:rPr>
          <w:rFonts w:eastAsia="Calibri" w:cs="Times New Roman"/>
          <w:lang w:val="pt-PT"/>
        </w:rPr>
      </w:pPr>
    </w:p>
    <w:p w14:paraId="3D297153" w14:textId="31425412" w:rsidR="0093465A" w:rsidRPr="00292532" w:rsidRDefault="0093465A" w:rsidP="0093465A">
      <w:pPr>
        <w:spacing w:before="0" w:after="0"/>
        <w:ind w:left="20"/>
        <w:jc w:val="left"/>
        <w:rPr>
          <w:rFonts w:eastAsia="Calibri" w:cs="Times New Roman"/>
          <w:lang w:val="pt-PT"/>
        </w:rPr>
      </w:pPr>
      <w:r w:rsidRPr="00292532">
        <w:rPr>
          <w:rFonts w:eastAsia="Calibri" w:cs="Times New Roman"/>
          <w:lang w:val="pt-PT"/>
        </w:rPr>
        <w:t>………………………………………………………………………………………………………………………………………………</w:t>
      </w:r>
    </w:p>
    <w:p w14:paraId="708D184D" w14:textId="625CF1FB" w:rsidR="0093465A" w:rsidRPr="00292532" w:rsidRDefault="0093465A" w:rsidP="0093465A">
      <w:pPr>
        <w:spacing w:before="0" w:after="0"/>
        <w:ind w:left="20"/>
        <w:jc w:val="left"/>
        <w:rPr>
          <w:rFonts w:eastAsia="Calibri" w:cs="Times New Roman"/>
          <w:lang w:val="pt-PT"/>
        </w:rPr>
      </w:pPr>
    </w:p>
    <w:p w14:paraId="22BC15A2" w14:textId="30ADE276" w:rsidR="0093465A" w:rsidRPr="00292532" w:rsidRDefault="0093465A" w:rsidP="0093465A">
      <w:pPr>
        <w:spacing w:before="0" w:after="0"/>
        <w:ind w:left="20"/>
        <w:jc w:val="left"/>
        <w:rPr>
          <w:rFonts w:eastAsia="Calibri" w:cs="Times New Roman"/>
          <w:lang w:val="pt-PT"/>
        </w:rPr>
      </w:pPr>
      <w:r w:rsidRPr="00292532">
        <w:rPr>
          <w:rFonts w:eastAsia="Calibri" w:cs="Times New Roman"/>
          <w:lang w:val="pt-PT"/>
        </w:rPr>
        <w:t>…………………………………………………………………………………………………………………………………………………</w:t>
      </w:r>
    </w:p>
    <w:p w14:paraId="56482C1E" w14:textId="29D15287" w:rsidR="0093465A" w:rsidRPr="00292532" w:rsidRDefault="0093465A" w:rsidP="0093465A">
      <w:pPr>
        <w:spacing w:before="0" w:after="0"/>
        <w:ind w:left="20"/>
        <w:jc w:val="left"/>
        <w:rPr>
          <w:rFonts w:eastAsia="Calibri" w:cs="Times New Roman"/>
          <w:lang w:val="pt-PT"/>
        </w:rPr>
      </w:pPr>
    </w:p>
    <w:p w14:paraId="5E57DC1C" w14:textId="76321BC4" w:rsidR="0093465A" w:rsidRPr="00292532" w:rsidRDefault="0093465A" w:rsidP="0093465A">
      <w:pPr>
        <w:spacing w:before="0" w:after="0"/>
        <w:ind w:left="20"/>
        <w:jc w:val="left"/>
        <w:rPr>
          <w:rFonts w:eastAsia="Calibri" w:cs="Times New Roman"/>
          <w:lang w:val="pt-PT"/>
        </w:rPr>
      </w:pPr>
      <w:r w:rsidRPr="00292532">
        <w:rPr>
          <w:rFonts w:eastAsia="Calibri" w:cs="Times New Roman"/>
          <w:lang w:val="pt-PT"/>
        </w:rPr>
        <w:t>…………………………………………………………………………………………………………………………………………………</w:t>
      </w:r>
    </w:p>
    <w:p w14:paraId="0EDAB85B" w14:textId="77DF417D" w:rsidR="0093465A" w:rsidRPr="00292532" w:rsidRDefault="0093465A" w:rsidP="0093465A">
      <w:pPr>
        <w:spacing w:before="0" w:after="0"/>
        <w:ind w:left="20"/>
        <w:jc w:val="left"/>
        <w:rPr>
          <w:rFonts w:eastAsia="Calibri" w:cs="Times New Roman"/>
          <w:lang w:val="pt-PT"/>
        </w:rPr>
      </w:pPr>
    </w:p>
    <w:p w14:paraId="4AE04EB9" w14:textId="53EAEA7A" w:rsidR="0093465A" w:rsidRPr="00292532" w:rsidRDefault="0093465A" w:rsidP="0093465A">
      <w:pPr>
        <w:spacing w:before="0" w:after="0"/>
        <w:ind w:left="20"/>
        <w:jc w:val="left"/>
        <w:rPr>
          <w:rFonts w:eastAsia="Calibri" w:cs="Times New Roman"/>
          <w:lang w:val="pt-PT"/>
        </w:rPr>
      </w:pPr>
      <w:r w:rsidRPr="00292532">
        <w:rPr>
          <w:rFonts w:eastAsia="Calibri" w:cs="Times New Roman"/>
          <w:lang w:val="pt-PT"/>
        </w:rPr>
        <w:t>…………………………………………………………………………………………………………………………………………………</w:t>
      </w:r>
    </w:p>
    <w:p w14:paraId="3DE936A0" w14:textId="36E17F74" w:rsidR="0093465A" w:rsidRPr="00292532" w:rsidRDefault="0093465A" w:rsidP="0093465A">
      <w:pPr>
        <w:spacing w:before="0" w:after="0"/>
        <w:ind w:left="20"/>
        <w:jc w:val="left"/>
        <w:rPr>
          <w:rFonts w:eastAsia="Calibri" w:cs="Times New Roman"/>
          <w:lang w:val="pt-PT"/>
        </w:rPr>
      </w:pPr>
    </w:p>
    <w:p w14:paraId="03E36221" w14:textId="2FA7D032" w:rsidR="0093465A" w:rsidRPr="00292532" w:rsidRDefault="0093465A" w:rsidP="0093465A">
      <w:pPr>
        <w:spacing w:before="0" w:after="0"/>
        <w:ind w:left="20"/>
        <w:jc w:val="left"/>
        <w:rPr>
          <w:rFonts w:eastAsia="Calibri" w:cs="Times New Roman"/>
          <w:lang w:val="pt-PT"/>
        </w:rPr>
      </w:pPr>
      <w:r w:rsidRPr="00292532">
        <w:rPr>
          <w:rFonts w:eastAsia="Calibri" w:cs="Times New Roman"/>
          <w:lang w:val="pt-PT"/>
        </w:rPr>
        <w:t>…………………………………………………………………………………………………………………………………………………</w:t>
      </w:r>
    </w:p>
    <w:p w14:paraId="6D64A1F4" w14:textId="65D00ADD" w:rsidR="0093465A" w:rsidRPr="00292532" w:rsidRDefault="0093465A" w:rsidP="0093465A">
      <w:pPr>
        <w:spacing w:before="0" w:after="0"/>
        <w:ind w:left="20"/>
        <w:jc w:val="left"/>
        <w:rPr>
          <w:rFonts w:eastAsia="Calibri" w:cs="Times New Roman"/>
          <w:lang w:val="pt-PT"/>
        </w:rPr>
      </w:pPr>
    </w:p>
    <w:p w14:paraId="793DB758" w14:textId="7B60190C" w:rsidR="0093465A" w:rsidRPr="00292532" w:rsidRDefault="0093465A" w:rsidP="0093465A">
      <w:pPr>
        <w:spacing w:before="0" w:after="0"/>
        <w:ind w:left="20"/>
        <w:jc w:val="left"/>
        <w:rPr>
          <w:rFonts w:eastAsia="Calibri" w:cs="Times New Roman"/>
          <w:lang w:val="pt-PT"/>
        </w:rPr>
      </w:pPr>
      <w:r w:rsidRPr="00292532">
        <w:rPr>
          <w:rFonts w:eastAsia="Calibri" w:cs="Times New Roman"/>
          <w:lang w:val="pt-PT"/>
        </w:rPr>
        <w:t>…………………………………………………………………………………………………………………………………………………</w:t>
      </w:r>
    </w:p>
    <w:p w14:paraId="37CCC62A" w14:textId="516E0FB5" w:rsidR="0093465A" w:rsidRPr="00292532" w:rsidRDefault="0093465A" w:rsidP="0093465A">
      <w:pPr>
        <w:spacing w:before="0" w:after="0"/>
        <w:ind w:left="20"/>
        <w:jc w:val="left"/>
        <w:rPr>
          <w:rFonts w:ascii="Times New Roman" w:eastAsia="Times New Roman" w:hAnsi="Times New Roman" w:cs="Times New Roman"/>
          <w:lang w:val="pt-PT"/>
        </w:rPr>
      </w:pPr>
    </w:p>
    <w:p w14:paraId="57B88080" w14:textId="77777777" w:rsidR="0093465A" w:rsidRPr="00292532" w:rsidRDefault="0093465A" w:rsidP="0093465A">
      <w:pPr>
        <w:spacing w:before="0" w:after="0" w:line="241" w:lineRule="exact"/>
        <w:jc w:val="left"/>
        <w:rPr>
          <w:rFonts w:ascii="Times New Roman" w:eastAsia="Times New Roman" w:hAnsi="Times New Roman" w:cs="Times New Roman"/>
          <w:lang w:val="pt-PT"/>
        </w:rPr>
      </w:pPr>
    </w:p>
    <w:p w14:paraId="5C269D51" w14:textId="77777777" w:rsidR="0093465A" w:rsidRPr="00292532" w:rsidRDefault="0093465A" w:rsidP="0093465A">
      <w:pPr>
        <w:spacing w:before="0" w:after="0"/>
        <w:ind w:left="20"/>
        <w:jc w:val="left"/>
        <w:rPr>
          <w:rFonts w:ascii="Times New Roman" w:eastAsia="Times New Roman" w:hAnsi="Times New Roman" w:cs="Times New Roman"/>
          <w:lang w:val="pt-PT"/>
        </w:rPr>
      </w:pPr>
      <w:r w:rsidRPr="00292532">
        <w:rPr>
          <w:rFonts w:eastAsia="Calibri" w:cs="Times New Roman"/>
          <w:b/>
          <w:bCs/>
          <w:lang w:val="pt-PT"/>
        </w:rPr>
        <w:t>Parte B: Identificação dos impactos ambientais e sociais</w:t>
      </w:r>
    </w:p>
    <w:p w14:paraId="506E1F11" w14:textId="77777777" w:rsidR="0093465A" w:rsidRPr="00292532" w:rsidRDefault="0093465A" w:rsidP="0093465A">
      <w:pPr>
        <w:spacing w:before="0" w:after="0" w:line="146" w:lineRule="exact"/>
        <w:jc w:val="left"/>
        <w:rPr>
          <w:rFonts w:ascii="Times New Roman" w:eastAsia="Times New Roman" w:hAnsi="Times New Roman" w:cs="Times New Roman"/>
          <w:lang w:val="pt-PT"/>
        </w:rPr>
      </w:pPr>
    </w:p>
    <w:p w14:paraId="3C3227B1" w14:textId="676A4DA3" w:rsidR="0093465A" w:rsidRPr="00292532" w:rsidRDefault="0093465A" w:rsidP="0093465A">
      <w:pPr>
        <w:spacing w:before="0" w:after="0"/>
        <w:jc w:val="left"/>
        <w:rPr>
          <w:rFonts w:ascii="Times New Roman" w:eastAsia="Times New Roman" w:hAnsi="Times New Roman" w:cs="Times New Roman"/>
          <w:lang w:val="pt-PT"/>
        </w:rPr>
      </w:pPr>
    </w:p>
    <w:p w14:paraId="2F3CAA45" w14:textId="455CD515" w:rsidR="0093465A" w:rsidRPr="00292532" w:rsidRDefault="0093465A" w:rsidP="0093465A">
      <w:pPr>
        <w:spacing w:before="0" w:after="0"/>
        <w:jc w:val="left"/>
        <w:rPr>
          <w:rFonts w:ascii="Times New Roman" w:eastAsia="Times New Roman" w:hAnsi="Times New Roman" w:cs="Times New Roman"/>
          <w:lang w:val="pt-PT"/>
        </w:rPr>
      </w:pPr>
    </w:p>
    <w:tbl>
      <w:tblPr>
        <w:tblW w:w="9075" w:type="dxa"/>
        <w:tblLook w:val="04A0" w:firstRow="1" w:lastRow="0" w:firstColumn="1" w:lastColumn="0" w:noHBand="0" w:noVBand="1"/>
      </w:tblPr>
      <w:tblGrid>
        <w:gridCol w:w="4225"/>
        <w:gridCol w:w="630"/>
        <w:gridCol w:w="630"/>
        <w:gridCol w:w="3590"/>
      </w:tblGrid>
      <w:tr w:rsidR="00B94A74" w:rsidRPr="00292532" w14:paraId="297BDA79" w14:textId="77777777" w:rsidTr="00B94A74">
        <w:trPr>
          <w:trHeight w:val="555"/>
          <w:tblHeader/>
        </w:trPr>
        <w:tc>
          <w:tcPr>
            <w:tcW w:w="4225"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31412521" w14:textId="77777777" w:rsidR="00B94A74" w:rsidRPr="00292532" w:rsidRDefault="00B94A74" w:rsidP="00B94A74">
            <w:pPr>
              <w:spacing w:before="0" w:after="0"/>
              <w:jc w:val="center"/>
              <w:rPr>
                <w:rFonts w:eastAsia="Times New Roman" w:cs="Calibri"/>
                <w:b/>
                <w:bCs/>
                <w:color w:val="000000"/>
                <w:lang w:val="pt-PT"/>
              </w:rPr>
            </w:pPr>
            <w:r w:rsidRPr="00292532">
              <w:rPr>
                <w:rFonts w:eastAsia="Times New Roman" w:cs="Calibri"/>
                <w:b/>
                <w:bCs/>
                <w:color w:val="000000"/>
                <w:lang w:val="pt-PT"/>
              </w:rPr>
              <w:t>Preocupações ambientais e sociais</w:t>
            </w:r>
          </w:p>
        </w:tc>
        <w:tc>
          <w:tcPr>
            <w:tcW w:w="630" w:type="dxa"/>
            <w:tcBorders>
              <w:top w:val="single" w:sz="4" w:space="0" w:color="auto"/>
              <w:left w:val="nil"/>
              <w:bottom w:val="single" w:sz="4" w:space="0" w:color="auto"/>
              <w:right w:val="single" w:sz="4" w:space="0" w:color="auto"/>
            </w:tcBorders>
            <w:shd w:val="clear" w:color="000000" w:fill="D9E2F3"/>
            <w:vAlign w:val="center"/>
            <w:hideMark/>
          </w:tcPr>
          <w:p w14:paraId="2B3A3C4E" w14:textId="77777777" w:rsidR="00B94A74" w:rsidRPr="00292532" w:rsidRDefault="00B94A74" w:rsidP="00B94A74">
            <w:pPr>
              <w:spacing w:before="0" w:after="0"/>
              <w:jc w:val="center"/>
              <w:rPr>
                <w:rFonts w:eastAsia="Times New Roman" w:cs="Calibri"/>
                <w:b/>
                <w:bCs/>
                <w:color w:val="000000"/>
                <w:lang w:val="pt-PT"/>
              </w:rPr>
            </w:pPr>
            <w:r w:rsidRPr="00292532">
              <w:rPr>
                <w:rFonts w:eastAsia="Times New Roman" w:cs="Calibri"/>
                <w:b/>
                <w:bCs/>
                <w:color w:val="000000"/>
                <w:lang w:val="pt-PT"/>
              </w:rPr>
              <w:t>Sim</w:t>
            </w:r>
          </w:p>
        </w:tc>
        <w:tc>
          <w:tcPr>
            <w:tcW w:w="630" w:type="dxa"/>
            <w:tcBorders>
              <w:top w:val="single" w:sz="4" w:space="0" w:color="auto"/>
              <w:left w:val="nil"/>
              <w:bottom w:val="single" w:sz="4" w:space="0" w:color="auto"/>
              <w:right w:val="single" w:sz="4" w:space="0" w:color="auto"/>
            </w:tcBorders>
            <w:shd w:val="clear" w:color="000000" w:fill="D9E2F3"/>
            <w:vAlign w:val="center"/>
            <w:hideMark/>
          </w:tcPr>
          <w:p w14:paraId="74284397" w14:textId="77777777" w:rsidR="00B94A74" w:rsidRPr="00292532" w:rsidRDefault="00B94A74" w:rsidP="00B94A74">
            <w:pPr>
              <w:spacing w:before="0" w:after="0"/>
              <w:jc w:val="center"/>
              <w:rPr>
                <w:rFonts w:eastAsia="Times New Roman" w:cs="Calibri"/>
                <w:b/>
                <w:bCs/>
                <w:color w:val="000000"/>
                <w:lang w:val="pt-PT"/>
              </w:rPr>
            </w:pPr>
            <w:r w:rsidRPr="00292532">
              <w:rPr>
                <w:rFonts w:eastAsia="Times New Roman" w:cs="Calibri"/>
                <w:b/>
                <w:bCs/>
                <w:color w:val="000000"/>
                <w:lang w:val="pt-PT"/>
              </w:rPr>
              <w:t>Não</w:t>
            </w:r>
          </w:p>
        </w:tc>
        <w:tc>
          <w:tcPr>
            <w:tcW w:w="3587" w:type="dxa"/>
            <w:tcBorders>
              <w:top w:val="single" w:sz="4" w:space="0" w:color="auto"/>
              <w:left w:val="nil"/>
              <w:bottom w:val="single" w:sz="4" w:space="0" w:color="auto"/>
              <w:right w:val="single" w:sz="4" w:space="0" w:color="auto"/>
            </w:tcBorders>
            <w:shd w:val="clear" w:color="000000" w:fill="D9E2F3"/>
            <w:vAlign w:val="center"/>
            <w:hideMark/>
          </w:tcPr>
          <w:p w14:paraId="47B5EE18" w14:textId="77777777" w:rsidR="00B94A74" w:rsidRPr="00292532" w:rsidRDefault="00B94A74" w:rsidP="00B94A74">
            <w:pPr>
              <w:spacing w:before="0" w:after="0"/>
              <w:jc w:val="center"/>
              <w:rPr>
                <w:rFonts w:eastAsia="Times New Roman" w:cs="Calibri"/>
                <w:b/>
                <w:bCs/>
                <w:color w:val="000000"/>
                <w:lang w:val="pt-PT"/>
              </w:rPr>
            </w:pPr>
            <w:r w:rsidRPr="00292532">
              <w:rPr>
                <w:rFonts w:eastAsia="Times New Roman" w:cs="Calibri"/>
                <w:b/>
                <w:bCs/>
                <w:color w:val="000000"/>
                <w:lang w:val="pt-PT"/>
              </w:rPr>
              <w:t>Observações</w:t>
            </w:r>
          </w:p>
        </w:tc>
      </w:tr>
      <w:tr w:rsidR="00B94A74" w:rsidRPr="00292532" w14:paraId="34CAF4B5" w14:textId="77777777" w:rsidTr="00B94A74">
        <w:trPr>
          <w:trHeight w:val="555"/>
        </w:trPr>
        <w:tc>
          <w:tcPr>
            <w:tcW w:w="9075"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F791FF0" w14:textId="77777777" w:rsidR="00B94A74" w:rsidRPr="00292532" w:rsidRDefault="00B94A74" w:rsidP="00B94A74">
            <w:pPr>
              <w:spacing w:before="0" w:after="0"/>
              <w:rPr>
                <w:rFonts w:eastAsia="Times New Roman" w:cs="Calibri"/>
                <w:b/>
                <w:bCs/>
                <w:color w:val="000000"/>
                <w:lang w:val="pt-PT"/>
              </w:rPr>
            </w:pPr>
            <w:r w:rsidRPr="00292532">
              <w:rPr>
                <w:rFonts w:eastAsia="Times New Roman" w:cs="Calibri"/>
                <w:b/>
                <w:bCs/>
                <w:color w:val="000000"/>
                <w:lang w:val="pt-PT"/>
              </w:rPr>
              <w:t>Recursos do sector</w:t>
            </w:r>
          </w:p>
        </w:tc>
      </w:tr>
      <w:tr w:rsidR="00B94A74" w:rsidRPr="008D18CF" w14:paraId="0CDB64AC" w14:textId="77777777" w:rsidTr="00B94A74">
        <w:trPr>
          <w:trHeight w:val="1890"/>
        </w:trPr>
        <w:tc>
          <w:tcPr>
            <w:tcW w:w="4225" w:type="dxa"/>
            <w:tcBorders>
              <w:top w:val="nil"/>
              <w:left w:val="single" w:sz="4" w:space="0" w:color="auto"/>
              <w:bottom w:val="single" w:sz="4" w:space="0" w:color="auto"/>
              <w:right w:val="single" w:sz="4" w:space="0" w:color="auto"/>
            </w:tcBorders>
            <w:shd w:val="clear" w:color="auto" w:fill="auto"/>
            <w:vAlign w:val="center"/>
            <w:hideMark/>
          </w:tcPr>
          <w:p w14:paraId="691A9845" w14:textId="7C9A3603"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Será que o </w:t>
            </w:r>
            <w:proofErr w:type="spellStart"/>
            <w:r w:rsidR="008C3A00" w:rsidRPr="00292532">
              <w:rPr>
                <w:rFonts w:eastAsia="Times New Roman" w:cs="Calibri"/>
                <w:color w:val="000000"/>
                <w:lang w:val="pt-PT"/>
              </w:rPr>
              <w:t>Projecto</w:t>
            </w:r>
            <w:proofErr w:type="spellEnd"/>
            <w:r w:rsidRPr="00292532">
              <w:rPr>
                <w:rFonts w:eastAsia="Times New Roman" w:cs="Calibri"/>
                <w:color w:val="000000"/>
                <w:lang w:val="pt-PT"/>
              </w:rPr>
              <w:t xml:space="preserve"> requer grandes volumes de materiais de construção a partir dos recursos naturais locais (areia, pedra, água, madeira, etc.)?</w:t>
            </w:r>
            <w:r w:rsidRPr="00292532">
              <w:rPr>
                <w:rFonts w:eastAsia="Times New Roman" w:cs="Calibri"/>
                <w:color w:val="000000"/>
                <w:lang w:val="pt-PT"/>
              </w:rPr>
              <w:br/>
              <w:t>Se sim, qual a sua proveniência?</w:t>
            </w:r>
            <w:r w:rsidRPr="00292532">
              <w:rPr>
                <w:rFonts w:eastAsia="Times New Roman" w:cs="Calibri"/>
                <w:color w:val="000000"/>
                <w:lang w:val="pt-PT"/>
              </w:rPr>
              <w:br/>
              <w:t xml:space="preserve">Compra de um agente económico autorizado ou Licenciamento específico do </w:t>
            </w:r>
            <w:proofErr w:type="spellStart"/>
            <w:r w:rsidRPr="00292532">
              <w:rPr>
                <w:rFonts w:eastAsia="Times New Roman" w:cs="Calibri"/>
                <w:color w:val="000000"/>
                <w:lang w:val="pt-PT"/>
              </w:rPr>
              <w:t>Projecto</w:t>
            </w:r>
            <w:proofErr w:type="spellEnd"/>
            <w:r w:rsidRPr="00292532">
              <w:rPr>
                <w:rFonts w:eastAsia="Times New Roman" w:cs="Calibri"/>
                <w:color w:val="000000"/>
                <w:lang w:val="pt-PT"/>
              </w:rPr>
              <w:t>?</w:t>
            </w:r>
          </w:p>
        </w:tc>
        <w:tc>
          <w:tcPr>
            <w:tcW w:w="630" w:type="dxa"/>
            <w:tcBorders>
              <w:top w:val="nil"/>
              <w:left w:val="nil"/>
              <w:bottom w:val="single" w:sz="4" w:space="0" w:color="auto"/>
              <w:right w:val="single" w:sz="4" w:space="0" w:color="auto"/>
            </w:tcBorders>
            <w:shd w:val="clear" w:color="auto" w:fill="auto"/>
            <w:vAlign w:val="center"/>
            <w:hideMark/>
          </w:tcPr>
          <w:p w14:paraId="3C508B13"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vAlign w:val="center"/>
            <w:hideMark/>
          </w:tcPr>
          <w:p w14:paraId="78F422FA"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vAlign w:val="center"/>
            <w:hideMark/>
          </w:tcPr>
          <w:p w14:paraId="48EED12C"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73A8150B" w14:textId="77777777" w:rsidTr="00B94A74">
        <w:trPr>
          <w:trHeight w:val="555"/>
        </w:trPr>
        <w:tc>
          <w:tcPr>
            <w:tcW w:w="4225" w:type="dxa"/>
            <w:tcBorders>
              <w:top w:val="nil"/>
              <w:left w:val="single" w:sz="4" w:space="0" w:color="auto"/>
              <w:bottom w:val="single" w:sz="4" w:space="0" w:color="auto"/>
              <w:right w:val="single" w:sz="4" w:space="0" w:color="auto"/>
            </w:tcBorders>
            <w:shd w:val="clear" w:color="auto" w:fill="auto"/>
            <w:vAlign w:val="center"/>
            <w:hideMark/>
          </w:tcPr>
          <w:p w14:paraId="57B1CC3C"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Requer grande limpeza ou expropriação de áreas de terras?</w:t>
            </w:r>
          </w:p>
        </w:tc>
        <w:tc>
          <w:tcPr>
            <w:tcW w:w="630" w:type="dxa"/>
            <w:tcBorders>
              <w:top w:val="nil"/>
              <w:left w:val="nil"/>
              <w:bottom w:val="single" w:sz="4" w:space="0" w:color="auto"/>
              <w:right w:val="single" w:sz="4" w:space="0" w:color="auto"/>
            </w:tcBorders>
            <w:shd w:val="clear" w:color="auto" w:fill="auto"/>
            <w:vAlign w:val="center"/>
            <w:hideMark/>
          </w:tcPr>
          <w:p w14:paraId="5AF50B03"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vAlign w:val="center"/>
            <w:hideMark/>
          </w:tcPr>
          <w:p w14:paraId="05B45D8A"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vAlign w:val="center"/>
            <w:hideMark/>
          </w:tcPr>
          <w:p w14:paraId="73753CBD"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292532" w14:paraId="2D78C1CB" w14:textId="77777777" w:rsidTr="00B94A74">
        <w:trPr>
          <w:trHeight w:val="555"/>
        </w:trPr>
        <w:tc>
          <w:tcPr>
            <w:tcW w:w="9075"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23C46E7" w14:textId="77777777" w:rsidR="00B94A74" w:rsidRPr="00292532" w:rsidRDefault="00B94A74" w:rsidP="00B94A74">
            <w:pPr>
              <w:spacing w:before="0" w:after="0"/>
              <w:rPr>
                <w:rFonts w:eastAsia="Times New Roman" w:cs="Calibri"/>
                <w:b/>
                <w:bCs/>
                <w:color w:val="000000"/>
                <w:lang w:val="pt-PT"/>
              </w:rPr>
            </w:pPr>
            <w:r w:rsidRPr="00292532">
              <w:rPr>
                <w:rFonts w:eastAsia="Times New Roman" w:cs="Calibri"/>
                <w:b/>
                <w:bCs/>
                <w:color w:val="000000"/>
                <w:lang w:val="pt-PT"/>
              </w:rPr>
              <w:t>Biodiversidade</w:t>
            </w:r>
          </w:p>
        </w:tc>
      </w:tr>
      <w:tr w:rsidR="00B94A74" w:rsidRPr="008D18CF" w14:paraId="6B21AE96" w14:textId="77777777" w:rsidTr="00B94A74">
        <w:trPr>
          <w:trHeight w:val="1350"/>
        </w:trPr>
        <w:tc>
          <w:tcPr>
            <w:tcW w:w="4225" w:type="dxa"/>
            <w:tcBorders>
              <w:top w:val="nil"/>
              <w:left w:val="single" w:sz="4" w:space="0" w:color="auto"/>
              <w:bottom w:val="single" w:sz="4" w:space="0" w:color="auto"/>
              <w:right w:val="single" w:sz="4" w:space="0" w:color="auto"/>
            </w:tcBorders>
            <w:shd w:val="clear" w:color="auto" w:fill="auto"/>
            <w:vAlign w:val="center"/>
            <w:hideMark/>
          </w:tcPr>
          <w:p w14:paraId="0CAF533A" w14:textId="43170D52"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Terá o </w:t>
            </w:r>
            <w:proofErr w:type="spellStart"/>
            <w:r w:rsidR="008C3A00" w:rsidRPr="00292532">
              <w:rPr>
                <w:rFonts w:eastAsia="Times New Roman" w:cs="Calibri"/>
                <w:color w:val="000000"/>
                <w:lang w:val="pt-PT"/>
              </w:rPr>
              <w:t>Projecto</w:t>
            </w:r>
            <w:proofErr w:type="spellEnd"/>
            <w:r w:rsidRPr="00292532">
              <w:rPr>
                <w:rFonts w:eastAsia="Times New Roman" w:cs="Calibri"/>
                <w:color w:val="000000"/>
                <w:lang w:val="pt-PT"/>
              </w:rPr>
              <w:t xml:space="preserve"> impacto sobre espécies endémicas, raras, vulneráveis (</w:t>
            </w:r>
            <w:r w:rsidR="009F6136" w:rsidRPr="00292532">
              <w:rPr>
                <w:rFonts w:eastAsia="Times New Roman" w:cs="Calibri"/>
                <w:color w:val="000000"/>
                <w:lang w:val="pt-PT"/>
              </w:rPr>
              <w:t>i.e., espécies</w:t>
            </w:r>
            <w:r w:rsidRPr="00292532">
              <w:rPr>
                <w:rFonts w:eastAsia="Times New Roman" w:cs="Calibri"/>
                <w:color w:val="000000"/>
                <w:lang w:val="pt-PT"/>
              </w:rPr>
              <w:t xml:space="preserve"> na Lista Vermelha da IUCN) e ou, recursos e componentes culturais) físicos, ecológicos, económicos importantes</w:t>
            </w:r>
          </w:p>
        </w:tc>
        <w:tc>
          <w:tcPr>
            <w:tcW w:w="630" w:type="dxa"/>
            <w:tcBorders>
              <w:top w:val="nil"/>
              <w:left w:val="nil"/>
              <w:bottom w:val="single" w:sz="4" w:space="0" w:color="auto"/>
              <w:right w:val="single" w:sz="4" w:space="0" w:color="auto"/>
            </w:tcBorders>
            <w:shd w:val="clear" w:color="auto" w:fill="auto"/>
            <w:vAlign w:val="center"/>
            <w:hideMark/>
          </w:tcPr>
          <w:p w14:paraId="3D18A0AD"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vAlign w:val="center"/>
            <w:hideMark/>
          </w:tcPr>
          <w:p w14:paraId="74D8E70F"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vAlign w:val="center"/>
            <w:hideMark/>
          </w:tcPr>
          <w:p w14:paraId="40251EF7"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2D38ADC6" w14:textId="77777777" w:rsidTr="00B94A74">
        <w:trPr>
          <w:trHeight w:val="2220"/>
        </w:trPr>
        <w:tc>
          <w:tcPr>
            <w:tcW w:w="4225" w:type="dxa"/>
            <w:tcBorders>
              <w:top w:val="nil"/>
              <w:left w:val="single" w:sz="4" w:space="0" w:color="auto"/>
              <w:bottom w:val="single" w:sz="4" w:space="0" w:color="auto"/>
              <w:right w:val="single" w:sz="4" w:space="0" w:color="auto"/>
            </w:tcBorders>
            <w:shd w:val="clear" w:color="auto" w:fill="auto"/>
            <w:vAlign w:val="center"/>
            <w:hideMark/>
          </w:tcPr>
          <w:p w14:paraId="0633ADED" w14:textId="141C534D"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Será que existem áreas de sensibilidade ambiental ou ecológica que podem ser adversamente afetadas pelo </w:t>
            </w:r>
            <w:proofErr w:type="spellStart"/>
            <w:r w:rsidR="008C3A00" w:rsidRPr="00292532">
              <w:rPr>
                <w:rFonts w:eastAsia="Times New Roman" w:cs="Calibri"/>
                <w:color w:val="000000"/>
                <w:lang w:val="pt-PT"/>
              </w:rPr>
              <w:t>Projecto</w:t>
            </w:r>
            <w:proofErr w:type="spellEnd"/>
            <w:r w:rsidRPr="00292532">
              <w:rPr>
                <w:rFonts w:eastAsia="Times New Roman" w:cs="Calibri"/>
                <w:color w:val="000000"/>
                <w:lang w:val="pt-PT"/>
              </w:rPr>
              <w:t xml:space="preserve">? Por exemplo, florestas, zonas ser adversamente afetadas pelo </w:t>
            </w:r>
            <w:proofErr w:type="spellStart"/>
            <w:r w:rsidR="008C3A00" w:rsidRPr="00292532">
              <w:rPr>
                <w:rFonts w:eastAsia="Times New Roman" w:cs="Calibri"/>
                <w:color w:val="000000"/>
                <w:lang w:val="pt-PT"/>
              </w:rPr>
              <w:t>Projecto</w:t>
            </w:r>
            <w:proofErr w:type="spellEnd"/>
            <w:r w:rsidRPr="00292532">
              <w:rPr>
                <w:rFonts w:eastAsia="Times New Roman" w:cs="Calibri"/>
                <w:color w:val="000000"/>
                <w:lang w:val="pt-PT"/>
              </w:rPr>
              <w:t xml:space="preserve">? Por exemplo, florestas, zonas húmidas (lagos, rios, planícies de inundação sazonal), etc. </w:t>
            </w:r>
          </w:p>
        </w:tc>
        <w:tc>
          <w:tcPr>
            <w:tcW w:w="630" w:type="dxa"/>
            <w:tcBorders>
              <w:top w:val="nil"/>
              <w:left w:val="nil"/>
              <w:bottom w:val="single" w:sz="4" w:space="0" w:color="auto"/>
              <w:right w:val="single" w:sz="4" w:space="0" w:color="auto"/>
            </w:tcBorders>
            <w:shd w:val="clear" w:color="auto" w:fill="auto"/>
            <w:vAlign w:val="center"/>
            <w:hideMark/>
          </w:tcPr>
          <w:p w14:paraId="07A41346"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vAlign w:val="center"/>
            <w:hideMark/>
          </w:tcPr>
          <w:p w14:paraId="3C84246B"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vAlign w:val="center"/>
            <w:hideMark/>
          </w:tcPr>
          <w:p w14:paraId="3475FB5B"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292532" w14:paraId="03ED5D61" w14:textId="77777777" w:rsidTr="00B94A74">
        <w:trPr>
          <w:trHeight w:val="555"/>
        </w:trPr>
        <w:tc>
          <w:tcPr>
            <w:tcW w:w="4225" w:type="dxa"/>
            <w:tcBorders>
              <w:top w:val="nil"/>
              <w:left w:val="single" w:sz="4" w:space="0" w:color="auto"/>
              <w:bottom w:val="single" w:sz="4" w:space="0" w:color="auto"/>
              <w:right w:val="single" w:sz="4" w:space="0" w:color="auto"/>
            </w:tcBorders>
            <w:shd w:val="clear" w:color="auto" w:fill="auto"/>
            <w:vAlign w:val="center"/>
            <w:hideMark/>
          </w:tcPr>
          <w:p w14:paraId="726F44FE" w14:textId="77777777" w:rsidR="00B94A74" w:rsidRPr="00292532" w:rsidRDefault="00B94A74" w:rsidP="00B94A74">
            <w:pPr>
              <w:spacing w:before="0" w:after="0"/>
              <w:jc w:val="left"/>
              <w:rPr>
                <w:rFonts w:eastAsia="Times New Roman" w:cs="Calibri"/>
                <w:b/>
                <w:bCs/>
                <w:color w:val="000000"/>
                <w:lang w:val="pt-PT"/>
              </w:rPr>
            </w:pPr>
            <w:r w:rsidRPr="00292532">
              <w:rPr>
                <w:rFonts w:eastAsia="Times New Roman" w:cs="Calibri"/>
                <w:b/>
                <w:bCs/>
                <w:color w:val="000000"/>
                <w:lang w:val="pt-PT"/>
              </w:rPr>
              <w:t>As áreas protegidas</w:t>
            </w:r>
          </w:p>
        </w:tc>
        <w:tc>
          <w:tcPr>
            <w:tcW w:w="630" w:type="dxa"/>
            <w:tcBorders>
              <w:top w:val="nil"/>
              <w:left w:val="nil"/>
              <w:bottom w:val="single" w:sz="4" w:space="0" w:color="auto"/>
              <w:right w:val="single" w:sz="4" w:space="0" w:color="auto"/>
            </w:tcBorders>
            <w:shd w:val="clear" w:color="auto" w:fill="auto"/>
            <w:vAlign w:val="center"/>
            <w:hideMark/>
          </w:tcPr>
          <w:p w14:paraId="31B6A9BA"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vAlign w:val="center"/>
            <w:hideMark/>
          </w:tcPr>
          <w:p w14:paraId="479A1C50"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vAlign w:val="center"/>
            <w:hideMark/>
          </w:tcPr>
          <w:p w14:paraId="7E3CF76F"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292532" w14:paraId="1F61008B" w14:textId="77777777" w:rsidTr="00B94A74">
        <w:trPr>
          <w:trHeight w:val="1230"/>
        </w:trPr>
        <w:tc>
          <w:tcPr>
            <w:tcW w:w="4225" w:type="dxa"/>
            <w:tcBorders>
              <w:top w:val="nil"/>
              <w:left w:val="single" w:sz="4" w:space="0" w:color="auto"/>
              <w:bottom w:val="single" w:sz="4" w:space="0" w:color="auto"/>
              <w:right w:val="single" w:sz="4" w:space="0" w:color="auto"/>
            </w:tcBorders>
            <w:shd w:val="clear" w:color="auto" w:fill="auto"/>
            <w:vAlign w:val="center"/>
            <w:hideMark/>
          </w:tcPr>
          <w:p w14:paraId="4424160C" w14:textId="1DB4631A"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Terá a área do </w:t>
            </w:r>
            <w:proofErr w:type="spellStart"/>
            <w:r w:rsidR="008C3A00" w:rsidRPr="00292532">
              <w:rPr>
                <w:rFonts w:eastAsia="Times New Roman" w:cs="Calibri"/>
                <w:color w:val="000000"/>
                <w:lang w:val="pt-PT"/>
              </w:rPr>
              <w:t>Projecto</w:t>
            </w:r>
            <w:proofErr w:type="spellEnd"/>
            <w:r w:rsidRPr="00292532">
              <w:rPr>
                <w:rFonts w:eastAsia="Times New Roman" w:cs="Calibri"/>
                <w:color w:val="000000"/>
                <w:lang w:val="pt-PT"/>
              </w:rPr>
              <w:t xml:space="preserve"> (ou suas componentes) impacto sobre áreas protegidas? (parques nacionais, reservas nacionais, florestas protegidas, Património Mundial, etc.)</w:t>
            </w:r>
          </w:p>
        </w:tc>
        <w:tc>
          <w:tcPr>
            <w:tcW w:w="630" w:type="dxa"/>
            <w:tcBorders>
              <w:top w:val="nil"/>
              <w:left w:val="nil"/>
              <w:bottom w:val="single" w:sz="4" w:space="0" w:color="auto"/>
              <w:right w:val="single" w:sz="4" w:space="0" w:color="auto"/>
            </w:tcBorders>
            <w:shd w:val="clear" w:color="auto" w:fill="auto"/>
            <w:vAlign w:val="center"/>
            <w:hideMark/>
          </w:tcPr>
          <w:p w14:paraId="376EB2F6"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vAlign w:val="center"/>
            <w:hideMark/>
          </w:tcPr>
          <w:p w14:paraId="2CD450B9"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vAlign w:val="center"/>
            <w:hideMark/>
          </w:tcPr>
          <w:p w14:paraId="68299C60"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2762E6AC" w14:textId="77777777" w:rsidTr="00B94A74">
        <w:trPr>
          <w:trHeight w:val="2160"/>
        </w:trPr>
        <w:tc>
          <w:tcPr>
            <w:tcW w:w="4225" w:type="dxa"/>
            <w:tcBorders>
              <w:top w:val="nil"/>
              <w:left w:val="single" w:sz="4" w:space="0" w:color="auto"/>
              <w:bottom w:val="single" w:sz="4" w:space="0" w:color="auto"/>
              <w:right w:val="single" w:sz="4" w:space="0" w:color="auto"/>
            </w:tcBorders>
            <w:shd w:val="clear" w:color="auto" w:fill="auto"/>
            <w:vAlign w:val="center"/>
            <w:hideMark/>
          </w:tcPr>
          <w:p w14:paraId="675E9D06" w14:textId="2C4AA3C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Se o </w:t>
            </w:r>
            <w:proofErr w:type="spellStart"/>
            <w:r w:rsidR="008C3A00" w:rsidRPr="00292532">
              <w:rPr>
                <w:rFonts w:eastAsia="Times New Roman" w:cs="Calibri"/>
                <w:color w:val="000000"/>
                <w:lang w:val="pt-PT"/>
              </w:rPr>
              <w:t>Projecto</w:t>
            </w:r>
            <w:proofErr w:type="spellEnd"/>
            <w:r w:rsidRPr="00292532">
              <w:rPr>
                <w:rFonts w:eastAsia="Times New Roman" w:cs="Calibri"/>
                <w:color w:val="000000"/>
                <w:lang w:val="pt-PT"/>
              </w:rPr>
              <w:t xml:space="preserve"> está fora das áreas protegidas, mas a uma curta distância de áreas protegidas, será que poderá afetar negativamente a ecologia dentro da área protegida? (por exemplo, interferência com o voo dos pássaros, a migração de mamíferos)</w:t>
            </w:r>
          </w:p>
        </w:tc>
        <w:tc>
          <w:tcPr>
            <w:tcW w:w="630" w:type="dxa"/>
            <w:tcBorders>
              <w:top w:val="nil"/>
              <w:left w:val="nil"/>
              <w:bottom w:val="single" w:sz="4" w:space="0" w:color="auto"/>
              <w:right w:val="single" w:sz="4" w:space="0" w:color="auto"/>
            </w:tcBorders>
            <w:shd w:val="clear" w:color="auto" w:fill="auto"/>
            <w:vAlign w:val="center"/>
            <w:hideMark/>
          </w:tcPr>
          <w:p w14:paraId="33BAE8CA"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vAlign w:val="center"/>
            <w:hideMark/>
          </w:tcPr>
          <w:p w14:paraId="24815FA8"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vAlign w:val="center"/>
            <w:hideMark/>
          </w:tcPr>
          <w:p w14:paraId="123F7472"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292532" w14:paraId="3CAC8AF7" w14:textId="77777777" w:rsidTr="00B94A74">
        <w:trPr>
          <w:trHeight w:val="555"/>
        </w:trPr>
        <w:tc>
          <w:tcPr>
            <w:tcW w:w="9075"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838233D" w14:textId="77777777" w:rsidR="00B94A74" w:rsidRPr="00292532" w:rsidRDefault="00B94A74" w:rsidP="00B94A74">
            <w:pPr>
              <w:spacing w:before="0" w:after="0"/>
              <w:rPr>
                <w:rFonts w:eastAsia="Times New Roman" w:cs="Calibri"/>
                <w:b/>
                <w:bCs/>
                <w:color w:val="000000"/>
                <w:lang w:val="pt-PT"/>
              </w:rPr>
            </w:pPr>
            <w:r w:rsidRPr="00292532">
              <w:rPr>
                <w:rFonts w:eastAsia="Times New Roman" w:cs="Calibri"/>
                <w:b/>
                <w:bCs/>
                <w:color w:val="000000"/>
                <w:lang w:val="pt-PT"/>
              </w:rPr>
              <w:lastRenderedPageBreak/>
              <w:t>Geologia e Solos</w:t>
            </w:r>
          </w:p>
        </w:tc>
      </w:tr>
      <w:tr w:rsidR="00B94A74" w:rsidRPr="008D18CF" w14:paraId="3C12E77E" w14:textId="77777777" w:rsidTr="00B94A74">
        <w:trPr>
          <w:trHeight w:val="1140"/>
        </w:trPr>
        <w:tc>
          <w:tcPr>
            <w:tcW w:w="4225" w:type="dxa"/>
            <w:tcBorders>
              <w:top w:val="nil"/>
              <w:left w:val="single" w:sz="4" w:space="0" w:color="auto"/>
              <w:bottom w:val="single" w:sz="4" w:space="0" w:color="auto"/>
              <w:right w:val="single" w:sz="4" w:space="0" w:color="auto"/>
            </w:tcBorders>
            <w:shd w:val="clear" w:color="auto" w:fill="auto"/>
            <w:vAlign w:val="center"/>
            <w:hideMark/>
          </w:tcPr>
          <w:p w14:paraId="425BFB39"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Do Ponto de vista geológico ou do solo, será que existem áreas instáveis</w:t>
            </w:r>
            <w:r w:rsidRPr="00292532">
              <w:rPr>
                <w:rFonts w:eastAsia="Times New Roman" w:cs="Calibri"/>
                <w:color w:val="000000"/>
                <w:lang w:val="pt-PT"/>
              </w:rPr>
              <w:br/>
              <w:t>(erosão, deslizamento de terra, queda)?</w:t>
            </w:r>
          </w:p>
        </w:tc>
        <w:tc>
          <w:tcPr>
            <w:tcW w:w="630" w:type="dxa"/>
            <w:tcBorders>
              <w:top w:val="nil"/>
              <w:left w:val="nil"/>
              <w:bottom w:val="single" w:sz="4" w:space="0" w:color="auto"/>
              <w:right w:val="single" w:sz="4" w:space="0" w:color="auto"/>
            </w:tcBorders>
            <w:shd w:val="clear" w:color="auto" w:fill="auto"/>
            <w:vAlign w:val="center"/>
            <w:hideMark/>
          </w:tcPr>
          <w:p w14:paraId="5DC19D36"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vAlign w:val="center"/>
            <w:hideMark/>
          </w:tcPr>
          <w:p w14:paraId="67B902D9"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vAlign w:val="center"/>
            <w:hideMark/>
          </w:tcPr>
          <w:p w14:paraId="3FAF1DB1"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292532" w14:paraId="229C148C" w14:textId="77777777" w:rsidTr="00B94A74">
        <w:trPr>
          <w:trHeight w:val="555"/>
        </w:trPr>
        <w:tc>
          <w:tcPr>
            <w:tcW w:w="9075"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3C479E98" w14:textId="77777777" w:rsidR="00B94A74" w:rsidRPr="00292532" w:rsidRDefault="00B94A74" w:rsidP="00B94A74">
            <w:pPr>
              <w:spacing w:before="0" w:after="0"/>
              <w:rPr>
                <w:rFonts w:eastAsia="Times New Roman" w:cs="Calibri"/>
                <w:b/>
                <w:bCs/>
                <w:color w:val="000000"/>
                <w:lang w:val="pt-PT"/>
              </w:rPr>
            </w:pPr>
            <w:r w:rsidRPr="00292532">
              <w:rPr>
                <w:rFonts w:eastAsia="Times New Roman" w:cs="Calibri"/>
                <w:b/>
                <w:bCs/>
                <w:color w:val="000000"/>
                <w:lang w:val="pt-PT"/>
              </w:rPr>
              <w:t>Paisagem/estética</w:t>
            </w:r>
          </w:p>
        </w:tc>
      </w:tr>
      <w:tr w:rsidR="00B94A74" w:rsidRPr="008D18CF" w14:paraId="00168D0E" w14:textId="77777777" w:rsidTr="00B94A74">
        <w:trPr>
          <w:trHeight w:val="555"/>
        </w:trPr>
        <w:tc>
          <w:tcPr>
            <w:tcW w:w="4225" w:type="dxa"/>
            <w:tcBorders>
              <w:top w:val="nil"/>
              <w:left w:val="single" w:sz="4" w:space="0" w:color="auto"/>
              <w:bottom w:val="single" w:sz="4" w:space="0" w:color="auto"/>
              <w:right w:val="single" w:sz="4" w:space="0" w:color="auto"/>
            </w:tcBorders>
            <w:shd w:val="clear" w:color="auto" w:fill="auto"/>
            <w:vAlign w:val="center"/>
            <w:hideMark/>
          </w:tcPr>
          <w:p w14:paraId="58CD04D7" w14:textId="4679E023"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Será que o </w:t>
            </w:r>
            <w:proofErr w:type="spellStart"/>
            <w:r w:rsidR="008C3A00" w:rsidRPr="00292532">
              <w:rPr>
                <w:rFonts w:eastAsia="Times New Roman" w:cs="Calibri"/>
                <w:color w:val="000000"/>
                <w:lang w:val="pt-PT"/>
              </w:rPr>
              <w:t>projecto</w:t>
            </w:r>
            <w:proofErr w:type="spellEnd"/>
            <w:r w:rsidRPr="00292532">
              <w:rPr>
                <w:rFonts w:eastAsia="Times New Roman" w:cs="Calibri"/>
                <w:color w:val="000000"/>
                <w:lang w:val="pt-PT"/>
              </w:rPr>
              <w:t xml:space="preserve"> tem qualquer efeito adverso sobre o valor estético da paisagem?</w:t>
            </w:r>
          </w:p>
        </w:tc>
        <w:tc>
          <w:tcPr>
            <w:tcW w:w="630" w:type="dxa"/>
            <w:tcBorders>
              <w:top w:val="nil"/>
              <w:left w:val="nil"/>
              <w:bottom w:val="single" w:sz="4" w:space="0" w:color="auto"/>
              <w:right w:val="single" w:sz="4" w:space="0" w:color="auto"/>
            </w:tcBorders>
            <w:shd w:val="clear" w:color="auto" w:fill="auto"/>
            <w:vAlign w:val="center"/>
            <w:hideMark/>
          </w:tcPr>
          <w:p w14:paraId="4C3F9EF8"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vAlign w:val="center"/>
            <w:hideMark/>
          </w:tcPr>
          <w:p w14:paraId="3FC27B64"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vAlign w:val="center"/>
            <w:hideMark/>
          </w:tcPr>
          <w:p w14:paraId="2304895D"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0C6FF8CD" w14:textId="77777777" w:rsidTr="00B94A74">
        <w:trPr>
          <w:trHeight w:val="555"/>
        </w:trPr>
        <w:tc>
          <w:tcPr>
            <w:tcW w:w="9075"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C2E0482" w14:textId="4AEEDABE" w:rsidR="00B94A74" w:rsidRPr="00292532" w:rsidRDefault="00B94A74" w:rsidP="00B94A74">
            <w:pPr>
              <w:spacing w:before="0" w:after="0"/>
              <w:rPr>
                <w:rFonts w:eastAsia="Times New Roman" w:cs="Calibri"/>
                <w:b/>
                <w:bCs/>
                <w:color w:val="000000"/>
                <w:lang w:val="pt-PT"/>
              </w:rPr>
            </w:pPr>
            <w:r w:rsidRPr="00292532">
              <w:rPr>
                <w:rFonts w:eastAsia="Times New Roman" w:cs="Calibri"/>
                <w:b/>
                <w:bCs/>
                <w:color w:val="000000"/>
                <w:lang w:val="pt-PT"/>
              </w:rPr>
              <w:t>Sítios históricos, arqueológicos ou culturais</w:t>
            </w:r>
          </w:p>
        </w:tc>
      </w:tr>
      <w:tr w:rsidR="00B94A74" w:rsidRPr="008D18CF" w14:paraId="5D1EDD0A" w14:textId="77777777" w:rsidTr="00B94A74">
        <w:trPr>
          <w:trHeight w:val="990"/>
        </w:trPr>
        <w:tc>
          <w:tcPr>
            <w:tcW w:w="4225" w:type="dxa"/>
            <w:tcBorders>
              <w:top w:val="nil"/>
              <w:left w:val="single" w:sz="4" w:space="0" w:color="auto"/>
              <w:bottom w:val="single" w:sz="4" w:space="0" w:color="auto"/>
              <w:right w:val="single" w:sz="4" w:space="0" w:color="auto"/>
            </w:tcBorders>
            <w:shd w:val="clear" w:color="auto" w:fill="auto"/>
            <w:vAlign w:val="center"/>
            <w:hideMark/>
          </w:tcPr>
          <w:p w14:paraId="3EA87E41" w14:textId="4C986632"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Terá o </w:t>
            </w:r>
            <w:proofErr w:type="spellStart"/>
            <w:r w:rsidR="008C3A00" w:rsidRPr="00292532">
              <w:rPr>
                <w:rFonts w:eastAsia="Times New Roman" w:cs="Calibri"/>
                <w:color w:val="000000"/>
                <w:lang w:val="pt-PT"/>
              </w:rPr>
              <w:t>projecto</w:t>
            </w:r>
            <w:proofErr w:type="spellEnd"/>
            <w:r w:rsidRPr="00292532">
              <w:rPr>
                <w:rFonts w:eastAsia="Times New Roman" w:cs="Calibri"/>
                <w:color w:val="000000"/>
                <w:lang w:val="pt-PT"/>
              </w:rPr>
              <w:t xml:space="preserve"> o potencial de mudar um ou vários locais, arqueológicos, culturais históricos, ou exigir escavações?</w:t>
            </w:r>
          </w:p>
        </w:tc>
        <w:tc>
          <w:tcPr>
            <w:tcW w:w="630" w:type="dxa"/>
            <w:tcBorders>
              <w:top w:val="nil"/>
              <w:left w:val="nil"/>
              <w:bottom w:val="single" w:sz="4" w:space="0" w:color="auto"/>
              <w:right w:val="single" w:sz="4" w:space="0" w:color="auto"/>
            </w:tcBorders>
            <w:shd w:val="clear" w:color="auto" w:fill="auto"/>
            <w:noWrap/>
            <w:vAlign w:val="bottom"/>
            <w:hideMark/>
          </w:tcPr>
          <w:p w14:paraId="61005CC7"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65F41DF9"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612ED7EF"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5C934F3C" w14:textId="77777777" w:rsidTr="00B94A74">
        <w:trPr>
          <w:trHeight w:val="555"/>
        </w:trPr>
        <w:tc>
          <w:tcPr>
            <w:tcW w:w="9075"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412B415" w14:textId="77777777" w:rsidR="00B94A74" w:rsidRPr="00292532" w:rsidRDefault="00B94A74" w:rsidP="00B94A74">
            <w:pPr>
              <w:spacing w:before="0" w:after="0"/>
              <w:rPr>
                <w:rFonts w:eastAsia="Times New Roman" w:cs="Calibri"/>
                <w:b/>
                <w:bCs/>
                <w:color w:val="000000"/>
                <w:lang w:val="pt-PT"/>
              </w:rPr>
            </w:pPr>
            <w:r w:rsidRPr="00292532">
              <w:rPr>
                <w:rFonts w:eastAsia="Times New Roman" w:cs="Calibri"/>
                <w:b/>
                <w:bCs/>
                <w:color w:val="000000"/>
                <w:lang w:val="pt-PT"/>
              </w:rPr>
              <w:t xml:space="preserve">Perda de bens e outros </w:t>
            </w:r>
          </w:p>
        </w:tc>
      </w:tr>
      <w:tr w:rsidR="00B94A74" w:rsidRPr="008D18CF" w14:paraId="06909A70" w14:textId="77777777" w:rsidTr="00B94A74">
        <w:trPr>
          <w:trHeight w:val="1035"/>
        </w:trPr>
        <w:tc>
          <w:tcPr>
            <w:tcW w:w="4225" w:type="dxa"/>
            <w:tcBorders>
              <w:top w:val="nil"/>
              <w:left w:val="single" w:sz="4" w:space="0" w:color="auto"/>
              <w:bottom w:val="single" w:sz="4" w:space="0" w:color="auto"/>
              <w:right w:val="single" w:sz="4" w:space="0" w:color="auto"/>
            </w:tcBorders>
            <w:shd w:val="clear" w:color="auto" w:fill="auto"/>
            <w:vAlign w:val="center"/>
            <w:hideMark/>
          </w:tcPr>
          <w:p w14:paraId="1A53A730" w14:textId="0D9570F2"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Será que o </w:t>
            </w:r>
            <w:proofErr w:type="spellStart"/>
            <w:r w:rsidR="008C3A00" w:rsidRPr="00292532">
              <w:rPr>
                <w:rFonts w:eastAsia="Times New Roman" w:cs="Calibri"/>
                <w:color w:val="000000"/>
                <w:lang w:val="pt-PT"/>
              </w:rPr>
              <w:t>projecto</w:t>
            </w:r>
            <w:proofErr w:type="spellEnd"/>
            <w:r w:rsidRPr="00292532">
              <w:rPr>
                <w:rFonts w:eastAsia="Times New Roman" w:cs="Calibri"/>
                <w:color w:val="000000"/>
                <w:lang w:val="pt-PT"/>
              </w:rPr>
              <w:t xml:space="preserve"> provoca a perda temporária ou permanente de habitat natural ou crítico, culturas, terras agrícolas, pastagens, árvores de fruta, casas e infraestrutura doméstica?</w:t>
            </w:r>
          </w:p>
        </w:tc>
        <w:tc>
          <w:tcPr>
            <w:tcW w:w="630" w:type="dxa"/>
            <w:tcBorders>
              <w:top w:val="nil"/>
              <w:left w:val="nil"/>
              <w:bottom w:val="single" w:sz="4" w:space="0" w:color="auto"/>
              <w:right w:val="single" w:sz="4" w:space="0" w:color="auto"/>
            </w:tcBorders>
            <w:shd w:val="clear" w:color="auto" w:fill="auto"/>
            <w:noWrap/>
            <w:vAlign w:val="bottom"/>
            <w:hideMark/>
          </w:tcPr>
          <w:p w14:paraId="16418F9E"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6C2F5632"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6F0AA609"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292532" w14:paraId="257A46C6" w14:textId="77777777" w:rsidTr="00B94A74">
        <w:trPr>
          <w:trHeight w:val="555"/>
        </w:trPr>
        <w:tc>
          <w:tcPr>
            <w:tcW w:w="9075"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4817534" w14:textId="77777777" w:rsidR="00B94A74" w:rsidRPr="00292532" w:rsidRDefault="00B94A74" w:rsidP="00B94A74">
            <w:pPr>
              <w:spacing w:before="0" w:after="0"/>
              <w:rPr>
                <w:rFonts w:eastAsia="Times New Roman" w:cs="Calibri"/>
                <w:b/>
                <w:bCs/>
                <w:color w:val="000000"/>
                <w:lang w:val="pt-PT"/>
              </w:rPr>
            </w:pPr>
            <w:r w:rsidRPr="00292532">
              <w:rPr>
                <w:rFonts w:eastAsia="Times New Roman" w:cs="Calibri"/>
                <w:b/>
                <w:bCs/>
                <w:color w:val="000000"/>
                <w:lang w:val="pt-PT"/>
              </w:rPr>
              <w:t>Poluição</w:t>
            </w:r>
          </w:p>
        </w:tc>
      </w:tr>
      <w:tr w:rsidR="00B94A74" w:rsidRPr="008D18CF" w14:paraId="1B6978DE" w14:textId="77777777" w:rsidTr="00B94A74">
        <w:trPr>
          <w:trHeight w:val="555"/>
        </w:trPr>
        <w:tc>
          <w:tcPr>
            <w:tcW w:w="4225" w:type="dxa"/>
            <w:tcBorders>
              <w:top w:val="nil"/>
              <w:left w:val="single" w:sz="4" w:space="0" w:color="auto"/>
              <w:bottom w:val="single" w:sz="4" w:space="0" w:color="auto"/>
              <w:right w:val="single" w:sz="4" w:space="0" w:color="auto"/>
            </w:tcBorders>
            <w:shd w:val="clear" w:color="auto" w:fill="auto"/>
            <w:noWrap/>
            <w:vAlign w:val="bottom"/>
            <w:hideMark/>
          </w:tcPr>
          <w:p w14:paraId="5EF9EF92" w14:textId="391AB32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Será que o </w:t>
            </w:r>
            <w:proofErr w:type="spellStart"/>
            <w:r w:rsidR="008C3A00" w:rsidRPr="00292532">
              <w:rPr>
                <w:rFonts w:eastAsia="Times New Roman" w:cs="Calibri"/>
                <w:color w:val="000000"/>
                <w:lang w:val="pt-PT"/>
              </w:rPr>
              <w:t>projecto</w:t>
            </w:r>
            <w:proofErr w:type="spellEnd"/>
            <w:r w:rsidRPr="00292532">
              <w:rPr>
                <w:rFonts w:eastAsia="Times New Roman" w:cs="Calibri"/>
                <w:color w:val="000000"/>
                <w:lang w:val="pt-PT"/>
              </w:rPr>
              <w:t xml:space="preserve"> é suscetível de causar altos níveis de ruído?</w:t>
            </w:r>
          </w:p>
        </w:tc>
        <w:tc>
          <w:tcPr>
            <w:tcW w:w="630" w:type="dxa"/>
            <w:tcBorders>
              <w:top w:val="nil"/>
              <w:left w:val="nil"/>
              <w:bottom w:val="single" w:sz="4" w:space="0" w:color="auto"/>
              <w:right w:val="single" w:sz="4" w:space="0" w:color="auto"/>
            </w:tcBorders>
            <w:shd w:val="clear" w:color="auto" w:fill="auto"/>
            <w:noWrap/>
            <w:vAlign w:val="bottom"/>
            <w:hideMark/>
          </w:tcPr>
          <w:p w14:paraId="3568A57B"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0AA139AD"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662E5B17"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4909993E" w14:textId="77777777" w:rsidTr="00B94A74">
        <w:trPr>
          <w:trHeight w:val="555"/>
        </w:trPr>
        <w:tc>
          <w:tcPr>
            <w:tcW w:w="4225" w:type="dxa"/>
            <w:tcBorders>
              <w:top w:val="nil"/>
              <w:left w:val="single" w:sz="4" w:space="0" w:color="auto"/>
              <w:bottom w:val="single" w:sz="4" w:space="0" w:color="auto"/>
              <w:right w:val="single" w:sz="4" w:space="0" w:color="auto"/>
            </w:tcBorders>
            <w:shd w:val="clear" w:color="auto" w:fill="auto"/>
            <w:vAlign w:val="bottom"/>
            <w:hideMark/>
          </w:tcPr>
          <w:p w14:paraId="384EABA0"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Serão instaladas oficinas de manutenção de viaturas e equipamentos?</w:t>
            </w:r>
            <w:r w:rsidRPr="00292532">
              <w:rPr>
                <w:rFonts w:eastAsia="Times New Roman" w:cs="Calibri"/>
                <w:color w:val="000000"/>
                <w:lang w:val="pt-PT"/>
              </w:rPr>
              <w:br/>
            </w:r>
            <w:r w:rsidRPr="00292532">
              <w:rPr>
                <w:rFonts w:eastAsia="Times New Roman" w:cs="Calibri"/>
                <w:color w:val="000000"/>
                <w:lang w:val="pt-PT"/>
              </w:rPr>
              <w:br/>
              <w:t>Se sim, está previsto a separação de óleos e um local apropriado para o seu armazenamento?</w:t>
            </w:r>
            <w:r w:rsidRPr="00292532">
              <w:rPr>
                <w:rFonts w:eastAsia="Times New Roman" w:cs="Calibri"/>
                <w:color w:val="000000"/>
                <w:lang w:val="pt-PT"/>
              </w:rPr>
              <w:br/>
            </w:r>
            <w:r w:rsidRPr="00292532">
              <w:rPr>
                <w:rFonts w:eastAsia="Times New Roman" w:cs="Calibri"/>
                <w:color w:val="000000"/>
                <w:lang w:val="pt-PT"/>
              </w:rPr>
              <w:br/>
              <w:t xml:space="preserve">Como será feito o abastecimento dos equipamentos? se for pelo </w:t>
            </w:r>
            <w:proofErr w:type="spellStart"/>
            <w:r w:rsidRPr="00292532">
              <w:rPr>
                <w:rFonts w:eastAsia="Times New Roman" w:cs="Calibri"/>
                <w:color w:val="000000"/>
                <w:lang w:val="pt-PT"/>
              </w:rPr>
              <w:t>projecto</w:t>
            </w:r>
            <w:proofErr w:type="spellEnd"/>
            <w:r w:rsidRPr="00292532">
              <w:rPr>
                <w:rFonts w:eastAsia="Times New Roman" w:cs="Calibri"/>
                <w:color w:val="000000"/>
                <w:lang w:val="pt-PT"/>
              </w:rPr>
              <w:t xml:space="preserve">, esta previsto que os tanques de combustível tenham uma bacia de </w:t>
            </w:r>
            <w:proofErr w:type="gramStart"/>
            <w:r w:rsidRPr="00292532">
              <w:rPr>
                <w:rFonts w:eastAsia="Times New Roman" w:cs="Calibri"/>
                <w:color w:val="000000"/>
                <w:lang w:val="pt-PT"/>
              </w:rPr>
              <w:t>contenção ?</w:t>
            </w:r>
            <w:proofErr w:type="gramEnd"/>
          </w:p>
        </w:tc>
        <w:tc>
          <w:tcPr>
            <w:tcW w:w="630" w:type="dxa"/>
            <w:tcBorders>
              <w:top w:val="nil"/>
              <w:left w:val="nil"/>
              <w:bottom w:val="single" w:sz="4" w:space="0" w:color="auto"/>
              <w:right w:val="single" w:sz="4" w:space="0" w:color="auto"/>
            </w:tcBorders>
            <w:shd w:val="clear" w:color="auto" w:fill="auto"/>
            <w:noWrap/>
            <w:vAlign w:val="bottom"/>
            <w:hideMark/>
          </w:tcPr>
          <w:p w14:paraId="3D1ADDD6"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4ABD23DF"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551606A4"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2387D6C8" w14:textId="77777777" w:rsidTr="00B94A74">
        <w:trPr>
          <w:trHeight w:val="870"/>
        </w:trPr>
        <w:tc>
          <w:tcPr>
            <w:tcW w:w="4225" w:type="dxa"/>
            <w:tcBorders>
              <w:top w:val="nil"/>
              <w:left w:val="single" w:sz="4" w:space="0" w:color="auto"/>
              <w:bottom w:val="single" w:sz="4" w:space="0" w:color="auto"/>
              <w:right w:val="single" w:sz="4" w:space="0" w:color="auto"/>
            </w:tcBorders>
            <w:shd w:val="clear" w:color="auto" w:fill="auto"/>
            <w:vAlign w:val="bottom"/>
            <w:hideMark/>
          </w:tcPr>
          <w:p w14:paraId="1048CD4C"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O </w:t>
            </w:r>
            <w:proofErr w:type="spellStart"/>
            <w:r w:rsidRPr="00292532">
              <w:rPr>
                <w:rFonts w:eastAsia="Times New Roman" w:cs="Calibri"/>
                <w:color w:val="000000"/>
                <w:lang w:val="pt-PT"/>
              </w:rPr>
              <w:t>projecto</w:t>
            </w:r>
            <w:proofErr w:type="spellEnd"/>
            <w:r w:rsidRPr="00292532">
              <w:rPr>
                <w:rFonts w:eastAsia="Times New Roman" w:cs="Calibri"/>
                <w:color w:val="000000"/>
                <w:lang w:val="pt-PT"/>
              </w:rPr>
              <w:t xml:space="preserve"> usará ou armazenará substâncias perigosas, grandes quantidades de hidrocarbonetos ou grande quantidade de postes tratados?</w:t>
            </w:r>
          </w:p>
        </w:tc>
        <w:tc>
          <w:tcPr>
            <w:tcW w:w="630" w:type="dxa"/>
            <w:tcBorders>
              <w:top w:val="nil"/>
              <w:left w:val="nil"/>
              <w:bottom w:val="single" w:sz="4" w:space="0" w:color="auto"/>
              <w:right w:val="single" w:sz="4" w:space="0" w:color="auto"/>
            </w:tcBorders>
            <w:shd w:val="clear" w:color="auto" w:fill="auto"/>
            <w:noWrap/>
            <w:vAlign w:val="bottom"/>
            <w:hideMark/>
          </w:tcPr>
          <w:p w14:paraId="53F8940E"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0254C6D0"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095BD85B"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26493AF8" w14:textId="77777777" w:rsidTr="00B94A74">
        <w:trPr>
          <w:trHeight w:val="2145"/>
        </w:trPr>
        <w:tc>
          <w:tcPr>
            <w:tcW w:w="4225" w:type="dxa"/>
            <w:tcBorders>
              <w:top w:val="nil"/>
              <w:left w:val="single" w:sz="4" w:space="0" w:color="auto"/>
              <w:bottom w:val="single" w:sz="4" w:space="0" w:color="auto"/>
              <w:right w:val="single" w:sz="4" w:space="0" w:color="auto"/>
            </w:tcBorders>
            <w:shd w:val="clear" w:color="auto" w:fill="auto"/>
            <w:vAlign w:val="bottom"/>
            <w:hideMark/>
          </w:tcPr>
          <w:p w14:paraId="2D477836" w14:textId="5057C4B2"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lastRenderedPageBreak/>
              <w:t xml:space="preserve">Tem o </w:t>
            </w:r>
            <w:proofErr w:type="spellStart"/>
            <w:r w:rsidR="008C3A00" w:rsidRPr="00292532">
              <w:rPr>
                <w:rFonts w:eastAsia="Times New Roman" w:cs="Calibri"/>
                <w:color w:val="000000"/>
                <w:lang w:val="pt-PT"/>
              </w:rPr>
              <w:t>projecto</w:t>
            </w:r>
            <w:proofErr w:type="spellEnd"/>
            <w:r w:rsidRPr="00292532">
              <w:rPr>
                <w:rFonts w:eastAsia="Times New Roman" w:cs="Calibri"/>
                <w:color w:val="000000"/>
                <w:lang w:val="pt-PT"/>
              </w:rPr>
              <w:t xml:space="preserve"> o potencial de gerar uma quantidade significativa de resíduos sólidos e líquidos? (ou seja, resíduos de óleos, efluentes com elevado DBO, metais pesados, outros produtos químicos tóxicos, pesticidas, poluição, etc.) Existem transformadores com </w:t>
            </w:r>
            <w:proofErr w:type="spellStart"/>
            <w:proofErr w:type="gramStart"/>
            <w:r w:rsidRPr="00292532">
              <w:rPr>
                <w:rFonts w:eastAsia="Times New Roman" w:cs="Calibri"/>
                <w:color w:val="000000"/>
                <w:lang w:val="pt-PT"/>
              </w:rPr>
              <w:t>PCBs</w:t>
            </w:r>
            <w:proofErr w:type="spellEnd"/>
            <w:r w:rsidRPr="00292532">
              <w:rPr>
                <w:rFonts w:eastAsia="Times New Roman" w:cs="Calibri"/>
                <w:color w:val="000000"/>
                <w:lang w:val="pt-PT"/>
              </w:rPr>
              <w:t xml:space="preserve"> ?</w:t>
            </w:r>
            <w:proofErr w:type="gramEnd"/>
            <w:r w:rsidRPr="00292532">
              <w:rPr>
                <w:rFonts w:eastAsia="Times New Roman" w:cs="Calibri"/>
                <w:color w:val="000000"/>
                <w:lang w:val="pt-PT"/>
              </w:rPr>
              <w:br/>
              <w:t>Existem cabos ou outro material com revestimento de amianto/asbestos ?</w:t>
            </w:r>
          </w:p>
        </w:tc>
        <w:tc>
          <w:tcPr>
            <w:tcW w:w="630" w:type="dxa"/>
            <w:tcBorders>
              <w:top w:val="nil"/>
              <w:left w:val="nil"/>
              <w:bottom w:val="single" w:sz="4" w:space="0" w:color="auto"/>
              <w:right w:val="single" w:sz="4" w:space="0" w:color="auto"/>
            </w:tcBorders>
            <w:shd w:val="clear" w:color="auto" w:fill="auto"/>
            <w:noWrap/>
            <w:vAlign w:val="bottom"/>
            <w:hideMark/>
          </w:tcPr>
          <w:p w14:paraId="29DB77BD"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638D4DC2"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3EED0798"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1424C547" w14:textId="77777777" w:rsidTr="00B94A74">
        <w:trPr>
          <w:trHeight w:val="915"/>
        </w:trPr>
        <w:tc>
          <w:tcPr>
            <w:tcW w:w="4225" w:type="dxa"/>
            <w:tcBorders>
              <w:top w:val="nil"/>
              <w:left w:val="single" w:sz="4" w:space="0" w:color="auto"/>
              <w:bottom w:val="single" w:sz="4" w:space="0" w:color="auto"/>
              <w:right w:val="single" w:sz="4" w:space="0" w:color="auto"/>
            </w:tcBorders>
            <w:shd w:val="clear" w:color="auto" w:fill="auto"/>
            <w:vAlign w:val="bottom"/>
            <w:hideMark/>
          </w:tcPr>
          <w:p w14:paraId="62681362" w14:textId="5221BF39"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Se “sim” será que o promotor do </w:t>
            </w:r>
            <w:proofErr w:type="spellStart"/>
            <w:r w:rsidR="008C3A00" w:rsidRPr="00292532">
              <w:rPr>
                <w:rFonts w:eastAsia="Times New Roman" w:cs="Calibri"/>
                <w:color w:val="000000"/>
                <w:lang w:val="pt-PT"/>
              </w:rPr>
              <w:t>projecto</w:t>
            </w:r>
            <w:proofErr w:type="spellEnd"/>
            <w:r w:rsidRPr="00292532">
              <w:rPr>
                <w:rFonts w:eastAsia="Times New Roman" w:cs="Calibri"/>
                <w:color w:val="000000"/>
                <w:lang w:val="pt-PT"/>
              </w:rPr>
              <w:t xml:space="preserve"> preparou um plano para a recolha e eliminação ou gestão de resíduos?</w:t>
            </w:r>
          </w:p>
        </w:tc>
        <w:tc>
          <w:tcPr>
            <w:tcW w:w="630" w:type="dxa"/>
            <w:tcBorders>
              <w:top w:val="nil"/>
              <w:left w:val="nil"/>
              <w:bottom w:val="single" w:sz="4" w:space="0" w:color="auto"/>
              <w:right w:val="single" w:sz="4" w:space="0" w:color="auto"/>
            </w:tcBorders>
            <w:shd w:val="clear" w:color="auto" w:fill="auto"/>
            <w:noWrap/>
            <w:vAlign w:val="bottom"/>
            <w:hideMark/>
          </w:tcPr>
          <w:p w14:paraId="4DBC87E5"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54B6283E"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6B32BA5F"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66EBA194" w14:textId="77777777" w:rsidTr="00B94A74">
        <w:trPr>
          <w:trHeight w:val="555"/>
        </w:trPr>
        <w:tc>
          <w:tcPr>
            <w:tcW w:w="4225" w:type="dxa"/>
            <w:tcBorders>
              <w:top w:val="nil"/>
              <w:left w:val="single" w:sz="4" w:space="0" w:color="auto"/>
              <w:bottom w:val="single" w:sz="4" w:space="0" w:color="auto"/>
              <w:right w:val="single" w:sz="4" w:space="0" w:color="auto"/>
            </w:tcBorders>
            <w:shd w:val="clear" w:color="auto" w:fill="auto"/>
            <w:vAlign w:val="bottom"/>
            <w:hideMark/>
          </w:tcPr>
          <w:p w14:paraId="61B0E485"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Será que existe Capacidade e Equipamentos para a Gestão Ambiental e Social?</w:t>
            </w:r>
          </w:p>
        </w:tc>
        <w:tc>
          <w:tcPr>
            <w:tcW w:w="630" w:type="dxa"/>
            <w:tcBorders>
              <w:top w:val="nil"/>
              <w:left w:val="nil"/>
              <w:bottom w:val="single" w:sz="4" w:space="0" w:color="auto"/>
              <w:right w:val="single" w:sz="4" w:space="0" w:color="auto"/>
            </w:tcBorders>
            <w:shd w:val="clear" w:color="auto" w:fill="auto"/>
            <w:noWrap/>
            <w:vAlign w:val="bottom"/>
            <w:hideMark/>
          </w:tcPr>
          <w:p w14:paraId="5A3BB734"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3FF02D84"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7C0F02CE"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7CD29DF6" w14:textId="77777777" w:rsidTr="00B94A74">
        <w:trPr>
          <w:trHeight w:val="1095"/>
        </w:trPr>
        <w:tc>
          <w:tcPr>
            <w:tcW w:w="4225" w:type="dxa"/>
            <w:tcBorders>
              <w:top w:val="nil"/>
              <w:left w:val="single" w:sz="4" w:space="0" w:color="auto"/>
              <w:bottom w:val="single" w:sz="4" w:space="0" w:color="auto"/>
              <w:right w:val="single" w:sz="4" w:space="0" w:color="auto"/>
            </w:tcBorders>
            <w:shd w:val="clear" w:color="auto" w:fill="auto"/>
            <w:vAlign w:val="bottom"/>
            <w:hideMark/>
          </w:tcPr>
          <w:p w14:paraId="78A297A2" w14:textId="73B1D062"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Será que existe algum risco de o </w:t>
            </w:r>
            <w:proofErr w:type="spellStart"/>
            <w:r w:rsidR="008C3A00" w:rsidRPr="00292532">
              <w:rPr>
                <w:rFonts w:eastAsia="Times New Roman" w:cs="Calibri"/>
                <w:color w:val="000000"/>
                <w:lang w:val="pt-PT"/>
              </w:rPr>
              <w:t>projecto</w:t>
            </w:r>
            <w:proofErr w:type="spellEnd"/>
            <w:r w:rsidRPr="00292532">
              <w:rPr>
                <w:rFonts w:eastAsia="Times New Roman" w:cs="Calibri"/>
                <w:color w:val="000000"/>
                <w:lang w:val="pt-PT"/>
              </w:rPr>
              <w:t xml:space="preserve"> poder afetar a qualidade das águas superficiais, subterrâneas e fontes de água potável?</w:t>
            </w:r>
          </w:p>
        </w:tc>
        <w:tc>
          <w:tcPr>
            <w:tcW w:w="630" w:type="dxa"/>
            <w:tcBorders>
              <w:top w:val="nil"/>
              <w:left w:val="nil"/>
              <w:bottom w:val="single" w:sz="4" w:space="0" w:color="auto"/>
              <w:right w:val="single" w:sz="4" w:space="0" w:color="auto"/>
            </w:tcBorders>
            <w:shd w:val="clear" w:color="auto" w:fill="auto"/>
            <w:noWrap/>
            <w:vAlign w:val="bottom"/>
            <w:hideMark/>
          </w:tcPr>
          <w:p w14:paraId="10A01F23"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69D729CD"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7E6B7E20"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292532" w14:paraId="5C2024C2" w14:textId="77777777" w:rsidTr="00B94A74">
        <w:trPr>
          <w:trHeight w:val="1020"/>
        </w:trPr>
        <w:tc>
          <w:tcPr>
            <w:tcW w:w="4225" w:type="dxa"/>
            <w:tcBorders>
              <w:top w:val="nil"/>
              <w:left w:val="single" w:sz="4" w:space="0" w:color="auto"/>
              <w:bottom w:val="single" w:sz="4" w:space="0" w:color="auto"/>
              <w:right w:val="single" w:sz="4" w:space="0" w:color="auto"/>
            </w:tcBorders>
            <w:shd w:val="clear" w:color="auto" w:fill="auto"/>
            <w:vAlign w:val="bottom"/>
            <w:hideMark/>
          </w:tcPr>
          <w:p w14:paraId="3702EED0" w14:textId="07944846"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Terá o </w:t>
            </w:r>
            <w:proofErr w:type="spellStart"/>
            <w:r w:rsidR="008C3A00" w:rsidRPr="00292532">
              <w:rPr>
                <w:rFonts w:eastAsia="Times New Roman" w:cs="Calibri"/>
                <w:color w:val="000000"/>
                <w:lang w:val="pt-PT"/>
              </w:rPr>
              <w:t>projecto</w:t>
            </w:r>
            <w:proofErr w:type="spellEnd"/>
            <w:r w:rsidRPr="00292532">
              <w:rPr>
                <w:rFonts w:eastAsia="Times New Roman" w:cs="Calibri"/>
                <w:color w:val="000000"/>
                <w:lang w:val="pt-PT"/>
              </w:rPr>
              <w:t xml:space="preserve"> qualquer potencial de afetar a atmosfera e causar a poluição do ar (poeira, PM 10, vários gases como </w:t>
            </w:r>
            <w:proofErr w:type="spellStart"/>
            <w:r w:rsidRPr="00292532">
              <w:rPr>
                <w:rFonts w:eastAsia="Times New Roman" w:cs="Calibri"/>
                <w:color w:val="000000"/>
                <w:lang w:val="pt-PT"/>
              </w:rPr>
              <w:t>NOx</w:t>
            </w:r>
            <w:proofErr w:type="spellEnd"/>
            <w:r w:rsidRPr="00292532">
              <w:rPr>
                <w:rFonts w:eastAsia="Times New Roman" w:cs="Calibri"/>
                <w:color w:val="000000"/>
                <w:lang w:val="pt-PT"/>
              </w:rPr>
              <w:t>, SO2, etc.</w:t>
            </w:r>
            <w:proofErr w:type="gramStart"/>
            <w:r w:rsidRPr="00292532">
              <w:rPr>
                <w:rFonts w:eastAsia="Times New Roman" w:cs="Calibri"/>
                <w:color w:val="000000"/>
                <w:lang w:val="pt-PT"/>
              </w:rPr>
              <w:t>) ?</w:t>
            </w:r>
            <w:proofErr w:type="gramEnd"/>
          </w:p>
        </w:tc>
        <w:tc>
          <w:tcPr>
            <w:tcW w:w="630" w:type="dxa"/>
            <w:tcBorders>
              <w:top w:val="nil"/>
              <w:left w:val="nil"/>
              <w:bottom w:val="single" w:sz="4" w:space="0" w:color="auto"/>
              <w:right w:val="single" w:sz="4" w:space="0" w:color="auto"/>
            </w:tcBorders>
            <w:shd w:val="clear" w:color="auto" w:fill="auto"/>
            <w:noWrap/>
            <w:vAlign w:val="bottom"/>
            <w:hideMark/>
          </w:tcPr>
          <w:p w14:paraId="06907290"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6E87BF59"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68C4ACA5"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646A9EF6" w14:textId="77777777" w:rsidTr="00B94A74">
        <w:trPr>
          <w:trHeight w:val="555"/>
        </w:trPr>
        <w:tc>
          <w:tcPr>
            <w:tcW w:w="4225" w:type="dxa"/>
            <w:tcBorders>
              <w:top w:val="nil"/>
              <w:left w:val="single" w:sz="4" w:space="0" w:color="auto"/>
              <w:bottom w:val="single" w:sz="4" w:space="0" w:color="auto"/>
              <w:right w:val="single" w:sz="4" w:space="0" w:color="auto"/>
            </w:tcBorders>
            <w:shd w:val="clear" w:color="auto" w:fill="auto"/>
            <w:vAlign w:val="bottom"/>
            <w:hideMark/>
          </w:tcPr>
          <w:p w14:paraId="582F191E"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O </w:t>
            </w:r>
            <w:proofErr w:type="spellStart"/>
            <w:r w:rsidRPr="00292532">
              <w:rPr>
                <w:rFonts w:eastAsia="Times New Roman" w:cs="Calibri"/>
                <w:color w:val="000000"/>
                <w:lang w:val="pt-PT"/>
              </w:rPr>
              <w:t>projecto</w:t>
            </w:r>
            <w:proofErr w:type="spellEnd"/>
            <w:r w:rsidRPr="00292532">
              <w:rPr>
                <w:rFonts w:eastAsia="Times New Roman" w:cs="Calibri"/>
                <w:color w:val="000000"/>
                <w:lang w:val="pt-PT"/>
              </w:rPr>
              <w:t xml:space="preserve"> irá gerar emissões eletromagnéticas?</w:t>
            </w:r>
          </w:p>
        </w:tc>
        <w:tc>
          <w:tcPr>
            <w:tcW w:w="630" w:type="dxa"/>
            <w:tcBorders>
              <w:top w:val="nil"/>
              <w:left w:val="nil"/>
              <w:bottom w:val="single" w:sz="4" w:space="0" w:color="auto"/>
              <w:right w:val="single" w:sz="4" w:space="0" w:color="auto"/>
            </w:tcBorders>
            <w:shd w:val="clear" w:color="auto" w:fill="auto"/>
            <w:noWrap/>
            <w:vAlign w:val="bottom"/>
            <w:hideMark/>
          </w:tcPr>
          <w:p w14:paraId="21E36A4B"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2C718348"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19C6384D"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292532" w14:paraId="52955348" w14:textId="77777777" w:rsidTr="00B94A74">
        <w:trPr>
          <w:trHeight w:val="555"/>
        </w:trPr>
        <w:tc>
          <w:tcPr>
            <w:tcW w:w="9075"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9613E06" w14:textId="77777777" w:rsidR="00B94A74" w:rsidRPr="00292532" w:rsidRDefault="00B94A74" w:rsidP="00B94A74">
            <w:pPr>
              <w:spacing w:before="0" w:after="0"/>
              <w:rPr>
                <w:rFonts w:eastAsia="Times New Roman" w:cs="Calibri"/>
                <w:b/>
                <w:bCs/>
                <w:color w:val="000000"/>
                <w:lang w:val="pt-PT"/>
              </w:rPr>
            </w:pPr>
            <w:proofErr w:type="spellStart"/>
            <w:r w:rsidRPr="00292532">
              <w:rPr>
                <w:rFonts w:eastAsia="Times New Roman" w:cs="Calibri"/>
                <w:b/>
                <w:bCs/>
                <w:color w:val="000000"/>
                <w:lang w:val="pt-PT"/>
              </w:rPr>
              <w:t>Socioeconomia</w:t>
            </w:r>
            <w:proofErr w:type="spellEnd"/>
          </w:p>
        </w:tc>
      </w:tr>
      <w:tr w:rsidR="00B94A74" w:rsidRPr="008D18CF" w14:paraId="5C1695F1" w14:textId="77777777" w:rsidTr="00B94A74">
        <w:trPr>
          <w:trHeight w:val="555"/>
        </w:trPr>
        <w:tc>
          <w:tcPr>
            <w:tcW w:w="4225" w:type="dxa"/>
            <w:tcBorders>
              <w:top w:val="nil"/>
              <w:left w:val="single" w:sz="4" w:space="0" w:color="auto"/>
              <w:bottom w:val="single" w:sz="4" w:space="0" w:color="auto"/>
              <w:right w:val="single" w:sz="4" w:space="0" w:color="auto"/>
            </w:tcBorders>
            <w:shd w:val="clear" w:color="auto" w:fill="auto"/>
            <w:vAlign w:val="bottom"/>
            <w:hideMark/>
          </w:tcPr>
          <w:p w14:paraId="45A8C899"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O </w:t>
            </w:r>
            <w:proofErr w:type="spellStart"/>
            <w:r w:rsidRPr="00292532">
              <w:rPr>
                <w:rFonts w:eastAsia="Times New Roman" w:cs="Calibri"/>
                <w:color w:val="000000"/>
                <w:lang w:val="pt-PT"/>
              </w:rPr>
              <w:t>projecto</w:t>
            </w:r>
            <w:proofErr w:type="spellEnd"/>
            <w:r w:rsidRPr="00292532">
              <w:rPr>
                <w:rFonts w:eastAsia="Times New Roman" w:cs="Calibri"/>
                <w:color w:val="000000"/>
                <w:lang w:val="pt-PT"/>
              </w:rPr>
              <w:t xml:space="preserve"> irá proceder a aquisição compulsiva de </w:t>
            </w:r>
            <w:proofErr w:type="gramStart"/>
            <w:r w:rsidRPr="00292532">
              <w:rPr>
                <w:rFonts w:eastAsia="Times New Roman" w:cs="Calibri"/>
                <w:color w:val="000000"/>
                <w:lang w:val="pt-PT"/>
              </w:rPr>
              <w:t>terra ?</w:t>
            </w:r>
            <w:proofErr w:type="gramEnd"/>
          </w:p>
        </w:tc>
        <w:tc>
          <w:tcPr>
            <w:tcW w:w="630" w:type="dxa"/>
            <w:tcBorders>
              <w:top w:val="nil"/>
              <w:left w:val="nil"/>
              <w:bottom w:val="single" w:sz="4" w:space="0" w:color="auto"/>
              <w:right w:val="single" w:sz="4" w:space="0" w:color="auto"/>
            </w:tcBorders>
            <w:shd w:val="clear" w:color="auto" w:fill="auto"/>
            <w:noWrap/>
            <w:vAlign w:val="bottom"/>
            <w:hideMark/>
          </w:tcPr>
          <w:p w14:paraId="77246E72"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4BADF596"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6BB3642A"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28E10C21" w14:textId="77777777" w:rsidTr="00B94A74">
        <w:trPr>
          <w:trHeight w:val="555"/>
        </w:trPr>
        <w:tc>
          <w:tcPr>
            <w:tcW w:w="4225" w:type="dxa"/>
            <w:tcBorders>
              <w:top w:val="nil"/>
              <w:left w:val="single" w:sz="4" w:space="0" w:color="auto"/>
              <w:bottom w:val="single" w:sz="4" w:space="0" w:color="auto"/>
              <w:right w:val="single" w:sz="4" w:space="0" w:color="auto"/>
            </w:tcBorders>
            <w:shd w:val="clear" w:color="auto" w:fill="auto"/>
            <w:vAlign w:val="bottom"/>
            <w:hideMark/>
          </w:tcPr>
          <w:p w14:paraId="698333F6"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Existem empreendimentos privados ou comunitários negativamente </w:t>
            </w:r>
            <w:proofErr w:type="spellStart"/>
            <w:r w:rsidRPr="00292532">
              <w:rPr>
                <w:rFonts w:eastAsia="Times New Roman" w:cs="Calibri"/>
                <w:color w:val="000000"/>
                <w:lang w:val="pt-PT"/>
              </w:rPr>
              <w:t>afectados</w:t>
            </w:r>
            <w:proofErr w:type="spellEnd"/>
            <w:r w:rsidRPr="00292532">
              <w:rPr>
                <w:rFonts w:eastAsia="Times New Roman" w:cs="Calibri"/>
                <w:color w:val="000000"/>
                <w:lang w:val="pt-PT"/>
              </w:rPr>
              <w:t xml:space="preserve"> pelo </w:t>
            </w:r>
            <w:proofErr w:type="spellStart"/>
            <w:proofErr w:type="gramStart"/>
            <w:r w:rsidRPr="00292532">
              <w:rPr>
                <w:rFonts w:eastAsia="Times New Roman" w:cs="Calibri"/>
                <w:color w:val="000000"/>
                <w:lang w:val="pt-PT"/>
              </w:rPr>
              <w:t>projecto</w:t>
            </w:r>
            <w:proofErr w:type="spellEnd"/>
            <w:r w:rsidRPr="00292532">
              <w:rPr>
                <w:rFonts w:eastAsia="Times New Roman" w:cs="Calibri"/>
                <w:color w:val="000000"/>
                <w:lang w:val="pt-PT"/>
              </w:rPr>
              <w:t xml:space="preserve"> ?</w:t>
            </w:r>
            <w:proofErr w:type="gramEnd"/>
          </w:p>
        </w:tc>
        <w:tc>
          <w:tcPr>
            <w:tcW w:w="630" w:type="dxa"/>
            <w:tcBorders>
              <w:top w:val="nil"/>
              <w:left w:val="nil"/>
              <w:bottom w:val="single" w:sz="4" w:space="0" w:color="auto"/>
              <w:right w:val="single" w:sz="4" w:space="0" w:color="auto"/>
            </w:tcBorders>
            <w:shd w:val="clear" w:color="auto" w:fill="auto"/>
            <w:noWrap/>
            <w:vAlign w:val="bottom"/>
            <w:hideMark/>
          </w:tcPr>
          <w:p w14:paraId="696D5668"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2298BF28"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58EA202C"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30DE8C75" w14:textId="77777777" w:rsidTr="00B94A74">
        <w:trPr>
          <w:trHeight w:val="555"/>
        </w:trPr>
        <w:tc>
          <w:tcPr>
            <w:tcW w:w="4225" w:type="dxa"/>
            <w:tcBorders>
              <w:top w:val="nil"/>
              <w:left w:val="single" w:sz="4" w:space="0" w:color="auto"/>
              <w:bottom w:val="single" w:sz="4" w:space="0" w:color="auto"/>
              <w:right w:val="single" w:sz="4" w:space="0" w:color="auto"/>
            </w:tcBorders>
            <w:shd w:val="clear" w:color="auto" w:fill="auto"/>
            <w:vAlign w:val="bottom"/>
            <w:hideMark/>
          </w:tcPr>
          <w:p w14:paraId="5C9B2727"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Existem áreas densamente povoadas que sejam negativamente </w:t>
            </w:r>
            <w:proofErr w:type="spellStart"/>
            <w:r w:rsidRPr="00292532">
              <w:rPr>
                <w:rFonts w:eastAsia="Times New Roman" w:cs="Calibri"/>
                <w:color w:val="000000"/>
                <w:lang w:val="pt-PT"/>
              </w:rPr>
              <w:t>afectadas</w:t>
            </w:r>
            <w:proofErr w:type="spellEnd"/>
            <w:r w:rsidRPr="00292532">
              <w:rPr>
                <w:rFonts w:eastAsia="Times New Roman" w:cs="Calibri"/>
                <w:color w:val="000000"/>
                <w:lang w:val="pt-PT"/>
              </w:rPr>
              <w:t xml:space="preserve"> pelo </w:t>
            </w:r>
            <w:proofErr w:type="spellStart"/>
            <w:proofErr w:type="gramStart"/>
            <w:r w:rsidRPr="00292532">
              <w:rPr>
                <w:rFonts w:eastAsia="Times New Roman" w:cs="Calibri"/>
                <w:color w:val="000000"/>
                <w:lang w:val="pt-PT"/>
              </w:rPr>
              <w:t>projecto</w:t>
            </w:r>
            <w:proofErr w:type="spellEnd"/>
            <w:r w:rsidRPr="00292532">
              <w:rPr>
                <w:rFonts w:eastAsia="Times New Roman" w:cs="Calibri"/>
                <w:color w:val="000000"/>
                <w:lang w:val="pt-PT"/>
              </w:rPr>
              <w:t xml:space="preserve"> ?</w:t>
            </w:r>
            <w:proofErr w:type="gramEnd"/>
          </w:p>
        </w:tc>
        <w:tc>
          <w:tcPr>
            <w:tcW w:w="630" w:type="dxa"/>
            <w:tcBorders>
              <w:top w:val="nil"/>
              <w:left w:val="nil"/>
              <w:bottom w:val="single" w:sz="4" w:space="0" w:color="auto"/>
              <w:right w:val="single" w:sz="4" w:space="0" w:color="auto"/>
            </w:tcBorders>
            <w:shd w:val="clear" w:color="auto" w:fill="auto"/>
            <w:noWrap/>
            <w:vAlign w:val="bottom"/>
            <w:hideMark/>
          </w:tcPr>
          <w:p w14:paraId="4739E2DA"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12C09D50"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025FD0EC"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006CA52B" w14:textId="77777777" w:rsidTr="00B94A74">
        <w:trPr>
          <w:trHeight w:val="555"/>
        </w:trPr>
        <w:tc>
          <w:tcPr>
            <w:tcW w:w="4225" w:type="dxa"/>
            <w:tcBorders>
              <w:top w:val="nil"/>
              <w:left w:val="single" w:sz="4" w:space="0" w:color="auto"/>
              <w:bottom w:val="single" w:sz="4" w:space="0" w:color="auto"/>
              <w:right w:val="single" w:sz="4" w:space="0" w:color="auto"/>
            </w:tcBorders>
            <w:shd w:val="clear" w:color="auto" w:fill="auto"/>
            <w:vAlign w:val="bottom"/>
            <w:hideMark/>
          </w:tcPr>
          <w:p w14:paraId="64BF2A1D"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Existe alguma infraestrutura social (escolas, hospitais, mercados) que sejam </w:t>
            </w:r>
            <w:proofErr w:type="spellStart"/>
            <w:r w:rsidRPr="00292532">
              <w:rPr>
                <w:rFonts w:eastAsia="Times New Roman" w:cs="Calibri"/>
                <w:color w:val="000000"/>
                <w:lang w:val="pt-PT"/>
              </w:rPr>
              <w:t>afectadas</w:t>
            </w:r>
            <w:proofErr w:type="spellEnd"/>
            <w:r w:rsidRPr="00292532">
              <w:rPr>
                <w:rFonts w:eastAsia="Times New Roman" w:cs="Calibri"/>
                <w:color w:val="000000"/>
                <w:lang w:val="pt-PT"/>
              </w:rPr>
              <w:t xml:space="preserve"> pelo </w:t>
            </w:r>
            <w:proofErr w:type="spellStart"/>
            <w:r w:rsidRPr="00292532">
              <w:rPr>
                <w:rFonts w:eastAsia="Times New Roman" w:cs="Calibri"/>
                <w:color w:val="000000"/>
                <w:lang w:val="pt-PT"/>
              </w:rPr>
              <w:t>projecto</w:t>
            </w:r>
            <w:proofErr w:type="spellEnd"/>
            <w:r w:rsidRPr="00292532">
              <w:rPr>
                <w:rFonts w:eastAsia="Times New Roman" w:cs="Calibri"/>
                <w:color w:val="000000"/>
                <w:lang w:val="pt-PT"/>
              </w:rPr>
              <w:t>?</w:t>
            </w:r>
          </w:p>
        </w:tc>
        <w:tc>
          <w:tcPr>
            <w:tcW w:w="630" w:type="dxa"/>
            <w:tcBorders>
              <w:top w:val="nil"/>
              <w:left w:val="nil"/>
              <w:bottom w:val="single" w:sz="4" w:space="0" w:color="auto"/>
              <w:right w:val="single" w:sz="4" w:space="0" w:color="auto"/>
            </w:tcBorders>
            <w:shd w:val="clear" w:color="auto" w:fill="auto"/>
            <w:noWrap/>
            <w:vAlign w:val="bottom"/>
            <w:hideMark/>
          </w:tcPr>
          <w:p w14:paraId="14BF8191"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11DA41CA"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7D1A9901"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292532" w14:paraId="41FCFA3B" w14:textId="77777777" w:rsidTr="00B94A74">
        <w:trPr>
          <w:trHeight w:val="555"/>
        </w:trPr>
        <w:tc>
          <w:tcPr>
            <w:tcW w:w="4225" w:type="dxa"/>
            <w:tcBorders>
              <w:top w:val="nil"/>
              <w:left w:val="single" w:sz="4" w:space="0" w:color="auto"/>
              <w:bottom w:val="single" w:sz="4" w:space="0" w:color="auto"/>
              <w:right w:val="single" w:sz="4" w:space="0" w:color="auto"/>
            </w:tcBorders>
            <w:shd w:val="clear" w:color="auto" w:fill="auto"/>
            <w:vAlign w:val="bottom"/>
            <w:hideMark/>
          </w:tcPr>
          <w:p w14:paraId="63090204"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O </w:t>
            </w:r>
            <w:proofErr w:type="spellStart"/>
            <w:r w:rsidRPr="00292532">
              <w:rPr>
                <w:rFonts w:eastAsia="Times New Roman" w:cs="Calibri"/>
                <w:color w:val="000000"/>
                <w:lang w:val="pt-PT"/>
              </w:rPr>
              <w:t>projecto</w:t>
            </w:r>
            <w:proofErr w:type="spellEnd"/>
            <w:r w:rsidRPr="00292532">
              <w:rPr>
                <w:rFonts w:eastAsia="Times New Roman" w:cs="Calibri"/>
                <w:color w:val="000000"/>
                <w:lang w:val="pt-PT"/>
              </w:rPr>
              <w:t xml:space="preserve"> irá provocar reassentamento populacional? Quantifique</w:t>
            </w:r>
          </w:p>
        </w:tc>
        <w:tc>
          <w:tcPr>
            <w:tcW w:w="630" w:type="dxa"/>
            <w:tcBorders>
              <w:top w:val="nil"/>
              <w:left w:val="nil"/>
              <w:bottom w:val="single" w:sz="4" w:space="0" w:color="auto"/>
              <w:right w:val="single" w:sz="4" w:space="0" w:color="auto"/>
            </w:tcBorders>
            <w:shd w:val="clear" w:color="auto" w:fill="auto"/>
            <w:noWrap/>
            <w:vAlign w:val="bottom"/>
            <w:hideMark/>
          </w:tcPr>
          <w:p w14:paraId="6B9F3169"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55378C45"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4F0D081C"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4DEDC104" w14:textId="77777777" w:rsidTr="00B94A74">
        <w:trPr>
          <w:trHeight w:val="555"/>
        </w:trPr>
        <w:tc>
          <w:tcPr>
            <w:tcW w:w="4225" w:type="dxa"/>
            <w:tcBorders>
              <w:top w:val="nil"/>
              <w:left w:val="single" w:sz="4" w:space="0" w:color="auto"/>
              <w:bottom w:val="single" w:sz="4" w:space="0" w:color="auto"/>
              <w:right w:val="single" w:sz="4" w:space="0" w:color="auto"/>
            </w:tcBorders>
            <w:shd w:val="clear" w:color="auto" w:fill="auto"/>
            <w:vAlign w:val="bottom"/>
            <w:hideMark/>
          </w:tcPr>
          <w:p w14:paraId="21187E08"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O </w:t>
            </w:r>
            <w:proofErr w:type="spellStart"/>
            <w:r w:rsidRPr="00292532">
              <w:rPr>
                <w:rFonts w:eastAsia="Times New Roman" w:cs="Calibri"/>
                <w:color w:val="000000"/>
                <w:lang w:val="pt-PT"/>
              </w:rPr>
              <w:t>projecto</w:t>
            </w:r>
            <w:proofErr w:type="spellEnd"/>
            <w:r w:rsidRPr="00292532">
              <w:rPr>
                <w:rFonts w:eastAsia="Times New Roman" w:cs="Calibri"/>
                <w:color w:val="000000"/>
                <w:lang w:val="pt-PT"/>
              </w:rPr>
              <w:t xml:space="preserve"> irá </w:t>
            </w:r>
            <w:proofErr w:type="spellStart"/>
            <w:r w:rsidRPr="00292532">
              <w:rPr>
                <w:rFonts w:eastAsia="Times New Roman" w:cs="Calibri"/>
                <w:color w:val="000000"/>
                <w:lang w:val="pt-PT"/>
              </w:rPr>
              <w:t>afectar</w:t>
            </w:r>
            <w:proofErr w:type="spellEnd"/>
            <w:r w:rsidRPr="00292532">
              <w:rPr>
                <w:rFonts w:eastAsia="Times New Roman" w:cs="Calibri"/>
                <w:color w:val="000000"/>
                <w:lang w:val="pt-PT"/>
              </w:rPr>
              <w:t xml:space="preserve"> algum recurso natural que é usado pela </w:t>
            </w:r>
            <w:proofErr w:type="gramStart"/>
            <w:r w:rsidRPr="00292532">
              <w:rPr>
                <w:rFonts w:eastAsia="Times New Roman" w:cs="Calibri"/>
                <w:color w:val="000000"/>
                <w:lang w:val="pt-PT"/>
              </w:rPr>
              <w:t>comunidade ?</w:t>
            </w:r>
            <w:proofErr w:type="gramEnd"/>
          </w:p>
        </w:tc>
        <w:tc>
          <w:tcPr>
            <w:tcW w:w="630" w:type="dxa"/>
            <w:tcBorders>
              <w:top w:val="nil"/>
              <w:left w:val="nil"/>
              <w:bottom w:val="single" w:sz="4" w:space="0" w:color="auto"/>
              <w:right w:val="single" w:sz="4" w:space="0" w:color="auto"/>
            </w:tcBorders>
            <w:shd w:val="clear" w:color="auto" w:fill="auto"/>
            <w:noWrap/>
            <w:vAlign w:val="bottom"/>
            <w:hideMark/>
          </w:tcPr>
          <w:p w14:paraId="43A7AF28"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12F7587E"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360A8DC6"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457014A7" w14:textId="77777777" w:rsidTr="00B94A74">
        <w:trPr>
          <w:trHeight w:val="555"/>
        </w:trPr>
        <w:tc>
          <w:tcPr>
            <w:tcW w:w="4225" w:type="dxa"/>
            <w:tcBorders>
              <w:top w:val="nil"/>
              <w:left w:val="single" w:sz="4" w:space="0" w:color="auto"/>
              <w:bottom w:val="single" w:sz="4" w:space="0" w:color="auto"/>
              <w:right w:val="single" w:sz="4" w:space="0" w:color="auto"/>
            </w:tcBorders>
            <w:shd w:val="clear" w:color="auto" w:fill="auto"/>
            <w:vAlign w:val="bottom"/>
            <w:hideMark/>
          </w:tcPr>
          <w:p w14:paraId="3512995C"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O </w:t>
            </w:r>
            <w:proofErr w:type="spellStart"/>
            <w:r w:rsidRPr="00292532">
              <w:rPr>
                <w:rFonts w:eastAsia="Times New Roman" w:cs="Calibri"/>
                <w:color w:val="000000"/>
                <w:lang w:val="pt-PT"/>
              </w:rPr>
              <w:t>projecto</w:t>
            </w:r>
            <w:proofErr w:type="spellEnd"/>
            <w:r w:rsidRPr="00292532">
              <w:rPr>
                <w:rFonts w:eastAsia="Times New Roman" w:cs="Calibri"/>
                <w:color w:val="000000"/>
                <w:lang w:val="pt-PT"/>
              </w:rPr>
              <w:t xml:space="preserve"> irá requerer o uso de água de fontes locais?</w:t>
            </w:r>
          </w:p>
        </w:tc>
        <w:tc>
          <w:tcPr>
            <w:tcW w:w="630" w:type="dxa"/>
            <w:tcBorders>
              <w:top w:val="nil"/>
              <w:left w:val="nil"/>
              <w:bottom w:val="single" w:sz="4" w:space="0" w:color="auto"/>
              <w:right w:val="single" w:sz="4" w:space="0" w:color="auto"/>
            </w:tcBorders>
            <w:shd w:val="clear" w:color="auto" w:fill="auto"/>
            <w:noWrap/>
            <w:vAlign w:val="bottom"/>
            <w:hideMark/>
          </w:tcPr>
          <w:p w14:paraId="25922F45"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742C4387"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61278D99"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65E4A39E" w14:textId="77777777" w:rsidTr="00B94A74">
        <w:trPr>
          <w:trHeight w:val="555"/>
        </w:trPr>
        <w:tc>
          <w:tcPr>
            <w:tcW w:w="4225" w:type="dxa"/>
            <w:tcBorders>
              <w:top w:val="nil"/>
              <w:left w:val="single" w:sz="4" w:space="0" w:color="auto"/>
              <w:bottom w:val="single" w:sz="4" w:space="0" w:color="auto"/>
              <w:right w:val="single" w:sz="4" w:space="0" w:color="auto"/>
            </w:tcBorders>
            <w:shd w:val="clear" w:color="auto" w:fill="auto"/>
            <w:vAlign w:val="bottom"/>
            <w:hideMark/>
          </w:tcPr>
          <w:p w14:paraId="77D51DFC" w14:textId="5EE38D0A"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O </w:t>
            </w:r>
            <w:proofErr w:type="spellStart"/>
            <w:r w:rsidRPr="00292532">
              <w:rPr>
                <w:rFonts w:eastAsia="Times New Roman" w:cs="Calibri"/>
                <w:color w:val="000000"/>
                <w:lang w:val="pt-PT"/>
              </w:rPr>
              <w:t>projecto</w:t>
            </w:r>
            <w:proofErr w:type="spellEnd"/>
            <w:r w:rsidRPr="00292532">
              <w:rPr>
                <w:rFonts w:eastAsia="Times New Roman" w:cs="Calibri"/>
                <w:color w:val="000000"/>
                <w:lang w:val="pt-PT"/>
              </w:rPr>
              <w:t xml:space="preserve"> irá restringir o acesso a terra ou aos recurso</w:t>
            </w:r>
            <w:r w:rsidR="009F6136" w:rsidRPr="00292532">
              <w:rPr>
                <w:rFonts w:eastAsia="Times New Roman" w:cs="Calibri"/>
                <w:color w:val="000000"/>
                <w:lang w:val="pt-PT"/>
              </w:rPr>
              <w:t>s</w:t>
            </w:r>
            <w:r w:rsidRPr="00292532">
              <w:rPr>
                <w:rFonts w:eastAsia="Times New Roman" w:cs="Calibri"/>
                <w:color w:val="000000"/>
                <w:lang w:val="pt-PT"/>
              </w:rPr>
              <w:t xml:space="preserve"> naturais locais?</w:t>
            </w:r>
          </w:p>
        </w:tc>
        <w:tc>
          <w:tcPr>
            <w:tcW w:w="630" w:type="dxa"/>
            <w:tcBorders>
              <w:top w:val="nil"/>
              <w:left w:val="nil"/>
              <w:bottom w:val="single" w:sz="4" w:space="0" w:color="auto"/>
              <w:right w:val="single" w:sz="4" w:space="0" w:color="auto"/>
            </w:tcBorders>
            <w:shd w:val="clear" w:color="auto" w:fill="auto"/>
            <w:noWrap/>
            <w:vAlign w:val="bottom"/>
            <w:hideMark/>
          </w:tcPr>
          <w:p w14:paraId="45EC4C26"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15323489"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4216205F"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4F6AC2DF" w14:textId="77777777" w:rsidTr="00B94A74">
        <w:trPr>
          <w:trHeight w:val="555"/>
        </w:trPr>
        <w:tc>
          <w:tcPr>
            <w:tcW w:w="9075"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F65CCB4" w14:textId="77777777" w:rsidR="00B94A74" w:rsidRPr="00292532" w:rsidRDefault="00B94A74" w:rsidP="00B94A74">
            <w:pPr>
              <w:spacing w:before="0" w:after="0"/>
              <w:rPr>
                <w:rFonts w:eastAsia="Times New Roman" w:cs="Calibri"/>
                <w:b/>
                <w:bCs/>
                <w:color w:val="000000"/>
                <w:lang w:val="pt-PT"/>
              </w:rPr>
            </w:pPr>
            <w:r w:rsidRPr="00292532">
              <w:rPr>
                <w:rFonts w:eastAsia="Times New Roman" w:cs="Calibri"/>
                <w:b/>
                <w:bCs/>
                <w:color w:val="000000"/>
                <w:lang w:val="pt-PT"/>
              </w:rPr>
              <w:t>Perda de culturas, árvores de fruta ou de infraestruturas</w:t>
            </w:r>
          </w:p>
        </w:tc>
      </w:tr>
      <w:tr w:rsidR="00B94A74" w:rsidRPr="008D18CF" w14:paraId="13AA0A04" w14:textId="77777777" w:rsidTr="00B94A74">
        <w:trPr>
          <w:trHeight w:val="555"/>
        </w:trPr>
        <w:tc>
          <w:tcPr>
            <w:tcW w:w="4225" w:type="dxa"/>
            <w:tcBorders>
              <w:top w:val="nil"/>
              <w:left w:val="single" w:sz="4" w:space="0" w:color="auto"/>
              <w:bottom w:val="single" w:sz="4" w:space="0" w:color="auto"/>
              <w:right w:val="single" w:sz="4" w:space="0" w:color="auto"/>
            </w:tcBorders>
            <w:shd w:val="clear" w:color="auto" w:fill="auto"/>
            <w:vAlign w:val="bottom"/>
            <w:hideMark/>
          </w:tcPr>
          <w:p w14:paraId="4DC2C8AA"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lastRenderedPageBreak/>
              <w:t xml:space="preserve">O </w:t>
            </w:r>
            <w:proofErr w:type="spellStart"/>
            <w:r w:rsidRPr="00292532">
              <w:rPr>
                <w:rFonts w:eastAsia="Times New Roman" w:cs="Calibri"/>
                <w:color w:val="000000"/>
                <w:lang w:val="pt-PT"/>
              </w:rPr>
              <w:t>projecto</w:t>
            </w:r>
            <w:proofErr w:type="spellEnd"/>
            <w:r w:rsidRPr="00292532">
              <w:rPr>
                <w:rFonts w:eastAsia="Times New Roman" w:cs="Calibri"/>
                <w:color w:val="000000"/>
                <w:lang w:val="pt-PT"/>
              </w:rPr>
              <w:t xml:space="preserve"> irá provocar a perda temporária ou definitiva de culturas?</w:t>
            </w:r>
          </w:p>
        </w:tc>
        <w:tc>
          <w:tcPr>
            <w:tcW w:w="630" w:type="dxa"/>
            <w:tcBorders>
              <w:top w:val="nil"/>
              <w:left w:val="nil"/>
              <w:bottom w:val="single" w:sz="4" w:space="0" w:color="auto"/>
              <w:right w:val="single" w:sz="4" w:space="0" w:color="auto"/>
            </w:tcBorders>
            <w:shd w:val="clear" w:color="auto" w:fill="auto"/>
            <w:noWrap/>
            <w:vAlign w:val="bottom"/>
            <w:hideMark/>
          </w:tcPr>
          <w:p w14:paraId="449911ED"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3F5187B7"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35D0506C"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01DE9767" w14:textId="77777777" w:rsidTr="00B94A74">
        <w:trPr>
          <w:trHeight w:val="555"/>
        </w:trPr>
        <w:tc>
          <w:tcPr>
            <w:tcW w:w="4225" w:type="dxa"/>
            <w:tcBorders>
              <w:top w:val="nil"/>
              <w:left w:val="single" w:sz="4" w:space="0" w:color="auto"/>
              <w:bottom w:val="single" w:sz="4" w:space="0" w:color="auto"/>
              <w:right w:val="single" w:sz="4" w:space="0" w:color="auto"/>
            </w:tcBorders>
            <w:shd w:val="clear" w:color="auto" w:fill="auto"/>
            <w:vAlign w:val="bottom"/>
            <w:hideMark/>
          </w:tcPr>
          <w:p w14:paraId="7D4EF991"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O </w:t>
            </w:r>
            <w:proofErr w:type="spellStart"/>
            <w:r w:rsidRPr="00292532">
              <w:rPr>
                <w:rFonts w:eastAsia="Times New Roman" w:cs="Calibri"/>
                <w:color w:val="000000"/>
                <w:lang w:val="pt-PT"/>
              </w:rPr>
              <w:t>projecto</w:t>
            </w:r>
            <w:proofErr w:type="spellEnd"/>
            <w:r w:rsidRPr="00292532">
              <w:rPr>
                <w:rFonts w:eastAsia="Times New Roman" w:cs="Calibri"/>
                <w:color w:val="000000"/>
                <w:lang w:val="pt-PT"/>
              </w:rPr>
              <w:t xml:space="preserve"> irá provocar a perda temporária ou definitiva de árvores de fruta de rendimento?</w:t>
            </w:r>
          </w:p>
        </w:tc>
        <w:tc>
          <w:tcPr>
            <w:tcW w:w="630" w:type="dxa"/>
            <w:tcBorders>
              <w:top w:val="nil"/>
              <w:left w:val="nil"/>
              <w:bottom w:val="single" w:sz="4" w:space="0" w:color="auto"/>
              <w:right w:val="single" w:sz="4" w:space="0" w:color="auto"/>
            </w:tcBorders>
            <w:shd w:val="clear" w:color="auto" w:fill="auto"/>
            <w:noWrap/>
            <w:vAlign w:val="bottom"/>
            <w:hideMark/>
          </w:tcPr>
          <w:p w14:paraId="59C91FC4"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13D49838"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5DE0530A"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529CB6D4" w14:textId="77777777" w:rsidTr="00B94A74">
        <w:trPr>
          <w:trHeight w:val="555"/>
        </w:trPr>
        <w:tc>
          <w:tcPr>
            <w:tcW w:w="4225" w:type="dxa"/>
            <w:tcBorders>
              <w:top w:val="nil"/>
              <w:left w:val="single" w:sz="4" w:space="0" w:color="auto"/>
              <w:bottom w:val="single" w:sz="4" w:space="0" w:color="auto"/>
              <w:right w:val="single" w:sz="4" w:space="0" w:color="auto"/>
            </w:tcBorders>
            <w:shd w:val="clear" w:color="auto" w:fill="auto"/>
            <w:vAlign w:val="bottom"/>
            <w:hideMark/>
          </w:tcPr>
          <w:p w14:paraId="53630C0E"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Alguma infraestruturas será total ou parcialmente </w:t>
            </w:r>
            <w:proofErr w:type="spellStart"/>
            <w:r w:rsidRPr="00292532">
              <w:rPr>
                <w:rFonts w:eastAsia="Times New Roman" w:cs="Calibri"/>
                <w:color w:val="000000"/>
                <w:lang w:val="pt-PT"/>
              </w:rPr>
              <w:t>afectada</w:t>
            </w:r>
            <w:proofErr w:type="spellEnd"/>
            <w:r w:rsidRPr="00292532">
              <w:rPr>
                <w:rFonts w:eastAsia="Times New Roman" w:cs="Calibri"/>
                <w:color w:val="000000"/>
                <w:lang w:val="pt-PT"/>
              </w:rPr>
              <w:t xml:space="preserve"> pelo </w:t>
            </w:r>
            <w:proofErr w:type="spellStart"/>
            <w:r w:rsidRPr="00292532">
              <w:rPr>
                <w:rFonts w:eastAsia="Times New Roman" w:cs="Calibri"/>
                <w:color w:val="000000"/>
                <w:lang w:val="pt-PT"/>
              </w:rPr>
              <w:t>projecto</w:t>
            </w:r>
            <w:proofErr w:type="spellEnd"/>
            <w:r w:rsidRPr="00292532">
              <w:rPr>
                <w:rFonts w:eastAsia="Times New Roman" w:cs="Calibri"/>
                <w:color w:val="000000"/>
                <w:lang w:val="pt-PT"/>
              </w:rPr>
              <w:t>?</w:t>
            </w:r>
          </w:p>
        </w:tc>
        <w:tc>
          <w:tcPr>
            <w:tcW w:w="630" w:type="dxa"/>
            <w:tcBorders>
              <w:top w:val="nil"/>
              <w:left w:val="nil"/>
              <w:bottom w:val="single" w:sz="4" w:space="0" w:color="auto"/>
              <w:right w:val="single" w:sz="4" w:space="0" w:color="auto"/>
            </w:tcBorders>
            <w:shd w:val="clear" w:color="auto" w:fill="auto"/>
            <w:noWrap/>
            <w:vAlign w:val="bottom"/>
            <w:hideMark/>
          </w:tcPr>
          <w:p w14:paraId="19D2536D"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34D73B04"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3FFFC7B1"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292532" w14:paraId="7ADD9ABC" w14:textId="77777777" w:rsidTr="00B94A74">
        <w:trPr>
          <w:trHeight w:val="555"/>
        </w:trPr>
        <w:tc>
          <w:tcPr>
            <w:tcW w:w="4225" w:type="dxa"/>
            <w:tcBorders>
              <w:top w:val="nil"/>
              <w:left w:val="single" w:sz="4" w:space="0" w:color="auto"/>
              <w:bottom w:val="single" w:sz="4" w:space="0" w:color="auto"/>
              <w:right w:val="single" w:sz="4" w:space="0" w:color="auto"/>
            </w:tcBorders>
            <w:shd w:val="clear" w:color="auto" w:fill="auto"/>
            <w:noWrap/>
            <w:vAlign w:val="bottom"/>
            <w:hideMark/>
          </w:tcPr>
          <w:p w14:paraId="611EC193" w14:textId="77777777" w:rsidR="00B94A74" w:rsidRPr="00292532" w:rsidRDefault="00B94A74" w:rsidP="00B94A74">
            <w:pPr>
              <w:spacing w:before="0" w:after="0"/>
              <w:jc w:val="left"/>
              <w:rPr>
                <w:rFonts w:eastAsia="Times New Roman" w:cs="Calibri"/>
                <w:b/>
                <w:bCs/>
                <w:color w:val="000000"/>
                <w:lang w:val="pt-PT"/>
              </w:rPr>
            </w:pPr>
            <w:r w:rsidRPr="00292532">
              <w:rPr>
                <w:rFonts w:eastAsia="Times New Roman" w:cs="Calibri"/>
                <w:b/>
                <w:bCs/>
                <w:color w:val="000000"/>
                <w:lang w:val="pt-PT"/>
              </w:rPr>
              <w:t>Estilo de vida</w:t>
            </w:r>
          </w:p>
        </w:tc>
        <w:tc>
          <w:tcPr>
            <w:tcW w:w="630" w:type="dxa"/>
            <w:tcBorders>
              <w:top w:val="nil"/>
              <w:left w:val="nil"/>
              <w:bottom w:val="single" w:sz="4" w:space="0" w:color="auto"/>
              <w:right w:val="single" w:sz="4" w:space="0" w:color="auto"/>
            </w:tcBorders>
            <w:shd w:val="clear" w:color="auto" w:fill="auto"/>
            <w:noWrap/>
            <w:vAlign w:val="bottom"/>
            <w:hideMark/>
          </w:tcPr>
          <w:p w14:paraId="73F50714"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1A1D92F0"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7B9AC0A6"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4290E480" w14:textId="77777777" w:rsidTr="00B94A74">
        <w:trPr>
          <w:trHeight w:val="555"/>
        </w:trPr>
        <w:tc>
          <w:tcPr>
            <w:tcW w:w="4225" w:type="dxa"/>
            <w:tcBorders>
              <w:top w:val="nil"/>
              <w:left w:val="single" w:sz="4" w:space="0" w:color="auto"/>
              <w:bottom w:val="single" w:sz="4" w:space="0" w:color="auto"/>
              <w:right w:val="single" w:sz="4" w:space="0" w:color="auto"/>
            </w:tcBorders>
            <w:shd w:val="clear" w:color="auto" w:fill="auto"/>
            <w:vAlign w:val="bottom"/>
            <w:hideMark/>
          </w:tcPr>
          <w:p w14:paraId="22861702" w14:textId="5EA564E4"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Será que o </w:t>
            </w:r>
            <w:proofErr w:type="spellStart"/>
            <w:r w:rsidR="008C3A00" w:rsidRPr="00292532">
              <w:rPr>
                <w:rFonts w:eastAsia="Times New Roman" w:cs="Calibri"/>
                <w:color w:val="000000"/>
                <w:lang w:val="pt-PT"/>
              </w:rPr>
              <w:t>projecto</w:t>
            </w:r>
            <w:proofErr w:type="spellEnd"/>
            <w:r w:rsidRPr="00292532">
              <w:rPr>
                <w:rFonts w:eastAsia="Times New Roman" w:cs="Calibri"/>
                <w:color w:val="000000"/>
                <w:lang w:val="pt-PT"/>
              </w:rPr>
              <w:t xml:space="preserve"> tem algum potencial de causar alterações no estilo de vida da população local?</w:t>
            </w:r>
          </w:p>
        </w:tc>
        <w:tc>
          <w:tcPr>
            <w:tcW w:w="630" w:type="dxa"/>
            <w:tcBorders>
              <w:top w:val="nil"/>
              <w:left w:val="nil"/>
              <w:bottom w:val="single" w:sz="4" w:space="0" w:color="auto"/>
              <w:right w:val="single" w:sz="4" w:space="0" w:color="auto"/>
            </w:tcBorders>
            <w:shd w:val="clear" w:color="auto" w:fill="auto"/>
            <w:noWrap/>
            <w:vAlign w:val="bottom"/>
            <w:hideMark/>
          </w:tcPr>
          <w:p w14:paraId="0D2D732F"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23A8822E"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1296E9B8"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292532" w14:paraId="107F3636" w14:textId="77777777" w:rsidTr="00B94A74">
        <w:trPr>
          <w:trHeight w:val="555"/>
        </w:trPr>
        <w:tc>
          <w:tcPr>
            <w:tcW w:w="9075"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4B9AE63B" w14:textId="77777777" w:rsidR="00B94A74" w:rsidRPr="00292532" w:rsidRDefault="00B94A74" w:rsidP="00B94A74">
            <w:pPr>
              <w:spacing w:before="0" w:after="0"/>
              <w:rPr>
                <w:rFonts w:eastAsia="Times New Roman" w:cs="Calibri"/>
                <w:b/>
                <w:bCs/>
                <w:color w:val="000000"/>
                <w:lang w:val="pt-PT"/>
              </w:rPr>
            </w:pPr>
            <w:r w:rsidRPr="00292532">
              <w:rPr>
                <w:rFonts w:eastAsia="Times New Roman" w:cs="Calibri"/>
                <w:b/>
                <w:bCs/>
                <w:color w:val="000000"/>
                <w:lang w:val="pt-PT"/>
              </w:rPr>
              <w:t>Preocupações ambientais e sociais</w:t>
            </w:r>
          </w:p>
        </w:tc>
      </w:tr>
      <w:tr w:rsidR="00B94A74" w:rsidRPr="008D18CF" w14:paraId="24DF5148" w14:textId="77777777" w:rsidTr="00B94A74">
        <w:trPr>
          <w:trHeight w:val="735"/>
        </w:trPr>
        <w:tc>
          <w:tcPr>
            <w:tcW w:w="4225" w:type="dxa"/>
            <w:tcBorders>
              <w:top w:val="nil"/>
              <w:left w:val="single" w:sz="4" w:space="0" w:color="auto"/>
              <w:bottom w:val="single" w:sz="4" w:space="0" w:color="auto"/>
              <w:right w:val="single" w:sz="4" w:space="0" w:color="auto"/>
            </w:tcBorders>
            <w:shd w:val="clear" w:color="auto" w:fill="auto"/>
            <w:vAlign w:val="center"/>
            <w:hideMark/>
          </w:tcPr>
          <w:p w14:paraId="7B4F61BF" w14:textId="0A1C7944"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Será que o </w:t>
            </w:r>
            <w:proofErr w:type="spellStart"/>
            <w:r w:rsidR="008C3A00" w:rsidRPr="00292532">
              <w:rPr>
                <w:rFonts w:eastAsia="Times New Roman" w:cs="Calibri"/>
                <w:color w:val="000000"/>
                <w:lang w:val="pt-PT"/>
              </w:rPr>
              <w:t>projecto</w:t>
            </w:r>
            <w:proofErr w:type="spellEnd"/>
            <w:r w:rsidRPr="00292532">
              <w:rPr>
                <w:rFonts w:eastAsia="Times New Roman" w:cs="Calibri"/>
                <w:color w:val="000000"/>
                <w:lang w:val="pt-PT"/>
              </w:rPr>
              <w:t xml:space="preserve"> tem algum potencial de levar à acentuação das desigualdades sociais?</w:t>
            </w:r>
          </w:p>
        </w:tc>
        <w:tc>
          <w:tcPr>
            <w:tcW w:w="630" w:type="dxa"/>
            <w:tcBorders>
              <w:top w:val="nil"/>
              <w:left w:val="nil"/>
              <w:bottom w:val="single" w:sz="4" w:space="0" w:color="auto"/>
              <w:right w:val="single" w:sz="4" w:space="0" w:color="auto"/>
            </w:tcBorders>
            <w:shd w:val="clear" w:color="auto" w:fill="auto"/>
            <w:noWrap/>
            <w:vAlign w:val="bottom"/>
            <w:hideMark/>
          </w:tcPr>
          <w:p w14:paraId="2F65DC11"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71B83F6E"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44665533"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0EFB249F" w14:textId="77777777" w:rsidTr="00B94A74">
        <w:trPr>
          <w:trHeight w:val="1485"/>
        </w:trPr>
        <w:tc>
          <w:tcPr>
            <w:tcW w:w="4225" w:type="dxa"/>
            <w:tcBorders>
              <w:top w:val="nil"/>
              <w:left w:val="single" w:sz="4" w:space="0" w:color="auto"/>
              <w:bottom w:val="single" w:sz="4" w:space="0" w:color="auto"/>
              <w:right w:val="single" w:sz="4" w:space="0" w:color="auto"/>
            </w:tcBorders>
            <w:shd w:val="clear" w:color="auto" w:fill="auto"/>
            <w:vAlign w:val="center"/>
            <w:hideMark/>
          </w:tcPr>
          <w:p w14:paraId="263E0323" w14:textId="0164D18A"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Terá o </w:t>
            </w:r>
            <w:proofErr w:type="spellStart"/>
            <w:r w:rsidR="008C3A00" w:rsidRPr="00292532">
              <w:rPr>
                <w:rFonts w:eastAsia="Times New Roman" w:cs="Calibri"/>
                <w:color w:val="000000"/>
                <w:lang w:val="pt-PT"/>
              </w:rPr>
              <w:t>projecto</w:t>
            </w:r>
            <w:proofErr w:type="spellEnd"/>
            <w:r w:rsidRPr="00292532">
              <w:rPr>
                <w:rFonts w:eastAsia="Times New Roman" w:cs="Calibri"/>
                <w:color w:val="000000"/>
                <w:lang w:val="pt-PT"/>
              </w:rPr>
              <w:t xml:space="preserve"> o potencial de levar a usos incompatíveis de recursos ou a conflitos sociais entre diferentes usuários ou haverá o risco de as comunidades locais poderem perder o acesso às suas terras ou perder os direitos de uso das suas terras?</w:t>
            </w:r>
          </w:p>
        </w:tc>
        <w:tc>
          <w:tcPr>
            <w:tcW w:w="630" w:type="dxa"/>
            <w:tcBorders>
              <w:top w:val="nil"/>
              <w:left w:val="nil"/>
              <w:bottom w:val="single" w:sz="4" w:space="0" w:color="auto"/>
              <w:right w:val="single" w:sz="4" w:space="0" w:color="auto"/>
            </w:tcBorders>
            <w:shd w:val="clear" w:color="auto" w:fill="auto"/>
            <w:noWrap/>
            <w:vAlign w:val="bottom"/>
            <w:hideMark/>
          </w:tcPr>
          <w:p w14:paraId="340B103C"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277AA251"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26B1D312"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0BE5251C" w14:textId="77777777" w:rsidTr="00B94A74">
        <w:trPr>
          <w:trHeight w:val="555"/>
        </w:trPr>
        <w:tc>
          <w:tcPr>
            <w:tcW w:w="4225" w:type="dxa"/>
            <w:tcBorders>
              <w:top w:val="nil"/>
              <w:left w:val="single" w:sz="4" w:space="0" w:color="auto"/>
              <w:bottom w:val="single" w:sz="4" w:space="0" w:color="auto"/>
              <w:right w:val="single" w:sz="4" w:space="0" w:color="auto"/>
            </w:tcBorders>
            <w:shd w:val="clear" w:color="auto" w:fill="auto"/>
            <w:vAlign w:val="center"/>
            <w:hideMark/>
          </w:tcPr>
          <w:p w14:paraId="53B89B63" w14:textId="77777777" w:rsidR="00B94A74" w:rsidRPr="00292532" w:rsidRDefault="00B94A74" w:rsidP="00B94A74">
            <w:pPr>
              <w:spacing w:before="0" w:after="0"/>
              <w:jc w:val="left"/>
              <w:rPr>
                <w:rFonts w:eastAsia="Times New Roman" w:cs="Calibri"/>
                <w:b/>
                <w:bCs/>
                <w:color w:val="000000"/>
                <w:lang w:val="pt-PT"/>
              </w:rPr>
            </w:pPr>
            <w:r w:rsidRPr="00292532">
              <w:rPr>
                <w:rFonts w:eastAsia="Times New Roman" w:cs="Calibri"/>
                <w:b/>
                <w:bCs/>
                <w:color w:val="000000"/>
                <w:lang w:val="pt-PT"/>
              </w:rPr>
              <w:t>Saúde e Segurança Ocupacional (VBG)</w:t>
            </w:r>
          </w:p>
        </w:tc>
        <w:tc>
          <w:tcPr>
            <w:tcW w:w="630" w:type="dxa"/>
            <w:tcBorders>
              <w:top w:val="nil"/>
              <w:left w:val="nil"/>
              <w:bottom w:val="single" w:sz="4" w:space="0" w:color="auto"/>
              <w:right w:val="single" w:sz="4" w:space="0" w:color="auto"/>
            </w:tcBorders>
            <w:shd w:val="clear" w:color="auto" w:fill="auto"/>
            <w:noWrap/>
            <w:vAlign w:val="bottom"/>
            <w:hideMark/>
          </w:tcPr>
          <w:p w14:paraId="6C2E0492"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3C724C8D"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07EF8C47"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1C99B292" w14:textId="77777777" w:rsidTr="00B94A74">
        <w:trPr>
          <w:trHeight w:val="705"/>
        </w:trPr>
        <w:tc>
          <w:tcPr>
            <w:tcW w:w="4225" w:type="dxa"/>
            <w:tcBorders>
              <w:top w:val="nil"/>
              <w:left w:val="single" w:sz="4" w:space="0" w:color="auto"/>
              <w:bottom w:val="single" w:sz="4" w:space="0" w:color="auto"/>
              <w:right w:val="single" w:sz="4" w:space="0" w:color="auto"/>
            </w:tcBorders>
            <w:shd w:val="clear" w:color="auto" w:fill="auto"/>
            <w:vAlign w:val="center"/>
            <w:hideMark/>
          </w:tcPr>
          <w:p w14:paraId="70CD682E" w14:textId="13C75894"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Terá o </w:t>
            </w:r>
            <w:proofErr w:type="spellStart"/>
            <w:r w:rsidR="008C3A00" w:rsidRPr="00292532">
              <w:rPr>
                <w:rFonts w:eastAsia="Times New Roman" w:cs="Calibri"/>
                <w:color w:val="000000"/>
                <w:lang w:val="pt-PT"/>
              </w:rPr>
              <w:t>projecto</w:t>
            </w:r>
            <w:proofErr w:type="spellEnd"/>
            <w:r w:rsidRPr="00292532">
              <w:rPr>
                <w:rFonts w:eastAsia="Times New Roman" w:cs="Calibri"/>
                <w:color w:val="000000"/>
                <w:lang w:val="pt-PT"/>
              </w:rPr>
              <w:t xml:space="preserve"> o potencial de levar a riscos de acidente para os trabalhadores e comunidades?</w:t>
            </w:r>
          </w:p>
        </w:tc>
        <w:tc>
          <w:tcPr>
            <w:tcW w:w="630" w:type="dxa"/>
            <w:tcBorders>
              <w:top w:val="nil"/>
              <w:left w:val="nil"/>
              <w:bottom w:val="single" w:sz="4" w:space="0" w:color="auto"/>
              <w:right w:val="single" w:sz="4" w:space="0" w:color="auto"/>
            </w:tcBorders>
            <w:shd w:val="clear" w:color="auto" w:fill="auto"/>
            <w:noWrap/>
            <w:vAlign w:val="bottom"/>
            <w:hideMark/>
          </w:tcPr>
          <w:p w14:paraId="132291B8"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303CEDA0"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2C74EC4B"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205F1B0E" w14:textId="77777777" w:rsidTr="00B94A74">
        <w:trPr>
          <w:trHeight w:val="735"/>
        </w:trPr>
        <w:tc>
          <w:tcPr>
            <w:tcW w:w="4225" w:type="dxa"/>
            <w:tcBorders>
              <w:top w:val="nil"/>
              <w:left w:val="single" w:sz="4" w:space="0" w:color="auto"/>
              <w:bottom w:val="single" w:sz="4" w:space="0" w:color="auto"/>
              <w:right w:val="single" w:sz="4" w:space="0" w:color="auto"/>
            </w:tcBorders>
            <w:shd w:val="clear" w:color="auto" w:fill="auto"/>
            <w:vAlign w:val="center"/>
            <w:hideMark/>
          </w:tcPr>
          <w:p w14:paraId="4F643CCA"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O </w:t>
            </w:r>
            <w:proofErr w:type="spellStart"/>
            <w:r w:rsidRPr="00292532">
              <w:rPr>
                <w:rFonts w:eastAsia="Times New Roman" w:cs="Calibri"/>
                <w:color w:val="000000"/>
                <w:lang w:val="pt-PT"/>
              </w:rPr>
              <w:t>projecto</w:t>
            </w:r>
            <w:proofErr w:type="spellEnd"/>
            <w:r w:rsidRPr="00292532">
              <w:rPr>
                <w:rFonts w:eastAsia="Times New Roman" w:cs="Calibri"/>
                <w:color w:val="000000"/>
                <w:lang w:val="pt-PT"/>
              </w:rPr>
              <w:t xml:space="preserve"> </w:t>
            </w:r>
            <w:proofErr w:type="spellStart"/>
            <w:r w:rsidRPr="00292532">
              <w:rPr>
                <w:rFonts w:eastAsia="Times New Roman" w:cs="Calibri"/>
                <w:color w:val="000000"/>
                <w:lang w:val="pt-PT"/>
              </w:rPr>
              <w:t>afectará</w:t>
            </w:r>
            <w:proofErr w:type="spellEnd"/>
            <w:r w:rsidRPr="00292532">
              <w:rPr>
                <w:rFonts w:eastAsia="Times New Roman" w:cs="Calibri"/>
                <w:color w:val="000000"/>
                <w:lang w:val="pt-PT"/>
              </w:rPr>
              <w:t xml:space="preserve"> o </w:t>
            </w:r>
            <w:proofErr w:type="gramStart"/>
            <w:r w:rsidRPr="00292532">
              <w:rPr>
                <w:rFonts w:eastAsia="Times New Roman" w:cs="Calibri"/>
                <w:color w:val="000000"/>
                <w:lang w:val="pt-PT"/>
              </w:rPr>
              <w:t>bem estar</w:t>
            </w:r>
            <w:proofErr w:type="gramEnd"/>
            <w:r w:rsidRPr="00292532">
              <w:rPr>
                <w:rFonts w:eastAsia="Times New Roman" w:cs="Calibri"/>
                <w:color w:val="000000"/>
                <w:lang w:val="pt-PT"/>
              </w:rPr>
              <w:t xml:space="preserve"> das comunidades através do aumento dos </w:t>
            </w:r>
            <w:proofErr w:type="spellStart"/>
            <w:r w:rsidRPr="00292532">
              <w:rPr>
                <w:rFonts w:eastAsia="Times New Roman" w:cs="Calibri"/>
                <w:color w:val="000000"/>
                <w:lang w:val="pt-PT"/>
              </w:rPr>
              <w:t>vectores</w:t>
            </w:r>
            <w:proofErr w:type="spellEnd"/>
            <w:r w:rsidRPr="00292532">
              <w:rPr>
                <w:rFonts w:eastAsia="Times New Roman" w:cs="Calibri"/>
                <w:color w:val="000000"/>
                <w:lang w:val="pt-PT"/>
              </w:rPr>
              <w:t xml:space="preserve"> de doenças?</w:t>
            </w:r>
          </w:p>
        </w:tc>
        <w:tc>
          <w:tcPr>
            <w:tcW w:w="630" w:type="dxa"/>
            <w:tcBorders>
              <w:top w:val="nil"/>
              <w:left w:val="nil"/>
              <w:bottom w:val="single" w:sz="4" w:space="0" w:color="auto"/>
              <w:right w:val="single" w:sz="4" w:space="0" w:color="auto"/>
            </w:tcBorders>
            <w:shd w:val="clear" w:color="auto" w:fill="auto"/>
            <w:noWrap/>
            <w:vAlign w:val="bottom"/>
            <w:hideMark/>
          </w:tcPr>
          <w:p w14:paraId="537D0299"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7DD99307"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1EEA5F84"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292532" w14:paraId="6BC88924" w14:textId="77777777" w:rsidTr="00B94A74">
        <w:trPr>
          <w:trHeight w:val="780"/>
        </w:trPr>
        <w:tc>
          <w:tcPr>
            <w:tcW w:w="4225" w:type="dxa"/>
            <w:tcBorders>
              <w:top w:val="nil"/>
              <w:left w:val="single" w:sz="4" w:space="0" w:color="auto"/>
              <w:bottom w:val="single" w:sz="4" w:space="0" w:color="auto"/>
              <w:right w:val="single" w:sz="4" w:space="0" w:color="auto"/>
            </w:tcBorders>
            <w:shd w:val="clear" w:color="auto" w:fill="auto"/>
            <w:vAlign w:val="center"/>
            <w:hideMark/>
          </w:tcPr>
          <w:p w14:paraId="7B9DA23A"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O </w:t>
            </w:r>
            <w:proofErr w:type="spellStart"/>
            <w:r w:rsidRPr="00292532">
              <w:rPr>
                <w:rFonts w:eastAsia="Times New Roman" w:cs="Calibri"/>
                <w:color w:val="000000"/>
                <w:lang w:val="pt-PT"/>
              </w:rPr>
              <w:t>projecto</w:t>
            </w:r>
            <w:proofErr w:type="spellEnd"/>
            <w:r w:rsidRPr="00292532">
              <w:rPr>
                <w:rFonts w:eastAsia="Times New Roman" w:cs="Calibri"/>
                <w:color w:val="000000"/>
                <w:lang w:val="pt-PT"/>
              </w:rPr>
              <w:t xml:space="preserve"> possui sistemas de gestão de riscos de acidentes? Descreve</w:t>
            </w:r>
          </w:p>
        </w:tc>
        <w:tc>
          <w:tcPr>
            <w:tcW w:w="630" w:type="dxa"/>
            <w:tcBorders>
              <w:top w:val="nil"/>
              <w:left w:val="nil"/>
              <w:bottom w:val="single" w:sz="4" w:space="0" w:color="auto"/>
              <w:right w:val="single" w:sz="4" w:space="0" w:color="auto"/>
            </w:tcBorders>
            <w:shd w:val="clear" w:color="auto" w:fill="auto"/>
            <w:noWrap/>
            <w:vAlign w:val="bottom"/>
            <w:hideMark/>
          </w:tcPr>
          <w:p w14:paraId="69658979"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7757D147"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7F048753"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292532" w14:paraId="66D43A9B" w14:textId="77777777" w:rsidTr="00B94A74">
        <w:trPr>
          <w:trHeight w:val="885"/>
        </w:trPr>
        <w:tc>
          <w:tcPr>
            <w:tcW w:w="4225" w:type="dxa"/>
            <w:tcBorders>
              <w:top w:val="nil"/>
              <w:left w:val="single" w:sz="4" w:space="0" w:color="auto"/>
              <w:bottom w:val="single" w:sz="4" w:space="0" w:color="auto"/>
              <w:right w:val="single" w:sz="4" w:space="0" w:color="auto"/>
            </w:tcBorders>
            <w:shd w:val="clear" w:color="auto" w:fill="auto"/>
            <w:vAlign w:val="center"/>
            <w:hideMark/>
          </w:tcPr>
          <w:p w14:paraId="07420C03" w14:textId="619DD725"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Terá o </w:t>
            </w:r>
            <w:proofErr w:type="spellStart"/>
            <w:r w:rsidR="008C3A00" w:rsidRPr="00292532">
              <w:rPr>
                <w:rFonts w:eastAsia="Times New Roman" w:cs="Calibri"/>
                <w:color w:val="000000"/>
                <w:lang w:val="pt-PT"/>
              </w:rPr>
              <w:t>projecto</w:t>
            </w:r>
            <w:proofErr w:type="spellEnd"/>
            <w:r w:rsidRPr="00292532">
              <w:rPr>
                <w:rFonts w:eastAsia="Times New Roman" w:cs="Calibri"/>
                <w:color w:val="000000"/>
                <w:lang w:val="pt-PT"/>
              </w:rPr>
              <w:t xml:space="preserve"> o potencial de causar riscos à saúde dos trabalhadores e das comunidades? (ou seja, HIV/SIDA)</w:t>
            </w:r>
          </w:p>
        </w:tc>
        <w:tc>
          <w:tcPr>
            <w:tcW w:w="630" w:type="dxa"/>
            <w:tcBorders>
              <w:top w:val="nil"/>
              <w:left w:val="nil"/>
              <w:bottom w:val="single" w:sz="4" w:space="0" w:color="auto"/>
              <w:right w:val="single" w:sz="4" w:space="0" w:color="auto"/>
            </w:tcBorders>
            <w:shd w:val="clear" w:color="auto" w:fill="auto"/>
            <w:noWrap/>
            <w:vAlign w:val="bottom"/>
            <w:hideMark/>
          </w:tcPr>
          <w:p w14:paraId="0BD39227"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4E9AAB73"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1EB026FB"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292532" w14:paraId="6FAAC358" w14:textId="77777777" w:rsidTr="00B94A74">
        <w:trPr>
          <w:trHeight w:val="960"/>
        </w:trPr>
        <w:tc>
          <w:tcPr>
            <w:tcW w:w="4225" w:type="dxa"/>
            <w:tcBorders>
              <w:top w:val="nil"/>
              <w:left w:val="single" w:sz="4" w:space="0" w:color="auto"/>
              <w:bottom w:val="single" w:sz="4" w:space="0" w:color="auto"/>
              <w:right w:val="single" w:sz="4" w:space="0" w:color="auto"/>
            </w:tcBorders>
            <w:shd w:val="clear" w:color="auto" w:fill="auto"/>
            <w:vAlign w:val="center"/>
            <w:hideMark/>
          </w:tcPr>
          <w:p w14:paraId="76D93AD3" w14:textId="7F538050"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Terá o </w:t>
            </w:r>
            <w:proofErr w:type="spellStart"/>
            <w:r w:rsidR="008C3A00" w:rsidRPr="00292532">
              <w:rPr>
                <w:rFonts w:eastAsia="Times New Roman" w:cs="Calibri"/>
                <w:color w:val="000000"/>
                <w:lang w:val="pt-PT"/>
              </w:rPr>
              <w:t>projecto</w:t>
            </w:r>
            <w:proofErr w:type="spellEnd"/>
            <w:r w:rsidRPr="00292532">
              <w:rPr>
                <w:rFonts w:eastAsia="Times New Roman" w:cs="Calibri"/>
                <w:color w:val="000000"/>
                <w:lang w:val="pt-PT"/>
              </w:rPr>
              <w:t xml:space="preserve"> o potencial de levar a um aumento de vetores de doenças na população? Malária, doenças intestinais e urinárias bilharzioses e outras</w:t>
            </w:r>
          </w:p>
        </w:tc>
        <w:tc>
          <w:tcPr>
            <w:tcW w:w="630" w:type="dxa"/>
            <w:tcBorders>
              <w:top w:val="nil"/>
              <w:left w:val="nil"/>
              <w:bottom w:val="single" w:sz="4" w:space="0" w:color="auto"/>
              <w:right w:val="single" w:sz="4" w:space="0" w:color="auto"/>
            </w:tcBorders>
            <w:shd w:val="clear" w:color="auto" w:fill="auto"/>
            <w:noWrap/>
            <w:vAlign w:val="bottom"/>
            <w:hideMark/>
          </w:tcPr>
          <w:p w14:paraId="06B2ADC9"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0FC1B8B0"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15D6E20D"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292532" w14:paraId="0F657B54" w14:textId="77777777" w:rsidTr="00B94A74">
        <w:trPr>
          <w:trHeight w:val="555"/>
        </w:trPr>
        <w:tc>
          <w:tcPr>
            <w:tcW w:w="9075"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514F0C5" w14:textId="77777777" w:rsidR="00B94A74" w:rsidRPr="00292532" w:rsidRDefault="00B94A74" w:rsidP="00B94A74">
            <w:pPr>
              <w:spacing w:before="0" w:after="0"/>
              <w:jc w:val="center"/>
              <w:rPr>
                <w:rFonts w:eastAsia="Times New Roman" w:cs="Calibri"/>
                <w:b/>
                <w:bCs/>
                <w:color w:val="000000"/>
                <w:lang w:val="pt-PT"/>
              </w:rPr>
            </w:pPr>
            <w:r w:rsidRPr="00292532">
              <w:rPr>
                <w:rFonts w:eastAsia="Times New Roman" w:cs="Calibri"/>
                <w:b/>
                <w:bCs/>
                <w:color w:val="000000"/>
                <w:lang w:val="pt-PT"/>
              </w:rPr>
              <w:t>Questões de género</w:t>
            </w:r>
          </w:p>
        </w:tc>
      </w:tr>
      <w:tr w:rsidR="00B94A74" w:rsidRPr="008D18CF" w14:paraId="49540D5C" w14:textId="77777777" w:rsidTr="00B94A74">
        <w:trPr>
          <w:trHeight w:val="1020"/>
        </w:trPr>
        <w:tc>
          <w:tcPr>
            <w:tcW w:w="4225" w:type="dxa"/>
            <w:tcBorders>
              <w:top w:val="nil"/>
              <w:left w:val="single" w:sz="4" w:space="0" w:color="auto"/>
              <w:bottom w:val="single" w:sz="4" w:space="0" w:color="auto"/>
              <w:right w:val="single" w:sz="4" w:space="0" w:color="auto"/>
            </w:tcBorders>
            <w:shd w:val="clear" w:color="auto" w:fill="auto"/>
            <w:vAlign w:val="center"/>
            <w:hideMark/>
          </w:tcPr>
          <w:p w14:paraId="4338FD1D" w14:textId="416E8BBA"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xml:space="preserve">Será que o </w:t>
            </w:r>
            <w:proofErr w:type="spellStart"/>
            <w:r w:rsidR="008C3A00" w:rsidRPr="00292532">
              <w:rPr>
                <w:rFonts w:eastAsia="Times New Roman" w:cs="Calibri"/>
                <w:color w:val="000000"/>
                <w:lang w:val="pt-PT"/>
              </w:rPr>
              <w:t>projecto</w:t>
            </w:r>
            <w:proofErr w:type="spellEnd"/>
            <w:r w:rsidRPr="00292532">
              <w:rPr>
                <w:rFonts w:eastAsia="Times New Roman" w:cs="Calibri"/>
                <w:color w:val="000000"/>
                <w:lang w:val="pt-PT"/>
              </w:rPr>
              <w:t xml:space="preserve"> promove a integração das mulheres e outros grupos vulneráveis e proporcionar-lhes o acesso a recursos como a agricultura irrigada, mercados, etc.?</w:t>
            </w:r>
          </w:p>
        </w:tc>
        <w:tc>
          <w:tcPr>
            <w:tcW w:w="630" w:type="dxa"/>
            <w:tcBorders>
              <w:top w:val="nil"/>
              <w:left w:val="nil"/>
              <w:bottom w:val="single" w:sz="4" w:space="0" w:color="auto"/>
              <w:right w:val="single" w:sz="4" w:space="0" w:color="auto"/>
            </w:tcBorders>
            <w:shd w:val="clear" w:color="auto" w:fill="auto"/>
            <w:noWrap/>
            <w:vAlign w:val="bottom"/>
            <w:hideMark/>
          </w:tcPr>
          <w:p w14:paraId="7C5312D4"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1A06524B"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7F8FC3B6"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r w:rsidR="00B94A74" w:rsidRPr="008D18CF" w14:paraId="15AB5596" w14:textId="77777777" w:rsidTr="00B94A74">
        <w:trPr>
          <w:trHeight w:val="930"/>
        </w:trPr>
        <w:tc>
          <w:tcPr>
            <w:tcW w:w="4225" w:type="dxa"/>
            <w:tcBorders>
              <w:top w:val="nil"/>
              <w:left w:val="single" w:sz="4" w:space="0" w:color="auto"/>
              <w:bottom w:val="single" w:sz="4" w:space="0" w:color="auto"/>
              <w:right w:val="single" w:sz="4" w:space="0" w:color="auto"/>
            </w:tcBorders>
            <w:shd w:val="clear" w:color="auto" w:fill="auto"/>
            <w:vAlign w:val="center"/>
            <w:hideMark/>
          </w:tcPr>
          <w:p w14:paraId="38916028" w14:textId="48F3326A"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lastRenderedPageBreak/>
              <w:t xml:space="preserve">Será que o </w:t>
            </w:r>
            <w:proofErr w:type="spellStart"/>
            <w:r w:rsidR="008C3A00" w:rsidRPr="00292532">
              <w:rPr>
                <w:rFonts w:eastAsia="Times New Roman" w:cs="Calibri"/>
                <w:color w:val="000000"/>
                <w:lang w:val="pt-PT"/>
              </w:rPr>
              <w:t>projecto</w:t>
            </w:r>
            <w:proofErr w:type="spellEnd"/>
            <w:r w:rsidRPr="00292532">
              <w:rPr>
                <w:rFonts w:eastAsia="Times New Roman" w:cs="Calibri"/>
                <w:color w:val="000000"/>
                <w:lang w:val="pt-PT"/>
              </w:rPr>
              <w:t xml:space="preserve"> tem em conta as preocupações das mulheres e incentiva a sua participação na tomada de decisões?</w:t>
            </w:r>
          </w:p>
        </w:tc>
        <w:tc>
          <w:tcPr>
            <w:tcW w:w="630" w:type="dxa"/>
            <w:tcBorders>
              <w:top w:val="nil"/>
              <w:left w:val="nil"/>
              <w:bottom w:val="single" w:sz="4" w:space="0" w:color="auto"/>
              <w:right w:val="single" w:sz="4" w:space="0" w:color="auto"/>
            </w:tcBorders>
            <w:shd w:val="clear" w:color="auto" w:fill="auto"/>
            <w:noWrap/>
            <w:vAlign w:val="bottom"/>
            <w:hideMark/>
          </w:tcPr>
          <w:p w14:paraId="3C22C14A"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630" w:type="dxa"/>
            <w:tcBorders>
              <w:top w:val="nil"/>
              <w:left w:val="nil"/>
              <w:bottom w:val="single" w:sz="4" w:space="0" w:color="auto"/>
              <w:right w:val="single" w:sz="4" w:space="0" w:color="auto"/>
            </w:tcBorders>
            <w:shd w:val="clear" w:color="auto" w:fill="auto"/>
            <w:noWrap/>
            <w:vAlign w:val="bottom"/>
            <w:hideMark/>
          </w:tcPr>
          <w:p w14:paraId="1C5DF6CC"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c>
          <w:tcPr>
            <w:tcW w:w="3587" w:type="dxa"/>
            <w:tcBorders>
              <w:top w:val="nil"/>
              <w:left w:val="nil"/>
              <w:bottom w:val="single" w:sz="4" w:space="0" w:color="auto"/>
              <w:right w:val="single" w:sz="4" w:space="0" w:color="auto"/>
            </w:tcBorders>
            <w:shd w:val="clear" w:color="auto" w:fill="auto"/>
            <w:noWrap/>
            <w:vAlign w:val="bottom"/>
            <w:hideMark/>
          </w:tcPr>
          <w:p w14:paraId="5BD1AB74" w14:textId="77777777" w:rsidR="00B94A74" w:rsidRPr="00292532" w:rsidRDefault="00B94A74" w:rsidP="00B94A74">
            <w:pPr>
              <w:spacing w:before="0" w:after="0"/>
              <w:jc w:val="left"/>
              <w:rPr>
                <w:rFonts w:eastAsia="Times New Roman" w:cs="Calibri"/>
                <w:color w:val="000000"/>
                <w:lang w:val="pt-PT"/>
              </w:rPr>
            </w:pPr>
            <w:r w:rsidRPr="00292532">
              <w:rPr>
                <w:rFonts w:eastAsia="Times New Roman" w:cs="Calibri"/>
                <w:color w:val="000000"/>
                <w:lang w:val="pt-PT"/>
              </w:rPr>
              <w:t> </w:t>
            </w:r>
          </w:p>
        </w:tc>
      </w:tr>
    </w:tbl>
    <w:p w14:paraId="1567736D" w14:textId="77777777" w:rsidR="0093465A" w:rsidRPr="00292532" w:rsidRDefault="0093465A" w:rsidP="0093465A">
      <w:pPr>
        <w:spacing w:before="0" w:after="0"/>
        <w:jc w:val="left"/>
        <w:rPr>
          <w:rFonts w:ascii="Times New Roman" w:eastAsia="Times New Roman" w:hAnsi="Times New Roman" w:cs="Times New Roman"/>
          <w:lang w:val="pt-PT"/>
        </w:rPr>
      </w:pPr>
    </w:p>
    <w:p w14:paraId="35A35337" w14:textId="4C75A73F" w:rsidR="0093465A" w:rsidRPr="00292532" w:rsidRDefault="00B94A74" w:rsidP="0093465A">
      <w:pPr>
        <w:spacing w:before="0" w:after="0" w:line="318" w:lineRule="exact"/>
        <w:jc w:val="left"/>
        <w:rPr>
          <w:rFonts w:ascii="Times New Roman" w:eastAsia="Times New Roman" w:hAnsi="Times New Roman" w:cs="Times New Roman"/>
          <w:lang w:val="pt-PT"/>
        </w:rPr>
      </w:pPr>
      <w:r w:rsidRPr="00292532">
        <w:rPr>
          <w:rFonts w:ascii="Times New Roman" w:eastAsia="Times New Roman" w:hAnsi="Times New Roman" w:cs="Times New Roman"/>
          <w:noProof/>
          <w:lang w:val="en-US"/>
        </w:rPr>
        <mc:AlternateContent>
          <mc:Choice Requires="wps">
            <w:drawing>
              <wp:anchor distT="0" distB="0" distL="114300" distR="114300" simplePos="0" relativeHeight="252042240" behindDoc="1" locked="0" layoutInCell="0" allowOverlap="1" wp14:anchorId="65A29702" wp14:editId="5681A28E">
                <wp:simplePos x="0" y="0"/>
                <wp:positionH relativeFrom="page">
                  <wp:posOffset>2901315</wp:posOffset>
                </wp:positionH>
                <wp:positionV relativeFrom="page">
                  <wp:posOffset>928370</wp:posOffset>
                </wp:positionV>
                <wp:extent cx="238125" cy="0"/>
                <wp:effectExtent l="0" t="0" r="0" b="0"/>
                <wp:wrapNone/>
                <wp:docPr id="2" name="Shap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8125" cy="0"/>
                        </a:xfrm>
                        <a:prstGeom prst="line">
                          <a:avLst/>
                        </a:prstGeom>
                        <a:solidFill>
                          <a:srgbClr val="FFFFFF"/>
                        </a:solidFill>
                        <a:ln w="9525">
                          <a:solidFill>
                            <a:srgbClr val="000000"/>
                          </a:solidFill>
                          <a:miter lim="800000"/>
                          <a:headEnd/>
                          <a:tailEnd/>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line w14:anchorId="20549C63" id="Shape 280" o:spid="_x0000_s1026" style="position:absolute;z-index:-25127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8.45pt,73.1pt" to="247.2pt,7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" o:allowincell="f" filled="t">
                <v:stroke joinstyle="miter"/>
                <o:lock v:ext="edit" shapetype="f"/>
                <w10:wrap anchorx="page" anchory="page"/>
              </v:line>
            </w:pict>
          </mc:Fallback>
        </mc:AlternateContent>
      </w:r>
    </w:p>
    <w:p w14:paraId="55BC2771" w14:textId="77777777" w:rsidR="0093465A" w:rsidRPr="00292532" w:rsidRDefault="0093465A" w:rsidP="0093465A">
      <w:pPr>
        <w:spacing w:before="0" w:after="0"/>
        <w:jc w:val="left"/>
        <w:rPr>
          <w:rFonts w:ascii="Times New Roman" w:eastAsia="Times New Roman" w:hAnsi="Times New Roman" w:cs="Times New Roman"/>
          <w:lang w:val="pt-PT"/>
        </w:rPr>
      </w:pPr>
      <w:r w:rsidRPr="00292532">
        <w:rPr>
          <w:rFonts w:eastAsia="Calibri" w:cs="Times New Roman"/>
          <w:b/>
          <w:bCs/>
          <w:lang w:val="pt-PT"/>
        </w:rPr>
        <w:t>Consulta Pública e Participação</w:t>
      </w:r>
    </w:p>
    <w:p w14:paraId="2E41F850" w14:textId="77777777" w:rsidR="0093465A" w:rsidRPr="00292532" w:rsidRDefault="0093465A" w:rsidP="0093465A">
      <w:pPr>
        <w:spacing w:before="0" w:after="0" w:line="241" w:lineRule="exact"/>
        <w:jc w:val="left"/>
        <w:rPr>
          <w:rFonts w:ascii="Times New Roman" w:eastAsia="Times New Roman" w:hAnsi="Times New Roman" w:cs="Times New Roman"/>
          <w:lang w:val="pt-PT"/>
        </w:rPr>
      </w:pPr>
    </w:p>
    <w:p w14:paraId="33DFDBDF" w14:textId="77777777" w:rsidR="0093465A" w:rsidRPr="00292532" w:rsidRDefault="0093465A" w:rsidP="0093465A">
      <w:pPr>
        <w:spacing w:before="0" w:after="0"/>
        <w:jc w:val="left"/>
        <w:rPr>
          <w:rFonts w:ascii="Times New Roman" w:eastAsia="Times New Roman" w:hAnsi="Times New Roman" w:cs="Times New Roman"/>
          <w:lang w:val="pt-PT"/>
        </w:rPr>
      </w:pPr>
      <w:r w:rsidRPr="00292532">
        <w:rPr>
          <w:rFonts w:eastAsia="Calibri" w:cs="Times New Roman"/>
          <w:lang w:val="pt-PT"/>
        </w:rPr>
        <w:t>Será que foi realizada alguma consulta e participação públicas?</w:t>
      </w:r>
    </w:p>
    <w:p w14:paraId="2E02C671" w14:textId="77777777" w:rsidR="0093465A" w:rsidRPr="00292532" w:rsidRDefault="0093465A" w:rsidP="0093465A">
      <w:pPr>
        <w:spacing w:before="0" w:after="0" w:line="238" w:lineRule="exact"/>
        <w:jc w:val="left"/>
        <w:rPr>
          <w:rFonts w:ascii="Times New Roman" w:eastAsia="Times New Roman" w:hAnsi="Times New Roman" w:cs="Times New Roman"/>
          <w:lang w:val="pt-PT"/>
        </w:rPr>
      </w:pPr>
    </w:p>
    <w:p w14:paraId="3B839B04" w14:textId="77777777" w:rsidR="0093465A" w:rsidRPr="00292532" w:rsidRDefault="0093465A" w:rsidP="0093465A">
      <w:pPr>
        <w:spacing w:before="0" w:after="0"/>
        <w:jc w:val="left"/>
        <w:rPr>
          <w:rFonts w:ascii="Times New Roman" w:eastAsia="Times New Roman" w:hAnsi="Times New Roman" w:cs="Times New Roman"/>
          <w:lang w:val="pt-PT"/>
        </w:rPr>
      </w:pPr>
      <w:r w:rsidRPr="00292532">
        <w:rPr>
          <w:rFonts w:eastAsia="Calibri" w:cs="Times New Roman"/>
          <w:lang w:val="pt-PT"/>
        </w:rPr>
        <w:t>Sim____ Não___</w:t>
      </w:r>
    </w:p>
    <w:p w14:paraId="42DECA9C" w14:textId="77777777" w:rsidR="0093465A" w:rsidRPr="00292532" w:rsidRDefault="0093465A" w:rsidP="0093465A">
      <w:pPr>
        <w:spacing w:before="0" w:after="0" w:line="241" w:lineRule="exact"/>
        <w:jc w:val="left"/>
        <w:rPr>
          <w:rFonts w:ascii="Times New Roman" w:eastAsia="Times New Roman" w:hAnsi="Times New Roman" w:cs="Times New Roman"/>
          <w:lang w:val="pt-PT"/>
        </w:rPr>
      </w:pPr>
    </w:p>
    <w:p w14:paraId="780F9A8F" w14:textId="77777777" w:rsidR="0093465A" w:rsidRPr="00292532" w:rsidRDefault="0093465A" w:rsidP="0093465A">
      <w:pPr>
        <w:spacing w:before="0" w:after="0"/>
        <w:jc w:val="left"/>
        <w:rPr>
          <w:rFonts w:ascii="Times New Roman" w:eastAsia="Times New Roman" w:hAnsi="Times New Roman" w:cs="Times New Roman"/>
          <w:lang w:val="pt-PT"/>
        </w:rPr>
      </w:pPr>
      <w:r w:rsidRPr="00292532">
        <w:rPr>
          <w:rFonts w:eastAsia="Calibri" w:cs="Times New Roman"/>
          <w:lang w:val="pt-PT"/>
        </w:rPr>
        <w:t>Se “Sim”, descrever sucintamente as medidas tomadas para esse efeito.</w:t>
      </w:r>
    </w:p>
    <w:p w14:paraId="09A962A1" w14:textId="77777777" w:rsidR="0093465A" w:rsidRPr="00292532" w:rsidRDefault="0093465A" w:rsidP="0093465A">
      <w:pPr>
        <w:spacing w:before="0" w:after="0" w:line="241" w:lineRule="exact"/>
        <w:jc w:val="left"/>
        <w:rPr>
          <w:rFonts w:ascii="Times New Roman" w:eastAsia="Times New Roman" w:hAnsi="Times New Roman" w:cs="Times New Roman"/>
          <w:lang w:val="pt-PT"/>
        </w:rPr>
      </w:pPr>
    </w:p>
    <w:p w14:paraId="42396592" w14:textId="77777777" w:rsidR="0093465A" w:rsidRPr="00292532" w:rsidRDefault="0093465A" w:rsidP="0093465A">
      <w:pPr>
        <w:spacing w:before="0" w:after="0"/>
        <w:jc w:val="left"/>
        <w:rPr>
          <w:rFonts w:ascii="Times New Roman" w:eastAsia="Times New Roman" w:hAnsi="Times New Roman" w:cs="Times New Roman"/>
          <w:lang w:val="pt-PT"/>
        </w:rPr>
      </w:pPr>
      <w:r w:rsidRPr="00292532">
        <w:rPr>
          <w:rFonts w:eastAsia="Calibri" w:cs="Times New Roman"/>
          <w:b/>
          <w:bCs/>
          <w:lang w:val="pt-PT"/>
        </w:rPr>
        <w:t>Parte C: Mitigação</w:t>
      </w:r>
    </w:p>
    <w:p w14:paraId="2EFA7CE3" w14:textId="77777777" w:rsidR="0093465A" w:rsidRPr="00292532" w:rsidRDefault="0093465A" w:rsidP="0093465A">
      <w:pPr>
        <w:spacing w:before="0" w:after="0" w:line="171" w:lineRule="exact"/>
        <w:jc w:val="left"/>
        <w:rPr>
          <w:rFonts w:ascii="Times New Roman" w:eastAsia="Times New Roman" w:hAnsi="Times New Roman" w:cs="Times New Roman"/>
          <w:lang w:val="pt-PT"/>
        </w:rPr>
      </w:pPr>
    </w:p>
    <w:p w14:paraId="5A95EB0D" w14:textId="77777777" w:rsidR="0093465A" w:rsidRPr="00292532" w:rsidRDefault="0093465A" w:rsidP="00AE14AE">
      <w:pPr>
        <w:numPr>
          <w:ilvl w:val="0"/>
          <w:numId w:val="73"/>
        </w:numPr>
        <w:tabs>
          <w:tab w:val="left" w:pos="720"/>
        </w:tabs>
        <w:spacing w:before="0" w:after="0"/>
        <w:jc w:val="left"/>
        <w:rPr>
          <w:rFonts w:ascii="Arial" w:eastAsia="Arial" w:hAnsi="Arial" w:cs="Arial"/>
          <w:lang w:val="pt-PT"/>
        </w:rPr>
      </w:pPr>
      <w:r w:rsidRPr="00292532">
        <w:rPr>
          <w:rFonts w:eastAsia="Calibri" w:cs="Times New Roman"/>
          <w:lang w:val="pt-PT"/>
        </w:rPr>
        <w:t>Para todos os “sim” dados descrever sucintamente as medidas tomadas para esse efeito.</w:t>
      </w:r>
    </w:p>
    <w:p w14:paraId="446742B7" w14:textId="77777777" w:rsidR="0093465A" w:rsidRPr="00292532" w:rsidRDefault="0093465A" w:rsidP="0093465A">
      <w:pPr>
        <w:spacing w:before="0" w:after="0" w:line="260" w:lineRule="exact"/>
        <w:jc w:val="left"/>
        <w:rPr>
          <w:rFonts w:ascii="Times New Roman" w:eastAsia="Times New Roman" w:hAnsi="Times New Roman" w:cs="Times New Roman"/>
          <w:lang w:val="pt-PT"/>
        </w:rPr>
      </w:pPr>
    </w:p>
    <w:p w14:paraId="48773D06" w14:textId="34E1F02A" w:rsidR="0093465A" w:rsidRPr="00292532" w:rsidRDefault="0093465A" w:rsidP="0093465A">
      <w:pPr>
        <w:spacing w:before="0" w:after="0"/>
        <w:jc w:val="left"/>
        <w:rPr>
          <w:rFonts w:ascii="Times New Roman" w:eastAsia="Times New Roman" w:hAnsi="Times New Roman" w:cs="Times New Roman"/>
          <w:lang w:val="pt-PT"/>
        </w:rPr>
      </w:pPr>
      <w:r w:rsidRPr="00292532">
        <w:rPr>
          <w:rFonts w:eastAsia="Calibri" w:cs="Times New Roman"/>
          <w:b/>
          <w:bCs/>
          <w:lang w:val="pt-PT"/>
        </w:rPr>
        <w:t xml:space="preserve">Parte D: classificação dos </w:t>
      </w:r>
      <w:proofErr w:type="spellStart"/>
      <w:r w:rsidR="008C3A00" w:rsidRPr="00292532">
        <w:rPr>
          <w:rFonts w:eastAsia="Calibri" w:cs="Times New Roman"/>
          <w:b/>
          <w:bCs/>
          <w:lang w:val="pt-PT"/>
        </w:rPr>
        <w:t>projecto</w:t>
      </w:r>
      <w:r w:rsidRPr="00292532">
        <w:rPr>
          <w:rFonts w:eastAsia="Calibri" w:cs="Times New Roman"/>
          <w:b/>
          <w:bCs/>
          <w:lang w:val="pt-PT"/>
        </w:rPr>
        <w:t>s</w:t>
      </w:r>
      <w:proofErr w:type="spellEnd"/>
      <w:r w:rsidRPr="00292532">
        <w:rPr>
          <w:rFonts w:eastAsia="Calibri" w:cs="Times New Roman"/>
          <w:b/>
          <w:bCs/>
          <w:lang w:val="pt-PT"/>
        </w:rPr>
        <w:t xml:space="preserve"> e do trabalho ambiental e social</w:t>
      </w:r>
    </w:p>
    <w:p w14:paraId="216CE127" w14:textId="77777777" w:rsidR="0093465A" w:rsidRPr="00292532" w:rsidRDefault="0093465A" w:rsidP="0093465A">
      <w:pPr>
        <w:spacing w:before="0" w:after="0" w:line="118" w:lineRule="exact"/>
        <w:jc w:val="left"/>
        <w:rPr>
          <w:rFonts w:ascii="Times New Roman" w:eastAsia="Times New Roman" w:hAnsi="Times New Roman" w:cs="Times New Roman"/>
          <w:lang w:val="pt-PT"/>
        </w:rPr>
      </w:pPr>
    </w:p>
    <w:p w14:paraId="69066411" w14:textId="77777777" w:rsidR="0093465A" w:rsidRPr="00292532" w:rsidRDefault="0093465A" w:rsidP="0093465A">
      <w:pPr>
        <w:tabs>
          <w:tab w:val="left" w:pos="700"/>
        </w:tabs>
        <w:spacing w:before="0" w:after="0"/>
        <w:ind w:left="360"/>
        <w:jc w:val="left"/>
        <w:rPr>
          <w:rFonts w:ascii="Times New Roman" w:eastAsia="Times New Roman" w:hAnsi="Times New Roman" w:cs="Times New Roman"/>
          <w:lang w:val="pt-PT"/>
        </w:rPr>
      </w:pPr>
      <w:r w:rsidRPr="00292532">
        <w:rPr>
          <w:rFonts w:ascii="Arial" w:eastAsia="Arial" w:hAnsi="Arial" w:cs="Arial"/>
          <w:lang w:val="pt-PT"/>
        </w:rPr>
        <w:t>•</w:t>
      </w:r>
      <w:r w:rsidRPr="00292532">
        <w:rPr>
          <w:rFonts w:ascii="Times New Roman" w:eastAsia="Times New Roman" w:hAnsi="Times New Roman" w:cs="Times New Roman"/>
          <w:lang w:val="pt-PT"/>
        </w:rPr>
        <w:tab/>
      </w:r>
      <w:r w:rsidRPr="00292532">
        <w:rPr>
          <w:rFonts w:eastAsia="Calibri" w:cs="Times New Roman"/>
          <w:lang w:val="pt-PT"/>
        </w:rPr>
        <w:t>Nenhum trabalho ambiental e social necessário .......................</w:t>
      </w:r>
    </w:p>
    <w:p w14:paraId="3539C448" w14:textId="77777777" w:rsidR="0093465A" w:rsidRPr="00292532" w:rsidRDefault="0093465A" w:rsidP="0093465A">
      <w:pPr>
        <w:spacing w:before="0" w:after="0" w:line="190" w:lineRule="exact"/>
        <w:jc w:val="left"/>
        <w:rPr>
          <w:rFonts w:ascii="Times New Roman" w:eastAsia="Times New Roman" w:hAnsi="Times New Roman" w:cs="Times New Roman"/>
          <w:lang w:val="pt-PT"/>
        </w:rPr>
      </w:pPr>
    </w:p>
    <w:p w14:paraId="042BCB69" w14:textId="5AC74510" w:rsidR="0093465A" w:rsidRPr="00292532" w:rsidRDefault="0093465A" w:rsidP="0093465A">
      <w:pPr>
        <w:tabs>
          <w:tab w:val="left" w:pos="700"/>
        </w:tabs>
        <w:spacing w:before="0" w:after="0"/>
        <w:ind w:left="360"/>
        <w:jc w:val="left"/>
        <w:rPr>
          <w:rFonts w:ascii="Times New Roman" w:eastAsia="Times New Roman" w:hAnsi="Times New Roman" w:cs="Times New Roman"/>
          <w:lang w:val="pt-PT"/>
        </w:rPr>
      </w:pPr>
      <w:r w:rsidRPr="00292532">
        <w:rPr>
          <w:rFonts w:ascii="Arial" w:eastAsia="Arial" w:hAnsi="Arial" w:cs="Arial"/>
          <w:lang w:val="pt-PT"/>
        </w:rPr>
        <w:t>•</w:t>
      </w:r>
      <w:r w:rsidRPr="00292532">
        <w:rPr>
          <w:rFonts w:ascii="Times New Roman" w:eastAsia="Times New Roman" w:hAnsi="Times New Roman" w:cs="Times New Roman"/>
          <w:lang w:val="pt-PT"/>
        </w:rPr>
        <w:tab/>
      </w:r>
      <w:r w:rsidR="001978AF" w:rsidRPr="00292532">
        <w:rPr>
          <w:rFonts w:eastAsia="Calibri" w:cs="Times New Roman"/>
          <w:lang w:val="pt-PT"/>
        </w:rPr>
        <w:t>PGAS</w:t>
      </w:r>
      <w:r w:rsidRPr="00292532">
        <w:rPr>
          <w:rFonts w:eastAsia="Calibri" w:cs="Times New Roman"/>
          <w:lang w:val="pt-PT"/>
        </w:rPr>
        <w:t xml:space="preserve"> Independente .......................</w:t>
      </w:r>
    </w:p>
    <w:p w14:paraId="1F27390A" w14:textId="77777777" w:rsidR="0093465A" w:rsidRPr="00292532" w:rsidRDefault="0093465A" w:rsidP="0093465A">
      <w:pPr>
        <w:spacing w:before="0" w:after="0" w:line="311" w:lineRule="exact"/>
        <w:jc w:val="left"/>
        <w:rPr>
          <w:rFonts w:ascii="Times New Roman" w:eastAsia="Times New Roman" w:hAnsi="Times New Roman" w:cs="Times New Roman"/>
          <w:lang w:val="pt-PT"/>
        </w:rPr>
      </w:pPr>
    </w:p>
    <w:p w14:paraId="3EC3E975" w14:textId="29B14D6E" w:rsidR="0093465A" w:rsidRPr="00292532" w:rsidRDefault="0093465A" w:rsidP="0093465A">
      <w:pPr>
        <w:spacing w:before="0" w:after="0"/>
        <w:jc w:val="left"/>
        <w:rPr>
          <w:rFonts w:ascii="Times New Roman" w:eastAsia="Times New Roman" w:hAnsi="Times New Roman" w:cs="Times New Roman"/>
          <w:lang w:val="pt-PT"/>
        </w:rPr>
      </w:pPr>
      <w:r w:rsidRPr="00292532">
        <w:rPr>
          <w:rFonts w:eastAsia="Calibri" w:cs="Times New Roman"/>
          <w:lang w:val="pt-PT"/>
        </w:rPr>
        <w:t>AIAS com um Plano de Gestão Ambiental e Social (</w:t>
      </w:r>
      <w:r w:rsidR="001978AF" w:rsidRPr="00292532">
        <w:rPr>
          <w:rFonts w:eastAsia="Calibri" w:cs="Times New Roman"/>
          <w:lang w:val="pt-PT"/>
        </w:rPr>
        <w:t>PGAS</w:t>
      </w:r>
      <w:r w:rsidRPr="00292532">
        <w:rPr>
          <w:rFonts w:eastAsia="Calibri" w:cs="Times New Roman"/>
          <w:lang w:val="pt-PT"/>
        </w:rPr>
        <w:t>)</w:t>
      </w:r>
    </w:p>
    <w:p w14:paraId="7CE00983" w14:textId="77777777" w:rsidR="0093465A" w:rsidRPr="00292532" w:rsidRDefault="0093465A" w:rsidP="0093465A">
      <w:pPr>
        <w:spacing w:before="0" w:after="0" w:line="171" w:lineRule="exact"/>
        <w:jc w:val="left"/>
        <w:rPr>
          <w:rFonts w:ascii="Times New Roman" w:eastAsia="Times New Roman" w:hAnsi="Times New Roman" w:cs="Times New Roman"/>
          <w:lang w:val="pt-PT"/>
        </w:rPr>
      </w:pPr>
    </w:p>
    <w:p w14:paraId="39D9E8E4" w14:textId="11F44DE7" w:rsidR="0093465A" w:rsidRPr="00292532" w:rsidRDefault="001978AF" w:rsidP="00AE14AE">
      <w:pPr>
        <w:numPr>
          <w:ilvl w:val="0"/>
          <w:numId w:val="74"/>
        </w:numPr>
        <w:tabs>
          <w:tab w:val="left" w:pos="720"/>
        </w:tabs>
        <w:spacing w:before="0" w:after="0"/>
        <w:ind w:left="720" w:hanging="360"/>
        <w:jc w:val="left"/>
        <w:rPr>
          <w:rFonts w:ascii="Arial" w:eastAsia="Arial" w:hAnsi="Arial" w:cs="Arial"/>
          <w:lang w:val="pt-PT"/>
        </w:rPr>
      </w:pPr>
      <w:r w:rsidRPr="00292532">
        <w:rPr>
          <w:rFonts w:eastAsia="Calibri" w:cs="Times New Roman"/>
          <w:lang w:val="pt-PT"/>
        </w:rPr>
        <w:t>PGAS</w:t>
      </w:r>
      <w:r w:rsidR="0093465A" w:rsidRPr="00292532">
        <w:rPr>
          <w:rFonts w:eastAsia="Calibri" w:cs="Times New Roman"/>
          <w:lang w:val="pt-PT"/>
        </w:rPr>
        <w:t xml:space="preserve"> do Empreiteiro</w:t>
      </w:r>
    </w:p>
    <w:p w14:paraId="77C847DE" w14:textId="77777777" w:rsidR="0093465A" w:rsidRPr="00292532" w:rsidRDefault="0093465A" w:rsidP="0093465A">
      <w:pPr>
        <w:spacing w:before="0" w:after="0" w:line="260" w:lineRule="exact"/>
        <w:jc w:val="left"/>
        <w:rPr>
          <w:rFonts w:ascii="Times New Roman" w:eastAsia="Times New Roman" w:hAnsi="Times New Roman" w:cs="Times New Roman"/>
          <w:lang w:val="pt-PT"/>
        </w:rPr>
      </w:pPr>
    </w:p>
    <w:p w14:paraId="597A1612" w14:textId="645D61B2" w:rsidR="0093465A" w:rsidRPr="00292532" w:rsidRDefault="008C3A00" w:rsidP="0093465A">
      <w:pPr>
        <w:spacing w:before="0" w:after="0"/>
        <w:jc w:val="left"/>
        <w:rPr>
          <w:rFonts w:eastAsia="Calibri" w:cs="Times New Roman"/>
          <w:lang w:val="pt-PT"/>
        </w:rPr>
      </w:pPr>
      <w:proofErr w:type="spellStart"/>
      <w:r w:rsidRPr="00292532">
        <w:rPr>
          <w:rFonts w:eastAsia="Calibri" w:cs="Times New Roman"/>
          <w:lang w:val="pt-PT"/>
        </w:rPr>
        <w:t>Projecto</w:t>
      </w:r>
      <w:proofErr w:type="spellEnd"/>
      <w:r w:rsidR="0093465A" w:rsidRPr="00292532">
        <w:rPr>
          <w:rFonts w:eastAsia="Calibri" w:cs="Times New Roman"/>
          <w:lang w:val="pt-PT"/>
        </w:rPr>
        <w:t xml:space="preserve"> classificado como sendo de categoria:</w:t>
      </w:r>
    </w:p>
    <w:p w14:paraId="02E2338D" w14:textId="3AE0570E" w:rsidR="00B94A74" w:rsidRPr="00292532" w:rsidRDefault="00B94A74" w:rsidP="0093465A">
      <w:pPr>
        <w:spacing w:before="0" w:after="0"/>
        <w:jc w:val="left"/>
        <w:rPr>
          <w:rFonts w:eastAsia="Calibri" w:cs="Times New Roman"/>
          <w:lang w:val="pt-PT"/>
        </w:rPr>
      </w:pPr>
    </w:p>
    <w:p w14:paraId="4B787BB8" w14:textId="77777777" w:rsidR="00B94A74" w:rsidRPr="00292532" w:rsidRDefault="00B94A74" w:rsidP="0093465A">
      <w:pPr>
        <w:spacing w:before="0" w:after="0"/>
        <w:jc w:val="left"/>
        <w:rPr>
          <w:rFonts w:ascii="Times New Roman" w:eastAsia="Times New Roman" w:hAnsi="Times New Roman" w:cs="Times New Roman"/>
          <w:sz w:val="20"/>
          <w:szCs w:val="20"/>
          <w:lang w:val="pt-PT"/>
        </w:rPr>
      </w:pPr>
    </w:p>
    <w:p w14:paraId="3BAD8549" w14:textId="2E0EAF82" w:rsidR="0093465A" w:rsidRPr="00292532" w:rsidRDefault="0093465A" w:rsidP="0093465A">
      <w:pPr>
        <w:spacing w:before="0" w:after="0" w:line="20" w:lineRule="exact"/>
        <w:jc w:val="left"/>
        <w:rPr>
          <w:rFonts w:ascii="Times New Roman" w:eastAsia="Times New Roman" w:hAnsi="Times New Roman" w:cs="Times New Roman"/>
          <w:sz w:val="20"/>
          <w:szCs w:val="20"/>
          <w:lang w:val="pt-PT"/>
        </w:rPr>
      </w:pPr>
    </w:p>
    <w:p w14:paraId="0ADF05B5" w14:textId="77777777" w:rsidR="0093465A" w:rsidRPr="00292532" w:rsidRDefault="0093465A" w:rsidP="0093465A">
      <w:pPr>
        <w:spacing w:before="0" w:after="0" w:line="200" w:lineRule="exact"/>
        <w:jc w:val="left"/>
        <w:rPr>
          <w:rFonts w:ascii="Times New Roman" w:eastAsia="Times New Roman" w:hAnsi="Times New Roman" w:cs="Times New Roman"/>
          <w:sz w:val="20"/>
          <w:szCs w:val="20"/>
          <w:lang w:val="pt-PT"/>
        </w:rPr>
      </w:pPr>
    </w:p>
    <w:p w14:paraId="28EAAF78" w14:textId="77777777" w:rsidR="0093465A" w:rsidRPr="00292532" w:rsidRDefault="0093465A" w:rsidP="0093465A">
      <w:pPr>
        <w:spacing w:before="0" w:after="0" w:line="200" w:lineRule="exact"/>
        <w:jc w:val="left"/>
        <w:rPr>
          <w:rFonts w:ascii="Times New Roman" w:eastAsia="Times New Roman" w:hAnsi="Times New Roman" w:cs="Times New Roman"/>
          <w:sz w:val="20"/>
          <w:szCs w:val="20"/>
          <w:lang w:val="pt-PT"/>
        </w:rPr>
      </w:pPr>
    </w:p>
    <w:tbl>
      <w:tblPr>
        <w:tblW w:w="0" w:type="auto"/>
        <w:tblLayout w:type="fixed"/>
        <w:tblCellMar>
          <w:left w:w="0" w:type="dxa"/>
          <w:right w:w="0" w:type="dxa"/>
        </w:tblCellMar>
        <w:tblLook w:val="04A0" w:firstRow="1" w:lastRow="0" w:firstColumn="1" w:lastColumn="0" w:noHBand="0" w:noVBand="1"/>
      </w:tblPr>
      <w:tblGrid>
        <w:gridCol w:w="342"/>
        <w:gridCol w:w="385"/>
        <w:gridCol w:w="1201"/>
        <w:gridCol w:w="385"/>
        <w:gridCol w:w="117"/>
        <w:gridCol w:w="1168"/>
        <w:gridCol w:w="542"/>
      </w:tblGrid>
      <w:tr w:rsidR="00872CF8" w:rsidRPr="00292532" w14:paraId="77523F7F" w14:textId="0166BB99" w:rsidTr="00872CF8">
        <w:trPr>
          <w:trHeight w:val="329"/>
        </w:trPr>
        <w:tc>
          <w:tcPr>
            <w:tcW w:w="342" w:type="dxa"/>
            <w:tcBorders>
              <w:top w:val="nil"/>
              <w:left w:val="nil"/>
              <w:bottom w:val="nil"/>
              <w:right w:val="single" w:sz="8" w:space="0" w:color="auto"/>
            </w:tcBorders>
            <w:vAlign w:val="bottom"/>
            <w:hideMark/>
          </w:tcPr>
          <w:p w14:paraId="2189840A" w14:textId="77777777" w:rsidR="00872CF8" w:rsidRPr="00292532" w:rsidRDefault="00872CF8" w:rsidP="0093465A">
            <w:pPr>
              <w:spacing w:before="0" w:after="0" w:line="224" w:lineRule="exact"/>
              <w:jc w:val="left"/>
              <w:rPr>
                <w:rFonts w:ascii="Times New Roman" w:eastAsia="Times New Roman" w:hAnsi="Times New Roman" w:cs="Times New Roman"/>
                <w:sz w:val="20"/>
                <w:szCs w:val="20"/>
                <w:lang w:val="pt-PT"/>
              </w:rPr>
            </w:pPr>
            <w:bookmarkStart w:id="500" w:name="page130"/>
            <w:bookmarkEnd w:id="500"/>
            <w:r w:rsidRPr="00292532">
              <w:rPr>
                <w:rFonts w:eastAsia="Calibri" w:cs="Times New Roman"/>
                <w:sz w:val="20"/>
                <w:szCs w:val="20"/>
                <w:lang w:val="pt-PT"/>
              </w:rPr>
              <w:t>A</w:t>
            </w:r>
          </w:p>
        </w:tc>
        <w:tc>
          <w:tcPr>
            <w:tcW w:w="385" w:type="dxa"/>
            <w:tcBorders>
              <w:top w:val="single" w:sz="8" w:space="0" w:color="auto"/>
              <w:left w:val="nil"/>
              <w:bottom w:val="nil"/>
              <w:right w:val="single" w:sz="8" w:space="0" w:color="auto"/>
            </w:tcBorders>
            <w:vAlign w:val="bottom"/>
          </w:tcPr>
          <w:p w14:paraId="339B2649" w14:textId="5EBCBB3F" w:rsidR="00872CF8" w:rsidRPr="00292532" w:rsidRDefault="00872CF8" w:rsidP="0093465A">
            <w:pPr>
              <w:spacing w:before="0" w:after="0"/>
              <w:jc w:val="left"/>
              <w:rPr>
                <w:rFonts w:ascii="Times New Roman" w:eastAsia="Times New Roman" w:hAnsi="Times New Roman" w:cs="Times New Roman"/>
                <w:sz w:val="19"/>
                <w:szCs w:val="19"/>
                <w:lang w:val="pt-PT"/>
              </w:rPr>
            </w:pPr>
          </w:p>
        </w:tc>
        <w:tc>
          <w:tcPr>
            <w:tcW w:w="1201" w:type="dxa"/>
            <w:tcBorders>
              <w:top w:val="nil"/>
              <w:left w:val="nil"/>
              <w:bottom w:val="nil"/>
              <w:right w:val="single" w:sz="8" w:space="0" w:color="auto"/>
            </w:tcBorders>
            <w:vAlign w:val="bottom"/>
            <w:hideMark/>
          </w:tcPr>
          <w:p w14:paraId="62189044" w14:textId="77777777" w:rsidR="00872CF8" w:rsidRPr="00292532" w:rsidRDefault="00872CF8" w:rsidP="0093465A">
            <w:pPr>
              <w:spacing w:before="0" w:after="0" w:line="224" w:lineRule="exact"/>
              <w:ind w:left="980"/>
              <w:jc w:val="left"/>
              <w:rPr>
                <w:rFonts w:ascii="Times New Roman" w:eastAsia="Times New Roman" w:hAnsi="Times New Roman" w:cs="Times New Roman"/>
                <w:sz w:val="20"/>
                <w:szCs w:val="20"/>
                <w:lang w:val="pt-PT"/>
              </w:rPr>
            </w:pPr>
            <w:r w:rsidRPr="00292532">
              <w:rPr>
                <w:rFonts w:eastAsia="Calibri" w:cs="Times New Roman"/>
                <w:w w:val="91"/>
                <w:sz w:val="20"/>
                <w:szCs w:val="20"/>
                <w:lang w:val="pt-PT"/>
              </w:rPr>
              <w:t>B</w:t>
            </w:r>
          </w:p>
        </w:tc>
        <w:tc>
          <w:tcPr>
            <w:tcW w:w="385" w:type="dxa"/>
            <w:tcBorders>
              <w:top w:val="single" w:sz="8" w:space="0" w:color="auto"/>
              <w:left w:val="nil"/>
              <w:bottom w:val="nil"/>
              <w:right w:val="nil"/>
            </w:tcBorders>
          </w:tcPr>
          <w:p w14:paraId="25DB4BC6" w14:textId="77777777" w:rsidR="00872CF8" w:rsidRPr="00292532" w:rsidRDefault="00872CF8" w:rsidP="0093465A">
            <w:pPr>
              <w:spacing w:before="0" w:after="0"/>
              <w:jc w:val="left"/>
              <w:rPr>
                <w:rFonts w:ascii="Times New Roman" w:eastAsia="Times New Roman" w:hAnsi="Times New Roman" w:cs="Times New Roman"/>
                <w:sz w:val="19"/>
                <w:szCs w:val="19"/>
                <w:lang w:val="pt-PT"/>
              </w:rPr>
            </w:pPr>
          </w:p>
        </w:tc>
        <w:tc>
          <w:tcPr>
            <w:tcW w:w="117" w:type="dxa"/>
            <w:tcBorders>
              <w:top w:val="single" w:sz="8" w:space="0" w:color="auto"/>
              <w:left w:val="nil"/>
              <w:bottom w:val="nil"/>
              <w:right w:val="single" w:sz="8" w:space="0" w:color="auto"/>
            </w:tcBorders>
            <w:vAlign w:val="bottom"/>
          </w:tcPr>
          <w:p w14:paraId="6363610F" w14:textId="1598E6CF" w:rsidR="00872CF8" w:rsidRPr="00292532" w:rsidRDefault="00872CF8" w:rsidP="0093465A">
            <w:pPr>
              <w:spacing w:before="0" w:after="0"/>
              <w:jc w:val="left"/>
              <w:rPr>
                <w:rFonts w:ascii="Times New Roman" w:eastAsia="Times New Roman" w:hAnsi="Times New Roman" w:cs="Times New Roman"/>
                <w:sz w:val="19"/>
                <w:szCs w:val="19"/>
                <w:lang w:val="pt-PT"/>
              </w:rPr>
            </w:pPr>
          </w:p>
        </w:tc>
        <w:tc>
          <w:tcPr>
            <w:tcW w:w="1168" w:type="dxa"/>
            <w:tcBorders>
              <w:right w:val="single" w:sz="4" w:space="0" w:color="auto"/>
            </w:tcBorders>
            <w:vAlign w:val="bottom"/>
            <w:hideMark/>
          </w:tcPr>
          <w:p w14:paraId="768F6CEA" w14:textId="6BEF68CA" w:rsidR="00872CF8" w:rsidRPr="00292532" w:rsidRDefault="00872CF8" w:rsidP="0093465A">
            <w:pPr>
              <w:spacing w:before="0" w:after="0" w:line="224" w:lineRule="exact"/>
              <w:ind w:left="740"/>
              <w:jc w:val="left"/>
              <w:rPr>
                <w:rFonts w:ascii="Times New Roman" w:eastAsia="Times New Roman" w:hAnsi="Times New Roman" w:cs="Times New Roman"/>
                <w:sz w:val="20"/>
                <w:szCs w:val="20"/>
                <w:lang w:val="pt-PT"/>
              </w:rPr>
            </w:pPr>
            <w:r w:rsidRPr="00292532">
              <w:rPr>
                <w:rFonts w:eastAsia="Calibri" w:cs="Times New Roman"/>
                <w:w w:val="74"/>
                <w:sz w:val="20"/>
                <w:szCs w:val="20"/>
                <w:lang w:val="pt-PT"/>
              </w:rPr>
              <w:t>C</w:t>
            </w:r>
          </w:p>
        </w:tc>
        <w:tc>
          <w:tcPr>
            <w:tcW w:w="542" w:type="dxa"/>
            <w:tcBorders>
              <w:top w:val="single" w:sz="4" w:space="0" w:color="auto"/>
              <w:left w:val="single" w:sz="4" w:space="0" w:color="auto"/>
              <w:right w:val="single" w:sz="4" w:space="0" w:color="auto"/>
            </w:tcBorders>
          </w:tcPr>
          <w:p w14:paraId="5D379560" w14:textId="77777777" w:rsidR="00872CF8" w:rsidRPr="00292532" w:rsidRDefault="00872CF8" w:rsidP="0093465A">
            <w:pPr>
              <w:spacing w:before="0" w:after="0" w:line="224" w:lineRule="exact"/>
              <w:ind w:left="740"/>
              <w:jc w:val="left"/>
              <w:rPr>
                <w:rFonts w:eastAsia="Calibri" w:cs="Times New Roman"/>
                <w:w w:val="74"/>
                <w:sz w:val="20"/>
                <w:szCs w:val="20"/>
                <w:lang w:val="pt-PT"/>
              </w:rPr>
            </w:pPr>
          </w:p>
        </w:tc>
      </w:tr>
      <w:tr w:rsidR="00872CF8" w:rsidRPr="00292532" w14:paraId="6171ED9F" w14:textId="386A77F1" w:rsidTr="00872CF8">
        <w:trPr>
          <w:trHeight w:val="60"/>
        </w:trPr>
        <w:tc>
          <w:tcPr>
            <w:tcW w:w="342" w:type="dxa"/>
            <w:tcBorders>
              <w:top w:val="nil"/>
              <w:left w:val="nil"/>
              <w:bottom w:val="nil"/>
              <w:right w:val="single" w:sz="8" w:space="0" w:color="auto"/>
            </w:tcBorders>
            <w:vAlign w:val="bottom"/>
          </w:tcPr>
          <w:p w14:paraId="295AD9F5" w14:textId="77777777" w:rsidR="00872CF8" w:rsidRPr="00292532" w:rsidRDefault="00872CF8" w:rsidP="0093465A">
            <w:pPr>
              <w:spacing w:before="0" w:after="0"/>
              <w:jc w:val="left"/>
              <w:rPr>
                <w:rFonts w:ascii="Times New Roman" w:eastAsia="Times New Roman" w:hAnsi="Times New Roman" w:cs="Times New Roman"/>
                <w:sz w:val="11"/>
                <w:szCs w:val="11"/>
                <w:lang w:val="pt-PT"/>
              </w:rPr>
            </w:pPr>
          </w:p>
        </w:tc>
        <w:tc>
          <w:tcPr>
            <w:tcW w:w="385" w:type="dxa"/>
            <w:tcBorders>
              <w:top w:val="nil"/>
              <w:left w:val="nil"/>
              <w:bottom w:val="single" w:sz="8" w:space="0" w:color="auto"/>
              <w:right w:val="single" w:sz="8" w:space="0" w:color="auto"/>
            </w:tcBorders>
            <w:vAlign w:val="bottom"/>
          </w:tcPr>
          <w:p w14:paraId="1D68585C" w14:textId="77777777" w:rsidR="00872CF8" w:rsidRPr="00292532" w:rsidRDefault="00872CF8" w:rsidP="0093465A">
            <w:pPr>
              <w:spacing w:before="0" w:after="0"/>
              <w:jc w:val="left"/>
              <w:rPr>
                <w:rFonts w:ascii="Times New Roman" w:eastAsia="Times New Roman" w:hAnsi="Times New Roman" w:cs="Times New Roman"/>
                <w:sz w:val="11"/>
                <w:szCs w:val="11"/>
                <w:lang w:val="pt-PT"/>
              </w:rPr>
            </w:pPr>
          </w:p>
        </w:tc>
        <w:tc>
          <w:tcPr>
            <w:tcW w:w="1201" w:type="dxa"/>
            <w:tcBorders>
              <w:top w:val="nil"/>
              <w:left w:val="nil"/>
              <w:bottom w:val="nil"/>
              <w:right w:val="single" w:sz="8" w:space="0" w:color="auto"/>
            </w:tcBorders>
            <w:vAlign w:val="bottom"/>
          </w:tcPr>
          <w:p w14:paraId="4712786B" w14:textId="77777777" w:rsidR="00872CF8" w:rsidRPr="00292532" w:rsidRDefault="00872CF8" w:rsidP="0093465A">
            <w:pPr>
              <w:spacing w:before="0" w:after="0"/>
              <w:jc w:val="left"/>
              <w:rPr>
                <w:rFonts w:ascii="Times New Roman" w:eastAsia="Times New Roman" w:hAnsi="Times New Roman" w:cs="Times New Roman"/>
                <w:sz w:val="11"/>
                <w:szCs w:val="11"/>
                <w:lang w:val="pt-PT"/>
              </w:rPr>
            </w:pPr>
          </w:p>
        </w:tc>
        <w:tc>
          <w:tcPr>
            <w:tcW w:w="385" w:type="dxa"/>
            <w:tcBorders>
              <w:top w:val="nil"/>
              <w:left w:val="nil"/>
              <w:bottom w:val="single" w:sz="8" w:space="0" w:color="auto"/>
              <w:right w:val="nil"/>
            </w:tcBorders>
          </w:tcPr>
          <w:p w14:paraId="58F3E445" w14:textId="77777777" w:rsidR="00872CF8" w:rsidRPr="00292532" w:rsidRDefault="00872CF8" w:rsidP="0093465A">
            <w:pPr>
              <w:spacing w:before="0" w:after="0"/>
              <w:jc w:val="left"/>
              <w:rPr>
                <w:rFonts w:ascii="Times New Roman" w:eastAsia="Times New Roman" w:hAnsi="Times New Roman" w:cs="Times New Roman"/>
                <w:sz w:val="11"/>
                <w:szCs w:val="11"/>
                <w:lang w:val="pt-PT"/>
              </w:rPr>
            </w:pPr>
          </w:p>
        </w:tc>
        <w:tc>
          <w:tcPr>
            <w:tcW w:w="117" w:type="dxa"/>
            <w:tcBorders>
              <w:top w:val="nil"/>
              <w:left w:val="nil"/>
              <w:bottom w:val="single" w:sz="8" w:space="0" w:color="auto"/>
              <w:right w:val="single" w:sz="8" w:space="0" w:color="auto"/>
            </w:tcBorders>
            <w:vAlign w:val="bottom"/>
          </w:tcPr>
          <w:p w14:paraId="2AA28726" w14:textId="68F6A3B9" w:rsidR="00872CF8" w:rsidRPr="00292532" w:rsidRDefault="00872CF8" w:rsidP="0093465A">
            <w:pPr>
              <w:spacing w:before="0" w:after="0"/>
              <w:jc w:val="left"/>
              <w:rPr>
                <w:rFonts w:ascii="Times New Roman" w:eastAsia="Times New Roman" w:hAnsi="Times New Roman" w:cs="Times New Roman"/>
                <w:sz w:val="11"/>
                <w:szCs w:val="11"/>
                <w:lang w:val="pt-PT"/>
              </w:rPr>
            </w:pPr>
          </w:p>
        </w:tc>
        <w:tc>
          <w:tcPr>
            <w:tcW w:w="1168" w:type="dxa"/>
            <w:tcBorders>
              <w:right w:val="single" w:sz="4" w:space="0" w:color="auto"/>
            </w:tcBorders>
            <w:vAlign w:val="bottom"/>
          </w:tcPr>
          <w:p w14:paraId="38279452" w14:textId="77777777" w:rsidR="00872CF8" w:rsidRPr="00292532" w:rsidRDefault="00872CF8" w:rsidP="0093465A">
            <w:pPr>
              <w:spacing w:before="0" w:after="0"/>
              <w:jc w:val="left"/>
              <w:rPr>
                <w:rFonts w:ascii="Times New Roman" w:eastAsia="Times New Roman" w:hAnsi="Times New Roman" w:cs="Times New Roman"/>
                <w:sz w:val="11"/>
                <w:szCs w:val="11"/>
                <w:lang w:val="pt-PT"/>
              </w:rPr>
            </w:pPr>
          </w:p>
        </w:tc>
        <w:tc>
          <w:tcPr>
            <w:tcW w:w="542" w:type="dxa"/>
            <w:tcBorders>
              <w:left w:val="single" w:sz="4" w:space="0" w:color="auto"/>
              <w:bottom w:val="single" w:sz="4" w:space="0" w:color="auto"/>
              <w:right w:val="single" w:sz="4" w:space="0" w:color="auto"/>
            </w:tcBorders>
          </w:tcPr>
          <w:p w14:paraId="6788255A" w14:textId="77777777" w:rsidR="00872CF8" w:rsidRPr="00292532" w:rsidRDefault="00872CF8" w:rsidP="0093465A">
            <w:pPr>
              <w:spacing w:before="0" w:after="0"/>
              <w:jc w:val="left"/>
              <w:rPr>
                <w:rFonts w:ascii="Times New Roman" w:eastAsia="Times New Roman" w:hAnsi="Times New Roman" w:cs="Times New Roman"/>
                <w:sz w:val="11"/>
                <w:szCs w:val="11"/>
                <w:lang w:val="pt-PT"/>
              </w:rPr>
            </w:pPr>
          </w:p>
        </w:tc>
      </w:tr>
    </w:tbl>
    <w:p w14:paraId="6AB5D2D0" w14:textId="243884D2" w:rsidR="0093465A" w:rsidRPr="00292532" w:rsidRDefault="0093465A" w:rsidP="0093465A">
      <w:pPr>
        <w:spacing w:before="0" w:after="0" w:line="276" w:lineRule="exact"/>
        <w:jc w:val="left"/>
        <w:rPr>
          <w:rFonts w:ascii="Times New Roman" w:eastAsia="Times New Roman" w:hAnsi="Times New Roman" w:cs="Times New Roman"/>
          <w:sz w:val="20"/>
          <w:szCs w:val="20"/>
          <w:lang w:val="pt-PT"/>
        </w:rPr>
      </w:pPr>
      <w:r w:rsidRPr="00292532">
        <w:rPr>
          <w:rFonts w:ascii="Times New Roman" w:eastAsia="Times New Roman" w:hAnsi="Times New Roman" w:cs="Times New Roman"/>
          <w:noProof/>
          <w:lang w:val="en-US"/>
        </w:rPr>
        <mc:AlternateContent>
          <mc:Choice Requires="wps">
            <w:drawing>
              <wp:anchor distT="0" distB="0" distL="114300" distR="114300" simplePos="0" relativeHeight="252040192" behindDoc="1" locked="0" layoutInCell="0" allowOverlap="1" wp14:anchorId="0651269F" wp14:editId="72435E9A">
                <wp:simplePos x="0" y="0"/>
                <wp:positionH relativeFrom="page">
                  <wp:posOffset>2894965</wp:posOffset>
                </wp:positionH>
                <wp:positionV relativeFrom="page">
                  <wp:posOffset>1156970</wp:posOffset>
                </wp:positionV>
                <wp:extent cx="238125" cy="0"/>
                <wp:effectExtent l="0" t="0" r="0" b="0"/>
                <wp:wrapNone/>
                <wp:docPr id="4" name="Shape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8125" cy="0"/>
                        </a:xfrm>
                        <a:prstGeom prst="line">
                          <a:avLst/>
                        </a:prstGeom>
                        <a:solidFill>
                          <a:srgbClr val="FFFFFF"/>
                        </a:solidFill>
                        <a:ln w="9525">
                          <a:solidFill>
                            <a:srgbClr val="000000"/>
                          </a:solidFill>
                          <a:miter lim="800000"/>
                          <a:headEnd/>
                          <a:tailEnd/>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line w14:anchorId="65985CD6" id="Shape 278" o:spid="_x0000_s1026" style="position:absolute;z-index:-25127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7.95pt,91.1pt" to="246.7pt,9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" o:allowincell="f" filled="t">
                <v:stroke joinstyle="miter"/>
                <o:lock v:ext="edit" shapetype="f"/>
                <w10:wrap anchorx="page" anchory="page"/>
              </v:line>
            </w:pict>
          </mc:Fallback>
        </mc:AlternateContent>
      </w:r>
      <w:r w:rsidRPr="00292532">
        <w:rPr>
          <w:rFonts w:ascii="Times New Roman" w:eastAsia="Times New Roman" w:hAnsi="Times New Roman" w:cs="Times New Roman"/>
          <w:noProof/>
          <w:lang w:val="en-US"/>
        </w:rPr>
        <mc:AlternateContent>
          <mc:Choice Requires="wps">
            <w:drawing>
              <wp:anchor distT="0" distB="0" distL="114300" distR="114300" simplePos="0" relativeHeight="252041216" behindDoc="1" locked="0" layoutInCell="0" allowOverlap="1" wp14:anchorId="1D9126AB" wp14:editId="4599E2A3">
                <wp:simplePos x="0" y="0"/>
                <wp:positionH relativeFrom="page">
                  <wp:posOffset>3128645</wp:posOffset>
                </wp:positionH>
                <wp:positionV relativeFrom="page">
                  <wp:posOffset>923925</wp:posOffset>
                </wp:positionV>
                <wp:extent cx="0" cy="238125"/>
                <wp:effectExtent l="0" t="0" r="38100" b="28575"/>
                <wp:wrapNone/>
                <wp:docPr id="3" name="Shap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8125"/>
                        </a:xfrm>
                        <a:prstGeom prst="line">
                          <a:avLst/>
                        </a:prstGeom>
                        <a:solidFill>
                          <a:srgbClr val="FFFFFF"/>
                        </a:solidFill>
                        <a:ln w="9525">
                          <a:solidFill>
                            <a:srgbClr val="000000"/>
                          </a:solidFill>
                          <a:miter lim="800000"/>
                          <a:headEnd/>
                          <a:tailEnd/>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line w14:anchorId="2ED2D980" id="Shape 279" o:spid="_x0000_s1026" style="position:absolute;z-index:-25127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6.35pt,72.75pt" to="246.3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" o:allowincell="f" filled="t">
                <v:stroke joinstyle="miter"/>
                <o:lock v:ext="edit" shapetype="f"/>
                <w10:wrap anchorx="page" anchory="page"/>
              </v:line>
            </w:pict>
          </mc:Fallback>
        </mc:AlternateContent>
      </w:r>
      <w:r w:rsidRPr="00292532">
        <w:rPr>
          <w:rFonts w:ascii="Times New Roman" w:eastAsia="Times New Roman" w:hAnsi="Times New Roman" w:cs="Times New Roman"/>
          <w:noProof/>
          <w:lang w:val="en-US"/>
        </w:rPr>
        <mc:AlternateContent>
          <mc:Choice Requires="wps">
            <w:drawing>
              <wp:anchor distT="0" distB="0" distL="114300" distR="114300" simplePos="0" relativeHeight="252043264" behindDoc="1" locked="0" layoutInCell="0" allowOverlap="1" wp14:anchorId="61FBA5FC" wp14:editId="0E1B95E2">
                <wp:simplePos x="0" y="0"/>
                <wp:positionH relativeFrom="page">
                  <wp:posOffset>2900045</wp:posOffset>
                </wp:positionH>
                <wp:positionV relativeFrom="page">
                  <wp:posOffset>923925</wp:posOffset>
                </wp:positionV>
                <wp:extent cx="0" cy="238125"/>
                <wp:effectExtent l="0" t="0" r="38100" b="28575"/>
                <wp:wrapNone/>
                <wp:docPr id="263" name="Shap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8125"/>
                        </a:xfrm>
                        <a:prstGeom prst="line">
                          <a:avLst/>
                        </a:prstGeom>
                        <a:solidFill>
                          <a:srgbClr val="FFFFFF"/>
                        </a:solidFill>
                        <a:ln w="9525">
                          <a:solidFill>
                            <a:srgbClr val="000000"/>
                          </a:solidFill>
                          <a:miter lim="800000"/>
                          <a:headEnd/>
                          <a:tailEnd/>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line w14:anchorId="4B822742" id="Shape 281" o:spid="_x0000_s1026" style="position:absolute;z-index:-25127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8.35pt,72.75pt" to="228.3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" o:allowincell="f" filled="t">
                <v:stroke joinstyle="miter"/>
                <o:lock v:ext="edit" shapetype="f"/>
                <w10:wrap anchorx="page" anchory="page"/>
              </v:line>
            </w:pict>
          </mc:Fallback>
        </mc:AlternateContent>
      </w:r>
    </w:p>
    <w:p w14:paraId="5C655E89" w14:textId="77777777" w:rsidR="0093465A" w:rsidRPr="00292532" w:rsidRDefault="0093465A" w:rsidP="0093465A">
      <w:pPr>
        <w:spacing w:before="0" w:after="0"/>
        <w:jc w:val="left"/>
        <w:rPr>
          <w:rFonts w:ascii="Times New Roman" w:eastAsia="Times New Roman" w:hAnsi="Times New Roman" w:cs="Times New Roman"/>
          <w:sz w:val="20"/>
          <w:szCs w:val="20"/>
          <w:lang w:val="pt-PT"/>
        </w:rPr>
      </w:pPr>
      <w:r w:rsidRPr="00292532">
        <w:rPr>
          <w:rFonts w:eastAsia="Calibri" w:cs="Times New Roman"/>
          <w:lang w:val="pt-PT"/>
        </w:rPr>
        <w:t>Critério de categorização:</w:t>
      </w:r>
    </w:p>
    <w:p w14:paraId="37E899F8" w14:textId="77777777" w:rsidR="0093465A" w:rsidRPr="00292532" w:rsidRDefault="0093465A" w:rsidP="0093465A">
      <w:pPr>
        <w:spacing w:before="0" w:after="0" w:line="269" w:lineRule="exact"/>
        <w:jc w:val="left"/>
        <w:rPr>
          <w:rFonts w:ascii="Times New Roman" w:eastAsia="Times New Roman" w:hAnsi="Times New Roman" w:cs="Times New Roman"/>
          <w:sz w:val="20"/>
          <w:szCs w:val="20"/>
          <w:lang w:val="pt-PT"/>
        </w:rPr>
      </w:pPr>
    </w:p>
    <w:p w14:paraId="71677DA8" w14:textId="77777777" w:rsidR="0093465A" w:rsidRPr="00292532" w:rsidRDefault="0093465A" w:rsidP="0093465A">
      <w:pPr>
        <w:rPr>
          <w:rFonts w:ascii="Times New Roman" w:eastAsia="Times New Roman" w:hAnsi="Times New Roman"/>
          <w:sz w:val="20"/>
          <w:szCs w:val="20"/>
          <w:lang w:val="pt-PT"/>
        </w:rPr>
      </w:pPr>
      <w:r w:rsidRPr="00292532">
        <w:rPr>
          <w:lang w:val="pt-PT"/>
        </w:rPr>
        <w:t xml:space="preserve">Complementar aos anexos acima referidos, o </w:t>
      </w:r>
      <w:proofErr w:type="spellStart"/>
      <w:r w:rsidRPr="00292532">
        <w:rPr>
          <w:lang w:val="pt-PT"/>
        </w:rPr>
        <w:t>projecto</w:t>
      </w:r>
      <w:proofErr w:type="spellEnd"/>
      <w:r w:rsidRPr="00292532">
        <w:rPr>
          <w:lang w:val="pt-PT"/>
        </w:rPr>
        <w:t xml:space="preserve"> será de categoria A se:</w:t>
      </w:r>
    </w:p>
    <w:p w14:paraId="55468379" w14:textId="77777777" w:rsidR="0093465A" w:rsidRPr="00292532" w:rsidRDefault="0093465A" w:rsidP="0093465A">
      <w:pPr>
        <w:rPr>
          <w:rFonts w:ascii="Times New Roman" w:eastAsia="Times New Roman" w:hAnsi="Times New Roman"/>
          <w:sz w:val="20"/>
          <w:szCs w:val="20"/>
          <w:lang w:val="pt-PT"/>
        </w:rPr>
      </w:pPr>
      <w:r w:rsidRPr="00292532">
        <w:rPr>
          <w:lang w:val="pt-PT"/>
        </w:rPr>
        <w:t xml:space="preserve">For implantado numa área de conservação, </w:t>
      </w:r>
      <w:proofErr w:type="spellStart"/>
      <w:r w:rsidRPr="00292532">
        <w:rPr>
          <w:lang w:val="pt-PT"/>
        </w:rPr>
        <w:t>afectar</w:t>
      </w:r>
      <w:proofErr w:type="spellEnd"/>
      <w:r w:rsidRPr="00292532">
        <w:rPr>
          <w:lang w:val="pt-PT"/>
        </w:rPr>
        <w:t xml:space="preserve"> mais de habitats naturais intactos ou espécies listadas no </w:t>
      </w:r>
      <w:proofErr w:type="spellStart"/>
      <w:r w:rsidRPr="00292532">
        <w:rPr>
          <w:lang w:val="pt-PT"/>
        </w:rPr>
        <w:t>Red</w:t>
      </w:r>
      <w:proofErr w:type="spellEnd"/>
      <w:r w:rsidRPr="00292532">
        <w:rPr>
          <w:lang w:val="pt-PT"/>
        </w:rPr>
        <w:t xml:space="preserve"> </w:t>
      </w:r>
      <w:proofErr w:type="spellStart"/>
      <w:r w:rsidRPr="00292532">
        <w:rPr>
          <w:lang w:val="pt-PT"/>
        </w:rPr>
        <w:t>Book</w:t>
      </w:r>
      <w:proofErr w:type="spellEnd"/>
      <w:r w:rsidRPr="00292532">
        <w:rPr>
          <w:lang w:val="pt-PT"/>
        </w:rPr>
        <w:t xml:space="preserve"> do IUCN ou tiver reassentamento compulsivo; Será de Categoria C, se a resposta for “Não” a todas as questões;</w:t>
      </w:r>
    </w:p>
    <w:p w14:paraId="4DA2EC5B" w14:textId="02F49D2C" w:rsidR="0093465A" w:rsidRPr="00292532" w:rsidRDefault="0093465A" w:rsidP="0093465A">
      <w:pPr>
        <w:rPr>
          <w:lang w:val="pt-PT"/>
        </w:rPr>
        <w:sectPr w:rsidR="0093465A" w:rsidRPr="00292532" w:rsidSect="00C01674">
          <w:pgSz w:w="11906" w:h="16838"/>
          <w:pgMar w:top="1417" w:right="1701" w:bottom="1417" w:left="1701" w:header="708" w:footer="708"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p>
    <w:p w14:paraId="40EFC166" w14:textId="77777777" w:rsidR="00F638C3" w:rsidRPr="00292532" w:rsidRDefault="00F638C3" w:rsidP="00F638C3">
      <w:pPr>
        <w:spacing w:before="0" w:after="120"/>
        <w:jc w:val="center"/>
        <w:rPr>
          <w:rFonts w:ascii="Arial" w:eastAsia="Times New Roman" w:hAnsi="Arial" w:cs="Times New Roman"/>
          <w:b/>
          <w:i/>
          <w:iCs/>
          <w:caps/>
          <w:lang w:val="pt-PT" w:eastAsia="pt-BR"/>
        </w:rPr>
      </w:pPr>
    </w:p>
    <w:p w14:paraId="48DB479C" w14:textId="77777777" w:rsidR="00F638C3" w:rsidRPr="00292532" w:rsidRDefault="00F638C3" w:rsidP="00F638C3">
      <w:pPr>
        <w:widowControl w:val="0"/>
        <w:autoSpaceDE w:val="0"/>
        <w:autoSpaceDN w:val="0"/>
        <w:spacing w:before="96" w:after="0"/>
        <w:ind w:left="157" w:right="157"/>
        <w:jc w:val="center"/>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ANEXO</w:t>
      </w:r>
      <w:r w:rsidRPr="00292532">
        <w:rPr>
          <w:rFonts w:asciiTheme="minorHAnsi" w:eastAsia="Times New Roman" w:hAnsiTheme="minorHAnsi" w:cstheme="minorHAnsi"/>
          <w:b/>
          <w:color w:val="231F20"/>
          <w:spacing w:val="-5"/>
          <w:lang w:val="pt-PT"/>
        </w:rPr>
        <w:t xml:space="preserve"> </w:t>
      </w:r>
      <w:r w:rsidRPr="00292532">
        <w:rPr>
          <w:rFonts w:asciiTheme="minorHAnsi" w:eastAsia="Times New Roman" w:hAnsiTheme="minorHAnsi" w:cstheme="minorHAnsi"/>
          <w:b/>
          <w:color w:val="231F20"/>
          <w:lang w:val="pt-PT"/>
        </w:rPr>
        <w:t>VI (Decreto 54/2015)</w:t>
      </w:r>
    </w:p>
    <w:p w14:paraId="1F57188C" w14:textId="77777777" w:rsidR="00F638C3" w:rsidRPr="00292532" w:rsidRDefault="00F638C3" w:rsidP="00F638C3">
      <w:pPr>
        <w:widowControl w:val="0"/>
        <w:autoSpaceDE w:val="0"/>
        <w:autoSpaceDN w:val="0"/>
        <w:spacing w:before="123" w:after="0"/>
        <w:ind w:left="157" w:right="157"/>
        <w:jc w:val="center"/>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Ficha de Informação</w:t>
      </w:r>
      <w:r w:rsidRPr="00292532">
        <w:rPr>
          <w:rFonts w:asciiTheme="minorHAnsi" w:eastAsia="Times New Roman" w:hAnsiTheme="minorHAnsi" w:cstheme="minorHAnsi"/>
          <w:b/>
          <w:color w:val="231F20"/>
          <w:spacing w:val="-8"/>
          <w:lang w:val="pt-PT"/>
        </w:rPr>
        <w:t xml:space="preserve"> </w:t>
      </w:r>
      <w:r w:rsidRPr="00292532">
        <w:rPr>
          <w:rFonts w:asciiTheme="minorHAnsi" w:eastAsia="Times New Roman" w:hAnsiTheme="minorHAnsi" w:cstheme="minorHAnsi"/>
          <w:b/>
          <w:color w:val="231F20"/>
          <w:lang w:val="pt-PT"/>
        </w:rPr>
        <w:t>Ambiental Preliminar</w:t>
      </w:r>
    </w:p>
    <w:p w14:paraId="6B556369" w14:textId="77777777" w:rsidR="00F638C3" w:rsidRPr="00292532" w:rsidRDefault="00F638C3" w:rsidP="00F638C3">
      <w:pPr>
        <w:widowControl w:val="0"/>
        <w:numPr>
          <w:ilvl w:val="0"/>
          <w:numId w:val="36"/>
        </w:numPr>
        <w:tabs>
          <w:tab w:val="left" w:pos="900"/>
        </w:tabs>
        <w:autoSpaceDE w:val="0"/>
        <w:autoSpaceDN w:val="0"/>
        <w:spacing w:before="144" w:after="0"/>
        <w:ind w:left="900" w:right="970" w:firstLine="0"/>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Nome</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da</w:t>
      </w:r>
      <w:r w:rsidRPr="00292532">
        <w:rPr>
          <w:rFonts w:asciiTheme="minorHAnsi" w:eastAsia="Times New Roman" w:hAnsiTheme="minorHAnsi" w:cstheme="minorHAnsi"/>
          <w:b/>
          <w:color w:val="231F20"/>
          <w:spacing w:val="-2"/>
          <w:lang w:val="pt-PT"/>
        </w:rPr>
        <w:t xml:space="preserve"> </w:t>
      </w:r>
      <w:proofErr w:type="spellStart"/>
      <w:r w:rsidRPr="00292532">
        <w:rPr>
          <w:rFonts w:asciiTheme="minorHAnsi" w:eastAsia="Times New Roman" w:hAnsiTheme="minorHAnsi" w:cstheme="minorHAnsi"/>
          <w:b/>
          <w:color w:val="231F20"/>
          <w:lang w:val="pt-PT"/>
        </w:rPr>
        <w:t>actividade</w:t>
      </w:r>
      <w:proofErr w:type="spellEnd"/>
      <w:r w:rsidRPr="00292532">
        <w:rPr>
          <w:rFonts w:asciiTheme="minorHAnsi" w:eastAsia="Times New Roman" w:hAnsiTheme="minorHAnsi" w:cstheme="minorHAnsi"/>
          <w:b/>
          <w:color w:val="231F20"/>
          <w:lang w:val="pt-PT"/>
        </w:rPr>
        <w:t>:</w:t>
      </w:r>
    </w:p>
    <w:p w14:paraId="45D3A7F5" w14:textId="3F150F60" w:rsidR="00F638C3" w:rsidRPr="00292532" w:rsidRDefault="00F638C3" w:rsidP="00F638C3">
      <w:pPr>
        <w:widowControl w:val="0"/>
        <w:tabs>
          <w:tab w:val="left" w:pos="900"/>
        </w:tabs>
        <w:autoSpaceDE w:val="0"/>
        <w:autoSpaceDN w:val="0"/>
        <w:spacing w:before="8"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noProof/>
          <w:lang w:val="en-US"/>
        </w:rPr>
        <mc:AlternateContent>
          <mc:Choice Requires="wps">
            <w:drawing>
              <wp:anchor distT="0" distB="0" distL="0" distR="0" simplePos="0" relativeHeight="252061696" behindDoc="1" locked="0" layoutInCell="1" allowOverlap="1" wp14:anchorId="570BCA10" wp14:editId="7A53A95E">
                <wp:simplePos x="0" y="0"/>
                <wp:positionH relativeFrom="page">
                  <wp:posOffset>692785</wp:posOffset>
                </wp:positionH>
                <wp:positionV relativeFrom="paragraph">
                  <wp:posOffset>186690</wp:posOffset>
                </wp:positionV>
                <wp:extent cx="6315075" cy="1270"/>
                <wp:effectExtent l="0" t="0" r="0" b="0"/>
                <wp:wrapTopAndBottom/>
                <wp:docPr id="352" name="Freeform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B4D8E3E" id="Freeform 81" o:spid="_x0000_s1026" style="position:absolute;margin-left:54.55pt;margin-top:14.7pt;width:497.25pt;height:.1pt;z-index:-251254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62720" behindDoc="1" locked="0" layoutInCell="1" allowOverlap="1" wp14:anchorId="76956804" wp14:editId="5CC45ECF">
                <wp:simplePos x="0" y="0"/>
                <wp:positionH relativeFrom="page">
                  <wp:posOffset>692785</wp:posOffset>
                </wp:positionH>
                <wp:positionV relativeFrom="paragraph">
                  <wp:posOffset>351155</wp:posOffset>
                </wp:positionV>
                <wp:extent cx="6315075" cy="1270"/>
                <wp:effectExtent l="0" t="0" r="0" b="0"/>
                <wp:wrapTopAndBottom/>
                <wp:docPr id="353" name="Freeform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29783460" id="Freeform 80" o:spid="_x0000_s1026" style="position:absolute;margin-left:54.55pt;margin-top:27.65pt;width:497.25pt;height:.1pt;z-index:-251253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63744" behindDoc="1" locked="0" layoutInCell="1" allowOverlap="1" wp14:anchorId="747600B1" wp14:editId="6E0569CE">
                <wp:simplePos x="0" y="0"/>
                <wp:positionH relativeFrom="page">
                  <wp:posOffset>692785</wp:posOffset>
                </wp:positionH>
                <wp:positionV relativeFrom="paragraph">
                  <wp:posOffset>516255</wp:posOffset>
                </wp:positionV>
                <wp:extent cx="6309360" cy="1270"/>
                <wp:effectExtent l="0" t="0" r="0" b="0"/>
                <wp:wrapTopAndBottom/>
                <wp:docPr id="354" name="Freeform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9360" cy="1270"/>
                        </a:xfrm>
                        <a:custGeom>
                          <a:avLst/>
                          <a:gdLst>
                            <a:gd name="T0" fmla="+- 0 1091 1091"/>
                            <a:gd name="T1" fmla="*/ T0 w 9936"/>
                            <a:gd name="T2" fmla="+- 0 11026 1091"/>
                            <a:gd name="T3" fmla="*/ T2 w 9936"/>
                          </a:gdLst>
                          <a:ahLst/>
                          <a:cxnLst>
                            <a:cxn ang="0">
                              <a:pos x="T1" y="0"/>
                            </a:cxn>
                            <a:cxn ang="0">
                              <a:pos x="T3" y="0"/>
                            </a:cxn>
                          </a:cxnLst>
                          <a:rect l="0" t="0" r="r" b="b"/>
                          <a:pathLst>
                            <a:path w="9936">
                              <a:moveTo>
                                <a:pt x="0" y="0"/>
                              </a:moveTo>
                              <a:lnTo>
                                <a:pt x="9935"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0D02279D" id="Freeform 79" o:spid="_x0000_s1026" style="position:absolute;margin-left:54.55pt;margin-top:40.65pt;width:496.8pt;height:.1pt;z-index:-251252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" path="m,l9935,e" filled="f" strokecolor="#221e1f" strokeweight=".17278mm">
                <v:path arrowok="t" o:connecttype="custom" o:connectlocs="0,0;6308725,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64768" behindDoc="1" locked="0" layoutInCell="1" allowOverlap="1" wp14:anchorId="60B8E611" wp14:editId="305EF91C">
                <wp:simplePos x="0" y="0"/>
                <wp:positionH relativeFrom="page">
                  <wp:posOffset>692785</wp:posOffset>
                </wp:positionH>
                <wp:positionV relativeFrom="paragraph">
                  <wp:posOffset>681355</wp:posOffset>
                </wp:positionV>
                <wp:extent cx="6309360" cy="1270"/>
                <wp:effectExtent l="0" t="0" r="0" b="0"/>
                <wp:wrapTopAndBottom/>
                <wp:docPr id="355"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9360" cy="1270"/>
                        </a:xfrm>
                        <a:custGeom>
                          <a:avLst/>
                          <a:gdLst>
                            <a:gd name="T0" fmla="+- 0 1091 1091"/>
                            <a:gd name="T1" fmla="*/ T0 w 9936"/>
                            <a:gd name="T2" fmla="+- 0 11026 1091"/>
                            <a:gd name="T3" fmla="*/ T2 w 9936"/>
                          </a:gdLst>
                          <a:ahLst/>
                          <a:cxnLst>
                            <a:cxn ang="0">
                              <a:pos x="T1" y="0"/>
                            </a:cxn>
                            <a:cxn ang="0">
                              <a:pos x="T3" y="0"/>
                            </a:cxn>
                          </a:cxnLst>
                          <a:rect l="0" t="0" r="r" b="b"/>
                          <a:pathLst>
                            <a:path w="9936">
                              <a:moveTo>
                                <a:pt x="0" y="0"/>
                              </a:moveTo>
                              <a:lnTo>
                                <a:pt x="9935"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4D21BC71" id="Freeform 78" o:spid="_x0000_s1026" style="position:absolute;margin-left:54.55pt;margin-top:53.65pt;width:496.8pt;height:.1pt;z-index:-251251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" path="m,l9935,e" filled="f" strokecolor="#221e1f" strokeweight=".17278mm">
                <v:path arrowok="t" o:connecttype="custom" o:connectlocs="0,0;6308725,0" o:connectangles="0,0"/>
                <w10:wrap type="topAndBottom" anchorx="page"/>
              </v:shape>
            </w:pict>
          </mc:Fallback>
        </mc:AlternateContent>
      </w:r>
    </w:p>
    <w:p w14:paraId="63DF42BC" w14:textId="77777777" w:rsidR="00F638C3" w:rsidRPr="00292532" w:rsidRDefault="00F638C3" w:rsidP="00F638C3">
      <w:pPr>
        <w:widowControl w:val="0"/>
        <w:numPr>
          <w:ilvl w:val="0"/>
          <w:numId w:val="36"/>
        </w:numPr>
        <w:tabs>
          <w:tab w:val="left" w:pos="900"/>
        </w:tabs>
        <w:autoSpaceDE w:val="0"/>
        <w:autoSpaceDN w:val="0"/>
        <w:spacing w:before="132" w:after="0"/>
        <w:ind w:left="900" w:right="970" w:firstLine="0"/>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Tipo</w:t>
      </w:r>
      <w:r w:rsidRPr="00292532">
        <w:rPr>
          <w:rFonts w:asciiTheme="minorHAnsi" w:eastAsia="Times New Roman" w:hAnsiTheme="minorHAnsi" w:cstheme="minorHAnsi"/>
          <w:b/>
          <w:color w:val="231F20"/>
          <w:spacing w:val="-3"/>
          <w:lang w:val="pt-PT"/>
        </w:rPr>
        <w:t xml:space="preserve"> </w:t>
      </w:r>
      <w:r w:rsidRPr="00292532">
        <w:rPr>
          <w:rFonts w:asciiTheme="minorHAnsi" w:eastAsia="Times New Roman" w:hAnsiTheme="minorHAnsi" w:cstheme="minorHAnsi"/>
          <w:b/>
          <w:color w:val="231F20"/>
          <w:lang w:val="pt-PT"/>
        </w:rPr>
        <w:t>de</w:t>
      </w:r>
      <w:r w:rsidRPr="00292532">
        <w:rPr>
          <w:rFonts w:asciiTheme="minorHAnsi" w:eastAsia="Times New Roman" w:hAnsiTheme="minorHAnsi" w:cstheme="minorHAnsi"/>
          <w:b/>
          <w:color w:val="231F20"/>
          <w:spacing w:val="-2"/>
          <w:lang w:val="pt-PT"/>
        </w:rPr>
        <w:t xml:space="preserve"> </w:t>
      </w:r>
      <w:proofErr w:type="spellStart"/>
      <w:r w:rsidRPr="00292532">
        <w:rPr>
          <w:rFonts w:asciiTheme="minorHAnsi" w:eastAsia="Times New Roman" w:hAnsiTheme="minorHAnsi" w:cstheme="minorHAnsi"/>
          <w:b/>
          <w:color w:val="231F20"/>
          <w:lang w:val="pt-PT"/>
        </w:rPr>
        <w:t>actividadde</w:t>
      </w:r>
      <w:proofErr w:type="spellEnd"/>
    </w:p>
    <w:p w14:paraId="0710133F" w14:textId="77777777" w:rsidR="00F638C3" w:rsidRPr="00292532" w:rsidRDefault="00F638C3" w:rsidP="00F638C3">
      <w:pPr>
        <w:widowControl w:val="0"/>
        <w:numPr>
          <w:ilvl w:val="1"/>
          <w:numId w:val="36"/>
        </w:numPr>
        <w:tabs>
          <w:tab w:val="left" w:pos="900"/>
          <w:tab w:val="left" w:pos="971"/>
          <w:tab w:val="left" w:pos="2462"/>
          <w:tab w:val="left" w:pos="3901"/>
          <w:tab w:val="left" w:pos="6060"/>
          <w:tab w:val="left" w:pos="7500"/>
          <w:tab w:val="left" w:pos="8939"/>
        </w:tabs>
        <w:autoSpaceDE w:val="0"/>
        <w:autoSpaceDN w:val="0"/>
        <w:spacing w:before="111" w:after="0"/>
        <w:ind w:left="900" w:right="970" w:firstLine="0"/>
        <w:rPr>
          <w:rFonts w:asciiTheme="minorHAnsi" w:eastAsia="Times New Roman" w:hAnsiTheme="minorHAnsi" w:cstheme="minorHAnsi"/>
          <w:lang w:val="pt-PT"/>
        </w:rPr>
      </w:pPr>
      <w:r w:rsidRPr="00292532">
        <w:rPr>
          <w:rFonts w:asciiTheme="minorHAnsi" w:eastAsia="Times New Roman" w:hAnsiTheme="minorHAnsi" w:cstheme="minorHAnsi"/>
          <w:color w:val="231F20"/>
          <w:w w:val="105"/>
          <w:lang w:val="pt-PT"/>
        </w:rPr>
        <w:t>Turística</w:t>
      </w:r>
      <w:r w:rsidRPr="00292532">
        <w:rPr>
          <w:rFonts w:asciiTheme="minorHAnsi" w:eastAsia="Times New Roman" w:hAnsiTheme="minorHAnsi" w:cstheme="minorHAnsi"/>
          <w:color w:val="231F20"/>
          <w:spacing w:val="-11"/>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t>Industrial</w:t>
      </w:r>
      <w:r w:rsidRPr="00292532">
        <w:rPr>
          <w:rFonts w:asciiTheme="minorHAnsi" w:eastAsia="Times New Roman" w:hAnsiTheme="minorHAnsi" w:cstheme="minorHAnsi"/>
          <w:color w:val="231F20"/>
          <w:spacing w:val="-9"/>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r>
      <w:proofErr w:type="spellStart"/>
      <w:r w:rsidRPr="00292532">
        <w:rPr>
          <w:rFonts w:asciiTheme="minorHAnsi" w:eastAsia="Times New Roman" w:hAnsiTheme="minorHAnsi" w:cstheme="minorHAnsi"/>
          <w:color w:val="231F20"/>
          <w:w w:val="105"/>
          <w:lang w:val="pt-PT"/>
        </w:rPr>
        <w:t>Agro-Pecuária</w:t>
      </w:r>
      <w:proofErr w:type="spellEnd"/>
      <w:r w:rsidRPr="00292532">
        <w:rPr>
          <w:rFonts w:asciiTheme="minorHAnsi" w:eastAsia="Times New Roman" w:hAnsiTheme="minorHAnsi" w:cstheme="minorHAnsi"/>
          <w:color w:val="231F20"/>
          <w:spacing w:val="-13"/>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t>Energética</w:t>
      </w:r>
      <w:r w:rsidRPr="00292532">
        <w:rPr>
          <w:rFonts w:asciiTheme="minorHAnsi" w:eastAsia="Times New Roman" w:hAnsiTheme="minorHAnsi" w:cstheme="minorHAnsi"/>
          <w:color w:val="231F20"/>
          <w:spacing w:val="-11"/>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t>Serviços</w:t>
      </w:r>
      <w:r w:rsidRPr="00292532">
        <w:rPr>
          <w:rFonts w:asciiTheme="minorHAnsi" w:eastAsia="Times New Roman" w:hAnsiTheme="minorHAnsi" w:cstheme="minorHAnsi"/>
          <w:color w:val="231F20"/>
          <w:spacing w:val="-8"/>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t>Outra</w:t>
      </w:r>
      <w:r w:rsidRPr="00292532">
        <w:rPr>
          <w:rFonts w:asciiTheme="minorHAnsi" w:eastAsia="Times New Roman" w:hAnsiTheme="minorHAnsi" w:cstheme="minorHAnsi"/>
          <w:color w:val="231F20"/>
          <w:spacing w:val="-7"/>
          <w:w w:val="105"/>
          <w:lang w:val="pt-PT"/>
        </w:rPr>
        <w:t xml:space="preserve"> </w:t>
      </w:r>
      <w:r w:rsidRPr="00292532">
        <w:rPr>
          <w:rFonts w:asciiTheme="minorHAnsi" w:eastAsia="Times New Roman" w:hAnsiTheme="minorHAnsi" w:cstheme="minorHAnsi"/>
          <w:color w:val="231F20"/>
          <w:w w:val="105"/>
          <w:lang w:val="pt-PT"/>
        </w:rPr>
        <w:t>□</w:t>
      </w:r>
    </w:p>
    <w:p w14:paraId="0EBF0F69" w14:textId="77777777" w:rsidR="00F638C3" w:rsidRPr="00292532" w:rsidRDefault="00F638C3" w:rsidP="00F638C3">
      <w:pPr>
        <w:widowControl w:val="0"/>
        <w:tabs>
          <w:tab w:val="left" w:pos="900"/>
        </w:tabs>
        <w:autoSpaceDE w:val="0"/>
        <w:autoSpaceDN w:val="0"/>
        <w:spacing w:before="41" w:after="0"/>
        <w:ind w:left="900" w:right="970"/>
        <w:jc w:val="left"/>
        <w:rPr>
          <w:rFonts w:asciiTheme="minorHAnsi" w:eastAsia="Times New Roman" w:hAnsiTheme="minorHAnsi" w:cstheme="minorHAnsi"/>
          <w:lang w:val="pt-PT"/>
        </w:rPr>
      </w:pPr>
      <w:r w:rsidRPr="00292532">
        <w:rPr>
          <w:rFonts w:asciiTheme="minorHAnsi" w:eastAsia="Times New Roman" w:hAnsiTheme="minorHAnsi" w:cstheme="minorHAnsi"/>
          <w:color w:val="231F20"/>
          <w:lang w:val="pt-PT"/>
        </w:rPr>
        <w:t>(especifique)</w:t>
      </w:r>
    </w:p>
    <w:p w14:paraId="52BEF979" w14:textId="41829EF3" w:rsidR="00F638C3" w:rsidRPr="00292532" w:rsidRDefault="00F638C3" w:rsidP="00F638C3">
      <w:pPr>
        <w:widowControl w:val="0"/>
        <w:tabs>
          <w:tab w:val="left" w:pos="900"/>
        </w:tabs>
        <w:autoSpaceDE w:val="0"/>
        <w:autoSpaceDN w:val="0"/>
        <w:spacing w:before="8" w:after="0"/>
        <w:ind w:left="900" w:right="970"/>
        <w:jc w:val="left"/>
        <w:rPr>
          <w:rFonts w:asciiTheme="minorHAnsi" w:eastAsia="Times New Roman" w:hAnsiTheme="minorHAnsi" w:cstheme="minorHAnsi"/>
          <w:lang w:val="pt-PT"/>
        </w:rPr>
      </w:pPr>
      <w:r w:rsidRPr="00292532">
        <w:rPr>
          <w:rFonts w:asciiTheme="minorHAnsi" w:eastAsia="Times New Roman" w:hAnsiTheme="minorHAnsi" w:cstheme="minorHAnsi"/>
          <w:noProof/>
          <w:lang w:val="en-US"/>
        </w:rPr>
        <mc:AlternateContent>
          <mc:Choice Requires="wps">
            <w:drawing>
              <wp:anchor distT="0" distB="0" distL="0" distR="0" simplePos="0" relativeHeight="252065792" behindDoc="1" locked="0" layoutInCell="1" allowOverlap="1" wp14:anchorId="46878655" wp14:editId="58393894">
                <wp:simplePos x="0" y="0"/>
                <wp:positionH relativeFrom="page">
                  <wp:posOffset>692785</wp:posOffset>
                </wp:positionH>
                <wp:positionV relativeFrom="paragraph">
                  <wp:posOffset>186690</wp:posOffset>
                </wp:positionV>
                <wp:extent cx="6315075" cy="1270"/>
                <wp:effectExtent l="0" t="0" r="0" b="0"/>
                <wp:wrapTopAndBottom/>
                <wp:docPr id="356" name="Freeform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05D718F1" id="Freeform 77" o:spid="_x0000_s1026" style="position:absolute;margin-left:54.55pt;margin-top:14.7pt;width:497.25pt;height:.1pt;z-index:-251250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66816" behindDoc="1" locked="0" layoutInCell="1" allowOverlap="1" wp14:anchorId="263C6D78" wp14:editId="7740570D">
                <wp:simplePos x="0" y="0"/>
                <wp:positionH relativeFrom="page">
                  <wp:posOffset>692785</wp:posOffset>
                </wp:positionH>
                <wp:positionV relativeFrom="paragraph">
                  <wp:posOffset>351790</wp:posOffset>
                </wp:positionV>
                <wp:extent cx="6315075" cy="1270"/>
                <wp:effectExtent l="0" t="0" r="0" b="0"/>
                <wp:wrapTopAndBottom/>
                <wp:docPr id="358" name="Freeform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510C0836" id="Freeform 76" o:spid="_x0000_s1026" style="position:absolute;margin-left:54.55pt;margin-top:27.7pt;width:497.25pt;height:.1pt;z-index:-251249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67840" behindDoc="1" locked="0" layoutInCell="1" allowOverlap="1" wp14:anchorId="7A589258" wp14:editId="32F3274A">
                <wp:simplePos x="0" y="0"/>
                <wp:positionH relativeFrom="page">
                  <wp:posOffset>692785</wp:posOffset>
                </wp:positionH>
                <wp:positionV relativeFrom="paragraph">
                  <wp:posOffset>516890</wp:posOffset>
                </wp:positionV>
                <wp:extent cx="6315075" cy="1270"/>
                <wp:effectExtent l="0" t="0" r="0" b="0"/>
                <wp:wrapTopAndBottom/>
                <wp:docPr id="359" name="Freeform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C15C530" id="Freeform 75" o:spid="_x0000_s1026" style="position:absolute;margin-left:54.55pt;margin-top:40.7pt;width:497.25pt;height:.1pt;z-index:-25124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68864" behindDoc="1" locked="0" layoutInCell="1" allowOverlap="1" wp14:anchorId="35371C52" wp14:editId="1E4658D9">
                <wp:simplePos x="0" y="0"/>
                <wp:positionH relativeFrom="page">
                  <wp:posOffset>692785</wp:posOffset>
                </wp:positionH>
                <wp:positionV relativeFrom="paragraph">
                  <wp:posOffset>681990</wp:posOffset>
                </wp:positionV>
                <wp:extent cx="6309360" cy="1270"/>
                <wp:effectExtent l="0" t="0" r="0" b="0"/>
                <wp:wrapTopAndBottom/>
                <wp:docPr id="360" name="Freeform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9360" cy="1270"/>
                        </a:xfrm>
                        <a:custGeom>
                          <a:avLst/>
                          <a:gdLst>
                            <a:gd name="T0" fmla="+- 0 1091 1091"/>
                            <a:gd name="T1" fmla="*/ T0 w 9936"/>
                            <a:gd name="T2" fmla="+- 0 11026 1091"/>
                            <a:gd name="T3" fmla="*/ T2 w 9936"/>
                          </a:gdLst>
                          <a:ahLst/>
                          <a:cxnLst>
                            <a:cxn ang="0">
                              <a:pos x="T1" y="0"/>
                            </a:cxn>
                            <a:cxn ang="0">
                              <a:pos x="T3" y="0"/>
                            </a:cxn>
                          </a:cxnLst>
                          <a:rect l="0" t="0" r="r" b="b"/>
                          <a:pathLst>
                            <a:path w="9936">
                              <a:moveTo>
                                <a:pt x="0" y="0"/>
                              </a:moveTo>
                              <a:lnTo>
                                <a:pt x="9935"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082739E" id="Freeform 74" o:spid="_x0000_s1026" style="position:absolute;margin-left:54.55pt;margin-top:53.7pt;width:496.8pt;height:.1pt;z-index:-25124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" path="m,l9935,e" filled="f" strokecolor="#221e1f" strokeweight=".17278mm">
                <v:path arrowok="t" o:connecttype="custom" o:connectlocs="0,0;6308725,0" o:connectangles="0,0"/>
                <w10:wrap type="topAndBottom" anchorx="page"/>
              </v:shape>
            </w:pict>
          </mc:Fallback>
        </mc:AlternateContent>
      </w:r>
    </w:p>
    <w:p w14:paraId="037577FE" w14:textId="77777777" w:rsidR="00F638C3" w:rsidRPr="00292532" w:rsidRDefault="00F638C3" w:rsidP="00F638C3">
      <w:pPr>
        <w:widowControl w:val="0"/>
        <w:numPr>
          <w:ilvl w:val="1"/>
          <w:numId w:val="36"/>
        </w:numPr>
        <w:tabs>
          <w:tab w:val="left" w:pos="900"/>
          <w:tab w:val="left" w:pos="974"/>
          <w:tab w:val="left" w:pos="3182"/>
          <w:tab w:val="left" w:pos="5341"/>
          <w:tab w:val="left" w:pos="7500"/>
        </w:tabs>
        <w:autoSpaceDE w:val="0"/>
        <w:autoSpaceDN w:val="0"/>
        <w:spacing w:before="59" w:after="0"/>
        <w:ind w:left="900" w:right="970" w:firstLine="0"/>
        <w:rPr>
          <w:rFonts w:asciiTheme="minorHAnsi" w:eastAsia="Times New Roman" w:hAnsiTheme="minorHAnsi" w:cstheme="minorHAnsi"/>
          <w:lang w:val="pt-PT"/>
        </w:rPr>
      </w:pPr>
      <w:r w:rsidRPr="00292532">
        <w:rPr>
          <w:rFonts w:asciiTheme="minorHAnsi" w:eastAsia="Times New Roman" w:hAnsiTheme="minorHAnsi" w:cstheme="minorHAnsi"/>
          <w:color w:val="231F20"/>
          <w:w w:val="105"/>
          <w:lang w:val="pt-PT"/>
        </w:rPr>
        <w:t>Nova</w:t>
      </w:r>
      <w:r w:rsidRPr="00292532">
        <w:rPr>
          <w:rFonts w:asciiTheme="minorHAnsi" w:eastAsia="Times New Roman" w:hAnsiTheme="minorHAnsi" w:cstheme="minorHAnsi"/>
          <w:color w:val="231F20"/>
          <w:spacing w:val="-6"/>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t>Reabilitação</w:t>
      </w:r>
      <w:r w:rsidRPr="00292532">
        <w:rPr>
          <w:rFonts w:asciiTheme="minorHAnsi" w:eastAsia="Times New Roman" w:hAnsiTheme="minorHAnsi" w:cstheme="minorHAnsi"/>
          <w:color w:val="231F20"/>
          <w:spacing w:val="-11"/>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t>Expansão</w:t>
      </w:r>
      <w:r w:rsidRPr="00292532">
        <w:rPr>
          <w:rFonts w:asciiTheme="minorHAnsi" w:eastAsia="Times New Roman" w:hAnsiTheme="minorHAnsi" w:cstheme="minorHAnsi"/>
          <w:color w:val="231F20"/>
          <w:spacing w:val="-9"/>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t>Outro</w:t>
      </w:r>
      <w:r w:rsidRPr="00292532">
        <w:rPr>
          <w:rFonts w:asciiTheme="minorHAnsi" w:eastAsia="Times New Roman" w:hAnsiTheme="minorHAnsi" w:cstheme="minorHAnsi"/>
          <w:color w:val="231F20"/>
          <w:spacing w:val="-6"/>
          <w:w w:val="105"/>
          <w:lang w:val="pt-PT"/>
        </w:rPr>
        <w:t xml:space="preserve"> </w:t>
      </w:r>
      <w:r w:rsidRPr="00292532">
        <w:rPr>
          <w:rFonts w:asciiTheme="minorHAnsi" w:eastAsia="Times New Roman" w:hAnsiTheme="minorHAnsi" w:cstheme="minorHAnsi"/>
          <w:color w:val="231F20"/>
          <w:w w:val="105"/>
          <w:lang w:val="pt-PT"/>
        </w:rPr>
        <w:t>□</w:t>
      </w:r>
    </w:p>
    <w:p w14:paraId="4C89075E" w14:textId="77777777" w:rsidR="00F638C3" w:rsidRPr="00292532" w:rsidRDefault="00F638C3" w:rsidP="00F638C3">
      <w:pPr>
        <w:widowControl w:val="0"/>
        <w:tabs>
          <w:tab w:val="left" w:pos="900"/>
        </w:tabs>
        <w:autoSpaceDE w:val="0"/>
        <w:autoSpaceDN w:val="0"/>
        <w:spacing w:before="42" w:after="0"/>
        <w:ind w:left="900" w:right="970"/>
        <w:jc w:val="left"/>
        <w:rPr>
          <w:rFonts w:asciiTheme="minorHAnsi" w:eastAsia="Times New Roman" w:hAnsiTheme="minorHAnsi" w:cstheme="minorHAnsi"/>
          <w:lang w:val="pt-PT"/>
        </w:rPr>
      </w:pPr>
      <w:r w:rsidRPr="00292532">
        <w:rPr>
          <w:rFonts w:asciiTheme="minorHAnsi" w:eastAsia="Times New Roman" w:hAnsiTheme="minorHAnsi" w:cstheme="minorHAnsi"/>
          <w:color w:val="231F20"/>
          <w:lang w:val="pt-PT"/>
        </w:rPr>
        <w:t>(especifique)</w:t>
      </w:r>
    </w:p>
    <w:p w14:paraId="3FEC6E8D" w14:textId="77777777" w:rsidR="00F638C3" w:rsidRPr="00292532" w:rsidRDefault="00F638C3" w:rsidP="00F638C3">
      <w:pPr>
        <w:widowControl w:val="0"/>
        <w:numPr>
          <w:ilvl w:val="0"/>
          <w:numId w:val="36"/>
        </w:numPr>
        <w:tabs>
          <w:tab w:val="left" w:pos="900"/>
        </w:tabs>
        <w:autoSpaceDE w:val="0"/>
        <w:autoSpaceDN w:val="0"/>
        <w:spacing w:before="87" w:after="0"/>
        <w:ind w:left="900" w:right="970" w:firstLine="0"/>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Identificação</w:t>
      </w:r>
      <w:r w:rsidRPr="00292532">
        <w:rPr>
          <w:rFonts w:asciiTheme="minorHAnsi" w:eastAsia="Times New Roman" w:hAnsiTheme="minorHAnsi" w:cstheme="minorHAnsi"/>
          <w:b/>
          <w:color w:val="231F20"/>
          <w:spacing w:val="-6"/>
          <w:lang w:val="pt-PT"/>
        </w:rPr>
        <w:t xml:space="preserve"> </w:t>
      </w:r>
      <w:r w:rsidRPr="00292532">
        <w:rPr>
          <w:rFonts w:asciiTheme="minorHAnsi" w:eastAsia="Times New Roman" w:hAnsiTheme="minorHAnsi" w:cstheme="minorHAnsi"/>
          <w:b/>
          <w:color w:val="231F20"/>
          <w:lang w:val="pt-PT"/>
        </w:rPr>
        <w:t>do(s)</w:t>
      </w:r>
      <w:r w:rsidRPr="00292532">
        <w:rPr>
          <w:rFonts w:asciiTheme="minorHAnsi" w:eastAsia="Times New Roman" w:hAnsiTheme="minorHAnsi" w:cstheme="minorHAnsi"/>
          <w:b/>
          <w:color w:val="231F20"/>
          <w:spacing w:val="-5"/>
          <w:lang w:val="pt-PT"/>
        </w:rPr>
        <w:t xml:space="preserve"> </w:t>
      </w:r>
      <w:r w:rsidRPr="00292532">
        <w:rPr>
          <w:rFonts w:asciiTheme="minorHAnsi" w:eastAsia="Times New Roman" w:hAnsiTheme="minorHAnsi" w:cstheme="minorHAnsi"/>
          <w:b/>
          <w:color w:val="231F20"/>
          <w:lang w:val="pt-PT"/>
        </w:rPr>
        <w:t>proponente(s):</w:t>
      </w:r>
    </w:p>
    <w:p w14:paraId="6C59E30C" w14:textId="4F9F4FF5" w:rsidR="00F638C3" w:rsidRPr="00292532" w:rsidRDefault="00F638C3" w:rsidP="00F638C3">
      <w:pPr>
        <w:widowControl w:val="0"/>
        <w:tabs>
          <w:tab w:val="left" w:pos="900"/>
        </w:tabs>
        <w:autoSpaceDE w:val="0"/>
        <w:autoSpaceDN w:val="0"/>
        <w:spacing w:before="7"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noProof/>
          <w:lang w:val="en-US"/>
        </w:rPr>
        <mc:AlternateContent>
          <mc:Choice Requires="wps">
            <w:drawing>
              <wp:anchor distT="0" distB="0" distL="0" distR="0" simplePos="0" relativeHeight="252069888" behindDoc="1" locked="0" layoutInCell="1" allowOverlap="1" wp14:anchorId="0BCB3542" wp14:editId="0DC6CFD7">
                <wp:simplePos x="0" y="0"/>
                <wp:positionH relativeFrom="page">
                  <wp:posOffset>692785</wp:posOffset>
                </wp:positionH>
                <wp:positionV relativeFrom="paragraph">
                  <wp:posOffset>186055</wp:posOffset>
                </wp:positionV>
                <wp:extent cx="6309360" cy="1270"/>
                <wp:effectExtent l="0" t="0" r="0" b="0"/>
                <wp:wrapTopAndBottom/>
                <wp:docPr id="361" name="Freeform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9360" cy="1270"/>
                        </a:xfrm>
                        <a:custGeom>
                          <a:avLst/>
                          <a:gdLst>
                            <a:gd name="T0" fmla="+- 0 1091 1091"/>
                            <a:gd name="T1" fmla="*/ T0 w 9936"/>
                            <a:gd name="T2" fmla="+- 0 11026 1091"/>
                            <a:gd name="T3" fmla="*/ T2 w 9936"/>
                          </a:gdLst>
                          <a:ahLst/>
                          <a:cxnLst>
                            <a:cxn ang="0">
                              <a:pos x="T1" y="0"/>
                            </a:cxn>
                            <a:cxn ang="0">
                              <a:pos x="T3" y="0"/>
                            </a:cxn>
                          </a:cxnLst>
                          <a:rect l="0" t="0" r="r" b="b"/>
                          <a:pathLst>
                            <a:path w="9936">
                              <a:moveTo>
                                <a:pt x="0" y="0"/>
                              </a:moveTo>
                              <a:lnTo>
                                <a:pt x="9935"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107D8E70" id="Freeform 73" o:spid="_x0000_s1026" style="position:absolute;margin-left:54.55pt;margin-top:14.65pt;width:496.8pt;height:.1pt;z-index:-25124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" path="m,l9935,e" filled="f" strokecolor="#221e1f" strokeweight=".17278mm">
                <v:path arrowok="t" o:connecttype="custom" o:connectlocs="0,0;6308725,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70912" behindDoc="1" locked="0" layoutInCell="1" allowOverlap="1" wp14:anchorId="1F201AB0" wp14:editId="2DAC9287">
                <wp:simplePos x="0" y="0"/>
                <wp:positionH relativeFrom="page">
                  <wp:posOffset>692785</wp:posOffset>
                </wp:positionH>
                <wp:positionV relativeFrom="paragraph">
                  <wp:posOffset>351155</wp:posOffset>
                </wp:positionV>
                <wp:extent cx="6316345" cy="1270"/>
                <wp:effectExtent l="0" t="0" r="0" b="0"/>
                <wp:wrapTopAndBottom/>
                <wp:docPr id="362" name="Freeform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6345" cy="1270"/>
                        </a:xfrm>
                        <a:custGeom>
                          <a:avLst/>
                          <a:gdLst>
                            <a:gd name="T0" fmla="+- 0 1091 1091"/>
                            <a:gd name="T1" fmla="*/ T0 w 9947"/>
                            <a:gd name="T2" fmla="+- 0 11037 1091"/>
                            <a:gd name="T3" fmla="*/ T2 w 9947"/>
                          </a:gdLst>
                          <a:ahLst/>
                          <a:cxnLst>
                            <a:cxn ang="0">
                              <a:pos x="T1" y="0"/>
                            </a:cxn>
                            <a:cxn ang="0">
                              <a:pos x="T3" y="0"/>
                            </a:cxn>
                          </a:cxnLst>
                          <a:rect l="0" t="0" r="r" b="b"/>
                          <a:pathLst>
                            <a:path w="9947">
                              <a:moveTo>
                                <a:pt x="0" y="0"/>
                              </a:moveTo>
                              <a:lnTo>
                                <a:pt x="9946"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1B947D73" id="Freeform 72" o:spid="_x0000_s1026" style="position:absolute;margin-left:54.55pt;margin-top:27.65pt;width:497.35pt;height:.1pt;z-index:-25124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" path="m,l9946,e" filled="f" strokecolor="#221e1f" strokeweight=".17278mm">
                <v:path arrowok="t" o:connecttype="custom" o:connectlocs="0,0;631571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71936" behindDoc="1" locked="0" layoutInCell="1" allowOverlap="1" wp14:anchorId="507E0E8C" wp14:editId="0F00F1F8">
                <wp:simplePos x="0" y="0"/>
                <wp:positionH relativeFrom="page">
                  <wp:posOffset>692785</wp:posOffset>
                </wp:positionH>
                <wp:positionV relativeFrom="paragraph">
                  <wp:posOffset>516255</wp:posOffset>
                </wp:positionV>
                <wp:extent cx="6316345" cy="1270"/>
                <wp:effectExtent l="0" t="0" r="0" b="0"/>
                <wp:wrapTopAndBottom/>
                <wp:docPr id="363"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6345" cy="1270"/>
                        </a:xfrm>
                        <a:custGeom>
                          <a:avLst/>
                          <a:gdLst>
                            <a:gd name="T0" fmla="+- 0 1091 1091"/>
                            <a:gd name="T1" fmla="*/ T0 w 9947"/>
                            <a:gd name="T2" fmla="+- 0 11037 1091"/>
                            <a:gd name="T3" fmla="*/ T2 w 9947"/>
                          </a:gdLst>
                          <a:ahLst/>
                          <a:cxnLst>
                            <a:cxn ang="0">
                              <a:pos x="T1" y="0"/>
                            </a:cxn>
                            <a:cxn ang="0">
                              <a:pos x="T3" y="0"/>
                            </a:cxn>
                          </a:cxnLst>
                          <a:rect l="0" t="0" r="r" b="b"/>
                          <a:pathLst>
                            <a:path w="9947">
                              <a:moveTo>
                                <a:pt x="0" y="0"/>
                              </a:moveTo>
                              <a:lnTo>
                                <a:pt x="9946"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4FCC31D" id="Freeform 71" o:spid="_x0000_s1026" style="position:absolute;margin-left:54.55pt;margin-top:40.65pt;width:497.35pt;height:.1pt;z-index:-251244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" path="m,l9946,e" filled="f" strokecolor="#221e1f" strokeweight=".17278mm">
                <v:path arrowok="t" o:connecttype="custom" o:connectlocs="0,0;631571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72960" behindDoc="1" locked="0" layoutInCell="1" allowOverlap="1" wp14:anchorId="324F7A28" wp14:editId="2E0E19D0">
                <wp:simplePos x="0" y="0"/>
                <wp:positionH relativeFrom="page">
                  <wp:posOffset>692785</wp:posOffset>
                </wp:positionH>
                <wp:positionV relativeFrom="paragraph">
                  <wp:posOffset>681355</wp:posOffset>
                </wp:positionV>
                <wp:extent cx="6309360" cy="1270"/>
                <wp:effectExtent l="0" t="0" r="0" b="0"/>
                <wp:wrapTopAndBottom/>
                <wp:docPr id="364" name="Freeform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9360" cy="1270"/>
                        </a:xfrm>
                        <a:custGeom>
                          <a:avLst/>
                          <a:gdLst>
                            <a:gd name="T0" fmla="+- 0 1091 1091"/>
                            <a:gd name="T1" fmla="*/ T0 w 9936"/>
                            <a:gd name="T2" fmla="+- 0 11026 1091"/>
                            <a:gd name="T3" fmla="*/ T2 w 9936"/>
                          </a:gdLst>
                          <a:ahLst/>
                          <a:cxnLst>
                            <a:cxn ang="0">
                              <a:pos x="T1" y="0"/>
                            </a:cxn>
                            <a:cxn ang="0">
                              <a:pos x="T3" y="0"/>
                            </a:cxn>
                          </a:cxnLst>
                          <a:rect l="0" t="0" r="r" b="b"/>
                          <a:pathLst>
                            <a:path w="9936">
                              <a:moveTo>
                                <a:pt x="0" y="0"/>
                              </a:moveTo>
                              <a:lnTo>
                                <a:pt x="9935"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22A66ADA" id="Freeform 70" o:spid="_x0000_s1026" style="position:absolute;margin-left:54.55pt;margin-top:53.65pt;width:496.8pt;height:.1pt;z-index:-251243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" path="m,l9935,e" filled="f" strokecolor="#221e1f" strokeweight=".17278mm">
                <v:path arrowok="t" o:connecttype="custom" o:connectlocs="0,0;6308725,0" o:connectangles="0,0"/>
                <w10:wrap type="topAndBottom" anchorx="page"/>
              </v:shape>
            </w:pict>
          </mc:Fallback>
        </mc:AlternateContent>
      </w:r>
    </w:p>
    <w:p w14:paraId="4F683CAB" w14:textId="77777777" w:rsidR="00F638C3" w:rsidRPr="00292532" w:rsidRDefault="00F638C3" w:rsidP="00F638C3">
      <w:pPr>
        <w:widowControl w:val="0"/>
        <w:numPr>
          <w:ilvl w:val="0"/>
          <w:numId w:val="36"/>
        </w:numPr>
        <w:tabs>
          <w:tab w:val="left" w:pos="900"/>
        </w:tabs>
        <w:autoSpaceDE w:val="0"/>
        <w:autoSpaceDN w:val="0"/>
        <w:spacing w:before="132" w:after="0"/>
        <w:ind w:left="900" w:right="970" w:firstLine="0"/>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Endereço/contacto</w:t>
      </w:r>
    </w:p>
    <w:p w14:paraId="6CEC48F4" w14:textId="77777777" w:rsidR="00F638C3" w:rsidRPr="00292532" w:rsidRDefault="00F638C3" w:rsidP="00F638C3">
      <w:pPr>
        <w:widowControl w:val="0"/>
        <w:tabs>
          <w:tab w:val="left" w:pos="900"/>
        </w:tabs>
        <w:autoSpaceDE w:val="0"/>
        <w:autoSpaceDN w:val="0"/>
        <w:spacing w:before="87" w:after="0"/>
        <w:ind w:left="900" w:right="970"/>
        <w:jc w:val="left"/>
        <w:rPr>
          <w:rFonts w:asciiTheme="minorHAnsi" w:eastAsia="Times New Roman" w:hAnsiTheme="minorHAnsi" w:cstheme="minorHAnsi"/>
          <w:lang w:val="pt-PT"/>
        </w:rPr>
      </w:pPr>
      <w:r w:rsidRPr="00292532">
        <w:rPr>
          <w:rFonts w:asciiTheme="minorHAnsi" w:eastAsia="Times New Roman" w:hAnsiTheme="minorHAnsi" w:cstheme="minorHAnsi"/>
          <w:color w:val="231F20"/>
          <w:spacing w:val="-1"/>
          <w:lang w:val="pt-PT"/>
        </w:rPr>
        <w:t>Av.</w:t>
      </w:r>
      <w:r w:rsidRPr="00292532">
        <w:rPr>
          <w:rFonts w:asciiTheme="minorHAnsi" w:eastAsia="Times New Roman" w:hAnsiTheme="minorHAnsi" w:cstheme="minorHAnsi"/>
          <w:color w:val="231F20"/>
          <w:spacing w:val="-10"/>
          <w:lang w:val="pt-PT"/>
        </w:rPr>
        <w:t xml:space="preserve"> </w:t>
      </w:r>
      <w:r w:rsidRPr="00292532">
        <w:rPr>
          <w:rFonts w:asciiTheme="minorHAnsi" w:eastAsia="Times New Roman" w:hAnsiTheme="minorHAnsi" w:cstheme="minorHAnsi"/>
          <w:color w:val="231F20"/>
          <w:spacing w:val="-1"/>
          <w:lang w:val="pt-PT"/>
        </w:rPr>
        <w:t>/Rua:</w:t>
      </w:r>
    </w:p>
    <w:p w14:paraId="3FB7BADE" w14:textId="7D82EAFD" w:rsidR="00F638C3" w:rsidRPr="00292532" w:rsidRDefault="00F638C3" w:rsidP="00F638C3">
      <w:pPr>
        <w:widowControl w:val="0"/>
        <w:tabs>
          <w:tab w:val="left" w:pos="900"/>
        </w:tabs>
        <w:autoSpaceDE w:val="0"/>
        <w:autoSpaceDN w:val="0"/>
        <w:spacing w:before="7" w:after="0"/>
        <w:ind w:left="900" w:right="970"/>
        <w:jc w:val="left"/>
        <w:rPr>
          <w:rFonts w:asciiTheme="minorHAnsi" w:eastAsia="Times New Roman" w:hAnsiTheme="minorHAnsi" w:cstheme="minorHAnsi"/>
          <w:lang w:val="pt-PT"/>
        </w:rPr>
      </w:pPr>
      <w:r w:rsidRPr="00292532">
        <w:rPr>
          <w:rFonts w:asciiTheme="minorHAnsi" w:eastAsia="Times New Roman" w:hAnsiTheme="minorHAnsi" w:cstheme="minorHAnsi"/>
          <w:noProof/>
          <w:lang w:val="en-US"/>
        </w:rPr>
        <mc:AlternateContent>
          <mc:Choice Requires="wps">
            <w:drawing>
              <wp:anchor distT="0" distB="0" distL="0" distR="0" simplePos="0" relativeHeight="252073984" behindDoc="1" locked="0" layoutInCell="1" allowOverlap="1" wp14:anchorId="6E010CC3" wp14:editId="39538AA1">
                <wp:simplePos x="0" y="0"/>
                <wp:positionH relativeFrom="page">
                  <wp:posOffset>692785</wp:posOffset>
                </wp:positionH>
                <wp:positionV relativeFrom="paragraph">
                  <wp:posOffset>186055</wp:posOffset>
                </wp:positionV>
                <wp:extent cx="6315075" cy="1270"/>
                <wp:effectExtent l="0" t="0" r="0" b="0"/>
                <wp:wrapTopAndBottom/>
                <wp:docPr id="365" name="Freeform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02AEB4B4" id="Freeform 69" o:spid="_x0000_s1026" style="position:absolute;margin-left:54.55pt;margin-top:14.65pt;width:497.25pt;height:.1pt;z-index:-25124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75008" behindDoc="1" locked="0" layoutInCell="1" allowOverlap="1" wp14:anchorId="54FA0AA5" wp14:editId="177732B6">
                <wp:simplePos x="0" y="0"/>
                <wp:positionH relativeFrom="page">
                  <wp:posOffset>692785</wp:posOffset>
                </wp:positionH>
                <wp:positionV relativeFrom="paragraph">
                  <wp:posOffset>351155</wp:posOffset>
                </wp:positionV>
                <wp:extent cx="6315075" cy="1270"/>
                <wp:effectExtent l="0" t="0" r="0" b="0"/>
                <wp:wrapTopAndBottom/>
                <wp:docPr id="366"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0AFDC562" id="Freeform 68" o:spid="_x0000_s1026" style="position:absolute;margin-left:54.55pt;margin-top:27.65pt;width:497.25pt;height:.1pt;z-index:-25124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76032" behindDoc="1" locked="0" layoutInCell="1" allowOverlap="1" wp14:anchorId="52E130A1" wp14:editId="24137964">
                <wp:simplePos x="0" y="0"/>
                <wp:positionH relativeFrom="page">
                  <wp:posOffset>692785</wp:posOffset>
                </wp:positionH>
                <wp:positionV relativeFrom="paragraph">
                  <wp:posOffset>516255</wp:posOffset>
                </wp:positionV>
                <wp:extent cx="6309360" cy="1270"/>
                <wp:effectExtent l="0" t="0" r="0" b="0"/>
                <wp:wrapTopAndBottom/>
                <wp:docPr id="367" name="Freeform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9360" cy="1270"/>
                        </a:xfrm>
                        <a:custGeom>
                          <a:avLst/>
                          <a:gdLst>
                            <a:gd name="T0" fmla="+- 0 1091 1091"/>
                            <a:gd name="T1" fmla="*/ T0 w 9936"/>
                            <a:gd name="T2" fmla="+- 0 11026 1091"/>
                            <a:gd name="T3" fmla="*/ T2 w 9936"/>
                          </a:gdLst>
                          <a:ahLst/>
                          <a:cxnLst>
                            <a:cxn ang="0">
                              <a:pos x="T1" y="0"/>
                            </a:cxn>
                            <a:cxn ang="0">
                              <a:pos x="T3" y="0"/>
                            </a:cxn>
                          </a:cxnLst>
                          <a:rect l="0" t="0" r="r" b="b"/>
                          <a:pathLst>
                            <a:path w="9936">
                              <a:moveTo>
                                <a:pt x="0" y="0"/>
                              </a:moveTo>
                              <a:lnTo>
                                <a:pt x="9935"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6E5AA1ED" id="Freeform 67" o:spid="_x0000_s1026" style="position:absolute;margin-left:54.55pt;margin-top:40.65pt;width:496.8pt;height:.1pt;z-index:-25124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" path="m,l9935,e" filled="f" strokecolor="#221e1f" strokeweight=".17278mm">
                <v:path arrowok="t" o:connecttype="custom" o:connectlocs="0,0;6308725,0" o:connectangles="0,0"/>
                <w10:wrap type="topAndBottom" anchorx="page"/>
              </v:shape>
            </w:pict>
          </mc:Fallback>
        </mc:AlternateContent>
      </w:r>
    </w:p>
    <w:p w14:paraId="0688A4CD" w14:textId="77777777" w:rsidR="00F638C3" w:rsidRPr="00292532" w:rsidRDefault="00F638C3" w:rsidP="00F638C3">
      <w:pPr>
        <w:widowControl w:val="0"/>
        <w:tabs>
          <w:tab w:val="left" w:pos="900"/>
        </w:tabs>
        <w:autoSpaceDE w:val="0"/>
        <w:autoSpaceDN w:val="0"/>
        <w:spacing w:before="9" w:after="0"/>
        <w:ind w:left="900" w:right="970"/>
        <w:jc w:val="left"/>
        <w:rPr>
          <w:rFonts w:asciiTheme="minorHAnsi" w:eastAsia="Times New Roman" w:hAnsiTheme="minorHAnsi" w:cstheme="minorHAnsi"/>
          <w:lang w:val="pt-PT"/>
        </w:rPr>
      </w:pPr>
    </w:p>
    <w:p w14:paraId="43271142" w14:textId="77777777" w:rsidR="00F638C3" w:rsidRPr="00292532" w:rsidRDefault="00F638C3" w:rsidP="00F638C3">
      <w:pPr>
        <w:widowControl w:val="0"/>
        <w:tabs>
          <w:tab w:val="left" w:pos="900"/>
          <w:tab w:val="left" w:pos="4350"/>
          <w:tab w:val="left" w:pos="5906"/>
          <w:tab w:val="left" w:pos="7182"/>
          <w:tab w:val="left" w:pos="10514"/>
        </w:tabs>
        <w:autoSpaceDE w:val="0"/>
        <w:autoSpaceDN w:val="0"/>
        <w:spacing w:before="75" w:after="0" w:line="331" w:lineRule="auto"/>
        <w:ind w:left="900" w:right="970"/>
        <w:rPr>
          <w:rFonts w:asciiTheme="minorHAnsi" w:eastAsia="Times New Roman" w:hAnsiTheme="minorHAnsi" w:cstheme="minorHAnsi"/>
          <w:lang w:val="pt-PT"/>
        </w:rPr>
      </w:pPr>
      <w:r w:rsidRPr="00292532">
        <w:rPr>
          <w:rFonts w:asciiTheme="minorHAnsi" w:eastAsia="Times New Roman" w:hAnsiTheme="minorHAnsi" w:cstheme="minorHAnsi"/>
          <w:color w:val="231F20"/>
          <w:spacing w:val="-2"/>
          <w:lang w:val="pt-PT"/>
        </w:rPr>
        <w:t>Telefone</w:t>
      </w:r>
      <w:r w:rsidRPr="00292532">
        <w:rPr>
          <w:rFonts w:asciiTheme="minorHAnsi" w:eastAsia="Times New Roman" w:hAnsiTheme="minorHAnsi" w:cstheme="minorHAnsi"/>
          <w:color w:val="231F20"/>
          <w:spacing w:val="-14"/>
          <w:lang w:val="pt-PT"/>
        </w:rPr>
        <w:t xml:space="preserve"> </w:t>
      </w:r>
      <w:r w:rsidRPr="00292532">
        <w:rPr>
          <w:rFonts w:asciiTheme="minorHAnsi" w:eastAsia="Times New Roman" w:hAnsiTheme="minorHAnsi" w:cstheme="minorHAnsi"/>
          <w:color w:val="231F20"/>
          <w:spacing w:val="-2"/>
          <w:lang w:val="pt-PT"/>
        </w:rPr>
        <w:t>Fixo:</w:t>
      </w:r>
      <w:r w:rsidRPr="00292532">
        <w:rPr>
          <w:rFonts w:asciiTheme="minorHAnsi" w:eastAsia="Times New Roman" w:hAnsiTheme="minorHAnsi" w:cstheme="minorHAnsi"/>
          <w:color w:val="231F20"/>
          <w:spacing w:val="-2"/>
          <w:u w:val="single" w:color="221E1F"/>
          <w:lang w:val="pt-PT"/>
        </w:rPr>
        <w:tab/>
      </w:r>
      <w:r w:rsidRPr="00292532">
        <w:rPr>
          <w:rFonts w:asciiTheme="minorHAnsi" w:eastAsia="Times New Roman" w:hAnsiTheme="minorHAnsi" w:cstheme="minorHAnsi"/>
          <w:color w:val="231F20"/>
          <w:spacing w:val="-2"/>
          <w:u w:val="single" w:color="221E1F"/>
          <w:lang w:val="pt-PT"/>
        </w:rPr>
        <w:tab/>
      </w:r>
      <w:r w:rsidRPr="00292532">
        <w:rPr>
          <w:rFonts w:asciiTheme="minorHAnsi" w:eastAsia="Times New Roman" w:hAnsiTheme="minorHAnsi" w:cstheme="minorHAnsi"/>
          <w:color w:val="231F20"/>
          <w:spacing w:val="-1"/>
          <w:lang w:val="pt-PT"/>
        </w:rPr>
        <w:t>;</w:t>
      </w:r>
      <w:r w:rsidRPr="00292532">
        <w:rPr>
          <w:rFonts w:asciiTheme="minorHAnsi" w:eastAsia="Times New Roman" w:hAnsiTheme="minorHAnsi" w:cstheme="minorHAnsi"/>
          <w:color w:val="231F20"/>
          <w:spacing w:val="-12"/>
          <w:lang w:val="pt-PT"/>
        </w:rPr>
        <w:t xml:space="preserve"> </w:t>
      </w:r>
      <w:r w:rsidRPr="00292532">
        <w:rPr>
          <w:rFonts w:asciiTheme="minorHAnsi" w:eastAsia="Times New Roman" w:hAnsiTheme="minorHAnsi" w:cstheme="minorHAnsi"/>
          <w:color w:val="231F20"/>
          <w:spacing w:val="-1"/>
          <w:lang w:val="pt-PT"/>
        </w:rPr>
        <w:t>Fax:</w:t>
      </w:r>
      <w:r w:rsidRPr="00292532">
        <w:rPr>
          <w:rFonts w:asciiTheme="minorHAnsi" w:eastAsia="Times New Roman" w:hAnsiTheme="minorHAnsi" w:cstheme="minorHAnsi"/>
          <w:color w:val="231F20"/>
          <w:spacing w:val="-14"/>
          <w:lang w:val="pt-PT"/>
        </w:rPr>
        <w:t xml:space="preserve"> </w:t>
      </w:r>
      <w:r w:rsidRPr="00292532">
        <w:rPr>
          <w:rFonts w:asciiTheme="minorHAnsi" w:eastAsia="Times New Roman" w:hAnsiTheme="minorHAnsi" w:cstheme="minorHAnsi"/>
          <w:color w:val="231F20"/>
          <w:u w:val="single" w:color="221E1F"/>
          <w:lang w:val="pt-PT"/>
        </w:rPr>
        <w:t xml:space="preserve"> </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lang w:val="pt-PT"/>
        </w:rPr>
        <w:t xml:space="preserve"> Celular:</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lang w:val="pt-PT"/>
        </w:rPr>
        <w:t>/</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lang w:val="pt-PT"/>
        </w:rPr>
        <w:t>/</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lang w:val="pt-PT"/>
        </w:rPr>
        <w:t xml:space="preserve"> E-Mail</w:t>
      </w:r>
      <w:r w:rsidRPr="00292532">
        <w:rPr>
          <w:rFonts w:asciiTheme="minorHAnsi" w:eastAsia="Times New Roman" w:hAnsiTheme="minorHAnsi" w:cstheme="minorHAnsi"/>
          <w:color w:val="231F20"/>
          <w:spacing w:val="-14"/>
          <w:lang w:val="pt-PT"/>
        </w:rPr>
        <w:t xml:space="preserve"> </w:t>
      </w:r>
      <w:r w:rsidRPr="00292532">
        <w:rPr>
          <w:rFonts w:asciiTheme="minorHAnsi" w:eastAsia="Times New Roman" w:hAnsiTheme="minorHAnsi" w:cstheme="minorHAnsi"/>
          <w:color w:val="231F20"/>
          <w:u w:val="single" w:color="221E1F"/>
          <w:lang w:val="pt-PT"/>
        </w:rPr>
        <w:t xml:space="preserve"> </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u w:val="single" w:color="221E1F"/>
          <w:lang w:val="pt-PT"/>
        </w:rPr>
        <w:tab/>
      </w:r>
    </w:p>
    <w:p w14:paraId="4CCDE113" w14:textId="77777777" w:rsidR="00F638C3" w:rsidRPr="00292532" w:rsidRDefault="00F638C3" w:rsidP="00F638C3">
      <w:pPr>
        <w:widowControl w:val="0"/>
        <w:numPr>
          <w:ilvl w:val="0"/>
          <w:numId w:val="36"/>
        </w:numPr>
        <w:tabs>
          <w:tab w:val="left" w:pos="900"/>
        </w:tabs>
        <w:autoSpaceDE w:val="0"/>
        <w:autoSpaceDN w:val="0"/>
        <w:spacing w:before="55" w:after="0"/>
        <w:ind w:left="900" w:right="970" w:firstLine="0"/>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Localização</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da</w:t>
      </w:r>
      <w:r w:rsidRPr="00292532">
        <w:rPr>
          <w:rFonts w:asciiTheme="minorHAnsi" w:eastAsia="Times New Roman" w:hAnsiTheme="minorHAnsi" w:cstheme="minorHAnsi"/>
          <w:b/>
          <w:color w:val="231F20"/>
          <w:spacing w:val="-1"/>
          <w:lang w:val="pt-PT"/>
        </w:rPr>
        <w:t xml:space="preserve"> </w:t>
      </w:r>
      <w:proofErr w:type="spellStart"/>
      <w:r w:rsidRPr="00292532">
        <w:rPr>
          <w:rFonts w:asciiTheme="minorHAnsi" w:eastAsia="Times New Roman" w:hAnsiTheme="minorHAnsi" w:cstheme="minorHAnsi"/>
          <w:b/>
          <w:color w:val="231F20"/>
          <w:lang w:val="pt-PT"/>
        </w:rPr>
        <w:t>actividade</w:t>
      </w:r>
      <w:proofErr w:type="spellEnd"/>
    </w:p>
    <w:p w14:paraId="1140766A" w14:textId="77777777" w:rsidR="00F638C3" w:rsidRPr="00292532" w:rsidRDefault="00F638C3" w:rsidP="00F638C3">
      <w:pPr>
        <w:widowControl w:val="0"/>
        <w:tabs>
          <w:tab w:val="left" w:pos="900"/>
        </w:tabs>
        <w:autoSpaceDE w:val="0"/>
        <w:autoSpaceDN w:val="0"/>
        <w:spacing w:before="86" w:after="0"/>
        <w:ind w:left="900" w:right="970"/>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5.</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1.</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Localização</w:t>
      </w:r>
      <w:r w:rsidRPr="00292532">
        <w:rPr>
          <w:rFonts w:asciiTheme="minorHAnsi" w:eastAsia="Times New Roman" w:hAnsiTheme="minorHAnsi" w:cstheme="minorHAnsi"/>
          <w:b/>
          <w:color w:val="231F20"/>
          <w:spacing w:val="-12"/>
          <w:lang w:val="pt-PT"/>
        </w:rPr>
        <w:t xml:space="preserve"> </w:t>
      </w:r>
      <w:r w:rsidRPr="00292532">
        <w:rPr>
          <w:rFonts w:asciiTheme="minorHAnsi" w:eastAsia="Times New Roman" w:hAnsiTheme="minorHAnsi" w:cstheme="minorHAnsi"/>
          <w:b/>
          <w:color w:val="231F20"/>
          <w:lang w:val="pt-PT"/>
        </w:rPr>
        <w:t>Administrativa</w:t>
      </w:r>
    </w:p>
    <w:p w14:paraId="710B722F" w14:textId="77777777" w:rsidR="00F638C3" w:rsidRPr="00292532" w:rsidRDefault="00F638C3" w:rsidP="00F638C3">
      <w:pPr>
        <w:widowControl w:val="0"/>
        <w:tabs>
          <w:tab w:val="left" w:pos="900"/>
          <w:tab w:val="left" w:pos="4845"/>
          <w:tab w:val="left" w:pos="5318"/>
          <w:tab w:val="left" w:pos="10516"/>
        </w:tabs>
        <w:autoSpaceDE w:val="0"/>
        <w:autoSpaceDN w:val="0"/>
        <w:spacing w:before="87" w:after="0" w:line="331" w:lineRule="auto"/>
        <w:ind w:left="900" w:right="970"/>
        <w:rPr>
          <w:rFonts w:asciiTheme="minorHAnsi" w:eastAsia="Times New Roman" w:hAnsiTheme="minorHAnsi" w:cstheme="minorHAnsi"/>
          <w:lang w:val="pt-PT"/>
        </w:rPr>
      </w:pPr>
      <w:r w:rsidRPr="00292532">
        <w:rPr>
          <w:rFonts w:asciiTheme="minorHAnsi" w:eastAsia="Times New Roman" w:hAnsiTheme="minorHAnsi" w:cstheme="minorHAnsi"/>
          <w:color w:val="231F20"/>
          <w:lang w:val="pt-PT"/>
        </w:rPr>
        <w:t>Bairro:</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lang w:val="pt-PT"/>
        </w:rPr>
        <w:t>Vila</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lang w:val="pt-PT"/>
        </w:rPr>
        <w:t xml:space="preserve"> Cidade</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lang w:val="pt-PT"/>
        </w:rPr>
        <w:t xml:space="preserve"> Localidade</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lang w:val="pt-PT"/>
        </w:rPr>
        <w:t>Distrito</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lang w:val="pt-PT"/>
        </w:rPr>
        <w:t xml:space="preserve"> Província</w:t>
      </w:r>
      <w:r w:rsidRPr="00292532">
        <w:rPr>
          <w:rFonts w:asciiTheme="minorHAnsi" w:eastAsia="Times New Roman" w:hAnsiTheme="minorHAnsi" w:cstheme="minorHAnsi"/>
          <w:color w:val="231F20"/>
          <w:u w:val="single" w:color="221E1F"/>
          <w:lang w:val="pt-PT"/>
        </w:rPr>
        <w:t xml:space="preserve"> </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u w:val="single" w:color="221E1F"/>
          <w:lang w:val="pt-PT"/>
        </w:rPr>
        <w:tab/>
      </w:r>
    </w:p>
    <w:p w14:paraId="5F285F52" w14:textId="77777777" w:rsidR="00F638C3" w:rsidRPr="00292532" w:rsidRDefault="00F638C3" w:rsidP="00F638C3">
      <w:pPr>
        <w:widowControl w:val="0"/>
        <w:tabs>
          <w:tab w:val="left" w:pos="900"/>
        </w:tabs>
        <w:autoSpaceDE w:val="0"/>
        <w:autoSpaceDN w:val="0"/>
        <w:spacing w:before="53" w:after="0"/>
        <w:ind w:left="900" w:right="970"/>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Coordenadas</w:t>
      </w:r>
      <w:r w:rsidRPr="00292532">
        <w:rPr>
          <w:rFonts w:asciiTheme="minorHAnsi" w:eastAsia="Times New Roman" w:hAnsiTheme="minorHAnsi" w:cstheme="minorHAnsi"/>
          <w:b/>
          <w:color w:val="231F20"/>
          <w:spacing w:val="-6"/>
          <w:lang w:val="pt-PT"/>
        </w:rPr>
        <w:t xml:space="preserve"> </w:t>
      </w:r>
      <w:r w:rsidRPr="00292532">
        <w:rPr>
          <w:rFonts w:asciiTheme="minorHAnsi" w:eastAsia="Times New Roman" w:hAnsiTheme="minorHAnsi" w:cstheme="minorHAnsi"/>
          <w:b/>
          <w:color w:val="231F20"/>
          <w:lang w:val="pt-PT"/>
        </w:rPr>
        <w:t>geográficas:</w:t>
      </w:r>
    </w:p>
    <w:p w14:paraId="2ADDBC82" w14:textId="77777777" w:rsidR="00F638C3" w:rsidRPr="00292532" w:rsidRDefault="00F638C3" w:rsidP="00F638C3">
      <w:pPr>
        <w:widowControl w:val="0"/>
        <w:tabs>
          <w:tab w:val="left" w:pos="900"/>
          <w:tab w:val="left" w:pos="5405"/>
          <w:tab w:val="left" w:pos="10516"/>
        </w:tabs>
        <w:autoSpaceDE w:val="0"/>
        <w:autoSpaceDN w:val="0"/>
        <w:spacing w:before="143" w:after="0"/>
        <w:ind w:left="900" w:right="970"/>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1.</w:t>
      </w:r>
      <w:r w:rsidRPr="00292532">
        <w:rPr>
          <w:rFonts w:asciiTheme="minorHAnsi" w:eastAsia="Times New Roman" w:hAnsiTheme="minorHAnsi" w:cstheme="minorHAnsi"/>
          <w:b/>
          <w:color w:val="231F20"/>
          <w:u w:val="single" w:color="221E1F"/>
          <w:lang w:val="pt-PT"/>
        </w:rPr>
        <w:tab/>
      </w:r>
      <w:r w:rsidRPr="00292532">
        <w:rPr>
          <w:rFonts w:asciiTheme="minorHAnsi" w:eastAsia="Times New Roman" w:hAnsiTheme="minorHAnsi" w:cstheme="minorHAnsi"/>
          <w:color w:val="231F20"/>
          <w:lang w:val="pt-PT"/>
        </w:rPr>
        <w:t>,</w:t>
      </w:r>
      <w:r w:rsidRPr="00292532">
        <w:rPr>
          <w:rFonts w:asciiTheme="minorHAnsi" w:eastAsia="Times New Roman" w:hAnsiTheme="minorHAnsi" w:cstheme="minorHAnsi"/>
          <w:color w:val="231F20"/>
          <w:spacing w:val="-11"/>
          <w:lang w:val="pt-PT"/>
        </w:rPr>
        <w:t xml:space="preserve"> </w:t>
      </w:r>
      <w:r w:rsidRPr="00292532">
        <w:rPr>
          <w:rFonts w:asciiTheme="minorHAnsi" w:eastAsia="Times New Roman" w:hAnsiTheme="minorHAnsi" w:cstheme="minorHAnsi"/>
          <w:b/>
          <w:color w:val="231F20"/>
          <w:lang w:val="pt-PT"/>
        </w:rPr>
        <w:t>2.</w:t>
      </w:r>
      <w:r w:rsidRPr="00292532">
        <w:rPr>
          <w:rFonts w:asciiTheme="minorHAnsi" w:eastAsia="Times New Roman" w:hAnsiTheme="minorHAnsi" w:cstheme="minorHAnsi"/>
          <w:b/>
          <w:color w:val="231F20"/>
          <w:spacing w:val="-13"/>
          <w:lang w:val="pt-PT"/>
        </w:rPr>
        <w:t xml:space="preserve"> </w:t>
      </w:r>
      <w:r w:rsidRPr="00292532">
        <w:rPr>
          <w:rFonts w:asciiTheme="minorHAnsi" w:eastAsia="Times New Roman" w:hAnsiTheme="minorHAnsi" w:cstheme="minorHAnsi"/>
          <w:b/>
          <w:color w:val="231F20"/>
          <w:u w:val="single" w:color="221E1F"/>
          <w:lang w:val="pt-PT"/>
        </w:rPr>
        <w:t xml:space="preserve"> </w:t>
      </w:r>
      <w:r w:rsidRPr="00292532">
        <w:rPr>
          <w:rFonts w:asciiTheme="minorHAnsi" w:eastAsia="Times New Roman" w:hAnsiTheme="minorHAnsi" w:cstheme="minorHAnsi"/>
          <w:b/>
          <w:color w:val="231F20"/>
          <w:u w:val="single" w:color="221E1F"/>
          <w:lang w:val="pt-PT"/>
        </w:rPr>
        <w:tab/>
      </w:r>
    </w:p>
    <w:p w14:paraId="17959A66" w14:textId="77777777" w:rsidR="00F638C3" w:rsidRPr="00292532" w:rsidRDefault="00F638C3" w:rsidP="00F638C3">
      <w:pPr>
        <w:widowControl w:val="0"/>
        <w:tabs>
          <w:tab w:val="left" w:pos="900"/>
          <w:tab w:val="left" w:pos="5408"/>
          <w:tab w:val="left" w:pos="10516"/>
        </w:tabs>
        <w:autoSpaceDE w:val="0"/>
        <w:autoSpaceDN w:val="0"/>
        <w:spacing w:before="87" w:after="0"/>
        <w:ind w:left="900" w:right="970"/>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1.</w:t>
      </w:r>
      <w:r w:rsidRPr="00292532">
        <w:rPr>
          <w:rFonts w:asciiTheme="minorHAnsi" w:eastAsia="Times New Roman" w:hAnsiTheme="minorHAnsi" w:cstheme="minorHAnsi"/>
          <w:b/>
          <w:color w:val="231F20"/>
          <w:u w:val="single" w:color="221E1F"/>
          <w:lang w:val="pt-PT"/>
        </w:rPr>
        <w:tab/>
      </w:r>
      <w:r w:rsidRPr="00292532">
        <w:rPr>
          <w:rFonts w:asciiTheme="minorHAnsi" w:eastAsia="Times New Roman" w:hAnsiTheme="minorHAnsi" w:cstheme="minorHAnsi"/>
          <w:color w:val="231F20"/>
          <w:spacing w:val="-1"/>
          <w:lang w:val="pt-PT"/>
        </w:rPr>
        <w:t>,</w:t>
      </w:r>
      <w:r w:rsidRPr="00292532">
        <w:rPr>
          <w:rFonts w:asciiTheme="minorHAnsi" w:eastAsia="Times New Roman" w:hAnsiTheme="minorHAnsi" w:cstheme="minorHAnsi"/>
          <w:color w:val="231F20"/>
          <w:spacing w:val="-12"/>
          <w:lang w:val="pt-PT"/>
        </w:rPr>
        <w:t xml:space="preserve"> </w:t>
      </w:r>
      <w:r w:rsidRPr="00292532">
        <w:rPr>
          <w:rFonts w:asciiTheme="minorHAnsi" w:eastAsia="Times New Roman" w:hAnsiTheme="minorHAnsi" w:cstheme="minorHAnsi"/>
          <w:b/>
          <w:color w:val="231F20"/>
          <w:lang w:val="pt-PT"/>
        </w:rPr>
        <w:t>4.</w:t>
      </w:r>
      <w:r w:rsidRPr="00292532">
        <w:rPr>
          <w:rFonts w:asciiTheme="minorHAnsi" w:eastAsia="Times New Roman" w:hAnsiTheme="minorHAnsi" w:cstheme="minorHAnsi"/>
          <w:b/>
          <w:color w:val="231F20"/>
          <w:spacing w:val="-13"/>
          <w:lang w:val="pt-PT"/>
        </w:rPr>
        <w:t xml:space="preserve"> </w:t>
      </w:r>
      <w:r w:rsidRPr="00292532">
        <w:rPr>
          <w:rFonts w:asciiTheme="minorHAnsi" w:eastAsia="Times New Roman" w:hAnsiTheme="minorHAnsi" w:cstheme="minorHAnsi"/>
          <w:b/>
          <w:color w:val="231F20"/>
          <w:u w:val="single" w:color="221E1F"/>
          <w:lang w:val="pt-PT"/>
        </w:rPr>
        <w:t xml:space="preserve"> </w:t>
      </w:r>
      <w:r w:rsidRPr="00292532">
        <w:rPr>
          <w:rFonts w:asciiTheme="minorHAnsi" w:eastAsia="Times New Roman" w:hAnsiTheme="minorHAnsi" w:cstheme="minorHAnsi"/>
          <w:b/>
          <w:color w:val="231F20"/>
          <w:u w:val="single" w:color="221E1F"/>
          <w:lang w:val="pt-PT"/>
        </w:rPr>
        <w:tab/>
      </w:r>
    </w:p>
    <w:p w14:paraId="6151065B" w14:textId="77777777" w:rsidR="00F638C3" w:rsidRPr="00292532" w:rsidRDefault="00F638C3" w:rsidP="00F638C3">
      <w:pPr>
        <w:widowControl w:val="0"/>
        <w:numPr>
          <w:ilvl w:val="0"/>
          <w:numId w:val="35"/>
        </w:numPr>
        <w:tabs>
          <w:tab w:val="left" w:pos="900"/>
        </w:tabs>
        <w:autoSpaceDE w:val="0"/>
        <w:autoSpaceDN w:val="0"/>
        <w:spacing w:before="143" w:after="0"/>
        <w:ind w:left="900" w:right="970" w:firstLine="0"/>
        <w:jc w:val="left"/>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2.</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Meio</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de</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inserção:</w:t>
      </w:r>
    </w:p>
    <w:p w14:paraId="7C6DBFF3" w14:textId="77777777" w:rsidR="00F638C3" w:rsidRPr="00292532" w:rsidRDefault="00F638C3" w:rsidP="00F638C3">
      <w:pPr>
        <w:widowControl w:val="0"/>
        <w:tabs>
          <w:tab w:val="left" w:pos="900"/>
          <w:tab w:val="left" w:pos="4260"/>
          <w:tab w:val="left" w:pos="6935"/>
        </w:tabs>
        <w:autoSpaceDE w:val="0"/>
        <w:autoSpaceDN w:val="0"/>
        <w:spacing w:before="137" w:after="0"/>
        <w:ind w:left="900" w:right="970"/>
        <w:jc w:val="left"/>
        <w:rPr>
          <w:rFonts w:asciiTheme="minorHAnsi" w:eastAsia="Times New Roman" w:hAnsiTheme="minorHAnsi" w:cstheme="minorHAnsi"/>
          <w:lang w:val="pt-PT"/>
        </w:rPr>
      </w:pPr>
      <w:r w:rsidRPr="00292532">
        <w:rPr>
          <w:rFonts w:asciiTheme="minorHAnsi" w:eastAsia="Times New Roman" w:hAnsiTheme="minorHAnsi" w:cstheme="minorHAnsi"/>
          <w:color w:val="231F20"/>
          <w:w w:val="105"/>
          <w:lang w:val="pt-PT"/>
        </w:rPr>
        <w:t>Urbano</w:t>
      </w:r>
      <w:r w:rsidRPr="00292532">
        <w:rPr>
          <w:rFonts w:asciiTheme="minorHAnsi" w:eastAsia="Times New Roman" w:hAnsiTheme="minorHAnsi" w:cstheme="minorHAnsi"/>
          <w:color w:val="231F20"/>
          <w:spacing w:val="-8"/>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t>Rural</w:t>
      </w:r>
      <w:r w:rsidRPr="00292532">
        <w:rPr>
          <w:rFonts w:asciiTheme="minorHAnsi" w:eastAsia="Times New Roman" w:hAnsiTheme="minorHAnsi" w:cstheme="minorHAnsi"/>
          <w:color w:val="231F20"/>
          <w:spacing w:val="-5"/>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r>
      <w:r w:rsidRPr="00292532">
        <w:rPr>
          <w:rFonts w:asciiTheme="minorHAnsi" w:eastAsia="Times New Roman" w:hAnsiTheme="minorHAnsi" w:cstheme="minorHAnsi"/>
          <w:color w:val="231F20"/>
          <w:lang w:val="pt-PT"/>
        </w:rPr>
        <w:t>Periurbano</w:t>
      </w:r>
      <w:r w:rsidRPr="00292532">
        <w:rPr>
          <w:rFonts w:asciiTheme="minorHAnsi" w:eastAsia="Times New Roman" w:hAnsiTheme="minorHAnsi" w:cstheme="minorHAnsi"/>
          <w:color w:val="231F20"/>
          <w:spacing w:val="9"/>
          <w:lang w:val="pt-PT"/>
        </w:rPr>
        <w:t xml:space="preserve"> </w:t>
      </w:r>
      <w:r w:rsidRPr="00292532">
        <w:rPr>
          <w:rFonts w:asciiTheme="minorHAnsi" w:eastAsia="Times New Roman" w:hAnsiTheme="minorHAnsi" w:cstheme="minorHAnsi"/>
          <w:color w:val="231F20"/>
          <w:lang w:val="pt-PT"/>
        </w:rPr>
        <w:t>□</w:t>
      </w:r>
    </w:p>
    <w:p w14:paraId="1969C6E3" w14:textId="77777777" w:rsidR="00F638C3" w:rsidRPr="00292532" w:rsidRDefault="00F638C3" w:rsidP="00F638C3">
      <w:pPr>
        <w:widowControl w:val="0"/>
        <w:numPr>
          <w:ilvl w:val="0"/>
          <w:numId w:val="35"/>
        </w:numPr>
        <w:tabs>
          <w:tab w:val="left" w:pos="731"/>
          <w:tab w:val="left" w:pos="900"/>
        </w:tabs>
        <w:autoSpaceDE w:val="0"/>
        <w:autoSpaceDN w:val="0"/>
        <w:spacing w:before="69" w:after="0"/>
        <w:ind w:left="900" w:right="970" w:firstLine="0"/>
        <w:jc w:val="left"/>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Enquadramento</w:t>
      </w:r>
      <w:r w:rsidRPr="00292532">
        <w:rPr>
          <w:rFonts w:asciiTheme="minorHAnsi" w:eastAsia="Times New Roman" w:hAnsiTheme="minorHAnsi" w:cstheme="minorHAnsi"/>
          <w:b/>
          <w:color w:val="231F20"/>
          <w:spacing w:val="-4"/>
          <w:lang w:val="pt-PT"/>
        </w:rPr>
        <w:t xml:space="preserve"> </w:t>
      </w:r>
      <w:r w:rsidRPr="00292532">
        <w:rPr>
          <w:rFonts w:asciiTheme="minorHAnsi" w:eastAsia="Times New Roman" w:hAnsiTheme="minorHAnsi" w:cstheme="minorHAnsi"/>
          <w:b/>
          <w:color w:val="231F20"/>
          <w:lang w:val="pt-PT"/>
        </w:rPr>
        <w:t>no</w:t>
      </w:r>
      <w:r w:rsidRPr="00292532">
        <w:rPr>
          <w:rFonts w:asciiTheme="minorHAnsi" w:eastAsia="Times New Roman" w:hAnsiTheme="minorHAnsi" w:cstheme="minorHAnsi"/>
          <w:b/>
          <w:color w:val="231F20"/>
          <w:spacing w:val="-4"/>
          <w:lang w:val="pt-PT"/>
        </w:rPr>
        <w:t xml:space="preserve"> </w:t>
      </w:r>
      <w:r w:rsidRPr="00292532">
        <w:rPr>
          <w:rFonts w:asciiTheme="minorHAnsi" w:eastAsia="Times New Roman" w:hAnsiTheme="minorHAnsi" w:cstheme="minorHAnsi"/>
          <w:b/>
          <w:color w:val="231F20"/>
          <w:lang w:val="pt-PT"/>
        </w:rPr>
        <w:t>Instrumento</w:t>
      </w:r>
      <w:r w:rsidRPr="00292532">
        <w:rPr>
          <w:rFonts w:asciiTheme="minorHAnsi" w:eastAsia="Times New Roman" w:hAnsiTheme="minorHAnsi" w:cstheme="minorHAnsi"/>
          <w:b/>
          <w:color w:val="231F20"/>
          <w:spacing w:val="-4"/>
          <w:lang w:val="pt-PT"/>
        </w:rPr>
        <w:t xml:space="preserve"> </w:t>
      </w:r>
      <w:r w:rsidRPr="00292532">
        <w:rPr>
          <w:rFonts w:asciiTheme="minorHAnsi" w:eastAsia="Times New Roman" w:hAnsiTheme="minorHAnsi" w:cstheme="minorHAnsi"/>
          <w:b/>
          <w:color w:val="231F20"/>
          <w:lang w:val="pt-PT"/>
        </w:rPr>
        <w:t>de</w:t>
      </w:r>
      <w:r w:rsidRPr="00292532">
        <w:rPr>
          <w:rFonts w:asciiTheme="minorHAnsi" w:eastAsia="Times New Roman" w:hAnsiTheme="minorHAnsi" w:cstheme="minorHAnsi"/>
          <w:b/>
          <w:color w:val="231F20"/>
          <w:spacing w:val="-4"/>
          <w:lang w:val="pt-PT"/>
        </w:rPr>
        <w:t xml:space="preserve"> </w:t>
      </w:r>
      <w:r w:rsidRPr="00292532">
        <w:rPr>
          <w:rFonts w:asciiTheme="minorHAnsi" w:eastAsia="Times New Roman" w:hAnsiTheme="minorHAnsi" w:cstheme="minorHAnsi"/>
          <w:b/>
          <w:color w:val="231F20"/>
          <w:lang w:val="pt-PT"/>
        </w:rPr>
        <w:t>Ordenamento</w:t>
      </w:r>
      <w:r w:rsidRPr="00292532">
        <w:rPr>
          <w:rFonts w:asciiTheme="minorHAnsi" w:eastAsia="Times New Roman" w:hAnsiTheme="minorHAnsi" w:cstheme="minorHAnsi"/>
          <w:b/>
          <w:color w:val="231F20"/>
          <w:spacing w:val="-7"/>
          <w:lang w:val="pt-PT"/>
        </w:rPr>
        <w:t xml:space="preserve"> </w:t>
      </w:r>
      <w:r w:rsidRPr="00292532">
        <w:rPr>
          <w:rFonts w:asciiTheme="minorHAnsi" w:eastAsia="Times New Roman" w:hAnsiTheme="minorHAnsi" w:cstheme="minorHAnsi"/>
          <w:b/>
          <w:color w:val="231F20"/>
          <w:lang w:val="pt-PT"/>
        </w:rPr>
        <w:t>Territorial</w:t>
      </w:r>
    </w:p>
    <w:p w14:paraId="09FFC4D1" w14:textId="77777777" w:rsidR="00F638C3" w:rsidRPr="00292532" w:rsidRDefault="00F638C3" w:rsidP="00F638C3">
      <w:pPr>
        <w:widowControl w:val="0"/>
        <w:tabs>
          <w:tab w:val="left" w:pos="900"/>
        </w:tabs>
        <w:autoSpaceDE w:val="0"/>
        <w:autoSpaceDN w:val="0"/>
        <w:spacing w:before="0" w:after="0"/>
        <w:ind w:left="900" w:right="970"/>
        <w:jc w:val="left"/>
        <w:rPr>
          <w:rFonts w:asciiTheme="minorHAnsi" w:eastAsia="Times New Roman" w:hAnsiTheme="minorHAnsi" w:cstheme="minorHAnsi"/>
          <w:b/>
          <w:lang w:val="pt-PT"/>
        </w:rPr>
      </w:pPr>
    </w:p>
    <w:p w14:paraId="342E2AF1" w14:textId="77777777" w:rsidR="00F638C3" w:rsidRPr="00292532" w:rsidRDefault="00F638C3" w:rsidP="00F638C3">
      <w:pPr>
        <w:widowControl w:val="0"/>
        <w:tabs>
          <w:tab w:val="left" w:pos="900"/>
        </w:tabs>
        <w:autoSpaceDE w:val="0"/>
        <w:autoSpaceDN w:val="0"/>
        <w:spacing w:before="5" w:after="0"/>
        <w:ind w:left="900" w:right="970"/>
        <w:jc w:val="left"/>
        <w:rPr>
          <w:rFonts w:asciiTheme="minorHAnsi" w:eastAsia="Times New Roman" w:hAnsiTheme="minorHAnsi" w:cstheme="minorHAnsi"/>
          <w:b/>
          <w:lang w:val="pt-PT"/>
        </w:rPr>
      </w:pPr>
    </w:p>
    <w:p w14:paraId="6A322F0C" w14:textId="77777777" w:rsidR="00F638C3" w:rsidRPr="00292532" w:rsidRDefault="00F638C3" w:rsidP="00F638C3">
      <w:pPr>
        <w:widowControl w:val="0"/>
        <w:numPr>
          <w:ilvl w:val="1"/>
          <w:numId w:val="35"/>
        </w:numPr>
        <w:tabs>
          <w:tab w:val="left" w:pos="900"/>
          <w:tab w:val="left" w:pos="974"/>
          <w:tab w:val="left" w:pos="3609"/>
          <w:tab w:val="left" w:pos="5856"/>
          <w:tab w:val="left" w:pos="7776"/>
        </w:tabs>
        <w:autoSpaceDE w:val="0"/>
        <w:autoSpaceDN w:val="0"/>
        <w:spacing w:before="0" w:after="0"/>
        <w:ind w:left="900" w:right="970" w:firstLine="0"/>
        <w:rPr>
          <w:rFonts w:asciiTheme="minorHAnsi" w:eastAsia="Times New Roman" w:hAnsiTheme="minorHAnsi" w:cstheme="minorHAnsi"/>
          <w:lang w:val="pt-PT"/>
        </w:rPr>
      </w:pPr>
      <w:r w:rsidRPr="00292532">
        <w:rPr>
          <w:rFonts w:asciiTheme="minorHAnsi" w:eastAsia="Times New Roman" w:hAnsiTheme="minorHAnsi" w:cstheme="minorHAnsi"/>
          <w:color w:val="231F20"/>
          <w:lang w:val="pt-PT"/>
        </w:rPr>
        <w:t>Espaço</w:t>
      </w:r>
      <w:r w:rsidRPr="00292532">
        <w:rPr>
          <w:rFonts w:asciiTheme="minorHAnsi" w:eastAsia="Times New Roman" w:hAnsiTheme="minorHAnsi" w:cstheme="minorHAnsi"/>
          <w:color w:val="231F20"/>
          <w:spacing w:val="10"/>
          <w:lang w:val="pt-PT"/>
        </w:rPr>
        <w:t xml:space="preserve"> </w:t>
      </w:r>
      <w:r w:rsidRPr="00292532">
        <w:rPr>
          <w:rFonts w:asciiTheme="minorHAnsi" w:eastAsia="Times New Roman" w:hAnsiTheme="minorHAnsi" w:cstheme="minorHAnsi"/>
          <w:color w:val="231F20"/>
          <w:lang w:val="pt-PT"/>
        </w:rPr>
        <w:t>habitacional</w:t>
      </w:r>
      <w:r w:rsidRPr="00292532">
        <w:rPr>
          <w:rFonts w:asciiTheme="minorHAnsi" w:eastAsia="Times New Roman" w:hAnsiTheme="minorHAnsi" w:cstheme="minorHAnsi"/>
          <w:color w:val="231F20"/>
          <w:spacing w:val="11"/>
          <w:lang w:val="pt-PT"/>
        </w:rPr>
        <w:t xml:space="preserve"> </w:t>
      </w:r>
      <w:r w:rsidRPr="00292532">
        <w:rPr>
          <w:rFonts w:asciiTheme="minorHAnsi" w:eastAsia="Times New Roman" w:hAnsiTheme="minorHAnsi" w:cstheme="minorHAnsi"/>
          <w:color w:val="231F20"/>
          <w:lang w:val="pt-PT"/>
        </w:rPr>
        <w:t>□</w:t>
      </w:r>
      <w:r w:rsidRPr="00292532">
        <w:rPr>
          <w:rFonts w:asciiTheme="minorHAnsi" w:eastAsia="Times New Roman" w:hAnsiTheme="minorHAnsi" w:cstheme="minorHAnsi"/>
          <w:color w:val="231F20"/>
          <w:lang w:val="pt-PT"/>
        </w:rPr>
        <w:tab/>
      </w:r>
      <w:r w:rsidRPr="00292532">
        <w:rPr>
          <w:rFonts w:asciiTheme="minorHAnsi" w:eastAsia="Times New Roman" w:hAnsiTheme="minorHAnsi" w:cstheme="minorHAnsi"/>
          <w:color w:val="231F20"/>
          <w:w w:val="105"/>
          <w:lang w:val="pt-PT"/>
        </w:rPr>
        <w:t>Industrial</w:t>
      </w:r>
      <w:r w:rsidRPr="00292532">
        <w:rPr>
          <w:rFonts w:asciiTheme="minorHAnsi" w:eastAsia="Times New Roman" w:hAnsiTheme="minorHAnsi" w:cstheme="minorHAnsi"/>
          <w:color w:val="231F20"/>
          <w:spacing w:val="-9"/>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t>Serviços</w:t>
      </w:r>
      <w:r w:rsidRPr="00292532">
        <w:rPr>
          <w:rFonts w:asciiTheme="minorHAnsi" w:eastAsia="Times New Roman" w:hAnsiTheme="minorHAnsi" w:cstheme="minorHAnsi"/>
          <w:color w:val="231F20"/>
          <w:spacing w:val="-8"/>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t>Outro</w:t>
      </w:r>
      <w:r w:rsidRPr="00292532">
        <w:rPr>
          <w:rFonts w:asciiTheme="minorHAnsi" w:eastAsia="Times New Roman" w:hAnsiTheme="minorHAnsi" w:cstheme="minorHAnsi"/>
          <w:color w:val="231F20"/>
          <w:spacing w:val="-7"/>
          <w:w w:val="105"/>
          <w:lang w:val="pt-PT"/>
        </w:rPr>
        <w:t xml:space="preserve"> </w:t>
      </w:r>
      <w:r w:rsidRPr="00292532">
        <w:rPr>
          <w:rFonts w:asciiTheme="minorHAnsi" w:eastAsia="Times New Roman" w:hAnsiTheme="minorHAnsi" w:cstheme="minorHAnsi"/>
          <w:color w:val="231F20"/>
          <w:w w:val="105"/>
          <w:lang w:val="pt-PT"/>
        </w:rPr>
        <w:t>□</w:t>
      </w:r>
    </w:p>
    <w:p w14:paraId="2243D4D9" w14:textId="77777777" w:rsidR="00F638C3" w:rsidRPr="00292532" w:rsidRDefault="00F638C3" w:rsidP="00F638C3">
      <w:pPr>
        <w:widowControl w:val="0"/>
        <w:tabs>
          <w:tab w:val="left" w:pos="900"/>
        </w:tabs>
        <w:autoSpaceDE w:val="0"/>
        <w:autoSpaceDN w:val="0"/>
        <w:spacing w:before="42" w:after="0"/>
        <w:ind w:left="900" w:right="970"/>
        <w:jc w:val="left"/>
        <w:rPr>
          <w:rFonts w:asciiTheme="minorHAnsi" w:eastAsia="Times New Roman" w:hAnsiTheme="minorHAnsi" w:cstheme="minorHAnsi"/>
          <w:lang w:val="pt-PT"/>
        </w:rPr>
      </w:pPr>
      <w:r w:rsidRPr="00292532">
        <w:rPr>
          <w:rFonts w:asciiTheme="minorHAnsi" w:eastAsia="Times New Roman" w:hAnsiTheme="minorHAnsi" w:cstheme="minorHAnsi"/>
          <w:color w:val="231F20"/>
          <w:lang w:val="pt-PT"/>
        </w:rPr>
        <w:t>(especifique)</w:t>
      </w:r>
    </w:p>
    <w:p w14:paraId="1F495B7B" w14:textId="77777777" w:rsidR="00F638C3" w:rsidRPr="00292532" w:rsidRDefault="00F638C3" w:rsidP="00F638C3">
      <w:pPr>
        <w:widowControl w:val="0"/>
        <w:tabs>
          <w:tab w:val="left" w:pos="900"/>
        </w:tabs>
        <w:autoSpaceDE w:val="0"/>
        <w:autoSpaceDN w:val="0"/>
        <w:spacing w:before="0" w:after="0"/>
        <w:ind w:left="900" w:right="970"/>
        <w:jc w:val="left"/>
        <w:rPr>
          <w:rFonts w:asciiTheme="minorHAnsi" w:eastAsia="Times New Roman" w:hAnsiTheme="minorHAnsi" w:cstheme="minorHAnsi"/>
          <w:lang w:val="pt-PT"/>
        </w:rPr>
      </w:pPr>
    </w:p>
    <w:p w14:paraId="5C473E92" w14:textId="77777777" w:rsidR="00F638C3" w:rsidRPr="00292532" w:rsidRDefault="00F638C3" w:rsidP="00F638C3">
      <w:pPr>
        <w:widowControl w:val="0"/>
        <w:numPr>
          <w:ilvl w:val="0"/>
          <w:numId w:val="35"/>
        </w:numPr>
        <w:tabs>
          <w:tab w:val="left" w:pos="731"/>
          <w:tab w:val="left" w:pos="900"/>
        </w:tabs>
        <w:autoSpaceDE w:val="0"/>
        <w:autoSpaceDN w:val="0"/>
        <w:spacing w:before="96" w:after="0"/>
        <w:ind w:left="900" w:right="970" w:firstLine="0"/>
        <w:jc w:val="left"/>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Descrição</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da</w:t>
      </w:r>
      <w:r w:rsidRPr="00292532">
        <w:rPr>
          <w:rFonts w:asciiTheme="minorHAnsi" w:eastAsia="Times New Roman" w:hAnsiTheme="minorHAnsi" w:cstheme="minorHAnsi"/>
          <w:b/>
          <w:color w:val="231F20"/>
          <w:spacing w:val="-1"/>
          <w:lang w:val="pt-PT"/>
        </w:rPr>
        <w:t xml:space="preserve"> </w:t>
      </w:r>
      <w:proofErr w:type="spellStart"/>
      <w:r w:rsidRPr="00292532">
        <w:rPr>
          <w:rFonts w:asciiTheme="minorHAnsi" w:eastAsia="Times New Roman" w:hAnsiTheme="minorHAnsi" w:cstheme="minorHAnsi"/>
          <w:b/>
          <w:color w:val="231F20"/>
          <w:lang w:val="pt-PT"/>
        </w:rPr>
        <w:t>actividade</w:t>
      </w:r>
      <w:proofErr w:type="spellEnd"/>
      <w:r w:rsidRPr="00292532">
        <w:rPr>
          <w:rFonts w:asciiTheme="minorHAnsi" w:eastAsia="Times New Roman" w:hAnsiTheme="minorHAnsi" w:cstheme="minorHAnsi"/>
          <w:b/>
          <w:color w:val="231F20"/>
          <w:lang w:val="pt-PT"/>
        </w:rPr>
        <w:t>:</w:t>
      </w:r>
    </w:p>
    <w:p w14:paraId="34384C6B" w14:textId="77777777" w:rsidR="00F638C3" w:rsidRPr="00292532" w:rsidRDefault="00F638C3" w:rsidP="00F638C3">
      <w:pPr>
        <w:widowControl w:val="0"/>
        <w:tabs>
          <w:tab w:val="left" w:pos="900"/>
        </w:tabs>
        <w:autoSpaceDE w:val="0"/>
        <w:autoSpaceDN w:val="0"/>
        <w:spacing w:before="67"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7.</w:t>
      </w:r>
      <w:r w:rsidRPr="00292532">
        <w:rPr>
          <w:rFonts w:asciiTheme="minorHAnsi" w:eastAsia="Times New Roman" w:hAnsiTheme="minorHAnsi" w:cstheme="minorHAnsi"/>
          <w:b/>
          <w:color w:val="231F20"/>
          <w:spacing w:val="27"/>
          <w:lang w:val="pt-PT"/>
        </w:rPr>
        <w:t xml:space="preserve"> </w:t>
      </w:r>
      <w:r w:rsidRPr="00292532">
        <w:rPr>
          <w:rFonts w:asciiTheme="minorHAnsi" w:eastAsia="Times New Roman" w:hAnsiTheme="minorHAnsi" w:cstheme="minorHAnsi"/>
          <w:b/>
          <w:color w:val="231F20"/>
          <w:w w:val="110"/>
          <w:lang w:val="pt-PT"/>
        </w:rPr>
        <w:t>l.</w:t>
      </w:r>
      <w:r w:rsidRPr="00292532">
        <w:rPr>
          <w:rFonts w:asciiTheme="minorHAnsi" w:eastAsia="Times New Roman" w:hAnsiTheme="minorHAnsi" w:cstheme="minorHAnsi"/>
          <w:b/>
          <w:color w:val="231F20"/>
          <w:spacing w:val="23"/>
          <w:w w:val="110"/>
          <w:lang w:val="pt-PT"/>
        </w:rPr>
        <w:t xml:space="preserve"> </w:t>
      </w:r>
      <w:r w:rsidRPr="00292532">
        <w:rPr>
          <w:rFonts w:asciiTheme="minorHAnsi" w:eastAsia="Times New Roman" w:hAnsiTheme="minorHAnsi" w:cstheme="minorHAnsi"/>
          <w:b/>
          <w:color w:val="231F20"/>
          <w:lang w:val="pt-PT"/>
        </w:rPr>
        <w:t>Infraestruturas</w:t>
      </w:r>
      <w:r w:rsidRPr="00292532">
        <w:rPr>
          <w:rFonts w:asciiTheme="minorHAnsi" w:eastAsia="Times New Roman" w:hAnsiTheme="minorHAnsi" w:cstheme="minorHAnsi"/>
          <w:b/>
          <w:color w:val="231F20"/>
          <w:spacing w:val="28"/>
          <w:lang w:val="pt-PT"/>
        </w:rPr>
        <w:t xml:space="preserve"> </w:t>
      </w:r>
      <w:r w:rsidRPr="00292532">
        <w:rPr>
          <w:rFonts w:asciiTheme="minorHAnsi" w:eastAsia="Times New Roman" w:hAnsiTheme="minorHAnsi" w:cstheme="minorHAnsi"/>
          <w:b/>
          <w:color w:val="231F20"/>
          <w:lang w:val="pt-PT"/>
        </w:rPr>
        <w:t>da</w:t>
      </w:r>
      <w:r w:rsidRPr="00292532">
        <w:rPr>
          <w:rFonts w:asciiTheme="minorHAnsi" w:eastAsia="Times New Roman" w:hAnsiTheme="minorHAnsi" w:cstheme="minorHAnsi"/>
          <w:b/>
          <w:color w:val="231F20"/>
          <w:spacing w:val="28"/>
          <w:lang w:val="pt-PT"/>
        </w:rPr>
        <w:t xml:space="preserve"> </w:t>
      </w:r>
      <w:proofErr w:type="spellStart"/>
      <w:r w:rsidRPr="00292532">
        <w:rPr>
          <w:rFonts w:asciiTheme="minorHAnsi" w:eastAsia="Times New Roman" w:hAnsiTheme="minorHAnsi" w:cstheme="minorHAnsi"/>
          <w:b/>
          <w:color w:val="231F20"/>
          <w:lang w:val="pt-PT"/>
        </w:rPr>
        <w:t>actividade</w:t>
      </w:r>
      <w:proofErr w:type="spellEnd"/>
      <w:r w:rsidRPr="00292532">
        <w:rPr>
          <w:rFonts w:asciiTheme="minorHAnsi" w:eastAsia="Times New Roman" w:hAnsiTheme="minorHAnsi" w:cstheme="minorHAnsi"/>
          <w:b/>
          <w:color w:val="231F20"/>
          <w:lang w:val="pt-PT"/>
        </w:rPr>
        <w:t>,</w:t>
      </w:r>
      <w:r w:rsidRPr="00292532">
        <w:rPr>
          <w:rFonts w:asciiTheme="minorHAnsi" w:eastAsia="Times New Roman" w:hAnsiTheme="minorHAnsi" w:cstheme="minorHAnsi"/>
          <w:b/>
          <w:color w:val="231F20"/>
          <w:spacing w:val="28"/>
          <w:lang w:val="pt-PT"/>
        </w:rPr>
        <w:t xml:space="preserve"> </w:t>
      </w:r>
      <w:r w:rsidRPr="00292532">
        <w:rPr>
          <w:rFonts w:asciiTheme="minorHAnsi" w:eastAsia="Times New Roman" w:hAnsiTheme="minorHAnsi" w:cstheme="minorHAnsi"/>
          <w:b/>
          <w:color w:val="231F20"/>
          <w:lang w:val="pt-PT"/>
        </w:rPr>
        <w:t>suas</w:t>
      </w:r>
      <w:r w:rsidRPr="00292532">
        <w:rPr>
          <w:rFonts w:asciiTheme="minorHAnsi" w:eastAsia="Times New Roman" w:hAnsiTheme="minorHAnsi" w:cstheme="minorHAnsi"/>
          <w:b/>
          <w:color w:val="231F20"/>
          <w:spacing w:val="28"/>
          <w:lang w:val="pt-PT"/>
        </w:rPr>
        <w:t xml:space="preserve"> </w:t>
      </w:r>
      <w:r w:rsidRPr="00292532">
        <w:rPr>
          <w:rFonts w:asciiTheme="minorHAnsi" w:eastAsia="Times New Roman" w:hAnsiTheme="minorHAnsi" w:cstheme="minorHAnsi"/>
          <w:b/>
          <w:color w:val="231F20"/>
          <w:lang w:val="pt-PT"/>
        </w:rPr>
        <w:t>dimensões</w:t>
      </w:r>
      <w:r w:rsidRPr="00292532">
        <w:rPr>
          <w:rFonts w:asciiTheme="minorHAnsi" w:eastAsia="Times New Roman" w:hAnsiTheme="minorHAnsi" w:cstheme="minorHAnsi"/>
          <w:b/>
          <w:color w:val="231F20"/>
          <w:spacing w:val="28"/>
          <w:lang w:val="pt-PT"/>
        </w:rPr>
        <w:t xml:space="preserve"> </w:t>
      </w:r>
      <w:r w:rsidRPr="00292532">
        <w:rPr>
          <w:rFonts w:asciiTheme="minorHAnsi" w:eastAsia="Times New Roman" w:hAnsiTheme="minorHAnsi" w:cstheme="minorHAnsi"/>
          <w:b/>
          <w:color w:val="231F20"/>
          <w:lang w:val="pt-PT"/>
        </w:rPr>
        <w:t>e</w:t>
      </w:r>
      <w:r w:rsidRPr="00292532">
        <w:rPr>
          <w:rFonts w:asciiTheme="minorHAnsi" w:eastAsia="Times New Roman" w:hAnsiTheme="minorHAnsi" w:cstheme="minorHAnsi"/>
          <w:b/>
          <w:color w:val="231F20"/>
          <w:spacing w:val="28"/>
          <w:lang w:val="pt-PT"/>
        </w:rPr>
        <w:t xml:space="preserve"> </w:t>
      </w:r>
      <w:r w:rsidRPr="00292532">
        <w:rPr>
          <w:rFonts w:asciiTheme="minorHAnsi" w:eastAsia="Times New Roman" w:hAnsiTheme="minorHAnsi" w:cstheme="minorHAnsi"/>
          <w:b/>
          <w:color w:val="231F20"/>
          <w:lang w:val="pt-PT"/>
        </w:rPr>
        <w:t>capacidade</w:t>
      </w:r>
      <w:r w:rsidRPr="00292532">
        <w:rPr>
          <w:rFonts w:asciiTheme="minorHAnsi" w:eastAsia="Times New Roman" w:hAnsiTheme="minorHAnsi" w:cstheme="minorHAnsi"/>
          <w:b/>
          <w:color w:val="231F20"/>
          <w:spacing w:val="28"/>
          <w:lang w:val="pt-PT"/>
        </w:rPr>
        <w:t xml:space="preserve"> </w:t>
      </w:r>
      <w:r w:rsidRPr="00292532">
        <w:rPr>
          <w:rFonts w:asciiTheme="minorHAnsi" w:eastAsia="Times New Roman" w:hAnsiTheme="minorHAnsi" w:cstheme="minorHAnsi"/>
          <w:b/>
          <w:color w:val="231F20"/>
          <w:lang w:val="pt-PT"/>
        </w:rPr>
        <w:t>instalada</w:t>
      </w:r>
      <w:r w:rsidRPr="00292532">
        <w:rPr>
          <w:rFonts w:asciiTheme="minorHAnsi" w:eastAsia="Times New Roman" w:hAnsiTheme="minorHAnsi" w:cstheme="minorHAnsi"/>
          <w:b/>
          <w:color w:val="231F20"/>
          <w:spacing w:val="28"/>
          <w:lang w:val="pt-PT"/>
        </w:rPr>
        <w:t xml:space="preserve"> </w:t>
      </w:r>
      <w:r w:rsidRPr="00292532">
        <w:rPr>
          <w:rFonts w:asciiTheme="minorHAnsi" w:eastAsia="Times New Roman" w:hAnsiTheme="minorHAnsi" w:cstheme="minorHAnsi"/>
          <w:b/>
          <w:color w:val="231F20"/>
          <w:lang w:val="pt-PT"/>
        </w:rPr>
        <w:t>(juntar</w:t>
      </w:r>
      <w:r w:rsidRPr="00292532">
        <w:rPr>
          <w:rFonts w:asciiTheme="minorHAnsi" w:eastAsia="Times New Roman" w:hAnsiTheme="minorHAnsi" w:cstheme="minorHAnsi"/>
          <w:b/>
          <w:color w:val="231F20"/>
          <w:spacing w:val="24"/>
          <w:lang w:val="pt-PT"/>
        </w:rPr>
        <w:t xml:space="preserve"> </w:t>
      </w:r>
      <w:r w:rsidRPr="00292532">
        <w:rPr>
          <w:rFonts w:asciiTheme="minorHAnsi" w:eastAsia="Times New Roman" w:hAnsiTheme="minorHAnsi" w:cstheme="minorHAnsi"/>
          <w:b/>
          <w:color w:val="231F20"/>
          <w:lang w:val="pt-PT"/>
        </w:rPr>
        <w:t>sempre</w:t>
      </w:r>
      <w:r w:rsidRPr="00292532">
        <w:rPr>
          <w:rFonts w:asciiTheme="minorHAnsi" w:eastAsia="Times New Roman" w:hAnsiTheme="minorHAnsi" w:cstheme="minorHAnsi"/>
          <w:b/>
          <w:color w:val="231F20"/>
          <w:spacing w:val="28"/>
          <w:lang w:val="pt-PT"/>
        </w:rPr>
        <w:t xml:space="preserve"> </w:t>
      </w:r>
      <w:r w:rsidRPr="00292532">
        <w:rPr>
          <w:rFonts w:asciiTheme="minorHAnsi" w:eastAsia="Times New Roman" w:hAnsiTheme="minorHAnsi" w:cstheme="minorHAnsi"/>
          <w:b/>
          <w:color w:val="231F20"/>
          <w:lang w:val="pt-PT"/>
        </w:rPr>
        <w:t>que</w:t>
      </w:r>
      <w:r w:rsidRPr="00292532">
        <w:rPr>
          <w:rFonts w:asciiTheme="minorHAnsi" w:eastAsia="Times New Roman" w:hAnsiTheme="minorHAnsi" w:cstheme="minorHAnsi"/>
          <w:b/>
          <w:color w:val="231F20"/>
          <w:spacing w:val="28"/>
          <w:lang w:val="pt-PT"/>
        </w:rPr>
        <w:t xml:space="preserve"> </w:t>
      </w:r>
      <w:r w:rsidRPr="00292532">
        <w:rPr>
          <w:rFonts w:asciiTheme="minorHAnsi" w:eastAsia="Times New Roman" w:hAnsiTheme="minorHAnsi" w:cstheme="minorHAnsi"/>
          <w:b/>
          <w:color w:val="231F20"/>
          <w:lang w:val="pt-PT"/>
        </w:rPr>
        <w:t>possível</w:t>
      </w:r>
      <w:r w:rsidRPr="00292532">
        <w:rPr>
          <w:rFonts w:asciiTheme="minorHAnsi" w:eastAsia="Times New Roman" w:hAnsiTheme="minorHAnsi" w:cstheme="minorHAnsi"/>
          <w:b/>
          <w:color w:val="231F20"/>
          <w:spacing w:val="28"/>
          <w:lang w:val="pt-PT"/>
        </w:rPr>
        <w:t xml:space="preserve"> </w:t>
      </w:r>
      <w:r w:rsidRPr="00292532">
        <w:rPr>
          <w:rFonts w:asciiTheme="minorHAnsi" w:eastAsia="Times New Roman" w:hAnsiTheme="minorHAnsi" w:cstheme="minorHAnsi"/>
          <w:b/>
          <w:color w:val="231F20"/>
          <w:lang w:val="pt-PT"/>
        </w:rPr>
        <w:t>as</w:t>
      </w:r>
      <w:r w:rsidRPr="00292532">
        <w:rPr>
          <w:rFonts w:asciiTheme="minorHAnsi" w:eastAsia="Times New Roman" w:hAnsiTheme="minorHAnsi" w:cstheme="minorHAnsi"/>
          <w:b/>
          <w:color w:val="231F20"/>
          <w:spacing w:val="27"/>
          <w:lang w:val="pt-PT"/>
        </w:rPr>
        <w:t xml:space="preserve"> </w:t>
      </w:r>
      <w:r w:rsidRPr="00292532">
        <w:rPr>
          <w:rFonts w:asciiTheme="minorHAnsi" w:eastAsia="Times New Roman" w:hAnsiTheme="minorHAnsi" w:cstheme="minorHAnsi"/>
          <w:b/>
          <w:color w:val="231F20"/>
          <w:lang w:val="pt-PT"/>
        </w:rPr>
        <w:t>peças</w:t>
      </w:r>
    </w:p>
    <w:p w14:paraId="6ED8757E" w14:textId="77777777" w:rsidR="00F638C3" w:rsidRPr="00292532" w:rsidRDefault="00F638C3" w:rsidP="00F638C3">
      <w:pPr>
        <w:widowControl w:val="0"/>
        <w:tabs>
          <w:tab w:val="left" w:pos="900"/>
        </w:tabs>
        <w:autoSpaceDE w:val="0"/>
        <w:autoSpaceDN w:val="0"/>
        <w:spacing w:before="10"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desenhadas</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e</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descritas</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da</w:t>
      </w:r>
      <w:r w:rsidRPr="00292532">
        <w:rPr>
          <w:rFonts w:asciiTheme="minorHAnsi" w:eastAsia="Times New Roman" w:hAnsiTheme="minorHAnsi" w:cstheme="minorHAnsi"/>
          <w:b/>
          <w:color w:val="231F20"/>
          <w:spacing w:val="-1"/>
          <w:lang w:val="pt-PT"/>
        </w:rPr>
        <w:t xml:space="preserve"> </w:t>
      </w:r>
      <w:proofErr w:type="spellStart"/>
      <w:r w:rsidRPr="00292532">
        <w:rPr>
          <w:rFonts w:asciiTheme="minorHAnsi" w:eastAsia="Times New Roman" w:hAnsiTheme="minorHAnsi" w:cstheme="minorHAnsi"/>
          <w:b/>
          <w:color w:val="231F20"/>
          <w:lang w:val="pt-PT"/>
        </w:rPr>
        <w:t>actividade</w:t>
      </w:r>
      <w:proofErr w:type="spellEnd"/>
      <w:r w:rsidRPr="00292532">
        <w:rPr>
          <w:rFonts w:asciiTheme="minorHAnsi" w:eastAsia="Times New Roman" w:hAnsiTheme="minorHAnsi" w:cstheme="minorHAnsi"/>
          <w:b/>
          <w:color w:val="231F20"/>
          <w:lang w:val="pt-PT"/>
        </w:rPr>
        <w:t>.</w:t>
      </w:r>
    </w:p>
    <w:p w14:paraId="01204DB3" w14:textId="77777777" w:rsidR="00F638C3" w:rsidRPr="00292532" w:rsidRDefault="00F638C3" w:rsidP="00F638C3">
      <w:pPr>
        <w:widowControl w:val="0"/>
        <w:tabs>
          <w:tab w:val="left" w:pos="900"/>
        </w:tabs>
        <w:autoSpaceDE w:val="0"/>
        <w:autoSpaceDN w:val="0"/>
        <w:spacing w:before="1"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noProof/>
          <w:lang w:val="en-US"/>
        </w:rPr>
        <mc:AlternateContent>
          <mc:Choice Requires="wps">
            <w:drawing>
              <wp:anchor distT="0" distB="0" distL="0" distR="0" simplePos="0" relativeHeight="252077056" behindDoc="1" locked="0" layoutInCell="1" allowOverlap="1" wp14:anchorId="1A24B032" wp14:editId="0C8830DB">
                <wp:simplePos x="0" y="0"/>
                <wp:positionH relativeFrom="page">
                  <wp:posOffset>692785</wp:posOffset>
                </wp:positionH>
                <wp:positionV relativeFrom="paragraph">
                  <wp:posOffset>131445</wp:posOffset>
                </wp:positionV>
                <wp:extent cx="6309360" cy="1270"/>
                <wp:effectExtent l="0" t="0" r="0" b="0"/>
                <wp:wrapTopAndBottom/>
                <wp:docPr id="368" name="Freeform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9360" cy="1270"/>
                        </a:xfrm>
                        <a:custGeom>
                          <a:avLst/>
                          <a:gdLst>
                            <a:gd name="T0" fmla="+- 0 1091 1091"/>
                            <a:gd name="T1" fmla="*/ T0 w 9936"/>
                            <a:gd name="T2" fmla="+- 0 11026 1091"/>
                            <a:gd name="T3" fmla="*/ T2 w 9936"/>
                          </a:gdLst>
                          <a:ahLst/>
                          <a:cxnLst>
                            <a:cxn ang="0">
                              <a:pos x="T1" y="0"/>
                            </a:cxn>
                            <a:cxn ang="0">
                              <a:pos x="T3" y="0"/>
                            </a:cxn>
                          </a:cxnLst>
                          <a:rect l="0" t="0" r="r" b="b"/>
                          <a:pathLst>
                            <a:path w="9936">
                              <a:moveTo>
                                <a:pt x="0" y="0"/>
                              </a:moveTo>
                              <a:lnTo>
                                <a:pt x="9935"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F6258FF" id="Freeform 66" o:spid="_x0000_s1026" style="position:absolute;margin-left:54.55pt;margin-top:10.35pt;width:496.8pt;height:.1pt;z-index:-25123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" path="m,l9935,e" filled="f" strokecolor="#221e1f" strokeweight=".17278mm">
                <v:path arrowok="t" o:connecttype="custom" o:connectlocs="0,0;6308725,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78080" behindDoc="1" locked="0" layoutInCell="1" allowOverlap="1" wp14:anchorId="5FC6E7FF" wp14:editId="6CBF0271">
                <wp:simplePos x="0" y="0"/>
                <wp:positionH relativeFrom="page">
                  <wp:posOffset>692785</wp:posOffset>
                </wp:positionH>
                <wp:positionV relativeFrom="paragraph">
                  <wp:posOffset>277495</wp:posOffset>
                </wp:positionV>
                <wp:extent cx="6316345" cy="1270"/>
                <wp:effectExtent l="0" t="0" r="0" b="0"/>
                <wp:wrapTopAndBottom/>
                <wp:docPr id="369" name="Freeform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6345" cy="1270"/>
                        </a:xfrm>
                        <a:custGeom>
                          <a:avLst/>
                          <a:gdLst>
                            <a:gd name="T0" fmla="+- 0 1091 1091"/>
                            <a:gd name="T1" fmla="*/ T0 w 9947"/>
                            <a:gd name="T2" fmla="+- 0 11037 1091"/>
                            <a:gd name="T3" fmla="*/ T2 w 9947"/>
                          </a:gdLst>
                          <a:ahLst/>
                          <a:cxnLst>
                            <a:cxn ang="0">
                              <a:pos x="T1" y="0"/>
                            </a:cxn>
                            <a:cxn ang="0">
                              <a:pos x="T3" y="0"/>
                            </a:cxn>
                          </a:cxnLst>
                          <a:rect l="0" t="0" r="r" b="b"/>
                          <a:pathLst>
                            <a:path w="9947">
                              <a:moveTo>
                                <a:pt x="0" y="0"/>
                              </a:moveTo>
                              <a:lnTo>
                                <a:pt x="9946"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9AB8938" id="Freeform 65" o:spid="_x0000_s1026" style="position:absolute;margin-left:54.55pt;margin-top:21.85pt;width:497.35pt;height:.1pt;z-index:-251238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" path="m,l9946,e" filled="f" strokecolor="#221e1f" strokeweight=".17278mm">
                <v:path arrowok="t" o:connecttype="custom" o:connectlocs="0,0;631571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79104" behindDoc="1" locked="0" layoutInCell="1" allowOverlap="1" wp14:anchorId="76CD9CF6" wp14:editId="490B8992">
                <wp:simplePos x="0" y="0"/>
                <wp:positionH relativeFrom="page">
                  <wp:posOffset>692785</wp:posOffset>
                </wp:positionH>
                <wp:positionV relativeFrom="paragraph">
                  <wp:posOffset>423545</wp:posOffset>
                </wp:positionV>
                <wp:extent cx="6316345" cy="1270"/>
                <wp:effectExtent l="0" t="0" r="0" b="0"/>
                <wp:wrapTopAndBottom/>
                <wp:docPr id="370" name="Freeform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6345" cy="1270"/>
                        </a:xfrm>
                        <a:custGeom>
                          <a:avLst/>
                          <a:gdLst>
                            <a:gd name="T0" fmla="+- 0 1091 1091"/>
                            <a:gd name="T1" fmla="*/ T0 w 9947"/>
                            <a:gd name="T2" fmla="+- 0 11037 1091"/>
                            <a:gd name="T3" fmla="*/ T2 w 9947"/>
                          </a:gdLst>
                          <a:ahLst/>
                          <a:cxnLst>
                            <a:cxn ang="0">
                              <a:pos x="T1" y="0"/>
                            </a:cxn>
                            <a:cxn ang="0">
                              <a:pos x="T3" y="0"/>
                            </a:cxn>
                          </a:cxnLst>
                          <a:rect l="0" t="0" r="r" b="b"/>
                          <a:pathLst>
                            <a:path w="9947">
                              <a:moveTo>
                                <a:pt x="0" y="0"/>
                              </a:moveTo>
                              <a:lnTo>
                                <a:pt x="9946"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5A98DA18" id="Freeform 64" o:spid="_x0000_s1026" style="position:absolute;margin-left:54.55pt;margin-top:33.35pt;width:497.35pt;height:.1pt;z-index:-251237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" path="m,l9946,e" filled="f" strokecolor="#221e1f" strokeweight=".17278mm">
                <v:path arrowok="t" o:connecttype="custom" o:connectlocs="0,0;631571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80128" behindDoc="1" locked="0" layoutInCell="1" allowOverlap="1" wp14:anchorId="5AA977C9" wp14:editId="32653A61">
                <wp:simplePos x="0" y="0"/>
                <wp:positionH relativeFrom="page">
                  <wp:posOffset>692785</wp:posOffset>
                </wp:positionH>
                <wp:positionV relativeFrom="paragraph">
                  <wp:posOffset>569595</wp:posOffset>
                </wp:positionV>
                <wp:extent cx="6315075" cy="1270"/>
                <wp:effectExtent l="0" t="0" r="0" b="0"/>
                <wp:wrapTopAndBottom/>
                <wp:docPr id="371" name="Freeform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D88A798" id="Freeform 63" o:spid="_x0000_s1026" style="position:absolute;margin-left:54.55pt;margin-top:44.85pt;width:497.25pt;height:.1pt;z-index:-251236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81152" behindDoc="1" locked="0" layoutInCell="1" allowOverlap="1" wp14:anchorId="707D6557" wp14:editId="15A5AD19">
                <wp:simplePos x="0" y="0"/>
                <wp:positionH relativeFrom="page">
                  <wp:posOffset>692785</wp:posOffset>
                </wp:positionH>
                <wp:positionV relativeFrom="paragraph">
                  <wp:posOffset>715010</wp:posOffset>
                </wp:positionV>
                <wp:extent cx="6309360" cy="1270"/>
                <wp:effectExtent l="0" t="0" r="0" b="0"/>
                <wp:wrapTopAndBottom/>
                <wp:docPr id="372" name="Freeform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9360" cy="1270"/>
                        </a:xfrm>
                        <a:custGeom>
                          <a:avLst/>
                          <a:gdLst>
                            <a:gd name="T0" fmla="+- 0 1091 1091"/>
                            <a:gd name="T1" fmla="*/ T0 w 9936"/>
                            <a:gd name="T2" fmla="+- 0 11026 1091"/>
                            <a:gd name="T3" fmla="*/ T2 w 9936"/>
                          </a:gdLst>
                          <a:ahLst/>
                          <a:cxnLst>
                            <a:cxn ang="0">
                              <a:pos x="T1" y="0"/>
                            </a:cxn>
                            <a:cxn ang="0">
                              <a:pos x="T3" y="0"/>
                            </a:cxn>
                          </a:cxnLst>
                          <a:rect l="0" t="0" r="r" b="b"/>
                          <a:pathLst>
                            <a:path w="9936">
                              <a:moveTo>
                                <a:pt x="0" y="0"/>
                              </a:moveTo>
                              <a:lnTo>
                                <a:pt x="9935"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64F97BA0" id="Freeform 62" o:spid="_x0000_s1026" style="position:absolute;margin-left:54.55pt;margin-top:56.3pt;width:496.8pt;height:.1pt;z-index:-251235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" path="m,l9935,e" filled="f" strokecolor="#221e1f" strokeweight=".17278mm">
                <v:path arrowok="t" o:connecttype="custom" o:connectlocs="0,0;6308725,0" o:connectangles="0,0"/>
                <w10:wrap type="topAndBottom" anchorx="page"/>
              </v:shape>
            </w:pict>
          </mc:Fallback>
        </mc:AlternateContent>
      </w:r>
      <w:r w:rsidRPr="00292532">
        <w:rPr>
          <w:rFonts w:asciiTheme="minorHAnsi" w:eastAsia="Times New Roman" w:hAnsiTheme="minorHAnsi" w:cstheme="minorHAnsi"/>
          <w:b/>
          <w:color w:val="231F20"/>
          <w:lang w:val="pt-PT"/>
        </w:rPr>
        <w:t>7.</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2.</w:t>
      </w:r>
      <w:r w:rsidRPr="00292532">
        <w:rPr>
          <w:rFonts w:asciiTheme="minorHAnsi" w:eastAsia="Times New Roman" w:hAnsiTheme="minorHAnsi" w:cstheme="minorHAnsi"/>
          <w:b/>
          <w:color w:val="231F20"/>
          <w:spacing w:val="-12"/>
          <w:lang w:val="pt-PT"/>
        </w:rPr>
        <w:t xml:space="preserve"> </w:t>
      </w:r>
      <w:proofErr w:type="spellStart"/>
      <w:r w:rsidRPr="00292532">
        <w:rPr>
          <w:rFonts w:asciiTheme="minorHAnsi" w:eastAsia="Times New Roman" w:hAnsiTheme="minorHAnsi" w:cstheme="minorHAnsi"/>
          <w:b/>
          <w:color w:val="231F20"/>
          <w:lang w:val="pt-PT"/>
        </w:rPr>
        <w:t>Actividades</w:t>
      </w:r>
      <w:proofErr w:type="spellEnd"/>
      <w:r w:rsidRPr="00292532">
        <w:rPr>
          <w:rFonts w:asciiTheme="minorHAnsi" w:eastAsia="Times New Roman" w:hAnsiTheme="minorHAnsi" w:cstheme="minorHAnsi"/>
          <w:b/>
          <w:color w:val="231F20"/>
          <w:spacing w:val="-12"/>
          <w:lang w:val="pt-PT"/>
        </w:rPr>
        <w:t xml:space="preserve"> </w:t>
      </w:r>
      <w:r w:rsidRPr="00292532">
        <w:rPr>
          <w:rFonts w:asciiTheme="minorHAnsi" w:eastAsia="Times New Roman" w:hAnsiTheme="minorHAnsi" w:cstheme="minorHAnsi"/>
          <w:b/>
          <w:color w:val="231F20"/>
          <w:lang w:val="pt-PT"/>
        </w:rPr>
        <w:t>Associadas:</w:t>
      </w:r>
    </w:p>
    <w:p w14:paraId="4F51874C" w14:textId="77777777" w:rsidR="00F638C3" w:rsidRPr="00292532" w:rsidRDefault="00F638C3" w:rsidP="00F638C3">
      <w:pPr>
        <w:widowControl w:val="0"/>
        <w:tabs>
          <w:tab w:val="left" w:pos="900"/>
        </w:tabs>
        <w:autoSpaceDE w:val="0"/>
        <w:autoSpaceDN w:val="0"/>
        <w:spacing w:before="2"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noProof/>
          <w:lang w:val="en-US"/>
        </w:rPr>
        <mc:AlternateContent>
          <mc:Choice Requires="wps">
            <w:drawing>
              <wp:anchor distT="0" distB="0" distL="0" distR="0" simplePos="0" relativeHeight="252082176" behindDoc="1" locked="0" layoutInCell="1" allowOverlap="1" wp14:anchorId="0FEE608A" wp14:editId="46FA5A69">
                <wp:simplePos x="0" y="0"/>
                <wp:positionH relativeFrom="page">
                  <wp:posOffset>692785</wp:posOffset>
                </wp:positionH>
                <wp:positionV relativeFrom="paragraph">
                  <wp:posOffset>131445</wp:posOffset>
                </wp:positionV>
                <wp:extent cx="6315075" cy="1270"/>
                <wp:effectExtent l="0" t="0" r="0" b="0"/>
                <wp:wrapTopAndBottom/>
                <wp:docPr id="373" name="Freeform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6CBE45B1" id="Freeform 61" o:spid="_x0000_s1026" style="position:absolute;margin-left:54.55pt;margin-top:10.35pt;width:497.25pt;height:.1pt;z-index:-251234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83200" behindDoc="1" locked="0" layoutInCell="1" allowOverlap="1" wp14:anchorId="0D6B448A" wp14:editId="6731262A">
                <wp:simplePos x="0" y="0"/>
                <wp:positionH relativeFrom="page">
                  <wp:posOffset>692785</wp:posOffset>
                </wp:positionH>
                <wp:positionV relativeFrom="paragraph">
                  <wp:posOffset>277495</wp:posOffset>
                </wp:positionV>
                <wp:extent cx="6315075" cy="1270"/>
                <wp:effectExtent l="0" t="0" r="0" b="0"/>
                <wp:wrapTopAndBottom/>
                <wp:docPr id="374" name="Freeform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1B61D152" id="Freeform 60" o:spid="_x0000_s1026" style="position:absolute;margin-left:54.55pt;margin-top:21.85pt;width:497.25pt;height:.1pt;z-index:-251233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84224" behindDoc="1" locked="0" layoutInCell="1" allowOverlap="1" wp14:anchorId="639216C3" wp14:editId="76801A31">
                <wp:simplePos x="0" y="0"/>
                <wp:positionH relativeFrom="page">
                  <wp:posOffset>692785</wp:posOffset>
                </wp:positionH>
                <wp:positionV relativeFrom="paragraph">
                  <wp:posOffset>423545</wp:posOffset>
                </wp:positionV>
                <wp:extent cx="6309360" cy="1270"/>
                <wp:effectExtent l="0" t="0" r="0" b="0"/>
                <wp:wrapTopAndBottom/>
                <wp:docPr id="375" name="Freeform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9360" cy="1270"/>
                        </a:xfrm>
                        <a:custGeom>
                          <a:avLst/>
                          <a:gdLst>
                            <a:gd name="T0" fmla="+- 0 1091 1091"/>
                            <a:gd name="T1" fmla="*/ T0 w 9936"/>
                            <a:gd name="T2" fmla="+- 0 11026 1091"/>
                            <a:gd name="T3" fmla="*/ T2 w 9936"/>
                          </a:gdLst>
                          <a:ahLst/>
                          <a:cxnLst>
                            <a:cxn ang="0">
                              <a:pos x="T1" y="0"/>
                            </a:cxn>
                            <a:cxn ang="0">
                              <a:pos x="T3" y="0"/>
                            </a:cxn>
                          </a:cxnLst>
                          <a:rect l="0" t="0" r="r" b="b"/>
                          <a:pathLst>
                            <a:path w="9936">
                              <a:moveTo>
                                <a:pt x="0" y="0"/>
                              </a:moveTo>
                              <a:lnTo>
                                <a:pt x="9935"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0B9EB9E2" id="Freeform 59" o:spid="_x0000_s1026" style="position:absolute;margin-left:54.55pt;margin-top:33.35pt;width:496.8pt;height:.1pt;z-index:-251232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" path="m,l9935,e" filled="f" strokecolor="#221e1f" strokeweight=".17278mm">
                <v:path arrowok="t" o:connecttype="custom" o:connectlocs="0,0;6308725,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85248" behindDoc="1" locked="0" layoutInCell="1" allowOverlap="1" wp14:anchorId="2B79C476" wp14:editId="7972A3AD">
                <wp:simplePos x="0" y="0"/>
                <wp:positionH relativeFrom="page">
                  <wp:posOffset>692785</wp:posOffset>
                </wp:positionH>
                <wp:positionV relativeFrom="paragraph">
                  <wp:posOffset>569595</wp:posOffset>
                </wp:positionV>
                <wp:extent cx="6309360" cy="1270"/>
                <wp:effectExtent l="0" t="0" r="0" b="0"/>
                <wp:wrapTopAndBottom/>
                <wp:docPr id="376" name="Freeform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9360" cy="1270"/>
                        </a:xfrm>
                        <a:custGeom>
                          <a:avLst/>
                          <a:gdLst>
                            <a:gd name="T0" fmla="+- 0 1091 1091"/>
                            <a:gd name="T1" fmla="*/ T0 w 9936"/>
                            <a:gd name="T2" fmla="+- 0 11026 1091"/>
                            <a:gd name="T3" fmla="*/ T2 w 9936"/>
                          </a:gdLst>
                          <a:ahLst/>
                          <a:cxnLst>
                            <a:cxn ang="0">
                              <a:pos x="T1" y="0"/>
                            </a:cxn>
                            <a:cxn ang="0">
                              <a:pos x="T3" y="0"/>
                            </a:cxn>
                          </a:cxnLst>
                          <a:rect l="0" t="0" r="r" b="b"/>
                          <a:pathLst>
                            <a:path w="9936">
                              <a:moveTo>
                                <a:pt x="0" y="0"/>
                              </a:moveTo>
                              <a:lnTo>
                                <a:pt x="9935"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058D9750" id="Freeform 58" o:spid="_x0000_s1026" style="position:absolute;margin-left:54.55pt;margin-top:44.85pt;width:496.8pt;height:.1pt;z-index:-251231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" path="m,l9935,e" filled="f" strokecolor="#221e1f" strokeweight=".17278mm">
                <v:path arrowok="t" o:connecttype="custom" o:connectlocs="0,0;6308725,0" o:connectangles="0,0"/>
                <w10:wrap type="topAndBottom" anchorx="page"/>
              </v:shape>
            </w:pict>
          </mc:Fallback>
        </mc:AlternateContent>
      </w:r>
      <w:r w:rsidRPr="00292532">
        <w:rPr>
          <w:rFonts w:asciiTheme="minorHAnsi" w:eastAsia="Times New Roman" w:hAnsiTheme="minorHAnsi" w:cstheme="minorHAnsi"/>
          <w:b/>
          <w:color w:val="231F20"/>
          <w:lang w:val="pt-PT"/>
        </w:rPr>
        <w:t>7.</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3.</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Breve</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descrição</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da</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tecnologia</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de</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construção</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e</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de</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operação:</w:t>
      </w:r>
    </w:p>
    <w:p w14:paraId="05C03C17" w14:textId="77777777" w:rsidR="00F638C3" w:rsidRPr="00292532" w:rsidRDefault="00F638C3" w:rsidP="00F638C3">
      <w:pPr>
        <w:widowControl w:val="0"/>
        <w:tabs>
          <w:tab w:val="left" w:pos="900"/>
        </w:tabs>
        <w:autoSpaceDE w:val="0"/>
        <w:autoSpaceDN w:val="0"/>
        <w:spacing w:before="0"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noProof/>
          <w:lang w:val="en-US"/>
        </w:rPr>
        <mc:AlternateContent>
          <mc:Choice Requires="wps">
            <w:drawing>
              <wp:anchor distT="0" distB="0" distL="0" distR="0" simplePos="0" relativeHeight="252086272" behindDoc="1" locked="0" layoutInCell="1" allowOverlap="1" wp14:anchorId="3DFE289F" wp14:editId="5A693081">
                <wp:simplePos x="0" y="0"/>
                <wp:positionH relativeFrom="page">
                  <wp:posOffset>692785</wp:posOffset>
                </wp:positionH>
                <wp:positionV relativeFrom="paragraph">
                  <wp:posOffset>137795</wp:posOffset>
                </wp:positionV>
                <wp:extent cx="6315075" cy="1270"/>
                <wp:effectExtent l="0" t="0" r="0" b="0"/>
                <wp:wrapTopAndBottom/>
                <wp:docPr id="377" name="Freeform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613813DA" id="Freeform 57" o:spid="_x0000_s1026" style="position:absolute;margin-left:54.55pt;margin-top:10.85pt;width:497.25pt;height:.1pt;z-index:-251230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87296" behindDoc="1" locked="0" layoutInCell="1" allowOverlap="1" wp14:anchorId="1076AF6A" wp14:editId="34343439">
                <wp:simplePos x="0" y="0"/>
                <wp:positionH relativeFrom="page">
                  <wp:posOffset>692785</wp:posOffset>
                </wp:positionH>
                <wp:positionV relativeFrom="paragraph">
                  <wp:posOffset>290195</wp:posOffset>
                </wp:positionV>
                <wp:extent cx="6315075" cy="1270"/>
                <wp:effectExtent l="0" t="0" r="0" b="0"/>
                <wp:wrapTopAndBottom/>
                <wp:docPr id="378" name="Freeform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0B6FB509" id="Freeform 56" o:spid="_x0000_s1026" style="position:absolute;margin-left:54.55pt;margin-top:22.85pt;width:497.25pt;height:.1pt;z-index:-251229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88320" behindDoc="1" locked="0" layoutInCell="1" allowOverlap="1" wp14:anchorId="51C449D2" wp14:editId="7250D254">
                <wp:simplePos x="0" y="0"/>
                <wp:positionH relativeFrom="page">
                  <wp:posOffset>692785</wp:posOffset>
                </wp:positionH>
                <wp:positionV relativeFrom="paragraph">
                  <wp:posOffset>442595</wp:posOffset>
                </wp:positionV>
                <wp:extent cx="6309360" cy="1270"/>
                <wp:effectExtent l="0" t="0" r="0" b="0"/>
                <wp:wrapTopAndBottom/>
                <wp:docPr id="379" name="Freeform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9360" cy="1270"/>
                        </a:xfrm>
                        <a:custGeom>
                          <a:avLst/>
                          <a:gdLst>
                            <a:gd name="T0" fmla="+- 0 1091 1091"/>
                            <a:gd name="T1" fmla="*/ T0 w 9936"/>
                            <a:gd name="T2" fmla="+- 0 11026 1091"/>
                            <a:gd name="T3" fmla="*/ T2 w 9936"/>
                          </a:gdLst>
                          <a:ahLst/>
                          <a:cxnLst>
                            <a:cxn ang="0">
                              <a:pos x="T1" y="0"/>
                            </a:cxn>
                            <a:cxn ang="0">
                              <a:pos x="T3" y="0"/>
                            </a:cxn>
                          </a:cxnLst>
                          <a:rect l="0" t="0" r="r" b="b"/>
                          <a:pathLst>
                            <a:path w="9936">
                              <a:moveTo>
                                <a:pt x="0" y="0"/>
                              </a:moveTo>
                              <a:lnTo>
                                <a:pt x="9935"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0833F7CB" id="Freeform 55" o:spid="_x0000_s1026" style="position:absolute;margin-left:54.55pt;margin-top:34.85pt;width:496.8pt;height:.1pt;z-index:-251228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" path="m,l9935,e" filled="f" strokecolor="#221e1f" strokeweight=".17278mm">
                <v:path arrowok="t" o:connecttype="custom" o:connectlocs="0,0;6308725,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89344" behindDoc="1" locked="0" layoutInCell="1" allowOverlap="1" wp14:anchorId="21A1E6F0" wp14:editId="5B2559EE">
                <wp:simplePos x="0" y="0"/>
                <wp:positionH relativeFrom="page">
                  <wp:posOffset>692785</wp:posOffset>
                </wp:positionH>
                <wp:positionV relativeFrom="paragraph">
                  <wp:posOffset>594995</wp:posOffset>
                </wp:positionV>
                <wp:extent cx="6219825" cy="1270"/>
                <wp:effectExtent l="0" t="0" r="0" b="0"/>
                <wp:wrapTopAndBottom/>
                <wp:docPr id="380" name="Freeform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19825" cy="1270"/>
                        </a:xfrm>
                        <a:custGeom>
                          <a:avLst/>
                          <a:gdLst>
                            <a:gd name="T0" fmla="+- 0 1091 1091"/>
                            <a:gd name="T1" fmla="*/ T0 w 9795"/>
                            <a:gd name="T2" fmla="+- 0 10886 1091"/>
                            <a:gd name="T3" fmla="*/ T2 w 9795"/>
                          </a:gdLst>
                          <a:ahLst/>
                          <a:cxnLst>
                            <a:cxn ang="0">
                              <a:pos x="T1" y="0"/>
                            </a:cxn>
                            <a:cxn ang="0">
                              <a:pos x="T3" y="0"/>
                            </a:cxn>
                          </a:cxnLst>
                          <a:rect l="0" t="0" r="r" b="b"/>
                          <a:pathLst>
                            <a:path w="9795">
                              <a:moveTo>
                                <a:pt x="0" y="0"/>
                              </a:moveTo>
                              <a:lnTo>
                                <a:pt x="9795"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BC42CB9" id="Freeform 54" o:spid="_x0000_s1026" style="position:absolute;margin-left:54.55pt;margin-top:46.85pt;width:489.75pt;height:.1pt;z-index:-251227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7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" path="m,l9795,e" filled="f" strokecolor="#221e1f" strokeweight=".17278mm">
                <v:path arrowok="t" o:connecttype="custom" o:connectlocs="0,0;6219825,0" o:connectangles="0,0"/>
                <w10:wrap type="topAndBottom" anchorx="page"/>
              </v:shape>
            </w:pict>
          </mc:Fallback>
        </mc:AlternateContent>
      </w:r>
      <w:r w:rsidRPr="00292532">
        <w:rPr>
          <w:rFonts w:asciiTheme="minorHAnsi" w:eastAsia="Times New Roman" w:hAnsiTheme="minorHAnsi" w:cstheme="minorHAnsi"/>
          <w:b/>
          <w:color w:val="231F20"/>
          <w:lang w:val="pt-PT"/>
        </w:rPr>
        <w:t>7.</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4.</w:t>
      </w:r>
      <w:r w:rsidRPr="00292532">
        <w:rPr>
          <w:rFonts w:asciiTheme="minorHAnsi" w:eastAsia="Times New Roman" w:hAnsiTheme="minorHAnsi" w:cstheme="minorHAnsi"/>
          <w:b/>
          <w:color w:val="231F20"/>
          <w:spacing w:val="-12"/>
          <w:lang w:val="pt-PT"/>
        </w:rPr>
        <w:t xml:space="preserve"> </w:t>
      </w:r>
      <w:proofErr w:type="spellStart"/>
      <w:r w:rsidRPr="00292532">
        <w:rPr>
          <w:rFonts w:asciiTheme="minorHAnsi" w:eastAsia="Times New Roman" w:hAnsiTheme="minorHAnsi" w:cstheme="minorHAnsi"/>
          <w:b/>
          <w:color w:val="231F20"/>
          <w:lang w:val="pt-PT"/>
        </w:rPr>
        <w:t>Actividades</w:t>
      </w:r>
      <w:proofErr w:type="spellEnd"/>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principais</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e</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complementares:</w:t>
      </w:r>
    </w:p>
    <w:p w14:paraId="3ACDF641" w14:textId="3405906E" w:rsidR="00F638C3" w:rsidRPr="00292532" w:rsidRDefault="00F638C3" w:rsidP="00F638C3">
      <w:pPr>
        <w:widowControl w:val="0"/>
        <w:tabs>
          <w:tab w:val="left" w:pos="900"/>
        </w:tabs>
        <w:autoSpaceDE w:val="0"/>
        <w:autoSpaceDN w:val="0"/>
        <w:spacing w:before="0"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noProof/>
          <w:lang w:val="en-US"/>
        </w:rPr>
        <mc:AlternateContent>
          <mc:Choice Requires="wps">
            <w:drawing>
              <wp:anchor distT="0" distB="0" distL="0" distR="0" simplePos="0" relativeHeight="252090368" behindDoc="1" locked="0" layoutInCell="1" allowOverlap="1" wp14:anchorId="42F7EA02" wp14:editId="3BD933CE">
                <wp:simplePos x="0" y="0"/>
                <wp:positionH relativeFrom="page">
                  <wp:posOffset>692785</wp:posOffset>
                </wp:positionH>
                <wp:positionV relativeFrom="paragraph">
                  <wp:posOffset>137795</wp:posOffset>
                </wp:positionV>
                <wp:extent cx="6309360" cy="1270"/>
                <wp:effectExtent l="0" t="0" r="0" b="0"/>
                <wp:wrapTopAndBottom/>
                <wp:docPr id="381" name="Freeform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9360" cy="1270"/>
                        </a:xfrm>
                        <a:custGeom>
                          <a:avLst/>
                          <a:gdLst>
                            <a:gd name="T0" fmla="+- 0 1091 1091"/>
                            <a:gd name="T1" fmla="*/ T0 w 9936"/>
                            <a:gd name="T2" fmla="+- 0 11026 1091"/>
                            <a:gd name="T3" fmla="*/ T2 w 9936"/>
                          </a:gdLst>
                          <a:ahLst/>
                          <a:cxnLst>
                            <a:cxn ang="0">
                              <a:pos x="T1" y="0"/>
                            </a:cxn>
                            <a:cxn ang="0">
                              <a:pos x="T3" y="0"/>
                            </a:cxn>
                          </a:cxnLst>
                          <a:rect l="0" t="0" r="r" b="b"/>
                          <a:pathLst>
                            <a:path w="9936">
                              <a:moveTo>
                                <a:pt x="0" y="0"/>
                              </a:moveTo>
                              <a:lnTo>
                                <a:pt x="9935"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23DD1D98" id="Freeform 53" o:spid="_x0000_s1026" style="position:absolute;margin-left:54.55pt;margin-top:10.85pt;width:496.8pt;height:.1pt;z-index:-251226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" path="m,l9935,e" filled="f" strokecolor="#221e1f" strokeweight=".17278mm">
                <v:path arrowok="t" o:connecttype="custom" o:connectlocs="0,0;6308725,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91392" behindDoc="1" locked="0" layoutInCell="1" allowOverlap="1" wp14:anchorId="16A540F4" wp14:editId="5CB97F52">
                <wp:simplePos x="0" y="0"/>
                <wp:positionH relativeFrom="page">
                  <wp:posOffset>692785</wp:posOffset>
                </wp:positionH>
                <wp:positionV relativeFrom="paragraph">
                  <wp:posOffset>290195</wp:posOffset>
                </wp:positionV>
                <wp:extent cx="6316345" cy="1270"/>
                <wp:effectExtent l="0" t="0" r="0" b="0"/>
                <wp:wrapTopAndBottom/>
                <wp:docPr id="382" name="Freeform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6345" cy="1270"/>
                        </a:xfrm>
                        <a:custGeom>
                          <a:avLst/>
                          <a:gdLst>
                            <a:gd name="T0" fmla="+- 0 1091 1091"/>
                            <a:gd name="T1" fmla="*/ T0 w 9947"/>
                            <a:gd name="T2" fmla="+- 0 11037 1091"/>
                            <a:gd name="T3" fmla="*/ T2 w 9947"/>
                          </a:gdLst>
                          <a:ahLst/>
                          <a:cxnLst>
                            <a:cxn ang="0">
                              <a:pos x="T1" y="0"/>
                            </a:cxn>
                            <a:cxn ang="0">
                              <a:pos x="T3" y="0"/>
                            </a:cxn>
                          </a:cxnLst>
                          <a:rect l="0" t="0" r="r" b="b"/>
                          <a:pathLst>
                            <a:path w="9947">
                              <a:moveTo>
                                <a:pt x="0" y="0"/>
                              </a:moveTo>
                              <a:lnTo>
                                <a:pt x="9946"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DCE2D25" id="Freeform 52" o:spid="_x0000_s1026" style="position:absolute;margin-left:54.55pt;margin-top:22.85pt;width:497.35pt;height:.1pt;z-index:-251225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" path="m,l9946,e" filled="f" strokecolor="#221e1f" strokeweight=".17278mm">
                <v:path arrowok="t" o:connecttype="custom" o:connectlocs="0,0;631571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92416" behindDoc="1" locked="0" layoutInCell="1" allowOverlap="1" wp14:anchorId="53564CD9" wp14:editId="30CEF56D">
                <wp:simplePos x="0" y="0"/>
                <wp:positionH relativeFrom="page">
                  <wp:posOffset>692785</wp:posOffset>
                </wp:positionH>
                <wp:positionV relativeFrom="paragraph">
                  <wp:posOffset>442595</wp:posOffset>
                </wp:positionV>
                <wp:extent cx="6316345" cy="1270"/>
                <wp:effectExtent l="0" t="0" r="0" b="0"/>
                <wp:wrapTopAndBottom/>
                <wp:docPr id="383" name="Freeform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6345" cy="1270"/>
                        </a:xfrm>
                        <a:custGeom>
                          <a:avLst/>
                          <a:gdLst>
                            <a:gd name="T0" fmla="+- 0 1091 1091"/>
                            <a:gd name="T1" fmla="*/ T0 w 9947"/>
                            <a:gd name="T2" fmla="+- 0 11037 1091"/>
                            <a:gd name="T3" fmla="*/ T2 w 9947"/>
                          </a:gdLst>
                          <a:ahLst/>
                          <a:cxnLst>
                            <a:cxn ang="0">
                              <a:pos x="T1" y="0"/>
                            </a:cxn>
                            <a:cxn ang="0">
                              <a:pos x="T3" y="0"/>
                            </a:cxn>
                          </a:cxnLst>
                          <a:rect l="0" t="0" r="r" b="b"/>
                          <a:pathLst>
                            <a:path w="9947">
                              <a:moveTo>
                                <a:pt x="0" y="0"/>
                              </a:moveTo>
                              <a:lnTo>
                                <a:pt x="9946"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23E62F6D" id="Freeform 51" o:spid="_x0000_s1026" style="position:absolute;margin-left:54.55pt;margin-top:34.85pt;width:497.35pt;height:.1pt;z-index:-251224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" path="m,l9946,e" filled="f" strokecolor="#221e1f" strokeweight=".17278mm">
                <v:path arrowok="t" o:connecttype="custom" o:connectlocs="0,0;631571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93440" behindDoc="1" locked="0" layoutInCell="1" allowOverlap="1" wp14:anchorId="0EAA3336" wp14:editId="327B6593">
                <wp:simplePos x="0" y="0"/>
                <wp:positionH relativeFrom="page">
                  <wp:posOffset>692785</wp:posOffset>
                </wp:positionH>
                <wp:positionV relativeFrom="paragraph">
                  <wp:posOffset>594995</wp:posOffset>
                </wp:positionV>
                <wp:extent cx="6309360" cy="1270"/>
                <wp:effectExtent l="0" t="0" r="0" b="0"/>
                <wp:wrapTopAndBottom/>
                <wp:docPr id="208" name="Freeform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9360" cy="1270"/>
                        </a:xfrm>
                        <a:custGeom>
                          <a:avLst/>
                          <a:gdLst>
                            <a:gd name="T0" fmla="+- 0 1091 1091"/>
                            <a:gd name="T1" fmla="*/ T0 w 9936"/>
                            <a:gd name="T2" fmla="+- 0 11026 1091"/>
                            <a:gd name="T3" fmla="*/ T2 w 9936"/>
                          </a:gdLst>
                          <a:ahLst/>
                          <a:cxnLst>
                            <a:cxn ang="0">
                              <a:pos x="T1" y="0"/>
                            </a:cxn>
                            <a:cxn ang="0">
                              <a:pos x="T3" y="0"/>
                            </a:cxn>
                          </a:cxnLst>
                          <a:rect l="0" t="0" r="r" b="b"/>
                          <a:pathLst>
                            <a:path w="9936">
                              <a:moveTo>
                                <a:pt x="0" y="0"/>
                              </a:moveTo>
                              <a:lnTo>
                                <a:pt x="9935"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6311F199" id="Freeform 50" o:spid="_x0000_s1026" style="position:absolute;margin-left:54.55pt;margin-top:46.85pt;width:496.8pt;height:.1pt;z-index:-251223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" path="m,l9935,e" filled="f" strokecolor="#221e1f" strokeweight=".17278mm">
                <v:path arrowok="t" o:connecttype="custom" o:connectlocs="0,0;6308725,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94464" behindDoc="1" locked="0" layoutInCell="1" allowOverlap="1" wp14:anchorId="42F492C4" wp14:editId="3BAF454A">
                <wp:simplePos x="0" y="0"/>
                <wp:positionH relativeFrom="page">
                  <wp:posOffset>692785</wp:posOffset>
                </wp:positionH>
                <wp:positionV relativeFrom="paragraph">
                  <wp:posOffset>747395</wp:posOffset>
                </wp:positionV>
                <wp:extent cx="6309360" cy="1270"/>
                <wp:effectExtent l="0" t="0" r="0" b="0"/>
                <wp:wrapTopAndBottom/>
                <wp:docPr id="384" name="Freeform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9360" cy="1270"/>
                        </a:xfrm>
                        <a:custGeom>
                          <a:avLst/>
                          <a:gdLst>
                            <a:gd name="T0" fmla="+- 0 1091 1091"/>
                            <a:gd name="T1" fmla="*/ T0 w 9936"/>
                            <a:gd name="T2" fmla="+- 0 11026 1091"/>
                            <a:gd name="T3" fmla="*/ T2 w 9936"/>
                          </a:gdLst>
                          <a:ahLst/>
                          <a:cxnLst>
                            <a:cxn ang="0">
                              <a:pos x="T1" y="0"/>
                            </a:cxn>
                            <a:cxn ang="0">
                              <a:pos x="T3" y="0"/>
                            </a:cxn>
                          </a:cxnLst>
                          <a:rect l="0" t="0" r="r" b="b"/>
                          <a:pathLst>
                            <a:path w="9936">
                              <a:moveTo>
                                <a:pt x="0" y="0"/>
                              </a:moveTo>
                              <a:lnTo>
                                <a:pt x="9935"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97DF051" id="Freeform 49" o:spid="_x0000_s1026" style="position:absolute;margin-left:54.55pt;margin-top:58.85pt;width:496.8pt;height:.1pt;z-index:-251222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" path="m,l9935,e" filled="f" strokecolor="#221e1f" strokeweight=".17278mm">
                <v:path arrowok="t" o:connecttype="custom" o:connectlocs="0,0;6308725,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95488" behindDoc="1" locked="0" layoutInCell="1" allowOverlap="1" wp14:anchorId="4E020ACA" wp14:editId="3F64B83B">
                <wp:simplePos x="0" y="0"/>
                <wp:positionH relativeFrom="page">
                  <wp:posOffset>692785</wp:posOffset>
                </wp:positionH>
                <wp:positionV relativeFrom="paragraph">
                  <wp:posOffset>899160</wp:posOffset>
                </wp:positionV>
                <wp:extent cx="6309360" cy="1270"/>
                <wp:effectExtent l="0" t="0" r="0" b="0"/>
                <wp:wrapTopAndBottom/>
                <wp:docPr id="385" name="Freeform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9360" cy="1270"/>
                        </a:xfrm>
                        <a:custGeom>
                          <a:avLst/>
                          <a:gdLst>
                            <a:gd name="T0" fmla="+- 0 1091 1091"/>
                            <a:gd name="T1" fmla="*/ T0 w 9936"/>
                            <a:gd name="T2" fmla="+- 0 11026 1091"/>
                            <a:gd name="T3" fmla="*/ T2 w 9936"/>
                          </a:gdLst>
                          <a:ahLst/>
                          <a:cxnLst>
                            <a:cxn ang="0">
                              <a:pos x="T1" y="0"/>
                            </a:cxn>
                            <a:cxn ang="0">
                              <a:pos x="T3" y="0"/>
                            </a:cxn>
                          </a:cxnLst>
                          <a:rect l="0" t="0" r="r" b="b"/>
                          <a:pathLst>
                            <a:path w="9936">
                              <a:moveTo>
                                <a:pt x="0" y="0"/>
                              </a:moveTo>
                              <a:lnTo>
                                <a:pt x="9935"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4312DD0" id="Freeform 48" o:spid="_x0000_s1026" style="position:absolute;margin-left:54.55pt;margin-top:70.8pt;width:496.8pt;height:.1pt;z-index:-251220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" path="m,l9935,e" filled="f" strokecolor="#221e1f" strokeweight=".17278mm">
                <v:path arrowok="t" o:connecttype="custom" o:connectlocs="0,0;6308725,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96512" behindDoc="1" locked="0" layoutInCell="1" allowOverlap="1" wp14:anchorId="15FC88E7" wp14:editId="141CB4C0">
                <wp:simplePos x="0" y="0"/>
                <wp:positionH relativeFrom="page">
                  <wp:posOffset>692785</wp:posOffset>
                </wp:positionH>
                <wp:positionV relativeFrom="paragraph">
                  <wp:posOffset>1051560</wp:posOffset>
                </wp:positionV>
                <wp:extent cx="6315075" cy="1270"/>
                <wp:effectExtent l="0" t="0" r="0" b="0"/>
                <wp:wrapTopAndBottom/>
                <wp:docPr id="386" name="Freeform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BC54F55" id="Freeform 47" o:spid="_x0000_s1026" style="position:absolute;margin-left:54.55pt;margin-top:82.8pt;width:497.25pt;height:.1pt;z-index:-251219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" path="m,l9944,e" filled="f" strokecolor="#221e1f" strokeweight=".17278mm">
                <v:path arrowok="t" o:connecttype="custom" o:connectlocs="0,0;6314440,0" o:connectangles="0,0"/>
                <w10:wrap type="topAndBottom" anchorx="page"/>
              </v:shape>
            </w:pict>
          </mc:Fallback>
        </mc:AlternateContent>
      </w:r>
    </w:p>
    <w:p w14:paraId="0A6CE26D" w14:textId="77777777" w:rsidR="00F638C3" w:rsidRPr="00292532" w:rsidRDefault="00F638C3" w:rsidP="00F638C3">
      <w:pPr>
        <w:widowControl w:val="0"/>
        <w:tabs>
          <w:tab w:val="left" w:pos="900"/>
        </w:tabs>
        <w:autoSpaceDE w:val="0"/>
        <w:autoSpaceDN w:val="0"/>
        <w:spacing w:before="112"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7.</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5.</w:t>
      </w:r>
      <w:r w:rsidRPr="00292532">
        <w:rPr>
          <w:rFonts w:asciiTheme="minorHAnsi" w:eastAsia="Times New Roman" w:hAnsiTheme="minorHAnsi" w:cstheme="minorHAnsi"/>
          <w:b/>
          <w:color w:val="231F20"/>
          <w:spacing w:val="-4"/>
          <w:lang w:val="pt-PT"/>
        </w:rPr>
        <w:t xml:space="preserve"> </w:t>
      </w:r>
      <w:r w:rsidRPr="00292532">
        <w:rPr>
          <w:rFonts w:asciiTheme="minorHAnsi" w:eastAsia="Times New Roman" w:hAnsiTheme="minorHAnsi" w:cstheme="minorHAnsi"/>
          <w:b/>
          <w:color w:val="231F20"/>
          <w:lang w:val="pt-PT"/>
        </w:rPr>
        <w:t>Tipo,</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origem</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e</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quantidade</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da</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mão-de-obra</w:t>
      </w:r>
    </w:p>
    <w:p w14:paraId="0E3715AA" w14:textId="49097FD6" w:rsidR="00F638C3" w:rsidRPr="00292532" w:rsidRDefault="00F638C3" w:rsidP="00F638C3">
      <w:pPr>
        <w:widowControl w:val="0"/>
        <w:tabs>
          <w:tab w:val="left" w:pos="900"/>
        </w:tabs>
        <w:autoSpaceDE w:val="0"/>
        <w:autoSpaceDN w:val="0"/>
        <w:spacing w:before="10"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noProof/>
          <w:lang w:val="en-US"/>
        </w:rPr>
        <mc:AlternateContent>
          <mc:Choice Requires="wps">
            <w:drawing>
              <wp:anchor distT="0" distB="0" distL="0" distR="0" simplePos="0" relativeHeight="252097536" behindDoc="1" locked="0" layoutInCell="1" allowOverlap="1" wp14:anchorId="2C4EF162" wp14:editId="6B8F08F3">
                <wp:simplePos x="0" y="0"/>
                <wp:positionH relativeFrom="page">
                  <wp:posOffset>692785</wp:posOffset>
                </wp:positionH>
                <wp:positionV relativeFrom="paragraph">
                  <wp:posOffset>209550</wp:posOffset>
                </wp:positionV>
                <wp:extent cx="6319520" cy="1270"/>
                <wp:effectExtent l="0" t="0" r="0" b="0"/>
                <wp:wrapTopAndBottom/>
                <wp:docPr id="387" name="Freeform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9520" cy="1270"/>
                        </a:xfrm>
                        <a:custGeom>
                          <a:avLst/>
                          <a:gdLst>
                            <a:gd name="T0" fmla="+- 0 1091 1091"/>
                            <a:gd name="T1" fmla="*/ T0 w 9952"/>
                            <a:gd name="T2" fmla="+- 0 11043 1091"/>
                            <a:gd name="T3" fmla="*/ T2 w 9952"/>
                          </a:gdLst>
                          <a:ahLst/>
                          <a:cxnLst>
                            <a:cxn ang="0">
                              <a:pos x="T1" y="0"/>
                            </a:cxn>
                            <a:cxn ang="0">
                              <a:pos x="T3" y="0"/>
                            </a:cxn>
                          </a:cxnLst>
                          <a:rect l="0" t="0" r="r" b="b"/>
                          <a:pathLst>
                            <a:path w="9952">
                              <a:moveTo>
                                <a:pt x="0" y="0"/>
                              </a:moveTo>
                              <a:lnTo>
                                <a:pt x="9952"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2B7FD903" id="Freeform 46" o:spid="_x0000_s1026" style="position:absolute;margin-left:54.55pt;margin-top:16.5pt;width:497.6pt;height:.1pt;z-index:-251218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" path="m,l9952,e" filled="f" strokecolor="#221e1f" strokeweight=".17278mm">
                <v:path arrowok="t" o:connecttype="custom" o:connectlocs="0,0;631952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98560" behindDoc="1" locked="0" layoutInCell="1" allowOverlap="1" wp14:anchorId="69575600" wp14:editId="568B246D">
                <wp:simplePos x="0" y="0"/>
                <wp:positionH relativeFrom="page">
                  <wp:posOffset>692785</wp:posOffset>
                </wp:positionH>
                <wp:positionV relativeFrom="paragraph">
                  <wp:posOffset>361950</wp:posOffset>
                </wp:positionV>
                <wp:extent cx="6315075" cy="1270"/>
                <wp:effectExtent l="0" t="0" r="0" b="0"/>
                <wp:wrapTopAndBottom/>
                <wp:docPr id="388" name="Freeform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391CE1A" id="Freeform 45" o:spid="_x0000_s1026" style="position:absolute;margin-left:54.55pt;margin-top:28.5pt;width:497.25pt;height:.1pt;z-index:-251217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099584" behindDoc="1" locked="0" layoutInCell="1" allowOverlap="1" wp14:anchorId="33014F0D" wp14:editId="54427D50">
                <wp:simplePos x="0" y="0"/>
                <wp:positionH relativeFrom="page">
                  <wp:posOffset>692785</wp:posOffset>
                </wp:positionH>
                <wp:positionV relativeFrom="paragraph">
                  <wp:posOffset>514350</wp:posOffset>
                </wp:positionV>
                <wp:extent cx="6315075" cy="1270"/>
                <wp:effectExtent l="0" t="0" r="0" b="0"/>
                <wp:wrapTopAndBottom/>
                <wp:docPr id="389" name="Freeform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8D59F4F" id="Freeform 44" o:spid="_x0000_s1026" style="position:absolute;margin-left:54.55pt;margin-top:40.5pt;width:497.25pt;height:.1pt;z-index:-251216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00608" behindDoc="1" locked="0" layoutInCell="1" allowOverlap="1" wp14:anchorId="15CE4CDE" wp14:editId="26679C38">
                <wp:simplePos x="0" y="0"/>
                <wp:positionH relativeFrom="page">
                  <wp:posOffset>692785</wp:posOffset>
                </wp:positionH>
                <wp:positionV relativeFrom="paragraph">
                  <wp:posOffset>666750</wp:posOffset>
                </wp:positionV>
                <wp:extent cx="6315075" cy="1270"/>
                <wp:effectExtent l="0" t="0" r="0" b="0"/>
                <wp:wrapTopAndBottom/>
                <wp:docPr id="390" name="Freeform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2393C1FF" id="Freeform 43" o:spid="_x0000_s1026" style="position:absolute;margin-left:54.55pt;margin-top:52.5pt;width:497.25pt;height:.1pt;z-index:-251215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" path="m,l9944,e" filled="f" strokecolor="#221e1f" strokeweight=".17278mm">
                <v:path arrowok="t" o:connecttype="custom" o:connectlocs="0,0;6314440,0" o:connectangles="0,0"/>
                <w10:wrap type="topAndBottom" anchorx="page"/>
              </v:shape>
            </w:pict>
          </mc:Fallback>
        </mc:AlternateContent>
      </w:r>
    </w:p>
    <w:p w14:paraId="7246D8B9" w14:textId="77777777" w:rsidR="00F638C3" w:rsidRPr="00292532" w:rsidRDefault="00F638C3" w:rsidP="00F638C3">
      <w:pPr>
        <w:widowControl w:val="0"/>
        <w:tabs>
          <w:tab w:val="left" w:pos="900"/>
        </w:tabs>
        <w:autoSpaceDE w:val="0"/>
        <w:autoSpaceDN w:val="0"/>
        <w:spacing w:before="0" w:after="0"/>
        <w:ind w:left="900" w:right="970"/>
        <w:jc w:val="left"/>
        <w:rPr>
          <w:rFonts w:asciiTheme="minorHAnsi" w:eastAsia="Times New Roman" w:hAnsiTheme="minorHAnsi" w:cstheme="minorHAnsi"/>
          <w:b/>
          <w:lang w:val="pt-PT"/>
        </w:rPr>
      </w:pPr>
    </w:p>
    <w:p w14:paraId="22F5135D" w14:textId="77777777" w:rsidR="00F638C3" w:rsidRPr="00292532" w:rsidRDefault="00F638C3" w:rsidP="00F638C3">
      <w:pPr>
        <w:widowControl w:val="0"/>
        <w:tabs>
          <w:tab w:val="left" w:pos="900"/>
        </w:tabs>
        <w:autoSpaceDE w:val="0"/>
        <w:autoSpaceDN w:val="0"/>
        <w:spacing w:before="169"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7.</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6.</w:t>
      </w:r>
      <w:r w:rsidRPr="00292532">
        <w:rPr>
          <w:rFonts w:asciiTheme="minorHAnsi" w:eastAsia="Times New Roman" w:hAnsiTheme="minorHAnsi" w:cstheme="minorHAnsi"/>
          <w:b/>
          <w:color w:val="231F20"/>
          <w:spacing w:val="-5"/>
          <w:lang w:val="pt-PT"/>
        </w:rPr>
        <w:t xml:space="preserve"> </w:t>
      </w:r>
      <w:r w:rsidRPr="00292532">
        <w:rPr>
          <w:rFonts w:asciiTheme="minorHAnsi" w:eastAsia="Times New Roman" w:hAnsiTheme="minorHAnsi" w:cstheme="minorHAnsi"/>
          <w:b/>
          <w:color w:val="231F20"/>
          <w:lang w:val="pt-PT"/>
        </w:rPr>
        <w:t>Tipo,</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origem</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e</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quantidade</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de</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matéria-prima</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e</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sua</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proveniência:</w:t>
      </w:r>
    </w:p>
    <w:p w14:paraId="2EF4AED4" w14:textId="2772E05D" w:rsidR="00F638C3" w:rsidRPr="00292532" w:rsidRDefault="00F638C3" w:rsidP="00F638C3">
      <w:pPr>
        <w:widowControl w:val="0"/>
        <w:tabs>
          <w:tab w:val="left" w:pos="900"/>
        </w:tabs>
        <w:autoSpaceDE w:val="0"/>
        <w:autoSpaceDN w:val="0"/>
        <w:spacing w:before="0"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noProof/>
          <w:lang w:val="en-US"/>
        </w:rPr>
        <mc:AlternateContent>
          <mc:Choice Requires="wps">
            <w:drawing>
              <wp:anchor distT="0" distB="0" distL="0" distR="0" simplePos="0" relativeHeight="252101632" behindDoc="1" locked="0" layoutInCell="1" allowOverlap="1" wp14:anchorId="6FE0D354" wp14:editId="1F182631">
                <wp:simplePos x="0" y="0"/>
                <wp:positionH relativeFrom="page">
                  <wp:posOffset>692785</wp:posOffset>
                </wp:positionH>
                <wp:positionV relativeFrom="paragraph">
                  <wp:posOffset>137795</wp:posOffset>
                </wp:positionV>
                <wp:extent cx="6315075" cy="1270"/>
                <wp:effectExtent l="0" t="0" r="0" b="0"/>
                <wp:wrapTopAndBottom/>
                <wp:docPr id="391"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47A8A46D" id="Freeform 42" o:spid="_x0000_s1026" style="position:absolute;margin-left:54.55pt;margin-top:10.85pt;width:497.25pt;height:.1pt;z-index:-251214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02656" behindDoc="1" locked="0" layoutInCell="1" allowOverlap="1" wp14:anchorId="7C7DF632" wp14:editId="075AD88C">
                <wp:simplePos x="0" y="0"/>
                <wp:positionH relativeFrom="page">
                  <wp:posOffset>692785</wp:posOffset>
                </wp:positionH>
                <wp:positionV relativeFrom="paragraph">
                  <wp:posOffset>290195</wp:posOffset>
                </wp:positionV>
                <wp:extent cx="6315075" cy="1270"/>
                <wp:effectExtent l="0" t="0" r="0" b="0"/>
                <wp:wrapTopAndBottom/>
                <wp:docPr id="392" name="Freeform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0D0AE79" id="Freeform 41" o:spid="_x0000_s1026" style="position:absolute;margin-left:54.55pt;margin-top:22.85pt;width:497.25pt;height:.1pt;z-index:-251213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03680" behindDoc="1" locked="0" layoutInCell="1" allowOverlap="1" wp14:anchorId="43323A6B" wp14:editId="78F7E040">
                <wp:simplePos x="0" y="0"/>
                <wp:positionH relativeFrom="page">
                  <wp:posOffset>692785</wp:posOffset>
                </wp:positionH>
                <wp:positionV relativeFrom="paragraph">
                  <wp:posOffset>441960</wp:posOffset>
                </wp:positionV>
                <wp:extent cx="6315075" cy="1270"/>
                <wp:effectExtent l="0" t="0" r="0" b="0"/>
                <wp:wrapTopAndBottom/>
                <wp:docPr id="393" name="Freeform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5484B88F" id="Freeform 40" o:spid="_x0000_s1026" style="position:absolute;margin-left:54.55pt;margin-top:34.8pt;width:497.25pt;height:.1pt;z-index:-251212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04704" behindDoc="1" locked="0" layoutInCell="1" allowOverlap="1" wp14:anchorId="5862FF18" wp14:editId="68E121B2">
                <wp:simplePos x="0" y="0"/>
                <wp:positionH relativeFrom="page">
                  <wp:posOffset>692785</wp:posOffset>
                </wp:positionH>
                <wp:positionV relativeFrom="paragraph">
                  <wp:posOffset>594360</wp:posOffset>
                </wp:positionV>
                <wp:extent cx="6309360" cy="1270"/>
                <wp:effectExtent l="0" t="0" r="0" b="0"/>
                <wp:wrapTopAndBottom/>
                <wp:docPr id="394" name="Freeform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9360" cy="1270"/>
                        </a:xfrm>
                        <a:custGeom>
                          <a:avLst/>
                          <a:gdLst>
                            <a:gd name="T0" fmla="+- 0 1091 1091"/>
                            <a:gd name="T1" fmla="*/ T0 w 9936"/>
                            <a:gd name="T2" fmla="+- 0 11026 1091"/>
                            <a:gd name="T3" fmla="*/ T2 w 9936"/>
                          </a:gdLst>
                          <a:ahLst/>
                          <a:cxnLst>
                            <a:cxn ang="0">
                              <a:pos x="T1" y="0"/>
                            </a:cxn>
                            <a:cxn ang="0">
                              <a:pos x="T3" y="0"/>
                            </a:cxn>
                          </a:cxnLst>
                          <a:rect l="0" t="0" r="r" b="b"/>
                          <a:pathLst>
                            <a:path w="9936">
                              <a:moveTo>
                                <a:pt x="0" y="0"/>
                              </a:moveTo>
                              <a:lnTo>
                                <a:pt x="9935"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2E0E1EA9" id="Freeform 39" o:spid="_x0000_s1026" style="position:absolute;margin-left:54.55pt;margin-top:46.8pt;width:496.8pt;height:.1pt;z-index:-251211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" path="m,l9935,e" filled="f" strokecolor="#221e1f" strokeweight=".17278mm">
                <v:path arrowok="t" o:connecttype="custom" o:connectlocs="0,0;6308725,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05728" behindDoc="1" locked="0" layoutInCell="1" allowOverlap="1" wp14:anchorId="1FD68BAC" wp14:editId="04B90F71">
                <wp:simplePos x="0" y="0"/>
                <wp:positionH relativeFrom="page">
                  <wp:posOffset>692785</wp:posOffset>
                </wp:positionH>
                <wp:positionV relativeFrom="paragraph">
                  <wp:posOffset>746760</wp:posOffset>
                </wp:positionV>
                <wp:extent cx="6309360" cy="1270"/>
                <wp:effectExtent l="0" t="0" r="0" b="0"/>
                <wp:wrapTopAndBottom/>
                <wp:docPr id="395" name="Freeform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9360" cy="1270"/>
                        </a:xfrm>
                        <a:custGeom>
                          <a:avLst/>
                          <a:gdLst>
                            <a:gd name="T0" fmla="+- 0 1091 1091"/>
                            <a:gd name="T1" fmla="*/ T0 w 9936"/>
                            <a:gd name="T2" fmla="+- 0 11026 1091"/>
                            <a:gd name="T3" fmla="*/ T2 w 9936"/>
                          </a:gdLst>
                          <a:ahLst/>
                          <a:cxnLst>
                            <a:cxn ang="0">
                              <a:pos x="T1" y="0"/>
                            </a:cxn>
                            <a:cxn ang="0">
                              <a:pos x="T3" y="0"/>
                            </a:cxn>
                          </a:cxnLst>
                          <a:rect l="0" t="0" r="r" b="b"/>
                          <a:pathLst>
                            <a:path w="9936">
                              <a:moveTo>
                                <a:pt x="0" y="0"/>
                              </a:moveTo>
                              <a:lnTo>
                                <a:pt x="9935"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92E3CB7" id="Freeform 38" o:spid="_x0000_s1026" style="position:absolute;margin-left:54.55pt;margin-top:58.8pt;width:496.8pt;height:.1pt;z-index:-251210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" path="m,l9935,e" filled="f" strokecolor="#221e1f" strokeweight=".17278mm">
                <v:path arrowok="t" o:connecttype="custom" o:connectlocs="0,0;6308725,0" o:connectangles="0,0"/>
                <w10:wrap type="topAndBottom" anchorx="page"/>
              </v:shape>
            </w:pict>
          </mc:Fallback>
        </mc:AlternateContent>
      </w:r>
    </w:p>
    <w:p w14:paraId="7BE3BEE6" w14:textId="77777777" w:rsidR="00F638C3" w:rsidRPr="00292532" w:rsidRDefault="00F638C3" w:rsidP="00F638C3">
      <w:pPr>
        <w:widowControl w:val="0"/>
        <w:tabs>
          <w:tab w:val="left" w:pos="900"/>
        </w:tabs>
        <w:autoSpaceDE w:val="0"/>
        <w:autoSpaceDN w:val="0"/>
        <w:spacing w:before="67"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7.</w:t>
      </w:r>
      <w:r w:rsidRPr="00292532">
        <w:rPr>
          <w:rFonts w:asciiTheme="minorHAnsi" w:eastAsia="Times New Roman" w:hAnsiTheme="minorHAnsi" w:cstheme="minorHAnsi"/>
          <w:b/>
          <w:color w:val="231F20"/>
          <w:spacing w:val="-8"/>
          <w:lang w:val="pt-PT"/>
        </w:rPr>
        <w:t xml:space="preserve"> </w:t>
      </w:r>
      <w:r w:rsidRPr="00292532">
        <w:rPr>
          <w:rFonts w:asciiTheme="minorHAnsi" w:eastAsia="Times New Roman" w:hAnsiTheme="minorHAnsi" w:cstheme="minorHAnsi"/>
          <w:b/>
          <w:color w:val="231F20"/>
          <w:lang w:val="pt-PT"/>
        </w:rPr>
        <w:t>7.</w:t>
      </w:r>
      <w:r w:rsidRPr="00292532">
        <w:rPr>
          <w:rFonts w:asciiTheme="minorHAnsi" w:eastAsia="Times New Roman" w:hAnsiTheme="minorHAnsi" w:cstheme="minorHAnsi"/>
          <w:b/>
          <w:color w:val="231F20"/>
          <w:spacing w:val="-7"/>
          <w:lang w:val="pt-PT"/>
        </w:rPr>
        <w:t xml:space="preserve"> </w:t>
      </w:r>
      <w:r w:rsidRPr="00292532">
        <w:rPr>
          <w:rFonts w:asciiTheme="minorHAnsi" w:eastAsia="Times New Roman" w:hAnsiTheme="minorHAnsi" w:cstheme="minorHAnsi"/>
          <w:b/>
          <w:color w:val="231F20"/>
          <w:lang w:val="pt-PT"/>
        </w:rPr>
        <w:t>Produtos</w:t>
      </w:r>
      <w:r w:rsidRPr="00292532">
        <w:rPr>
          <w:rFonts w:asciiTheme="minorHAnsi" w:eastAsia="Times New Roman" w:hAnsiTheme="minorHAnsi" w:cstheme="minorHAnsi"/>
          <w:b/>
          <w:color w:val="231F20"/>
          <w:spacing w:val="-7"/>
          <w:lang w:val="pt-PT"/>
        </w:rPr>
        <w:t xml:space="preserve"> </w:t>
      </w:r>
      <w:r w:rsidRPr="00292532">
        <w:rPr>
          <w:rFonts w:asciiTheme="minorHAnsi" w:eastAsia="Times New Roman" w:hAnsiTheme="minorHAnsi" w:cstheme="minorHAnsi"/>
          <w:b/>
          <w:color w:val="231F20"/>
          <w:lang w:val="pt-PT"/>
        </w:rPr>
        <w:t>químicos</w:t>
      </w:r>
      <w:r w:rsidRPr="00292532">
        <w:rPr>
          <w:rFonts w:asciiTheme="minorHAnsi" w:eastAsia="Times New Roman" w:hAnsiTheme="minorHAnsi" w:cstheme="minorHAnsi"/>
          <w:b/>
          <w:color w:val="231F20"/>
          <w:spacing w:val="-7"/>
          <w:lang w:val="pt-PT"/>
        </w:rPr>
        <w:t xml:space="preserve"> </w:t>
      </w:r>
      <w:r w:rsidRPr="00292532">
        <w:rPr>
          <w:rFonts w:asciiTheme="minorHAnsi" w:eastAsia="Times New Roman" w:hAnsiTheme="minorHAnsi" w:cstheme="minorHAnsi"/>
          <w:b/>
          <w:color w:val="231F20"/>
          <w:lang w:val="pt-PT"/>
        </w:rPr>
        <w:t>citados</w:t>
      </w:r>
      <w:r w:rsidRPr="00292532">
        <w:rPr>
          <w:rFonts w:asciiTheme="minorHAnsi" w:eastAsia="Times New Roman" w:hAnsiTheme="minorHAnsi" w:cstheme="minorHAnsi"/>
          <w:b/>
          <w:color w:val="231F20"/>
          <w:spacing w:val="-7"/>
          <w:lang w:val="pt-PT"/>
        </w:rPr>
        <w:t xml:space="preserve"> </w:t>
      </w:r>
      <w:r w:rsidRPr="00292532">
        <w:rPr>
          <w:rFonts w:asciiTheme="minorHAnsi" w:eastAsia="Times New Roman" w:hAnsiTheme="minorHAnsi" w:cstheme="minorHAnsi"/>
          <w:b/>
          <w:color w:val="231F20"/>
          <w:lang w:val="pt-PT"/>
        </w:rPr>
        <w:t>cientificamente</w:t>
      </w:r>
      <w:r w:rsidRPr="00292532">
        <w:rPr>
          <w:rFonts w:asciiTheme="minorHAnsi" w:eastAsia="Times New Roman" w:hAnsiTheme="minorHAnsi" w:cstheme="minorHAnsi"/>
          <w:b/>
          <w:color w:val="231F20"/>
          <w:spacing w:val="-7"/>
          <w:lang w:val="pt-PT"/>
        </w:rPr>
        <w:t xml:space="preserve"> </w:t>
      </w:r>
      <w:r w:rsidRPr="00292532">
        <w:rPr>
          <w:rFonts w:asciiTheme="minorHAnsi" w:eastAsia="Times New Roman" w:hAnsiTheme="minorHAnsi" w:cstheme="minorHAnsi"/>
          <w:b/>
          <w:color w:val="231F20"/>
          <w:lang w:val="pt-PT"/>
        </w:rPr>
        <w:t>a</w:t>
      </w:r>
      <w:r w:rsidRPr="00292532">
        <w:rPr>
          <w:rFonts w:asciiTheme="minorHAnsi" w:eastAsia="Times New Roman" w:hAnsiTheme="minorHAnsi" w:cstheme="minorHAnsi"/>
          <w:b/>
          <w:color w:val="231F20"/>
          <w:spacing w:val="-7"/>
          <w:lang w:val="pt-PT"/>
        </w:rPr>
        <w:t xml:space="preserve"> </w:t>
      </w:r>
      <w:r w:rsidRPr="00292532">
        <w:rPr>
          <w:rFonts w:asciiTheme="minorHAnsi" w:eastAsia="Times New Roman" w:hAnsiTheme="minorHAnsi" w:cstheme="minorHAnsi"/>
          <w:b/>
          <w:color w:val="231F20"/>
          <w:lang w:val="pt-PT"/>
        </w:rPr>
        <w:t>serem</w:t>
      </w:r>
      <w:r w:rsidRPr="00292532">
        <w:rPr>
          <w:rFonts w:asciiTheme="minorHAnsi" w:eastAsia="Times New Roman" w:hAnsiTheme="minorHAnsi" w:cstheme="minorHAnsi"/>
          <w:b/>
          <w:color w:val="231F20"/>
          <w:spacing w:val="-7"/>
          <w:lang w:val="pt-PT"/>
        </w:rPr>
        <w:t xml:space="preserve"> </w:t>
      </w:r>
      <w:r w:rsidRPr="00292532">
        <w:rPr>
          <w:rFonts w:asciiTheme="minorHAnsi" w:eastAsia="Times New Roman" w:hAnsiTheme="minorHAnsi" w:cstheme="minorHAnsi"/>
          <w:b/>
          <w:color w:val="231F20"/>
          <w:lang w:val="pt-PT"/>
        </w:rPr>
        <w:t>usados:</w:t>
      </w:r>
      <w:r w:rsidRPr="00292532">
        <w:rPr>
          <w:rFonts w:asciiTheme="minorHAnsi" w:eastAsia="Times New Roman" w:hAnsiTheme="minorHAnsi" w:cstheme="minorHAnsi"/>
          <w:b/>
          <w:color w:val="231F20"/>
          <w:spacing w:val="-7"/>
          <w:lang w:val="pt-PT"/>
        </w:rPr>
        <w:t xml:space="preserve"> </w:t>
      </w:r>
      <w:r w:rsidRPr="00292532">
        <w:rPr>
          <w:rFonts w:asciiTheme="minorHAnsi" w:eastAsia="Times New Roman" w:hAnsiTheme="minorHAnsi" w:cstheme="minorHAnsi"/>
          <w:b/>
          <w:color w:val="231F20"/>
          <w:lang w:val="pt-PT"/>
        </w:rPr>
        <w:t>(caso</w:t>
      </w:r>
      <w:r w:rsidRPr="00292532">
        <w:rPr>
          <w:rFonts w:asciiTheme="minorHAnsi" w:eastAsia="Times New Roman" w:hAnsiTheme="minorHAnsi" w:cstheme="minorHAnsi"/>
          <w:b/>
          <w:color w:val="231F20"/>
          <w:spacing w:val="-8"/>
          <w:lang w:val="pt-PT"/>
        </w:rPr>
        <w:t xml:space="preserve"> </w:t>
      </w:r>
      <w:r w:rsidRPr="00292532">
        <w:rPr>
          <w:rFonts w:asciiTheme="minorHAnsi" w:eastAsia="Times New Roman" w:hAnsiTheme="minorHAnsi" w:cstheme="minorHAnsi"/>
          <w:b/>
          <w:color w:val="231F20"/>
          <w:lang w:val="pt-PT"/>
        </w:rPr>
        <w:t>a</w:t>
      </w:r>
      <w:r w:rsidRPr="00292532">
        <w:rPr>
          <w:rFonts w:asciiTheme="minorHAnsi" w:eastAsia="Times New Roman" w:hAnsiTheme="minorHAnsi" w:cstheme="minorHAnsi"/>
          <w:b/>
          <w:color w:val="231F20"/>
          <w:spacing w:val="-7"/>
          <w:lang w:val="pt-PT"/>
        </w:rPr>
        <w:t xml:space="preserve"> </w:t>
      </w:r>
      <w:r w:rsidRPr="00292532">
        <w:rPr>
          <w:rFonts w:asciiTheme="minorHAnsi" w:eastAsia="Times New Roman" w:hAnsiTheme="minorHAnsi" w:cstheme="minorHAnsi"/>
          <w:b/>
          <w:color w:val="231F20"/>
          <w:lang w:val="pt-PT"/>
        </w:rPr>
        <w:t>lista</w:t>
      </w:r>
      <w:r w:rsidRPr="00292532">
        <w:rPr>
          <w:rFonts w:asciiTheme="minorHAnsi" w:eastAsia="Times New Roman" w:hAnsiTheme="minorHAnsi" w:cstheme="minorHAnsi"/>
          <w:b/>
          <w:color w:val="231F20"/>
          <w:spacing w:val="-7"/>
          <w:lang w:val="pt-PT"/>
        </w:rPr>
        <w:t xml:space="preserve"> </w:t>
      </w:r>
      <w:r w:rsidRPr="00292532">
        <w:rPr>
          <w:rFonts w:asciiTheme="minorHAnsi" w:eastAsia="Times New Roman" w:hAnsiTheme="minorHAnsi" w:cstheme="minorHAnsi"/>
          <w:b/>
          <w:color w:val="231F20"/>
          <w:lang w:val="pt-PT"/>
        </w:rPr>
        <w:t>seja</w:t>
      </w:r>
      <w:r w:rsidRPr="00292532">
        <w:rPr>
          <w:rFonts w:asciiTheme="minorHAnsi" w:eastAsia="Times New Roman" w:hAnsiTheme="minorHAnsi" w:cstheme="minorHAnsi"/>
          <w:b/>
          <w:color w:val="231F20"/>
          <w:spacing w:val="-7"/>
          <w:lang w:val="pt-PT"/>
        </w:rPr>
        <w:t xml:space="preserve"> </w:t>
      </w:r>
      <w:r w:rsidRPr="00292532">
        <w:rPr>
          <w:rFonts w:asciiTheme="minorHAnsi" w:eastAsia="Times New Roman" w:hAnsiTheme="minorHAnsi" w:cstheme="minorHAnsi"/>
          <w:b/>
          <w:color w:val="231F20"/>
          <w:lang w:val="pt-PT"/>
        </w:rPr>
        <w:t>longa</w:t>
      </w:r>
      <w:r w:rsidRPr="00292532">
        <w:rPr>
          <w:rFonts w:asciiTheme="minorHAnsi" w:eastAsia="Times New Roman" w:hAnsiTheme="minorHAnsi" w:cstheme="minorHAnsi"/>
          <w:b/>
          <w:color w:val="231F20"/>
          <w:spacing w:val="-7"/>
          <w:lang w:val="pt-PT"/>
        </w:rPr>
        <w:t xml:space="preserve"> </w:t>
      </w:r>
      <w:r w:rsidRPr="00292532">
        <w:rPr>
          <w:rFonts w:asciiTheme="minorHAnsi" w:eastAsia="Times New Roman" w:hAnsiTheme="minorHAnsi" w:cstheme="minorHAnsi"/>
          <w:b/>
          <w:color w:val="231F20"/>
          <w:lang w:val="pt-PT"/>
        </w:rPr>
        <w:t>dever-se-á</w:t>
      </w:r>
      <w:r w:rsidRPr="00292532">
        <w:rPr>
          <w:rFonts w:asciiTheme="minorHAnsi" w:eastAsia="Times New Roman" w:hAnsiTheme="minorHAnsi" w:cstheme="minorHAnsi"/>
          <w:b/>
          <w:color w:val="231F20"/>
          <w:spacing w:val="-7"/>
          <w:lang w:val="pt-PT"/>
        </w:rPr>
        <w:t xml:space="preserve"> </w:t>
      </w:r>
      <w:r w:rsidRPr="00292532">
        <w:rPr>
          <w:rFonts w:asciiTheme="minorHAnsi" w:eastAsia="Times New Roman" w:hAnsiTheme="minorHAnsi" w:cstheme="minorHAnsi"/>
          <w:b/>
          <w:color w:val="231F20"/>
          <w:lang w:val="pt-PT"/>
        </w:rPr>
        <w:t>produzir-se</w:t>
      </w:r>
      <w:r w:rsidRPr="00292532">
        <w:rPr>
          <w:rFonts w:asciiTheme="minorHAnsi" w:eastAsia="Times New Roman" w:hAnsiTheme="minorHAnsi" w:cstheme="minorHAnsi"/>
          <w:b/>
          <w:color w:val="231F20"/>
          <w:spacing w:val="-7"/>
          <w:lang w:val="pt-PT"/>
        </w:rPr>
        <w:t xml:space="preserve"> </w:t>
      </w:r>
      <w:r w:rsidRPr="00292532">
        <w:rPr>
          <w:rFonts w:asciiTheme="minorHAnsi" w:eastAsia="Times New Roman" w:hAnsiTheme="minorHAnsi" w:cstheme="minorHAnsi"/>
          <w:b/>
          <w:color w:val="231F20"/>
          <w:lang w:val="pt-PT"/>
        </w:rPr>
        <w:t>em</w:t>
      </w:r>
      <w:r w:rsidRPr="00292532">
        <w:rPr>
          <w:rFonts w:asciiTheme="minorHAnsi" w:eastAsia="Times New Roman" w:hAnsiTheme="minorHAnsi" w:cstheme="minorHAnsi"/>
          <w:b/>
          <w:color w:val="231F20"/>
          <w:spacing w:val="-7"/>
          <w:lang w:val="pt-PT"/>
        </w:rPr>
        <w:t xml:space="preserve"> </w:t>
      </w:r>
      <w:r w:rsidRPr="00292532">
        <w:rPr>
          <w:rFonts w:asciiTheme="minorHAnsi" w:eastAsia="Times New Roman" w:hAnsiTheme="minorHAnsi" w:cstheme="minorHAnsi"/>
          <w:b/>
          <w:color w:val="231F20"/>
          <w:lang w:val="pt-PT"/>
        </w:rPr>
        <w:t>anexo):</w:t>
      </w:r>
    </w:p>
    <w:p w14:paraId="6B1F6D1F" w14:textId="4CB0A39C" w:rsidR="00F638C3" w:rsidRPr="00292532" w:rsidRDefault="00F638C3" w:rsidP="00F638C3">
      <w:pPr>
        <w:widowControl w:val="0"/>
        <w:tabs>
          <w:tab w:val="left" w:pos="900"/>
        </w:tabs>
        <w:autoSpaceDE w:val="0"/>
        <w:autoSpaceDN w:val="0"/>
        <w:spacing w:before="0"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noProof/>
          <w:lang w:val="en-US"/>
        </w:rPr>
        <mc:AlternateContent>
          <mc:Choice Requires="wps">
            <w:drawing>
              <wp:anchor distT="0" distB="0" distL="0" distR="0" simplePos="0" relativeHeight="252106752" behindDoc="1" locked="0" layoutInCell="1" allowOverlap="1" wp14:anchorId="4A92203E" wp14:editId="62EBBB38">
                <wp:simplePos x="0" y="0"/>
                <wp:positionH relativeFrom="page">
                  <wp:posOffset>548640</wp:posOffset>
                </wp:positionH>
                <wp:positionV relativeFrom="paragraph">
                  <wp:posOffset>137795</wp:posOffset>
                </wp:positionV>
                <wp:extent cx="6459855" cy="1270"/>
                <wp:effectExtent l="0" t="0" r="0" b="0"/>
                <wp:wrapTopAndBottom/>
                <wp:docPr id="396" name="Freeform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59855" cy="1270"/>
                        </a:xfrm>
                        <a:custGeom>
                          <a:avLst/>
                          <a:gdLst>
                            <a:gd name="T0" fmla="+- 0 864 864"/>
                            <a:gd name="T1" fmla="*/ T0 w 10173"/>
                            <a:gd name="T2" fmla="+- 0 11036 864"/>
                            <a:gd name="T3" fmla="*/ T2 w 10173"/>
                          </a:gdLst>
                          <a:ahLst/>
                          <a:cxnLst>
                            <a:cxn ang="0">
                              <a:pos x="T1" y="0"/>
                            </a:cxn>
                            <a:cxn ang="0">
                              <a:pos x="T3" y="0"/>
                            </a:cxn>
                          </a:cxnLst>
                          <a:rect l="0" t="0" r="r" b="b"/>
                          <a:pathLst>
                            <a:path w="10173">
                              <a:moveTo>
                                <a:pt x="0" y="0"/>
                              </a:moveTo>
                              <a:lnTo>
                                <a:pt x="10172"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5F13D2C0" id="Freeform 37" o:spid="_x0000_s1026" style="position:absolute;margin-left:43.2pt;margin-top:10.85pt;width:508.65pt;height:.1pt;z-index:-251209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1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" path="m,l10172,e" filled="f" strokecolor="#221e1f" strokeweight=".17278mm">
                <v:path arrowok="t" o:connecttype="custom" o:connectlocs="0,0;645922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07776" behindDoc="1" locked="0" layoutInCell="1" allowOverlap="1" wp14:anchorId="087A453D" wp14:editId="55BEEC3B">
                <wp:simplePos x="0" y="0"/>
                <wp:positionH relativeFrom="page">
                  <wp:posOffset>548640</wp:posOffset>
                </wp:positionH>
                <wp:positionV relativeFrom="paragraph">
                  <wp:posOffset>290195</wp:posOffset>
                </wp:positionV>
                <wp:extent cx="6461125" cy="1270"/>
                <wp:effectExtent l="0" t="0" r="0" b="0"/>
                <wp:wrapTopAndBottom/>
                <wp:docPr id="397" name="Freeform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61125" cy="1270"/>
                        </a:xfrm>
                        <a:custGeom>
                          <a:avLst/>
                          <a:gdLst>
                            <a:gd name="T0" fmla="+- 0 864 864"/>
                            <a:gd name="T1" fmla="*/ T0 w 10175"/>
                            <a:gd name="T2" fmla="+- 0 11038 864"/>
                            <a:gd name="T3" fmla="*/ T2 w 10175"/>
                          </a:gdLst>
                          <a:ahLst/>
                          <a:cxnLst>
                            <a:cxn ang="0">
                              <a:pos x="T1" y="0"/>
                            </a:cxn>
                            <a:cxn ang="0">
                              <a:pos x="T3" y="0"/>
                            </a:cxn>
                          </a:cxnLst>
                          <a:rect l="0" t="0" r="r" b="b"/>
                          <a:pathLst>
                            <a:path w="10175">
                              <a:moveTo>
                                <a:pt x="0" y="0"/>
                              </a:moveTo>
                              <a:lnTo>
                                <a:pt x="1017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458DA5FF" id="Freeform 36" o:spid="_x0000_s1026" style="position:absolute;margin-left:43.2pt;margin-top:22.85pt;width:508.75pt;height:.1pt;z-index:-251208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" path="m,l10174,e" filled="f" strokecolor="#221e1f" strokeweight=".17278mm">
                <v:path arrowok="t" o:connecttype="custom" o:connectlocs="0,0;646049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08800" behindDoc="1" locked="0" layoutInCell="1" allowOverlap="1" wp14:anchorId="187980AF" wp14:editId="084A669C">
                <wp:simplePos x="0" y="0"/>
                <wp:positionH relativeFrom="page">
                  <wp:posOffset>548640</wp:posOffset>
                </wp:positionH>
                <wp:positionV relativeFrom="paragraph">
                  <wp:posOffset>442595</wp:posOffset>
                </wp:positionV>
                <wp:extent cx="6461125" cy="1270"/>
                <wp:effectExtent l="0" t="0" r="0" b="0"/>
                <wp:wrapTopAndBottom/>
                <wp:docPr id="398" name="Freeform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61125" cy="1270"/>
                        </a:xfrm>
                        <a:custGeom>
                          <a:avLst/>
                          <a:gdLst>
                            <a:gd name="T0" fmla="+- 0 864 864"/>
                            <a:gd name="T1" fmla="*/ T0 w 10175"/>
                            <a:gd name="T2" fmla="+- 0 11038 864"/>
                            <a:gd name="T3" fmla="*/ T2 w 10175"/>
                          </a:gdLst>
                          <a:ahLst/>
                          <a:cxnLst>
                            <a:cxn ang="0">
                              <a:pos x="T1" y="0"/>
                            </a:cxn>
                            <a:cxn ang="0">
                              <a:pos x="T3" y="0"/>
                            </a:cxn>
                          </a:cxnLst>
                          <a:rect l="0" t="0" r="r" b="b"/>
                          <a:pathLst>
                            <a:path w="10175">
                              <a:moveTo>
                                <a:pt x="0" y="0"/>
                              </a:moveTo>
                              <a:lnTo>
                                <a:pt x="1017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6459E635" id="Freeform 35" o:spid="_x0000_s1026" style="position:absolute;margin-left:43.2pt;margin-top:34.85pt;width:508.75pt;height:.1pt;z-index:-251207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" path="m,l10174,e" filled="f" strokecolor="#221e1f" strokeweight=".17278mm">
                <v:path arrowok="t" o:connecttype="custom" o:connectlocs="0,0;646049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09824" behindDoc="1" locked="0" layoutInCell="1" allowOverlap="1" wp14:anchorId="294F2885" wp14:editId="5CD2327B">
                <wp:simplePos x="0" y="0"/>
                <wp:positionH relativeFrom="page">
                  <wp:posOffset>548640</wp:posOffset>
                </wp:positionH>
                <wp:positionV relativeFrom="paragraph">
                  <wp:posOffset>594360</wp:posOffset>
                </wp:positionV>
                <wp:extent cx="6461125" cy="1270"/>
                <wp:effectExtent l="0" t="0" r="0" b="0"/>
                <wp:wrapTopAndBottom/>
                <wp:docPr id="399"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61125" cy="1270"/>
                        </a:xfrm>
                        <a:custGeom>
                          <a:avLst/>
                          <a:gdLst>
                            <a:gd name="T0" fmla="+- 0 864 864"/>
                            <a:gd name="T1" fmla="*/ T0 w 10175"/>
                            <a:gd name="T2" fmla="+- 0 11038 864"/>
                            <a:gd name="T3" fmla="*/ T2 w 10175"/>
                          </a:gdLst>
                          <a:ahLst/>
                          <a:cxnLst>
                            <a:cxn ang="0">
                              <a:pos x="T1" y="0"/>
                            </a:cxn>
                            <a:cxn ang="0">
                              <a:pos x="T3" y="0"/>
                            </a:cxn>
                          </a:cxnLst>
                          <a:rect l="0" t="0" r="r" b="b"/>
                          <a:pathLst>
                            <a:path w="10175">
                              <a:moveTo>
                                <a:pt x="0" y="0"/>
                              </a:moveTo>
                              <a:lnTo>
                                <a:pt x="1017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6AE70BDF" id="Freeform 34" o:spid="_x0000_s1026" style="position:absolute;margin-left:43.2pt;margin-top:46.8pt;width:508.75pt;height:.1pt;z-index:-251206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" path="m,l10174,e" filled="f" strokecolor="#221e1f" strokeweight=".17278mm">
                <v:path arrowok="t" o:connecttype="custom" o:connectlocs="0,0;646049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10848" behindDoc="1" locked="0" layoutInCell="1" allowOverlap="1" wp14:anchorId="06E7936C" wp14:editId="7D0F3793">
                <wp:simplePos x="0" y="0"/>
                <wp:positionH relativeFrom="page">
                  <wp:posOffset>548640</wp:posOffset>
                </wp:positionH>
                <wp:positionV relativeFrom="paragraph">
                  <wp:posOffset>746760</wp:posOffset>
                </wp:positionV>
                <wp:extent cx="6461125" cy="1270"/>
                <wp:effectExtent l="0" t="0" r="0" b="0"/>
                <wp:wrapTopAndBottom/>
                <wp:docPr id="400"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61125" cy="1270"/>
                        </a:xfrm>
                        <a:custGeom>
                          <a:avLst/>
                          <a:gdLst>
                            <a:gd name="T0" fmla="+- 0 864 864"/>
                            <a:gd name="T1" fmla="*/ T0 w 10175"/>
                            <a:gd name="T2" fmla="+- 0 11038 864"/>
                            <a:gd name="T3" fmla="*/ T2 w 10175"/>
                          </a:gdLst>
                          <a:ahLst/>
                          <a:cxnLst>
                            <a:cxn ang="0">
                              <a:pos x="T1" y="0"/>
                            </a:cxn>
                            <a:cxn ang="0">
                              <a:pos x="T3" y="0"/>
                            </a:cxn>
                          </a:cxnLst>
                          <a:rect l="0" t="0" r="r" b="b"/>
                          <a:pathLst>
                            <a:path w="10175">
                              <a:moveTo>
                                <a:pt x="0" y="0"/>
                              </a:moveTo>
                              <a:lnTo>
                                <a:pt x="1017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147C7AEE" id="Freeform 33" o:spid="_x0000_s1026" style="position:absolute;margin-left:43.2pt;margin-top:58.8pt;width:508.75pt;height:.1pt;z-index:-251205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" path="m,l10174,e" filled="f" strokecolor="#221e1f" strokeweight=".17278mm">
                <v:path arrowok="t" o:connecttype="custom" o:connectlocs="0,0;6460490,0" o:connectangles="0,0"/>
                <w10:wrap type="topAndBottom" anchorx="page"/>
              </v:shape>
            </w:pict>
          </mc:Fallback>
        </mc:AlternateContent>
      </w:r>
    </w:p>
    <w:p w14:paraId="2FAA29EF" w14:textId="77777777" w:rsidR="00F638C3" w:rsidRPr="00292532" w:rsidRDefault="00F638C3" w:rsidP="00F638C3">
      <w:pPr>
        <w:widowControl w:val="0"/>
        <w:tabs>
          <w:tab w:val="left" w:pos="900"/>
        </w:tabs>
        <w:autoSpaceDE w:val="0"/>
        <w:autoSpaceDN w:val="0"/>
        <w:spacing w:before="0" w:after="0"/>
        <w:ind w:left="900" w:right="970"/>
        <w:jc w:val="left"/>
        <w:rPr>
          <w:rFonts w:asciiTheme="minorHAnsi" w:eastAsia="Times New Roman" w:hAnsiTheme="minorHAnsi" w:cstheme="minorHAnsi"/>
          <w:b/>
          <w:lang w:val="pt-PT"/>
        </w:rPr>
      </w:pPr>
    </w:p>
    <w:p w14:paraId="2E17906A" w14:textId="77777777" w:rsidR="00F638C3" w:rsidRPr="00292532" w:rsidRDefault="00F638C3" w:rsidP="00F638C3">
      <w:pPr>
        <w:widowControl w:val="0"/>
        <w:tabs>
          <w:tab w:val="left" w:pos="900"/>
        </w:tabs>
        <w:autoSpaceDE w:val="0"/>
        <w:autoSpaceDN w:val="0"/>
        <w:spacing w:before="0" w:after="0"/>
        <w:ind w:left="900" w:right="970"/>
        <w:jc w:val="left"/>
        <w:rPr>
          <w:rFonts w:asciiTheme="minorHAnsi" w:eastAsia="Times New Roman" w:hAnsiTheme="minorHAnsi" w:cstheme="minorHAnsi"/>
          <w:b/>
          <w:lang w:val="pt-PT"/>
        </w:rPr>
      </w:pPr>
    </w:p>
    <w:p w14:paraId="590BFD23" w14:textId="77777777" w:rsidR="00F638C3" w:rsidRPr="00292532" w:rsidRDefault="00F638C3" w:rsidP="00F638C3">
      <w:pPr>
        <w:widowControl w:val="0"/>
        <w:tabs>
          <w:tab w:val="left" w:pos="900"/>
        </w:tabs>
        <w:autoSpaceDE w:val="0"/>
        <w:autoSpaceDN w:val="0"/>
        <w:spacing w:before="112"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7.</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8.</w:t>
      </w:r>
      <w:r w:rsidRPr="00292532">
        <w:rPr>
          <w:rFonts w:asciiTheme="minorHAnsi" w:eastAsia="Times New Roman" w:hAnsiTheme="minorHAnsi" w:cstheme="minorHAnsi"/>
          <w:b/>
          <w:color w:val="231F20"/>
          <w:spacing w:val="-4"/>
          <w:lang w:val="pt-PT"/>
        </w:rPr>
        <w:t xml:space="preserve"> </w:t>
      </w:r>
      <w:r w:rsidRPr="00292532">
        <w:rPr>
          <w:rFonts w:asciiTheme="minorHAnsi" w:eastAsia="Times New Roman" w:hAnsiTheme="minorHAnsi" w:cstheme="minorHAnsi"/>
          <w:b/>
          <w:color w:val="231F20"/>
          <w:lang w:val="pt-PT"/>
        </w:rPr>
        <w:t>Tipo,</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origem</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e</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quantidade</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de</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consumo</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de</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água</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e</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energia:</w:t>
      </w:r>
    </w:p>
    <w:p w14:paraId="3BFAFE42" w14:textId="77777777" w:rsidR="00F638C3" w:rsidRPr="00292532" w:rsidRDefault="00F638C3" w:rsidP="00F638C3">
      <w:pPr>
        <w:widowControl w:val="0"/>
        <w:tabs>
          <w:tab w:val="left" w:pos="900"/>
        </w:tabs>
        <w:autoSpaceDE w:val="0"/>
        <w:autoSpaceDN w:val="0"/>
        <w:spacing w:before="0"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noProof/>
          <w:lang w:val="en-US"/>
        </w:rPr>
        <mc:AlternateContent>
          <mc:Choice Requires="wps">
            <w:drawing>
              <wp:anchor distT="0" distB="0" distL="0" distR="0" simplePos="0" relativeHeight="252111872" behindDoc="1" locked="0" layoutInCell="1" allowOverlap="1" wp14:anchorId="4BD3FC16" wp14:editId="1E7AB13C">
                <wp:simplePos x="0" y="0"/>
                <wp:positionH relativeFrom="page">
                  <wp:posOffset>692785</wp:posOffset>
                </wp:positionH>
                <wp:positionV relativeFrom="paragraph">
                  <wp:posOffset>137795</wp:posOffset>
                </wp:positionV>
                <wp:extent cx="6315075" cy="1270"/>
                <wp:effectExtent l="0" t="0" r="0" b="0"/>
                <wp:wrapTopAndBottom/>
                <wp:docPr id="401" name="Freeform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51FD7835" id="Freeform 32" o:spid="_x0000_s1026" style="position:absolute;margin-left:54.55pt;margin-top:10.85pt;width:497.25pt;height:.1pt;z-index:-251204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12896" behindDoc="1" locked="0" layoutInCell="1" allowOverlap="1" wp14:anchorId="63EE0B15" wp14:editId="3E2C1EFD">
                <wp:simplePos x="0" y="0"/>
                <wp:positionH relativeFrom="page">
                  <wp:posOffset>692785</wp:posOffset>
                </wp:positionH>
                <wp:positionV relativeFrom="paragraph">
                  <wp:posOffset>290195</wp:posOffset>
                </wp:positionV>
                <wp:extent cx="6315075" cy="1270"/>
                <wp:effectExtent l="0" t="0" r="0" b="0"/>
                <wp:wrapTopAndBottom/>
                <wp:docPr id="402" name="Freeform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163BEE66" id="Freeform 31" o:spid="_x0000_s1026" style="position:absolute;margin-left:54.55pt;margin-top:22.85pt;width:497.25pt;height:.1pt;z-index:-251203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13920" behindDoc="1" locked="0" layoutInCell="1" allowOverlap="1" wp14:anchorId="3DAD9B23" wp14:editId="482575A4">
                <wp:simplePos x="0" y="0"/>
                <wp:positionH relativeFrom="page">
                  <wp:posOffset>692785</wp:posOffset>
                </wp:positionH>
                <wp:positionV relativeFrom="paragraph">
                  <wp:posOffset>442595</wp:posOffset>
                </wp:positionV>
                <wp:extent cx="6315075" cy="1270"/>
                <wp:effectExtent l="0" t="0" r="0" b="0"/>
                <wp:wrapTopAndBottom/>
                <wp:docPr id="403"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0A660C" id="Freeform 30" o:spid="_x0000_s1026" style="position:absolute;margin-left:54.55pt;margin-top:34.85pt;width:497.25pt;height:.1pt;z-index:-251202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b/>
          <w:color w:val="231F20"/>
          <w:lang w:val="pt-PT"/>
        </w:rPr>
        <w:t>7.</w:t>
      </w:r>
      <w:r w:rsidRPr="00292532">
        <w:rPr>
          <w:rFonts w:asciiTheme="minorHAnsi" w:eastAsia="Times New Roman" w:hAnsiTheme="minorHAnsi" w:cstheme="minorHAnsi"/>
          <w:b/>
          <w:color w:val="231F20"/>
          <w:spacing w:val="-3"/>
          <w:lang w:val="pt-PT"/>
        </w:rPr>
        <w:t xml:space="preserve"> </w:t>
      </w:r>
      <w:r w:rsidRPr="00292532">
        <w:rPr>
          <w:rFonts w:asciiTheme="minorHAnsi" w:eastAsia="Times New Roman" w:hAnsiTheme="minorHAnsi" w:cstheme="minorHAnsi"/>
          <w:b/>
          <w:color w:val="231F20"/>
          <w:lang w:val="pt-PT"/>
        </w:rPr>
        <w:t>9.</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Origem</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e</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quantidade</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de</w:t>
      </w:r>
      <w:r w:rsidRPr="00292532">
        <w:rPr>
          <w:rFonts w:asciiTheme="minorHAnsi" w:eastAsia="Times New Roman" w:hAnsiTheme="minorHAnsi" w:cstheme="minorHAnsi"/>
          <w:b/>
          <w:color w:val="231F20"/>
          <w:spacing w:val="-3"/>
          <w:lang w:val="pt-PT"/>
        </w:rPr>
        <w:t xml:space="preserve"> </w:t>
      </w:r>
      <w:r w:rsidRPr="00292532">
        <w:rPr>
          <w:rFonts w:asciiTheme="minorHAnsi" w:eastAsia="Times New Roman" w:hAnsiTheme="minorHAnsi" w:cstheme="minorHAnsi"/>
          <w:b/>
          <w:color w:val="231F20"/>
          <w:lang w:val="pt-PT"/>
        </w:rPr>
        <w:t>combustíveis</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e</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lubrificantes</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a</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serem</w:t>
      </w:r>
      <w:r w:rsidRPr="00292532">
        <w:rPr>
          <w:rFonts w:asciiTheme="minorHAnsi" w:eastAsia="Times New Roman" w:hAnsiTheme="minorHAnsi" w:cstheme="minorHAnsi"/>
          <w:b/>
          <w:color w:val="231F20"/>
          <w:spacing w:val="-3"/>
          <w:lang w:val="pt-PT"/>
        </w:rPr>
        <w:t xml:space="preserve"> </w:t>
      </w:r>
      <w:r w:rsidRPr="00292532">
        <w:rPr>
          <w:rFonts w:asciiTheme="minorHAnsi" w:eastAsia="Times New Roman" w:hAnsiTheme="minorHAnsi" w:cstheme="minorHAnsi"/>
          <w:b/>
          <w:color w:val="231F20"/>
          <w:lang w:val="pt-PT"/>
        </w:rPr>
        <w:t>usados:</w:t>
      </w:r>
    </w:p>
    <w:p w14:paraId="26F8FBF3" w14:textId="77777777" w:rsidR="00F638C3" w:rsidRPr="00292532" w:rsidRDefault="00F638C3" w:rsidP="00F638C3">
      <w:pPr>
        <w:widowControl w:val="0"/>
        <w:tabs>
          <w:tab w:val="left" w:pos="900"/>
        </w:tabs>
        <w:autoSpaceDE w:val="0"/>
        <w:autoSpaceDN w:val="0"/>
        <w:spacing w:before="0"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noProof/>
          <w:lang w:val="en-US"/>
        </w:rPr>
        <mc:AlternateContent>
          <mc:Choice Requires="wps">
            <w:drawing>
              <wp:anchor distT="0" distB="0" distL="0" distR="0" simplePos="0" relativeHeight="252114944" behindDoc="1" locked="0" layoutInCell="1" allowOverlap="1" wp14:anchorId="601EEBF1" wp14:editId="1D4E74D0">
                <wp:simplePos x="0" y="0"/>
                <wp:positionH relativeFrom="page">
                  <wp:posOffset>692785</wp:posOffset>
                </wp:positionH>
                <wp:positionV relativeFrom="paragraph">
                  <wp:posOffset>137795</wp:posOffset>
                </wp:positionV>
                <wp:extent cx="6315075" cy="1270"/>
                <wp:effectExtent l="0" t="0" r="0" b="0"/>
                <wp:wrapTopAndBottom/>
                <wp:docPr id="404"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01D8E1D" id="Freeform 29" o:spid="_x0000_s1026" style="position:absolute;margin-left:54.55pt;margin-top:10.85pt;width:497.25pt;height:.1pt;z-index:-251201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15968" behindDoc="1" locked="0" layoutInCell="1" allowOverlap="1" wp14:anchorId="65E4177E" wp14:editId="7A6624FF">
                <wp:simplePos x="0" y="0"/>
                <wp:positionH relativeFrom="page">
                  <wp:posOffset>692785</wp:posOffset>
                </wp:positionH>
                <wp:positionV relativeFrom="paragraph">
                  <wp:posOffset>290195</wp:posOffset>
                </wp:positionV>
                <wp:extent cx="6315075" cy="1270"/>
                <wp:effectExtent l="0" t="0" r="0" b="0"/>
                <wp:wrapTopAndBottom/>
                <wp:docPr id="405" name="Freeform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6F49C43" id="Freeform 28" o:spid="_x0000_s1026" style="position:absolute;margin-left:54.55pt;margin-top:22.85pt;width:497.25pt;height:.1pt;z-index:-251200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16992" behindDoc="1" locked="0" layoutInCell="1" allowOverlap="1" wp14:anchorId="3BA63DE1" wp14:editId="73A0A24C">
                <wp:simplePos x="0" y="0"/>
                <wp:positionH relativeFrom="page">
                  <wp:posOffset>692785</wp:posOffset>
                </wp:positionH>
                <wp:positionV relativeFrom="paragraph">
                  <wp:posOffset>442595</wp:posOffset>
                </wp:positionV>
                <wp:extent cx="6309360" cy="1270"/>
                <wp:effectExtent l="0" t="0" r="0" b="0"/>
                <wp:wrapTopAndBottom/>
                <wp:docPr id="406"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9360" cy="1270"/>
                        </a:xfrm>
                        <a:custGeom>
                          <a:avLst/>
                          <a:gdLst>
                            <a:gd name="T0" fmla="+- 0 1091 1091"/>
                            <a:gd name="T1" fmla="*/ T0 w 9936"/>
                            <a:gd name="T2" fmla="+- 0 11026 1091"/>
                            <a:gd name="T3" fmla="*/ T2 w 9936"/>
                          </a:gdLst>
                          <a:ahLst/>
                          <a:cxnLst>
                            <a:cxn ang="0">
                              <a:pos x="T1" y="0"/>
                            </a:cxn>
                            <a:cxn ang="0">
                              <a:pos x="T3" y="0"/>
                            </a:cxn>
                          </a:cxnLst>
                          <a:rect l="0" t="0" r="r" b="b"/>
                          <a:pathLst>
                            <a:path w="9936">
                              <a:moveTo>
                                <a:pt x="0" y="0"/>
                              </a:moveTo>
                              <a:lnTo>
                                <a:pt x="9935"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47E583D" id="Freeform 27" o:spid="_x0000_s1026" style="position:absolute;margin-left:54.55pt;margin-top:34.85pt;width:496.8pt;height:.1pt;z-index:-251199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" path="m,l9935,e" filled="f" strokecolor="#221e1f" strokeweight=".17278mm">
                <v:path arrowok="t" o:connecttype="custom" o:connectlocs="0,0;6308725,0" o:connectangles="0,0"/>
                <w10:wrap type="topAndBottom" anchorx="page"/>
              </v:shape>
            </w:pict>
          </mc:Fallback>
        </mc:AlternateContent>
      </w:r>
      <w:r w:rsidRPr="00292532">
        <w:rPr>
          <w:rFonts w:asciiTheme="minorHAnsi" w:eastAsia="Times New Roman" w:hAnsiTheme="minorHAnsi" w:cstheme="minorHAnsi"/>
          <w:b/>
          <w:color w:val="231F20"/>
          <w:lang w:val="pt-PT"/>
        </w:rPr>
        <w:t>7. 10.</w:t>
      </w:r>
      <w:r w:rsidRPr="00292532">
        <w:rPr>
          <w:rFonts w:asciiTheme="minorHAnsi" w:eastAsia="Times New Roman" w:hAnsiTheme="minorHAnsi" w:cstheme="minorHAnsi"/>
          <w:b/>
          <w:color w:val="231F20"/>
          <w:spacing w:val="-3"/>
          <w:lang w:val="pt-PT"/>
        </w:rPr>
        <w:t xml:space="preserve"> </w:t>
      </w:r>
      <w:r w:rsidRPr="00292532">
        <w:rPr>
          <w:rFonts w:asciiTheme="minorHAnsi" w:eastAsia="Times New Roman" w:hAnsiTheme="minorHAnsi" w:cstheme="minorHAnsi"/>
          <w:b/>
          <w:color w:val="231F20"/>
          <w:lang w:val="pt-PT"/>
        </w:rPr>
        <w:t>Outros</w:t>
      </w:r>
      <w:r w:rsidRPr="00292532">
        <w:rPr>
          <w:rFonts w:asciiTheme="minorHAnsi" w:eastAsia="Times New Roman" w:hAnsiTheme="minorHAnsi" w:cstheme="minorHAnsi"/>
          <w:b/>
          <w:color w:val="231F20"/>
          <w:spacing w:val="-3"/>
          <w:lang w:val="pt-PT"/>
        </w:rPr>
        <w:t xml:space="preserve"> </w:t>
      </w:r>
      <w:r w:rsidRPr="00292532">
        <w:rPr>
          <w:rFonts w:asciiTheme="minorHAnsi" w:eastAsia="Times New Roman" w:hAnsiTheme="minorHAnsi" w:cstheme="minorHAnsi"/>
          <w:b/>
          <w:color w:val="231F20"/>
          <w:lang w:val="pt-PT"/>
        </w:rPr>
        <w:t>recursos</w:t>
      </w:r>
      <w:r w:rsidRPr="00292532">
        <w:rPr>
          <w:rFonts w:asciiTheme="minorHAnsi" w:eastAsia="Times New Roman" w:hAnsiTheme="minorHAnsi" w:cstheme="minorHAnsi"/>
          <w:b/>
          <w:color w:val="231F20"/>
          <w:spacing w:val="-3"/>
          <w:lang w:val="pt-PT"/>
        </w:rPr>
        <w:t xml:space="preserve"> </w:t>
      </w:r>
      <w:r w:rsidRPr="00292532">
        <w:rPr>
          <w:rFonts w:asciiTheme="minorHAnsi" w:eastAsia="Times New Roman" w:hAnsiTheme="minorHAnsi" w:cstheme="minorHAnsi"/>
          <w:b/>
          <w:color w:val="231F20"/>
          <w:lang w:val="pt-PT"/>
        </w:rPr>
        <w:t>necessários:</w:t>
      </w:r>
    </w:p>
    <w:p w14:paraId="38E6682D" w14:textId="6671DDA6" w:rsidR="00F638C3" w:rsidRPr="00292532" w:rsidRDefault="00F638C3" w:rsidP="00F638C3">
      <w:pPr>
        <w:widowControl w:val="0"/>
        <w:tabs>
          <w:tab w:val="left" w:pos="900"/>
        </w:tabs>
        <w:autoSpaceDE w:val="0"/>
        <w:autoSpaceDN w:val="0"/>
        <w:spacing w:before="0"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noProof/>
          <w:lang w:val="en-US"/>
        </w:rPr>
        <mc:AlternateContent>
          <mc:Choice Requires="wps">
            <w:drawing>
              <wp:anchor distT="0" distB="0" distL="0" distR="0" simplePos="0" relativeHeight="252118016" behindDoc="1" locked="0" layoutInCell="1" allowOverlap="1" wp14:anchorId="747F3B56" wp14:editId="50144AA7">
                <wp:simplePos x="0" y="0"/>
                <wp:positionH relativeFrom="page">
                  <wp:posOffset>692785</wp:posOffset>
                </wp:positionH>
                <wp:positionV relativeFrom="paragraph">
                  <wp:posOffset>137795</wp:posOffset>
                </wp:positionV>
                <wp:extent cx="6316345" cy="1270"/>
                <wp:effectExtent l="0" t="0" r="0" b="0"/>
                <wp:wrapTopAndBottom/>
                <wp:docPr id="407"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6345" cy="1270"/>
                        </a:xfrm>
                        <a:custGeom>
                          <a:avLst/>
                          <a:gdLst>
                            <a:gd name="T0" fmla="+- 0 1091 1091"/>
                            <a:gd name="T1" fmla="*/ T0 w 9947"/>
                            <a:gd name="T2" fmla="+- 0 11037 1091"/>
                            <a:gd name="T3" fmla="*/ T2 w 9947"/>
                          </a:gdLst>
                          <a:ahLst/>
                          <a:cxnLst>
                            <a:cxn ang="0">
                              <a:pos x="T1" y="0"/>
                            </a:cxn>
                            <a:cxn ang="0">
                              <a:pos x="T3" y="0"/>
                            </a:cxn>
                          </a:cxnLst>
                          <a:rect l="0" t="0" r="r" b="b"/>
                          <a:pathLst>
                            <a:path w="9947">
                              <a:moveTo>
                                <a:pt x="0" y="0"/>
                              </a:moveTo>
                              <a:lnTo>
                                <a:pt x="9946"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4FD9069C" id="Freeform 26" o:spid="_x0000_s1026" style="position:absolute;margin-left:54.55pt;margin-top:10.85pt;width:497.35pt;height:.1pt;z-index:-251198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" path="m,l9946,e" filled="f" strokecolor="#221e1f" strokeweight=".17278mm">
                <v:path arrowok="t" o:connecttype="custom" o:connectlocs="0,0;631571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19040" behindDoc="1" locked="0" layoutInCell="1" allowOverlap="1" wp14:anchorId="3580BE9D" wp14:editId="271D4DA0">
                <wp:simplePos x="0" y="0"/>
                <wp:positionH relativeFrom="page">
                  <wp:posOffset>692785</wp:posOffset>
                </wp:positionH>
                <wp:positionV relativeFrom="paragraph">
                  <wp:posOffset>290195</wp:posOffset>
                </wp:positionV>
                <wp:extent cx="6316345" cy="1270"/>
                <wp:effectExtent l="0" t="0" r="0" b="0"/>
                <wp:wrapTopAndBottom/>
                <wp:docPr id="408"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6345" cy="1270"/>
                        </a:xfrm>
                        <a:custGeom>
                          <a:avLst/>
                          <a:gdLst>
                            <a:gd name="T0" fmla="+- 0 1091 1091"/>
                            <a:gd name="T1" fmla="*/ T0 w 9947"/>
                            <a:gd name="T2" fmla="+- 0 11037 1091"/>
                            <a:gd name="T3" fmla="*/ T2 w 9947"/>
                          </a:gdLst>
                          <a:ahLst/>
                          <a:cxnLst>
                            <a:cxn ang="0">
                              <a:pos x="T1" y="0"/>
                            </a:cxn>
                            <a:cxn ang="0">
                              <a:pos x="T3" y="0"/>
                            </a:cxn>
                          </a:cxnLst>
                          <a:rect l="0" t="0" r="r" b="b"/>
                          <a:pathLst>
                            <a:path w="9947">
                              <a:moveTo>
                                <a:pt x="0" y="0"/>
                              </a:moveTo>
                              <a:lnTo>
                                <a:pt x="9946"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2749BA85" id="Freeform 25" o:spid="_x0000_s1026" style="position:absolute;margin-left:54.55pt;margin-top:22.85pt;width:497.35pt;height:.1pt;z-index:-251197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" path="m,l9946,e" filled="f" strokecolor="#221e1f" strokeweight=".17278mm">
                <v:path arrowok="t" o:connecttype="custom" o:connectlocs="0,0;631571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20064" behindDoc="1" locked="0" layoutInCell="1" allowOverlap="1" wp14:anchorId="2A37BCA2" wp14:editId="374C4D99">
                <wp:simplePos x="0" y="0"/>
                <wp:positionH relativeFrom="page">
                  <wp:posOffset>692785</wp:posOffset>
                </wp:positionH>
                <wp:positionV relativeFrom="paragraph">
                  <wp:posOffset>441960</wp:posOffset>
                </wp:positionV>
                <wp:extent cx="6316345" cy="1270"/>
                <wp:effectExtent l="0" t="0" r="0" b="0"/>
                <wp:wrapTopAndBottom/>
                <wp:docPr id="409"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6345" cy="1270"/>
                        </a:xfrm>
                        <a:custGeom>
                          <a:avLst/>
                          <a:gdLst>
                            <a:gd name="T0" fmla="+- 0 1091 1091"/>
                            <a:gd name="T1" fmla="*/ T0 w 9947"/>
                            <a:gd name="T2" fmla="+- 0 11037 1091"/>
                            <a:gd name="T3" fmla="*/ T2 w 9947"/>
                          </a:gdLst>
                          <a:ahLst/>
                          <a:cxnLst>
                            <a:cxn ang="0">
                              <a:pos x="T1" y="0"/>
                            </a:cxn>
                            <a:cxn ang="0">
                              <a:pos x="T3" y="0"/>
                            </a:cxn>
                          </a:cxnLst>
                          <a:rect l="0" t="0" r="r" b="b"/>
                          <a:pathLst>
                            <a:path w="9947">
                              <a:moveTo>
                                <a:pt x="0" y="0"/>
                              </a:moveTo>
                              <a:lnTo>
                                <a:pt x="9946"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42692A30" id="Freeform 24" o:spid="_x0000_s1026" style="position:absolute;margin-left:54.55pt;margin-top:34.8pt;width:497.35pt;height:.1pt;z-index:-251196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" path="m,l9946,e" filled="f" strokecolor="#221e1f" strokeweight=".17278mm">
                <v:path arrowok="t" o:connecttype="custom" o:connectlocs="0,0;631571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21088" behindDoc="1" locked="0" layoutInCell="1" allowOverlap="1" wp14:anchorId="0549A9A6" wp14:editId="75FDE838">
                <wp:simplePos x="0" y="0"/>
                <wp:positionH relativeFrom="page">
                  <wp:posOffset>692785</wp:posOffset>
                </wp:positionH>
                <wp:positionV relativeFrom="paragraph">
                  <wp:posOffset>593725</wp:posOffset>
                </wp:positionV>
                <wp:extent cx="6309360" cy="1270"/>
                <wp:effectExtent l="0" t="0" r="0" b="0"/>
                <wp:wrapTopAndBottom/>
                <wp:docPr id="410"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9360" cy="1270"/>
                        </a:xfrm>
                        <a:custGeom>
                          <a:avLst/>
                          <a:gdLst>
                            <a:gd name="T0" fmla="+- 0 1091 1091"/>
                            <a:gd name="T1" fmla="*/ T0 w 9936"/>
                            <a:gd name="T2" fmla="+- 0 11026 1091"/>
                            <a:gd name="T3" fmla="*/ T2 w 9936"/>
                          </a:gdLst>
                          <a:ahLst/>
                          <a:cxnLst>
                            <a:cxn ang="0">
                              <a:pos x="T1" y="0"/>
                            </a:cxn>
                            <a:cxn ang="0">
                              <a:pos x="T3" y="0"/>
                            </a:cxn>
                          </a:cxnLst>
                          <a:rect l="0" t="0" r="r" b="b"/>
                          <a:pathLst>
                            <a:path w="9936">
                              <a:moveTo>
                                <a:pt x="0" y="0"/>
                              </a:moveTo>
                              <a:lnTo>
                                <a:pt x="9935"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6CAED842" id="Freeform 23" o:spid="_x0000_s1026" style="position:absolute;margin-left:54.55pt;margin-top:46.75pt;width:496.8pt;height:.1pt;z-index:-251195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" path="m,l9935,e" filled="f" strokecolor="#221e1f" strokeweight=".17278mm">
                <v:path arrowok="t" o:connecttype="custom" o:connectlocs="0,0;6308725,0" o:connectangles="0,0"/>
                <w10:wrap type="topAndBottom" anchorx="page"/>
              </v:shape>
            </w:pict>
          </mc:Fallback>
        </mc:AlternateContent>
      </w:r>
    </w:p>
    <w:p w14:paraId="7A376A73" w14:textId="77777777" w:rsidR="00F638C3" w:rsidRPr="00292532" w:rsidRDefault="00F638C3" w:rsidP="00F638C3">
      <w:pPr>
        <w:widowControl w:val="0"/>
        <w:numPr>
          <w:ilvl w:val="0"/>
          <w:numId w:val="34"/>
        </w:numPr>
        <w:tabs>
          <w:tab w:val="left" w:pos="900"/>
        </w:tabs>
        <w:autoSpaceDE w:val="0"/>
        <w:autoSpaceDN w:val="0"/>
        <w:spacing w:before="96" w:after="0"/>
        <w:ind w:left="900" w:right="970" w:firstLine="0"/>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Posse</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de</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terra</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(situação</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legal</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sobre</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a</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aquisição</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do</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espaço</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físico):</w:t>
      </w:r>
    </w:p>
    <w:p w14:paraId="3AFBB164" w14:textId="7887AAA6" w:rsidR="00F638C3" w:rsidRPr="00292532" w:rsidRDefault="00F638C3" w:rsidP="00F638C3">
      <w:pPr>
        <w:widowControl w:val="0"/>
        <w:tabs>
          <w:tab w:val="left" w:pos="900"/>
        </w:tabs>
        <w:autoSpaceDE w:val="0"/>
        <w:autoSpaceDN w:val="0"/>
        <w:spacing w:before="2"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noProof/>
          <w:lang w:val="en-US"/>
        </w:rPr>
        <mc:AlternateContent>
          <mc:Choice Requires="wps">
            <w:drawing>
              <wp:anchor distT="0" distB="0" distL="0" distR="0" simplePos="0" relativeHeight="252122112" behindDoc="1" locked="0" layoutInCell="1" allowOverlap="1" wp14:anchorId="28C29EE9" wp14:editId="4D572025">
                <wp:simplePos x="0" y="0"/>
                <wp:positionH relativeFrom="page">
                  <wp:posOffset>692785</wp:posOffset>
                </wp:positionH>
                <wp:positionV relativeFrom="paragraph">
                  <wp:posOffset>131445</wp:posOffset>
                </wp:positionV>
                <wp:extent cx="6316345" cy="1270"/>
                <wp:effectExtent l="0" t="0" r="0" b="0"/>
                <wp:wrapTopAndBottom/>
                <wp:docPr id="411"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6345" cy="1270"/>
                        </a:xfrm>
                        <a:custGeom>
                          <a:avLst/>
                          <a:gdLst>
                            <a:gd name="T0" fmla="+- 0 1091 1091"/>
                            <a:gd name="T1" fmla="*/ T0 w 9947"/>
                            <a:gd name="T2" fmla="+- 0 11037 1091"/>
                            <a:gd name="T3" fmla="*/ T2 w 9947"/>
                          </a:gdLst>
                          <a:ahLst/>
                          <a:cxnLst>
                            <a:cxn ang="0">
                              <a:pos x="T1" y="0"/>
                            </a:cxn>
                            <a:cxn ang="0">
                              <a:pos x="T3" y="0"/>
                            </a:cxn>
                          </a:cxnLst>
                          <a:rect l="0" t="0" r="r" b="b"/>
                          <a:pathLst>
                            <a:path w="9947">
                              <a:moveTo>
                                <a:pt x="0" y="0"/>
                              </a:moveTo>
                              <a:lnTo>
                                <a:pt x="9946"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1064865D" id="Freeform 22" o:spid="_x0000_s1026" style="position:absolute;margin-left:54.55pt;margin-top:10.35pt;width:497.35pt;height:.1pt;z-index:-251194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" path="m,l9946,e" filled="f" strokecolor="#221e1f" strokeweight=".17278mm">
                <v:path arrowok="t" o:connecttype="custom" o:connectlocs="0,0;631571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23136" behindDoc="1" locked="0" layoutInCell="1" allowOverlap="1" wp14:anchorId="2278FA91" wp14:editId="16315F53">
                <wp:simplePos x="0" y="0"/>
                <wp:positionH relativeFrom="page">
                  <wp:posOffset>692785</wp:posOffset>
                </wp:positionH>
                <wp:positionV relativeFrom="paragraph">
                  <wp:posOffset>277495</wp:posOffset>
                </wp:positionV>
                <wp:extent cx="6316345" cy="1270"/>
                <wp:effectExtent l="0" t="0" r="0" b="0"/>
                <wp:wrapTopAndBottom/>
                <wp:docPr id="412"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6345" cy="1270"/>
                        </a:xfrm>
                        <a:custGeom>
                          <a:avLst/>
                          <a:gdLst>
                            <a:gd name="T0" fmla="+- 0 1091 1091"/>
                            <a:gd name="T1" fmla="*/ T0 w 9947"/>
                            <a:gd name="T2" fmla="+- 0 11037 1091"/>
                            <a:gd name="T3" fmla="*/ T2 w 9947"/>
                          </a:gdLst>
                          <a:ahLst/>
                          <a:cxnLst>
                            <a:cxn ang="0">
                              <a:pos x="T1" y="0"/>
                            </a:cxn>
                            <a:cxn ang="0">
                              <a:pos x="T3" y="0"/>
                            </a:cxn>
                          </a:cxnLst>
                          <a:rect l="0" t="0" r="r" b="b"/>
                          <a:pathLst>
                            <a:path w="9947">
                              <a:moveTo>
                                <a:pt x="0" y="0"/>
                              </a:moveTo>
                              <a:lnTo>
                                <a:pt x="9946"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78B8A02" id="Freeform 21" o:spid="_x0000_s1026" style="position:absolute;margin-left:54.55pt;margin-top:21.85pt;width:497.35pt;height:.1pt;z-index:-251193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" path="m,l9946,e" filled="f" strokecolor="#221e1f" strokeweight=".17278mm">
                <v:path arrowok="t" o:connecttype="custom" o:connectlocs="0,0;631571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24160" behindDoc="1" locked="0" layoutInCell="1" allowOverlap="1" wp14:anchorId="7F22B409" wp14:editId="7161C902">
                <wp:simplePos x="0" y="0"/>
                <wp:positionH relativeFrom="page">
                  <wp:posOffset>692785</wp:posOffset>
                </wp:positionH>
                <wp:positionV relativeFrom="paragraph">
                  <wp:posOffset>423545</wp:posOffset>
                </wp:positionV>
                <wp:extent cx="6309360" cy="1270"/>
                <wp:effectExtent l="0" t="0" r="0" b="0"/>
                <wp:wrapTopAndBottom/>
                <wp:docPr id="413" name="Freeform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9360" cy="1270"/>
                        </a:xfrm>
                        <a:custGeom>
                          <a:avLst/>
                          <a:gdLst>
                            <a:gd name="T0" fmla="+- 0 1091 1091"/>
                            <a:gd name="T1" fmla="*/ T0 w 9936"/>
                            <a:gd name="T2" fmla="+- 0 11026 1091"/>
                            <a:gd name="T3" fmla="*/ T2 w 9936"/>
                          </a:gdLst>
                          <a:ahLst/>
                          <a:cxnLst>
                            <a:cxn ang="0">
                              <a:pos x="T1" y="0"/>
                            </a:cxn>
                            <a:cxn ang="0">
                              <a:pos x="T3" y="0"/>
                            </a:cxn>
                          </a:cxnLst>
                          <a:rect l="0" t="0" r="r" b="b"/>
                          <a:pathLst>
                            <a:path w="9936">
                              <a:moveTo>
                                <a:pt x="0" y="0"/>
                              </a:moveTo>
                              <a:lnTo>
                                <a:pt x="9935"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000ECB9A" id="Freeform 20" o:spid="_x0000_s1026" style="position:absolute;margin-left:54.55pt;margin-top:33.35pt;width:496.8pt;height:.1pt;z-index:-251192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" path="m,l9935,e" filled="f" strokecolor="#221e1f" strokeweight=".17278mm">
                <v:path arrowok="t" o:connecttype="custom" o:connectlocs="0,0;6308725,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25184" behindDoc="1" locked="0" layoutInCell="1" allowOverlap="1" wp14:anchorId="4F6948C9" wp14:editId="151A38FD">
                <wp:simplePos x="0" y="0"/>
                <wp:positionH relativeFrom="page">
                  <wp:posOffset>692785</wp:posOffset>
                </wp:positionH>
                <wp:positionV relativeFrom="paragraph">
                  <wp:posOffset>569595</wp:posOffset>
                </wp:positionV>
                <wp:extent cx="6315075" cy="1270"/>
                <wp:effectExtent l="0" t="0" r="0" b="0"/>
                <wp:wrapTopAndBottom/>
                <wp:docPr id="414"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176213CA" id="Freeform 19" o:spid="_x0000_s1026" style="position:absolute;margin-left:54.55pt;margin-top:44.85pt;width:497.25pt;height:.1pt;z-index:-251191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" path="m,l9944,e" filled="f" strokecolor="#221e1f" strokeweight=".17278mm">
                <v:path arrowok="t" o:connecttype="custom" o:connectlocs="0,0;6314440,0" o:connectangles="0,0"/>
                <w10:wrap type="topAndBottom" anchorx="page"/>
              </v:shape>
            </w:pict>
          </mc:Fallback>
        </mc:AlternateContent>
      </w:r>
    </w:p>
    <w:p w14:paraId="64D12DA8" w14:textId="77777777" w:rsidR="00F638C3" w:rsidRPr="00292532" w:rsidRDefault="00F638C3" w:rsidP="00F638C3">
      <w:pPr>
        <w:widowControl w:val="0"/>
        <w:numPr>
          <w:ilvl w:val="0"/>
          <w:numId w:val="34"/>
        </w:numPr>
        <w:tabs>
          <w:tab w:val="left" w:pos="900"/>
        </w:tabs>
        <w:autoSpaceDE w:val="0"/>
        <w:autoSpaceDN w:val="0"/>
        <w:spacing w:before="102" w:after="0"/>
        <w:ind w:left="900" w:right="970" w:firstLine="0"/>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Alternativas</w:t>
      </w:r>
      <w:r w:rsidRPr="00292532">
        <w:rPr>
          <w:rFonts w:asciiTheme="minorHAnsi" w:eastAsia="Times New Roman" w:hAnsiTheme="minorHAnsi" w:cstheme="minorHAnsi"/>
          <w:b/>
          <w:color w:val="231F20"/>
          <w:spacing w:val="5"/>
          <w:lang w:val="pt-PT"/>
        </w:rPr>
        <w:t xml:space="preserve"> </w:t>
      </w:r>
      <w:r w:rsidRPr="00292532">
        <w:rPr>
          <w:rFonts w:asciiTheme="minorHAnsi" w:eastAsia="Times New Roman" w:hAnsiTheme="minorHAnsi" w:cstheme="minorHAnsi"/>
          <w:b/>
          <w:color w:val="231F20"/>
          <w:lang w:val="pt-PT"/>
        </w:rPr>
        <w:t>de</w:t>
      </w:r>
      <w:r w:rsidRPr="00292532">
        <w:rPr>
          <w:rFonts w:asciiTheme="minorHAnsi" w:eastAsia="Times New Roman" w:hAnsiTheme="minorHAnsi" w:cstheme="minorHAnsi"/>
          <w:b/>
          <w:color w:val="231F20"/>
          <w:spacing w:val="5"/>
          <w:lang w:val="pt-PT"/>
        </w:rPr>
        <w:t xml:space="preserve"> </w:t>
      </w:r>
      <w:r w:rsidRPr="00292532">
        <w:rPr>
          <w:rFonts w:asciiTheme="minorHAnsi" w:eastAsia="Times New Roman" w:hAnsiTheme="minorHAnsi" w:cstheme="minorHAnsi"/>
          <w:b/>
          <w:color w:val="231F20"/>
          <w:lang w:val="pt-PT"/>
        </w:rPr>
        <w:t>localização</w:t>
      </w:r>
      <w:r w:rsidRPr="00292532">
        <w:rPr>
          <w:rFonts w:asciiTheme="minorHAnsi" w:eastAsia="Times New Roman" w:hAnsiTheme="minorHAnsi" w:cstheme="minorHAnsi"/>
          <w:b/>
          <w:color w:val="231F20"/>
          <w:spacing w:val="5"/>
          <w:lang w:val="pt-PT"/>
        </w:rPr>
        <w:t xml:space="preserve"> </w:t>
      </w:r>
      <w:r w:rsidRPr="00292532">
        <w:rPr>
          <w:rFonts w:asciiTheme="minorHAnsi" w:eastAsia="Times New Roman" w:hAnsiTheme="minorHAnsi" w:cstheme="minorHAnsi"/>
          <w:b/>
          <w:color w:val="231F20"/>
          <w:lang w:val="pt-PT"/>
        </w:rPr>
        <w:t>da</w:t>
      </w:r>
      <w:r w:rsidRPr="00292532">
        <w:rPr>
          <w:rFonts w:asciiTheme="minorHAnsi" w:eastAsia="Times New Roman" w:hAnsiTheme="minorHAnsi" w:cstheme="minorHAnsi"/>
          <w:b/>
          <w:color w:val="231F20"/>
          <w:spacing w:val="5"/>
          <w:lang w:val="pt-PT"/>
        </w:rPr>
        <w:t xml:space="preserve"> </w:t>
      </w:r>
      <w:proofErr w:type="spellStart"/>
      <w:r w:rsidRPr="00292532">
        <w:rPr>
          <w:rFonts w:asciiTheme="minorHAnsi" w:eastAsia="Times New Roman" w:hAnsiTheme="minorHAnsi" w:cstheme="minorHAnsi"/>
          <w:b/>
          <w:color w:val="231F20"/>
          <w:lang w:val="pt-PT"/>
        </w:rPr>
        <w:t>actividade</w:t>
      </w:r>
      <w:proofErr w:type="spellEnd"/>
      <w:r w:rsidRPr="00292532">
        <w:rPr>
          <w:rFonts w:asciiTheme="minorHAnsi" w:eastAsia="Times New Roman" w:hAnsiTheme="minorHAnsi" w:cstheme="minorHAnsi"/>
          <w:b/>
          <w:color w:val="231F20"/>
          <w:lang w:val="pt-PT"/>
        </w:rPr>
        <w:t>:</w:t>
      </w:r>
      <w:r w:rsidRPr="00292532">
        <w:rPr>
          <w:rFonts w:asciiTheme="minorHAnsi" w:eastAsia="Times New Roman" w:hAnsiTheme="minorHAnsi" w:cstheme="minorHAnsi"/>
          <w:b/>
          <w:color w:val="231F20"/>
          <w:spacing w:val="5"/>
          <w:lang w:val="pt-PT"/>
        </w:rPr>
        <w:t xml:space="preserve"> </w:t>
      </w:r>
      <w:r w:rsidRPr="00292532">
        <w:rPr>
          <w:rFonts w:asciiTheme="minorHAnsi" w:eastAsia="Times New Roman" w:hAnsiTheme="minorHAnsi" w:cstheme="minorHAnsi"/>
          <w:b/>
          <w:color w:val="231F20"/>
          <w:lang w:val="pt-PT"/>
        </w:rPr>
        <w:t>(motivo</w:t>
      </w:r>
      <w:r w:rsidRPr="00292532">
        <w:rPr>
          <w:rFonts w:asciiTheme="minorHAnsi" w:eastAsia="Times New Roman" w:hAnsiTheme="minorHAnsi" w:cstheme="minorHAnsi"/>
          <w:b/>
          <w:color w:val="231F20"/>
          <w:spacing w:val="5"/>
          <w:lang w:val="pt-PT"/>
        </w:rPr>
        <w:t xml:space="preserve"> </w:t>
      </w:r>
      <w:r w:rsidRPr="00292532">
        <w:rPr>
          <w:rFonts w:asciiTheme="minorHAnsi" w:eastAsia="Times New Roman" w:hAnsiTheme="minorHAnsi" w:cstheme="minorHAnsi"/>
          <w:b/>
          <w:color w:val="231F20"/>
          <w:lang w:val="pt-PT"/>
        </w:rPr>
        <w:t>da</w:t>
      </w:r>
      <w:r w:rsidRPr="00292532">
        <w:rPr>
          <w:rFonts w:asciiTheme="minorHAnsi" w:eastAsia="Times New Roman" w:hAnsiTheme="minorHAnsi" w:cstheme="minorHAnsi"/>
          <w:b/>
          <w:color w:val="231F20"/>
          <w:spacing w:val="5"/>
          <w:lang w:val="pt-PT"/>
        </w:rPr>
        <w:t xml:space="preserve"> </w:t>
      </w:r>
      <w:r w:rsidRPr="00292532">
        <w:rPr>
          <w:rFonts w:asciiTheme="minorHAnsi" w:eastAsia="Times New Roman" w:hAnsiTheme="minorHAnsi" w:cstheme="minorHAnsi"/>
          <w:b/>
          <w:color w:val="231F20"/>
          <w:lang w:val="pt-PT"/>
        </w:rPr>
        <w:t>escolha</w:t>
      </w:r>
      <w:r w:rsidRPr="00292532">
        <w:rPr>
          <w:rFonts w:asciiTheme="minorHAnsi" w:eastAsia="Times New Roman" w:hAnsiTheme="minorHAnsi" w:cstheme="minorHAnsi"/>
          <w:b/>
          <w:color w:val="231F20"/>
          <w:spacing w:val="5"/>
          <w:lang w:val="pt-PT"/>
        </w:rPr>
        <w:t xml:space="preserve"> </w:t>
      </w:r>
      <w:r w:rsidRPr="00292532">
        <w:rPr>
          <w:rFonts w:asciiTheme="minorHAnsi" w:eastAsia="Times New Roman" w:hAnsiTheme="minorHAnsi" w:cstheme="minorHAnsi"/>
          <w:b/>
          <w:color w:val="231F20"/>
          <w:lang w:val="pt-PT"/>
        </w:rPr>
        <w:t>do</w:t>
      </w:r>
      <w:r w:rsidRPr="00292532">
        <w:rPr>
          <w:rFonts w:asciiTheme="minorHAnsi" w:eastAsia="Times New Roman" w:hAnsiTheme="minorHAnsi" w:cstheme="minorHAnsi"/>
          <w:b/>
          <w:color w:val="231F20"/>
          <w:spacing w:val="6"/>
          <w:lang w:val="pt-PT"/>
        </w:rPr>
        <w:t xml:space="preserve"> </w:t>
      </w:r>
      <w:r w:rsidRPr="00292532">
        <w:rPr>
          <w:rFonts w:asciiTheme="minorHAnsi" w:eastAsia="Times New Roman" w:hAnsiTheme="minorHAnsi" w:cstheme="minorHAnsi"/>
          <w:b/>
          <w:color w:val="231F20"/>
          <w:lang w:val="pt-PT"/>
        </w:rPr>
        <w:t>local</w:t>
      </w:r>
      <w:r w:rsidRPr="00292532">
        <w:rPr>
          <w:rFonts w:asciiTheme="minorHAnsi" w:eastAsia="Times New Roman" w:hAnsiTheme="minorHAnsi" w:cstheme="minorHAnsi"/>
          <w:b/>
          <w:color w:val="231F20"/>
          <w:spacing w:val="5"/>
          <w:lang w:val="pt-PT"/>
        </w:rPr>
        <w:t xml:space="preserve"> </w:t>
      </w:r>
      <w:r w:rsidRPr="00292532">
        <w:rPr>
          <w:rFonts w:asciiTheme="minorHAnsi" w:eastAsia="Times New Roman" w:hAnsiTheme="minorHAnsi" w:cstheme="minorHAnsi"/>
          <w:b/>
          <w:color w:val="231F20"/>
          <w:lang w:val="pt-PT"/>
        </w:rPr>
        <w:t>de</w:t>
      </w:r>
      <w:r w:rsidRPr="00292532">
        <w:rPr>
          <w:rFonts w:asciiTheme="minorHAnsi" w:eastAsia="Times New Roman" w:hAnsiTheme="minorHAnsi" w:cstheme="minorHAnsi"/>
          <w:b/>
          <w:color w:val="231F20"/>
          <w:spacing w:val="5"/>
          <w:lang w:val="pt-PT"/>
        </w:rPr>
        <w:t xml:space="preserve"> </w:t>
      </w:r>
      <w:r w:rsidRPr="00292532">
        <w:rPr>
          <w:rFonts w:asciiTheme="minorHAnsi" w:eastAsia="Times New Roman" w:hAnsiTheme="minorHAnsi" w:cstheme="minorHAnsi"/>
          <w:b/>
          <w:color w:val="231F20"/>
          <w:lang w:val="pt-PT"/>
        </w:rPr>
        <w:t>implantação</w:t>
      </w:r>
      <w:r w:rsidRPr="00292532">
        <w:rPr>
          <w:rFonts w:asciiTheme="minorHAnsi" w:eastAsia="Times New Roman" w:hAnsiTheme="minorHAnsi" w:cstheme="minorHAnsi"/>
          <w:b/>
          <w:color w:val="231F20"/>
          <w:spacing w:val="5"/>
          <w:lang w:val="pt-PT"/>
        </w:rPr>
        <w:t xml:space="preserve"> </w:t>
      </w:r>
      <w:r w:rsidRPr="00292532">
        <w:rPr>
          <w:rFonts w:asciiTheme="minorHAnsi" w:eastAsia="Times New Roman" w:hAnsiTheme="minorHAnsi" w:cstheme="minorHAnsi"/>
          <w:b/>
          <w:color w:val="231F20"/>
          <w:lang w:val="pt-PT"/>
        </w:rPr>
        <w:t>da</w:t>
      </w:r>
      <w:r w:rsidRPr="00292532">
        <w:rPr>
          <w:rFonts w:asciiTheme="minorHAnsi" w:eastAsia="Times New Roman" w:hAnsiTheme="minorHAnsi" w:cstheme="minorHAnsi"/>
          <w:b/>
          <w:color w:val="231F20"/>
          <w:spacing w:val="5"/>
          <w:lang w:val="pt-PT"/>
        </w:rPr>
        <w:t xml:space="preserve"> </w:t>
      </w:r>
      <w:proofErr w:type="spellStart"/>
      <w:r w:rsidRPr="00292532">
        <w:rPr>
          <w:rFonts w:asciiTheme="minorHAnsi" w:eastAsia="Times New Roman" w:hAnsiTheme="minorHAnsi" w:cstheme="minorHAnsi"/>
          <w:b/>
          <w:color w:val="231F20"/>
          <w:lang w:val="pt-PT"/>
        </w:rPr>
        <w:t>actividade</w:t>
      </w:r>
      <w:proofErr w:type="spellEnd"/>
      <w:r w:rsidRPr="00292532">
        <w:rPr>
          <w:rFonts w:asciiTheme="minorHAnsi" w:eastAsia="Times New Roman" w:hAnsiTheme="minorHAnsi" w:cstheme="minorHAnsi"/>
          <w:b/>
          <w:color w:val="231F20"/>
          <w:spacing w:val="5"/>
          <w:lang w:val="pt-PT"/>
        </w:rPr>
        <w:t xml:space="preserve"> </w:t>
      </w:r>
      <w:r w:rsidRPr="00292532">
        <w:rPr>
          <w:rFonts w:asciiTheme="minorHAnsi" w:eastAsia="Times New Roman" w:hAnsiTheme="minorHAnsi" w:cstheme="minorHAnsi"/>
          <w:b/>
          <w:color w:val="231F20"/>
          <w:lang w:val="pt-PT"/>
        </w:rPr>
        <w:t>e</w:t>
      </w:r>
      <w:r w:rsidRPr="00292532">
        <w:rPr>
          <w:rFonts w:asciiTheme="minorHAnsi" w:eastAsia="Times New Roman" w:hAnsiTheme="minorHAnsi" w:cstheme="minorHAnsi"/>
          <w:b/>
          <w:color w:val="231F20"/>
          <w:spacing w:val="5"/>
          <w:lang w:val="pt-PT"/>
        </w:rPr>
        <w:t xml:space="preserve"> </w:t>
      </w:r>
      <w:r w:rsidRPr="00292532">
        <w:rPr>
          <w:rFonts w:asciiTheme="minorHAnsi" w:eastAsia="Times New Roman" w:hAnsiTheme="minorHAnsi" w:cstheme="minorHAnsi"/>
          <w:b/>
          <w:color w:val="231F20"/>
          <w:lang w:val="pt-PT"/>
        </w:rPr>
        <w:t>indicando</w:t>
      </w:r>
      <w:r w:rsidRPr="00292532">
        <w:rPr>
          <w:rFonts w:asciiTheme="minorHAnsi" w:eastAsia="Times New Roman" w:hAnsiTheme="minorHAnsi" w:cstheme="minorHAnsi"/>
          <w:b/>
          <w:color w:val="231F20"/>
          <w:spacing w:val="5"/>
          <w:lang w:val="pt-PT"/>
        </w:rPr>
        <w:t xml:space="preserve"> </w:t>
      </w:r>
      <w:r w:rsidRPr="00292532">
        <w:rPr>
          <w:rFonts w:asciiTheme="minorHAnsi" w:eastAsia="Times New Roman" w:hAnsiTheme="minorHAnsi" w:cstheme="minorHAnsi"/>
          <w:b/>
          <w:color w:val="231F20"/>
          <w:lang w:val="pt-PT"/>
        </w:rPr>
        <w:t>pelo</w:t>
      </w:r>
      <w:r w:rsidRPr="00292532">
        <w:rPr>
          <w:rFonts w:asciiTheme="minorHAnsi" w:eastAsia="Times New Roman" w:hAnsiTheme="minorHAnsi" w:cstheme="minorHAnsi"/>
          <w:b/>
          <w:color w:val="231F20"/>
          <w:spacing w:val="-47"/>
          <w:lang w:val="pt-PT"/>
        </w:rPr>
        <w:t xml:space="preserve"> </w:t>
      </w:r>
      <w:r w:rsidRPr="00292532">
        <w:rPr>
          <w:rFonts w:asciiTheme="minorHAnsi" w:eastAsia="Times New Roman" w:hAnsiTheme="minorHAnsi" w:cstheme="minorHAnsi"/>
          <w:b/>
          <w:color w:val="231F20"/>
          <w:lang w:val="pt-PT"/>
        </w:rPr>
        <w:t>menos</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dois</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locais</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alternativos).</w:t>
      </w:r>
    </w:p>
    <w:p w14:paraId="47D16830" w14:textId="251055EF" w:rsidR="00F638C3" w:rsidRPr="00292532" w:rsidRDefault="00F638C3" w:rsidP="00F638C3">
      <w:pPr>
        <w:widowControl w:val="0"/>
        <w:tabs>
          <w:tab w:val="left" w:pos="900"/>
        </w:tabs>
        <w:autoSpaceDE w:val="0"/>
        <w:autoSpaceDN w:val="0"/>
        <w:spacing w:before="2"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noProof/>
          <w:lang w:val="en-US"/>
        </w:rPr>
        <mc:AlternateContent>
          <mc:Choice Requires="wps">
            <w:drawing>
              <wp:anchor distT="0" distB="0" distL="0" distR="0" simplePos="0" relativeHeight="252126208" behindDoc="1" locked="0" layoutInCell="1" allowOverlap="1" wp14:anchorId="2A08FFF4" wp14:editId="364FF667">
                <wp:simplePos x="0" y="0"/>
                <wp:positionH relativeFrom="page">
                  <wp:posOffset>692785</wp:posOffset>
                </wp:positionH>
                <wp:positionV relativeFrom="paragraph">
                  <wp:posOffset>131445</wp:posOffset>
                </wp:positionV>
                <wp:extent cx="6319520" cy="1270"/>
                <wp:effectExtent l="0" t="0" r="0" b="0"/>
                <wp:wrapTopAndBottom/>
                <wp:docPr id="415"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9520" cy="1270"/>
                        </a:xfrm>
                        <a:custGeom>
                          <a:avLst/>
                          <a:gdLst>
                            <a:gd name="T0" fmla="+- 0 1091 1091"/>
                            <a:gd name="T1" fmla="*/ T0 w 9952"/>
                            <a:gd name="T2" fmla="+- 0 11043 1091"/>
                            <a:gd name="T3" fmla="*/ T2 w 9952"/>
                          </a:gdLst>
                          <a:ahLst/>
                          <a:cxnLst>
                            <a:cxn ang="0">
                              <a:pos x="T1" y="0"/>
                            </a:cxn>
                            <a:cxn ang="0">
                              <a:pos x="T3" y="0"/>
                            </a:cxn>
                          </a:cxnLst>
                          <a:rect l="0" t="0" r="r" b="b"/>
                          <a:pathLst>
                            <a:path w="9952">
                              <a:moveTo>
                                <a:pt x="0" y="0"/>
                              </a:moveTo>
                              <a:lnTo>
                                <a:pt x="9952"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6EF31855" id="Freeform 18" o:spid="_x0000_s1026" style="position:absolute;margin-left:54.55pt;margin-top:10.35pt;width:497.6pt;height:.1pt;z-index:-251190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" path="m,l9952,e" filled="f" strokecolor="#221e1f" strokeweight=".17278mm">
                <v:path arrowok="t" o:connecttype="custom" o:connectlocs="0,0;631952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27232" behindDoc="1" locked="0" layoutInCell="1" allowOverlap="1" wp14:anchorId="34ACA130" wp14:editId="5DB08B1F">
                <wp:simplePos x="0" y="0"/>
                <wp:positionH relativeFrom="page">
                  <wp:posOffset>692785</wp:posOffset>
                </wp:positionH>
                <wp:positionV relativeFrom="paragraph">
                  <wp:posOffset>277495</wp:posOffset>
                </wp:positionV>
                <wp:extent cx="6315075" cy="1270"/>
                <wp:effectExtent l="0" t="0" r="0" b="0"/>
                <wp:wrapTopAndBottom/>
                <wp:docPr id="416"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1E009DFE" id="Freeform 17" o:spid="_x0000_s1026" style="position:absolute;margin-left:54.55pt;margin-top:21.85pt;width:497.25pt;height:.1pt;z-index:-251189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28256" behindDoc="1" locked="0" layoutInCell="1" allowOverlap="1" wp14:anchorId="58D6188D" wp14:editId="2878AF78">
                <wp:simplePos x="0" y="0"/>
                <wp:positionH relativeFrom="page">
                  <wp:posOffset>692785</wp:posOffset>
                </wp:positionH>
                <wp:positionV relativeFrom="paragraph">
                  <wp:posOffset>423545</wp:posOffset>
                </wp:positionV>
                <wp:extent cx="6315075" cy="1270"/>
                <wp:effectExtent l="0" t="0" r="0" b="0"/>
                <wp:wrapTopAndBottom/>
                <wp:docPr id="417"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4DFD4311" id="Freeform 16" o:spid="_x0000_s1026" style="position:absolute;margin-left:54.55pt;margin-top:33.35pt;width:497.25pt;height:.1pt;z-index:-251188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" path="m,l9944,e" filled="f" strokecolor="#221e1f" strokeweight=".17278mm">
                <v:path arrowok="t" o:connecttype="custom" o:connectlocs="0,0;6314440,0" o:connectangles="0,0"/>
                <w10:wrap type="topAndBottom" anchorx="page"/>
              </v:shape>
            </w:pict>
          </mc:Fallback>
        </mc:AlternateContent>
      </w:r>
    </w:p>
    <w:p w14:paraId="4796D154" w14:textId="77777777" w:rsidR="00F638C3" w:rsidRPr="00292532" w:rsidRDefault="00F638C3" w:rsidP="00F638C3">
      <w:pPr>
        <w:widowControl w:val="0"/>
        <w:numPr>
          <w:ilvl w:val="0"/>
          <w:numId w:val="34"/>
        </w:numPr>
        <w:tabs>
          <w:tab w:val="left" w:pos="604"/>
          <w:tab w:val="left" w:pos="900"/>
        </w:tabs>
        <w:autoSpaceDE w:val="0"/>
        <w:autoSpaceDN w:val="0"/>
        <w:spacing w:before="159" w:after="0"/>
        <w:ind w:left="900" w:right="970" w:firstLine="0"/>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Breve</w:t>
      </w:r>
      <w:r w:rsidRPr="00292532">
        <w:rPr>
          <w:rFonts w:asciiTheme="minorHAnsi" w:eastAsia="Times New Roman" w:hAnsiTheme="minorHAnsi" w:cstheme="minorHAnsi"/>
          <w:b/>
          <w:color w:val="231F20"/>
          <w:spacing w:val="-3"/>
          <w:lang w:val="pt-PT"/>
        </w:rPr>
        <w:t xml:space="preserve"> </w:t>
      </w:r>
      <w:r w:rsidRPr="00292532">
        <w:rPr>
          <w:rFonts w:asciiTheme="minorHAnsi" w:eastAsia="Times New Roman" w:hAnsiTheme="minorHAnsi" w:cstheme="minorHAnsi"/>
          <w:b/>
          <w:color w:val="231F20"/>
          <w:lang w:val="pt-PT"/>
        </w:rPr>
        <w:t>informação</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sobre</w:t>
      </w:r>
      <w:r w:rsidRPr="00292532">
        <w:rPr>
          <w:rFonts w:asciiTheme="minorHAnsi" w:eastAsia="Times New Roman" w:hAnsiTheme="minorHAnsi" w:cstheme="minorHAnsi"/>
          <w:b/>
          <w:color w:val="231F20"/>
          <w:spacing w:val="-3"/>
          <w:lang w:val="pt-PT"/>
        </w:rPr>
        <w:t xml:space="preserve"> </w:t>
      </w:r>
      <w:r w:rsidRPr="00292532">
        <w:rPr>
          <w:rFonts w:asciiTheme="minorHAnsi" w:eastAsia="Times New Roman" w:hAnsiTheme="minorHAnsi" w:cstheme="minorHAnsi"/>
          <w:b/>
          <w:color w:val="231F20"/>
          <w:lang w:val="pt-PT"/>
        </w:rPr>
        <w:t>a</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situação</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ambiental</w:t>
      </w:r>
      <w:r w:rsidRPr="00292532">
        <w:rPr>
          <w:rFonts w:asciiTheme="minorHAnsi" w:eastAsia="Times New Roman" w:hAnsiTheme="minorHAnsi" w:cstheme="minorHAnsi"/>
          <w:b/>
          <w:color w:val="231F20"/>
          <w:spacing w:val="-3"/>
          <w:lang w:val="pt-PT"/>
        </w:rPr>
        <w:t xml:space="preserve"> </w:t>
      </w:r>
      <w:r w:rsidRPr="00292532">
        <w:rPr>
          <w:rFonts w:asciiTheme="minorHAnsi" w:eastAsia="Times New Roman" w:hAnsiTheme="minorHAnsi" w:cstheme="minorHAnsi"/>
          <w:b/>
          <w:color w:val="231F20"/>
          <w:lang w:val="pt-PT"/>
        </w:rPr>
        <w:t>de</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referência</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local</w:t>
      </w:r>
      <w:r w:rsidRPr="00292532">
        <w:rPr>
          <w:rFonts w:asciiTheme="minorHAnsi" w:eastAsia="Times New Roman" w:hAnsiTheme="minorHAnsi" w:cstheme="minorHAnsi"/>
          <w:b/>
          <w:color w:val="231F20"/>
          <w:spacing w:val="-3"/>
          <w:lang w:val="pt-PT"/>
        </w:rPr>
        <w:t xml:space="preserve"> </w:t>
      </w:r>
      <w:r w:rsidRPr="00292532">
        <w:rPr>
          <w:rFonts w:asciiTheme="minorHAnsi" w:eastAsia="Times New Roman" w:hAnsiTheme="minorHAnsi" w:cstheme="minorHAnsi"/>
          <w:b/>
          <w:color w:val="231F20"/>
          <w:lang w:val="pt-PT"/>
        </w:rPr>
        <w:t>e</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regional:</w:t>
      </w:r>
    </w:p>
    <w:p w14:paraId="7FE95FD3" w14:textId="007F7C59" w:rsidR="00F638C3" w:rsidRPr="00292532" w:rsidRDefault="00F638C3" w:rsidP="00F638C3">
      <w:pPr>
        <w:widowControl w:val="0"/>
        <w:tabs>
          <w:tab w:val="left" w:pos="900"/>
        </w:tabs>
        <w:autoSpaceDE w:val="0"/>
        <w:autoSpaceDN w:val="0"/>
        <w:spacing w:before="1"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noProof/>
          <w:lang w:val="en-US"/>
        </w:rPr>
        <mc:AlternateContent>
          <mc:Choice Requires="wps">
            <w:drawing>
              <wp:anchor distT="0" distB="0" distL="0" distR="0" simplePos="0" relativeHeight="252129280" behindDoc="1" locked="0" layoutInCell="1" allowOverlap="1" wp14:anchorId="38F044B1" wp14:editId="748819AE">
                <wp:simplePos x="0" y="0"/>
                <wp:positionH relativeFrom="page">
                  <wp:posOffset>692785</wp:posOffset>
                </wp:positionH>
                <wp:positionV relativeFrom="paragraph">
                  <wp:posOffset>131445</wp:posOffset>
                </wp:positionV>
                <wp:extent cx="6315075" cy="1270"/>
                <wp:effectExtent l="0" t="0" r="0" b="0"/>
                <wp:wrapTopAndBottom/>
                <wp:docPr id="418"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52F0ABCC" id="Freeform 15" o:spid="_x0000_s1026" style="position:absolute;margin-left:54.55pt;margin-top:10.35pt;width:497.25pt;height:.1pt;z-index:-251187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30304" behindDoc="1" locked="0" layoutInCell="1" allowOverlap="1" wp14:anchorId="244E312F" wp14:editId="66C18D0C">
                <wp:simplePos x="0" y="0"/>
                <wp:positionH relativeFrom="page">
                  <wp:posOffset>692785</wp:posOffset>
                </wp:positionH>
                <wp:positionV relativeFrom="paragraph">
                  <wp:posOffset>277495</wp:posOffset>
                </wp:positionV>
                <wp:extent cx="6315075" cy="1270"/>
                <wp:effectExtent l="0" t="0" r="0" b="0"/>
                <wp:wrapTopAndBottom/>
                <wp:docPr id="419"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49F8FC3F" id="Freeform 14" o:spid="_x0000_s1026" style="position:absolute;margin-left:54.55pt;margin-top:21.85pt;width:497.25pt;height:.1pt;z-index:-251186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31328" behindDoc="1" locked="0" layoutInCell="1" allowOverlap="1" wp14:anchorId="2A4CEF4F" wp14:editId="64857D64">
                <wp:simplePos x="0" y="0"/>
                <wp:positionH relativeFrom="page">
                  <wp:posOffset>692785</wp:posOffset>
                </wp:positionH>
                <wp:positionV relativeFrom="paragraph">
                  <wp:posOffset>423545</wp:posOffset>
                </wp:positionV>
                <wp:extent cx="6309360" cy="1270"/>
                <wp:effectExtent l="0" t="0" r="0" b="0"/>
                <wp:wrapTopAndBottom/>
                <wp:docPr id="420"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9360" cy="1270"/>
                        </a:xfrm>
                        <a:custGeom>
                          <a:avLst/>
                          <a:gdLst>
                            <a:gd name="T0" fmla="+- 0 1091 1091"/>
                            <a:gd name="T1" fmla="*/ T0 w 9936"/>
                            <a:gd name="T2" fmla="+- 0 11026 1091"/>
                            <a:gd name="T3" fmla="*/ T2 w 9936"/>
                          </a:gdLst>
                          <a:ahLst/>
                          <a:cxnLst>
                            <a:cxn ang="0">
                              <a:pos x="T1" y="0"/>
                            </a:cxn>
                            <a:cxn ang="0">
                              <a:pos x="T3" y="0"/>
                            </a:cxn>
                          </a:cxnLst>
                          <a:rect l="0" t="0" r="r" b="b"/>
                          <a:pathLst>
                            <a:path w="9936">
                              <a:moveTo>
                                <a:pt x="0" y="0"/>
                              </a:moveTo>
                              <a:lnTo>
                                <a:pt x="9935"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10527DBE" id="Freeform 13" o:spid="_x0000_s1026" style="position:absolute;margin-left:54.55pt;margin-top:33.35pt;width:496.8pt;height:.1pt;z-index:-251185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" path="m,l9935,e" filled="f" strokecolor="#221e1f" strokeweight=".17278mm">
                <v:path arrowok="t" o:connecttype="custom" o:connectlocs="0,0;6308725,0" o:connectangles="0,0"/>
                <w10:wrap type="topAndBottom" anchorx="page"/>
              </v:shape>
            </w:pict>
          </mc:Fallback>
        </mc:AlternateContent>
      </w:r>
    </w:p>
    <w:p w14:paraId="370E1977" w14:textId="77777777" w:rsidR="00F638C3" w:rsidRPr="00292532" w:rsidRDefault="00F638C3" w:rsidP="00F638C3">
      <w:pPr>
        <w:widowControl w:val="0"/>
        <w:tabs>
          <w:tab w:val="left" w:pos="900"/>
        </w:tabs>
        <w:autoSpaceDE w:val="0"/>
        <w:autoSpaceDN w:val="0"/>
        <w:spacing w:before="102"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10.</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1.</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Características</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físicas</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do</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local</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de</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implantação</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da</w:t>
      </w:r>
      <w:r w:rsidRPr="00292532">
        <w:rPr>
          <w:rFonts w:asciiTheme="minorHAnsi" w:eastAsia="Times New Roman" w:hAnsiTheme="minorHAnsi" w:cstheme="minorHAnsi"/>
          <w:b/>
          <w:color w:val="231F20"/>
          <w:spacing w:val="-1"/>
          <w:lang w:val="pt-PT"/>
        </w:rPr>
        <w:t xml:space="preserve"> </w:t>
      </w:r>
      <w:proofErr w:type="spellStart"/>
      <w:r w:rsidRPr="00292532">
        <w:rPr>
          <w:rFonts w:asciiTheme="minorHAnsi" w:eastAsia="Times New Roman" w:hAnsiTheme="minorHAnsi" w:cstheme="minorHAnsi"/>
          <w:b/>
          <w:color w:val="231F20"/>
          <w:lang w:val="pt-PT"/>
        </w:rPr>
        <w:t>actividade</w:t>
      </w:r>
      <w:proofErr w:type="spellEnd"/>
      <w:r w:rsidRPr="00292532">
        <w:rPr>
          <w:rFonts w:asciiTheme="minorHAnsi" w:eastAsia="Times New Roman" w:hAnsiTheme="minorHAnsi" w:cstheme="minorHAnsi"/>
          <w:b/>
          <w:color w:val="231F20"/>
          <w:lang w:val="pt-PT"/>
        </w:rPr>
        <w:t>:</w:t>
      </w:r>
    </w:p>
    <w:p w14:paraId="32F3AECA" w14:textId="77777777" w:rsidR="00F638C3" w:rsidRPr="00292532" w:rsidRDefault="00F638C3" w:rsidP="00F638C3">
      <w:pPr>
        <w:widowControl w:val="0"/>
        <w:tabs>
          <w:tab w:val="left" w:pos="900"/>
          <w:tab w:val="left" w:pos="2462"/>
          <w:tab w:val="left" w:pos="4695"/>
          <w:tab w:val="left" w:pos="6482"/>
        </w:tabs>
        <w:autoSpaceDE w:val="0"/>
        <w:autoSpaceDN w:val="0"/>
        <w:spacing w:before="81" w:after="0"/>
        <w:ind w:left="900" w:right="970"/>
        <w:jc w:val="left"/>
        <w:rPr>
          <w:rFonts w:asciiTheme="minorHAnsi" w:eastAsia="Times New Roman" w:hAnsiTheme="minorHAnsi" w:cstheme="minorHAnsi"/>
          <w:lang w:val="pt-PT"/>
        </w:rPr>
      </w:pPr>
      <w:r w:rsidRPr="00292532">
        <w:rPr>
          <w:rFonts w:asciiTheme="minorHAnsi" w:eastAsia="Times New Roman" w:hAnsiTheme="minorHAnsi" w:cstheme="minorHAnsi"/>
          <w:color w:val="231F20"/>
          <w:w w:val="105"/>
          <w:lang w:val="pt-PT"/>
        </w:rPr>
        <w:t>Planície</w:t>
      </w:r>
      <w:r w:rsidRPr="00292532">
        <w:rPr>
          <w:rFonts w:asciiTheme="minorHAnsi" w:eastAsia="Times New Roman" w:hAnsiTheme="minorHAnsi" w:cstheme="minorHAnsi"/>
          <w:color w:val="231F20"/>
          <w:spacing w:val="-8"/>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t>Planalto</w:t>
      </w:r>
      <w:r w:rsidRPr="00292532">
        <w:rPr>
          <w:rFonts w:asciiTheme="minorHAnsi" w:eastAsia="Times New Roman" w:hAnsiTheme="minorHAnsi" w:cstheme="minorHAnsi"/>
          <w:color w:val="231F20"/>
          <w:spacing w:val="-8"/>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t>Vale</w:t>
      </w:r>
      <w:r w:rsidRPr="00292532">
        <w:rPr>
          <w:rFonts w:asciiTheme="minorHAnsi" w:eastAsia="Times New Roman" w:hAnsiTheme="minorHAnsi" w:cstheme="minorHAnsi"/>
          <w:color w:val="231F20"/>
          <w:spacing w:val="-10"/>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r>
      <w:r w:rsidRPr="00292532">
        <w:rPr>
          <w:rFonts w:asciiTheme="minorHAnsi" w:eastAsia="Times New Roman" w:hAnsiTheme="minorHAnsi" w:cstheme="minorHAnsi"/>
          <w:color w:val="231F20"/>
          <w:lang w:val="pt-PT"/>
        </w:rPr>
        <w:t>Montanha</w:t>
      </w:r>
      <w:r w:rsidRPr="00292532">
        <w:rPr>
          <w:rFonts w:asciiTheme="minorHAnsi" w:eastAsia="Times New Roman" w:hAnsiTheme="minorHAnsi" w:cstheme="minorHAnsi"/>
          <w:color w:val="231F20"/>
          <w:spacing w:val="9"/>
          <w:lang w:val="pt-PT"/>
        </w:rPr>
        <w:t xml:space="preserve"> </w:t>
      </w:r>
      <w:r w:rsidRPr="00292532">
        <w:rPr>
          <w:rFonts w:asciiTheme="minorHAnsi" w:eastAsia="Times New Roman" w:hAnsiTheme="minorHAnsi" w:cstheme="minorHAnsi"/>
          <w:color w:val="231F20"/>
          <w:lang w:val="pt-PT"/>
        </w:rPr>
        <w:t>□</w:t>
      </w:r>
    </w:p>
    <w:p w14:paraId="49855CF0" w14:textId="77777777" w:rsidR="00F638C3" w:rsidRPr="00292532" w:rsidRDefault="00F638C3" w:rsidP="00F638C3">
      <w:pPr>
        <w:widowControl w:val="0"/>
        <w:tabs>
          <w:tab w:val="left" w:pos="900"/>
        </w:tabs>
        <w:autoSpaceDE w:val="0"/>
        <w:autoSpaceDN w:val="0"/>
        <w:spacing w:before="68"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10.</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2.</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Ecossistemas</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predominantes:</w:t>
      </w:r>
    </w:p>
    <w:p w14:paraId="1C4B5010" w14:textId="77777777" w:rsidR="00F638C3" w:rsidRPr="00292532" w:rsidRDefault="00F638C3" w:rsidP="00F638C3">
      <w:pPr>
        <w:widowControl w:val="0"/>
        <w:tabs>
          <w:tab w:val="left" w:pos="900"/>
          <w:tab w:val="left" w:pos="2428"/>
          <w:tab w:val="left" w:pos="4797"/>
          <w:tab w:val="left" w:pos="7113"/>
        </w:tabs>
        <w:autoSpaceDE w:val="0"/>
        <w:autoSpaceDN w:val="0"/>
        <w:spacing w:before="81" w:after="0"/>
        <w:ind w:left="900" w:right="970"/>
        <w:jc w:val="left"/>
        <w:rPr>
          <w:rFonts w:asciiTheme="minorHAnsi" w:eastAsia="Times New Roman" w:hAnsiTheme="minorHAnsi" w:cstheme="minorHAnsi"/>
          <w:lang w:val="pt-PT"/>
        </w:rPr>
      </w:pPr>
      <w:r w:rsidRPr="00292532">
        <w:rPr>
          <w:rFonts w:asciiTheme="minorHAnsi" w:eastAsia="Times New Roman" w:hAnsiTheme="minorHAnsi" w:cstheme="minorHAnsi"/>
          <w:color w:val="231F20"/>
          <w:w w:val="105"/>
          <w:lang w:val="pt-PT"/>
        </w:rPr>
        <w:t>Fluvial</w:t>
      </w:r>
      <w:r w:rsidRPr="00292532">
        <w:rPr>
          <w:rFonts w:asciiTheme="minorHAnsi" w:eastAsia="Times New Roman" w:hAnsiTheme="minorHAnsi" w:cstheme="minorHAnsi"/>
          <w:color w:val="231F20"/>
          <w:spacing w:val="-7"/>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t>Lacustre</w:t>
      </w:r>
      <w:r w:rsidRPr="00292532">
        <w:rPr>
          <w:rFonts w:asciiTheme="minorHAnsi" w:eastAsia="Times New Roman" w:hAnsiTheme="minorHAnsi" w:cstheme="minorHAnsi"/>
          <w:color w:val="231F20"/>
          <w:spacing w:val="-8"/>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t>Marinho</w:t>
      </w:r>
      <w:r w:rsidRPr="00292532">
        <w:rPr>
          <w:rFonts w:asciiTheme="minorHAnsi" w:eastAsia="Times New Roman" w:hAnsiTheme="minorHAnsi" w:cstheme="minorHAnsi"/>
          <w:color w:val="231F20"/>
          <w:spacing w:val="-9"/>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r>
      <w:r w:rsidRPr="00292532">
        <w:rPr>
          <w:rFonts w:asciiTheme="minorHAnsi" w:eastAsia="Times New Roman" w:hAnsiTheme="minorHAnsi" w:cstheme="minorHAnsi"/>
          <w:color w:val="231F20"/>
          <w:spacing w:val="-2"/>
          <w:w w:val="105"/>
          <w:lang w:val="pt-PT"/>
        </w:rPr>
        <w:t>Terrestre</w:t>
      </w:r>
      <w:r w:rsidRPr="00292532">
        <w:rPr>
          <w:rFonts w:asciiTheme="minorHAnsi" w:eastAsia="Times New Roman" w:hAnsiTheme="minorHAnsi" w:cstheme="minorHAnsi"/>
          <w:color w:val="231F20"/>
          <w:spacing w:val="-10"/>
          <w:w w:val="105"/>
          <w:lang w:val="pt-PT"/>
        </w:rPr>
        <w:t xml:space="preserve"> </w:t>
      </w:r>
      <w:r w:rsidRPr="00292532">
        <w:rPr>
          <w:rFonts w:asciiTheme="minorHAnsi" w:eastAsia="Times New Roman" w:hAnsiTheme="minorHAnsi" w:cstheme="minorHAnsi"/>
          <w:color w:val="231F20"/>
          <w:spacing w:val="-1"/>
          <w:w w:val="105"/>
          <w:lang w:val="pt-PT"/>
        </w:rPr>
        <w:t>□</w:t>
      </w:r>
    </w:p>
    <w:p w14:paraId="104B265F" w14:textId="77777777" w:rsidR="00F638C3" w:rsidRPr="00292532" w:rsidRDefault="00F638C3" w:rsidP="00F638C3">
      <w:pPr>
        <w:widowControl w:val="0"/>
        <w:tabs>
          <w:tab w:val="left" w:pos="900"/>
        </w:tabs>
        <w:autoSpaceDE w:val="0"/>
        <w:autoSpaceDN w:val="0"/>
        <w:spacing w:before="68"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10.</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3.</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Zona</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de</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localização:</w:t>
      </w:r>
    </w:p>
    <w:p w14:paraId="2E0BB29A" w14:textId="77777777" w:rsidR="00F638C3" w:rsidRPr="00292532" w:rsidRDefault="00F638C3" w:rsidP="00F638C3">
      <w:pPr>
        <w:widowControl w:val="0"/>
        <w:tabs>
          <w:tab w:val="left" w:pos="900"/>
          <w:tab w:val="left" w:pos="3227"/>
          <w:tab w:val="left" w:pos="6307"/>
        </w:tabs>
        <w:autoSpaceDE w:val="0"/>
        <w:autoSpaceDN w:val="0"/>
        <w:spacing w:before="81" w:after="0"/>
        <w:ind w:left="900" w:right="970"/>
        <w:jc w:val="left"/>
        <w:rPr>
          <w:rFonts w:asciiTheme="minorHAnsi" w:eastAsia="Times New Roman" w:hAnsiTheme="minorHAnsi" w:cstheme="minorHAnsi"/>
          <w:lang w:val="pt-PT"/>
        </w:rPr>
      </w:pPr>
      <w:r w:rsidRPr="00292532">
        <w:rPr>
          <w:rFonts w:asciiTheme="minorHAnsi" w:eastAsia="Times New Roman" w:hAnsiTheme="minorHAnsi" w:cstheme="minorHAnsi"/>
          <w:color w:val="231F20"/>
          <w:w w:val="105"/>
          <w:lang w:val="pt-PT"/>
        </w:rPr>
        <w:t>Costeira</w:t>
      </w:r>
      <w:r w:rsidRPr="00292532">
        <w:rPr>
          <w:rFonts w:asciiTheme="minorHAnsi" w:eastAsia="Times New Roman" w:hAnsiTheme="minorHAnsi" w:cstheme="minorHAnsi"/>
          <w:color w:val="231F20"/>
          <w:spacing w:val="-8"/>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t>Interior</w:t>
      </w:r>
      <w:r w:rsidRPr="00292532">
        <w:rPr>
          <w:rFonts w:asciiTheme="minorHAnsi" w:eastAsia="Times New Roman" w:hAnsiTheme="minorHAnsi" w:cstheme="minorHAnsi"/>
          <w:color w:val="231F20"/>
          <w:spacing w:val="-7"/>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t>Ilha</w:t>
      </w:r>
      <w:r w:rsidRPr="00292532">
        <w:rPr>
          <w:rFonts w:asciiTheme="minorHAnsi" w:eastAsia="Times New Roman" w:hAnsiTheme="minorHAnsi" w:cstheme="minorHAnsi"/>
          <w:color w:val="231F20"/>
          <w:spacing w:val="-4"/>
          <w:w w:val="105"/>
          <w:lang w:val="pt-PT"/>
        </w:rPr>
        <w:t xml:space="preserve"> </w:t>
      </w:r>
      <w:r w:rsidRPr="00292532">
        <w:rPr>
          <w:rFonts w:asciiTheme="minorHAnsi" w:eastAsia="Times New Roman" w:hAnsiTheme="minorHAnsi" w:cstheme="minorHAnsi"/>
          <w:color w:val="231F20"/>
          <w:w w:val="105"/>
          <w:lang w:val="pt-PT"/>
        </w:rPr>
        <w:t>□</w:t>
      </w:r>
    </w:p>
    <w:p w14:paraId="11CF783E" w14:textId="77777777" w:rsidR="00F638C3" w:rsidRPr="00292532" w:rsidRDefault="00F638C3" w:rsidP="00F638C3">
      <w:pPr>
        <w:widowControl w:val="0"/>
        <w:tabs>
          <w:tab w:val="left" w:pos="900"/>
        </w:tabs>
        <w:autoSpaceDE w:val="0"/>
        <w:autoSpaceDN w:val="0"/>
        <w:spacing w:before="68"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10.</w:t>
      </w:r>
      <w:r w:rsidRPr="00292532">
        <w:rPr>
          <w:rFonts w:asciiTheme="minorHAnsi" w:eastAsia="Times New Roman" w:hAnsiTheme="minorHAnsi" w:cstheme="minorHAnsi"/>
          <w:b/>
          <w:color w:val="231F20"/>
          <w:spacing w:val="-3"/>
          <w:lang w:val="pt-PT"/>
        </w:rPr>
        <w:t xml:space="preserve"> </w:t>
      </w:r>
      <w:r w:rsidRPr="00292532">
        <w:rPr>
          <w:rFonts w:asciiTheme="minorHAnsi" w:eastAsia="Times New Roman" w:hAnsiTheme="minorHAnsi" w:cstheme="minorHAnsi"/>
          <w:b/>
          <w:color w:val="231F20"/>
          <w:lang w:val="pt-PT"/>
        </w:rPr>
        <w:t>4.</w:t>
      </w:r>
      <w:r w:rsidRPr="00292532">
        <w:rPr>
          <w:rFonts w:asciiTheme="minorHAnsi" w:eastAsia="Times New Roman" w:hAnsiTheme="minorHAnsi" w:cstheme="minorHAnsi"/>
          <w:b/>
          <w:color w:val="231F20"/>
          <w:spacing w:val="-5"/>
          <w:lang w:val="pt-PT"/>
        </w:rPr>
        <w:t xml:space="preserve"> </w:t>
      </w:r>
      <w:r w:rsidRPr="00292532">
        <w:rPr>
          <w:rFonts w:asciiTheme="minorHAnsi" w:eastAsia="Times New Roman" w:hAnsiTheme="minorHAnsi" w:cstheme="minorHAnsi"/>
          <w:b/>
          <w:color w:val="231F20"/>
          <w:lang w:val="pt-PT"/>
        </w:rPr>
        <w:t>Tipo</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de</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vegetação</w:t>
      </w:r>
      <w:r w:rsidRPr="00292532">
        <w:rPr>
          <w:rFonts w:asciiTheme="minorHAnsi" w:eastAsia="Times New Roman" w:hAnsiTheme="minorHAnsi" w:cstheme="minorHAnsi"/>
          <w:b/>
          <w:color w:val="231F20"/>
          <w:spacing w:val="-3"/>
          <w:lang w:val="pt-PT"/>
        </w:rPr>
        <w:t xml:space="preserve"> </w:t>
      </w:r>
      <w:r w:rsidRPr="00292532">
        <w:rPr>
          <w:rFonts w:asciiTheme="minorHAnsi" w:eastAsia="Times New Roman" w:hAnsiTheme="minorHAnsi" w:cstheme="minorHAnsi"/>
          <w:b/>
          <w:color w:val="231F20"/>
          <w:lang w:val="pt-PT"/>
        </w:rPr>
        <w:t>predominante:</w:t>
      </w:r>
    </w:p>
    <w:p w14:paraId="5F44A223" w14:textId="77777777" w:rsidR="00F638C3" w:rsidRPr="00292532" w:rsidRDefault="00F638C3" w:rsidP="00F638C3">
      <w:pPr>
        <w:widowControl w:val="0"/>
        <w:tabs>
          <w:tab w:val="left" w:pos="900"/>
          <w:tab w:val="left" w:pos="3905"/>
          <w:tab w:val="left" w:pos="7163"/>
        </w:tabs>
        <w:autoSpaceDE w:val="0"/>
        <w:autoSpaceDN w:val="0"/>
        <w:spacing w:before="81" w:after="0"/>
        <w:ind w:left="900" w:right="970"/>
        <w:jc w:val="left"/>
        <w:rPr>
          <w:rFonts w:asciiTheme="minorHAnsi" w:eastAsia="Times New Roman" w:hAnsiTheme="minorHAnsi" w:cstheme="minorHAnsi"/>
          <w:lang w:val="pt-PT"/>
        </w:rPr>
      </w:pPr>
      <w:r w:rsidRPr="00292532">
        <w:rPr>
          <w:rFonts w:asciiTheme="minorHAnsi" w:eastAsia="Times New Roman" w:hAnsiTheme="minorHAnsi" w:cstheme="minorHAnsi"/>
          <w:color w:val="231F20"/>
          <w:w w:val="105"/>
          <w:lang w:val="pt-PT"/>
        </w:rPr>
        <w:t>Floresta</w:t>
      </w:r>
      <w:r w:rsidRPr="00292532">
        <w:rPr>
          <w:rFonts w:asciiTheme="minorHAnsi" w:eastAsia="Times New Roman" w:hAnsiTheme="minorHAnsi" w:cstheme="minorHAnsi"/>
          <w:color w:val="231F20"/>
          <w:spacing w:val="-8"/>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t>Savana</w:t>
      </w:r>
      <w:r w:rsidRPr="00292532">
        <w:rPr>
          <w:rFonts w:asciiTheme="minorHAnsi" w:eastAsia="Times New Roman" w:hAnsiTheme="minorHAnsi" w:cstheme="minorHAnsi"/>
          <w:color w:val="231F20"/>
          <w:spacing w:val="-7"/>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t>Outros</w:t>
      </w:r>
      <w:r w:rsidRPr="00292532">
        <w:rPr>
          <w:rFonts w:asciiTheme="minorHAnsi" w:eastAsia="Times New Roman" w:hAnsiTheme="minorHAnsi" w:cstheme="minorHAnsi"/>
          <w:color w:val="231F20"/>
          <w:spacing w:val="-8"/>
          <w:w w:val="105"/>
          <w:lang w:val="pt-PT"/>
        </w:rPr>
        <w:t xml:space="preserve"> </w:t>
      </w:r>
      <w:r w:rsidRPr="00292532">
        <w:rPr>
          <w:rFonts w:asciiTheme="minorHAnsi" w:eastAsia="Times New Roman" w:hAnsiTheme="minorHAnsi" w:cstheme="minorHAnsi"/>
          <w:color w:val="231F20"/>
          <w:w w:val="105"/>
          <w:lang w:val="pt-PT"/>
        </w:rPr>
        <w:t>□</w:t>
      </w:r>
    </w:p>
    <w:p w14:paraId="670CFAB8" w14:textId="77777777" w:rsidR="00F638C3" w:rsidRPr="00292532" w:rsidRDefault="00F638C3" w:rsidP="00F638C3">
      <w:pPr>
        <w:widowControl w:val="0"/>
        <w:tabs>
          <w:tab w:val="left" w:pos="900"/>
          <w:tab w:val="left" w:pos="4229"/>
        </w:tabs>
        <w:autoSpaceDE w:val="0"/>
        <w:autoSpaceDN w:val="0"/>
        <w:spacing w:before="69" w:after="0"/>
        <w:ind w:left="900" w:right="970"/>
        <w:jc w:val="left"/>
        <w:rPr>
          <w:rFonts w:asciiTheme="minorHAnsi" w:eastAsia="Times New Roman" w:hAnsiTheme="minorHAnsi" w:cstheme="minorHAnsi"/>
          <w:lang w:val="pt-PT"/>
        </w:rPr>
      </w:pPr>
      <w:r w:rsidRPr="00292532">
        <w:rPr>
          <w:rFonts w:asciiTheme="minorHAnsi" w:eastAsia="Times New Roman" w:hAnsiTheme="minorHAnsi" w:cstheme="minorHAnsi"/>
          <w:color w:val="231F20"/>
          <w:lang w:val="pt-PT"/>
        </w:rPr>
        <w:t>(especifique)</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u w:val="single" w:color="221E1F"/>
          <w:lang w:val="pt-PT"/>
        </w:rPr>
        <w:t xml:space="preserve"> </w:t>
      </w:r>
      <w:r w:rsidRPr="00292532">
        <w:rPr>
          <w:rFonts w:asciiTheme="minorHAnsi" w:eastAsia="Times New Roman" w:hAnsiTheme="minorHAnsi" w:cstheme="minorHAnsi"/>
          <w:color w:val="231F20"/>
          <w:u w:val="single" w:color="221E1F"/>
          <w:lang w:val="pt-PT"/>
        </w:rPr>
        <w:tab/>
      </w:r>
    </w:p>
    <w:p w14:paraId="77FB5528" w14:textId="77777777" w:rsidR="00F638C3" w:rsidRPr="00292532" w:rsidRDefault="00F638C3" w:rsidP="00F638C3">
      <w:pPr>
        <w:widowControl w:val="0"/>
        <w:tabs>
          <w:tab w:val="left" w:pos="900"/>
        </w:tabs>
        <w:autoSpaceDE w:val="0"/>
        <w:autoSpaceDN w:val="0"/>
        <w:spacing w:before="113"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10.</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5.</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Uso</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do</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solo</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de</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acordo</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com</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o</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plano</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de</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estrutura</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ou</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outra</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política</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vigente:</w:t>
      </w:r>
    </w:p>
    <w:p w14:paraId="7FFEEA72" w14:textId="77777777" w:rsidR="00F638C3" w:rsidRPr="00292532" w:rsidRDefault="00F638C3" w:rsidP="00F638C3">
      <w:pPr>
        <w:widowControl w:val="0"/>
        <w:tabs>
          <w:tab w:val="left" w:pos="900"/>
          <w:tab w:val="left" w:pos="2351"/>
          <w:tab w:val="left" w:pos="4703"/>
          <w:tab w:val="left" w:pos="7150"/>
        </w:tabs>
        <w:autoSpaceDE w:val="0"/>
        <w:autoSpaceDN w:val="0"/>
        <w:spacing w:before="80" w:after="0"/>
        <w:ind w:left="900" w:right="970"/>
        <w:jc w:val="left"/>
        <w:rPr>
          <w:rFonts w:asciiTheme="minorHAnsi" w:eastAsia="Times New Roman" w:hAnsiTheme="minorHAnsi" w:cstheme="minorHAnsi"/>
          <w:lang w:val="pt-PT"/>
        </w:rPr>
      </w:pPr>
      <w:r w:rsidRPr="00292532">
        <w:rPr>
          <w:rFonts w:asciiTheme="minorHAnsi" w:eastAsia="Times New Roman" w:hAnsiTheme="minorHAnsi" w:cstheme="minorHAnsi"/>
          <w:color w:val="231F20"/>
          <w:lang w:val="pt-PT"/>
        </w:rPr>
        <w:t>Agropecuário</w:t>
      </w:r>
      <w:r w:rsidRPr="00292532">
        <w:rPr>
          <w:rFonts w:asciiTheme="minorHAnsi" w:eastAsia="Times New Roman" w:hAnsiTheme="minorHAnsi" w:cstheme="minorHAnsi"/>
          <w:color w:val="231F20"/>
          <w:spacing w:val="4"/>
          <w:lang w:val="pt-PT"/>
        </w:rPr>
        <w:t xml:space="preserve"> </w:t>
      </w:r>
      <w:r w:rsidRPr="00292532">
        <w:rPr>
          <w:rFonts w:asciiTheme="minorHAnsi" w:eastAsia="Times New Roman" w:hAnsiTheme="minorHAnsi" w:cstheme="minorHAnsi"/>
          <w:color w:val="231F20"/>
          <w:lang w:val="pt-PT"/>
        </w:rPr>
        <w:t>□</w:t>
      </w:r>
      <w:r w:rsidRPr="00292532">
        <w:rPr>
          <w:rFonts w:asciiTheme="minorHAnsi" w:eastAsia="Times New Roman" w:hAnsiTheme="minorHAnsi" w:cstheme="minorHAnsi"/>
          <w:color w:val="231F20"/>
          <w:lang w:val="pt-PT"/>
        </w:rPr>
        <w:tab/>
      </w:r>
      <w:r w:rsidRPr="00292532">
        <w:rPr>
          <w:rFonts w:asciiTheme="minorHAnsi" w:eastAsia="Times New Roman" w:hAnsiTheme="minorHAnsi" w:cstheme="minorHAnsi"/>
          <w:color w:val="231F20"/>
          <w:w w:val="105"/>
          <w:lang w:val="pt-PT"/>
        </w:rPr>
        <w:t>Habitacional</w:t>
      </w:r>
      <w:r w:rsidRPr="00292532">
        <w:rPr>
          <w:rFonts w:asciiTheme="minorHAnsi" w:eastAsia="Times New Roman" w:hAnsiTheme="minorHAnsi" w:cstheme="minorHAnsi"/>
          <w:color w:val="231F20"/>
          <w:spacing w:val="-12"/>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t>Industrial</w:t>
      </w:r>
      <w:r w:rsidRPr="00292532">
        <w:rPr>
          <w:rFonts w:asciiTheme="minorHAnsi" w:eastAsia="Times New Roman" w:hAnsiTheme="minorHAnsi" w:cstheme="minorHAnsi"/>
          <w:color w:val="231F20"/>
          <w:spacing w:val="-9"/>
          <w:w w:val="105"/>
          <w:lang w:val="pt-PT"/>
        </w:rPr>
        <w:t xml:space="preserve"> </w:t>
      </w:r>
      <w:r w:rsidRPr="00292532">
        <w:rPr>
          <w:rFonts w:asciiTheme="minorHAnsi" w:eastAsia="Times New Roman" w:hAnsiTheme="minorHAnsi" w:cstheme="minorHAnsi"/>
          <w:color w:val="231F20"/>
          <w:w w:val="105"/>
          <w:lang w:val="pt-PT"/>
        </w:rPr>
        <w:t>□</w:t>
      </w:r>
      <w:r w:rsidRPr="00292532">
        <w:rPr>
          <w:rFonts w:asciiTheme="minorHAnsi" w:eastAsia="Times New Roman" w:hAnsiTheme="minorHAnsi" w:cstheme="minorHAnsi"/>
          <w:color w:val="231F20"/>
          <w:w w:val="105"/>
          <w:lang w:val="pt-PT"/>
        </w:rPr>
        <w:tab/>
      </w:r>
      <w:proofErr w:type="spellStart"/>
      <w:r w:rsidRPr="00292532">
        <w:rPr>
          <w:rFonts w:asciiTheme="minorHAnsi" w:eastAsia="Times New Roman" w:hAnsiTheme="minorHAnsi" w:cstheme="minorHAnsi"/>
          <w:color w:val="231F20"/>
          <w:lang w:val="pt-PT"/>
        </w:rPr>
        <w:t>Protecção</w:t>
      </w:r>
      <w:proofErr w:type="spellEnd"/>
      <w:r w:rsidRPr="00292532">
        <w:rPr>
          <w:rFonts w:asciiTheme="minorHAnsi" w:eastAsia="Times New Roman" w:hAnsiTheme="minorHAnsi" w:cstheme="minorHAnsi"/>
          <w:color w:val="231F20"/>
          <w:spacing w:val="9"/>
          <w:lang w:val="pt-PT"/>
        </w:rPr>
        <w:t xml:space="preserve"> </w:t>
      </w:r>
      <w:r w:rsidRPr="00292532">
        <w:rPr>
          <w:rFonts w:asciiTheme="minorHAnsi" w:eastAsia="Times New Roman" w:hAnsiTheme="minorHAnsi" w:cstheme="minorHAnsi"/>
          <w:color w:val="231F20"/>
          <w:lang w:val="pt-PT"/>
        </w:rPr>
        <w:t>□</w:t>
      </w:r>
    </w:p>
    <w:p w14:paraId="71750E9F" w14:textId="77777777" w:rsidR="00F638C3" w:rsidRPr="00292532" w:rsidRDefault="00F638C3" w:rsidP="00F638C3">
      <w:pPr>
        <w:widowControl w:val="0"/>
        <w:tabs>
          <w:tab w:val="left" w:pos="900"/>
          <w:tab w:val="left" w:pos="2546"/>
        </w:tabs>
        <w:autoSpaceDE w:val="0"/>
        <w:autoSpaceDN w:val="0"/>
        <w:spacing w:before="69" w:after="0"/>
        <w:ind w:left="900" w:right="970"/>
        <w:jc w:val="left"/>
        <w:rPr>
          <w:rFonts w:asciiTheme="minorHAnsi" w:eastAsia="Times New Roman" w:hAnsiTheme="minorHAnsi" w:cstheme="minorHAnsi"/>
          <w:lang w:val="pt-PT"/>
        </w:rPr>
      </w:pPr>
      <w:r w:rsidRPr="00292532">
        <w:rPr>
          <w:rFonts w:asciiTheme="minorHAnsi" w:eastAsia="Times New Roman" w:hAnsiTheme="minorHAnsi" w:cstheme="minorHAnsi"/>
          <w:color w:val="231F20"/>
          <w:lang w:val="pt-PT"/>
        </w:rPr>
        <w:t>Outro</w:t>
      </w:r>
      <w:r w:rsidRPr="00292532">
        <w:rPr>
          <w:rFonts w:asciiTheme="minorHAnsi" w:eastAsia="Times New Roman" w:hAnsiTheme="minorHAnsi" w:cstheme="minorHAnsi"/>
          <w:color w:val="231F20"/>
          <w:lang w:val="pt-PT"/>
        </w:rPr>
        <w:tab/>
        <w:t>(especifique):</w:t>
      </w:r>
    </w:p>
    <w:p w14:paraId="32BEE9AA" w14:textId="5EFBA55A" w:rsidR="00F638C3" w:rsidRPr="00292532" w:rsidRDefault="00F638C3" w:rsidP="00F638C3">
      <w:pPr>
        <w:widowControl w:val="0"/>
        <w:tabs>
          <w:tab w:val="left" w:pos="900"/>
        </w:tabs>
        <w:autoSpaceDE w:val="0"/>
        <w:autoSpaceDN w:val="0"/>
        <w:spacing w:before="0" w:after="0"/>
        <w:ind w:left="900" w:right="970"/>
        <w:jc w:val="left"/>
        <w:rPr>
          <w:rFonts w:asciiTheme="minorHAnsi" w:eastAsia="Times New Roman" w:hAnsiTheme="minorHAnsi" w:cstheme="minorHAnsi"/>
          <w:lang w:val="pt-PT"/>
        </w:rPr>
      </w:pPr>
      <w:r w:rsidRPr="00292532">
        <w:rPr>
          <w:rFonts w:asciiTheme="minorHAnsi" w:eastAsia="Times New Roman" w:hAnsiTheme="minorHAnsi" w:cstheme="minorHAnsi"/>
          <w:noProof/>
          <w:lang w:val="en-US"/>
        </w:rPr>
        <mc:AlternateContent>
          <mc:Choice Requires="wps">
            <w:drawing>
              <wp:anchor distT="0" distB="0" distL="0" distR="0" simplePos="0" relativeHeight="252132352" behindDoc="1" locked="0" layoutInCell="1" allowOverlap="1" wp14:anchorId="70286168" wp14:editId="582DCB31">
                <wp:simplePos x="0" y="0"/>
                <wp:positionH relativeFrom="page">
                  <wp:posOffset>692785</wp:posOffset>
                </wp:positionH>
                <wp:positionV relativeFrom="paragraph">
                  <wp:posOffset>203200</wp:posOffset>
                </wp:positionV>
                <wp:extent cx="6319520" cy="1270"/>
                <wp:effectExtent l="0" t="0" r="0" b="0"/>
                <wp:wrapTopAndBottom/>
                <wp:docPr id="421"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9520" cy="1270"/>
                        </a:xfrm>
                        <a:custGeom>
                          <a:avLst/>
                          <a:gdLst>
                            <a:gd name="T0" fmla="+- 0 1091 1091"/>
                            <a:gd name="T1" fmla="*/ T0 w 9952"/>
                            <a:gd name="T2" fmla="+- 0 11043 1091"/>
                            <a:gd name="T3" fmla="*/ T2 w 9952"/>
                          </a:gdLst>
                          <a:ahLst/>
                          <a:cxnLst>
                            <a:cxn ang="0">
                              <a:pos x="T1" y="0"/>
                            </a:cxn>
                            <a:cxn ang="0">
                              <a:pos x="T3" y="0"/>
                            </a:cxn>
                          </a:cxnLst>
                          <a:rect l="0" t="0" r="r" b="b"/>
                          <a:pathLst>
                            <a:path w="9952">
                              <a:moveTo>
                                <a:pt x="0" y="0"/>
                              </a:moveTo>
                              <a:lnTo>
                                <a:pt x="9952"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4407AF52" id="Freeform 12" o:spid="_x0000_s1026" style="position:absolute;margin-left:54.55pt;margin-top:16pt;width:497.6pt;height:.1pt;z-index:-251184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" path="m,l9952,e" filled="f" strokecolor="#221e1f" strokeweight=".17278mm">
                <v:path arrowok="t" o:connecttype="custom" o:connectlocs="0,0;631952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33376" behindDoc="1" locked="0" layoutInCell="1" allowOverlap="1" wp14:anchorId="6FD8ECBE" wp14:editId="6FFF1BF9">
                <wp:simplePos x="0" y="0"/>
                <wp:positionH relativeFrom="page">
                  <wp:posOffset>692785</wp:posOffset>
                </wp:positionH>
                <wp:positionV relativeFrom="paragraph">
                  <wp:posOffset>349250</wp:posOffset>
                </wp:positionV>
                <wp:extent cx="6315075" cy="1270"/>
                <wp:effectExtent l="0" t="0" r="0" b="0"/>
                <wp:wrapTopAndBottom/>
                <wp:docPr id="422"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087F510D" id="Freeform 11" o:spid="_x0000_s1026" style="position:absolute;margin-left:54.55pt;margin-top:27.5pt;width:497.25pt;height:.1pt;z-index:-251183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" path="m,l9944,e" filled="f" strokecolor="#221e1f" strokeweight=".17278mm">
                <v:path arrowok="t" o:connecttype="custom" o:connectlocs="0,0;631444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34400" behindDoc="1" locked="0" layoutInCell="1" allowOverlap="1" wp14:anchorId="28E10F7A" wp14:editId="5D1B8413">
                <wp:simplePos x="0" y="0"/>
                <wp:positionH relativeFrom="page">
                  <wp:posOffset>692785</wp:posOffset>
                </wp:positionH>
                <wp:positionV relativeFrom="paragraph">
                  <wp:posOffset>495300</wp:posOffset>
                </wp:positionV>
                <wp:extent cx="6315075" cy="1270"/>
                <wp:effectExtent l="0" t="0" r="0" b="0"/>
                <wp:wrapTopAndBottom/>
                <wp:docPr id="423"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6DADD8C0" id="Freeform 10" o:spid="_x0000_s1026" style="position:absolute;margin-left:54.55pt;margin-top:39pt;width:497.25pt;height:.1pt;z-index:-251182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" path="m,l9944,e" filled="f" strokecolor="#221e1f" strokeweight=".17278mm">
                <v:path arrowok="t" o:connecttype="custom" o:connectlocs="0,0;6314440,0" o:connectangles="0,0"/>
                <w10:wrap type="topAndBottom" anchorx="page"/>
              </v:shape>
            </w:pict>
          </mc:Fallback>
        </mc:AlternateContent>
      </w:r>
    </w:p>
    <w:p w14:paraId="6116FAFE" w14:textId="77777777" w:rsidR="00F638C3" w:rsidRPr="00292532" w:rsidRDefault="00F638C3" w:rsidP="00F638C3">
      <w:pPr>
        <w:widowControl w:val="0"/>
        <w:tabs>
          <w:tab w:val="left" w:pos="900"/>
        </w:tabs>
        <w:autoSpaceDE w:val="0"/>
        <w:autoSpaceDN w:val="0"/>
        <w:spacing w:before="2" w:after="0"/>
        <w:ind w:left="900" w:right="970"/>
        <w:jc w:val="left"/>
        <w:rPr>
          <w:rFonts w:asciiTheme="minorHAnsi" w:eastAsia="Times New Roman" w:hAnsiTheme="minorHAnsi" w:cstheme="minorHAnsi"/>
          <w:lang w:val="pt-PT"/>
        </w:rPr>
      </w:pPr>
    </w:p>
    <w:p w14:paraId="49A7D31D" w14:textId="77777777" w:rsidR="00F638C3" w:rsidRPr="00292532" w:rsidRDefault="00F638C3" w:rsidP="00F638C3">
      <w:pPr>
        <w:widowControl w:val="0"/>
        <w:tabs>
          <w:tab w:val="left" w:pos="604"/>
          <w:tab w:val="left" w:pos="900"/>
        </w:tabs>
        <w:autoSpaceDE w:val="0"/>
        <w:autoSpaceDN w:val="0"/>
        <w:spacing w:before="102" w:after="0"/>
        <w:ind w:left="900" w:right="970"/>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10.6</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Infraestruturas</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principais</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existentes</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ao</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redor</w:t>
      </w:r>
      <w:r w:rsidRPr="00292532">
        <w:rPr>
          <w:rFonts w:asciiTheme="minorHAnsi" w:eastAsia="Times New Roman" w:hAnsiTheme="minorHAnsi" w:cstheme="minorHAnsi"/>
          <w:b/>
          <w:color w:val="231F20"/>
          <w:spacing w:val="-5"/>
          <w:lang w:val="pt-PT"/>
        </w:rPr>
        <w:t xml:space="preserve"> </w:t>
      </w:r>
      <w:r w:rsidRPr="00292532">
        <w:rPr>
          <w:rFonts w:asciiTheme="minorHAnsi" w:eastAsia="Times New Roman" w:hAnsiTheme="minorHAnsi" w:cstheme="minorHAnsi"/>
          <w:b/>
          <w:color w:val="231F20"/>
          <w:lang w:val="pt-PT"/>
        </w:rPr>
        <w:t>da</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área</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da</w:t>
      </w:r>
      <w:r w:rsidRPr="00292532">
        <w:rPr>
          <w:rFonts w:asciiTheme="minorHAnsi" w:eastAsia="Times New Roman" w:hAnsiTheme="minorHAnsi" w:cstheme="minorHAnsi"/>
          <w:b/>
          <w:color w:val="231F20"/>
          <w:spacing w:val="-1"/>
          <w:lang w:val="pt-PT"/>
        </w:rPr>
        <w:t xml:space="preserve"> </w:t>
      </w:r>
      <w:proofErr w:type="spellStart"/>
      <w:r w:rsidRPr="00292532">
        <w:rPr>
          <w:rFonts w:asciiTheme="minorHAnsi" w:eastAsia="Times New Roman" w:hAnsiTheme="minorHAnsi" w:cstheme="minorHAnsi"/>
          <w:b/>
          <w:color w:val="231F20"/>
          <w:lang w:val="pt-PT"/>
        </w:rPr>
        <w:t>actividade</w:t>
      </w:r>
      <w:proofErr w:type="spellEnd"/>
      <w:r w:rsidRPr="00292532">
        <w:rPr>
          <w:rFonts w:asciiTheme="minorHAnsi" w:eastAsia="Times New Roman" w:hAnsiTheme="minorHAnsi" w:cstheme="minorHAnsi"/>
          <w:b/>
          <w:color w:val="231F20"/>
          <w:lang w:val="pt-PT"/>
        </w:rPr>
        <w:t>:</w:t>
      </w:r>
    </w:p>
    <w:p w14:paraId="465AEE81" w14:textId="35EF2CF5" w:rsidR="00F638C3" w:rsidRPr="00292532" w:rsidRDefault="00F638C3" w:rsidP="00F638C3">
      <w:pPr>
        <w:widowControl w:val="0"/>
        <w:tabs>
          <w:tab w:val="left" w:pos="900"/>
        </w:tabs>
        <w:autoSpaceDE w:val="0"/>
        <w:autoSpaceDN w:val="0"/>
        <w:spacing w:before="0"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noProof/>
          <w:lang w:val="en-US"/>
        </w:rPr>
        <mc:AlternateContent>
          <mc:Choice Requires="wps">
            <w:drawing>
              <wp:anchor distT="0" distB="0" distL="0" distR="0" simplePos="0" relativeHeight="252135424" behindDoc="1" locked="0" layoutInCell="1" allowOverlap="1" wp14:anchorId="03A6B50F" wp14:editId="2D7C9FFF">
                <wp:simplePos x="0" y="0"/>
                <wp:positionH relativeFrom="page">
                  <wp:posOffset>692785</wp:posOffset>
                </wp:positionH>
                <wp:positionV relativeFrom="paragraph">
                  <wp:posOffset>203200</wp:posOffset>
                </wp:positionV>
                <wp:extent cx="6316345" cy="1270"/>
                <wp:effectExtent l="0" t="0" r="0" b="0"/>
                <wp:wrapTopAndBottom/>
                <wp:docPr id="424"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6345" cy="1270"/>
                        </a:xfrm>
                        <a:custGeom>
                          <a:avLst/>
                          <a:gdLst>
                            <a:gd name="T0" fmla="+- 0 1091 1091"/>
                            <a:gd name="T1" fmla="*/ T0 w 9947"/>
                            <a:gd name="T2" fmla="+- 0 11037 1091"/>
                            <a:gd name="T3" fmla="*/ T2 w 9947"/>
                          </a:gdLst>
                          <a:ahLst/>
                          <a:cxnLst>
                            <a:cxn ang="0">
                              <a:pos x="T1" y="0"/>
                            </a:cxn>
                            <a:cxn ang="0">
                              <a:pos x="T3" y="0"/>
                            </a:cxn>
                          </a:cxnLst>
                          <a:rect l="0" t="0" r="r" b="b"/>
                          <a:pathLst>
                            <a:path w="9947">
                              <a:moveTo>
                                <a:pt x="0" y="0"/>
                              </a:moveTo>
                              <a:lnTo>
                                <a:pt x="9946"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6D4D5DE0" id="Freeform 9" o:spid="_x0000_s1026" style="position:absolute;margin-left:54.55pt;margin-top:16pt;width:497.35pt;height:.1pt;z-index:-251181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" path="m,l9946,e" filled="f" strokecolor="#221e1f" strokeweight=".17278mm">
                <v:path arrowok="t" o:connecttype="custom" o:connectlocs="0,0;631571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36448" behindDoc="1" locked="0" layoutInCell="1" allowOverlap="1" wp14:anchorId="2112BF2C" wp14:editId="673CC40A">
                <wp:simplePos x="0" y="0"/>
                <wp:positionH relativeFrom="page">
                  <wp:posOffset>692785</wp:posOffset>
                </wp:positionH>
                <wp:positionV relativeFrom="paragraph">
                  <wp:posOffset>349250</wp:posOffset>
                </wp:positionV>
                <wp:extent cx="6316345" cy="1270"/>
                <wp:effectExtent l="0" t="0" r="0" b="0"/>
                <wp:wrapTopAndBottom/>
                <wp:docPr id="425"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6345" cy="1270"/>
                        </a:xfrm>
                        <a:custGeom>
                          <a:avLst/>
                          <a:gdLst>
                            <a:gd name="T0" fmla="+- 0 1091 1091"/>
                            <a:gd name="T1" fmla="*/ T0 w 9947"/>
                            <a:gd name="T2" fmla="+- 0 11037 1091"/>
                            <a:gd name="T3" fmla="*/ T2 w 9947"/>
                          </a:gdLst>
                          <a:ahLst/>
                          <a:cxnLst>
                            <a:cxn ang="0">
                              <a:pos x="T1" y="0"/>
                            </a:cxn>
                            <a:cxn ang="0">
                              <a:pos x="T3" y="0"/>
                            </a:cxn>
                          </a:cxnLst>
                          <a:rect l="0" t="0" r="r" b="b"/>
                          <a:pathLst>
                            <a:path w="9947">
                              <a:moveTo>
                                <a:pt x="0" y="0"/>
                              </a:moveTo>
                              <a:lnTo>
                                <a:pt x="9946"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1602BE40" id="Freeform 8" o:spid="_x0000_s1026" style="position:absolute;margin-left:54.55pt;margin-top:27.5pt;width:497.35pt;height:.1pt;z-index:-251180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" path="m,l9946,e" filled="f" strokecolor="#221e1f" strokeweight=".17278mm">
                <v:path arrowok="t" o:connecttype="custom" o:connectlocs="0,0;631571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37472" behindDoc="1" locked="0" layoutInCell="1" allowOverlap="1" wp14:anchorId="2139914C" wp14:editId="3887C609">
                <wp:simplePos x="0" y="0"/>
                <wp:positionH relativeFrom="page">
                  <wp:posOffset>692785</wp:posOffset>
                </wp:positionH>
                <wp:positionV relativeFrom="paragraph">
                  <wp:posOffset>495300</wp:posOffset>
                </wp:positionV>
                <wp:extent cx="6316345" cy="1270"/>
                <wp:effectExtent l="0" t="0" r="0" b="0"/>
                <wp:wrapTopAndBottom/>
                <wp:docPr id="426"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6345" cy="1270"/>
                        </a:xfrm>
                        <a:custGeom>
                          <a:avLst/>
                          <a:gdLst>
                            <a:gd name="T0" fmla="+- 0 1091 1091"/>
                            <a:gd name="T1" fmla="*/ T0 w 9947"/>
                            <a:gd name="T2" fmla="+- 0 11037 1091"/>
                            <a:gd name="T3" fmla="*/ T2 w 9947"/>
                          </a:gdLst>
                          <a:ahLst/>
                          <a:cxnLst>
                            <a:cxn ang="0">
                              <a:pos x="T1" y="0"/>
                            </a:cxn>
                            <a:cxn ang="0">
                              <a:pos x="T3" y="0"/>
                            </a:cxn>
                          </a:cxnLst>
                          <a:rect l="0" t="0" r="r" b="b"/>
                          <a:pathLst>
                            <a:path w="9947">
                              <a:moveTo>
                                <a:pt x="0" y="0"/>
                              </a:moveTo>
                              <a:lnTo>
                                <a:pt x="9946"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111DE94A" id="Freeform 7" o:spid="_x0000_s1026" style="position:absolute;margin-left:54.55pt;margin-top:39pt;width:497.35pt;height:.1pt;z-index:-251179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" path="m,l9946,e" filled="f" strokecolor="#221e1f" strokeweight=".17278mm">
                <v:path arrowok="t" o:connecttype="custom" o:connectlocs="0,0;631571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38496" behindDoc="1" locked="0" layoutInCell="1" allowOverlap="1" wp14:anchorId="4BC50E4D" wp14:editId="61C2814E">
                <wp:simplePos x="0" y="0"/>
                <wp:positionH relativeFrom="page">
                  <wp:posOffset>692785</wp:posOffset>
                </wp:positionH>
                <wp:positionV relativeFrom="paragraph">
                  <wp:posOffset>641350</wp:posOffset>
                </wp:positionV>
                <wp:extent cx="6315075" cy="1270"/>
                <wp:effectExtent l="0" t="0" r="0" b="0"/>
                <wp:wrapTopAndBottom/>
                <wp:docPr id="427"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1270"/>
                        </a:xfrm>
                        <a:custGeom>
                          <a:avLst/>
                          <a:gdLst>
                            <a:gd name="T0" fmla="+- 0 1091 1091"/>
                            <a:gd name="T1" fmla="*/ T0 w 9945"/>
                            <a:gd name="T2" fmla="+- 0 11035 1091"/>
                            <a:gd name="T3" fmla="*/ T2 w 9945"/>
                          </a:gdLst>
                          <a:ahLst/>
                          <a:cxnLst>
                            <a:cxn ang="0">
                              <a:pos x="T1" y="0"/>
                            </a:cxn>
                            <a:cxn ang="0">
                              <a:pos x="T3" y="0"/>
                            </a:cxn>
                          </a:cxnLst>
                          <a:rect l="0" t="0" r="r" b="b"/>
                          <a:pathLst>
                            <a:path w="9945">
                              <a:moveTo>
                                <a:pt x="0" y="0"/>
                              </a:moveTo>
                              <a:lnTo>
                                <a:pt x="9944"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6855526C" id="Freeform 6" o:spid="_x0000_s1026" style="position:absolute;margin-left:54.55pt;margin-top:50.5pt;width:497.25pt;height:.1pt;z-index:-251177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" path="m,l9944,e" filled="f" strokecolor="#221e1f" strokeweight=".17278mm">
                <v:path arrowok="t" o:connecttype="custom" o:connectlocs="0,0;6314440,0" o:connectangles="0,0"/>
                <w10:wrap type="topAndBottom" anchorx="page"/>
              </v:shape>
            </w:pict>
          </mc:Fallback>
        </mc:AlternateContent>
      </w:r>
    </w:p>
    <w:p w14:paraId="297CA514" w14:textId="77777777" w:rsidR="00F638C3" w:rsidRPr="00292532" w:rsidRDefault="00F638C3" w:rsidP="00F638C3">
      <w:pPr>
        <w:widowControl w:val="0"/>
        <w:tabs>
          <w:tab w:val="left" w:pos="900"/>
        </w:tabs>
        <w:autoSpaceDE w:val="0"/>
        <w:autoSpaceDN w:val="0"/>
        <w:spacing w:before="2" w:after="0"/>
        <w:ind w:left="900" w:right="970"/>
        <w:jc w:val="left"/>
        <w:rPr>
          <w:rFonts w:asciiTheme="minorHAnsi" w:eastAsia="Times New Roman" w:hAnsiTheme="minorHAnsi" w:cstheme="minorHAnsi"/>
          <w:b/>
          <w:lang w:val="pt-PT"/>
        </w:rPr>
      </w:pPr>
    </w:p>
    <w:p w14:paraId="2DD5BE6B" w14:textId="77777777" w:rsidR="00F638C3" w:rsidRPr="00292532" w:rsidRDefault="00F638C3" w:rsidP="00F638C3">
      <w:pPr>
        <w:widowControl w:val="0"/>
        <w:tabs>
          <w:tab w:val="left" w:pos="900"/>
        </w:tabs>
        <w:autoSpaceDE w:val="0"/>
        <w:autoSpaceDN w:val="0"/>
        <w:spacing w:before="2" w:after="0"/>
        <w:ind w:left="900" w:right="970"/>
        <w:jc w:val="left"/>
        <w:rPr>
          <w:rFonts w:asciiTheme="minorHAnsi" w:eastAsia="Times New Roman" w:hAnsiTheme="minorHAnsi" w:cstheme="minorHAnsi"/>
          <w:b/>
          <w:lang w:val="pt-PT"/>
        </w:rPr>
      </w:pPr>
    </w:p>
    <w:p w14:paraId="7BF6D3A7" w14:textId="77777777" w:rsidR="00F638C3" w:rsidRPr="00292532" w:rsidRDefault="00F638C3" w:rsidP="00F638C3">
      <w:pPr>
        <w:widowControl w:val="0"/>
        <w:tabs>
          <w:tab w:val="left" w:pos="900"/>
        </w:tabs>
        <w:autoSpaceDE w:val="0"/>
        <w:autoSpaceDN w:val="0"/>
        <w:spacing w:before="2" w:after="0"/>
        <w:ind w:left="900" w:right="970"/>
        <w:jc w:val="left"/>
        <w:rPr>
          <w:rFonts w:asciiTheme="minorHAnsi" w:eastAsia="Times New Roman" w:hAnsiTheme="minorHAnsi" w:cstheme="minorHAnsi"/>
          <w:b/>
          <w:lang w:val="pt-PT"/>
        </w:rPr>
      </w:pPr>
    </w:p>
    <w:p w14:paraId="4722A421" w14:textId="77777777" w:rsidR="00F638C3" w:rsidRPr="00292532" w:rsidRDefault="00F638C3" w:rsidP="00F638C3">
      <w:pPr>
        <w:widowControl w:val="0"/>
        <w:numPr>
          <w:ilvl w:val="0"/>
          <w:numId w:val="33"/>
        </w:numPr>
        <w:tabs>
          <w:tab w:val="left" w:pos="289"/>
          <w:tab w:val="left" w:pos="900"/>
        </w:tabs>
        <w:autoSpaceDE w:val="0"/>
        <w:autoSpaceDN w:val="0"/>
        <w:spacing w:before="102" w:after="0"/>
        <w:ind w:left="900" w:right="970" w:firstLine="0"/>
        <w:jc w:val="left"/>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Informação</w:t>
      </w:r>
      <w:r w:rsidRPr="00292532">
        <w:rPr>
          <w:rFonts w:asciiTheme="minorHAnsi" w:eastAsia="Times New Roman" w:hAnsiTheme="minorHAnsi" w:cstheme="minorHAnsi"/>
          <w:b/>
          <w:color w:val="231F20"/>
          <w:spacing w:val="-2"/>
          <w:lang w:val="pt-PT"/>
        </w:rPr>
        <w:t xml:space="preserve"> </w:t>
      </w:r>
      <w:r w:rsidRPr="00292532">
        <w:rPr>
          <w:rFonts w:asciiTheme="minorHAnsi" w:eastAsia="Times New Roman" w:hAnsiTheme="minorHAnsi" w:cstheme="minorHAnsi"/>
          <w:b/>
          <w:color w:val="231F20"/>
          <w:lang w:val="pt-PT"/>
        </w:rPr>
        <w:t>complementar</w:t>
      </w:r>
      <w:r w:rsidRPr="00292532">
        <w:rPr>
          <w:rFonts w:asciiTheme="minorHAnsi" w:eastAsia="Times New Roman" w:hAnsiTheme="minorHAnsi" w:cstheme="minorHAnsi"/>
          <w:b/>
          <w:color w:val="231F20"/>
          <w:spacing w:val="-4"/>
          <w:lang w:val="pt-PT"/>
        </w:rPr>
        <w:t xml:space="preserve"> </w:t>
      </w:r>
      <w:r w:rsidRPr="00292532">
        <w:rPr>
          <w:rFonts w:asciiTheme="minorHAnsi" w:eastAsia="Times New Roman" w:hAnsiTheme="minorHAnsi" w:cstheme="minorHAnsi"/>
          <w:b/>
          <w:color w:val="231F20"/>
          <w:lang w:val="pt-PT"/>
        </w:rPr>
        <w:t>através</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de</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mapas</w:t>
      </w:r>
    </w:p>
    <w:p w14:paraId="16FF6693" w14:textId="77777777" w:rsidR="00F638C3" w:rsidRPr="00292532" w:rsidRDefault="00F638C3" w:rsidP="00F638C3">
      <w:pPr>
        <w:widowControl w:val="0"/>
        <w:numPr>
          <w:ilvl w:val="1"/>
          <w:numId w:val="33"/>
        </w:numPr>
        <w:tabs>
          <w:tab w:val="left" w:pos="120"/>
          <w:tab w:val="left" w:pos="900"/>
        </w:tabs>
        <w:autoSpaceDE w:val="0"/>
        <w:autoSpaceDN w:val="0"/>
        <w:spacing w:before="113" w:after="0"/>
        <w:ind w:left="900" w:right="970" w:firstLine="0"/>
        <w:jc w:val="left"/>
        <w:rPr>
          <w:rFonts w:asciiTheme="minorHAnsi" w:eastAsia="Times New Roman" w:hAnsiTheme="minorHAnsi" w:cstheme="minorHAnsi"/>
          <w:lang w:val="pt-PT"/>
        </w:rPr>
      </w:pPr>
      <w:r w:rsidRPr="00292532">
        <w:rPr>
          <w:rFonts w:asciiTheme="minorHAnsi" w:eastAsia="Times New Roman" w:hAnsiTheme="minorHAnsi" w:cstheme="minorHAnsi"/>
          <w:color w:val="231F20"/>
          <w:lang w:val="pt-PT"/>
        </w:rPr>
        <w:t>Mapa</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de</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localização</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(a</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escala</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conveniente)</w:t>
      </w:r>
    </w:p>
    <w:p w14:paraId="5F0ECE0C" w14:textId="77777777" w:rsidR="00F638C3" w:rsidRPr="00292532" w:rsidRDefault="00F638C3" w:rsidP="00F638C3">
      <w:pPr>
        <w:widowControl w:val="0"/>
        <w:numPr>
          <w:ilvl w:val="1"/>
          <w:numId w:val="33"/>
        </w:numPr>
        <w:tabs>
          <w:tab w:val="left" w:pos="900"/>
        </w:tabs>
        <w:autoSpaceDE w:val="0"/>
        <w:autoSpaceDN w:val="0"/>
        <w:spacing w:before="0" w:after="0"/>
        <w:ind w:left="900" w:right="970" w:firstLine="0"/>
        <w:jc w:val="left"/>
        <w:rPr>
          <w:rFonts w:asciiTheme="minorHAnsi" w:eastAsia="Times New Roman" w:hAnsiTheme="minorHAnsi" w:cstheme="minorHAnsi"/>
          <w:lang w:val="pt-PT"/>
        </w:rPr>
      </w:pPr>
      <w:r w:rsidRPr="00292532">
        <w:rPr>
          <w:rFonts w:asciiTheme="minorHAnsi" w:eastAsia="Times New Roman" w:hAnsiTheme="minorHAnsi" w:cstheme="minorHAnsi"/>
          <w:color w:val="231F20"/>
          <w:lang w:val="pt-PT"/>
        </w:rPr>
        <w:t>Mapa</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de</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enquadramento</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da</w:t>
      </w:r>
      <w:r w:rsidRPr="00292532">
        <w:rPr>
          <w:rFonts w:asciiTheme="minorHAnsi" w:eastAsia="Times New Roman" w:hAnsiTheme="minorHAnsi" w:cstheme="minorHAnsi"/>
          <w:color w:val="231F20"/>
          <w:spacing w:val="-1"/>
          <w:lang w:val="pt-PT"/>
        </w:rPr>
        <w:t xml:space="preserve"> </w:t>
      </w:r>
      <w:proofErr w:type="spellStart"/>
      <w:r w:rsidRPr="00292532">
        <w:rPr>
          <w:rFonts w:asciiTheme="minorHAnsi" w:eastAsia="Times New Roman" w:hAnsiTheme="minorHAnsi" w:cstheme="minorHAnsi"/>
          <w:color w:val="231F20"/>
          <w:lang w:val="pt-PT"/>
        </w:rPr>
        <w:t>actividade</w:t>
      </w:r>
      <w:proofErr w:type="spellEnd"/>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na</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zona</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de</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localização</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(a</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escala conveniente)</w:t>
      </w:r>
    </w:p>
    <w:p w14:paraId="5603887C" w14:textId="77777777" w:rsidR="00F638C3" w:rsidRPr="00292532" w:rsidRDefault="00F638C3" w:rsidP="00F638C3">
      <w:pPr>
        <w:widowControl w:val="0"/>
        <w:numPr>
          <w:ilvl w:val="1"/>
          <w:numId w:val="33"/>
        </w:numPr>
        <w:tabs>
          <w:tab w:val="left" w:pos="900"/>
        </w:tabs>
        <w:autoSpaceDE w:val="0"/>
        <w:autoSpaceDN w:val="0"/>
        <w:spacing w:before="0" w:after="0"/>
        <w:ind w:left="900" w:right="970" w:firstLine="0"/>
        <w:jc w:val="left"/>
        <w:rPr>
          <w:rFonts w:asciiTheme="minorHAnsi" w:eastAsia="Times New Roman" w:hAnsiTheme="minorHAnsi" w:cstheme="minorHAnsi"/>
          <w:lang w:val="pt-PT"/>
        </w:rPr>
      </w:pPr>
      <w:r w:rsidRPr="00292532">
        <w:rPr>
          <w:rFonts w:asciiTheme="minorHAnsi" w:eastAsia="Times New Roman" w:hAnsiTheme="minorHAnsi" w:cstheme="minorHAnsi"/>
          <w:color w:val="231F20"/>
          <w:lang w:val="pt-PT"/>
        </w:rPr>
        <w:t>Outra</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informação</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que</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julgar</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relevante.</w:t>
      </w:r>
    </w:p>
    <w:p w14:paraId="6097ECFD" w14:textId="77777777" w:rsidR="00F638C3" w:rsidRPr="00292532" w:rsidRDefault="00F638C3" w:rsidP="00F638C3">
      <w:pPr>
        <w:widowControl w:val="0"/>
        <w:numPr>
          <w:ilvl w:val="0"/>
          <w:numId w:val="33"/>
        </w:numPr>
        <w:tabs>
          <w:tab w:val="left" w:pos="601"/>
          <w:tab w:val="left" w:pos="900"/>
        </w:tabs>
        <w:autoSpaceDE w:val="0"/>
        <w:autoSpaceDN w:val="0"/>
        <w:spacing w:before="113" w:after="0"/>
        <w:ind w:left="900" w:right="970" w:firstLine="0"/>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Valor</w:t>
      </w:r>
      <w:r w:rsidRPr="00292532">
        <w:rPr>
          <w:rFonts w:asciiTheme="minorHAnsi" w:eastAsia="Times New Roman" w:hAnsiTheme="minorHAnsi" w:cstheme="minorHAnsi"/>
          <w:b/>
          <w:color w:val="231F20"/>
          <w:spacing w:val="-9"/>
          <w:lang w:val="pt-PT"/>
        </w:rPr>
        <w:t xml:space="preserve"> </w:t>
      </w:r>
      <w:r w:rsidRPr="00292532">
        <w:rPr>
          <w:rFonts w:asciiTheme="minorHAnsi" w:eastAsia="Times New Roman" w:hAnsiTheme="minorHAnsi" w:cstheme="minorHAnsi"/>
          <w:b/>
          <w:color w:val="231F20"/>
          <w:lang w:val="pt-PT"/>
        </w:rPr>
        <w:t>total</w:t>
      </w:r>
      <w:r w:rsidRPr="00292532">
        <w:rPr>
          <w:rFonts w:asciiTheme="minorHAnsi" w:eastAsia="Times New Roman" w:hAnsiTheme="minorHAnsi" w:cstheme="minorHAnsi"/>
          <w:b/>
          <w:color w:val="231F20"/>
          <w:spacing w:val="-5"/>
          <w:lang w:val="pt-PT"/>
        </w:rPr>
        <w:t xml:space="preserve"> </w:t>
      </w:r>
      <w:r w:rsidRPr="00292532">
        <w:rPr>
          <w:rFonts w:asciiTheme="minorHAnsi" w:eastAsia="Times New Roman" w:hAnsiTheme="minorHAnsi" w:cstheme="minorHAnsi"/>
          <w:b/>
          <w:color w:val="231F20"/>
          <w:lang w:val="pt-PT"/>
        </w:rPr>
        <w:t>de</w:t>
      </w:r>
      <w:r w:rsidRPr="00292532">
        <w:rPr>
          <w:rFonts w:asciiTheme="minorHAnsi" w:eastAsia="Times New Roman" w:hAnsiTheme="minorHAnsi" w:cstheme="minorHAnsi"/>
          <w:b/>
          <w:color w:val="231F20"/>
          <w:spacing w:val="-5"/>
          <w:lang w:val="pt-PT"/>
        </w:rPr>
        <w:t xml:space="preserve"> </w:t>
      </w:r>
      <w:r w:rsidRPr="00292532">
        <w:rPr>
          <w:rFonts w:asciiTheme="minorHAnsi" w:eastAsia="Times New Roman" w:hAnsiTheme="minorHAnsi" w:cstheme="minorHAnsi"/>
          <w:b/>
          <w:color w:val="231F20"/>
          <w:lang w:val="pt-PT"/>
        </w:rPr>
        <w:t>investimento:</w:t>
      </w:r>
    </w:p>
    <w:p w14:paraId="3F6B8DFC" w14:textId="02F78D0B" w:rsidR="00F638C3" w:rsidRPr="00292532" w:rsidRDefault="00F638C3" w:rsidP="00F638C3">
      <w:pPr>
        <w:widowControl w:val="0"/>
        <w:tabs>
          <w:tab w:val="left" w:pos="900"/>
        </w:tabs>
        <w:autoSpaceDE w:val="0"/>
        <w:autoSpaceDN w:val="0"/>
        <w:spacing w:before="0" w:after="0"/>
        <w:ind w:left="900" w:right="970"/>
        <w:jc w:val="left"/>
        <w:rPr>
          <w:rFonts w:asciiTheme="minorHAnsi" w:eastAsia="Times New Roman" w:hAnsiTheme="minorHAnsi" w:cstheme="minorHAnsi"/>
          <w:b/>
          <w:lang w:val="pt-PT"/>
        </w:rPr>
      </w:pPr>
      <w:r w:rsidRPr="00292532">
        <w:rPr>
          <w:rFonts w:asciiTheme="minorHAnsi" w:eastAsia="Times New Roman" w:hAnsiTheme="minorHAnsi" w:cstheme="minorHAnsi"/>
          <w:noProof/>
          <w:lang w:val="en-US"/>
        </w:rPr>
        <mc:AlternateContent>
          <mc:Choice Requires="wps">
            <w:drawing>
              <wp:anchor distT="0" distB="0" distL="0" distR="0" simplePos="0" relativeHeight="252139520" behindDoc="1" locked="0" layoutInCell="1" allowOverlap="1" wp14:anchorId="7DE7654C" wp14:editId="31261E41">
                <wp:simplePos x="0" y="0"/>
                <wp:positionH relativeFrom="page">
                  <wp:posOffset>692785</wp:posOffset>
                </wp:positionH>
                <wp:positionV relativeFrom="paragraph">
                  <wp:posOffset>203835</wp:posOffset>
                </wp:positionV>
                <wp:extent cx="6319520" cy="1270"/>
                <wp:effectExtent l="0" t="0" r="0" b="0"/>
                <wp:wrapTopAndBottom/>
                <wp:docPr id="428"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9520" cy="1270"/>
                        </a:xfrm>
                        <a:custGeom>
                          <a:avLst/>
                          <a:gdLst>
                            <a:gd name="T0" fmla="+- 0 1091 1091"/>
                            <a:gd name="T1" fmla="*/ T0 w 9952"/>
                            <a:gd name="T2" fmla="+- 0 11043 1091"/>
                            <a:gd name="T3" fmla="*/ T2 w 9952"/>
                          </a:gdLst>
                          <a:ahLst/>
                          <a:cxnLst>
                            <a:cxn ang="0">
                              <a:pos x="T1" y="0"/>
                            </a:cxn>
                            <a:cxn ang="0">
                              <a:pos x="T3" y="0"/>
                            </a:cxn>
                          </a:cxnLst>
                          <a:rect l="0" t="0" r="r" b="b"/>
                          <a:pathLst>
                            <a:path w="9952">
                              <a:moveTo>
                                <a:pt x="0" y="0"/>
                              </a:moveTo>
                              <a:lnTo>
                                <a:pt x="9952"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EEA4B20" id="Freeform 5" o:spid="_x0000_s1026" style="position:absolute;margin-left:54.55pt;margin-top:16.05pt;width:497.6pt;height:.1pt;z-index:-251176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" path="m,l9952,e" filled="f" strokecolor="#221e1f" strokeweight=".17278mm">
                <v:path arrowok="t" o:connecttype="custom" o:connectlocs="0,0;631952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40544" behindDoc="1" locked="0" layoutInCell="1" allowOverlap="1" wp14:anchorId="1E637104" wp14:editId="67F37247">
                <wp:simplePos x="0" y="0"/>
                <wp:positionH relativeFrom="page">
                  <wp:posOffset>692785</wp:posOffset>
                </wp:positionH>
                <wp:positionV relativeFrom="paragraph">
                  <wp:posOffset>349885</wp:posOffset>
                </wp:positionV>
                <wp:extent cx="6319520" cy="1270"/>
                <wp:effectExtent l="0" t="0" r="0" b="0"/>
                <wp:wrapTopAndBottom/>
                <wp:docPr id="429"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9520" cy="1270"/>
                        </a:xfrm>
                        <a:custGeom>
                          <a:avLst/>
                          <a:gdLst>
                            <a:gd name="T0" fmla="+- 0 1091 1091"/>
                            <a:gd name="T1" fmla="*/ T0 w 9952"/>
                            <a:gd name="T2" fmla="+- 0 11043 1091"/>
                            <a:gd name="T3" fmla="*/ T2 w 9952"/>
                          </a:gdLst>
                          <a:ahLst/>
                          <a:cxnLst>
                            <a:cxn ang="0">
                              <a:pos x="T1" y="0"/>
                            </a:cxn>
                            <a:cxn ang="0">
                              <a:pos x="T3" y="0"/>
                            </a:cxn>
                          </a:cxnLst>
                          <a:rect l="0" t="0" r="r" b="b"/>
                          <a:pathLst>
                            <a:path w="9952">
                              <a:moveTo>
                                <a:pt x="0" y="0"/>
                              </a:moveTo>
                              <a:lnTo>
                                <a:pt x="9952"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44A21BD1" id="Freeform 4" o:spid="_x0000_s1026" style="position:absolute;margin-left:54.55pt;margin-top:27.55pt;width:497.6pt;height:.1pt;z-index:-251175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" path="m,l9952,e" filled="f" strokecolor="#221e1f" strokeweight=".17278mm">
                <v:path arrowok="t" o:connecttype="custom" o:connectlocs="0,0;6319520,0" o:connectangles="0,0"/>
                <w10:wrap type="topAndBottom" anchorx="page"/>
              </v:shape>
            </w:pict>
          </mc:Fallback>
        </mc:AlternateContent>
      </w:r>
      <w:r w:rsidRPr="00292532">
        <w:rPr>
          <w:rFonts w:asciiTheme="minorHAnsi" w:eastAsia="Times New Roman" w:hAnsiTheme="minorHAnsi" w:cstheme="minorHAnsi"/>
          <w:noProof/>
          <w:lang w:val="en-US"/>
        </w:rPr>
        <mc:AlternateContent>
          <mc:Choice Requires="wps">
            <w:drawing>
              <wp:anchor distT="0" distB="0" distL="0" distR="0" simplePos="0" relativeHeight="252141568" behindDoc="1" locked="0" layoutInCell="1" allowOverlap="1" wp14:anchorId="0174071B" wp14:editId="5B414D35">
                <wp:simplePos x="0" y="0"/>
                <wp:positionH relativeFrom="page">
                  <wp:posOffset>692785</wp:posOffset>
                </wp:positionH>
                <wp:positionV relativeFrom="paragraph">
                  <wp:posOffset>495300</wp:posOffset>
                </wp:positionV>
                <wp:extent cx="6319520" cy="1270"/>
                <wp:effectExtent l="0" t="0" r="0" b="0"/>
                <wp:wrapTopAndBottom/>
                <wp:docPr id="430"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9520" cy="1270"/>
                        </a:xfrm>
                        <a:custGeom>
                          <a:avLst/>
                          <a:gdLst>
                            <a:gd name="T0" fmla="+- 0 1091 1091"/>
                            <a:gd name="T1" fmla="*/ T0 w 9952"/>
                            <a:gd name="T2" fmla="+- 0 11043 1091"/>
                            <a:gd name="T3" fmla="*/ T2 w 9952"/>
                          </a:gdLst>
                          <a:ahLst/>
                          <a:cxnLst>
                            <a:cxn ang="0">
                              <a:pos x="T1" y="0"/>
                            </a:cxn>
                            <a:cxn ang="0">
                              <a:pos x="T3" y="0"/>
                            </a:cxn>
                          </a:cxnLst>
                          <a:rect l="0" t="0" r="r" b="b"/>
                          <a:pathLst>
                            <a:path w="9952">
                              <a:moveTo>
                                <a:pt x="0" y="0"/>
                              </a:moveTo>
                              <a:lnTo>
                                <a:pt x="9952" y="0"/>
                              </a:lnTo>
                            </a:path>
                          </a:pathLst>
                        </a:custGeom>
                        <a:noFill/>
                        <a:ln w="6220">
                          <a:solidFill>
                            <a:srgbClr val="221E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26084796" id="Freeform 3" o:spid="_x0000_s1026" style="position:absolute;margin-left:54.55pt;margin-top:39pt;width:497.6pt;height:.1pt;z-index:-251174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5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" path="m,l9952,e" filled="f" strokecolor="#221e1f" strokeweight=".17278mm">
                <v:path arrowok="t" o:connecttype="custom" o:connectlocs="0,0;6319520,0" o:connectangles="0,0"/>
                <w10:wrap type="topAndBottom" anchorx="page"/>
              </v:shape>
            </w:pict>
          </mc:Fallback>
        </mc:AlternateContent>
      </w:r>
    </w:p>
    <w:p w14:paraId="1C32E1DA" w14:textId="77777777" w:rsidR="00F638C3" w:rsidRPr="00292532" w:rsidRDefault="00F638C3" w:rsidP="00F638C3">
      <w:pPr>
        <w:widowControl w:val="0"/>
        <w:tabs>
          <w:tab w:val="left" w:pos="900"/>
        </w:tabs>
        <w:autoSpaceDE w:val="0"/>
        <w:autoSpaceDN w:val="0"/>
        <w:spacing w:before="2" w:after="0"/>
        <w:ind w:left="900" w:right="970"/>
        <w:jc w:val="left"/>
        <w:rPr>
          <w:rFonts w:asciiTheme="minorHAnsi" w:eastAsia="Times New Roman" w:hAnsiTheme="minorHAnsi" w:cstheme="minorHAnsi"/>
          <w:b/>
          <w:lang w:val="pt-PT"/>
        </w:rPr>
      </w:pPr>
    </w:p>
    <w:p w14:paraId="670F31D9" w14:textId="77777777" w:rsidR="00F638C3" w:rsidRPr="00292532" w:rsidRDefault="00F638C3" w:rsidP="00F638C3">
      <w:pPr>
        <w:widowControl w:val="0"/>
        <w:tabs>
          <w:tab w:val="left" w:pos="900"/>
        </w:tabs>
        <w:autoSpaceDE w:val="0"/>
        <w:autoSpaceDN w:val="0"/>
        <w:spacing w:before="2" w:after="0"/>
        <w:ind w:left="900" w:right="970"/>
        <w:jc w:val="left"/>
        <w:rPr>
          <w:rFonts w:asciiTheme="minorHAnsi" w:eastAsia="Times New Roman" w:hAnsiTheme="minorHAnsi" w:cstheme="minorHAnsi"/>
          <w:b/>
          <w:lang w:val="pt-PT"/>
        </w:rPr>
      </w:pPr>
    </w:p>
    <w:p w14:paraId="4CF840E0" w14:textId="77777777" w:rsidR="00F638C3" w:rsidRPr="00292532" w:rsidRDefault="00F638C3" w:rsidP="00F638C3">
      <w:pPr>
        <w:widowControl w:val="0"/>
        <w:autoSpaceDE w:val="0"/>
        <w:autoSpaceDN w:val="0"/>
        <w:spacing w:before="0" w:after="0"/>
        <w:jc w:val="left"/>
        <w:rPr>
          <w:rFonts w:ascii="Times New Roman" w:eastAsia="Times New Roman" w:hAnsi="Times New Roman" w:cs="Times New Roman"/>
          <w:sz w:val="13"/>
          <w:lang w:val="pt-PT"/>
        </w:rPr>
        <w:sectPr w:rsidR="00F638C3" w:rsidRPr="00292532">
          <w:pgSz w:w="11900" w:h="16840"/>
          <w:pgMar w:top="1220" w:right="560" w:bottom="280" w:left="560" w:header="826" w:footer="0" w:gutter="0"/>
          <w:cols w:space="720"/>
        </w:sectPr>
      </w:pPr>
    </w:p>
    <w:p w14:paraId="6ADDB28E" w14:textId="77777777" w:rsidR="00F638C3" w:rsidRPr="00292532" w:rsidRDefault="00F638C3" w:rsidP="00F638C3">
      <w:pPr>
        <w:widowControl w:val="0"/>
        <w:autoSpaceDE w:val="0"/>
        <w:autoSpaceDN w:val="0"/>
        <w:spacing w:before="1" w:after="0"/>
        <w:jc w:val="center"/>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lastRenderedPageBreak/>
        <w:t>ANEXO</w:t>
      </w:r>
      <w:r w:rsidRPr="00292532">
        <w:rPr>
          <w:rFonts w:asciiTheme="minorHAnsi" w:eastAsia="Times New Roman" w:hAnsiTheme="minorHAnsi" w:cstheme="minorHAnsi"/>
          <w:b/>
          <w:color w:val="231F20"/>
          <w:spacing w:val="-5"/>
          <w:lang w:val="pt-PT"/>
        </w:rPr>
        <w:t xml:space="preserve"> </w:t>
      </w:r>
      <w:r w:rsidRPr="00292532">
        <w:rPr>
          <w:rFonts w:asciiTheme="minorHAnsi" w:eastAsia="Times New Roman" w:hAnsiTheme="minorHAnsi" w:cstheme="minorHAnsi"/>
          <w:b/>
          <w:color w:val="231F20"/>
          <w:lang w:val="pt-PT"/>
        </w:rPr>
        <w:t>VII (Decreto 54/2015</w:t>
      </w:r>
    </w:p>
    <w:p w14:paraId="5617E1FA" w14:textId="77777777" w:rsidR="00F638C3" w:rsidRPr="00292532" w:rsidRDefault="00F638C3" w:rsidP="00F638C3">
      <w:pPr>
        <w:widowControl w:val="0"/>
        <w:autoSpaceDE w:val="0"/>
        <w:autoSpaceDN w:val="0"/>
        <w:spacing w:before="0" w:after="0"/>
        <w:ind w:left="157" w:right="157"/>
        <w:jc w:val="center"/>
        <w:rPr>
          <w:rFonts w:asciiTheme="minorHAnsi" w:eastAsia="Times New Roman" w:hAnsiTheme="minorHAnsi" w:cstheme="minorHAnsi"/>
          <w:b/>
          <w:lang w:val="pt-PT"/>
        </w:rPr>
      </w:pPr>
      <w:r w:rsidRPr="00292532">
        <w:rPr>
          <w:rFonts w:asciiTheme="minorHAnsi" w:eastAsia="Times New Roman" w:hAnsiTheme="minorHAnsi" w:cstheme="minorHAnsi"/>
          <w:b/>
          <w:color w:val="231F20"/>
          <w:lang w:val="pt-PT"/>
        </w:rPr>
        <w:t>Modelo</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de</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Requerimento Para</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a</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Instrução do</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Processo</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de</w:t>
      </w:r>
      <w:r w:rsidRPr="00292532">
        <w:rPr>
          <w:rFonts w:asciiTheme="minorHAnsi" w:eastAsia="Times New Roman" w:hAnsiTheme="minorHAnsi" w:cstheme="minorHAnsi"/>
          <w:b/>
          <w:color w:val="231F20"/>
          <w:spacing w:val="-8"/>
          <w:lang w:val="pt-PT"/>
        </w:rPr>
        <w:t xml:space="preserve"> </w:t>
      </w:r>
      <w:r w:rsidRPr="00292532">
        <w:rPr>
          <w:rFonts w:asciiTheme="minorHAnsi" w:eastAsia="Times New Roman" w:hAnsiTheme="minorHAnsi" w:cstheme="minorHAnsi"/>
          <w:b/>
          <w:color w:val="231F20"/>
          <w:lang w:val="pt-PT"/>
        </w:rPr>
        <w:t>Avaliação</w:t>
      </w:r>
      <w:r w:rsidRPr="00292532">
        <w:rPr>
          <w:rFonts w:asciiTheme="minorHAnsi" w:eastAsia="Times New Roman" w:hAnsiTheme="minorHAnsi" w:cstheme="minorHAnsi"/>
          <w:b/>
          <w:color w:val="231F20"/>
          <w:spacing w:val="-1"/>
          <w:lang w:val="pt-PT"/>
        </w:rPr>
        <w:t xml:space="preserve"> </w:t>
      </w:r>
      <w:r w:rsidRPr="00292532">
        <w:rPr>
          <w:rFonts w:asciiTheme="minorHAnsi" w:eastAsia="Times New Roman" w:hAnsiTheme="minorHAnsi" w:cstheme="minorHAnsi"/>
          <w:b/>
          <w:color w:val="231F20"/>
          <w:lang w:val="pt-PT"/>
        </w:rPr>
        <w:t>de Impacto</w:t>
      </w:r>
      <w:r w:rsidRPr="00292532">
        <w:rPr>
          <w:rFonts w:asciiTheme="minorHAnsi" w:eastAsia="Times New Roman" w:hAnsiTheme="minorHAnsi" w:cstheme="minorHAnsi"/>
          <w:b/>
          <w:color w:val="231F20"/>
          <w:spacing w:val="-9"/>
          <w:lang w:val="pt-PT"/>
        </w:rPr>
        <w:t xml:space="preserve"> </w:t>
      </w:r>
      <w:r w:rsidRPr="00292532">
        <w:rPr>
          <w:rFonts w:asciiTheme="minorHAnsi" w:eastAsia="Times New Roman" w:hAnsiTheme="minorHAnsi" w:cstheme="minorHAnsi"/>
          <w:b/>
          <w:color w:val="231F20"/>
          <w:lang w:val="pt-PT"/>
        </w:rPr>
        <w:t>Ambiental</w:t>
      </w:r>
    </w:p>
    <w:p w14:paraId="6D451F57" w14:textId="77777777" w:rsidR="00F638C3" w:rsidRPr="00292532" w:rsidRDefault="00F638C3" w:rsidP="00F638C3">
      <w:pPr>
        <w:widowControl w:val="0"/>
        <w:autoSpaceDE w:val="0"/>
        <w:autoSpaceDN w:val="0"/>
        <w:spacing w:before="2" w:after="0"/>
        <w:jc w:val="left"/>
        <w:rPr>
          <w:rFonts w:asciiTheme="minorHAnsi" w:eastAsia="Times New Roman" w:hAnsiTheme="minorHAnsi" w:cstheme="minorHAnsi"/>
          <w:b/>
          <w:lang w:val="pt-PT"/>
        </w:rPr>
      </w:pPr>
    </w:p>
    <w:p w14:paraId="0FD03F8C" w14:textId="77777777" w:rsidR="00F638C3" w:rsidRPr="00292532" w:rsidRDefault="00F638C3" w:rsidP="00F638C3">
      <w:pPr>
        <w:widowControl w:val="0"/>
        <w:tabs>
          <w:tab w:val="left" w:pos="5268"/>
        </w:tabs>
        <w:autoSpaceDE w:val="0"/>
        <w:autoSpaceDN w:val="0"/>
        <w:spacing w:before="0" w:after="0"/>
        <w:ind w:left="226"/>
        <w:rPr>
          <w:rFonts w:asciiTheme="minorHAnsi" w:eastAsia="Times New Roman" w:hAnsiTheme="minorHAnsi" w:cstheme="minorHAnsi"/>
          <w:lang w:val="pt-PT"/>
        </w:rPr>
      </w:pPr>
      <w:r w:rsidRPr="00292532">
        <w:rPr>
          <w:rFonts w:asciiTheme="minorHAnsi" w:eastAsia="Times New Roman" w:hAnsiTheme="minorHAnsi" w:cstheme="minorHAnsi"/>
          <w:color w:val="231F20"/>
          <w:lang w:val="pt-PT"/>
        </w:rPr>
        <w:t>Exmo.</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Senhor:</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u w:val="single" w:color="221E1F"/>
          <w:lang w:val="pt-PT"/>
        </w:rPr>
        <w:t xml:space="preserve"> </w:t>
      </w:r>
      <w:r w:rsidRPr="00292532">
        <w:rPr>
          <w:rFonts w:asciiTheme="minorHAnsi" w:eastAsia="Times New Roman" w:hAnsiTheme="minorHAnsi" w:cstheme="minorHAnsi"/>
          <w:color w:val="231F20"/>
          <w:u w:val="single" w:color="221E1F"/>
          <w:lang w:val="pt-PT"/>
        </w:rPr>
        <w:tab/>
      </w:r>
    </w:p>
    <w:p w14:paraId="4322A9E9" w14:textId="77777777" w:rsidR="00F638C3" w:rsidRPr="00292532" w:rsidRDefault="00F638C3" w:rsidP="00F638C3">
      <w:pPr>
        <w:widowControl w:val="0"/>
        <w:tabs>
          <w:tab w:val="left" w:pos="3558"/>
          <w:tab w:val="left" w:pos="7305"/>
        </w:tabs>
        <w:autoSpaceDE w:val="0"/>
        <w:autoSpaceDN w:val="0"/>
        <w:spacing w:before="153" w:after="0"/>
        <w:ind w:left="226"/>
        <w:rPr>
          <w:rFonts w:asciiTheme="minorHAnsi" w:eastAsia="Times New Roman" w:hAnsiTheme="minorHAnsi" w:cstheme="minorHAnsi"/>
          <w:lang w:val="pt-PT"/>
        </w:rPr>
      </w:pPr>
      <w:r w:rsidRPr="00292532">
        <w:rPr>
          <w:rFonts w:asciiTheme="minorHAnsi" w:eastAsia="Times New Roman" w:hAnsiTheme="minorHAnsi" w:cstheme="minorHAnsi"/>
          <w:color w:val="231F20"/>
          <w:lang w:val="pt-PT"/>
        </w:rPr>
        <w:t>Nome</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lang w:val="pt-PT"/>
        </w:rPr>
        <w:t>de</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nacionalidade</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lang w:val="pt-PT"/>
        </w:rPr>
        <w:t>,</w:t>
      </w:r>
    </w:p>
    <w:p w14:paraId="23DD377F" w14:textId="77777777" w:rsidR="00F638C3" w:rsidRPr="00292532" w:rsidRDefault="00F638C3" w:rsidP="00F638C3">
      <w:pPr>
        <w:widowControl w:val="0"/>
        <w:tabs>
          <w:tab w:val="left" w:pos="2225"/>
          <w:tab w:val="left" w:pos="2986"/>
          <w:tab w:val="left" w:pos="4366"/>
          <w:tab w:val="left" w:pos="4722"/>
          <w:tab w:val="left" w:pos="5314"/>
          <w:tab w:val="left" w:pos="6361"/>
          <w:tab w:val="left" w:pos="6622"/>
          <w:tab w:val="left" w:pos="7257"/>
          <w:tab w:val="left" w:pos="9847"/>
        </w:tabs>
        <w:autoSpaceDE w:val="0"/>
        <w:autoSpaceDN w:val="0"/>
        <w:spacing w:before="153" w:after="0" w:line="280" w:lineRule="auto"/>
        <w:ind w:left="226" w:right="220"/>
        <w:rPr>
          <w:rFonts w:asciiTheme="minorHAnsi" w:eastAsia="Times New Roman" w:hAnsiTheme="minorHAnsi" w:cstheme="minorHAnsi"/>
          <w:lang w:val="pt-PT"/>
        </w:rPr>
      </w:pPr>
      <w:r w:rsidRPr="00292532">
        <w:rPr>
          <w:rFonts w:asciiTheme="minorHAnsi" w:eastAsia="Times New Roman" w:hAnsiTheme="minorHAnsi" w:cstheme="minorHAnsi"/>
          <w:color w:val="231F20"/>
          <w:lang w:val="pt-PT"/>
        </w:rPr>
        <w:t>NUIT</w:t>
      </w:r>
      <w:r w:rsidRPr="00292532">
        <w:rPr>
          <w:rFonts w:asciiTheme="minorHAnsi" w:eastAsia="Times New Roman" w:hAnsiTheme="minorHAnsi" w:cstheme="minorHAnsi"/>
          <w:color w:val="231F20"/>
          <w:spacing w:val="50"/>
          <w:lang w:val="pt-PT"/>
        </w:rPr>
        <w:t xml:space="preserve"> </w:t>
      </w:r>
      <w:r w:rsidRPr="00292532">
        <w:rPr>
          <w:rFonts w:asciiTheme="minorHAnsi" w:eastAsia="Times New Roman" w:hAnsiTheme="minorHAnsi" w:cstheme="minorHAnsi"/>
          <w:color w:val="231F20"/>
          <w:lang w:val="pt-PT"/>
        </w:rPr>
        <w:t>_______________________________________,</w:t>
      </w:r>
      <w:r w:rsidRPr="00292532">
        <w:rPr>
          <w:rFonts w:asciiTheme="minorHAnsi" w:eastAsia="Times New Roman" w:hAnsiTheme="minorHAnsi" w:cstheme="minorHAnsi"/>
          <w:color w:val="231F20"/>
          <w:spacing w:val="51"/>
          <w:lang w:val="pt-PT"/>
        </w:rPr>
        <w:t xml:space="preserve"> </w:t>
      </w:r>
      <w:r w:rsidRPr="00292532">
        <w:rPr>
          <w:rFonts w:asciiTheme="minorHAnsi" w:eastAsia="Times New Roman" w:hAnsiTheme="minorHAnsi" w:cstheme="minorHAnsi"/>
          <w:color w:val="231F20"/>
          <w:lang w:val="pt-PT"/>
        </w:rPr>
        <w:t>Portador</w:t>
      </w:r>
      <w:r w:rsidRPr="00292532">
        <w:rPr>
          <w:rFonts w:asciiTheme="minorHAnsi" w:eastAsia="Times New Roman" w:hAnsiTheme="minorHAnsi" w:cstheme="minorHAnsi"/>
          <w:color w:val="231F20"/>
          <w:spacing w:val="51"/>
          <w:lang w:val="pt-PT"/>
        </w:rPr>
        <w:t xml:space="preserve"> </w:t>
      </w:r>
      <w:r w:rsidRPr="00292532">
        <w:rPr>
          <w:rFonts w:asciiTheme="minorHAnsi" w:eastAsia="Times New Roman" w:hAnsiTheme="minorHAnsi" w:cstheme="minorHAnsi"/>
          <w:color w:val="231F20"/>
          <w:lang w:val="pt-PT"/>
        </w:rPr>
        <w:t>do</w:t>
      </w:r>
      <w:r w:rsidRPr="00292532">
        <w:rPr>
          <w:rFonts w:asciiTheme="minorHAnsi" w:eastAsia="Times New Roman" w:hAnsiTheme="minorHAnsi" w:cstheme="minorHAnsi"/>
          <w:color w:val="231F20"/>
          <w:spacing w:val="51"/>
          <w:lang w:val="pt-PT"/>
        </w:rPr>
        <w:t xml:space="preserve"> </w:t>
      </w:r>
      <w:r w:rsidRPr="00292532">
        <w:rPr>
          <w:rFonts w:asciiTheme="minorHAnsi" w:eastAsia="Times New Roman" w:hAnsiTheme="minorHAnsi" w:cstheme="minorHAnsi"/>
          <w:color w:val="231F20"/>
          <w:lang w:val="pt-PT"/>
        </w:rPr>
        <w:t>BI/Passaporte/</w:t>
      </w:r>
      <w:proofErr w:type="spellStart"/>
      <w:r w:rsidRPr="00292532">
        <w:rPr>
          <w:rFonts w:asciiTheme="minorHAnsi" w:eastAsia="Times New Roman" w:hAnsiTheme="minorHAnsi" w:cstheme="minorHAnsi"/>
          <w:color w:val="231F20"/>
          <w:lang w:val="pt-PT"/>
        </w:rPr>
        <w:t>Dire</w:t>
      </w:r>
      <w:proofErr w:type="spellEnd"/>
      <w:r w:rsidRPr="00292532">
        <w:rPr>
          <w:rFonts w:asciiTheme="minorHAnsi" w:eastAsia="Times New Roman" w:hAnsiTheme="minorHAnsi" w:cstheme="minorHAnsi"/>
          <w:color w:val="231F20"/>
          <w:spacing w:val="51"/>
          <w:lang w:val="pt-PT"/>
        </w:rPr>
        <w:t xml:space="preserve"> </w:t>
      </w:r>
      <w:r w:rsidRPr="00292532">
        <w:rPr>
          <w:rFonts w:asciiTheme="minorHAnsi" w:eastAsia="Times New Roman" w:hAnsiTheme="minorHAnsi" w:cstheme="minorHAnsi"/>
          <w:color w:val="231F20"/>
          <w:lang w:val="pt-PT"/>
        </w:rPr>
        <w:t>n.º   _______________</w:t>
      </w:r>
      <w:proofErr w:type="gramStart"/>
      <w:r w:rsidRPr="00292532">
        <w:rPr>
          <w:rFonts w:asciiTheme="minorHAnsi" w:eastAsia="Times New Roman" w:hAnsiTheme="minorHAnsi" w:cstheme="minorHAnsi"/>
          <w:color w:val="231F20"/>
          <w:lang w:val="pt-PT"/>
        </w:rPr>
        <w:t xml:space="preserve">_,   </w:t>
      </w:r>
      <w:proofErr w:type="gramEnd"/>
      <w:r w:rsidRPr="00292532">
        <w:rPr>
          <w:rFonts w:asciiTheme="minorHAnsi" w:eastAsia="Times New Roman" w:hAnsiTheme="minorHAnsi" w:cstheme="minorHAnsi"/>
          <w:color w:val="231F20"/>
          <w:lang w:val="pt-PT"/>
        </w:rPr>
        <w:t>emitido</w:t>
      </w:r>
      <w:r w:rsidRPr="00292532">
        <w:rPr>
          <w:rFonts w:asciiTheme="minorHAnsi" w:eastAsia="Times New Roman" w:hAnsiTheme="minorHAnsi" w:cstheme="minorHAnsi"/>
          <w:color w:val="231F20"/>
          <w:spacing w:val="-47"/>
          <w:lang w:val="pt-PT"/>
        </w:rPr>
        <w:t xml:space="preserve"> </w:t>
      </w:r>
      <w:r w:rsidRPr="00292532">
        <w:rPr>
          <w:rFonts w:asciiTheme="minorHAnsi" w:eastAsia="Times New Roman" w:hAnsiTheme="minorHAnsi" w:cstheme="minorHAnsi"/>
          <w:color w:val="231F20"/>
          <w:lang w:val="pt-PT"/>
        </w:rPr>
        <w:t>em</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spacing w:val="-1"/>
          <w:lang w:val="pt-PT"/>
        </w:rPr>
        <w:t>,</w:t>
      </w:r>
      <w:r w:rsidRPr="00292532">
        <w:rPr>
          <w:rFonts w:asciiTheme="minorHAnsi" w:eastAsia="Times New Roman" w:hAnsiTheme="minorHAnsi" w:cstheme="minorHAnsi"/>
          <w:color w:val="231F20"/>
          <w:spacing w:val="-14"/>
          <w:lang w:val="pt-PT"/>
        </w:rPr>
        <w:t xml:space="preserve"> </w:t>
      </w:r>
      <w:r w:rsidRPr="00292532">
        <w:rPr>
          <w:rFonts w:asciiTheme="minorHAnsi" w:eastAsia="Times New Roman" w:hAnsiTheme="minorHAnsi" w:cstheme="minorHAnsi"/>
          <w:color w:val="231F20"/>
          <w:spacing w:val="-1"/>
          <w:lang w:val="pt-PT"/>
        </w:rPr>
        <w:t>aos</w:t>
      </w:r>
      <w:r w:rsidRPr="00292532">
        <w:rPr>
          <w:rFonts w:asciiTheme="minorHAnsi" w:eastAsia="Times New Roman" w:hAnsiTheme="minorHAnsi" w:cstheme="minorHAnsi"/>
          <w:color w:val="231F20"/>
          <w:spacing w:val="-1"/>
          <w:u w:val="single" w:color="221E1F"/>
          <w:lang w:val="pt-PT"/>
        </w:rPr>
        <w:tab/>
      </w:r>
      <w:r w:rsidRPr="00292532">
        <w:rPr>
          <w:rFonts w:asciiTheme="minorHAnsi" w:eastAsia="Times New Roman" w:hAnsiTheme="minorHAnsi" w:cstheme="minorHAnsi"/>
          <w:color w:val="231F20"/>
          <w:u w:val="single" w:color="221E1F"/>
          <w:lang w:val="pt-PT"/>
        </w:rPr>
        <w:t>/</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u w:val="single" w:color="221E1F"/>
          <w:lang w:val="pt-PT"/>
        </w:rPr>
        <w:tab/>
        <w:t>/</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spacing w:val="-1"/>
          <w:lang w:val="pt-PT"/>
        </w:rPr>
        <w:t>,</w:t>
      </w:r>
      <w:r w:rsidRPr="00292532">
        <w:rPr>
          <w:rFonts w:asciiTheme="minorHAnsi" w:eastAsia="Times New Roman" w:hAnsiTheme="minorHAnsi" w:cstheme="minorHAnsi"/>
          <w:color w:val="231F20"/>
          <w:spacing w:val="-14"/>
          <w:lang w:val="pt-PT"/>
        </w:rPr>
        <w:t xml:space="preserve"> </w:t>
      </w:r>
      <w:r w:rsidRPr="00292532">
        <w:rPr>
          <w:rFonts w:asciiTheme="minorHAnsi" w:eastAsia="Times New Roman" w:hAnsiTheme="minorHAnsi" w:cstheme="minorHAnsi"/>
          <w:color w:val="231F20"/>
          <w:spacing w:val="-1"/>
          <w:lang w:val="pt-PT"/>
        </w:rPr>
        <w:t>vem</w:t>
      </w:r>
      <w:r w:rsidRPr="00292532">
        <w:rPr>
          <w:rFonts w:asciiTheme="minorHAnsi" w:eastAsia="Times New Roman" w:hAnsiTheme="minorHAnsi" w:cstheme="minorHAnsi"/>
          <w:color w:val="231F20"/>
          <w:spacing w:val="-14"/>
          <w:lang w:val="pt-PT"/>
        </w:rPr>
        <w:t xml:space="preserve"> </w:t>
      </w:r>
      <w:r w:rsidRPr="00292532">
        <w:rPr>
          <w:rFonts w:asciiTheme="minorHAnsi" w:eastAsia="Times New Roman" w:hAnsiTheme="minorHAnsi" w:cstheme="minorHAnsi"/>
          <w:color w:val="231F20"/>
          <w:spacing w:val="-1"/>
          <w:lang w:val="pt-PT"/>
        </w:rPr>
        <w:t>por</w:t>
      </w:r>
      <w:r w:rsidRPr="00292532">
        <w:rPr>
          <w:rFonts w:asciiTheme="minorHAnsi" w:eastAsia="Times New Roman" w:hAnsiTheme="minorHAnsi" w:cstheme="minorHAnsi"/>
          <w:color w:val="231F20"/>
          <w:spacing w:val="-14"/>
          <w:lang w:val="pt-PT"/>
        </w:rPr>
        <w:t xml:space="preserve"> </w:t>
      </w:r>
      <w:r w:rsidRPr="00292532">
        <w:rPr>
          <w:rFonts w:asciiTheme="minorHAnsi" w:eastAsia="Times New Roman" w:hAnsiTheme="minorHAnsi" w:cstheme="minorHAnsi"/>
          <w:color w:val="231F20"/>
          <w:spacing w:val="-1"/>
          <w:lang w:val="pt-PT"/>
        </w:rPr>
        <w:t>este</w:t>
      </w:r>
      <w:r w:rsidRPr="00292532">
        <w:rPr>
          <w:rFonts w:asciiTheme="minorHAnsi" w:eastAsia="Times New Roman" w:hAnsiTheme="minorHAnsi" w:cstheme="minorHAnsi"/>
          <w:color w:val="231F20"/>
          <w:spacing w:val="-14"/>
          <w:lang w:val="pt-PT"/>
        </w:rPr>
        <w:t xml:space="preserve"> </w:t>
      </w:r>
      <w:r w:rsidRPr="00292532">
        <w:rPr>
          <w:rFonts w:asciiTheme="minorHAnsi" w:eastAsia="Times New Roman" w:hAnsiTheme="minorHAnsi" w:cstheme="minorHAnsi"/>
          <w:color w:val="231F20"/>
          <w:spacing w:val="-1"/>
          <w:lang w:val="pt-PT"/>
        </w:rPr>
        <w:t>meio</w:t>
      </w:r>
      <w:r w:rsidRPr="00292532">
        <w:rPr>
          <w:rFonts w:asciiTheme="minorHAnsi" w:eastAsia="Times New Roman" w:hAnsiTheme="minorHAnsi" w:cstheme="minorHAnsi"/>
          <w:color w:val="231F20"/>
          <w:spacing w:val="-14"/>
          <w:lang w:val="pt-PT"/>
        </w:rPr>
        <w:t xml:space="preserve"> </w:t>
      </w:r>
      <w:r w:rsidRPr="00292532">
        <w:rPr>
          <w:rFonts w:asciiTheme="minorHAnsi" w:eastAsia="Times New Roman" w:hAnsiTheme="minorHAnsi" w:cstheme="minorHAnsi"/>
          <w:color w:val="231F20"/>
          <w:spacing w:val="-1"/>
          <w:lang w:val="pt-PT"/>
        </w:rPr>
        <w:t>submeter</w:t>
      </w:r>
      <w:r w:rsidRPr="00292532">
        <w:rPr>
          <w:rFonts w:asciiTheme="minorHAnsi" w:eastAsia="Times New Roman" w:hAnsiTheme="minorHAnsi" w:cstheme="minorHAnsi"/>
          <w:color w:val="231F20"/>
          <w:spacing w:val="-14"/>
          <w:lang w:val="pt-PT"/>
        </w:rPr>
        <w:t xml:space="preserve"> </w:t>
      </w:r>
      <w:r w:rsidRPr="00292532">
        <w:rPr>
          <w:rFonts w:asciiTheme="minorHAnsi" w:eastAsia="Times New Roman" w:hAnsiTheme="minorHAnsi" w:cstheme="minorHAnsi"/>
          <w:color w:val="231F20"/>
          <w:spacing w:val="-1"/>
          <w:lang w:val="pt-PT"/>
        </w:rPr>
        <w:t>a</w:t>
      </w:r>
      <w:r w:rsidRPr="00292532">
        <w:rPr>
          <w:rFonts w:asciiTheme="minorHAnsi" w:eastAsia="Times New Roman" w:hAnsiTheme="minorHAnsi" w:cstheme="minorHAnsi"/>
          <w:color w:val="231F20"/>
          <w:spacing w:val="-14"/>
          <w:lang w:val="pt-PT"/>
        </w:rPr>
        <w:t xml:space="preserve"> </w:t>
      </w:r>
      <w:r w:rsidRPr="00292532">
        <w:rPr>
          <w:rFonts w:asciiTheme="minorHAnsi" w:eastAsia="Times New Roman" w:hAnsiTheme="minorHAnsi" w:cstheme="minorHAnsi"/>
          <w:color w:val="231F20"/>
          <w:spacing w:val="-1"/>
          <w:lang w:val="pt-PT"/>
        </w:rPr>
        <w:t>proposta</w:t>
      </w:r>
      <w:r w:rsidRPr="00292532">
        <w:rPr>
          <w:rFonts w:asciiTheme="minorHAnsi" w:eastAsia="Times New Roman" w:hAnsiTheme="minorHAnsi" w:cstheme="minorHAnsi"/>
          <w:color w:val="231F20"/>
          <w:spacing w:val="-13"/>
          <w:lang w:val="pt-PT"/>
        </w:rPr>
        <w:t xml:space="preserve"> </w:t>
      </w:r>
      <w:r w:rsidRPr="00292532">
        <w:rPr>
          <w:rFonts w:asciiTheme="minorHAnsi" w:eastAsia="Times New Roman" w:hAnsiTheme="minorHAnsi" w:cstheme="minorHAnsi"/>
          <w:color w:val="231F20"/>
          <w:spacing w:val="-1"/>
          <w:lang w:val="pt-PT"/>
        </w:rPr>
        <w:t>da</w:t>
      </w:r>
      <w:r w:rsidRPr="00292532">
        <w:rPr>
          <w:rFonts w:asciiTheme="minorHAnsi" w:eastAsia="Times New Roman" w:hAnsiTheme="minorHAnsi" w:cstheme="minorHAnsi"/>
          <w:color w:val="231F20"/>
          <w:spacing w:val="-14"/>
          <w:lang w:val="pt-PT"/>
        </w:rPr>
        <w:t xml:space="preserve"> </w:t>
      </w:r>
      <w:proofErr w:type="spellStart"/>
      <w:r w:rsidRPr="00292532">
        <w:rPr>
          <w:rFonts w:asciiTheme="minorHAnsi" w:eastAsia="Times New Roman" w:hAnsiTheme="minorHAnsi" w:cstheme="minorHAnsi"/>
          <w:color w:val="231F20"/>
          <w:lang w:val="pt-PT"/>
        </w:rPr>
        <w:t>actividade</w:t>
      </w:r>
      <w:proofErr w:type="spellEnd"/>
      <w:r w:rsidRPr="00292532">
        <w:rPr>
          <w:rFonts w:asciiTheme="minorHAnsi" w:eastAsia="Times New Roman" w:hAnsiTheme="minorHAnsi" w:cstheme="minorHAnsi"/>
          <w:color w:val="231F20"/>
          <w:spacing w:val="-48"/>
          <w:lang w:val="pt-PT"/>
        </w:rPr>
        <w:t xml:space="preserve"> </w:t>
      </w:r>
      <w:r w:rsidRPr="00292532">
        <w:rPr>
          <w:rFonts w:asciiTheme="minorHAnsi" w:eastAsia="Times New Roman" w:hAnsiTheme="minorHAnsi" w:cstheme="minorHAnsi"/>
          <w:color w:val="231F20"/>
          <w:lang w:val="pt-PT"/>
        </w:rPr>
        <w:t>com</w:t>
      </w:r>
      <w:r w:rsidRPr="00292532">
        <w:rPr>
          <w:rFonts w:asciiTheme="minorHAnsi" w:eastAsia="Times New Roman" w:hAnsiTheme="minorHAnsi" w:cstheme="minorHAnsi"/>
          <w:color w:val="231F20"/>
          <w:spacing w:val="-4"/>
          <w:lang w:val="pt-PT"/>
        </w:rPr>
        <w:t xml:space="preserve"> </w:t>
      </w:r>
      <w:r w:rsidRPr="00292532">
        <w:rPr>
          <w:rFonts w:asciiTheme="minorHAnsi" w:eastAsia="Times New Roman" w:hAnsiTheme="minorHAnsi" w:cstheme="minorHAnsi"/>
          <w:color w:val="231F20"/>
          <w:lang w:val="pt-PT"/>
        </w:rPr>
        <w:t>a</w:t>
      </w:r>
      <w:r w:rsidRPr="00292532">
        <w:rPr>
          <w:rFonts w:asciiTheme="minorHAnsi" w:eastAsia="Times New Roman" w:hAnsiTheme="minorHAnsi" w:cstheme="minorHAnsi"/>
          <w:color w:val="231F20"/>
          <w:spacing w:val="-4"/>
          <w:lang w:val="pt-PT"/>
        </w:rPr>
        <w:t xml:space="preserve"> </w:t>
      </w:r>
      <w:r w:rsidRPr="00292532">
        <w:rPr>
          <w:rFonts w:asciiTheme="minorHAnsi" w:eastAsia="Times New Roman" w:hAnsiTheme="minorHAnsi" w:cstheme="minorHAnsi"/>
          <w:color w:val="231F20"/>
          <w:lang w:val="pt-PT"/>
        </w:rPr>
        <w:t>designação</w:t>
      </w:r>
      <w:r w:rsidRPr="00292532">
        <w:rPr>
          <w:rFonts w:asciiTheme="minorHAnsi" w:eastAsia="Times New Roman" w:hAnsiTheme="minorHAnsi" w:cstheme="minorHAnsi"/>
          <w:color w:val="231F20"/>
          <w:lang w:val="pt-PT"/>
        </w:rPr>
        <w:tab/>
      </w:r>
      <w:r w:rsidRPr="00292532">
        <w:rPr>
          <w:rFonts w:asciiTheme="minorHAnsi" w:eastAsia="Times New Roman" w:hAnsiTheme="minorHAnsi" w:cstheme="minorHAnsi"/>
          <w:color w:val="231F20"/>
          <w:lang w:val="pt-PT"/>
        </w:rPr>
        <w:tab/>
      </w:r>
      <w:r w:rsidRPr="00292532">
        <w:rPr>
          <w:rFonts w:asciiTheme="minorHAnsi" w:eastAsia="Times New Roman" w:hAnsiTheme="minorHAnsi" w:cstheme="minorHAnsi"/>
          <w:color w:val="231F20"/>
          <w:lang w:val="pt-PT"/>
        </w:rPr>
        <w:tab/>
        <w:t>de</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spacing w:val="-1"/>
          <w:lang w:val="pt-PT"/>
        </w:rPr>
        <w:t>,</w:t>
      </w:r>
      <w:r w:rsidRPr="00292532">
        <w:rPr>
          <w:rFonts w:asciiTheme="minorHAnsi" w:eastAsia="Times New Roman" w:hAnsiTheme="minorHAnsi" w:cstheme="minorHAnsi"/>
          <w:color w:val="231F20"/>
          <w:spacing w:val="-3"/>
          <w:lang w:val="pt-PT"/>
        </w:rPr>
        <w:t xml:space="preserve"> </w:t>
      </w:r>
      <w:r w:rsidRPr="00292532">
        <w:rPr>
          <w:rFonts w:asciiTheme="minorHAnsi" w:eastAsia="Times New Roman" w:hAnsiTheme="minorHAnsi" w:cstheme="minorHAnsi"/>
          <w:color w:val="231F20"/>
          <w:spacing w:val="-1"/>
          <w:lang w:val="pt-PT"/>
        </w:rPr>
        <w:t>para</w:t>
      </w:r>
      <w:r w:rsidRPr="00292532">
        <w:rPr>
          <w:rFonts w:asciiTheme="minorHAnsi" w:eastAsia="Times New Roman" w:hAnsiTheme="minorHAnsi" w:cstheme="minorHAnsi"/>
          <w:color w:val="231F20"/>
          <w:spacing w:val="-14"/>
          <w:lang w:val="pt-PT"/>
        </w:rPr>
        <w:t xml:space="preserve"> </w:t>
      </w:r>
      <w:r w:rsidRPr="00292532">
        <w:rPr>
          <w:rFonts w:asciiTheme="minorHAnsi" w:eastAsia="Times New Roman" w:hAnsiTheme="minorHAnsi" w:cstheme="minorHAnsi"/>
          <w:color w:val="231F20"/>
          <w:spacing w:val="-1"/>
          <w:lang w:val="pt-PT"/>
        </w:rPr>
        <w:t>Avaliação</w:t>
      </w:r>
      <w:r w:rsidRPr="00292532">
        <w:rPr>
          <w:rFonts w:asciiTheme="minorHAnsi" w:eastAsia="Times New Roman" w:hAnsiTheme="minorHAnsi" w:cstheme="minorHAnsi"/>
          <w:color w:val="231F20"/>
          <w:spacing w:val="-3"/>
          <w:lang w:val="pt-PT"/>
        </w:rPr>
        <w:t xml:space="preserve"> </w:t>
      </w:r>
      <w:r w:rsidRPr="00292532">
        <w:rPr>
          <w:rFonts w:asciiTheme="minorHAnsi" w:eastAsia="Times New Roman" w:hAnsiTheme="minorHAnsi" w:cstheme="minorHAnsi"/>
          <w:color w:val="231F20"/>
          <w:spacing w:val="-1"/>
          <w:lang w:val="pt-PT"/>
        </w:rPr>
        <w:t>do</w:t>
      </w:r>
      <w:r w:rsidRPr="00292532">
        <w:rPr>
          <w:rFonts w:asciiTheme="minorHAnsi" w:eastAsia="Times New Roman" w:hAnsiTheme="minorHAnsi" w:cstheme="minorHAnsi"/>
          <w:color w:val="231F20"/>
          <w:spacing w:val="-3"/>
          <w:lang w:val="pt-PT"/>
        </w:rPr>
        <w:t xml:space="preserve"> </w:t>
      </w:r>
      <w:r w:rsidRPr="00292532">
        <w:rPr>
          <w:rFonts w:asciiTheme="minorHAnsi" w:eastAsia="Times New Roman" w:hAnsiTheme="minorHAnsi" w:cstheme="minorHAnsi"/>
          <w:color w:val="231F20"/>
          <w:spacing w:val="-1"/>
          <w:lang w:val="pt-PT"/>
        </w:rPr>
        <w:t>Impacto</w:t>
      </w:r>
      <w:r w:rsidRPr="00292532">
        <w:rPr>
          <w:rFonts w:asciiTheme="minorHAnsi" w:eastAsia="Times New Roman" w:hAnsiTheme="minorHAnsi" w:cstheme="minorHAnsi"/>
          <w:color w:val="231F20"/>
          <w:spacing w:val="-14"/>
          <w:lang w:val="pt-PT"/>
        </w:rPr>
        <w:t xml:space="preserve"> </w:t>
      </w:r>
      <w:r w:rsidRPr="00292532">
        <w:rPr>
          <w:rFonts w:asciiTheme="minorHAnsi" w:eastAsia="Times New Roman" w:hAnsiTheme="minorHAnsi" w:cstheme="minorHAnsi"/>
          <w:color w:val="231F20"/>
          <w:spacing w:val="-1"/>
          <w:lang w:val="pt-PT"/>
        </w:rPr>
        <w:t>Ambiental.</w:t>
      </w:r>
      <w:r w:rsidRPr="00292532">
        <w:rPr>
          <w:rFonts w:asciiTheme="minorHAnsi" w:eastAsia="Times New Roman" w:hAnsiTheme="minorHAnsi" w:cstheme="minorHAnsi"/>
          <w:color w:val="231F20"/>
          <w:spacing w:val="-14"/>
          <w:lang w:val="pt-PT"/>
        </w:rPr>
        <w:t xml:space="preserve"> </w:t>
      </w:r>
      <w:r w:rsidRPr="00292532">
        <w:rPr>
          <w:rFonts w:asciiTheme="minorHAnsi" w:eastAsia="Times New Roman" w:hAnsiTheme="minorHAnsi" w:cstheme="minorHAnsi"/>
          <w:color w:val="231F20"/>
          <w:lang w:val="pt-PT"/>
        </w:rPr>
        <w:t>A</w:t>
      </w:r>
      <w:r w:rsidRPr="00292532">
        <w:rPr>
          <w:rFonts w:asciiTheme="minorHAnsi" w:eastAsia="Times New Roman" w:hAnsiTheme="minorHAnsi" w:cstheme="minorHAnsi"/>
          <w:color w:val="231F20"/>
          <w:spacing w:val="-14"/>
          <w:lang w:val="pt-PT"/>
        </w:rPr>
        <w:t xml:space="preserve"> </w:t>
      </w:r>
      <w:r w:rsidRPr="00292532">
        <w:rPr>
          <w:rFonts w:asciiTheme="minorHAnsi" w:eastAsia="Times New Roman" w:hAnsiTheme="minorHAnsi" w:cstheme="minorHAnsi"/>
          <w:color w:val="231F20"/>
          <w:lang w:val="pt-PT"/>
        </w:rPr>
        <w:t>mesma</w:t>
      </w:r>
      <w:r w:rsidRPr="00292532">
        <w:rPr>
          <w:rFonts w:asciiTheme="minorHAnsi" w:eastAsia="Times New Roman" w:hAnsiTheme="minorHAnsi" w:cstheme="minorHAnsi"/>
          <w:color w:val="231F20"/>
          <w:spacing w:val="-48"/>
          <w:lang w:val="pt-PT"/>
        </w:rPr>
        <w:t xml:space="preserve"> </w:t>
      </w:r>
      <w:r w:rsidRPr="00292532">
        <w:rPr>
          <w:rFonts w:asciiTheme="minorHAnsi" w:eastAsia="Times New Roman" w:hAnsiTheme="minorHAnsi" w:cstheme="minorHAnsi"/>
          <w:color w:val="231F20"/>
          <w:lang w:val="pt-PT"/>
        </w:rPr>
        <w:t>localiza-se</w:t>
      </w:r>
      <w:r w:rsidRPr="00292532">
        <w:rPr>
          <w:rFonts w:asciiTheme="minorHAnsi" w:eastAsia="Times New Roman" w:hAnsiTheme="minorHAnsi" w:cstheme="minorHAnsi"/>
          <w:color w:val="231F20"/>
          <w:spacing w:val="10"/>
          <w:lang w:val="pt-PT"/>
        </w:rPr>
        <w:t xml:space="preserve"> </w:t>
      </w:r>
      <w:r w:rsidRPr="00292532">
        <w:rPr>
          <w:rFonts w:asciiTheme="minorHAnsi" w:eastAsia="Times New Roman" w:hAnsiTheme="minorHAnsi" w:cstheme="minorHAnsi"/>
          <w:color w:val="231F20"/>
          <w:lang w:val="pt-PT"/>
        </w:rPr>
        <w:t>no</w:t>
      </w:r>
      <w:r w:rsidRPr="00292532">
        <w:rPr>
          <w:rFonts w:asciiTheme="minorHAnsi" w:eastAsia="Times New Roman" w:hAnsiTheme="minorHAnsi" w:cstheme="minorHAnsi"/>
          <w:color w:val="231F20"/>
          <w:spacing w:val="12"/>
          <w:lang w:val="pt-PT"/>
        </w:rPr>
        <w:t xml:space="preserve"> </w:t>
      </w:r>
      <w:r w:rsidRPr="00292532">
        <w:rPr>
          <w:rFonts w:asciiTheme="minorHAnsi" w:eastAsia="Times New Roman" w:hAnsiTheme="minorHAnsi" w:cstheme="minorHAnsi"/>
          <w:color w:val="231F20"/>
          <w:lang w:val="pt-PT"/>
        </w:rPr>
        <w:t>Posto</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Administrativo</w:t>
      </w:r>
      <w:r w:rsidRPr="00292532">
        <w:rPr>
          <w:rFonts w:asciiTheme="minorHAnsi" w:eastAsia="Times New Roman" w:hAnsiTheme="minorHAnsi" w:cstheme="minorHAnsi"/>
          <w:color w:val="231F20"/>
          <w:spacing w:val="12"/>
          <w:lang w:val="pt-PT"/>
        </w:rPr>
        <w:t xml:space="preserve"> </w:t>
      </w:r>
      <w:r w:rsidRPr="00292532">
        <w:rPr>
          <w:rFonts w:asciiTheme="minorHAnsi" w:eastAsia="Times New Roman" w:hAnsiTheme="minorHAnsi" w:cstheme="minorHAnsi"/>
          <w:color w:val="231F20"/>
          <w:lang w:val="pt-PT"/>
        </w:rPr>
        <w:t>de</w:t>
      </w:r>
      <w:r w:rsidRPr="00292532">
        <w:rPr>
          <w:rFonts w:asciiTheme="minorHAnsi" w:eastAsia="Times New Roman" w:hAnsiTheme="minorHAnsi" w:cstheme="minorHAnsi"/>
          <w:color w:val="231F20"/>
          <w:u w:val="single" w:color="221E1F"/>
          <w:lang w:val="pt-PT"/>
        </w:rPr>
        <w:t xml:space="preserve"> Distrito</w:t>
      </w:r>
      <w:r w:rsidRPr="00292532">
        <w:rPr>
          <w:rFonts w:asciiTheme="minorHAnsi" w:eastAsia="Times New Roman" w:hAnsiTheme="minorHAnsi" w:cstheme="minorHAnsi"/>
          <w:color w:val="231F20"/>
          <w:spacing w:val="12"/>
          <w:lang w:val="pt-PT"/>
        </w:rPr>
        <w:t xml:space="preserve"> </w:t>
      </w:r>
      <w:r w:rsidRPr="00292532">
        <w:rPr>
          <w:rFonts w:asciiTheme="minorHAnsi" w:eastAsia="Times New Roman" w:hAnsiTheme="minorHAnsi" w:cstheme="minorHAnsi"/>
          <w:color w:val="231F20"/>
          <w:lang w:val="pt-PT"/>
        </w:rPr>
        <w:t>de</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lang w:val="pt-PT"/>
        </w:rPr>
        <w:t>,</w:t>
      </w:r>
      <w:r w:rsidRPr="00292532">
        <w:rPr>
          <w:rFonts w:asciiTheme="minorHAnsi" w:eastAsia="Times New Roman" w:hAnsiTheme="minorHAnsi" w:cstheme="minorHAnsi"/>
          <w:color w:val="231F20"/>
          <w:spacing w:val="12"/>
          <w:lang w:val="pt-PT"/>
        </w:rPr>
        <w:t xml:space="preserve"> </w:t>
      </w:r>
      <w:r w:rsidRPr="00292532">
        <w:rPr>
          <w:rFonts w:asciiTheme="minorHAnsi" w:eastAsia="Times New Roman" w:hAnsiTheme="minorHAnsi" w:cstheme="minorHAnsi"/>
          <w:color w:val="231F20"/>
          <w:lang w:val="pt-PT"/>
        </w:rPr>
        <w:t>Província</w:t>
      </w:r>
      <w:r w:rsidRPr="00292532">
        <w:rPr>
          <w:rFonts w:asciiTheme="minorHAnsi" w:eastAsia="Times New Roman" w:hAnsiTheme="minorHAnsi" w:cstheme="minorHAnsi"/>
          <w:color w:val="231F20"/>
          <w:spacing w:val="11"/>
          <w:lang w:val="pt-PT"/>
        </w:rPr>
        <w:t xml:space="preserve"> </w:t>
      </w:r>
      <w:r w:rsidRPr="00292532">
        <w:rPr>
          <w:rFonts w:asciiTheme="minorHAnsi" w:eastAsia="Times New Roman" w:hAnsiTheme="minorHAnsi" w:cstheme="minorHAnsi"/>
          <w:color w:val="231F20"/>
          <w:lang w:val="pt-PT"/>
        </w:rPr>
        <w:t>de</w:t>
      </w:r>
      <w:r w:rsidRPr="00292532">
        <w:rPr>
          <w:rFonts w:asciiTheme="minorHAnsi" w:eastAsia="Times New Roman" w:hAnsiTheme="minorHAnsi" w:cstheme="minorHAnsi"/>
          <w:color w:val="231F20"/>
          <w:u w:val="single" w:color="221E1F"/>
          <w:lang w:val="pt-PT"/>
        </w:rPr>
        <w:t xml:space="preserve"> Talhão</w:t>
      </w:r>
      <w:r w:rsidRPr="00292532">
        <w:rPr>
          <w:rFonts w:asciiTheme="minorHAnsi" w:eastAsia="Times New Roman" w:hAnsiTheme="minorHAnsi" w:cstheme="minorHAnsi"/>
          <w:color w:val="231F20"/>
          <w:lang w:val="pt-PT"/>
        </w:rPr>
        <w:t>/</w:t>
      </w:r>
      <w:r w:rsidRPr="00292532">
        <w:rPr>
          <w:rFonts w:asciiTheme="minorHAnsi" w:eastAsia="Times New Roman" w:hAnsiTheme="minorHAnsi" w:cstheme="minorHAnsi"/>
          <w:color w:val="231F20"/>
          <w:spacing w:val="-48"/>
          <w:lang w:val="pt-PT"/>
        </w:rPr>
        <w:t xml:space="preserve"> </w:t>
      </w:r>
      <w:r w:rsidRPr="00292532">
        <w:rPr>
          <w:rFonts w:asciiTheme="minorHAnsi" w:eastAsia="Times New Roman" w:hAnsiTheme="minorHAnsi" w:cstheme="minorHAnsi"/>
          <w:color w:val="231F20"/>
          <w:lang w:val="pt-PT"/>
        </w:rPr>
        <w:t>Parcela</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n.º</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lang w:val="pt-PT"/>
        </w:rPr>
        <w:t>,</w:t>
      </w:r>
      <w:r w:rsidRPr="00292532">
        <w:rPr>
          <w:rFonts w:asciiTheme="minorHAnsi" w:eastAsia="Times New Roman" w:hAnsiTheme="minorHAnsi" w:cstheme="minorHAnsi"/>
          <w:color w:val="231F20"/>
          <w:spacing w:val="-2"/>
          <w:lang w:val="pt-PT"/>
        </w:rPr>
        <w:t xml:space="preserve"> </w:t>
      </w:r>
      <w:r w:rsidRPr="00292532">
        <w:rPr>
          <w:rFonts w:asciiTheme="minorHAnsi" w:eastAsia="Times New Roman" w:hAnsiTheme="minorHAnsi" w:cstheme="minorHAnsi"/>
          <w:color w:val="231F20"/>
          <w:lang w:val="pt-PT"/>
        </w:rPr>
        <w:t>nas</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coordenadas</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geográficas:</w:t>
      </w:r>
    </w:p>
    <w:p w14:paraId="78A6D388" w14:textId="77777777" w:rsidR="00F638C3" w:rsidRPr="00292532" w:rsidRDefault="00F638C3" w:rsidP="00F638C3">
      <w:pPr>
        <w:widowControl w:val="0"/>
        <w:tabs>
          <w:tab w:val="left" w:pos="2424"/>
          <w:tab w:val="left" w:pos="5023"/>
          <w:tab w:val="left" w:pos="7722"/>
        </w:tabs>
        <w:autoSpaceDE w:val="0"/>
        <w:autoSpaceDN w:val="0"/>
        <w:spacing w:before="117" w:after="0"/>
        <w:ind w:left="226"/>
        <w:rPr>
          <w:rFonts w:asciiTheme="minorHAnsi" w:eastAsia="Times New Roman" w:hAnsiTheme="minorHAnsi" w:cstheme="minorHAnsi"/>
          <w:lang w:val="pt-PT"/>
        </w:rPr>
      </w:pPr>
      <w:r w:rsidRPr="00292532">
        <w:rPr>
          <w:rFonts w:asciiTheme="minorHAnsi" w:eastAsia="Times New Roman" w:hAnsiTheme="minorHAnsi" w:cstheme="minorHAnsi"/>
          <w:color w:val="231F20"/>
          <w:lang w:val="pt-PT"/>
        </w:rPr>
        <w:t>1.</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lang w:val="pt-PT"/>
        </w:rPr>
        <w:t>,</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2.</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lang w:val="pt-PT"/>
        </w:rPr>
        <w:t>,</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3.</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lang w:val="pt-PT"/>
        </w:rPr>
        <w:t>,</w:t>
      </w:r>
    </w:p>
    <w:p w14:paraId="330E04CA" w14:textId="77777777" w:rsidR="00F638C3" w:rsidRPr="00292532" w:rsidRDefault="00F638C3" w:rsidP="00F638C3">
      <w:pPr>
        <w:widowControl w:val="0"/>
        <w:numPr>
          <w:ilvl w:val="0"/>
          <w:numId w:val="32"/>
        </w:numPr>
        <w:tabs>
          <w:tab w:val="left" w:pos="437"/>
          <w:tab w:val="left" w:pos="2535"/>
          <w:tab w:val="left" w:pos="6297"/>
          <w:tab w:val="left" w:pos="9872"/>
        </w:tabs>
        <w:autoSpaceDE w:val="0"/>
        <w:autoSpaceDN w:val="0"/>
        <w:spacing w:before="154" w:after="0" w:line="280" w:lineRule="auto"/>
        <w:ind w:right="224" w:firstLine="0"/>
        <w:rPr>
          <w:rFonts w:asciiTheme="minorHAnsi" w:eastAsia="Times New Roman" w:hAnsiTheme="minorHAnsi" w:cstheme="minorHAnsi"/>
          <w:lang w:val="pt-PT"/>
        </w:rPr>
      </w:pPr>
      <w:r w:rsidRPr="00292532">
        <w:rPr>
          <w:rFonts w:asciiTheme="minorHAnsi" w:eastAsia="Times New Roman" w:hAnsiTheme="minorHAnsi" w:cstheme="minorHAnsi"/>
          <w:color w:val="231F20"/>
          <w:u w:val="single" w:color="221E1F"/>
          <w:lang w:val="pt-PT"/>
        </w:rPr>
        <w:t xml:space="preserve"> </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lang w:val="pt-PT"/>
        </w:rPr>
        <w:t>,</w:t>
      </w:r>
      <w:r w:rsidRPr="00292532">
        <w:rPr>
          <w:rFonts w:asciiTheme="minorHAnsi" w:eastAsia="Times New Roman" w:hAnsiTheme="minorHAnsi" w:cstheme="minorHAnsi"/>
          <w:color w:val="231F20"/>
          <w:spacing w:val="10"/>
          <w:lang w:val="pt-PT"/>
        </w:rPr>
        <w:t xml:space="preserve"> </w:t>
      </w:r>
      <w:r w:rsidRPr="00292532">
        <w:rPr>
          <w:rFonts w:asciiTheme="minorHAnsi" w:eastAsia="Times New Roman" w:hAnsiTheme="minorHAnsi" w:cstheme="minorHAnsi"/>
          <w:color w:val="231F20"/>
          <w:lang w:val="pt-PT"/>
        </w:rPr>
        <w:t>cuja</w:t>
      </w:r>
      <w:r w:rsidRPr="00292532">
        <w:rPr>
          <w:rFonts w:asciiTheme="minorHAnsi" w:eastAsia="Times New Roman" w:hAnsiTheme="minorHAnsi" w:cstheme="minorHAnsi"/>
          <w:color w:val="231F20"/>
          <w:spacing w:val="9"/>
          <w:lang w:val="pt-PT"/>
        </w:rPr>
        <w:t xml:space="preserve"> </w:t>
      </w:r>
      <w:r w:rsidRPr="00292532">
        <w:rPr>
          <w:rFonts w:asciiTheme="minorHAnsi" w:eastAsia="Times New Roman" w:hAnsiTheme="minorHAnsi" w:cstheme="minorHAnsi"/>
          <w:color w:val="231F20"/>
          <w:lang w:val="pt-PT"/>
        </w:rPr>
        <w:t>área</w:t>
      </w:r>
      <w:r w:rsidRPr="00292532">
        <w:rPr>
          <w:rFonts w:asciiTheme="minorHAnsi" w:eastAsia="Times New Roman" w:hAnsiTheme="minorHAnsi" w:cstheme="minorHAnsi"/>
          <w:color w:val="231F20"/>
          <w:spacing w:val="9"/>
          <w:lang w:val="pt-PT"/>
        </w:rPr>
        <w:t xml:space="preserve"> </w:t>
      </w:r>
      <w:r w:rsidRPr="00292532">
        <w:rPr>
          <w:rFonts w:asciiTheme="minorHAnsi" w:eastAsia="Times New Roman" w:hAnsiTheme="minorHAnsi" w:cstheme="minorHAnsi"/>
          <w:color w:val="231F20"/>
          <w:lang w:val="pt-PT"/>
        </w:rPr>
        <w:t>de</w:t>
      </w:r>
      <w:r w:rsidRPr="00292532">
        <w:rPr>
          <w:rFonts w:asciiTheme="minorHAnsi" w:eastAsia="Times New Roman" w:hAnsiTheme="minorHAnsi" w:cstheme="minorHAnsi"/>
          <w:color w:val="231F20"/>
          <w:spacing w:val="10"/>
          <w:lang w:val="pt-PT"/>
        </w:rPr>
        <w:t xml:space="preserve"> </w:t>
      </w:r>
      <w:proofErr w:type="spellStart"/>
      <w:r w:rsidRPr="00292532">
        <w:rPr>
          <w:rFonts w:asciiTheme="minorHAnsi" w:eastAsia="Times New Roman" w:hAnsiTheme="minorHAnsi" w:cstheme="minorHAnsi"/>
          <w:color w:val="231F20"/>
          <w:lang w:val="pt-PT"/>
        </w:rPr>
        <w:t>actividade</w:t>
      </w:r>
      <w:proofErr w:type="spellEnd"/>
      <w:r w:rsidRPr="00292532">
        <w:rPr>
          <w:rFonts w:asciiTheme="minorHAnsi" w:eastAsia="Times New Roman" w:hAnsiTheme="minorHAnsi" w:cstheme="minorHAnsi"/>
          <w:color w:val="231F20"/>
          <w:spacing w:val="9"/>
          <w:lang w:val="pt-PT"/>
        </w:rPr>
        <w:t xml:space="preserve"> </w:t>
      </w:r>
      <w:r w:rsidRPr="00292532">
        <w:rPr>
          <w:rFonts w:asciiTheme="minorHAnsi" w:eastAsia="Times New Roman" w:hAnsiTheme="minorHAnsi" w:cstheme="minorHAnsi"/>
          <w:color w:val="231F20"/>
          <w:lang w:val="pt-PT"/>
        </w:rPr>
        <w:t>é</w:t>
      </w:r>
      <w:r w:rsidRPr="00292532">
        <w:rPr>
          <w:rFonts w:asciiTheme="minorHAnsi" w:eastAsia="Times New Roman" w:hAnsiTheme="minorHAnsi" w:cstheme="minorHAnsi"/>
          <w:color w:val="231F20"/>
          <w:spacing w:val="10"/>
          <w:lang w:val="pt-PT"/>
        </w:rPr>
        <w:t xml:space="preserve"> </w:t>
      </w:r>
      <w:r w:rsidRPr="00292532">
        <w:rPr>
          <w:rFonts w:asciiTheme="minorHAnsi" w:eastAsia="Times New Roman" w:hAnsiTheme="minorHAnsi" w:cstheme="minorHAnsi"/>
          <w:color w:val="231F20"/>
          <w:lang w:val="pt-PT"/>
        </w:rPr>
        <w:t>de</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lang w:val="pt-PT"/>
        </w:rPr>
        <w:t>,</w:t>
      </w:r>
      <w:r w:rsidRPr="00292532">
        <w:rPr>
          <w:rFonts w:asciiTheme="minorHAnsi" w:eastAsia="Times New Roman" w:hAnsiTheme="minorHAnsi" w:cstheme="minorHAnsi"/>
          <w:color w:val="231F20"/>
          <w:spacing w:val="10"/>
          <w:lang w:val="pt-PT"/>
        </w:rPr>
        <w:t xml:space="preserve"> </w:t>
      </w:r>
      <w:r w:rsidRPr="00292532">
        <w:rPr>
          <w:rFonts w:asciiTheme="minorHAnsi" w:eastAsia="Times New Roman" w:hAnsiTheme="minorHAnsi" w:cstheme="minorHAnsi"/>
          <w:color w:val="231F20"/>
          <w:lang w:val="pt-PT"/>
        </w:rPr>
        <w:t>com</w:t>
      </w:r>
      <w:r w:rsidRPr="00292532">
        <w:rPr>
          <w:rFonts w:asciiTheme="minorHAnsi" w:eastAsia="Times New Roman" w:hAnsiTheme="minorHAnsi" w:cstheme="minorHAnsi"/>
          <w:color w:val="231F20"/>
          <w:spacing w:val="10"/>
          <w:lang w:val="pt-PT"/>
        </w:rPr>
        <w:t xml:space="preserve"> </w:t>
      </w:r>
      <w:r w:rsidRPr="00292532">
        <w:rPr>
          <w:rFonts w:asciiTheme="minorHAnsi" w:eastAsia="Times New Roman" w:hAnsiTheme="minorHAnsi" w:cstheme="minorHAnsi"/>
          <w:color w:val="231F20"/>
          <w:lang w:val="pt-PT"/>
        </w:rPr>
        <w:t>valor</w:t>
      </w:r>
      <w:r w:rsidRPr="00292532">
        <w:rPr>
          <w:rFonts w:asciiTheme="minorHAnsi" w:eastAsia="Times New Roman" w:hAnsiTheme="minorHAnsi" w:cstheme="minorHAnsi"/>
          <w:color w:val="231F20"/>
          <w:spacing w:val="9"/>
          <w:lang w:val="pt-PT"/>
        </w:rPr>
        <w:t xml:space="preserve"> </w:t>
      </w:r>
      <w:r w:rsidRPr="00292532">
        <w:rPr>
          <w:rFonts w:asciiTheme="minorHAnsi" w:eastAsia="Times New Roman" w:hAnsiTheme="minorHAnsi" w:cstheme="minorHAnsi"/>
          <w:color w:val="231F20"/>
          <w:lang w:val="pt-PT"/>
        </w:rPr>
        <w:t>de</w:t>
      </w:r>
      <w:r w:rsidRPr="00292532">
        <w:rPr>
          <w:rFonts w:asciiTheme="minorHAnsi" w:eastAsia="Times New Roman" w:hAnsiTheme="minorHAnsi" w:cstheme="minorHAnsi"/>
          <w:color w:val="231F20"/>
          <w:spacing w:val="10"/>
          <w:lang w:val="pt-PT"/>
        </w:rPr>
        <w:t xml:space="preserve"> </w:t>
      </w:r>
      <w:r w:rsidRPr="00292532">
        <w:rPr>
          <w:rFonts w:asciiTheme="minorHAnsi" w:eastAsia="Times New Roman" w:hAnsiTheme="minorHAnsi" w:cstheme="minorHAnsi"/>
          <w:color w:val="231F20"/>
          <w:lang w:val="pt-PT"/>
        </w:rPr>
        <w:t>investimento</w:t>
      </w:r>
      <w:r w:rsidRPr="00292532">
        <w:rPr>
          <w:rFonts w:asciiTheme="minorHAnsi" w:eastAsia="Times New Roman" w:hAnsiTheme="minorHAnsi" w:cstheme="minorHAnsi"/>
          <w:color w:val="231F20"/>
          <w:spacing w:val="9"/>
          <w:lang w:val="pt-PT"/>
        </w:rPr>
        <w:t xml:space="preserve"> </w:t>
      </w:r>
      <w:r w:rsidRPr="00292532">
        <w:rPr>
          <w:rFonts w:asciiTheme="minorHAnsi" w:eastAsia="Times New Roman" w:hAnsiTheme="minorHAnsi" w:cstheme="minorHAnsi"/>
          <w:color w:val="231F20"/>
          <w:lang w:val="pt-PT"/>
        </w:rPr>
        <w:t>de</w:t>
      </w:r>
      <w:r w:rsidRPr="00292532">
        <w:rPr>
          <w:rFonts w:asciiTheme="minorHAnsi" w:eastAsia="Times New Roman" w:hAnsiTheme="minorHAnsi" w:cstheme="minorHAnsi"/>
          <w:color w:val="231F20"/>
          <w:u w:val="single" w:color="221E1F"/>
          <w:lang w:val="pt-PT"/>
        </w:rPr>
        <w:tab/>
      </w:r>
      <w:r w:rsidRPr="00292532">
        <w:rPr>
          <w:rFonts w:asciiTheme="minorHAnsi" w:eastAsia="Times New Roman" w:hAnsiTheme="minorHAnsi" w:cstheme="minorHAnsi"/>
          <w:color w:val="231F20"/>
          <w:lang w:val="pt-PT"/>
        </w:rPr>
        <w:t>,</w:t>
      </w:r>
      <w:r w:rsidRPr="00292532">
        <w:rPr>
          <w:rFonts w:asciiTheme="minorHAnsi" w:eastAsia="Times New Roman" w:hAnsiTheme="minorHAnsi" w:cstheme="minorHAnsi"/>
          <w:color w:val="231F20"/>
          <w:spacing w:val="7"/>
          <w:lang w:val="pt-PT"/>
        </w:rPr>
        <w:t xml:space="preserve"> </w:t>
      </w:r>
      <w:r w:rsidRPr="00292532">
        <w:rPr>
          <w:rFonts w:asciiTheme="minorHAnsi" w:eastAsia="Times New Roman" w:hAnsiTheme="minorHAnsi" w:cstheme="minorHAnsi"/>
          <w:color w:val="231F20"/>
          <w:lang w:val="pt-PT"/>
        </w:rPr>
        <w:t>requer</w:t>
      </w:r>
      <w:r w:rsidRPr="00292532">
        <w:rPr>
          <w:rFonts w:asciiTheme="minorHAnsi" w:eastAsia="Times New Roman" w:hAnsiTheme="minorHAnsi" w:cstheme="minorHAnsi"/>
          <w:color w:val="231F20"/>
          <w:spacing w:val="-47"/>
          <w:lang w:val="pt-PT"/>
        </w:rPr>
        <w:t xml:space="preserve"> </w:t>
      </w:r>
      <w:r w:rsidRPr="00292532">
        <w:rPr>
          <w:rFonts w:asciiTheme="minorHAnsi" w:eastAsia="Times New Roman" w:hAnsiTheme="minorHAnsi" w:cstheme="minorHAnsi"/>
          <w:color w:val="231F20"/>
          <w:lang w:val="pt-PT"/>
        </w:rPr>
        <w:t>à</w:t>
      </w:r>
      <w:r w:rsidRPr="00292532">
        <w:rPr>
          <w:rFonts w:asciiTheme="minorHAnsi" w:eastAsia="Times New Roman" w:hAnsiTheme="minorHAnsi" w:cstheme="minorHAnsi"/>
          <w:color w:val="231F20"/>
          <w:spacing w:val="-5"/>
          <w:lang w:val="pt-PT"/>
        </w:rPr>
        <w:t xml:space="preserve"> </w:t>
      </w:r>
      <w:proofErr w:type="spellStart"/>
      <w:proofErr w:type="gramStart"/>
      <w:r w:rsidRPr="00292532">
        <w:rPr>
          <w:rFonts w:asciiTheme="minorHAnsi" w:eastAsia="Times New Roman" w:hAnsiTheme="minorHAnsi" w:cstheme="minorHAnsi"/>
          <w:color w:val="231F20"/>
          <w:lang w:val="pt-PT"/>
        </w:rPr>
        <w:t>V.Excia</w:t>
      </w:r>
      <w:proofErr w:type="spellEnd"/>
      <w:proofErr w:type="gramEnd"/>
      <w:r w:rsidRPr="00292532">
        <w:rPr>
          <w:rFonts w:asciiTheme="minorHAnsi" w:eastAsia="Times New Roman" w:hAnsiTheme="minorHAnsi" w:cstheme="minorHAnsi"/>
          <w:color w:val="231F20"/>
          <w:lang w:val="pt-PT"/>
        </w:rPr>
        <w:t>,</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se</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digne</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autorizar</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w:t>
      </w:r>
    </w:p>
    <w:p w14:paraId="3BDA80F1" w14:textId="77777777" w:rsidR="00F638C3" w:rsidRPr="00292532" w:rsidRDefault="00F638C3" w:rsidP="00F638C3">
      <w:pPr>
        <w:widowControl w:val="0"/>
        <w:autoSpaceDE w:val="0"/>
        <w:autoSpaceDN w:val="0"/>
        <w:spacing w:before="0" w:after="0"/>
        <w:jc w:val="left"/>
        <w:rPr>
          <w:rFonts w:asciiTheme="minorHAnsi" w:eastAsia="Times New Roman" w:hAnsiTheme="minorHAnsi" w:cstheme="minorHAnsi"/>
          <w:lang w:val="pt-PT"/>
        </w:rPr>
      </w:pPr>
    </w:p>
    <w:p w14:paraId="489162EF" w14:textId="77777777" w:rsidR="00F638C3" w:rsidRPr="00292532" w:rsidRDefault="00F638C3" w:rsidP="00F638C3">
      <w:pPr>
        <w:widowControl w:val="0"/>
        <w:autoSpaceDE w:val="0"/>
        <w:autoSpaceDN w:val="0"/>
        <w:spacing w:before="3" w:after="0"/>
        <w:jc w:val="left"/>
        <w:rPr>
          <w:rFonts w:asciiTheme="minorHAnsi" w:eastAsia="Times New Roman" w:hAnsiTheme="minorHAnsi" w:cstheme="minorHAnsi"/>
          <w:lang w:val="pt-PT"/>
        </w:rPr>
      </w:pPr>
    </w:p>
    <w:p w14:paraId="0C8D4C4F" w14:textId="77777777" w:rsidR="00F638C3" w:rsidRPr="00292532" w:rsidRDefault="00F638C3" w:rsidP="00F638C3">
      <w:pPr>
        <w:widowControl w:val="0"/>
        <w:autoSpaceDE w:val="0"/>
        <w:autoSpaceDN w:val="0"/>
        <w:spacing w:before="0" w:after="0"/>
        <w:ind w:left="157" w:right="157"/>
        <w:jc w:val="center"/>
        <w:rPr>
          <w:rFonts w:asciiTheme="minorHAnsi" w:eastAsia="Times New Roman" w:hAnsiTheme="minorHAnsi" w:cstheme="minorHAnsi"/>
          <w:lang w:val="pt-PT"/>
        </w:rPr>
      </w:pPr>
      <w:r w:rsidRPr="00292532">
        <w:rPr>
          <w:rFonts w:asciiTheme="minorHAnsi" w:eastAsia="Times New Roman" w:hAnsiTheme="minorHAnsi" w:cstheme="minorHAnsi"/>
          <w:color w:val="231F20"/>
          <w:lang w:val="pt-PT"/>
        </w:rPr>
        <w:t>Pede</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deferimento</w:t>
      </w:r>
    </w:p>
    <w:p w14:paraId="23B5323E" w14:textId="77777777" w:rsidR="00F638C3" w:rsidRPr="00292532" w:rsidRDefault="00F638C3" w:rsidP="00F638C3">
      <w:pPr>
        <w:widowControl w:val="0"/>
        <w:autoSpaceDE w:val="0"/>
        <w:autoSpaceDN w:val="0"/>
        <w:spacing w:before="0" w:after="0"/>
        <w:jc w:val="left"/>
        <w:rPr>
          <w:rFonts w:asciiTheme="minorHAnsi" w:eastAsia="Times New Roman" w:hAnsiTheme="minorHAnsi" w:cstheme="minorHAnsi"/>
          <w:lang w:val="pt-PT"/>
        </w:rPr>
      </w:pPr>
    </w:p>
    <w:p w14:paraId="79552932" w14:textId="77777777" w:rsidR="00F638C3" w:rsidRPr="00292532" w:rsidRDefault="00F638C3" w:rsidP="00F638C3">
      <w:pPr>
        <w:widowControl w:val="0"/>
        <w:autoSpaceDE w:val="0"/>
        <w:autoSpaceDN w:val="0"/>
        <w:spacing w:before="8" w:after="0"/>
        <w:jc w:val="left"/>
        <w:rPr>
          <w:rFonts w:asciiTheme="minorHAnsi" w:eastAsia="Times New Roman" w:hAnsiTheme="minorHAnsi" w:cstheme="minorHAnsi"/>
          <w:lang w:val="pt-PT"/>
        </w:rPr>
      </w:pPr>
    </w:p>
    <w:p w14:paraId="531A579A" w14:textId="77777777" w:rsidR="00F638C3" w:rsidRPr="00292532" w:rsidRDefault="00F638C3" w:rsidP="00F638C3">
      <w:pPr>
        <w:widowControl w:val="0"/>
        <w:tabs>
          <w:tab w:val="left" w:leader="dot" w:pos="5602"/>
        </w:tabs>
        <w:autoSpaceDE w:val="0"/>
        <w:autoSpaceDN w:val="0"/>
        <w:spacing w:before="0" w:after="0"/>
        <w:jc w:val="center"/>
        <w:rPr>
          <w:rFonts w:asciiTheme="minorHAnsi" w:eastAsia="Times New Roman" w:hAnsiTheme="minorHAnsi" w:cstheme="minorHAnsi"/>
          <w:lang w:val="pt-PT"/>
        </w:rPr>
      </w:pPr>
      <w:r w:rsidRPr="00292532">
        <w:rPr>
          <w:rFonts w:asciiTheme="minorHAnsi" w:eastAsia="Times New Roman" w:hAnsiTheme="minorHAnsi" w:cstheme="minorHAnsi"/>
          <w:color w:val="231F20"/>
          <w:lang w:val="pt-PT"/>
        </w:rPr>
        <w:t>…………………………………………,</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aos</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w:t>
      </w:r>
      <w:proofErr w:type="gramStart"/>
      <w:r w:rsidRPr="00292532">
        <w:rPr>
          <w:rFonts w:asciiTheme="minorHAnsi" w:eastAsia="Times New Roman" w:hAnsiTheme="minorHAnsi" w:cstheme="minorHAnsi"/>
          <w:color w:val="231F20"/>
          <w:lang w:val="pt-PT"/>
        </w:rPr>
        <w:t>…….</w:t>
      </w:r>
      <w:proofErr w:type="gramEnd"/>
      <w:r w:rsidRPr="00292532">
        <w:rPr>
          <w:rFonts w:asciiTheme="minorHAnsi" w:eastAsia="Times New Roman" w:hAnsiTheme="minorHAnsi" w:cstheme="minorHAnsi"/>
          <w:color w:val="231F20"/>
          <w:lang w:val="pt-PT"/>
        </w:rPr>
        <w:t>de</w:t>
      </w:r>
      <w:r w:rsidRPr="00292532">
        <w:rPr>
          <w:rFonts w:asciiTheme="minorHAnsi" w:eastAsia="Times New Roman" w:hAnsiTheme="minorHAnsi" w:cstheme="minorHAnsi"/>
          <w:color w:val="231F20"/>
          <w:lang w:val="pt-PT"/>
        </w:rPr>
        <w:tab/>
        <w:t>de</w:t>
      </w:r>
      <w:r w:rsidRPr="00292532">
        <w:rPr>
          <w:rFonts w:asciiTheme="minorHAnsi" w:eastAsia="Times New Roman" w:hAnsiTheme="minorHAnsi" w:cstheme="minorHAnsi"/>
          <w:color w:val="231F20"/>
          <w:spacing w:val="-1"/>
          <w:lang w:val="pt-PT"/>
        </w:rPr>
        <w:t xml:space="preserve"> </w:t>
      </w:r>
      <w:r w:rsidRPr="00292532">
        <w:rPr>
          <w:rFonts w:asciiTheme="minorHAnsi" w:eastAsia="Times New Roman" w:hAnsiTheme="minorHAnsi" w:cstheme="minorHAnsi"/>
          <w:color w:val="231F20"/>
          <w:lang w:val="pt-PT"/>
        </w:rPr>
        <w:t>20</w:t>
      </w:r>
    </w:p>
    <w:p w14:paraId="349F9346" w14:textId="77777777" w:rsidR="00F638C3" w:rsidRPr="00292532" w:rsidRDefault="00F638C3" w:rsidP="00F638C3">
      <w:pPr>
        <w:widowControl w:val="0"/>
        <w:autoSpaceDE w:val="0"/>
        <w:autoSpaceDN w:val="0"/>
        <w:spacing w:before="0" w:after="0"/>
        <w:jc w:val="left"/>
        <w:rPr>
          <w:rFonts w:asciiTheme="minorHAnsi" w:eastAsia="Times New Roman" w:hAnsiTheme="minorHAnsi" w:cstheme="minorHAnsi"/>
          <w:lang w:val="pt-PT"/>
        </w:rPr>
      </w:pPr>
    </w:p>
    <w:p w14:paraId="68E1C695" w14:textId="77777777" w:rsidR="00F638C3" w:rsidRPr="00292532" w:rsidRDefault="00F638C3" w:rsidP="00F638C3">
      <w:pPr>
        <w:widowControl w:val="0"/>
        <w:autoSpaceDE w:val="0"/>
        <w:autoSpaceDN w:val="0"/>
        <w:spacing w:before="7" w:after="0"/>
        <w:jc w:val="left"/>
        <w:rPr>
          <w:rFonts w:asciiTheme="minorHAnsi" w:eastAsia="Times New Roman" w:hAnsiTheme="minorHAnsi" w:cstheme="minorHAnsi"/>
          <w:lang w:val="pt-PT"/>
        </w:rPr>
      </w:pPr>
    </w:p>
    <w:p w14:paraId="388C4062" w14:textId="77777777" w:rsidR="00F638C3" w:rsidRPr="00292532" w:rsidRDefault="00F638C3" w:rsidP="00F638C3">
      <w:pPr>
        <w:widowControl w:val="0"/>
        <w:autoSpaceDE w:val="0"/>
        <w:autoSpaceDN w:val="0"/>
        <w:spacing w:before="0" w:after="0"/>
        <w:ind w:left="157" w:right="157"/>
        <w:jc w:val="center"/>
        <w:rPr>
          <w:rFonts w:asciiTheme="minorHAnsi" w:eastAsia="Times New Roman" w:hAnsiTheme="minorHAnsi" w:cstheme="minorHAnsi"/>
          <w:lang w:val="pt-PT"/>
        </w:rPr>
      </w:pPr>
      <w:r w:rsidRPr="00292532">
        <w:rPr>
          <w:rFonts w:asciiTheme="minorHAnsi" w:eastAsia="Times New Roman" w:hAnsiTheme="minorHAnsi" w:cstheme="minorHAnsi"/>
          <w:color w:val="231F20"/>
          <w:lang w:val="pt-PT"/>
        </w:rPr>
        <w:t>Assinatura</w:t>
      </w:r>
    </w:p>
    <w:p w14:paraId="778ECBE9" w14:textId="77777777" w:rsidR="00F638C3" w:rsidRPr="00292532" w:rsidRDefault="00F638C3" w:rsidP="00F638C3">
      <w:pPr>
        <w:widowControl w:val="0"/>
        <w:autoSpaceDE w:val="0"/>
        <w:autoSpaceDN w:val="0"/>
        <w:spacing w:before="153" w:after="0"/>
        <w:ind w:left="157" w:right="157"/>
        <w:jc w:val="center"/>
        <w:rPr>
          <w:rFonts w:asciiTheme="minorHAnsi" w:eastAsia="Times New Roman" w:hAnsiTheme="minorHAnsi" w:cstheme="minorHAnsi"/>
          <w:lang w:val="pt-PT"/>
        </w:rPr>
      </w:pPr>
      <w:r w:rsidRPr="00292532">
        <w:rPr>
          <w:rFonts w:asciiTheme="minorHAnsi" w:eastAsia="Times New Roman" w:hAnsiTheme="minorHAnsi" w:cstheme="minorHAnsi"/>
          <w:color w:val="231F20"/>
          <w:lang w:val="pt-PT"/>
        </w:rPr>
        <w:t>……………………………………</w:t>
      </w:r>
    </w:p>
    <w:p w14:paraId="3C31A175" w14:textId="77777777" w:rsidR="00F638C3" w:rsidRPr="00292532" w:rsidRDefault="00F638C3" w:rsidP="00F638C3">
      <w:pPr>
        <w:widowControl w:val="0"/>
        <w:autoSpaceDE w:val="0"/>
        <w:autoSpaceDN w:val="0"/>
        <w:spacing w:before="6" w:after="0"/>
        <w:jc w:val="left"/>
        <w:rPr>
          <w:rFonts w:asciiTheme="minorHAnsi" w:eastAsia="Times New Roman" w:hAnsiTheme="minorHAnsi" w:cstheme="minorHAnsi"/>
          <w:lang w:val="pt-PT"/>
        </w:rPr>
      </w:pPr>
      <w:r w:rsidRPr="00292532">
        <w:rPr>
          <w:rFonts w:asciiTheme="minorHAnsi" w:eastAsia="Times New Roman" w:hAnsiTheme="minorHAnsi" w:cstheme="minorHAnsi"/>
          <w:lang w:val="pt-PT"/>
        </w:rPr>
        <w:br w:type="page"/>
      </w:r>
    </w:p>
    <w:p w14:paraId="12C3298D" w14:textId="3DE9EC4A" w:rsidR="00495F5C" w:rsidRPr="00292532" w:rsidRDefault="00495F5C" w:rsidP="00372311">
      <w:pPr>
        <w:tabs>
          <w:tab w:val="left" w:pos="930"/>
        </w:tabs>
        <w:rPr>
          <w:lang w:val="pt-PT" w:eastAsia="pt-BR"/>
        </w:rPr>
        <w:sectPr w:rsidR="00495F5C" w:rsidRPr="00292532" w:rsidSect="00C01674">
          <w:pgSz w:w="11906" w:h="16838"/>
          <w:pgMar w:top="1417" w:right="1701" w:bottom="1417" w:left="1701" w:header="708" w:footer="708"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p>
    <w:p w14:paraId="5369BFC0" w14:textId="1061DF82" w:rsidR="00CC332B" w:rsidRPr="00292532" w:rsidRDefault="000F0611" w:rsidP="000D7B05">
      <w:pPr>
        <w:pStyle w:val="Title"/>
      </w:pPr>
      <w:r w:rsidRPr="00292532">
        <w:lastRenderedPageBreak/>
        <w:t xml:space="preserve">Anexo </w:t>
      </w:r>
      <w:r w:rsidR="00F638C3" w:rsidRPr="00292532">
        <w:t>2</w:t>
      </w:r>
    </w:p>
    <w:p w14:paraId="6322A3EF" w14:textId="42F7F7D8" w:rsidR="000F0611" w:rsidRPr="00292532" w:rsidRDefault="000F0611" w:rsidP="000D7B05">
      <w:pPr>
        <w:pStyle w:val="Title"/>
      </w:pPr>
    </w:p>
    <w:p w14:paraId="70A4055B" w14:textId="671D88CC" w:rsidR="00C9567A" w:rsidRPr="00292532" w:rsidRDefault="00C9567A" w:rsidP="00AE14AE">
      <w:pPr>
        <w:pStyle w:val="Heading1"/>
        <w:numPr>
          <w:ilvl w:val="0"/>
          <w:numId w:val="71"/>
        </w:numPr>
        <w:rPr>
          <w:lang w:val="pt-PT"/>
        </w:rPr>
      </w:pPr>
      <w:bookmarkStart w:id="501" w:name="_Toc72944219"/>
      <w:bookmarkStart w:id="502" w:name="_Toc72956491"/>
      <w:bookmarkStart w:id="503" w:name="_Toc72956644"/>
      <w:bookmarkStart w:id="504" w:name="_Toc73620181"/>
      <w:bookmarkStart w:id="505" w:name="_Toc73623808"/>
      <w:bookmarkStart w:id="506" w:name="_Toc73624456"/>
      <w:bookmarkStart w:id="507" w:name="_Toc73954591"/>
      <w:bookmarkStart w:id="508" w:name="_Toc75437990"/>
      <w:bookmarkStart w:id="509" w:name="_Toc78435414"/>
      <w:bookmarkStart w:id="510" w:name="_Toc80380084"/>
      <w:r w:rsidRPr="00292532">
        <w:rPr>
          <w:lang w:val="pt-PT"/>
        </w:rPr>
        <w:t>Termos de Referência Padrão para a Avaliação de Impacto Ambiental e Social</w:t>
      </w:r>
      <w:bookmarkEnd w:id="501"/>
      <w:bookmarkEnd w:id="502"/>
      <w:bookmarkEnd w:id="503"/>
      <w:bookmarkEnd w:id="504"/>
      <w:bookmarkEnd w:id="505"/>
      <w:bookmarkEnd w:id="506"/>
      <w:bookmarkEnd w:id="507"/>
      <w:bookmarkEnd w:id="508"/>
      <w:bookmarkEnd w:id="509"/>
      <w:bookmarkEnd w:id="510"/>
    </w:p>
    <w:p w14:paraId="7912847C" w14:textId="4729547C" w:rsidR="007E78EB" w:rsidRPr="00292532" w:rsidRDefault="007E78EB" w:rsidP="007E78EB">
      <w:pPr>
        <w:rPr>
          <w:lang w:val="pt-PT"/>
        </w:rPr>
      </w:pPr>
      <w:r w:rsidRPr="00292532">
        <w:rPr>
          <w:lang w:val="pt-PT"/>
        </w:rPr>
        <w:t>Esta secção propõe os Termos de Referência para o desenvolvimento d</w:t>
      </w:r>
      <w:r w:rsidR="00C9567A" w:rsidRPr="00292532">
        <w:rPr>
          <w:lang w:val="pt-PT"/>
        </w:rPr>
        <w:t>os</w:t>
      </w:r>
      <w:r w:rsidRPr="00292532">
        <w:rPr>
          <w:lang w:val="pt-PT"/>
        </w:rPr>
        <w:t xml:space="preserve"> Estudos de Impacto Ambiental (EIA)</w:t>
      </w:r>
      <w:r w:rsidR="00C9567A" w:rsidRPr="00292532">
        <w:rPr>
          <w:lang w:val="pt-PT"/>
        </w:rPr>
        <w:t xml:space="preserve"> como parte de processos de AIA</w:t>
      </w:r>
      <w:r w:rsidRPr="00292532">
        <w:rPr>
          <w:lang w:val="pt-PT"/>
        </w:rPr>
        <w:t xml:space="preserve"> para os subprojectos. Deve-se sublinhar, que os </w:t>
      </w:r>
      <w:proofErr w:type="spellStart"/>
      <w:r w:rsidRPr="00292532">
        <w:rPr>
          <w:lang w:val="pt-PT"/>
        </w:rPr>
        <w:t>TdR</w:t>
      </w:r>
      <w:proofErr w:type="spellEnd"/>
      <w:r w:rsidRPr="00292532">
        <w:rPr>
          <w:lang w:val="pt-PT"/>
        </w:rPr>
        <w:t xml:space="preserve"> aqui apresentados são preliminares, uma vez que os mesmos serão revistos após definição dos subprojectos e realização da Triagem Ambiental e Social</w:t>
      </w:r>
      <w:r w:rsidR="004A443B" w:rsidRPr="00292532">
        <w:rPr>
          <w:lang w:val="pt-PT"/>
        </w:rPr>
        <w:t xml:space="preserve"> (Anexo</w:t>
      </w:r>
      <w:r w:rsidR="007C5244">
        <w:rPr>
          <w:lang w:val="pt-PT"/>
        </w:rPr>
        <w:t xml:space="preserve"> </w:t>
      </w:r>
      <w:r w:rsidR="004A443B" w:rsidRPr="00292532">
        <w:rPr>
          <w:lang w:val="pt-PT"/>
        </w:rPr>
        <w:t>1 do QGAS)</w:t>
      </w:r>
      <w:r w:rsidRPr="00292532">
        <w:rPr>
          <w:lang w:val="pt-PT"/>
        </w:rPr>
        <w:t xml:space="preserve"> para determinar o nível da AIA dos subprojectos. </w:t>
      </w:r>
    </w:p>
    <w:p w14:paraId="56717BB0" w14:textId="5451575B" w:rsidR="007E78EB" w:rsidRPr="00292532" w:rsidRDefault="007E78EB" w:rsidP="007E78EB">
      <w:pPr>
        <w:rPr>
          <w:lang w:val="pt-PT"/>
        </w:rPr>
      </w:pPr>
      <w:r w:rsidRPr="00292532">
        <w:rPr>
          <w:lang w:val="pt-PT"/>
        </w:rPr>
        <w:t xml:space="preserve">O </w:t>
      </w:r>
      <w:proofErr w:type="spellStart"/>
      <w:r w:rsidRPr="00292532">
        <w:rPr>
          <w:lang w:val="pt-PT"/>
        </w:rPr>
        <w:t>objectivo</w:t>
      </w:r>
      <w:proofErr w:type="spellEnd"/>
      <w:r w:rsidRPr="00292532">
        <w:rPr>
          <w:lang w:val="pt-PT"/>
        </w:rPr>
        <w:t xml:space="preserve"> dos </w:t>
      </w:r>
      <w:proofErr w:type="spellStart"/>
      <w:r w:rsidRPr="00292532">
        <w:rPr>
          <w:lang w:val="pt-PT"/>
        </w:rPr>
        <w:t>TdR</w:t>
      </w:r>
      <w:proofErr w:type="spellEnd"/>
      <w:r w:rsidRPr="00292532">
        <w:rPr>
          <w:lang w:val="pt-PT"/>
        </w:rPr>
        <w:t xml:space="preserve"> é de apresentar o conteúdo principal do EIA, a metodologia aplicada na avaliação dos potenciais impactos para as componentes ambientais e sociais durante as </w:t>
      </w:r>
      <w:proofErr w:type="spellStart"/>
      <w:r w:rsidRPr="00292532">
        <w:rPr>
          <w:lang w:val="pt-PT"/>
        </w:rPr>
        <w:t>actividades</w:t>
      </w:r>
      <w:proofErr w:type="spellEnd"/>
      <w:r w:rsidRPr="00292532">
        <w:rPr>
          <w:lang w:val="pt-PT"/>
        </w:rPr>
        <w:t xml:space="preserve"> do </w:t>
      </w:r>
      <w:proofErr w:type="spellStart"/>
      <w:r w:rsidRPr="00292532">
        <w:rPr>
          <w:lang w:val="pt-PT"/>
        </w:rPr>
        <w:t>Projecto</w:t>
      </w:r>
      <w:proofErr w:type="spellEnd"/>
      <w:r w:rsidRPr="00292532">
        <w:rPr>
          <w:lang w:val="pt-PT"/>
        </w:rPr>
        <w:t xml:space="preserve"> e os principais </w:t>
      </w:r>
      <w:proofErr w:type="spellStart"/>
      <w:r w:rsidRPr="00292532">
        <w:rPr>
          <w:lang w:val="pt-PT"/>
        </w:rPr>
        <w:t>aspectos</w:t>
      </w:r>
      <w:proofErr w:type="spellEnd"/>
      <w:r w:rsidRPr="00292532">
        <w:rPr>
          <w:lang w:val="pt-PT"/>
        </w:rPr>
        <w:t xml:space="preserve"> do processo Avaliação de Impactos Ambientais (AIA).</w:t>
      </w:r>
    </w:p>
    <w:p w14:paraId="5AA2E57A" w14:textId="77777777" w:rsidR="007E78EB" w:rsidRPr="00292532" w:rsidRDefault="007E78EB" w:rsidP="007E78EB">
      <w:pPr>
        <w:rPr>
          <w:lang w:val="pt-PT"/>
        </w:rPr>
      </w:pPr>
      <w:r w:rsidRPr="00292532">
        <w:rPr>
          <w:lang w:val="pt-PT"/>
        </w:rPr>
        <w:t>Por conseguinte os Termos de Referência assumem a obrigatoriedade de apresentação de um Relatório de Estudo de Impacto Ambiental durante o processo da AIA, quer sejam estes simplificados) ou mais detalhados.</w:t>
      </w:r>
    </w:p>
    <w:p w14:paraId="364A71A8" w14:textId="46FD4C5F" w:rsidR="007E78EB" w:rsidRPr="00292532" w:rsidRDefault="007E78EB" w:rsidP="007E78EB">
      <w:pPr>
        <w:rPr>
          <w:lang w:val="pt-PT"/>
        </w:rPr>
      </w:pPr>
      <w:r w:rsidRPr="00292532">
        <w:rPr>
          <w:lang w:val="pt-PT"/>
        </w:rPr>
        <w:t xml:space="preserve">Os </w:t>
      </w:r>
      <w:proofErr w:type="spellStart"/>
      <w:r w:rsidRPr="00292532">
        <w:rPr>
          <w:lang w:val="pt-PT"/>
        </w:rPr>
        <w:t>TdR</w:t>
      </w:r>
      <w:proofErr w:type="spellEnd"/>
      <w:r w:rsidRPr="00292532">
        <w:rPr>
          <w:lang w:val="pt-PT"/>
        </w:rPr>
        <w:t xml:space="preserve"> consideram os requisitos da legislação ambiental em particular o Regulamento de Avaliação de Impactos Ambientais (Decreto </w:t>
      </w:r>
      <w:r w:rsidR="0029439B" w:rsidRPr="00292532">
        <w:rPr>
          <w:lang w:val="pt-PT"/>
        </w:rPr>
        <w:t>54</w:t>
      </w:r>
      <w:r w:rsidRPr="00292532">
        <w:rPr>
          <w:lang w:val="pt-PT"/>
        </w:rPr>
        <w:t xml:space="preserve">/2015), as Normas Ambientais e Sociais do Banco Mundial aplicáveis ao </w:t>
      </w:r>
      <w:proofErr w:type="spellStart"/>
      <w:r w:rsidRPr="00292532">
        <w:rPr>
          <w:lang w:val="pt-PT"/>
        </w:rPr>
        <w:t>Projecto</w:t>
      </w:r>
      <w:proofErr w:type="spellEnd"/>
      <w:r w:rsidRPr="00292532">
        <w:rPr>
          <w:lang w:val="pt-PT"/>
        </w:rPr>
        <w:t xml:space="preserve">, os principais potenciais riscos e impactos ambientais antecipados na QGAS e as sensibilidades ambientais e sociais das áreas de abrangência do </w:t>
      </w:r>
      <w:proofErr w:type="spellStart"/>
      <w:r w:rsidRPr="00292532">
        <w:rPr>
          <w:lang w:val="pt-PT"/>
        </w:rPr>
        <w:t>Projecto</w:t>
      </w:r>
      <w:proofErr w:type="spellEnd"/>
      <w:r w:rsidRPr="00292532">
        <w:rPr>
          <w:lang w:val="pt-PT"/>
        </w:rPr>
        <w:t xml:space="preserve">. Não foi possível nesta fase determinar as lacunas de dados de referência por não terem disso ainda disponibilizados os resultados dos levantamentos de dados primários encomendados pelo AIAS. Por conseguinte, recomenda-se que na fase de </w:t>
      </w:r>
      <w:proofErr w:type="spellStart"/>
      <w:r w:rsidRPr="00292532">
        <w:rPr>
          <w:lang w:val="pt-PT"/>
        </w:rPr>
        <w:t>actualização</w:t>
      </w:r>
      <w:proofErr w:type="spellEnd"/>
      <w:r w:rsidRPr="00292532">
        <w:rPr>
          <w:lang w:val="pt-PT"/>
        </w:rPr>
        <w:t xml:space="preserve"> dos </w:t>
      </w:r>
      <w:proofErr w:type="spellStart"/>
      <w:r w:rsidRPr="00292532">
        <w:rPr>
          <w:lang w:val="pt-PT"/>
        </w:rPr>
        <w:t>EIAs</w:t>
      </w:r>
      <w:proofErr w:type="spellEnd"/>
      <w:r w:rsidRPr="00292532">
        <w:rPr>
          <w:lang w:val="pt-PT"/>
        </w:rPr>
        <w:t xml:space="preserve"> sejam avaliadas as lacunas de dados primários ambientais e sociais de referência nas áreas de implementação dos subprojectos. </w:t>
      </w:r>
    </w:p>
    <w:p w14:paraId="301E6129" w14:textId="15C837E2" w:rsidR="000F0611" w:rsidRPr="00292532" w:rsidRDefault="007E78EB" w:rsidP="007E78EB">
      <w:pPr>
        <w:rPr>
          <w:lang w:val="pt-PT"/>
        </w:rPr>
      </w:pPr>
      <w:r w:rsidRPr="00292532">
        <w:rPr>
          <w:lang w:val="pt-PT"/>
        </w:rPr>
        <w:t>É importante enfatizar, que de acordo com a legislação</w:t>
      </w:r>
      <w:r w:rsidR="004A443B" w:rsidRPr="00292532">
        <w:rPr>
          <w:lang w:val="pt-PT"/>
        </w:rPr>
        <w:t>,</w:t>
      </w:r>
      <w:r w:rsidRPr="00292532">
        <w:rPr>
          <w:lang w:val="pt-PT"/>
        </w:rPr>
        <w:t xml:space="preserve"> os </w:t>
      </w:r>
      <w:proofErr w:type="spellStart"/>
      <w:r w:rsidRPr="00292532">
        <w:rPr>
          <w:lang w:val="pt-PT"/>
        </w:rPr>
        <w:t>TdR</w:t>
      </w:r>
      <w:proofErr w:type="spellEnd"/>
      <w:r w:rsidRPr="00292532">
        <w:rPr>
          <w:lang w:val="pt-PT"/>
        </w:rPr>
        <w:t xml:space="preserve"> produzidos como parte do processo formal da AIA devem ser submetidos ao </w:t>
      </w:r>
      <w:r w:rsidR="00C9567A" w:rsidRPr="00292532">
        <w:rPr>
          <w:lang w:val="pt-PT"/>
        </w:rPr>
        <w:t>Ministério</w:t>
      </w:r>
      <w:r w:rsidRPr="00292532">
        <w:rPr>
          <w:lang w:val="pt-PT"/>
        </w:rPr>
        <w:t xml:space="preserve"> da Terra e Ambiente. O mesmo </w:t>
      </w:r>
      <w:r w:rsidR="00C9567A" w:rsidRPr="00292532">
        <w:rPr>
          <w:lang w:val="pt-PT"/>
        </w:rPr>
        <w:t>poderá solicitar</w:t>
      </w:r>
      <w:r w:rsidRPr="00292532">
        <w:rPr>
          <w:lang w:val="pt-PT"/>
        </w:rPr>
        <w:t xml:space="preserve"> mais informações a incluir no EIA para uma melhor compreensão do </w:t>
      </w:r>
      <w:proofErr w:type="spellStart"/>
      <w:r w:rsidRPr="00292532">
        <w:rPr>
          <w:lang w:val="pt-PT"/>
        </w:rPr>
        <w:t>Projecto</w:t>
      </w:r>
      <w:proofErr w:type="spellEnd"/>
      <w:r w:rsidRPr="00292532">
        <w:rPr>
          <w:lang w:val="pt-PT"/>
        </w:rPr>
        <w:t xml:space="preserve"> e dos seus potenciais impactes. Os </w:t>
      </w:r>
      <w:proofErr w:type="spellStart"/>
      <w:r w:rsidRPr="00292532">
        <w:rPr>
          <w:lang w:val="pt-PT"/>
        </w:rPr>
        <w:t>TdR</w:t>
      </w:r>
      <w:proofErr w:type="spellEnd"/>
      <w:r w:rsidRPr="00292532">
        <w:rPr>
          <w:lang w:val="pt-PT"/>
        </w:rPr>
        <w:t xml:space="preserve"> serão revistos pelas autoridades e, uma vez aprovados, fornecerão orientações para o desenvolvimento do relatório do E</w:t>
      </w:r>
      <w:r w:rsidR="004A443B" w:rsidRPr="00292532">
        <w:rPr>
          <w:lang w:val="pt-PT"/>
        </w:rPr>
        <w:t>studo de Impacto Ambiental (EIA),</w:t>
      </w:r>
      <w:r w:rsidRPr="00292532">
        <w:rPr>
          <w:lang w:val="pt-PT"/>
        </w:rPr>
        <w:t xml:space="preserve"> no âmbito do Processo de Avaliação de Impacto Ambiental de acordo com a legislação nacional</w:t>
      </w:r>
      <w:r w:rsidR="00C9567A" w:rsidRPr="00292532">
        <w:rPr>
          <w:lang w:val="pt-PT"/>
        </w:rPr>
        <w:t>.</w:t>
      </w:r>
    </w:p>
    <w:p w14:paraId="3158408A" w14:textId="77777777" w:rsidR="00C9567A" w:rsidRPr="00292532" w:rsidRDefault="00C9567A" w:rsidP="007E78EB">
      <w:pPr>
        <w:rPr>
          <w:lang w:val="pt-PT"/>
        </w:rPr>
      </w:pPr>
    </w:p>
    <w:p w14:paraId="1EBE1382" w14:textId="2B73871B" w:rsidR="00C9567A" w:rsidRPr="00292532" w:rsidRDefault="00C9567A" w:rsidP="00C9567A">
      <w:pPr>
        <w:pStyle w:val="Heading2"/>
      </w:pPr>
      <w:bookmarkStart w:id="511" w:name="_Toc72944220"/>
      <w:bookmarkStart w:id="512" w:name="_Toc72956492"/>
      <w:bookmarkStart w:id="513" w:name="_Toc72956645"/>
      <w:bookmarkStart w:id="514" w:name="_Toc73620182"/>
      <w:bookmarkStart w:id="515" w:name="_Toc73623809"/>
      <w:bookmarkStart w:id="516" w:name="_Toc73624457"/>
      <w:bookmarkStart w:id="517" w:name="_Toc73954592"/>
      <w:bookmarkStart w:id="518" w:name="_Toc75437991"/>
      <w:bookmarkStart w:id="519" w:name="_Toc78435415"/>
      <w:bookmarkStart w:id="520" w:name="_Toc80380085"/>
      <w:r w:rsidRPr="00292532">
        <w:t>Composição da Equipa-Chave de Consultores da AIA</w:t>
      </w:r>
      <w:bookmarkEnd w:id="511"/>
      <w:bookmarkEnd w:id="512"/>
      <w:bookmarkEnd w:id="513"/>
      <w:bookmarkEnd w:id="514"/>
      <w:bookmarkEnd w:id="515"/>
      <w:bookmarkEnd w:id="516"/>
      <w:bookmarkEnd w:id="517"/>
      <w:bookmarkEnd w:id="518"/>
      <w:bookmarkEnd w:id="519"/>
      <w:bookmarkEnd w:id="520"/>
    </w:p>
    <w:p w14:paraId="07E8FD8D" w14:textId="77777777" w:rsidR="00C9567A" w:rsidRPr="00292532" w:rsidRDefault="00C9567A" w:rsidP="00C9567A">
      <w:pPr>
        <w:rPr>
          <w:lang w:val="pt-PT" w:eastAsia="ja-JP"/>
        </w:rPr>
      </w:pPr>
      <w:r w:rsidRPr="00292532">
        <w:rPr>
          <w:lang w:val="pt-PT" w:eastAsia="ja-JP"/>
        </w:rPr>
        <w:t xml:space="preserve">Uma equipa multidisciplinar de especialistas ambientais e sociais deverá ser nomeada para conduzir o processo de AIA. O consultor responsável ou empresa devem estar devidamente registados no MTA como Consultores da AIA. </w:t>
      </w:r>
    </w:p>
    <w:p w14:paraId="0A00B760" w14:textId="77777777" w:rsidR="00C9567A" w:rsidRPr="00292532" w:rsidRDefault="00C9567A" w:rsidP="00C9567A">
      <w:pPr>
        <w:rPr>
          <w:lang w:val="pt-PT" w:eastAsia="ja-JP"/>
        </w:rPr>
      </w:pPr>
      <w:r w:rsidRPr="00292532">
        <w:rPr>
          <w:lang w:val="pt-PT" w:eastAsia="ja-JP"/>
        </w:rPr>
        <w:t xml:space="preserve">A composição mínima da equipa, deve ser a seguinte: </w:t>
      </w:r>
    </w:p>
    <w:p w14:paraId="29B3E2D9" w14:textId="6764336D" w:rsidR="00C9567A" w:rsidRDefault="00C9567A" w:rsidP="00C9567A">
      <w:pPr>
        <w:pStyle w:val="ListParagraph"/>
        <w:rPr>
          <w:lang w:val="pt-PT" w:eastAsia="ja-JP"/>
        </w:rPr>
      </w:pPr>
      <w:r w:rsidRPr="00292532">
        <w:rPr>
          <w:lang w:val="pt-PT" w:eastAsia="ja-JP"/>
        </w:rPr>
        <w:lastRenderedPageBreak/>
        <w:t xml:space="preserve">Especialista em avaliações de impacto ambiental </w:t>
      </w:r>
    </w:p>
    <w:p w14:paraId="0A15D89C" w14:textId="52FE8E24" w:rsidR="00D43610" w:rsidRPr="00292532" w:rsidRDefault="00D43610" w:rsidP="00C9567A">
      <w:pPr>
        <w:pStyle w:val="ListParagraph"/>
        <w:rPr>
          <w:lang w:val="pt-PT" w:eastAsia="ja-JP"/>
        </w:rPr>
      </w:pPr>
      <w:r>
        <w:rPr>
          <w:lang w:val="pt-PT" w:eastAsia="ja-JP"/>
        </w:rPr>
        <w:t>Especialista em Saúde e Segurança</w:t>
      </w:r>
    </w:p>
    <w:p w14:paraId="15BC241E" w14:textId="3D14A664" w:rsidR="00C9567A" w:rsidRPr="00292532" w:rsidRDefault="004636DB" w:rsidP="00C9567A">
      <w:pPr>
        <w:pStyle w:val="ListParagraph"/>
        <w:rPr>
          <w:lang w:val="pt-PT" w:eastAsia="ja-JP"/>
        </w:rPr>
      </w:pPr>
      <w:r w:rsidRPr="00292532">
        <w:rPr>
          <w:lang w:val="pt-PT" w:eastAsia="ja-JP"/>
        </w:rPr>
        <w:t xml:space="preserve">Especialista em desenvolvimento social </w:t>
      </w:r>
    </w:p>
    <w:p w14:paraId="47CCBA08" w14:textId="3BCFAEF5" w:rsidR="00C9567A" w:rsidRPr="00292532" w:rsidRDefault="00C9567A" w:rsidP="00C9567A">
      <w:pPr>
        <w:pStyle w:val="ListParagraph"/>
        <w:rPr>
          <w:lang w:val="pt-PT" w:eastAsia="ja-JP"/>
        </w:rPr>
      </w:pPr>
      <w:r w:rsidRPr="00292532">
        <w:rPr>
          <w:lang w:val="pt-PT" w:eastAsia="ja-JP"/>
        </w:rPr>
        <w:t>Especialista em Biodiversidade (habitats, flora e fauna)</w:t>
      </w:r>
    </w:p>
    <w:p w14:paraId="2977B0AA" w14:textId="7FA48787" w:rsidR="00C9567A" w:rsidRPr="00292532" w:rsidRDefault="00C9567A" w:rsidP="00C9567A">
      <w:pPr>
        <w:pStyle w:val="ListParagraph"/>
        <w:rPr>
          <w:lang w:val="pt-PT" w:eastAsia="ja-JP"/>
        </w:rPr>
      </w:pPr>
      <w:r w:rsidRPr="00292532">
        <w:rPr>
          <w:lang w:val="pt-PT" w:eastAsia="ja-JP"/>
        </w:rPr>
        <w:t xml:space="preserve">Especialista em Processos de Participação Pública </w:t>
      </w:r>
    </w:p>
    <w:p w14:paraId="65F039E1" w14:textId="5C401EE2" w:rsidR="00C9567A" w:rsidRPr="00292532" w:rsidRDefault="00C9567A" w:rsidP="00C9567A">
      <w:pPr>
        <w:pStyle w:val="ListParagraph"/>
        <w:rPr>
          <w:lang w:val="pt-PT" w:eastAsia="ja-JP"/>
        </w:rPr>
      </w:pPr>
      <w:r w:rsidRPr="00292532">
        <w:rPr>
          <w:lang w:val="pt-PT" w:eastAsia="ja-JP"/>
        </w:rPr>
        <w:t>Especialista em reassentamento (no caso de se prever reassentamento ou compensações)</w:t>
      </w:r>
    </w:p>
    <w:p w14:paraId="4D286B8F" w14:textId="77777777" w:rsidR="00D43610" w:rsidRDefault="004A443B" w:rsidP="00D43610">
      <w:pPr>
        <w:pStyle w:val="ListParagraph"/>
        <w:rPr>
          <w:lang w:val="pt-PT" w:eastAsia="ja-JP"/>
        </w:rPr>
      </w:pPr>
      <w:r w:rsidRPr="00292532">
        <w:rPr>
          <w:lang w:val="pt-PT" w:eastAsia="ja-JP"/>
        </w:rPr>
        <w:t>Especialista em Hidrologia e Hidrogeologi</w:t>
      </w:r>
      <w:r w:rsidR="00D43610">
        <w:rPr>
          <w:lang w:val="pt-PT" w:eastAsia="ja-JP"/>
        </w:rPr>
        <w:t>a</w:t>
      </w:r>
    </w:p>
    <w:p w14:paraId="1DE7E50E" w14:textId="697C9940" w:rsidR="00D43610" w:rsidRPr="00941934" w:rsidRDefault="00D43610" w:rsidP="00941934">
      <w:pPr>
        <w:pStyle w:val="ListParagraph"/>
        <w:rPr>
          <w:lang w:val="pt-PT" w:eastAsia="ja-JP"/>
        </w:rPr>
      </w:pPr>
      <w:r>
        <w:rPr>
          <w:lang w:val="pt-PT" w:eastAsia="ja-JP"/>
        </w:rPr>
        <w:t>Especialista de Qualidade de Água</w:t>
      </w:r>
    </w:p>
    <w:p w14:paraId="6DEC10D9" w14:textId="77777777" w:rsidR="00C9567A" w:rsidRPr="00292532" w:rsidRDefault="00C9567A" w:rsidP="00C9567A">
      <w:pPr>
        <w:pStyle w:val="ListParagraph"/>
        <w:numPr>
          <w:ilvl w:val="0"/>
          <w:numId w:val="0"/>
        </w:numPr>
        <w:ind w:left="360"/>
        <w:rPr>
          <w:lang w:val="pt-PT" w:eastAsia="ja-JP"/>
        </w:rPr>
      </w:pPr>
    </w:p>
    <w:p w14:paraId="353DCB08" w14:textId="3A3B913B" w:rsidR="00C9567A" w:rsidRPr="00292532" w:rsidRDefault="00C9567A" w:rsidP="00C9567A">
      <w:pPr>
        <w:pStyle w:val="Heading2"/>
      </w:pPr>
      <w:bookmarkStart w:id="521" w:name="_Toc72944221"/>
      <w:bookmarkStart w:id="522" w:name="_Toc72956493"/>
      <w:bookmarkStart w:id="523" w:name="_Toc72956646"/>
      <w:bookmarkStart w:id="524" w:name="_Toc73620183"/>
      <w:bookmarkStart w:id="525" w:name="_Toc73623810"/>
      <w:bookmarkStart w:id="526" w:name="_Toc73624458"/>
      <w:bookmarkStart w:id="527" w:name="_Toc73954593"/>
      <w:bookmarkStart w:id="528" w:name="_Toc75437992"/>
      <w:bookmarkStart w:id="529" w:name="_Toc78435416"/>
      <w:bookmarkStart w:id="530" w:name="_Toc80380086"/>
      <w:r w:rsidRPr="00292532">
        <w:t>Estrutura do Relatório do Estudo de Impacto Ambiental</w:t>
      </w:r>
      <w:bookmarkEnd w:id="521"/>
      <w:bookmarkEnd w:id="522"/>
      <w:bookmarkEnd w:id="523"/>
      <w:bookmarkEnd w:id="524"/>
      <w:bookmarkEnd w:id="525"/>
      <w:bookmarkEnd w:id="526"/>
      <w:bookmarkEnd w:id="527"/>
      <w:bookmarkEnd w:id="528"/>
      <w:bookmarkEnd w:id="529"/>
      <w:bookmarkEnd w:id="530"/>
      <w:r w:rsidRPr="00292532">
        <w:t xml:space="preserve"> </w:t>
      </w:r>
    </w:p>
    <w:p w14:paraId="422584AE" w14:textId="71EFABCC" w:rsidR="00C9567A" w:rsidRPr="00292532" w:rsidRDefault="00C9567A" w:rsidP="00FD734E">
      <w:pPr>
        <w:rPr>
          <w:lang w:val="pt-PT"/>
        </w:rPr>
      </w:pPr>
      <w:r w:rsidRPr="00292532">
        <w:rPr>
          <w:lang w:val="pt-PT"/>
        </w:rPr>
        <w:t xml:space="preserve">O Relatório de Estudo de Impacto Ambiental (REIA) quer seja simplificado (para </w:t>
      </w:r>
      <w:proofErr w:type="spellStart"/>
      <w:r w:rsidRPr="00292532">
        <w:rPr>
          <w:lang w:val="pt-PT"/>
        </w:rPr>
        <w:t>Projectos</w:t>
      </w:r>
      <w:proofErr w:type="spellEnd"/>
      <w:r w:rsidRPr="00292532">
        <w:rPr>
          <w:lang w:val="pt-PT"/>
        </w:rPr>
        <w:t xml:space="preserve"> de Categoria B) ou detalhados (Categoria A) será estruturado para fornecer os conteúdos mínimos que se descrevem nos parágrafos seguintes.</w:t>
      </w:r>
    </w:p>
    <w:p w14:paraId="7BAB1853" w14:textId="0384DCC3" w:rsidR="00C9567A" w:rsidRPr="00292532" w:rsidRDefault="00C9567A" w:rsidP="00FD734E">
      <w:pPr>
        <w:pStyle w:val="FootnoteText"/>
        <w:rPr>
          <w:b/>
          <w:bCs/>
          <w:i/>
          <w:iCs/>
          <w:sz w:val="22"/>
          <w:szCs w:val="22"/>
          <w:lang w:val="pt-PT" w:eastAsia="ja-JP"/>
        </w:rPr>
      </w:pPr>
      <w:r w:rsidRPr="00292532">
        <w:rPr>
          <w:b/>
          <w:bCs/>
          <w:i/>
          <w:iCs/>
          <w:sz w:val="22"/>
          <w:szCs w:val="22"/>
          <w:lang w:val="pt-PT" w:eastAsia="ja-JP"/>
        </w:rPr>
        <w:t xml:space="preserve">Resumo Não-Técnico </w:t>
      </w:r>
    </w:p>
    <w:p w14:paraId="6DD1335E" w14:textId="77777777" w:rsidR="00C9567A" w:rsidRPr="00292532" w:rsidRDefault="00C9567A" w:rsidP="00FD734E">
      <w:pPr>
        <w:pStyle w:val="FootnoteText"/>
        <w:rPr>
          <w:sz w:val="22"/>
          <w:szCs w:val="22"/>
          <w:lang w:val="pt-PT" w:eastAsia="ja-JP"/>
        </w:rPr>
      </w:pPr>
      <w:r w:rsidRPr="00292532">
        <w:rPr>
          <w:sz w:val="22"/>
          <w:szCs w:val="22"/>
          <w:lang w:val="pt-PT" w:eastAsia="ja-JP"/>
        </w:rPr>
        <w:t>O Resumo Não-Técnico (RNT) apresentará os detalhes mais importantes do relatório do EIA de forma resumida e não-técnica. O RNT será divulgado e disponibilizado ao público durante o processo de consulta pública.</w:t>
      </w:r>
    </w:p>
    <w:p w14:paraId="0DAC89DF" w14:textId="77777777" w:rsidR="00C9567A" w:rsidRPr="00292532" w:rsidRDefault="00C9567A" w:rsidP="00FD734E">
      <w:pPr>
        <w:pStyle w:val="FootnoteText"/>
        <w:rPr>
          <w:b/>
          <w:bCs/>
          <w:i/>
          <w:iCs/>
          <w:sz w:val="22"/>
          <w:szCs w:val="22"/>
          <w:lang w:val="pt-PT" w:eastAsia="ja-JP"/>
        </w:rPr>
      </w:pPr>
      <w:r w:rsidRPr="00292532">
        <w:rPr>
          <w:b/>
          <w:bCs/>
          <w:i/>
          <w:iCs/>
          <w:sz w:val="22"/>
          <w:szCs w:val="22"/>
          <w:lang w:val="pt-PT" w:eastAsia="ja-JP"/>
        </w:rPr>
        <w:t xml:space="preserve">Identificação do Proponente do </w:t>
      </w:r>
      <w:proofErr w:type="spellStart"/>
      <w:r w:rsidRPr="00292532">
        <w:rPr>
          <w:b/>
          <w:bCs/>
          <w:i/>
          <w:iCs/>
          <w:sz w:val="22"/>
          <w:szCs w:val="22"/>
          <w:lang w:val="pt-PT" w:eastAsia="ja-JP"/>
        </w:rPr>
        <w:t>Projecto</w:t>
      </w:r>
      <w:proofErr w:type="spellEnd"/>
      <w:r w:rsidRPr="00292532">
        <w:rPr>
          <w:b/>
          <w:bCs/>
          <w:i/>
          <w:iCs/>
          <w:sz w:val="22"/>
          <w:szCs w:val="22"/>
          <w:lang w:val="pt-PT" w:eastAsia="ja-JP"/>
        </w:rPr>
        <w:t xml:space="preserve"> e da Empresa de Consultoria</w:t>
      </w:r>
    </w:p>
    <w:p w14:paraId="2F31F911" w14:textId="77777777" w:rsidR="00C9567A" w:rsidRPr="00292532" w:rsidRDefault="00C9567A" w:rsidP="00FD734E">
      <w:pPr>
        <w:pStyle w:val="FootnoteText"/>
        <w:rPr>
          <w:sz w:val="22"/>
          <w:szCs w:val="22"/>
          <w:lang w:val="pt-PT" w:eastAsia="ja-JP"/>
        </w:rPr>
      </w:pPr>
      <w:r w:rsidRPr="00292532">
        <w:rPr>
          <w:sz w:val="22"/>
          <w:szCs w:val="22"/>
          <w:lang w:val="pt-PT" w:eastAsia="ja-JP"/>
        </w:rPr>
        <w:t xml:space="preserve">Esta secção irá resumir as informações e contactos gerais do proponente do </w:t>
      </w:r>
      <w:proofErr w:type="spellStart"/>
      <w:r w:rsidRPr="00292532">
        <w:rPr>
          <w:sz w:val="22"/>
          <w:szCs w:val="22"/>
          <w:lang w:val="pt-PT" w:eastAsia="ja-JP"/>
        </w:rPr>
        <w:t>Projecto</w:t>
      </w:r>
      <w:proofErr w:type="spellEnd"/>
      <w:r w:rsidRPr="00292532">
        <w:rPr>
          <w:sz w:val="22"/>
          <w:szCs w:val="22"/>
          <w:lang w:val="pt-PT" w:eastAsia="ja-JP"/>
        </w:rPr>
        <w:t xml:space="preserve"> e as empresas de consultoria e delinear a equipa técnica multidisciplinar envolvida na preparação do EIA.</w:t>
      </w:r>
    </w:p>
    <w:p w14:paraId="2B2CDED6" w14:textId="34AB6DE0" w:rsidR="00C9567A" w:rsidRPr="00292532" w:rsidRDefault="00C9567A" w:rsidP="00FD734E">
      <w:pPr>
        <w:pStyle w:val="FootnoteText"/>
        <w:rPr>
          <w:i/>
          <w:iCs/>
          <w:sz w:val="22"/>
          <w:szCs w:val="22"/>
          <w:lang w:val="pt-PT" w:eastAsia="ja-JP"/>
        </w:rPr>
      </w:pPr>
      <w:r w:rsidRPr="00292532">
        <w:rPr>
          <w:i/>
          <w:iCs/>
          <w:sz w:val="22"/>
          <w:szCs w:val="22"/>
          <w:lang w:val="pt-PT" w:eastAsia="ja-JP"/>
        </w:rPr>
        <w:t xml:space="preserve">Quadro </w:t>
      </w:r>
      <w:r w:rsidR="00FD734E" w:rsidRPr="00292532">
        <w:rPr>
          <w:i/>
          <w:iCs/>
          <w:sz w:val="22"/>
          <w:szCs w:val="22"/>
          <w:lang w:val="pt-PT" w:eastAsia="ja-JP"/>
        </w:rPr>
        <w:t>Legal e Institucional</w:t>
      </w:r>
    </w:p>
    <w:p w14:paraId="736D9387" w14:textId="41C64463" w:rsidR="00C9567A" w:rsidRPr="00292532" w:rsidRDefault="00FD734E" w:rsidP="00FD734E">
      <w:pPr>
        <w:pStyle w:val="FootnoteText"/>
        <w:rPr>
          <w:sz w:val="22"/>
          <w:szCs w:val="22"/>
          <w:lang w:val="pt-PT" w:eastAsia="ja-JP"/>
        </w:rPr>
      </w:pPr>
      <w:r w:rsidRPr="00292532">
        <w:rPr>
          <w:sz w:val="22"/>
          <w:szCs w:val="22"/>
          <w:lang w:val="pt-PT" w:eastAsia="ja-JP"/>
        </w:rPr>
        <w:t xml:space="preserve">Descreve o quadro legal e institucional aplicável ao </w:t>
      </w:r>
      <w:proofErr w:type="spellStart"/>
      <w:r w:rsidRPr="00292532">
        <w:rPr>
          <w:sz w:val="22"/>
          <w:szCs w:val="22"/>
          <w:lang w:val="pt-PT" w:eastAsia="ja-JP"/>
        </w:rPr>
        <w:t>Projecto</w:t>
      </w:r>
      <w:proofErr w:type="spellEnd"/>
      <w:r w:rsidRPr="00292532">
        <w:rPr>
          <w:sz w:val="22"/>
          <w:szCs w:val="22"/>
          <w:lang w:val="pt-PT" w:eastAsia="ja-JP"/>
        </w:rPr>
        <w:t xml:space="preserve">. </w:t>
      </w:r>
      <w:r w:rsidR="00C9567A" w:rsidRPr="00292532">
        <w:rPr>
          <w:sz w:val="22"/>
          <w:szCs w:val="22"/>
          <w:lang w:val="pt-PT" w:eastAsia="ja-JP"/>
        </w:rPr>
        <w:t xml:space="preserve">O Quadro Legislativo </w:t>
      </w:r>
      <w:r w:rsidRPr="00292532">
        <w:rPr>
          <w:sz w:val="22"/>
          <w:szCs w:val="22"/>
          <w:lang w:val="pt-PT" w:eastAsia="ja-JP"/>
        </w:rPr>
        <w:t>deverá incluir seguinte conteúdo (mínimo)</w:t>
      </w:r>
      <w:r w:rsidR="00C9567A" w:rsidRPr="00292532">
        <w:rPr>
          <w:sz w:val="22"/>
          <w:szCs w:val="22"/>
          <w:lang w:val="pt-PT" w:eastAsia="ja-JP"/>
        </w:rPr>
        <w:t>:</w:t>
      </w:r>
    </w:p>
    <w:p w14:paraId="4DC18F70" w14:textId="116DA473" w:rsidR="00C9567A" w:rsidRPr="00292532" w:rsidRDefault="00C9567A" w:rsidP="00FD734E">
      <w:pPr>
        <w:pStyle w:val="ListParagraph"/>
        <w:rPr>
          <w:lang w:val="pt-PT" w:eastAsia="ja-JP"/>
        </w:rPr>
      </w:pPr>
      <w:r w:rsidRPr="00292532">
        <w:rPr>
          <w:lang w:val="pt-PT" w:eastAsia="ja-JP"/>
        </w:rPr>
        <w:t>Legislação nacional em matéria de ambiente</w:t>
      </w:r>
    </w:p>
    <w:p w14:paraId="15A89D06" w14:textId="78204005" w:rsidR="00C9567A" w:rsidRPr="00292532" w:rsidRDefault="00C9567A" w:rsidP="00FD734E">
      <w:pPr>
        <w:pStyle w:val="ListParagraph"/>
        <w:rPr>
          <w:lang w:val="pt-PT" w:eastAsia="ja-JP"/>
        </w:rPr>
      </w:pPr>
      <w:r w:rsidRPr="00292532">
        <w:rPr>
          <w:lang w:val="pt-PT" w:eastAsia="ja-JP"/>
        </w:rPr>
        <w:t xml:space="preserve">Legislação nacional aplicável ao sector de </w:t>
      </w:r>
      <w:r w:rsidR="00FD734E" w:rsidRPr="00292532">
        <w:rPr>
          <w:lang w:val="pt-PT" w:eastAsia="ja-JP"/>
        </w:rPr>
        <w:t>á</w:t>
      </w:r>
      <w:r w:rsidRPr="00292532">
        <w:rPr>
          <w:lang w:val="pt-PT" w:eastAsia="ja-JP"/>
        </w:rPr>
        <w:t>guas</w:t>
      </w:r>
      <w:r w:rsidR="00FD734E" w:rsidRPr="00292532">
        <w:rPr>
          <w:lang w:val="pt-PT" w:eastAsia="ja-JP"/>
        </w:rPr>
        <w:t xml:space="preserve"> e saneamento</w:t>
      </w:r>
    </w:p>
    <w:p w14:paraId="0844F6F5" w14:textId="174DCE26" w:rsidR="00FD734E" w:rsidRPr="00292532" w:rsidRDefault="00FD734E" w:rsidP="00FD734E">
      <w:pPr>
        <w:pStyle w:val="ListParagraph"/>
        <w:rPr>
          <w:lang w:val="pt-PT" w:eastAsia="ja-JP"/>
        </w:rPr>
      </w:pPr>
      <w:r w:rsidRPr="00292532">
        <w:rPr>
          <w:lang w:val="pt-PT" w:eastAsia="ja-JP"/>
        </w:rPr>
        <w:t xml:space="preserve">Legislação ambiental sectorial aplicável aos </w:t>
      </w:r>
      <w:proofErr w:type="spellStart"/>
      <w:r w:rsidRPr="00292532">
        <w:rPr>
          <w:lang w:val="pt-PT" w:eastAsia="ja-JP"/>
        </w:rPr>
        <w:t>Projecto</w:t>
      </w:r>
      <w:proofErr w:type="spellEnd"/>
    </w:p>
    <w:p w14:paraId="391F12C7" w14:textId="77777777" w:rsidR="00FD734E" w:rsidRPr="00292532" w:rsidRDefault="00C9567A" w:rsidP="00EA6997">
      <w:pPr>
        <w:pStyle w:val="ListParagraph"/>
        <w:rPr>
          <w:lang w:val="pt-PT" w:eastAsia="ja-JP"/>
        </w:rPr>
      </w:pPr>
      <w:r w:rsidRPr="00292532">
        <w:rPr>
          <w:lang w:val="pt-PT" w:eastAsia="ja-JP"/>
        </w:rPr>
        <w:t>Convenções internacionais e legislação aplicáveis</w:t>
      </w:r>
    </w:p>
    <w:p w14:paraId="535DF384" w14:textId="78037EA9" w:rsidR="00C9567A" w:rsidRPr="00292532" w:rsidRDefault="00C9567A" w:rsidP="00EA6997">
      <w:pPr>
        <w:pStyle w:val="ListParagraph"/>
        <w:rPr>
          <w:lang w:val="pt-PT" w:eastAsia="ja-JP"/>
        </w:rPr>
      </w:pPr>
      <w:r w:rsidRPr="00292532">
        <w:rPr>
          <w:lang w:val="pt-PT" w:eastAsia="ja-JP"/>
        </w:rPr>
        <w:t xml:space="preserve">As Normas Ambientais e Sociais e as </w:t>
      </w:r>
      <w:proofErr w:type="spellStart"/>
      <w:r w:rsidRPr="00292532">
        <w:rPr>
          <w:lang w:val="pt-PT" w:eastAsia="ja-JP"/>
        </w:rPr>
        <w:t>directrizes</w:t>
      </w:r>
      <w:proofErr w:type="spellEnd"/>
      <w:r w:rsidRPr="00292532">
        <w:rPr>
          <w:lang w:val="pt-PT" w:eastAsia="ja-JP"/>
        </w:rPr>
        <w:t xml:space="preserve"> aplicáveis do Banco Mundial</w:t>
      </w:r>
    </w:p>
    <w:p w14:paraId="6AAAE5D0" w14:textId="3FA78478" w:rsidR="00C9567A" w:rsidRPr="00292532" w:rsidRDefault="00C9567A" w:rsidP="00FD734E">
      <w:pPr>
        <w:pStyle w:val="FootnoteText"/>
        <w:rPr>
          <w:sz w:val="22"/>
          <w:szCs w:val="22"/>
          <w:lang w:val="pt-PT" w:eastAsia="ja-JP"/>
        </w:rPr>
      </w:pPr>
      <w:r w:rsidRPr="00292532">
        <w:rPr>
          <w:i/>
          <w:iCs/>
          <w:sz w:val="22"/>
          <w:szCs w:val="22"/>
          <w:lang w:val="pt-PT" w:eastAsia="ja-JP"/>
        </w:rPr>
        <w:t xml:space="preserve">Descrição do </w:t>
      </w:r>
      <w:proofErr w:type="spellStart"/>
      <w:r w:rsidRPr="00292532">
        <w:rPr>
          <w:i/>
          <w:iCs/>
          <w:sz w:val="22"/>
          <w:szCs w:val="22"/>
          <w:lang w:val="pt-PT" w:eastAsia="ja-JP"/>
        </w:rPr>
        <w:t>Projecto</w:t>
      </w:r>
      <w:proofErr w:type="spellEnd"/>
    </w:p>
    <w:p w14:paraId="393F5007" w14:textId="79ECB522" w:rsidR="00C9567A" w:rsidRPr="00292532" w:rsidRDefault="00C9567A" w:rsidP="00FD734E">
      <w:pPr>
        <w:pStyle w:val="FootnoteText"/>
        <w:rPr>
          <w:sz w:val="22"/>
          <w:szCs w:val="22"/>
          <w:lang w:val="pt-PT" w:eastAsia="ja-JP"/>
        </w:rPr>
      </w:pPr>
      <w:r w:rsidRPr="00292532">
        <w:rPr>
          <w:sz w:val="22"/>
          <w:szCs w:val="22"/>
          <w:lang w:val="pt-PT" w:eastAsia="ja-JP"/>
        </w:rPr>
        <w:t xml:space="preserve">Esta secção resumirá as componentes e as fases chave do </w:t>
      </w:r>
      <w:proofErr w:type="spellStart"/>
      <w:r w:rsidRPr="00292532">
        <w:rPr>
          <w:sz w:val="22"/>
          <w:szCs w:val="22"/>
          <w:lang w:val="pt-PT" w:eastAsia="ja-JP"/>
        </w:rPr>
        <w:t>Projecto</w:t>
      </w:r>
      <w:proofErr w:type="spellEnd"/>
      <w:r w:rsidRPr="00292532">
        <w:rPr>
          <w:sz w:val="22"/>
          <w:szCs w:val="22"/>
          <w:lang w:val="pt-PT" w:eastAsia="ja-JP"/>
        </w:rPr>
        <w:t xml:space="preserve"> e irá delinear o seguinte conteúdo</w:t>
      </w:r>
      <w:r w:rsidR="00FD734E" w:rsidRPr="00292532">
        <w:rPr>
          <w:sz w:val="22"/>
          <w:szCs w:val="22"/>
          <w:lang w:val="pt-PT" w:eastAsia="ja-JP"/>
        </w:rPr>
        <w:t xml:space="preserve"> (mínimo)</w:t>
      </w:r>
      <w:r w:rsidRPr="00292532">
        <w:rPr>
          <w:sz w:val="22"/>
          <w:szCs w:val="22"/>
          <w:lang w:val="pt-PT" w:eastAsia="ja-JP"/>
        </w:rPr>
        <w:t>:</w:t>
      </w:r>
    </w:p>
    <w:p w14:paraId="4CEDF2DC" w14:textId="2D7EBB5E" w:rsidR="00C9567A" w:rsidRPr="00292532" w:rsidRDefault="00C9567A" w:rsidP="00FD734E">
      <w:pPr>
        <w:pStyle w:val="ListParagraph"/>
        <w:rPr>
          <w:lang w:val="pt-PT" w:eastAsia="ja-JP"/>
        </w:rPr>
      </w:pPr>
      <w:proofErr w:type="spellStart"/>
      <w:r w:rsidRPr="00292532">
        <w:rPr>
          <w:lang w:val="pt-PT" w:eastAsia="ja-JP"/>
        </w:rPr>
        <w:t>Objectivo</w:t>
      </w:r>
      <w:proofErr w:type="spellEnd"/>
      <w:r w:rsidRPr="00292532">
        <w:rPr>
          <w:lang w:val="pt-PT" w:eastAsia="ja-JP"/>
        </w:rPr>
        <w:t xml:space="preserve"> e âmbito do </w:t>
      </w:r>
      <w:proofErr w:type="spellStart"/>
      <w:r w:rsidRPr="00292532">
        <w:rPr>
          <w:lang w:val="pt-PT" w:eastAsia="ja-JP"/>
        </w:rPr>
        <w:t>Projecto</w:t>
      </w:r>
      <w:proofErr w:type="spellEnd"/>
      <w:r w:rsidRPr="00292532">
        <w:rPr>
          <w:lang w:val="pt-PT" w:eastAsia="ja-JP"/>
        </w:rPr>
        <w:t xml:space="preserve">, apresentando os </w:t>
      </w:r>
      <w:proofErr w:type="spellStart"/>
      <w:r w:rsidRPr="00292532">
        <w:rPr>
          <w:lang w:val="pt-PT" w:eastAsia="ja-JP"/>
        </w:rPr>
        <w:t>objectivos</w:t>
      </w:r>
      <w:proofErr w:type="spellEnd"/>
      <w:r w:rsidRPr="00292532">
        <w:rPr>
          <w:lang w:val="pt-PT" w:eastAsia="ja-JP"/>
        </w:rPr>
        <w:t xml:space="preserve"> e justificação do </w:t>
      </w:r>
      <w:proofErr w:type="spellStart"/>
      <w:r w:rsidRPr="00292532">
        <w:rPr>
          <w:lang w:val="pt-PT" w:eastAsia="ja-JP"/>
        </w:rPr>
        <w:t>projecto</w:t>
      </w:r>
      <w:proofErr w:type="spellEnd"/>
      <w:r w:rsidRPr="00292532">
        <w:rPr>
          <w:lang w:val="pt-PT" w:eastAsia="ja-JP"/>
        </w:rPr>
        <w:t xml:space="preserve">, abordando os </w:t>
      </w:r>
      <w:proofErr w:type="spellStart"/>
      <w:r w:rsidRPr="00292532">
        <w:rPr>
          <w:lang w:val="pt-PT" w:eastAsia="ja-JP"/>
        </w:rPr>
        <w:t>aspectos</w:t>
      </w:r>
      <w:proofErr w:type="spellEnd"/>
      <w:r w:rsidRPr="00292532">
        <w:rPr>
          <w:lang w:val="pt-PT" w:eastAsia="ja-JP"/>
        </w:rPr>
        <w:t xml:space="preserve"> ambientais, económicos, sociais e legislativos relevantes para o </w:t>
      </w:r>
      <w:proofErr w:type="spellStart"/>
      <w:r w:rsidRPr="00292532">
        <w:rPr>
          <w:lang w:val="pt-PT" w:eastAsia="ja-JP"/>
        </w:rPr>
        <w:t>Projecto</w:t>
      </w:r>
      <w:proofErr w:type="spellEnd"/>
      <w:r w:rsidRPr="00292532">
        <w:rPr>
          <w:lang w:val="pt-PT" w:eastAsia="ja-JP"/>
        </w:rPr>
        <w:t>.</w:t>
      </w:r>
    </w:p>
    <w:p w14:paraId="69C1E8F5" w14:textId="22EDB073" w:rsidR="00C9567A" w:rsidRPr="00292532" w:rsidRDefault="00C9567A" w:rsidP="00FD734E">
      <w:pPr>
        <w:pStyle w:val="ListParagraph"/>
        <w:rPr>
          <w:lang w:val="pt-PT" w:eastAsia="ja-JP"/>
        </w:rPr>
      </w:pPr>
      <w:r w:rsidRPr="00292532">
        <w:rPr>
          <w:lang w:val="pt-PT" w:eastAsia="ja-JP"/>
        </w:rPr>
        <w:t xml:space="preserve">Localização geográfica, indicando a localização das infraestruturas, os principais usos da terra nas áreas de influência do </w:t>
      </w:r>
      <w:proofErr w:type="spellStart"/>
      <w:r w:rsidRPr="00292532">
        <w:rPr>
          <w:lang w:val="pt-PT" w:eastAsia="ja-JP"/>
        </w:rPr>
        <w:t>Projecto</w:t>
      </w:r>
      <w:proofErr w:type="spellEnd"/>
      <w:r w:rsidRPr="00292532">
        <w:rPr>
          <w:lang w:val="pt-PT" w:eastAsia="ja-JP"/>
        </w:rPr>
        <w:t xml:space="preserve"> e quaisquer outros </w:t>
      </w:r>
      <w:proofErr w:type="spellStart"/>
      <w:r w:rsidRPr="00292532">
        <w:rPr>
          <w:lang w:val="pt-PT" w:eastAsia="ja-JP"/>
        </w:rPr>
        <w:t>aspectos</w:t>
      </w:r>
      <w:proofErr w:type="spellEnd"/>
      <w:r w:rsidRPr="00292532">
        <w:rPr>
          <w:lang w:val="pt-PT" w:eastAsia="ja-JP"/>
        </w:rPr>
        <w:t xml:space="preserve"> relevantes. </w:t>
      </w:r>
    </w:p>
    <w:p w14:paraId="4F12E1FC" w14:textId="68296769" w:rsidR="00C9567A" w:rsidRPr="00292532" w:rsidRDefault="00C9567A" w:rsidP="00FD734E">
      <w:pPr>
        <w:pStyle w:val="ListParagraph"/>
        <w:rPr>
          <w:lang w:val="pt-PT" w:eastAsia="ja-JP"/>
        </w:rPr>
      </w:pPr>
      <w:r w:rsidRPr="00292532">
        <w:rPr>
          <w:lang w:val="pt-PT" w:eastAsia="ja-JP"/>
        </w:rPr>
        <w:t xml:space="preserve">Especificações do </w:t>
      </w:r>
      <w:proofErr w:type="spellStart"/>
      <w:r w:rsidRPr="00292532">
        <w:rPr>
          <w:lang w:val="pt-PT" w:eastAsia="ja-JP"/>
        </w:rPr>
        <w:t>Projecto</w:t>
      </w:r>
      <w:proofErr w:type="spellEnd"/>
      <w:r w:rsidRPr="00292532">
        <w:rPr>
          <w:lang w:val="pt-PT" w:eastAsia="ja-JP"/>
        </w:rPr>
        <w:t xml:space="preserve"> e descrição das </w:t>
      </w:r>
      <w:proofErr w:type="spellStart"/>
      <w:r w:rsidRPr="00292532">
        <w:rPr>
          <w:lang w:val="pt-PT" w:eastAsia="ja-JP"/>
        </w:rPr>
        <w:t>actividades</w:t>
      </w:r>
      <w:proofErr w:type="spellEnd"/>
      <w:r w:rsidRPr="00292532">
        <w:rPr>
          <w:lang w:val="pt-PT" w:eastAsia="ja-JP"/>
        </w:rPr>
        <w:t xml:space="preserve">, contendo uma descrição exaustiva do </w:t>
      </w:r>
      <w:proofErr w:type="spellStart"/>
      <w:r w:rsidRPr="00292532">
        <w:rPr>
          <w:lang w:val="pt-PT" w:eastAsia="ja-JP"/>
        </w:rPr>
        <w:t>Projecto</w:t>
      </w:r>
      <w:proofErr w:type="spellEnd"/>
      <w:r w:rsidRPr="00292532">
        <w:rPr>
          <w:lang w:val="pt-PT" w:eastAsia="ja-JP"/>
        </w:rPr>
        <w:t xml:space="preserve"> e das componentes que serão desenvolvidas, um resumo das diferentes </w:t>
      </w:r>
      <w:proofErr w:type="spellStart"/>
      <w:r w:rsidRPr="00292532">
        <w:rPr>
          <w:lang w:val="pt-PT" w:eastAsia="ja-JP"/>
        </w:rPr>
        <w:lastRenderedPageBreak/>
        <w:t>actividades</w:t>
      </w:r>
      <w:proofErr w:type="spellEnd"/>
      <w:r w:rsidRPr="00292532">
        <w:rPr>
          <w:lang w:val="pt-PT" w:eastAsia="ja-JP"/>
        </w:rPr>
        <w:t xml:space="preserve"> do </w:t>
      </w:r>
      <w:proofErr w:type="spellStart"/>
      <w:r w:rsidRPr="00292532">
        <w:rPr>
          <w:lang w:val="pt-PT" w:eastAsia="ja-JP"/>
        </w:rPr>
        <w:t>Projecto</w:t>
      </w:r>
      <w:proofErr w:type="spellEnd"/>
      <w:r w:rsidRPr="00292532">
        <w:rPr>
          <w:lang w:val="pt-PT" w:eastAsia="ja-JP"/>
        </w:rPr>
        <w:t xml:space="preserve">, força de trabalho a ser empregada, indicação e estimativas de matérias-primas, água e energia a serem utilizadas e um cronograma que apresenta as diferentes fases da execução do </w:t>
      </w:r>
      <w:proofErr w:type="spellStart"/>
      <w:r w:rsidRPr="00292532">
        <w:rPr>
          <w:lang w:val="pt-PT" w:eastAsia="ja-JP"/>
        </w:rPr>
        <w:t>Projecto</w:t>
      </w:r>
      <w:proofErr w:type="spellEnd"/>
      <w:r w:rsidRPr="00292532">
        <w:rPr>
          <w:lang w:val="pt-PT" w:eastAsia="ja-JP"/>
        </w:rPr>
        <w:t>.</w:t>
      </w:r>
    </w:p>
    <w:p w14:paraId="2274585D" w14:textId="4E9A99A6" w:rsidR="00C9567A" w:rsidRPr="00292532" w:rsidRDefault="00C9567A" w:rsidP="00FD734E">
      <w:pPr>
        <w:pStyle w:val="FootnoteText"/>
        <w:rPr>
          <w:i/>
          <w:iCs/>
          <w:sz w:val="22"/>
          <w:szCs w:val="22"/>
          <w:lang w:val="pt-PT" w:eastAsia="ja-JP"/>
        </w:rPr>
      </w:pPr>
      <w:r w:rsidRPr="00292532">
        <w:rPr>
          <w:i/>
          <w:iCs/>
          <w:sz w:val="22"/>
          <w:szCs w:val="22"/>
          <w:lang w:val="pt-PT" w:eastAsia="ja-JP"/>
        </w:rPr>
        <w:t xml:space="preserve">Descrição das Alternativas </w:t>
      </w:r>
      <w:r w:rsidR="00FD734E" w:rsidRPr="00292532">
        <w:rPr>
          <w:i/>
          <w:iCs/>
          <w:sz w:val="22"/>
          <w:szCs w:val="22"/>
          <w:lang w:val="pt-PT" w:eastAsia="ja-JP"/>
        </w:rPr>
        <w:t xml:space="preserve">do </w:t>
      </w:r>
      <w:proofErr w:type="spellStart"/>
      <w:r w:rsidR="00FD734E" w:rsidRPr="00292532">
        <w:rPr>
          <w:i/>
          <w:iCs/>
          <w:sz w:val="22"/>
          <w:szCs w:val="22"/>
          <w:lang w:val="pt-PT" w:eastAsia="ja-JP"/>
        </w:rPr>
        <w:t>Projecto</w:t>
      </w:r>
      <w:proofErr w:type="spellEnd"/>
    </w:p>
    <w:p w14:paraId="646EBD20" w14:textId="2ECDA5FE" w:rsidR="00C9567A" w:rsidRPr="00292532" w:rsidRDefault="00C9567A" w:rsidP="00FD734E">
      <w:pPr>
        <w:pStyle w:val="FootnoteText"/>
        <w:rPr>
          <w:sz w:val="22"/>
          <w:szCs w:val="22"/>
          <w:lang w:val="pt-PT" w:eastAsia="ja-JP"/>
        </w:rPr>
      </w:pPr>
      <w:r w:rsidRPr="00292532">
        <w:rPr>
          <w:sz w:val="22"/>
          <w:szCs w:val="22"/>
          <w:lang w:val="pt-PT" w:eastAsia="ja-JP"/>
        </w:rPr>
        <w:t xml:space="preserve">Esta secção </w:t>
      </w:r>
      <w:r w:rsidR="00FD734E" w:rsidRPr="00292532">
        <w:rPr>
          <w:sz w:val="22"/>
          <w:szCs w:val="22"/>
          <w:lang w:val="pt-PT" w:eastAsia="ja-JP"/>
        </w:rPr>
        <w:t xml:space="preserve">apresenta as </w:t>
      </w:r>
      <w:r w:rsidRPr="00292532">
        <w:rPr>
          <w:sz w:val="22"/>
          <w:szCs w:val="22"/>
          <w:lang w:val="pt-PT" w:eastAsia="ja-JP"/>
        </w:rPr>
        <w:t xml:space="preserve">alternativas avaliadas em termos de localização do </w:t>
      </w:r>
      <w:proofErr w:type="spellStart"/>
      <w:r w:rsidRPr="00292532">
        <w:rPr>
          <w:sz w:val="22"/>
          <w:szCs w:val="22"/>
          <w:lang w:val="pt-PT" w:eastAsia="ja-JP"/>
        </w:rPr>
        <w:t>projecto</w:t>
      </w:r>
      <w:proofErr w:type="spellEnd"/>
      <w:r w:rsidRPr="00292532">
        <w:rPr>
          <w:sz w:val="22"/>
          <w:szCs w:val="22"/>
          <w:lang w:val="pt-PT" w:eastAsia="ja-JP"/>
        </w:rPr>
        <w:t xml:space="preserve"> e metodologias de construção/operação para as infraestruturas de abastecimento de água e saneamento. Em particular, a análise de alternativas irá abranger</w:t>
      </w:r>
      <w:r w:rsidR="00FD734E" w:rsidRPr="00292532">
        <w:rPr>
          <w:sz w:val="22"/>
          <w:szCs w:val="22"/>
          <w:lang w:val="pt-PT" w:eastAsia="ja-JP"/>
        </w:rPr>
        <w:t xml:space="preserve"> conforme aplicável</w:t>
      </w:r>
      <w:r w:rsidR="00FD734E" w:rsidRPr="00292532">
        <w:rPr>
          <w:i/>
          <w:iCs/>
          <w:sz w:val="22"/>
          <w:szCs w:val="22"/>
          <w:lang w:val="pt-PT" w:eastAsia="ja-JP"/>
        </w:rPr>
        <w:t xml:space="preserve">, </w:t>
      </w:r>
      <w:proofErr w:type="spellStart"/>
      <w:r w:rsidR="00FD734E" w:rsidRPr="00292532">
        <w:rPr>
          <w:i/>
          <w:iCs/>
          <w:sz w:val="22"/>
          <w:szCs w:val="22"/>
          <w:lang w:val="pt-PT" w:eastAsia="ja-JP"/>
        </w:rPr>
        <w:t>inter</w:t>
      </w:r>
      <w:proofErr w:type="spellEnd"/>
      <w:r w:rsidR="00FD734E" w:rsidRPr="00292532">
        <w:rPr>
          <w:i/>
          <w:iCs/>
          <w:sz w:val="22"/>
          <w:szCs w:val="22"/>
          <w:lang w:val="pt-PT" w:eastAsia="ja-JP"/>
        </w:rPr>
        <w:t xml:space="preserve"> alia</w:t>
      </w:r>
      <w:r w:rsidR="00FD734E" w:rsidRPr="00292532">
        <w:rPr>
          <w:sz w:val="22"/>
          <w:szCs w:val="22"/>
          <w:lang w:val="pt-PT" w:eastAsia="ja-JP"/>
        </w:rPr>
        <w:t xml:space="preserve">, </w:t>
      </w:r>
      <w:r w:rsidRPr="00292532">
        <w:rPr>
          <w:sz w:val="22"/>
          <w:szCs w:val="22"/>
          <w:lang w:val="pt-PT" w:eastAsia="ja-JP"/>
        </w:rPr>
        <w:t xml:space="preserve">os seguintes </w:t>
      </w:r>
      <w:proofErr w:type="spellStart"/>
      <w:r w:rsidRPr="00292532">
        <w:rPr>
          <w:sz w:val="22"/>
          <w:szCs w:val="22"/>
          <w:lang w:val="pt-PT" w:eastAsia="ja-JP"/>
        </w:rPr>
        <w:t>aspectos</w:t>
      </w:r>
      <w:proofErr w:type="spellEnd"/>
      <w:r w:rsidRPr="00292532">
        <w:rPr>
          <w:sz w:val="22"/>
          <w:szCs w:val="22"/>
          <w:lang w:val="pt-PT" w:eastAsia="ja-JP"/>
        </w:rPr>
        <w:t>:</w:t>
      </w:r>
    </w:p>
    <w:p w14:paraId="075A708F" w14:textId="4E6607D9" w:rsidR="00C9567A" w:rsidRPr="00292532" w:rsidRDefault="00C9567A" w:rsidP="0024772D">
      <w:pPr>
        <w:pStyle w:val="FootnoteText"/>
        <w:numPr>
          <w:ilvl w:val="0"/>
          <w:numId w:val="60"/>
        </w:numPr>
        <w:rPr>
          <w:sz w:val="22"/>
          <w:szCs w:val="22"/>
          <w:lang w:val="pt-PT" w:eastAsia="ja-JP"/>
        </w:rPr>
      </w:pPr>
      <w:proofErr w:type="spellStart"/>
      <w:r w:rsidRPr="00292532">
        <w:rPr>
          <w:sz w:val="22"/>
          <w:szCs w:val="22"/>
          <w:lang w:val="pt-PT" w:eastAsia="ja-JP"/>
        </w:rPr>
        <w:t>Selecção</w:t>
      </w:r>
      <w:proofErr w:type="spellEnd"/>
      <w:r w:rsidRPr="00292532">
        <w:rPr>
          <w:sz w:val="22"/>
          <w:szCs w:val="22"/>
          <w:lang w:val="pt-PT" w:eastAsia="ja-JP"/>
        </w:rPr>
        <w:t xml:space="preserve"> das fontes de captação de água </w:t>
      </w:r>
      <w:r w:rsidR="009F6136" w:rsidRPr="00292532">
        <w:rPr>
          <w:i/>
          <w:iCs/>
          <w:sz w:val="22"/>
          <w:szCs w:val="22"/>
          <w:lang w:val="pt-PT" w:eastAsia="ja-JP"/>
        </w:rPr>
        <w:t>vs.</w:t>
      </w:r>
      <w:r w:rsidRPr="00292532">
        <w:rPr>
          <w:i/>
          <w:iCs/>
          <w:sz w:val="22"/>
          <w:szCs w:val="22"/>
          <w:lang w:val="pt-PT" w:eastAsia="ja-JP"/>
        </w:rPr>
        <w:t xml:space="preserve"> </w:t>
      </w:r>
      <w:r w:rsidRPr="00292532">
        <w:rPr>
          <w:sz w:val="22"/>
          <w:szCs w:val="22"/>
          <w:lang w:val="pt-PT" w:eastAsia="ja-JP"/>
        </w:rPr>
        <w:t>disponi</w:t>
      </w:r>
      <w:r w:rsidR="009F6136" w:rsidRPr="00292532">
        <w:rPr>
          <w:sz w:val="22"/>
          <w:szCs w:val="22"/>
          <w:lang w:val="pt-PT" w:eastAsia="ja-JP"/>
        </w:rPr>
        <w:t>bi</w:t>
      </w:r>
      <w:r w:rsidRPr="00292532">
        <w:rPr>
          <w:sz w:val="22"/>
          <w:szCs w:val="22"/>
          <w:lang w:val="pt-PT" w:eastAsia="ja-JP"/>
        </w:rPr>
        <w:t xml:space="preserve">lidade de </w:t>
      </w:r>
      <w:r w:rsidR="00FD734E" w:rsidRPr="00292532">
        <w:rPr>
          <w:sz w:val="22"/>
          <w:szCs w:val="22"/>
          <w:lang w:val="pt-PT" w:eastAsia="ja-JP"/>
        </w:rPr>
        <w:t>á</w:t>
      </w:r>
      <w:r w:rsidRPr="00292532">
        <w:rPr>
          <w:sz w:val="22"/>
          <w:szCs w:val="22"/>
          <w:lang w:val="pt-PT" w:eastAsia="ja-JP"/>
        </w:rPr>
        <w:t>gua</w:t>
      </w:r>
      <w:r w:rsidR="00FD734E" w:rsidRPr="00292532">
        <w:rPr>
          <w:sz w:val="22"/>
          <w:szCs w:val="22"/>
          <w:lang w:val="pt-PT" w:eastAsia="ja-JP"/>
        </w:rPr>
        <w:t>;</w:t>
      </w:r>
      <w:r w:rsidRPr="00292532">
        <w:rPr>
          <w:sz w:val="22"/>
          <w:szCs w:val="22"/>
          <w:lang w:val="pt-PT" w:eastAsia="ja-JP"/>
        </w:rPr>
        <w:t xml:space="preserve"> </w:t>
      </w:r>
    </w:p>
    <w:p w14:paraId="339CE20F" w14:textId="7A0B3BE9" w:rsidR="00C9567A" w:rsidRPr="00292532" w:rsidRDefault="00C9567A" w:rsidP="0024772D">
      <w:pPr>
        <w:pStyle w:val="FootnoteText"/>
        <w:numPr>
          <w:ilvl w:val="0"/>
          <w:numId w:val="60"/>
        </w:numPr>
        <w:rPr>
          <w:sz w:val="22"/>
          <w:szCs w:val="22"/>
          <w:lang w:val="pt-PT" w:eastAsia="ja-JP"/>
        </w:rPr>
      </w:pPr>
      <w:r w:rsidRPr="00292532">
        <w:rPr>
          <w:sz w:val="22"/>
          <w:szCs w:val="22"/>
          <w:lang w:val="pt-PT" w:eastAsia="ja-JP"/>
        </w:rPr>
        <w:t>Localização dos reservatórios (escavados, apoiados ou elevados)</w:t>
      </w:r>
      <w:r w:rsidR="00FD734E" w:rsidRPr="00292532">
        <w:rPr>
          <w:sz w:val="22"/>
          <w:szCs w:val="22"/>
          <w:lang w:val="pt-PT" w:eastAsia="ja-JP"/>
        </w:rPr>
        <w:t>;</w:t>
      </w:r>
    </w:p>
    <w:p w14:paraId="24993790" w14:textId="1C065BB9" w:rsidR="00C9567A" w:rsidRPr="00292532" w:rsidRDefault="00C9567A" w:rsidP="0024772D">
      <w:pPr>
        <w:pStyle w:val="FootnoteText"/>
        <w:numPr>
          <w:ilvl w:val="0"/>
          <w:numId w:val="60"/>
        </w:numPr>
        <w:rPr>
          <w:sz w:val="22"/>
          <w:szCs w:val="22"/>
          <w:lang w:val="pt-PT" w:eastAsia="ja-JP"/>
        </w:rPr>
      </w:pPr>
      <w:r w:rsidRPr="00292532">
        <w:rPr>
          <w:sz w:val="22"/>
          <w:szCs w:val="22"/>
          <w:lang w:val="pt-PT" w:eastAsia="ja-JP"/>
        </w:rPr>
        <w:t>Localização das estações de tratamento de água</w:t>
      </w:r>
      <w:r w:rsidR="00FD734E" w:rsidRPr="00292532">
        <w:rPr>
          <w:sz w:val="22"/>
          <w:szCs w:val="22"/>
          <w:lang w:val="pt-PT" w:eastAsia="ja-JP"/>
        </w:rPr>
        <w:t>; e,</w:t>
      </w:r>
    </w:p>
    <w:p w14:paraId="24F5482F" w14:textId="3AF98845" w:rsidR="00C9567A" w:rsidRPr="00292532" w:rsidRDefault="00C9567A" w:rsidP="0024772D">
      <w:pPr>
        <w:pStyle w:val="FootnoteText"/>
        <w:numPr>
          <w:ilvl w:val="0"/>
          <w:numId w:val="60"/>
        </w:numPr>
        <w:rPr>
          <w:sz w:val="22"/>
          <w:szCs w:val="22"/>
          <w:lang w:val="pt-PT" w:eastAsia="ja-JP"/>
        </w:rPr>
      </w:pPr>
      <w:r w:rsidRPr="00292532">
        <w:rPr>
          <w:sz w:val="22"/>
          <w:szCs w:val="22"/>
          <w:lang w:val="pt-PT" w:eastAsia="ja-JP"/>
        </w:rPr>
        <w:t>A rota das adutoras e das condutas principais</w:t>
      </w:r>
      <w:r w:rsidR="00FD734E" w:rsidRPr="00292532">
        <w:rPr>
          <w:sz w:val="22"/>
          <w:szCs w:val="22"/>
          <w:lang w:val="pt-PT" w:eastAsia="ja-JP"/>
        </w:rPr>
        <w:t>.</w:t>
      </w:r>
      <w:r w:rsidRPr="00292532">
        <w:rPr>
          <w:sz w:val="22"/>
          <w:szCs w:val="22"/>
          <w:lang w:val="pt-PT" w:eastAsia="ja-JP"/>
        </w:rPr>
        <w:t xml:space="preserve"> </w:t>
      </w:r>
    </w:p>
    <w:p w14:paraId="70DF07BE" w14:textId="77777777" w:rsidR="00C9567A" w:rsidRPr="00292532" w:rsidRDefault="00C9567A" w:rsidP="00FD734E">
      <w:pPr>
        <w:pStyle w:val="FootnoteText"/>
        <w:rPr>
          <w:sz w:val="22"/>
          <w:szCs w:val="22"/>
          <w:lang w:val="pt-PT" w:eastAsia="ja-JP"/>
        </w:rPr>
      </w:pPr>
      <w:r w:rsidRPr="00292532">
        <w:rPr>
          <w:sz w:val="22"/>
          <w:szCs w:val="22"/>
          <w:lang w:val="pt-PT" w:eastAsia="ja-JP"/>
        </w:rPr>
        <w:t>As alternativas devem ser analisadas tendo em conta as sensibilidades-chave socioambientais, de biodiversidade e potenciais implicações de reassentamento involuntário.</w:t>
      </w:r>
    </w:p>
    <w:p w14:paraId="3738E79B" w14:textId="77777777" w:rsidR="00C9567A" w:rsidRPr="00292532" w:rsidRDefault="00C9567A" w:rsidP="00FD734E">
      <w:pPr>
        <w:pStyle w:val="FootnoteText"/>
        <w:rPr>
          <w:sz w:val="22"/>
          <w:szCs w:val="22"/>
          <w:lang w:val="pt-PT" w:eastAsia="ja-JP"/>
        </w:rPr>
      </w:pPr>
      <w:r w:rsidRPr="00292532">
        <w:rPr>
          <w:sz w:val="22"/>
          <w:szCs w:val="22"/>
          <w:lang w:val="pt-PT" w:eastAsia="ja-JP"/>
        </w:rPr>
        <w:t xml:space="preserve">Uma hipótese de “Não Execução” do </w:t>
      </w:r>
      <w:proofErr w:type="spellStart"/>
      <w:r w:rsidRPr="00292532">
        <w:rPr>
          <w:sz w:val="22"/>
          <w:szCs w:val="22"/>
          <w:lang w:val="pt-PT" w:eastAsia="ja-JP"/>
        </w:rPr>
        <w:t>Projecto</w:t>
      </w:r>
      <w:proofErr w:type="spellEnd"/>
      <w:r w:rsidRPr="00292532">
        <w:rPr>
          <w:sz w:val="22"/>
          <w:szCs w:val="22"/>
          <w:lang w:val="pt-PT" w:eastAsia="ja-JP"/>
        </w:rPr>
        <w:t xml:space="preserve"> deve ser igualmente articulada na análise das alternativas.</w:t>
      </w:r>
    </w:p>
    <w:p w14:paraId="1D19E839" w14:textId="77777777" w:rsidR="00C9567A" w:rsidRPr="00292532" w:rsidRDefault="00C9567A" w:rsidP="00FD734E">
      <w:pPr>
        <w:pStyle w:val="FootnoteText"/>
        <w:rPr>
          <w:i/>
          <w:iCs/>
          <w:sz w:val="22"/>
          <w:szCs w:val="22"/>
          <w:lang w:val="pt-PT" w:eastAsia="ja-JP"/>
        </w:rPr>
      </w:pPr>
      <w:r w:rsidRPr="00292532">
        <w:rPr>
          <w:i/>
          <w:iCs/>
          <w:sz w:val="22"/>
          <w:szCs w:val="22"/>
          <w:lang w:val="pt-PT" w:eastAsia="ja-JP"/>
        </w:rPr>
        <w:t xml:space="preserve">Área de Influência do </w:t>
      </w:r>
      <w:proofErr w:type="spellStart"/>
      <w:r w:rsidRPr="00292532">
        <w:rPr>
          <w:i/>
          <w:iCs/>
          <w:sz w:val="22"/>
          <w:szCs w:val="22"/>
          <w:lang w:val="pt-PT" w:eastAsia="ja-JP"/>
        </w:rPr>
        <w:t>Projecto</w:t>
      </w:r>
      <w:proofErr w:type="spellEnd"/>
    </w:p>
    <w:p w14:paraId="05EE8E0E" w14:textId="4AF63846" w:rsidR="00C9567A" w:rsidRPr="00292532" w:rsidRDefault="00C9567A" w:rsidP="00FD734E">
      <w:pPr>
        <w:pStyle w:val="FootnoteText"/>
        <w:rPr>
          <w:sz w:val="22"/>
          <w:szCs w:val="22"/>
          <w:lang w:val="pt-PT" w:eastAsia="ja-JP"/>
        </w:rPr>
      </w:pPr>
      <w:r w:rsidRPr="00292532">
        <w:rPr>
          <w:sz w:val="22"/>
          <w:szCs w:val="22"/>
          <w:lang w:val="pt-PT" w:eastAsia="ja-JP"/>
        </w:rPr>
        <w:t>Esta secção irá definir a Área de Influência onde os impact</w:t>
      </w:r>
      <w:r w:rsidR="00FD734E" w:rsidRPr="00292532">
        <w:rPr>
          <w:sz w:val="22"/>
          <w:szCs w:val="22"/>
          <w:lang w:val="pt-PT" w:eastAsia="ja-JP"/>
        </w:rPr>
        <w:t>o</w:t>
      </w:r>
      <w:r w:rsidRPr="00292532">
        <w:rPr>
          <w:sz w:val="22"/>
          <w:szCs w:val="22"/>
          <w:lang w:val="pt-PT" w:eastAsia="ja-JP"/>
        </w:rPr>
        <w:t xml:space="preserve">s </w:t>
      </w:r>
      <w:proofErr w:type="spellStart"/>
      <w:r w:rsidRPr="00292532">
        <w:rPr>
          <w:sz w:val="22"/>
          <w:szCs w:val="22"/>
          <w:lang w:val="pt-PT" w:eastAsia="ja-JP"/>
        </w:rPr>
        <w:t>directos</w:t>
      </w:r>
      <w:proofErr w:type="spellEnd"/>
      <w:r w:rsidRPr="00292532">
        <w:rPr>
          <w:sz w:val="22"/>
          <w:szCs w:val="22"/>
          <w:lang w:val="pt-PT" w:eastAsia="ja-JP"/>
        </w:rPr>
        <w:t xml:space="preserve"> e/ou </w:t>
      </w:r>
      <w:proofErr w:type="spellStart"/>
      <w:r w:rsidRPr="00292532">
        <w:rPr>
          <w:sz w:val="22"/>
          <w:szCs w:val="22"/>
          <w:lang w:val="pt-PT" w:eastAsia="ja-JP"/>
        </w:rPr>
        <w:t>indirectos</w:t>
      </w:r>
      <w:proofErr w:type="spellEnd"/>
      <w:r w:rsidRPr="00292532">
        <w:rPr>
          <w:sz w:val="22"/>
          <w:szCs w:val="22"/>
          <w:lang w:val="pt-PT" w:eastAsia="ja-JP"/>
        </w:rPr>
        <w:t xml:space="preserve"> nas componentes ambientais e socioeconómicas poderão ser gerados pelas </w:t>
      </w:r>
      <w:proofErr w:type="spellStart"/>
      <w:r w:rsidRPr="00292532">
        <w:rPr>
          <w:sz w:val="22"/>
          <w:szCs w:val="22"/>
          <w:lang w:val="pt-PT" w:eastAsia="ja-JP"/>
        </w:rPr>
        <w:t>actividades</w:t>
      </w:r>
      <w:proofErr w:type="spellEnd"/>
      <w:r w:rsidRPr="00292532">
        <w:rPr>
          <w:sz w:val="22"/>
          <w:szCs w:val="22"/>
          <w:lang w:val="pt-PT" w:eastAsia="ja-JP"/>
        </w:rPr>
        <w:t xml:space="preserve"> do </w:t>
      </w:r>
      <w:proofErr w:type="spellStart"/>
      <w:r w:rsidRPr="00292532">
        <w:rPr>
          <w:sz w:val="22"/>
          <w:szCs w:val="22"/>
          <w:lang w:val="pt-PT" w:eastAsia="ja-JP"/>
        </w:rPr>
        <w:t>Projecto</w:t>
      </w:r>
      <w:proofErr w:type="spellEnd"/>
      <w:r w:rsidRPr="00292532">
        <w:rPr>
          <w:sz w:val="22"/>
          <w:szCs w:val="22"/>
          <w:lang w:val="pt-PT" w:eastAsia="ja-JP"/>
        </w:rPr>
        <w:t xml:space="preserve">. As áreas de influência deverão ser classificadas diferenciando, as áreas </w:t>
      </w:r>
      <w:proofErr w:type="spellStart"/>
      <w:r w:rsidRPr="00292532">
        <w:rPr>
          <w:sz w:val="22"/>
          <w:szCs w:val="22"/>
          <w:lang w:val="pt-PT" w:eastAsia="ja-JP"/>
        </w:rPr>
        <w:t>directamente</w:t>
      </w:r>
      <w:proofErr w:type="spellEnd"/>
      <w:r w:rsidRPr="00292532">
        <w:rPr>
          <w:sz w:val="22"/>
          <w:szCs w:val="22"/>
          <w:lang w:val="pt-PT" w:eastAsia="ja-JP"/>
        </w:rPr>
        <w:t xml:space="preserve"> </w:t>
      </w:r>
      <w:proofErr w:type="spellStart"/>
      <w:r w:rsidRPr="00292532">
        <w:rPr>
          <w:sz w:val="22"/>
          <w:szCs w:val="22"/>
          <w:lang w:val="pt-PT" w:eastAsia="ja-JP"/>
        </w:rPr>
        <w:t>afectadas</w:t>
      </w:r>
      <w:proofErr w:type="spellEnd"/>
      <w:r w:rsidRPr="00292532">
        <w:rPr>
          <w:sz w:val="22"/>
          <w:szCs w:val="22"/>
          <w:lang w:val="pt-PT" w:eastAsia="ja-JP"/>
        </w:rPr>
        <w:t xml:space="preserve"> pelo </w:t>
      </w:r>
      <w:proofErr w:type="spellStart"/>
      <w:r w:rsidRPr="00292532">
        <w:rPr>
          <w:sz w:val="22"/>
          <w:szCs w:val="22"/>
          <w:lang w:val="pt-PT" w:eastAsia="ja-JP"/>
        </w:rPr>
        <w:t>Projecto</w:t>
      </w:r>
      <w:proofErr w:type="spellEnd"/>
      <w:r w:rsidRPr="00292532">
        <w:rPr>
          <w:sz w:val="22"/>
          <w:szCs w:val="22"/>
          <w:lang w:val="pt-PT" w:eastAsia="ja-JP"/>
        </w:rPr>
        <w:t xml:space="preserve"> e suas intervenções </w:t>
      </w:r>
      <w:proofErr w:type="spellStart"/>
      <w:r w:rsidRPr="00292532">
        <w:rPr>
          <w:sz w:val="22"/>
          <w:szCs w:val="22"/>
          <w:lang w:val="pt-PT" w:eastAsia="ja-JP"/>
        </w:rPr>
        <w:t>directas</w:t>
      </w:r>
      <w:proofErr w:type="spellEnd"/>
      <w:r w:rsidRPr="00292532">
        <w:rPr>
          <w:sz w:val="22"/>
          <w:szCs w:val="22"/>
          <w:lang w:val="pt-PT" w:eastAsia="ja-JP"/>
        </w:rPr>
        <w:t xml:space="preserve"> e infraestruturas, às áreas a serem abrangidas pelos impactos </w:t>
      </w:r>
      <w:proofErr w:type="spellStart"/>
      <w:r w:rsidRPr="00292532">
        <w:rPr>
          <w:sz w:val="22"/>
          <w:szCs w:val="22"/>
          <w:lang w:val="pt-PT" w:eastAsia="ja-JP"/>
        </w:rPr>
        <w:t>directos</w:t>
      </w:r>
      <w:proofErr w:type="spellEnd"/>
      <w:r w:rsidRPr="00292532">
        <w:rPr>
          <w:sz w:val="22"/>
          <w:szCs w:val="22"/>
          <w:lang w:val="pt-PT" w:eastAsia="ja-JP"/>
        </w:rPr>
        <w:t xml:space="preserve"> e </w:t>
      </w:r>
      <w:proofErr w:type="spellStart"/>
      <w:r w:rsidRPr="00292532">
        <w:rPr>
          <w:sz w:val="22"/>
          <w:szCs w:val="22"/>
          <w:lang w:val="pt-PT" w:eastAsia="ja-JP"/>
        </w:rPr>
        <w:t>indirectos</w:t>
      </w:r>
      <w:proofErr w:type="spellEnd"/>
      <w:r w:rsidRPr="00292532">
        <w:rPr>
          <w:sz w:val="22"/>
          <w:szCs w:val="22"/>
          <w:lang w:val="pt-PT" w:eastAsia="ja-JP"/>
        </w:rPr>
        <w:t xml:space="preserve">. </w:t>
      </w:r>
    </w:p>
    <w:p w14:paraId="2BCC5D2B" w14:textId="77777777" w:rsidR="00C9567A" w:rsidRPr="00292532" w:rsidRDefault="00C9567A" w:rsidP="00FD734E">
      <w:pPr>
        <w:pStyle w:val="FootnoteText"/>
        <w:rPr>
          <w:i/>
          <w:iCs/>
          <w:sz w:val="22"/>
          <w:szCs w:val="22"/>
          <w:lang w:val="pt-PT" w:eastAsia="ja-JP"/>
        </w:rPr>
      </w:pPr>
      <w:r w:rsidRPr="00292532">
        <w:rPr>
          <w:i/>
          <w:iCs/>
          <w:sz w:val="22"/>
          <w:szCs w:val="22"/>
          <w:lang w:val="pt-PT" w:eastAsia="ja-JP"/>
        </w:rPr>
        <w:t>Descrição da Situação de Referência Ambiental e Socioeconómica</w:t>
      </w:r>
    </w:p>
    <w:p w14:paraId="1284AE70" w14:textId="21BFA718" w:rsidR="00EA6997" w:rsidRPr="00292532" w:rsidRDefault="00EA6997" w:rsidP="00FD734E">
      <w:pPr>
        <w:pStyle w:val="FootnoteText"/>
        <w:rPr>
          <w:sz w:val="22"/>
          <w:szCs w:val="22"/>
          <w:lang w:val="pt-PT" w:eastAsia="ja-JP"/>
        </w:rPr>
      </w:pPr>
      <w:r w:rsidRPr="00292532">
        <w:rPr>
          <w:sz w:val="22"/>
          <w:szCs w:val="22"/>
          <w:lang w:val="pt-PT" w:eastAsia="ja-JP"/>
        </w:rPr>
        <w:t xml:space="preserve">Nesta secção serão descritos </w:t>
      </w:r>
      <w:r w:rsidR="00C9567A" w:rsidRPr="00292532">
        <w:rPr>
          <w:sz w:val="22"/>
          <w:szCs w:val="22"/>
          <w:lang w:val="pt-PT" w:eastAsia="ja-JP"/>
        </w:rPr>
        <w:t xml:space="preserve">o contexto geográfico onde </w:t>
      </w:r>
      <w:r w:rsidR="009F6136" w:rsidRPr="00292532">
        <w:rPr>
          <w:sz w:val="22"/>
          <w:szCs w:val="22"/>
          <w:lang w:val="pt-PT" w:eastAsia="ja-JP"/>
        </w:rPr>
        <w:t>serão</w:t>
      </w:r>
      <w:r w:rsidR="00C9567A" w:rsidRPr="00292532">
        <w:rPr>
          <w:sz w:val="22"/>
          <w:szCs w:val="22"/>
          <w:lang w:val="pt-PT" w:eastAsia="ja-JP"/>
        </w:rPr>
        <w:t xml:space="preserve"> </w:t>
      </w:r>
      <w:r w:rsidR="009F6136" w:rsidRPr="00292532">
        <w:rPr>
          <w:sz w:val="22"/>
          <w:szCs w:val="22"/>
          <w:lang w:val="pt-PT" w:eastAsia="ja-JP"/>
        </w:rPr>
        <w:t>inseridos</w:t>
      </w:r>
      <w:r w:rsidR="00C9567A" w:rsidRPr="00292532">
        <w:rPr>
          <w:sz w:val="22"/>
          <w:szCs w:val="22"/>
          <w:lang w:val="pt-PT" w:eastAsia="ja-JP"/>
        </w:rPr>
        <w:t xml:space="preserve"> </w:t>
      </w:r>
      <w:r w:rsidR="004A443B" w:rsidRPr="00292532">
        <w:rPr>
          <w:sz w:val="22"/>
          <w:szCs w:val="22"/>
          <w:lang w:val="pt-PT" w:eastAsia="ja-JP"/>
        </w:rPr>
        <w:t xml:space="preserve">do </w:t>
      </w:r>
      <w:proofErr w:type="spellStart"/>
      <w:proofErr w:type="gramStart"/>
      <w:r w:rsidR="004A443B" w:rsidRPr="00292532">
        <w:rPr>
          <w:sz w:val="22"/>
          <w:szCs w:val="22"/>
          <w:lang w:val="pt-PT" w:eastAsia="ja-JP"/>
        </w:rPr>
        <w:t>Projecto</w:t>
      </w:r>
      <w:proofErr w:type="spellEnd"/>
      <w:r w:rsidR="004A443B" w:rsidRPr="00292532">
        <w:rPr>
          <w:sz w:val="22"/>
          <w:szCs w:val="22"/>
          <w:lang w:val="pt-PT" w:eastAsia="ja-JP"/>
        </w:rPr>
        <w:t xml:space="preserve"> </w:t>
      </w:r>
      <w:r w:rsidR="00C9567A" w:rsidRPr="00292532">
        <w:rPr>
          <w:sz w:val="22"/>
          <w:szCs w:val="22"/>
          <w:lang w:val="pt-PT" w:eastAsia="ja-JP"/>
        </w:rPr>
        <w:t xml:space="preserve"> em</w:t>
      </w:r>
      <w:proofErr w:type="gramEnd"/>
      <w:r w:rsidR="00C9567A" w:rsidRPr="00292532">
        <w:rPr>
          <w:sz w:val="22"/>
          <w:szCs w:val="22"/>
          <w:lang w:val="pt-PT" w:eastAsia="ja-JP"/>
        </w:rPr>
        <w:t xml:space="preserve"> termos de sensibilidades ambientais e </w:t>
      </w:r>
      <w:r w:rsidRPr="00292532">
        <w:rPr>
          <w:sz w:val="22"/>
          <w:szCs w:val="22"/>
          <w:lang w:val="pt-PT" w:eastAsia="ja-JP"/>
        </w:rPr>
        <w:t xml:space="preserve">as </w:t>
      </w:r>
      <w:r w:rsidR="00C9567A" w:rsidRPr="00292532">
        <w:rPr>
          <w:sz w:val="22"/>
          <w:szCs w:val="22"/>
          <w:lang w:val="pt-PT" w:eastAsia="ja-JP"/>
        </w:rPr>
        <w:t xml:space="preserve">componentes socioeconómicas da área de influência do </w:t>
      </w:r>
      <w:proofErr w:type="spellStart"/>
      <w:r w:rsidR="00C9567A" w:rsidRPr="00292532">
        <w:rPr>
          <w:sz w:val="22"/>
          <w:szCs w:val="22"/>
          <w:lang w:val="pt-PT" w:eastAsia="ja-JP"/>
        </w:rPr>
        <w:t>Projecto</w:t>
      </w:r>
      <w:proofErr w:type="spellEnd"/>
      <w:r w:rsidRPr="00292532">
        <w:rPr>
          <w:sz w:val="22"/>
          <w:szCs w:val="22"/>
          <w:lang w:val="pt-PT" w:eastAsia="ja-JP"/>
        </w:rPr>
        <w:t>. A</w:t>
      </w:r>
      <w:r w:rsidR="008C11E8" w:rsidRPr="00292532">
        <w:rPr>
          <w:sz w:val="22"/>
          <w:szCs w:val="22"/>
          <w:lang w:val="pt-PT" w:eastAsia="ja-JP"/>
        </w:rPr>
        <w:t xml:space="preserve"> </w:t>
      </w:r>
      <w:r w:rsidR="008C11E8" w:rsidRPr="00292532">
        <w:rPr>
          <w:b/>
          <w:bCs/>
          <w:sz w:val="22"/>
          <w:szCs w:val="22"/>
          <w:lang w:val="pt-PT" w:eastAsia="ja-JP"/>
        </w:rPr>
        <w:t>Tabela 1</w:t>
      </w:r>
      <w:r w:rsidRPr="00292532">
        <w:rPr>
          <w:sz w:val="22"/>
          <w:szCs w:val="22"/>
          <w:lang w:val="pt-PT" w:eastAsia="ja-JP"/>
        </w:rPr>
        <w:t>, abaix</w:t>
      </w:r>
      <w:r w:rsidR="004A443B" w:rsidRPr="00292532">
        <w:rPr>
          <w:sz w:val="22"/>
          <w:szCs w:val="22"/>
          <w:lang w:val="pt-PT" w:eastAsia="ja-JP"/>
        </w:rPr>
        <w:t>o</w:t>
      </w:r>
      <w:r w:rsidRPr="00292532">
        <w:rPr>
          <w:sz w:val="22"/>
          <w:szCs w:val="22"/>
          <w:lang w:val="pt-PT" w:eastAsia="ja-JP"/>
        </w:rPr>
        <w:t xml:space="preserve"> apresenta as principais componentes da Situação de Referência a serem estudadas e descritas.</w:t>
      </w:r>
    </w:p>
    <w:p w14:paraId="64B6A1A6" w14:textId="7103BDCB" w:rsidR="00EA6997" w:rsidRPr="00292532" w:rsidRDefault="009505A1" w:rsidP="009505A1">
      <w:pPr>
        <w:pStyle w:val="Caption"/>
        <w:rPr>
          <w:sz w:val="22"/>
          <w:szCs w:val="22"/>
        </w:rPr>
      </w:pPr>
      <w:bookmarkStart w:id="531" w:name="_Ref72915670"/>
      <w:r w:rsidRPr="00292532">
        <w:t>Tabela</w:t>
      </w:r>
      <w:r w:rsidR="008C11E8" w:rsidRPr="00292532">
        <w:t xml:space="preserve"> 1</w:t>
      </w:r>
      <w:bookmarkEnd w:id="531"/>
      <w:r w:rsidRPr="00292532">
        <w:t xml:space="preserve">: </w:t>
      </w:r>
      <w:r w:rsidR="0077535C" w:rsidRPr="00292532">
        <w:t>Componentes e Matérias de Estudo da Situação de Referência</w:t>
      </w:r>
    </w:p>
    <w:tbl>
      <w:tblPr>
        <w:tblStyle w:val="GridTable2-Accent1"/>
        <w:tblW w:w="8725" w:type="dxa"/>
        <w:tblLook w:val="04A0" w:firstRow="1" w:lastRow="0" w:firstColumn="1" w:lastColumn="0" w:noHBand="0" w:noVBand="1"/>
      </w:tblPr>
      <w:tblGrid>
        <w:gridCol w:w="2831"/>
        <w:gridCol w:w="2831"/>
        <w:gridCol w:w="3063"/>
      </w:tblGrid>
      <w:tr w:rsidR="00EA6997" w:rsidRPr="00292532" w14:paraId="27DD12CF" w14:textId="77777777" w:rsidTr="009505A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1" w:type="dxa"/>
          </w:tcPr>
          <w:p w14:paraId="77BD2229" w14:textId="4DB2C56B" w:rsidR="00EA6997" w:rsidRPr="00292532" w:rsidRDefault="00EA6997" w:rsidP="00EA6997">
            <w:pPr>
              <w:pStyle w:val="FootnoteText"/>
              <w:rPr>
                <w:lang w:val="pt-PT" w:eastAsia="ja-JP"/>
              </w:rPr>
            </w:pPr>
            <w:r w:rsidRPr="00292532">
              <w:rPr>
                <w:lang w:val="pt-PT" w:eastAsia="ja-JP"/>
              </w:rPr>
              <w:t>Componente Ambiental</w:t>
            </w:r>
          </w:p>
        </w:tc>
        <w:tc>
          <w:tcPr>
            <w:tcW w:w="2831" w:type="dxa"/>
          </w:tcPr>
          <w:p w14:paraId="2DD47535" w14:textId="18A742D4" w:rsidR="00EA6997" w:rsidRPr="00292532" w:rsidRDefault="00EA6997" w:rsidP="00EA6997">
            <w:pPr>
              <w:pStyle w:val="FootnoteText"/>
              <w:cnfStyle w:val="100000000000" w:firstRow="1" w:lastRow="0" w:firstColumn="0" w:lastColumn="0" w:oddVBand="0" w:evenVBand="0" w:oddHBand="0" w:evenHBand="0" w:firstRowFirstColumn="0" w:firstRowLastColumn="0" w:lastRowFirstColumn="0" w:lastRowLastColumn="0"/>
              <w:rPr>
                <w:lang w:val="pt-PT" w:eastAsia="ja-JP"/>
              </w:rPr>
            </w:pPr>
            <w:r w:rsidRPr="00292532">
              <w:rPr>
                <w:lang w:val="pt-PT" w:eastAsia="ja-JP"/>
              </w:rPr>
              <w:t>Componente de Biodiversidade</w:t>
            </w:r>
          </w:p>
        </w:tc>
        <w:tc>
          <w:tcPr>
            <w:tcW w:w="3063" w:type="dxa"/>
          </w:tcPr>
          <w:p w14:paraId="4AA144E6" w14:textId="20F0A4AB" w:rsidR="00EA6997" w:rsidRPr="00292532" w:rsidRDefault="00EA6997" w:rsidP="00EA6997">
            <w:pPr>
              <w:pStyle w:val="FootnoteText"/>
              <w:cnfStyle w:val="100000000000" w:firstRow="1" w:lastRow="0" w:firstColumn="0" w:lastColumn="0" w:oddVBand="0" w:evenVBand="0" w:oddHBand="0" w:evenHBand="0" w:firstRowFirstColumn="0" w:firstRowLastColumn="0" w:lastRowFirstColumn="0" w:lastRowLastColumn="0"/>
              <w:rPr>
                <w:lang w:val="pt-PT" w:eastAsia="ja-JP"/>
              </w:rPr>
            </w:pPr>
            <w:r w:rsidRPr="00292532">
              <w:rPr>
                <w:lang w:val="pt-PT" w:eastAsia="ja-JP"/>
              </w:rPr>
              <w:t>Componente Socioeconómica</w:t>
            </w:r>
          </w:p>
        </w:tc>
      </w:tr>
      <w:tr w:rsidR="00EA6997" w:rsidRPr="00292532" w14:paraId="1287F035" w14:textId="77777777" w:rsidTr="00B36A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66CF6C1A" w14:textId="6D181203" w:rsidR="00EA6997" w:rsidRPr="00292532" w:rsidRDefault="00EA6997" w:rsidP="00AE14AE">
            <w:pPr>
              <w:pStyle w:val="FootnoteText"/>
              <w:numPr>
                <w:ilvl w:val="0"/>
                <w:numId w:val="72"/>
              </w:numPr>
              <w:rPr>
                <w:b w:val="0"/>
                <w:bCs w:val="0"/>
                <w:lang w:val="pt-PT" w:eastAsia="ja-JP"/>
              </w:rPr>
            </w:pPr>
            <w:r w:rsidRPr="00292532">
              <w:rPr>
                <w:b w:val="0"/>
                <w:bCs w:val="0"/>
                <w:lang w:val="pt-PT" w:eastAsia="ja-JP"/>
              </w:rPr>
              <w:t>Clima</w:t>
            </w:r>
            <w:r w:rsidR="00926D14" w:rsidRPr="00292532">
              <w:rPr>
                <w:b w:val="0"/>
                <w:bCs w:val="0"/>
                <w:lang w:val="pt-PT" w:eastAsia="ja-JP"/>
              </w:rPr>
              <w:t xml:space="preserve"> (temperatura, humidade, precipitação, ventos, evaporação e eventos climáticos extremos)</w:t>
            </w:r>
          </w:p>
          <w:p w14:paraId="59DFE707" w14:textId="554D0FEF" w:rsidR="00EA6997" w:rsidRPr="00292532" w:rsidRDefault="00EA6997" w:rsidP="00AE14AE">
            <w:pPr>
              <w:pStyle w:val="FootnoteText"/>
              <w:numPr>
                <w:ilvl w:val="0"/>
                <w:numId w:val="72"/>
              </w:numPr>
              <w:rPr>
                <w:b w:val="0"/>
                <w:bCs w:val="0"/>
                <w:lang w:val="pt-PT" w:eastAsia="ja-JP"/>
              </w:rPr>
            </w:pPr>
            <w:r w:rsidRPr="00292532">
              <w:rPr>
                <w:b w:val="0"/>
                <w:bCs w:val="0"/>
                <w:lang w:val="pt-PT" w:eastAsia="ja-JP"/>
              </w:rPr>
              <w:t>Geologia e geomorfologia</w:t>
            </w:r>
          </w:p>
          <w:p w14:paraId="086938A4" w14:textId="5D5A4DFA" w:rsidR="00926D14" w:rsidRPr="00292532" w:rsidRDefault="00926D14" w:rsidP="00AE14AE">
            <w:pPr>
              <w:pStyle w:val="FootnoteText"/>
              <w:numPr>
                <w:ilvl w:val="0"/>
                <w:numId w:val="72"/>
              </w:numPr>
              <w:rPr>
                <w:b w:val="0"/>
                <w:bCs w:val="0"/>
                <w:lang w:val="pt-PT" w:eastAsia="ja-JP"/>
              </w:rPr>
            </w:pPr>
            <w:r w:rsidRPr="00292532">
              <w:rPr>
                <w:b w:val="0"/>
                <w:bCs w:val="0"/>
                <w:lang w:val="pt-PT" w:eastAsia="ja-JP"/>
              </w:rPr>
              <w:t>Topografia</w:t>
            </w:r>
          </w:p>
          <w:p w14:paraId="5E13E642" w14:textId="5E7FA4E4" w:rsidR="00EA6997" w:rsidRPr="00292532" w:rsidRDefault="00EA6997" w:rsidP="00AE14AE">
            <w:pPr>
              <w:pStyle w:val="FootnoteText"/>
              <w:numPr>
                <w:ilvl w:val="0"/>
                <w:numId w:val="72"/>
              </w:numPr>
              <w:rPr>
                <w:b w:val="0"/>
                <w:bCs w:val="0"/>
                <w:lang w:val="pt-PT" w:eastAsia="ja-JP"/>
              </w:rPr>
            </w:pPr>
            <w:r w:rsidRPr="00292532">
              <w:rPr>
                <w:b w:val="0"/>
                <w:bCs w:val="0"/>
                <w:lang w:val="pt-PT" w:eastAsia="ja-JP"/>
              </w:rPr>
              <w:lastRenderedPageBreak/>
              <w:t>Tipos de Solos</w:t>
            </w:r>
          </w:p>
          <w:p w14:paraId="68CF4AAF" w14:textId="77777777" w:rsidR="00EA6997" w:rsidRPr="00292532" w:rsidRDefault="00EA6997" w:rsidP="00AE14AE">
            <w:pPr>
              <w:pStyle w:val="FootnoteText"/>
              <w:numPr>
                <w:ilvl w:val="0"/>
                <w:numId w:val="72"/>
              </w:numPr>
              <w:rPr>
                <w:b w:val="0"/>
                <w:bCs w:val="0"/>
                <w:lang w:val="pt-PT" w:eastAsia="ja-JP"/>
              </w:rPr>
            </w:pPr>
            <w:r w:rsidRPr="00292532">
              <w:rPr>
                <w:b w:val="0"/>
                <w:bCs w:val="0"/>
                <w:lang w:val="pt-PT" w:eastAsia="ja-JP"/>
              </w:rPr>
              <w:t>Uso e Ocupação da Terra</w:t>
            </w:r>
          </w:p>
          <w:p w14:paraId="6F0CD4EE" w14:textId="77777777" w:rsidR="00EA6997" w:rsidRPr="00292532" w:rsidRDefault="00EA6997" w:rsidP="00AE14AE">
            <w:pPr>
              <w:pStyle w:val="FootnoteText"/>
              <w:numPr>
                <w:ilvl w:val="0"/>
                <w:numId w:val="72"/>
              </w:numPr>
              <w:rPr>
                <w:b w:val="0"/>
                <w:bCs w:val="0"/>
                <w:lang w:val="pt-PT" w:eastAsia="ja-JP"/>
              </w:rPr>
            </w:pPr>
            <w:r w:rsidRPr="00292532">
              <w:rPr>
                <w:b w:val="0"/>
                <w:bCs w:val="0"/>
                <w:lang w:val="pt-PT" w:eastAsia="ja-JP"/>
              </w:rPr>
              <w:t>Hidrologia</w:t>
            </w:r>
          </w:p>
          <w:p w14:paraId="0429C604" w14:textId="77777777" w:rsidR="00EA6997" w:rsidRDefault="00EA6997" w:rsidP="00AE14AE">
            <w:pPr>
              <w:pStyle w:val="FootnoteText"/>
              <w:numPr>
                <w:ilvl w:val="0"/>
                <w:numId w:val="72"/>
              </w:numPr>
              <w:rPr>
                <w:lang w:val="pt-PT" w:eastAsia="ja-JP"/>
              </w:rPr>
            </w:pPr>
            <w:r w:rsidRPr="00292532">
              <w:rPr>
                <w:b w:val="0"/>
                <w:bCs w:val="0"/>
                <w:lang w:val="pt-PT" w:eastAsia="ja-JP"/>
              </w:rPr>
              <w:t xml:space="preserve">Hidrogeologia </w:t>
            </w:r>
          </w:p>
          <w:p w14:paraId="6ECAEEB6" w14:textId="77777777" w:rsidR="006140B8" w:rsidRPr="00E14ED4" w:rsidRDefault="006140B8" w:rsidP="00AE14AE">
            <w:pPr>
              <w:pStyle w:val="FootnoteText"/>
              <w:numPr>
                <w:ilvl w:val="0"/>
                <w:numId w:val="72"/>
              </w:numPr>
              <w:rPr>
                <w:b w:val="0"/>
                <w:bCs w:val="0"/>
                <w:lang w:val="pt-PT" w:eastAsia="ja-JP"/>
              </w:rPr>
            </w:pPr>
            <w:r w:rsidRPr="00941934">
              <w:rPr>
                <w:b w:val="0"/>
                <w:bCs w:val="0"/>
                <w:lang w:val="pt-PT" w:eastAsia="ja-JP"/>
              </w:rPr>
              <w:t xml:space="preserve">Censo hídrico para avaliar os usos de água existentes, infraestruturas de abastecimento, qualidade de água com base em amostragem para análises laboratoriais de conformidade com os padrões de qualidade de água para fins potáveis estabelecidos pela Organização Mundial da Saúde e pela legislação nacional. </w:t>
            </w:r>
          </w:p>
          <w:p w14:paraId="67274E36" w14:textId="45AC383C" w:rsidR="00D43610" w:rsidRPr="00941934" w:rsidRDefault="00D43610" w:rsidP="00AE14AE">
            <w:pPr>
              <w:pStyle w:val="FootnoteText"/>
              <w:numPr>
                <w:ilvl w:val="0"/>
                <w:numId w:val="72"/>
              </w:numPr>
              <w:rPr>
                <w:b w:val="0"/>
                <w:bCs w:val="0"/>
                <w:lang w:val="en-US" w:eastAsia="ja-JP"/>
              </w:rPr>
            </w:pPr>
            <w:proofErr w:type="spellStart"/>
            <w:r>
              <w:rPr>
                <w:b w:val="0"/>
                <w:bCs w:val="0"/>
                <w:lang w:val="en-US" w:eastAsia="ja-JP"/>
              </w:rPr>
              <w:t>Qualidade</w:t>
            </w:r>
            <w:proofErr w:type="spellEnd"/>
            <w:r>
              <w:rPr>
                <w:b w:val="0"/>
                <w:bCs w:val="0"/>
                <w:lang w:val="en-US" w:eastAsia="ja-JP"/>
              </w:rPr>
              <w:t xml:space="preserve"> de </w:t>
            </w:r>
            <w:proofErr w:type="spellStart"/>
            <w:r>
              <w:rPr>
                <w:b w:val="0"/>
                <w:bCs w:val="0"/>
                <w:lang w:val="en-US" w:eastAsia="ja-JP"/>
              </w:rPr>
              <w:t>Água</w:t>
            </w:r>
            <w:proofErr w:type="spellEnd"/>
          </w:p>
        </w:tc>
        <w:tc>
          <w:tcPr>
            <w:tcW w:w="2831" w:type="dxa"/>
          </w:tcPr>
          <w:p w14:paraId="2708E945" w14:textId="77777777" w:rsidR="00EA6997" w:rsidRPr="00292532" w:rsidRDefault="00EA6997" w:rsidP="00AE14AE">
            <w:pPr>
              <w:pStyle w:val="FootnoteText"/>
              <w:numPr>
                <w:ilvl w:val="0"/>
                <w:numId w:val="72"/>
              </w:numPr>
              <w:cnfStyle w:val="000000100000" w:firstRow="0" w:lastRow="0" w:firstColumn="0" w:lastColumn="0" w:oddVBand="0" w:evenVBand="0" w:oddHBand="1" w:evenHBand="0" w:firstRowFirstColumn="0" w:firstRowLastColumn="0" w:lastRowFirstColumn="0" w:lastRowLastColumn="0"/>
              <w:rPr>
                <w:lang w:val="pt-PT" w:eastAsia="ja-JP"/>
              </w:rPr>
            </w:pPr>
            <w:r w:rsidRPr="00292532">
              <w:rPr>
                <w:lang w:val="pt-PT" w:eastAsia="ja-JP"/>
              </w:rPr>
              <w:lastRenderedPageBreak/>
              <w:t>Habitats</w:t>
            </w:r>
          </w:p>
          <w:p w14:paraId="1C289C14" w14:textId="5126A7CA" w:rsidR="00EA6997" w:rsidRPr="00292532" w:rsidRDefault="00EA6997" w:rsidP="00AE14AE">
            <w:pPr>
              <w:pStyle w:val="FootnoteText"/>
              <w:numPr>
                <w:ilvl w:val="0"/>
                <w:numId w:val="72"/>
              </w:numPr>
              <w:cnfStyle w:val="000000100000" w:firstRow="0" w:lastRow="0" w:firstColumn="0" w:lastColumn="0" w:oddVBand="0" w:evenVBand="0" w:oddHBand="1" w:evenHBand="0" w:firstRowFirstColumn="0" w:firstRowLastColumn="0" w:lastRowFirstColumn="0" w:lastRowLastColumn="0"/>
              <w:rPr>
                <w:lang w:val="pt-PT" w:eastAsia="ja-JP"/>
              </w:rPr>
            </w:pPr>
            <w:r w:rsidRPr="00292532">
              <w:rPr>
                <w:lang w:val="pt-PT" w:eastAsia="ja-JP"/>
              </w:rPr>
              <w:t xml:space="preserve">Áreas de conservação e de </w:t>
            </w:r>
            <w:proofErr w:type="spellStart"/>
            <w:r w:rsidRPr="00292532">
              <w:rPr>
                <w:lang w:val="pt-PT" w:eastAsia="ja-JP"/>
              </w:rPr>
              <w:t>protecção</w:t>
            </w:r>
            <w:proofErr w:type="spellEnd"/>
            <w:r w:rsidRPr="00292532">
              <w:rPr>
                <w:lang w:val="pt-PT" w:eastAsia="ja-JP"/>
              </w:rPr>
              <w:t xml:space="preserve"> ambiental</w:t>
            </w:r>
          </w:p>
          <w:p w14:paraId="04003520" w14:textId="24C33D94" w:rsidR="00EA6997" w:rsidRPr="00292532" w:rsidRDefault="00EA6997" w:rsidP="00AE14AE">
            <w:pPr>
              <w:pStyle w:val="FootnoteText"/>
              <w:numPr>
                <w:ilvl w:val="0"/>
                <w:numId w:val="72"/>
              </w:numPr>
              <w:cnfStyle w:val="000000100000" w:firstRow="0" w:lastRow="0" w:firstColumn="0" w:lastColumn="0" w:oddVBand="0" w:evenVBand="0" w:oddHBand="1" w:evenHBand="0" w:firstRowFirstColumn="0" w:firstRowLastColumn="0" w:lastRowFirstColumn="0" w:lastRowLastColumn="0"/>
              <w:rPr>
                <w:lang w:val="pt-PT" w:eastAsia="ja-JP"/>
              </w:rPr>
            </w:pPr>
            <w:r w:rsidRPr="00292532">
              <w:rPr>
                <w:lang w:val="pt-PT" w:eastAsia="ja-JP"/>
              </w:rPr>
              <w:t xml:space="preserve">Flora </w:t>
            </w:r>
          </w:p>
          <w:p w14:paraId="711E2357" w14:textId="389BEED8" w:rsidR="00926D14" w:rsidRPr="00292532" w:rsidRDefault="00926D14" w:rsidP="00AE14AE">
            <w:pPr>
              <w:pStyle w:val="FootnoteText"/>
              <w:numPr>
                <w:ilvl w:val="0"/>
                <w:numId w:val="72"/>
              </w:numPr>
              <w:cnfStyle w:val="000000100000" w:firstRow="0" w:lastRow="0" w:firstColumn="0" w:lastColumn="0" w:oddVBand="0" w:evenVBand="0" w:oddHBand="1" w:evenHBand="0" w:firstRowFirstColumn="0" w:firstRowLastColumn="0" w:lastRowFirstColumn="0" w:lastRowLastColumn="0"/>
              <w:rPr>
                <w:lang w:val="pt-PT" w:eastAsia="ja-JP"/>
              </w:rPr>
            </w:pPr>
            <w:r w:rsidRPr="00292532">
              <w:rPr>
                <w:lang w:val="pt-PT" w:eastAsia="ja-JP"/>
              </w:rPr>
              <w:lastRenderedPageBreak/>
              <w:t xml:space="preserve">Fauna (mamíferos, avifauna, </w:t>
            </w:r>
            <w:proofErr w:type="spellStart"/>
            <w:r w:rsidRPr="00292532">
              <w:rPr>
                <w:lang w:val="pt-PT" w:eastAsia="ja-JP"/>
              </w:rPr>
              <w:t>herpetofauna</w:t>
            </w:r>
            <w:proofErr w:type="spellEnd"/>
            <w:r w:rsidRPr="00292532">
              <w:rPr>
                <w:lang w:val="pt-PT" w:eastAsia="ja-JP"/>
              </w:rPr>
              <w:t xml:space="preserve"> e fauna aquática)</w:t>
            </w:r>
          </w:p>
          <w:p w14:paraId="4759F066" w14:textId="4D09E5E5" w:rsidR="00EA6997" w:rsidRPr="00292532" w:rsidRDefault="00EA6997" w:rsidP="00AE14AE">
            <w:pPr>
              <w:pStyle w:val="FootnoteText"/>
              <w:numPr>
                <w:ilvl w:val="0"/>
                <w:numId w:val="72"/>
              </w:numPr>
              <w:cnfStyle w:val="000000100000" w:firstRow="0" w:lastRow="0" w:firstColumn="0" w:lastColumn="0" w:oddVBand="0" w:evenVBand="0" w:oddHBand="1" w:evenHBand="0" w:firstRowFirstColumn="0" w:firstRowLastColumn="0" w:lastRowFirstColumn="0" w:lastRowLastColumn="0"/>
              <w:rPr>
                <w:lang w:val="pt-PT" w:eastAsia="ja-JP"/>
              </w:rPr>
            </w:pPr>
            <w:r w:rsidRPr="00292532">
              <w:rPr>
                <w:lang w:val="pt-PT" w:eastAsia="ja-JP"/>
              </w:rPr>
              <w:t xml:space="preserve">Serviços de ecossistemas </w:t>
            </w:r>
          </w:p>
          <w:p w14:paraId="47AFC6BD" w14:textId="645C1799" w:rsidR="00926D14" w:rsidRPr="00292532" w:rsidRDefault="00926D14" w:rsidP="00AE14AE">
            <w:pPr>
              <w:pStyle w:val="ListParagraph"/>
              <w:numPr>
                <w:ilvl w:val="0"/>
                <w:numId w:val="72"/>
              </w:num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Espécies (flora e fauna) importantes para a conservação, pertencentes a Lista Vermelha da IUCN (2009)</w:t>
            </w:r>
          </w:p>
          <w:p w14:paraId="0FC56A7F" w14:textId="77777777" w:rsidR="00926D14" w:rsidRPr="00292532" w:rsidRDefault="00926D14" w:rsidP="00B36A25">
            <w:pPr>
              <w:pStyle w:val="FootnoteText"/>
              <w:ind w:left="360"/>
              <w:cnfStyle w:val="000000100000" w:firstRow="0" w:lastRow="0" w:firstColumn="0" w:lastColumn="0" w:oddVBand="0" w:evenVBand="0" w:oddHBand="1" w:evenHBand="0" w:firstRowFirstColumn="0" w:firstRowLastColumn="0" w:lastRowFirstColumn="0" w:lastRowLastColumn="0"/>
              <w:rPr>
                <w:lang w:val="pt-PT" w:eastAsia="ja-JP"/>
              </w:rPr>
            </w:pPr>
          </w:p>
          <w:p w14:paraId="69F0649A" w14:textId="1FC7AFC4" w:rsidR="00EA6997" w:rsidRPr="00292532" w:rsidRDefault="00EA6997" w:rsidP="00EA6997">
            <w:pPr>
              <w:pStyle w:val="FootnoteText"/>
              <w:ind w:left="360"/>
              <w:cnfStyle w:val="000000100000" w:firstRow="0" w:lastRow="0" w:firstColumn="0" w:lastColumn="0" w:oddVBand="0" w:evenVBand="0" w:oddHBand="1" w:evenHBand="0" w:firstRowFirstColumn="0" w:firstRowLastColumn="0" w:lastRowFirstColumn="0" w:lastRowLastColumn="0"/>
              <w:rPr>
                <w:lang w:val="pt-PT" w:eastAsia="ja-JP"/>
              </w:rPr>
            </w:pPr>
          </w:p>
        </w:tc>
        <w:tc>
          <w:tcPr>
            <w:tcW w:w="3063" w:type="dxa"/>
          </w:tcPr>
          <w:p w14:paraId="06F232A6" w14:textId="6176C2F2" w:rsidR="00C75418" w:rsidRPr="00292532" w:rsidRDefault="00C75418" w:rsidP="00AE14AE">
            <w:pPr>
              <w:pStyle w:val="FootnoteText"/>
              <w:numPr>
                <w:ilvl w:val="0"/>
                <w:numId w:val="72"/>
              </w:numPr>
              <w:cnfStyle w:val="000000100000" w:firstRow="0" w:lastRow="0" w:firstColumn="0" w:lastColumn="0" w:oddVBand="0" w:evenVBand="0" w:oddHBand="1" w:evenHBand="0" w:firstRowFirstColumn="0" w:firstRowLastColumn="0" w:lastRowFirstColumn="0" w:lastRowLastColumn="0"/>
              <w:rPr>
                <w:lang w:val="pt-PT" w:eastAsia="ja-JP"/>
              </w:rPr>
            </w:pPr>
            <w:r w:rsidRPr="00292532">
              <w:rPr>
                <w:lang w:val="pt-PT" w:eastAsia="ja-JP"/>
              </w:rPr>
              <w:lastRenderedPageBreak/>
              <w:t>Organização política e administrativa</w:t>
            </w:r>
          </w:p>
          <w:p w14:paraId="36D20B9A" w14:textId="13BDCEC4" w:rsidR="00EA6997" w:rsidRPr="00292532" w:rsidRDefault="00CC33C6" w:rsidP="00AE14AE">
            <w:pPr>
              <w:pStyle w:val="FootnoteText"/>
              <w:numPr>
                <w:ilvl w:val="0"/>
                <w:numId w:val="72"/>
              </w:numPr>
              <w:cnfStyle w:val="000000100000" w:firstRow="0" w:lastRow="0" w:firstColumn="0" w:lastColumn="0" w:oddVBand="0" w:evenVBand="0" w:oddHBand="1" w:evenHBand="0" w:firstRowFirstColumn="0" w:firstRowLastColumn="0" w:lastRowFirstColumn="0" w:lastRowLastColumn="0"/>
              <w:rPr>
                <w:lang w:val="pt-PT" w:eastAsia="ja-JP"/>
              </w:rPr>
            </w:pPr>
            <w:r w:rsidRPr="00292532">
              <w:rPr>
                <w:lang w:val="pt-PT" w:eastAsia="ja-JP"/>
              </w:rPr>
              <w:t>Demografia, População</w:t>
            </w:r>
            <w:r w:rsidR="00EA6997" w:rsidRPr="00292532">
              <w:rPr>
                <w:lang w:val="pt-PT" w:eastAsia="ja-JP"/>
              </w:rPr>
              <w:t>, minorias, grupos étnicos</w:t>
            </w:r>
          </w:p>
          <w:p w14:paraId="7D52CB03" w14:textId="423D091C" w:rsidR="00926D14" w:rsidRPr="00292532" w:rsidRDefault="00926D14" w:rsidP="00AE14AE">
            <w:pPr>
              <w:pStyle w:val="FootnoteText"/>
              <w:numPr>
                <w:ilvl w:val="0"/>
                <w:numId w:val="72"/>
              </w:numPr>
              <w:cnfStyle w:val="000000100000" w:firstRow="0" w:lastRow="0" w:firstColumn="0" w:lastColumn="0" w:oddVBand="0" w:evenVBand="0" w:oddHBand="1" w:evenHBand="0" w:firstRowFirstColumn="0" w:firstRowLastColumn="0" w:lastRowFirstColumn="0" w:lastRowLastColumn="0"/>
              <w:rPr>
                <w:lang w:val="pt-PT" w:eastAsia="ja-JP"/>
              </w:rPr>
            </w:pPr>
            <w:r w:rsidRPr="00292532">
              <w:rPr>
                <w:lang w:val="pt-PT" w:eastAsia="ja-JP"/>
              </w:rPr>
              <w:t>Questões de género</w:t>
            </w:r>
          </w:p>
          <w:p w14:paraId="1DB4D51A" w14:textId="270D1A29" w:rsidR="00EA6997" w:rsidRPr="00292532" w:rsidRDefault="009F1627" w:rsidP="00AE14AE">
            <w:pPr>
              <w:pStyle w:val="FootnoteText"/>
              <w:numPr>
                <w:ilvl w:val="0"/>
                <w:numId w:val="72"/>
              </w:numPr>
              <w:cnfStyle w:val="000000100000" w:firstRow="0" w:lastRow="0" w:firstColumn="0" w:lastColumn="0" w:oddVBand="0" w:evenVBand="0" w:oddHBand="1" w:evenHBand="0" w:firstRowFirstColumn="0" w:firstRowLastColumn="0" w:lastRowFirstColumn="0" w:lastRowLastColumn="0"/>
              <w:rPr>
                <w:lang w:val="pt-PT" w:eastAsia="ja-JP"/>
              </w:rPr>
            </w:pPr>
            <w:r w:rsidRPr="00292532">
              <w:rPr>
                <w:lang w:val="pt-PT" w:eastAsia="ja-JP"/>
              </w:rPr>
              <w:t>M</w:t>
            </w:r>
            <w:r w:rsidR="00EA6997" w:rsidRPr="00292532">
              <w:rPr>
                <w:lang w:val="pt-PT" w:eastAsia="ja-JP"/>
              </w:rPr>
              <w:t>igração</w:t>
            </w:r>
          </w:p>
          <w:p w14:paraId="25D88659" w14:textId="62253C78" w:rsidR="00EA6997" w:rsidRPr="00292532" w:rsidRDefault="009F1627" w:rsidP="00AE14AE">
            <w:pPr>
              <w:pStyle w:val="FootnoteText"/>
              <w:numPr>
                <w:ilvl w:val="0"/>
                <w:numId w:val="72"/>
              </w:numPr>
              <w:cnfStyle w:val="000000100000" w:firstRow="0" w:lastRow="0" w:firstColumn="0" w:lastColumn="0" w:oddVBand="0" w:evenVBand="0" w:oddHBand="1" w:evenHBand="0" w:firstRowFirstColumn="0" w:firstRowLastColumn="0" w:lastRowFirstColumn="0" w:lastRowLastColumn="0"/>
              <w:rPr>
                <w:lang w:val="pt-PT" w:eastAsia="ja-JP"/>
              </w:rPr>
            </w:pPr>
            <w:r w:rsidRPr="00292532">
              <w:rPr>
                <w:lang w:val="pt-PT" w:eastAsia="ja-JP"/>
              </w:rPr>
              <w:lastRenderedPageBreak/>
              <w:t>S</w:t>
            </w:r>
            <w:r w:rsidR="00EA6997" w:rsidRPr="00292532">
              <w:rPr>
                <w:lang w:val="pt-PT" w:eastAsia="ja-JP"/>
              </w:rPr>
              <w:t>istema</w:t>
            </w:r>
            <w:r w:rsidR="004A443B" w:rsidRPr="00292532">
              <w:rPr>
                <w:lang w:val="pt-PT" w:eastAsia="ja-JP"/>
              </w:rPr>
              <w:t>s</w:t>
            </w:r>
            <w:r w:rsidR="00EA6997" w:rsidRPr="00292532">
              <w:rPr>
                <w:lang w:val="pt-PT" w:eastAsia="ja-JP"/>
              </w:rPr>
              <w:t xml:space="preserve"> de ensino</w:t>
            </w:r>
          </w:p>
          <w:p w14:paraId="6058CA2B" w14:textId="2B747E12" w:rsidR="00EA6997" w:rsidRPr="00292532" w:rsidRDefault="009F1627" w:rsidP="00AE14AE">
            <w:pPr>
              <w:pStyle w:val="FootnoteText"/>
              <w:numPr>
                <w:ilvl w:val="0"/>
                <w:numId w:val="72"/>
              </w:numPr>
              <w:cnfStyle w:val="000000100000" w:firstRow="0" w:lastRow="0" w:firstColumn="0" w:lastColumn="0" w:oddVBand="0" w:evenVBand="0" w:oddHBand="1" w:evenHBand="0" w:firstRowFirstColumn="0" w:firstRowLastColumn="0" w:lastRowFirstColumn="0" w:lastRowLastColumn="0"/>
              <w:rPr>
                <w:lang w:val="pt-PT" w:eastAsia="ja-JP"/>
              </w:rPr>
            </w:pPr>
            <w:r w:rsidRPr="00292532">
              <w:rPr>
                <w:lang w:val="pt-PT" w:eastAsia="ja-JP"/>
              </w:rPr>
              <w:t>T</w:t>
            </w:r>
            <w:r w:rsidR="00EA6997" w:rsidRPr="00292532">
              <w:rPr>
                <w:lang w:val="pt-PT" w:eastAsia="ja-JP"/>
              </w:rPr>
              <w:t>axas de pobreza</w:t>
            </w:r>
            <w:r w:rsidR="009505A1" w:rsidRPr="00292532">
              <w:rPr>
                <w:lang w:val="pt-PT" w:eastAsia="ja-JP"/>
              </w:rPr>
              <w:t>, emprego</w:t>
            </w:r>
          </w:p>
          <w:p w14:paraId="6E3AA9BE" w14:textId="3FD5E21B" w:rsidR="00EA6997" w:rsidRPr="00292532" w:rsidRDefault="00EA6997" w:rsidP="00AE14AE">
            <w:pPr>
              <w:pStyle w:val="FootnoteText"/>
              <w:numPr>
                <w:ilvl w:val="0"/>
                <w:numId w:val="72"/>
              </w:numPr>
              <w:cnfStyle w:val="000000100000" w:firstRow="0" w:lastRow="0" w:firstColumn="0" w:lastColumn="0" w:oddVBand="0" w:evenVBand="0" w:oddHBand="1" w:evenHBand="0" w:firstRowFirstColumn="0" w:firstRowLastColumn="0" w:lastRowFirstColumn="0" w:lastRowLastColumn="0"/>
              <w:rPr>
                <w:lang w:val="pt-PT" w:eastAsia="ja-JP"/>
              </w:rPr>
            </w:pPr>
            <w:r w:rsidRPr="00292532">
              <w:rPr>
                <w:lang w:val="pt-PT" w:eastAsia="ja-JP"/>
              </w:rPr>
              <w:t xml:space="preserve"> Serviços de abastecimento de água e saneamento</w:t>
            </w:r>
          </w:p>
          <w:p w14:paraId="721C797B" w14:textId="3575C5A8" w:rsidR="00EA6997" w:rsidRPr="00292532" w:rsidRDefault="00EA6997" w:rsidP="00AE14AE">
            <w:pPr>
              <w:pStyle w:val="FootnoteText"/>
              <w:numPr>
                <w:ilvl w:val="0"/>
                <w:numId w:val="72"/>
              </w:numPr>
              <w:cnfStyle w:val="000000100000" w:firstRow="0" w:lastRow="0" w:firstColumn="0" w:lastColumn="0" w:oddVBand="0" w:evenVBand="0" w:oddHBand="1" w:evenHBand="0" w:firstRowFirstColumn="0" w:firstRowLastColumn="0" w:lastRowFirstColumn="0" w:lastRowLastColumn="0"/>
              <w:rPr>
                <w:lang w:val="pt-PT" w:eastAsia="ja-JP"/>
              </w:rPr>
            </w:pPr>
            <w:r w:rsidRPr="00292532">
              <w:rPr>
                <w:lang w:val="pt-PT" w:eastAsia="ja-JP"/>
              </w:rPr>
              <w:t>Uso e ocupação do solo</w:t>
            </w:r>
          </w:p>
          <w:p w14:paraId="23290420" w14:textId="050189B8" w:rsidR="00EA6997" w:rsidRPr="00292532" w:rsidRDefault="00EA6997" w:rsidP="00AE14AE">
            <w:pPr>
              <w:pStyle w:val="FootnoteText"/>
              <w:numPr>
                <w:ilvl w:val="0"/>
                <w:numId w:val="72"/>
              </w:numPr>
              <w:cnfStyle w:val="000000100000" w:firstRow="0" w:lastRow="0" w:firstColumn="0" w:lastColumn="0" w:oddVBand="0" w:evenVBand="0" w:oddHBand="1" w:evenHBand="0" w:firstRowFirstColumn="0" w:firstRowLastColumn="0" w:lastRowFirstColumn="0" w:lastRowLastColumn="0"/>
              <w:rPr>
                <w:lang w:val="pt-PT" w:eastAsia="ja-JP"/>
              </w:rPr>
            </w:pPr>
            <w:proofErr w:type="spellStart"/>
            <w:r w:rsidRPr="00292532">
              <w:rPr>
                <w:lang w:val="pt-PT" w:eastAsia="ja-JP"/>
              </w:rPr>
              <w:t>Actividades</w:t>
            </w:r>
            <w:proofErr w:type="spellEnd"/>
            <w:r w:rsidRPr="00292532">
              <w:rPr>
                <w:lang w:val="pt-PT" w:eastAsia="ja-JP"/>
              </w:rPr>
              <w:t xml:space="preserve"> económicas</w:t>
            </w:r>
          </w:p>
          <w:p w14:paraId="3AACF227" w14:textId="77777777" w:rsidR="00EA6997" w:rsidRPr="00292532" w:rsidRDefault="00EA6997" w:rsidP="00AE14AE">
            <w:pPr>
              <w:pStyle w:val="FootnoteText"/>
              <w:numPr>
                <w:ilvl w:val="0"/>
                <w:numId w:val="72"/>
              </w:numPr>
              <w:cnfStyle w:val="000000100000" w:firstRow="0" w:lastRow="0" w:firstColumn="0" w:lastColumn="0" w:oddVBand="0" w:evenVBand="0" w:oddHBand="1" w:evenHBand="0" w:firstRowFirstColumn="0" w:firstRowLastColumn="0" w:lastRowFirstColumn="0" w:lastRowLastColumn="0"/>
              <w:rPr>
                <w:lang w:val="pt-PT" w:eastAsia="ja-JP"/>
              </w:rPr>
            </w:pPr>
            <w:r w:rsidRPr="00292532">
              <w:rPr>
                <w:lang w:val="pt-PT" w:eastAsia="ja-JP"/>
              </w:rPr>
              <w:t xml:space="preserve">Uso de recursos naturais </w:t>
            </w:r>
          </w:p>
          <w:p w14:paraId="406F7393" w14:textId="77777777" w:rsidR="00EA6997" w:rsidRPr="00292532" w:rsidRDefault="00EA6997" w:rsidP="00AE14AE">
            <w:pPr>
              <w:pStyle w:val="FootnoteText"/>
              <w:numPr>
                <w:ilvl w:val="0"/>
                <w:numId w:val="72"/>
              </w:numPr>
              <w:cnfStyle w:val="000000100000" w:firstRow="0" w:lastRow="0" w:firstColumn="0" w:lastColumn="0" w:oddVBand="0" w:evenVBand="0" w:oddHBand="1" w:evenHBand="0" w:firstRowFirstColumn="0" w:firstRowLastColumn="0" w:lastRowFirstColumn="0" w:lastRowLastColumn="0"/>
              <w:rPr>
                <w:lang w:val="pt-PT" w:eastAsia="ja-JP"/>
              </w:rPr>
            </w:pPr>
            <w:r w:rsidRPr="00292532">
              <w:rPr>
                <w:lang w:val="pt-PT" w:eastAsia="ja-JP"/>
              </w:rPr>
              <w:t>Serviços e sistemas de saúde</w:t>
            </w:r>
          </w:p>
          <w:p w14:paraId="3C7720D5" w14:textId="77777777" w:rsidR="00926D14" w:rsidRPr="00292532" w:rsidRDefault="00926D14" w:rsidP="00AE14AE">
            <w:pPr>
              <w:pStyle w:val="FootnoteText"/>
              <w:numPr>
                <w:ilvl w:val="0"/>
                <w:numId w:val="72"/>
              </w:numPr>
              <w:cnfStyle w:val="000000100000" w:firstRow="0" w:lastRow="0" w:firstColumn="0" w:lastColumn="0" w:oddVBand="0" w:evenVBand="0" w:oddHBand="1" w:evenHBand="0" w:firstRowFirstColumn="0" w:firstRowLastColumn="0" w:lastRowFirstColumn="0" w:lastRowLastColumn="0"/>
              <w:rPr>
                <w:lang w:val="pt-PT" w:eastAsia="ja-JP"/>
              </w:rPr>
            </w:pPr>
            <w:r w:rsidRPr="00292532">
              <w:rPr>
                <w:lang w:val="pt-PT" w:eastAsia="ja-JP"/>
              </w:rPr>
              <w:t>Cultura e crenças</w:t>
            </w:r>
          </w:p>
          <w:p w14:paraId="465052DE" w14:textId="7C0323E8" w:rsidR="00926D14" w:rsidRPr="00292532" w:rsidRDefault="00926D14" w:rsidP="00AE14AE">
            <w:pPr>
              <w:pStyle w:val="FootnoteText"/>
              <w:numPr>
                <w:ilvl w:val="0"/>
                <w:numId w:val="72"/>
              </w:numPr>
              <w:cnfStyle w:val="000000100000" w:firstRow="0" w:lastRow="0" w:firstColumn="0" w:lastColumn="0" w:oddVBand="0" w:evenVBand="0" w:oddHBand="1" w:evenHBand="0" w:firstRowFirstColumn="0" w:firstRowLastColumn="0" w:lastRowFirstColumn="0" w:lastRowLastColumn="0"/>
              <w:rPr>
                <w:lang w:val="pt-PT" w:eastAsia="ja-JP"/>
              </w:rPr>
            </w:pPr>
            <w:r w:rsidRPr="00292532">
              <w:rPr>
                <w:lang w:val="pt-PT" w:eastAsia="ja-JP"/>
              </w:rPr>
              <w:t>Meios de sobrevivência</w:t>
            </w:r>
          </w:p>
        </w:tc>
      </w:tr>
      <w:tr w:rsidR="00EA6997" w:rsidRPr="00292532" w14:paraId="20AA0ED5" w14:textId="77777777" w:rsidTr="00B36A25">
        <w:tc>
          <w:tcPr>
            <w:cnfStyle w:val="001000000000" w:firstRow="0" w:lastRow="0" w:firstColumn="1" w:lastColumn="0" w:oddVBand="0" w:evenVBand="0" w:oddHBand="0" w:evenHBand="0" w:firstRowFirstColumn="0" w:firstRowLastColumn="0" w:lastRowFirstColumn="0" w:lastRowLastColumn="0"/>
            <w:tcW w:w="2831" w:type="dxa"/>
          </w:tcPr>
          <w:p w14:paraId="0416E7C4" w14:textId="77777777" w:rsidR="00EA6997" w:rsidRPr="00292532" w:rsidRDefault="00EA6997" w:rsidP="00FD734E">
            <w:pPr>
              <w:pStyle w:val="FootnoteText"/>
              <w:rPr>
                <w:lang w:val="pt-PT" w:eastAsia="ja-JP"/>
              </w:rPr>
            </w:pPr>
          </w:p>
        </w:tc>
        <w:tc>
          <w:tcPr>
            <w:tcW w:w="2831" w:type="dxa"/>
          </w:tcPr>
          <w:p w14:paraId="7DC5FAC1" w14:textId="77777777" w:rsidR="00EA6997" w:rsidRPr="00292532" w:rsidRDefault="00EA6997" w:rsidP="00FD734E">
            <w:pPr>
              <w:pStyle w:val="FootnoteText"/>
              <w:cnfStyle w:val="000000000000" w:firstRow="0" w:lastRow="0" w:firstColumn="0" w:lastColumn="0" w:oddVBand="0" w:evenVBand="0" w:oddHBand="0" w:evenHBand="0" w:firstRowFirstColumn="0" w:firstRowLastColumn="0" w:lastRowFirstColumn="0" w:lastRowLastColumn="0"/>
              <w:rPr>
                <w:lang w:val="pt-PT" w:eastAsia="ja-JP"/>
              </w:rPr>
            </w:pPr>
          </w:p>
        </w:tc>
        <w:tc>
          <w:tcPr>
            <w:tcW w:w="3063" w:type="dxa"/>
          </w:tcPr>
          <w:p w14:paraId="2F31B2EE" w14:textId="77777777" w:rsidR="00EA6997" w:rsidRPr="00292532" w:rsidRDefault="00EA6997" w:rsidP="00FD734E">
            <w:pPr>
              <w:pStyle w:val="FootnoteText"/>
              <w:cnfStyle w:val="000000000000" w:firstRow="0" w:lastRow="0" w:firstColumn="0" w:lastColumn="0" w:oddVBand="0" w:evenVBand="0" w:oddHBand="0" w:evenHBand="0" w:firstRowFirstColumn="0" w:firstRowLastColumn="0" w:lastRowFirstColumn="0" w:lastRowLastColumn="0"/>
              <w:rPr>
                <w:lang w:val="pt-PT" w:eastAsia="ja-JP"/>
              </w:rPr>
            </w:pPr>
          </w:p>
        </w:tc>
      </w:tr>
    </w:tbl>
    <w:p w14:paraId="24B453DD" w14:textId="77777777" w:rsidR="00EA6997" w:rsidRPr="00292532" w:rsidRDefault="00EA6997" w:rsidP="00FD734E">
      <w:pPr>
        <w:pStyle w:val="FootnoteText"/>
        <w:rPr>
          <w:sz w:val="22"/>
          <w:szCs w:val="22"/>
          <w:lang w:val="pt-PT" w:eastAsia="ja-JP"/>
        </w:rPr>
      </w:pPr>
    </w:p>
    <w:p w14:paraId="33122321" w14:textId="0F3A5EB7" w:rsidR="00C9567A" w:rsidRPr="00292532" w:rsidRDefault="00C9567A" w:rsidP="00FD734E">
      <w:pPr>
        <w:pStyle w:val="FootnoteText"/>
        <w:rPr>
          <w:i/>
          <w:iCs/>
          <w:sz w:val="22"/>
          <w:szCs w:val="22"/>
          <w:lang w:val="pt-PT" w:eastAsia="ja-JP"/>
        </w:rPr>
      </w:pPr>
      <w:r w:rsidRPr="00292532">
        <w:rPr>
          <w:i/>
          <w:iCs/>
          <w:sz w:val="22"/>
          <w:szCs w:val="22"/>
          <w:lang w:val="pt-PT" w:eastAsia="ja-JP"/>
        </w:rPr>
        <w:t xml:space="preserve">Identificação e Avaliação de Riscos e dos Impactos </w:t>
      </w:r>
      <w:r w:rsidR="00CC33C6" w:rsidRPr="00292532">
        <w:rPr>
          <w:i/>
          <w:iCs/>
          <w:sz w:val="22"/>
          <w:szCs w:val="22"/>
          <w:lang w:val="pt-PT" w:eastAsia="ja-JP"/>
        </w:rPr>
        <w:t>Ambientais e</w:t>
      </w:r>
      <w:r w:rsidR="00AE4A73" w:rsidRPr="00292532">
        <w:rPr>
          <w:i/>
          <w:iCs/>
          <w:sz w:val="22"/>
          <w:szCs w:val="22"/>
          <w:lang w:val="pt-PT" w:eastAsia="ja-JP"/>
        </w:rPr>
        <w:t xml:space="preserve"> Sociais e Medidas de Mitigação</w:t>
      </w:r>
    </w:p>
    <w:p w14:paraId="3330B7BB" w14:textId="77777777" w:rsidR="0077535C" w:rsidRPr="00292532" w:rsidRDefault="0077535C" w:rsidP="0077535C">
      <w:pPr>
        <w:overflowPunct w:val="0"/>
        <w:autoSpaceDE w:val="0"/>
        <w:autoSpaceDN w:val="0"/>
        <w:adjustRightInd w:val="0"/>
        <w:spacing w:before="0" w:after="0" w:line="264" w:lineRule="auto"/>
        <w:jc w:val="left"/>
        <w:rPr>
          <w:rFonts w:ascii="Book Antiqua" w:eastAsia="Times New Roman" w:hAnsi="Book Antiqua" w:cs="Times New Roman"/>
          <w:szCs w:val="20"/>
          <w:lang w:val="pt-PT" w:eastAsia="en-GB"/>
        </w:rPr>
      </w:pPr>
    </w:p>
    <w:p w14:paraId="39EE0FF6" w14:textId="7215082B" w:rsidR="00CD1C60" w:rsidRPr="00292532" w:rsidRDefault="0077535C" w:rsidP="00AE4A73">
      <w:pPr>
        <w:overflowPunct w:val="0"/>
        <w:autoSpaceDE w:val="0"/>
        <w:autoSpaceDN w:val="0"/>
        <w:adjustRightInd w:val="0"/>
        <w:spacing w:before="0" w:after="0" w:line="264" w:lineRule="auto"/>
        <w:rPr>
          <w:rFonts w:eastAsia="Times New Roman" w:cs="Times New Roman"/>
          <w:szCs w:val="20"/>
          <w:lang w:val="pt-PT" w:eastAsia="en-GB"/>
        </w:rPr>
      </w:pPr>
      <w:r w:rsidRPr="00292532">
        <w:rPr>
          <w:rFonts w:eastAsia="Times New Roman" w:cs="Times New Roman"/>
          <w:szCs w:val="20"/>
          <w:lang w:val="pt-PT" w:eastAsia="en-GB"/>
        </w:rPr>
        <w:t xml:space="preserve">Os potenciais impactos ambientais e sociais do </w:t>
      </w:r>
      <w:proofErr w:type="spellStart"/>
      <w:r w:rsidRPr="00292532">
        <w:rPr>
          <w:rFonts w:eastAsia="Times New Roman" w:cs="Times New Roman"/>
          <w:szCs w:val="20"/>
          <w:lang w:val="pt-PT" w:eastAsia="en-GB"/>
        </w:rPr>
        <w:t>Projecto</w:t>
      </w:r>
      <w:proofErr w:type="spellEnd"/>
      <w:r w:rsidRPr="00292532">
        <w:rPr>
          <w:rFonts w:eastAsia="Times New Roman" w:cs="Times New Roman"/>
          <w:szCs w:val="20"/>
          <w:lang w:val="pt-PT" w:eastAsia="en-GB"/>
        </w:rPr>
        <w:t xml:space="preserve"> </w:t>
      </w:r>
      <w:r w:rsidR="00AE4A73" w:rsidRPr="00292532">
        <w:rPr>
          <w:rFonts w:eastAsia="Times New Roman" w:cs="Times New Roman"/>
          <w:szCs w:val="20"/>
          <w:lang w:val="pt-PT" w:eastAsia="en-GB"/>
        </w:rPr>
        <w:t>devem ser identificados e classificados.</w:t>
      </w:r>
      <w:r w:rsidR="004B4E0F" w:rsidRPr="00292532">
        <w:rPr>
          <w:rFonts w:eastAsia="Times New Roman" w:cs="Times New Roman"/>
          <w:szCs w:val="20"/>
          <w:lang w:val="pt-PT" w:eastAsia="en-GB"/>
        </w:rPr>
        <w:t xml:space="preserve"> A identificação dos impactos e riscos deve considerar os riscos introduzidos </w:t>
      </w:r>
      <w:proofErr w:type="spellStart"/>
      <w:r w:rsidR="004B4E0F" w:rsidRPr="00292532">
        <w:rPr>
          <w:rFonts w:eastAsia="Times New Roman" w:cs="Times New Roman"/>
          <w:szCs w:val="20"/>
          <w:lang w:val="pt-PT" w:eastAsia="en-GB"/>
        </w:rPr>
        <w:t>directamente</w:t>
      </w:r>
      <w:proofErr w:type="spellEnd"/>
      <w:r w:rsidR="004B4E0F" w:rsidRPr="00292532">
        <w:rPr>
          <w:rFonts w:eastAsia="Times New Roman" w:cs="Times New Roman"/>
          <w:szCs w:val="20"/>
          <w:lang w:val="pt-PT" w:eastAsia="en-GB"/>
        </w:rPr>
        <w:t xml:space="preserve"> pelas </w:t>
      </w:r>
      <w:proofErr w:type="spellStart"/>
      <w:r w:rsidR="004B4E0F" w:rsidRPr="00292532">
        <w:rPr>
          <w:rFonts w:eastAsia="Times New Roman" w:cs="Times New Roman"/>
          <w:szCs w:val="20"/>
          <w:lang w:val="pt-PT" w:eastAsia="en-GB"/>
        </w:rPr>
        <w:t>Projecto</w:t>
      </w:r>
      <w:proofErr w:type="spellEnd"/>
      <w:r w:rsidR="004B4E0F" w:rsidRPr="00292532">
        <w:rPr>
          <w:rFonts w:eastAsia="Times New Roman" w:cs="Times New Roman"/>
          <w:szCs w:val="20"/>
          <w:lang w:val="pt-PT" w:eastAsia="en-GB"/>
        </w:rPr>
        <w:t xml:space="preserve"> e suas </w:t>
      </w:r>
      <w:proofErr w:type="spellStart"/>
      <w:r w:rsidR="004B4E0F" w:rsidRPr="00292532">
        <w:rPr>
          <w:rFonts w:eastAsia="Times New Roman" w:cs="Times New Roman"/>
          <w:szCs w:val="20"/>
          <w:lang w:val="pt-PT" w:eastAsia="en-GB"/>
        </w:rPr>
        <w:t>actividades</w:t>
      </w:r>
      <w:proofErr w:type="spellEnd"/>
      <w:r w:rsidR="004B4E0F" w:rsidRPr="00292532">
        <w:rPr>
          <w:rFonts w:eastAsia="Times New Roman" w:cs="Times New Roman"/>
          <w:szCs w:val="20"/>
          <w:lang w:val="pt-PT" w:eastAsia="en-GB"/>
        </w:rPr>
        <w:t xml:space="preserve">, a sensibilidade ambiental e social das áreas de abrangência do </w:t>
      </w:r>
      <w:proofErr w:type="spellStart"/>
      <w:r w:rsidR="004B4E0F" w:rsidRPr="00292532">
        <w:rPr>
          <w:rFonts w:eastAsia="Times New Roman" w:cs="Times New Roman"/>
          <w:szCs w:val="20"/>
          <w:lang w:val="pt-PT" w:eastAsia="en-GB"/>
        </w:rPr>
        <w:t>Projecto</w:t>
      </w:r>
      <w:proofErr w:type="spellEnd"/>
      <w:r w:rsidR="004B4E0F" w:rsidRPr="00292532">
        <w:rPr>
          <w:rFonts w:eastAsia="Times New Roman" w:cs="Times New Roman"/>
          <w:szCs w:val="20"/>
          <w:lang w:val="pt-PT" w:eastAsia="en-GB"/>
        </w:rPr>
        <w:t xml:space="preserve"> assim como os resultados de estudos ambientais e sociais prévios, nomeadamente QGAS, QPR</w:t>
      </w:r>
      <w:r w:rsidR="00497045" w:rsidRPr="00292532">
        <w:rPr>
          <w:rFonts w:eastAsia="Times New Roman" w:cs="Times New Roman"/>
          <w:szCs w:val="20"/>
          <w:lang w:val="pt-PT" w:eastAsia="en-GB"/>
        </w:rPr>
        <w:t xml:space="preserve"> e processos de participação pública realizados. Os riscos e impactos relevantes para as Normas Ambientais e Sociais do Banco Mundial devem ser devidamente identificados e classificados.</w:t>
      </w:r>
      <w:r w:rsidR="00CD1C60" w:rsidRPr="00292532">
        <w:rPr>
          <w:rFonts w:eastAsia="Times New Roman" w:cs="Times New Roman"/>
          <w:szCs w:val="20"/>
          <w:lang w:val="pt-PT" w:eastAsia="en-GB"/>
        </w:rPr>
        <w:t xml:space="preserve"> Os impactos cumulativos e percetíveis do </w:t>
      </w:r>
      <w:proofErr w:type="spellStart"/>
      <w:r w:rsidR="00CD1C60" w:rsidRPr="00292532">
        <w:rPr>
          <w:rFonts w:eastAsia="Times New Roman" w:cs="Times New Roman"/>
          <w:szCs w:val="20"/>
          <w:lang w:val="pt-PT" w:eastAsia="en-GB"/>
        </w:rPr>
        <w:t>Projecto</w:t>
      </w:r>
      <w:proofErr w:type="spellEnd"/>
      <w:r w:rsidR="00CD1C60" w:rsidRPr="00292532">
        <w:rPr>
          <w:rFonts w:eastAsia="Times New Roman" w:cs="Times New Roman"/>
          <w:szCs w:val="20"/>
          <w:lang w:val="pt-PT" w:eastAsia="en-GB"/>
        </w:rPr>
        <w:t xml:space="preserve"> devem ser igualmente analisados.</w:t>
      </w:r>
    </w:p>
    <w:p w14:paraId="43D72673" w14:textId="77777777" w:rsidR="004B4E0F" w:rsidRPr="00292532" w:rsidRDefault="004B4E0F" w:rsidP="00AE4A73">
      <w:pPr>
        <w:overflowPunct w:val="0"/>
        <w:autoSpaceDE w:val="0"/>
        <w:autoSpaceDN w:val="0"/>
        <w:adjustRightInd w:val="0"/>
        <w:spacing w:before="0" w:after="0" w:line="264" w:lineRule="auto"/>
        <w:rPr>
          <w:rFonts w:eastAsia="Times New Roman" w:cs="Times New Roman"/>
          <w:szCs w:val="20"/>
          <w:lang w:val="pt-PT" w:eastAsia="en-GB"/>
        </w:rPr>
      </w:pPr>
    </w:p>
    <w:p w14:paraId="6A7D42C3" w14:textId="5079FB64" w:rsidR="00AE4A73" w:rsidRPr="00292532" w:rsidRDefault="00AE4A73" w:rsidP="00AE4A73">
      <w:pPr>
        <w:overflowPunct w:val="0"/>
        <w:autoSpaceDE w:val="0"/>
        <w:autoSpaceDN w:val="0"/>
        <w:adjustRightInd w:val="0"/>
        <w:spacing w:before="0" w:after="0" w:line="264" w:lineRule="auto"/>
        <w:rPr>
          <w:lang w:val="pt-PT" w:eastAsia="ja-JP"/>
        </w:rPr>
      </w:pPr>
      <w:r w:rsidRPr="00292532">
        <w:rPr>
          <w:rFonts w:eastAsia="Times New Roman" w:cs="Times New Roman"/>
          <w:szCs w:val="20"/>
          <w:lang w:val="pt-PT" w:eastAsia="en-GB"/>
        </w:rPr>
        <w:t xml:space="preserve"> A avaliação dos impact</w:t>
      </w:r>
      <w:r w:rsidR="007B44A6" w:rsidRPr="00292532">
        <w:rPr>
          <w:rFonts w:eastAsia="Times New Roman" w:cs="Times New Roman"/>
          <w:szCs w:val="20"/>
          <w:lang w:val="pt-PT" w:eastAsia="en-GB"/>
        </w:rPr>
        <w:t>o</w:t>
      </w:r>
      <w:r w:rsidRPr="00292532">
        <w:rPr>
          <w:rFonts w:eastAsia="Times New Roman" w:cs="Times New Roman"/>
          <w:szCs w:val="20"/>
          <w:lang w:val="pt-PT" w:eastAsia="en-GB"/>
        </w:rPr>
        <w:t xml:space="preserve">s deverá obedecer uma metodologia de avaliação de riscos e impactos a ser proposta pelos Consultores responsáveis pela AIA. Para fins de referência propõe-se a aplicação de </w:t>
      </w:r>
      <w:r w:rsidRPr="00292532">
        <w:rPr>
          <w:lang w:val="pt-PT" w:eastAsia="ja-JP"/>
        </w:rPr>
        <w:t xml:space="preserve">critérios de classificação dos impactos e riscos, nomeadamente, o estatuto do impacto, probabilidade, extensão, duração, intensidade e significância. Estes critérios irão permitir um planeamento adequado das </w:t>
      </w:r>
      <w:proofErr w:type="spellStart"/>
      <w:r w:rsidRPr="00292532">
        <w:rPr>
          <w:lang w:val="pt-PT" w:eastAsia="ja-JP"/>
        </w:rPr>
        <w:t>acções</w:t>
      </w:r>
      <w:proofErr w:type="spellEnd"/>
      <w:r w:rsidRPr="00292532">
        <w:rPr>
          <w:lang w:val="pt-PT" w:eastAsia="ja-JP"/>
        </w:rPr>
        <w:t xml:space="preserve"> de mitigação e de potencialização, bem como os procedimentos de monitoramento a serem </w:t>
      </w:r>
      <w:proofErr w:type="spellStart"/>
      <w:r w:rsidRPr="00292532">
        <w:rPr>
          <w:lang w:val="pt-PT" w:eastAsia="ja-JP"/>
        </w:rPr>
        <w:t>adoptados</w:t>
      </w:r>
      <w:proofErr w:type="spellEnd"/>
      <w:r w:rsidRPr="00292532">
        <w:rPr>
          <w:lang w:val="pt-PT" w:eastAsia="ja-JP"/>
        </w:rPr>
        <w:t>.</w:t>
      </w:r>
    </w:p>
    <w:p w14:paraId="020472A0" w14:textId="77777777" w:rsidR="00497045" w:rsidRPr="00292532" w:rsidRDefault="00497045" w:rsidP="00AE4A73">
      <w:pPr>
        <w:overflowPunct w:val="0"/>
        <w:autoSpaceDE w:val="0"/>
        <w:autoSpaceDN w:val="0"/>
        <w:adjustRightInd w:val="0"/>
        <w:spacing w:before="0" w:after="0" w:line="264" w:lineRule="auto"/>
        <w:rPr>
          <w:rFonts w:eastAsia="Times New Roman" w:cs="Times New Roman"/>
          <w:szCs w:val="20"/>
          <w:lang w:val="pt-PT" w:eastAsia="en-GB"/>
        </w:rPr>
      </w:pPr>
    </w:p>
    <w:p w14:paraId="20DB27A4" w14:textId="4FBBE090" w:rsidR="007C5244" w:rsidRDefault="00497045" w:rsidP="00AE4A73">
      <w:pPr>
        <w:keepNext/>
        <w:suppressAutoHyphens/>
        <w:spacing w:before="0" w:after="120"/>
        <w:rPr>
          <w:rFonts w:eastAsia="Times New Roman" w:cs="Calibri"/>
          <w:lang w:val="pt-PT" w:eastAsia="it-IT"/>
        </w:rPr>
      </w:pPr>
      <w:r w:rsidRPr="00292532">
        <w:rPr>
          <w:rFonts w:eastAsia="Times New Roman" w:cs="Calibri"/>
          <w:lang w:val="pt-PT" w:eastAsia="it-IT"/>
        </w:rPr>
        <w:lastRenderedPageBreak/>
        <w:t xml:space="preserve">A </w:t>
      </w:r>
      <w:r w:rsidR="00AE4A73" w:rsidRPr="00292532">
        <w:rPr>
          <w:rFonts w:eastAsia="Times New Roman" w:cs="Calibri"/>
          <w:lang w:val="pt-PT" w:eastAsia="it-IT"/>
        </w:rPr>
        <w:t xml:space="preserve">classificação dos impactos obedece os critérios apresentados na </w:t>
      </w:r>
      <w:r w:rsidR="008C11E8" w:rsidRPr="00292532">
        <w:rPr>
          <w:rFonts w:eastAsia="Times New Roman" w:cs="Calibri"/>
          <w:b/>
          <w:bCs/>
          <w:lang w:val="pt-PT" w:eastAsia="it-IT"/>
        </w:rPr>
        <w:t>Tabela 2</w:t>
      </w:r>
      <w:r w:rsidR="00AE4A73" w:rsidRPr="00292532">
        <w:rPr>
          <w:rFonts w:eastAsia="Times New Roman" w:cs="Calibri"/>
          <w:lang w:val="pt-PT" w:eastAsia="it-IT"/>
        </w:rPr>
        <w:t>, abaixo.</w:t>
      </w:r>
    </w:p>
    <w:p w14:paraId="5A960CA0" w14:textId="6C102B40" w:rsidR="00AE4A73" w:rsidRPr="00292532" w:rsidRDefault="00AE4A73" w:rsidP="00AE4A73">
      <w:pPr>
        <w:keepNext/>
        <w:suppressAutoHyphens/>
        <w:spacing w:before="0" w:after="120"/>
        <w:rPr>
          <w:rFonts w:eastAsia="Times New Roman" w:cs="Calibri"/>
          <w:lang w:val="pt-PT" w:eastAsia="it-IT"/>
        </w:rPr>
      </w:pPr>
    </w:p>
    <w:p w14:paraId="496F2CF7" w14:textId="3C8F69C6" w:rsidR="00AE4A73" w:rsidRPr="00292532" w:rsidRDefault="00AE4A73" w:rsidP="00AE4A73">
      <w:pPr>
        <w:pStyle w:val="Caption"/>
      </w:pPr>
      <w:bookmarkStart w:id="532" w:name="_Ref72916874"/>
      <w:r w:rsidRPr="00292532">
        <w:t xml:space="preserve">Tabela </w:t>
      </w:r>
      <w:r w:rsidR="008C11E8" w:rsidRPr="00292532">
        <w:t>2</w:t>
      </w:r>
      <w:bookmarkEnd w:id="532"/>
      <w:r w:rsidRPr="00292532">
        <w:t xml:space="preserve"> Critérios </w:t>
      </w:r>
      <w:r w:rsidR="004A443B" w:rsidRPr="00292532">
        <w:t xml:space="preserve">de </w:t>
      </w:r>
      <w:r w:rsidRPr="00292532">
        <w:t>Classificação dos Impactos</w:t>
      </w:r>
    </w:p>
    <w:tbl>
      <w:tblPr>
        <w:tblStyle w:val="GridTable4-Accent51"/>
        <w:tblW w:w="5000" w:type="pct"/>
        <w:tblLook w:val="01E0" w:firstRow="1" w:lastRow="1" w:firstColumn="1" w:lastColumn="1" w:noHBand="0" w:noVBand="0"/>
      </w:tblPr>
      <w:tblGrid>
        <w:gridCol w:w="1663"/>
        <w:gridCol w:w="6831"/>
      </w:tblGrid>
      <w:tr w:rsidR="00AE4A73" w:rsidRPr="00292532" w14:paraId="3B7A9B50" w14:textId="77777777" w:rsidTr="00A153CE">
        <w:trPr>
          <w:cnfStyle w:val="100000000000" w:firstRow="1" w:lastRow="0" w:firstColumn="0" w:lastColumn="0" w:oddVBand="0" w:evenVBand="0" w:oddHBand="0" w:evenHBand="0" w:firstRowFirstColumn="0" w:firstRowLastColumn="0" w:lastRowFirstColumn="0" w:lastRowLastColumn="0"/>
          <w:trHeight w:val="616"/>
          <w:tblHeader/>
        </w:trPr>
        <w:tc>
          <w:tcPr>
            <w:cnfStyle w:val="001000000000" w:firstRow="0" w:lastRow="0" w:firstColumn="1" w:lastColumn="0" w:oddVBand="0" w:evenVBand="0" w:oddHBand="0" w:evenHBand="0" w:firstRowFirstColumn="0" w:firstRowLastColumn="0" w:lastRowFirstColumn="0" w:lastRowLastColumn="0"/>
            <w:tcW w:w="979" w:type="pct"/>
          </w:tcPr>
          <w:p w14:paraId="491CED93" w14:textId="77777777" w:rsidR="00AE4A73" w:rsidRPr="00292532" w:rsidRDefault="00AE4A73" w:rsidP="0093465A">
            <w:pPr>
              <w:suppressAutoHyphens/>
              <w:spacing w:before="60" w:after="60" w:line="240" w:lineRule="atLeast"/>
              <w:jc w:val="left"/>
              <w:rPr>
                <w:rFonts w:eastAsia="Times New Roman" w:cs="Calibri"/>
                <w:lang w:val="pt-PT" w:eastAsia="it-IT"/>
              </w:rPr>
            </w:pPr>
            <w:r w:rsidRPr="00292532">
              <w:rPr>
                <w:rFonts w:eastAsia="Times New Roman" w:cs="Calibri"/>
                <w:lang w:val="pt-PT" w:eastAsia="it-IT"/>
              </w:rPr>
              <w:t>Critérios</w:t>
            </w:r>
          </w:p>
        </w:tc>
        <w:tc>
          <w:tcPr>
            <w:cnfStyle w:val="000100000000" w:firstRow="0" w:lastRow="0" w:firstColumn="0" w:lastColumn="1" w:oddVBand="0" w:evenVBand="0" w:oddHBand="0" w:evenHBand="0" w:firstRowFirstColumn="0" w:firstRowLastColumn="0" w:lastRowFirstColumn="0" w:lastRowLastColumn="0"/>
            <w:tcW w:w="4021" w:type="pct"/>
          </w:tcPr>
          <w:p w14:paraId="75D3052E" w14:textId="77777777" w:rsidR="00AE4A73" w:rsidRPr="00292532" w:rsidRDefault="00AE4A73" w:rsidP="0093465A">
            <w:pPr>
              <w:suppressAutoHyphens/>
              <w:spacing w:before="60" w:after="60" w:line="240" w:lineRule="atLeast"/>
              <w:jc w:val="left"/>
              <w:rPr>
                <w:rFonts w:eastAsia="Times New Roman" w:cs="Calibri"/>
                <w:lang w:val="pt-PT" w:eastAsia="it-IT"/>
              </w:rPr>
            </w:pPr>
            <w:r w:rsidRPr="00292532">
              <w:rPr>
                <w:rFonts w:eastAsia="Times New Roman" w:cs="Calibri"/>
                <w:lang w:val="pt-PT" w:eastAsia="it-IT"/>
              </w:rPr>
              <w:t>Descrição</w:t>
            </w:r>
          </w:p>
        </w:tc>
      </w:tr>
      <w:tr w:rsidR="00AE4A73" w:rsidRPr="008D18CF" w14:paraId="7FE950BE" w14:textId="77777777" w:rsidTr="0093465A">
        <w:trPr>
          <w:cnfStyle w:val="000000100000" w:firstRow="0" w:lastRow="0" w:firstColumn="0" w:lastColumn="0" w:oddVBand="0" w:evenVBand="0" w:oddHBand="1"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979" w:type="pct"/>
          </w:tcPr>
          <w:p w14:paraId="69A53197" w14:textId="1ADB84A5" w:rsidR="00AE4A73" w:rsidRPr="00292532" w:rsidRDefault="00AE4A73" w:rsidP="0093465A">
            <w:pPr>
              <w:suppressAutoHyphens/>
              <w:spacing w:before="60" w:after="60" w:line="240" w:lineRule="atLeast"/>
              <w:jc w:val="left"/>
              <w:rPr>
                <w:rFonts w:eastAsia="Times New Roman" w:cs="Calibri"/>
                <w:bCs w:val="0"/>
                <w:lang w:val="pt-PT" w:eastAsia="it-IT"/>
              </w:rPr>
            </w:pPr>
            <w:r w:rsidRPr="00292532">
              <w:rPr>
                <w:rFonts w:eastAsia="Times New Roman" w:cs="Calibri"/>
                <w:bCs w:val="0"/>
                <w:lang w:val="pt-PT" w:eastAsia="it-IT"/>
              </w:rPr>
              <w:t>Estatu</w:t>
            </w:r>
            <w:r w:rsidR="009F6136" w:rsidRPr="00292532">
              <w:rPr>
                <w:rFonts w:eastAsia="Times New Roman" w:cs="Calibri"/>
                <w:bCs w:val="0"/>
                <w:lang w:val="pt-PT" w:eastAsia="it-IT"/>
              </w:rPr>
              <w:t>t</w:t>
            </w:r>
            <w:r w:rsidRPr="00292532">
              <w:rPr>
                <w:rFonts w:eastAsia="Times New Roman" w:cs="Calibri"/>
                <w:bCs w:val="0"/>
                <w:lang w:val="pt-PT" w:eastAsia="it-IT"/>
              </w:rPr>
              <w:t xml:space="preserve">o </w:t>
            </w:r>
          </w:p>
        </w:tc>
        <w:tc>
          <w:tcPr>
            <w:cnfStyle w:val="000100000000" w:firstRow="0" w:lastRow="0" w:firstColumn="0" w:lastColumn="1" w:oddVBand="0" w:evenVBand="0" w:oddHBand="0" w:evenHBand="0" w:firstRowFirstColumn="0" w:firstRowLastColumn="0" w:lastRowFirstColumn="0" w:lastRowLastColumn="0"/>
            <w:tcW w:w="4021" w:type="pct"/>
          </w:tcPr>
          <w:p w14:paraId="016C4C6B" w14:textId="77777777" w:rsidR="00AE4A73" w:rsidRPr="00292532" w:rsidRDefault="00AE4A73" w:rsidP="0093465A">
            <w:pPr>
              <w:suppressAutoHyphens/>
              <w:spacing w:before="60" w:after="60" w:line="240" w:lineRule="atLeast"/>
              <w:jc w:val="left"/>
              <w:rPr>
                <w:rFonts w:eastAsia="Times New Roman" w:cs="Calibri"/>
                <w:b w:val="0"/>
                <w:lang w:val="pt-PT" w:eastAsia="it-IT"/>
              </w:rPr>
            </w:pPr>
            <w:r w:rsidRPr="00292532">
              <w:rPr>
                <w:rFonts w:eastAsia="Times New Roman" w:cs="Calibri"/>
                <w:b w:val="0"/>
                <w:i/>
                <w:iCs/>
                <w:lang w:val="pt-PT" w:eastAsia="it-IT"/>
              </w:rPr>
              <w:t>Positivo:</w:t>
            </w:r>
            <w:r w:rsidRPr="00292532">
              <w:rPr>
                <w:rFonts w:eastAsia="Times New Roman" w:cs="Calibri"/>
                <w:b w:val="0"/>
                <w:lang w:val="pt-PT" w:eastAsia="it-IT"/>
              </w:rPr>
              <w:t xml:space="preserve"> mudança Ambiental benéfica</w:t>
            </w:r>
          </w:p>
          <w:p w14:paraId="32BC6131" w14:textId="77777777" w:rsidR="00AE4A73" w:rsidRPr="00292532" w:rsidRDefault="00AE4A73" w:rsidP="0093465A">
            <w:pPr>
              <w:suppressAutoHyphens/>
              <w:spacing w:before="60" w:after="60" w:line="240" w:lineRule="atLeast"/>
              <w:jc w:val="left"/>
              <w:rPr>
                <w:rFonts w:eastAsia="Times New Roman" w:cs="Calibri"/>
                <w:b w:val="0"/>
                <w:lang w:val="pt-PT" w:eastAsia="it-IT"/>
              </w:rPr>
            </w:pPr>
            <w:r w:rsidRPr="00292532">
              <w:rPr>
                <w:rFonts w:eastAsia="Times New Roman" w:cs="Calibri"/>
                <w:b w:val="0"/>
                <w:i/>
                <w:iCs/>
                <w:lang w:val="pt-PT" w:eastAsia="it-IT"/>
              </w:rPr>
              <w:t>Negativo:</w:t>
            </w:r>
            <w:r w:rsidRPr="00292532">
              <w:rPr>
                <w:rFonts w:eastAsia="Times New Roman" w:cs="Calibri"/>
                <w:b w:val="0"/>
                <w:lang w:val="pt-PT" w:eastAsia="it-IT"/>
              </w:rPr>
              <w:t xml:space="preserve"> mudança Ambiental adversa</w:t>
            </w:r>
          </w:p>
        </w:tc>
      </w:tr>
      <w:tr w:rsidR="00AE4A73" w:rsidRPr="008D18CF" w14:paraId="792FCD9A" w14:textId="77777777" w:rsidTr="0093465A">
        <w:trPr>
          <w:trHeight w:val="616"/>
        </w:trPr>
        <w:tc>
          <w:tcPr>
            <w:cnfStyle w:val="001000000000" w:firstRow="0" w:lastRow="0" w:firstColumn="1" w:lastColumn="0" w:oddVBand="0" w:evenVBand="0" w:oddHBand="0" w:evenHBand="0" w:firstRowFirstColumn="0" w:firstRowLastColumn="0" w:lastRowFirstColumn="0" w:lastRowLastColumn="0"/>
            <w:tcW w:w="979" w:type="pct"/>
          </w:tcPr>
          <w:p w14:paraId="34CB7A5A" w14:textId="77777777" w:rsidR="00AE4A73" w:rsidRPr="00292532" w:rsidRDefault="00AE4A73" w:rsidP="0093465A">
            <w:pPr>
              <w:suppressAutoHyphens/>
              <w:spacing w:before="60" w:after="60" w:line="240" w:lineRule="atLeast"/>
              <w:jc w:val="left"/>
              <w:rPr>
                <w:rFonts w:eastAsia="Times New Roman" w:cs="Calibri"/>
                <w:bCs w:val="0"/>
                <w:lang w:val="pt-PT" w:eastAsia="it-IT"/>
              </w:rPr>
            </w:pPr>
            <w:r w:rsidRPr="00292532">
              <w:rPr>
                <w:rFonts w:eastAsia="Times New Roman" w:cs="Calibri"/>
                <w:bCs w:val="0"/>
                <w:lang w:val="pt-PT" w:eastAsia="it-IT"/>
              </w:rPr>
              <w:t>Probabilidade</w:t>
            </w:r>
          </w:p>
        </w:tc>
        <w:tc>
          <w:tcPr>
            <w:cnfStyle w:val="000100000000" w:firstRow="0" w:lastRow="0" w:firstColumn="0" w:lastColumn="1" w:oddVBand="0" w:evenVBand="0" w:oddHBand="0" w:evenHBand="0" w:firstRowFirstColumn="0" w:firstRowLastColumn="0" w:lastRowFirstColumn="0" w:lastRowLastColumn="0"/>
            <w:tcW w:w="4021" w:type="pct"/>
          </w:tcPr>
          <w:p w14:paraId="7D21B186" w14:textId="77777777" w:rsidR="00AE4A73" w:rsidRPr="00292532" w:rsidRDefault="00AE4A73" w:rsidP="0093465A">
            <w:pPr>
              <w:suppressAutoHyphens/>
              <w:spacing w:before="60" w:after="60" w:line="240" w:lineRule="atLeast"/>
              <w:jc w:val="left"/>
              <w:rPr>
                <w:rFonts w:eastAsia="Times New Roman" w:cs="Calibri"/>
                <w:b w:val="0"/>
                <w:lang w:val="pt-PT" w:eastAsia="it-IT"/>
              </w:rPr>
            </w:pPr>
            <w:r w:rsidRPr="00292532">
              <w:rPr>
                <w:rFonts w:eastAsia="Times New Roman" w:cs="Calibri"/>
                <w:b w:val="0"/>
                <w:i/>
                <w:iCs/>
                <w:lang w:val="pt-PT" w:eastAsia="it-IT"/>
              </w:rPr>
              <w:t>Improvável ou pouco provável:</w:t>
            </w:r>
            <w:r w:rsidRPr="00292532">
              <w:rPr>
                <w:rFonts w:eastAsia="Times New Roman" w:cs="Calibri"/>
                <w:b w:val="0"/>
                <w:lang w:val="pt-PT" w:eastAsia="it-IT"/>
              </w:rPr>
              <w:t xml:space="preserve"> a possibilidade de ocorrência é baixa quer seja pelo desenho do </w:t>
            </w:r>
            <w:proofErr w:type="spellStart"/>
            <w:r w:rsidRPr="00292532">
              <w:rPr>
                <w:rFonts w:eastAsia="Times New Roman" w:cs="Calibri"/>
                <w:b w:val="0"/>
                <w:lang w:val="pt-PT" w:eastAsia="it-IT"/>
              </w:rPr>
              <w:t>Projecto</w:t>
            </w:r>
            <w:proofErr w:type="spellEnd"/>
            <w:r w:rsidRPr="00292532">
              <w:rPr>
                <w:rFonts w:eastAsia="Times New Roman" w:cs="Calibri"/>
                <w:b w:val="0"/>
                <w:lang w:val="pt-PT" w:eastAsia="it-IT"/>
              </w:rPr>
              <w:t xml:space="preserve"> quer seja pela natureza do mesmo </w:t>
            </w:r>
          </w:p>
          <w:p w14:paraId="10A451ED" w14:textId="77777777" w:rsidR="00AE4A73" w:rsidRPr="00292532" w:rsidRDefault="00AE4A73" w:rsidP="0093465A">
            <w:pPr>
              <w:suppressAutoHyphens/>
              <w:spacing w:before="60" w:after="60" w:line="240" w:lineRule="atLeast"/>
              <w:jc w:val="left"/>
              <w:rPr>
                <w:rFonts w:eastAsia="Times New Roman" w:cs="Calibri"/>
                <w:b w:val="0"/>
                <w:lang w:val="pt-PT" w:eastAsia="it-IT"/>
              </w:rPr>
            </w:pPr>
            <w:r w:rsidRPr="00292532">
              <w:rPr>
                <w:rFonts w:eastAsia="Times New Roman" w:cs="Calibri"/>
                <w:b w:val="0"/>
                <w:i/>
                <w:iCs/>
                <w:lang w:val="pt-PT" w:eastAsia="it-IT"/>
              </w:rPr>
              <w:t>Provável:</w:t>
            </w:r>
            <w:r w:rsidRPr="00292532">
              <w:rPr>
                <w:rFonts w:eastAsia="Times New Roman" w:cs="Calibri"/>
                <w:b w:val="0"/>
                <w:lang w:val="pt-PT" w:eastAsia="it-IT"/>
              </w:rPr>
              <w:t xml:space="preserve"> existe uma possibilidade distinta do impacto acontecer</w:t>
            </w:r>
          </w:p>
          <w:p w14:paraId="0AE7A879" w14:textId="77777777" w:rsidR="00AE4A73" w:rsidRPr="00292532" w:rsidRDefault="00AE4A73" w:rsidP="0093465A">
            <w:pPr>
              <w:suppressAutoHyphens/>
              <w:spacing w:before="60" w:after="60" w:line="240" w:lineRule="atLeast"/>
              <w:jc w:val="left"/>
              <w:rPr>
                <w:rFonts w:eastAsia="Times New Roman" w:cs="Calibri"/>
                <w:b w:val="0"/>
                <w:lang w:val="pt-PT" w:eastAsia="it-IT"/>
              </w:rPr>
            </w:pPr>
            <w:r w:rsidRPr="00292532">
              <w:rPr>
                <w:rFonts w:eastAsia="Times New Roman" w:cs="Calibri"/>
                <w:b w:val="0"/>
                <w:i/>
                <w:iCs/>
                <w:lang w:val="pt-PT" w:eastAsia="it-IT"/>
              </w:rPr>
              <w:t>Altamente provável:</w:t>
            </w:r>
            <w:r w:rsidRPr="00292532">
              <w:rPr>
                <w:rFonts w:eastAsia="Times New Roman" w:cs="Calibri"/>
                <w:b w:val="0"/>
                <w:lang w:val="pt-PT" w:eastAsia="it-IT"/>
              </w:rPr>
              <w:t xml:space="preserve"> quando é quase certo que o impacto ocorrerá</w:t>
            </w:r>
          </w:p>
          <w:p w14:paraId="7436E659" w14:textId="77777777" w:rsidR="00AE4A73" w:rsidRPr="00292532" w:rsidRDefault="00AE4A73" w:rsidP="0093465A">
            <w:pPr>
              <w:suppressAutoHyphens/>
              <w:spacing w:before="60" w:after="60" w:line="240" w:lineRule="atLeast"/>
              <w:jc w:val="left"/>
              <w:rPr>
                <w:rFonts w:eastAsia="Times New Roman" w:cs="Calibri"/>
                <w:b w:val="0"/>
                <w:lang w:val="pt-PT" w:eastAsia="it-IT"/>
              </w:rPr>
            </w:pPr>
            <w:r w:rsidRPr="00292532">
              <w:rPr>
                <w:rFonts w:eastAsia="Times New Roman" w:cs="Calibri"/>
                <w:b w:val="0"/>
                <w:i/>
                <w:iCs/>
                <w:lang w:val="pt-PT" w:eastAsia="it-IT"/>
              </w:rPr>
              <w:t>Definitiva:</w:t>
            </w:r>
            <w:r w:rsidRPr="00292532">
              <w:rPr>
                <w:rFonts w:eastAsia="Times New Roman" w:cs="Calibri"/>
                <w:b w:val="0"/>
                <w:lang w:val="pt-PT" w:eastAsia="it-IT"/>
              </w:rPr>
              <w:t xml:space="preserve"> quando há certeza que o impacto ocorrerá independentemente das medidas preventivas </w:t>
            </w:r>
            <w:proofErr w:type="spellStart"/>
            <w:r w:rsidRPr="00292532">
              <w:rPr>
                <w:rFonts w:eastAsia="Times New Roman" w:cs="Calibri"/>
                <w:b w:val="0"/>
                <w:lang w:val="pt-PT" w:eastAsia="it-IT"/>
              </w:rPr>
              <w:t>adoptadas</w:t>
            </w:r>
            <w:proofErr w:type="spellEnd"/>
            <w:r w:rsidRPr="00292532">
              <w:rPr>
                <w:rFonts w:eastAsia="Times New Roman" w:cs="Calibri"/>
                <w:b w:val="0"/>
                <w:lang w:val="pt-PT" w:eastAsia="it-IT"/>
              </w:rPr>
              <w:t xml:space="preserve"> </w:t>
            </w:r>
          </w:p>
        </w:tc>
      </w:tr>
      <w:tr w:rsidR="00AE4A73" w:rsidRPr="008D18CF" w14:paraId="029614A4" w14:textId="77777777" w:rsidTr="0093465A">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979" w:type="pct"/>
          </w:tcPr>
          <w:p w14:paraId="39EF9517" w14:textId="77777777" w:rsidR="00AE4A73" w:rsidRPr="00292532" w:rsidRDefault="00AE4A73" w:rsidP="0093465A">
            <w:pPr>
              <w:suppressAutoHyphens/>
              <w:spacing w:before="0" w:after="120"/>
              <w:jc w:val="left"/>
              <w:rPr>
                <w:rFonts w:eastAsia="Times New Roman" w:cs="Calibri"/>
                <w:bCs w:val="0"/>
                <w:color w:val="000000"/>
                <w:lang w:val="pt-PT" w:eastAsia="it-IT"/>
              </w:rPr>
            </w:pPr>
            <w:r w:rsidRPr="00292532">
              <w:rPr>
                <w:rFonts w:eastAsia="Times New Roman" w:cs="Calibri"/>
                <w:bCs w:val="0"/>
                <w:color w:val="000000"/>
                <w:lang w:val="pt-PT" w:eastAsia="it-IT"/>
              </w:rPr>
              <w:t xml:space="preserve">Duração </w:t>
            </w:r>
          </w:p>
        </w:tc>
        <w:tc>
          <w:tcPr>
            <w:cnfStyle w:val="000100000000" w:firstRow="0" w:lastRow="0" w:firstColumn="0" w:lastColumn="1" w:oddVBand="0" w:evenVBand="0" w:oddHBand="0" w:evenHBand="0" w:firstRowFirstColumn="0" w:firstRowLastColumn="0" w:lastRowFirstColumn="0" w:lastRowLastColumn="0"/>
            <w:tcW w:w="4021" w:type="pct"/>
          </w:tcPr>
          <w:p w14:paraId="37376ED8" w14:textId="77777777" w:rsidR="00AE4A73" w:rsidRPr="00292532" w:rsidRDefault="00AE4A7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Curto prazo:</w:t>
            </w:r>
            <w:r w:rsidRPr="00292532">
              <w:rPr>
                <w:rFonts w:eastAsia="Times New Roman" w:cs="Calibri"/>
                <w:b w:val="0"/>
                <w:color w:val="000000"/>
                <w:lang w:val="pt-PT" w:eastAsia="it-IT"/>
              </w:rPr>
              <w:t xml:space="preserve"> um período aproximadamente entre 1 e 5 anos</w:t>
            </w:r>
          </w:p>
          <w:p w14:paraId="64A425FD" w14:textId="77777777" w:rsidR="00AE4A73" w:rsidRPr="00292532" w:rsidRDefault="00AE4A7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Medio prazo:</w:t>
            </w:r>
            <w:r w:rsidRPr="00292532">
              <w:rPr>
                <w:rFonts w:eastAsia="Times New Roman" w:cs="Calibri"/>
                <w:b w:val="0"/>
                <w:color w:val="000000"/>
                <w:lang w:val="pt-PT" w:eastAsia="it-IT"/>
              </w:rPr>
              <w:t xml:space="preserve"> um período aproximadamente entre 5 e 15 anos; </w:t>
            </w:r>
          </w:p>
          <w:p w14:paraId="08524CBB" w14:textId="77777777" w:rsidR="00AE4A73" w:rsidRPr="00292532" w:rsidRDefault="00AE4A7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Longo prazo:</w:t>
            </w:r>
            <w:r w:rsidRPr="00292532">
              <w:rPr>
                <w:rFonts w:eastAsia="Times New Roman" w:cs="Calibri"/>
                <w:b w:val="0"/>
                <w:color w:val="000000"/>
                <w:lang w:val="pt-PT" w:eastAsia="it-IT"/>
              </w:rPr>
              <w:t xml:space="preserve"> O impacto cessa quando termina o tempo de vida da </w:t>
            </w:r>
            <w:proofErr w:type="spellStart"/>
            <w:r w:rsidRPr="00292532">
              <w:rPr>
                <w:rFonts w:eastAsia="Times New Roman" w:cs="Calibri"/>
                <w:b w:val="0"/>
                <w:color w:val="000000"/>
                <w:lang w:val="pt-PT" w:eastAsia="it-IT"/>
              </w:rPr>
              <w:t>actividade</w:t>
            </w:r>
            <w:proofErr w:type="spellEnd"/>
          </w:p>
          <w:p w14:paraId="58565209" w14:textId="2D32C3AF" w:rsidR="00AE4A73" w:rsidRPr="00292532" w:rsidRDefault="00AE4A7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Permanente:</w:t>
            </w:r>
            <w:r w:rsidRPr="00292532">
              <w:rPr>
                <w:rFonts w:eastAsia="Times New Roman" w:cs="Calibri"/>
                <w:b w:val="0"/>
                <w:color w:val="000000"/>
                <w:lang w:val="pt-PT" w:eastAsia="it-IT"/>
              </w:rPr>
              <w:t xml:space="preserve"> quando o impacto </w:t>
            </w:r>
            <w:r w:rsidR="009F6136" w:rsidRPr="00292532">
              <w:rPr>
                <w:rFonts w:eastAsia="Times New Roman" w:cs="Calibri"/>
                <w:b w:val="0"/>
                <w:color w:val="000000"/>
                <w:lang w:val="pt-PT" w:eastAsia="it-IT"/>
              </w:rPr>
              <w:t>se prolonga</w:t>
            </w:r>
            <w:r w:rsidRPr="00292532">
              <w:rPr>
                <w:rFonts w:eastAsia="Times New Roman" w:cs="Calibri"/>
                <w:b w:val="0"/>
                <w:color w:val="000000"/>
                <w:lang w:val="pt-PT" w:eastAsia="it-IT"/>
              </w:rPr>
              <w:t xml:space="preserve"> mesmo depois de terminar a </w:t>
            </w:r>
            <w:proofErr w:type="spellStart"/>
            <w:r w:rsidRPr="00292532">
              <w:rPr>
                <w:rFonts w:eastAsia="Times New Roman" w:cs="Calibri"/>
                <w:b w:val="0"/>
                <w:color w:val="000000"/>
                <w:lang w:val="pt-PT" w:eastAsia="it-IT"/>
              </w:rPr>
              <w:t>actividade</w:t>
            </w:r>
            <w:proofErr w:type="spellEnd"/>
            <w:r w:rsidRPr="00292532">
              <w:rPr>
                <w:rFonts w:eastAsia="Times New Roman" w:cs="Calibri"/>
                <w:b w:val="0"/>
                <w:color w:val="000000"/>
                <w:lang w:val="pt-PT" w:eastAsia="it-IT"/>
              </w:rPr>
              <w:t xml:space="preserve"> e mesmo após a aplicação de medidas de mitigação  </w:t>
            </w:r>
          </w:p>
        </w:tc>
      </w:tr>
      <w:tr w:rsidR="00AE4A73" w:rsidRPr="008D18CF" w14:paraId="6775F4D6" w14:textId="77777777" w:rsidTr="0093465A">
        <w:trPr>
          <w:trHeight w:val="555"/>
        </w:trPr>
        <w:tc>
          <w:tcPr>
            <w:cnfStyle w:val="001000000000" w:firstRow="0" w:lastRow="0" w:firstColumn="1" w:lastColumn="0" w:oddVBand="0" w:evenVBand="0" w:oddHBand="0" w:evenHBand="0" w:firstRowFirstColumn="0" w:firstRowLastColumn="0" w:lastRowFirstColumn="0" w:lastRowLastColumn="0"/>
            <w:tcW w:w="979" w:type="pct"/>
          </w:tcPr>
          <w:p w14:paraId="52A2843C" w14:textId="77777777" w:rsidR="00AE4A73" w:rsidRPr="00292532" w:rsidRDefault="00AE4A73" w:rsidP="0093465A">
            <w:pPr>
              <w:suppressAutoHyphens/>
              <w:spacing w:before="0" w:after="120"/>
              <w:jc w:val="left"/>
              <w:rPr>
                <w:rFonts w:eastAsia="Times New Roman" w:cs="Calibri"/>
                <w:bCs w:val="0"/>
                <w:color w:val="000000"/>
                <w:lang w:val="pt-PT" w:eastAsia="it-IT"/>
              </w:rPr>
            </w:pPr>
            <w:r w:rsidRPr="00292532">
              <w:rPr>
                <w:rFonts w:eastAsia="Times New Roman" w:cs="Calibri"/>
                <w:bCs w:val="0"/>
                <w:color w:val="000000"/>
                <w:lang w:val="pt-PT" w:eastAsia="it-IT"/>
              </w:rPr>
              <w:t xml:space="preserve">Extensão </w:t>
            </w:r>
          </w:p>
        </w:tc>
        <w:tc>
          <w:tcPr>
            <w:cnfStyle w:val="000100000000" w:firstRow="0" w:lastRow="0" w:firstColumn="0" w:lastColumn="1" w:oddVBand="0" w:evenVBand="0" w:oddHBand="0" w:evenHBand="0" w:firstRowFirstColumn="0" w:firstRowLastColumn="0" w:lastRowFirstColumn="0" w:lastRowLastColumn="0"/>
            <w:tcW w:w="4021" w:type="pct"/>
          </w:tcPr>
          <w:p w14:paraId="3FB7D587" w14:textId="77777777" w:rsidR="00AE4A73" w:rsidRPr="00292532" w:rsidRDefault="00AE4A7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Localizada</w:t>
            </w:r>
            <w:r w:rsidRPr="00292532">
              <w:rPr>
                <w:rFonts w:eastAsia="Times New Roman" w:cs="Calibri"/>
                <w:b w:val="0"/>
                <w:color w:val="000000"/>
                <w:lang w:val="pt-PT" w:eastAsia="it-IT"/>
              </w:rPr>
              <w:t xml:space="preserve">: Os impactos locais são confinados a área de ocorrência das </w:t>
            </w:r>
            <w:proofErr w:type="spellStart"/>
            <w:r w:rsidRPr="00292532">
              <w:rPr>
                <w:rFonts w:eastAsia="Times New Roman" w:cs="Calibri"/>
                <w:b w:val="0"/>
                <w:color w:val="000000"/>
                <w:lang w:val="pt-PT" w:eastAsia="it-IT"/>
              </w:rPr>
              <w:t>acções</w:t>
            </w:r>
            <w:proofErr w:type="spellEnd"/>
            <w:r w:rsidRPr="00292532">
              <w:rPr>
                <w:rFonts w:eastAsia="Times New Roman" w:cs="Calibri"/>
                <w:b w:val="0"/>
                <w:color w:val="000000"/>
                <w:lang w:val="pt-PT" w:eastAsia="it-IT"/>
              </w:rPr>
              <w:t xml:space="preserve"> do </w:t>
            </w:r>
            <w:proofErr w:type="spellStart"/>
            <w:r w:rsidRPr="00292532">
              <w:rPr>
                <w:rFonts w:eastAsia="Times New Roman" w:cs="Calibri"/>
                <w:b w:val="0"/>
                <w:color w:val="000000"/>
                <w:lang w:val="pt-PT" w:eastAsia="it-IT"/>
              </w:rPr>
              <w:t>Projecto</w:t>
            </w:r>
            <w:proofErr w:type="spellEnd"/>
          </w:p>
          <w:p w14:paraId="0A8783D2" w14:textId="77777777" w:rsidR="00AE4A73" w:rsidRPr="00292532" w:rsidRDefault="00AE4A7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Na área envolvente</w:t>
            </w:r>
            <w:r w:rsidRPr="00292532">
              <w:rPr>
                <w:rFonts w:eastAsia="Times New Roman" w:cs="Calibri"/>
                <w:b w:val="0"/>
                <w:color w:val="000000"/>
                <w:lang w:val="pt-PT" w:eastAsia="it-IT"/>
              </w:rPr>
              <w:t xml:space="preserve">: nos arredores da área do </w:t>
            </w:r>
            <w:proofErr w:type="spellStart"/>
            <w:r w:rsidRPr="00292532">
              <w:rPr>
                <w:rFonts w:eastAsia="Times New Roman" w:cs="Calibri"/>
                <w:b w:val="0"/>
                <w:color w:val="000000"/>
                <w:lang w:val="pt-PT" w:eastAsia="it-IT"/>
              </w:rPr>
              <w:t>Projecto</w:t>
            </w:r>
            <w:proofErr w:type="spellEnd"/>
            <w:r w:rsidRPr="00292532">
              <w:rPr>
                <w:rFonts w:eastAsia="Times New Roman" w:cs="Calibri"/>
                <w:b w:val="0"/>
                <w:color w:val="000000"/>
                <w:lang w:val="pt-PT" w:eastAsia="it-IT"/>
              </w:rPr>
              <w:t xml:space="preserve"> </w:t>
            </w:r>
          </w:p>
          <w:p w14:paraId="0BD8D8B9" w14:textId="77777777" w:rsidR="00AE4A73" w:rsidRPr="00292532" w:rsidRDefault="00AE4A7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Regional:</w:t>
            </w:r>
            <w:r w:rsidRPr="00292532">
              <w:rPr>
                <w:rFonts w:eastAsia="Times New Roman" w:cs="Calibri"/>
                <w:b w:val="0"/>
                <w:color w:val="000000"/>
                <w:lang w:val="pt-PT" w:eastAsia="it-IT"/>
              </w:rPr>
              <w:t xml:space="preserve"> provinciais circundantes; </w:t>
            </w:r>
          </w:p>
          <w:p w14:paraId="18FEE4FC" w14:textId="77777777" w:rsidR="00AE4A73" w:rsidRPr="00292532" w:rsidRDefault="00AE4A7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Nacional</w:t>
            </w:r>
            <w:r w:rsidRPr="00292532">
              <w:rPr>
                <w:rFonts w:eastAsia="Times New Roman" w:cs="Calibri"/>
                <w:b w:val="0"/>
                <w:color w:val="000000"/>
                <w:lang w:val="pt-PT" w:eastAsia="it-IT"/>
              </w:rPr>
              <w:t xml:space="preserve">: Moçambique; </w:t>
            </w:r>
          </w:p>
          <w:p w14:paraId="05A35EBC" w14:textId="77777777" w:rsidR="00AE4A73" w:rsidRPr="00292532" w:rsidRDefault="00AE4A7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Internacional</w:t>
            </w:r>
            <w:r w:rsidRPr="00292532">
              <w:rPr>
                <w:rFonts w:eastAsia="Times New Roman" w:cs="Calibri"/>
                <w:b w:val="0"/>
                <w:color w:val="000000"/>
                <w:lang w:val="pt-PT" w:eastAsia="it-IT"/>
              </w:rPr>
              <w:t>. Moçambique e países vizinhos</w:t>
            </w:r>
          </w:p>
        </w:tc>
      </w:tr>
      <w:tr w:rsidR="00AE4A73" w:rsidRPr="008D18CF" w14:paraId="1A29A475" w14:textId="77777777" w:rsidTr="0093465A">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979" w:type="pct"/>
          </w:tcPr>
          <w:p w14:paraId="333EABD5" w14:textId="77777777" w:rsidR="00AE4A73" w:rsidRPr="00292532" w:rsidRDefault="00AE4A73" w:rsidP="0093465A">
            <w:pPr>
              <w:suppressAutoHyphens/>
              <w:spacing w:before="0" w:after="120"/>
              <w:jc w:val="left"/>
              <w:rPr>
                <w:rFonts w:eastAsia="Times New Roman" w:cs="Calibri"/>
                <w:bCs w:val="0"/>
                <w:color w:val="000000"/>
                <w:lang w:val="pt-PT" w:eastAsia="it-IT"/>
              </w:rPr>
            </w:pPr>
            <w:r w:rsidRPr="00292532">
              <w:rPr>
                <w:rFonts w:eastAsia="Times New Roman" w:cs="Calibri"/>
                <w:bCs w:val="0"/>
                <w:color w:val="000000"/>
                <w:lang w:val="pt-PT" w:eastAsia="it-IT"/>
              </w:rPr>
              <w:t>Intensidade</w:t>
            </w:r>
          </w:p>
        </w:tc>
        <w:tc>
          <w:tcPr>
            <w:cnfStyle w:val="000100000000" w:firstRow="0" w:lastRow="0" w:firstColumn="0" w:lastColumn="1" w:oddVBand="0" w:evenVBand="0" w:oddHBand="0" w:evenHBand="0" w:firstRowFirstColumn="0" w:firstRowLastColumn="0" w:lastRowFirstColumn="0" w:lastRowLastColumn="0"/>
            <w:tcW w:w="4021" w:type="pct"/>
          </w:tcPr>
          <w:p w14:paraId="0652C80C" w14:textId="77777777" w:rsidR="00AE4A73" w:rsidRPr="00292532" w:rsidRDefault="00AE4A7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Baixa:</w:t>
            </w:r>
            <w:r w:rsidRPr="00292532">
              <w:rPr>
                <w:rFonts w:eastAsia="Times New Roman" w:cs="Calibri"/>
                <w:b w:val="0"/>
                <w:color w:val="000000"/>
                <w:lang w:val="pt-PT" w:eastAsia="it-IT"/>
              </w:rPr>
              <w:t xml:space="preserve"> funcionamento dos processos naturais, culturais e sociais não é </w:t>
            </w:r>
            <w:proofErr w:type="spellStart"/>
            <w:r w:rsidRPr="00292532">
              <w:rPr>
                <w:rFonts w:eastAsia="Times New Roman" w:cs="Calibri"/>
                <w:b w:val="0"/>
                <w:color w:val="000000"/>
                <w:lang w:val="pt-PT" w:eastAsia="it-IT"/>
              </w:rPr>
              <w:t>afectado</w:t>
            </w:r>
            <w:proofErr w:type="spellEnd"/>
          </w:p>
          <w:p w14:paraId="30D13AA5" w14:textId="77777777" w:rsidR="00AE4A73" w:rsidRPr="00292532" w:rsidRDefault="00AE4A7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Média:</w:t>
            </w:r>
            <w:r w:rsidRPr="00292532">
              <w:rPr>
                <w:rFonts w:eastAsia="Times New Roman" w:cs="Calibri"/>
                <w:b w:val="0"/>
                <w:color w:val="000000"/>
                <w:lang w:val="pt-PT" w:eastAsia="it-IT"/>
              </w:rPr>
              <w:t xml:space="preserve"> o funcionamento dos processos naturais, culturais ou sociais é </w:t>
            </w:r>
            <w:proofErr w:type="spellStart"/>
            <w:r w:rsidRPr="00292532">
              <w:rPr>
                <w:rFonts w:eastAsia="Times New Roman" w:cs="Calibri"/>
                <w:b w:val="0"/>
                <w:color w:val="000000"/>
                <w:lang w:val="pt-PT" w:eastAsia="it-IT"/>
              </w:rPr>
              <w:t>afectado</w:t>
            </w:r>
            <w:proofErr w:type="spellEnd"/>
            <w:r w:rsidRPr="00292532">
              <w:rPr>
                <w:rFonts w:eastAsia="Times New Roman" w:cs="Calibri"/>
                <w:b w:val="0"/>
                <w:color w:val="000000"/>
                <w:lang w:val="pt-PT" w:eastAsia="it-IT"/>
              </w:rPr>
              <w:t>, porém sem efeitos considerados significativos</w:t>
            </w:r>
          </w:p>
          <w:p w14:paraId="65C38DF4" w14:textId="77777777" w:rsidR="00AE4A73" w:rsidRPr="00292532" w:rsidRDefault="00AE4A7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Alta:</w:t>
            </w:r>
            <w:r w:rsidRPr="00292532">
              <w:rPr>
                <w:rFonts w:eastAsia="Times New Roman" w:cs="Calibri"/>
                <w:b w:val="0"/>
                <w:color w:val="000000"/>
                <w:lang w:val="pt-PT" w:eastAsia="it-IT"/>
              </w:rPr>
              <w:t xml:space="preserve"> funcionamento dos processos naturais, culturais ou sociais é temporariamente ou permanentemente interrompido</w:t>
            </w:r>
          </w:p>
        </w:tc>
      </w:tr>
      <w:tr w:rsidR="00AE4A73" w:rsidRPr="008D18CF" w14:paraId="2FC207A9" w14:textId="77777777" w:rsidTr="0093465A">
        <w:trPr>
          <w:cnfStyle w:val="010000000000" w:firstRow="0" w:lastRow="1" w:firstColumn="0" w:lastColumn="0" w:oddVBand="0" w:evenVBand="0" w:oddHBand="0"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979" w:type="pct"/>
          </w:tcPr>
          <w:p w14:paraId="4A96D5AD" w14:textId="77777777" w:rsidR="00AE4A73" w:rsidRPr="00292532" w:rsidRDefault="00AE4A73" w:rsidP="0093465A">
            <w:pPr>
              <w:suppressAutoHyphens/>
              <w:spacing w:before="0" w:after="120"/>
              <w:jc w:val="left"/>
              <w:rPr>
                <w:rFonts w:eastAsia="Times New Roman" w:cs="Calibri"/>
                <w:bCs w:val="0"/>
                <w:color w:val="000000"/>
                <w:lang w:val="pt-PT" w:eastAsia="it-IT"/>
              </w:rPr>
            </w:pPr>
            <w:r w:rsidRPr="00292532">
              <w:rPr>
                <w:rFonts w:eastAsia="Times New Roman" w:cs="Calibri"/>
                <w:bCs w:val="0"/>
                <w:color w:val="000000"/>
                <w:lang w:val="pt-PT" w:eastAsia="it-IT"/>
              </w:rPr>
              <w:t>Significância</w:t>
            </w:r>
          </w:p>
        </w:tc>
        <w:tc>
          <w:tcPr>
            <w:cnfStyle w:val="000100000000" w:firstRow="0" w:lastRow="0" w:firstColumn="0" w:lastColumn="1" w:oddVBand="0" w:evenVBand="0" w:oddHBand="0" w:evenHBand="0" w:firstRowFirstColumn="0" w:firstRowLastColumn="0" w:lastRowFirstColumn="0" w:lastRowLastColumn="0"/>
            <w:tcW w:w="4021" w:type="pct"/>
          </w:tcPr>
          <w:p w14:paraId="17901808" w14:textId="38743BDF" w:rsidR="00AE4A73" w:rsidRPr="00292532" w:rsidRDefault="00AE4A7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Baixa:</w:t>
            </w:r>
            <w:r w:rsidRPr="00292532">
              <w:rPr>
                <w:rFonts w:eastAsia="Times New Roman" w:cs="Calibri"/>
                <w:b w:val="0"/>
                <w:color w:val="000000"/>
                <w:lang w:val="pt-PT" w:eastAsia="it-IT"/>
              </w:rPr>
              <w:t xml:space="preserve"> o impacto não deve influenciar nas decisões, não exige investigação </w:t>
            </w:r>
            <w:r w:rsidR="009F6136" w:rsidRPr="00292532">
              <w:rPr>
                <w:rFonts w:eastAsia="Times New Roman" w:cs="Calibri"/>
                <w:b w:val="0"/>
                <w:color w:val="000000"/>
                <w:lang w:val="pt-PT" w:eastAsia="it-IT"/>
              </w:rPr>
              <w:t>profunda</w:t>
            </w:r>
            <w:r w:rsidRPr="00292532">
              <w:rPr>
                <w:rFonts w:eastAsia="Times New Roman" w:cs="Calibri"/>
                <w:b w:val="0"/>
                <w:color w:val="000000"/>
                <w:lang w:val="pt-PT" w:eastAsia="it-IT"/>
              </w:rPr>
              <w:t xml:space="preserve"> sobre suas causas e medidas de mitigação e gestão </w:t>
            </w:r>
          </w:p>
          <w:p w14:paraId="0DF697A4" w14:textId="77777777" w:rsidR="00AE4A73" w:rsidRPr="00292532" w:rsidRDefault="00AE4A7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Média:</w:t>
            </w:r>
            <w:r w:rsidRPr="00292532">
              <w:rPr>
                <w:rFonts w:eastAsia="Times New Roman" w:cs="Calibri"/>
                <w:b w:val="0"/>
                <w:color w:val="000000"/>
                <w:lang w:val="pt-PT" w:eastAsia="it-IT"/>
              </w:rPr>
              <w:t xml:space="preserve"> o impacto influência nas decisões pois, requer mitigação e gestão para minimizar o impacto negativo ou incrementar o impacto positivo</w:t>
            </w:r>
          </w:p>
          <w:p w14:paraId="482432EA" w14:textId="77777777" w:rsidR="00AE4A73" w:rsidRPr="00292532" w:rsidRDefault="00AE4A73" w:rsidP="0024772D">
            <w:pPr>
              <w:numPr>
                <w:ilvl w:val="0"/>
                <w:numId w:val="53"/>
              </w:numPr>
              <w:suppressAutoHyphens/>
              <w:spacing w:before="0" w:after="120"/>
              <w:contextualSpacing/>
              <w:jc w:val="left"/>
              <w:rPr>
                <w:rFonts w:eastAsia="Times New Roman" w:cs="Calibri"/>
                <w:b w:val="0"/>
                <w:color w:val="000000"/>
                <w:lang w:val="pt-PT" w:eastAsia="it-IT"/>
              </w:rPr>
            </w:pPr>
            <w:r w:rsidRPr="00292532">
              <w:rPr>
                <w:rFonts w:eastAsia="Times New Roman" w:cs="Calibri"/>
                <w:b w:val="0"/>
                <w:i/>
                <w:iCs/>
                <w:color w:val="000000"/>
                <w:lang w:val="pt-PT" w:eastAsia="it-IT"/>
              </w:rPr>
              <w:t>Alta:</w:t>
            </w:r>
            <w:r w:rsidRPr="00292532">
              <w:rPr>
                <w:rFonts w:eastAsia="Times New Roman" w:cs="Calibri"/>
                <w:b w:val="0"/>
                <w:color w:val="000000"/>
                <w:lang w:val="pt-PT" w:eastAsia="it-IT"/>
              </w:rPr>
              <w:t xml:space="preserve"> se não for mitigado ou gerido, deverá influenciar nas decisões sobre </w:t>
            </w:r>
            <w:proofErr w:type="spellStart"/>
            <w:r w:rsidRPr="00292532">
              <w:rPr>
                <w:rFonts w:eastAsia="Times New Roman" w:cs="Calibri"/>
                <w:b w:val="0"/>
                <w:color w:val="000000"/>
                <w:lang w:val="pt-PT" w:eastAsia="it-IT"/>
              </w:rPr>
              <w:t>aspectos</w:t>
            </w:r>
            <w:proofErr w:type="spellEnd"/>
            <w:r w:rsidRPr="00292532">
              <w:rPr>
                <w:rFonts w:eastAsia="Times New Roman" w:cs="Calibri"/>
                <w:b w:val="0"/>
                <w:color w:val="000000"/>
                <w:lang w:val="pt-PT" w:eastAsia="it-IT"/>
              </w:rPr>
              <w:t xml:space="preserve"> específicos relativos ao </w:t>
            </w:r>
            <w:proofErr w:type="spellStart"/>
            <w:r w:rsidRPr="00292532">
              <w:rPr>
                <w:rFonts w:eastAsia="Times New Roman" w:cs="Calibri"/>
                <w:b w:val="0"/>
                <w:color w:val="000000"/>
                <w:lang w:val="pt-PT" w:eastAsia="it-IT"/>
              </w:rPr>
              <w:t>projecto</w:t>
            </w:r>
            <w:proofErr w:type="spellEnd"/>
            <w:r w:rsidRPr="00292532">
              <w:rPr>
                <w:rFonts w:eastAsia="Times New Roman" w:cs="Calibri"/>
                <w:b w:val="0"/>
                <w:color w:val="000000"/>
                <w:lang w:val="pt-PT" w:eastAsia="it-IT"/>
              </w:rPr>
              <w:t xml:space="preserve">. </w:t>
            </w:r>
          </w:p>
        </w:tc>
      </w:tr>
    </w:tbl>
    <w:p w14:paraId="41ACB144" w14:textId="4BC85192" w:rsidR="00AE4A73" w:rsidRPr="00292532" w:rsidRDefault="00AE4A73" w:rsidP="00AE4A73">
      <w:pPr>
        <w:suppressAutoHyphens/>
        <w:spacing w:before="0" w:after="120"/>
        <w:rPr>
          <w:rFonts w:eastAsia="Times New Roman" w:cs="Calibri"/>
          <w:lang w:val="pt-PT" w:eastAsia="it-IT"/>
        </w:rPr>
      </w:pPr>
    </w:p>
    <w:p w14:paraId="46DDE040" w14:textId="77777777" w:rsidR="007C5244" w:rsidRDefault="00AE4A73" w:rsidP="00AE4A73">
      <w:pPr>
        <w:suppressAutoHyphens/>
        <w:spacing w:before="0" w:after="120"/>
        <w:rPr>
          <w:rFonts w:eastAsia="Times New Roman" w:cs="Calibri"/>
          <w:lang w:val="pt-PT" w:eastAsia="it-IT"/>
        </w:rPr>
      </w:pPr>
      <w:r w:rsidRPr="00292532">
        <w:rPr>
          <w:rFonts w:eastAsia="Times New Roman" w:cs="Calibri"/>
          <w:lang w:val="pt-PT" w:eastAsia="it-IT"/>
        </w:rPr>
        <w:t>É geralmente aceite que a significância é uma função da magnitude do impacto (intensidade) e da probabilidade de ocorrência do mesmo.</w:t>
      </w:r>
      <w:r w:rsidRPr="00292532">
        <w:rPr>
          <w:lang w:val="pt-PT"/>
        </w:rPr>
        <w:t xml:space="preserve"> </w:t>
      </w:r>
      <w:r w:rsidRPr="00292532">
        <w:rPr>
          <w:rFonts w:eastAsia="Times New Roman" w:cs="Calibri"/>
          <w:lang w:val="pt-PT" w:eastAsia="it-IT"/>
        </w:rPr>
        <w:t xml:space="preserve">Os critérios para a determinação da significância apresentam-se na </w:t>
      </w:r>
      <w:r w:rsidR="009F6136" w:rsidRPr="00292532">
        <w:rPr>
          <w:rFonts w:eastAsia="Times New Roman" w:cs="Calibri"/>
          <w:lang w:val="pt-PT" w:eastAsia="it-IT"/>
        </w:rPr>
        <w:t>matriz</w:t>
      </w:r>
      <w:r w:rsidRPr="00292532">
        <w:rPr>
          <w:rFonts w:eastAsia="Times New Roman" w:cs="Calibri"/>
          <w:lang w:val="pt-PT" w:eastAsia="it-IT"/>
        </w:rPr>
        <w:t xml:space="preserve"> abaixo (</w:t>
      </w:r>
      <w:r w:rsidR="008C11E8" w:rsidRPr="00292532">
        <w:rPr>
          <w:rFonts w:eastAsia="Times New Roman" w:cs="Calibri"/>
          <w:b/>
          <w:bCs/>
          <w:lang w:val="pt-PT" w:eastAsia="it-IT"/>
        </w:rPr>
        <w:t>Tabela 3</w:t>
      </w:r>
      <w:r w:rsidRPr="00292532">
        <w:rPr>
          <w:rFonts w:eastAsia="Times New Roman" w:cs="Calibri"/>
          <w:lang w:val="pt-PT" w:eastAsia="it-IT"/>
        </w:rPr>
        <w:t xml:space="preserve">). </w:t>
      </w:r>
    </w:p>
    <w:p w14:paraId="083E16A4" w14:textId="7415765C" w:rsidR="00A153CE" w:rsidRPr="00292532" w:rsidRDefault="007C5244" w:rsidP="00A153CE">
      <w:pPr>
        <w:pStyle w:val="Caption"/>
      </w:pPr>
      <w:r>
        <w:rPr>
          <w:rFonts w:eastAsia="Times New Roman" w:cs="Calibri"/>
          <w:lang w:eastAsia="it-IT"/>
        </w:rPr>
        <w:t xml:space="preserve"> </w:t>
      </w:r>
      <w:bookmarkStart w:id="533" w:name="_Ref72917029"/>
      <w:r w:rsidR="00A153CE" w:rsidRPr="00292532">
        <w:t xml:space="preserve">Tabela </w:t>
      </w:r>
      <w:bookmarkEnd w:id="533"/>
      <w:r w:rsidR="008C11E8" w:rsidRPr="00292532">
        <w:t>3</w:t>
      </w:r>
      <w:r w:rsidR="00A153CE" w:rsidRPr="00292532">
        <w:t>: Matriz de Classificação da Significância</w:t>
      </w:r>
    </w:p>
    <w:tbl>
      <w:tblPr>
        <w:tblW w:w="9625" w:type="dxa"/>
        <w:tblLook w:val="04A0" w:firstRow="1" w:lastRow="0" w:firstColumn="1" w:lastColumn="0" w:noHBand="0" w:noVBand="1"/>
      </w:tblPr>
      <w:tblGrid>
        <w:gridCol w:w="1959"/>
        <w:gridCol w:w="1921"/>
        <w:gridCol w:w="1921"/>
        <w:gridCol w:w="1934"/>
        <w:gridCol w:w="1890"/>
      </w:tblGrid>
      <w:tr w:rsidR="00A153CE" w:rsidRPr="00292532" w14:paraId="21EC008F" w14:textId="77777777" w:rsidTr="00A153CE">
        <w:trPr>
          <w:trHeight w:val="346"/>
        </w:trPr>
        <w:tc>
          <w:tcPr>
            <w:tcW w:w="19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72A9A6" w14:textId="77777777" w:rsidR="00A153CE" w:rsidRPr="00292532" w:rsidRDefault="00A153CE" w:rsidP="00A153CE">
            <w:pPr>
              <w:spacing w:before="0" w:after="0"/>
              <w:jc w:val="center"/>
              <w:rPr>
                <w:rFonts w:eastAsia="Times New Roman" w:cs="Times New Roman"/>
                <w:b/>
                <w:bCs/>
                <w:color w:val="000000"/>
                <w:lang w:val="pt-PT"/>
              </w:rPr>
            </w:pPr>
            <w:r w:rsidRPr="00292532">
              <w:rPr>
                <w:rFonts w:eastAsia="Times New Roman" w:cs="Times New Roman"/>
                <w:b/>
                <w:bCs/>
                <w:color w:val="000000"/>
                <w:lang w:val="pt-PT"/>
              </w:rPr>
              <w:lastRenderedPageBreak/>
              <w:t>INTENSIDADE/</w:t>
            </w:r>
            <w:r w:rsidRPr="00292532">
              <w:rPr>
                <w:rFonts w:eastAsia="Times New Roman" w:cs="Times New Roman"/>
                <w:b/>
                <w:bCs/>
                <w:color w:val="000000"/>
                <w:lang w:val="pt-PT"/>
              </w:rPr>
              <w:br/>
              <w:t>MAGNITUDE</w:t>
            </w:r>
          </w:p>
        </w:tc>
        <w:tc>
          <w:tcPr>
            <w:tcW w:w="7666" w:type="dxa"/>
            <w:gridSpan w:val="4"/>
            <w:tcBorders>
              <w:top w:val="single" w:sz="4" w:space="0" w:color="auto"/>
              <w:left w:val="nil"/>
              <w:bottom w:val="single" w:sz="4" w:space="0" w:color="auto"/>
              <w:right w:val="single" w:sz="4" w:space="0" w:color="auto"/>
            </w:tcBorders>
            <w:shd w:val="clear" w:color="auto" w:fill="auto"/>
            <w:noWrap/>
            <w:vAlign w:val="center"/>
            <w:hideMark/>
          </w:tcPr>
          <w:p w14:paraId="37E3316D" w14:textId="77777777" w:rsidR="00A153CE" w:rsidRPr="00292532" w:rsidRDefault="00A153CE" w:rsidP="00A153CE">
            <w:pPr>
              <w:spacing w:before="0" w:after="0"/>
              <w:jc w:val="center"/>
              <w:rPr>
                <w:rFonts w:eastAsia="Times New Roman" w:cs="Times New Roman"/>
                <w:b/>
                <w:bCs/>
                <w:color w:val="000000"/>
                <w:lang w:val="pt-PT"/>
              </w:rPr>
            </w:pPr>
            <w:r w:rsidRPr="00292532">
              <w:rPr>
                <w:rFonts w:eastAsia="Times New Roman" w:cs="Times New Roman"/>
                <w:b/>
                <w:bCs/>
                <w:color w:val="000000"/>
                <w:lang w:val="pt-PT"/>
              </w:rPr>
              <w:t>PROBABILIDADE</w:t>
            </w:r>
          </w:p>
        </w:tc>
      </w:tr>
      <w:tr w:rsidR="00A153CE" w:rsidRPr="00292532" w14:paraId="109EF7C2" w14:textId="77777777" w:rsidTr="00A153CE">
        <w:trPr>
          <w:trHeight w:val="436"/>
        </w:trPr>
        <w:tc>
          <w:tcPr>
            <w:tcW w:w="1959" w:type="dxa"/>
            <w:vMerge/>
            <w:tcBorders>
              <w:top w:val="single" w:sz="4" w:space="0" w:color="auto"/>
              <w:left w:val="single" w:sz="4" w:space="0" w:color="auto"/>
              <w:bottom w:val="single" w:sz="4" w:space="0" w:color="auto"/>
              <w:right w:val="single" w:sz="4" w:space="0" w:color="auto"/>
            </w:tcBorders>
            <w:vAlign w:val="center"/>
            <w:hideMark/>
          </w:tcPr>
          <w:p w14:paraId="75DE3F3E" w14:textId="77777777" w:rsidR="00A153CE" w:rsidRPr="00292532" w:rsidRDefault="00A153CE" w:rsidP="00A153CE">
            <w:pPr>
              <w:spacing w:before="0" w:after="0"/>
              <w:jc w:val="left"/>
              <w:rPr>
                <w:rFonts w:eastAsia="Times New Roman" w:cs="Times New Roman"/>
                <w:b/>
                <w:bCs/>
                <w:color w:val="000000"/>
                <w:lang w:val="pt-PT"/>
              </w:rPr>
            </w:pPr>
          </w:p>
        </w:tc>
        <w:tc>
          <w:tcPr>
            <w:tcW w:w="1921" w:type="dxa"/>
            <w:tcBorders>
              <w:top w:val="nil"/>
              <w:left w:val="nil"/>
              <w:bottom w:val="single" w:sz="4" w:space="0" w:color="auto"/>
              <w:right w:val="single" w:sz="4" w:space="0" w:color="auto"/>
            </w:tcBorders>
            <w:shd w:val="clear" w:color="auto" w:fill="auto"/>
            <w:noWrap/>
            <w:vAlign w:val="center"/>
            <w:hideMark/>
          </w:tcPr>
          <w:p w14:paraId="6A2D30CC" w14:textId="77777777" w:rsidR="00A153CE" w:rsidRPr="00292532" w:rsidRDefault="00A153CE" w:rsidP="00A153CE">
            <w:pPr>
              <w:spacing w:before="0" w:after="0"/>
              <w:jc w:val="center"/>
              <w:rPr>
                <w:rFonts w:eastAsia="Times New Roman" w:cs="Times New Roman"/>
                <w:b/>
                <w:bCs/>
                <w:color w:val="000000"/>
                <w:lang w:val="pt-PT"/>
              </w:rPr>
            </w:pPr>
            <w:r w:rsidRPr="00292532">
              <w:rPr>
                <w:rFonts w:eastAsia="Times New Roman" w:cs="Times New Roman"/>
                <w:b/>
                <w:bCs/>
                <w:color w:val="000000"/>
                <w:lang w:val="pt-PT"/>
              </w:rPr>
              <w:t>Improvável</w:t>
            </w:r>
          </w:p>
        </w:tc>
        <w:tc>
          <w:tcPr>
            <w:tcW w:w="1921" w:type="dxa"/>
            <w:tcBorders>
              <w:top w:val="nil"/>
              <w:left w:val="nil"/>
              <w:bottom w:val="single" w:sz="4" w:space="0" w:color="auto"/>
              <w:right w:val="single" w:sz="4" w:space="0" w:color="auto"/>
            </w:tcBorders>
            <w:shd w:val="clear" w:color="auto" w:fill="auto"/>
            <w:noWrap/>
            <w:vAlign w:val="center"/>
            <w:hideMark/>
          </w:tcPr>
          <w:p w14:paraId="62B5E4F0" w14:textId="77777777" w:rsidR="00A153CE" w:rsidRPr="00292532" w:rsidRDefault="00A153CE" w:rsidP="00A153CE">
            <w:pPr>
              <w:spacing w:before="0" w:after="0"/>
              <w:jc w:val="center"/>
              <w:rPr>
                <w:rFonts w:eastAsia="Times New Roman" w:cs="Times New Roman"/>
                <w:b/>
                <w:bCs/>
                <w:color w:val="000000"/>
                <w:lang w:val="pt-PT"/>
              </w:rPr>
            </w:pPr>
            <w:r w:rsidRPr="00292532">
              <w:rPr>
                <w:rFonts w:eastAsia="Times New Roman" w:cs="Times New Roman"/>
                <w:b/>
                <w:bCs/>
                <w:color w:val="000000"/>
                <w:lang w:val="pt-PT"/>
              </w:rPr>
              <w:t>Provável</w:t>
            </w:r>
          </w:p>
        </w:tc>
        <w:tc>
          <w:tcPr>
            <w:tcW w:w="1934" w:type="dxa"/>
            <w:tcBorders>
              <w:top w:val="nil"/>
              <w:left w:val="nil"/>
              <w:bottom w:val="single" w:sz="4" w:space="0" w:color="auto"/>
              <w:right w:val="single" w:sz="4" w:space="0" w:color="auto"/>
            </w:tcBorders>
            <w:shd w:val="clear" w:color="auto" w:fill="auto"/>
            <w:vAlign w:val="center"/>
            <w:hideMark/>
          </w:tcPr>
          <w:p w14:paraId="771CBB6D" w14:textId="77777777" w:rsidR="00A153CE" w:rsidRPr="00292532" w:rsidRDefault="00A153CE" w:rsidP="00A153CE">
            <w:pPr>
              <w:spacing w:before="0" w:after="0"/>
              <w:jc w:val="center"/>
              <w:rPr>
                <w:rFonts w:eastAsia="Times New Roman" w:cs="Times New Roman"/>
                <w:b/>
                <w:bCs/>
                <w:color w:val="000000"/>
                <w:lang w:val="pt-PT"/>
              </w:rPr>
            </w:pPr>
            <w:r w:rsidRPr="00292532">
              <w:rPr>
                <w:rFonts w:eastAsia="Times New Roman" w:cs="Times New Roman"/>
                <w:b/>
                <w:bCs/>
                <w:color w:val="000000"/>
                <w:lang w:val="pt-PT"/>
              </w:rPr>
              <w:t xml:space="preserve">Altamente </w:t>
            </w:r>
            <w:r w:rsidRPr="00292532">
              <w:rPr>
                <w:rFonts w:eastAsia="Times New Roman" w:cs="Times New Roman"/>
                <w:b/>
                <w:bCs/>
                <w:color w:val="000000"/>
                <w:lang w:val="pt-PT"/>
              </w:rPr>
              <w:br/>
              <w:t>Provável</w:t>
            </w:r>
          </w:p>
        </w:tc>
        <w:tc>
          <w:tcPr>
            <w:tcW w:w="1890" w:type="dxa"/>
            <w:tcBorders>
              <w:top w:val="nil"/>
              <w:left w:val="nil"/>
              <w:bottom w:val="single" w:sz="4" w:space="0" w:color="auto"/>
              <w:right w:val="single" w:sz="4" w:space="0" w:color="auto"/>
            </w:tcBorders>
            <w:shd w:val="clear" w:color="auto" w:fill="auto"/>
            <w:noWrap/>
            <w:vAlign w:val="center"/>
            <w:hideMark/>
          </w:tcPr>
          <w:p w14:paraId="244F488C" w14:textId="77777777" w:rsidR="00A153CE" w:rsidRPr="00292532" w:rsidRDefault="00A153CE" w:rsidP="00A153CE">
            <w:pPr>
              <w:spacing w:before="0" w:after="0"/>
              <w:jc w:val="center"/>
              <w:rPr>
                <w:rFonts w:eastAsia="Times New Roman" w:cs="Times New Roman"/>
                <w:b/>
                <w:bCs/>
                <w:color w:val="000000"/>
                <w:lang w:val="pt-PT"/>
              </w:rPr>
            </w:pPr>
            <w:r w:rsidRPr="00292532">
              <w:rPr>
                <w:rFonts w:eastAsia="Times New Roman" w:cs="Times New Roman"/>
                <w:b/>
                <w:bCs/>
                <w:color w:val="000000"/>
                <w:lang w:val="pt-PT"/>
              </w:rPr>
              <w:t xml:space="preserve">Definitiva </w:t>
            </w:r>
          </w:p>
        </w:tc>
      </w:tr>
      <w:tr w:rsidR="00A153CE" w:rsidRPr="00292532" w14:paraId="2A509B89" w14:textId="77777777" w:rsidTr="00A153CE">
        <w:trPr>
          <w:trHeight w:val="525"/>
        </w:trPr>
        <w:tc>
          <w:tcPr>
            <w:tcW w:w="1959" w:type="dxa"/>
            <w:tcBorders>
              <w:top w:val="nil"/>
              <w:left w:val="single" w:sz="4" w:space="0" w:color="auto"/>
              <w:bottom w:val="single" w:sz="4" w:space="0" w:color="auto"/>
              <w:right w:val="single" w:sz="4" w:space="0" w:color="auto"/>
            </w:tcBorders>
            <w:shd w:val="clear" w:color="auto" w:fill="auto"/>
            <w:noWrap/>
            <w:vAlign w:val="center"/>
            <w:hideMark/>
          </w:tcPr>
          <w:p w14:paraId="3D93793C" w14:textId="77777777" w:rsidR="00A153CE" w:rsidRPr="00292532" w:rsidRDefault="00A153CE" w:rsidP="00A153CE">
            <w:pPr>
              <w:spacing w:before="0" w:after="0"/>
              <w:jc w:val="center"/>
              <w:rPr>
                <w:rFonts w:eastAsia="Times New Roman" w:cs="Times New Roman"/>
                <w:b/>
                <w:bCs/>
                <w:color w:val="000000"/>
                <w:lang w:val="pt-PT"/>
              </w:rPr>
            </w:pPr>
            <w:r w:rsidRPr="00292532">
              <w:rPr>
                <w:rFonts w:eastAsia="Times New Roman" w:cs="Times New Roman"/>
                <w:b/>
                <w:bCs/>
                <w:color w:val="000000"/>
                <w:lang w:val="pt-PT"/>
              </w:rPr>
              <w:t>Baixa</w:t>
            </w:r>
          </w:p>
        </w:tc>
        <w:tc>
          <w:tcPr>
            <w:tcW w:w="1921" w:type="dxa"/>
            <w:tcBorders>
              <w:top w:val="nil"/>
              <w:left w:val="nil"/>
              <w:bottom w:val="single" w:sz="4" w:space="0" w:color="auto"/>
              <w:right w:val="single" w:sz="4" w:space="0" w:color="auto"/>
            </w:tcBorders>
            <w:shd w:val="clear" w:color="000000" w:fill="00B050"/>
            <w:noWrap/>
            <w:vAlign w:val="center"/>
            <w:hideMark/>
          </w:tcPr>
          <w:p w14:paraId="5D9ECFA2" w14:textId="77777777" w:rsidR="00A153CE" w:rsidRPr="00292532" w:rsidRDefault="00A153CE" w:rsidP="00A153CE">
            <w:pPr>
              <w:spacing w:before="0" w:after="0"/>
              <w:jc w:val="center"/>
              <w:rPr>
                <w:rFonts w:eastAsia="Times New Roman" w:cs="Times New Roman"/>
                <w:color w:val="000000"/>
                <w:lang w:val="pt-PT"/>
              </w:rPr>
            </w:pPr>
            <w:r w:rsidRPr="00292532">
              <w:rPr>
                <w:rFonts w:eastAsia="Times New Roman" w:cs="Times New Roman"/>
                <w:color w:val="000000"/>
                <w:lang w:val="pt-PT"/>
              </w:rPr>
              <w:t>Pouco significativo</w:t>
            </w:r>
          </w:p>
        </w:tc>
        <w:tc>
          <w:tcPr>
            <w:tcW w:w="1921" w:type="dxa"/>
            <w:tcBorders>
              <w:top w:val="nil"/>
              <w:left w:val="nil"/>
              <w:bottom w:val="single" w:sz="4" w:space="0" w:color="auto"/>
              <w:right w:val="single" w:sz="4" w:space="0" w:color="auto"/>
            </w:tcBorders>
            <w:shd w:val="clear" w:color="000000" w:fill="00B050"/>
            <w:noWrap/>
            <w:vAlign w:val="center"/>
            <w:hideMark/>
          </w:tcPr>
          <w:p w14:paraId="309055B7" w14:textId="77777777" w:rsidR="00A153CE" w:rsidRPr="00292532" w:rsidRDefault="00A153CE" w:rsidP="00A153CE">
            <w:pPr>
              <w:spacing w:before="0" w:after="0"/>
              <w:jc w:val="center"/>
              <w:rPr>
                <w:rFonts w:eastAsia="Times New Roman" w:cs="Times New Roman"/>
                <w:color w:val="000000"/>
                <w:lang w:val="pt-PT"/>
              </w:rPr>
            </w:pPr>
            <w:r w:rsidRPr="00292532">
              <w:rPr>
                <w:rFonts w:eastAsia="Times New Roman" w:cs="Times New Roman"/>
                <w:color w:val="000000"/>
                <w:lang w:val="pt-PT"/>
              </w:rPr>
              <w:t>Pouco significativo</w:t>
            </w:r>
          </w:p>
        </w:tc>
        <w:tc>
          <w:tcPr>
            <w:tcW w:w="1934" w:type="dxa"/>
            <w:tcBorders>
              <w:top w:val="nil"/>
              <w:left w:val="nil"/>
              <w:bottom w:val="single" w:sz="4" w:space="0" w:color="auto"/>
              <w:right w:val="single" w:sz="4" w:space="0" w:color="auto"/>
            </w:tcBorders>
            <w:shd w:val="clear" w:color="000000" w:fill="FFFF00"/>
            <w:noWrap/>
            <w:vAlign w:val="center"/>
            <w:hideMark/>
          </w:tcPr>
          <w:p w14:paraId="2C351B7B" w14:textId="77777777" w:rsidR="00A153CE" w:rsidRPr="00292532" w:rsidRDefault="00A153CE" w:rsidP="00A153CE">
            <w:pPr>
              <w:spacing w:before="0" w:after="0"/>
              <w:jc w:val="center"/>
              <w:rPr>
                <w:rFonts w:eastAsia="Times New Roman" w:cs="Times New Roman"/>
                <w:color w:val="000000"/>
                <w:lang w:val="pt-PT"/>
              </w:rPr>
            </w:pPr>
            <w:r w:rsidRPr="00292532">
              <w:rPr>
                <w:rFonts w:eastAsia="Times New Roman" w:cs="Times New Roman"/>
                <w:color w:val="000000"/>
                <w:lang w:val="pt-PT"/>
              </w:rPr>
              <w:t>Significativo</w:t>
            </w:r>
          </w:p>
        </w:tc>
        <w:tc>
          <w:tcPr>
            <w:tcW w:w="1890" w:type="dxa"/>
            <w:tcBorders>
              <w:top w:val="nil"/>
              <w:left w:val="nil"/>
              <w:bottom w:val="single" w:sz="4" w:space="0" w:color="auto"/>
              <w:right w:val="single" w:sz="4" w:space="0" w:color="auto"/>
            </w:tcBorders>
            <w:shd w:val="clear" w:color="000000" w:fill="FFFF00"/>
            <w:noWrap/>
            <w:vAlign w:val="center"/>
            <w:hideMark/>
          </w:tcPr>
          <w:p w14:paraId="0C6C1AE6" w14:textId="77777777" w:rsidR="00A153CE" w:rsidRPr="00292532" w:rsidRDefault="00A153CE" w:rsidP="00A153CE">
            <w:pPr>
              <w:spacing w:before="0" w:after="0"/>
              <w:jc w:val="center"/>
              <w:rPr>
                <w:rFonts w:eastAsia="Times New Roman" w:cs="Times New Roman"/>
                <w:color w:val="000000"/>
                <w:lang w:val="pt-PT"/>
              </w:rPr>
            </w:pPr>
            <w:r w:rsidRPr="00292532">
              <w:rPr>
                <w:rFonts w:eastAsia="Times New Roman" w:cs="Times New Roman"/>
                <w:color w:val="000000"/>
                <w:lang w:val="pt-PT"/>
              </w:rPr>
              <w:t>Significativo</w:t>
            </w:r>
          </w:p>
        </w:tc>
      </w:tr>
      <w:tr w:rsidR="00A153CE" w:rsidRPr="00292532" w14:paraId="281E2B38" w14:textId="77777777" w:rsidTr="00A153CE">
        <w:trPr>
          <w:trHeight w:val="525"/>
        </w:trPr>
        <w:tc>
          <w:tcPr>
            <w:tcW w:w="1959" w:type="dxa"/>
            <w:tcBorders>
              <w:top w:val="nil"/>
              <w:left w:val="single" w:sz="4" w:space="0" w:color="auto"/>
              <w:bottom w:val="single" w:sz="4" w:space="0" w:color="auto"/>
              <w:right w:val="single" w:sz="4" w:space="0" w:color="auto"/>
            </w:tcBorders>
            <w:shd w:val="clear" w:color="auto" w:fill="auto"/>
            <w:noWrap/>
            <w:vAlign w:val="center"/>
            <w:hideMark/>
          </w:tcPr>
          <w:p w14:paraId="716B9029" w14:textId="77777777" w:rsidR="00A153CE" w:rsidRPr="00292532" w:rsidRDefault="00A153CE" w:rsidP="00A153CE">
            <w:pPr>
              <w:spacing w:before="0" w:after="0"/>
              <w:jc w:val="center"/>
              <w:rPr>
                <w:rFonts w:eastAsia="Times New Roman" w:cs="Times New Roman"/>
                <w:b/>
                <w:bCs/>
                <w:color w:val="000000"/>
                <w:lang w:val="pt-PT"/>
              </w:rPr>
            </w:pPr>
            <w:r w:rsidRPr="00292532">
              <w:rPr>
                <w:rFonts w:eastAsia="Times New Roman" w:cs="Times New Roman"/>
                <w:b/>
                <w:bCs/>
                <w:color w:val="000000"/>
                <w:lang w:val="pt-PT"/>
              </w:rPr>
              <w:t>Média</w:t>
            </w:r>
          </w:p>
        </w:tc>
        <w:tc>
          <w:tcPr>
            <w:tcW w:w="1921" w:type="dxa"/>
            <w:tcBorders>
              <w:top w:val="nil"/>
              <w:left w:val="nil"/>
              <w:bottom w:val="single" w:sz="4" w:space="0" w:color="auto"/>
              <w:right w:val="single" w:sz="4" w:space="0" w:color="auto"/>
            </w:tcBorders>
            <w:shd w:val="clear" w:color="000000" w:fill="00B050"/>
            <w:noWrap/>
            <w:vAlign w:val="center"/>
            <w:hideMark/>
          </w:tcPr>
          <w:p w14:paraId="46867A57" w14:textId="77777777" w:rsidR="00A153CE" w:rsidRPr="00292532" w:rsidRDefault="00A153CE" w:rsidP="00A153CE">
            <w:pPr>
              <w:spacing w:before="0" w:after="0"/>
              <w:jc w:val="center"/>
              <w:rPr>
                <w:rFonts w:eastAsia="Times New Roman" w:cs="Times New Roman"/>
                <w:color w:val="000000"/>
                <w:lang w:val="pt-PT"/>
              </w:rPr>
            </w:pPr>
            <w:r w:rsidRPr="00292532">
              <w:rPr>
                <w:rFonts w:eastAsia="Times New Roman" w:cs="Times New Roman"/>
                <w:color w:val="000000"/>
                <w:lang w:val="pt-PT"/>
              </w:rPr>
              <w:t>Pouco significativo</w:t>
            </w:r>
          </w:p>
        </w:tc>
        <w:tc>
          <w:tcPr>
            <w:tcW w:w="1921" w:type="dxa"/>
            <w:tcBorders>
              <w:top w:val="nil"/>
              <w:left w:val="nil"/>
              <w:bottom w:val="single" w:sz="4" w:space="0" w:color="auto"/>
              <w:right w:val="single" w:sz="4" w:space="0" w:color="auto"/>
            </w:tcBorders>
            <w:shd w:val="clear" w:color="000000" w:fill="FFFF00"/>
            <w:noWrap/>
            <w:vAlign w:val="center"/>
            <w:hideMark/>
          </w:tcPr>
          <w:p w14:paraId="301048C7" w14:textId="77777777" w:rsidR="00A153CE" w:rsidRPr="00292532" w:rsidRDefault="00A153CE" w:rsidP="00A153CE">
            <w:pPr>
              <w:spacing w:before="0" w:after="0"/>
              <w:jc w:val="center"/>
              <w:rPr>
                <w:rFonts w:eastAsia="Times New Roman" w:cs="Times New Roman"/>
                <w:color w:val="000000"/>
                <w:lang w:val="pt-PT"/>
              </w:rPr>
            </w:pPr>
            <w:r w:rsidRPr="00292532">
              <w:rPr>
                <w:rFonts w:eastAsia="Times New Roman" w:cs="Times New Roman"/>
                <w:color w:val="000000"/>
                <w:lang w:val="pt-PT"/>
              </w:rPr>
              <w:t>Significativo</w:t>
            </w:r>
          </w:p>
        </w:tc>
        <w:tc>
          <w:tcPr>
            <w:tcW w:w="1934" w:type="dxa"/>
            <w:tcBorders>
              <w:top w:val="nil"/>
              <w:left w:val="nil"/>
              <w:bottom w:val="single" w:sz="4" w:space="0" w:color="auto"/>
              <w:right w:val="single" w:sz="4" w:space="0" w:color="auto"/>
            </w:tcBorders>
            <w:shd w:val="clear" w:color="000000" w:fill="FFFF00"/>
            <w:noWrap/>
            <w:vAlign w:val="center"/>
            <w:hideMark/>
          </w:tcPr>
          <w:p w14:paraId="7BC4C6B7" w14:textId="77777777" w:rsidR="00A153CE" w:rsidRPr="00292532" w:rsidRDefault="00A153CE" w:rsidP="00A153CE">
            <w:pPr>
              <w:spacing w:before="0" w:after="0"/>
              <w:jc w:val="center"/>
              <w:rPr>
                <w:rFonts w:eastAsia="Times New Roman" w:cs="Times New Roman"/>
                <w:color w:val="000000"/>
                <w:lang w:val="pt-PT"/>
              </w:rPr>
            </w:pPr>
            <w:r w:rsidRPr="00292532">
              <w:rPr>
                <w:rFonts w:eastAsia="Times New Roman" w:cs="Times New Roman"/>
                <w:color w:val="000000"/>
                <w:lang w:val="pt-PT"/>
              </w:rPr>
              <w:t>Significativo</w:t>
            </w:r>
          </w:p>
        </w:tc>
        <w:tc>
          <w:tcPr>
            <w:tcW w:w="1890" w:type="dxa"/>
            <w:tcBorders>
              <w:top w:val="nil"/>
              <w:left w:val="nil"/>
              <w:bottom w:val="single" w:sz="4" w:space="0" w:color="auto"/>
              <w:right w:val="single" w:sz="4" w:space="0" w:color="auto"/>
            </w:tcBorders>
            <w:shd w:val="clear" w:color="000000" w:fill="FF0000"/>
            <w:noWrap/>
            <w:vAlign w:val="center"/>
            <w:hideMark/>
          </w:tcPr>
          <w:p w14:paraId="4708652C" w14:textId="77777777" w:rsidR="00A153CE" w:rsidRPr="00292532" w:rsidRDefault="00A153CE" w:rsidP="00A153CE">
            <w:pPr>
              <w:spacing w:before="0" w:after="0"/>
              <w:jc w:val="center"/>
              <w:rPr>
                <w:rFonts w:eastAsia="Times New Roman" w:cs="Times New Roman"/>
                <w:color w:val="000000"/>
                <w:lang w:val="pt-PT"/>
              </w:rPr>
            </w:pPr>
            <w:r w:rsidRPr="00292532">
              <w:rPr>
                <w:rFonts w:eastAsia="Times New Roman" w:cs="Times New Roman"/>
                <w:color w:val="000000"/>
                <w:lang w:val="pt-PT"/>
              </w:rPr>
              <w:t xml:space="preserve">Muito </w:t>
            </w:r>
            <w:proofErr w:type="gramStart"/>
            <w:r w:rsidRPr="00292532">
              <w:rPr>
                <w:rFonts w:eastAsia="Times New Roman" w:cs="Times New Roman"/>
                <w:color w:val="000000"/>
                <w:lang w:val="pt-PT"/>
              </w:rPr>
              <w:t>Significativo</w:t>
            </w:r>
            <w:proofErr w:type="gramEnd"/>
          </w:p>
        </w:tc>
      </w:tr>
      <w:tr w:rsidR="00A153CE" w:rsidRPr="00292532" w14:paraId="27C2F04D" w14:textId="77777777" w:rsidTr="00A153CE">
        <w:trPr>
          <w:trHeight w:val="525"/>
        </w:trPr>
        <w:tc>
          <w:tcPr>
            <w:tcW w:w="1959" w:type="dxa"/>
            <w:tcBorders>
              <w:top w:val="nil"/>
              <w:left w:val="single" w:sz="4" w:space="0" w:color="auto"/>
              <w:bottom w:val="single" w:sz="4" w:space="0" w:color="auto"/>
              <w:right w:val="single" w:sz="4" w:space="0" w:color="auto"/>
            </w:tcBorders>
            <w:shd w:val="clear" w:color="auto" w:fill="auto"/>
            <w:noWrap/>
            <w:vAlign w:val="center"/>
            <w:hideMark/>
          </w:tcPr>
          <w:p w14:paraId="286CBBD7" w14:textId="77777777" w:rsidR="00A153CE" w:rsidRPr="00292532" w:rsidRDefault="00A153CE" w:rsidP="00A153CE">
            <w:pPr>
              <w:spacing w:before="0" w:after="0"/>
              <w:jc w:val="center"/>
              <w:rPr>
                <w:rFonts w:eastAsia="Times New Roman" w:cs="Times New Roman"/>
                <w:b/>
                <w:bCs/>
                <w:color w:val="000000"/>
                <w:lang w:val="pt-PT"/>
              </w:rPr>
            </w:pPr>
            <w:r w:rsidRPr="00292532">
              <w:rPr>
                <w:rFonts w:eastAsia="Times New Roman" w:cs="Times New Roman"/>
                <w:b/>
                <w:bCs/>
                <w:color w:val="000000"/>
                <w:lang w:val="pt-PT"/>
              </w:rPr>
              <w:t>Alta</w:t>
            </w:r>
          </w:p>
        </w:tc>
        <w:tc>
          <w:tcPr>
            <w:tcW w:w="1921" w:type="dxa"/>
            <w:tcBorders>
              <w:top w:val="nil"/>
              <w:left w:val="nil"/>
              <w:bottom w:val="single" w:sz="4" w:space="0" w:color="auto"/>
              <w:right w:val="single" w:sz="4" w:space="0" w:color="auto"/>
            </w:tcBorders>
            <w:shd w:val="clear" w:color="000000" w:fill="FFFF00"/>
            <w:noWrap/>
            <w:vAlign w:val="center"/>
            <w:hideMark/>
          </w:tcPr>
          <w:p w14:paraId="6E6EFF4B" w14:textId="77777777" w:rsidR="00A153CE" w:rsidRPr="00292532" w:rsidRDefault="00A153CE" w:rsidP="00A153CE">
            <w:pPr>
              <w:spacing w:before="0" w:after="0"/>
              <w:jc w:val="center"/>
              <w:rPr>
                <w:rFonts w:eastAsia="Times New Roman" w:cs="Times New Roman"/>
                <w:color w:val="000000"/>
                <w:lang w:val="pt-PT"/>
              </w:rPr>
            </w:pPr>
            <w:r w:rsidRPr="00292532">
              <w:rPr>
                <w:rFonts w:eastAsia="Times New Roman" w:cs="Times New Roman"/>
                <w:color w:val="000000"/>
                <w:lang w:val="pt-PT"/>
              </w:rPr>
              <w:t>Significativo</w:t>
            </w:r>
          </w:p>
        </w:tc>
        <w:tc>
          <w:tcPr>
            <w:tcW w:w="1921" w:type="dxa"/>
            <w:tcBorders>
              <w:top w:val="nil"/>
              <w:left w:val="nil"/>
              <w:bottom w:val="single" w:sz="4" w:space="0" w:color="auto"/>
              <w:right w:val="single" w:sz="4" w:space="0" w:color="auto"/>
            </w:tcBorders>
            <w:shd w:val="clear" w:color="000000" w:fill="FFFF00"/>
            <w:noWrap/>
            <w:vAlign w:val="center"/>
            <w:hideMark/>
          </w:tcPr>
          <w:p w14:paraId="3344D86F" w14:textId="77777777" w:rsidR="00A153CE" w:rsidRPr="00292532" w:rsidRDefault="00A153CE" w:rsidP="00A153CE">
            <w:pPr>
              <w:spacing w:before="0" w:after="0"/>
              <w:jc w:val="center"/>
              <w:rPr>
                <w:rFonts w:eastAsia="Times New Roman" w:cs="Times New Roman"/>
                <w:color w:val="000000"/>
                <w:lang w:val="pt-PT"/>
              </w:rPr>
            </w:pPr>
            <w:r w:rsidRPr="00292532">
              <w:rPr>
                <w:rFonts w:eastAsia="Times New Roman" w:cs="Times New Roman"/>
                <w:color w:val="000000"/>
                <w:lang w:val="pt-PT"/>
              </w:rPr>
              <w:t>Significativo</w:t>
            </w:r>
          </w:p>
        </w:tc>
        <w:tc>
          <w:tcPr>
            <w:tcW w:w="1934" w:type="dxa"/>
            <w:tcBorders>
              <w:top w:val="nil"/>
              <w:left w:val="nil"/>
              <w:bottom w:val="single" w:sz="4" w:space="0" w:color="auto"/>
              <w:right w:val="single" w:sz="4" w:space="0" w:color="auto"/>
            </w:tcBorders>
            <w:shd w:val="clear" w:color="000000" w:fill="FF0000"/>
            <w:noWrap/>
            <w:vAlign w:val="center"/>
            <w:hideMark/>
          </w:tcPr>
          <w:p w14:paraId="732FDB49" w14:textId="77777777" w:rsidR="00A153CE" w:rsidRPr="00292532" w:rsidRDefault="00A153CE" w:rsidP="00A153CE">
            <w:pPr>
              <w:spacing w:before="0" w:after="0"/>
              <w:jc w:val="center"/>
              <w:rPr>
                <w:rFonts w:eastAsia="Times New Roman" w:cs="Times New Roman"/>
                <w:color w:val="000000"/>
                <w:lang w:val="pt-PT"/>
              </w:rPr>
            </w:pPr>
            <w:r w:rsidRPr="00292532">
              <w:rPr>
                <w:rFonts w:eastAsia="Times New Roman" w:cs="Times New Roman"/>
                <w:color w:val="000000"/>
                <w:lang w:val="pt-PT"/>
              </w:rPr>
              <w:t xml:space="preserve">Muito </w:t>
            </w:r>
            <w:proofErr w:type="gramStart"/>
            <w:r w:rsidRPr="00292532">
              <w:rPr>
                <w:rFonts w:eastAsia="Times New Roman" w:cs="Times New Roman"/>
                <w:color w:val="000000"/>
                <w:lang w:val="pt-PT"/>
              </w:rPr>
              <w:t>Significativo</w:t>
            </w:r>
            <w:proofErr w:type="gramEnd"/>
          </w:p>
        </w:tc>
        <w:tc>
          <w:tcPr>
            <w:tcW w:w="1890" w:type="dxa"/>
            <w:tcBorders>
              <w:top w:val="nil"/>
              <w:left w:val="nil"/>
              <w:bottom w:val="single" w:sz="4" w:space="0" w:color="auto"/>
              <w:right w:val="single" w:sz="4" w:space="0" w:color="auto"/>
            </w:tcBorders>
            <w:shd w:val="clear" w:color="000000" w:fill="FF0000"/>
            <w:noWrap/>
            <w:vAlign w:val="center"/>
            <w:hideMark/>
          </w:tcPr>
          <w:p w14:paraId="0DFC6BDF" w14:textId="77777777" w:rsidR="00A153CE" w:rsidRPr="00292532" w:rsidRDefault="00A153CE" w:rsidP="00A153CE">
            <w:pPr>
              <w:spacing w:before="0" w:after="0"/>
              <w:jc w:val="center"/>
              <w:rPr>
                <w:rFonts w:eastAsia="Times New Roman" w:cs="Times New Roman"/>
                <w:color w:val="000000"/>
                <w:lang w:val="pt-PT"/>
              </w:rPr>
            </w:pPr>
            <w:r w:rsidRPr="00292532">
              <w:rPr>
                <w:rFonts w:eastAsia="Times New Roman" w:cs="Times New Roman"/>
                <w:color w:val="000000"/>
                <w:lang w:val="pt-PT"/>
              </w:rPr>
              <w:t xml:space="preserve">Muito </w:t>
            </w:r>
            <w:proofErr w:type="gramStart"/>
            <w:r w:rsidRPr="00292532">
              <w:rPr>
                <w:rFonts w:eastAsia="Times New Roman" w:cs="Times New Roman"/>
                <w:color w:val="000000"/>
                <w:lang w:val="pt-PT"/>
              </w:rPr>
              <w:t>Significativo</w:t>
            </w:r>
            <w:proofErr w:type="gramEnd"/>
          </w:p>
        </w:tc>
      </w:tr>
    </w:tbl>
    <w:p w14:paraId="799FBBAA" w14:textId="662BCF60" w:rsidR="004B4E0F" w:rsidRPr="00292532" w:rsidRDefault="00A153CE" w:rsidP="004B4E0F">
      <w:pPr>
        <w:overflowPunct w:val="0"/>
        <w:autoSpaceDE w:val="0"/>
        <w:autoSpaceDN w:val="0"/>
        <w:adjustRightInd w:val="0"/>
        <w:spacing w:before="0" w:after="0" w:line="264" w:lineRule="auto"/>
        <w:jc w:val="left"/>
        <w:rPr>
          <w:rFonts w:eastAsia="Times New Roman" w:cs="Times New Roman"/>
          <w:szCs w:val="20"/>
          <w:lang w:val="pt-PT" w:eastAsia="en-GB"/>
        </w:rPr>
      </w:pPr>
      <w:r w:rsidRPr="00292532">
        <w:rPr>
          <w:rFonts w:eastAsia="Times New Roman" w:cs="Times New Roman"/>
          <w:szCs w:val="20"/>
          <w:lang w:val="pt-PT" w:eastAsia="en-GB"/>
        </w:rPr>
        <w:t xml:space="preserve">Medidas de mitigação e recomendações devem ser propostas, </w:t>
      </w:r>
      <w:r w:rsidR="009F6136" w:rsidRPr="00292532">
        <w:rPr>
          <w:rFonts w:eastAsia="Times New Roman" w:cs="Times New Roman"/>
          <w:szCs w:val="20"/>
          <w:lang w:val="pt-PT" w:eastAsia="en-GB"/>
        </w:rPr>
        <w:t>obedecendo</w:t>
      </w:r>
      <w:r w:rsidRPr="00292532">
        <w:rPr>
          <w:rFonts w:eastAsia="Times New Roman" w:cs="Times New Roman"/>
          <w:szCs w:val="20"/>
          <w:lang w:val="pt-PT" w:eastAsia="en-GB"/>
        </w:rPr>
        <w:t xml:space="preserve"> a </w:t>
      </w:r>
      <w:r w:rsidR="004B4E0F" w:rsidRPr="00292532">
        <w:rPr>
          <w:rFonts w:eastAsia="Times New Roman" w:cs="Times New Roman"/>
          <w:szCs w:val="20"/>
          <w:lang w:val="pt-PT" w:eastAsia="en-GB"/>
        </w:rPr>
        <w:t xml:space="preserve">hierarquia de mitigação proposta pela Norma Ambiental e Social (NAS1) do Banco Mundial, que compreendendo uma abordagem sistemática que prioriza em ordem decrescente as seguintes etapas: </w:t>
      </w:r>
    </w:p>
    <w:p w14:paraId="7FEF5B18" w14:textId="77777777" w:rsidR="004B4E0F" w:rsidRPr="00292532" w:rsidRDefault="004B4E0F" w:rsidP="004B4E0F">
      <w:pPr>
        <w:overflowPunct w:val="0"/>
        <w:autoSpaceDE w:val="0"/>
        <w:autoSpaceDN w:val="0"/>
        <w:adjustRightInd w:val="0"/>
        <w:spacing w:before="0" w:after="0" w:line="264" w:lineRule="auto"/>
        <w:jc w:val="left"/>
        <w:rPr>
          <w:rFonts w:eastAsia="Times New Roman" w:cs="Times New Roman"/>
          <w:szCs w:val="20"/>
          <w:lang w:val="pt-PT" w:eastAsia="en-GB"/>
        </w:rPr>
      </w:pPr>
      <w:r w:rsidRPr="00292532">
        <w:rPr>
          <w:rFonts w:eastAsia="Times New Roman" w:cs="Times New Roman"/>
          <w:szCs w:val="20"/>
          <w:lang w:val="pt-PT" w:eastAsia="en-GB"/>
        </w:rPr>
        <w:t>i.</w:t>
      </w:r>
      <w:r w:rsidRPr="00292532">
        <w:rPr>
          <w:rFonts w:eastAsia="Times New Roman" w:cs="Times New Roman"/>
          <w:szCs w:val="20"/>
          <w:lang w:val="pt-PT" w:eastAsia="en-GB"/>
        </w:rPr>
        <w:tab/>
      </w:r>
      <w:r w:rsidRPr="00292532">
        <w:rPr>
          <w:rFonts w:eastAsia="Times New Roman" w:cs="Times New Roman"/>
          <w:b/>
          <w:bCs/>
          <w:szCs w:val="20"/>
          <w:lang w:val="pt-PT" w:eastAsia="en-GB"/>
        </w:rPr>
        <w:t xml:space="preserve">evitar </w:t>
      </w:r>
      <w:r w:rsidRPr="00292532">
        <w:rPr>
          <w:rFonts w:eastAsia="Times New Roman" w:cs="Times New Roman"/>
          <w:szCs w:val="20"/>
          <w:lang w:val="pt-PT" w:eastAsia="en-GB"/>
        </w:rPr>
        <w:t>riscos e impactos adversos e aumentar os impactos e benefícios positivos para as comunidades e o meio físico, na medida do possível;</w:t>
      </w:r>
    </w:p>
    <w:p w14:paraId="1C86AF1E" w14:textId="77777777" w:rsidR="004B4E0F" w:rsidRPr="00292532" w:rsidRDefault="004B4E0F" w:rsidP="004B4E0F">
      <w:pPr>
        <w:overflowPunct w:val="0"/>
        <w:autoSpaceDE w:val="0"/>
        <w:autoSpaceDN w:val="0"/>
        <w:adjustRightInd w:val="0"/>
        <w:spacing w:before="0" w:after="0" w:line="264" w:lineRule="auto"/>
        <w:jc w:val="left"/>
        <w:rPr>
          <w:rFonts w:eastAsia="Times New Roman" w:cs="Times New Roman"/>
          <w:szCs w:val="20"/>
          <w:lang w:val="pt-PT" w:eastAsia="en-GB"/>
        </w:rPr>
      </w:pPr>
      <w:proofErr w:type="spellStart"/>
      <w:r w:rsidRPr="00292532">
        <w:rPr>
          <w:rFonts w:eastAsia="Times New Roman" w:cs="Times New Roman"/>
          <w:szCs w:val="20"/>
          <w:lang w:val="pt-PT" w:eastAsia="en-GB"/>
        </w:rPr>
        <w:t>ii</w:t>
      </w:r>
      <w:proofErr w:type="spellEnd"/>
      <w:r w:rsidRPr="00292532">
        <w:rPr>
          <w:rFonts w:eastAsia="Times New Roman" w:cs="Times New Roman"/>
          <w:szCs w:val="20"/>
          <w:lang w:val="pt-PT" w:eastAsia="en-GB"/>
        </w:rPr>
        <w:t>.</w:t>
      </w:r>
      <w:r w:rsidRPr="00292532">
        <w:rPr>
          <w:rFonts w:eastAsia="Times New Roman" w:cs="Times New Roman"/>
          <w:szCs w:val="20"/>
          <w:lang w:val="pt-PT" w:eastAsia="en-GB"/>
        </w:rPr>
        <w:tab/>
      </w:r>
      <w:r w:rsidRPr="00292532">
        <w:rPr>
          <w:rFonts w:eastAsia="Times New Roman" w:cs="Times New Roman"/>
          <w:b/>
          <w:bCs/>
          <w:szCs w:val="20"/>
          <w:lang w:val="pt-PT" w:eastAsia="en-GB"/>
        </w:rPr>
        <w:t>minimizar</w:t>
      </w:r>
      <w:r w:rsidRPr="00292532">
        <w:rPr>
          <w:rFonts w:eastAsia="Times New Roman" w:cs="Times New Roman"/>
          <w:szCs w:val="20"/>
          <w:lang w:val="pt-PT" w:eastAsia="en-GB"/>
        </w:rPr>
        <w:t xml:space="preserve"> os riscos e impactos adversos que não podem ser evitados; </w:t>
      </w:r>
    </w:p>
    <w:p w14:paraId="75F8CE10" w14:textId="77777777" w:rsidR="004B4E0F" w:rsidRPr="00292532" w:rsidRDefault="004B4E0F" w:rsidP="004B4E0F">
      <w:pPr>
        <w:overflowPunct w:val="0"/>
        <w:autoSpaceDE w:val="0"/>
        <w:autoSpaceDN w:val="0"/>
        <w:adjustRightInd w:val="0"/>
        <w:spacing w:before="0" w:after="0" w:line="264" w:lineRule="auto"/>
        <w:jc w:val="left"/>
        <w:rPr>
          <w:rFonts w:eastAsia="Times New Roman" w:cs="Times New Roman"/>
          <w:szCs w:val="20"/>
          <w:lang w:val="pt-PT" w:eastAsia="en-GB"/>
        </w:rPr>
      </w:pPr>
      <w:proofErr w:type="spellStart"/>
      <w:r w:rsidRPr="00292532">
        <w:rPr>
          <w:rFonts w:eastAsia="Times New Roman" w:cs="Times New Roman"/>
          <w:szCs w:val="20"/>
          <w:lang w:val="pt-PT" w:eastAsia="en-GB"/>
        </w:rPr>
        <w:t>iii</w:t>
      </w:r>
      <w:proofErr w:type="spellEnd"/>
      <w:r w:rsidRPr="00292532">
        <w:rPr>
          <w:rFonts w:eastAsia="Times New Roman" w:cs="Times New Roman"/>
          <w:szCs w:val="20"/>
          <w:lang w:val="pt-PT" w:eastAsia="en-GB"/>
        </w:rPr>
        <w:t>.</w:t>
      </w:r>
      <w:r w:rsidRPr="00292532">
        <w:rPr>
          <w:rFonts w:eastAsia="Times New Roman" w:cs="Times New Roman"/>
          <w:szCs w:val="20"/>
          <w:lang w:val="pt-PT" w:eastAsia="en-GB"/>
        </w:rPr>
        <w:tab/>
      </w:r>
      <w:r w:rsidRPr="00292532">
        <w:rPr>
          <w:rFonts w:eastAsia="Times New Roman" w:cs="Times New Roman"/>
          <w:b/>
          <w:bCs/>
          <w:szCs w:val="20"/>
          <w:lang w:val="pt-PT" w:eastAsia="en-GB"/>
        </w:rPr>
        <w:t>remediar ou mitigar</w:t>
      </w:r>
      <w:r w:rsidRPr="00292532">
        <w:rPr>
          <w:rFonts w:eastAsia="Times New Roman" w:cs="Times New Roman"/>
          <w:szCs w:val="20"/>
          <w:lang w:val="pt-PT" w:eastAsia="en-GB"/>
        </w:rPr>
        <w:t xml:space="preserve"> os riscos e impactos adversos residuais a um nível aceitável; e</w:t>
      </w:r>
    </w:p>
    <w:p w14:paraId="49E70887" w14:textId="6506368B" w:rsidR="00A153CE" w:rsidRPr="00292532" w:rsidRDefault="004B4E0F" w:rsidP="004B4E0F">
      <w:pPr>
        <w:overflowPunct w:val="0"/>
        <w:autoSpaceDE w:val="0"/>
        <w:autoSpaceDN w:val="0"/>
        <w:adjustRightInd w:val="0"/>
        <w:spacing w:before="0" w:after="0" w:line="264" w:lineRule="auto"/>
        <w:jc w:val="left"/>
        <w:rPr>
          <w:rFonts w:eastAsia="Times New Roman" w:cs="Times New Roman"/>
          <w:szCs w:val="20"/>
          <w:lang w:val="pt-PT" w:eastAsia="en-GB"/>
        </w:rPr>
      </w:pPr>
      <w:proofErr w:type="spellStart"/>
      <w:r w:rsidRPr="00292532">
        <w:rPr>
          <w:rFonts w:eastAsia="Times New Roman" w:cs="Times New Roman"/>
          <w:szCs w:val="20"/>
          <w:lang w:val="pt-PT" w:eastAsia="en-GB"/>
        </w:rPr>
        <w:t>iv</w:t>
      </w:r>
      <w:proofErr w:type="spellEnd"/>
      <w:r w:rsidRPr="00292532">
        <w:rPr>
          <w:rFonts w:eastAsia="Times New Roman" w:cs="Times New Roman"/>
          <w:szCs w:val="20"/>
          <w:lang w:val="pt-PT" w:eastAsia="en-GB"/>
        </w:rPr>
        <w:t>.</w:t>
      </w:r>
      <w:r w:rsidRPr="00292532">
        <w:rPr>
          <w:rFonts w:eastAsia="Times New Roman" w:cs="Times New Roman"/>
          <w:szCs w:val="20"/>
          <w:lang w:val="pt-PT" w:eastAsia="en-GB"/>
        </w:rPr>
        <w:tab/>
      </w:r>
      <w:r w:rsidRPr="00292532">
        <w:rPr>
          <w:rFonts w:eastAsia="Times New Roman" w:cs="Times New Roman"/>
          <w:b/>
          <w:bCs/>
          <w:szCs w:val="20"/>
          <w:lang w:val="pt-PT" w:eastAsia="en-GB"/>
        </w:rPr>
        <w:t>compensar ou equilibrar</w:t>
      </w:r>
      <w:r w:rsidRPr="00292532">
        <w:rPr>
          <w:rFonts w:eastAsia="Times New Roman" w:cs="Times New Roman"/>
          <w:szCs w:val="20"/>
          <w:lang w:val="pt-PT" w:eastAsia="en-GB"/>
        </w:rPr>
        <w:t xml:space="preserve"> os riscos e impactos residuais que não podem ser remediados.</w:t>
      </w:r>
    </w:p>
    <w:p w14:paraId="49F9EFBF" w14:textId="4EB65021" w:rsidR="00C9567A" w:rsidRPr="00292532" w:rsidRDefault="00C9567A" w:rsidP="00FD734E">
      <w:pPr>
        <w:pStyle w:val="FootnoteText"/>
        <w:rPr>
          <w:i/>
          <w:iCs/>
          <w:sz w:val="22"/>
          <w:szCs w:val="22"/>
          <w:lang w:val="pt-PT" w:eastAsia="ja-JP"/>
        </w:rPr>
      </w:pPr>
      <w:r w:rsidRPr="00292532">
        <w:rPr>
          <w:i/>
          <w:iCs/>
          <w:sz w:val="22"/>
          <w:szCs w:val="22"/>
          <w:lang w:val="pt-PT" w:eastAsia="ja-JP"/>
        </w:rPr>
        <w:t xml:space="preserve">Plano de Gestão Ambiental </w:t>
      </w:r>
      <w:r w:rsidR="00497045" w:rsidRPr="00292532">
        <w:rPr>
          <w:i/>
          <w:iCs/>
          <w:sz w:val="22"/>
          <w:szCs w:val="22"/>
          <w:lang w:val="pt-PT" w:eastAsia="ja-JP"/>
        </w:rPr>
        <w:t xml:space="preserve">e Social </w:t>
      </w:r>
    </w:p>
    <w:p w14:paraId="425BB67F" w14:textId="72AE0397" w:rsidR="00497045" w:rsidRPr="00292532" w:rsidRDefault="00C9567A" w:rsidP="00FD734E">
      <w:pPr>
        <w:pStyle w:val="FootnoteText"/>
        <w:rPr>
          <w:sz w:val="22"/>
          <w:szCs w:val="22"/>
          <w:lang w:val="pt-PT" w:eastAsia="ja-JP"/>
        </w:rPr>
      </w:pPr>
      <w:r w:rsidRPr="00292532">
        <w:rPr>
          <w:sz w:val="22"/>
          <w:szCs w:val="22"/>
          <w:lang w:val="pt-PT" w:eastAsia="ja-JP"/>
        </w:rPr>
        <w:t xml:space="preserve">As medidas de mitigações e recomendações de gestão ambiental e social do </w:t>
      </w:r>
      <w:proofErr w:type="spellStart"/>
      <w:r w:rsidRPr="00292532">
        <w:rPr>
          <w:sz w:val="22"/>
          <w:szCs w:val="22"/>
          <w:lang w:val="pt-PT" w:eastAsia="ja-JP"/>
        </w:rPr>
        <w:t>Projecto</w:t>
      </w:r>
      <w:proofErr w:type="spellEnd"/>
      <w:r w:rsidRPr="00292532">
        <w:rPr>
          <w:sz w:val="22"/>
          <w:szCs w:val="22"/>
          <w:lang w:val="pt-PT" w:eastAsia="ja-JP"/>
        </w:rPr>
        <w:t xml:space="preserve"> deverão ser integradas num Plano de Gestão Ambiental </w:t>
      </w:r>
      <w:r w:rsidR="004B4E0F" w:rsidRPr="00292532">
        <w:rPr>
          <w:sz w:val="22"/>
          <w:szCs w:val="22"/>
          <w:lang w:val="pt-PT" w:eastAsia="ja-JP"/>
        </w:rPr>
        <w:t xml:space="preserve">e Social </w:t>
      </w:r>
      <w:r w:rsidRPr="00292532">
        <w:rPr>
          <w:sz w:val="22"/>
          <w:szCs w:val="22"/>
          <w:lang w:val="pt-PT" w:eastAsia="ja-JP"/>
        </w:rPr>
        <w:t xml:space="preserve">a ser implementado nas fases de construção e de operação e manutenção dos sistemas. </w:t>
      </w:r>
      <w:r w:rsidR="00497045" w:rsidRPr="00292532">
        <w:rPr>
          <w:sz w:val="22"/>
          <w:szCs w:val="22"/>
          <w:lang w:val="pt-PT" w:eastAsia="ja-JP"/>
        </w:rPr>
        <w:t xml:space="preserve">O </w:t>
      </w:r>
      <w:r w:rsidR="001978AF" w:rsidRPr="00292532">
        <w:rPr>
          <w:sz w:val="22"/>
          <w:szCs w:val="22"/>
          <w:lang w:val="pt-PT" w:eastAsia="ja-JP"/>
        </w:rPr>
        <w:t>PGAS</w:t>
      </w:r>
      <w:r w:rsidR="00497045" w:rsidRPr="00292532">
        <w:rPr>
          <w:sz w:val="22"/>
          <w:szCs w:val="22"/>
          <w:lang w:val="pt-PT" w:eastAsia="ja-JP"/>
        </w:rPr>
        <w:t xml:space="preserve"> deve integrar um Programa de Monitorização dos </w:t>
      </w:r>
      <w:proofErr w:type="spellStart"/>
      <w:r w:rsidR="00497045" w:rsidRPr="00292532">
        <w:rPr>
          <w:sz w:val="22"/>
          <w:szCs w:val="22"/>
          <w:lang w:val="pt-PT" w:eastAsia="ja-JP"/>
        </w:rPr>
        <w:t>aspectos</w:t>
      </w:r>
      <w:proofErr w:type="spellEnd"/>
      <w:r w:rsidR="00497045" w:rsidRPr="00292532">
        <w:rPr>
          <w:sz w:val="22"/>
          <w:szCs w:val="22"/>
          <w:lang w:val="pt-PT" w:eastAsia="ja-JP"/>
        </w:rPr>
        <w:t xml:space="preserve"> ambientais e sociais do </w:t>
      </w:r>
      <w:proofErr w:type="spellStart"/>
      <w:r w:rsidR="00497045" w:rsidRPr="00292532">
        <w:rPr>
          <w:sz w:val="22"/>
          <w:szCs w:val="22"/>
          <w:lang w:val="pt-PT" w:eastAsia="ja-JP"/>
        </w:rPr>
        <w:t>Projecto</w:t>
      </w:r>
      <w:proofErr w:type="spellEnd"/>
      <w:r w:rsidR="00497045" w:rsidRPr="00292532">
        <w:rPr>
          <w:sz w:val="22"/>
          <w:szCs w:val="22"/>
          <w:lang w:val="pt-PT" w:eastAsia="ja-JP"/>
        </w:rPr>
        <w:t>.</w:t>
      </w:r>
    </w:p>
    <w:p w14:paraId="6E598AFF" w14:textId="18CCB703" w:rsidR="00497045" w:rsidRPr="00292532" w:rsidRDefault="001978AF" w:rsidP="00497045">
      <w:pPr>
        <w:pStyle w:val="FootnoteText"/>
        <w:rPr>
          <w:sz w:val="22"/>
          <w:szCs w:val="22"/>
          <w:lang w:val="pt-PT" w:eastAsia="ja-JP"/>
        </w:rPr>
      </w:pPr>
      <w:r w:rsidRPr="00292532">
        <w:rPr>
          <w:sz w:val="22"/>
          <w:szCs w:val="22"/>
          <w:lang w:val="pt-PT" w:eastAsia="ja-JP"/>
        </w:rPr>
        <w:t>PGAS</w:t>
      </w:r>
      <w:r w:rsidR="00497045" w:rsidRPr="00292532">
        <w:rPr>
          <w:sz w:val="22"/>
          <w:szCs w:val="22"/>
          <w:lang w:val="pt-PT" w:eastAsia="ja-JP"/>
        </w:rPr>
        <w:t xml:space="preserve"> deve conter os seguintes conteúdos: </w:t>
      </w:r>
    </w:p>
    <w:p w14:paraId="5B038BB5" w14:textId="664AD760" w:rsidR="00497045" w:rsidRPr="00292532" w:rsidRDefault="00497045" w:rsidP="0029439B">
      <w:pPr>
        <w:pStyle w:val="ListParagraph"/>
        <w:rPr>
          <w:lang w:val="pt-PT" w:eastAsia="ja-JP"/>
        </w:rPr>
      </w:pPr>
      <w:r w:rsidRPr="00292532">
        <w:rPr>
          <w:lang w:val="pt-PT" w:eastAsia="ja-JP"/>
        </w:rPr>
        <w:t>Instrumentos normativos aplicáveis</w:t>
      </w:r>
    </w:p>
    <w:p w14:paraId="3402C424" w14:textId="5A491D65" w:rsidR="0029439B" w:rsidRPr="00292532" w:rsidRDefault="00497045" w:rsidP="0029439B">
      <w:pPr>
        <w:pStyle w:val="ListParagraph"/>
        <w:rPr>
          <w:lang w:val="pt-PT" w:eastAsia="ja-JP"/>
        </w:rPr>
      </w:pPr>
      <w:r w:rsidRPr="00292532">
        <w:rPr>
          <w:lang w:val="pt-PT" w:eastAsia="ja-JP"/>
        </w:rPr>
        <w:t xml:space="preserve">Medidas de </w:t>
      </w:r>
      <w:r w:rsidR="0029439B" w:rsidRPr="00292532">
        <w:rPr>
          <w:lang w:val="pt-PT" w:eastAsia="ja-JP"/>
        </w:rPr>
        <w:t>m</w:t>
      </w:r>
      <w:r w:rsidRPr="00292532">
        <w:rPr>
          <w:lang w:val="pt-PT" w:eastAsia="ja-JP"/>
        </w:rPr>
        <w:t>itigação</w:t>
      </w:r>
      <w:r w:rsidR="0029439B" w:rsidRPr="00292532">
        <w:rPr>
          <w:lang w:val="pt-PT" w:eastAsia="ja-JP"/>
        </w:rPr>
        <w:t xml:space="preserve"> para os riscos e impactos identificados</w:t>
      </w:r>
      <w:r w:rsidRPr="00292532">
        <w:rPr>
          <w:lang w:val="pt-PT" w:eastAsia="ja-JP"/>
        </w:rPr>
        <w:t xml:space="preserve"> </w:t>
      </w:r>
    </w:p>
    <w:p w14:paraId="60355E02" w14:textId="6874FA0F" w:rsidR="00497045" w:rsidRPr="00292532" w:rsidRDefault="0029439B" w:rsidP="0029439B">
      <w:pPr>
        <w:pStyle w:val="ListParagraph"/>
        <w:rPr>
          <w:lang w:val="pt-PT" w:eastAsia="ja-JP"/>
        </w:rPr>
      </w:pPr>
      <w:proofErr w:type="spellStart"/>
      <w:r w:rsidRPr="00292532">
        <w:rPr>
          <w:lang w:val="pt-PT" w:eastAsia="ja-JP"/>
        </w:rPr>
        <w:t>Acções</w:t>
      </w:r>
      <w:proofErr w:type="spellEnd"/>
      <w:r w:rsidRPr="00292532">
        <w:rPr>
          <w:lang w:val="pt-PT" w:eastAsia="ja-JP"/>
        </w:rPr>
        <w:t xml:space="preserve"> de monitorização (metodologias, parâmetros, localização, </w:t>
      </w:r>
      <w:proofErr w:type="spellStart"/>
      <w:proofErr w:type="gramStart"/>
      <w:r w:rsidRPr="00292532">
        <w:rPr>
          <w:lang w:val="pt-PT" w:eastAsia="ja-JP"/>
        </w:rPr>
        <w:t>frequência,etc</w:t>
      </w:r>
      <w:proofErr w:type="spellEnd"/>
      <w:proofErr w:type="gramEnd"/>
      <w:r w:rsidRPr="00292532">
        <w:rPr>
          <w:lang w:val="pt-PT" w:eastAsia="ja-JP"/>
        </w:rPr>
        <w:t>)</w:t>
      </w:r>
    </w:p>
    <w:p w14:paraId="2A3B438A" w14:textId="6F55C5F5" w:rsidR="00497045" w:rsidRPr="00292532" w:rsidRDefault="00497045" w:rsidP="0029439B">
      <w:pPr>
        <w:pStyle w:val="ListParagraph"/>
        <w:rPr>
          <w:lang w:val="pt-PT" w:eastAsia="ja-JP"/>
        </w:rPr>
      </w:pPr>
      <w:r w:rsidRPr="00292532">
        <w:rPr>
          <w:lang w:val="pt-PT" w:eastAsia="ja-JP"/>
        </w:rPr>
        <w:t>Descrição das responsabilidades</w:t>
      </w:r>
      <w:r w:rsidR="0029439B" w:rsidRPr="00292532">
        <w:rPr>
          <w:lang w:val="pt-PT" w:eastAsia="ja-JP"/>
        </w:rPr>
        <w:t xml:space="preserve">, competências e </w:t>
      </w:r>
      <w:proofErr w:type="spellStart"/>
      <w:r w:rsidR="0029439B" w:rsidRPr="00292532">
        <w:rPr>
          <w:lang w:val="pt-PT" w:eastAsia="ja-JP"/>
        </w:rPr>
        <w:t>acções</w:t>
      </w:r>
      <w:proofErr w:type="spellEnd"/>
      <w:r w:rsidR="0029439B" w:rsidRPr="00292532">
        <w:rPr>
          <w:lang w:val="pt-PT" w:eastAsia="ja-JP"/>
        </w:rPr>
        <w:t xml:space="preserve"> de capacitação</w:t>
      </w:r>
    </w:p>
    <w:p w14:paraId="2948690F" w14:textId="0095AB03" w:rsidR="004A443B" w:rsidRPr="00292532" w:rsidRDefault="00296084" w:rsidP="0029439B">
      <w:pPr>
        <w:pStyle w:val="ListParagraph"/>
        <w:rPr>
          <w:lang w:val="pt-PT" w:eastAsia="ja-JP"/>
        </w:rPr>
      </w:pPr>
      <w:r w:rsidRPr="00292532">
        <w:rPr>
          <w:lang w:val="pt-PT" w:eastAsia="ja-JP"/>
        </w:rPr>
        <w:t xml:space="preserve">Mecanismo de queixas acessível </w:t>
      </w:r>
      <w:r w:rsidR="004A443B" w:rsidRPr="00292532">
        <w:rPr>
          <w:lang w:val="pt-PT" w:eastAsia="ja-JP"/>
        </w:rPr>
        <w:t xml:space="preserve">aos </w:t>
      </w:r>
      <w:r w:rsidRPr="00292532">
        <w:rPr>
          <w:lang w:val="pt-PT" w:eastAsia="ja-JP"/>
        </w:rPr>
        <w:t>trabalhadores</w:t>
      </w:r>
    </w:p>
    <w:p w14:paraId="5664C107" w14:textId="08CE390E" w:rsidR="004A443B" w:rsidRPr="00292532" w:rsidRDefault="004A443B" w:rsidP="0029439B">
      <w:pPr>
        <w:pStyle w:val="ListParagraph"/>
        <w:rPr>
          <w:lang w:val="pt-PT" w:eastAsia="ja-JP"/>
        </w:rPr>
      </w:pPr>
      <w:r w:rsidRPr="00292532">
        <w:rPr>
          <w:lang w:val="pt-PT" w:eastAsia="ja-JP"/>
        </w:rPr>
        <w:t xml:space="preserve">Mecanismo de queixas e reclamações acessível </w:t>
      </w:r>
      <w:r w:rsidR="00091897" w:rsidRPr="00292532">
        <w:rPr>
          <w:lang w:val="pt-PT" w:eastAsia="ja-JP"/>
        </w:rPr>
        <w:t>à</w:t>
      </w:r>
      <w:r w:rsidRPr="00292532">
        <w:rPr>
          <w:lang w:val="pt-PT" w:eastAsia="ja-JP"/>
        </w:rPr>
        <w:t>s</w:t>
      </w:r>
      <w:r w:rsidR="00091897" w:rsidRPr="00292532">
        <w:rPr>
          <w:lang w:val="pt-PT" w:eastAsia="ja-JP"/>
        </w:rPr>
        <w:t xml:space="preserve"> comunidades</w:t>
      </w:r>
    </w:p>
    <w:p w14:paraId="48982EF5" w14:textId="5533F925" w:rsidR="00296084" w:rsidRPr="00292532" w:rsidRDefault="004A443B" w:rsidP="0029439B">
      <w:pPr>
        <w:pStyle w:val="ListParagraph"/>
        <w:rPr>
          <w:lang w:val="pt-PT" w:eastAsia="ja-JP"/>
        </w:rPr>
      </w:pPr>
      <w:r w:rsidRPr="00292532">
        <w:rPr>
          <w:lang w:val="pt-PT" w:eastAsia="ja-JP"/>
        </w:rPr>
        <w:t xml:space="preserve">Mecanismo de queixas e reclamações direcionado para as queixas relacionadas com riscos de </w:t>
      </w:r>
      <w:r w:rsidR="00292532" w:rsidRPr="00292532">
        <w:rPr>
          <w:lang w:val="pt-PT" w:eastAsia="ja-JP"/>
        </w:rPr>
        <w:t>Violência</w:t>
      </w:r>
      <w:r w:rsidRPr="00292532">
        <w:rPr>
          <w:lang w:val="pt-PT" w:eastAsia="ja-JP"/>
        </w:rPr>
        <w:t xml:space="preserve"> Baseada no Género (VBG)</w:t>
      </w:r>
      <w:r w:rsidR="00296084" w:rsidRPr="00292532">
        <w:rPr>
          <w:lang w:val="pt-PT" w:eastAsia="ja-JP"/>
        </w:rPr>
        <w:t xml:space="preserve"> </w:t>
      </w:r>
    </w:p>
    <w:p w14:paraId="76CA40F1" w14:textId="08860853" w:rsidR="00497045" w:rsidRPr="00292532" w:rsidRDefault="00497045" w:rsidP="0029439B">
      <w:pPr>
        <w:pStyle w:val="ListParagraph"/>
        <w:rPr>
          <w:lang w:val="pt-PT" w:eastAsia="ja-JP"/>
        </w:rPr>
      </w:pPr>
      <w:r w:rsidRPr="00292532">
        <w:rPr>
          <w:lang w:val="pt-PT" w:eastAsia="ja-JP"/>
        </w:rPr>
        <w:t>Defini</w:t>
      </w:r>
      <w:r w:rsidR="0029439B" w:rsidRPr="00292532">
        <w:rPr>
          <w:lang w:val="pt-PT" w:eastAsia="ja-JP"/>
        </w:rPr>
        <w:t>ção dos Indicadores-Chave de Desempenho</w:t>
      </w:r>
    </w:p>
    <w:p w14:paraId="18F9FF1E" w14:textId="5DE067F9" w:rsidR="0029439B" w:rsidRPr="00292532" w:rsidRDefault="0029439B" w:rsidP="0029439B">
      <w:pPr>
        <w:pStyle w:val="ListParagraph"/>
        <w:rPr>
          <w:lang w:val="pt-PT" w:eastAsia="ja-JP"/>
        </w:rPr>
      </w:pPr>
      <w:r w:rsidRPr="00292532">
        <w:rPr>
          <w:lang w:val="pt-PT" w:eastAsia="ja-JP"/>
        </w:rPr>
        <w:t xml:space="preserve">Calendário de implementação das </w:t>
      </w:r>
      <w:proofErr w:type="spellStart"/>
      <w:r w:rsidRPr="00292532">
        <w:rPr>
          <w:lang w:val="pt-PT" w:eastAsia="ja-JP"/>
        </w:rPr>
        <w:t>acções</w:t>
      </w:r>
      <w:proofErr w:type="spellEnd"/>
      <w:r w:rsidR="00FF4926" w:rsidRPr="00292532">
        <w:rPr>
          <w:lang w:val="pt-PT" w:eastAsia="ja-JP"/>
        </w:rPr>
        <w:t>.</w:t>
      </w:r>
    </w:p>
    <w:p w14:paraId="171D30AD" w14:textId="5565307B" w:rsidR="00A974E3" w:rsidRPr="00292532" w:rsidRDefault="00A974E3" w:rsidP="00FD734E">
      <w:pPr>
        <w:pStyle w:val="FootnoteText"/>
        <w:rPr>
          <w:sz w:val="22"/>
          <w:szCs w:val="22"/>
          <w:lang w:val="pt-PT" w:eastAsia="ja-JP"/>
        </w:rPr>
      </w:pPr>
      <w:r w:rsidRPr="00292532">
        <w:rPr>
          <w:sz w:val="22"/>
          <w:szCs w:val="22"/>
          <w:lang w:val="pt-PT" w:eastAsia="ja-JP"/>
        </w:rPr>
        <w:t xml:space="preserve">Planos de gestão específicos deverão ser elaborados como parte da AIA, em conformidade com os requisitos das Normas Ambientais e Sociais do Banco Mundial e requisitos legais </w:t>
      </w:r>
      <w:r w:rsidR="00065A9D" w:rsidRPr="00292532">
        <w:rPr>
          <w:sz w:val="22"/>
          <w:szCs w:val="22"/>
          <w:lang w:val="pt-PT" w:eastAsia="ja-JP"/>
        </w:rPr>
        <w:t>nacionais</w:t>
      </w:r>
      <w:r w:rsidRPr="00292532">
        <w:rPr>
          <w:sz w:val="22"/>
          <w:szCs w:val="22"/>
          <w:lang w:val="pt-PT" w:eastAsia="ja-JP"/>
        </w:rPr>
        <w:t xml:space="preserve"> relevantes. Estes serão elaborados com base no </w:t>
      </w:r>
      <w:r w:rsidR="001978AF" w:rsidRPr="00292532">
        <w:rPr>
          <w:sz w:val="22"/>
          <w:szCs w:val="22"/>
          <w:lang w:val="pt-PT" w:eastAsia="ja-JP"/>
        </w:rPr>
        <w:t>PGAS</w:t>
      </w:r>
      <w:r w:rsidRPr="00292532">
        <w:rPr>
          <w:sz w:val="22"/>
          <w:szCs w:val="22"/>
          <w:lang w:val="pt-PT" w:eastAsia="ja-JP"/>
        </w:rPr>
        <w:t xml:space="preserve">, planos específicos e </w:t>
      </w:r>
      <w:proofErr w:type="spellStart"/>
      <w:r w:rsidRPr="00292532">
        <w:rPr>
          <w:sz w:val="22"/>
          <w:szCs w:val="22"/>
          <w:lang w:val="pt-PT" w:eastAsia="ja-JP"/>
        </w:rPr>
        <w:t>directrizes</w:t>
      </w:r>
      <w:proofErr w:type="spellEnd"/>
      <w:r w:rsidRPr="00292532">
        <w:rPr>
          <w:sz w:val="22"/>
          <w:szCs w:val="22"/>
          <w:lang w:val="pt-PT" w:eastAsia="ja-JP"/>
        </w:rPr>
        <w:t xml:space="preserve"> apresentadas no QGAS e QPR, e compre</w:t>
      </w:r>
      <w:r w:rsidR="00FF4926" w:rsidRPr="00292532">
        <w:rPr>
          <w:sz w:val="22"/>
          <w:szCs w:val="22"/>
          <w:lang w:val="pt-PT" w:eastAsia="ja-JP"/>
        </w:rPr>
        <w:t>e</w:t>
      </w:r>
      <w:r w:rsidRPr="00292532">
        <w:rPr>
          <w:sz w:val="22"/>
          <w:szCs w:val="22"/>
          <w:lang w:val="pt-PT" w:eastAsia="ja-JP"/>
        </w:rPr>
        <w:t xml:space="preserve">nderão </w:t>
      </w:r>
      <w:r w:rsidR="00FF4926" w:rsidRPr="00292532">
        <w:rPr>
          <w:sz w:val="22"/>
          <w:szCs w:val="22"/>
          <w:lang w:val="pt-PT" w:eastAsia="ja-JP"/>
        </w:rPr>
        <w:t>os</w:t>
      </w:r>
      <w:r w:rsidRPr="00292532">
        <w:rPr>
          <w:sz w:val="22"/>
          <w:szCs w:val="22"/>
          <w:lang w:val="pt-PT" w:eastAsia="ja-JP"/>
        </w:rPr>
        <w:t xml:space="preserve"> seguintes: </w:t>
      </w:r>
    </w:p>
    <w:p w14:paraId="3E38D52A" w14:textId="75A04C8A" w:rsidR="00A974E3" w:rsidRPr="00292532" w:rsidRDefault="00A974E3" w:rsidP="002E2E90">
      <w:pPr>
        <w:pStyle w:val="ListParagraph"/>
        <w:rPr>
          <w:lang w:val="pt-PT" w:eastAsia="ja-JP"/>
        </w:rPr>
      </w:pPr>
      <w:r w:rsidRPr="00292532">
        <w:rPr>
          <w:lang w:val="pt-PT" w:eastAsia="ja-JP"/>
        </w:rPr>
        <w:t>Plano de Prevenção da Poluição (NAS3)</w:t>
      </w:r>
    </w:p>
    <w:p w14:paraId="21A54D56" w14:textId="0007E75A" w:rsidR="00A974E3" w:rsidRPr="00292532" w:rsidRDefault="00A974E3" w:rsidP="002E2E90">
      <w:pPr>
        <w:pStyle w:val="ListParagraph"/>
        <w:rPr>
          <w:lang w:val="pt-PT" w:eastAsia="ja-JP"/>
        </w:rPr>
      </w:pPr>
      <w:r w:rsidRPr="00292532">
        <w:rPr>
          <w:lang w:val="pt-PT" w:eastAsia="ja-JP"/>
        </w:rPr>
        <w:t>Plano de Gestão de Resíduos (NAS3)</w:t>
      </w:r>
    </w:p>
    <w:p w14:paraId="4A432A12" w14:textId="084608CD" w:rsidR="00A974E3" w:rsidRPr="00292532" w:rsidRDefault="00A974E3" w:rsidP="002E2E90">
      <w:pPr>
        <w:pStyle w:val="ListParagraph"/>
        <w:rPr>
          <w:lang w:val="pt-PT" w:eastAsia="ja-JP"/>
        </w:rPr>
      </w:pPr>
      <w:r w:rsidRPr="00292532">
        <w:rPr>
          <w:lang w:val="pt-PT" w:eastAsia="ja-JP"/>
        </w:rPr>
        <w:t>Plano de Conservação da Biodiversidade (NAS6)</w:t>
      </w:r>
    </w:p>
    <w:p w14:paraId="01CC664F" w14:textId="34443813" w:rsidR="00A974E3" w:rsidRPr="00292532" w:rsidRDefault="00A974E3" w:rsidP="002E2E90">
      <w:pPr>
        <w:pStyle w:val="ListParagraph"/>
        <w:rPr>
          <w:lang w:val="pt-PT" w:eastAsia="ja-JP"/>
        </w:rPr>
      </w:pPr>
      <w:r w:rsidRPr="00292532">
        <w:rPr>
          <w:lang w:val="pt-PT" w:eastAsia="ja-JP"/>
        </w:rPr>
        <w:t xml:space="preserve">Plano de </w:t>
      </w:r>
      <w:proofErr w:type="spellStart"/>
      <w:r w:rsidRPr="00292532">
        <w:rPr>
          <w:lang w:val="pt-PT" w:eastAsia="ja-JP"/>
        </w:rPr>
        <w:t>Protecção</w:t>
      </w:r>
      <w:proofErr w:type="spellEnd"/>
      <w:r w:rsidRPr="00292532">
        <w:rPr>
          <w:lang w:val="pt-PT" w:eastAsia="ja-JP"/>
        </w:rPr>
        <w:t xml:space="preserve"> do Património Cultural, (NAS8)</w:t>
      </w:r>
    </w:p>
    <w:p w14:paraId="38280007" w14:textId="5C7EB061" w:rsidR="00A974E3" w:rsidRPr="00292532" w:rsidRDefault="00A974E3" w:rsidP="002E2E90">
      <w:pPr>
        <w:pStyle w:val="ListParagraph"/>
        <w:rPr>
          <w:lang w:val="pt-PT" w:eastAsia="ja-JP"/>
        </w:rPr>
      </w:pPr>
      <w:r w:rsidRPr="00292532">
        <w:rPr>
          <w:lang w:val="pt-PT" w:eastAsia="ja-JP"/>
        </w:rPr>
        <w:lastRenderedPageBreak/>
        <w:t>Plano de Respostas a situações de Emergência</w:t>
      </w:r>
    </w:p>
    <w:p w14:paraId="03414E23" w14:textId="2601C9AF" w:rsidR="00A974E3" w:rsidRPr="00292532" w:rsidRDefault="00A974E3" w:rsidP="002E2E90">
      <w:pPr>
        <w:pStyle w:val="ListParagraph"/>
        <w:rPr>
          <w:lang w:val="pt-PT" w:eastAsia="ja-JP"/>
        </w:rPr>
      </w:pPr>
      <w:r w:rsidRPr="00292532">
        <w:rPr>
          <w:lang w:val="pt-PT" w:eastAsia="ja-JP"/>
        </w:rPr>
        <w:t xml:space="preserve">Plano de Saúde e Segurança </w:t>
      </w:r>
      <w:r w:rsidR="0001599B" w:rsidRPr="00292532">
        <w:rPr>
          <w:lang w:val="pt-PT" w:eastAsia="ja-JP"/>
        </w:rPr>
        <w:t>Ocupacional (NAS 2)</w:t>
      </w:r>
    </w:p>
    <w:p w14:paraId="0F32AD05" w14:textId="2E3FE5E6" w:rsidR="0001599B" w:rsidRPr="00292532" w:rsidRDefault="0001599B" w:rsidP="002E2E90">
      <w:pPr>
        <w:pStyle w:val="ListParagraph"/>
        <w:rPr>
          <w:lang w:val="pt-PT" w:eastAsia="ja-JP"/>
        </w:rPr>
      </w:pPr>
      <w:r w:rsidRPr="00292532">
        <w:rPr>
          <w:lang w:val="pt-PT" w:eastAsia="ja-JP"/>
        </w:rPr>
        <w:t xml:space="preserve">Plano de Saúde e </w:t>
      </w:r>
      <w:r w:rsidR="00AC1AFB" w:rsidRPr="00292532">
        <w:rPr>
          <w:lang w:val="pt-PT" w:eastAsia="ja-JP"/>
        </w:rPr>
        <w:t>S</w:t>
      </w:r>
      <w:r w:rsidRPr="00292532">
        <w:rPr>
          <w:lang w:val="pt-PT" w:eastAsia="ja-JP"/>
        </w:rPr>
        <w:t xml:space="preserve">egurança da </w:t>
      </w:r>
      <w:r w:rsidR="00AC1AFB" w:rsidRPr="00292532">
        <w:rPr>
          <w:lang w:val="pt-PT" w:eastAsia="ja-JP"/>
        </w:rPr>
        <w:t>C</w:t>
      </w:r>
      <w:r w:rsidRPr="00292532">
        <w:rPr>
          <w:lang w:val="pt-PT" w:eastAsia="ja-JP"/>
        </w:rPr>
        <w:t>omunidade</w:t>
      </w:r>
      <w:r w:rsidR="00091897" w:rsidRPr="00292532">
        <w:rPr>
          <w:lang w:val="pt-PT" w:eastAsia="ja-JP"/>
        </w:rPr>
        <w:t xml:space="preserve"> (NAS 4)</w:t>
      </w:r>
      <w:r w:rsidR="002E5557">
        <w:rPr>
          <w:lang w:val="pt-PT" w:eastAsia="ja-JP"/>
        </w:rPr>
        <w:t xml:space="preserve"> em conformidade com os </w:t>
      </w:r>
      <w:proofErr w:type="spellStart"/>
      <w:r w:rsidR="002E5557">
        <w:rPr>
          <w:lang w:val="pt-PT" w:eastAsia="ja-JP"/>
        </w:rPr>
        <w:t>padróes</w:t>
      </w:r>
      <w:proofErr w:type="spellEnd"/>
      <w:r w:rsidR="002E5557">
        <w:rPr>
          <w:lang w:val="pt-PT" w:eastAsia="ja-JP"/>
        </w:rPr>
        <w:t xml:space="preserve"> ISO 45001:2018</w:t>
      </w:r>
    </w:p>
    <w:p w14:paraId="5DADDEAF" w14:textId="420EAD14" w:rsidR="004A443B" w:rsidRPr="00292532" w:rsidRDefault="0071699B" w:rsidP="004A443B">
      <w:pPr>
        <w:pStyle w:val="ListParagraph"/>
        <w:rPr>
          <w:lang w:val="pt-PT" w:eastAsia="ja-JP"/>
        </w:rPr>
      </w:pPr>
      <w:r w:rsidRPr="00292532">
        <w:rPr>
          <w:lang w:val="pt-PT" w:eastAsia="ja-JP"/>
        </w:rPr>
        <w:t>Código de conduta</w:t>
      </w:r>
    </w:p>
    <w:p w14:paraId="7E10A379" w14:textId="1602C9F4" w:rsidR="00C9567A" w:rsidRPr="00292532" w:rsidRDefault="007B44A6" w:rsidP="00FD734E">
      <w:pPr>
        <w:pStyle w:val="FootnoteText"/>
        <w:rPr>
          <w:sz w:val="22"/>
          <w:szCs w:val="22"/>
          <w:lang w:val="pt-PT" w:eastAsia="ja-JP"/>
        </w:rPr>
      </w:pPr>
      <w:r w:rsidRPr="00292532">
        <w:rPr>
          <w:sz w:val="22"/>
          <w:szCs w:val="22"/>
          <w:lang w:val="pt-PT" w:eastAsia="ja-JP"/>
        </w:rPr>
        <w:t xml:space="preserve">Os planos acima deverão ser elaborados tendo em conta os resultados das consultas publicas realizadas com as comunidades locais e partes interessadas e </w:t>
      </w:r>
      <w:proofErr w:type="spellStart"/>
      <w:r w:rsidRPr="00292532">
        <w:rPr>
          <w:sz w:val="22"/>
          <w:szCs w:val="22"/>
          <w:lang w:val="pt-PT" w:eastAsia="ja-JP"/>
        </w:rPr>
        <w:t>afectadas</w:t>
      </w:r>
      <w:proofErr w:type="spellEnd"/>
      <w:r w:rsidRPr="00292532">
        <w:rPr>
          <w:sz w:val="22"/>
          <w:szCs w:val="22"/>
          <w:lang w:val="pt-PT" w:eastAsia="ja-JP"/>
        </w:rPr>
        <w:t xml:space="preserve"> identificadas. </w:t>
      </w:r>
      <w:r w:rsidR="00C9567A" w:rsidRPr="00292532">
        <w:rPr>
          <w:sz w:val="22"/>
          <w:szCs w:val="22"/>
          <w:lang w:val="pt-PT" w:eastAsia="ja-JP"/>
        </w:rPr>
        <w:t xml:space="preserve">Planos </w:t>
      </w:r>
      <w:r w:rsidR="0029439B" w:rsidRPr="00292532">
        <w:rPr>
          <w:sz w:val="22"/>
          <w:szCs w:val="22"/>
          <w:lang w:val="pt-PT" w:eastAsia="ja-JP"/>
        </w:rPr>
        <w:t xml:space="preserve">de gestão </w:t>
      </w:r>
      <w:r w:rsidR="00C9567A" w:rsidRPr="00292532">
        <w:rPr>
          <w:sz w:val="22"/>
          <w:szCs w:val="22"/>
          <w:lang w:val="pt-PT" w:eastAsia="ja-JP"/>
        </w:rPr>
        <w:t>específicos pode</w:t>
      </w:r>
      <w:r w:rsidR="0029439B" w:rsidRPr="00292532">
        <w:rPr>
          <w:sz w:val="22"/>
          <w:szCs w:val="22"/>
          <w:lang w:val="pt-PT" w:eastAsia="ja-JP"/>
        </w:rPr>
        <w:t>rão</w:t>
      </w:r>
      <w:r w:rsidR="00C9567A" w:rsidRPr="00292532">
        <w:rPr>
          <w:sz w:val="22"/>
          <w:szCs w:val="22"/>
          <w:lang w:val="pt-PT" w:eastAsia="ja-JP"/>
        </w:rPr>
        <w:t xml:space="preserve"> ser recomendados pelo </w:t>
      </w:r>
      <w:r w:rsidR="0029439B" w:rsidRPr="00292532">
        <w:rPr>
          <w:sz w:val="22"/>
          <w:szCs w:val="22"/>
          <w:lang w:val="pt-PT" w:eastAsia="ja-JP"/>
        </w:rPr>
        <w:t xml:space="preserve">Ministério da Terra e Ambiente durante a revisão dos </w:t>
      </w:r>
      <w:proofErr w:type="spellStart"/>
      <w:r w:rsidR="0029439B" w:rsidRPr="00292532">
        <w:rPr>
          <w:sz w:val="22"/>
          <w:szCs w:val="22"/>
          <w:lang w:val="pt-PT" w:eastAsia="ja-JP"/>
        </w:rPr>
        <w:t>TdR</w:t>
      </w:r>
      <w:proofErr w:type="spellEnd"/>
      <w:r w:rsidR="0029439B" w:rsidRPr="00292532">
        <w:rPr>
          <w:sz w:val="22"/>
          <w:szCs w:val="22"/>
          <w:lang w:val="pt-PT" w:eastAsia="ja-JP"/>
        </w:rPr>
        <w:t xml:space="preserve"> propostos para a AIA. </w:t>
      </w:r>
    </w:p>
    <w:p w14:paraId="718551B7" w14:textId="1C51C153" w:rsidR="00C9567A" w:rsidRPr="00292532" w:rsidRDefault="00C9567A" w:rsidP="00FD734E">
      <w:pPr>
        <w:pStyle w:val="FootnoteText"/>
        <w:rPr>
          <w:i/>
          <w:iCs/>
          <w:sz w:val="22"/>
          <w:szCs w:val="22"/>
          <w:lang w:val="pt-PT" w:eastAsia="ja-JP"/>
        </w:rPr>
      </w:pPr>
      <w:r w:rsidRPr="00292532">
        <w:rPr>
          <w:i/>
          <w:iCs/>
          <w:sz w:val="22"/>
          <w:szCs w:val="22"/>
          <w:lang w:val="pt-PT" w:eastAsia="ja-JP"/>
        </w:rPr>
        <w:t xml:space="preserve">Processo de Participação Pública </w:t>
      </w:r>
    </w:p>
    <w:p w14:paraId="07724640" w14:textId="7C9EE122" w:rsidR="0029439B" w:rsidRPr="00292532" w:rsidRDefault="00B01EAD" w:rsidP="00FD734E">
      <w:pPr>
        <w:pStyle w:val="FootnoteText"/>
        <w:rPr>
          <w:sz w:val="22"/>
          <w:szCs w:val="22"/>
          <w:lang w:val="pt-PT" w:eastAsia="ja-JP"/>
        </w:rPr>
      </w:pPr>
      <w:r w:rsidRPr="00292532">
        <w:rPr>
          <w:sz w:val="22"/>
          <w:szCs w:val="22"/>
          <w:lang w:val="pt-PT" w:eastAsia="ja-JP"/>
        </w:rPr>
        <w:t xml:space="preserve">O Processo de Participação Pública deve obedecer os requisitos do Decreto 54/2015 e na </w:t>
      </w:r>
      <w:proofErr w:type="spellStart"/>
      <w:r w:rsidRPr="00292532">
        <w:rPr>
          <w:sz w:val="22"/>
          <w:szCs w:val="22"/>
          <w:lang w:val="pt-PT" w:eastAsia="ja-JP"/>
        </w:rPr>
        <w:t>Directiva</w:t>
      </w:r>
      <w:proofErr w:type="spellEnd"/>
      <w:r w:rsidRPr="00292532">
        <w:rPr>
          <w:sz w:val="22"/>
          <w:szCs w:val="22"/>
          <w:lang w:val="pt-PT" w:eastAsia="ja-JP"/>
        </w:rPr>
        <w:t xml:space="preserve"> Geral de Participação Pública (Diploma Ministerial 130/2006). As principais </w:t>
      </w:r>
      <w:proofErr w:type="spellStart"/>
      <w:r w:rsidRPr="00292532">
        <w:rPr>
          <w:sz w:val="22"/>
          <w:szCs w:val="22"/>
          <w:lang w:val="pt-PT" w:eastAsia="ja-JP"/>
        </w:rPr>
        <w:t>actividades</w:t>
      </w:r>
      <w:proofErr w:type="spellEnd"/>
      <w:r w:rsidRPr="00292532">
        <w:rPr>
          <w:sz w:val="22"/>
          <w:szCs w:val="22"/>
          <w:lang w:val="pt-PT" w:eastAsia="ja-JP"/>
        </w:rPr>
        <w:t xml:space="preserve"> inerentes a esta fase incluem as seguintes: </w:t>
      </w:r>
    </w:p>
    <w:p w14:paraId="744E5F0B" w14:textId="512A0573" w:rsidR="00B01EAD" w:rsidRPr="00292532" w:rsidRDefault="00B01EAD" w:rsidP="00B01EAD">
      <w:pPr>
        <w:pStyle w:val="ListParagraph"/>
        <w:rPr>
          <w:lang w:val="pt-PT" w:eastAsia="ja-JP"/>
        </w:rPr>
      </w:pPr>
      <w:r w:rsidRPr="00292532">
        <w:rPr>
          <w:lang w:val="pt-PT" w:eastAsia="ja-JP"/>
        </w:rPr>
        <w:t xml:space="preserve">Mapeamento das partes interessadas e </w:t>
      </w:r>
      <w:proofErr w:type="spellStart"/>
      <w:r w:rsidRPr="00292532">
        <w:rPr>
          <w:lang w:val="pt-PT" w:eastAsia="ja-JP"/>
        </w:rPr>
        <w:t>afectadas</w:t>
      </w:r>
      <w:proofErr w:type="spellEnd"/>
      <w:r w:rsidRPr="00292532">
        <w:rPr>
          <w:lang w:val="pt-PT" w:eastAsia="ja-JP"/>
        </w:rPr>
        <w:t xml:space="preserve"> do </w:t>
      </w:r>
      <w:proofErr w:type="spellStart"/>
      <w:r w:rsidRPr="00292532">
        <w:rPr>
          <w:lang w:val="pt-PT" w:eastAsia="ja-JP"/>
        </w:rPr>
        <w:t>Projecto</w:t>
      </w:r>
      <w:proofErr w:type="spellEnd"/>
      <w:r w:rsidRPr="00292532">
        <w:rPr>
          <w:lang w:val="pt-PT" w:eastAsia="ja-JP"/>
        </w:rPr>
        <w:t xml:space="preserve"> </w:t>
      </w:r>
    </w:p>
    <w:p w14:paraId="541FFB5F" w14:textId="1F476F42" w:rsidR="00B01EAD" w:rsidRPr="00292532" w:rsidRDefault="00B01EAD" w:rsidP="00B01EAD">
      <w:pPr>
        <w:pStyle w:val="ListParagraph"/>
        <w:rPr>
          <w:lang w:val="pt-PT" w:eastAsia="ja-JP"/>
        </w:rPr>
      </w:pPr>
      <w:r w:rsidRPr="00292532">
        <w:rPr>
          <w:lang w:val="pt-PT" w:eastAsia="ja-JP"/>
        </w:rPr>
        <w:t xml:space="preserve">Elaboração da estratégia de engajamento (lista de reuniões, </w:t>
      </w:r>
      <w:r w:rsidR="00CC33C6" w:rsidRPr="00292532">
        <w:rPr>
          <w:lang w:val="pt-PT" w:eastAsia="ja-JP"/>
        </w:rPr>
        <w:t>grupos-alvo</w:t>
      </w:r>
      <w:r w:rsidRPr="00292532">
        <w:rPr>
          <w:lang w:val="pt-PT" w:eastAsia="ja-JP"/>
        </w:rPr>
        <w:t xml:space="preserve">/participantes, datas, meios de engajamento considerando riscos presentes, p.e. COVID-19, entre outros </w:t>
      </w:r>
      <w:proofErr w:type="spellStart"/>
      <w:r w:rsidRPr="00292532">
        <w:rPr>
          <w:lang w:val="pt-PT" w:eastAsia="ja-JP"/>
        </w:rPr>
        <w:t>aspectos</w:t>
      </w:r>
      <w:proofErr w:type="spellEnd"/>
      <w:r w:rsidRPr="00292532">
        <w:rPr>
          <w:lang w:val="pt-PT" w:eastAsia="ja-JP"/>
        </w:rPr>
        <w:t xml:space="preserve"> relevantes)</w:t>
      </w:r>
    </w:p>
    <w:p w14:paraId="725E7791" w14:textId="3C59052F" w:rsidR="00B01EAD" w:rsidRPr="00292532" w:rsidRDefault="00B01EAD" w:rsidP="00B01EAD">
      <w:pPr>
        <w:pStyle w:val="ListParagraph"/>
        <w:rPr>
          <w:lang w:val="pt-PT" w:eastAsia="ja-JP"/>
        </w:rPr>
      </w:pPr>
      <w:r w:rsidRPr="00292532">
        <w:rPr>
          <w:lang w:val="pt-PT" w:eastAsia="ja-JP"/>
        </w:rPr>
        <w:t xml:space="preserve">Preparação dos materiais das reuniões (apresentações, </w:t>
      </w:r>
      <w:r w:rsidRPr="00292532">
        <w:rPr>
          <w:i/>
          <w:iCs/>
          <w:lang w:val="pt-PT" w:eastAsia="ja-JP"/>
        </w:rPr>
        <w:t>posters</w:t>
      </w:r>
      <w:r w:rsidRPr="00292532">
        <w:rPr>
          <w:lang w:val="pt-PT" w:eastAsia="ja-JP"/>
        </w:rPr>
        <w:t>, Resumo Não-Técnico, cartas convite, anúncios)</w:t>
      </w:r>
    </w:p>
    <w:p w14:paraId="3E28AF78" w14:textId="01F2C77D" w:rsidR="00B01EAD" w:rsidRPr="00292532" w:rsidRDefault="00B01EAD" w:rsidP="00B01EAD">
      <w:pPr>
        <w:pStyle w:val="ListParagraph"/>
        <w:rPr>
          <w:lang w:val="pt-PT" w:eastAsia="ja-JP"/>
        </w:rPr>
      </w:pPr>
      <w:r w:rsidRPr="00292532">
        <w:rPr>
          <w:lang w:val="pt-PT" w:eastAsia="ja-JP"/>
        </w:rPr>
        <w:t>Anúncio das reuniões nos media (jornais, rádios)</w:t>
      </w:r>
    </w:p>
    <w:p w14:paraId="59DBC0EE" w14:textId="092BDF31" w:rsidR="00B01EAD" w:rsidRPr="00292532" w:rsidRDefault="00B01EAD" w:rsidP="00B01EAD">
      <w:pPr>
        <w:pStyle w:val="ListParagraph"/>
        <w:rPr>
          <w:lang w:val="pt-PT" w:eastAsia="ja-JP"/>
        </w:rPr>
      </w:pPr>
      <w:r w:rsidRPr="00292532">
        <w:rPr>
          <w:lang w:val="pt-PT" w:eastAsia="ja-JP"/>
        </w:rPr>
        <w:t>Realização das consultas públicas</w:t>
      </w:r>
    </w:p>
    <w:p w14:paraId="731E0E0D" w14:textId="74E9EE67" w:rsidR="00B01EAD" w:rsidRPr="00292532" w:rsidRDefault="00B01EAD" w:rsidP="00B01EAD">
      <w:pPr>
        <w:pStyle w:val="ListParagraph"/>
        <w:rPr>
          <w:lang w:val="pt-PT" w:eastAsia="ja-JP"/>
        </w:rPr>
      </w:pPr>
      <w:r w:rsidRPr="00292532">
        <w:rPr>
          <w:lang w:val="pt-PT" w:eastAsia="ja-JP"/>
        </w:rPr>
        <w:t>Elaboração do relatório do processo de participação pública.</w:t>
      </w:r>
    </w:p>
    <w:p w14:paraId="229CCD52" w14:textId="77777777" w:rsidR="00C9567A" w:rsidRPr="00292532" w:rsidRDefault="00C9567A" w:rsidP="00FD734E">
      <w:pPr>
        <w:pStyle w:val="FootnoteText"/>
        <w:rPr>
          <w:sz w:val="22"/>
          <w:szCs w:val="22"/>
          <w:lang w:val="pt-PT" w:eastAsia="ja-JP"/>
        </w:rPr>
      </w:pPr>
    </w:p>
    <w:p w14:paraId="7E9BF1B1" w14:textId="77777777" w:rsidR="00C9567A" w:rsidRPr="00292532" w:rsidRDefault="00C9567A" w:rsidP="004500AE">
      <w:pPr>
        <w:ind w:left="360" w:hanging="360"/>
        <w:rPr>
          <w:lang w:val="pt-PT" w:eastAsia="ja-JP"/>
        </w:rPr>
      </w:pPr>
    </w:p>
    <w:p w14:paraId="2ADEC80A" w14:textId="77777777" w:rsidR="00C9567A" w:rsidRPr="00292532" w:rsidRDefault="00C9567A" w:rsidP="00C9567A">
      <w:pPr>
        <w:rPr>
          <w:lang w:val="pt-PT" w:eastAsia="ja-JP"/>
        </w:rPr>
      </w:pPr>
    </w:p>
    <w:p w14:paraId="7A2F3A87" w14:textId="77777777" w:rsidR="00C9567A" w:rsidRPr="00292532" w:rsidRDefault="00C9567A" w:rsidP="00F638C3">
      <w:pPr>
        <w:rPr>
          <w:lang w:val="pt-PT" w:eastAsia="ja-JP"/>
        </w:rPr>
      </w:pPr>
    </w:p>
    <w:p w14:paraId="51AE50CE" w14:textId="77777777" w:rsidR="00F638C3" w:rsidRPr="00292532" w:rsidRDefault="00F638C3" w:rsidP="00F638C3">
      <w:pPr>
        <w:rPr>
          <w:lang w:val="pt-PT" w:eastAsia="ja-JP"/>
        </w:rPr>
      </w:pPr>
    </w:p>
    <w:p w14:paraId="1CFD1305" w14:textId="77777777" w:rsidR="00F638C3" w:rsidRPr="00292532" w:rsidRDefault="00F638C3" w:rsidP="00F638C3">
      <w:pPr>
        <w:rPr>
          <w:lang w:val="pt-PT" w:eastAsia="ja-JP"/>
        </w:rPr>
      </w:pPr>
    </w:p>
    <w:p w14:paraId="22296271" w14:textId="77777777" w:rsidR="00F638C3" w:rsidRPr="00292532" w:rsidRDefault="00F638C3" w:rsidP="00F638C3">
      <w:pPr>
        <w:rPr>
          <w:lang w:val="pt-PT" w:eastAsia="ja-JP"/>
        </w:rPr>
      </w:pPr>
    </w:p>
    <w:p w14:paraId="174B985A" w14:textId="77777777" w:rsidR="00F638C3" w:rsidRPr="00292532" w:rsidRDefault="00F638C3" w:rsidP="00F638C3">
      <w:pPr>
        <w:rPr>
          <w:lang w:val="pt-PT" w:eastAsia="ja-JP"/>
        </w:rPr>
      </w:pPr>
    </w:p>
    <w:p w14:paraId="5E5334E3" w14:textId="77777777" w:rsidR="00F638C3" w:rsidRPr="00292532" w:rsidRDefault="00F638C3" w:rsidP="00F638C3">
      <w:pPr>
        <w:rPr>
          <w:lang w:val="pt-PT" w:eastAsia="ja-JP"/>
        </w:rPr>
      </w:pPr>
    </w:p>
    <w:p w14:paraId="6A55E05E" w14:textId="77777777" w:rsidR="00F638C3" w:rsidRPr="00292532" w:rsidRDefault="00F638C3" w:rsidP="00F638C3">
      <w:pPr>
        <w:rPr>
          <w:lang w:val="pt-PT" w:eastAsia="ja-JP"/>
        </w:rPr>
      </w:pPr>
    </w:p>
    <w:p w14:paraId="7DE39A25" w14:textId="77777777" w:rsidR="00F638C3" w:rsidRPr="00292532" w:rsidRDefault="00F638C3" w:rsidP="00F638C3">
      <w:pPr>
        <w:rPr>
          <w:lang w:val="pt-PT" w:eastAsia="ja-JP"/>
        </w:rPr>
      </w:pPr>
    </w:p>
    <w:p w14:paraId="454AF3E2" w14:textId="77777777" w:rsidR="00F638C3" w:rsidRPr="00292532" w:rsidRDefault="00F638C3" w:rsidP="00F638C3">
      <w:pPr>
        <w:rPr>
          <w:lang w:val="pt-PT" w:eastAsia="ja-JP"/>
        </w:rPr>
        <w:sectPr w:rsidR="00F638C3" w:rsidRPr="00292532" w:rsidSect="00C01674">
          <w:pgSz w:w="11906" w:h="16838"/>
          <w:pgMar w:top="1417" w:right="1701" w:bottom="1417" w:left="1701" w:header="708" w:footer="708"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p>
    <w:p w14:paraId="4FFAC8EF" w14:textId="1613481A" w:rsidR="00F638C3" w:rsidRPr="00EC2545" w:rsidRDefault="00F638C3" w:rsidP="004500AE">
      <w:pPr>
        <w:tabs>
          <w:tab w:val="left" w:pos="5660"/>
        </w:tabs>
        <w:jc w:val="center"/>
        <w:rPr>
          <w:rFonts w:cs="Arial"/>
          <w:bCs/>
        </w:rPr>
      </w:pPr>
      <w:r w:rsidRPr="004500AE">
        <w:rPr>
          <w:rFonts w:ascii="Arial" w:hAnsi="Arial" w:cs="Arial"/>
          <w:b/>
          <w:bCs/>
          <w:i/>
          <w:iCs/>
          <w:lang w:val="pt-PT"/>
        </w:rPr>
        <w:lastRenderedPageBreak/>
        <w:t>Anexo 3</w:t>
      </w:r>
    </w:p>
    <w:p w14:paraId="62FB6BFD" w14:textId="77777777" w:rsidR="00F638C3" w:rsidRPr="00292532" w:rsidRDefault="00F638C3" w:rsidP="000D7B05">
      <w:pPr>
        <w:pStyle w:val="Title"/>
      </w:pPr>
    </w:p>
    <w:p w14:paraId="626AA9B7" w14:textId="77777777" w:rsidR="00F638C3" w:rsidRPr="00292532" w:rsidRDefault="00F638C3" w:rsidP="004500AE">
      <w:pPr>
        <w:pStyle w:val="Heading1"/>
        <w:numPr>
          <w:ilvl w:val="0"/>
          <w:numId w:val="202"/>
        </w:numPr>
        <w:rPr>
          <w:lang w:val="pt-PT"/>
        </w:rPr>
      </w:pPr>
      <w:bookmarkStart w:id="534" w:name="_Toc78435417"/>
      <w:bookmarkStart w:id="535" w:name="_Toc80380087"/>
      <w:proofErr w:type="spellStart"/>
      <w:r w:rsidRPr="00292532">
        <w:rPr>
          <w:lang w:val="pt-PT"/>
        </w:rPr>
        <w:t>Directrizes</w:t>
      </w:r>
      <w:proofErr w:type="spellEnd"/>
      <w:r w:rsidRPr="00292532">
        <w:rPr>
          <w:lang w:val="pt-PT"/>
        </w:rPr>
        <w:t xml:space="preserve"> para Relatórios Trimestrais e Anuais</w:t>
      </w:r>
      <w:bookmarkEnd w:id="534"/>
      <w:bookmarkEnd w:id="535"/>
    </w:p>
    <w:p w14:paraId="30FDC565" w14:textId="77777777" w:rsidR="00F638C3" w:rsidRPr="00292532" w:rsidRDefault="00F638C3" w:rsidP="00F638C3">
      <w:pPr>
        <w:pStyle w:val="Heading2"/>
      </w:pPr>
      <w:bookmarkStart w:id="536" w:name="_Toc78435418"/>
      <w:bookmarkStart w:id="537" w:name="_Toc80380088"/>
      <w:r w:rsidRPr="00292532">
        <w:t>Relatório Anual de Desempenho Ambiental</w:t>
      </w:r>
      <w:bookmarkEnd w:id="536"/>
      <w:bookmarkEnd w:id="537"/>
      <w:r w:rsidRPr="00292532">
        <w:t xml:space="preserve"> </w:t>
      </w:r>
    </w:p>
    <w:p w14:paraId="128A8D75" w14:textId="77777777" w:rsidR="00F638C3" w:rsidRPr="00292532" w:rsidRDefault="00F638C3" w:rsidP="00F638C3">
      <w:pPr>
        <w:rPr>
          <w:lang w:val="pt-PT"/>
        </w:rPr>
      </w:pPr>
    </w:p>
    <w:tbl>
      <w:tblPr>
        <w:tblStyle w:val="TableGridLight"/>
        <w:tblW w:w="0" w:type="auto"/>
        <w:tblLook w:val="04A0" w:firstRow="1" w:lastRow="0" w:firstColumn="1" w:lastColumn="0" w:noHBand="0" w:noVBand="1"/>
      </w:tblPr>
      <w:tblGrid>
        <w:gridCol w:w="2695"/>
        <w:gridCol w:w="5799"/>
      </w:tblGrid>
      <w:tr w:rsidR="00F638C3" w:rsidRPr="008D18CF" w14:paraId="014CAAC5" w14:textId="77777777" w:rsidTr="00F638C3">
        <w:tc>
          <w:tcPr>
            <w:tcW w:w="8494" w:type="dxa"/>
            <w:gridSpan w:val="2"/>
          </w:tcPr>
          <w:p w14:paraId="68618C35" w14:textId="77777777" w:rsidR="00F638C3" w:rsidRPr="00292532" w:rsidRDefault="00F638C3" w:rsidP="00F638C3">
            <w:pPr>
              <w:rPr>
                <w:lang w:val="pt-PT"/>
              </w:rPr>
            </w:pPr>
            <w:r w:rsidRPr="00292532">
              <w:rPr>
                <w:b/>
                <w:bCs/>
                <w:lang w:val="pt-PT"/>
              </w:rPr>
              <w:t xml:space="preserve">Secção A: Detalhes do </w:t>
            </w:r>
            <w:proofErr w:type="spellStart"/>
            <w:r w:rsidRPr="00292532">
              <w:rPr>
                <w:b/>
                <w:bCs/>
                <w:lang w:val="pt-PT"/>
              </w:rPr>
              <w:t>Projecto</w:t>
            </w:r>
            <w:proofErr w:type="spellEnd"/>
            <w:r w:rsidRPr="00292532">
              <w:rPr>
                <w:b/>
                <w:bCs/>
                <w:lang w:val="pt-PT"/>
              </w:rPr>
              <w:t xml:space="preserve"> e Equipa </w:t>
            </w:r>
          </w:p>
        </w:tc>
      </w:tr>
      <w:tr w:rsidR="00F638C3" w:rsidRPr="00292532" w14:paraId="399AA48B" w14:textId="77777777" w:rsidTr="00F638C3">
        <w:tc>
          <w:tcPr>
            <w:tcW w:w="2695" w:type="dxa"/>
          </w:tcPr>
          <w:p w14:paraId="753FEF0D" w14:textId="77777777" w:rsidR="00F638C3" w:rsidRPr="00292532" w:rsidRDefault="00F638C3" w:rsidP="00F638C3">
            <w:pPr>
              <w:rPr>
                <w:lang w:val="pt-PT"/>
              </w:rPr>
            </w:pPr>
            <w:r w:rsidRPr="00292532">
              <w:rPr>
                <w:lang w:val="pt-PT"/>
              </w:rPr>
              <w:t xml:space="preserve">Nome do </w:t>
            </w:r>
            <w:proofErr w:type="spellStart"/>
            <w:r w:rsidRPr="00292532">
              <w:rPr>
                <w:lang w:val="pt-PT"/>
              </w:rPr>
              <w:t>Projecto</w:t>
            </w:r>
            <w:proofErr w:type="spellEnd"/>
          </w:p>
        </w:tc>
        <w:tc>
          <w:tcPr>
            <w:tcW w:w="5799" w:type="dxa"/>
          </w:tcPr>
          <w:p w14:paraId="30C2BB5D" w14:textId="77777777" w:rsidR="00F638C3" w:rsidRPr="00292532" w:rsidRDefault="00F638C3" w:rsidP="00F638C3">
            <w:pPr>
              <w:rPr>
                <w:lang w:val="pt-PT"/>
              </w:rPr>
            </w:pPr>
          </w:p>
        </w:tc>
      </w:tr>
      <w:tr w:rsidR="00F638C3" w:rsidRPr="00292532" w14:paraId="0E6BE076" w14:textId="77777777" w:rsidTr="00F638C3">
        <w:tc>
          <w:tcPr>
            <w:tcW w:w="2695" w:type="dxa"/>
          </w:tcPr>
          <w:p w14:paraId="7CA74674" w14:textId="77777777" w:rsidR="00F638C3" w:rsidRPr="00292532" w:rsidRDefault="00F638C3" w:rsidP="00F638C3">
            <w:pPr>
              <w:rPr>
                <w:lang w:val="pt-PT"/>
              </w:rPr>
            </w:pPr>
            <w:r w:rsidRPr="00292532">
              <w:rPr>
                <w:lang w:val="pt-PT"/>
              </w:rPr>
              <w:t>Relatório Trimestral no.</w:t>
            </w:r>
          </w:p>
        </w:tc>
        <w:tc>
          <w:tcPr>
            <w:tcW w:w="5799" w:type="dxa"/>
          </w:tcPr>
          <w:p w14:paraId="3846C7CD" w14:textId="77777777" w:rsidR="00F638C3" w:rsidRPr="00292532" w:rsidRDefault="00F638C3" w:rsidP="00F638C3">
            <w:pPr>
              <w:rPr>
                <w:lang w:val="pt-PT"/>
              </w:rPr>
            </w:pPr>
          </w:p>
        </w:tc>
      </w:tr>
      <w:tr w:rsidR="00F638C3" w:rsidRPr="008D18CF" w14:paraId="16A436AF" w14:textId="77777777" w:rsidTr="00F638C3">
        <w:tc>
          <w:tcPr>
            <w:tcW w:w="2695" w:type="dxa"/>
          </w:tcPr>
          <w:p w14:paraId="5B8ED24D" w14:textId="77777777" w:rsidR="00F638C3" w:rsidRPr="00292532" w:rsidRDefault="00F638C3" w:rsidP="00F638C3">
            <w:pPr>
              <w:rPr>
                <w:lang w:val="pt-PT"/>
              </w:rPr>
            </w:pPr>
            <w:r w:rsidRPr="00292532">
              <w:rPr>
                <w:lang w:val="pt-PT"/>
              </w:rPr>
              <w:t xml:space="preserve">Data de aprovação do Relatório </w:t>
            </w:r>
          </w:p>
        </w:tc>
        <w:tc>
          <w:tcPr>
            <w:tcW w:w="5799" w:type="dxa"/>
          </w:tcPr>
          <w:p w14:paraId="1126C019" w14:textId="77777777" w:rsidR="00F638C3" w:rsidRPr="00292532" w:rsidRDefault="00F638C3" w:rsidP="00F638C3">
            <w:pPr>
              <w:rPr>
                <w:lang w:val="pt-PT"/>
              </w:rPr>
            </w:pPr>
          </w:p>
        </w:tc>
      </w:tr>
      <w:tr w:rsidR="00F638C3" w:rsidRPr="008D18CF" w14:paraId="24242B8C" w14:textId="77777777" w:rsidTr="00F638C3">
        <w:tc>
          <w:tcPr>
            <w:tcW w:w="2695" w:type="dxa"/>
          </w:tcPr>
          <w:p w14:paraId="34D28282" w14:textId="77777777" w:rsidR="00F638C3" w:rsidRPr="00292532" w:rsidRDefault="00F638C3" w:rsidP="00F638C3">
            <w:pPr>
              <w:rPr>
                <w:lang w:val="pt-PT"/>
              </w:rPr>
            </w:pPr>
            <w:r w:rsidRPr="00292532">
              <w:rPr>
                <w:lang w:val="pt-PT"/>
              </w:rPr>
              <w:t>Nome e posição do responsável pela elaboração do Relatório</w:t>
            </w:r>
          </w:p>
        </w:tc>
        <w:tc>
          <w:tcPr>
            <w:tcW w:w="5799" w:type="dxa"/>
          </w:tcPr>
          <w:p w14:paraId="0AE59224" w14:textId="77777777" w:rsidR="00F638C3" w:rsidRPr="00292532" w:rsidRDefault="00F638C3" w:rsidP="00F638C3">
            <w:pPr>
              <w:rPr>
                <w:lang w:val="pt-PT"/>
              </w:rPr>
            </w:pPr>
          </w:p>
        </w:tc>
      </w:tr>
      <w:tr w:rsidR="00F638C3" w:rsidRPr="008D18CF" w14:paraId="74B070B4" w14:textId="77777777" w:rsidTr="00F638C3">
        <w:tc>
          <w:tcPr>
            <w:tcW w:w="2695" w:type="dxa"/>
          </w:tcPr>
          <w:p w14:paraId="1AA763BE" w14:textId="77777777" w:rsidR="00F638C3" w:rsidRPr="00292532" w:rsidRDefault="00F638C3" w:rsidP="00F638C3">
            <w:pPr>
              <w:rPr>
                <w:lang w:val="pt-PT"/>
              </w:rPr>
            </w:pPr>
            <w:r w:rsidRPr="00292532">
              <w:rPr>
                <w:lang w:val="pt-PT"/>
              </w:rPr>
              <w:t>Nome e posição do responsável pela aprovação do Relatório</w:t>
            </w:r>
          </w:p>
        </w:tc>
        <w:tc>
          <w:tcPr>
            <w:tcW w:w="5799" w:type="dxa"/>
          </w:tcPr>
          <w:p w14:paraId="22AA273F" w14:textId="77777777" w:rsidR="00F638C3" w:rsidRPr="00292532" w:rsidRDefault="00F638C3" w:rsidP="00F638C3">
            <w:pPr>
              <w:rPr>
                <w:lang w:val="pt-PT"/>
              </w:rPr>
            </w:pPr>
          </w:p>
        </w:tc>
      </w:tr>
    </w:tbl>
    <w:p w14:paraId="2FE09AE9" w14:textId="77777777" w:rsidR="00F638C3" w:rsidRPr="00292532" w:rsidRDefault="00F638C3" w:rsidP="00F638C3">
      <w:pPr>
        <w:rPr>
          <w:lang w:val="pt-PT"/>
        </w:rPr>
      </w:pPr>
    </w:p>
    <w:tbl>
      <w:tblPr>
        <w:tblStyle w:val="TableGridLight"/>
        <w:tblW w:w="9445" w:type="dxa"/>
        <w:tblLayout w:type="fixed"/>
        <w:tblLook w:val="04A0" w:firstRow="1" w:lastRow="0" w:firstColumn="1" w:lastColumn="0" w:noHBand="0" w:noVBand="1"/>
      </w:tblPr>
      <w:tblGrid>
        <w:gridCol w:w="2155"/>
        <w:gridCol w:w="1530"/>
        <w:gridCol w:w="2070"/>
        <w:gridCol w:w="1890"/>
        <w:gridCol w:w="1800"/>
      </w:tblGrid>
      <w:tr w:rsidR="00F638C3" w:rsidRPr="008D18CF" w14:paraId="5CF0BA84" w14:textId="77777777" w:rsidTr="00F638C3">
        <w:tc>
          <w:tcPr>
            <w:tcW w:w="9445" w:type="dxa"/>
            <w:gridSpan w:val="5"/>
          </w:tcPr>
          <w:p w14:paraId="56A39750" w14:textId="77777777" w:rsidR="00F638C3" w:rsidRPr="00292532" w:rsidRDefault="00F638C3" w:rsidP="00F638C3">
            <w:pPr>
              <w:rPr>
                <w:sz w:val="20"/>
                <w:szCs w:val="20"/>
                <w:lang w:val="pt-PT"/>
              </w:rPr>
            </w:pPr>
            <w:r w:rsidRPr="00292532">
              <w:rPr>
                <w:b/>
                <w:bCs/>
                <w:sz w:val="20"/>
                <w:szCs w:val="20"/>
                <w:lang w:val="pt-PT"/>
              </w:rPr>
              <w:t xml:space="preserve">Secção B: </w:t>
            </w:r>
            <w:proofErr w:type="spellStart"/>
            <w:r w:rsidRPr="00292532">
              <w:rPr>
                <w:b/>
                <w:bCs/>
                <w:sz w:val="20"/>
                <w:szCs w:val="20"/>
                <w:lang w:val="pt-PT"/>
              </w:rPr>
              <w:t>Actividades</w:t>
            </w:r>
            <w:proofErr w:type="spellEnd"/>
            <w:r w:rsidRPr="00292532">
              <w:rPr>
                <w:b/>
                <w:bCs/>
                <w:sz w:val="20"/>
                <w:szCs w:val="20"/>
                <w:lang w:val="pt-PT"/>
              </w:rPr>
              <w:t xml:space="preserve"> Desempenhadas e Conformidade </w:t>
            </w:r>
          </w:p>
        </w:tc>
      </w:tr>
      <w:tr w:rsidR="00F638C3" w:rsidRPr="00292532" w14:paraId="1B356992" w14:textId="77777777" w:rsidTr="00F638C3">
        <w:trPr>
          <w:trHeight w:val="1183"/>
        </w:trPr>
        <w:tc>
          <w:tcPr>
            <w:tcW w:w="2155" w:type="dxa"/>
          </w:tcPr>
          <w:p w14:paraId="1A304DB8" w14:textId="77777777" w:rsidR="00F638C3" w:rsidRPr="00292532" w:rsidRDefault="00F638C3" w:rsidP="00F638C3">
            <w:pPr>
              <w:rPr>
                <w:b/>
                <w:bCs/>
                <w:sz w:val="20"/>
                <w:szCs w:val="20"/>
                <w:lang w:val="pt-PT"/>
              </w:rPr>
            </w:pPr>
            <w:proofErr w:type="spellStart"/>
            <w:r w:rsidRPr="00292532">
              <w:rPr>
                <w:b/>
                <w:bCs/>
                <w:sz w:val="20"/>
                <w:szCs w:val="20"/>
                <w:lang w:val="pt-PT"/>
              </w:rPr>
              <w:t>Actividades</w:t>
            </w:r>
            <w:proofErr w:type="spellEnd"/>
            <w:r w:rsidRPr="00292532">
              <w:rPr>
                <w:b/>
                <w:bCs/>
                <w:sz w:val="20"/>
                <w:szCs w:val="20"/>
                <w:lang w:val="pt-PT"/>
              </w:rPr>
              <w:t>/processos</w:t>
            </w:r>
          </w:p>
        </w:tc>
        <w:tc>
          <w:tcPr>
            <w:tcW w:w="1530" w:type="dxa"/>
          </w:tcPr>
          <w:p w14:paraId="4A2257AC" w14:textId="77777777" w:rsidR="00F638C3" w:rsidRPr="00292532" w:rsidRDefault="00F638C3" w:rsidP="00F638C3">
            <w:pPr>
              <w:rPr>
                <w:b/>
                <w:bCs/>
                <w:sz w:val="20"/>
                <w:szCs w:val="20"/>
                <w:lang w:val="pt-PT"/>
              </w:rPr>
            </w:pPr>
            <w:r w:rsidRPr="00292532">
              <w:rPr>
                <w:b/>
                <w:bCs/>
                <w:sz w:val="20"/>
                <w:szCs w:val="20"/>
                <w:lang w:val="pt-PT"/>
              </w:rPr>
              <w:t>Status de Implementação (no iniciado, em progresso/concluído)</w:t>
            </w:r>
          </w:p>
        </w:tc>
        <w:tc>
          <w:tcPr>
            <w:tcW w:w="2070" w:type="dxa"/>
          </w:tcPr>
          <w:p w14:paraId="228A346F" w14:textId="77777777" w:rsidR="00F638C3" w:rsidRPr="00292532" w:rsidRDefault="00F638C3" w:rsidP="00F638C3">
            <w:pPr>
              <w:rPr>
                <w:b/>
                <w:bCs/>
                <w:sz w:val="20"/>
                <w:szCs w:val="20"/>
                <w:lang w:val="pt-PT"/>
              </w:rPr>
            </w:pPr>
            <w:r w:rsidRPr="00292532">
              <w:rPr>
                <w:b/>
                <w:bCs/>
                <w:sz w:val="20"/>
                <w:szCs w:val="20"/>
                <w:lang w:val="pt-PT"/>
              </w:rPr>
              <w:t>Conformidade com o PGAS (SIM/NÃO/PARCIAL)</w:t>
            </w:r>
          </w:p>
        </w:tc>
        <w:tc>
          <w:tcPr>
            <w:tcW w:w="1890" w:type="dxa"/>
          </w:tcPr>
          <w:p w14:paraId="2B0A3CB9" w14:textId="77777777" w:rsidR="00F638C3" w:rsidRPr="00292532" w:rsidRDefault="00F638C3" w:rsidP="00F638C3">
            <w:pPr>
              <w:rPr>
                <w:b/>
                <w:bCs/>
                <w:sz w:val="20"/>
                <w:szCs w:val="20"/>
                <w:lang w:val="pt-PT"/>
              </w:rPr>
            </w:pPr>
            <w:r w:rsidRPr="00292532">
              <w:rPr>
                <w:b/>
                <w:bCs/>
                <w:sz w:val="20"/>
                <w:szCs w:val="20"/>
                <w:lang w:val="pt-PT"/>
              </w:rPr>
              <w:t>Conformidade com os requisitos de saúde e segurança e higiene (SIM/NÃO/PARCIAL</w:t>
            </w:r>
          </w:p>
        </w:tc>
        <w:tc>
          <w:tcPr>
            <w:tcW w:w="1800" w:type="dxa"/>
          </w:tcPr>
          <w:p w14:paraId="42C85A1A" w14:textId="77777777" w:rsidR="00F638C3" w:rsidRPr="00292532" w:rsidRDefault="00F638C3" w:rsidP="00F638C3">
            <w:pPr>
              <w:rPr>
                <w:b/>
                <w:bCs/>
                <w:sz w:val="20"/>
                <w:szCs w:val="20"/>
                <w:lang w:val="pt-PT"/>
              </w:rPr>
            </w:pPr>
            <w:r w:rsidRPr="00292532">
              <w:rPr>
                <w:b/>
                <w:bCs/>
                <w:sz w:val="20"/>
                <w:szCs w:val="20"/>
                <w:lang w:val="pt-PT"/>
              </w:rPr>
              <w:t>Observações</w:t>
            </w:r>
          </w:p>
        </w:tc>
      </w:tr>
      <w:tr w:rsidR="00F638C3" w:rsidRPr="00292532" w14:paraId="4842B8DF" w14:textId="77777777" w:rsidTr="00F638C3">
        <w:tc>
          <w:tcPr>
            <w:tcW w:w="2155" w:type="dxa"/>
          </w:tcPr>
          <w:p w14:paraId="6B1FBC82" w14:textId="77777777" w:rsidR="00F638C3" w:rsidRPr="00292532" w:rsidRDefault="00F638C3" w:rsidP="00F638C3">
            <w:pPr>
              <w:rPr>
                <w:sz w:val="20"/>
                <w:szCs w:val="20"/>
                <w:lang w:val="pt-PT"/>
              </w:rPr>
            </w:pPr>
          </w:p>
        </w:tc>
        <w:tc>
          <w:tcPr>
            <w:tcW w:w="1530" w:type="dxa"/>
          </w:tcPr>
          <w:p w14:paraId="3B8FC974" w14:textId="77777777" w:rsidR="00F638C3" w:rsidRPr="00292532" w:rsidRDefault="00F638C3" w:rsidP="00F638C3">
            <w:pPr>
              <w:rPr>
                <w:sz w:val="20"/>
                <w:szCs w:val="20"/>
                <w:lang w:val="pt-PT"/>
              </w:rPr>
            </w:pPr>
          </w:p>
        </w:tc>
        <w:tc>
          <w:tcPr>
            <w:tcW w:w="2070" w:type="dxa"/>
          </w:tcPr>
          <w:p w14:paraId="1630354B" w14:textId="77777777" w:rsidR="00F638C3" w:rsidRPr="00292532" w:rsidRDefault="00F638C3" w:rsidP="00F638C3">
            <w:pPr>
              <w:rPr>
                <w:sz w:val="20"/>
                <w:szCs w:val="20"/>
                <w:lang w:val="pt-PT"/>
              </w:rPr>
            </w:pPr>
          </w:p>
        </w:tc>
        <w:tc>
          <w:tcPr>
            <w:tcW w:w="1890" w:type="dxa"/>
          </w:tcPr>
          <w:p w14:paraId="52794308" w14:textId="77777777" w:rsidR="00F638C3" w:rsidRPr="00292532" w:rsidRDefault="00F638C3" w:rsidP="00F638C3">
            <w:pPr>
              <w:rPr>
                <w:sz w:val="20"/>
                <w:szCs w:val="20"/>
                <w:lang w:val="pt-PT"/>
              </w:rPr>
            </w:pPr>
          </w:p>
        </w:tc>
        <w:tc>
          <w:tcPr>
            <w:tcW w:w="1800" w:type="dxa"/>
          </w:tcPr>
          <w:p w14:paraId="110D5A02" w14:textId="77777777" w:rsidR="00F638C3" w:rsidRPr="00292532" w:rsidRDefault="00F638C3" w:rsidP="00F638C3">
            <w:pPr>
              <w:rPr>
                <w:sz w:val="20"/>
                <w:szCs w:val="20"/>
                <w:lang w:val="pt-PT"/>
              </w:rPr>
            </w:pPr>
          </w:p>
        </w:tc>
      </w:tr>
      <w:tr w:rsidR="00F638C3" w:rsidRPr="00292532" w14:paraId="3A5B7D13" w14:textId="77777777" w:rsidTr="00F638C3">
        <w:tc>
          <w:tcPr>
            <w:tcW w:w="2155" w:type="dxa"/>
          </w:tcPr>
          <w:p w14:paraId="42BB1B0D" w14:textId="77777777" w:rsidR="00F638C3" w:rsidRPr="00292532" w:rsidRDefault="00F638C3" w:rsidP="00F638C3">
            <w:pPr>
              <w:rPr>
                <w:sz w:val="20"/>
                <w:szCs w:val="20"/>
                <w:lang w:val="pt-PT"/>
              </w:rPr>
            </w:pPr>
          </w:p>
        </w:tc>
        <w:tc>
          <w:tcPr>
            <w:tcW w:w="1530" w:type="dxa"/>
          </w:tcPr>
          <w:p w14:paraId="1F09ABF9" w14:textId="77777777" w:rsidR="00F638C3" w:rsidRPr="00292532" w:rsidRDefault="00F638C3" w:rsidP="00F638C3">
            <w:pPr>
              <w:rPr>
                <w:sz w:val="20"/>
                <w:szCs w:val="20"/>
                <w:lang w:val="pt-PT"/>
              </w:rPr>
            </w:pPr>
          </w:p>
        </w:tc>
        <w:tc>
          <w:tcPr>
            <w:tcW w:w="2070" w:type="dxa"/>
          </w:tcPr>
          <w:p w14:paraId="511738A9" w14:textId="77777777" w:rsidR="00F638C3" w:rsidRPr="00292532" w:rsidRDefault="00F638C3" w:rsidP="00F638C3">
            <w:pPr>
              <w:rPr>
                <w:sz w:val="20"/>
                <w:szCs w:val="20"/>
                <w:lang w:val="pt-PT"/>
              </w:rPr>
            </w:pPr>
          </w:p>
        </w:tc>
        <w:tc>
          <w:tcPr>
            <w:tcW w:w="1890" w:type="dxa"/>
          </w:tcPr>
          <w:p w14:paraId="02E596FF" w14:textId="77777777" w:rsidR="00F638C3" w:rsidRPr="00292532" w:rsidRDefault="00F638C3" w:rsidP="00F638C3">
            <w:pPr>
              <w:rPr>
                <w:sz w:val="20"/>
                <w:szCs w:val="20"/>
                <w:lang w:val="pt-PT"/>
              </w:rPr>
            </w:pPr>
          </w:p>
        </w:tc>
        <w:tc>
          <w:tcPr>
            <w:tcW w:w="1800" w:type="dxa"/>
          </w:tcPr>
          <w:p w14:paraId="3CDE61D2" w14:textId="77777777" w:rsidR="00F638C3" w:rsidRPr="00292532" w:rsidRDefault="00F638C3" w:rsidP="00F638C3">
            <w:pPr>
              <w:rPr>
                <w:sz w:val="20"/>
                <w:szCs w:val="20"/>
                <w:lang w:val="pt-PT"/>
              </w:rPr>
            </w:pPr>
          </w:p>
        </w:tc>
      </w:tr>
      <w:tr w:rsidR="00F638C3" w:rsidRPr="00292532" w14:paraId="5F4D2985" w14:textId="77777777" w:rsidTr="00F638C3">
        <w:tc>
          <w:tcPr>
            <w:tcW w:w="2155" w:type="dxa"/>
          </w:tcPr>
          <w:p w14:paraId="62DA0CD4" w14:textId="77777777" w:rsidR="00F638C3" w:rsidRPr="00292532" w:rsidRDefault="00F638C3" w:rsidP="00F638C3">
            <w:pPr>
              <w:rPr>
                <w:sz w:val="20"/>
                <w:szCs w:val="20"/>
                <w:lang w:val="pt-PT"/>
              </w:rPr>
            </w:pPr>
          </w:p>
        </w:tc>
        <w:tc>
          <w:tcPr>
            <w:tcW w:w="1530" w:type="dxa"/>
          </w:tcPr>
          <w:p w14:paraId="622B136E" w14:textId="77777777" w:rsidR="00F638C3" w:rsidRPr="00292532" w:rsidRDefault="00F638C3" w:rsidP="00F638C3">
            <w:pPr>
              <w:rPr>
                <w:sz w:val="20"/>
                <w:szCs w:val="20"/>
                <w:lang w:val="pt-PT"/>
              </w:rPr>
            </w:pPr>
          </w:p>
        </w:tc>
        <w:tc>
          <w:tcPr>
            <w:tcW w:w="2070" w:type="dxa"/>
          </w:tcPr>
          <w:p w14:paraId="29954AD0" w14:textId="77777777" w:rsidR="00F638C3" w:rsidRPr="00292532" w:rsidRDefault="00F638C3" w:rsidP="00F638C3">
            <w:pPr>
              <w:rPr>
                <w:sz w:val="20"/>
                <w:szCs w:val="20"/>
                <w:lang w:val="pt-PT"/>
              </w:rPr>
            </w:pPr>
          </w:p>
        </w:tc>
        <w:tc>
          <w:tcPr>
            <w:tcW w:w="1890" w:type="dxa"/>
          </w:tcPr>
          <w:p w14:paraId="5F63DDF5" w14:textId="77777777" w:rsidR="00F638C3" w:rsidRPr="00292532" w:rsidRDefault="00F638C3" w:rsidP="00F638C3">
            <w:pPr>
              <w:rPr>
                <w:sz w:val="20"/>
                <w:szCs w:val="20"/>
                <w:lang w:val="pt-PT"/>
              </w:rPr>
            </w:pPr>
          </w:p>
        </w:tc>
        <w:tc>
          <w:tcPr>
            <w:tcW w:w="1800" w:type="dxa"/>
          </w:tcPr>
          <w:p w14:paraId="1546FC63" w14:textId="77777777" w:rsidR="00F638C3" w:rsidRPr="00292532" w:rsidRDefault="00F638C3" w:rsidP="00F638C3">
            <w:pPr>
              <w:rPr>
                <w:sz w:val="20"/>
                <w:szCs w:val="20"/>
                <w:lang w:val="pt-PT"/>
              </w:rPr>
            </w:pPr>
          </w:p>
        </w:tc>
      </w:tr>
      <w:tr w:rsidR="00F638C3" w:rsidRPr="00292532" w14:paraId="253419AD" w14:textId="77777777" w:rsidTr="00F638C3">
        <w:tc>
          <w:tcPr>
            <w:tcW w:w="2155" w:type="dxa"/>
          </w:tcPr>
          <w:p w14:paraId="2E3EBF11" w14:textId="77777777" w:rsidR="00F638C3" w:rsidRPr="00292532" w:rsidRDefault="00F638C3" w:rsidP="00F638C3">
            <w:pPr>
              <w:rPr>
                <w:sz w:val="20"/>
                <w:szCs w:val="20"/>
                <w:lang w:val="pt-PT"/>
              </w:rPr>
            </w:pPr>
          </w:p>
        </w:tc>
        <w:tc>
          <w:tcPr>
            <w:tcW w:w="1530" w:type="dxa"/>
          </w:tcPr>
          <w:p w14:paraId="3834AA4C" w14:textId="77777777" w:rsidR="00F638C3" w:rsidRPr="00292532" w:rsidRDefault="00F638C3" w:rsidP="00F638C3">
            <w:pPr>
              <w:rPr>
                <w:sz w:val="20"/>
                <w:szCs w:val="20"/>
                <w:lang w:val="pt-PT"/>
              </w:rPr>
            </w:pPr>
          </w:p>
        </w:tc>
        <w:tc>
          <w:tcPr>
            <w:tcW w:w="2070" w:type="dxa"/>
          </w:tcPr>
          <w:p w14:paraId="5775E526" w14:textId="77777777" w:rsidR="00F638C3" w:rsidRPr="00292532" w:rsidRDefault="00F638C3" w:rsidP="00F638C3">
            <w:pPr>
              <w:rPr>
                <w:sz w:val="20"/>
                <w:szCs w:val="20"/>
                <w:lang w:val="pt-PT"/>
              </w:rPr>
            </w:pPr>
          </w:p>
        </w:tc>
        <w:tc>
          <w:tcPr>
            <w:tcW w:w="1890" w:type="dxa"/>
          </w:tcPr>
          <w:p w14:paraId="60E4BDD7" w14:textId="77777777" w:rsidR="00F638C3" w:rsidRPr="00292532" w:rsidRDefault="00F638C3" w:rsidP="00F638C3">
            <w:pPr>
              <w:rPr>
                <w:sz w:val="20"/>
                <w:szCs w:val="20"/>
                <w:lang w:val="pt-PT"/>
              </w:rPr>
            </w:pPr>
          </w:p>
        </w:tc>
        <w:tc>
          <w:tcPr>
            <w:tcW w:w="1800" w:type="dxa"/>
          </w:tcPr>
          <w:p w14:paraId="4253D58B" w14:textId="77777777" w:rsidR="00F638C3" w:rsidRPr="00292532" w:rsidRDefault="00F638C3" w:rsidP="00F638C3">
            <w:pPr>
              <w:rPr>
                <w:sz w:val="20"/>
                <w:szCs w:val="20"/>
                <w:lang w:val="pt-PT"/>
              </w:rPr>
            </w:pPr>
          </w:p>
        </w:tc>
      </w:tr>
      <w:tr w:rsidR="00F638C3" w:rsidRPr="00292532" w14:paraId="733BFCF5" w14:textId="77777777" w:rsidTr="00F638C3">
        <w:tc>
          <w:tcPr>
            <w:tcW w:w="2155" w:type="dxa"/>
          </w:tcPr>
          <w:p w14:paraId="5AC9D611" w14:textId="77777777" w:rsidR="00F638C3" w:rsidRPr="00292532" w:rsidRDefault="00F638C3" w:rsidP="00F638C3">
            <w:pPr>
              <w:rPr>
                <w:sz w:val="20"/>
                <w:szCs w:val="20"/>
                <w:lang w:val="pt-PT"/>
              </w:rPr>
            </w:pPr>
          </w:p>
        </w:tc>
        <w:tc>
          <w:tcPr>
            <w:tcW w:w="1530" w:type="dxa"/>
          </w:tcPr>
          <w:p w14:paraId="0C262A50" w14:textId="77777777" w:rsidR="00F638C3" w:rsidRPr="00292532" w:rsidRDefault="00F638C3" w:rsidP="00F638C3">
            <w:pPr>
              <w:rPr>
                <w:sz w:val="20"/>
                <w:szCs w:val="20"/>
                <w:lang w:val="pt-PT"/>
              </w:rPr>
            </w:pPr>
          </w:p>
        </w:tc>
        <w:tc>
          <w:tcPr>
            <w:tcW w:w="2070" w:type="dxa"/>
          </w:tcPr>
          <w:p w14:paraId="2F31F443" w14:textId="77777777" w:rsidR="00F638C3" w:rsidRPr="00292532" w:rsidRDefault="00F638C3" w:rsidP="00F638C3">
            <w:pPr>
              <w:rPr>
                <w:sz w:val="20"/>
                <w:szCs w:val="20"/>
                <w:lang w:val="pt-PT"/>
              </w:rPr>
            </w:pPr>
          </w:p>
        </w:tc>
        <w:tc>
          <w:tcPr>
            <w:tcW w:w="1890" w:type="dxa"/>
          </w:tcPr>
          <w:p w14:paraId="2A7486D5" w14:textId="77777777" w:rsidR="00F638C3" w:rsidRPr="00292532" w:rsidRDefault="00F638C3" w:rsidP="00F638C3">
            <w:pPr>
              <w:rPr>
                <w:sz w:val="20"/>
                <w:szCs w:val="20"/>
                <w:lang w:val="pt-PT"/>
              </w:rPr>
            </w:pPr>
          </w:p>
        </w:tc>
        <w:tc>
          <w:tcPr>
            <w:tcW w:w="1800" w:type="dxa"/>
          </w:tcPr>
          <w:p w14:paraId="536560B6" w14:textId="77777777" w:rsidR="00F638C3" w:rsidRPr="00292532" w:rsidRDefault="00F638C3" w:rsidP="00F638C3">
            <w:pPr>
              <w:rPr>
                <w:sz w:val="20"/>
                <w:szCs w:val="20"/>
                <w:lang w:val="pt-PT"/>
              </w:rPr>
            </w:pPr>
          </w:p>
        </w:tc>
      </w:tr>
      <w:tr w:rsidR="00F638C3" w:rsidRPr="00292532" w14:paraId="34F2BFBB" w14:textId="77777777" w:rsidTr="00F638C3">
        <w:tc>
          <w:tcPr>
            <w:tcW w:w="2155" w:type="dxa"/>
          </w:tcPr>
          <w:p w14:paraId="5F6430D9" w14:textId="77777777" w:rsidR="00F638C3" w:rsidRPr="00292532" w:rsidRDefault="00F638C3" w:rsidP="00F638C3">
            <w:pPr>
              <w:rPr>
                <w:sz w:val="20"/>
                <w:szCs w:val="20"/>
                <w:lang w:val="pt-PT"/>
              </w:rPr>
            </w:pPr>
          </w:p>
        </w:tc>
        <w:tc>
          <w:tcPr>
            <w:tcW w:w="1530" w:type="dxa"/>
          </w:tcPr>
          <w:p w14:paraId="21B2D9C3" w14:textId="77777777" w:rsidR="00F638C3" w:rsidRPr="00292532" w:rsidRDefault="00F638C3" w:rsidP="00F638C3">
            <w:pPr>
              <w:rPr>
                <w:sz w:val="20"/>
                <w:szCs w:val="20"/>
                <w:lang w:val="pt-PT"/>
              </w:rPr>
            </w:pPr>
          </w:p>
        </w:tc>
        <w:tc>
          <w:tcPr>
            <w:tcW w:w="2070" w:type="dxa"/>
          </w:tcPr>
          <w:p w14:paraId="6558DB04" w14:textId="77777777" w:rsidR="00F638C3" w:rsidRPr="00292532" w:rsidRDefault="00F638C3" w:rsidP="00F638C3">
            <w:pPr>
              <w:rPr>
                <w:sz w:val="20"/>
                <w:szCs w:val="20"/>
                <w:lang w:val="pt-PT"/>
              </w:rPr>
            </w:pPr>
          </w:p>
        </w:tc>
        <w:tc>
          <w:tcPr>
            <w:tcW w:w="1890" w:type="dxa"/>
          </w:tcPr>
          <w:p w14:paraId="1CD705BE" w14:textId="77777777" w:rsidR="00F638C3" w:rsidRPr="00292532" w:rsidRDefault="00F638C3" w:rsidP="00F638C3">
            <w:pPr>
              <w:rPr>
                <w:sz w:val="20"/>
                <w:szCs w:val="20"/>
                <w:lang w:val="pt-PT"/>
              </w:rPr>
            </w:pPr>
          </w:p>
        </w:tc>
        <w:tc>
          <w:tcPr>
            <w:tcW w:w="1800" w:type="dxa"/>
          </w:tcPr>
          <w:p w14:paraId="000402F9" w14:textId="77777777" w:rsidR="00F638C3" w:rsidRPr="00292532" w:rsidRDefault="00F638C3" w:rsidP="00F638C3">
            <w:pPr>
              <w:rPr>
                <w:sz w:val="20"/>
                <w:szCs w:val="20"/>
                <w:lang w:val="pt-PT"/>
              </w:rPr>
            </w:pPr>
          </w:p>
        </w:tc>
      </w:tr>
      <w:tr w:rsidR="00F638C3" w:rsidRPr="00292532" w14:paraId="423BD7C5" w14:textId="77777777" w:rsidTr="00F638C3">
        <w:tc>
          <w:tcPr>
            <w:tcW w:w="2155" w:type="dxa"/>
          </w:tcPr>
          <w:p w14:paraId="5FB24864" w14:textId="77777777" w:rsidR="00F638C3" w:rsidRPr="00292532" w:rsidRDefault="00F638C3" w:rsidP="00F638C3">
            <w:pPr>
              <w:rPr>
                <w:sz w:val="20"/>
                <w:szCs w:val="20"/>
                <w:lang w:val="pt-PT"/>
              </w:rPr>
            </w:pPr>
          </w:p>
        </w:tc>
        <w:tc>
          <w:tcPr>
            <w:tcW w:w="1530" w:type="dxa"/>
          </w:tcPr>
          <w:p w14:paraId="55901BBA" w14:textId="77777777" w:rsidR="00F638C3" w:rsidRPr="00292532" w:rsidRDefault="00F638C3" w:rsidP="00F638C3">
            <w:pPr>
              <w:rPr>
                <w:sz w:val="20"/>
                <w:szCs w:val="20"/>
                <w:lang w:val="pt-PT"/>
              </w:rPr>
            </w:pPr>
          </w:p>
        </w:tc>
        <w:tc>
          <w:tcPr>
            <w:tcW w:w="2070" w:type="dxa"/>
          </w:tcPr>
          <w:p w14:paraId="1484863D" w14:textId="77777777" w:rsidR="00F638C3" w:rsidRPr="00292532" w:rsidRDefault="00F638C3" w:rsidP="00F638C3">
            <w:pPr>
              <w:rPr>
                <w:sz w:val="20"/>
                <w:szCs w:val="20"/>
                <w:lang w:val="pt-PT"/>
              </w:rPr>
            </w:pPr>
          </w:p>
        </w:tc>
        <w:tc>
          <w:tcPr>
            <w:tcW w:w="1890" w:type="dxa"/>
          </w:tcPr>
          <w:p w14:paraId="3B1E9991" w14:textId="77777777" w:rsidR="00F638C3" w:rsidRPr="00292532" w:rsidRDefault="00F638C3" w:rsidP="00F638C3">
            <w:pPr>
              <w:rPr>
                <w:sz w:val="20"/>
                <w:szCs w:val="20"/>
                <w:lang w:val="pt-PT"/>
              </w:rPr>
            </w:pPr>
          </w:p>
        </w:tc>
        <w:tc>
          <w:tcPr>
            <w:tcW w:w="1800" w:type="dxa"/>
          </w:tcPr>
          <w:p w14:paraId="1FF62D7D" w14:textId="77777777" w:rsidR="00F638C3" w:rsidRPr="00292532" w:rsidRDefault="00F638C3" w:rsidP="00F638C3">
            <w:pPr>
              <w:rPr>
                <w:sz w:val="20"/>
                <w:szCs w:val="20"/>
                <w:lang w:val="pt-PT"/>
              </w:rPr>
            </w:pPr>
          </w:p>
        </w:tc>
      </w:tr>
    </w:tbl>
    <w:p w14:paraId="0CD185B9" w14:textId="77777777" w:rsidR="00F638C3" w:rsidRPr="00292532" w:rsidRDefault="00F638C3" w:rsidP="00F638C3">
      <w:pPr>
        <w:rPr>
          <w:b/>
          <w:bCs/>
          <w:lang w:val="pt-PT"/>
        </w:rPr>
      </w:pPr>
      <w:r w:rsidRPr="00292532">
        <w:rPr>
          <w:b/>
          <w:bCs/>
          <w:lang w:val="pt-PT"/>
        </w:rPr>
        <w:br w:type="page"/>
      </w:r>
    </w:p>
    <w:p w14:paraId="5D03C5EC" w14:textId="74381B25" w:rsidR="00F638C3" w:rsidRPr="00292532" w:rsidRDefault="00F638C3" w:rsidP="00F638C3">
      <w:pPr>
        <w:rPr>
          <w:b/>
          <w:bCs/>
          <w:lang w:val="pt-PT"/>
        </w:rPr>
      </w:pPr>
      <w:r w:rsidRPr="00292532">
        <w:rPr>
          <w:b/>
          <w:bCs/>
          <w:lang w:val="pt-PT"/>
        </w:rPr>
        <w:lastRenderedPageBreak/>
        <w:t>Secção C</w:t>
      </w:r>
      <w:r w:rsidR="00C65CB1" w:rsidRPr="00292532">
        <w:rPr>
          <w:b/>
          <w:bCs/>
          <w:lang w:val="pt-PT"/>
        </w:rPr>
        <w:t>1</w:t>
      </w:r>
      <w:r w:rsidRPr="00292532">
        <w:rPr>
          <w:b/>
          <w:bCs/>
          <w:lang w:val="pt-PT"/>
        </w:rPr>
        <w:t xml:space="preserve"> Dados Quantitativos de Desempenho </w:t>
      </w:r>
    </w:p>
    <w:tbl>
      <w:tblPr>
        <w:tblStyle w:val="PlainTable1"/>
        <w:tblW w:w="7645" w:type="dxa"/>
        <w:tblLook w:val="04A0" w:firstRow="1" w:lastRow="0" w:firstColumn="1" w:lastColumn="0" w:noHBand="0" w:noVBand="1"/>
      </w:tblPr>
      <w:tblGrid>
        <w:gridCol w:w="4115"/>
        <w:gridCol w:w="1910"/>
        <w:gridCol w:w="1620"/>
      </w:tblGrid>
      <w:tr w:rsidR="00F638C3" w:rsidRPr="00292532" w14:paraId="6032FE1A" w14:textId="77777777" w:rsidTr="00F638C3">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4115" w:type="dxa"/>
            <w:hideMark/>
          </w:tcPr>
          <w:p w14:paraId="74CCE604" w14:textId="77777777" w:rsidR="00F638C3" w:rsidRPr="00292532" w:rsidRDefault="00F638C3" w:rsidP="00F638C3">
            <w:pPr>
              <w:spacing w:before="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Indicador de Desempenho</w:t>
            </w:r>
          </w:p>
        </w:tc>
        <w:tc>
          <w:tcPr>
            <w:tcW w:w="1910" w:type="dxa"/>
            <w:noWrap/>
            <w:hideMark/>
          </w:tcPr>
          <w:p w14:paraId="73A12E3F" w14:textId="77777777" w:rsidR="00F638C3" w:rsidRPr="00292532" w:rsidRDefault="00F638C3" w:rsidP="00F638C3">
            <w:pPr>
              <w:spacing w:before="0"/>
              <w:ind w:firstLineChars="200" w:firstLine="402"/>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Unidade</w:t>
            </w:r>
          </w:p>
        </w:tc>
        <w:tc>
          <w:tcPr>
            <w:tcW w:w="1620" w:type="dxa"/>
            <w:noWrap/>
            <w:hideMark/>
          </w:tcPr>
          <w:p w14:paraId="09781E67" w14:textId="77777777" w:rsidR="00F638C3" w:rsidRPr="00292532" w:rsidRDefault="00F638C3" w:rsidP="00F638C3">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r w:rsidRPr="00292532">
              <w:rPr>
                <w:rFonts w:asciiTheme="minorHAnsi" w:eastAsia="Times New Roman" w:hAnsiTheme="minorHAnsi" w:cstheme="minorHAnsi"/>
                <w:sz w:val="20"/>
                <w:szCs w:val="20"/>
                <w:lang w:val="pt-PT"/>
              </w:rPr>
              <w:t>Valor registado</w:t>
            </w:r>
          </w:p>
        </w:tc>
      </w:tr>
      <w:tr w:rsidR="00F638C3" w:rsidRPr="00292532" w14:paraId="7F398F84" w14:textId="77777777" w:rsidTr="00F638C3">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4115" w:type="dxa"/>
          </w:tcPr>
          <w:p w14:paraId="1F4B1D7D" w14:textId="77777777" w:rsidR="00F638C3" w:rsidRPr="00292532" w:rsidRDefault="00F638C3" w:rsidP="00F638C3">
            <w:pPr>
              <w:spacing w:before="0"/>
              <w:jc w:val="center"/>
              <w:rPr>
                <w:rFonts w:asciiTheme="minorHAnsi" w:eastAsia="Times New Roman" w:hAnsiTheme="minorHAnsi" w:cstheme="minorHAnsi"/>
                <w:b w:val="0"/>
                <w:bCs w:val="0"/>
                <w:color w:val="000000"/>
                <w:sz w:val="20"/>
                <w:szCs w:val="20"/>
                <w:lang w:val="pt-PT"/>
              </w:rPr>
            </w:pPr>
            <w:r w:rsidRPr="00292532">
              <w:rPr>
                <w:rFonts w:asciiTheme="minorHAnsi" w:eastAsia="Times New Roman" w:hAnsiTheme="minorHAnsi" w:cstheme="minorHAnsi"/>
                <w:b w:val="0"/>
                <w:bCs w:val="0"/>
                <w:color w:val="000000"/>
                <w:sz w:val="20"/>
                <w:szCs w:val="20"/>
                <w:lang w:val="pt-PT"/>
              </w:rPr>
              <w:t>Volume de resíduos sólidos gerado</w:t>
            </w:r>
          </w:p>
        </w:tc>
        <w:tc>
          <w:tcPr>
            <w:tcW w:w="1910" w:type="dxa"/>
            <w:noWrap/>
          </w:tcPr>
          <w:p w14:paraId="1FB7096C" w14:textId="77777777" w:rsidR="00F638C3" w:rsidRPr="00292532" w:rsidRDefault="00F638C3" w:rsidP="00F638C3">
            <w:pPr>
              <w:spacing w:before="0"/>
              <w:ind w:firstLineChars="200" w:firstLine="40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w:t>
            </w:r>
            <w:r w:rsidRPr="00292532">
              <w:rPr>
                <w:rFonts w:asciiTheme="minorHAnsi" w:eastAsia="Times New Roman" w:hAnsiTheme="minorHAnsi" w:cstheme="minorHAnsi"/>
                <w:color w:val="000000"/>
                <w:sz w:val="20"/>
                <w:szCs w:val="20"/>
                <w:vertAlign w:val="superscript"/>
                <w:lang w:val="pt-PT"/>
              </w:rPr>
              <w:t>3</w:t>
            </w:r>
          </w:p>
        </w:tc>
        <w:tc>
          <w:tcPr>
            <w:tcW w:w="1620" w:type="dxa"/>
            <w:noWrap/>
          </w:tcPr>
          <w:p w14:paraId="4BF132E0" w14:textId="77777777" w:rsidR="00F638C3" w:rsidRPr="00292532" w:rsidRDefault="00F638C3" w:rsidP="00F638C3">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pt-PT"/>
              </w:rPr>
            </w:pPr>
          </w:p>
        </w:tc>
      </w:tr>
      <w:tr w:rsidR="00F638C3" w:rsidRPr="00292532" w14:paraId="788D2556" w14:textId="77777777" w:rsidTr="00F638C3">
        <w:trPr>
          <w:trHeight w:val="540"/>
        </w:trPr>
        <w:tc>
          <w:tcPr>
            <w:cnfStyle w:val="001000000000" w:firstRow="0" w:lastRow="0" w:firstColumn="1" w:lastColumn="0" w:oddVBand="0" w:evenVBand="0" w:oddHBand="0" w:evenHBand="0" w:firstRowFirstColumn="0" w:firstRowLastColumn="0" w:lastRowFirstColumn="0" w:lastRowLastColumn="0"/>
            <w:tcW w:w="4115" w:type="dxa"/>
            <w:hideMark/>
          </w:tcPr>
          <w:p w14:paraId="5E43BA7B" w14:textId="77777777" w:rsidR="00F638C3" w:rsidRPr="00292532" w:rsidRDefault="00F638C3" w:rsidP="00F638C3">
            <w:pPr>
              <w:spacing w:before="0"/>
              <w:jc w:val="center"/>
              <w:rPr>
                <w:rFonts w:asciiTheme="minorHAnsi" w:eastAsia="Times New Roman" w:hAnsiTheme="minorHAnsi" w:cstheme="minorHAnsi"/>
                <w:b w:val="0"/>
                <w:bCs w:val="0"/>
                <w:color w:val="000000"/>
                <w:sz w:val="20"/>
                <w:szCs w:val="20"/>
                <w:lang w:val="pt-PT"/>
              </w:rPr>
            </w:pPr>
            <w:r w:rsidRPr="00292532">
              <w:rPr>
                <w:rFonts w:asciiTheme="minorHAnsi" w:eastAsia="Times New Roman" w:hAnsiTheme="minorHAnsi" w:cstheme="minorHAnsi"/>
                <w:b w:val="0"/>
                <w:bCs w:val="0"/>
                <w:color w:val="000000"/>
                <w:sz w:val="20"/>
                <w:szCs w:val="20"/>
                <w:lang w:val="pt-PT"/>
              </w:rPr>
              <w:t>Campanhas de consciencialização, treinamento e capacitação em Saúde e Segurança ambiental</w:t>
            </w:r>
          </w:p>
        </w:tc>
        <w:tc>
          <w:tcPr>
            <w:tcW w:w="1910" w:type="dxa"/>
            <w:noWrap/>
            <w:hideMark/>
          </w:tcPr>
          <w:p w14:paraId="6755E084" w14:textId="77777777" w:rsidR="00F638C3" w:rsidRPr="00292532" w:rsidRDefault="00F638C3" w:rsidP="00F638C3">
            <w:pPr>
              <w:spacing w:before="0"/>
              <w:ind w:firstLineChars="200" w:firstLine="40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No.</w:t>
            </w:r>
          </w:p>
        </w:tc>
        <w:tc>
          <w:tcPr>
            <w:tcW w:w="1620" w:type="dxa"/>
            <w:noWrap/>
            <w:hideMark/>
          </w:tcPr>
          <w:p w14:paraId="64930E01" w14:textId="77777777" w:rsidR="00F638C3" w:rsidRPr="00292532" w:rsidRDefault="00F638C3" w:rsidP="00F638C3">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p>
        </w:tc>
      </w:tr>
      <w:tr w:rsidR="00F638C3" w:rsidRPr="00292532" w14:paraId="4ADC4BB0" w14:textId="77777777" w:rsidTr="00F638C3">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4115" w:type="dxa"/>
            <w:hideMark/>
          </w:tcPr>
          <w:p w14:paraId="59DE4070" w14:textId="77777777" w:rsidR="00F638C3" w:rsidRPr="00292532" w:rsidRDefault="00F638C3" w:rsidP="00F638C3">
            <w:pPr>
              <w:spacing w:before="0"/>
              <w:jc w:val="center"/>
              <w:rPr>
                <w:rFonts w:asciiTheme="minorHAnsi" w:eastAsia="Times New Roman" w:hAnsiTheme="minorHAnsi" w:cstheme="minorHAnsi"/>
                <w:b w:val="0"/>
                <w:bCs w:val="0"/>
                <w:color w:val="000000"/>
                <w:sz w:val="20"/>
                <w:szCs w:val="20"/>
                <w:lang w:val="pt-PT"/>
              </w:rPr>
            </w:pPr>
            <w:r w:rsidRPr="00292532">
              <w:rPr>
                <w:rFonts w:asciiTheme="minorHAnsi" w:eastAsia="Times New Roman" w:hAnsiTheme="minorHAnsi" w:cstheme="minorHAnsi"/>
                <w:b w:val="0"/>
                <w:bCs w:val="0"/>
                <w:color w:val="000000"/>
                <w:sz w:val="20"/>
                <w:szCs w:val="20"/>
                <w:lang w:val="pt-PT"/>
              </w:rPr>
              <w:t>Número de queixas e reclamações registadas vs. resolvidas</w:t>
            </w:r>
          </w:p>
        </w:tc>
        <w:tc>
          <w:tcPr>
            <w:tcW w:w="1910" w:type="dxa"/>
            <w:noWrap/>
            <w:hideMark/>
          </w:tcPr>
          <w:p w14:paraId="3E5AED9E" w14:textId="77777777" w:rsidR="00F638C3" w:rsidRPr="00292532" w:rsidRDefault="00F638C3" w:rsidP="00F638C3">
            <w:pPr>
              <w:spacing w:before="0"/>
              <w:ind w:firstLineChars="200" w:firstLine="40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No.</w:t>
            </w:r>
          </w:p>
        </w:tc>
        <w:tc>
          <w:tcPr>
            <w:tcW w:w="1620" w:type="dxa"/>
            <w:noWrap/>
            <w:hideMark/>
          </w:tcPr>
          <w:p w14:paraId="415A9393" w14:textId="77777777" w:rsidR="00F638C3" w:rsidRPr="00292532" w:rsidRDefault="00F638C3" w:rsidP="00F638C3">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pt-PT"/>
              </w:rPr>
            </w:pPr>
          </w:p>
        </w:tc>
      </w:tr>
      <w:tr w:rsidR="00F638C3" w:rsidRPr="00292532" w14:paraId="06E2FCAE" w14:textId="77777777" w:rsidTr="00F638C3">
        <w:trPr>
          <w:trHeight w:val="540"/>
        </w:trPr>
        <w:tc>
          <w:tcPr>
            <w:cnfStyle w:val="001000000000" w:firstRow="0" w:lastRow="0" w:firstColumn="1" w:lastColumn="0" w:oddVBand="0" w:evenVBand="0" w:oddHBand="0" w:evenHBand="0" w:firstRowFirstColumn="0" w:firstRowLastColumn="0" w:lastRowFirstColumn="0" w:lastRowLastColumn="0"/>
            <w:tcW w:w="4115" w:type="dxa"/>
            <w:hideMark/>
          </w:tcPr>
          <w:p w14:paraId="00507E40" w14:textId="77777777" w:rsidR="00F638C3" w:rsidRPr="00292532" w:rsidRDefault="00F638C3" w:rsidP="00F638C3">
            <w:pPr>
              <w:spacing w:before="0"/>
              <w:jc w:val="center"/>
              <w:rPr>
                <w:rFonts w:asciiTheme="minorHAnsi" w:eastAsia="Times New Roman" w:hAnsiTheme="minorHAnsi" w:cstheme="minorHAnsi"/>
                <w:b w:val="0"/>
                <w:bCs w:val="0"/>
                <w:color w:val="000000"/>
                <w:sz w:val="20"/>
                <w:szCs w:val="20"/>
                <w:lang w:val="pt-PT"/>
              </w:rPr>
            </w:pPr>
            <w:r w:rsidRPr="00292532">
              <w:rPr>
                <w:rFonts w:asciiTheme="minorHAnsi" w:eastAsia="Times New Roman" w:hAnsiTheme="minorHAnsi" w:cstheme="minorHAnsi"/>
                <w:b w:val="0"/>
                <w:bCs w:val="0"/>
                <w:color w:val="000000"/>
                <w:sz w:val="20"/>
                <w:szCs w:val="20"/>
                <w:lang w:val="pt-PT"/>
              </w:rPr>
              <w:t>Reuniões de engajamento com as partes interessadas</w:t>
            </w:r>
          </w:p>
        </w:tc>
        <w:tc>
          <w:tcPr>
            <w:tcW w:w="1910" w:type="dxa"/>
            <w:noWrap/>
            <w:hideMark/>
          </w:tcPr>
          <w:p w14:paraId="2B081287" w14:textId="77777777" w:rsidR="00F638C3" w:rsidRPr="00292532" w:rsidRDefault="00F638C3" w:rsidP="00F638C3">
            <w:pPr>
              <w:spacing w:before="0"/>
              <w:ind w:firstLineChars="200" w:firstLine="40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No.</w:t>
            </w:r>
          </w:p>
        </w:tc>
        <w:tc>
          <w:tcPr>
            <w:tcW w:w="1620" w:type="dxa"/>
            <w:noWrap/>
            <w:hideMark/>
          </w:tcPr>
          <w:p w14:paraId="6FBB7E23" w14:textId="77777777" w:rsidR="00F638C3" w:rsidRPr="00292532" w:rsidRDefault="00F638C3" w:rsidP="00F638C3">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p>
        </w:tc>
      </w:tr>
      <w:tr w:rsidR="00F638C3" w:rsidRPr="00292532" w14:paraId="5BB5A52A" w14:textId="77777777" w:rsidTr="00F638C3">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4115" w:type="dxa"/>
            <w:hideMark/>
          </w:tcPr>
          <w:p w14:paraId="4D044B58" w14:textId="6E61F589" w:rsidR="00F638C3" w:rsidRPr="00941934" w:rsidRDefault="00F638C3" w:rsidP="00F638C3">
            <w:pPr>
              <w:spacing w:before="0"/>
              <w:jc w:val="center"/>
              <w:rPr>
                <w:rFonts w:asciiTheme="minorHAnsi" w:eastAsia="Times New Roman" w:hAnsiTheme="minorHAnsi" w:cstheme="minorHAnsi"/>
                <w:b w:val="0"/>
                <w:bCs w:val="0"/>
                <w:color w:val="000000"/>
                <w:sz w:val="20"/>
                <w:szCs w:val="20"/>
                <w:lang w:val="pt-PT"/>
              </w:rPr>
            </w:pPr>
            <w:r w:rsidRPr="00292532">
              <w:rPr>
                <w:rFonts w:asciiTheme="minorHAnsi" w:eastAsia="Times New Roman" w:hAnsiTheme="minorHAnsi" w:cstheme="minorHAnsi"/>
                <w:b w:val="0"/>
                <w:bCs w:val="0"/>
                <w:color w:val="000000"/>
                <w:sz w:val="20"/>
                <w:szCs w:val="20"/>
                <w:lang w:val="pt-PT"/>
              </w:rPr>
              <w:t>Postos de emprego criados na fase de construção</w:t>
            </w:r>
            <w:r w:rsidR="00D43610">
              <w:rPr>
                <w:rFonts w:asciiTheme="minorHAnsi" w:eastAsia="Times New Roman" w:hAnsiTheme="minorHAnsi" w:cstheme="minorHAnsi"/>
                <w:b w:val="0"/>
                <w:bCs w:val="0"/>
                <w:color w:val="000000"/>
                <w:sz w:val="20"/>
                <w:szCs w:val="20"/>
                <w:lang w:val="pt-PT"/>
              </w:rPr>
              <w:t xml:space="preserve"> (subdivididos em nacionais</w:t>
            </w:r>
            <w:r w:rsidR="00D43610" w:rsidRPr="00941934">
              <w:rPr>
                <w:rFonts w:asciiTheme="minorHAnsi" w:eastAsia="Times New Roman" w:hAnsiTheme="minorHAnsi" w:cstheme="minorHAnsi"/>
                <w:b w:val="0"/>
                <w:bCs w:val="0"/>
                <w:color w:val="000000"/>
                <w:sz w:val="20"/>
                <w:szCs w:val="20"/>
                <w:lang w:val="pt-PT"/>
              </w:rPr>
              <w:t>/</w:t>
            </w:r>
            <w:r w:rsidR="00D43610">
              <w:rPr>
                <w:rFonts w:asciiTheme="minorHAnsi" w:eastAsia="Times New Roman" w:hAnsiTheme="minorHAnsi" w:cstheme="minorHAnsi"/>
                <w:b w:val="0"/>
                <w:bCs w:val="0"/>
                <w:color w:val="000000"/>
                <w:sz w:val="20"/>
                <w:szCs w:val="20"/>
                <w:lang w:val="pt-PT"/>
              </w:rPr>
              <w:t xml:space="preserve">expatriados e homens </w:t>
            </w:r>
            <w:proofErr w:type="spellStart"/>
            <w:r w:rsidR="00D43610">
              <w:rPr>
                <w:rFonts w:asciiTheme="minorHAnsi" w:eastAsia="Times New Roman" w:hAnsiTheme="minorHAnsi" w:cstheme="minorHAnsi"/>
                <w:b w:val="0"/>
                <w:bCs w:val="0"/>
                <w:color w:val="000000"/>
                <w:sz w:val="20"/>
                <w:szCs w:val="20"/>
                <w:lang w:val="pt-PT"/>
              </w:rPr>
              <w:t>vs</w:t>
            </w:r>
            <w:proofErr w:type="spellEnd"/>
            <w:r w:rsidR="00D43610">
              <w:rPr>
                <w:rFonts w:asciiTheme="minorHAnsi" w:eastAsia="Times New Roman" w:hAnsiTheme="minorHAnsi" w:cstheme="minorHAnsi"/>
                <w:b w:val="0"/>
                <w:bCs w:val="0"/>
                <w:color w:val="000000"/>
                <w:sz w:val="20"/>
                <w:szCs w:val="20"/>
                <w:lang w:val="pt-PT"/>
              </w:rPr>
              <w:t xml:space="preserve"> mulheres)</w:t>
            </w:r>
          </w:p>
        </w:tc>
        <w:tc>
          <w:tcPr>
            <w:tcW w:w="1910" w:type="dxa"/>
            <w:noWrap/>
            <w:hideMark/>
          </w:tcPr>
          <w:p w14:paraId="38CB4849" w14:textId="77777777" w:rsidR="00F638C3" w:rsidRPr="00292532" w:rsidRDefault="00F638C3" w:rsidP="00F638C3">
            <w:pPr>
              <w:spacing w:before="0"/>
              <w:ind w:firstLineChars="200" w:firstLine="40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No.</w:t>
            </w:r>
          </w:p>
        </w:tc>
        <w:tc>
          <w:tcPr>
            <w:tcW w:w="1620" w:type="dxa"/>
            <w:noWrap/>
            <w:hideMark/>
          </w:tcPr>
          <w:p w14:paraId="69A0DFC6" w14:textId="77777777" w:rsidR="00F638C3" w:rsidRPr="00292532" w:rsidRDefault="00F638C3" w:rsidP="00F638C3">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pt-PT"/>
              </w:rPr>
            </w:pPr>
          </w:p>
        </w:tc>
      </w:tr>
      <w:tr w:rsidR="00F638C3" w:rsidRPr="00292532" w14:paraId="4CCF1361" w14:textId="77777777" w:rsidTr="00F638C3">
        <w:trPr>
          <w:trHeight w:val="540"/>
        </w:trPr>
        <w:tc>
          <w:tcPr>
            <w:cnfStyle w:val="001000000000" w:firstRow="0" w:lastRow="0" w:firstColumn="1" w:lastColumn="0" w:oddVBand="0" w:evenVBand="0" w:oddHBand="0" w:evenHBand="0" w:firstRowFirstColumn="0" w:firstRowLastColumn="0" w:lastRowFirstColumn="0" w:lastRowLastColumn="0"/>
            <w:tcW w:w="4115" w:type="dxa"/>
            <w:hideMark/>
          </w:tcPr>
          <w:p w14:paraId="628E2E39" w14:textId="77777777" w:rsidR="00F638C3" w:rsidRPr="00292532" w:rsidRDefault="00F638C3" w:rsidP="00F638C3">
            <w:pPr>
              <w:spacing w:before="0"/>
              <w:jc w:val="center"/>
              <w:rPr>
                <w:rFonts w:asciiTheme="minorHAnsi" w:eastAsia="Times New Roman" w:hAnsiTheme="minorHAnsi" w:cstheme="minorHAnsi"/>
                <w:b w:val="0"/>
                <w:bCs w:val="0"/>
                <w:color w:val="000000"/>
                <w:sz w:val="20"/>
                <w:szCs w:val="20"/>
                <w:lang w:val="pt-PT"/>
              </w:rPr>
            </w:pPr>
            <w:r w:rsidRPr="00292532">
              <w:rPr>
                <w:rFonts w:asciiTheme="minorHAnsi" w:eastAsia="Times New Roman" w:hAnsiTheme="minorHAnsi" w:cstheme="minorHAnsi"/>
                <w:b w:val="0"/>
                <w:bCs w:val="0"/>
                <w:color w:val="000000"/>
                <w:sz w:val="20"/>
                <w:szCs w:val="20"/>
                <w:lang w:val="pt-PT"/>
              </w:rPr>
              <w:t>Treinamento e capacitação</w:t>
            </w:r>
          </w:p>
        </w:tc>
        <w:tc>
          <w:tcPr>
            <w:tcW w:w="1910" w:type="dxa"/>
            <w:noWrap/>
            <w:hideMark/>
          </w:tcPr>
          <w:p w14:paraId="0390251D" w14:textId="77777777" w:rsidR="00F638C3" w:rsidRPr="00292532" w:rsidRDefault="00F638C3" w:rsidP="00F638C3">
            <w:pPr>
              <w:spacing w:before="0"/>
              <w:ind w:firstLineChars="200" w:firstLine="40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No. de participantes</w:t>
            </w:r>
          </w:p>
        </w:tc>
        <w:tc>
          <w:tcPr>
            <w:tcW w:w="1620" w:type="dxa"/>
            <w:noWrap/>
            <w:hideMark/>
          </w:tcPr>
          <w:p w14:paraId="4BEC8C4C" w14:textId="77777777" w:rsidR="00F638C3" w:rsidRPr="00292532" w:rsidRDefault="00F638C3" w:rsidP="00F638C3">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p>
        </w:tc>
      </w:tr>
      <w:tr w:rsidR="00F638C3" w:rsidRPr="00292532" w14:paraId="3FA135B2" w14:textId="77777777" w:rsidTr="00F638C3">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4115" w:type="dxa"/>
            <w:hideMark/>
          </w:tcPr>
          <w:p w14:paraId="3F274CED" w14:textId="77777777" w:rsidR="00F638C3" w:rsidRPr="00292532" w:rsidRDefault="00F638C3" w:rsidP="00F638C3">
            <w:pPr>
              <w:spacing w:before="0"/>
              <w:jc w:val="center"/>
              <w:rPr>
                <w:rFonts w:asciiTheme="minorHAnsi" w:eastAsia="Times New Roman" w:hAnsiTheme="minorHAnsi" w:cstheme="minorHAnsi"/>
                <w:b w:val="0"/>
                <w:bCs w:val="0"/>
                <w:color w:val="000000"/>
                <w:sz w:val="20"/>
                <w:szCs w:val="20"/>
                <w:lang w:val="pt-PT"/>
              </w:rPr>
            </w:pPr>
            <w:r w:rsidRPr="00292532">
              <w:rPr>
                <w:rFonts w:asciiTheme="minorHAnsi" w:eastAsia="Times New Roman" w:hAnsiTheme="minorHAnsi" w:cstheme="minorHAnsi"/>
                <w:b w:val="0"/>
                <w:bCs w:val="0"/>
                <w:color w:val="000000"/>
                <w:sz w:val="20"/>
                <w:szCs w:val="20"/>
                <w:lang w:val="pt-PT"/>
              </w:rPr>
              <w:t>Acidentes (lesões, doenças, danos materiais) e quase acidentes, tempo perdido, frequência das lesões, incidência e índice de gravidade</w:t>
            </w:r>
          </w:p>
        </w:tc>
        <w:tc>
          <w:tcPr>
            <w:tcW w:w="1910" w:type="dxa"/>
            <w:noWrap/>
            <w:hideMark/>
          </w:tcPr>
          <w:p w14:paraId="61BEEE05" w14:textId="77777777" w:rsidR="00F638C3" w:rsidRPr="00292532" w:rsidRDefault="00F638C3" w:rsidP="00F638C3">
            <w:pPr>
              <w:spacing w:before="0"/>
              <w:ind w:firstLineChars="200" w:firstLine="40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No. de incidentes/acidentes</w:t>
            </w:r>
          </w:p>
        </w:tc>
        <w:tc>
          <w:tcPr>
            <w:tcW w:w="1620" w:type="dxa"/>
            <w:noWrap/>
            <w:hideMark/>
          </w:tcPr>
          <w:p w14:paraId="74BE326B" w14:textId="77777777" w:rsidR="00F638C3" w:rsidRPr="00292532" w:rsidRDefault="00F638C3" w:rsidP="00F638C3">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pt-PT"/>
              </w:rPr>
            </w:pPr>
          </w:p>
        </w:tc>
      </w:tr>
      <w:tr w:rsidR="00F638C3" w:rsidRPr="00292532" w14:paraId="10F1B888" w14:textId="77777777" w:rsidTr="00F638C3">
        <w:trPr>
          <w:trHeight w:val="540"/>
        </w:trPr>
        <w:tc>
          <w:tcPr>
            <w:cnfStyle w:val="001000000000" w:firstRow="0" w:lastRow="0" w:firstColumn="1" w:lastColumn="0" w:oddVBand="0" w:evenVBand="0" w:oddHBand="0" w:evenHBand="0" w:firstRowFirstColumn="0" w:firstRowLastColumn="0" w:lastRowFirstColumn="0" w:lastRowLastColumn="0"/>
            <w:tcW w:w="4115" w:type="dxa"/>
            <w:hideMark/>
          </w:tcPr>
          <w:p w14:paraId="2695CD33" w14:textId="77777777" w:rsidR="00F638C3" w:rsidRPr="00292532" w:rsidRDefault="00F638C3" w:rsidP="00F638C3">
            <w:pPr>
              <w:spacing w:before="0"/>
              <w:jc w:val="center"/>
              <w:rPr>
                <w:rFonts w:asciiTheme="minorHAnsi" w:eastAsia="Times New Roman" w:hAnsiTheme="minorHAnsi" w:cstheme="minorHAnsi"/>
                <w:b w:val="0"/>
                <w:bCs w:val="0"/>
                <w:color w:val="000000"/>
                <w:sz w:val="20"/>
                <w:szCs w:val="20"/>
                <w:lang w:val="pt-PT"/>
              </w:rPr>
            </w:pPr>
            <w:r w:rsidRPr="00292532">
              <w:rPr>
                <w:rFonts w:asciiTheme="minorHAnsi" w:eastAsia="Times New Roman" w:hAnsiTheme="minorHAnsi" w:cstheme="minorHAnsi"/>
                <w:b w:val="0"/>
                <w:bCs w:val="0"/>
                <w:color w:val="000000"/>
                <w:sz w:val="20"/>
                <w:szCs w:val="20"/>
                <w:lang w:val="pt-PT"/>
              </w:rPr>
              <w:t>Situações de emergências</w:t>
            </w:r>
          </w:p>
        </w:tc>
        <w:tc>
          <w:tcPr>
            <w:tcW w:w="1910" w:type="dxa"/>
            <w:noWrap/>
            <w:hideMark/>
          </w:tcPr>
          <w:p w14:paraId="5BEDE7B4" w14:textId="77777777" w:rsidR="00F638C3" w:rsidRPr="00292532" w:rsidRDefault="00F638C3" w:rsidP="00F638C3">
            <w:pPr>
              <w:spacing w:before="0"/>
              <w:ind w:firstLineChars="200" w:firstLine="40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No. de eventos</w:t>
            </w:r>
          </w:p>
        </w:tc>
        <w:tc>
          <w:tcPr>
            <w:tcW w:w="1620" w:type="dxa"/>
            <w:noWrap/>
            <w:hideMark/>
          </w:tcPr>
          <w:p w14:paraId="50DEDDD9" w14:textId="77777777" w:rsidR="00F638C3" w:rsidRPr="00292532" w:rsidRDefault="00F638C3" w:rsidP="00F638C3">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p>
        </w:tc>
      </w:tr>
      <w:tr w:rsidR="00F638C3" w:rsidRPr="00292532" w14:paraId="6EF1B037" w14:textId="77777777" w:rsidTr="00F638C3">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4115" w:type="dxa"/>
          </w:tcPr>
          <w:p w14:paraId="2441060F" w14:textId="77777777" w:rsidR="00F638C3" w:rsidRPr="00292532" w:rsidRDefault="00F638C3" w:rsidP="00F638C3">
            <w:pPr>
              <w:spacing w:before="0"/>
              <w:jc w:val="center"/>
              <w:rPr>
                <w:rFonts w:asciiTheme="minorHAnsi" w:eastAsia="Times New Roman" w:hAnsiTheme="minorHAnsi" w:cstheme="minorHAnsi"/>
                <w:b w:val="0"/>
                <w:bCs w:val="0"/>
                <w:color w:val="000000"/>
                <w:sz w:val="20"/>
                <w:szCs w:val="20"/>
                <w:lang w:val="pt-PT"/>
              </w:rPr>
            </w:pPr>
            <w:r w:rsidRPr="00292532">
              <w:rPr>
                <w:rFonts w:asciiTheme="minorHAnsi" w:eastAsia="Times New Roman" w:hAnsiTheme="minorHAnsi" w:cstheme="minorHAnsi"/>
                <w:b w:val="0"/>
                <w:bCs w:val="0"/>
                <w:color w:val="000000"/>
                <w:sz w:val="20"/>
                <w:szCs w:val="20"/>
                <w:lang w:val="pt-PT"/>
              </w:rPr>
              <w:t>Incidentes rodoviários envolvendo membros da comunidade</w:t>
            </w:r>
          </w:p>
        </w:tc>
        <w:tc>
          <w:tcPr>
            <w:tcW w:w="1910" w:type="dxa"/>
            <w:noWrap/>
            <w:hideMark/>
          </w:tcPr>
          <w:p w14:paraId="6D924051" w14:textId="77777777" w:rsidR="00F638C3" w:rsidRPr="00292532" w:rsidRDefault="00F638C3" w:rsidP="00F638C3">
            <w:pPr>
              <w:spacing w:before="0"/>
              <w:ind w:firstLineChars="200" w:firstLine="40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No.</w:t>
            </w:r>
          </w:p>
        </w:tc>
        <w:tc>
          <w:tcPr>
            <w:tcW w:w="1620" w:type="dxa"/>
            <w:noWrap/>
            <w:hideMark/>
          </w:tcPr>
          <w:p w14:paraId="1EBA5F96" w14:textId="77777777" w:rsidR="00F638C3" w:rsidRPr="00292532" w:rsidRDefault="00F638C3" w:rsidP="00F638C3">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pt-PT"/>
              </w:rPr>
            </w:pPr>
          </w:p>
        </w:tc>
      </w:tr>
      <w:tr w:rsidR="00F638C3" w:rsidRPr="00292532" w14:paraId="0A9127A1" w14:textId="77777777" w:rsidTr="00F638C3">
        <w:trPr>
          <w:trHeight w:val="540"/>
        </w:trPr>
        <w:tc>
          <w:tcPr>
            <w:cnfStyle w:val="001000000000" w:firstRow="0" w:lastRow="0" w:firstColumn="1" w:lastColumn="0" w:oddVBand="0" w:evenVBand="0" w:oddHBand="0" w:evenHBand="0" w:firstRowFirstColumn="0" w:firstRowLastColumn="0" w:lastRowFirstColumn="0" w:lastRowLastColumn="0"/>
            <w:tcW w:w="4115" w:type="dxa"/>
            <w:hideMark/>
          </w:tcPr>
          <w:p w14:paraId="49022D0F" w14:textId="77777777" w:rsidR="00F638C3" w:rsidRPr="00292532" w:rsidRDefault="00F638C3" w:rsidP="00F638C3">
            <w:pPr>
              <w:spacing w:before="0"/>
              <w:jc w:val="center"/>
              <w:rPr>
                <w:rFonts w:asciiTheme="minorHAnsi" w:eastAsia="Times New Roman" w:hAnsiTheme="minorHAnsi" w:cstheme="minorHAnsi"/>
                <w:b w:val="0"/>
                <w:bCs w:val="0"/>
                <w:color w:val="000000"/>
                <w:sz w:val="20"/>
                <w:szCs w:val="20"/>
                <w:lang w:val="pt-PT"/>
              </w:rPr>
            </w:pPr>
            <w:r w:rsidRPr="00292532">
              <w:rPr>
                <w:rFonts w:asciiTheme="minorHAnsi" w:eastAsia="Times New Roman" w:hAnsiTheme="minorHAnsi" w:cstheme="minorHAnsi"/>
                <w:b w:val="0"/>
                <w:bCs w:val="0"/>
                <w:color w:val="000000"/>
                <w:sz w:val="20"/>
                <w:szCs w:val="20"/>
                <w:lang w:val="pt-PT"/>
              </w:rPr>
              <w:t xml:space="preserve">Incidentes nas instalações do </w:t>
            </w:r>
            <w:proofErr w:type="spellStart"/>
            <w:r w:rsidRPr="00292532">
              <w:rPr>
                <w:rFonts w:asciiTheme="minorHAnsi" w:eastAsia="Times New Roman" w:hAnsiTheme="minorHAnsi" w:cstheme="minorHAnsi"/>
                <w:b w:val="0"/>
                <w:bCs w:val="0"/>
                <w:color w:val="000000"/>
                <w:sz w:val="20"/>
                <w:szCs w:val="20"/>
                <w:lang w:val="pt-PT"/>
              </w:rPr>
              <w:t>Projecto</w:t>
            </w:r>
            <w:proofErr w:type="spellEnd"/>
            <w:r w:rsidRPr="00292532">
              <w:rPr>
                <w:rFonts w:asciiTheme="minorHAnsi" w:eastAsia="Times New Roman" w:hAnsiTheme="minorHAnsi" w:cstheme="minorHAnsi"/>
                <w:b w:val="0"/>
                <w:bCs w:val="0"/>
                <w:color w:val="000000"/>
                <w:sz w:val="20"/>
                <w:szCs w:val="20"/>
                <w:lang w:val="pt-PT"/>
              </w:rPr>
              <w:t xml:space="preserve"> com impacto nas comunidades</w:t>
            </w:r>
          </w:p>
        </w:tc>
        <w:tc>
          <w:tcPr>
            <w:tcW w:w="1910" w:type="dxa"/>
            <w:noWrap/>
            <w:hideMark/>
          </w:tcPr>
          <w:p w14:paraId="738774AF" w14:textId="77777777" w:rsidR="00F638C3" w:rsidRPr="00292532" w:rsidRDefault="00F638C3" w:rsidP="00F638C3">
            <w:pPr>
              <w:spacing w:before="0"/>
              <w:ind w:firstLineChars="200" w:firstLine="40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No.</w:t>
            </w:r>
          </w:p>
        </w:tc>
        <w:tc>
          <w:tcPr>
            <w:tcW w:w="1620" w:type="dxa"/>
            <w:noWrap/>
            <w:hideMark/>
          </w:tcPr>
          <w:p w14:paraId="2E944E6B" w14:textId="77777777" w:rsidR="00F638C3" w:rsidRPr="00292532" w:rsidRDefault="00F638C3" w:rsidP="00F638C3">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p>
        </w:tc>
      </w:tr>
    </w:tbl>
    <w:p w14:paraId="7DAA0D46" w14:textId="6610BA05" w:rsidR="00F638C3" w:rsidRPr="00292532" w:rsidRDefault="00F638C3" w:rsidP="000D7B05">
      <w:pPr>
        <w:pStyle w:val="Title"/>
      </w:pPr>
    </w:p>
    <w:p w14:paraId="5B08791F" w14:textId="49E073F8" w:rsidR="00C65CB1" w:rsidRPr="00292532" w:rsidRDefault="00C65CB1" w:rsidP="00C65CB1">
      <w:pPr>
        <w:rPr>
          <w:b/>
          <w:bCs/>
          <w:lang w:val="pt-PT"/>
        </w:rPr>
      </w:pPr>
      <w:bookmarkStart w:id="538" w:name="_Hlk78405721"/>
      <w:r w:rsidRPr="00292532">
        <w:rPr>
          <w:b/>
          <w:bCs/>
          <w:lang w:val="pt-PT"/>
        </w:rPr>
        <w:t xml:space="preserve">Secção C1 Indicadores de Monitoria da </w:t>
      </w:r>
      <w:r w:rsidR="00292532" w:rsidRPr="00292532">
        <w:rPr>
          <w:b/>
          <w:bCs/>
          <w:lang w:val="pt-PT"/>
        </w:rPr>
        <w:t>Implementação</w:t>
      </w:r>
      <w:r w:rsidRPr="00292532">
        <w:rPr>
          <w:b/>
          <w:bCs/>
          <w:lang w:val="pt-PT"/>
        </w:rPr>
        <w:t xml:space="preserve"> do PEPI </w:t>
      </w:r>
    </w:p>
    <w:tbl>
      <w:tblPr>
        <w:tblStyle w:val="GridTable1Light-Accent115"/>
        <w:tblW w:w="10435" w:type="dxa"/>
        <w:jc w:val="center"/>
        <w:tblLayout w:type="fixed"/>
        <w:tblLook w:val="04A0" w:firstRow="1" w:lastRow="0" w:firstColumn="1" w:lastColumn="0" w:noHBand="0" w:noVBand="1"/>
      </w:tblPr>
      <w:tblGrid>
        <w:gridCol w:w="2605"/>
        <w:gridCol w:w="2070"/>
        <w:gridCol w:w="1890"/>
        <w:gridCol w:w="1620"/>
        <w:gridCol w:w="1170"/>
        <w:gridCol w:w="1080"/>
      </w:tblGrid>
      <w:tr w:rsidR="00CD2106" w:rsidRPr="008D18CF" w14:paraId="1FE044D5" w14:textId="6034FC0A" w:rsidTr="004500AE">
        <w:trPr>
          <w:cnfStyle w:val="100000000000" w:firstRow="1" w:lastRow="0" w:firstColumn="0" w:lastColumn="0" w:oddVBand="0" w:evenVBand="0" w:oddHBand="0" w:evenHBand="0" w:firstRowFirstColumn="0" w:firstRowLastColumn="0" w:lastRowFirstColumn="0" w:lastRowLastColumn="0"/>
          <w:trHeight w:val="457"/>
          <w:tblHeader/>
          <w:jc w:val="center"/>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DEEAF6"/>
            <w:noWrap/>
            <w:hideMark/>
          </w:tcPr>
          <w:p w14:paraId="7B25FC39" w14:textId="77777777" w:rsidR="00CD2106" w:rsidRPr="004500AE" w:rsidRDefault="00CD2106" w:rsidP="00C65CB1">
            <w:pPr>
              <w:jc w:val="center"/>
              <w:rPr>
                <w:rFonts w:asciiTheme="minorHAnsi" w:eastAsia="Times New Roman" w:hAnsiTheme="minorHAnsi" w:cstheme="minorHAnsi"/>
                <w:color w:val="000000"/>
                <w:sz w:val="18"/>
                <w:szCs w:val="18"/>
                <w:lang w:val="pt-PT"/>
              </w:rPr>
            </w:pPr>
            <w:proofErr w:type="spellStart"/>
            <w:r w:rsidRPr="004500AE">
              <w:rPr>
                <w:rFonts w:asciiTheme="minorHAnsi" w:eastAsia="Times New Roman" w:hAnsiTheme="minorHAnsi" w:cstheme="minorHAnsi"/>
                <w:color w:val="000000"/>
                <w:sz w:val="18"/>
                <w:szCs w:val="18"/>
                <w:lang w:val="pt-PT"/>
              </w:rPr>
              <w:t>Actividade</w:t>
            </w:r>
            <w:proofErr w:type="spellEnd"/>
          </w:p>
        </w:tc>
        <w:tc>
          <w:tcPr>
            <w:tcW w:w="0" w:type="dxa"/>
            <w:vMerge w:val="restart"/>
            <w:shd w:val="clear" w:color="auto" w:fill="DEEAF6"/>
            <w:noWrap/>
            <w:hideMark/>
          </w:tcPr>
          <w:p w14:paraId="7B4A2332" w14:textId="77777777" w:rsidR="00CD2106" w:rsidRPr="004500AE" w:rsidRDefault="00CD2106" w:rsidP="00C65CB1">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Indicador preferencial </w:t>
            </w:r>
          </w:p>
        </w:tc>
        <w:tc>
          <w:tcPr>
            <w:tcW w:w="0" w:type="dxa"/>
            <w:gridSpan w:val="3"/>
            <w:shd w:val="clear" w:color="auto" w:fill="DEEAF6"/>
            <w:hideMark/>
          </w:tcPr>
          <w:p w14:paraId="6635252E" w14:textId="77777777" w:rsidR="00CD2106" w:rsidRPr="004500AE" w:rsidRDefault="00CD2106" w:rsidP="00C65CB1">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Grau de realização em relação ao planificado </w:t>
            </w:r>
          </w:p>
        </w:tc>
        <w:tc>
          <w:tcPr>
            <w:tcW w:w="0" w:type="dxa"/>
            <w:vMerge w:val="restart"/>
            <w:shd w:val="clear" w:color="auto" w:fill="DEEAF6"/>
          </w:tcPr>
          <w:p w14:paraId="6BB5FE7F" w14:textId="4FF4FA95" w:rsidR="00CD2106" w:rsidRPr="004500AE" w:rsidRDefault="00CD2106" w:rsidP="00C65CB1">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Grau atingido durante o trimestre</w:t>
            </w:r>
          </w:p>
        </w:tc>
      </w:tr>
      <w:tr w:rsidR="00CD2106" w:rsidRPr="00292532" w14:paraId="7C3322F9" w14:textId="3FF1396F" w:rsidTr="004500AE">
        <w:trPr>
          <w:cnfStyle w:val="100000000000" w:firstRow="1" w:lastRow="0" w:firstColumn="0" w:lastColumn="0" w:oddVBand="0" w:evenVBand="0" w:oddHBand="0" w:evenHBand="0" w:firstRowFirstColumn="0" w:firstRowLastColumn="0" w:lastRowFirstColumn="0" w:lastRowLastColumn="0"/>
          <w:trHeight w:val="400"/>
          <w:tblHeader/>
          <w:jc w:val="center"/>
        </w:trPr>
        <w:tc>
          <w:tcPr>
            <w:cnfStyle w:val="001000000000" w:firstRow="0" w:lastRow="0" w:firstColumn="1" w:lastColumn="0" w:oddVBand="0" w:evenVBand="0" w:oddHBand="0" w:evenHBand="0" w:firstRowFirstColumn="0" w:firstRowLastColumn="0" w:lastRowFirstColumn="0" w:lastRowLastColumn="0"/>
            <w:tcW w:w="0" w:type="dxa"/>
            <w:vMerge/>
            <w:shd w:val="clear" w:color="auto" w:fill="DEEAF6"/>
            <w:hideMark/>
          </w:tcPr>
          <w:p w14:paraId="79BD612A" w14:textId="77777777" w:rsidR="00CD2106" w:rsidRPr="004500AE" w:rsidRDefault="00CD2106" w:rsidP="00C65CB1">
            <w:pPr>
              <w:rPr>
                <w:rFonts w:asciiTheme="minorHAnsi" w:eastAsia="Times New Roman" w:hAnsiTheme="minorHAnsi" w:cstheme="minorHAnsi"/>
                <w:color w:val="000000"/>
                <w:sz w:val="18"/>
                <w:szCs w:val="18"/>
                <w:lang w:val="pt-PT"/>
              </w:rPr>
            </w:pPr>
          </w:p>
        </w:tc>
        <w:tc>
          <w:tcPr>
            <w:tcW w:w="0" w:type="dxa"/>
            <w:vMerge/>
            <w:shd w:val="clear" w:color="auto" w:fill="DEEAF6"/>
            <w:hideMark/>
          </w:tcPr>
          <w:p w14:paraId="71457487" w14:textId="77777777" w:rsidR="00CD2106" w:rsidRPr="004500AE" w:rsidRDefault="00CD2106" w:rsidP="00C65CB1">
            <w:pP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000000"/>
                <w:sz w:val="18"/>
                <w:szCs w:val="18"/>
                <w:lang w:val="pt-PT"/>
              </w:rPr>
            </w:pPr>
          </w:p>
        </w:tc>
        <w:tc>
          <w:tcPr>
            <w:tcW w:w="0" w:type="dxa"/>
            <w:shd w:val="clear" w:color="auto" w:fill="DEEAF6"/>
            <w:hideMark/>
          </w:tcPr>
          <w:p w14:paraId="10944B05" w14:textId="77777777" w:rsidR="00CD2106" w:rsidRPr="004500AE" w:rsidRDefault="00CD2106" w:rsidP="00C65CB1">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000000"/>
                <w:sz w:val="18"/>
                <w:szCs w:val="18"/>
                <w:lang w:val="pt-PT"/>
              </w:rPr>
            </w:pPr>
            <w:r w:rsidRPr="004500AE">
              <w:rPr>
                <w:rFonts w:asciiTheme="minorHAnsi" w:eastAsia="Times New Roman" w:hAnsiTheme="minorHAnsi" w:cstheme="minorHAnsi"/>
                <w:color w:val="000000"/>
                <w:sz w:val="18"/>
                <w:szCs w:val="18"/>
                <w:lang w:val="pt-PT"/>
              </w:rPr>
              <w:t xml:space="preserve">Aceitável </w:t>
            </w:r>
          </w:p>
        </w:tc>
        <w:tc>
          <w:tcPr>
            <w:tcW w:w="0" w:type="dxa"/>
            <w:shd w:val="clear" w:color="auto" w:fill="DEEAF6"/>
            <w:hideMark/>
          </w:tcPr>
          <w:p w14:paraId="240EA88E" w14:textId="77777777" w:rsidR="00CD2106" w:rsidRPr="004500AE" w:rsidRDefault="00CD2106" w:rsidP="00C65CB1">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000000"/>
                <w:sz w:val="18"/>
                <w:szCs w:val="18"/>
                <w:lang w:val="pt-PT"/>
              </w:rPr>
            </w:pPr>
            <w:r w:rsidRPr="004500AE">
              <w:rPr>
                <w:rFonts w:asciiTheme="minorHAnsi" w:eastAsia="Times New Roman" w:hAnsiTheme="minorHAnsi" w:cstheme="minorHAnsi"/>
                <w:color w:val="000000"/>
                <w:sz w:val="18"/>
                <w:szCs w:val="18"/>
                <w:lang w:val="pt-PT"/>
              </w:rPr>
              <w:t xml:space="preserve">Bom </w:t>
            </w:r>
          </w:p>
        </w:tc>
        <w:tc>
          <w:tcPr>
            <w:tcW w:w="0" w:type="dxa"/>
            <w:shd w:val="clear" w:color="auto" w:fill="DEEAF6"/>
            <w:hideMark/>
          </w:tcPr>
          <w:p w14:paraId="616509BB" w14:textId="77777777" w:rsidR="00CD2106" w:rsidRPr="004500AE" w:rsidRDefault="00CD2106" w:rsidP="00C65CB1">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000000"/>
                <w:sz w:val="18"/>
                <w:szCs w:val="18"/>
                <w:lang w:val="pt-PT"/>
              </w:rPr>
            </w:pPr>
            <w:r w:rsidRPr="004500AE">
              <w:rPr>
                <w:rFonts w:asciiTheme="minorHAnsi" w:eastAsia="Times New Roman" w:hAnsiTheme="minorHAnsi" w:cstheme="minorHAnsi"/>
                <w:color w:val="000000"/>
                <w:sz w:val="18"/>
                <w:szCs w:val="18"/>
                <w:lang w:val="pt-PT"/>
              </w:rPr>
              <w:t xml:space="preserve">Muito bom </w:t>
            </w:r>
          </w:p>
        </w:tc>
        <w:tc>
          <w:tcPr>
            <w:tcW w:w="0" w:type="dxa"/>
            <w:vMerge/>
            <w:shd w:val="clear" w:color="auto" w:fill="DEEAF6"/>
          </w:tcPr>
          <w:p w14:paraId="2435355C" w14:textId="77777777" w:rsidR="00CD2106" w:rsidRPr="004500AE" w:rsidRDefault="00CD2106" w:rsidP="00C65CB1">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000000"/>
                <w:sz w:val="18"/>
                <w:szCs w:val="18"/>
                <w:lang w:val="pt-PT"/>
              </w:rPr>
            </w:pPr>
          </w:p>
        </w:tc>
      </w:tr>
      <w:tr w:rsidR="00C65CB1" w:rsidRPr="00292532" w14:paraId="40E30A7C" w14:textId="284CE2B0" w:rsidTr="00C65CB1">
        <w:trPr>
          <w:trHeight w:val="554"/>
          <w:jc w:val="center"/>
        </w:trPr>
        <w:tc>
          <w:tcPr>
            <w:cnfStyle w:val="001000000000" w:firstRow="0" w:lastRow="0" w:firstColumn="1" w:lastColumn="0" w:oddVBand="0" w:evenVBand="0" w:oddHBand="0" w:evenHBand="0" w:firstRowFirstColumn="0" w:firstRowLastColumn="0" w:lastRowFirstColumn="0" w:lastRowLastColumn="0"/>
            <w:tcW w:w="2605" w:type="dxa"/>
            <w:hideMark/>
          </w:tcPr>
          <w:p w14:paraId="50D194B4" w14:textId="77777777" w:rsidR="00C65CB1" w:rsidRPr="004500AE" w:rsidRDefault="00C65CB1" w:rsidP="00C65CB1">
            <w:pP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Encontros de divulgação e mobilização realizados  </w:t>
            </w:r>
          </w:p>
        </w:tc>
        <w:tc>
          <w:tcPr>
            <w:tcW w:w="2070" w:type="dxa"/>
            <w:hideMark/>
          </w:tcPr>
          <w:p w14:paraId="1342AD1D"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encontros realizados/Planificados </w:t>
            </w:r>
          </w:p>
        </w:tc>
        <w:tc>
          <w:tcPr>
            <w:tcW w:w="1890" w:type="dxa"/>
            <w:noWrap/>
            <w:hideMark/>
          </w:tcPr>
          <w:p w14:paraId="7FF7DE57"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30-50% do planificado</w:t>
            </w:r>
          </w:p>
        </w:tc>
        <w:tc>
          <w:tcPr>
            <w:tcW w:w="1620" w:type="dxa"/>
            <w:noWrap/>
            <w:hideMark/>
          </w:tcPr>
          <w:p w14:paraId="6319A145"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51-70% do planificado</w:t>
            </w:r>
          </w:p>
        </w:tc>
        <w:tc>
          <w:tcPr>
            <w:tcW w:w="1170" w:type="dxa"/>
            <w:noWrap/>
            <w:hideMark/>
          </w:tcPr>
          <w:p w14:paraId="694CC308"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&gt;70%</w:t>
            </w:r>
          </w:p>
        </w:tc>
        <w:tc>
          <w:tcPr>
            <w:tcW w:w="1080" w:type="dxa"/>
          </w:tcPr>
          <w:p w14:paraId="28A152BB"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r>
      <w:tr w:rsidR="00C65CB1" w:rsidRPr="00292532" w14:paraId="722985C0" w14:textId="4FEF8CC6" w:rsidTr="00C65CB1">
        <w:trPr>
          <w:trHeight w:val="406"/>
          <w:jc w:val="center"/>
        </w:trPr>
        <w:tc>
          <w:tcPr>
            <w:cnfStyle w:val="001000000000" w:firstRow="0" w:lastRow="0" w:firstColumn="1" w:lastColumn="0" w:oddVBand="0" w:evenVBand="0" w:oddHBand="0" w:evenHBand="0" w:firstRowFirstColumn="0" w:firstRowLastColumn="0" w:lastRowFirstColumn="0" w:lastRowLastColumn="0"/>
            <w:tcW w:w="2605" w:type="dxa"/>
            <w:hideMark/>
          </w:tcPr>
          <w:p w14:paraId="61160532" w14:textId="77777777" w:rsidR="00C65CB1" w:rsidRPr="004500AE" w:rsidRDefault="00C65CB1" w:rsidP="00C65CB1">
            <w:pP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Encontros de avaliação de </w:t>
            </w:r>
            <w:proofErr w:type="spellStart"/>
            <w:r w:rsidRPr="004500AE">
              <w:rPr>
                <w:rFonts w:asciiTheme="minorHAnsi" w:eastAsia="Times New Roman" w:hAnsiTheme="minorHAnsi" w:cstheme="minorHAnsi"/>
                <w:color w:val="000000"/>
                <w:sz w:val="18"/>
                <w:szCs w:val="18"/>
                <w:lang w:val="pt-PT"/>
              </w:rPr>
              <w:t>actividades</w:t>
            </w:r>
            <w:proofErr w:type="spellEnd"/>
            <w:r w:rsidRPr="004500AE">
              <w:rPr>
                <w:rFonts w:asciiTheme="minorHAnsi" w:eastAsia="Times New Roman" w:hAnsiTheme="minorHAnsi" w:cstheme="minorHAnsi"/>
                <w:color w:val="000000"/>
                <w:sz w:val="18"/>
                <w:szCs w:val="18"/>
                <w:lang w:val="pt-PT"/>
              </w:rPr>
              <w:t xml:space="preserve"> de engajamento </w:t>
            </w:r>
          </w:p>
        </w:tc>
        <w:tc>
          <w:tcPr>
            <w:tcW w:w="2070" w:type="dxa"/>
            <w:hideMark/>
          </w:tcPr>
          <w:p w14:paraId="24D23A50"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encontros realizados/Planificados </w:t>
            </w:r>
          </w:p>
        </w:tc>
        <w:tc>
          <w:tcPr>
            <w:tcW w:w="1890" w:type="dxa"/>
            <w:noWrap/>
            <w:hideMark/>
          </w:tcPr>
          <w:p w14:paraId="3013DF2A"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50-70% do planificado</w:t>
            </w:r>
          </w:p>
        </w:tc>
        <w:tc>
          <w:tcPr>
            <w:tcW w:w="1620" w:type="dxa"/>
            <w:noWrap/>
            <w:hideMark/>
          </w:tcPr>
          <w:p w14:paraId="05650868"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71-90% do planificado</w:t>
            </w:r>
          </w:p>
        </w:tc>
        <w:tc>
          <w:tcPr>
            <w:tcW w:w="1170" w:type="dxa"/>
            <w:noWrap/>
            <w:hideMark/>
          </w:tcPr>
          <w:p w14:paraId="10002F76"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90%&gt;</w:t>
            </w:r>
          </w:p>
        </w:tc>
        <w:tc>
          <w:tcPr>
            <w:tcW w:w="1080" w:type="dxa"/>
          </w:tcPr>
          <w:p w14:paraId="33F874A7"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r>
      <w:tr w:rsidR="00C65CB1" w:rsidRPr="00292532" w14:paraId="69503708" w14:textId="5D9FF3A6" w:rsidTr="00C65CB1">
        <w:trPr>
          <w:trHeight w:val="554"/>
          <w:jc w:val="center"/>
        </w:trPr>
        <w:tc>
          <w:tcPr>
            <w:cnfStyle w:val="001000000000" w:firstRow="0" w:lastRow="0" w:firstColumn="1" w:lastColumn="0" w:oddVBand="0" w:evenVBand="0" w:oddHBand="0" w:evenHBand="0" w:firstRowFirstColumn="0" w:firstRowLastColumn="0" w:lastRowFirstColumn="0" w:lastRowLastColumn="0"/>
            <w:tcW w:w="2605" w:type="dxa"/>
          </w:tcPr>
          <w:p w14:paraId="3DFD0652" w14:textId="77777777" w:rsidR="00C65CB1" w:rsidRPr="004500AE" w:rsidRDefault="00C65CB1" w:rsidP="00C65CB1">
            <w:pP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Encontros de EIA/EAS/</w:t>
            </w:r>
            <w:proofErr w:type="spellStart"/>
            <w:r w:rsidRPr="004500AE">
              <w:rPr>
                <w:rFonts w:asciiTheme="minorHAnsi" w:eastAsia="Times New Roman" w:hAnsiTheme="minorHAnsi" w:cstheme="minorHAnsi"/>
                <w:color w:val="000000"/>
                <w:sz w:val="18"/>
                <w:szCs w:val="18"/>
                <w:lang w:val="pt-PT"/>
              </w:rPr>
              <w:t>PGAs</w:t>
            </w:r>
            <w:proofErr w:type="spellEnd"/>
            <w:r w:rsidRPr="004500AE">
              <w:rPr>
                <w:rFonts w:asciiTheme="minorHAnsi" w:eastAsia="Times New Roman" w:hAnsiTheme="minorHAnsi" w:cstheme="minorHAnsi"/>
                <w:color w:val="000000"/>
                <w:sz w:val="18"/>
                <w:szCs w:val="18"/>
                <w:lang w:val="pt-PT"/>
              </w:rPr>
              <w:t xml:space="preserve"> dos subprojectos</w:t>
            </w:r>
          </w:p>
        </w:tc>
        <w:tc>
          <w:tcPr>
            <w:tcW w:w="2070" w:type="dxa"/>
          </w:tcPr>
          <w:p w14:paraId="2EE83D19"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encontros realizados/Planificados </w:t>
            </w:r>
          </w:p>
        </w:tc>
        <w:tc>
          <w:tcPr>
            <w:tcW w:w="1890" w:type="dxa"/>
            <w:noWrap/>
          </w:tcPr>
          <w:p w14:paraId="1E7CC299"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80-95% do planificado</w:t>
            </w:r>
          </w:p>
        </w:tc>
        <w:tc>
          <w:tcPr>
            <w:tcW w:w="1620" w:type="dxa"/>
            <w:noWrap/>
          </w:tcPr>
          <w:p w14:paraId="33422B3E"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170" w:type="dxa"/>
            <w:noWrap/>
          </w:tcPr>
          <w:p w14:paraId="0C81C431"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c>
          <w:tcPr>
            <w:tcW w:w="1080" w:type="dxa"/>
          </w:tcPr>
          <w:p w14:paraId="5C52FDFF"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r>
      <w:tr w:rsidR="00C65CB1" w:rsidRPr="00292532" w14:paraId="159828F9" w14:textId="76E6FF8B" w:rsidTr="00C65CB1">
        <w:trPr>
          <w:trHeight w:val="562"/>
          <w:jc w:val="center"/>
        </w:trPr>
        <w:tc>
          <w:tcPr>
            <w:cnfStyle w:val="001000000000" w:firstRow="0" w:lastRow="0" w:firstColumn="1" w:lastColumn="0" w:oddVBand="0" w:evenVBand="0" w:oddHBand="0" w:evenHBand="0" w:firstRowFirstColumn="0" w:firstRowLastColumn="0" w:lastRowFirstColumn="0" w:lastRowLastColumn="0"/>
            <w:tcW w:w="2605" w:type="dxa"/>
          </w:tcPr>
          <w:p w14:paraId="455C26B1" w14:textId="77777777" w:rsidR="00C65CB1" w:rsidRPr="004500AE" w:rsidRDefault="00C65CB1" w:rsidP="00C65CB1">
            <w:pP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Encontros de Elaboração de </w:t>
            </w:r>
            <w:proofErr w:type="spellStart"/>
            <w:r w:rsidRPr="004500AE">
              <w:rPr>
                <w:rFonts w:asciiTheme="minorHAnsi" w:eastAsia="Times New Roman" w:hAnsiTheme="minorHAnsi" w:cstheme="minorHAnsi"/>
                <w:color w:val="000000"/>
                <w:sz w:val="18"/>
                <w:szCs w:val="18"/>
                <w:lang w:val="pt-PT"/>
              </w:rPr>
              <w:t>PARs</w:t>
            </w:r>
            <w:proofErr w:type="spellEnd"/>
            <w:r w:rsidRPr="004500AE">
              <w:rPr>
                <w:rFonts w:asciiTheme="minorHAnsi" w:eastAsia="Times New Roman" w:hAnsiTheme="minorHAnsi" w:cstheme="minorHAnsi"/>
                <w:color w:val="000000"/>
                <w:sz w:val="18"/>
                <w:szCs w:val="18"/>
                <w:lang w:val="pt-PT"/>
              </w:rPr>
              <w:t xml:space="preserve"> dos subprojectos</w:t>
            </w:r>
          </w:p>
        </w:tc>
        <w:tc>
          <w:tcPr>
            <w:tcW w:w="2070" w:type="dxa"/>
          </w:tcPr>
          <w:p w14:paraId="7B4526A5"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encontros realizados/Planificados </w:t>
            </w:r>
          </w:p>
        </w:tc>
        <w:tc>
          <w:tcPr>
            <w:tcW w:w="1890" w:type="dxa"/>
            <w:noWrap/>
          </w:tcPr>
          <w:p w14:paraId="26E879AF"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80-95% do planificado</w:t>
            </w:r>
          </w:p>
        </w:tc>
        <w:tc>
          <w:tcPr>
            <w:tcW w:w="1620" w:type="dxa"/>
            <w:noWrap/>
          </w:tcPr>
          <w:p w14:paraId="3F90FE39"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170" w:type="dxa"/>
            <w:noWrap/>
          </w:tcPr>
          <w:p w14:paraId="3875ADC5"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c>
          <w:tcPr>
            <w:tcW w:w="1080" w:type="dxa"/>
          </w:tcPr>
          <w:p w14:paraId="16E66485"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r>
      <w:tr w:rsidR="00C65CB1" w:rsidRPr="00292532" w14:paraId="18DA6A96" w14:textId="1FAB00E2" w:rsidTr="00C65CB1">
        <w:trPr>
          <w:trHeight w:val="556"/>
          <w:jc w:val="center"/>
        </w:trPr>
        <w:tc>
          <w:tcPr>
            <w:cnfStyle w:val="001000000000" w:firstRow="0" w:lastRow="0" w:firstColumn="1" w:lastColumn="0" w:oddVBand="0" w:evenVBand="0" w:oddHBand="0" w:evenHBand="0" w:firstRowFirstColumn="0" w:firstRowLastColumn="0" w:lastRowFirstColumn="0" w:lastRowLastColumn="0"/>
            <w:tcW w:w="2605" w:type="dxa"/>
          </w:tcPr>
          <w:p w14:paraId="09689A19" w14:textId="77777777" w:rsidR="00C65CB1" w:rsidRPr="004500AE" w:rsidRDefault="00C65CB1" w:rsidP="00C65CB1">
            <w:pP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Envolvimento dos grupos vulneráveis nos encontros de engajamento</w:t>
            </w:r>
          </w:p>
        </w:tc>
        <w:tc>
          <w:tcPr>
            <w:tcW w:w="2070" w:type="dxa"/>
          </w:tcPr>
          <w:p w14:paraId="0CEC690F"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encontros realizados/Planificados </w:t>
            </w:r>
          </w:p>
        </w:tc>
        <w:tc>
          <w:tcPr>
            <w:tcW w:w="1890" w:type="dxa"/>
            <w:noWrap/>
          </w:tcPr>
          <w:p w14:paraId="64870BDC"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80-95% do planificado</w:t>
            </w:r>
          </w:p>
        </w:tc>
        <w:tc>
          <w:tcPr>
            <w:tcW w:w="1620" w:type="dxa"/>
            <w:noWrap/>
          </w:tcPr>
          <w:p w14:paraId="2BDEE598"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170" w:type="dxa"/>
            <w:noWrap/>
          </w:tcPr>
          <w:p w14:paraId="211AB690"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c>
          <w:tcPr>
            <w:tcW w:w="1080" w:type="dxa"/>
          </w:tcPr>
          <w:p w14:paraId="7E4DAB46"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r>
      <w:tr w:rsidR="00C65CB1" w:rsidRPr="00292532" w14:paraId="2AFD22DC" w14:textId="04B0A015" w:rsidTr="00C65CB1">
        <w:trPr>
          <w:trHeight w:val="698"/>
          <w:jc w:val="center"/>
        </w:trPr>
        <w:tc>
          <w:tcPr>
            <w:cnfStyle w:val="001000000000" w:firstRow="0" w:lastRow="0" w:firstColumn="1" w:lastColumn="0" w:oddVBand="0" w:evenVBand="0" w:oddHBand="0" w:evenHBand="0" w:firstRowFirstColumn="0" w:firstRowLastColumn="0" w:lastRowFirstColumn="0" w:lastRowLastColumn="0"/>
            <w:tcW w:w="2605" w:type="dxa"/>
            <w:vMerge w:val="restart"/>
          </w:tcPr>
          <w:p w14:paraId="0E37BFC8" w14:textId="77777777" w:rsidR="00C65CB1" w:rsidRPr="004500AE" w:rsidRDefault="00C65CB1" w:rsidP="00C65CB1">
            <w:pP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Mecanismos de Queixas e Reclamação </w:t>
            </w:r>
          </w:p>
        </w:tc>
        <w:tc>
          <w:tcPr>
            <w:tcW w:w="2070" w:type="dxa"/>
          </w:tcPr>
          <w:p w14:paraId="0BC5137B"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queixas dos trabalhadores levantadas e resolvidas </w:t>
            </w:r>
          </w:p>
        </w:tc>
        <w:tc>
          <w:tcPr>
            <w:tcW w:w="1890" w:type="dxa"/>
            <w:noWrap/>
          </w:tcPr>
          <w:p w14:paraId="22891586"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90-95% do planificado</w:t>
            </w:r>
          </w:p>
        </w:tc>
        <w:tc>
          <w:tcPr>
            <w:tcW w:w="1620" w:type="dxa"/>
            <w:noWrap/>
          </w:tcPr>
          <w:p w14:paraId="000B863B"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170" w:type="dxa"/>
            <w:noWrap/>
          </w:tcPr>
          <w:p w14:paraId="55294306"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c>
          <w:tcPr>
            <w:tcW w:w="1080" w:type="dxa"/>
          </w:tcPr>
          <w:p w14:paraId="06F9FEA7"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r>
      <w:tr w:rsidR="00C65CB1" w:rsidRPr="00292532" w14:paraId="6259811C" w14:textId="3FAB08E9" w:rsidTr="00C65CB1">
        <w:trPr>
          <w:trHeight w:val="702"/>
          <w:jc w:val="center"/>
        </w:trPr>
        <w:tc>
          <w:tcPr>
            <w:cnfStyle w:val="001000000000" w:firstRow="0" w:lastRow="0" w:firstColumn="1" w:lastColumn="0" w:oddVBand="0" w:evenVBand="0" w:oddHBand="0" w:evenHBand="0" w:firstRowFirstColumn="0" w:firstRowLastColumn="0" w:lastRowFirstColumn="0" w:lastRowLastColumn="0"/>
            <w:tcW w:w="2605" w:type="dxa"/>
            <w:vMerge/>
            <w:hideMark/>
          </w:tcPr>
          <w:p w14:paraId="4C2F25B1" w14:textId="77777777" w:rsidR="00C65CB1" w:rsidRPr="004500AE" w:rsidRDefault="00C65CB1" w:rsidP="00C65CB1">
            <w:pPr>
              <w:rPr>
                <w:rFonts w:asciiTheme="minorHAnsi" w:eastAsia="Times New Roman" w:hAnsiTheme="minorHAnsi" w:cstheme="minorHAnsi"/>
                <w:color w:val="000000"/>
                <w:sz w:val="18"/>
                <w:szCs w:val="18"/>
                <w:lang w:val="pt-PT"/>
              </w:rPr>
            </w:pPr>
          </w:p>
        </w:tc>
        <w:tc>
          <w:tcPr>
            <w:tcW w:w="2070" w:type="dxa"/>
            <w:hideMark/>
          </w:tcPr>
          <w:p w14:paraId="47C5D3FD"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Número de queixas apresentadas e resolvidas no nível 1</w:t>
            </w:r>
          </w:p>
        </w:tc>
        <w:tc>
          <w:tcPr>
            <w:tcW w:w="1890" w:type="dxa"/>
            <w:noWrap/>
            <w:hideMark/>
          </w:tcPr>
          <w:p w14:paraId="0B625ED7" w14:textId="77777777" w:rsidR="00C65CB1" w:rsidRPr="004500AE" w:rsidRDefault="00C65CB1" w:rsidP="00C65CB1">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80-95% do planificado</w:t>
            </w:r>
          </w:p>
        </w:tc>
        <w:tc>
          <w:tcPr>
            <w:tcW w:w="1620" w:type="dxa"/>
            <w:noWrap/>
            <w:hideMark/>
          </w:tcPr>
          <w:p w14:paraId="57DD0DFC" w14:textId="77777777" w:rsidR="00C65CB1" w:rsidRPr="004500AE" w:rsidRDefault="00C65CB1" w:rsidP="00C65CB1">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170" w:type="dxa"/>
            <w:noWrap/>
            <w:hideMark/>
          </w:tcPr>
          <w:p w14:paraId="566E5902" w14:textId="77777777" w:rsidR="00C65CB1" w:rsidRPr="004500AE" w:rsidRDefault="00C65CB1" w:rsidP="00C65CB1">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c>
          <w:tcPr>
            <w:tcW w:w="1080" w:type="dxa"/>
          </w:tcPr>
          <w:p w14:paraId="1F81ADFC" w14:textId="77777777" w:rsidR="00C65CB1" w:rsidRPr="004500AE" w:rsidRDefault="00C65CB1" w:rsidP="00C65CB1">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r>
      <w:tr w:rsidR="00C65CB1" w:rsidRPr="00292532" w14:paraId="4D4A74D6" w14:textId="4CFC6022" w:rsidTr="00C65CB1">
        <w:trPr>
          <w:trHeight w:val="698"/>
          <w:jc w:val="center"/>
        </w:trPr>
        <w:tc>
          <w:tcPr>
            <w:cnfStyle w:val="001000000000" w:firstRow="0" w:lastRow="0" w:firstColumn="1" w:lastColumn="0" w:oddVBand="0" w:evenVBand="0" w:oddHBand="0" w:evenHBand="0" w:firstRowFirstColumn="0" w:firstRowLastColumn="0" w:lastRowFirstColumn="0" w:lastRowLastColumn="0"/>
            <w:tcW w:w="2605" w:type="dxa"/>
            <w:vMerge/>
            <w:hideMark/>
          </w:tcPr>
          <w:p w14:paraId="1EBAF1C8" w14:textId="77777777" w:rsidR="00C65CB1" w:rsidRPr="004500AE" w:rsidRDefault="00C65CB1" w:rsidP="00C65CB1">
            <w:pPr>
              <w:rPr>
                <w:rFonts w:asciiTheme="minorHAnsi" w:eastAsia="Times New Roman" w:hAnsiTheme="minorHAnsi" w:cstheme="minorHAnsi"/>
                <w:color w:val="000000"/>
                <w:sz w:val="18"/>
                <w:szCs w:val="18"/>
                <w:lang w:val="pt-PT"/>
              </w:rPr>
            </w:pPr>
          </w:p>
        </w:tc>
        <w:tc>
          <w:tcPr>
            <w:tcW w:w="2070" w:type="dxa"/>
            <w:hideMark/>
          </w:tcPr>
          <w:p w14:paraId="04DA3AA2"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Número de queixas apresentadas e resolvidas no nível 2</w:t>
            </w:r>
          </w:p>
        </w:tc>
        <w:tc>
          <w:tcPr>
            <w:tcW w:w="1890" w:type="dxa"/>
            <w:noWrap/>
            <w:hideMark/>
          </w:tcPr>
          <w:p w14:paraId="43081C70"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80-95% do planificado</w:t>
            </w:r>
          </w:p>
        </w:tc>
        <w:tc>
          <w:tcPr>
            <w:tcW w:w="1620" w:type="dxa"/>
            <w:noWrap/>
            <w:hideMark/>
          </w:tcPr>
          <w:p w14:paraId="2937C862"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170" w:type="dxa"/>
            <w:noWrap/>
            <w:hideMark/>
          </w:tcPr>
          <w:p w14:paraId="5C0F2D51"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c>
          <w:tcPr>
            <w:tcW w:w="1080" w:type="dxa"/>
          </w:tcPr>
          <w:p w14:paraId="0900CC0D"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r>
      <w:tr w:rsidR="00C65CB1" w:rsidRPr="00292532" w14:paraId="4895D3DA" w14:textId="7EA0BE13" w:rsidTr="00C65CB1">
        <w:trPr>
          <w:trHeight w:val="790"/>
          <w:jc w:val="center"/>
        </w:trPr>
        <w:tc>
          <w:tcPr>
            <w:cnfStyle w:val="001000000000" w:firstRow="0" w:lastRow="0" w:firstColumn="1" w:lastColumn="0" w:oddVBand="0" w:evenVBand="0" w:oddHBand="0" w:evenHBand="0" w:firstRowFirstColumn="0" w:firstRowLastColumn="0" w:lastRowFirstColumn="0" w:lastRowLastColumn="0"/>
            <w:tcW w:w="2605" w:type="dxa"/>
            <w:vMerge/>
            <w:hideMark/>
          </w:tcPr>
          <w:p w14:paraId="3C710B9C" w14:textId="77777777" w:rsidR="00C65CB1" w:rsidRPr="004500AE" w:rsidRDefault="00C65CB1" w:rsidP="00C65CB1">
            <w:pPr>
              <w:rPr>
                <w:rFonts w:asciiTheme="minorHAnsi" w:eastAsia="Times New Roman" w:hAnsiTheme="minorHAnsi" w:cstheme="minorHAnsi"/>
                <w:color w:val="000000"/>
                <w:sz w:val="18"/>
                <w:szCs w:val="18"/>
                <w:lang w:val="pt-PT"/>
              </w:rPr>
            </w:pPr>
          </w:p>
        </w:tc>
        <w:tc>
          <w:tcPr>
            <w:tcW w:w="2070" w:type="dxa"/>
            <w:hideMark/>
          </w:tcPr>
          <w:p w14:paraId="57D73FA7"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queixas apresentadas e resolvidas no nível 3 </w:t>
            </w:r>
          </w:p>
        </w:tc>
        <w:tc>
          <w:tcPr>
            <w:tcW w:w="1890" w:type="dxa"/>
            <w:noWrap/>
            <w:hideMark/>
          </w:tcPr>
          <w:p w14:paraId="77B1DDA7"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80-95% do planificado</w:t>
            </w:r>
          </w:p>
        </w:tc>
        <w:tc>
          <w:tcPr>
            <w:tcW w:w="1620" w:type="dxa"/>
            <w:noWrap/>
            <w:hideMark/>
          </w:tcPr>
          <w:p w14:paraId="7D9156C3"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170" w:type="dxa"/>
            <w:noWrap/>
            <w:hideMark/>
          </w:tcPr>
          <w:p w14:paraId="4BBA63DC"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c>
          <w:tcPr>
            <w:tcW w:w="1080" w:type="dxa"/>
          </w:tcPr>
          <w:p w14:paraId="77A8D74F"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r>
      <w:tr w:rsidR="00C65CB1" w:rsidRPr="00292532" w14:paraId="4EE02A26" w14:textId="2358EE02" w:rsidTr="00C65CB1">
        <w:trPr>
          <w:trHeight w:val="540"/>
          <w:jc w:val="center"/>
        </w:trPr>
        <w:tc>
          <w:tcPr>
            <w:cnfStyle w:val="001000000000" w:firstRow="0" w:lastRow="0" w:firstColumn="1" w:lastColumn="0" w:oddVBand="0" w:evenVBand="0" w:oddHBand="0" w:evenHBand="0" w:firstRowFirstColumn="0" w:firstRowLastColumn="0" w:lastRowFirstColumn="0" w:lastRowLastColumn="0"/>
            <w:tcW w:w="2605" w:type="dxa"/>
            <w:vMerge/>
            <w:hideMark/>
          </w:tcPr>
          <w:p w14:paraId="36ED1F5F" w14:textId="77777777" w:rsidR="00C65CB1" w:rsidRPr="004500AE" w:rsidRDefault="00C65CB1" w:rsidP="00C65CB1">
            <w:pPr>
              <w:rPr>
                <w:rFonts w:asciiTheme="minorHAnsi" w:eastAsia="Times New Roman" w:hAnsiTheme="minorHAnsi" w:cstheme="minorHAnsi"/>
                <w:color w:val="000000"/>
                <w:sz w:val="18"/>
                <w:szCs w:val="18"/>
                <w:lang w:val="pt-PT"/>
              </w:rPr>
            </w:pPr>
          </w:p>
        </w:tc>
        <w:tc>
          <w:tcPr>
            <w:tcW w:w="2070" w:type="dxa"/>
            <w:hideMark/>
          </w:tcPr>
          <w:p w14:paraId="41D95CCC"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queixas tramitadas para tribunal </w:t>
            </w:r>
          </w:p>
        </w:tc>
        <w:tc>
          <w:tcPr>
            <w:tcW w:w="1890" w:type="dxa"/>
            <w:noWrap/>
            <w:hideMark/>
          </w:tcPr>
          <w:p w14:paraId="4AC9DD6B"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80-95% do planificado</w:t>
            </w:r>
          </w:p>
        </w:tc>
        <w:tc>
          <w:tcPr>
            <w:tcW w:w="1620" w:type="dxa"/>
            <w:noWrap/>
            <w:hideMark/>
          </w:tcPr>
          <w:p w14:paraId="3D402D82"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170" w:type="dxa"/>
            <w:noWrap/>
            <w:hideMark/>
          </w:tcPr>
          <w:p w14:paraId="621EB3AF"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c>
          <w:tcPr>
            <w:tcW w:w="1080" w:type="dxa"/>
          </w:tcPr>
          <w:p w14:paraId="25AF8364"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r>
    </w:tbl>
    <w:p w14:paraId="2ABD450F" w14:textId="77777777" w:rsidR="00C65CB1" w:rsidRPr="00292532" w:rsidRDefault="00C65CB1" w:rsidP="000D7B05">
      <w:pPr>
        <w:pStyle w:val="Title"/>
      </w:pPr>
    </w:p>
    <w:bookmarkEnd w:id="538"/>
    <w:p w14:paraId="7923E36A" w14:textId="401982E2" w:rsidR="00C65CB1" w:rsidRPr="00292532" w:rsidRDefault="00C65CB1" w:rsidP="000D7B05">
      <w:pPr>
        <w:pStyle w:val="Title"/>
      </w:pPr>
    </w:p>
    <w:p w14:paraId="7FCC22B3" w14:textId="77777777" w:rsidR="00F638C3" w:rsidRPr="00292532" w:rsidRDefault="00F638C3" w:rsidP="00F638C3">
      <w:pPr>
        <w:rPr>
          <w:b/>
          <w:bCs/>
          <w:lang w:val="pt-PT"/>
        </w:rPr>
      </w:pPr>
      <w:r w:rsidRPr="00292532">
        <w:rPr>
          <w:b/>
          <w:bCs/>
          <w:lang w:val="pt-PT"/>
        </w:rPr>
        <w:t>Secção C Avaliação Qualitativa do Desempenho</w:t>
      </w:r>
    </w:p>
    <w:p w14:paraId="555C18FF" w14:textId="77777777" w:rsidR="00F638C3" w:rsidRPr="00292532" w:rsidRDefault="00F638C3" w:rsidP="00F638C3">
      <w:pPr>
        <w:pStyle w:val="ListParagraph"/>
        <w:numPr>
          <w:ilvl w:val="0"/>
          <w:numId w:val="75"/>
        </w:numPr>
        <w:rPr>
          <w:lang w:val="pt-PT"/>
        </w:rPr>
      </w:pPr>
      <w:r w:rsidRPr="00292532">
        <w:rPr>
          <w:lang w:val="pt-PT"/>
        </w:rPr>
        <w:t xml:space="preserve">Foi registado algum problema ambiental ou social imprevisto durante o trimestre? Em caso afirmativo, identifique a </w:t>
      </w:r>
      <w:proofErr w:type="spellStart"/>
      <w:r w:rsidRPr="00292532">
        <w:rPr>
          <w:lang w:val="pt-PT"/>
        </w:rPr>
        <w:t>actividade</w:t>
      </w:r>
      <w:proofErr w:type="spellEnd"/>
      <w:r w:rsidRPr="00292532">
        <w:rPr>
          <w:lang w:val="pt-PT"/>
        </w:rPr>
        <w:t xml:space="preserve">, descreva o problema, </w:t>
      </w:r>
      <w:proofErr w:type="spellStart"/>
      <w:r w:rsidRPr="00292532">
        <w:rPr>
          <w:lang w:val="pt-PT"/>
        </w:rPr>
        <w:t>acções</w:t>
      </w:r>
      <w:proofErr w:type="spellEnd"/>
      <w:r w:rsidRPr="00292532">
        <w:rPr>
          <w:lang w:val="pt-PT"/>
        </w:rPr>
        <w:t xml:space="preserve"> tomadas para solucionar ou remediar e </w:t>
      </w:r>
      <w:proofErr w:type="spellStart"/>
      <w:r w:rsidRPr="00292532">
        <w:rPr>
          <w:lang w:val="pt-PT"/>
        </w:rPr>
        <w:t>acções</w:t>
      </w:r>
      <w:proofErr w:type="spellEnd"/>
      <w:r w:rsidRPr="00292532">
        <w:rPr>
          <w:lang w:val="pt-PT"/>
        </w:rPr>
        <w:t xml:space="preserve"> propostas a serem implementadas no futuro.</w:t>
      </w:r>
    </w:p>
    <w:p w14:paraId="4937E519" w14:textId="77777777" w:rsidR="00F638C3" w:rsidRPr="00292532" w:rsidRDefault="00F638C3" w:rsidP="00F638C3">
      <w:pPr>
        <w:rPr>
          <w:lang w:val="pt-PT"/>
        </w:rPr>
      </w:pPr>
      <w:r w:rsidRPr="00292532">
        <w:rPr>
          <w:lang w:val="pt-PT"/>
        </w:rPr>
        <w:t>…………………………………………………………………………………………………………………………………………….</w:t>
      </w:r>
    </w:p>
    <w:p w14:paraId="005CD098" w14:textId="77777777" w:rsidR="00F638C3" w:rsidRPr="00292532" w:rsidRDefault="00F638C3" w:rsidP="00F638C3">
      <w:pPr>
        <w:rPr>
          <w:lang w:val="pt-PT"/>
        </w:rPr>
      </w:pPr>
      <w:r w:rsidRPr="00292532">
        <w:rPr>
          <w:lang w:val="pt-PT"/>
        </w:rPr>
        <w:t>……………………………………………………………………………………………………………………………………………..</w:t>
      </w:r>
    </w:p>
    <w:p w14:paraId="03BB08E6" w14:textId="77777777" w:rsidR="00F638C3" w:rsidRPr="00292532" w:rsidRDefault="00F638C3" w:rsidP="00F638C3">
      <w:pPr>
        <w:rPr>
          <w:lang w:val="pt-PT"/>
        </w:rPr>
      </w:pPr>
      <w:r w:rsidRPr="00292532">
        <w:rPr>
          <w:lang w:val="pt-PT"/>
        </w:rPr>
        <w:t>……………………………………………………………………………………………………………………………………………….</w:t>
      </w:r>
    </w:p>
    <w:p w14:paraId="39512371" w14:textId="77777777" w:rsidR="00F638C3" w:rsidRPr="00292532" w:rsidRDefault="00F638C3" w:rsidP="00F638C3">
      <w:pPr>
        <w:rPr>
          <w:lang w:val="pt-PT"/>
        </w:rPr>
      </w:pPr>
      <w:r w:rsidRPr="00292532">
        <w:rPr>
          <w:lang w:val="pt-PT"/>
        </w:rPr>
        <w:t>………………………………………………………………………………………………………………………………………………..</w:t>
      </w:r>
    </w:p>
    <w:p w14:paraId="78C97DA0" w14:textId="77777777" w:rsidR="00F638C3" w:rsidRPr="00292532" w:rsidRDefault="00F638C3" w:rsidP="00F638C3">
      <w:pPr>
        <w:rPr>
          <w:lang w:val="pt-PT"/>
        </w:rPr>
      </w:pPr>
      <w:r w:rsidRPr="00292532">
        <w:rPr>
          <w:lang w:val="pt-PT"/>
        </w:rPr>
        <w:t>………………………………………………………………………………………………………………………………………………..</w:t>
      </w:r>
    </w:p>
    <w:p w14:paraId="64E5596F" w14:textId="77777777" w:rsidR="00F638C3" w:rsidRPr="00292532" w:rsidRDefault="00F638C3" w:rsidP="00F638C3">
      <w:pPr>
        <w:rPr>
          <w:lang w:val="pt-PT"/>
        </w:rPr>
      </w:pPr>
      <w:r w:rsidRPr="00292532">
        <w:rPr>
          <w:lang w:val="pt-PT"/>
        </w:rPr>
        <w:t>………………………………………………………………………………………………………………………………………………..</w:t>
      </w:r>
    </w:p>
    <w:p w14:paraId="4DA4F055" w14:textId="77777777" w:rsidR="00F638C3" w:rsidRPr="00292532" w:rsidRDefault="00F638C3" w:rsidP="00F638C3">
      <w:pPr>
        <w:pStyle w:val="ListParagraph"/>
        <w:numPr>
          <w:ilvl w:val="0"/>
          <w:numId w:val="75"/>
        </w:numPr>
        <w:rPr>
          <w:lang w:val="pt-PT"/>
        </w:rPr>
      </w:pPr>
      <w:r w:rsidRPr="00292532">
        <w:rPr>
          <w:lang w:val="pt-PT"/>
        </w:rPr>
        <w:t>Que medidas de mitigação não foram implementadas? Apresente as causas e consequências da não implementação.</w:t>
      </w:r>
    </w:p>
    <w:p w14:paraId="4BA4D421" w14:textId="77777777" w:rsidR="00F638C3" w:rsidRPr="00292532" w:rsidRDefault="00F638C3" w:rsidP="00F638C3">
      <w:pPr>
        <w:rPr>
          <w:lang w:val="pt-PT"/>
        </w:rPr>
      </w:pPr>
      <w:r w:rsidRPr="00292532">
        <w:rPr>
          <w:lang w:val="pt-PT"/>
        </w:rPr>
        <w:t>……………………………………………………………………………………………………………………………………………</w:t>
      </w:r>
    </w:p>
    <w:p w14:paraId="0D6ADB5F" w14:textId="77777777" w:rsidR="00F638C3" w:rsidRPr="00292532" w:rsidRDefault="00F638C3" w:rsidP="00F638C3">
      <w:pPr>
        <w:rPr>
          <w:lang w:val="pt-PT"/>
        </w:rPr>
      </w:pPr>
      <w:r w:rsidRPr="00292532">
        <w:rPr>
          <w:lang w:val="pt-PT"/>
        </w:rPr>
        <w:t xml:space="preserve">……………………………………………………………………………………………………………………………………………. </w:t>
      </w:r>
    </w:p>
    <w:p w14:paraId="576E75C5" w14:textId="77777777" w:rsidR="00F638C3" w:rsidRPr="00292532" w:rsidRDefault="00F638C3" w:rsidP="00F638C3">
      <w:pPr>
        <w:rPr>
          <w:lang w:val="pt-PT"/>
        </w:rPr>
      </w:pPr>
      <w:r w:rsidRPr="00292532">
        <w:rPr>
          <w:lang w:val="pt-PT"/>
        </w:rPr>
        <w:t xml:space="preserve">……………………………………………………………………………………………………………………………………………… </w:t>
      </w:r>
    </w:p>
    <w:p w14:paraId="43A8F17D" w14:textId="77777777" w:rsidR="00F638C3" w:rsidRPr="00292532" w:rsidRDefault="00F638C3" w:rsidP="00F638C3">
      <w:pPr>
        <w:rPr>
          <w:lang w:val="pt-PT"/>
        </w:rPr>
      </w:pPr>
      <w:r w:rsidRPr="00292532">
        <w:rPr>
          <w:lang w:val="pt-PT"/>
        </w:rPr>
        <w:t xml:space="preserve">……………………………………………………………………………………………………………………………………………… </w:t>
      </w:r>
    </w:p>
    <w:p w14:paraId="434529F8" w14:textId="77777777" w:rsidR="00F638C3" w:rsidRPr="00292532" w:rsidRDefault="00F638C3" w:rsidP="00F638C3">
      <w:pPr>
        <w:rPr>
          <w:lang w:val="pt-PT"/>
        </w:rPr>
      </w:pPr>
      <w:r w:rsidRPr="00292532">
        <w:rPr>
          <w:lang w:val="pt-PT"/>
        </w:rPr>
        <w:t xml:space="preserve">…………………………………………………………………………………………………………………………………………… </w:t>
      </w:r>
    </w:p>
    <w:p w14:paraId="4F67D59A" w14:textId="77777777" w:rsidR="00F638C3" w:rsidRPr="00292532" w:rsidRDefault="00F638C3" w:rsidP="00F638C3">
      <w:pPr>
        <w:pStyle w:val="ListParagraph"/>
        <w:numPr>
          <w:ilvl w:val="0"/>
          <w:numId w:val="75"/>
        </w:numPr>
        <w:rPr>
          <w:lang w:val="pt-PT"/>
        </w:rPr>
      </w:pPr>
      <w:r w:rsidRPr="00292532">
        <w:rPr>
          <w:lang w:val="pt-PT"/>
        </w:rPr>
        <w:t>Foram implementadas medidas de mitigação e de gestão ambientais adicionais às contidas no PGAS?</w:t>
      </w:r>
    </w:p>
    <w:p w14:paraId="5D7A4BDC" w14:textId="77777777" w:rsidR="00F638C3" w:rsidRPr="00292532" w:rsidRDefault="00F638C3" w:rsidP="00F638C3">
      <w:pPr>
        <w:rPr>
          <w:lang w:val="pt-PT"/>
        </w:rPr>
      </w:pPr>
      <w:r w:rsidRPr="00292532">
        <w:rPr>
          <w:lang w:val="pt-PT"/>
        </w:rPr>
        <w:t xml:space="preserve">…………………………………………………………………………………………………………………………………………………. </w:t>
      </w:r>
    </w:p>
    <w:p w14:paraId="37BD2BBC" w14:textId="77777777" w:rsidR="00F638C3" w:rsidRPr="00292532" w:rsidRDefault="00F638C3" w:rsidP="00F638C3">
      <w:pPr>
        <w:rPr>
          <w:lang w:val="pt-PT"/>
        </w:rPr>
      </w:pPr>
      <w:r w:rsidRPr="00292532">
        <w:rPr>
          <w:lang w:val="pt-PT"/>
        </w:rPr>
        <w:t xml:space="preserve">…………………………………………………………………………………………………………………………………………………. </w:t>
      </w:r>
    </w:p>
    <w:p w14:paraId="6F43ABF4" w14:textId="77777777" w:rsidR="00F638C3" w:rsidRPr="00292532" w:rsidRDefault="00F638C3" w:rsidP="00F638C3">
      <w:pPr>
        <w:rPr>
          <w:lang w:val="pt-PT"/>
        </w:rPr>
      </w:pPr>
      <w:r w:rsidRPr="00292532">
        <w:rPr>
          <w:lang w:val="pt-PT"/>
        </w:rPr>
        <w:t xml:space="preserve">………………………………………………………………………………………………………………………………………………… </w:t>
      </w:r>
    </w:p>
    <w:p w14:paraId="1228959F" w14:textId="77777777" w:rsidR="00F638C3" w:rsidRPr="00292532" w:rsidRDefault="00F638C3" w:rsidP="00F638C3">
      <w:pPr>
        <w:pStyle w:val="ListParagraph"/>
        <w:numPr>
          <w:ilvl w:val="0"/>
          <w:numId w:val="75"/>
        </w:numPr>
        <w:rPr>
          <w:lang w:val="pt-PT"/>
        </w:rPr>
      </w:pPr>
      <w:r w:rsidRPr="00292532">
        <w:rPr>
          <w:lang w:val="pt-PT"/>
        </w:rPr>
        <w:lastRenderedPageBreak/>
        <w:t xml:space="preserve">Foram observadas inconformidades nos relatórios providenciados pelas equipas (Contratadas, </w:t>
      </w:r>
      <w:proofErr w:type="spellStart"/>
      <w:r w:rsidRPr="00292532">
        <w:rPr>
          <w:lang w:val="pt-PT"/>
        </w:rPr>
        <w:t>UTPs</w:t>
      </w:r>
      <w:proofErr w:type="spellEnd"/>
      <w:r w:rsidRPr="00292532">
        <w:rPr>
          <w:lang w:val="pt-PT"/>
        </w:rPr>
        <w:t xml:space="preserve">). Caso afirmativo, descreva as inconformidades. </w:t>
      </w:r>
    </w:p>
    <w:p w14:paraId="3A00B07B" w14:textId="77777777" w:rsidR="00F638C3" w:rsidRPr="00292532" w:rsidRDefault="00F638C3" w:rsidP="00F638C3">
      <w:pPr>
        <w:rPr>
          <w:lang w:val="pt-PT"/>
        </w:rPr>
      </w:pPr>
      <w:r w:rsidRPr="00292532">
        <w:rPr>
          <w:lang w:val="pt-PT"/>
        </w:rPr>
        <w:t xml:space="preserve">………………………………………………………………………………………………………………………………………………. </w:t>
      </w:r>
    </w:p>
    <w:p w14:paraId="477F2F9B" w14:textId="77777777" w:rsidR="00F638C3" w:rsidRPr="00292532" w:rsidRDefault="00F638C3" w:rsidP="00F638C3">
      <w:pPr>
        <w:rPr>
          <w:lang w:val="pt-PT"/>
        </w:rPr>
      </w:pPr>
      <w:r w:rsidRPr="00292532">
        <w:rPr>
          <w:lang w:val="pt-PT"/>
        </w:rPr>
        <w:t xml:space="preserve">………………………………………………………………………………………………………………………………………………. </w:t>
      </w:r>
    </w:p>
    <w:p w14:paraId="75522DBD" w14:textId="77777777" w:rsidR="00F638C3" w:rsidRPr="00292532" w:rsidRDefault="00F638C3" w:rsidP="00F638C3">
      <w:pPr>
        <w:rPr>
          <w:lang w:val="pt-PT"/>
        </w:rPr>
      </w:pPr>
      <w:r w:rsidRPr="00292532">
        <w:rPr>
          <w:lang w:val="pt-PT"/>
        </w:rPr>
        <w:t xml:space="preserve">……………………………………………………………………………………………………………………………………………… </w:t>
      </w:r>
    </w:p>
    <w:p w14:paraId="6CB1A318" w14:textId="77777777" w:rsidR="00F638C3" w:rsidRPr="00292532" w:rsidRDefault="00F638C3" w:rsidP="00F638C3">
      <w:pPr>
        <w:rPr>
          <w:lang w:val="pt-PT"/>
        </w:rPr>
      </w:pPr>
      <w:r w:rsidRPr="00292532">
        <w:rPr>
          <w:lang w:val="pt-PT"/>
        </w:rPr>
        <w:t xml:space="preserve">…………………………………………………………………………………………………………………………………………….. </w:t>
      </w:r>
    </w:p>
    <w:p w14:paraId="75CABE3C" w14:textId="77777777" w:rsidR="00F638C3" w:rsidRPr="00292532" w:rsidRDefault="00F638C3" w:rsidP="00F638C3">
      <w:pPr>
        <w:rPr>
          <w:lang w:val="pt-PT"/>
        </w:rPr>
      </w:pPr>
      <w:r w:rsidRPr="00292532">
        <w:rPr>
          <w:lang w:val="pt-PT"/>
        </w:rPr>
        <w:t>………………………………………………………………………………………………………………………………………………</w:t>
      </w:r>
    </w:p>
    <w:p w14:paraId="7DF10100" w14:textId="77777777" w:rsidR="00F638C3" w:rsidRPr="00292532" w:rsidRDefault="00F638C3" w:rsidP="00F638C3">
      <w:pPr>
        <w:pStyle w:val="ListParagraph"/>
        <w:numPr>
          <w:ilvl w:val="0"/>
          <w:numId w:val="75"/>
        </w:numPr>
        <w:rPr>
          <w:lang w:val="pt-PT"/>
        </w:rPr>
      </w:pPr>
      <w:proofErr w:type="spellStart"/>
      <w:r w:rsidRPr="00292532">
        <w:rPr>
          <w:lang w:val="pt-PT"/>
        </w:rPr>
        <w:t>Actividades</w:t>
      </w:r>
      <w:proofErr w:type="spellEnd"/>
      <w:r w:rsidRPr="00292532">
        <w:rPr>
          <w:lang w:val="pt-PT"/>
        </w:rPr>
        <w:t xml:space="preserve"> de formação, capacitação e consciencialização realizadas. Descreva resumidamente as </w:t>
      </w:r>
      <w:proofErr w:type="spellStart"/>
      <w:r w:rsidRPr="00292532">
        <w:rPr>
          <w:lang w:val="pt-PT"/>
        </w:rPr>
        <w:t>actividades</w:t>
      </w:r>
      <w:proofErr w:type="spellEnd"/>
      <w:r w:rsidRPr="00292532">
        <w:rPr>
          <w:lang w:val="pt-PT"/>
        </w:rPr>
        <w:t xml:space="preserve">. </w:t>
      </w:r>
    </w:p>
    <w:p w14:paraId="21C04AEC" w14:textId="77777777" w:rsidR="00F638C3" w:rsidRPr="00292532" w:rsidRDefault="00F638C3" w:rsidP="00F638C3">
      <w:pPr>
        <w:rPr>
          <w:lang w:val="pt-PT"/>
        </w:rPr>
      </w:pPr>
      <w:r w:rsidRPr="00292532">
        <w:rPr>
          <w:lang w:val="pt-PT"/>
        </w:rPr>
        <w:t xml:space="preserve">………………………………………………………………………………………………………………………………………………….. </w:t>
      </w:r>
    </w:p>
    <w:p w14:paraId="69070531" w14:textId="77777777" w:rsidR="00F638C3" w:rsidRPr="00292532" w:rsidRDefault="00F638C3" w:rsidP="00F638C3">
      <w:pPr>
        <w:rPr>
          <w:lang w:val="pt-PT"/>
        </w:rPr>
      </w:pPr>
      <w:r w:rsidRPr="00292532">
        <w:rPr>
          <w:lang w:val="pt-PT"/>
        </w:rPr>
        <w:t xml:space="preserve">………………………………………………………………………………………………………………………………………………….. </w:t>
      </w:r>
    </w:p>
    <w:p w14:paraId="4D5F1140" w14:textId="77777777" w:rsidR="00F638C3" w:rsidRPr="00292532" w:rsidRDefault="00F638C3" w:rsidP="00F638C3">
      <w:pPr>
        <w:rPr>
          <w:lang w:val="pt-PT"/>
        </w:rPr>
      </w:pPr>
      <w:r w:rsidRPr="00292532">
        <w:rPr>
          <w:lang w:val="pt-PT"/>
        </w:rPr>
        <w:t xml:space="preserve">………………………………………………………………………………………………………………………………………………….. </w:t>
      </w:r>
    </w:p>
    <w:p w14:paraId="5325A608" w14:textId="77777777" w:rsidR="00F638C3" w:rsidRPr="00292532" w:rsidRDefault="00F638C3" w:rsidP="00F638C3">
      <w:pPr>
        <w:rPr>
          <w:lang w:val="pt-PT"/>
        </w:rPr>
      </w:pPr>
      <w:r w:rsidRPr="00292532">
        <w:rPr>
          <w:lang w:val="pt-PT"/>
        </w:rPr>
        <w:t>…………………………………………………………………………………………………………………………………………………..</w:t>
      </w:r>
    </w:p>
    <w:p w14:paraId="665F5C51" w14:textId="77777777" w:rsidR="00F638C3" w:rsidRPr="00292532" w:rsidRDefault="00F638C3" w:rsidP="00F638C3">
      <w:pPr>
        <w:pStyle w:val="ListParagraph"/>
        <w:numPr>
          <w:ilvl w:val="0"/>
          <w:numId w:val="75"/>
        </w:numPr>
        <w:rPr>
          <w:lang w:val="pt-PT"/>
        </w:rPr>
      </w:pPr>
      <w:r w:rsidRPr="00292532">
        <w:rPr>
          <w:lang w:val="pt-PT"/>
        </w:rPr>
        <w:t>Descreva as queixas e reclamações recebidas durante o período e as medidas adicionais que resultaram da resolução destas queixas.</w:t>
      </w:r>
    </w:p>
    <w:p w14:paraId="73658057" w14:textId="77777777" w:rsidR="00F638C3" w:rsidRPr="00292532" w:rsidRDefault="00F638C3" w:rsidP="00F638C3">
      <w:pPr>
        <w:rPr>
          <w:lang w:val="pt-PT"/>
        </w:rPr>
      </w:pPr>
      <w:r w:rsidRPr="00292532">
        <w:rPr>
          <w:lang w:val="pt-PT"/>
        </w:rPr>
        <w:t xml:space="preserve">…………………………………………………………………………………………………………………………………………… </w:t>
      </w:r>
    </w:p>
    <w:p w14:paraId="17F97F8C" w14:textId="77777777" w:rsidR="00F638C3" w:rsidRPr="00292532" w:rsidRDefault="00F638C3" w:rsidP="00F638C3">
      <w:pPr>
        <w:rPr>
          <w:lang w:val="pt-PT"/>
        </w:rPr>
      </w:pPr>
      <w:r w:rsidRPr="00292532">
        <w:rPr>
          <w:lang w:val="pt-PT"/>
        </w:rPr>
        <w:t xml:space="preserve">……………………………………………………………………………………………………………………………………………. </w:t>
      </w:r>
    </w:p>
    <w:p w14:paraId="599ECDBD" w14:textId="77777777" w:rsidR="00F638C3" w:rsidRPr="00292532" w:rsidRDefault="00F638C3" w:rsidP="00F638C3">
      <w:pPr>
        <w:rPr>
          <w:lang w:val="pt-PT"/>
        </w:rPr>
      </w:pPr>
      <w:r w:rsidRPr="00292532">
        <w:rPr>
          <w:lang w:val="pt-PT"/>
        </w:rPr>
        <w:t xml:space="preserve">…………………………………………………………………………………………………………………………………………….. </w:t>
      </w:r>
    </w:p>
    <w:p w14:paraId="3C47A81F" w14:textId="77777777" w:rsidR="00F638C3" w:rsidRPr="00292532" w:rsidRDefault="00F638C3" w:rsidP="00F638C3">
      <w:pPr>
        <w:rPr>
          <w:lang w:val="pt-PT"/>
        </w:rPr>
      </w:pPr>
      <w:r w:rsidRPr="00292532">
        <w:rPr>
          <w:lang w:val="pt-PT"/>
        </w:rPr>
        <w:t xml:space="preserve">…………………………………………………………………………………………………………………………………………….. </w:t>
      </w:r>
      <w:r w:rsidRPr="00292532">
        <w:rPr>
          <w:lang w:val="pt-PT"/>
        </w:rPr>
        <w:br w:type="page"/>
      </w:r>
    </w:p>
    <w:p w14:paraId="24098CA6" w14:textId="77777777" w:rsidR="00F638C3" w:rsidRPr="00292532" w:rsidRDefault="00F638C3" w:rsidP="00F638C3">
      <w:pPr>
        <w:rPr>
          <w:lang w:val="pt-PT"/>
        </w:rPr>
      </w:pPr>
    </w:p>
    <w:p w14:paraId="1D65788D" w14:textId="77777777" w:rsidR="00F638C3" w:rsidRPr="00292532" w:rsidRDefault="00F638C3" w:rsidP="00F638C3">
      <w:pPr>
        <w:pStyle w:val="ListParagraph"/>
        <w:numPr>
          <w:ilvl w:val="0"/>
          <w:numId w:val="75"/>
        </w:numPr>
        <w:rPr>
          <w:lang w:val="pt-PT"/>
        </w:rPr>
      </w:pPr>
      <w:r w:rsidRPr="00292532">
        <w:rPr>
          <w:lang w:val="pt-PT" w:eastAsia="pt-BR"/>
        </w:rPr>
        <w:tab/>
      </w:r>
      <w:proofErr w:type="spellStart"/>
      <w:r w:rsidRPr="00292532">
        <w:rPr>
          <w:lang w:val="pt-PT"/>
        </w:rPr>
        <w:t>Actividades</w:t>
      </w:r>
      <w:proofErr w:type="spellEnd"/>
      <w:r w:rsidRPr="00292532">
        <w:rPr>
          <w:lang w:val="pt-PT"/>
        </w:rPr>
        <w:t xml:space="preserve"> de </w:t>
      </w:r>
      <w:proofErr w:type="spellStart"/>
      <w:r w:rsidRPr="00292532">
        <w:rPr>
          <w:lang w:val="pt-PT"/>
        </w:rPr>
        <w:t>inspecção</w:t>
      </w:r>
      <w:proofErr w:type="spellEnd"/>
      <w:r w:rsidRPr="00292532">
        <w:rPr>
          <w:lang w:val="pt-PT"/>
        </w:rPr>
        <w:t xml:space="preserve"> e auditorias realizadas durante o trimestre. Apresente o resumo das </w:t>
      </w:r>
      <w:proofErr w:type="spellStart"/>
      <w:r w:rsidRPr="00292532">
        <w:rPr>
          <w:lang w:val="pt-PT"/>
        </w:rPr>
        <w:t>actividades</w:t>
      </w:r>
      <w:proofErr w:type="spellEnd"/>
      <w:r w:rsidRPr="00292532">
        <w:rPr>
          <w:lang w:val="pt-PT"/>
        </w:rPr>
        <w:t xml:space="preserve"> e principais resultados. </w:t>
      </w:r>
    </w:p>
    <w:p w14:paraId="58CE6E32" w14:textId="77777777" w:rsidR="00F638C3" w:rsidRPr="00292532" w:rsidRDefault="00F638C3" w:rsidP="00F638C3">
      <w:pPr>
        <w:rPr>
          <w:lang w:val="pt-PT"/>
        </w:rPr>
      </w:pPr>
      <w:r w:rsidRPr="00292532">
        <w:rPr>
          <w:lang w:val="pt-PT"/>
        </w:rPr>
        <w:t xml:space="preserve">………………………………………………………………………………………………………………………………………………….. </w:t>
      </w:r>
    </w:p>
    <w:p w14:paraId="02665E1E" w14:textId="77777777" w:rsidR="00F638C3" w:rsidRPr="00292532" w:rsidRDefault="00F638C3" w:rsidP="00F638C3">
      <w:pPr>
        <w:rPr>
          <w:lang w:val="pt-PT"/>
        </w:rPr>
      </w:pPr>
      <w:r w:rsidRPr="00292532">
        <w:rPr>
          <w:lang w:val="pt-PT"/>
        </w:rPr>
        <w:t xml:space="preserve">………………………………………………………………………………………………………………………………………………….. </w:t>
      </w:r>
    </w:p>
    <w:p w14:paraId="2C35523B" w14:textId="77777777" w:rsidR="00F638C3" w:rsidRPr="00292532" w:rsidRDefault="00F638C3" w:rsidP="00F638C3">
      <w:pPr>
        <w:rPr>
          <w:lang w:val="pt-PT"/>
        </w:rPr>
      </w:pPr>
      <w:r w:rsidRPr="00292532">
        <w:rPr>
          <w:lang w:val="pt-PT"/>
        </w:rPr>
        <w:t xml:space="preserve">………………………………………………………………………………………………………………………………………………….. </w:t>
      </w:r>
    </w:p>
    <w:p w14:paraId="14A07728" w14:textId="77777777" w:rsidR="00F638C3" w:rsidRPr="00292532" w:rsidRDefault="00F638C3" w:rsidP="00F638C3">
      <w:pPr>
        <w:rPr>
          <w:lang w:val="pt-PT"/>
        </w:rPr>
      </w:pPr>
      <w:r w:rsidRPr="00292532">
        <w:rPr>
          <w:lang w:val="pt-PT"/>
        </w:rPr>
        <w:t>…………………………………………………………………………………………………………………………………………………..</w:t>
      </w:r>
    </w:p>
    <w:p w14:paraId="6B07FC37" w14:textId="77777777" w:rsidR="00F638C3" w:rsidRPr="00292532" w:rsidRDefault="00F638C3" w:rsidP="00F638C3">
      <w:pPr>
        <w:rPr>
          <w:lang w:val="pt-PT"/>
        </w:rPr>
      </w:pPr>
      <w:r w:rsidRPr="00292532">
        <w:rPr>
          <w:lang w:val="pt-PT"/>
        </w:rPr>
        <w:t>…………………………………………………………………………………………………………………………………………….……</w:t>
      </w:r>
    </w:p>
    <w:p w14:paraId="2C63BD26" w14:textId="77777777" w:rsidR="00F638C3" w:rsidRPr="00292532" w:rsidRDefault="00F638C3" w:rsidP="00F638C3">
      <w:pPr>
        <w:rPr>
          <w:lang w:val="pt-PT"/>
        </w:rPr>
      </w:pPr>
      <w:r w:rsidRPr="00292532">
        <w:rPr>
          <w:lang w:val="pt-PT"/>
        </w:rPr>
        <w:t xml:space="preserve">…………………………………………………………………………………………………………………………………………………. </w:t>
      </w:r>
    </w:p>
    <w:p w14:paraId="095C1554" w14:textId="77777777" w:rsidR="00F638C3" w:rsidRPr="00292532" w:rsidRDefault="00F638C3" w:rsidP="00F638C3">
      <w:pPr>
        <w:rPr>
          <w:lang w:val="pt-PT"/>
        </w:rPr>
      </w:pPr>
      <w:r w:rsidRPr="00292532">
        <w:rPr>
          <w:lang w:val="pt-PT"/>
        </w:rPr>
        <w:t xml:space="preserve">………………………………………………………………………………………………………………………………………………….. </w:t>
      </w:r>
    </w:p>
    <w:p w14:paraId="2CAAE5AC" w14:textId="77777777" w:rsidR="00F638C3" w:rsidRPr="00292532" w:rsidRDefault="00F638C3" w:rsidP="00F638C3">
      <w:pPr>
        <w:rPr>
          <w:lang w:val="pt-PT"/>
        </w:rPr>
      </w:pPr>
      <w:r w:rsidRPr="00292532">
        <w:rPr>
          <w:lang w:val="pt-PT"/>
        </w:rPr>
        <w:t>…………………………………………………………………………………………………………………………………………………</w:t>
      </w:r>
    </w:p>
    <w:p w14:paraId="551F9616" w14:textId="318885A3" w:rsidR="00C65CB1" w:rsidRPr="00292532" w:rsidRDefault="00C65CB1" w:rsidP="004500AE">
      <w:pPr>
        <w:pStyle w:val="ListParagraph"/>
        <w:numPr>
          <w:ilvl w:val="0"/>
          <w:numId w:val="75"/>
        </w:numPr>
        <w:rPr>
          <w:lang w:val="pt-PT"/>
        </w:rPr>
      </w:pPr>
      <w:r w:rsidRPr="00292532">
        <w:rPr>
          <w:lang w:val="pt-PT" w:eastAsia="pt-BR"/>
        </w:rPr>
        <w:tab/>
      </w:r>
      <w:r w:rsidRPr="00292532">
        <w:rPr>
          <w:lang w:val="pt-PT"/>
        </w:rPr>
        <w:t xml:space="preserve">Encontros realizados durante o trimestre no âmbito da implementação do PEPI. (Incluir informação sobre as datas </w:t>
      </w:r>
      <w:proofErr w:type="gramStart"/>
      <w:r w:rsidRPr="00292532">
        <w:rPr>
          <w:lang w:val="pt-PT"/>
        </w:rPr>
        <w:t>e  locais</w:t>
      </w:r>
      <w:proofErr w:type="gramEnd"/>
      <w:r w:rsidRPr="00292532">
        <w:rPr>
          <w:lang w:val="pt-PT"/>
        </w:rPr>
        <w:t xml:space="preserve"> dos encontros realizados, </w:t>
      </w:r>
      <w:proofErr w:type="spellStart"/>
      <w:r w:rsidRPr="00292532">
        <w:rPr>
          <w:lang w:val="pt-PT"/>
        </w:rPr>
        <w:t>PIAs</w:t>
      </w:r>
      <w:proofErr w:type="spellEnd"/>
      <w:r w:rsidRPr="00292532">
        <w:rPr>
          <w:lang w:val="pt-PT"/>
        </w:rPr>
        <w:t xml:space="preserve"> envolvidas, principais questões levantadas) Providenciar em anexo as </w:t>
      </w:r>
      <w:proofErr w:type="spellStart"/>
      <w:r w:rsidRPr="00292532">
        <w:rPr>
          <w:lang w:val="pt-PT"/>
        </w:rPr>
        <w:t>actas</w:t>
      </w:r>
      <w:proofErr w:type="spellEnd"/>
      <w:r w:rsidRPr="00292532">
        <w:rPr>
          <w:lang w:val="pt-PT"/>
        </w:rPr>
        <w:t xml:space="preserve"> das reuniões realizadas. </w:t>
      </w:r>
    </w:p>
    <w:p w14:paraId="37CDBECE" w14:textId="77777777" w:rsidR="00C65CB1" w:rsidRPr="00292532" w:rsidRDefault="00C65CB1" w:rsidP="00C65CB1">
      <w:pPr>
        <w:rPr>
          <w:lang w:val="pt-PT"/>
        </w:rPr>
      </w:pPr>
      <w:r w:rsidRPr="00292532">
        <w:rPr>
          <w:lang w:val="pt-PT"/>
        </w:rPr>
        <w:t xml:space="preserve">………………………………………………………………………………………………………………………………………………….. </w:t>
      </w:r>
    </w:p>
    <w:p w14:paraId="6B1DC57E" w14:textId="77777777" w:rsidR="00C65CB1" w:rsidRPr="00292532" w:rsidRDefault="00C65CB1" w:rsidP="00C65CB1">
      <w:pPr>
        <w:rPr>
          <w:lang w:val="pt-PT"/>
        </w:rPr>
      </w:pPr>
      <w:r w:rsidRPr="00292532">
        <w:rPr>
          <w:lang w:val="pt-PT"/>
        </w:rPr>
        <w:t xml:space="preserve">………………………………………………………………………………………………………………………………………………….. </w:t>
      </w:r>
    </w:p>
    <w:p w14:paraId="702E58C0" w14:textId="77777777" w:rsidR="00C65CB1" w:rsidRPr="00292532" w:rsidRDefault="00C65CB1" w:rsidP="00C65CB1">
      <w:pPr>
        <w:rPr>
          <w:lang w:val="pt-PT"/>
        </w:rPr>
      </w:pPr>
      <w:r w:rsidRPr="00292532">
        <w:rPr>
          <w:lang w:val="pt-PT"/>
        </w:rPr>
        <w:t xml:space="preserve">………………………………………………………………………………………………………………………………………………….. </w:t>
      </w:r>
    </w:p>
    <w:p w14:paraId="3D0F9FD5" w14:textId="77777777" w:rsidR="00C65CB1" w:rsidRPr="00292532" w:rsidRDefault="00C65CB1" w:rsidP="00C65CB1">
      <w:pPr>
        <w:rPr>
          <w:lang w:val="pt-PT"/>
        </w:rPr>
      </w:pPr>
      <w:r w:rsidRPr="00292532">
        <w:rPr>
          <w:lang w:val="pt-PT"/>
        </w:rPr>
        <w:t>…………………………………………………………………………………………………………………………………………………..</w:t>
      </w:r>
    </w:p>
    <w:p w14:paraId="1B737F61" w14:textId="77777777" w:rsidR="00C65CB1" w:rsidRPr="00292532" w:rsidRDefault="00C65CB1" w:rsidP="00C65CB1">
      <w:pPr>
        <w:rPr>
          <w:lang w:val="pt-PT"/>
        </w:rPr>
      </w:pPr>
      <w:r w:rsidRPr="00292532">
        <w:rPr>
          <w:lang w:val="pt-PT"/>
        </w:rPr>
        <w:t>…………………………………………………………………………………………………………………………………………….……</w:t>
      </w:r>
    </w:p>
    <w:p w14:paraId="38EA6D47" w14:textId="77777777" w:rsidR="00C65CB1" w:rsidRPr="00292532" w:rsidRDefault="00C65CB1" w:rsidP="00C65CB1">
      <w:pPr>
        <w:rPr>
          <w:lang w:val="pt-PT"/>
        </w:rPr>
      </w:pPr>
      <w:r w:rsidRPr="00292532">
        <w:rPr>
          <w:lang w:val="pt-PT"/>
        </w:rPr>
        <w:t xml:space="preserve">…………………………………………………………………………………………………………………………………………………. </w:t>
      </w:r>
    </w:p>
    <w:p w14:paraId="146F09BF" w14:textId="77777777" w:rsidR="00C65CB1" w:rsidRPr="00292532" w:rsidRDefault="00C65CB1" w:rsidP="00C65CB1">
      <w:pPr>
        <w:rPr>
          <w:lang w:val="pt-PT"/>
        </w:rPr>
      </w:pPr>
      <w:r w:rsidRPr="00292532">
        <w:rPr>
          <w:lang w:val="pt-PT"/>
        </w:rPr>
        <w:t xml:space="preserve">………………………………………………………………………………………………………………………………………………….. </w:t>
      </w:r>
    </w:p>
    <w:p w14:paraId="02D5ACC6" w14:textId="77777777" w:rsidR="00C65CB1" w:rsidRPr="00292532" w:rsidRDefault="00C65CB1" w:rsidP="00C65CB1">
      <w:pPr>
        <w:rPr>
          <w:lang w:val="pt-PT"/>
        </w:rPr>
      </w:pPr>
      <w:r w:rsidRPr="00292532">
        <w:rPr>
          <w:lang w:val="pt-PT"/>
        </w:rPr>
        <w:t>…………………………………………………………………………………………………………………………………………………</w:t>
      </w:r>
    </w:p>
    <w:p w14:paraId="632546E9" w14:textId="77777777" w:rsidR="00C65CB1" w:rsidRPr="00292532" w:rsidRDefault="00C65CB1" w:rsidP="00C65CB1">
      <w:pPr>
        <w:tabs>
          <w:tab w:val="left" w:pos="930"/>
        </w:tabs>
        <w:rPr>
          <w:lang w:val="pt-PT" w:eastAsia="pt-BR"/>
        </w:rPr>
      </w:pPr>
    </w:p>
    <w:p w14:paraId="281E3DE0" w14:textId="77777777" w:rsidR="00C65CB1" w:rsidRPr="00292532" w:rsidRDefault="00C65CB1" w:rsidP="00C65CB1">
      <w:pPr>
        <w:rPr>
          <w:b/>
          <w:bCs/>
          <w:lang w:val="pt-PT"/>
        </w:rPr>
      </w:pPr>
      <w:r w:rsidRPr="00292532">
        <w:rPr>
          <w:b/>
          <w:bCs/>
          <w:lang w:val="pt-PT"/>
        </w:rPr>
        <w:t xml:space="preserve">Secção D Anexos do Relatório de Progresso </w:t>
      </w:r>
    </w:p>
    <w:p w14:paraId="2B387D10" w14:textId="77777777" w:rsidR="00C65CB1" w:rsidRPr="00292532" w:rsidRDefault="00C65CB1" w:rsidP="00C65CB1">
      <w:pPr>
        <w:rPr>
          <w:b/>
          <w:bCs/>
          <w:lang w:val="pt-PT"/>
        </w:rPr>
      </w:pPr>
    </w:p>
    <w:p w14:paraId="31229B9D" w14:textId="77777777" w:rsidR="00C65CB1" w:rsidRPr="00292532" w:rsidRDefault="00C65CB1" w:rsidP="00C65CB1">
      <w:pPr>
        <w:pStyle w:val="ListParagraph"/>
        <w:numPr>
          <w:ilvl w:val="0"/>
          <w:numId w:val="201"/>
        </w:numPr>
        <w:rPr>
          <w:b/>
          <w:bCs/>
          <w:lang w:val="pt-PT"/>
        </w:rPr>
      </w:pPr>
      <w:r w:rsidRPr="00292532">
        <w:rPr>
          <w:b/>
          <w:bCs/>
          <w:lang w:val="pt-PT"/>
        </w:rPr>
        <w:t xml:space="preserve">Relatório de Implementação do Plano de Engajamento com as Partes Interessadas </w:t>
      </w:r>
    </w:p>
    <w:p w14:paraId="17B8B6D8" w14:textId="30AC66DD" w:rsidR="00C65CB1" w:rsidRPr="00292532" w:rsidRDefault="00C65CB1" w:rsidP="00C65CB1">
      <w:pPr>
        <w:pStyle w:val="ListParagraph"/>
        <w:numPr>
          <w:ilvl w:val="0"/>
          <w:numId w:val="201"/>
        </w:numPr>
        <w:rPr>
          <w:b/>
          <w:bCs/>
          <w:lang w:val="pt-PT"/>
        </w:rPr>
      </w:pPr>
      <w:r w:rsidRPr="00292532">
        <w:rPr>
          <w:b/>
          <w:bCs/>
          <w:lang w:val="pt-PT"/>
        </w:rPr>
        <w:t xml:space="preserve">Relatório de </w:t>
      </w:r>
      <w:r w:rsidR="00292532" w:rsidRPr="00292532">
        <w:rPr>
          <w:b/>
          <w:bCs/>
          <w:lang w:val="pt-PT"/>
        </w:rPr>
        <w:t>Implementação</w:t>
      </w:r>
      <w:r w:rsidRPr="00292532">
        <w:rPr>
          <w:b/>
          <w:bCs/>
          <w:lang w:val="pt-PT"/>
        </w:rPr>
        <w:t xml:space="preserve"> do Mecanismo de Queixas e Reclamações </w:t>
      </w:r>
    </w:p>
    <w:p w14:paraId="244B4A06" w14:textId="682AD949" w:rsidR="00C65CB1" w:rsidRPr="00292532" w:rsidRDefault="00C65CB1" w:rsidP="00C65CB1">
      <w:pPr>
        <w:pStyle w:val="ListParagraph"/>
        <w:numPr>
          <w:ilvl w:val="0"/>
          <w:numId w:val="201"/>
        </w:numPr>
        <w:rPr>
          <w:b/>
          <w:bCs/>
          <w:lang w:val="pt-PT"/>
        </w:rPr>
      </w:pPr>
      <w:r w:rsidRPr="00292532">
        <w:rPr>
          <w:b/>
          <w:bCs/>
          <w:lang w:val="pt-PT"/>
        </w:rPr>
        <w:t xml:space="preserve">Relatório de </w:t>
      </w:r>
      <w:r w:rsidR="00292532" w:rsidRPr="00292532">
        <w:rPr>
          <w:b/>
          <w:bCs/>
          <w:lang w:val="pt-PT"/>
        </w:rPr>
        <w:t>Implementação</w:t>
      </w:r>
      <w:r w:rsidRPr="00292532">
        <w:rPr>
          <w:b/>
          <w:bCs/>
          <w:lang w:val="pt-PT"/>
        </w:rPr>
        <w:t xml:space="preserve"> do Plano de Compromisso Ambiental e Social </w:t>
      </w:r>
    </w:p>
    <w:p w14:paraId="1EC1183E" w14:textId="4ADEC194" w:rsidR="00CD2106" w:rsidRPr="00292532" w:rsidRDefault="00CD2106" w:rsidP="00CD2106">
      <w:pPr>
        <w:pStyle w:val="ListParagraph"/>
        <w:numPr>
          <w:ilvl w:val="0"/>
          <w:numId w:val="201"/>
        </w:numPr>
        <w:rPr>
          <w:b/>
          <w:bCs/>
          <w:lang w:val="pt-PT"/>
        </w:rPr>
      </w:pPr>
      <w:r w:rsidRPr="00292532">
        <w:rPr>
          <w:b/>
          <w:bCs/>
          <w:lang w:val="pt-PT"/>
        </w:rPr>
        <w:t xml:space="preserve">Relatório de </w:t>
      </w:r>
      <w:r w:rsidR="00292532" w:rsidRPr="00292532">
        <w:rPr>
          <w:b/>
          <w:bCs/>
          <w:lang w:val="pt-PT"/>
        </w:rPr>
        <w:t>Implementação</w:t>
      </w:r>
      <w:r w:rsidRPr="00292532">
        <w:rPr>
          <w:b/>
          <w:bCs/>
          <w:lang w:val="pt-PT"/>
        </w:rPr>
        <w:t xml:space="preserve">, conforme aplicável, do Quadro da Política de Reassentamento e Planos de </w:t>
      </w:r>
      <w:proofErr w:type="spellStart"/>
      <w:r w:rsidRPr="00292532">
        <w:rPr>
          <w:b/>
          <w:bCs/>
          <w:lang w:val="pt-PT"/>
        </w:rPr>
        <w:t>Acç</w:t>
      </w:r>
      <w:r w:rsidR="00292532">
        <w:rPr>
          <w:b/>
          <w:bCs/>
          <w:lang w:val="pt-PT"/>
        </w:rPr>
        <w:t>ã</w:t>
      </w:r>
      <w:r w:rsidRPr="00292532">
        <w:rPr>
          <w:b/>
          <w:bCs/>
          <w:lang w:val="pt-PT"/>
        </w:rPr>
        <w:t>o</w:t>
      </w:r>
      <w:proofErr w:type="spellEnd"/>
      <w:r w:rsidRPr="00292532">
        <w:rPr>
          <w:b/>
          <w:bCs/>
          <w:lang w:val="pt-PT"/>
        </w:rPr>
        <w:t xml:space="preserve"> de Reassentamento</w:t>
      </w:r>
    </w:p>
    <w:p w14:paraId="0709B25F" w14:textId="77777777" w:rsidR="00CD2106" w:rsidRPr="00292532" w:rsidRDefault="00CD2106" w:rsidP="004500AE">
      <w:pPr>
        <w:pStyle w:val="ListParagraph"/>
        <w:numPr>
          <w:ilvl w:val="0"/>
          <w:numId w:val="0"/>
        </w:numPr>
        <w:ind w:left="720"/>
        <w:rPr>
          <w:b/>
          <w:bCs/>
          <w:lang w:val="pt-PT"/>
        </w:rPr>
      </w:pPr>
    </w:p>
    <w:p w14:paraId="4B7F3611" w14:textId="77777777" w:rsidR="00F638C3" w:rsidRPr="00292532" w:rsidRDefault="00F638C3" w:rsidP="00F638C3">
      <w:pPr>
        <w:pStyle w:val="Heading2"/>
      </w:pPr>
      <w:bookmarkStart w:id="539" w:name="_Toc78435419"/>
      <w:bookmarkStart w:id="540" w:name="_Toc80380089"/>
      <w:r w:rsidRPr="00292532">
        <w:lastRenderedPageBreak/>
        <w:t>Relatório Anual de Desempenho Ambiental</w:t>
      </w:r>
      <w:bookmarkEnd w:id="539"/>
      <w:bookmarkEnd w:id="540"/>
      <w:r w:rsidRPr="00292532">
        <w:t xml:space="preserve"> </w:t>
      </w:r>
    </w:p>
    <w:p w14:paraId="6A4A042A" w14:textId="77777777" w:rsidR="00F638C3" w:rsidRPr="00292532" w:rsidRDefault="00F638C3" w:rsidP="00F638C3">
      <w:pPr>
        <w:rPr>
          <w:lang w:val="pt-PT"/>
        </w:rPr>
      </w:pPr>
    </w:p>
    <w:tbl>
      <w:tblPr>
        <w:tblStyle w:val="TableGridLight"/>
        <w:tblW w:w="0" w:type="auto"/>
        <w:tblLook w:val="04A0" w:firstRow="1" w:lastRow="0" w:firstColumn="1" w:lastColumn="0" w:noHBand="0" w:noVBand="1"/>
      </w:tblPr>
      <w:tblGrid>
        <w:gridCol w:w="2695"/>
        <w:gridCol w:w="5799"/>
      </w:tblGrid>
      <w:tr w:rsidR="00F638C3" w:rsidRPr="008D18CF" w14:paraId="5E717BCB" w14:textId="77777777" w:rsidTr="00F638C3">
        <w:tc>
          <w:tcPr>
            <w:tcW w:w="8494" w:type="dxa"/>
            <w:gridSpan w:val="2"/>
          </w:tcPr>
          <w:p w14:paraId="348E9EDE" w14:textId="77777777" w:rsidR="00F638C3" w:rsidRPr="00292532" w:rsidRDefault="00F638C3" w:rsidP="00F638C3">
            <w:pPr>
              <w:rPr>
                <w:lang w:val="pt-PT"/>
              </w:rPr>
            </w:pPr>
            <w:r w:rsidRPr="00292532">
              <w:rPr>
                <w:b/>
                <w:bCs/>
                <w:lang w:val="pt-PT"/>
              </w:rPr>
              <w:t xml:space="preserve">Secção A: Detalhes do </w:t>
            </w:r>
            <w:proofErr w:type="spellStart"/>
            <w:r w:rsidRPr="00292532">
              <w:rPr>
                <w:b/>
                <w:bCs/>
                <w:lang w:val="pt-PT"/>
              </w:rPr>
              <w:t>Projecto</w:t>
            </w:r>
            <w:proofErr w:type="spellEnd"/>
            <w:r w:rsidRPr="00292532">
              <w:rPr>
                <w:b/>
                <w:bCs/>
                <w:lang w:val="pt-PT"/>
              </w:rPr>
              <w:t xml:space="preserve"> e Equipa </w:t>
            </w:r>
          </w:p>
        </w:tc>
      </w:tr>
      <w:tr w:rsidR="00F638C3" w:rsidRPr="00292532" w14:paraId="6E592285" w14:textId="77777777" w:rsidTr="00F638C3">
        <w:tc>
          <w:tcPr>
            <w:tcW w:w="2695" w:type="dxa"/>
          </w:tcPr>
          <w:p w14:paraId="42A71015" w14:textId="77777777" w:rsidR="00F638C3" w:rsidRPr="00292532" w:rsidRDefault="00F638C3" w:rsidP="00F638C3">
            <w:pPr>
              <w:rPr>
                <w:lang w:val="pt-PT"/>
              </w:rPr>
            </w:pPr>
            <w:r w:rsidRPr="00292532">
              <w:rPr>
                <w:lang w:val="pt-PT"/>
              </w:rPr>
              <w:t xml:space="preserve">Nome do </w:t>
            </w:r>
            <w:proofErr w:type="spellStart"/>
            <w:r w:rsidRPr="00292532">
              <w:rPr>
                <w:lang w:val="pt-PT"/>
              </w:rPr>
              <w:t>Projecto</w:t>
            </w:r>
            <w:proofErr w:type="spellEnd"/>
          </w:p>
        </w:tc>
        <w:tc>
          <w:tcPr>
            <w:tcW w:w="5799" w:type="dxa"/>
          </w:tcPr>
          <w:p w14:paraId="1E20E0B4" w14:textId="77777777" w:rsidR="00F638C3" w:rsidRPr="00292532" w:rsidRDefault="00F638C3" w:rsidP="00F638C3">
            <w:pPr>
              <w:rPr>
                <w:lang w:val="pt-PT"/>
              </w:rPr>
            </w:pPr>
          </w:p>
        </w:tc>
      </w:tr>
      <w:tr w:rsidR="00F638C3" w:rsidRPr="00292532" w14:paraId="4C1B567B" w14:textId="77777777" w:rsidTr="00F638C3">
        <w:tc>
          <w:tcPr>
            <w:tcW w:w="2695" w:type="dxa"/>
          </w:tcPr>
          <w:p w14:paraId="6C8E2CF1" w14:textId="77777777" w:rsidR="00F638C3" w:rsidRPr="00292532" w:rsidRDefault="00F638C3" w:rsidP="00F638C3">
            <w:pPr>
              <w:rPr>
                <w:lang w:val="pt-PT"/>
              </w:rPr>
            </w:pPr>
            <w:r w:rsidRPr="00292532">
              <w:rPr>
                <w:lang w:val="pt-PT"/>
              </w:rPr>
              <w:t>Relatório Trimestral no.</w:t>
            </w:r>
          </w:p>
        </w:tc>
        <w:tc>
          <w:tcPr>
            <w:tcW w:w="5799" w:type="dxa"/>
          </w:tcPr>
          <w:p w14:paraId="255F17A8" w14:textId="77777777" w:rsidR="00F638C3" w:rsidRPr="00292532" w:rsidRDefault="00F638C3" w:rsidP="00F638C3">
            <w:pPr>
              <w:rPr>
                <w:lang w:val="pt-PT"/>
              </w:rPr>
            </w:pPr>
          </w:p>
        </w:tc>
      </w:tr>
      <w:tr w:rsidR="00F638C3" w:rsidRPr="008D18CF" w14:paraId="60A9BE22" w14:textId="77777777" w:rsidTr="00F638C3">
        <w:tc>
          <w:tcPr>
            <w:tcW w:w="2695" w:type="dxa"/>
          </w:tcPr>
          <w:p w14:paraId="4FD18D57" w14:textId="77777777" w:rsidR="00F638C3" w:rsidRPr="00292532" w:rsidRDefault="00F638C3" w:rsidP="00F638C3">
            <w:pPr>
              <w:rPr>
                <w:lang w:val="pt-PT"/>
              </w:rPr>
            </w:pPr>
            <w:r w:rsidRPr="00292532">
              <w:rPr>
                <w:lang w:val="pt-PT"/>
              </w:rPr>
              <w:t xml:space="preserve">Data de aprovação do Relatório </w:t>
            </w:r>
          </w:p>
        </w:tc>
        <w:tc>
          <w:tcPr>
            <w:tcW w:w="5799" w:type="dxa"/>
          </w:tcPr>
          <w:p w14:paraId="35282895" w14:textId="77777777" w:rsidR="00F638C3" w:rsidRPr="00292532" w:rsidRDefault="00F638C3" w:rsidP="00F638C3">
            <w:pPr>
              <w:rPr>
                <w:lang w:val="pt-PT"/>
              </w:rPr>
            </w:pPr>
          </w:p>
        </w:tc>
      </w:tr>
      <w:tr w:rsidR="00F638C3" w:rsidRPr="008D18CF" w14:paraId="528DAFB2" w14:textId="77777777" w:rsidTr="00F638C3">
        <w:tc>
          <w:tcPr>
            <w:tcW w:w="2695" w:type="dxa"/>
          </w:tcPr>
          <w:p w14:paraId="6AF00EAB" w14:textId="77777777" w:rsidR="00F638C3" w:rsidRPr="00292532" w:rsidRDefault="00F638C3" w:rsidP="00F638C3">
            <w:pPr>
              <w:rPr>
                <w:lang w:val="pt-PT"/>
              </w:rPr>
            </w:pPr>
            <w:r w:rsidRPr="00292532">
              <w:rPr>
                <w:lang w:val="pt-PT"/>
              </w:rPr>
              <w:t>Nome e posição do responsável pela elaboração do Relatório</w:t>
            </w:r>
          </w:p>
        </w:tc>
        <w:tc>
          <w:tcPr>
            <w:tcW w:w="5799" w:type="dxa"/>
          </w:tcPr>
          <w:p w14:paraId="166F9AAE" w14:textId="77777777" w:rsidR="00F638C3" w:rsidRPr="00292532" w:rsidRDefault="00F638C3" w:rsidP="00F638C3">
            <w:pPr>
              <w:rPr>
                <w:lang w:val="pt-PT"/>
              </w:rPr>
            </w:pPr>
          </w:p>
        </w:tc>
      </w:tr>
      <w:tr w:rsidR="00F638C3" w:rsidRPr="008D18CF" w14:paraId="1885BEB5" w14:textId="77777777" w:rsidTr="00F638C3">
        <w:tc>
          <w:tcPr>
            <w:tcW w:w="2695" w:type="dxa"/>
          </w:tcPr>
          <w:p w14:paraId="209A1921" w14:textId="77777777" w:rsidR="00F638C3" w:rsidRPr="00292532" w:rsidRDefault="00F638C3" w:rsidP="00F638C3">
            <w:pPr>
              <w:rPr>
                <w:lang w:val="pt-PT"/>
              </w:rPr>
            </w:pPr>
            <w:r w:rsidRPr="00292532">
              <w:rPr>
                <w:lang w:val="pt-PT"/>
              </w:rPr>
              <w:t>Nome e posição do responsável pela aprovação do Relatório</w:t>
            </w:r>
          </w:p>
        </w:tc>
        <w:tc>
          <w:tcPr>
            <w:tcW w:w="5799" w:type="dxa"/>
          </w:tcPr>
          <w:p w14:paraId="52C2DC2E" w14:textId="77777777" w:rsidR="00F638C3" w:rsidRPr="00292532" w:rsidRDefault="00F638C3" w:rsidP="00F638C3">
            <w:pPr>
              <w:rPr>
                <w:lang w:val="pt-PT"/>
              </w:rPr>
            </w:pPr>
          </w:p>
        </w:tc>
      </w:tr>
    </w:tbl>
    <w:p w14:paraId="5DF1F21B" w14:textId="77777777" w:rsidR="00F638C3" w:rsidRPr="00292532" w:rsidRDefault="00F638C3" w:rsidP="00F638C3">
      <w:pPr>
        <w:rPr>
          <w:lang w:val="pt-PT"/>
        </w:rPr>
      </w:pPr>
    </w:p>
    <w:tbl>
      <w:tblPr>
        <w:tblStyle w:val="TableGridLight"/>
        <w:tblW w:w="9445" w:type="dxa"/>
        <w:tblLayout w:type="fixed"/>
        <w:tblLook w:val="04A0" w:firstRow="1" w:lastRow="0" w:firstColumn="1" w:lastColumn="0" w:noHBand="0" w:noVBand="1"/>
      </w:tblPr>
      <w:tblGrid>
        <w:gridCol w:w="2155"/>
        <w:gridCol w:w="1530"/>
        <w:gridCol w:w="2070"/>
        <w:gridCol w:w="1890"/>
        <w:gridCol w:w="1800"/>
      </w:tblGrid>
      <w:tr w:rsidR="00F638C3" w:rsidRPr="008D18CF" w14:paraId="636EFEE5" w14:textId="77777777" w:rsidTr="00F638C3">
        <w:tc>
          <w:tcPr>
            <w:tcW w:w="9445" w:type="dxa"/>
            <w:gridSpan w:val="5"/>
          </w:tcPr>
          <w:p w14:paraId="25E1D32C" w14:textId="77777777" w:rsidR="00F638C3" w:rsidRPr="00292532" w:rsidRDefault="00F638C3" w:rsidP="00F638C3">
            <w:pPr>
              <w:rPr>
                <w:sz w:val="20"/>
                <w:szCs w:val="20"/>
                <w:lang w:val="pt-PT"/>
              </w:rPr>
            </w:pPr>
            <w:r w:rsidRPr="00292532">
              <w:rPr>
                <w:b/>
                <w:bCs/>
                <w:sz w:val="20"/>
                <w:szCs w:val="20"/>
                <w:lang w:val="pt-PT"/>
              </w:rPr>
              <w:t xml:space="preserve">Secção B: </w:t>
            </w:r>
            <w:proofErr w:type="spellStart"/>
            <w:r w:rsidRPr="00292532">
              <w:rPr>
                <w:b/>
                <w:bCs/>
                <w:sz w:val="20"/>
                <w:szCs w:val="20"/>
                <w:lang w:val="pt-PT"/>
              </w:rPr>
              <w:t>Actividades</w:t>
            </w:r>
            <w:proofErr w:type="spellEnd"/>
            <w:r w:rsidRPr="00292532">
              <w:rPr>
                <w:b/>
                <w:bCs/>
                <w:sz w:val="20"/>
                <w:szCs w:val="20"/>
                <w:lang w:val="pt-PT"/>
              </w:rPr>
              <w:t xml:space="preserve"> Desempenhadas e Conformidade </w:t>
            </w:r>
          </w:p>
        </w:tc>
      </w:tr>
      <w:tr w:rsidR="00F638C3" w:rsidRPr="00292532" w14:paraId="556E0F47" w14:textId="77777777" w:rsidTr="00F638C3">
        <w:trPr>
          <w:trHeight w:val="1183"/>
        </w:trPr>
        <w:tc>
          <w:tcPr>
            <w:tcW w:w="2155" w:type="dxa"/>
          </w:tcPr>
          <w:p w14:paraId="34359512" w14:textId="77777777" w:rsidR="00F638C3" w:rsidRPr="00292532" w:rsidRDefault="00F638C3" w:rsidP="00F638C3">
            <w:pPr>
              <w:rPr>
                <w:b/>
                <w:bCs/>
                <w:sz w:val="20"/>
                <w:szCs w:val="20"/>
                <w:lang w:val="pt-PT"/>
              </w:rPr>
            </w:pPr>
            <w:r w:rsidRPr="00292532">
              <w:rPr>
                <w:b/>
                <w:bCs/>
                <w:sz w:val="20"/>
                <w:szCs w:val="20"/>
                <w:lang w:val="pt-PT"/>
              </w:rPr>
              <w:t xml:space="preserve">Componentes / </w:t>
            </w:r>
            <w:proofErr w:type="spellStart"/>
            <w:r w:rsidRPr="00292532">
              <w:rPr>
                <w:b/>
                <w:bCs/>
                <w:sz w:val="20"/>
                <w:szCs w:val="20"/>
                <w:lang w:val="pt-PT"/>
              </w:rPr>
              <w:t>Macroactividades</w:t>
            </w:r>
            <w:proofErr w:type="spellEnd"/>
          </w:p>
        </w:tc>
        <w:tc>
          <w:tcPr>
            <w:tcW w:w="1530" w:type="dxa"/>
          </w:tcPr>
          <w:p w14:paraId="06A4B360" w14:textId="77777777" w:rsidR="00F638C3" w:rsidRPr="00292532" w:rsidRDefault="00F638C3" w:rsidP="00F638C3">
            <w:pPr>
              <w:rPr>
                <w:b/>
                <w:bCs/>
                <w:sz w:val="20"/>
                <w:szCs w:val="20"/>
                <w:lang w:val="pt-PT"/>
              </w:rPr>
            </w:pPr>
            <w:r w:rsidRPr="00292532">
              <w:rPr>
                <w:b/>
                <w:bCs/>
                <w:sz w:val="20"/>
                <w:szCs w:val="20"/>
                <w:lang w:val="pt-PT"/>
              </w:rPr>
              <w:t>Status de Implementação (no iniciado, em progresso/concluído)</w:t>
            </w:r>
          </w:p>
        </w:tc>
        <w:tc>
          <w:tcPr>
            <w:tcW w:w="2070" w:type="dxa"/>
          </w:tcPr>
          <w:p w14:paraId="77822990" w14:textId="77777777" w:rsidR="00F638C3" w:rsidRPr="00292532" w:rsidRDefault="00F638C3" w:rsidP="00F638C3">
            <w:pPr>
              <w:rPr>
                <w:b/>
                <w:bCs/>
                <w:sz w:val="20"/>
                <w:szCs w:val="20"/>
                <w:lang w:val="pt-PT"/>
              </w:rPr>
            </w:pPr>
            <w:r w:rsidRPr="00292532">
              <w:rPr>
                <w:b/>
                <w:bCs/>
                <w:sz w:val="20"/>
                <w:szCs w:val="20"/>
                <w:lang w:val="pt-PT"/>
              </w:rPr>
              <w:t>Conformidade com o PGAS (SIM/NÃO/PARCIAL)</w:t>
            </w:r>
          </w:p>
        </w:tc>
        <w:tc>
          <w:tcPr>
            <w:tcW w:w="1890" w:type="dxa"/>
          </w:tcPr>
          <w:p w14:paraId="57816249" w14:textId="77777777" w:rsidR="00F638C3" w:rsidRPr="00292532" w:rsidRDefault="00F638C3" w:rsidP="00F638C3">
            <w:pPr>
              <w:rPr>
                <w:b/>
                <w:bCs/>
                <w:sz w:val="20"/>
                <w:szCs w:val="20"/>
                <w:lang w:val="pt-PT"/>
              </w:rPr>
            </w:pPr>
            <w:r w:rsidRPr="00292532">
              <w:rPr>
                <w:b/>
                <w:bCs/>
                <w:sz w:val="20"/>
                <w:szCs w:val="20"/>
                <w:lang w:val="pt-PT"/>
              </w:rPr>
              <w:t>Conformidade com os requisitos de saúde e segurança e higiene (SIM/NÃO/PARCIAL</w:t>
            </w:r>
          </w:p>
        </w:tc>
        <w:tc>
          <w:tcPr>
            <w:tcW w:w="1800" w:type="dxa"/>
          </w:tcPr>
          <w:p w14:paraId="19A476CB" w14:textId="77777777" w:rsidR="00F638C3" w:rsidRPr="00292532" w:rsidRDefault="00F638C3" w:rsidP="00F638C3">
            <w:pPr>
              <w:rPr>
                <w:b/>
                <w:bCs/>
                <w:sz w:val="20"/>
                <w:szCs w:val="20"/>
                <w:lang w:val="pt-PT"/>
              </w:rPr>
            </w:pPr>
            <w:r w:rsidRPr="00292532">
              <w:rPr>
                <w:b/>
                <w:bCs/>
                <w:sz w:val="20"/>
                <w:szCs w:val="20"/>
                <w:lang w:val="pt-PT"/>
              </w:rPr>
              <w:t>Observações</w:t>
            </w:r>
          </w:p>
        </w:tc>
      </w:tr>
      <w:tr w:rsidR="00F638C3" w:rsidRPr="00292532" w14:paraId="2F56E247" w14:textId="77777777" w:rsidTr="00F638C3">
        <w:tc>
          <w:tcPr>
            <w:tcW w:w="2155" w:type="dxa"/>
          </w:tcPr>
          <w:p w14:paraId="7A4D0635" w14:textId="77777777" w:rsidR="00F638C3" w:rsidRPr="00292532" w:rsidRDefault="00F638C3" w:rsidP="00F638C3">
            <w:pPr>
              <w:rPr>
                <w:sz w:val="20"/>
                <w:szCs w:val="20"/>
                <w:lang w:val="pt-PT"/>
              </w:rPr>
            </w:pPr>
          </w:p>
        </w:tc>
        <w:tc>
          <w:tcPr>
            <w:tcW w:w="1530" w:type="dxa"/>
          </w:tcPr>
          <w:p w14:paraId="77F42346" w14:textId="77777777" w:rsidR="00F638C3" w:rsidRPr="00292532" w:rsidRDefault="00F638C3" w:rsidP="00F638C3">
            <w:pPr>
              <w:rPr>
                <w:sz w:val="20"/>
                <w:szCs w:val="20"/>
                <w:lang w:val="pt-PT"/>
              </w:rPr>
            </w:pPr>
          </w:p>
        </w:tc>
        <w:tc>
          <w:tcPr>
            <w:tcW w:w="2070" w:type="dxa"/>
          </w:tcPr>
          <w:p w14:paraId="6BFA36BA" w14:textId="77777777" w:rsidR="00F638C3" w:rsidRPr="00292532" w:rsidRDefault="00F638C3" w:rsidP="00F638C3">
            <w:pPr>
              <w:rPr>
                <w:sz w:val="20"/>
                <w:szCs w:val="20"/>
                <w:lang w:val="pt-PT"/>
              </w:rPr>
            </w:pPr>
          </w:p>
        </w:tc>
        <w:tc>
          <w:tcPr>
            <w:tcW w:w="1890" w:type="dxa"/>
          </w:tcPr>
          <w:p w14:paraId="791278F9" w14:textId="77777777" w:rsidR="00F638C3" w:rsidRPr="00292532" w:rsidRDefault="00F638C3" w:rsidP="00F638C3">
            <w:pPr>
              <w:rPr>
                <w:sz w:val="20"/>
                <w:szCs w:val="20"/>
                <w:lang w:val="pt-PT"/>
              </w:rPr>
            </w:pPr>
          </w:p>
        </w:tc>
        <w:tc>
          <w:tcPr>
            <w:tcW w:w="1800" w:type="dxa"/>
          </w:tcPr>
          <w:p w14:paraId="54B7EEF4" w14:textId="77777777" w:rsidR="00F638C3" w:rsidRPr="00292532" w:rsidRDefault="00F638C3" w:rsidP="00F638C3">
            <w:pPr>
              <w:rPr>
                <w:sz w:val="20"/>
                <w:szCs w:val="20"/>
                <w:lang w:val="pt-PT"/>
              </w:rPr>
            </w:pPr>
          </w:p>
        </w:tc>
      </w:tr>
      <w:tr w:rsidR="00F638C3" w:rsidRPr="00292532" w14:paraId="0F8BE7F8" w14:textId="77777777" w:rsidTr="00F638C3">
        <w:tc>
          <w:tcPr>
            <w:tcW w:w="2155" w:type="dxa"/>
          </w:tcPr>
          <w:p w14:paraId="33339D41" w14:textId="77777777" w:rsidR="00F638C3" w:rsidRPr="00292532" w:rsidRDefault="00F638C3" w:rsidP="00F638C3">
            <w:pPr>
              <w:rPr>
                <w:sz w:val="20"/>
                <w:szCs w:val="20"/>
                <w:lang w:val="pt-PT"/>
              </w:rPr>
            </w:pPr>
          </w:p>
        </w:tc>
        <w:tc>
          <w:tcPr>
            <w:tcW w:w="1530" w:type="dxa"/>
          </w:tcPr>
          <w:p w14:paraId="5E2489D3" w14:textId="77777777" w:rsidR="00F638C3" w:rsidRPr="00292532" w:rsidRDefault="00F638C3" w:rsidP="00F638C3">
            <w:pPr>
              <w:rPr>
                <w:sz w:val="20"/>
                <w:szCs w:val="20"/>
                <w:lang w:val="pt-PT"/>
              </w:rPr>
            </w:pPr>
          </w:p>
        </w:tc>
        <w:tc>
          <w:tcPr>
            <w:tcW w:w="2070" w:type="dxa"/>
          </w:tcPr>
          <w:p w14:paraId="3AC83ADF" w14:textId="77777777" w:rsidR="00F638C3" w:rsidRPr="00292532" w:rsidRDefault="00F638C3" w:rsidP="00F638C3">
            <w:pPr>
              <w:rPr>
                <w:sz w:val="20"/>
                <w:szCs w:val="20"/>
                <w:lang w:val="pt-PT"/>
              </w:rPr>
            </w:pPr>
          </w:p>
        </w:tc>
        <w:tc>
          <w:tcPr>
            <w:tcW w:w="1890" w:type="dxa"/>
          </w:tcPr>
          <w:p w14:paraId="2E8740F9" w14:textId="77777777" w:rsidR="00F638C3" w:rsidRPr="00292532" w:rsidRDefault="00F638C3" w:rsidP="00F638C3">
            <w:pPr>
              <w:rPr>
                <w:sz w:val="20"/>
                <w:szCs w:val="20"/>
                <w:lang w:val="pt-PT"/>
              </w:rPr>
            </w:pPr>
          </w:p>
        </w:tc>
        <w:tc>
          <w:tcPr>
            <w:tcW w:w="1800" w:type="dxa"/>
          </w:tcPr>
          <w:p w14:paraId="15D460A2" w14:textId="77777777" w:rsidR="00F638C3" w:rsidRPr="00292532" w:rsidRDefault="00F638C3" w:rsidP="00F638C3">
            <w:pPr>
              <w:rPr>
                <w:sz w:val="20"/>
                <w:szCs w:val="20"/>
                <w:lang w:val="pt-PT"/>
              </w:rPr>
            </w:pPr>
          </w:p>
        </w:tc>
      </w:tr>
      <w:tr w:rsidR="00F638C3" w:rsidRPr="00292532" w14:paraId="30443690" w14:textId="77777777" w:rsidTr="00F638C3">
        <w:tc>
          <w:tcPr>
            <w:tcW w:w="2155" w:type="dxa"/>
          </w:tcPr>
          <w:p w14:paraId="054EC2A7" w14:textId="77777777" w:rsidR="00F638C3" w:rsidRPr="00292532" w:rsidRDefault="00F638C3" w:rsidP="00F638C3">
            <w:pPr>
              <w:rPr>
                <w:sz w:val="20"/>
                <w:szCs w:val="20"/>
                <w:lang w:val="pt-PT"/>
              </w:rPr>
            </w:pPr>
          </w:p>
        </w:tc>
        <w:tc>
          <w:tcPr>
            <w:tcW w:w="1530" w:type="dxa"/>
          </w:tcPr>
          <w:p w14:paraId="398E44EE" w14:textId="77777777" w:rsidR="00F638C3" w:rsidRPr="00292532" w:rsidRDefault="00F638C3" w:rsidP="00F638C3">
            <w:pPr>
              <w:rPr>
                <w:sz w:val="20"/>
                <w:szCs w:val="20"/>
                <w:lang w:val="pt-PT"/>
              </w:rPr>
            </w:pPr>
          </w:p>
        </w:tc>
        <w:tc>
          <w:tcPr>
            <w:tcW w:w="2070" w:type="dxa"/>
          </w:tcPr>
          <w:p w14:paraId="21F72425" w14:textId="77777777" w:rsidR="00F638C3" w:rsidRPr="00292532" w:rsidRDefault="00F638C3" w:rsidP="00F638C3">
            <w:pPr>
              <w:rPr>
                <w:sz w:val="20"/>
                <w:szCs w:val="20"/>
                <w:lang w:val="pt-PT"/>
              </w:rPr>
            </w:pPr>
          </w:p>
        </w:tc>
        <w:tc>
          <w:tcPr>
            <w:tcW w:w="1890" w:type="dxa"/>
          </w:tcPr>
          <w:p w14:paraId="2132766F" w14:textId="77777777" w:rsidR="00F638C3" w:rsidRPr="00292532" w:rsidRDefault="00F638C3" w:rsidP="00F638C3">
            <w:pPr>
              <w:rPr>
                <w:sz w:val="20"/>
                <w:szCs w:val="20"/>
                <w:lang w:val="pt-PT"/>
              </w:rPr>
            </w:pPr>
          </w:p>
        </w:tc>
        <w:tc>
          <w:tcPr>
            <w:tcW w:w="1800" w:type="dxa"/>
          </w:tcPr>
          <w:p w14:paraId="27F655BF" w14:textId="77777777" w:rsidR="00F638C3" w:rsidRPr="00292532" w:rsidRDefault="00F638C3" w:rsidP="00F638C3">
            <w:pPr>
              <w:rPr>
                <w:sz w:val="20"/>
                <w:szCs w:val="20"/>
                <w:lang w:val="pt-PT"/>
              </w:rPr>
            </w:pPr>
          </w:p>
        </w:tc>
      </w:tr>
      <w:tr w:rsidR="00F638C3" w:rsidRPr="00292532" w14:paraId="295BAE64" w14:textId="77777777" w:rsidTr="00F638C3">
        <w:tc>
          <w:tcPr>
            <w:tcW w:w="2155" w:type="dxa"/>
          </w:tcPr>
          <w:p w14:paraId="43EDF24D" w14:textId="77777777" w:rsidR="00F638C3" w:rsidRPr="00292532" w:rsidRDefault="00F638C3" w:rsidP="00F638C3">
            <w:pPr>
              <w:rPr>
                <w:sz w:val="20"/>
                <w:szCs w:val="20"/>
                <w:lang w:val="pt-PT"/>
              </w:rPr>
            </w:pPr>
          </w:p>
        </w:tc>
        <w:tc>
          <w:tcPr>
            <w:tcW w:w="1530" w:type="dxa"/>
          </w:tcPr>
          <w:p w14:paraId="1A755276" w14:textId="77777777" w:rsidR="00F638C3" w:rsidRPr="00292532" w:rsidRDefault="00F638C3" w:rsidP="00F638C3">
            <w:pPr>
              <w:rPr>
                <w:sz w:val="20"/>
                <w:szCs w:val="20"/>
                <w:lang w:val="pt-PT"/>
              </w:rPr>
            </w:pPr>
          </w:p>
        </w:tc>
        <w:tc>
          <w:tcPr>
            <w:tcW w:w="2070" w:type="dxa"/>
          </w:tcPr>
          <w:p w14:paraId="21E92E38" w14:textId="77777777" w:rsidR="00F638C3" w:rsidRPr="00292532" w:rsidRDefault="00F638C3" w:rsidP="00F638C3">
            <w:pPr>
              <w:rPr>
                <w:sz w:val="20"/>
                <w:szCs w:val="20"/>
                <w:lang w:val="pt-PT"/>
              </w:rPr>
            </w:pPr>
          </w:p>
        </w:tc>
        <w:tc>
          <w:tcPr>
            <w:tcW w:w="1890" w:type="dxa"/>
          </w:tcPr>
          <w:p w14:paraId="099EDA69" w14:textId="77777777" w:rsidR="00F638C3" w:rsidRPr="00292532" w:rsidRDefault="00F638C3" w:rsidP="00F638C3">
            <w:pPr>
              <w:rPr>
                <w:sz w:val="20"/>
                <w:szCs w:val="20"/>
                <w:lang w:val="pt-PT"/>
              </w:rPr>
            </w:pPr>
          </w:p>
        </w:tc>
        <w:tc>
          <w:tcPr>
            <w:tcW w:w="1800" w:type="dxa"/>
          </w:tcPr>
          <w:p w14:paraId="2E2DAD3C" w14:textId="77777777" w:rsidR="00F638C3" w:rsidRPr="00292532" w:rsidRDefault="00F638C3" w:rsidP="00F638C3">
            <w:pPr>
              <w:rPr>
                <w:sz w:val="20"/>
                <w:szCs w:val="20"/>
                <w:lang w:val="pt-PT"/>
              </w:rPr>
            </w:pPr>
          </w:p>
        </w:tc>
      </w:tr>
      <w:tr w:rsidR="00F638C3" w:rsidRPr="00292532" w14:paraId="718C3387" w14:textId="77777777" w:rsidTr="00F638C3">
        <w:tc>
          <w:tcPr>
            <w:tcW w:w="2155" w:type="dxa"/>
          </w:tcPr>
          <w:p w14:paraId="3D3DF2C4" w14:textId="77777777" w:rsidR="00F638C3" w:rsidRPr="00292532" w:rsidRDefault="00F638C3" w:rsidP="00F638C3">
            <w:pPr>
              <w:rPr>
                <w:sz w:val="20"/>
                <w:szCs w:val="20"/>
                <w:lang w:val="pt-PT"/>
              </w:rPr>
            </w:pPr>
          </w:p>
        </w:tc>
        <w:tc>
          <w:tcPr>
            <w:tcW w:w="1530" w:type="dxa"/>
          </w:tcPr>
          <w:p w14:paraId="0C972B23" w14:textId="77777777" w:rsidR="00F638C3" w:rsidRPr="00292532" w:rsidRDefault="00F638C3" w:rsidP="00F638C3">
            <w:pPr>
              <w:rPr>
                <w:sz w:val="20"/>
                <w:szCs w:val="20"/>
                <w:lang w:val="pt-PT"/>
              </w:rPr>
            </w:pPr>
          </w:p>
        </w:tc>
        <w:tc>
          <w:tcPr>
            <w:tcW w:w="2070" w:type="dxa"/>
          </w:tcPr>
          <w:p w14:paraId="1E5EA0B4" w14:textId="77777777" w:rsidR="00F638C3" w:rsidRPr="00292532" w:rsidRDefault="00F638C3" w:rsidP="00F638C3">
            <w:pPr>
              <w:rPr>
                <w:sz w:val="20"/>
                <w:szCs w:val="20"/>
                <w:lang w:val="pt-PT"/>
              </w:rPr>
            </w:pPr>
          </w:p>
        </w:tc>
        <w:tc>
          <w:tcPr>
            <w:tcW w:w="1890" w:type="dxa"/>
          </w:tcPr>
          <w:p w14:paraId="2F47DBB4" w14:textId="77777777" w:rsidR="00F638C3" w:rsidRPr="00292532" w:rsidRDefault="00F638C3" w:rsidP="00F638C3">
            <w:pPr>
              <w:rPr>
                <w:sz w:val="20"/>
                <w:szCs w:val="20"/>
                <w:lang w:val="pt-PT"/>
              </w:rPr>
            </w:pPr>
          </w:p>
        </w:tc>
        <w:tc>
          <w:tcPr>
            <w:tcW w:w="1800" w:type="dxa"/>
          </w:tcPr>
          <w:p w14:paraId="72C458B6" w14:textId="77777777" w:rsidR="00F638C3" w:rsidRPr="00292532" w:rsidRDefault="00F638C3" w:rsidP="00F638C3">
            <w:pPr>
              <w:rPr>
                <w:sz w:val="20"/>
                <w:szCs w:val="20"/>
                <w:lang w:val="pt-PT"/>
              </w:rPr>
            </w:pPr>
          </w:p>
        </w:tc>
      </w:tr>
      <w:tr w:rsidR="00F638C3" w:rsidRPr="00292532" w14:paraId="011CC24B" w14:textId="77777777" w:rsidTr="00F638C3">
        <w:tc>
          <w:tcPr>
            <w:tcW w:w="2155" w:type="dxa"/>
          </w:tcPr>
          <w:p w14:paraId="2AA1B429" w14:textId="77777777" w:rsidR="00F638C3" w:rsidRPr="00292532" w:rsidRDefault="00F638C3" w:rsidP="00F638C3">
            <w:pPr>
              <w:rPr>
                <w:sz w:val="20"/>
                <w:szCs w:val="20"/>
                <w:lang w:val="pt-PT"/>
              </w:rPr>
            </w:pPr>
          </w:p>
        </w:tc>
        <w:tc>
          <w:tcPr>
            <w:tcW w:w="1530" w:type="dxa"/>
          </w:tcPr>
          <w:p w14:paraId="188954F3" w14:textId="77777777" w:rsidR="00F638C3" w:rsidRPr="00292532" w:rsidRDefault="00F638C3" w:rsidP="00F638C3">
            <w:pPr>
              <w:rPr>
                <w:sz w:val="20"/>
                <w:szCs w:val="20"/>
                <w:lang w:val="pt-PT"/>
              </w:rPr>
            </w:pPr>
          </w:p>
        </w:tc>
        <w:tc>
          <w:tcPr>
            <w:tcW w:w="2070" w:type="dxa"/>
          </w:tcPr>
          <w:p w14:paraId="678CAFC3" w14:textId="77777777" w:rsidR="00F638C3" w:rsidRPr="00292532" w:rsidRDefault="00F638C3" w:rsidP="00F638C3">
            <w:pPr>
              <w:rPr>
                <w:sz w:val="20"/>
                <w:szCs w:val="20"/>
                <w:lang w:val="pt-PT"/>
              </w:rPr>
            </w:pPr>
          </w:p>
        </w:tc>
        <w:tc>
          <w:tcPr>
            <w:tcW w:w="1890" w:type="dxa"/>
          </w:tcPr>
          <w:p w14:paraId="1B3FC29B" w14:textId="77777777" w:rsidR="00F638C3" w:rsidRPr="00292532" w:rsidRDefault="00F638C3" w:rsidP="00F638C3">
            <w:pPr>
              <w:rPr>
                <w:sz w:val="20"/>
                <w:szCs w:val="20"/>
                <w:lang w:val="pt-PT"/>
              </w:rPr>
            </w:pPr>
          </w:p>
        </w:tc>
        <w:tc>
          <w:tcPr>
            <w:tcW w:w="1800" w:type="dxa"/>
          </w:tcPr>
          <w:p w14:paraId="781963F6" w14:textId="77777777" w:rsidR="00F638C3" w:rsidRPr="00292532" w:rsidRDefault="00F638C3" w:rsidP="00F638C3">
            <w:pPr>
              <w:rPr>
                <w:sz w:val="20"/>
                <w:szCs w:val="20"/>
                <w:lang w:val="pt-PT"/>
              </w:rPr>
            </w:pPr>
          </w:p>
        </w:tc>
      </w:tr>
      <w:tr w:rsidR="00F638C3" w:rsidRPr="00292532" w14:paraId="6D6F76BE" w14:textId="77777777" w:rsidTr="00F638C3">
        <w:tc>
          <w:tcPr>
            <w:tcW w:w="2155" w:type="dxa"/>
          </w:tcPr>
          <w:p w14:paraId="47565657" w14:textId="77777777" w:rsidR="00F638C3" w:rsidRPr="00292532" w:rsidRDefault="00F638C3" w:rsidP="00F638C3">
            <w:pPr>
              <w:rPr>
                <w:sz w:val="20"/>
                <w:szCs w:val="20"/>
                <w:lang w:val="pt-PT"/>
              </w:rPr>
            </w:pPr>
          </w:p>
        </w:tc>
        <w:tc>
          <w:tcPr>
            <w:tcW w:w="1530" w:type="dxa"/>
          </w:tcPr>
          <w:p w14:paraId="563B300E" w14:textId="77777777" w:rsidR="00F638C3" w:rsidRPr="00292532" w:rsidRDefault="00F638C3" w:rsidP="00F638C3">
            <w:pPr>
              <w:rPr>
                <w:sz w:val="20"/>
                <w:szCs w:val="20"/>
                <w:lang w:val="pt-PT"/>
              </w:rPr>
            </w:pPr>
          </w:p>
        </w:tc>
        <w:tc>
          <w:tcPr>
            <w:tcW w:w="2070" w:type="dxa"/>
          </w:tcPr>
          <w:p w14:paraId="37AF7655" w14:textId="77777777" w:rsidR="00F638C3" w:rsidRPr="00292532" w:rsidRDefault="00F638C3" w:rsidP="00F638C3">
            <w:pPr>
              <w:rPr>
                <w:sz w:val="20"/>
                <w:szCs w:val="20"/>
                <w:lang w:val="pt-PT"/>
              </w:rPr>
            </w:pPr>
          </w:p>
        </w:tc>
        <w:tc>
          <w:tcPr>
            <w:tcW w:w="1890" w:type="dxa"/>
          </w:tcPr>
          <w:p w14:paraId="615B6E46" w14:textId="77777777" w:rsidR="00F638C3" w:rsidRPr="00292532" w:rsidRDefault="00F638C3" w:rsidP="00F638C3">
            <w:pPr>
              <w:rPr>
                <w:sz w:val="20"/>
                <w:szCs w:val="20"/>
                <w:lang w:val="pt-PT"/>
              </w:rPr>
            </w:pPr>
          </w:p>
        </w:tc>
        <w:tc>
          <w:tcPr>
            <w:tcW w:w="1800" w:type="dxa"/>
          </w:tcPr>
          <w:p w14:paraId="0BA253A4" w14:textId="77777777" w:rsidR="00F638C3" w:rsidRPr="00292532" w:rsidRDefault="00F638C3" w:rsidP="00F638C3">
            <w:pPr>
              <w:rPr>
                <w:sz w:val="20"/>
                <w:szCs w:val="20"/>
                <w:lang w:val="pt-PT"/>
              </w:rPr>
            </w:pPr>
          </w:p>
        </w:tc>
      </w:tr>
      <w:tr w:rsidR="00F638C3" w:rsidRPr="00292532" w14:paraId="0D0EE845" w14:textId="77777777" w:rsidTr="00F638C3">
        <w:tc>
          <w:tcPr>
            <w:tcW w:w="2155" w:type="dxa"/>
          </w:tcPr>
          <w:p w14:paraId="682B51C1" w14:textId="77777777" w:rsidR="00F638C3" w:rsidRPr="00292532" w:rsidRDefault="00F638C3" w:rsidP="00F638C3">
            <w:pPr>
              <w:rPr>
                <w:sz w:val="20"/>
                <w:szCs w:val="20"/>
                <w:lang w:val="pt-PT"/>
              </w:rPr>
            </w:pPr>
          </w:p>
        </w:tc>
        <w:tc>
          <w:tcPr>
            <w:tcW w:w="1530" w:type="dxa"/>
          </w:tcPr>
          <w:p w14:paraId="60EC4755" w14:textId="77777777" w:rsidR="00F638C3" w:rsidRPr="00292532" w:rsidRDefault="00F638C3" w:rsidP="00F638C3">
            <w:pPr>
              <w:rPr>
                <w:sz w:val="20"/>
                <w:szCs w:val="20"/>
                <w:lang w:val="pt-PT"/>
              </w:rPr>
            </w:pPr>
          </w:p>
        </w:tc>
        <w:tc>
          <w:tcPr>
            <w:tcW w:w="2070" w:type="dxa"/>
          </w:tcPr>
          <w:p w14:paraId="63796922" w14:textId="77777777" w:rsidR="00F638C3" w:rsidRPr="00292532" w:rsidRDefault="00F638C3" w:rsidP="00F638C3">
            <w:pPr>
              <w:rPr>
                <w:sz w:val="20"/>
                <w:szCs w:val="20"/>
                <w:lang w:val="pt-PT"/>
              </w:rPr>
            </w:pPr>
          </w:p>
        </w:tc>
        <w:tc>
          <w:tcPr>
            <w:tcW w:w="1890" w:type="dxa"/>
          </w:tcPr>
          <w:p w14:paraId="43C334B6" w14:textId="77777777" w:rsidR="00F638C3" w:rsidRPr="00292532" w:rsidRDefault="00F638C3" w:rsidP="00F638C3">
            <w:pPr>
              <w:rPr>
                <w:sz w:val="20"/>
                <w:szCs w:val="20"/>
                <w:lang w:val="pt-PT"/>
              </w:rPr>
            </w:pPr>
          </w:p>
        </w:tc>
        <w:tc>
          <w:tcPr>
            <w:tcW w:w="1800" w:type="dxa"/>
          </w:tcPr>
          <w:p w14:paraId="32CA1185" w14:textId="77777777" w:rsidR="00F638C3" w:rsidRPr="00292532" w:rsidRDefault="00F638C3" w:rsidP="00F638C3">
            <w:pPr>
              <w:rPr>
                <w:sz w:val="20"/>
                <w:szCs w:val="20"/>
                <w:lang w:val="pt-PT"/>
              </w:rPr>
            </w:pPr>
          </w:p>
        </w:tc>
      </w:tr>
      <w:tr w:rsidR="00F638C3" w:rsidRPr="008D18CF" w14:paraId="3B1A6C16" w14:textId="77777777" w:rsidTr="00F638C3">
        <w:tc>
          <w:tcPr>
            <w:tcW w:w="9445" w:type="dxa"/>
            <w:gridSpan w:val="5"/>
          </w:tcPr>
          <w:p w14:paraId="0FF16773" w14:textId="77777777" w:rsidR="00F638C3" w:rsidRPr="00292532" w:rsidRDefault="00F638C3" w:rsidP="00F638C3">
            <w:pPr>
              <w:rPr>
                <w:b/>
                <w:bCs/>
                <w:sz w:val="20"/>
                <w:szCs w:val="20"/>
                <w:lang w:val="pt-PT"/>
              </w:rPr>
            </w:pPr>
            <w:r w:rsidRPr="00292532">
              <w:rPr>
                <w:b/>
                <w:bCs/>
                <w:sz w:val="20"/>
                <w:szCs w:val="20"/>
                <w:lang w:val="pt-PT"/>
              </w:rPr>
              <w:t xml:space="preserve">Comentários sobre o desempenho geral do </w:t>
            </w:r>
            <w:proofErr w:type="spellStart"/>
            <w:r w:rsidRPr="00292532">
              <w:rPr>
                <w:b/>
                <w:bCs/>
                <w:sz w:val="20"/>
                <w:szCs w:val="20"/>
                <w:lang w:val="pt-PT"/>
              </w:rPr>
              <w:t>Projecto</w:t>
            </w:r>
            <w:proofErr w:type="spellEnd"/>
            <w:r w:rsidRPr="00292532">
              <w:rPr>
                <w:b/>
                <w:bCs/>
                <w:sz w:val="20"/>
                <w:szCs w:val="20"/>
                <w:lang w:val="pt-PT"/>
              </w:rPr>
              <w:t xml:space="preserve"> durante o ano</w:t>
            </w:r>
          </w:p>
        </w:tc>
      </w:tr>
      <w:tr w:rsidR="00F638C3" w:rsidRPr="008D18CF" w14:paraId="531CD8E3" w14:textId="77777777" w:rsidTr="00F638C3">
        <w:tc>
          <w:tcPr>
            <w:tcW w:w="9445" w:type="dxa"/>
            <w:gridSpan w:val="5"/>
          </w:tcPr>
          <w:p w14:paraId="7FB16281" w14:textId="77777777" w:rsidR="00F638C3" w:rsidRPr="00292532" w:rsidRDefault="00F638C3" w:rsidP="00F638C3">
            <w:pPr>
              <w:rPr>
                <w:sz w:val="20"/>
                <w:szCs w:val="20"/>
                <w:lang w:val="pt-PT"/>
              </w:rPr>
            </w:pPr>
          </w:p>
        </w:tc>
      </w:tr>
    </w:tbl>
    <w:p w14:paraId="14B95735" w14:textId="77777777" w:rsidR="00F638C3" w:rsidRPr="00292532" w:rsidRDefault="00F638C3" w:rsidP="00F638C3">
      <w:pPr>
        <w:rPr>
          <w:b/>
          <w:bCs/>
          <w:lang w:val="pt-PT"/>
        </w:rPr>
      </w:pPr>
      <w:r w:rsidRPr="00292532">
        <w:rPr>
          <w:b/>
          <w:bCs/>
          <w:lang w:val="pt-PT"/>
        </w:rPr>
        <w:br w:type="page"/>
      </w:r>
    </w:p>
    <w:p w14:paraId="25533E75" w14:textId="68E23090" w:rsidR="00F638C3" w:rsidRPr="00292532" w:rsidRDefault="00F638C3" w:rsidP="00F638C3">
      <w:pPr>
        <w:rPr>
          <w:b/>
          <w:bCs/>
          <w:lang w:val="pt-PT"/>
        </w:rPr>
      </w:pPr>
      <w:r w:rsidRPr="00292532">
        <w:rPr>
          <w:b/>
          <w:bCs/>
          <w:lang w:val="pt-PT"/>
        </w:rPr>
        <w:lastRenderedPageBreak/>
        <w:t>Secção C</w:t>
      </w:r>
      <w:r w:rsidR="00C65CB1" w:rsidRPr="00292532">
        <w:rPr>
          <w:b/>
          <w:bCs/>
          <w:lang w:val="pt-PT"/>
        </w:rPr>
        <w:t>1</w:t>
      </w:r>
      <w:r w:rsidRPr="00292532">
        <w:rPr>
          <w:b/>
          <w:bCs/>
          <w:lang w:val="pt-PT"/>
        </w:rPr>
        <w:t xml:space="preserve"> Dados Quantitativos de Desempenho </w:t>
      </w:r>
    </w:p>
    <w:tbl>
      <w:tblPr>
        <w:tblStyle w:val="PlainTable1"/>
        <w:tblW w:w="7645" w:type="dxa"/>
        <w:tblLook w:val="04A0" w:firstRow="1" w:lastRow="0" w:firstColumn="1" w:lastColumn="0" w:noHBand="0" w:noVBand="1"/>
      </w:tblPr>
      <w:tblGrid>
        <w:gridCol w:w="4115"/>
        <w:gridCol w:w="1910"/>
        <w:gridCol w:w="1620"/>
      </w:tblGrid>
      <w:tr w:rsidR="00F638C3" w:rsidRPr="00292532" w14:paraId="0421462C" w14:textId="77777777" w:rsidTr="00F638C3">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4115" w:type="dxa"/>
            <w:hideMark/>
          </w:tcPr>
          <w:p w14:paraId="058FDCCF" w14:textId="77777777" w:rsidR="00F638C3" w:rsidRPr="00292532" w:rsidRDefault="00F638C3" w:rsidP="00F638C3">
            <w:pPr>
              <w:spacing w:before="0"/>
              <w:jc w:val="center"/>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Indicador de Desempenho</w:t>
            </w:r>
          </w:p>
        </w:tc>
        <w:tc>
          <w:tcPr>
            <w:tcW w:w="1910" w:type="dxa"/>
            <w:noWrap/>
            <w:hideMark/>
          </w:tcPr>
          <w:p w14:paraId="7B169D8E" w14:textId="77777777" w:rsidR="00F638C3" w:rsidRPr="00292532" w:rsidRDefault="00F638C3" w:rsidP="00F638C3">
            <w:pPr>
              <w:spacing w:before="0"/>
              <w:ind w:firstLineChars="200" w:firstLine="402"/>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Unidade</w:t>
            </w:r>
          </w:p>
        </w:tc>
        <w:tc>
          <w:tcPr>
            <w:tcW w:w="1620" w:type="dxa"/>
            <w:noWrap/>
            <w:hideMark/>
          </w:tcPr>
          <w:p w14:paraId="2DA73ECF" w14:textId="77777777" w:rsidR="00F638C3" w:rsidRPr="00292532" w:rsidRDefault="00F638C3" w:rsidP="00F638C3">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r w:rsidRPr="00292532">
              <w:rPr>
                <w:rFonts w:asciiTheme="minorHAnsi" w:eastAsia="Times New Roman" w:hAnsiTheme="minorHAnsi" w:cstheme="minorHAnsi"/>
                <w:sz w:val="20"/>
                <w:szCs w:val="20"/>
                <w:lang w:val="pt-PT"/>
              </w:rPr>
              <w:t>Valor registado</w:t>
            </w:r>
          </w:p>
        </w:tc>
      </w:tr>
      <w:tr w:rsidR="00F638C3" w:rsidRPr="00292532" w14:paraId="5AA435D6" w14:textId="77777777" w:rsidTr="00F638C3">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4115" w:type="dxa"/>
          </w:tcPr>
          <w:p w14:paraId="0B8DB797" w14:textId="77777777" w:rsidR="00F638C3" w:rsidRPr="00292532" w:rsidRDefault="00F638C3" w:rsidP="00F638C3">
            <w:pPr>
              <w:spacing w:before="0"/>
              <w:jc w:val="center"/>
              <w:rPr>
                <w:rFonts w:asciiTheme="minorHAnsi" w:eastAsia="Times New Roman" w:hAnsiTheme="minorHAnsi" w:cstheme="minorHAnsi"/>
                <w:b w:val="0"/>
                <w:bCs w:val="0"/>
                <w:color w:val="000000"/>
                <w:sz w:val="20"/>
                <w:szCs w:val="20"/>
                <w:lang w:val="pt-PT"/>
              </w:rPr>
            </w:pPr>
            <w:r w:rsidRPr="00292532">
              <w:rPr>
                <w:rFonts w:asciiTheme="minorHAnsi" w:eastAsia="Times New Roman" w:hAnsiTheme="minorHAnsi" w:cstheme="minorHAnsi"/>
                <w:b w:val="0"/>
                <w:bCs w:val="0"/>
                <w:color w:val="000000"/>
                <w:sz w:val="20"/>
                <w:szCs w:val="20"/>
                <w:lang w:val="pt-PT"/>
              </w:rPr>
              <w:t>Volume de resíduos sólidos gerado</w:t>
            </w:r>
          </w:p>
        </w:tc>
        <w:tc>
          <w:tcPr>
            <w:tcW w:w="1910" w:type="dxa"/>
            <w:noWrap/>
          </w:tcPr>
          <w:p w14:paraId="56C8D8C5" w14:textId="77777777" w:rsidR="00F638C3" w:rsidRPr="00292532" w:rsidRDefault="00F638C3" w:rsidP="00F638C3">
            <w:pPr>
              <w:spacing w:before="0"/>
              <w:ind w:firstLineChars="200" w:firstLine="40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w:t>
            </w:r>
            <w:r w:rsidRPr="00292532">
              <w:rPr>
                <w:rFonts w:asciiTheme="minorHAnsi" w:eastAsia="Times New Roman" w:hAnsiTheme="minorHAnsi" w:cstheme="minorHAnsi"/>
                <w:color w:val="000000"/>
                <w:sz w:val="20"/>
                <w:szCs w:val="20"/>
                <w:vertAlign w:val="superscript"/>
                <w:lang w:val="pt-PT"/>
              </w:rPr>
              <w:t>3</w:t>
            </w:r>
          </w:p>
        </w:tc>
        <w:tc>
          <w:tcPr>
            <w:tcW w:w="1620" w:type="dxa"/>
            <w:noWrap/>
          </w:tcPr>
          <w:p w14:paraId="7230F141" w14:textId="77777777" w:rsidR="00F638C3" w:rsidRPr="00292532" w:rsidRDefault="00F638C3" w:rsidP="00F638C3">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pt-PT"/>
              </w:rPr>
            </w:pPr>
          </w:p>
        </w:tc>
      </w:tr>
      <w:tr w:rsidR="00F638C3" w:rsidRPr="00292532" w14:paraId="58903B36" w14:textId="77777777" w:rsidTr="00F638C3">
        <w:trPr>
          <w:trHeight w:val="540"/>
        </w:trPr>
        <w:tc>
          <w:tcPr>
            <w:cnfStyle w:val="001000000000" w:firstRow="0" w:lastRow="0" w:firstColumn="1" w:lastColumn="0" w:oddVBand="0" w:evenVBand="0" w:oddHBand="0" w:evenHBand="0" w:firstRowFirstColumn="0" w:firstRowLastColumn="0" w:lastRowFirstColumn="0" w:lastRowLastColumn="0"/>
            <w:tcW w:w="4115" w:type="dxa"/>
            <w:hideMark/>
          </w:tcPr>
          <w:p w14:paraId="68B229E2" w14:textId="77777777" w:rsidR="00F638C3" w:rsidRPr="00292532" w:rsidRDefault="00F638C3" w:rsidP="00F638C3">
            <w:pPr>
              <w:spacing w:before="0"/>
              <w:jc w:val="center"/>
              <w:rPr>
                <w:rFonts w:asciiTheme="minorHAnsi" w:eastAsia="Times New Roman" w:hAnsiTheme="minorHAnsi" w:cstheme="minorHAnsi"/>
                <w:b w:val="0"/>
                <w:bCs w:val="0"/>
                <w:color w:val="000000"/>
                <w:sz w:val="20"/>
                <w:szCs w:val="20"/>
                <w:lang w:val="pt-PT"/>
              </w:rPr>
            </w:pPr>
            <w:r w:rsidRPr="00292532">
              <w:rPr>
                <w:rFonts w:asciiTheme="minorHAnsi" w:eastAsia="Times New Roman" w:hAnsiTheme="minorHAnsi" w:cstheme="minorHAnsi"/>
                <w:b w:val="0"/>
                <w:bCs w:val="0"/>
                <w:color w:val="000000"/>
                <w:sz w:val="20"/>
                <w:szCs w:val="20"/>
                <w:lang w:val="pt-PT"/>
              </w:rPr>
              <w:t>Campanhas de consciencialização, treinamento e capacitação em Saúde e Segurança ambiental</w:t>
            </w:r>
          </w:p>
        </w:tc>
        <w:tc>
          <w:tcPr>
            <w:tcW w:w="1910" w:type="dxa"/>
            <w:noWrap/>
            <w:hideMark/>
          </w:tcPr>
          <w:p w14:paraId="15FDA676" w14:textId="77777777" w:rsidR="00F638C3" w:rsidRPr="00292532" w:rsidRDefault="00F638C3" w:rsidP="00F638C3">
            <w:pPr>
              <w:spacing w:before="0"/>
              <w:ind w:firstLineChars="200" w:firstLine="40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No.</w:t>
            </w:r>
          </w:p>
        </w:tc>
        <w:tc>
          <w:tcPr>
            <w:tcW w:w="1620" w:type="dxa"/>
            <w:noWrap/>
            <w:hideMark/>
          </w:tcPr>
          <w:p w14:paraId="3EE7AACC" w14:textId="77777777" w:rsidR="00F638C3" w:rsidRPr="00292532" w:rsidRDefault="00F638C3" w:rsidP="00F638C3">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p>
        </w:tc>
      </w:tr>
      <w:tr w:rsidR="00F638C3" w:rsidRPr="00292532" w14:paraId="059B7F67" w14:textId="77777777" w:rsidTr="00F638C3">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4115" w:type="dxa"/>
            <w:hideMark/>
          </w:tcPr>
          <w:p w14:paraId="303C5E0F" w14:textId="77777777" w:rsidR="00F638C3" w:rsidRPr="00292532" w:rsidRDefault="00F638C3" w:rsidP="00F638C3">
            <w:pPr>
              <w:spacing w:before="0"/>
              <w:jc w:val="center"/>
              <w:rPr>
                <w:rFonts w:asciiTheme="minorHAnsi" w:eastAsia="Times New Roman" w:hAnsiTheme="minorHAnsi" w:cstheme="minorHAnsi"/>
                <w:b w:val="0"/>
                <w:bCs w:val="0"/>
                <w:color w:val="000000"/>
                <w:sz w:val="20"/>
                <w:szCs w:val="20"/>
                <w:lang w:val="pt-PT"/>
              </w:rPr>
            </w:pPr>
            <w:r w:rsidRPr="00292532">
              <w:rPr>
                <w:rFonts w:asciiTheme="minorHAnsi" w:eastAsia="Times New Roman" w:hAnsiTheme="minorHAnsi" w:cstheme="minorHAnsi"/>
                <w:b w:val="0"/>
                <w:bCs w:val="0"/>
                <w:color w:val="000000"/>
                <w:sz w:val="20"/>
                <w:szCs w:val="20"/>
                <w:lang w:val="pt-PT"/>
              </w:rPr>
              <w:t>Número de queixas e reclamações registadas vs. resolvidas</w:t>
            </w:r>
          </w:p>
        </w:tc>
        <w:tc>
          <w:tcPr>
            <w:tcW w:w="1910" w:type="dxa"/>
            <w:noWrap/>
            <w:hideMark/>
          </w:tcPr>
          <w:p w14:paraId="16F13E51" w14:textId="77777777" w:rsidR="00F638C3" w:rsidRPr="00292532" w:rsidRDefault="00F638C3" w:rsidP="00F638C3">
            <w:pPr>
              <w:spacing w:before="0"/>
              <w:ind w:firstLineChars="200" w:firstLine="40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No.</w:t>
            </w:r>
          </w:p>
        </w:tc>
        <w:tc>
          <w:tcPr>
            <w:tcW w:w="1620" w:type="dxa"/>
            <w:noWrap/>
            <w:hideMark/>
          </w:tcPr>
          <w:p w14:paraId="3FF06D3C" w14:textId="77777777" w:rsidR="00F638C3" w:rsidRPr="00292532" w:rsidRDefault="00F638C3" w:rsidP="00F638C3">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pt-PT"/>
              </w:rPr>
            </w:pPr>
          </w:p>
        </w:tc>
      </w:tr>
      <w:tr w:rsidR="00F638C3" w:rsidRPr="00292532" w14:paraId="06329478" w14:textId="77777777" w:rsidTr="00F638C3">
        <w:trPr>
          <w:trHeight w:val="540"/>
        </w:trPr>
        <w:tc>
          <w:tcPr>
            <w:cnfStyle w:val="001000000000" w:firstRow="0" w:lastRow="0" w:firstColumn="1" w:lastColumn="0" w:oddVBand="0" w:evenVBand="0" w:oddHBand="0" w:evenHBand="0" w:firstRowFirstColumn="0" w:firstRowLastColumn="0" w:lastRowFirstColumn="0" w:lastRowLastColumn="0"/>
            <w:tcW w:w="4115" w:type="dxa"/>
            <w:hideMark/>
          </w:tcPr>
          <w:p w14:paraId="39733569" w14:textId="77777777" w:rsidR="00F638C3" w:rsidRPr="00292532" w:rsidRDefault="00F638C3" w:rsidP="00F638C3">
            <w:pPr>
              <w:spacing w:before="0"/>
              <w:jc w:val="center"/>
              <w:rPr>
                <w:rFonts w:asciiTheme="minorHAnsi" w:eastAsia="Times New Roman" w:hAnsiTheme="minorHAnsi" w:cstheme="minorHAnsi"/>
                <w:b w:val="0"/>
                <w:bCs w:val="0"/>
                <w:color w:val="000000"/>
                <w:sz w:val="20"/>
                <w:szCs w:val="20"/>
                <w:lang w:val="pt-PT"/>
              </w:rPr>
            </w:pPr>
            <w:r w:rsidRPr="00292532">
              <w:rPr>
                <w:rFonts w:asciiTheme="minorHAnsi" w:eastAsia="Times New Roman" w:hAnsiTheme="minorHAnsi" w:cstheme="minorHAnsi"/>
                <w:b w:val="0"/>
                <w:bCs w:val="0"/>
                <w:color w:val="000000"/>
                <w:sz w:val="20"/>
                <w:szCs w:val="20"/>
                <w:lang w:val="pt-PT"/>
              </w:rPr>
              <w:t>Reuniões de engajamento com as partes interessadas</w:t>
            </w:r>
          </w:p>
        </w:tc>
        <w:tc>
          <w:tcPr>
            <w:tcW w:w="1910" w:type="dxa"/>
            <w:noWrap/>
            <w:hideMark/>
          </w:tcPr>
          <w:p w14:paraId="13D4D051" w14:textId="77777777" w:rsidR="00F638C3" w:rsidRPr="00292532" w:rsidRDefault="00F638C3" w:rsidP="00F638C3">
            <w:pPr>
              <w:spacing w:before="0"/>
              <w:ind w:firstLineChars="200" w:firstLine="40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No.</w:t>
            </w:r>
          </w:p>
        </w:tc>
        <w:tc>
          <w:tcPr>
            <w:tcW w:w="1620" w:type="dxa"/>
            <w:noWrap/>
            <w:hideMark/>
          </w:tcPr>
          <w:p w14:paraId="66487EBA" w14:textId="77777777" w:rsidR="00F638C3" w:rsidRPr="00292532" w:rsidRDefault="00F638C3" w:rsidP="00F638C3">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p>
        </w:tc>
      </w:tr>
      <w:tr w:rsidR="00F638C3" w:rsidRPr="00292532" w14:paraId="40FDF91C" w14:textId="77777777" w:rsidTr="00F638C3">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4115" w:type="dxa"/>
            <w:hideMark/>
          </w:tcPr>
          <w:p w14:paraId="5D766C79" w14:textId="77777777" w:rsidR="00F638C3" w:rsidRPr="00292532" w:rsidRDefault="00F638C3" w:rsidP="00F638C3">
            <w:pPr>
              <w:spacing w:before="0"/>
              <w:jc w:val="center"/>
              <w:rPr>
                <w:rFonts w:asciiTheme="minorHAnsi" w:eastAsia="Times New Roman" w:hAnsiTheme="minorHAnsi" w:cstheme="minorHAnsi"/>
                <w:b w:val="0"/>
                <w:bCs w:val="0"/>
                <w:color w:val="000000"/>
                <w:sz w:val="20"/>
                <w:szCs w:val="20"/>
                <w:lang w:val="pt-PT"/>
              </w:rPr>
            </w:pPr>
            <w:r w:rsidRPr="00292532">
              <w:rPr>
                <w:rFonts w:asciiTheme="minorHAnsi" w:eastAsia="Times New Roman" w:hAnsiTheme="minorHAnsi" w:cstheme="minorHAnsi"/>
                <w:b w:val="0"/>
                <w:bCs w:val="0"/>
                <w:color w:val="000000"/>
                <w:sz w:val="20"/>
                <w:szCs w:val="20"/>
                <w:lang w:val="pt-PT"/>
              </w:rPr>
              <w:t>Postos de emprego criados na fase de construção</w:t>
            </w:r>
          </w:p>
        </w:tc>
        <w:tc>
          <w:tcPr>
            <w:tcW w:w="1910" w:type="dxa"/>
            <w:noWrap/>
            <w:hideMark/>
          </w:tcPr>
          <w:p w14:paraId="232C5698" w14:textId="77777777" w:rsidR="00F638C3" w:rsidRPr="00292532" w:rsidRDefault="00F638C3" w:rsidP="00F638C3">
            <w:pPr>
              <w:spacing w:before="0"/>
              <w:ind w:firstLineChars="200" w:firstLine="40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No.</w:t>
            </w:r>
          </w:p>
        </w:tc>
        <w:tc>
          <w:tcPr>
            <w:tcW w:w="1620" w:type="dxa"/>
            <w:noWrap/>
            <w:hideMark/>
          </w:tcPr>
          <w:p w14:paraId="7702C9A0" w14:textId="77777777" w:rsidR="00F638C3" w:rsidRPr="00292532" w:rsidRDefault="00F638C3" w:rsidP="00F638C3">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pt-PT"/>
              </w:rPr>
            </w:pPr>
          </w:p>
        </w:tc>
      </w:tr>
      <w:tr w:rsidR="00F638C3" w:rsidRPr="00292532" w14:paraId="2FC6BAA7" w14:textId="77777777" w:rsidTr="00F638C3">
        <w:trPr>
          <w:trHeight w:val="540"/>
        </w:trPr>
        <w:tc>
          <w:tcPr>
            <w:cnfStyle w:val="001000000000" w:firstRow="0" w:lastRow="0" w:firstColumn="1" w:lastColumn="0" w:oddVBand="0" w:evenVBand="0" w:oddHBand="0" w:evenHBand="0" w:firstRowFirstColumn="0" w:firstRowLastColumn="0" w:lastRowFirstColumn="0" w:lastRowLastColumn="0"/>
            <w:tcW w:w="4115" w:type="dxa"/>
            <w:hideMark/>
          </w:tcPr>
          <w:p w14:paraId="6A4A75EB" w14:textId="77777777" w:rsidR="00F638C3" w:rsidRPr="00292532" w:rsidRDefault="00F638C3" w:rsidP="00F638C3">
            <w:pPr>
              <w:spacing w:before="0"/>
              <w:jc w:val="center"/>
              <w:rPr>
                <w:rFonts w:asciiTheme="minorHAnsi" w:eastAsia="Times New Roman" w:hAnsiTheme="minorHAnsi" w:cstheme="minorHAnsi"/>
                <w:b w:val="0"/>
                <w:bCs w:val="0"/>
                <w:color w:val="000000"/>
                <w:sz w:val="20"/>
                <w:szCs w:val="20"/>
                <w:lang w:val="pt-PT"/>
              </w:rPr>
            </w:pPr>
            <w:r w:rsidRPr="00292532">
              <w:rPr>
                <w:rFonts w:asciiTheme="minorHAnsi" w:eastAsia="Times New Roman" w:hAnsiTheme="minorHAnsi" w:cstheme="minorHAnsi"/>
                <w:b w:val="0"/>
                <w:bCs w:val="0"/>
                <w:color w:val="000000"/>
                <w:sz w:val="20"/>
                <w:szCs w:val="20"/>
                <w:lang w:val="pt-PT"/>
              </w:rPr>
              <w:t>Treinamento e capacitação</w:t>
            </w:r>
          </w:p>
        </w:tc>
        <w:tc>
          <w:tcPr>
            <w:tcW w:w="1910" w:type="dxa"/>
            <w:noWrap/>
            <w:hideMark/>
          </w:tcPr>
          <w:p w14:paraId="459AB4E7" w14:textId="77777777" w:rsidR="00F638C3" w:rsidRPr="00292532" w:rsidRDefault="00F638C3" w:rsidP="00F638C3">
            <w:pPr>
              <w:spacing w:before="0"/>
              <w:ind w:firstLineChars="200" w:firstLine="40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No. de participantes</w:t>
            </w:r>
          </w:p>
        </w:tc>
        <w:tc>
          <w:tcPr>
            <w:tcW w:w="1620" w:type="dxa"/>
            <w:noWrap/>
            <w:hideMark/>
          </w:tcPr>
          <w:p w14:paraId="5B1AD769" w14:textId="77777777" w:rsidR="00F638C3" w:rsidRPr="00292532" w:rsidRDefault="00F638C3" w:rsidP="00F638C3">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p>
        </w:tc>
      </w:tr>
      <w:tr w:rsidR="00F638C3" w:rsidRPr="00292532" w14:paraId="275276C7" w14:textId="77777777" w:rsidTr="00F638C3">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4115" w:type="dxa"/>
            <w:hideMark/>
          </w:tcPr>
          <w:p w14:paraId="75F35488" w14:textId="77777777" w:rsidR="00F638C3" w:rsidRPr="00292532" w:rsidRDefault="00F638C3" w:rsidP="00F638C3">
            <w:pPr>
              <w:spacing w:before="0"/>
              <w:jc w:val="center"/>
              <w:rPr>
                <w:rFonts w:asciiTheme="minorHAnsi" w:eastAsia="Times New Roman" w:hAnsiTheme="minorHAnsi" w:cstheme="minorHAnsi"/>
                <w:b w:val="0"/>
                <w:bCs w:val="0"/>
                <w:color w:val="000000"/>
                <w:sz w:val="20"/>
                <w:szCs w:val="20"/>
                <w:lang w:val="pt-PT"/>
              </w:rPr>
            </w:pPr>
            <w:r w:rsidRPr="00292532">
              <w:rPr>
                <w:rFonts w:asciiTheme="minorHAnsi" w:eastAsia="Times New Roman" w:hAnsiTheme="minorHAnsi" w:cstheme="minorHAnsi"/>
                <w:b w:val="0"/>
                <w:bCs w:val="0"/>
                <w:color w:val="000000"/>
                <w:sz w:val="20"/>
                <w:szCs w:val="20"/>
                <w:lang w:val="pt-PT"/>
              </w:rPr>
              <w:t>Acidentes (lesões, doenças, danos materiais) e quase acidentes, tempo perdido, frequência das lesões, incidência e índice de gravidade</w:t>
            </w:r>
          </w:p>
        </w:tc>
        <w:tc>
          <w:tcPr>
            <w:tcW w:w="1910" w:type="dxa"/>
            <w:noWrap/>
            <w:hideMark/>
          </w:tcPr>
          <w:p w14:paraId="12FEEAA2" w14:textId="77777777" w:rsidR="00F638C3" w:rsidRPr="00292532" w:rsidRDefault="00F638C3" w:rsidP="00F638C3">
            <w:pPr>
              <w:spacing w:before="0"/>
              <w:ind w:firstLineChars="200" w:firstLine="40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No. de incidentes/acidentes</w:t>
            </w:r>
          </w:p>
        </w:tc>
        <w:tc>
          <w:tcPr>
            <w:tcW w:w="1620" w:type="dxa"/>
            <w:noWrap/>
            <w:hideMark/>
          </w:tcPr>
          <w:p w14:paraId="587BFAD4" w14:textId="77777777" w:rsidR="00F638C3" w:rsidRPr="00292532" w:rsidRDefault="00F638C3" w:rsidP="00F638C3">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pt-PT"/>
              </w:rPr>
            </w:pPr>
          </w:p>
        </w:tc>
      </w:tr>
      <w:tr w:rsidR="00F638C3" w:rsidRPr="00292532" w14:paraId="028D04A5" w14:textId="77777777" w:rsidTr="00F638C3">
        <w:trPr>
          <w:trHeight w:val="540"/>
        </w:trPr>
        <w:tc>
          <w:tcPr>
            <w:cnfStyle w:val="001000000000" w:firstRow="0" w:lastRow="0" w:firstColumn="1" w:lastColumn="0" w:oddVBand="0" w:evenVBand="0" w:oddHBand="0" w:evenHBand="0" w:firstRowFirstColumn="0" w:firstRowLastColumn="0" w:lastRowFirstColumn="0" w:lastRowLastColumn="0"/>
            <w:tcW w:w="4115" w:type="dxa"/>
            <w:hideMark/>
          </w:tcPr>
          <w:p w14:paraId="21A36904" w14:textId="77777777" w:rsidR="00F638C3" w:rsidRPr="00292532" w:rsidRDefault="00F638C3" w:rsidP="00F638C3">
            <w:pPr>
              <w:spacing w:before="0"/>
              <w:jc w:val="center"/>
              <w:rPr>
                <w:rFonts w:asciiTheme="minorHAnsi" w:eastAsia="Times New Roman" w:hAnsiTheme="minorHAnsi" w:cstheme="minorHAnsi"/>
                <w:b w:val="0"/>
                <w:bCs w:val="0"/>
                <w:color w:val="000000"/>
                <w:sz w:val="20"/>
                <w:szCs w:val="20"/>
                <w:lang w:val="pt-PT"/>
              </w:rPr>
            </w:pPr>
            <w:r w:rsidRPr="00292532">
              <w:rPr>
                <w:rFonts w:asciiTheme="minorHAnsi" w:eastAsia="Times New Roman" w:hAnsiTheme="minorHAnsi" w:cstheme="minorHAnsi"/>
                <w:b w:val="0"/>
                <w:bCs w:val="0"/>
                <w:color w:val="000000"/>
                <w:sz w:val="20"/>
                <w:szCs w:val="20"/>
                <w:lang w:val="pt-PT"/>
              </w:rPr>
              <w:t>Situações de emergências</w:t>
            </w:r>
          </w:p>
        </w:tc>
        <w:tc>
          <w:tcPr>
            <w:tcW w:w="1910" w:type="dxa"/>
            <w:noWrap/>
            <w:hideMark/>
          </w:tcPr>
          <w:p w14:paraId="15008530" w14:textId="77777777" w:rsidR="00F638C3" w:rsidRPr="00292532" w:rsidRDefault="00F638C3" w:rsidP="00F638C3">
            <w:pPr>
              <w:spacing w:before="0"/>
              <w:ind w:firstLineChars="200" w:firstLine="40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No. de eventos</w:t>
            </w:r>
          </w:p>
        </w:tc>
        <w:tc>
          <w:tcPr>
            <w:tcW w:w="1620" w:type="dxa"/>
            <w:noWrap/>
            <w:hideMark/>
          </w:tcPr>
          <w:p w14:paraId="500247E5" w14:textId="77777777" w:rsidR="00F638C3" w:rsidRPr="00292532" w:rsidRDefault="00F638C3" w:rsidP="00F638C3">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p>
        </w:tc>
      </w:tr>
      <w:tr w:rsidR="00F638C3" w:rsidRPr="00292532" w14:paraId="015FC85B" w14:textId="77777777" w:rsidTr="00F638C3">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4115" w:type="dxa"/>
          </w:tcPr>
          <w:p w14:paraId="76F7E95B" w14:textId="77777777" w:rsidR="00F638C3" w:rsidRPr="00292532" w:rsidRDefault="00F638C3" w:rsidP="00F638C3">
            <w:pPr>
              <w:spacing w:before="0"/>
              <w:jc w:val="center"/>
              <w:rPr>
                <w:rFonts w:asciiTheme="minorHAnsi" w:eastAsia="Times New Roman" w:hAnsiTheme="minorHAnsi" w:cstheme="minorHAnsi"/>
                <w:b w:val="0"/>
                <w:bCs w:val="0"/>
                <w:color w:val="000000"/>
                <w:sz w:val="20"/>
                <w:szCs w:val="20"/>
                <w:lang w:val="pt-PT"/>
              </w:rPr>
            </w:pPr>
            <w:r w:rsidRPr="00292532">
              <w:rPr>
                <w:rFonts w:asciiTheme="minorHAnsi" w:eastAsia="Times New Roman" w:hAnsiTheme="minorHAnsi" w:cstheme="minorHAnsi"/>
                <w:b w:val="0"/>
                <w:bCs w:val="0"/>
                <w:color w:val="000000"/>
                <w:sz w:val="20"/>
                <w:szCs w:val="20"/>
                <w:lang w:val="pt-PT"/>
              </w:rPr>
              <w:t>Incidentes rodoviários envolvendo membros da comunidade</w:t>
            </w:r>
          </w:p>
        </w:tc>
        <w:tc>
          <w:tcPr>
            <w:tcW w:w="1910" w:type="dxa"/>
            <w:noWrap/>
            <w:hideMark/>
          </w:tcPr>
          <w:p w14:paraId="1FC049D7" w14:textId="77777777" w:rsidR="00F638C3" w:rsidRPr="00292532" w:rsidRDefault="00F638C3" w:rsidP="00F638C3">
            <w:pPr>
              <w:spacing w:before="0"/>
              <w:ind w:firstLineChars="200" w:firstLine="40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No.</w:t>
            </w:r>
          </w:p>
        </w:tc>
        <w:tc>
          <w:tcPr>
            <w:tcW w:w="1620" w:type="dxa"/>
            <w:noWrap/>
            <w:hideMark/>
          </w:tcPr>
          <w:p w14:paraId="2EDD7860" w14:textId="77777777" w:rsidR="00F638C3" w:rsidRPr="00292532" w:rsidRDefault="00F638C3" w:rsidP="00F638C3">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pt-PT"/>
              </w:rPr>
            </w:pPr>
          </w:p>
        </w:tc>
      </w:tr>
      <w:tr w:rsidR="00F638C3" w:rsidRPr="00292532" w14:paraId="2493956E" w14:textId="77777777" w:rsidTr="00F638C3">
        <w:trPr>
          <w:trHeight w:val="540"/>
        </w:trPr>
        <w:tc>
          <w:tcPr>
            <w:cnfStyle w:val="001000000000" w:firstRow="0" w:lastRow="0" w:firstColumn="1" w:lastColumn="0" w:oddVBand="0" w:evenVBand="0" w:oddHBand="0" w:evenHBand="0" w:firstRowFirstColumn="0" w:firstRowLastColumn="0" w:lastRowFirstColumn="0" w:lastRowLastColumn="0"/>
            <w:tcW w:w="4115" w:type="dxa"/>
            <w:hideMark/>
          </w:tcPr>
          <w:p w14:paraId="5295F77E" w14:textId="77777777" w:rsidR="00F638C3" w:rsidRPr="00292532" w:rsidRDefault="00F638C3" w:rsidP="00F638C3">
            <w:pPr>
              <w:spacing w:before="0"/>
              <w:jc w:val="center"/>
              <w:rPr>
                <w:rFonts w:asciiTheme="minorHAnsi" w:eastAsia="Times New Roman" w:hAnsiTheme="minorHAnsi" w:cstheme="minorHAnsi"/>
                <w:b w:val="0"/>
                <w:bCs w:val="0"/>
                <w:color w:val="000000"/>
                <w:sz w:val="20"/>
                <w:szCs w:val="20"/>
                <w:lang w:val="pt-PT"/>
              </w:rPr>
            </w:pPr>
            <w:r w:rsidRPr="00292532">
              <w:rPr>
                <w:rFonts w:asciiTheme="minorHAnsi" w:eastAsia="Times New Roman" w:hAnsiTheme="minorHAnsi" w:cstheme="minorHAnsi"/>
                <w:b w:val="0"/>
                <w:bCs w:val="0"/>
                <w:color w:val="000000"/>
                <w:sz w:val="20"/>
                <w:szCs w:val="20"/>
                <w:lang w:val="pt-PT"/>
              </w:rPr>
              <w:t xml:space="preserve">Incidentes nas instalações do </w:t>
            </w:r>
            <w:proofErr w:type="spellStart"/>
            <w:r w:rsidRPr="00292532">
              <w:rPr>
                <w:rFonts w:asciiTheme="minorHAnsi" w:eastAsia="Times New Roman" w:hAnsiTheme="minorHAnsi" w:cstheme="minorHAnsi"/>
                <w:b w:val="0"/>
                <w:bCs w:val="0"/>
                <w:color w:val="000000"/>
                <w:sz w:val="20"/>
                <w:szCs w:val="20"/>
                <w:lang w:val="pt-PT"/>
              </w:rPr>
              <w:t>Projecto</w:t>
            </w:r>
            <w:proofErr w:type="spellEnd"/>
            <w:r w:rsidRPr="00292532">
              <w:rPr>
                <w:rFonts w:asciiTheme="minorHAnsi" w:eastAsia="Times New Roman" w:hAnsiTheme="minorHAnsi" w:cstheme="minorHAnsi"/>
                <w:b w:val="0"/>
                <w:bCs w:val="0"/>
                <w:color w:val="000000"/>
                <w:sz w:val="20"/>
                <w:szCs w:val="20"/>
                <w:lang w:val="pt-PT"/>
              </w:rPr>
              <w:t xml:space="preserve"> com impacto nas comunidades</w:t>
            </w:r>
          </w:p>
        </w:tc>
        <w:tc>
          <w:tcPr>
            <w:tcW w:w="1910" w:type="dxa"/>
            <w:noWrap/>
            <w:hideMark/>
          </w:tcPr>
          <w:p w14:paraId="5E446B99" w14:textId="77777777" w:rsidR="00F638C3" w:rsidRPr="00292532" w:rsidRDefault="00F638C3" w:rsidP="00F638C3">
            <w:pPr>
              <w:spacing w:before="0"/>
              <w:ind w:firstLineChars="200" w:firstLine="40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No.</w:t>
            </w:r>
          </w:p>
        </w:tc>
        <w:tc>
          <w:tcPr>
            <w:tcW w:w="1620" w:type="dxa"/>
            <w:noWrap/>
            <w:hideMark/>
          </w:tcPr>
          <w:p w14:paraId="01E0B530" w14:textId="77777777" w:rsidR="00F638C3" w:rsidRPr="00292532" w:rsidRDefault="00F638C3" w:rsidP="00F638C3">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p>
        </w:tc>
      </w:tr>
    </w:tbl>
    <w:p w14:paraId="4CD87022" w14:textId="77777777" w:rsidR="00F638C3" w:rsidRPr="00292532" w:rsidRDefault="00F638C3" w:rsidP="000D7B05">
      <w:pPr>
        <w:pStyle w:val="Title"/>
      </w:pPr>
    </w:p>
    <w:p w14:paraId="35BAE221" w14:textId="647FCCDF" w:rsidR="00C65CB1" w:rsidRPr="00292532" w:rsidRDefault="00C65CB1" w:rsidP="00C65CB1">
      <w:pPr>
        <w:rPr>
          <w:b/>
          <w:bCs/>
          <w:lang w:val="pt-PT"/>
        </w:rPr>
      </w:pPr>
      <w:r w:rsidRPr="00292532">
        <w:rPr>
          <w:b/>
          <w:bCs/>
          <w:lang w:val="pt-PT"/>
        </w:rPr>
        <w:t xml:space="preserve">Secção C1 Indicadores de Monitoria da </w:t>
      </w:r>
      <w:r w:rsidR="00292532" w:rsidRPr="00292532">
        <w:rPr>
          <w:b/>
          <w:bCs/>
          <w:lang w:val="pt-PT"/>
        </w:rPr>
        <w:t>Implementação</w:t>
      </w:r>
      <w:r w:rsidRPr="00292532">
        <w:rPr>
          <w:b/>
          <w:bCs/>
          <w:lang w:val="pt-PT"/>
        </w:rPr>
        <w:t xml:space="preserve"> do PEPI </w:t>
      </w:r>
    </w:p>
    <w:tbl>
      <w:tblPr>
        <w:tblStyle w:val="GridTable1Light-Accent115"/>
        <w:tblW w:w="10435" w:type="dxa"/>
        <w:jc w:val="center"/>
        <w:tblLayout w:type="fixed"/>
        <w:tblLook w:val="04A0" w:firstRow="1" w:lastRow="0" w:firstColumn="1" w:lastColumn="0" w:noHBand="0" w:noVBand="1"/>
      </w:tblPr>
      <w:tblGrid>
        <w:gridCol w:w="2605"/>
        <w:gridCol w:w="2070"/>
        <w:gridCol w:w="1890"/>
        <w:gridCol w:w="1620"/>
        <w:gridCol w:w="1170"/>
        <w:gridCol w:w="1080"/>
      </w:tblGrid>
      <w:tr w:rsidR="00C65CB1" w:rsidRPr="00292532" w14:paraId="0760E709" w14:textId="77777777" w:rsidTr="00C65CB1">
        <w:trPr>
          <w:cnfStyle w:val="100000000000" w:firstRow="1" w:lastRow="0" w:firstColumn="0" w:lastColumn="0" w:oddVBand="0" w:evenVBand="0" w:oddHBand="0" w:evenHBand="0" w:firstRowFirstColumn="0" w:firstRowLastColumn="0" w:lastRowFirstColumn="0" w:lastRowLastColumn="0"/>
          <w:trHeight w:val="457"/>
          <w:tblHeader/>
          <w:jc w:val="center"/>
        </w:trPr>
        <w:tc>
          <w:tcPr>
            <w:cnfStyle w:val="001000000000" w:firstRow="0" w:lastRow="0" w:firstColumn="1" w:lastColumn="0" w:oddVBand="0" w:evenVBand="0" w:oddHBand="0" w:evenHBand="0" w:firstRowFirstColumn="0" w:firstRowLastColumn="0" w:lastRowFirstColumn="0" w:lastRowLastColumn="0"/>
            <w:tcW w:w="2605" w:type="dxa"/>
            <w:vMerge w:val="restart"/>
            <w:shd w:val="clear" w:color="auto" w:fill="DEEAF6"/>
            <w:noWrap/>
            <w:hideMark/>
          </w:tcPr>
          <w:p w14:paraId="5D81DDF5" w14:textId="77777777" w:rsidR="00C65CB1" w:rsidRPr="004500AE" w:rsidRDefault="00C65CB1" w:rsidP="00C65CB1">
            <w:pPr>
              <w:jc w:val="center"/>
              <w:rPr>
                <w:rFonts w:asciiTheme="minorHAnsi" w:eastAsia="Times New Roman" w:hAnsiTheme="minorHAnsi" w:cstheme="minorHAnsi"/>
                <w:color w:val="000000"/>
                <w:sz w:val="18"/>
                <w:szCs w:val="18"/>
                <w:lang w:val="pt-PT"/>
              </w:rPr>
            </w:pPr>
            <w:proofErr w:type="spellStart"/>
            <w:r w:rsidRPr="004500AE">
              <w:rPr>
                <w:rFonts w:asciiTheme="minorHAnsi" w:eastAsia="Times New Roman" w:hAnsiTheme="minorHAnsi" w:cstheme="minorHAnsi"/>
                <w:color w:val="000000"/>
                <w:sz w:val="18"/>
                <w:szCs w:val="18"/>
                <w:lang w:val="pt-PT"/>
              </w:rPr>
              <w:t>Actividade</w:t>
            </w:r>
            <w:proofErr w:type="spellEnd"/>
          </w:p>
        </w:tc>
        <w:tc>
          <w:tcPr>
            <w:tcW w:w="2070" w:type="dxa"/>
            <w:vMerge w:val="restart"/>
            <w:shd w:val="clear" w:color="auto" w:fill="DEEAF6"/>
            <w:noWrap/>
            <w:hideMark/>
          </w:tcPr>
          <w:p w14:paraId="5A2CF544" w14:textId="77777777" w:rsidR="00C65CB1" w:rsidRPr="004500AE" w:rsidRDefault="00C65CB1" w:rsidP="00C65CB1">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Indicador preferencial </w:t>
            </w:r>
          </w:p>
        </w:tc>
        <w:tc>
          <w:tcPr>
            <w:tcW w:w="4680" w:type="dxa"/>
            <w:gridSpan w:val="3"/>
            <w:shd w:val="clear" w:color="auto" w:fill="DEEAF6"/>
            <w:hideMark/>
          </w:tcPr>
          <w:p w14:paraId="09CA15D0" w14:textId="77777777" w:rsidR="00C65CB1" w:rsidRPr="004500AE" w:rsidRDefault="00C65CB1" w:rsidP="00C65CB1">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Grau de realização em relação ao planificado </w:t>
            </w:r>
          </w:p>
        </w:tc>
        <w:tc>
          <w:tcPr>
            <w:tcW w:w="1080" w:type="dxa"/>
            <w:vMerge w:val="restart"/>
            <w:shd w:val="clear" w:color="auto" w:fill="DEEAF6"/>
          </w:tcPr>
          <w:p w14:paraId="28B37374" w14:textId="7A761F5A" w:rsidR="00C65CB1" w:rsidRPr="004500AE" w:rsidRDefault="00C65CB1" w:rsidP="00C65CB1">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Grau atingido durante </w:t>
            </w:r>
            <w:r w:rsidR="00720ADE" w:rsidRPr="00292532">
              <w:rPr>
                <w:rFonts w:asciiTheme="minorHAnsi" w:eastAsia="Times New Roman" w:hAnsiTheme="minorHAnsi" w:cstheme="minorHAnsi"/>
                <w:color w:val="000000"/>
                <w:sz w:val="18"/>
                <w:szCs w:val="18"/>
                <w:lang w:val="pt-PT"/>
              </w:rPr>
              <w:t>ano</w:t>
            </w:r>
          </w:p>
        </w:tc>
      </w:tr>
      <w:tr w:rsidR="00C65CB1" w:rsidRPr="00292532" w14:paraId="377CCC8D" w14:textId="77777777" w:rsidTr="00C65CB1">
        <w:trPr>
          <w:cnfStyle w:val="100000000000" w:firstRow="1" w:lastRow="0" w:firstColumn="0" w:lastColumn="0" w:oddVBand="0" w:evenVBand="0" w:oddHBand="0" w:evenHBand="0" w:firstRowFirstColumn="0" w:firstRowLastColumn="0" w:lastRowFirstColumn="0" w:lastRowLastColumn="0"/>
          <w:trHeight w:val="400"/>
          <w:tblHeader/>
          <w:jc w:val="center"/>
        </w:trPr>
        <w:tc>
          <w:tcPr>
            <w:cnfStyle w:val="001000000000" w:firstRow="0" w:lastRow="0" w:firstColumn="1" w:lastColumn="0" w:oddVBand="0" w:evenVBand="0" w:oddHBand="0" w:evenHBand="0" w:firstRowFirstColumn="0" w:firstRowLastColumn="0" w:lastRowFirstColumn="0" w:lastRowLastColumn="0"/>
            <w:tcW w:w="2605" w:type="dxa"/>
            <w:vMerge/>
            <w:shd w:val="clear" w:color="auto" w:fill="DEEAF6"/>
            <w:hideMark/>
          </w:tcPr>
          <w:p w14:paraId="2B8BF918" w14:textId="77777777" w:rsidR="00C65CB1" w:rsidRPr="004500AE" w:rsidRDefault="00C65CB1" w:rsidP="00C65CB1">
            <w:pPr>
              <w:rPr>
                <w:rFonts w:asciiTheme="minorHAnsi" w:eastAsia="Times New Roman" w:hAnsiTheme="minorHAnsi" w:cstheme="minorHAnsi"/>
                <w:color w:val="000000"/>
                <w:sz w:val="18"/>
                <w:szCs w:val="18"/>
                <w:lang w:val="pt-PT"/>
              </w:rPr>
            </w:pPr>
          </w:p>
        </w:tc>
        <w:tc>
          <w:tcPr>
            <w:tcW w:w="2070" w:type="dxa"/>
            <w:vMerge/>
            <w:shd w:val="clear" w:color="auto" w:fill="DEEAF6"/>
            <w:hideMark/>
          </w:tcPr>
          <w:p w14:paraId="33DFE9BB" w14:textId="77777777" w:rsidR="00C65CB1" w:rsidRPr="004500AE" w:rsidRDefault="00C65CB1" w:rsidP="00C65CB1">
            <w:pP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c>
          <w:tcPr>
            <w:tcW w:w="1890" w:type="dxa"/>
            <w:shd w:val="clear" w:color="auto" w:fill="DEEAF6"/>
            <w:hideMark/>
          </w:tcPr>
          <w:p w14:paraId="301686DF" w14:textId="77777777" w:rsidR="00C65CB1" w:rsidRPr="004500AE" w:rsidRDefault="00C65CB1" w:rsidP="00C65CB1">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Aceitável </w:t>
            </w:r>
          </w:p>
        </w:tc>
        <w:tc>
          <w:tcPr>
            <w:tcW w:w="1620" w:type="dxa"/>
            <w:shd w:val="clear" w:color="auto" w:fill="DEEAF6"/>
            <w:hideMark/>
          </w:tcPr>
          <w:p w14:paraId="6B40EDFA" w14:textId="77777777" w:rsidR="00C65CB1" w:rsidRPr="004500AE" w:rsidRDefault="00C65CB1" w:rsidP="00C65CB1">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Bom </w:t>
            </w:r>
          </w:p>
        </w:tc>
        <w:tc>
          <w:tcPr>
            <w:tcW w:w="1170" w:type="dxa"/>
            <w:shd w:val="clear" w:color="auto" w:fill="DEEAF6"/>
            <w:hideMark/>
          </w:tcPr>
          <w:p w14:paraId="34F68F46" w14:textId="77777777" w:rsidR="00C65CB1" w:rsidRPr="004500AE" w:rsidRDefault="00C65CB1" w:rsidP="00C65CB1">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Muito bom </w:t>
            </w:r>
          </w:p>
        </w:tc>
        <w:tc>
          <w:tcPr>
            <w:tcW w:w="1080" w:type="dxa"/>
            <w:vMerge/>
            <w:shd w:val="clear" w:color="auto" w:fill="DEEAF6"/>
          </w:tcPr>
          <w:p w14:paraId="71E34938" w14:textId="77777777" w:rsidR="00C65CB1" w:rsidRPr="004500AE" w:rsidRDefault="00C65CB1" w:rsidP="00C65CB1">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000000"/>
                <w:sz w:val="18"/>
                <w:szCs w:val="18"/>
                <w:lang w:val="pt-PT"/>
              </w:rPr>
            </w:pPr>
          </w:p>
        </w:tc>
      </w:tr>
      <w:tr w:rsidR="00C65CB1" w:rsidRPr="00292532" w14:paraId="2C8F20A7" w14:textId="77777777" w:rsidTr="00C65CB1">
        <w:trPr>
          <w:trHeight w:val="554"/>
          <w:jc w:val="center"/>
        </w:trPr>
        <w:tc>
          <w:tcPr>
            <w:cnfStyle w:val="001000000000" w:firstRow="0" w:lastRow="0" w:firstColumn="1" w:lastColumn="0" w:oddVBand="0" w:evenVBand="0" w:oddHBand="0" w:evenHBand="0" w:firstRowFirstColumn="0" w:firstRowLastColumn="0" w:lastRowFirstColumn="0" w:lastRowLastColumn="0"/>
            <w:tcW w:w="2605" w:type="dxa"/>
            <w:hideMark/>
          </w:tcPr>
          <w:p w14:paraId="49C00394" w14:textId="77777777" w:rsidR="00C65CB1" w:rsidRPr="004500AE" w:rsidRDefault="00C65CB1" w:rsidP="00C65CB1">
            <w:pP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Encontros de divulgação e mobilização realizados  </w:t>
            </w:r>
          </w:p>
        </w:tc>
        <w:tc>
          <w:tcPr>
            <w:tcW w:w="2070" w:type="dxa"/>
            <w:hideMark/>
          </w:tcPr>
          <w:p w14:paraId="6656341B"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encontros realizados/Planificados </w:t>
            </w:r>
          </w:p>
        </w:tc>
        <w:tc>
          <w:tcPr>
            <w:tcW w:w="1890" w:type="dxa"/>
            <w:noWrap/>
            <w:hideMark/>
          </w:tcPr>
          <w:p w14:paraId="1419ECDE"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30-50% do planificado</w:t>
            </w:r>
          </w:p>
        </w:tc>
        <w:tc>
          <w:tcPr>
            <w:tcW w:w="1620" w:type="dxa"/>
            <w:noWrap/>
            <w:hideMark/>
          </w:tcPr>
          <w:p w14:paraId="41A0BA32"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51-70% do planificado</w:t>
            </w:r>
          </w:p>
        </w:tc>
        <w:tc>
          <w:tcPr>
            <w:tcW w:w="1170" w:type="dxa"/>
            <w:noWrap/>
            <w:hideMark/>
          </w:tcPr>
          <w:p w14:paraId="4E13D6D2"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&gt;70%</w:t>
            </w:r>
          </w:p>
        </w:tc>
        <w:tc>
          <w:tcPr>
            <w:tcW w:w="1080" w:type="dxa"/>
          </w:tcPr>
          <w:p w14:paraId="6A251B24"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r>
      <w:tr w:rsidR="00C65CB1" w:rsidRPr="00292532" w14:paraId="0CC6B577" w14:textId="77777777" w:rsidTr="00C65CB1">
        <w:trPr>
          <w:trHeight w:val="406"/>
          <w:jc w:val="center"/>
        </w:trPr>
        <w:tc>
          <w:tcPr>
            <w:cnfStyle w:val="001000000000" w:firstRow="0" w:lastRow="0" w:firstColumn="1" w:lastColumn="0" w:oddVBand="0" w:evenVBand="0" w:oddHBand="0" w:evenHBand="0" w:firstRowFirstColumn="0" w:firstRowLastColumn="0" w:lastRowFirstColumn="0" w:lastRowLastColumn="0"/>
            <w:tcW w:w="2605" w:type="dxa"/>
            <w:hideMark/>
          </w:tcPr>
          <w:p w14:paraId="09E461B7" w14:textId="77777777" w:rsidR="00C65CB1" w:rsidRPr="004500AE" w:rsidRDefault="00C65CB1" w:rsidP="00C65CB1">
            <w:pP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Encontros de avaliação de </w:t>
            </w:r>
            <w:proofErr w:type="spellStart"/>
            <w:r w:rsidRPr="004500AE">
              <w:rPr>
                <w:rFonts w:asciiTheme="minorHAnsi" w:eastAsia="Times New Roman" w:hAnsiTheme="minorHAnsi" w:cstheme="minorHAnsi"/>
                <w:color w:val="000000"/>
                <w:sz w:val="18"/>
                <w:szCs w:val="18"/>
                <w:lang w:val="pt-PT"/>
              </w:rPr>
              <w:t>actividades</w:t>
            </w:r>
            <w:proofErr w:type="spellEnd"/>
            <w:r w:rsidRPr="004500AE">
              <w:rPr>
                <w:rFonts w:asciiTheme="minorHAnsi" w:eastAsia="Times New Roman" w:hAnsiTheme="minorHAnsi" w:cstheme="minorHAnsi"/>
                <w:color w:val="000000"/>
                <w:sz w:val="18"/>
                <w:szCs w:val="18"/>
                <w:lang w:val="pt-PT"/>
              </w:rPr>
              <w:t xml:space="preserve"> de engajamento </w:t>
            </w:r>
          </w:p>
        </w:tc>
        <w:tc>
          <w:tcPr>
            <w:tcW w:w="2070" w:type="dxa"/>
            <w:hideMark/>
          </w:tcPr>
          <w:p w14:paraId="1985620E"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encontros realizados/Planificados </w:t>
            </w:r>
          </w:p>
        </w:tc>
        <w:tc>
          <w:tcPr>
            <w:tcW w:w="1890" w:type="dxa"/>
            <w:noWrap/>
            <w:hideMark/>
          </w:tcPr>
          <w:p w14:paraId="2D0F6BE2"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50-70% do planificado</w:t>
            </w:r>
          </w:p>
        </w:tc>
        <w:tc>
          <w:tcPr>
            <w:tcW w:w="1620" w:type="dxa"/>
            <w:noWrap/>
            <w:hideMark/>
          </w:tcPr>
          <w:p w14:paraId="43AA8ACD"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71-90% do planificado</w:t>
            </w:r>
          </w:p>
        </w:tc>
        <w:tc>
          <w:tcPr>
            <w:tcW w:w="1170" w:type="dxa"/>
            <w:noWrap/>
            <w:hideMark/>
          </w:tcPr>
          <w:p w14:paraId="009BC22D"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90%&gt;</w:t>
            </w:r>
          </w:p>
        </w:tc>
        <w:tc>
          <w:tcPr>
            <w:tcW w:w="1080" w:type="dxa"/>
          </w:tcPr>
          <w:p w14:paraId="7274FACE"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r>
      <w:tr w:rsidR="00C65CB1" w:rsidRPr="00292532" w14:paraId="2CF73B7A" w14:textId="77777777" w:rsidTr="00C65CB1">
        <w:trPr>
          <w:trHeight w:val="554"/>
          <w:jc w:val="center"/>
        </w:trPr>
        <w:tc>
          <w:tcPr>
            <w:cnfStyle w:val="001000000000" w:firstRow="0" w:lastRow="0" w:firstColumn="1" w:lastColumn="0" w:oddVBand="0" w:evenVBand="0" w:oddHBand="0" w:evenHBand="0" w:firstRowFirstColumn="0" w:firstRowLastColumn="0" w:lastRowFirstColumn="0" w:lastRowLastColumn="0"/>
            <w:tcW w:w="2605" w:type="dxa"/>
          </w:tcPr>
          <w:p w14:paraId="3E2C4237" w14:textId="77777777" w:rsidR="00C65CB1" w:rsidRPr="004500AE" w:rsidRDefault="00C65CB1" w:rsidP="00C65CB1">
            <w:pP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Encontros de EIA/EAS/</w:t>
            </w:r>
            <w:proofErr w:type="spellStart"/>
            <w:r w:rsidRPr="004500AE">
              <w:rPr>
                <w:rFonts w:asciiTheme="minorHAnsi" w:eastAsia="Times New Roman" w:hAnsiTheme="minorHAnsi" w:cstheme="minorHAnsi"/>
                <w:color w:val="000000"/>
                <w:sz w:val="18"/>
                <w:szCs w:val="18"/>
                <w:lang w:val="pt-PT"/>
              </w:rPr>
              <w:t>PGAs</w:t>
            </w:r>
            <w:proofErr w:type="spellEnd"/>
            <w:r w:rsidRPr="004500AE">
              <w:rPr>
                <w:rFonts w:asciiTheme="minorHAnsi" w:eastAsia="Times New Roman" w:hAnsiTheme="minorHAnsi" w:cstheme="minorHAnsi"/>
                <w:color w:val="000000"/>
                <w:sz w:val="18"/>
                <w:szCs w:val="18"/>
                <w:lang w:val="pt-PT"/>
              </w:rPr>
              <w:t xml:space="preserve"> dos subprojectos</w:t>
            </w:r>
          </w:p>
        </w:tc>
        <w:tc>
          <w:tcPr>
            <w:tcW w:w="2070" w:type="dxa"/>
          </w:tcPr>
          <w:p w14:paraId="42F5035C"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encontros realizados/Planificados </w:t>
            </w:r>
          </w:p>
        </w:tc>
        <w:tc>
          <w:tcPr>
            <w:tcW w:w="1890" w:type="dxa"/>
            <w:noWrap/>
          </w:tcPr>
          <w:p w14:paraId="4C8EAFEC"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80-95% do planificado</w:t>
            </w:r>
          </w:p>
        </w:tc>
        <w:tc>
          <w:tcPr>
            <w:tcW w:w="1620" w:type="dxa"/>
            <w:noWrap/>
          </w:tcPr>
          <w:p w14:paraId="18FFBFDD"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170" w:type="dxa"/>
            <w:noWrap/>
          </w:tcPr>
          <w:p w14:paraId="26702D92"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c>
          <w:tcPr>
            <w:tcW w:w="1080" w:type="dxa"/>
          </w:tcPr>
          <w:p w14:paraId="3890FAEE"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r>
      <w:tr w:rsidR="00C65CB1" w:rsidRPr="00292532" w14:paraId="6808D2A8" w14:textId="77777777" w:rsidTr="00C65CB1">
        <w:trPr>
          <w:trHeight w:val="562"/>
          <w:jc w:val="center"/>
        </w:trPr>
        <w:tc>
          <w:tcPr>
            <w:cnfStyle w:val="001000000000" w:firstRow="0" w:lastRow="0" w:firstColumn="1" w:lastColumn="0" w:oddVBand="0" w:evenVBand="0" w:oddHBand="0" w:evenHBand="0" w:firstRowFirstColumn="0" w:firstRowLastColumn="0" w:lastRowFirstColumn="0" w:lastRowLastColumn="0"/>
            <w:tcW w:w="2605" w:type="dxa"/>
          </w:tcPr>
          <w:p w14:paraId="23B187F2" w14:textId="77777777" w:rsidR="00C65CB1" w:rsidRPr="004500AE" w:rsidRDefault="00C65CB1" w:rsidP="00C65CB1">
            <w:pP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Encontros de Elaboração de </w:t>
            </w:r>
            <w:proofErr w:type="spellStart"/>
            <w:r w:rsidRPr="004500AE">
              <w:rPr>
                <w:rFonts w:asciiTheme="minorHAnsi" w:eastAsia="Times New Roman" w:hAnsiTheme="minorHAnsi" w:cstheme="minorHAnsi"/>
                <w:color w:val="000000"/>
                <w:sz w:val="18"/>
                <w:szCs w:val="18"/>
                <w:lang w:val="pt-PT"/>
              </w:rPr>
              <w:t>PARs</w:t>
            </w:r>
            <w:proofErr w:type="spellEnd"/>
            <w:r w:rsidRPr="004500AE">
              <w:rPr>
                <w:rFonts w:asciiTheme="minorHAnsi" w:eastAsia="Times New Roman" w:hAnsiTheme="minorHAnsi" w:cstheme="minorHAnsi"/>
                <w:color w:val="000000"/>
                <w:sz w:val="18"/>
                <w:szCs w:val="18"/>
                <w:lang w:val="pt-PT"/>
              </w:rPr>
              <w:t xml:space="preserve"> dos subprojectos</w:t>
            </w:r>
          </w:p>
        </w:tc>
        <w:tc>
          <w:tcPr>
            <w:tcW w:w="2070" w:type="dxa"/>
          </w:tcPr>
          <w:p w14:paraId="6CB91379"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encontros realizados/Planificados </w:t>
            </w:r>
          </w:p>
        </w:tc>
        <w:tc>
          <w:tcPr>
            <w:tcW w:w="1890" w:type="dxa"/>
            <w:noWrap/>
          </w:tcPr>
          <w:p w14:paraId="132CEA84"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80-95% do planificado</w:t>
            </w:r>
          </w:p>
        </w:tc>
        <w:tc>
          <w:tcPr>
            <w:tcW w:w="1620" w:type="dxa"/>
            <w:noWrap/>
          </w:tcPr>
          <w:p w14:paraId="3D2D909C"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170" w:type="dxa"/>
            <w:noWrap/>
          </w:tcPr>
          <w:p w14:paraId="18119587"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c>
          <w:tcPr>
            <w:tcW w:w="1080" w:type="dxa"/>
          </w:tcPr>
          <w:p w14:paraId="75A2223F"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r>
      <w:tr w:rsidR="00C65CB1" w:rsidRPr="00292532" w14:paraId="77C2F106" w14:textId="77777777" w:rsidTr="00C65CB1">
        <w:trPr>
          <w:trHeight w:val="556"/>
          <w:jc w:val="center"/>
        </w:trPr>
        <w:tc>
          <w:tcPr>
            <w:cnfStyle w:val="001000000000" w:firstRow="0" w:lastRow="0" w:firstColumn="1" w:lastColumn="0" w:oddVBand="0" w:evenVBand="0" w:oddHBand="0" w:evenHBand="0" w:firstRowFirstColumn="0" w:firstRowLastColumn="0" w:lastRowFirstColumn="0" w:lastRowLastColumn="0"/>
            <w:tcW w:w="2605" w:type="dxa"/>
          </w:tcPr>
          <w:p w14:paraId="358655F7" w14:textId="77777777" w:rsidR="00C65CB1" w:rsidRPr="004500AE" w:rsidRDefault="00C65CB1" w:rsidP="00C65CB1">
            <w:pP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Envolvimento dos grupos vulneráveis nos encontros de engajamento</w:t>
            </w:r>
          </w:p>
        </w:tc>
        <w:tc>
          <w:tcPr>
            <w:tcW w:w="2070" w:type="dxa"/>
          </w:tcPr>
          <w:p w14:paraId="7D9CC3E3"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encontros realizados/Planificados </w:t>
            </w:r>
          </w:p>
        </w:tc>
        <w:tc>
          <w:tcPr>
            <w:tcW w:w="1890" w:type="dxa"/>
            <w:noWrap/>
          </w:tcPr>
          <w:p w14:paraId="0213CF88"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80-95% do planificado</w:t>
            </w:r>
          </w:p>
        </w:tc>
        <w:tc>
          <w:tcPr>
            <w:tcW w:w="1620" w:type="dxa"/>
            <w:noWrap/>
          </w:tcPr>
          <w:p w14:paraId="4D0D55D1"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170" w:type="dxa"/>
            <w:noWrap/>
          </w:tcPr>
          <w:p w14:paraId="13A222B9"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c>
          <w:tcPr>
            <w:tcW w:w="1080" w:type="dxa"/>
          </w:tcPr>
          <w:p w14:paraId="4E1ADDFC"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r>
      <w:tr w:rsidR="00C65CB1" w:rsidRPr="00292532" w14:paraId="01378B9D" w14:textId="77777777" w:rsidTr="00C65CB1">
        <w:trPr>
          <w:trHeight w:val="698"/>
          <w:jc w:val="center"/>
        </w:trPr>
        <w:tc>
          <w:tcPr>
            <w:cnfStyle w:val="001000000000" w:firstRow="0" w:lastRow="0" w:firstColumn="1" w:lastColumn="0" w:oddVBand="0" w:evenVBand="0" w:oddHBand="0" w:evenHBand="0" w:firstRowFirstColumn="0" w:firstRowLastColumn="0" w:lastRowFirstColumn="0" w:lastRowLastColumn="0"/>
            <w:tcW w:w="2605" w:type="dxa"/>
            <w:vMerge w:val="restart"/>
          </w:tcPr>
          <w:p w14:paraId="0CA56347" w14:textId="77777777" w:rsidR="00C65CB1" w:rsidRPr="004500AE" w:rsidRDefault="00C65CB1" w:rsidP="00C65CB1">
            <w:pPr>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Mecanismos de Queixas e Reclamação </w:t>
            </w:r>
          </w:p>
        </w:tc>
        <w:tc>
          <w:tcPr>
            <w:tcW w:w="2070" w:type="dxa"/>
          </w:tcPr>
          <w:p w14:paraId="3FDE4414"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queixas dos trabalhadores levantadas e resolvidas </w:t>
            </w:r>
          </w:p>
        </w:tc>
        <w:tc>
          <w:tcPr>
            <w:tcW w:w="1890" w:type="dxa"/>
            <w:noWrap/>
          </w:tcPr>
          <w:p w14:paraId="4CE69053"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90-95% do planificado</w:t>
            </w:r>
          </w:p>
        </w:tc>
        <w:tc>
          <w:tcPr>
            <w:tcW w:w="1620" w:type="dxa"/>
            <w:noWrap/>
          </w:tcPr>
          <w:p w14:paraId="443BB0EB"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170" w:type="dxa"/>
            <w:noWrap/>
          </w:tcPr>
          <w:p w14:paraId="40FF0F5F"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c>
          <w:tcPr>
            <w:tcW w:w="1080" w:type="dxa"/>
          </w:tcPr>
          <w:p w14:paraId="13FD8DD9"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r>
      <w:tr w:rsidR="00C65CB1" w:rsidRPr="00292532" w14:paraId="26A7F2C6" w14:textId="77777777" w:rsidTr="00C65CB1">
        <w:trPr>
          <w:trHeight w:val="702"/>
          <w:jc w:val="center"/>
        </w:trPr>
        <w:tc>
          <w:tcPr>
            <w:cnfStyle w:val="001000000000" w:firstRow="0" w:lastRow="0" w:firstColumn="1" w:lastColumn="0" w:oddVBand="0" w:evenVBand="0" w:oddHBand="0" w:evenHBand="0" w:firstRowFirstColumn="0" w:firstRowLastColumn="0" w:lastRowFirstColumn="0" w:lastRowLastColumn="0"/>
            <w:tcW w:w="2605" w:type="dxa"/>
            <w:vMerge/>
            <w:hideMark/>
          </w:tcPr>
          <w:p w14:paraId="4AF3A7FA" w14:textId="77777777" w:rsidR="00C65CB1" w:rsidRPr="004500AE" w:rsidRDefault="00C65CB1" w:rsidP="00C65CB1">
            <w:pPr>
              <w:rPr>
                <w:rFonts w:asciiTheme="minorHAnsi" w:eastAsia="Times New Roman" w:hAnsiTheme="minorHAnsi" w:cstheme="minorHAnsi"/>
                <w:color w:val="000000"/>
                <w:sz w:val="18"/>
                <w:szCs w:val="18"/>
                <w:lang w:val="pt-PT"/>
              </w:rPr>
            </w:pPr>
          </w:p>
        </w:tc>
        <w:tc>
          <w:tcPr>
            <w:tcW w:w="2070" w:type="dxa"/>
            <w:hideMark/>
          </w:tcPr>
          <w:p w14:paraId="00800688"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Número de queixas apresentadas e resolvidas no nível 1</w:t>
            </w:r>
          </w:p>
        </w:tc>
        <w:tc>
          <w:tcPr>
            <w:tcW w:w="1890" w:type="dxa"/>
            <w:noWrap/>
            <w:hideMark/>
          </w:tcPr>
          <w:p w14:paraId="4A872CC7" w14:textId="77777777" w:rsidR="00C65CB1" w:rsidRPr="004500AE" w:rsidRDefault="00C65CB1" w:rsidP="00C65CB1">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80-95% do planificado</w:t>
            </w:r>
          </w:p>
        </w:tc>
        <w:tc>
          <w:tcPr>
            <w:tcW w:w="1620" w:type="dxa"/>
            <w:noWrap/>
            <w:hideMark/>
          </w:tcPr>
          <w:p w14:paraId="3ECDAFED" w14:textId="77777777" w:rsidR="00C65CB1" w:rsidRPr="004500AE" w:rsidRDefault="00C65CB1" w:rsidP="00C65CB1">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170" w:type="dxa"/>
            <w:noWrap/>
            <w:hideMark/>
          </w:tcPr>
          <w:p w14:paraId="73E2F009" w14:textId="77777777" w:rsidR="00C65CB1" w:rsidRPr="004500AE" w:rsidRDefault="00C65CB1" w:rsidP="00C65CB1">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c>
          <w:tcPr>
            <w:tcW w:w="1080" w:type="dxa"/>
          </w:tcPr>
          <w:p w14:paraId="641F7A69" w14:textId="77777777" w:rsidR="00C65CB1" w:rsidRPr="004500AE" w:rsidRDefault="00C65CB1" w:rsidP="00C65CB1">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r>
      <w:tr w:rsidR="00C65CB1" w:rsidRPr="00292532" w14:paraId="691E3E01" w14:textId="77777777" w:rsidTr="00C65CB1">
        <w:trPr>
          <w:trHeight w:val="698"/>
          <w:jc w:val="center"/>
        </w:trPr>
        <w:tc>
          <w:tcPr>
            <w:cnfStyle w:val="001000000000" w:firstRow="0" w:lastRow="0" w:firstColumn="1" w:lastColumn="0" w:oddVBand="0" w:evenVBand="0" w:oddHBand="0" w:evenHBand="0" w:firstRowFirstColumn="0" w:firstRowLastColumn="0" w:lastRowFirstColumn="0" w:lastRowLastColumn="0"/>
            <w:tcW w:w="2605" w:type="dxa"/>
            <w:vMerge/>
            <w:hideMark/>
          </w:tcPr>
          <w:p w14:paraId="14196D99" w14:textId="77777777" w:rsidR="00C65CB1" w:rsidRPr="004500AE" w:rsidRDefault="00C65CB1" w:rsidP="00C65CB1">
            <w:pPr>
              <w:rPr>
                <w:rFonts w:asciiTheme="minorHAnsi" w:eastAsia="Times New Roman" w:hAnsiTheme="minorHAnsi" w:cstheme="minorHAnsi"/>
                <w:color w:val="000000"/>
                <w:sz w:val="18"/>
                <w:szCs w:val="18"/>
                <w:lang w:val="pt-PT"/>
              </w:rPr>
            </w:pPr>
          </w:p>
        </w:tc>
        <w:tc>
          <w:tcPr>
            <w:tcW w:w="2070" w:type="dxa"/>
            <w:hideMark/>
          </w:tcPr>
          <w:p w14:paraId="2E8E4DFD"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Número de queixas apresentadas e resolvidas no nível 2</w:t>
            </w:r>
          </w:p>
        </w:tc>
        <w:tc>
          <w:tcPr>
            <w:tcW w:w="1890" w:type="dxa"/>
            <w:noWrap/>
            <w:hideMark/>
          </w:tcPr>
          <w:p w14:paraId="2452C0B9"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80-95% do planificado</w:t>
            </w:r>
          </w:p>
        </w:tc>
        <w:tc>
          <w:tcPr>
            <w:tcW w:w="1620" w:type="dxa"/>
            <w:noWrap/>
            <w:hideMark/>
          </w:tcPr>
          <w:p w14:paraId="15B83C92"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170" w:type="dxa"/>
            <w:noWrap/>
            <w:hideMark/>
          </w:tcPr>
          <w:p w14:paraId="57F86BD4"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c>
          <w:tcPr>
            <w:tcW w:w="1080" w:type="dxa"/>
          </w:tcPr>
          <w:p w14:paraId="704D8618"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r>
      <w:tr w:rsidR="00C65CB1" w:rsidRPr="00292532" w14:paraId="3251C11F" w14:textId="77777777" w:rsidTr="00C65CB1">
        <w:trPr>
          <w:trHeight w:val="790"/>
          <w:jc w:val="center"/>
        </w:trPr>
        <w:tc>
          <w:tcPr>
            <w:cnfStyle w:val="001000000000" w:firstRow="0" w:lastRow="0" w:firstColumn="1" w:lastColumn="0" w:oddVBand="0" w:evenVBand="0" w:oddHBand="0" w:evenHBand="0" w:firstRowFirstColumn="0" w:firstRowLastColumn="0" w:lastRowFirstColumn="0" w:lastRowLastColumn="0"/>
            <w:tcW w:w="2605" w:type="dxa"/>
            <w:vMerge/>
            <w:hideMark/>
          </w:tcPr>
          <w:p w14:paraId="483D8CCC" w14:textId="77777777" w:rsidR="00C65CB1" w:rsidRPr="004500AE" w:rsidRDefault="00C65CB1" w:rsidP="00C65CB1">
            <w:pPr>
              <w:rPr>
                <w:rFonts w:asciiTheme="minorHAnsi" w:eastAsia="Times New Roman" w:hAnsiTheme="minorHAnsi" w:cstheme="minorHAnsi"/>
                <w:color w:val="000000"/>
                <w:sz w:val="18"/>
                <w:szCs w:val="18"/>
                <w:lang w:val="pt-PT"/>
              </w:rPr>
            </w:pPr>
          </w:p>
        </w:tc>
        <w:tc>
          <w:tcPr>
            <w:tcW w:w="2070" w:type="dxa"/>
            <w:hideMark/>
          </w:tcPr>
          <w:p w14:paraId="7C4F3F2E"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queixas apresentadas e resolvidas no nível 3 </w:t>
            </w:r>
          </w:p>
        </w:tc>
        <w:tc>
          <w:tcPr>
            <w:tcW w:w="1890" w:type="dxa"/>
            <w:noWrap/>
            <w:hideMark/>
          </w:tcPr>
          <w:p w14:paraId="0737B616"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80-95% do planificado</w:t>
            </w:r>
          </w:p>
        </w:tc>
        <w:tc>
          <w:tcPr>
            <w:tcW w:w="1620" w:type="dxa"/>
            <w:noWrap/>
            <w:hideMark/>
          </w:tcPr>
          <w:p w14:paraId="7F510C88"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170" w:type="dxa"/>
            <w:noWrap/>
            <w:hideMark/>
          </w:tcPr>
          <w:p w14:paraId="635AB37E"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c>
          <w:tcPr>
            <w:tcW w:w="1080" w:type="dxa"/>
          </w:tcPr>
          <w:p w14:paraId="29A4CCCE"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r>
      <w:tr w:rsidR="00C65CB1" w:rsidRPr="00292532" w14:paraId="3FCCB5AB" w14:textId="77777777" w:rsidTr="00C65CB1">
        <w:trPr>
          <w:trHeight w:val="540"/>
          <w:jc w:val="center"/>
        </w:trPr>
        <w:tc>
          <w:tcPr>
            <w:cnfStyle w:val="001000000000" w:firstRow="0" w:lastRow="0" w:firstColumn="1" w:lastColumn="0" w:oddVBand="0" w:evenVBand="0" w:oddHBand="0" w:evenHBand="0" w:firstRowFirstColumn="0" w:firstRowLastColumn="0" w:lastRowFirstColumn="0" w:lastRowLastColumn="0"/>
            <w:tcW w:w="2605" w:type="dxa"/>
            <w:vMerge/>
            <w:hideMark/>
          </w:tcPr>
          <w:p w14:paraId="056A8447" w14:textId="77777777" w:rsidR="00C65CB1" w:rsidRPr="004500AE" w:rsidRDefault="00C65CB1" w:rsidP="00C65CB1">
            <w:pPr>
              <w:rPr>
                <w:rFonts w:asciiTheme="minorHAnsi" w:eastAsia="Times New Roman" w:hAnsiTheme="minorHAnsi" w:cstheme="minorHAnsi"/>
                <w:color w:val="000000"/>
                <w:sz w:val="18"/>
                <w:szCs w:val="18"/>
                <w:lang w:val="pt-PT"/>
              </w:rPr>
            </w:pPr>
          </w:p>
        </w:tc>
        <w:tc>
          <w:tcPr>
            <w:tcW w:w="2070" w:type="dxa"/>
            <w:hideMark/>
          </w:tcPr>
          <w:p w14:paraId="62614C3E"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 xml:space="preserve">Número de queixas tramitadas para tribunal </w:t>
            </w:r>
          </w:p>
        </w:tc>
        <w:tc>
          <w:tcPr>
            <w:tcW w:w="1890" w:type="dxa"/>
            <w:noWrap/>
            <w:hideMark/>
          </w:tcPr>
          <w:p w14:paraId="49B6C60F"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80-95% do planificado</w:t>
            </w:r>
          </w:p>
        </w:tc>
        <w:tc>
          <w:tcPr>
            <w:tcW w:w="1620" w:type="dxa"/>
            <w:noWrap/>
            <w:hideMark/>
          </w:tcPr>
          <w:p w14:paraId="03D8F7A2"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96-99%</w:t>
            </w:r>
          </w:p>
        </w:tc>
        <w:tc>
          <w:tcPr>
            <w:tcW w:w="1170" w:type="dxa"/>
            <w:noWrap/>
            <w:hideMark/>
          </w:tcPr>
          <w:p w14:paraId="35A0AE96"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r w:rsidRPr="004500AE">
              <w:rPr>
                <w:rFonts w:asciiTheme="minorHAnsi" w:eastAsia="Times New Roman" w:hAnsiTheme="minorHAnsi" w:cstheme="minorHAnsi"/>
                <w:color w:val="000000"/>
                <w:sz w:val="18"/>
                <w:szCs w:val="18"/>
                <w:lang w:val="pt-PT"/>
              </w:rPr>
              <w:t>100%</w:t>
            </w:r>
          </w:p>
        </w:tc>
        <w:tc>
          <w:tcPr>
            <w:tcW w:w="1080" w:type="dxa"/>
          </w:tcPr>
          <w:p w14:paraId="705674D3" w14:textId="77777777" w:rsidR="00C65CB1" w:rsidRPr="004500AE" w:rsidRDefault="00C65CB1" w:rsidP="00C65CB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val="pt-PT"/>
              </w:rPr>
            </w:pPr>
          </w:p>
        </w:tc>
      </w:tr>
    </w:tbl>
    <w:p w14:paraId="2B623411" w14:textId="77777777" w:rsidR="00C65CB1" w:rsidRPr="00292532" w:rsidRDefault="00C65CB1" w:rsidP="000D7B05">
      <w:pPr>
        <w:pStyle w:val="Title"/>
      </w:pPr>
    </w:p>
    <w:p w14:paraId="4C69D4DC" w14:textId="77777777" w:rsidR="00F638C3" w:rsidRPr="00292532" w:rsidRDefault="00F638C3" w:rsidP="000D7B05">
      <w:pPr>
        <w:pStyle w:val="Title"/>
      </w:pPr>
    </w:p>
    <w:p w14:paraId="1317CFFF" w14:textId="77777777" w:rsidR="00F638C3" w:rsidRPr="00292532" w:rsidRDefault="00F638C3" w:rsidP="00F638C3">
      <w:pPr>
        <w:rPr>
          <w:b/>
          <w:bCs/>
          <w:lang w:val="pt-PT"/>
        </w:rPr>
      </w:pPr>
      <w:r w:rsidRPr="00292532">
        <w:rPr>
          <w:b/>
          <w:bCs/>
          <w:lang w:val="pt-PT"/>
        </w:rPr>
        <w:t>Secção C Avaliação Qualitativa do Desempenho</w:t>
      </w:r>
    </w:p>
    <w:p w14:paraId="13931579" w14:textId="77777777" w:rsidR="00F638C3" w:rsidRPr="00292532" w:rsidRDefault="00F638C3" w:rsidP="00F638C3">
      <w:pPr>
        <w:pStyle w:val="ListParagraph"/>
        <w:numPr>
          <w:ilvl w:val="0"/>
          <w:numId w:val="76"/>
        </w:numPr>
        <w:rPr>
          <w:lang w:val="pt-PT"/>
        </w:rPr>
      </w:pPr>
      <w:r w:rsidRPr="00292532">
        <w:rPr>
          <w:lang w:val="pt-PT"/>
        </w:rPr>
        <w:t xml:space="preserve">Problemas ambientais ou sociais registados durante o ano? Descrição das </w:t>
      </w:r>
      <w:proofErr w:type="spellStart"/>
      <w:r w:rsidRPr="00292532">
        <w:rPr>
          <w:lang w:val="pt-PT"/>
        </w:rPr>
        <w:t>acções</w:t>
      </w:r>
      <w:proofErr w:type="spellEnd"/>
      <w:r w:rsidRPr="00292532">
        <w:rPr>
          <w:lang w:val="pt-PT"/>
        </w:rPr>
        <w:t xml:space="preserve"> tomadas para solucionar ou remediar.</w:t>
      </w:r>
    </w:p>
    <w:p w14:paraId="0CAB8067" w14:textId="77777777" w:rsidR="00F638C3" w:rsidRPr="00292532" w:rsidRDefault="00F638C3" w:rsidP="00F638C3">
      <w:pPr>
        <w:rPr>
          <w:lang w:val="pt-PT"/>
        </w:rPr>
      </w:pPr>
      <w:r w:rsidRPr="00292532">
        <w:rPr>
          <w:lang w:val="pt-PT"/>
        </w:rPr>
        <w:t>…………………………………………………………………………………………………………………………………………….</w:t>
      </w:r>
    </w:p>
    <w:p w14:paraId="2A69A0CC" w14:textId="77777777" w:rsidR="00F638C3" w:rsidRPr="00292532" w:rsidRDefault="00F638C3" w:rsidP="00F638C3">
      <w:pPr>
        <w:rPr>
          <w:lang w:val="pt-PT"/>
        </w:rPr>
      </w:pPr>
      <w:r w:rsidRPr="00292532">
        <w:rPr>
          <w:lang w:val="pt-PT"/>
        </w:rPr>
        <w:t>……………………………………………………………………………………………………………………………………………..</w:t>
      </w:r>
    </w:p>
    <w:p w14:paraId="314A807C" w14:textId="77777777" w:rsidR="00F638C3" w:rsidRPr="00292532" w:rsidRDefault="00F638C3" w:rsidP="00F638C3">
      <w:pPr>
        <w:rPr>
          <w:lang w:val="pt-PT"/>
        </w:rPr>
      </w:pPr>
      <w:r w:rsidRPr="00292532">
        <w:rPr>
          <w:lang w:val="pt-PT"/>
        </w:rPr>
        <w:t>………………………………………………………………………………………………………………………………………………..</w:t>
      </w:r>
    </w:p>
    <w:p w14:paraId="122FEEBD" w14:textId="77777777" w:rsidR="00F638C3" w:rsidRPr="00292532" w:rsidRDefault="00F638C3" w:rsidP="00F638C3">
      <w:pPr>
        <w:pStyle w:val="ListParagraph"/>
        <w:numPr>
          <w:ilvl w:val="0"/>
          <w:numId w:val="76"/>
        </w:numPr>
        <w:rPr>
          <w:lang w:val="pt-PT"/>
        </w:rPr>
      </w:pPr>
      <w:proofErr w:type="spellStart"/>
      <w:r w:rsidRPr="00292532">
        <w:rPr>
          <w:lang w:val="pt-PT"/>
        </w:rPr>
        <w:t>Factores</w:t>
      </w:r>
      <w:proofErr w:type="spellEnd"/>
      <w:r w:rsidRPr="00292532">
        <w:rPr>
          <w:lang w:val="pt-PT"/>
        </w:rPr>
        <w:t xml:space="preserve"> que contribuíram o não cumprimento do PGAS.</w:t>
      </w:r>
    </w:p>
    <w:p w14:paraId="53E68C65" w14:textId="77777777" w:rsidR="00F638C3" w:rsidRPr="00292532" w:rsidRDefault="00F638C3" w:rsidP="00F638C3">
      <w:pPr>
        <w:rPr>
          <w:lang w:val="pt-PT"/>
        </w:rPr>
      </w:pPr>
      <w:r w:rsidRPr="00292532">
        <w:rPr>
          <w:lang w:val="pt-PT"/>
        </w:rPr>
        <w:t>……………………………………………………………………………………………………………………………………………</w:t>
      </w:r>
    </w:p>
    <w:p w14:paraId="4EA4E053" w14:textId="77777777" w:rsidR="00F638C3" w:rsidRPr="00292532" w:rsidRDefault="00F638C3" w:rsidP="00F638C3">
      <w:pPr>
        <w:rPr>
          <w:lang w:val="pt-PT"/>
        </w:rPr>
      </w:pPr>
      <w:r w:rsidRPr="00292532">
        <w:rPr>
          <w:lang w:val="pt-PT"/>
        </w:rPr>
        <w:t xml:space="preserve">……………………………………………………………………………………………………………………………………………… </w:t>
      </w:r>
    </w:p>
    <w:p w14:paraId="263E9DA1" w14:textId="77777777" w:rsidR="00F638C3" w:rsidRPr="00292532" w:rsidRDefault="00F638C3" w:rsidP="00F638C3">
      <w:pPr>
        <w:rPr>
          <w:lang w:val="pt-PT"/>
        </w:rPr>
      </w:pPr>
      <w:r w:rsidRPr="00292532">
        <w:rPr>
          <w:lang w:val="pt-PT"/>
        </w:rPr>
        <w:t xml:space="preserve">…………………………………………………………………………………………………………………………………………… </w:t>
      </w:r>
    </w:p>
    <w:p w14:paraId="4B31FC49" w14:textId="77777777" w:rsidR="00F638C3" w:rsidRPr="00292532" w:rsidRDefault="00F638C3" w:rsidP="00F638C3">
      <w:pPr>
        <w:pStyle w:val="ListParagraph"/>
        <w:numPr>
          <w:ilvl w:val="0"/>
          <w:numId w:val="76"/>
        </w:numPr>
        <w:rPr>
          <w:lang w:val="pt-PT"/>
        </w:rPr>
      </w:pPr>
      <w:proofErr w:type="spellStart"/>
      <w:r w:rsidRPr="00292532">
        <w:rPr>
          <w:lang w:val="pt-PT"/>
        </w:rPr>
        <w:t>Actualizações</w:t>
      </w:r>
      <w:proofErr w:type="spellEnd"/>
      <w:r w:rsidRPr="00292532">
        <w:rPr>
          <w:lang w:val="pt-PT"/>
        </w:rPr>
        <w:t xml:space="preserve"> feitas ao PGA (data, descrição das principais </w:t>
      </w:r>
      <w:proofErr w:type="spellStart"/>
      <w:r w:rsidRPr="00292532">
        <w:rPr>
          <w:lang w:val="pt-PT"/>
        </w:rPr>
        <w:t>actualizações</w:t>
      </w:r>
      <w:proofErr w:type="spellEnd"/>
      <w:r w:rsidRPr="00292532">
        <w:rPr>
          <w:lang w:val="pt-PT"/>
        </w:rPr>
        <w:t>)?</w:t>
      </w:r>
    </w:p>
    <w:p w14:paraId="57A84B58" w14:textId="77777777" w:rsidR="00F638C3" w:rsidRPr="00292532" w:rsidRDefault="00F638C3" w:rsidP="00F638C3">
      <w:pPr>
        <w:rPr>
          <w:lang w:val="pt-PT"/>
        </w:rPr>
      </w:pPr>
      <w:r w:rsidRPr="00292532">
        <w:rPr>
          <w:lang w:val="pt-PT"/>
        </w:rPr>
        <w:t xml:space="preserve">…………………………………………………………………………………………………………………………………………………. </w:t>
      </w:r>
    </w:p>
    <w:p w14:paraId="6E5F4C1A" w14:textId="77777777" w:rsidR="00F638C3" w:rsidRPr="00292532" w:rsidRDefault="00F638C3" w:rsidP="00F638C3">
      <w:pPr>
        <w:rPr>
          <w:lang w:val="pt-PT"/>
        </w:rPr>
      </w:pPr>
      <w:r w:rsidRPr="00292532">
        <w:rPr>
          <w:lang w:val="pt-PT"/>
        </w:rPr>
        <w:t xml:space="preserve">…………………………………………………………………………………………………………………………………………………. </w:t>
      </w:r>
    </w:p>
    <w:p w14:paraId="58F7792E" w14:textId="77777777" w:rsidR="00F638C3" w:rsidRPr="00292532" w:rsidRDefault="00F638C3" w:rsidP="00F638C3">
      <w:pPr>
        <w:rPr>
          <w:lang w:val="pt-PT"/>
        </w:rPr>
      </w:pPr>
      <w:r w:rsidRPr="00292532">
        <w:rPr>
          <w:lang w:val="pt-PT"/>
        </w:rPr>
        <w:t xml:space="preserve">………………………………………………………………………………………………………………………………………………… </w:t>
      </w:r>
    </w:p>
    <w:p w14:paraId="28F0BDBE" w14:textId="77777777" w:rsidR="00F638C3" w:rsidRPr="00292532" w:rsidRDefault="00F638C3" w:rsidP="00F638C3">
      <w:pPr>
        <w:rPr>
          <w:lang w:val="pt-PT"/>
        </w:rPr>
      </w:pPr>
      <w:r w:rsidRPr="00292532">
        <w:rPr>
          <w:lang w:val="pt-PT"/>
        </w:rPr>
        <w:t>…………………………………………………………………………………………………………………………………………………</w:t>
      </w:r>
    </w:p>
    <w:p w14:paraId="36ABE84F" w14:textId="77777777" w:rsidR="00F638C3" w:rsidRPr="00292532" w:rsidRDefault="00F638C3" w:rsidP="00F638C3">
      <w:pPr>
        <w:pStyle w:val="ListParagraph"/>
        <w:numPr>
          <w:ilvl w:val="0"/>
          <w:numId w:val="76"/>
        </w:numPr>
        <w:rPr>
          <w:lang w:val="pt-PT"/>
        </w:rPr>
      </w:pPr>
      <w:r w:rsidRPr="00292532">
        <w:rPr>
          <w:lang w:val="pt-PT"/>
        </w:rPr>
        <w:t xml:space="preserve">Descrição das inconformidades gerais e recorrentes observadas nos relatórios providenciados pelas equipas (Contratadas, </w:t>
      </w:r>
      <w:proofErr w:type="spellStart"/>
      <w:r w:rsidRPr="00292532">
        <w:rPr>
          <w:lang w:val="pt-PT"/>
        </w:rPr>
        <w:t>UTPs</w:t>
      </w:r>
      <w:proofErr w:type="spellEnd"/>
      <w:r w:rsidRPr="00292532">
        <w:rPr>
          <w:lang w:val="pt-PT"/>
        </w:rPr>
        <w:t>). Recomendações de melhoria.</w:t>
      </w:r>
    </w:p>
    <w:p w14:paraId="7BFBE0B5" w14:textId="77777777" w:rsidR="00F638C3" w:rsidRPr="00292532" w:rsidRDefault="00F638C3" w:rsidP="00F638C3">
      <w:pPr>
        <w:rPr>
          <w:lang w:val="pt-PT"/>
        </w:rPr>
      </w:pPr>
      <w:r w:rsidRPr="00292532">
        <w:rPr>
          <w:lang w:val="pt-PT"/>
        </w:rPr>
        <w:t xml:space="preserve">………………………………………………………………………………………………………………………………………………. </w:t>
      </w:r>
    </w:p>
    <w:p w14:paraId="08E880EF" w14:textId="77777777" w:rsidR="00F638C3" w:rsidRPr="00292532" w:rsidRDefault="00F638C3" w:rsidP="00F638C3">
      <w:pPr>
        <w:rPr>
          <w:lang w:val="pt-PT"/>
        </w:rPr>
      </w:pPr>
      <w:r w:rsidRPr="00292532">
        <w:rPr>
          <w:lang w:val="pt-PT"/>
        </w:rPr>
        <w:t xml:space="preserve">………………………………………………………………………………………………………………………………………………. </w:t>
      </w:r>
    </w:p>
    <w:p w14:paraId="5AA709FE" w14:textId="77777777" w:rsidR="00F638C3" w:rsidRPr="00292532" w:rsidRDefault="00F638C3" w:rsidP="00F638C3">
      <w:pPr>
        <w:rPr>
          <w:lang w:val="pt-PT"/>
        </w:rPr>
      </w:pPr>
      <w:r w:rsidRPr="00292532">
        <w:rPr>
          <w:lang w:val="pt-PT"/>
        </w:rPr>
        <w:t>………………………………………………………………………………………………………………………………………………</w:t>
      </w:r>
    </w:p>
    <w:p w14:paraId="553745D1" w14:textId="77777777" w:rsidR="00F638C3" w:rsidRPr="00292532" w:rsidRDefault="00F638C3" w:rsidP="00F638C3">
      <w:pPr>
        <w:pStyle w:val="ListParagraph"/>
        <w:numPr>
          <w:ilvl w:val="0"/>
          <w:numId w:val="76"/>
        </w:numPr>
        <w:rPr>
          <w:lang w:val="pt-PT"/>
        </w:rPr>
      </w:pPr>
      <w:proofErr w:type="spellStart"/>
      <w:r w:rsidRPr="00292532">
        <w:rPr>
          <w:lang w:val="pt-PT"/>
        </w:rPr>
        <w:t>Actividades</w:t>
      </w:r>
      <w:proofErr w:type="spellEnd"/>
      <w:r w:rsidRPr="00292532">
        <w:rPr>
          <w:lang w:val="pt-PT"/>
        </w:rPr>
        <w:t xml:space="preserve"> de formação, capacitação e consciencialização realizadas durante o ano. Descreva resumidamente as </w:t>
      </w:r>
      <w:proofErr w:type="spellStart"/>
      <w:r w:rsidRPr="00292532">
        <w:rPr>
          <w:lang w:val="pt-PT"/>
        </w:rPr>
        <w:t>actividades</w:t>
      </w:r>
      <w:proofErr w:type="spellEnd"/>
      <w:r w:rsidRPr="00292532">
        <w:rPr>
          <w:lang w:val="pt-PT"/>
        </w:rPr>
        <w:t xml:space="preserve">. </w:t>
      </w:r>
    </w:p>
    <w:p w14:paraId="447E3605" w14:textId="77777777" w:rsidR="00F638C3" w:rsidRPr="00292532" w:rsidRDefault="00F638C3" w:rsidP="00F638C3">
      <w:pPr>
        <w:rPr>
          <w:lang w:val="pt-PT"/>
        </w:rPr>
      </w:pPr>
      <w:r w:rsidRPr="00292532">
        <w:rPr>
          <w:lang w:val="pt-PT"/>
        </w:rPr>
        <w:lastRenderedPageBreak/>
        <w:t xml:space="preserve">………………………………………………………………………………………………………………………………………………….. </w:t>
      </w:r>
    </w:p>
    <w:p w14:paraId="38EB4884" w14:textId="77777777" w:rsidR="00F638C3" w:rsidRPr="00292532" w:rsidRDefault="00F638C3" w:rsidP="00F638C3">
      <w:pPr>
        <w:rPr>
          <w:lang w:val="pt-PT"/>
        </w:rPr>
      </w:pPr>
      <w:r w:rsidRPr="00292532">
        <w:rPr>
          <w:lang w:val="pt-PT"/>
        </w:rPr>
        <w:t xml:space="preserve">………………………………………………………………………………………………………………………………………………….. </w:t>
      </w:r>
    </w:p>
    <w:p w14:paraId="3549BC9B" w14:textId="77777777" w:rsidR="00F638C3" w:rsidRPr="00292532" w:rsidRDefault="00F638C3" w:rsidP="00F638C3">
      <w:pPr>
        <w:rPr>
          <w:lang w:val="pt-PT"/>
        </w:rPr>
      </w:pPr>
      <w:r w:rsidRPr="00292532">
        <w:rPr>
          <w:lang w:val="pt-PT"/>
        </w:rPr>
        <w:t>…………………………………………………………………………………………………………………………………………………..</w:t>
      </w:r>
    </w:p>
    <w:p w14:paraId="68D5592D" w14:textId="77777777" w:rsidR="00F638C3" w:rsidRPr="00292532" w:rsidRDefault="00F638C3" w:rsidP="00F638C3">
      <w:pPr>
        <w:pStyle w:val="ListParagraph"/>
        <w:numPr>
          <w:ilvl w:val="0"/>
          <w:numId w:val="76"/>
        </w:numPr>
        <w:rPr>
          <w:lang w:val="pt-PT"/>
        </w:rPr>
      </w:pPr>
      <w:r w:rsidRPr="00292532">
        <w:rPr>
          <w:lang w:val="pt-PT"/>
        </w:rPr>
        <w:t>Queixas e reclamações significativas</w:t>
      </w:r>
      <w:r w:rsidRPr="00292532">
        <w:rPr>
          <w:rStyle w:val="FootnoteReference"/>
          <w:lang w:val="pt-PT"/>
        </w:rPr>
        <w:footnoteReference w:id="11"/>
      </w:r>
      <w:r w:rsidRPr="00292532">
        <w:rPr>
          <w:lang w:val="pt-PT"/>
        </w:rPr>
        <w:t xml:space="preserve"> recebidas durante o ano.</w:t>
      </w:r>
    </w:p>
    <w:p w14:paraId="5BCB0F81" w14:textId="77777777" w:rsidR="00F638C3" w:rsidRPr="00292532" w:rsidRDefault="00F638C3" w:rsidP="00F638C3">
      <w:pPr>
        <w:rPr>
          <w:lang w:val="pt-PT"/>
        </w:rPr>
      </w:pPr>
      <w:r w:rsidRPr="00292532">
        <w:rPr>
          <w:lang w:val="pt-PT"/>
        </w:rPr>
        <w:t xml:space="preserve">……………………………………………………………………………………………………………………………………………. </w:t>
      </w:r>
    </w:p>
    <w:p w14:paraId="181EA0E1" w14:textId="77777777" w:rsidR="00F638C3" w:rsidRPr="00292532" w:rsidRDefault="00F638C3" w:rsidP="00F638C3">
      <w:pPr>
        <w:rPr>
          <w:lang w:val="pt-PT"/>
        </w:rPr>
      </w:pPr>
      <w:r w:rsidRPr="00292532">
        <w:rPr>
          <w:lang w:val="pt-PT"/>
        </w:rPr>
        <w:t xml:space="preserve">…………………………………………………………………………………………………………………………………………….. </w:t>
      </w:r>
    </w:p>
    <w:p w14:paraId="6A0EA97C" w14:textId="77777777" w:rsidR="00F638C3" w:rsidRPr="00292532" w:rsidRDefault="00F638C3" w:rsidP="00F638C3">
      <w:pPr>
        <w:rPr>
          <w:lang w:val="pt-PT"/>
        </w:rPr>
      </w:pPr>
      <w:r w:rsidRPr="00292532">
        <w:rPr>
          <w:lang w:val="pt-PT"/>
        </w:rPr>
        <w:t xml:space="preserve">…………………………………………………………………………………………………………………………………………….. </w:t>
      </w:r>
    </w:p>
    <w:p w14:paraId="4F88DA67" w14:textId="77777777" w:rsidR="00F638C3" w:rsidRPr="00292532" w:rsidRDefault="00F638C3" w:rsidP="004500AE">
      <w:pPr>
        <w:pStyle w:val="ListParagraph"/>
        <w:numPr>
          <w:ilvl w:val="0"/>
          <w:numId w:val="76"/>
        </w:numPr>
        <w:rPr>
          <w:lang w:val="pt-PT"/>
        </w:rPr>
      </w:pPr>
      <w:r w:rsidRPr="00292532">
        <w:rPr>
          <w:lang w:val="pt-PT" w:eastAsia="pt-BR"/>
        </w:rPr>
        <w:tab/>
      </w:r>
      <w:r w:rsidRPr="00292532">
        <w:rPr>
          <w:lang w:val="pt-PT"/>
        </w:rPr>
        <w:t xml:space="preserve">Auditorias realizadas durante ano. Apresente o resumo das </w:t>
      </w:r>
      <w:proofErr w:type="spellStart"/>
      <w:r w:rsidRPr="00292532">
        <w:rPr>
          <w:lang w:val="pt-PT"/>
        </w:rPr>
        <w:t>actividades</w:t>
      </w:r>
      <w:proofErr w:type="spellEnd"/>
      <w:r w:rsidRPr="00292532">
        <w:rPr>
          <w:lang w:val="pt-PT"/>
        </w:rPr>
        <w:t xml:space="preserve"> e principais resultados. </w:t>
      </w:r>
    </w:p>
    <w:p w14:paraId="502F91E2" w14:textId="77777777" w:rsidR="00F638C3" w:rsidRPr="00292532" w:rsidRDefault="00F638C3" w:rsidP="00F638C3">
      <w:pPr>
        <w:rPr>
          <w:lang w:val="pt-PT"/>
        </w:rPr>
      </w:pPr>
      <w:r w:rsidRPr="00292532">
        <w:rPr>
          <w:lang w:val="pt-PT"/>
        </w:rPr>
        <w:t xml:space="preserve">………………………………………………………………………………………………………………………………………………….. </w:t>
      </w:r>
    </w:p>
    <w:p w14:paraId="4BFC7D97" w14:textId="77777777" w:rsidR="00F638C3" w:rsidRPr="00292532" w:rsidRDefault="00F638C3" w:rsidP="00F638C3">
      <w:pPr>
        <w:rPr>
          <w:lang w:val="pt-PT"/>
        </w:rPr>
      </w:pPr>
      <w:r w:rsidRPr="00292532">
        <w:rPr>
          <w:lang w:val="pt-PT"/>
        </w:rPr>
        <w:t>…………………………………………………………………………………………………………………………………………………..</w:t>
      </w:r>
    </w:p>
    <w:p w14:paraId="306AF8AD" w14:textId="77777777" w:rsidR="00F638C3" w:rsidRPr="00292532" w:rsidRDefault="00F638C3" w:rsidP="00F638C3">
      <w:pPr>
        <w:rPr>
          <w:lang w:val="pt-PT"/>
        </w:rPr>
      </w:pPr>
      <w:r w:rsidRPr="00292532">
        <w:rPr>
          <w:lang w:val="pt-PT"/>
        </w:rPr>
        <w:t>…………………………………………………………………………………………………………………………………………….……</w:t>
      </w:r>
    </w:p>
    <w:p w14:paraId="12D2D121" w14:textId="77777777" w:rsidR="00F638C3" w:rsidRPr="00292532" w:rsidRDefault="00F638C3" w:rsidP="00F638C3">
      <w:pPr>
        <w:rPr>
          <w:lang w:val="pt-PT"/>
        </w:rPr>
      </w:pPr>
      <w:r w:rsidRPr="00292532">
        <w:rPr>
          <w:lang w:val="pt-PT"/>
        </w:rPr>
        <w:t xml:space="preserve">…………………………………………………………………………………………………………………………………………………. </w:t>
      </w:r>
    </w:p>
    <w:p w14:paraId="3CAD8F05" w14:textId="77777777" w:rsidR="00F638C3" w:rsidRPr="00292532" w:rsidRDefault="00F638C3" w:rsidP="00F638C3">
      <w:pPr>
        <w:rPr>
          <w:lang w:val="pt-PT"/>
        </w:rPr>
      </w:pPr>
      <w:r w:rsidRPr="00292532">
        <w:rPr>
          <w:lang w:val="pt-PT"/>
        </w:rPr>
        <w:t xml:space="preserve">………………………………………………………………………………………………………………………………………………….. </w:t>
      </w:r>
    </w:p>
    <w:p w14:paraId="695476D9" w14:textId="77777777" w:rsidR="00F638C3" w:rsidRPr="00292532" w:rsidRDefault="00F638C3" w:rsidP="00F638C3">
      <w:pPr>
        <w:rPr>
          <w:lang w:val="pt-PT"/>
        </w:rPr>
      </w:pPr>
      <w:r w:rsidRPr="00292532">
        <w:rPr>
          <w:lang w:val="pt-PT"/>
        </w:rPr>
        <w:t>…………………………………………………………………………………………………………………………………………………</w:t>
      </w:r>
    </w:p>
    <w:p w14:paraId="7F0ECFEB" w14:textId="77777777" w:rsidR="00C65CB1" w:rsidRPr="00292532" w:rsidRDefault="00C65CB1" w:rsidP="004500AE">
      <w:pPr>
        <w:pStyle w:val="ListParagraph"/>
        <w:numPr>
          <w:ilvl w:val="0"/>
          <w:numId w:val="76"/>
        </w:numPr>
        <w:rPr>
          <w:lang w:val="pt-PT"/>
        </w:rPr>
      </w:pPr>
      <w:r w:rsidRPr="00292532">
        <w:rPr>
          <w:lang w:val="pt-PT" w:eastAsia="pt-BR"/>
        </w:rPr>
        <w:tab/>
      </w:r>
      <w:r w:rsidRPr="00292532">
        <w:rPr>
          <w:lang w:val="pt-PT"/>
        </w:rPr>
        <w:t xml:space="preserve">Encontros realizados durante o trimestre no âmbito da implementação do PEPI. (Incluir informação sobre as datas </w:t>
      </w:r>
      <w:proofErr w:type="gramStart"/>
      <w:r w:rsidRPr="00292532">
        <w:rPr>
          <w:lang w:val="pt-PT"/>
        </w:rPr>
        <w:t>e  locais</w:t>
      </w:r>
      <w:proofErr w:type="gramEnd"/>
      <w:r w:rsidRPr="00292532">
        <w:rPr>
          <w:lang w:val="pt-PT"/>
        </w:rPr>
        <w:t xml:space="preserve"> dos encontros realizados, </w:t>
      </w:r>
      <w:proofErr w:type="spellStart"/>
      <w:r w:rsidRPr="00292532">
        <w:rPr>
          <w:lang w:val="pt-PT"/>
        </w:rPr>
        <w:t>PIAs</w:t>
      </w:r>
      <w:proofErr w:type="spellEnd"/>
      <w:r w:rsidRPr="00292532">
        <w:rPr>
          <w:lang w:val="pt-PT"/>
        </w:rPr>
        <w:t xml:space="preserve"> envolvidas, principais questões levantadas) Providenciar em anexo as </w:t>
      </w:r>
      <w:proofErr w:type="spellStart"/>
      <w:r w:rsidRPr="00292532">
        <w:rPr>
          <w:lang w:val="pt-PT"/>
        </w:rPr>
        <w:t>actas</w:t>
      </w:r>
      <w:proofErr w:type="spellEnd"/>
      <w:r w:rsidRPr="00292532">
        <w:rPr>
          <w:lang w:val="pt-PT"/>
        </w:rPr>
        <w:t xml:space="preserve"> das reuniões realizadas. </w:t>
      </w:r>
    </w:p>
    <w:p w14:paraId="764B65DA" w14:textId="77777777" w:rsidR="00C65CB1" w:rsidRPr="00292532" w:rsidRDefault="00C65CB1" w:rsidP="00C65CB1">
      <w:pPr>
        <w:rPr>
          <w:lang w:val="pt-PT"/>
        </w:rPr>
      </w:pPr>
      <w:r w:rsidRPr="00292532">
        <w:rPr>
          <w:lang w:val="pt-PT"/>
        </w:rPr>
        <w:t xml:space="preserve">………………………………………………………………………………………………………………………………………………….. </w:t>
      </w:r>
    </w:p>
    <w:p w14:paraId="458F4339" w14:textId="77777777" w:rsidR="00C65CB1" w:rsidRPr="00292532" w:rsidRDefault="00C65CB1" w:rsidP="00C65CB1">
      <w:pPr>
        <w:rPr>
          <w:lang w:val="pt-PT"/>
        </w:rPr>
      </w:pPr>
      <w:r w:rsidRPr="00292532">
        <w:rPr>
          <w:lang w:val="pt-PT"/>
        </w:rPr>
        <w:t xml:space="preserve">………………………………………………………………………………………………………………………………………………….. </w:t>
      </w:r>
    </w:p>
    <w:p w14:paraId="2412B242" w14:textId="77777777" w:rsidR="00C65CB1" w:rsidRPr="00292532" w:rsidRDefault="00C65CB1" w:rsidP="00C65CB1">
      <w:pPr>
        <w:rPr>
          <w:lang w:val="pt-PT"/>
        </w:rPr>
      </w:pPr>
      <w:r w:rsidRPr="00292532">
        <w:rPr>
          <w:lang w:val="pt-PT"/>
        </w:rPr>
        <w:t xml:space="preserve">………………………………………………………………………………………………………………………………………………….. </w:t>
      </w:r>
    </w:p>
    <w:p w14:paraId="7C4D4B90" w14:textId="77777777" w:rsidR="00C65CB1" w:rsidRPr="00292532" w:rsidRDefault="00C65CB1" w:rsidP="00C65CB1">
      <w:pPr>
        <w:rPr>
          <w:lang w:val="pt-PT"/>
        </w:rPr>
      </w:pPr>
      <w:r w:rsidRPr="00292532">
        <w:rPr>
          <w:lang w:val="pt-PT"/>
        </w:rPr>
        <w:t>…………………………………………………………………………………………………………………………………………………..</w:t>
      </w:r>
    </w:p>
    <w:p w14:paraId="3C58DF5B" w14:textId="77777777" w:rsidR="00C65CB1" w:rsidRPr="00292532" w:rsidRDefault="00C65CB1" w:rsidP="00C65CB1">
      <w:pPr>
        <w:rPr>
          <w:lang w:val="pt-PT"/>
        </w:rPr>
      </w:pPr>
      <w:r w:rsidRPr="00292532">
        <w:rPr>
          <w:lang w:val="pt-PT"/>
        </w:rPr>
        <w:t>…………………………………………………………………………………………………………………………………………….……</w:t>
      </w:r>
    </w:p>
    <w:p w14:paraId="387D6C44" w14:textId="77777777" w:rsidR="00C65CB1" w:rsidRPr="00292532" w:rsidRDefault="00C65CB1" w:rsidP="00C65CB1">
      <w:pPr>
        <w:rPr>
          <w:lang w:val="pt-PT"/>
        </w:rPr>
      </w:pPr>
      <w:r w:rsidRPr="00292532">
        <w:rPr>
          <w:lang w:val="pt-PT"/>
        </w:rPr>
        <w:t xml:space="preserve">…………………………………………………………………………………………………………………………………………………. </w:t>
      </w:r>
    </w:p>
    <w:p w14:paraId="3EAF4E1C" w14:textId="77777777" w:rsidR="00C65CB1" w:rsidRPr="00292532" w:rsidRDefault="00C65CB1" w:rsidP="00C65CB1">
      <w:pPr>
        <w:rPr>
          <w:lang w:val="pt-PT"/>
        </w:rPr>
      </w:pPr>
      <w:r w:rsidRPr="00292532">
        <w:rPr>
          <w:lang w:val="pt-PT"/>
        </w:rPr>
        <w:t xml:space="preserve">………………………………………………………………………………………………………………………………………………….. </w:t>
      </w:r>
    </w:p>
    <w:p w14:paraId="6654671B" w14:textId="77777777" w:rsidR="00C65CB1" w:rsidRPr="00292532" w:rsidRDefault="00C65CB1" w:rsidP="00C65CB1">
      <w:pPr>
        <w:rPr>
          <w:lang w:val="pt-PT"/>
        </w:rPr>
      </w:pPr>
      <w:r w:rsidRPr="00292532">
        <w:rPr>
          <w:lang w:val="pt-PT"/>
        </w:rPr>
        <w:lastRenderedPageBreak/>
        <w:t>…………………………………………………………………………………………………………………………………………………</w:t>
      </w:r>
    </w:p>
    <w:p w14:paraId="4F0455F8" w14:textId="77777777" w:rsidR="00C65CB1" w:rsidRPr="00292532" w:rsidRDefault="00C65CB1" w:rsidP="00C65CB1">
      <w:pPr>
        <w:tabs>
          <w:tab w:val="left" w:pos="930"/>
        </w:tabs>
        <w:rPr>
          <w:lang w:val="pt-PT" w:eastAsia="pt-BR"/>
        </w:rPr>
      </w:pPr>
    </w:p>
    <w:p w14:paraId="7462D8CB" w14:textId="77777777" w:rsidR="00C65CB1" w:rsidRPr="00292532" w:rsidRDefault="00C65CB1" w:rsidP="00C65CB1">
      <w:pPr>
        <w:tabs>
          <w:tab w:val="left" w:pos="930"/>
        </w:tabs>
        <w:rPr>
          <w:lang w:val="pt-PT" w:eastAsia="pt-BR"/>
        </w:rPr>
      </w:pPr>
    </w:p>
    <w:p w14:paraId="68606056" w14:textId="6FD6C834" w:rsidR="00F638C3" w:rsidRPr="00292532" w:rsidRDefault="00F638C3" w:rsidP="00F638C3">
      <w:pPr>
        <w:rPr>
          <w:b/>
          <w:bCs/>
          <w:lang w:val="pt-PT"/>
        </w:rPr>
      </w:pPr>
      <w:r w:rsidRPr="00292532">
        <w:rPr>
          <w:b/>
          <w:bCs/>
          <w:lang w:val="pt-PT"/>
        </w:rPr>
        <w:t xml:space="preserve">Secção D Anexos do Relatório de Progresso </w:t>
      </w:r>
    </w:p>
    <w:p w14:paraId="545CA699" w14:textId="77777777" w:rsidR="00F638C3" w:rsidRPr="00292532" w:rsidRDefault="00F638C3" w:rsidP="00F638C3">
      <w:pPr>
        <w:rPr>
          <w:b/>
          <w:bCs/>
          <w:lang w:val="pt-PT"/>
        </w:rPr>
      </w:pPr>
    </w:p>
    <w:p w14:paraId="01700FE1" w14:textId="7B30B54B" w:rsidR="00F638C3" w:rsidRPr="00292532" w:rsidRDefault="00F638C3" w:rsidP="004500AE">
      <w:pPr>
        <w:pStyle w:val="ListParagraph"/>
        <w:numPr>
          <w:ilvl w:val="0"/>
          <w:numId w:val="213"/>
        </w:numPr>
        <w:rPr>
          <w:b/>
          <w:bCs/>
          <w:lang w:val="pt-PT"/>
        </w:rPr>
      </w:pPr>
      <w:r w:rsidRPr="00292532">
        <w:rPr>
          <w:b/>
          <w:bCs/>
          <w:lang w:val="pt-PT"/>
        </w:rPr>
        <w:t xml:space="preserve">Relatório de Implementação do Plano de Engajamento com as Partes Interessadas </w:t>
      </w:r>
    </w:p>
    <w:p w14:paraId="431DEB7A" w14:textId="7764DB53" w:rsidR="00F638C3" w:rsidRPr="00292532" w:rsidRDefault="00F638C3" w:rsidP="004500AE">
      <w:pPr>
        <w:pStyle w:val="ListParagraph"/>
        <w:numPr>
          <w:ilvl w:val="0"/>
          <w:numId w:val="213"/>
        </w:numPr>
        <w:rPr>
          <w:b/>
          <w:bCs/>
          <w:lang w:val="pt-PT"/>
        </w:rPr>
      </w:pPr>
      <w:r w:rsidRPr="00292532">
        <w:rPr>
          <w:b/>
          <w:bCs/>
          <w:lang w:val="pt-PT"/>
        </w:rPr>
        <w:t>Relat</w:t>
      </w:r>
      <w:r w:rsidR="00C65CB1" w:rsidRPr="00292532">
        <w:rPr>
          <w:b/>
          <w:bCs/>
          <w:lang w:val="pt-PT"/>
        </w:rPr>
        <w:t>ó</w:t>
      </w:r>
      <w:r w:rsidRPr="00292532">
        <w:rPr>
          <w:b/>
          <w:bCs/>
          <w:lang w:val="pt-PT"/>
        </w:rPr>
        <w:t xml:space="preserve">rio de </w:t>
      </w:r>
      <w:r w:rsidR="00292532" w:rsidRPr="00292532">
        <w:rPr>
          <w:b/>
          <w:bCs/>
          <w:lang w:val="pt-PT"/>
        </w:rPr>
        <w:t>Implementação</w:t>
      </w:r>
      <w:r w:rsidRPr="00292532">
        <w:rPr>
          <w:b/>
          <w:bCs/>
          <w:lang w:val="pt-PT"/>
        </w:rPr>
        <w:t xml:space="preserve"> do Mecanismo de Queixas e </w:t>
      </w:r>
      <w:r w:rsidR="00C65CB1" w:rsidRPr="00292532">
        <w:rPr>
          <w:b/>
          <w:bCs/>
          <w:lang w:val="pt-PT"/>
        </w:rPr>
        <w:t>Reclamações</w:t>
      </w:r>
      <w:r w:rsidRPr="00292532">
        <w:rPr>
          <w:b/>
          <w:bCs/>
          <w:lang w:val="pt-PT"/>
        </w:rPr>
        <w:t xml:space="preserve"> </w:t>
      </w:r>
    </w:p>
    <w:p w14:paraId="6DDF7EC3" w14:textId="651E99E3" w:rsidR="00F638C3" w:rsidRPr="00292532" w:rsidRDefault="00F638C3" w:rsidP="00CD2106">
      <w:pPr>
        <w:pStyle w:val="ListParagraph"/>
        <w:numPr>
          <w:ilvl w:val="0"/>
          <w:numId w:val="213"/>
        </w:numPr>
        <w:rPr>
          <w:b/>
          <w:bCs/>
          <w:lang w:val="pt-PT"/>
        </w:rPr>
      </w:pPr>
      <w:r w:rsidRPr="00292532">
        <w:rPr>
          <w:b/>
          <w:bCs/>
          <w:lang w:val="pt-PT"/>
        </w:rPr>
        <w:t>Relat</w:t>
      </w:r>
      <w:r w:rsidR="00C65CB1" w:rsidRPr="00292532">
        <w:rPr>
          <w:b/>
          <w:bCs/>
          <w:lang w:val="pt-PT"/>
        </w:rPr>
        <w:t>ório</w:t>
      </w:r>
      <w:r w:rsidRPr="00292532">
        <w:rPr>
          <w:b/>
          <w:bCs/>
          <w:lang w:val="pt-PT"/>
        </w:rPr>
        <w:t xml:space="preserve"> de </w:t>
      </w:r>
      <w:r w:rsidR="00292532" w:rsidRPr="00292532">
        <w:rPr>
          <w:b/>
          <w:bCs/>
          <w:lang w:val="pt-PT"/>
        </w:rPr>
        <w:t>Implementação</w:t>
      </w:r>
      <w:r w:rsidRPr="00292532">
        <w:rPr>
          <w:b/>
          <w:bCs/>
          <w:lang w:val="pt-PT"/>
        </w:rPr>
        <w:t xml:space="preserve"> do Plano de Compromisso Ambiental e Social </w:t>
      </w:r>
    </w:p>
    <w:p w14:paraId="6FC47D59" w14:textId="56A5CA64" w:rsidR="00CD2106" w:rsidRPr="00292532" w:rsidRDefault="00CD2106" w:rsidP="004500AE">
      <w:pPr>
        <w:pStyle w:val="ListParagraph"/>
        <w:numPr>
          <w:ilvl w:val="0"/>
          <w:numId w:val="213"/>
        </w:numPr>
        <w:rPr>
          <w:b/>
          <w:bCs/>
          <w:lang w:val="pt-PT"/>
        </w:rPr>
      </w:pPr>
      <w:r w:rsidRPr="00292532">
        <w:rPr>
          <w:b/>
          <w:bCs/>
          <w:lang w:val="pt-PT"/>
        </w:rPr>
        <w:t xml:space="preserve">Relatório de </w:t>
      </w:r>
      <w:r w:rsidR="00292532" w:rsidRPr="00292532">
        <w:rPr>
          <w:b/>
          <w:bCs/>
          <w:lang w:val="pt-PT"/>
        </w:rPr>
        <w:t>Implementação</w:t>
      </w:r>
      <w:r w:rsidRPr="00292532">
        <w:rPr>
          <w:b/>
          <w:bCs/>
          <w:lang w:val="pt-PT"/>
        </w:rPr>
        <w:t xml:space="preserve">, </w:t>
      </w:r>
      <w:r w:rsidRPr="004500AE">
        <w:rPr>
          <w:b/>
          <w:bCs/>
          <w:i/>
          <w:iCs/>
          <w:lang w:val="pt-PT"/>
        </w:rPr>
        <w:t>conforme aplicável</w:t>
      </w:r>
      <w:r w:rsidRPr="00292532">
        <w:rPr>
          <w:b/>
          <w:bCs/>
          <w:lang w:val="pt-PT"/>
        </w:rPr>
        <w:t xml:space="preserve">, do Quadro da Política de Reassentamento e Planos de </w:t>
      </w:r>
      <w:proofErr w:type="spellStart"/>
      <w:r w:rsidRPr="00292532">
        <w:rPr>
          <w:b/>
          <w:bCs/>
          <w:lang w:val="pt-PT"/>
        </w:rPr>
        <w:t>Acç</w:t>
      </w:r>
      <w:r w:rsidR="00292532">
        <w:rPr>
          <w:b/>
          <w:bCs/>
          <w:lang w:val="pt-PT"/>
        </w:rPr>
        <w:t>ã</w:t>
      </w:r>
      <w:r w:rsidRPr="00292532">
        <w:rPr>
          <w:b/>
          <w:bCs/>
          <w:lang w:val="pt-PT"/>
        </w:rPr>
        <w:t>o</w:t>
      </w:r>
      <w:proofErr w:type="spellEnd"/>
      <w:r w:rsidRPr="00292532">
        <w:rPr>
          <w:b/>
          <w:bCs/>
          <w:lang w:val="pt-PT"/>
        </w:rPr>
        <w:t xml:space="preserve"> de Reassentamento</w:t>
      </w:r>
    </w:p>
    <w:p w14:paraId="320EE32C" w14:textId="77777777" w:rsidR="00F638C3" w:rsidRPr="00292532" w:rsidRDefault="00F638C3" w:rsidP="00F638C3">
      <w:pPr>
        <w:ind w:left="360"/>
        <w:rPr>
          <w:b/>
          <w:bCs/>
          <w:lang w:val="pt-PT"/>
        </w:rPr>
      </w:pPr>
    </w:p>
    <w:p w14:paraId="3728655A" w14:textId="77777777" w:rsidR="00F638C3" w:rsidRPr="00292532" w:rsidRDefault="00F638C3" w:rsidP="00F638C3">
      <w:pPr>
        <w:rPr>
          <w:lang w:val="pt-PT" w:eastAsia="ja-JP"/>
        </w:rPr>
      </w:pPr>
    </w:p>
    <w:p w14:paraId="41E44E93" w14:textId="77777777" w:rsidR="00F638C3" w:rsidRPr="00292532" w:rsidRDefault="00F638C3" w:rsidP="00F638C3">
      <w:pPr>
        <w:rPr>
          <w:lang w:val="pt-PT" w:eastAsia="ja-JP"/>
        </w:rPr>
      </w:pPr>
    </w:p>
    <w:p w14:paraId="55589BD8" w14:textId="77777777" w:rsidR="00F638C3" w:rsidRPr="00292532" w:rsidRDefault="00F638C3" w:rsidP="00F638C3">
      <w:pPr>
        <w:rPr>
          <w:lang w:val="pt-PT" w:eastAsia="ja-JP"/>
        </w:rPr>
      </w:pPr>
    </w:p>
    <w:p w14:paraId="400D8BBA" w14:textId="77777777" w:rsidR="00F638C3" w:rsidRPr="00292532" w:rsidRDefault="00F638C3" w:rsidP="00F638C3">
      <w:pPr>
        <w:rPr>
          <w:lang w:val="pt-PT" w:eastAsia="ja-JP"/>
        </w:rPr>
      </w:pPr>
    </w:p>
    <w:p w14:paraId="03EF6233" w14:textId="77777777" w:rsidR="00F638C3" w:rsidRPr="00292532" w:rsidRDefault="00F638C3" w:rsidP="00F638C3">
      <w:pPr>
        <w:rPr>
          <w:lang w:val="pt-PT" w:eastAsia="ja-JP"/>
        </w:rPr>
      </w:pPr>
    </w:p>
    <w:p w14:paraId="66B22354" w14:textId="77777777" w:rsidR="00F638C3" w:rsidRPr="00292532" w:rsidRDefault="00F638C3" w:rsidP="00F638C3">
      <w:pPr>
        <w:rPr>
          <w:lang w:val="pt-PT" w:eastAsia="ja-JP"/>
        </w:rPr>
      </w:pPr>
    </w:p>
    <w:p w14:paraId="7D089B97" w14:textId="77777777" w:rsidR="00F638C3" w:rsidRPr="00292532" w:rsidRDefault="00F638C3" w:rsidP="00F638C3">
      <w:pPr>
        <w:rPr>
          <w:lang w:val="pt-PT" w:eastAsia="ja-JP"/>
        </w:rPr>
      </w:pPr>
    </w:p>
    <w:p w14:paraId="69821EF0" w14:textId="77777777" w:rsidR="00F638C3" w:rsidRPr="00292532" w:rsidRDefault="00F638C3" w:rsidP="00F638C3">
      <w:pPr>
        <w:rPr>
          <w:lang w:val="pt-PT" w:eastAsia="ja-JP"/>
        </w:rPr>
      </w:pPr>
    </w:p>
    <w:p w14:paraId="0929FF27" w14:textId="77777777" w:rsidR="00F638C3" w:rsidRPr="00292532" w:rsidRDefault="00F638C3" w:rsidP="00F638C3">
      <w:pPr>
        <w:rPr>
          <w:lang w:val="pt-PT" w:eastAsia="ja-JP"/>
        </w:rPr>
      </w:pPr>
    </w:p>
    <w:p w14:paraId="2458F1C8" w14:textId="77777777" w:rsidR="00F638C3" w:rsidRPr="00292532" w:rsidRDefault="00F638C3" w:rsidP="00F638C3">
      <w:pPr>
        <w:rPr>
          <w:lang w:val="pt-PT" w:eastAsia="ja-JP"/>
        </w:rPr>
      </w:pPr>
    </w:p>
    <w:p w14:paraId="5440E37A" w14:textId="77777777" w:rsidR="00F638C3" w:rsidRPr="00292532" w:rsidRDefault="00F638C3" w:rsidP="00F638C3">
      <w:pPr>
        <w:rPr>
          <w:lang w:val="pt-PT" w:eastAsia="ja-JP"/>
        </w:rPr>
      </w:pPr>
    </w:p>
    <w:p w14:paraId="0095BB76" w14:textId="77777777" w:rsidR="00F638C3" w:rsidRPr="00292532" w:rsidRDefault="00F638C3" w:rsidP="00F638C3">
      <w:pPr>
        <w:rPr>
          <w:lang w:val="pt-PT" w:eastAsia="ja-JP"/>
        </w:rPr>
      </w:pPr>
    </w:p>
    <w:p w14:paraId="7C6878FC" w14:textId="77777777" w:rsidR="00F638C3" w:rsidRPr="00292532" w:rsidRDefault="00F638C3" w:rsidP="00F638C3">
      <w:pPr>
        <w:rPr>
          <w:lang w:val="pt-PT" w:eastAsia="ja-JP"/>
        </w:rPr>
      </w:pPr>
    </w:p>
    <w:p w14:paraId="5B7CBE5B" w14:textId="77777777" w:rsidR="00F638C3" w:rsidRPr="00292532" w:rsidRDefault="00F638C3" w:rsidP="00F638C3">
      <w:pPr>
        <w:rPr>
          <w:lang w:val="pt-PT" w:eastAsia="ja-JP"/>
        </w:rPr>
      </w:pPr>
    </w:p>
    <w:p w14:paraId="15CBB0EC" w14:textId="77777777" w:rsidR="00F638C3" w:rsidRPr="00292532" w:rsidRDefault="00F638C3" w:rsidP="00F638C3">
      <w:pPr>
        <w:rPr>
          <w:lang w:val="pt-PT" w:eastAsia="ja-JP"/>
        </w:rPr>
      </w:pPr>
    </w:p>
    <w:p w14:paraId="6D1658F7" w14:textId="77777777" w:rsidR="00F638C3" w:rsidRPr="00292532" w:rsidRDefault="00F638C3" w:rsidP="00F638C3">
      <w:pPr>
        <w:rPr>
          <w:lang w:val="pt-PT" w:eastAsia="ja-JP"/>
        </w:rPr>
      </w:pPr>
    </w:p>
    <w:p w14:paraId="35E0B68A" w14:textId="77777777" w:rsidR="00F638C3" w:rsidRPr="00292532" w:rsidRDefault="00F638C3" w:rsidP="00F638C3">
      <w:pPr>
        <w:rPr>
          <w:lang w:val="pt-PT" w:eastAsia="ja-JP"/>
        </w:rPr>
      </w:pPr>
    </w:p>
    <w:p w14:paraId="6F3CA75C" w14:textId="77777777" w:rsidR="00F638C3" w:rsidRPr="00292532" w:rsidRDefault="00F638C3" w:rsidP="00F638C3">
      <w:pPr>
        <w:rPr>
          <w:lang w:val="pt-PT" w:eastAsia="ja-JP"/>
        </w:rPr>
      </w:pPr>
    </w:p>
    <w:p w14:paraId="449F203A" w14:textId="2AE3FF0B" w:rsidR="00F638C3" w:rsidRPr="00292532" w:rsidRDefault="00F638C3" w:rsidP="00F638C3">
      <w:pPr>
        <w:rPr>
          <w:lang w:val="pt-PT" w:eastAsia="ja-JP"/>
        </w:rPr>
      </w:pPr>
    </w:p>
    <w:p w14:paraId="2A1A7026" w14:textId="2E5B399F" w:rsidR="000615DB" w:rsidRPr="00292532" w:rsidRDefault="000615DB" w:rsidP="000D7B05">
      <w:pPr>
        <w:pStyle w:val="Title"/>
      </w:pPr>
      <w:r w:rsidRPr="00292532">
        <w:t>Anexo 4</w:t>
      </w:r>
    </w:p>
    <w:p w14:paraId="534D2863" w14:textId="77777777" w:rsidR="000615DB" w:rsidRPr="00292532" w:rsidRDefault="000615DB" w:rsidP="000D7B05">
      <w:pPr>
        <w:pStyle w:val="Title"/>
      </w:pPr>
    </w:p>
    <w:p w14:paraId="52133BD9" w14:textId="77777777" w:rsidR="000615DB" w:rsidRPr="00292532" w:rsidRDefault="000615DB" w:rsidP="000615DB">
      <w:pPr>
        <w:pStyle w:val="Heading1"/>
        <w:numPr>
          <w:ilvl w:val="0"/>
          <w:numId w:val="0"/>
        </w:numPr>
        <w:ind w:left="432" w:hanging="432"/>
        <w:rPr>
          <w:lang w:val="pt-PT"/>
        </w:rPr>
      </w:pPr>
      <w:bookmarkStart w:id="541" w:name="_Toc78435420"/>
      <w:bookmarkStart w:id="542" w:name="_Toc80380090"/>
      <w:r w:rsidRPr="00292532">
        <w:rPr>
          <w:lang w:val="pt-PT"/>
        </w:rPr>
        <w:t>1 Plano de Gestão Ambiental Social (PGAS) Genérico</w:t>
      </w:r>
      <w:bookmarkEnd w:id="541"/>
      <w:bookmarkEnd w:id="542"/>
    </w:p>
    <w:p w14:paraId="46EBE486" w14:textId="77777777" w:rsidR="000615DB" w:rsidRPr="00292532" w:rsidRDefault="000615DB" w:rsidP="000615DB">
      <w:pPr>
        <w:rPr>
          <w:lang w:val="pt-PT"/>
        </w:rPr>
      </w:pPr>
      <w:r w:rsidRPr="00292532">
        <w:rPr>
          <w:lang w:val="pt-PT"/>
        </w:rPr>
        <w:t>O âmbito deste PGAS é apresentar estratégias e recomendações viáveis para garantir:</w:t>
      </w:r>
    </w:p>
    <w:p w14:paraId="62AAC9B6" w14:textId="77777777" w:rsidR="000615DB" w:rsidRPr="00292532" w:rsidRDefault="000615DB" w:rsidP="000615DB">
      <w:pPr>
        <w:pStyle w:val="ListParagraph"/>
        <w:rPr>
          <w:lang w:val="pt-PT"/>
        </w:rPr>
      </w:pPr>
      <w:r w:rsidRPr="00292532">
        <w:rPr>
          <w:lang w:val="pt-PT"/>
        </w:rPr>
        <w:t xml:space="preserve">A mitigação de impactos negativos durante o ciclo de vida do </w:t>
      </w:r>
      <w:proofErr w:type="spellStart"/>
      <w:r w:rsidRPr="00292532">
        <w:rPr>
          <w:lang w:val="pt-PT"/>
        </w:rPr>
        <w:t>Projecto</w:t>
      </w:r>
      <w:proofErr w:type="spellEnd"/>
      <w:r w:rsidRPr="00292532">
        <w:rPr>
          <w:lang w:val="pt-PT"/>
        </w:rPr>
        <w:t xml:space="preserve">, desde a construção à operação, funcionamento e manutenção dos sistemas de abastecimento de água e saneamento; </w:t>
      </w:r>
    </w:p>
    <w:p w14:paraId="4D092D93" w14:textId="77777777" w:rsidR="000615DB" w:rsidRPr="00292532" w:rsidRDefault="000615DB" w:rsidP="000615DB">
      <w:pPr>
        <w:pStyle w:val="ListParagraph"/>
        <w:rPr>
          <w:lang w:val="pt-PT"/>
        </w:rPr>
      </w:pPr>
      <w:r w:rsidRPr="00292532">
        <w:rPr>
          <w:lang w:val="pt-PT"/>
        </w:rPr>
        <w:t xml:space="preserve">Aplicação das melhores práticas de gestão ambiental do </w:t>
      </w:r>
      <w:proofErr w:type="spellStart"/>
      <w:r w:rsidRPr="00292532">
        <w:rPr>
          <w:lang w:val="pt-PT"/>
        </w:rPr>
        <w:t>Projecto</w:t>
      </w:r>
      <w:proofErr w:type="spellEnd"/>
      <w:r w:rsidRPr="00292532">
        <w:rPr>
          <w:lang w:val="pt-PT"/>
        </w:rPr>
        <w:t xml:space="preserve"> proposto;</w:t>
      </w:r>
    </w:p>
    <w:p w14:paraId="74262DCD" w14:textId="77777777" w:rsidR="000615DB" w:rsidRPr="00292532" w:rsidRDefault="000615DB" w:rsidP="000615DB">
      <w:pPr>
        <w:pStyle w:val="ListParagraph"/>
        <w:rPr>
          <w:lang w:val="pt-PT"/>
        </w:rPr>
      </w:pPr>
      <w:r w:rsidRPr="00292532">
        <w:rPr>
          <w:lang w:val="pt-PT"/>
        </w:rPr>
        <w:t xml:space="preserve">Conformidade com as Normas Ambientais e Sociais do Banco Mundial e com as </w:t>
      </w:r>
      <w:proofErr w:type="spellStart"/>
      <w:r w:rsidRPr="00292532">
        <w:rPr>
          <w:lang w:val="pt-PT"/>
        </w:rPr>
        <w:t>Directrizes</w:t>
      </w:r>
      <w:proofErr w:type="spellEnd"/>
      <w:r w:rsidRPr="00292532">
        <w:rPr>
          <w:lang w:val="pt-PT"/>
        </w:rPr>
        <w:t xml:space="preserve"> de Saúde e Segurança do Banco Mundial;</w:t>
      </w:r>
    </w:p>
    <w:p w14:paraId="77B803A9" w14:textId="77777777" w:rsidR="000615DB" w:rsidRPr="00292532" w:rsidRDefault="000615DB" w:rsidP="000615DB">
      <w:pPr>
        <w:pStyle w:val="ListParagraph"/>
        <w:rPr>
          <w:lang w:val="pt-PT"/>
        </w:rPr>
      </w:pPr>
      <w:r w:rsidRPr="00292532">
        <w:rPr>
          <w:lang w:val="pt-PT"/>
        </w:rPr>
        <w:t>Conformidade com os requisitos aplicáveis da legislação Moçambicana; e</w:t>
      </w:r>
    </w:p>
    <w:p w14:paraId="697163B4" w14:textId="77777777" w:rsidR="000615DB" w:rsidRPr="00292532" w:rsidRDefault="000615DB" w:rsidP="000615DB">
      <w:pPr>
        <w:pStyle w:val="ListParagraph"/>
        <w:rPr>
          <w:lang w:val="pt-PT"/>
        </w:rPr>
      </w:pPr>
      <w:r w:rsidRPr="00292532">
        <w:rPr>
          <w:lang w:val="pt-PT"/>
        </w:rPr>
        <w:t xml:space="preserve">Os riscos ambientais associados ao </w:t>
      </w:r>
      <w:proofErr w:type="spellStart"/>
      <w:r w:rsidRPr="00292532">
        <w:rPr>
          <w:lang w:val="pt-PT"/>
        </w:rPr>
        <w:t>Projecto</w:t>
      </w:r>
      <w:proofErr w:type="spellEnd"/>
      <w:r w:rsidRPr="00292532">
        <w:rPr>
          <w:lang w:val="pt-PT"/>
        </w:rPr>
        <w:t xml:space="preserve"> são geridos de forma apropriada. </w:t>
      </w:r>
    </w:p>
    <w:p w14:paraId="3E0ACD3A" w14:textId="77777777" w:rsidR="000615DB" w:rsidRPr="00292532" w:rsidRDefault="000615DB" w:rsidP="000615DB">
      <w:pPr>
        <w:rPr>
          <w:lang w:val="pt-PT"/>
        </w:rPr>
      </w:pPr>
      <w:r w:rsidRPr="00292532">
        <w:rPr>
          <w:lang w:val="pt-PT"/>
        </w:rPr>
        <w:t xml:space="preserve">O PGAS é aplicável aos subprojectos (por definir) tendo em conta o âmbito global do </w:t>
      </w:r>
      <w:proofErr w:type="spellStart"/>
      <w:r w:rsidRPr="00292532">
        <w:rPr>
          <w:lang w:val="pt-PT"/>
        </w:rPr>
        <w:t>Projecto</w:t>
      </w:r>
      <w:proofErr w:type="spellEnd"/>
      <w:r w:rsidRPr="00292532">
        <w:rPr>
          <w:lang w:val="pt-PT"/>
        </w:rPr>
        <w:t xml:space="preserve">. Neste PGAS, são igualmente propostas recomendações a serem consideradas durante a </w:t>
      </w:r>
      <w:proofErr w:type="spellStart"/>
      <w:r w:rsidRPr="00292532">
        <w:rPr>
          <w:lang w:val="pt-PT"/>
        </w:rPr>
        <w:t>concepção</w:t>
      </w:r>
      <w:proofErr w:type="spellEnd"/>
      <w:r w:rsidRPr="00292532">
        <w:rPr>
          <w:lang w:val="pt-PT"/>
        </w:rPr>
        <w:t xml:space="preserve"> do </w:t>
      </w:r>
      <w:proofErr w:type="spellStart"/>
      <w:r w:rsidRPr="00292532">
        <w:rPr>
          <w:lang w:val="pt-PT"/>
        </w:rPr>
        <w:t>Projecto</w:t>
      </w:r>
      <w:proofErr w:type="spellEnd"/>
      <w:r w:rsidRPr="00292532">
        <w:rPr>
          <w:lang w:val="pt-PT"/>
        </w:rPr>
        <w:t xml:space="preserve"> antes da construção. Complementam este PGAS os seguintes planos, também integrados no </w:t>
      </w:r>
      <w:proofErr w:type="spellStart"/>
      <w:r w:rsidRPr="00292532">
        <w:rPr>
          <w:lang w:val="pt-PT"/>
        </w:rPr>
        <w:t>actual</w:t>
      </w:r>
      <w:proofErr w:type="spellEnd"/>
      <w:r w:rsidRPr="00292532">
        <w:rPr>
          <w:lang w:val="pt-PT"/>
        </w:rPr>
        <w:t xml:space="preserve"> QGAS: </w:t>
      </w:r>
    </w:p>
    <w:p w14:paraId="3F7005EF" w14:textId="77777777" w:rsidR="000615DB" w:rsidRPr="00292532" w:rsidRDefault="000615DB" w:rsidP="000615DB">
      <w:pPr>
        <w:pStyle w:val="ListParagraph"/>
        <w:rPr>
          <w:lang w:val="pt-PT"/>
        </w:rPr>
      </w:pPr>
      <w:r w:rsidRPr="00292532">
        <w:rPr>
          <w:lang w:val="pt-PT"/>
        </w:rPr>
        <w:t>Avaliação de Risco de Perigo e Prontidão de Resposta a Emergência (ARP-</w:t>
      </w:r>
      <w:proofErr w:type="gramStart"/>
      <w:r w:rsidRPr="00292532">
        <w:rPr>
          <w:lang w:val="pt-PT"/>
        </w:rPr>
        <w:t>PRE)  -</w:t>
      </w:r>
      <w:proofErr w:type="gramEnd"/>
      <w:r w:rsidRPr="00292532">
        <w:rPr>
          <w:lang w:val="pt-PT"/>
        </w:rPr>
        <w:t xml:space="preserve"> </w:t>
      </w:r>
      <w:r w:rsidRPr="004500AE">
        <w:rPr>
          <w:b/>
          <w:bCs/>
          <w:lang w:val="pt-PT"/>
        </w:rPr>
        <w:t xml:space="preserve">Anexo 5 </w:t>
      </w:r>
      <w:r w:rsidRPr="00292532">
        <w:rPr>
          <w:lang w:val="pt-PT"/>
        </w:rPr>
        <w:t>do QGAS</w:t>
      </w:r>
    </w:p>
    <w:p w14:paraId="1482CCA1" w14:textId="77777777" w:rsidR="000615DB" w:rsidRPr="00292532" w:rsidRDefault="000615DB" w:rsidP="000615DB">
      <w:pPr>
        <w:pStyle w:val="ListParagraph"/>
        <w:rPr>
          <w:lang w:val="pt-PT"/>
        </w:rPr>
      </w:pPr>
      <w:r w:rsidRPr="00292532">
        <w:rPr>
          <w:lang w:val="pt-PT"/>
        </w:rPr>
        <w:t xml:space="preserve">Plano de Saúde e Segurança Comunitária (PDDC) – </w:t>
      </w:r>
      <w:r w:rsidRPr="004500AE">
        <w:rPr>
          <w:b/>
          <w:bCs/>
          <w:lang w:val="pt-PT"/>
        </w:rPr>
        <w:t xml:space="preserve">Anexo 6 </w:t>
      </w:r>
      <w:r w:rsidRPr="00292532">
        <w:rPr>
          <w:lang w:val="pt-PT"/>
        </w:rPr>
        <w:t>do QGAS</w:t>
      </w:r>
    </w:p>
    <w:p w14:paraId="78F0F5F5" w14:textId="77777777" w:rsidR="000615DB" w:rsidRPr="00292532" w:rsidRDefault="000615DB" w:rsidP="000615DB">
      <w:pPr>
        <w:pStyle w:val="ListParagraph"/>
        <w:rPr>
          <w:lang w:val="pt-PT"/>
        </w:rPr>
      </w:pPr>
      <w:r w:rsidRPr="00292532">
        <w:rPr>
          <w:lang w:val="pt-PT"/>
        </w:rPr>
        <w:t xml:space="preserve">Plano de Gestão e Prevenção da Poluição (PGPP) – </w:t>
      </w:r>
      <w:r w:rsidRPr="004500AE">
        <w:rPr>
          <w:b/>
          <w:bCs/>
          <w:lang w:val="pt-PT"/>
        </w:rPr>
        <w:t xml:space="preserve">Anexo 7 </w:t>
      </w:r>
      <w:r w:rsidRPr="00292532">
        <w:rPr>
          <w:lang w:val="pt-PT"/>
        </w:rPr>
        <w:t>do QGAS</w:t>
      </w:r>
    </w:p>
    <w:p w14:paraId="4F189E0E" w14:textId="77777777" w:rsidR="000615DB" w:rsidRPr="00292532" w:rsidRDefault="000615DB" w:rsidP="000615DB">
      <w:pPr>
        <w:pStyle w:val="ListParagraph"/>
        <w:rPr>
          <w:lang w:val="pt-PT"/>
        </w:rPr>
      </w:pPr>
      <w:r w:rsidRPr="00292532">
        <w:rPr>
          <w:lang w:val="pt-PT"/>
        </w:rPr>
        <w:t xml:space="preserve">Procedimentos de Gestão de Património Cultural (PGPT) – </w:t>
      </w:r>
      <w:r w:rsidRPr="004500AE">
        <w:rPr>
          <w:b/>
          <w:bCs/>
          <w:lang w:val="pt-PT"/>
        </w:rPr>
        <w:t xml:space="preserve">Anexo 8 </w:t>
      </w:r>
      <w:r w:rsidRPr="00292532">
        <w:rPr>
          <w:lang w:val="pt-PT"/>
        </w:rPr>
        <w:t>do QGAS</w:t>
      </w:r>
    </w:p>
    <w:p w14:paraId="7E746835" w14:textId="77777777" w:rsidR="000615DB" w:rsidRPr="00292532" w:rsidRDefault="000615DB" w:rsidP="000615DB">
      <w:pPr>
        <w:pStyle w:val="ListParagraph"/>
        <w:rPr>
          <w:lang w:val="pt-PT"/>
        </w:rPr>
      </w:pPr>
      <w:r w:rsidRPr="00292532">
        <w:rPr>
          <w:lang w:val="pt-PT"/>
        </w:rPr>
        <w:t xml:space="preserve">Plano de Gestão de Mão-de-Obra e de Gestão de Saúde e Segurança </w:t>
      </w:r>
      <w:proofErr w:type="gramStart"/>
      <w:r w:rsidRPr="00292532">
        <w:rPr>
          <w:lang w:val="pt-PT"/>
        </w:rPr>
        <w:t>Ocupacional</w:t>
      </w:r>
      <w:r w:rsidRPr="00292532" w:rsidDel="00A475F6">
        <w:rPr>
          <w:lang w:val="pt-PT"/>
        </w:rPr>
        <w:t xml:space="preserve"> </w:t>
      </w:r>
      <w:r w:rsidRPr="00292532">
        <w:rPr>
          <w:lang w:val="pt-PT"/>
        </w:rPr>
        <w:t xml:space="preserve"> –</w:t>
      </w:r>
      <w:proofErr w:type="gramEnd"/>
      <w:r w:rsidRPr="00292532">
        <w:rPr>
          <w:lang w:val="pt-PT"/>
        </w:rPr>
        <w:t xml:space="preserve"> </w:t>
      </w:r>
      <w:r w:rsidRPr="004500AE">
        <w:rPr>
          <w:b/>
          <w:bCs/>
          <w:lang w:val="pt-PT"/>
        </w:rPr>
        <w:t xml:space="preserve">Anexo </w:t>
      </w:r>
      <w:r w:rsidRPr="00292532">
        <w:rPr>
          <w:lang w:val="pt-PT"/>
        </w:rPr>
        <w:t>9 do QGAS</w:t>
      </w:r>
    </w:p>
    <w:p w14:paraId="52CEB363" w14:textId="77777777" w:rsidR="000615DB" w:rsidRPr="00292532" w:rsidRDefault="000615DB" w:rsidP="000615DB">
      <w:pPr>
        <w:pStyle w:val="ListParagraph"/>
        <w:rPr>
          <w:lang w:val="pt-PT"/>
        </w:rPr>
      </w:pPr>
      <w:proofErr w:type="spellStart"/>
      <w:r w:rsidRPr="00292532">
        <w:rPr>
          <w:lang w:val="pt-PT"/>
        </w:rPr>
        <w:t>Directrizes</w:t>
      </w:r>
      <w:proofErr w:type="spellEnd"/>
      <w:r w:rsidRPr="00292532">
        <w:rPr>
          <w:lang w:val="pt-PT"/>
        </w:rPr>
        <w:t xml:space="preserve"> de Gestão do Tráfego Rodoviário – </w:t>
      </w:r>
      <w:r w:rsidRPr="004500AE">
        <w:rPr>
          <w:b/>
          <w:bCs/>
          <w:lang w:val="pt-PT"/>
        </w:rPr>
        <w:t xml:space="preserve">Anexo 10 </w:t>
      </w:r>
      <w:r w:rsidRPr="00292532">
        <w:rPr>
          <w:lang w:val="pt-PT"/>
        </w:rPr>
        <w:t>do QGAS</w:t>
      </w:r>
    </w:p>
    <w:p w14:paraId="5EC4B9CD" w14:textId="77777777" w:rsidR="000615DB" w:rsidRPr="00292532" w:rsidRDefault="000615DB" w:rsidP="000615DB">
      <w:pPr>
        <w:pStyle w:val="ListParagraph"/>
        <w:rPr>
          <w:lang w:val="pt-PT"/>
        </w:rPr>
      </w:pPr>
      <w:r w:rsidRPr="00292532">
        <w:rPr>
          <w:lang w:val="pt-PT"/>
        </w:rPr>
        <w:t xml:space="preserve">Plano de Contingência da COVID-19 – </w:t>
      </w:r>
      <w:r w:rsidRPr="004500AE">
        <w:rPr>
          <w:b/>
          <w:bCs/>
          <w:lang w:val="pt-PT"/>
        </w:rPr>
        <w:t xml:space="preserve">Anexo 11 </w:t>
      </w:r>
      <w:r w:rsidRPr="00292532">
        <w:rPr>
          <w:lang w:val="pt-PT"/>
        </w:rPr>
        <w:t>do QGAS</w:t>
      </w:r>
    </w:p>
    <w:p w14:paraId="3C18C956" w14:textId="77777777" w:rsidR="000615DB" w:rsidRPr="00292532" w:rsidRDefault="000615DB" w:rsidP="000615DB">
      <w:pPr>
        <w:pStyle w:val="ListParagraph"/>
        <w:rPr>
          <w:lang w:val="pt-PT"/>
        </w:rPr>
      </w:pPr>
      <w:r w:rsidRPr="00292532">
        <w:rPr>
          <w:lang w:val="pt-PT"/>
        </w:rPr>
        <w:t xml:space="preserve">Avaliação de Risco de Violência Baseada no Género – </w:t>
      </w:r>
      <w:r w:rsidRPr="004500AE">
        <w:rPr>
          <w:b/>
          <w:bCs/>
          <w:lang w:val="pt-PT"/>
        </w:rPr>
        <w:t>Anexo 12</w:t>
      </w:r>
    </w:p>
    <w:p w14:paraId="1DF0B63F" w14:textId="77777777" w:rsidR="000615DB" w:rsidRPr="00292532" w:rsidRDefault="000615DB" w:rsidP="000615DB">
      <w:pPr>
        <w:pStyle w:val="ListParagraph"/>
        <w:numPr>
          <w:ilvl w:val="0"/>
          <w:numId w:val="0"/>
        </w:numPr>
        <w:ind w:left="360"/>
        <w:rPr>
          <w:lang w:val="pt-PT"/>
        </w:rPr>
      </w:pPr>
    </w:p>
    <w:p w14:paraId="368C45BC" w14:textId="77777777" w:rsidR="000615DB" w:rsidRPr="00292532" w:rsidRDefault="000615DB" w:rsidP="000615DB">
      <w:pPr>
        <w:rPr>
          <w:lang w:val="pt-PT"/>
        </w:rPr>
      </w:pPr>
      <w:r w:rsidRPr="00292532">
        <w:rPr>
          <w:lang w:val="pt-PT"/>
        </w:rPr>
        <w:t xml:space="preserve">Este PGAS não deve ser visto como prescritivo e inflexível, mas como um documento dinâmico e flexível sujeito a revisão e </w:t>
      </w:r>
      <w:proofErr w:type="spellStart"/>
      <w:r w:rsidRPr="00292532">
        <w:rPr>
          <w:lang w:val="pt-PT"/>
        </w:rPr>
        <w:t>actualização</w:t>
      </w:r>
      <w:proofErr w:type="spellEnd"/>
      <w:r w:rsidRPr="00292532">
        <w:rPr>
          <w:lang w:val="pt-PT"/>
        </w:rPr>
        <w:t xml:space="preserve">, sempre que necessário, e a medida em que o </w:t>
      </w:r>
      <w:proofErr w:type="spellStart"/>
      <w:r w:rsidRPr="00292532">
        <w:rPr>
          <w:lang w:val="pt-PT"/>
        </w:rPr>
        <w:t>Projecto</w:t>
      </w:r>
      <w:proofErr w:type="spellEnd"/>
      <w:r w:rsidRPr="00292532">
        <w:rPr>
          <w:lang w:val="pt-PT"/>
        </w:rPr>
        <w:t xml:space="preserve"> avance para as fases seguintes. </w:t>
      </w:r>
    </w:p>
    <w:p w14:paraId="3E5C15A3" w14:textId="77777777" w:rsidR="000615DB" w:rsidRPr="00292532" w:rsidRDefault="000615DB" w:rsidP="000615DB">
      <w:pPr>
        <w:rPr>
          <w:highlight w:val="yellow"/>
          <w:lang w:val="pt-PT"/>
        </w:rPr>
        <w:sectPr w:rsidR="000615DB" w:rsidRPr="00292532" w:rsidSect="00C01674">
          <w:pgSz w:w="11906" w:h="16838"/>
          <w:pgMar w:top="1417" w:right="1701" w:bottom="1417" w:left="1701" w:header="708" w:footer="708"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p>
    <w:p w14:paraId="6DB6EDF9" w14:textId="77777777" w:rsidR="000615DB" w:rsidRPr="00292532" w:rsidRDefault="000615DB" w:rsidP="000615DB">
      <w:pPr>
        <w:pStyle w:val="Heading2"/>
      </w:pPr>
      <w:bookmarkStart w:id="543" w:name="_Toc78435421"/>
      <w:bookmarkStart w:id="544" w:name="_Toc80380091"/>
      <w:r w:rsidRPr="00292532">
        <w:lastRenderedPageBreak/>
        <w:t>Enquadramento Legal e Boas Práticas</w:t>
      </w:r>
      <w:bookmarkEnd w:id="543"/>
      <w:bookmarkEnd w:id="544"/>
    </w:p>
    <w:p w14:paraId="1DD4488B" w14:textId="77777777" w:rsidR="000615DB" w:rsidRPr="00292532" w:rsidRDefault="000615DB">
      <w:pPr>
        <w:pStyle w:val="Heading3"/>
        <w:rPr>
          <w:lang w:eastAsia="ja-JP"/>
        </w:rPr>
      </w:pPr>
      <w:bookmarkStart w:id="545" w:name="_Toc78435422"/>
      <w:bookmarkStart w:id="546" w:name="_Toc80380092"/>
      <w:r w:rsidRPr="00292532">
        <w:rPr>
          <w:lang w:eastAsia="ja-JP"/>
        </w:rPr>
        <w:t>Legislação Ambiental Nacional</w:t>
      </w:r>
      <w:bookmarkEnd w:id="545"/>
      <w:bookmarkEnd w:id="546"/>
      <w:r w:rsidRPr="00292532">
        <w:rPr>
          <w:lang w:eastAsia="ja-JP"/>
        </w:rPr>
        <w:t xml:space="preserve"> </w:t>
      </w:r>
    </w:p>
    <w:p w14:paraId="73EFC34D" w14:textId="77777777" w:rsidR="000615DB" w:rsidRPr="00292532" w:rsidRDefault="000615DB" w:rsidP="000615DB">
      <w:pPr>
        <w:rPr>
          <w:lang w:val="pt-PT" w:eastAsia="ja-JP"/>
        </w:rPr>
      </w:pPr>
      <w:r w:rsidRPr="00292532">
        <w:rPr>
          <w:lang w:val="pt-PT" w:eastAsia="ja-JP"/>
        </w:rPr>
        <w:t xml:space="preserve">A </w:t>
      </w:r>
      <w:r w:rsidRPr="00292532">
        <w:rPr>
          <w:b/>
          <w:bCs/>
          <w:lang w:val="pt-PT" w:eastAsia="ja-JP"/>
        </w:rPr>
        <w:fldChar w:fldCharType="begin"/>
      </w:r>
      <w:r w:rsidRPr="00292532">
        <w:rPr>
          <w:b/>
          <w:bCs/>
          <w:lang w:val="pt-PT" w:eastAsia="ja-JP"/>
        </w:rPr>
        <w:instrText xml:space="preserve"> REF _Ref72705031 \h  \* MERGEFORMAT </w:instrText>
      </w:r>
      <w:r w:rsidRPr="00292532">
        <w:rPr>
          <w:b/>
          <w:bCs/>
          <w:lang w:val="pt-PT" w:eastAsia="ja-JP"/>
        </w:rPr>
      </w:r>
      <w:r w:rsidRPr="00292532">
        <w:rPr>
          <w:b/>
          <w:bCs/>
          <w:lang w:val="pt-PT" w:eastAsia="ja-JP"/>
        </w:rPr>
        <w:fldChar w:fldCharType="separate"/>
      </w:r>
      <w:r w:rsidRPr="00292532">
        <w:rPr>
          <w:b/>
          <w:bCs/>
          <w:lang w:val="pt-PT"/>
        </w:rPr>
        <w:t xml:space="preserve">Tabela </w:t>
      </w:r>
      <w:r w:rsidRPr="00292532">
        <w:rPr>
          <w:b/>
          <w:bCs/>
          <w:noProof/>
          <w:lang w:val="pt-PT"/>
        </w:rPr>
        <w:t>1</w:t>
      </w:r>
      <w:r w:rsidRPr="00292532">
        <w:rPr>
          <w:b/>
          <w:bCs/>
          <w:lang w:val="pt-PT" w:eastAsia="ja-JP"/>
        </w:rPr>
        <w:fldChar w:fldCharType="end"/>
      </w:r>
      <w:r w:rsidRPr="00292532">
        <w:rPr>
          <w:lang w:val="pt-PT" w:eastAsia="ja-JP"/>
        </w:rPr>
        <w:t xml:space="preserve">, abaixo apresenta a legislação nacional considerada relevante para o </w:t>
      </w:r>
      <w:proofErr w:type="spellStart"/>
      <w:r w:rsidRPr="00292532">
        <w:rPr>
          <w:lang w:val="pt-PT" w:eastAsia="ja-JP"/>
        </w:rPr>
        <w:t>actual</w:t>
      </w:r>
      <w:proofErr w:type="spellEnd"/>
      <w:r w:rsidRPr="00292532">
        <w:rPr>
          <w:lang w:val="pt-PT" w:eastAsia="ja-JP"/>
        </w:rPr>
        <w:t xml:space="preserve"> PGAS.</w:t>
      </w:r>
    </w:p>
    <w:p w14:paraId="502453C3" w14:textId="77777777" w:rsidR="000615DB" w:rsidRPr="00292532" w:rsidRDefault="000615DB" w:rsidP="000615DB">
      <w:pPr>
        <w:pStyle w:val="Caption"/>
      </w:pPr>
      <w:r w:rsidRPr="00292532">
        <w:t>Tabela 1: Legislação Aplicável ao PGA</w:t>
      </w:r>
    </w:p>
    <w:tbl>
      <w:tblPr>
        <w:tblW w:w="8640" w:type="dxa"/>
        <w:tblInd w:w="-270" w:type="dxa"/>
        <w:tblBorders>
          <w:top w:val="single" w:sz="4" w:space="0" w:color="7F7F7F" w:themeColor="text1" w:themeTint="80"/>
          <w:bottom w:val="single" w:sz="4" w:space="0" w:color="auto"/>
          <w:insideH w:val="single" w:sz="4" w:space="0" w:color="auto"/>
        </w:tblBorders>
        <w:tblLook w:val="04A0" w:firstRow="1" w:lastRow="0" w:firstColumn="1" w:lastColumn="0" w:noHBand="0" w:noVBand="1"/>
      </w:tblPr>
      <w:tblGrid>
        <w:gridCol w:w="8640"/>
      </w:tblGrid>
      <w:tr w:rsidR="000615DB" w:rsidRPr="00292532" w14:paraId="647A07C6" w14:textId="77777777" w:rsidTr="006174BB">
        <w:trPr>
          <w:trHeight w:val="104"/>
          <w:tblHeader/>
        </w:trPr>
        <w:tc>
          <w:tcPr>
            <w:tcW w:w="8640" w:type="dxa"/>
            <w:shd w:val="clear" w:color="auto" w:fill="2E74B5" w:themeFill="accent5" w:themeFillShade="BF"/>
            <w:vAlign w:val="center"/>
          </w:tcPr>
          <w:p w14:paraId="1CAE442C" w14:textId="77777777" w:rsidR="000615DB" w:rsidRPr="00292532" w:rsidRDefault="000615DB" w:rsidP="006174BB">
            <w:pPr>
              <w:autoSpaceDE w:val="0"/>
              <w:autoSpaceDN w:val="0"/>
              <w:adjustRightInd w:val="0"/>
              <w:spacing w:before="120" w:afterLines="160" w:after="384" w:line="20" w:lineRule="atLeast"/>
              <w:jc w:val="center"/>
              <w:rPr>
                <w:rFonts w:asciiTheme="minorHAnsi" w:eastAsia="Calibri" w:hAnsiTheme="minorHAnsi" w:cstheme="minorHAnsi"/>
                <w:b/>
                <w:color w:val="FFFFFF" w:themeColor="background1"/>
                <w:sz w:val="20"/>
                <w:szCs w:val="24"/>
                <w:lang w:val="pt-PT"/>
              </w:rPr>
            </w:pPr>
            <w:r w:rsidRPr="00292532">
              <w:rPr>
                <w:rFonts w:asciiTheme="minorHAnsi" w:eastAsia="Calibri" w:hAnsiTheme="minorHAnsi" w:cstheme="minorHAnsi"/>
                <w:b/>
                <w:color w:val="FFFFFF" w:themeColor="background1"/>
                <w:sz w:val="20"/>
                <w:szCs w:val="24"/>
                <w:lang w:val="pt-PT"/>
              </w:rPr>
              <w:t>Diploma</w:t>
            </w:r>
          </w:p>
        </w:tc>
      </w:tr>
      <w:tr w:rsidR="000615DB" w:rsidRPr="008D18CF" w14:paraId="02CA2864" w14:textId="77777777" w:rsidTr="006174BB">
        <w:tc>
          <w:tcPr>
            <w:tcW w:w="8640" w:type="dxa"/>
            <w:vAlign w:val="center"/>
          </w:tcPr>
          <w:p w14:paraId="3889352F"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Lei do Ambiente (Lei nº 20/97, de 1 de </w:t>
            </w:r>
            <w:proofErr w:type="gramStart"/>
            <w:r w:rsidRPr="00292532">
              <w:rPr>
                <w:rFonts w:asciiTheme="minorHAnsi" w:eastAsia="Calibri" w:hAnsiTheme="minorHAnsi" w:cstheme="minorHAnsi"/>
                <w:sz w:val="20"/>
                <w:szCs w:val="24"/>
                <w:lang w:val="pt-PT"/>
              </w:rPr>
              <w:t>Outubro</w:t>
            </w:r>
            <w:proofErr w:type="gramEnd"/>
            <w:r w:rsidRPr="00292532">
              <w:rPr>
                <w:rFonts w:asciiTheme="minorHAnsi" w:eastAsia="Calibri" w:hAnsiTheme="minorHAnsi" w:cstheme="minorHAnsi"/>
                <w:sz w:val="20"/>
                <w:szCs w:val="24"/>
                <w:lang w:val="pt-PT"/>
              </w:rPr>
              <w:t>)</w:t>
            </w:r>
          </w:p>
        </w:tc>
      </w:tr>
      <w:tr w:rsidR="000615DB" w:rsidRPr="008D18CF" w14:paraId="5733B9FE" w14:textId="77777777" w:rsidTr="006174BB">
        <w:tc>
          <w:tcPr>
            <w:tcW w:w="8640" w:type="dxa"/>
            <w:vAlign w:val="center"/>
          </w:tcPr>
          <w:p w14:paraId="207C2F6A"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sobre o Processo de Avaliação de Impacto Ambiental (Decreto nº 54/2015, de 31 de </w:t>
            </w:r>
            <w:proofErr w:type="gramStart"/>
            <w:r w:rsidRPr="00292532">
              <w:rPr>
                <w:rFonts w:asciiTheme="minorHAnsi" w:eastAsia="Calibri" w:hAnsiTheme="minorHAnsi" w:cstheme="minorHAnsi"/>
                <w:sz w:val="20"/>
                <w:szCs w:val="24"/>
                <w:lang w:val="pt-PT"/>
              </w:rPr>
              <w:t>Dezembro</w:t>
            </w:r>
            <w:proofErr w:type="gramEnd"/>
            <w:r w:rsidRPr="00292532">
              <w:rPr>
                <w:rFonts w:asciiTheme="minorHAnsi" w:eastAsia="Calibri" w:hAnsiTheme="minorHAnsi" w:cstheme="minorHAnsi"/>
                <w:sz w:val="20"/>
                <w:szCs w:val="24"/>
                <w:lang w:val="pt-PT"/>
              </w:rPr>
              <w:t>)</w:t>
            </w:r>
          </w:p>
        </w:tc>
      </w:tr>
      <w:tr w:rsidR="000615DB" w:rsidRPr="008D18CF" w14:paraId="3D0CA436" w14:textId="77777777" w:rsidTr="006174BB">
        <w:tc>
          <w:tcPr>
            <w:tcW w:w="8640" w:type="dxa"/>
            <w:vAlign w:val="center"/>
          </w:tcPr>
          <w:p w14:paraId="767336DD"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Regulamento referente a Auditorias Ambientais (Decreto nº 32/2003)</w:t>
            </w:r>
          </w:p>
        </w:tc>
      </w:tr>
      <w:tr w:rsidR="000615DB" w:rsidRPr="008D18CF" w14:paraId="2D24AF51" w14:textId="77777777" w:rsidTr="006174BB">
        <w:tc>
          <w:tcPr>
            <w:tcW w:w="8640" w:type="dxa"/>
            <w:vAlign w:val="center"/>
          </w:tcPr>
          <w:p w14:paraId="2904830F"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referente a </w:t>
            </w:r>
            <w:proofErr w:type="spellStart"/>
            <w:r w:rsidRPr="00292532">
              <w:rPr>
                <w:rFonts w:asciiTheme="minorHAnsi" w:eastAsia="Calibri" w:hAnsiTheme="minorHAnsi" w:cstheme="minorHAnsi"/>
                <w:sz w:val="20"/>
                <w:szCs w:val="24"/>
                <w:lang w:val="pt-PT"/>
              </w:rPr>
              <w:t>Inspecções</w:t>
            </w:r>
            <w:proofErr w:type="spellEnd"/>
            <w:r w:rsidRPr="00292532">
              <w:rPr>
                <w:rFonts w:asciiTheme="minorHAnsi" w:eastAsia="Calibri" w:hAnsiTheme="minorHAnsi" w:cstheme="minorHAnsi"/>
                <w:sz w:val="20"/>
                <w:szCs w:val="24"/>
                <w:lang w:val="pt-PT"/>
              </w:rPr>
              <w:t xml:space="preserve"> Ambientais (Decreto nº 11/2006)</w:t>
            </w:r>
          </w:p>
        </w:tc>
      </w:tr>
      <w:tr w:rsidR="000615DB" w:rsidRPr="008D18CF" w14:paraId="3D6C3866" w14:textId="77777777" w:rsidTr="006174BB">
        <w:tc>
          <w:tcPr>
            <w:tcW w:w="8640" w:type="dxa"/>
            <w:vAlign w:val="center"/>
          </w:tcPr>
          <w:p w14:paraId="73667A3C"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proofErr w:type="spellStart"/>
            <w:r w:rsidRPr="00292532">
              <w:rPr>
                <w:rFonts w:asciiTheme="minorHAnsi" w:eastAsia="Calibri" w:hAnsiTheme="minorHAnsi" w:cstheme="minorHAnsi"/>
                <w:sz w:val="20"/>
                <w:szCs w:val="24"/>
                <w:lang w:val="pt-PT"/>
              </w:rPr>
              <w:t>Directiva</w:t>
            </w:r>
            <w:proofErr w:type="spellEnd"/>
            <w:r w:rsidRPr="00292532">
              <w:rPr>
                <w:rFonts w:asciiTheme="minorHAnsi" w:eastAsia="Calibri" w:hAnsiTheme="minorHAnsi" w:cstheme="minorHAnsi"/>
                <w:sz w:val="20"/>
                <w:szCs w:val="24"/>
                <w:lang w:val="pt-PT"/>
              </w:rPr>
              <w:t xml:space="preserve"> Geral para a Elaboração de Estudos do Impacto Ambiental (Diploma Ministerial n.º 129/2006, de 19 de </w:t>
            </w:r>
            <w:proofErr w:type="gramStart"/>
            <w:r w:rsidRPr="00292532">
              <w:rPr>
                <w:rFonts w:asciiTheme="minorHAnsi" w:eastAsia="Calibri" w:hAnsiTheme="minorHAnsi" w:cstheme="minorHAnsi"/>
                <w:sz w:val="20"/>
                <w:szCs w:val="24"/>
                <w:lang w:val="pt-PT"/>
              </w:rPr>
              <w:t>Julho</w:t>
            </w:r>
            <w:proofErr w:type="gramEnd"/>
            <w:r w:rsidRPr="00292532">
              <w:rPr>
                <w:rFonts w:asciiTheme="minorHAnsi" w:eastAsia="Calibri" w:hAnsiTheme="minorHAnsi" w:cstheme="minorHAnsi"/>
                <w:sz w:val="20"/>
                <w:szCs w:val="24"/>
                <w:lang w:val="pt-PT"/>
              </w:rPr>
              <w:t>)</w:t>
            </w:r>
          </w:p>
        </w:tc>
      </w:tr>
      <w:tr w:rsidR="000615DB" w:rsidRPr="008D18CF" w14:paraId="064B1152" w14:textId="77777777" w:rsidTr="006174BB">
        <w:trPr>
          <w:trHeight w:val="1131"/>
        </w:trPr>
        <w:tc>
          <w:tcPr>
            <w:tcW w:w="8640" w:type="dxa"/>
            <w:vAlign w:val="center"/>
          </w:tcPr>
          <w:p w14:paraId="7BBC6A68"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proofErr w:type="spellStart"/>
            <w:r w:rsidRPr="00292532">
              <w:rPr>
                <w:rFonts w:asciiTheme="minorHAnsi" w:eastAsia="Calibri" w:hAnsiTheme="minorHAnsi" w:cstheme="minorHAnsi"/>
                <w:sz w:val="20"/>
                <w:szCs w:val="24"/>
                <w:lang w:val="pt-PT"/>
              </w:rPr>
              <w:t>Directiva</w:t>
            </w:r>
            <w:proofErr w:type="spellEnd"/>
            <w:r w:rsidRPr="00292532">
              <w:rPr>
                <w:rFonts w:asciiTheme="minorHAnsi" w:eastAsia="Calibri" w:hAnsiTheme="minorHAnsi" w:cstheme="minorHAnsi"/>
                <w:sz w:val="20"/>
                <w:szCs w:val="24"/>
                <w:lang w:val="pt-PT"/>
              </w:rPr>
              <w:t xml:space="preserve"> Geral para o Processo de Participação de Participação Pública no processo de Avaliação de Impacto Ambiental (Diploma Ministerial n.º 130/2006, de 19 de </w:t>
            </w:r>
            <w:proofErr w:type="gramStart"/>
            <w:r w:rsidRPr="00292532">
              <w:rPr>
                <w:rFonts w:asciiTheme="minorHAnsi" w:eastAsia="Calibri" w:hAnsiTheme="minorHAnsi" w:cstheme="minorHAnsi"/>
                <w:sz w:val="20"/>
                <w:szCs w:val="24"/>
                <w:lang w:val="pt-PT"/>
              </w:rPr>
              <w:t>Julho</w:t>
            </w:r>
            <w:proofErr w:type="gramEnd"/>
            <w:r w:rsidRPr="00292532">
              <w:rPr>
                <w:rFonts w:asciiTheme="minorHAnsi" w:eastAsia="Calibri" w:hAnsiTheme="minorHAnsi" w:cstheme="minorHAnsi"/>
                <w:sz w:val="20"/>
                <w:szCs w:val="24"/>
                <w:lang w:val="pt-PT"/>
              </w:rPr>
              <w:t>)</w:t>
            </w:r>
          </w:p>
        </w:tc>
      </w:tr>
      <w:tr w:rsidR="000615DB" w:rsidRPr="008D18CF" w14:paraId="320E5D35" w14:textId="77777777" w:rsidTr="006174BB">
        <w:tc>
          <w:tcPr>
            <w:tcW w:w="8640" w:type="dxa"/>
            <w:vAlign w:val="center"/>
          </w:tcPr>
          <w:p w14:paraId="08E41BE2"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Lei das Terras (Lei n.º 19/97 de 1 de </w:t>
            </w:r>
            <w:proofErr w:type="gramStart"/>
            <w:r w:rsidRPr="00292532">
              <w:rPr>
                <w:rFonts w:asciiTheme="minorHAnsi" w:eastAsia="Calibri" w:hAnsiTheme="minorHAnsi" w:cstheme="minorHAnsi"/>
                <w:sz w:val="20"/>
                <w:szCs w:val="24"/>
                <w:lang w:val="pt-PT"/>
              </w:rPr>
              <w:t>Outubro</w:t>
            </w:r>
            <w:proofErr w:type="gramEnd"/>
            <w:r w:rsidRPr="00292532">
              <w:rPr>
                <w:rFonts w:asciiTheme="minorHAnsi" w:eastAsia="Calibri" w:hAnsiTheme="minorHAnsi" w:cstheme="minorHAnsi"/>
                <w:sz w:val="20"/>
                <w:szCs w:val="24"/>
                <w:lang w:val="pt-PT"/>
              </w:rPr>
              <w:t>) e Regulamento da Lei de Terras (Decreto n.º 66/98, alterado pelo Decreto nº 1/2003);</w:t>
            </w:r>
          </w:p>
        </w:tc>
      </w:tr>
      <w:tr w:rsidR="000615DB" w:rsidRPr="008D18CF" w14:paraId="507707FF" w14:textId="77777777" w:rsidTr="006174BB">
        <w:tc>
          <w:tcPr>
            <w:tcW w:w="8640" w:type="dxa"/>
            <w:vAlign w:val="center"/>
          </w:tcPr>
          <w:p w14:paraId="6C1A8541"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de Uso de Estradas e Suas Zonas de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(Decreto nº 109/2014)</w:t>
            </w:r>
          </w:p>
        </w:tc>
      </w:tr>
      <w:tr w:rsidR="000615DB" w:rsidRPr="008D18CF" w14:paraId="5926D7EC" w14:textId="77777777" w:rsidTr="006174BB">
        <w:tc>
          <w:tcPr>
            <w:tcW w:w="8640" w:type="dxa"/>
            <w:vAlign w:val="center"/>
          </w:tcPr>
          <w:p w14:paraId="017AA55F"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Lei do Ordenamento Territorial (Lei nº 19/2007, 18 de </w:t>
            </w:r>
            <w:proofErr w:type="gramStart"/>
            <w:r w:rsidRPr="00292532">
              <w:rPr>
                <w:rFonts w:asciiTheme="minorHAnsi" w:eastAsia="Calibri" w:hAnsiTheme="minorHAnsi" w:cstheme="minorHAnsi"/>
                <w:sz w:val="20"/>
                <w:szCs w:val="24"/>
                <w:lang w:val="pt-PT"/>
              </w:rPr>
              <w:t>Julho</w:t>
            </w:r>
            <w:proofErr w:type="gramEnd"/>
            <w:r w:rsidRPr="00292532">
              <w:rPr>
                <w:rFonts w:asciiTheme="minorHAnsi" w:eastAsia="Calibri" w:hAnsiTheme="minorHAnsi" w:cstheme="minorHAnsi"/>
                <w:sz w:val="20"/>
                <w:szCs w:val="24"/>
                <w:lang w:val="pt-PT"/>
              </w:rPr>
              <w:t>)</w:t>
            </w:r>
          </w:p>
        </w:tc>
      </w:tr>
      <w:tr w:rsidR="000615DB" w:rsidRPr="008D18CF" w14:paraId="37F0FB37" w14:textId="77777777" w:rsidTr="006174BB">
        <w:tc>
          <w:tcPr>
            <w:tcW w:w="8640" w:type="dxa"/>
            <w:vAlign w:val="center"/>
          </w:tcPr>
          <w:p w14:paraId="42364B3B"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da Lei do Ordenamento Territorial (Decreto N.º 23/2008, de 1 de </w:t>
            </w:r>
            <w:proofErr w:type="gramStart"/>
            <w:r w:rsidRPr="00292532">
              <w:rPr>
                <w:rFonts w:asciiTheme="minorHAnsi" w:eastAsia="Calibri" w:hAnsiTheme="minorHAnsi" w:cstheme="minorHAnsi"/>
                <w:sz w:val="20"/>
                <w:szCs w:val="24"/>
                <w:lang w:val="pt-PT"/>
              </w:rPr>
              <w:t>Junho</w:t>
            </w:r>
            <w:proofErr w:type="gramEnd"/>
            <w:r w:rsidRPr="00292532">
              <w:rPr>
                <w:rFonts w:asciiTheme="minorHAnsi" w:eastAsia="Calibri" w:hAnsiTheme="minorHAnsi" w:cstheme="minorHAnsi"/>
                <w:sz w:val="20"/>
                <w:szCs w:val="24"/>
                <w:lang w:val="pt-PT"/>
              </w:rPr>
              <w:t>)</w:t>
            </w:r>
          </w:p>
        </w:tc>
      </w:tr>
      <w:tr w:rsidR="000615DB" w:rsidRPr="008D18CF" w14:paraId="29C745E0" w14:textId="77777777" w:rsidTr="006174BB">
        <w:tc>
          <w:tcPr>
            <w:tcW w:w="8640" w:type="dxa"/>
            <w:vAlign w:val="center"/>
          </w:tcPr>
          <w:p w14:paraId="32E22C39"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proofErr w:type="spellStart"/>
            <w:r w:rsidRPr="00292532">
              <w:rPr>
                <w:rFonts w:asciiTheme="minorHAnsi" w:eastAsia="Calibri" w:hAnsiTheme="minorHAnsi" w:cstheme="minorHAnsi"/>
                <w:sz w:val="20"/>
                <w:szCs w:val="24"/>
                <w:lang w:val="pt-PT"/>
              </w:rPr>
              <w:t>Directiva</w:t>
            </w:r>
            <w:proofErr w:type="spellEnd"/>
            <w:r w:rsidRPr="00292532">
              <w:rPr>
                <w:rFonts w:asciiTheme="minorHAnsi" w:eastAsia="Calibri" w:hAnsiTheme="minorHAnsi" w:cstheme="minorHAnsi"/>
                <w:sz w:val="20"/>
                <w:szCs w:val="24"/>
                <w:lang w:val="pt-PT"/>
              </w:rPr>
              <w:t xml:space="preserve"> sobre o Processo de Expropriação para efeitos de Ordenamento Territorial (Diploma Ministerial nº181/2010)</w:t>
            </w:r>
          </w:p>
        </w:tc>
      </w:tr>
      <w:tr w:rsidR="000615DB" w:rsidRPr="008D18CF" w14:paraId="402F75B8" w14:textId="77777777" w:rsidTr="006174BB">
        <w:tc>
          <w:tcPr>
            <w:tcW w:w="8640" w:type="dxa"/>
            <w:vAlign w:val="center"/>
          </w:tcPr>
          <w:p w14:paraId="5CD05A92"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sobre o processo de Reassentamento Resultante de </w:t>
            </w:r>
            <w:proofErr w:type="spellStart"/>
            <w:r w:rsidRPr="00292532">
              <w:rPr>
                <w:rFonts w:asciiTheme="minorHAnsi" w:eastAsia="Calibri" w:hAnsiTheme="minorHAnsi" w:cstheme="minorHAnsi"/>
                <w:sz w:val="20"/>
                <w:szCs w:val="24"/>
                <w:lang w:val="pt-PT"/>
              </w:rPr>
              <w:t>Actividades</w:t>
            </w:r>
            <w:proofErr w:type="spellEnd"/>
            <w:r w:rsidRPr="00292532">
              <w:rPr>
                <w:rFonts w:asciiTheme="minorHAnsi" w:eastAsia="Calibri" w:hAnsiTheme="minorHAnsi" w:cstheme="minorHAnsi"/>
                <w:sz w:val="20"/>
                <w:szCs w:val="24"/>
                <w:lang w:val="pt-PT"/>
              </w:rPr>
              <w:t xml:space="preserve"> Económicas (Decreto nº 31/20012, de 8 de </w:t>
            </w:r>
            <w:proofErr w:type="gramStart"/>
            <w:r w:rsidRPr="00292532">
              <w:rPr>
                <w:rFonts w:asciiTheme="minorHAnsi" w:eastAsia="Calibri" w:hAnsiTheme="minorHAnsi" w:cstheme="minorHAnsi"/>
                <w:sz w:val="20"/>
                <w:szCs w:val="24"/>
                <w:lang w:val="pt-PT"/>
              </w:rPr>
              <w:t>Agosto</w:t>
            </w:r>
            <w:proofErr w:type="gramEnd"/>
            <w:r w:rsidRPr="00292532">
              <w:rPr>
                <w:rFonts w:asciiTheme="minorHAnsi" w:eastAsia="Calibri" w:hAnsiTheme="minorHAnsi" w:cstheme="minorHAnsi"/>
                <w:sz w:val="20"/>
                <w:szCs w:val="24"/>
                <w:lang w:val="pt-PT"/>
              </w:rPr>
              <w:t>)</w:t>
            </w:r>
          </w:p>
        </w:tc>
      </w:tr>
      <w:tr w:rsidR="000615DB" w:rsidRPr="008D18CF" w14:paraId="33C6F5A2" w14:textId="77777777" w:rsidTr="006174BB">
        <w:tc>
          <w:tcPr>
            <w:tcW w:w="8640" w:type="dxa"/>
            <w:vAlign w:val="center"/>
          </w:tcPr>
          <w:p w14:paraId="77C3F626"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proofErr w:type="spellStart"/>
            <w:r w:rsidRPr="00292532">
              <w:rPr>
                <w:rFonts w:asciiTheme="minorHAnsi" w:eastAsia="Calibri" w:hAnsiTheme="minorHAnsi" w:cstheme="minorHAnsi"/>
                <w:sz w:val="20"/>
                <w:szCs w:val="24"/>
                <w:lang w:val="pt-PT"/>
              </w:rPr>
              <w:lastRenderedPageBreak/>
              <w:t>Directiva</w:t>
            </w:r>
            <w:proofErr w:type="spellEnd"/>
            <w:r w:rsidRPr="00292532">
              <w:rPr>
                <w:rFonts w:asciiTheme="minorHAnsi" w:eastAsia="Calibri" w:hAnsiTheme="minorHAnsi" w:cstheme="minorHAnsi"/>
                <w:sz w:val="20"/>
                <w:szCs w:val="24"/>
                <w:lang w:val="pt-PT"/>
              </w:rPr>
              <w:t xml:space="preserve"> Técnica do Processo de Elaboração e Implementação dos Planos de Reassentamento (Diploma Ministerial nº 156/2014, de 19 de </w:t>
            </w:r>
            <w:proofErr w:type="gramStart"/>
            <w:r w:rsidRPr="00292532">
              <w:rPr>
                <w:rFonts w:asciiTheme="minorHAnsi" w:eastAsia="Calibri" w:hAnsiTheme="minorHAnsi" w:cstheme="minorHAnsi"/>
                <w:sz w:val="20"/>
                <w:szCs w:val="24"/>
                <w:lang w:val="pt-PT"/>
              </w:rPr>
              <w:t>Setembro</w:t>
            </w:r>
            <w:proofErr w:type="gramEnd"/>
            <w:r w:rsidRPr="00292532">
              <w:rPr>
                <w:rFonts w:asciiTheme="minorHAnsi" w:eastAsia="Calibri" w:hAnsiTheme="minorHAnsi" w:cstheme="minorHAnsi"/>
                <w:sz w:val="20"/>
                <w:szCs w:val="24"/>
                <w:lang w:val="pt-PT"/>
              </w:rPr>
              <w:t>)</w:t>
            </w:r>
          </w:p>
        </w:tc>
      </w:tr>
      <w:tr w:rsidR="000615DB" w:rsidRPr="008D18CF" w14:paraId="4EA0DECD" w14:textId="77777777" w:rsidTr="006174BB">
        <w:tc>
          <w:tcPr>
            <w:tcW w:w="8640" w:type="dxa"/>
            <w:vAlign w:val="center"/>
          </w:tcPr>
          <w:p w14:paraId="72CA1BFE"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Lei das Florestas e Fauna Bravia (Lei n.º 10/99, de 7 de </w:t>
            </w:r>
            <w:proofErr w:type="gramStart"/>
            <w:r w:rsidRPr="00292532">
              <w:rPr>
                <w:rFonts w:asciiTheme="minorHAnsi" w:eastAsia="Calibri" w:hAnsiTheme="minorHAnsi" w:cstheme="minorHAnsi"/>
                <w:sz w:val="20"/>
                <w:szCs w:val="24"/>
                <w:lang w:val="pt-PT"/>
              </w:rPr>
              <w:t>Julho</w:t>
            </w:r>
            <w:proofErr w:type="gramEnd"/>
            <w:r w:rsidRPr="00292532">
              <w:rPr>
                <w:rFonts w:asciiTheme="minorHAnsi" w:eastAsia="Calibri" w:hAnsiTheme="minorHAnsi" w:cstheme="minorHAnsi"/>
                <w:sz w:val="20"/>
                <w:szCs w:val="24"/>
                <w:lang w:val="pt-PT"/>
              </w:rPr>
              <w:t>) e Regulamento da Lei das Florestas e Fauna Bravia (Decreto n.º 12/2002, de 6 de Junho, alterado pelo Decreto n.º 11/2003.)</w:t>
            </w:r>
          </w:p>
        </w:tc>
      </w:tr>
      <w:tr w:rsidR="000615DB" w:rsidRPr="008D18CF" w14:paraId="14B31C64" w14:textId="77777777" w:rsidTr="006174BB">
        <w:tc>
          <w:tcPr>
            <w:tcW w:w="8640" w:type="dxa"/>
            <w:vAlign w:val="center"/>
          </w:tcPr>
          <w:p w14:paraId="0C903E4F"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para o Controlo de Espécies Exóticas Invasivas (Decreto n.º 25/2008, de 1 de </w:t>
            </w:r>
            <w:proofErr w:type="gramStart"/>
            <w:r w:rsidRPr="00292532">
              <w:rPr>
                <w:rFonts w:asciiTheme="minorHAnsi" w:eastAsia="Calibri" w:hAnsiTheme="minorHAnsi" w:cstheme="minorHAnsi"/>
                <w:sz w:val="20"/>
                <w:szCs w:val="24"/>
                <w:lang w:val="pt-PT"/>
              </w:rPr>
              <w:t>Julho</w:t>
            </w:r>
            <w:proofErr w:type="gramEnd"/>
            <w:r w:rsidRPr="00292532">
              <w:rPr>
                <w:rFonts w:asciiTheme="minorHAnsi" w:eastAsia="Calibri" w:hAnsiTheme="minorHAnsi" w:cstheme="minorHAnsi"/>
                <w:sz w:val="20"/>
                <w:szCs w:val="24"/>
                <w:lang w:val="pt-PT"/>
              </w:rPr>
              <w:t>)</w:t>
            </w:r>
          </w:p>
        </w:tc>
      </w:tr>
      <w:tr w:rsidR="000615DB" w:rsidRPr="008D18CF" w14:paraId="72C5E562" w14:textId="77777777" w:rsidTr="006174BB">
        <w:tc>
          <w:tcPr>
            <w:tcW w:w="8640" w:type="dxa"/>
            <w:vAlign w:val="center"/>
          </w:tcPr>
          <w:p w14:paraId="3654EAF1"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Lei da Conservação da Biodiversidade (Lei nº 16/2014, alterada pela Lei nº 5/2017, de 11 de </w:t>
            </w:r>
            <w:proofErr w:type="gramStart"/>
            <w:r w:rsidRPr="00292532">
              <w:rPr>
                <w:rFonts w:asciiTheme="minorHAnsi" w:eastAsia="Calibri" w:hAnsiTheme="minorHAnsi" w:cstheme="minorHAnsi"/>
                <w:sz w:val="20"/>
                <w:szCs w:val="24"/>
                <w:lang w:val="pt-PT"/>
              </w:rPr>
              <w:t>Maio</w:t>
            </w:r>
            <w:proofErr w:type="gramEnd"/>
            <w:r w:rsidRPr="00292532">
              <w:rPr>
                <w:rFonts w:asciiTheme="minorHAnsi" w:eastAsia="Calibri" w:hAnsiTheme="minorHAnsi" w:cstheme="minorHAnsi"/>
                <w:sz w:val="20"/>
                <w:szCs w:val="24"/>
                <w:lang w:val="pt-PT"/>
              </w:rPr>
              <w:t xml:space="preserve">.) </w:t>
            </w:r>
          </w:p>
        </w:tc>
      </w:tr>
      <w:tr w:rsidR="000615DB" w:rsidRPr="008D18CF" w14:paraId="1E8FBFA9" w14:textId="77777777" w:rsidTr="006174BB">
        <w:tc>
          <w:tcPr>
            <w:tcW w:w="8640" w:type="dxa"/>
            <w:vAlign w:val="center"/>
          </w:tcPr>
          <w:p w14:paraId="2CFDC588"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Lei de Águas (Lei nº 16/91, de 3 de </w:t>
            </w:r>
            <w:proofErr w:type="gramStart"/>
            <w:r w:rsidRPr="00292532">
              <w:rPr>
                <w:rFonts w:asciiTheme="minorHAnsi" w:eastAsia="Calibri" w:hAnsiTheme="minorHAnsi" w:cstheme="minorHAnsi"/>
                <w:sz w:val="20"/>
                <w:szCs w:val="24"/>
                <w:lang w:val="pt-PT"/>
              </w:rPr>
              <w:t>Agosto</w:t>
            </w:r>
            <w:proofErr w:type="gramEnd"/>
            <w:r w:rsidRPr="00292532">
              <w:rPr>
                <w:rFonts w:asciiTheme="minorHAnsi" w:eastAsia="Calibri" w:hAnsiTheme="minorHAnsi" w:cstheme="minorHAnsi"/>
                <w:sz w:val="20"/>
                <w:szCs w:val="24"/>
                <w:lang w:val="pt-PT"/>
              </w:rPr>
              <w:t>)</w:t>
            </w:r>
          </w:p>
        </w:tc>
      </w:tr>
      <w:tr w:rsidR="000615DB" w:rsidRPr="008D18CF" w14:paraId="3E51EFB5" w14:textId="77777777" w:rsidTr="006174BB">
        <w:tc>
          <w:tcPr>
            <w:tcW w:w="8640" w:type="dxa"/>
            <w:vAlign w:val="center"/>
          </w:tcPr>
          <w:p w14:paraId="0BB8744A"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de Licenças e Concessões de Águas (Decreto n.º 43/2007, de 30 de </w:t>
            </w:r>
            <w:proofErr w:type="gramStart"/>
            <w:r w:rsidRPr="00292532">
              <w:rPr>
                <w:rFonts w:asciiTheme="minorHAnsi" w:eastAsia="Calibri" w:hAnsiTheme="minorHAnsi" w:cstheme="minorHAnsi"/>
                <w:sz w:val="20"/>
                <w:szCs w:val="24"/>
                <w:lang w:val="pt-PT"/>
              </w:rPr>
              <w:t>Outubro</w:t>
            </w:r>
            <w:proofErr w:type="gramEnd"/>
            <w:r w:rsidRPr="00292532">
              <w:rPr>
                <w:rFonts w:asciiTheme="minorHAnsi" w:eastAsia="Calibri" w:hAnsiTheme="minorHAnsi" w:cstheme="minorHAnsi"/>
                <w:sz w:val="20"/>
                <w:szCs w:val="24"/>
                <w:lang w:val="pt-PT"/>
              </w:rPr>
              <w:t>)</w:t>
            </w:r>
          </w:p>
        </w:tc>
      </w:tr>
      <w:tr w:rsidR="000615DB" w:rsidRPr="008D18CF" w14:paraId="24BA1124" w14:textId="77777777" w:rsidTr="006174BB">
        <w:tc>
          <w:tcPr>
            <w:tcW w:w="8640" w:type="dxa"/>
            <w:vAlign w:val="center"/>
          </w:tcPr>
          <w:p w14:paraId="6865CEC4"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Regulamento de Pesquisa e Exploração de Águas Subterrâneas (Decreto nº 18/2012)</w:t>
            </w:r>
          </w:p>
        </w:tc>
      </w:tr>
      <w:tr w:rsidR="000615DB" w:rsidRPr="008D18CF" w14:paraId="08EE1074" w14:textId="77777777" w:rsidTr="006174BB">
        <w:tc>
          <w:tcPr>
            <w:tcW w:w="8640" w:type="dxa"/>
            <w:vAlign w:val="center"/>
          </w:tcPr>
          <w:p w14:paraId="1130670D"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dos Sistemas dos públicos de distribuição de água e de Drenagem de águas Residuais (Decreto nº 30/2003 de 1 de </w:t>
            </w:r>
            <w:proofErr w:type="gramStart"/>
            <w:r w:rsidRPr="00292532">
              <w:rPr>
                <w:rFonts w:asciiTheme="minorHAnsi" w:eastAsia="Calibri" w:hAnsiTheme="minorHAnsi" w:cstheme="minorHAnsi"/>
                <w:sz w:val="20"/>
                <w:szCs w:val="24"/>
                <w:lang w:val="pt-PT"/>
              </w:rPr>
              <w:t>Julho</w:t>
            </w:r>
            <w:proofErr w:type="gramEnd"/>
            <w:r w:rsidRPr="00292532">
              <w:rPr>
                <w:rFonts w:asciiTheme="minorHAnsi" w:eastAsia="Calibri" w:hAnsiTheme="minorHAnsi" w:cstheme="minorHAnsi"/>
                <w:sz w:val="20"/>
                <w:szCs w:val="24"/>
                <w:lang w:val="pt-PT"/>
              </w:rPr>
              <w:t>)</w:t>
            </w:r>
          </w:p>
        </w:tc>
      </w:tr>
      <w:tr w:rsidR="000615DB" w:rsidRPr="008D18CF" w14:paraId="20BF9203" w14:textId="77777777" w:rsidTr="006174BB">
        <w:tc>
          <w:tcPr>
            <w:tcW w:w="8640" w:type="dxa"/>
            <w:vAlign w:val="center"/>
          </w:tcPr>
          <w:p w14:paraId="2FF9E47E"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Lei do Ambiente (Lei nº 20/97, de 1 de </w:t>
            </w:r>
            <w:proofErr w:type="gramStart"/>
            <w:r w:rsidRPr="00292532">
              <w:rPr>
                <w:rFonts w:asciiTheme="minorHAnsi" w:eastAsia="Calibri" w:hAnsiTheme="minorHAnsi" w:cstheme="minorHAnsi"/>
                <w:sz w:val="20"/>
                <w:szCs w:val="24"/>
                <w:lang w:val="pt-PT"/>
              </w:rPr>
              <w:t>Outubro</w:t>
            </w:r>
            <w:proofErr w:type="gramEnd"/>
            <w:r w:rsidRPr="00292532">
              <w:rPr>
                <w:rFonts w:asciiTheme="minorHAnsi" w:eastAsia="Calibri" w:hAnsiTheme="minorHAnsi" w:cstheme="minorHAnsi"/>
                <w:sz w:val="20"/>
                <w:szCs w:val="24"/>
                <w:lang w:val="pt-PT"/>
              </w:rPr>
              <w:t>)</w:t>
            </w:r>
          </w:p>
        </w:tc>
      </w:tr>
      <w:tr w:rsidR="000615DB" w:rsidRPr="008D18CF" w14:paraId="793374A4" w14:textId="77777777" w:rsidTr="006174BB">
        <w:tc>
          <w:tcPr>
            <w:tcW w:w="8640" w:type="dxa"/>
            <w:vAlign w:val="center"/>
          </w:tcPr>
          <w:p w14:paraId="70514791"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sobre Padrões de Qualidade Ambiental e de Emissão de Efluentes (Decreto nº 18/2004, 15 de </w:t>
            </w:r>
            <w:proofErr w:type="gramStart"/>
            <w:r w:rsidRPr="00292532">
              <w:rPr>
                <w:rFonts w:asciiTheme="minorHAnsi" w:eastAsia="Calibri" w:hAnsiTheme="minorHAnsi" w:cstheme="minorHAnsi"/>
                <w:sz w:val="20"/>
                <w:szCs w:val="24"/>
                <w:lang w:val="pt-PT"/>
              </w:rPr>
              <w:t>Setembro</w:t>
            </w:r>
            <w:proofErr w:type="gramEnd"/>
            <w:r w:rsidRPr="00292532">
              <w:rPr>
                <w:rFonts w:asciiTheme="minorHAnsi" w:eastAsia="Calibri" w:hAnsiTheme="minorHAnsi" w:cstheme="minorHAnsi"/>
                <w:sz w:val="20"/>
                <w:szCs w:val="24"/>
                <w:lang w:val="pt-PT"/>
              </w:rPr>
              <w:t>, alterado pelo Decreto nº 67/2010, 31 de Dezembro)</w:t>
            </w:r>
          </w:p>
        </w:tc>
      </w:tr>
      <w:tr w:rsidR="000615DB" w:rsidRPr="008D18CF" w14:paraId="3DBE84A1" w14:textId="77777777" w:rsidTr="006174BB">
        <w:tc>
          <w:tcPr>
            <w:tcW w:w="8640" w:type="dxa"/>
            <w:vAlign w:val="center"/>
          </w:tcPr>
          <w:p w14:paraId="460EB83B"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para a Prevenção da Poluição e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do Ambiente Marinho Costeiro (Decreto nº. 45/2006)</w:t>
            </w:r>
          </w:p>
        </w:tc>
      </w:tr>
      <w:tr w:rsidR="000615DB" w:rsidRPr="008D18CF" w14:paraId="0FF35D9E" w14:textId="77777777" w:rsidTr="006174BB">
        <w:tc>
          <w:tcPr>
            <w:tcW w:w="8640" w:type="dxa"/>
            <w:vAlign w:val="center"/>
          </w:tcPr>
          <w:p w14:paraId="50F2DC1E"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sobre Gestão de Resíduos Perigosos (Decreto nº 83/2014, de 31 de </w:t>
            </w:r>
            <w:proofErr w:type="gramStart"/>
            <w:r w:rsidRPr="00292532">
              <w:rPr>
                <w:rFonts w:asciiTheme="minorHAnsi" w:eastAsia="Calibri" w:hAnsiTheme="minorHAnsi" w:cstheme="minorHAnsi"/>
                <w:sz w:val="20"/>
                <w:szCs w:val="24"/>
                <w:lang w:val="pt-PT"/>
              </w:rPr>
              <w:t>Dezembro</w:t>
            </w:r>
            <w:proofErr w:type="gramEnd"/>
            <w:r w:rsidRPr="00292532">
              <w:rPr>
                <w:rFonts w:asciiTheme="minorHAnsi" w:eastAsia="Calibri" w:hAnsiTheme="minorHAnsi" w:cstheme="minorHAnsi"/>
                <w:sz w:val="20"/>
                <w:szCs w:val="24"/>
                <w:lang w:val="pt-PT"/>
              </w:rPr>
              <w:t>)</w:t>
            </w:r>
          </w:p>
        </w:tc>
      </w:tr>
      <w:tr w:rsidR="000615DB" w:rsidRPr="008D18CF" w14:paraId="72E961F7" w14:textId="77777777" w:rsidTr="006174BB">
        <w:tc>
          <w:tcPr>
            <w:tcW w:w="8640" w:type="dxa"/>
            <w:vAlign w:val="center"/>
          </w:tcPr>
          <w:p w14:paraId="065B2D66"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sobre Gestão de Resíduos Urbanos (Decreto nº 94/2014, de 31 de </w:t>
            </w:r>
            <w:proofErr w:type="gramStart"/>
            <w:r w:rsidRPr="00292532">
              <w:rPr>
                <w:rFonts w:asciiTheme="minorHAnsi" w:eastAsia="Calibri" w:hAnsiTheme="minorHAnsi" w:cstheme="minorHAnsi"/>
                <w:sz w:val="20"/>
                <w:szCs w:val="24"/>
                <w:lang w:val="pt-PT"/>
              </w:rPr>
              <w:t>Dezembro</w:t>
            </w:r>
            <w:proofErr w:type="gramEnd"/>
            <w:r w:rsidRPr="00292532">
              <w:rPr>
                <w:rFonts w:asciiTheme="minorHAnsi" w:eastAsia="Calibri" w:hAnsiTheme="minorHAnsi" w:cstheme="minorHAnsi"/>
                <w:sz w:val="20"/>
                <w:szCs w:val="24"/>
                <w:lang w:val="pt-PT"/>
              </w:rPr>
              <w:t>)</w:t>
            </w:r>
          </w:p>
        </w:tc>
      </w:tr>
      <w:tr w:rsidR="000615DB" w:rsidRPr="008D18CF" w14:paraId="4D4EC681" w14:textId="77777777" w:rsidTr="006174BB">
        <w:tc>
          <w:tcPr>
            <w:tcW w:w="8640" w:type="dxa"/>
            <w:vAlign w:val="center"/>
          </w:tcPr>
          <w:p w14:paraId="7E603E9B"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Lei do Património Cultural (Lei nº 10/88)</w:t>
            </w:r>
          </w:p>
        </w:tc>
      </w:tr>
      <w:tr w:rsidR="000615DB" w:rsidRPr="008D18CF" w14:paraId="538B61DA" w14:textId="77777777" w:rsidTr="006174BB">
        <w:tc>
          <w:tcPr>
            <w:tcW w:w="8640" w:type="dxa"/>
            <w:vAlign w:val="center"/>
          </w:tcPr>
          <w:p w14:paraId="622228FD"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de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do Património Arqueológico (Decreto nº 27/94, de 20 de </w:t>
            </w:r>
            <w:proofErr w:type="gramStart"/>
            <w:r w:rsidRPr="00292532">
              <w:rPr>
                <w:rFonts w:asciiTheme="minorHAnsi" w:eastAsia="Calibri" w:hAnsiTheme="minorHAnsi" w:cstheme="minorHAnsi"/>
                <w:sz w:val="20"/>
                <w:szCs w:val="24"/>
                <w:lang w:val="pt-PT"/>
              </w:rPr>
              <w:t>Julho</w:t>
            </w:r>
            <w:proofErr w:type="gramEnd"/>
            <w:r w:rsidRPr="00292532">
              <w:rPr>
                <w:rFonts w:asciiTheme="minorHAnsi" w:eastAsia="Calibri" w:hAnsiTheme="minorHAnsi" w:cstheme="minorHAnsi"/>
                <w:sz w:val="20"/>
                <w:szCs w:val="24"/>
                <w:lang w:val="pt-PT"/>
              </w:rPr>
              <w:t>)</w:t>
            </w:r>
          </w:p>
        </w:tc>
      </w:tr>
      <w:tr w:rsidR="000615DB" w:rsidRPr="008D18CF" w14:paraId="1C83CC5F" w14:textId="77777777" w:rsidTr="006174BB">
        <w:tc>
          <w:tcPr>
            <w:tcW w:w="8640" w:type="dxa"/>
            <w:vAlign w:val="center"/>
          </w:tcPr>
          <w:p w14:paraId="2535D046"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lastRenderedPageBreak/>
              <w:t xml:space="preserve">Lei de Trabalho (Lei nº 23/2007, de 1 de </w:t>
            </w:r>
            <w:proofErr w:type="gramStart"/>
            <w:r w:rsidRPr="00292532">
              <w:rPr>
                <w:rFonts w:asciiTheme="minorHAnsi" w:eastAsia="Calibri" w:hAnsiTheme="minorHAnsi" w:cstheme="minorHAnsi"/>
                <w:sz w:val="20"/>
                <w:szCs w:val="24"/>
                <w:lang w:val="pt-PT"/>
              </w:rPr>
              <w:t>Agosto</w:t>
            </w:r>
            <w:proofErr w:type="gramEnd"/>
            <w:r w:rsidRPr="00292532">
              <w:rPr>
                <w:rFonts w:asciiTheme="minorHAnsi" w:eastAsia="Calibri" w:hAnsiTheme="minorHAnsi" w:cstheme="minorHAnsi"/>
                <w:sz w:val="20"/>
                <w:szCs w:val="24"/>
                <w:lang w:val="pt-PT"/>
              </w:rPr>
              <w:t>)</w:t>
            </w:r>
          </w:p>
        </w:tc>
      </w:tr>
      <w:tr w:rsidR="000615DB" w:rsidRPr="008D18CF" w14:paraId="5BDF944D" w14:textId="77777777" w:rsidTr="006174BB">
        <w:tc>
          <w:tcPr>
            <w:tcW w:w="8640" w:type="dxa"/>
            <w:vAlign w:val="center"/>
          </w:tcPr>
          <w:p w14:paraId="0744222C"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Sobre Acidentes de trabalho e Doenças Profissionais (Decreto nº 62/2013, de 3 de </w:t>
            </w:r>
            <w:proofErr w:type="gramStart"/>
            <w:r w:rsidRPr="00292532">
              <w:rPr>
                <w:rFonts w:asciiTheme="minorHAnsi" w:eastAsia="Calibri" w:hAnsiTheme="minorHAnsi" w:cstheme="minorHAnsi"/>
                <w:sz w:val="20"/>
                <w:szCs w:val="24"/>
                <w:lang w:val="pt-PT"/>
              </w:rPr>
              <w:t>Junho</w:t>
            </w:r>
            <w:proofErr w:type="gramEnd"/>
            <w:r w:rsidRPr="00292532">
              <w:rPr>
                <w:rFonts w:asciiTheme="minorHAnsi" w:eastAsia="Calibri" w:hAnsiTheme="minorHAnsi" w:cstheme="minorHAnsi"/>
                <w:sz w:val="20"/>
                <w:szCs w:val="24"/>
                <w:lang w:val="pt-PT"/>
              </w:rPr>
              <w:t>)</w:t>
            </w:r>
          </w:p>
        </w:tc>
      </w:tr>
      <w:tr w:rsidR="000615DB" w:rsidRPr="008D18CF" w14:paraId="31A2DB90" w14:textId="77777777" w:rsidTr="006174BB">
        <w:tc>
          <w:tcPr>
            <w:tcW w:w="8640" w:type="dxa"/>
            <w:vAlign w:val="center"/>
          </w:tcPr>
          <w:p w14:paraId="2B492F28"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Lei de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dos trabalhadores com HIV/SIDA (Lei nº 05/2002)</w:t>
            </w:r>
          </w:p>
        </w:tc>
      </w:tr>
      <w:tr w:rsidR="000615DB" w:rsidRPr="008D18CF" w14:paraId="295C3689" w14:textId="77777777" w:rsidTr="006174BB">
        <w:tc>
          <w:tcPr>
            <w:tcW w:w="8640" w:type="dxa"/>
            <w:vAlign w:val="center"/>
          </w:tcPr>
          <w:p w14:paraId="4FCDE878"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Lei de </w:t>
            </w:r>
            <w:proofErr w:type="spellStart"/>
            <w:r w:rsidRPr="00292532">
              <w:rPr>
                <w:rFonts w:asciiTheme="minorHAnsi" w:eastAsia="Calibri" w:hAnsiTheme="minorHAnsi" w:cstheme="minorHAnsi"/>
                <w:sz w:val="20"/>
                <w:szCs w:val="24"/>
                <w:lang w:val="pt-PT"/>
              </w:rPr>
              <w:t>Protecção</w:t>
            </w:r>
            <w:proofErr w:type="spellEnd"/>
            <w:r w:rsidRPr="00292532">
              <w:rPr>
                <w:rFonts w:asciiTheme="minorHAnsi" w:eastAsia="Calibri" w:hAnsiTheme="minorHAnsi" w:cstheme="minorHAnsi"/>
                <w:sz w:val="20"/>
                <w:szCs w:val="24"/>
                <w:lang w:val="pt-PT"/>
              </w:rPr>
              <w:t xml:space="preserve"> a Pessoa, Trabalhador ou Candidato ao Emprego vivendo com HIV/SIDA (Lei nº 19/2014 de 27 de </w:t>
            </w:r>
            <w:proofErr w:type="gramStart"/>
            <w:r w:rsidRPr="00292532">
              <w:rPr>
                <w:rFonts w:asciiTheme="minorHAnsi" w:eastAsia="Calibri" w:hAnsiTheme="minorHAnsi" w:cstheme="minorHAnsi"/>
                <w:sz w:val="20"/>
                <w:szCs w:val="24"/>
                <w:lang w:val="pt-PT"/>
              </w:rPr>
              <w:t>Agosto</w:t>
            </w:r>
            <w:proofErr w:type="gramEnd"/>
            <w:r w:rsidRPr="00292532">
              <w:rPr>
                <w:rFonts w:asciiTheme="minorHAnsi" w:eastAsia="Calibri" w:hAnsiTheme="minorHAnsi" w:cstheme="minorHAnsi"/>
                <w:sz w:val="20"/>
                <w:szCs w:val="24"/>
                <w:lang w:val="pt-PT"/>
              </w:rPr>
              <w:t>)</w:t>
            </w:r>
          </w:p>
        </w:tc>
      </w:tr>
      <w:tr w:rsidR="000615DB" w:rsidRPr="008D18CF" w14:paraId="3FD82D66" w14:textId="77777777" w:rsidTr="006174BB">
        <w:tc>
          <w:tcPr>
            <w:tcW w:w="8640" w:type="dxa"/>
            <w:vAlign w:val="center"/>
          </w:tcPr>
          <w:p w14:paraId="51A4F1AC" w14:textId="77777777" w:rsidR="000615DB" w:rsidRPr="00292532" w:rsidRDefault="000615DB" w:rsidP="006174BB">
            <w:pPr>
              <w:autoSpaceDE w:val="0"/>
              <w:autoSpaceDN w:val="0"/>
              <w:adjustRightInd w:val="0"/>
              <w:spacing w:before="120" w:afterLines="160" w:after="384" w:line="20" w:lineRule="atLeast"/>
              <w:rPr>
                <w:rFonts w:asciiTheme="minorHAnsi" w:eastAsia="Calibri" w:hAnsiTheme="minorHAnsi" w:cstheme="minorHAnsi"/>
                <w:sz w:val="20"/>
                <w:szCs w:val="24"/>
                <w:lang w:val="pt-PT"/>
              </w:rPr>
            </w:pPr>
            <w:r w:rsidRPr="00292532">
              <w:rPr>
                <w:rFonts w:asciiTheme="minorHAnsi" w:eastAsia="Calibri" w:hAnsiTheme="minorHAnsi" w:cstheme="minorHAnsi"/>
                <w:sz w:val="20"/>
                <w:szCs w:val="24"/>
                <w:lang w:val="pt-PT"/>
              </w:rPr>
              <w:t xml:space="preserve">Regulamento Sobre </w:t>
            </w:r>
            <w:proofErr w:type="spellStart"/>
            <w:r w:rsidRPr="00292532">
              <w:rPr>
                <w:rFonts w:asciiTheme="minorHAnsi" w:eastAsia="Calibri" w:hAnsiTheme="minorHAnsi" w:cstheme="minorHAnsi"/>
                <w:sz w:val="20"/>
                <w:szCs w:val="24"/>
                <w:lang w:val="pt-PT"/>
              </w:rPr>
              <w:t>Inspecção</w:t>
            </w:r>
            <w:proofErr w:type="spellEnd"/>
            <w:r w:rsidRPr="00292532">
              <w:rPr>
                <w:rFonts w:asciiTheme="minorHAnsi" w:eastAsia="Calibri" w:hAnsiTheme="minorHAnsi" w:cstheme="minorHAnsi"/>
                <w:sz w:val="20"/>
                <w:szCs w:val="24"/>
                <w:lang w:val="pt-PT"/>
              </w:rPr>
              <w:t xml:space="preserve"> Geral do Trabalho (Decreto nº 45/2009)</w:t>
            </w:r>
          </w:p>
        </w:tc>
      </w:tr>
    </w:tbl>
    <w:p w14:paraId="63527AB1" w14:textId="77777777" w:rsidR="000615DB" w:rsidRPr="00292532" w:rsidRDefault="000615DB" w:rsidP="000615DB">
      <w:pPr>
        <w:rPr>
          <w:lang w:val="pt-PT" w:eastAsia="ja-JP"/>
        </w:rPr>
      </w:pPr>
    </w:p>
    <w:p w14:paraId="6E39D3EE" w14:textId="77777777" w:rsidR="000615DB" w:rsidRPr="00292532" w:rsidRDefault="000615DB">
      <w:pPr>
        <w:pStyle w:val="Heading3"/>
        <w:rPr>
          <w:lang w:eastAsia="ja-JP"/>
        </w:rPr>
      </w:pPr>
      <w:bookmarkStart w:id="547" w:name="_Toc78435423"/>
      <w:bookmarkStart w:id="548" w:name="_Toc80380093"/>
      <w:r w:rsidRPr="00292532">
        <w:rPr>
          <w:lang w:eastAsia="ja-JP"/>
        </w:rPr>
        <w:t>Normas Ambientais e Sociais do Banco Mundial</w:t>
      </w:r>
      <w:bookmarkEnd w:id="547"/>
      <w:bookmarkEnd w:id="548"/>
      <w:r w:rsidRPr="00292532">
        <w:rPr>
          <w:lang w:eastAsia="ja-JP"/>
        </w:rPr>
        <w:t xml:space="preserve"> </w:t>
      </w:r>
    </w:p>
    <w:p w14:paraId="3B84466D" w14:textId="77777777" w:rsidR="000615DB" w:rsidRPr="00292532" w:rsidRDefault="000615DB" w:rsidP="000615DB">
      <w:pPr>
        <w:rPr>
          <w:lang w:val="pt-PT" w:eastAsia="ja-JP"/>
        </w:rPr>
      </w:pPr>
      <w:r w:rsidRPr="00292532">
        <w:rPr>
          <w:lang w:val="pt-PT" w:eastAsia="ja-JP"/>
        </w:rPr>
        <w:t xml:space="preserve">As Normas Ambientais e Sociais (NAS) aplicáveis ao </w:t>
      </w:r>
      <w:proofErr w:type="spellStart"/>
      <w:r w:rsidRPr="00292532">
        <w:rPr>
          <w:lang w:val="pt-PT" w:eastAsia="ja-JP"/>
        </w:rPr>
        <w:t>actual</w:t>
      </w:r>
      <w:proofErr w:type="spellEnd"/>
      <w:r w:rsidRPr="00292532">
        <w:rPr>
          <w:lang w:val="pt-PT" w:eastAsia="ja-JP"/>
        </w:rPr>
        <w:t xml:space="preserve"> PGAS são as seguintes:</w:t>
      </w:r>
    </w:p>
    <w:p w14:paraId="5C8E8BE7" w14:textId="77777777" w:rsidR="000615DB" w:rsidRPr="00292532" w:rsidRDefault="000615DB" w:rsidP="000615DB">
      <w:pPr>
        <w:pStyle w:val="ListParagraph"/>
        <w:numPr>
          <w:ilvl w:val="0"/>
          <w:numId w:val="51"/>
        </w:numPr>
        <w:rPr>
          <w:lang w:val="pt-PT" w:eastAsia="ja-JP"/>
        </w:rPr>
      </w:pPr>
      <w:r w:rsidRPr="00292532">
        <w:rPr>
          <w:lang w:val="pt-PT" w:eastAsia="ja-JP"/>
        </w:rPr>
        <w:t>Norma Ambiental e Social 1: Avaliação e Gestão de Riscos e Impactos Socioambientais.</w:t>
      </w:r>
    </w:p>
    <w:p w14:paraId="639A019F" w14:textId="77777777" w:rsidR="000615DB" w:rsidRPr="00292532" w:rsidRDefault="000615DB" w:rsidP="000615DB">
      <w:pPr>
        <w:pStyle w:val="ListParagraph"/>
        <w:numPr>
          <w:ilvl w:val="0"/>
          <w:numId w:val="51"/>
        </w:numPr>
        <w:rPr>
          <w:lang w:val="pt-PT" w:eastAsia="ja-JP"/>
        </w:rPr>
      </w:pPr>
      <w:r w:rsidRPr="00292532">
        <w:rPr>
          <w:lang w:val="pt-PT" w:eastAsia="ja-JP"/>
        </w:rPr>
        <w:t>Norma Ambiental e Social 2: Condições de Trabalho e Mão de Obra</w:t>
      </w:r>
    </w:p>
    <w:p w14:paraId="263D0F66" w14:textId="77777777" w:rsidR="000615DB" w:rsidRPr="00292532" w:rsidRDefault="000615DB" w:rsidP="000615DB">
      <w:pPr>
        <w:pStyle w:val="ListParagraph"/>
        <w:numPr>
          <w:ilvl w:val="0"/>
          <w:numId w:val="51"/>
        </w:numPr>
        <w:rPr>
          <w:lang w:val="pt-PT" w:eastAsia="ja-JP"/>
        </w:rPr>
      </w:pPr>
      <w:r w:rsidRPr="00292532">
        <w:rPr>
          <w:lang w:val="pt-PT" w:eastAsia="ja-JP"/>
        </w:rPr>
        <w:t>Norma Ambiental e Social 3: Eficácia de Recursos e Prevenção e Gestão da Poluição.</w:t>
      </w:r>
    </w:p>
    <w:p w14:paraId="0F847F58" w14:textId="77777777" w:rsidR="000615DB" w:rsidRPr="00292532" w:rsidRDefault="000615DB" w:rsidP="000615DB">
      <w:pPr>
        <w:pStyle w:val="ListParagraph"/>
        <w:numPr>
          <w:ilvl w:val="0"/>
          <w:numId w:val="51"/>
        </w:numPr>
        <w:rPr>
          <w:lang w:val="pt-PT" w:eastAsia="ja-JP"/>
        </w:rPr>
      </w:pPr>
      <w:r w:rsidRPr="00292532">
        <w:rPr>
          <w:lang w:val="pt-PT" w:eastAsia="ja-JP"/>
        </w:rPr>
        <w:t>Norma Ambiental e Social 4: Saúde e Segurança Comunitária.</w:t>
      </w:r>
    </w:p>
    <w:p w14:paraId="69160ACA" w14:textId="77777777" w:rsidR="000615DB" w:rsidRPr="00292532" w:rsidRDefault="000615DB" w:rsidP="000615DB">
      <w:pPr>
        <w:pStyle w:val="ListParagraph"/>
        <w:numPr>
          <w:ilvl w:val="0"/>
          <w:numId w:val="51"/>
        </w:numPr>
        <w:rPr>
          <w:lang w:val="pt-PT" w:eastAsia="ja-JP"/>
        </w:rPr>
      </w:pPr>
      <w:r w:rsidRPr="00292532">
        <w:rPr>
          <w:lang w:val="pt-PT" w:eastAsia="ja-JP"/>
        </w:rPr>
        <w:t>Norma Ambiental e Social 5: Aquisição de Terras, Restrições ao uso da Terra e Reassentamento Involuntário.</w:t>
      </w:r>
    </w:p>
    <w:p w14:paraId="0DA8CD97" w14:textId="77777777" w:rsidR="000615DB" w:rsidRPr="00292532" w:rsidRDefault="000615DB" w:rsidP="000615DB">
      <w:pPr>
        <w:pStyle w:val="ListParagraph"/>
        <w:numPr>
          <w:ilvl w:val="0"/>
          <w:numId w:val="51"/>
        </w:numPr>
        <w:rPr>
          <w:lang w:val="pt-PT" w:eastAsia="ja-JP"/>
        </w:rPr>
      </w:pPr>
      <w:r w:rsidRPr="00292532">
        <w:rPr>
          <w:lang w:val="pt-PT" w:eastAsia="ja-JP"/>
        </w:rPr>
        <w:t>Norma Ambiental e Social 6: Conservação da Biodiversidade e Gestão Sustentável de Recursos Naturais Vivos;</w:t>
      </w:r>
    </w:p>
    <w:p w14:paraId="1FE3C40B" w14:textId="77777777" w:rsidR="000615DB" w:rsidRPr="00292532" w:rsidRDefault="000615DB" w:rsidP="000615DB">
      <w:pPr>
        <w:pStyle w:val="ListParagraph"/>
        <w:numPr>
          <w:ilvl w:val="0"/>
          <w:numId w:val="51"/>
        </w:numPr>
        <w:rPr>
          <w:lang w:val="pt-PT" w:eastAsia="ja-JP"/>
        </w:rPr>
      </w:pPr>
      <w:r w:rsidRPr="00292532">
        <w:rPr>
          <w:lang w:val="pt-PT" w:eastAsia="ja-JP"/>
        </w:rPr>
        <w:t>Norma Ambiental e Social 8: Patrimônio Cultural;</w:t>
      </w:r>
    </w:p>
    <w:p w14:paraId="7FE49795" w14:textId="77777777" w:rsidR="000615DB" w:rsidRPr="00292532" w:rsidRDefault="000615DB" w:rsidP="000615DB">
      <w:pPr>
        <w:pStyle w:val="ListParagraph"/>
        <w:numPr>
          <w:ilvl w:val="0"/>
          <w:numId w:val="51"/>
        </w:numPr>
        <w:rPr>
          <w:lang w:val="pt-PT" w:eastAsia="ja-JP"/>
        </w:rPr>
      </w:pPr>
      <w:r w:rsidRPr="00292532">
        <w:rPr>
          <w:lang w:val="pt-PT" w:eastAsia="ja-JP"/>
        </w:rPr>
        <w:t>Norma Ambiental e Social 10: Envolvimento das Partes Interessadas e Divulgação de Informação</w:t>
      </w:r>
    </w:p>
    <w:p w14:paraId="7F983B2B" w14:textId="77777777" w:rsidR="000615DB" w:rsidRPr="00292532" w:rsidRDefault="000615DB" w:rsidP="000615DB">
      <w:pPr>
        <w:rPr>
          <w:color w:val="000000" w:themeColor="text1"/>
          <w:lang w:val="pt-PT"/>
        </w:rPr>
      </w:pPr>
      <w:r w:rsidRPr="00292532">
        <w:rPr>
          <w:color w:val="000000" w:themeColor="text1"/>
          <w:lang w:val="pt-PT"/>
        </w:rPr>
        <w:t xml:space="preserve">Para complementar as NAS acima, recorreu-se igualmente às seguintes </w:t>
      </w:r>
      <w:proofErr w:type="spellStart"/>
      <w:r w:rsidRPr="00292532">
        <w:rPr>
          <w:color w:val="000000" w:themeColor="text1"/>
          <w:lang w:val="pt-PT"/>
        </w:rPr>
        <w:t>directrizes</w:t>
      </w:r>
      <w:proofErr w:type="spellEnd"/>
      <w:r w:rsidRPr="00292532">
        <w:rPr>
          <w:color w:val="000000" w:themeColor="text1"/>
          <w:lang w:val="pt-PT"/>
        </w:rPr>
        <w:t xml:space="preserve"> gerais e específicas para a indústria em termos ambientais, de saúde e segurança: </w:t>
      </w:r>
    </w:p>
    <w:p w14:paraId="0E22CD32" w14:textId="77777777" w:rsidR="000615DB" w:rsidRPr="00292532" w:rsidRDefault="000615DB" w:rsidP="000615DB">
      <w:pPr>
        <w:pStyle w:val="ListParagraph"/>
        <w:numPr>
          <w:ilvl w:val="0"/>
          <w:numId w:val="60"/>
        </w:numPr>
        <w:rPr>
          <w:color w:val="000000" w:themeColor="text1"/>
          <w:lang w:val="pt-PT"/>
        </w:rPr>
      </w:pPr>
      <w:proofErr w:type="spellStart"/>
      <w:r w:rsidRPr="00292532">
        <w:rPr>
          <w:color w:val="000000" w:themeColor="text1"/>
          <w:lang w:val="pt-PT"/>
        </w:rPr>
        <w:t>Directrizes</w:t>
      </w:r>
      <w:proofErr w:type="spellEnd"/>
      <w:r w:rsidRPr="00292532">
        <w:rPr>
          <w:color w:val="000000" w:themeColor="text1"/>
          <w:lang w:val="pt-PT"/>
        </w:rPr>
        <w:t xml:space="preserve"> Gerais de Ambiente, Saúde e Segurança</w:t>
      </w:r>
    </w:p>
    <w:p w14:paraId="2F925A0F" w14:textId="77777777" w:rsidR="000615DB" w:rsidRPr="00292532" w:rsidRDefault="000615DB" w:rsidP="000615DB">
      <w:pPr>
        <w:pStyle w:val="ListParagraph"/>
        <w:numPr>
          <w:ilvl w:val="0"/>
          <w:numId w:val="60"/>
        </w:numPr>
        <w:rPr>
          <w:color w:val="000000" w:themeColor="text1"/>
          <w:lang w:val="pt-PT"/>
        </w:rPr>
      </w:pPr>
      <w:proofErr w:type="spellStart"/>
      <w:r w:rsidRPr="00292532">
        <w:rPr>
          <w:color w:val="000000" w:themeColor="text1"/>
          <w:lang w:val="pt-PT"/>
        </w:rPr>
        <w:t>Directrizes</w:t>
      </w:r>
      <w:proofErr w:type="spellEnd"/>
      <w:r w:rsidRPr="00292532">
        <w:rPr>
          <w:color w:val="000000" w:themeColor="text1"/>
          <w:lang w:val="pt-PT"/>
        </w:rPr>
        <w:t xml:space="preserve"> de Ambiente, Saúde e Segurança para Água e Saneamento</w:t>
      </w:r>
    </w:p>
    <w:p w14:paraId="1C95CC7D" w14:textId="77777777" w:rsidR="000615DB" w:rsidRPr="00292532" w:rsidRDefault="000615DB" w:rsidP="000615DB">
      <w:pPr>
        <w:rPr>
          <w:rFonts w:cs="Calibri"/>
          <w:color w:val="000000" w:themeColor="text1"/>
          <w:lang w:val="pt-PT"/>
        </w:rPr>
      </w:pPr>
      <w:r w:rsidRPr="00292532">
        <w:rPr>
          <w:color w:val="000000" w:themeColor="text1"/>
          <w:lang w:val="pt-PT"/>
        </w:rPr>
        <w:t xml:space="preserve">A Norma Ambiental e Social 1 - Avaliação e Gestão de Riscos e Impactos Socioambientais - exige que o </w:t>
      </w:r>
      <w:proofErr w:type="spellStart"/>
      <w:r w:rsidRPr="00292532">
        <w:rPr>
          <w:color w:val="000000" w:themeColor="text1"/>
          <w:lang w:val="pt-PT"/>
        </w:rPr>
        <w:t>Projecto</w:t>
      </w:r>
      <w:proofErr w:type="spellEnd"/>
      <w:r w:rsidRPr="00292532">
        <w:rPr>
          <w:color w:val="000000" w:themeColor="text1"/>
          <w:lang w:val="pt-PT"/>
        </w:rPr>
        <w:t xml:space="preserve"> estabeleça procedimentos e sistemas para gerir e monitorizar o desempenho ambiental e social e o cumprimento dos requisitos legais e práticas padrão. Isto inclui o estabelecimento de um sistema de gestão ambiental e gestão de programas (ou similar). As NAS 2-10 por sua vez requerem que os </w:t>
      </w:r>
      <w:proofErr w:type="spellStart"/>
      <w:r w:rsidRPr="00292532">
        <w:rPr>
          <w:color w:val="000000" w:themeColor="text1"/>
          <w:lang w:val="pt-PT"/>
        </w:rPr>
        <w:t>aspectos</w:t>
      </w:r>
      <w:proofErr w:type="spellEnd"/>
      <w:r w:rsidRPr="00292532">
        <w:rPr>
          <w:color w:val="000000" w:themeColor="text1"/>
          <w:lang w:val="pt-PT"/>
        </w:rPr>
        <w:t xml:space="preserve"> ambientais e sociais específicos sejam geridos e monitorizados, se forem relevantes para o </w:t>
      </w:r>
      <w:proofErr w:type="spellStart"/>
      <w:r w:rsidRPr="00292532">
        <w:rPr>
          <w:color w:val="000000" w:themeColor="text1"/>
          <w:lang w:val="pt-PT"/>
        </w:rPr>
        <w:t>Projecto</w:t>
      </w:r>
      <w:proofErr w:type="spellEnd"/>
      <w:r w:rsidRPr="00292532">
        <w:rPr>
          <w:color w:val="000000" w:themeColor="text1"/>
          <w:lang w:val="pt-PT"/>
        </w:rPr>
        <w:t xml:space="preserve">. </w:t>
      </w:r>
    </w:p>
    <w:p w14:paraId="39D2A57C" w14:textId="77777777" w:rsidR="000615DB" w:rsidRPr="00292532" w:rsidRDefault="000615DB" w:rsidP="000615DB">
      <w:pPr>
        <w:rPr>
          <w:lang w:val="pt-PT" w:eastAsia="ja-JP"/>
        </w:rPr>
      </w:pPr>
    </w:p>
    <w:p w14:paraId="61236A39" w14:textId="77777777" w:rsidR="000615DB" w:rsidRPr="00292532" w:rsidRDefault="000615DB" w:rsidP="000615DB">
      <w:pPr>
        <w:pStyle w:val="Heading2"/>
      </w:pPr>
      <w:bookmarkStart w:id="549" w:name="_Toc78435424"/>
      <w:bookmarkStart w:id="550" w:name="_Toc80380094"/>
      <w:r w:rsidRPr="00292532">
        <w:lastRenderedPageBreak/>
        <w:t xml:space="preserve">Padrões Numéricos e </w:t>
      </w:r>
      <w:proofErr w:type="spellStart"/>
      <w:r w:rsidRPr="00292532">
        <w:t>Directrizes</w:t>
      </w:r>
      <w:proofErr w:type="spellEnd"/>
      <w:r w:rsidRPr="00292532">
        <w:t xml:space="preserve"> Relevantes para o </w:t>
      </w:r>
      <w:proofErr w:type="spellStart"/>
      <w:r w:rsidRPr="00292532">
        <w:t>Projecto</w:t>
      </w:r>
      <w:bookmarkEnd w:id="549"/>
      <w:bookmarkEnd w:id="550"/>
      <w:proofErr w:type="spellEnd"/>
      <w:r w:rsidRPr="00292532">
        <w:t xml:space="preserve"> </w:t>
      </w:r>
    </w:p>
    <w:p w14:paraId="26AF074B" w14:textId="77777777" w:rsidR="000615DB" w:rsidRPr="00292532" w:rsidRDefault="000615DB" w:rsidP="000615DB">
      <w:pPr>
        <w:rPr>
          <w:lang w:val="pt-PT" w:eastAsia="ja-JP"/>
        </w:rPr>
      </w:pPr>
      <w:r w:rsidRPr="00292532">
        <w:rPr>
          <w:lang w:val="pt-PT" w:eastAsia="ja-JP"/>
        </w:rPr>
        <w:t xml:space="preserve">Esta secção apresenta uma análise comparativa entre os padrões estabelecidos pela legislação nacional e padrões internacionais relevantes para o </w:t>
      </w:r>
      <w:proofErr w:type="spellStart"/>
      <w:r w:rsidRPr="00292532">
        <w:rPr>
          <w:lang w:val="pt-PT" w:eastAsia="ja-JP"/>
        </w:rPr>
        <w:t>Projecto</w:t>
      </w:r>
      <w:proofErr w:type="spellEnd"/>
      <w:r w:rsidRPr="00292532">
        <w:rPr>
          <w:lang w:val="pt-PT" w:eastAsia="ja-JP"/>
        </w:rPr>
        <w:t>. Esta inclui padrões de qualidade do ar ambiente, ruído, qualidade da água potável e limites de emissão de efluentes.</w:t>
      </w:r>
    </w:p>
    <w:p w14:paraId="23B78205" w14:textId="77777777" w:rsidR="000615DB" w:rsidRPr="00292532" w:rsidRDefault="000615DB" w:rsidP="000615DB">
      <w:pPr>
        <w:rPr>
          <w:lang w:val="pt-PT" w:eastAsia="ja-JP"/>
        </w:rPr>
      </w:pPr>
      <w:r w:rsidRPr="00292532">
        <w:rPr>
          <w:lang w:val="pt-PT" w:eastAsia="ja-JP"/>
        </w:rPr>
        <w:t xml:space="preserve">Muitas vezes, os limites e normas do país anfitrião diferem dos limites e normas internacionais correspondentes. Em conformidade com as melhores práticas da indústria internacional, os </w:t>
      </w:r>
      <w:proofErr w:type="spellStart"/>
      <w:r w:rsidRPr="00292532">
        <w:rPr>
          <w:lang w:val="pt-PT" w:eastAsia="ja-JP"/>
        </w:rPr>
        <w:t>projectos</w:t>
      </w:r>
      <w:proofErr w:type="spellEnd"/>
      <w:r w:rsidRPr="00292532">
        <w:rPr>
          <w:lang w:val="pt-PT" w:eastAsia="ja-JP"/>
        </w:rPr>
        <w:t xml:space="preserve"> em todos os casos devem respeitar as normas do país anfitrião (neste caso, os limites e normas moçambicanas). As boas práticas internacionais na AIA sugerem que sempre que as normas internacionais sejam mais rigorosas, os </w:t>
      </w:r>
      <w:proofErr w:type="spellStart"/>
      <w:r w:rsidRPr="00292532">
        <w:rPr>
          <w:lang w:val="pt-PT" w:eastAsia="ja-JP"/>
        </w:rPr>
        <w:t>projectos</w:t>
      </w:r>
      <w:proofErr w:type="spellEnd"/>
      <w:r w:rsidRPr="00292532">
        <w:rPr>
          <w:lang w:val="pt-PT" w:eastAsia="ja-JP"/>
        </w:rPr>
        <w:t xml:space="preserve"> devem obedecer a esses padrões internacionais de referência. </w:t>
      </w:r>
    </w:p>
    <w:p w14:paraId="5203AF04" w14:textId="77777777" w:rsidR="000615DB" w:rsidRPr="00292532" w:rsidRDefault="000615DB">
      <w:pPr>
        <w:pStyle w:val="Heading3"/>
        <w:rPr>
          <w:lang w:eastAsia="ja-JP"/>
        </w:rPr>
      </w:pPr>
      <w:bookmarkStart w:id="551" w:name="_Toc78435425"/>
      <w:bookmarkStart w:id="552" w:name="_Toc80380095"/>
      <w:r w:rsidRPr="00292532">
        <w:rPr>
          <w:lang w:eastAsia="ja-JP"/>
        </w:rPr>
        <w:t>Emissões Atmosféricas</w:t>
      </w:r>
      <w:bookmarkEnd w:id="551"/>
      <w:bookmarkEnd w:id="552"/>
    </w:p>
    <w:p w14:paraId="725E04F1" w14:textId="77777777" w:rsidR="000615DB" w:rsidRPr="00292532" w:rsidRDefault="000615DB" w:rsidP="000615DB">
      <w:pPr>
        <w:rPr>
          <w:lang w:val="pt-PT" w:eastAsia="ja-JP"/>
        </w:rPr>
      </w:pPr>
      <w:r w:rsidRPr="00292532">
        <w:rPr>
          <w:lang w:val="pt-PT" w:eastAsia="ja-JP"/>
        </w:rPr>
        <w:t xml:space="preserve">Os padrões de qualidade do ar ambiente de Moçambique são guiados pelo Decreto 18/2004, de 2 de </w:t>
      </w:r>
      <w:proofErr w:type="gramStart"/>
      <w:r w:rsidRPr="00292532">
        <w:rPr>
          <w:lang w:val="pt-PT" w:eastAsia="ja-JP"/>
        </w:rPr>
        <w:t>Junho</w:t>
      </w:r>
      <w:proofErr w:type="gramEnd"/>
      <w:r w:rsidRPr="00292532">
        <w:rPr>
          <w:lang w:val="pt-PT" w:eastAsia="ja-JP"/>
        </w:rPr>
        <w:t xml:space="preserve">, e são alterados pelo Decreto 67/2010, de 31 de Dezembro. Estas normas estão previstas no Anexo 1 do Decreto 67/2010, de 31 de </w:t>
      </w:r>
      <w:proofErr w:type="gramStart"/>
      <w:r w:rsidRPr="00292532">
        <w:rPr>
          <w:lang w:val="pt-PT" w:eastAsia="ja-JP"/>
        </w:rPr>
        <w:t>Dezembro</w:t>
      </w:r>
      <w:proofErr w:type="gramEnd"/>
      <w:r w:rsidRPr="00292532">
        <w:rPr>
          <w:lang w:val="pt-PT" w:eastAsia="ja-JP"/>
        </w:rPr>
        <w:t xml:space="preserve"> para alguns critérios dos poluentes, ou seja, poluentes atmosféricos comuns com efeitos conhecidos na saúde humana. Estes estão listados na</w:t>
      </w:r>
      <w:r w:rsidRPr="00292532">
        <w:rPr>
          <w:b/>
          <w:bCs/>
          <w:lang w:val="pt-PT" w:eastAsia="ja-JP"/>
        </w:rPr>
        <w:t xml:space="preserve"> </w:t>
      </w:r>
      <w:r w:rsidRPr="00292532">
        <w:rPr>
          <w:b/>
          <w:bCs/>
          <w:lang w:val="pt-PT" w:eastAsia="ja-JP"/>
        </w:rPr>
        <w:fldChar w:fldCharType="begin"/>
      </w:r>
      <w:r w:rsidRPr="00292532">
        <w:rPr>
          <w:b/>
          <w:bCs/>
          <w:lang w:val="pt-PT" w:eastAsia="ja-JP"/>
        </w:rPr>
        <w:instrText xml:space="preserve"> REF _Ref72706926 \h  \* MERGEFORMAT </w:instrText>
      </w:r>
      <w:r w:rsidRPr="00292532">
        <w:rPr>
          <w:b/>
          <w:bCs/>
          <w:lang w:val="pt-PT" w:eastAsia="ja-JP"/>
        </w:rPr>
      </w:r>
      <w:r w:rsidRPr="00292532">
        <w:rPr>
          <w:b/>
          <w:bCs/>
          <w:lang w:val="pt-PT" w:eastAsia="ja-JP"/>
        </w:rPr>
        <w:fldChar w:fldCharType="separate"/>
      </w:r>
      <w:r w:rsidRPr="00292532">
        <w:rPr>
          <w:b/>
          <w:bCs/>
          <w:lang w:val="pt-PT"/>
        </w:rPr>
        <w:t xml:space="preserve">Tabela </w:t>
      </w:r>
      <w:r w:rsidRPr="00292532">
        <w:rPr>
          <w:b/>
          <w:bCs/>
          <w:noProof/>
          <w:lang w:val="pt-PT"/>
        </w:rPr>
        <w:t>2</w:t>
      </w:r>
      <w:r w:rsidRPr="00292532">
        <w:rPr>
          <w:b/>
          <w:bCs/>
          <w:lang w:val="pt-PT" w:eastAsia="ja-JP"/>
        </w:rPr>
        <w:fldChar w:fldCharType="end"/>
      </w:r>
      <w:r w:rsidRPr="00292532">
        <w:rPr>
          <w:lang w:val="pt-PT" w:eastAsia="ja-JP"/>
        </w:rPr>
        <w:t xml:space="preserve">. No entanto, não há nenhum padrão de qualidade do ar ambiente para a matéria particulada fina </w:t>
      </w:r>
      <w:proofErr w:type="spellStart"/>
      <w:r w:rsidRPr="00292532">
        <w:rPr>
          <w:lang w:val="pt-PT" w:eastAsia="ja-JP"/>
        </w:rPr>
        <w:t>inalável</w:t>
      </w:r>
      <w:proofErr w:type="spellEnd"/>
      <w:r w:rsidRPr="00292532">
        <w:rPr>
          <w:lang w:val="pt-PT" w:eastAsia="ja-JP"/>
        </w:rPr>
        <w:t xml:space="preserve"> (PM10) e nem para a deposição de poeiras em Moçambique.</w:t>
      </w:r>
    </w:p>
    <w:p w14:paraId="1BF07F40" w14:textId="77777777" w:rsidR="000615DB" w:rsidRPr="00292532" w:rsidRDefault="000615DB" w:rsidP="000615DB">
      <w:pPr>
        <w:pStyle w:val="Caption"/>
      </w:pPr>
      <w:r w:rsidRPr="00292532">
        <w:t>Tabela 2 Padrões Moçambicanos para a Qualidade do Ar (Anexo 1, Decreto 67/2010)</w:t>
      </w:r>
    </w:p>
    <w:tbl>
      <w:tblPr>
        <w:tblW w:w="5128" w:type="pct"/>
        <w:jc w:val="center"/>
        <w:tblLayout w:type="fixed"/>
        <w:tblCellMar>
          <w:left w:w="56" w:type="dxa"/>
          <w:right w:w="56" w:type="dxa"/>
        </w:tblCellMar>
        <w:tblLook w:val="04A0" w:firstRow="1" w:lastRow="0" w:firstColumn="1" w:lastColumn="0" w:noHBand="0" w:noVBand="1"/>
      </w:tblPr>
      <w:tblGrid>
        <w:gridCol w:w="1460"/>
        <w:gridCol w:w="923"/>
        <w:gridCol w:w="793"/>
        <w:gridCol w:w="834"/>
        <w:gridCol w:w="962"/>
        <w:gridCol w:w="919"/>
        <w:gridCol w:w="918"/>
        <w:gridCol w:w="616"/>
        <w:gridCol w:w="960"/>
        <w:gridCol w:w="337"/>
      </w:tblGrid>
      <w:tr w:rsidR="000615DB" w:rsidRPr="00292532" w14:paraId="53307A6F" w14:textId="77777777" w:rsidTr="006174BB">
        <w:trPr>
          <w:trHeight w:val="240"/>
          <w:tblHeader/>
          <w:jc w:val="center"/>
        </w:trPr>
        <w:tc>
          <w:tcPr>
            <w:tcW w:w="1460" w:type="dxa"/>
            <w:vMerge w:val="restart"/>
            <w:tcBorders>
              <w:top w:val="single" w:sz="12" w:space="0" w:color="auto"/>
              <w:bottom w:val="single" w:sz="6" w:space="0" w:color="auto"/>
            </w:tcBorders>
            <w:shd w:val="clear" w:color="auto" w:fill="D5DCE4" w:themeFill="text2" w:themeFillTint="33"/>
            <w:vAlign w:val="center"/>
          </w:tcPr>
          <w:p w14:paraId="744E6ABA"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b/>
                <w:color w:val="000000"/>
                <w:sz w:val="20"/>
                <w:szCs w:val="20"/>
                <w:lang w:val="pt-PT"/>
              </w:rPr>
            </w:pPr>
            <w:r w:rsidRPr="00292532">
              <w:rPr>
                <w:rFonts w:ascii="Callibri" w:eastAsia="Calibri" w:hAnsi="Callibri" w:cs="Times New Roman"/>
                <w:b/>
                <w:color w:val="000000"/>
                <w:sz w:val="20"/>
                <w:szCs w:val="20"/>
                <w:lang w:val="pt-PT"/>
              </w:rPr>
              <w:t>PARÂMETROS (µg/m</w:t>
            </w:r>
            <w:r w:rsidRPr="00292532">
              <w:rPr>
                <w:rFonts w:ascii="Callibri" w:eastAsia="Calibri" w:hAnsi="Callibri" w:cs="Times New Roman"/>
                <w:b/>
                <w:color w:val="000000"/>
                <w:sz w:val="20"/>
                <w:szCs w:val="20"/>
                <w:vertAlign w:val="superscript"/>
                <w:lang w:val="pt-PT"/>
              </w:rPr>
              <w:t>3</w:t>
            </w:r>
            <w:r w:rsidRPr="00292532">
              <w:rPr>
                <w:rFonts w:ascii="Callibri" w:eastAsia="Calibri" w:hAnsi="Callibri" w:cs="Times New Roman"/>
                <w:b/>
                <w:color w:val="000000"/>
                <w:sz w:val="20"/>
                <w:szCs w:val="20"/>
                <w:lang w:val="pt-PT"/>
              </w:rPr>
              <w:t>)</w:t>
            </w:r>
          </w:p>
        </w:tc>
        <w:tc>
          <w:tcPr>
            <w:tcW w:w="7262" w:type="dxa"/>
            <w:gridSpan w:val="9"/>
            <w:tcBorders>
              <w:top w:val="single" w:sz="12" w:space="0" w:color="auto"/>
              <w:bottom w:val="single" w:sz="6" w:space="0" w:color="auto"/>
            </w:tcBorders>
            <w:shd w:val="clear" w:color="auto" w:fill="D5DCE4" w:themeFill="text2" w:themeFillTint="33"/>
            <w:vAlign w:val="center"/>
          </w:tcPr>
          <w:p w14:paraId="7F614F69"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b/>
                <w:color w:val="000000"/>
                <w:sz w:val="20"/>
                <w:szCs w:val="20"/>
                <w:lang w:val="pt-PT"/>
              </w:rPr>
            </w:pPr>
            <w:r w:rsidRPr="00292532">
              <w:rPr>
                <w:rFonts w:ascii="Callibri" w:eastAsia="Calibri" w:hAnsi="Callibri" w:cs="Times New Roman"/>
                <w:b/>
                <w:color w:val="000000"/>
                <w:sz w:val="20"/>
                <w:szCs w:val="20"/>
                <w:lang w:val="pt-PT"/>
              </w:rPr>
              <w:t>TEMPO DE AMOSTRAGEM</w:t>
            </w:r>
          </w:p>
        </w:tc>
      </w:tr>
      <w:tr w:rsidR="000615DB" w:rsidRPr="00292532" w14:paraId="4749EA46" w14:textId="77777777" w:rsidTr="006174BB">
        <w:trPr>
          <w:trHeight w:val="240"/>
          <w:tblHeader/>
          <w:jc w:val="center"/>
        </w:trPr>
        <w:tc>
          <w:tcPr>
            <w:tcW w:w="1460" w:type="dxa"/>
            <w:vMerge/>
            <w:tcBorders>
              <w:top w:val="single" w:sz="6" w:space="0" w:color="auto"/>
            </w:tcBorders>
            <w:shd w:val="clear" w:color="auto" w:fill="D5DCE4" w:themeFill="text2" w:themeFillTint="33"/>
            <w:vAlign w:val="center"/>
          </w:tcPr>
          <w:p w14:paraId="05D5E7F1"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p>
        </w:tc>
        <w:tc>
          <w:tcPr>
            <w:tcW w:w="923" w:type="dxa"/>
            <w:tcBorders>
              <w:top w:val="single" w:sz="6" w:space="0" w:color="auto"/>
            </w:tcBorders>
            <w:shd w:val="clear" w:color="auto" w:fill="D5DCE4" w:themeFill="text2" w:themeFillTint="33"/>
            <w:vAlign w:val="center"/>
          </w:tcPr>
          <w:p w14:paraId="7A2FC670"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10 Minutos</w:t>
            </w:r>
          </w:p>
        </w:tc>
        <w:tc>
          <w:tcPr>
            <w:tcW w:w="793" w:type="dxa"/>
            <w:shd w:val="clear" w:color="auto" w:fill="D5DCE4" w:themeFill="text2" w:themeFillTint="33"/>
            <w:vAlign w:val="center"/>
          </w:tcPr>
          <w:p w14:paraId="15DCB83E"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15 Minutos</w:t>
            </w:r>
          </w:p>
        </w:tc>
        <w:tc>
          <w:tcPr>
            <w:tcW w:w="834" w:type="dxa"/>
            <w:shd w:val="clear" w:color="auto" w:fill="D5DCE4" w:themeFill="text2" w:themeFillTint="33"/>
            <w:vAlign w:val="center"/>
          </w:tcPr>
          <w:p w14:paraId="4F94D83F"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30 Minutos</w:t>
            </w:r>
          </w:p>
        </w:tc>
        <w:tc>
          <w:tcPr>
            <w:tcW w:w="962" w:type="dxa"/>
            <w:shd w:val="clear" w:color="auto" w:fill="D5DCE4" w:themeFill="text2" w:themeFillTint="33"/>
            <w:noWrap/>
            <w:vAlign w:val="center"/>
          </w:tcPr>
          <w:p w14:paraId="1C38CBCB"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1 hora</w:t>
            </w:r>
          </w:p>
        </w:tc>
        <w:tc>
          <w:tcPr>
            <w:tcW w:w="919" w:type="dxa"/>
            <w:shd w:val="clear" w:color="auto" w:fill="D5DCE4" w:themeFill="text2" w:themeFillTint="33"/>
            <w:noWrap/>
            <w:vAlign w:val="center"/>
          </w:tcPr>
          <w:p w14:paraId="49EEFB98"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8 horas</w:t>
            </w:r>
          </w:p>
        </w:tc>
        <w:tc>
          <w:tcPr>
            <w:tcW w:w="1534" w:type="dxa"/>
            <w:gridSpan w:val="2"/>
            <w:shd w:val="clear" w:color="auto" w:fill="D5DCE4" w:themeFill="text2" w:themeFillTint="33"/>
            <w:noWrap/>
            <w:vAlign w:val="center"/>
          </w:tcPr>
          <w:p w14:paraId="7036CFAE"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24 horas</w:t>
            </w:r>
          </w:p>
        </w:tc>
        <w:tc>
          <w:tcPr>
            <w:tcW w:w="1297" w:type="dxa"/>
            <w:gridSpan w:val="2"/>
            <w:shd w:val="clear" w:color="auto" w:fill="D5DCE4" w:themeFill="text2" w:themeFillTint="33"/>
            <w:vAlign w:val="center"/>
          </w:tcPr>
          <w:p w14:paraId="01CA41C6"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Média Anual aritmética</w:t>
            </w:r>
          </w:p>
        </w:tc>
      </w:tr>
      <w:tr w:rsidR="000615DB" w:rsidRPr="00292532" w14:paraId="034E2927" w14:textId="77777777" w:rsidTr="006174BB">
        <w:trPr>
          <w:trHeight w:val="240"/>
          <w:tblHeader/>
          <w:jc w:val="center"/>
        </w:trPr>
        <w:tc>
          <w:tcPr>
            <w:tcW w:w="1460" w:type="dxa"/>
            <w:vMerge/>
            <w:tcBorders>
              <w:bottom w:val="single" w:sz="12" w:space="0" w:color="auto"/>
            </w:tcBorders>
            <w:shd w:val="clear" w:color="auto" w:fill="D5DCE4" w:themeFill="text2" w:themeFillTint="33"/>
            <w:vAlign w:val="center"/>
          </w:tcPr>
          <w:p w14:paraId="79AD52C0"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p>
        </w:tc>
        <w:tc>
          <w:tcPr>
            <w:tcW w:w="923" w:type="dxa"/>
            <w:tcBorders>
              <w:bottom w:val="single" w:sz="12" w:space="0" w:color="auto"/>
            </w:tcBorders>
            <w:shd w:val="clear" w:color="auto" w:fill="D5DCE4" w:themeFill="text2" w:themeFillTint="33"/>
            <w:vAlign w:val="center"/>
          </w:tcPr>
          <w:p w14:paraId="094C7FFF"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p>
        </w:tc>
        <w:tc>
          <w:tcPr>
            <w:tcW w:w="793" w:type="dxa"/>
            <w:tcBorders>
              <w:bottom w:val="single" w:sz="12" w:space="0" w:color="auto"/>
            </w:tcBorders>
            <w:shd w:val="clear" w:color="auto" w:fill="D5DCE4" w:themeFill="text2" w:themeFillTint="33"/>
            <w:vAlign w:val="center"/>
          </w:tcPr>
          <w:p w14:paraId="56D71102"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p>
        </w:tc>
        <w:tc>
          <w:tcPr>
            <w:tcW w:w="834" w:type="dxa"/>
            <w:tcBorders>
              <w:bottom w:val="single" w:sz="12" w:space="0" w:color="auto"/>
            </w:tcBorders>
            <w:shd w:val="clear" w:color="auto" w:fill="D5DCE4" w:themeFill="text2" w:themeFillTint="33"/>
            <w:vAlign w:val="center"/>
          </w:tcPr>
          <w:p w14:paraId="13B45C7C"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p>
        </w:tc>
        <w:tc>
          <w:tcPr>
            <w:tcW w:w="962" w:type="dxa"/>
            <w:tcBorders>
              <w:bottom w:val="single" w:sz="12" w:space="0" w:color="auto"/>
            </w:tcBorders>
            <w:shd w:val="clear" w:color="auto" w:fill="D5DCE4" w:themeFill="text2" w:themeFillTint="33"/>
            <w:noWrap/>
            <w:vAlign w:val="center"/>
          </w:tcPr>
          <w:p w14:paraId="094CC3F6"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Primária</w:t>
            </w:r>
          </w:p>
        </w:tc>
        <w:tc>
          <w:tcPr>
            <w:tcW w:w="919" w:type="dxa"/>
            <w:tcBorders>
              <w:bottom w:val="single" w:sz="12" w:space="0" w:color="auto"/>
            </w:tcBorders>
            <w:shd w:val="clear" w:color="auto" w:fill="D5DCE4" w:themeFill="text2" w:themeFillTint="33"/>
            <w:noWrap/>
            <w:vAlign w:val="center"/>
          </w:tcPr>
          <w:p w14:paraId="61066FB5"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Primária</w:t>
            </w:r>
          </w:p>
        </w:tc>
        <w:tc>
          <w:tcPr>
            <w:tcW w:w="918" w:type="dxa"/>
            <w:tcBorders>
              <w:bottom w:val="single" w:sz="12" w:space="0" w:color="auto"/>
            </w:tcBorders>
            <w:shd w:val="clear" w:color="auto" w:fill="D5DCE4" w:themeFill="text2" w:themeFillTint="33"/>
            <w:noWrap/>
            <w:vAlign w:val="center"/>
          </w:tcPr>
          <w:p w14:paraId="4EF86D90"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Primária</w:t>
            </w:r>
          </w:p>
        </w:tc>
        <w:tc>
          <w:tcPr>
            <w:tcW w:w="616" w:type="dxa"/>
            <w:tcBorders>
              <w:bottom w:val="single" w:sz="12" w:space="0" w:color="auto"/>
            </w:tcBorders>
            <w:shd w:val="clear" w:color="auto" w:fill="D5DCE4" w:themeFill="text2" w:themeFillTint="33"/>
            <w:noWrap/>
            <w:vAlign w:val="center"/>
          </w:tcPr>
          <w:p w14:paraId="2B8FFBFD"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Sec.</w:t>
            </w:r>
          </w:p>
        </w:tc>
        <w:tc>
          <w:tcPr>
            <w:tcW w:w="960" w:type="dxa"/>
            <w:tcBorders>
              <w:bottom w:val="single" w:sz="12" w:space="0" w:color="auto"/>
            </w:tcBorders>
            <w:shd w:val="clear" w:color="auto" w:fill="D5DCE4" w:themeFill="text2" w:themeFillTint="33"/>
            <w:noWrap/>
            <w:vAlign w:val="center"/>
          </w:tcPr>
          <w:p w14:paraId="4DC2E81C"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Primária</w:t>
            </w:r>
          </w:p>
        </w:tc>
        <w:tc>
          <w:tcPr>
            <w:tcW w:w="337" w:type="dxa"/>
            <w:tcBorders>
              <w:bottom w:val="single" w:sz="12" w:space="0" w:color="auto"/>
            </w:tcBorders>
            <w:shd w:val="clear" w:color="auto" w:fill="D5DCE4" w:themeFill="text2" w:themeFillTint="33"/>
            <w:noWrap/>
          </w:tcPr>
          <w:p w14:paraId="494F53C9"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Sec.</w:t>
            </w:r>
          </w:p>
        </w:tc>
      </w:tr>
      <w:tr w:rsidR="000615DB" w:rsidRPr="00292532" w14:paraId="65D6F96C" w14:textId="77777777" w:rsidTr="006174BB">
        <w:trPr>
          <w:trHeight w:val="240"/>
          <w:jc w:val="center"/>
        </w:trPr>
        <w:tc>
          <w:tcPr>
            <w:tcW w:w="1460" w:type="dxa"/>
            <w:tcBorders>
              <w:top w:val="single" w:sz="12" w:space="0" w:color="auto"/>
            </w:tcBorders>
            <w:shd w:val="clear" w:color="auto" w:fill="FFFFFF"/>
            <w:vAlign w:val="center"/>
          </w:tcPr>
          <w:p w14:paraId="688D7C8E"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Dióxido de Enxofre (SO</w:t>
            </w:r>
            <w:r w:rsidRPr="00292532">
              <w:rPr>
                <w:rFonts w:ascii="Callibri" w:eastAsia="Calibri" w:hAnsi="Callibri" w:cs="Times New Roman"/>
                <w:color w:val="000000"/>
                <w:sz w:val="20"/>
                <w:szCs w:val="20"/>
                <w:vertAlign w:val="subscript"/>
                <w:lang w:val="pt-PT"/>
              </w:rPr>
              <w:t>2</w:t>
            </w:r>
            <w:r w:rsidRPr="00292532">
              <w:rPr>
                <w:rFonts w:ascii="Callibri" w:eastAsia="Calibri" w:hAnsi="Callibri" w:cs="Times New Roman"/>
                <w:color w:val="000000"/>
                <w:sz w:val="20"/>
                <w:szCs w:val="20"/>
                <w:lang w:val="pt-PT"/>
              </w:rPr>
              <w:t>)</w:t>
            </w:r>
          </w:p>
        </w:tc>
        <w:tc>
          <w:tcPr>
            <w:tcW w:w="923" w:type="dxa"/>
            <w:tcBorders>
              <w:top w:val="single" w:sz="12" w:space="0" w:color="auto"/>
            </w:tcBorders>
            <w:shd w:val="clear" w:color="auto" w:fill="FFFFFF"/>
            <w:vAlign w:val="center"/>
          </w:tcPr>
          <w:p w14:paraId="16F0470E"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500</w:t>
            </w:r>
          </w:p>
        </w:tc>
        <w:tc>
          <w:tcPr>
            <w:tcW w:w="793" w:type="dxa"/>
            <w:tcBorders>
              <w:top w:val="single" w:sz="12" w:space="0" w:color="auto"/>
            </w:tcBorders>
            <w:shd w:val="clear" w:color="auto" w:fill="FFFFFF"/>
            <w:vAlign w:val="center"/>
          </w:tcPr>
          <w:p w14:paraId="1AE2AB0C"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834" w:type="dxa"/>
            <w:tcBorders>
              <w:top w:val="single" w:sz="12" w:space="0" w:color="auto"/>
            </w:tcBorders>
            <w:shd w:val="clear" w:color="auto" w:fill="FFFFFF"/>
            <w:noWrap/>
            <w:vAlign w:val="center"/>
          </w:tcPr>
          <w:p w14:paraId="04C89F5D"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962" w:type="dxa"/>
            <w:tcBorders>
              <w:top w:val="single" w:sz="12" w:space="0" w:color="auto"/>
            </w:tcBorders>
            <w:shd w:val="clear" w:color="auto" w:fill="FFFFFF"/>
            <w:noWrap/>
            <w:vAlign w:val="center"/>
          </w:tcPr>
          <w:p w14:paraId="1F966883"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800</w:t>
            </w:r>
          </w:p>
        </w:tc>
        <w:tc>
          <w:tcPr>
            <w:tcW w:w="919" w:type="dxa"/>
            <w:tcBorders>
              <w:top w:val="single" w:sz="12" w:space="0" w:color="auto"/>
            </w:tcBorders>
            <w:shd w:val="clear" w:color="auto" w:fill="FFFFFF"/>
            <w:noWrap/>
            <w:vAlign w:val="center"/>
          </w:tcPr>
          <w:p w14:paraId="68342621"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918" w:type="dxa"/>
            <w:tcBorders>
              <w:top w:val="single" w:sz="12" w:space="0" w:color="auto"/>
            </w:tcBorders>
            <w:shd w:val="clear" w:color="auto" w:fill="FFFFFF"/>
            <w:noWrap/>
            <w:vAlign w:val="center"/>
          </w:tcPr>
          <w:p w14:paraId="33A7B733"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100</w:t>
            </w:r>
          </w:p>
        </w:tc>
        <w:tc>
          <w:tcPr>
            <w:tcW w:w="616" w:type="dxa"/>
            <w:tcBorders>
              <w:top w:val="single" w:sz="12" w:space="0" w:color="auto"/>
            </w:tcBorders>
            <w:shd w:val="clear" w:color="auto" w:fill="FFFFFF"/>
            <w:noWrap/>
            <w:vAlign w:val="center"/>
          </w:tcPr>
          <w:p w14:paraId="442BF8FE"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960" w:type="dxa"/>
            <w:tcBorders>
              <w:top w:val="single" w:sz="12" w:space="0" w:color="auto"/>
            </w:tcBorders>
            <w:shd w:val="clear" w:color="auto" w:fill="FFFFFF"/>
            <w:noWrap/>
            <w:vAlign w:val="center"/>
          </w:tcPr>
          <w:p w14:paraId="65FBFD77"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40</w:t>
            </w:r>
          </w:p>
        </w:tc>
        <w:tc>
          <w:tcPr>
            <w:tcW w:w="337" w:type="dxa"/>
            <w:tcBorders>
              <w:top w:val="single" w:sz="12" w:space="0" w:color="auto"/>
            </w:tcBorders>
            <w:shd w:val="clear" w:color="auto" w:fill="FFFFFF"/>
            <w:noWrap/>
          </w:tcPr>
          <w:p w14:paraId="0F37AC3A"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r>
      <w:tr w:rsidR="000615DB" w:rsidRPr="00292532" w14:paraId="1C1A389C" w14:textId="77777777" w:rsidTr="006174BB">
        <w:trPr>
          <w:trHeight w:val="240"/>
          <w:jc w:val="center"/>
        </w:trPr>
        <w:tc>
          <w:tcPr>
            <w:tcW w:w="1460" w:type="dxa"/>
            <w:shd w:val="clear" w:color="auto" w:fill="FFFFFF"/>
            <w:vAlign w:val="center"/>
          </w:tcPr>
          <w:p w14:paraId="032B8199"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Dióxido de Nitrogénio (NO</w:t>
            </w:r>
            <w:r w:rsidRPr="00292532">
              <w:rPr>
                <w:rFonts w:ascii="Callibri" w:eastAsia="Calibri" w:hAnsi="Callibri" w:cs="Times New Roman"/>
                <w:color w:val="000000"/>
                <w:sz w:val="20"/>
                <w:szCs w:val="20"/>
                <w:vertAlign w:val="subscript"/>
                <w:lang w:val="pt-PT"/>
              </w:rPr>
              <w:t>2</w:t>
            </w:r>
            <w:r w:rsidRPr="00292532">
              <w:rPr>
                <w:rFonts w:ascii="Callibri" w:eastAsia="Calibri" w:hAnsi="Callibri" w:cs="Times New Roman"/>
                <w:color w:val="000000"/>
                <w:sz w:val="20"/>
                <w:szCs w:val="20"/>
                <w:lang w:val="pt-PT"/>
              </w:rPr>
              <w:t>)</w:t>
            </w:r>
          </w:p>
        </w:tc>
        <w:tc>
          <w:tcPr>
            <w:tcW w:w="923" w:type="dxa"/>
            <w:shd w:val="clear" w:color="auto" w:fill="FFFFFF"/>
            <w:vAlign w:val="center"/>
          </w:tcPr>
          <w:p w14:paraId="37178A7F"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793" w:type="dxa"/>
            <w:shd w:val="clear" w:color="auto" w:fill="FFFFFF"/>
            <w:vAlign w:val="center"/>
          </w:tcPr>
          <w:p w14:paraId="1D2901A8"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834" w:type="dxa"/>
            <w:shd w:val="clear" w:color="auto" w:fill="FFFFFF"/>
            <w:noWrap/>
            <w:vAlign w:val="center"/>
          </w:tcPr>
          <w:p w14:paraId="49315A81"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962" w:type="dxa"/>
            <w:shd w:val="clear" w:color="auto" w:fill="FFFFFF"/>
            <w:noWrap/>
            <w:vAlign w:val="center"/>
          </w:tcPr>
          <w:p w14:paraId="0569E3DA"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190</w:t>
            </w:r>
          </w:p>
        </w:tc>
        <w:tc>
          <w:tcPr>
            <w:tcW w:w="919" w:type="dxa"/>
            <w:shd w:val="clear" w:color="auto" w:fill="FFFFFF"/>
            <w:noWrap/>
            <w:vAlign w:val="center"/>
          </w:tcPr>
          <w:p w14:paraId="4A56E5A1"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918" w:type="dxa"/>
            <w:shd w:val="clear" w:color="auto" w:fill="FFFFFF"/>
            <w:noWrap/>
            <w:vAlign w:val="center"/>
          </w:tcPr>
          <w:p w14:paraId="02B43D9D"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616" w:type="dxa"/>
            <w:shd w:val="clear" w:color="auto" w:fill="FFFFFF"/>
            <w:noWrap/>
            <w:vAlign w:val="center"/>
          </w:tcPr>
          <w:p w14:paraId="57AC67A1"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960" w:type="dxa"/>
            <w:shd w:val="clear" w:color="auto" w:fill="FFFFFF"/>
            <w:noWrap/>
            <w:vAlign w:val="center"/>
          </w:tcPr>
          <w:p w14:paraId="0C108328"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10</w:t>
            </w:r>
          </w:p>
        </w:tc>
        <w:tc>
          <w:tcPr>
            <w:tcW w:w="337" w:type="dxa"/>
            <w:shd w:val="clear" w:color="auto" w:fill="FFFFFF"/>
            <w:noWrap/>
          </w:tcPr>
          <w:p w14:paraId="70843CB7"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r>
      <w:tr w:rsidR="000615DB" w:rsidRPr="00292532" w14:paraId="3B8C7552" w14:textId="77777777" w:rsidTr="006174BB">
        <w:trPr>
          <w:trHeight w:val="240"/>
          <w:jc w:val="center"/>
        </w:trPr>
        <w:tc>
          <w:tcPr>
            <w:tcW w:w="1460" w:type="dxa"/>
            <w:shd w:val="clear" w:color="auto" w:fill="FFFFFF"/>
            <w:vAlign w:val="center"/>
          </w:tcPr>
          <w:p w14:paraId="34FA8387"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Monóxido de Carbono (CO)</w:t>
            </w:r>
          </w:p>
        </w:tc>
        <w:tc>
          <w:tcPr>
            <w:tcW w:w="923" w:type="dxa"/>
            <w:shd w:val="clear" w:color="auto" w:fill="FFFFFF"/>
            <w:vAlign w:val="center"/>
          </w:tcPr>
          <w:p w14:paraId="09949721"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793" w:type="dxa"/>
            <w:shd w:val="clear" w:color="auto" w:fill="FFFFFF"/>
            <w:vAlign w:val="center"/>
          </w:tcPr>
          <w:p w14:paraId="24769299"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100 000</w:t>
            </w:r>
          </w:p>
        </w:tc>
        <w:tc>
          <w:tcPr>
            <w:tcW w:w="834" w:type="dxa"/>
            <w:shd w:val="clear" w:color="auto" w:fill="FFFFFF"/>
            <w:noWrap/>
            <w:vAlign w:val="center"/>
          </w:tcPr>
          <w:p w14:paraId="73E2C79A"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60 000</w:t>
            </w:r>
          </w:p>
        </w:tc>
        <w:tc>
          <w:tcPr>
            <w:tcW w:w="962" w:type="dxa"/>
            <w:shd w:val="clear" w:color="auto" w:fill="FFFFFF"/>
            <w:noWrap/>
            <w:vAlign w:val="center"/>
          </w:tcPr>
          <w:p w14:paraId="5E105ED9"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30 000</w:t>
            </w:r>
          </w:p>
        </w:tc>
        <w:tc>
          <w:tcPr>
            <w:tcW w:w="919" w:type="dxa"/>
            <w:shd w:val="clear" w:color="auto" w:fill="FFFFFF"/>
            <w:noWrap/>
            <w:vAlign w:val="center"/>
          </w:tcPr>
          <w:p w14:paraId="35138712"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10000</w:t>
            </w:r>
          </w:p>
        </w:tc>
        <w:tc>
          <w:tcPr>
            <w:tcW w:w="918" w:type="dxa"/>
            <w:shd w:val="clear" w:color="auto" w:fill="FFFFFF"/>
            <w:noWrap/>
            <w:vAlign w:val="center"/>
          </w:tcPr>
          <w:p w14:paraId="49318804"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616" w:type="dxa"/>
            <w:shd w:val="clear" w:color="auto" w:fill="FFFFFF"/>
            <w:noWrap/>
            <w:vAlign w:val="center"/>
          </w:tcPr>
          <w:p w14:paraId="0C3BF06D"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960" w:type="dxa"/>
            <w:shd w:val="clear" w:color="auto" w:fill="FFFFFF"/>
            <w:noWrap/>
            <w:vAlign w:val="center"/>
          </w:tcPr>
          <w:p w14:paraId="72833972"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337" w:type="dxa"/>
            <w:shd w:val="clear" w:color="auto" w:fill="FFFFFF"/>
            <w:noWrap/>
          </w:tcPr>
          <w:p w14:paraId="2F3FBEEE"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r>
      <w:tr w:rsidR="000615DB" w:rsidRPr="00292532" w14:paraId="73E33088" w14:textId="77777777" w:rsidTr="006174BB">
        <w:trPr>
          <w:trHeight w:val="240"/>
          <w:jc w:val="center"/>
        </w:trPr>
        <w:tc>
          <w:tcPr>
            <w:tcW w:w="1460" w:type="dxa"/>
            <w:shd w:val="clear" w:color="auto" w:fill="FFFFFF"/>
            <w:vAlign w:val="center"/>
          </w:tcPr>
          <w:p w14:paraId="167DA1DC"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Ozono (O</w:t>
            </w:r>
            <w:r w:rsidRPr="00292532">
              <w:rPr>
                <w:rFonts w:ascii="Callibri" w:eastAsia="Calibri" w:hAnsi="Callibri" w:cs="Times New Roman"/>
                <w:color w:val="000000"/>
                <w:sz w:val="20"/>
                <w:szCs w:val="20"/>
                <w:vertAlign w:val="subscript"/>
                <w:lang w:val="pt-PT"/>
              </w:rPr>
              <w:t>3</w:t>
            </w:r>
            <w:r w:rsidRPr="00292532">
              <w:rPr>
                <w:rFonts w:ascii="Callibri" w:eastAsia="Calibri" w:hAnsi="Callibri" w:cs="Times New Roman"/>
                <w:color w:val="000000"/>
                <w:sz w:val="20"/>
                <w:szCs w:val="20"/>
                <w:lang w:val="pt-PT"/>
              </w:rPr>
              <w:t>)</w:t>
            </w:r>
          </w:p>
        </w:tc>
        <w:tc>
          <w:tcPr>
            <w:tcW w:w="923" w:type="dxa"/>
            <w:shd w:val="clear" w:color="auto" w:fill="FFFFFF"/>
            <w:vAlign w:val="center"/>
          </w:tcPr>
          <w:p w14:paraId="6CB72AF1"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793" w:type="dxa"/>
            <w:shd w:val="clear" w:color="auto" w:fill="FFFFFF"/>
            <w:vAlign w:val="center"/>
          </w:tcPr>
          <w:p w14:paraId="49F75E54"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834" w:type="dxa"/>
            <w:shd w:val="clear" w:color="auto" w:fill="FFFFFF"/>
            <w:noWrap/>
            <w:vAlign w:val="center"/>
          </w:tcPr>
          <w:p w14:paraId="31EAA33E"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962" w:type="dxa"/>
            <w:shd w:val="clear" w:color="auto" w:fill="FFFFFF"/>
            <w:noWrap/>
            <w:vAlign w:val="center"/>
          </w:tcPr>
          <w:p w14:paraId="11855C7D"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160</w:t>
            </w:r>
          </w:p>
        </w:tc>
        <w:tc>
          <w:tcPr>
            <w:tcW w:w="919" w:type="dxa"/>
            <w:shd w:val="clear" w:color="auto" w:fill="FFFFFF"/>
            <w:noWrap/>
            <w:vAlign w:val="center"/>
          </w:tcPr>
          <w:p w14:paraId="4439EE84"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120</w:t>
            </w:r>
          </w:p>
        </w:tc>
        <w:tc>
          <w:tcPr>
            <w:tcW w:w="918" w:type="dxa"/>
            <w:shd w:val="clear" w:color="auto" w:fill="FFFFFF"/>
            <w:noWrap/>
            <w:vAlign w:val="center"/>
          </w:tcPr>
          <w:p w14:paraId="7D802640"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50</w:t>
            </w:r>
          </w:p>
        </w:tc>
        <w:tc>
          <w:tcPr>
            <w:tcW w:w="616" w:type="dxa"/>
            <w:shd w:val="clear" w:color="auto" w:fill="FFFFFF"/>
            <w:noWrap/>
            <w:vAlign w:val="center"/>
          </w:tcPr>
          <w:p w14:paraId="38485F75"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960" w:type="dxa"/>
            <w:shd w:val="clear" w:color="auto" w:fill="FFFFFF"/>
            <w:noWrap/>
            <w:vAlign w:val="center"/>
          </w:tcPr>
          <w:p w14:paraId="4B82EF3C"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70</w:t>
            </w:r>
          </w:p>
        </w:tc>
        <w:tc>
          <w:tcPr>
            <w:tcW w:w="337" w:type="dxa"/>
            <w:shd w:val="clear" w:color="auto" w:fill="FFFFFF"/>
            <w:noWrap/>
          </w:tcPr>
          <w:p w14:paraId="7920A191"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p>
        </w:tc>
      </w:tr>
      <w:tr w:rsidR="000615DB" w:rsidRPr="00292532" w14:paraId="0B15A0FC" w14:textId="77777777" w:rsidTr="006174BB">
        <w:trPr>
          <w:trHeight w:val="257"/>
          <w:jc w:val="center"/>
        </w:trPr>
        <w:tc>
          <w:tcPr>
            <w:tcW w:w="1460" w:type="dxa"/>
            <w:tcBorders>
              <w:bottom w:val="single" w:sz="12" w:space="0" w:color="auto"/>
            </w:tcBorders>
            <w:shd w:val="clear" w:color="auto" w:fill="FFFFFF"/>
            <w:vAlign w:val="center"/>
          </w:tcPr>
          <w:p w14:paraId="6DC9D128"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Total de Partículas em Suspensão (TPS)</w:t>
            </w:r>
          </w:p>
        </w:tc>
        <w:tc>
          <w:tcPr>
            <w:tcW w:w="923" w:type="dxa"/>
            <w:tcBorders>
              <w:bottom w:val="single" w:sz="12" w:space="0" w:color="auto"/>
            </w:tcBorders>
            <w:shd w:val="clear" w:color="auto" w:fill="FFFFFF"/>
            <w:vAlign w:val="center"/>
          </w:tcPr>
          <w:p w14:paraId="7269E031"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793" w:type="dxa"/>
            <w:tcBorders>
              <w:bottom w:val="single" w:sz="12" w:space="0" w:color="auto"/>
            </w:tcBorders>
            <w:shd w:val="clear" w:color="auto" w:fill="FFFFFF"/>
            <w:vAlign w:val="center"/>
          </w:tcPr>
          <w:p w14:paraId="62CAB0F5"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834" w:type="dxa"/>
            <w:tcBorders>
              <w:bottom w:val="single" w:sz="12" w:space="0" w:color="auto"/>
            </w:tcBorders>
            <w:shd w:val="clear" w:color="auto" w:fill="FFFFFF"/>
            <w:noWrap/>
            <w:vAlign w:val="center"/>
          </w:tcPr>
          <w:p w14:paraId="14F39C45"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962" w:type="dxa"/>
            <w:tcBorders>
              <w:bottom w:val="single" w:sz="12" w:space="0" w:color="auto"/>
            </w:tcBorders>
            <w:shd w:val="clear" w:color="auto" w:fill="FFFFFF"/>
            <w:noWrap/>
            <w:vAlign w:val="center"/>
          </w:tcPr>
          <w:p w14:paraId="60BEC0CE"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919" w:type="dxa"/>
            <w:tcBorders>
              <w:bottom w:val="single" w:sz="12" w:space="0" w:color="auto"/>
            </w:tcBorders>
            <w:shd w:val="clear" w:color="auto" w:fill="FFFFFF"/>
            <w:noWrap/>
            <w:vAlign w:val="center"/>
          </w:tcPr>
          <w:p w14:paraId="10F79274"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918" w:type="dxa"/>
            <w:tcBorders>
              <w:bottom w:val="single" w:sz="12" w:space="0" w:color="auto"/>
            </w:tcBorders>
            <w:shd w:val="clear" w:color="auto" w:fill="FFFFFF"/>
            <w:noWrap/>
            <w:vAlign w:val="center"/>
          </w:tcPr>
          <w:p w14:paraId="04BA2A09"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150</w:t>
            </w:r>
          </w:p>
        </w:tc>
        <w:tc>
          <w:tcPr>
            <w:tcW w:w="616" w:type="dxa"/>
            <w:tcBorders>
              <w:bottom w:val="single" w:sz="12" w:space="0" w:color="auto"/>
            </w:tcBorders>
            <w:shd w:val="clear" w:color="auto" w:fill="FFFFFF"/>
            <w:noWrap/>
            <w:vAlign w:val="center"/>
          </w:tcPr>
          <w:p w14:paraId="74EB5017"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c>
          <w:tcPr>
            <w:tcW w:w="960" w:type="dxa"/>
            <w:tcBorders>
              <w:bottom w:val="single" w:sz="12" w:space="0" w:color="auto"/>
            </w:tcBorders>
            <w:shd w:val="clear" w:color="auto" w:fill="FFFFFF"/>
            <w:noWrap/>
            <w:vAlign w:val="center"/>
          </w:tcPr>
          <w:p w14:paraId="026C84BC"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60</w:t>
            </w:r>
          </w:p>
        </w:tc>
        <w:tc>
          <w:tcPr>
            <w:tcW w:w="337" w:type="dxa"/>
            <w:tcBorders>
              <w:bottom w:val="single" w:sz="12" w:space="0" w:color="auto"/>
            </w:tcBorders>
            <w:shd w:val="clear" w:color="auto" w:fill="FFFFFF"/>
            <w:noWrap/>
          </w:tcPr>
          <w:p w14:paraId="182CD5E0" w14:textId="77777777" w:rsidR="000615DB" w:rsidRPr="00292532" w:rsidRDefault="000615DB" w:rsidP="006174BB">
            <w:pPr>
              <w:overflowPunct w:val="0"/>
              <w:autoSpaceDE w:val="0"/>
              <w:autoSpaceDN w:val="0"/>
              <w:adjustRightInd w:val="0"/>
              <w:spacing w:before="0" w:after="0" w:line="264" w:lineRule="auto"/>
              <w:textAlignment w:val="baseline"/>
              <w:rPr>
                <w:rFonts w:ascii="Callibri" w:eastAsia="Calibri" w:hAnsi="Callibri" w:cs="Times New Roman"/>
                <w:color w:val="000000"/>
                <w:sz w:val="20"/>
                <w:szCs w:val="20"/>
                <w:lang w:val="pt-PT"/>
              </w:rPr>
            </w:pPr>
            <w:r w:rsidRPr="00292532">
              <w:rPr>
                <w:rFonts w:ascii="Callibri" w:eastAsia="Calibri" w:hAnsi="Callibri" w:cs="Times New Roman"/>
                <w:color w:val="000000"/>
                <w:sz w:val="20"/>
                <w:szCs w:val="20"/>
                <w:lang w:val="pt-PT"/>
              </w:rPr>
              <w:t>-</w:t>
            </w:r>
          </w:p>
        </w:tc>
      </w:tr>
    </w:tbl>
    <w:p w14:paraId="57CDAD46" w14:textId="77777777" w:rsidR="000615DB" w:rsidRPr="00292532" w:rsidRDefault="000615DB" w:rsidP="000615DB">
      <w:pPr>
        <w:rPr>
          <w:lang w:val="pt-PT"/>
        </w:rPr>
      </w:pPr>
      <w:r w:rsidRPr="00292532">
        <w:rPr>
          <w:color w:val="000000" w:themeColor="text1"/>
          <w:lang w:val="pt-PT"/>
        </w:rPr>
        <w:t xml:space="preserve">As </w:t>
      </w:r>
      <w:proofErr w:type="spellStart"/>
      <w:r w:rsidRPr="00292532">
        <w:rPr>
          <w:color w:val="000000" w:themeColor="text1"/>
          <w:lang w:val="pt-PT"/>
        </w:rPr>
        <w:t>directrizes</w:t>
      </w:r>
      <w:proofErr w:type="spellEnd"/>
      <w:r w:rsidRPr="00292532">
        <w:rPr>
          <w:color w:val="000000" w:themeColor="text1"/>
          <w:lang w:val="pt-PT"/>
        </w:rPr>
        <w:t xml:space="preserve"> de segurança e saúde da IFC para a qualidade do ar ambiente (IFC, 2007) são baseadas nas </w:t>
      </w:r>
      <w:proofErr w:type="spellStart"/>
      <w:r w:rsidRPr="00292532">
        <w:rPr>
          <w:color w:val="000000" w:themeColor="text1"/>
          <w:lang w:val="pt-PT"/>
        </w:rPr>
        <w:t>directrizes</w:t>
      </w:r>
      <w:proofErr w:type="spellEnd"/>
      <w:r w:rsidRPr="00292532">
        <w:rPr>
          <w:color w:val="000000" w:themeColor="text1"/>
          <w:lang w:val="pt-PT"/>
        </w:rPr>
        <w:t xml:space="preserve"> da qualidade do ar da Organização Mundial de Saúde (OMS, 2005).</w:t>
      </w:r>
    </w:p>
    <w:p w14:paraId="087D4C72" w14:textId="77777777" w:rsidR="000615DB" w:rsidRPr="00292532" w:rsidRDefault="000615DB" w:rsidP="000615DB">
      <w:pPr>
        <w:rPr>
          <w:color w:val="000000" w:themeColor="text1"/>
          <w:lang w:val="pt-PT"/>
        </w:rPr>
      </w:pPr>
      <w:r w:rsidRPr="00292532">
        <w:rPr>
          <w:color w:val="000000" w:themeColor="text1"/>
          <w:lang w:val="pt-PT"/>
        </w:rPr>
        <w:lastRenderedPageBreak/>
        <w:t>As emissões atmosféricas foram estabelecidas no Regulamento sobre Padrões de Qualidade Ambiental e de Emissão de Efluentes</w:t>
      </w:r>
      <w:r w:rsidRPr="00292532">
        <w:rPr>
          <w:color w:val="000000" w:themeColor="text1"/>
          <w:vertAlign w:val="superscript"/>
          <w:lang w:val="pt-PT"/>
        </w:rPr>
        <w:footnoteReference w:id="12"/>
      </w:r>
      <w:r w:rsidRPr="00292532">
        <w:rPr>
          <w:color w:val="000000" w:themeColor="text1"/>
          <w:lang w:val="pt-PT"/>
        </w:rPr>
        <w:t xml:space="preserve">. A IFC não estabelece </w:t>
      </w:r>
      <w:proofErr w:type="spellStart"/>
      <w:r w:rsidRPr="00292532">
        <w:rPr>
          <w:color w:val="000000" w:themeColor="text1"/>
          <w:lang w:val="pt-PT"/>
        </w:rPr>
        <w:t>directrizes</w:t>
      </w:r>
      <w:proofErr w:type="spellEnd"/>
      <w:r w:rsidRPr="00292532">
        <w:rPr>
          <w:color w:val="000000" w:themeColor="text1"/>
          <w:lang w:val="pt-PT"/>
        </w:rPr>
        <w:t xml:space="preserve"> específicas, mas refere-se à </w:t>
      </w:r>
      <w:proofErr w:type="spellStart"/>
      <w:r w:rsidRPr="00292532">
        <w:rPr>
          <w:color w:val="000000" w:themeColor="text1"/>
          <w:lang w:val="pt-PT"/>
        </w:rPr>
        <w:t>Actualização</w:t>
      </w:r>
      <w:proofErr w:type="spellEnd"/>
      <w:r w:rsidRPr="00292532">
        <w:rPr>
          <w:color w:val="000000" w:themeColor="text1"/>
          <w:lang w:val="pt-PT"/>
        </w:rPr>
        <w:t xml:space="preserve"> das </w:t>
      </w:r>
      <w:proofErr w:type="spellStart"/>
      <w:r w:rsidRPr="00292532">
        <w:rPr>
          <w:color w:val="000000" w:themeColor="text1"/>
          <w:lang w:val="pt-PT"/>
        </w:rPr>
        <w:t>Directrizes</w:t>
      </w:r>
      <w:proofErr w:type="spellEnd"/>
      <w:r w:rsidRPr="00292532">
        <w:rPr>
          <w:color w:val="000000" w:themeColor="text1"/>
          <w:lang w:val="pt-PT"/>
        </w:rPr>
        <w:t xml:space="preserve"> Globais da Qualidade do Ar da OMS conforme apresentado na </w:t>
      </w:r>
      <w:r w:rsidRPr="00292532">
        <w:rPr>
          <w:b/>
          <w:bCs/>
          <w:lang w:val="pt-PT"/>
        </w:rPr>
        <w:fldChar w:fldCharType="begin"/>
      </w:r>
      <w:r w:rsidRPr="00292532">
        <w:rPr>
          <w:b/>
          <w:bCs/>
          <w:color w:val="000000" w:themeColor="text1"/>
          <w:lang w:val="pt-PT"/>
        </w:rPr>
        <w:instrText xml:space="preserve"> REF _Ref72707805 \h </w:instrText>
      </w:r>
      <w:r w:rsidRPr="00292532">
        <w:rPr>
          <w:b/>
          <w:bCs/>
          <w:lang w:val="pt-PT"/>
        </w:rPr>
        <w:instrText xml:space="preserve"> \* MERGEFORMAT </w:instrText>
      </w:r>
      <w:r w:rsidRPr="00292532">
        <w:rPr>
          <w:b/>
          <w:bCs/>
          <w:lang w:val="pt-PT"/>
        </w:rPr>
      </w:r>
      <w:r w:rsidRPr="00292532">
        <w:rPr>
          <w:b/>
          <w:bCs/>
          <w:lang w:val="pt-PT"/>
        </w:rPr>
        <w:fldChar w:fldCharType="separate"/>
      </w:r>
      <w:r w:rsidRPr="00292532">
        <w:rPr>
          <w:b/>
          <w:bCs/>
          <w:lang w:val="pt-PT"/>
        </w:rPr>
        <w:t xml:space="preserve">Tabela </w:t>
      </w:r>
      <w:r w:rsidRPr="00292532">
        <w:rPr>
          <w:b/>
          <w:bCs/>
          <w:noProof/>
          <w:lang w:val="pt-PT"/>
        </w:rPr>
        <w:t>3</w:t>
      </w:r>
      <w:r w:rsidRPr="00292532">
        <w:rPr>
          <w:b/>
          <w:bCs/>
          <w:lang w:val="pt-PT"/>
        </w:rPr>
        <w:fldChar w:fldCharType="end"/>
      </w:r>
      <w:r w:rsidRPr="00292532">
        <w:rPr>
          <w:lang w:val="pt-PT"/>
        </w:rPr>
        <w:t xml:space="preserve"> </w:t>
      </w:r>
      <w:r w:rsidRPr="00292532">
        <w:rPr>
          <w:color w:val="000000" w:themeColor="text1"/>
          <w:lang w:val="pt-PT"/>
        </w:rPr>
        <w:t>abaixo.</w:t>
      </w:r>
    </w:p>
    <w:p w14:paraId="49EA681D" w14:textId="77777777" w:rsidR="000615DB" w:rsidRPr="00292532" w:rsidRDefault="000615DB" w:rsidP="000615DB">
      <w:pPr>
        <w:pStyle w:val="Caption"/>
      </w:pPr>
      <w:r w:rsidRPr="00292532">
        <w:t xml:space="preserve">Tabela 3: </w:t>
      </w:r>
      <w:proofErr w:type="spellStart"/>
      <w:r w:rsidRPr="00292532">
        <w:t>Directrizes</w:t>
      </w:r>
      <w:proofErr w:type="spellEnd"/>
      <w:r w:rsidRPr="00292532">
        <w:t xml:space="preserve"> das Emissões Atmosféricas</w:t>
      </w:r>
    </w:p>
    <w:tbl>
      <w:tblPr>
        <w:tblW w:w="5000" w:type="pct"/>
        <w:tblLook w:val="00A0" w:firstRow="1" w:lastRow="0" w:firstColumn="1" w:lastColumn="0" w:noHBand="0" w:noVBand="0"/>
      </w:tblPr>
      <w:tblGrid>
        <w:gridCol w:w="1189"/>
        <w:gridCol w:w="2138"/>
        <w:gridCol w:w="2495"/>
        <w:gridCol w:w="2682"/>
      </w:tblGrid>
      <w:tr w:rsidR="000615DB" w:rsidRPr="00292532" w14:paraId="52CC95B4" w14:textId="77777777" w:rsidTr="006174BB">
        <w:trPr>
          <w:cantSplit/>
          <w:tblHeader/>
        </w:trPr>
        <w:tc>
          <w:tcPr>
            <w:tcW w:w="699" w:type="pct"/>
            <w:vMerge w:val="restart"/>
            <w:tcBorders>
              <w:top w:val="single" w:sz="12" w:space="0" w:color="auto"/>
            </w:tcBorders>
            <w:shd w:val="clear" w:color="auto" w:fill="D5DCE4" w:themeFill="text2" w:themeFillTint="33"/>
          </w:tcPr>
          <w:p w14:paraId="40A8EAF0"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b/>
                <w:color w:val="000000"/>
                <w:sz w:val="20"/>
                <w:szCs w:val="20"/>
                <w:lang w:val="pt-PT"/>
              </w:rPr>
            </w:pPr>
            <w:r w:rsidRPr="00292532">
              <w:rPr>
                <w:rFonts w:asciiTheme="minorHAnsi" w:eastAsia="Times New Roman" w:hAnsiTheme="minorHAnsi" w:cstheme="minorHAnsi"/>
                <w:b/>
                <w:color w:val="000000"/>
                <w:sz w:val="20"/>
                <w:szCs w:val="20"/>
                <w:lang w:val="pt-PT"/>
              </w:rPr>
              <w:t>Poluente</w:t>
            </w:r>
          </w:p>
        </w:tc>
        <w:tc>
          <w:tcPr>
            <w:tcW w:w="1257" w:type="pct"/>
            <w:vMerge w:val="restart"/>
            <w:tcBorders>
              <w:top w:val="single" w:sz="12" w:space="0" w:color="auto"/>
            </w:tcBorders>
            <w:shd w:val="clear" w:color="auto" w:fill="D5DCE4" w:themeFill="text2" w:themeFillTint="33"/>
          </w:tcPr>
          <w:p w14:paraId="2B49E131"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b/>
                <w:color w:val="000000"/>
                <w:sz w:val="20"/>
                <w:szCs w:val="20"/>
                <w:lang w:val="pt-PT"/>
              </w:rPr>
            </w:pPr>
            <w:r w:rsidRPr="00292532">
              <w:rPr>
                <w:rFonts w:asciiTheme="minorHAnsi" w:eastAsia="Times New Roman" w:hAnsiTheme="minorHAnsi" w:cstheme="minorHAnsi"/>
                <w:b/>
                <w:color w:val="000000"/>
                <w:sz w:val="20"/>
                <w:szCs w:val="20"/>
                <w:lang w:val="pt-PT"/>
              </w:rPr>
              <w:t>Tempo Médio</w:t>
            </w:r>
          </w:p>
        </w:tc>
        <w:tc>
          <w:tcPr>
            <w:tcW w:w="3044" w:type="pct"/>
            <w:gridSpan w:val="2"/>
            <w:tcBorders>
              <w:top w:val="single" w:sz="12" w:space="0" w:color="auto"/>
              <w:bottom w:val="single" w:sz="12" w:space="0" w:color="auto"/>
            </w:tcBorders>
            <w:shd w:val="clear" w:color="auto" w:fill="D5DCE4" w:themeFill="text2" w:themeFillTint="33"/>
          </w:tcPr>
          <w:p w14:paraId="4C50CCC6" w14:textId="77777777" w:rsidR="000615DB" w:rsidRPr="00292532" w:rsidRDefault="000615DB" w:rsidP="006174BB">
            <w:pPr>
              <w:overflowPunct w:val="0"/>
              <w:autoSpaceDE w:val="0"/>
              <w:autoSpaceDN w:val="0"/>
              <w:adjustRightInd w:val="0"/>
              <w:spacing w:before="0" w:after="0" w:line="264" w:lineRule="auto"/>
              <w:jc w:val="center"/>
              <w:textAlignment w:val="baseline"/>
              <w:rPr>
                <w:rFonts w:asciiTheme="minorHAnsi" w:eastAsia="Times New Roman" w:hAnsiTheme="minorHAnsi" w:cstheme="minorHAnsi"/>
                <w:b/>
                <w:color w:val="000000"/>
                <w:sz w:val="20"/>
                <w:szCs w:val="20"/>
                <w:lang w:val="pt-PT"/>
              </w:rPr>
            </w:pPr>
            <w:r w:rsidRPr="00292532">
              <w:rPr>
                <w:rFonts w:asciiTheme="minorHAnsi" w:eastAsia="Times New Roman" w:hAnsiTheme="minorHAnsi" w:cstheme="minorHAnsi"/>
                <w:b/>
                <w:color w:val="000000"/>
                <w:sz w:val="20"/>
                <w:szCs w:val="20"/>
                <w:lang w:val="pt-PT"/>
              </w:rPr>
              <w:t>Concentração Ambiente (µg/m3)</w:t>
            </w:r>
          </w:p>
        </w:tc>
      </w:tr>
      <w:tr w:rsidR="000615DB" w:rsidRPr="00292532" w14:paraId="3C305072" w14:textId="77777777" w:rsidTr="006174BB">
        <w:trPr>
          <w:cantSplit/>
          <w:tblHeader/>
        </w:trPr>
        <w:tc>
          <w:tcPr>
            <w:tcW w:w="699" w:type="pct"/>
            <w:vMerge/>
            <w:tcBorders>
              <w:bottom w:val="single" w:sz="12" w:space="0" w:color="auto"/>
            </w:tcBorders>
            <w:shd w:val="clear" w:color="auto" w:fill="D5DCE4" w:themeFill="text2" w:themeFillTint="33"/>
          </w:tcPr>
          <w:p w14:paraId="0D980910"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b/>
                <w:color w:val="000000"/>
                <w:sz w:val="20"/>
                <w:szCs w:val="20"/>
                <w:lang w:val="pt-PT"/>
              </w:rPr>
            </w:pPr>
          </w:p>
        </w:tc>
        <w:tc>
          <w:tcPr>
            <w:tcW w:w="1257" w:type="pct"/>
            <w:vMerge/>
            <w:tcBorders>
              <w:bottom w:val="single" w:sz="12" w:space="0" w:color="auto"/>
            </w:tcBorders>
            <w:shd w:val="clear" w:color="auto" w:fill="D5DCE4" w:themeFill="text2" w:themeFillTint="33"/>
          </w:tcPr>
          <w:p w14:paraId="1CA06928"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b/>
                <w:color w:val="000000"/>
                <w:sz w:val="20"/>
                <w:szCs w:val="20"/>
                <w:lang w:val="pt-PT"/>
              </w:rPr>
            </w:pPr>
          </w:p>
        </w:tc>
        <w:tc>
          <w:tcPr>
            <w:tcW w:w="1467" w:type="pct"/>
            <w:tcBorders>
              <w:top w:val="single" w:sz="12" w:space="0" w:color="auto"/>
              <w:bottom w:val="single" w:sz="12" w:space="0" w:color="auto"/>
            </w:tcBorders>
            <w:shd w:val="clear" w:color="auto" w:fill="D5DCE4" w:themeFill="text2" w:themeFillTint="33"/>
          </w:tcPr>
          <w:p w14:paraId="50EEDBCD"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Directrizes</w:t>
            </w:r>
            <w:proofErr w:type="spellEnd"/>
            <w:r w:rsidRPr="00292532">
              <w:rPr>
                <w:rFonts w:asciiTheme="minorHAnsi" w:eastAsia="Times New Roman" w:hAnsiTheme="minorHAnsi" w:cstheme="minorHAnsi"/>
                <w:color w:val="000000"/>
                <w:sz w:val="20"/>
                <w:szCs w:val="20"/>
                <w:lang w:val="pt-PT"/>
              </w:rPr>
              <w:t xml:space="preserve"> de Moçambique</w:t>
            </w:r>
          </w:p>
        </w:tc>
        <w:tc>
          <w:tcPr>
            <w:tcW w:w="1577" w:type="pct"/>
            <w:tcBorders>
              <w:top w:val="single" w:sz="12" w:space="0" w:color="auto"/>
              <w:bottom w:val="single" w:sz="12" w:space="0" w:color="auto"/>
            </w:tcBorders>
            <w:shd w:val="clear" w:color="auto" w:fill="D5DCE4" w:themeFill="text2" w:themeFillTint="33"/>
          </w:tcPr>
          <w:p w14:paraId="7673311E"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Directrizes</w:t>
            </w:r>
            <w:proofErr w:type="spellEnd"/>
            <w:r w:rsidRPr="00292532">
              <w:rPr>
                <w:rFonts w:asciiTheme="minorHAnsi" w:eastAsia="Times New Roman" w:hAnsiTheme="minorHAnsi" w:cstheme="minorHAnsi"/>
                <w:color w:val="000000"/>
                <w:sz w:val="20"/>
                <w:szCs w:val="20"/>
                <w:lang w:val="pt-PT"/>
              </w:rPr>
              <w:t xml:space="preserve"> da OMS </w:t>
            </w:r>
          </w:p>
        </w:tc>
      </w:tr>
      <w:tr w:rsidR="000615DB" w:rsidRPr="00292532" w14:paraId="4F6D8104" w14:textId="77777777" w:rsidTr="006174BB">
        <w:trPr>
          <w:trHeight w:val="112"/>
        </w:trPr>
        <w:tc>
          <w:tcPr>
            <w:tcW w:w="699" w:type="pct"/>
            <w:vMerge w:val="restart"/>
            <w:tcBorders>
              <w:top w:val="single" w:sz="12" w:space="0" w:color="auto"/>
            </w:tcBorders>
          </w:tcPr>
          <w:p w14:paraId="248B0BB1"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PM</w:t>
            </w:r>
            <w:r w:rsidRPr="00292532">
              <w:rPr>
                <w:rFonts w:asciiTheme="minorHAnsi" w:eastAsia="Times New Roman" w:hAnsiTheme="minorHAnsi" w:cstheme="minorHAnsi"/>
                <w:color w:val="000000"/>
                <w:sz w:val="20"/>
                <w:szCs w:val="20"/>
                <w:vertAlign w:val="subscript"/>
                <w:lang w:val="pt-PT"/>
              </w:rPr>
              <w:t>10</w:t>
            </w:r>
          </w:p>
        </w:tc>
        <w:tc>
          <w:tcPr>
            <w:tcW w:w="1257" w:type="pct"/>
            <w:vMerge w:val="restart"/>
            <w:tcBorders>
              <w:top w:val="single" w:sz="12" w:space="0" w:color="auto"/>
            </w:tcBorders>
          </w:tcPr>
          <w:p w14:paraId="054C5CD2"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Média anual</w:t>
            </w:r>
          </w:p>
        </w:tc>
        <w:tc>
          <w:tcPr>
            <w:tcW w:w="1467" w:type="pct"/>
            <w:vMerge w:val="restart"/>
            <w:tcBorders>
              <w:top w:val="single" w:sz="12" w:space="0" w:color="auto"/>
            </w:tcBorders>
          </w:tcPr>
          <w:p w14:paraId="5D919DC2"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577" w:type="pct"/>
            <w:tcBorders>
              <w:top w:val="single" w:sz="12" w:space="0" w:color="auto"/>
            </w:tcBorders>
          </w:tcPr>
          <w:p w14:paraId="365E0188"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150 meta interina 1</w:t>
            </w:r>
          </w:p>
        </w:tc>
      </w:tr>
      <w:tr w:rsidR="000615DB" w:rsidRPr="00292532" w14:paraId="2F9D2669" w14:textId="77777777" w:rsidTr="006174BB">
        <w:trPr>
          <w:trHeight w:val="112"/>
        </w:trPr>
        <w:tc>
          <w:tcPr>
            <w:tcW w:w="699" w:type="pct"/>
            <w:vMerge/>
          </w:tcPr>
          <w:p w14:paraId="36FB62A7"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257" w:type="pct"/>
            <w:vMerge/>
          </w:tcPr>
          <w:p w14:paraId="65045F3B"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467" w:type="pct"/>
            <w:vMerge/>
          </w:tcPr>
          <w:p w14:paraId="73C64DF8"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577" w:type="pct"/>
          </w:tcPr>
          <w:p w14:paraId="19AA26BF"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100 meta interina 2</w:t>
            </w:r>
          </w:p>
        </w:tc>
      </w:tr>
      <w:tr w:rsidR="000615DB" w:rsidRPr="00292532" w14:paraId="36C0C47F" w14:textId="77777777" w:rsidTr="006174BB">
        <w:trPr>
          <w:trHeight w:val="112"/>
        </w:trPr>
        <w:tc>
          <w:tcPr>
            <w:tcW w:w="699" w:type="pct"/>
            <w:vMerge/>
          </w:tcPr>
          <w:p w14:paraId="3AD74663"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257" w:type="pct"/>
            <w:vMerge/>
          </w:tcPr>
          <w:p w14:paraId="6FB41F4D"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467" w:type="pct"/>
            <w:vMerge/>
          </w:tcPr>
          <w:p w14:paraId="6C21B6EB"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577" w:type="pct"/>
          </w:tcPr>
          <w:p w14:paraId="64734F94"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75 meta interina 3</w:t>
            </w:r>
          </w:p>
        </w:tc>
      </w:tr>
      <w:tr w:rsidR="000615DB" w:rsidRPr="00292532" w14:paraId="1BE70A27" w14:textId="77777777" w:rsidTr="006174BB">
        <w:trPr>
          <w:trHeight w:val="112"/>
        </w:trPr>
        <w:tc>
          <w:tcPr>
            <w:tcW w:w="699" w:type="pct"/>
            <w:vMerge/>
          </w:tcPr>
          <w:p w14:paraId="1C3F0CE9"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257" w:type="pct"/>
            <w:vMerge/>
          </w:tcPr>
          <w:p w14:paraId="39DF1924"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467" w:type="pct"/>
            <w:vMerge/>
          </w:tcPr>
          <w:p w14:paraId="3ED45365"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577" w:type="pct"/>
          </w:tcPr>
          <w:p w14:paraId="729010F2"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50 </w:t>
            </w:r>
            <w:proofErr w:type="spellStart"/>
            <w:r w:rsidRPr="00292532">
              <w:rPr>
                <w:rFonts w:asciiTheme="minorHAnsi" w:eastAsia="Times New Roman" w:hAnsiTheme="minorHAnsi" w:cstheme="minorHAnsi"/>
                <w:color w:val="000000"/>
                <w:sz w:val="20"/>
                <w:szCs w:val="20"/>
                <w:lang w:val="pt-PT"/>
              </w:rPr>
              <w:t>directriz</w:t>
            </w:r>
            <w:proofErr w:type="spellEnd"/>
          </w:p>
        </w:tc>
      </w:tr>
      <w:tr w:rsidR="000615DB" w:rsidRPr="00292532" w14:paraId="1F9488F6" w14:textId="77777777" w:rsidTr="006174BB">
        <w:trPr>
          <w:trHeight w:val="112"/>
        </w:trPr>
        <w:tc>
          <w:tcPr>
            <w:tcW w:w="699" w:type="pct"/>
            <w:vMerge/>
          </w:tcPr>
          <w:p w14:paraId="097D45ED"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257" w:type="pct"/>
            <w:vMerge w:val="restart"/>
          </w:tcPr>
          <w:p w14:paraId="25F03AB7"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Média de 24 horas</w:t>
            </w:r>
          </w:p>
        </w:tc>
        <w:tc>
          <w:tcPr>
            <w:tcW w:w="1467" w:type="pct"/>
            <w:vMerge w:val="restart"/>
          </w:tcPr>
          <w:p w14:paraId="0C093901"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577" w:type="pct"/>
          </w:tcPr>
          <w:p w14:paraId="58DC8985"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150 meta interina 1</w:t>
            </w:r>
          </w:p>
        </w:tc>
      </w:tr>
      <w:tr w:rsidR="000615DB" w:rsidRPr="00292532" w14:paraId="745D6046" w14:textId="77777777" w:rsidTr="006174BB">
        <w:trPr>
          <w:trHeight w:val="112"/>
        </w:trPr>
        <w:tc>
          <w:tcPr>
            <w:tcW w:w="699" w:type="pct"/>
            <w:vMerge/>
          </w:tcPr>
          <w:p w14:paraId="20571073"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257" w:type="pct"/>
            <w:vMerge/>
          </w:tcPr>
          <w:p w14:paraId="471EBF67"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467" w:type="pct"/>
            <w:vMerge/>
          </w:tcPr>
          <w:p w14:paraId="01A1B208"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577" w:type="pct"/>
          </w:tcPr>
          <w:p w14:paraId="333787B1"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100 meta interina 2</w:t>
            </w:r>
          </w:p>
        </w:tc>
      </w:tr>
      <w:tr w:rsidR="000615DB" w:rsidRPr="00292532" w14:paraId="65764B58" w14:textId="77777777" w:rsidTr="006174BB">
        <w:trPr>
          <w:trHeight w:val="112"/>
        </w:trPr>
        <w:tc>
          <w:tcPr>
            <w:tcW w:w="699" w:type="pct"/>
            <w:vMerge/>
          </w:tcPr>
          <w:p w14:paraId="3D435401"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257" w:type="pct"/>
            <w:vMerge/>
          </w:tcPr>
          <w:p w14:paraId="5AFA8241"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467" w:type="pct"/>
            <w:vMerge/>
          </w:tcPr>
          <w:p w14:paraId="5763D3ED"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577" w:type="pct"/>
          </w:tcPr>
          <w:p w14:paraId="2BC5FC8C"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75 meta interina 3</w:t>
            </w:r>
          </w:p>
        </w:tc>
      </w:tr>
      <w:tr w:rsidR="000615DB" w:rsidRPr="00292532" w14:paraId="4DC87262" w14:textId="77777777" w:rsidTr="006174BB">
        <w:trPr>
          <w:trHeight w:val="112"/>
        </w:trPr>
        <w:tc>
          <w:tcPr>
            <w:tcW w:w="699" w:type="pct"/>
            <w:vMerge/>
          </w:tcPr>
          <w:p w14:paraId="06354990"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257" w:type="pct"/>
            <w:vMerge/>
          </w:tcPr>
          <w:p w14:paraId="4553BD94"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467" w:type="pct"/>
            <w:vMerge/>
          </w:tcPr>
          <w:p w14:paraId="389CAD4F"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577" w:type="pct"/>
          </w:tcPr>
          <w:p w14:paraId="6DB181AB"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50 </w:t>
            </w:r>
            <w:proofErr w:type="spellStart"/>
            <w:r w:rsidRPr="00292532">
              <w:rPr>
                <w:rFonts w:asciiTheme="minorHAnsi" w:eastAsia="Times New Roman" w:hAnsiTheme="minorHAnsi" w:cstheme="minorHAnsi"/>
                <w:color w:val="000000"/>
                <w:sz w:val="20"/>
                <w:szCs w:val="20"/>
                <w:lang w:val="pt-PT"/>
              </w:rPr>
              <w:t>directriz</w:t>
            </w:r>
            <w:proofErr w:type="spellEnd"/>
          </w:p>
        </w:tc>
      </w:tr>
      <w:tr w:rsidR="000615DB" w:rsidRPr="00292532" w14:paraId="19B99DE0" w14:textId="77777777" w:rsidTr="006174BB">
        <w:tc>
          <w:tcPr>
            <w:tcW w:w="699" w:type="pct"/>
            <w:vMerge w:val="restart"/>
          </w:tcPr>
          <w:p w14:paraId="1DD8FDC8"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TSP</w:t>
            </w:r>
          </w:p>
        </w:tc>
        <w:tc>
          <w:tcPr>
            <w:tcW w:w="1257" w:type="pct"/>
          </w:tcPr>
          <w:p w14:paraId="288CB5E1"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Média anual</w:t>
            </w:r>
          </w:p>
        </w:tc>
        <w:tc>
          <w:tcPr>
            <w:tcW w:w="1467" w:type="pct"/>
          </w:tcPr>
          <w:p w14:paraId="392A3282"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60</w:t>
            </w:r>
          </w:p>
        </w:tc>
        <w:tc>
          <w:tcPr>
            <w:tcW w:w="1577" w:type="pct"/>
          </w:tcPr>
          <w:p w14:paraId="22E080CB"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1B6750AD" w14:textId="77777777" w:rsidTr="006174BB">
        <w:tc>
          <w:tcPr>
            <w:tcW w:w="699" w:type="pct"/>
            <w:vMerge/>
          </w:tcPr>
          <w:p w14:paraId="00EA61B6"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257" w:type="pct"/>
          </w:tcPr>
          <w:p w14:paraId="3AB33399"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Média de 24 horas</w:t>
            </w:r>
          </w:p>
        </w:tc>
        <w:tc>
          <w:tcPr>
            <w:tcW w:w="1467" w:type="pct"/>
          </w:tcPr>
          <w:p w14:paraId="07CF3C12"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150</w:t>
            </w:r>
          </w:p>
        </w:tc>
        <w:tc>
          <w:tcPr>
            <w:tcW w:w="1577" w:type="pct"/>
          </w:tcPr>
          <w:p w14:paraId="3440220E"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328B49BD" w14:textId="77777777" w:rsidTr="006174BB">
        <w:tc>
          <w:tcPr>
            <w:tcW w:w="699" w:type="pct"/>
            <w:vMerge w:val="restart"/>
          </w:tcPr>
          <w:p w14:paraId="658EAB4D"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NO2</w:t>
            </w:r>
          </w:p>
        </w:tc>
        <w:tc>
          <w:tcPr>
            <w:tcW w:w="1257" w:type="pct"/>
          </w:tcPr>
          <w:p w14:paraId="2D4E9A7E"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Média anual</w:t>
            </w:r>
          </w:p>
        </w:tc>
        <w:tc>
          <w:tcPr>
            <w:tcW w:w="1467" w:type="pct"/>
          </w:tcPr>
          <w:p w14:paraId="3B898E5E"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10</w:t>
            </w:r>
          </w:p>
        </w:tc>
        <w:tc>
          <w:tcPr>
            <w:tcW w:w="1577" w:type="pct"/>
          </w:tcPr>
          <w:p w14:paraId="272787A3"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40</w:t>
            </w:r>
          </w:p>
        </w:tc>
      </w:tr>
      <w:tr w:rsidR="000615DB" w:rsidRPr="00292532" w14:paraId="67C63159" w14:textId="77777777" w:rsidTr="006174BB">
        <w:tc>
          <w:tcPr>
            <w:tcW w:w="699" w:type="pct"/>
            <w:vMerge/>
          </w:tcPr>
          <w:p w14:paraId="2498A31D"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257" w:type="pct"/>
          </w:tcPr>
          <w:p w14:paraId="0EB66601"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Média de 24 horas</w:t>
            </w:r>
          </w:p>
        </w:tc>
        <w:tc>
          <w:tcPr>
            <w:tcW w:w="1467" w:type="pct"/>
          </w:tcPr>
          <w:p w14:paraId="0673FF5F"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577" w:type="pct"/>
          </w:tcPr>
          <w:p w14:paraId="2B188C2C"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200</w:t>
            </w:r>
          </w:p>
        </w:tc>
      </w:tr>
      <w:tr w:rsidR="000615DB" w:rsidRPr="00292532" w14:paraId="11B7A4FA" w14:textId="77777777" w:rsidTr="006174BB">
        <w:tc>
          <w:tcPr>
            <w:tcW w:w="699" w:type="pct"/>
            <w:vMerge/>
          </w:tcPr>
          <w:p w14:paraId="39601A78"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257" w:type="pct"/>
          </w:tcPr>
          <w:p w14:paraId="36E44017"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Média de 1 hora</w:t>
            </w:r>
          </w:p>
        </w:tc>
        <w:tc>
          <w:tcPr>
            <w:tcW w:w="1467" w:type="pct"/>
          </w:tcPr>
          <w:p w14:paraId="6D7B8BAB"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190</w:t>
            </w:r>
          </w:p>
        </w:tc>
        <w:tc>
          <w:tcPr>
            <w:tcW w:w="1577" w:type="pct"/>
          </w:tcPr>
          <w:p w14:paraId="37AA0CBE"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4B4EA407" w14:textId="77777777" w:rsidTr="006174BB">
        <w:tc>
          <w:tcPr>
            <w:tcW w:w="699" w:type="pct"/>
            <w:vMerge w:val="restart"/>
          </w:tcPr>
          <w:p w14:paraId="4D40B707"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SO2</w:t>
            </w:r>
          </w:p>
        </w:tc>
        <w:tc>
          <w:tcPr>
            <w:tcW w:w="1257" w:type="pct"/>
          </w:tcPr>
          <w:p w14:paraId="46BA67D3"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Média anual</w:t>
            </w:r>
          </w:p>
        </w:tc>
        <w:tc>
          <w:tcPr>
            <w:tcW w:w="1467" w:type="pct"/>
          </w:tcPr>
          <w:p w14:paraId="782DF326"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40</w:t>
            </w:r>
          </w:p>
        </w:tc>
        <w:tc>
          <w:tcPr>
            <w:tcW w:w="1577" w:type="pct"/>
          </w:tcPr>
          <w:p w14:paraId="15D5EF6B"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 </w:t>
            </w:r>
          </w:p>
        </w:tc>
      </w:tr>
      <w:tr w:rsidR="000615DB" w:rsidRPr="00292532" w14:paraId="5C1A2893" w14:textId="77777777" w:rsidTr="006174BB">
        <w:trPr>
          <w:trHeight w:val="150"/>
        </w:trPr>
        <w:tc>
          <w:tcPr>
            <w:tcW w:w="699" w:type="pct"/>
            <w:vMerge/>
          </w:tcPr>
          <w:p w14:paraId="22F77750"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257" w:type="pct"/>
            <w:vMerge w:val="restart"/>
          </w:tcPr>
          <w:p w14:paraId="0AA8F894"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Média de 24 horas</w:t>
            </w:r>
          </w:p>
        </w:tc>
        <w:tc>
          <w:tcPr>
            <w:tcW w:w="1467" w:type="pct"/>
            <w:vMerge w:val="restart"/>
          </w:tcPr>
          <w:p w14:paraId="0F55084E"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100</w:t>
            </w:r>
          </w:p>
        </w:tc>
        <w:tc>
          <w:tcPr>
            <w:tcW w:w="1577" w:type="pct"/>
          </w:tcPr>
          <w:p w14:paraId="4C2C5733"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125 meta interina 1</w:t>
            </w:r>
          </w:p>
        </w:tc>
      </w:tr>
      <w:tr w:rsidR="000615DB" w:rsidRPr="00292532" w14:paraId="5121872F" w14:textId="77777777" w:rsidTr="006174BB">
        <w:trPr>
          <w:trHeight w:val="149"/>
        </w:trPr>
        <w:tc>
          <w:tcPr>
            <w:tcW w:w="699" w:type="pct"/>
            <w:vMerge/>
          </w:tcPr>
          <w:p w14:paraId="72938290"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257" w:type="pct"/>
            <w:vMerge/>
          </w:tcPr>
          <w:p w14:paraId="2004D57C"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467" w:type="pct"/>
            <w:vMerge/>
          </w:tcPr>
          <w:p w14:paraId="747EC398"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577" w:type="pct"/>
          </w:tcPr>
          <w:p w14:paraId="3E229E59"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50 meta interina 2</w:t>
            </w:r>
          </w:p>
        </w:tc>
      </w:tr>
      <w:tr w:rsidR="000615DB" w:rsidRPr="00292532" w14:paraId="51C00686" w14:textId="77777777" w:rsidTr="006174BB">
        <w:trPr>
          <w:trHeight w:val="149"/>
        </w:trPr>
        <w:tc>
          <w:tcPr>
            <w:tcW w:w="699" w:type="pct"/>
            <w:vMerge/>
          </w:tcPr>
          <w:p w14:paraId="0E4C0186"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257" w:type="pct"/>
            <w:vMerge/>
          </w:tcPr>
          <w:p w14:paraId="14E3374B"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467" w:type="pct"/>
            <w:vMerge/>
          </w:tcPr>
          <w:p w14:paraId="6BCCE1E7"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577" w:type="pct"/>
          </w:tcPr>
          <w:p w14:paraId="2E035AD2"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20 </w:t>
            </w:r>
            <w:proofErr w:type="spellStart"/>
            <w:r w:rsidRPr="00292532">
              <w:rPr>
                <w:rFonts w:asciiTheme="minorHAnsi" w:eastAsia="Times New Roman" w:hAnsiTheme="minorHAnsi" w:cstheme="minorHAnsi"/>
                <w:color w:val="000000"/>
                <w:sz w:val="20"/>
                <w:szCs w:val="20"/>
                <w:lang w:val="pt-PT"/>
              </w:rPr>
              <w:t>directriz</w:t>
            </w:r>
            <w:proofErr w:type="spellEnd"/>
          </w:p>
        </w:tc>
      </w:tr>
      <w:tr w:rsidR="000615DB" w:rsidRPr="00292532" w14:paraId="4B5E6090" w14:textId="77777777" w:rsidTr="006174BB">
        <w:tc>
          <w:tcPr>
            <w:tcW w:w="699" w:type="pct"/>
            <w:vMerge/>
          </w:tcPr>
          <w:p w14:paraId="4EC73385"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257" w:type="pct"/>
          </w:tcPr>
          <w:p w14:paraId="4B106449"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Média de 1 hora</w:t>
            </w:r>
          </w:p>
        </w:tc>
        <w:tc>
          <w:tcPr>
            <w:tcW w:w="1467" w:type="pct"/>
          </w:tcPr>
          <w:p w14:paraId="4EE41EBC"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800</w:t>
            </w:r>
          </w:p>
        </w:tc>
        <w:tc>
          <w:tcPr>
            <w:tcW w:w="1577" w:type="pct"/>
          </w:tcPr>
          <w:p w14:paraId="207BE073"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 </w:t>
            </w:r>
          </w:p>
        </w:tc>
      </w:tr>
      <w:tr w:rsidR="000615DB" w:rsidRPr="00292532" w14:paraId="19536F92" w14:textId="77777777" w:rsidTr="006174BB">
        <w:tc>
          <w:tcPr>
            <w:tcW w:w="699" w:type="pct"/>
            <w:vMerge/>
          </w:tcPr>
          <w:p w14:paraId="7EAB4468"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257" w:type="pct"/>
          </w:tcPr>
          <w:p w14:paraId="0B6C50A8"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Média de 10 minutos </w:t>
            </w:r>
          </w:p>
        </w:tc>
        <w:tc>
          <w:tcPr>
            <w:tcW w:w="1467" w:type="pct"/>
          </w:tcPr>
          <w:p w14:paraId="555EEEB5"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500</w:t>
            </w:r>
          </w:p>
        </w:tc>
        <w:tc>
          <w:tcPr>
            <w:tcW w:w="1577" w:type="pct"/>
          </w:tcPr>
          <w:p w14:paraId="35F88001"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500</w:t>
            </w:r>
          </w:p>
        </w:tc>
      </w:tr>
      <w:tr w:rsidR="000615DB" w:rsidRPr="00292532" w14:paraId="3079CFEB" w14:textId="77777777" w:rsidTr="006174BB">
        <w:tc>
          <w:tcPr>
            <w:tcW w:w="699" w:type="pct"/>
            <w:vMerge w:val="restart"/>
          </w:tcPr>
          <w:p w14:paraId="30EBF946"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CO </w:t>
            </w:r>
          </w:p>
        </w:tc>
        <w:tc>
          <w:tcPr>
            <w:tcW w:w="1257" w:type="pct"/>
          </w:tcPr>
          <w:p w14:paraId="67C6C5F9"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Média de 8 horas </w:t>
            </w:r>
          </w:p>
        </w:tc>
        <w:tc>
          <w:tcPr>
            <w:tcW w:w="1467" w:type="pct"/>
          </w:tcPr>
          <w:p w14:paraId="4FA5CF9A"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10 000</w:t>
            </w:r>
          </w:p>
        </w:tc>
        <w:tc>
          <w:tcPr>
            <w:tcW w:w="1577" w:type="pct"/>
          </w:tcPr>
          <w:p w14:paraId="271A213C"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 </w:t>
            </w:r>
          </w:p>
        </w:tc>
      </w:tr>
      <w:tr w:rsidR="000615DB" w:rsidRPr="00292532" w14:paraId="4EED0CCD" w14:textId="77777777" w:rsidTr="006174BB">
        <w:tc>
          <w:tcPr>
            <w:tcW w:w="699" w:type="pct"/>
            <w:vMerge/>
            <w:tcBorders>
              <w:bottom w:val="single" w:sz="12" w:space="0" w:color="auto"/>
            </w:tcBorders>
          </w:tcPr>
          <w:p w14:paraId="4C2A2B09"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
        </w:tc>
        <w:tc>
          <w:tcPr>
            <w:tcW w:w="1257" w:type="pct"/>
            <w:tcBorders>
              <w:bottom w:val="single" w:sz="12" w:space="0" w:color="auto"/>
            </w:tcBorders>
          </w:tcPr>
          <w:p w14:paraId="08C1C8BF"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Média de 1 hora </w:t>
            </w:r>
          </w:p>
        </w:tc>
        <w:tc>
          <w:tcPr>
            <w:tcW w:w="1467" w:type="pct"/>
            <w:tcBorders>
              <w:bottom w:val="single" w:sz="12" w:space="0" w:color="auto"/>
            </w:tcBorders>
          </w:tcPr>
          <w:p w14:paraId="0D3EFE03"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30 000</w:t>
            </w:r>
          </w:p>
        </w:tc>
        <w:tc>
          <w:tcPr>
            <w:tcW w:w="1577" w:type="pct"/>
            <w:tcBorders>
              <w:bottom w:val="single" w:sz="12" w:space="0" w:color="auto"/>
            </w:tcBorders>
          </w:tcPr>
          <w:p w14:paraId="44A37C86"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 </w:t>
            </w:r>
          </w:p>
        </w:tc>
      </w:tr>
    </w:tbl>
    <w:p w14:paraId="7710F26E" w14:textId="77777777" w:rsidR="000615DB" w:rsidRPr="00292532" w:rsidRDefault="000615DB" w:rsidP="000615DB">
      <w:pPr>
        <w:rPr>
          <w:lang w:val="pt-PT" w:eastAsia="ja-JP"/>
        </w:rPr>
      </w:pPr>
      <w:r w:rsidRPr="00292532">
        <w:rPr>
          <w:lang w:val="pt-PT" w:eastAsia="ja-JP"/>
        </w:rPr>
        <w:t xml:space="preserve">Os limites de deposição de poeiras variam internacionalmente e nenhuma </w:t>
      </w:r>
      <w:proofErr w:type="spellStart"/>
      <w:r w:rsidRPr="00292532">
        <w:rPr>
          <w:lang w:val="pt-PT" w:eastAsia="ja-JP"/>
        </w:rPr>
        <w:t>directriz</w:t>
      </w:r>
      <w:proofErr w:type="spellEnd"/>
      <w:r w:rsidRPr="00292532">
        <w:rPr>
          <w:lang w:val="pt-PT" w:eastAsia="ja-JP"/>
        </w:rPr>
        <w:t xml:space="preserve"> foi estabelecida pela IFC, Banco Mundial ou OMS. Na ausência de tais </w:t>
      </w:r>
      <w:proofErr w:type="spellStart"/>
      <w:r w:rsidRPr="00292532">
        <w:rPr>
          <w:lang w:val="pt-PT" w:eastAsia="ja-JP"/>
        </w:rPr>
        <w:t>directrizes</w:t>
      </w:r>
      <w:proofErr w:type="spellEnd"/>
      <w:r w:rsidRPr="00292532">
        <w:rPr>
          <w:lang w:val="pt-PT" w:eastAsia="ja-JP"/>
        </w:rPr>
        <w:t xml:space="preserve"> e limites da deposição de poeiras em Moçambique, os limites sul-africanos para os valores limites de deposição de poeiras poderão servir de referência. Uma escala de quatro bandas é usada para a deposição de poeiras (</w:t>
      </w:r>
      <w:r w:rsidRPr="00292532">
        <w:rPr>
          <w:b/>
          <w:bCs/>
          <w:lang w:val="pt-PT" w:eastAsia="ja-JP"/>
        </w:rPr>
        <w:fldChar w:fldCharType="begin"/>
      </w:r>
      <w:r w:rsidRPr="00292532">
        <w:rPr>
          <w:b/>
          <w:bCs/>
          <w:lang w:val="pt-PT" w:eastAsia="ja-JP"/>
        </w:rPr>
        <w:instrText xml:space="preserve"> REF _Ref72707861 \h  \* MERGEFORMAT </w:instrText>
      </w:r>
      <w:r w:rsidRPr="00292532">
        <w:rPr>
          <w:b/>
          <w:bCs/>
          <w:lang w:val="pt-PT" w:eastAsia="ja-JP"/>
        </w:rPr>
      </w:r>
      <w:r w:rsidRPr="00292532">
        <w:rPr>
          <w:b/>
          <w:bCs/>
          <w:lang w:val="pt-PT" w:eastAsia="ja-JP"/>
        </w:rPr>
        <w:fldChar w:fldCharType="separate"/>
      </w:r>
      <w:r w:rsidRPr="00292532">
        <w:rPr>
          <w:b/>
          <w:bCs/>
          <w:lang w:val="pt-PT"/>
        </w:rPr>
        <w:t xml:space="preserve">Tabela </w:t>
      </w:r>
      <w:r w:rsidRPr="00292532">
        <w:rPr>
          <w:b/>
          <w:bCs/>
          <w:lang w:val="pt-PT" w:eastAsia="ja-JP"/>
        </w:rPr>
        <w:fldChar w:fldCharType="end"/>
      </w:r>
      <w:r w:rsidRPr="00292532">
        <w:rPr>
          <w:b/>
          <w:bCs/>
          <w:lang w:val="pt-PT" w:eastAsia="ja-JP"/>
        </w:rPr>
        <w:t>4</w:t>
      </w:r>
      <w:r w:rsidRPr="00292532">
        <w:rPr>
          <w:lang w:val="pt-PT" w:eastAsia="ja-JP"/>
        </w:rPr>
        <w:t xml:space="preserve">), com limites meta, de </w:t>
      </w:r>
      <w:proofErr w:type="spellStart"/>
      <w:r w:rsidRPr="00292532">
        <w:rPr>
          <w:lang w:val="pt-PT" w:eastAsia="ja-JP"/>
        </w:rPr>
        <w:t>acção</w:t>
      </w:r>
      <w:proofErr w:type="spellEnd"/>
      <w:r w:rsidRPr="00292532">
        <w:rPr>
          <w:lang w:val="pt-PT" w:eastAsia="ja-JP"/>
        </w:rPr>
        <w:t xml:space="preserve"> e de alerta (</w:t>
      </w:r>
      <w:r w:rsidRPr="00292532">
        <w:rPr>
          <w:b/>
          <w:bCs/>
          <w:lang w:val="pt-PT" w:eastAsia="ja-JP"/>
        </w:rPr>
        <w:t>Tabela 5</w:t>
      </w:r>
      <w:r w:rsidRPr="00292532">
        <w:rPr>
          <w:lang w:val="pt-PT" w:eastAsia="ja-JP"/>
        </w:rPr>
        <w:t>) para a gestão das poeiras.</w:t>
      </w:r>
    </w:p>
    <w:p w14:paraId="60315D9F" w14:textId="77777777" w:rsidR="000615DB" w:rsidRPr="00292532" w:rsidRDefault="000615DB" w:rsidP="000615DB">
      <w:pPr>
        <w:pStyle w:val="Caption"/>
      </w:pPr>
      <w:r w:rsidRPr="00292532">
        <w:t>Tabela 4: Bandas de índices de avaliação da deposição de poeiras*</w:t>
      </w:r>
    </w:p>
    <w:tbl>
      <w:tblPr>
        <w:tblW w:w="5000" w:type="pct"/>
        <w:tblLook w:val="0000" w:firstRow="0" w:lastRow="0" w:firstColumn="0" w:lastColumn="0" w:noHBand="0" w:noVBand="0"/>
      </w:tblPr>
      <w:tblGrid>
        <w:gridCol w:w="1131"/>
        <w:gridCol w:w="1507"/>
        <w:gridCol w:w="2114"/>
        <w:gridCol w:w="3752"/>
      </w:tblGrid>
      <w:tr w:rsidR="000615DB" w:rsidRPr="00292532" w14:paraId="362B178E" w14:textId="77777777" w:rsidTr="006174BB">
        <w:trPr>
          <w:tblHeader/>
        </w:trPr>
        <w:tc>
          <w:tcPr>
            <w:tcW w:w="665" w:type="pct"/>
            <w:tcBorders>
              <w:top w:val="single" w:sz="12" w:space="0" w:color="auto"/>
              <w:bottom w:val="single" w:sz="8" w:space="0" w:color="auto"/>
            </w:tcBorders>
            <w:shd w:val="clear" w:color="auto" w:fill="D5DCE4" w:themeFill="text2" w:themeFillTint="33"/>
          </w:tcPr>
          <w:p w14:paraId="60E179BF" w14:textId="77777777" w:rsidR="000615DB" w:rsidRPr="00292532" w:rsidRDefault="000615DB" w:rsidP="006174BB">
            <w:pPr>
              <w:keepNext/>
              <w:overflowPunct w:val="0"/>
              <w:autoSpaceDE w:val="0"/>
              <w:autoSpaceDN w:val="0"/>
              <w:adjustRightInd w:val="0"/>
              <w:spacing w:before="0" w:after="0" w:line="276" w:lineRule="auto"/>
              <w:jc w:val="left"/>
              <w:textAlignment w:val="baseline"/>
              <w:rPr>
                <w:rFonts w:asciiTheme="minorHAnsi" w:eastAsia="Times New Roman" w:hAnsiTheme="minorHAnsi" w:cstheme="minorHAnsi"/>
                <w:b/>
                <w:bCs/>
                <w:color w:val="000000"/>
                <w:sz w:val="20"/>
                <w:szCs w:val="20"/>
                <w:lang w:val="pt-PT"/>
              </w:rPr>
            </w:pPr>
            <w:r w:rsidRPr="00292532">
              <w:rPr>
                <w:rFonts w:asciiTheme="minorHAnsi" w:eastAsia="Times New Roman" w:hAnsiTheme="minorHAnsi" w:cstheme="minorHAnsi"/>
                <w:b/>
                <w:bCs/>
                <w:color w:val="000000"/>
                <w:sz w:val="20"/>
                <w:szCs w:val="20"/>
                <w:lang w:val="pt-PT"/>
              </w:rPr>
              <w:t xml:space="preserve">Número da Banda </w:t>
            </w:r>
          </w:p>
        </w:tc>
        <w:tc>
          <w:tcPr>
            <w:tcW w:w="886" w:type="pct"/>
            <w:tcBorders>
              <w:top w:val="single" w:sz="12" w:space="0" w:color="auto"/>
              <w:bottom w:val="single" w:sz="8" w:space="0" w:color="auto"/>
            </w:tcBorders>
            <w:shd w:val="clear" w:color="auto" w:fill="D5DCE4" w:themeFill="text2" w:themeFillTint="33"/>
          </w:tcPr>
          <w:p w14:paraId="45087E2F" w14:textId="77777777" w:rsidR="000615DB" w:rsidRPr="00292532" w:rsidRDefault="000615DB" w:rsidP="006174BB">
            <w:pPr>
              <w:keepNext/>
              <w:overflowPunct w:val="0"/>
              <w:autoSpaceDE w:val="0"/>
              <w:autoSpaceDN w:val="0"/>
              <w:adjustRightInd w:val="0"/>
              <w:spacing w:before="0" w:after="0" w:line="276" w:lineRule="auto"/>
              <w:jc w:val="center"/>
              <w:textAlignment w:val="baseline"/>
              <w:rPr>
                <w:rFonts w:asciiTheme="minorHAnsi" w:eastAsia="Times New Roman" w:hAnsiTheme="minorHAnsi" w:cstheme="minorHAnsi"/>
                <w:b/>
                <w:bCs/>
                <w:color w:val="000000"/>
                <w:sz w:val="20"/>
                <w:szCs w:val="20"/>
                <w:lang w:val="pt-PT"/>
              </w:rPr>
            </w:pPr>
            <w:r w:rsidRPr="00292532">
              <w:rPr>
                <w:rFonts w:asciiTheme="minorHAnsi" w:eastAsia="Times New Roman" w:hAnsiTheme="minorHAnsi" w:cstheme="minorHAnsi"/>
                <w:b/>
                <w:bCs/>
                <w:color w:val="000000"/>
                <w:sz w:val="20"/>
                <w:szCs w:val="20"/>
                <w:lang w:val="pt-PT"/>
              </w:rPr>
              <w:t>Etiqueta de descrição da banda</w:t>
            </w:r>
          </w:p>
        </w:tc>
        <w:tc>
          <w:tcPr>
            <w:tcW w:w="1243" w:type="pct"/>
            <w:tcBorders>
              <w:top w:val="single" w:sz="12" w:space="0" w:color="auto"/>
              <w:bottom w:val="single" w:sz="8" w:space="0" w:color="auto"/>
            </w:tcBorders>
            <w:shd w:val="clear" w:color="auto" w:fill="D5DCE4" w:themeFill="text2" w:themeFillTint="33"/>
          </w:tcPr>
          <w:p w14:paraId="71DDBD31" w14:textId="77777777" w:rsidR="000615DB" w:rsidRPr="00292532" w:rsidRDefault="000615DB" w:rsidP="006174BB">
            <w:pPr>
              <w:overflowPunct w:val="0"/>
              <w:autoSpaceDE w:val="0"/>
              <w:autoSpaceDN w:val="0"/>
              <w:adjustRightInd w:val="0"/>
              <w:spacing w:before="0" w:after="0" w:line="264" w:lineRule="auto"/>
              <w:jc w:val="center"/>
              <w:textAlignment w:val="baseline"/>
              <w:rPr>
                <w:rFonts w:asciiTheme="minorHAnsi" w:eastAsia="Times New Roman" w:hAnsiTheme="minorHAnsi" w:cstheme="minorHAnsi"/>
                <w:b/>
                <w:color w:val="000000"/>
                <w:sz w:val="20"/>
                <w:szCs w:val="20"/>
                <w:lang w:val="pt-PT"/>
              </w:rPr>
            </w:pPr>
            <w:r w:rsidRPr="00292532">
              <w:rPr>
                <w:rFonts w:asciiTheme="minorHAnsi" w:eastAsia="Times New Roman" w:hAnsiTheme="minorHAnsi" w:cstheme="minorHAnsi"/>
                <w:b/>
                <w:color w:val="000000"/>
                <w:sz w:val="20"/>
                <w:szCs w:val="20"/>
                <w:lang w:val="pt-PT"/>
              </w:rPr>
              <w:t>Índice de Deposição de Poeiras (</w:t>
            </w:r>
            <w:r w:rsidRPr="00292532">
              <w:rPr>
                <w:rFonts w:asciiTheme="minorHAnsi" w:eastAsia="Times New Roman" w:hAnsiTheme="minorHAnsi" w:cstheme="minorHAnsi"/>
                <w:b/>
                <w:i/>
                <w:color w:val="000000"/>
                <w:sz w:val="20"/>
                <w:szCs w:val="20"/>
                <w:lang w:val="pt-PT"/>
              </w:rPr>
              <w:t>D</w:t>
            </w:r>
            <w:r w:rsidRPr="00292532">
              <w:rPr>
                <w:rFonts w:asciiTheme="minorHAnsi" w:eastAsia="Times New Roman" w:hAnsiTheme="minorHAnsi" w:cstheme="minorHAnsi"/>
                <w:b/>
                <w:color w:val="000000"/>
                <w:sz w:val="20"/>
                <w:szCs w:val="20"/>
                <w:lang w:val="pt-PT"/>
              </w:rPr>
              <w:t>)</w:t>
            </w:r>
          </w:p>
          <w:p w14:paraId="62B0051F" w14:textId="77777777" w:rsidR="000615DB" w:rsidRPr="00292532" w:rsidRDefault="000615DB" w:rsidP="006174BB">
            <w:pPr>
              <w:overflowPunct w:val="0"/>
              <w:autoSpaceDE w:val="0"/>
              <w:autoSpaceDN w:val="0"/>
              <w:adjustRightInd w:val="0"/>
              <w:spacing w:before="0" w:after="0" w:line="264" w:lineRule="auto"/>
              <w:jc w:val="center"/>
              <w:textAlignment w:val="baseline"/>
              <w:rPr>
                <w:rFonts w:asciiTheme="minorHAnsi" w:eastAsia="Times New Roman" w:hAnsiTheme="minorHAnsi" w:cstheme="minorHAnsi"/>
                <w:b/>
                <w:color w:val="000000"/>
                <w:sz w:val="20"/>
                <w:szCs w:val="20"/>
                <w:lang w:val="pt-PT"/>
              </w:rPr>
            </w:pPr>
            <w:r w:rsidRPr="00292532">
              <w:rPr>
                <w:rFonts w:asciiTheme="minorHAnsi" w:eastAsia="Times New Roman" w:hAnsiTheme="minorHAnsi" w:cstheme="minorHAnsi"/>
                <w:b/>
                <w:color w:val="000000"/>
                <w:sz w:val="20"/>
                <w:szCs w:val="20"/>
                <w:lang w:val="pt-PT"/>
              </w:rPr>
              <w:t>(mg m</w:t>
            </w:r>
            <w:r w:rsidRPr="00292532">
              <w:rPr>
                <w:rFonts w:asciiTheme="minorHAnsi" w:eastAsia="Times New Roman" w:hAnsiTheme="minorHAnsi" w:cstheme="minorHAnsi"/>
                <w:b/>
                <w:color w:val="000000"/>
                <w:sz w:val="20"/>
                <w:szCs w:val="20"/>
                <w:vertAlign w:val="superscript"/>
                <w:lang w:val="pt-PT"/>
              </w:rPr>
              <w:t>-2</w:t>
            </w:r>
            <w:r w:rsidRPr="00292532">
              <w:rPr>
                <w:rFonts w:asciiTheme="minorHAnsi" w:eastAsia="Times New Roman" w:hAnsiTheme="minorHAnsi" w:cstheme="minorHAnsi"/>
                <w:b/>
                <w:color w:val="000000"/>
                <w:sz w:val="20"/>
                <w:szCs w:val="20"/>
                <w:lang w:val="pt-PT"/>
              </w:rPr>
              <w:t xml:space="preserve"> dia</w:t>
            </w:r>
            <w:r w:rsidRPr="00292532">
              <w:rPr>
                <w:rFonts w:asciiTheme="minorHAnsi" w:eastAsia="Times New Roman" w:hAnsiTheme="minorHAnsi" w:cstheme="minorHAnsi"/>
                <w:b/>
                <w:color w:val="000000"/>
                <w:sz w:val="20"/>
                <w:szCs w:val="20"/>
                <w:vertAlign w:val="superscript"/>
                <w:lang w:val="pt-PT"/>
              </w:rPr>
              <w:t>-1</w:t>
            </w:r>
            <w:r w:rsidRPr="00292532">
              <w:rPr>
                <w:rFonts w:asciiTheme="minorHAnsi" w:eastAsia="Times New Roman" w:hAnsiTheme="minorHAnsi" w:cstheme="minorHAnsi"/>
                <w:b/>
                <w:color w:val="000000"/>
                <w:sz w:val="20"/>
                <w:szCs w:val="20"/>
                <w:lang w:val="pt-PT"/>
              </w:rPr>
              <w:t>,</w:t>
            </w:r>
          </w:p>
          <w:p w14:paraId="15C16E13" w14:textId="77777777" w:rsidR="000615DB" w:rsidRPr="00292532" w:rsidRDefault="000615DB" w:rsidP="006174BB">
            <w:pPr>
              <w:keepNext/>
              <w:overflowPunct w:val="0"/>
              <w:autoSpaceDE w:val="0"/>
              <w:autoSpaceDN w:val="0"/>
              <w:adjustRightInd w:val="0"/>
              <w:spacing w:before="0" w:after="0" w:line="276" w:lineRule="auto"/>
              <w:jc w:val="center"/>
              <w:textAlignment w:val="baseline"/>
              <w:rPr>
                <w:rFonts w:asciiTheme="minorHAnsi" w:eastAsia="Times New Roman" w:hAnsiTheme="minorHAnsi" w:cstheme="minorHAnsi"/>
                <w:b/>
                <w:bCs/>
                <w:color w:val="000000"/>
                <w:sz w:val="20"/>
                <w:szCs w:val="20"/>
                <w:lang w:val="pt-PT"/>
              </w:rPr>
            </w:pPr>
            <w:r w:rsidRPr="00292532">
              <w:rPr>
                <w:rFonts w:asciiTheme="minorHAnsi" w:eastAsia="Times New Roman" w:hAnsiTheme="minorHAnsi" w:cstheme="minorHAnsi"/>
                <w:b/>
                <w:bCs/>
                <w:color w:val="000000"/>
                <w:sz w:val="20"/>
                <w:szCs w:val="20"/>
                <w:lang w:val="pt-PT"/>
              </w:rPr>
              <w:t>Média de 30 dias)</w:t>
            </w:r>
          </w:p>
        </w:tc>
        <w:tc>
          <w:tcPr>
            <w:tcW w:w="2206" w:type="pct"/>
            <w:tcBorders>
              <w:top w:val="single" w:sz="12" w:space="0" w:color="auto"/>
              <w:bottom w:val="single" w:sz="8" w:space="0" w:color="auto"/>
            </w:tcBorders>
            <w:shd w:val="clear" w:color="auto" w:fill="D5DCE4" w:themeFill="text2" w:themeFillTint="33"/>
          </w:tcPr>
          <w:p w14:paraId="38A89363" w14:textId="77777777" w:rsidR="000615DB" w:rsidRPr="00292532" w:rsidRDefault="000615DB" w:rsidP="006174BB">
            <w:pPr>
              <w:keepNext/>
              <w:overflowPunct w:val="0"/>
              <w:autoSpaceDE w:val="0"/>
              <w:autoSpaceDN w:val="0"/>
              <w:adjustRightInd w:val="0"/>
              <w:spacing w:before="0" w:after="0" w:line="276" w:lineRule="auto"/>
              <w:jc w:val="center"/>
              <w:textAlignment w:val="baseline"/>
              <w:rPr>
                <w:rFonts w:asciiTheme="minorHAnsi" w:eastAsia="Times New Roman" w:hAnsiTheme="minorHAnsi" w:cstheme="minorHAnsi"/>
                <w:b/>
                <w:bCs/>
                <w:color w:val="000000"/>
                <w:sz w:val="20"/>
                <w:szCs w:val="20"/>
                <w:lang w:val="pt-PT"/>
              </w:rPr>
            </w:pPr>
            <w:r w:rsidRPr="00292532">
              <w:rPr>
                <w:rFonts w:asciiTheme="minorHAnsi" w:eastAsia="Times New Roman" w:hAnsiTheme="minorHAnsi" w:cstheme="minorHAnsi"/>
                <w:b/>
                <w:bCs/>
                <w:color w:val="000000"/>
                <w:sz w:val="20"/>
                <w:szCs w:val="20"/>
                <w:lang w:val="pt-PT"/>
              </w:rPr>
              <w:t>Observação</w:t>
            </w:r>
          </w:p>
        </w:tc>
      </w:tr>
      <w:tr w:rsidR="000615DB" w:rsidRPr="008D18CF" w14:paraId="4A01F6C8" w14:textId="77777777" w:rsidTr="006174BB">
        <w:trPr>
          <w:trHeight w:val="470"/>
        </w:trPr>
        <w:tc>
          <w:tcPr>
            <w:tcW w:w="665" w:type="pct"/>
            <w:tcBorders>
              <w:top w:val="single" w:sz="8" w:space="0" w:color="auto"/>
            </w:tcBorders>
          </w:tcPr>
          <w:p w14:paraId="2E336D37"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w:t>
            </w:r>
          </w:p>
        </w:tc>
        <w:tc>
          <w:tcPr>
            <w:tcW w:w="886" w:type="pct"/>
            <w:tcBorders>
              <w:top w:val="single" w:sz="8" w:space="0" w:color="auto"/>
            </w:tcBorders>
          </w:tcPr>
          <w:p w14:paraId="05F1AD87"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Residencial</w:t>
            </w:r>
          </w:p>
        </w:tc>
        <w:tc>
          <w:tcPr>
            <w:tcW w:w="1243" w:type="pct"/>
            <w:tcBorders>
              <w:top w:val="single" w:sz="8" w:space="0" w:color="auto"/>
            </w:tcBorders>
          </w:tcPr>
          <w:p w14:paraId="239ABFA7"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i/>
                <w:color w:val="000000"/>
                <w:sz w:val="20"/>
                <w:szCs w:val="20"/>
                <w:lang w:val="pt-PT"/>
              </w:rPr>
              <w:t>D</w:t>
            </w:r>
            <w:r w:rsidRPr="00292532">
              <w:rPr>
                <w:rFonts w:asciiTheme="minorHAnsi" w:eastAsia="Times New Roman" w:hAnsiTheme="minorHAnsi" w:cstheme="minorHAnsi"/>
                <w:color w:val="000000"/>
                <w:sz w:val="20"/>
                <w:szCs w:val="20"/>
                <w:lang w:val="pt-PT"/>
              </w:rPr>
              <w:t xml:space="preserve"> &lt; 600</w:t>
            </w:r>
          </w:p>
        </w:tc>
        <w:tc>
          <w:tcPr>
            <w:tcW w:w="2206" w:type="pct"/>
            <w:tcBorders>
              <w:top w:val="single" w:sz="8" w:space="0" w:color="auto"/>
            </w:tcBorders>
          </w:tcPr>
          <w:p w14:paraId="02B73892"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Admissível para áreas residenciais e pequenas comerciais</w:t>
            </w:r>
          </w:p>
        </w:tc>
      </w:tr>
      <w:tr w:rsidR="000615DB" w:rsidRPr="008D18CF" w14:paraId="43CAD7A4" w14:textId="77777777" w:rsidTr="006174BB">
        <w:tc>
          <w:tcPr>
            <w:tcW w:w="665" w:type="pct"/>
          </w:tcPr>
          <w:p w14:paraId="486523E9"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2</w:t>
            </w:r>
          </w:p>
        </w:tc>
        <w:tc>
          <w:tcPr>
            <w:tcW w:w="886" w:type="pct"/>
          </w:tcPr>
          <w:p w14:paraId="6B1F7689"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Industrial</w:t>
            </w:r>
          </w:p>
        </w:tc>
        <w:tc>
          <w:tcPr>
            <w:tcW w:w="1243" w:type="pct"/>
          </w:tcPr>
          <w:p w14:paraId="31135E41"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i/>
                <w:color w:val="000000"/>
                <w:sz w:val="20"/>
                <w:szCs w:val="20"/>
                <w:lang w:val="pt-PT"/>
              </w:rPr>
              <w:t>D</w:t>
            </w:r>
            <w:r w:rsidRPr="00292532">
              <w:rPr>
                <w:rFonts w:asciiTheme="minorHAnsi" w:eastAsia="Times New Roman" w:hAnsiTheme="minorHAnsi" w:cstheme="minorHAnsi"/>
                <w:color w:val="000000"/>
                <w:sz w:val="20"/>
                <w:szCs w:val="20"/>
                <w:lang w:val="pt-PT"/>
              </w:rPr>
              <w:t xml:space="preserve"> </w:t>
            </w:r>
            <w:r w:rsidRPr="00292532">
              <w:rPr>
                <w:rFonts w:asciiTheme="minorHAnsi" w:eastAsia="Times New Roman" w:hAnsiTheme="minorHAnsi" w:cstheme="minorHAnsi"/>
                <w:color w:val="000000"/>
                <w:sz w:val="20"/>
                <w:szCs w:val="20"/>
                <w:u w:val="single"/>
                <w:lang w:val="pt-PT"/>
              </w:rPr>
              <w:t>&lt;</w:t>
            </w:r>
            <w:r w:rsidRPr="00292532">
              <w:rPr>
                <w:rFonts w:asciiTheme="minorHAnsi" w:eastAsia="Times New Roman" w:hAnsiTheme="minorHAnsi" w:cstheme="minorHAnsi"/>
                <w:color w:val="000000"/>
                <w:sz w:val="20"/>
                <w:szCs w:val="20"/>
                <w:lang w:val="pt-PT"/>
              </w:rPr>
              <w:t xml:space="preserve"> 1 200</w:t>
            </w:r>
          </w:p>
        </w:tc>
        <w:tc>
          <w:tcPr>
            <w:tcW w:w="2206" w:type="pct"/>
          </w:tcPr>
          <w:p w14:paraId="4F13C073"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Admissível para áreas comerciais pesadas e industriais.</w:t>
            </w:r>
          </w:p>
        </w:tc>
      </w:tr>
      <w:tr w:rsidR="000615DB" w:rsidRPr="004E2EAC" w14:paraId="0730CEE8" w14:textId="77777777" w:rsidTr="006174BB">
        <w:tc>
          <w:tcPr>
            <w:tcW w:w="665" w:type="pct"/>
          </w:tcPr>
          <w:p w14:paraId="57BF7C94"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3</w:t>
            </w:r>
          </w:p>
        </w:tc>
        <w:tc>
          <w:tcPr>
            <w:tcW w:w="886" w:type="pct"/>
          </w:tcPr>
          <w:p w14:paraId="681B16F9"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Acção</w:t>
            </w:r>
            <w:proofErr w:type="spellEnd"/>
          </w:p>
        </w:tc>
        <w:tc>
          <w:tcPr>
            <w:tcW w:w="1243" w:type="pct"/>
          </w:tcPr>
          <w:p w14:paraId="724D4D28"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1 200 &lt; </w:t>
            </w:r>
            <w:r w:rsidRPr="00292532">
              <w:rPr>
                <w:rFonts w:asciiTheme="minorHAnsi" w:eastAsia="Times New Roman" w:hAnsiTheme="minorHAnsi" w:cstheme="minorHAnsi"/>
                <w:i/>
                <w:color w:val="000000"/>
                <w:sz w:val="20"/>
                <w:szCs w:val="20"/>
                <w:lang w:val="pt-PT"/>
              </w:rPr>
              <w:t>D</w:t>
            </w:r>
            <w:r w:rsidRPr="00292532">
              <w:rPr>
                <w:rFonts w:asciiTheme="minorHAnsi" w:eastAsia="Times New Roman" w:hAnsiTheme="minorHAnsi" w:cstheme="minorHAnsi"/>
                <w:color w:val="000000"/>
                <w:sz w:val="20"/>
                <w:szCs w:val="20"/>
                <w:lang w:val="pt-PT"/>
              </w:rPr>
              <w:t xml:space="preserve"> </w:t>
            </w:r>
            <w:r w:rsidRPr="00292532">
              <w:rPr>
                <w:rFonts w:asciiTheme="minorHAnsi" w:eastAsia="Times New Roman" w:hAnsiTheme="minorHAnsi" w:cstheme="minorHAnsi"/>
                <w:color w:val="000000"/>
                <w:sz w:val="20"/>
                <w:szCs w:val="20"/>
                <w:u w:val="single"/>
                <w:lang w:val="pt-PT"/>
              </w:rPr>
              <w:t>&lt;</w:t>
            </w:r>
            <w:r w:rsidRPr="00292532">
              <w:rPr>
                <w:rFonts w:asciiTheme="minorHAnsi" w:eastAsia="Times New Roman" w:hAnsiTheme="minorHAnsi" w:cstheme="minorHAnsi"/>
                <w:color w:val="000000"/>
                <w:sz w:val="20"/>
                <w:szCs w:val="20"/>
                <w:lang w:val="pt-PT"/>
              </w:rPr>
              <w:t xml:space="preserve"> 2 400</w:t>
            </w:r>
          </w:p>
        </w:tc>
        <w:tc>
          <w:tcPr>
            <w:tcW w:w="2206" w:type="pct"/>
          </w:tcPr>
          <w:p w14:paraId="1A95FDA8"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Exige investigação e remediação, se dois meses sequenciais foram classificados com esta banda, ou mais de três ocorrem em um ano.</w:t>
            </w:r>
          </w:p>
        </w:tc>
      </w:tr>
      <w:tr w:rsidR="000615DB" w:rsidRPr="00292532" w14:paraId="1CE73583" w14:textId="77777777" w:rsidTr="006174BB">
        <w:tc>
          <w:tcPr>
            <w:tcW w:w="665" w:type="pct"/>
            <w:tcBorders>
              <w:bottom w:val="single" w:sz="12" w:space="0" w:color="auto"/>
            </w:tcBorders>
          </w:tcPr>
          <w:p w14:paraId="767E4895"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4</w:t>
            </w:r>
          </w:p>
        </w:tc>
        <w:tc>
          <w:tcPr>
            <w:tcW w:w="886" w:type="pct"/>
            <w:tcBorders>
              <w:bottom w:val="single" w:sz="12" w:space="0" w:color="auto"/>
            </w:tcBorders>
          </w:tcPr>
          <w:p w14:paraId="65B38612"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Alerta</w:t>
            </w:r>
          </w:p>
        </w:tc>
        <w:tc>
          <w:tcPr>
            <w:tcW w:w="1243" w:type="pct"/>
            <w:tcBorders>
              <w:bottom w:val="single" w:sz="12" w:space="0" w:color="auto"/>
            </w:tcBorders>
          </w:tcPr>
          <w:p w14:paraId="332B49D0"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i/>
                <w:color w:val="000000"/>
                <w:sz w:val="20"/>
                <w:szCs w:val="20"/>
                <w:lang w:val="pt-PT"/>
              </w:rPr>
              <w:t>D</w:t>
            </w:r>
            <w:r w:rsidRPr="00292532">
              <w:rPr>
                <w:rFonts w:asciiTheme="minorHAnsi" w:eastAsia="Times New Roman" w:hAnsiTheme="minorHAnsi" w:cstheme="minorHAnsi"/>
                <w:color w:val="000000"/>
                <w:sz w:val="20"/>
                <w:szCs w:val="20"/>
                <w:lang w:val="pt-PT"/>
              </w:rPr>
              <w:t xml:space="preserve"> &gt; 2 400</w:t>
            </w:r>
          </w:p>
        </w:tc>
        <w:tc>
          <w:tcPr>
            <w:tcW w:w="2206" w:type="pct"/>
            <w:tcBorders>
              <w:bottom w:val="single" w:sz="12" w:space="0" w:color="auto"/>
            </w:tcBorders>
          </w:tcPr>
          <w:p w14:paraId="1EBB9245"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Acção</w:t>
            </w:r>
            <w:proofErr w:type="spellEnd"/>
            <w:r w:rsidRPr="00292532">
              <w:rPr>
                <w:rFonts w:asciiTheme="minorHAnsi" w:eastAsia="Times New Roman" w:hAnsiTheme="minorHAnsi" w:cstheme="minorHAnsi"/>
                <w:color w:val="000000"/>
                <w:sz w:val="20"/>
                <w:szCs w:val="20"/>
                <w:lang w:val="pt-PT"/>
              </w:rPr>
              <w:t xml:space="preserve"> imediata e </w:t>
            </w:r>
            <w:proofErr w:type="spellStart"/>
            <w:r w:rsidRPr="00292532">
              <w:rPr>
                <w:rFonts w:asciiTheme="minorHAnsi" w:eastAsia="Times New Roman" w:hAnsiTheme="minorHAnsi" w:cstheme="minorHAnsi"/>
                <w:color w:val="000000"/>
                <w:sz w:val="20"/>
                <w:szCs w:val="20"/>
                <w:lang w:val="pt-PT"/>
              </w:rPr>
              <w:t>correcções</w:t>
            </w:r>
            <w:proofErr w:type="spellEnd"/>
            <w:r w:rsidRPr="00292532">
              <w:rPr>
                <w:rFonts w:asciiTheme="minorHAnsi" w:eastAsia="Times New Roman" w:hAnsiTheme="minorHAnsi" w:cstheme="minorHAnsi"/>
                <w:color w:val="000000"/>
                <w:sz w:val="20"/>
                <w:szCs w:val="20"/>
                <w:lang w:val="pt-PT"/>
              </w:rPr>
              <w:t xml:space="preserve"> necessárias após a primeira ocorrência. Relatório do incidente a apresentar à autoridade competente.</w:t>
            </w:r>
          </w:p>
        </w:tc>
      </w:tr>
    </w:tbl>
    <w:p w14:paraId="6CFCB143" w14:textId="77777777" w:rsidR="000615DB" w:rsidRPr="00292532" w:rsidRDefault="000615DB" w:rsidP="000615DB">
      <w:pPr>
        <w:overflowPunct w:val="0"/>
        <w:autoSpaceDE w:val="0"/>
        <w:autoSpaceDN w:val="0"/>
        <w:adjustRightInd w:val="0"/>
        <w:spacing w:before="0" w:after="0" w:line="264" w:lineRule="auto"/>
        <w:textAlignment w:val="baseline"/>
        <w:rPr>
          <w:rFonts w:asciiTheme="minorHAnsi" w:eastAsia="Times New Roman" w:hAnsiTheme="minorHAnsi" w:cstheme="minorHAnsi"/>
          <w:i/>
          <w:color w:val="000000"/>
          <w:sz w:val="18"/>
          <w:szCs w:val="18"/>
          <w:lang w:val="pt-PT"/>
        </w:rPr>
      </w:pPr>
      <w:r w:rsidRPr="00292532">
        <w:rPr>
          <w:rFonts w:asciiTheme="minorHAnsi" w:eastAsia="Times New Roman" w:hAnsiTheme="minorHAnsi" w:cstheme="minorHAnsi"/>
          <w:i/>
          <w:color w:val="000000"/>
          <w:sz w:val="18"/>
          <w:szCs w:val="18"/>
          <w:lang w:val="pt-PT"/>
        </w:rPr>
        <w:t>* Normas sul-africanas (2009) Padrão nacional sul-africano, Qualidade do Ar Ambiente – Limites para Poluentes Comuns, SANS 1929: 2009. Edição 2</w:t>
      </w:r>
    </w:p>
    <w:p w14:paraId="35294CE7" w14:textId="77777777" w:rsidR="000615DB" w:rsidRPr="00292532" w:rsidRDefault="000615DB" w:rsidP="000615DB">
      <w:pPr>
        <w:pStyle w:val="Caption"/>
      </w:pPr>
      <w:r w:rsidRPr="00292532">
        <w:t xml:space="preserve">Tabela 5: Limites meta, de </w:t>
      </w:r>
      <w:proofErr w:type="spellStart"/>
      <w:r w:rsidRPr="00292532">
        <w:t>acção</w:t>
      </w:r>
      <w:proofErr w:type="spellEnd"/>
      <w:r w:rsidRPr="00292532">
        <w:t xml:space="preserve"> e alerta para a deposição de poeiras*</w:t>
      </w:r>
    </w:p>
    <w:tbl>
      <w:tblPr>
        <w:tblW w:w="5000" w:type="pct"/>
        <w:tblLook w:val="0000" w:firstRow="0" w:lastRow="0" w:firstColumn="0" w:lastColumn="0" w:noHBand="0" w:noVBand="0"/>
      </w:tblPr>
      <w:tblGrid>
        <w:gridCol w:w="1424"/>
        <w:gridCol w:w="1811"/>
        <w:gridCol w:w="1410"/>
        <w:gridCol w:w="3859"/>
      </w:tblGrid>
      <w:tr w:rsidR="000615DB" w:rsidRPr="00292532" w14:paraId="24617B8F" w14:textId="77777777" w:rsidTr="006174BB">
        <w:tc>
          <w:tcPr>
            <w:tcW w:w="837" w:type="pct"/>
            <w:tcBorders>
              <w:top w:val="single" w:sz="12" w:space="0" w:color="auto"/>
              <w:bottom w:val="single" w:sz="8" w:space="0" w:color="auto"/>
            </w:tcBorders>
            <w:shd w:val="clear" w:color="auto" w:fill="D5DCE4" w:themeFill="text2" w:themeFillTint="33"/>
          </w:tcPr>
          <w:p w14:paraId="0C78139C" w14:textId="77777777" w:rsidR="000615DB" w:rsidRPr="00292532" w:rsidRDefault="000615DB" w:rsidP="006174BB">
            <w:pPr>
              <w:keepNext/>
              <w:overflowPunct w:val="0"/>
              <w:autoSpaceDE w:val="0"/>
              <w:autoSpaceDN w:val="0"/>
              <w:adjustRightInd w:val="0"/>
              <w:spacing w:before="0" w:after="0" w:line="276" w:lineRule="auto"/>
              <w:jc w:val="left"/>
              <w:textAlignment w:val="baseline"/>
              <w:rPr>
                <w:rFonts w:asciiTheme="minorHAnsi" w:eastAsia="Times New Roman" w:hAnsiTheme="minorHAnsi" w:cstheme="minorHAnsi"/>
                <w:b/>
                <w:bCs/>
                <w:color w:val="000000"/>
                <w:sz w:val="20"/>
                <w:szCs w:val="20"/>
                <w:lang w:val="pt-PT"/>
              </w:rPr>
            </w:pPr>
            <w:r w:rsidRPr="00292532">
              <w:rPr>
                <w:rFonts w:asciiTheme="minorHAnsi" w:eastAsia="Times New Roman" w:hAnsiTheme="minorHAnsi" w:cstheme="minorHAnsi"/>
                <w:b/>
                <w:bCs/>
                <w:color w:val="000000"/>
                <w:sz w:val="20"/>
                <w:szCs w:val="20"/>
                <w:lang w:val="pt-PT"/>
              </w:rPr>
              <w:t>Nível</w:t>
            </w:r>
          </w:p>
        </w:tc>
        <w:tc>
          <w:tcPr>
            <w:tcW w:w="1065" w:type="pct"/>
            <w:tcBorders>
              <w:top w:val="single" w:sz="12" w:space="0" w:color="auto"/>
              <w:bottom w:val="single" w:sz="8" w:space="0" w:color="auto"/>
            </w:tcBorders>
            <w:shd w:val="clear" w:color="auto" w:fill="D5DCE4" w:themeFill="text2" w:themeFillTint="33"/>
          </w:tcPr>
          <w:p w14:paraId="75950B67" w14:textId="77777777" w:rsidR="000615DB" w:rsidRPr="00292532" w:rsidRDefault="000615DB" w:rsidP="006174BB">
            <w:pPr>
              <w:keepNext/>
              <w:overflowPunct w:val="0"/>
              <w:autoSpaceDE w:val="0"/>
              <w:autoSpaceDN w:val="0"/>
              <w:adjustRightInd w:val="0"/>
              <w:spacing w:before="0" w:after="0" w:line="276" w:lineRule="auto"/>
              <w:jc w:val="left"/>
              <w:textAlignment w:val="baseline"/>
              <w:rPr>
                <w:rFonts w:asciiTheme="minorHAnsi" w:eastAsia="Times New Roman" w:hAnsiTheme="minorHAnsi" w:cstheme="minorHAnsi"/>
                <w:b/>
                <w:color w:val="000000"/>
                <w:sz w:val="20"/>
                <w:szCs w:val="20"/>
                <w:lang w:val="pt-PT"/>
              </w:rPr>
            </w:pPr>
            <w:r w:rsidRPr="00292532">
              <w:rPr>
                <w:rFonts w:asciiTheme="minorHAnsi" w:eastAsia="Times New Roman" w:hAnsiTheme="minorHAnsi" w:cstheme="minorHAnsi"/>
                <w:b/>
                <w:color w:val="000000"/>
                <w:sz w:val="20"/>
                <w:szCs w:val="20"/>
                <w:lang w:val="pt-PT"/>
              </w:rPr>
              <w:t>Índice de Deposição de Poeiras (</w:t>
            </w:r>
            <w:r w:rsidRPr="00292532">
              <w:rPr>
                <w:rFonts w:asciiTheme="minorHAnsi" w:eastAsia="Times New Roman" w:hAnsiTheme="minorHAnsi" w:cstheme="minorHAnsi"/>
                <w:color w:val="000000"/>
                <w:sz w:val="20"/>
                <w:szCs w:val="20"/>
                <w:lang w:val="pt-PT"/>
              </w:rPr>
              <w:t>D</w:t>
            </w:r>
            <w:r w:rsidRPr="00292532">
              <w:rPr>
                <w:rFonts w:asciiTheme="minorHAnsi" w:eastAsia="Times New Roman" w:hAnsiTheme="minorHAnsi" w:cstheme="minorHAnsi"/>
                <w:b/>
                <w:color w:val="000000"/>
                <w:sz w:val="20"/>
                <w:szCs w:val="20"/>
                <w:lang w:val="pt-PT"/>
              </w:rPr>
              <w:t>) (mg m</w:t>
            </w:r>
            <w:r w:rsidRPr="00292532">
              <w:rPr>
                <w:rFonts w:asciiTheme="minorHAnsi" w:eastAsia="Times New Roman" w:hAnsiTheme="minorHAnsi" w:cstheme="minorHAnsi"/>
                <w:b/>
                <w:color w:val="000000"/>
                <w:sz w:val="20"/>
                <w:szCs w:val="20"/>
                <w:vertAlign w:val="superscript"/>
                <w:lang w:val="pt-PT"/>
              </w:rPr>
              <w:t>-2</w:t>
            </w:r>
            <w:r w:rsidRPr="00292532">
              <w:rPr>
                <w:rFonts w:asciiTheme="minorHAnsi" w:eastAsia="Times New Roman" w:hAnsiTheme="minorHAnsi" w:cstheme="minorHAnsi"/>
                <w:b/>
                <w:color w:val="000000"/>
                <w:sz w:val="20"/>
                <w:szCs w:val="20"/>
                <w:lang w:val="pt-PT"/>
              </w:rPr>
              <w:t xml:space="preserve"> dia</w:t>
            </w:r>
            <w:r w:rsidRPr="00292532">
              <w:rPr>
                <w:rFonts w:asciiTheme="minorHAnsi" w:eastAsia="Times New Roman" w:hAnsiTheme="minorHAnsi" w:cstheme="minorHAnsi"/>
                <w:b/>
                <w:color w:val="000000"/>
                <w:sz w:val="20"/>
                <w:szCs w:val="20"/>
                <w:vertAlign w:val="superscript"/>
                <w:lang w:val="pt-PT"/>
              </w:rPr>
              <w:t>-1</w:t>
            </w:r>
            <w:r w:rsidRPr="00292532">
              <w:rPr>
                <w:rFonts w:asciiTheme="minorHAnsi" w:eastAsia="Times New Roman" w:hAnsiTheme="minorHAnsi" w:cstheme="minorHAnsi"/>
                <w:b/>
                <w:color w:val="000000"/>
                <w:sz w:val="20"/>
                <w:szCs w:val="20"/>
                <w:lang w:val="pt-PT"/>
              </w:rPr>
              <w:t>,</w:t>
            </w:r>
          </w:p>
          <w:p w14:paraId="71E37669"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b/>
                <w:bCs/>
                <w:color w:val="000000"/>
                <w:sz w:val="20"/>
                <w:szCs w:val="20"/>
                <w:lang w:val="pt-PT"/>
              </w:rPr>
            </w:pPr>
            <w:r w:rsidRPr="00292532">
              <w:rPr>
                <w:rFonts w:asciiTheme="minorHAnsi" w:eastAsia="Times New Roman" w:hAnsiTheme="minorHAnsi" w:cstheme="minorHAnsi"/>
                <w:b/>
                <w:bCs/>
                <w:color w:val="000000"/>
                <w:sz w:val="20"/>
                <w:szCs w:val="20"/>
                <w:lang w:val="pt-PT"/>
              </w:rPr>
              <w:t>Média de 30 dias)</w:t>
            </w:r>
          </w:p>
        </w:tc>
        <w:tc>
          <w:tcPr>
            <w:tcW w:w="829" w:type="pct"/>
            <w:tcBorders>
              <w:top w:val="single" w:sz="12" w:space="0" w:color="auto"/>
              <w:bottom w:val="single" w:sz="8" w:space="0" w:color="auto"/>
            </w:tcBorders>
            <w:shd w:val="clear" w:color="auto" w:fill="D5DCE4" w:themeFill="text2" w:themeFillTint="33"/>
          </w:tcPr>
          <w:p w14:paraId="3E428E0F"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b/>
                <w:bCs/>
                <w:color w:val="000000"/>
                <w:sz w:val="20"/>
                <w:szCs w:val="20"/>
                <w:lang w:val="pt-PT"/>
              </w:rPr>
            </w:pPr>
            <w:r w:rsidRPr="00292532">
              <w:rPr>
                <w:rFonts w:asciiTheme="minorHAnsi" w:eastAsia="Times New Roman" w:hAnsiTheme="minorHAnsi" w:cstheme="minorHAnsi"/>
                <w:b/>
                <w:bCs/>
                <w:color w:val="000000"/>
                <w:sz w:val="20"/>
                <w:szCs w:val="20"/>
                <w:lang w:val="pt-PT"/>
              </w:rPr>
              <w:t>Período médio</w:t>
            </w:r>
          </w:p>
        </w:tc>
        <w:tc>
          <w:tcPr>
            <w:tcW w:w="2269" w:type="pct"/>
            <w:tcBorders>
              <w:top w:val="single" w:sz="12" w:space="0" w:color="auto"/>
              <w:bottom w:val="single" w:sz="8" w:space="0" w:color="auto"/>
            </w:tcBorders>
            <w:shd w:val="clear" w:color="auto" w:fill="D5DCE4" w:themeFill="text2" w:themeFillTint="33"/>
          </w:tcPr>
          <w:p w14:paraId="1A50AF4A" w14:textId="77777777" w:rsidR="000615DB" w:rsidRPr="00292532" w:rsidRDefault="000615DB" w:rsidP="006174BB">
            <w:pPr>
              <w:keepNext/>
              <w:overflowPunct w:val="0"/>
              <w:autoSpaceDE w:val="0"/>
              <w:autoSpaceDN w:val="0"/>
              <w:adjustRightInd w:val="0"/>
              <w:spacing w:before="0" w:after="0" w:line="276" w:lineRule="auto"/>
              <w:jc w:val="center"/>
              <w:textAlignment w:val="baseline"/>
              <w:rPr>
                <w:rFonts w:asciiTheme="minorHAnsi" w:eastAsia="Times New Roman" w:hAnsiTheme="minorHAnsi" w:cstheme="minorHAnsi"/>
                <w:b/>
                <w:bCs/>
                <w:color w:val="000000"/>
                <w:sz w:val="20"/>
                <w:szCs w:val="20"/>
                <w:lang w:val="pt-PT"/>
              </w:rPr>
            </w:pPr>
            <w:r w:rsidRPr="00292532">
              <w:rPr>
                <w:rFonts w:asciiTheme="minorHAnsi" w:eastAsia="Times New Roman" w:hAnsiTheme="minorHAnsi" w:cstheme="minorHAnsi"/>
                <w:b/>
                <w:bCs/>
                <w:color w:val="000000"/>
                <w:sz w:val="20"/>
                <w:szCs w:val="20"/>
                <w:lang w:val="pt-PT"/>
              </w:rPr>
              <w:t>Frequência permitida de excedentes</w:t>
            </w:r>
          </w:p>
        </w:tc>
      </w:tr>
      <w:tr w:rsidR="000615DB" w:rsidRPr="00292532" w14:paraId="55924679" w14:textId="77777777" w:rsidTr="006174BB">
        <w:tc>
          <w:tcPr>
            <w:tcW w:w="837" w:type="pct"/>
            <w:tcBorders>
              <w:top w:val="single" w:sz="8" w:space="0" w:color="auto"/>
            </w:tcBorders>
          </w:tcPr>
          <w:p w14:paraId="4ACDCFFA"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Meta</w:t>
            </w:r>
          </w:p>
        </w:tc>
        <w:tc>
          <w:tcPr>
            <w:tcW w:w="1065" w:type="pct"/>
            <w:tcBorders>
              <w:top w:val="single" w:sz="8" w:space="0" w:color="auto"/>
            </w:tcBorders>
          </w:tcPr>
          <w:p w14:paraId="54B0780B"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300</w:t>
            </w:r>
          </w:p>
        </w:tc>
        <w:tc>
          <w:tcPr>
            <w:tcW w:w="829" w:type="pct"/>
            <w:tcBorders>
              <w:top w:val="single" w:sz="8" w:space="0" w:color="auto"/>
            </w:tcBorders>
          </w:tcPr>
          <w:p w14:paraId="10FA301D"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Anual</w:t>
            </w:r>
          </w:p>
        </w:tc>
        <w:tc>
          <w:tcPr>
            <w:tcW w:w="2269" w:type="pct"/>
            <w:tcBorders>
              <w:top w:val="single" w:sz="8" w:space="0" w:color="auto"/>
            </w:tcBorders>
          </w:tcPr>
          <w:p w14:paraId="69149483" w14:textId="77777777" w:rsidR="000615DB" w:rsidRPr="00292532" w:rsidRDefault="000615DB" w:rsidP="006174BB">
            <w:pPr>
              <w:keepNext/>
              <w:overflowPunct w:val="0"/>
              <w:autoSpaceDE w:val="0"/>
              <w:autoSpaceDN w:val="0"/>
              <w:adjustRightInd w:val="0"/>
              <w:spacing w:before="0" w:after="0" w:line="276" w:lineRule="auto"/>
              <w:jc w:val="left"/>
              <w:textAlignment w:val="baseline"/>
              <w:rPr>
                <w:rFonts w:asciiTheme="minorHAnsi" w:eastAsia="Times New Roman" w:hAnsiTheme="minorHAnsi" w:cstheme="minorHAnsi"/>
                <w:color w:val="000000"/>
                <w:sz w:val="20"/>
                <w:szCs w:val="20"/>
                <w:lang w:val="pt-PT"/>
              </w:rPr>
            </w:pPr>
          </w:p>
        </w:tc>
      </w:tr>
      <w:tr w:rsidR="000615DB" w:rsidRPr="004E2EAC" w14:paraId="1CABC6CA" w14:textId="77777777" w:rsidTr="006174BB">
        <w:tc>
          <w:tcPr>
            <w:tcW w:w="837" w:type="pct"/>
          </w:tcPr>
          <w:p w14:paraId="67A66479"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bCs/>
                <w:color w:val="000000"/>
                <w:sz w:val="20"/>
                <w:szCs w:val="20"/>
                <w:lang w:val="pt-PT"/>
              </w:rPr>
            </w:pPr>
            <w:proofErr w:type="spellStart"/>
            <w:r w:rsidRPr="00292532">
              <w:rPr>
                <w:rFonts w:asciiTheme="minorHAnsi" w:eastAsia="Times New Roman" w:hAnsiTheme="minorHAnsi" w:cstheme="minorHAnsi"/>
                <w:bCs/>
                <w:color w:val="000000"/>
                <w:sz w:val="20"/>
                <w:szCs w:val="20"/>
                <w:lang w:val="pt-PT"/>
              </w:rPr>
              <w:t>Acção</w:t>
            </w:r>
            <w:proofErr w:type="spellEnd"/>
            <w:r w:rsidRPr="00292532">
              <w:rPr>
                <w:rFonts w:asciiTheme="minorHAnsi" w:eastAsia="Times New Roman" w:hAnsiTheme="minorHAnsi" w:cstheme="minorHAnsi"/>
                <w:bCs/>
                <w:color w:val="000000"/>
                <w:sz w:val="20"/>
                <w:szCs w:val="20"/>
                <w:lang w:val="pt-PT"/>
              </w:rPr>
              <w:t xml:space="preserve"> Residencial</w:t>
            </w:r>
          </w:p>
        </w:tc>
        <w:tc>
          <w:tcPr>
            <w:tcW w:w="1065" w:type="pct"/>
          </w:tcPr>
          <w:p w14:paraId="756971F6"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600</w:t>
            </w:r>
          </w:p>
        </w:tc>
        <w:tc>
          <w:tcPr>
            <w:tcW w:w="829" w:type="pct"/>
          </w:tcPr>
          <w:p w14:paraId="6945DBCE"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30 dias</w:t>
            </w:r>
          </w:p>
        </w:tc>
        <w:tc>
          <w:tcPr>
            <w:tcW w:w="2269" w:type="pct"/>
          </w:tcPr>
          <w:p w14:paraId="380E6E57"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Três durante qualquer ano, não durante dois meses sequenciais.</w:t>
            </w:r>
          </w:p>
        </w:tc>
      </w:tr>
      <w:tr w:rsidR="000615DB" w:rsidRPr="004E2EAC" w14:paraId="6E2BC7B6" w14:textId="77777777" w:rsidTr="006174BB">
        <w:tc>
          <w:tcPr>
            <w:tcW w:w="837" w:type="pct"/>
          </w:tcPr>
          <w:p w14:paraId="04F5FC4B"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bCs/>
                <w:color w:val="000000"/>
                <w:sz w:val="20"/>
                <w:szCs w:val="20"/>
                <w:lang w:val="pt-PT"/>
              </w:rPr>
            </w:pPr>
            <w:proofErr w:type="spellStart"/>
            <w:r w:rsidRPr="00292532">
              <w:rPr>
                <w:rFonts w:asciiTheme="minorHAnsi" w:eastAsia="Times New Roman" w:hAnsiTheme="minorHAnsi" w:cstheme="minorHAnsi"/>
                <w:bCs/>
                <w:color w:val="000000"/>
                <w:sz w:val="20"/>
                <w:szCs w:val="20"/>
                <w:lang w:val="pt-PT"/>
              </w:rPr>
              <w:t>Acção</w:t>
            </w:r>
            <w:proofErr w:type="spellEnd"/>
            <w:r w:rsidRPr="00292532">
              <w:rPr>
                <w:rFonts w:asciiTheme="minorHAnsi" w:eastAsia="Times New Roman" w:hAnsiTheme="minorHAnsi" w:cstheme="minorHAnsi"/>
                <w:bCs/>
                <w:color w:val="000000"/>
                <w:sz w:val="20"/>
                <w:szCs w:val="20"/>
                <w:lang w:val="pt-PT"/>
              </w:rPr>
              <w:t xml:space="preserve"> Industrial</w:t>
            </w:r>
          </w:p>
        </w:tc>
        <w:tc>
          <w:tcPr>
            <w:tcW w:w="1065" w:type="pct"/>
          </w:tcPr>
          <w:p w14:paraId="6BDC729B"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1 200</w:t>
            </w:r>
          </w:p>
        </w:tc>
        <w:tc>
          <w:tcPr>
            <w:tcW w:w="829" w:type="pct"/>
          </w:tcPr>
          <w:p w14:paraId="03258858"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30 dias</w:t>
            </w:r>
          </w:p>
        </w:tc>
        <w:tc>
          <w:tcPr>
            <w:tcW w:w="2269" w:type="pct"/>
          </w:tcPr>
          <w:p w14:paraId="51EC37F6"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Três durante qualquer ano, não em meses sequenciais.</w:t>
            </w:r>
          </w:p>
        </w:tc>
      </w:tr>
      <w:tr w:rsidR="000615DB" w:rsidRPr="004E2EAC" w14:paraId="253C2494" w14:textId="77777777" w:rsidTr="006174BB">
        <w:tc>
          <w:tcPr>
            <w:tcW w:w="837" w:type="pct"/>
            <w:tcBorders>
              <w:bottom w:val="single" w:sz="12" w:space="0" w:color="auto"/>
            </w:tcBorders>
          </w:tcPr>
          <w:p w14:paraId="20997ED0"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bCs/>
                <w:color w:val="000000"/>
                <w:sz w:val="20"/>
                <w:szCs w:val="20"/>
                <w:lang w:val="pt-PT"/>
              </w:rPr>
            </w:pPr>
            <w:r w:rsidRPr="00292532">
              <w:rPr>
                <w:rFonts w:asciiTheme="minorHAnsi" w:eastAsia="Times New Roman" w:hAnsiTheme="minorHAnsi" w:cstheme="minorHAnsi"/>
                <w:bCs/>
                <w:color w:val="000000"/>
                <w:sz w:val="20"/>
                <w:szCs w:val="20"/>
                <w:lang w:val="pt-PT"/>
              </w:rPr>
              <w:t xml:space="preserve">Limite de Alerta </w:t>
            </w:r>
          </w:p>
        </w:tc>
        <w:tc>
          <w:tcPr>
            <w:tcW w:w="1065" w:type="pct"/>
            <w:tcBorders>
              <w:bottom w:val="single" w:sz="12" w:space="0" w:color="auto"/>
            </w:tcBorders>
          </w:tcPr>
          <w:p w14:paraId="3BA2C868"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2 400</w:t>
            </w:r>
          </w:p>
        </w:tc>
        <w:tc>
          <w:tcPr>
            <w:tcW w:w="829" w:type="pct"/>
            <w:tcBorders>
              <w:bottom w:val="single" w:sz="12" w:space="0" w:color="auto"/>
            </w:tcBorders>
          </w:tcPr>
          <w:p w14:paraId="6EEF0543"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30 dias</w:t>
            </w:r>
          </w:p>
        </w:tc>
        <w:tc>
          <w:tcPr>
            <w:tcW w:w="2269" w:type="pct"/>
            <w:tcBorders>
              <w:bottom w:val="single" w:sz="12" w:space="0" w:color="auto"/>
            </w:tcBorders>
          </w:tcPr>
          <w:p w14:paraId="62A9C01E"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Nenhum. Primeiro excedente requer remediação e relatório compulsivo para as autoridades.</w:t>
            </w:r>
          </w:p>
        </w:tc>
      </w:tr>
    </w:tbl>
    <w:p w14:paraId="0F5407E7" w14:textId="77777777" w:rsidR="000615DB" w:rsidRPr="00292532" w:rsidRDefault="000615DB" w:rsidP="000615DB">
      <w:pPr>
        <w:rPr>
          <w:i/>
          <w:iCs/>
          <w:sz w:val="18"/>
          <w:szCs w:val="18"/>
          <w:lang w:val="pt-PT" w:eastAsia="ja-JP"/>
        </w:rPr>
      </w:pPr>
      <w:r w:rsidRPr="00292532">
        <w:rPr>
          <w:i/>
          <w:iCs/>
          <w:sz w:val="18"/>
          <w:szCs w:val="18"/>
          <w:lang w:val="pt-PT" w:eastAsia="ja-JP"/>
        </w:rPr>
        <w:t>* Normas sul-africanas (2009) Padrão nacional sul-africano, Qualidade do Ar Ambiente – Limites para Poluentes Comuns, SANS 1929: 2009. Edição 2.</w:t>
      </w:r>
    </w:p>
    <w:p w14:paraId="25BFDCFF" w14:textId="77777777" w:rsidR="000615DB" w:rsidRPr="00292532" w:rsidRDefault="000615DB" w:rsidP="000615DB">
      <w:pPr>
        <w:rPr>
          <w:i/>
          <w:iCs/>
          <w:sz w:val="18"/>
          <w:szCs w:val="18"/>
          <w:lang w:val="pt-PT" w:eastAsia="ja-JP"/>
        </w:rPr>
      </w:pPr>
    </w:p>
    <w:p w14:paraId="4C8DDF54" w14:textId="77777777" w:rsidR="000615DB" w:rsidRPr="00292532" w:rsidRDefault="000615DB">
      <w:pPr>
        <w:pStyle w:val="Heading3"/>
        <w:rPr>
          <w:lang w:eastAsia="ja-JP"/>
        </w:rPr>
      </w:pPr>
      <w:bookmarkStart w:id="553" w:name="_Toc78435426"/>
      <w:bookmarkStart w:id="554" w:name="_Toc80380096"/>
      <w:r w:rsidRPr="00292532">
        <w:rPr>
          <w:lang w:eastAsia="ja-JP"/>
        </w:rPr>
        <w:t>Emissões de Ruído</w:t>
      </w:r>
      <w:bookmarkEnd w:id="553"/>
      <w:bookmarkEnd w:id="554"/>
    </w:p>
    <w:p w14:paraId="79BD784C" w14:textId="77777777" w:rsidR="000615DB" w:rsidRPr="00292532" w:rsidRDefault="000615DB" w:rsidP="000615DB">
      <w:pPr>
        <w:rPr>
          <w:lang w:val="pt-PT" w:eastAsia="ja-JP"/>
        </w:rPr>
      </w:pPr>
      <w:r w:rsidRPr="00292532">
        <w:rPr>
          <w:lang w:val="pt-PT" w:eastAsia="ja-JP"/>
        </w:rPr>
        <w:t xml:space="preserve">Não foram estabelecidas normas de emissão de ruído pela regulamentação moçambicana e, portanto, as normas consideradas aplicáveis às emissões de ruído ambiental limitam-se às </w:t>
      </w:r>
      <w:proofErr w:type="spellStart"/>
      <w:r w:rsidRPr="00292532">
        <w:rPr>
          <w:lang w:val="pt-PT" w:eastAsia="ja-JP"/>
        </w:rPr>
        <w:t>Directrizes</w:t>
      </w:r>
      <w:proofErr w:type="spellEnd"/>
      <w:r w:rsidRPr="00292532">
        <w:rPr>
          <w:lang w:val="pt-PT" w:eastAsia="ja-JP"/>
        </w:rPr>
        <w:t xml:space="preserve"> Gerais de EHS da IFC como apresentado na </w:t>
      </w:r>
      <w:r w:rsidRPr="00292532">
        <w:rPr>
          <w:b/>
          <w:bCs/>
          <w:lang w:val="pt-PT" w:eastAsia="ja-JP"/>
        </w:rPr>
        <w:fldChar w:fldCharType="begin"/>
      </w:r>
      <w:r w:rsidRPr="00292532">
        <w:rPr>
          <w:b/>
          <w:bCs/>
          <w:lang w:val="pt-PT" w:eastAsia="ja-JP"/>
        </w:rPr>
        <w:instrText xml:space="preserve"> REF _Ref72708136 \h  \* MERGEFORMAT </w:instrText>
      </w:r>
      <w:r w:rsidRPr="00292532">
        <w:rPr>
          <w:b/>
          <w:bCs/>
          <w:lang w:val="pt-PT" w:eastAsia="ja-JP"/>
        </w:rPr>
      </w:r>
      <w:r w:rsidRPr="00292532">
        <w:rPr>
          <w:b/>
          <w:bCs/>
          <w:lang w:val="pt-PT" w:eastAsia="ja-JP"/>
        </w:rPr>
        <w:fldChar w:fldCharType="separate"/>
      </w:r>
      <w:r w:rsidRPr="00292532">
        <w:rPr>
          <w:b/>
          <w:bCs/>
          <w:lang w:val="pt-PT"/>
        </w:rPr>
        <w:t xml:space="preserve">Tabela </w:t>
      </w:r>
      <w:r w:rsidRPr="00292532">
        <w:rPr>
          <w:b/>
          <w:bCs/>
          <w:lang w:val="pt-PT" w:eastAsia="ja-JP"/>
        </w:rPr>
        <w:fldChar w:fldCharType="end"/>
      </w:r>
      <w:r w:rsidRPr="00292532">
        <w:rPr>
          <w:b/>
          <w:bCs/>
          <w:lang w:val="pt-PT" w:eastAsia="ja-JP"/>
        </w:rPr>
        <w:t>6</w:t>
      </w:r>
      <w:r w:rsidRPr="00292532">
        <w:rPr>
          <w:lang w:val="pt-PT" w:eastAsia="ja-JP"/>
        </w:rPr>
        <w:t>.</w:t>
      </w:r>
    </w:p>
    <w:p w14:paraId="74BCF331" w14:textId="77777777" w:rsidR="000615DB" w:rsidRPr="00292532" w:rsidRDefault="000615DB" w:rsidP="000615DB">
      <w:pPr>
        <w:pStyle w:val="Caption"/>
      </w:pPr>
      <w:r w:rsidRPr="00292532">
        <w:t xml:space="preserve">Tabela 6: </w:t>
      </w:r>
      <w:proofErr w:type="spellStart"/>
      <w:r w:rsidRPr="00292532">
        <w:t>Directrizes</w:t>
      </w:r>
      <w:proofErr w:type="spellEnd"/>
      <w:r w:rsidRPr="00292532">
        <w:t xml:space="preserve"> de Emissões de Ruído</w:t>
      </w:r>
    </w:p>
    <w:tbl>
      <w:tblPr>
        <w:tblW w:w="7765" w:type="dxa"/>
        <w:tblLayout w:type="fixed"/>
        <w:tblCellMar>
          <w:left w:w="56" w:type="dxa"/>
          <w:right w:w="56" w:type="dxa"/>
        </w:tblCellMar>
        <w:tblLook w:val="0000" w:firstRow="0" w:lastRow="0" w:firstColumn="0" w:lastColumn="0" w:noHBand="0" w:noVBand="0"/>
      </w:tblPr>
      <w:tblGrid>
        <w:gridCol w:w="4676"/>
        <w:gridCol w:w="1760"/>
        <w:gridCol w:w="1329"/>
      </w:tblGrid>
      <w:tr w:rsidR="000615DB" w:rsidRPr="00292532" w14:paraId="13C37F38" w14:textId="77777777" w:rsidTr="006174BB">
        <w:trPr>
          <w:cantSplit/>
          <w:trHeight w:val="240"/>
          <w:tblHeader/>
        </w:trPr>
        <w:tc>
          <w:tcPr>
            <w:tcW w:w="4676" w:type="dxa"/>
            <w:vMerge w:val="restart"/>
            <w:tcBorders>
              <w:top w:val="single" w:sz="12" w:space="0" w:color="auto"/>
            </w:tcBorders>
            <w:shd w:val="clear" w:color="auto" w:fill="D5DCE4" w:themeFill="text2" w:themeFillTint="33"/>
          </w:tcPr>
          <w:p w14:paraId="0FCA9B1C"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Book Antiqua" w:eastAsia="Times New Roman" w:hAnsi="Book Antiqua" w:cs="Times New Roman"/>
                <w:b/>
                <w:color w:val="000000"/>
                <w:sz w:val="18"/>
                <w:szCs w:val="18"/>
                <w:lang w:val="pt-PT"/>
              </w:rPr>
            </w:pPr>
            <w:proofErr w:type="spellStart"/>
            <w:r w:rsidRPr="00292532">
              <w:rPr>
                <w:rFonts w:ascii="Book Antiqua" w:eastAsia="Times New Roman" w:hAnsi="Book Antiqua" w:cs="Times New Roman"/>
                <w:b/>
                <w:color w:val="000000"/>
                <w:sz w:val="18"/>
                <w:szCs w:val="18"/>
                <w:lang w:val="pt-PT"/>
              </w:rPr>
              <w:t>Receptor</w:t>
            </w:r>
            <w:proofErr w:type="spellEnd"/>
            <w:r w:rsidRPr="00292532">
              <w:rPr>
                <w:rFonts w:ascii="Book Antiqua" w:eastAsia="Times New Roman" w:hAnsi="Book Antiqua" w:cs="Times New Roman"/>
                <w:b/>
                <w:color w:val="000000"/>
                <w:sz w:val="18"/>
                <w:szCs w:val="18"/>
                <w:lang w:val="pt-PT"/>
              </w:rPr>
              <w:t xml:space="preserve"> </w:t>
            </w:r>
          </w:p>
        </w:tc>
        <w:tc>
          <w:tcPr>
            <w:tcW w:w="3089" w:type="dxa"/>
            <w:gridSpan w:val="2"/>
            <w:tcBorders>
              <w:top w:val="single" w:sz="12" w:space="0" w:color="auto"/>
            </w:tcBorders>
            <w:shd w:val="clear" w:color="auto" w:fill="D5DCE4" w:themeFill="text2" w:themeFillTint="33"/>
          </w:tcPr>
          <w:p w14:paraId="6AAD41D5"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Book Antiqua" w:eastAsia="Times New Roman" w:hAnsi="Book Antiqua" w:cs="Times New Roman"/>
                <w:b/>
                <w:color w:val="000000"/>
                <w:sz w:val="18"/>
                <w:szCs w:val="18"/>
                <w:lang w:val="pt-PT"/>
              </w:rPr>
            </w:pPr>
            <w:r w:rsidRPr="00292532">
              <w:rPr>
                <w:rFonts w:ascii="Book Antiqua" w:eastAsia="Times New Roman" w:hAnsi="Book Antiqua" w:cs="Times New Roman"/>
                <w:b/>
                <w:color w:val="000000"/>
                <w:sz w:val="18"/>
                <w:szCs w:val="18"/>
                <w:lang w:val="pt-PT"/>
              </w:rPr>
              <w:t xml:space="preserve">Uma Hora </w:t>
            </w:r>
            <w:proofErr w:type="spellStart"/>
            <w:r w:rsidRPr="00292532">
              <w:rPr>
                <w:rFonts w:ascii="Book Antiqua" w:eastAsia="Times New Roman" w:hAnsi="Book Antiqua" w:cs="Times New Roman"/>
                <w:b/>
                <w:color w:val="000000"/>
                <w:sz w:val="18"/>
                <w:szCs w:val="18"/>
                <w:lang w:val="pt-PT"/>
              </w:rPr>
              <w:t>LAeq</w:t>
            </w:r>
            <w:proofErr w:type="spellEnd"/>
            <w:r w:rsidRPr="00292532">
              <w:rPr>
                <w:rFonts w:ascii="Book Antiqua" w:eastAsia="Times New Roman" w:hAnsi="Book Antiqua" w:cs="Times New Roman"/>
                <w:b/>
                <w:color w:val="000000"/>
                <w:sz w:val="18"/>
                <w:szCs w:val="18"/>
                <w:lang w:val="pt-PT"/>
              </w:rPr>
              <w:t xml:space="preserve"> (</w:t>
            </w:r>
            <w:proofErr w:type="spellStart"/>
            <w:r w:rsidRPr="00292532">
              <w:rPr>
                <w:rFonts w:ascii="Book Antiqua" w:eastAsia="Times New Roman" w:hAnsi="Book Antiqua" w:cs="Times New Roman"/>
                <w:b/>
                <w:color w:val="000000"/>
                <w:sz w:val="18"/>
                <w:szCs w:val="18"/>
                <w:lang w:val="pt-PT"/>
              </w:rPr>
              <w:t>dBA</w:t>
            </w:r>
            <w:proofErr w:type="spellEnd"/>
            <w:r w:rsidRPr="00292532">
              <w:rPr>
                <w:rFonts w:ascii="Book Antiqua" w:eastAsia="Times New Roman" w:hAnsi="Book Antiqua" w:cs="Times New Roman"/>
                <w:b/>
                <w:color w:val="000000"/>
                <w:sz w:val="18"/>
                <w:szCs w:val="18"/>
                <w:lang w:val="pt-PT"/>
              </w:rPr>
              <w:t>)</w:t>
            </w:r>
          </w:p>
        </w:tc>
      </w:tr>
      <w:tr w:rsidR="000615DB" w:rsidRPr="00292532" w14:paraId="11315B3C" w14:textId="77777777" w:rsidTr="006174BB">
        <w:trPr>
          <w:cantSplit/>
          <w:trHeight w:val="240"/>
        </w:trPr>
        <w:tc>
          <w:tcPr>
            <w:tcW w:w="4676" w:type="dxa"/>
            <w:vMerge/>
            <w:tcBorders>
              <w:bottom w:val="single" w:sz="12" w:space="0" w:color="auto"/>
            </w:tcBorders>
            <w:shd w:val="clear" w:color="auto" w:fill="D5DCE4" w:themeFill="text2" w:themeFillTint="33"/>
          </w:tcPr>
          <w:p w14:paraId="4DF43DF7"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Book Antiqua" w:eastAsia="Times New Roman" w:hAnsi="Book Antiqua" w:cs="Times New Roman"/>
                <w:color w:val="000000"/>
                <w:sz w:val="18"/>
                <w:szCs w:val="18"/>
                <w:lang w:val="pt-PT"/>
              </w:rPr>
            </w:pPr>
          </w:p>
        </w:tc>
        <w:tc>
          <w:tcPr>
            <w:tcW w:w="1760" w:type="dxa"/>
            <w:tcBorders>
              <w:bottom w:val="single" w:sz="12" w:space="0" w:color="auto"/>
            </w:tcBorders>
            <w:shd w:val="clear" w:color="auto" w:fill="D5DCE4" w:themeFill="text2" w:themeFillTint="33"/>
          </w:tcPr>
          <w:p w14:paraId="2DFA1688"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Book Antiqua" w:eastAsia="Times New Roman" w:hAnsi="Book Antiqua" w:cs="Times New Roman"/>
                <w:b/>
                <w:color w:val="000000"/>
                <w:sz w:val="18"/>
                <w:szCs w:val="18"/>
                <w:lang w:val="pt-PT"/>
              </w:rPr>
            </w:pPr>
            <w:r w:rsidRPr="00292532">
              <w:rPr>
                <w:rFonts w:ascii="Book Antiqua" w:eastAsia="Times New Roman" w:hAnsi="Book Antiqua" w:cs="Times New Roman"/>
                <w:b/>
                <w:color w:val="000000"/>
                <w:sz w:val="18"/>
                <w:szCs w:val="18"/>
                <w:lang w:val="pt-PT"/>
              </w:rPr>
              <w:t>Durante o dia</w:t>
            </w:r>
          </w:p>
          <w:p w14:paraId="6E3F2529"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Book Antiqua" w:eastAsia="Times New Roman" w:hAnsi="Book Antiqua" w:cs="Times New Roman"/>
                <w:b/>
                <w:color w:val="000000"/>
                <w:sz w:val="18"/>
                <w:szCs w:val="18"/>
                <w:lang w:val="pt-PT"/>
              </w:rPr>
            </w:pPr>
            <w:r w:rsidRPr="00292532">
              <w:rPr>
                <w:rFonts w:ascii="Book Antiqua" w:eastAsia="Times New Roman" w:hAnsi="Book Antiqua" w:cs="Times New Roman"/>
                <w:b/>
                <w:color w:val="000000"/>
                <w:sz w:val="18"/>
                <w:szCs w:val="18"/>
                <w:lang w:val="pt-PT"/>
              </w:rPr>
              <w:t>07:00 – 22:00</w:t>
            </w:r>
          </w:p>
        </w:tc>
        <w:tc>
          <w:tcPr>
            <w:tcW w:w="1329" w:type="dxa"/>
            <w:tcBorders>
              <w:bottom w:val="single" w:sz="12" w:space="0" w:color="auto"/>
            </w:tcBorders>
            <w:shd w:val="clear" w:color="auto" w:fill="D5DCE4" w:themeFill="text2" w:themeFillTint="33"/>
          </w:tcPr>
          <w:p w14:paraId="07819A39"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Book Antiqua" w:eastAsia="Times New Roman" w:hAnsi="Book Antiqua" w:cs="Times New Roman"/>
                <w:b/>
                <w:color w:val="000000"/>
                <w:sz w:val="18"/>
                <w:szCs w:val="18"/>
                <w:lang w:val="pt-PT"/>
              </w:rPr>
            </w:pPr>
            <w:r w:rsidRPr="00292532">
              <w:rPr>
                <w:rFonts w:ascii="Book Antiqua" w:eastAsia="Times New Roman" w:hAnsi="Book Antiqua" w:cs="Times New Roman"/>
                <w:b/>
                <w:color w:val="000000"/>
                <w:sz w:val="18"/>
                <w:szCs w:val="18"/>
                <w:lang w:val="pt-PT"/>
              </w:rPr>
              <w:t>Durante a noite</w:t>
            </w:r>
          </w:p>
          <w:p w14:paraId="120627CB"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Book Antiqua" w:eastAsia="Times New Roman" w:hAnsi="Book Antiqua" w:cs="Times New Roman"/>
                <w:b/>
                <w:color w:val="000000"/>
                <w:sz w:val="18"/>
                <w:szCs w:val="18"/>
                <w:lang w:val="pt-PT"/>
              </w:rPr>
            </w:pPr>
            <w:r w:rsidRPr="00292532">
              <w:rPr>
                <w:rFonts w:ascii="Book Antiqua" w:eastAsia="Times New Roman" w:hAnsi="Book Antiqua" w:cs="Times New Roman"/>
                <w:b/>
                <w:color w:val="000000"/>
                <w:sz w:val="18"/>
                <w:szCs w:val="18"/>
                <w:lang w:val="pt-PT"/>
              </w:rPr>
              <w:t>22:00 – 07:00</w:t>
            </w:r>
          </w:p>
        </w:tc>
      </w:tr>
      <w:tr w:rsidR="000615DB" w:rsidRPr="00292532" w14:paraId="1AADCF13" w14:textId="77777777" w:rsidTr="006174BB">
        <w:trPr>
          <w:cantSplit/>
          <w:trHeight w:val="240"/>
        </w:trPr>
        <w:tc>
          <w:tcPr>
            <w:tcW w:w="4676" w:type="dxa"/>
            <w:tcBorders>
              <w:top w:val="single" w:sz="12" w:space="0" w:color="auto"/>
            </w:tcBorders>
            <w:shd w:val="clear" w:color="auto" w:fill="auto"/>
          </w:tcPr>
          <w:p w14:paraId="2D85C106"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Book Antiqua" w:eastAsia="Times New Roman" w:hAnsi="Book Antiqua" w:cs="Times New Roman"/>
                <w:color w:val="000000"/>
                <w:sz w:val="18"/>
                <w:szCs w:val="18"/>
                <w:lang w:val="pt-PT"/>
              </w:rPr>
            </w:pPr>
            <w:r w:rsidRPr="00292532">
              <w:rPr>
                <w:rFonts w:ascii="Book Antiqua" w:eastAsia="Times New Roman" w:hAnsi="Book Antiqua" w:cs="Times New Roman"/>
                <w:color w:val="000000"/>
                <w:sz w:val="18"/>
                <w:szCs w:val="18"/>
                <w:lang w:val="pt-PT"/>
              </w:rPr>
              <w:t xml:space="preserve">Condição Ambiente (como medidas no local) </w:t>
            </w:r>
          </w:p>
        </w:tc>
        <w:tc>
          <w:tcPr>
            <w:tcW w:w="1760" w:type="dxa"/>
            <w:tcBorders>
              <w:top w:val="single" w:sz="12" w:space="0" w:color="auto"/>
            </w:tcBorders>
            <w:shd w:val="clear" w:color="auto" w:fill="auto"/>
          </w:tcPr>
          <w:p w14:paraId="7F4ACDCE"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Book Antiqua" w:eastAsia="Times New Roman" w:hAnsi="Book Antiqua" w:cs="Times New Roman"/>
                <w:color w:val="000000"/>
                <w:sz w:val="18"/>
                <w:szCs w:val="18"/>
                <w:lang w:val="pt-PT"/>
              </w:rPr>
            </w:pPr>
            <w:r w:rsidRPr="00292532">
              <w:rPr>
                <w:rFonts w:ascii="Book Antiqua" w:eastAsia="Times New Roman" w:hAnsi="Book Antiqua" w:cs="Times New Roman"/>
                <w:color w:val="000000"/>
                <w:sz w:val="18"/>
                <w:szCs w:val="18"/>
                <w:lang w:val="pt-PT"/>
              </w:rPr>
              <w:t xml:space="preserve">39.8 </w:t>
            </w:r>
          </w:p>
        </w:tc>
        <w:tc>
          <w:tcPr>
            <w:tcW w:w="1329" w:type="dxa"/>
            <w:tcBorders>
              <w:top w:val="single" w:sz="12" w:space="0" w:color="auto"/>
            </w:tcBorders>
            <w:shd w:val="clear" w:color="auto" w:fill="auto"/>
          </w:tcPr>
          <w:p w14:paraId="73C654BD"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Book Antiqua" w:eastAsia="Times New Roman" w:hAnsi="Book Antiqua" w:cs="Times New Roman"/>
                <w:color w:val="000000"/>
                <w:sz w:val="18"/>
                <w:szCs w:val="18"/>
                <w:lang w:val="pt-PT"/>
              </w:rPr>
            </w:pPr>
            <w:r w:rsidRPr="00292532">
              <w:rPr>
                <w:rFonts w:ascii="Book Antiqua" w:eastAsia="Times New Roman" w:hAnsi="Book Antiqua" w:cs="Times New Roman"/>
                <w:color w:val="000000"/>
                <w:sz w:val="18"/>
                <w:szCs w:val="18"/>
                <w:lang w:val="pt-PT"/>
              </w:rPr>
              <w:t xml:space="preserve">- </w:t>
            </w:r>
          </w:p>
        </w:tc>
      </w:tr>
      <w:tr w:rsidR="000615DB" w:rsidRPr="00292532" w14:paraId="2DC87607" w14:textId="77777777" w:rsidTr="006174BB">
        <w:trPr>
          <w:cantSplit/>
          <w:trHeight w:val="240"/>
        </w:trPr>
        <w:tc>
          <w:tcPr>
            <w:tcW w:w="4676" w:type="dxa"/>
            <w:shd w:val="clear" w:color="auto" w:fill="auto"/>
          </w:tcPr>
          <w:p w14:paraId="18EDBB7C"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Book Antiqua" w:eastAsia="Times New Roman" w:hAnsi="Book Antiqua" w:cs="Times New Roman"/>
                <w:color w:val="000000"/>
                <w:sz w:val="18"/>
                <w:szCs w:val="18"/>
                <w:lang w:val="pt-PT"/>
              </w:rPr>
            </w:pPr>
            <w:r w:rsidRPr="00292532">
              <w:rPr>
                <w:rFonts w:ascii="Book Antiqua" w:eastAsia="Times New Roman" w:hAnsi="Book Antiqua" w:cs="Times New Roman"/>
                <w:color w:val="000000"/>
                <w:sz w:val="18"/>
                <w:szCs w:val="18"/>
                <w:lang w:val="pt-PT"/>
              </w:rPr>
              <w:t>Residencial/Institucional/Educacional</w:t>
            </w:r>
          </w:p>
        </w:tc>
        <w:tc>
          <w:tcPr>
            <w:tcW w:w="1760" w:type="dxa"/>
            <w:shd w:val="clear" w:color="auto" w:fill="auto"/>
          </w:tcPr>
          <w:p w14:paraId="733E44A2"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Book Antiqua" w:eastAsia="Times New Roman" w:hAnsi="Book Antiqua" w:cs="Times New Roman"/>
                <w:color w:val="000000"/>
                <w:sz w:val="18"/>
                <w:szCs w:val="18"/>
                <w:lang w:val="pt-PT"/>
              </w:rPr>
            </w:pPr>
            <w:r w:rsidRPr="00292532">
              <w:rPr>
                <w:rFonts w:ascii="Book Antiqua" w:eastAsia="Times New Roman" w:hAnsi="Book Antiqua" w:cs="Times New Roman"/>
                <w:color w:val="000000"/>
                <w:sz w:val="18"/>
                <w:szCs w:val="18"/>
                <w:lang w:val="pt-PT"/>
              </w:rPr>
              <w:t>55</w:t>
            </w:r>
          </w:p>
        </w:tc>
        <w:tc>
          <w:tcPr>
            <w:tcW w:w="1329" w:type="dxa"/>
            <w:shd w:val="clear" w:color="auto" w:fill="auto"/>
          </w:tcPr>
          <w:p w14:paraId="36DBEAB8"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Book Antiqua" w:eastAsia="Times New Roman" w:hAnsi="Book Antiqua" w:cs="Times New Roman"/>
                <w:color w:val="000000"/>
                <w:sz w:val="18"/>
                <w:szCs w:val="18"/>
                <w:lang w:val="pt-PT"/>
              </w:rPr>
            </w:pPr>
            <w:r w:rsidRPr="00292532">
              <w:rPr>
                <w:rFonts w:ascii="Book Antiqua" w:eastAsia="Times New Roman" w:hAnsi="Book Antiqua" w:cs="Times New Roman"/>
                <w:color w:val="000000"/>
                <w:sz w:val="18"/>
                <w:szCs w:val="18"/>
                <w:lang w:val="pt-PT"/>
              </w:rPr>
              <w:t>45</w:t>
            </w:r>
          </w:p>
        </w:tc>
      </w:tr>
      <w:tr w:rsidR="000615DB" w:rsidRPr="00292532" w14:paraId="447466AD" w14:textId="77777777" w:rsidTr="006174BB">
        <w:trPr>
          <w:cantSplit/>
          <w:trHeight w:val="240"/>
        </w:trPr>
        <w:tc>
          <w:tcPr>
            <w:tcW w:w="4676" w:type="dxa"/>
            <w:tcBorders>
              <w:bottom w:val="single" w:sz="12" w:space="0" w:color="auto"/>
            </w:tcBorders>
            <w:shd w:val="clear" w:color="auto" w:fill="auto"/>
          </w:tcPr>
          <w:p w14:paraId="7E64B492"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Book Antiqua" w:eastAsia="Times New Roman" w:hAnsi="Book Antiqua" w:cs="Times New Roman"/>
                <w:color w:val="000000"/>
                <w:sz w:val="18"/>
                <w:szCs w:val="18"/>
                <w:lang w:val="pt-PT"/>
              </w:rPr>
            </w:pPr>
            <w:r w:rsidRPr="00292532">
              <w:rPr>
                <w:rFonts w:ascii="Book Antiqua" w:eastAsia="Times New Roman" w:hAnsi="Book Antiqua" w:cs="Times New Roman"/>
                <w:color w:val="000000"/>
                <w:sz w:val="18"/>
                <w:szCs w:val="18"/>
                <w:lang w:val="pt-PT"/>
              </w:rPr>
              <w:t>Industrial/Comercial</w:t>
            </w:r>
          </w:p>
        </w:tc>
        <w:tc>
          <w:tcPr>
            <w:tcW w:w="1760" w:type="dxa"/>
            <w:tcBorders>
              <w:bottom w:val="single" w:sz="12" w:space="0" w:color="auto"/>
            </w:tcBorders>
            <w:shd w:val="clear" w:color="auto" w:fill="auto"/>
          </w:tcPr>
          <w:p w14:paraId="7870308F"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Book Antiqua" w:eastAsia="Times New Roman" w:hAnsi="Book Antiqua" w:cs="Times New Roman"/>
                <w:color w:val="000000"/>
                <w:sz w:val="18"/>
                <w:szCs w:val="18"/>
                <w:lang w:val="pt-PT"/>
              </w:rPr>
            </w:pPr>
            <w:r w:rsidRPr="00292532">
              <w:rPr>
                <w:rFonts w:ascii="Book Antiqua" w:eastAsia="Times New Roman" w:hAnsi="Book Antiqua" w:cs="Times New Roman"/>
                <w:color w:val="000000"/>
                <w:sz w:val="18"/>
                <w:szCs w:val="18"/>
                <w:lang w:val="pt-PT"/>
              </w:rPr>
              <w:t>70</w:t>
            </w:r>
          </w:p>
        </w:tc>
        <w:tc>
          <w:tcPr>
            <w:tcW w:w="1329" w:type="dxa"/>
            <w:tcBorders>
              <w:bottom w:val="single" w:sz="12" w:space="0" w:color="auto"/>
            </w:tcBorders>
            <w:shd w:val="clear" w:color="auto" w:fill="auto"/>
          </w:tcPr>
          <w:p w14:paraId="0303D0F8"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Book Antiqua" w:eastAsia="Times New Roman" w:hAnsi="Book Antiqua" w:cs="Times New Roman"/>
                <w:color w:val="000000"/>
                <w:sz w:val="18"/>
                <w:szCs w:val="18"/>
                <w:lang w:val="pt-PT"/>
              </w:rPr>
            </w:pPr>
            <w:r w:rsidRPr="00292532">
              <w:rPr>
                <w:rFonts w:ascii="Book Antiqua" w:eastAsia="Times New Roman" w:hAnsi="Book Antiqua" w:cs="Times New Roman"/>
                <w:color w:val="000000"/>
                <w:sz w:val="18"/>
                <w:szCs w:val="18"/>
                <w:lang w:val="pt-PT"/>
              </w:rPr>
              <w:t xml:space="preserve">70 </w:t>
            </w:r>
          </w:p>
        </w:tc>
      </w:tr>
    </w:tbl>
    <w:p w14:paraId="4093D79D" w14:textId="77777777" w:rsidR="000615DB" w:rsidRPr="00292532" w:rsidRDefault="000615DB" w:rsidP="000615DB">
      <w:pPr>
        <w:rPr>
          <w:lang w:val="pt-PT" w:eastAsia="ja-JP"/>
        </w:rPr>
      </w:pPr>
    </w:p>
    <w:p w14:paraId="02C36793" w14:textId="77777777" w:rsidR="000615DB" w:rsidRPr="00292532" w:rsidRDefault="000615DB">
      <w:pPr>
        <w:pStyle w:val="Heading3"/>
        <w:rPr>
          <w:lang w:eastAsia="ja-JP"/>
        </w:rPr>
      </w:pPr>
      <w:bookmarkStart w:id="555" w:name="_Toc78435427"/>
      <w:bookmarkStart w:id="556" w:name="_Toc80380097"/>
      <w:r w:rsidRPr="00292532">
        <w:rPr>
          <w:lang w:eastAsia="ja-JP"/>
        </w:rPr>
        <w:lastRenderedPageBreak/>
        <w:t>Qualidade da Água Potável</w:t>
      </w:r>
      <w:bookmarkEnd w:id="555"/>
      <w:bookmarkEnd w:id="556"/>
    </w:p>
    <w:p w14:paraId="1D691519" w14:textId="77777777" w:rsidR="000615DB" w:rsidRPr="00292532" w:rsidRDefault="000615DB" w:rsidP="000615DB">
      <w:pPr>
        <w:rPr>
          <w:lang w:val="pt-PT" w:eastAsia="ja-JP"/>
        </w:rPr>
      </w:pPr>
      <w:proofErr w:type="spellStart"/>
      <w:r w:rsidRPr="00292532">
        <w:rPr>
          <w:lang w:val="pt-PT" w:eastAsia="ja-JP"/>
        </w:rPr>
        <w:t>Directrizes</w:t>
      </w:r>
      <w:proofErr w:type="spellEnd"/>
      <w:r w:rsidRPr="00292532">
        <w:rPr>
          <w:lang w:val="pt-PT" w:eastAsia="ja-JP"/>
        </w:rPr>
        <w:t xml:space="preserve"> da qualidade de água potável consideradas relevantes para o </w:t>
      </w:r>
      <w:proofErr w:type="spellStart"/>
      <w:r w:rsidRPr="00292532">
        <w:rPr>
          <w:lang w:val="pt-PT" w:eastAsia="ja-JP"/>
        </w:rPr>
        <w:t>Projecto</w:t>
      </w:r>
      <w:proofErr w:type="spellEnd"/>
      <w:r w:rsidRPr="00292532">
        <w:rPr>
          <w:lang w:val="pt-PT" w:eastAsia="ja-JP"/>
        </w:rPr>
        <w:t xml:space="preserve"> incluem as </w:t>
      </w:r>
      <w:proofErr w:type="spellStart"/>
      <w:r w:rsidRPr="00292532">
        <w:rPr>
          <w:lang w:val="pt-PT" w:eastAsia="ja-JP"/>
        </w:rPr>
        <w:t>directrizes</w:t>
      </w:r>
      <w:proofErr w:type="spellEnd"/>
      <w:r w:rsidRPr="00292532">
        <w:rPr>
          <w:lang w:val="pt-PT" w:eastAsia="ja-JP"/>
        </w:rPr>
        <w:t xml:space="preserve"> moçambicanas de qualidade da água para o consumo humano e as </w:t>
      </w:r>
      <w:proofErr w:type="spellStart"/>
      <w:r w:rsidRPr="00292532">
        <w:rPr>
          <w:lang w:val="pt-PT" w:eastAsia="ja-JP"/>
        </w:rPr>
        <w:t>directrizes</w:t>
      </w:r>
      <w:proofErr w:type="spellEnd"/>
      <w:r w:rsidRPr="00292532">
        <w:rPr>
          <w:lang w:val="pt-PT" w:eastAsia="ja-JP"/>
        </w:rPr>
        <w:t xml:space="preserve"> gerais do ambiente, saúde e segurança da IFC (IFC, 2007). Em relação à última, as </w:t>
      </w:r>
      <w:proofErr w:type="spellStart"/>
      <w:r w:rsidRPr="00292532">
        <w:rPr>
          <w:lang w:val="pt-PT" w:eastAsia="ja-JP"/>
        </w:rPr>
        <w:t>directrizes</w:t>
      </w:r>
      <w:proofErr w:type="spellEnd"/>
      <w:r w:rsidRPr="00292532">
        <w:rPr>
          <w:lang w:val="pt-PT" w:eastAsia="ja-JP"/>
        </w:rPr>
        <w:t xml:space="preserve"> não determinam padrões específicos, mas refere-se às </w:t>
      </w:r>
      <w:proofErr w:type="spellStart"/>
      <w:r w:rsidRPr="00292532">
        <w:rPr>
          <w:lang w:val="pt-PT" w:eastAsia="ja-JP"/>
        </w:rPr>
        <w:t>directrizes</w:t>
      </w:r>
      <w:proofErr w:type="spellEnd"/>
      <w:r w:rsidRPr="00292532">
        <w:rPr>
          <w:lang w:val="pt-PT" w:eastAsia="ja-JP"/>
        </w:rPr>
        <w:t xml:space="preserve"> da Organização Mundial da Saúde para a qualidade da água potável (OMS, 2010). Os padrões específicos de qualidade da água são apresentados na </w:t>
      </w:r>
      <w:r w:rsidRPr="00292532">
        <w:rPr>
          <w:b/>
          <w:bCs/>
          <w:lang w:val="pt-PT" w:eastAsia="ja-JP"/>
        </w:rPr>
        <w:fldChar w:fldCharType="begin"/>
      </w:r>
      <w:r w:rsidRPr="00292532">
        <w:rPr>
          <w:b/>
          <w:bCs/>
          <w:lang w:val="pt-PT" w:eastAsia="ja-JP"/>
        </w:rPr>
        <w:instrText xml:space="preserve"> REF _Ref72708319 \h  \* MERGEFORMAT </w:instrText>
      </w:r>
      <w:r w:rsidRPr="00292532">
        <w:rPr>
          <w:b/>
          <w:bCs/>
          <w:lang w:val="pt-PT" w:eastAsia="ja-JP"/>
        </w:rPr>
      </w:r>
      <w:r w:rsidRPr="00292532">
        <w:rPr>
          <w:b/>
          <w:bCs/>
          <w:lang w:val="pt-PT" w:eastAsia="ja-JP"/>
        </w:rPr>
        <w:fldChar w:fldCharType="separate"/>
      </w:r>
      <w:r w:rsidRPr="00292532">
        <w:rPr>
          <w:b/>
          <w:bCs/>
          <w:lang w:val="pt-PT"/>
        </w:rPr>
        <w:t xml:space="preserve">Tabela </w:t>
      </w:r>
      <w:r w:rsidRPr="00292532">
        <w:rPr>
          <w:b/>
          <w:bCs/>
          <w:noProof/>
          <w:lang w:val="pt-PT"/>
        </w:rPr>
        <w:t>7</w:t>
      </w:r>
      <w:r w:rsidRPr="00292532">
        <w:rPr>
          <w:b/>
          <w:bCs/>
          <w:lang w:val="pt-PT" w:eastAsia="ja-JP"/>
        </w:rPr>
        <w:fldChar w:fldCharType="end"/>
      </w:r>
      <w:r w:rsidRPr="00292532">
        <w:rPr>
          <w:lang w:val="pt-PT" w:eastAsia="ja-JP"/>
        </w:rPr>
        <w:t xml:space="preserve"> abaixo.</w:t>
      </w:r>
    </w:p>
    <w:p w14:paraId="635B1761" w14:textId="77777777" w:rsidR="000615DB" w:rsidRPr="00292532" w:rsidRDefault="000615DB" w:rsidP="000615DB">
      <w:pPr>
        <w:pStyle w:val="Caption"/>
      </w:pPr>
      <w:r w:rsidRPr="00292532">
        <w:t xml:space="preserve">Tabela 7: </w:t>
      </w:r>
      <w:proofErr w:type="spellStart"/>
      <w:r w:rsidRPr="00292532">
        <w:t>Directrizes</w:t>
      </w:r>
      <w:proofErr w:type="spellEnd"/>
      <w:r w:rsidRPr="00292532">
        <w:t xml:space="preserve"> da água potável</w:t>
      </w:r>
    </w:p>
    <w:tbl>
      <w:tblPr>
        <w:tblW w:w="5000" w:type="pct"/>
        <w:tblBorders>
          <w:top w:val="single" w:sz="12" w:space="0" w:color="auto"/>
          <w:bottom w:val="single" w:sz="12" w:space="0" w:color="auto"/>
        </w:tblBorders>
        <w:tblLook w:val="01E0" w:firstRow="1" w:lastRow="1" w:firstColumn="1" w:lastColumn="1" w:noHBand="0" w:noVBand="0"/>
      </w:tblPr>
      <w:tblGrid>
        <w:gridCol w:w="2573"/>
        <w:gridCol w:w="1228"/>
        <w:gridCol w:w="2021"/>
        <w:gridCol w:w="2682"/>
      </w:tblGrid>
      <w:tr w:rsidR="000615DB" w:rsidRPr="00292532" w14:paraId="34836EA5" w14:textId="77777777" w:rsidTr="006174BB">
        <w:trPr>
          <w:trHeight w:val="488"/>
          <w:tblHeader/>
        </w:trPr>
        <w:tc>
          <w:tcPr>
            <w:tcW w:w="1513" w:type="pct"/>
            <w:shd w:val="clear" w:color="auto" w:fill="D5DCE4" w:themeFill="text2" w:themeFillTint="33"/>
          </w:tcPr>
          <w:p w14:paraId="389CD707"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b/>
                <w:bCs/>
                <w:color w:val="000000"/>
                <w:sz w:val="20"/>
                <w:szCs w:val="20"/>
                <w:lang w:val="pt-PT"/>
              </w:rPr>
            </w:pPr>
            <w:r w:rsidRPr="00292532">
              <w:rPr>
                <w:rFonts w:asciiTheme="minorHAnsi" w:eastAsia="Times New Roman" w:hAnsiTheme="minorHAnsi" w:cstheme="minorHAnsi"/>
                <w:b/>
                <w:bCs/>
                <w:color w:val="000000"/>
                <w:sz w:val="20"/>
                <w:szCs w:val="20"/>
                <w:lang w:val="pt-PT"/>
              </w:rPr>
              <w:t xml:space="preserve">Química </w:t>
            </w:r>
          </w:p>
        </w:tc>
        <w:tc>
          <w:tcPr>
            <w:tcW w:w="722" w:type="pct"/>
            <w:shd w:val="clear" w:color="auto" w:fill="D5DCE4" w:themeFill="text2" w:themeFillTint="33"/>
          </w:tcPr>
          <w:p w14:paraId="73F20BDE"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b/>
                <w:bCs/>
                <w:color w:val="000000"/>
                <w:sz w:val="20"/>
                <w:szCs w:val="20"/>
                <w:lang w:val="pt-PT"/>
              </w:rPr>
            </w:pPr>
            <w:r w:rsidRPr="00292532">
              <w:rPr>
                <w:rFonts w:asciiTheme="minorHAnsi" w:eastAsia="Times New Roman" w:hAnsiTheme="minorHAnsi" w:cstheme="minorHAnsi"/>
                <w:b/>
                <w:bCs/>
                <w:color w:val="000000"/>
                <w:sz w:val="20"/>
                <w:szCs w:val="20"/>
                <w:lang w:val="pt-PT"/>
              </w:rPr>
              <w:t xml:space="preserve">Unidade </w:t>
            </w:r>
          </w:p>
        </w:tc>
        <w:tc>
          <w:tcPr>
            <w:tcW w:w="1188" w:type="pct"/>
            <w:shd w:val="clear" w:color="auto" w:fill="D5DCE4" w:themeFill="text2" w:themeFillTint="33"/>
          </w:tcPr>
          <w:p w14:paraId="27BE4C2B"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b/>
                <w:color w:val="000000"/>
                <w:sz w:val="20"/>
                <w:szCs w:val="20"/>
                <w:lang w:val="pt-PT"/>
              </w:rPr>
            </w:pPr>
            <w:proofErr w:type="spellStart"/>
            <w:r w:rsidRPr="00292532">
              <w:rPr>
                <w:rFonts w:asciiTheme="minorHAnsi" w:eastAsia="Times New Roman" w:hAnsiTheme="minorHAnsi" w:cstheme="minorHAnsi"/>
                <w:b/>
                <w:color w:val="000000"/>
                <w:sz w:val="20"/>
                <w:szCs w:val="20"/>
                <w:lang w:val="pt-PT"/>
              </w:rPr>
              <w:t>Directrizes</w:t>
            </w:r>
            <w:proofErr w:type="spellEnd"/>
            <w:r w:rsidRPr="00292532">
              <w:rPr>
                <w:rFonts w:asciiTheme="minorHAnsi" w:eastAsia="Times New Roman" w:hAnsiTheme="minorHAnsi" w:cstheme="minorHAnsi"/>
                <w:b/>
                <w:color w:val="000000"/>
                <w:sz w:val="20"/>
                <w:szCs w:val="20"/>
                <w:lang w:val="pt-PT"/>
              </w:rPr>
              <w:t xml:space="preserve"> da </w:t>
            </w:r>
            <w:proofErr w:type="spellStart"/>
            <w:r w:rsidRPr="00292532">
              <w:rPr>
                <w:rFonts w:asciiTheme="minorHAnsi" w:eastAsia="Times New Roman" w:hAnsiTheme="minorHAnsi" w:cstheme="minorHAnsi"/>
                <w:b/>
                <w:color w:val="000000"/>
                <w:sz w:val="20"/>
                <w:szCs w:val="20"/>
                <w:lang w:val="pt-PT"/>
              </w:rPr>
              <w:t>OMS</w:t>
            </w:r>
            <w:r w:rsidRPr="00292532">
              <w:rPr>
                <w:rFonts w:asciiTheme="minorHAnsi" w:eastAsia="Times New Roman" w:hAnsiTheme="minorHAnsi" w:cstheme="minorHAnsi"/>
                <w:b/>
                <w:color w:val="000000"/>
                <w:sz w:val="20"/>
                <w:szCs w:val="20"/>
                <w:vertAlign w:val="superscript"/>
                <w:lang w:val="pt-PT"/>
              </w:rPr>
              <w:t>a</w:t>
            </w:r>
            <w:proofErr w:type="spellEnd"/>
          </w:p>
        </w:tc>
        <w:tc>
          <w:tcPr>
            <w:tcW w:w="1577" w:type="pct"/>
            <w:shd w:val="clear" w:color="auto" w:fill="D5DCE4" w:themeFill="text2" w:themeFillTint="33"/>
          </w:tcPr>
          <w:p w14:paraId="4A7CE5A9" w14:textId="28E782A1"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b/>
                <w:color w:val="000000"/>
                <w:sz w:val="20"/>
                <w:szCs w:val="20"/>
                <w:lang w:val="pt-PT"/>
              </w:rPr>
            </w:pPr>
            <w:proofErr w:type="spellStart"/>
            <w:r w:rsidRPr="00292532">
              <w:rPr>
                <w:rFonts w:asciiTheme="minorHAnsi" w:eastAsia="Times New Roman" w:hAnsiTheme="minorHAnsi" w:cstheme="minorHAnsi"/>
                <w:b/>
                <w:color w:val="000000"/>
                <w:sz w:val="20"/>
                <w:szCs w:val="20"/>
                <w:lang w:val="pt-PT"/>
              </w:rPr>
              <w:t>Directrizes</w:t>
            </w:r>
            <w:proofErr w:type="spellEnd"/>
            <w:r w:rsidRPr="00292532">
              <w:rPr>
                <w:rFonts w:asciiTheme="minorHAnsi" w:eastAsia="Times New Roman" w:hAnsiTheme="minorHAnsi" w:cstheme="minorHAnsi"/>
                <w:b/>
                <w:color w:val="000000"/>
                <w:sz w:val="20"/>
                <w:szCs w:val="20"/>
                <w:lang w:val="pt-PT"/>
              </w:rPr>
              <w:t xml:space="preserve"> </w:t>
            </w:r>
            <w:r w:rsidR="00292532" w:rsidRPr="00292532">
              <w:rPr>
                <w:rFonts w:asciiTheme="minorHAnsi" w:eastAsia="Times New Roman" w:hAnsiTheme="minorHAnsi" w:cstheme="minorHAnsi"/>
                <w:b/>
                <w:color w:val="000000"/>
                <w:sz w:val="20"/>
                <w:szCs w:val="20"/>
                <w:lang w:val="pt-PT"/>
              </w:rPr>
              <w:t>moçambicanas</w:t>
            </w:r>
          </w:p>
        </w:tc>
      </w:tr>
      <w:tr w:rsidR="000615DB" w:rsidRPr="00292532" w14:paraId="2C717F10" w14:textId="77777777" w:rsidTr="006174BB">
        <w:trPr>
          <w:trHeight w:val="155"/>
        </w:trPr>
        <w:tc>
          <w:tcPr>
            <w:tcW w:w="1513" w:type="pct"/>
          </w:tcPr>
          <w:p w14:paraId="31387926"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Ph</w:t>
            </w:r>
          </w:p>
        </w:tc>
        <w:tc>
          <w:tcPr>
            <w:tcW w:w="722" w:type="pct"/>
          </w:tcPr>
          <w:p w14:paraId="5E8C6C09"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p>
        </w:tc>
        <w:tc>
          <w:tcPr>
            <w:tcW w:w="1188" w:type="pct"/>
          </w:tcPr>
          <w:p w14:paraId="4C198F2D"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p>
        </w:tc>
        <w:tc>
          <w:tcPr>
            <w:tcW w:w="1577" w:type="pct"/>
          </w:tcPr>
          <w:p w14:paraId="0B969F7F"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6,5-8,5</w:t>
            </w:r>
          </w:p>
        </w:tc>
      </w:tr>
      <w:tr w:rsidR="000615DB" w:rsidRPr="00292532" w14:paraId="798509CA" w14:textId="77777777" w:rsidTr="006174BB">
        <w:trPr>
          <w:trHeight w:val="155"/>
        </w:trPr>
        <w:tc>
          <w:tcPr>
            <w:tcW w:w="1513" w:type="pct"/>
          </w:tcPr>
          <w:p w14:paraId="19245DEF"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Cor </w:t>
            </w:r>
          </w:p>
        </w:tc>
        <w:tc>
          <w:tcPr>
            <w:tcW w:w="722" w:type="pct"/>
          </w:tcPr>
          <w:p w14:paraId="23345A7D"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Unidade </w:t>
            </w:r>
            <w:proofErr w:type="spellStart"/>
            <w:r w:rsidRPr="00292532">
              <w:rPr>
                <w:rFonts w:asciiTheme="minorHAnsi" w:eastAsia="Times New Roman" w:hAnsiTheme="minorHAnsi" w:cstheme="minorHAnsi"/>
                <w:color w:val="000000"/>
                <w:sz w:val="20"/>
                <w:szCs w:val="20"/>
                <w:lang w:val="pt-PT"/>
              </w:rPr>
              <w:t>Hazen</w:t>
            </w:r>
            <w:proofErr w:type="spellEnd"/>
          </w:p>
        </w:tc>
        <w:tc>
          <w:tcPr>
            <w:tcW w:w="1188" w:type="pct"/>
          </w:tcPr>
          <w:p w14:paraId="2A803DE3"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577" w:type="pct"/>
          </w:tcPr>
          <w:p w14:paraId="14D2E417"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15</w:t>
            </w:r>
          </w:p>
        </w:tc>
      </w:tr>
      <w:tr w:rsidR="000615DB" w:rsidRPr="00292532" w14:paraId="175E105D" w14:textId="77777777" w:rsidTr="006174BB">
        <w:trPr>
          <w:trHeight w:val="155"/>
        </w:trPr>
        <w:tc>
          <w:tcPr>
            <w:tcW w:w="1513" w:type="pct"/>
          </w:tcPr>
          <w:p w14:paraId="7FD57680"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Odor </w:t>
            </w:r>
          </w:p>
        </w:tc>
        <w:tc>
          <w:tcPr>
            <w:tcW w:w="722" w:type="pct"/>
          </w:tcPr>
          <w:p w14:paraId="3B3010E6"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88" w:type="pct"/>
          </w:tcPr>
          <w:p w14:paraId="3E051FE5"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p>
        </w:tc>
        <w:tc>
          <w:tcPr>
            <w:tcW w:w="1577" w:type="pct"/>
          </w:tcPr>
          <w:p w14:paraId="65A573F3"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Não é desagradável </w:t>
            </w:r>
          </w:p>
        </w:tc>
      </w:tr>
      <w:tr w:rsidR="000615DB" w:rsidRPr="00292532" w14:paraId="07F0933C" w14:textId="77777777" w:rsidTr="006174BB">
        <w:trPr>
          <w:trHeight w:val="155"/>
        </w:trPr>
        <w:tc>
          <w:tcPr>
            <w:tcW w:w="1513" w:type="pct"/>
          </w:tcPr>
          <w:p w14:paraId="0EA68685"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Sabor</w:t>
            </w:r>
          </w:p>
        </w:tc>
        <w:tc>
          <w:tcPr>
            <w:tcW w:w="722" w:type="pct"/>
          </w:tcPr>
          <w:p w14:paraId="258361C7"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88" w:type="pct"/>
          </w:tcPr>
          <w:p w14:paraId="3C4AD161"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p>
        </w:tc>
        <w:tc>
          <w:tcPr>
            <w:tcW w:w="1577" w:type="pct"/>
          </w:tcPr>
          <w:p w14:paraId="1D4F5806"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Não é desagradável</w:t>
            </w:r>
          </w:p>
        </w:tc>
      </w:tr>
      <w:tr w:rsidR="000615DB" w:rsidRPr="00292532" w14:paraId="7A9DAA91" w14:textId="77777777" w:rsidTr="006174BB">
        <w:trPr>
          <w:trHeight w:val="155"/>
        </w:trPr>
        <w:tc>
          <w:tcPr>
            <w:tcW w:w="1513" w:type="pct"/>
          </w:tcPr>
          <w:p w14:paraId="334D08FD"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Turbidez </w:t>
            </w:r>
          </w:p>
        </w:tc>
        <w:tc>
          <w:tcPr>
            <w:tcW w:w="722" w:type="pct"/>
          </w:tcPr>
          <w:p w14:paraId="2D5EA17C"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2265E824"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p>
        </w:tc>
        <w:tc>
          <w:tcPr>
            <w:tcW w:w="1577" w:type="pct"/>
          </w:tcPr>
          <w:p w14:paraId="3A877B9B"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5</w:t>
            </w:r>
          </w:p>
        </w:tc>
      </w:tr>
      <w:tr w:rsidR="000615DB" w:rsidRPr="00292532" w14:paraId="4A206E47" w14:textId="77777777" w:rsidTr="006174BB">
        <w:trPr>
          <w:trHeight w:val="155"/>
        </w:trPr>
        <w:tc>
          <w:tcPr>
            <w:tcW w:w="1513" w:type="pct"/>
          </w:tcPr>
          <w:p w14:paraId="0DA584E6"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Total de Sólidos Dissolvidos </w:t>
            </w:r>
          </w:p>
        </w:tc>
        <w:tc>
          <w:tcPr>
            <w:tcW w:w="722" w:type="pct"/>
          </w:tcPr>
          <w:p w14:paraId="21E827B9"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6248B893"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p>
        </w:tc>
        <w:tc>
          <w:tcPr>
            <w:tcW w:w="1577" w:type="pct"/>
          </w:tcPr>
          <w:p w14:paraId="1ADDCD79"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1000</w:t>
            </w:r>
          </w:p>
        </w:tc>
      </w:tr>
      <w:tr w:rsidR="000615DB" w:rsidRPr="00292532" w14:paraId="67152900" w14:textId="77777777" w:rsidTr="006174BB">
        <w:trPr>
          <w:trHeight w:val="155"/>
        </w:trPr>
        <w:tc>
          <w:tcPr>
            <w:tcW w:w="1513" w:type="pct"/>
          </w:tcPr>
          <w:p w14:paraId="59337308"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i/>
                <w:color w:val="000000"/>
                <w:sz w:val="20"/>
                <w:szCs w:val="20"/>
                <w:lang w:val="pt-PT"/>
              </w:rPr>
            </w:pPr>
            <w:proofErr w:type="spellStart"/>
            <w:proofErr w:type="gramStart"/>
            <w:r w:rsidRPr="00292532">
              <w:rPr>
                <w:rFonts w:asciiTheme="minorHAnsi" w:eastAsia="Times New Roman" w:hAnsiTheme="minorHAnsi" w:cstheme="minorHAnsi"/>
                <w:i/>
                <w:color w:val="000000"/>
                <w:sz w:val="20"/>
                <w:szCs w:val="20"/>
                <w:lang w:val="pt-PT"/>
              </w:rPr>
              <w:t>E.coli</w:t>
            </w:r>
            <w:proofErr w:type="spellEnd"/>
            <w:proofErr w:type="gramEnd"/>
          </w:p>
        </w:tc>
        <w:tc>
          <w:tcPr>
            <w:tcW w:w="722" w:type="pct"/>
          </w:tcPr>
          <w:p w14:paraId="25D0E08F"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5943A1F1"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p>
        </w:tc>
        <w:tc>
          <w:tcPr>
            <w:tcW w:w="1577" w:type="pct"/>
          </w:tcPr>
          <w:p w14:paraId="12A88C25"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0/100ml</w:t>
            </w:r>
          </w:p>
        </w:tc>
      </w:tr>
      <w:tr w:rsidR="000615DB" w:rsidRPr="00292532" w14:paraId="6D7DADFA" w14:textId="77777777" w:rsidTr="006174BB">
        <w:trPr>
          <w:trHeight w:val="155"/>
        </w:trPr>
        <w:tc>
          <w:tcPr>
            <w:tcW w:w="1513" w:type="pct"/>
          </w:tcPr>
          <w:p w14:paraId="31D2E2BB"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Alumínio </w:t>
            </w:r>
          </w:p>
        </w:tc>
        <w:tc>
          <w:tcPr>
            <w:tcW w:w="722" w:type="pct"/>
          </w:tcPr>
          <w:p w14:paraId="0250F1D6"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765A404F"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577" w:type="pct"/>
          </w:tcPr>
          <w:p w14:paraId="7F61FEEC"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0,2</w:t>
            </w:r>
          </w:p>
        </w:tc>
      </w:tr>
      <w:tr w:rsidR="000615DB" w:rsidRPr="00292532" w14:paraId="4BA5273A" w14:textId="77777777" w:rsidTr="006174BB">
        <w:trPr>
          <w:trHeight w:val="155"/>
        </w:trPr>
        <w:tc>
          <w:tcPr>
            <w:tcW w:w="1513" w:type="pct"/>
          </w:tcPr>
          <w:p w14:paraId="09882E9C"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Arsénico </w:t>
            </w:r>
          </w:p>
        </w:tc>
        <w:tc>
          <w:tcPr>
            <w:tcW w:w="722" w:type="pct"/>
          </w:tcPr>
          <w:p w14:paraId="4870C19B"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28C03439"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0,01</w:t>
            </w:r>
          </w:p>
        </w:tc>
        <w:tc>
          <w:tcPr>
            <w:tcW w:w="1577" w:type="pct"/>
          </w:tcPr>
          <w:p w14:paraId="70A02B2C"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0,05</w:t>
            </w:r>
          </w:p>
        </w:tc>
      </w:tr>
      <w:tr w:rsidR="000615DB" w:rsidRPr="00292532" w14:paraId="3CA3501C" w14:textId="77777777" w:rsidTr="006174BB">
        <w:trPr>
          <w:trHeight w:val="236"/>
        </w:trPr>
        <w:tc>
          <w:tcPr>
            <w:tcW w:w="1513" w:type="pct"/>
          </w:tcPr>
          <w:p w14:paraId="19DEB9CF"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Amónia</w:t>
            </w:r>
          </w:p>
        </w:tc>
        <w:tc>
          <w:tcPr>
            <w:tcW w:w="722" w:type="pct"/>
          </w:tcPr>
          <w:p w14:paraId="108AF698"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3E22E821"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p>
        </w:tc>
        <w:tc>
          <w:tcPr>
            <w:tcW w:w="1577" w:type="pct"/>
          </w:tcPr>
          <w:p w14:paraId="5C301BB2"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1,5</w:t>
            </w:r>
          </w:p>
        </w:tc>
      </w:tr>
      <w:tr w:rsidR="000615DB" w:rsidRPr="00292532" w14:paraId="7548082A" w14:textId="77777777" w:rsidTr="006174BB">
        <w:trPr>
          <w:trHeight w:val="236"/>
        </w:trPr>
        <w:tc>
          <w:tcPr>
            <w:tcW w:w="1513" w:type="pct"/>
          </w:tcPr>
          <w:p w14:paraId="604510D8"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Bário </w:t>
            </w:r>
          </w:p>
        </w:tc>
        <w:tc>
          <w:tcPr>
            <w:tcW w:w="722" w:type="pct"/>
          </w:tcPr>
          <w:p w14:paraId="54A42408"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38072085"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0,7</w:t>
            </w:r>
          </w:p>
        </w:tc>
        <w:tc>
          <w:tcPr>
            <w:tcW w:w="1577" w:type="pct"/>
          </w:tcPr>
          <w:p w14:paraId="04777173"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3E3E1782" w14:textId="77777777" w:rsidTr="006174BB">
        <w:trPr>
          <w:trHeight w:val="174"/>
        </w:trPr>
        <w:tc>
          <w:tcPr>
            <w:tcW w:w="1513" w:type="pct"/>
          </w:tcPr>
          <w:p w14:paraId="676E26B8"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Boro </w:t>
            </w:r>
          </w:p>
        </w:tc>
        <w:tc>
          <w:tcPr>
            <w:tcW w:w="722" w:type="pct"/>
          </w:tcPr>
          <w:p w14:paraId="07D05D9A"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5FA3A0FB"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0,5</w:t>
            </w:r>
          </w:p>
        </w:tc>
        <w:tc>
          <w:tcPr>
            <w:tcW w:w="1577" w:type="pct"/>
          </w:tcPr>
          <w:p w14:paraId="23639454"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w:t>
            </w:r>
          </w:p>
        </w:tc>
      </w:tr>
      <w:tr w:rsidR="000615DB" w:rsidRPr="00292532" w14:paraId="7A74A245" w14:textId="77777777" w:rsidTr="006174BB">
        <w:trPr>
          <w:trHeight w:val="235"/>
        </w:trPr>
        <w:tc>
          <w:tcPr>
            <w:tcW w:w="1513" w:type="pct"/>
          </w:tcPr>
          <w:p w14:paraId="6F18AA85"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Cádmio </w:t>
            </w:r>
          </w:p>
        </w:tc>
        <w:tc>
          <w:tcPr>
            <w:tcW w:w="722" w:type="pct"/>
          </w:tcPr>
          <w:p w14:paraId="2052976C"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1B87BB51"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0,003</w:t>
            </w:r>
          </w:p>
        </w:tc>
        <w:tc>
          <w:tcPr>
            <w:tcW w:w="1577" w:type="pct"/>
          </w:tcPr>
          <w:p w14:paraId="4129C4ED"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0,005</w:t>
            </w:r>
          </w:p>
        </w:tc>
      </w:tr>
      <w:tr w:rsidR="000615DB" w:rsidRPr="00292532" w14:paraId="1EA849CC" w14:textId="77777777" w:rsidTr="006174BB">
        <w:trPr>
          <w:trHeight w:val="235"/>
        </w:trPr>
        <w:tc>
          <w:tcPr>
            <w:tcW w:w="1513" w:type="pct"/>
          </w:tcPr>
          <w:p w14:paraId="678219AA"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Crómio</w:t>
            </w:r>
          </w:p>
        </w:tc>
        <w:tc>
          <w:tcPr>
            <w:tcW w:w="722" w:type="pct"/>
          </w:tcPr>
          <w:p w14:paraId="051F7E7B"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2443E17E"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0,05</w:t>
            </w:r>
          </w:p>
        </w:tc>
        <w:tc>
          <w:tcPr>
            <w:tcW w:w="1577" w:type="pct"/>
          </w:tcPr>
          <w:p w14:paraId="5B2E6A13"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5533C19D" w14:textId="77777777" w:rsidTr="006174BB">
        <w:trPr>
          <w:trHeight w:val="193"/>
        </w:trPr>
        <w:tc>
          <w:tcPr>
            <w:tcW w:w="1513" w:type="pct"/>
          </w:tcPr>
          <w:p w14:paraId="3923EA5B"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Cloretos </w:t>
            </w:r>
          </w:p>
        </w:tc>
        <w:tc>
          <w:tcPr>
            <w:tcW w:w="722" w:type="pct"/>
          </w:tcPr>
          <w:p w14:paraId="31E27755"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5808BC4A"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p>
        </w:tc>
        <w:tc>
          <w:tcPr>
            <w:tcW w:w="1577" w:type="pct"/>
          </w:tcPr>
          <w:p w14:paraId="622C3680"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250</w:t>
            </w:r>
          </w:p>
        </w:tc>
      </w:tr>
      <w:tr w:rsidR="000615DB" w:rsidRPr="00292532" w14:paraId="43DDF97E" w14:textId="77777777" w:rsidTr="006174BB">
        <w:trPr>
          <w:trHeight w:val="193"/>
        </w:trPr>
        <w:tc>
          <w:tcPr>
            <w:tcW w:w="1513" w:type="pct"/>
          </w:tcPr>
          <w:p w14:paraId="3D977A34"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Cianeto </w:t>
            </w:r>
          </w:p>
        </w:tc>
        <w:tc>
          <w:tcPr>
            <w:tcW w:w="722" w:type="pct"/>
          </w:tcPr>
          <w:p w14:paraId="7737F261"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385A7D1B"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0,5</w:t>
            </w:r>
          </w:p>
        </w:tc>
        <w:tc>
          <w:tcPr>
            <w:tcW w:w="1577" w:type="pct"/>
          </w:tcPr>
          <w:p w14:paraId="027E570B"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0,07</w:t>
            </w:r>
          </w:p>
        </w:tc>
      </w:tr>
      <w:tr w:rsidR="000615DB" w:rsidRPr="00292532" w14:paraId="7BE5D600" w14:textId="77777777" w:rsidTr="006174BB">
        <w:trPr>
          <w:trHeight w:val="193"/>
        </w:trPr>
        <w:tc>
          <w:tcPr>
            <w:tcW w:w="1513" w:type="pct"/>
          </w:tcPr>
          <w:p w14:paraId="35B92EF8"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Floreto</w:t>
            </w:r>
            <w:proofErr w:type="spellEnd"/>
            <w:r w:rsidRPr="00292532">
              <w:rPr>
                <w:rFonts w:asciiTheme="minorHAnsi" w:eastAsia="Times New Roman" w:hAnsiTheme="minorHAnsi" w:cstheme="minorHAnsi"/>
                <w:color w:val="000000"/>
                <w:sz w:val="20"/>
                <w:szCs w:val="20"/>
                <w:lang w:val="pt-PT"/>
              </w:rPr>
              <w:t xml:space="preserve"> </w:t>
            </w:r>
          </w:p>
        </w:tc>
        <w:tc>
          <w:tcPr>
            <w:tcW w:w="722" w:type="pct"/>
          </w:tcPr>
          <w:p w14:paraId="1C4BA28F"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1CA7FFD9"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1,5</w:t>
            </w:r>
          </w:p>
        </w:tc>
        <w:tc>
          <w:tcPr>
            <w:tcW w:w="1577" w:type="pct"/>
          </w:tcPr>
          <w:p w14:paraId="740EEEA3"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05BD5AC3" w14:textId="77777777" w:rsidTr="006174BB">
        <w:trPr>
          <w:trHeight w:val="75"/>
        </w:trPr>
        <w:tc>
          <w:tcPr>
            <w:tcW w:w="1513" w:type="pct"/>
          </w:tcPr>
          <w:p w14:paraId="3B4FC8B1"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Chumbo</w:t>
            </w:r>
          </w:p>
        </w:tc>
        <w:tc>
          <w:tcPr>
            <w:tcW w:w="722" w:type="pct"/>
          </w:tcPr>
          <w:p w14:paraId="7ED31087"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022E1045"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p>
        </w:tc>
        <w:tc>
          <w:tcPr>
            <w:tcW w:w="1577" w:type="pct"/>
          </w:tcPr>
          <w:p w14:paraId="3C32D90B"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0,50</w:t>
            </w:r>
          </w:p>
        </w:tc>
      </w:tr>
      <w:tr w:rsidR="000615DB" w:rsidRPr="00292532" w14:paraId="01D59304" w14:textId="77777777" w:rsidTr="006174BB">
        <w:trPr>
          <w:trHeight w:val="75"/>
        </w:trPr>
        <w:tc>
          <w:tcPr>
            <w:tcW w:w="1513" w:type="pct"/>
          </w:tcPr>
          <w:p w14:paraId="4C4F9433"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Manganésio</w:t>
            </w:r>
          </w:p>
        </w:tc>
        <w:tc>
          <w:tcPr>
            <w:tcW w:w="722" w:type="pct"/>
          </w:tcPr>
          <w:p w14:paraId="23F54C8F"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1486D03C"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0,4</w:t>
            </w:r>
          </w:p>
        </w:tc>
        <w:tc>
          <w:tcPr>
            <w:tcW w:w="1577" w:type="pct"/>
          </w:tcPr>
          <w:p w14:paraId="12EF4FD0"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0E084C60" w14:textId="77777777" w:rsidTr="006174BB">
        <w:trPr>
          <w:trHeight w:val="106"/>
        </w:trPr>
        <w:tc>
          <w:tcPr>
            <w:tcW w:w="1513" w:type="pct"/>
          </w:tcPr>
          <w:p w14:paraId="7975B99F"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Molibdénio</w:t>
            </w:r>
          </w:p>
        </w:tc>
        <w:tc>
          <w:tcPr>
            <w:tcW w:w="722" w:type="pct"/>
          </w:tcPr>
          <w:p w14:paraId="345EF94F"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3A8F0F83"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0,07</w:t>
            </w:r>
          </w:p>
        </w:tc>
        <w:tc>
          <w:tcPr>
            <w:tcW w:w="1577" w:type="pct"/>
          </w:tcPr>
          <w:p w14:paraId="1D52D6D4"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6D89AA39" w14:textId="77777777" w:rsidTr="006174BB">
        <w:trPr>
          <w:trHeight w:val="106"/>
        </w:trPr>
        <w:tc>
          <w:tcPr>
            <w:tcW w:w="1513" w:type="pct"/>
          </w:tcPr>
          <w:p w14:paraId="6F66ABAE"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Mercúrio</w:t>
            </w:r>
          </w:p>
        </w:tc>
        <w:tc>
          <w:tcPr>
            <w:tcW w:w="722" w:type="pct"/>
          </w:tcPr>
          <w:p w14:paraId="50D523E0"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1BCE3759"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0,006</w:t>
            </w:r>
          </w:p>
        </w:tc>
        <w:tc>
          <w:tcPr>
            <w:tcW w:w="1577" w:type="pct"/>
          </w:tcPr>
          <w:p w14:paraId="512E052F"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p>
        </w:tc>
      </w:tr>
      <w:tr w:rsidR="000615DB" w:rsidRPr="00292532" w14:paraId="5EC511B6" w14:textId="77777777" w:rsidTr="006174BB">
        <w:trPr>
          <w:trHeight w:val="247"/>
        </w:trPr>
        <w:tc>
          <w:tcPr>
            <w:tcW w:w="1513" w:type="pct"/>
          </w:tcPr>
          <w:p w14:paraId="555437DB"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Selénio</w:t>
            </w:r>
          </w:p>
        </w:tc>
        <w:tc>
          <w:tcPr>
            <w:tcW w:w="722" w:type="pct"/>
          </w:tcPr>
          <w:p w14:paraId="1AEF9CCF"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755F7947"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0,01</w:t>
            </w:r>
          </w:p>
        </w:tc>
        <w:tc>
          <w:tcPr>
            <w:tcW w:w="1577" w:type="pct"/>
          </w:tcPr>
          <w:p w14:paraId="6ABC8EF4"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0,01</w:t>
            </w:r>
          </w:p>
        </w:tc>
      </w:tr>
      <w:tr w:rsidR="000615DB" w:rsidRPr="00292532" w14:paraId="6091D75B" w14:textId="77777777" w:rsidTr="006174BB">
        <w:trPr>
          <w:trHeight w:val="247"/>
        </w:trPr>
        <w:tc>
          <w:tcPr>
            <w:tcW w:w="1513" w:type="pct"/>
          </w:tcPr>
          <w:p w14:paraId="4945629C"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Sódio </w:t>
            </w:r>
          </w:p>
        </w:tc>
        <w:tc>
          <w:tcPr>
            <w:tcW w:w="722" w:type="pct"/>
          </w:tcPr>
          <w:p w14:paraId="05E4DF4E"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385764A4"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p>
        </w:tc>
        <w:tc>
          <w:tcPr>
            <w:tcW w:w="1577" w:type="pct"/>
          </w:tcPr>
          <w:p w14:paraId="0BBCAEFD"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200</w:t>
            </w:r>
          </w:p>
        </w:tc>
      </w:tr>
      <w:tr w:rsidR="000615DB" w:rsidRPr="00292532" w14:paraId="290F35B3" w14:textId="77777777" w:rsidTr="006174BB">
        <w:trPr>
          <w:trHeight w:val="247"/>
        </w:trPr>
        <w:tc>
          <w:tcPr>
            <w:tcW w:w="1513" w:type="pct"/>
          </w:tcPr>
          <w:p w14:paraId="55FFA7C8"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Sulfato </w:t>
            </w:r>
          </w:p>
        </w:tc>
        <w:tc>
          <w:tcPr>
            <w:tcW w:w="722" w:type="pct"/>
          </w:tcPr>
          <w:p w14:paraId="4BD488CF"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33914F48"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p>
        </w:tc>
        <w:tc>
          <w:tcPr>
            <w:tcW w:w="1577" w:type="pct"/>
          </w:tcPr>
          <w:p w14:paraId="689B4E14"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250</w:t>
            </w:r>
          </w:p>
        </w:tc>
      </w:tr>
      <w:tr w:rsidR="000615DB" w:rsidRPr="00292532" w14:paraId="498364C4" w14:textId="77777777" w:rsidTr="006174BB">
        <w:trPr>
          <w:trHeight w:val="180"/>
        </w:trPr>
        <w:tc>
          <w:tcPr>
            <w:tcW w:w="1513" w:type="pct"/>
          </w:tcPr>
          <w:p w14:paraId="478BE51A"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Urânio</w:t>
            </w:r>
          </w:p>
        </w:tc>
        <w:tc>
          <w:tcPr>
            <w:tcW w:w="722" w:type="pct"/>
          </w:tcPr>
          <w:p w14:paraId="5CE0DE73"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39C2D0F9"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0,015</w:t>
            </w:r>
          </w:p>
        </w:tc>
        <w:tc>
          <w:tcPr>
            <w:tcW w:w="1577" w:type="pct"/>
          </w:tcPr>
          <w:p w14:paraId="01D7A937"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50C704B3" w14:textId="77777777" w:rsidTr="006174BB">
        <w:trPr>
          <w:trHeight w:val="157"/>
        </w:trPr>
        <w:tc>
          <w:tcPr>
            <w:tcW w:w="1513" w:type="pct"/>
          </w:tcPr>
          <w:p w14:paraId="50BD9F7A"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Zinco</w:t>
            </w:r>
          </w:p>
        </w:tc>
        <w:tc>
          <w:tcPr>
            <w:tcW w:w="722" w:type="pct"/>
          </w:tcPr>
          <w:p w14:paraId="159BE7DC"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191AA2EA"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p>
        </w:tc>
        <w:tc>
          <w:tcPr>
            <w:tcW w:w="1577" w:type="pct"/>
          </w:tcPr>
          <w:p w14:paraId="2DE8A321"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5</w:t>
            </w:r>
          </w:p>
        </w:tc>
      </w:tr>
      <w:tr w:rsidR="000615DB" w:rsidRPr="00292532" w14:paraId="7A4E9FDC" w14:textId="77777777" w:rsidTr="006174BB">
        <w:trPr>
          <w:trHeight w:val="106"/>
        </w:trPr>
        <w:tc>
          <w:tcPr>
            <w:tcW w:w="1513" w:type="pct"/>
          </w:tcPr>
          <w:p w14:paraId="7E0C2D73"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p>
        </w:tc>
        <w:tc>
          <w:tcPr>
            <w:tcW w:w="722" w:type="pct"/>
          </w:tcPr>
          <w:p w14:paraId="3438A098"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p>
        </w:tc>
        <w:tc>
          <w:tcPr>
            <w:tcW w:w="1188" w:type="pct"/>
          </w:tcPr>
          <w:p w14:paraId="7B75BEF5"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p>
        </w:tc>
        <w:tc>
          <w:tcPr>
            <w:tcW w:w="1577" w:type="pct"/>
          </w:tcPr>
          <w:p w14:paraId="6F2BB1BD"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24AF73AD" w14:textId="77777777" w:rsidTr="006174BB">
        <w:trPr>
          <w:trHeight w:val="105"/>
        </w:trPr>
        <w:tc>
          <w:tcPr>
            <w:tcW w:w="1513" w:type="pct"/>
          </w:tcPr>
          <w:p w14:paraId="3557B308"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Benzeno</w:t>
            </w:r>
          </w:p>
        </w:tc>
        <w:tc>
          <w:tcPr>
            <w:tcW w:w="722" w:type="pct"/>
          </w:tcPr>
          <w:p w14:paraId="007C1A58"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340B4CAE"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0,01</w:t>
            </w:r>
          </w:p>
        </w:tc>
        <w:tc>
          <w:tcPr>
            <w:tcW w:w="1577" w:type="pct"/>
          </w:tcPr>
          <w:p w14:paraId="30897738"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6B86A8D6" w14:textId="77777777" w:rsidTr="006174BB">
        <w:trPr>
          <w:trHeight w:val="74"/>
        </w:trPr>
        <w:tc>
          <w:tcPr>
            <w:tcW w:w="1513" w:type="pct"/>
          </w:tcPr>
          <w:p w14:paraId="79F58B40"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Tetracloreto de carbono</w:t>
            </w:r>
          </w:p>
        </w:tc>
        <w:tc>
          <w:tcPr>
            <w:tcW w:w="722" w:type="pct"/>
          </w:tcPr>
          <w:p w14:paraId="5BEBFED0"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079B4AA8"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0,004</w:t>
            </w:r>
          </w:p>
        </w:tc>
        <w:tc>
          <w:tcPr>
            <w:tcW w:w="1577" w:type="pct"/>
          </w:tcPr>
          <w:p w14:paraId="6B8BC161"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33C28C46" w14:textId="77777777" w:rsidTr="006174BB">
        <w:trPr>
          <w:trHeight w:val="132"/>
        </w:trPr>
        <w:tc>
          <w:tcPr>
            <w:tcW w:w="1513" w:type="pct"/>
          </w:tcPr>
          <w:p w14:paraId="28080AA9"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Diclorobenzeno</w:t>
            </w:r>
            <w:proofErr w:type="spellEnd"/>
            <w:r w:rsidRPr="00292532">
              <w:rPr>
                <w:rFonts w:asciiTheme="minorHAnsi" w:eastAsia="Times New Roman" w:hAnsiTheme="minorHAnsi" w:cstheme="minorHAnsi"/>
                <w:color w:val="000000"/>
                <w:sz w:val="20"/>
                <w:szCs w:val="20"/>
                <w:lang w:val="pt-PT"/>
              </w:rPr>
              <w:t>, 1,2-</w:t>
            </w:r>
          </w:p>
        </w:tc>
        <w:tc>
          <w:tcPr>
            <w:tcW w:w="722" w:type="pct"/>
          </w:tcPr>
          <w:p w14:paraId="578DC50B"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74CD140E"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1,0</w:t>
            </w:r>
          </w:p>
        </w:tc>
        <w:tc>
          <w:tcPr>
            <w:tcW w:w="1577" w:type="pct"/>
          </w:tcPr>
          <w:p w14:paraId="7A874DDA"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529DBF14" w14:textId="77777777" w:rsidTr="006174BB">
        <w:trPr>
          <w:trHeight w:val="79"/>
        </w:trPr>
        <w:tc>
          <w:tcPr>
            <w:tcW w:w="1513" w:type="pct"/>
          </w:tcPr>
          <w:p w14:paraId="498C1872"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Diclorobenzeno</w:t>
            </w:r>
            <w:proofErr w:type="spellEnd"/>
            <w:r w:rsidRPr="00292532">
              <w:rPr>
                <w:rFonts w:asciiTheme="minorHAnsi" w:eastAsia="Times New Roman" w:hAnsiTheme="minorHAnsi" w:cstheme="minorHAnsi"/>
                <w:color w:val="000000"/>
                <w:sz w:val="20"/>
                <w:szCs w:val="20"/>
                <w:lang w:val="pt-PT"/>
              </w:rPr>
              <w:t>, 1,4-</w:t>
            </w:r>
          </w:p>
        </w:tc>
        <w:tc>
          <w:tcPr>
            <w:tcW w:w="722" w:type="pct"/>
          </w:tcPr>
          <w:p w14:paraId="1E929E0A"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79C5AA30"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0,3</w:t>
            </w:r>
          </w:p>
        </w:tc>
        <w:tc>
          <w:tcPr>
            <w:tcW w:w="1577" w:type="pct"/>
          </w:tcPr>
          <w:p w14:paraId="2F1EFB5C"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4627E8FC" w14:textId="77777777" w:rsidTr="006174BB">
        <w:trPr>
          <w:trHeight w:val="159"/>
        </w:trPr>
        <w:tc>
          <w:tcPr>
            <w:tcW w:w="1513" w:type="pct"/>
          </w:tcPr>
          <w:p w14:paraId="08B8471F"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Dicloroetano</w:t>
            </w:r>
            <w:proofErr w:type="spellEnd"/>
            <w:r w:rsidRPr="00292532">
              <w:rPr>
                <w:rFonts w:asciiTheme="minorHAnsi" w:eastAsia="Times New Roman" w:hAnsiTheme="minorHAnsi" w:cstheme="minorHAnsi"/>
                <w:color w:val="000000"/>
                <w:sz w:val="20"/>
                <w:szCs w:val="20"/>
                <w:lang w:val="pt-PT"/>
              </w:rPr>
              <w:t>, 1,2-</w:t>
            </w:r>
          </w:p>
        </w:tc>
        <w:tc>
          <w:tcPr>
            <w:tcW w:w="722" w:type="pct"/>
          </w:tcPr>
          <w:p w14:paraId="208D3679"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646F7B00"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0,03*</w:t>
            </w:r>
          </w:p>
        </w:tc>
        <w:tc>
          <w:tcPr>
            <w:tcW w:w="1577" w:type="pct"/>
          </w:tcPr>
          <w:p w14:paraId="23CE8DF0"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17631FBF" w14:textId="77777777" w:rsidTr="006174BB">
        <w:trPr>
          <w:trHeight w:val="212"/>
        </w:trPr>
        <w:tc>
          <w:tcPr>
            <w:tcW w:w="1513" w:type="pct"/>
          </w:tcPr>
          <w:p w14:paraId="0421D940"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Dicloroetano</w:t>
            </w:r>
            <w:proofErr w:type="spellEnd"/>
            <w:r w:rsidRPr="00292532">
              <w:rPr>
                <w:rFonts w:asciiTheme="minorHAnsi" w:eastAsia="Times New Roman" w:hAnsiTheme="minorHAnsi" w:cstheme="minorHAnsi"/>
                <w:color w:val="000000"/>
                <w:sz w:val="20"/>
                <w:szCs w:val="20"/>
                <w:lang w:val="pt-PT"/>
              </w:rPr>
              <w:t>, 1,2-</w:t>
            </w:r>
          </w:p>
        </w:tc>
        <w:tc>
          <w:tcPr>
            <w:tcW w:w="722" w:type="pct"/>
          </w:tcPr>
          <w:p w14:paraId="21982D97"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6619BC51"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0,05</w:t>
            </w:r>
          </w:p>
        </w:tc>
        <w:tc>
          <w:tcPr>
            <w:tcW w:w="1577" w:type="pct"/>
          </w:tcPr>
          <w:p w14:paraId="045A4DB1"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1247B901" w14:textId="77777777" w:rsidTr="006174BB">
        <w:trPr>
          <w:trHeight w:val="292"/>
        </w:trPr>
        <w:tc>
          <w:tcPr>
            <w:tcW w:w="1513" w:type="pct"/>
          </w:tcPr>
          <w:p w14:paraId="50C5AED0"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Diclorometano</w:t>
            </w:r>
            <w:proofErr w:type="spellEnd"/>
          </w:p>
        </w:tc>
        <w:tc>
          <w:tcPr>
            <w:tcW w:w="722" w:type="pct"/>
          </w:tcPr>
          <w:p w14:paraId="4AD045E4"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33161DFC"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0,02</w:t>
            </w:r>
          </w:p>
        </w:tc>
        <w:tc>
          <w:tcPr>
            <w:tcW w:w="1577" w:type="pct"/>
          </w:tcPr>
          <w:p w14:paraId="7289246F"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1FBBB3E6" w14:textId="77777777" w:rsidTr="006174BB">
        <w:trPr>
          <w:trHeight w:val="119"/>
        </w:trPr>
        <w:tc>
          <w:tcPr>
            <w:tcW w:w="1513" w:type="pct"/>
          </w:tcPr>
          <w:p w14:paraId="64910672"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Dioxano</w:t>
            </w:r>
            <w:proofErr w:type="spellEnd"/>
            <w:r w:rsidRPr="00292532">
              <w:rPr>
                <w:rFonts w:asciiTheme="minorHAnsi" w:eastAsia="Times New Roman" w:hAnsiTheme="minorHAnsi" w:cstheme="minorHAnsi"/>
                <w:color w:val="000000"/>
                <w:sz w:val="20"/>
                <w:szCs w:val="20"/>
                <w:lang w:val="pt-PT"/>
              </w:rPr>
              <w:t>, 1,4</w:t>
            </w:r>
          </w:p>
        </w:tc>
        <w:tc>
          <w:tcPr>
            <w:tcW w:w="722" w:type="pct"/>
          </w:tcPr>
          <w:p w14:paraId="2AB12E43"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6A489AED"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0,05</w:t>
            </w:r>
          </w:p>
        </w:tc>
        <w:tc>
          <w:tcPr>
            <w:tcW w:w="1577" w:type="pct"/>
          </w:tcPr>
          <w:p w14:paraId="7E6C6716"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40437190" w14:textId="77777777" w:rsidTr="006174BB">
        <w:trPr>
          <w:trHeight w:val="186"/>
        </w:trPr>
        <w:tc>
          <w:tcPr>
            <w:tcW w:w="1513" w:type="pct"/>
          </w:tcPr>
          <w:p w14:paraId="7EF15099"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Ácido </w:t>
            </w:r>
            <w:proofErr w:type="spellStart"/>
            <w:r w:rsidRPr="00292532">
              <w:rPr>
                <w:rFonts w:asciiTheme="minorHAnsi" w:eastAsia="Times New Roman" w:hAnsiTheme="minorHAnsi" w:cstheme="minorHAnsi"/>
                <w:color w:val="000000"/>
                <w:sz w:val="20"/>
                <w:szCs w:val="20"/>
                <w:lang w:val="pt-PT"/>
              </w:rPr>
              <w:t>edético</w:t>
            </w:r>
            <w:proofErr w:type="spellEnd"/>
            <w:r w:rsidRPr="00292532">
              <w:rPr>
                <w:rFonts w:asciiTheme="minorHAnsi" w:eastAsia="Times New Roman" w:hAnsiTheme="minorHAnsi" w:cstheme="minorHAnsi"/>
                <w:color w:val="000000"/>
                <w:sz w:val="20"/>
                <w:szCs w:val="20"/>
                <w:lang w:val="pt-PT"/>
              </w:rPr>
              <w:t xml:space="preserve"> (EDTA)</w:t>
            </w:r>
          </w:p>
        </w:tc>
        <w:tc>
          <w:tcPr>
            <w:tcW w:w="722" w:type="pct"/>
          </w:tcPr>
          <w:p w14:paraId="0AADF9D1"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4F5580B2"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0,6</w:t>
            </w:r>
          </w:p>
        </w:tc>
        <w:tc>
          <w:tcPr>
            <w:tcW w:w="1577" w:type="pct"/>
          </w:tcPr>
          <w:p w14:paraId="1E37083B"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7EA42848" w14:textId="77777777" w:rsidTr="006174BB">
        <w:trPr>
          <w:trHeight w:val="74"/>
        </w:trPr>
        <w:tc>
          <w:tcPr>
            <w:tcW w:w="1513" w:type="pct"/>
          </w:tcPr>
          <w:p w14:paraId="766868A4"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Etilbenzeno</w:t>
            </w:r>
            <w:proofErr w:type="spellEnd"/>
          </w:p>
        </w:tc>
        <w:tc>
          <w:tcPr>
            <w:tcW w:w="722" w:type="pct"/>
          </w:tcPr>
          <w:p w14:paraId="1E8358C9"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2FF1DE94"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0,3</w:t>
            </w:r>
          </w:p>
        </w:tc>
        <w:tc>
          <w:tcPr>
            <w:tcW w:w="1577" w:type="pct"/>
          </w:tcPr>
          <w:p w14:paraId="6CF49926"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096273A1" w14:textId="77777777" w:rsidTr="006174BB">
        <w:trPr>
          <w:trHeight w:val="93"/>
        </w:trPr>
        <w:tc>
          <w:tcPr>
            <w:tcW w:w="1513" w:type="pct"/>
          </w:tcPr>
          <w:p w14:paraId="7AAA5E7E"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Hexaclorobutadieno</w:t>
            </w:r>
            <w:proofErr w:type="spellEnd"/>
          </w:p>
        </w:tc>
        <w:tc>
          <w:tcPr>
            <w:tcW w:w="722" w:type="pct"/>
          </w:tcPr>
          <w:p w14:paraId="74F81037"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6B930557"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0,0006</w:t>
            </w:r>
          </w:p>
        </w:tc>
        <w:tc>
          <w:tcPr>
            <w:tcW w:w="1577" w:type="pct"/>
          </w:tcPr>
          <w:p w14:paraId="0240C216"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D43610" w:rsidRPr="00292532" w14:paraId="4085254E" w14:textId="77777777" w:rsidTr="006174BB">
        <w:trPr>
          <w:trHeight w:val="93"/>
        </w:trPr>
        <w:tc>
          <w:tcPr>
            <w:tcW w:w="1513" w:type="pct"/>
          </w:tcPr>
          <w:p w14:paraId="40359616" w14:textId="77777777" w:rsidR="00D43610" w:rsidRPr="00292532" w:rsidRDefault="00D43610"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p>
        </w:tc>
        <w:tc>
          <w:tcPr>
            <w:tcW w:w="722" w:type="pct"/>
          </w:tcPr>
          <w:p w14:paraId="62CB9777" w14:textId="77777777" w:rsidR="00D43610" w:rsidRPr="00292532" w:rsidRDefault="00D43610"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p>
        </w:tc>
        <w:tc>
          <w:tcPr>
            <w:tcW w:w="1188" w:type="pct"/>
          </w:tcPr>
          <w:p w14:paraId="377EA964" w14:textId="77777777" w:rsidR="00D43610" w:rsidRPr="00292532" w:rsidRDefault="00D43610"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p>
        </w:tc>
        <w:tc>
          <w:tcPr>
            <w:tcW w:w="1577" w:type="pct"/>
          </w:tcPr>
          <w:p w14:paraId="11353028" w14:textId="77777777" w:rsidR="00D43610" w:rsidRPr="00292532" w:rsidRDefault="00D43610"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p>
        </w:tc>
      </w:tr>
      <w:tr w:rsidR="000615DB" w:rsidRPr="00292532" w14:paraId="090427ED" w14:textId="77777777" w:rsidTr="006174BB">
        <w:trPr>
          <w:trHeight w:val="147"/>
        </w:trPr>
        <w:tc>
          <w:tcPr>
            <w:tcW w:w="1513" w:type="pct"/>
          </w:tcPr>
          <w:p w14:paraId="20FA8C5C"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Ácido </w:t>
            </w:r>
            <w:proofErr w:type="spellStart"/>
            <w:r w:rsidRPr="00292532">
              <w:rPr>
                <w:rFonts w:asciiTheme="minorHAnsi" w:eastAsia="Times New Roman" w:hAnsiTheme="minorHAnsi" w:cstheme="minorHAnsi"/>
                <w:color w:val="000000"/>
                <w:sz w:val="20"/>
                <w:szCs w:val="20"/>
                <w:lang w:val="pt-PT"/>
              </w:rPr>
              <w:t>nitrilotriacético</w:t>
            </w:r>
            <w:proofErr w:type="spellEnd"/>
            <w:r w:rsidRPr="00292532">
              <w:rPr>
                <w:rFonts w:asciiTheme="minorHAnsi" w:eastAsia="Times New Roman" w:hAnsiTheme="minorHAnsi" w:cstheme="minorHAnsi"/>
                <w:color w:val="000000"/>
                <w:sz w:val="20"/>
                <w:szCs w:val="20"/>
                <w:lang w:val="pt-PT"/>
              </w:rPr>
              <w:t xml:space="preserve"> (NTA)</w:t>
            </w:r>
          </w:p>
        </w:tc>
        <w:tc>
          <w:tcPr>
            <w:tcW w:w="722" w:type="pct"/>
          </w:tcPr>
          <w:p w14:paraId="46E7579D"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34190774"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0,2</w:t>
            </w:r>
          </w:p>
        </w:tc>
        <w:tc>
          <w:tcPr>
            <w:tcW w:w="1577" w:type="pct"/>
          </w:tcPr>
          <w:p w14:paraId="3F3FAE07"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6368DD36" w14:textId="77777777" w:rsidTr="006174BB">
        <w:trPr>
          <w:trHeight w:val="94"/>
        </w:trPr>
        <w:tc>
          <w:tcPr>
            <w:tcW w:w="1513" w:type="pct"/>
          </w:tcPr>
          <w:p w14:paraId="7F7C595B"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Pentaclorofenol</w:t>
            </w:r>
            <w:proofErr w:type="spellEnd"/>
          </w:p>
        </w:tc>
        <w:tc>
          <w:tcPr>
            <w:tcW w:w="722" w:type="pct"/>
          </w:tcPr>
          <w:p w14:paraId="607CE2FB"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321C98D1"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0,009</w:t>
            </w:r>
          </w:p>
        </w:tc>
        <w:tc>
          <w:tcPr>
            <w:tcW w:w="1577" w:type="pct"/>
          </w:tcPr>
          <w:p w14:paraId="0E1F5768"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3E6CECA4" w14:textId="77777777" w:rsidTr="006174BB">
        <w:trPr>
          <w:trHeight w:val="74"/>
        </w:trPr>
        <w:tc>
          <w:tcPr>
            <w:tcW w:w="1513" w:type="pct"/>
          </w:tcPr>
          <w:p w14:paraId="48FB55CE"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Estireno</w:t>
            </w:r>
          </w:p>
        </w:tc>
        <w:tc>
          <w:tcPr>
            <w:tcW w:w="722" w:type="pct"/>
          </w:tcPr>
          <w:p w14:paraId="6D179CF8"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3DEDCDD4"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0,02</w:t>
            </w:r>
          </w:p>
        </w:tc>
        <w:tc>
          <w:tcPr>
            <w:tcW w:w="1577" w:type="pct"/>
          </w:tcPr>
          <w:p w14:paraId="66FE220B"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79D261A3" w14:textId="77777777" w:rsidTr="006174BB">
        <w:trPr>
          <w:trHeight w:val="74"/>
        </w:trPr>
        <w:tc>
          <w:tcPr>
            <w:tcW w:w="1513" w:type="pct"/>
          </w:tcPr>
          <w:p w14:paraId="73BF37F3"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Tetracloroetano</w:t>
            </w:r>
            <w:proofErr w:type="spellEnd"/>
          </w:p>
        </w:tc>
        <w:tc>
          <w:tcPr>
            <w:tcW w:w="722" w:type="pct"/>
          </w:tcPr>
          <w:p w14:paraId="09D26675"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67B14FAC"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0,04</w:t>
            </w:r>
          </w:p>
        </w:tc>
        <w:tc>
          <w:tcPr>
            <w:tcW w:w="1577" w:type="pct"/>
          </w:tcPr>
          <w:p w14:paraId="184A6A08"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0A770A28" w14:textId="77777777" w:rsidTr="006174BB">
        <w:trPr>
          <w:trHeight w:val="74"/>
        </w:trPr>
        <w:tc>
          <w:tcPr>
            <w:tcW w:w="1513" w:type="pct"/>
          </w:tcPr>
          <w:p w14:paraId="16F894EA"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Tolueno</w:t>
            </w:r>
          </w:p>
        </w:tc>
        <w:tc>
          <w:tcPr>
            <w:tcW w:w="722" w:type="pct"/>
          </w:tcPr>
          <w:p w14:paraId="5975A1A9"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10C7A345"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0,7</w:t>
            </w:r>
          </w:p>
        </w:tc>
        <w:tc>
          <w:tcPr>
            <w:tcW w:w="1577" w:type="pct"/>
          </w:tcPr>
          <w:p w14:paraId="55CF3D7F"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4D27D67B" w14:textId="77777777" w:rsidTr="006174BB">
        <w:trPr>
          <w:trHeight w:val="134"/>
        </w:trPr>
        <w:tc>
          <w:tcPr>
            <w:tcW w:w="1513" w:type="pct"/>
          </w:tcPr>
          <w:p w14:paraId="13CD4BEB"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Tricloroeteno</w:t>
            </w:r>
            <w:proofErr w:type="spellEnd"/>
            <w:r w:rsidRPr="00292532">
              <w:rPr>
                <w:rFonts w:asciiTheme="minorHAnsi" w:eastAsia="Times New Roman" w:hAnsiTheme="minorHAnsi" w:cstheme="minorHAnsi"/>
                <w:color w:val="000000"/>
                <w:sz w:val="20"/>
                <w:szCs w:val="20"/>
                <w:lang w:val="pt-PT"/>
              </w:rPr>
              <w:t xml:space="preserve"> </w:t>
            </w:r>
          </w:p>
        </w:tc>
        <w:tc>
          <w:tcPr>
            <w:tcW w:w="722" w:type="pct"/>
          </w:tcPr>
          <w:p w14:paraId="45E6305E"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2ADA5041"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0,02</w:t>
            </w:r>
          </w:p>
        </w:tc>
        <w:tc>
          <w:tcPr>
            <w:tcW w:w="1577" w:type="pct"/>
          </w:tcPr>
          <w:p w14:paraId="144599BE"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321D4662" w14:textId="77777777" w:rsidTr="006174BB">
        <w:trPr>
          <w:trHeight w:val="201"/>
        </w:trPr>
        <w:tc>
          <w:tcPr>
            <w:tcW w:w="1513" w:type="pct"/>
          </w:tcPr>
          <w:p w14:paraId="0C5BF8F7"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Xilenos</w:t>
            </w:r>
          </w:p>
        </w:tc>
        <w:tc>
          <w:tcPr>
            <w:tcW w:w="722" w:type="pct"/>
          </w:tcPr>
          <w:p w14:paraId="3F6ACBC3" w14:textId="77777777" w:rsidR="000615DB" w:rsidRPr="00292532" w:rsidRDefault="000615DB" w:rsidP="006174BB">
            <w:pPr>
              <w:overflowPunct w:val="0"/>
              <w:autoSpaceDE w:val="0"/>
              <w:autoSpaceDN w:val="0"/>
              <w:adjustRightInd w:val="0"/>
              <w:spacing w:before="0" w:after="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188" w:type="pct"/>
          </w:tcPr>
          <w:p w14:paraId="7F17BBDF"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0,5</w:t>
            </w:r>
          </w:p>
        </w:tc>
        <w:tc>
          <w:tcPr>
            <w:tcW w:w="1577" w:type="pct"/>
          </w:tcPr>
          <w:p w14:paraId="4C8F5784" w14:textId="77777777" w:rsidR="000615DB" w:rsidRPr="00292532" w:rsidRDefault="000615DB" w:rsidP="006174BB">
            <w:pPr>
              <w:overflowPunct w:val="0"/>
              <w:autoSpaceDE w:val="0"/>
              <w:autoSpaceDN w:val="0"/>
              <w:adjustRightInd w:val="0"/>
              <w:spacing w:before="20" w:after="20"/>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bl>
    <w:p w14:paraId="2821F8DE" w14:textId="77777777" w:rsidR="000615DB" w:rsidRPr="00292532" w:rsidRDefault="000615DB" w:rsidP="000615DB">
      <w:pPr>
        <w:numPr>
          <w:ilvl w:val="0"/>
          <w:numId w:val="61"/>
        </w:numPr>
        <w:overflowPunct w:val="0"/>
        <w:autoSpaceDE w:val="0"/>
        <w:autoSpaceDN w:val="0"/>
        <w:adjustRightInd w:val="0"/>
        <w:spacing w:before="0" w:after="0"/>
        <w:textAlignment w:val="baseline"/>
        <w:rPr>
          <w:i/>
          <w:color w:val="000000" w:themeColor="text1"/>
          <w:sz w:val="18"/>
          <w:szCs w:val="18"/>
          <w:lang w:val="pt-PT"/>
        </w:rPr>
      </w:pPr>
      <w:proofErr w:type="spellStart"/>
      <w:r w:rsidRPr="00292532">
        <w:rPr>
          <w:i/>
          <w:color w:val="000000" w:themeColor="text1"/>
          <w:sz w:val="18"/>
          <w:szCs w:val="18"/>
          <w:lang w:val="pt-PT"/>
        </w:rPr>
        <w:t>Directrizes</w:t>
      </w:r>
      <w:proofErr w:type="spellEnd"/>
      <w:r w:rsidRPr="00292532">
        <w:rPr>
          <w:i/>
          <w:color w:val="000000" w:themeColor="text1"/>
          <w:sz w:val="18"/>
          <w:szCs w:val="18"/>
          <w:lang w:val="pt-PT"/>
        </w:rPr>
        <w:t xml:space="preserve"> para a Qualidade da Água Potável da OMS (2011), Quarta Edição, Organização Mundial de saúde, Genebra.</w:t>
      </w:r>
    </w:p>
    <w:p w14:paraId="3A551944" w14:textId="77777777" w:rsidR="000615DB" w:rsidRPr="00292532" w:rsidRDefault="000615DB" w:rsidP="000615DB">
      <w:pPr>
        <w:numPr>
          <w:ilvl w:val="0"/>
          <w:numId w:val="61"/>
        </w:numPr>
        <w:overflowPunct w:val="0"/>
        <w:autoSpaceDE w:val="0"/>
        <w:autoSpaceDN w:val="0"/>
        <w:adjustRightInd w:val="0"/>
        <w:spacing w:before="0" w:after="0"/>
        <w:textAlignment w:val="baseline"/>
        <w:rPr>
          <w:i/>
          <w:color w:val="000000" w:themeColor="text1"/>
          <w:sz w:val="18"/>
          <w:szCs w:val="18"/>
          <w:lang w:val="pt-PT"/>
        </w:rPr>
      </w:pPr>
      <w:r w:rsidRPr="00292532">
        <w:rPr>
          <w:i/>
          <w:color w:val="000000" w:themeColor="text1"/>
          <w:sz w:val="18"/>
          <w:szCs w:val="18"/>
          <w:lang w:val="pt-PT"/>
        </w:rPr>
        <w:t>Anexo 3 do Regulamento dos Sistemas Públicos de Distribuição de Água e de Drenagem de Águas Residuais (Decreto 30/2003).</w:t>
      </w:r>
    </w:p>
    <w:p w14:paraId="6DB71D84" w14:textId="77777777" w:rsidR="000615DB" w:rsidRPr="00292532" w:rsidRDefault="000615DB" w:rsidP="000615DB">
      <w:pPr>
        <w:overflowPunct w:val="0"/>
        <w:autoSpaceDE w:val="0"/>
        <w:autoSpaceDN w:val="0"/>
        <w:adjustRightInd w:val="0"/>
        <w:spacing w:before="0" w:after="0"/>
        <w:ind w:left="360"/>
        <w:textAlignment w:val="baseline"/>
        <w:rPr>
          <w:i/>
          <w:color w:val="000000" w:themeColor="text1"/>
          <w:sz w:val="18"/>
          <w:szCs w:val="18"/>
          <w:lang w:val="pt-PT"/>
        </w:rPr>
      </w:pPr>
    </w:p>
    <w:p w14:paraId="24F44CA9" w14:textId="77777777" w:rsidR="000615DB" w:rsidRPr="00292532" w:rsidRDefault="000615DB">
      <w:pPr>
        <w:pStyle w:val="Heading3"/>
        <w:rPr>
          <w:lang w:eastAsia="ja-JP"/>
        </w:rPr>
      </w:pPr>
      <w:bookmarkStart w:id="557" w:name="_Toc78435428"/>
      <w:bookmarkStart w:id="558" w:name="_Toc80380098"/>
      <w:r w:rsidRPr="00292532">
        <w:rPr>
          <w:lang w:eastAsia="ja-JP"/>
        </w:rPr>
        <w:t>Descarga de Efluentes</w:t>
      </w:r>
      <w:bookmarkEnd w:id="557"/>
      <w:bookmarkEnd w:id="558"/>
      <w:r w:rsidRPr="00292532">
        <w:rPr>
          <w:lang w:eastAsia="ja-JP"/>
        </w:rPr>
        <w:t xml:space="preserve"> </w:t>
      </w:r>
    </w:p>
    <w:p w14:paraId="4B2DC50A" w14:textId="77777777" w:rsidR="000615DB" w:rsidRPr="00292532" w:rsidRDefault="000615DB" w:rsidP="000615DB">
      <w:pPr>
        <w:rPr>
          <w:lang w:val="pt-PT" w:eastAsia="ja-JP"/>
        </w:rPr>
      </w:pPr>
      <w:r w:rsidRPr="00292532">
        <w:rPr>
          <w:lang w:val="pt-PT" w:eastAsia="ja-JP"/>
        </w:rPr>
        <w:t xml:space="preserve">As </w:t>
      </w:r>
      <w:proofErr w:type="spellStart"/>
      <w:r w:rsidRPr="00292532">
        <w:rPr>
          <w:lang w:val="pt-PT" w:eastAsia="ja-JP"/>
        </w:rPr>
        <w:t>directrizes</w:t>
      </w:r>
      <w:proofErr w:type="spellEnd"/>
      <w:r w:rsidRPr="00292532">
        <w:rPr>
          <w:lang w:val="pt-PT" w:eastAsia="ja-JP"/>
        </w:rPr>
        <w:t xml:space="preserve"> consideradas aplicáveis para o tratamento e/ou descarga de efluentes líquidos são apresentadas na </w:t>
      </w:r>
      <w:r w:rsidRPr="00292532">
        <w:rPr>
          <w:b/>
          <w:bCs/>
          <w:lang w:val="pt-PT" w:eastAsia="ja-JP"/>
        </w:rPr>
        <w:fldChar w:fldCharType="begin"/>
      </w:r>
      <w:r w:rsidRPr="00292532">
        <w:rPr>
          <w:b/>
          <w:bCs/>
          <w:lang w:val="pt-PT" w:eastAsia="ja-JP"/>
        </w:rPr>
        <w:instrText xml:space="preserve"> REF _Ref72708694 \h  \* MERGEFORMAT </w:instrText>
      </w:r>
      <w:r w:rsidRPr="00292532">
        <w:rPr>
          <w:b/>
          <w:bCs/>
          <w:lang w:val="pt-PT" w:eastAsia="ja-JP"/>
        </w:rPr>
      </w:r>
      <w:r w:rsidRPr="00292532">
        <w:rPr>
          <w:b/>
          <w:bCs/>
          <w:lang w:val="pt-PT" w:eastAsia="ja-JP"/>
        </w:rPr>
        <w:fldChar w:fldCharType="separate"/>
      </w:r>
      <w:r w:rsidRPr="00292532">
        <w:rPr>
          <w:b/>
          <w:bCs/>
          <w:lang w:val="pt-PT"/>
        </w:rPr>
        <w:t xml:space="preserve">Tabela </w:t>
      </w:r>
      <w:r w:rsidRPr="00292532">
        <w:rPr>
          <w:b/>
          <w:bCs/>
          <w:noProof/>
          <w:lang w:val="pt-PT"/>
        </w:rPr>
        <w:t>8</w:t>
      </w:r>
      <w:r w:rsidRPr="00292532">
        <w:rPr>
          <w:b/>
          <w:bCs/>
          <w:lang w:val="pt-PT" w:eastAsia="ja-JP"/>
        </w:rPr>
        <w:fldChar w:fldCharType="end"/>
      </w:r>
      <w:r w:rsidRPr="00292532">
        <w:rPr>
          <w:lang w:val="pt-PT" w:eastAsia="ja-JP"/>
        </w:rPr>
        <w:t xml:space="preserve"> e inclui ou aprova o Regulamento sobre Padrões de Qualidade Ambiental e de Emissão de Efluentes (Decreto 18/2004), o Regulamento dos Sistemas Públicos de Distribuição de Água e de Drenagem de Águas Residuais (Decreto 30/2003), bem como as </w:t>
      </w:r>
      <w:proofErr w:type="spellStart"/>
      <w:r w:rsidRPr="00292532">
        <w:rPr>
          <w:lang w:val="pt-PT" w:eastAsia="ja-JP"/>
        </w:rPr>
        <w:t>Directrizes</w:t>
      </w:r>
      <w:proofErr w:type="spellEnd"/>
      <w:r w:rsidRPr="00292532">
        <w:rPr>
          <w:lang w:val="pt-PT" w:eastAsia="ja-JP"/>
        </w:rPr>
        <w:t xml:space="preserve"> Gerais para o Ambiente, Saúde e Segurança da IFC.</w:t>
      </w:r>
    </w:p>
    <w:p w14:paraId="35ECDBB6" w14:textId="77777777" w:rsidR="000615DB" w:rsidRPr="00292532" w:rsidRDefault="000615DB" w:rsidP="000615DB">
      <w:pPr>
        <w:pStyle w:val="Caption"/>
      </w:pPr>
      <w:r w:rsidRPr="00292532">
        <w:t xml:space="preserve">Tabela 8: </w:t>
      </w:r>
      <w:proofErr w:type="spellStart"/>
      <w:r w:rsidRPr="00292532">
        <w:t>Directrizes</w:t>
      </w:r>
      <w:proofErr w:type="spellEnd"/>
      <w:r w:rsidRPr="00292532">
        <w:t xml:space="preserve"> sobre a Descarga de efluentes nos ambientes naturais</w:t>
      </w:r>
    </w:p>
    <w:tbl>
      <w:tblPr>
        <w:tblW w:w="4095" w:type="pct"/>
        <w:jc w:val="center"/>
        <w:tblBorders>
          <w:top w:val="single" w:sz="12" w:space="0" w:color="auto"/>
          <w:bottom w:val="single" w:sz="12" w:space="0" w:color="auto"/>
        </w:tblBorders>
        <w:tblLook w:val="01E0" w:firstRow="1" w:lastRow="1" w:firstColumn="1" w:lastColumn="1" w:noHBand="0" w:noVBand="0"/>
      </w:tblPr>
      <w:tblGrid>
        <w:gridCol w:w="1538"/>
        <w:gridCol w:w="923"/>
        <w:gridCol w:w="616"/>
        <w:gridCol w:w="924"/>
        <w:gridCol w:w="698"/>
        <w:gridCol w:w="729"/>
        <w:gridCol w:w="808"/>
        <w:gridCol w:w="729"/>
      </w:tblGrid>
      <w:tr w:rsidR="000615DB" w:rsidRPr="00292532" w14:paraId="266E6675" w14:textId="77777777" w:rsidTr="006174BB">
        <w:trPr>
          <w:gridAfter w:val="1"/>
          <w:wAfter w:w="524" w:type="pct"/>
          <w:trHeight w:val="363"/>
          <w:tblHeader/>
          <w:jc w:val="center"/>
        </w:trPr>
        <w:tc>
          <w:tcPr>
            <w:tcW w:w="1105" w:type="pct"/>
            <w:tcBorders>
              <w:top w:val="single" w:sz="12" w:space="0" w:color="auto"/>
              <w:bottom w:val="single" w:sz="4" w:space="0" w:color="auto"/>
            </w:tcBorders>
            <w:shd w:val="clear" w:color="auto" w:fill="D5DCE4" w:themeFill="text2" w:themeFillTint="33"/>
          </w:tcPr>
          <w:p w14:paraId="5AB5AF1B"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b/>
                <w:color w:val="000000"/>
                <w:sz w:val="20"/>
                <w:szCs w:val="20"/>
                <w:lang w:val="pt-PT"/>
              </w:rPr>
            </w:pPr>
            <w:r w:rsidRPr="00292532">
              <w:rPr>
                <w:rFonts w:asciiTheme="minorHAnsi" w:eastAsia="Times New Roman" w:hAnsiTheme="minorHAnsi" w:cstheme="minorHAnsi"/>
                <w:b/>
                <w:color w:val="000000"/>
                <w:sz w:val="20"/>
                <w:szCs w:val="20"/>
                <w:lang w:val="pt-PT"/>
              </w:rPr>
              <w:t>Parâmetro</w:t>
            </w:r>
          </w:p>
        </w:tc>
        <w:tc>
          <w:tcPr>
            <w:tcW w:w="1105" w:type="pct"/>
            <w:gridSpan w:val="2"/>
            <w:tcBorders>
              <w:top w:val="single" w:sz="12" w:space="0" w:color="auto"/>
              <w:bottom w:val="single" w:sz="4" w:space="0" w:color="auto"/>
            </w:tcBorders>
            <w:shd w:val="clear" w:color="auto" w:fill="D5DCE4" w:themeFill="text2" w:themeFillTint="33"/>
          </w:tcPr>
          <w:p w14:paraId="070B7E6C"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b/>
                <w:color w:val="000000"/>
                <w:sz w:val="20"/>
                <w:szCs w:val="20"/>
                <w:lang w:val="pt-PT"/>
              </w:rPr>
            </w:pPr>
            <w:r w:rsidRPr="00292532">
              <w:rPr>
                <w:rFonts w:asciiTheme="minorHAnsi" w:eastAsia="Times New Roman" w:hAnsiTheme="minorHAnsi" w:cstheme="minorHAnsi"/>
                <w:b/>
                <w:color w:val="000000"/>
                <w:sz w:val="20"/>
                <w:szCs w:val="20"/>
                <w:lang w:val="pt-PT"/>
              </w:rPr>
              <w:t xml:space="preserve">Unidades </w:t>
            </w:r>
          </w:p>
        </w:tc>
        <w:tc>
          <w:tcPr>
            <w:tcW w:w="1164" w:type="pct"/>
            <w:gridSpan w:val="2"/>
            <w:tcBorders>
              <w:top w:val="single" w:sz="12" w:space="0" w:color="auto"/>
              <w:bottom w:val="single" w:sz="4" w:space="0" w:color="auto"/>
            </w:tcBorders>
            <w:shd w:val="clear" w:color="auto" w:fill="D5DCE4" w:themeFill="text2" w:themeFillTint="33"/>
          </w:tcPr>
          <w:p w14:paraId="5EFDA004"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b/>
                <w:color w:val="000000"/>
                <w:sz w:val="20"/>
                <w:szCs w:val="20"/>
                <w:lang w:val="pt-PT"/>
              </w:rPr>
            </w:pPr>
            <w:r w:rsidRPr="00292532">
              <w:rPr>
                <w:rFonts w:asciiTheme="minorHAnsi" w:eastAsia="Times New Roman" w:hAnsiTheme="minorHAnsi" w:cstheme="minorHAnsi"/>
                <w:b/>
                <w:color w:val="000000"/>
                <w:sz w:val="20"/>
                <w:szCs w:val="20"/>
                <w:lang w:val="pt-PT"/>
              </w:rPr>
              <w:t xml:space="preserve">IFC </w:t>
            </w:r>
            <w:proofErr w:type="spellStart"/>
            <w:r w:rsidRPr="00292532">
              <w:rPr>
                <w:rFonts w:asciiTheme="minorHAnsi" w:eastAsia="Times New Roman" w:hAnsiTheme="minorHAnsi" w:cstheme="minorHAnsi"/>
                <w:b/>
                <w:color w:val="000000"/>
                <w:sz w:val="20"/>
                <w:szCs w:val="20"/>
                <w:lang w:val="pt-PT"/>
              </w:rPr>
              <w:t>Directriz</w:t>
            </w:r>
            <w:proofErr w:type="spellEnd"/>
            <w:r w:rsidRPr="00292532">
              <w:rPr>
                <w:rFonts w:asciiTheme="minorHAnsi" w:eastAsia="Times New Roman" w:hAnsiTheme="minorHAnsi" w:cstheme="minorHAnsi"/>
                <w:b/>
                <w:color w:val="000000"/>
                <w:sz w:val="20"/>
                <w:szCs w:val="20"/>
                <w:lang w:val="pt-PT"/>
              </w:rPr>
              <w:t xml:space="preserve"> para Águas Residuais Sanitárias</w:t>
            </w:r>
          </w:p>
        </w:tc>
        <w:tc>
          <w:tcPr>
            <w:tcW w:w="1103" w:type="pct"/>
            <w:gridSpan w:val="2"/>
            <w:tcBorders>
              <w:top w:val="single" w:sz="12" w:space="0" w:color="auto"/>
              <w:bottom w:val="single" w:sz="4" w:space="0" w:color="auto"/>
            </w:tcBorders>
            <w:shd w:val="clear" w:color="auto" w:fill="D5DCE4" w:themeFill="text2" w:themeFillTint="33"/>
          </w:tcPr>
          <w:p w14:paraId="42F0AECA"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b/>
                <w:color w:val="000000"/>
                <w:sz w:val="20"/>
                <w:szCs w:val="20"/>
                <w:lang w:val="pt-PT"/>
              </w:rPr>
            </w:pPr>
            <w:r w:rsidRPr="00292532">
              <w:rPr>
                <w:rFonts w:asciiTheme="minorHAnsi" w:eastAsia="Times New Roman" w:hAnsiTheme="minorHAnsi" w:cstheme="minorHAnsi"/>
                <w:b/>
                <w:color w:val="000000"/>
                <w:sz w:val="20"/>
                <w:szCs w:val="20"/>
                <w:lang w:val="pt-PT"/>
              </w:rPr>
              <w:t>Normas Moçambicanas</w:t>
            </w:r>
          </w:p>
        </w:tc>
      </w:tr>
      <w:tr w:rsidR="000615DB" w:rsidRPr="00292532" w14:paraId="57FB3D25" w14:textId="77777777" w:rsidTr="006174BB">
        <w:trPr>
          <w:jc w:val="center"/>
        </w:trPr>
        <w:tc>
          <w:tcPr>
            <w:tcW w:w="1768" w:type="pct"/>
            <w:gridSpan w:val="2"/>
            <w:tcBorders>
              <w:top w:val="single" w:sz="4" w:space="0" w:color="auto"/>
              <w:bottom w:val="nil"/>
            </w:tcBorders>
          </w:tcPr>
          <w:p w14:paraId="745D5FA2"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pH</w:t>
            </w:r>
          </w:p>
        </w:tc>
        <w:tc>
          <w:tcPr>
            <w:tcW w:w="1105" w:type="pct"/>
            <w:gridSpan w:val="2"/>
            <w:tcBorders>
              <w:top w:val="single" w:sz="4" w:space="0" w:color="auto"/>
              <w:bottom w:val="nil"/>
            </w:tcBorders>
          </w:tcPr>
          <w:p w14:paraId="3D2AAE7B"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024" w:type="pct"/>
            <w:gridSpan w:val="2"/>
            <w:tcBorders>
              <w:top w:val="single" w:sz="4" w:space="0" w:color="auto"/>
              <w:bottom w:val="nil"/>
            </w:tcBorders>
          </w:tcPr>
          <w:p w14:paraId="29747C6D"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6-9</w:t>
            </w:r>
          </w:p>
        </w:tc>
        <w:tc>
          <w:tcPr>
            <w:tcW w:w="1103" w:type="pct"/>
            <w:gridSpan w:val="2"/>
            <w:tcBorders>
              <w:top w:val="single" w:sz="4" w:space="0" w:color="auto"/>
              <w:bottom w:val="nil"/>
            </w:tcBorders>
          </w:tcPr>
          <w:p w14:paraId="74D62FF8"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6-9</w:t>
            </w:r>
          </w:p>
        </w:tc>
      </w:tr>
      <w:tr w:rsidR="000615DB" w:rsidRPr="00292532" w14:paraId="3D73D5EC" w14:textId="77777777" w:rsidTr="006174BB">
        <w:trPr>
          <w:jc w:val="center"/>
        </w:trPr>
        <w:tc>
          <w:tcPr>
            <w:tcW w:w="1768" w:type="pct"/>
            <w:gridSpan w:val="2"/>
            <w:tcBorders>
              <w:top w:val="nil"/>
              <w:bottom w:val="nil"/>
            </w:tcBorders>
          </w:tcPr>
          <w:p w14:paraId="5C659E9D"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Temperatura </w:t>
            </w:r>
          </w:p>
        </w:tc>
        <w:tc>
          <w:tcPr>
            <w:tcW w:w="1105" w:type="pct"/>
            <w:gridSpan w:val="2"/>
            <w:tcBorders>
              <w:top w:val="nil"/>
              <w:bottom w:val="nil"/>
            </w:tcBorders>
          </w:tcPr>
          <w:p w14:paraId="4182D5A3"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ºC</w:t>
            </w:r>
            <w:proofErr w:type="spellEnd"/>
          </w:p>
        </w:tc>
        <w:tc>
          <w:tcPr>
            <w:tcW w:w="1024" w:type="pct"/>
            <w:gridSpan w:val="2"/>
            <w:tcBorders>
              <w:top w:val="nil"/>
              <w:bottom w:val="nil"/>
            </w:tcBorders>
          </w:tcPr>
          <w:p w14:paraId="534A9792"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Borders>
              <w:top w:val="nil"/>
              <w:bottom w:val="nil"/>
            </w:tcBorders>
          </w:tcPr>
          <w:p w14:paraId="6FA58F35"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031484D8" w14:textId="77777777" w:rsidTr="006174BB">
        <w:trPr>
          <w:jc w:val="center"/>
        </w:trPr>
        <w:tc>
          <w:tcPr>
            <w:tcW w:w="1768" w:type="pct"/>
            <w:gridSpan w:val="2"/>
            <w:tcBorders>
              <w:top w:val="nil"/>
            </w:tcBorders>
          </w:tcPr>
          <w:p w14:paraId="1FE28758"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Cor </w:t>
            </w:r>
          </w:p>
        </w:tc>
        <w:tc>
          <w:tcPr>
            <w:tcW w:w="1105" w:type="pct"/>
            <w:gridSpan w:val="2"/>
            <w:tcBorders>
              <w:top w:val="nil"/>
            </w:tcBorders>
          </w:tcPr>
          <w:p w14:paraId="506EEED2"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024" w:type="pct"/>
            <w:gridSpan w:val="2"/>
            <w:tcBorders>
              <w:top w:val="nil"/>
            </w:tcBorders>
          </w:tcPr>
          <w:p w14:paraId="4ACCBC70"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Borders>
              <w:top w:val="nil"/>
            </w:tcBorders>
          </w:tcPr>
          <w:p w14:paraId="2B65FFD6"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08E2638C" w14:textId="77777777" w:rsidTr="006174BB">
        <w:trPr>
          <w:jc w:val="center"/>
        </w:trPr>
        <w:tc>
          <w:tcPr>
            <w:tcW w:w="1768" w:type="pct"/>
            <w:gridSpan w:val="2"/>
          </w:tcPr>
          <w:p w14:paraId="45390C9D"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Demanda Bioquímica de Oxigénio (DBO)</w:t>
            </w:r>
          </w:p>
        </w:tc>
        <w:tc>
          <w:tcPr>
            <w:tcW w:w="1105" w:type="pct"/>
            <w:gridSpan w:val="2"/>
          </w:tcPr>
          <w:p w14:paraId="38A5BB14"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024" w:type="pct"/>
            <w:gridSpan w:val="2"/>
          </w:tcPr>
          <w:p w14:paraId="4906C927"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30</w:t>
            </w:r>
          </w:p>
        </w:tc>
        <w:tc>
          <w:tcPr>
            <w:tcW w:w="1103" w:type="pct"/>
            <w:gridSpan w:val="2"/>
          </w:tcPr>
          <w:p w14:paraId="245FC3AC"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30</w:t>
            </w:r>
          </w:p>
        </w:tc>
      </w:tr>
      <w:tr w:rsidR="000615DB" w:rsidRPr="00292532" w14:paraId="58E3AB4E" w14:textId="77777777" w:rsidTr="006174BB">
        <w:trPr>
          <w:jc w:val="center"/>
        </w:trPr>
        <w:tc>
          <w:tcPr>
            <w:tcW w:w="1768" w:type="pct"/>
            <w:gridSpan w:val="2"/>
          </w:tcPr>
          <w:p w14:paraId="70119EF7"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Demanda Química de Oxigénio (DQO)</w:t>
            </w:r>
          </w:p>
        </w:tc>
        <w:tc>
          <w:tcPr>
            <w:tcW w:w="1105" w:type="pct"/>
            <w:gridSpan w:val="2"/>
          </w:tcPr>
          <w:p w14:paraId="6F0C50E7"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4688B2C4"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125</w:t>
            </w:r>
          </w:p>
        </w:tc>
        <w:tc>
          <w:tcPr>
            <w:tcW w:w="1103" w:type="pct"/>
            <w:gridSpan w:val="2"/>
          </w:tcPr>
          <w:p w14:paraId="053EE4FF"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150</w:t>
            </w:r>
          </w:p>
        </w:tc>
      </w:tr>
      <w:tr w:rsidR="000615DB" w:rsidRPr="00292532" w14:paraId="0042A857" w14:textId="77777777" w:rsidTr="006174BB">
        <w:trPr>
          <w:jc w:val="center"/>
        </w:trPr>
        <w:tc>
          <w:tcPr>
            <w:tcW w:w="1768" w:type="pct"/>
            <w:gridSpan w:val="2"/>
          </w:tcPr>
          <w:p w14:paraId="312FB0AB"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Óleos e massa lubrificante</w:t>
            </w:r>
          </w:p>
        </w:tc>
        <w:tc>
          <w:tcPr>
            <w:tcW w:w="1105" w:type="pct"/>
            <w:gridSpan w:val="2"/>
          </w:tcPr>
          <w:p w14:paraId="0D996817"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024" w:type="pct"/>
            <w:gridSpan w:val="2"/>
          </w:tcPr>
          <w:p w14:paraId="513AF745"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10</w:t>
            </w:r>
          </w:p>
        </w:tc>
        <w:tc>
          <w:tcPr>
            <w:tcW w:w="1103" w:type="pct"/>
            <w:gridSpan w:val="2"/>
          </w:tcPr>
          <w:p w14:paraId="5E2D05C1"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10</w:t>
            </w:r>
          </w:p>
        </w:tc>
      </w:tr>
      <w:tr w:rsidR="000615DB" w:rsidRPr="00292532" w14:paraId="459F57BE" w14:textId="77777777" w:rsidTr="006174BB">
        <w:trPr>
          <w:jc w:val="center"/>
        </w:trPr>
        <w:tc>
          <w:tcPr>
            <w:tcW w:w="1768" w:type="pct"/>
            <w:gridSpan w:val="2"/>
          </w:tcPr>
          <w:p w14:paraId="1840C250"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Total de Sólidos Dissolvidos </w:t>
            </w:r>
          </w:p>
        </w:tc>
        <w:tc>
          <w:tcPr>
            <w:tcW w:w="1105" w:type="pct"/>
            <w:gridSpan w:val="2"/>
          </w:tcPr>
          <w:p w14:paraId="076B2D17"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024" w:type="pct"/>
            <w:gridSpan w:val="2"/>
          </w:tcPr>
          <w:p w14:paraId="35AD8BC7"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Pr>
          <w:p w14:paraId="5DD814B5"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6BBCD112" w14:textId="77777777" w:rsidTr="006174BB">
        <w:trPr>
          <w:jc w:val="center"/>
        </w:trPr>
        <w:tc>
          <w:tcPr>
            <w:tcW w:w="1768" w:type="pct"/>
            <w:gridSpan w:val="2"/>
            <w:tcBorders>
              <w:bottom w:val="nil"/>
            </w:tcBorders>
          </w:tcPr>
          <w:p w14:paraId="0CF5F4C2"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Total de Sólidos Suspensos (TSS)</w:t>
            </w:r>
          </w:p>
        </w:tc>
        <w:tc>
          <w:tcPr>
            <w:tcW w:w="1105" w:type="pct"/>
            <w:gridSpan w:val="2"/>
            <w:tcBorders>
              <w:bottom w:val="nil"/>
            </w:tcBorders>
          </w:tcPr>
          <w:p w14:paraId="52BB7D0F"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mg/l</w:t>
            </w:r>
          </w:p>
        </w:tc>
        <w:tc>
          <w:tcPr>
            <w:tcW w:w="1024" w:type="pct"/>
            <w:gridSpan w:val="2"/>
            <w:tcBorders>
              <w:bottom w:val="nil"/>
            </w:tcBorders>
          </w:tcPr>
          <w:p w14:paraId="7DB98655"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50</w:t>
            </w:r>
          </w:p>
        </w:tc>
        <w:tc>
          <w:tcPr>
            <w:tcW w:w="1103" w:type="pct"/>
            <w:gridSpan w:val="2"/>
            <w:tcBorders>
              <w:bottom w:val="nil"/>
            </w:tcBorders>
          </w:tcPr>
          <w:p w14:paraId="51635B92"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35-50</w:t>
            </w:r>
          </w:p>
        </w:tc>
      </w:tr>
      <w:tr w:rsidR="000615DB" w:rsidRPr="00292532" w14:paraId="4443CDBB" w14:textId="77777777" w:rsidTr="006174BB">
        <w:trPr>
          <w:jc w:val="center"/>
        </w:trPr>
        <w:tc>
          <w:tcPr>
            <w:tcW w:w="1768" w:type="pct"/>
            <w:gridSpan w:val="2"/>
            <w:tcBorders>
              <w:bottom w:val="nil"/>
            </w:tcBorders>
          </w:tcPr>
          <w:p w14:paraId="45AD81FF"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Total de bactérias coliformes </w:t>
            </w:r>
          </w:p>
        </w:tc>
        <w:tc>
          <w:tcPr>
            <w:tcW w:w="1105" w:type="pct"/>
            <w:gridSpan w:val="2"/>
            <w:tcBorders>
              <w:bottom w:val="nil"/>
            </w:tcBorders>
          </w:tcPr>
          <w:p w14:paraId="2C60E130"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MPN/100ml</w:t>
            </w:r>
          </w:p>
        </w:tc>
        <w:tc>
          <w:tcPr>
            <w:tcW w:w="1024" w:type="pct"/>
            <w:gridSpan w:val="2"/>
            <w:tcBorders>
              <w:bottom w:val="nil"/>
            </w:tcBorders>
          </w:tcPr>
          <w:p w14:paraId="1BABC834"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400</w:t>
            </w:r>
          </w:p>
        </w:tc>
        <w:tc>
          <w:tcPr>
            <w:tcW w:w="1103" w:type="pct"/>
            <w:gridSpan w:val="2"/>
            <w:tcBorders>
              <w:bottom w:val="nil"/>
            </w:tcBorders>
          </w:tcPr>
          <w:p w14:paraId="282C3D99"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35D2AB17" w14:textId="77777777" w:rsidTr="006174BB">
        <w:trPr>
          <w:jc w:val="center"/>
        </w:trPr>
        <w:tc>
          <w:tcPr>
            <w:tcW w:w="1768" w:type="pct"/>
            <w:gridSpan w:val="2"/>
            <w:tcBorders>
              <w:bottom w:val="nil"/>
            </w:tcBorders>
          </w:tcPr>
          <w:p w14:paraId="78384CC8"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Total de Metais </w:t>
            </w:r>
          </w:p>
        </w:tc>
        <w:tc>
          <w:tcPr>
            <w:tcW w:w="1105" w:type="pct"/>
            <w:gridSpan w:val="2"/>
            <w:tcBorders>
              <w:bottom w:val="nil"/>
            </w:tcBorders>
          </w:tcPr>
          <w:p w14:paraId="22E68A4C"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Borders>
              <w:bottom w:val="nil"/>
            </w:tcBorders>
          </w:tcPr>
          <w:p w14:paraId="01543FFC"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Borders>
              <w:bottom w:val="nil"/>
            </w:tcBorders>
          </w:tcPr>
          <w:p w14:paraId="182746C5"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p>
        </w:tc>
      </w:tr>
      <w:tr w:rsidR="000615DB" w:rsidRPr="00292532" w14:paraId="12709A1C" w14:textId="77777777" w:rsidTr="006174BB">
        <w:trPr>
          <w:jc w:val="center"/>
        </w:trPr>
        <w:tc>
          <w:tcPr>
            <w:tcW w:w="1768" w:type="pct"/>
            <w:gridSpan w:val="2"/>
            <w:tcBorders>
              <w:top w:val="nil"/>
              <w:bottom w:val="nil"/>
            </w:tcBorders>
          </w:tcPr>
          <w:p w14:paraId="6DFA672F"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Benzeno</w:t>
            </w:r>
          </w:p>
        </w:tc>
        <w:tc>
          <w:tcPr>
            <w:tcW w:w="1105" w:type="pct"/>
            <w:gridSpan w:val="2"/>
            <w:tcBorders>
              <w:top w:val="nil"/>
              <w:bottom w:val="nil"/>
            </w:tcBorders>
          </w:tcPr>
          <w:p w14:paraId="3A5565B8"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Borders>
              <w:top w:val="nil"/>
              <w:bottom w:val="nil"/>
            </w:tcBorders>
          </w:tcPr>
          <w:p w14:paraId="792C1031"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Borders>
              <w:top w:val="nil"/>
              <w:bottom w:val="nil"/>
            </w:tcBorders>
          </w:tcPr>
          <w:p w14:paraId="2A762B87"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0.05</w:t>
            </w:r>
          </w:p>
        </w:tc>
      </w:tr>
      <w:tr w:rsidR="000615DB" w:rsidRPr="00292532" w14:paraId="0FFE8D6B" w14:textId="77777777" w:rsidTr="006174BB">
        <w:trPr>
          <w:jc w:val="center"/>
        </w:trPr>
        <w:tc>
          <w:tcPr>
            <w:tcW w:w="1768" w:type="pct"/>
            <w:gridSpan w:val="2"/>
            <w:tcBorders>
              <w:top w:val="nil"/>
            </w:tcBorders>
          </w:tcPr>
          <w:p w14:paraId="04D4E344"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Nitrogénio Amoniacal (como N) </w:t>
            </w:r>
          </w:p>
        </w:tc>
        <w:tc>
          <w:tcPr>
            <w:tcW w:w="1105" w:type="pct"/>
            <w:gridSpan w:val="2"/>
            <w:tcBorders>
              <w:top w:val="nil"/>
            </w:tcBorders>
          </w:tcPr>
          <w:p w14:paraId="761F58EE"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Borders>
              <w:top w:val="nil"/>
            </w:tcBorders>
          </w:tcPr>
          <w:p w14:paraId="2BA38944"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Borders>
              <w:top w:val="nil"/>
            </w:tcBorders>
          </w:tcPr>
          <w:p w14:paraId="3BD5B146"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16CCFE6C" w14:textId="77777777" w:rsidTr="006174BB">
        <w:trPr>
          <w:jc w:val="center"/>
        </w:trPr>
        <w:tc>
          <w:tcPr>
            <w:tcW w:w="1768" w:type="pct"/>
            <w:gridSpan w:val="2"/>
            <w:tcBorders>
              <w:top w:val="nil"/>
            </w:tcBorders>
          </w:tcPr>
          <w:p w14:paraId="3384042F"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Total de Nitrogénio </w:t>
            </w:r>
          </w:p>
        </w:tc>
        <w:tc>
          <w:tcPr>
            <w:tcW w:w="1105" w:type="pct"/>
            <w:gridSpan w:val="2"/>
            <w:tcBorders>
              <w:top w:val="nil"/>
            </w:tcBorders>
          </w:tcPr>
          <w:p w14:paraId="6AA14F65"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Borders>
              <w:top w:val="nil"/>
            </w:tcBorders>
          </w:tcPr>
          <w:p w14:paraId="496FCB1B"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10 </w:t>
            </w:r>
          </w:p>
        </w:tc>
        <w:tc>
          <w:tcPr>
            <w:tcW w:w="1103" w:type="pct"/>
            <w:gridSpan w:val="2"/>
            <w:tcBorders>
              <w:top w:val="nil"/>
            </w:tcBorders>
          </w:tcPr>
          <w:p w14:paraId="60CF967C"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10</w:t>
            </w:r>
          </w:p>
        </w:tc>
      </w:tr>
      <w:tr w:rsidR="000615DB" w:rsidRPr="00292532" w14:paraId="49CD2DA6" w14:textId="77777777" w:rsidTr="006174BB">
        <w:trPr>
          <w:jc w:val="center"/>
        </w:trPr>
        <w:tc>
          <w:tcPr>
            <w:tcW w:w="1768" w:type="pct"/>
            <w:gridSpan w:val="2"/>
          </w:tcPr>
          <w:p w14:paraId="514933E0"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Total de Fósforos </w:t>
            </w:r>
          </w:p>
        </w:tc>
        <w:tc>
          <w:tcPr>
            <w:tcW w:w="1105" w:type="pct"/>
            <w:gridSpan w:val="2"/>
          </w:tcPr>
          <w:p w14:paraId="0057EC86"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4819837B"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2</w:t>
            </w:r>
          </w:p>
        </w:tc>
        <w:tc>
          <w:tcPr>
            <w:tcW w:w="1103" w:type="pct"/>
            <w:gridSpan w:val="2"/>
          </w:tcPr>
          <w:p w14:paraId="15D5E55F"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48F5766A" w14:textId="77777777" w:rsidTr="006174BB">
        <w:trPr>
          <w:jc w:val="center"/>
        </w:trPr>
        <w:tc>
          <w:tcPr>
            <w:tcW w:w="1768" w:type="pct"/>
            <w:gridSpan w:val="2"/>
          </w:tcPr>
          <w:p w14:paraId="5F5D25B9"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Oxigénio Dissolvido </w:t>
            </w:r>
          </w:p>
        </w:tc>
        <w:tc>
          <w:tcPr>
            <w:tcW w:w="1105" w:type="pct"/>
            <w:gridSpan w:val="2"/>
          </w:tcPr>
          <w:p w14:paraId="137D240B"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42DC7ACF"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Pr>
          <w:p w14:paraId="1F60359C"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2A33BBA5" w14:textId="77777777" w:rsidTr="006174BB">
        <w:trPr>
          <w:jc w:val="center"/>
        </w:trPr>
        <w:tc>
          <w:tcPr>
            <w:tcW w:w="1768" w:type="pct"/>
            <w:gridSpan w:val="2"/>
          </w:tcPr>
          <w:p w14:paraId="0BCCAB0F"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Sulfato </w:t>
            </w:r>
          </w:p>
        </w:tc>
        <w:tc>
          <w:tcPr>
            <w:tcW w:w="1105" w:type="pct"/>
            <w:gridSpan w:val="2"/>
          </w:tcPr>
          <w:p w14:paraId="45CB1D2A"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1C2AAF60"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Pr>
          <w:p w14:paraId="2C96A48F"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5EB4A826" w14:textId="77777777" w:rsidTr="006174BB">
        <w:trPr>
          <w:jc w:val="center"/>
        </w:trPr>
        <w:tc>
          <w:tcPr>
            <w:tcW w:w="1768" w:type="pct"/>
            <w:gridSpan w:val="2"/>
          </w:tcPr>
          <w:p w14:paraId="1DB27D8A"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Arsénico</w:t>
            </w:r>
          </w:p>
        </w:tc>
        <w:tc>
          <w:tcPr>
            <w:tcW w:w="1105" w:type="pct"/>
            <w:gridSpan w:val="2"/>
          </w:tcPr>
          <w:p w14:paraId="6386CD61"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4581EF8F"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0.1</w:t>
            </w:r>
          </w:p>
        </w:tc>
        <w:tc>
          <w:tcPr>
            <w:tcW w:w="1103" w:type="pct"/>
            <w:gridSpan w:val="2"/>
          </w:tcPr>
          <w:p w14:paraId="24D01B51"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1A6D070E" w14:textId="77777777" w:rsidTr="006174BB">
        <w:trPr>
          <w:jc w:val="center"/>
        </w:trPr>
        <w:tc>
          <w:tcPr>
            <w:tcW w:w="1768" w:type="pct"/>
            <w:gridSpan w:val="2"/>
          </w:tcPr>
          <w:p w14:paraId="53A39CB6"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 xml:space="preserve">Fenóis </w:t>
            </w:r>
          </w:p>
        </w:tc>
        <w:tc>
          <w:tcPr>
            <w:tcW w:w="1105" w:type="pct"/>
            <w:gridSpan w:val="2"/>
          </w:tcPr>
          <w:p w14:paraId="46BFC2F7"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45A75732"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0.5 </w:t>
            </w:r>
          </w:p>
        </w:tc>
        <w:tc>
          <w:tcPr>
            <w:tcW w:w="1103" w:type="pct"/>
            <w:gridSpan w:val="2"/>
          </w:tcPr>
          <w:p w14:paraId="3FC8EE5C"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0.5</w:t>
            </w:r>
          </w:p>
        </w:tc>
      </w:tr>
      <w:tr w:rsidR="000615DB" w:rsidRPr="00292532" w14:paraId="686209C4" w14:textId="77777777" w:rsidTr="006174BB">
        <w:trPr>
          <w:jc w:val="center"/>
        </w:trPr>
        <w:tc>
          <w:tcPr>
            <w:tcW w:w="1768" w:type="pct"/>
            <w:gridSpan w:val="2"/>
          </w:tcPr>
          <w:p w14:paraId="63B47070"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Cádmio</w:t>
            </w:r>
          </w:p>
        </w:tc>
        <w:tc>
          <w:tcPr>
            <w:tcW w:w="1105" w:type="pct"/>
            <w:gridSpan w:val="2"/>
          </w:tcPr>
          <w:p w14:paraId="1C4A560D"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6AD3F0A2"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0.05</w:t>
            </w:r>
          </w:p>
        </w:tc>
        <w:tc>
          <w:tcPr>
            <w:tcW w:w="1103" w:type="pct"/>
            <w:gridSpan w:val="2"/>
          </w:tcPr>
          <w:p w14:paraId="5FC374BB"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7167C3D2" w14:textId="77777777" w:rsidTr="006174BB">
        <w:trPr>
          <w:jc w:val="center"/>
        </w:trPr>
        <w:tc>
          <w:tcPr>
            <w:tcW w:w="1768" w:type="pct"/>
            <w:gridSpan w:val="2"/>
          </w:tcPr>
          <w:p w14:paraId="141D8A42"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Cobre</w:t>
            </w:r>
          </w:p>
        </w:tc>
        <w:tc>
          <w:tcPr>
            <w:tcW w:w="1105" w:type="pct"/>
            <w:gridSpan w:val="2"/>
          </w:tcPr>
          <w:p w14:paraId="4C4DC896"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5F150EB0"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w:t>
            </w:r>
          </w:p>
        </w:tc>
        <w:tc>
          <w:tcPr>
            <w:tcW w:w="1103" w:type="pct"/>
            <w:gridSpan w:val="2"/>
          </w:tcPr>
          <w:p w14:paraId="45E15ADE"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4153E9BE" w14:textId="77777777" w:rsidTr="006174BB">
        <w:trPr>
          <w:jc w:val="center"/>
        </w:trPr>
        <w:tc>
          <w:tcPr>
            <w:tcW w:w="1768" w:type="pct"/>
            <w:gridSpan w:val="2"/>
          </w:tcPr>
          <w:p w14:paraId="34D052F0"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Crómio (hexavalente)</w:t>
            </w:r>
          </w:p>
        </w:tc>
        <w:tc>
          <w:tcPr>
            <w:tcW w:w="1105" w:type="pct"/>
            <w:gridSpan w:val="2"/>
          </w:tcPr>
          <w:p w14:paraId="370AA092"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2DBEE3A5"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Pr>
          <w:p w14:paraId="0F300C48"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47CD98DE" w14:textId="77777777" w:rsidTr="006174BB">
        <w:trPr>
          <w:jc w:val="center"/>
        </w:trPr>
        <w:tc>
          <w:tcPr>
            <w:tcW w:w="1768" w:type="pct"/>
            <w:gridSpan w:val="2"/>
          </w:tcPr>
          <w:p w14:paraId="4B3AF1B8"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Crómio (VI)</w:t>
            </w:r>
          </w:p>
        </w:tc>
        <w:tc>
          <w:tcPr>
            <w:tcW w:w="1105" w:type="pct"/>
            <w:gridSpan w:val="2"/>
          </w:tcPr>
          <w:p w14:paraId="2F57F590"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5C74675C"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Pr>
          <w:p w14:paraId="78AE0A49"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388CEC1F" w14:textId="77777777" w:rsidTr="006174BB">
        <w:trPr>
          <w:jc w:val="center"/>
        </w:trPr>
        <w:tc>
          <w:tcPr>
            <w:tcW w:w="1768" w:type="pct"/>
            <w:gridSpan w:val="2"/>
          </w:tcPr>
          <w:p w14:paraId="356E4A5A"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Crómio total</w:t>
            </w:r>
          </w:p>
        </w:tc>
        <w:tc>
          <w:tcPr>
            <w:tcW w:w="1105" w:type="pct"/>
            <w:gridSpan w:val="2"/>
          </w:tcPr>
          <w:p w14:paraId="63272008"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6F04BBBA"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Pr>
          <w:p w14:paraId="23A2D332"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122CE883" w14:textId="77777777" w:rsidTr="006174BB">
        <w:trPr>
          <w:jc w:val="center"/>
        </w:trPr>
        <w:tc>
          <w:tcPr>
            <w:tcW w:w="1768" w:type="pct"/>
            <w:gridSpan w:val="2"/>
          </w:tcPr>
          <w:p w14:paraId="114B3BA1"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Cobalto </w:t>
            </w:r>
          </w:p>
        </w:tc>
        <w:tc>
          <w:tcPr>
            <w:tcW w:w="1105" w:type="pct"/>
            <w:gridSpan w:val="2"/>
          </w:tcPr>
          <w:p w14:paraId="0E3B4537"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12DB0B87"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Pr>
          <w:p w14:paraId="7855E486"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7AD3E66F" w14:textId="77777777" w:rsidTr="006174BB">
        <w:trPr>
          <w:jc w:val="center"/>
        </w:trPr>
        <w:tc>
          <w:tcPr>
            <w:tcW w:w="1768" w:type="pct"/>
            <w:gridSpan w:val="2"/>
          </w:tcPr>
          <w:p w14:paraId="5FE09891"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Cianeto </w:t>
            </w:r>
          </w:p>
        </w:tc>
        <w:tc>
          <w:tcPr>
            <w:tcW w:w="1105" w:type="pct"/>
            <w:gridSpan w:val="2"/>
          </w:tcPr>
          <w:p w14:paraId="4649EE9B"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1D539AC9"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Pr>
          <w:p w14:paraId="2B65C8C5"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0.2</w:t>
            </w:r>
          </w:p>
        </w:tc>
      </w:tr>
      <w:tr w:rsidR="000615DB" w:rsidRPr="00292532" w14:paraId="509CD1DB" w14:textId="77777777" w:rsidTr="006174BB">
        <w:trPr>
          <w:jc w:val="center"/>
        </w:trPr>
        <w:tc>
          <w:tcPr>
            <w:tcW w:w="1768" w:type="pct"/>
            <w:gridSpan w:val="2"/>
          </w:tcPr>
          <w:p w14:paraId="2E3C2B5C"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Cianeto livre </w:t>
            </w:r>
          </w:p>
        </w:tc>
        <w:tc>
          <w:tcPr>
            <w:tcW w:w="1105" w:type="pct"/>
            <w:gridSpan w:val="2"/>
          </w:tcPr>
          <w:p w14:paraId="555825CA"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31AE8728"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Pr>
          <w:p w14:paraId="0F83DC08"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0EDADD64" w14:textId="77777777" w:rsidTr="006174BB">
        <w:trPr>
          <w:jc w:val="center"/>
        </w:trPr>
        <w:tc>
          <w:tcPr>
            <w:tcW w:w="1768" w:type="pct"/>
            <w:gridSpan w:val="2"/>
          </w:tcPr>
          <w:p w14:paraId="2B2BAC2E"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Cianeto WAD </w:t>
            </w:r>
          </w:p>
        </w:tc>
        <w:tc>
          <w:tcPr>
            <w:tcW w:w="1105" w:type="pct"/>
            <w:gridSpan w:val="2"/>
          </w:tcPr>
          <w:p w14:paraId="45793096"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5549B618"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Pr>
          <w:p w14:paraId="07DB9B20"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1CB795E2" w14:textId="77777777" w:rsidTr="006174BB">
        <w:trPr>
          <w:jc w:val="center"/>
        </w:trPr>
        <w:tc>
          <w:tcPr>
            <w:tcW w:w="1768" w:type="pct"/>
            <w:gridSpan w:val="2"/>
          </w:tcPr>
          <w:p w14:paraId="7D6BF2BB"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Ferro (total)</w:t>
            </w:r>
          </w:p>
        </w:tc>
        <w:tc>
          <w:tcPr>
            <w:tcW w:w="1105" w:type="pct"/>
            <w:gridSpan w:val="2"/>
          </w:tcPr>
          <w:p w14:paraId="314BF2FC"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49B57B8C"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Pr>
          <w:p w14:paraId="52518712"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236F1BAE" w14:textId="77777777" w:rsidTr="006174BB">
        <w:trPr>
          <w:jc w:val="center"/>
        </w:trPr>
        <w:tc>
          <w:tcPr>
            <w:tcW w:w="1768" w:type="pct"/>
            <w:gridSpan w:val="2"/>
          </w:tcPr>
          <w:p w14:paraId="49FDB87F"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Chumbo</w:t>
            </w:r>
          </w:p>
        </w:tc>
        <w:tc>
          <w:tcPr>
            <w:tcW w:w="1105" w:type="pct"/>
            <w:gridSpan w:val="2"/>
          </w:tcPr>
          <w:p w14:paraId="259BBF39"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6303B470"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Pr>
          <w:p w14:paraId="202E1883"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11368081" w14:textId="77777777" w:rsidTr="006174BB">
        <w:trPr>
          <w:jc w:val="center"/>
        </w:trPr>
        <w:tc>
          <w:tcPr>
            <w:tcW w:w="1768" w:type="pct"/>
            <w:gridSpan w:val="2"/>
          </w:tcPr>
          <w:p w14:paraId="78859DA0"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Manganésio</w:t>
            </w:r>
          </w:p>
        </w:tc>
        <w:tc>
          <w:tcPr>
            <w:tcW w:w="1105" w:type="pct"/>
            <w:gridSpan w:val="2"/>
          </w:tcPr>
          <w:p w14:paraId="38FD04E7"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5DB1DC78"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Pr>
          <w:p w14:paraId="0B63DD89"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p>
        </w:tc>
      </w:tr>
      <w:tr w:rsidR="000615DB" w:rsidRPr="00292532" w14:paraId="0214DFC6" w14:textId="77777777" w:rsidTr="006174BB">
        <w:trPr>
          <w:jc w:val="center"/>
        </w:trPr>
        <w:tc>
          <w:tcPr>
            <w:tcW w:w="1768" w:type="pct"/>
            <w:gridSpan w:val="2"/>
          </w:tcPr>
          <w:p w14:paraId="72EC7D06"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Mercúrio</w:t>
            </w:r>
          </w:p>
        </w:tc>
        <w:tc>
          <w:tcPr>
            <w:tcW w:w="1105" w:type="pct"/>
            <w:gridSpan w:val="2"/>
          </w:tcPr>
          <w:p w14:paraId="758536CD"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12945EC5"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Pr>
          <w:p w14:paraId="61046EA0"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3.5</w:t>
            </w:r>
          </w:p>
        </w:tc>
      </w:tr>
      <w:tr w:rsidR="000615DB" w:rsidRPr="00292532" w14:paraId="04C3C6C6" w14:textId="77777777" w:rsidTr="006174BB">
        <w:trPr>
          <w:jc w:val="center"/>
        </w:trPr>
        <w:tc>
          <w:tcPr>
            <w:tcW w:w="1768" w:type="pct"/>
            <w:gridSpan w:val="2"/>
          </w:tcPr>
          <w:p w14:paraId="75D954C4"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Níquel</w:t>
            </w:r>
          </w:p>
        </w:tc>
        <w:tc>
          <w:tcPr>
            <w:tcW w:w="1105" w:type="pct"/>
            <w:gridSpan w:val="2"/>
          </w:tcPr>
          <w:p w14:paraId="2D95D8FF"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68B26781"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Pr>
          <w:p w14:paraId="1F39BAE6"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4CC1CF3F" w14:textId="77777777" w:rsidTr="006174BB">
        <w:trPr>
          <w:jc w:val="center"/>
        </w:trPr>
        <w:tc>
          <w:tcPr>
            <w:tcW w:w="1768" w:type="pct"/>
            <w:gridSpan w:val="2"/>
          </w:tcPr>
          <w:p w14:paraId="65AD5CC4"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Selénio</w:t>
            </w:r>
          </w:p>
        </w:tc>
        <w:tc>
          <w:tcPr>
            <w:tcW w:w="1105" w:type="pct"/>
            <w:gridSpan w:val="2"/>
          </w:tcPr>
          <w:p w14:paraId="46CCA5F1"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3406E71E"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Pr>
          <w:p w14:paraId="07DD3834"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7A2D9DEA" w14:textId="77777777" w:rsidTr="006174BB">
        <w:trPr>
          <w:jc w:val="center"/>
        </w:trPr>
        <w:tc>
          <w:tcPr>
            <w:tcW w:w="1768" w:type="pct"/>
            <w:gridSpan w:val="2"/>
          </w:tcPr>
          <w:p w14:paraId="4238921B"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Vanádio</w:t>
            </w:r>
          </w:p>
        </w:tc>
        <w:tc>
          <w:tcPr>
            <w:tcW w:w="1105" w:type="pct"/>
            <w:gridSpan w:val="2"/>
          </w:tcPr>
          <w:p w14:paraId="0F49F712"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2398182D"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Pr>
          <w:p w14:paraId="1CE43763"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r w:rsidR="000615DB" w:rsidRPr="00292532" w14:paraId="4AFA0A37" w14:textId="77777777" w:rsidTr="006174BB">
        <w:trPr>
          <w:jc w:val="center"/>
        </w:trPr>
        <w:tc>
          <w:tcPr>
            <w:tcW w:w="1768" w:type="pct"/>
            <w:gridSpan w:val="2"/>
          </w:tcPr>
          <w:p w14:paraId="431008C1" w14:textId="77777777" w:rsidR="000615DB" w:rsidRPr="00292532" w:rsidRDefault="000615DB" w:rsidP="006174BB">
            <w:pPr>
              <w:overflowPunct w:val="0"/>
              <w:autoSpaceDE w:val="0"/>
              <w:autoSpaceDN w:val="0"/>
              <w:adjustRightInd w:val="0"/>
              <w:spacing w:before="0" w:after="0" w:line="264" w:lineRule="auto"/>
              <w:jc w:val="left"/>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Zinco</w:t>
            </w:r>
          </w:p>
        </w:tc>
        <w:tc>
          <w:tcPr>
            <w:tcW w:w="1105" w:type="pct"/>
            <w:gridSpan w:val="2"/>
          </w:tcPr>
          <w:p w14:paraId="592C9992"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mg/l </w:t>
            </w:r>
          </w:p>
        </w:tc>
        <w:tc>
          <w:tcPr>
            <w:tcW w:w="1024" w:type="pct"/>
            <w:gridSpan w:val="2"/>
          </w:tcPr>
          <w:p w14:paraId="1F0C5E7E"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c>
          <w:tcPr>
            <w:tcW w:w="1103" w:type="pct"/>
            <w:gridSpan w:val="2"/>
          </w:tcPr>
          <w:p w14:paraId="3891C331" w14:textId="77777777" w:rsidR="000615DB" w:rsidRPr="00292532" w:rsidRDefault="000615DB" w:rsidP="006174BB">
            <w:pPr>
              <w:overflowPunct w:val="0"/>
              <w:autoSpaceDE w:val="0"/>
              <w:autoSpaceDN w:val="0"/>
              <w:adjustRightInd w:val="0"/>
              <w:spacing w:before="0" w:after="0" w:line="264" w:lineRule="auto"/>
              <w:textAlignment w:val="baseline"/>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w:t>
            </w:r>
          </w:p>
        </w:tc>
      </w:tr>
    </w:tbl>
    <w:p w14:paraId="7566AA88" w14:textId="77777777" w:rsidR="000615DB" w:rsidRPr="00292532" w:rsidRDefault="000615DB" w:rsidP="000615DB">
      <w:pPr>
        <w:rPr>
          <w:lang w:val="pt-PT" w:eastAsia="ja-JP"/>
        </w:rPr>
      </w:pPr>
    </w:p>
    <w:p w14:paraId="7EA91957" w14:textId="77777777" w:rsidR="000615DB" w:rsidRPr="00292532" w:rsidRDefault="000615DB" w:rsidP="000615DB">
      <w:pPr>
        <w:pStyle w:val="Heading2"/>
        <w:numPr>
          <w:ilvl w:val="0"/>
          <w:numId w:val="0"/>
        </w:numPr>
      </w:pPr>
    </w:p>
    <w:p w14:paraId="383E1B36" w14:textId="77777777" w:rsidR="000615DB" w:rsidRPr="00292532" w:rsidRDefault="000615DB" w:rsidP="000615DB">
      <w:pPr>
        <w:rPr>
          <w:lang w:val="pt-PT"/>
        </w:rPr>
      </w:pPr>
    </w:p>
    <w:p w14:paraId="41A6C327" w14:textId="77777777" w:rsidR="000615DB" w:rsidRPr="00292532" w:rsidRDefault="000615DB" w:rsidP="000615DB">
      <w:pPr>
        <w:rPr>
          <w:lang w:val="pt-PT"/>
        </w:rPr>
      </w:pPr>
    </w:p>
    <w:p w14:paraId="35999585" w14:textId="77777777" w:rsidR="000615DB" w:rsidRPr="00292532" w:rsidRDefault="000615DB" w:rsidP="000615DB">
      <w:pPr>
        <w:rPr>
          <w:lang w:val="pt-PT"/>
        </w:rPr>
      </w:pPr>
    </w:p>
    <w:p w14:paraId="6009EDCD" w14:textId="77777777" w:rsidR="000615DB" w:rsidRPr="00292532" w:rsidRDefault="000615DB" w:rsidP="000615DB">
      <w:pPr>
        <w:suppressAutoHyphens/>
        <w:spacing w:before="0" w:after="120" w:line="276" w:lineRule="auto"/>
        <w:jc w:val="center"/>
        <w:rPr>
          <w:rFonts w:ascii="Verdana" w:eastAsia="Times New Roman" w:hAnsi="Verdana" w:cs="Times New Roman"/>
          <w:b/>
          <w:sz w:val="18"/>
          <w:szCs w:val="18"/>
          <w:lang w:val="pt-PT" w:eastAsia="it-IT"/>
        </w:rPr>
        <w:sectPr w:rsidR="000615DB" w:rsidRPr="00292532" w:rsidSect="00C01674">
          <w:pgSz w:w="11906" w:h="16838"/>
          <w:pgMar w:top="1417" w:right="1701" w:bottom="1417" w:left="1701" w:header="708" w:footer="708"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p>
    <w:p w14:paraId="77F4AD2F" w14:textId="77777777" w:rsidR="000615DB" w:rsidRPr="00292532" w:rsidRDefault="000615DB" w:rsidP="000615DB">
      <w:pPr>
        <w:spacing w:after="120"/>
        <w:jc w:val="center"/>
        <w:rPr>
          <w:rFonts w:eastAsiaTheme="minorEastAsia"/>
          <w:b/>
          <w:iCs/>
          <w:sz w:val="18"/>
          <w:szCs w:val="18"/>
          <w:lang w:val="pt-PT" w:eastAsia="ja-JP"/>
        </w:rPr>
      </w:pPr>
      <w:r w:rsidRPr="00292532">
        <w:rPr>
          <w:rFonts w:eastAsiaTheme="minorEastAsia"/>
          <w:b/>
          <w:iCs/>
          <w:sz w:val="18"/>
          <w:szCs w:val="18"/>
          <w:lang w:val="pt-PT" w:eastAsia="ja-JP"/>
        </w:rPr>
        <w:lastRenderedPageBreak/>
        <w:t>Tabela 9: Medidas de Mitigação Ambientais e Sociais na fase de pré-construção</w:t>
      </w:r>
    </w:p>
    <w:tbl>
      <w:tblPr>
        <w:tblStyle w:val="ListTable4-Accent11"/>
        <w:tblW w:w="13876" w:type="dxa"/>
        <w:tblLook w:val="04A0" w:firstRow="1" w:lastRow="0" w:firstColumn="1" w:lastColumn="0" w:noHBand="0" w:noVBand="1"/>
      </w:tblPr>
      <w:tblGrid>
        <w:gridCol w:w="1924"/>
        <w:gridCol w:w="4383"/>
        <w:gridCol w:w="2377"/>
        <w:gridCol w:w="1968"/>
        <w:gridCol w:w="2048"/>
        <w:gridCol w:w="1162"/>
        <w:gridCol w:w="14"/>
      </w:tblGrid>
      <w:tr w:rsidR="000615DB" w:rsidRPr="00292532" w14:paraId="6235A78F" w14:textId="77777777" w:rsidTr="004500AE">
        <w:trPr>
          <w:gridAfter w:val="1"/>
          <w:cnfStyle w:val="100000000000" w:firstRow="1" w:lastRow="0" w:firstColumn="0" w:lastColumn="0" w:oddVBand="0" w:evenVBand="0" w:oddHBand="0" w:evenHBand="0" w:firstRowFirstColumn="0" w:firstRowLastColumn="0" w:lastRowFirstColumn="0" w:lastRowLastColumn="0"/>
          <w:wAfter w:w="14" w:type="dxa"/>
          <w:trHeight w:val="260"/>
          <w:tblHeader/>
        </w:trPr>
        <w:tc>
          <w:tcPr>
            <w:cnfStyle w:val="001000000000" w:firstRow="0" w:lastRow="0" w:firstColumn="1" w:lastColumn="0" w:oddVBand="0" w:evenVBand="0" w:oddHBand="0" w:evenHBand="0" w:firstRowFirstColumn="0" w:firstRowLastColumn="0" w:lastRowFirstColumn="0" w:lastRowLastColumn="0"/>
            <w:tcW w:w="1972" w:type="dxa"/>
            <w:vMerge w:val="restart"/>
            <w:hideMark/>
          </w:tcPr>
          <w:p w14:paraId="00A4CA81" w14:textId="77777777" w:rsidR="000615DB" w:rsidRPr="00292532" w:rsidRDefault="000615DB" w:rsidP="006174BB">
            <w:pPr>
              <w:spacing w:before="0"/>
              <w:jc w:val="center"/>
              <w:rPr>
                <w:rFonts w:asciiTheme="minorHAnsi" w:eastAsia="Times New Roman" w:hAnsiTheme="minorHAnsi" w:cstheme="minorHAnsi"/>
                <w:sz w:val="20"/>
                <w:szCs w:val="20"/>
                <w:lang w:val="pt-PT"/>
              </w:rPr>
            </w:pPr>
            <w:r w:rsidRPr="00292532">
              <w:rPr>
                <w:rFonts w:asciiTheme="minorHAnsi" w:eastAsia="Times New Roman" w:hAnsiTheme="minorHAnsi" w:cstheme="minorHAnsi"/>
                <w:sz w:val="20"/>
                <w:szCs w:val="20"/>
                <w:lang w:val="pt-PT"/>
              </w:rPr>
              <w:t>Riscos e Impactos Potenciais</w:t>
            </w:r>
          </w:p>
        </w:tc>
        <w:tc>
          <w:tcPr>
            <w:tcW w:w="4747" w:type="dxa"/>
            <w:vMerge w:val="restart"/>
            <w:hideMark/>
          </w:tcPr>
          <w:p w14:paraId="4CF97607" w14:textId="77777777" w:rsidR="000615DB" w:rsidRPr="00292532" w:rsidRDefault="000615DB" w:rsidP="006174BB">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r w:rsidRPr="00292532">
              <w:rPr>
                <w:rFonts w:asciiTheme="minorHAnsi" w:eastAsia="Times New Roman" w:hAnsiTheme="minorHAnsi" w:cstheme="minorHAnsi"/>
                <w:sz w:val="20"/>
                <w:szCs w:val="20"/>
                <w:lang w:val="pt-PT"/>
              </w:rPr>
              <w:t xml:space="preserve">Mitigação </w:t>
            </w:r>
          </w:p>
        </w:tc>
        <w:tc>
          <w:tcPr>
            <w:tcW w:w="0" w:type="dxa"/>
            <w:vMerge w:val="restart"/>
            <w:hideMark/>
          </w:tcPr>
          <w:p w14:paraId="1931C91B" w14:textId="77777777" w:rsidR="000615DB" w:rsidRPr="00292532" w:rsidRDefault="000615DB" w:rsidP="006174BB">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proofErr w:type="spellStart"/>
            <w:r w:rsidRPr="00292532">
              <w:rPr>
                <w:rFonts w:asciiTheme="minorHAnsi" w:eastAsia="Times New Roman" w:hAnsiTheme="minorHAnsi" w:cstheme="minorHAnsi"/>
                <w:sz w:val="20"/>
                <w:szCs w:val="20"/>
                <w:lang w:val="pt-PT"/>
              </w:rPr>
              <w:t>Actividade</w:t>
            </w:r>
            <w:proofErr w:type="spellEnd"/>
            <w:r w:rsidRPr="00292532">
              <w:rPr>
                <w:rFonts w:asciiTheme="minorHAnsi" w:eastAsia="Times New Roman" w:hAnsiTheme="minorHAnsi" w:cstheme="minorHAnsi"/>
                <w:sz w:val="20"/>
                <w:szCs w:val="20"/>
                <w:lang w:val="pt-PT"/>
              </w:rPr>
              <w:t>/Fase/Processo</w:t>
            </w:r>
          </w:p>
        </w:tc>
        <w:tc>
          <w:tcPr>
            <w:tcW w:w="2021" w:type="dxa"/>
            <w:vMerge w:val="restart"/>
            <w:hideMark/>
          </w:tcPr>
          <w:p w14:paraId="25FCD898" w14:textId="77777777" w:rsidR="000615DB" w:rsidRPr="00292532" w:rsidRDefault="000615DB" w:rsidP="006174BB">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r w:rsidRPr="00292532">
              <w:rPr>
                <w:rFonts w:asciiTheme="minorHAnsi" w:eastAsia="Times New Roman" w:hAnsiTheme="minorHAnsi" w:cstheme="minorHAnsi"/>
                <w:sz w:val="20"/>
                <w:szCs w:val="20"/>
                <w:lang w:val="pt-PT"/>
              </w:rPr>
              <w:t xml:space="preserve">Instrumentos de gestão </w:t>
            </w:r>
          </w:p>
        </w:tc>
        <w:tc>
          <w:tcPr>
            <w:tcW w:w="2745" w:type="dxa"/>
            <w:gridSpan w:val="2"/>
            <w:hideMark/>
          </w:tcPr>
          <w:p w14:paraId="700DF324" w14:textId="77777777" w:rsidR="000615DB" w:rsidRPr="00292532" w:rsidRDefault="000615DB" w:rsidP="006174BB">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r w:rsidRPr="00292532">
              <w:rPr>
                <w:rFonts w:asciiTheme="minorHAnsi" w:eastAsia="Times New Roman" w:hAnsiTheme="minorHAnsi" w:cstheme="minorHAnsi"/>
                <w:sz w:val="20"/>
                <w:szCs w:val="20"/>
                <w:lang w:val="pt-PT"/>
              </w:rPr>
              <w:t>Responsabilidades</w:t>
            </w:r>
          </w:p>
        </w:tc>
      </w:tr>
      <w:tr w:rsidR="000615DB" w:rsidRPr="00292532" w14:paraId="2BA5F928" w14:textId="77777777" w:rsidTr="004500AE">
        <w:trPr>
          <w:cnfStyle w:val="100000000000" w:firstRow="1" w:lastRow="0" w:firstColumn="0" w:lastColumn="0" w:oddVBand="0" w:evenVBand="0" w:oddHBand="0" w:evenHBand="0" w:firstRowFirstColumn="0" w:firstRowLastColumn="0" w:lastRowFirstColumn="0" w:lastRowLastColumn="0"/>
          <w:trHeight w:val="260"/>
          <w:tblHeader/>
        </w:trPr>
        <w:tc>
          <w:tcPr>
            <w:cnfStyle w:val="001000000000" w:firstRow="0" w:lastRow="0" w:firstColumn="1" w:lastColumn="0" w:oddVBand="0" w:evenVBand="0" w:oddHBand="0" w:evenHBand="0" w:firstRowFirstColumn="0" w:firstRowLastColumn="0" w:lastRowFirstColumn="0" w:lastRowLastColumn="0"/>
            <w:tcW w:w="1972" w:type="dxa"/>
            <w:vMerge/>
            <w:hideMark/>
          </w:tcPr>
          <w:p w14:paraId="3F69FFFA" w14:textId="77777777" w:rsidR="000615DB" w:rsidRPr="00292532" w:rsidRDefault="000615DB" w:rsidP="006174BB">
            <w:pPr>
              <w:spacing w:before="0"/>
              <w:jc w:val="left"/>
              <w:rPr>
                <w:rFonts w:asciiTheme="minorHAnsi" w:eastAsia="Times New Roman" w:hAnsiTheme="minorHAnsi" w:cstheme="minorHAnsi"/>
                <w:sz w:val="20"/>
                <w:szCs w:val="20"/>
                <w:lang w:val="pt-PT"/>
              </w:rPr>
            </w:pPr>
          </w:p>
        </w:tc>
        <w:tc>
          <w:tcPr>
            <w:tcW w:w="4747" w:type="dxa"/>
            <w:vMerge/>
            <w:hideMark/>
          </w:tcPr>
          <w:p w14:paraId="608DEA4B" w14:textId="77777777" w:rsidR="000615DB" w:rsidRPr="00292532" w:rsidRDefault="000615DB" w:rsidP="006174BB">
            <w:pPr>
              <w:spacing w:befor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p>
        </w:tc>
        <w:tc>
          <w:tcPr>
            <w:tcW w:w="0" w:type="dxa"/>
            <w:vMerge/>
            <w:hideMark/>
          </w:tcPr>
          <w:p w14:paraId="3F621C3C" w14:textId="77777777" w:rsidR="000615DB" w:rsidRPr="00292532" w:rsidRDefault="000615DB" w:rsidP="006174BB">
            <w:pPr>
              <w:spacing w:befor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p>
        </w:tc>
        <w:tc>
          <w:tcPr>
            <w:tcW w:w="2021" w:type="dxa"/>
            <w:vMerge/>
            <w:hideMark/>
          </w:tcPr>
          <w:p w14:paraId="31E1ED3C" w14:textId="77777777" w:rsidR="000615DB" w:rsidRPr="00292532" w:rsidRDefault="000615DB" w:rsidP="006174BB">
            <w:pPr>
              <w:spacing w:befor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p>
        </w:tc>
        <w:tc>
          <w:tcPr>
            <w:tcW w:w="1568" w:type="dxa"/>
            <w:hideMark/>
          </w:tcPr>
          <w:p w14:paraId="4356DC8E" w14:textId="77777777" w:rsidR="000615DB" w:rsidRPr="00292532" w:rsidRDefault="000615DB" w:rsidP="006174BB">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r w:rsidRPr="00292532">
              <w:rPr>
                <w:rFonts w:asciiTheme="minorHAnsi" w:eastAsia="Times New Roman" w:hAnsiTheme="minorHAnsi" w:cstheme="minorHAnsi"/>
                <w:sz w:val="20"/>
                <w:szCs w:val="20"/>
                <w:lang w:val="pt-PT"/>
              </w:rPr>
              <w:t>Implementação</w:t>
            </w:r>
          </w:p>
        </w:tc>
        <w:tc>
          <w:tcPr>
            <w:tcW w:w="1191" w:type="dxa"/>
            <w:gridSpan w:val="2"/>
            <w:hideMark/>
          </w:tcPr>
          <w:p w14:paraId="7658118B" w14:textId="77777777" w:rsidR="000615DB" w:rsidRPr="00292532" w:rsidRDefault="000615DB" w:rsidP="006174BB">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r w:rsidRPr="00292532">
              <w:rPr>
                <w:rFonts w:asciiTheme="minorHAnsi" w:eastAsia="Times New Roman" w:hAnsiTheme="minorHAnsi" w:cstheme="minorHAnsi"/>
                <w:sz w:val="20"/>
                <w:szCs w:val="20"/>
                <w:lang w:val="pt-PT"/>
              </w:rPr>
              <w:t>Monitoria</w:t>
            </w:r>
          </w:p>
        </w:tc>
      </w:tr>
      <w:tr w:rsidR="000615DB" w:rsidRPr="00292532" w14:paraId="55E310F7" w14:textId="77777777" w:rsidTr="004500AE">
        <w:trPr>
          <w:cnfStyle w:val="000000100000" w:firstRow="0" w:lastRow="0" w:firstColumn="0" w:lastColumn="0" w:oddVBand="0" w:evenVBand="0" w:oddHBand="1"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1972" w:type="dxa"/>
            <w:hideMark/>
          </w:tcPr>
          <w:p w14:paraId="19545085"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Emissões atmosféricas (poeiras, gases de combustão)</w:t>
            </w:r>
          </w:p>
        </w:tc>
        <w:tc>
          <w:tcPr>
            <w:tcW w:w="4747" w:type="dxa"/>
            <w:hideMark/>
          </w:tcPr>
          <w:p w14:paraId="52A1C1C0"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Os camiões de transporte de materiais inertes deverão ser providos de uma cobertura, quando em trânsito, especialmente quando estes estiverem a circular em zonas com povoações e trechos críticos</w:t>
            </w:r>
            <w:r w:rsidRPr="00292532">
              <w:rPr>
                <w:rFonts w:asciiTheme="minorHAnsi" w:eastAsia="Times New Roman" w:hAnsiTheme="minorHAnsi" w:cstheme="minorHAnsi"/>
                <w:color w:val="000000"/>
                <w:sz w:val="20"/>
                <w:szCs w:val="20"/>
                <w:lang w:val="pt-PT"/>
              </w:rPr>
              <w:br/>
              <w:t>• Uso de água para eliminação de poeiras, controlo de materiais soltos nos depósitos e faixa de trabalho.</w:t>
            </w:r>
            <w:r w:rsidRPr="00292532">
              <w:rPr>
                <w:rFonts w:asciiTheme="minorHAnsi" w:eastAsia="Times New Roman" w:hAnsiTheme="minorHAnsi" w:cstheme="minorHAnsi"/>
                <w:color w:val="000000"/>
                <w:sz w:val="20"/>
                <w:szCs w:val="20"/>
                <w:lang w:val="pt-PT"/>
              </w:rPr>
              <w:br/>
              <w:t xml:space="preserve">• Implementar medidas de gestão de tráfego. </w:t>
            </w:r>
            <w:r w:rsidRPr="00292532">
              <w:rPr>
                <w:rFonts w:asciiTheme="minorHAnsi" w:eastAsia="Times New Roman" w:hAnsiTheme="minorHAnsi" w:cstheme="minorHAnsi"/>
                <w:color w:val="000000"/>
                <w:sz w:val="20"/>
                <w:szCs w:val="20"/>
                <w:lang w:val="pt-PT"/>
              </w:rPr>
              <w:br/>
              <w:t>• Implementação de limites de velocidade</w:t>
            </w:r>
            <w:r w:rsidRPr="00292532">
              <w:rPr>
                <w:rFonts w:asciiTheme="minorHAnsi" w:eastAsia="Times New Roman" w:hAnsiTheme="minorHAnsi" w:cstheme="minorHAnsi"/>
                <w:color w:val="000000"/>
                <w:sz w:val="20"/>
                <w:szCs w:val="20"/>
                <w:lang w:val="pt-PT"/>
              </w:rPr>
              <w:br/>
              <w:t>• Deve ser mantido um registo dos condutores com formação.</w:t>
            </w:r>
            <w:r w:rsidRPr="00292532">
              <w:rPr>
                <w:rFonts w:asciiTheme="minorHAnsi" w:eastAsia="Times New Roman" w:hAnsiTheme="minorHAnsi" w:cstheme="minorHAnsi"/>
                <w:color w:val="000000"/>
                <w:sz w:val="20"/>
                <w:szCs w:val="20"/>
                <w:lang w:val="pt-PT"/>
              </w:rPr>
              <w:br/>
              <w:t xml:space="preserve">• Realização de campanhas de consciencialização sobre condução defensiva </w:t>
            </w:r>
            <w:r w:rsidRPr="00292532">
              <w:rPr>
                <w:rFonts w:asciiTheme="minorHAnsi" w:eastAsia="Times New Roman" w:hAnsiTheme="minorHAnsi" w:cstheme="minorHAnsi"/>
                <w:color w:val="000000"/>
                <w:sz w:val="20"/>
                <w:szCs w:val="20"/>
                <w:lang w:val="pt-PT"/>
              </w:rPr>
              <w:br/>
              <w:t>•Implementação de um mecanismo de queixas e reclamações a fim de identificar áreas de problemas específicos</w:t>
            </w:r>
          </w:p>
          <w:p w14:paraId="2292CEE0"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•Exploração de câmaras de empréstimo licenciadas.</w:t>
            </w:r>
          </w:p>
        </w:tc>
        <w:tc>
          <w:tcPr>
            <w:tcW w:w="0" w:type="dxa"/>
            <w:hideMark/>
          </w:tcPr>
          <w:p w14:paraId="75171EF8"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Mobilização de pessoal, equipamento; </w:t>
            </w:r>
          </w:p>
          <w:p w14:paraId="130C07C2"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transporte de materiais (pedra e areia); circulação de veículos e operação de maquinaria;</w:t>
            </w:r>
          </w:p>
        </w:tc>
        <w:tc>
          <w:tcPr>
            <w:tcW w:w="2021" w:type="dxa"/>
            <w:hideMark/>
          </w:tcPr>
          <w:p w14:paraId="4F925419"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PGA; </w:t>
            </w:r>
            <w:r w:rsidRPr="00292532">
              <w:rPr>
                <w:rFonts w:asciiTheme="minorHAnsi" w:eastAsia="Times New Roman" w:hAnsiTheme="minorHAnsi" w:cstheme="minorHAnsi"/>
                <w:color w:val="000000"/>
                <w:sz w:val="20"/>
                <w:szCs w:val="20"/>
                <w:lang w:val="pt-PT"/>
              </w:rPr>
              <w:br/>
              <w:t>Plano de Gestão e Prevenção da Poluição;</w:t>
            </w:r>
          </w:p>
        </w:tc>
        <w:tc>
          <w:tcPr>
            <w:tcW w:w="1568" w:type="dxa"/>
            <w:hideMark/>
          </w:tcPr>
          <w:p w14:paraId="3BB12CE2" w14:textId="77777777" w:rsidR="000615DB" w:rsidRPr="00292532" w:rsidRDefault="000615DB" w:rsidP="006174BB">
            <w:pPr>
              <w:spacing w:before="0"/>
              <w:ind w:right="735"/>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Empreiteiros;</w:t>
            </w:r>
          </w:p>
        </w:tc>
        <w:tc>
          <w:tcPr>
            <w:tcW w:w="1191" w:type="dxa"/>
            <w:gridSpan w:val="2"/>
            <w:hideMark/>
          </w:tcPr>
          <w:p w14:paraId="17139FDD"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w:t>
            </w:r>
          </w:p>
          <w:p w14:paraId="66E898E1"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t>;</w:t>
            </w:r>
            <w:r w:rsidRPr="00292532">
              <w:rPr>
                <w:rFonts w:asciiTheme="minorHAnsi" w:eastAsia="Times New Roman" w:hAnsiTheme="minorHAnsi" w:cstheme="minorHAnsi"/>
                <w:color w:val="000000"/>
                <w:sz w:val="20"/>
                <w:szCs w:val="20"/>
                <w:lang w:val="pt-PT"/>
              </w:rPr>
              <w:br/>
            </w:r>
          </w:p>
          <w:p w14:paraId="043DE767"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
        </w:tc>
      </w:tr>
      <w:tr w:rsidR="000615DB" w:rsidRPr="00292532" w14:paraId="6EEFCD6F" w14:textId="77777777" w:rsidTr="004500AE">
        <w:trPr>
          <w:trHeight w:val="2242"/>
        </w:trPr>
        <w:tc>
          <w:tcPr>
            <w:cnfStyle w:val="001000000000" w:firstRow="0" w:lastRow="0" w:firstColumn="1" w:lastColumn="0" w:oddVBand="0" w:evenVBand="0" w:oddHBand="0" w:evenHBand="0" w:firstRowFirstColumn="0" w:firstRowLastColumn="0" w:lastRowFirstColumn="0" w:lastRowLastColumn="0"/>
            <w:tcW w:w="1972" w:type="dxa"/>
            <w:hideMark/>
          </w:tcPr>
          <w:p w14:paraId="030EB691"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Emissão de ruídos e vibrações</w:t>
            </w:r>
          </w:p>
        </w:tc>
        <w:tc>
          <w:tcPr>
            <w:tcW w:w="4747" w:type="dxa"/>
            <w:hideMark/>
          </w:tcPr>
          <w:p w14:paraId="667E7C31"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 o desempenho de ruído deve ser considerado na </w:t>
            </w:r>
            <w:proofErr w:type="spellStart"/>
            <w:r w:rsidRPr="00292532">
              <w:rPr>
                <w:rFonts w:asciiTheme="minorHAnsi" w:eastAsia="Times New Roman" w:hAnsiTheme="minorHAnsi" w:cstheme="minorHAnsi"/>
                <w:color w:val="000000"/>
                <w:sz w:val="20"/>
                <w:szCs w:val="20"/>
                <w:lang w:val="pt-PT"/>
              </w:rPr>
              <w:t>selecção</w:t>
            </w:r>
            <w:proofErr w:type="spellEnd"/>
            <w:r w:rsidRPr="00292532">
              <w:rPr>
                <w:rFonts w:asciiTheme="minorHAnsi" w:eastAsia="Times New Roman" w:hAnsiTheme="minorHAnsi" w:cstheme="minorHAnsi"/>
                <w:color w:val="000000"/>
                <w:sz w:val="20"/>
                <w:szCs w:val="20"/>
                <w:lang w:val="pt-PT"/>
              </w:rPr>
              <w:t xml:space="preserve"> de equipamentos </w:t>
            </w:r>
            <w:r w:rsidRPr="00292532">
              <w:rPr>
                <w:rFonts w:asciiTheme="minorHAnsi" w:eastAsia="Times New Roman" w:hAnsiTheme="minorHAnsi" w:cstheme="minorHAnsi"/>
                <w:color w:val="000000"/>
                <w:sz w:val="20"/>
                <w:szCs w:val="20"/>
                <w:lang w:val="pt-PT"/>
              </w:rPr>
              <w:br/>
              <w:t xml:space="preserve">• Limitar a velocidade dos veículos; </w:t>
            </w:r>
            <w:r w:rsidRPr="00292532">
              <w:rPr>
                <w:rFonts w:asciiTheme="minorHAnsi" w:eastAsia="Times New Roman" w:hAnsiTheme="minorHAnsi" w:cstheme="minorHAnsi"/>
                <w:color w:val="000000"/>
                <w:sz w:val="20"/>
                <w:szCs w:val="20"/>
                <w:lang w:val="pt-PT"/>
              </w:rPr>
              <w:br/>
              <w:t>•Implementação de um mecanismo de queixas e reclamações a fim de identificar áreas de problemas específicos</w:t>
            </w:r>
          </w:p>
        </w:tc>
        <w:tc>
          <w:tcPr>
            <w:tcW w:w="0" w:type="dxa"/>
            <w:hideMark/>
          </w:tcPr>
          <w:p w14:paraId="1D6F4164"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Fase de pré-construção durante o processo de aquisições; durante a mobilização de equipamento e pessoal;</w:t>
            </w:r>
          </w:p>
        </w:tc>
        <w:tc>
          <w:tcPr>
            <w:tcW w:w="2021" w:type="dxa"/>
            <w:hideMark/>
          </w:tcPr>
          <w:p w14:paraId="502C5EC9"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PGA;</w:t>
            </w:r>
            <w:r w:rsidRPr="00292532">
              <w:rPr>
                <w:rFonts w:asciiTheme="minorHAnsi" w:eastAsia="Times New Roman" w:hAnsiTheme="minorHAnsi" w:cstheme="minorHAnsi"/>
                <w:color w:val="000000"/>
                <w:sz w:val="20"/>
                <w:szCs w:val="20"/>
                <w:lang w:val="pt-PT"/>
              </w:rPr>
              <w:br/>
              <w:t>• Plano de Saúde e Segurança do Trabalhador (PSST);</w:t>
            </w:r>
            <w:r w:rsidRPr="00292532">
              <w:rPr>
                <w:rFonts w:asciiTheme="minorHAnsi" w:eastAsia="Times New Roman" w:hAnsiTheme="minorHAnsi" w:cstheme="minorHAnsi"/>
                <w:color w:val="000000"/>
                <w:sz w:val="20"/>
                <w:szCs w:val="20"/>
                <w:lang w:val="pt-PT"/>
              </w:rPr>
              <w:br/>
              <w:t xml:space="preserve">• Plano de </w:t>
            </w:r>
            <w:proofErr w:type="gramStart"/>
            <w:r w:rsidRPr="00292532">
              <w:rPr>
                <w:rFonts w:asciiTheme="minorHAnsi" w:eastAsia="Times New Roman" w:hAnsiTheme="minorHAnsi" w:cstheme="minorHAnsi"/>
                <w:color w:val="000000"/>
                <w:sz w:val="20"/>
                <w:szCs w:val="20"/>
                <w:lang w:val="pt-PT"/>
              </w:rPr>
              <w:t>saúde e segurança Comunitária</w:t>
            </w:r>
            <w:proofErr w:type="gramEnd"/>
            <w:r w:rsidRPr="00292532">
              <w:rPr>
                <w:rFonts w:asciiTheme="minorHAnsi" w:eastAsia="Times New Roman" w:hAnsiTheme="minorHAnsi" w:cstheme="minorHAnsi"/>
                <w:color w:val="000000"/>
                <w:sz w:val="20"/>
                <w:szCs w:val="20"/>
                <w:lang w:val="pt-PT"/>
              </w:rPr>
              <w:t xml:space="preserve"> (PSST);</w:t>
            </w:r>
            <w:r w:rsidRPr="00292532">
              <w:rPr>
                <w:rFonts w:asciiTheme="minorHAnsi" w:eastAsia="Times New Roman" w:hAnsiTheme="minorHAnsi" w:cstheme="minorHAnsi"/>
                <w:color w:val="000000"/>
                <w:sz w:val="20"/>
                <w:szCs w:val="20"/>
                <w:lang w:val="pt-PT"/>
              </w:rPr>
              <w:br/>
            </w:r>
            <w:proofErr w:type="spellStart"/>
            <w:r w:rsidRPr="00292532">
              <w:rPr>
                <w:rFonts w:asciiTheme="minorHAnsi" w:eastAsia="Times New Roman" w:hAnsiTheme="minorHAnsi" w:cstheme="minorHAnsi"/>
                <w:color w:val="000000"/>
                <w:sz w:val="20"/>
                <w:szCs w:val="20"/>
                <w:lang w:val="pt-PT"/>
              </w:rPr>
              <w:t>Directrizes</w:t>
            </w:r>
            <w:proofErr w:type="spellEnd"/>
            <w:r w:rsidRPr="00292532">
              <w:rPr>
                <w:rFonts w:asciiTheme="minorHAnsi" w:eastAsia="Times New Roman" w:hAnsiTheme="minorHAnsi" w:cstheme="minorHAnsi"/>
                <w:color w:val="000000"/>
                <w:sz w:val="20"/>
                <w:szCs w:val="20"/>
                <w:lang w:val="pt-PT"/>
              </w:rPr>
              <w:t xml:space="preserve"> de Gestão do Tráfego Rodoviário;</w:t>
            </w:r>
          </w:p>
        </w:tc>
        <w:tc>
          <w:tcPr>
            <w:tcW w:w="1568" w:type="dxa"/>
            <w:hideMark/>
          </w:tcPr>
          <w:p w14:paraId="513D2D78"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Empreiteiros / contratadas agências implementadoras (todos)</w:t>
            </w:r>
          </w:p>
        </w:tc>
        <w:tc>
          <w:tcPr>
            <w:tcW w:w="1191" w:type="dxa"/>
            <w:gridSpan w:val="2"/>
            <w:hideMark/>
          </w:tcPr>
          <w:p w14:paraId="33063660"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 xml:space="preserve">; </w:t>
            </w:r>
            <w:r w:rsidRPr="00292532">
              <w:rPr>
                <w:rFonts w:asciiTheme="minorHAnsi" w:eastAsia="Times New Roman" w:hAnsiTheme="minorHAnsi" w:cstheme="minorHAnsi"/>
                <w:color w:val="000000"/>
                <w:sz w:val="20"/>
                <w:szCs w:val="20"/>
                <w:lang w:val="pt-PT"/>
              </w:rPr>
              <w:br/>
            </w: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t>;</w:t>
            </w:r>
          </w:p>
          <w:p w14:paraId="1060DC4A"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
        </w:tc>
      </w:tr>
      <w:tr w:rsidR="000615DB" w:rsidRPr="00292532" w14:paraId="0C7A9B77" w14:textId="77777777" w:rsidTr="004500AE">
        <w:trPr>
          <w:cnfStyle w:val="000000100000" w:firstRow="0" w:lastRow="0" w:firstColumn="0" w:lastColumn="0" w:oddVBand="0" w:evenVBand="0" w:oddHBand="1" w:evenHBand="0" w:firstRowFirstColumn="0" w:firstRowLastColumn="0" w:lastRowFirstColumn="0" w:lastRowLastColumn="0"/>
          <w:trHeight w:val="2098"/>
        </w:trPr>
        <w:tc>
          <w:tcPr>
            <w:cnfStyle w:val="001000000000" w:firstRow="0" w:lastRow="0" w:firstColumn="1" w:lastColumn="0" w:oddVBand="0" w:evenVBand="0" w:oddHBand="0" w:evenHBand="0" w:firstRowFirstColumn="0" w:firstRowLastColumn="0" w:lastRowFirstColumn="0" w:lastRowLastColumn="0"/>
            <w:tcW w:w="1972" w:type="dxa"/>
            <w:hideMark/>
          </w:tcPr>
          <w:p w14:paraId="00A91144"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Alteração da qualidade das águas subterrâneas e superficiais devido a carga acrescida de sedimentos (resultante de erosão e Poeiras)</w:t>
            </w:r>
          </w:p>
        </w:tc>
        <w:tc>
          <w:tcPr>
            <w:tcW w:w="4747" w:type="dxa"/>
            <w:hideMark/>
          </w:tcPr>
          <w:p w14:paraId="71080D94"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Utilização de câmaras de empréstimo licenciadas.</w:t>
            </w:r>
            <w:r w:rsidRPr="00292532">
              <w:rPr>
                <w:rFonts w:asciiTheme="minorHAnsi" w:eastAsia="Times New Roman" w:hAnsiTheme="minorHAnsi" w:cstheme="minorHAnsi"/>
                <w:color w:val="000000"/>
                <w:sz w:val="20"/>
                <w:szCs w:val="20"/>
                <w:lang w:val="pt-PT"/>
              </w:rPr>
              <w:br/>
              <w:t>• Implementação das medidas de mitigação dos riscos e impactos relativos à emissão de poeiras</w:t>
            </w:r>
          </w:p>
        </w:tc>
        <w:tc>
          <w:tcPr>
            <w:tcW w:w="0" w:type="dxa"/>
            <w:hideMark/>
          </w:tcPr>
          <w:p w14:paraId="5CFDE997"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Circulação de veículos; exploração de câmaras de empréstimo</w:t>
            </w:r>
          </w:p>
        </w:tc>
        <w:tc>
          <w:tcPr>
            <w:tcW w:w="2021" w:type="dxa"/>
            <w:hideMark/>
          </w:tcPr>
          <w:p w14:paraId="13F730C8"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PGA; Plano de Gestão e Prevenção da Poluição;</w:t>
            </w:r>
          </w:p>
        </w:tc>
        <w:tc>
          <w:tcPr>
            <w:tcW w:w="1568" w:type="dxa"/>
            <w:hideMark/>
          </w:tcPr>
          <w:p w14:paraId="0D1723DA"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Empreiteiros </w:t>
            </w:r>
          </w:p>
        </w:tc>
        <w:tc>
          <w:tcPr>
            <w:tcW w:w="1191" w:type="dxa"/>
            <w:gridSpan w:val="2"/>
            <w:hideMark/>
          </w:tcPr>
          <w:p w14:paraId="4BC728B4"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 xml:space="preserve">; </w:t>
            </w:r>
          </w:p>
          <w:p w14:paraId="3271584F"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t>;</w:t>
            </w:r>
            <w:r w:rsidRPr="00292532">
              <w:rPr>
                <w:rFonts w:asciiTheme="minorHAnsi" w:eastAsia="Times New Roman" w:hAnsiTheme="minorHAnsi" w:cstheme="minorHAnsi"/>
                <w:color w:val="000000"/>
                <w:sz w:val="20"/>
                <w:szCs w:val="20"/>
                <w:lang w:val="pt-PT"/>
              </w:rPr>
              <w:br/>
            </w:r>
          </w:p>
          <w:p w14:paraId="41559D26"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
        </w:tc>
      </w:tr>
      <w:tr w:rsidR="000615DB" w:rsidRPr="00292532" w14:paraId="237C92FF" w14:textId="77777777" w:rsidTr="004500AE">
        <w:trPr>
          <w:trHeight w:val="4300"/>
        </w:trPr>
        <w:tc>
          <w:tcPr>
            <w:cnfStyle w:val="001000000000" w:firstRow="0" w:lastRow="0" w:firstColumn="1" w:lastColumn="0" w:oddVBand="0" w:evenVBand="0" w:oddHBand="0" w:evenHBand="0" w:firstRowFirstColumn="0" w:firstRowLastColumn="0" w:lastRowFirstColumn="0" w:lastRowLastColumn="0"/>
            <w:tcW w:w="1972" w:type="dxa"/>
            <w:hideMark/>
          </w:tcPr>
          <w:p w14:paraId="56AAE3D8"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Poluição dos solos, das águas superficiais e subterrâneas devido a derrames de combustíveis e químicos </w:t>
            </w:r>
          </w:p>
        </w:tc>
        <w:tc>
          <w:tcPr>
            <w:tcW w:w="4747" w:type="dxa"/>
            <w:hideMark/>
          </w:tcPr>
          <w:p w14:paraId="74F3B779"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 O reabastecimento de equipamento e veículos deve ser feito nas áreas designadas em piso sólido e impermeável de forma a evitar a infiltração de quaisquer derrames no solo.  </w:t>
            </w:r>
            <w:r w:rsidRPr="00292532">
              <w:rPr>
                <w:rFonts w:asciiTheme="minorHAnsi" w:eastAsia="Times New Roman" w:hAnsiTheme="minorHAnsi" w:cstheme="minorHAnsi"/>
                <w:color w:val="000000"/>
                <w:sz w:val="20"/>
                <w:szCs w:val="20"/>
                <w:lang w:val="pt-PT"/>
              </w:rPr>
              <w:br/>
              <w:t xml:space="preserve">• Os derrames acidentais para o solo devem ser solucionados de imediato por pessoal devidamente qualificado e a </w:t>
            </w:r>
            <w:proofErr w:type="spellStart"/>
            <w:r w:rsidRPr="00292532">
              <w:rPr>
                <w:rFonts w:asciiTheme="minorHAnsi" w:eastAsia="Times New Roman" w:hAnsiTheme="minorHAnsi" w:cstheme="minorHAnsi"/>
                <w:color w:val="000000"/>
                <w:sz w:val="20"/>
                <w:szCs w:val="20"/>
                <w:lang w:val="pt-PT"/>
              </w:rPr>
              <w:t>correcção</w:t>
            </w:r>
            <w:proofErr w:type="spellEnd"/>
            <w:r w:rsidRPr="00292532">
              <w:rPr>
                <w:rFonts w:asciiTheme="minorHAnsi" w:eastAsia="Times New Roman" w:hAnsiTheme="minorHAnsi" w:cstheme="minorHAnsi"/>
                <w:color w:val="000000"/>
                <w:sz w:val="20"/>
                <w:szCs w:val="20"/>
                <w:lang w:val="pt-PT"/>
              </w:rPr>
              <w:t xml:space="preserve"> deve ser verificada e devem ser disponibilizados os materiais necessários para a contenção de derrames (p.e. kits de limpeza)</w:t>
            </w:r>
            <w:r w:rsidRPr="00292532">
              <w:rPr>
                <w:rFonts w:asciiTheme="minorHAnsi" w:eastAsia="Times New Roman" w:hAnsiTheme="minorHAnsi" w:cstheme="minorHAnsi"/>
                <w:color w:val="000000"/>
                <w:sz w:val="20"/>
                <w:szCs w:val="20"/>
                <w:lang w:val="pt-PT"/>
              </w:rPr>
              <w:br/>
              <w:t>• Assegurar que o manuseamento, armazenamento e transporte de substâncias perigosas é feito cumprindo as normas vigentes para a gestão de substâncias perigosas</w:t>
            </w:r>
            <w:r w:rsidRPr="00292532">
              <w:rPr>
                <w:rFonts w:asciiTheme="minorHAnsi" w:eastAsia="Times New Roman" w:hAnsiTheme="minorHAnsi" w:cstheme="minorHAnsi"/>
                <w:color w:val="000000"/>
                <w:sz w:val="20"/>
                <w:szCs w:val="20"/>
                <w:lang w:val="pt-PT"/>
              </w:rPr>
              <w:br/>
              <w:t xml:space="preserve">•Avaliação do conteúdo de materiais perigosos e produtos à base de petróleo em sistemas de construção (por exemplo, PCB contendo equipamentos elétricos, materiais de construção contendo amianto) </w:t>
            </w:r>
            <w:r w:rsidRPr="00292532">
              <w:rPr>
                <w:rFonts w:asciiTheme="minorHAnsi" w:eastAsia="Times New Roman" w:hAnsiTheme="minorHAnsi" w:cstheme="minorHAnsi"/>
                <w:color w:val="000000"/>
                <w:sz w:val="20"/>
                <w:szCs w:val="20"/>
                <w:lang w:val="pt-PT"/>
              </w:rPr>
              <w:br/>
              <w:t>• Armazenar combustíveis, solventes e outros produtos perigosos sobre superfícies impermeáveis, com bermas para a contenção de possíveis derrames</w:t>
            </w:r>
          </w:p>
          <w:p w14:paraId="44D28D46"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•Providenciar treinamento sobre melhores técnicas de manuseamento de químicos, durante a transferência de combustíveis, armazenamento de químicos e combustíveis e resposta à derrames</w:t>
            </w:r>
          </w:p>
          <w:p w14:paraId="5C829B0F"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Fornecimento de equipamentos e materiais para contenção e limpeza após um derrame.</w:t>
            </w:r>
          </w:p>
        </w:tc>
        <w:tc>
          <w:tcPr>
            <w:tcW w:w="0" w:type="dxa"/>
            <w:hideMark/>
          </w:tcPr>
          <w:p w14:paraId="1983661E"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Circulação de veículos, manuseamento, transporte e armazenamento de químicos e de combustíveis, transferência de combustíveis</w:t>
            </w:r>
          </w:p>
          <w:p w14:paraId="60F1544E"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 </w:t>
            </w:r>
          </w:p>
        </w:tc>
        <w:tc>
          <w:tcPr>
            <w:tcW w:w="2021" w:type="dxa"/>
            <w:hideMark/>
          </w:tcPr>
          <w:p w14:paraId="253C1226"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PGA; </w:t>
            </w:r>
            <w:r w:rsidRPr="00292532">
              <w:rPr>
                <w:rFonts w:asciiTheme="minorHAnsi" w:eastAsia="Times New Roman" w:hAnsiTheme="minorHAnsi" w:cstheme="minorHAnsi"/>
                <w:color w:val="000000"/>
                <w:sz w:val="20"/>
                <w:szCs w:val="20"/>
                <w:lang w:val="pt-PT"/>
              </w:rPr>
              <w:br/>
              <w:t xml:space="preserve">Plano de Gestão e Prevenção da Poluição; </w:t>
            </w:r>
            <w:r w:rsidRPr="00292532">
              <w:rPr>
                <w:rFonts w:asciiTheme="minorHAnsi" w:eastAsia="Times New Roman" w:hAnsiTheme="minorHAnsi" w:cstheme="minorHAnsi"/>
                <w:color w:val="000000"/>
                <w:sz w:val="20"/>
                <w:szCs w:val="20"/>
                <w:lang w:val="pt-PT"/>
              </w:rPr>
              <w:br/>
              <w:t xml:space="preserve">Procedimentos de Resposta à Emergências e Contenção de Derrames </w:t>
            </w:r>
          </w:p>
        </w:tc>
        <w:tc>
          <w:tcPr>
            <w:tcW w:w="1568" w:type="dxa"/>
            <w:hideMark/>
          </w:tcPr>
          <w:p w14:paraId="0C90FF2B"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Empreiteiros </w:t>
            </w:r>
          </w:p>
        </w:tc>
        <w:tc>
          <w:tcPr>
            <w:tcW w:w="1191" w:type="dxa"/>
            <w:gridSpan w:val="2"/>
            <w:hideMark/>
          </w:tcPr>
          <w:p w14:paraId="3199D36A"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 xml:space="preserve">; </w:t>
            </w:r>
          </w:p>
          <w:p w14:paraId="75504539"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t>;</w:t>
            </w:r>
            <w:r w:rsidRPr="00292532">
              <w:rPr>
                <w:rFonts w:asciiTheme="minorHAnsi" w:eastAsia="Times New Roman" w:hAnsiTheme="minorHAnsi" w:cstheme="minorHAnsi"/>
                <w:color w:val="000000"/>
                <w:sz w:val="20"/>
                <w:szCs w:val="20"/>
                <w:lang w:val="pt-PT"/>
              </w:rPr>
              <w:br/>
            </w:r>
          </w:p>
        </w:tc>
      </w:tr>
      <w:tr w:rsidR="000615DB" w:rsidRPr="00292532" w14:paraId="79DA87B8" w14:textId="77777777" w:rsidTr="004500AE">
        <w:trPr>
          <w:cnfStyle w:val="000000100000" w:firstRow="0" w:lastRow="0" w:firstColumn="0" w:lastColumn="0" w:oddVBand="0" w:evenVBand="0" w:oddHBand="1" w:evenHBand="0" w:firstRowFirstColumn="0" w:firstRowLastColumn="0" w:lastRowFirstColumn="0" w:lastRowLastColumn="0"/>
          <w:trHeight w:val="8190"/>
        </w:trPr>
        <w:tc>
          <w:tcPr>
            <w:cnfStyle w:val="001000000000" w:firstRow="0" w:lastRow="0" w:firstColumn="1" w:lastColumn="0" w:oddVBand="0" w:evenVBand="0" w:oddHBand="0" w:evenHBand="0" w:firstRowFirstColumn="0" w:firstRowLastColumn="0" w:lastRowFirstColumn="0" w:lastRowLastColumn="0"/>
            <w:tcW w:w="1972" w:type="dxa"/>
            <w:hideMark/>
          </w:tcPr>
          <w:p w14:paraId="7D1FFAB4"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 xml:space="preserve">Impactos na biodiversidade local (habitats, flora e fauna e serviços </w:t>
            </w:r>
            <w:proofErr w:type="spellStart"/>
            <w:r w:rsidRPr="00292532">
              <w:rPr>
                <w:rFonts w:asciiTheme="minorHAnsi" w:eastAsia="Times New Roman" w:hAnsiTheme="minorHAnsi" w:cstheme="minorHAnsi"/>
                <w:color w:val="000000"/>
                <w:sz w:val="20"/>
                <w:szCs w:val="20"/>
                <w:lang w:val="pt-PT"/>
              </w:rPr>
              <w:t>ecossistémicos</w:t>
            </w:r>
            <w:proofErr w:type="spellEnd"/>
            <w:r w:rsidRPr="00292532">
              <w:rPr>
                <w:rFonts w:asciiTheme="minorHAnsi" w:eastAsia="Times New Roman" w:hAnsiTheme="minorHAnsi" w:cstheme="minorHAnsi"/>
                <w:color w:val="000000"/>
                <w:sz w:val="20"/>
                <w:szCs w:val="20"/>
                <w:lang w:val="pt-PT"/>
              </w:rPr>
              <w:t xml:space="preserve">) </w:t>
            </w:r>
          </w:p>
        </w:tc>
        <w:tc>
          <w:tcPr>
            <w:tcW w:w="4747" w:type="dxa"/>
            <w:hideMark/>
          </w:tcPr>
          <w:p w14:paraId="4EE1C2D3" w14:textId="77777777" w:rsidR="000615DB" w:rsidRPr="00292532" w:rsidRDefault="000615DB" w:rsidP="006174BB">
            <w:pPr>
              <w:spacing w:before="0" w:after="24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•Sempre que possível a remoção das espécies contidas na lista vermelha ou das espécies de importância local deve ser evitada. </w:t>
            </w:r>
            <w:r w:rsidRPr="00292532">
              <w:rPr>
                <w:rFonts w:asciiTheme="minorHAnsi" w:eastAsia="Times New Roman" w:hAnsiTheme="minorHAnsi" w:cstheme="minorHAnsi"/>
                <w:color w:val="000000"/>
                <w:sz w:val="20"/>
                <w:szCs w:val="20"/>
                <w:lang w:val="pt-PT"/>
              </w:rPr>
              <w:br/>
              <w:t xml:space="preserve">•As plantas ou animais </w:t>
            </w:r>
            <w:proofErr w:type="spellStart"/>
            <w:r w:rsidRPr="00292532">
              <w:rPr>
                <w:rFonts w:asciiTheme="minorHAnsi" w:eastAsia="Times New Roman" w:hAnsiTheme="minorHAnsi" w:cstheme="minorHAnsi"/>
                <w:color w:val="000000"/>
                <w:sz w:val="20"/>
                <w:szCs w:val="20"/>
                <w:lang w:val="pt-PT"/>
              </w:rPr>
              <w:t>afectados</w:t>
            </w:r>
            <w:proofErr w:type="spellEnd"/>
            <w:r w:rsidRPr="00292532">
              <w:rPr>
                <w:rFonts w:asciiTheme="minorHAnsi" w:eastAsia="Times New Roman" w:hAnsiTheme="minorHAnsi" w:cstheme="minorHAnsi"/>
                <w:color w:val="000000"/>
                <w:sz w:val="20"/>
                <w:szCs w:val="20"/>
                <w:lang w:val="pt-PT"/>
              </w:rPr>
              <w:t xml:space="preserve"> devem ser identificados e a sua transferência para zonas com parâmetros ecológicos semelhantes deve ser considerada</w:t>
            </w:r>
            <w:r w:rsidRPr="00292532">
              <w:rPr>
                <w:rFonts w:asciiTheme="minorHAnsi" w:eastAsia="Times New Roman" w:hAnsiTheme="minorHAnsi" w:cstheme="minorHAnsi"/>
                <w:color w:val="000000"/>
                <w:sz w:val="20"/>
                <w:szCs w:val="20"/>
                <w:lang w:val="pt-PT"/>
              </w:rPr>
              <w:br/>
              <w:t>•as infraestruturas localizadas em habitats sensíveis devem ser identificadas para facilitar ajustes na sua implementação</w:t>
            </w:r>
            <w:r w:rsidRPr="00292532">
              <w:rPr>
                <w:rFonts w:asciiTheme="minorHAnsi" w:eastAsia="Times New Roman" w:hAnsiTheme="minorHAnsi" w:cstheme="minorHAnsi"/>
                <w:color w:val="000000"/>
                <w:sz w:val="20"/>
                <w:szCs w:val="20"/>
                <w:lang w:val="pt-PT"/>
              </w:rPr>
              <w:br/>
              <w:t>•Sempre que possível a destruição de habitats sensíveis deve ser evitada</w:t>
            </w:r>
            <w:r w:rsidRPr="00292532">
              <w:rPr>
                <w:rFonts w:asciiTheme="minorHAnsi" w:eastAsia="Times New Roman" w:hAnsiTheme="minorHAnsi" w:cstheme="minorHAnsi"/>
                <w:color w:val="000000"/>
                <w:sz w:val="20"/>
                <w:szCs w:val="20"/>
                <w:lang w:val="pt-PT"/>
              </w:rPr>
              <w:br/>
              <w:t>•Fazer uma análise de sensibilidade para a implantação das infraestruturas com base em multicritérios ambientais e sociais</w:t>
            </w:r>
          </w:p>
        </w:tc>
        <w:tc>
          <w:tcPr>
            <w:tcW w:w="0" w:type="dxa"/>
            <w:hideMark/>
          </w:tcPr>
          <w:p w14:paraId="45FC072C"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Durante os levantamentos de campo para os estudos ambientais e sociais; elaboração do Desenho do </w:t>
            </w:r>
            <w:proofErr w:type="spellStart"/>
            <w:r w:rsidRPr="00292532">
              <w:rPr>
                <w:rFonts w:asciiTheme="minorHAnsi" w:eastAsia="Times New Roman" w:hAnsiTheme="minorHAnsi" w:cstheme="minorHAnsi"/>
                <w:color w:val="000000"/>
                <w:sz w:val="20"/>
                <w:szCs w:val="20"/>
                <w:lang w:val="pt-PT"/>
              </w:rPr>
              <w:t>Projecto</w:t>
            </w:r>
            <w:proofErr w:type="spellEnd"/>
          </w:p>
        </w:tc>
        <w:tc>
          <w:tcPr>
            <w:tcW w:w="2021" w:type="dxa"/>
            <w:hideMark/>
          </w:tcPr>
          <w:p w14:paraId="70ABF9C0"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
        </w:tc>
        <w:tc>
          <w:tcPr>
            <w:tcW w:w="1568" w:type="dxa"/>
            <w:hideMark/>
          </w:tcPr>
          <w:p w14:paraId="109921A1"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Empreiteiros </w:t>
            </w:r>
          </w:p>
        </w:tc>
        <w:tc>
          <w:tcPr>
            <w:tcW w:w="1191" w:type="dxa"/>
            <w:gridSpan w:val="2"/>
            <w:hideMark/>
          </w:tcPr>
          <w:p w14:paraId="5DABE019"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 xml:space="preserve">; </w:t>
            </w:r>
          </w:p>
          <w:p w14:paraId="25C10B48"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t>;</w:t>
            </w:r>
            <w:r w:rsidRPr="00292532">
              <w:rPr>
                <w:rFonts w:asciiTheme="minorHAnsi" w:eastAsia="Times New Roman" w:hAnsiTheme="minorHAnsi" w:cstheme="minorHAnsi"/>
                <w:color w:val="000000"/>
                <w:sz w:val="20"/>
                <w:szCs w:val="20"/>
                <w:lang w:val="pt-PT"/>
              </w:rPr>
              <w:br/>
            </w:r>
            <w:proofErr w:type="spellStart"/>
            <w:r w:rsidRPr="00292532">
              <w:rPr>
                <w:rFonts w:asciiTheme="minorHAnsi" w:eastAsia="Times New Roman" w:hAnsiTheme="minorHAnsi" w:cstheme="minorHAnsi"/>
                <w:color w:val="000000"/>
                <w:sz w:val="20"/>
                <w:szCs w:val="20"/>
                <w:lang w:val="pt-PT"/>
              </w:rPr>
              <w:t>SPAs</w:t>
            </w:r>
            <w:proofErr w:type="spellEnd"/>
            <w:r w:rsidRPr="00292532">
              <w:rPr>
                <w:rFonts w:asciiTheme="minorHAnsi" w:eastAsia="Times New Roman" w:hAnsiTheme="minorHAnsi" w:cstheme="minorHAnsi"/>
                <w:color w:val="000000"/>
                <w:sz w:val="20"/>
                <w:szCs w:val="20"/>
                <w:lang w:val="pt-PT"/>
              </w:rPr>
              <w:t>;</w:t>
            </w:r>
          </w:p>
        </w:tc>
      </w:tr>
      <w:tr w:rsidR="000615DB" w:rsidRPr="004E2EAC" w14:paraId="67CC30B1" w14:textId="77777777" w:rsidTr="004500AE">
        <w:trPr>
          <w:trHeight w:val="2470"/>
        </w:trPr>
        <w:tc>
          <w:tcPr>
            <w:cnfStyle w:val="001000000000" w:firstRow="0" w:lastRow="0" w:firstColumn="1" w:lastColumn="0" w:oddVBand="0" w:evenVBand="0" w:oddHBand="0" w:evenHBand="0" w:firstRowFirstColumn="0" w:firstRowLastColumn="0" w:lastRowFirstColumn="0" w:lastRowLastColumn="0"/>
            <w:tcW w:w="1972" w:type="dxa"/>
            <w:hideMark/>
          </w:tcPr>
          <w:p w14:paraId="4F959162"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 xml:space="preserve">Expropriação de terra, perda de terras agrícolas, reassentamento involuntário </w:t>
            </w:r>
          </w:p>
        </w:tc>
        <w:tc>
          <w:tcPr>
            <w:tcW w:w="4747" w:type="dxa"/>
            <w:hideMark/>
          </w:tcPr>
          <w:p w14:paraId="37F73A0A"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 Redução ao mínimo de necessidades de reassentamento durante a fase de planeamento, </w:t>
            </w:r>
            <w:proofErr w:type="spellStart"/>
            <w:r w:rsidRPr="00292532">
              <w:rPr>
                <w:rFonts w:asciiTheme="minorHAnsi" w:eastAsia="Times New Roman" w:hAnsiTheme="minorHAnsi" w:cstheme="minorHAnsi"/>
                <w:color w:val="000000"/>
                <w:sz w:val="20"/>
                <w:szCs w:val="20"/>
                <w:lang w:val="pt-PT"/>
              </w:rPr>
              <w:t>concepção</w:t>
            </w:r>
            <w:proofErr w:type="spellEnd"/>
            <w:r w:rsidRPr="00292532">
              <w:rPr>
                <w:rFonts w:asciiTheme="minorHAnsi" w:eastAsia="Times New Roman" w:hAnsiTheme="minorHAnsi" w:cstheme="minorHAnsi"/>
                <w:color w:val="000000"/>
                <w:sz w:val="20"/>
                <w:szCs w:val="20"/>
                <w:lang w:val="pt-PT"/>
              </w:rPr>
              <w:t xml:space="preserve"> e desenho do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xml:space="preserve"> das subcomponentes do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xml:space="preserve"> </w:t>
            </w:r>
            <w:r w:rsidRPr="00292532">
              <w:rPr>
                <w:rFonts w:asciiTheme="minorHAnsi" w:eastAsia="Times New Roman" w:hAnsiTheme="minorHAnsi" w:cstheme="minorHAnsi"/>
                <w:color w:val="000000"/>
                <w:sz w:val="20"/>
                <w:szCs w:val="20"/>
                <w:lang w:val="pt-PT"/>
              </w:rPr>
              <w:br/>
              <w:t xml:space="preserve">• Em caso de reassentamento ou compensações, elaborar um Plano de </w:t>
            </w:r>
            <w:proofErr w:type="spellStart"/>
            <w:r w:rsidRPr="00292532">
              <w:rPr>
                <w:rFonts w:asciiTheme="minorHAnsi" w:eastAsia="Times New Roman" w:hAnsiTheme="minorHAnsi" w:cstheme="minorHAnsi"/>
                <w:color w:val="000000"/>
                <w:sz w:val="20"/>
                <w:szCs w:val="20"/>
                <w:lang w:val="pt-PT"/>
              </w:rPr>
              <w:t>Acção</w:t>
            </w:r>
            <w:proofErr w:type="spellEnd"/>
            <w:r w:rsidRPr="00292532">
              <w:rPr>
                <w:rFonts w:asciiTheme="minorHAnsi" w:eastAsia="Times New Roman" w:hAnsiTheme="minorHAnsi" w:cstheme="minorHAnsi"/>
                <w:color w:val="000000"/>
                <w:sz w:val="20"/>
                <w:szCs w:val="20"/>
                <w:lang w:val="pt-PT"/>
              </w:rPr>
              <w:t xml:space="preserve"> de Reassentamento e Plano de compensações, de acordo com as normas do Banco Mundial, legislação nacional e outras boas práticas. </w:t>
            </w:r>
            <w:r w:rsidRPr="00292532">
              <w:rPr>
                <w:rFonts w:asciiTheme="minorHAnsi" w:eastAsia="Times New Roman" w:hAnsiTheme="minorHAnsi" w:cstheme="minorHAnsi"/>
                <w:color w:val="000000"/>
                <w:sz w:val="20"/>
                <w:szCs w:val="20"/>
                <w:lang w:val="pt-PT"/>
              </w:rPr>
              <w:br/>
              <w:t xml:space="preserve">•O PAR deverá ser acompanhado por um levantamento detalhado das perdas em termos de habitação, terras agrícolas e outros bens de cada família, a fim de permitir que seja desenhado um plano de benefícios através da reposição das perdas das pessoas </w:t>
            </w:r>
            <w:proofErr w:type="spellStart"/>
            <w:r w:rsidRPr="00292532">
              <w:rPr>
                <w:rFonts w:asciiTheme="minorHAnsi" w:eastAsia="Times New Roman" w:hAnsiTheme="minorHAnsi" w:cstheme="minorHAnsi"/>
                <w:color w:val="000000"/>
                <w:sz w:val="20"/>
                <w:szCs w:val="20"/>
                <w:lang w:val="pt-PT"/>
              </w:rPr>
              <w:t>afectadas</w:t>
            </w:r>
            <w:proofErr w:type="spellEnd"/>
            <w:r w:rsidRPr="00292532">
              <w:rPr>
                <w:rFonts w:asciiTheme="minorHAnsi" w:eastAsia="Times New Roman" w:hAnsiTheme="minorHAnsi" w:cstheme="minorHAnsi"/>
                <w:color w:val="000000"/>
                <w:sz w:val="20"/>
                <w:szCs w:val="20"/>
                <w:lang w:val="pt-PT"/>
              </w:rPr>
              <w:br/>
              <w:t xml:space="preserve">• O PAR deve procurar endereçar através de </w:t>
            </w:r>
            <w:proofErr w:type="spellStart"/>
            <w:r w:rsidRPr="00292532">
              <w:rPr>
                <w:rFonts w:asciiTheme="minorHAnsi" w:eastAsia="Times New Roman" w:hAnsiTheme="minorHAnsi" w:cstheme="minorHAnsi"/>
                <w:color w:val="000000"/>
                <w:sz w:val="20"/>
                <w:szCs w:val="20"/>
                <w:lang w:val="pt-PT"/>
              </w:rPr>
              <w:t>acções</w:t>
            </w:r>
            <w:proofErr w:type="spellEnd"/>
            <w:r w:rsidRPr="00292532">
              <w:rPr>
                <w:rFonts w:asciiTheme="minorHAnsi" w:eastAsia="Times New Roman" w:hAnsiTheme="minorHAnsi" w:cstheme="minorHAnsi"/>
                <w:color w:val="000000"/>
                <w:sz w:val="20"/>
                <w:szCs w:val="20"/>
                <w:lang w:val="pt-PT"/>
              </w:rPr>
              <w:t xml:space="preserve"> de mitigação os principais impactos desta </w:t>
            </w:r>
            <w:proofErr w:type="spellStart"/>
            <w:r w:rsidRPr="00292532">
              <w:rPr>
                <w:rFonts w:asciiTheme="minorHAnsi" w:eastAsia="Times New Roman" w:hAnsiTheme="minorHAnsi" w:cstheme="minorHAnsi"/>
                <w:color w:val="000000"/>
                <w:sz w:val="20"/>
                <w:szCs w:val="20"/>
                <w:lang w:val="pt-PT"/>
              </w:rPr>
              <w:t>acção</w:t>
            </w:r>
            <w:proofErr w:type="spellEnd"/>
            <w:r w:rsidRPr="00292532">
              <w:rPr>
                <w:rFonts w:asciiTheme="minorHAnsi" w:eastAsia="Times New Roman" w:hAnsiTheme="minorHAnsi" w:cstheme="minorHAnsi"/>
                <w:color w:val="000000"/>
                <w:sz w:val="20"/>
                <w:szCs w:val="20"/>
                <w:lang w:val="pt-PT"/>
              </w:rPr>
              <w:t xml:space="preserve"> para as comunidades e procurar implementar um plano de restauração dos meios de sobrevivência </w:t>
            </w:r>
          </w:p>
        </w:tc>
        <w:tc>
          <w:tcPr>
            <w:tcW w:w="0" w:type="dxa"/>
            <w:hideMark/>
          </w:tcPr>
          <w:p w14:paraId="227A5884"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Fase de pré-construção </w:t>
            </w:r>
          </w:p>
        </w:tc>
        <w:tc>
          <w:tcPr>
            <w:tcW w:w="2021" w:type="dxa"/>
            <w:hideMark/>
          </w:tcPr>
          <w:p w14:paraId="4AA29359"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PGA; </w:t>
            </w:r>
            <w:r w:rsidRPr="00292532">
              <w:rPr>
                <w:rFonts w:asciiTheme="minorHAnsi" w:eastAsia="Times New Roman" w:hAnsiTheme="minorHAnsi" w:cstheme="minorHAnsi"/>
                <w:color w:val="000000"/>
                <w:sz w:val="20"/>
                <w:szCs w:val="20"/>
                <w:lang w:val="pt-PT"/>
              </w:rPr>
              <w:br/>
              <w:t>Quadro da Política de Reassentamento (QPR);</w:t>
            </w:r>
            <w:r w:rsidRPr="00292532">
              <w:rPr>
                <w:rFonts w:asciiTheme="minorHAnsi" w:eastAsia="Times New Roman" w:hAnsiTheme="minorHAnsi" w:cstheme="minorHAnsi"/>
                <w:color w:val="000000"/>
                <w:sz w:val="20"/>
                <w:szCs w:val="20"/>
                <w:lang w:val="pt-PT"/>
              </w:rPr>
              <w:br/>
              <w:t xml:space="preserve">Plano de </w:t>
            </w:r>
            <w:proofErr w:type="spellStart"/>
            <w:r w:rsidRPr="00292532">
              <w:rPr>
                <w:rFonts w:asciiTheme="minorHAnsi" w:eastAsia="Times New Roman" w:hAnsiTheme="minorHAnsi" w:cstheme="minorHAnsi"/>
                <w:color w:val="000000"/>
                <w:sz w:val="20"/>
                <w:szCs w:val="20"/>
                <w:lang w:val="pt-PT"/>
              </w:rPr>
              <w:t>Acção</w:t>
            </w:r>
            <w:proofErr w:type="spellEnd"/>
            <w:r w:rsidRPr="00292532">
              <w:rPr>
                <w:rFonts w:asciiTheme="minorHAnsi" w:eastAsia="Times New Roman" w:hAnsiTheme="minorHAnsi" w:cstheme="minorHAnsi"/>
                <w:color w:val="000000"/>
                <w:sz w:val="20"/>
                <w:szCs w:val="20"/>
                <w:lang w:val="pt-PT"/>
              </w:rPr>
              <w:t xml:space="preserve"> de Reassentamento (PAR);</w:t>
            </w:r>
          </w:p>
        </w:tc>
        <w:tc>
          <w:tcPr>
            <w:tcW w:w="1568" w:type="dxa"/>
            <w:hideMark/>
          </w:tcPr>
          <w:p w14:paraId="59FB9D8A"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w:t>
            </w:r>
            <w:r w:rsidRPr="00292532">
              <w:rPr>
                <w:rFonts w:asciiTheme="minorHAnsi" w:eastAsia="Times New Roman" w:hAnsiTheme="minorHAnsi" w:cstheme="minorHAnsi"/>
                <w:color w:val="000000"/>
                <w:sz w:val="20"/>
                <w:szCs w:val="20"/>
                <w:lang w:val="pt-PT"/>
              </w:rPr>
              <w:br/>
              <w:t>Governos Provinciais;</w:t>
            </w:r>
          </w:p>
        </w:tc>
        <w:tc>
          <w:tcPr>
            <w:tcW w:w="1191" w:type="dxa"/>
            <w:gridSpan w:val="2"/>
            <w:hideMark/>
          </w:tcPr>
          <w:p w14:paraId="24D799AA"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Banco Mundial </w:t>
            </w:r>
            <w:r w:rsidRPr="00292532">
              <w:rPr>
                <w:rFonts w:asciiTheme="minorHAnsi" w:eastAsia="Times New Roman" w:hAnsiTheme="minorHAnsi" w:cstheme="minorHAnsi"/>
                <w:color w:val="000000"/>
                <w:sz w:val="20"/>
                <w:szCs w:val="20"/>
                <w:lang w:val="pt-PT"/>
              </w:rPr>
              <w:br/>
            </w:r>
            <w:proofErr w:type="spellStart"/>
            <w:r w:rsidRPr="00292532">
              <w:rPr>
                <w:rFonts w:asciiTheme="minorHAnsi" w:eastAsia="Times New Roman" w:hAnsiTheme="minorHAnsi" w:cstheme="minorHAnsi"/>
                <w:color w:val="000000"/>
                <w:sz w:val="20"/>
                <w:szCs w:val="20"/>
                <w:lang w:val="pt-PT"/>
              </w:rPr>
              <w:t>UIPs</w:t>
            </w:r>
            <w:proofErr w:type="spellEnd"/>
          </w:p>
          <w:p w14:paraId="7E2EE320"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br/>
              <w:t>MTA</w:t>
            </w:r>
          </w:p>
        </w:tc>
      </w:tr>
      <w:tr w:rsidR="000615DB" w:rsidRPr="00941934" w14:paraId="4A973D6E" w14:textId="77777777" w:rsidTr="004500AE">
        <w:trPr>
          <w:cnfStyle w:val="000000100000" w:firstRow="0" w:lastRow="0" w:firstColumn="0" w:lastColumn="0" w:oddVBand="0" w:evenVBand="0" w:oddHBand="1" w:evenHBand="0" w:firstRowFirstColumn="0" w:firstRowLastColumn="0" w:lastRowFirstColumn="0" w:lastRowLastColumn="0"/>
          <w:trHeight w:val="1840"/>
        </w:trPr>
        <w:tc>
          <w:tcPr>
            <w:cnfStyle w:val="001000000000" w:firstRow="0" w:lastRow="0" w:firstColumn="1" w:lastColumn="0" w:oddVBand="0" w:evenVBand="0" w:oddHBand="0" w:evenHBand="0" w:firstRowFirstColumn="0" w:firstRowLastColumn="0" w:lastRowFirstColumn="0" w:lastRowLastColumn="0"/>
            <w:tcW w:w="1972" w:type="dxa"/>
            <w:hideMark/>
          </w:tcPr>
          <w:p w14:paraId="1F74F010"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Influxo de pessoas às áreas do </w:t>
            </w:r>
            <w:proofErr w:type="spellStart"/>
            <w:r w:rsidRPr="00292532">
              <w:rPr>
                <w:rFonts w:asciiTheme="minorHAnsi" w:eastAsia="Times New Roman" w:hAnsiTheme="minorHAnsi" w:cstheme="minorHAnsi"/>
                <w:color w:val="000000"/>
                <w:sz w:val="20"/>
                <w:szCs w:val="20"/>
                <w:lang w:val="pt-PT"/>
              </w:rPr>
              <w:t>Projecto</w:t>
            </w:r>
            <w:proofErr w:type="spellEnd"/>
          </w:p>
        </w:tc>
        <w:tc>
          <w:tcPr>
            <w:tcW w:w="4747" w:type="dxa"/>
            <w:hideMark/>
          </w:tcPr>
          <w:p w14:paraId="642A4FA8"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•Disseminação de informação sobre os requisitos da força de trabalho do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número ou pessoal necessário, bem como profissões específicas e capacidades necessárias para preenchimento das funções.</w:t>
            </w:r>
            <w:r w:rsidRPr="00292532">
              <w:rPr>
                <w:rFonts w:asciiTheme="minorHAnsi" w:eastAsia="Times New Roman" w:hAnsiTheme="minorHAnsi" w:cstheme="minorHAnsi"/>
                <w:color w:val="000000"/>
                <w:sz w:val="20"/>
                <w:szCs w:val="20"/>
                <w:lang w:val="pt-PT"/>
              </w:rPr>
              <w:br/>
              <w:t xml:space="preserve">•Divulgação da informação sobre as oportunidades de aquisição e requisitos tão cedo seja possível, em coordenação com as autoridades locais </w:t>
            </w:r>
          </w:p>
        </w:tc>
        <w:tc>
          <w:tcPr>
            <w:tcW w:w="0" w:type="dxa"/>
            <w:hideMark/>
          </w:tcPr>
          <w:p w14:paraId="463EC290"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Fase de pré-construção e de construção</w:t>
            </w:r>
          </w:p>
        </w:tc>
        <w:tc>
          <w:tcPr>
            <w:tcW w:w="2021" w:type="dxa"/>
            <w:hideMark/>
          </w:tcPr>
          <w:p w14:paraId="70BAE2AE"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PGA; </w:t>
            </w:r>
          </w:p>
        </w:tc>
        <w:tc>
          <w:tcPr>
            <w:tcW w:w="1568" w:type="dxa"/>
            <w:hideMark/>
          </w:tcPr>
          <w:p w14:paraId="4C971B48"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 xml:space="preserve">; Governos Locais; </w:t>
            </w:r>
          </w:p>
        </w:tc>
        <w:tc>
          <w:tcPr>
            <w:tcW w:w="1191" w:type="dxa"/>
            <w:gridSpan w:val="2"/>
            <w:hideMark/>
          </w:tcPr>
          <w:p w14:paraId="5BFE6C8D"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 xml:space="preserve">; </w:t>
            </w: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t xml:space="preserve">; </w:t>
            </w:r>
            <w:proofErr w:type="spellStart"/>
            <w:r w:rsidRPr="00292532">
              <w:rPr>
                <w:rFonts w:asciiTheme="minorHAnsi" w:eastAsia="Times New Roman" w:hAnsiTheme="minorHAnsi" w:cstheme="minorHAnsi"/>
                <w:color w:val="000000"/>
                <w:sz w:val="20"/>
                <w:szCs w:val="20"/>
                <w:lang w:val="pt-PT"/>
              </w:rPr>
              <w:t>SPAs</w:t>
            </w:r>
            <w:proofErr w:type="spellEnd"/>
            <w:r w:rsidRPr="00292532">
              <w:rPr>
                <w:rFonts w:asciiTheme="minorHAnsi" w:eastAsia="Times New Roman" w:hAnsiTheme="minorHAnsi" w:cstheme="minorHAnsi"/>
                <w:color w:val="000000"/>
                <w:sz w:val="20"/>
                <w:szCs w:val="20"/>
                <w:lang w:val="pt-PT"/>
              </w:rPr>
              <w:t xml:space="preserve">; Governo Provincial; </w:t>
            </w:r>
          </w:p>
        </w:tc>
      </w:tr>
      <w:tr w:rsidR="000615DB" w:rsidRPr="004E2EAC" w14:paraId="2D66C57F" w14:textId="77777777" w:rsidTr="004500AE">
        <w:trPr>
          <w:trHeight w:val="1162"/>
        </w:trPr>
        <w:tc>
          <w:tcPr>
            <w:cnfStyle w:val="001000000000" w:firstRow="0" w:lastRow="0" w:firstColumn="1" w:lastColumn="0" w:oddVBand="0" w:evenVBand="0" w:oddHBand="0" w:evenHBand="0" w:firstRowFirstColumn="0" w:firstRowLastColumn="0" w:lastRowFirstColumn="0" w:lastRowLastColumn="0"/>
            <w:tcW w:w="1972" w:type="dxa"/>
            <w:hideMark/>
          </w:tcPr>
          <w:p w14:paraId="271C877E"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 xml:space="preserve">Aumento do volume do tráfego e acidentes rodoviários  </w:t>
            </w:r>
          </w:p>
        </w:tc>
        <w:tc>
          <w:tcPr>
            <w:tcW w:w="4747" w:type="dxa"/>
            <w:hideMark/>
          </w:tcPr>
          <w:p w14:paraId="0C86C125"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 Todos os veículos usados nas </w:t>
            </w:r>
            <w:proofErr w:type="spellStart"/>
            <w:r w:rsidRPr="00292532">
              <w:rPr>
                <w:rFonts w:asciiTheme="minorHAnsi" w:eastAsia="Times New Roman" w:hAnsiTheme="minorHAnsi" w:cstheme="minorHAnsi"/>
                <w:color w:val="000000"/>
                <w:sz w:val="20"/>
                <w:szCs w:val="20"/>
                <w:lang w:val="pt-PT"/>
              </w:rPr>
              <w:t>actividades</w:t>
            </w:r>
            <w:proofErr w:type="spellEnd"/>
            <w:r w:rsidRPr="00292532">
              <w:rPr>
                <w:rFonts w:asciiTheme="minorHAnsi" w:eastAsia="Times New Roman" w:hAnsiTheme="minorHAnsi" w:cstheme="minorHAnsi"/>
                <w:color w:val="000000"/>
                <w:sz w:val="20"/>
                <w:szCs w:val="20"/>
                <w:lang w:val="pt-PT"/>
              </w:rPr>
              <w:t xml:space="preserve"> do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xml:space="preserve"> devem estar sujeitos a uma manutenção adequada para reduzir a geração de emissões e fumos</w:t>
            </w:r>
            <w:r w:rsidRPr="00292532">
              <w:rPr>
                <w:rFonts w:asciiTheme="minorHAnsi" w:eastAsia="Times New Roman" w:hAnsiTheme="minorHAnsi" w:cstheme="minorHAnsi"/>
                <w:color w:val="000000"/>
                <w:sz w:val="20"/>
                <w:szCs w:val="20"/>
                <w:lang w:val="pt-PT"/>
              </w:rPr>
              <w:br/>
              <w:t>• Implementação de restrições de velocidade</w:t>
            </w:r>
            <w:r w:rsidRPr="00292532">
              <w:rPr>
                <w:rFonts w:asciiTheme="minorHAnsi" w:eastAsia="Times New Roman" w:hAnsiTheme="minorHAnsi" w:cstheme="minorHAnsi"/>
                <w:color w:val="000000"/>
                <w:sz w:val="20"/>
                <w:szCs w:val="20"/>
                <w:lang w:val="pt-PT"/>
              </w:rPr>
              <w:br/>
              <w:t xml:space="preserve">• Garantir que o tráfego de construção seja limitado a rotas pré-estabelecidas e que os limites de velocidade sejam aplicados a todos os veículos em movimento nas estradas dos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xml:space="preserve">, nas vias de acesso ao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xml:space="preserve"> e em vias públicas que atravessam as aldeias</w:t>
            </w:r>
            <w:r w:rsidRPr="00292532">
              <w:rPr>
                <w:rFonts w:asciiTheme="minorHAnsi" w:eastAsia="Times New Roman" w:hAnsiTheme="minorHAnsi" w:cstheme="minorHAnsi"/>
                <w:color w:val="000000"/>
                <w:sz w:val="20"/>
                <w:szCs w:val="20"/>
                <w:lang w:val="pt-PT"/>
              </w:rPr>
              <w:br/>
              <w:t xml:space="preserve">•Campanhas de consciencialização aos motoristas das contratadas e do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xml:space="preserve"> sobre condução defensiva e prevenção de acidentes </w:t>
            </w:r>
          </w:p>
        </w:tc>
        <w:tc>
          <w:tcPr>
            <w:tcW w:w="0" w:type="dxa"/>
            <w:hideMark/>
          </w:tcPr>
          <w:p w14:paraId="28AC7026"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Mobilização de pessoal, equipamento e maquinaria de construção</w:t>
            </w:r>
          </w:p>
        </w:tc>
        <w:tc>
          <w:tcPr>
            <w:tcW w:w="2021" w:type="dxa"/>
            <w:hideMark/>
          </w:tcPr>
          <w:p w14:paraId="7A57351F"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PGA; </w:t>
            </w:r>
            <w:proofErr w:type="spellStart"/>
            <w:r w:rsidRPr="00292532">
              <w:rPr>
                <w:rFonts w:asciiTheme="minorHAnsi" w:eastAsia="Times New Roman" w:hAnsiTheme="minorHAnsi" w:cstheme="minorHAnsi"/>
                <w:color w:val="000000"/>
                <w:sz w:val="20"/>
                <w:szCs w:val="20"/>
                <w:lang w:val="pt-PT"/>
              </w:rPr>
              <w:t>Directrizes</w:t>
            </w:r>
            <w:proofErr w:type="spellEnd"/>
            <w:r w:rsidRPr="00292532">
              <w:rPr>
                <w:rFonts w:asciiTheme="minorHAnsi" w:eastAsia="Times New Roman" w:hAnsiTheme="minorHAnsi" w:cstheme="minorHAnsi"/>
                <w:color w:val="000000"/>
                <w:sz w:val="20"/>
                <w:szCs w:val="20"/>
                <w:lang w:val="pt-PT"/>
              </w:rPr>
              <w:t xml:space="preserve"> de Gestão do Tráfego Rodoviário</w:t>
            </w:r>
          </w:p>
        </w:tc>
        <w:tc>
          <w:tcPr>
            <w:tcW w:w="1568" w:type="dxa"/>
            <w:hideMark/>
          </w:tcPr>
          <w:p w14:paraId="7E9DE5DC"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Empreiteiros </w:t>
            </w:r>
          </w:p>
        </w:tc>
        <w:tc>
          <w:tcPr>
            <w:tcW w:w="1191" w:type="dxa"/>
            <w:gridSpan w:val="2"/>
            <w:hideMark/>
          </w:tcPr>
          <w:p w14:paraId="0A883604"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w:t>
            </w: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 xml:space="preserve">; </w:t>
            </w:r>
          </w:p>
          <w:p w14:paraId="268CEC21"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t>;</w:t>
            </w:r>
            <w:r w:rsidRPr="00292532">
              <w:rPr>
                <w:rFonts w:asciiTheme="minorHAnsi" w:eastAsia="Times New Roman" w:hAnsiTheme="minorHAnsi" w:cstheme="minorHAnsi"/>
                <w:color w:val="000000"/>
                <w:sz w:val="20"/>
                <w:szCs w:val="20"/>
                <w:lang w:val="pt-PT"/>
              </w:rPr>
              <w:br/>
            </w:r>
            <w:proofErr w:type="spellStart"/>
            <w:r w:rsidRPr="00292532">
              <w:rPr>
                <w:rFonts w:asciiTheme="minorHAnsi" w:eastAsia="Times New Roman" w:hAnsiTheme="minorHAnsi" w:cstheme="minorHAnsi"/>
                <w:color w:val="000000"/>
                <w:sz w:val="20"/>
                <w:szCs w:val="20"/>
                <w:lang w:val="pt-PT"/>
              </w:rPr>
              <w:t>SPAs</w:t>
            </w:r>
            <w:proofErr w:type="spellEnd"/>
            <w:r w:rsidRPr="00292532">
              <w:rPr>
                <w:rFonts w:asciiTheme="minorHAnsi" w:eastAsia="Times New Roman" w:hAnsiTheme="minorHAnsi" w:cstheme="minorHAnsi"/>
                <w:color w:val="000000"/>
                <w:sz w:val="20"/>
                <w:szCs w:val="20"/>
                <w:lang w:val="pt-PT"/>
              </w:rPr>
              <w:t>;</w:t>
            </w:r>
          </w:p>
          <w:p w14:paraId="074B7C11"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DINAB;</w:t>
            </w:r>
          </w:p>
          <w:p w14:paraId="75E355FD"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Fiscais das obras</w:t>
            </w:r>
          </w:p>
        </w:tc>
      </w:tr>
      <w:tr w:rsidR="000615DB" w:rsidRPr="00292532" w14:paraId="6582D22E" w14:textId="77777777" w:rsidTr="004500AE">
        <w:trPr>
          <w:cnfStyle w:val="000000100000" w:firstRow="0" w:lastRow="0" w:firstColumn="0" w:lastColumn="0" w:oddVBand="0" w:evenVBand="0" w:oddHBand="1" w:evenHBand="0" w:firstRowFirstColumn="0" w:firstRowLastColumn="0" w:lastRowFirstColumn="0" w:lastRowLastColumn="0"/>
          <w:trHeight w:val="1702"/>
        </w:trPr>
        <w:tc>
          <w:tcPr>
            <w:cnfStyle w:val="001000000000" w:firstRow="0" w:lastRow="0" w:firstColumn="1" w:lastColumn="0" w:oddVBand="0" w:evenVBand="0" w:oddHBand="0" w:evenHBand="0" w:firstRowFirstColumn="0" w:firstRowLastColumn="0" w:lastRowFirstColumn="0" w:lastRowLastColumn="0"/>
            <w:tcW w:w="1972" w:type="dxa"/>
            <w:hideMark/>
          </w:tcPr>
          <w:p w14:paraId="5AB352E8"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Interferência com os recursos de património cultural </w:t>
            </w:r>
          </w:p>
        </w:tc>
        <w:tc>
          <w:tcPr>
            <w:tcW w:w="4747" w:type="dxa"/>
            <w:hideMark/>
          </w:tcPr>
          <w:p w14:paraId="2C8069D8"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•Deve ser prestada uma atenção especial aos sítios ou às estruturas de importância cultural, histórica, arqueológica, patrimonial e religiosa, </w:t>
            </w:r>
            <w:r w:rsidRPr="00292532">
              <w:rPr>
                <w:rFonts w:asciiTheme="minorHAnsi" w:eastAsia="Times New Roman" w:hAnsiTheme="minorHAnsi" w:cstheme="minorHAnsi"/>
                <w:color w:val="000000"/>
                <w:sz w:val="20"/>
                <w:szCs w:val="20"/>
                <w:lang w:val="pt-PT"/>
              </w:rPr>
              <w:br/>
              <w:t xml:space="preserve">•Em caso de necessidade de transferência de locais sagrados ou campas, os procedimentos a seguir devem obedecer o descrito no PAR e QPR. </w:t>
            </w:r>
          </w:p>
        </w:tc>
        <w:tc>
          <w:tcPr>
            <w:tcW w:w="0" w:type="dxa"/>
            <w:hideMark/>
          </w:tcPr>
          <w:p w14:paraId="55695BF5"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Pré-construção</w:t>
            </w:r>
          </w:p>
        </w:tc>
        <w:tc>
          <w:tcPr>
            <w:tcW w:w="2021" w:type="dxa"/>
            <w:hideMark/>
          </w:tcPr>
          <w:p w14:paraId="45F9B3B3"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PAR;</w:t>
            </w:r>
            <w:r w:rsidRPr="00292532">
              <w:rPr>
                <w:rFonts w:asciiTheme="minorHAnsi" w:eastAsia="Times New Roman" w:hAnsiTheme="minorHAnsi" w:cstheme="minorHAnsi"/>
                <w:color w:val="000000"/>
                <w:sz w:val="20"/>
                <w:szCs w:val="20"/>
                <w:lang w:val="pt-PT"/>
              </w:rPr>
              <w:br/>
              <w:t>QPR;</w:t>
            </w:r>
            <w:r w:rsidRPr="00292532">
              <w:rPr>
                <w:rFonts w:asciiTheme="minorHAnsi" w:eastAsia="Times New Roman" w:hAnsiTheme="minorHAnsi" w:cstheme="minorHAnsi"/>
                <w:color w:val="000000"/>
                <w:sz w:val="20"/>
                <w:szCs w:val="20"/>
                <w:lang w:val="pt-PT"/>
              </w:rPr>
              <w:br/>
              <w:t>PGAS;</w:t>
            </w:r>
            <w:r w:rsidRPr="00292532">
              <w:rPr>
                <w:rFonts w:asciiTheme="minorHAnsi" w:eastAsia="Times New Roman" w:hAnsiTheme="minorHAnsi" w:cstheme="minorHAnsi"/>
                <w:color w:val="000000"/>
                <w:sz w:val="20"/>
                <w:szCs w:val="20"/>
                <w:lang w:val="pt-PT"/>
              </w:rPr>
              <w:br/>
              <w:t>Procedimento de Gestão de Património Cultural (PGPC);</w:t>
            </w:r>
          </w:p>
        </w:tc>
        <w:tc>
          <w:tcPr>
            <w:tcW w:w="1568" w:type="dxa"/>
            <w:hideMark/>
          </w:tcPr>
          <w:p w14:paraId="176FB0DF"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Empreiteiros; </w:t>
            </w:r>
            <w:proofErr w:type="spellStart"/>
            <w:r w:rsidRPr="00292532">
              <w:rPr>
                <w:rFonts w:asciiTheme="minorHAnsi" w:eastAsia="Times New Roman" w:hAnsiTheme="minorHAnsi" w:cstheme="minorHAnsi"/>
                <w:color w:val="000000"/>
                <w:sz w:val="20"/>
                <w:szCs w:val="20"/>
                <w:lang w:val="pt-PT"/>
              </w:rPr>
              <w:t>UIPs</w:t>
            </w:r>
            <w:proofErr w:type="spellEnd"/>
          </w:p>
        </w:tc>
        <w:tc>
          <w:tcPr>
            <w:tcW w:w="1191" w:type="dxa"/>
            <w:gridSpan w:val="2"/>
            <w:hideMark/>
          </w:tcPr>
          <w:p w14:paraId="32E1227F"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MTA;</w:t>
            </w:r>
          </w:p>
          <w:p w14:paraId="01F5208E"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t xml:space="preserve">; </w:t>
            </w:r>
          </w:p>
          <w:p w14:paraId="33EEA6D4"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
        </w:tc>
      </w:tr>
      <w:tr w:rsidR="000615DB" w:rsidRPr="00292532" w14:paraId="6D628E7F" w14:textId="77777777" w:rsidTr="004500AE">
        <w:trPr>
          <w:trHeight w:val="802"/>
        </w:trPr>
        <w:tc>
          <w:tcPr>
            <w:cnfStyle w:val="001000000000" w:firstRow="0" w:lastRow="0" w:firstColumn="1" w:lastColumn="0" w:oddVBand="0" w:evenVBand="0" w:oddHBand="0" w:evenHBand="0" w:firstRowFirstColumn="0" w:firstRowLastColumn="0" w:lastRowFirstColumn="0" w:lastRowLastColumn="0"/>
            <w:tcW w:w="1972" w:type="dxa"/>
            <w:hideMark/>
          </w:tcPr>
          <w:p w14:paraId="66C62445"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Geração de expectativas, insegurança e ansiedade da população em relação ao </w:t>
            </w:r>
            <w:proofErr w:type="spellStart"/>
            <w:r w:rsidRPr="00292532">
              <w:rPr>
                <w:rFonts w:asciiTheme="minorHAnsi" w:eastAsia="Times New Roman" w:hAnsiTheme="minorHAnsi" w:cstheme="minorHAnsi"/>
                <w:color w:val="000000"/>
                <w:sz w:val="20"/>
                <w:szCs w:val="20"/>
                <w:lang w:val="pt-PT"/>
              </w:rPr>
              <w:t>Projecto</w:t>
            </w:r>
            <w:proofErr w:type="spellEnd"/>
          </w:p>
        </w:tc>
        <w:tc>
          <w:tcPr>
            <w:tcW w:w="4747" w:type="dxa"/>
            <w:hideMark/>
          </w:tcPr>
          <w:p w14:paraId="5A6A6B0B"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 Disseminação de informação sobre os requisitos da força de trabalho do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número ou pessoal necessário, bem como profissões específicas e capacidades necessárias para preenchimento das funções.</w:t>
            </w:r>
            <w:r w:rsidRPr="00292532">
              <w:rPr>
                <w:rFonts w:asciiTheme="minorHAnsi" w:eastAsia="Times New Roman" w:hAnsiTheme="minorHAnsi" w:cstheme="minorHAnsi"/>
                <w:color w:val="000000"/>
                <w:sz w:val="20"/>
                <w:szCs w:val="20"/>
                <w:lang w:val="pt-PT"/>
              </w:rPr>
              <w:br/>
              <w:t xml:space="preserve">• procedimentos de recrutamento deverão ser transparentes e monitorizados, assegurando que os recrutados apresentam a sua experiência </w:t>
            </w:r>
            <w:proofErr w:type="spellStart"/>
            <w:r w:rsidRPr="00292532">
              <w:rPr>
                <w:rFonts w:asciiTheme="minorHAnsi" w:eastAsia="Times New Roman" w:hAnsiTheme="minorHAnsi" w:cstheme="minorHAnsi"/>
                <w:color w:val="000000"/>
                <w:sz w:val="20"/>
                <w:szCs w:val="20"/>
                <w:lang w:val="pt-PT"/>
              </w:rPr>
              <w:t>actual</w:t>
            </w:r>
            <w:proofErr w:type="spellEnd"/>
            <w:r w:rsidRPr="00292532">
              <w:rPr>
                <w:rFonts w:asciiTheme="minorHAnsi" w:eastAsia="Times New Roman" w:hAnsiTheme="minorHAnsi" w:cstheme="minorHAnsi"/>
                <w:color w:val="000000"/>
                <w:sz w:val="20"/>
                <w:szCs w:val="20"/>
                <w:lang w:val="pt-PT"/>
              </w:rPr>
              <w:t>, estado de saúde e idade. Não deverão ser empregues crianças (menores de 18 anos de idade) pelo Mutuários e contratadas.</w:t>
            </w:r>
            <w:r w:rsidRPr="00292532">
              <w:rPr>
                <w:rFonts w:asciiTheme="minorHAnsi" w:eastAsia="Times New Roman" w:hAnsiTheme="minorHAnsi" w:cstheme="minorHAnsi"/>
                <w:color w:val="000000"/>
                <w:sz w:val="20"/>
                <w:szCs w:val="20"/>
                <w:lang w:val="pt-PT"/>
              </w:rPr>
              <w:br/>
            </w:r>
            <w:r w:rsidRPr="00292532">
              <w:rPr>
                <w:rFonts w:asciiTheme="minorHAnsi" w:eastAsia="Times New Roman" w:hAnsiTheme="minorHAnsi" w:cstheme="minorHAnsi"/>
                <w:color w:val="000000"/>
                <w:sz w:val="20"/>
                <w:szCs w:val="20"/>
                <w:lang w:val="pt-PT"/>
              </w:rPr>
              <w:lastRenderedPageBreak/>
              <w:t xml:space="preserve">• Prioridade a contratação de mão-de-obra local e criação de condições e programas para a contratação de refugiados </w:t>
            </w:r>
            <w:r w:rsidRPr="00292532">
              <w:rPr>
                <w:rFonts w:asciiTheme="minorHAnsi" w:eastAsia="Times New Roman" w:hAnsiTheme="minorHAnsi" w:cstheme="minorHAnsi"/>
                <w:color w:val="000000"/>
                <w:sz w:val="20"/>
                <w:szCs w:val="20"/>
                <w:lang w:val="pt-PT"/>
              </w:rPr>
              <w:br/>
              <w:t xml:space="preserve">• Divulgação da informação sobre as oportunidades de aquisição e requisitos tão cedo seja possível, em coordenação com as autoridades locais </w:t>
            </w:r>
          </w:p>
        </w:tc>
        <w:tc>
          <w:tcPr>
            <w:tcW w:w="0" w:type="dxa"/>
            <w:hideMark/>
          </w:tcPr>
          <w:p w14:paraId="3F996820"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Fase de pré-construção e de construção</w:t>
            </w:r>
          </w:p>
        </w:tc>
        <w:tc>
          <w:tcPr>
            <w:tcW w:w="2021" w:type="dxa"/>
            <w:hideMark/>
          </w:tcPr>
          <w:p w14:paraId="7B3C7960"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PGAS;</w:t>
            </w:r>
          </w:p>
          <w:p w14:paraId="5A094B57"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
        </w:tc>
        <w:tc>
          <w:tcPr>
            <w:tcW w:w="1568" w:type="dxa"/>
            <w:hideMark/>
          </w:tcPr>
          <w:p w14:paraId="319C1F00"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Empreiteiros;</w:t>
            </w:r>
          </w:p>
        </w:tc>
        <w:tc>
          <w:tcPr>
            <w:tcW w:w="1191" w:type="dxa"/>
            <w:gridSpan w:val="2"/>
            <w:hideMark/>
          </w:tcPr>
          <w:p w14:paraId="4D5E0709"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w:t>
            </w:r>
            <w:proofErr w:type="spellStart"/>
            <w:r w:rsidRPr="00292532">
              <w:rPr>
                <w:rFonts w:asciiTheme="minorHAnsi" w:eastAsia="Times New Roman" w:hAnsiTheme="minorHAnsi" w:cstheme="minorHAnsi"/>
                <w:color w:val="000000"/>
                <w:sz w:val="20"/>
                <w:szCs w:val="20"/>
                <w:lang w:val="pt-PT"/>
              </w:rPr>
              <w:t>UTPs</w:t>
            </w:r>
            <w:proofErr w:type="spellEnd"/>
          </w:p>
          <w:p w14:paraId="2B40BB6A"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p>
        </w:tc>
      </w:tr>
    </w:tbl>
    <w:p w14:paraId="790198CB" w14:textId="77777777" w:rsidR="000615DB" w:rsidRPr="00292532" w:rsidRDefault="000615DB" w:rsidP="000615DB">
      <w:pPr>
        <w:rPr>
          <w:lang w:val="pt-PT"/>
        </w:rPr>
      </w:pPr>
    </w:p>
    <w:p w14:paraId="4D4F8AEC" w14:textId="77777777" w:rsidR="000615DB" w:rsidRPr="00292532" w:rsidRDefault="000615DB" w:rsidP="000615DB">
      <w:pPr>
        <w:pStyle w:val="Caption"/>
      </w:pPr>
    </w:p>
    <w:p w14:paraId="7F915E37" w14:textId="77777777" w:rsidR="000615DB" w:rsidRPr="00292532" w:rsidRDefault="000615DB" w:rsidP="000615DB">
      <w:pPr>
        <w:pStyle w:val="Caption"/>
      </w:pPr>
    </w:p>
    <w:p w14:paraId="06D8660F" w14:textId="77777777" w:rsidR="000615DB" w:rsidRPr="00292532" w:rsidRDefault="000615DB" w:rsidP="000615DB">
      <w:pPr>
        <w:pStyle w:val="Caption"/>
      </w:pPr>
      <w:r w:rsidRPr="00292532">
        <w:t>Tabela 10: Medidas de Mitigação Ambientais e Sociais na fase de construção</w:t>
      </w:r>
    </w:p>
    <w:tbl>
      <w:tblPr>
        <w:tblStyle w:val="ListTable4-Accent1"/>
        <w:tblW w:w="14896" w:type="dxa"/>
        <w:tblLook w:val="04A0" w:firstRow="1" w:lastRow="0" w:firstColumn="1" w:lastColumn="0" w:noHBand="0" w:noVBand="1"/>
      </w:tblPr>
      <w:tblGrid>
        <w:gridCol w:w="1652"/>
        <w:gridCol w:w="5453"/>
        <w:gridCol w:w="2377"/>
        <w:gridCol w:w="1793"/>
        <w:gridCol w:w="2402"/>
        <w:gridCol w:w="1219"/>
      </w:tblGrid>
      <w:tr w:rsidR="000615DB" w:rsidRPr="00292532" w14:paraId="2DCCC4C6" w14:textId="77777777" w:rsidTr="006174BB">
        <w:trPr>
          <w:cnfStyle w:val="100000000000" w:firstRow="1" w:lastRow="0" w:firstColumn="0" w:lastColumn="0" w:oddVBand="0" w:evenVBand="0" w:oddHBand="0" w:evenHBand="0" w:firstRowFirstColumn="0" w:firstRowLastColumn="0" w:lastRowFirstColumn="0" w:lastRowLastColumn="0"/>
          <w:trHeight w:val="260"/>
          <w:tblHeader/>
        </w:trPr>
        <w:tc>
          <w:tcPr>
            <w:cnfStyle w:val="001000000000" w:firstRow="0" w:lastRow="0" w:firstColumn="1" w:lastColumn="0" w:oddVBand="0" w:evenVBand="0" w:oddHBand="0" w:evenHBand="0" w:firstRowFirstColumn="0" w:firstRowLastColumn="0" w:lastRowFirstColumn="0" w:lastRowLastColumn="0"/>
            <w:tcW w:w="1652" w:type="dxa"/>
            <w:vMerge w:val="restart"/>
            <w:hideMark/>
          </w:tcPr>
          <w:p w14:paraId="36D00D84" w14:textId="77777777" w:rsidR="000615DB" w:rsidRPr="00292532" w:rsidRDefault="000615DB" w:rsidP="006174BB">
            <w:pPr>
              <w:spacing w:before="0"/>
              <w:jc w:val="center"/>
              <w:rPr>
                <w:rFonts w:asciiTheme="minorHAnsi" w:eastAsia="Times New Roman" w:hAnsiTheme="minorHAnsi" w:cstheme="minorHAnsi"/>
                <w:sz w:val="20"/>
                <w:szCs w:val="20"/>
                <w:lang w:val="pt-PT"/>
              </w:rPr>
            </w:pPr>
            <w:r w:rsidRPr="00292532">
              <w:rPr>
                <w:rFonts w:asciiTheme="minorHAnsi" w:eastAsia="Times New Roman" w:hAnsiTheme="minorHAnsi" w:cstheme="minorHAnsi"/>
                <w:sz w:val="20"/>
                <w:szCs w:val="20"/>
                <w:lang w:val="pt-PT"/>
              </w:rPr>
              <w:t>Riscos e Impactos Potenciais</w:t>
            </w:r>
          </w:p>
        </w:tc>
        <w:tc>
          <w:tcPr>
            <w:tcW w:w="5453" w:type="dxa"/>
            <w:vMerge w:val="restart"/>
            <w:hideMark/>
          </w:tcPr>
          <w:p w14:paraId="66A3400A" w14:textId="77777777" w:rsidR="000615DB" w:rsidRPr="00292532" w:rsidRDefault="000615DB" w:rsidP="006174BB">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r w:rsidRPr="00292532">
              <w:rPr>
                <w:rFonts w:asciiTheme="minorHAnsi" w:eastAsia="Times New Roman" w:hAnsiTheme="minorHAnsi" w:cstheme="minorHAnsi"/>
                <w:sz w:val="20"/>
                <w:szCs w:val="20"/>
                <w:lang w:val="pt-PT"/>
              </w:rPr>
              <w:t xml:space="preserve">Mitigação </w:t>
            </w:r>
          </w:p>
        </w:tc>
        <w:tc>
          <w:tcPr>
            <w:tcW w:w="2377" w:type="dxa"/>
            <w:vMerge w:val="restart"/>
            <w:hideMark/>
          </w:tcPr>
          <w:p w14:paraId="1FDCBD97" w14:textId="77777777" w:rsidR="000615DB" w:rsidRPr="00292532" w:rsidRDefault="000615DB" w:rsidP="006174BB">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proofErr w:type="spellStart"/>
            <w:r w:rsidRPr="00292532">
              <w:rPr>
                <w:rFonts w:asciiTheme="minorHAnsi" w:eastAsia="Times New Roman" w:hAnsiTheme="minorHAnsi" w:cstheme="minorHAnsi"/>
                <w:sz w:val="20"/>
                <w:szCs w:val="20"/>
                <w:lang w:val="pt-PT"/>
              </w:rPr>
              <w:t>Actividade</w:t>
            </w:r>
            <w:proofErr w:type="spellEnd"/>
            <w:r w:rsidRPr="00292532">
              <w:rPr>
                <w:rFonts w:asciiTheme="minorHAnsi" w:eastAsia="Times New Roman" w:hAnsiTheme="minorHAnsi" w:cstheme="minorHAnsi"/>
                <w:sz w:val="20"/>
                <w:szCs w:val="20"/>
                <w:lang w:val="pt-PT"/>
              </w:rPr>
              <w:t>/Fase/Processo</w:t>
            </w:r>
          </w:p>
        </w:tc>
        <w:tc>
          <w:tcPr>
            <w:tcW w:w="1793" w:type="dxa"/>
            <w:vMerge w:val="restart"/>
            <w:hideMark/>
          </w:tcPr>
          <w:p w14:paraId="72620A4B" w14:textId="77777777" w:rsidR="000615DB" w:rsidRPr="00292532" w:rsidRDefault="000615DB" w:rsidP="006174BB">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r w:rsidRPr="00292532">
              <w:rPr>
                <w:rFonts w:asciiTheme="minorHAnsi" w:eastAsia="Times New Roman" w:hAnsiTheme="minorHAnsi" w:cstheme="minorHAnsi"/>
                <w:sz w:val="20"/>
                <w:szCs w:val="20"/>
                <w:lang w:val="pt-PT"/>
              </w:rPr>
              <w:t xml:space="preserve">Instrumentos de gestão </w:t>
            </w:r>
          </w:p>
        </w:tc>
        <w:tc>
          <w:tcPr>
            <w:tcW w:w="3621" w:type="dxa"/>
            <w:gridSpan w:val="2"/>
            <w:hideMark/>
          </w:tcPr>
          <w:p w14:paraId="3631C12E" w14:textId="77777777" w:rsidR="000615DB" w:rsidRPr="00292532" w:rsidRDefault="000615DB" w:rsidP="006174BB">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r w:rsidRPr="00292532">
              <w:rPr>
                <w:rFonts w:asciiTheme="minorHAnsi" w:eastAsia="Times New Roman" w:hAnsiTheme="minorHAnsi" w:cstheme="minorHAnsi"/>
                <w:sz w:val="20"/>
                <w:szCs w:val="20"/>
                <w:lang w:val="pt-PT"/>
              </w:rPr>
              <w:t>Responsabilidades</w:t>
            </w:r>
          </w:p>
        </w:tc>
      </w:tr>
      <w:tr w:rsidR="000615DB" w:rsidRPr="00292532" w14:paraId="7AA7DB3D" w14:textId="77777777" w:rsidTr="006174BB">
        <w:trPr>
          <w:cnfStyle w:val="100000000000" w:firstRow="1" w:lastRow="0" w:firstColumn="0" w:lastColumn="0" w:oddVBand="0" w:evenVBand="0" w:oddHBand="0" w:evenHBand="0" w:firstRowFirstColumn="0" w:firstRowLastColumn="0" w:lastRowFirstColumn="0" w:lastRowLastColumn="0"/>
          <w:trHeight w:val="260"/>
          <w:tblHeader/>
        </w:trPr>
        <w:tc>
          <w:tcPr>
            <w:cnfStyle w:val="001000000000" w:firstRow="0" w:lastRow="0" w:firstColumn="1" w:lastColumn="0" w:oddVBand="0" w:evenVBand="0" w:oddHBand="0" w:evenHBand="0" w:firstRowFirstColumn="0" w:firstRowLastColumn="0" w:lastRowFirstColumn="0" w:lastRowLastColumn="0"/>
            <w:tcW w:w="1652" w:type="dxa"/>
            <w:vMerge/>
            <w:hideMark/>
          </w:tcPr>
          <w:p w14:paraId="23A5A936" w14:textId="77777777" w:rsidR="000615DB" w:rsidRPr="00292532" w:rsidRDefault="000615DB" w:rsidP="006174BB">
            <w:pPr>
              <w:spacing w:before="0"/>
              <w:jc w:val="left"/>
              <w:rPr>
                <w:rFonts w:asciiTheme="minorHAnsi" w:eastAsia="Times New Roman" w:hAnsiTheme="minorHAnsi" w:cstheme="minorHAnsi"/>
                <w:sz w:val="20"/>
                <w:szCs w:val="20"/>
                <w:lang w:val="pt-PT"/>
              </w:rPr>
            </w:pPr>
          </w:p>
        </w:tc>
        <w:tc>
          <w:tcPr>
            <w:tcW w:w="5453" w:type="dxa"/>
            <w:vMerge/>
            <w:hideMark/>
          </w:tcPr>
          <w:p w14:paraId="255948D2" w14:textId="77777777" w:rsidR="000615DB" w:rsidRPr="00292532" w:rsidRDefault="000615DB" w:rsidP="006174BB">
            <w:pPr>
              <w:spacing w:befor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p>
        </w:tc>
        <w:tc>
          <w:tcPr>
            <w:tcW w:w="2377" w:type="dxa"/>
            <w:vMerge/>
            <w:hideMark/>
          </w:tcPr>
          <w:p w14:paraId="6D4B6FB6" w14:textId="77777777" w:rsidR="000615DB" w:rsidRPr="00292532" w:rsidRDefault="000615DB" w:rsidP="006174BB">
            <w:pPr>
              <w:spacing w:befor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p>
        </w:tc>
        <w:tc>
          <w:tcPr>
            <w:tcW w:w="1793" w:type="dxa"/>
            <w:vMerge/>
            <w:hideMark/>
          </w:tcPr>
          <w:p w14:paraId="020987A4" w14:textId="77777777" w:rsidR="000615DB" w:rsidRPr="00292532" w:rsidRDefault="000615DB" w:rsidP="006174BB">
            <w:pPr>
              <w:spacing w:befor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p>
        </w:tc>
        <w:tc>
          <w:tcPr>
            <w:tcW w:w="2402" w:type="dxa"/>
            <w:hideMark/>
          </w:tcPr>
          <w:p w14:paraId="42A54F0F" w14:textId="77777777" w:rsidR="000615DB" w:rsidRPr="00292532" w:rsidRDefault="000615DB" w:rsidP="006174BB">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r w:rsidRPr="00292532">
              <w:rPr>
                <w:rFonts w:asciiTheme="minorHAnsi" w:eastAsia="Times New Roman" w:hAnsiTheme="minorHAnsi" w:cstheme="minorHAnsi"/>
                <w:sz w:val="20"/>
                <w:szCs w:val="20"/>
                <w:lang w:val="pt-PT"/>
              </w:rPr>
              <w:t>Implementação</w:t>
            </w:r>
          </w:p>
        </w:tc>
        <w:tc>
          <w:tcPr>
            <w:tcW w:w="1219" w:type="dxa"/>
            <w:hideMark/>
          </w:tcPr>
          <w:p w14:paraId="5AD6B9EF" w14:textId="77777777" w:rsidR="000615DB" w:rsidRPr="00292532" w:rsidRDefault="000615DB" w:rsidP="006174BB">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r w:rsidRPr="00292532">
              <w:rPr>
                <w:rFonts w:asciiTheme="minorHAnsi" w:eastAsia="Times New Roman" w:hAnsiTheme="minorHAnsi" w:cstheme="minorHAnsi"/>
                <w:sz w:val="20"/>
                <w:szCs w:val="20"/>
                <w:lang w:val="pt-PT"/>
              </w:rPr>
              <w:t>Monitoria</w:t>
            </w:r>
          </w:p>
        </w:tc>
      </w:tr>
      <w:tr w:rsidR="000615DB" w:rsidRPr="004E2EAC" w14:paraId="364AE246" w14:textId="77777777" w:rsidTr="006174BB">
        <w:trPr>
          <w:cnfStyle w:val="000000100000" w:firstRow="0" w:lastRow="0" w:firstColumn="0" w:lastColumn="0" w:oddVBand="0" w:evenVBand="0" w:oddHBand="1"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1652" w:type="dxa"/>
            <w:hideMark/>
          </w:tcPr>
          <w:p w14:paraId="1492B610"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Emissões atmosféricas (poeiras, gases de combustão)</w:t>
            </w:r>
          </w:p>
        </w:tc>
        <w:tc>
          <w:tcPr>
            <w:tcW w:w="5453" w:type="dxa"/>
            <w:hideMark/>
          </w:tcPr>
          <w:p w14:paraId="5B5F43E0"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Os camiões de transporte de materiais inertes deverão ser providos de uma cobertura, quando em trânsito, especialmente quando estes estiverem a circular em zonas com povoações e trechos críticos</w:t>
            </w:r>
            <w:r w:rsidRPr="00292532">
              <w:rPr>
                <w:rFonts w:asciiTheme="minorHAnsi" w:eastAsia="Times New Roman" w:hAnsiTheme="minorHAnsi" w:cstheme="minorHAnsi"/>
                <w:color w:val="000000"/>
                <w:sz w:val="20"/>
                <w:szCs w:val="20"/>
                <w:lang w:val="pt-PT"/>
              </w:rPr>
              <w:br/>
              <w:t xml:space="preserve">• Sempre que praticável, </w:t>
            </w:r>
            <w:proofErr w:type="spellStart"/>
            <w:r w:rsidRPr="00292532">
              <w:rPr>
                <w:rFonts w:asciiTheme="minorHAnsi" w:eastAsia="Times New Roman" w:hAnsiTheme="minorHAnsi" w:cstheme="minorHAnsi"/>
                <w:color w:val="000000"/>
                <w:sz w:val="20"/>
                <w:szCs w:val="20"/>
                <w:lang w:val="pt-PT"/>
              </w:rPr>
              <w:t>revegetação</w:t>
            </w:r>
            <w:proofErr w:type="spellEnd"/>
            <w:r w:rsidRPr="00292532">
              <w:rPr>
                <w:rFonts w:asciiTheme="minorHAnsi" w:eastAsia="Times New Roman" w:hAnsiTheme="minorHAnsi" w:cstheme="minorHAnsi"/>
                <w:color w:val="000000"/>
                <w:sz w:val="20"/>
                <w:szCs w:val="20"/>
                <w:lang w:val="pt-PT"/>
              </w:rPr>
              <w:t xml:space="preserve">, compactação e estabilização dos solos </w:t>
            </w:r>
            <w:proofErr w:type="spellStart"/>
            <w:r w:rsidRPr="00292532">
              <w:rPr>
                <w:rFonts w:asciiTheme="minorHAnsi" w:eastAsia="Times New Roman" w:hAnsiTheme="minorHAnsi" w:cstheme="minorHAnsi"/>
                <w:color w:val="000000"/>
                <w:sz w:val="20"/>
                <w:szCs w:val="20"/>
                <w:lang w:val="pt-PT"/>
              </w:rPr>
              <w:t>afectados</w:t>
            </w:r>
            <w:proofErr w:type="spellEnd"/>
            <w:r w:rsidRPr="00292532">
              <w:rPr>
                <w:rFonts w:asciiTheme="minorHAnsi" w:eastAsia="Times New Roman" w:hAnsiTheme="minorHAnsi" w:cstheme="minorHAnsi"/>
                <w:color w:val="000000"/>
                <w:sz w:val="20"/>
                <w:szCs w:val="20"/>
                <w:lang w:val="pt-PT"/>
              </w:rPr>
              <w:br/>
              <w:t>• Uso de água para eliminação de poeiras, controlo de materiais soltos nos depósitos e faixa de trabalho.</w:t>
            </w:r>
            <w:r w:rsidRPr="00292532">
              <w:rPr>
                <w:rFonts w:asciiTheme="minorHAnsi" w:eastAsia="Times New Roman" w:hAnsiTheme="minorHAnsi" w:cstheme="minorHAnsi"/>
                <w:color w:val="000000"/>
                <w:sz w:val="20"/>
                <w:szCs w:val="20"/>
                <w:lang w:val="pt-PT"/>
              </w:rPr>
              <w:br/>
              <w:t>• Os veículos e maquinaria devem ser desligados quando não se encontrarem em utilização.</w:t>
            </w:r>
            <w:r w:rsidRPr="00292532">
              <w:rPr>
                <w:rFonts w:asciiTheme="minorHAnsi" w:eastAsia="Times New Roman" w:hAnsiTheme="minorHAnsi" w:cstheme="minorHAnsi"/>
                <w:color w:val="000000"/>
                <w:sz w:val="20"/>
                <w:szCs w:val="20"/>
                <w:lang w:val="pt-PT"/>
              </w:rPr>
              <w:br/>
              <w:t>• Assegurar a regular pulverização com água das superfícies expostas para aumentar a humidade da superfície</w:t>
            </w:r>
            <w:r w:rsidRPr="00292532">
              <w:rPr>
                <w:rFonts w:asciiTheme="minorHAnsi" w:eastAsia="Times New Roman" w:hAnsiTheme="minorHAnsi" w:cstheme="minorHAnsi"/>
                <w:color w:val="000000"/>
                <w:sz w:val="20"/>
                <w:szCs w:val="20"/>
                <w:lang w:val="pt-PT"/>
              </w:rPr>
              <w:br/>
              <w:t xml:space="preserve">• Aplicação de princípios de melhores técnicas disponíveis, especificações de emissões gasosas e energéticos na </w:t>
            </w:r>
            <w:proofErr w:type="spellStart"/>
            <w:r w:rsidRPr="00292532">
              <w:rPr>
                <w:rFonts w:asciiTheme="minorHAnsi" w:eastAsia="Times New Roman" w:hAnsiTheme="minorHAnsi" w:cstheme="minorHAnsi"/>
                <w:color w:val="000000"/>
                <w:sz w:val="20"/>
                <w:szCs w:val="20"/>
                <w:lang w:val="pt-PT"/>
              </w:rPr>
              <w:t>selecção</w:t>
            </w:r>
            <w:proofErr w:type="spellEnd"/>
            <w:r w:rsidRPr="00292532">
              <w:rPr>
                <w:rFonts w:asciiTheme="minorHAnsi" w:eastAsia="Times New Roman" w:hAnsiTheme="minorHAnsi" w:cstheme="minorHAnsi"/>
                <w:color w:val="000000"/>
                <w:sz w:val="20"/>
                <w:szCs w:val="20"/>
                <w:lang w:val="pt-PT"/>
              </w:rPr>
              <w:t xml:space="preserve"> e </w:t>
            </w:r>
            <w:r w:rsidRPr="00292532">
              <w:rPr>
                <w:rFonts w:asciiTheme="minorHAnsi" w:eastAsia="Times New Roman" w:hAnsiTheme="minorHAnsi" w:cstheme="minorHAnsi"/>
                <w:color w:val="000000"/>
                <w:sz w:val="20"/>
                <w:szCs w:val="20"/>
                <w:lang w:val="pt-PT"/>
              </w:rPr>
              <w:lastRenderedPageBreak/>
              <w:t>aquisição de equipamento.</w:t>
            </w:r>
            <w:r w:rsidRPr="00292532">
              <w:rPr>
                <w:rFonts w:asciiTheme="minorHAnsi" w:eastAsia="Times New Roman" w:hAnsiTheme="minorHAnsi" w:cstheme="minorHAnsi"/>
                <w:color w:val="000000"/>
                <w:sz w:val="20"/>
                <w:szCs w:val="20"/>
                <w:lang w:val="pt-PT"/>
              </w:rPr>
              <w:br/>
              <w:t xml:space="preserve">• Os geradores devem ser bem mantidos (incluindo as </w:t>
            </w:r>
            <w:proofErr w:type="spellStart"/>
            <w:r w:rsidRPr="00292532">
              <w:rPr>
                <w:rFonts w:asciiTheme="minorHAnsi" w:eastAsia="Times New Roman" w:hAnsiTheme="minorHAnsi" w:cstheme="minorHAnsi"/>
                <w:color w:val="000000"/>
                <w:sz w:val="20"/>
                <w:szCs w:val="20"/>
                <w:lang w:val="pt-PT"/>
              </w:rPr>
              <w:t>inspecções</w:t>
            </w:r>
            <w:proofErr w:type="spellEnd"/>
            <w:r w:rsidRPr="00292532">
              <w:rPr>
                <w:rFonts w:asciiTheme="minorHAnsi" w:eastAsia="Times New Roman" w:hAnsiTheme="minorHAnsi" w:cstheme="minorHAnsi"/>
                <w:color w:val="000000"/>
                <w:sz w:val="20"/>
                <w:szCs w:val="20"/>
                <w:lang w:val="pt-PT"/>
              </w:rPr>
              <w:t xml:space="preserve"> de manutenção recomendadas pelo fabricante).</w:t>
            </w:r>
            <w:r w:rsidRPr="00292532">
              <w:rPr>
                <w:rFonts w:asciiTheme="minorHAnsi" w:eastAsia="Times New Roman" w:hAnsiTheme="minorHAnsi" w:cstheme="minorHAnsi"/>
                <w:color w:val="000000"/>
                <w:sz w:val="20"/>
                <w:szCs w:val="20"/>
                <w:lang w:val="pt-PT"/>
              </w:rPr>
              <w:br/>
              <w:t xml:space="preserve">• Os geradores devem estar localizados a sotavento a uma distância mínima de 100 m das áreas frequentadas pelo pessoal. </w:t>
            </w:r>
            <w:r w:rsidRPr="00292532">
              <w:rPr>
                <w:rFonts w:asciiTheme="minorHAnsi" w:eastAsia="Times New Roman" w:hAnsiTheme="minorHAnsi" w:cstheme="minorHAnsi"/>
                <w:color w:val="000000"/>
                <w:sz w:val="20"/>
                <w:szCs w:val="20"/>
                <w:lang w:val="pt-PT"/>
              </w:rPr>
              <w:br/>
              <w:t xml:space="preserve">• Implementar medidas de gestão de tráfego. </w:t>
            </w:r>
            <w:r w:rsidRPr="00292532">
              <w:rPr>
                <w:rFonts w:asciiTheme="minorHAnsi" w:eastAsia="Times New Roman" w:hAnsiTheme="minorHAnsi" w:cstheme="minorHAnsi"/>
                <w:color w:val="000000"/>
                <w:sz w:val="20"/>
                <w:szCs w:val="20"/>
                <w:lang w:val="pt-PT"/>
              </w:rPr>
              <w:br/>
              <w:t>• Verificações de manutenção regular e mantidos registos em todos os veículos e maquinaria.</w:t>
            </w:r>
            <w:r w:rsidRPr="00292532">
              <w:rPr>
                <w:rFonts w:asciiTheme="minorHAnsi" w:eastAsia="Times New Roman" w:hAnsiTheme="minorHAnsi" w:cstheme="minorHAnsi"/>
                <w:color w:val="000000"/>
                <w:sz w:val="20"/>
                <w:szCs w:val="20"/>
                <w:lang w:val="pt-PT"/>
              </w:rPr>
              <w:br/>
              <w:t xml:space="preserve">• Planeamento de </w:t>
            </w:r>
            <w:proofErr w:type="spellStart"/>
            <w:r w:rsidRPr="00292532">
              <w:rPr>
                <w:rFonts w:asciiTheme="minorHAnsi" w:eastAsia="Times New Roman" w:hAnsiTheme="minorHAnsi" w:cstheme="minorHAnsi"/>
                <w:color w:val="000000"/>
                <w:sz w:val="20"/>
                <w:szCs w:val="20"/>
                <w:lang w:val="pt-PT"/>
              </w:rPr>
              <w:t>actividades</w:t>
            </w:r>
            <w:proofErr w:type="spellEnd"/>
            <w:r w:rsidRPr="00292532">
              <w:rPr>
                <w:rFonts w:asciiTheme="minorHAnsi" w:eastAsia="Times New Roman" w:hAnsiTheme="minorHAnsi" w:cstheme="minorHAnsi"/>
                <w:color w:val="000000"/>
                <w:sz w:val="20"/>
                <w:szCs w:val="20"/>
                <w:lang w:val="pt-PT"/>
              </w:rPr>
              <w:t xml:space="preserve"> para minimizar o uso de veículos e maquinaria.</w:t>
            </w:r>
            <w:r w:rsidRPr="00292532">
              <w:rPr>
                <w:rFonts w:asciiTheme="minorHAnsi" w:eastAsia="Times New Roman" w:hAnsiTheme="minorHAnsi" w:cstheme="minorHAnsi"/>
                <w:color w:val="000000"/>
                <w:sz w:val="20"/>
                <w:szCs w:val="20"/>
                <w:lang w:val="pt-PT"/>
              </w:rPr>
              <w:br/>
              <w:t>• Implementação de limites de velocidade</w:t>
            </w:r>
            <w:r w:rsidRPr="00292532">
              <w:rPr>
                <w:rFonts w:asciiTheme="minorHAnsi" w:eastAsia="Times New Roman" w:hAnsiTheme="minorHAnsi" w:cstheme="minorHAnsi"/>
                <w:color w:val="000000"/>
                <w:sz w:val="20"/>
                <w:szCs w:val="20"/>
                <w:lang w:val="pt-PT"/>
              </w:rPr>
              <w:br/>
              <w:t>• Deve ser mantido um registo dos condutores com formação.</w:t>
            </w:r>
            <w:r w:rsidRPr="00292532">
              <w:rPr>
                <w:rFonts w:asciiTheme="minorHAnsi" w:eastAsia="Times New Roman" w:hAnsiTheme="minorHAnsi" w:cstheme="minorHAnsi"/>
                <w:color w:val="000000"/>
                <w:sz w:val="20"/>
                <w:szCs w:val="20"/>
                <w:lang w:val="pt-PT"/>
              </w:rPr>
              <w:br/>
              <w:t xml:space="preserve">• Realização de campanhas de consciencialização sobre condução defensiva </w:t>
            </w:r>
            <w:r w:rsidRPr="00292532">
              <w:rPr>
                <w:rFonts w:asciiTheme="minorHAnsi" w:eastAsia="Times New Roman" w:hAnsiTheme="minorHAnsi" w:cstheme="minorHAnsi"/>
                <w:color w:val="000000"/>
                <w:sz w:val="20"/>
                <w:szCs w:val="20"/>
                <w:lang w:val="pt-PT"/>
              </w:rPr>
              <w:br/>
              <w:t>•Implementação de um mecanismo de queixas e reclamações a fim de identificar áreas de problemas específicos</w:t>
            </w:r>
            <w:r w:rsidRPr="00292532">
              <w:rPr>
                <w:rFonts w:asciiTheme="minorHAnsi" w:eastAsia="Times New Roman" w:hAnsiTheme="minorHAnsi" w:cstheme="minorHAnsi"/>
                <w:color w:val="000000"/>
                <w:sz w:val="20"/>
                <w:szCs w:val="20"/>
                <w:lang w:val="pt-PT"/>
              </w:rPr>
              <w:br/>
              <w:t>• A frequência da supressão da poeira deve ser acrescida durante a época seca e no inverno.</w:t>
            </w:r>
          </w:p>
        </w:tc>
        <w:tc>
          <w:tcPr>
            <w:tcW w:w="2377" w:type="dxa"/>
            <w:hideMark/>
          </w:tcPr>
          <w:p w14:paraId="70BBCDD3"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lastRenderedPageBreak/>
              <w:t>Actividades</w:t>
            </w:r>
            <w:proofErr w:type="spellEnd"/>
            <w:r w:rsidRPr="00292532">
              <w:rPr>
                <w:rFonts w:asciiTheme="minorHAnsi" w:eastAsia="Times New Roman" w:hAnsiTheme="minorHAnsi" w:cstheme="minorHAnsi"/>
                <w:color w:val="000000"/>
                <w:sz w:val="20"/>
                <w:szCs w:val="20"/>
                <w:lang w:val="pt-PT"/>
              </w:rPr>
              <w:t xml:space="preserve"> de terraplenagens; transporte de materiais; circulação de veículos e operação de maquinaria;</w:t>
            </w:r>
          </w:p>
        </w:tc>
        <w:tc>
          <w:tcPr>
            <w:tcW w:w="1793" w:type="dxa"/>
            <w:hideMark/>
          </w:tcPr>
          <w:p w14:paraId="6FD4159B"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PGA; </w:t>
            </w:r>
            <w:r w:rsidRPr="00292532">
              <w:rPr>
                <w:rFonts w:asciiTheme="minorHAnsi" w:eastAsia="Times New Roman" w:hAnsiTheme="minorHAnsi" w:cstheme="minorHAnsi"/>
                <w:color w:val="000000"/>
                <w:sz w:val="20"/>
                <w:szCs w:val="20"/>
                <w:lang w:val="pt-PT"/>
              </w:rPr>
              <w:br/>
              <w:t>Plano de Gestão e Prevenção da Poluição;</w:t>
            </w:r>
          </w:p>
        </w:tc>
        <w:tc>
          <w:tcPr>
            <w:tcW w:w="2402" w:type="dxa"/>
            <w:hideMark/>
          </w:tcPr>
          <w:p w14:paraId="364DC230" w14:textId="77777777" w:rsidR="000615DB" w:rsidRPr="00292532" w:rsidRDefault="000615DB" w:rsidP="006174BB">
            <w:pPr>
              <w:spacing w:before="0"/>
              <w:ind w:right="735"/>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Empreiteiros;</w:t>
            </w:r>
          </w:p>
        </w:tc>
        <w:tc>
          <w:tcPr>
            <w:tcW w:w="1219" w:type="dxa"/>
            <w:hideMark/>
          </w:tcPr>
          <w:p w14:paraId="601F6E0C"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w:t>
            </w:r>
          </w:p>
          <w:p w14:paraId="30CDAE8F"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t>;</w:t>
            </w:r>
            <w:r w:rsidRPr="00292532">
              <w:rPr>
                <w:rFonts w:asciiTheme="minorHAnsi" w:eastAsia="Times New Roman" w:hAnsiTheme="minorHAnsi" w:cstheme="minorHAnsi"/>
                <w:color w:val="000000"/>
                <w:sz w:val="20"/>
                <w:szCs w:val="20"/>
                <w:lang w:val="pt-PT"/>
              </w:rPr>
              <w:br/>
            </w:r>
            <w:proofErr w:type="spellStart"/>
            <w:r w:rsidRPr="00292532">
              <w:rPr>
                <w:rFonts w:asciiTheme="minorHAnsi" w:eastAsia="Times New Roman" w:hAnsiTheme="minorHAnsi" w:cstheme="minorHAnsi"/>
                <w:color w:val="000000"/>
                <w:sz w:val="20"/>
                <w:szCs w:val="20"/>
                <w:lang w:val="pt-PT"/>
              </w:rPr>
              <w:t>SPAs</w:t>
            </w:r>
            <w:proofErr w:type="spellEnd"/>
            <w:r w:rsidRPr="00292532">
              <w:rPr>
                <w:rFonts w:asciiTheme="minorHAnsi" w:eastAsia="Times New Roman" w:hAnsiTheme="minorHAnsi" w:cstheme="minorHAnsi"/>
                <w:color w:val="000000"/>
                <w:sz w:val="20"/>
                <w:szCs w:val="20"/>
                <w:lang w:val="pt-PT"/>
              </w:rPr>
              <w:t>;</w:t>
            </w:r>
          </w:p>
          <w:p w14:paraId="5DAE6283"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DINAB;</w:t>
            </w:r>
          </w:p>
          <w:p w14:paraId="06062F22"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Fiscais das obras</w:t>
            </w:r>
          </w:p>
        </w:tc>
      </w:tr>
      <w:tr w:rsidR="000615DB" w:rsidRPr="004E2EAC" w14:paraId="338E334F" w14:textId="77777777" w:rsidTr="006174BB">
        <w:trPr>
          <w:trHeight w:val="4030"/>
        </w:trPr>
        <w:tc>
          <w:tcPr>
            <w:cnfStyle w:val="001000000000" w:firstRow="0" w:lastRow="0" w:firstColumn="1" w:lastColumn="0" w:oddVBand="0" w:evenVBand="0" w:oddHBand="0" w:evenHBand="0" w:firstRowFirstColumn="0" w:firstRowLastColumn="0" w:lastRowFirstColumn="0" w:lastRowLastColumn="0"/>
            <w:tcW w:w="1652" w:type="dxa"/>
            <w:hideMark/>
          </w:tcPr>
          <w:p w14:paraId="71D776BC"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Emissão de ruídos e vibrações</w:t>
            </w:r>
          </w:p>
        </w:tc>
        <w:tc>
          <w:tcPr>
            <w:tcW w:w="5453" w:type="dxa"/>
            <w:hideMark/>
          </w:tcPr>
          <w:p w14:paraId="71F30C4B"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 o desempenho de ruído deve ser considerado na </w:t>
            </w:r>
            <w:proofErr w:type="spellStart"/>
            <w:r w:rsidRPr="00292532">
              <w:rPr>
                <w:rFonts w:asciiTheme="minorHAnsi" w:eastAsia="Times New Roman" w:hAnsiTheme="minorHAnsi" w:cstheme="minorHAnsi"/>
                <w:color w:val="000000"/>
                <w:sz w:val="20"/>
                <w:szCs w:val="20"/>
                <w:lang w:val="pt-PT"/>
              </w:rPr>
              <w:t>selecção</w:t>
            </w:r>
            <w:proofErr w:type="spellEnd"/>
            <w:r w:rsidRPr="00292532">
              <w:rPr>
                <w:rFonts w:asciiTheme="minorHAnsi" w:eastAsia="Times New Roman" w:hAnsiTheme="minorHAnsi" w:cstheme="minorHAnsi"/>
                <w:color w:val="000000"/>
                <w:sz w:val="20"/>
                <w:szCs w:val="20"/>
                <w:lang w:val="pt-PT"/>
              </w:rPr>
              <w:t xml:space="preserve"> de equipamentos </w:t>
            </w:r>
            <w:r w:rsidRPr="00292532">
              <w:rPr>
                <w:rFonts w:asciiTheme="minorHAnsi" w:eastAsia="Times New Roman" w:hAnsiTheme="minorHAnsi" w:cstheme="minorHAnsi"/>
                <w:color w:val="000000"/>
                <w:sz w:val="20"/>
                <w:szCs w:val="20"/>
                <w:lang w:val="pt-PT"/>
              </w:rPr>
              <w:br/>
              <w:t xml:space="preserve">• Deslocação de fontes de ruído para aumentar a distância entre a fonte e os </w:t>
            </w:r>
            <w:proofErr w:type="spellStart"/>
            <w:r w:rsidRPr="00292532">
              <w:rPr>
                <w:rFonts w:asciiTheme="minorHAnsi" w:eastAsia="Times New Roman" w:hAnsiTheme="minorHAnsi" w:cstheme="minorHAnsi"/>
                <w:color w:val="000000"/>
                <w:sz w:val="20"/>
                <w:szCs w:val="20"/>
                <w:lang w:val="pt-PT"/>
              </w:rPr>
              <w:t>receptores</w:t>
            </w:r>
            <w:proofErr w:type="spellEnd"/>
            <w:r w:rsidRPr="00292532">
              <w:rPr>
                <w:rFonts w:asciiTheme="minorHAnsi" w:eastAsia="Times New Roman" w:hAnsiTheme="minorHAnsi" w:cstheme="minorHAnsi"/>
                <w:color w:val="000000"/>
                <w:sz w:val="20"/>
                <w:szCs w:val="20"/>
                <w:lang w:val="pt-PT"/>
              </w:rPr>
              <w:t>;</w:t>
            </w:r>
            <w:r w:rsidRPr="00292532">
              <w:rPr>
                <w:rFonts w:asciiTheme="minorHAnsi" w:eastAsia="Times New Roman" w:hAnsiTheme="minorHAnsi" w:cstheme="minorHAnsi"/>
                <w:color w:val="000000"/>
                <w:sz w:val="20"/>
                <w:szCs w:val="20"/>
                <w:lang w:val="pt-PT"/>
              </w:rPr>
              <w:br/>
              <w:t xml:space="preserve">• </w:t>
            </w:r>
            <w:proofErr w:type="spellStart"/>
            <w:r w:rsidRPr="00292532">
              <w:rPr>
                <w:rFonts w:asciiTheme="minorHAnsi" w:eastAsia="Times New Roman" w:hAnsiTheme="minorHAnsi" w:cstheme="minorHAnsi"/>
                <w:color w:val="000000"/>
                <w:sz w:val="20"/>
                <w:szCs w:val="20"/>
                <w:lang w:val="pt-PT"/>
              </w:rPr>
              <w:t>Selecção</w:t>
            </w:r>
            <w:proofErr w:type="spellEnd"/>
            <w:r w:rsidRPr="00292532">
              <w:rPr>
                <w:rFonts w:asciiTheme="minorHAnsi" w:eastAsia="Times New Roman" w:hAnsiTheme="minorHAnsi" w:cstheme="minorHAnsi"/>
                <w:color w:val="000000"/>
                <w:sz w:val="20"/>
                <w:szCs w:val="20"/>
                <w:lang w:val="pt-PT"/>
              </w:rPr>
              <w:t xml:space="preserve"> de equipamentos alternativos de mais baixo ruído, se possível;</w:t>
            </w:r>
            <w:r w:rsidRPr="00292532">
              <w:rPr>
                <w:rFonts w:asciiTheme="minorHAnsi" w:eastAsia="Times New Roman" w:hAnsiTheme="minorHAnsi" w:cstheme="minorHAnsi"/>
                <w:color w:val="000000"/>
                <w:sz w:val="20"/>
                <w:szCs w:val="20"/>
                <w:lang w:val="pt-PT"/>
              </w:rPr>
              <w:br/>
              <w:t>• Desligar equipamento que não estejam em uso.</w:t>
            </w:r>
            <w:r w:rsidRPr="00292532">
              <w:rPr>
                <w:rFonts w:asciiTheme="minorHAnsi" w:eastAsia="Times New Roman" w:hAnsiTheme="minorHAnsi" w:cstheme="minorHAnsi"/>
                <w:color w:val="000000"/>
                <w:sz w:val="20"/>
                <w:szCs w:val="20"/>
                <w:lang w:val="pt-PT"/>
              </w:rPr>
              <w:br/>
              <w:t xml:space="preserve">• Limitar as </w:t>
            </w:r>
            <w:proofErr w:type="spellStart"/>
            <w:r w:rsidRPr="00292532">
              <w:rPr>
                <w:rFonts w:asciiTheme="minorHAnsi" w:eastAsia="Times New Roman" w:hAnsiTheme="minorHAnsi" w:cstheme="minorHAnsi"/>
                <w:color w:val="000000"/>
                <w:sz w:val="20"/>
                <w:szCs w:val="20"/>
                <w:lang w:val="pt-PT"/>
              </w:rPr>
              <w:t>actividades</w:t>
            </w:r>
            <w:proofErr w:type="spellEnd"/>
            <w:r w:rsidRPr="00292532">
              <w:rPr>
                <w:rFonts w:asciiTheme="minorHAnsi" w:eastAsia="Times New Roman" w:hAnsiTheme="minorHAnsi" w:cstheme="minorHAnsi"/>
                <w:color w:val="000000"/>
                <w:sz w:val="20"/>
                <w:szCs w:val="20"/>
                <w:lang w:val="pt-PT"/>
              </w:rPr>
              <w:t xml:space="preserve"> de construção ruidosas às alturas do dia com menor sensibilidade ao ruído, evitando </w:t>
            </w:r>
            <w:proofErr w:type="spellStart"/>
            <w:r w:rsidRPr="00292532">
              <w:rPr>
                <w:rFonts w:asciiTheme="minorHAnsi" w:eastAsia="Times New Roman" w:hAnsiTheme="minorHAnsi" w:cstheme="minorHAnsi"/>
                <w:color w:val="000000"/>
                <w:sz w:val="20"/>
                <w:szCs w:val="20"/>
                <w:lang w:val="pt-PT"/>
              </w:rPr>
              <w:t>actividades</w:t>
            </w:r>
            <w:proofErr w:type="spellEnd"/>
            <w:r w:rsidRPr="00292532">
              <w:rPr>
                <w:rFonts w:asciiTheme="minorHAnsi" w:eastAsia="Times New Roman" w:hAnsiTheme="minorHAnsi" w:cstheme="minorHAnsi"/>
                <w:color w:val="000000"/>
                <w:sz w:val="20"/>
                <w:szCs w:val="20"/>
                <w:lang w:val="pt-PT"/>
              </w:rPr>
              <w:t xml:space="preserve"> noturnas, se não for possível evitar os trabalhos de construção fora do horário diurno, notificar previamente a </w:t>
            </w:r>
            <w:proofErr w:type="spellStart"/>
            <w:r w:rsidRPr="00292532">
              <w:rPr>
                <w:rFonts w:asciiTheme="minorHAnsi" w:eastAsia="Times New Roman" w:hAnsiTheme="minorHAnsi" w:cstheme="minorHAnsi"/>
                <w:color w:val="000000"/>
                <w:sz w:val="20"/>
                <w:szCs w:val="20"/>
                <w:lang w:val="pt-PT"/>
              </w:rPr>
              <w:t>actividade</w:t>
            </w:r>
            <w:proofErr w:type="spellEnd"/>
            <w:r w:rsidRPr="00292532">
              <w:rPr>
                <w:rFonts w:asciiTheme="minorHAnsi" w:eastAsia="Times New Roman" w:hAnsiTheme="minorHAnsi" w:cstheme="minorHAnsi"/>
                <w:color w:val="000000"/>
                <w:sz w:val="20"/>
                <w:szCs w:val="20"/>
                <w:lang w:val="pt-PT"/>
              </w:rPr>
              <w:t xml:space="preserve"> agendada aos residentes das proximidades.</w:t>
            </w:r>
            <w:r w:rsidRPr="00292532">
              <w:rPr>
                <w:rFonts w:asciiTheme="minorHAnsi" w:eastAsia="Times New Roman" w:hAnsiTheme="minorHAnsi" w:cstheme="minorHAnsi"/>
                <w:color w:val="000000"/>
                <w:sz w:val="20"/>
                <w:szCs w:val="20"/>
                <w:lang w:val="pt-PT"/>
              </w:rPr>
              <w:br/>
              <w:t xml:space="preserve">• Limitar a velocidade dos veículos; </w:t>
            </w:r>
            <w:r w:rsidRPr="00292532">
              <w:rPr>
                <w:rFonts w:asciiTheme="minorHAnsi" w:eastAsia="Times New Roman" w:hAnsiTheme="minorHAnsi" w:cstheme="minorHAnsi"/>
                <w:color w:val="000000"/>
                <w:sz w:val="20"/>
                <w:szCs w:val="20"/>
                <w:lang w:val="pt-PT"/>
              </w:rPr>
              <w:br/>
              <w:t>• Manutenção regular de equipamento e veículos ruidosos, de acordo com as especificações do fabricante.</w:t>
            </w:r>
            <w:r w:rsidRPr="00292532">
              <w:rPr>
                <w:rFonts w:asciiTheme="minorHAnsi" w:eastAsia="Times New Roman" w:hAnsiTheme="minorHAnsi" w:cstheme="minorHAnsi"/>
                <w:color w:val="000000"/>
                <w:sz w:val="20"/>
                <w:szCs w:val="20"/>
                <w:lang w:val="pt-PT"/>
              </w:rPr>
              <w:br/>
              <w:t>• Fornecimento de EPI</w:t>
            </w:r>
            <w:r w:rsidRPr="00292532">
              <w:rPr>
                <w:rFonts w:asciiTheme="minorHAnsi" w:eastAsia="Times New Roman" w:hAnsiTheme="minorHAnsi" w:cstheme="minorHAnsi"/>
                <w:color w:val="000000"/>
                <w:sz w:val="20"/>
                <w:szCs w:val="20"/>
                <w:lang w:val="pt-PT"/>
              </w:rPr>
              <w:br/>
              <w:t xml:space="preserve">• Implementação do Plano de Engajamento com as partes interessadas, com sessões informativas sobre as </w:t>
            </w:r>
            <w:proofErr w:type="spellStart"/>
            <w:r w:rsidRPr="00292532">
              <w:rPr>
                <w:rFonts w:asciiTheme="minorHAnsi" w:eastAsia="Times New Roman" w:hAnsiTheme="minorHAnsi" w:cstheme="minorHAnsi"/>
                <w:color w:val="000000"/>
                <w:sz w:val="20"/>
                <w:szCs w:val="20"/>
                <w:lang w:val="pt-PT"/>
              </w:rPr>
              <w:t>actividades</w:t>
            </w:r>
            <w:proofErr w:type="spellEnd"/>
            <w:r w:rsidRPr="00292532">
              <w:rPr>
                <w:rFonts w:asciiTheme="minorHAnsi" w:eastAsia="Times New Roman" w:hAnsiTheme="minorHAnsi" w:cstheme="minorHAnsi"/>
                <w:color w:val="000000"/>
                <w:sz w:val="20"/>
                <w:szCs w:val="20"/>
                <w:lang w:val="pt-PT"/>
              </w:rPr>
              <w:t xml:space="preserve"> previstas e tipo de impactos, p.e. ruídos </w:t>
            </w:r>
            <w:r w:rsidRPr="00292532">
              <w:rPr>
                <w:rFonts w:asciiTheme="minorHAnsi" w:eastAsia="Times New Roman" w:hAnsiTheme="minorHAnsi" w:cstheme="minorHAnsi"/>
                <w:color w:val="000000"/>
                <w:sz w:val="20"/>
                <w:szCs w:val="20"/>
                <w:lang w:val="pt-PT"/>
              </w:rPr>
              <w:br/>
              <w:t>•Implementação de um mecanismo de queixas e reclamações a fim de identificar áreas de problemas específicos</w:t>
            </w:r>
          </w:p>
        </w:tc>
        <w:tc>
          <w:tcPr>
            <w:tcW w:w="2377" w:type="dxa"/>
            <w:hideMark/>
          </w:tcPr>
          <w:p w14:paraId="142B9F25"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Fase de construção</w:t>
            </w:r>
          </w:p>
        </w:tc>
        <w:tc>
          <w:tcPr>
            <w:tcW w:w="1793" w:type="dxa"/>
            <w:hideMark/>
          </w:tcPr>
          <w:p w14:paraId="688518B1"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PGA;</w:t>
            </w:r>
            <w:r w:rsidRPr="00292532">
              <w:rPr>
                <w:rFonts w:asciiTheme="minorHAnsi" w:eastAsia="Times New Roman" w:hAnsiTheme="minorHAnsi" w:cstheme="minorHAnsi"/>
                <w:color w:val="000000"/>
                <w:sz w:val="20"/>
                <w:szCs w:val="20"/>
                <w:lang w:val="pt-PT"/>
              </w:rPr>
              <w:br/>
              <w:t>• Plano de Saúde e Segurança do Trabalhador (PSST);</w:t>
            </w:r>
            <w:r w:rsidRPr="00292532">
              <w:rPr>
                <w:rFonts w:asciiTheme="minorHAnsi" w:eastAsia="Times New Roman" w:hAnsiTheme="minorHAnsi" w:cstheme="minorHAnsi"/>
                <w:color w:val="000000"/>
                <w:sz w:val="20"/>
                <w:szCs w:val="20"/>
                <w:lang w:val="pt-PT"/>
              </w:rPr>
              <w:br/>
              <w:t xml:space="preserve">• Plano de </w:t>
            </w:r>
            <w:proofErr w:type="gramStart"/>
            <w:r w:rsidRPr="00292532">
              <w:rPr>
                <w:rFonts w:asciiTheme="minorHAnsi" w:eastAsia="Times New Roman" w:hAnsiTheme="minorHAnsi" w:cstheme="minorHAnsi"/>
                <w:color w:val="000000"/>
                <w:sz w:val="20"/>
                <w:szCs w:val="20"/>
                <w:lang w:val="pt-PT"/>
              </w:rPr>
              <w:t>saúde e segurança Comunitária</w:t>
            </w:r>
            <w:proofErr w:type="gramEnd"/>
            <w:r w:rsidRPr="00292532">
              <w:rPr>
                <w:rFonts w:asciiTheme="minorHAnsi" w:eastAsia="Times New Roman" w:hAnsiTheme="minorHAnsi" w:cstheme="minorHAnsi"/>
                <w:color w:val="000000"/>
                <w:sz w:val="20"/>
                <w:szCs w:val="20"/>
                <w:lang w:val="pt-PT"/>
              </w:rPr>
              <w:t xml:space="preserve"> (PSST);</w:t>
            </w:r>
            <w:r w:rsidRPr="00292532">
              <w:rPr>
                <w:rFonts w:asciiTheme="minorHAnsi" w:eastAsia="Times New Roman" w:hAnsiTheme="minorHAnsi" w:cstheme="minorHAnsi"/>
                <w:color w:val="000000"/>
                <w:sz w:val="20"/>
                <w:szCs w:val="20"/>
                <w:lang w:val="pt-PT"/>
              </w:rPr>
              <w:br/>
            </w:r>
            <w:proofErr w:type="spellStart"/>
            <w:r w:rsidRPr="00292532">
              <w:rPr>
                <w:rFonts w:asciiTheme="minorHAnsi" w:eastAsia="Times New Roman" w:hAnsiTheme="minorHAnsi" w:cstheme="minorHAnsi"/>
                <w:color w:val="000000"/>
                <w:sz w:val="20"/>
                <w:szCs w:val="20"/>
                <w:lang w:val="pt-PT"/>
              </w:rPr>
              <w:t>Directrizes</w:t>
            </w:r>
            <w:proofErr w:type="spellEnd"/>
            <w:r w:rsidRPr="00292532">
              <w:rPr>
                <w:rFonts w:asciiTheme="minorHAnsi" w:eastAsia="Times New Roman" w:hAnsiTheme="minorHAnsi" w:cstheme="minorHAnsi"/>
                <w:color w:val="000000"/>
                <w:sz w:val="20"/>
                <w:szCs w:val="20"/>
                <w:lang w:val="pt-PT"/>
              </w:rPr>
              <w:t xml:space="preserve"> de Gestão do Tráfego Rodoviário;</w:t>
            </w:r>
          </w:p>
        </w:tc>
        <w:tc>
          <w:tcPr>
            <w:tcW w:w="2402" w:type="dxa"/>
            <w:hideMark/>
          </w:tcPr>
          <w:p w14:paraId="55113EBA"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Empreiteiros / contratadas agências implementadoras (todos)</w:t>
            </w:r>
          </w:p>
        </w:tc>
        <w:tc>
          <w:tcPr>
            <w:tcW w:w="1219" w:type="dxa"/>
            <w:hideMark/>
          </w:tcPr>
          <w:p w14:paraId="11A04C26"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 xml:space="preserve">; </w:t>
            </w:r>
            <w:r w:rsidRPr="00292532">
              <w:rPr>
                <w:rFonts w:asciiTheme="minorHAnsi" w:eastAsia="Times New Roman" w:hAnsiTheme="minorHAnsi" w:cstheme="minorHAnsi"/>
                <w:color w:val="000000"/>
                <w:sz w:val="20"/>
                <w:szCs w:val="20"/>
                <w:lang w:val="pt-PT"/>
              </w:rPr>
              <w:br/>
            </w: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t>;</w:t>
            </w:r>
          </w:p>
          <w:p w14:paraId="4D961AD5"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SPAs</w:t>
            </w:r>
            <w:proofErr w:type="spellEnd"/>
            <w:r w:rsidRPr="00292532">
              <w:rPr>
                <w:rFonts w:asciiTheme="minorHAnsi" w:eastAsia="Times New Roman" w:hAnsiTheme="minorHAnsi" w:cstheme="minorHAnsi"/>
                <w:color w:val="000000"/>
                <w:sz w:val="20"/>
                <w:szCs w:val="20"/>
                <w:lang w:val="pt-PT"/>
              </w:rPr>
              <w:t>;</w:t>
            </w:r>
          </w:p>
          <w:p w14:paraId="12902CBB"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DINAB;</w:t>
            </w:r>
          </w:p>
          <w:p w14:paraId="4010C31F"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Fiscais das obras</w:t>
            </w:r>
          </w:p>
          <w:p w14:paraId="5E1A5726"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
        </w:tc>
      </w:tr>
      <w:tr w:rsidR="000615DB" w:rsidRPr="004E2EAC" w14:paraId="4C9CDF65" w14:textId="77777777" w:rsidTr="006174BB">
        <w:trPr>
          <w:cnfStyle w:val="000000100000" w:firstRow="0" w:lastRow="0" w:firstColumn="0" w:lastColumn="0" w:oddVBand="0" w:evenVBand="0" w:oddHBand="1" w:evenHBand="0" w:firstRowFirstColumn="0" w:firstRowLastColumn="0" w:lastRowFirstColumn="0" w:lastRowLastColumn="0"/>
          <w:trHeight w:val="6500"/>
        </w:trPr>
        <w:tc>
          <w:tcPr>
            <w:cnfStyle w:val="001000000000" w:firstRow="0" w:lastRow="0" w:firstColumn="1" w:lastColumn="0" w:oddVBand="0" w:evenVBand="0" w:oddHBand="0" w:evenHBand="0" w:firstRowFirstColumn="0" w:firstRowLastColumn="0" w:lastRowFirstColumn="0" w:lastRowLastColumn="0"/>
            <w:tcW w:w="1652" w:type="dxa"/>
            <w:hideMark/>
          </w:tcPr>
          <w:p w14:paraId="715323C1"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 xml:space="preserve">Remoção, degradação e contaminação dos solos </w:t>
            </w:r>
          </w:p>
        </w:tc>
        <w:tc>
          <w:tcPr>
            <w:tcW w:w="5453" w:type="dxa"/>
            <w:hideMark/>
          </w:tcPr>
          <w:p w14:paraId="1D8F9CF3" w14:textId="77777777" w:rsidR="000615DB" w:rsidRPr="00292532" w:rsidRDefault="000615DB" w:rsidP="006174BB">
            <w:pPr>
              <w:spacing w:before="0" w:after="24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br/>
              <w:t xml:space="preserve">• Prevenir, minimizar e/ou controlar a erosão do solo e a sedimentação devido às </w:t>
            </w:r>
            <w:proofErr w:type="spellStart"/>
            <w:r w:rsidRPr="00292532">
              <w:rPr>
                <w:rFonts w:asciiTheme="minorHAnsi" w:eastAsia="Times New Roman" w:hAnsiTheme="minorHAnsi" w:cstheme="minorHAnsi"/>
                <w:color w:val="000000"/>
                <w:sz w:val="20"/>
                <w:szCs w:val="20"/>
                <w:lang w:val="pt-PT"/>
              </w:rPr>
              <w:t>actividades</w:t>
            </w:r>
            <w:proofErr w:type="spellEnd"/>
            <w:r w:rsidRPr="00292532">
              <w:rPr>
                <w:rFonts w:asciiTheme="minorHAnsi" w:eastAsia="Times New Roman" w:hAnsiTheme="minorHAnsi" w:cstheme="minorHAnsi"/>
                <w:color w:val="000000"/>
                <w:sz w:val="20"/>
                <w:szCs w:val="20"/>
                <w:lang w:val="pt-PT"/>
              </w:rPr>
              <w:t xml:space="preserve"> de escavação, à exposição prolongada do solo durante as operações de desmatamento  e também devido ao tempo necessário para instalar as infraestruturas de saneamento e abastecimento de água</w:t>
            </w:r>
            <w:r w:rsidRPr="00292532">
              <w:rPr>
                <w:rFonts w:asciiTheme="minorHAnsi" w:eastAsia="Times New Roman" w:hAnsiTheme="minorHAnsi" w:cstheme="minorHAnsi"/>
                <w:color w:val="000000"/>
                <w:sz w:val="20"/>
                <w:szCs w:val="20"/>
                <w:lang w:val="pt-PT"/>
              </w:rPr>
              <w:br/>
              <w:t>• Garantir que a remoção de solos ocorre de acordo com as recomendações por tipo de solo mapeado</w:t>
            </w:r>
            <w:r w:rsidRPr="00292532">
              <w:rPr>
                <w:rFonts w:asciiTheme="minorHAnsi" w:eastAsia="Times New Roman" w:hAnsiTheme="minorHAnsi" w:cstheme="minorHAnsi"/>
                <w:color w:val="000000"/>
                <w:sz w:val="20"/>
                <w:szCs w:val="20"/>
                <w:lang w:val="pt-PT"/>
              </w:rPr>
              <w:br/>
              <w:t>• Implementação de um Plano de Gestão de Resíduos para resposta ao manuseamento, armazenamento e eliminação de resíduos. Os materiais de resíduos e perigosos serão geridos de acordo com as leis e regulamentos do país</w:t>
            </w:r>
            <w:r w:rsidRPr="00292532">
              <w:rPr>
                <w:rFonts w:asciiTheme="minorHAnsi" w:eastAsia="Times New Roman" w:hAnsiTheme="minorHAnsi" w:cstheme="minorHAnsi"/>
                <w:color w:val="000000"/>
                <w:sz w:val="20"/>
                <w:szCs w:val="20"/>
                <w:lang w:val="pt-PT"/>
              </w:rPr>
              <w:br/>
              <w:t xml:space="preserve">• Implementação de um Plano de Resposta a Emergências e um Plano de Contingência de Derrames para </w:t>
            </w:r>
            <w:proofErr w:type="spellStart"/>
            <w:r w:rsidRPr="00292532">
              <w:rPr>
                <w:rFonts w:asciiTheme="minorHAnsi" w:eastAsia="Times New Roman" w:hAnsiTheme="minorHAnsi" w:cstheme="minorHAnsi"/>
                <w:color w:val="000000"/>
                <w:sz w:val="20"/>
                <w:szCs w:val="20"/>
                <w:lang w:val="pt-PT"/>
              </w:rPr>
              <w:t>actuação</w:t>
            </w:r>
            <w:proofErr w:type="spellEnd"/>
            <w:r w:rsidRPr="00292532">
              <w:rPr>
                <w:rFonts w:asciiTheme="minorHAnsi" w:eastAsia="Times New Roman" w:hAnsiTheme="minorHAnsi" w:cstheme="minorHAnsi"/>
                <w:color w:val="000000"/>
                <w:sz w:val="20"/>
                <w:szCs w:val="20"/>
                <w:lang w:val="pt-PT"/>
              </w:rPr>
              <w:t xml:space="preserve"> nos casos de derrames acidentais ou libertação de materiais perigosos</w:t>
            </w:r>
            <w:r w:rsidRPr="00292532">
              <w:rPr>
                <w:rFonts w:asciiTheme="minorHAnsi" w:eastAsia="Times New Roman" w:hAnsiTheme="minorHAnsi" w:cstheme="minorHAnsi"/>
                <w:color w:val="000000"/>
                <w:sz w:val="20"/>
                <w:szCs w:val="20"/>
                <w:lang w:val="pt-PT"/>
              </w:rPr>
              <w:br/>
              <w:t xml:space="preserve">• A limpeza do solo deve ser mantida ao mínimo e apenas deve ser </w:t>
            </w:r>
            <w:proofErr w:type="spellStart"/>
            <w:r w:rsidRPr="00292532">
              <w:rPr>
                <w:rFonts w:asciiTheme="minorHAnsi" w:eastAsia="Times New Roman" w:hAnsiTheme="minorHAnsi" w:cstheme="minorHAnsi"/>
                <w:color w:val="000000"/>
                <w:sz w:val="20"/>
                <w:szCs w:val="20"/>
                <w:lang w:val="pt-PT"/>
              </w:rPr>
              <w:t>efectuada</w:t>
            </w:r>
            <w:proofErr w:type="spellEnd"/>
            <w:r w:rsidRPr="00292532">
              <w:rPr>
                <w:rFonts w:asciiTheme="minorHAnsi" w:eastAsia="Times New Roman" w:hAnsiTheme="minorHAnsi" w:cstheme="minorHAnsi"/>
                <w:color w:val="000000"/>
                <w:sz w:val="20"/>
                <w:szCs w:val="20"/>
                <w:lang w:val="pt-PT"/>
              </w:rPr>
              <w:t xml:space="preserve"> nas áreas a desenvolver. </w:t>
            </w:r>
            <w:r w:rsidRPr="00292532">
              <w:rPr>
                <w:rFonts w:asciiTheme="minorHAnsi" w:eastAsia="Times New Roman" w:hAnsiTheme="minorHAnsi" w:cstheme="minorHAnsi"/>
                <w:color w:val="000000"/>
                <w:sz w:val="20"/>
                <w:szCs w:val="20"/>
                <w:lang w:val="pt-PT"/>
              </w:rPr>
              <w:br/>
              <w:t>•A camada herbácea (capim e erva) deve ser retida onde for possível para evitar a erosão do solo e os aumentos subsequentes na fragmentação</w:t>
            </w:r>
            <w:r w:rsidRPr="00292532">
              <w:rPr>
                <w:rFonts w:asciiTheme="minorHAnsi" w:eastAsia="Times New Roman" w:hAnsiTheme="minorHAnsi" w:cstheme="minorHAnsi"/>
                <w:color w:val="000000"/>
                <w:sz w:val="20"/>
                <w:szCs w:val="20"/>
                <w:lang w:val="pt-PT"/>
              </w:rPr>
              <w:br/>
              <w:t xml:space="preserve">• Assegurar a drenagem de águas pluviais para evitar a erosão hídrica nos locais das obras e acampamentos temporários </w:t>
            </w:r>
            <w:r w:rsidRPr="00292532">
              <w:rPr>
                <w:rFonts w:asciiTheme="minorHAnsi" w:eastAsia="Times New Roman" w:hAnsiTheme="minorHAnsi" w:cstheme="minorHAnsi"/>
                <w:color w:val="000000"/>
                <w:sz w:val="20"/>
                <w:szCs w:val="20"/>
                <w:lang w:val="pt-PT"/>
              </w:rPr>
              <w:br/>
              <w:t>• Arborização para estabilização dos solos</w:t>
            </w:r>
            <w:r w:rsidRPr="00292532">
              <w:rPr>
                <w:rFonts w:asciiTheme="minorHAnsi" w:eastAsia="Times New Roman" w:hAnsiTheme="minorHAnsi" w:cstheme="minorHAnsi"/>
                <w:color w:val="000000"/>
                <w:sz w:val="20"/>
                <w:szCs w:val="20"/>
                <w:lang w:val="pt-PT"/>
              </w:rPr>
              <w:br/>
              <w:t xml:space="preserve">• A estabilização de áreas desmatadas para prevenir e controlar a erosão deve ser realizada o mais cedo possível para evitar o escoamento de sedimentos </w:t>
            </w:r>
            <w:r w:rsidRPr="00292532">
              <w:rPr>
                <w:rFonts w:asciiTheme="minorHAnsi" w:eastAsia="Times New Roman" w:hAnsiTheme="minorHAnsi" w:cstheme="minorHAnsi"/>
                <w:color w:val="000000"/>
                <w:sz w:val="20"/>
                <w:szCs w:val="20"/>
                <w:lang w:val="pt-PT"/>
              </w:rPr>
              <w:br/>
              <w:t>• Recomenda-se que a reabilitação progressiva esteja prevista como uma abordagem de reabilitação prioritária,</w:t>
            </w:r>
            <w:r w:rsidRPr="00292532">
              <w:rPr>
                <w:rFonts w:asciiTheme="minorHAnsi" w:eastAsia="Times New Roman" w:hAnsiTheme="minorHAnsi" w:cstheme="minorHAnsi"/>
                <w:color w:val="000000"/>
                <w:sz w:val="20"/>
                <w:szCs w:val="20"/>
                <w:lang w:val="pt-PT"/>
              </w:rPr>
              <w:br/>
              <w:t xml:space="preserve">• </w:t>
            </w:r>
            <w:proofErr w:type="spellStart"/>
            <w:r w:rsidRPr="00292532">
              <w:rPr>
                <w:rFonts w:asciiTheme="minorHAnsi" w:eastAsia="Times New Roman" w:hAnsiTheme="minorHAnsi" w:cstheme="minorHAnsi"/>
                <w:color w:val="000000"/>
                <w:sz w:val="20"/>
                <w:szCs w:val="20"/>
                <w:lang w:val="pt-PT"/>
              </w:rPr>
              <w:t>Adopção</w:t>
            </w:r>
            <w:proofErr w:type="spellEnd"/>
            <w:r w:rsidRPr="00292532">
              <w:rPr>
                <w:rFonts w:asciiTheme="minorHAnsi" w:eastAsia="Times New Roman" w:hAnsiTheme="minorHAnsi" w:cstheme="minorHAnsi"/>
                <w:color w:val="000000"/>
                <w:sz w:val="20"/>
                <w:szCs w:val="20"/>
                <w:lang w:val="pt-PT"/>
              </w:rPr>
              <w:t xml:space="preserve"> de reabilitação progressiva</w:t>
            </w:r>
          </w:p>
        </w:tc>
        <w:tc>
          <w:tcPr>
            <w:tcW w:w="2377" w:type="dxa"/>
            <w:hideMark/>
          </w:tcPr>
          <w:p w14:paraId="2984D73E"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Fase de construção (terraplenagens, escavações, gestão dos estaleiros e acampamentos)</w:t>
            </w:r>
          </w:p>
        </w:tc>
        <w:tc>
          <w:tcPr>
            <w:tcW w:w="1793" w:type="dxa"/>
            <w:hideMark/>
          </w:tcPr>
          <w:p w14:paraId="68422B81"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PGA; </w:t>
            </w:r>
            <w:r w:rsidRPr="00292532">
              <w:rPr>
                <w:rFonts w:asciiTheme="minorHAnsi" w:eastAsia="Times New Roman" w:hAnsiTheme="minorHAnsi" w:cstheme="minorHAnsi"/>
                <w:color w:val="000000"/>
                <w:sz w:val="20"/>
                <w:szCs w:val="20"/>
                <w:lang w:val="pt-PT"/>
              </w:rPr>
              <w:br/>
              <w:t>Plano de Gestão e Prevenção da Poluição;</w:t>
            </w:r>
            <w:r w:rsidRPr="00292532">
              <w:rPr>
                <w:rFonts w:asciiTheme="minorHAnsi" w:eastAsia="Times New Roman" w:hAnsiTheme="minorHAnsi" w:cstheme="minorHAnsi"/>
                <w:color w:val="000000"/>
                <w:sz w:val="20"/>
                <w:szCs w:val="20"/>
                <w:lang w:val="pt-PT"/>
              </w:rPr>
              <w:br/>
              <w:t>Plano de Gestão de Resíduos;</w:t>
            </w:r>
            <w:r w:rsidRPr="00292532">
              <w:rPr>
                <w:rFonts w:asciiTheme="minorHAnsi" w:eastAsia="Times New Roman" w:hAnsiTheme="minorHAnsi" w:cstheme="minorHAnsi"/>
                <w:color w:val="000000"/>
                <w:sz w:val="20"/>
                <w:szCs w:val="20"/>
                <w:lang w:val="pt-PT"/>
              </w:rPr>
              <w:br/>
              <w:t xml:space="preserve">Procedimentos de Resposta a Emergências e Contingência de Derrames </w:t>
            </w:r>
          </w:p>
        </w:tc>
        <w:tc>
          <w:tcPr>
            <w:tcW w:w="2402" w:type="dxa"/>
            <w:hideMark/>
          </w:tcPr>
          <w:p w14:paraId="4D8BE6BA"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Empreiteiros</w:t>
            </w:r>
          </w:p>
        </w:tc>
        <w:tc>
          <w:tcPr>
            <w:tcW w:w="1219" w:type="dxa"/>
            <w:hideMark/>
          </w:tcPr>
          <w:p w14:paraId="0B1F58DF"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 xml:space="preserve">; </w:t>
            </w:r>
            <w:r w:rsidRPr="00292532">
              <w:rPr>
                <w:rFonts w:asciiTheme="minorHAnsi" w:eastAsia="Times New Roman" w:hAnsiTheme="minorHAnsi" w:cstheme="minorHAnsi"/>
                <w:color w:val="000000"/>
                <w:sz w:val="20"/>
                <w:szCs w:val="20"/>
                <w:lang w:val="pt-PT"/>
              </w:rPr>
              <w:br/>
            </w:r>
            <w:proofErr w:type="spellStart"/>
            <w:r w:rsidRPr="00292532">
              <w:rPr>
                <w:rFonts w:asciiTheme="minorHAnsi" w:eastAsia="Times New Roman" w:hAnsiTheme="minorHAnsi" w:cstheme="minorHAnsi"/>
                <w:color w:val="000000"/>
                <w:sz w:val="20"/>
                <w:szCs w:val="20"/>
                <w:lang w:val="pt-PT"/>
              </w:rPr>
              <w:t>SPAs</w:t>
            </w:r>
            <w:proofErr w:type="spellEnd"/>
            <w:r w:rsidRPr="00292532">
              <w:rPr>
                <w:rFonts w:asciiTheme="minorHAnsi" w:eastAsia="Times New Roman" w:hAnsiTheme="minorHAnsi" w:cstheme="minorHAnsi"/>
                <w:color w:val="000000"/>
                <w:sz w:val="20"/>
                <w:szCs w:val="20"/>
                <w:lang w:val="pt-PT"/>
              </w:rPr>
              <w:t>;</w:t>
            </w:r>
          </w:p>
          <w:p w14:paraId="4CA11AAF"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t>;</w:t>
            </w:r>
          </w:p>
          <w:p w14:paraId="5B8983D7"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DINAB;</w:t>
            </w:r>
          </w:p>
          <w:p w14:paraId="4593A7E5"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Fiscais das obras</w:t>
            </w:r>
          </w:p>
        </w:tc>
      </w:tr>
      <w:tr w:rsidR="000615DB" w:rsidRPr="004E2EAC" w14:paraId="140AC1EA" w14:textId="77777777" w:rsidTr="006174BB">
        <w:trPr>
          <w:trHeight w:val="4160"/>
        </w:trPr>
        <w:tc>
          <w:tcPr>
            <w:cnfStyle w:val="001000000000" w:firstRow="0" w:lastRow="0" w:firstColumn="1" w:lastColumn="0" w:oddVBand="0" w:evenVBand="0" w:oddHBand="0" w:evenHBand="0" w:firstRowFirstColumn="0" w:firstRowLastColumn="0" w:lastRowFirstColumn="0" w:lastRowLastColumn="0"/>
            <w:tcW w:w="1652" w:type="dxa"/>
            <w:hideMark/>
          </w:tcPr>
          <w:p w14:paraId="3933126A"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Alteração da qualidade das águas subterrâneas e superficiais devido a carga acrescida de sedimentos (resultante de erosão e Poeiras)</w:t>
            </w:r>
          </w:p>
        </w:tc>
        <w:tc>
          <w:tcPr>
            <w:tcW w:w="5453" w:type="dxa"/>
            <w:hideMark/>
          </w:tcPr>
          <w:p w14:paraId="7756357C"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Remoção e armazenamento do solo superficial longe dos cursos de água em áreas de depósito de solo superficial designadas.</w:t>
            </w:r>
            <w:r w:rsidRPr="00292532">
              <w:rPr>
                <w:rFonts w:asciiTheme="minorHAnsi" w:eastAsia="Times New Roman" w:hAnsiTheme="minorHAnsi" w:cstheme="minorHAnsi"/>
                <w:color w:val="000000"/>
                <w:sz w:val="20"/>
                <w:szCs w:val="20"/>
                <w:lang w:val="pt-PT"/>
              </w:rPr>
              <w:br/>
              <w:t xml:space="preserve">• Sempre que necessário, devem ser providenciados nos acampamentos, estaleiros e local das obras, canais de drenagem e </w:t>
            </w:r>
            <w:proofErr w:type="spellStart"/>
            <w:r w:rsidRPr="00292532">
              <w:rPr>
                <w:rFonts w:asciiTheme="minorHAnsi" w:eastAsia="Times New Roman" w:hAnsiTheme="minorHAnsi" w:cstheme="minorHAnsi"/>
                <w:color w:val="000000"/>
                <w:sz w:val="20"/>
                <w:szCs w:val="20"/>
                <w:lang w:val="pt-PT"/>
              </w:rPr>
              <w:t>colectores</w:t>
            </w:r>
            <w:proofErr w:type="spellEnd"/>
            <w:r w:rsidRPr="00292532">
              <w:rPr>
                <w:rFonts w:asciiTheme="minorHAnsi" w:eastAsia="Times New Roman" w:hAnsiTheme="minorHAnsi" w:cstheme="minorHAnsi"/>
                <w:color w:val="000000"/>
                <w:sz w:val="20"/>
                <w:szCs w:val="20"/>
                <w:lang w:val="pt-PT"/>
              </w:rPr>
              <w:t xml:space="preserve"> de areia/sedimentos para a remoção de partículas do solo.</w:t>
            </w:r>
            <w:r w:rsidRPr="00292532">
              <w:rPr>
                <w:rFonts w:asciiTheme="minorHAnsi" w:eastAsia="Times New Roman" w:hAnsiTheme="minorHAnsi" w:cstheme="minorHAnsi"/>
                <w:color w:val="000000"/>
                <w:sz w:val="20"/>
                <w:szCs w:val="20"/>
                <w:lang w:val="pt-PT"/>
              </w:rPr>
              <w:br/>
              <w:t xml:space="preserve">• Os solos expostos sempre que praticável, devem ser estabilizados depois de removida a cobertura de vegetação.  </w:t>
            </w:r>
            <w:r w:rsidRPr="00292532">
              <w:rPr>
                <w:rFonts w:asciiTheme="minorHAnsi" w:eastAsia="Times New Roman" w:hAnsiTheme="minorHAnsi" w:cstheme="minorHAnsi"/>
                <w:color w:val="000000"/>
                <w:sz w:val="20"/>
                <w:szCs w:val="20"/>
                <w:lang w:val="pt-PT"/>
              </w:rPr>
              <w:br/>
              <w:t xml:space="preserve">• Depois de removido, o solo superficial escavado deve ser depositado na proximidade do local de trabalho sendo irrigado periodicamente, por forma a reduzir a sua dispersão para a água superficial por </w:t>
            </w:r>
            <w:proofErr w:type="spellStart"/>
            <w:r w:rsidRPr="00292532">
              <w:rPr>
                <w:rFonts w:asciiTheme="minorHAnsi" w:eastAsia="Times New Roman" w:hAnsiTheme="minorHAnsi" w:cstheme="minorHAnsi"/>
                <w:color w:val="000000"/>
                <w:sz w:val="20"/>
                <w:szCs w:val="20"/>
                <w:lang w:val="pt-PT"/>
              </w:rPr>
              <w:t>acção</w:t>
            </w:r>
            <w:proofErr w:type="spellEnd"/>
            <w:r w:rsidRPr="00292532">
              <w:rPr>
                <w:rFonts w:asciiTheme="minorHAnsi" w:eastAsia="Times New Roman" w:hAnsiTheme="minorHAnsi" w:cstheme="minorHAnsi"/>
                <w:color w:val="000000"/>
                <w:sz w:val="20"/>
                <w:szCs w:val="20"/>
                <w:lang w:val="pt-PT"/>
              </w:rPr>
              <w:t xml:space="preserve"> do vento</w:t>
            </w:r>
            <w:r w:rsidRPr="00292532">
              <w:rPr>
                <w:rFonts w:asciiTheme="minorHAnsi" w:eastAsia="Times New Roman" w:hAnsiTheme="minorHAnsi" w:cstheme="minorHAnsi"/>
                <w:color w:val="000000"/>
                <w:sz w:val="20"/>
                <w:szCs w:val="20"/>
                <w:lang w:val="pt-PT"/>
              </w:rPr>
              <w:br/>
              <w:t>• Devem ser aplicadas estratégias adequadas de controlo de poeiras para minimizar a deposição de poeiras e reduzir a sedimentação nos sistemas de zona húmida</w:t>
            </w:r>
            <w:r w:rsidRPr="00292532">
              <w:rPr>
                <w:rFonts w:asciiTheme="minorHAnsi" w:eastAsia="Times New Roman" w:hAnsiTheme="minorHAnsi" w:cstheme="minorHAnsi"/>
                <w:color w:val="000000"/>
                <w:sz w:val="20"/>
                <w:szCs w:val="20"/>
                <w:lang w:val="pt-PT"/>
              </w:rPr>
              <w:br/>
              <w:t>• Monitorização/controlo dos depósitos quanto a erosão e implementação de medidas de controlo de erosão, se necessário</w:t>
            </w:r>
            <w:r w:rsidRPr="00292532">
              <w:rPr>
                <w:rFonts w:asciiTheme="minorHAnsi" w:eastAsia="Times New Roman" w:hAnsiTheme="minorHAnsi" w:cstheme="minorHAnsi"/>
                <w:color w:val="000000"/>
                <w:sz w:val="20"/>
                <w:szCs w:val="20"/>
                <w:lang w:val="pt-PT"/>
              </w:rPr>
              <w:br/>
              <w:t>• Implementação das medidas de mitigação dos riscos e impactos relativos à emissão de poeiras</w:t>
            </w:r>
            <w:r w:rsidRPr="00292532">
              <w:rPr>
                <w:rFonts w:asciiTheme="minorHAnsi" w:eastAsia="Times New Roman" w:hAnsiTheme="minorHAnsi" w:cstheme="minorHAnsi"/>
                <w:color w:val="000000"/>
                <w:sz w:val="20"/>
                <w:szCs w:val="20"/>
                <w:lang w:val="pt-PT"/>
              </w:rPr>
              <w:br/>
              <w:t>•Estabilização de margens erodidas e encostas;</w:t>
            </w:r>
          </w:p>
        </w:tc>
        <w:tc>
          <w:tcPr>
            <w:tcW w:w="2377" w:type="dxa"/>
            <w:hideMark/>
          </w:tcPr>
          <w:p w14:paraId="414ED31A"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Fase de construção (terraplenagens, escavações, transporte de materiais)</w:t>
            </w:r>
          </w:p>
        </w:tc>
        <w:tc>
          <w:tcPr>
            <w:tcW w:w="1793" w:type="dxa"/>
            <w:hideMark/>
          </w:tcPr>
          <w:p w14:paraId="08056C6F"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PGA; Plano de Gestão e Prevenção da Poluição;</w:t>
            </w:r>
          </w:p>
        </w:tc>
        <w:tc>
          <w:tcPr>
            <w:tcW w:w="2402" w:type="dxa"/>
            <w:hideMark/>
          </w:tcPr>
          <w:p w14:paraId="531D8596"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Empreiteiros </w:t>
            </w:r>
          </w:p>
        </w:tc>
        <w:tc>
          <w:tcPr>
            <w:tcW w:w="1219" w:type="dxa"/>
            <w:hideMark/>
          </w:tcPr>
          <w:p w14:paraId="2E9AAC3A"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 xml:space="preserve">; </w:t>
            </w:r>
          </w:p>
          <w:p w14:paraId="7ECDF3A6"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t>;</w:t>
            </w:r>
            <w:r w:rsidRPr="00292532">
              <w:rPr>
                <w:rFonts w:asciiTheme="minorHAnsi" w:eastAsia="Times New Roman" w:hAnsiTheme="minorHAnsi" w:cstheme="minorHAnsi"/>
                <w:color w:val="000000"/>
                <w:sz w:val="20"/>
                <w:szCs w:val="20"/>
                <w:lang w:val="pt-PT"/>
              </w:rPr>
              <w:br/>
            </w:r>
            <w:proofErr w:type="spellStart"/>
            <w:r w:rsidRPr="00292532">
              <w:rPr>
                <w:rFonts w:asciiTheme="minorHAnsi" w:eastAsia="Times New Roman" w:hAnsiTheme="minorHAnsi" w:cstheme="minorHAnsi"/>
                <w:color w:val="000000"/>
                <w:sz w:val="20"/>
                <w:szCs w:val="20"/>
                <w:lang w:val="pt-PT"/>
              </w:rPr>
              <w:t>SPAs</w:t>
            </w:r>
            <w:proofErr w:type="spellEnd"/>
            <w:r w:rsidRPr="00292532">
              <w:rPr>
                <w:rFonts w:asciiTheme="minorHAnsi" w:eastAsia="Times New Roman" w:hAnsiTheme="minorHAnsi" w:cstheme="minorHAnsi"/>
                <w:color w:val="000000"/>
                <w:sz w:val="20"/>
                <w:szCs w:val="20"/>
                <w:lang w:val="pt-PT"/>
              </w:rPr>
              <w:t>;</w:t>
            </w:r>
          </w:p>
          <w:p w14:paraId="3E092B8E"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DINAB;</w:t>
            </w:r>
          </w:p>
          <w:p w14:paraId="00D8B0FE"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Fiscais das obras</w:t>
            </w:r>
          </w:p>
        </w:tc>
      </w:tr>
      <w:tr w:rsidR="000615DB" w:rsidRPr="004E2EAC" w14:paraId="29CA9B2D" w14:textId="77777777" w:rsidTr="006174BB">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1652" w:type="dxa"/>
            <w:hideMark/>
          </w:tcPr>
          <w:p w14:paraId="7BBDE5FA"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Poluição das águas superficiais por manuseamento indevido de resíduos perigosos e não-perigosos </w:t>
            </w:r>
          </w:p>
        </w:tc>
        <w:tc>
          <w:tcPr>
            <w:tcW w:w="5453" w:type="dxa"/>
            <w:hideMark/>
          </w:tcPr>
          <w:p w14:paraId="3F2CA776"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Elaborar um inventário de resíduos será gerado com os resíduos potenciais antes da construção.</w:t>
            </w:r>
            <w:r w:rsidRPr="00292532">
              <w:rPr>
                <w:rFonts w:asciiTheme="minorHAnsi" w:eastAsia="Times New Roman" w:hAnsiTheme="minorHAnsi" w:cstheme="minorHAnsi"/>
                <w:color w:val="000000"/>
                <w:sz w:val="20"/>
                <w:szCs w:val="20"/>
                <w:lang w:val="pt-PT"/>
              </w:rPr>
              <w:br/>
              <w:t xml:space="preserve">• Elaborar um Plano de Gestão de Resíduos será desenvolvido com base no inventário de resíduos e de acordo com os requisitos nacionais e internacionais.  </w:t>
            </w:r>
            <w:r w:rsidRPr="00292532">
              <w:rPr>
                <w:rFonts w:asciiTheme="minorHAnsi" w:eastAsia="Times New Roman" w:hAnsiTheme="minorHAnsi" w:cstheme="minorHAnsi"/>
                <w:color w:val="000000"/>
                <w:sz w:val="20"/>
                <w:szCs w:val="20"/>
                <w:lang w:val="pt-PT"/>
              </w:rPr>
              <w:br/>
              <w:t xml:space="preserve">•Implementar as medidas de mitigação propostas para a gestão de resíduos sólidos </w:t>
            </w:r>
          </w:p>
        </w:tc>
        <w:tc>
          <w:tcPr>
            <w:tcW w:w="2377" w:type="dxa"/>
            <w:hideMark/>
          </w:tcPr>
          <w:p w14:paraId="2F2130DC"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Fase de construção (nos estaleiros, locais de obras e acampamentos temporários, gestão de resíduos) </w:t>
            </w:r>
          </w:p>
        </w:tc>
        <w:tc>
          <w:tcPr>
            <w:tcW w:w="1793" w:type="dxa"/>
            <w:hideMark/>
          </w:tcPr>
          <w:p w14:paraId="275C3D58"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Plano de Gestão de Resíduos;</w:t>
            </w:r>
            <w:r w:rsidRPr="00292532">
              <w:rPr>
                <w:rFonts w:asciiTheme="minorHAnsi" w:eastAsia="Times New Roman" w:hAnsiTheme="minorHAnsi" w:cstheme="minorHAnsi"/>
                <w:color w:val="000000"/>
                <w:sz w:val="20"/>
                <w:szCs w:val="20"/>
                <w:lang w:val="pt-PT"/>
              </w:rPr>
              <w:br/>
              <w:t xml:space="preserve">PGA; </w:t>
            </w:r>
            <w:r w:rsidRPr="00292532">
              <w:rPr>
                <w:rFonts w:asciiTheme="minorHAnsi" w:eastAsia="Times New Roman" w:hAnsiTheme="minorHAnsi" w:cstheme="minorHAnsi"/>
                <w:color w:val="000000"/>
                <w:sz w:val="20"/>
                <w:szCs w:val="20"/>
                <w:lang w:val="pt-PT"/>
              </w:rPr>
              <w:br/>
              <w:t xml:space="preserve">Plano de Gestão e Prevenção da Poluição; </w:t>
            </w:r>
          </w:p>
        </w:tc>
        <w:tc>
          <w:tcPr>
            <w:tcW w:w="2402" w:type="dxa"/>
            <w:hideMark/>
          </w:tcPr>
          <w:p w14:paraId="18AA0F25"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Empreiteiros </w:t>
            </w:r>
          </w:p>
        </w:tc>
        <w:tc>
          <w:tcPr>
            <w:tcW w:w="1219" w:type="dxa"/>
            <w:hideMark/>
          </w:tcPr>
          <w:p w14:paraId="4F13BE6E"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 xml:space="preserve">; </w:t>
            </w:r>
          </w:p>
          <w:p w14:paraId="437D6072"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t>;</w:t>
            </w:r>
            <w:r w:rsidRPr="00292532">
              <w:rPr>
                <w:rFonts w:asciiTheme="minorHAnsi" w:eastAsia="Times New Roman" w:hAnsiTheme="minorHAnsi" w:cstheme="minorHAnsi"/>
                <w:color w:val="000000"/>
                <w:sz w:val="20"/>
                <w:szCs w:val="20"/>
                <w:lang w:val="pt-PT"/>
              </w:rPr>
              <w:br/>
            </w:r>
            <w:proofErr w:type="spellStart"/>
            <w:r w:rsidRPr="00292532">
              <w:rPr>
                <w:rFonts w:asciiTheme="minorHAnsi" w:eastAsia="Times New Roman" w:hAnsiTheme="minorHAnsi" w:cstheme="minorHAnsi"/>
                <w:color w:val="000000"/>
                <w:sz w:val="20"/>
                <w:szCs w:val="20"/>
                <w:lang w:val="pt-PT"/>
              </w:rPr>
              <w:t>SPAs</w:t>
            </w:r>
            <w:proofErr w:type="spellEnd"/>
            <w:r w:rsidRPr="00292532">
              <w:rPr>
                <w:rFonts w:asciiTheme="minorHAnsi" w:eastAsia="Times New Roman" w:hAnsiTheme="minorHAnsi" w:cstheme="minorHAnsi"/>
                <w:color w:val="000000"/>
                <w:sz w:val="20"/>
                <w:szCs w:val="20"/>
                <w:lang w:val="pt-PT"/>
              </w:rPr>
              <w:t>;</w:t>
            </w:r>
          </w:p>
          <w:p w14:paraId="3BE9D120"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DINAB;</w:t>
            </w:r>
          </w:p>
          <w:p w14:paraId="14089F0E"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Fiscais das obras</w:t>
            </w:r>
          </w:p>
        </w:tc>
      </w:tr>
      <w:tr w:rsidR="000615DB" w:rsidRPr="004E2EAC" w14:paraId="30EEA604" w14:textId="77777777" w:rsidTr="006174BB">
        <w:trPr>
          <w:trHeight w:val="4300"/>
        </w:trPr>
        <w:tc>
          <w:tcPr>
            <w:cnfStyle w:val="001000000000" w:firstRow="0" w:lastRow="0" w:firstColumn="1" w:lastColumn="0" w:oddVBand="0" w:evenVBand="0" w:oddHBand="0" w:evenHBand="0" w:firstRowFirstColumn="0" w:firstRowLastColumn="0" w:lastRowFirstColumn="0" w:lastRowLastColumn="0"/>
            <w:tcW w:w="1652" w:type="dxa"/>
            <w:hideMark/>
          </w:tcPr>
          <w:p w14:paraId="5CAFE4F0"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 xml:space="preserve">Poluição dos solos, das águas superficiais e subterrâneas devido a derrames de combustíveis e químicos </w:t>
            </w:r>
          </w:p>
        </w:tc>
        <w:tc>
          <w:tcPr>
            <w:tcW w:w="5453" w:type="dxa"/>
            <w:hideMark/>
          </w:tcPr>
          <w:p w14:paraId="62EEB1FD"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Os combustíveis e outros químicos perigosos devem ser armazenados de acordo com as boas práticas da indústria e em áreas designadas e devidamente identificadas com sinais. Nestas áreas devem ser disponibilizados inventários dos químicos e combustíveis e Fichas de Dados de Segurança dos Materiais.</w:t>
            </w:r>
            <w:r w:rsidRPr="00292532">
              <w:rPr>
                <w:rFonts w:asciiTheme="minorHAnsi" w:eastAsia="Times New Roman" w:hAnsiTheme="minorHAnsi" w:cstheme="minorHAnsi"/>
                <w:color w:val="000000"/>
                <w:sz w:val="20"/>
                <w:szCs w:val="20"/>
                <w:lang w:val="pt-PT"/>
              </w:rPr>
              <w:br/>
              <w:t xml:space="preserve">• O reabastecimento de equipamento e veículos deve ser feito nas áreas designadas em piso sólido e impermeável de forma a evitar a infiltração de quaisquer derrames no solo.  </w:t>
            </w:r>
            <w:r w:rsidRPr="00292532">
              <w:rPr>
                <w:rFonts w:asciiTheme="minorHAnsi" w:eastAsia="Times New Roman" w:hAnsiTheme="minorHAnsi" w:cstheme="minorHAnsi"/>
                <w:color w:val="000000"/>
                <w:sz w:val="20"/>
                <w:szCs w:val="20"/>
                <w:lang w:val="pt-PT"/>
              </w:rPr>
              <w:br/>
              <w:t xml:space="preserve">• Os veículos, tanques e equipamento devem ser sujeitos à manutenções regulares </w:t>
            </w:r>
            <w:r w:rsidRPr="00292532">
              <w:rPr>
                <w:rFonts w:asciiTheme="minorHAnsi" w:eastAsia="Times New Roman" w:hAnsiTheme="minorHAnsi" w:cstheme="minorHAnsi"/>
                <w:color w:val="000000"/>
                <w:sz w:val="20"/>
                <w:szCs w:val="20"/>
                <w:lang w:val="pt-PT"/>
              </w:rPr>
              <w:br/>
              <w:t xml:space="preserve">• Os derrames acidentais para o solo devem ser solucionados de imediato por pessoal devidamente qualificado e a </w:t>
            </w:r>
            <w:proofErr w:type="spellStart"/>
            <w:r w:rsidRPr="00292532">
              <w:rPr>
                <w:rFonts w:asciiTheme="minorHAnsi" w:eastAsia="Times New Roman" w:hAnsiTheme="minorHAnsi" w:cstheme="minorHAnsi"/>
                <w:color w:val="000000"/>
                <w:sz w:val="20"/>
                <w:szCs w:val="20"/>
                <w:lang w:val="pt-PT"/>
              </w:rPr>
              <w:t>correcção</w:t>
            </w:r>
            <w:proofErr w:type="spellEnd"/>
            <w:r w:rsidRPr="00292532">
              <w:rPr>
                <w:rFonts w:asciiTheme="minorHAnsi" w:eastAsia="Times New Roman" w:hAnsiTheme="minorHAnsi" w:cstheme="minorHAnsi"/>
                <w:color w:val="000000"/>
                <w:sz w:val="20"/>
                <w:szCs w:val="20"/>
                <w:lang w:val="pt-PT"/>
              </w:rPr>
              <w:t xml:space="preserve"> deve ser verificada e devem ser disponibilizados os materiais necessários para a contenção de derrames (p.e. kits de limpeza)</w:t>
            </w:r>
            <w:r w:rsidRPr="00292532">
              <w:rPr>
                <w:rFonts w:asciiTheme="minorHAnsi" w:eastAsia="Times New Roman" w:hAnsiTheme="minorHAnsi" w:cstheme="minorHAnsi"/>
                <w:color w:val="000000"/>
                <w:sz w:val="20"/>
                <w:szCs w:val="20"/>
                <w:lang w:val="pt-PT"/>
              </w:rPr>
              <w:br/>
              <w:t>• Assegurar que o manuseamento, armazenamento e transporte de substâncias perigosas é feito cumprindo as normas vigentes para a gestão de substâncias perigosas</w:t>
            </w:r>
            <w:r w:rsidRPr="00292532">
              <w:rPr>
                <w:rFonts w:asciiTheme="minorHAnsi" w:eastAsia="Times New Roman" w:hAnsiTheme="minorHAnsi" w:cstheme="minorHAnsi"/>
                <w:color w:val="000000"/>
                <w:sz w:val="20"/>
                <w:szCs w:val="20"/>
                <w:lang w:val="pt-PT"/>
              </w:rPr>
              <w:br/>
              <w:t>• A manutenção regular de viaturas não deve ser feita nas zonas de operação, mas sim, na oficina</w:t>
            </w:r>
            <w:r w:rsidRPr="00292532">
              <w:rPr>
                <w:rFonts w:asciiTheme="minorHAnsi" w:eastAsia="Times New Roman" w:hAnsiTheme="minorHAnsi" w:cstheme="minorHAnsi"/>
                <w:color w:val="000000"/>
                <w:sz w:val="20"/>
                <w:szCs w:val="20"/>
                <w:lang w:val="pt-PT"/>
              </w:rPr>
              <w:br/>
              <w:t>• Deve-se prevenir o derrame de óleo ou combustíveis no solo ou na água</w:t>
            </w:r>
          </w:p>
          <w:p w14:paraId="7A2F18D7"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•Avaliação do conteúdo de materiais perigosos e produtos à base de petróleo em sistemas de construção (por exemplo, PCB contendo equipamentos elétricos, materiais de construção contendo amianto) </w:t>
            </w:r>
            <w:r w:rsidRPr="00292532">
              <w:rPr>
                <w:rFonts w:asciiTheme="minorHAnsi" w:eastAsia="Times New Roman" w:hAnsiTheme="minorHAnsi" w:cstheme="minorHAnsi"/>
                <w:color w:val="000000"/>
                <w:sz w:val="20"/>
                <w:szCs w:val="20"/>
                <w:lang w:val="pt-PT"/>
              </w:rPr>
              <w:br/>
              <w:t>• Armazenar combustíveis, solventes e outros produtos perigosos sobre superfícies impermeáveis, com bermas para a contenção de possíveis derrames</w:t>
            </w:r>
          </w:p>
          <w:p w14:paraId="7BD8D974"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•Providenciar treinamento sobre melhores técnicas de manuseamento de químicos, durante a transferência de </w:t>
            </w:r>
            <w:r w:rsidRPr="00292532">
              <w:rPr>
                <w:rFonts w:asciiTheme="minorHAnsi" w:eastAsia="Times New Roman" w:hAnsiTheme="minorHAnsi" w:cstheme="minorHAnsi"/>
                <w:color w:val="000000"/>
                <w:sz w:val="20"/>
                <w:szCs w:val="20"/>
                <w:lang w:val="pt-PT"/>
              </w:rPr>
              <w:lastRenderedPageBreak/>
              <w:t>combustíveis, armazenamento de químicos e combustíveis e resposta à derrames</w:t>
            </w:r>
          </w:p>
          <w:p w14:paraId="491B1FF7"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Fornecimento de equipamentos e materiais para contenção e limpeza após um derrame.</w:t>
            </w:r>
          </w:p>
        </w:tc>
        <w:tc>
          <w:tcPr>
            <w:tcW w:w="2377" w:type="dxa"/>
            <w:hideMark/>
          </w:tcPr>
          <w:p w14:paraId="30A62511"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Fase de construção (circulação de veículos, manuseamento, transporte e armazenamento de químicos e de combustíveis, transferência de combustíveis)</w:t>
            </w:r>
          </w:p>
          <w:p w14:paraId="70E8CAF3"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Fase de operação (manuseamento de químicos) </w:t>
            </w:r>
          </w:p>
        </w:tc>
        <w:tc>
          <w:tcPr>
            <w:tcW w:w="1793" w:type="dxa"/>
            <w:hideMark/>
          </w:tcPr>
          <w:p w14:paraId="2DBEBAF3"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Plano de Gestão de Resíduos;</w:t>
            </w:r>
            <w:r w:rsidRPr="00292532">
              <w:rPr>
                <w:rFonts w:asciiTheme="minorHAnsi" w:eastAsia="Times New Roman" w:hAnsiTheme="minorHAnsi" w:cstheme="minorHAnsi"/>
                <w:color w:val="000000"/>
                <w:sz w:val="20"/>
                <w:szCs w:val="20"/>
                <w:lang w:val="pt-PT"/>
              </w:rPr>
              <w:br/>
              <w:t xml:space="preserve">PGA; </w:t>
            </w:r>
            <w:r w:rsidRPr="00292532">
              <w:rPr>
                <w:rFonts w:asciiTheme="minorHAnsi" w:eastAsia="Times New Roman" w:hAnsiTheme="minorHAnsi" w:cstheme="minorHAnsi"/>
                <w:color w:val="000000"/>
                <w:sz w:val="20"/>
                <w:szCs w:val="20"/>
                <w:lang w:val="pt-PT"/>
              </w:rPr>
              <w:br/>
              <w:t xml:space="preserve">Plano de Gestão e Prevenção da Poluição; </w:t>
            </w:r>
            <w:r w:rsidRPr="00292532">
              <w:rPr>
                <w:rFonts w:asciiTheme="minorHAnsi" w:eastAsia="Times New Roman" w:hAnsiTheme="minorHAnsi" w:cstheme="minorHAnsi"/>
                <w:color w:val="000000"/>
                <w:sz w:val="20"/>
                <w:szCs w:val="20"/>
                <w:lang w:val="pt-PT"/>
              </w:rPr>
              <w:br/>
              <w:t xml:space="preserve">Procedimentos de Resposta à Emergências e Contenção de Derrames </w:t>
            </w:r>
          </w:p>
        </w:tc>
        <w:tc>
          <w:tcPr>
            <w:tcW w:w="2402" w:type="dxa"/>
            <w:hideMark/>
          </w:tcPr>
          <w:p w14:paraId="0916BAB2"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Empreiteiros </w:t>
            </w:r>
          </w:p>
        </w:tc>
        <w:tc>
          <w:tcPr>
            <w:tcW w:w="1219" w:type="dxa"/>
            <w:hideMark/>
          </w:tcPr>
          <w:p w14:paraId="4804FDE7"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 xml:space="preserve">; </w:t>
            </w:r>
          </w:p>
          <w:p w14:paraId="028D6C73"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t>;</w:t>
            </w:r>
            <w:r w:rsidRPr="00292532">
              <w:rPr>
                <w:rFonts w:asciiTheme="minorHAnsi" w:eastAsia="Times New Roman" w:hAnsiTheme="minorHAnsi" w:cstheme="minorHAnsi"/>
                <w:color w:val="000000"/>
                <w:sz w:val="20"/>
                <w:szCs w:val="20"/>
                <w:lang w:val="pt-PT"/>
              </w:rPr>
              <w:br/>
            </w:r>
            <w:proofErr w:type="spellStart"/>
            <w:r w:rsidRPr="00292532">
              <w:rPr>
                <w:rFonts w:asciiTheme="minorHAnsi" w:eastAsia="Times New Roman" w:hAnsiTheme="minorHAnsi" w:cstheme="minorHAnsi"/>
                <w:color w:val="000000"/>
                <w:sz w:val="20"/>
                <w:szCs w:val="20"/>
                <w:lang w:val="pt-PT"/>
              </w:rPr>
              <w:t>SPAs</w:t>
            </w:r>
            <w:proofErr w:type="spellEnd"/>
            <w:r w:rsidRPr="00292532">
              <w:rPr>
                <w:rFonts w:asciiTheme="minorHAnsi" w:eastAsia="Times New Roman" w:hAnsiTheme="minorHAnsi" w:cstheme="minorHAnsi"/>
                <w:color w:val="000000"/>
                <w:sz w:val="20"/>
                <w:szCs w:val="20"/>
                <w:lang w:val="pt-PT"/>
              </w:rPr>
              <w:t>;</w:t>
            </w:r>
          </w:p>
          <w:p w14:paraId="06862FFA"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DINAB;</w:t>
            </w:r>
          </w:p>
          <w:p w14:paraId="64EB4623"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Fiscais das obras</w:t>
            </w:r>
          </w:p>
        </w:tc>
      </w:tr>
      <w:tr w:rsidR="000615DB" w:rsidRPr="004E2EAC" w14:paraId="4F7A2554" w14:textId="77777777" w:rsidTr="006174BB">
        <w:trPr>
          <w:cnfStyle w:val="000000100000" w:firstRow="0" w:lastRow="0" w:firstColumn="0" w:lastColumn="0" w:oddVBand="0" w:evenVBand="0" w:oddHBand="1" w:evenHBand="0" w:firstRowFirstColumn="0" w:firstRowLastColumn="0" w:lastRowFirstColumn="0" w:lastRowLastColumn="0"/>
          <w:trHeight w:val="5330"/>
        </w:trPr>
        <w:tc>
          <w:tcPr>
            <w:cnfStyle w:val="001000000000" w:firstRow="0" w:lastRow="0" w:firstColumn="1" w:lastColumn="0" w:oddVBand="0" w:evenVBand="0" w:oddHBand="0" w:evenHBand="0" w:firstRowFirstColumn="0" w:firstRowLastColumn="0" w:lastRowFirstColumn="0" w:lastRowLastColumn="0"/>
            <w:tcW w:w="1652" w:type="dxa"/>
            <w:hideMark/>
          </w:tcPr>
          <w:p w14:paraId="4E63B4EE"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 xml:space="preserve">Geração e Gestão de resíduos e efluentes </w:t>
            </w:r>
          </w:p>
        </w:tc>
        <w:tc>
          <w:tcPr>
            <w:tcW w:w="5453" w:type="dxa"/>
            <w:hideMark/>
          </w:tcPr>
          <w:p w14:paraId="6220E141"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Disponibilizar em locais estratégicos recipientes para o lixo, com tampa, de capacidade e em número suficiente, tendo em conta as estimativas de volumes de lixos domésticos a produzir;</w:t>
            </w:r>
            <w:r w:rsidRPr="00292532">
              <w:rPr>
                <w:rFonts w:asciiTheme="minorHAnsi" w:eastAsia="Times New Roman" w:hAnsiTheme="minorHAnsi" w:cstheme="minorHAnsi"/>
                <w:color w:val="000000"/>
                <w:sz w:val="20"/>
                <w:szCs w:val="20"/>
                <w:lang w:val="pt-PT"/>
              </w:rPr>
              <w:br/>
              <w:t xml:space="preserve">• Instruir os trabalhadores a procederem ao armazenamento adequado dos resíduos produzidos. </w:t>
            </w:r>
            <w:r w:rsidRPr="00292532">
              <w:rPr>
                <w:rFonts w:asciiTheme="minorHAnsi" w:eastAsia="Times New Roman" w:hAnsiTheme="minorHAnsi" w:cstheme="minorHAnsi"/>
                <w:color w:val="000000"/>
                <w:sz w:val="20"/>
                <w:szCs w:val="20"/>
                <w:lang w:val="pt-PT"/>
              </w:rPr>
              <w:br/>
              <w:t>• As áreas de trabalho deverão ser mantidas limpas</w:t>
            </w:r>
            <w:r w:rsidRPr="00292532">
              <w:rPr>
                <w:rFonts w:asciiTheme="minorHAnsi" w:eastAsia="Times New Roman" w:hAnsiTheme="minorHAnsi" w:cstheme="minorHAnsi"/>
                <w:color w:val="000000"/>
                <w:sz w:val="20"/>
                <w:szCs w:val="20"/>
                <w:lang w:val="pt-PT"/>
              </w:rPr>
              <w:br/>
              <w:t>• Considerar a possibilidade de reaproveitamento de materiais específicos considerados resíduos da construção, mas com potencial para serem reaproveitados. Esta medida deve excluir recipientes onde estiveram contidos materiais perigosos</w:t>
            </w:r>
            <w:r w:rsidRPr="00292532">
              <w:rPr>
                <w:rFonts w:asciiTheme="minorHAnsi" w:eastAsia="Times New Roman" w:hAnsiTheme="minorHAnsi" w:cstheme="minorHAnsi"/>
                <w:color w:val="000000"/>
                <w:sz w:val="20"/>
                <w:szCs w:val="20"/>
                <w:lang w:val="pt-PT"/>
              </w:rPr>
              <w:br/>
              <w:t>• Os trabalhadores deverão tomar conhecimento e aplicar quer as normas de manuseamento, armazenamento e transporte de substâncias perigosas, quer as de eliminação de resíduos perigosos;</w:t>
            </w:r>
            <w:r w:rsidRPr="00292532">
              <w:rPr>
                <w:rFonts w:asciiTheme="minorHAnsi" w:eastAsia="Times New Roman" w:hAnsiTheme="minorHAnsi" w:cstheme="minorHAnsi"/>
                <w:color w:val="000000"/>
                <w:sz w:val="20"/>
                <w:szCs w:val="20"/>
                <w:lang w:val="pt-PT"/>
              </w:rPr>
              <w:br/>
              <w:t>• Os resíduos perigosos deverão ser recolhidos e armazenados em local vedado, impermeabilizado e protegido de agentes climatéricos até sua recolha para destruição por um operador certificado.</w:t>
            </w:r>
            <w:r w:rsidRPr="00292532">
              <w:rPr>
                <w:rFonts w:asciiTheme="minorHAnsi" w:eastAsia="Times New Roman" w:hAnsiTheme="minorHAnsi" w:cstheme="minorHAnsi"/>
                <w:color w:val="000000"/>
                <w:sz w:val="20"/>
                <w:szCs w:val="20"/>
                <w:lang w:val="pt-PT"/>
              </w:rPr>
              <w:br/>
              <w:t>•Os efluentes de esgotos e os resíduos relacionados com o acampamento de construção devem ser geridos de forma adequada</w:t>
            </w:r>
            <w:r w:rsidRPr="00292532">
              <w:rPr>
                <w:rFonts w:asciiTheme="minorHAnsi" w:eastAsia="Times New Roman" w:hAnsiTheme="minorHAnsi" w:cstheme="minorHAnsi"/>
                <w:color w:val="000000"/>
                <w:sz w:val="20"/>
                <w:szCs w:val="20"/>
                <w:lang w:val="pt-PT"/>
              </w:rPr>
              <w:br/>
              <w:t>• Os resíduos devem ser depositados em locais apropriados para este fim, aterros sanitários ou lixeiras formais.</w:t>
            </w:r>
            <w:r w:rsidRPr="00292532">
              <w:rPr>
                <w:rFonts w:asciiTheme="minorHAnsi" w:eastAsia="Times New Roman" w:hAnsiTheme="minorHAnsi" w:cstheme="minorHAnsi"/>
                <w:color w:val="000000"/>
                <w:sz w:val="20"/>
                <w:szCs w:val="20"/>
                <w:lang w:val="pt-PT"/>
              </w:rPr>
              <w:br/>
              <w:t xml:space="preserve">Não serão guardados nenhuns resíduos fora dos caixotes/contentores designados, nem será permitida a mistura de tipos de resíduos; </w:t>
            </w:r>
            <w:r w:rsidRPr="00292532">
              <w:rPr>
                <w:rFonts w:asciiTheme="minorHAnsi" w:eastAsia="Times New Roman" w:hAnsiTheme="minorHAnsi" w:cstheme="minorHAnsi"/>
                <w:color w:val="000000"/>
                <w:sz w:val="20"/>
                <w:szCs w:val="20"/>
                <w:lang w:val="pt-PT"/>
              </w:rPr>
              <w:br/>
              <w:t xml:space="preserve">• Os resíduos serão transportados desde a fonte até às instalações de eliminação, de uma maneira apropriada; </w:t>
            </w:r>
            <w:r w:rsidRPr="00292532">
              <w:rPr>
                <w:rFonts w:asciiTheme="minorHAnsi" w:eastAsia="Times New Roman" w:hAnsiTheme="minorHAnsi" w:cstheme="minorHAnsi"/>
                <w:color w:val="000000"/>
                <w:sz w:val="20"/>
                <w:szCs w:val="20"/>
                <w:lang w:val="pt-PT"/>
              </w:rPr>
              <w:br/>
              <w:t xml:space="preserve">• Os resíduos perigosos devem ser guardados em contentores selados e colocados numa instalação de armazenamento segura; </w:t>
            </w:r>
            <w:r w:rsidRPr="00292532">
              <w:rPr>
                <w:rFonts w:asciiTheme="minorHAnsi" w:eastAsia="Times New Roman" w:hAnsiTheme="minorHAnsi" w:cstheme="minorHAnsi"/>
                <w:color w:val="000000"/>
                <w:sz w:val="20"/>
                <w:szCs w:val="20"/>
                <w:lang w:val="pt-PT"/>
              </w:rPr>
              <w:br/>
            </w:r>
            <w:r w:rsidRPr="00292532">
              <w:rPr>
                <w:rFonts w:asciiTheme="minorHAnsi" w:eastAsia="Times New Roman" w:hAnsiTheme="minorHAnsi" w:cstheme="minorHAnsi"/>
                <w:color w:val="000000"/>
                <w:sz w:val="20"/>
                <w:szCs w:val="20"/>
                <w:lang w:val="pt-PT"/>
              </w:rPr>
              <w:lastRenderedPageBreak/>
              <w:t xml:space="preserve">•As instalações de armazenamento de resíduos perigosos contarão com materiais e equipamento de combate a incêndios e suportes para extintores de fogo; Equipamento de limpeza e um sistema para lavagem a </w:t>
            </w:r>
            <w:proofErr w:type="spellStart"/>
            <w:r w:rsidRPr="00292532">
              <w:rPr>
                <w:rFonts w:asciiTheme="minorHAnsi" w:eastAsia="Times New Roman" w:hAnsiTheme="minorHAnsi" w:cstheme="minorHAnsi"/>
                <w:color w:val="000000"/>
                <w:sz w:val="20"/>
                <w:szCs w:val="20"/>
                <w:lang w:val="pt-PT"/>
              </w:rPr>
              <w:t>jacto</w:t>
            </w:r>
            <w:proofErr w:type="spellEnd"/>
            <w:r w:rsidRPr="00292532">
              <w:rPr>
                <w:rFonts w:asciiTheme="minorHAnsi" w:eastAsia="Times New Roman" w:hAnsiTheme="minorHAnsi" w:cstheme="minorHAnsi"/>
                <w:color w:val="000000"/>
                <w:sz w:val="20"/>
                <w:szCs w:val="20"/>
                <w:lang w:val="pt-PT"/>
              </w:rPr>
              <w:t xml:space="preserve"> de condutas, recipientes e contentores; Quantidades suficientes de material absorvente, para absorver ou recolher qualquer derrame ou fuga de resíduo. </w:t>
            </w:r>
            <w:r w:rsidRPr="00292532">
              <w:rPr>
                <w:rFonts w:asciiTheme="minorHAnsi" w:eastAsia="Times New Roman" w:hAnsiTheme="minorHAnsi" w:cstheme="minorHAnsi"/>
                <w:color w:val="000000"/>
                <w:sz w:val="20"/>
                <w:szCs w:val="20"/>
                <w:lang w:val="pt-PT"/>
              </w:rPr>
              <w:br/>
              <w:t>•Durante o transporte de resíduos perigosos, os veículos serão devidamente rotulados e serão equipados com materiais ou equipamento adequado para conter, gerir e remover derrames acidentais</w:t>
            </w:r>
          </w:p>
          <w:p w14:paraId="226E6FCE"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•Remoção de todos os resíduos e deposição durante a desmobilização </w:t>
            </w:r>
          </w:p>
          <w:p w14:paraId="01C3E89D"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•Remoção de instalações sanitárias portáteis e limpeza do local</w:t>
            </w:r>
          </w:p>
          <w:p w14:paraId="53BF7A0B"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A terra contaminada por combustíveis e químicos </w:t>
            </w:r>
          </w:p>
          <w:p w14:paraId="73B9DBE0"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Limpeza das áreas das oficinas </w:t>
            </w:r>
          </w:p>
          <w:p w14:paraId="3C351617"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Planear o destino dos óleos obsoletos </w:t>
            </w:r>
          </w:p>
          <w:p w14:paraId="5B9D319E"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
        </w:tc>
        <w:tc>
          <w:tcPr>
            <w:tcW w:w="2377" w:type="dxa"/>
            <w:hideMark/>
          </w:tcPr>
          <w:p w14:paraId="38855C41"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 xml:space="preserve"> Construção </w:t>
            </w:r>
          </w:p>
          <w:p w14:paraId="6F310BFE"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
          <w:p w14:paraId="47A5FC12"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
        </w:tc>
        <w:tc>
          <w:tcPr>
            <w:tcW w:w="1793" w:type="dxa"/>
            <w:hideMark/>
          </w:tcPr>
          <w:p w14:paraId="45C40E7D"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PGA; </w:t>
            </w:r>
            <w:r w:rsidRPr="00292532">
              <w:rPr>
                <w:rFonts w:asciiTheme="minorHAnsi" w:eastAsia="Times New Roman" w:hAnsiTheme="minorHAnsi" w:cstheme="minorHAnsi"/>
                <w:color w:val="000000"/>
                <w:sz w:val="20"/>
                <w:szCs w:val="20"/>
                <w:lang w:val="pt-PT"/>
              </w:rPr>
              <w:br/>
              <w:t xml:space="preserve">Plano de Gestão de Resíduos; </w:t>
            </w:r>
          </w:p>
        </w:tc>
        <w:tc>
          <w:tcPr>
            <w:tcW w:w="2402" w:type="dxa"/>
            <w:hideMark/>
          </w:tcPr>
          <w:p w14:paraId="0D6CA3FC"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Empreiteiros </w:t>
            </w:r>
          </w:p>
        </w:tc>
        <w:tc>
          <w:tcPr>
            <w:tcW w:w="1219" w:type="dxa"/>
            <w:hideMark/>
          </w:tcPr>
          <w:p w14:paraId="1BDBB478"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 xml:space="preserve">; </w:t>
            </w:r>
          </w:p>
          <w:p w14:paraId="56A722BA"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t>;</w:t>
            </w:r>
            <w:r w:rsidRPr="00292532">
              <w:rPr>
                <w:rFonts w:asciiTheme="minorHAnsi" w:eastAsia="Times New Roman" w:hAnsiTheme="minorHAnsi" w:cstheme="minorHAnsi"/>
                <w:color w:val="000000"/>
                <w:sz w:val="20"/>
                <w:szCs w:val="20"/>
                <w:lang w:val="pt-PT"/>
              </w:rPr>
              <w:br/>
            </w:r>
            <w:proofErr w:type="spellStart"/>
            <w:r w:rsidRPr="00292532">
              <w:rPr>
                <w:rFonts w:asciiTheme="minorHAnsi" w:eastAsia="Times New Roman" w:hAnsiTheme="minorHAnsi" w:cstheme="minorHAnsi"/>
                <w:color w:val="000000"/>
                <w:sz w:val="20"/>
                <w:szCs w:val="20"/>
                <w:lang w:val="pt-PT"/>
              </w:rPr>
              <w:t>SPAs</w:t>
            </w:r>
            <w:proofErr w:type="spellEnd"/>
            <w:r w:rsidRPr="00292532">
              <w:rPr>
                <w:rFonts w:asciiTheme="minorHAnsi" w:eastAsia="Times New Roman" w:hAnsiTheme="minorHAnsi" w:cstheme="minorHAnsi"/>
                <w:color w:val="000000"/>
                <w:sz w:val="20"/>
                <w:szCs w:val="20"/>
                <w:lang w:val="pt-PT"/>
              </w:rPr>
              <w:t>;</w:t>
            </w:r>
          </w:p>
          <w:p w14:paraId="64EC302E"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DINAB;</w:t>
            </w:r>
          </w:p>
          <w:p w14:paraId="54014328"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Fiscais das obras</w:t>
            </w:r>
          </w:p>
        </w:tc>
      </w:tr>
      <w:tr w:rsidR="000615DB" w:rsidRPr="004E2EAC" w14:paraId="6B68CF49" w14:textId="77777777" w:rsidTr="006174BB">
        <w:trPr>
          <w:trHeight w:val="8190"/>
        </w:trPr>
        <w:tc>
          <w:tcPr>
            <w:cnfStyle w:val="001000000000" w:firstRow="0" w:lastRow="0" w:firstColumn="1" w:lastColumn="0" w:oddVBand="0" w:evenVBand="0" w:oddHBand="0" w:evenHBand="0" w:firstRowFirstColumn="0" w:firstRowLastColumn="0" w:lastRowFirstColumn="0" w:lastRowLastColumn="0"/>
            <w:tcW w:w="1652" w:type="dxa"/>
            <w:hideMark/>
          </w:tcPr>
          <w:p w14:paraId="1BF6F284"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 xml:space="preserve">Impactos na biodiversidade local (habitats, flora e fauna e serviços </w:t>
            </w:r>
            <w:proofErr w:type="spellStart"/>
            <w:r w:rsidRPr="00292532">
              <w:rPr>
                <w:rFonts w:asciiTheme="minorHAnsi" w:eastAsia="Times New Roman" w:hAnsiTheme="minorHAnsi" w:cstheme="minorHAnsi"/>
                <w:color w:val="000000"/>
                <w:sz w:val="20"/>
                <w:szCs w:val="20"/>
                <w:lang w:val="pt-PT"/>
              </w:rPr>
              <w:t>ecossistêmicos</w:t>
            </w:r>
            <w:proofErr w:type="spellEnd"/>
            <w:r w:rsidRPr="00292532">
              <w:rPr>
                <w:rFonts w:asciiTheme="minorHAnsi" w:eastAsia="Times New Roman" w:hAnsiTheme="minorHAnsi" w:cstheme="minorHAnsi"/>
                <w:color w:val="000000"/>
                <w:sz w:val="20"/>
                <w:szCs w:val="20"/>
                <w:lang w:val="pt-PT"/>
              </w:rPr>
              <w:t xml:space="preserve">) </w:t>
            </w:r>
          </w:p>
        </w:tc>
        <w:tc>
          <w:tcPr>
            <w:tcW w:w="5453" w:type="dxa"/>
            <w:hideMark/>
          </w:tcPr>
          <w:p w14:paraId="6BC2741D" w14:textId="77777777" w:rsidR="000615DB" w:rsidRPr="00292532" w:rsidRDefault="000615DB" w:rsidP="006174BB">
            <w:pPr>
              <w:spacing w:before="0" w:after="24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Medidas de mitigação propostas para mitigar os impactos nas águas superficiais subterrâneas, solos, qualidade do ar e emissão de ruídos</w:t>
            </w:r>
            <w:r w:rsidRPr="00292532">
              <w:rPr>
                <w:rFonts w:asciiTheme="minorHAnsi" w:eastAsia="Times New Roman" w:hAnsiTheme="minorHAnsi" w:cstheme="minorHAnsi"/>
                <w:color w:val="000000"/>
                <w:sz w:val="20"/>
                <w:szCs w:val="20"/>
                <w:lang w:val="pt-PT"/>
              </w:rPr>
              <w:br/>
              <w:t xml:space="preserve">• A iluminação será, sempre que possível, orientada </w:t>
            </w:r>
            <w:proofErr w:type="spellStart"/>
            <w:r w:rsidRPr="00292532">
              <w:rPr>
                <w:rFonts w:asciiTheme="minorHAnsi" w:eastAsia="Times New Roman" w:hAnsiTheme="minorHAnsi" w:cstheme="minorHAnsi"/>
                <w:color w:val="000000"/>
                <w:sz w:val="20"/>
                <w:szCs w:val="20"/>
                <w:lang w:val="pt-PT"/>
              </w:rPr>
              <w:t>directamente</w:t>
            </w:r>
            <w:proofErr w:type="spellEnd"/>
            <w:r w:rsidRPr="00292532">
              <w:rPr>
                <w:rFonts w:asciiTheme="minorHAnsi" w:eastAsia="Times New Roman" w:hAnsiTheme="minorHAnsi" w:cstheme="minorHAnsi"/>
                <w:color w:val="000000"/>
                <w:sz w:val="20"/>
                <w:szCs w:val="20"/>
                <w:lang w:val="pt-PT"/>
              </w:rPr>
              <w:t xml:space="preserve"> para as áreas onde necessária, minimizando a poluição luminosa para fora das áreas de intervenção</w:t>
            </w:r>
            <w:r w:rsidRPr="00292532">
              <w:rPr>
                <w:rFonts w:asciiTheme="minorHAnsi" w:eastAsia="Times New Roman" w:hAnsiTheme="minorHAnsi" w:cstheme="minorHAnsi"/>
                <w:color w:val="000000"/>
                <w:sz w:val="20"/>
                <w:szCs w:val="20"/>
                <w:lang w:val="pt-PT"/>
              </w:rPr>
              <w:br/>
              <w:t xml:space="preserve">•as áreas temporariamente </w:t>
            </w:r>
            <w:proofErr w:type="spellStart"/>
            <w:r w:rsidRPr="00292532">
              <w:rPr>
                <w:rFonts w:asciiTheme="minorHAnsi" w:eastAsia="Times New Roman" w:hAnsiTheme="minorHAnsi" w:cstheme="minorHAnsi"/>
                <w:color w:val="000000"/>
                <w:sz w:val="20"/>
                <w:szCs w:val="20"/>
                <w:lang w:val="pt-PT"/>
              </w:rPr>
              <w:t>afectadas</w:t>
            </w:r>
            <w:proofErr w:type="spellEnd"/>
            <w:r w:rsidRPr="00292532">
              <w:rPr>
                <w:rFonts w:asciiTheme="minorHAnsi" w:eastAsia="Times New Roman" w:hAnsiTheme="minorHAnsi" w:cstheme="minorHAnsi"/>
                <w:color w:val="000000"/>
                <w:sz w:val="20"/>
                <w:szCs w:val="20"/>
                <w:lang w:val="pt-PT"/>
              </w:rPr>
              <w:t xml:space="preserve"> na fase de construção deverão ser alvo de </w:t>
            </w:r>
            <w:proofErr w:type="spellStart"/>
            <w:r w:rsidRPr="00292532">
              <w:rPr>
                <w:rFonts w:asciiTheme="minorHAnsi" w:eastAsia="Times New Roman" w:hAnsiTheme="minorHAnsi" w:cstheme="minorHAnsi"/>
                <w:color w:val="000000"/>
                <w:sz w:val="20"/>
                <w:szCs w:val="20"/>
                <w:lang w:val="pt-PT"/>
              </w:rPr>
              <w:t>acções</w:t>
            </w:r>
            <w:proofErr w:type="spellEnd"/>
            <w:r w:rsidRPr="00292532">
              <w:rPr>
                <w:rFonts w:asciiTheme="minorHAnsi" w:eastAsia="Times New Roman" w:hAnsiTheme="minorHAnsi" w:cstheme="minorHAnsi"/>
                <w:color w:val="000000"/>
                <w:sz w:val="20"/>
                <w:szCs w:val="20"/>
                <w:lang w:val="pt-PT"/>
              </w:rPr>
              <w:t xml:space="preserve"> de recuperação da vegetação à medida que vão sendo libertadas, devendo ser promovida a sua recuperação integrada após o fim da empreitada</w:t>
            </w:r>
            <w:r w:rsidRPr="00292532">
              <w:rPr>
                <w:rFonts w:asciiTheme="minorHAnsi" w:eastAsia="Times New Roman" w:hAnsiTheme="minorHAnsi" w:cstheme="minorHAnsi"/>
                <w:color w:val="000000"/>
                <w:sz w:val="20"/>
                <w:szCs w:val="20"/>
                <w:lang w:val="pt-PT"/>
              </w:rPr>
              <w:br/>
              <w:t>•O abate/remoção de árvores e arbustos deverá ser prioritariamente realizado de forma manual e apenas em casos justificados outros meios serão utilizados, devendo-se remover apenas a vegetação estritamente necessária</w:t>
            </w:r>
            <w:r w:rsidRPr="00292532">
              <w:rPr>
                <w:rFonts w:asciiTheme="minorHAnsi" w:eastAsia="Times New Roman" w:hAnsiTheme="minorHAnsi" w:cstheme="minorHAnsi"/>
                <w:color w:val="000000"/>
                <w:sz w:val="20"/>
                <w:szCs w:val="20"/>
                <w:lang w:val="pt-PT"/>
              </w:rPr>
              <w:br/>
              <w:t xml:space="preserve">•Sempre que possível a remoção das espécies contidas na lista vermelha ou das espécies de importância local deve ser evitada. </w:t>
            </w:r>
            <w:r w:rsidRPr="00292532">
              <w:rPr>
                <w:rFonts w:asciiTheme="minorHAnsi" w:eastAsia="Times New Roman" w:hAnsiTheme="minorHAnsi" w:cstheme="minorHAnsi"/>
                <w:color w:val="000000"/>
                <w:sz w:val="20"/>
                <w:szCs w:val="20"/>
                <w:lang w:val="pt-PT"/>
              </w:rPr>
              <w:br/>
              <w:t xml:space="preserve">•As plantas ou animais </w:t>
            </w:r>
            <w:proofErr w:type="spellStart"/>
            <w:r w:rsidRPr="00292532">
              <w:rPr>
                <w:rFonts w:asciiTheme="minorHAnsi" w:eastAsia="Times New Roman" w:hAnsiTheme="minorHAnsi" w:cstheme="minorHAnsi"/>
                <w:color w:val="000000"/>
                <w:sz w:val="20"/>
                <w:szCs w:val="20"/>
                <w:lang w:val="pt-PT"/>
              </w:rPr>
              <w:t>afectados</w:t>
            </w:r>
            <w:proofErr w:type="spellEnd"/>
            <w:r w:rsidRPr="00292532">
              <w:rPr>
                <w:rFonts w:asciiTheme="minorHAnsi" w:eastAsia="Times New Roman" w:hAnsiTheme="minorHAnsi" w:cstheme="minorHAnsi"/>
                <w:color w:val="000000"/>
                <w:sz w:val="20"/>
                <w:szCs w:val="20"/>
                <w:lang w:val="pt-PT"/>
              </w:rPr>
              <w:t xml:space="preserve"> devem ser identificados e a sua transferência para zonas com parâmetros ecológicos semelhantes deve ser considerada</w:t>
            </w:r>
            <w:r w:rsidRPr="00292532">
              <w:rPr>
                <w:rFonts w:asciiTheme="minorHAnsi" w:eastAsia="Times New Roman" w:hAnsiTheme="minorHAnsi" w:cstheme="minorHAnsi"/>
                <w:color w:val="000000"/>
                <w:sz w:val="20"/>
                <w:szCs w:val="20"/>
                <w:lang w:val="pt-PT"/>
              </w:rPr>
              <w:br/>
              <w:t>•Deverão ser consideradas as medidas de mitigação propostas para que o impacto do aumento da caça furtiva e sobre-exploração dos recursos naturais seja minimizado</w:t>
            </w:r>
            <w:r w:rsidRPr="00292532">
              <w:rPr>
                <w:rFonts w:asciiTheme="minorHAnsi" w:eastAsia="Times New Roman" w:hAnsiTheme="minorHAnsi" w:cstheme="minorHAnsi"/>
                <w:color w:val="000000"/>
                <w:sz w:val="20"/>
                <w:szCs w:val="20"/>
                <w:lang w:val="pt-PT"/>
              </w:rPr>
              <w:br/>
              <w:t>•as infraestruturas localizadas em habitats sensíveis devem ser identificadas para facilitar ajustes na sua implementação</w:t>
            </w:r>
            <w:r w:rsidRPr="00292532">
              <w:rPr>
                <w:rFonts w:asciiTheme="minorHAnsi" w:eastAsia="Times New Roman" w:hAnsiTheme="minorHAnsi" w:cstheme="minorHAnsi"/>
                <w:color w:val="000000"/>
                <w:sz w:val="20"/>
                <w:szCs w:val="20"/>
                <w:lang w:val="pt-PT"/>
              </w:rPr>
              <w:br/>
              <w:t>•assegurar, onde possível, que as árvores com mais de 20 cm de DAP não sejam removidas</w:t>
            </w:r>
            <w:r w:rsidRPr="00292532">
              <w:rPr>
                <w:rFonts w:asciiTheme="minorHAnsi" w:eastAsia="Times New Roman" w:hAnsiTheme="minorHAnsi" w:cstheme="minorHAnsi"/>
                <w:color w:val="000000"/>
                <w:sz w:val="20"/>
                <w:szCs w:val="20"/>
                <w:lang w:val="pt-PT"/>
              </w:rPr>
              <w:br/>
              <w:t>•Sempre que possível a destruição de habitats sensíveis deve ser evitada</w:t>
            </w:r>
            <w:r w:rsidRPr="00292532">
              <w:rPr>
                <w:rFonts w:asciiTheme="minorHAnsi" w:eastAsia="Times New Roman" w:hAnsiTheme="minorHAnsi" w:cstheme="minorHAnsi"/>
                <w:color w:val="000000"/>
                <w:sz w:val="20"/>
                <w:szCs w:val="20"/>
                <w:lang w:val="pt-PT"/>
              </w:rPr>
              <w:br/>
              <w:t xml:space="preserve">• A </w:t>
            </w:r>
            <w:proofErr w:type="spellStart"/>
            <w:r w:rsidRPr="00292532">
              <w:rPr>
                <w:rFonts w:asciiTheme="minorHAnsi" w:eastAsia="Times New Roman" w:hAnsiTheme="minorHAnsi" w:cstheme="minorHAnsi"/>
                <w:color w:val="000000"/>
                <w:sz w:val="20"/>
                <w:szCs w:val="20"/>
                <w:lang w:val="pt-PT"/>
              </w:rPr>
              <w:t>colecta</w:t>
            </w:r>
            <w:proofErr w:type="spellEnd"/>
            <w:r w:rsidRPr="00292532">
              <w:rPr>
                <w:rFonts w:asciiTheme="minorHAnsi" w:eastAsia="Times New Roman" w:hAnsiTheme="minorHAnsi" w:cstheme="minorHAnsi"/>
                <w:color w:val="000000"/>
                <w:sz w:val="20"/>
                <w:szCs w:val="20"/>
                <w:lang w:val="pt-PT"/>
              </w:rPr>
              <w:t xml:space="preserve"> de lenha por funcionários/trabalhadores deve ser proibida e sempre deve-se fornecer fontes alternativas de combustível para funcionários/trabalhadores. </w:t>
            </w:r>
            <w:r w:rsidRPr="00292532">
              <w:rPr>
                <w:rFonts w:asciiTheme="minorHAnsi" w:eastAsia="Times New Roman" w:hAnsiTheme="minorHAnsi" w:cstheme="minorHAnsi"/>
                <w:color w:val="000000"/>
                <w:sz w:val="20"/>
                <w:szCs w:val="20"/>
                <w:lang w:val="pt-PT"/>
              </w:rPr>
              <w:br/>
              <w:t xml:space="preserve">• O fogo para cozinhar (se for necessário) não deve ser permitido fora das </w:t>
            </w:r>
            <w:proofErr w:type="gramStart"/>
            <w:r w:rsidRPr="00292532">
              <w:rPr>
                <w:rFonts w:asciiTheme="minorHAnsi" w:eastAsia="Times New Roman" w:hAnsiTheme="minorHAnsi" w:cstheme="minorHAnsi"/>
                <w:color w:val="000000"/>
                <w:sz w:val="20"/>
                <w:szCs w:val="20"/>
                <w:lang w:val="pt-PT"/>
              </w:rPr>
              <w:t>áreas  designadas</w:t>
            </w:r>
            <w:proofErr w:type="gramEnd"/>
            <w:r w:rsidRPr="00292532">
              <w:rPr>
                <w:rFonts w:asciiTheme="minorHAnsi" w:eastAsia="Times New Roman" w:hAnsiTheme="minorHAnsi" w:cstheme="minorHAnsi"/>
                <w:color w:val="000000"/>
                <w:sz w:val="20"/>
                <w:szCs w:val="20"/>
                <w:lang w:val="pt-PT"/>
              </w:rPr>
              <w:t xml:space="preserve">, especialmente para prevenir incêndios acidentais da mata. </w:t>
            </w:r>
            <w:r w:rsidRPr="00292532">
              <w:rPr>
                <w:rFonts w:asciiTheme="minorHAnsi" w:eastAsia="Times New Roman" w:hAnsiTheme="minorHAnsi" w:cstheme="minorHAnsi"/>
                <w:color w:val="000000"/>
                <w:sz w:val="20"/>
                <w:szCs w:val="20"/>
                <w:lang w:val="pt-PT"/>
              </w:rPr>
              <w:br/>
            </w:r>
            <w:r w:rsidRPr="00292532">
              <w:rPr>
                <w:rFonts w:asciiTheme="minorHAnsi" w:eastAsia="Times New Roman" w:hAnsiTheme="minorHAnsi" w:cstheme="minorHAnsi"/>
                <w:color w:val="000000"/>
                <w:sz w:val="20"/>
                <w:szCs w:val="20"/>
                <w:lang w:val="pt-PT"/>
              </w:rPr>
              <w:lastRenderedPageBreak/>
              <w:t xml:space="preserve">• Os trabalhadores devem ser educados sobre os perigos de queimadas e como evitá-los, por exemplo o descarte </w:t>
            </w:r>
            <w:proofErr w:type="spellStart"/>
            <w:r w:rsidRPr="00292532">
              <w:rPr>
                <w:rFonts w:asciiTheme="minorHAnsi" w:eastAsia="Times New Roman" w:hAnsiTheme="minorHAnsi" w:cstheme="minorHAnsi"/>
                <w:color w:val="000000"/>
                <w:sz w:val="20"/>
                <w:szCs w:val="20"/>
                <w:lang w:val="pt-PT"/>
              </w:rPr>
              <w:t>correcto</w:t>
            </w:r>
            <w:proofErr w:type="spellEnd"/>
            <w:r w:rsidRPr="00292532">
              <w:rPr>
                <w:rFonts w:asciiTheme="minorHAnsi" w:eastAsia="Times New Roman" w:hAnsiTheme="minorHAnsi" w:cstheme="minorHAnsi"/>
                <w:color w:val="000000"/>
                <w:sz w:val="20"/>
                <w:szCs w:val="20"/>
                <w:lang w:val="pt-PT"/>
              </w:rPr>
              <w:t xml:space="preserve"> de beatas de cigarro.</w:t>
            </w:r>
            <w:r w:rsidRPr="00292532">
              <w:rPr>
                <w:rFonts w:asciiTheme="minorHAnsi" w:eastAsia="Times New Roman" w:hAnsiTheme="minorHAnsi" w:cstheme="minorHAnsi"/>
                <w:color w:val="000000"/>
                <w:sz w:val="20"/>
                <w:szCs w:val="20"/>
                <w:lang w:val="pt-PT"/>
              </w:rPr>
              <w:br/>
              <w:t xml:space="preserve">• Uma unidade móvel de controlo do fogo com pessoal treinado deve estar permanentemente disponível para rapidamente apagar incêndios na área do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w:t>
            </w:r>
            <w:r w:rsidRPr="00292532">
              <w:rPr>
                <w:rFonts w:asciiTheme="minorHAnsi" w:eastAsia="Times New Roman" w:hAnsiTheme="minorHAnsi" w:cstheme="minorHAnsi"/>
                <w:color w:val="000000"/>
                <w:sz w:val="20"/>
                <w:szCs w:val="20"/>
                <w:lang w:val="pt-PT"/>
              </w:rPr>
              <w:br/>
              <w:t>• A colheita de produtos de madeira para venda também deve ser proibida e deve estar especificada no acordo contratual.</w:t>
            </w:r>
            <w:r w:rsidRPr="00292532">
              <w:rPr>
                <w:rFonts w:asciiTheme="minorHAnsi" w:eastAsia="Times New Roman" w:hAnsiTheme="minorHAnsi" w:cstheme="minorHAnsi"/>
                <w:color w:val="000000"/>
                <w:sz w:val="20"/>
                <w:szCs w:val="20"/>
                <w:lang w:val="pt-PT"/>
              </w:rPr>
              <w:br/>
              <w:t>• Os programas educacionais em relação à exploração e destruição dos recursos naturais devem ser regularmente apresentados às comunidades locais a fim de promover a ideia de uso sustentável dos recursos naturais.</w:t>
            </w:r>
            <w:r w:rsidRPr="00292532">
              <w:rPr>
                <w:rFonts w:asciiTheme="minorHAnsi" w:eastAsia="Times New Roman" w:hAnsiTheme="minorHAnsi" w:cstheme="minorHAnsi"/>
                <w:color w:val="000000"/>
                <w:sz w:val="20"/>
                <w:szCs w:val="20"/>
                <w:lang w:val="pt-PT"/>
              </w:rPr>
              <w:br/>
              <w:t xml:space="preserve">• A exploração e destruição dos recursos naturais deve ser estritamente proibida para todos os membros da equipa do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w:t>
            </w:r>
            <w:r w:rsidRPr="00292532">
              <w:rPr>
                <w:rFonts w:asciiTheme="minorHAnsi" w:eastAsia="Times New Roman" w:hAnsiTheme="minorHAnsi" w:cstheme="minorHAnsi"/>
                <w:color w:val="000000"/>
                <w:sz w:val="20"/>
                <w:szCs w:val="20"/>
                <w:lang w:val="pt-PT"/>
              </w:rPr>
              <w:br/>
              <w:t>O acesso suficiente aos alimentos deve existir para todos os funcionários com intenção de  reduzir a necessidade da caça de subsistência</w:t>
            </w:r>
            <w:r w:rsidRPr="00292532">
              <w:rPr>
                <w:rFonts w:asciiTheme="minorHAnsi" w:eastAsia="Times New Roman" w:hAnsiTheme="minorHAnsi" w:cstheme="minorHAnsi"/>
                <w:color w:val="000000"/>
                <w:sz w:val="20"/>
                <w:szCs w:val="20"/>
                <w:lang w:val="pt-PT"/>
              </w:rPr>
              <w:br/>
              <w:t xml:space="preserve">•Criação de protocolos adequados em relação ao desmatamento da vegetação, ao empilhamento </w:t>
            </w:r>
            <w:proofErr w:type="spellStart"/>
            <w:r w:rsidRPr="00292532">
              <w:rPr>
                <w:rFonts w:asciiTheme="minorHAnsi" w:eastAsia="Times New Roman" w:hAnsiTheme="minorHAnsi" w:cstheme="minorHAnsi"/>
                <w:color w:val="000000"/>
                <w:sz w:val="20"/>
                <w:szCs w:val="20"/>
                <w:lang w:val="pt-PT"/>
              </w:rPr>
              <w:t>correcto</w:t>
            </w:r>
            <w:proofErr w:type="spellEnd"/>
            <w:r w:rsidRPr="00292532">
              <w:rPr>
                <w:rFonts w:asciiTheme="minorHAnsi" w:eastAsia="Times New Roman" w:hAnsiTheme="minorHAnsi" w:cstheme="minorHAnsi"/>
                <w:color w:val="000000"/>
                <w:sz w:val="20"/>
                <w:szCs w:val="20"/>
                <w:lang w:val="pt-PT"/>
              </w:rPr>
              <w:t xml:space="preserve"> e à reabilitação de áreas desmatadas</w:t>
            </w:r>
            <w:r w:rsidRPr="00292532">
              <w:rPr>
                <w:rFonts w:asciiTheme="minorHAnsi" w:eastAsia="Times New Roman" w:hAnsiTheme="minorHAnsi" w:cstheme="minorHAnsi"/>
                <w:color w:val="000000"/>
                <w:sz w:val="20"/>
                <w:szCs w:val="20"/>
                <w:lang w:val="pt-PT"/>
              </w:rPr>
              <w:br/>
              <w:t xml:space="preserve">• No caso dos impactos sobre as comunidades vegetais de elevada sensibilidade ecológica não puderem ser evitados, 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xml:space="preserve"> vai estabelecer compensações de biodiversidade adequadas em conformidade com os requisito</w:t>
            </w:r>
            <w:r w:rsidRPr="00292532">
              <w:rPr>
                <w:rFonts w:asciiTheme="minorHAnsi" w:eastAsia="Times New Roman" w:hAnsiTheme="minorHAnsi" w:cstheme="minorHAnsi"/>
                <w:color w:val="000000"/>
                <w:sz w:val="20"/>
                <w:szCs w:val="20"/>
                <w:lang w:val="pt-PT"/>
              </w:rPr>
              <w:br/>
              <w:t>•Fazer uma analise de sensibilidade para a implantação das infraestruturas com base em multicritérios ambientais e sociais</w:t>
            </w:r>
          </w:p>
        </w:tc>
        <w:tc>
          <w:tcPr>
            <w:tcW w:w="2377" w:type="dxa"/>
            <w:hideMark/>
          </w:tcPr>
          <w:p w14:paraId="1DED654A"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 xml:space="preserve">Durante toda a fase de construção (limpeza e desmatação, terraplenagens, escavações, instalação de condutas) e em todas as instalações (acampamentos, estaleiros) e locais associados ao </w:t>
            </w:r>
            <w:proofErr w:type="spellStart"/>
            <w:r w:rsidRPr="00292532">
              <w:rPr>
                <w:rFonts w:asciiTheme="minorHAnsi" w:eastAsia="Times New Roman" w:hAnsiTheme="minorHAnsi" w:cstheme="minorHAnsi"/>
                <w:color w:val="000000"/>
                <w:sz w:val="20"/>
                <w:szCs w:val="20"/>
                <w:lang w:val="pt-PT"/>
              </w:rPr>
              <w:t>Projecto</w:t>
            </w:r>
            <w:proofErr w:type="spellEnd"/>
          </w:p>
        </w:tc>
        <w:tc>
          <w:tcPr>
            <w:tcW w:w="1793" w:type="dxa"/>
            <w:hideMark/>
          </w:tcPr>
          <w:p w14:paraId="375378F6"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Plano de Gestão de Resíduos;</w:t>
            </w:r>
            <w:r w:rsidRPr="00292532">
              <w:rPr>
                <w:rFonts w:asciiTheme="minorHAnsi" w:eastAsia="Times New Roman" w:hAnsiTheme="minorHAnsi" w:cstheme="minorHAnsi"/>
                <w:color w:val="000000"/>
                <w:sz w:val="20"/>
                <w:szCs w:val="20"/>
                <w:lang w:val="pt-PT"/>
              </w:rPr>
              <w:br/>
              <w:t xml:space="preserve">PGA; </w:t>
            </w:r>
            <w:r w:rsidRPr="00292532">
              <w:rPr>
                <w:rFonts w:asciiTheme="minorHAnsi" w:eastAsia="Times New Roman" w:hAnsiTheme="minorHAnsi" w:cstheme="minorHAnsi"/>
                <w:color w:val="000000"/>
                <w:sz w:val="20"/>
                <w:szCs w:val="20"/>
                <w:lang w:val="pt-PT"/>
              </w:rPr>
              <w:br/>
              <w:t xml:space="preserve">Plano de Gestão e Prevenção da Poluição; </w:t>
            </w:r>
            <w:r w:rsidRPr="00292532">
              <w:rPr>
                <w:rFonts w:asciiTheme="minorHAnsi" w:eastAsia="Times New Roman" w:hAnsiTheme="minorHAnsi" w:cstheme="minorHAnsi"/>
                <w:color w:val="000000"/>
                <w:sz w:val="20"/>
                <w:szCs w:val="20"/>
                <w:lang w:val="pt-PT"/>
              </w:rPr>
              <w:br/>
              <w:t xml:space="preserve">Procedimentos de Resposta à Emergências e Contenção de Derrames </w:t>
            </w:r>
          </w:p>
        </w:tc>
        <w:tc>
          <w:tcPr>
            <w:tcW w:w="2402" w:type="dxa"/>
            <w:hideMark/>
          </w:tcPr>
          <w:p w14:paraId="18544E3C"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Empreiteiros </w:t>
            </w:r>
          </w:p>
        </w:tc>
        <w:tc>
          <w:tcPr>
            <w:tcW w:w="1219" w:type="dxa"/>
            <w:hideMark/>
          </w:tcPr>
          <w:p w14:paraId="754A179B"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 xml:space="preserve">; </w:t>
            </w:r>
          </w:p>
          <w:p w14:paraId="36787DE9"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t>;</w:t>
            </w:r>
            <w:r w:rsidRPr="00292532">
              <w:rPr>
                <w:rFonts w:asciiTheme="minorHAnsi" w:eastAsia="Times New Roman" w:hAnsiTheme="minorHAnsi" w:cstheme="minorHAnsi"/>
                <w:color w:val="000000"/>
                <w:sz w:val="20"/>
                <w:szCs w:val="20"/>
                <w:lang w:val="pt-PT"/>
              </w:rPr>
              <w:br/>
            </w:r>
            <w:proofErr w:type="spellStart"/>
            <w:r w:rsidRPr="00292532">
              <w:rPr>
                <w:rFonts w:asciiTheme="minorHAnsi" w:eastAsia="Times New Roman" w:hAnsiTheme="minorHAnsi" w:cstheme="minorHAnsi"/>
                <w:color w:val="000000"/>
                <w:sz w:val="20"/>
                <w:szCs w:val="20"/>
                <w:lang w:val="pt-PT"/>
              </w:rPr>
              <w:t>SPAs</w:t>
            </w:r>
            <w:proofErr w:type="spellEnd"/>
            <w:r w:rsidRPr="00292532">
              <w:rPr>
                <w:rFonts w:asciiTheme="minorHAnsi" w:eastAsia="Times New Roman" w:hAnsiTheme="minorHAnsi" w:cstheme="minorHAnsi"/>
                <w:color w:val="000000"/>
                <w:sz w:val="20"/>
                <w:szCs w:val="20"/>
                <w:lang w:val="pt-PT"/>
              </w:rPr>
              <w:t>;</w:t>
            </w:r>
          </w:p>
          <w:p w14:paraId="47831D00"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DINAB;</w:t>
            </w:r>
          </w:p>
          <w:p w14:paraId="0BFC5C2D"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Fiscais das obras;</w:t>
            </w:r>
          </w:p>
        </w:tc>
      </w:tr>
      <w:tr w:rsidR="000615DB" w:rsidRPr="004E2EAC" w14:paraId="2B1D297F" w14:textId="77777777" w:rsidTr="006174BB">
        <w:trPr>
          <w:cnfStyle w:val="000000100000" w:firstRow="0" w:lastRow="0" w:firstColumn="0" w:lastColumn="0" w:oddVBand="0" w:evenVBand="0" w:oddHBand="1" w:evenHBand="0" w:firstRowFirstColumn="0" w:firstRowLastColumn="0" w:lastRowFirstColumn="0" w:lastRowLastColumn="0"/>
          <w:trHeight w:val="2470"/>
        </w:trPr>
        <w:tc>
          <w:tcPr>
            <w:cnfStyle w:val="001000000000" w:firstRow="0" w:lastRow="0" w:firstColumn="1" w:lastColumn="0" w:oddVBand="0" w:evenVBand="0" w:oddHBand="0" w:evenHBand="0" w:firstRowFirstColumn="0" w:firstRowLastColumn="0" w:lastRowFirstColumn="0" w:lastRowLastColumn="0"/>
            <w:tcW w:w="1652" w:type="dxa"/>
            <w:hideMark/>
          </w:tcPr>
          <w:p w14:paraId="2EE5126A"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 xml:space="preserve">Expropriação de terra, perda de terras agrícolas, reassentamento involuntário </w:t>
            </w:r>
          </w:p>
        </w:tc>
        <w:tc>
          <w:tcPr>
            <w:tcW w:w="5453" w:type="dxa"/>
            <w:hideMark/>
          </w:tcPr>
          <w:p w14:paraId="25003FC1"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 Redução ao mínimo de necessidades de reassentamento durante a fase de planeamento, </w:t>
            </w:r>
            <w:proofErr w:type="spellStart"/>
            <w:r w:rsidRPr="00292532">
              <w:rPr>
                <w:rFonts w:asciiTheme="minorHAnsi" w:eastAsia="Times New Roman" w:hAnsiTheme="minorHAnsi" w:cstheme="minorHAnsi"/>
                <w:color w:val="000000"/>
                <w:sz w:val="20"/>
                <w:szCs w:val="20"/>
                <w:lang w:val="pt-PT"/>
              </w:rPr>
              <w:t>concepção</w:t>
            </w:r>
            <w:proofErr w:type="spellEnd"/>
            <w:r w:rsidRPr="00292532">
              <w:rPr>
                <w:rFonts w:asciiTheme="minorHAnsi" w:eastAsia="Times New Roman" w:hAnsiTheme="minorHAnsi" w:cstheme="minorHAnsi"/>
                <w:color w:val="000000"/>
                <w:sz w:val="20"/>
                <w:szCs w:val="20"/>
                <w:lang w:val="pt-PT"/>
              </w:rPr>
              <w:t xml:space="preserve"> e desenho do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xml:space="preserve"> das subcomponentes do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xml:space="preserve"> </w:t>
            </w:r>
            <w:r w:rsidRPr="00292532">
              <w:rPr>
                <w:rFonts w:asciiTheme="minorHAnsi" w:eastAsia="Times New Roman" w:hAnsiTheme="minorHAnsi" w:cstheme="minorHAnsi"/>
                <w:color w:val="000000"/>
                <w:sz w:val="20"/>
                <w:szCs w:val="20"/>
                <w:lang w:val="pt-PT"/>
              </w:rPr>
              <w:br/>
              <w:t xml:space="preserve">• Em caso de reassentamento ou compensações, elaborar um Plano de </w:t>
            </w:r>
            <w:proofErr w:type="spellStart"/>
            <w:r w:rsidRPr="00292532">
              <w:rPr>
                <w:rFonts w:asciiTheme="minorHAnsi" w:eastAsia="Times New Roman" w:hAnsiTheme="minorHAnsi" w:cstheme="minorHAnsi"/>
                <w:color w:val="000000"/>
                <w:sz w:val="20"/>
                <w:szCs w:val="20"/>
                <w:lang w:val="pt-PT"/>
              </w:rPr>
              <w:t>Acção</w:t>
            </w:r>
            <w:proofErr w:type="spellEnd"/>
            <w:r w:rsidRPr="00292532">
              <w:rPr>
                <w:rFonts w:asciiTheme="minorHAnsi" w:eastAsia="Times New Roman" w:hAnsiTheme="minorHAnsi" w:cstheme="minorHAnsi"/>
                <w:color w:val="000000"/>
                <w:sz w:val="20"/>
                <w:szCs w:val="20"/>
                <w:lang w:val="pt-PT"/>
              </w:rPr>
              <w:t xml:space="preserve"> de Reassentamento e Plano de compensações, de acordo com as normas do Banco Mundial, legislação nacional e outras boas práticas. </w:t>
            </w:r>
            <w:r w:rsidRPr="00292532">
              <w:rPr>
                <w:rFonts w:asciiTheme="minorHAnsi" w:eastAsia="Times New Roman" w:hAnsiTheme="minorHAnsi" w:cstheme="minorHAnsi"/>
                <w:color w:val="000000"/>
                <w:sz w:val="20"/>
                <w:szCs w:val="20"/>
                <w:lang w:val="pt-PT"/>
              </w:rPr>
              <w:br/>
              <w:t xml:space="preserve">•O PAR deverá ser acompanhado por um levantamento detalhado das perdas em termos de habitação, terras agrícolas e outros bens de cada família, a fim de permitir que seja desenhado um plano de benefícios através da reposição das perdas das pessoas </w:t>
            </w:r>
            <w:proofErr w:type="spellStart"/>
            <w:r w:rsidRPr="00292532">
              <w:rPr>
                <w:rFonts w:asciiTheme="minorHAnsi" w:eastAsia="Times New Roman" w:hAnsiTheme="minorHAnsi" w:cstheme="minorHAnsi"/>
                <w:color w:val="000000"/>
                <w:sz w:val="20"/>
                <w:szCs w:val="20"/>
                <w:lang w:val="pt-PT"/>
              </w:rPr>
              <w:t>afectadas</w:t>
            </w:r>
            <w:proofErr w:type="spellEnd"/>
            <w:r w:rsidRPr="00292532">
              <w:rPr>
                <w:rFonts w:asciiTheme="minorHAnsi" w:eastAsia="Times New Roman" w:hAnsiTheme="minorHAnsi" w:cstheme="minorHAnsi"/>
                <w:color w:val="000000"/>
                <w:sz w:val="20"/>
                <w:szCs w:val="20"/>
                <w:lang w:val="pt-PT"/>
              </w:rPr>
              <w:br/>
              <w:t xml:space="preserve">• O PAR deve procurar endereçar através de </w:t>
            </w:r>
            <w:proofErr w:type="spellStart"/>
            <w:r w:rsidRPr="00292532">
              <w:rPr>
                <w:rFonts w:asciiTheme="minorHAnsi" w:eastAsia="Times New Roman" w:hAnsiTheme="minorHAnsi" w:cstheme="minorHAnsi"/>
                <w:color w:val="000000"/>
                <w:sz w:val="20"/>
                <w:szCs w:val="20"/>
                <w:lang w:val="pt-PT"/>
              </w:rPr>
              <w:t>acções</w:t>
            </w:r>
            <w:proofErr w:type="spellEnd"/>
            <w:r w:rsidRPr="00292532">
              <w:rPr>
                <w:rFonts w:asciiTheme="minorHAnsi" w:eastAsia="Times New Roman" w:hAnsiTheme="minorHAnsi" w:cstheme="minorHAnsi"/>
                <w:color w:val="000000"/>
                <w:sz w:val="20"/>
                <w:szCs w:val="20"/>
                <w:lang w:val="pt-PT"/>
              </w:rPr>
              <w:t xml:space="preserve"> de mitigação os principais impactos desta </w:t>
            </w:r>
            <w:proofErr w:type="spellStart"/>
            <w:r w:rsidRPr="00292532">
              <w:rPr>
                <w:rFonts w:asciiTheme="minorHAnsi" w:eastAsia="Times New Roman" w:hAnsiTheme="minorHAnsi" w:cstheme="minorHAnsi"/>
                <w:color w:val="000000"/>
                <w:sz w:val="20"/>
                <w:szCs w:val="20"/>
                <w:lang w:val="pt-PT"/>
              </w:rPr>
              <w:t>acção</w:t>
            </w:r>
            <w:proofErr w:type="spellEnd"/>
            <w:r w:rsidRPr="00292532">
              <w:rPr>
                <w:rFonts w:asciiTheme="minorHAnsi" w:eastAsia="Times New Roman" w:hAnsiTheme="minorHAnsi" w:cstheme="minorHAnsi"/>
                <w:color w:val="000000"/>
                <w:sz w:val="20"/>
                <w:szCs w:val="20"/>
                <w:lang w:val="pt-PT"/>
              </w:rPr>
              <w:t xml:space="preserve"> para as comunidades e procurar implementar um plano de restauração dos meios de sobrevivência </w:t>
            </w:r>
          </w:p>
        </w:tc>
        <w:tc>
          <w:tcPr>
            <w:tcW w:w="2377" w:type="dxa"/>
            <w:hideMark/>
          </w:tcPr>
          <w:p w14:paraId="159AA163"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Fase de pré-construção </w:t>
            </w:r>
          </w:p>
        </w:tc>
        <w:tc>
          <w:tcPr>
            <w:tcW w:w="1793" w:type="dxa"/>
            <w:hideMark/>
          </w:tcPr>
          <w:p w14:paraId="682E175F"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PGA; </w:t>
            </w:r>
            <w:r w:rsidRPr="00292532">
              <w:rPr>
                <w:rFonts w:asciiTheme="minorHAnsi" w:eastAsia="Times New Roman" w:hAnsiTheme="minorHAnsi" w:cstheme="minorHAnsi"/>
                <w:color w:val="000000"/>
                <w:sz w:val="20"/>
                <w:szCs w:val="20"/>
                <w:lang w:val="pt-PT"/>
              </w:rPr>
              <w:br/>
              <w:t>Quadro da Política de Reassentamento (QPR);</w:t>
            </w:r>
            <w:r w:rsidRPr="00292532">
              <w:rPr>
                <w:rFonts w:asciiTheme="minorHAnsi" w:eastAsia="Times New Roman" w:hAnsiTheme="minorHAnsi" w:cstheme="minorHAnsi"/>
                <w:color w:val="000000"/>
                <w:sz w:val="20"/>
                <w:szCs w:val="20"/>
                <w:lang w:val="pt-PT"/>
              </w:rPr>
              <w:br/>
              <w:t xml:space="preserve">Plano de </w:t>
            </w:r>
            <w:proofErr w:type="spellStart"/>
            <w:r w:rsidRPr="00292532">
              <w:rPr>
                <w:rFonts w:asciiTheme="minorHAnsi" w:eastAsia="Times New Roman" w:hAnsiTheme="minorHAnsi" w:cstheme="minorHAnsi"/>
                <w:color w:val="000000"/>
                <w:sz w:val="20"/>
                <w:szCs w:val="20"/>
                <w:lang w:val="pt-PT"/>
              </w:rPr>
              <w:t>Acção</w:t>
            </w:r>
            <w:proofErr w:type="spellEnd"/>
            <w:r w:rsidRPr="00292532">
              <w:rPr>
                <w:rFonts w:asciiTheme="minorHAnsi" w:eastAsia="Times New Roman" w:hAnsiTheme="minorHAnsi" w:cstheme="minorHAnsi"/>
                <w:color w:val="000000"/>
                <w:sz w:val="20"/>
                <w:szCs w:val="20"/>
                <w:lang w:val="pt-PT"/>
              </w:rPr>
              <w:t xml:space="preserve"> de Reassentamento (PAR);</w:t>
            </w:r>
          </w:p>
        </w:tc>
        <w:tc>
          <w:tcPr>
            <w:tcW w:w="2402" w:type="dxa"/>
            <w:hideMark/>
          </w:tcPr>
          <w:p w14:paraId="4B43917F"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w:t>
            </w:r>
            <w:r w:rsidRPr="00292532">
              <w:rPr>
                <w:rFonts w:asciiTheme="minorHAnsi" w:eastAsia="Times New Roman" w:hAnsiTheme="minorHAnsi" w:cstheme="minorHAnsi"/>
                <w:color w:val="000000"/>
                <w:sz w:val="20"/>
                <w:szCs w:val="20"/>
                <w:lang w:val="pt-PT"/>
              </w:rPr>
              <w:br/>
              <w:t>Governos Provinciais;</w:t>
            </w:r>
          </w:p>
        </w:tc>
        <w:tc>
          <w:tcPr>
            <w:tcW w:w="1219" w:type="dxa"/>
            <w:hideMark/>
          </w:tcPr>
          <w:p w14:paraId="7A3183E2"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Banco Mundial </w:t>
            </w:r>
            <w:r w:rsidRPr="00292532">
              <w:rPr>
                <w:rFonts w:asciiTheme="minorHAnsi" w:eastAsia="Times New Roman" w:hAnsiTheme="minorHAnsi" w:cstheme="minorHAnsi"/>
                <w:color w:val="000000"/>
                <w:sz w:val="20"/>
                <w:szCs w:val="20"/>
                <w:lang w:val="pt-PT"/>
              </w:rPr>
              <w:br/>
            </w:r>
            <w:proofErr w:type="spellStart"/>
            <w:r w:rsidRPr="00292532">
              <w:rPr>
                <w:rFonts w:asciiTheme="minorHAnsi" w:eastAsia="Times New Roman" w:hAnsiTheme="minorHAnsi" w:cstheme="minorHAnsi"/>
                <w:color w:val="000000"/>
                <w:sz w:val="20"/>
                <w:szCs w:val="20"/>
                <w:lang w:val="pt-PT"/>
              </w:rPr>
              <w:t>UIPs</w:t>
            </w:r>
            <w:proofErr w:type="spellEnd"/>
          </w:p>
          <w:p w14:paraId="589D71A2"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br/>
              <w:t>MTA</w:t>
            </w:r>
          </w:p>
        </w:tc>
      </w:tr>
      <w:tr w:rsidR="000615DB" w:rsidRPr="00941934" w14:paraId="2A80B83C" w14:textId="77777777" w:rsidTr="006174BB">
        <w:trPr>
          <w:trHeight w:val="1840"/>
        </w:trPr>
        <w:tc>
          <w:tcPr>
            <w:cnfStyle w:val="001000000000" w:firstRow="0" w:lastRow="0" w:firstColumn="1" w:lastColumn="0" w:oddVBand="0" w:evenVBand="0" w:oddHBand="0" w:evenHBand="0" w:firstRowFirstColumn="0" w:firstRowLastColumn="0" w:lastRowFirstColumn="0" w:lastRowLastColumn="0"/>
            <w:tcW w:w="1652" w:type="dxa"/>
            <w:hideMark/>
          </w:tcPr>
          <w:p w14:paraId="18CDB838"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Influxo de pessoas às áreas do </w:t>
            </w:r>
            <w:proofErr w:type="spellStart"/>
            <w:r w:rsidRPr="00292532">
              <w:rPr>
                <w:rFonts w:asciiTheme="minorHAnsi" w:eastAsia="Times New Roman" w:hAnsiTheme="minorHAnsi" w:cstheme="minorHAnsi"/>
                <w:color w:val="000000"/>
                <w:sz w:val="20"/>
                <w:szCs w:val="20"/>
                <w:lang w:val="pt-PT"/>
              </w:rPr>
              <w:t>Projecto</w:t>
            </w:r>
            <w:proofErr w:type="spellEnd"/>
          </w:p>
        </w:tc>
        <w:tc>
          <w:tcPr>
            <w:tcW w:w="5453" w:type="dxa"/>
            <w:hideMark/>
          </w:tcPr>
          <w:p w14:paraId="2720EFF9"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•Disseminação de informação sobre os requisitos da força de trabalho do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número ou pessoal necessário, bem como profissões específicas e capacidades necessárias para preenchimento das funções.</w:t>
            </w:r>
            <w:r w:rsidRPr="00292532">
              <w:rPr>
                <w:rFonts w:asciiTheme="minorHAnsi" w:eastAsia="Times New Roman" w:hAnsiTheme="minorHAnsi" w:cstheme="minorHAnsi"/>
                <w:color w:val="000000"/>
                <w:sz w:val="20"/>
                <w:szCs w:val="20"/>
                <w:lang w:val="pt-PT"/>
              </w:rPr>
              <w:br/>
              <w:t xml:space="preserve">•Divulgação da informação sobre as oportunidades de aquisição e requisitos tão cedo seja possível, em coordenação com as autoridades locais </w:t>
            </w:r>
          </w:p>
        </w:tc>
        <w:tc>
          <w:tcPr>
            <w:tcW w:w="2377" w:type="dxa"/>
            <w:hideMark/>
          </w:tcPr>
          <w:p w14:paraId="35A2DCB4"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Fase de pré-construção e de construção</w:t>
            </w:r>
          </w:p>
        </w:tc>
        <w:tc>
          <w:tcPr>
            <w:tcW w:w="1793" w:type="dxa"/>
            <w:hideMark/>
          </w:tcPr>
          <w:p w14:paraId="43F9B68A"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PGA; </w:t>
            </w:r>
          </w:p>
        </w:tc>
        <w:tc>
          <w:tcPr>
            <w:tcW w:w="2402" w:type="dxa"/>
            <w:hideMark/>
          </w:tcPr>
          <w:p w14:paraId="5DDC9B1B"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 xml:space="preserve">; Governos Locais; </w:t>
            </w:r>
          </w:p>
        </w:tc>
        <w:tc>
          <w:tcPr>
            <w:tcW w:w="1219" w:type="dxa"/>
            <w:hideMark/>
          </w:tcPr>
          <w:p w14:paraId="733745E1"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 xml:space="preserve">; </w:t>
            </w: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t xml:space="preserve">; </w:t>
            </w:r>
            <w:proofErr w:type="spellStart"/>
            <w:r w:rsidRPr="00292532">
              <w:rPr>
                <w:rFonts w:asciiTheme="minorHAnsi" w:eastAsia="Times New Roman" w:hAnsiTheme="minorHAnsi" w:cstheme="minorHAnsi"/>
                <w:color w:val="000000"/>
                <w:sz w:val="20"/>
                <w:szCs w:val="20"/>
                <w:lang w:val="pt-PT"/>
              </w:rPr>
              <w:t>SPAs</w:t>
            </w:r>
            <w:proofErr w:type="spellEnd"/>
            <w:r w:rsidRPr="00292532">
              <w:rPr>
                <w:rFonts w:asciiTheme="minorHAnsi" w:eastAsia="Times New Roman" w:hAnsiTheme="minorHAnsi" w:cstheme="minorHAnsi"/>
                <w:color w:val="000000"/>
                <w:sz w:val="20"/>
                <w:szCs w:val="20"/>
                <w:lang w:val="pt-PT"/>
              </w:rPr>
              <w:t xml:space="preserve">; Governo Provincial; </w:t>
            </w:r>
          </w:p>
        </w:tc>
      </w:tr>
      <w:tr w:rsidR="000615DB" w:rsidRPr="004E2EAC" w14:paraId="012890B9" w14:textId="77777777" w:rsidTr="006174BB">
        <w:trPr>
          <w:cnfStyle w:val="000000100000" w:firstRow="0" w:lastRow="0" w:firstColumn="0" w:lastColumn="0" w:oddVBand="0" w:evenVBand="0" w:oddHBand="1" w:evenHBand="0" w:firstRowFirstColumn="0" w:firstRowLastColumn="0" w:lastRowFirstColumn="0" w:lastRowLastColumn="0"/>
          <w:trHeight w:val="2080"/>
        </w:trPr>
        <w:tc>
          <w:tcPr>
            <w:cnfStyle w:val="001000000000" w:firstRow="0" w:lastRow="0" w:firstColumn="1" w:lastColumn="0" w:oddVBand="0" w:evenVBand="0" w:oddHBand="0" w:evenHBand="0" w:firstRowFirstColumn="0" w:firstRowLastColumn="0" w:lastRowFirstColumn="0" w:lastRowLastColumn="0"/>
            <w:tcW w:w="1652" w:type="dxa"/>
            <w:hideMark/>
          </w:tcPr>
          <w:p w14:paraId="27289410"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 xml:space="preserve">Aumento do volume do tráfego e acidentes rodoviários  </w:t>
            </w:r>
          </w:p>
        </w:tc>
        <w:tc>
          <w:tcPr>
            <w:tcW w:w="5453" w:type="dxa"/>
            <w:hideMark/>
          </w:tcPr>
          <w:p w14:paraId="5AC5017A"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 Todos os veículos usados nas </w:t>
            </w:r>
            <w:proofErr w:type="spellStart"/>
            <w:r w:rsidRPr="00292532">
              <w:rPr>
                <w:rFonts w:asciiTheme="minorHAnsi" w:eastAsia="Times New Roman" w:hAnsiTheme="minorHAnsi" w:cstheme="minorHAnsi"/>
                <w:color w:val="000000"/>
                <w:sz w:val="20"/>
                <w:szCs w:val="20"/>
                <w:lang w:val="pt-PT"/>
              </w:rPr>
              <w:t>actividades</w:t>
            </w:r>
            <w:proofErr w:type="spellEnd"/>
            <w:r w:rsidRPr="00292532">
              <w:rPr>
                <w:rFonts w:asciiTheme="minorHAnsi" w:eastAsia="Times New Roman" w:hAnsiTheme="minorHAnsi" w:cstheme="minorHAnsi"/>
                <w:color w:val="000000"/>
                <w:sz w:val="20"/>
                <w:szCs w:val="20"/>
                <w:lang w:val="pt-PT"/>
              </w:rPr>
              <w:t xml:space="preserve"> do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xml:space="preserve"> devem estar sujeitos a uma manutenção adequada para reduzir a geração de emissões e fumos</w:t>
            </w:r>
            <w:r w:rsidRPr="00292532">
              <w:rPr>
                <w:rFonts w:asciiTheme="minorHAnsi" w:eastAsia="Times New Roman" w:hAnsiTheme="minorHAnsi" w:cstheme="minorHAnsi"/>
                <w:color w:val="000000"/>
                <w:sz w:val="20"/>
                <w:szCs w:val="20"/>
                <w:lang w:val="pt-PT"/>
              </w:rPr>
              <w:br/>
              <w:t>• Implementação de restrições de velocidade</w:t>
            </w:r>
            <w:r w:rsidRPr="00292532">
              <w:rPr>
                <w:rFonts w:asciiTheme="minorHAnsi" w:eastAsia="Times New Roman" w:hAnsiTheme="minorHAnsi" w:cstheme="minorHAnsi"/>
                <w:color w:val="000000"/>
                <w:sz w:val="20"/>
                <w:szCs w:val="20"/>
                <w:lang w:val="pt-PT"/>
              </w:rPr>
              <w:br/>
              <w:t xml:space="preserve">• Garantir que o tráfego de construção seja limitado a rotas pré-estabelecidas e que os limites de velocidade sejam aplicados a todos os veículos em movimento nas estradas dos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xml:space="preserve">, nas vias de acesso ao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xml:space="preserve"> e em vias públicas que atravessam as aldeias</w:t>
            </w:r>
            <w:r w:rsidRPr="00292532">
              <w:rPr>
                <w:rFonts w:asciiTheme="minorHAnsi" w:eastAsia="Times New Roman" w:hAnsiTheme="minorHAnsi" w:cstheme="minorHAnsi"/>
                <w:color w:val="000000"/>
                <w:sz w:val="20"/>
                <w:szCs w:val="20"/>
                <w:lang w:val="pt-PT"/>
              </w:rPr>
              <w:br/>
              <w:t xml:space="preserve">•Campanhas de consciencialização aos motoristas das contratadas e do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xml:space="preserve"> sobre condução defensiva e prevenção de acidentes </w:t>
            </w:r>
          </w:p>
        </w:tc>
        <w:tc>
          <w:tcPr>
            <w:tcW w:w="2377" w:type="dxa"/>
            <w:hideMark/>
          </w:tcPr>
          <w:p w14:paraId="52D69317"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Fase de construção</w:t>
            </w:r>
          </w:p>
        </w:tc>
        <w:tc>
          <w:tcPr>
            <w:tcW w:w="1793" w:type="dxa"/>
            <w:hideMark/>
          </w:tcPr>
          <w:p w14:paraId="0CD5B72B"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PGA; </w:t>
            </w:r>
            <w:proofErr w:type="spellStart"/>
            <w:r w:rsidRPr="00292532">
              <w:rPr>
                <w:rFonts w:asciiTheme="minorHAnsi" w:eastAsia="Times New Roman" w:hAnsiTheme="minorHAnsi" w:cstheme="minorHAnsi"/>
                <w:color w:val="000000"/>
                <w:sz w:val="20"/>
                <w:szCs w:val="20"/>
                <w:lang w:val="pt-PT"/>
              </w:rPr>
              <w:t>Directrizes</w:t>
            </w:r>
            <w:proofErr w:type="spellEnd"/>
            <w:r w:rsidRPr="00292532">
              <w:rPr>
                <w:rFonts w:asciiTheme="minorHAnsi" w:eastAsia="Times New Roman" w:hAnsiTheme="minorHAnsi" w:cstheme="minorHAnsi"/>
                <w:color w:val="000000"/>
                <w:sz w:val="20"/>
                <w:szCs w:val="20"/>
                <w:lang w:val="pt-PT"/>
              </w:rPr>
              <w:t xml:space="preserve"> de Gestão do Tráfego Rodoviário</w:t>
            </w:r>
          </w:p>
        </w:tc>
        <w:tc>
          <w:tcPr>
            <w:tcW w:w="2402" w:type="dxa"/>
            <w:hideMark/>
          </w:tcPr>
          <w:p w14:paraId="7DE0AFFA"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Empreiteiros </w:t>
            </w:r>
          </w:p>
        </w:tc>
        <w:tc>
          <w:tcPr>
            <w:tcW w:w="1219" w:type="dxa"/>
            <w:hideMark/>
          </w:tcPr>
          <w:p w14:paraId="2FCC1557"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w:t>
            </w: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 xml:space="preserve">; </w:t>
            </w:r>
          </w:p>
          <w:p w14:paraId="435B6679"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t>;</w:t>
            </w:r>
            <w:r w:rsidRPr="00292532">
              <w:rPr>
                <w:rFonts w:asciiTheme="minorHAnsi" w:eastAsia="Times New Roman" w:hAnsiTheme="minorHAnsi" w:cstheme="minorHAnsi"/>
                <w:color w:val="000000"/>
                <w:sz w:val="20"/>
                <w:szCs w:val="20"/>
                <w:lang w:val="pt-PT"/>
              </w:rPr>
              <w:br/>
            </w:r>
            <w:proofErr w:type="spellStart"/>
            <w:r w:rsidRPr="00292532">
              <w:rPr>
                <w:rFonts w:asciiTheme="minorHAnsi" w:eastAsia="Times New Roman" w:hAnsiTheme="minorHAnsi" w:cstheme="minorHAnsi"/>
                <w:color w:val="000000"/>
                <w:sz w:val="20"/>
                <w:szCs w:val="20"/>
                <w:lang w:val="pt-PT"/>
              </w:rPr>
              <w:t>SPAs</w:t>
            </w:r>
            <w:proofErr w:type="spellEnd"/>
            <w:r w:rsidRPr="00292532">
              <w:rPr>
                <w:rFonts w:asciiTheme="minorHAnsi" w:eastAsia="Times New Roman" w:hAnsiTheme="minorHAnsi" w:cstheme="minorHAnsi"/>
                <w:color w:val="000000"/>
                <w:sz w:val="20"/>
                <w:szCs w:val="20"/>
                <w:lang w:val="pt-PT"/>
              </w:rPr>
              <w:t>;</w:t>
            </w:r>
          </w:p>
          <w:p w14:paraId="24770ED1"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DINAB;</w:t>
            </w:r>
          </w:p>
          <w:p w14:paraId="0680401F"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Fiscais das obras</w:t>
            </w:r>
          </w:p>
        </w:tc>
      </w:tr>
      <w:tr w:rsidR="000615DB" w:rsidRPr="00292532" w14:paraId="4777B379" w14:textId="77777777" w:rsidTr="006174BB">
        <w:trPr>
          <w:trHeight w:val="3380"/>
        </w:trPr>
        <w:tc>
          <w:tcPr>
            <w:cnfStyle w:val="001000000000" w:firstRow="0" w:lastRow="0" w:firstColumn="1" w:lastColumn="0" w:oddVBand="0" w:evenVBand="0" w:oddHBand="0" w:evenHBand="0" w:firstRowFirstColumn="0" w:firstRowLastColumn="0" w:lastRowFirstColumn="0" w:lastRowLastColumn="0"/>
            <w:tcW w:w="1652" w:type="dxa"/>
            <w:hideMark/>
          </w:tcPr>
          <w:p w14:paraId="0C44CA2C"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Interferência com os recursos de património cultural </w:t>
            </w:r>
          </w:p>
        </w:tc>
        <w:tc>
          <w:tcPr>
            <w:tcW w:w="5453" w:type="dxa"/>
            <w:hideMark/>
          </w:tcPr>
          <w:p w14:paraId="460CBFF8"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•Deve ser prestada uma atenção especial aos sítios ou às estruturas de importância cultural, histórica, arqueológica, patrimonial e religiosa, </w:t>
            </w:r>
            <w:r w:rsidRPr="00292532">
              <w:rPr>
                <w:rFonts w:asciiTheme="minorHAnsi" w:eastAsia="Times New Roman" w:hAnsiTheme="minorHAnsi" w:cstheme="minorHAnsi"/>
                <w:color w:val="000000"/>
                <w:sz w:val="20"/>
                <w:szCs w:val="20"/>
                <w:lang w:val="pt-PT"/>
              </w:rPr>
              <w:br/>
              <w:t xml:space="preserve">•Os sítios arqueológicos, incluindo quaisquer bens fixos e móveis de valor arqueológico, paleontológico, antropológico ou geológico serão administrados pelo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xml:space="preserve"> através do cumprimento das disposições legais estabelecidas nas leis e regulamentos de Moçambique em matéria de </w:t>
            </w:r>
            <w:proofErr w:type="spellStart"/>
            <w:r w:rsidRPr="00292532">
              <w:rPr>
                <w:rFonts w:asciiTheme="minorHAnsi" w:eastAsia="Times New Roman" w:hAnsiTheme="minorHAnsi" w:cstheme="minorHAnsi"/>
                <w:color w:val="000000"/>
                <w:sz w:val="20"/>
                <w:szCs w:val="20"/>
                <w:lang w:val="pt-PT"/>
              </w:rPr>
              <w:t>protecção</w:t>
            </w:r>
            <w:proofErr w:type="spellEnd"/>
            <w:r w:rsidRPr="00292532">
              <w:rPr>
                <w:rFonts w:asciiTheme="minorHAnsi" w:eastAsia="Times New Roman" w:hAnsiTheme="minorHAnsi" w:cstheme="minorHAnsi"/>
                <w:color w:val="000000"/>
                <w:sz w:val="20"/>
                <w:szCs w:val="20"/>
                <w:lang w:val="pt-PT"/>
              </w:rPr>
              <w:t xml:space="preserve"> dos sítios culturais e arqueológicos</w:t>
            </w:r>
            <w:r w:rsidRPr="00292532">
              <w:rPr>
                <w:rFonts w:asciiTheme="minorHAnsi" w:eastAsia="Times New Roman" w:hAnsiTheme="minorHAnsi" w:cstheme="minorHAnsi"/>
                <w:color w:val="000000"/>
                <w:sz w:val="20"/>
                <w:szCs w:val="20"/>
                <w:lang w:val="pt-PT"/>
              </w:rPr>
              <w:br/>
              <w:t>•Deve-se assegurar que a descoberta de qualquer sítio arqueológico deve ser comunicado ao Distrito ou às autoridades municipais no prazo de 48 horas</w:t>
            </w:r>
            <w:r w:rsidRPr="00292532">
              <w:rPr>
                <w:rFonts w:asciiTheme="minorHAnsi" w:eastAsia="Times New Roman" w:hAnsiTheme="minorHAnsi" w:cstheme="minorHAnsi"/>
                <w:color w:val="000000"/>
                <w:sz w:val="20"/>
                <w:szCs w:val="20"/>
                <w:lang w:val="pt-PT"/>
              </w:rPr>
              <w:br/>
              <w:t>•Destruição de locais culturais e patrimoniais deve ser completamente evitado. A abordagem de achados casuais deve ser usada onde os locais de patrimônio cultural são identificados após o início das obras.</w:t>
            </w:r>
            <w:r w:rsidRPr="00292532">
              <w:rPr>
                <w:rFonts w:asciiTheme="minorHAnsi" w:eastAsia="Times New Roman" w:hAnsiTheme="minorHAnsi" w:cstheme="minorHAnsi"/>
                <w:color w:val="000000"/>
                <w:sz w:val="20"/>
                <w:szCs w:val="20"/>
                <w:lang w:val="pt-PT"/>
              </w:rPr>
              <w:br/>
              <w:t xml:space="preserve">•Em caso de necessidade de transferência de locais sagrados ou campas, os procedimentos a seguir devem obedecer o descrito no PAR e QPR. </w:t>
            </w:r>
          </w:p>
        </w:tc>
        <w:tc>
          <w:tcPr>
            <w:tcW w:w="2377" w:type="dxa"/>
            <w:hideMark/>
          </w:tcPr>
          <w:p w14:paraId="722D6518"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Fase de Construção</w:t>
            </w:r>
          </w:p>
        </w:tc>
        <w:tc>
          <w:tcPr>
            <w:tcW w:w="1793" w:type="dxa"/>
            <w:hideMark/>
          </w:tcPr>
          <w:p w14:paraId="528C43B4"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PAR;</w:t>
            </w:r>
            <w:r w:rsidRPr="00292532">
              <w:rPr>
                <w:rFonts w:asciiTheme="minorHAnsi" w:eastAsia="Times New Roman" w:hAnsiTheme="minorHAnsi" w:cstheme="minorHAnsi"/>
                <w:color w:val="000000"/>
                <w:sz w:val="20"/>
                <w:szCs w:val="20"/>
                <w:lang w:val="pt-PT"/>
              </w:rPr>
              <w:br/>
              <w:t>QPR;</w:t>
            </w:r>
            <w:r w:rsidRPr="00292532">
              <w:rPr>
                <w:rFonts w:asciiTheme="minorHAnsi" w:eastAsia="Times New Roman" w:hAnsiTheme="minorHAnsi" w:cstheme="minorHAnsi"/>
                <w:color w:val="000000"/>
                <w:sz w:val="20"/>
                <w:szCs w:val="20"/>
                <w:lang w:val="pt-PT"/>
              </w:rPr>
              <w:br/>
              <w:t>PGAS;</w:t>
            </w:r>
            <w:r w:rsidRPr="00292532">
              <w:rPr>
                <w:rFonts w:asciiTheme="minorHAnsi" w:eastAsia="Times New Roman" w:hAnsiTheme="minorHAnsi" w:cstheme="minorHAnsi"/>
                <w:color w:val="000000"/>
                <w:sz w:val="20"/>
                <w:szCs w:val="20"/>
                <w:lang w:val="pt-PT"/>
              </w:rPr>
              <w:br/>
              <w:t>Procedimento de Gestão de Património Cultural (PGPC);</w:t>
            </w:r>
          </w:p>
        </w:tc>
        <w:tc>
          <w:tcPr>
            <w:tcW w:w="2402" w:type="dxa"/>
            <w:hideMark/>
          </w:tcPr>
          <w:p w14:paraId="6A0E1F23"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Empreiteiros; </w:t>
            </w:r>
            <w:proofErr w:type="spellStart"/>
            <w:r w:rsidRPr="00292532">
              <w:rPr>
                <w:rFonts w:asciiTheme="minorHAnsi" w:eastAsia="Times New Roman" w:hAnsiTheme="minorHAnsi" w:cstheme="minorHAnsi"/>
                <w:color w:val="000000"/>
                <w:sz w:val="20"/>
                <w:szCs w:val="20"/>
                <w:lang w:val="pt-PT"/>
              </w:rPr>
              <w:t>UIPs</w:t>
            </w:r>
            <w:proofErr w:type="spellEnd"/>
          </w:p>
        </w:tc>
        <w:tc>
          <w:tcPr>
            <w:tcW w:w="1219" w:type="dxa"/>
            <w:hideMark/>
          </w:tcPr>
          <w:p w14:paraId="3ACD7E3F"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MTA;</w:t>
            </w:r>
          </w:p>
          <w:p w14:paraId="78710C60"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t xml:space="preserve">; </w:t>
            </w:r>
          </w:p>
          <w:p w14:paraId="23F4C8BF"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Fiscais das obras</w:t>
            </w:r>
          </w:p>
          <w:p w14:paraId="00C60342"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
        </w:tc>
      </w:tr>
      <w:tr w:rsidR="000615DB" w:rsidRPr="004E2EAC" w14:paraId="5DCF8774" w14:textId="77777777" w:rsidTr="006174BB">
        <w:trPr>
          <w:cnfStyle w:val="000000100000" w:firstRow="0" w:lastRow="0" w:firstColumn="0" w:lastColumn="0" w:oddVBand="0" w:evenVBand="0" w:oddHBand="1" w:evenHBand="0" w:firstRowFirstColumn="0" w:firstRowLastColumn="0" w:lastRowFirstColumn="0" w:lastRowLastColumn="0"/>
          <w:trHeight w:val="2600"/>
        </w:trPr>
        <w:tc>
          <w:tcPr>
            <w:cnfStyle w:val="001000000000" w:firstRow="0" w:lastRow="0" w:firstColumn="1" w:lastColumn="0" w:oddVBand="0" w:evenVBand="0" w:oddHBand="0" w:evenHBand="0" w:firstRowFirstColumn="0" w:firstRowLastColumn="0" w:lastRowFirstColumn="0" w:lastRowLastColumn="0"/>
            <w:tcW w:w="1652" w:type="dxa"/>
            <w:hideMark/>
          </w:tcPr>
          <w:p w14:paraId="562D0126"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 xml:space="preserve">Geração de expectativas, insegurança e ansiedade da população em relação ao </w:t>
            </w:r>
            <w:proofErr w:type="spellStart"/>
            <w:r w:rsidRPr="00292532">
              <w:rPr>
                <w:rFonts w:asciiTheme="minorHAnsi" w:eastAsia="Times New Roman" w:hAnsiTheme="minorHAnsi" w:cstheme="minorHAnsi"/>
                <w:color w:val="000000"/>
                <w:sz w:val="20"/>
                <w:szCs w:val="20"/>
                <w:lang w:val="pt-PT"/>
              </w:rPr>
              <w:t>Projecto</w:t>
            </w:r>
            <w:proofErr w:type="spellEnd"/>
          </w:p>
        </w:tc>
        <w:tc>
          <w:tcPr>
            <w:tcW w:w="5453" w:type="dxa"/>
            <w:hideMark/>
          </w:tcPr>
          <w:p w14:paraId="1791EC18"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 Disseminação de informação sobre os requisitos da força de trabalho do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número ou pessoal necessário, bem como profissões específicas e capacidades necessárias para preenchimento das funções.</w:t>
            </w:r>
            <w:r w:rsidRPr="00292532">
              <w:rPr>
                <w:rFonts w:asciiTheme="minorHAnsi" w:eastAsia="Times New Roman" w:hAnsiTheme="minorHAnsi" w:cstheme="minorHAnsi"/>
                <w:color w:val="000000"/>
                <w:sz w:val="20"/>
                <w:szCs w:val="20"/>
                <w:lang w:val="pt-PT"/>
              </w:rPr>
              <w:br/>
              <w:t xml:space="preserve">• procedimentos de recrutamento deverão ser transparentes e monitorizados, assegurando que os recrutados apresentam a sua experiência </w:t>
            </w:r>
            <w:proofErr w:type="spellStart"/>
            <w:r w:rsidRPr="00292532">
              <w:rPr>
                <w:rFonts w:asciiTheme="minorHAnsi" w:eastAsia="Times New Roman" w:hAnsiTheme="minorHAnsi" w:cstheme="minorHAnsi"/>
                <w:color w:val="000000"/>
                <w:sz w:val="20"/>
                <w:szCs w:val="20"/>
                <w:lang w:val="pt-PT"/>
              </w:rPr>
              <w:t>actual</w:t>
            </w:r>
            <w:proofErr w:type="spellEnd"/>
            <w:r w:rsidRPr="00292532">
              <w:rPr>
                <w:rFonts w:asciiTheme="minorHAnsi" w:eastAsia="Times New Roman" w:hAnsiTheme="minorHAnsi" w:cstheme="minorHAnsi"/>
                <w:color w:val="000000"/>
                <w:sz w:val="20"/>
                <w:szCs w:val="20"/>
                <w:lang w:val="pt-PT"/>
              </w:rPr>
              <w:t>, estado de saúde e idade. Não deverão ser empregues crianças (menores de 18 anos de idade) pelo Mutuários e contratadas.</w:t>
            </w:r>
            <w:r w:rsidRPr="00292532">
              <w:rPr>
                <w:rFonts w:asciiTheme="minorHAnsi" w:eastAsia="Times New Roman" w:hAnsiTheme="minorHAnsi" w:cstheme="minorHAnsi"/>
                <w:color w:val="000000"/>
                <w:sz w:val="20"/>
                <w:szCs w:val="20"/>
                <w:lang w:val="pt-PT"/>
              </w:rPr>
              <w:br/>
              <w:t xml:space="preserve">• Prioridade a contratação de mão-de-obra local e criação de condições e programas para a contratação de refugiados </w:t>
            </w:r>
            <w:r w:rsidRPr="00292532">
              <w:rPr>
                <w:rFonts w:asciiTheme="minorHAnsi" w:eastAsia="Times New Roman" w:hAnsiTheme="minorHAnsi" w:cstheme="minorHAnsi"/>
                <w:color w:val="000000"/>
                <w:sz w:val="20"/>
                <w:szCs w:val="20"/>
                <w:lang w:val="pt-PT"/>
              </w:rPr>
              <w:br/>
              <w:t xml:space="preserve">• Divulgação da informação sobre as oportunidades de aquisição e requisitos tão cedo seja possível, em coordenação com as autoridades locais </w:t>
            </w:r>
          </w:p>
        </w:tc>
        <w:tc>
          <w:tcPr>
            <w:tcW w:w="2377" w:type="dxa"/>
            <w:hideMark/>
          </w:tcPr>
          <w:p w14:paraId="541B0DAA"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Fase de pré-construção e de construção</w:t>
            </w:r>
          </w:p>
        </w:tc>
        <w:tc>
          <w:tcPr>
            <w:tcW w:w="1793" w:type="dxa"/>
            <w:hideMark/>
          </w:tcPr>
          <w:p w14:paraId="2CE80E66"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w:t>
            </w:r>
          </w:p>
        </w:tc>
        <w:tc>
          <w:tcPr>
            <w:tcW w:w="2402" w:type="dxa"/>
            <w:hideMark/>
          </w:tcPr>
          <w:p w14:paraId="5D7D1826"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w:t>
            </w:r>
          </w:p>
        </w:tc>
        <w:tc>
          <w:tcPr>
            <w:tcW w:w="1219" w:type="dxa"/>
            <w:hideMark/>
          </w:tcPr>
          <w:p w14:paraId="23145361"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w:t>
            </w:r>
          </w:p>
        </w:tc>
      </w:tr>
      <w:tr w:rsidR="000615DB" w:rsidRPr="00292532" w14:paraId="1FB29759" w14:textId="77777777" w:rsidTr="006174BB">
        <w:trPr>
          <w:trHeight w:val="865"/>
        </w:trPr>
        <w:tc>
          <w:tcPr>
            <w:cnfStyle w:val="001000000000" w:firstRow="0" w:lastRow="0" w:firstColumn="1" w:lastColumn="0" w:oddVBand="0" w:evenVBand="0" w:oddHBand="0" w:evenHBand="0" w:firstRowFirstColumn="0" w:firstRowLastColumn="0" w:lastRowFirstColumn="0" w:lastRowLastColumn="0"/>
            <w:tcW w:w="1652" w:type="dxa"/>
            <w:hideMark/>
          </w:tcPr>
          <w:p w14:paraId="7D8C5776"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Gestão dos recursos hídricos </w:t>
            </w:r>
          </w:p>
        </w:tc>
        <w:tc>
          <w:tcPr>
            <w:tcW w:w="5453" w:type="dxa"/>
            <w:hideMark/>
          </w:tcPr>
          <w:p w14:paraId="0C044068"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Desenvolvimento de um balanço hídrico detalhado que pode ser usado para tomar decisões apropriadas de gestão da águas</w:t>
            </w:r>
            <w:r w:rsidRPr="00292532">
              <w:rPr>
                <w:rFonts w:asciiTheme="minorHAnsi" w:eastAsia="Times New Roman" w:hAnsiTheme="minorHAnsi" w:cstheme="minorHAnsi"/>
                <w:color w:val="000000"/>
                <w:sz w:val="20"/>
                <w:szCs w:val="20"/>
                <w:lang w:val="pt-PT"/>
              </w:rPr>
              <w:br/>
              <w:t>• Avaliar as taxas medias e mínimas dos caudais dos rios.</w:t>
            </w:r>
            <w:r w:rsidRPr="00292532">
              <w:rPr>
                <w:rFonts w:asciiTheme="minorHAnsi" w:eastAsia="Times New Roman" w:hAnsiTheme="minorHAnsi" w:cstheme="minorHAnsi"/>
                <w:color w:val="000000"/>
                <w:sz w:val="20"/>
                <w:szCs w:val="20"/>
                <w:lang w:val="pt-PT"/>
              </w:rPr>
              <w:br/>
              <w:t>• Monitorização dos níveis (ou pressão) de água nos furos</w:t>
            </w:r>
            <w:r w:rsidRPr="00292532">
              <w:rPr>
                <w:rFonts w:asciiTheme="minorHAnsi" w:eastAsia="Times New Roman" w:hAnsiTheme="minorHAnsi" w:cstheme="minorHAnsi"/>
                <w:color w:val="000000"/>
                <w:sz w:val="20"/>
                <w:szCs w:val="20"/>
                <w:lang w:val="pt-PT"/>
              </w:rPr>
              <w:br/>
              <w:t>• Monitorização dos níveis de água nos furos a montante e a jusante</w:t>
            </w:r>
            <w:r w:rsidRPr="00292532">
              <w:rPr>
                <w:rFonts w:asciiTheme="minorHAnsi" w:eastAsia="Times New Roman" w:hAnsiTheme="minorHAnsi" w:cstheme="minorHAnsi"/>
                <w:color w:val="000000"/>
                <w:sz w:val="20"/>
                <w:szCs w:val="20"/>
                <w:lang w:val="pt-PT"/>
              </w:rPr>
              <w:br/>
              <w:t>• Monitorização da qualidade das águas das fontes subterrâneas e superficiais</w:t>
            </w:r>
            <w:r w:rsidRPr="00292532">
              <w:rPr>
                <w:rFonts w:asciiTheme="minorHAnsi" w:eastAsia="Times New Roman" w:hAnsiTheme="minorHAnsi" w:cstheme="minorHAnsi"/>
                <w:color w:val="000000"/>
                <w:sz w:val="20"/>
                <w:szCs w:val="20"/>
                <w:lang w:val="pt-PT"/>
              </w:rPr>
              <w:br/>
              <w:t>• Devem ser realizados testes de sondagem alargados com monitorização em furos de observação</w:t>
            </w:r>
            <w:r w:rsidRPr="00292532">
              <w:rPr>
                <w:rFonts w:asciiTheme="minorHAnsi" w:eastAsia="Times New Roman" w:hAnsiTheme="minorHAnsi" w:cstheme="minorHAnsi"/>
                <w:color w:val="000000"/>
                <w:sz w:val="20"/>
                <w:szCs w:val="20"/>
                <w:lang w:val="pt-PT"/>
              </w:rPr>
              <w:br/>
              <w:t>• As condições atmosféricas devem ser monitorizadas (com instalação de uma estação meteorológica automática) de modo a poder determinar a pluviosidade e a recarga</w:t>
            </w:r>
          </w:p>
        </w:tc>
        <w:tc>
          <w:tcPr>
            <w:tcW w:w="2377" w:type="dxa"/>
            <w:hideMark/>
          </w:tcPr>
          <w:p w14:paraId="1A27970C"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Fase de construção </w:t>
            </w:r>
          </w:p>
        </w:tc>
        <w:tc>
          <w:tcPr>
            <w:tcW w:w="1793" w:type="dxa"/>
            <w:hideMark/>
          </w:tcPr>
          <w:p w14:paraId="7BDA62D9"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Programas de Monitorização; Estudos de Referência na fase de AIA;</w:t>
            </w:r>
            <w:r w:rsidRPr="00292532">
              <w:rPr>
                <w:rFonts w:asciiTheme="minorHAnsi" w:eastAsia="Times New Roman" w:hAnsiTheme="minorHAnsi" w:cstheme="minorHAnsi"/>
                <w:color w:val="000000"/>
                <w:sz w:val="20"/>
                <w:szCs w:val="20"/>
                <w:lang w:val="pt-PT"/>
              </w:rPr>
              <w:br/>
              <w:t>PGA</w:t>
            </w:r>
          </w:p>
        </w:tc>
        <w:tc>
          <w:tcPr>
            <w:tcW w:w="2402" w:type="dxa"/>
            <w:hideMark/>
          </w:tcPr>
          <w:p w14:paraId="040F2795"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ARAs</w:t>
            </w:r>
            <w:proofErr w:type="spellEnd"/>
            <w:r w:rsidRPr="00292532">
              <w:rPr>
                <w:rFonts w:asciiTheme="minorHAnsi" w:eastAsia="Times New Roman" w:hAnsiTheme="minorHAnsi" w:cstheme="minorHAnsi"/>
                <w:color w:val="000000"/>
                <w:sz w:val="20"/>
                <w:szCs w:val="20"/>
                <w:lang w:val="pt-PT"/>
              </w:rPr>
              <w:t xml:space="preserve">; </w:t>
            </w:r>
            <w:r w:rsidRPr="00292532">
              <w:rPr>
                <w:rFonts w:asciiTheme="minorHAnsi" w:eastAsia="Times New Roman" w:hAnsiTheme="minorHAnsi" w:cstheme="minorHAnsi"/>
                <w:color w:val="000000"/>
                <w:sz w:val="20"/>
                <w:szCs w:val="20"/>
                <w:lang w:val="pt-PT"/>
              </w:rPr>
              <w:br/>
              <w:t>FIPAG,</w:t>
            </w:r>
          </w:p>
        </w:tc>
        <w:tc>
          <w:tcPr>
            <w:tcW w:w="1219" w:type="dxa"/>
            <w:hideMark/>
          </w:tcPr>
          <w:p w14:paraId="546E1F46"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DNAAS;</w:t>
            </w:r>
            <w:r w:rsidRPr="00292532">
              <w:rPr>
                <w:rFonts w:asciiTheme="minorHAnsi" w:eastAsia="Times New Roman" w:hAnsiTheme="minorHAnsi" w:cstheme="minorHAnsi"/>
                <w:color w:val="000000"/>
                <w:sz w:val="20"/>
                <w:szCs w:val="20"/>
                <w:lang w:val="pt-PT"/>
              </w:rPr>
              <w:br/>
            </w:r>
            <w:proofErr w:type="spellStart"/>
            <w:r w:rsidRPr="00292532">
              <w:rPr>
                <w:rFonts w:asciiTheme="minorHAnsi" w:eastAsia="Times New Roman" w:hAnsiTheme="minorHAnsi" w:cstheme="minorHAnsi"/>
                <w:color w:val="000000"/>
                <w:sz w:val="20"/>
                <w:szCs w:val="20"/>
                <w:lang w:val="pt-PT"/>
              </w:rPr>
              <w:t>ARAs</w:t>
            </w:r>
            <w:proofErr w:type="spellEnd"/>
            <w:r w:rsidRPr="00292532">
              <w:rPr>
                <w:rFonts w:asciiTheme="minorHAnsi" w:eastAsia="Times New Roman" w:hAnsiTheme="minorHAnsi" w:cstheme="minorHAnsi"/>
                <w:color w:val="000000"/>
                <w:sz w:val="20"/>
                <w:szCs w:val="20"/>
                <w:lang w:val="pt-PT"/>
              </w:rPr>
              <w:t>;</w:t>
            </w:r>
            <w:r w:rsidRPr="00292532">
              <w:rPr>
                <w:rFonts w:asciiTheme="minorHAnsi" w:eastAsia="Times New Roman" w:hAnsiTheme="minorHAnsi" w:cstheme="minorHAnsi"/>
                <w:color w:val="000000"/>
                <w:sz w:val="20"/>
                <w:szCs w:val="20"/>
                <w:lang w:val="pt-PT"/>
              </w:rPr>
              <w:br/>
              <w:t>AQUA;</w:t>
            </w:r>
          </w:p>
        </w:tc>
      </w:tr>
      <w:tr w:rsidR="000615DB" w:rsidRPr="00292532" w14:paraId="6F2779D3" w14:textId="77777777" w:rsidTr="006174BB">
        <w:trPr>
          <w:cnfStyle w:val="000000100000" w:firstRow="0" w:lastRow="0" w:firstColumn="0" w:lastColumn="0" w:oddVBand="0" w:evenVBand="0" w:oddHBand="1" w:evenHBand="0" w:firstRowFirstColumn="0" w:firstRowLastColumn="0" w:lastRowFirstColumn="0" w:lastRowLastColumn="0"/>
          <w:trHeight w:val="1560"/>
        </w:trPr>
        <w:tc>
          <w:tcPr>
            <w:cnfStyle w:val="001000000000" w:firstRow="0" w:lastRow="0" w:firstColumn="1" w:lastColumn="0" w:oddVBand="0" w:evenVBand="0" w:oddHBand="0" w:evenHBand="0" w:firstRowFirstColumn="0" w:firstRowLastColumn="0" w:lastRowFirstColumn="0" w:lastRowLastColumn="0"/>
            <w:tcW w:w="1652" w:type="dxa"/>
            <w:hideMark/>
          </w:tcPr>
          <w:p w14:paraId="2164FFC9"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 xml:space="preserve">Condições de trabalho </w:t>
            </w:r>
          </w:p>
        </w:tc>
        <w:tc>
          <w:tcPr>
            <w:tcW w:w="5453" w:type="dxa"/>
            <w:hideMark/>
          </w:tcPr>
          <w:p w14:paraId="3AB57C50"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•As contratadas (empreiteiros) devem assegurar as devidas condições de trabalho que garantam a saúde e a segurança de todos os trabalhadores e estejam em plena conformidade com as normas nacionais de trabalho</w:t>
            </w:r>
            <w:r w:rsidRPr="00292532">
              <w:rPr>
                <w:rFonts w:asciiTheme="minorHAnsi" w:eastAsia="Times New Roman" w:hAnsiTheme="minorHAnsi" w:cstheme="minorHAnsi"/>
                <w:color w:val="000000"/>
                <w:sz w:val="20"/>
                <w:szCs w:val="20"/>
                <w:lang w:val="pt-PT"/>
              </w:rPr>
              <w:br/>
            </w:r>
            <w:r w:rsidRPr="00292532">
              <w:rPr>
                <w:rFonts w:asciiTheme="minorHAnsi" w:eastAsia="Times New Roman" w:hAnsiTheme="minorHAnsi" w:cstheme="minorHAnsi"/>
                <w:color w:val="000000"/>
                <w:sz w:val="20"/>
                <w:szCs w:val="20"/>
                <w:lang w:val="pt-PT"/>
              </w:rPr>
              <w:br/>
              <w:t>•As condições de trabalho devem garantir aos trabalhadores o conforto necessário para realizar o seu trabalho. Isto inclui a qualidade aceitável de alojamento e o fornecimento de serviços básicos</w:t>
            </w:r>
          </w:p>
        </w:tc>
        <w:tc>
          <w:tcPr>
            <w:tcW w:w="2377" w:type="dxa"/>
            <w:hideMark/>
          </w:tcPr>
          <w:p w14:paraId="5F6EEF0A"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Fase de construção (recrutamento e contratação de mão-de-obra) </w:t>
            </w:r>
          </w:p>
        </w:tc>
        <w:tc>
          <w:tcPr>
            <w:tcW w:w="1793" w:type="dxa"/>
            <w:hideMark/>
          </w:tcPr>
          <w:p w14:paraId="3DD534A4"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Plano de Gestão de Mão-de-Obra</w:t>
            </w:r>
          </w:p>
        </w:tc>
        <w:tc>
          <w:tcPr>
            <w:tcW w:w="2402" w:type="dxa"/>
            <w:hideMark/>
          </w:tcPr>
          <w:p w14:paraId="37514189"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Empreiteiros e outras contratadas</w:t>
            </w:r>
          </w:p>
        </w:tc>
        <w:tc>
          <w:tcPr>
            <w:tcW w:w="1219" w:type="dxa"/>
            <w:hideMark/>
          </w:tcPr>
          <w:p w14:paraId="434BE2F6"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 xml:space="preserve">; </w:t>
            </w:r>
          </w:p>
          <w:p w14:paraId="514EC810"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t>;</w:t>
            </w:r>
            <w:r w:rsidRPr="00292532">
              <w:rPr>
                <w:rFonts w:asciiTheme="minorHAnsi" w:eastAsia="Times New Roman" w:hAnsiTheme="minorHAnsi" w:cstheme="minorHAnsi"/>
                <w:color w:val="000000"/>
                <w:sz w:val="20"/>
                <w:szCs w:val="20"/>
                <w:lang w:val="pt-PT"/>
              </w:rPr>
              <w:br/>
            </w:r>
          </w:p>
          <w:p w14:paraId="565DFFB4"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
        </w:tc>
      </w:tr>
      <w:tr w:rsidR="000615DB" w:rsidRPr="00292532" w14:paraId="15B4C827" w14:textId="77777777" w:rsidTr="006174BB">
        <w:trPr>
          <w:trHeight w:val="2600"/>
        </w:trPr>
        <w:tc>
          <w:tcPr>
            <w:cnfStyle w:val="001000000000" w:firstRow="0" w:lastRow="0" w:firstColumn="1" w:lastColumn="0" w:oddVBand="0" w:evenVBand="0" w:oddHBand="0" w:evenHBand="0" w:firstRowFirstColumn="0" w:firstRowLastColumn="0" w:lastRowFirstColumn="0" w:lastRowLastColumn="0"/>
            <w:tcW w:w="1652" w:type="dxa"/>
            <w:hideMark/>
          </w:tcPr>
          <w:p w14:paraId="587980E6"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Condições gerais de trabalho </w:t>
            </w:r>
          </w:p>
        </w:tc>
        <w:tc>
          <w:tcPr>
            <w:tcW w:w="5453" w:type="dxa"/>
            <w:hideMark/>
          </w:tcPr>
          <w:p w14:paraId="4852CB19"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•Deve-se fornecer a cada trabalhador uma informação documentada sobre as suas condições de trabalho (incluindo horas de trabalho, horas extraordinárias, compensação, benefícios, etc.) Isso terá em consideração os direitos previstos na legislação nacional de trabalho e em quaisquer acordos </w:t>
            </w:r>
            <w:proofErr w:type="spellStart"/>
            <w:r w:rsidRPr="00292532">
              <w:rPr>
                <w:rFonts w:asciiTheme="minorHAnsi" w:eastAsia="Times New Roman" w:hAnsiTheme="minorHAnsi" w:cstheme="minorHAnsi"/>
                <w:color w:val="000000"/>
                <w:sz w:val="20"/>
                <w:szCs w:val="20"/>
                <w:lang w:val="pt-PT"/>
              </w:rPr>
              <w:t>colectivos</w:t>
            </w:r>
            <w:proofErr w:type="spellEnd"/>
            <w:r w:rsidRPr="00292532">
              <w:rPr>
                <w:rFonts w:asciiTheme="minorHAnsi" w:eastAsia="Times New Roman" w:hAnsiTheme="minorHAnsi" w:cstheme="minorHAnsi"/>
                <w:color w:val="000000"/>
                <w:sz w:val="20"/>
                <w:szCs w:val="20"/>
                <w:lang w:val="pt-PT"/>
              </w:rPr>
              <w:t xml:space="preserve"> aplicáveis.</w:t>
            </w:r>
            <w:r w:rsidRPr="00292532">
              <w:rPr>
                <w:rFonts w:asciiTheme="minorHAnsi" w:eastAsia="Times New Roman" w:hAnsiTheme="minorHAnsi" w:cstheme="minorHAnsi"/>
                <w:color w:val="000000"/>
                <w:sz w:val="20"/>
                <w:szCs w:val="20"/>
                <w:lang w:val="pt-PT"/>
              </w:rPr>
              <w:br/>
              <w:t xml:space="preserve">•Os trabalhadores deverão a assinar os Contratos de Trabalho e a contratada deve assegurar a manutenção adequada dos registos e a disponibilidade para sua para análise pelo Departamento do Trabalho de Moçambique e pelas </w:t>
            </w: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br/>
              <w:t>•Sempre que necessário deverá se proporcionar a formação necessária e recursos de formação dos trabalhadores relativamente à compreensão dos seus direitos e obrigações nos termos do Contrato de Trabalho</w:t>
            </w:r>
          </w:p>
        </w:tc>
        <w:tc>
          <w:tcPr>
            <w:tcW w:w="2377" w:type="dxa"/>
            <w:hideMark/>
          </w:tcPr>
          <w:p w14:paraId="2B466C3A"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Fase de construção (recrutamento e contratação de mão-de-obra) </w:t>
            </w:r>
          </w:p>
        </w:tc>
        <w:tc>
          <w:tcPr>
            <w:tcW w:w="1793" w:type="dxa"/>
            <w:hideMark/>
          </w:tcPr>
          <w:p w14:paraId="47B2C75C"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Plano de Gestão de Mão-de-Obra</w:t>
            </w:r>
          </w:p>
        </w:tc>
        <w:tc>
          <w:tcPr>
            <w:tcW w:w="2402" w:type="dxa"/>
            <w:hideMark/>
          </w:tcPr>
          <w:p w14:paraId="3096E98B"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Empreiteiros e outras contratadas</w:t>
            </w:r>
          </w:p>
        </w:tc>
        <w:tc>
          <w:tcPr>
            <w:tcW w:w="1219" w:type="dxa"/>
            <w:hideMark/>
          </w:tcPr>
          <w:p w14:paraId="288A3A29"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 xml:space="preserve">; </w:t>
            </w:r>
          </w:p>
          <w:p w14:paraId="59E6075E"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UTPs</w:t>
            </w:r>
            <w:proofErr w:type="spellEnd"/>
            <w:r w:rsidRPr="00292532">
              <w:rPr>
                <w:rFonts w:asciiTheme="minorHAnsi" w:eastAsia="Times New Roman" w:hAnsiTheme="minorHAnsi" w:cstheme="minorHAnsi"/>
                <w:color w:val="000000"/>
                <w:sz w:val="20"/>
                <w:szCs w:val="20"/>
                <w:lang w:val="pt-PT"/>
              </w:rPr>
              <w:t>;</w:t>
            </w:r>
            <w:r w:rsidRPr="00292532">
              <w:rPr>
                <w:rFonts w:asciiTheme="minorHAnsi" w:eastAsia="Times New Roman" w:hAnsiTheme="minorHAnsi" w:cstheme="minorHAnsi"/>
                <w:color w:val="000000"/>
                <w:sz w:val="20"/>
                <w:szCs w:val="20"/>
                <w:lang w:val="pt-PT"/>
              </w:rPr>
              <w:br/>
            </w:r>
          </w:p>
          <w:p w14:paraId="68B57E22"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
        </w:tc>
      </w:tr>
      <w:tr w:rsidR="000615DB" w:rsidRPr="00292532" w14:paraId="5410FD8C" w14:textId="77777777" w:rsidTr="006174BB">
        <w:trPr>
          <w:cnfStyle w:val="000000100000" w:firstRow="0" w:lastRow="0" w:firstColumn="0" w:lastColumn="0" w:oddVBand="0" w:evenVBand="0" w:oddHBand="1" w:evenHBand="0" w:firstRowFirstColumn="0" w:firstRowLastColumn="0" w:lastRowFirstColumn="0" w:lastRowLastColumn="0"/>
          <w:trHeight w:val="1300"/>
        </w:trPr>
        <w:tc>
          <w:tcPr>
            <w:cnfStyle w:val="001000000000" w:firstRow="0" w:lastRow="0" w:firstColumn="1" w:lastColumn="0" w:oddVBand="0" w:evenVBand="0" w:oddHBand="0" w:evenHBand="0" w:firstRowFirstColumn="0" w:firstRowLastColumn="0" w:lastRowFirstColumn="0" w:lastRowLastColumn="0"/>
            <w:tcW w:w="1652" w:type="dxa"/>
            <w:hideMark/>
          </w:tcPr>
          <w:p w14:paraId="536F45ED"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Organização dos trabalhadores</w:t>
            </w:r>
          </w:p>
        </w:tc>
        <w:tc>
          <w:tcPr>
            <w:tcW w:w="5453" w:type="dxa"/>
            <w:hideMark/>
          </w:tcPr>
          <w:p w14:paraId="6EDA730E"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•As contratadas pelo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xml:space="preserve"> deverão permitir que os seus trabalhadores formem ou adiram a organizações de trabalhadores ou sindicatos, de acordo com a legislação nacional de trabalho. </w:t>
            </w:r>
            <w:r w:rsidRPr="00292532">
              <w:rPr>
                <w:rFonts w:asciiTheme="minorHAnsi" w:eastAsia="Times New Roman" w:hAnsiTheme="minorHAnsi" w:cstheme="minorHAnsi"/>
                <w:color w:val="000000"/>
                <w:sz w:val="20"/>
                <w:szCs w:val="20"/>
                <w:lang w:val="pt-PT"/>
              </w:rPr>
              <w:br/>
            </w:r>
            <w:r w:rsidRPr="00292532">
              <w:rPr>
                <w:rFonts w:asciiTheme="minorHAnsi" w:eastAsia="Times New Roman" w:hAnsiTheme="minorHAnsi" w:cstheme="minorHAnsi"/>
                <w:color w:val="000000"/>
                <w:sz w:val="20"/>
                <w:szCs w:val="20"/>
                <w:lang w:val="pt-PT"/>
              </w:rPr>
              <w:br/>
              <w:t xml:space="preserve">•Das contratadas não podem desencorajar, discriminar, nem retaliar os trabalhadores que optem por criar ou aderir a organizações de trabalhadores. </w:t>
            </w:r>
          </w:p>
        </w:tc>
        <w:tc>
          <w:tcPr>
            <w:tcW w:w="2377" w:type="dxa"/>
            <w:hideMark/>
          </w:tcPr>
          <w:p w14:paraId="4D7CD7BF"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Fase de construção (gestão dos trabalhadores)</w:t>
            </w:r>
          </w:p>
        </w:tc>
        <w:tc>
          <w:tcPr>
            <w:tcW w:w="1793" w:type="dxa"/>
            <w:hideMark/>
          </w:tcPr>
          <w:p w14:paraId="496D975F"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Plano de Gestão de Mão-de-obra</w:t>
            </w:r>
          </w:p>
        </w:tc>
        <w:tc>
          <w:tcPr>
            <w:tcW w:w="2402" w:type="dxa"/>
            <w:hideMark/>
          </w:tcPr>
          <w:p w14:paraId="0C550150"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Empreiteiros e outras contratadas</w:t>
            </w:r>
          </w:p>
        </w:tc>
        <w:tc>
          <w:tcPr>
            <w:tcW w:w="1219" w:type="dxa"/>
            <w:hideMark/>
          </w:tcPr>
          <w:p w14:paraId="34201FD2"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p>
          <w:p w14:paraId="4F719940"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UTPs</w:t>
            </w:r>
            <w:proofErr w:type="spellEnd"/>
          </w:p>
        </w:tc>
      </w:tr>
      <w:tr w:rsidR="000615DB" w:rsidRPr="00292532" w14:paraId="37868BCF" w14:textId="77777777" w:rsidTr="006174BB">
        <w:trPr>
          <w:trHeight w:val="2600"/>
        </w:trPr>
        <w:tc>
          <w:tcPr>
            <w:cnfStyle w:val="001000000000" w:firstRow="0" w:lastRow="0" w:firstColumn="1" w:lastColumn="0" w:oddVBand="0" w:evenVBand="0" w:oddHBand="0" w:evenHBand="0" w:firstRowFirstColumn="0" w:firstRowLastColumn="0" w:lastRowFirstColumn="0" w:lastRowLastColumn="0"/>
            <w:tcW w:w="1652" w:type="dxa"/>
            <w:hideMark/>
          </w:tcPr>
          <w:p w14:paraId="2ADBC0C6"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Trabalho infantil ou trabalho forçado</w:t>
            </w:r>
          </w:p>
        </w:tc>
        <w:tc>
          <w:tcPr>
            <w:tcW w:w="5453" w:type="dxa"/>
            <w:hideMark/>
          </w:tcPr>
          <w:p w14:paraId="4B7F2865"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xml:space="preserve"> e contratadas não podem empregar menores de 15 anos</w:t>
            </w:r>
            <w:r w:rsidRPr="00292532">
              <w:rPr>
                <w:rFonts w:asciiTheme="minorHAnsi" w:eastAsia="Times New Roman" w:hAnsiTheme="minorHAnsi" w:cstheme="minorHAnsi"/>
                <w:color w:val="000000"/>
                <w:sz w:val="20"/>
                <w:szCs w:val="20"/>
                <w:lang w:val="pt-PT"/>
              </w:rPr>
              <w:br/>
            </w:r>
            <w:r w:rsidRPr="00292532">
              <w:rPr>
                <w:rFonts w:asciiTheme="minorHAnsi" w:eastAsia="Times New Roman" w:hAnsiTheme="minorHAnsi" w:cstheme="minorHAnsi"/>
                <w:color w:val="000000"/>
                <w:sz w:val="20"/>
                <w:szCs w:val="20"/>
                <w:lang w:val="pt-PT"/>
              </w:rPr>
              <w:br/>
              <w:t xml:space="preserve">Considerações especiais podem ser das aos menos Chefes de família. Estes não serão autorizados a realizar trabalho de risco ou trabalho que possa </w:t>
            </w:r>
            <w:proofErr w:type="spellStart"/>
            <w:r w:rsidRPr="00292532">
              <w:rPr>
                <w:rFonts w:asciiTheme="minorHAnsi" w:eastAsia="Times New Roman" w:hAnsiTheme="minorHAnsi" w:cstheme="minorHAnsi"/>
                <w:color w:val="000000"/>
                <w:sz w:val="20"/>
                <w:szCs w:val="20"/>
                <w:lang w:val="pt-PT"/>
              </w:rPr>
              <w:t>afectar</w:t>
            </w:r>
            <w:proofErr w:type="spellEnd"/>
            <w:r w:rsidRPr="00292532">
              <w:rPr>
                <w:rFonts w:asciiTheme="minorHAnsi" w:eastAsia="Times New Roman" w:hAnsiTheme="minorHAnsi" w:cstheme="minorHAnsi"/>
                <w:color w:val="000000"/>
                <w:sz w:val="20"/>
                <w:szCs w:val="20"/>
                <w:lang w:val="pt-PT"/>
              </w:rPr>
              <w:t xml:space="preserve"> a sua educação ou desenvolvimento social. Todos os menores empregados pelo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xml:space="preserve"> serão acompanhados em termos de saúde, condições de trabalho e horas de trabalho.</w:t>
            </w:r>
            <w:r w:rsidRPr="00292532">
              <w:rPr>
                <w:rFonts w:asciiTheme="minorHAnsi" w:eastAsia="Times New Roman" w:hAnsiTheme="minorHAnsi" w:cstheme="minorHAnsi"/>
                <w:color w:val="000000"/>
                <w:sz w:val="20"/>
                <w:szCs w:val="20"/>
                <w:lang w:val="pt-PT"/>
              </w:rPr>
              <w:br/>
            </w:r>
            <w:r w:rsidRPr="00292532">
              <w:rPr>
                <w:rFonts w:asciiTheme="minorHAnsi" w:eastAsia="Times New Roman" w:hAnsiTheme="minorHAnsi" w:cstheme="minorHAnsi"/>
                <w:color w:val="000000"/>
                <w:sz w:val="20"/>
                <w:szCs w:val="20"/>
                <w:lang w:val="pt-PT"/>
              </w:rPr>
              <w:br/>
              <w:t xml:space="preserve">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xml:space="preserve"> e suas contratadas não devem permitir qualquer forma de trabalho forçado. Isto é aplicável a todos os contratantes por conta de outrem ou a cadeia de abastecimento dentro do âmbito de controlo do Mutuário/</w:t>
            </w:r>
            <w:proofErr w:type="spellStart"/>
            <w:r w:rsidRPr="00292532">
              <w:rPr>
                <w:rFonts w:asciiTheme="minorHAnsi" w:eastAsia="Times New Roman" w:hAnsiTheme="minorHAnsi" w:cstheme="minorHAnsi"/>
                <w:color w:val="000000"/>
                <w:sz w:val="20"/>
                <w:szCs w:val="20"/>
                <w:lang w:val="pt-PT"/>
              </w:rPr>
              <w:t>UIPs</w:t>
            </w:r>
            <w:proofErr w:type="spellEnd"/>
          </w:p>
        </w:tc>
        <w:tc>
          <w:tcPr>
            <w:tcW w:w="2377" w:type="dxa"/>
            <w:hideMark/>
          </w:tcPr>
          <w:p w14:paraId="683D9AEF"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Fase de construção (gestão dos trabalhadores)</w:t>
            </w:r>
          </w:p>
        </w:tc>
        <w:tc>
          <w:tcPr>
            <w:tcW w:w="1793" w:type="dxa"/>
            <w:hideMark/>
          </w:tcPr>
          <w:p w14:paraId="1E6DA069"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Plano de Gestão de Mão-de-obra</w:t>
            </w:r>
          </w:p>
        </w:tc>
        <w:tc>
          <w:tcPr>
            <w:tcW w:w="2402" w:type="dxa"/>
            <w:hideMark/>
          </w:tcPr>
          <w:p w14:paraId="6EAFB0F6"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Empreiteiros e outras contratadas; </w:t>
            </w:r>
            <w:proofErr w:type="spellStart"/>
            <w:r w:rsidRPr="00292532">
              <w:rPr>
                <w:rFonts w:asciiTheme="minorHAnsi" w:eastAsia="Times New Roman" w:hAnsiTheme="minorHAnsi" w:cstheme="minorHAnsi"/>
                <w:color w:val="000000"/>
                <w:sz w:val="20"/>
                <w:szCs w:val="20"/>
                <w:lang w:val="pt-PT"/>
              </w:rPr>
              <w:t>UIPs</w:t>
            </w:r>
            <w:proofErr w:type="spellEnd"/>
          </w:p>
        </w:tc>
        <w:tc>
          <w:tcPr>
            <w:tcW w:w="1219" w:type="dxa"/>
            <w:hideMark/>
          </w:tcPr>
          <w:p w14:paraId="6524BEE2"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p>
          <w:p w14:paraId="4DBBC522"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UTPs</w:t>
            </w:r>
            <w:proofErr w:type="spellEnd"/>
          </w:p>
        </w:tc>
      </w:tr>
    </w:tbl>
    <w:p w14:paraId="3FAE519A" w14:textId="77777777" w:rsidR="000615DB" w:rsidRPr="00292532" w:rsidRDefault="000615DB" w:rsidP="000615DB">
      <w:pPr>
        <w:rPr>
          <w:lang w:val="pt-PT" w:eastAsia="ja-JP"/>
        </w:rPr>
      </w:pPr>
    </w:p>
    <w:p w14:paraId="1D7D4CC6" w14:textId="77777777" w:rsidR="000615DB" w:rsidRPr="00292532" w:rsidRDefault="000615DB" w:rsidP="000615DB">
      <w:pPr>
        <w:rPr>
          <w:lang w:val="pt-PT" w:eastAsia="ja-JP"/>
        </w:rPr>
      </w:pPr>
    </w:p>
    <w:p w14:paraId="6AF71ADF" w14:textId="77777777" w:rsidR="000615DB" w:rsidRPr="00292532" w:rsidRDefault="000615DB" w:rsidP="000615DB">
      <w:pPr>
        <w:rPr>
          <w:lang w:val="pt-PT" w:eastAsia="ja-JP"/>
        </w:rPr>
      </w:pPr>
      <w:r w:rsidRPr="00292532">
        <w:rPr>
          <w:lang w:val="pt-PT" w:eastAsia="ja-JP"/>
        </w:rPr>
        <w:br w:type="page"/>
      </w:r>
    </w:p>
    <w:p w14:paraId="24CEE023" w14:textId="77777777" w:rsidR="000615DB" w:rsidRPr="00292532" w:rsidRDefault="000615DB" w:rsidP="000615DB">
      <w:pPr>
        <w:pStyle w:val="Caption"/>
      </w:pPr>
      <w:r w:rsidRPr="00292532">
        <w:lastRenderedPageBreak/>
        <w:t xml:space="preserve">Tabela 11: Medidas de Mitigação Ambientais e Sociais na fase de Operação </w:t>
      </w:r>
    </w:p>
    <w:tbl>
      <w:tblPr>
        <w:tblStyle w:val="ListTable4-Accent1"/>
        <w:tblW w:w="14213" w:type="dxa"/>
        <w:tblLook w:val="04A0" w:firstRow="1" w:lastRow="0" w:firstColumn="1" w:lastColumn="0" w:noHBand="0" w:noVBand="1"/>
      </w:tblPr>
      <w:tblGrid>
        <w:gridCol w:w="1570"/>
        <w:gridCol w:w="4095"/>
        <w:gridCol w:w="2470"/>
        <w:gridCol w:w="1581"/>
        <w:gridCol w:w="3071"/>
        <w:gridCol w:w="1426"/>
      </w:tblGrid>
      <w:tr w:rsidR="000615DB" w:rsidRPr="00292532" w14:paraId="6A4C1E73" w14:textId="77777777" w:rsidTr="006174BB">
        <w:trPr>
          <w:cnfStyle w:val="100000000000" w:firstRow="1" w:lastRow="0" w:firstColumn="0" w:lastColumn="0" w:oddVBand="0" w:evenVBand="0" w:oddHBand="0" w:evenHBand="0" w:firstRowFirstColumn="0" w:firstRowLastColumn="0" w:lastRowFirstColumn="0" w:lastRowLastColumn="0"/>
          <w:trHeight w:val="260"/>
          <w:tblHeader/>
        </w:trPr>
        <w:tc>
          <w:tcPr>
            <w:cnfStyle w:val="001000000000" w:firstRow="0" w:lastRow="0" w:firstColumn="1" w:lastColumn="0" w:oddVBand="0" w:evenVBand="0" w:oddHBand="0" w:evenHBand="0" w:firstRowFirstColumn="0" w:firstRowLastColumn="0" w:lastRowFirstColumn="0" w:lastRowLastColumn="0"/>
            <w:tcW w:w="1570" w:type="dxa"/>
            <w:vMerge w:val="restart"/>
            <w:hideMark/>
          </w:tcPr>
          <w:p w14:paraId="2F7973C3" w14:textId="77777777" w:rsidR="000615DB" w:rsidRPr="00292532" w:rsidRDefault="000615DB" w:rsidP="006174BB">
            <w:pPr>
              <w:spacing w:before="0"/>
              <w:jc w:val="center"/>
              <w:rPr>
                <w:rFonts w:asciiTheme="minorHAnsi" w:eastAsia="Times New Roman" w:hAnsiTheme="minorHAnsi" w:cstheme="minorHAnsi"/>
                <w:sz w:val="20"/>
                <w:szCs w:val="20"/>
                <w:lang w:val="pt-PT"/>
              </w:rPr>
            </w:pPr>
            <w:r w:rsidRPr="00292532">
              <w:rPr>
                <w:rFonts w:asciiTheme="minorHAnsi" w:eastAsia="Times New Roman" w:hAnsiTheme="minorHAnsi" w:cstheme="minorHAnsi"/>
                <w:sz w:val="20"/>
                <w:szCs w:val="20"/>
                <w:lang w:val="pt-PT"/>
              </w:rPr>
              <w:t>Riscos e Impactos Potenciais</w:t>
            </w:r>
          </w:p>
        </w:tc>
        <w:tc>
          <w:tcPr>
            <w:tcW w:w="4095" w:type="dxa"/>
            <w:vMerge w:val="restart"/>
            <w:hideMark/>
          </w:tcPr>
          <w:p w14:paraId="615AB988" w14:textId="77777777" w:rsidR="000615DB" w:rsidRPr="00292532" w:rsidRDefault="000615DB" w:rsidP="006174BB">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r w:rsidRPr="00292532">
              <w:rPr>
                <w:rFonts w:asciiTheme="minorHAnsi" w:eastAsia="Times New Roman" w:hAnsiTheme="minorHAnsi" w:cstheme="minorHAnsi"/>
                <w:sz w:val="20"/>
                <w:szCs w:val="20"/>
                <w:lang w:val="pt-PT"/>
              </w:rPr>
              <w:t xml:space="preserve">Mitigação </w:t>
            </w:r>
          </w:p>
        </w:tc>
        <w:tc>
          <w:tcPr>
            <w:tcW w:w="2470" w:type="dxa"/>
            <w:vMerge w:val="restart"/>
            <w:hideMark/>
          </w:tcPr>
          <w:p w14:paraId="708C915C" w14:textId="77777777" w:rsidR="000615DB" w:rsidRPr="00292532" w:rsidRDefault="000615DB" w:rsidP="006174BB">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proofErr w:type="spellStart"/>
            <w:r w:rsidRPr="00292532">
              <w:rPr>
                <w:rFonts w:asciiTheme="minorHAnsi" w:eastAsia="Times New Roman" w:hAnsiTheme="minorHAnsi" w:cstheme="minorHAnsi"/>
                <w:sz w:val="20"/>
                <w:szCs w:val="20"/>
                <w:lang w:val="pt-PT"/>
              </w:rPr>
              <w:t>Actividade</w:t>
            </w:r>
            <w:proofErr w:type="spellEnd"/>
            <w:r w:rsidRPr="00292532">
              <w:rPr>
                <w:rFonts w:asciiTheme="minorHAnsi" w:eastAsia="Times New Roman" w:hAnsiTheme="minorHAnsi" w:cstheme="minorHAnsi"/>
                <w:sz w:val="20"/>
                <w:szCs w:val="20"/>
                <w:lang w:val="pt-PT"/>
              </w:rPr>
              <w:t>/Fase/Processo</w:t>
            </w:r>
          </w:p>
        </w:tc>
        <w:tc>
          <w:tcPr>
            <w:tcW w:w="1581" w:type="dxa"/>
            <w:vMerge w:val="restart"/>
            <w:hideMark/>
          </w:tcPr>
          <w:p w14:paraId="5BB17965" w14:textId="77777777" w:rsidR="000615DB" w:rsidRPr="00292532" w:rsidRDefault="000615DB" w:rsidP="006174BB">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r w:rsidRPr="00292532">
              <w:rPr>
                <w:rFonts w:asciiTheme="minorHAnsi" w:eastAsia="Times New Roman" w:hAnsiTheme="minorHAnsi" w:cstheme="minorHAnsi"/>
                <w:sz w:val="20"/>
                <w:szCs w:val="20"/>
                <w:lang w:val="pt-PT"/>
              </w:rPr>
              <w:t xml:space="preserve">Instrumentos de gestão </w:t>
            </w:r>
          </w:p>
        </w:tc>
        <w:tc>
          <w:tcPr>
            <w:tcW w:w="4497" w:type="dxa"/>
            <w:gridSpan w:val="2"/>
            <w:hideMark/>
          </w:tcPr>
          <w:p w14:paraId="428B0503" w14:textId="77777777" w:rsidR="000615DB" w:rsidRPr="00292532" w:rsidRDefault="000615DB" w:rsidP="006174BB">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r w:rsidRPr="00292532">
              <w:rPr>
                <w:rFonts w:asciiTheme="minorHAnsi" w:eastAsia="Times New Roman" w:hAnsiTheme="minorHAnsi" w:cstheme="minorHAnsi"/>
                <w:sz w:val="20"/>
                <w:szCs w:val="20"/>
                <w:lang w:val="pt-PT"/>
              </w:rPr>
              <w:t>Responsabilidades</w:t>
            </w:r>
          </w:p>
        </w:tc>
      </w:tr>
      <w:tr w:rsidR="000615DB" w:rsidRPr="00292532" w14:paraId="35251EAB" w14:textId="77777777" w:rsidTr="006174BB">
        <w:trPr>
          <w:cnfStyle w:val="100000000000" w:firstRow="1" w:lastRow="0" w:firstColumn="0" w:lastColumn="0" w:oddVBand="0" w:evenVBand="0" w:oddHBand="0" w:evenHBand="0" w:firstRowFirstColumn="0" w:firstRowLastColumn="0" w:lastRowFirstColumn="0" w:lastRowLastColumn="0"/>
          <w:trHeight w:val="260"/>
          <w:tblHeader/>
        </w:trPr>
        <w:tc>
          <w:tcPr>
            <w:cnfStyle w:val="001000000000" w:firstRow="0" w:lastRow="0" w:firstColumn="1" w:lastColumn="0" w:oddVBand="0" w:evenVBand="0" w:oddHBand="0" w:evenHBand="0" w:firstRowFirstColumn="0" w:firstRowLastColumn="0" w:lastRowFirstColumn="0" w:lastRowLastColumn="0"/>
            <w:tcW w:w="1570" w:type="dxa"/>
            <w:vMerge/>
            <w:hideMark/>
          </w:tcPr>
          <w:p w14:paraId="0539243B" w14:textId="77777777" w:rsidR="000615DB" w:rsidRPr="00292532" w:rsidRDefault="000615DB" w:rsidP="006174BB">
            <w:pPr>
              <w:spacing w:before="0"/>
              <w:jc w:val="left"/>
              <w:rPr>
                <w:rFonts w:asciiTheme="minorHAnsi" w:eastAsia="Times New Roman" w:hAnsiTheme="minorHAnsi" w:cstheme="minorHAnsi"/>
                <w:sz w:val="20"/>
                <w:szCs w:val="20"/>
                <w:lang w:val="pt-PT"/>
              </w:rPr>
            </w:pPr>
          </w:p>
        </w:tc>
        <w:tc>
          <w:tcPr>
            <w:tcW w:w="4095" w:type="dxa"/>
            <w:vMerge/>
            <w:hideMark/>
          </w:tcPr>
          <w:p w14:paraId="7C2FA7F9" w14:textId="77777777" w:rsidR="000615DB" w:rsidRPr="00292532" w:rsidRDefault="000615DB" w:rsidP="006174BB">
            <w:pPr>
              <w:spacing w:befor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p>
        </w:tc>
        <w:tc>
          <w:tcPr>
            <w:tcW w:w="2470" w:type="dxa"/>
            <w:vMerge/>
            <w:hideMark/>
          </w:tcPr>
          <w:p w14:paraId="4B4BF2AB" w14:textId="77777777" w:rsidR="000615DB" w:rsidRPr="00292532" w:rsidRDefault="000615DB" w:rsidP="006174BB">
            <w:pPr>
              <w:spacing w:befor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p>
        </w:tc>
        <w:tc>
          <w:tcPr>
            <w:tcW w:w="1581" w:type="dxa"/>
            <w:vMerge/>
            <w:hideMark/>
          </w:tcPr>
          <w:p w14:paraId="3BA963A9" w14:textId="77777777" w:rsidR="000615DB" w:rsidRPr="00292532" w:rsidRDefault="000615DB" w:rsidP="006174BB">
            <w:pPr>
              <w:spacing w:before="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p>
        </w:tc>
        <w:tc>
          <w:tcPr>
            <w:tcW w:w="3071" w:type="dxa"/>
            <w:hideMark/>
          </w:tcPr>
          <w:p w14:paraId="6C61268E" w14:textId="77777777" w:rsidR="000615DB" w:rsidRPr="00292532" w:rsidRDefault="000615DB" w:rsidP="006174BB">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r w:rsidRPr="00292532">
              <w:rPr>
                <w:rFonts w:asciiTheme="minorHAnsi" w:eastAsia="Times New Roman" w:hAnsiTheme="minorHAnsi" w:cstheme="minorHAnsi"/>
                <w:sz w:val="20"/>
                <w:szCs w:val="20"/>
                <w:lang w:val="pt-PT"/>
              </w:rPr>
              <w:t>Implementação</w:t>
            </w:r>
          </w:p>
        </w:tc>
        <w:tc>
          <w:tcPr>
            <w:tcW w:w="1426" w:type="dxa"/>
            <w:hideMark/>
          </w:tcPr>
          <w:p w14:paraId="6610FF75" w14:textId="77777777" w:rsidR="000615DB" w:rsidRPr="00292532" w:rsidRDefault="000615DB" w:rsidP="006174BB">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r w:rsidRPr="00292532">
              <w:rPr>
                <w:rFonts w:asciiTheme="minorHAnsi" w:eastAsia="Times New Roman" w:hAnsiTheme="minorHAnsi" w:cstheme="minorHAnsi"/>
                <w:sz w:val="20"/>
                <w:szCs w:val="20"/>
                <w:lang w:val="pt-PT"/>
              </w:rPr>
              <w:t>Monitoria</w:t>
            </w:r>
          </w:p>
        </w:tc>
      </w:tr>
      <w:tr w:rsidR="000615DB" w:rsidRPr="00292532" w14:paraId="0D7B0B58" w14:textId="77777777" w:rsidTr="006174BB">
        <w:trPr>
          <w:cnfStyle w:val="000000100000" w:firstRow="0" w:lastRow="0" w:firstColumn="0" w:lastColumn="0" w:oddVBand="0" w:evenVBand="0" w:oddHBand="1"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1570" w:type="dxa"/>
            <w:hideMark/>
          </w:tcPr>
          <w:p w14:paraId="6C1666ED"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Emissões atmosféricas (poeiras, gases de combustão)</w:t>
            </w:r>
          </w:p>
        </w:tc>
        <w:tc>
          <w:tcPr>
            <w:tcW w:w="4095" w:type="dxa"/>
            <w:hideMark/>
          </w:tcPr>
          <w:p w14:paraId="32778603"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br/>
              <w:t xml:space="preserve">• Sempre que praticável, </w:t>
            </w:r>
            <w:proofErr w:type="spellStart"/>
            <w:r w:rsidRPr="00292532">
              <w:rPr>
                <w:rFonts w:asciiTheme="minorHAnsi" w:eastAsia="Times New Roman" w:hAnsiTheme="minorHAnsi" w:cstheme="minorHAnsi"/>
                <w:color w:val="000000"/>
                <w:sz w:val="20"/>
                <w:szCs w:val="20"/>
                <w:lang w:val="pt-PT"/>
              </w:rPr>
              <w:t>revegetação</w:t>
            </w:r>
            <w:proofErr w:type="spellEnd"/>
            <w:r w:rsidRPr="00292532">
              <w:rPr>
                <w:rFonts w:asciiTheme="minorHAnsi" w:eastAsia="Times New Roman" w:hAnsiTheme="minorHAnsi" w:cstheme="minorHAnsi"/>
                <w:color w:val="000000"/>
                <w:sz w:val="20"/>
                <w:szCs w:val="20"/>
                <w:lang w:val="pt-PT"/>
              </w:rPr>
              <w:t xml:space="preserve">, compactação e estabilização dos solos </w:t>
            </w:r>
            <w:proofErr w:type="spellStart"/>
            <w:r w:rsidRPr="00292532">
              <w:rPr>
                <w:rFonts w:asciiTheme="minorHAnsi" w:eastAsia="Times New Roman" w:hAnsiTheme="minorHAnsi" w:cstheme="minorHAnsi"/>
                <w:color w:val="000000"/>
                <w:sz w:val="20"/>
                <w:szCs w:val="20"/>
                <w:lang w:val="pt-PT"/>
              </w:rPr>
              <w:t>afectados</w:t>
            </w:r>
            <w:proofErr w:type="spellEnd"/>
            <w:r w:rsidRPr="00292532">
              <w:rPr>
                <w:rFonts w:asciiTheme="minorHAnsi" w:eastAsia="Times New Roman" w:hAnsiTheme="minorHAnsi" w:cstheme="minorHAnsi"/>
                <w:color w:val="000000"/>
                <w:sz w:val="20"/>
                <w:szCs w:val="20"/>
                <w:lang w:val="pt-PT"/>
              </w:rPr>
              <w:t xml:space="preserve"> durante as </w:t>
            </w:r>
            <w:proofErr w:type="spellStart"/>
            <w:r w:rsidRPr="00292532">
              <w:rPr>
                <w:rFonts w:asciiTheme="minorHAnsi" w:eastAsia="Times New Roman" w:hAnsiTheme="minorHAnsi" w:cstheme="minorHAnsi"/>
                <w:color w:val="000000"/>
                <w:sz w:val="20"/>
                <w:szCs w:val="20"/>
                <w:lang w:val="pt-PT"/>
              </w:rPr>
              <w:t>actividades</w:t>
            </w:r>
            <w:proofErr w:type="spellEnd"/>
            <w:r w:rsidRPr="00292532">
              <w:rPr>
                <w:rFonts w:asciiTheme="minorHAnsi" w:eastAsia="Times New Roman" w:hAnsiTheme="minorHAnsi" w:cstheme="minorHAnsi"/>
                <w:color w:val="000000"/>
                <w:sz w:val="20"/>
                <w:szCs w:val="20"/>
                <w:lang w:val="pt-PT"/>
              </w:rPr>
              <w:t xml:space="preserve"> de manutenção das adutoras, canais de drenagens e condutas</w:t>
            </w:r>
            <w:r w:rsidRPr="00292532">
              <w:rPr>
                <w:rFonts w:asciiTheme="minorHAnsi" w:eastAsia="Times New Roman" w:hAnsiTheme="minorHAnsi" w:cstheme="minorHAnsi"/>
                <w:color w:val="000000"/>
                <w:sz w:val="20"/>
                <w:szCs w:val="20"/>
                <w:lang w:val="pt-PT"/>
              </w:rPr>
              <w:br/>
              <w:t xml:space="preserve">• Os geradores devem ser bem mantidos (incluindo as </w:t>
            </w:r>
            <w:proofErr w:type="spellStart"/>
            <w:r w:rsidRPr="00292532">
              <w:rPr>
                <w:rFonts w:asciiTheme="minorHAnsi" w:eastAsia="Times New Roman" w:hAnsiTheme="minorHAnsi" w:cstheme="minorHAnsi"/>
                <w:color w:val="000000"/>
                <w:sz w:val="20"/>
                <w:szCs w:val="20"/>
                <w:lang w:val="pt-PT"/>
              </w:rPr>
              <w:t>inspecções</w:t>
            </w:r>
            <w:proofErr w:type="spellEnd"/>
            <w:r w:rsidRPr="00292532">
              <w:rPr>
                <w:rFonts w:asciiTheme="minorHAnsi" w:eastAsia="Times New Roman" w:hAnsiTheme="minorHAnsi" w:cstheme="minorHAnsi"/>
                <w:color w:val="000000"/>
                <w:sz w:val="20"/>
                <w:szCs w:val="20"/>
                <w:lang w:val="pt-PT"/>
              </w:rPr>
              <w:t xml:space="preserve"> de manutenção recomendadas pelo fabricante).</w:t>
            </w:r>
            <w:r w:rsidRPr="00292532">
              <w:rPr>
                <w:rFonts w:asciiTheme="minorHAnsi" w:eastAsia="Times New Roman" w:hAnsiTheme="minorHAnsi" w:cstheme="minorHAnsi"/>
                <w:color w:val="000000"/>
                <w:sz w:val="20"/>
                <w:szCs w:val="20"/>
                <w:lang w:val="pt-PT"/>
              </w:rPr>
              <w:br/>
              <w:t xml:space="preserve">•. Planeamento de </w:t>
            </w:r>
            <w:proofErr w:type="spellStart"/>
            <w:r w:rsidRPr="00292532">
              <w:rPr>
                <w:rFonts w:asciiTheme="minorHAnsi" w:eastAsia="Times New Roman" w:hAnsiTheme="minorHAnsi" w:cstheme="minorHAnsi"/>
                <w:color w:val="000000"/>
                <w:sz w:val="20"/>
                <w:szCs w:val="20"/>
                <w:lang w:val="pt-PT"/>
              </w:rPr>
              <w:t>actividades</w:t>
            </w:r>
            <w:proofErr w:type="spellEnd"/>
            <w:r w:rsidRPr="00292532">
              <w:rPr>
                <w:rFonts w:asciiTheme="minorHAnsi" w:eastAsia="Times New Roman" w:hAnsiTheme="minorHAnsi" w:cstheme="minorHAnsi"/>
                <w:color w:val="000000"/>
                <w:sz w:val="20"/>
                <w:szCs w:val="20"/>
                <w:lang w:val="pt-PT"/>
              </w:rPr>
              <w:t xml:space="preserve"> para minimizar o uso de veículos e maquinaria.</w:t>
            </w:r>
            <w:r w:rsidRPr="00292532">
              <w:rPr>
                <w:rFonts w:asciiTheme="minorHAnsi" w:eastAsia="Times New Roman" w:hAnsiTheme="minorHAnsi" w:cstheme="minorHAnsi"/>
                <w:color w:val="000000"/>
                <w:sz w:val="20"/>
                <w:szCs w:val="20"/>
                <w:lang w:val="pt-PT"/>
              </w:rPr>
              <w:br/>
              <w:t>• Implementação de limites de velocidade</w:t>
            </w:r>
            <w:r w:rsidRPr="00292532">
              <w:rPr>
                <w:rFonts w:asciiTheme="minorHAnsi" w:eastAsia="Times New Roman" w:hAnsiTheme="minorHAnsi" w:cstheme="minorHAnsi"/>
                <w:color w:val="000000"/>
                <w:sz w:val="20"/>
                <w:szCs w:val="20"/>
                <w:lang w:val="pt-PT"/>
              </w:rPr>
              <w:br/>
              <w:t>• Deve ser mantido um registo dos condutores com formação.</w:t>
            </w:r>
            <w:r w:rsidRPr="00292532">
              <w:rPr>
                <w:rFonts w:asciiTheme="minorHAnsi" w:eastAsia="Times New Roman" w:hAnsiTheme="minorHAnsi" w:cstheme="minorHAnsi"/>
                <w:color w:val="000000"/>
                <w:sz w:val="20"/>
                <w:szCs w:val="20"/>
                <w:lang w:val="pt-PT"/>
              </w:rPr>
              <w:br/>
              <w:t xml:space="preserve">• Realização de campanhas de consciencialização sobre condução defensiva </w:t>
            </w:r>
            <w:r w:rsidRPr="00292532">
              <w:rPr>
                <w:rFonts w:asciiTheme="minorHAnsi" w:eastAsia="Times New Roman" w:hAnsiTheme="minorHAnsi" w:cstheme="minorHAnsi"/>
                <w:color w:val="000000"/>
                <w:sz w:val="20"/>
                <w:szCs w:val="20"/>
                <w:lang w:val="pt-PT"/>
              </w:rPr>
              <w:br/>
              <w:t>•Implementação de um mecanismo de queixas e reclamações a fim de identificar áreas de problemas específicos.</w:t>
            </w:r>
          </w:p>
        </w:tc>
        <w:tc>
          <w:tcPr>
            <w:tcW w:w="2470" w:type="dxa"/>
            <w:hideMark/>
          </w:tcPr>
          <w:p w14:paraId="2E5CFAEE"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manutenção dos sistemas de drenagem e de abastecimento de água; transporte de materiais; circulação de veículos e operação de maquinaria;</w:t>
            </w:r>
          </w:p>
        </w:tc>
        <w:tc>
          <w:tcPr>
            <w:tcW w:w="1581" w:type="dxa"/>
            <w:hideMark/>
          </w:tcPr>
          <w:p w14:paraId="40134E22"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PGA; </w:t>
            </w:r>
            <w:r w:rsidRPr="00292532">
              <w:rPr>
                <w:rFonts w:asciiTheme="minorHAnsi" w:eastAsia="Times New Roman" w:hAnsiTheme="minorHAnsi" w:cstheme="minorHAnsi"/>
                <w:color w:val="000000"/>
                <w:sz w:val="20"/>
                <w:szCs w:val="20"/>
                <w:lang w:val="pt-PT"/>
              </w:rPr>
              <w:br/>
              <w:t>Plano de Gestão e Prevenção da Poluição;</w:t>
            </w:r>
          </w:p>
        </w:tc>
        <w:tc>
          <w:tcPr>
            <w:tcW w:w="3071" w:type="dxa"/>
            <w:hideMark/>
          </w:tcPr>
          <w:p w14:paraId="3FA947BE" w14:textId="77777777" w:rsidR="000615DB" w:rsidRPr="00292532" w:rsidRDefault="000615DB" w:rsidP="006174BB">
            <w:pPr>
              <w:spacing w:before="0"/>
              <w:ind w:right="735"/>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Contratadas (serviços de manutenção);</w:t>
            </w:r>
          </w:p>
        </w:tc>
        <w:tc>
          <w:tcPr>
            <w:tcW w:w="1426" w:type="dxa"/>
            <w:hideMark/>
          </w:tcPr>
          <w:p w14:paraId="5C32123F"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AIAS;</w:t>
            </w:r>
          </w:p>
          <w:p w14:paraId="07F2ED02"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DNAAS;</w:t>
            </w:r>
          </w:p>
        </w:tc>
      </w:tr>
      <w:tr w:rsidR="000615DB" w:rsidRPr="00292532" w14:paraId="1CD918AF" w14:textId="77777777" w:rsidTr="006174BB">
        <w:trPr>
          <w:trHeight w:val="800"/>
        </w:trPr>
        <w:tc>
          <w:tcPr>
            <w:cnfStyle w:val="001000000000" w:firstRow="0" w:lastRow="0" w:firstColumn="1" w:lastColumn="0" w:oddVBand="0" w:evenVBand="0" w:oddHBand="0" w:evenHBand="0" w:firstRowFirstColumn="0" w:firstRowLastColumn="0" w:lastRowFirstColumn="0" w:lastRowLastColumn="0"/>
            <w:tcW w:w="1570" w:type="dxa"/>
            <w:hideMark/>
          </w:tcPr>
          <w:p w14:paraId="446EE97D"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Eficiência Energética</w:t>
            </w:r>
          </w:p>
        </w:tc>
        <w:tc>
          <w:tcPr>
            <w:tcW w:w="4095" w:type="dxa"/>
            <w:hideMark/>
          </w:tcPr>
          <w:p w14:paraId="6E0034ED"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A </w:t>
            </w:r>
            <w:proofErr w:type="spellStart"/>
            <w:r w:rsidRPr="00292532">
              <w:rPr>
                <w:rFonts w:asciiTheme="minorHAnsi" w:eastAsia="Times New Roman" w:hAnsiTheme="minorHAnsi" w:cstheme="minorHAnsi"/>
                <w:color w:val="000000"/>
                <w:sz w:val="20"/>
                <w:szCs w:val="20"/>
                <w:lang w:val="pt-PT"/>
              </w:rPr>
              <w:t>adopção</w:t>
            </w:r>
            <w:proofErr w:type="spellEnd"/>
            <w:r w:rsidRPr="00292532">
              <w:rPr>
                <w:rFonts w:asciiTheme="minorHAnsi" w:eastAsia="Times New Roman" w:hAnsiTheme="minorHAnsi" w:cstheme="minorHAnsi"/>
                <w:color w:val="000000"/>
                <w:sz w:val="20"/>
                <w:szCs w:val="20"/>
                <w:lang w:val="pt-PT"/>
              </w:rPr>
              <w:t xml:space="preserve"> de uso de painéis solares, caso praticável, para o funcionamento de alguns sistemas durante a fase operação dos sistemas</w:t>
            </w:r>
          </w:p>
        </w:tc>
        <w:tc>
          <w:tcPr>
            <w:tcW w:w="2470" w:type="dxa"/>
            <w:hideMark/>
          </w:tcPr>
          <w:p w14:paraId="18FB641B"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Fase de operação dos sistemas de abastecimento de água e saneamento</w:t>
            </w:r>
          </w:p>
        </w:tc>
        <w:tc>
          <w:tcPr>
            <w:tcW w:w="1581" w:type="dxa"/>
            <w:hideMark/>
          </w:tcPr>
          <w:p w14:paraId="7F3C2AF5"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PGA</w:t>
            </w:r>
          </w:p>
        </w:tc>
        <w:tc>
          <w:tcPr>
            <w:tcW w:w="3071" w:type="dxa"/>
            <w:hideMark/>
          </w:tcPr>
          <w:p w14:paraId="42490053"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UIPs</w:t>
            </w:r>
            <w:proofErr w:type="spellEnd"/>
            <w:r w:rsidRPr="00292532">
              <w:rPr>
                <w:rFonts w:asciiTheme="minorHAnsi" w:eastAsia="Times New Roman" w:hAnsiTheme="minorHAnsi" w:cstheme="minorHAnsi"/>
                <w:color w:val="000000"/>
                <w:sz w:val="20"/>
                <w:szCs w:val="20"/>
                <w:lang w:val="pt-PT"/>
              </w:rPr>
              <w:t xml:space="preserve">; </w:t>
            </w:r>
            <w:proofErr w:type="gramStart"/>
            <w:r w:rsidRPr="00292532">
              <w:rPr>
                <w:rFonts w:asciiTheme="minorHAnsi" w:eastAsia="Times New Roman" w:hAnsiTheme="minorHAnsi" w:cstheme="minorHAnsi"/>
                <w:color w:val="000000"/>
                <w:sz w:val="20"/>
                <w:szCs w:val="20"/>
                <w:lang w:val="pt-PT"/>
              </w:rPr>
              <w:t>Operadores</w:t>
            </w:r>
            <w:proofErr w:type="gramEnd"/>
            <w:r w:rsidRPr="00292532">
              <w:rPr>
                <w:rFonts w:asciiTheme="minorHAnsi" w:eastAsia="Times New Roman" w:hAnsiTheme="minorHAnsi" w:cstheme="minorHAnsi"/>
                <w:color w:val="000000"/>
                <w:sz w:val="20"/>
                <w:szCs w:val="20"/>
                <w:lang w:val="pt-PT"/>
              </w:rPr>
              <w:t xml:space="preserve"> dos sistemas </w:t>
            </w:r>
          </w:p>
        </w:tc>
        <w:tc>
          <w:tcPr>
            <w:tcW w:w="1426" w:type="dxa"/>
            <w:hideMark/>
          </w:tcPr>
          <w:p w14:paraId="059E4BCB"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AIAS; </w:t>
            </w:r>
          </w:p>
          <w:p w14:paraId="24CE63D8"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DNAAS</w:t>
            </w:r>
          </w:p>
        </w:tc>
      </w:tr>
      <w:tr w:rsidR="000615DB" w:rsidRPr="00292532" w14:paraId="059B1EC1" w14:textId="77777777" w:rsidTr="006174BB">
        <w:trPr>
          <w:cnfStyle w:val="000000100000" w:firstRow="0" w:lastRow="0" w:firstColumn="0" w:lastColumn="0" w:oddVBand="0" w:evenVBand="0" w:oddHBand="1" w:evenHBand="0" w:firstRowFirstColumn="0" w:firstRowLastColumn="0" w:lastRowFirstColumn="0" w:lastRowLastColumn="0"/>
          <w:trHeight w:val="4030"/>
        </w:trPr>
        <w:tc>
          <w:tcPr>
            <w:cnfStyle w:val="001000000000" w:firstRow="0" w:lastRow="0" w:firstColumn="1" w:lastColumn="0" w:oddVBand="0" w:evenVBand="0" w:oddHBand="0" w:evenHBand="0" w:firstRowFirstColumn="0" w:firstRowLastColumn="0" w:lastRowFirstColumn="0" w:lastRowLastColumn="0"/>
            <w:tcW w:w="1570" w:type="dxa"/>
            <w:hideMark/>
          </w:tcPr>
          <w:p w14:paraId="4F94A26D"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Emissão de ruídos e vibrações</w:t>
            </w:r>
          </w:p>
        </w:tc>
        <w:tc>
          <w:tcPr>
            <w:tcW w:w="4095" w:type="dxa"/>
            <w:hideMark/>
          </w:tcPr>
          <w:p w14:paraId="142819ED"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 o desempenho de ruído deve ser considerado na </w:t>
            </w:r>
            <w:proofErr w:type="spellStart"/>
            <w:r w:rsidRPr="00292532">
              <w:rPr>
                <w:rFonts w:asciiTheme="minorHAnsi" w:eastAsia="Times New Roman" w:hAnsiTheme="minorHAnsi" w:cstheme="minorHAnsi"/>
                <w:color w:val="000000"/>
                <w:sz w:val="20"/>
                <w:szCs w:val="20"/>
                <w:lang w:val="pt-PT"/>
              </w:rPr>
              <w:t>selecção</w:t>
            </w:r>
            <w:proofErr w:type="spellEnd"/>
            <w:r w:rsidRPr="00292532">
              <w:rPr>
                <w:rFonts w:asciiTheme="minorHAnsi" w:eastAsia="Times New Roman" w:hAnsiTheme="minorHAnsi" w:cstheme="minorHAnsi"/>
                <w:color w:val="000000"/>
                <w:sz w:val="20"/>
                <w:szCs w:val="20"/>
                <w:lang w:val="pt-PT"/>
              </w:rPr>
              <w:t xml:space="preserve"> de equipamentos (p.e. bombas)</w:t>
            </w:r>
            <w:r w:rsidRPr="00292532">
              <w:rPr>
                <w:rFonts w:asciiTheme="minorHAnsi" w:eastAsia="Times New Roman" w:hAnsiTheme="minorHAnsi" w:cstheme="minorHAnsi"/>
                <w:color w:val="000000"/>
                <w:sz w:val="20"/>
                <w:szCs w:val="20"/>
                <w:lang w:val="pt-PT"/>
              </w:rPr>
              <w:br/>
              <w:t xml:space="preserve">• Deslocação de fontes de ruído para aumentar a distância entre a fonte e os </w:t>
            </w:r>
            <w:proofErr w:type="spellStart"/>
            <w:r w:rsidRPr="00292532">
              <w:rPr>
                <w:rFonts w:asciiTheme="minorHAnsi" w:eastAsia="Times New Roman" w:hAnsiTheme="minorHAnsi" w:cstheme="minorHAnsi"/>
                <w:color w:val="000000"/>
                <w:sz w:val="20"/>
                <w:szCs w:val="20"/>
                <w:lang w:val="pt-PT"/>
              </w:rPr>
              <w:t>receptores</w:t>
            </w:r>
            <w:proofErr w:type="spellEnd"/>
            <w:r w:rsidRPr="00292532">
              <w:rPr>
                <w:rFonts w:asciiTheme="minorHAnsi" w:eastAsia="Times New Roman" w:hAnsiTheme="minorHAnsi" w:cstheme="minorHAnsi"/>
                <w:color w:val="000000"/>
                <w:sz w:val="20"/>
                <w:szCs w:val="20"/>
                <w:lang w:val="pt-PT"/>
              </w:rPr>
              <w:t>;</w:t>
            </w:r>
            <w:r w:rsidRPr="00292532">
              <w:rPr>
                <w:rFonts w:asciiTheme="minorHAnsi" w:eastAsia="Times New Roman" w:hAnsiTheme="minorHAnsi" w:cstheme="minorHAnsi"/>
                <w:color w:val="000000"/>
                <w:sz w:val="20"/>
                <w:szCs w:val="20"/>
                <w:lang w:val="pt-PT"/>
              </w:rPr>
              <w:br/>
              <w:t>• Desligar equipamento que não estejam em uso.</w:t>
            </w:r>
            <w:r w:rsidRPr="00292532">
              <w:rPr>
                <w:rFonts w:asciiTheme="minorHAnsi" w:eastAsia="Times New Roman" w:hAnsiTheme="minorHAnsi" w:cstheme="minorHAnsi"/>
                <w:color w:val="000000"/>
                <w:sz w:val="20"/>
                <w:szCs w:val="20"/>
                <w:lang w:val="pt-PT"/>
              </w:rPr>
              <w:br/>
              <w:t xml:space="preserve">• Limitar a velocidade dos veículos; </w:t>
            </w:r>
            <w:r w:rsidRPr="00292532">
              <w:rPr>
                <w:rFonts w:asciiTheme="minorHAnsi" w:eastAsia="Times New Roman" w:hAnsiTheme="minorHAnsi" w:cstheme="minorHAnsi"/>
                <w:color w:val="000000"/>
                <w:sz w:val="20"/>
                <w:szCs w:val="20"/>
                <w:lang w:val="pt-PT"/>
              </w:rPr>
              <w:br/>
              <w:t>• Manutenção regular dos equipamentos (p.e. bombas de água) de acordo com as especificações do fabricante.</w:t>
            </w:r>
            <w:r w:rsidRPr="00292532">
              <w:rPr>
                <w:rFonts w:asciiTheme="minorHAnsi" w:eastAsia="Times New Roman" w:hAnsiTheme="minorHAnsi" w:cstheme="minorHAnsi"/>
                <w:color w:val="000000"/>
                <w:sz w:val="20"/>
                <w:szCs w:val="20"/>
                <w:lang w:val="pt-PT"/>
              </w:rPr>
              <w:br/>
              <w:t>• Fornecimento de EPI</w:t>
            </w:r>
          </w:p>
          <w:p w14:paraId="617742E8"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 Implementação de um mecanismo de queixas </w:t>
            </w:r>
          </w:p>
        </w:tc>
        <w:tc>
          <w:tcPr>
            <w:tcW w:w="2470" w:type="dxa"/>
            <w:hideMark/>
          </w:tcPr>
          <w:p w14:paraId="374EA5C2"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Fase de operação dos sistemas de abastecimento de água e saneamento</w:t>
            </w:r>
          </w:p>
        </w:tc>
        <w:tc>
          <w:tcPr>
            <w:tcW w:w="1581" w:type="dxa"/>
            <w:hideMark/>
          </w:tcPr>
          <w:p w14:paraId="5F39D765"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PGA;</w:t>
            </w:r>
            <w:r w:rsidRPr="00292532">
              <w:rPr>
                <w:rFonts w:asciiTheme="minorHAnsi" w:eastAsia="Times New Roman" w:hAnsiTheme="minorHAnsi" w:cstheme="minorHAnsi"/>
                <w:color w:val="000000"/>
                <w:sz w:val="20"/>
                <w:szCs w:val="20"/>
                <w:lang w:val="pt-PT"/>
              </w:rPr>
              <w:br/>
              <w:t>• Plano de Saúde e Segurança do Trabalhador (PSST);</w:t>
            </w:r>
            <w:r w:rsidRPr="00292532">
              <w:rPr>
                <w:rFonts w:asciiTheme="minorHAnsi" w:eastAsia="Times New Roman" w:hAnsiTheme="minorHAnsi" w:cstheme="minorHAnsi"/>
                <w:color w:val="000000"/>
                <w:sz w:val="20"/>
                <w:szCs w:val="20"/>
                <w:lang w:val="pt-PT"/>
              </w:rPr>
              <w:br/>
              <w:t xml:space="preserve">• Plano de </w:t>
            </w:r>
            <w:proofErr w:type="gramStart"/>
            <w:r w:rsidRPr="00292532">
              <w:rPr>
                <w:rFonts w:asciiTheme="minorHAnsi" w:eastAsia="Times New Roman" w:hAnsiTheme="minorHAnsi" w:cstheme="minorHAnsi"/>
                <w:color w:val="000000"/>
                <w:sz w:val="20"/>
                <w:szCs w:val="20"/>
                <w:lang w:val="pt-PT"/>
              </w:rPr>
              <w:t>saúde e segurança Comunitária</w:t>
            </w:r>
            <w:proofErr w:type="gramEnd"/>
            <w:r w:rsidRPr="00292532">
              <w:rPr>
                <w:rFonts w:asciiTheme="minorHAnsi" w:eastAsia="Times New Roman" w:hAnsiTheme="minorHAnsi" w:cstheme="minorHAnsi"/>
                <w:color w:val="000000"/>
                <w:sz w:val="20"/>
                <w:szCs w:val="20"/>
                <w:lang w:val="pt-PT"/>
              </w:rPr>
              <w:t xml:space="preserve"> (PSST);</w:t>
            </w:r>
            <w:r w:rsidRPr="00292532">
              <w:rPr>
                <w:rFonts w:asciiTheme="minorHAnsi" w:eastAsia="Times New Roman" w:hAnsiTheme="minorHAnsi" w:cstheme="minorHAnsi"/>
                <w:color w:val="000000"/>
                <w:sz w:val="20"/>
                <w:szCs w:val="20"/>
                <w:lang w:val="pt-PT"/>
              </w:rPr>
              <w:br/>
            </w:r>
            <w:proofErr w:type="spellStart"/>
            <w:r w:rsidRPr="00292532">
              <w:rPr>
                <w:rFonts w:asciiTheme="minorHAnsi" w:eastAsia="Times New Roman" w:hAnsiTheme="minorHAnsi" w:cstheme="minorHAnsi"/>
                <w:color w:val="000000"/>
                <w:sz w:val="20"/>
                <w:szCs w:val="20"/>
                <w:lang w:val="pt-PT"/>
              </w:rPr>
              <w:t>Directrizes</w:t>
            </w:r>
            <w:proofErr w:type="spellEnd"/>
            <w:r w:rsidRPr="00292532">
              <w:rPr>
                <w:rFonts w:asciiTheme="minorHAnsi" w:eastAsia="Times New Roman" w:hAnsiTheme="minorHAnsi" w:cstheme="minorHAnsi"/>
                <w:color w:val="000000"/>
                <w:sz w:val="20"/>
                <w:szCs w:val="20"/>
                <w:lang w:val="pt-PT"/>
              </w:rPr>
              <w:t xml:space="preserve"> de Gestão do Tráfego Rodoviário;</w:t>
            </w:r>
          </w:p>
        </w:tc>
        <w:tc>
          <w:tcPr>
            <w:tcW w:w="3071" w:type="dxa"/>
            <w:hideMark/>
          </w:tcPr>
          <w:p w14:paraId="49092850"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Entidade responsável pela operação dos sistemas</w:t>
            </w:r>
          </w:p>
        </w:tc>
        <w:tc>
          <w:tcPr>
            <w:tcW w:w="1426" w:type="dxa"/>
            <w:hideMark/>
          </w:tcPr>
          <w:p w14:paraId="7F5C711B"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AIAS; </w:t>
            </w:r>
          </w:p>
          <w:p w14:paraId="186C162B"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DNAAS</w:t>
            </w:r>
            <w:r w:rsidRPr="00292532" w:rsidDel="00E415CD">
              <w:rPr>
                <w:rFonts w:asciiTheme="minorHAnsi" w:eastAsia="Times New Roman" w:hAnsiTheme="minorHAnsi" w:cstheme="minorHAnsi"/>
                <w:color w:val="000000"/>
                <w:sz w:val="20"/>
                <w:szCs w:val="20"/>
                <w:lang w:val="pt-PT"/>
              </w:rPr>
              <w:t xml:space="preserve"> </w:t>
            </w:r>
          </w:p>
        </w:tc>
      </w:tr>
      <w:tr w:rsidR="000615DB" w:rsidRPr="00292532" w14:paraId="206BDDD1" w14:textId="77777777" w:rsidTr="006174BB">
        <w:trPr>
          <w:trHeight w:val="6500"/>
        </w:trPr>
        <w:tc>
          <w:tcPr>
            <w:cnfStyle w:val="001000000000" w:firstRow="0" w:lastRow="0" w:firstColumn="1" w:lastColumn="0" w:oddVBand="0" w:evenVBand="0" w:oddHBand="0" w:evenHBand="0" w:firstRowFirstColumn="0" w:firstRowLastColumn="0" w:lastRowFirstColumn="0" w:lastRowLastColumn="0"/>
            <w:tcW w:w="1570" w:type="dxa"/>
            <w:hideMark/>
          </w:tcPr>
          <w:p w14:paraId="2AF78F42"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 xml:space="preserve">Remoção, degradação e contaminação dos solos </w:t>
            </w:r>
          </w:p>
        </w:tc>
        <w:tc>
          <w:tcPr>
            <w:tcW w:w="4095" w:type="dxa"/>
            <w:hideMark/>
          </w:tcPr>
          <w:p w14:paraId="763F92D7" w14:textId="77777777" w:rsidR="000615DB" w:rsidRPr="00292532" w:rsidRDefault="000615DB" w:rsidP="006174BB">
            <w:pPr>
              <w:spacing w:before="0" w:after="24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pt-PT"/>
              </w:rPr>
            </w:pPr>
            <w:r w:rsidRPr="00292532">
              <w:rPr>
                <w:rFonts w:asciiTheme="minorHAnsi" w:eastAsia="Times New Roman" w:hAnsiTheme="minorHAnsi" w:cstheme="minorHAnsi"/>
                <w:color w:val="000000"/>
                <w:sz w:val="20"/>
                <w:szCs w:val="20"/>
                <w:lang w:val="pt-PT"/>
              </w:rPr>
              <w:br/>
              <w:t xml:space="preserve">• Prevenir, minimizar e/ou controlar a erosão do solo e a sedimentação devido às </w:t>
            </w:r>
            <w:proofErr w:type="spellStart"/>
            <w:r w:rsidRPr="00292532">
              <w:rPr>
                <w:rFonts w:asciiTheme="minorHAnsi" w:eastAsia="Times New Roman" w:hAnsiTheme="minorHAnsi" w:cstheme="minorHAnsi"/>
                <w:color w:val="000000"/>
                <w:sz w:val="20"/>
                <w:szCs w:val="20"/>
                <w:lang w:val="pt-PT"/>
              </w:rPr>
              <w:t>actividades</w:t>
            </w:r>
            <w:proofErr w:type="spellEnd"/>
            <w:r w:rsidRPr="00292532">
              <w:rPr>
                <w:rFonts w:asciiTheme="minorHAnsi" w:eastAsia="Times New Roman" w:hAnsiTheme="minorHAnsi" w:cstheme="minorHAnsi"/>
                <w:color w:val="000000"/>
                <w:sz w:val="20"/>
                <w:szCs w:val="20"/>
                <w:lang w:val="pt-PT"/>
              </w:rPr>
              <w:t xml:space="preserve"> de escavação, à exposição prolongada do solo devido ao tempo necessário para executar as </w:t>
            </w:r>
            <w:proofErr w:type="spellStart"/>
            <w:r w:rsidRPr="00292532">
              <w:rPr>
                <w:rFonts w:asciiTheme="minorHAnsi" w:eastAsia="Times New Roman" w:hAnsiTheme="minorHAnsi" w:cstheme="minorHAnsi"/>
                <w:color w:val="000000"/>
                <w:sz w:val="20"/>
                <w:szCs w:val="20"/>
                <w:lang w:val="pt-PT"/>
              </w:rPr>
              <w:t>actividades</w:t>
            </w:r>
            <w:proofErr w:type="spellEnd"/>
            <w:r w:rsidRPr="00292532">
              <w:rPr>
                <w:rFonts w:asciiTheme="minorHAnsi" w:eastAsia="Times New Roman" w:hAnsiTheme="minorHAnsi" w:cstheme="minorHAnsi"/>
                <w:color w:val="000000"/>
                <w:sz w:val="20"/>
                <w:szCs w:val="20"/>
                <w:lang w:val="pt-PT"/>
              </w:rPr>
              <w:t xml:space="preserve"> de manutenção nas adutoras e condutas  </w:t>
            </w:r>
            <w:r w:rsidRPr="00292532">
              <w:rPr>
                <w:rFonts w:asciiTheme="minorHAnsi" w:eastAsia="Times New Roman" w:hAnsiTheme="minorHAnsi" w:cstheme="minorHAnsi"/>
                <w:color w:val="000000"/>
                <w:sz w:val="20"/>
                <w:szCs w:val="20"/>
                <w:lang w:val="pt-PT"/>
              </w:rPr>
              <w:br/>
              <w:t xml:space="preserve">• Assegurar a manutenção dos sistemas de drenagem instalados no âmbito do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xml:space="preserve">  </w:t>
            </w:r>
            <w:r w:rsidRPr="00292532">
              <w:rPr>
                <w:rFonts w:asciiTheme="minorHAnsi" w:eastAsia="Times New Roman" w:hAnsiTheme="minorHAnsi" w:cstheme="minorHAnsi"/>
                <w:color w:val="000000"/>
                <w:sz w:val="20"/>
                <w:szCs w:val="20"/>
                <w:lang w:val="pt-PT"/>
              </w:rPr>
              <w:br/>
              <w:t xml:space="preserve">• </w:t>
            </w:r>
            <w:proofErr w:type="spellStart"/>
            <w:r w:rsidRPr="00292532">
              <w:rPr>
                <w:rFonts w:asciiTheme="minorHAnsi" w:eastAsia="Times New Roman" w:hAnsiTheme="minorHAnsi" w:cstheme="minorHAnsi"/>
                <w:color w:val="000000"/>
                <w:sz w:val="20"/>
                <w:szCs w:val="20"/>
                <w:lang w:val="pt-PT"/>
              </w:rPr>
              <w:t>Adopção</w:t>
            </w:r>
            <w:proofErr w:type="spellEnd"/>
            <w:r w:rsidRPr="00292532">
              <w:rPr>
                <w:rFonts w:asciiTheme="minorHAnsi" w:eastAsia="Times New Roman" w:hAnsiTheme="minorHAnsi" w:cstheme="minorHAnsi"/>
                <w:color w:val="000000"/>
                <w:sz w:val="20"/>
                <w:szCs w:val="20"/>
                <w:lang w:val="pt-PT"/>
              </w:rPr>
              <w:t xml:space="preserve"> de reabilitação progressiva.</w:t>
            </w:r>
          </w:p>
        </w:tc>
        <w:tc>
          <w:tcPr>
            <w:tcW w:w="2470" w:type="dxa"/>
            <w:hideMark/>
          </w:tcPr>
          <w:p w14:paraId="7FF14753"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manutenção dos sistemas de drenagem e de abastecimento de </w:t>
            </w:r>
            <w:proofErr w:type="gramStart"/>
            <w:r w:rsidRPr="00292532">
              <w:rPr>
                <w:rFonts w:asciiTheme="minorHAnsi" w:eastAsia="Times New Roman" w:hAnsiTheme="minorHAnsi" w:cstheme="minorHAnsi"/>
                <w:color w:val="000000"/>
                <w:sz w:val="20"/>
                <w:szCs w:val="20"/>
                <w:lang w:val="pt-PT"/>
              </w:rPr>
              <w:t>água ;</w:t>
            </w:r>
            <w:proofErr w:type="gramEnd"/>
            <w:r w:rsidRPr="00292532">
              <w:rPr>
                <w:rFonts w:asciiTheme="minorHAnsi" w:eastAsia="Times New Roman" w:hAnsiTheme="minorHAnsi" w:cstheme="minorHAnsi"/>
                <w:color w:val="000000"/>
                <w:sz w:val="20"/>
                <w:szCs w:val="20"/>
                <w:lang w:val="pt-PT"/>
              </w:rPr>
              <w:t xml:space="preserve"> transporte de materiais;</w:t>
            </w:r>
          </w:p>
        </w:tc>
        <w:tc>
          <w:tcPr>
            <w:tcW w:w="1581" w:type="dxa"/>
            <w:hideMark/>
          </w:tcPr>
          <w:p w14:paraId="664A39DB"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PGA; </w:t>
            </w:r>
            <w:r w:rsidRPr="00292532">
              <w:rPr>
                <w:rFonts w:asciiTheme="minorHAnsi" w:eastAsia="Times New Roman" w:hAnsiTheme="minorHAnsi" w:cstheme="minorHAnsi"/>
                <w:color w:val="000000"/>
                <w:sz w:val="20"/>
                <w:szCs w:val="20"/>
                <w:lang w:val="pt-PT"/>
              </w:rPr>
              <w:br/>
              <w:t>Plano de Gestão e Prevenção da Poluição;</w:t>
            </w:r>
          </w:p>
        </w:tc>
        <w:tc>
          <w:tcPr>
            <w:tcW w:w="3071" w:type="dxa"/>
            <w:hideMark/>
          </w:tcPr>
          <w:p w14:paraId="489A6664"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Entidade responsável pela operação dos sistemas</w:t>
            </w:r>
          </w:p>
        </w:tc>
        <w:tc>
          <w:tcPr>
            <w:tcW w:w="1426" w:type="dxa"/>
            <w:hideMark/>
          </w:tcPr>
          <w:p w14:paraId="6656F061"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AIAS;</w:t>
            </w:r>
          </w:p>
          <w:p w14:paraId="3050A237"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DNAAS</w:t>
            </w:r>
          </w:p>
        </w:tc>
      </w:tr>
      <w:tr w:rsidR="000615DB" w:rsidRPr="00292532" w14:paraId="03B634D9" w14:textId="77777777" w:rsidTr="006174BB">
        <w:trPr>
          <w:cnfStyle w:val="000000100000" w:firstRow="0" w:lastRow="0" w:firstColumn="0" w:lastColumn="0" w:oddVBand="0" w:evenVBand="0" w:oddHBand="1" w:evenHBand="0" w:firstRowFirstColumn="0" w:firstRowLastColumn="0" w:lastRowFirstColumn="0" w:lastRowLastColumn="0"/>
          <w:trHeight w:val="1801"/>
        </w:trPr>
        <w:tc>
          <w:tcPr>
            <w:cnfStyle w:val="001000000000" w:firstRow="0" w:lastRow="0" w:firstColumn="1" w:lastColumn="0" w:oddVBand="0" w:evenVBand="0" w:oddHBand="0" w:evenHBand="0" w:firstRowFirstColumn="0" w:firstRowLastColumn="0" w:lastRowFirstColumn="0" w:lastRowLastColumn="0"/>
            <w:tcW w:w="1570" w:type="dxa"/>
            <w:hideMark/>
          </w:tcPr>
          <w:p w14:paraId="6529597D"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Alteração da qualidade das águas subterrâneas e superficiais devido a carga acrescida de sedimentos (resultante de erosão e Poeiras)</w:t>
            </w:r>
          </w:p>
        </w:tc>
        <w:tc>
          <w:tcPr>
            <w:tcW w:w="4095" w:type="dxa"/>
            <w:hideMark/>
          </w:tcPr>
          <w:p w14:paraId="7E5B03F2"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 Manutenção adequadas dos canais de drenagem e </w:t>
            </w:r>
            <w:proofErr w:type="spellStart"/>
            <w:r w:rsidRPr="00292532">
              <w:rPr>
                <w:rFonts w:asciiTheme="minorHAnsi" w:eastAsia="Times New Roman" w:hAnsiTheme="minorHAnsi" w:cstheme="minorHAnsi"/>
                <w:color w:val="000000"/>
                <w:sz w:val="20"/>
                <w:szCs w:val="20"/>
                <w:lang w:val="pt-PT"/>
              </w:rPr>
              <w:t>colectores</w:t>
            </w:r>
            <w:proofErr w:type="spellEnd"/>
            <w:r w:rsidRPr="00292532">
              <w:rPr>
                <w:rFonts w:asciiTheme="minorHAnsi" w:eastAsia="Times New Roman" w:hAnsiTheme="minorHAnsi" w:cstheme="minorHAnsi"/>
                <w:color w:val="000000"/>
                <w:sz w:val="20"/>
                <w:szCs w:val="20"/>
                <w:lang w:val="pt-PT"/>
              </w:rPr>
              <w:t xml:space="preserve"> de areia/sedimentos instalados pelo </w:t>
            </w:r>
            <w:proofErr w:type="spellStart"/>
            <w:r w:rsidRPr="00292532">
              <w:rPr>
                <w:rFonts w:asciiTheme="minorHAnsi" w:eastAsia="Times New Roman" w:hAnsiTheme="minorHAnsi" w:cstheme="minorHAnsi"/>
                <w:color w:val="000000"/>
                <w:sz w:val="20"/>
                <w:szCs w:val="20"/>
                <w:lang w:val="pt-PT"/>
              </w:rPr>
              <w:t>Projecto</w:t>
            </w:r>
            <w:proofErr w:type="spellEnd"/>
          </w:p>
        </w:tc>
        <w:tc>
          <w:tcPr>
            <w:tcW w:w="2470" w:type="dxa"/>
            <w:hideMark/>
          </w:tcPr>
          <w:p w14:paraId="04B35E91"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manutenção dos canais de drenagem e escavações para a manutenção das adutoras e condutas</w:t>
            </w:r>
          </w:p>
        </w:tc>
        <w:tc>
          <w:tcPr>
            <w:tcW w:w="1581" w:type="dxa"/>
            <w:hideMark/>
          </w:tcPr>
          <w:p w14:paraId="703F99B2"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PGA; Plano de Gestão e Prevenção da Poluição;</w:t>
            </w:r>
          </w:p>
        </w:tc>
        <w:tc>
          <w:tcPr>
            <w:tcW w:w="3071" w:type="dxa"/>
            <w:hideMark/>
          </w:tcPr>
          <w:p w14:paraId="52F82445"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Entidade responsável pela operação dos sistemas</w:t>
            </w:r>
          </w:p>
        </w:tc>
        <w:tc>
          <w:tcPr>
            <w:tcW w:w="1426" w:type="dxa"/>
            <w:hideMark/>
          </w:tcPr>
          <w:p w14:paraId="14944668"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DNAAS; </w:t>
            </w:r>
          </w:p>
          <w:p w14:paraId="175DC75F"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AIAS;</w:t>
            </w:r>
          </w:p>
        </w:tc>
      </w:tr>
      <w:tr w:rsidR="000615DB" w:rsidRPr="00292532" w14:paraId="4FA30C9B" w14:textId="77777777" w:rsidTr="006174BB">
        <w:trPr>
          <w:trHeight w:val="4300"/>
        </w:trPr>
        <w:tc>
          <w:tcPr>
            <w:cnfStyle w:val="001000000000" w:firstRow="0" w:lastRow="0" w:firstColumn="1" w:lastColumn="0" w:oddVBand="0" w:evenVBand="0" w:oddHBand="0" w:evenHBand="0" w:firstRowFirstColumn="0" w:firstRowLastColumn="0" w:lastRowFirstColumn="0" w:lastRowLastColumn="0"/>
            <w:tcW w:w="1570" w:type="dxa"/>
            <w:hideMark/>
          </w:tcPr>
          <w:p w14:paraId="00161831"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Poluição dos solos, das águas superficiais e subterrâneas devido a derrames de combustíveis e químicos </w:t>
            </w:r>
          </w:p>
        </w:tc>
        <w:tc>
          <w:tcPr>
            <w:tcW w:w="4095" w:type="dxa"/>
            <w:hideMark/>
          </w:tcPr>
          <w:p w14:paraId="6AAABB7B"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Os combustíveis e outros químicos perigosos devem ser armazenados de acordo com as boas práticas da indústria e em áreas designadas e devidamente identificadas com sinais. Nestas áreas devem ser disponibilizados inventários dos químicos e combustíveis e Fichas de Dados de Segurança dos Materiais.</w:t>
            </w:r>
            <w:r w:rsidRPr="00292532">
              <w:rPr>
                <w:rFonts w:asciiTheme="minorHAnsi" w:eastAsia="Times New Roman" w:hAnsiTheme="minorHAnsi" w:cstheme="minorHAnsi"/>
                <w:color w:val="000000"/>
                <w:sz w:val="20"/>
                <w:szCs w:val="20"/>
                <w:lang w:val="pt-PT"/>
              </w:rPr>
              <w:br/>
              <w:t xml:space="preserve">• Os veículos, tanques e equipamento devem ser sujeitos à manutenções regulares </w:t>
            </w:r>
            <w:r w:rsidRPr="00292532">
              <w:rPr>
                <w:rFonts w:asciiTheme="minorHAnsi" w:eastAsia="Times New Roman" w:hAnsiTheme="minorHAnsi" w:cstheme="minorHAnsi"/>
                <w:color w:val="000000"/>
                <w:sz w:val="20"/>
                <w:szCs w:val="20"/>
                <w:lang w:val="pt-PT"/>
              </w:rPr>
              <w:br/>
              <w:t xml:space="preserve">• Os derrames acidentais para o solo devem ser solucionados de imediato </w:t>
            </w:r>
            <w:r w:rsidRPr="00292532">
              <w:rPr>
                <w:rFonts w:asciiTheme="minorHAnsi" w:eastAsia="Times New Roman" w:hAnsiTheme="minorHAnsi" w:cstheme="minorHAnsi"/>
                <w:color w:val="000000"/>
                <w:sz w:val="20"/>
                <w:szCs w:val="20"/>
                <w:lang w:val="pt-PT"/>
              </w:rPr>
              <w:br/>
              <w:t>• Assegurar que o manuseamento, armazenamento e transporte de substâncias perigosas é feito cumprindo as normas vigentes para a gestão de substâncias perigosas</w:t>
            </w:r>
            <w:r w:rsidRPr="00292532">
              <w:rPr>
                <w:rFonts w:asciiTheme="minorHAnsi" w:eastAsia="Times New Roman" w:hAnsiTheme="minorHAnsi" w:cstheme="minorHAnsi"/>
                <w:color w:val="000000"/>
                <w:sz w:val="20"/>
                <w:szCs w:val="20"/>
                <w:lang w:val="pt-PT"/>
              </w:rPr>
              <w:br/>
              <w:t>• A manutenção regular de viaturas não deve ser feita nas zonas de operação, mas sim, na oficina</w:t>
            </w:r>
          </w:p>
        </w:tc>
        <w:tc>
          <w:tcPr>
            <w:tcW w:w="2470" w:type="dxa"/>
            <w:hideMark/>
          </w:tcPr>
          <w:p w14:paraId="32E759EB"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Fase de operação (manuseamento de químicos) </w:t>
            </w:r>
          </w:p>
          <w:p w14:paraId="707153A0"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p>
        </w:tc>
        <w:tc>
          <w:tcPr>
            <w:tcW w:w="1581" w:type="dxa"/>
            <w:hideMark/>
          </w:tcPr>
          <w:p w14:paraId="46A2175D"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Plano de Gestão de Resíduos;</w:t>
            </w:r>
            <w:r w:rsidRPr="00292532">
              <w:rPr>
                <w:rFonts w:asciiTheme="minorHAnsi" w:eastAsia="Times New Roman" w:hAnsiTheme="minorHAnsi" w:cstheme="minorHAnsi"/>
                <w:color w:val="000000"/>
                <w:sz w:val="20"/>
                <w:szCs w:val="20"/>
                <w:lang w:val="pt-PT"/>
              </w:rPr>
              <w:br/>
              <w:t xml:space="preserve">PGA; </w:t>
            </w:r>
            <w:r w:rsidRPr="00292532">
              <w:rPr>
                <w:rFonts w:asciiTheme="minorHAnsi" w:eastAsia="Times New Roman" w:hAnsiTheme="minorHAnsi" w:cstheme="minorHAnsi"/>
                <w:color w:val="000000"/>
                <w:sz w:val="20"/>
                <w:szCs w:val="20"/>
                <w:lang w:val="pt-PT"/>
              </w:rPr>
              <w:br/>
              <w:t xml:space="preserve">Plano de Gestão e Prevenção da Poluição; </w:t>
            </w:r>
            <w:r w:rsidRPr="00292532">
              <w:rPr>
                <w:rFonts w:asciiTheme="minorHAnsi" w:eastAsia="Times New Roman" w:hAnsiTheme="minorHAnsi" w:cstheme="minorHAnsi"/>
                <w:color w:val="000000"/>
                <w:sz w:val="20"/>
                <w:szCs w:val="20"/>
                <w:lang w:val="pt-PT"/>
              </w:rPr>
              <w:br/>
              <w:t xml:space="preserve">Procedimentos de Resposta à Emergências e Contenção de Derrames </w:t>
            </w:r>
          </w:p>
        </w:tc>
        <w:tc>
          <w:tcPr>
            <w:tcW w:w="3071" w:type="dxa"/>
            <w:hideMark/>
          </w:tcPr>
          <w:p w14:paraId="53671689"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Entidade responsável pela operação dos sistemas</w:t>
            </w:r>
          </w:p>
        </w:tc>
        <w:tc>
          <w:tcPr>
            <w:tcW w:w="1426" w:type="dxa"/>
            <w:hideMark/>
          </w:tcPr>
          <w:p w14:paraId="34D8781C"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DNAAS; </w:t>
            </w:r>
          </w:p>
          <w:p w14:paraId="6F84AB0D"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AIAS;</w:t>
            </w:r>
          </w:p>
        </w:tc>
      </w:tr>
      <w:tr w:rsidR="000615DB" w:rsidRPr="00292532" w14:paraId="330BCC87" w14:textId="77777777" w:rsidTr="006174BB">
        <w:trPr>
          <w:cnfStyle w:val="000000100000" w:firstRow="0" w:lastRow="0" w:firstColumn="0" w:lastColumn="0" w:oddVBand="0" w:evenVBand="0" w:oddHBand="1" w:evenHBand="0" w:firstRowFirstColumn="0" w:firstRowLastColumn="0" w:lastRowFirstColumn="0" w:lastRowLastColumn="0"/>
          <w:trHeight w:val="5330"/>
        </w:trPr>
        <w:tc>
          <w:tcPr>
            <w:cnfStyle w:val="001000000000" w:firstRow="0" w:lastRow="0" w:firstColumn="1" w:lastColumn="0" w:oddVBand="0" w:evenVBand="0" w:oddHBand="0" w:evenHBand="0" w:firstRowFirstColumn="0" w:firstRowLastColumn="0" w:lastRowFirstColumn="0" w:lastRowLastColumn="0"/>
            <w:tcW w:w="1570" w:type="dxa"/>
          </w:tcPr>
          <w:p w14:paraId="3D276BF4"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 xml:space="preserve">Gestão de efluentes e resíduos na fase de operação dos sistemas </w:t>
            </w:r>
          </w:p>
        </w:tc>
        <w:tc>
          <w:tcPr>
            <w:tcW w:w="4095" w:type="dxa"/>
          </w:tcPr>
          <w:p w14:paraId="2C653AB8" w14:textId="77777777" w:rsidR="000615DB" w:rsidRPr="00292532" w:rsidRDefault="000615DB" w:rsidP="006174BB">
            <w:pPr>
              <w:pStyle w:val="ListParagraph"/>
              <w:numPr>
                <w:ilvl w:val="0"/>
                <w:numId w:val="79"/>
              </w:numPr>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Implementação de um Manual de Operação das estações de tratamento de águas residuais </w:t>
            </w:r>
          </w:p>
          <w:p w14:paraId="428A7ED5" w14:textId="77777777" w:rsidR="000615DB" w:rsidRPr="00292532" w:rsidRDefault="000615DB" w:rsidP="006174BB">
            <w:pPr>
              <w:pStyle w:val="ListParagraph"/>
              <w:numPr>
                <w:ilvl w:val="0"/>
                <w:numId w:val="79"/>
              </w:numPr>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Manutenção e limpeza dos canais de drenagem de águas pluviais</w:t>
            </w:r>
          </w:p>
          <w:p w14:paraId="563090FD" w14:textId="77777777" w:rsidR="000615DB" w:rsidRPr="00292532" w:rsidRDefault="000615DB" w:rsidP="006174BB">
            <w:pPr>
              <w:pStyle w:val="ListParagraph"/>
              <w:numPr>
                <w:ilvl w:val="0"/>
                <w:numId w:val="79"/>
              </w:numPr>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Monitorização da qualidade das águas residuais antes da descarga das águas tratadas</w:t>
            </w:r>
          </w:p>
          <w:p w14:paraId="20370B0F" w14:textId="77777777" w:rsidR="000615DB" w:rsidRPr="00292532" w:rsidRDefault="000615DB" w:rsidP="006174BB">
            <w:pPr>
              <w:pStyle w:val="ListParagraph"/>
              <w:numPr>
                <w:ilvl w:val="0"/>
                <w:numId w:val="79"/>
              </w:numPr>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Implementação de um procedimento ou plano de gestão de resíduos produzidos nas instalações de abastecimento de água e saneamento</w:t>
            </w:r>
          </w:p>
          <w:p w14:paraId="7AB00D6C"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
        </w:tc>
        <w:tc>
          <w:tcPr>
            <w:tcW w:w="2470" w:type="dxa"/>
          </w:tcPr>
          <w:p w14:paraId="4EFFD34E"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Operação e manutenção dos sistemas de abastecimento de água e de saneamento </w:t>
            </w:r>
          </w:p>
        </w:tc>
        <w:tc>
          <w:tcPr>
            <w:tcW w:w="1581" w:type="dxa"/>
          </w:tcPr>
          <w:p w14:paraId="475A46E7"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Manuais de operações; </w:t>
            </w:r>
          </w:p>
          <w:p w14:paraId="6D5EF783"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PGAS; </w:t>
            </w:r>
          </w:p>
          <w:p w14:paraId="6F4A567F"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Programas de monitorização</w:t>
            </w:r>
          </w:p>
        </w:tc>
        <w:tc>
          <w:tcPr>
            <w:tcW w:w="3071" w:type="dxa"/>
          </w:tcPr>
          <w:p w14:paraId="11E5345C"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Entidade responsável pela operação do sistema</w:t>
            </w:r>
          </w:p>
        </w:tc>
        <w:tc>
          <w:tcPr>
            <w:tcW w:w="1426" w:type="dxa"/>
          </w:tcPr>
          <w:p w14:paraId="21166865"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DNAAS;</w:t>
            </w:r>
          </w:p>
          <w:p w14:paraId="73AF9C4B"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AIAS</w:t>
            </w:r>
          </w:p>
        </w:tc>
      </w:tr>
      <w:tr w:rsidR="000615DB" w:rsidRPr="00292532" w14:paraId="3A79CCC9" w14:textId="77777777" w:rsidTr="006174BB">
        <w:trPr>
          <w:trHeight w:val="2080"/>
        </w:trPr>
        <w:tc>
          <w:tcPr>
            <w:cnfStyle w:val="001000000000" w:firstRow="0" w:lastRow="0" w:firstColumn="1" w:lastColumn="0" w:oddVBand="0" w:evenVBand="0" w:oddHBand="0" w:evenHBand="0" w:firstRowFirstColumn="0" w:firstRowLastColumn="0" w:lastRowFirstColumn="0" w:lastRowLastColumn="0"/>
            <w:tcW w:w="1570" w:type="dxa"/>
            <w:hideMark/>
          </w:tcPr>
          <w:p w14:paraId="66B22471"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Aumento do volume do tráfego e acidentes rodoviários  </w:t>
            </w:r>
          </w:p>
        </w:tc>
        <w:tc>
          <w:tcPr>
            <w:tcW w:w="4095" w:type="dxa"/>
            <w:hideMark/>
          </w:tcPr>
          <w:p w14:paraId="5B2CF53D"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 Todos os veículos usados nas </w:t>
            </w:r>
            <w:proofErr w:type="spellStart"/>
            <w:r w:rsidRPr="00292532">
              <w:rPr>
                <w:rFonts w:asciiTheme="minorHAnsi" w:eastAsia="Times New Roman" w:hAnsiTheme="minorHAnsi" w:cstheme="minorHAnsi"/>
                <w:color w:val="000000"/>
                <w:sz w:val="20"/>
                <w:szCs w:val="20"/>
                <w:lang w:val="pt-PT"/>
              </w:rPr>
              <w:t>actividades</w:t>
            </w:r>
            <w:proofErr w:type="spellEnd"/>
            <w:r w:rsidRPr="00292532">
              <w:rPr>
                <w:rFonts w:asciiTheme="minorHAnsi" w:eastAsia="Times New Roman" w:hAnsiTheme="minorHAnsi" w:cstheme="minorHAnsi"/>
                <w:color w:val="000000"/>
                <w:sz w:val="20"/>
                <w:szCs w:val="20"/>
                <w:lang w:val="pt-PT"/>
              </w:rPr>
              <w:t xml:space="preserve"> do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xml:space="preserve"> devem estar sujeitos a uma manutenção adequada para reduzir a geração de emissões e fumos</w:t>
            </w:r>
            <w:r w:rsidRPr="00292532">
              <w:rPr>
                <w:rFonts w:asciiTheme="minorHAnsi" w:eastAsia="Times New Roman" w:hAnsiTheme="minorHAnsi" w:cstheme="minorHAnsi"/>
                <w:color w:val="000000"/>
                <w:sz w:val="20"/>
                <w:szCs w:val="20"/>
                <w:lang w:val="pt-PT"/>
              </w:rPr>
              <w:br/>
              <w:t>• Implementação de restrições de velocidade</w:t>
            </w:r>
            <w:r w:rsidRPr="00292532">
              <w:rPr>
                <w:rFonts w:asciiTheme="minorHAnsi" w:eastAsia="Times New Roman" w:hAnsiTheme="minorHAnsi" w:cstheme="minorHAnsi"/>
                <w:color w:val="000000"/>
                <w:sz w:val="20"/>
                <w:szCs w:val="20"/>
                <w:lang w:val="pt-PT"/>
              </w:rPr>
              <w:br/>
              <w:t xml:space="preserve">• Campanhas de consciencialização aos motoristas das contratadas e do </w:t>
            </w:r>
            <w:proofErr w:type="spellStart"/>
            <w:r w:rsidRPr="00292532">
              <w:rPr>
                <w:rFonts w:asciiTheme="minorHAnsi" w:eastAsia="Times New Roman" w:hAnsiTheme="minorHAnsi" w:cstheme="minorHAnsi"/>
                <w:color w:val="000000"/>
                <w:sz w:val="20"/>
                <w:szCs w:val="20"/>
                <w:lang w:val="pt-PT"/>
              </w:rPr>
              <w:t>Projecto</w:t>
            </w:r>
            <w:proofErr w:type="spellEnd"/>
            <w:r w:rsidRPr="00292532">
              <w:rPr>
                <w:rFonts w:asciiTheme="minorHAnsi" w:eastAsia="Times New Roman" w:hAnsiTheme="minorHAnsi" w:cstheme="minorHAnsi"/>
                <w:color w:val="000000"/>
                <w:sz w:val="20"/>
                <w:szCs w:val="20"/>
                <w:lang w:val="pt-PT"/>
              </w:rPr>
              <w:t xml:space="preserve"> sobre condução defensiva e prevenção de acidentes </w:t>
            </w:r>
          </w:p>
        </w:tc>
        <w:tc>
          <w:tcPr>
            <w:tcW w:w="2470" w:type="dxa"/>
            <w:hideMark/>
          </w:tcPr>
          <w:p w14:paraId="66C91E78"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Fase operação</w:t>
            </w:r>
          </w:p>
        </w:tc>
        <w:tc>
          <w:tcPr>
            <w:tcW w:w="1581" w:type="dxa"/>
            <w:hideMark/>
          </w:tcPr>
          <w:p w14:paraId="4CA2BE5B"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PGA; </w:t>
            </w:r>
            <w:proofErr w:type="spellStart"/>
            <w:r w:rsidRPr="00292532">
              <w:rPr>
                <w:rFonts w:asciiTheme="minorHAnsi" w:eastAsia="Times New Roman" w:hAnsiTheme="minorHAnsi" w:cstheme="minorHAnsi"/>
                <w:color w:val="000000"/>
                <w:sz w:val="20"/>
                <w:szCs w:val="20"/>
                <w:lang w:val="pt-PT"/>
              </w:rPr>
              <w:t>Directrizes</w:t>
            </w:r>
            <w:proofErr w:type="spellEnd"/>
            <w:r w:rsidRPr="00292532">
              <w:rPr>
                <w:rFonts w:asciiTheme="minorHAnsi" w:eastAsia="Times New Roman" w:hAnsiTheme="minorHAnsi" w:cstheme="minorHAnsi"/>
                <w:color w:val="000000"/>
                <w:sz w:val="20"/>
                <w:szCs w:val="20"/>
                <w:lang w:val="pt-PT"/>
              </w:rPr>
              <w:t xml:space="preserve"> de Gestão do Tráfego Rodoviário</w:t>
            </w:r>
          </w:p>
        </w:tc>
        <w:tc>
          <w:tcPr>
            <w:tcW w:w="3071" w:type="dxa"/>
            <w:hideMark/>
          </w:tcPr>
          <w:p w14:paraId="1A6D7DF4"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Entidade responsável pela operação dos sistemas</w:t>
            </w:r>
          </w:p>
        </w:tc>
        <w:tc>
          <w:tcPr>
            <w:tcW w:w="1426" w:type="dxa"/>
            <w:hideMark/>
          </w:tcPr>
          <w:p w14:paraId="7585CBC2"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DNAAS;</w:t>
            </w:r>
          </w:p>
          <w:p w14:paraId="28E6D4AE" w14:textId="77777777" w:rsidR="000615DB" w:rsidRPr="00292532" w:rsidRDefault="000615DB" w:rsidP="006174BB">
            <w:pPr>
              <w:spacing w:before="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AIAS;</w:t>
            </w:r>
          </w:p>
        </w:tc>
      </w:tr>
      <w:tr w:rsidR="000615DB" w:rsidRPr="00292532" w14:paraId="3167225C" w14:textId="77777777" w:rsidTr="006174BB">
        <w:trPr>
          <w:cnfStyle w:val="000000100000" w:firstRow="0" w:lastRow="0" w:firstColumn="0" w:lastColumn="0" w:oddVBand="0" w:evenVBand="0" w:oddHBand="1" w:evenHBand="0" w:firstRowFirstColumn="0" w:firstRowLastColumn="0" w:lastRowFirstColumn="0" w:lastRowLastColumn="0"/>
          <w:trHeight w:val="865"/>
        </w:trPr>
        <w:tc>
          <w:tcPr>
            <w:cnfStyle w:val="001000000000" w:firstRow="0" w:lastRow="0" w:firstColumn="1" w:lastColumn="0" w:oddVBand="0" w:evenVBand="0" w:oddHBand="0" w:evenHBand="0" w:firstRowFirstColumn="0" w:firstRowLastColumn="0" w:lastRowFirstColumn="0" w:lastRowLastColumn="0"/>
            <w:tcW w:w="1570" w:type="dxa"/>
            <w:hideMark/>
          </w:tcPr>
          <w:p w14:paraId="6DB20FFC" w14:textId="77777777" w:rsidR="000615DB" w:rsidRPr="00292532" w:rsidRDefault="000615DB" w:rsidP="006174BB">
            <w:pPr>
              <w:spacing w:before="0"/>
              <w:jc w:val="left"/>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lastRenderedPageBreak/>
              <w:t xml:space="preserve">Gestão dos recursos hídricos </w:t>
            </w:r>
          </w:p>
        </w:tc>
        <w:tc>
          <w:tcPr>
            <w:tcW w:w="4095" w:type="dxa"/>
            <w:hideMark/>
          </w:tcPr>
          <w:p w14:paraId="631C3600"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Desenvolvimento de um balanço hídrico detalhado que pode ser usado para tomar decisões apropriadas de gestão da águas</w:t>
            </w:r>
            <w:r w:rsidRPr="00292532">
              <w:rPr>
                <w:rFonts w:asciiTheme="minorHAnsi" w:eastAsia="Times New Roman" w:hAnsiTheme="minorHAnsi" w:cstheme="minorHAnsi"/>
                <w:color w:val="000000"/>
                <w:sz w:val="20"/>
                <w:szCs w:val="20"/>
                <w:lang w:val="pt-PT"/>
              </w:rPr>
              <w:br/>
              <w:t>• Avaliar as taxas medias e mínimas dos caudais dos rios.</w:t>
            </w:r>
            <w:r w:rsidRPr="00292532">
              <w:rPr>
                <w:rFonts w:asciiTheme="minorHAnsi" w:eastAsia="Times New Roman" w:hAnsiTheme="minorHAnsi" w:cstheme="minorHAnsi"/>
                <w:color w:val="000000"/>
                <w:sz w:val="20"/>
                <w:szCs w:val="20"/>
                <w:lang w:val="pt-PT"/>
              </w:rPr>
              <w:br/>
              <w:t>• Monitorização dos níveis (ou pressão) de água nos furos</w:t>
            </w:r>
            <w:r w:rsidRPr="00292532">
              <w:rPr>
                <w:rFonts w:asciiTheme="minorHAnsi" w:eastAsia="Times New Roman" w:hAnsiTheme="minorHAnsi" w:cstheme="minorHAnsi"/>
                <w:color w:val="000000"/>
                <w:sz w:val="20"/>
                <w:szCs w:val="20"/>
                <w:lang w:val="pt-PT"/>
              </w:rPr>
              <w:br/>
              <w:t>• Monitorização dos níveis de água nos furos a montante e a jusante</w:t>
            </w:r>
            <w:r w:rsidRPr="00292532">
              <w:rPr>
                <w:rFonts w:asciiTheme="minorHAnsi" w:eastAsia="Times New Roman" w:hAnsiTheme="minorHAnsi" w:cstheme="minorHAnsi"/>
                <w:color w:val="000000"/>
                <w:sz w:val="20"/>
                <w:szCs w:val="20"/>
                <w:lang w:val="pt-PT"/>
              </w:rPr>
              <w:br/>
              <w:t>• Monitorização da qualidade das águas das fontes subterrâneas e superficiais</w:t>
            </w:r>
            <w:r w:rsidRPr="00292532">
              <w:rPr>
                <w:rFonts w:asciiTheme="minorHAnsi" w:eastAsia="Times New Roman" w:hAnsiTheme="minorHAnsi" w:cstheme="minorHAnsi"/>
                <w:color w:val="000000"/>
                <w:sz w:val="20"/>
                <w:szCs w:val="20"/>
                <w:lang w:val="pt-PT"/>
              </w:rPr>
              <w:br/>
              <w:t>• Devem ser realizados testes de sondagem alargados com monitorização em furos de observação</w:t>
            </w:r>
            <w:r w:rsidRPr="00292532">
              <w:rPr>
                <w:rFonts w:asciiTheme="minorHAnsi" w:eastAsia="Times New Roman" w:hAnsiTheme="minorHAnsi" w:cstheme="minorHAnsi"/>
                <w:color w:val="000000"/>
                <w:sz w:val="20"/>
                <w:szCs w:val="20"/>
                <w:lang w:val="pt-PT"/>
              </w:rPr>
              <w:br/>
              <w:t>• As condições atmosféricas devem ser monitorizadas (com instalação de uma estação meteorológica automática) de modo a poder determinar a pluviosidade e a recarga</w:t>
            </w:r>
          </w:p>
        </w:tc>
        <w:tc>
          <w:tcPr>
            <w:tcW w:w="2470" w:type="dxa"/>
            <w:hideMark/>
          </w:tcPr>
          <w:p w14:paraId="4C5076CA"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Fase </w:t>
            </w:r>
            <w:proofErr w:type="gramStart"/>
            <w:r w:rsidRPr="00292532">
              <w:rPr>
                <w:rFonts w:asciiTheme="minorHAnsi" w:eastAsia="Times New Roman" w:hAnsiTheme="minorHAnsi" w:cstheme="minorHAnsi"/>
                <w:color w:val="000000"/>
                <w:sz w:val="20"/>
                <w:szCs w:val="20"/>
                <w:lang w:val="pt-PT"/>
              </w:rPr>
              <w:t>de  operação</w:t>
            </w:r>
            <w:proofErr w:type="gramEnd"/>
            <w:r w:rsidRPr="00292532">
              <w:rPr>
                <w:rFonts w:asciiTheme="minorHAnsi" w:eastAsia="Times New Roman" w:hAnsiTheme="minorHAnsi" w:cstheme="minorHAnsi"/>
                <w:color w:val="000000"/>
                <w:sz w:val="20"/>
                <w:szCs w:val="20"/>
                <w:lang w:val="pt-PT"/>
              </w:rPr>
              <w:t xml:space="preserve"> </w:t>
            </w:r>
          </w:p>
        </w:tc>
        <w:tc>
          <w:tcPr>
            <w:tcW w:w="1581" w:type="dxa"/>
            <w:hideMark/>
          </w:tcPr>
          <w:p w14:paraId="45EA0696"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 xml:space="preserve">Programas de Monitorização; </w:t>
            </w:r>
          </w:p>
        </w:tc>
        <w:tc>
          <w:tcPr>
            <w:tcW w:w="3071" w:type="dxa"/>
            <w:hideMark/>
          </w:tcPr>
          <w:p w14:paraId="3E0B9537"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proofErr w:type="spellStart"/>
            <w:r w:rsidRPr="00292532">
              <w:rPr>
                <w:rFonts w:asciiTheme="minorHAnsi" w:eastAsia="Times New Roman" w:hAnsiTheme="minorHAnsi" w:cstheme="minorHAnsi"/>
                <w:color w:val="000000"/>
                <w:sz w:val="20"/>
                <w:szCs w:val="20"/>
                <w:lang w:val="pt-PT"/>
              </w:rPr>
              <w:t>ARAs</w:t>
            </w:r>
            <w:proofErr w:type="spellEnd"/>
            <w:r w:rsidRPr="00292532">
              <w:rPr>
                <w:rFonts w:asciiTheme="minorHAnsi" w:eastAsia="Times New Roman" w:hAnsiTheme="minorHAnsi" w:cstheme="minorHAnsi"/>
                <w:color w:val="000000"/>
                <w:sz w:val="20"/>
                <w:szCs w:val="20"/>
                <w:lang w:val="pt-PT"/>
              </w:rPr>
              <w:t xml:space="preserve">; </w:t>
            </w:r>
            <w:r w:rsidRPr="00292532">
              <w:rPr>
                <w:rFonts w:asciiTheme="minorHAnsi" w:eastAsia="Times New Roman" w:hAnsiTheme="minorHAnsi" w:cstheme="minorHAnsi"/>
                <w:color w:val="000000"/>
                <w:sz w:val="20"/>
                <w:szCs w:val="20"/>
                <w:lang w:val="pt-PT"/>
              </w:rPr>
              <w:br/>
              <w:t>FIPAG,</w:t>
            </w:r>
          </w:p>
        </w:tc>
        <w:tc>
          <w:tcPr>
            <w:tcW w:w="1426" w:type="dxa"/>
            <w:hideMark/>
          </w:tcPr>
          <w:p w14:paraId="5D6827F6"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DNAAS;</w:t>
            </w:r>
            <w:r w:rsidRPr="00292532">
              <w:rPr>
                <w:rFonts w:asciiTheme="minorHAnsi" w:eastAsia="Times New Roman" w:hAnsiTheme="minorHAnsi" w:cstheme="minorHAnsi"/>
                <w:color w:val="000000"/>
                <w:sz w:val="20"/>
                <w:szCs w:val="20"/>
                <w:lang w:val="pt-PT"/>
              </w:rPr>
              <w:br/>
            </w:r>
            <w:proofErr w:type="spellStart"/>
            <w:r w:rsidRPr="00292532">
              <w:rPr>
                <w:rFonts w:asciiTheme="minorHAnsi" w:eastAsia="Times New Roman" w:hAnsiTheme="minorHAnsi" w:cstheme="minorHAnsi"/>
                <w:color w:val="000000"/>
                <w:sz w:val="20"/>
                <w:szCs w:val="20"/>
                <w:lang w:val="pt-PT"/>
              </w:rPr>
              <w:t>ARAs</w:t>
            </w:r>
            <w:proofErr w:type="spellEnd"/>
            <w:r w:rsidRPr="00292532">
              <w:rPr>
                <w:rFonts w:asciiTheme="minorHAnsi" w:eastAsia="Times New Roman" w:hAnsiTheme="minorHAnsi" w:cstheme="minorHAnsi"/>
                <w:color w:val="000000"/>
                <w:sz w:val="20"/>
                <w:szCs w:val="20"/>
                <w:lang w:val="pt-PT"/>
              </w:rPr>
              <w:t>;</w:t>
            </w:r>
            <w:r w:rsidRPr="00292532">
              <w:rPr>
                <w:rFonts w:asciiTheme="minorHAnsi" w:eastAsia="Times New Roman" w:hAnsiTheme="minorHAnsi" w:cstheme="minorHAnsi"/>
                <w:color w:val="000000"/>
                <w:sz w:val="20"/>
                <w:szCs w:val="20"/>
                <w:lang w:val="pt-PT"/>
              </w:rPr>
              <w:br/>
              <w:t>AQUA;</w:t>
            </w:r>
          </w:p>
          <w:p w14:paraId="7FD1DF0E" w14:textId="77777777" w:rsidR="000615DB" w:rsidRPr="00292532" w:rsidRDefault="000615DB" w:rsidP="006174BB">
            <w:pPr>
              <w:spacing w:before="0"/>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pt-PT"/>
              </w:rPr>
            </w:pPr>
            <w:r w:rsidRPr="00292532">
              <w:rPr>
                <w:rFonts w:asciiTheme="minorHAnsi" w:eastAsia="Times New Roman" w:hAnsiTheme="minorHAnsi" w:cstheme="minorHAnsi"/>
                <w:color w:val="000000"/>
                <w:sz w:val="20"/>
                <w:szCs w:val="20"/>
                <w:lang w:val="pt-PT"/>
              </w:rPr>
              <w:t>AIAS</w:t>
            </w:r>
          </w:p>
        </w:tc>
      </w:tr>
    </w:tbl>
    <w:p w14:paraId="5C9DEA14" w14:textId="77777777" w:rsidR="000615DB" w:rsidRPr="004500AE" w:rsidRDefault="000615DB" w:rsidP="000615DB">
      <w:pPr>
        <w:rPr>
          <w:lang w:val="pt-PT"/>
        </w:rPr>
      </w:pPr>
    </w:p>
    <w:p w14:paraId="3129E61F" w14:textId="77777777" w:rsidR="000615DB" w:rsidRPr="00292532" w:rsidRDefault="000615DB" w:rsidP="000615DB">
      <w:pPr>
        <w:rPr>
          <w:lang w:val="pt-PT" w:eastAsia="ja-JP"/>
        </w:rPr>
      </w:pPr>
    </w:p>
    <w:p w14:paraId="2F6DF979" w14:textId="77777777" w:rsidR="000615DB" w:rsidRPr="004500AE" w:rsidRDefault="000615DB" w:rsidP="000615DB">
      <w:pPr>
        <w:rPr>
          <w:lang w:val="pt-PT"/>
        </w:rPr>
      </w:pPr>
    </w:p>
    <w:p w14:paraId="29085201" w14:textId="77777777" w:rsidR="000615DB" w:rsidRPr="00292532" w:rsidRDefault="000615DB" w:rsidP="000615DB">
      <w:pPr>
        <w:pStyle w:val="Caption"/>
      </w:pPr>
      <w:r w:rsidRPr="00292532">
        <w:t xml:space="preserve"> </w:t>
      </w:r>
    </w:p>
    <w:p w14:paraId="3F3EA8EF" w14:textId="77777777" w:rsidR="000615DB" w:rsidRPr="00292532" w:rsidRDefault="000615DB" w:rsidP="000615DB">
      <w:pPr>
        <w:rPr>
          <w:lang w:val="pt-PT" w:eastAsia="ja-JP"/>
        </w:rPr>
        <w:sectPr w:rsidR="000615DB" w:rsidRPr="00292532" w:rsidSect="00E65F02">
          <w:pgSz w:w="16838" w:h="11906" w:orient="landscape"/>
          <w:pgMar w:top="1699" w:right="1411" w:bottom="1699" w:left="1411" w:header="706" w:footer="706"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p>
    <w:p w14:paraId="61E3B7FB" w14:textId="77777777" w:rsidR="000615DB" w:rsidRPr="00292532" w:rsidRDefault="000615DB" w:rsidP="000615DB">
      <w:pPr>
        <w:rPr>
          <w:lang w:val="pt-PT"/>
        </w:rPr>
      </w:pPr>
    </w:p>
    <w:p w14:paraId="78160C3F" w14:textId="77777777" w:rsidR="000615DB" w:rsidRPr="00292532" w:rsidRDefault="000615DB" w:rsidP="000615DB">
      <w:pPr>
        <w:pStyle w:val="Heading2"/>
      </w:pPr>
      <w:bookmarkStart w:id="559" w:name="_Toc78435429"/>
      <w:bookmarkStart w:id="560" w:name="_Toc80380099"/>
      <w:r w:rsidRPr="00292532">
        <w:t>Sistema de Gestão Ambiental e Social</w:t>
      </w:r>
      <w:bookmarkEnd w:id="559"/>
      <w:bookmarkEnd w:id="560"/>
      <w:r w:rsidRPr="00292532">
        <w:t xml:space="preserve"> </w:t>
      </w:r>
    </w:p>
    <w:p w14:paraId="00E0B497" w14:textId="77777777" w:rsidR="000615DB" w:rsidRPr="00292532" w:rsidRDefault="000615DB" w:rsidP="000615DB">
      <w:pPr>
        <w:autoSpaceDE w:val="0"/>
        <w:autoSpaceDN w:val="0"/>
        <w:adjustRightInd w:val="0"/>
        <w:spacing w:before="0" w:after="0"/>
        <w:rPr>
          <w:lang w:val="pt-PT"/>
        </w:rPr>
      </w:pPr>
      <w:r w:rsidRPr="00292532">
        <w:rPr>
          <w:lang w:val="pt-PT"/>
        </w:rPr>
        <w:t xml:space="preserve">Um Sistema de Gestão Ambiental e Social permite uma melhor integração das medidas de mitigação e recomendações de gestão ambiental e social nos processos durante a fase de execução de uma </w:t>
      </w:r>
      <w:proofErr w:type="spellStart"/>
      <w:r w:rsidRPr="00292532">
        <w:rPr>
          <w:lang w:val="pt-PT"/>
        </w:rPr>
        <w:t>actividade</w:t>
      </w:r>
      <w:proofErr w:type="spellEnd"/>
      <w:r w:rsidRPr="00292532">
        <w:rPr>
          <w:lang w:val="pt-PT"/>
        </w:rPr>
        <w:t xml:space="preserve">. </w:t>
      </w:r>
    </w:p>
    <w:p w14:paraId="477CC751" w14:textId="77777777" w:rsidR="000615DB" w:rsidRPr="00292532" w:rsidRDefault="000615DB" w:rsidP="000615DB">
      <w:pPr>
        <w:autoSpaceDE w:val="0"/>
        <w:autoSpaceDN w:val="0"/>
        <w:adjustRightInd w:val="0"/>
        <w:spacing w:before="0" w:after="0"/>
        <w:jc w:val="left"/>
        <w:rPr>
          <w:lang w:val="pt-PT"/>
        </w:rPr>
      </w:pPr>
    </w:p>
    <w:p w14:paraId="18F74CB0" w14:textId="77777777" w:rsidR="000615DB" w:rsidRPr="00292532" w:rsidRDefault="000615DB" w:rsidP="000615DB">
      <w:pPr>
        <w:autoSpaceDE w:val="0"/>
        <w:autoSpaceDN w:val="0"/>
        <w:adjustRightInd w:val="0"/>
        <w:spacing w:before="0" w:after="0"/>
        <w:rPr>
          <w:lang w:val="pt-PT"/>
        </w:rPr>
      </w:pPr>
      <w:r w:rsidRPr="00292532">
        <w:rPr>
          <w:lang w:val="pt-PT"/>
        </w:rPr>
        <w:t xml:space="preserve">O Mutuário através das suas </w:t>
      </w:r>
      <w:proofErr w:type="spellStart"/>
      <w:r w:rsidRPr="00292532">
        <w:rPr>
          <w:lang w:val="pt-PT"/>
        </w:rPr>
        <w:t>UIPs</w:t>
      </w:r>
      <w:proofErr w:type="spellEnd"/>
      <w:r w:rsidRPr="00292532">
        <w:rPr>
          <w:lang w:val="pt-PT"/>
        </w:rPr>
        <w:t xml:space="preserve"> deverá estabelecer um SGAS que integre os resultados das avaliações ambientais e sociais provenientes de vários meios e instrumentos, incluindo o </w:t>
      </w:r>
      <w:proofErr w:type="spellStart"/>
      <w:r w:rsidRPr="00292532">
        <w:rPr>
          <w:lang w:val="pt-PT"/>
        </w:rPr>
        <w:t>actual</w:t>
      </w:r>
      <w:proofErr w:type="spellEnd"/>
      <w:r w:rsidRPr="00292532">
        <w:rPr>
          <w:lang w:val="pt-PT"/>
        </w:rPr>
        <w:t xml:space="preserve"> QGAS e outros estudos ambientais e sociais futuros. </w:t>
      </w:r>
    </w:p>
    <w:p w14:paraId="6245CE35" w14:textId="77777777" w:rsidR="000615DB" w:rsidRPr="00292532" w:rsidRDefault="000615DB" w:rsidP="000615DB">
      <w:pPr>
        <w:autoSpaceDE w:val="0"/>
        <w:autoSpaceDN w:val="0"/>
        <w:adjustRightInd w:val="0"/>
        <w:spacing w:before="0" w:after="0"/>
        <w:jc w:val="left"/>
        <w:rPr>
          <w:lang w:val="pt-PT"/>
        </w:rPr>
      </w:pPr>
    </w:p>
    <w:p w14:paraId="2B04B207" w14:textId="77777777" w:rsidR="000615DB" w:rsidRPr="00292532" w:rsidRDefault="000615DB" w:rsidP="000615DB">
      <w:pPr>
        <w:autoSpaceDE w:val="0"/>
        <w:autoSpaceDN w:val="0"/>
        <w:adjustRightInd w:val="0"/>
        <w:spacing w:before="0" w:after="0"/>
        <w:rPr>
          <w:lang w:val="pt-PT"/>
        </w:rPr>
      </w:pPr>
      <w:r w:rsidRPr="00292532">
        <w:rPr>
          <w:lang w:val="pt-PT"/>
        </w:rPr>
        <w:t xml:space="preserve">O sistema de gestão ajuda a avaliar e controlar os riscos e é a chave para uma melhoria duradoura. Sendo o </w:t>
      </w:r>
      <w:proofErr w:type="spellStart"/>
      <w:r w:rsidRPr="00292532">
        <w:rPr>
          <w:lang w:val="pt-PT"/>
        </w:rPr>
        <w:t>aspecto</w:t>
      </w:r>
      <w:proofErr w:type="spellEnd"/>
      <w:r w:rsidRPr="00292532">
        <w:rPr>
          <w:lang w:val="pt-PT"/>
        </w:rPr>
        <w:t xml:space="preserve"> de melhoria um processo permanente de revisão, </w:t>
      </w:r>
      <w:proofErr w:type="spellStart"/>
      <w:r w:rsidRPr="00292532">
        <w:rPr>
          <w:lang w:val="pt-PT"/>
        </w:rPr>
        <w:t>correcção</w:t>
      </w:r>
      <w:proofErr w:type="spellEnd"/>
      <w:r w:rsidRPr="00292532">
        <w:rPr>
          <w:lang w:val="pt-PT"/>
        </w:rPr>
        <w:t xml:space="preserve"> e melhoria do sistema durante o ciclo de vida do </w:t>
      </w:r>
      <w:proofErr w:type="spellStart"/>
      <w:r w:rsidRPr="00292532">
        <w:rPr>
          <w:lang w:val="pt-PT"/>
        </w:rPr>
        <w:t>Projecto</w:t>
      </w:r>
      <w:proofErr w:type="spellEnd"/>
      <w:r w:rsidRPr="00292532">
        <w:rPr>
          <w:lang w:val="pt-PT"/>
        </w:rPr>
        <w:t xml:space="preserve">. Para tal, recomenda-se a aplicação do método mais comum com base no ciclo Planear-Fazer-Verificar-Agir (PFVA). A </w:t>
      </w:r>
      <w:r w:rsidRPr="00292532">
        <w:rPr>
          <w:b/>
          <w:bCs/>
          <w:lang w:val="pt-PT"/>
        </w:rPr>
        <w:t>Figura 1</w:t>
      </w:r>
      <w:r w:rsidRPr="00292532">
        <w:rPr>
          <w:lang w:val="pt-PT"/>
        </w:rPr>
        <w:t xml:space="preserve">, abaixo demonstra o ciclo de gestão do SGAS e os principais elementos a serem considerados durante a </w:t>
      </w:r>
      <w:proofErr w:type="spellStart"/>
      <w:r w:rsidRPr="00292532">
        <w:rPr>
          <w:lang w:val="pt-PT"/>
        </w:rPr>
        <w:t>concepção</w:t>
      </w:r>
      <w:proofErr w:type="spellEnd"/>
      <w:r w:rsidRPr="00292532">
        <w:rPr>
          <w:lang w:val="pt-PT"/>
        </w:rPr>
        <w:t xml:space="preserve"> do sistema. </w:t>
      </w:r>
    </w:p>
    <w:p w14:paraId="6E2E8A29" w14:textId="77777777" w:rsidR="000615DB" w:rsidRPr="00292532" w:rsidRDefault="000615DB" w:rsidP="000615DB">
      <w:pPr>
        <w:autoSpaceDE w:val="0"/>
        <w:autoSpaceDN w:val="0"/>
        <w:adjustRightInd w:val="0"/>
        <w:spacing w:before="0" w:after="0"/>
        <w:jc w:val="left"/>
        <w:rPr>
          <w:lang w:val="pt-PT"/>
        </w:rPr>
      </w:pPr>
    </w:p>
    <w:p w14:paraId="0A773C03" w14:textId="2C05EBE3" w:rsidR="000615DB" w:rsidRPr="00292532" w:rsidRDefault="000615DB" w:rsidP="000615DB">
      <w:pPr>
        <w:rPr>
          <w:noProof/>
          <w:lang w:val="pt-PT"/>
        </w:rPr>
      </w:pPr>
      <w:r w:rsidRPr="00292532">
        <w:rPr>
          <w:noProof/>
          <w:lang w:val="en-US"/>
        </w:rPr>
        <w:drawing>
          <wp:inline distT="0" distB="0" distL="0" distR="0" wp14:anchorId="636615F5" wp14:editId="5E653AD5">
            <wp:extent cx="6184900" cy="3467100"/>
            <wp:effectExtent l="0" t="0" r="101600" b="19050"/>
            <wp:docPr id="431" name="Diagram 431">
              <a:extLst xmlns:a="http://schemas.openxmlformats.org/drawingml/2006/main">
                <a:ext uri="{FF2B5EF4-FFF2-40B4-BE49-F238E27FC236}">
                  <a16:creationId xmlns:a16="http://schemas.microsoft.com/office/drawing/2014/main" id="{FA1F62E2-CE4B-4780-9284-3F7E8E2D5379}"/>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1B45EEF9" w14:textId="77777777" w:rsidR="000615DB" w:rsidRPr="00292532" w:rsidRDefault="000615DB" w:rsidP="000615DB">
      <w:pPr>
        <w:pStyle w:val="Caption"/>
        <w:rPr>
          <w:noProof/>
        </w:rPr>
      </w:pPr>
      <w:r w:rsidRPr="00292532">
        <w:t xml:space="preserve">Figura 1: Estrutura Proposta do SGAS </w:t>
      </w:r>
    </w:p>
    <w:p w14:paraId="64ED7C8E" w14:textId="77777777" w:rsidR="000615DB" w:rsidRPr="00292532" w:rsidRDefault="000615DB" w:rsidP="000615DB">
      <w:pPr>
        <w:rPr>
          <w:noProof/>
          <w:lang w:val="pt-PT"/>
        </w:rPr>
      </w:pPr>
      <w:r w:rsidRPr="00292532">
        <w:rPr>
          <w:noProof/>
          <w:lang w:val="pt-PT"/>
        </w:rPr>
        <w:t xml:space="preserve">Os SGAS será baseado na UIP/AIAS tendo em conta o seu papel de coordenação e gestão das questões ambientais e sociais do Projecto. Com foco nas contratadas, recomenda-se que as mesmas implementem um SGAS onde devem ser integrados todos os requisitos aplicaveis do SGAS do Projecto, no entanto este requisito deverá ser aplicado mediante uma análise do âmbito e dimensão das actividades de cada contratada. A ausencia de um SGAS por parte das contractadas não deve prevenir que estas implementem os requisitos do SGAS do Projecto relevantes para o ambito das suas actividades. </w:t>
      </w:r>
    </w:p>
    <w:p w14:paraId="05D032F9" w14:textId="7D2BA05E" w:rsidR="000615DB" w:rsidRPr="00292532" w:rsidRDefault="000615DB" w:rsidP="000615DB">
      <w:pPr>
        <w:rPr>
          <w:noProof/>
          <w:lang w:val="pt-PT"/>
        </w:rPr>
      </w:pPr>
      <w:r w:rsidRPr="00292532">
        <w:rPr>
          <w:noProof/>
          <w:lang w:val="pt-PT"/>
        </w:rPr>
        <w:lastRenderedPageBreak/>
        <w:t xml:space="preserve">Outro requisito à observar aplicável às contratadas, é a implementação de um  Sistema Integrado de Gestão de Saúde e Segurança e Ambiente, pois pela natureza das actividades (e.g de construção) e potencial de riscos de saúde e segurança ocupacional, pode-se muitas vezes justificar a implementação de um sistema integrado. São apresentados no </w:t>
      </w:r>
      <w:r w:rsidRPr="00292532">
        <w:rPr>
          <w:b/>
          <w:bCs/>
          <w:noProof/>
          <w:lang w:val="pt-PT"/>
        </w:rPr>
        <w:t>Anexo 9</w:t>
      </w:r>
      <w:r w:rsidRPr="00292532">
        <w:rPr>
          <w:noProof/>
          <w:lang w:val="pt-PT"/>
        </w:rPr>
        <w:t xml:space="preserve"> os  requisitos mínimos de saúde, seguranca, este devem ser integrados nos documentos de concurso para a contratação de empreiteiros.</w:t>
      </w:r>
    </w:p>
    <w:p w14:paraId="1F4036B4" w14:textId="77777777" w:rsidR="000615DB" w:rsidRPr="00292532" w:rsidRDefault="000615DB" w:rsidP="000615DB">
      <w:pPr>
        <w:rPr>
          <w:noProof/>
          <w:lang w:val="pt-PT"/>
        </w:rPr>
      </w:pPr>
      <w:r w:rsidRPr="00292532">
        <w:rPr>
          <w:noProof/>
          <w:lang w:val="pt-PT"/>
        </w:rPr>
        <w:t xml:space="preserve">O dono do SGAS deve observar os seguintes requisitos chave para garantir um sistema robusto de avaliação de riscos: </w:t>
      </w:r>
    </w:p>
    <w:p w14:paraId="7D7F4C5D" w14:textId="77777777" w:rsidR="000615DB" w:rsidRPr="00292532" w:rsidRDefault="000615DB" w:rsidP="000615DB">
      <w:pPr>
        <w:numPr>
          <w:ilvl w:val="0"/>
          <w:numId w:val="56"/>
        </w:numPr>
        <w:contextualSpacing/>
        <w:rPr>
          <w:lang w:val="pt-PT"/>
        </w:rPr>
      </w:pPr>
      <w:r w:rsidRPr="00292532">
        <w:rPr>
          <w:lang w:val="pt-PT"/>
        </w:rPr>
        <w:t>Cobrir riscos ambientais, de saúde e segurança ocupacional de trabalho e comunitários</w:t>
      </w:r>
    </w:p>
    <w:p w14:paraId="17A175BD" w14:textId="77777777" w:rsidR="000615DB" w:rsidRPr="00292532" w:rsidRDefault="000615DB" w:rsidP="000615DB">
      <w:pPr>
        <w:numPr>
          <w:ilvl w:val="0"/>
          <w:numId w:val="56"/>
        </w:numPr>
        <w:contextualSpacing/>
        <w:rPr>
          <w:lang w:val="pt-PT"/>
        </w:rPr>
      </w:pPr>
      <w:r w:rsidRPr="00292532">
        <w:rPr>
          <w:lang w:val="pt-PT"/>
        </w:rPr>
        <w:t>Realizar avaliações de desempenho, com a participação de uma equipa multidisciplinar, em intervalos regulares</w:t>
      </w:r>
    </w:p>
    <w:p w14:paraId="282E8125" w14:textId="77777777" w:rsidR="000615DB" w:rsidRPr="00292532" w:rsidRDefault="000615DB" w:rsidP="000615DB">
      <w:pPr>
        <w:numPr>
          <w:ilvl w:val="0"/>
          <w:numId w:val="56"/>
        </w:numPr>
        <w:contextualSpacing/>
        <w:rPr>
          <w:lang w:val="pt-PT"/>
        </w:rPr>
      </w:pPr>
      <w:r w:rsidRPr="00292532">
        <w:rPr>
          <w:lang w:val="pt-PT"/>
        </w:rPr>
        <w:t>Reavaliar os riscos sempre que houver mudanças externas como novas leis e regulamentos</w:t>
      </w:r>
    </w:p>
    <w:p w14:paraId="1B1D25BC" w14:textId="77777777" w:rsidR="000615DB" w:rsidRPr="00292532" w:rsidRDefault="000615DB" w:rsidP="000615DB">
      <w:pPr>
        <w:numPr>
          <w:ilvl w:val="0"/>
          <w:numId w:val="56"/>
        </w:numPr>
        <w:contextualSpacing/>
        <w:rPr>
          <w:lang w:val="pt-PT"/>
        </w:rPr>
      </w:pPr>
      <w:r w:rsidRPr="00292532">
        <w:rPr>
          <w:lang w:val="pt-PT"/>
        </w:rPr>
        <w:t xml:space="preserve">Incluir as contribuições dos trabalhadores, comunidades </w:t>
      </w:r>
      <w:proofErr w:type="spellStart"/>
      <w:r w:rsidRPr="00292532">
        <w:rPr>
          <w:lang w:val="pt-PT"/>
        </w:rPr>
        <w:t>afectadas</w:t>
      </w:r>
      <w:proofErr w:type="spellEnd"/>
      <w:r w:rsidRPr="00292532">
        <w:rPr>
          <w:lang w:val="pt-PT"/>
        </w:rPr>
        <w:t xml:space="preserve"> e outras partes interessadas externas</w:t>
      </w:r>
    </w:p>
    <w:p w14:paraId="483D671A" w14:textId="77777777" w:rsidR="000615DB" w:rsidRPr="00292532" w:rsidRDefault="000615DB" w:rsidP="000615DB">
      <w:pPr>
        <w:numPr>
          <w:ilvl w:val="0"/>
          <w:numId w:val="56"/>
        </w:numPr>
        <w:contextualSpacing/>
        <w:rPr>
          <w:lang w:val="pt-PT"/>
        </w:rPr>
      </w:pPr>
      <w:r w:rsidRPr="00292532">
        <w:rPr>
          <w:lang w:val="pt-PT"/>
        </w:rPr>
        <w:t xml:space="preserve">Avaliar e priorizar riscos de acordo com a probabilidade dos impactos negativos </w:t>
      </w:r>
    </w:p>
    <w:p w14:paraId="76A9270F" w14:textId="77777777" w:rsidR="000615DB" w:rsidRPr="00292532" w:rsidRDefault="000615DB" w:rsidP="000615DB">
      <w:pPr>
        <w:numPr>
          <w:ilvl w:val="0"/>
          <w:numId w:val="56"/>
        </w:numPr>
        <w:contextualSpacing/>
        <w:rPr>
          <w:lang w:val="pt-PT"/>
        </w:rPr>
      </w:pPr>
      <w:r w:rsidRPr="00292532">
        <w:rPr>
          <w:lang w:val="pt-PT"/>
        </w:rPr>
        <w:t xml:space="preserve">Vincular o plano de monitorização aos riscos priorizados </w:t>
      </w:r>
    </w:p>
    <w:p w14:paraId="524C69C0" w14:textId="77777777" w:rsidR="000615DB" w:rsidRPr="00292532" w:rsidRDefault="000615DB" w:rsidP="000615DB">
      <w:pPr>
        <w:numPr>
          <w:ilvl w:val="0"/>
          <w:numId w:val="56"/>
        </w:numPr>
        <w:contextualSpacing/>
        <w:rPr>
          <w:lang w:val="pt-PT"/>
        </w:rPr>
      </w:pPr>
      <w:r w:rsidRPr="00292532">
        <w:rPr>
          <w:lang w:val="pt-PT"/>
        </w:rPr>
        <w:t xml:space="preserve">Dimensionar o SGAS de acordo com o tamanho e complexidade das </w:t>
      </w:r>
      <w:proofErr w:type="spellStart"/>
      <w:r w:rsidRPr="00292532">
        <w:rPr>
          <w:lang w:val="pt-PT"/>
        </w:rPr>
        <w:t>actividades</w:t>
      </w:r>
      <w:proofErr w:type="spellEnd"/>
    </w:p>
    <w:p w14:paraId="5881DBF7" w14:textId="77777777" w:rsidR="000615DB" w:rsidRPr="00292532" w:rsidRDefault="000615DB" w:rsidP="000615DB">
      <w:pPr>
        <w:numPr>
          <w:ilvl w:val="0"/>
          <w:numId w:val="56"/>
        </w:numPr>
        <w:contextualSpacing/>
        <w:rPr>
          <w:lang w:val="pt-PT"/>
        </w:rPr>
      </w:pPr>
      <w:r w:rsidRPr="00292532">
        <w:rPr>
          <w:lang w:val="pt-PT"/>
        </w:rPr>
        <w:t>Definir para cada instrumento de gestão, papeis e responsabilidades</w:t>
      </w:r>
    </w:p>
    <w:p w14:paraId="08E07E2E" w14:textId="77777777" w:rsidR="000615DB" w:rsidRPr="00292532" w:rsidRDefault="000615DB" w:rsidP="000615DB">
      <w:pPr>
        <w:numPr>
          <w:ilvl w:val="0"/>
          <w:numId w:val="56"/>
        </w:numPr>
        <w:contextualSpacing/>
        <w:rPr>
          <w:lang w:val="pt-PT"/>
        </w:rPr>
      </w:pPr>
      <w:proofErr w:type="spellStart"/>
      <w:r w:rsidRPr="00292532">
        <w:rPr>
          <w:lang w:val="pt-PT"/>
        </w:rPr>
        <w:t>Actualizar</w:t>
      </w:r>
      <w:proofErr w:type="spellEnd"/>
      <w:r w:rsidRPr="00292532">
        <w:rPr>
          <w:lang w:val="pt-PT"/>
        </w:rPr>
        <w:t xml:space="preserve"> e desenvolver Programas de Gestão, com base em planos de gestão  </w:t>
      </w:r>
    </w:p>
    <w:p w14:paraId="27557052" w14:textId="77777777" w:rsidR="000615DB" w:rsidRPr="00292532" w:rsidRDefault="000615DB" w:rsidP="000615DB">
      <w:pPr>
        <w:ind w:left="720"/>
        <w:contextualSpacing/>
        <w:rPr>
          <w:lang w:val="pt-PT"/>
        </w:rPr>
      </w:pPr>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5" w:themeFillTint="33"/>
        <w:tblLook w:val="04A0" w:firstRow="1" w:lastRow="0" w:firstColumn="1" w:lastColumn="0" w:noHBand="0" w:noVBand="1"/>
      </w:tblPr>
      <w:tblGrid>
        <w:gridCol w:w="8504"/>
      </w:tblGrid>
      <w:tr w:rsidR="000615DB" w:rsidRPr="004E2EAC" w14:paraId="37F71B2F" w14:textId="77777777" w:rsidTr="006174BB">
        <w:tc>
          <w:tcPr>
            <w:tcW w:w="10770" w:type="dxa"/>
            <w:shd w:val="clear" w:color="auto" w:fill="DEEAF6" w:themeFill="accent5" w:themeFillTint="33"/>
          </w:tcPr>
          <w:p w14:paraId="13C2C9D1" w14:textId="64511F87" w:rsidR="000615DB" w:rsidRPr="00292532" w:rsidRDefault="000615DB" w:rsidP="006174BB">
            <w:pPr>
              <w:ind w:firstLine="0"/>
              <w:rPr>
                <w:i/>
                <w:iCs/>
              </w:rPr>
            </w:pPr>
            <w:r w:rsidRPr="00292532">
              <w:rPr>
                <w:i/>
                <w:iCs/>
              </w:rPr>
              <w:t xml:space="preserve">Os SGAS serão baseados nas </w:t>
            </w:r>
            <w:proofErr w:type="spellStart"/>
            <w:r w:rsidRPr="00292532">
              <w:rPr>
                <w:i/>
                <w:iCs/>
              </w:rPr>
              <w:t>UIPs</w:t>
            </w:r>
            <w:proofErr w:type="spellEnd"/>
            <w:r w:rsidRPr="00292532">
              <w:rPr>
                <w:i/>
                <w:iCs/>
              </w:rPr>
              <w:t>. E devem ser geridos por uma equipa devidamente treinada e qualificada sobre as matérias de ambiente</w:t>
            </w:r>
            <w:r w:rsidR="004421BC">
              <w:rPr>
                <w:i/>
                <w:iCs/>
              </w:rPr>
              <w:t>, sociais</w:t>
            </w:r>
            <w:r w:rsidRPr="00292532">
              <w:rPr>
                <w:i/>
                <w:iCs/>
              </w:rPr>
              <w:t xml:space="preserve">, saúde e segurança. </w:t>
            </w:r>
          </w:p>
          <w:p w14:paraId="32C50A1A" w14:textId="7FC71333" w:rsidR="000615DB" w:rsidRPr="00292532" w:rsidRDefault="000615DB" w:rsidP="006174BB">
            <w:pPr>
              <w:ind w:firstLine="0"/>
              <w:rPr>
                <w:i/>
                <w:iCs/>
              </w:rPr>
            </w:pPr>
            <w:r w:rsidRPr="00292532">
              <w:rPr>
                <w:i/>
                <w:iCs/>
              </w:rPr>
              <w:t>Outro requisito a observar aplicável às contratadas responsáveis pela execução das obras, é a implementação de um Sistema Integrado de Gestão de Saúde e Segurança e Ambiente</w:t>
            </w:r>
            <w:r w:rsidR="004421BC">
              <w:rPr>
                <w:i/>
                <w:iCs/>
              </w:rPr>
              <w:t xml:space="preserve"> (</w:t>
            </w:r>
            <w:proofErr w:type="spellStart"/>
            <w:r w:rsidR="004421BC">
              <w:rPr>
                <w:i/>
                <w:iCs/>
              </w:rPr>
              <w:t>inclíndo</w:t>
            </w:r>
            <w:proofErr w:type="spellEnd"/>
            <w:r w:rsidR="004421BC">
              <w:rPr>
                <w:i/>
                <w:iCs/>
              </w:rPr>
              <w:t xml:space="preserve"> questões sociais)</w:t>
            </w:r>
            <w:r w:rsidRPr="00292532">
              <w:rPr>
                <w:i/>
                <w:iCs/>
              </w:rPr>
              <w:t>.</w:t>
            </w:r>
          </w:p>
          <w:p w14:paraId="4C21639B" w14:textId="77777777" w:rsidR="000615DB" w:rsidRPr="00292532" w:rsidRDefault="000615DB" w:rsidP="006174BB">
            <w:pPr>
              <w:ind w:firstLine="0"/>
            </w:pPr>
          </w:p>
        </w:tc>
      </w:tr>
    </w:tbl>
    <w:p w14:paraId="1DDAA6CE" w14:textId="77777777" w:rsidR="000615DB" w:rsidRPr="00292532" w:rsidRDefault="000615DB" w:rsidP="000615DB">
      <w:pPr>
        <w:pStyle w:val="Heading2"/>
      </w:pPr>
      <w:bookmarkStart w:id="561" w:name="_Toc78435430"/>
      <w:bookmarkStart w:id="562" w:name="_Toc80380100"/>
      <w:r w:rsidRPr="00292532">
        <w:t xml:space="preserve">Planos de </w:t>
      </w:r>
      <w:proofErr w:type="spellStart"/>
      <w:r w:rsidRPr="00292532">
        <w:t>Acção</w:t>
      </w:r>
      <w:proofErr w:type="spellEnd"/>
      <w:r w:rsidRPr="00292532">
        <w:t xml:space="preserve"> Ambiental e Social</w:t>
      </w:r>
      <w:bookmarkEnd w:id="561"/>
      <w:bookmarkEnd w:id="562"/>
      <w:r w:rsidRPr="00292532">
        <w:t xml:space="preserve"> </w:t>
      </w:r>
    </w:p>
    <w:p w14:paraId="683DE04F" w14:textId="77777777" w:rsidR="000615DB" w:rsidRPr="00292532" w:rsidRDefault="000615DB" w:rsidP="000615DB">
      <w:pPr>
        <w:rPr>
          <w:lang w:val="pt-PT"/>
        </w:rPr>
      </w:pPr>
      <w:r w:rsidRPr="00292532">
        <w:rPr>
          <w:lang w:val="pt-PT"/>
        </w:rPr>
        <w:t xml:space="preserve">Este PGAS funciona como uma estrutura para a implementação de medidas de desempenho ambiental e social, no entanto, nem sempre fornece os detalhes específicos necessários para implementar os requisitos. Como tal, o </w:t>
      </w:r>
      <w:proofErr w:type="spellStart"/>
      <w:r w:rsidRPr="00292532">
        <w:rPr>
          <w:lang w:val="pt-PT"/>
        </w:rPr>
        <w:t>Projecto</w:t>
      </w:r>
      <w:proofErr w:type="spellEnd"/>
      <w:r w:rsidRPr="00292532">
        <w:rPr>
          <w:lang w:val="pt-PT"/>
        </w:rPr>
        <w:t xml:space="preserve"> através das suas </w:t>
      </w:r>
      <w:proofErr w:type="spellStart"/>
      <w:r w:rsidRPr="00292532">
        <w:rPr>
          <w:lang w:val="pt-PT"/>
        </w:rPr>
        <w:t>UIPs</w:t>
      </w:r>
      <w:proofErr w:type="spellEnd"/>
      <w:r w:rsidRPr="00292532">
        <w:rPr>
          <w:lang w:val="pt-PT"/>
        </w:rPr>
        <w:t xml:space="preserve"> e contratadas devem estabelecer uma série de Planos de </w:t>
      </w:r>
      <w:proofErr w:type="spellStart"/>
      <w:r w:rsidRPr="00292532">
        <w:rPr>
          <w:lang w:val="pt-PT"/>
        </w:rPr>
        <w:t>Acção</w:t>
      </w:r>
      <w:proofErr w:type="spellEnd"/>
      <w:r w:rsidRPr="00292532">
        <w:rPr>
          <w:lang w:val="pt-PT"/>
        </w:rPr>
        <w:t xml:space="preserve"> Ambientais e Sociais (PAAS) mais específicos para </w:t>
      </w:r>
      <w:proofErr w:type="spellStart"/>
      <w:r w:rsidRPr="00292532">
        <w:rPr>
          <w:lang w:val="pt-PT"/>
        </w:rPr>
        <w:t>actividade</w:t>
      </w:r>
      <w:proofErr w:type="spellEnd"/>
      <w:r w:rsidRPr="00292532">
        <w:rPr>
          <w:lang w:val="pt-PT"/>
        </w:rPr>
        <w:t>. A definição destes planos deverá ser feita logo após melhor definição dos subprojectos, como resultado da Triagem Ambiental e Social ou no âmbito dos Estudos de Impacto Ambiental a serem elaborados para os subprojectos.</w:t>
      </w:r>
    </w:p>
    <w:p w14:paraId="28D32EBC" w14:textId="77777777" w:rsidR="000615DB" w:rsidRPr="00292532" w:rsidRDefault="000615DB" w:rsidP="000615DB">
      <w:pPr>
        <w:rPr>
          <w:lang w:val="pt-PT"/>
        </w:rPr>
      </w:pPr>
      <w:r w:rsidRPr="00292532">
        <w:rPr>
          <w:lang w:val="pt-PT"/>
        </w:rPr>
        <w:t xml:space="preserve">Os Planos de gestão contidos no QGAS devem ser considerados planos de gestão quadro ou de referência para implementação e </w:t>
      </w:r>
      <w:proofErr w:type="spellStart"/>
      <w:r w:rsidRPr="00292532">
        <w:rPr>
          <w:lang w:val="pt-PT"/>
        </w:rPr>
        <w:t>actualização</w:t>
      </w:r>
      <w:proofErr w:type="spellEnd"/>
      <w:r w:rsidRPr="00292532">
        <w:rPr>
          <w:lang w:val="pt-PT"/>
        </w:rPr>
        <w:t xml:space="preserve"> conforme necessário. </w:t>
      </w:r>
    </w:p>
    <w:p w14:paraId="48B4BBB0" w14:textId="77777777" w:rsidR="000615DB" w:rsidRPr="00292532" w:rsidRDefault="000615DB" w:rsidP="000615DB">
      <w:pPr>
        <w:rPr>
          <w:lang w:val="pt-PT"/>
        </w:rPr>
      </w:pPr>
    </w:p>
    <w:p w14:paraId="58911D29" w14:textId="77777777" w:rsidR="000615DB" w:rsidRPr="00292532" w:rsidRDefault="000615DB" w:rsidP="000615DB">
      <w:pPr>
        <w:pStyle w:val="Heading2"/>
      </w:pPr>
      <w:bookmarkStart w:id="563" w:name="_Toc78435431"/>
      <w:bookmarkStart w:id="564" w:name="_Toc80380101"/>
      <w:r w:rsidRPr="00292532">
        <w:lastRenderedPageBreak/>
        <w:t>Funções e Responsabilidade</w:t>
      </w:r>
      <w:bookmarkEnd w:id="563"/>
      <w:bookmarkEnd w:id="564"/>
    </w:p>
    <w:p w14:paraId="5218A002" w14:textId="063107D7" w:rsidR="000615DB" w:rsidRPr="00292532" w:rsidRDefault="000615DB" w:rsidP="000615DB">
      <w:pPr>
        <w:rPr>
          <w:lang w:val="pt-PT"/>
        </w:rPr>
      </w:pPr>
      <w:r w:rsidRPr="00292532">
        <w:rPr>
          <w:lang w:val="pt-PT"/>
        </w:rPr>
        <w:t xml:space="preserve">A responsabilidade de implementação do PGA recai sobre as equipas das salvaguardas das </w:t>
      </w:r>
      <w:proofErr w:type="spellStart"/>
      <w:r w:rsidRPr="00292532">
        <w:rPr>
          <w:lang w:val="pt-PT"/>
        </w:rPr>
        <w:t>UIPs</w:t>
      </w:r>
      <w:proofErr w:type="spellEnd"/>
      <w:r w:rsidRPr="00292532">
        <w:rPr>
          <w:lang w:val="pt-PT"/>
        </w:rPr>
        <w:t xml:space="preserve">, </w:t>
      </w:r>
      <w:proofErr w:type="spellStart"/>
      <w:r w:rsidRPr="00292532">
        <w:rPr>
          <w:lang w:val="pt-PT"/>
        </w:rPr>
        <w:t>UTPs</w:t>
      </w:r>
      <w:proofErr w:type="spellEnd"/>
      <w:r w:rsidRPr="00292532">
        <w:rPr>
          <w:lang w:val="pt-PT"/>
        </w:rPr>
        <w:t xml:space="preserve"> e equipas de saúde, segurança e gestão ambiental e social das contratadas (empreiteiros</w:t>
      </w:r>
      <w:r w:rsidR="004421BC">
        <w:rPr>
          <w:lang w:val="pt-PT"/>
        </w:rPr>
        <w:t xml:space="preserve"> e fiscal)</w:t>
      </w:r>
      <w:r w:rsidRPr="00292532">
        <w:rPr>
          <w:lang w:val="pt-PT"/>
        </w:rPr>
        <w:t>. Cada um terá a responsabilidade de implementação e monitoria das recomendações deste PGA conforme as responsabilidades identificadas nos quadros de Medidas de Mitigação Ambientais e Sociais.</w:t>
      </w:r>
    </w:p>
    <w:p w14:paraId="15BF5F12" w14:textId="77777777" w:rsidR="000615DB" w:rsidRPr="00292532" w:rsidRDefault="000615DB" w:rsidP="000615DB">
      <w:pPr>
        <w:rPr>
          <w:lang w:val="pt-PT"/>
        </w:rPr>
      </w:pPr>
      <w:r w:rsidRPr="00292532">
        <w:rPr>
          <w:lang w:val="pt-PT"/>
        </w:rPr>
        <w:t xml:space="preserve">As </w:t>
      </w:r>
      <w:proofErr w:type="spellStart"/>
      <w:r w:rsidRPr="00292532">
        <w:rPr>
          <w:lang w:val="pt-PT"/>
        </w:rPr>
        <w:t>UIPs</w:t>
      </w:r>
      <w:proofErr w:type="spellEnd"/>
      <w:r w:rsidRPr="00292532">
        <w:rPr>
          <w:lang w:val="pt-PT"/>
        </w:rPr>
        <w:t xml:space="preserve"> serão responsáveis pela implementação do SGAS, incluindo a conformidade com a legislação nacional aplicável, requisitos e compromissos do </w:t>
      </w:r>
      <w:proofErr w:type="spellStart"/>
      <w:r w:rsidRPr="00292532">
        <w:rPr>
          <w:lang w:val="pt-PT"/>
        </w:rPr>
        <w:t>Projecto</w:t>
      </w:r>
      <w:proofErr w:type="spellEnd"/>
      <w:r w:rsidRPr="00292532">
        <w:rPr>
          <w:lang w:val="pt-PT"/>
        </w:rPr>
        <w:t>.</w:t>
      </w:r>
    </w:p>
    <w:p w14:paraId="69AEF00E" w14:textId="77777777" w:rsidR="000615DB" w:rsidRPr="00292532" w:rsidRDefault="000615DB" w:rsidP="000615DB">
      <w:pPr>
        <w:rPr>
          <w:lang w:val="pt-PT"/>
        </w:rPr>
      </w:pPr>
      <w:r w:rsidRPr="00292532">
        <w:rPr>
          <w:lang w:val="pt-PT"/>
        </w:rPr>
        <w:t xml:space="preserve">As equipas de salvaguardas ambientais e sociais das </w:t>
      </w:r>
      <w:proofErr w:type="spellStart"/>
      <w:r w:rsidRPr="00292532">
        <w:rPr>
          <w:lang w:val="pt-PT"/>
        </w:rPr>
        <w:t>UIPs</w:t>
      </w:r>
      <w:proofErr w:type="spellEnd"/>
      <w:r w:rsidRPr="00292532">
        <w:rPr>
          <w:lang w:val="pt-PT"/>
        </w:rPr>
        <w:t xml:space="preserve"> (UIP/AIAS) e </w:t>
      </w:r>
      <w:proofErr w:type="spellStart"/>
      <w:r w:rsidRPr="00292532">
        <w:rPr>
          <w:lang w:val="pt-PT"/>
        </w:rPr>
        <w:t>UTPs</w:t>
      </w:r>
      <w:proofErr w:type="spellEnd"/>
      <w:r w:rsidRPr="00292532">
        <w:rPr>
          <w:lang w:val="pt-PT"/>
        </w:rPr>
        <w:t xml:space="preserve"> da Zambézia e de Nampula terão as seguintes responsabilidades específicas: </w:t>
      </w:r>
    </w:p>
    <w:p w14:paraId="773C43F7" w14:textId="77777777" w:rsidR="000615DB" w:rsidRPr="00292532" w:rsidRDefault="000615DB" w:rsidP="000615DB">
      <w:pPr>
        <w:pStyle w:val="ListParagraph"/>
        <w:numPr>
          <w:ilvl w:val="0"/>
          <w:numId w:val="86"/>
        </w:numPr>
        <w:rPr>
          <w:lang w:val="pt-PT"/>
        </w:rPr>
      </w:pPr>
      <w:r w:rsidRPr="00292532">
        <w:rPr>
          <w:lang w:val="pt-PT"/>
        </w:rPr>
        <w:t xml:space="preserve">Implementar as medidas de mitigação sob a responsabilidade das </w:t>
      </w:r>
      <w:proofErr w:type="spellStart"/>
      <w:r w:rsidRPr="00292532">
        <w:rPr>
          <w:lang w:val="pt-PT"/>
        </w:rPr>
        <w:t>UTPs</w:t>
      </w:r>
      <w:proofErr w:type="spellEnd"/>
    </w:p>
    <w:p w14:paraId="5E0856BC" w14:textId="77777777" w:rsidR="000615DB" w:rsidRPr="00292532" w:rsidRDefault="000615DB" w:rsidP="000615DB">
      <w:pPr>
        <w:pStyle w:val="ListParagraph"/>
        <w:numPr>
          <w:ilvl w:val="0"/>
          <w:numId w:val="86"/>
        </w:numPr>
        <w:rPr>
          <w:lang w:val="pt-PT"/>
        </w:rPr>
      </w:pPr>
      <w:r w:rsidRPr="00292532">
        <w:rPr>
          <w:lang w:val="pt-PT"/>
        </w:rPr>
        <w:t xml:space="preserve">Disseminar os requisitos do PGA às contratadas do </w:t>
      </w:r>
      <w:proofErr w:type="spellStart"/>
      <w:r w:rsidRPr="00292532">
        <w:rPr>
          <w:lang w:val="pt-PT"/>
        </w:rPr>
        <w:t>Projecto</w:t>
      </w:r>
      <w:proofErr w:type="spellEnd"/>
      <w:r w:rsidRPr="00292532">
        <w:rPr>
          <w:lang w:val="pt-PT"/>
        </w:rPr>
        <w:t xml:space="preserve"> </w:t>
      </w:r>
    </w:p>
    <w:p w14:paraId="00F45BD1" w14:textId="77777777" w:rsidR="000615DB" w:rsidRPr="00292532" w:rsidRDefault="000615DB" w:rsidP="000615DB">
      <w:pPr>
        <w:pStyle w:val="ListParagraph"/>
        <w:numPr>
          <w:ilvl w:val="0"/>
          <w:numId w:val="86"/>
        </w:numPr>
        <w:rPr>
          <w:lang w:val="pt-PT"/>
        </w:rPr>
      </w:pPr>
      <w:r w:rsidRPr="00292532">
        <w:rPr>
          <w:lang w:val="pt-PT"/>
        </w:rPr>
        <w:t>Monitorizar a implementação do PGAS por parte das contratadas</w:t>
      </w:r>
    </w:p>
    <w:p w14:paraId="39731B85" w14:textId="77777777" w:rsidR="000615DB" w:rsidRPr="00292532" w:rsidRDefault="000615DB" w:rsidP="000615DB">
      <w:pPr>
        <w:pStyle w:val="ListParagraph"/>
        <w:numPr>
          <w:ilvl w:val="0"/>
          <w:numId w:val="86"/>
        </w:numPr>
        <w:rPr>
          <w:lang w:val="pt-PT"/>
        </w:rPr>
      </w:pPr>
      <w:r w:rsidRPr="00292532">
        <w:rPr>
          <w:lang w:val="pt-PT"/>
        </w:rPr>
        <w:t xml:space="preserve">Realizar auditorias de conformidade ambiental e social às contratadas </w:t>
      </w:r>
    </w:p>
    <w:p w14:paraId="0FF398CF" w14:textId="77777777" w:rsidR="000615DB" w:rsidRPr="00292532" w:rsidRDefault="000615DB" w:rsidP="000615DB">
      <w:pPr>
        <w:pStyle w:val="ListParagraph"/>
        <w:numPr>
          <w:ilvl w:val="0"/>
          <w:numId w:val="86"/>
        </w:numPr>
        <w:rPr>
          <w:lang w:val="pt-PT"/>
        </w:rPr>
      </w:pPr>
      <w:r w:rsidRPr="00292532">
        <w:rPr>
          <w:lang w:val="pt-PT"/>
        </w:rPr>
        <w:t xml:space="preserve">Realizar </w:t>
      </w:r>
      <w:proofErr w:type="spellStart"/>
      <w:r w:rsidRPr="00292532">
        <w:rPr>
          <w:lang w:val="pt-PT"/>
        </w:rPr>
        <w:t>inspecções</w:t>
      </w:r>
      <w:proofErr w:type="spellEnd"/>
      <w:r w:rsidRPr="00292532">
        <w:rPr>
          <w:lang w:val="pt-PT"/>
        </w:rPr>
        <w:t xml:space="preserve"> ambientais e sociais aos locais de implementação das intervenções na fase de construção </w:t>
      </w:r>
    </w:p>
    <w:p w14:paraId="0F39F3D3" w14:textId="77777777" w:rsidR="000615DB" w:rsidRPr="00292532" w:rsidRDefault="000615DB" w:rsidP="000615DB">
      <w:pPr>
        <w:pStyle w:val="ListParagraph"/>
        <w:numPr>
          <w:ilvl w:val="0"/>
          <w:numId w:val="86"/>
        </w:numPr>
        <w:rPr>
          <w:lang w:val="pt-PT"/>
        </w:rPr>
      </w:pPr>
      <w:r w:rsidRPr="00292532">
        <w:rPr>
          <w:lang w:val="pt-PT"/>
        </w:rPr>
        <w:t xml:space="preserve">Instruir a interrupção temporária das </w:t>
      </w:r>
      <w:proofErr w:type="spellStart"/>
      <w:r w:rsidRPr="00292532">
        <w:rPr>
          <w:lang w:val="pt-PT"/>
        </w:rPr>
        <w:t>actividades</w:t>
      </w:r>
      <w:proofErr w:type="spellEnd"/>
      <w:r w:rsidRPr="00292532">
        <w:rPr>
          <w:lang w:val="pt-PT"/>
        </w:rPr>
        <w:t xml:space="preserve"> para assegurar a minimização dos impactos no caso de ocorrer algum incidente que possa potencialmente causar danos graves ao ambiente ou ao equipamento</w:t>
      </w:r>
    </w:p>
    <w:p w14:paraId="3D4BA917" w14:textId="77777777" w:rsidR="000615DB" w:rsidRPr="00292532" w:rsidRDefault="000615DB" w:rsidP="000615DB">
      <w:pPr>
        <w:pStyle w:val="ListParagraph"/>
        <w:numPr>
          <w:ilvl w:val="0"/>
          <w:numId w:val="86"/>
        </w:numPr>
        <w:rPr>
          <w:lang w:val="pt-PT"/>
        </w:rPr>
      </w:pPr>
      <w:r w:rsidRPr="00292532">
        <w:rPr>
          <w:lang w:val="pt-PT"/>
        </w:rPr>
        <w:t xml:space="preserve">Rever e aprovar os relatórios de desempenho ambiental e social preparados pelas contratadas (empreiteiros) </w:t>
      </w:r>
    </w:p>
    <w:p w14:paraId="1AA29D1E" w14:textId="77777777" w:rsidR="000615DB" w:rsidRPr="00292532" w:rsidRDefault="000615DB" w:rsidP="000615DB">
      <w:pPr>
        <w:pStyle w:val="ListParagraph"/>
        <w:numPr>
          <w:ilvl w:val="0"/>
          <w:numId w:val="86"/>
        </w:numPr>
        <w:rPr>
          <w:lang w:val="pt-PT"/>
        </w:rPr>
      </w:pPr>
      <w:r w:rsidRPr="00292532">
        <w:rPr>
          <w:lang w:val="pt-PT"/>
        </w:rPr>
        <w:t>Dar seguimento e manter os registos de reclamações sob sua competência;</w:t>
      </w:r>
    </w:p>
    <w:p w14:paraId="6B723F7E" w14:textId="77777777" w:rsidR="000615DB" w:rsidRPr="00292532" w:rsidRDefault="000615DB" w:rsidP="000615DB">
      <w:pPr>
        <w:pStyle w:val="ListParagraph"/>
        <w:numPr>
          <w:ilvl w:val="0"/>
          <w:numId w:val="86"/>
        </w:numPr>
        <w:rPr>
          <w:lang w:val="pt-PT"/>
        </w:rPr>
      </w:pPr>
      <w:r w:rsidRPr="00292532">
        <w:rPr>
          <w:lang w:val="pt-PT"/>
        </w:rPr>
        <w:t xml:space="preserve">Produzir e consolidar os relatórios regulares (trimestrais e anuais) de desempenho ambiental e social para sua submissão ao coordenador do </w:t>
      </w:r>
      <w:proofErr w:type="spellStart"/>
      <w:r w:rsidRPr="00292532">
        <w:rPr>
          <w:lang w:val="pt-PT"/>
        </w:rPr>
        <w:t>Projecto</w:t>
      </w:r>
      <w:proofErr w:type="spellEnd"/>
      <w:r w:rsidRPr="00292532">
        <w:rPr>
          <w:lang w:val="pt-PT"/>
        </w:rPr>
        <w:t>.</w:t>
      </w:r>
    </w:p>
    <w:p w14:paraId="18FABC70" w14:textId="77777777" w:rsidR="000615DB" w:rsidRPr="00292532" w:rsidRDefault="000615DB" w:rsidP="000615DB">
      <w:pPr>
        <w:rPr>
          <w:lang w:val="pt-PT"/>
        </w:rPr>
      </w:pPr>
      <w:r w:rsidRPr="00292532">
        <w:rPr>
          <w:lang w:val="pt-PT"/>
        </w:rPr>
        <w:t xml:space="preserve">Os empreiteiros responsáveis pelas obras, desempenharão as seguintes </w:t>
      </w:r>
      <w:proofErr w:type="spellStart"/>
      <w:r w:rsidRPr="00292532">
        <w:rPr>
          <w:lang w:val="pt-PT"/>
        </w:rPr>
        <w:t>actividades</w:t>
      </w:r>
      <w:proofErr w:type="spellEnd"/>
      <w:r w:rsidRPr="00292532">
        <w:rPr>
          <w:lang w:val="pt-PT"/>
        </w:rPr>
        <w:t xml:space="preserve"> no âmbito da implementação do PGAS: </w:t>
      </w:r>
    </w:p>
    <w:p w14:paraId="661BCB4F" w14:textId="77777777" w:rsidR="000615DB" w:rsidRPr="00292532" w:rsidRDefault="000615DB" w:rsidP="000615DB">
      <w:pPr>
        <w:pStyle w:val="ListParagraph"/>
        <w:numPr>
          <w:ilvl w:val="0"/>
          <w:numId w:val="87"/>
        </w:numPr>
        <w:rPr>
          <w:lang w:val="pt-PT"/>
        </w:rPr>
      </w:pPr>
      <w:r w:rsidRPr="00292532">
        <w:rPr>
          <w:lang w:val="pt-PT"/>
        </w:rPr>
        <w:t>Contratar e nomear especialistas qualificados e com competências em matérias de gestão ambiental e social e saúde segurança ocupacional</w:t>
      </w:r>
    </w:p>
    <w:p w14:paraId="53537F7F" w14:textId="77777777" w:rsidR="000615DB" w:rsidRPr="00292532" w:rsidRDefault="000615DB" w:rsidP="000615DB">
      <w:pPr>
        <w:pStyle w:val="ListParagraph"/>
        <w:numPr>
          <w:ilvl w:val="0"/>
          <w:numId w:val="87"/>
        </w:numPr>
        <w:rPr>
          <w:lang w:val="pt-PT"/>
        </w:rPr>
      </w:pPr>
      <w:r w:rsidRPr="00292532">
        <w:rPr>
          <w:lang w:val="pt-PT"/>
        </w:rPr>
        <w:t xml:space="preserve">Implementação diária das medidas ambientais e sociais </w:t>
      </w:r>
      <w:proofErr w:type="gramStart"/>
      <w:r w:rsidRPr="00292532">
        <w:rPr>
          <w:lang w:val="pt-PT"/>
        </w:rPr>
        <w:t>relevantes previstas</w:t>
      </w:r>
      <w:proofErr w:type="gramEnd"/>
      <w:r w:rsidRPr="00292532">
        <w:rPr>
          <w:lang w:val="pt-PT"/>
        </w:rPr>
        <w:t xml:space="preserve"> no PGA, durante toda a fase de construção</w:t>
      </w:r>
    </w:p>
    <w:p w14:paraId="454F1742" w14:textId="77777777" w:rsidR="000615DB" w:rsidRPr="00292532" w:rsidRDefault="000615DB" w:rsidP="000615DB">
      <w:pPr>
        <w:pStyle w:val="ListParagraph"/>
        <w:numPr>
          <w:ilvl w:val="0"/>
          <w:numId w:val="87"/>
        </w:numPr>
        <w:rPr>
          <w:lang w:val="pt-PT"/>
        </w:rPr>
      </w:pPr>
      <w:r w:rsidRPr="00292532">
        <w:rPr>
          <w:lang w:val="pt-PT"/>
        </w:rPr>
        <w:t>Elaboração das declarações de método necessárias para a implementação do PGAS</w:t>
      </w:r>
    </w:p>
    <w:p w14:paraId="063C1CF1" w14:textId="77777777" w:rsidR="000615DB" w:rsidRPr="00292532" w:rsidRDefault="000615DB" w:rsidP="000615DB">
      <w:pPr>
        <w:pStyle w:val="ListParagraph"/>
        <w:numPr>
          <w:ilvl w:val="0"/>
          <w:numId w:val="87"/>
        </w:numPr>
        <w:rPr>
          <w:lang w:val="pt-PT"/>
        </w:rPr>
      </w:pPr>
      <w:r w:rsidRPr="00292532">
        <w:rPr>
          <w:lang w:val="pt-PT"/>
        </w:rPr>
        <w:t xml:space="preserve">Elaboração de relatórios regulares (mensais) de implementação do PGAS para submissão às </w:t>
      </w:r>
      <w:proofErr w:type="spellStart"/>
      <w:r w:rsidRPr="00292532">
        <w:rPr>
          <w:lang w:val="pt-PT"/>
        </w:rPr>
        <w:t>UIPs</w:t>
      </w:r>
      <w:proofErr w:type="spellEnd"/>
      <w:r w:rsidRPr="00292532">
        <w:rPr>
          <w:lang w:val="pt-PT"/>
        </w:rPr>
        <w:t>.</w:t>
      </w:r>
    </w:p>
    <w:p w14:paraId="07BC0578" w14:textId="4B2EF47C" w:rsidR="00F638C3" w:rsidRPr="00292532" w:rsidRDefault="000615DB" w:rsidP="000615DB">
      <w:pPr>
        <w:rPr>
          <w:lang w:val="pt-PT" w:eastAsia="ja-JP"/>
        </w:rPr>
      </w:pPr>
      <w:r w:rsidRPr="00292532">
        <w:rPr>
          <w:lang w:val="pt-PT"/>
        </w:rPr>
        <w:t xml:space="preserve">Gestão de todos os </w:t>
      </w:r>
      <w:proofErr w:type="spellStart"/>
      <w:r w:rsidRPr="00292532">
        <w:rPr>
          <w:lang w:val="pt-PT"/>
        </w:rPr>
        <w:t>aspectos</w:t>
      </w:r>
      <w:proofErr w:type="spellEnd"/>
      <w:r w:rsidRPr="00292532">
        <w:rPr>
          <w:lang w:val="pt-PT"/>
        </w:rPr>
        <w:t xml:space="preserve"> de saúde e segurança ocupacional</w:t>
      </w:r>
    </w:p>
    <w:p w14:paraId="009965E4" w14:textId="2E603930" w:rsidR="00F638C3" w:rsidRPr="00292532" w:rsidRDefault="00F638C3" w:rsidP="00F638C3">
      <w:pPr>
        <w:rPr>
          <w:lang w:val="pt-PT" w:eastAsia="ja-JP"/>
        </w:rPr>
      </w:pPr>
    </w:p>
    <w:p w14:paraId="3C7EB842" w14:textId="58DBFABD" w:rsidR="00F638C3" w:rsidRPr="00292532" w:rsidRDefault="00F638C3" w:rsidP="00F638C3">
      <w:pPr>
        <w:rPr>
          <w:lang w:val="pt-PT" w:eastAsia="ja-JP"/>
        </w:rPr>
      </w:pPr>
    </w:p>
    <w:p w14:paraId="0A2F13C8" w14:textId="506E4C09" w:rsidR="00F638C3" w:rsidRPr="00292532" w:rsidRDefault="00F638C3" w:rsidP="00F638C3">
      <w:pPr>
        <w:rPr>
          <w:lang w:val="pt-PT" w:eastAsia="ja-JP"/>
        </w:rPr>
      </w:pPr>
    </w:p>
    <w:p w14:paraId="3267D2EE" w14:textId="77777777" w:rsidR="00F638C3" w:rsidRPr="00292532" w:rsidRDefault="00F638C3" w:rsidP="00F638C3">
      <w:pPr>
        <w:rPr>
          <w:lang w:val="pt-PT" w:eastAsia="ja-JP"/>
        </w:rPr>
      </w:pPr>
    </w:p>
    <w:p w14:paraId="776F2128" w14:textId="51EDD7B3" w:rsidR="00F638C3" w:rsidRPr="00292532" w:rsidRDefault="00F638C3" w:rsidP="004500AE">
      <w:pPr>
        <w:rPr>
          <w:lang w:val="pt-PT" w:eastAsia="ja-JP"/>
        </w:rPr>
        <w:sectPr w:rsidR="00F638C3" w:rsidRPr="00292532" w:rsidSect="00C01674">
          <w:pgSz w:w="11906" w:h="16838"/>
          <w:pgMar w:top="1417" w:right="1701" w:bottom="1417" w:left="1701" w:header="708" w:footer="708" w:gutter="0"/>
          <w:pgBorders w:offsetFrom="page">
            <w:top w:val="single" w:sz="4" w:space="24" w:color="FFFFFF" w:themeColor="background1"/>
            <w:bottom w:val="single" w:sz="4" w:space="24" w:color="FFFFFF" w:themeColor="background1"/>
            <w:right w:val="single" w:sz="4" w:space="24" w:color="FFFFFF" w:themeColor="background1"/>
          </w:pgBorders>
          <w:cols w:space="708"/>
          <w:docGrid w:linePitch="360"/>
        </w:sectPr>
      </w:pPr>
    </w:p>
    <w:p w14:paraId="300EFD76" w14:textId="0A1875B0" w:rsidR="000F0611" w:rsidRPr="00292532" w:rsidRDefault="000F0611" w:rsidP="000D7B05">
      <w:pPr>
        <w:pStyle w:val="Title"/>
      </w:pPr>
      <w:r w:rsidRPr="00292532">
        <w:lastRenderedPageBreak/>
        <w:t xml:space="preserve">anexo </w:t>
      </w:r>
      <w:r w:rsidR="00597827" w:rsidRPr="00292532">
        <w:t>5</w:t>
      </w:r>
    </w:p>
    <w:p w14:paraId="5233A086" w14:textId="0F27A0A9" w:rsidR="00D15478" w:rsidRPr="00292532" w:rsidRDefault="00D15478" w:rsidP="00AE14AE">
      <w:pPr>
        <w:pStyle w:val="Heading1"/>
        <w:numPr>
          <w:ilvl w:val="0"/>
          <w:numId w:val="102"/>
        </w:numPr>
        <w:rPr>
          <w:lang w:val="pt-PT" w:eastAsia="ja-JP"/>
        </w:rPr>
      </w:pPr>
      <w:bookmarkStart w:id="565" w:name="_Toc73620184"/>
      <w:bookmarkStart w:id="566" w:name="_Toc73623811"/>
      <w:bookmarkStart w:id="567" w:name="_Toc73624459"/>
      <w:bookmarkStart w:id="568" w:name="_Toc73954594"/>
      <w:bookmarkStart w:id="569" w:name="_Toc75437993"/>
      <w:bookmarkStart w:id="570" w:name="_Toc78435432"/>
      <w:bookmarkStart w:id="571" w:name="_Toc80380102"/>
      <w:r w:rsidRPr="00292532">
        <w:rPr>
          <w:lang w:val="pt-PT" w:eastAsia="ja-JP"/>
        </w:rPr>
        <w:t>Avaliação de Risco de Perigo e Prontidão de Respo</w:t>
      </w:r>
      <w:r w:rsidR="0012480B" w:rsidRPr="00292532">
        <w:rPr>
          <w:lang w:val="pt-PT" w:eastAsia="ja-JP"/>
        </w:rPr>
        <w:t>s</w:t>
      </w:r>
      <w:r w:rsidRPr="00292532">
        <w:rPr>
          <w:lang w:val="pt-PT" w:eastAsia="ja-JP"/>
        </w:rPr>
        <w:t>ta à Emergência (ARP-PRE)</w:t>
      </w:r>
      <w:bookmarkEnd w:id="565"/>
      <w:bookmarkEnd w:id="566"/>
      <w:bookmarkEnd w:id="567"/>
      <w:bookmarkEnd w:id="568"/>
      <w:bookmarkEnd w:id="569"/>
      <w:bookmarkEnd w:id="570"/>
      <w:bookmarkEnd w:id="571"/>
    </w:p>
    <w:p w14:paraId="7C03BDD7" w14:textId="5AA39FBB" w:rsidR="004D00A9" w:rsidRPr="00292532" w:rsidRDefault="008B201E" w:rsidP="00B12145">
      <w:pPr>
        <w:rPr>
          <w:lang w:val="pt-PT" w:eastAsia="ja-JP"/>
        </w:rPr>
      </w:pPr>
      <w:r w:rsidRPr="00292532">
        <w:rPr>
          <w:lang w:val="pt-PT" w:eastAsia="ja-JP"/>
        </w:rPr>
        <w:t xml:space="preserve">O presente plano </w:t>
      </w:r>
      <w:r w:rsidR="00D15478" w:rsidRPr="00292532">
        <w:rPr>
          <w:lang w:val="pt-PT" w:eastAsia="ja-JP"/>
        </w:rPr>
        <w:t>fornece os</w:t>
      </w:r>
      <w:r w:rsidRPr="00292532">
        <w:rPr>
          <w:lang w:val="pt-PT" w:eastAsia="ja-JP"/>
        </w:rPr>
        <w:t xml:space="preserve"> gerais para conduzir uma avaliação de riscos e orientações para a prontidão e resposta em </w:t>
      </w:r>
      <w:r w:rsidR="00D15478" w:rsidRPr="00292532">
        <w:rPr>
          <w:lang w:val="pt-PT" w:eastAsia="ja-JP"/>
        </w:rPr>
        <w:t>emergências</w:t>
      </w:r>
      <w:r w:rsidRPr="00292532">
        <w:rPr>
          <w:lang w:val="pt-PT" w:eastAsia="ja-JP"/>
        </w:rPr>
        <w:t xml:space="preserve">. </w:t>
      </w:r>
    </w:p>
    <w:p w14:paraId="59C654BF" w14:textId="4E87DA8B" w:rsidR="00872737" w:rsidRPr="00292532" w:rsidRDefault="00D15478" w:rsidP="007A1525">
      <w:pPr>
        <w:pStyle w:val="Heading2"/>
      </w:pPr>
      <w:bookmarkStart w:id="572" w:name="_Toc73620185"/>
      <w:bookmarkStart w:id="573" w:name="_Toc73623812"/>
      <w:bookmarkStart w:id="574" w:name="_Toc73624460"/>
      <w:bookmarkStart w:id="575" w:name="_Toc73954595"/>
      <w:bookmarkStart w:id="576" w:name="_Toc75437994"/>
      <w:bookmarkStart w:id="577" w:name="_Toc78435433"/>
      <w:bookmarkStart w:id="578" w:name="_Toc80380103"/>
      <w:r w:rsidRPr="00292532">
        <w:t>Gestão de Riscos Ambientais e Sociais</w:t>
      </w:r>
      <w:bookmarkEnd w:id="572"/>
      <w:bookmarkEnd w:id="573"/>
      <w:bookmarkEnd w:id="574"/>
      <w:bookmarkEnd w:id="575"/>
      <w:bookmarkEnd w:id="576"/>
      <w:bookmarkEnd w:id="577"/>
      <w:bookmarkEnd w:id="578"/>
    </w:p>
    <w:p w14:paraId="78EFE170" w14:textId="7D2DA829" w:rsidR="00D15478" w:rsidRPr="00292532" w:rsidRDefault="00D15478" w:rsidP="00D15478">
      <w:pPr>
        <w:rPr>
          <w:lang w:val="pt-PT"/>
        </w:rPr>
      </w:pPr>
      <w:r w:rsidRPr="00292532">
        <w:rPr>
          <w:lang w:val="pt-PT"/>
        </w:rPr>
        <w:t xml:space="preserve">Os Riscos Ambientais e Sociais devem ser identificados e revistos em todas as fases de implementação do </w:t>
      </w:r>
      <w:proofErr w:type="spellStart"/>
      <w:r w:rsidRPr="00292532">
        <w:rPr>
          <w:lang w:val="pt-PT"/>
        </w:rPr>
        <w:t>Projecto</w:t>
      </w:r>
      <w:proofErr w:type="spellEnd"/>
      <w:r w:rsidRPr="00292532">
        <w:rPr>
          <w:lang w:val="pt-PT"/>
        </w:rPr>
        <w:t xml:space="preserve">, dando prioridade aos </w:t>
      </w:r>
      <w:proofErr w:type="spellStart"/>
      <w:r w:rsidRPr="00292532">
        <w:rPr>
          <w:lang w:val="pt-PT"/>
        </w:rPr>
        <w:t>aspectos</w:t>
      </w:r>
      <w:proofErr w:type="spellEnd"/>
      <w:r w:rsidRPr="00292532">
        <w:rPr>
          <w:lang w:val="pt-PT"/>
        </w:rPr>
        <w:t xml:space="preserve"> de risco elevado relacionados com a fase de construção. O Mutuário através das Unidades de Implementação do </w:t>
      </w:r>
      <w:proofErr w:type="spellStart"/>
      <w:r w:rsidRPr="00292532">
        <w:rPr>
          <w:lang w:val="pt-PT"/>
        </w:rPr>
        <w:t>Projecto</w:t>
      </w:r>
      <w:proofErr w:type="spellEnd"/>
      <w:r w:rsidRPr="00292532">
        <w:rPr>
          <w:lang w:val="pt-PT"/>
        </w:rPr>
        <w:t xml:space="preserve"> deve requerer durante a fase de concurso aos empreiteiros uma avaliação detalhada dos riscos em relação a </w:t>
      </w:r>
      <w:proofErr w:type="spellStart"/>
      <w:r w:rsidRPr="00292532">
        <w:rPr>
          <w:lang w:val="pt-PT"/>
        </w:rPr>
        <w:t>actividades</w:t>
      </w:r>
      <w:proofErr w:type="spellEnd"/>
      <w:r w:rsidRPr="00292532">
        <w:rPr>
          <w:lang w:val="pt-PT"/>
        </w:rPr>
        <w:t xml:space="preserve"> a serem desenvolvidas.  </w:t>
      </w:r>
    </w:p>
    <w:p w14:paraId="4CE050AE" w14:textId="60EBB818" w:rsidR="00D15478" w:rsidRPr="00292532" w:rsidRDefault="00D15478" w:rsidP="00D15478">
      <w:pPr>
        <w:rPr>
          <w:lang w:val="pt-PT"/>
        </w:rPr>
      </w:pPr>
      <w:r w:rsidRPr="00292532">
        <w:rPr>
          <w:lang w:val="pt-PT"/>
        </w:rPr>
        <w:t xml:space="preserve">O registo de riscos será utilizado para definir as áreas prioritárias ou de risco elevado, em relação ao </w:t>
      </w:r>
      <w:proofErr w:type="spellStart"/>
      <w:r w:rsidRPr="00292532">
        <w:rPr>
          <w:lang w:val="pt-PT"/>
        </w:rPr>
        <w:t>Projecto</w:t>
      </w:r>
      <w:proofErr w:type="spellEnd"/>
      <w:r w:rsidRPr="00292532">
        <w:rPr>
          <w:lang w:val="pt-PT"/>
        </w:rPr>
        <w:t xml:space="preserve">. Este registo será utilizado para:  </w:t>
      </w:r>
    </w:p>
    <w:p w14:paraId="651CDE13" w14:textId="3C96B222" w:rsidR="00D15478" w:rsidRPr="00292532" w:rsidRDefault="00D15478" w:rsidP="00AE14AE">
      <w:pPr>
        <w:pStyle w:val="ListParagraph"/>
        <w:numPr>
          <w:ilvl w:val="0"/>
          <w:numId w:val="72"/>
        </w:numPr>
        <w:rPr>
          <w:lang w:val="pt-PT"/>
        </w:rPr>
      </w:pPr>
      <w:r w:rsidRPr="00292532">
        <w:rPr>
          <w:lang w:val="pt-PT"/>
        </w:rPr>
        <w:t xml:space="preserve">Estruturar a responsabilidade pela identificação e gestão dos riscos sociais e ambientais associados; </w:t>
      </w:r>
    </w:p>
    <w:p w14:paraId="1F807930" w14:textId="64CEA483" w:rsidR="00D15478" w:rsidRPr="00292532" w:rsidRDefault="00D15478" w:rsidP="00AE14AE">
      <w:pPr>
        <w:pStyle w:val="ListParagraph"/>
        <w:numPr>
          <w:ilvl w:val="0"/>
          <w:numId w:val="72"/>
        </w:numPr>
        <w:rPr>
          <w:lang w:val="pt-PT"/>
        </w:rPr>
      </w:pPr>
      <w:r w:rsidRPr="00292532">
        <w:rPr>
          <w:lang w:val="pt-PT"/>
        </w:rPr>
        <w:t xml:space="preserve">Garantir que, durante as decisões, se aplique a hierarquia para o tratamento de riscos, de modo a identificar estratégias de gestão; e,  </w:t>
      </w:r>
    </w:p>
    <w:p w14:paraId="1EB5EAB3" w14:textId="14CC4175" w:rsidR="00D15478" w:rsidRPr="00292532" w:rsidRDefault="00D15478" w:rsidP="00AE14AE">
      <w:pPr>
        <w:pStyle w:val="ListParagraph"/>
        <w:numPr>
          <w:ilvl w:val="0"/>
          <w:numId w:val="72"/>
        </w:numPr>
        <w:rPr>
          <w:lang w:val="pt-PT"/>
        </w:rPr>
      </w:pPr>
      <w:r w:rsidRPr="00292532">
        <w:rPr>
          <w:lang w:val="pt-PT"/>
        </w:rPr>
        <w:t xml:space="preserve">Descrever medidas de controlo e de mitigação. </w:t>
      </w:r>
    </w:p>
    <w:p w14:paraId="7AF7E843" w14:textId="2348B3AA" w:rsidR="00D15478" w:rsidRPr="00292532" w:rsidRDefault="00D15478" w:rsidP="00AE14AE">
      <w:pPr>
        <w:pStyle w:val="ListParagraph"/>
        <w:numPr>
          <w:ilvl w:val="0"/>
          <w:numId w:val="72"/>
        </w:numPr>
        <w:rPr>
          <w:lang w:val="pt-PT"/>
        </w:rPr>
      </w:pPr>
      <w:r w:rsidRPr="00292532">
        <w:rPr>
          <w:lang w:val="pt-PT"/>
        </w:rPr>
        <w:t>Garantir um acompanhamento da implementa</w:t>
      </w:r>
      <w:r w:rsidR="0012480B" w:rsidRPr="00292532">
        <w:rPr>
          <w:lang w:val="pt-PT"/>
        </w:rPr>
        <w:t>ç</w:t>
      </w:r>
      <w:r w:rsidRPr="00292532">
        <w:rPr>
          <w:lang w:val="pt-PT"/>
        </w:rPr>
        <w:t>ão das medidas de mitigação proposta no registo de riscos.</w:t>
      </w:r>
    </w:p>
    <w:p w14:paraId="5554ECD1" w14:textId="712322A8" w:rsidR="00D15478" w:rsidRPr="00292532" w:rsidRDefault="00D15478" w:rsidP="00D15478">
      <w:pPr>
        <w:rPr>
          <w:lang w:val="pt-PT"/>
        </w:rPr>
      </w:pPr>
      <w:r w:rsidRPr="00292532">
        <w:rPr>
          <w:lang w:val="pt-PT"/>
        </w:rPr>
        <w:t xml:space="preserve">Quando forem identificados riscos elevados, devem se estabelecer planos de gestão adequados para minimizar os riscos. O registo dos riscos deve ser </w:t>
      </w:r>
      <w:proofErr w:type="spellStart"/>
      <w:r w:rsidRPr="00292532">
        <w:rPr>
          <w:lang w:val="pt-PT"/>
        </w:rPr>
        <w:t>actualizado</w:t>
      </w:r>
      <w:proofErr w:type="spellEnd"/>
      <w:r w:rsidRPr="00292532">
        <w:rPr>
          <w:lang w:val="pt-PT"/>
        </w:rPr>
        <w:t xml:space="preserve"> periodicamente (semestralmente), com base nas alterações do </w:t>
      </w:r>
      <w:proofErr w:type="spellStart"/>
      <w:r w:rsidRPr="00292532">
        <w:rPr>
          <w:lang w:val="pt-PT"/>
        </w:rPr>
        <w:t>Projecto</w:t>
      </w:r>
      <w:proofErr w:type="spellEnd"/>
      <w:r w:rsidRPr="00292532">
        <w:rPr>
          <w:lang w:val="pt-PT"/>
        </w:rPr>
        <w:t xml:space="preserve"> e quando os dados de monitorização fornecerem informação adicional.</w:t>
      </w:r>
    </w:p>
    <w:p w14:paraId="0D15D284" w14:textId="77777777" w:rsidR="008B201E" w:rsidRPr="00292532" w:rsidRDefault="008B201E" w:rsidP="008B201E">
      <w:pPr>
        <w:rPr>
          <w:lang w:val="pt-PT"/>
        </w:rPr>
      </w:pPr>
    </w:p>
    <w:p w14:paraId="5C455DD2" w14:textId="233F41D7" w:rsidR="00D15478" w:rsidRPr="00292532" w:rsidRDefault="0012480B" w:rsidP="0012480B">
      <w:pPr>
        <w:pStyle w:val="Heading2"/>
      </w:pPr>
      <w:bookmarkStart w:id="579" w:name="_Toc73620186"/>
      <w:bookmarkStart w:id="580" w:name="_Toc73623813"/>
      <w:bookmarkStart w:id="581" w:name="_Toc73624461"/>
      <w:bookmarkStart w:id="582" w:name="_Toc73954596"/>
      <w:bookmarkStart w:id="583" w:name="_Toc75437995"/>
      <w:bookmarkStart w:id="584" w:name="_Toc78435434"/>
      <w:bookmarkStart w:id="585" w:name="_Toc80380104"/>
      <w:r w:rsidRPr="00292532">
        <w:t>Plano de Resposta à Situações de Emergência e Cenários de Emergência</w:t>
      </w:r>
      <w:bookmarkEnd w:id="579"/>
      <w:bookmarkEnd w:id="580"/>
      <w:bookmarkEnd w:id="581"/>
      <w:bookmarkEnd w:id="582"/>
      <w:bookmarkEnd w:id="583"/>
      <w:bookmarkEnd w:id="584"/>
      <w:bookmarkEnd w:id="585"/>
    </w:p>
    <w:p w14:paraId="34FCC505" w14:textId="711B11E0" w:rsidR="0012480B" w:rsidRPr="00292532" w:rsidRDefault="0012480B" w:rsidP="0012480B">
      <w:pPr>
        <w:rPr>
          <w:lang w:val="pt-PT" w:eastAsia="ja-JP"/>
        </w:rPr>
      </w:pPr>
      <w:r w:rsidRPr="00292532">
        <w:rPr>
          <w:lang w:val="pt-PT" w:eastAsia="ja-JP"/>
        </w:rPr>
        <w:t xml:space="preserve">O Mutuário através das </w:t>
      </w:r>
      <w:proofErr w:type="spellStart"/>
      <w:r w:rsidRPr="00292532">
        <w:rPr>
          <w:lang w:val="pt-PT" w:eastAsia="ja-JP"/>
        </w:rPr>
        <w:t>UIPs</w:t>
      </w:r>
      <w:proofErr w:type="spellEnd"/>
      <w:r w:rsidRPr="00292532">
        <w:rPr>
          <w:lang w:val="pt-PT" w:eastAsia="ja-JP"/>
        </w:rPr>
        <w:t xml:space="preserve"> garantirá a elaboração de Planos de Resposta à Emergências por parte dos empreiteiros principais. Os planos devem endereçar os seguintes tipos de emergências: </w:t>
      </w:r>
    </w:p>
    <w:p w14:paraId="3689B06B" w14:textId="35AB1CC8" w:rsidR="0012480B" w:rsidRPr="00292532" w:rsidRDefault="0012480B" w:rsidP="00AE14AE">
      <w:pPr>
        <w:pStyle w:val="ListParagraph"/>
        <w:numPr>
          <w:ilvl w:val="0"/>
          <w:numId w:val="103"/>
        </w:numPr>
        <w:rPr>
          <w:lang w:val="pt-PT" w:eastAsia="ja-JP"/>
        </w:rPr>
      </w:pPr>
      <w:r w:rsidRPr="00292532">
        <w:rPr>
          <w:lang w:val="pt-PT" w:eastAsia="ja-JP"/>
        </w:rPr>
        <w:t>Acidentes de viação</w:t>
      </w:r>
    </w:p>
    <w:p w14:paraId="007BEB9E" w14:textId="6E8276C0" w:rsidR="0012480B" w:rsidRPr="00292532" w:rsidRDefault="0012480B" w:rsidP="00AE14AE">
      <w:pPr>
        <w:pStyle w:val="ListParagraph"/>
        <w:numPr>
          <w:ilvl w:val="0"/>
          <w:numId w:val="103"/>
        </w:numPr>
        <w:rPr>
          <w:lang w:val="pt-PT" w:eastAsia="ja-JP"/>
        </w:rPr>
      </w:pPr>
      <w:r w:rsidRPr="00292532">
        <w:rPr>
          <w:lang w:val="pt-PT" w:eastAsia="ja-JP"/>
        </w:rPr>
        <w:t xml:space="preserve">Contaminação ou intoxicação pelo consumo de água ou alimentos </w:t>
      </w:r>
    </w:p>
    <w:p w14:paraId="1E1291AC" w14:textId="30228BE9" w:rsidR="0012480B" w:rsidRPr="00292532" w:rsidRDefault="0012480B" w:rsidP="00AE14AE">
      <w:pPr>
        <w:pStyle w:val="ListParagraph"/>
        <w:numPr>
          <w:ilvl w:val="0"/>
          <w:numId w:val="103"/>
        </w:numPr>
        <w:rPr>
          <w:lang w:val="pt-PT" w:eastAsia="ja-JP"/>
        </w:rPr>
      </w:pPr>
      <w:r w:rsidRPr="00292532">
        <w:rPr>
          <w:lang w:val="pt-PT" w:eastAsia="ja-JP"/>
        </w:rPr>
        <w:t xml:space="preserve">Instabilidade política </w:t>
      </w:r>
    </w:p>
    <w:p w14:paraId="385E3420" w14:textId="60393BEE" w:rsidR="0012480B" w:rsidRPr="00292532" w:rsidRDefault="0012480B" w:rsidP="00AE14AE">
      <w:pPr>
        <w:pStyle w:val="ListParagraph"/>
        <w:numPr>
          <w:ilvl w:val="0"/>
          <w:numId w:val="103"/>
        </w:numPr>
        <w:rPr>
          <w:lang w:val="pt-PT" w:eastAsia="ja-JP"/>
        </w:rPr>
      </w:pPr>
      <w:r w:rsidRPr="00292532">
        <w:rPr>
          <w:lang w:val="pt-PT" w:eastAsia="ja-JP"/>
        </w:rPr>
        <w:t>Terrorismo</w:t>
      </w:r>
    </w:p>
    <w:p w14:paraId="4B8EC189" w14:textId="69C7A501" w:rsidR="0012480B" w:rsidRPr="00292532" w:rsidRDefault="0012480B" w:rsidP="00AE14AE">
      <w:pPr>
        <w:pStyle w:val="ListParagraph"/>
        <w:numPr>
          <w:ilvl w:val="0"/>
          <w:numId w:val="103"/>
        </w:numPr>
        <w:rPr>
          <w:lang w:val="pt-PT" w:eastAsia="ja-JP"/>
        </w:rPr>
      </w:pPr>
      <w:r w:rsidRPr="00292532">
        <w:rPr>
          <w:lang w:val="pt-PT" w:eastAsia="ja-JP"/>
        </w:rPr>
        <w:t>Conflitos violentos com a comunidade</w:t>
      </w:r>
    </w:p>
    <w:p w14:paraId="2B120FED" w14:textId="327EB243" w:rsidR="0012480B" w:rsidRPr="00292532" w:rsidRDefault="0012480B" w:rsidP="00AE14AE">
      <w:pPr>
        <w:pStyle w:val="ListParagraph"/>
        <w:numPr>
          <w:ilvl w:val="0"/>
          <w:numId w:val="103"/>
        </w:numPr>
        <w:rPr>
          <w:lang w:val="pt-PT" w:eastAsia="ja-JP"/>
        </w:rPr>
      </w:pPr>
      <w:r w:rsidRPr="00292532">
        <w:rPr>
          <w:lang w:val="pt-PT" w:eastAsia="ja-JP"/>
        </w:rPr>
        <w:t xml:space="preserve">Incêndios </w:t>
      </w:r>
    </w:p>
    <w:p w14:paraId="41899034" w14:textId="14740EEA" w:rsidR="0012480B" w:rsidRPr="00292532" w:rsidRDefault="0012480B" w:rsidP="00AE14AE">
      <w:pPr>
        <w:pStyle w:val="ListParagraph"/>
        <w:numPr>
          <w:ilvl w:val="0"/>
          <w:numId w:val="103"/>
        </w:numPr>
        <w:rPr>
          <w:lang w:val="pt-PT" w:eastAsia="ja-JP"/>
        </w:rPr>
      </w:pPr>
      <w:r w:rsidRPr="00292532">
        <w:rPr>
          <w:lang w:val="pt-PT" w:eastAsia="ja-JP"/>
        </w:rPr>
        <w:t xml:space="preserve">Cheias e ciclones </w:t>
      </w:r>
    </w:p>
    <w:p w14:paraId="436CE86C" w14:textId="69ED267A" w:rsidR="0012480B" w:rsidRPr="00292532" w:rsidRDefault="0012480B" w:rsidP="00AE14AE">
      <w:pPr>
        <w:pStyle w:val="ListParagraph"/>
        <w:numPr>
          <w:ilvl w:val="0"/>
          <w:numId w:val="103"/>
        </w:numPr>
        <w:rPr>
          <w:lang w:val="pt-PT" w:eastAsia="ja-JP"/>
        </w:rPr>
      </w:pPr>
      <w:r w:rsidRPr="00292532">
        <w:rPr>
          <w:lang w:val="pt-PT" w:eastAsia="ja-JP"/>
        </w:rPr>
        <w:t xml:space="preserve">Derrames de combustível ou produtos químicos. </w:t>
      </w:r>
    </w:p>
    <w:p w14:paraId="49E9F3FB" w14:textId="77777777" w:rsidR="0012480B" w:rsidRPr="00292532" w:rsidRDefault="0012480B" w:rsidP="007A1525">
      <w:pPr>
        <w:pStyle w:val="ListParagraph"/>
        <w:numPr>
          <w:ilvl w:val="0"/>
          <w:numId w:val="0"/>
        </w:numPr>
        <w:ind w:left="360"/>
        <w:rPr>
          <w:lang w:val="pt-PT" w:eastAsia="ja-JP"/>
        </w:rPr>
      </w:pPr>
    </w:p>
    <w:p w14:paraId="6AD7D13D" w14:textId="76A7CDF1" w:rsidR="0012480B" w:rsidRPr="00292532" w:rsidRDefault="0012480B" w:rsidP="0012480B">
      <w:pPr>
        <w:pStyle w:val="Heading2"/>
      </w:pPr>
      <w:bookmarkStart w:id="586" w:name="_Toc73620187"/>
      <w:bookmarkStart w:id="587" w:name="_Toc73623814"/>
      <w:bookmarkStart w:id="588" w:name="_Toc73624462"/>
      <w:bookmarkStart w:id="589" w:name="_Toc73954597"/>
      <w:bookmarkStart w:id="590" w:name="_Toc75437996"/>
      <w:bookmarkStart w:id="591" w:name="_Toc78435435"/>
      <w:bookmarkStart w:id="592" w:name="_Toc80380105"/>
      <w:r w:rsidRPr="00292532">
        <w:t>Procedimentos de Resposta</w:t>
      </w:r>
      <w:bookmarkEnd w:id="586"/>
      <w:bookmarkEnd w:id="587"/>
      <w:bookmarkEnd w:id="588"/>
      <w:bookmarkEnd w:id="589"/>
      <w:bookmarkEnd w:id="590"/>
      <w:bookmarkEnd w:id="591"/>
      <w:bookmarkEnd w:id="592"/>
      <w:r w:rsidRPr="00292532">
        <w:t xml:space="preserve"> </w:t>
      </w:r>
    </w:p>
    <w:p w14:paraId="1E947D94" w14:textId="0231F8BC" w:rsidR="0012480B" w:rsidRPr="00292532" w:rsidRDefault="0012480B" w:rsidP="0012480B">
      <w:pPr>
        <w:rPr>
          <w:lang w:val="pt-PT" w:eastAsia="ja-JP"/>
        </w:rPr>
      </w:pPr>
      <w:r w:rsidRPr="00292532">
        <w:rPr>
          <w:lang w:val="pt-PT" w:eastAsia="ja-JP"/>
        </w:rPr>
        <w:t xml:space="preserve">Os Planos de Resposta a Situações de Emergência irão incluir procedimentos específicos de resposta a </w:t>
      </w:r>
      <w:r w:rsidR="00292532" w:rsidRPr="00292532">
        <w:rPr>
          <w:lang w:val="pt-PT" w:eastAsia="ja-JP"/>
        </w:rPr>
        <w:t>emergências</w:t>
      </w:r>
      <w:r w:rsidRPr="00292532">
        <w:rPr>
          <w:lang w:val="pt-PT" w:eastAsia="ja-JP"/>
        </w:rPr>
        <w:t xml:space="preserve">, para cada um dos cenários acima identificados e outros possíveis a serem identificados posteriormente. Estes irão estruturar um processo de resposta rápida e eficiente e de gestão de </w:t>
      </w:r>
      <w:r w:rsidR="00292532" w:rsidRPr="00292532">
        <w:rPr>
          <w:lang w:val="pt-PT" w:eastAsia="ja-JP"/>
        </w:rPr>
        <w:t>emergências</w:t>
      </w:r>
      <w:r w:rsidRPr="00292532">
        <w:rPr>
          <w:lang w:val="pt-PT" w:eastAsia="ja-JP"/>
        </w:rPr>
        <w:t xml:space="preserve"> </w:t>
      </w:r>
      <w:r w:rsidRPr="00292532">
        <w:rPr>
          <w:lang w:val="pt-PT" w:eastAsia="ja-JP"/>
        </w:rPr>
        <w:lastRenderedPageBreak/>
        <w:t xml:space="preserve">durante a fase de construção. Os </w:t>
      </w:r>
      <w:r w:rsidR="006D37D9" w:rsidRPr="00292532">
        <w:rPr>
          <w:lang w:val="pt-PT" w:eastAsia="ja-JP"/>
        </w:rPr>
        <w:t>planos de emergência responderão a</w:t>
      </w:r>
      <w:r w:rsidRPr="00292532">
        <w:rPr>
          <w:lang w:val="pt-PT" w:eastAsia="ja-JP"/>
        </w:rPr>
        <w:t>os requisitos referidos nas subsecções seguintes</w:t>
      </w:r>
      <w:r w:rsidR="006D37D9" w:rsidRPr="00292532">
        <w:rPr>
          <w:lang w:val="pt-PT" w:eastAsia="ja-JP"/>
        </w:rPr>
        <w:t xml:space="preserve"> e devem contemplar, entre outros, os seguintes </w:t>
      </w:r>
      <w:proofErr w:type="spellStart"/>
      <w:r w:rsidR="006D37D9" w:rsidRPr="00292532">
        <w:rPr>
          <w:lang w:val="pt-PT" w:eastAsia="ja-JP"/>
        </w:rPr>
        <w:t>aspectos</w:t>
      </w:r>
      <w:proofErr w:type="spellEnd"/>
      <w:r w:rsidR="006D37D9" w:rsidRPr="00292532">
        <w:rPr>
          <w:lang w:val="pt-PT" w:eastAsia="ja-JP"/>
        </w:rPr>
        <w:t xml:space="preserve">: </w:t>
      </w:r>
    </w:p>
    <w:p w14:paraId="23A48285" w14:textId="79764CE5" w:rsidR="006D37D9" w:rsidRPr="00292532" w:rsidRDefault="006D37D9" w:rsidP="00AE14AE">
      <w:pPr>
        <w:pStyle w:val="ListParagraph"/>
        <w:numPr>
          <w:ilvl w:val="0"/>
          <w:numId w:val="104"/>
        </w:numPr>
        <w:rPr>
          <w:lang w:val="pt-PT" w:eastAsia="ja-JP"/>
        </w:rPr>
      </w:pPr>
      <w:r w:rsidRPr="00292532">
        <w:rPr>
          <w:lang w:val="pt-PT" w:eastAsia="ja-JP"/>
        </w:rPr>
        <w:t xml:space="preserve">Descrição das </w:t>
      </w:r>
      <w:proofErr w:type="spellStart"/>
      <w:r w:rsidRPr="00292532">
        <w:rPr>
          <w:lang w:val="pt-PT" w:eastAsia="ja-JP"/>
        </w:rPr>
        <w:t>actividades</w:t>
      </w:r>
      <w:proofErr w:type="spellEnd"/>
      <w:r w:rsidRPr="00292532">
        <w:rPr>
          <w:lang w:val="pt-PT" w:eastAsia="ja-JP"/>
        </w:rPr>
        <w:t xml:space="preserve"> </w:t>
      </w:r>
    </w:p>
    <w:p w14:paraId="4A70E813" w14:textId="0A762C9D" w:rsidR="006D37D9" w:rsidRPr="00292532" w:rsidRDefault="006D37D9" w:rsidP="00AE14AE">
      <w:pPr>
        <w:pStyle w:val="ListParagraph"/>
        <w:numPr>
          <w:ilvl w:val="0"/>
          <w:numId w:val="104"/>
        </w:numPr>
        <w:rPr>
          <w:lang w:val="pt-PT" w:eastAsia="ja-JP"/>
        </w:rPr>
      </w:pPr>
      <w:r w:rsidRPr="00292532">
        <w:rPr>
          <w:lang w:val="pt-PT" w:eastAsia="ja-JP"/>
        </w:rPr>
        <w:t xml:space="preserve">Cenários de acidentes considerados </w:t>
      </w:r>
    </w:p>
    <w:p w14:paraId="729A29C5" w14:textId="7F1DA14D" w:rsidR="006D37D9" w:rsidRPr="00292532" w:rsidRDefault="006D37D9" w:rsidP="00AE14AE">
      <w:pPr>
        <w:pStyle w:val="ListParagraph"/>
        <w:numPr>
          <w:ilvl w:val="0"/>
          <w:numId w:val="104"/>
        </w:numPr>
        <w:rPr>
          <w:lang w:val="pt-PT" w:eastAsia="ja-JP"/>
        </w:rPr>
      </w:pPr>
      <w:r w:rsidRPr="00292532">
        <w:rPr>
          <w:lang w:val="pt-PT" w:eastAsia="ja-JP"/>
        </w:rPr>
        <w:t>Áreas de abrangência e limitações do plano</w:t>
      </w:r>
    </w:p>
    <w:p w14:paraId="2EC21676" w14:textId="59CABC02" w:rsidR="006D37D9" w:rsidRPr="00292532" w:rsidRDefault="006D37D9" w:rsidP="00AE14AE">
      <w:pPr>
        <w:pStyle w:val="ListParagraph"/>
        <w:numPr>
          <w:ilvl w:val="0"/>
          <w:numId w:val="104"/>
        </w:numPr>
        <w:rPr>
          <w:lang w:val="pt-PT" w:eastAsia="ja-JP"/>
        </w:rPr>
      </w:pPr>
      <w:r w:rsidRPr="00292532">
        <w:rPr>
          <w:lang w:val="pt-PT" w:eastAsia="ja-JP"/>
        </w:rPr>
        <w:t xml:space="preserve">Estrutura organizacional para a gestão das emergências </w:t>
      </w:r>
    </w:p>
    <w:p w14:paraId="519B879F" w14:textId="60CB11DD" w:rsidR="006D37D9" w:rsidRPr="00292532" w:rsidRDefault="006D37D9" w:rsidP="00AE14AE">
      <w:pPr>
        <w:pStyle w:val="ListParagraph"/>
        <w:numPr>
          <w:ilvl w:val="0"/>
          <w:numId w:val="104"/>
        </w:numPr>
        <w:rPr>
          <w:lang w:val="pt-PT" w:eastAsia="ja-JP"/>
        </w:rPr>
      </w:pPr>
      <w:r w:rsidRPr="00292532">
        <w:rPr>
          <w:lang w:val="pt-PT" w:eastAsia="ja-JP"/>
        </w:rPr>
        <w:t xml:space="preserve">Fluxos de comunicação </w:t>
      </w:r>
    </w:p>
    <w:p w14:paraId="697927AB" w14:textId="68022C62" w:rsidR="006D37D9" w:rsidRPr="00292532" w:rsidRDefault="006D37D9" w:rsidP="00AE14AE">
      <w:pPr>
        <w:pStyle w:val="ListParagraph"/>
        <w:numPr>
          <w:ilvl w:val="0"/>
          <w:numId w:val="104"/>
        </w:numPr>
        <w:rPr>
          <w:lang w:val="pt-PT" w:eastAsia="ja-JP"/>
        </w:rPr>
      </w:pPr>
      <w:r w:rsidRPr="00292532">
        <w:rPr>
          <w:lang w:val="pt-PT" w:eastAsia="ja-JP"/>
        </w:rPr>
        <w:t xml:space="preserve">Recursos humanos e materiais </w:t>
      </w:r>
    </w:p>
    <w:p w14:paraId="366D8C09" w14:textId="0ED28898" w:rsidR="006D37D9" w:rsidRPr="00292532" w:rsidRDefault="006D37D9" w:rsidP="00AE14AE">
      <w:pPr>
        <w:pStyle w:val="ListParagraph"/>
        <w:numPr>
          <w:ilvl w:val="0"/>
          <w:numId w:val="104"/>
        </w:numPr>
        <w:rPr>
          <w:lang w:val="pt-PT" w:eastAsia="ja-JP"/>
        </w:rPr>
      </w:pPr>
      <w:r w:rsidRPr="00292532">
        <w:rPr>
          <w:lang w:val="pt-PT" w:eastAsia="ja-JP"/>
        </w:rPr>
        <w:t xml:space="preserve">Plantas de localização das instalações </w:t>
      </w:r>
    </w:p>
    <w:p w14:paraId="01D5D091" w14:textId="616EDB55" w:rsidR="006D37D9" w:rsidRPr="00292532" w:rsidRDefault="006D37D9" w:rsidP="00AE14AE">
      <w:pPr>
        <w:pStyle w:val="ListParagraph"/>
        <w:numPr>
          <w:ilvl w:val="0"/>
          <w:numId w:val="104"/>
        </w:numPr>
        <w:rPr>
          <w:lang w:val="pt-PT" w:eastAsia="ja-JP"/>
        </w:rPr>
      </w:pPr>
      <w:r w:rsidRPr="00292532">
        <w:rPr>
          <w:lang w:val="pt-PT" w:eastAsia="ja-JP"/>
        </w:rPr>
        <w:t>Procedimentos de evacuações nas instalações (acampamentos, estaleiros, locais das obras)</w:t>
      </w:r>
    </w:p>
    <w:p w14:paraId="74E12A5C" w14:textId="1D558804" w:rsidR="006D37D9" w:rsidRPr="00292532" w:rsidRDefault="006D37D9" w:rsidP="00AE14AE">
      <w:pPr>
        <w:pStyle w:val="ListParagraph"/>
        <w:numPr>
          <w:ilvl w:val="0"/>
          <w:numId w:val="104"/>
        </w:numPr>
        <w:rPr>
          <w:lang w:val="pt-PT" w:eastAsia="ja-JP"/>
        </w:rPr>
      </w:pPr>
      <w:r w:rsidRPr="00292532">
        <w:rPr>
          <w:lang w:val="pt-PT" w:eastAsia="ja-JP"/>
        </w:rPr>
        <w:t>Procedimentos de resposta médica</w:t>
      </w:r>
    </w:p>
    <w:p w14:paraId="754FBB5F" w14:textId="2B6F24C1" w:rsidR="006D37D9" w:rsidRPr="00292532" w:rsidRDefault="006D37D9" w:rsidP="00AE14AE">
      <w:pPr>
        <w:pStyle w:val="ListParagraph"/>
        <w:numPr>
          <w:ilvl w:val="0"/>
          <w:numId w:val="104"/>
        </w:numPr>
        <w:rPr>
          <w:lang w:val="pt-PT" w:eastAsia="ja-JP"/>
        </w:rPr>
      </w:pPr>
      <w:r w:rsidRPr="00292532">
        <w:rPr>
          <w:lang w:val="pt-PT" w:eastAsia="ja-JP"/>
        </w:rPr>
        <w:t xml:space="preserve">Contactos de emergência </w:t>
      </w:r>
    </w:p>
    <w:p w14:paraId="4308CD73" w14:textId="77777777" w:rsidR="006D37D9" w:rsidRPr="00292532" w:rsidRDefault="006D37D9" w:rsidP="007A1525">
      <w:pPr>
        <w:pStyle w:val="ListParagraph"/>
        <w:numPr>
          <w:ilvl w:val="0"/>
          <w:numId w:val="0"/>
        </w:numPr>
        <w:ind w:left="360"/>
        <w:rPr>
          <w:lang w:val="pt-PT" w:eastAsia="ja-JP"/>
        </w:rPr>
      </w:pPr>
    </w:p>
    <w:p w14:paraId="7A168C72" w14:textId="654D5111" w:rsidR="00C023E5" w:rsidRPr="00292532" w:rsidRDefault="00C023E5">
      <w:pPr>
        <w:pStyle w:val="Heading3"/>
        <w:rPr>
          <w:lang w:eastAsia="ja-JP"/>
        </w:rPr>
      </w:pPr>
      <w:bookmarkStart w:id="593" w:name="_Toc73620188"/>
      <w:bookmarkStart w:id="594" w:name="_Toc73623815"/>
      <w:bookmarkStart w:id="595" w:name="_Toc73624463"/>
      <w:bookmarkStart w:id="596" w:name="_Toc73954598"/>
      <w:bookmarkStart w:id="597" w:name="_Toc75437997"/>
      <w:bookmarkStart w:id="598" w:name="_Toc78435436"/>
      <w:bookmarkStart w:id="599" w:name="_Toc80380106"/>
      <w:r w:rsidRPr="00292532">
        <w:rPr>
          <w:lang w:eastAsia="ja-JP"/>
        </w:rPr>
        <w:t>Recursos e Equipamento</w:t>
      </w:r>
      <w:bookmarkEnd w:id="593"/>
      <w:bookmarkEnd w:id="594"/>
      <w:bookmarkEnd w:id="595"/>
      <w:bookmarkEnd w:id="596"/>
      <w:bookmarkEnd w:id="597"/>
      <w:bookmarkEnd w:id="598"/>
      <w:bookmarkEnd w:id="599"/>
    </w:p>
    <w:p w14:paraId="47E30B67" w14:textId="30D2C8B3" w:rsidR="00C023E5" w:rsidRPr="00292532" w:rsidRDefault="00C023E5" w:rsidP="00C023E5">
      <w:pPr>
        <w:rPr>
          <w:lang w:val="pt-PT" w:eastAsia="ja-JP"/>
        </w:rPr>
      </w:pPr>
      <w:r w:rsidRPr="00292532">
        <w:rPr>
          <w:lang w:val="pt-PT" w:eastAsia="ja-JP"/>
        </w:rPr>
        <w:t xml:space="preserve">Serão definidos os papéis e responsabilidades individuais e globais no que respeita ao desenvolvimento e gestão dos Planos de Resposta a Situações de Emergência. As funções e responsabilidades serão consistentes com a estrutura organizacional das empresas (empreiteiros) no campo e deve demonstrar a relação e canais de comunicação com a equipas das </w:t>
      </w:r>
      <w:proofErr w:type="spellStart"/>
      <w:r w:rsidRPr="00292532">
        <w:rPr>
          <w:lang w:val="pt-PT" w:eastAsia="ja-JP"/>
        </w:rPr>
        <w:t>UIPs</w:t>
      </w:r>
      <w:proofErr w:type="spellEnd"/>
      <w:r w:rsidRPr="00292532">
        <w:rPr>
          <w:lang w:val="pt-PT" w:eastAsia="ja-JP"/>
        </w:rPr>
        <w:t xml:space="preserve">. Além disso, o </w:t>
      </w:r>
      <w:proofErr w:type="spellStart"/>
      <w:r w:rsidRPr="00292532">
        <w:rPr>
          <w:lang w:val="pt-PT" w:eastAsia="ja-JP"/>
        </w:rPr>
        <w:t>Projecto</w:t>
      </w:r>
      <w:proofErr w:type="spellEnd"/>
      <w:r w:rsidRPr="00292532">
        <w:rPr>
          <w:lang w:val="pt-PT" w:eastAsia="ja-JP"/>
        </w:rPr>
        <w:t xml:space="preserve"> irá garantir a nomeação de pessoal médico (primeiros socorristas) adequado e com a devida formação para responder a </w:t>
      </w:r>
      <w:r w:rsidR="00292532" w:rsidRPr="00292532">
        <w:rPr>
          <w:lang w:val="pt-PT" w:eastAsia="ja-JP"/>
        </w:rPr>
        <w:t>emergências</w:t>
      </w:r>
      <w:r w:rsidRPr="00292532">
        <w:rPr>
          <w:lang w:val="pt-PT" w:eastAsia="ja-JP"/>
        </w:rPr>
        <w:t xml:space="preserve">. </w:t>
      </w:r>
    </w:p>
    <w:p w14:paraId="1EA00F83" w14:textId="64628FC5" w:rsidR="005C0CD1" w:rsidRPr="00292532" w:rsidRDefault="00C023E5" w:rsidP="00C023E5">
      <w:pPr>
        <w:rPr>
          <w:lang w:val="pt-PT" w:eastAsia="ja-JP"/>
        </w:rPr>
      </w:pPr>
      <w:r w:rsidRPr="00292532">
        <w:rPr>
          <w:lang w:val="pt-PT" w:eastAsia="ja-JP"/>
        </w:rPr>
        <w:t xml:space="preserve">Os trabalhadores e pessoal envolvido </w:t>
      </w:r>
      <w:proofErr w:type="spellStart"/>
      <w:r w:rsidRPr="00292532">
        <w:rPr>
          <w:lang w:val="pt-PT" w:eastAsia="ja-JP"/>
        </w:rPr>
        <w:t>directamente</w:t>
      </w:r>
      <w:proofErr w:type="spellEnd"/>
      <w:r w:rsidRPr="00292532">
        <w:rPr>
          <w:lang w:val="pt-PT" w:eastAsia="ja-JP"/>
        </w:rPr>
        <w:t xml:space="preserve"> na gestão de emergências deverão receber formação </w:t>
      </w:r>
      <w:r w:rsidR="005C0CD1" w:rsidRPr="00292532">
        <w:rPr>
          <w:lang w:val="pt-PT" w:eastAsia="ja-JP"/>
        </w:rPr>
        <w:t xml:space="preserve">sobre os procedimentos a serem seguidos em caso de emergências. </w:t>
      </w:r>
    </w:p>
    <w:p w14:paraId="758F33B2" w14:textId="1A2743AF" w:rsidR="00C023E5" w:rsidRPr="00292532" w:rsidRDefault="005C0CD1">
      <w:pPr>
        <w:pStyle w:val="Heading3"/>
        <w:rPr>
          <w:lang w:eastAsia="ja-JP"/>
        </w:rPr>
      </w:pPr>
      <w:bookmarkStart w:id="600" w:name="_Toc73620189"/>
      <w:bookmarkStart w:id="601" w:name="_Toc73623816"/>
      <w:bookmarkStart w:id="602" w:name="_Toc73624464"/>
      <w:bookmarkStart w:id="603" w:name="_Toc73954599"/>
      <w:bookmarkStart w:id="604" w:name="_Toc75437998"/>
      <w:bookmarkStart w:id="605" w:name="_Toc78435437"/>
      <w:bookmarkStart w:id="606" w:name="_Toc80380107"/>
      <w:r w:rsidRPr="00292532">
        <w:rPr>
          <w:lang w:eastAsia="ja-JP"/>
        </w:rPr>
        <w:t>Recursos Públicos</w:t>
      </w:r>
      <w:bookmarkEnd w:id="600"/>
      <w:bookmarkEnd w:id="601"/>
      <w:bookmarkEnd w:id="602"/>
      <w:bookmarkEnd w:id="603"/>
      <w:bookmarkEnd w:id="604"/>
      <w:bookmarkEnd w:id="605"/>
      <w:bookmarkEnd w:id="606"/>
      <w:r w:rsidRPr="00292532">
        <w:rPr>
          <w:lang w:eastAsia="ja-JP"/>
        </w:rPr>
        <w:t xml:space="preserve"> </w:t>
      </w:r>
    </w:p>
    <w:p w14:paraId="6F5C6265" w14:textId="216A3CE4" w:rsidR="005C0CD1" w:rsidRPr="00292532" w:rsidRDefault="005C0CD1" w:rsidP="005C0CD1">
      <w:pPr>
        <w:rPr>
          <w:lang w:val="pt-PT" w:eastAsia="ja-JP"/>
        </w:rPr>
      </w:pPr>
      <w:r w:rsidRPr="00292532">
        <w:rPr>
          <w:lang w:val="pt-PT" w:eastAsia="ja-JP"/>
        </w:rPr>
        <w:t xml:space="preserve">Nos casos em que se propõe utilizar recursos públicos (ou seja, unidades sanitárias públicas, pistas de aterragem) serão estabelecidos compromissos e acordos adequados com os prestadores de serviços como parte do desenvolvimento do processo. Os acordos incluirão uma definição clara dos limites de capacidade de cada prestador de serviço para inclusão nos planos de resposta a </w:t>
      </w:r>
      <w:r w:rsidR="00292532" w:rsidRPr="00292532">
        <w:rPr>
          <w:lang w:val="pt-PT" w:eastAsia="ja-JP"/>
        </w:rPr>
        <w:t>emergências</w:t>
      </w:r>
      <w:r w:rsidRPr="00292532">
        <w:rPr>
          <w:lang w:val="pt-PT" w:eastAsia="ja-JP"/>
        </w:rPr>
        <w:t>.</w:t>
      </w:r>
    </w:p>
    <w:p w14:paraId="24874B26" w14:textId="4DBBC4DE" w:rsidR="005C0CD1" w:rsidRPr="00292532" w:rsidRDefault="005C0CD1">
      <w:pPr>
        <w:pStyle w:val="Heading3"/>
        <w:rPr>
          <w:lang w:eastAsia="ja-JP"/>
        </w:rPr>
      </w:pPr>
      <w:bookmarkStart w:id="607" w:name="_Toc73620190"/>
      <w:bookmarkStart w:id="608" w:name="_Toc73623817"/>
      <w:bookmarkStart w:id="609" w:name="_Toc73624465"/>
      <w:bookmarkStart w:id="610" w:name="_Toc73954600"/>
      <w:bookmarkStart w:id="611" w:name="_Toc75437999"/>
      <w:bookmarkStart w:id="612" w:name="_Toc78435438"/>
      <w:bookmarkStart w:id="613" w:name="_Toc80380108"/>
      <w:r w:rsidRPr="00292532">
        <w:rPr>
          <w:lang w:eastAsia="ja-JP"/>
        </w:rPr>
        <w:t>Envolvimento das Partes Interessadas</w:t>
      </w:r>
      <w:bookmarkEnd w:id="607"/>
      <w:bookmarkEnd w:id="608"/>
      <w:bookmarkEnd w:id="609"/>
      <w:bookmarkEnd w:id="610"/>
      <w:bookmarkEnd w:id="611"/>
      <w:bookmarkEnd w:id="612"/>
      <w:bookmarkEnd w:id="613"/>
      <w:r w:rsidRPr="00292532">
        <w:rPr>
          <w:lang w:eastAsia="ja-JP"/>
        </w:rPr>
        <w:t xml:space="preserve"> </w:t>
      </w:r>
    </w:p>
    <w:p w14:paraId="62BF0F75" w14:textId="03AEC3B5" w:rsidR="005C0CD1" w:rsidRPr="00292532" w:rsidRDefault="005C0CD1" w:rsidP="005C0CD1">
      <w:pPr>
        <w:rPr>
          <w:lang w:val="pt-PT" w:eastAsia="ja-JP"/>
        </w:rPr>
      </w:pPr>
      <w:r w:rsidRPr="00292532">
        <w:rPr>
          <w:lang w:val="pt-PT" w:eastAsia="ja-JP"/>
        </w:rPr>
        <w:t xml:space="preserve">Nos casos em que as comunidades são potencialmente </w:t>
      </w:r>
      <w:proofErr w:type="spellStart"/>
      <w:r w:rsidRPr="00292532">
        <w:rPr>
          <w:lang w:val="pt-PT" w:eastAsia="ja-JP"/>
        </w:rPr>
        <w:t>afectadas</w:t>
      </w:r>
      <w:proofErr w:type="spellEnd"/>
      <w:r w:rsidRPr="00292532">
        <w:rPr>
          <w:lang w:val="pt-PT" w:eastAsia="ja-JP"/>
        </w:rPr>
        <w:t xml:space="preserve">, o </w:t>
      </w:r>
      <w:proofErr w:type="spellStart"/>
      <w:r w:rsidRPr="00292532">
        <w:rPr>
          <w:lang w:val="pt-PT" w:eastAsia="ja-JP"/>
        </w:rPr>
        <w:t>Projecto</w:t>
      </w:r>
      <w:proofErr w:type="spellEnd"/>
      <w:r w:rsidRPr="00292532">
        <w:rPr>
          <w:lang w:val="pt-PT" w:eastAsia="ja-JP"/>
        </w:rPr>
        <w:t xml:space="preserve"> compromete-se a informar as comunidades e agências governamentais locais sobre os processos de resposta a </w:t>
      </w:r>
      <w:r w:rsidR="00292532" w:rsidRPr="00292532">
        <w:rPr>
          <w:lang w:val="pt-PT" w:eastAsia="ja-JP"/>
        </w:rPr>
        <w:t>emergências</w:t>
      </w:r>
      <w:r w:rsidRPr="00292532">
        <w:rPr>
          <w:lang w:val="pt-PT" w:eastAsia="ja-JP"/>
        </w:rPr>
        <w:t xml:space="preserve"> e a integrar-se nos serviços existentes conforme for apropriado. </w:t>
      </w:r>
    </w:p>
    <w:p w14:paraId="6A81337A" w14:textId="45A3C299" w:rsidR="005C0CD1" w:rsidRPr="00292532" w:rsidRDefault="005C0CD1">
      <w:pPr>
        <w:pStyle w:val="Heading3"/>
        <w:rPr>
          <w:lang w:eastAsia="ja-JP"/>
        </w:rPr>
      </w:pPr>
      <w:bookmarkStart w:id="614" w:name="_Toc73620191"/>
      <w:bookmarkStart w:id="615" w:name="_Toc73623818"/>
      <w:bookmarkStart w:id="616" w:name="_Toc73624466"/>
      <w:bookmarkStart w:id="617" w:name="_Toc73954601"/>
      <w:bookmarkStart w:id="618" w:name="_Toc75438000"/>
      <w:bookmarkStart w:id="619" w:name="_Toc78435439"/>
      <w:bookmarkStart w:id="620" w:name="_Toc80380109"/>
      <w:r w:rsidRPr="00292532">
        <w:rPr>
          <w:lang w:eastAsia="ja-JP"/>
        </w:rPr>
        <w:t>Notificação de Emergências</w:t>
      </w:r>
      <w:bookmarkEnd w:id="614"/>
      <w:bookmarkEnd w:id="615"/>
      <w:bookmarkEnd w:id="616"/>
      <w:bookmarkEnd w:id="617"/>
      <w:bookmarkEnd w:id="618"/>
      <w:bookmarkEnd w:id="619"/>
      <w:bookmarkEnd w:id="620"/>
      <w:r w:rsidRPr="00292532">
        <w:rPr>
          <w:lang w:eastAsia="ja-JP"/>
        </w:rPr>
        <w:t xml:space="preserve"> </w:t>
      </w:r>
    </w:p>
    <w:p w14:paraId="366D46AB" w14:textId="6296B82A" w:rsidR="005C0CD1" w:rsidRPr="00292532" w:rsidRDefault="005C0CD1" w:rsidP="005C0CD1">
      <w:pPr>
        <w:rPr>
          <w:lang w:val="pt-PT" w:eastAsia="ja-JP"/>
        </w:rPr>
      </w:pPr>
      <w:r w:rsidRPr="00292532">
        <w:rPr>
          <w:lang w:val="pt-PT" w:eastAsia="ja-JP"/>
        </w:rPr>
        <w:t xml:space="preserve">Quando a exposição da comunidade a </w:t>
      </w:r>
      <w:r w:rsidR="00292532" w:rsidRPr="00292532">
        <w:rPr>
          <w:lang w:val="pt-PT" w:eastAsia="ja-JP"/>
        </w:rPr>
        <w:t>emergências</w:t>
      </w:r>
      <w:r w:rsidRPr="00292532">
        <w:rPr>
          <w:lang w:val="pt-PT" w:eastAsia="ja-JP"/>
        </w:rPr>
        <w:t xml:space="preserve"> for considerada elevada, o </w:t>
      </w:r>
      <w:proofErr w:type="spellStart"/>
      <w:r w:rsidRPr="00292532">
        <w:rPr>
          <w:lang w:val="pt-PT" w:eastAsia="ja-JP"/>
        </w:rPr>
        <w:t>Projecto</w:t>
      </w:r>
      <w:proofErr w:type="spellEnd"/>
      <w:r w:rsidRPr="00292532">
        <w:rPr>
          <w:lang w:val="pt-PT" w:eastAsia="ja-JP"/>
        </w:rPr>
        <w:t xml:space="preserve"> estabelecerá meios adequados de comunicação para garantir a rápida notificação das emergências.</w:t>
      </w:r>
    </w:p>
    <w:p w14:paraId="52C61A01" w14:textId="58C5634D" w:rsidR="005C0CD1" w:rsidRPr="00292532" w:rsidRDefault="005C0CD1">
      <w:pPr>
        <w:pStyle w:val="Heading3"/>
        <w:rPr>
          <w:lang w:eastAsia="ja-JP"/>
        </w:rPr>
      </w:pPr>
      <w:bookmarkStart w:id="621" w:name="_Toc73620192"/>
      <w:bookmarkStart w:id="622" w:name="_Toc73623819"/>
      <w:bookmarkStart w:id="623" w:name="_Toc73624467"/>
      <w:bookmarkStart w:id="624" w:name="_Toc73954602"/>
      <w:bookmarkStart w:id="625" w:name="_Toc75438001"/>
      <w:bookmarkStart w:id="626" w:name="_Toc78435440"/>
      <w:bookmarkStart w:id="627" w:name="_Toc80380110"/>
      <w:r w:rsidRPr="00292532">
        <w:rPr>
          <w:lang w:eastAsia="ja-JP"/>
        </w:rPr>
        <w:t>Gestão da Resposta Médica</w:t>
      </w:r>
      <w:bookmarkEnd w:id="621"/>
      <w:bookmarkEnd w:id="622"/>
      <w:bookmarkEnd w:id="623"/>
      <w:bookmarkEnd w:id="624"/>
      <w:bookmarkEnd w:id="625"/>
      <w:bookmarkEnd w:id="626"/>
      <w:bookmarkEnd w:id="627"/>
      <w:r w:rsidRPr="00292532">
        <w:rPr>
          <w:lang w:eastAsia="ja-JP"/>
        </w:rPr>
        <w:t xml:space="preserve"> </w:t>
      </w:r>
    </w:p>
    <w:p w14:paraId="277F5472" w14:textId="31194CEC" w:rsidR="005C0CD1" w:rsidRPr="00292532" w:rsidRDefault="005C0CD1" w:rsidP="005C0CD1">
      <w:pPr>
        <w:rPr>
          <w:lang w:val="pt-PT" w:eastAsia="ja-JP"/>
        </w:rPr>
      </w:pPr>
      <w:r w:rsidRPr="00292532">
        <w:rPr>
          <w:lang w:val="pt-PT" w:eastAsia="ja-JP"/>
        </w:rPr>
        <w:t>Deverão ser feitos todos os arranjos necessários para garantir resposta em caso de emergências que resultem em ferimentos ou doenças. Estes a</w:t>
      </w:r>
      <w:r w:rsidR="00EB695C" w:rsidRPr="00292532">
        <w:rPr>
          <w:lang w:val="pt-PT" w:eastAsia="ja-JP"/>
        </w:rPr>
        <w:t>r</w:t>
      </w:r>
      <w:r w:rsidRPr="00292532">
        <w:rPr>
          <w:lang w:val="pt-PT" w:eastAsia="ja-JP"/>
        </w:rPr>
        <w:t>ranjos devem considerar a capacidade do serviço sanitário local, a disponibilidade de meios de evacuação</w:t>
      </w:r>
      <w:r w:rsidR="004421BC">
        <w:rPr>
          <w:lang w:val="pt-PT" w:eastAsia="ja-JP"/>
        </w:rPr>
        <w:t xml:space="preserve"> (existência de uma clínica, profissionais de saúde e ambulância no acampamento)</w:t>
      </w:r>
      <w:r w:rsidRPr="00292532">
        <w:rPr>
          <w:lang w:val="pt-PT" w:eastAsia="ja-JP"/>
        </w:rPr>
        <w:t xml:space="preserve"> e proximidade de hospitais com capacidade de gerais casos mais graves. Os recursos médicos a serem utilizados pelo </w:t>
      </w:r>
      <w:proofErr w:type="spellStart"/>
      <w:r w:rsidRPr="00292532">
        <w:rPr>
          <w:lang w:val="pt-PT" w:eastAsia="ja-JP"/>
        </w:rPr>
        <w:t>Projecto</w:t>
      </w:r>
      <w:proofErr w:type="spellEnd"/>
      <w:r w:rsidRPr="00292532">
        <w:rPr>
          <w:lang w:val="pt-PT" w:eastAsia="ja-JP"/>
        </w:rPr>
        <w:t xml:space="preserve"> serão disponibilizados às comunidades locais quando estas forem vítimas de acidentes causados pelo </w:t>
      </w:r>
      <w:proofErr w:type="spellStart"/>
      <w:r w:rsidRPr="00292532">
        <w:rPr>
          <w:lang w:val="pt-PT" w:eastAsia="ja-JP"/>
        </w:rPr>
        <w:t>Projecto</w:t>
      </w:r>
      <w:proofErr w:type="spellEnd"/>
      <w:r w:rsidRPr="00292532">
        <w:rPr>
          <w:lang w:val="pt-PT" w:eastAsia="ja-JP"/>
        </w:rPr>
        <w:t>.  A resposta médica será estabelecida como parte dos planos de respo</w:t>
      </w:r>
      <w:r w:rsidR="00EB695C" w:rsidRPr="00292532">
        <w:rPr>
          <w:lang w:val="pt-PT" w:eastAsia="ja-JP"/>
        </w:rPr>
        <w:t>s</w:t>
      </w:r>
      <w:r w:rsidRPr="00292532">
        <w:rPr>
          <w:lang w:val="pt-PT" w:eastAsia="ja-JP"/>
        </w:rPr>
        <w:t xml:space="preserve">ta a emergências. </w:t>
      </w:r>
    </w:p>
    <w:p w14:paraId="00647060" w14:textId="66BCFC44" w:rsidR="005C0CD1" w:rsidRPr="00292532" w:rsidRDefault="005C0CD1">
      <w:pPr>
        <w:pStyle w:val="Heading3"/>
        <w:rPr>
          <w:lang w:eastAsia="ja-JP"/>
        </w:rPr>
      </w:pPr>
      <w:bookmarkStart w:id="628" w:name="_Toc73620193"/>
      <w:bookmarkStart w:id="629" w:name="_Toc73623820"/>
      <w:bookmarkStart w:id="630" w:name="_Toc73624468"/>
      <w:bookmarkStart w:id="631" w:name="_Toc73954603"/>
      <w:bookmarkStart w:id="632" w:name="_Toc75438002"/>
      <w:bookmarkStart w:id="633" w:name="_Toc78435441"/>
      <w:bookmarkStart w:id="634" w:name="_Toc80380111"/>
      <w:r w:rsidRPr="00292532">
        <w:rPr>
          <w:lang w:eastAsia="ja-JP"/>
        </w:rPr>
        <w:lastRenderedPageBreak/>
        <w:t>Contenção e Remediação</w:t>
      </w:r>
      <w:bookmarkEnd w:id="628"/>
      <w:bookmarkEnd w:id="629"/>
      <w:bookmarkEnd w:id="630"/>
      <w:bookmarkEnd w:id="631"/>
      <w:bookmarkEnd w:id="632"/>
      <w:bookmarkEnd w:id="633"/>
      <w:bookmarkEnd w:id="634"/>
    </w:p>
    <w:p w14:paraId="5B27A97F" w14:textId="239584EB" w:rsidR="005C0CD1" w:rsidRPr="00292532" w:rsidRDefault="00E471A4" w:rsidP="005C0CD1">
      <w:pPr>
        <w:rPr>
          <w:lang w:val="pt-PT" w:eastAsia="ja-JP"/>
        </w:rPr>
      </w:pPr>
      <w:r w:rsidRPr="00292532">
        <w:rPr>
          <w:lang w:val="pt-PT" w:eastAsia="ja-JP"/>
        </w:rPr>
        <w:t xml:space="preserve">Os empreiteiros e outras </w:t>
      </w:r>
      <w:r w:rsidR="00381467" w:rsidRPr="00292532">
        <w:rPr>
          <w:lang w:val="pt-PT" w:eastAsia="ja-JP"/>
        </w:rPr>
        <w:t>contrata</w:t>
      </w:r>
      <w:r w:rsidRPr="00292532">
        <w:rPr>
          <w:lang w:val="pt-PT" w:eastAsia="ja-JP"/>
        </w:rPr>
        <w:t xml:space="preserve">das devem </w:t>
      </w:r>
      <w:r w:rsidR="005C0CD1" w:rsidRPr="00292532">
        <w:rPr>
          <w:lang w:val="pt-PT" w:eastAsia="ja-JP"/>
        </w:rPr>
        <w:t>estabelecer processos de contenção e remediação para o caso de derrames e fugas significativas de óleo e combustível que exijam uma resposta de emergência.</w:t>
      </w:r>
    </w:p>
    <w:p w14:paraId="69C93713" w14:textId="77777777" w:rsidR="005C0CD1" w:rsidRPr="00292532" w:rsidRDefault="005C0CD1" w:rsidP="005C0CD1">
      <w:pPr>
        <w:rPr>
          <w:lang w:val="pt-PT" w:eastAsia="ja-JP"/>
        </w:rPr>
      </w:pPr>
      <w:r w:rsidRPr="00292532">
        <w:rPr>
          <w:lang w:val="pt-PT" w:eastAsia="ja-JP"/>
        </w:rPr>
        <w:t>Estes processos devem ter em consideração as recomendações que se seguem:</w:t>
      </w:r>
    </w:p>
    <w:p w14:paraId="6F01C897" w14:textId="6B44CFDD" w:rsidR="005C0CD1" w:rsidRPr="00292532" w:rsidRDefault="005C0CD1" w:rsidP="00AE14AE">
      <w:pPr>
        <w:pStyle w:val="ListParagraph"/>
        <w:numPr>
          <w:ilvl w:val="0"/>
          <w:numId w:val="103"/>
        </w:numPr>
        <w:rPr>
          <w:lang w:val="pt-PT" w:eastAsia="ja-JP"/>
        </w:rPr>
      </w:pPr>
      <w:r w:rsidRPr="00292532">
        <w:rPr>
          <w:lang w:val="pt-PT" w:eastAsia="ja-JP"/>
        </w:rPr>
        <w:t>Interromper imediatamente a fuga na fonte;</w:t>
      </w:r>
    </w:p>
    <w:p w14:paraId="32794516" w14:textId="050D2884" w:rsidR="005C0CD1" w:rsidRPr="00292532" w:rsidRDefault="005C0CD1" w:rsidP="00AE14AE">
      <w:pPr>
        <w:pStyle w:val="ListParagraph"/>
        <w:numPr>
          <w:ilvl w:val="0"/>
          <w:numId w:val="103"/>
        </w:numPr>
        <w:rPr>
          <w:lang w:val="pt-PT" w:eastAsia="ja-JP"/>
        </w:rPr>
      </w:pPr>
      <w:r w:rsidRPr="00292532">
        <w:rPr>
          <w:lang w:val="pt-PT" w:eastAsia="ja-JP"/>
        </w:rPr>
        <w:t>Garantir a existência de equipamento de resposta a derrame e fugas (contenção e limpeza);</w:t>
      </w:r>
    </w:p>
    <w:p w14:paraId="715C3D1F" w14:textId="27D83E4E" w:rsidR="005C0CD1" w:rsidRPr="00292532" w:rsidRDefault="005C0CD1" w:rsidP="00AE14AE">
      <w:pPr>
        <w:pStyle w:val="ListParagraph"/>
        <w:numPr>
          <w:ilvl w:val="0"/>
          <w:numId w:val="103"/>
        </w:numPr>
        <w:rPr>
          <w:lang w:val="pt-PT" w:eastAsia="ja-JP"/>
        </w:rPr>
      </w:pPr>
      <w:r w:rsidRPr="00292532">
        <w:rPr>
          <w:lang w:val="pt-PT" w:eastAsia="ja-JP"/>
        </w:rPr>
        <w:t>Elaborar programas de formação em matéria de resposta aos derrames e exercícios de simulação para os trabalhadores;</w:t>
      </w:r>
    </w:p>
    <w:p w14:paraId="7AA1D02F" w14:textId="65339B82" w:rsidR="005C0CD1" w:rsidRPr="00292532" w:rsidRDefault="005C0CD1" w:rsidP="00AE14AE">
      <w:pPr>
        <w:pStyle w:val="ListParagraph"/>
        <w:numPr>
          <w:ilvl w:val="0"/>
          <w:numId w:val="103"/>
        </w:numPr>
        <w:rPr>
          <w:lang w:val="pt-PT" w:eastAsia="ja-JP"/>
        </w:rPr>
      </w:pPr>
      <w:r w:rsidRPr="00292532">
        <w:rPr>
          <w:lang w:val="pt-PT" w:eastAsia="ja-JP"/>
        </w:rPr>
        <w:t>Desenvolver um processo de comunicação de incidentes e de registo de incidentes;</w:t>
      </w:r>
    </w:p>
    <w:p w14:paraId="58F4470F" w14:textId="19154714" w:rsidR="005C0CD1" w:rsidRPr="00292532" w:rsidRDefault="005C0CD1" w:rsidP="00AE14AE">
      <w:pPr>
        <w:pStyle w:val="ListParagraph"/>
        <w:numPr>
          <w:ilvl w:val="0"/>
          <w:numId w:val="103"/>
        </w:numPr>
        <w:rPr>
          <w:lang w:val="pt-PT" w:eastAsia="ja-JP"/>
        </w:rPr>
      </w:pPr>
      <w:r w:rsidRPr="00292532">
        <w:rPr>
          <w:lang w:val="pt-PT" w:eastAsia="ja-JP"/>
        </w:rPr>
        <w:t>Prosseguir, na medida do possível, com a delimitação da substância derramada evitando assim a propagação do poluente.</w:t>
      </w:r>
    </w:p>
    <w:p w14:paraId="60547D24" w14:textId="77777777" w:rsidR="00E471A4" w:rsidRPr="00292532" w:rsidRDefault="00E471A4" w:rsidP="007A1525">
      <w:pPr>
        <w:pStyle w:val="ListParagraph"/>
        <w:numPr>
          <w:ilvl w:val="0"/>
          <w:numId w:val="0"/>
        </w:numPr>
        <w:ind w:left="360"/>
        <w:rPr>
          <w:lang w:val="pt-PT" w:eastAsia="ja-JP"/>
        </w:rPr>
      </w:pPr>
    </w:p>
    <w:p w14:paraId="4689329A" w14:textId="16AEBE26" w:rsidR="005C0CD1" w:rsidRPr="00292532" w:rsidRDefault="00E471A4">
      <w:pPr>
        <w:pStyle w:val="Heading3"/>
        <w:rPr>
          <w:lang w:eastAsia="ja-JP"/>
        </w:rPr>
      </w:pPr>
      <w:bookmarkStart w:id="635" w:name="_Toc73620194"/>
      <w:bookmarkStart w:id="636" w:name="_Toc73623821"/>
      <w:bookmarkStart w:id="637" w:name="_Toc73624469"/>
      <w:bookmarkStart w:id="638" w:name="_Toc73954604"/>
      <w:bookmarkStart w:id="639" w:name="_Toc75438003"/>
      <w:bookmarkStart w:id="640" w:name="_Toc78435442"/>
      <w:bookmarkStart w:id="641" w:name="_Toc80380112"/>
      <w:r w:rsidRPr="00292532">
        <w:rPr>
          <w:lang w:eastAsia="ja-JP"/>
        </w:rPr>
        <w:t>Simulações de Emergência</w:t>
      </w:r>
      <w:bookmarkEnd w:id="635"/>
      <w:bookmarkEnd w:id="636"/>
      <w:bookmarkEnd w:id="637"/>
      <w:bookmarkEnd w:id="638"/>
      <w:bookmarkEnd w:id="639"/>
      <w:bookmarkEnd w:id="640"/>
      <w:bookmarkEnd w:id="641"/>
      <w:r w:rsidRPr="00292532">
        <w:rPr>
          <w:lang w:eastAsia="ja-JP"/>
        </w:rPr>
        <w:t xml:space="preserve"> </w:t>
      </w:r>
    </w:p>
    <w:p w14:paraId="6133846D" w14:textId="4B24130D" w:rsidR="00E471A4" w:rsidRPr="00292532" w:rsidRDefault="00E471A4" w:rsidP="00E471A4">
      <w:pPr>
        <w:rPr>
          <w:lang w:val="pt-PT" w:eastAsia="ja-JP"/>
        </w:rPr>
      </w:pPr>
      <w:r w:rsidRPr="00292532">
        <w:rPr>
          <w:lang w:val="pt-PT" w:eastAsia="ja-JP"/>
        </w:rPr>
        <w:t xml:space="preserve">Deve-se prever a realização de simulacros de emergência, que consistem em exercício, podendo ser de gabinete ou reais onde se simula uma </w:t>
      </w:r>
      <w:r w:rsidR="00292532" w:rsidRPr="00292532">
        <w:rPr>
          <w:lang w:val="pt-PT" w:eastAsia="ja-JP"/>
        </w:rPr>
        <w:t>emergência</w:t>
      </w:r>
      <w:r w:rsidRPr="00292532">
        <w:rPr>
          <w:lang w:val="pt-PT" w:eastAsia="ja-JP"/>
        </w:rPr>
        <w:t xml:space="preserve"> desde a sua </w:t>
      </w:r>
      <w:proofErr w:type="spellStart"/>
      <w:r w:rsidRPr="00292532">
        <w:rPr>
          <w:lang w:val="pt-PT" w:eastAsia="ja-JP"/>
        </w:rPr>
        <w:t>activação</w:t>
      </w:r>
      <w:proofErr w:type="spellEnd"/>
      <w:r w:rsidRPr="00292532">
        <w:rPr>
          <w:lang w:val="pt-PT" w:eastAsia="ja-JP"/>
        </w:rPr>
        <w:t xml:space="preserve"> até o seu desfecho.</w:t>
      </w:r>
    </w:p>
    <w:p w14:paraId="10A56887" w14:textId="41FBB3DD" w:rsidR="00E471A4" w:rsidRPr="00292532" w:rsidRDefault="00E471A4" w:rsidP="00E471A4">
      <w:pPr>
        <w:rPr>
          <w:lang w:val="pt-PT" w:eastAsia="ja-JP"/>
        </w:rPr>
      </w:pPr>
      <w:r w:rsidRPr="00292532">
        <w:rPr>
          <w:lang w:val="pt-PT" w:eastAsia="ja-JP"/>
        </w:rPr>
        <w:t xml:space="preserve">As simulações de emergência servem para testar os procedimentos de emergência, os recursos e equipamentos assim como o entendimento das equipas envolvidas na gestão das </w:t>
      </w:r>
      <w:r w:rsidR="00292532" w:rsidRPr="00292532">
        <w:rPr>
          <w:lang w:val="pt-PT" w:eastAsia="ja-JP"/>
        </w:rPr>
        <w:t>emergências</w:t>
      </w:r>
      <w:r w:rsidRPr="00292532">
        <w:rPr>
          <w:lang w:val="pt-PT" w:eastAsia="ja-JP"/>
        </w:rPr>
        <w:t xml:space="preserve"> sobre os procedimentos a serem seguidos. Caso necessária, as emergências podem envolver entidades e pessoal que não pertencem às equipas do </w:t>
      </w:r>
      <w:proofErr w:type="spellStart"/>
      <w:r w:rsidRPr="00292532">
        <w:rPr>
          <w:lang w:val="pt-PT" w:eastAsia="ja-JP"/>
        </w:rPr>
        <w:t>Projecto</w:t>
      </w:r>
      <w:proofErr w:type="spellEnd"/>
      <w:r w:rsidRPr="00292532">
        <w:rPr>
          <w:lang w:val="pt-PT" w:eastAsia="ja-JP"/>
        </w:rPr>
        <w:t xml:space="preserve">. </w:t>
      </w:r>
    </w:p>
    <w:p w14:paraId="67437F8C" w14:textId="77777777" w:rsidR="00E471A4" w:rsidRPr="00292532" w:rsidRDefault="00E471A4" w:rsidP="00E471A4">
      <w:pPr>
        <w:rPr>
          <w:lang w:val="pt-PT" w:eastAsia="ja-JP"/>
        </w:rPr>
      </w:pPr>
      <w:r w:rsidRPr="00292532">
        <w:rPr>
          <w:lang w:val="pt-PT" w:eastAsia="ja-JP"/>
        </w:rPr>
        <w:t xml:space="preserve">As simulações devem ser devidamente documentadas num relatório e </w:t>
      </w:r>
      <w:proofErr w:type="spellStart"/>
      <w:r w:rsidRPr="00292532">
        <w:rPr>
          <w:lang w:val="pt-PT" w:eastAsia="ja-JP"/>
        </w:rPr>
        <w:t>acções</w:t>
      </w:r>
      <w:proofErr w:type="spellEnd"/>
      <w:r w:rsidRPr="00292532">
        <w:rPr>
          <w:lang w:val="pt-PT" w:eastAsia="ja-JP"/>
        </w:rPr>
        <w:t xml:space="preserve"> de melhoria e correção devem ser monitoradas até a sua implementação. </w:t>
      </w:r>
    </w:p>
    <w:p w14:paraId="198B483D" w14:textId="77777777" w:rsidR="00E471A4" w:rsidRPr="00292532" w:rsidRDefault="00E471A4" w:rsidP="00E471A4">
      <w:pPr>
        <w:rPr>
          <w:lang w:val="pt-PT" w:eastAsia="ja-JP"/>
        </w:rPr>
      </w:pPr>
    </w:p>
    <w:p w14:paraId="05C1ADBA" w14:textId="4887B72E" w:rsidR="00E471A4" w:rsidRPr="00292532" w:rsidRDefault="00E471A4" w:rsidP="00E471A4">
      <w:pPr>
        <w:rPr>
          <w:lang w:val="pt-PT" w:eastAsia="ja-JP"/>
        </w:rPr>
      </w:pPr>
      <w:r w:rsidRPr="00292532">
        <w:rPr>
          <w:lang w:val="pt-PT" w:eastAsia="ja-JP"/>
        </w:rPr>
        <w:t xml:space="preserve"> </w:t>
      </w:r>
    </w:p>
    <w:p w14:paraId="768DB31E" w14:textId="5B4533EC" w:rsidR="008C11E8" w:rsidRPr="00292532" w:rsidRDefault="008C11E8" w:rsidP="00E471A4">
      <w:pPr>
        <w:rPr>
          <w:lang w:val="pt-PT" w:eastAsia="ja-JP"/>
        </w:rPr>
      </w:pPr>
      <w:r w:rsidRPr="00292532">
        <w:rPr>
          <w:lang w:val="pt-PT" w:eastAsia="ja-JP"/>
        </w:rPr>
        <w:br w:type="page"/>
      </w:r>
    </w:p>
    <w:p w14:paraId="08E5BFC7" w14:textId="77777777" w:rsidR="00E471A4" w:rsidRPr="00292532" w:rsidRDefault="00E471A4" w:rsidP="00E471A4">
      <w:pPr>
        <w:rPr>
          <w:lang w:val="pt-PT" w:eastAsia="ja-JP"/>
        </w:rPr>
      </w:pPr>
    </w:p>
    <w:p w14:paraId="6ED7C87E" w14:textId="0EF712AE" w:rsidR="000F0611" w:rsidRPr="00292532" w:rsidRDefault="000F0611" w:rsidP="000D7B05">
      <w:pPr>
        <w:pStyle w:val="Title"/>
      </w:pPr>
      <w:r w:rsidRPr="00292532">
        <w:t xml:space="preserve">anexo </w:t>
      </w:r>
      <w:r w:rsidR="00597827" w:rsidRPr="00292532">
        <w:t>6</w:t>
      </w:r>
    </w:p>
    <w:p w14:paraId="406254D6" w14:textId="1603B243" w:rsidR="001E6EC8" w:rsidRPr="00292532" w:rsidRDefault="001E6EC8" w:rsidP="00AE14AE">
      <w:pPr>
        <w:pStyle w:val="Heading1"/>
        <w:numPr>
          <w:ilvl w:val="0"/>
          <w:numId w:val="62"/>
        </w:numPr>
        <w:rPr>
          <w:lang w:val="pt-PT"/>
        </w:rPr>
      </w:pPr>
      <w:bookmarkStart w:id="642" w:name="_Toc72944222"/>
      <w:bookmarkStart w:id="643" w:name="_Toc72956494"/>
      <w:bookmarkStart w:id="644" w:name="_Toc72956647"/>
      <w:bookmarkStart w:id="645" w:name="_Toc73620195"/>
      <w:bookmarkStart w:id="646" w:name="_Toc73623822"/>
      <w:bookmarkStart w:id="647" w:name="_Toc73624470"/>
      <w:bookmarkStart w:id="648" w:name="_Toc73954605"/>
      <w:bookmarkStart w:id="649" w:name="_Toc75438004"/>
      <w:bookmarkStart w:id="650" w:name="_Toc78435443"/>
      <w:bookmarkStart w:id="651" w:name="_Toc80380113"/>
      <w:r w:rsidRPr="00292532">
        <w:rPr>
          <w:lang w:val="pt-PT"/>
        </w:rPr>
        <w:t>Plano de Saúde e Segurança Comunitária</w:t>
      </w:r>
      <w:bookmarkEnd w:id="642"/>
      <w:bookmarkEnd w:id="643"/>
      <w:bookmarkEnd w:id="644"/>
      <w:bookmarkEnd w:id="645"/>
      <w:bookmarkEnd w:id="646"/>
      <w:bookmarkEnd w:id="647"/>
      <w:bookmarkEnd w:id="648"/>
      <w:bookmarkEnd w:id="649"/>
      <w:bookmarkEnd w:id="650"/>
      <w:bookmarkEnd w:id="651"/>
    </w:p>
    <w:p w14:paraId="680E64AD" w14:textId="76D718ED" w:rsidR="003E4607" w:rsidRPr="00292532" w:rsidRDefault="003E4607" w:rsidP="003E4607">
      <w:pPr>
        <w:rPr>
          <w:lang w:val="pt-PT"/>
        </w:rPr>
      </w:pPr>
      <w:r w:rsidRPr="00292532">
        <w:rPr>
          <w:lang w:val="pt-PT"/>
        </w:rPr>
        <w:t xml:space="preserve">O </w:t>
      </w:r>
      <w:proofErr w:type="spellStart"/>
      <w:r w:rsidRPr="00292532">
        <w:rPr>
          <w:lang w:val="pt-PT"/>
        </w:rPr>
        <w:t>projecto</w:t>
      </w:r>
      <w:proofErr w:type="spellEnd"/>
      <w:r w:rsidRPr="00292532">
        <w:rPr>
          <w:lang w:val="pt-PT"/>
        </w:rPr>
        <w:t xml:space="preserve">/subprojectos devem sistemas e mecanismos para administrar quaisquer potenciais impactos adversos sobre a </w:t>
      </w:r>
      <w:proofErr w:type="spellStart"/>
      <w:r w:rsidRPr="00292532">
        <w:rPr>
          <w:lang w:val="pt-PT"/>
        </w:rPr>
        <w:t>protecção</w:t>
      </w:r>
      <w:proofErr w:type="spellEnd"/>
      <w:r w:rsidRPr="00292532">
        <w:rPr>
          <w:lang w:val="pt-PT"/>
        </w:rPr>
        <w:t xml:space="preserve"> e segurança das comunidades </w:t>
      </w:r>
      <w:proofErr w:type="spellStart"/>
      <w:r w:rsidRPr="00292532">
        <w:rPr>
          <w:lang w:val="pt-PT"/>
        </w:rPr>
        <w:t>afectadas</w:t>
      </w:r>
      <w:proofErr w:type="spellEnd"/>
      <w:r w:rsidRPr="00292532">
        <w:rPr>
          <w:lang w:val="pt-PT"/>
        </w:rPr>
        <w:t xml:space="preserve"> durante a vida do </w:t>
      </w:r>
      <w:proofErr w:type="spellStart"/>
      <w:r w:rsidRPr="00292532">
        <w:rPr>
          <w:lang w:val="pt-PT"/>
        </w:rPr>
        <w:t>projecto</w:t>
      </w:r>
      <w:proofErr w:type="spellEnd"/>
      <w:r w:rsidRPr="00292532">
        <w:rPr>
          <w:lang w:val="pt-PT"/>
        </w:rPr>
        <w:t xml:space="preserve"> - incluindo eventos de rotina e não rotineiros.</w:t>
      </w:r>
    </w:p>
    <w:p w14:paraId="34E43BA0" w14:textId="32D048F6" w:rsidR="00EB13B5" w:rsidRPr="00292532" w:rsidRDefault="00EB13B5" w:rsidP="003E4607">
      <w:pPr>
        <w:rPr>
          <w:lang w:val="pt-PT"/>
        </w:rPr>
      </w:pPr>
    </w:p>
    <w:p w14:paraId="7B8BC50E" w14:textId="07385A38" w:rsidR="00EB13B5" w:rsidRPr="00292532" w:rsidRDefault="00EB13B5" w:rsidP="00EB13B5">
      <w:pPr>
        <w:pStyle w:val="Heading2"/>
      </w:pPr>
      <w:bookmarkStart w:id="652" w:name="_Toc72944223"/>
      <w:bookmarkStart w:id="653" w:name="_Toc72956495"/>
      <w:bookmarkStart w:id="654" w:name="_Toc72956648"/>
      <w:bookmarkStart w:id="655" w:name="_Toc73620196"/>
      <w:bookmarkStart w:id="656" w:name="_Toc73623823"/>
      <w:bookmarkStart w:id="657" w:name="_Toc73624471"/>
      <w:bookmarkStart w:id="658" w:name="_Toc73954606"/>
      <w:bookmarkStart w:id="659" w:name="_Toc75438005"/>
      <w:bookmarkStart w:id="660" w:name="_Toc78435444"/>
      <w:bookmarkStart w:id="661" w:name="_Toc80380114"/>
      <w:r w:rsidRPr="00292532">
        <w:t>Instrumentos Normativos de Referência</w:t>
      </w:r>
      <w:bookmarkEnd w:id="652"/>
      <w:bookmarkEnd w:id="653"/>
      <w:bookmarkEnd w:id="654"/>
      <w:bookmarkEnd w:id="655"/>
      <w:bookmarkEnd w:id="656"/>
      <w:bookmarkEnd w:id="657"/>
      <w:bookmarkEnd w:id="658"/>
      <w:bookmarkEnd w:id="659"/>
      <w:bookmarkEnd w:id="660"/>
      <w:bookmarkEnd w:id="661"/>
      <w:r w:rsidRPr="00292532">
        <w:t xml:space="preserve"> </w:t>
      </w:r>
    </w:p>
    <w:p w14:paraId="17E9BFC8" w14:textId="62872D9C" w:rsidR="00EB13B5" w:rsidRPr="00292532" w:rsidRDefault="008F6C1F" w:rsidP="00EB13B5">
      <w:pPr>
        <w:rPr>
          <w:lang w:val="pt-PT" w:eastAsia="ja-JP"/>
        </w:rPr>
      </w:pPr>
      <w:r w:rsidRPr="00292532">
        <w:rPr>
          <w:lang w:val="pt-PT" w:eastAsia="ja-JP"/>
        </w:rPr>
        <w:t>A gestão de saúde e segurança das comunidades</w:t>
      </w:r>
      <w:r w:rsidR="00A9527E" w:rsidRPr="00292532">
        <w:rPr>
          <w:lang w:val="pt-PT" w:eastAsia="ja-JP"/>
        </w:rPr>
        <w:t xml:space="preserve"> garantir conformidade com os seguintes requisitos: </w:t>
      </w:r>
    </w:p>
    <w:p w14:paraId="76EDB227" w14:textId="5B41BA83" w:rsidR="00A9527E" w:rsidRPr="00292532" w:rsidRDefault="00A9527E" w:rsidP="00AE14AE">
      <w:pPr>
        <w:pStyle w:val="ListParagraph"/>
        <w:numPr>
          <w:ilvl w:val="0"/>
          <w:numId w:val="69"/>
        </w:numPr>
        <w:rPr>
          <w:lang w:val="pt-PT" w:eastAsia="ja-JP"/>
        </w:rPr>
      </w:pPr>
      <w:r w:rsidRPr="00292532">
        <w:rPr>
          <w:lang w:val="pt-PT" w:eastAsia="ja-JP"/>
        </w:rPr>
        <w:t xml:space="preserve">Norma Ambiental e Social </w:t>
      </w:r>
      <w:r w:rsidR="00A2044C" w:rsidRPr="00292532">
        <w:rPr>
          <w:lang w:val="pt-PT" w:eastAsia="ja-JP"/>
        </w:rPr>
        <w:t>4: Saúde e Segurança Comunitárias</w:t>
      </w:r>
    </w:p>
    <w:p w14:paraId="27486437" w14:textId="37D5172F" w:rsidR="00A9527E" w:rsidRPr="00292532" w:rsidRDefault="00A9527E" w:rsidP="00AE14AE">
      <w:pPr>
        <w:pStyle w:val="ListParagraph"/>
        <w:numPr>
          <w:ilvl w:val="0"/>
          <w:numId w:val="69"/>
        </w:numPr>
        <w:rPr>
          <w:lang w:val="pt-PT" w:eastAsia="ja-JP"/>
        </w:rPr>
      </w:pPr>
      <w:proofErr w:type="spellStart"/>
      <w:r w:rsidRPr="00292532">
        <w:rPr>
          <w:lang w:val="pt-PT" w:eastAsia="ja-JP"/>
        </w:rPr>
        <w:t>Directrizes</w:t>
      </w:r>
      <w:proofErr w:type="spellEnd"/>
      <w:r w:rsidRPr="00292532">
        <w:rPr>
          <w:lang w:val="pt-PT" w:eastAsia="ja-JP"/>
        </w:rPr>
        <w:t xml:space="preserve"> de Ambiente, Saúde e Segurança do Banco Mundial </w:t>
      </w:r>
    </w:p>
    <w:p w14:paraId="085C518F" w14:textId="5BE9F257" w:rsidR="00A9527E" w:rsidRPr="00292532" w:rsidRDefault="00A9527E" w:rsidP="00AE14AE">
      <w:pPr>
        <w:pStyle w:val="ListParagraph"/>
        <w:numPr>
          <w:ilvl w:val="0"/>
          <w:numId w:val="69"/>
        </w:numPr>
        <w:rPr>
          <w:lang w:val="pt-PT" w:eastAsia="ja-JP"/>
        </w:rPr>
      </w:pPr>
      <w:r w:rsidRPr="00292532">
        <w:rPr>
          <w:lang w:val="pt-PT" w:eastAsia="ja-JP"/>
        </w:rPr>
        <w:t>Padrões de Saúde e Segurança da OIT</w:t>
      </w:r>
    </w:p>
    <w:p w14:paraId="3902CBDF" w14:textId="0812235B" w:rsidR="00A9527E" w:rsidRPr="00292532" w:rsidRDefault="00A9527E" w:rsidP="00AE14AE">
      <w:pPr>
        <w:pStyle w:val="ListParagraph"/>
        <w:numPr>
          <w:ilvl w:val="0"/>
          <w:numId w:val="69"/>
        </w:numPr>
        <w:rPr>
          <w:lang w:val="pt-PT" w:eastAsia="ja-JP"/>
        </w:rPr>
      </w:pPr>
      <w:r w:rsidRPr="00292532">
        <w:rPr>
          <w:lang w:val="pt-PT" w:eastAsia="ja-JP"/>
        </w:rPr>
        <w:t xml:space="preserve">As boas práticas internacionais de gestão de saúde e segurança </w:t>
      </w:r>
    </w:p>
    <w:p w14:paraId="3AE30345" w14:textId="77777777" w:rsidR="00372311" w:rsidRPr="00292532" w:rsidRDefault="00372311" w:rsidP="00372311">
      <w:pPr>
        <w:pStyle w:val="ListParagraph"/>
        <w:numPr>
          <w:ilvl w:val="0"/>
          <w:numId w:val="0"/>
        </w:numPr>
        <w:ind w:left="720"/>
        <w:rPr>
          <w:lang w:val="pt-PT" w:eastAsia="ja-JP"/>
        </w:rPr>
      </w:pPr>
    </w:p>
    <w:p w14:paraId="73D797CE" w14:textId="1514935D" w:rsidR="003E4607" w:rsidRPr="00292532" w:rsidRDefault="003E4607" w:rsidP="003E4607">
      <w:pPr>
        <w:pStyle w:val="Heading2"/>
      </w:pPr>
      <w:bookmarkStart w:id="662" w:name="_Toc72944224"/>
      <w:bookmarkStart w:id="663" w:name="_Toc72956496"/>
      <w:bookmarkStart w:id="664" w:name="_Toc72956649"/>
      <w:bookmarkStart w:id="665" w:name="_Toc73620197"/>
      <w:bookmarkStart w:id="666" w:name="_Toc73623824"/>
      <w:bookmarkStart w:id="667" w:name="_Toc73624472"/>
      <w:bookmarkStart w:id="668" w:name="_Toc73954607"/>
      <w:bookmarkStart w:id="669" w:name="_Toc75438006"/>
      <w:bookmarkStart w:id="670" w:name="_Toc78435445"/>
      <w:bookmarkStart w:id="671" w:name="_Toc80380115"/>
      <w:r w:rsidRPr="00292532">
        <w:t>Princípios de Gestão de Riscos de Saúde e Segurança das Comunidades</w:t>
      </w:r>
      <w:bookmarkEnd w:id="662"/>
      <w:bookmarkEnd w:id="663"/>
      <w:bookmarkEnd w:id="664"/>
      <w:bookmarkEnd w:id="665"/>
      <w:bookmarkEnd w:id="666"/>
      <w:bookmarkEnd w:id="667"/>
      <w:bookmarkEnd w:id="668"/>
      <w:bookmarkEnd w:id="669"/>
      <w:bookmarkEnd w:id="670"/>
      <w:bookmarkEnd w:id="671"/>
    </w:p>
    <w:p w14:paraId="415B2D48" w14:textId="01BF1DB6" w:rsidR="001E6EC8" w:rsidRPr="00292532" w:rsidRDefault="001E6EC8" w:rsidP="001E6EC8">
      <w:pPr>
        <w:rPr>
          <w:lang w:val="pt-PT"/>
        </w:rPr>
      </w:pPr>
      <w:r w:rsidRPr="00292532">
        <w:rPr>
          <w:lang w:val="pt-PT"/>
        </w:rPr>
        <w:t xml:space="preserve">Para a implementação deste plano devem-se considerar os seguintes princípios de gestão de riscos de segurança a seguir resumidos: </w:t>
      </w:r>
    </w:p>
    <w:p w14:paraId="4D1520CF" w14:textId="4B4705AE" w:rsidR="001E6EC8" w:rsidRPr="00292532" w:rsidRDefault="009F77FB" w:rsidP="00AE14AE">
      <w:pPr>
        <w:pStyle w:val="ListParagraph"/>
        <w:numPr>
          <w:ilvl w:val="0"/>
          <w:numId w:val="103"/>
        </w:numPr>
        <w:rPr>
          <w:lang w:val="pt-PT"/>
        </w:rPr>
      </w:pPr>
      <w:r w:rsidRPr="00292532">
        <w:rPr>
          <w:i/>
          <w:iCs/>
          <w:lang w:val="pt-PT"/>
        </w:rPr>
        <w:t xml:space="preserve">Segurança da </w:t>
      </w:r>
      <w:r w:rsidR="009F6136" w:rsidRPr="00292532">
        <w:rPr>
          <w:i/>
          <w:iCs/>
          <w:lang w:val="pt-PT"/>
        </w:rPr>
        <w:t>Infraestrutura</w:t>
      </w:r>
      <w:r w:rsidR="001E6EC8" w:rsidRPr="00292532">
        <w:rPr>
          <w:i/>
          <w:iCs/>
          <w:lang w:val="pt-PT"/>
        </w:rPr>
        <w:t xml:space="preserve"> e Equipamento</w:t>
      </w:r>
      <w:r w:rsidR="001E6EC8" w:rsidRPr="00292532">
        <w:rPr>
          <w:lang w:val="pt-PT"/>
        </w:rPr>
        <w:t xml:space="preserve">: Onde as </w:t>
      </w:r>
      <w:r w:rsidR="009F6136" w:rsidRPr="00292532">
        <w:rPr>
          <w:lang w:val="pt-PT"/>
        </w:rPr>
        <w:t>infraestruturas</w:t>
      </w:r>
      <w:r w:rsidR="001E6EC8" w:rsidRPr="00292532">
        <w:rPr>
          <w:lang w:val="pt-PT"/>
        </w:rPr>
        <w:t xml:space="preserve"> e equipamentos estejam muito próximo ou sejam de fácil acesso pelas comunidades locais, são necessárias medidas adequadas para prevenir eventuais ferimentos ou acidentes na comunidade;</w:t>
      </w:r>
    </w:p>
    <w:p w14:paraId="3E987200" w14:textId="7EB1C04B" w:rsidR="001E6EC8" w:rsidRPr="00292532" w:rsidRDefault="001E6EC8" w:rsidP="00AE14AE">
      <w:pPr>
        <w:pStyle w:val="ListParagraph"/>
        <w:numPr>
          <w:ilvl w:val="0"/>
          <w:numId w:val="103"/>
        </w:numPr>
        <w:rPr>
          <w:lang w:val="pt-PT"/>
        </w:rPr>
      </w:pPr>
      <w:r w:rsidRPr="00292532">
        <w:rPr>
          <w:i/>
          <w:iCs/>
          <w:lang w:val="pt-PT"/>
        </w:rPr>
        <w:t>Segurança no Manuseio, Transporte, Armazenamento e Eliminação de materiais</w:t>
      </w:r>
      <w:r w:rsidRPr="00292532">
        <w:rPr>
          <w:lang w:val="pt-PT"/>
        </w:rPr>
        <w:t>: O armazenamento, gestão e eliminação de resíduos será realizado de forma a evitar que haja contaminação por toxinas e danos físicos das comunidades;</w:t>
      </w:r>
    </w:p>
    <w:p w14:paraId="17F4B4C1" w14:textId="131D1D6D" w:rsidR="001E6EC8" w:rsidRPr="00292532" w:rsidRDefault="001E6EC8" w:rsidP="00AE14AE">
      <w:pPr>
        <w:pStyle w:val="ListParagraph"/>
        <w:numPr>
          <w:ilvl w:val="0"/>
          <w:numId w:val="103"/>
        </w:numPr>
        <w:rPr>
          <w:lang w:val="pt-PT"/>
        </w:rPr>
      </w:pPr>
      <w:r w:rsidRPr="00292532">
        <w:rPr>
          <w:i/>
          <w:iCs/>
          <w:lang w:val="pt-PT"/>
        </w:rPr>
        <w:t>Segurança no Tráfego e no Transportes</w:t>
      </w:r>
      <w:r w:rsidRPr="00292532">
        <w:rPr>
          <w:lang w:val="pt-PT"/>
        </w:rPr>
        <w:t xml:space="preserve">: devem-se implementar medidas para garantir a segurança da comunidade local e do tráfego de pedestres durante a utilização das vias públicas e acessos nas vilas e localidades. Estas medidas estão contidas na </w:t>
      </w:r>
      <w:r w:rsidR="005666C7" w:rsidRPr="00292532">
        <w:rPr>
          <w:b/>
          <w:bCs/>
          <w:lang w:val="pt-PT"/>
        </w:rPr>
        <w:t xml:space="preserve">Anexo </w:t>
      </w:r>
      <w:r w:rsidR="00817F0F" w:rsidRPr="00292532">
        <w:rPr>
          <w:b/>
          <w:bCs/>
          <w:lang w:val="pt-PT"/>
        </w:rPr>
        <w:t>10</w:t>
      </w:r>
      <w:r w:rsidR="005666C7" w:rsidRPr="00292532">
        <w:rPr>
          <w:b/>
          <w:bCs/>
          <w:lang w:val="pt-PT"/>
        </w:rPr>
        <w:t xml:space="preserve">- </w:t>
      </w:r>
      <w:proofErr w:type="spellStart"/>
      <w:r w:rsidRPr="00292532">
        <w:rPr>
          <w:lang w:val="pt-PT"/>
        </w:rPr>
        <w:t>Directrizes</w:t>
      </w:r>
      <w:proofErr w:type="spellEnd"/>
      <w:r w:rsidRPr="00292532">
        <w:rPr>
          <w:lang w:val="pt-PT"/>
        </w:rPr>
        <w:t xml:space="preserve"> de Gestão do Tráfego;</w:t>
      </w:r>
    </w:p>
    <w:p w14:paraId="6AE18986" w14:textId="702FEC77" w:rsidR="001E6EC8" w:rsidRPr="00292532" w:rsidRDefault="001E6EC8" w:rsidP="00AE14AE">
      <w:pPr>
        <w:pStyle w:val="ListParagraph"/>
        <w:numPr>
          <w:ilvl w:val="0"/>
          <w:numId w:val="103"/>
        </w:numPr>
        <w:rPr>
          <w:lang w:val="pt-PT"/>
        </w:rPr>
      </w:pPr>
      <w:r w:rsidRPr="00292532">
        <w:rPr>
          <w:i/>
          <w:iCs/>
          <w:lang w:val="pt-PT"/>
        </w:rPr>
        <w:t>Eventos não planeados/Emergência</w:t>
      </w:r>
      <w:r w:rsidRPr="00292532">
        <w:rPr>
          <w:lang w:val="pt-PT"/>
        </w:rPr>
        <w:t xml:space="preserve">: devem ser </w:t>
      </w:r>
      <w:proofErr w:type="spellStart"/>
      <w:r w:rsidRPr="00292532">
        <w:rPr>
          <w:lang w:val="pt-PT"/>
        </w:rPr>
        <w:t>adoptados</w:t>
      </w:r>
      <w:proofErr w:type="spellEnd"/>
      <w:r w:rsidRPr="00292532">
        <w:rPr>
          <w:lang w:val="pt-PT"/>
        </w:rPr>
        <w:t xml:space="preserve"> mecanismos adequados para proteger a comunidade de riscos anormais ou de emergência, abordados na Avaliação de Risco de Perigo e Prontidão de Resposta a Emergência do QGAS;</w:t>
      </w:r>
    </w:p>
    <w:p w14:paraId="6965D96E" w14:textId="798F807F" w:rsidR="001E6EC8" w:rsidRPr="00292532" w:rsidRDefault="003E4607" w:rsidP="00AE14AE">
      <w:pPr>
        <w:pStyle w:val="ListParagraph"/>
        <w:numPr>
          <w:ilvl w:val="0"/>
          <w:numId w:val="103"/>
        </w:numPr>
        <w:rPr>
          <w:lang w:val="pt-PT"/>
        </w:rPr>
      </w:pPr>
      <w:r w:rsidRPr="00292532">
        <w:rPr>
          <w:i/>
          <w:iCs/>
          <w:lang w:val="pt-PT"/>
        </w:rPr>
        <w:t>Contaminação</w:t>
      </w:r>
      <w:r w:rsidR="001E6EC8" w:rsidRPr="00292532">
        <w:rPr>
          <w:i/>
          <w:iCs/>
          <w:lang w:val="pt-PT"/>
        </w:rPr>
        <w:t xml:space="preserve"> dos recursos de Água da Comunidade</w:t>
      </w:r>
      <w:r w:rsidR="001E6EC8" w:rsidRPr="00292532">
        <w:rPr>
          <w:lang w:val="pt-PT"/>
        </w:rPr>
        <w:t xml:space="preserve">: </w:t>
      </w:r>
      <w:r w:rsidRPr="00292532">
        <w:rPr>
          <w:lang w:val="pt-PT"/>
        </w:rPr>
        <w:t>devem ser implementadas</w:t>
      </w:r>
      <w:r w:rsidR="001E6EC8" w:rsidRPr="00292532">
        <w:rPr>
          <w:lang w:val="pt-PT"/>
        </w:rPr>
        <w:t xml:space="preserve"> medidas de segurança para garantir que o abastecimento e a qualidade da água da comunidade não sejam </w:t>
      </w:r>
      <w:proofErr w:type="spellStart"/>
      <w:r w:rsidR="001E6EC8" w:rsidRPr="00292532">
        <w:rPr>
          <w:lang w:val="pt-PT"/>
        </w:rPr>
        <w:t>afectados</w:t>
      </w:r>
      <w:proofErr w:type="spellEnd"/>
      <w:r w:rsidRPr="00292532">
        <w:rPr>
          <w:lang w:val="pt-PT"/>
        </w:rPr>
        <w:t xml:space="preserve"> durante a fase de construção. Deve-se igualmente implementar medidas pelo </w:t>
      </w:r>
      <w:proofErr w:type="spellStart"/>
      <w:r w:rsidRPr="00292532">
        <w:rPr>
          <w:lang w:val="pt-PT"/>
        </w:rPr>
        <w:t>projecto</w:t>
      </w:r>
      <w:proofErr w:type="spellEnd"/>
      <w:r w:rsidRPr="00292532">
        <w:rPr>
          <w:lang w:val="pt-PT"/>
        </w:rPr>
        <w:t xml:space="preserve"> para garantir que a água a ser fornecida as populações durante a fase de operação dos sistemas obedeça os padrões de qualidade de água estabelecidos pela legislação. Para este fim, deve-se recorrer as medidas de prevenção do risco de contaminação das águas subterrâneas e superficiais providenciadas no PGA genérico (</w:t>
      </w:r>
      <w:r w:rsidRPr="00292532">
        <w:rPr>
          <w:b/>
          <w:bCs/>
          <w:lang w:val="pt-PT"/>
        </w:rPr>
        <w:t xml:space="preserve">Anexo </w:t>
      </w:r>
      <w:r w:rsidR="000615DB" w:rsidRPr="00292532">
        <w:rPr>
          <w:b/>
          <w:bCs/>
          <w:lang w:val="pt-PT"/>
        </w:rPr>
        <w:t>4</w:t>
      </w:r>
      <w:r w:rsidRPr="00292532">
        <w:rPr>
          <w:lang w:val="pt-PT"/>
        </w:rPr>
        <w:t>)</w:t>
      </w:r>
      <w:r w:rsidR="001E6EC8" w:rsidRPr="00292532">
        <w:rPr>
          <w:lang w:val="pt-PT"/>
        </w:rPr>
        <w:t>;</w:t>
      </w:r>
    </w:p>
    <w:p w14:paraId="035345A1" w14:textId="59E0EF62" w:rsidR="001E6EC8" w:rsidRPr="00292532" w:rsidRDefault="001E6EC8" w:rsidP="00AE14AE">
      <w:pPr>
        <w:pStyle w:val="ListParagraph"/>
        <w:numPr>
          <w:ilvl w:val="0"/>
          <w:numId w:val="103"/>
        </w:numPr>
        <w:rPr>
          <w:lang w:val="pt-PT"/>
        </w:rPr>
      </w:pPr>
      <w:r w:rsidRPr="00292532">
        <w:rPr>
          <w:i/>
          <w:iCs/>
          <w:lang w:val="pt-PT"/>
        </w:rPr>
        <w:t xml:space="preserve">Locais de reprodução de </w:t>
      </w:r>
      <w:proofErr w:type="spellStart"/>
      <w:r w:rsidRPr="00292532">
        <w:rPr>
          <w:i/>
          <w:iCs/>
          <w:lang w:val="pt-PT"/>
        </w:rPr>
        <w:t>vectores</w:t>
      </w:r>
      <w:proofErr w:type="spellEnd"/>
      <w:r w:rsidRPr="00292532">
        <w:rPr>
          <w:i/>
          <w:iCs/>
          <w:lang w:val="pt-PT"/>
        </w:rPr>
        <w:t xml:space="preserve"> de doenças</w:t>
      </w:r>
      <w:r w:rsidRPr="00292532">
        <w:rPr>
          <w:lang w:val="pt-PT"/>
        </w:rPr>
        <w:t xml:space="preserve">: </w:t>
      </w:r>
      <w:r w:rsidR="00DC2DF9" w:rsidRPr="00292532">
        <w:rPr>
          <w:lang w:val="pt-PT"/>
        </w:rPr>
        <w:t xml:space="preserve">devem ser </w:t>
      </w:r>
      <w:proofErr w:type="spellStart"/>
      <w:r w:rsidR="00DC2DF9" w:rsidRPr="00292532">
        <w:rPr>
          <w:lang w:val="pt-PT"/>
        </w:rPr>
        <w:t>adoptadas</w:t>
      </w:r>
      <w:proofErr w:type="spellEnd"/>
      <w:r w:rsidRPr="00292532">
        <w:rPr>
          <w:lang w:val="pt-PT"/>
        </w:rPr>
        <w:t xml:space="preserve"> medidas para reduzir a propagação de doenças transmitidas pela água e por </w:t>
      </w:r>
      <w:proofErr w:type="spellStart"/>
      <w:r w:rsidRPr="00292532">
        <w:rPr>
          <w:lang w:val="pt-PT"/>
        </w:rPr>
        <w:t>vectores</w:t>
      </w:r>
      <w:proofErr w:type="spellEnd"/>
      <w:r w:rsidR="00DC2DF9" w:rsidRPr="00292532">
        <w:rPr>
          <w:lang w:val="pt-PT"/>
        </w:rPr>
        <w:t xml:space="preserve">, </w:t>
      </w:r>
      <w:r w:rsidRPr="00292532">
        <w:rPr>
          <w:lang w:val="pt-PT"/>
        </w:rPr>
        <w:t>especificamente a malária</w:t>
      </w:r>
      <w:r w:rsidR="00DC2DF9" w:rsidRPr="00292532">
        <w:rPr>
          <w:lang w:val="pt-PT"/>
        </w:rPr>
        <w:t xml:space="preserve"> e a cólera</w:t>
      </w:r>
      <w:r w:rsidRPr="00292532">
        <w:rPr>
          <w:lang w:val="pt-PT"/>
        </w:rPr>
        <w:t xml:space="preserve">. As medidas incluirão um conjunto integrado de intervenções coordenadas </w:t>
      </w:r>
      <w:r w:rsidR="00DC2DF9" w:rsidRPr="00292532">
        <w:rPr>
          <w:lang w:val="pt-PT"/>
        </w:rPr>
        <w:t>para a gestão das águas pluviais em acampamentos temporários, estaleiros, local das obras. Durante a fase de operação os sistemas de saneamento devem ser operados e mantidos no sentido de prevenir quaisquer falhas nos sistemas e prevenir acessos por parte das populações às instalações de tratamento de águas residuais</w:t>
      </w:r>
      <w:r w:rsidRPr="00292532">
        <w:rPr>
          <w:lang w:val="pt-PT"/>
        </w:rPr>
        <w:t>;</w:t>
      </w:r>
    </w:p>
    <w:p w14:paraId="2CA2DDD9" w14:textId="254C55B3" w:rsidR="001E6EC8" w:rsidRPr="00292532" w:rsidRDefault="001E6EC8" w:rsidP="00AE14AE">
      <w:pPr>
        <w:pStyle w:val="ListParagraph"/>
        <w:numPr>
          <w:ilvl w:val="0"/>
          <w:numId w:val="103"/>
        </w:numPr>
        <w:rPr>
          <w:lang w:val="pt-PT"/>
        </w:rPr>
      </w:pPr>
      <w:r w:rsidRPr="00292532">
        <w:rPr>
          <w:i/>
          <w:iCs/>
          <w:lang w:val="pt-PT"/>
        </w:rPr>
        <w:lastRenderedPageBreak/>
        <w:t>Propagação de Doenças Transmissíveis</w:t>
      </w:r>
      <w:r w:rsidRPr="00292532">
        <w:rPr>
          <w:lang w:val="pt-PT"/>
        </w:rPr>
        <w:t xml:space="preserve">: </w:t>
      </w:r>
      <w:r w:rsidR="00DC2DF9" w:rsidRPr="00292532">
        <w:rPr>
          <w:lang w:val="pt-PT"/>
        </w:rPr>
        <w:t xml:space="preserve">para este risco serão </w:t>
      </w:r>
      <w:proofErr w:type="spellStart"/>
      <w:r w:rsidR="00DC2DF9" w:rsidRPr="00292532">
        <w:rPr>
          <w:lang w:val="pt-PT"/>
        </w:rPr>
        <w:t>adoptadas</w:t>
      </w:r>
      <w:proofErr w:type="spellEnd"/>
      <w:r w:rsidR="00DC2DF9" w:rsidRPr="00292532">
        <w:rPr>
          <w:lang w:val="pt-PT"/>
        </w:rPr>
        <w:t xml:space="preserve"> as</w:t>
      </w:r>
      <w:r w:rsidRPr="00292532">
        <w:rPr>
          <w:lang w:val="pt-PT"/>
        </w:rPr>
        <w:t xml:space="preserve"> medidas para reduzir a incidência e propagação de doenças transmissíveis decorrentes do afluxo de trabalhadores migrantes, membros da família alargada e outros trabalhadores do local;</w:t>
      </w:r>
    </w:p>
    <w:p w14:paraId="7F2595B0" w14:textId="7C80785C" w:rsidR="001E6EC8" w:rsidRPr="00292532" w:rsidRDefault="001E6EC8" w:rsidP="00AE14AE">
      <w:pPr>
        <w:pStyle w:val="ListParagraph"/>
        <w:numPr>
          <w:ilvl w:val="0"/>
          <w:numId w:val="103"/>
        </w:numPr>
        <w:rPr>
          <w:lang w:val="pt-PT"/>
        </w:rPr>
      </w:pPr>
      <w:r w:rsidRPr="00292532">
        <w:rPr>
          <w:i/>
          <w:iCs/>
          <w:lang w:val="pt-PT"/>
        </w:rPr>
        <w:t>Saneamento Básico da Comunidade</w:t>
      </w:r>
      <w:r w:rsidRPr="00292532">
        <w:rPr>
          <w:lang w:val="pt-PT"/>
        </w:rPr>
        <w:t>: Serão estabelecidas medidas adequadas para</w:t>
      </w:r>
      <w:r w:rsidR="00DC2DF9" w:rsidRPr="00292532">
        <w:rPr>
          <w:lang w:val="pt-PT"/>
        </w:rPr>
        <w:t xml:space="preserve"> garantir que os serviços de saneamento a serem fornecidos nas vilas sejam seguros e não periguem a saúde das populações, através de medidas de gestão dos sistemas (a serem definidas em fases subsequentes pela equipa de </w:t>
      </w:r>
      <w:proofErr w:type="spellStart"/>
      <w:r w:rsidR="00DC2DF9" w:rsidRPr="00292532">
        <w:rPr>
          <w:lang w:val="pt-PT"/>
        </w:rPr>
        <w:t>projectos</w:t>
      </w:r>
      <w:proofErr w:type="spellEnd"/>
      <w:r w:rsidR="00DC2DF9" w:rsidRPr="00292532">
        <w:rPr>
          <w:lang w:val="pt-PT"/>
        </w:rPr>
        <w:t xml:space="preserve">) e implementação de monitorização adequada nos sistemas. </w:t>
      </w:r>
    </w:p>
    <w:p w14:paraId="1BE37675" w14:textId="6796546F" w:rsidR="001E6EC8" w:rsidRPr="00292532" w:rsidRDefault="001E6EC8" w:rsidP="00AE14AE">
      <w:pPr>
        <w:pStyle w:val="ListParagraph"/>
        <w:numPr>
          <w:ilvl w:val="0"/>
          <w:numId w:val="103"/>
        </w:numPr>
        <w:rPr>
          <w:lang w:val="pt-PT"/>
        </w:rPr>
      </w:pPr>
      <w:r w:rsidRPr="00292532">
        <w:rPr>
          <w:i/>
          <w:iCs/>
          <w:lang w:val="pt-PT"/>
        </w:rPr>
        <w:t>Controlo de Segurança</w:t>
      </w:r>
      <w:r w:rsidRPr="00292532">
        <w:rPr>
          <w:lang w:val="pt-PT"/>
        </w:rPr>
        <w:t xml:space="preserve">: Sempre que o </w:t>
      </w:r>
      <w:proofErr w:type="spellStart"/>
      <w:r w:rsidRPr="00292532">
        <w:rPr>
          <w:lang w:val="pt-PT"/>
        </w:rPr>
        <w:t>projecto</w:t>
      </w:r>
      <w:proofErr w:type="spellEnd"/>
      <w:r w:rsidRPr="00292532">
        <w:rPr>
          <w:lang w:val="pt-PT"/>
        </w:rPr>
        <w:t xml:space="preserve"> estabeleça a segurança pessoal serão tomadas medidas adequadas relativas à </w:t>
      </w:r>
      <w:proofErr w:type="spellStart"/>
      <w:r w:rsidRPr="00292532">
        <w:rPr>
          <w:lang w:val="pt-PT"/>
        </w:rPr>
        <w:t>interacção</w:t>
      </w:r>
      <w:proofErr w:type="spellEnd"/>
      <w:r w:rsidRPr="00292532">
        <w:rPr>
          <w:lang w:val="pt-PT"/>
        </w:rPr>
        <w:t xml:space="preserve"> e aos procedimentos </w:t>
      </w:r>
      <w:proofErr w:type="spellStart"/>
      <w:r w:rsidRPr="00292532">
        <w:rPr>
          <w:lang w:val="pt-PT"/>
        </w:rPr>
        <w:t>correctos</w:t>
      </w:r>
      <w:proofErr w:type="spellEnd"/>
      <w:r w:rsidRPr="00292532">
        <w:rPr>
          <w:lang w:val="pt-PT"/>
        </w:rPr>
        <w:t xml:space="preserve"> da comunidade para reduzir potenciais conflitos.</w:t>
      </w:r>
    </w:p>
    <w:p w14:paraId="4F7DF2CC" w14:textId="77777777" w:rsidR="00DC2DF9" w:rsidRPr="00292532" w:rsidRDefault="00DC2DF9" w:rsidP="001E6EC8">
      <w:pPr>
        <w:rPr>
          <w:lang w:val="pt-PT"/>
        </w:rPr>
      </w:pPr>
    </w:p>
    <w:p w14:paraId="122F0234" w14:textId="371731B0" w:rsidR="00DC2DF9" w:rsidRPr="00292532" w:rsidRDefault="00DC2DF9" w:rsidP="00DC2DF9">
      <w:pPr>
        <w:pStyle w:val="Heading2"/>
      </w:pPr>
      <w:bookmarkStart w:id="672" w:name="_Toc72944225"/>
      <w:bookmarkStart w:id="673" w:name="_Toc72956497"/>
      <w:bookmarkStart w:id="674" w:name="_Toc72956650"/>
      <w:bookmarkStart w:id="675" w:name="_Toc73620198"/>
      <w:bookmarkStart w:id="676" w:name="_Toc73623825"/>
      <w:bookmarkStart w:id="677" w:name="_Toc73624473"/>
      <w:bookmarkStart w:id="678" w:name="_Toc73954608"/>
      <w:bookmarkStart w:id="679" w:name="_Toc75438007"/>
      <w:bookmarkStart w:id="680" w:name="_Toc78435446"/>
      <w:bookmarkStart w:id="681" w:name="_Toc80380116"/>
      <w:r w:rsidRPr="00292532">
        <w:t>Medidas de Gestão de Riscos na Saúde e Segurança das Comunidades</w:t>
      </w:r>
      <w:bookmarkEnd w:id="672"/>
      <w:bookmarkEnd w:id="673"/>
      <w:bookmarkEnd w:id="674"/>
      <w:bookmarkEnd w:id="675"/>
      <w:bookmarkEnd w:id="676"/>
      <w:bookmarkEnd w:id="677"/>
      <w:bookmarkEnd w:id="678"/>
      <w:bookmarkEnd w:id="679"/>
      <w:bookmarkEnd w:id="680"/>
      <w:bookmarkEnd w:id="681"/>
      <w:r w:rsidRPr="00292532">
        <w:t xml:space="preserve"> </w:t>
      </w:r>
    </w:p>
    <w:p w14:paraId="409CF299" w14:textId="11417E4D" w:rsidR="009F77FB" w:rsidRPr="00292532" w:rsidRDefault="009F77FB" w:rsidP="009F77FB">
      <w:pPr>
        <w:rPr>
          <w:lang w:val="pt-PT" w:eastAsia="ja-JP"/>
        </w:rPr>
      </w:pPr>
      <w:r w:rsidRPr="00292532">
        <w:rPr>
          <w:lang w:val="pt-PT" w:eastAsia="ja-JP"/>
        </w:rPr>
        <w:t xml:space="preserve">A </w:t>
      </w:r>
      <w:r w:rsidR="008C11E8" w:rsidRPr="00292532">
        <w:rPr>
          <w:b/>
          <w:bCs/>
          <w:lang w:val="pt-PT" w:eastAsia="ja-JP"/>
        </w:rPr>
        <w:t>Tabela 1</w:t>
      </w:r>
      <w:r w:rsidRPr="00292532">
        <w:rPr>
          <w:lang w:val="pt-PT" w:eastAsia="ja-JP"/>
        </w:rPr>
        <w:t xml:space="preserve">, fornece um resumo das medidas de mitigação e de gestão recomendáveis para a gestão de potenciais riscos e impactos na saúde e segurança das comunidades. </w:t>
      </w:r>
    </w:p>
    <w:p w14:paraId="6E92ED84" w14:textId="77777777" w:rsidR="009F77FB" w:rsidRPr="00292532" w:rsidRDefault="009F77FB" w:rsidP="009F77FB">
      <w:pPr>
        <w:rPr>
          <w:lang w:val="pt-PT" w:eastAsia="ja-JP"/>
        </w:rPr>
      </w:pPr>
    </w:p>
    <w:p w14:paraId="5B3D7E92" w14:textId="6D0F183E" w:rsidR="009F77FB" w:rsidRPr="00292532" w:rsidRDefault="00DC2DF9" w:rsidP="009F77FB">
      <w:pPr>
        <w:pStyle w:val="Caption"/>
      </w:pPr>
      <w:bookmarkStart w:id="682" w:name="_Ref72860664"/>
      <w:r w:rsidRPr="00292532">
        <w:t xml:space="preserve">Tabela </w:t>
      </w:r>
      <w:r w:rsidR="008C11E8" w:rsidRPr="00292532">
        <w:t>1</w:t>
      </w:r>
      <w:bookmarkEnd w:id="682"/>
      <w:r w:rsidRPr="00292532">
        <w:t xml:space="preserve"> Medidas de Gestão de Riscos na Saúde e Segurança das Comunidades </w:t>
      </w:r>
    </w:p>
    <w:tbl>
      <w:tblPr>
        <w:tblStyle w:val="ListTable1Light-Accent5"/>
        <w:tblW w:w="8905" w:type="dxa"/>
        <w:tblLook w:val="04A0" w:firstRow="1" w:lastRow="0" w:firstColumn="1" w:lastColumn="0" w:noHBand="0" w:noVBand="1"/>
      </w:tblPr>
      <w:tblGrid>
        <w:gridCol w:w="3595"/>
        <w:gridCol w:w="5310"/>
      </w:tblGrid>
      <w:tr w:rsidR="008F6C1F" w:rsidRPr="004E2EAC" w14:paraId="44277E0E" w14:textId="77777777" w:rsidTr="008F6C1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95" w:type="dxa"/>
          </w:tcPr>
          <w:p w14:paraId="3E2D0640" w14:textId="77777777" w:rsidR="009F77FB" w:rsidRPr="00292532" w:rsidRDefault="009F77FB" w:rsidP="00DC2DF9">
            <w:pPr>
              <w:rPr>
                <w:color w:val="000000" w:themeColor="text1"/>
                <w:sz w:val="20"/>
                <w:szCs w:val="20"/>
                <w:lang w:val="pt-PT" w:eastAsia="ja-JP"/>
              </w:rPr>
            </w:pPr>
            <w:proofErr w:type="spellStart"/>
            <w:r w:rsidRPr="00292532">
              <w:rPr>
                <w:color w:val="000000" w:themeColor="text1"/>
                <w:sz w:val="20"/>
                <w:szCs w:val="20"/>
                <w:lang w:val="pt-PT" w:eastAsia="ja-JP"/>
              </w:rPr>
              <w:t>Aspecto</w:t>
            </w:r>
            <w:proofErr w:type="spellEnd"/>
            <w:r w:rsidRPr="00292532">
              <w:rPr>
                <w:color w:val="000000" w:themeColor="text1"/>
                <w:sz w:val="20"/>
                <w:szCs w:val="20"/>
                <w:lang w:val="pt-PT" w:eastAsia="ja-JP"/>
              </w:rPr>
              <w:t>/Risco</w:t>
            </w:r>
          </w:p>
        </w:tc>
        <w:tc>
          <w:tcPr>
            <w:tcW w:w="5310" w:type="dxa"/>
          </w:tcPr>
          <w:p w14:paraId="6055A4A2" w14:textId="65603F0E" w:rsidR="009F77FB" w:rsidRPr="00292532" w:rsidRDefault="00447DFA" w:rsidP="009F77FB">
            <w:pPr>
              <w:cnfStyle w:val="100000000000" w:firstRow="1" w:lastRow="0" w:firstColumn="0" w:lastColumn="0" w:oddVBand="0" w:evenVBand="0" w:oddHBand="0"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 xml:space="preserve">Recomendações e Instrumentos de gestão de riscos e impactos </w:t>
            </w:r>
            <w:r w:rsidR="009F77FB" w:rsidRPr="00292532">
              <w:rPr>
                <w:color w:val="000000" w:themeColor="text1"/>
                <w:sz w:val="20"/>
                <w:szCs w:val="20"/>
                <w:lang w:val="pt-PT" w:eastAsia="ja-JP"/>
              </w:rPr>
              <w:t xml:space="preserve">  </w:t>
            </w:r>
          </w:p>
        </w:tc>
      </w:tr>
      <w:tr w:rsidR="008F6C1F" w:rsidRPr="004E2EAC" w14:paraId="64F8A6ED" w14:textId="77777777" w:rsidTr="008F6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3A1BB2C8" w14:textId="1E645AD9" w:rsidR="009F77FB" w:rsidRPr="00292532" w:rsidRDefault="008F6C1F" w:rsidP="009F77FB">
            <w:pPr>
              <w:rPr>
                <w:color w:val="000000" w:themeColor="text1"/>
                <w:sz w:val="20"/>
                <w:szCs w:val="20"/>
                <w:lang w:val="pt-PT" w:eastAsia="ja-JP"/>
              </w:rPr>
            </w:pPr>
            <w:r w:rsidRPr="00292532">
              <w:rPr>
                <w:color w:val="000000" w:themeColor="text1"/>
                <w:sz w:val="20"/>
                <w:szCs w:val="20"/>
                <w:lang w:val="pt-PT" w:eastAsia="ja-JP"/>
              </w:rPr>
              <w:t>Avaliação</w:t>
            </w:r>
            <w:r w:rsidR="00C61C91" w:rsidRPr="00292532">
              <w:rPr>
                <w:color w:val="000000" w:themeColor="text1"/>
                <w:sz w:val="20"/>
                <w:szCs w:val="20"/>
                <w:lang w:val="pt-PT" w:eastAsia="ja-JP"/>
              </w:rPr>
              <w:t xml:space="preserve"> e gestão</w:t>
            </w:r>
            <w:r w:rsidRPr="00292532">
              <w:rPr>
                <w:color w:val="000000" w:themeColor="text1"/>
                <w:sz w:val="20"/>
                <w:szCs w:val="20"/>
                <w:lang w:val="pt-PT" w:eastAsia="ja-JP"/>
              </w:rPr>
              <w:t xml:space="preserve"> de Riscos</w:t>
            </w:r>
            <w:r w:rsidR="00C61C91" w:rsidRPr="00292532">
              <w:rPr>
                <w:color w:val="000000" w:themeColor="text1"/>
                <w:sz w:val="20"/>
                <w:szCs w:val="20"/>
                <w:lang w:val="pt-PT" w:eastAsia="ja-JP"/>
              </w:rPr>
              <w:t xml:space="preserve"> de saúde e segurança ocupacionais</w:t>
            </w:r>
            <w:r w:rsidRPr="00292532">
              <w:rPr>
                <w:color w:val="000000" w:themeColor="text1"/>
                <w:sz w:val="20"/>
                <w:szCs w:val="20"/>
                <w:lang w:val="pt-PT" w:eastAsia="ja-JP"/>
              </w:rPr>
              <w:t xml:space="preserve"> </w:t>
            </w:r>
          </w:p>
        </w:tc>
        <w:tc>
          <w:tcPr>
            <w:tcW w:w="5310" w:type="dxa"/>
          </w:tcPr>
          <w:p w14:paraId="695CB50A" w14:textId="77777777" w:rsidR="008F6C1F" w:rsidRPr="00292532" w:rsidRDefault="008F6C1F" w:rsidP="00AE14AE">
            <w:pPr>
              <w:pStyle w:val="ListParagraph"/>
              <w:numPr>
                <w:ilvl w:val="0"/>
                <w:numId w:val="63"/>
              </w:numPr>
              <w:spacing w:after="0"/>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 xml:space="preserve"> Todas as </w:t>
            </w:r>
            <w:proofErr w:type="spellStart"/>
            <w:r w:rsidRPr="00292532">
              <w:rPr>
                <w:color w:val="000000" w:themeColor="text1"/>
                <w:sz w:val="20"/>
                <w:szCs w:val="20"/>
                <w:lang w:val="pt-PT" w:eastAsia="ja-JP"/>
              </w:rPr>
              <w:t>actividades</w:t>
            </w:r>
            <w:proofErr w:type="spellEnd"/>
            <w:r w:rsidRPr="00292532">
              <w:rPr>
                <w:color w:val="000000" w:themeColor="text1"/>
                <w:sz w:val="20"/>
                <w:szCs w:val="20"/>
                <w:lang w:val="pt-PT" w:eastAsia="ja-JP"/>
              </w:rPr>
              <w:t xml:space="preserve"> do </w:t>
            </w:r>
            <w:proofErr w:type="spellStart"/>
            <w:r w:rsidRPr="00292532">
              <w:rPr>
                <w:color w:val="000000" w:themeColor="text1"/>
                <w:sz w:val="20"/>
                <w:szCs w:val="20"/>
                <w:lang w:val="pt-PT" w:eastAsia="ja-JP"/>
              </w:rPr>
              <w:t>Projecto</w:t>
            </w:r>
            <w:proofErr w:type="spellEnd"/>
            <w:r w:rsidRPr="00292532">
              <w:rPr>
                <w:color w:val="000000" w:themeColor="text1"/>
                <w:sz w:val="20"/>
                <w:szCs w:val="20"/>
                <w:lang w:val="pt-PT" w:eastAsia="ja-JP"/>
              </w:rPr>
              <w:t xml:space="preserve"> nas fases de Construção (pelos empreiteiros) e Operação devem estar sujeitas a uma avaliação detalhada de Riscos de Saúde E Segurança incluindo aqueles que possam </w:t>
            </w:r>
            <w:proofErr w:type="spellStart"/>
            <w:r w:rsidRPr="00292532">
              <w:rPr>
                <w:color w:val="000000" w:themeColor="text1"/>
                <w:sz w:val="20"/>
                <w:szCs w:val="20"/>
                <w:lang w:val="pt-PT" w:eastAsia="ja-JP"/>
              </w:rPr>
              <w:t>afectar</w:t>
            </w:r>
            <w:proofErr w:type="spellEnd"/>
            <w:r w:rsidRPr="00292532">
              <w:rPr>
                <w:color w:val="000000" w:themeColor="text1"/>
                <w:sz w:val="20"/>
                <w:szCs w:val="20"/>
                <w:lang w:val="pt-PT" w:eastAsia="ja-JP"/>
              </w:rPr>
              <w:t xml:space="preserve"> as comunidades locais </w:t>
            </w:r>
          </w:p>
          <w:p w14:paraId="53A67860" w14:textId="38CA450B" w:rsidR="00C61C91" w:rsidRPr="00292532" w:rsidRDefault="00C61C91" w:rsidP="00AE14AE">
            <w:pPr>
              <w:pStyle w:val="ListParagraph"/>
              <w:numPr>
                <w:ilvl w:val="0"/>
                <w:numId w:val="63"/>
              </w:numPr>
              <w:spacing w:after="0"/>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 xml:space="preserve">Aplicação de controlos e medidas para eliminar ou minimizar os riscos em locais considerados de médio a alto risco, p.e. </w:t>
            </w:r>
            <w:proofErr w:type="spellStart"/>
            <w:r w:rsidRPr="00292532">
              <w:rPr>
                <w:color w:val="000000" w:themeColor="text1"/>
                <w:sz w:val="20"/>
                <w:szCs w:val="20"/>
                <w:lang w:val="pt-PT" w:eastAsia="ja-JP"/>
              </w:rPr>
              <w:t>protecção</w:t>
            </w:r>
            <w:proofErr w:type="spellEnd"/>
            <w:r w:rsidRPr="00292532">
              <w:rPr>
                <w:color w:val="000000" w:themeColor="text1"/>
                <w:sz w:val="20"/>
                <w:szCs w:val="20"/>
                <w:lang w:val="pt-PT" w:eastAsia="ja-JP"/>
              </w:rPr>
              <w:t xml:space="preserve"> e barreiras das áreas de escavações e espaços confinados, armazenamento trancado de materiais perigosos, garantia de meios de escape em locais de escavações, trincheiras etc.</w:t>
            </w:r>
          </w:p>
        </w:tc>
      </w:tr>
      <w:tr w:rsidR="008F6C1F" w:rsidRPr="004E2EAC" w14:paraId="7BE9520A" w14:textId="77777777" w:rsidTr="008F6C1F">
        <w:tc>
          <w:tcPr>
            <w:cnfStyle w:val="001000000000" w:firstRow="0" w:lastRow="0" w:firstColumn="1" w:lastColumn="0" w:oddVBand="0" w:evenVBand="0" w:oddHBand="0" w:evenHBand="0" w:firstRowFirstColumn="0" w:firstRowLastColumn="0" w:lastRowFirstColumn="0" w:lastRowLastColumn="0"/>
            <w:tcW w:w="3595" w:type="dxa"/>
          </w:tcPr>
          <w:p w14:paraId="3C733BF9" w14:textId="3BE53201" w:rsidR="008F6C1F" w:rsidRPr="00292532" w:rsidRDefault="008F6C1F" w:rsidP="009F77FB">
            <w:pPr>
              <w:rPr>
                <w:color w:val="000000" w:themeColor="text1"/>
                <w:sz w:val="20"/>
                <w:szCs w:val="20"/>
                <w:lang w:val="pt-PT" w:eastAsia="ja-JP"/>
              </w:rPr>
            </w:pPr>
            <w:r w:rsidRPr="00292532">
              <w:rPr>
                <w:color w:val="000000" w:themeColor="text1"/>
                <w:sz w:val="20"/>
                <w:szCs w:val="20"/>
                <w:lang w:val="pt-PT" w:eastAsia="ja-JP"/>
              </w:rPr>
              <w:t xml:space="preserve">Segurança da </w:t>
            </w:r>
            <w:r w:rsidR="009F6136" w:rsidRPr="00292532">
              <w:rPr>
                <w:color w:val="000000" w:themeColor="text1"/>
                <w:sz w:val="20"/>
                <w:szCs w:val="20"/>
                <w:lang w:val="pt-PT" w:eastAsia="ja-JP"/>
              </w:rPr>
              <w:t>Infraestrutura</w:t>
            </w:r>
            <w:r w:rsidRPr="00292532">
              <w:rPr>
                <w:color w:val="000000" w:themeColor="text1"/>
                <w:sz w:val="20"/>
                <w:szCs w:val="20"/>
                <w:lang w:val="pt-PT" w:eastAsia="ja-JP"/>
              </w:rPr>
              <w:t xml:space="preserve"> e Equipamento</w:t>
            </w:r>
          </w:p>
        </w:tc>
        <w:tc>
          <w:tcPr>
            <w:tcW w:w="5310" w:type="dxa"/>
          </w:tcPr>
          <w:p w14:paraId="5CD57CF2" w14:textId="77777777" w:rsidR="008F6C1F" w:rsidRPr="00292532" w:rsidRDefault="008F6C1F" w:rsidP="00AE14AE">
            <w:pPr>
              <w:pStyle w:val="ListParagraph"/>
              <w:numPr>
                <w:ilvl w:val="0"/>
                <w:numId w:val="63"/>
              </w:numPr>
              <w:spacing w:after="0"/>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 xml:space="preserve">Procedimentos de construção </w:t>
            </w:r>
          </w:p>
          <w:p w14:paraId="052725DC" w14:textId="77777777" w:rsidR="008F6C1F" w:rsidRPr="00292532" w:rsidRDefault="008F6C1F" w:rsidP="00AE14AE">
            <w:pPr>
              <w:pStyle w:val="ListParagraph"/>
              <w:numPr>
                <w:ilvl w:val="0"/>
                <w:numId w:val="63"/>
              </w:numPr>
              <w:spacing w:after="0"/>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pt-PT" w:eastAsia="ja-JP"/>
              </w:rPr>
            </w:pPr>
            <w:proofErr w:type="spellStart"/>
            <w:r w:rsidRPr="00292532">
              <w:rPr>
                <w:color w:val="000000" w:themeColor="text1"/>
                <w:sz w:val="20"/>
                <w:szCs w:val="20"/>
                <w:lang w:val="pt-PT" w:eastAsia="ja-JP"/>
              </w:rPr>
              <w:t>Projecto</w:t>
            </w:r>
            <w:proofErr w:type="spellEnd"/>
            <w:r w:rsidRPr="00292532">
              <w:rPr>
                <w:color w:val="000000" w:themeColor="text1"/>
                <w:sz w:val="20"/>
                <w:szCs w:val="20"/>
                <w:lang w:val="pt-PT" w:eastAsia="ja-JP"/>
              </w:rPr>
              <w:t xml:space="preserve"> das infraestruturas </w:t>
            </w:r>
          </w:p>
          <w:p w14:paraId="49E42983" w14:textId="77777777" w:rsidR="008F6C1F" w:rsidRPr="00292532" w:rsidRDefault="008F6C1F" w:rsidP="00AE14AE">
            <w:pPr>
              <w:pStyle w:val="ListParagraph"/>
              <w:numPr>
                <w:ilvl w:val="0"/>
                <w:numId w:val="63"/>
              </w:numPr>
              <w:spacing w:after="0"/>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 xml:space="preserve">Fiscalização das obras </w:t>
            </w:r>
          </w:p>
          <w:p w14:paraId="2BD094CD" w14:textId="51195018" w:rsidR="008F6C1F" w:rsidRPr="00292532" w:rsidRDefault="008F6C1F" w:rsidP="00AE14AE">
            <w:pPr>
              <w:pStyle w:val="ListParagraph"/>
              <w:numPr>
                <w:ilvl w:val="0"/>
                <w:numId w:val="63"/>
              </w:numPr>
              <w:spacing w:after="0"/>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Procedimentos e manuais de operação</w:t>
            </w:r>
          </w:p>
        </w:tc>
      </w:tr>
      <w:tr w:rsidR="008F6C1F" w:rsidRPr="004E2EAC" w14:paraId="6FFBD96A" w14:textId="77777777" w:rsidTr="008F6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3228C616" w14:textId="4A016B26" w:rsidR="009F77FB" w:rsidRPr="00292532" w:rsidRDefault="009F77FB" w:rsidP="009F77FB">
            <w:pPr>
              <w:rPr>
                <w:color w:val="000000" w:themeColor="text1"/>
                <w:sz w:val="20"/>
                <w:szCs w:val="20"/>
                <w:lang w:val="pt-PT" w:eastAsia="ja-JP"/>
              </w:rPr>
            </w:pPr>
            <w:r w:rsidRPr="00292532">
              <w:rPr>
                <w:color w:val="000000" w:themeColor="text1"/>
                <w:sz w:val="20"/>
                <w:szCs w:val="20"/>
                <w:lang w:val="pt-PT" w:eastAsia="ja-JP"/>
              </w:rPr>
              <w:t xml:space="preserve">Manuseio, Transporte, Armazenamento e Eliminação de </w:t>
            </w:r>
            <w:r w:rsidR="002A07B8" w:rsidRPr="00292532">
              <w:rPr>
                <w:color w:val="000000" w:themeColor="text1"/>
                <w:sz w:val="20"/>
                <w:szCs w:val="20"/>
                <w:lang w:val="pt-PT" w:eastAsia="ja-JP"/>
              </w:rPr>
              <w:t>resíduos</w:t>
            </w:r>
          </w:p>
        </w:tc>
        <w:tc>
          <w:tcPr>
            <w:tcW w:w="5310" w:type="dxa"/>
          </w:tcPr>
          <w:p w14:paraId="26CEC1E6" w14:textId="70296633" w:rsidR="00447DFA" w:rsidRPr="00292532" w:rsidRDefault="00447DFA" w:rsidP="00AE14AE">
            <w:pPr>
              <w:pStyle w:val="ListParagraph"/>
              <w:numPr>
                <w:ilvl w:val="0"/>
                <w:numId w:val="63"/>
              </w:numPr>
              <w:spacing w:after="0"/>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 xml:space="preserve">Implementação de Planos de Gestão de Resíduos </w:t>
            </w:r>
          </w:p>
          <w:p w14:paraId="7959C806" w14:textId="189714AF" w:rsidR="00447DFA" w:rsidRPr="00292532" w:rsidRDefault="00447DFA" w:rsidP="00AE14AE">
            <w:pPr>
              <w:pStyle w:val="ListParagraph"/>
              <w:numPr>
                <w:ilvl w:val="0"/>
                <w:numId w:val="63"/>
              </w:numPr>
              <w:spacing w:after="0"/>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Implementação das medidas de gestão de resíduos propostas no PGA genérico (</w:t>
            </w:r>
            <w:r w:rsidRPr="00292532">
              <w:rPr>
                <w:b/>
                <w:bCs/>
                <w:color w:val="000000" w:themeColor="text1"/>
                <w:sz w:val="20"/>
                <w:szCs w:val="20"/>
                <w:lang w:val="pt-PT" w:eastAsia="ja-JP"/>
              </w:rPr>
              <w:t xml:space="preserve">Anexo </w:t>
            </w:r>
            <w:r w:rsidR="000615DB" w:rsidRPr="00292532">
              <w:rPr>
                <w:b/>
                <w:bCs/>
                <w:color w:val="000000" w:themeColor="text1"/>
                <w:sz w:val="20"/>
                <w:szCs w:val="20"/>
                <w:lang w:val="pt-PT" w:eastAsia="ja-JP"/>
              </w:rPr>
              <w:t>4</w:t>
            </w:r>
            <w:r w:rsidRPr="00292532">
              <w:rPr>
                <w:b/>
                <w:bCs/>
                <w:color w:val="000000" w:themeColor="text1"/>
                <w:sz w:val="20"/>
                <w:szCs w:val="20"/>
                <w:lang w:val="pt-PT" w:eastAsia="ja-JP"/>
              </w:rPr>
              <w:t xml:space="preserve">) </w:t>
            </w:r>
          </w:p>
          <w:p w14:paraId="132AD77C" w14:textId="07024C06" w:rsidR="00447DFA" w:rsidRPr="00292532" w:rsidRDefault="001978AF" w:rsidP="00AE14AE">
            <w:pPr>
              <w:pStyle w:val="ListParagraph"/>
              <w:numPr>
                <w:ilvl w:val="0"/>
                <w:numId w:val="63"/>
              </w:numPr>
              <w:spacing w:after="0"/>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PGAS</w:t>
            </w:r>
            <w:r w:rsidR="00447DFA" w:rsidRPr="00292532">
              <w:rPr>
                <w:color w:val="000000" w:themeColor="text1"/>
                <w:sz w:val="20"/>
                <w:szCs w:val="20"/>
                <w:lang w:val="pt-PT" w:eastAsia="ja-JP"/>
              </w:rPr>
              <w:t xml:space="preserve"> e Procedimentos de Boas Práticas a serem desenvolvidos no futuro </w:t>
            </w:r>
          </w:p>
          <w:p w14:paraId="61441AB9" w14:textId="3A53143D" w:rsidR="002A07B8" w:rsidRPr="00292532" w:rsidRDefault="002A07B8" w:rsidP="00AE14AE">
            <w:pPr>
              <w:pStyle w:val="ListParagraph"/>
              <w:numPr>
                <w:ilvl w:val="0"/>
                <w:numId w:val="63"/>
              </w:numPr>
              <w:spacing w:after="0"/>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 xml:space="preserve">Procedimentos de deposição de restos alimentícios com vista a prevenir o seu consumo pelas comunidades locais </w:t>
            </w:r>
          </w:p>
        </w:tc>
      </w:tr>
      <w:tr w:rsidR="008F6C1F" w:rsidRPr="00292532" w14:paraId="7F589AB9" w14:textId="77777777" w:rsidTr="008F6C1F">
        <w:tc>
          <w:tcPr>
            <w:cnfStyle w:val="001000000000" w:firstRow="0" w:lastRow="0" w:firstColumn="1" w:lastColumn="0" w:oddVBand="0" w:evenVBand="0" w:oddHBand="0" w:evenHBand="0" w:firstRowFirstColumn="0" w:firstRowLastColumn="0" w:lastRowFirstColumn="0" w:lastRowLastColumn="0"/>
            <w:tcW w:w="3595" w:type="dxa"/>
          </w:tcPr>
          <w:p w14:paraId="2BD0988B" w14:textId="1FD19130" w:rsidR="009F77FB" w:rsidRPr="00292532" w:rsidRDefault="009F77FB" w:rsidP="009F77FB">
            <w:pPr>
              <w:rPr>
                <w:color w:val="000000" w:themeColor="text1"/>
                <w:sz w:val="20"/>
                <w:szCs w:val="20"/>
                <w:lang w:val="pt-PT" w:eastAsia="ja-JP"/>
              </w:rPr>
            </w:pPr>
            <w:r w:rsidRPr="00292532">
              <w:rPr>
                <w:color w:val="000000" w:themeColor="text1"/>
                <w:sz w:val="20"/>
                <w:szCs w:val="20"/>
                <w:lang w:val="pt-PT" w:eastAsia="ja-JP"/>
              </w:rPr>
              <w:t>Segurança no Tráfego e no Transportes</w:t>
            </w:r>
          </w:p>
        </w:tc>
        <w:tc>
          <w:tcPr>
            <w:tcW w:w="5310" w:type="dxa"/>
          </w:tcPr>
          <w:p w14:paraId="47E98043" w14:textId="5EFE9DB0" w:rsidR="009F77FB" w:rsidRPr="00292532" w:rsidRDefault="00447DFA" w:rsidP="00AE14AE">
            <w:pPr>
              <w:pStyle w:val="ListParagraph"/>
              <w:numPr>
                <w:ilvl w:val="0"/>
                <w:numId w:val="64"/>
              </w:numPr>
              <w:spacing w:after="0"/>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Diretrizes de Gestão de Tráfego (</w:t>
            </w:r>
            <w:r w:rsidRPr="00292532">
              <w:rPr>
                <w:b/>
                <w:bCs/>
                <w:color w:val="000000" w:themeColor="text1"/>
                <w:sz w:val="20"/>
                <w:szCs w:val="20"/>
                <w:lang w:val="pt-PT" w:eastAsia="ja-JP"/>
              </w:rPr>
              <w:t xml:space="preserve">Anexo </w:t>
            </w:r>
            <w:r w:rsidR="00817F0F" w:rsidRPr="00292532">
              <w:rPr>
                <w:b/>
                <w:bCs/>
                <w:color w:val="000000" w:themeColor="text1"/>
                <w:sz w:val="20"/>
                <w:szCs w:val="20"/>
                <w:lang w:val="pt-PT" w:eastAsia="ja-JP"/>
              </w:rPr>
              <w:t>10</w:t>
            </w:r>
            <w:r w:rsidRPr="00292532">
              <w:rPr>
                <w:color w:val="000000" w:themeColor="text1"/>
                <w:sz w:val="20"/>
                <w:szCs w:val="20"/>
                <w:lang w:val="pt-PT" w:eastAsia="ja-JP"/>
              </w:rPr>
              <w:t>)</w:t>
            </w:r>
          </w:p>
          <w:p w14:paraId="2DA80E5B" w14:textId="77777777" w:rsidR="00425C56" w:rsidRPr="00292532" w:rsidRDefault="00447DFA" w:rsidP="00AE14AE">
            <w:pPr>
              <w:pStyle w:val="ListParagraph"/>
              <w:numPr>
                <w:ilvl w:val="0"/>
                <w:numId w:val="64"/>
              </w:numPr>
              <w:spacing w:after="0"/>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 xml:space="preserve">Procedimentos Operacionais de gestão de tráfego de construção </w:t>
            </w:r>
            <w:r w:rsidR="00425C56" w:rsidRPr="00292532">
              <w:rPr>
                <w:color w:val="000000" w:themeColor="text1"/>
                <w:sz w:val="20"/>
                <w:szCs w:val="20"/>
                <w:lang w:val="pt-PT" w:eastAsia="ja-JP"/>
              </w:rPr>
              <w:t>a serem desenvolvidos pelos empreiteiros</w:t>
            </w:r>
          </w:p>
          <w:p w14:paraId="7C78C8A9" w14:textId="7E2B338E" w:rsidR="00447DFA" w:rsidRPr="00292532" w:rsidRDefault="001978AF" w:rsidP="00AE14AE">
            <w:pPr>
              <w:pStyle w:val="ListParagraph"/>
              <w:numPr>
                <w:ilvl w:val="0"/>
                <w:numId w:val="64"/>
              </w:numPr>
              <w:spacing w:after="0"/>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PGAS</w:t>
            </w:r>
            <w:r w:rsidR="00425C56" w:rsidRPr="00292532">
              <w:rPr>
                <w:color w:val="000000" w:themeColor="text1"/>
                <w:sz w:val="20"/>
                <w:szCs w:val="20"/>
                <w:lang w:val="pt-PT" w:eastAsia="ja-JP"/>
              </w:rPr>
              <w:t xml:space="preserve"> de </w:t>
            </w:r>
            <w:proofErr w:type="spellStart"/>
            <w:r w:rsidR="00425C56" w:rsidRPr="00292532">
              <w:rPr>
                <w:color w:val="000000" w:themeColor="text1"/>
                <w:sz w:val="20"/>
                <w:szCs w:val="20"/>
                <w:lang w:val="pt-PT" w:eastAsia="ja-JP"/>
              </w:rPr>
              <w:t>EIAs</w:t>
            </w:r>
            <w:proofErr w:type="spellEnd"/>
            <w:r w:rsidR="00425C56" w:rsidRPr="00292532">
              <w:rPr>
                <w:color w:val="000000" w:themeColor="text1"/>
                <w:sz w:val="20"/>
                <w:szCs w:val="20"/>
                <w:lang w:val="pt-PT" w:eastAsia="ja-JP"/>
              </w:rPr>
              <w:t xml:space="preserve"> futuros </w:t>
            </w:r>
          </w:p>
        </w:tc>
      </w:tr>
      <w:tr w:rsidR="008F6C1F" w:rsidRPr="004E2EAC" w14:paraId="00148916" w14:textId="77777777" w:rsidTr="008F6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0534A292" w14:textId="50EF16E2" w:rsidR="009F77FB" w:rsidRPr="00292532" w:rsidRDefault="009F77FB" w:rsidP="009F77FB">
            <w:pPr>
              <w:rPr>
                <w:color w:val="000000" w:themeColor="text1"/>
                <w:sz w:val="20"/>
                <w:szCs w:val="20"/>
                <w:lang w:val="pt-PT" w:eastAsia="ja-JP"/>
              </w:rPr>
            </w:pPr>
            <w:r w:rsidRPr="00292532">
              <w:rPr>
                <w:color w:val="000000" w:themeColor="text1"/>
                <w:sz w:val="20"/>
                <w:szCs w:val="20"/>
                <w:lang w:val="pt-PT" w:eastAsia="ja-JP"/>
              </w:rPr>
              <w:lastRenderedPageBreak/>
              <w:t>Eventos não planeados/Emergência</w:t>
            </w:r>
          </w:p>
        </w:tc>
        <w:tc>
          <w:tcPr>
            <w:tcW w:w="5310" w:type="dxa"/>
          </w:tcPr>
          <w:p w14:paraId="4EDF7665" w14:textId="1061CB1B" w:rsidR="009F77FB" w:rsidRPr="00292532" w:rsidRDefault="00447DFA" w:rsidP="00AE14AE">
            <w:pPr>
              <w:pStyle w:val="ListParagraph"/>
              <w:numPr>
                <w:ilvl w:val="0"/>
                <w:numId w:val="64"/>
              </w:numPr>
              <w:spacing w:after="0"/>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Avaliação de Risco de Perigo e Prontidão de Resposta à Emergência (</w:t>
            </w:r>
            <w:r w:rsidRPr="00292532">
              <w:rPr>
                <w:b/>
                <w:bCs/>
                <w:color w:val="000000" w:themeColor="text1"/>
                <w:sz w:val="20"/>
                <w:szCs w:val="20"/>
                <w:lang w:val="pt-PT" w:eastAsia="ja-JP"/>
              </w:rPr>
              <w:t xml:space="preserve">Anexo </w:t>
            </w:r>
            <w:r w:rsidR="00A9374D" w:rsidRPr="00292532">
              <w:rPr>
                <w:b/>
                <w:bCs/>
                <w:color w:val="000000" w:themeColor="text1"/>
                <w:sz w:val="20"/>
                <w:szCs w:val="20"/>
                <w:lang w:val="pt-PT" w:eastAsia="ja-JP"/>
              </w:rPr>
              <w:t>5</w:t>
            </w:r>
            <w:r w:rsidRPr="00292532">
              <w:rPr>
                <w:color w:val="000000" w:themeColor="text1"/>
                <w:sz w:val="20"/>
                <w:szCs w:val="20"/>
                <w:lang w:val="pt-PT" w:eastAsia="ja-JP"/>
              </w:rPr>
              <w:t xml:space="preserve">) </w:t>
            </w:r>
          </w:p>
          <w:p w14:paraId="4F4D7C27" w14:textId="717D5ABE" w:rsidR="00447DFA" w:rsidRPr="00292532" w:rsidRDefault="00425C56" w:rsidP="00AE14AE">
            <w:pPr>
              <w:pStyle w:val="ListParagraph"/>
              <w:numPr>
                <w:ilvl w:val="0"/>
                <w:numId w:val="64"/>
              </w:numPr>
              <w:spacing w:after="0"/>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 xml:space="preserve">Planos de Prevenção e Resposta a Emergências dos Empreiteiros </w:t>
            </w:r>
          </w:p>
        </w:tc>
      </w:tr>
      <w:tr w:rsidR="008F6C1F" w:rsidRPr="00292532" w14:paraId="42FB4CBF" w14:textId="77777777" w:rsidTr="008F6C1F">
        <w:tc>
          <w:tcPr>
            <w:cnfStyle w:val="001000000000" w:firstRow="0" w:lastRow="0" w:firstColumn="1" w:lastColumn="0" w:oddVBand="0" w:evenVBand="0" w:oddHBand="0" w:evenHBand="0" w:firstRowFirstColumn="0" w:firstRowLastColumn="0" w:lastRowFirstColumn="0" w:lastRowLastColumn="0"/>
            <w:tcW w:w="3595" w:type="dxa"/>
          </w:tcPr>
          <w:p w14:paraId="2EDBC19F" w14:textId="3951692D" w:rsidR="009F77FB" w:rsidRPr="00292532" w:rsidRDefault="009F77FB" w:rsidP="009F77FB">
            <w:pPr>
              <w:rPr>
                <w:color w:val="000000" w:themeColor="text1"/>
                <w:sz w:val="20"/>
                <w:szCs w:val="20"/>
                <w:lang w:val="pt-PT" w:eastAsia="ja-JP"/>
              </w:rPr>
            </w:pPr>
            <w:r w:rsidRPr="00292532">
              <w:rPr>
                <w:color w:val="000000" w:themeColor="text1"/>
                <w:sz w:val="20"/>
                <w:szCs w:val="20"/>
                <w:lang w:val="pt-PT" w:eastAsia="ja-JP"/>
              </w:rPr>
              <w:t>Contaminação dos recursos de Água da Comunidade</w:t>
            </w:r>
          </w:p>
        </w:tc>
        <w:tc>
          <w:tcPr>
            <w:tcW w:w="5310" w:type="dxa"/>
          </w:tcPr>
          <w:p w14:paraId="50039836" w14:textId="0D0320FF" w:rsidR="009F77FB" w:rsidRPr="00292532" w:rsidRDefault="00425C56" w:rsidP="00AE14AE">
            <w:pPr>
              <w:pStyle w:val="ListParagraph"/>
              <w:numPr>
                <w:ilvl w:val="0"/>
                <w:numId w:val="65"/>
              </w:numPr>
              <w:spacing w:after="0"/>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Medidas de mitigação para os riscos de contaminação das águas subterrâneas e superficiais, medidas de prevenção e resposta a derrames</w:t>
            </w:r>
            <w:r w:rsidR="0058551D" w:rsidRPr="00292532">
              <w:rPr>
                <w:color w:val="000000" w:themeColor="text1"/>
                <w:sz w:val="20"/>
                <w:szCs w:val="20"/>
                <w:lang w:val="pt-PT" w:eastAsia="ja-JP"/>
              </w:rPr>
              <w:t xml:space="preserve"> de combustíveis e químicos</w:t>
            </w:r>
            <w:r w:rsidRPr="00292532">
              <w:rPr>
                <w:color w:val="000000" w:themeColor="text1"/>
                <w:sz w:val="20"/>
                <w:szCs w:val="20"/>
                <w:lang w:val="pt-PT" w:eastAsia="ja-JP"/>
              </w:rPr>
              <w:t xml:space="preserve"> fornecidas no </w:t>
            </w:r>
            <w:r w:rsidR="001978AF" w:rsidRPr="00292532">
              <w:rPr>
                <w:color w:val="000000" w:themeColor="text1"/>
                <w:sz w:val="20"/>
                <w:szCs w:val="20"/>
                <w:lang w:val="pt-PT" w:eastAsia="ja-JP"/>
              </w:rPr>
              <w:t>PGAS</w:t>
            </w:r>
            <w:r w:rsidRPr="00292532">
              <w:rPr>
                <w:color w:val="000000" w:themeColor="text1"/>
                <w:sz w:val="20"/>
                <w:szCs w:val="20"/>
                <w:lang w:val="pt-PT" w:eastAsia="ja-JP"/>
              </w:rPr>
              <w:t xml:space="preserve"> genérico (</w:t>
            </w:r>
            <w:r w:rsidRPr="00292532">
              <w:rPr>
                <w:b/>
                <w:bCs/>
                <w:color w:val="000000" w:themeColor="text1"/>
                <w:sz w:val="20"/>
                <w:szCs w:val="20"/>
                <w:lang w:val="pt-PT" w:eastAsia="ja-JP"/>
              </w:rPr>
              <w:t xml:space="preserve">Anexo </w:t>
            </w:r>
            <w:r w:rsidR="000615DB" w:rsidRPr="00292532">
              <w:rPr>
                <w:b/>
                <w:bCs/>
                <w:color w:val="000000" w:themeColor="text1"/>
                <w:sz w:val="20"/>
                <w:szCs w:val="20"/>
                <w:lang w:val="pt-PT" w:eastAsia="ja-JP"/>
              </w:rPr>
              <w:t>4</w:t>
            </w:r>
            <w:r w:rsidRPr="00292532">
              <w:rPr>
                <w:color w:val="000000" w:themeColor="text1"/>
                <w:sz w:val="20"/>
                <w:szCs w:val="20"/>
                <w:lang w:val="pt-PT" w:eastAsia="ja-JP"/>
              </w:rPr>
              <w:t>)</w:t>
            </w:r>
          </w:p>
          <w:p w14:paraId="10A09B62" w14:textId="68F44087" w:rsidR="00425C56" w:rsidRPr="00292532" w:rsidRDefault="00425C56" w:rsidP="00AE14AE">
            <w:pPr>
              <w:pStyle w:val="ListParagraph"/>
              <w:numPr>
                <w:ilvl w:val="0"/>
                <w:numId w:val="65"/>
              </w:numPr>
              <w:spacing w:after="0"/>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Plano de Gestão e Prevenção da Poluição (</w:t>
            </w:r>
            <w:r w:rsidRPr="00292532">
              <w:rPr>
                <w:b/>
                <w:bCs/>
                <w:color w:val="000000" w:themeColor="text1"/>
                <w:sz w:val="20"/>
                <w:szCs w:val="20"/>
                <w:lang w:val="pt-PT" w:eastAsia="ja-JP"/>
              </w:rPr>
              <w:t xml:space="preserve">Anexo </w:t>
            </w:r>
            <w:r w:rsidR="00817F0F" w:rsidRPr="00292532">
              <w:rPr>
                <w:b/>
                <w:bCs/>
                <w:color w:val="000000" w:themeColor="text1"/>
                <w:sz w:val="20"/>
                <w:szCs w:val="20"/>
                <w:lang w:val="pt-PT" w:eastAsia="ja-JP"/>
              </w:rPr>
              <w:t>7</w:t>
            </w:r>
            <w:r w:rsidRPr="00292532">
              <w:rPr>
                <w:color w:val="000000" w:themeColor="text1"/>
                <w:sz w:val="20"/>
                <w:szCs w:val="20"/>
                <w:lang w:val="pt-PT" w:eastAsia="ja-JP"/>
              </w:rPr>
              <w:t>)</w:t>
            </w:r>
          </w:p>
          <w:p w14:paraId="170C8FF8" w14:textId="4C1581F2" w:rsidR="00425C56" w:rsidRPr="00292532" w:rsidRDefault="001978AF" w:rsidP="00AE14AE">
            <w:pPr>
              <w:pStyle w:val="ListParagraph"/>
              <w:numPr>
                <w:ilvl w:val="0"/>
                <w:numId w:val="65"/>
              </w:numPr>
              <w:spacing w:after="0"/>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PGAS</w:t>
            </w:r>
            <w:r w:rsidR="00425C56" w:rsidRPr="00292532">
              <w:rPr>
                <w:color w:val="000000" w:themeColor="text1"/>
                <w:sz w:val="20"/>
                <w:szCs w:val="20"/>
                <w:lang w:val="pt-PT" w:eastAsia="ja-JP"/>
              </w:rPr>
              <w:t xml:space="preserve"> de </w:t>
            </w:r>
            <w:proofErr w:type="spellStart"/>
            <w:r w:rsidR="00425C56" w:rsidRPr="00292532">
              <w:rPr>
                <w:color w:val="000000" w:themeColor="text1"/>
                <w:sz w:val="20"/>
                <w:szCs w:val="20"/>
                <w:lang w:val="pt-PT" w:eastAsia="ja-JP"/>
              </w:rPr>
              <w:t>EIAs</w:t>
            </w:r>
            <w:proofErr w:type="spellEnd"/>
            <w:r w:rsidR="00425C56" w:rsidRPr="00292532">
              <w:rPr>
                <w:color w:val="000000" w:themeColor="text1"/>
                <w:sz w:val="20"/>
                <w:szCs w:val="20"/>
                <w:lang w:val="pt-PT" w:eastAsia="ja-JP"/>
              </w:rPr>
              <w:t xml:space="preserve"> futuros </w:t>
            </w:r>
          </w:p>
          <w:p w14:paraId="3F9FC62F" w14:textId="65B94BDF" w:rsidR="00425C56" w:rsidRPr="00292532" w:rsidRDefault="00425C56" w:rsidP="0058551D">
            <w:pPr>
              <w:pStyle w:val="ListParagraph"/>
              <w:numPr>
                <w:ilvl w:val="0"/>
                <w:numId w:val="0"/>
              </w:numPr>
              <w:spacing w:after="0"/>
              <w:ind w:left="360"/>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pt-PT" w:eastAsia="ja-JP"/>
              </w:rPr>
            </w:pPr>
          </w:p>
        </w:tc>
      </w:tr>
      <w:tr w:rsidR="008F6C1F" w:rsidRPr="004E2EAC" w14:paraId="19C11936" w14:textId="77777777" w:rsidTr="008F6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3DBC0E8F" w14:textId="60B85BE8" w:rsidR="009F77FB" w:rsidRPr="00292532" w:rsidRDefault="009F77FB" w:rsidP="009F77FB">
            <w:pPr>
              <w:rPr>
                <w:color w:val="000000" w:themeColor="text1"/>
                <w:sz w:val="20"/>
                <w:szCs w:val="20"/>
                <w:lang w:val="pt-PT" w:eastAsia="ja-JP"/>
              </w:rPr>
            </w:pPr>
            <w:r w:rsidRPr="00292532">
              <w:rPr>
                <w:color w:val="000000" w:themeColor="text1"/>
                <w:sz w:val="20"/>
                <w:szCs w:val="20"/>
                <w:lang w:val="pt-PT" w:eastAsia="ja-JP"/>
              </w:rPr>
              <w:t xml:space="preserve">Locais de reprodução de </w:t>
            </w:r>
            <w:proofErr w:type="spellStart"/>
            <w:r w:rsidRPr="00292532">
              <w:rPr>
                <w:color w:val="000000" w:themeColor="text1"/>
                <w:sz w:val="20"/>
                <w:szCs w:val="20"/>
                <w:lang w:val="pt-PT" w:eastAsia="ja-JP"/>
              </w:rPr>
              <w:t>vectores</w:t>
            </w:r>
            <w:proofErr w:type="spellEnd"/>
            <w:r w:rsidRPr="00292532">
              <w:rPr>
                <w:color w:val="000000" w:themeColor="text1"/>
                <w:sz w:val="20"/>
                <w:szCs w:val="20"/>
                <w:lang w:val="pt-PT" w:eastAsia="ja-JP"/>
              </w:rPr>
              <w:t xml:space="preserve"> de doenças</w:t>
            </w:r>
          </w:p>
        </w:tc>
        <w:tc>
          <w:tcPr>
            <w:tcW w:w="5310" w:type="dxa"/>
          </w:tcPr>
          <w:p w14:paraId="39D31179" w14:textId="225D5090" w:rsidR="009F77FB" w:rsidRPr="00292532" w:rsidRDefault="00425C56" w:rsidP="00AE14AE">
            <w:pPr>
              <w:pStyle w:val="ListParagraph"/>
              <w:numPr>
                <w:ilvl w:val="0"/>
                <w:numId w:val="66"/>
              </w:numPr>
              <w:spacing w:after="0"/>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 xml:space="preserve">Medidas de mitigação dos riscos e impactos </w:t>
            </w:r>
            <w:r w:rsidR="0058551D" w:rsidRPr="00292532">
              <w:rPr>
                <w:color w:val="000000" w:themeColor="text1"/>
                <w:sz w:val="20"/>
                <w:szCs w:val="20"/>
                <w:lang w:val="pt-PT" w:eastAsia="ja-JP"/>
              </w:rPr>
              <w:t xml:space="preserve">associadas ao risco de interferências nas redes de serviços de utilidade pública contidas no </w:t>
            </w:r>
            <w:r w:rsidR="001978AF" w:rsidRPr="00292532">
              <w:rPr>
                <w:color w:val="000000" w:themeColor="text1"/>
                <w:sz w:val="20"/>
                <w:szCs w:val="20"/>
                <w:lang w:val="pt-PT" w:eastAsia="ja-JP"/>
              </w:rPr>
              <w:t>PGAS</w:t>
            </w:r>
            <w:r w:rsidR="0058551D" w:rsidRPr="00292532">
              <w:rPr>
                <w:color w:val="000000" w:themeColor="text1"/>
                <w:sz w:val="20"/>
                <w:szCs w:val="20"/>
                <w:lang w:val="pt-PT" w:eastAsia="ja-JP"/>
              </w:rPr>
              <w:t xml:space="preserve"> genérico (</w:t>
            </w:r>
            <w:r w:rsidR="0058551D" w:rsidRPr="00292532">
              <w:rPr>
                <w:b/>
                <w:bCs/>
                <w:color w:val="000000" w:themeColor="text1"/>
                <w:sz w:val="20"/>
                <w:szCs w:val="20"/>
                <w:lang w:val="pt-PT" w:eastAsia="ja-JP"/>
              </w:rPr>
              <w:t xml:space="preserve">Anexo </w:t>
            </w:r>
            <w:r w:rsidR="000615DB" w:rsidRPr="00292532">
              <w:rPr>
                <w:b/>
                <w:bCs/>
                <w:color w:val="000000" w:themeColor="text1"/>
                <w:sz w:val="20"/>
                <w:szCs w:val="20"/>
                <w:lang w:val="pt-PT" w:eastAsia="ja-JP"/>
              </w:rPr>
              <w:t>4</w:t>
            </w:r>
            <w:r w:rsidR="0058551D" w:rsidRPr="00292532">
              <w:rPr>
                <w:color w:val="000000" w:themeColor="text1"/>
                <w:sz w:val="20"/>
                <w:szCs w:val="20"/>
                <w:lang w:val="pt-PT" w:eastAsia="ja-JP"/>
              </w:rPr>
              <w:t>)</w:t>
            </w:r>
          </w:p>
          <w:p w14:paraId="03E6CECA" w14:textId="77777777" w:rsidR="0058551D" w:rsidRPr="00292532" w:rsidRDefault="0058551D" w:rsidP="00AE14AE">
            <w:pPr>
              <w:pStyle w:val="ListParagraph"/>
              <w:numPr>
                <w:ilvl w:val="0"/>
                <w:numId w:val="66"/>
              </w:numPr>
              <w:spacing w:after="0"/>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 xml:space="preserve">Implementação de Planos de Gestão de Resíduos </w:t>
            </w:r>
          </w:p>
          <w:p w14:paraId="4897BB4D" w14:textId="70E87010" w:rsidR="0058551D" w:rsidRPr="00292532" w:rsidRDefault="0058551D" w:rsidP="00AE14AE">
            <w:pPr>
              <w:pStyle w:val="ListParagraph"/>
              <w:numPr>
                <w:ilvl w:val="0"/>
                <w:numId w:val="66"/>
              </w:numPr>
              <w:spacing w:after="0"/>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Implementação das medidas de gestão de resíduos propostas no PGA genérico (</w:t>
            </w:r>
            <w:r w:rsidRPr="00292532">
              <w:rPr>
                <w:b/>
                <w:bCs/>
                <w:color w:val="000000" w:themeColor="text1"/>
                <w:sz w:val="20"/>
                <w:szCs w:val="20"/>
                <w:lang w:val="pt-PT" w:eastAsia="ja-JP"/>
              </w:rPr>
              <w:t xml:space="preserve">Anexo </w:t>
            </w:r>
            <w:r w:rsidR="000615DB" w:rsidRPr="00292532">
              <w:rPr>
                <w:b/>
                <w:bCs/>
                <w:color w:val="000000" w:themeColor="text1"/>
                <w:sz w:val="20"/>
                <w:szCs w:val="20"/>
                <w:lang w:val="pt-PT" w:eastAsia="ja-JP"/>
              </w:rPr>
              <w:t>4</w:t>
            </w:r>
            <w:r w:rsidRPr="00292532">
              <w:rPr>
                <w:color w:val="000000" w:themeColor="text1"/>
                <w:sz w:val="20"/>
                <w:szCs w:val="20"/>
                <w:lang w:val="pt-PT" w:eastAsia="ja-JP"/>
              </w:rPr>
              <w:t xml:space="preserve">) </w:t>
            </w:r>
          </w:p>
          <w:p w14:paraId="4D4660F9" w14:textId="07E5A134" w:rsidR="0058551D" w:rsidRPr="00292532" w:rsidRDefault="001978AF" w:rsidP="00AE14AE">
            <w:pPr>
              <w:pStyle w:val="ListParagraph"/>
              <w:numPr>
                <w:ilvl w:val="0"/>
                <w:numId w:val="66"/>
              </w:numPr>
              <w:spacing w:after="0"/>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PGAS</w:t>
            </w:r>
            <w:r w:rsidR="0058551D" w:rsidRPr="00292532">
              <w:rPr>
                <w:color w:val="000000" w:themeColor="text1"/>
                <w:sz w:val="20"/>
                <w:szCs w:val="20"/>
                <w:lang w:val="pt-PT" w:eastAsia="ja-JP"/>
              </w:rPr>
              <w:t xml:space="preserve"> e Procedimentos de Boas Práticas a serem desenvolvidos no futuro</w:t>
            </w:r>
          </w:p>
          <w:p w14:paraId="46D0B54A" w14:textId="0F6603FD" w:rsidR="00AC3669" w:rsidRPr="00292532" w:rsidRDefault="0058551D" w:rsidP="00AE14AE">
            <w:pPr>
              <w:pStyle w:val="ListParagraph"/>
              <w:numPr>
                <w:ilvl w:val="0"/>
                <w:numId w:val="66"/>
              </w:numPr>
              <w:spacing w:after="0"/>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Implementação de medidas de gestão de águas residuais durante a operação dos sistemas de saneamento</w:t>
            </w:r>
            <w:r w:rsidR="00AC3669" w:rsidRPr="00292532">
              <w:rPr>
                <w:color w:val="000000" w:themeColor="text1"/>
                <w:sz w:val="20"/>
                <w:szCs w:val="20"/>
                <w:lang w:val="pt-PT" w:eastAsia="ja-JP"/>
              </w:rPr>
              <w:t xml:space="preserve"> propostas no PGA genérico (</w:t>
            </w:r>
            <w:r w:rsidR="00AC3669" w:rsidRPr="00292532">
              <w:rPr>
                <w:b/>
                <w:bCs/>
                <w:color w:val="000000" w:themeColor="text1"/>
                <w:sz w:val="20"/>
                <w:szCs w:val="20"/>
                <w:lang w:val="pt-PT" w:eastAsia="ja-JP"/>
              </w:rPr>
              <w:t xml:space="preserve">Anexo </w:t>
            </w:r>
            <w:r w:rsidR="000615DB" w:rsidRPr="00292532">
              <w:rPr>
                <w:b/>
                <w:bCs/>
                <w:color w:val="000000" w:themeColor="text1"/>
                <w:sz w:val="20"/>
                <w:szCs w:val="20"/>
                <w:lang w:val="pt-PT" w:eastAsia="ja-JP"/>
              </w:rPr>
              <w:t>4</w:t>
            </w:r>
            <w:r w:rsidR="00AC3669" w:rsidRPr="00292532">
              <w:rPr>
                <w:color w:val="000000" w:themeColor="text1"/>
                <w:sz w:val="20"/>
                <w:szCs w:val="20"/>
                <w:lang w:val="pt-PT" w:eastAsia="ja-JP"/>
              </w:rPr>
              <w:t>)</w:t>
            </w:r>
          </w:p>
          <w:p w14:paraId="63A13F90" w14:textId="57B3A7F2" w:rsidR="000F43F0" w:rsidRPr="00292532" w:rsidRDefault="001978AF" w:rsidP="00AE14AE">
            <w:pPr>
              <w:pStyle w:val="ListParagraph"/>
              <w:numPr>
                <w:ilvl w:val="0"/>
                <w:numId w:val="66"/>
              </w:numPr>
              <w:spacing w:after="0"/>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PGAS</w:t>
            </w:r>
            <w:r w:rsidR="00AC3669" w:rsidRPr="00292532">
              <w:rPr>
                <w:color w:val="000000" w:themeColor="text1"/>
                <w:sz w:val="20"/>
                <w:szCs w:val="20"/>
                <w:lang w:val="pt-PT" w:eastAsia="ja-JP"/>
              </w:rPr>
              <w:t xml:space="preserve"> de </w:t>
            </w:r>
            <w:proofErr w:type="spellStart"/>
            <w:r w:rsidR="00AC3669" w:rsidRPr="00292532">
              <w:rPr>
                <w:color w:val="000000" w:themeColor="text1"/>
                <w:sz w:val="20"/>
                <w:szCs w:val="20"/>
                <w:lang w:val="pt-PT" w:eastAsia="ja-JP"/>
              </w:rPr>
              <w:t>EIAs</w:t>
            </w:r>
            <w:proofErr w:type="spellEnd"/>
            <w:r w:rsidR="00AC3669" w:rsidRPr="00292532">
              <w:rPr>
                <w:color w:val="000000" w:themeColor="text1"/>
                <w:sz w:val="20"/>
                <w:szCs w:val="20"/>
                <w:lang w:val="pt-PT" w:eastAsia="ja-JP"/>
              </w:rPr>
              <w:t xml:space="preserve"> futuros </w:t>
            </w:r>
          </w:p>
          <w:p w14:paraId="72874F40" w14:textId="7B779669" w:rsidR="000F43F0" w:rsidRPr="00292532" w:rsidRDefault="000F43F0" w:rsidP="00AE14AE">
            <w:pPr>
              <w:pStyle w:val="ListParagraph"/>
              <w:numPr>
                <w:ilvl w:val="0"/>
                <w:numId w:val="66"/>
              </w:numPr>
              <w:spacing w:after="0"/>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 xml:space="preserve">Programas de controlo de </w:t>
            </w:r>
            <w:proofErr w:type="spellStart"/>
            <w:r w:rsidRPr="00292532">
              <w:rPr>
                <w:color w:val="000000" w:themeColor="text1"/>
                <w:sz w:val="20"/>
                <w:szCs w:val="20"/>
                <w:lang w:val="pt-PT" w:eastAsia="ja-JP"/>
              </w:rPr>
              <w:t>vectores</w:t>
            </w:r>
            <w:proofErr w:type="spellEnd"/>
            <w:r w:rsidRPr="00292532">
              <w:rPr>
                <w:color w:val="000000" w:themeColor="text1"/>
                <w:sz w:val="20"/>
                <w:szCs w:val="20"/>
                <w:lang w:val="pt-PT" w:eastAsia="ja-JP"/>
              </w:rPr>
              <w:t xml:space="preserve"> que promovam o uso de </w:t>
            </w:r>
            <w:proofErr w:type="spellStart"/>
            <w:r w:rsidRPr="00292532">
              <w:rPr>
                <w:color w:val="000000" w:themeColor="text1"/>
                <w:sz w:val="20"/>
                <w:szCs w:val="20"/>
                <w:lang w:val="pt-PT" w:eastAsia="ja-JP"/>
              </w:rPr>
              <w:t>insecticidas</w:t>
            </w:r>
            <w:proofErr w:type="spellEnd"/>
            <w:r w:rsidRPr="00292532">
              <w:rPr>
                <w:color w:val="000000" w:themeColor="text1"/>
                <w:sz w:val="20"/>
                <w:szCs w:val="20"/>
                <w:lang w:val="pt-PT" w:eastAsia="ja-JP"/>
              </w:rPr>
              <w:t>, repelentes e redes mosquiteiras</w:t>
            </w:r>
          </w:p>
        </w:tc>
      </w:tr>
      <w:tr w:rsidR="008F6C1F" w:rsidRPr="004E2EAC" w14:paraId="33F9985B" w14:textId="77777777" w:rsidTr="008F6C1F">
        <w:tc>
          <w:tcPr>
            <w:cnfStyle w:val="001000000000" w:firstRow="0" w:lastRow="0" w:firstColumn="1" w:lastColumn="0" w:oddVBand="0" w:evenVBand="0" w:oddHBand="0" w:evenHBand="0" w:firstRowFirstColumn="0" w:firstRowLastColumn="0" w:lastRowFirstColumn="0" w:lastRowLastColumn="0"/>
            <w:tcW w:w="3595" w:type="dxa"/>
          </w:tcPr>
          <w:p w14:paraId="10FBA07D" w14:textId="6ABDDBE2" w:rsidR="009F77FB" w:rsidRPr="00292532" w:rsidRDefault="009F77FB" w:rsidP="009F77FB">
            <w:pPr>
              <w:rPr>
                <w:color w:val="000000" w:themeColor="text1"/>
                <w:sz w:val="20"/>
                <w:szCs w:val="20"/>
                <w:lang w:val="pt-PT" w:eastAsia="ja-JP"/>
              </w:rPr>
            </w:pPr>
            <w:r w:rsidRPr="00292532">
              <w:rPr>
                <w:color w:val="000000" w:themeColor="text1"/>
                <w:sz w:val="20"/>
                <w:szCs w:val="20"/>
                <w:lang w:val="pt-PT" w:eastAsia="ja-JP"/>
              </w:rPr>
              <w:t>Propagação de Doenças Transmissíveis</w:t>
            </w:r>
          </w:p>
        </w:tc>
        <w:tc>
          <w:tcPr>
            <w:tcW w:w="5310" w:type="dxa"/>
          </w:tcPr>
          <w:p w14:paraId="1F918E6A" w14:textId="77777777" w:rsidR="009F77FB" w:rsidRPr="00292532" w:rsidRDefault="00AC3669" w:rsidP="00AE14AE">
            <w:pPr>
              <w:pStyle w:val="ListParagraph"/>
              <w:numPr>
                <w:ilvl w:val="0"/>
                <w:numId w:val="67"/>
              </w:numPr>
              <w:spacing w:after="0"/>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pt-PT" w:eastAsia="ja-JP"/>
              </w:rPr>
            </w:pPr>
            <w:proofErr w:type="spellStart"/>
            <w:r w:rsidRPr="00292532">
              <w:rPr>
                <w:color w:val="000000" w:themeColor="text1"/>
                <w:sz w:val="20"/>
                <w:szCs w:val="20"/>
                <w:lang w:val="pt-PT" w:eastAsia="ja-JP"/>
              </w:rPr>
              <w:t>Adopção</w:t>
            </w:r>
            <w:proofErr w:type="spellEnd"/>
            <w:r w:rsidRPr="00292532">
              <w:rPr>
                <w:color w:val="000000" w:themeColor="text1"/>
                <w:sz w:val="20"/>
                <w:szCs w:val="20"/>
                <w:lang w:val="pt-PT" w:eastAsia="ja-JP"/>
              </w:rPr>
              <w:t xml:space="preserve"> de medidas propostas no PGA genérico para a gestão do influxo de pessoas nas áreas de implementação dos </w:t>
            </w:r>
            <w:proofErr w:type="spellStart"/>
            <w:r w:rsidRPr="00292532">
              <w:rPr>
                <w:color w:val="000000" w:themeColor="text1"/>
                <w:sz w:val="20"/>
                <w:szCs w:val="20"/>
                <w:lang w:val="pt-PT" w:eastAsia="ja-JP"/>
              </w:rPr>
              <w:t>projectos</w:t>
            </w:r>
            <w:proofErr w:type="spellEnd"/>
            <w:r w:rsidRPr="00292532">
              <w:rPr>
                <w:color w:val="000000" w:themeColor="text1"/>
                <w:sz w:val="20"/>
                <w:szCs w:val="20"/>
                <w:lang w:val="pt-PT" w:eastAsia="ja-JP"/>
              </w:rPr>
              <w:t xml:space="preserve"> </w:t>
            </w:r>
          </w:p>
          <w:p w14:paraId="7E32FD03" w14:textId="223EE11B" w:rsidR="00AC3669" w:rsidRPr="00292532" w:rsidRDefault="001978AF" w:rsidP="00AE14AE">
            <w:pPr>
              <w:pStyle w:val="ListParagraph"/>
              <w:numPr>
                <w:ilvl w:val="0"/>
                <w:numId w:val="67"/>
              </w:numPr>
              <w:spacing w:after="0"/>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PGAS</w:t>
            </w:r>
            <w:r w:rsidR="00AC3669" w:rsidRPr="00292532">
              <w:rPr>
                <w:color w:val="000000" w:themeColor="text1"/>
                <w:sz w:val="20"/>
                <w:szCs w:val="20"/>
                <w:lang w:val="pt-PT" w:eastAsia="ja-JP"/>
              </w:rPr>
              <w:t xml:space="preserve"> de </w:t>
            </w:r>
            <w:proofErr w:type="spellStart"/>
            <w:r w:rsidR="00AC3669" w:rsidRPr="00292532">
              <w:rPr>
                <w:color w:val="000000" w:themeColor="text1"/>
                <w:sz w:val="20"/>
                <w:szCs w:val="20"/>
                <w:lang w:val="pt-PT" w:eastAsia="ja-JP"/>
              </w:rPr>
              <w:t>EIAs</w:t>
            </w:r>
            <w:proofErr w:type="spellEnd"/>
            <w:r w:rsidR="00AC3669" w:rsidRPr="00292532">
              <w:rPr>
                <w:color w:val="000000" w:themeColor="text1"/>
                <w:sz w:val="20"/>
                <w:szCs w:val="20"/>
                <w:lang w:val="pt-PT" w:eastAsia="ja-JP"/>
              </w:rPr>
              <w:t xml:space="preserve"> futuros</w:t>
            </w:r>
          </w:p>
          <w:p w14:paraId="33C9B370" w14:textId="77777777" w:rsidR="00AC3669" w:rsidRPr="00292532" w:rsidRDefault="00AC3669" w:rsidP="00AE14AE">
            <w:pPr>
              <w:pStyle w:val="ListParagraph"/>
              <w:numPr>
                <w:ilvl w:val="0"/>
                <w:numId w:val="67"/>
              </w:numPr>
              <w:spacing w:after="0"/>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 xml:space="preserve">Realização de campanhas de consciencialização aos trabalhadores sobre doenças transmissíveis e meios de prevenção </w:t>
            </w:r>
          </w:p>
          <w:p w14:paraId="773EAE1F" w14:textId="0D321FA3" w:rsidR="00AC3669" w:rsidRPr="00292532" w:rsidRDefault="00AC3669" w:rsidP="00AE14AE">
            <w:pPr>
              <w:pStyle w:val="ListParagraph"/>
              <w:numPr>
                <w:ilvl w:val="0"/>
                <w:numId w:val="67"/>
              </w:numPr>
              <w:spacing w:after="0"/>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 xml:space="preserve">Implementação pelo </w:t>
            </w:r>
            <w:proofErr w:type="spellStart"/>
            <w:r w:rsidRPr="00292532">
              <w:rPr>
                <w:color w:val="000000" w:themeColor="text1"/>
                <w:sz w:val="20"/>
                <w:szCs w:val="20"/>
                <w:lang w:val="pt-PT" w:eastAsia="ja-JP"/>
              </w:rPr>
              <w:t>Projecto</w:t>
            </w:r>
            <w:proofErr w:type="spellEnd"/>
            <w:r w:rsidRPr="00292532">
              <w:rPr>
                <w:color w:val="000000" w:themeColor="text1"/>
                <w:sz w:val="20"/>
                <w:szCs w:val="20"/>
                <w:lang w:val="pt-PT" w:eastAsia="ja-JP"/>
              </w:rPr>
              <w:t xml:space="preserve"> e </w:t>
            </w:r>
            <w:r w:rsidR="00381467" w:rsidRPr="00292532">
              <w:rPr>
                <w:color w:val="000000" w:themeColor="text1"/>
                <w:sz w:val="20"/>
                <w:szCs w:val="20"/>
                <w:lang w:val="pt-PT" w:eastAsia="ja-JP"/>
              </w:rPr>
              <w:t>contrata</w:t>
            </w:r>
            <w:r w:rsidRPr="00292532">
              <w:rPr>
                <w:color w:val="000000" w:themeColor="text1"/>
                <w:sz w:val="20"/>
                <w:szCs w:val="20"/>
                <w:lang w:val="pt-PT" w:eastAsia="ja-JP"/>
              </w:rPr>
              <w:t>das de Protocolos de gestão da Pandemia Covid-19, desde requisitos de quarentena obrigatório, controlo da temperatura nos sites e acampamentos, procedimentos de isolamento e outros a seguir em casos suspeitos e confirmados.</w:t>
            </w:r>
          </w:p>
          <w:p w14:paraId="390950D4" w14:textId="77777777" w:rsidR="003F5A61" w:rsidRPr="00292532" w:rsidRDefault="003F5A61" w:rsidP="00AE14AE">
            <w:pPr>
              <w:pStyle w:val="ListParagraph"/>
              <w:numPr>
                <w:ilvl w:val="0"/>
                <w:numId w:val="67"/>
              </w:numPr>
              <w:spacing w:after="0"/>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 xml:space="preserve">Vigilância e triagem da saúde dos trabalhadores para determinar a sua aptidão física. Prioridade deverá ser dada aos trabalhadores que serão envolvidos em </w:t>
            </w:r>
            <w:proofErr w:type="spellStart"/>
            <w:r w:rsidRPr="00292532">
              <w:rPr>
                <w:color w:val="000000" w:themeColor="text1"/>
                <w:sz w:val="20"/>
                <w:szCs w:val="20"/>
                <w:lang w:val="pt-PT" w:eastAsia="ja-JP"/>
              </w:rPr>
              <w:t>actividades</w:t>
            </w:r>
            <w:proofErr w:type="spellEnd"/>
            <w:r w:rsidRPr="00292532">
              <w:rPr>
                <w:color w:val="000000" w:themeColor="text1"/>
                <w:sz w:val="20"/>
                <w:szCs w:val="20"/>
                <w:lang w:val="pt-PT" w:eastAsia="ja-JP"/>
              </w:rPr>
              <w:t xml:space="preserve"> mais críticas, p.e trabalhos em altura, operação de maquinaria pesada (gruas e guindastes)</w:t>
            </w:r>
          </w:p>
          <w:p w14:paraId="73CBDA88" w14:textId="77777777" w:rsidR="003F5A61" w:rsidRPr="00292532" w:rsidRDefault="003F5A61" w:rsidP="00AE14AE">
            <w:pPr>
              <w:pStyle w:val="ListParagraph"/>
              <w:numPr>
                <w:ilvl w:val="0"/>
                <w:numId w:val="67"/>
              </w:numPr>
              <w:spacing w:after="0"/>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 xml:space="preserve">Fornecimento de atendimento de primeiros socorros nos locais de trabalho incluindo nos acampamentos temporários </w:t>
            </w:r>
          </w:p>
          <w:p w14:paraId="1C41C42B" w14:textId="77777777" w:rsidR="003F5A61" w:rsidRPr="00292532" w:rsidRDefault="003F5A61" w:rsidP="00AE14AE">
            <w:pPr>
              <w:pStyle w:val="ListParagraph"/>
              <w:numPr>
                <w:ilvl w:val="0"/>
                <w:numId w:val="67"/>
              </w:numPr>
              <w:spacing w:after="0"/>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 xml:space="preserve">Promover a colaboração com as autoridades sanitárias locais para melhorar o acesso dos trabalhadores às unidades sanitárias </w:t>
            </w:r>
          </w:p>
          <w:p w14:paraId="5C630218" w14:textId="77777777" w:rsidR="000F43F0" w:rsidRPr="00292532" w:rsidRDefault="000F43F0" w:rsidP="00AE14AE">
            <w:pPr>
              <w:pStyle w:val="ListParagraph"/>
              <w:numPr>
                <w:ilvl w:val="0"/>
                <w:numId w:val="67"/>
              </w:numPr>
              <w:spacing w:after="0"/>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 xml:space="preserve">Promover a imunização (p.e. vacina da COVID-19) dos trabalhadores </w:t>
            </w:r>
          </w:p>
          <w:p w14:paraId="20488CCA" w14:textId="6F53D69B" w:rsidR="000F43F0" w:rsidRPr="00292532" w:rsidRDefault="000F43F0" w:rsidP="00AE14AE">
            <w:pPr>
              <w:pStyle w:val="ListParagraph"/>
              <w:numPr>
                <w:ilvl w:val="0"/>
                <w:numId w:val="67"/>
              </w:numPr>
              <w:spacing w:after="0"/>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lastRenderedPageBreak/>
              <w:t>Distribuição de materiais educacionais sobre doenças transmissíveis (HIV/SIDA)</w:t>
            </w:r>
          </w:p>
        </w:tc>
      </w:tr>
      <w:tr w:rsidR="008F6C1F" w:rsidRPr="004E2EAC" w14:paraId="07D323D1" w14:textId="77777777" w:rsidTr="008F6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5AA2E5CE" w14:textId="5D6299E0" w:rsidR="009F77FB" w:rsidRPr="00292532" w:rsidRDefault="009F77FB" w:rsidP="009F77FB">
            <w:pPr>
              <w:rPr>
                <w:color w:val="000000" w:themeColor="text1"/>
                <w:sz w:val="20"/>
                <w:szCs w:val="20"/>
                <w:lang w:val="pt-PT" w:eastAsia="ja-JP"/>
              </w:rPr>
            </w:pPr>
            <w:r w:rsidRPr="00292532">
              <w:rPr>
                <w:color w:val="000000" w:themeColor="text1"/>
                <w:sz w:val="20"/>
                <w:szCs w:val="20"/>
                <w:lang w:val="pt-PT" w:eastAsia="ja-JP"/>
              </w:rPr>
              <w:lastRenderedPageBreak/>
              <w:t>Saneamento Básico da Comunidade</w:t>
            </w:r>
          </w:p>
        </w:tc>
        <w:tc>
          <w:tcPr>
            <w:tcW w:w="5310" w:type="dxa"/>
          </w:tcPr>
          <w:p w14:paraId="40338BF6" w14:textId="3CC4CBC3" w:rsidR="00AC3669" w:rsidRPr="00292532" w:rsidRDefault="00AC3669" w:rsidP="00AE14AE">
            <w:pPr>
              <w:pStyle w:val="ListParagraph"/>
              <w:numPr>
                <w:ilvl w:val="0"/>
                <w:numId w:val="67"/>
              </w:numPr>
              <w:spacing w:after="0"/>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pt-PT" w:eastAsia="ja-JP"/>
              </w:rPr>
            </w:pPr>
            <w:proofErr w:type="spellStart"/>
            <w:r w:rsidRPr="00292532">
              <w:rPr>
                <w:color w:val="000000" w:themeColor="text1"/>
                <w:sz w:val="20"/>
                <w:szCs w:val="20"/>
                <w:lang w:val="pt-PT" w:eastAsia="ja-JP"/>
              </w:rPr>
              <w:t>Adopção</w:t>
            </w:r>
            <w:proofErr w:type="spellEnd"/>
            <w:r w:rsidRPr="00292532">
              <w:rPr>
                <w:color w:val="000000" w:themeColor="text1"/>
                <w:sz w:val="20"/>
                <w:szCs w:val="20"/>
                <w:lang w:val="pt-PT" w:eastAsia="ja-JP"/>
              </w:rPr>
              <w:t xml:space="preserve"> de medidas propostas no PGA genérico sobre a gestão de águas residuais nas fases de construção e de operação </w:t>
            </w:r>
          </w:p>
          <w:p w14:paraId="148D30AA" w14:textId="614E9BC1" w:rsidR="00AC3669" w:rsidRPr="00292532" w:rsidRDefault="001978AF" w:rsidP="00AE14AE">
            <w:pPr>
              <w:pStyle w:val="ListParagraph"/>
              <w:numPr>
                <w:ilvl w:val="0"/>
                <w:numId w:val="67"/>
              </w:numPr>
              <w:spacing w:after="0"/>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PGAS</w:t>
            </w:r>
            <w:r w:rsidR="00AC3669" w:rsidRPr="00292532">
              <w:rPr>
                <w:color w:val="000000" w:themeColor="text1"/>
                <w:sz w:val="20"/>
                <w:szCs w:val="20"/>
                <w:lang w:val="pt-PT" w:eastAsia="ja-JP"/>
              </w:rPr>
              <w:t xml:space="preserve"> de </w:t>
            </w:r>
            <w:proofErr w:type="spellStart"/>
            <w:r w:rsidR="00AC3669" w:rsidRPr="00292532">
              <w:rPr>
                <w:color w:val="000000" w:themeColor="text1"/>
                <w:sz w:val="20"/>
                <w:szCs w:val="20"/>
                <w:lang w:val="pt-PT" w:eastAsia="ja-JP"/>
              </w:rPr>
              <w:t>EIAs</w:t>
            </w:r>
            <w:proofErr w:type="spellEnd"/>
            <w:r w:rsidR="00AC3669" w:rsidRPr="00292532">
              <w:rPr>
                <w:color w:val="000000" w:themeColor="text1"/>
                <w:sz w:val="20"/>
                <w:szCs w:val="20"/>
                <w:lang w:val="pt-PT" w:eastAsia="ja-JP"/>
              </w:rPr>
              <w:t xml:space="preserve"> futuros</w:t>
            </w:r>
          </w:p>
          <w:p w14:paraId="3656F571" w14:textId="76CC52B5" w:rsidR="009F77FB" w:rsidRPr="00292532" w:rsidRDefault="00AC3669" w:rsidP="00AE14AE">
            <w:pPr>
              <w:pStyle w:val="ListParagraph"/>
              <w:numPr>
                <w:ilvl w:val="0"/>
                <w:numId w:val="67"/>
              </w:numPr>
              <w:spacing w:after="0"/>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Procedimentos e manuais de operação a serem desenvolvidos para a gestão dos sistemas de saneamento</w:t>
            </w:r>
          </w:p>
        </w:tc>
      </w:tr>
      <w:tr w:rsidR="00534FC6" w:rsidRPr="004E2EAC" w14:paraId="430241A5" w14:textId="77777777" w:rsidTr="008F6C1F">
        <w:tc>
          <w:tcPr>
            <w:cnfStyle w:val="001000000000" w:firstRow="0" w:lastRow="0" w:firstColumn="1" w:lastColumn="0" w:oddVBand="0" w:evenVBand="0" w:oddHBand="0" w:evenHBand="0" w:firstRowFirstColumn="0" w:firstRowLastColumn="0" w:lastRowFirstColumn="0" w:lastRowLastColumn="0"/>
            <w:tcW w:w="3595" w:type="dxa"/>
          </w:tcPr>
          <w:p w14:paraId="66FAEB58" w14:textId="1FBA17E0" w:rsidR="00534FC6" w:rsidRPr="00292532" w:rsidRDefault="00534FC6" w:rsidP="009F77FB">
            <w:pPr>
              <w:rPr>
                <w:color w:val="000000" w:themeColor="text1"/>
                <w:sz w:val="20"/>
                <w:szCs w:val="20"/>
                <w:lang w:val="pt-PT" w:eastAsia="ja-JP"/>
              </w:rPr>
            </w:pPr>
            <w:proofErr w:type="spellStart"/>
            <w:r w:rsidRPr="00292532">
              <w:rPr>
                <w:color w:val="000000" w:themeColor="text1"/>
                <w:sz w:val="20"/>
                <w:szCs w:val="20"/>
                <w:lang w:val="pt-PT" w:eastAsia="ja-JP"/>
              </w:rPr>
              <w:t>Protecção</w:t>
            </w:r>
            <w:proofErr w:type="spellEnd"/>
            <w:r w:rsidRPr="00292532">
              <w:rPr>
                <w:color w:val="000000" w:themeColor="text1"/>
                <w:sz w:val="20"/>
                <w:szCs w:val="20"/>
                <w:lang w:val="pt-PT" w:eastAsia="ja-JP"/>
              </w:rPr>
              <w:t xml:space="preserve"> das infraestruturas e locais d</w:t>
            </w:r>
            <w:r w:rsidR="00BE1AA2" w:rsidRPr="00292532">
              <w:rPr>
                <w:color w:val="000000" w:themeColor="text1"/>
                <w:sz w:val="20"/>
                <w:szCs w:val="20"/>
                <w:lang w:val="pt-PT" w:eastAsia="ja-JP"/>
              </w:rPr>
              <w:t xml:space="preserve">as obras e Segurança das </w:t>
            </w:r>
            <w:r w:rsidR="00292532" w:rsidRPr="00292532">
              <w:rPr>
                <w:color w:val="000000" w:themeColor="text1"/>
                <w:sz w:val="20"/>
                <w:szCs w:val="20"/>
                <w:lang w:val="pt-PT" w:eastAsia="ja-JP"/>
              </w:rPr>
              <w:t>infraestruturas</w:t>
            </w:r>
          </w:p>
        </w:tc>
        <w:tc>
          <w:tcPr>
            <w:tcW w:w="5310" w:type="dxa"/>
          </w:tcPr>
          <w:p w14:paraId="097014A8" w14:textId="77777777" w:rsidR="00534FC6" w:rsidRPr="00292532" w:rsidRDefault="00BE1AA2" w:rsidP="00AE14AE">
            <w:pPr>
              <w:pStyle w:val="ListParagraph"/>
              <w:numPr>
                <w:ilvl w:val="0"/>
                <w:numId w:val="67"/>
              </w:numPr>
              <w:spacing w:after="0"/>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 xml:space="preserve">Instalação de faixas de </w:t>
            </w:r>
            <w:proofErr w:type="spellStart"/>
            <w:r w:rsidRPr="00292532">
              <w:rPr>
                <w:color w:val="000000" w:themeColor="text1"/>
                <w:sz w:val="20"/>
                <w:szCs w:val="20"/>
                <w:lang w:val="pt-PT" w:eastAsia="ja-JP"/>
              </w:rPr>
              <w:t>protecção</w:t>
            </w:r>
            <w:proofErr w:type="spellEnd"/>
            <w:r w:rsidRPr="00292532">
              <w:rPr>
                <w:color w:val="000000" w:themeColor="text1"/>
                <w:sz w:val="20"/>
                <w:szCs w:val="20"/>
                <w:lang w:val="pt-PT" w:eastAsia="ja-JP"/>
              </w:rPr>
              <w:t xml:space="preserve"> ou outros métodos de separação física em torno dos locais do </w:t>
            </w:r>
            <w:proofErr w:type="spellStart"/>
            <w:r w:rsidRPr="00292532">
              <w:rPr>
                <w:color w:val="000000" w:themeColor="text1"/>
                <w:sz w:val="20"/>
                <w:szCs w:val="20"/>
                <w:lang w:val="pt-PT" w:eastAsia="ja-JP"/>
              </w:rPr>
              <w:t>Projecto</w:t>
            </w:r>
            <w:proofErr w:type="spellEnd"/>
          </w:p>
          <w:p w14:paraId="432379BE" w14:textId="532D4630" w:rsidR="00BE1AA2" w:rsidRPr="00292532" w:rsidRDefault="00292532" w:rsidP="00AE14AE">
            <w:pPr>
              <w:pStyle w:val="ListParagraph"/>
              <w:numPr>
                <w:ilvl w:val="0"/>
                <w:numId w:val="67"/>
              </w:numPr>
              <w:spacing w:after="0"/>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Integração</w:t>
            </w:r>
            <w:r w:rsidR="00BE1AA2" w:rsidRPr="00292532">
              <w:rPr>
                <w:color w:val="000000" w:themeColor="text1"/>
                <w:sz w:val="20"/>
                <w:szCs w:val="20"/>
                <w:lang w:val="pt-PT" w:eastAsia="ja-JP"/>
              </w:rPr>
              <w:t xml:space="preserve"> de critérios de design e </w:t>
            </w:r>
            <w:r w:rsidRPr="00292532">
              <w:rPr>
                <w:color w:val="000000" w:themeColor="text1"/>
                <w:sz w:val="20"/>
                <w:szCs w:val="20"/>
                <w:lang w:val="pt-PT" w:eastAsia="ja-JP"/>
              </w:rPr>
              <w:t>engenharia</w:t>
            </w:r>
            <w:r w:rsidR="00BE1AA2" w:rsidRPr="00292532">
              <w:rPr>
                <w:color w:val="000000" w:themeColor="text1"/>
                <w:sz w:val="20"/>
                <w:szCs w:val="20"/>
                <w:lang w:val="pt-PT" w:eastAsia="ja-JP"/>
              </w:rPr>
              <w:t xml:space="preserve"> de segurança para evitar falhas por riscos naturais decorrentes de inundações, eventos ciclónicos, deslizamentos de terra e incêndios </w:t>
            </w:r>
          </w:p>
        </w:tc>
      </w:tr>
      <w:tr w:rsidR="008F6C1F" w:rsidRPr="004E2EAC" w14:paraId="4725EB8E" w14:textId="77777777" w:rsidTr="008F6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1FF0F107" w14:textId="0FA7C534" w:rsidR="009F77FB" w:rsidRPr="00292532" w:rsidRDefault="009F77FB" w:rsidP="009F77FB">
            <w:pPr>
              <w:rPr>
                <w:color w:val="000000" w:themeColor="text1"/>
                <w:sz w:val="20"/>
                <w:szCs w:val="20"/>
                <w:lang w:val="pt-PT" w:eastAsia="ja-JP"/>
              </w:rPr>
            </w:pPr>
            <w:r w:rsidRPr="00292532">
              <w:rPr>
                <w:color w:val="000000" w:themeColor="text1"/>
                <w:sz w:val="20"/>
                <w:szCs w:val="20"/>
                <w:lang w:val="pt-PT" w:eastAsia="ja-JP"/>
              </w:rPr>
              <w:t>Controlo de Segurança</w:t>
            </w:r>
          </w:p>
        </w:tc>
        <w:tc>
          <w:tcPr>
            <w:tcW w:w="5310" w:type="dxa"/>
          </w:tcPr>
          <w:p w14:paraId="602A8C3D" w14:textId="77777777" w:rsidR="008F6C1F" w:rsidRPr="00292532" w:rsidRDefault="008F6C1F" w:rsidP="00AE14AE">
            <w:pPr>
              <w:pStyle w:val="ListParagraph"/>
              <w:numPr>
                <w:ilvl w:val="0"/>
                <w:numId w:val="68"/>
              </w:numPr>
              <w:spacing w:after="0"/>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Contratação de indivíduos para serem</w:t>
            </w:r>
            <w:r w:rsidR="00AC3669" w:rsidRPr="00292532">
              <w:rPr>
                <w:color w:val="000000" w:themeColor="text1"/>
                <w:sz w:val="20"/>
                <w:szCs w:val="20"/>
                <w:lang w:val="pt-PT" w:eastAsia="ja-JP"/>
              </w:rPr>
              <w:t xml:space="preserve"> seguranças</w:t>
            </w:r>
            <w:r w:rsidRPr="00292532">
              <w:rPr>
                <w:color w:val="000000" w:themeColor="text1"/>
                <w:sz w:val="20"/>
                <w:szCs w:val="20"/>
                <w:lang w:val="pt-PT" w:eastAsia="ja-JP"/>
              </w:rPr>
              <w:t xml:space="preserve"> nos locais de implementação do </w:t>
            </w:r>
            <w:proofErr w:type="spellStart"/>
            <w:r w:rsidRPr="00292532">
              <w:rPr>
                <w:color w:val="000000" w:themeColor="text1"/>
                <w:sz w:val="20"/>
                <w:szCs w:val="20"/>
                <w:lang w:val="pt-PT" w:eastAsia="ja-JP"/>
              </w:rPr>
              <w:t>Projecto</w:t>
            </w:r>
            <w:proofErr w:type="spellEnd"/>
            <w:r w:rsidRPr="00292532">
              <w:rPr>
                <w:color w:val="000000" w:themeColor="text1"/>
                <w:sz w:val="20"/>
                <w:szCs w:val="20"/>
                <w:lang w:val="pt-PT" w:eastAsia="ja-JP"/>
              </w:rPr>
              <w:t xml:space="preserve"> </w:t>
            </w:r>
            <w:r w:rsidR="00AC3669" w:rsidRPr="00292532">
              <w:rPr>
                <w:color w:val="000000" w:themeColor="text1"/>
                <w:sz w:val="20"/>
                <w:szCs w:val="20"/>
                <w:lang w:val="pt-PT" w:eastAsia="ja-JP"/>
              </w:rPr>
              <w:t xml:space="preserve">(acampamentos temporários, estaleiros) </w:t>
            </w:r>
            <w:r w:rsidRPr="00292532">
              <w:rPr>
                <w:color w:val="000000" w:themeColor="text1"/>
                <w:sz w:val="20"/>
                <w:szCs w:val="20"/>
                <w:lang w:val="pt-PT" w:eastAsia="ja-JP"/>
              </w:rPr>
              <w:t xml:space="preserve">que tenham um registo criminal sem antecedentes criminais </w:t>
            </w:r>
          </w:p>
          <w:p w14:paraId="4B25B145" w14:textId="56F4669D" w:rsidR="009F77FB" w:rsidRPr="00292532" w:rsidRDefault="008F6C1F" w:rsidP="00AE14AE">
            <w:pPr>
              <w:pStyle w:val="ListParagraph"/>
              <w:numPr>
                <w:ilvl w:val="0"/>
                <w:numId w:val="68"/>
              </w:numPr>
              <w:spacing w:after="0"/>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 xml:space="preserve">Indução e consciencialização dos seguranças empregues pelos </w:t>
            </w:r>
            <w:proofErr w:type="spellStart"/>
            <w:r w:rsidRPr="00292532">
              <w:rPr>
                <w:color w:val="000000" w:themeColor="text1"/>
                <w:sz w:val="20"/>
                <w:szCs w:val="20"/>
                <w:lang w:val="pt-PT" w:eastAsia="ja-JP"/>
              </w:rPr>
              <w:t>Projectos</w:t>
            </w:r>
            <w:proofErr w:type="spellEnd"/>
            <w:r w:rsidRPr="00292532">
              <w:rPr>
                <w:color w:val="000000" w:themeColor="text1"/>
                <w:sz w:val="20"/>
                <w:szCs w:val="20"/>
                <w:lang w:val="pt-PT" w:eastAsia="ja-JP"/>
              </w:rPr>
              <w:t xml:space="preserve"> e pelas </w:t>
            </w:r>
            <w:r w:rsidR="00381467" w:rsidRPr="00292532">
              <w:rPr>
                <w:color w:val="000000" w:themeColor="text1"/>
                <w:sz w:val="20"/>
                <w:szCs w:val="20"/>
                <w:lang w:val="pt-PT" w:eastAsia="ja-JP"/>
              </w:rPr>
              <w:t>contrata</w:t>
            </w:r>
            <w:r w:rsidRPr="00292532">
              <w:rPr>
                <w:color w:val="000000" w:themeColor="text1"/>
                <w:sz w:val="20"/>
                <w:szCs w:val="20"/>
                <w:lang w:val="pt-PT" w:eastAsia="ja-JP"/>
              </w:rPr>
              <w:t xml:space="preserve">das (empreiteiros) sobre regras e procedimentos de interação com as comunidades locais e a imperiosidade de serem </w:t>
            </w:r>
            <w:proofErr w:type="spellStart"/>
            <w:r w:rsidRPr="00292532">
              <w:rPr>
                <w:color w:val="000000" w:themeColor="text1"/>
                <w:sz w:val="20"/>
                <w:szCs w:val="20"/>
                <w:lang w:val="pt-PT" w:eastAsia="ja-JP"/>
              </w:rPr>
              <w:t>adoptados</w:t>
            </w:r>
            <w:proofErr w:type="spellEnd"/>
            <w:r w:rsidRPr="00292532">
              <w:rPr>
                <w:color w:val="000000" w:themeColor="text1"/>
                <w:sz w:val="20"/>
                <w:szCs w:val="20"/>
                <w:lang w:val="pt-PT" w:eastAsia="ja-JP"/>
              </w:rPr>
              <w:t xml:space="preserve"> métodos pacíficos sempre que possível em situações de risco.  </w:t>
            </w:r>
          </w:p>
          <w:p w14:paraId="795B6D29" w14:textId="0184AC14" w:rsidR="008F6C1F" w:rsidRPr="00292532" w:rsidRDefault="008F6C1F" w:rsidP="00AE14AE">
            <w:pPr>
              <w:pStyle w:val="ListParagraph"/>
              <w:numPr>
                <w:ilvl w:val="0"/>
                <w:numId w:val="68"/>
              </w:numPr>
              <w:spacing w:after="0"/>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pt-PT" w:eastAsia="ja-JP"/>
              </w:rPr>
            </w:pPr>
            <w:r w:rsidRPr="00292532">
              <w:rPr>
                <w:color w:val="000000" w:themeColor="text1"/>
                <w:sz w:val="20"/>
                <w:szCs w:val="20"/>
                <w:lang w:val="pt-PT" w:eastAsia="ja-JP"/>
              </w:rPr>
              <w:t xml:space="preserve">Implementação de procedimentos disciplinares contra os seguranças em caso de comportamentos indevidos em </w:t>
            </w:r>
            <w:proofErr w:type="spellStart"/>
            <w:r w:rsidRPr="00292532">
              <w:rPr>
                <w:color w:val="000000" w:themeColor="text1"/>
                <w:sz w:val="20"/>
                <w:szCs w:val="20"/>
                <w:lang w:val="pt-PT" w:eastAsia="ja-JP"/>
              </w:rPr>
              <w:t>interacções</w:t>
            </w:r>
            <w:proofErr w:type="spellEnd"/>
            <w:r w:rsidRPr="00292532">
              <w:rPr>
                <w:color w:val="000000" w:themeColor="text1"/>
                <w:sz w:val="20"/>
                <w:szCs w:val="20"/>
                <w:lang w:val="pt-PT" w:eastAsia="ja-JP"/>
              </w:rPr>
              <w:t xml:space="preserve"> com as comunidades locais </w:t>
            </w:r>
          </w:p>
        </w:tc>
      </w:tr>
    </w:tbl>
    <w:p w14:paraId="1177B592" w14:textId="77777777" w:rsidR="00EB13B5" w:rsidRPr="00292532" w:rsidRDefault="00EB13B5" w:rsidP="00EB13B5">
      <w:pPr>
        <w:pStyle w:val="Heading2"/>
        <w:numPr>
          <w:ilvl w:val="0"/>
          <w:numId w:val="0"/>
        </w:numPr>
        <w:ind w:left="576"/>
      </w:pPr>
    </w:p>
    <w:p w14:paraId="049CC8D1" w14:textId="06E48003" w:rsidR="00DC2DF9" w:rsidRPr="00292532" w:rsidRDefault="00EB13B5" w:rsidP="00F317D3">
      <w:pPr>
        <w:pStyle w:val="Heading2"/>
      </w:pPr>
      <w:bookmarkStart w:id="683" w:name="_Toc72944226"/>
      <w:bookmarkStart w:id="684" w:name="_Toc72956498"/>
      <w:bookmarkStart w:id="685" w:name="_Toc72956651"/>
      <w:bookmarkStart w:id="686" w:name="_Toc73620199"/>
      <w:bookmarkStart w:id="687" w:name="_Toc73623826"/>
      <w:bookmarkStart w:id="688" w:name="_Toc73624474"/>
      <w:bookmarkStart w:id="689" w:name="_Toc73954609"/>
      <w:bookmarkStart w:id="690" w:name="_Toc75438008"/>
      <w:bookmarkStart w:id="691" w:name="_Toc78435447"/>
      <w:bookmarkStart w:id="692" w:name="_Toc80380117"/>
      <w:r w:rsidRPr="00292532">
        <w:t xml:space="preserve">Papeis e </w:t>
      </w:r>
      <w:r w:rsidR="00F317D3" w:rsidRPr="00292532">
        <w:t>Responsabilidades</w:t>
      </w:r>
      <w:bookmarkEnd w:id="683"/>
      <w:bookmarkEnd w:id="684"/>
      <w:bookmarkEnd w:id="685"/>
      <w:bookmarkEnd w:id="686"/>
      <w:bookmarkEnd w:id="687"/>
      <w:bookmarkEnd w:id="688"/>
      <w:bookmarkEnd w:id="689"/>
      <w:bookmarkEnd w:id="690"/>
      <w:bookmarkEnd w:id="691"/>
      <w:bookmarkEnd w:id="692"/>
      <w:r w:rsidR="00F317D3" w:rsidRPr="00292532">
        <w:t xml:space="preserve"> </w:t>
      </w:r>
    </w:p>
    <w:p w14:paraId="57F6219D" w14:textId="1D70BC40" w:rsidR="00F317D3" w:rsidRPr="00292532" w:rsidRDefault="00A9527E" w:rsidP="00F317D3">
      <w:pPr>
        <w:rPr>
          <w:lang w:val="pt-PT" w:eastAsia="ja-JP"/>
        </w:rPr>
      </w:pPr>
      <w:r w:rsidRPr="00292532">
        <w:rPr>
          <w:lang w:val="pt-PT" w:eastAsia="ja-JP"/>
        </w:rPr>
        <w:t xml:space="preserve">O </w:t>
      </w:r>
      <w:proofErr w:type="spellStart"/>
      <w:r w:rsidRPr="00292532">
        <w:rPr>
          <w:lang w:val="pt-PT" w:eastAsia="ja-JP"/>
        </w:rPr>
        <w:t>Projecto</w:t>
      </w:r>
      <w:proofErr w:type="spellEnd"/>
      <w:r w:rsidRPr="00292532">
        <w:rPr>
          <w:lang w:val="pt-PT" w:eastAsia="ja-JP"/>
        </w:rPr>
        <w:t xml:space="preserve"> através das suas Unidades de Implementação dos </w:t>
      </w:r>
      <w:proofErr w:type="spellStart"/>
      <w:r w:rsidRPr="00292532">
        <w:rPr>
          <w:lang w:val="pt-PT" w:eastAsia="ja-JP"/>
        </w:rPr>
        <w:t>Projectos</w:t>
      </w:r>
      <w:proofErr w:type="spellEnd"/>
      <w:r w:rsidRPr="00292532">
        <w:rPr>
          <w:lang w:val="pt-PT" w:eastAsia="ja-JP"/>
        </w:rPr>
        <w:t xml:space="preserve"> (</w:t>
      </w:r>
      <w:proofErr w:type="spellStart"/>
      <w:r w:rsidRPr="00292532">
        <w:rPr>
          <w:lang w:val="pt-PT" w:eastAsia="ja-JP"/>
        </w:rPr>
        <w:t>UIPs</w:t>
      </w:r>
      <w:proofErr w:type="spellEnd"/>
      <w:r w:rsidRPr="00292532">
        <w:rPr>
          <w:lang w:val="pt-PT" w:eastAsia="ja-JP"/>
        </w:rPr>
        <w:t xml:space="preserve">) e das suas </w:t>
      </w:r>
      <w:r w:rsidR="00381467" w:rsidRPr="00292532">
        <w:rPr>
          <w:lang w:val="pt-PT" w:eastAsia="ja-JP"/>
        </w:rPr>
        <w:t>contrata</w:t>
      </w:r>
      <w:r w:rsidRPr="00292532">
        <w:rPr>
          <w:lang w:val="pt-PT" w:eastAsia="ja-JP"/>
        </w:rPr>
        <w:t xml:space="preserve">das (empreiteiros) tem a responsabilidade de antecipar e evitar impactos adversos na saúde e segurança das comunidades nas áreas de implementação dos </w:t>
      </w:r>
      <w:proofErr w:type="spellStart"/>
      <w:r w:rsidRPr="00292532">
        <w:rPr>
          <w:lang w:val="pt-PT" w:eastAsia="ja-JP"/>
        </w:rPr>
        <w:t>Projectos</w:t>
      </w:r>
      <w:proofErr w:type="spellEnd"/>
      <w:r w:rsidRPr="00292532">
        <w:rPr>
          <w:lang w:val="pt-PT" w:eastAsia="ja-JP"/>
        </w:rPr>
        <w:t xml:space="preserve">, através da implementação das recomendações fornecidas neste Plano, </w:t>
      </w:r>
      <w:r w:rsidR="001978AF" w:rsidRPr="00292532">
        <w:rPr>
          <w:lang w:val="pt-PT" w:eastAsia="ja-JP"/>
        </w:rPr>
        <w:t>PGAS</w:t>
      </w:r>
      <w:r w:rsidRPr="00292532">
        <w:rPr>
          <w:lang w:val="pt-PT" w:eastAsia="ja-JP"/>
        </w:rPr>
        <w:t xml:space="preserve"> e em Planos a serem desenvolvidos futuramente. </w:t>
      </w:r>
    </w:p>
    <w:p w14:paraId="235C2B2C" w14:textId="436912DF" w:rsidR="00A9527E" w:rsidRPr="00292532" w:rsidRDefault="00A9527E" w:rsidP="00F317D3">
      <w:pPr>
        <w:rPr>
          <w:rFonts w:eastAsiaTheme="minorEastAsia" w:cs="Arial"/>
          <w:szCs w:val="18"/>
          <w:lang w:val="pt-PT"/>
        </w:rPr>
      </w:pPr>
      <w:r w:rsidRPr="00292532">
        <w:rPr>
          <w:lang w:val="pt-PT" w:eastAsia="ja-JP"/>
        </w:rPr>
        <w:t>Por outro lado, reconhecendo-se o</w:t>
      </w:r>
      <w:r w:rsidRPr="00292532">
        <w:rPr>
          <w:rFonts w:eastAsiaTheme="minorEastAsia" w:cs="Arial"/>
          <w:szCs w:val="18"/>
          <w:lang w:val="pt-PT"/>
        </w:rPr>
        <w:t xml:space="preserve"> papel das autoridades públicas na promoção da saúde, segurança e proteção do público, os </w:t>
      </w:r>
      <w:proofErr w:type="spellStart"/>
      <w:r w:rsidRPr="00292532">
        <w:rPr>
          <w:rFonts w:eastAsiaTheme="minorEastAsia" w:cs="Arial"/>
          <w:szCs w:val="18"/>
          <w:lang w:val="pt-PT"/>
        </w:rPr>
        <w:t>Projectos</w:t>
      </w:r>
      <w:proofErr w:type="spellEnd"/>
      <w:r w:rsidRPr="00292532">
        <w:rPr>
          <w:rFonts w:eastAsiaTheme="minorEastAsia" w:cs="Arial"/>
          <w:szCs w:val="18"/>
          <w:lang w:val="pt-PT"/>
        </w:rPr>
        <w:t xml:space="preserve"> devem engajar proactivamente com as autoridades locais de saúde no sentido fornecer informação relevante sobre o desempenho do </w:t>
      </w:r>
      <w:proofErr w:type="spellStart"/>
      <w:r w:rsidRPr="00292532">
        <w:rPr>
          <w:rFonts w:eastAsiaTheme="minorEastAsia" w:cs="Arial"/>
          <w:szCs w:val="18"/>
          <w:lang w:val="pt-PT"/>
        </w:rPr>
        <w:t>Projecto</w:t>
      </w:r>
      <w:proofErr w:type="spellEnd"/>
      <w:r w:rsidRPr="00292532">
        <w:rPr>
          <w:rFonts w:eastAsiaTheme="minorEastAsia" w:cs="Arial"/>
          <w:szCs w:val="18"/>
          <w:lang w:val="pt-PT"/>
        </w:rPr>
        <w:t xml:space="preserve"> nos </w:t>
      </w:r>
      <w:proofErr w:type="spellStart"/>
      <w:r w:rsidRPr="00292532">
        <w:rPr>
          <w:rFonts w:eastAsiaTheme="minorEastAsia" w:cs="Arial"/>
          <w:szCs w:val="18"/>
          <w:lang w:val="pt-PT"/>
        </w:rPr>
        <w:t>aspectos</w:t>
      </w:r>
      <w:proofErr w:type="spellEnd"/>
      <w:r w:rsidRPr="00292532">
        <w:rPr>
          <w:rFonts w:eastAsiaTheme="minorEastAsia" w:cs="Arial"/>
          <w:szCs w:val="18"/>
          <w:lang w:val="pt-PT"/>
        </w:rPr>
        <w:t xml:space="preserve"> relevantes (casos de COVID-19, casos de malária, </w:t>
      </w:r>
      <w:r w:rsidR="009F6136" w:rsidRPr="00292532">
        <w:rPr>
          <w:rFonts w:eastAsiaTheme="minorEastAsia" w:cs="Arial"/>
          <w:szCs w:val="18"/>
          <w:lang w:val="pt-PT"/>
        </w:rPr>
        <w:t>etc.</w:t>
      </w:r>
      <w:r w:rsidRPr="00292532">
        <w:rPr>
          <w:rFonts w:eastAsiaTheme="minorEastAsia" w:cs="Arial"/>
          <w:szCs w:val="18"/>
          <w:lang w:val="pt-PT"/>
        </w:rPr>
        <w:t xml:space="preserve">), </w:t>
      </w:r>
      <w:r w:rsidR="00F265A5" w:rsidRPr="00292532">
        <w:rPr>
          <w:rFonts w:eastAsiaTheme="minorEastAsia" w:cs="Arial"/>
          <w:szCs w:val="18"/>
          <w:lang w:val="pt-PT"/>
        </w:rPr>
        <w:t xml:space="preserve">obter informação </w:t>
      </w:r>
      <w:proofErr w:type="spellStart"/>
      <w:r w:rsidR="00F265A5" w:rsidRPr="00292532">
        <w:rPr>
          <w:rFonts w:eastAsiaTheme="minorEastAsia" w:cs="Arial"/>
          <w:szCs w:val="18"/>
          <w:lang w:val="pt-PT"/>
        </w:rPr>
        <w:t>actualizada</w:t>
      </w:r>
      <w:proofErr w:type="spellEnd"/>
      <w:r w:rsidR="00F265A5" w:rsidRPr="00292532">
        <w:rPr>
          <w:rFonts w:eastAsiaTheme="minorEastAsia" w:cs="Arial"/>
          <w:szCs w:val="18"/>
          <w:lang w:val="pt-PT"/>
        </w:rPr>
        <w:t xml:space="preserve"> sobre situação epidemiológica nos locais de abrangência do </w:t>
      </w:r>
      <w:proofErr w:type="spellStart"/>
      <w:r w:rsidR="00F265A5" w:rsidRPr="00292532">
        <w:rPr>
          <w:rFonts w:eastAsiaTheme="minorEastAsia" w:cs="Arial"/>
          <w:szCs w:val="18"/>
          <w:lang w:val="pt-PT"/>
        </w:rPr>
        <w:t>Projecto</w:t>
      </w:r>
      <w:proofErr w:type="spellEnd"/>
      <w:r w:rsidR="00F265A5" w:rsidRPr="00292532">
        <w:rPr>
          <w:rFonts w:eastAsiaTheme="minorEastAsia" w:cs="Arial"/>
          <w:szCs w:val="18"/>
          <w:lang w:val="pt-PT"/>
        </w:rPr>
        <w:t xml:space="preserve">, </w:t>
      </w:r>
      <w:proofErr w:type="spellStart"/>
      <w:r w:rsidR="00F265A5" w:rsidRPr="00292532">
        <w:rPr>
          <w:rFonts w:eastAsiaTheme="minorEastAsia" w:cs="Arial"/>
          <w:szCs w:val="18"/>
          <w:lang w:val="pt-PT"/>
        </w:rPr>
        <w:t>criticalidades</w:t>
      </w:r>
      <w:proofErr w:type="spellEnd"/>
      <w:r w:rsidR="00F265A5" w:rsidRPr="00292532">
        <w:rPr>
          <w:rFonts w:eastAsiaTheme="minorEastAsia" w:cs="Arial"/>
          <w:szCs w:val="18"/>
          <w:lang w:val="pt-PT"/>
        </w:rPr>
        <w:t xml:space="preserve"> nos serviços de saúde e desenvolvimento de </w:t>
      </w:r>
      <w:proofErr w:type="spellStart"/>
      <w:r w:rsidR="00F265A5" w:rsidRPr="00292532">
        <w:rPr>
          <w:rFonts w:eastAsiaTheme="minorEastAsia" w:cs="Arial"/>
          <w:szCs w:val="18"/>
          <w:lang w:val="pt-PT"/>
        </w:rPr>
        <w:t>acções</w:t>
      </w:r>
      <w:proofErr w:type="spellEnd"/>
      <w:r w:rsidR="00F265A5" w:rsidRPr="00292532">
        <w:rPr>
          <w:rFonts w:eastAsiaTheme="minorEastAsia" w:cs="Arial"/>
          <w:szCs w:val="18"/>
          <w:lang w:val="pt-PT"/>
        </w:rPr>
        <w:t xml:space="preserve"> proactivas em coordenação com as unidades sanitárias e órgão locais da saúde (p.e. campanhas de consciencialização). </w:t>
      </w:r>
    </w:p>
    <w:p w14:paraId="1A2BB664" w14:textId="77777777" w:rsidR="00F265A5" w:rsidRPr="00292532" w:rsidRDefault="00F265A5" w:rsidP="00F317D3">
      <w:pPr>
        <w:rPr>
          <w:lang w:val="pt-PT" w:eastAsia="ja-JP"/>
        </w:rPr>
      </w:pPr>
    </w:p>
    <w:p w14:paraId="5797E014" w14:textId="77777777" w:rsidR="00872737" w:rsidRPr="00292532" w:rsidRDefault="00872737" w:rsidP="00872737">
      <w:pPr>
        <w:pStyle w:val="Heading2"/>
      </w:pPr>
      <w:bookmarkStart w:id="693" w:name="_Toc73620200"/>
      <w:bookmarkStart w:id="694" w:name="_Toc73623827"/>
      <w:bookmarkStart w:id="695" w:name="_Toc73624475"/>
      <w:bookmarkStart w:id="696" w:name="_Toc73954610"/>
      <w:bookmarkStart w:id="697" w:name="_Toc75438009"/>
      <w:bookmarkStart w:id="698" w:name="_Toc78435448"/>
      <w:bookmarkStart w:id="699" w:name="_Toc80380118"/>
      <w:bookmarkStart w:id="700" w:name="_Hlk73458855"/>
      <w:r w:rsidRPr="00292532">
        <w:lastRenderedPageBreak/>
        <w:t>Monitorização, Acompanhamento e Indicadores de Desempenho</w:t>
      </w:r>
      <w:bookmarkEnd w:id="693"/>
      <w:bookmarkEnd w:id="694"/>
      <w:bookmarkEnd w:id="695"/>
      <w:bookmarkEnd w:id="696"/>
      <w:bookmarkEnd w:id="697"/>
      <w:bookmarkEnd w:id="698"/>
      <w:bookmarkEnd w:id="699"/>
      <w:r w:rsidRPr="00292532">
        <w:t xml:space="preserve"> </w:t>
      </w:r>
    </w:p>
    <w:p w14:paraId="787C34D5" w14:textId="77777777" w:rsidR="00872737" w:rsidRPr="00292532" w:rsidRDefault="00872737" w:rsidP="00872737">
      <w:pPr>
        <w:rPr>
          <w:lang w:val="pt-PT" w:eastAsia="ja-JP"/>
        </w:rPr>
      </w:pPr>
      <w:r w:rsidRPr="00292532">
        <w:rPr>
          <w:lang w:val="pt-PT" w:eastAsia="ja-JP"/>
        </w:rPr>
        <w:t>Os indicadores de desempenho serão usados para medir e acompanhar o desempenho face à eficácia das medidas de mitigação e de controlo descritas neste Plano.</w:t>
      </w:r>
    </w:p>
    <w:p w14:paraId="5003B9DA" w14:textId="410328A5" w:rsidR="00872737" w:rsidRPr="00292532" w:rsidRDefault="00872737" w:rsidP="00872737">
      <w:pPr>
        <w:rPr>
          <w:lang w:val="pt-PT" w:eastAsia="ja-JP"/>
        </w:rPr>
      </w:pPr>
      <w:r w:rsidRPr="00292532">
        <w:rPr>
          <w:lang w:val="pt-PT" w:eastAsia="ja-JP"/>
        </w:rPr>
        <w:t xml:space="preserve">Os indicadores de desempenho devem ser mensuráveis em relação a uma meta específica. A </w:t>
      </w:r>
      <w:r w:rsidR="008C11E8" w:rsidRPr="00292532">
        <w:rPr>
          <w:b/>
          <w:bCs/>
          <w:lang w:val="pt-PT" w:eastAsia="ja-JP"/>
        </w:rPr>
        <w:t>Tabela 2</w:t>
      </w:r>
      <w:r w:rsidRPr="00292532">
        <w:rPr>
          <w:b/>
          <w:bCs/>
          <w:lang w:val="pt-PT" w:eastAsia="ja-JP"/>
        </w:rPr>
        <w:t xml:space="preserve"> </w:t>
      </w:r>
      <w:r w:rsidRPr="00292532">
        <w:rPr>
          <w:lang w:val="pt-PT" w:eastAsia="ja-JP"/>
        </w:rPr>
        <w:t xml:space="preserve">descreve os indicadores de desempenho aplicáveis ao </w:t>
      </w:r>
      <w:r w:rsidR="00AB4662" w:rsidRPr="00292532">
        <w:rPr>
          <w:lang w:val="pt-PT" w:eastAsia="ja-JP"/>
        </w:rPr>
        <w:t xml:space="preserve">Plano de Saúde e Segurança Comunitária </w:t>
      </w:r>
      <w:r w:rsidRPr="00292532">
        <w:rPr>
          <w:lang w:val="pt-PT" w:eastAsia="ja-JP"/>
        </w:rPr>
        <w:t>e descreve como os mesmos serão medidos, as metas e frequência de controlo</w:t>
      </w:r>
      <w:proofErr w:type="gramStart"/>
      <w:r w:rsidRPr="00292532">
        <w:rPr>
          <w:lang w:val="pt-PT" w:eastAsia="ja-JP"/>
        </w:rPr>
        <w:t>. ;</w:t>
      </w:r>
      <w:proofErr w:type="gramEnd"/>
      <w:r w:rsidRPr="00292532">
        <w:rPr>
          <w:lang w:val="pt-PT" w:eastAsia="ja-JP"/>
        </w:rPr>
        <w:t xml:space="preserve"> apenas os indicadores que são específicos e claramente mensuráveis foram incluídos. </w:t>
      </w:r>
    </w:p>
    <w:p w14:paraId="39FDBE62" w14:textId="40BD1AD3" w:rsidR="00872737" w:rsidRPr="00292532" w:rsidRDefault="00872737" w:rsidP="00872737">
      <w:pPr>
        <w:pStyle w:val="Caption"/>
      </w:pPr>
      <w:bookmarkStart w:id="701" w:name="_Ref73458474"/>
      <w:r w:rsidRPr="00292532">
        <w:t>Tabela</w:t>
      </w:r>
      <w:r w:rsidR="008C11E8" w:rsidRPr="00292532">
        <w:t xml:space="preserve"> 2</w:t>
      </w:r>
      <w:bookmarkEnd w:id="701"/>
      <w:r w:rsidRPr="00292532">
        <w:t xml:space="preserve">: Indicadores de Desempenho: </w:t>
      </w:r>
    </w:p>
    <w:tbl>
      <w:tblPr>
        <w:tblStyle w:val="GridTable4-Accent51"/>
        <w:tblW w:w="8818" w:type="dxa"/>
        <w:tblLook w:val="04A0" w:firstRow="1" w:lastRow="0" w:firstColumn="1" w:lastColumn="0" w:noHBand="0" w:noVBand="1"/>
      </w:tblPr>
      <w:tblGrid>
        <w:gridCol w:w="2515"/>
        <w:gridCol w:w="2532"/>
        <w:gridCol w:w="2119"/>
        <w:gridCol w:w="1652"/>
      </w:tblGrid>
      <w:tr w:rsidR="00872737" w:rsidRPr="00292532" w14:paraId="0428F3EA" w14:textId="77777777" w:rsidTr="00C023E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15" w:type="dxa"/>
          </w:tcPr>
          <w:p w14:paraId="567D7570" w14:textId="77777777" w:rsidR="00872737" w:rsidRPr="004500AE" w:rsidRDefault="00872737" w:rsidP="00C023E5">
            <w:pPr>
              <w:jc w:val="center"/>
              <w:rPr>
                <w:sz w:val="20"/>
                <w:szCs w:val="20"/>
                <w:lang w:val="pt-PT" w:eastAsia="ja-JP"/>
              </w:rPr>
            </w:pPr>
            <w:r w:rsidRPr="004500AE">
              <w:rPr>
                <w:sz w:val="20"/>
                <w:szCs w:val="20"/>
                <w:lang w:val="pt-PT" w:eastAsia="ja-JP"/>
              </w:rPr>
              <w:t>Indicador de desempenho</w:t>
            </w:r>
          </w:p>
        </w:tc>
        <w:tc>
          <w:tcPr>
            <w:tcW w:w="2532" w:type="dxa"/>
          </w:tcPr>
          <w:p w14:paraId="260F409A" w14:textId="77777777" w:rsidR="00872737" w:rsidRPr="004500AE" w:rsidRDefault="00872737" w:rsidP="00C023E5">
            <w:pPr>
              <w:jc w:val="center"/>
              <w:cnfStyle w:val="100000000000" w:firstRow="1" w:lastRow="0" w:firstColumn="0" w:lastColumn="0" w:oddVBand="0" w:evenVBand="0" w:oddHBand="0" w:evenHBand="0" w:firstRowFirstColumn="0" w:firstRowLastColumn="0" w:lastRowFirstColumn="0" w:lastRowLastColumn="0"/>
              <w:rPr>
                <w:sz w:val="20"/>
                <w:szCs w:val="20"/>
                <w:lang w:val="pt-PT" w:eastAsia="ja-JP"/>
              </w:rPr>
            </w:pPr>
            <w:r w:rsidRPr="004500AE">
              <w:rPr>
                <w:sz w:val="20"/>
                <w:szCs w:val="20"/>
                <w:lang w:val="pt-PT" w:eastAsia="ja-JP"/>
              </w:rPr>
              <w:t>Medição</w:t>
            </w:r>
          </w:p>
        </w:tc>
        <w:tc>
          <w:tcPr>
            <w:tcW w:w="2119" w:type="dxa"/>
          </w:tcPr>
          <w:p w14:paraId="322E118A" w14:textId="77777777" w:rsidR="00872737" w:rsidRPr="004500AE" w:rsidRDefault="00872737" w:rsidP="00C023E5">
            <w:pPr>
              <w:jc w:val="center"/>
              <w:cnfStyle w:val="100000000000" w:firstRow="1" w:lastRow="0" w:firstColumn="0" w:lastColumn="0" w:oddVBand="0" w:evenVBand="0" w:oddHBand="0" w:evenHBand="0" w:firstRowFirstColumn="0" w:firstRowLastColumn="0" w:lastRowFirstColumn="0" w:lastRowLastColumn="0"/>
              <w:rPr>
                <w:sz w:val="20"/>
                <w:szCs w:val="20"/>
                <w:lang w:val="pt-PT" w:eastAsia="ja-JP"/>
              </w:rPr>
            </w:pPr>
            <w:r w:rsidRPr="004500AE">
              <w:rPr>
                <w:sz w:val="20"/>
                <w:szCs w:val="20"/>
                <w:lang w:val="pt-PT" w:eastAsia="ja-JP"/>
              </w:rPr>
              <w:t>Meta/Referência</w:t>
            </w:r>
          </w:p>
        </w:tc>
        <w:tc>
          <w:tcPr>
            <w:tcW w:w="1652" w:type="dxa"/>
          </w:tcPr>
          <w:p w14:paraId="2C639A73" w14:textId="77777777" w:rsidR="00872737" w:rsidRPr="004500AE" w:rsidRDefault="00872737" w:rsidP="00C023E5">
            <w:pPr>
              <w:jc w:val="center"/>
              <w:cnfStyle w:val="100000000000" w:firstRow="1" w:lastRow="0" w:firstColumn="0" w:lastColumn="0" w:oddVBand="0" w:evenVBand="0" w:oddHBand="0" w:evenHBand="0" w:firstRowFirstColumn="0" w:firstRowLastColumn="0" w:lastRowFirstColumn="0" w:lastRowLastColumn="0"/>
              <w:rPr>
                <w:sz w:val="20"/>
                <w:szCs w:val="20"/>
                <w:lang w:val="pt-PT" w:eastAsia="ja-JP"/>
              </w:rPr>
            </w:pPr>
            <w:r w:rsidRPr="004500AE">
              <w:rPr>
                <w:sz w:val="20"/>
                <w:szCs w:val="20"/>
                <w:lang w:val="pt-PT" w:eastAsia="ja-JP"/>
              </w:rPr>
              <w:t>Frequência de Monitoramento</w:t>
            </w:r>
          </w:p>
        </w:tc>
      </w:tr>
      <w:tr w:rsidR="00872737" w:rsidRPr="00292532" w14:paraId="43454DE2" w14:textId="77777777" w:rsidTr="00C023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32220C16" w14:textId="3BB47133" w:rsidR="00872737" w:rsidRPr="00292532" w:rsidRDefault="008D55D0" w:rsidP="00C023E5">
            <w:pPr>
              <w:rPr>
                <w:sz w:val="20"/>
                <w:szCs w:val="20"/>
                <w:lang w:val="pt-PT" w:eastAsia="ja-JP"/>
              </w:rPr>
            </w:pPr>
            <w:r w:rsidRPr="00292532">
              <w:rPr>
                <w:sz w:val="20"/>
                <w:szCs w:val="20"/>
                <w:lang w:val="pt-PT" w:eastAsia="ja-JP"/>
              </w:rPr>
              <w:t xml:space="preserve">Incidentes nas instalações do </w:t>
            </w:r>
            <w:proofErr w:type="spellStart"/>
            <w:r w:rsidRPr="00292532">
              <w:rPr>
                <w:sz w:val="20"/>
                <w:szCs w:val="20"/>
                <w:lang w:val="pt-PT" w:eastAsia="ja-JP"/>
              </w:rPr>
              <w:t>Projecto</w:t>
            </w:r>
            <w:proofErr w:type="spellEnd"/>
            <w:r w:rsidRPr="00292532">
              <w:rPr>
                <w:sz w:val="20"/>
                <w:szCs w:val="20"/>
                <w:lang w:val="pt-PT" w:eastAsia="ja-JP"/>
              </w:rPr>
              <w:t xml:space="preserve"> com impacto nas comunidades </w:t>
            </w:r>
          </w:p>
        </w:tc>
        <w:tc>
          <w:tcPr>
            <w:tcW w:w="2532" w:type="dxa"/>
          </w:tcPr>
          <w:p w14:paraId="5F3664AF" w14:textId="59DDE2EC" w:rsidR="00872737" w:rsidRPr="00292532" w:rsidRDefault="00AB4662" w:rsidP="00C023E5">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Registo de acidentes ocupacionais</w:t>
            </w:r>
            <w:r w:rsidR="006536D0" w:rsidRPr="00292532">
              <w:rPr>
                <w:sz w:val="20"/>
                <w:szCs w:val="20"/>
                <w:lang w:val="pt-PT" w:eastAsia="ja-JP"/>
              </w:rPr>
              <w:t xml:space="preserve"> dentro das instalações do </w:t>
            </w:r>
            <w:proofErr w:type="spellStart"/>
            <w:r w:rsidR="006536D0" w:rsidRPr="00292532">
              <w:rPr>
                <w:sz w:val="20"/>
                <w:szCs w:val="20"/>
                <w:lang w:val="pt-PT" w:eastAsia="ja-JP"/>
              </w:rPr>
              <w:t>Projecto</w:t>
            </w:r>
            <w:proofErr w:type="spellEnd"/>
            <w:r w:rsidR="006536D0" w:rsidRPr="00292532">
              <w:rPr>
                <w:sz w:val="20"/>
                <w:szCs w:val="20"/>
                <w:lang w:val="pt-PT" w:eastAsia="ja-JP"/>
              </w:rPr>
              <w:t xml:space="preserve"> ou áreas de trabalho (local das obras)</w:t>
            </w:r>
            <w:r w:rsidRPr="00292532">
              <w:rPr>
                <w:sz w:val="20"/>
                <w:szCs w:val="20"/>
                <w:lang w:val="pt-PT" w:eastAsia="ja-JP"/>
              </w:rPr>
              <w:t xml:space="preserve"> envolvendo as comunidades </w:t>
            </w:r>
          </w:p>
        </w:tc>
        <w:tc>
          <w:tcPr>
            <w:tcW w:w="2119" w:type="dxa"/>
          </w:tcPr>
          <w:p w14:paraId="44C16C5C" w14:textId="12B28895" w:rsidR="00872737" w:rsidRPr="00292532" w:rsidRDefault="00AB4662" w:rsidP="00C023E5">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 xml:space="preserve">Zero incidentes/acidentes envolvendo membros da comunidade ou bens pertencentes às mesmas </w:t>
            </w:r>
          </w:p>
        </w:tc>
        <w:tc>
          <w:tcPr>
            <w:tcW w:w="1652" w:type="dxa"/>
          </w:tcPr>
          <w:p w14:paraId="4B66D6A5" w14:textId="16ACC9EB" w:rsidR="00872737" w:rsidRPr="004500AE" w:rsidRDefault="00AB4662" w:rsidP="00C023E5">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4500AE">
              <w:rPr>
                <w:sz w:val="20"/>
                <w:szCs w:val="20"/>
                <w:lang w:val="pt-PT" w:eastAsia="ja-JP"/>
              </w:rPr>
              <w:t xml:space="preserve">Contínuo </w:t>
            </w:r>
          </w:p>
        </w:tc>
      </w:tr>
      <w:tr w:rsidR="006536D0" w:rsidRPr="00292532" w14:paraId="389779A2" w14:textId="77777777" w:rsidTr="00C023E5">
        <w:tc>
          <w:tcPr>
            <w:cnfStyle w:val="001000000000" w:firstRow="0" w:lastRow="0" w:firstColumn="1" w:lastColumn="0" w:oddVBand="0" w:evenVBand="0" w:oddHBand="0" w:evenHBand="0" w:firstRowFirstColumn="0" w:firstRowLastColumn="0" w:lastRowFirstColumn="0" w:lastRowLastColumn="0"/>
            <w:tcW w:w="2515" w:type="dxa"/>
          </w:tcPr>
          <w:p w14:paraId="4FAF0307" w14:textId="08F29A1A" w:rsidR="006536D0" w:rsidRPr="00292532" w:rsidRDefault="008D55D0" w:rsidP="006536D0">
            <w:pPr>
              <w:rPr>
                <w:sz w:val="20"/>
                <w:szCs w:val="20"/>
                <w:lang w:val="pt-PT" w:eastAsia="ja-JP"/>
              </w:rPr>
            </w:pPr>
            <w:r w:rsidRPr="00292532">
              <w:rPr>
                <w:sz w:val="20"/>
                <w:szCs w:val="20"/>
                <w:lang w:val="pt-PT" w:eastAsia="ja-JP"/>
              </w:rPr>
              <w:t xml:space="preserve">No. de Acidentes rodoviários envolvendo as comunidades </w:t>
            </w:r>
            <w:r w:rsidRPr="00292532">
              <w:rPr>
                <w:sz w:val="20"/>
                <w:szCs w:val="20"/>
                <w:lang w:val="pt-PT" w:eastAsia="ja-JP"/>
              </w:rPr>
              <w:tab/>
            </w:r>
          </w:p>
        </w:tc>
        <w:tc>
          <w:tcPr>
            <w:tcW w:w="2532" w:type="dxa"/>
          </w:tcPr>
          <w:p w14:paraId="0813F5AB" w14:textId="5E0E896C" w:rsidR="006536D0" w:rsidRPr="00292532" w:rsidRDefault="006536D0" w:rsidP="00C023E5">
            <w:pPr>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292532">
              <w:rPr>
                <w:sz w:val="20"/>
                <w:szCs w:val="20"/>
                <w:lang w:val="pt-PT" w:eastAsia="ja-JP"/>
              </w:rPr>
              <w:t xml:space="preserve">Registo de acidentes rodoviários causados pelo </w:t>
            </w:r>
            <w:proofErr w:type="spellStart"/>
            <w:r w:rsidRPr="00292532">
              <w:rPr>
                <w:sz w:val="20"/>
                <w:szCs w:val="20"/>
                <w:lang w:val="pt-PT" w:eastAsia="ja-JP"/>
              </w:rPr>
              <w:t>Projecto</w:t>
            </w:r>
            <w:proofErr w:type="spellEnd"/>
            <w:r w:rsidRPr="00292532">
              <w:rPr>
                <w:sz w:val="20"/>
                <w:szCs w:val="20"/>
                <w:lang w:val="pt-PT" w:eastAsia="ja-JP"/>
              </w:rPr>
              <w:t xml:space="preserve"> (inc</w:t>
            </w:r>
            <w:r w:rsidR="005E3559" w:rsidRPr="00292532">
              <w:rPr>
                <w:sz w:val="20"/>
                <w:szCs w:val="20"/>
                <w:lang w:val="pt-PT" w:eastAsia="ja-JP"/>
              </w:rPr>
              <w:t>lu</w:t>
            </w:r>
            <w:r w:rsidR="00EB695C" w:rsidRPr="00292532">
              <w:rPr>
                <w:sz w:val="20"/>
                <w:szCs w:val="20"/>
                <w:lang w:val="pt-PT" w:eastAsia="ja-JP"/>
              </w:rPr>
              <w:t>i</w:t>
            </w:r>
            <w:r w:rsidR="005E3559" w:rsidRPr="00292532">
              <w:rPr>
                <w:sz w:val="20"/>
                <w:szCs w:val="20"/>
                <w:lang w:val="pt-PT" w:eastAsia="ja-JP"/>
              </w:rPr>
              <w:t>ndo</w:t>
            </w:r>
            <w:r w:rsidRPr="00292532">
              <w:rPr>
                <w:sz w:val="20"/>
                <w:szCs w:val="20"/>
                <w:lang w:val="pt-PT" w:eastAsia="ja-JP"/>
              </w:rPr>
              <w:t xml:space="preserve"> </w:t>
            </w:r>
            <w:r w:rsidR="00381467" w:rsidRPr="00292532">
              <w:rPr>
                <w:sz w:val="20"/>
                <w:szCs w:val="20"/>
                <w:lang w:val="pt-PT" w:eastAsia="ja-JP"/>
              </w:rPr>
              <w:t>contrata</w:t>
            </w:r>
            <w:r w:rsidRPr="00292532">
              <w:rPr>
                <w:sz w:val="20"/>
                <w:szCs w:val="20"/>
                <w:lang w:val="pt-PT" w:eastAsia="ja-JP"/>
              </w:rPr>
              <w:t>das e sub</w:t>
            </w:r>
            <w:r w:rsidR="00381467" w:rsidRPr="00292532">
              <w:rPr>
                <w:sz w:val="20"/>
                <w:szCs w:val="20"/>
                <w:lang w:val="pt-PT" w:eastAsia="ja-JP"/>
              </w:rPr>
              <w:t>contrata</w:t>
            </w:r>
            <w:r w:rsidRPr="00292532">
              <w:rPr>
                <w:sz w:val="20"/>
                <w:szCs w:val="20"/>
                <w:lang w:val="pt-PT" w:eastAsia="ja-JP"/>
              </w:rPr>
              <w:t>das) envolvendo às comunidades</w:t>
            </w:r>
          </w:p>
        </w:tc>
        <w:tc>
          <w:tcPr>
            <w:tcW w:w="2119" w:type="dxa"/>
          </w:tcPr>
          <w:p w14:paraId="00C45799" w14:textId="7D5A377B" w:rsidR="006536D0" w:rsidRPr="00292532" w:rsidRDefault="006536D0" w:rsidP="00C023E5">
            <w:pPr>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292532">
              <w:rPr>
                <w:sz w:val="20"/>
                <w:szCs w:val="20"/>
                <w:lang w:val="pt-PT" w:eastAsia="ja-JP"/>
              </w:rPr>
              <w:t xml:space="preserve">Zero incidentes rodoviários com impacto nas comunidades </w:t>
            </w:r>
          </w:p>
        </w:tc>
        <w:tc>
          <w:tcPr>
            <w:tcW w:w="1652" w:type="dxa"/>
          </w:tcPr>
          <w:p w14:paraId="07613E16" w14:textId="0C14866E" w:rsidR="006536D0" w:rsidRPr="00292532" w:rsidRDefault="006536D0" w:rsidP="00C023E5">
            <w:pPr>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292532">
              <w:rPr>
                <w:sz w:val="20"/>
                <w:szCs w:val="20"/>
                <w:lang w:val="pt-PT" w:eastAsia="ja-JP"/>
              </w:rPr>
              <w:t xml:space="preserve">Contínuo </w:t>
            </w:r>
          </w:p>
        </w:tc>
      </w:tr>
      <w:tr w:rsidR="006536D0" w:rsidRPr="00292532" w14:paraId="6FB33A8D" w14:textId="77777777" w:rsidTr="00C023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54C9BE0D" w14:textId="3ADAA454" w:rsidR="00872737" w:rsidRPr="00292532" w:rsidRDefault="00AB4662" w:rsidP="00C023E5">
            <w:pPr>
              <w:rPr>
                <w:sz w:val="20"/>
                <w:szCs w:val="20"/>
                <w:lang w:val="pt-PT" w:eastAsia="ja-JP"/>
              </w:rPr>
            </w:pPr>
            <w:r w:rsidRPr="00292532">
              <w:rPr>
                <w:sz w:val="20"/>
                <w:szCs w:val="20"/>
                <w:lang w:val="pt-PT" w:eastAsia="ja-JP"/>
              </w:rPr>
              <w:t xml:space="preserve">Registo e resolução de queixas por parte das comunidades devido exposições à riscos de saúde e segurança causados pelo </w:t>
            </w:r>
            <w:proofErr w:type="spellStart"/>
            <w:r w:rsidRPr="00292532">
              <w:rPr>
                <w:sz w:val="20"/>
                <w:szCs w:val="20"/>
                <w:lang w:val="pt-PT" w:eastAsia="ja-JP"/>
              </w:rPr>
              <w:t>Projecto</w:t>
            </w:r>
            <w:proofErr w:type="spellEnd"/>
          </w:p>
        </w:tc>
        <w:tc>
          <w:tcPr>
            <w:tcW w:w="2532" w:type="dxa"/>
          </w:tcPr>
          <w:p w14:paraId="6AC3C9F6" w14:textId="44529A11" w:rsidR="00872737" w:rsidRPr="00292532" w:rsidRDefault="00AB4662" w:rsidP="00C023E5">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 xml:space="preserve">Registo de queixas submetidas através do mecanismo de gestão de queixas </w:t>
            </w:r>
          </w:p>
        </w:tc>
        <w:tc>
          <w:tcPr>
            <w:tcW w:w="2119" w:type="dxa"/>
          </w:tcPr>
          <w:p w14:paraId="35C1F407" w14:textId="0EEF0692" w:rsidR="00872737" w:rsidRPr="00292532" w:rsidRDefault="00AB4662" w:rsidP="00C023E5">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 xml:space="preserve">Todas as queixas relativas sobre riscos de saúde e segurança devem ser registadas e resolvidas </w:t>
            </w:r>
          </w:p>
        </w:tc>
        <w:tc>
          <w:tcPr>
            <w:tcW w:w="1652" w:type="dxa"/>
          </w:tcPr>
          <w:p w14:paraId="6CBB7CE4" w14:textId="370C83F9" w:rsidR="00872737" w:rsidRPr="004500AE" w:rsidRDefault="00AB4662" w:rsidP="00C023E5">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4500AE">
              <w:rPr>
                <w:sz w:val="20"/>
                <w:szCs w:val="20"/>
                <w:lang w:val="pt-PT" w:eastAsia="ja-JP"/>
              </w:rPr>
              <w:t xml:space="preserve">Contínuo </w:t>
            </w:r>
          </w:p>
        </w:tc>
      </w:tr>
    </w:tbl>
    <w:p w14:paraId="17519459" w14:textId="4E82F919" w:rsidR="000F43F0" w:rsidRPr="00292532" w:rsidRDefault="000F43F0" w:rsidP="000D7B05">
      <w:pPr>
        <w:pStyle w:val="Title"/>
      </w:pPr>
      <w:r w:rsidRPr="00292532">
        <w:br w:type="page"/>
      </w:r>
    </w:p>
    <w:bookmarkEnd w:id="700"/>
    <w:p w14:paraId="194E4954" w14:textId="1B3C3DCC" w:rsidR="00425C56" w:rsidRPr="00292532" w:rsidRDefault="00425C56" w:rsidP="007A1525">
      <w:pPr>
        <w:rPr>
          <w:lang w:val="pt-PT"/>
        </w:rPr>
      </w:pPr>
    </w:p>
    <w:p w14:paraId="3A5797E0" w14:textId="1683B8D1" w:rsidR="00425C56" w:rsidRPr="00292532" w:rsidRDefault="00425C56" w:rsidP="000D7B05">
      <w:pPr>
        <w:pStyle w:val="Title"/>
      </w:pPr>
      <w:r w:rsidRPr="00292532">
        <w:t xml:space="preserve">anexo </w:t>
      </w:r>
      <w:r w:rsidR="000D2119" w:rsidRPr="00292532">
        <w:t>7</w:t>
      </w:r>
    </w:p>
    <w:p w14:paraId="4AEAD3D0" w14:textId="6F63D47E" w:rsidR="00A95C30" w:rsidRPr="00292532" w:rsidRDefault="00A95C30" w:rsidP="00AE14AE">
      <w:pPr>
        <w:pStyle w:val="Heading1"/>
        <w:numPr>
          <w:ilvl w:val="0"/>
          <w:numId w:val="88"/>
        </w:numPr>
        <w:rPr>
          <w:lang w:val="pt-PT"/>
        </w:rPr>
      </w:pPr>
      <w:bookmarkStart w:id="702" w:name="_Toc73620214"/>
      <w:bookmarkStart w:id="703" w:name="_Toc73623841"/>
      <w:bookmarkStart w:id="704" w:name="_Toc73624489"/>
      <w:bookmarkStart w:id="705" w:name="_Toc73954624"/>
      <w:bookmarkStart w:id="706" w:name="_Toc75438010"/>
      <w:bookmarkStart w:id="707" w:name="_Toc78435449"/>
      <w:bookmarkStart w:id="708" w:name="_Toc80380119"/>
      <w:r w:rsidRPr="00292532">
        <w:rPr>
          <w:lang w:val="pt-PT"/>
        </w:rPr>
        <w:t xml:space="preserve">Plano de Gestão e Prevenção da Poluição </w:t>
      </w:r>
      <w:r w:rsidR="00CA778E" w:rsidRPr="00292532">
        <w:rPr>
          <w:lang w:val="pt-PT"/>
        </w:rPr>
        <w:t>(PGPP)</w:t>
      </w:r>
      <w:bookmarkEnd w:id="702"/>
      <w:bookmarkEnd w:id="703"/>
      <w:bookmarkEnd w:id="704"/>
      <w:bookmarkEnd w:id="705"/>
      <w:bookmarkEnd w:id="706"/>
      <w:bookmarkEnd w:id="707"/>
      <w:bookmarkEnd w:id="708"/>
    </w:p>
    <w:p w14:paraId="4FDD75C3" w14:textId="189220F2" w:rsidR="00BD3B0C" w:rsidRPr="00292532" w:rsidRDefault="00BD3B0C" w:rsidP="00A95C30">
      <w:pPr>
        <w:rPr>
          <w:lang w:val="pt-PT"/>
        </w:rPr>
      </w:pPr>
      <w:r w:rsidRPr="00292532">
        <w:rPr>
          <w:lang w:val="pt-PT"/>
        </w:rPr>
        <w:t xml:space="preserve">Este Plano de Gestão e Prevenção da Poluição visa fornecer orientações gerais para limitar os impactos potenciais relativos a poluição atmosférica, dos solos e das águas superficiais e subterrâneas. </w:t>
      </w:r>
    </w:p>
    <w:p w14:paraId="4EF0A4C1" w14:textId="37D8908D" w:rsidR="00A95C30" w:rsidRPr="00292532" w:rsidRDefault="00BD3B0C" w:rsidP="00A95C30">
      <w:pPr>
        <w:rPr>
          <w:lang w:val="pt-PT"/>
        </w:rPr>
      </w:pPr>
      <w:r w:rsidRPr="00292532">
        <w:rPr>
          <w:lang w:val="pt-PT"/>
        </w:rPr>
        <w:t xml:space="preserve">Dado que os potenciais impactos relativos à poluição do meio serão mais prováveis e significativos na fase de construção, sendo que para a fase de operação estes terão baixa significância e magnitude, este Plano tem como âmbito a fase de construção do </w:t>
      </w:r>
      <w:proofErr w:type="spellStart"/>
      <w:r w:rsidRPr="00292532">
        <w:rPr>
          <w:lang w:val="pt-PT"/>
        </w:rPr>
        <w:t>Projecto</w:t>
      </w:r>
      <w:proofErr w:type="spellEnd"/>
      <w:r w:rsidRPr="00292532">
        <w:rPr>
          <w:lang w:val="pt-PT"/>
        </w:rPr>
        <w:t>. Para a fase de operação, recomenda-se a implementação</w:t>
      </w:r>
      <w:r w:rsidR="00065A9D" w:rsidRPr="00292532">
        <w:rPr>
          <w:lang w:val="pt-PT"/>
        </w:rPr>
        <w:t xml:space="preserve"> </w:t>
      </w:r>
      <w:r w:rsidRPr="00292532">
        <w:rPr>
          <w:lang w:val="pt-PT"/>
        </w:rPr>
        <w:t>das medidas propostas no Plano de Gestão Ambiental e Social genérico (</w:t>
      </w:r>
      <w:r w:rsidRPr="00292532">
        <w:rPr>
          <w:b/>
          <w:bCs/>
          <w:lang w:val="pt-PT"/>
        </w:rPr>
        <w:t xml:space="preserve">Anexo </w:t>
      </w:r>
      <w:r w:rsidR="000615DB" w:rsidRPr="00292532">
        <w:rPr>
          <w:b/>
          <w:bCs/>
          <w:lang w:val="pt-PT"/>
        </w:rPr>
        <w:t>4</w:t>
      </w:r>
      <w:r w:rsidRPr="00292532">
        <w:rPr>
          <w:lang w:val="pt-PT"/>
        </w:rPr>
        <w:t xml:space="preserve">). </w:t>
      </w:r>
    </w:p>
    <w:p w14:paraId="03D9848B" w14:textId="5ADC1E0F" w:rsidR="00BD3B0C" w:rsidRPr="00292532" w:rsidRDefault="00BD3B0C" w:rsidP="00BD3B0C">
      <w:pPr>
        <w:pStyle w:val="Heading2"/>
      </w:pPr>
      <w:bookmarkStart w:id="709" w:name="_Toc73620215"/>
      <w:bookmarkStart w:id="710" w:name="_Toc73623842"/>
      <w:bookmarkStart w:id="711" w:name="_Toc73624490"/>
      <w:bookmarkStart w:id="712" w:name="_Toc73954625"/>
      <w:bookmarkStart w:id="713" w:name="_Toc75438011"/>
      <w:bookmarkStart w:id="714" w:name="_Toc78435450"/>
      <w:bookmarkStart w:id="715" w:name="_Toc80380120"/>
      <w:proofErr w:type="spellStart"/>
      <w:r w:rsidRPr="00292532">
        <w:t>Aspectos</w:t>
      </w:r>
      <w:proofErr w:type="spellEnd"/>
      <w:r w:rsidRPr="00292532">
        <w:t xml:space="preserve"> Ambientais relevantes do </w:t>
      </w:r>
      <w:proofErr w:type="spellStart"/>
      <w:r w:rsidRPr="00292532">
        <w:t>Projecto</w:t>
      </w:r>
      <w:bookmarkEnd w:id="709"/>
      <w:bookmarkEnd w:id="710"/>
      <w:bookmarkEnd w:id="711"/>
      <w:bookmarkEnd w:id="712"/>
      <w:bookmarkEnd w:id="713"/>
      <w:bookmarkEnd w:id="714"/>
      <w:bookmarkEnd w:id="715"/>
      <w:proofErr w:type="spellEnd"/>
      <w:r w:rsidRPr="00292532">
        <w:t xml:space="preserve"> </w:t>
      </w:r>
    </w:p>
    <w:p w14:paraId="3194F4A4" w14:textId="032A1AB2" w:rsidR="00BD3B0C" w:rsidRPr="00292532" w:rsidRDefault="00BD3B0C" w:rsidP="00BD3B0C">
      <w:pPr>
        <w:rPr>
          <w:lang w:val="pt-PT" w:eastAsia="ja-JP"/>
        </w:rPr>
      </w:pPr>
      <w:r w:rsidRPr="00292532">
        <w:rPr>
          <w:lang w:val="pt-PT" w:eastAsia="ja-JP"/>
        </w:rPr>
        <w:t xml:space="preserve">As </w:t>
      </w:r>
      <w:proofErr w:type="spellStart"/>
      <w:r w:rsidRPr="00292532">
        <w:rPr>
          <w:lang w:val="pt-PT" w:eastAsia="ja-JP"/>
        </w:rPr>
        <w:t>actividades</w:t>
      </w:r>
      <w:proofErr w:type="spellEnd"/>
      <w:r w:rsidRPr="00292532">
        <w:rPr>
          <w:lang w:val="pt-PT" w:eastAsia="ja-JP"/>
        </w:rPr>
        <w:t xml:space="preserve"> do </w:t>
      </w:r>
      <w:proofErr w:type="spellStart"/>
      <w:r w:rsidRPr="00292532">
        <w:rPr>
          <w:lang w:val="pt-PT" w:eastAsia="ja-JP"/>
        </w:rPr>
        <w:t>Projecto</w:t>
      </w:r>
      <w:proofErr w:type="spellEnd"/>
      <w:r w:rsidRPr="00292532">
        <w:rPr>
          <w:lang w:val="pt-PT" w:eastAsia="ja-JP"/>
        </w:rPr>
        <w:t xml:space="preserve"> potencialmente geradoras de impactos que podem resultar na poluição </w:t>
      </w:r>
      <w:r w:rsidR="00B42FB2" w:rsidRPr="00292532">
        <w:rPr>
          <w:lang w:val="pt-PT" w:eastAsia="ja-JP"/>
        </w:rPr>
        <w:t xml:space="preserve">do ar, terra e das águas são as seguintes: </w:t>
      </w:r>
    </w:p>
    <w:p w14:paraId="40CD970C" w14:textId="711B8848" w:rsidR="00B42FB2" w:rsidRPr="00292532" w:rsidRDefault="00B42FB2" w:rsidP="00AE14AE">
      <w:pPr>
        <w:pStyle w:val="ListParagraph"/>
        <w:numPr>
          <w:ilvl w:val="0"/>
          <w:numId w:val="89"/>
        </w:numPr>
        <w:rPr>
          <w:lang w:val="pt-PT" w:eastAsia="ja-JP"/>
        </w:rPr>
      </w:pPr>
      <w:r w:rsidRPr="00292532">
        <w:rPr>
          <w:lang w:val="pt-PT" w:eastAsia="ja-JP"/>
        </w:rPr>
        <w:t xml:space="preserve">Emissão de poluentes atmosféricos (poeiras) durantes as </w:t>
      </w:r>
      <w:proofErr w:type="spellStart"/>
      <w:r w:rsidRPr="00292532">
        <w:rPr>
          <w:lang w:val="pt-PT" w:eastAsia="ja-JP"/>
        </w:rPr>
        <w:t>actividades</w:t>
      </w:r>
      <w:proofErr w:type="spellEnd"/>
      <w:r w:rsidRPr="00292532">
        <w:rPr>
          <w:lang w:val="pt-PT" w:eastAsia="ja-JP"/>
        </w:rPr>
        <w:t xml:space="preserve"> de terraplenagens, escavações, transporte de material</w:t>
      </w:r>
      <w:r w:rsidR="000C7BAC" w:rsidRPr="00292532">
        <w:rPr>
          <w:lang w:val="pt-PT" w:eastAsia="ja-JP"/>
        </w:rPr>
        <w:t>;</w:t>
      </w:r>
    </w:p>
    <w:p w14:paraId="284AD9F0" w14:textId="484835CE" w:rsidR="00B42FB2" w:rsidRPr="00292532" w:rsidRDefault="00B42FB2" w:rsidP="00AE14AE">
      <w:pPr>
        <w:pStyle w:val="ListParagraph"/>
        <w:numPr>
          <w:ilvl w:val="0"/>
          <w:numId w:val="89"/>
        </w:numPr>
        <w:rPr>
          <w:lang w:val="pt-PT" w:eastAsia="ja-JP"/>
        </w:rPr>
      </w:pPr>
      <w:r w:rsidRPr="00292532">
        <w:rPr>
          <w:lang w:val="pt-PT" w:eastAsia="ja-JP"/>
        </w:rPr>
        <w:t xml:space="preserve">Emissão de gases de combustão por utilização de maquinaria </w:t>
      </w:r>
      <w:proofErr w:type="spellStart"/>
      <w:r w:rsidRPr="00292532">
        <w:rPr>
          <w:lang w:val="pt-PT" w:eastAsia="ja-JP"/>
        </w:rPr>
        <w:t>accionada</w:t>
      </w:r>
      <w:proofErr w:type="spellEnd"/>
      <w:r w:rsidRPr="00292532">
        <w:rPr>
          <w:lang w:val="pt-PT" w:eastAsia="ja-JP"/>
        </w:rPr>
        <w:t xml:space="preserve"> por motor e geradores e circulação ode veículos</w:t>
      </w:r>
      <w:r w:rsidR="000C7BAC" w:rsidRPr="00292532">
        <w:rPr>
          <w:lang w:val="pt-PT" w:eastAsia="ja-JP"/>
        </w:rPr>
        <w:t>;</w:t>
      </w:r>
      <w:r w:rsidRPr="00292532">
        <w:rPr>
          <w:lang w:val="pt-PT" w:eastAsia="ja-JP"/>
        </w:rPr>
        <w:t xml:space="preserve"> </w:t>
      </w:r>
    </w:p>
    <w:p w14:paraId="61B9882E" w14:textId="6BDFAAAE" w:rsidR="00B42FB2" w:rsidRPr="00292532" w:rsidRDefault="00B42FB2" w:rsidP="00AE14AE">
      <w:pPr>
        <w:pStyle w:val="ListParagraph"/>
        <w:numPr>
          <w:ilvl w:val="0"/>
          <w:numId w:val="89"/>
        </w:numPr>
        <w:rPr>
          <w:lang w:val="pt-PT" w:eastAsia="ja-JP"/>
        </w:rPr>
      </w:pPr>
      <w:r w:rsidRPr="00292532">
        <w:rPr>
          <w:lang w:val="pt-PT" w:eastAsia="ja-JP"/>
        </w:rPr>
        <w:t>gestão de resíduos sólidos e de efluentes</w:t>
      </w:r>
      <w:r w:rsidR="000C7BAC" w:rsidRPr="00292532">
        <w:rPr>
          <w:lang w:val="pt-PT" w:eastAsia="ja-JP"/>
        </w:rPr>
        <w:t>;</w:t>
      </w:r>
      <w:r w:rsidRPr="00292532">
        <w:rPr>
          <w:lang w:val="pt-PT" w:eastAsia="ja-JP"/>
        </w:rPr>
        <w:t xml:space="preserve"> </w:t>
      </w:r>
    </w:p>
    <w:p w14:paraId="2E6CC4FF" w14:textId="3BF979AF" w:rsidR="00B42FB2" w:rsidRPr="00292532" w:rsidRDefault="00B42FB2" w:rsidP="00AE14AE">
      <w:pPr>
        <w:pStyle w:val="ListParagraph"/>
        <w:numPr>
          <w:ilvl w:val="0"/>
          <w:numId w:val="89"/>
        </w:numPr>
        <w:rPr>
          <w:lang w:val="pt-PT" w:eastAsia="ja-JP"/>
        </w:rPr>
      </w:pPr>
      <w:r w:rsidRPr="00292532">
        <w:rPr>
          <w:lang w:val="pt-PT" w:eastAsia="ja-JP"/>
        </w:rPr>
        <w:t>Armazenamento e manuseamento de produtos químicos (óleos, combustíveis, lubrificantes)</w:t>
      </w:r>
      <w:r w:rsidR="000C7BAC" w:rsidRPr="00292532">
        <w:rPr>
          <w:lang w:val="pt-PT" w:eastAsia="ja-JP"/>
        </w:rPr>
        <w:t xml:space="preserve">; </w:t>
      </w:r>
      <w:r w:rsidR="000563D3" w:rsidRPr="00292532">
        <w:rPr>
          <w:lang w:val="pt-PT" w:eastAsia="ja-JP"/>
        </w:rPr>
        <w:t>e,</w:t>
      </w:r>
      <w:r w:rsidRPr="00292532">
        <w:rPr>
          <w:lang w:val="pt-PT" w:eastAsia="ja-JP"/>
        </w:rPr>
        <w:t xml:space="preserve"> </w:t>
      </w:r>
    </w:p>
    <w:p w14:paraId="00290E89" w14:textId="0C3711D5" w:rsidR="00B42FB2" w:rsidRPr="00292532" w:rsidRDefault="00B42FB2" w:rsidP="00AE14AE">
      <w:pPr>
        <w:pStyle w:val="ListParagraph"/>
        <w:numPr>
          <w:ilvl w:val="0"/>
          <w:numId w:val="89"/>
        </w:numPr>
        <w:rPr>
          <w:lang w:val="pt-PT" w:eastAsia="ja-JP"/>
        </w:rPr>
      </w:pPr>
      <w:r w:rsidRPr="00292532">
        <w:rPr>
          <w:lang w:val="pt-PT" w:eastAsia="ja-JP"/>
        </w:rPr>
        <w:t>Eventos não planeados que resultem em derrames de óleos e combustíveis</w:t>
      </w:r>
      <w:r w:rsidR="000C7BAC" w:rsidRPr="00292532">
        <w:rPr>
          <w:lang w:val="pt-PT" w:eastAsia="ja-JP"/>
        </w:rPr>
        <w:t>.</w:t>
      </w:r>
    </w:p>
    <w:p w14:paraId="014EE10E" w14:textId="77777777" w:rsidR="00B42FB2" w:rsidRPr="00292532" w:rsidRDefault="00B42FB2" w:rsidP="002E2E90">
      <w:pPr>
        <w:pStyle w:val="ListParagraph"/>
        <w:numPr>
          <w:ilvl w:val="0"/>
          <w:numId w:val="0"/>
        </w:numPr>
        <w:ind w:left="720"/>
        <w:rPr>
          <w:lang w:val="pt-PT" w:eastAsia="ja-JP"/>
        </w:rPr>
      </w:pPr>
    </w:p>
    <w:p w14:paraId="4FCE3F24" w14:textId="7D3B72FB" w:rsidR="00B42FB2" w:rsidRPr="00292532" w:rsidRDefault="00B42FB2" w:rsidP="00B42FB2">
      <w:pPr>
        <w:rPr>
          <w:lang w:val="pt-PT" w:eastAsia="ja-JP"/>
        </w:rPr>
      </w:pPr>
      <w:r w:rsidRPr="00292532">
        <w:rPr>
          <w:lang w:val="pt-PT" w:eastAsia="ja-JP"/>
        </w:rPr>
        <w:t xml:space="preserve">A estratégia geral de prevenção da poluição e mitigação dos impactos </w:t>
      </w:r>
      <w:r w:rsidR="0024228B" w:rsidRPr="00292532">
        <w:rPr>
          <w:lang w:val="pt-PT" w:eastAsia="ja-JP"/>
        </w:rPr>
        <w:t xml:space="preserve">passa pela gestão dos seguintes </w:t>
      </w:r>
      <w:proofErr w:type="spellStart"/>
      <w:r w:rsidR="0024228B" w:rsidRPr="00292532">
        <w:rPr>
          <w:lang w:val="pt-PT" w:eastAsia="ja-JP"/>
        </w:rPr>
        <w:t>aspectos</w:t>
      </w:r>
      <w:proofErr w:type="spellEnd"/>
      <w:r w:rsidRPr="00292532">
        <w:rPr>
          <w:lang w:val="pt-PT" w:eastAsia="ja-JP"/>
        </w:rPr>
        <w:t xml:space="preserve">: </w:t>
      </w:r>
    </w:p>
    <w:p w14:paraId="0CFD2B23" w14:textId="43BD3D0F" w:rsidR="0024228B" w:rsidRPr="00292532" w:rsidRDefault="0024228B" w:rsidP="00AE14AE">
      <w:pPr>
        <w:pStyle w:val="ListParagraph"/>
        <w:numPr>
          <w:ilvl w:val="0"/>
          <w:numId w:val="90"/>
        </w:numPr>
        <w:rPr>
          <w:lang w:val="pt-PT" w:eastAsia="ja-JP"/>
        </w:rPr>
      </w:pPr>
      <w:r w:rsidRPr="00292532">
        <w:rPr>
          <w:lang w:val="pt-PT" w:eastAsia="ja-JP"/>
        </w:rPr>
        <w:t>Controlo de emissões e poeiras</w:t>
      </w:r>
      <w:r w:rsidR="009840D8" w:rsidRPr="00292532">
        <w:rPr>
          <w:lang w:val="pt-PT" w:eastAsia="ja-JP"/>
        </w:rPr>
        <w:t>;</w:t>
      </w:r>
    </w:p>
    <w:p w14:paraId="4FAA69E7" w14:textId="62A70C39" w:rsidR="00B42FB2" w:rsidRPr="00292532" w:rsidRDefault="00B42FB2" w:rsidP="00AE14AE">
      <w:pPr>
        <w:pStyle w:val="ListParagraph"/>
        <w:numPr>
          <w:ilvl w:val="0"/>
          <w:numId w:val="90"/>
        </w:numPr>
        <w:rPr>
          <w:lang w:val="pt-PT" w:eastAsia="ja-JP"/>
        </w:rPr>
      </w:pPr>
      <w:r w:rsidRPr="00292532">
        <w:rPr>
          <w:lang w:val="pt-PT" w:eastAsia="ja-JP"/>
        </w:rPr>
        <w:t xml:space="preserve">Gestão de resíduos sólidos </w:t>
      </w:r>
      <w:r w:rsidR="0024228B" w:rsidRPr="00292532">
        <w:rPr>
          <w:lang w:val="pt-PT" w:eastAsia="ja-JP"/>
        </w:rPr>
        <w:t>e efluentes</w:t>
      </w:r>
      <w:r w:rsidR="009840D8" w:rsidRPr="00292532">
        <w:rPr>
          <w:lang w:val="pt-PT" w:eastAsia="ja-JP"/>
        </w:rPr>
        <w:t>;</w:t>
      </w:r>
    </w:p>
    <w:p w14:paraId="41567EF3" w14:textId="3D8CCB43" w:rsidR="00B42FB2" w:rsidRPr="00292532" w:rsidRDefault="00B42FB2" w:rsidP="00AE14AE">
      <w:pPr>
        <w:pStyle w:val="ListParagraph"/>
        <w:numPr>
          <w:ilvl w:val="0"/>
          <w:numId w:val="90"/>
        </w:numPr>
        <w:rPr>
          <w:lang w:val="pt-PT" w:eastAsia="ja-JP"/>
        </w:rPr>
      </w:pPr>
      <w:r w:rsidRPr="00292532">
        <w:rPr>
          <w:lang w:val="pt-PT" w:eastAsia="ja-JP"/>
        </w:rPr>
        <w:t>Prevenção e reposta a derrames</w:t>
      </w:r>
      <w:r w:rsidR="009840D8" w:rsidRPr="00292532">
        <w:rPr>
          <w:lang w:val="pt-PT" w:eastAsia="ja-JP"/>
        </w:rPr>
        <w:t>;</w:t>
      </w:r>
      <w:r w:rsidRPr="00292532">
        <w:rPr>
          <w:lang w:val="pt-PT" w:eastAsia="ja-JP"/>
        </w:rPr>
        <w:t xml:space="preserve"> </w:t>
      </w:r>
    </w:p>
    <w:p w14:paraId="1B243032" w14:textId="5D5E9A09" w:rsidR="00B42FB2" w:rsidRPr="00292532" w:rsidRDefault="00B42FB2" w:rsidP="00AE14AE">
      <w:pPr>
        <w:pStyle w:val="ListParagraph"/>
        <w:numPr>
          <w:ilvl w:val="0"/>
          <w:numId w:val="90"/>
        </w:numPr>
        <w:rPr>
          <w:lang w:val="pt-PT" w:eastAsia="ja-JP"/>
        </w:rPr>
      </w:pPr>
      <w:r w:rsidRPr="00292532">
        <w:rPr>
          <w:lang w:val="pt-PT" w:eastAsia="ja-JP"/>
        </w:rPr>
        <w:t>Manuseamento e armazenamento de químicos</w:t>
      </w:r>
      <w:r w:rsidR="009840D8" w:rsidRPr="00292532">
        <w:rPr>
          <w:lang w:val="pt-PT" w:eastAsia="ja-JP"/>
        </w:rPr>
        <w:t>;</w:t>
      </w:r>
      <w:r w:rsidRPr="00292532">
        <w:rPr>
          <w:lang w:val="pt-PT" w:eastAsia="ja-JP"/>
        </w:rPr>
        <w:t xml:space="preserve"> </w:t>
      </w:r>
    </w:p>
    <w:p w14:paraId="01AAEF0A" w14:textId="11483D2A" w:rsidR="00B42FB2" w:rsidRPr="00292532" w:rsidRDefault="00B42FB2" w:rsidP="00AE14AE">
      <w:pPr>
        <w:pStyle w:val="ListParagraph"/>
        <w:numPr>
          <w:ilvl w:val="0"/>
          <w:numId w:val="90"/>
        </w:numPr>
        <w:rPr>
          <w:lang w:val="pt-PT" w:eastAsia="ja-JP"/>
        </w:rPr>
      </w:pPr>
      <w:r w:rsidRPr="00292532">
        <w:rPr>
          <w:lang w:val="pt-PT" w:eastAsia="ja-JP"/>
        </w:rPr>
        <w:t>Gestão do Tráfego</w:t>
      </w:r>
      <w:r w:rsidR="009840D8" w:rsidRPr="00292532">
        <w:rPr>
          <w:lang w:val="pt-PT" w:eastAsia="ja-JP"/>
        </w:rPr>
        <w:t>;</w:t>
      </w:r>
    </w:p>
    <w:p w14:paraId="523E473D" w14:textId="77777777" w:rsidR="00DD34B4" w:rsidRPr="00292532" w:rsidRDefault="00DD34B4" w:rsidP="002E2E90">
      <w:pPr>
        <w:pStyle w:val="ListParagraph"/>
        <w:numPr>
          <w:ilvl w:val="0"/>
          <w:numId w:val="0"/>
        </w:numPr>
        <w:ind w:left="720"/>
        <w:rPr>
          <w:lang w:val="pt-PT" w:eastAsia="ja-JP"/>
        </w:rPr>
      </w:pPr>
    </w:p>
    <w:p w14:paraId="1D605A8F" w14:textId="702FA926" w:rsidR="00DD34B4" w:rsidRPr="00292532" w:rsidRDefault="00DD34B4" w:rsidP="00DD34B4">
      <w:pPr>
        <w:pStyle w:val="Heading2"/>
      </w:pPr>
      <w:bookmarkStart w:id="716" w:name="_Toc73620216"/>
      <w:bookmarkStart w:id="717" w:name="_Toc73623843"/>
      <w:bookmarkStart w:id="718" w:name="_Toc73624491"/>
      <w:bookmarkStart w:id="719" w:name="_Toc73954626"/>
      <w:bookmarkStart w:id="720" w:name="_Toc75438012"/>
      <w:bookmarkStart w:id="721" w:name="_Toc78435451"/>
      <w:bookmarkStart w:id="722" w:name="_Toc80380121"/>
      <w:r w:rsidRPr="00292532">
        <w:t>Controlo de Emissões e Poeiras</w:t>
      </w:r>
      <w:bookmarkEnd w:id="716"/>
      <w:bookmarkEnd w:id="717"/>
      <w:bookmarkEnd w:id="718"/>
      <w:bookmarkEnd w:id="719"/>
      <w:bookmarkEnd w:id="720"/>
      <w:bookmarkEnd w:id="721"/>
      <w:bookmarkEnd w:id="722"/>
      <w:r w:rsidRPr="00292532">
        <w:t xml:space="preserve"> </w:t>
      </w:r>
    </w:p>
    <w:p w14:paraId="5C0BD05C" w14:textId="3ADBCFEC" w:rsidR="00C87F2C" w:rsidRPr="00292532" w:rsidRDefault="00DD34B4" w:rsidP="00DD34B4">
      <w:pPr>
        <w:rPr>
          <w:lang w:val="pt-PT" w:eastAsia="ja-JP"/>
        </w:rPr>
      </w:pPr>
      <w:r w:rsidRPr="00292532">
        <w:rPr>
          <w:lang w:val="pt-PT" w:eastAsia="ja-JP"/>
        </w:rPr>
        <w:t xml:space="preserve">O </w:t>
      </w:r>
      <w:proofErr w:type="spellStart"/>
      <w:r w:rsidRPr="00292532">
        <w:rPr>
          <w:lang w:val="pt-PT" w:eastAsia="ja-JP"/>
        </w:rPr>
        <w:t>Projecto</w:t>
      </w:r>
      <w:proofErr w:type="spellEnd"/>
      <w:r w:rsidRPr="00292532">
        <w:rPr>
          <w:lang w:val="pt-PT" w:eastAsia="ja-JP"/>
        </w:rPr>
        <w:t>, durante a fase de construção e pré-construção tomará as providências adequadas para o controlo de emissões de poeiras e partículas, incluindo, mas não limitadas às referidas na</w:t>
      </w:r>
      <w:r w:rsidR="000C7BAC" w:rsidRPr="00292532">
        <w:rPr>
          <w:lang w:val="pt-PT" w:eastAsia="ja-JP"/>
        </w:rPr>
        <w:t xml:space="preserve"> </w:t>
      </w:r>
      <w:r w:rsidR="008C11E8" w:rsidRPr="00292532">
        <w:rPr>
          <w:b/>
          <w:bCs/>
          <w:lang w:val="pt-PT" w:eastAsia="ja-JP"/>
        </w:rPr>
        <w:t>Tabela 1,</w:t>
      </w:r>
      <w:r w:rsidRPr="00292532">
        <w:rPr>
          <w:lang w:val="pt-PT" w:eastAsia="ja-JP"/>
        </w:rPr>
        <w:t xml:space="preserve"> abaixo:</w:t>
      </w:r>
    </w:p>
    <w:p w14:paraId="4AAD4738" w14:textId="678C3461" w:rsidR="00C87F2C" w:rsidRPr="00292532" w:rsidRDefault="00C87F2C" w:rsidP="00C87F2C">
      <w:pPr>
        <w:pStyle w:val="Caption"/>
      </w:pPr>
      <w:bookmarkStart w:id="723" w:name="_Ref73378686"/>
      <w:r w:rsidRPr="00292532">
        <w:t>Tabela</w:t>
      </w:r>
      <w:r w:rsidR="008C11E8" w:rsidRPr="00292532">
        <w:t xml:space="preserve"> 1</w:t>
      </w:r>
      <w:bookmarkEnd w:id="723"/>
      <w:r w:rsidRPr="00292532">
        <w:t xml:space="preserve">: Fontes de Emissão Atmosféricas, Medidas e Controlos </w:t>
      </w:r>
    </w:p>
    <w:tbl>
      <w:tblPr>
        <w:tblStyle w:val="GridTable3-Accent5"/>
        <w:tblW w:w="0" w:type="auto"/>
        <w:tblLook w:val="04A0" w:firstRow="1" w:lastRow="0" w:firstColumn="1" w:lastColumn="0" w:noHBand="0" w:noVBand="1"/>
      </w:tblPr>
      <w:tblGrid>
        <w:gridCol w:w="3415"/>
        <w:gridCol w:w="5079"/>
      </w:tblGrid>
      <w:tr w:rsidR="00C87F2C" w:rsidRPr="004E2EAC" w14:paraId="0EFA583C" w14:textId="77777777" w:rsidTr="007A152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415" w:type="dxa"/>
          </w:tcPr>
          <w:p w14:paraId="5A754027" w14:textId="68571B79" w:rsidR="00C87F2C" w:rsidRPr="00292532" w:rsidRDefault="00C87F2C" w:rsidP="00C87F2C">
            <w:pPr>
              <w:pStyle w:val="Caption"/>
              <w:rPr>
                <w:i w:val="0"/>
                <w:iCs/>
                <w:sz w:val="20"/>
                <w:szCs w:val="20"/>
              </w:rPr>
            </w:pPr>
            <w:r w:rsidRPr="00292532">
              <w:rPr>
                <w:sz w:val="20"/>
                <w:szCs w:val="20"/>
              </w:rPr>
              <w:t>Fontes de Emissão</w:t>
            </w:r>
          </w:p>
        </w:tc>
        <w:tc>
          <w:tcPr>
            <w:tcW w:w="5079" w:type="dxa"/>
          </w:tcPr>
          <w:p w14:paraId="5F2AFB5F" w14:textId="3344D9DD" w:rsidR="00C87F2C" w:rsidRPr="00292532" w:rsidRDefault="00C87F2C" w:rsidP="00C87F2C">
            <w:pPr>
              <w:pStyle w:val="Caption"/>
              <w:cnfStyle w:val="100000000000" w:firstRow="1" w:lastRow="0" w:firstColumn="0" w:lastColumn="0" w:oddVBand="0" w:evenVBand="0" w:oddHBand="0" w:evenHBand="0" w:firstRowFirstColumn="0" w:firstRowLastColumn="0" w:lastRowFirstColumn="0" w:lastRowLastColumn="0"/>
              <w:rPr>
                <w:sz w:val="20"/>
                <w:szCs w:val="20"/>
              </w:rPr>
            </w:pPr>
            <w:r w:rsidRPr="00292532">
              <w:rPr>
                <w:sz w:val="20"/>
                <w:szCs w:val="20"/>
              </w:rPr>
              <w:t xml:space="preserve">Controlos e Medidas de Mitigação </w:t>
            </w:r>
          </w:p>
        </w:tc>
      </w:tr>
      <w:tr w:rsidR="00C87F2C" w:rsidRPr="004E2EAC" w14:paraId="478BD974" w14:textId="77777777" w:rsidTr="007A1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vAlign w:val="center"/>
          </w:tcPr>
          <w:p w14:paraId="3517BEC7" w14:textId="2A309159" w:rsidR="00C87F2C" w:rsidRPr="00292532" w:rsidRDefault="000C7BAC">
            <w:pPr>
              <w:pStyle w:val="Caption"/>
              <w:rPr>
                <w:i w:val="0"/>
                <w:iCs/>
                <w:sz w:val="20"/>
                <w:szCs w:val="20"/>
              </w:rPr>
            </w:pPr>
            <w:r w:rsidRPr="00292532">
              <w:rPr>
                <w:sz w:val="20"/>
                <w:szCs w:val="20"/>
              </w:rPr>
              <w:t>Limpeza, desmatações, escavações e exposição de superfícies</w:t>
            </w:r>
          </w:p>
        </w:tc>
        <w:tc>
          <w:tcPr>
            <w:tcW w:w="5079" w:type="dxa"/>
          </w:tcPr>
          <w:p w14:paraId="4283E06B" w14:textId="05826489" w:rsidR="000C7BAC" w:rsidRPr="00292532" w:rsidRDefault="000C7BAC" w:rsidP="007A1525">
            <w:pPr>
              <w:pStyle w:val="ListParagraph"/>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rPr>
              <w:t xml:space="preserve">Sempre que praticável, </w:t>
            </w:r>
            <w:proofErr w:type="spellStart"/>
            <w:r w:rsidRPr="00292532">
              <w:rPr>
                <w:sz w:val="20"/>
                <w:szCs w:val="20"/>
                <w:lang w:val="pt-PT"/>
              </w:rPr>
              <w:t>revegetação</w:t>
            </w:r>
            <w:proofErr w:type="spellEnd"/>
            <w:r w:rsidRPr="00292532">
              <w:rPr>
                <w:sz w:val="20"/>
                <w:szCs w:val="20"/>
                <w:lang w:val="pt-PT"/>
              </w:rPr>
              <w:t xml:space="preserve">, compactação e estabilização dos solos </w:t>
            </w:r>
            <w:proofErr w:type="spellStart"/>
            <w:r w:rsidRPr="00292532">
              <w:rPr>
                <w:sz w:val="20"/>
                <w:szCs w:val="20"/>
                <w:lang w:val="pt-PT"/>
              </w:rPr>
              <w:t>afectados</w:t>
            </w:r>
            <w:proofErr w:type="spellEnd"/>
          </w:p>
          <w:p w14:paraId="1E4C4E1E" w14:textId="1DC46794" w:rsidR="000C7BAC" w:rsidRPr="00292532" w:rsidRDefault="000C7BAC" w:rsidP="000C7BAC">
            <w:pPr>
              <w:pStyle w:val="ListParagraph"/>
              <w:cnfStyle w:val="000000100000" w:firstRow="0" w:lastRow="0" w:firstColumn="0" w:lastColumn="0" w:oddVBand="0" w:evenVBand="0" w:oddHBand="1" w:evenHBand="0" w:firstRowFirstColumn="0" w:firstRowLastColumn="0" w:lastRowFirstColumn="0" w:lastRowLastColumn="0"/>
              <w:rPr>
                <w:b/>
                <w:sz w:val="20"/>
                <w:szCs w:val="20"/>
                <w:lang w:val="pt-PT"/>
              </w:rPr>
            </w:pPr>
            <w:r w:rsidRPr="00292532">
              <w:rPr>
                <w:sz w:val="20"/>
                <w:szCs w:val="20"/>
                <w:lang w:val="pt-PT" w:eastAsia="ja-JP"/>
              </w:rPr>
              <w:t>Uso de água</w:t>
            </w:r>
            <w:r w:rsidR="003F09DC" w:rsidRPr="00292532">
              <w:rPr>
                <w:sz w:val="20"/>
                <w:szCs w:val="20"/>
                <w:lang w:val="pt-PT" w:eastAsia="ja-JP"/>
              </w:rPr>
              <w:t xml:space="preserve"> nas superfícies </w:t>
            </w:r>
            <w:r w:rsidR="00292532" w:rsidRPr="00292532">
              <w:rPr>
                <w:sz w:val="20"/>
                <w:szCs w:val="20"/>
                <w:lang w:val="pt-PT" w:eastAsia="ja-JP"/>
              </w:rPr>
              <w:t>expostas</w:t>
            </w:r>
            <w:r w:rsidRPr="00292532">
              <w:rPr>
                <w:sz w:val="20"/>
                <w:szCs w:val="20"/>
                <w:lang w:val="pt-PT" w:eastAsia="ja-JP"/>
              </w:rPr>
              <w:t xml:space="preserve"> para eliminação de poeiras</w:t>
            </w:r>
            <w:r w:rsidR="003F09DC" w:rsidRPr="00292532">
              <w:rPr>
                <w:sz w:val="20"/>
                <w:szCs w:val="20"/>
                <w:lang w:val="pt-PT" w:eastAsia="ja-JP"/>
              </w:rPr>
              <w:t xml:space="preserve"> e aumento da humidade</w:t>
            </w:r>
          </w:p>
          <w:p w14:paraId="477F8FAC" w14:textId="314773BC" w:rsidR="003F09DC" w:rsidRPr="00292532" w:rsidRDefault="003F09DC" w:rsidP="003F09DC">
            <w:pPr>
              <w:pStyle w:val="ListParagraph"/>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lastRenderedPageBreak/>
              <w:t>A frequência da supressão da poeira deve ser acrescida durante a época seca e no inverno</w:t>
            </w:r>
          </w:p>
          <w:p w14:paraId="6AFEAEFC" w14:textId="1D2FC785" w:rsidR="003F09DC" w:rsidRPr="00292532" w:rsidRDefault="003F09DC" w:rsidP="007A1525">
            <w:pPr>
              <w:pStyle w:val="ListParagraph"/>
              <w:cnfStyle w:val="000000100000" w:firstRow="0" w:lastRow="0" w:firstColumn="0" w:lastColumn="0" w:oddVBand="0" w:evenVBand="0" w:oddHBand="1" w:evenHBand="0" w:firstRowFirstColumn="0" w:firstRowLastColumn="0" w:lastRowFirstColumn="0" w:lastRowLastColumn="0"/>
              <w:rPr>
                <w:sz w:val="20"/>
                <w:szCs w:val="20"/>
                <w:lang w:val="pt-PT"/>
              </w:rPr>
            </w:pPr>
            <w:r w:rsidRPr="00292532">
              <w:rPr>
                <w:sz w:val="20"/>
                <w:szCs w:val="20"/>
                <w:lang w:val="pt-PT" w:eastAsia="ja-JP"/>
              </w:rPr>
              <w:t>Minimização, na medida do possível, das áreas de solo expostas</w:t>
            </w:r>
          </w:p>
        </w:tc>
      </w:tr>
      <w:tr w:rsidR="00C87F2C" w:rsidRPr="004E2EAC" w14:paraId="62CC14F5" w14:textId="77777777" w:rsidTr="007A1525">
        <w:tc>
          <w:tcPr>
            <w:cnfStyle w:val="001000000000" w:firstRow="0" w:lastRow="0" w:firstColumn="1" w:lastColumn="0" w:oddVBand="0" w:evenVBand="0" w:oddHBand="0" w:evenHBand="0" w:firstRowFirstColumn="0" w:firstRowLastColumn="0" w:lastRowFirstColumn="0" w:lastRowLastColumn="0"/>
            <w:tcW w:w="3415" w:type="dxa"/>
            <w:vAlign w:val="center"/>
          </w:tcPr>
          <w:p w14:paraId="5B222429" w14:textId="6071420C" w:rsidR="00C87F2C" w:rsidRPr="00292532" w:rsidRDefault="000C7BAC">
            <w:pPr>
              <w:pStyle w:val="Caption"/>
              <w:rPr>
                <w:i w:val="0"/>
                <w:iCs/>
                <w:sz w:val="20"/>
                <w:szCs w:val="20"/>
              </w:rPr>
            </w:pPr>
            <w:r w:rsidRPr="00292532">
              <w:rPr>
                <w:sz w:val="20"/>
                <w:szCs w:val="20"/>
              </w:rPr>
              <w:lastRenderedPageBreak/>
              <w:t>Tráfego rodoviário e manuseamento de maquinaria</w:t>
            </w:r>
          </w:p>
        </w:tc>
        <w:tc>
          <w:tcPr>
            <w:tcW w:w="5079" w:type="dxa"/>
          </w:tcPr>
          <w:p w14:paraId="06BA7BAC" w14:textId="5655FA66" w:rsidR="003F09DC" w:rsidRPr="00292532" w:rsidRDefault="003F09DC" w:rsidP="007A1525">
            <w:pPr>
              <w:pStyle w:val="ListParagraph"/>
              <w:cnfStyle w:val="000000000000" w:firstRow="0" w:lastRow="0" w:firstColumn="0" w:lastColumn="0" w:oddVBand="0" w:evenVBand="0" w:oddHBand="0" w:evenHBand="0" w:firstRowFirstColumn="0" w:firstRowLastColumn="0" w:lastRowFirstColumn="0" w:lastRowLastColumn="0"/>
              <w:rPr>
                <w:b/>
                <w:sz w:val="20"/>
                <w:szCs w:val="20"/>
                <w:lang w:val="pt-PT"/>
              </w:rPr>
            </w:pPr>
            <w:r w:rsidRPr="00292532">
              <w:rPr>
                <w:sz w:val="20"/>
                <w:szCs w:val="20"/>
                <w:lang w:val="pt-PT" w:eastAsia="ja-JP"/>
              </w:rPr>
              <w:t xml:space="preserve">Implementar as </w:t>
            </w:r>
            <w:proofErr w:type="spellStart"/>
            <w:r w:rsidRPr="00292532">
              <w:rPr>
                <w:sz w:val="20"/>
                <w:szCs w:val="20"/>
                <w:lang w:val="pt-PT" w:eastAsia="ja-JP"/>
              </w:rPr>
              <w:t>directrizes</w:t>
            </w:r>
            <w:proofErr w:type="spellEnd"/>
            <w:r w:rsidRPr="00292532">
              <w:rPr>
                <w:sz w:val="20"/>
                <w:szCs w:val="20"/>
                <w:lang w:val="pt-PT" w:eastAsia="ja-JP"/>
              </w:rPr>
              <w:t xml:space="preserve"> de gestão de tráfego (</w:t>
            </w:r>
            <w:r w:rsidRPr="00292532">
              <w:rPr>
                <w:b/>
                <w:bCs/>
                <w:sz w:val="20"/>
                <w:szCs w:val="20"/>
                <w:lang w:val="pt-PT" w:eastAsia="ja-JP"/>
              </w:rPr>
              <w:t xml:space="preserve">Anexo </w:t>
            </w:r>
            <w:r w:rsidR="00A9374D" w:rsidRPr="00292532">
              <w:rPr>
                <w:b/>
                <w:bCs/>
                <w:sz w:val="20"/>
                <w:szCs w:val="20"/>
                <w:lang w:val="pt-PT" w:eastAsia="ja-JP"/>
              </w:rPr>
              <w:t>1</w:t>
            </w:r>
            <w:r w:rsidR="00817F0F" w:rsidRPr="00292532">
              <w:rPr>
                <w:b/>
                <w:bCs/>
                <w:sz w:val="20"/>
                <w:szCs w:val="20"/>
                <w:lang w:val="pt-PT" w:eastAsia="ja-JP"/>
              </w:rPr>
              <w:t>0</w:t>
            </w:r>
            <w:r w:rsidRPr="00292532">
              <w:rPr>
                <w:b/>
                <w:bCs/>
                <w:sz w:val="20"/>
                <w:szCs w:val="20"/>
                <w:lang w:val="pt-PT" w:eastAsia="ja-JP"/>
              </w:rPr>
              <w:t>)</w:t>
            </w:r>
          </w:p>
          <w:p w14:paraId="1AF0D566" w14:textId="4D05F316" w:rsidR="000C7BAC" w:rsidRPr="00292532" w:rsidRDefault="000C7BAC" w:rsidP="007A1525">
            <w:pPr>
              <w:pStyle w:val="ListParagraph"/>
              <w:cnfStyle w:val="000000000000" w:firstRow="0" w:lastRow="0" w:firstColumn="0" w:lastColumn="0" w:oddVBand="0" w:evenVBand="0" w:oddHBand="0" w:evenHBand="0" w:firstRowFirstColumn="0" w:firstRowLastColumn="0" w:lastRowFirstColumn="0" w:lastRowLastColumn="0"/>
              <w:rPr>
                <w:b/>
                <w:sz w:val="20"/>
                <w:szCs w:val="20"/>
                <w:lang w:val="pt-PT"/>
              </w:rPr>
            </w:pPr>
            <w:r w:rsidRPr="00292532">
              <w:rPr>
                <w:sz w:val="20"/>
                <w:szCs w:val="20"/>
                <w:lang w:val="pt-PT" w:eastAsia="ja-JP"/>
              </w:rPr>
              <w:t>Os veículos e maquinaria devem ser desligados quando não se encontrarem em utilização</w:t>
            </w:r>
          </w:p>
          <w:p w14:paraId="05B9003D" w14:textId="00DD1615" w:rsidR="003F09DC" w:rsidRPr="00292532" w:rsidRDefault="003F09DC" w:rsidP="007A1525">
            <w:pPr>
              <w:pStyle w:val="ListParagraph"/>
              <w:cnfStyle w:val="000000000000" w:firstRow="0" w:lastRow="0" w:firstColumn="0" w:lastColumn="0" w:oddVBand="0" w:evenVBand="0" w:oddHBand="0" w:evenHBand="0" w:firstRowFirstColumn="0" w:firstRowLastColumn="0" w:lastRowFirstColumn="0" w:lastRowLastColumn="0"/>
              <w:rPr>
                <w:b/>
                <w:sz w:val="20"/>
                <w:szCs w:val="20"/>
                <w:lang w:val="pt-PT"/>
              </w:rPr>
            </w:pPr>
            <w:r w:rsidRPr="00292532">
              <w:rPr>
                <w:sz w:val="20"/>
                <w:szCs w:val="20"/>
                <w:lang w:val="pt-PT" w:eastAsia="ja-JP"/>
              </w:rPr>
              <w:t xml:space="preserve">Aplicação de princípios de melhores técnicas disponíveis, especificações de emissões gasosas e energéticos na </w:t>
            </w:r>
            <w:proofErr w:type="spellStart"/>
            <w:r w:rsidRPr="00292532">
              <w:rPr>
                <w:sz w:val="20"/>
                <w:szCs w:val="20"/>
                <w:lang w:val="pt-PT" w:eastAsia="ja-JP"/>
              </w:rPr>
              <w:t>selecção</w:t>
            </w:r>
            <w:proofErr w:type="spellEnd"/>
            <w:r w:rsidRPr="00292532">
              <w:rPr>
                <w:sz w:val="20"/>
                <w:szCs w:val="20"/>
                <w:lang w:val="pt-PT" w:eastAsia="ja-JP"/>
              </w:rPr>
              <w:t xml:space="preserve"> e aquisição de equipamento</w:t>
            </w:r>
          </w:p>
          <w:p w14:paraId="5B8720FF" w14:textId="784B6E8D" w:rsidR="003F09DC" w:rsidRPr="00292532" w:rsidRDefault="003F09DC" w:rsidP="007A1525">
            <w:pPr>
              <w:pStyle w:val="ListParagraph"/>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292532">
              <w:rPr>
                <w:sz w:val="20"/>
                <w:szCs w:val="20"/>
                <w:lang w:val="pt-PT" w:eastAsia="ja-JP"/>
              </w:rPr>
              <w:t>Verificações de manutenção regular e mantidos registos em todos os veículos e maquinaria</w:t>
            </w:r>
          </w:p>
          <w:p w14:paraId="6A09C501" w14:textId="35BB7A90" w:rsidR="003F09DC" w:rsidRPr="00292532" w:rsidRDefault="003F09DC" w:rsidP="007A1525">
            <w:pPr>
              <w:pStyle w:val="ListParagraph"/>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292532">
              <w:rPr>
                <w:sz w:val="20"/>
                <w:szCs w:val="20"/>
                <w:lang w:val="pt-PT" w:eastAsia="ja-JP"/>
              </w:rPr>
              <w:t xml:space="preserve">Planeamento de </w:t>
            </w:r>
            <w:proofErr w:type="spellStart"/>
            <w:r w:rsidRPr="00292532">
              <w:rPr>
                <w:sz w:val="20"/>
                <w:szCs w:val="20"/>
                <w:lang w:val="pt-PT" w:eastAsia="ja-JP"/>
              </w:rPr>
              <w:t>actividades</w:t>
            </w:r>
            <w:proofErr w:type="spellEnd"/>
            <w:r w:rsidRPr="00292532">
              <w:rPr>
                <w:sz w:val="20"/>
                <w:szCs w:val="20"/>
                <w:lang w:val="pt-PT" w:eastAsia="ja-JP"/>
              </w:rPr>
              <w:t xml:space="preserve"> para minimizar o uso de veículos e maquinaria.</w:t>
            </w:r>
            <w:r w:rsidR="004421BC">
              <w:rPr>
                <w:sz w:val="20"/>
                <w:szCs w:val="20"/>
                <w:lang w:val="pt-PT" w:eastAsia="ja-JP"/>
              </w:rPr>
              <w:t xml:space="preserve"> A circulação de </w:t>
            </w:r>
            <w:r w:rsidR="00033BD3">
              <w:rPr>
                <w:sz w:val="20"/>
                <w:szCs w:val="20"/>
                <w:lang w:val="pt-PT" w:eastAsia="ja-JP"/>
              </w:rPr>
              <w:t xml:space="preserve">maquinaria pesada </w:t>
            </w:r>
            <w:r w:rsidR="004421BC">
              <w:rPr>
                <w:sz w:val="20"/>
                <w:szCs w:val="20"/>
                <w:lang w:val="pt-PT" w:eastAsia="ja-JP"/>
              </w:rPr>
              <w:t xml:space="preserve">deve ser </w:t>
            </w:r>
            <w:r w:rsidR="00033BD3">
              <w:rPr>
                <w:sz w:val="20"/>
                <w:szCs w:val="20"/>
                <w:lang w:val="pt-PT" w:eastAsia="ja-JP"/>
              </w:rPr>
              <w:t>guiada</w:t>
            </w:r>
            <w:r w:rsidR="004421BC">
              <w:rPr>
                <w:sz w:val="20"/>
                <w:szCs w:val="20"/>
                <w:lang w:val="pt-PT" w:eastAsia="ja-JP"/>
              </w:rPr>
              <w:t xml:space="preserve"> por um sinaleiro ou sinaleira para prevenir acidentes.</w:t>
            </w:r>
          </w:p>
          <w:p w14:paraId="13D7A68F" w14:textId="5454AAC4" w:rsidR="003F09DC" w:rsidRPr="004500AE" w:rsidRDefault="003F09DC" w:rsidP="007A1525">
            <w:pPr>
              <w:pStyle w:val="ListParagraph"/>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4500AE">
              <w:rPr>
                <w:sz w:val="20"/>
                <w:szCs w:val="20"/>
                <w:lang w:val="pt-PT" w:eastAsia="ja-JP"/>
              </w:rPr>
              <w:t>Implementação de limites de velocidade</w:t>
            </w:r>
            <w:r w:rsidR="00033BD3">
              <w:rPr>
                <w:sz w:val="20"/>
                <w:szCs w:val="20"/>
                <w:lang w:val="pt-PT" w:eastAsia="ja-JP"/>
              </w:rPr>
              <w:t xml:space="preserve"> (20 km</w:t>
            </w:r>
            <w:r w:rsidR="00033BD3" w:rsidRPr="00941934">
              <w:rPr>
                <w:sz w:val="20"/>
                <w:szCs w:val="20"/>
                <w:lang w:val="pt-PT" w:eastAsia="ja-JP"/>
              </w:rPr>
              <w:t>/</w:t>
            </w:r>
            <w:r w:rsidR="00033BD3">
              <w:rPr>
                <w:sz w:val="20"/>
                <w:szCs w:val="20"/>
                <w:lang w:val="pt-PT" w:eastAsia="ja-JP"/>
              </w:rPr>
              <w:t>h dentro do local da construção, 30 km/h nas vilas e localidade, e 80 km/h em outras estradas.</w:t>
            </w:r>
          </w:p>
          <w:p w14:paraId="531D84B4" w14:textId="3CA4C4AC" w:rsidR="003F09DC" w:rsidRPr="00292532" w:rsidRDefault="003F09DC" w:rsidP="007A1525">
            <w:pPr>
              <w:pStyle w:val="ListParagraph"/>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292532">
              <w:rPr>
                <w:sz w:val="20"/>
                <w:szCs w:val="20"/>
                <w:lang w:val="pt-PT" w:eastAsia="ja-JP"/>
              </w:rPr>
              <w:t>Deve ser mantido um registo dos condutores com formação</w:t>
            </w:r>
          </w:p>
          <w:p w14:paraId="47D21DBF" w14:textId="0DE96454" w:rsidR="000C7BAC" w:rsidRPr="00292532" w:rsidRDefault="003F09DC" w:rsidP="007A1525">
            <w:pPr>
              <w:pStyle w:val="ListParagraph"/>
              <w:cnfStyle w:val="000000000000" w:firstRow="0" w:lastRow="0" w:firstColumn="0" w:lastColumn="0" w:oddVBand="0" w:evenVBand="0" w:oddHBand="0" w:evenHBand="0" w:firstRowFirstColumn="0" w:firstRowLastColumn="0" w:lastRowFirstColumn="0" w:lastRowLastColumn="0"/>
              <w:rPr>
                <w:sz w:val="20"/>
                <w:szCs w:val="20"/>
                <w:lang w:val="pt-PT"/>
              </w:rPr>
            </w:pPr>
            <w:r w:rsidRPr="00292532">
              <w:rPr>
                <w:sz w:val="20"/>
                <w:szCs w:val="20"/>
                <w:lang w:val="pt-PT" w:eastAsia="ja-JP"/>
              </w:rPr>
              <w:t>Realização de campanhas de consciencialização sobre condução defensiva</w:t>
            </w:r>
          </w:p>
        </w:tc>
      </w:tr>
      <w:tr w:rsidR="00C87F2C" w:rsidRPr="004E2EAC" w14:paraId="6C3AE96C" w14:textId="77777777" w:rsidTr="007A1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vAlign w:val="center"/>
          </w:tcPr>
          <w:p w14:paraId="4A4CDC69" w14:textId="2444CCD7" w:rsidR="00C87F2C" w:rsidRPr="00292532" w:rsidRDefault="000C7BAC">
            <w:pPr>
              <w:pStyle w:val="Caption"/>
              <w:rPr>
                <w:i w:val="0"/>
                <w:iCs/>
                <w:sz w:val="20"/>
                <w:szCs w:val="20"/>
              </w:rPr>
            </w:pPr>
            <w:r w:rsidRPr="00292532">
              <w:rPr>
                <w:sz w:val="20"/>
                <w:szCs w:val="20"/>
              </w:rPr>
              <w:t>Carregamento e transporte de material</w:t>
            </w:r>
          </w:p>
        </w:tc>
        <w:tc>
          <w:tcPr>
            <w:tcW w:w="5079" w:type="dxa"/>
          </w:tcPr>
          <w:p w14:paraId="4F4B8FBD" w14:textId="5B662981" w:rsidR="00C87F2C" w:rsidRPr="00292532" w:rsidRDefault="000C7BAC" w:rsidP="007A1525">
            <w:pPr>
              <w:pStyle w:val="ListParagraph"/>
              <w:cnfStyle w:val="000000100000" w:firstRow="0" w:lastRow="0" w:firstColumn="0" w:lastColumn="0" w:oddVBand="0" w:evenVBand="0" w:oddHBand="1" w:evenHBand="0" w:firstRowFirstColumn="0" w:firstRowLastColumn="0" w:lastRowFirstColumn="0" w:lastRowLastColumn="0"/>
              <w:rPr>
                <w:b/>
                <w:sz w:val="20"/>
                <w:szCs w:val="20"/>
                <w:lang w:val="pt-PT"/>
              </w:rPr>
            </w:pPr>
            <w:r w:rsidRPr="00292532">
              <w:rPr>
                <w:sz w:val="20"/>
                <w:szCs w:val="20"/>
                <w:lang w:val="pt-PT" w:eastAsia="ja-JP"/>
              </w:rPr>
              <w:t>Os camiões de transporte de materiais inertes deverão ser providos de uma cobertura, quando em trânsito, especialmente quando estes estiverem a circular em zonas com povoações e trechos críticos</w:t>
            </w:r>
          </w:p>
          <w:p w14:paraId="0AEE984D" w14:textId="0087CDC5" w:rsidR="003F09DC" w:rsidRPr="00292532" w:rsidRDefault="003F09DC" w:rsidP="007A1525">
            <w:pPr>
              <w:pStyle w:val="ListParagraph"/>
              <w:cnfStyle w:val="000000100000" w:firstRow="0" w:lastRow="0" w:firstColumn="0" w:lastColumn="0" w:oddVBand="0" w:evenVBand="0" w:oddHBand="1" w:evenHBand="0" w:firstRowFirstColumn="0" w:firstRowLastColumn="0" w:lastRowFirstColumn="0" w:lastRowLastColumn="0"/>
              <w:rPr>
                <w:b/>
                <w:sz w:val="20"/>
                <w:szCs w:val="20"/>
                <w:lang w:val="pt-PT"/>
              </w:rPr>
            </w:pPr>
            <w:r w:rsidRPr="00292532">
              <w:rPr>
                <w:sz w:val="20"/>
                <w:szCs w:val="20"/>
                <w:lang w:val="pt-PT" w:eastAsia="ja-JP"/>
              </w:rPr>
              <w:t xml:space="preserve">Proceder à limpeza dos veículos antes de se fazerem à estrada, designadamente, usando uma rede com pulverizadores de água para remover o material das partes laterais e inferiores dos camiões </w:t>
            </w:r>
          </w:p>
          <w:p w14:paraId="01B08715" w14:textId="48430CB6" w:rsidR="000C7BAC" w:rsidRPr="00292532" w:rsidRDefault="000C7BAC" w:rsidP="007A1525">
            <w:pPr>
              <w:pStyle w:val="ListParagraph"/>
              <w:cnfStyle w:val="000000100000" w:firstRow="0" w:lastRow="0" w:firstColumn="0" w:lastColumn="0" w:oddVBand="0" w:evenVBand="0" w:oddHBand="1" w:evenHBand="0" w:firstRowFirstColumn="0" w:firstRowLastColumn="0" w:lastRowFirstColumn="0" w:lastRowLastColumn="0"/>
              <w:rPr>
                <w:sz w:val="20"/>
                <w:szCs w:val="20"/>
                <w:lang w:val="pt-PT"/>
              </w:rPr>
            </w:pPr>
          </w:p>
        </w:tc>
      </w:tr>
    </w:tbl>
    <w:p w14:paraId="23572C27" w14:textId="61F02F75" w:rsidR="00C87F2C" w:rsidRPr="00292532" w:rsidRDefault="00C87F2C" w:rsidP="00C87F2C">
      <w:pPr>
        <w:pStyle w:val="Caption"/>
      </w:pPr>
    </w:p>
    <w:p w14:paraId="56597E55" w14:textId="77777777" w:rsidR="00C0116D" w:rsidRPr="00292532" w:rsidRDefault="00C0116D" w:rsidP="007A1525">
      <w:pPr>
        <w:rPr>
          <w:b/>
          <w:iCs/>
          <w:lang w:val="pt-PT"/>
        </w:rPr>
      </w:pPr>
    </w:p>
    <w:p w14:paraId="6854A85B" w14:textId="32FAAFAF" w:rsidR="00C0116D" w:rsidRPr="00292532" w:rsidRDefault="00C0116D" w:rsidP="00C0116D">
      <w:pPr>
        <w:pStyle w:val="Heading2"/>
      </w:pPr>
      <w:bookmarkStart w:id="724" w:name="_Toc73620217"/>
      <w:bookmarkStart w:id="725" w:name="_Toc73623844"/>
      <w:bookmarkStart w:id="726" w:name="_Toc73624492"/>
      <w:bookmarkStart w:id="727" w:name="_Toc73954627"/>
      <w:bookmarkStart w:id="728" w:name="_Toc75438013"/>
      <w:bookmarkStart w:id="729" w:name="_Toc78435452"/>
      <w:bookmarkStart w:id="730" w:name="_Toc80380122"/>
      <w:r w:rsidRPr="00292532">
        <w:t>Gestão de Resíduos Sólidos e Efluentes</w:t>
      </w:r>
      <w:bookmarkEnd w:id="724"/>
      <w:bookmarkEnd w:id="725"/>
      <w:bookmarkEnd w:id="726"/>
      <w:bookmarkEnd w:id="727"/>
      <w:bookmarkEnd w:id="728"/>
      <w:bookmarkEnd w:id="729"/>
      <w:bookmarkEnd w:id="730"/>
      <w:r w:rsidRPr="00292532">
        <w:t xml:space="preserve"> </w:t>
      </w:r>
    </w:p>
    <w:p w14:paraId="06DCDBFD" w14:textId="5A6A0356" w:rsidR="00C0116D" w:rsidRPr="00292532" w:rsidRDefault="006E5284">
      <w:pPr>
        <w:pStyle w:val="Heading3"/>
        <w:rPr>
          <w:lang w:eastAsia="ja-JP"/>
        </w:rPr>
      </w:pPr>
      <w:bookmarkStart w:id="731" w:name="_Toc73620218"/>
      <w:bookmarkStart w:id="732" w:name="_Toc73623845"/>
      <w:bookmarkStart w:id="733" w:name="_Toc73624493"/>
      <w:bookmarkStart w:id="734" w:name="_Toc73954628"/>
      <w:bookmarkStart w:id="735" w:name="_Toc75438014"/>
      <w:bookmarkStart w:id="736" w:name="_Toc78435453"/>
      <w:bookmarkStart w:id="737" w:name="_Toc80380123"/>
      <w:r w:rsidRPr="00292532">
        <w:rPr>
          <w:lang w:eastAsia="ja-JP"/>
        </w:rPr>
        <w:t>Plano de Gestão de Resíduos</w:t>
      </w:r>
      <w:bookmarkEnd w:id="731"/>
      <w:bookmarkEnd w:id="732"/>
      <w:bookmarkEnd w:id="733"/>
      <w:bookmarkEnd w:id="734"/>
      <w:bookmarkEnd w:id="735"/>
      <w:bookmarkEnd w:id="736"/>
      <w:bookmarkEnd w:id="737"/>
      <w:r w:rsidRPr="00292532">
        <w:rPr>
          <w:lang w:eastAsia="ja-JP"/>
        </w:rPr>
        <w:t xml:space="preserve"> </w:t>
      </w:r>
    </w:p>
    <w:p w14:paraId="206475A8" w14:textId="67B200C3" w:rsidR="006E5284" w:rsidRPr="00292532" w:rsidRDefault="006E5284" w:rsidP="006E5284">
      <w:pPr>
        <w:rPr>
          <w:lang w:val="pt-PT" w:eastAsia="ja-JP"/>
        </w:rPr>
      </w:pPr>
      <w:r w:rsidRPr="00292532">
        <w:rPr>
          <w:lang w:val="pt-PT" w:eastAsia="ja-JP"/>
        </w:rPr>
        <w:t xml:space="preserve">Planos de Gestão de Resíduos serão elaborados para cada subprojecto ou para grupos de subprojectos. Estes Planos devem ser elaborados pelos empreiteiros responsáveis pela execução das obras. Planos de Gestão de Resíduos poderão igualmente ser elaborados no âmbito do processo de licenciamento ambiental integrados aos Relatórios de Estudo de Impacto Ambiental (REIA). </w:t>
      </w:r>
    </w:p>
    <w:p w14:paraId="2FF39066" w14:textId="32D434FF" w:rsidR="006E5284" w:rsidRPr="00292532" w:rsidRDefault="006E5284" w:rsidP="006E5284">
      <w:pPr>
        <w:rPr>
          <w:lang w:val="pt-PT" w:eastAsia="ja-JP"/>
        </w:rPr>
      </w:pPr>
      <w:r w:rsidRPr="00292532">
        <w:rPr>
          <w:lang w:val="pt-PT" w:eastAsia="ja-JP"/>
        </w:rPr>
        <w:t xml:space="preserve">Os planos devem estabelecer as medidas específicas e requisitos para a recolha, separação, tratamento, armazenamento temporário, transporte e eliminação final de resíduos e efluentes e devem ser elaborados em conformidade com a legislação relevante, especificamente, o Regulamento sobre Gestão de Resíduos Perigosos (Decreto nº 83/2014) e o Regulamento sobre Gestão de Resíduos Urbanos (Decreto nº 94/2014). </w:t>
      </w:r>
    </w:p>
    <w:p w14:paraId="545F9024" w14:textId="4A74B49A" w:rsidR="006E5284" w:rsidRPr="00292532" w:rsidRDefault="006E5284">
      <w:pPr>
        <w:pStyle w:val="Heading3"/>
        <w:rPr>
          <w:lang w:eastAsia="ja-JP"/>
        </w:rPr>
      </w:pPr>
      <w:bookmarkStart w:id="738" w:name="_Toc73620219"/>
      <w:bookmarkStart w:id="739" w:name="_Toc73623846"/>
      <w:bookmarkStart w:id="740" w:name="_Toc73624494"/>
      <w:bookmarkStart w:id="741" w:name="_Toc73954629"/>
      <w:bookmarkStart w:id="742" w:name="_Toc75438015"/>
      <w:bookmarkStart w:id="743" w:name="_Toc78435454"/>
      <w:bookmarkStart w:id="744" w:name="_Toc80380124"/>
      <w:r w:rsidRPr="00292532">
        <w:rPr>
          <w:lang w:eastAsia="ja-JP"/>
        </w:rPr>
        <w:lastRenderedPageBreak/>
        <w:t>Estimativa de Efluentes e Inventário de Resíduos</w:t>
      </w:r>
      <w:bookmarkEnd w:id="738"/>
      <w:bookmarkEnd w:id="739"/>
      <w:bookmarkEnd w:id="740"/>
      <w:bookmarkEnd w:id="741"/>
      <w:bookmarkEnd w:id="742"/>
      <w:bookmarkEnd w:id="743"/>
      <w:bookmarkEnd w:id="744"/>
      <w:r w:rsidRPr="00292532">
        <w:rPr>
          <w:lang w:eastAsia="ja-JP"/>
        </w:rPr>
        <w:t xml:space="preserve"> </w:t>
      </w:r>
    </w:p>
    <w:p w14:paraId="2CEDF232" w14:textId="6658DC56" w:rsidR="006E5284" w:rsidRPr="00292532" w:rsidRDefault="006E5284" w:rsidP="006E5284">
      <w:pPr>
        <w:rPr>
          <w:lang w:val="pt-PT" w:eastAsia="ja-JP"/>
        </w:rPr>
      </w:pPr>
      <w:r w:rsidRPr="00292532">
        <w:rPr>
          <w:lang w:val="pt-PT" w:eastAsia="ja-JP"/>
        </w:rPr>
        <w:t xml:space="preserve">Durante a fase de concurso para a empreitada das obras o empreiteiro deverá submeter um inventário dos resíduos (perigosos e não perigosos) previstos a serem gerados durante a execução das obras. </w:t>
      </w:r>
    </w:p>
    <w:p w14:paraId="710AACAC" w14:textId="77777777" w:rsidR="000911A4" w:rsidRPr="00292532" w:rsidRDefault="006E5284" w:rsidP="006E5284">
      <w:pPr>
        <w:rPr>
          <w:lang w:val="pt-PT" w:eastAsia="ja-JP"/>
        </w:rPr>
      </w:pPr>
      <w:r w:rsidRPr="00292532">
        <w:rPr>
          <w:lang w:val="pt-PT" w:eastAsia="ja-JP"/>
        </w:rPr>
        <w:t>De igual modo, as estimativas dos volumes de efluentes a serem gerados</w:t>
      </w:r>
      <w:r w:rsidR="000911A4" w:rsidRPr="00292532">
        <w:rPr>
          <w:lang w:val="pt-PT" w:eastAsia="ja-JP"/>
        </w:rPr>
        <w:t xml:space="preserve"> devem ser fornecidas. Estas podem ser calculadas com base na experiência e volume da mão-de-obra esperado.</w:t>
      </w:r>
    </w:p>
    <w:p w14:paraId="2DB3C611" w14:textId="15899AFB" w:rsidR="000911A4" w:rsidRPr="00292532" w:rsidRDefault="000911A4" w:rsidP="006E5284">
      <w:pPr>
        <w:rPr>
          <w:lang w:val="pt-PT" w:eastAsia="ja-JP"/>
        </w:rPr>
      </w:pPr>
      <w:r w:rsidRPr="00292532">
        <w:rPr>
          <w:lang w:val="pt-PT" w:eastAsia="ja-JP"/>
        </w:rPr>
        <w:t xml:space="preserve">Juntamente com as estimativas, o empreiteiro deverá informar sobre o método de tratamento a ser </w:t>
      </w:r>
      <w:proofErr w:type="spellStart"/>
      <w:r w:rsidRPr="00292532">
        <w:rPr>
          <w:lang w:val="pt-PT" w:eastAsia="ja-JP"/>
        </w:rPr>
        <w:t>adoptado</w:t>
      </w:r>
      <w:proofErr w:type="spellEnd"/>
      <w:r w:rsidRPr="00292532">
        <w:rPr>
          <w:lang w:val="pt-PT" w:eastAsia="ja-JP"/>
        </w:rPr>
        <w:t xml:space="preserve"> e instalações a serem utilizadas para o tratamento e deposição final dos resíduos. </w:t>
      </w:r>
    </w:p>
    <w:p w14:paraId="7A09CC5F" w14:textId="2D654200" w:rsidR="006E5284" w:rsidRPr="00292532" w:rsidRDefault="000911A4">
      <w:pPr>
        <w:pStyle w:val="Heading3"/>
        <w:rPr>
          <w:lang w:eastAsia="ja-JP"/>
        </w:rPr>
      </w:pPr>
      <w:r w:rsidRPr="00292532">
        <w:rPr>
          <w:lang w:eastAsia="ja-JP"/>
        </w:rPr>
        <w:t xml:space="preserve"> </w:t>
      </w:r>
      <w:bookmarkStart w:id="745" w:name="_Toc73620220"/>
      <w:bookmarkStart w:id="746" w:name="_Toc73623847"/>
      <w:bookmarkStart w:id="747" w:name="_Toc73624495"/>
      <w:bookmarkStart w:id="748" w:name="_Toc73954630"/>
      <w:bookmarkStart w:id="749" w:name="_Toc75438016"/>
      <w:bookmarkStart w:id="750" w:name="_Toc78435455"/>
      <w:bookmarkStart w:id="751" w:name="_Toc80380125"/>
      <w:r w:rsidRPr="00292532">
        <w:rPr>
          <w:lang w:eastAsia="ja-JP"/>
        </w:rPr>
        <w:t>Eliminação de Resíduos e Efluentes</w:t>
      </w:r>
      <w:bookmarkEnd w:id="745"/>
      <w:bookmarkEnd w:id="746"/>
      <w:bookmarkEnd w:id="747"/>
      <w:bookmarkEnd w:id="748"/>
      <w:bookmarkEnd w:id="749"/>
      <w:bookmarkEnd w:id="750"/>
      <w:bookmarkEnd w:id="751"/>
      <w:r w:rsidRPr="00292532">
        <w:rPr>
          <w:lang w:eastAsia="ja-JP"/>
        </w:rPr>
        <w:t xml:space="preserve"> </w:t>
      </w:r>
    </w:p>
    <w:p w14:paraId="21F0154E" w14:textId="77777777" w:rsidR="000911A4" w:rsidRPr="00292532" w:rsidRDefault="000911A4" w:rsidP="000911A4">
      <w:pPr>
        <w:rPr>
          <w:lang w:val="pt-PT" w:eastAsia="ja-JP"/>
        </w:rPr>
      </w:pPr>
      <w:r w:rsidRPr="00292532">
        <w:rPr>
          <w:lang w:val="pt-PT" w:eastAsia="ja-JP"/>
        </w:rPr>
        <w:t xml:space="preserve">O </w:t>
      </w:r>
      <w:proofErr w:type="spellStart"/>
      <w:r w:rsidRPr="00292532">
        <w:rPr>
          <w:lang w:val="pt-PT" w:eastAsia="ja-JP"/>
        </w:rPr>
        <w:t>Projecto</w:t>
      </w:r>
      <w:proofErr w:type="spellEnd"/>
      <w:r w:rsidRPr="00292532">
        <w:rPr>
          <w:lang w:val="pt-PT" w:eastAsia="ja-JP"/>
        </w:rPr>
        <w:t xml:space="preserve"> irá garantir o tratamento/eliminação adequada de resíduos e efluentes com base nos princípios que se seguem:</w:t>
      </w:r>
    </w:p>
    <w:p w14:paraId="258425A7" w14:textId="46C88E5E" w:rsidR="000911A4" w:rsidRPr="00292532" w:rsidRDefault="000911A4" w:rsidP="007A1525">
      <w:pPr>
        <w:pStyle w:val="ListParagraph"/>
        <w:rPr>
          <w:lang w:val="pt-PT" w:eastAsia="ja-JP"/>
        </w:rPr>
      </w:pPr>
      <w:r w:rsidRPr="00292532">
        <w:rPr>
          <w:lang w:val="pt-PT" w:eastAsia="ja-JP"/>
        </w:rPr>
        <w:t>Serão identificadas alternativas de minimização para reduzir os volumes de resíduos e efluentes gerados. Isto irá, por sua vez, reduzir as exigências de eliminação. As alternativas de minimização iriam incluir:</w:t>
      </w:r>
    </w:p>
    <w:p w14:paraId="59A54957" w14:textId="094D31E3" w:rsidR="000911A4" w:rsidRPr="00292532" w:rsidRDefault="000911A4" w:rsidP="0024772D">
      <w:pPr>
        <w:pStyle w:val="ListParagraph"/>
        <w:numPr>
          <w:ilvl w:val="1"/>
          <w:numId w:val="27"/>
        </w:numPr>
        <w:rPr>
          <w:lang w:val="pt-PT" w:eastAsia="ja-JP"/>
        </w:rPr>
      </w:pPr>
      <w:r w:rsidRPr="00292532">
        <w:rPr>
          <w:lang w:val="pt-PT" w:eastAsia="ja-JP"/>
        </w:rPr>
        <w:t>A reutilização de resíduos (não-perigosos) a nível interno e a reutilização de resíduos pela população, especialmente no que diz respeito a desperdícios e madeira;</w:t>
      </w:r>
    </w:p>
    <w:p w14:paraId="1CBD3D0A" w14:textId="5F19A90B" w:rsidR="000911A4" w:rsidRPr="00292532" w:rsidRDefault="000911A4" w:rsidP="0024772D">
      <w:pPr>
        <w:pStyle w:val="ListParagraph"/>
        <w:numPr>
          <w:ilvl w:val="1"/>
          <w:numId w:val="27"/>
        </w:numPr>
        <w:rPr>
          <w:lang w:val="pt-PT" w:eastAsia="ja-JP"/>
        </w:rPr>
      </w:pPr>
      <w:r w:rsidRPr="00292532">
        <w:rPr>
          <w:lang w:val="pt-PT" w:eastAsia="ja-JP"/>
        </w:rPr>
        <w:t xml:space="preserve">Tratamento de efluentes de esgoto e posterior reutilização (utilização não-potável) noutros processos (p.e. no controlo de poeiras, irrigação de campos verdes); </w:t>
      </w:r>
    </w:p>
    <w:p w14:paraId="22DB749D" w14:textId="767702A7" w:rsidR="000911A4" w:rsidRPr="00292532" w:rsidRDefault="000911A4" w:rsidP="0024772D">
      <w:pPr>
        <w:pStyle w:val="ListParagraph"/>
        <w:numPr>
          <w:ilvl w:val="1"/>
          <w:numId w:val="27"/>
        </w:numPr>
        <w:rPr>
          <w:lang w:val="pt-PT" w:eastAsia="ja-JP"/>
        </w:rPr>
      </w:pPr>
      <w:r w:rsidRPr="00292532">
        <w:rPr>
          <w:lang w:val="pt-PT" w:eastAsia="ja-JP"/>
        </w:rPr>
        <w:t xml:space="preserve">Utilização de resíduos orgânicos para a produção de composto, a ser posteriormente utilizado na recuperação do solo; </w:t>
      </w:r>
    </w:p>
    <w:p w14:paraId="55FA5A73" w14:textId="4E4D947B" w:rsidR="000911A4" w:rsidRPr="00292532" w:rsidRDefault="000911A4" w:rsidP="007A1525">
      <w:pPr>
        <w:pStyle w:val="ListParagraph"/>
        <w:rPr>
          <w:lang w:val="pt-PT" w:eastAsia="ja-JP"/>
        </w:rPr>
      </w:pPr>
      <w:r w:rsidRPr="00292532">
        <w:rPr>
          <w:lang w:val="pt-PT" w:eastAsia="ja-JP"/>
        </w:rPr>
        <w:t xml:space="preserve">Os resíduos não-perigosos devem ser eliminados num aterro sanitário. </w:t>
      </w:r>
    </w:p>
    <w:p w14:paraId="1643D012" w14:textId="462345EE" w:rsidR="000911A4" w:rsidRPr="00292532" w:rsidRDefault="000911A4" w:rsidP="000911A4">
      <w:pPr>
        <w:pStyle w:val="ListParagraph"/>
        <w:rPr>
          <w:lang w:val="pt-PT" w:eastAsia="ja-JP"/>
        </w:rPr>
      </w:pPr>
      <w:r w:rsidRPr="00292532">
        <w:rPr>
          <w:lang w:val="pt-PT" w:eastAsia="ja-JP"/>
        </w:rPr>
        <w:t>Instalar fossas sépticas nos acampamento</w:t>
      </w:r>
      <w:r w:rsidR="003E075E" w:rsidRPr="00292532">
        <w:rPr>
          <w:lang w:val="pt-PT" w:eastAsia="ja-JP"/>
        </w:rPr>
        <w:t>s</w:t>
      </w:r>
      <w:r w:rsidRPr="00292532">
        <w:rPr>
          <w:lang w:val="pt-PT" w:eastAsia="ja-JP"/>
        </w:rPr>
        <w:t xml:space="preserve"> e garantir a limpeza e recolha dos efluentes contaminados (p.e. águas de lavagem de maquinaria)</w:t>
      </w:r>
    </w:p>
    <w:p w14:paraId="1F4E7ECE" w14:textId="59F7DFD7" w:rsidR="000911A4" w:rsidRPr="00292532" w:rsidRDefault="000911A4" w:rsidP="000911A4">
      <w:pPr>
        <w:pStyle w:val="ListParagraph"/>
        <w:rPr>
          <w:lang w:val="pt-PT" w:eastAsia="ja-JP"/>
        </w:rPr>
      </w:pPr>
      <w:r w:rsidRPr="00292532">
        <w:rPr>
          <w:lang w:val="pt-PT" w:eastAsia="ja-JP"/>
        </w:rPr>
        <w:t xml:space="preserve">A </w:t>
      </w:r>
      <w:proofErr w:type="spellStart"/>
      <w:r w:rsidRPr="00292532">
        <w:rPr>
          <w:lang w:val="pt-PT" w:eastAsia="ja-JP"/>
        </w:rPr>
        <w:t>concepção</w:t>
      </w:r>
      <w:proofErr w:type="spellEnd"/>
      <w:r w:rsidRPr="00292532">
        <w:rPr>
          <w:lang w:val="pt-PT" w:eastAsia="ja-JP"/>
        </w:rPr>
        <w:t xml:space="preserve"> de fossas sépticas com a drenagem adequada irá responder às exigências estabelecidas na legislação Moçambicana (Regulamento dos sistemas públicos de distribuição de água e de drenagem de águas residuais – Decreto 30/2003);</w:t>
      </w:r>
    </w:p>
    <w:p w14:paraId="15532D39" w14:textId="77777777" w:rsidR="00282AC2" w:rsidRPr="00292532" w:rsidRDefault="00282AC2" w:rsidP="007A1525">
      <w:pPr>
        <w:pStyle w:val="ListParagraph"/>
        <w:numPr>
          <w:ilvl w:val="0"/>
          <w:numId w:val="0"/>
        </w:numPr>
        <w:ind w:left="360"/>
        <w:rPr>
          <w:lang w:val="pt-PT" w:eastAsia="ja-JP"/>
        </w:rPr>
      </w:pPr>
    </w:p>
    <w:p w14:paraId="6552BF2C" w14:textId="5BE823BF" w:rsidR="000C7BAC" w:rsidRPr="00292532" w:rsidRDefault="000911A4">
      <w:pPr>
        <w:pStyle w:val="Heading3"/>
        <w:rPr>
          <w:lang w:eastAsia="ja-JP"/>
        </w:rPr>
      </w:pPr>
      <w:bookmarkStart w:id="752" w:name="_Toc73620221"/>
      <w:bookmarkStart w:id="753" w:name="_Toc73623848"/>
      <w:bookmarkStart w:id="754" w:name="_Toc73624496"/>
      <w:bookmarkStart w:id="755" w:name="_Toc73954631"/>
      <w:bookmarkStart w:id="756" w:name="_Toc75438017"/>
      <w:bookmarkStart w:id="757" w:name="_Toc78435456"/>
      <w:bookmarkStart w:id="758" w:name="_Toc80380126"/>
      <w:r w:rsidRPr="00292532">
        <w:rPr>
          <w:lang w:eastAsia="ja-JP"/>
        </w:rPr>
        <w:t>Resíduos não-perigosos</w:t>
      </w:r>
      <w:bookmarkEnd w:id="752"/>
      <w:bookmarkEnd w:id="753"/>
      <w:bookmarkEnd w:id="754"/>
      <w:bookmarkEnd w:id="755"/>
      <w:bookmarkEnd w:id="756"/>
      <w:bookmarkEnd w:id="757"/>
      <w:bookmarkEnd w:id="758"/>
    </w:p>
    <w:p w14:paraId="6C551613" w14:textId="77777777" w:rsidR="000911A4" w:rsidRPr="00292532" w:rsidRDefault="000911A4" w:rsidP="000911A4">
      <w:pPr>
        <w:rPr>
          <w:lang w:val="pt-PT" w:eastAsia="ja-JP"/>
        </w:rPr>
      </w:pPr>
      <w:r w:rsidRPr="00292532">
        <w:rPr>
          <w:lang w:val="pt-PT" w:eastAsia="ja-JP"/>
        </w:rPr>
        <w:t xml:space="preserve">O </w:t>
      </w:r>
      <w:proofErr w:type="spellStart"/>
      <w:r w:rsidRPr="00292532">
        <w:rPr>
          <w:lang w:val="pt-PT" w:eastAsia="ja-JP"/>
        </w:rPr>
        <w:t>Projecto</w:t>
      </w:r>
      <w:proofErr w:type="spellEnd"/>
      <w:r w:rsidRPr="00292532">
        <w:rPr>
          <w:lang w:val="pt-PT" w:eastAsia="ja-JP"/>
        </w:rPr>
        <w:t xml:space="preserve"> irá garantir, durante a gestão dos resíduos não-perigosos, que serão cumpridas as seguintes orientações:</w:t>
      </w:r>
    </w:p>
    <w:p w14:paraId="1362C094" w14:textId="55DB3B60" w:rsidR="000911A4" w:rsidRPr="00292532" w:rsidRDefault="000911A4" w:rsidP="007A1525">
      <w:pPr>
        <w:pStyle w:val="ListParagraph"/>
        <w:rPr>
          <w:lang w:val="pt-PT" w:eastAsia="ja-JP"/>
        </w:rPr>
      </w:pPr>
      <w:r w:rsidRPr="00292532">
        <w:rPr>
          <w:lang w:val="pt-PT" w:eastAsia="ja-JP"/>
        </w:rPr>
        <w:t xml:space="preserve">Minimizar a geração de resíduos com a promoção da reutilização e reciclagem de resíduos; </w:t>
      </w:r>
    </w:p>
    <w:p w14:paraId="4E829AB9" w14:textId="31C4CC4A" w:rsidR="000911A4" w:rsidRPr="00292532" w:rsidRDefault="000911A4" w:rsidP="007A1525">
      <w:pPr>
        <w:pStyle w:val="ListParagraph"/>
        <w:rPr>
          <w:lang w:val="pt-PT" w:eastAsia="ja-JP"/>
        </w:rPr>
      </w:pPr>
      <w:r w:rsidRPr="00292532">
        <w:rPr>
          <w:lang w:val="pt-PT" w:eastAsia="ja-JP"/>
        </w:rPr>
        <w:t xml:space="preserve">Fornecer um número suficiente de caixotes e contentores a serem devidamente localizados no local das obras, estaleiros e acampamentos temporários. Os caixotes e contentores devem ser devidamente rotulados e com código de cores para separar o fluxo de resíduos; </w:t>
      </w:r>
    </w:p>
    <w:p w14:paraId="74C3F010" w14:textId="1ECFCC8C" w:rsidR="000911A4" w:rsidRPr="00292532" w:rsidRDefault="000911A4" w:rsidP="007A1525">
      <w:pPr>
        <w:pStyle w:val="ListParagraph"/>
        <w:rPr>
          <w:lang w:val="pt-PT" w:eastAsia="ja-JP"/>
        </w:rPr>
      </w:pPr>
      <w:r w:rsidRPr="00292532">
        <w:rPr>
          <w:lang w:val="pt-PT" w:eastAsia="ja-JP"/>
        </w:rPr>
        <w:t xml:space="preserve">Os resíduos serão transportados desde a fonte até às instalações de eliminação, de uma maneira apropriada; </w:t>
      </w:r>
    </w:p>
    <w:p w14:paraId="1BDD902C" w14:textId="5C21B0CB" w:rsidR="000911A4" w:rsidRPr="00292532" w:rsidRDefault="000911A4" w:rsidP="000911A4">
      <w:pPr>
        <w:pStyle w:val="ListParagraph"/>
        <w:rPr>
          <w:lang w:val="pt-PT" w:eastAsia="ja-JP"/>
        </w:rPr>
      </w:pPr>
      <w:r w:rsidRPr="00292532">
        <w:rPr>
          <w:lang w:val="pt-PT" w:eastAsia="ja-JP"/>
        </w:rPr>
        <w:t>Os resíduos que não possam ser reutilizados ou reciclados devem ser eliminados num aterro ou para uma lixeira municipal</w:t>
      </w:r>
      <w:r w:rsidR="00282AC2" w:rsidRPr="00292532">
        <w:rPr>
          <w:lang w:val="pt-PT" w:eastAsia="ja-JP"/>
        </w:rPr>
        <w:t>;</w:t>
      </w:r>
    </w:p>
    <w:p w14:paraId="48042C19" w14:textId="2FE17F8E" w:rsidR="00282AC2" w:rsidRPr="00292532" w:rsidRDefault="00282AC2" w:rsidP="000911A4">
      <w:pPr>
        <w:pStyle w:val="ListParagraph"/>
        <w:rPr>
          <w:lang w:val="pt-PT" w:eastAsia="ja-JP"/>
        </w:rPr>
      </w:pPr>
      <w:r w:rsidRPr="00292532">
        <w:rPr>
          <w:lang w:val="pt-PT" w:eastAsia="ja-JP"/>
        </w:rPr>
        <w:t xml:space="preserve">O armazenamento temporário de resíduos deve ser em locais cobertos, sem ser necessário um chão impermeável, mas no caso dos resíduos em forma de pó ou brita e/ou pequenos fragmentos, deve evitar-se que estes sejam sujeitos a </w:t>
      </w:r>
      <w:proofErr w:type="spellStart"/>
      <w:r w:rsidRPr="00292532">
        <w:rPr>
          <w:lang w:val="pt-PT" w:eastAsia="ja-JP"/>
        </w:rPr>
        <w:t>actividades</w:t>
      </w:r>
      <w:proofErr w:type="spellEnd"/>
      <w:r w:rsidRPr="00292532">
        <w:rPr>
          <w:lang w:val="pt-PT" w:eastAsia="ja-JP"/>
        </w:rPr>
        <w:t xml:space="preserve"> que decorram expostas à erosão pela </w:t>
      </w:r>
      <w:proofErr w:type="spellStart"/>
      <w:r w:rsidRPr="00292532">
        <w:rPr>
          <w:lang w:val="pt-PT" w:eastAsia="ja-JP"/>
        </w:rPr>
        <w:t>acção</w:t>
      </w:r>
      <w:proofErr w:type="spellEnd"/>
      <w:r w:rsidRPr="00292532">
        <w:rPr>
          <w:lang w:val="pt-PT" w:eastAsia="ja-JP"/>
        </w:rPr>
        <w:t xml:space="preserve"> do vento e/ou chuva.</w:t>
      </w:r>
    </w:p>
    <w:p w14:paraId="149E7351" w14:textId="138840AD" w:rsidR="000911A4" w:rsidRPr="00292532" w:rsidRDefault="000911A4" w:rsidP="00282AC2">
      <w:pPr>
        <w:pStyle w:val="ListParagraph"/>
        <w:numPr>
          <w:ilvl w:val="0"/>
          <w:numId w:val="0"/>
        </w:numPr>
        <w:ind w:left="360"/>
        <w:rPr>
          <w:lang w:val="pt-PT" w:eastAsia="ja-JP"/>
        </w:rPr>
      </w:pPr>
    </w:p>
    <w:p w14:paraId="6D25FA05" w14:textId="78A99AF5" w:rsidR="00282AC2" w:rsidRPr="00292532" w:rsidRDefault="00282AC2">
      <w:pPr>
        <w:pStyle w:val="Heading3"/>
        <w:rPr>
          <w:lang w:eastAsia="ja-JP"/>
        </w:rPr>
      </w:pPr>
      <w:bookmarkStart w:id="759" w:name="_Ref73450435"/>
      <w:bookmarkStart w:id="760" w:name="_Toc73620222"/>
      <w:bookmarkStart w:id="761" w:name="_Toc73623849"/>
      <w:bookmarkStart w:id="762" w:name="_Toc73624497"/>
      <w:bookmarkStart w:id="763" w:name="_Toc73954632"/>
      <w:bookmarkStart w:id="764" w:name="_Toc75438018"/>
      <w:bookmarkStart w:id="765" w:name="_Toc78435457"/>
      <w:bookmarkStart w:id="766" w:name="_Toc80380127"/>
      <w:r w:rsidRPr="00292532">
        <w:rPr>
          <w:lang w:eastAsia="ja-JP"/>
        </w:rPr>
        <w:lastRenderedPageBreak/>
        <w:t>Resíduos Perigosos</w:t>
      </w:r>
      <w:bookmarkEnd w:id="759"/>
      <w:bookmarkEnd w:id="760"/>
      <w:bookmarkEnd w:id="761"/>
      <w:bookmarkEnd w:id="762"/>
      <w:bookmarkEnd w:id="763"/>
      <w:bookmarkEnd w:id="764"/>
      <w:bookmarkEnd w:id="765"/>
      <w:bookmarkEnd w:id="766"/>
      <w:r w:rsidRPr="00292532">
        <w:rPr>
          <w:lang w:eastAsia="ja-JP"/>
        </w:rPr>
        <w:t xml:space="preserve"> </w:t>
      </w:r>
    </w:p>
    <w:p w14:paraId="4E329730" w14:textId="5177814F" w:rsidR="00282AC2" w:rsidRPr="00292532" w:rsidRDefault="00282AC2" w:rsidP="00282AC2">
      <w:pPr>
        <w:rPr>
          <w:lang w:val="pt-PT" w:eastAsia="ja-JP"/>
        </w:rPr>
      </w:pPr>
      <w:r w:rsidRPr="00292532">
        <w:rPr>
          <w:lang w:val="pt-PT" w:eastAsia="ja-JP"/>
        </w:rPr>
        <w:t xml:space="preserve">As precauções a serem seguidas no armazenamento, tratamento e deposição de resíduos perigosos são as seguintes: </w:t>
      </w:r>
    </w:p>
    <w:p w14:paraId="05DEE60E" w14:textId="6534D148" w:rsidR="00282AC2" w:rsidRPr="00292532" w:rsidRDefault="00282AC2" w:rsidP="007A1525">
      <w:pPr>
        <w:pStyle w:val="ListParagraph"/>
        <w:rPr>
          <w:lang w:val="pt-PT" w:eastAsia="ja-JP"/>
        </w:rPr>
      </w:pPr>
      <w:r w:rsidRPr="00292532">
        <w:rPr>
          <w:lang w:val="pt-PT" w:eastAsia="ja-JP"/>
        </w:rPr>
        <w:t xml:space="preserve">Os resíduos perigosos serão guardados em contentores selados e colocados numa instalação de armazenamento segura; </w:t>
      </w:r>
    </w:p>
    <w:p w14:paraId="532C63DA" w14:textId="5E0FFB23" w:rsidR="00282AC2" w:rsidRPr="00292532" w:rsidRDefault="00282AC2" w:rsidP="007A1525">
      <w:pPr>
        <w:pStyle w:val="ListParagraph"/>
        <w:rPr>
          <w:lang w:val="pt-PT" w:eastAsia="ja-JP"/>
        </w:rPr>
      </w:pPr>
      <w:r w:rsidRPr="00292532">
        <w:rPr>
          <w:lang w:val="pt-PT" w:eastAsia="ja-JP"/>
        </w:rPr>
        <w:t xml:space="preserve">A instalação terá um piso em cimento, delimitado e com o </w:t>
      </w:r>
      <w:proofErr w:type="spellStart"/>
      <w:r w:rsidRPr="00292532">
        <w:rPr>
          <w:lang w:val="pt-PT" w:eastAsia="ja-JP"/>
        </w:rPr>
        <w:t>tecto</w:t>
      </w:r>
      <w:proofErr w:type="spellEnd"/>
      <w:r w:rsidRPr="00292532">
        <w:rPr>
          <w:lang w:val="pt-PT" w:eastAsia="ja-JP"/>
        </w:rPr>
        <w:t xml:space="preserve"> coberto para impedir a chuva de entrar; </w:t>
      </w:r>
    </w:p>
    <w:p w14:paraId="68FF87F2" w14:textId="5F6735AA" w:rsidR="00282AC2" w:rsidRPr="00292532" w:rsidRDefault="00282AC2" w:rsidP="007A1525">
      <w:pPr>
        <w:pStyle w:val="ListParagraph"/>
        <w:rPr>
          <w:lang w:val="pt-PT" w:eastAsia="ja-JP"/>
        </w:rPr>
      </w:pPr>
      <w:r w:rsidRPr="00292532">
        <w:rPr>
          <w:lang w:val="pt-PT" w:eastAsia="ja-JP"/>
        </w:rPr>
        <w:t>Os resíduos perigosos</w:t>
      </w:r>
      <w:r w:rsidR="00761A6E" w:rsidRPr="00292532">
        <w:rPr>
          <w:lang w:val="pt-PT" w:eastAsia="ja-JP"/>
        </w:rPr>
        <w:t xml:space="preserve">, sempre que </w:t>
      </w:r>
      <w:proofErr w:type="spellStart"/>
      <w:r w:rsidR="00761A6E" w:rsidRPr="00292532">
        <w:rPr>
          <w:lang w:val="pt-PT" w:eastAsia="ja-JP"/>
        </w:rPr>
        <w:t>practicável</w:t>
      </w:r>
      <w:proofErr w:type="spellEnd"/>
      <w:r w:rsidR="00761A6E" w:rsidRPr="00292532">
        <w:rPr>
          <w:lang w:val="pt-PT" w:eastAsia="ja-JP"/>
        </w:rPr>
        <w:t xml:space="preserve">, </w:t>
      </w:r>
      <w:r w:rsidRPr="00292532">
        <w:rPr>
          <w:lang w:val="pt-PT" w:eastAsia="ja-JP"/>
        </w:rPr>
        <w:t xml:space="preserve">não </w:t>
      </w:r>
      <w:r w:rsidR="00761A6E" w:rsidRPr="00292532">
        <w:rPr>
          <w:lang w:val="pt-PT" w:eastAsia="ja-JP"/>
        </w:rPr>
        <w:t xml:space="preserve">deverão ser </w:t>
      </w:r>
      <w:r w:rsidRPr="00292532">
        <w:rPr>
          <w:lang w:val="pt-PT" w:eastAsia="ja-JP"/>
        </w:rPr>
        <w:t>guardados por períodos superiores a 30 dias de cada vez;</w:t>
      </w:r>
    </w:p>
    <w:p w14:paraId="2E0F4261" w14:textId="1BE57407" w:rsidR="00282AC2" w:rsidRPr="00292532" w:rsidRDefault="00282AC2" w:rsidP="007A1525">
      <w:pPr>
        <w:pStyle w:val="ListParagraph"/>
        <w:rPr>
          <w:lang w:val="pt-PT" w:eastAsia="ja-JP"/>
        </w:rPr>
      </w:pPr>
      <w:r w:rsidRPr="00292532">
        <w:rPr>
          <w:lang w:val="pt-PT" w:eastAsia="ja-JP"/>
        </w:rPr>
        <w:t>Quaisquer substâncias autoinflamáveis deverão ser guardadas em contentores selados hermeticamente;</w:t>
      </w:r>
    </w:p>
    <w:p w14:paraId="1A72598F" w14:textId="448523D3" w:rsidR="00282AC2" w:rsidRPr="00292532" w:rsidRDefault="00282AC2" w:rsidP="007A1525">
      <w:pPr>
        <w:pStyle w:val="ListParagraph"/>
        <w:rPr>
          <w:lang w:val="pt-PT" w:eastAsia="ja-JP"/>
        </w:rPr>
      </w:pPr>
      <w:r w:rsidRPr="00292532">
        <w:rPr>
          <w:lang w:val="pt-PT" w:eastAsia="ja-JP"/>
        </w:rPr>
        <w:t xml:space="preserve">Quaisquer substâncias que libertem gases inflamáveis quando em contacto com água, serão guardadas em locais sem humidade; </w:t>
      </w:r>
    </w:p>
    <w:p w14:paraId="2FE28004" w14:textId="45B96600" w:rsidR="00282AC2" w:rsidRPr="00292532" w:rsidRDefault="00282AC2" w:rsidP="007A1525">
      <w:pPr>
        <w:pStyle w:val="ListParagraph"/>
        <w:rPr>
          <w:lang w:val="pt-PT" w:eastAsia="ja-JP"/>
        </w:rPr>
      </w:pPr>
      <w:r w:rsidRPr="00292532">
        <w:rPr>
          <w:lang w:val="pt-PT" w:eastAsia="ja-JP"/>
        </w:rPr>
        <w:t xml:space="preserve">Os contentores de resíduos perigosos compostos por líquidos inflamáveis serão identificados claramente por meio de um rótulo preto em fundo vermelho afixado em todas as faces, com o símbolo internacional para substâncias compostas por líquidos inflamáveis; </w:t>
      </w:r>
    </w:p>
    <w:p w14:paraId="710284FE" w14:textId="00858089" w:rsidR="00282AC2" w:rsidRPr="00292532" w:rsidRDefault="00282AC2" w:rsidP="007A1525">
      <w:pPr>
        <w:pStyle w:val="ListParagraph"/>
        <w:rPr>
          <w:lang w:val="pt-PT" w:eastAsia="ja-JP"/>
        </w:rPr>
      </w:pPr>
      <w:r w:rsidRPr="00292532">
        <w:rPr>
          <w:lang w:val="pt-PT" w:eastAsia="ja-JP"/>
        </w:rPr>
        <w:t>Os contentores de resíduos perigosos compostos por sólidos inflamáveis serão claramente identificados.</w:t>
      </w:r>
    </w:p>
    <w:p w14:paraId="101DCDB0" w14:textId="5B78E5DD" w:rsidR="00282AC2" w:rsidRPr="00292532" w:rsidRDefault="00282AC2" w:rsidP="007A1525">
      <w:pPr>
        <w:pStyle w:val="ListParagraph"/>
        <w:rPr>
          <w:lang w:val="pt-PT" w:eastAsia="ja-JP"/>
        </w:rPr>
      </w:pPr>
      <w:r w:rsidRPr="00292532">
        <w:rPr>
          <w:lang w:val="pt-PT" w:eastAsia="ja-JP"/>
        </w:rPr>
        <w:t xml:space="preserve"> As instalações de armazenamento de resíduos perigosos contarão com as seguintes medidas de precaução: </w:t>
      </w:r>
    </w:p>
    <w:p w14:paraId="5F3317F0" w14:textId="4774A430" w:rsidR="00282AC2" w:rsidRPr="00292532" w:rsidRDefault="00282AC2" w:rsidP="00AE14AE">
      <w:pPr>
        <w:pStyle w:val="ListParagraph"/>
        <w:numPr>
          <w:ilvl w:val="1"/>
          <w:numId w:val="72"/>
        </w:numPr>
        <w:rPr>
          <w:lang w:val="pt-PT" w:eastAsia="ja-JP"/>
        </w:rPr>
      </w:pPr>
      <w:r w:rsidRPr="00292532">
        <w:rPr>
          <w:lang w:val="pt-PT" w:eastAsia="ja-JP"/>
        </w:rPr>
        <w:t>Materiais e equipamento de combate a incêndios e suportes para extintores de fogo;</w:t>
      </w:r>
    </w:p>
    <w:p w14:paraId="462A3CA9" w14:textId="687D6DB4" w:rsidR="00282AC2" w:rsidRPr="00292532" w:rsidRDefault="00282AC2" w:rsidP="00AE14AE">
      <w:pPr>
        <w:pStyle w:val="ListParagraph"/>
        <w:numPr>
          <w:ilvl w:val="1"/>
          <w:numId w:val="72"/>
        </w:numPr>
        <w:rPr>
          <w:lang w:val="pt-PT" w:eastAsia="ja-JP"/>
        </w:rPr>
      </w:pPr>
      <w:r w:rsidRPr="00292532">
        <w:rPr>
          <w:lang w:val="pt-PT" w:eastAsia="ja-JP"/>
        </w:rPr>
        <w:t xml:space="preserve">Equipamento de limpeza e um sistema para lavagem a </w:t>
      </w:r>
      <w:proofErr w:type="spellStart"/>
      <w:r w:rsidRPr="00292532">
        <w:rPr>
          <w:lang w:val="pt-PT" w:eastAsia="ja-JP"/>
        </w:rPr>
        <w:t>jacto</w:t>
      </w:r>
      <w:proofErr w:type="spellEnd"/>
      <w:r w:rsidRPr="00292532">
        <w:rPr>
          <w:lang w:val="pt-PT" w:eastAsia="ja-JP"/>
        </w:rPr>
        <w:t xml:space="preserve"> de condutas, recipientes e contentores; </w:t>
      </w:r>
    </w:p>
    <w:p w14:paraId="5D65FD81" w14:textId="66A9EC1A" w:rsidR="00282AC2" w:rsidRPr="00292532" w:rsidRDefault="00282AC2" w:rsidP="00AE14AE">
      <w:pPr>
        <w:pStyle w:val="ListParagraph"/>
        <w:numPr>
          <w:ilvl w:val="1"/>
          <w:numId w:val="72"/>
        </w:numPr>
        <w:rPr>
          <w:lang w:val="pt-PT" w:eastAsia="ja-JP"/>
        </w:rPr>
      </w:pPr>
      <w:r w:rsidRPr="00292532">
        <w:rPr>
          <w:lang w:val="pt-PT" w:eastAsia="ja-JP"/>
        </w:rPr>
        <w:t xml:space="preserve">Quantidades suficientes de material absorvente, para absorver ou recolher qualquer derramamento ou fuga de resíduo. </w:t>
      </w:r>
    </w:p>
    <w:p w14:paraId="4C53D554" w14:textId="18719EF4" w:rsidR="00282AC2" w:rsidRPr="00292532" w:rsidRDefault="00282AC2" w:rsidP="00282AC2">
      <w:pPr>
        <w:rPr>
          <w:lang w:val="pt-PT" w:eastAsia="ja-JP"/>
        </w:rPr>
      </w:pPr>
      <w:r w:rsidRPr="00292532">
        <w:rPr>
          <w:lang w:val="pt-PT" w:eastAsia="ja-JP"/>
        </w:rPr>
        <w:t xml:space="preserve">Durante o transporte de resíduos perigosos, os veículos serão devidamente rotulados e serão equipados com materiais ou equipamento adequado para conter, gerir e remover derrames acidentais. </w:t>
      </w:r>
    </w:p>
    <w:p w14:paraId="48D248F2" w14:textId="79530EA6" w:rsidR="000911A4" w:rsidRPr="00292532" w:rsidRDefault="00282AC2" w:rsidP="00282AC2">
      <w:pPr>
        <w:rPr>
          <w:lang w:val="pt-PT" w:eastAsia="ja-JP"/>
        </w:rPr>
      </w:pPr>
      <w:r w:rsidRPr="00292532">
        <w:rPr>
          <w:lang w:val="pt-PT" w:eastAsia="ja-JP"/>
        </w:rPr>
        <w:t xml:space="preserve">O empreiteiro deve assegurar a eliminação de todos os resíduos perigosos em aterro/depósito registado de resíduos perigosos. Na eliminação temporária de resíduos perigosos, devem ainda ser </w:t>
      </w:r>
      <w:proofErr w:type="spellStart"/>
      <w:r w:rsidRPr="00292532">
        <w:rPr>
          <w:lang w:val="pt-PT" w:eastAsia="ja-JP"/>
        </w:rPr>
        <w:t>adoptadas</w:t>
      </w:r>
      <w:proofErr w:type="spellEnd"/>
      <w:r w:rsidRPr="00292532">
        <w:rPr>
          <w:lang w:val="pt-PT" w:eastAsia="ja-JP"/>
        </w:rPr>
        <w:t xml:space="preserve"> medidas para o isolamento da área, a sua sinalização e a garantia de impermeabilização. É importante considerar e respeitar a incompatibilidade entre os resíduos a serem guardados.</w:t>
      </w:r>
    </w:p>
    <w:p w14:paraId="43C17D05" w14:textId="5144BDCF" w:rsidR="00282AC2" w:rsidRPr="00292532" w:rsidRDefault="00282AC2">
      <w:pPr>
        <w:pStyle w:val="Heading3"/>
        <w:rPr>
          <w:lang w:eastAsia="ja-JP"/>
        </w:rPr>
      </w:pPr>
      <w:bookmarkStart w:id="767" w:name="_Toc73620223"/>
      <w:bookmarkStart w:id="768" w:name="_Toc73623850"/>
      <w:bookmarkStart w:id="769" w:name="_Toc73624498"/>
      <w:bookmarkStart w:id="770" w:name="_Toc73954633"/>
      <w:bookmarkStart w:id="771" w:name="_Toc75438019"/>
      <w:bookmarkStart w:id="772" w:name="_Toc78435458"/>
      <w:bookmarkStart w:id="773" w:name="_Toc80380128"/>
      <w:r w:rsidRPr="00292532">
        <w:rPr>
          <w:lang w:eastAsia="ja-JP"/>
        </w:rPr>
        <w:t>Registo de Resíduos</w:t>
      </w:r>
      <w:bookmarkEnd w:id="767"/>
      <w:bookmarkEnd w:id="768"/>
      <w:bookmarkEnd w:id="769"/>
      <w:bookmarkEnd w:id="770"/>
      <w:bookmarkEnd w:id="771"/>
      <w:bookmarkEnd w:id="772"/>
      <w:bookmarkEnd w:id="773"/>
      <w:r w:rsidRPr="00292532">
        <w:rPr>
          <w:lang w:eastAsia="ja-JP"/>
        </w:rPr>
        <w:t xml:space="preserve"> </w:t>
      </w:r>
    </w:p>
    <w:p w14:paraId="55329CF1" w14:textId="24806AAF" w:rsidR="00282AC2" w:rsidRPr="00292532" w:rsidRDefault="00282AC2" w:rsidP="00282AC2">
      <w:pPr>
        <w:rPr>
          <w:lang w:val="pt-PT" w:eastAsia="ja-JP"/>
        </w:rPr>
      </w:pPr>
      <w:r w:rsidRPr="00292532">
        <w:rPr>
          <w:lang w:val="pt-PT" w:eastAsia="ja-JP"/>
        </w:rPr>
        <w:t xml:space="preserve">Os volumes de resíduos gerados devem ser devidamente registados. Em conformidade com a legislação devem ser preenchidos e mantidos Manifestos de Resíduos que forneçam informação sobre o fluxo do resíduo desde a geração até ao depósito. Cópias destes registos devem ser anexadas nos relatórios de desempenho ambiental e social e devem ser disponibilizadas em auditorias e </w:t>
      </w:r>
      <w:proofErr w:type="spellStart"/>
      <w:r w:rsidRPr="00292532">
        <w:rPr>
          <w:lang w:val="pt-PT" w:eastAsia="ja-JP"/>
        </w:rPr>
        <w:t>inspecções</w:t>
      </w:r>
      <w:proofErr w:type="spellEnd"/>
      <w:r w:rsidRPr="00292532">
        <w:rPr>
          <w:lang w:val="pt-PT" w:eastAsia="ja-JP"/>
        </w:rPr>
        <w:t xml:space="preserve"> ambientais ao </w:t>
      </w:r>
      <w:proofErr w:type="spellStart"/>
      <w:r w:rsidRPr="00292532">
        <w:rPr>
          <w:lang w:val="pt-PT" w:eastAsia="ja-JP"/>
        </w:rPr>
        <w:t>Projecto</w:t>
      </w:r>
      <w:proofErr w:type="spellEnd"/>
      <w:r w:rsidRPr="00292532">
        <w:rPr>
          <w:lang w:val="pt-PT" w:eastAsia="ja-JP"/>
        </w:rPr>
        <w:t xml:space="preserve">. </w:t>
      </w:r>
    </w:p>
    <w:p w14:paraId="6D898F6B" w14:textId="3BF96098" w:rsidR="00282AC2" w:rsidRPr="00292532" w:rsidRDefault="00CF4B4B">
      <w:pPr>
        <w:pStyle w:val="Heading3"/>
        <w:rPr>
          <w:lang w:eastAsia="ja-JP"/>
        </w:rPr>
      </w:pPr>
      <w:bookmarkStart w:id="774" w:name="_Toc73620224"/>
      <w:bookmarkStart w:id="775" w:name="_Toc73623851"/>
      <w:bookmarkStart w:id="776" w:name="_Toc73624499"/>
      <w:bookmarkStart w:id="777" w:name="_Toc73954634"/>
      <w:bookmarkStart w:id="778" w:name="_Toc75438020"/>
      <w:bookmarkStart w:id="779" w:name="_Toc78435459"/>
      <w:bookmarkStart w:id="780" w:name="_Toc80380129"/>
      <w:r w:rsidRPr="00292532">
        <w:rPr>
          <w:lang w:eastAsia="ja-JP"/>
        </w:rPr>
        <w:t>Formação</w:t>
      </w:r>
      <w:r w:rsidR="00282AC2" w:rsidRPr="00292532">
        <w:rPr>
          <w:lang w:eastAsia="ja-JP"/>
        </w:rPr>
        <w:t xml:space="preserve"> e Consciencialização dos Trabalhadores</w:t>
      </w:r>
      <w:bookmarkEnd w:id="774"/>
      <w:bookmarkEnd w:id="775"/>
      <w:bookmarkEnd w:id="776"/>
      <w:bookmarkEnd w:id="777"/>
      <w:bookmarkEnd w:id="778"/>
      <w:bookmarkEnd w:id="779"/>
      <w:bookmarkEnd w:id="780"/>
      <w:r w:rsidR="00282AC2" w:rsidRPr="00292532">
        <w:rPr>
          <w:lang w:eastAsia="ja-JP"/>
        </w:rPr>
        <w:t xml:space="preserve"> </w:t>
      </w:r>
    </w:p>
    <w:p w14:paraId="3D152CC2" w14:textId="1582A05D" w:rsidR="00CF4B4B" w:rsidRPr="00292532" w:rsidRDefault="00CF4B4B" w:rsidP="00CF4B4B">
      <w:pPr>
        <w:rPr>
          <w:lang w:val="pt-PT" w:eastAsia="ja-JP"/>
        </w:rPr>
      </w:pPr>
      <w:r w:rsidRPr="00292532">
        <w:rPr>
          <w:lang w:val="pt-PT" w:eastAsia="ja-JP"/>
        </w:rPr>
        <w:t xml:space="preserve">O </w:t>
      </w:r>
      <w:proofErr w:type="spellStart"/>
      <w:r w:rsidRPr="00292532">
        <w:rPr>
          <w:lang w:val="pt-PT" w:eastAsia="ja-JP"/>
        </w:rPr>
        <w:t>Projecto</w:t>
      </w:r>
      <w:proofErr w:type="spellEnd"/>
      <w:r w:rsidRPr="00292532">
        <w:rPr>
          <w:lang w:val="pt-PT" w:eastAsia="ja-JP"/>
        </w:rPr>
        <w:t xml:space="preserve"> irá garantir formação adequada em processos de gestão de resíduos, a todos os empregados trabalhadores com foco especial nos </w:t>
      </w:r>
      <w:proofErr w:type="spellStart"/>
      <w:r w:rsidRPr="00292532">
        <w:rPr>
          <w:lang w:val="pt-PT" w:eastAsia="ja-JP"/>
        </w:rPr>
        <w:t>aspectos</w:t>
      </w:r>
      <w:proofErr w:type="spellEnd"/>
      <w:r w:rsidRPr="00292532">
        <w:rPr>
          <w:lang w:val="pt-PT" w:eastAsia="ja-JP"/>
        </w:rPr>
        <w:t xml:space="preserve"> </w:t>
      </w:r>
      <w:r w:rsidR="00292532" w:rsidRPr="00292532">
        <w:rPr>
          <w:lang w:val="pt-PT" w:eastAsia="ja-JP"/>
        </w:rPr>
        <w:t>relativos</w:t>
      </w:r>
      <w:r w:rsidRPr="00292532">
        <w:rPr>
          <w:lang w:val="pt-PT" w:eastAsia="ja-JP"/>
        </w:rPr>
        <w:t xml:space="preserve"> à classificação, separação, manipulação e transporte de resíduos. </w:t>
      </w:r>
    </w:p>
    <w:p w14:paraId="0EA8AA7F" w14:textId="7E1B4D03" w:rsidR="00282AC2" w:rsidRPr="00292532" w:rsidRDefault="00CF4B4B" w:rsidP="00CF4B4B">
      <w:pPr>
        <w:rPr>
          <w:lang w:val="pt-PT" w:eastAsia="ja-JP"/>
        </w:rPr>
      </w:pPr>
      <w:r w:rsidRPr="00292532">
        <w:rPr>
          <w:lang w:val="pt-PT" w:eastAsia="ja-JP"/>
        </w:rPr>
        <w:t>Além disso, os trabalhadores serão treinados para conter de imediato, comunicar e/ou limpar quaisquer derrames de óleos ou materiais perigosos</w:t>
      </w:r>
      <w:r w:rsidR="00A9374D" w:rsidRPr="00292532">
        <w:rPr>
          <w:lang w:val="pt-PT" w:eastAsia="ja-JP"/>
        </w:rPr>
        <w:t>.</w:t>
      </w:r>
      <w:r w:rsidRPr="00292532">
        <w:rPr>
          <w:lang w:val="pt-PT" w:eastAsia="ja-JP"/>
        </w:rPr>
        <w:t xml:space="preserve"> </w:t>
      </w:r>
    </w:p>
    <w:p w14:paraId="6F14514D" w14:textId="77777777" w:rsidR="00D864AE" w:rsidRPr="00292532" w:rsidRDefault="00D864AE" w:rsidP="00AB4662">
      <w:pPr>
        <w:rPr>
          <w:lang w:val="pt-PT" w:eastAsia="ja-JP"/>
        </w:rPr>
      </w:pPr>
    </w:p>
    <w:p w14:paraId="40183A33" w14:textId="47265190" w:rsidR="00282AC2" w:rsidRPr="00292532" w:rsidRDefault="00CF4B4B" w:rsidP="00CF4B4B">
      <w:pPr>
        <w:pStyle w:val="Heading2"/>
      </w:pPr>
      <w:bookmarkStart w:id="781" w:name="_Ref73450429"/>
      <w:bookmarkStart w:id="782" w:name="_Toc73620225"/>
      <w:bookmarkStart w:id="783" w:name="_Toc73623852"/>
      <w:bookmarkStart w:id="784" w:name="_Toc73624500"/>
      <w:bookmarkStart w:id="785" w:name="_Toc73954635"/>
      <w:bookmarkStart w:id="786" w:name="_Toc75438021"/>
      <w:bookmarkStart w:id="787" w:name="_Toc78435460"/>
      <w:bookmarkStart w:id="788" w:name="_Toc80380130"/>
      <w:r w:rsidRPr="00292532">
        <w:lastRenderedPageBreak/>
        <w:t>Gestão de Combustíveis e Produtos Químicos</w:t>
      </w:r>
      <w:bookmarkEnd w:id="781"/>
      <w:bookmarkEnd w:id="782"/>
      <w:bookmarkEnd w:id="783"/>
      <w:bookmarkEnd w:id="784"/>
      <w:bookmarkEnd w:id="785"/>
      <w:bookmarkEnd w:id="786"/>
      <w:bookmarkEnd w:id="787"/>
      <w:bookmarkEnd w:id="788"/>
      <w:r w:rsidRPr="00292532">
        <w:t xml:space="preserve"> </w:t>
      </w:r>
    </w:p>
    <w:p w14:paraId="54BFBE25" w14:textId="78667AFA" w:rsidR="00174181" w:rsidRPr="00292532" w:rsidRDefault="007462D4" w:rsidP="00CF4B4B">
      <w:pPr>
        <w:rPr>
          <w:lang w:val="pt-PT" w:eastAsia="ja-JP"/>
        </w:rPr>
      </w:pPr>
      <w:r w:rsidRPr="00292532">
        <w:rPr>
          <w:lang w:val="pt-PT" w:eastAsia="ja-JP"/>
        </w:rPr>
        <w:t xml:space="preserve">Uma gestão apropriada de combustíveis e produtos químicos com o intuito de prevenir derrames, fugas ou incêndios, requer a implementação de medidas de gestão durante a transferência, transporte e armazenamento de combustíveis e químicos assim como durante o abastecimento de combustível. A </w:t>
      </w:r>
      <w:r w:rsidR="008C11E8" w:rsidRPr="00292532">
        <w:rPr>
          <w:b/>
          <w:bCs/>
          <w:lang w:val="pt-PT" w:eastAsia="ja-JP"/>
        </w:rPr>
        <w:t>Tabela 2</w:t>
      </w:r>
      <w:r w:rsidR="00872737" w:rsidRPr="00292532">
        <w:rPr>
          <w:lang w:val="pt-PT" w:eastAsia="ja-JP"/>
        </w:rPr>
        <w:t xml:space="preserve">, </w:t>
      </w:r>
      <w:r w:rsidRPr="00292532">
        <w:rPr>
          <w:lang w:val="pt-PT" w:eastAsia="ja-JP"/>
        </w:rPr>
        <w:t xml:space="preserve">abaixo apresenta medidas gerais inerentes à cada um destes processos. </w:t>
      </w:r>
    </w:p>
    <w:p w14:paraId="1615B0AE" w14:textId="56ECB236" w:rsidR="000563D3" w:rsidRPr="00292532" w:rsidRDefault="000563D3" w:rsidP="007A1525">
      <w:pPr>
        <w:pStyle w:val="Caption"/>
      </w:pPr>
      <w:bookmarkStart w:id="789" w:name="_Ref73458182"/>
      <w:bookmarkStart w:id="790" w:name="_Ref73458179"/>
      <w:r w:rsidRPr="00292532">
        <w:t>Tabela</w:t>
      </w:r>
      <w:r w:rsidR="008C11E8" w:rsidRPr="00292532">
        <w:t xml:space="preserve"> 2</w:t>
      </w:r>
      <w:bookmarkEnd w:id="789"/>
      <w:r w:rsidRPr="00292532">
        <w:t xml:space="preserve">: </w:t>
      </w:r>
      <w:proofErr w:type="spellStart"/>
      <w:r w:rsidRPr="00292532">
        <w:t>Acções</w:t>
      </w:r>
      <w:proofErr w:type="spellEnd"/>
      <w:r w:rsidRPr="00292532">
        <w:t xml:space="preserve"> e Medidas de Gestão de Combustíveis e Produtos Químicos</w:t>
      </w:r>
      <w:bookmarkEnd w:id="790"/>
    </w:p>
    <w:tbl>
      <w:tblPr>
        <w:tblStyle w:val="GridTable4-Accent51"/>
        <w:tblW w:w="8725" w:type="dxa"/>
        <w:tblLook w:val="04A0" w:firstRow="1" w:lastRow="0" w:firstColumn="1" w:lastColumn="0" w:noHBand="0" w:noVBand="1"/>
      </w:tblPr>
      <w:tblGrid>
        <w:gridCol w:w="2605"/>
        <w:gridCol w:w="6120"/>
      </w:tblGrid>
      <w:tr w:rsidR="00CA7E2A" w:rsidRPr="00292532" w14:paraId="40D16463" w14:textId="77777777" w:rsidTr="007A1525">
        <w:trPr>
          <w:cnfStyle w:val="100000000000" w:firstRow="1" w:lastRow="0" w:firstColumn="0" w:lastColumn="0" w:oddVBand="0" w:evenVBand="0" w:oddHBand="0" w:evenHBand="0" w:firstRowFirstColumn="0" w:firstRowLastColumn="0" w:lastRowFirstColumn="0" w:lastRowLastColumn="0"/>
          <w:trHeight w:val="643"/>
          <w:tblHeader/>
        </w:trPr>
        <w:tc>
          <w:tcPr>
            <w:cnfStyle w:val="001000000000" w:firstRow="0" w:lastRow="0" w:firstColumn="1" w:lastColumn="0" w:oddVBand="0" w:evenVBand="0" w:oddHBand="0" w:evenHBand="0" w:firstRowFirstColumn="0" w:firstRowLastColumn="0" w:lastRowFirstColumn="0" w:lastRowLastColumn="0"/>
            <w:tcW w:w="0" w:type="dxa"/>
          </w:tcPr>
          <w:p w14:paraId="19A66E52" w14:textId="55BAB433" w:rsidR="007462D4" w:rsidRPr="00292532" w:rsidRDefault="007462D4" w:rsidP="007A1525">
            <w:pPr>
              <w:jc w:val="center"/>
              <w:rPr>
                <w:sz w:val="20"/>
                <w:szCs w:val="20"/>
                <w:lang w:val="pt-PT" w:eastAsia="ja-JP"/>
              </w:rPr>
            </w:pPr>
            <w:r w:rsidRPr="004500AE">
              <w:rPr>
                <w:sz w:val="20"/>
                <w:szCs w:val="20"/>
                <w:lang w:val="pt-PT" w:eastAsia="ja-JP"/>
              </w:rPr>
              <w:t>Processo/</w:t>
            </w:r>
            <w:proofErr w:type="spellStart"/>
            <w:r w:rsidRPr="004500AE">
              <w:rPr>
                <w:sz w:val="20"/>
                <w:szCs w:val="20"/>
                <w:lang w:val="pt-PT" w:eastAsia="ja-JP"/>
              </w:rPr>
              <w:t>actividade</w:t>
            </w:r>
            <w:proofErr w:type="spellEnd"/>
          </w:p>
        </w:tc>
        <w:tc>
          <w:tcPr>
            <w:tcW w:w="0" w:type="dxa"/>
          </w:tcPr>
          <w:p w14:paraId="20E308B2" w14:textId="17554B3B" w:rsidR="007462D4" w:rsidRPr="00292532" w:rsidRDefault="007462D4" w:rsidP="007A1525">
            <w:pPr>
              <w:jc w:val="center"/>
              <w:cnfStyle w:val="100000000000" w:firstRow="1" w:lastRow="0" w:firstColumn="0" w:lastColumn="0" w:oddVBand="0" w:evenVBand="0" w:oddHBand="0" w:evenHBand="0" w:firstRowFirstColumn="0" w:firstRowLastColumn="0" w:lastRowFirstColumn="0" w:lastRowLastColumn="0"/>
              <w:rPr>
                <w:sz w:val="20"/>
                <w:szCs w:val="20"/>
                <w:lang w:val="pt-PT" w:eastAsia="ja-JP"/>
              </w:rPr>
            </w:pPr>
            <w:r w:rsidRPr="004500AE">
              <w:rPr>
                <w:sz w:val="20"/>
                <w:szCs w:val="20"/>
                <w:lang w:val="pt-PT" w:eastAsia="ja-JP"/>
              </w:rPr>
              <w:t xml:space="preserve">Medidas / </w:t>
            </w:r>
            <w:proofErr w:type="spellStart"/>
            <w:r w:rsidRPr="004500AE">
              <w:rPr>
                <w:sz w:val="20"/>
                <w:szCs w:val="20"/>
                <w:lang w:val="pt-PT" w:eastAsia="ja-JP"/>
              </w:rPr>
              <w:t>acções</w:t>
            </w:r>
            <w:proofErr w:type="spellEnd"/>
          </w:p>
        </w:tc>
      </w:tr>
      <w:tr w:rsidR="00CA7E2A" w:rsidRPr="004E2EAC" w14:paraId="5B26B60F" w14:textId="77777777" w:rsidTr="00CA7E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3C050DFF" w14:textId="4A3CBE17" w:rsidR="007462D4" w:rsidRPr="00292532" w:rsidRDefault="007462D4" w:rsidP="00AB4662">
            <w:pPr>
              <w:rPr>
                <w:sz w:val="20"/>
                <w:szCs w:val="20"/>
                <w:lang w:val="pt-PT" w:eastAsia="ja-JP"/>
              </w:rPr>
            </w:pPr>
            <w:r w:rsidRPr="004500AE">
              <w:rPr>
                <w:sz w:val="20"/>
                <w:szCs w:val="20"/>
                <w:lang w:val="pt-PT" w:eastAsia="ja-JP"/>
              </w:rPr>
              <w:t>Transporte/transferência</w:t>
            </w:r>
          </w:p>
        </w:tc>
        <w:tc>
          <w:tcPr>
            <w:tcW w:w="6120" w:type="dxa"/>
          </w:tcPr>
          <w:p w14:paraId="1C7D0D8B" w14:textId="50CA6167" w:rsidR="007462D4" w:rsidRPr="00292532" w:rsidRDefault="007462D4" w:rsidP="00AE14AE">
            <w:pPr>
              <w:pStyle w:val="ListParagraph"/>
              <w:numPr>
                <w:ilvl w:val="0"/>
                <w:numId w:val="98"/>
              </w:numPr>
              <w:spacing w:after="0"/>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 xml:space="preserve">Antes do transporte de materiais perigosos, os veículos serão </w:t>
            </w:r>
            <w:proofErr w:type="spellStart"/>
            <w:r w:rsidRPr="00292532">
              <w:rPr>
                <w:sz w:val="20"/>
                <w:szCs w:val="20"/>
                <w:lang w:val="pt-PT" w:eastAsia="ja-JP"/>
              </w:rPr>
              <w:t>inspeccionados</w:t>
            </w:r>
            <w:proofErr w:type="spellEnd"/>
            <w:r w:rsidRPr="00292532">
              <w:rPr>
                <w:sz w:val="20"/>
                <w:szCs w:val="20"/>
                <w:lang w:val="pt-PT" w:eastAsia="ja-JP"/>
              </w:rPr>
              <w:t xml:space="preserve"> quanto a fugas e outros potenciais problemas de segurança</w:t>
            </w:r>
          </w:p>
          <w:p w14:paraId="07A500EF" w14:textId="7F07904B" w:rsidR="00D96458" w:rsidRPr="00292532" w:rsidRDefault="00D96458" w:rsidP="00AE14AE">
            <w:pPr>
              <w:pStyle w:val="ListParagraph"/>
              <w:numPr>
                <w:ilvl w:val="0"/>
                <w:numId w:val="98"/>
              </w:numPr>
              <w:spacing w:after="0"/>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 xml:space="preserve">Os veículos que transportem materiais perigosos serão equipados com kits para contenção de derrame de combustível (p.e. pás, fita sinalizadora, almofadas, sacos de plástico de alta resistência, vestuário de </w:t>
            </w:r>
            <w:proofErr w:type="spellStart"/>
            <w:r w:rsidRPr="00292532">
              <w:rPr>
                <w:sz w:val="20"/>
                <w:szCs w:val="20"/>
                <w:lang w:val="pt-PT" w:eastAsia="ja-JP"/>
              </w:rPr>
              <w:t>protecção</w:t>
            </w:r>
            <w:proofErr w:type="spellEnd"/>
            <w:r w:rsidRPr="00292532">
              <w:rPr>
                <w:sz w:val="20"/>
                <w:szCs w:val="20"/>
                <w:lang w:val="pt-PT" w:eastAsia="ja-JP"/>
              </w:rPr>
              <w:t xml:space="preserve"> individual (p. ex., luvas)</w:t>
            </w:r>
          </w:p>
          <w:p w14:paraId="7AD0F1B4" w14:textId="77777777" w:rsidR="00D96458" w:rsidRPr="00292532" w:rsidRDefault="00D96458" w:rsidP="00AE14AE">
            <w:pPr>
              <w:pStyle w:val="ListParagraph"/>
              <w:numPr>
                <w:ilvl w:val="0"/>
                <w:numId w:val="98"/>
              </w:numPr>
              <w:spacing w:after="0"/>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Todos os materiais perigosos serão devidamente sinalizados (placa) e/ou marcados e devidamente colocados em contentores e sempre etiquetados, incluindo durante o transporte</w:t>
            </w:r>
          </w:p>
          <w:p w14:paraId="1FC10DA0" w14:textId="60379251" w:rsidR="00D96458" w:rsidRPr="00292532" w:rsidRDefault="00D96458" w:rsidP="00AE14AE">
            <w:pPr>
              <w:pStyle w:val="ListParagraph"/>
              <w:numPr>
                <w:ilvl w:val="0"/>
                <w:numId w:val="98"/>
              </w:numPr>
              <w:spacing w:after="0"/>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A transferência de materiais deve ser, sempre que possível feita com equipamento apropriado, bombas, mangueiras e equipamento de segurança</w:t>
            </w:r>
          </w:p>
          <w:p w14:paraId="655F7029" w14:textId="77777777" w:rsidR="00D96458" w:rsidRPr="00292532" w:rsidRDefault="00D96458" w:rsidP="00AE14AE">
            <w:pPr>
              <w:pStyle w:val="ListParagraph"/>
              <w:numPr>
                <w:ilvl w:val="0"/>
                <w:numId w:val="98"/>
              </w:numPr>
              <w:spacing w:after="0"/>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 xml:space="preserve">Antes de qualquer operação de transferência os tanques serão </w:t>
            </w:r>
            <w:proofErr w:type="spellStart"/>
            <w:r w:rsidRPr="00292532">
              <w:rPr>
                <w:sz w:val="20"/>
                <w:szCs w:val="20"/>
                <w:lang w:val="pt-PT" w:eastAsia="ja-JP"/>
              </w:rPr>
              <w:t>inspeccionados</w:t>
            </w:r>
            <w:proofErr w:type="spellEnd"/>
            <w:r w:rsidRPr="00292532">
              <w:rPr>
                <w:sz w:val="20"/>
                <w:szCs w:val="20"/>
                <w:lang w:val="pt-PT" w:eastAsia="ja-JP"/>
              </w:rPr>
              <w:t xml:space="preserve"> visualmente para assegurar a ausência de fugas</w:t>
            </w:r>
          </w:p>
          <w:p w14:paraId="7893DA32" w14:textId="19DDF8C9" w:rsidR="00D96458" w:rsidRPr="00292532" w:rsidRDefault="00D96458" w:rsidP="00AE14AE">
            <w:pPr>
              <w:pStyle w:val="ListParagraph"/>
              <w:numPr>
                <w:ilvl w:val="0"/>
                <w:numId w:val="98"/>
              </w:numPr>
              <w:spacing w:after="0"/>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A Ficha de Dados de Segurança de Materiais (MSDS) será cuidadosamente considerada para manuseamento adequado</w:t>
            </w:r>
          </w:p>
        </w:tc>
      </w:tr>
      <w:tr w:rsidR="007462D4" w:rsidRPr="004E2EAC" w14:paraId="062056E4" w14:textId="77777777" w:rsidTr="007A1525">
        <w:tc>
          <w:tcPr>
            <w:cnfStyle w:val="001000000000" w:firstRow="0" w:lastRow="0" w:firstColumn="1" w:lastColumn="0" w:oddVBand="0" w:evenVBand="0" w:oddHBand="0" w:evenHBand="0" w:firstRowFirstColumn="0" w:firstRowLastColumn="0" w:lastRowFirstColumn="0" w:lastRowLastColumn="0"/>
            <w:tcW w:w="2605" w:type="dxa"/>
          </w:tcPr>
          <w:p w14:paraId="77234E10" w14:textId="1DB498AC" w:rsidR="007462D4" w:rsidRPr="00292532" w:rsidRDefault="00D96458" w:rsidP="00AB4662">
            <w:pPr>
              <w:rPr>
                <w:sz w:val="20"/>
                <w:szCs w:val="20"/>
                <w:lang w:val="pt-PT" w:eastAsia="ja-JP"/>
              </w:rPr>
            </w:pPr>
            <w:r w:rsidRPr="004500AE">
              <w:rPr>
                <w:sz w:val="20"/>
                <w:szCs w:val="20"/>
                <w:lang w:val="pt-PT" w:eastAsia="ja-JP"/>
              </w:rPr>
              <w:t>Armazenamento</w:t>
            </w:r>
          </w:p>
        </w:tc>
        <w:tc>
          <w:tcPr>
            <w:tcW w:w="6120" w:type="dxa"/>
          </w:tcPr>
          <w:p w14:paraId="22475B80" w14:textId="2C8E6610" w:rsidR="00D96458" w:rsidRPr="00292532" w:rsidRDefault="00D96458" w:rsidP="00AE14AE">
            <w:pPr>
              <w:pStyle w:val="ListParagraph"/>
              <w:numPr>
                <w:ilvl w:val="0"/>
                <w:numId w:val="98"/>
              </w:numPr>
              <w:spacing w:after="0"/>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292532">
              <w:rPr>
                <w:sz w:val="20"/>
                <w:szCs w:val="20"/>
                <w:lang w:val="pt-PT" w:eastAsia="ja-JP"/>
              </w:rPr>
              <w:t>Todo o combustível e produtos químicos líquidos serão guardados numa zona demarcada na área de construção</w:t>
            </w:r>
          </w:p>
          <w:p w14:paraId="268DF7B9" w14:textId="11815BBC" w:rsidR="00D96458" w:rsidRPr="00292532" w:rsidRDefault="00D96458" w:rsidP="00AE14AE">
            <w:pPr>
              <w:pStyle w:val="ListParagraph"/>
              <w:numPr>
                <w:ilvl w:val="0"/>
                <w:numId w:val="98"/>
              </w:numPr>
              <w:spacing w:after="0"/>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292532">
              <w:rPr>
                <w:sz w:val="20"/>
                <w:szCs w:val="20"/>
                <w:lang w:val="pt-PT" w:eastAsia="ja-JP"/>
              </w:rPr>
              <w:t xml:space="preserve">Devem ser disponibilizados nos armazéns e nos locais de reabastecimento kits para contenção de derrame de combustível; </w:t>
            </w:r>
          </w:p>
          <w:p w14:paraId="52BA41F7" w14:textId="6DEE3406" w:rsidR="00D96458" w:rsidRPr="00292532" w:rsidRDefault="00D96458" w:rsidP="00AE14AE">
            <w:pPr>
              <w:pStyle w:val="ListParagraph"/>
              <w:numPr>
                <w:ilvl w:val="0"/>
                <w:numId w:val="98"/>
              </w:numPr>
              <w:spacing w:after="0"/>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292532">
              <w:rPr>
                <w:sz w:val="20"/>
                <w:szCs w:val="20"/>
                <w:lang w:val="pt-PT" w:eastAsia="ja-JP"/>
              </w:rPr>
              <w:t>Todos os combustíveis líquidos (gasolina e gasóleo) devem ser armazenados em tanques com tampas que se mantenham firmemente fechados</w:t>
            </w:r>
          </w:p>
          <w:p w14:paraId="2F652CDB" w14:textId="75CB5963" w:rsidR="00D96458" w:rsidRPr="00292532" w:rsidRDefault="00D96458" w:rsidP="00AE14AE">
            <w:pPr>
              <w:pStyle w:val="ListParagraph"/>
              <w:numPr>
                <w:ilvl w:val="0"/>
                <w:numId w:val="98"/>
              </w:numPr>
              <w:spacing w:after="0"/>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292532">
              <w:rPr>
                <w:sz w:val="20"/>
                <w:szCs w:val="20"/>
                <w:lang w:val="pt-PT" w:eastAsia="ja-JP"/>
              </w:rPr>
              <w:t>Todos os tanques vazios e sujos externamente devem ser selados e guardados numa zona onde o solo tenha sido protegido</w:t>
            </w:r>
          </w:p>
          <w:p w14:paraId="28BCD12E" w14:textId="46C1DEFF" w:rsidR="007462D4" w:rsidRPr="00292532" w:rsidRDefault="00D96458" w:rsidP="00AE14AE">
            <w:pPr>
              <w:pStyle w:val="ListParagraph"/>
              <w:numPr>
                <w:ilvl w:val="0"/>
                <w:numId w:val="98"/>
              </w:numPr>
              <w:spacing w:after="0"/>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292532">
              <w:rPr>
                <w:sz w:val="20"/>
                <w:szCs w:val="20"/>
                <w:lang w:val="pt-PT" w:eastAsia="ja-JP"/>
              </w:rPr>
              <w:t xml:space="preserve">Os tanques que contêm combustíveis ficarão situados numa base à superfície lisa e impermeável (plástico ou cimento) com um </w:t>
            </w:r>
            <w:proofErr w:type="spellStart"/>
            <w:r w:rsidRPr="00292532">
              <w:rPr>
                <w:sz w:val="20"/>
                <w:szCs w:val="20"/>
                <w:lang w:val="pt-PT" w:eastAsia="ja-JP"/>
              </w:rPr>
              <w:t>colector</w:t>
            </w:r>
            <w:proofErr w:type="spellEnd"/>
            <w:r w:rsidRPr="00292532">
              <w:rPr>
                <w:sz w:val="20"/>
                <w:szCs w:val="20"/>
                <w:lang w:val="pt-PT" w:eastAsia="ja-JP"/>
              </w:rPr>
              <w:t xml:space="preserve"> para conter quaisquer possíveis derrames e impedir a infiltração de combustível no solo</w:t>
            </w:r>
            <w:r w:rsidR="00033BD3">
              <w:rPr>
                <w:sz w:val="20"/>
                <w:szCs w:val="20"/>
                <w:lang w:val="pt-PT" w:eastAsia="ja-JP"/>
              </w:rPr>
              <w:t xml:space="preserve">. Os tanques de </w:t>
            </w:r>
            <w:proofErr w:type="spellStart"/>
            <w:r w:rsidR="00033BD3">
              <w:rPr>
                <w:sz w:val="20"/>
                <w:szCs w:val="20"/>
                <w:lang w:val="pt-PT" w:eastAsia="ja-JP"/>
              </w:rPr>
              <w:t>amarzenamento</w:t>
            </w:r>
            <w:proofErr w:type="spellEnd"/>
            <w:r w:rsidR="00033BD3">
              <w:rPr>
                <w:sz w:val="20"/>
                <w:szCs w:val="20"/>
                <w:lang w:val="pt-PT" w:eastAsia="ja-JP"/>
              </w:rPr>
              <w:t xml:space="preserve"> de combustível devem ser posicionados sobre estrutura em betão com um volume equivalente a 110% do volume do tanque de combustível de maior dimensão.</w:t>
            </w:r>
          </w:p>
          <w:p w14:paraId="2076BC3E" w14:textId="7C1FC5B3" w:rsidR="00D96458" w:rsidRPr="00292532" w:rsidRDefault="000563D3" w:rsidP="00AE14AE">
            <w:pPr>
              <w:pStyle w:val="ListParagraph"/>
              <w:numPr>
                <w:ilvl w:val="0"/>
                <w:numId w:val="98"/>
              </w:numPr>
              <w:spacing w:after="0"/>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292532">
              <w:rPr>
                <w:sz w:val="20"/>
                <w:szCs w:val="20"/>
                <w:lang w:val="pt-PT" w:eastAsia="ja-JP"/>
              </w:rPr>
              <w:t xml:space="preserve">Os tanques de armazenamento devem ser providos de contenção secundária </w:t>
            </w:r>
          </w:p>
        </w:tc>
      </w:tr>
      <w:tr w:rsidR="00CA7E2A" w:rsidRPr="004E2EAC" w14:paraId="63E49079" w14:textId="77777777" w:rsidTr="00CA7E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21B21D6E" w14:textId="1444D669" w:rsidR="007462D4" w:rsidRPr="00292532" w:rsidRDefault="000563D3" w:rsidP="00AB4662">
            <w:pPr>
              <w:rPr>
                <w:sz w:val="20"/>
                <w:szCs w:val="20"/>
                <w:lang w:val="pt-PT" w:eastAsia="ja-JP"/>
              </w:rPr>
            </w:pPr>
            <w:r w:rsidRPr="004500AE">
              <w:rPr>
                <w:sz w:val="20"/>
                <w:szCs w:val="20"/>
                <w:lang w:val="pt-PT" w:eastAsia="ja-JP"/>
              </w:rPr>
              <w:t>Abastecimento de combustível</w:t>
            </w:r>
          </w:p>
        </w:tc>
        <w:tc>
          <w:tcPr>
            <w:tcW w:w="6120" w:type="dxa"/>
          </w:tcPr>
          <w:p w14:paraId="3B6F831E" w14:textId="6381C4B6" w:rsidR="000563D3" w:rsidRPr="00292532" w:rsidRDefault="000563D3" w:rsidP="00AE14AE">
            <w:pPr>
              <w:pStyle w:val="ListParagraph"/>
              <w:numPr>
                <w:ilvl w:val="0"/>
                <w:numId w:val="98"/>
              </w:numPr>
              <w:spacing w:after="0"/>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 xml:space="preserve">O abastecimento deve ser feito em locais com pavimento sólido e com contenção de combustível </w:t>
            </w:r>
          </w:p>
          <w:p w14:paraId="02996718" w14:textId="0464783A" w:rsidR="000563D3" w:rsidRPr="00292532" w:rsidRDefault="000563D3" w:rsidP="00AE14AE">
            <w:pPr>
              <w:pStyle w:val="ListParagraph"/>
              <w:numPr>
                <w:ilvl w:val="0"/>
                <w:numId w:val="98"/>
              </w:numPr>
              <w:spacing w:after="0"/>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 xml:space="preserve">Os trabalhadores da área deverão </w:t>
            </w:r>
            <w:proofErr w:type="spellStart"/>
            <w:r w:rsidRPr="00292532">
              <w:rPr>
                <w:sz w:val="20"/>
                <w:szCs w:val="20"/>
                <w:lang w:val="pt-PT" w:eastAsia="ja-JP"/>
              </w:rPr>
              <w:t>efectuar</w:t>
            </w:r>
            <w:proofErr w:type="spellEnd"/>
            <w:r w:rsidRPr="00292532">
              <w:rPr>
                <w:sz w:val="20"/>
                <w:szCs w:val="20"/>
                <w:lang w:val="pt-PT" w:eastAsia="ja-JP"/>
              </w:rPr>
              <w:t xml:space="preserve"> a monitorização das operações adequadas e seguras da área de abastecimento, e tomar medidas imediatas para corrigir quaisquer deficiências </w:t>
            </w:r>
          </w:p>
          <w:p w14:paraId="2DC4442D" w14:textId="1D64F116" w:rsidR="000563D3" w:rsidRPr="00292532" w:rsidRDefault="000563D3" w:rsidP="00AE14AE">
            <w:pPr>
              <w:pStyle w:val="ListParagraph"/>
              <w:numPr>
                <w:ilvl w:val="0"/>
                <w:numId w:val="99"/>
              </w:numPr>
              <w:spacing w:after="0"/>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Ler as instruções de funcionamento publicadas</w:t>
            </w:r>
          </w:p>
          <w:p w14:paraId="5D782BE4" w14:textId="44818C51" w:rsidR="000563D3" w:rsidRPr="004500AE" w:rsidRDefault="000563D3" w:rsidP="00AE14AE">
            <w:pPr>
              <w:pStyle w:val="ListParagraph"/>
              <w:numPr>
                <w:ilvl w:val="0"/>
                <w:numId w:val="99"/>
              </w:numPr>
              <w:spacing w:after="0"/>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4500AE">
              <w:rPr>
                <w:sz w:val="20"/>
                <w:szCs w:val="20"/>
                <w:lang w:val="pt-PT" w:eastAsia="ja-JP"/>
              </w:rPr>
              <w:lastRenderedPageBreak/>
              <w:t>Desligar o motor ao abastecer</w:t>
            </w:r>
          </w:p>
          <w:p w14:paraId="6638B6D9" w14:textId="38F0E986" w:rsidR="000563D3" w:rsidRPr="00292532" w:rsidRDefault="000563D3" w:rsidP="00AE14AE">
            <w:pPr>
              <w:pStyle w:val="ListParagraph"/>
              <w:numPr>
                <w:ilvl w:val="0"/>
                <w:numId w:val="99"/>
              </w:numPr>
              <w:spacing w:after="0"/>
              <w:cnfStyle w:val="000000100000" w:firstRow="0" w:lastRow="0" w:firstColumn="0" w:lastColumn="0" w:oddVBand="0" w:evenVBand="0" w:oddHBand="1" w:evenHBand="0" w:firstRowFirstColumn="0" w:firstRowLastColumn="0" w:lastRowFirstColumn="0" w:lastRowLastColumn="0"/>
              <w:rPr>
                <w:sz w:val="20"/>
                <w:szCs w:val="20"/>
                <w:lang w:val="pt-PT" w:eastAsia="ja-JP"/>
              </w:rPr>
            </w:pPr>
            <w:proofErr w:type="spellStart"/>
            <w:r w:rsidRPr="00292532">
              <w:rPr>
                <w:sz w:val="20"/>
                <w:szCs w:val="20"/>
                <w:lang w:val="pt-PT" w:eastAsia="ja-JP"/>
              </w:rPr>
              <w:t>Accionar</w:t>
            </w:r>
            <w:proofErr w:type="spellEnd"/>
            <w:r w:rsidRPr="00292532">
              <w:rPr>
                <w:sz w:val="20"/>
                <w:szCs w:val="20"/>
                <w:lang w:val="pt-PT" w:eastAsia="ja-JP"/>
              </w:rPr>
              <w:t xml:space="preserve"> o travão de emergência e colocar um calço nas rodas do veículo</w:t>
            </w:r>
          </w:p>
          <w:p w14:paraId="28CB87B0" w14:textId="42C2198A" w:rsidR="000563D3" w:rsidRPr="00292532" w:rsidRDefault="000563D3" w:rsidP="00AE14AE">
            <w:pPr>
              <w:pStyle w:val="ListParagraph"/>
              <w:numPr>
                <w:ilvl w:val="0"/>
                <w:numId w:val="99"/>
              </w:numPr>
              <w:spacing w:after="0"/>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Manter-se junto ao veículo durante o abastecimento do mesmo</w:t>
            </w:r>
          </w:p>
          <w:p w14:paraId="23213126" w14:textId="0D3B9B51" w:rsidR="000563D3" w:rsidRPr="00292532" w:rsidRDefault="000563D3" w:rsidP="00AE14AE">
            <w:pPr>
              <w:pStyle w:val="ListParagraph"/>
              <w:numPr>
                <w:ilvl w:val="0"/>
                <w:numId w:val="99"/>
              </w:numPr>
              <w:spacing w:after="0"/>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 xml:space="preserve">Não bloquear o </w:t>
            </w:r>
            <w:proofErr w:type="spellStart"/>
            <w:r w:rsidRPr="00292532">
              <w:rPr>
                <w:sz w:val="20"/>
                <w:szCs w:val="20"/>
                <w:lang w:val="pt-PT" w:eastAsia="ja-JP"/>
              </w:rPr>
              <w:t>accionador</w:t>
            </w:r>
            <w:proofErr w:type="spellEnd"/>
            <w:r w:rsidRPr="00292532">
              <w:rPr>
                <w:sz w:val="20"/>
                <w:szCs w:val="20"/>
                <w:lang w:val="pt-PT" w:eastAsia="ja-JP"/>
              </w:rPr>
              <w:t xml:space="preserve"> da pega da bomba do combustível</w:t>
            </w:r>
          </w:p>
          <w:p w14:paraId="4B6739D9" w14:textId="2B5A95EE" w:rsidR="000563D3" w:rsidRPr="00292532" w:rsidRDefault="000563D3" w:rsidP="00AE14AE">
            <w:pPr>
              <w:pStyle w:val="ListParagraph"/>
              <w:numPr>
                <w:ilvl w:val="0"/>
                <w:numId w:val="99"/>
              </w:numPr>
              <w:spacing w:after="0"/>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Não utilizar telemóvel durante a operação de abastecimento</w:t>
            </w:r>
          </w:p>
          <w:p w14:paraId="522318C4" w14:textId="4D369A49" w:rsidR="000563D3" w:rsidRPr="00292532" w:rsidRDefault="000563D3" w:rsidP="00AE14AE">
            <w:pPr>
              <w:pStyle w:val="ListParagraph"/>
              <w:numPr>
                <w:ilvl w:val="0"/>
                <w:numId w:val="99"/>
              </w:numPr>
              <w:spacing w:after="0"/>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Assegurar que o bico de gás está completamente inserido no tubo do tanque de gás</w:t>
            </w:r>
          </w:p>
          <w:p w14:paraId="2779F65D" w14:textId="42C9BFA8" w:rsidR="000563D3" w:rsidRPr="00292532" w:rsidRDefault="000563D3" w:rsidP="00AE14AE">
            <w:pPr>
              <w:pStyle w:val="ListParagraph"/>
              <w:numPr>
                <w:ilvl w:val="0"/>
                <w:numId w:val="99"/>
              </w:numPr>
              <w:spacing w:after="0"/>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Assegurar-se de que o tampão de gás está devidamente fixado e que a portinhola do depósito do gás está fechada ao concluir o abastecimento</w:t>
            </w:r>
          </w:p>
          <w:p w14:paraId="491FCC11" w14:textId="16A02CFE" w:rsidR="007462D4" w:rsidRPr="00292532" w:rsidRDefault="000563D3" w:rsidP="00AE14AE">
            <w:pPr>
              <w:pStyle w:val="ListParagraph"/>
              <w:numPr>
                <w:ilvl w:val="0"/>
                <w:numId w:val="99"/>
              </w:numPr>
              <w:spacing w:after="0"/>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 xml:space="preserve"> Familiarizar-se com os procedimentos de emergência</w:t>
            </w:r>
          </w:p>
        </w:tc>
      </w:tr>
    </w:tbl>
    <w:p w14:paraId="00AD30A5" w14:textId="77777777" w:rsidR="007462D4" w:rsidRPr="00292532" w:rsidRDefault="007462D4" w:rsidP="00CF4B4B">
      <w:pPr>
        <w:rPr>
          <w:lang w:val="pt-PT" w:eastAsia="ja-JP"/>
        </w:rPr>
      </w:pPr>
    </w:p>
    <w:p w14:paraId="28063694" w14:textId="5044C170" w:rsidR="0045794B" w:rsidRPr="00292532" w:rsidRDefault="00E86E49" w:rsidP="007A1525">
      <w:pPr>
        <w:pStyle w:val="Heading2"/>
      </w:pPr>
      <w:bookmarkStart w:id="791" w:name="_Toc73620226"/>
      <w:bookmarkStart w:id="792" w:name="_Toc73623853"/>
      <w:bookmarkStart w:id="793" w:name="_Toc73624501"/>
      <w:bookmarkStart w:id="794" w:name="_Toc73954636"/>
      <w:bookmarkStart w:id="795" w:name="_Toc75438022"/>
      <w:bookmarkStart w:id="796" w:name="_Toc78435461"/>
      <w:bookmarkStart w:id="797" w:name="_Toc80380131"/>
      <w:r w:rsidRPr="00292532">
        <w:t>Prevenção de Derrames</w:t>
      </w:r>
      <w:bookmarkEnd w:id="791"/>
      <w:bookmarkEnd w:id="792"/>
      <w:bookmarkEnd w:id="793"/>
      <w:bookmarkEnd w:id="794"/>
      <w:bookmarkEnd w:id="795"/>
      <w:bookmarkEnd w:id="796"/>
      <w:bookmarkEnd w:id="797"/>
      <w:r w:rsidRPr="00292532">
        <w:t xml:space="preserve"> </w:t>
      </w:r>
    </w:p>
    <w:p w14:paraId="1F524273" w14:textId="3B73F80B" w:rsidR="000F7BC2" w:rsidRPr="00292532" w:rsidRDefault="000F7BC2" w:rsidP="00E86E49">
      <w:pPr>
        <w:rPr>
          <w:lang w:val="pt-PT" w:eastAsia="ja-JP"/>
        </w:rPr>
      </w:pPr>
      <w:r w:rsidRPr="00292532">
        <w:rPr>
          <w:lang w:val="pt-PT" w:eastAsia="ja-JP"/>
        </w:rPr>
        <w:t>A prevenção de derrames parte primariamente</w:t>
      </w:r>
      <w:r w:rsidR="000563D3" w:rsidRPr="00292532">
        <w:rPr>
          <w:lang w:val="pt-PT" w:eastAsia="ja-JP"/>
        </w:rPr>
        <w:t xml:space="preserve"> da</w:t>
      </w:r>
      <w:r w:rsidRPr="00292532">
        <w:rPr>
          <w:lang w:val="pt-PT" w:eastAsia="ja-JP"/>
        </w:rPr>
        <w:t xml:space="preserve"> implementação das medidas de gestão de armazenamento</w:t>
      </w:r>
      <w:r w:rsidR="00B75E3B" w:rsidRPr="00292532">
        <w:rPr>
          <w:lang w:val="pt-PT" w:eastAsia="ja-JP"/>
        </w:rPr>
        <w:t>, transferência,</w:t>
      </w:r>
      <w:r w:rsidRPr="00292532">
        <w:rPr>
          <w:lang w:val="pt-PT" w:eastAsia="ja-JP"/>
        </w:rPr>
        <w:t xml:space="preserve"> manuseamento</w:t>
      </w:r>
      <w:r w:rsidR="00B75E3B" w:rsidRPr="00292532">
        <w:rPr>
          <w:lang w:val="pt-PT" w:eastAsia="ja-JP"/>
        </w:rPr>
        <w:t xml:space="preserve"> e eliminação</w:t>
      </w:r>
      <w:r w:rsidRPr="00292532">
        <w:rPr>
          <w:lang w:val="pt-PT" w:eastAsia="ja-JP"/>
        </w:rPr>
        <w:t xml:space="preserve"> de combustíveis e químicos nos locais das obras, nas oficinas e acampamentos temporários</w:t>
      </w:r>
      <w:r w:rsidR="00B75E3B" w:rsidRPr="00292532">
        <w:rPr>
          <w:lang w:val="pt-PT" w:eastAsia="ja-JP"/>
        </w:rPr>
        <w:t xml:space="preserve"> conforme identificadas nas</w:t>
      </w:r>
      <w:r w:rsidR="00B75E3B" w:rsidRPr="00292532">
        <w:rPr>
          <w:b/>
          <w:bCs/>
          <w:lang w:val="pt-PT" w:eastAsia="ja-JP"/>
        </w:rPr>
        <w:t xml:space="preserve"> Secções   </w:t>
      </w:r>
      <w:r w:rsidR="00B75E3B" w:rsidRPr="00292532">
        <w:rPr>
          <w:b/>
          <w:bCs/>
          <w:lang w:val="pt-PT" w:eastAsia="ja-JP"/>
        </w:rPr>
        <w:fldChar w:fldCharType="begin"/>
      </w:r>
      <w:r w:rsidR="00B75E3B" w:rsidRPr="00292532">
        <w:rPr>
          <w:b/>
          <w:bCs/>
          <w:lang w:val="pt-PT" w:eastAsia="ja-JP"/>
        </w:rPr>
        <w:instrText xml:space="preserve"> REF _Ref73450435 \r \h  \* MERGEFORMAT </w:instrText>
      </w:r>
      <w:r w:rsidR="00B75E3B" w:rsidRPr="00292532">
        <w:rPr>
          <w:b/>
          <w:bCs/>
          <w:lang w:val="pt-PT" w:eastAsia="ja-JP"/>
        </w:rPr>
      </w:r>
      <w:r w:rsidR="00B75E3B" w:rsidRPr="00292532">
        <w:rPr>
          <w:b/>
          <w:bCs/>
          <w:lang w:val="pt-PT" w:eastAsia="ja-JP"/>
        </w:rPr>
        <w:fldChar w:fldCharType="separate"/>
      </w:r>
      <w:r w:rsidR="00B75E3B" w:rsidRPr="00292532">
        <w:rPr>
          <w:b/>
          <w:bCs/>
          <w:lang w:val="pt-PT" w:eastAsia="ja-JP"/>
        </w:rPr>
        <w:t>1.3.5</w:t>
      </w:r>
      <w:r w:rsidR="00B75E3B" w:rsidRPr="00292532">
        <w:rPr>
          <w:b/>
          <w:bCs/>
          <w:lang w:val="pt-PT" w:eastAsia="ja-JP"/>
        </w:rPr>
        <w:fldChar w:fldCharType="end"/>
      </w:r>
      <w:r w:rsidR="00B75E3B" w:rsidRPr="00292532">
        <w:rPr>
          <w:b/>
          <w:bCs/>
          <w:lang w:val="pt-PT" w:eastAsia="ja-JP"/>
        </w:rPr>
        <w:t xml:space="preserve"> e </w:t>
      </w:r>
      <w:r w:rsidR="00B75E3B" w:rsidRPr="00292532">
        <w:rPr>
          <w:b/>
          <w:bCs/>
          <w:lang w:val="pt-PT" w:eastAsia="ja-JP"/>
        </w:rPr>
        <w:fldChar w:fldCharType="begin"/>
      </w:r>
      <w:r w:rsidR="00B75E3B" w:rsidRPr="00292532">
        <w:rPr>
          <w:b/>
          <w:bCs/>
          <w:lang w:val="pt-PT" w:eastAsia="ja-JP"/>
        </w:rPr>
        <w:instrText xml:space="preserve"> REF _Ref73450429 \r \h  \* MERGEFORMAT </w:instrText>
      </w:r>
      <w:r w:rsidR="00B75E3B" w:rsidRPr="00292532">
        <w:rPr>
          <w:b/>
          <w:bCs/>
          <w:lang w:val="pt-PT" w:eastAsia="ja-JP"/>
        </w:rPr>
      </w:r>
      <w:r w:rsidR="00B75E3B" w:rsidRPr="00292532">
        <w:rPr>
          <w:b/>
          <w:bCs/>
          <w:lang w:val="pt-PT" w:eastAsia="ja-JP"/>
        </w:rPr>
        <w:fldChar w:fldCharType="separate"/>
      </w:r>
      <w:r w:rsidR="00B75E3B" w:rsidRPr="00292532">
        <w:rPr>
          <w:b/>
          <w:bCs/>
          <w:lang w:val="pt-PT" w:eastAsia="ja-JP"/>
        </w:rPr>
        <w:t>1.4</w:t>
      </w:r>
      <w:r w:rsidR="00B75E3B" w:rsidRPr="00292532">
        <w:rPr>
          <w:b/>
          <w:bCs/>
          <w:lang w:val="pt-PT" w:eastAsia="ja-JP"/>
        </w:rPr>
        <w:fldChar w:fldCharType="end"/>
      </w:r>
      <w:r w:rsidR="00B75E3B" w:rsidRPr="00292532">
        <w:rPr>
          <w:b/>
          <w:bCs/>
          <w:lang w:val="pt-PT" w:eastAsia="ja-JP"/>
        </w:rPr>
        <w:t xml:space="preserve">. </w:t>
      </w:r>
      <w:r w:rsidR="00B75E3B" w:rsidRPr="00292532">
        <w:rPr>
          <w:lang w:val="pt-PT" w:eastAsia="ja-JP"/>
        </w:rPr>
        <w:t xml:space="preserve">Por outro lado, os acidentes rodoviários por colisões podem resultar em derrames ou fugas de combustível para o solo ou para os corpos hídricos, assim, recomenda-se a implementação das </w:t>
      </w:r>
      <w:proofErr w:type="spellStart"/>
      <w:r w:rsidR="00B75E3B" w:rsidRPr="00292532">
        <w:rPr>
          <w:lang w:val="pt-PT" w:eastAsia="ja-JP"/>
        </w:rPr>
        <w:t>Directrizes</w:t>
      </w:r>
      <w:proofErr w:type="spellEnd"/>
      <w:r w:rsidR="00B75E3B" w:rsidRPr="00292532">
        <w:rPr>
          <w:lang w:val="pt-PT" w:eastAsia="ja-JP"/>
        </w:rPr>
        <w:t xml:space="preserve"> de Gestão de </w:t>
      </w:r>
      <w:r w:rsidR="003E075E" w:rsidRPr="00292532">
        <w:rPr>
          <w:lang w:val="pt-PT" w:eastAsia="ja-JP"/>
        </w:rPr>
        <w:t>Tráfego</w:t>
      </w:r>
      <w:r w:rsidR="00B75E3B" w:rsidRPr="00292532">
        <w:rPr>
          <w:lang w:val="pt-PT" w:eastAsia="ja-JP"/>
        </w:rPr>
        <w:t xml:space="preserve"> propostas no </w:t>
      </w:r>
      <w:r w:rsidR="00B75E3B" w:rsidRPr="00292532">
        <w:rPr>
          <w:b/>
          <w:bCs/>
          <w:lang w:val="pt-PT" w:eastAsia="ja-JP"/>
        </w:rPr>
        <w:t>Anexo 1</w:t>
      </w:r>
      <w:r w:rsidR="00817F0F" w:rsidRPr="00292532">
        <w:rPr>
          <w:b/>
          <w:bCs/>
          <w:lang w:val="pt-PT" w:eastAsia="ja-JP"/>
        </w:rPr>
        <w:t>0</w:t>
      </w:r>
      <w:r w:rsidR="00B75E3B" w:rsidRPr="00292532">
        <w:rPr>
          <w:lang w:val="pt-PT" w:eastAsia="ja-JP"/>
        </w:rPr>
        <w:t xml:space="preserve">. </w:t>
      </w:r>
    </w:p>
    <w:p w14:paraId="2E9B69FC" w14:textId="6FB07527" w:rsidR="00B75E3B" w:rsidRPr="00292532" w:rsidRDefault="00B75E3B" w:rsidP="00E86E49">
      <w:pPr>
        <w:rPr>
          <w:lang w:val="pt-PT" w:eastAsia="ja-JP"/>
        </w:rPr>
      </w:pPr>
      <w:r w:rsidRPr="00292532">
        <w:rPr>
          <w:lang w:val="pt-PT" w:eastAsia="ja-JP"/>
        </w:rPr>
        <w:t>Os derrames podem igualmente serem causados por incêndios</w:t>
      </w:r>
      <w:r w:rsidR="000563D3" w:rsidRPr="00292532">
        <w:rPr>
          <w:lang w:val="pt-PT" w:eastAsia="ja-JP"/>
        </w:rPr>
        <w:t>, recomendando-se, deste modo, as medidas de prevenção e gestão de riscos propostas na Avaliação de Risco d</w:t>
      </w:r>
      <w:r w:rsidR="003E075E" w:rsidRPr="00292532">
        <w:rPr>
          <w:lang w:val="pt-PT" w:eastAsia="ja-JP"/>
        </w:rPr>
        <w:t>e</w:t>
      </w:r>
      <w:r w:rsidR="000563D3" w:rsidRPr="00292532">
        <w:rPr>
          <w:lang w:val="pt-PT" w:eastAsia="ja-JP"/>
        </w:rPr>
        <w:t xml:space="preserve"> Perigo e Prontidão de Resposta à Emergência (</w:t>
      </w:r>
      <w:r w:rsidR="000563D3" w:rsidRPr="00292532">
        <w:rPr>
          <w:b/>
          <w:bCs/>
          <w:lang w:val="pt-PT" w:eastAsia="ja-JP"/>
        </w:rPr>
        <w:t xml:space="preserve">Anexo </w:t>
      </w:r>
      <w:r w:rsidR="00A9374D" w:rsidRPr="00292532">
        <w:rPr>
          <w:b/>
          <w:bCs/>
          <w:lang w:val="pt-PT" w:eastAsia="ja-JP"/>
        </w:rPr>
        <w:t>5</w:t>
      </w:r>
      <w:r w:rsidR="000563D3" w:rsidRPr="00292532">
        <w:rPr>
          <w:lang w:val="pt-PT" w:eastAsia="ja-JP"/>
        </w:rPr>
        <w:t>).</w:t>
      </w:r>
    </w:p>
    <w:p w14:paraId="07DFE478" w14:textId="5F8B47B0" w:rsidR="00D864AE" w:rsidRPr="00292532" w:rsidRDefault="00D864AE" w:rsidP="00D864AE">
      <w:pPr>
        <w:rPr>
          <w:lang w:val="pt-PT" w:eastAsia="ja-JP"/>
        </w:rPr>
      </w:pPr>
      <w:r w:rsidRPr="00292532">
        <w:rPr>
          <w:lang w:val="pt-PT" w:eastAsia="ja-JP"/>
        </w:rPr>
        <w:t>Devem ser instalados nos estaleiros e locais das obras sistemas de contenção de derrames nomeadamente, diques, bermas, paredes de retenção suficientemente impermeáveis para conter combustíveis e produtos oleosos, bacias, calhas, barreiras e reservatórios e materiais absorventes. A contenção secundári</w:t>
      </w:r>
      <w:r w:rsidR="003E075E" w:rsidRPr="00292532">
        <w:rPr>
          <w:lang w:val="pt-PT" w:eastAsia="ja-JP"/>
        </w:rPr>
        <w:t>a</w:t>
      </w:r>
      <w:r w:rsidRPr="00292532">
        <w:rPr>
          <w:lang w:val="pt-PT" w:eastAsia="ja-JP"/>
        </w:rPr>
        <w:t xml:space="preserve"> será dimensionada com base na magnitude da maior probabilidade de derrame. </w:t>
      </w:r>
    </w:p>
    <w:p w14:paraId="681D529B" w14:textId="77777777" w:rsidR="000563D3" w:rsidRPr="00292532" w:rsidRDefault="000563D3" w:rsidP="00E86E49">
      <w:pPr>
        <w:rPr>
          <w:lang w:val="pt-PT" w:eastAsia="ja-JP"/>
        </w:rPr>
      </w:pPr>
    </w:p>
    <w:p w14:paraId="76E75453" w14:textId="1E812E2F" w:rsidR="000C7BAC" w:rsidRPr="00292532" w:rsidRDefault="000C7BAC" w:rsidP="000C7BAC">
      <w:pPr>
        <w:pStyle w:val="Heading2"/>
      </w:pPr>
      <w:bookmarkStart w:id="798" w:name="_Toc73620227"/>
      <w:bookmarkStart w:id="799" w:name="_Toc73623854"/>
      <w:bookmarkStart w:id="800" w:name="_Toc73624502"/>
      <w:bookmarkStart w:id="801" w:name="_Toc73954637"/>
      <w:bookmarkStart w:id="802" w:name="_Toc75438023"/>
      <w:bookmarkStart w:id="803" w:name="_Toc78435462"/>
      <w:bookmarkStart w:id="804" w:name="_Toc80380132"/>
      <w:r w:rsidRPr="00292532">
        <w:t>Exposição Ocupacional</w:t>
      </w:r>
      <w:bookmarkEnd w:id="798"/>
      <w:bookmarkEnd w:id="799"/>
      <w:bookmarkEnd w:id="800"/>
      <w:bookmarkEnd w:id="801"/>
      <w:bookmarkEnd w:id="802"/>
      <w:bookmarkEnd w:id="803"/>
      <w:bookmarkEnd w:id="804"/>
      <w:r w:rsidRPr="00292532">
        <w:t xml:space="preserve"> </w:t>
      </w:r>
    </w:p>
    <w:p w14:paraId="21BCD1B7" w14:textId="4F4ECEF3" w:rsidR="000C7BAC" w:rsidRPr="00292532" w:rsidRDefault="00C0116D" w:rsidP="000C7BAC">
      <w:pPr>
        <w:rPr>
          <w:lang w:val="pt-PT" w:eastAsia="ja-JP"/>
        </w:rPr>
      </w:pPr>
      <w:r w:rsidRPr="00292532">
        <w:rPr>
          <w:lang w:val="pt-PT" w:eastAsia="ja-JP"/>
        </w:rPr>
        <w:t>A exposição profissional a emissões atmosféricas, o contacto com substância</w:t>
      </w:r>
      <w:r w:rsidR="00ED29D6" w:rsidRPr="00292532">
        <w:rPr>
          <w:lang w:val="pt-PT" w:eastAsia="ja-JP"/>
        </w:rPr>
        <w:t>s</w:t>
      </w:r>
      <w:r w:rsidRPr="00292532">
        <w:rPr>
          <w:lang w:val="pt-PT" w:eastAsia="ja-JP"/>
        </w:rPr>
        <w:t xml:space="preserve"> perigosas ou consumo de águas contaminadas pelos trabalhadores devem ser geridos como parte do Sistema de Saúde e Segurança da </w:t>
      </w:r>
      <w:r w:rsidR="00381467" w:rsidRPr="00292532">
        <w:rPr>
          <w:lang w:val="pt-PT" w:eastAsia="ja-JP"/>
        </w:rPr>
        <w:t>Contrata</w:t>
      </w:r>
      <w:r w:rsidRPr="00292532">
        <w:rPr>
          <w:lang w:val="pt-PT" w:eastAsia="ja-JP"/>
        </w:rPr>
        <w:t xml:space="preserve">da. Os requisitos relativamente à redução </w:t>
      </w:r>
      <w:r w:rsidR="001951E9" w:rsidRPr="00292532">
        <w:rPr>
          <w:lang w:val="pt-PT" w:eastAsia="ja-JP"/>
        </w:rPr>
        <w:t xml:space="preserve">da exposição </w:t>
      </w:r>
      <w:proofErr w:type="gramStart"/>
      <w:r w:rsidR="001951E9" w:rsidRPr="00292532">
        <w:rPr>
          <w:lang w:val="pt-PT" w:eastAsia="ja-JP"/>
        </w:rPr>
        <w:t>à</w:t>
      </w:r>
      <w:proofErr w:type="gramEnd"/>
      <w:r w:rsidR="001951E9" w:rsidRPr="00292532">
        <w:rPr>
          <w:lang w:val="pt-PT" w:eastAsia="ja-JP"/>
        </w:rPr>
        <w:t xml:space="preserve"> emissões atmosféricas e contacto </w:t>
      </w:r>
      <w:proofErr w:type="spellStart"/>
      <w:r w:rsidR="001951E9" w:rsidRPr="00292532">
        <w:rPr>
          <w:lang w:val="pt-PT" w:eastAsia="ja-JP"/>
        </w:rPr>
        <w:t>directo</w:t>
      </w:r>
      <w:proofErr w:type="spellEnd"/>
      <w:r w:rsidR="001951E9" w:rsidRPr="00292532">
        <w:rPr>
          <w:lang w:val="pt-PT" w:eastAsia="ja-JP"/>
        </w:rPr>
        <w:t xml:space="preserve"> com substâncias perigosas e resíduos perigos de</w:t>
      </w:r>
      <w:r w:rsidRPr="00292532">
        <w:rPr>
          <w:lang w:val="pt-PT" w:eastAsia="ja-JP"/>
        </w:rPr>
        <w:t xml:space="preserve">vem incluir o fornecimento de Equipamento de </w:t>
      </w:r>
      <w:proofErr w:type="spellStart"/>
      <w:r w:rsidRPr="00292532">
        <w:rPr>
          <w:lang w:val="pt-PT" w:eastAsia="ja-JP"/>
        </w:rPr>
        <w:t>Protecção</w:t>
      </w:r>
      <w:proofErr w:type="spellEnd"/>
      <w:r w:rsidRPr="00292532">
        <w:rPr>
          <w:lang w:val="pt-PT" w:eastAsia="ja-JP"/>
        </w:rPr>
        <w:t xml:space="preserve"> Individual adequado</w:t>
      </w:r>
      <w:r w:rsidR="001951E9" w:rsidRPr="00292532">
        <w:rPr>
          <w:lang w:val="pt-PT" w:eastAsia="ja-JP"/>
        </w:rPr>
        <w:t xml:space="preserve">. Por outro lado, no caso de consumo de substâncias tóxicas ou outros produtos indevidos para o Consumo o empregador (empreiteiro) deve assegurar a devida assistência médica ao trabalhador e monitorização da condição da saúde do mesmo durante </w:t>
      </w:r>
      <w:r w:rsidR="003E075E" w:rsidRPr="00292532">
        <w:rPr>
          <w:lang w:val="pt-PT" w:eastAsia="ja-JP"/>
        </w:rPr>
        <w:t xml:space="preserve">o </w:t>
      </w:r>
      <w:r w:rsidR="001951E9" w:rsidRPr="00292532">
        <w:rPr>
          <w:lang w:val="pt-PT" w:eastAsia="ja-JP"/>
        </w:rPr>
        <w:t>período</w:t>
      </w:r>
      <w:r w:rsidR="003E075E" w:rsidRPr="00292532">
        <w:rPr>
          <w:lang w:val="pt-PT" w:eastAsia="ja-JP"/>
        </w:rPr>
        <w:t xml:space="preserve"> de recuperação</w:t>
      </w:r>
      <w:r w:rsidRPr="00292532">
        <w:rPr>
          <w:lang w:val="pt-PT" w:eastAsia="ja-JP"/>
        </w:rPr>
        <w:t>.</w:t>
      </w:r>
    </w:p>
    <w:p w14:paraId="7924A365" w14:textId="77777777" w:rsidR="00C0116D" w:rsidRPr="00292532" w:rsidRDefault="00C0116D" w:rsidP="007A1525">
      <w:pPr>
        <w:rPr>
          <w:b/>
          <w:lang w:val="pt-PT"/>
        </w:rPr>
      </w:pPr>
    </w:p>
    <w:p w14:paraId="6F78FC7B" w14:textId="313B043D" w:rsidR="00DD34B4" w:rsidRPr="00292532" w:rsidRDefault="000C7BAC" w:rsidP="000C7BAC">
      <w:pPr>
        <w:pStyle w:val="Heading2"/>
      </w:pPr>
      <w:bookmarkStart w:id="805" w:name="_Toc73620228"/>
      <w:bookmarkStart w:id="806" w:name="_Toc73623855"/>
      <w:bookmarkStart w:id="807" w:name="_Toc73624503"/>
      <w:bookmarkStart w:id="808" w:name="_Toc73954638"/>
      <w:bookmarkStart w:id="809" w:name="_Toc75438024"/>
      <w:bookmarkStart w:id="810" w:name="_Toc78435463"/>
      <w:bookmarkStart w:id="811" w:name="_Toc80380133"/>
      <w:r w:rsidRPr="00292532">
        <w:lastRenderedPageBreak/>
        <w:t>Prevenção da Exposição da Comunidade em Geral e Reclamações</w:t>
      </w:r>
      <w:bookmarkEnd w:id="805"/>
      <w:bookmarkEnd w:id="806"/>
      <w:bookmarkEnd w:id="807"/>
      <w:bookmarkEnd w:id="808"/>
      <w:bookmarkEnd w:id="809"/>
      <w:bookmarkEnd w:id="810"/>
      <w:bookmarkEnd w:id="811"/>
      <w:r w:rsidRPr="00292532">
        <w:t xml:space="preserve"> </w:t>
      </w:r>
      <w:r w:rsidR="00C87F2C" w:rsidRPr="00292532">
        <w:t xml:space="preserve"> </w:t>
      </w:r>
    </w:p>
    <w:p w14:paraId="0F7FA0BB" w14:textId="360814AA" w:rsidR="001951E9" w:rsidRPr="00292532" w:rsidRDefault="001951E9" w:rsidP="00C0116D">
      <w:pPr>
        <w:rPr>
          <w:lang w:val="pt-PT" w:eastAsia="ja-JP"/>
        </w:rPr>
      </w:pPr>
      <w:r w:rsidRPr="00292532">
        <w:rPr>
          <w:lang w:val="pt-PT" w:eastAsia="ja-JP"/>
        </w:rPr>
        <w:t xml:space="preserve">A poluição provocada pelo </w:t>
      </w:r>
      <w:proofErr w:type="spellStart"/>
      <w:r w:rsidRPr="00292532">
        <w:rPr>
          <w:lang w:val="pt-PT" w:eastAsia="ja-JP"/>
        </w:rPr>
        <w:t>Projecto</w:t>
      </w:r>
      <w:proofErr w:type="spellEnd"/>
      <w:r w:rsidRPr="00292532">
        <w:rPr>
          <w:lang w:val="pt-PT" w:eastAsia="ja-JP"/>
        </w:rPr>
        <w:t xml:space="preserve"> pode resultar em riscos de saúde e segurança das comunidades residentes nos arredores dos locais das </w:t>
      </w:r>
      <w:proofErr w:type="spellStart"/>
      <w:r w:rsidRPr="00292532">
        <w:rPr>
          <w:lang w:val="pt-PT" w:eastAsia="ja-JP"/>
        </w:rPr>
        <w:t>actividades</w:t>
      </w:r>
      <w:proofErr w:type="spellEnd"/>
      <w:r w:rsidRPr="00292532">
        <w:rPr>
          <w:lang w:val="pt-PT" w:eastAsia="ja-JP"/>
        </w:rPr>
        <w:t xml:space="preserve">. O </w:t>
      </w:r>
      <w:proofErr w:type="spellStart"/>
      <w:r w:rsidRPr="00292532">
        <w:rPr>
          <w:lang w:val="pt-PT" w:eastAsia="ja-JP"/>
        </w:rPr>
        <w:t>Projecto</w:t>
      </w:r>
      <w:proofErr w:type="spellEnd"/>
      <w:r w:rsidRPr="00292532">
        <w:rPr>
          <w:lang w:val="pt-PT" w:eastAsia="ja-JP"/>
        </w:rPr>
        <w:t xml:space="preserve"> deve estabelecer um mecanismo de gestão de queixas para entender até que ponto os impactos da poluição resultante das </w:t>
      </w:r>
      <w:proofErr w:type="spellStart"/>
      <w:r w:rsidRPr="00292532">
        <w:rPr>
          <w:lang w:val="pt-PT" w:eastAsia="ja-JP"/>
        </w:rPr>
        <w:t>actividades</w:t>
      </w:r>
      <w:proofErr w:type="spellEnd"/>
      <w:r w:rsidRPr="00292532">
        <w:rPr>
          <w:lang w:val="pt-PT" w:eastAsia="ja-JP"/>
        </w:rPr>
        <w:t xml:space="preserve"> do </w:t>
      </w:r>
      <w:proofErr w:type="spellStart"/>
      <w:r w:rsidRPr="00292532">
        <w:rPr>
          <w:lang w:val="pt-PT" w:eastAsia="ja-JP"/>
        </w:rPr>
        <w:t>Projecto</w:t>
      </w:r>
      <w:proofErr w:type="spellEnd"/>
      <w:r w:rsidRPr="00292532">
        <w:rPr>
          <w:lang w:val="pt-PT" w:eastAsia="ja-JP"/>
        </w:rPr>
        <w:t xml:space="preserve">, </w:t>
      </w:r>
      <w:proofErr w:type="spellStart"/>
      <w:r w:rsidRPr="00292532">
        <w:rPr>
          <w:lang w:val="pt-PT" w:eastAsia="ja-JP"/>
        </w:rPr>
        <w:t>afectam</w:t>
      </w:r>
      <w:proofErr w:type="spellEnd"/>
      <w:r w:rsidRPr="00292532">
        <w:rPr>
          <w:lang w:val="pt-PT" w:eastAsia="ja-JP"/>
        </w:rPr>
        <w:t xml:space="preserve"> as comunidades locais. </w:t>
      </w:r>
      <w:r w:rsidR="00817F0F" w:rsidRPr="00292532">
        <w:rPr>
          <w:lang w:val="pt-PT" w:eastAsia="ja-JP"/>
        </w:rPr>
        <w:t>O</w:t>
      </w:r>
      <w:r w:rsidRPr="00292532">
        <w:rPr>
          <w:lang w:val="pt-PT" w:eastAsia="ja-JP"/>
        </w:rPr>
        <w:t xml:space="preserve"> </w:t>
      </w:r>
      <w:r w:rsidR="00817F0F" w:rsidRPr="00292532">
        <w:rPr>
          <w:b/>
          <w:bCs/>
          <w:lang w:val="pt-PT" w:eastAsia="ja-JP"/>
        </w:rPr>
        <w:t>Capítulo 12 do QGAS</w:t>
      </w:r>
      <w:r w:rsidRPr="00292532">
        <w:rPr>
          <w:lang w:val="pt-PT" w:eastAsia="ja-JP"/>
        </w:rPr>
        <w:t>, fornece as orientações gerais de um mecanismo de gestão de queixas.</w:t>
      </w:r>
    </w:p>
    <w:p w14:paraId="43D9A188" w14:textId="75C2158A" w:rsidR="00C0116D" w:rsidRPr="00292532" w:rsidRDefault="00C0116D" w:rsidP="00C0116D">
      <w:pPr>
        <w:rPr>
          <w:lang w:val="pt-PT" w:eastAsia="ja-JP"/>
        </w:rPr>
      </w:pPr>
      <w:r w:rsidRPr="00292532">
        <w:rPr>
          <w:lang w:val="pt-PT" w:eastAsia="ja-JP"/>
        </w:rPr>
        <w:t xml:space="preserve"> Caso sejam identificados impactos adversos nas populações decorrentes da poluição provocada pelo </w:t>
      </w:r>
      <w:proofErr w:type="spellStart"/>
      <w:r w:rsidRPr="00292532">
        <w:rPr>
          <w:lang w:val="pt-PT" w:eastAsia="ja-JP"/>
        </w:rPr>
        <w:t>Projecto</w:t>
      </w:r>
      <w:proofErr w:type="spellEnd"/>
      <w:r w:rsidRPr="00292532">
        <w:rPr>
          <w:lang w:val="pt-PT" w:eastAsia="ja-JP"/>
        </w:rPr>
        <w:t xml:space="preserve">, devem-se tomar medidas imediatas para reparar e mitigar os danos provocados, os Planos de Gestão Ambiental e Social e outros procedimentos específicos de prevenção da poluição devem ser revistos e medidas de mitigação adicionais propostas. O programa de monitorização deve ser igualmente revisto e intensificado. </w:t>
      </w:r>
    </w:p>
    <w:p w14:paraId="31C144FF" w14:textId="77777777" w:rsidR="00CF4B4B" w:rsidRPr="00292532" w:rsidRDefault="00CF4B4B" w:rsidP="00C0116D">
      <w:pPr>
        <w:rPr>
          <w:lang w:val="pt-PT" w:eastAsia="ja-JP"/>
        </w:rPr>
      </w:pPr>
    </w:p>
    <w:p w14:paraId="5E8FB619" w14:textId="0B0910A9" w:rsidR="00D864AE" w:rsidRPr="00292532" w:rsidRDefault="00D864AE" w:rsidP="00D864AE">
      <w:pPr>
        <w:pStyle w:val="Heading2"/>
      </w:pPr>
      <w:bookmarkStart w:id="812" w:name="_Toc73620229"/>
      <w:bookmarkStart w:id="813" w:name="_Toc73623856"/>
      <w:bookmarkStart w:id="814" w:name="_Toc73624504"/>
      <w:bookmarkStart w:id="815" w:name="_Toc73954639"/>
      <w:bookmarkStart w:id="816" w:name="_Toc75438025"/>
      <w:bookmarkStart w:id="817" w:name="_Toc78435464"/>
      <w:bookmarkStart w:id="818" w:name="_Toc80380134"/>
      <w:r w:rsidRPr="00292532">
        <w:t>Funções e Responsabilidades</w:t>
      </w:r>
      <w:bookmarkEnd w:id="812"/>
      <w:bookmarkEnd w:id="813"/>
      <w:bookmarkEnd w:id="814"/>
      <w:bookmarkEnd w:id="815"/>
      <w:bookmarkEnd w:id="816"/>
      <w:bookmarkEnd w:id="817"/>
      <w:bookmarkEnd w:id="818"/>
      <w:r w:rsidRPr="00292532">
        <w:t xml:space="preserve"> </w:t>
      </w:r>
    </w:p>
    <w:p w14:paraId="25038015" w14:textId="77777777" w:rsidR="00D864AE" w:rsidRPr="00292532" w:rsidRDefault="00D864AE" w:rsidP="00D864AE">
      <w:pPr>
        <w:rPr>
          <w:lang w:val="pt-PT" w:eastAsia="ja-JP"/>
        </w:rPr>
      </w:pPr>
      <w:r w:rsidRPr="00292532">
        <w:rPr>
          <w:lang w:val="pt-PT" w:eastAsia="ja-JP"/>
        </w:rPr>
        <w:t xml:space="preserve">As Unidades Técnicas Provinciais terão as seguintes funções responsabilidades na implementação deste Plano: </w:t>
      </w:r>
    </w:p>
    <w:p w14:paraId="71EE93F5" w14:textId="27B91D35" w:rsidR="00D864AE" w:rsidRPr="00292532" w:rsidRDefault="00D864AE" w:rsidP="00AE14AE">
      <w:pPr>
        <w:pStyle w:val="ListParagraph"/>
        <w:numPr>
          <w:ilvl w:val="0"/>
          <w:numId w:val="100"/>
        </w:numPr>
        <w:rPr>
          <w:lang w:val="pt-PT" w:eastAsia="ja-JP"/>
        </w:rPr>
      </w:pPr>
      <w:r w:rsidRPr="00292532">
        <w:rPr>
          <w:lang w:val="pt-PT" w:eastAsia="ja-JP"/>
        </w:rPr>
        <w:t xml:space="preserve">Instruir a </w:t>
      </w:r>
      <w:proofErr w:type="spellStart"/>
      <w:r w:rsidRPr="00292532">
        <w:rPr>
          <w:lang w:val="pt-PT" w:eastAsia="ja-JP"/>
        </w:rPr>
        <w:t>actualização</w:t>
      </w:r>
      <w:proofErr w:type="spellEnd"/>
      <w:r w:rsidRPr="00292532">
        <w:rPr>
          <w:lang w:val="pt-PT" w:eastAsia="ja-JP"/>
        </w:rPr>
        <w:t xml:space="preserve"> deste plano e elaboração de planos de gestão futuros com vista a prevenção da poluição do meio </w:t>
      </w:r>
    </w:p>
    <w:p w14:paraId="03A24137" w14:textId="26FDE258" w:rsidR="00D864AE" w:rsidRPr="00292532" w:rsidRDefault="00D864AE" w:rsidP="00AE14AE">
      <w:pPr>
        <w:pStyle w:val="ListParagraph"/>
        <w:numPr>
          <w:ilvl w:val="0"/>
          <w:numId w:val="100"/>
        </w:numPr>
        <w:rPr>
          <w:lang w:val="pt-PT" w:eastAsia="ja-JP"/>
        </w:rPr>
      </w:pPr>
      <w:r w:rsidRPr="00292532">
        <w:rPr>
          <w:lang w:val="pt-PT" w:eastAsia="ja-JP"/>
        </w:rPr>
        <w:t xml:space="preserve">Verificar a implementação dos requisitos deste plano por parte dos empreiteiros e outras </w:t>
      </w:r>
      <w:r w:rsidR="00381467" w:rsidRPr="00292532">
        <w:rPr>
          <w:lang w:val="pt-PT" w:eastAsia="ja-JP"/>
        </w:rPr>
        <w:t>contrata</w:t>
      </w:r>
      <w:r w:rsidRPr="00292532">
        <w:rPr>
          <w:lang w:val="pt-PT" w:eastAsia="ja-JP"/>
        </w:rPr>
        <w:t xml:space="preserve">das </w:t>
      </w:r>
    </w:p>
    <w:p w14:paraId="64FF218E" w14:textId="363627BF" w:rsidR="00DF0086" w:rsidRPr="00292532" w:rsidRDefault="00D864AE" w:rsidP="00AE14AE">
      <w:pPr>
        <w:pStyle w:val="ListParagraph"/>
        <w:numPr>
          <w:ilvl w:val="0"/>
          <w:numId w:val="100"/>
        </w:numPr>
        <w:rPr>
          <w:lang w:val="pt-PT" w:eastAsia="ja-JP"/>
        </w:rPr>
      </w:pPr>
      <w:r w:rsidRPr="00292532">
        <w:rPr>
          <w:lang w:val="pt-PT" w:eastAsia="ja-JP"/>
        </w:rPr>
        <w:t>Implementar os requisitos de gestão do tráfego rodoviário</w:t>
      </w:r>
    </w:p>
    <w:p w14:paraId="569F8C79" w14:textId="29797330" w:rsidR="00DF0086" w:rsidRPr="00292532" w:rsidRDefault="00DF0086" w:rsidP="00AE14AE">
      <w:pPr>
        <w:pStyle w:val="ListParagraph"/>
        <w:numPr>
          <w:ilvl w:val="0"/>
          <w:numId w:val="100"/>
        </w:numPr>
        <w:rPr>
          <w:lang w:val="pt-PT" w:eastAsia="ja-JP"/>
        </w:rPr>
      </w:pPr>
      <w:r w:rsidRPr="00292532">
        <w:rPr>
          <w:lang w:val="pt-PT" w:eastAsia="ja-JP"/>
        </w:rPr>
        <w:t xml:space="preserve">Rever </w:t>
      </w:r>
      <w:r w:rsidR="004A2858" w:rsidRPr="00292532">
        <w:rPr>
          <w:lang w:val="pt-PT" w:eastAsia="ja-JP"/>
        </w:rPr>
        <w:t xml:space="preserve">e consolidar os relatórios de desempenho que </w:t>
      </w:r>
      <w:r w:rsidR="003E075E" w:rsidRPr="00292532">
        <w:rPr>
          <w:lang w:val="pt-PT" w:eastAsia="ja-JP"/>
        </w:rPr>
        <w:t xml:space="preserve">avaliam </w:t>
      </w:r>
      <w:r w:rsidR="004A2858" w:rsidRPr="00292532">
        <w:rPr>
          <w:lang w:val="pt-PT" w:eastAsia="ja-JP"/>
        </w:rPr>
        <w:t>o grau de implementação do Plano.</w:t>
      </w:r>
    </w:p>
    <w:p w14:paraId="06F6E398" w14:textId="437185C8" w:rsidR="004A2858" w:rsidRPr="00292532" w:rsidRDefault="004A2858" w:rsidP="00AE14AE">
      <w:pPr>
        <w:pStyle w:val="ListParagraph"/>
        <w:numPr>
          <w:ilvl w:val="0"/>
          <w:numId w:val="100"/>
        </w:numPr>
        <w:rPr>
          <w:lang w:val="pt-PT" w:eastAsia="ja-JP"/>
        </w:rPr>
      </w:pPr>
      <w:r w:rsidRPr="00292532">
        <w:rPr>
          <w:lang w:val="pt-PT" w:eastAsia="ja-JP"/>
        </w:rPr>
        <w:t>Dar seguimento às queixas relevantes aos riscos e impactos de poluição.</w:t>
      </w:r>
    </w:p>
    <w:p w14:paraId="3AE893DA" w14:textId="422470A9" w:rsidR="004A2858" w:rsidRPr="00292532" w:rsidRDefault="004A2858" w:rsidP="007A1525">
      <w:pPr>
        <w:pStyle w:val="ListParagraph"/>
        <w:numPr>
          <w:ilvl w:val="0"/>
          <w:numId w:val="0"/>
        </w:numPr>
        <w:ind w:left="720"/>
        <w:rPr>
          <w:lang w:val="pt-PT" w:eastAsia="ja-JP"/>
        </w:rPr>
      </w:pPr>
    </w:p>
    <w:p w14:paraId="50A07C3F" w14:textId="201FFCBC" w:rsidR="004A2858" w:rsidRPr="00292532" w:rsidRDefault="004A2858" w:rsidP="00D864AE">
      <w:pPr>
        <w:rPr>
          <w:lang w:val="pt-PT" w:eastAsia="ja-JP"/>
        </w:rPr>
      </w:pPr>
      <w:r w:rsidRPr="00292532">
        <w:rPr>
          <w:lang w:val="pt-PT" w:eastAsia="ja-JP"/>
        </w:rPr>
        <w:t xml:space="preserve">Por sua vez, os empreiteiros terão </w:t>
      </w:r>
      <w:r w:rsidR="00D864AE" w:rsidRPr="00292532">
        <w:rPr>
          <w:lang w:val="pt-PT" w:eastAsia="ja-JP"/>
        </w:rPr>
        <w:t xml:space="preserve">a responsabilidade operacional </w:t>
      </w:r>
      <w:r w:rsidRPr="00292532">
        <w:rPr>
          <w:lang w:val="pt-PT" w:eastAsia="ja-JP"/>
        </w:rPr>
        <w:t xml:space="preserve">do presente plano, com as seguintes funções específicas: </w:t>
      </w:r>
    </w:p>
    <w:p w14:paraId="062F8CD2" w14:textId="58C5461B" w:rsidR="004A2858" w:rsidRPr="00292532" w:rsidRDefault="004A2858" w:rsidP="00AE14AE">
      <w:pPr>
        <w:pStyle w:val="ListParagraph"/>
        <w:numPr>
          <w:ilvl w:val="0"/>
          <w:numId w:val="101"/>
        </w:numPr>
        <w:rPr>
          <w:lang w:val="pt-PT" w:eastAsia="ja-JP"/>
        </w:rPr>
      </w:pPr>
      <w:r w:rsidRPr="00292532">
        <w:rPr>
          <w:lang w:val="pt-PT" w:eastAsia="ja-JP"/>
        </w:rPr>
        <w:t>Fornecimento de recursos e instalações adequados para implementação das medidas de gestão dos resíduos, prevenção de derrames e gestão de químicos e combustíveis</w:t>
      </w:r>
    </w:p>
    <w:p w14:paraId="231F5287" w14:textId="448CA7EA" w:rsidR="004A2858" w:rsidRPr="00292532" w:rsidRDefault="004A2858" w:rsidP="00AE14AE">
      <w:pPr>
        <w:pStyle w:val="ListParagraph"/>
        <w:numPr>
          <w:ilvl w:val="0"/>
          <w:numId w:val="101"/>
        </w:numPr>
        <w:rPr>
          <w:lang w:val="pt-PT" w:eastAsia="ja-JP"/>
        </w:rPr>
      </w:pPr>
      <w:r w:rsidRPr="00292532">
        <w:rPr>
          <w:lang w:val="pt-PT" w:eastAsia="ja-JP"/>
        </w:rPr>
        <w:t xml:space="preserve">Manter os registos e documentação relativa à gestão de resíduos (manifesto de resíduos, certificados de deposição de resíduos, </w:t>
      </w:r>
      <w:proofErr w:type="spellStart"/>
      <w:r w:rsidRPr="00292532">
        <w:rPr>
          <w:lang w:val="pt-PT" w:eastAsia="ja-JP"/>
        </w:rPr>
        <w:t>etc</w:t>
      </w:r>
      <w:proofErr w:type="spellEnd"/>
      <w:r w:rsidRPr="00292532">
        <w:rPr>
          <w:lang w:val="pt-PT" w:eastAsia="ja-JP"/>
        </w:rPr>
        <w:t xml:space="preserve">) e a ocorrência de derrames </w:t>
      </w:r>
    </w:p>
    <w:p w14:paraId="573F2454" w14:textId="252FD1EE" w:rsidR="004A2858" w:rsidRPr="00292532" w:rsidRDefault="004A2858" w:rsidP="00AE14AE">
      <w:pPr>
        <w:pStyle w:val="ListParagraph"/>
        <w:numPr>
          <w:ilvl w:val="0"/>
          <w:numId w:val="101"/>
        </w:numPr>
        <w:rPr>
          <w:lang w:val="pt-PT" w:eastAsia="ja-JP"/>
        </w:rPr>
      </w:pPr>
      <w:r w:rsidRPr="00292532">
        <w:rPr>
          <w:lang w:val="pt-PT" w:eastAsia="ja-JP"/>
        </w:rPr>
        <w:t xml:space="preserve">Ministrar formação e sensibilizar os trabalhadores sobre as medidas e </w:t>
      </w:r>
      <w:proofErr w:type="spellStart"/>
      <w:r w:rsidRPr="00292532">
        <w:rPr>
          <w:lang w:val="pt-PT" w:eastAsia="ja-JP"/>
        </w:rPr>
        <w:t>acções</w:t>
      </w:r>
      <w:proofErr w:type="spellEnd"/>
      <w:r w:rsidRPr="00292532">
        <w:rPr>
          <w:lang w:val="pt-PT" w:eastAsia="ja-JP"/>
        </w:rPr>
        <w:t xml:space="preserve"> incorporadas neste plano </w:t>
      </w:r>
    </w:p>
    <w:p w14:paraId="369550EF" w14:textId="039EAF41" w:rsidR="004A2858" w:rsidRPr="00292532" w:rsidRDefault="004A2858" w:rsidP="00AE14AE">
      <w:pPr>
        <w:pStyle w:val="ListParagraph"/>
        <w:numPr>
          <w:ilvl w:val="0"/>
          <w:numId w:val="101"/>
        </w:numPr>
        <w:rPr>
          <w:lang w:val="pt-PT" w:eastAsia="ja-JP"/>
        </w:rPr>
      </w:pPr>
      <w:r w:rsidRPr="00292532">
        <w:rPr>
          <w:lang w:val="pt-PT" w:eastAsia="ja-JP"/>
        </w:rPr>
        <w:t xml:space="preserve">Elaborar relatórios de desempenho ambiental que contenham informação sobre o grau de implementação deste Plano. </w:t>
      </w:r>
    </w:p>
    <w:p w14:paraId="79B5F52D" w14:textId="77777777" w:rsidR="00CA7E2A" w:rsidRPr="00292532" w:rsidRDefault="00CA7E2A" w:rsidP="007A1525">
      <w:pPr>
        <w:pStyle w:val="ListParagraph"/>
        <w:numPr>
          <w:ilvl w:val="0"/>
          <w:numId w:val="0"/>
        </w:numPr>
        <w:ind w:left="720"/>
        <w:rPr>
          <w:lang w:val="pt-PT" w:eastAsia="ja-JP"/>
        </w:rPr>
      </w:pPr>
    </w:p>
    <w:p w14:paraId="49388713" w14:textId="5EFF654C" w:rsidR="00CA7E2A" w:rsidRPr="00292532" w:rsidRDefault="007A2A89" w:rsidP="00CA7E2A">
      <w:pPr>
        <w:pStyle w:val="Heading2"/>
      </w:pPr>
      <w:bookmarkStart w:id="819" w:name="_Toc73620230"/>
      <w:bookmarkStart w:id="820" w:name="_Toc73623857"/>
      <w:bookmarkStart w:id="821" w:name="_Toc73624505"/>
      <w:bookmarkStart w:id="822" w:name="_Toc73954640"/>
      <w:bookmarkStart w:id="823" w:name="_Toc75438026"/>
      <w:bookmarkStart w:id="824" w:name="_Toc78435465"/>
      <w:bookmarkStart w:id="825" w:name="_Toc80380135"/>
      <w:r w:rsidRPr="00292532">
        <w:t xml:space="preserve">Monitorização, Acompanhamento e </w:t>
      </w:r>
      <w:r w:rsidR="00CA7E2A" w:rsidRPr="00292532">
        <w:t>Indicadores de Desempenho</w:t>
      </w:r>
      <w:bookmarkEnd w:id="819"/>
      <w:bookmarkEnd w:id="820"/>
      <w:bookmarkEnd w:id="821"/>
      <w:bookmarkEnd w:id="822"/>
      <w:bookmarkEnd w:id="823"/>
      <w:bookmarkEnd w:id="824"/>
      <w:bookmarkEnd w:id="825"/>
      <w:r w:rsidR="00CA7E2A" w:rsidRPr="00292532">
        <w:t xml:space="preserve"> </w:t>
      </w:r>
    </w:p>
    <w:p w14:paraId="3731E5F0" w14:textId="418BE4AC" w:rsidR="00CA7E2A" w:rsidRPr="00292532" w:rsidRDefault="00CA7E2A" w:rsidP="00CA7E2A">
      <w:pPr>
        <w:rPr>
          <w:lang w:val="pt-PT" w:eastAsia="ja-JP"/>
        </w:rPr>
      </w:pPr>
      <w:r w:rsidRPr="00292532">
        <w:rPr>
          <w:lang w:val="pt-PT" w:eastAsia="ja-JP"/>
        </w:rPr>
        <w:t>Os indicadores de desempenho serão usados para medir e acompanhar o desempenho face à eficácia das medidas de mitigação e de controlo descritas neste Plano.</w:t>
      </w:r>
    </w:p>
    <w:p w14:paraId="2ED0839C" w14:textId="24832001" w:rsidR="00CA7E2A" w:rsidRDefault="00CA7E2A" w:rsidP="00CA7E2A">
      <w:pPr>
        <w:rPr>
          <w:lang w:val="pt-PT" w:eastAsia="ja-JP"/>
        </w:rPr>
      </w:pPr>
      <w:r w:rsidRPr="00292532">
        <w:rPr>
          <w:lang w:val="pt-PT" w:eastAsia="ja-JP"/>
        </w:rPr>
        <w:t xml:space="preserve">Os indicadores de desempenho devem ser mensuráveis em relação a uma meta específica. A </w:t>
      </w:r>
      <w:r w:rsidR="008C11E8" w:rsidRPr="00292532">
        <w:rPr>
          <w:b/>
          <w:bCs/>
          <w:lang w:val="pt-PT" w:eastAsia="ja-JP"/>
        </w:rPr>
        <w:t>Tabela 3</w:t>
      </w:r>
      <w:r w:rsidR="006536D0" w:rsidRPr="00292532">
        <w:rPr>
          <w:lang w:val="pt-PT" w:eastAsia="ja-JP"/>
        </w:rPr>
        <w:t xml:space="preserve"> </w:t>
      </w:r>
      <w:r w:rsidRPr="00292532">
        <w:rPr>
          <w:lang w:val="pt-PT" w:eastAsia="ja-JP"/>
        </w:rPr>
        <w:t xml:space="preserve">descreve os indicadores de desempenho aplicáveis ao Plano de Prevenção da Poluição e descreve como os </w:t>
      </w:r>
      <w:r w:rsidRPr="00292532">
        <w:rPr>
          <w:lang w:val="pt-PT" w:eastAsia="ja-JP"/>
        </w:rPr>
        <w:lastRenderedPageBreak/>
        <w:t xml:space="preserve">mesmos serão medidos, as metas e frequência de controlo; apenas os indicadores que são específicos e claramente mensuráveis foram incluídos. </w:t>
      </w:r>
    </w:p>
    <w:p w14:paraId="65EA1AE6" w14:textId="11557B9F" w:rsidR="00CA7E2A" w:rsidRPr="00292532" w:rsidRDefault="00CA7E2A" w:rsidP="00CA7E2A">
      <w:pPr>
        <w:pStyle w:val="Caption"/>
      </w:pPr>
      <w:r w:rsidRPr="00292532">
        <w:t>Tabela</w:t>
      </w:r>
      <w:r w:rsidR="008C11E8" w:rsidRPr="00292532">
        <w:t xml:space="preserve"> 3</w:t>
      </w:r>
      <w:r w:rsidRPr="00292532">
        <w:t xml:space="preserve">: Indicadores de Desempenho: </w:t>
      </w:r>
    </w:p>
    <w:tbl>
      <w:tblPr>
        <w:tblStyle w:val="GridTable4-Accent51"/>
        <w:tblW w:w="8818" w:type="dxa"/>
        <w:tblLook w:val="04A0" w:firstRow="1" w:lastRow="0" w:firstColumn="1" w:lastColumn="0" w:noHBand="0" w:noVBand="1"/>
      </w:tblPr>
      <w:tblGrid>
        <w:gridCol w:w="2662"/>
        <w:gridCol w:w="2679"/>
        <w:gridCol w:w="1729"/>
        <w:gridCol w:w="1748"/>
      </w:tblGrid>
      <w:tr w:rsidR="009840D8" w:rsidRPr="00292532" w14:paraId="3E537582" w14:textId="77777777" w:rsidTr="007A152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15" w:type="dxa"/>
          </w:tcPr>
          <w:p w14:paraId="3D0C9537" w14:textId="34C286B9" w:rsidR="00CA7E2A" w:rsidRPr="004500AE" w:rsidRDefault="00CA7E2A" w:rsidP="007A1525">
            <w:pPr>
              <w:jc w:val="center"/>
              <w:rPr>
                <w:sz w:val="20"/>
                <w:szCs w:val="20"/>
                <w:lang w:val="pt-PT" w:eastAsia="ja-JP"/>
              </w:rPr>
            </w:pPr>
            <w:r w:rsidRPr="004500AE">
              <w:rPr>
                <w:sz w:val="20"/>
                <w:szCs w:val="20"/>
                <w:lang w:val="pt-PT" w:eastAsia="ja-JP"/>
              </w:rPr>
              <w:t>Indicador de desempenho</w:t>
            </w:r>
          </w:p>
        </w:tc>
        <w:tc>
          <w:tcPr>
            <w:tcW w:w="2532" w:type="dxa"/>
          </w:tcPr>
          <w:p w14:paraId="26C543D6" w14:textId="1E8CA3AC" w:rsidR="00CA7E2A" w:rsidRPr="004500AE" w:rsidRDefault="00CA7E2A" w:rsidP="007A1525">
            <w:pPr>
              <w:jc w:val="center"/>
              <w:cnfStyle w:val="100000000000" w:firstRow="1" w:lastRow="0" w:firstColumn="0" w:lastColumn="0" w:oddVBand="0" w:evenVBand="0" w:oddHBand="0" w:evenHBand="0" w:firstRowFirstColumn="0" w:firstRowLastColumn="0" w:lastRowFirstColumn="0" w:lastRowLastColumn="0"/>
              <w:rPr>
                <w:sz w:val="20"/>
                <w:szCs w:val="20"/>
                <w:lang w:val="pt-PT" w:eastAsia="ja-JP"/>
              </w:rPr>
            </w:pPr>
            <w:r w:rsidRPr="004500AE">
              <w:rPr>
                <w:sz w:val="20"/>
                <w:szCs w:val="20"/>
                <w:lang w:val="pt-PT" w:eastAsia="ja-JP"/>
              </w:rPr>
              <w:t>Medição</w:t>
            </w:r>
          </w:p>
        </w:tc>
        <w:tc>
          <w:tcPr>
            <w:tcW w:w="0" w:type="dxa"/>
          </w:tcPr>
          <w:p w14:paraId="78C82EF2" w14:textId="0113E9CC" w:rsidR="00CA7E2A" w:rsidRPr="004500AE" w:rsidRDefault="00CA7E2A" w:rsidP="007A1525">
            <w:pPr>
              <w:jc w:val="center"/>
              <w:cnfStyle w:val="100000000000" w:firstRow="1" w:lastRow="0" w:firstColumn="0" w:lastColumn="0" w:oddVBand="0" w:evenVBand="0" w:oddHBand="0" w:evenHBand="0" w:firstRowFirstColumn="0" w:firstRowLastColumn="0" w:lastRowFirstColumn="0" w:lastRowLastColumn="0"/>
              <w:rPr>
                <w:sz w:val="20"/>
                <w:szCs w:val="20"/>
                <w:lang w:val="pt-PT" w:eastAsia="ja-JP"/>
              </w:rPr>
            </w:pPr>
            <w:r w:rsidRPr="004500AE">
              <w:rPr>
                <w:sz w:val="20"/>
                <w:szCs w:val="20"/>
                <w:lang w:val="pt-PT" w:eastAsia="ja-JP"/>
              </w:rPr>
              <w:t>Meta/Referência</w:t>
            </w:r>
          </w:p>
        </w:tc>
        <w:tc>
          <w:tcPr>
            <w:tcW w:w="1652" w:type="dxa"/>
          </w:tcPr>
          <w:p w14:paraId="32BE01AF" w14:textId="736367DF" w:rsidR="00CA7E2A" w:rsidRPr="004500AE" w:rsidRDefault="00CA7E2A" w:rsidP="007A1525">
            <w:pPr>
              <w:jc w:val="center"/>
              <w:cnfStyle w:val="100000000000" w:firstRow="1" w:lastRow="0" w:firstColumn="0" w:lastColumn="0" w:oddVBand="0" w:evenVBand="0" w:oddHBand="0" w:evenHBand="0" w:firstRowFirstColumn="0" w:firstRowLastColumn="0" w:lastRowFirstColumn="0" w:lastRowLastColumn="0"/>
              <w:rPr>
                <w:sz w:val="20"/>
                <w:szCs w:val="20"/>
                <w:lang w:val="pt-PT" w:eastAsia="ja-JP"/>
              </w:rPr>
            </w:pPr>
            <w:r w:rsidRPr="004500AE">
              <w:rPr>
                <w:sz w:val="20"/>
                <w:szCs w:val="20"/>
                <w:lang w:val="pt-PT" w:eastAsia="ja-JP"/>
              </w:rPr>
              <w:t>Frequência de Monitoramento</w:t>
            </w:r>
          </w:p>
        </w:tc>
      </w:tr>
      <w:tr w:rsidR="009840D8" w:rsidRPr="00292532" w14:paraId="110BEA89" w14:textId="77777777" w:rsidTr="007A1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03EF5271" w14:textId="71B9DA6C" w:rsidR="00CA7E2A" w:rsidRPr="00292532" w:rsidRDefault="00872737" w:rsidP="00AB4662">
            <w:pPr>
              <w:rPr>
                <w:sz w:val="20"/>
                <w:szCs w:val="20"/>
                <w:lang w:val="pt-PT" w:eastAsia="ja-JP"/>
              </w:rPr>
            </w:pPr>
            <w:r w:rsidRPr="00292532">
              <w:rPr>
                <w:sz w:val="20"/>
                <w:szCs w:val="20"/>
                <w:lang w:val="pt-PT" w:eastAsia="ja-JP"/>
              </w:rPr>
              <w:t xml:space="preserve">Volume de resíduos sólidos gerado </w:t>
            </w:r>
            <w:r w:rsidR="00292532" w:rsidRPr="00292532">
              <w:rPr>
                <w:sz w:val="20"/>
                <w:szCs w:val="20"/>
                <w:lang w:val="pt-PT" w:eastAsia="ja-JP"/>
              </w:rPr>
              <w:t>vs.</w:t>
            </w:r>
            <w:r w:rsidRPr="00292532">
              <w:rPr>
                <w:sz w:val="20"/>
                <w:szCs w:val="20"/>
                <w:lang w:val="pt-PT" w:eastAsia="ja-JP"/>
              </w:rPr>
              <w:t xml:space="preserve"> Volume de resíduos tratados</w:t>
            </w:r>
            <w:r w:rsidRPr="00292532">
              <w:rPr>
                <w:sz w:val="20"/>
                <w:szCs w:val="20"/>
                <w:lang w:val="pt-PT" w:eastAsia="ja-JP"/>
              </w:rPr>
              <w:tab/>
            </w:r>
          </w:p>
        </w:tc>
        <w:tc>
          <w:tcPr>
            <w:tcW w:w="2532" w:type="dxa"/>
          </w:tcPr>
          <w:p w14:paraId="0F3A69AF" w14:textId="0E15B3BF" w:rsidR="00CA7E2A" w:rsidRPr="00292532" w:rsidRDefault="00872737" w:rsidP="00AB4662">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Registo completo dos resíduos gerados e manifestos de resíduos completos (desde a geração, transporte à eliminação)</w:t>
            </w:r>
          </w:p>
        </w:tc>
        <w:tc>
          <w:tcPr>
            <w:tcW w:w="0" w:type="dxa"/>
          </w:tcPr>
          <w:p w14:paraId="4EF50DA1" w14:textId="67A9AB34" w:rsidR="00CA7E2A" w:rsidRPr="00292532" w:rsidRDefault="00872737" w:rsidP="00AB4662">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Todo o resíduo gerado deve ser tratado e devidamente registado</w:t>
            </w:r>
          </w:p>
        </w:tc>
        <w:tc>
          <w:tcPr>
            <w:tcW w:w="1652" w:type="dxa"/>
          </w:tcPr>
          <w:p w14:paraId="2A18B607" w14:textId="332BFF13" w:rsidR="00CA7E2A" w:rsidRPr="004500AE" w:rsidRDefault="00872737" w:rsidP="00AB4662">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4500AE">
              <w:rPr>
                <w:sz w:val="20"/>
                <w:szCs w:val="20"/>
                <w:lang w:val="pt-PT" w:eastAsia="ja-JP"/>
              </w:rPr>
              <w:t>Mensalmente</w:t>
            </w:r>
          </w:p>
        </w:tc>
      </w:tr>
      <w:tr w:rsidR="009840D8" w:rsidRPr="00292532" w14:paraId="2CD65BE1" w14:textId="77777777" w:rsidTr="007A1525">
        <w:tc>
          <w:tcPr>
            <w:cnfStyle w:val="001000000000" w:firstRow="0" w:lastRow="0" w:firstColumn="1" w:lastColumn="0" w:oddVBand="0" w:evenVBand="0" w:oddHBand="0" w:evenHBand="0" w:firstRowFirstColumn="0" w:firstRowLastColumn="0" w:lastRowFirstColumn="0" w:lastRowLastColumn="0"/>
            <w:tcW w:w="2515" w:type="dxa"/>
          </w:tcPr>
          <w:p w14:paraId="7147686C" w14:textId="32EEC38C" w:rsidR="00CA7E2A" w:rsidRPr="00292532" w:rsidRDefault="009840D8" w:rsidP="00AB4662">
            <w:pPr>
              <w:rPr>
                <w:sz w:val="20"/>
                <w:szCs w:val="20"/>
                <w:lang w:val="pt-PT" w:eastAsia="ja-JP"/>
              </w:rPr>
            </w:pPr>
            <w:r w:rsidRPr="00292532">
              <w:rPr>
                <w:sz w:val="20"/>
                <w:szCs w:val="20"/>
                <w:lang w:val="pt-PT" w:eastAsia="ja-JP"/>
              </w:rPr>
              <w:t xml:space="preserve">Registo de </w:t>
            </w:r>
            <w:proofErr w:type="spellStart"/>
            <w:r w:rsidRPr="00292532">
              <w:rPr>
                <w:sz w:val="20"/>
                <w:szCs w:val="20"/>
                <w:lang w:val="pt-PT" w:eastAsia="ja-JP"/>
              </w:rPr>
              <w:t>inspecção</w:t>
            </w:r>
            <w:proofErr w:type="spellEnd"/>
            <w:r w:rsidRPr="00292532">
              <w:rPr>
                <w:sz w:val="20"/>
                <w:szCs w:val="20"/>
                <w:lang w:val="pt-PT" w:eastAsia="ja-JP"/>
              </w:rPr>
              <w:t xml:space="preserve"> de equipamento/sistemas de prevenção</w:t>
            </w:r>
          </w:p>
        </w:tc>
        <w:tc>
          <w:tcPr>
            <w:tcW w:w="2532" w:type="dxa"/>
          </w:tcPr>
          <w:p w14:paraId="5F225667" w14:textId="17744620" w:rsidR="009840D8" w:rsidRPr="00292532" w:rsidRDefault="009840D8" w:rsidP="00AB4662">
            <w:pPr>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292532">
              <w:rPr>
                <w:sz w:val="20"/>
                <w:szCs w:val="20"/>
                <w:lang w:val="pt-PT" w:eastAsia="ja-JP"/>
              </w:rPr>
              <w:t xml:space="preserve">Registo de qualquer evidência de fugas </w:t>
            </w:r>
            <w:r w:rsidR="003E075E" w:rsidRPr="00292532">
              <w:rPr>
                <w:sz w:val="20"/>
                <w:szCs w:val="20"/>
                <w:lang w:val="pt-PT" w:eastAsia="ja-JP"/>
              </w:rPr>
              <w:t>por</w:t>
            </w:r>
            <w:r w:rsidRPr="00292532">
              <w:rPr>
                <w:sz w:val="20"/>
                <w:szCs w:val="20"/>
                <w:lang w:val="pt-PT" w:eastAsia="ja-JP"/>
              </w:rPr>
              <w:t xml:space="preserve"> não integridade dos tanques/contentores.</w:t>
            </w:r>
          </w:p>
          <w:p w14:paraId="5B7DDC2A" w14:textId="43599A71" w:rsidR="00CA7E2A" w:rsidRPr="00292532" w:rsidRDefault="009840D8" w:rsidP="00AB4662">
            <w:pPr>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292532">
              <w:rPr>
                <w:sz w:val="20"/>
                <w:szCs w:val="20"/>
                <w:lang w:val="pt-PT" w:eastAsia="ja-JP"/>
              </w:rPr>
              <w:t xml:space="preserve">Registo de qualquer evidência de falha de </w:t>
            </w:r>
            <w:proofErr w:type="spellStart"/>
            <w:r w:rsidRPr="00292532">
              <w:rPr>
                <w:sz w:val="20"/>
                <w:szCs w:val="20"/>
                <w:lang w:val="pt-PT" w:eastAsia="ja-JP"/>
              </w:rPr>
              <w:t>detectores</w:t>
            </w:r>
            <w:proofErr w:type="spellEnd"/>
            <w:r w:rsidRPr="00292532">
              <w:rPr>
                <w:sz w:val="20"/>
                <w:szCs w:val="20"/>
                <w:lang w:val="pt-PT" w:eastAsia="ja-JP"/>
              </w:rPr>
              <w:t xml:space="preserve"> (gás, incêndio e </w:t>
            </w:r>
            <w:proofErr w:type="spellStart"/>
            <w:r w:rsidRPr="00292532">
              <w:rPr>
                <w:sz w:val="20"/>
                <w:szCs w:val="20"/>
                <w:lang w:val="pt-PT" w:eastAsia="ja-JP"/>
              </w:rPr>
              <w:t>detectores</w:t>
            </w:r>
            <w:proofErr w:type="spellEnd"/>
            <w:r w:rsidRPr="00292532">
              <w:rPr>
                <w:sz w:val="20"/>
                <w:szCs w:val="20"/>
                <w:lang w:val="pt-PT" w:eastAsia="ja-JP"/>
              </w:rPr>
              <w:t xml:space="preserve"> de fumo).</w:t>
            </w:r>
          </w:p>
        </w:tc>
        <w:tc>
          <w:tcPr>
            <w:tcW w:w="0" w:type="dxa"/>
          </w:tcPr>
          <w:p w14:paraId="44B2B9F5" w14:textId="77777777" w:rsidR="009840D8" w:rsidRPr="00292532" w:rsidRDefault="009840D8" w:rsidP="00AB4662">
            <w:pPr>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292532">
              <w:rPr>
                <w:sz w:val="20"/>
                <w:szCs w:val="20"/>
                <w:lang w:val="pt-PT" w:eastAsia="ja-JP"/>
              </w:rPr>
              <w:t>Ausência de quaisquer fugas dos tanques.</w:t>
            </w:r>
          </w:p>
          <w:p w14:paraId="067412E6" w14:textId="1794C313" w:rsidR="00CA7E2A" w:rsidRPr="00292532" w:rsidRDefault="009840D8" w:rsidP="00AB4662">
            <w:pPr>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292532">
              <w:rPr>
                <w:sz w:val="20"/>
                <w:szCs w:val="20"/>
                <w:lang w:val="pt-PT" w:eastAsia="ja-JP"/>
              </w:rPr>
              <w:t xml:space="preserve">Ausência de não-conformidades do dispositivo dos </w:t>
            </w:r>
            <w:proofErr w:type="spellStart"/>
            <w:r w:rsidRPr="00292532">
              <w:rPr>
                <w:sz w:val="20"/>
                <w:szCs w:val="20"/>
                <w:lang w:val="pt-PT" w:eastAsia="ja-JP"/>
              </w:rPr>
              <w:t>detectores</w:t>
            </w:r>
            <w:proofErr w:type="spellEnd"/>
            <w:r w:rsidRPr="00292532">
              <w:rPr>
                <w:sz w:val="20"/>
                <w:szCs w:val="20"/>
                <w:lang w:val="pt-PT" w:eastAsia="ja-JP"/>
              </w:rPr>
              <w:t>.</w:t>
            </w:r>
          </w:p>
        </w:tc>
        <w:tc>
          <w:tcPr>
            <w:tcW w:w="1652" w:type="dxa"/>
          </w:tcPr>
          <w:p w14:paraId="2E05BAA7" w14:textId="7AD130AA" w:rsidR="00CA7E2A" w:rsidRPr="004500AE" w:rsidRDefault="009840D8" w:rsidP="00AB4662">
            <w:pPr>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4500AE">
              <w:rPr>
                <w:sz w:val="20"/>
                <w:szCs w:val="20"/>
                <w:lang w:val="pt-PT" w:eastAsia="ja-JP"/>
              </w:rPr>
              <w:t>Mensalmente</w:t>
            </w:r>
          </w:p>
        </w:tc>
      </w:tr>
      <w:tr w:rsidR="009840D8" w:rsidRPr="00292532" w14:paraId="66C428B8" w14:textId="77777777" w:rsidTr="007A1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0BCFC510" w14:textId="452CA69A" w:rsidR="00CA7E2A" w:rsidRPr="004500AE" w:rsidRDefault="009840D8" w:rsidP="00AB4662">
            <w:pPr>
              <w:rPr>
                <w:sz w:val="20"/>
                <w:szCs w:val="20"/>
                <w:lang w:val="pt-PT" w:eastAsia="ja-JP"/>
              </w:rPr>
            </w:pPr>
            <w:r w:rsidRPr="004500AE">
              <w:rPr>
                <w:sz w:val="20"/>
                <w:szCs w:val="20"/>
                <w:lang w:val="pt-PT" w:eastAsia="ja-JP"/>
              </w:rPr>
              <w:t>Registo de derrames acidentais</w:t>
            </w:r>
          </w:p>
        </w:tc>
        <w:tc>
          <w:tcPr>
            <w:tcW w:w="2532" w:type="dxa"/>
          </w:tcPr>
          <w:p w14:paraId="3CC79C21" w14:textId="19419146" w:rsidR="00CA7E2A" w:rsidRPr="00292532" w:rsidRDefault="009840D8" w:rsidP="00AB4662">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Registo e comunicação de quaisquer derrames acidentais que tenham ocorrido nas obras iniciais.</w:t>
            </w:r>
          </w:p>
        </w:tc>
        <w:tc>
          <w:tcPr>
            <w:tcW w:w="0" w:type="dxa"/>
          </w:tcPr>
          <w:p w14:paraId="50BD62FF" w14:textId="03B782D5" w:rsidR="00CA7E2A" w:rsidRPr="004500AE" w:rsidRDefault="009840D8" w:rsidP="00AB4662">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4500AE">
              <w:rPr>
                <w:sz w:val="20"/>
                <w:szCs w:val="20"/>
                <w:lang w:val="pt-PT" w:eastAsia="ja-JP"/>
              </w:rPr>
              <w:t>Ausência de quaisquer derrames.</w:t>
            </w:r>
          </w:p>
        </w:tc>
        <w:tc>
          <w:tcPr>
            <w:tcW w:w="1652" w:type="dxa"/>
          </w:tcPr>
          <w:p w14:paraId="0C8BB5A5" w14:textId="1FBEEE85" w:rsidR="00CA7E2A" w:rsidRPr="004500AE" w:rsidRDefault="009840D8" w:rsidP="00AB4662">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4500AE">
              <w:rPr>
                <w:sz w:val="20"/>
                <w:szCs w:val="20"/>
                <w:lang w:val="pt-PT" w:eastAsia="ja-JP"/>
              </w:rPr>
              <w:t>Contínuo</w:t>
            </w:r>
          </w:p>
        </w:tc>
      </w:tr>
      <w:tr w:rsidR="009840D8" w:rsidRPr="00292532" w14:paraId="2173C7DA" w14:textId="77777777" w:rsidTr="007A1525">
        <w:tc>
          <w:tcPr>
            <w:cnfStyle w:val="001000000000" w:firstRow="0" w:lastRow="0" w:firstColumn="1" w:lastColumn="0" w:oddVBand="0" w:evenVBand="0" w:oddHBand="0" w:evenHBand="0" w:firstRowFirstColumn="0" w:firstRowLastColumn="0" w:lastRowFirstColumn="0" w:lastRowLastColumn="0"/>
            <w:tcW w:w="2515" w:type="dxa"/>
          </w:tcPr>
          <w:p w14:paraId="7965594D" w14:textId="7F22FA77" w:rsidR="009840D8" w:rsidRPr="00292532" w:rsidRDefault="009840D8" w:rsidP="00AB4662">
            <w:pPr>
              <w:rPr>
                <w:sz w:val="20"/>
                <w:szCs w:val="20"/>
                <w:lang w:val="pt-PT" w:eastAsia="ja-JP"/>
              </w:rPr>
            </w:pPr>
            <w:r w:rsidRPr="00292532">
              <w:rPr>
                <w:sz w:val="20"/>
                <w:szCs w:val="20"/>
                <w:lang w:val="pt-PT" w:eastAsia="ja-JP"/>
              </w:rPr>
              <w:t xml:space="preserve">Qualidade (biológica, física e química) das águas subterrâneas e superficiais </w:t>
            </w:r>
          </w:p>
        </w:tc>
        <w:tc>
          <w:tcPr>
            <w:tcW w:w="2532" w:type="dxa"/>
          </w:tcPr>
          <w:p w14:paraId="401FC939" w14:textId="771F2C5D" w:rsidR="009840D8" w:rsidRPr="004500AE" w:rsidRDefault="009840D8" w:rsidP="00AB4662">
            <w:pPr>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4500AE">
              <w:rPr>
                <w:sz w:val="20"/>
                <w:szCs w:val="20"/>
                <w:lang w:val="pt-PT" w:eastAsia="ja-JP"/>
              </w:rPr>
              <w:t>Amostras de águas</w:t>
            </w:r>
          </w:p>
        </w:tc>
        <w:tc>
          <w:tcPr>
            <w:tcW w:w="0" w:type="dxa"/>
          </w:tcPr>
          <w:p w14:paraId="1E775910" w14:textId="5C2ED30E" w:rsidR="009840D8" w:rsidRPr="00292532" w:rsidRDefault="009840D8" w:rsidP="00AB4662">
            <w:pPr>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292532">
              <w:rPr>
                <w:sz w:val="20"/>
                <w:szCs w:val="20"/>
                <w:lang w:val="pt-PT" w:eastAsia="ja-JP"/>
              </w:rPr>
              <w:t>Conformidade com os padrões de qualidade da água (nacionais e internacionais)</w:t>
            </w:r>
          </w:p>
        </w:tc>
        <w:tc>
          <w:tcPr>
            <w:tcW w:w="1652" w:type="dxa"/>
          </w:tcPr>
          <w:p w14:paraId="63A08DFB" w14:textId="1AE0C35C" w:rsidR="009840D8" w:rsidRPr="004500AE" w:rsidRDefault="007A2A89" w:rsidP="00AB4662">
            <w:pPr>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4500AE">
              <w:rPr>
                <w:sz w:val="20"/>
                <w:szCs w:val="20"/>
                <w:lang w:val="pt-PT" w:eastAsia="ja-JP"/>
              </w:rPr>
              <w:t xml:space="preserve">Trimestralmente </w:t>
            </w:r>
          </w:p>
        </w:tc>
      </w:tr>
      <w:tr w:rsidR="009840D8" w:rsidRPr="00292532" w14:paraId="115FECF9" w14:textId="77777777" w:rsidTr="007A1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775F2C98" w14:textId="3AD985BF" w:rsidR="009840D8" w:rsidRPr="004500AE" w:rsidRDefault="009840D8" w:rsidP="00AB4662">
            <w:pPr>
              <w:rPr>
                <w:sz w:val="20"/>
                <w:szCs w:val="20"/>
                <w:lang w:val="pt-PT" w:eastAsia="ja-JP"/>
              </w:rPr>
            </w:pPr>
            <w:r w:rsidRPr="004500AE">
              <w:rPr>
                <w:sz w:val="20"/>
                <w:szCs w:val="20"/>
                <w:lang w:val="pt-PT" w:eastAsia="ja-JP"/>
              </w:rPr>
              <w:t>Registo de formação/comunicação</w:t>
            </w:r>
          </w:p>
        </w:tc>
        <w:tc>
          <w:tcPr>
            <w:tcW w:w="2532" w:type="dxa"/>
          </w:tcPr>
          <w:p w14:paraId="193EAA79" w14:textId="0F876D03" w:rsidR="009840D8" w:rsidRPr="00292532" w:rsidRDefault="009840D8" w:rsidP="00AB4662">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Registo de formações e comunicações dadas aos trabalhadores.</w:t>
            </w:r>
          </w:p>
        </w:tc>
        <w:tc>
          <w:tcPr>
            <w:tcW w:w="0" w:type="dxa"/>
          </w:tcPr>
          <w:p w14:paraId="141EA320" w14:textId="60AB3746" w:rsidR="009840D8" w:rsidRPr="00292532" w:rsidRDefault="009840D8" w:rsidP="00AB4662">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Todos os trabalhadores recebem formação sobre procedimentos de prevenção de derrames acidentais.</w:t>
            </w:r>
          </w:p>
        </w:tc>
        <w:tc>
          <w:tcPr>
            <w:tcW w:w="1652" w:type="dxa"/>
          </w:tcPr>
          <w:p w14:paraId="7664BAD1" w14:textId="26E3D463" w:rsidR="009840D8" w:rsidRPr="004500AE" w:rsidRDefault="009840D8" w:rsidP="00AB4662">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4500AE">
              <w:rPr>
                <w:sz w:val="20"/>
                <w:szCs w:val="20"/>
                <w:lang w:val="pt-PT" w:eastAsia="ja-JP"/>
              </w:rPr>
              <w:t>Mensalmente</w:t>
            </w:r>
          </w:p>
        </w:tc>
      </w:tr>
    </w:tbl>
    <w:p w14:paraId="7DA2A77D" w14:textId="77777777" w:rsidR="00CA7E2A" w:rsidRPr="00292532" w:rsidRDefault="00CA7E2A" w:rsidP="007A1525">
      <w:pPr>
        <w:rPr>
          <w:lang w:val="pt-PT" w:eastAsia="ja-JP"/>
        </w:rPr>
      </w:pPr>
    </w:p>
    <w:p w14:paraId="12EC18AA" w14:textId="77777777" w:rsidR="004A2858" w:rsidRPr="00292532" w:rsidRDefault="004A2858" w:rsidP="00AB4662">
      <w:pPr>
        <w:rPr>
          <w:lang w:val="pt-PT" w:eastAsia="ja-JP"/>
        </w:rPr>
      </w:pPr>
    </w:p>
    <w:p w14:paraId="0216BE5E" w14:textId="77777777" w:rsidR="00C87F2C" w:rsidRPr="00292532" w:rsidRDefault="00C87F2C">
      <w:pPr>
        <w:rPr>
          <w:lang w:val="pt-PT" w:eastAsia="ja-JP"/>
        </w:rPr>
      </w:pPr>
    </w:p>
    <w:p w14:paraId="3780BCA4" w14:textId="675E9F94" w:rsidR="0072649B" w:rsidRPr="00292532" w:rsidRDefault="0072649B" w:rsidP="00DD34B4">
      <w:pPr>
        <w:rPr>
          <w:lang w:val="pt-PT" w:eastAsia="ja-JP"/>
        </w:rPr>
      </w:pPr>
      <w:r w:rsidRPr="00292532">
        <w:rPr>
          <w:lang w:val="pt-PT" w:eastAsia="ja-JP"/>
        </w:rPr>
        <w:br w:type="page"/>
      </w:r>
    </w:p>
    <w:p w14:paraId="67834D17" w14:textId="6F0D9605" w:rsidR="000F0611" w:rsidRPr="00292532" w:rsidRDefault="000F0611" w:rsidP="000D7B05">
      <w:pPr>
        <w:pStyle w:val="Title"/>
      </w:pPr>
      <w:r w:rsidRPr="00292532">
        <w:lastRenderedPageBreak/>
        <w:t xml:space="preserve">anexo </w:t>
      </w:r>
      <w:r w:rsidR="000D2119" w:rsidRPr="00292532">
        <w:t>8</w:t>
      </w:r>
    </w:p>
    <w:p w14:paraId="380B5DEC" w14:textId="51BBD465" w:rsidR="002E2E90" w:rsidRPr="00292532" w:rsidRDefault="002E2E90" w:rsidP="00AE14AE">
      <w:pPr>
        <w:pStyle w:val="Heading1"/>
        <w:numPr>
          <w:ilvl w:val="0"/>
          <w:numId w:val="91"/>
        </w:numPr>
        <w:rPr>
          <w:lang w:val="pt-PT"/>
        </w:rPr>
      </w:pPr>
      <w:bookmarkStart w:id="826" w:name="_Toc73620231"/>
      <w:bookmarkStart w:id="827" w:name="_Toc73623858"/>
      <w:bookmarkStart w:id="828" w:name="_Toc73624506"/>
      <w:bookmarkStart w:id="829" w:name="_Toc73954641"/>
      <w:bookmarkStart w:id="830" w:name="_Toc75438027"/>
      <w:bookmarkStart w:id="831" w:name="_Toc78435466"/>
      <w:bookmarkStart w:id="832" w:name="_Toc80380136"/>
      <w:r w:rsidRPr="00292532">
        <w:rPr>
          <w:lang w:val="pt-PT"/>
        </w:rPr>
        <w:t xml:space="preserve">Procedimentos de Gestão de Património Cultural </w:t>
      </w:r>
      <w:r w:rsidR="00406CF8" w:rsidRPr="00292532">
        <w:rPr>
          <w:lang w:val="pt-PT"/>
        </w:rPr>
        <w:t>(PGPC)</w:t>
      </w:r>
      <w:bookmarkEnd w:id="826"/>
      <w:bookmarkEnd w:id="827"/>
      <w:bookmarkEnd w:id="828"/>
      <w:bookmarkEnd w:id="829"/>
      <w:bookmarkEnd w:id="830"/>
      <w:bookmarkEnd w:id="831"/>
      <w:bookmarkEnd w:id="832"/>
    </w:p>
    <w:p w14:paraId="01323EF1" w14:textId="5D3C54D1" w:rsidR="006F4343" w:rsidRPr="00292532" w:rsidRDefault="00E855E9" w:rsidP="002E2E90">
      <w:pPr>
        <w:rPr>
          <w:lang w:val="pt-PT"/>
        </w:rPr>
      </w:pPr>
      <w:r w:rsidRPr="00292532">
        <w:rPr>
          <w:lang w:val="pt-PT"/>
        </w:rPr>
        <w:t xml:space="preserve">Este procedimento </w:t>
      </w:r>
      <w:r w:rsidR="006F4343" w:rsidRPr="00292532">
        <w:rPr>
          <w:lang w:val="pt-PT"/>
        </w:rPr>
        <w:t>visa providenciar orientações gerais e requisitos mínimos a serem cumpridos pelos empreiteiros e</w:t>
      </w:r>
      <w:r w:rsidR="007E03DD" w:rsidRPr="00292532">
        <w:rPr>
          <w:lang w:val="pt-PT"/>
        </w:rPr>
        <w:t xml:space="preserve"> </w:t>
      </w:r>
      <w:r w:rsidR="003E075E" w:rsidRPr="00292532">
        <w:rPr>
          <w:lang w:val="pt-PT"/>
        </w:rPr>
        <w:t>sub</w:t>
      </w:r>
      <w:r w:rsidR="007E03DD" w:rsidRPr="00292532">
        <w:rPr>
          <w:lang w:val="pt-PT"/>
        </w:rPr>
        <w:t xml:space="preserve">empreiteiros com o </w:t>
      </w:r>
      <w:proofErr w:type="spellStart"/>
      <w:r w:rsidR="007E03DD" w:rsidRPr="00292532">
        <w:rPr>
          <w:lang w:val="pt-PT"/>
        </w:rPr>
        <w:t>objectivo</w:t>
      </w:r>
      <w:proofErr w:type="spellEnd"/>
      <w:r w:rsidR="007E03DD" w:rsidRPr="00292532">
        <w:rPr>
          <w:lang w:val="pt-PT"/>
        </w:rPr>
        <w:t xml:space="preserve"> de: </w:t>
      </w:r>
    </w:p>
    <w:p w14:paraId="72177F4C" w14:textId="5C647CC1" w:rsidR="007E03DD" w:rsidRPr="00292532" w:rsidRDefault="007E03DD" w:rsidP="00AE14AE">
      <w:pPr>
        <w:pStyle w:val="ListParagraph"/>
        <w:numPr>
          <w:ilvl w:val="0"/>
          <w:numId w:val="92"/>
        </w:numPr>
        <w:rPr>
          <w:lang w:val="pt-PT"/>
        </w:rPr>
      </w:pPr>
      <w:r w:rsidRPr="00292532">
        <w:rPr>
          <w:lang w:val="pt-PT"/>
        </w:rPr>
        <w:t xml:space="preserve">Mitigar os potenciais riscos e impactos ambientais do </w:t>
      </w:r>
      <w:proofErr w:type="spellStart"/>
      <w:r w:rsidRPr="00292532">
        <w:rPr>
          <w:lang w:val="pt-PT"/>
        </w:rPr>
        <w:t>Projecto</w:t>
      </w:r>
      <w:proofErr w:type="spellEnd"/>
      <w:r w:rsidRPr="00292532">
        <w:rPr>
          <w:lang w:val="pt-PT"/>
        </w:rPr>
        <w:t xml:space="preserve"> no património cultural. </w:t>
      </w:r>
    </w:p>
    <w:p w14:paraId="1612E729" w14:textId="0843D801" w:rsidR="007E03DD" w:rsidRPr="00292532" w:rsidRDefault="007E03DD" w:rsidP="00AE14AE">
      <w:pPr>
        <w:pStyle w:val="ListParagraph"/>
        <w:numPr>
          <w:ilvl w:val="0"/>
          <w:numId w:val="92"/>
        </w:numPr>
        <w:rPr>
          <w:lang w:val="pt-PT"/>
        </w:rPr>
      </w:pPr>
      <w:r w:rsidRPr="00292532">
        <w:rPr>
          <w:lang w:val="pt-PT"/>
        </w:rPr>
        <w:t xml:space="preserve">Apoiar a preservação dos bens culturais e arqueológicos através da comunicação de achados fortuitos e devolução ao Estado moçambicano </w:t>
      </w:r>
    </w:p>
    <w:p w14:paraId="2DC25C68" w14:textId="0A236205" w:rsidR="007E03DD" w:rsidRPr="00292532" w:rsidRDefault="007E03DD" w:rsidP="00AE14AE">
      <w:pPr>
        <w:pStyle w:val="ListParagraph"/>
        <w:numPr>
          <w:ilvl w:val="0"/>
          <w:numId w:val="92"/>
        </w:numPr>
        <w:rPr>
          <w:lang w:val="pt-PT"/>
        </w:rPr>
      </w:pPr>
      <w:r w:rsidRPr="00292532">
        <w:rPr>
          <w:lang w:val="pt-PT"/>
        </w:rPr>
        <w:t xml:space="preserve">Promover o engajamento com as partes interessadas sobre as questões relacionadas com a preservação do património cultural. </w:t>
      </w:r>
    </w:p>
    <w:p w14:paraId="7BD9E6BB" w14:textId="6D402715" w:rsidR="007E03DD" w:rsidRPr="00292532" w:rsidRDefault="007E03DD" w:rsidP="007E03DD">
      <w:pPr>
        <w:rPr>
          <w:lang w:val="pt-PT"/>
        </w:rPr>
      </w:pPr>
      <w:r w:rsidRPr="00292532">
        <w:rPr>
          <w:lang w:val="pt-PT"/>
        </w:rPr>
        <w:t>Este procedimento vem dar cumprimento aos requisitos da Norma Ambiental e Social 8 do Banco Mundial sobre o Património Cultural, e está em conformidade com a legislação nacional relativa ao Património Cultural, nomeadamente, Lei do Património Cultural (Lei nº 10/88)</w:t>
      </w:r>
      <w:r w:rsidR="00F65EAD" w:rsidRPr="00292532">
        <w:rPr>
          <w:lang w:val="pt-PT"/>
        </w:rPr>
        <w:t xml:space="preserve"> e o </w:t>
      </w:r>
      <w:r w:rsidRPr="00292532">
        <w:rPr>
          <w:lang w:val="pt-PT"/>
        </w:rPr>
        <w:t xml:space="preserve">Regulamento de </w:t>
      </w:r>
      <w:proofErr w:type="spellStart"/>
      <w:r w:rsidRPr="00292532">
        <w:rPr>
          <w:lang w:val="pt-PT"/>
        </w:rPr>
        <w:t>Protecção</w:t>
      </w:r>
      <w:proofErr w:type="spellEnd"/>
      <w:r w:rsidRPr="00292532">
        <w:rPr>
          <w:lang w:val="pt-PT"/>
        </w:rPr>
        <w:t xml:space="preserve"> do Património Arqueológico (Decreto nº 27/94, de 20 de </w:t>
      </w:r>
      <w:proofErr w:type="gramStart"/>
      <w:r w:rsidRPr="00292532">
        <w:rPr>
          <w:lang w:val="pt-PT"/>
        </w:rPr>
        <w:t>Julho</w:t>
      </w:r>
      <w:proofErr w:type="gramEnd"/>
      <w:r w:rsidRPr="00292532">
        <w:rPr>
          <w:lang w:val="pt-PT"/>
        </w:rPr>
        <w:t>)</w:t>
      </w:r>
      <w:r w:rsidR="00F65EAD" w:rsidRPr="00292532">
        <w:rPr>
          <w:lang w:val="pt-PT"/>
        </w:rPr>
        <w:t>.</w:t>
      </w:r>
    </w:p>
    <w:p w14:paraId="51285088" w14:textId="77777777" w:rsidR="005629C5" w:rsidRPr="00292532" w:rsidRDefault="005629C5" w:rsidP="007E03DD">
      <w:pPr>
        <w:rPr>
          <w:lang w:val="pt-PT"/>
        </w:rPr>
      </w:pPr>
    </w:p>
    <w:p w14:paraId="69C64A3B" w14:textId="591E1A05" w:rsidR="007E03DD" w:rsidRPr="00292532" w:rsidRDefault="007E03DD" w:rsidP="007E03DD">
      <w:pPr>
        <w:pStyle w:val="Heading2"/>
      </w:pPr>
      <w:bookmarkStart w:id="833" w:name="_Toc73620232"/>
      <w:bookmarkStart w:id="834" w:name="_Toc73623859"/>
      <w:bookmarkStart w:id="835" w:name="_Toc73624507"/>
      <w:bookmarkStart w:id="836" w:name="_Toc73954642"/>
      <w:bookmarkStart w:id="837" w:name="_Toc75438028"/>
      <w:bookmarkStart w:id="838" w:name="_Toc78435467"/>
      <w:bookmarkStart w:id="839" w:name="_Toc80380137"/>
      <w:r w:rsidRPr="00292532">
        <w:t>Âmbito de Aplicação</w:t>
      </w:r>
      <w:bookmarkEnd w:id="833"/>
      <w:bookmarkEnd w:id="834"/>
      <w:bookmarkEnd w:id="835"/>
      <w:bookmarkEnd w:id="836"/>
      <w:bookmarkEnd w:id="837"/>
      <w:bookmarkEnd w:id="838"/>
      <w:bookmarkEnd w:id="839"/>
      <w:r w:rsidRPr="00292532">
        <w:t xml:space="preserve"> </w:t>
      </w:r>
    </w:p>
    <w:p w14:paraId="1BFA76AA" w14:textId="30147D04" w:rsidR="007E03DD" w:rsidRPr="00292532" w:rsidRDefault="00115CE9" w:rsidP="007E03DD">
      <w:pPr>
        <w:rPr>
          <w:lang w:val="pt-PT" w:eastAsia="ja-JP"/>
        </w:rPr>
      </w:pPr>
      <w:r w:rsidRPr="00292532">
        <w:rPr>
          <w:lang w:val="pt-PT" w:eastAsia="ja-JP"/>
        </w:rPr>
        <w:t xml:space="preserve">Para fins deste procedimento, devem-se considerar as definições providenciadas pela NAS8, que identifica os seguintes tipo de Património Cultural, sendo estes o âmbito do </w:t>
      </w:r>
      <w:proofErr w:type="spellStart"/>
      <w:r w:rsidRPr="00292532">
        <w:rPr>
          <w:lang w:val="pt-PT" w:eastAsia="ja-JP"/>
        </w:rPr>
        <w:t>actual</w:t>
      </w:r>
      <w:proofErr w:type="spellEnd"/>
      <w:r w:rsidRPr="00292532">
        <w:rPr>
          <w:lang w:val="pt-PT" w:eastAsia="ja-JP"/>
        </w:rPr>
        <w:t xml:space="preserve"> procedimento: </w:t>
      </w:r>
    </w:p>
    <w:p w14:paraId="1D0CC4C4" w14:textId="01FD438B" w:rsidR="00115CE9" w:rsidRPr="00292532" w:rsidRDefault="00ED29D6" w:rsidP="00AE14AE">
      <w:pPr>
        <w:pStyle w:val="ListParagraph"/>
        <w:numPr>
          <w:ilvl w:val="0"/>
          <w:numId w:val="93"/>
        </w:numPr>
        <w:rPr>
          <w:lang w:val="pt-PT" w:eastAsia="ja-JP"/>
        </w:rPr>
      </w:pPr>
      <w:r w:rsidRPr="00292532">
        <w:rPr>
          <w:i/>
          <w:iCs/>
          <w:lang w:val="pt-PT" w:eastAsia="ja-JP"/>
        </w:rPr>
        <w:t>P</w:t>
      </w:r>
      <w:r w:rsidR="00115CE9" w:rsidRPr="00292532">
        <w:rPr>
          <w:i/>
          <w:iCs/>
          <w:lang w:val="pt-PT" w:eastAsia="ja-JP"/>
        </w:rPr>
        <w:t>atrimônio cultural tangível</w:t>
      </w:r>
      <w:r w:rsidR="00115CE9" w:rsidRPr="00292532">
        <w:rPr>
          <w:lang w:val="pt-PT" w:eastAsia="ja-JP"/>
        </w:rPr>
        <w:t>, que inclui bens móveis ou imóveis, locais, estruturas, grupos de estruturas e recursos naturais e paisagens que têm importância arqueológica, paleontológica, histórica, arquitetónica, religiosa, estética, ou com outro significado cultural. O patrimônio cultural tangível pode ser encontrado em áreas urbanas ou rurais e pode estar acima ou abaixo da terra ou debaixo de água.</w:t>
      </w:r>
    </w:p>
    <w:p w14:paraId="5BA5B723" w14:textId="0EB3B5BE" w:rsidR="00C45503" w:rsidRPr="00292532" w:rsidRDefault="00115CE9" w:rsidP="00AE14AE">
      <w:pPr>
        <w:pStyle w:val="ListParagraph"/>
        <w:numPr>
          <w:ilvl w:val="0"/>
          <w:numId w:val="93"/>
        </w:numPr>
        <w:rPr>
          <w:lang w:val="pt-PT" w:eastAsia="ja-JP"/>
        </w:rPr>
      </w:pPr>
      <w:r w:rsidRPr="00292532">
        <w:rPr>
          <w:i/>
          <w:iCs/>
          <w:lang w:val="pt-PT" w:eastAsia="ja-JP"/>
        </w:rPr>
        <w:t xml:space="preserve">Património cultural intangível, </w:t>
      </w:r>
      <w:r w:rsidRPr="00292532">
        <w:rPr>
          <w:lang w:val="pt-PT" w:eastAsia="ja-JP"/>
        </w:rPr>
        <w:t>que inclui as práticas, representações, expressões, conhecimentos, competências, bem como os instrumentos, objetos, artefactos e espaços culturais associados, que as comunidades e os grupos reconhecem como parte do seu patrimônio cultural, transmitidos de geração em geração e constantemente recriados por eles em resposta ao seu ambiente, à sua interação com a natureza e à sua história.</w:t>
      </w:r>
      <w:r w:rsidR="00BC36B7" w:rsidRPr="00292532">
        <w:rPr>
          <w:lang w:val="pt-PT" w:eastAsia="ja-JP"/>
        </w:rPr>
        <w:t xml:space="preserve"> Fazem parte deste grupo os locais sagrados de crença e de culto religioso ou tradicional, cemitérios (incluindo os cemitérios familiares).</w:t>
      </w:r>
    </w:p>
    <w:p w14:paraId="1B4A5A10" w14:textId="1F4FE4CF" w:rsidR="00C45503" w:rsidRPr="00292532" w:rsidRDefault="00C45503">
      <w:pPr>
        <w:rPr>
          <w:lang w:val="pt-PT" w:eastAsia="ja-JP"/>
        </w:rPr>
      </w:pPr>
      <w:r w:rsidRPr="00292532">
        <w:rPr>
          <w:lang w:val="pt-PT" w:eastAsia="ja-JP"/>
        </w:rPr>
        <w:t>As definições acima prevalecem independentemente d</w:t>
      </w:r>
      <w:r w:rsidR="009B2B69" w:rsidRPr="00292532">
        <w:rPr>
          <w:lang w:val="pt-PT" w:eastAsia="ja-JP"/>
        </w:rPr>
        <w:t>e o</w:t>
      </w:r>
      <w:r w:rsidRPr="00292532">
        <w:rPr>
          <w:lang w:val="pt-PT" w:eastAsia="ja-JP"/>
        </w:rPr>
        <w:t xml:space="preserve"> património cultural estar ou não legalmente protegido ou tenha sido previamente identificado ou esteja alterado.  </w:t>
      </w:r>
    </w:p>
    <w:p w14:paraId="5BFDFA98" w14:textId="3729A561" w:rsidR="00A87379" w:rsidRPr="00292532" w:rsidRDefault="00A87379" w:rsidP="00115CE9">
      <w:pPr>
        <w:rPr>
          <w:lang w:val="pt-PT" w:eastAsia="ja-JP"/>
        </w:rPr>
      </w:pPr>
      <w:r w:rsidRPr="00292532">
        <w:rPr>
          <w:lang w:val="pt-PT" w:eastAsia="ja-JP"/>
        </w:rPr>
        <w:t xml:space="preserve">As </w:t>
      </w:r>
      <w:proofErr w:type="spellStart"/>
      <w:r w:rsidRPr="00292532">
        <w:rPr>
          <w:lang w:val="pt-PT" w:eastAsia="ja-JP"/>
        </w:rPr>
        <w:t>dire</w:t>
      </w:r>
      <w:r w:rsidR="00ED29D6" w:rsidRPr="00292532">
        <w:rPr>
          <w:lang w:val="pt-PT" w:eastAsia="ja-JP"/>
        </w:rPr>
        <w:t>c</w:t>
      </w:r>
      <w:r w:rsidRPr="00292532">
        <w:rPr>
          <w:lang w:val="pt-PT" w:eastAsia="ja-JP"/>
        </w:rPr>
        <w:t>trizes</w:t>
      </w:r>
      <w:proofErr w:type="spellEnd"/>
      <w:r w:rsidRPr="00292532">
        <w:rPr>
          <w:lang w:val="pt-PT" w:eastAsia="ja-JP"/>
        </w:rPr>
        <w:t xml:space="preserve"> providenciadas neste procedimento serão </w:t>
      </w:r>
      <w:r w:rsidR="009B2B69" w:rsidRPr="00292532">
        <w:rPr>
          <w:lang w:val="pt-PT" w:eastAsia="ja-JP"/>
        </w:rPr>
        <w:t xml:space="preserve">maioritariamente </w:t>
      </w:r>
      <w:r w:rsidRPr="00292532">
        <w:rPr>
          <w:lang w:val="pt-PT" w:eastAsia="ja-JP"/>
        </w:rPr>
        <w:t xml:space="preserve">relevantes durante as </w:t>
      </w:r>
      <w:proofErr w:type="spellStart"/>
      <w:r w:rsidRPr="00292532">
        <w:rPr>
          <w:lang w:val="pt-PT" w:eastAsia="ja-JP"/>
        </w:rPr>
        <w:t>actividades</w:t>
      </w:r>
      <w:proofErr w:type="spellEnd"/>
      <w:r w:rsidRPr="00292532">
        <w:rPr>
          <w:lang w:val="pt-PT" w:eastAsia="ja-JP"/>
        </w:rPr>
        <w:t xml:space="preserve"> de escavações, movimentação de terra na fase de construção e previamente na fase de estudos ambientais e sociais e levantamentos de dados primários. </w:t>
      </w:r>
    </w:p>
    <w:p w14:paraId="47C53B61" w14:textId="77777777" w:rsidR="009B2B69" w:rsidRPr="00292532" w:rsidRDefault="009B2B69" w:rsidP="00115CE9">
      <w:pPr>
        <w:rPr>
          <w:lang w:val="pt-PT" w:eastAsia="ja-JP"/>
        </w:rPr>
      </w:pPr>
    </w:p>
    <w:p w14:paraId="0637A7EC" w14:textId="10010358" w:rsidR="00BC36B7" w:rsidRPr="00292532" w:rsidRDefault="002B6F70" w:rsidP="007A1525">
      <w:pPr>
        <w:pStyle w:val="Heading2"/>
      </w:pPr>
      <w:bookmarkStart w:id="840" w:name="_Toc73620233"/>
      <w:bookmarkStart w:id="841" w:name="_Toc73623860"/>
      <w:bookmarkStart w:id="842" w:name="_Toc73624508"/>
      <w:bookmarkStart w:id="843" w:name="_Toc73954643"/>
      <w:bookmarkStart w:id="844" w:name="_Toc75438029"/>
      <w:bookmarkStart w:id="845" w:name="_Toc78435468"/>
      <w:bookmarkStart w:id="846" w:name="_Toc80380138"/>
      <w:r w:rsidRPr="00292532">
        <w:t>Requisitos Legais</w:t>
      </w:r>
      <w:bookmarkEnd w:id="840"/>
      <w:bookmarkEnd w:id="841"/>
      <w:bookmarkEnd w:id="842"/>
      <w:bookmarkEnd w:id="843"/>
      <w:bookmarkEnd w:id="844"/>
      <w:bookmarkEnd w:id="845"/>
      <w:bookmarkEnd w:id="846"/>
    </w:p>
    <w:p w14:paraId="57DB38A4" w14:textId="48421D65" w:rsidR="00965C50" w:rsidRPr="00292532" w:rsidRDefault="00965C50" w:rsidP="00965C50">
      <w:pPr>
        <w:rPr>
          <w:lang w:val="pt-PT" w:eastAsia="ja-JP"/>
        </w:rPr>
      </w:pPr>
      <w:r w:rsidRPr="00292532">
        <w:rPr>
          <w:lang w:val="pt-PT" w:eastAsia="ja-JP"/>
        </w:rPr>
        <w:t>A legislação moçambicana (Lei nº 10/88;</w:t>
      </w:r>
      <w:r w:rsidRPr="00292532">
        <w:rPr>
          <w:lang w:val="pt-PT"/>
        </w:rPr>
        <w:t xml:space="preserve"> </w:t>
      </w:r>
      <w:r w:rsidRPr="00292532">
        <w:rPr>
          <w:lang w:val="pt-PT" w:eastAsia="ja-JP"/>
        </w:rPr>
        <w:t>Decreto nº 27/94) similarmente a NAS8</w:t>
      </w:r>
      <w:r w:rsidR="003E075E" w:rsidRPr="00292532">
        <w:rPr>
          <w:lang w:val="pt-PT" w:eastAsia="ja-JP"/>
        </w:rPr>
        <w:t xml:space="preserve"> </w:t>
      </w:r>
      <w:r w:rsidRPr="00292532">
        <w:rPr>
          <w:lang w:val="pt-PT" w:eastAsia="ja-JP"/>
        </w:rPr>
        <w:t xml:space="preserve">considera bens culturais materiais e imateriais, definindo-nos do seguinte modo: </w:t>
      </w:r>
    </w:p>
    <w:p w14:paraId="1018D96D" w14:textId="77777777" w:rsidR="00965C50" w:rsidRPr="00292532" w:rsidRDefault="00965C50" w:rsidP="00AE14AE">
      <w:pPr>
        <w:pStyle w:val="ListParagraph"/>
        <w:numPr>
          <w:ilvl w:val="0"/>
          <w:numId w:val="94"/>
        </w:numPr>
        <w:rPr>
          <w:lang w:val="pt-PT" w:eastAsia="ja-JP"/>
        </w:rPr>
      </w:pPr>
      <w:r w:rsidRPr="00292532">
        <w:rPr>
          <w:lang w:val="pt-PT" w:eastAsia="ja-JP"/>
        </w:rPr>
        <w:lastRenderedPageBreak/>
        <w:t xml:space="preserve">Bens culturais imateriais – são os que constituem elementos essenciais da memória </w:t>
      </w:r>
      <w:proofErr w:type="spellStart"/>
      <w:r w:rsidRPr="00292532">
        <w:rPr>
          <w:lang w:val="pt-PT" w:eastAsia="ja-JP"/>
        </w:rPr>
        <w:t>colectiva</w:t>
      </w:r>
      <w:proofErr w:type="spellEnd"/>
      <w:r w:rsidRPr="00292532">
        <w:rPr>
          <w:lang w:val="pt-PT" w:eastAsia="ja-JP"/>
        </w:rPr>
        <w:t xml:space="preserve"> do povo, tais como história e a literatura oral, as tradições populares, os ritos e o folclore, as próprias línguas nacionais e ainda obras de engenho humano e todas as formas de criação artística e literária independentemente do suporte ou veículo por que se manifestem. </w:t>
      </w:r>
    </w:p>
    <w:p w14:paraId="2459E904" w14:textId="7986B370" w:rsidR="00965C50" w:rsidRPr="00292532" w:rsidRDefault="00965C50" w:rsidP="00AE14AE">
      <w:pPr>
        <w:pStyle w:val="ListParagraph"/>
        <w:numPr>
          <w:ilvl w:val="0"/>
          <w:numId w:val="94"/>
        </w:numPr>
        <w:rPr>
          <w:lang w:val="pt-PT" w:eastAsia="ja-JP"/>
        </w:rPr>
      </w:pPr>
      <w:r w:rsidRPr="00292532">
        <w:rPr>
          <w:lang w:val="pt-PT" w:eastAsia="ja-JP"/>
        </w:rPr>
        <w:t>Bens culturais materiais – estes subdividem-se em móveis e imóveis. Fazendo parte destes últimos, os monumentos, conjuntos, locais ou sítios e elementos naturais, grupos de edifícios com importância histórica, científica e artística, lugares ou locais (arqueológicos, históricos, estéticos, de interesse etnológico ou antropológico) e elementos naturais incluindo formações físicas, biológicas com particular interesse estético ou científico.</w:t>
      </w:r>
    </w:p>
    <w:p w14:paraId="2E283FA3" w14:textId="128FF5CF" w:rsidR="00BC36B7" w:rsidRPr="00292532" w:rsidRDefault="00594EC0" w:rsidP="007E03DD">
      <w:pPr>
        <w:rPr>
          <w:lang w:val="pt-PT"/>
        </w:rPr>
      </w:pPr>
      <w:r w:rsidRPr="00292532">
        <w:rPr>
          <w:lang w:val="pt-PT"/>
        </w:rPr>
        <w:t>Lei do Património Cultural (</w:t>
      </w:r>
      <w:bookmarkStart w:id="847" w:name="_Hlk73370128"/>
      <w:r w:rsidRPr="00292532">
        <w:rPr>
          <w:lang w:val="pt-PT"/>
        </w:rPr>
        <w:t>Lei nº 10/88</w:t>
      </w:r>
      <w:bookmarkEnd w:id="847"/>
      <w:r w:rsidRPr="00292532">
        <w:rPr>
          <w:lang w:val="pt-PT"/>
        </w:rPr>
        <w:t xml:space="preserve">) </w:t>
      </w:r>
      <w:r w:rsidR="00965C50" w:rsidRPr="00292532">
        <w:rPr>
          <w:lang w:val="pt-PT"/>
        </w:rPr>
        <w:t xml:space="preserve">define medidas com vista a </w:t>
      </w:r>
      <w:proofErr w:type="spellStart"/>
      <w:r w:rsidR="00965C50" w:rsidRPr="00292532">
        <w:rPr>
          <w:lang w:val="pt-PT"/>
        </w:rPr>
        <w:t>protecção</w:t>
      </w:r>
      <w:proofErr w:type="spellEnd"/>
      <w:r w:rsidR="00965C50" w:rsidRPr="00292532">
        <w:rPr>
          <w:lang w:val="pt-PT"/>
        </w:rPr>
        <w:t xml:space="preserve"> do património cultural, e neste âmbito estabelece a obrigatoriedade de comunicar às autoridades a posse de um bem de património cultural detido por uma pessoa singular ou </w:t>
      </w:r>
      <w:proofErr w:type="spellStart"/>
      <w:r w:rsidR="00965C50" w:rsidRPr="00292532">
        <w:rPr>
          <w:lang w:val="pt-PT"/>
        </w:rPr>
        <w:t>colectiva</w:t>
      </w:r>
      <w:proofErr w:type="spellEnd"/>
      <w:r w:rsidR="00965C50" w:rsidRPr="00292532">
        <w:rPr>
          <w:lang w:val="pt-PT"/>
        </w:rPr>
        <w:t>.</w:t>
      </w:r>
    </w:p>
    <w:p w14:paraId="2EEB694D" w14:textId="74D3E369" w:rsidR="00965C50" w:rsidRPr="00292532" w:rsidRDefault="00965C50" w:rsidP="007E03DD">
      <w:pPr>
        <w:rPr>
          <w:lang w:val="pt-PT"/>
        </w:rPr>
      </w:pPr>
      <w:r w:rsidRPr="00292532">
        <w:rPr>
          <w:lang w:val="pt-PT"/>
        </w:rPr>
        <w:t xml:space="preserve">No Regulamento de </w:t>
      </w:r>
      <w:proofErr w:type="spellStart"/>
      <w:r w:rsidRPr="00292532">
        <w:rPr>
          <w:lang w:val="pt-PT"/>
        </w:rPr>
        <w:t>Protecção</w:t>
      </w:r>
      <w:proofErr w:type="spellEnd"/>
      <w:r w:rsidRPr="00292532">
        <w:rPr>
          <w:lang w:val="pt-PT"/>
        </w:rPr>
        <w:t xml:space="preserve"> do Património Arqueológico (Decreto nº 27/94) destacam-se as disposições relativas às descobertas fortuitas do seu artigo 10, que estabelecem que “O autor de qualquer descoberta fortuita de elementos arqueológicos, deve comunicar com um prazo de 48 horas à autoridade local, que notificará os órgãos competentes pela cultura, com a maior brevidade possível, e tomar as medidas apropriadas para a </w:t>
      </w:r>
      <w:proofErr w:type="spellStart"/>
      <w:r w:rsidRPr="00292532">
        <w:rPr>
          <w:lang w:val="pt-PT"/>
        </w:rPr>
        <w:t>protecção</w:t>
      </w:r>
      <w:proofErr w:type="spellEnd"/>
      <w:r w:rsidRPr="00292532">
        <w:rPr>
          <w:lang w:val="pt-PT"/>
        </w:rPr>
        <w:t xml:space="preserve"> dos referidos elementos.”</w:t>
      </w:r>
    </w:p>
    <w:p w14:paraId="7FC81FF0" w14:textId="77777777" w:rsidR="00965C50" w:rsidRPr="00292532" w:rsidRDefault="00965C50" w:rsidP="007E03DD">
      <w:pPr>
        <w:rPr>
          <w:lang w:val="pt-PT"/>
        </w:rPr>
      </w:pPr>
    </w:p>
    <w:p w14:paraId="537C5869" w14:textId="3209A732" w:rsidR="00965C50" w:rsidRPr="00292532" w:rsidRDefault="00965C50" w:rsidP="00965C50">
      <w:pPr>
        <w:pStyle w:val="Heading2"/>
      </w:pPr>
      <w:bookmarkStart w:id="848" w:name="_Toc73620234"/>
      <w:bookmarkStart w:id="849" w:name="_Toc73623861"/>
      <w:bookmarkStart w:id="850" w:name="_Toc73624509"/>
      <w:bookmarkStart w:id="851" w:name="_Toc73954644"/>
      <w:bookmarkStart w:id="852" w:name="_Toc75438030"/>
      <w:bookmarkStart w:id="853" w:name="_Toc78435469"/>
      <w:bookmarkStart w:id="854" w:name="_Toc80380139"/>
      <w:r w:rsidRPr="00292532">
        <w:t>Potenciais Riscos e Impactos Ambientais</w:t>
      </w:r>
      <w:bookmarkEnd w:id="848"/>
      <w:bookmarkEnd w:id="849"/>
      <w:bookmarkEnd w:id="850"/>
      <w:bookmarkEnd w:id="851"/>
      <w:bookmarkEnd w:id="852"/>
      <w:bookmarkEnd w:id="853"/>
      <w:bookmarkEnd w:id="854"/>
      <w:r w:rsidRPr="00292532">
        <w:t xml:space="preserve"> </w:t>
      </w:r>
    </w:p>
    <w:p w14:paraId="375FE4A8" w14:textId="0BA134BF" w:rsidR="00965C50" w:rsidRPr="00292532" w:rsidRDefault="00C45503" w:rsidP="00965C50">
      <w:pPr>
        <w:rPr>
          <w:lang w:val="pt-PT" w:eastAsia="ja-JP"/>
        </w:rPr>
      </w:pPr>
      <w:r w:rsidRPr="00292532">
        <w:rPr>
          <w:lang w:val="pt-PT" w:eastAsia="ja-JP"/>
        </w:rPr>
        <w:t xml:space="preserve">O </w:t>
      </w:r>
      <w:proofErr w:type="spellStart"/>
      <w:r w:rsidRPr="00292532">
        <w:rPr>
          <w:lang w:val="pt-PT" w:eastAsia="ja-JP"/>
        </w:rPr>
        <w:t>Projecto</w:t>
      </w:r>
      <w:proofErr w:type="spellEnd"/>
      <w:r w:rsidRPr="00292532">
        <w:rPr>
          <w:lang w:val="pt-PT" w:eastAsia="ja-JP"/>
        </w:rPr>
        <w:t xml:space="preserve"> apresenta um potencial de interferência com os recursos de património cultural nas suas zonas de abrangência, devido à aquisição e ocupação de terras para a instalação das infraestruturas de saneamento e de abastecimento de água previstas pelo </w:t>
      </w:r>
      <w:proofErr w:type="spellStart"/>
      <w:r w:rsidRPr="00292532">
        <w:rPr>
          <w:lang w:val="pt-PT" w:eastAsia="ja-JP"/>
        </w:rPr>
        <w:t>Projecto</w:t>
      </w:r>
      <w:proofErr w:type="spellEnd"/>
      <w:r w:rsidRPr="00292532">
        <w:rPr>
          <w:lang w:val="pt-PT" w:eastAsia="ja-JP"/>
        </w:rPr>
        <w:t xml:space="preserve">. Devido ao carácter </w:t>
      </w:r>
      <w:proofErr w:type="spellStart"/>
      <w:r w:rsidRPr="00292532">
        <w:rPr>
          <w:lang w:val="pt-PT" w:eastAsia="ja-JP"/>
        </w:rPr>
        <w:t>semi-urbanizado</w:t>
      </w:r>
      <w:proofErr w:type="spellEnd"/>
      <w:r w:rsidRPr="00292532">
        <w:rPr>
          <w:lang w:val="pt-PT" w:eastAsia="ja-JP"/>
        </w:rPr>
        <w:t xml:space="preserve"> e rural das áreas de abrangência do </w:t>
      </w:r>
      <w:proofErr w:type="spellStart"/>
      <w:r w:rsidRPr="00292532">
        <w:rPr>
          <w:lang w:val="pt-PT" w:eastAsia="ja-JP"/>
        </w:rPr>
        <w:t>Projecto</w:t>
      </w:r>
      <w:proofErr w:type="spellEnd"/>
      <w:r w:rsidRPr="00292532">
        <w:rPr>
          <w:lang w:val="pt-PT" w:eastAsia="ja-JP"/>
        </w:rPr>
        <w:t>, antecipa-se que</w:t>
      </w:r>
      <w:r w:rsidR="009B2B69" w:rsidRPr="00292532">
        <w:rPr>
          <w:lang w:val="pt-PT" w:eastAsia="ja-JP"/>
        </w:rPr>
        <w:t xml:space="preserve"> existe</w:t>
      </w:r>
      <w:r w:rsidRPr="00292532">
        <w:rPr>
          <w:lang w:val="pt-PT" w:eastAsia="ja-JP"/>
        </w:rPr>
        <w:t xml:space="preserve"> um potencial elevado de interferência com locais sagrados, cemitérios (identificados e não identificados). </w:t>
      </w:r>
    </w:p>
    <w:p w14:paraId="0176D626" w14:textId="539B6AD2" w:rsidR="00C45503" w:rsidRPr="00292532" w:rsidRDefault="00C45503" w:rsidP="00965C50">
      <w:pPr>
        <w:rPr>
          <w:lang w:val="pt-PT" w:eastAsia="ja-JP"/>
        </w:rPr>
      </w:pPr>
      <w:r w:rsidRPr="00292532">
        <w:rPr>
          <w:lang w:val="pt-PT" w:eastAsia="ja-JP"/>
        </w:rPr>
        <w:t xml:space="preserve">Especial atenção deverá ser igualmente dada ao desenvolvimento das </w:t>
      </w:r>
      <w:proofErr w:type="spellStart"/>
      <w:r w:rsidRPr="00292532">
        <w:rPr>
          <w:lang w:val="pt-PT" w:eastAsia="ja-JP"/>
        </w:rPr>
        <w:t>actividades</w:t>
      </w:r>
      <w:proofErr w:type="spellEnd"/>
      <w:r w:rsidRPr="00292532">
        <w:rPr>
          <w:lang w:val="pt-PT" w:eastAsia="ja-JP"/>
        </w:rPr>
        <w:t xml:space="preserve"> previstas na Ilha de Moçambique pela sua categoria como Património Mundial da Humanidade. </w:t>
      </w:r>
    </w:p>
    <w:p w14:paraId="0C5DEEA8" w14:textId="77777777" w:rsidR="00B145AC" w:rsidRPr="00292532" w:rsidRDefault="00B145AC" w:rsidP="00965C50">
      <w:pPr>
        <w:rPr>
          <w:lang w:val="pt-PT" w:eastAsia="ja-JP"/>
        </w:rPr>
      </w:pPr>
    </w:p>
    <w:p w14:paraId="0FA49817" w14:textId="0907F592" w:rsidR="00B145AC" w:rsidRPr="00292532" w:rsidRDefault="00B145AC" w:rsidP="00B145AC">
      <w:pPr>
        <w:pStyle w:val="Heading2"/>
      </w:pPr>
      <w:bookmarkStart w:id="855" w:name="_Toc73620235"/>
      <w:bookmarkStart w:id="856" w:name="_Toc73623862"/>
      <w:bookmarkStart w:id="857" w:name="_Toc73624510"/>
      <w:bookmarkStart w:id="858" w:name="_Toc73954645"/>
      <w:bookmarkStart w:id="859" w:name="_Toc75438031"/>
      <w:bookmarkStart w:id="860" w:name="_Toc78435470"/>
      <w:bookmarkStart w:id="861" w:name="_Toc80380140"/>
      <w:r w:rsidRPr="00292532">
        <w:t>Identificação do Património Cultural</w:t>
      </w:r>
      <w:bookmarkEnd w:id="855"/>
      <w:bookmarkEnd w:id="856"/>
      <w:bookmarkEnd w:id="857"/>
      <w:bookmarkEnd w:id="858"/>
      <w:bookmarkEnd w:id="859"/>
      <w:bookmarkEnd w:id="860"/>
      <w:bookmarkEnd w:id="861"/>
      <w:r w:rsidRPr="00292532">
        <w:t xml:space="preserve"> </w:t>
      </w:r>
    </w:p>
    <w:p w14:paraId="11648914" w14:textId="53BA502E" w:rsidR="00B145AC" w:rsidRPr="00292532" w:rsidRDefault="00B145AC" w:rsidP="00B145AC">
      <w:pPr>
        <w:rPr>
          <w:lang w:val="pt-PT" w:eastAsia="ja-JP"/>
        </w:rPr>
      </w:pPr>
      <w:r w:rsidRPr="00292532">
        <w:rPr>
          <w:lang w:val="pt-PT" w:eastAsia="ja-JP"/>
        </w:rPr>
        <w:t xml:space="preserve">Recomenda-se que o </w:t>
      </w:r>
      <w:proofErr w:type="spellStart"/>
      <w:r w:rsidRPr="00292532">
        <w:rPr>
          <w:lang w:val="pt-PT" w:eastAsia="ja-JP"/>
        </w:rPr>
        <w:t>Projecto</w:t>
      </w:r>
      <w:proofErr w:type="spellEnd"/>
      <w:r w:rsidRPr="00292532">
        <w:rPr>
          <w:lang w:val="pt-PT" w:eastAsia="ja-JP"/>
        </w:rPr>
        <w:t>, na fase de estudos ambientais e sociais e no âmbito de levantamentos de dados primários</w:t>
      </w:r>
      <w:r w:rsidR="009D4738" w:rsidRPr="00292532">
        <w:rPr>
          <w:lang w:val="pt-PT" w:eastAsia="ja-JP"/>
        </w:rPr>
        <w:t xml:space="preserve"> devem ser </w:t>
      </w:r>
      <w:r w:rsidR="009D4738" w:rsidRPr="00292532">
        <w:rPr>
          <w:lang w:val="pt-PT"/>
        </w:rPr>
        <w:t>identificados os locais de importância cultural, histórica, arqueológica, patrimonial e religiosa. Recomenda-se que estes locais, com especial foco para os locais sagrados e cemitérios sejam devidamente identificados e mapeados. Feita a identificação dos mesmo</w:t>
      </w:r>
      <w:r w:rsidR="00ED29D6" w:rsidRPr="00292532">
        <w:rPr>
          <w:lang w:val="pt-PT"/>
        </w:rPr>
        <w:t>s</w:t>
      </w:r>
      <w:r w:rsidR="009D4738" w:rsidRPr="00292532">
        <w:rPr>
          <w:lang w:val="pt-PT"/>
        </w:rPr>
        <w:t xml:space="preserve">, o Mutuário durante a definição dos subprojectos e </w:t>
      </w:r>
      <w:r w:rsidR="009B2B69" w:rsidRPr="00292532">
        <w:rPr>
          <w:lang w:val="pt-PT"/>
        </w:rPr>
        <w:t xml:space="preserve">desenho do </w:t>
      </w:r>
      <w:proofErr w:type="spellStart"/>
      <w:r w:rsidR="009B2B69" w:rsidRPr="00292532">
        <w:rPr>
          <w:lang w:val="pt-PT"/>
        </w:rPr>
        <w:t>Projecto</w:t>
      </w:r>
      <w:proofErr w:type="spellEnd"/>
      <w:r w:rsidR="009B2B69" w:rsidRPr="00292532">
        <w:rPr>
          <w:lang w:val="pt-PT"/>
        </w:rPr>
        <w:t xml:space="preserve"> </w:t>
      </w:r>
      <w:r w:rsidR="009D4738" w:rsidRPr="00292532">
        <w:rPr>
          <w:lang w:val="pt-PT"/>
        </w:rPr>
        <w:t>deverá interagir com as equipas de engenharia no sentido de evitar</w:t>
      </w:r>
      <w:r w:rsidRPr="00292532">
        <w:rPr>
          <w:lang w:val="pt-PT" w:eastAsia="ja-JP"/>
        </w:rPr>
        <w:t xml:space="preserve">, no máximo possível, qualquer tipo de sobreposição das infraestruturas do </w:t>
      </w:r>
      <w:proofErr w:type="spellStart"/>
      <w:r w:rsidRPr="00292532">
        <w:rPr>
          <w:lang w:val="pt-PT" w:eastAsia="ja-JP"/>
        </w:rPr>
        <w:t>projecto</w:t>
      </w:r>
      <w:proofErr w:type="spellEnd"/>
      <w:r w:rsidRPr="00292532">
        <w:rPr>
          <w:lang w:val="pt-PT" w:eastAsia="ja-JP"/>
        </w:rPr>
        <w:t xml:space="preserve"> com estes locais. </w:t>
      </w:r>
    </w:p>
    <w:p w14:paraId="0904AF26" w14:textId="4F65E347" w:rsidR="00B145AC" w:rsidRPr="00292532" w:rsidRDefault="00B145AC" w:rsidP="00B145AC">
      <w:pPr>
        <w:rPr>
          <w:lang w:val="pt-PT" w:eastAsia="ja-JP"/>
        </w:rPr>
      </w:pPr>
      <w:r w:rsidRPr="00292532">
        <w:rPr>
          <w:lang w:val="pt-PT" w:eastAsia="ja-JP"/>
        </w:rPr>
        <w:t xml:space="preserve">Para além da identificação física destes locais, durante a realização dos estudos sociais devem ser estudados os valores culturais destes locais, assim como serem entendidos os procedimentos necessários para eventuais transferências. Recomenda-se que nesta fase, sejam consultadas as autoridades locais e as estruturas tradicionais. </w:t>
      </w:r>
    </w:p>
    <w:p w14:paraId="12CD0857" w14:textId="77777777" w:rsidR="00514B3B" w:rsidRPr="00292532" w:rsidRDefault="00514B3B" w:rsidP="00B145AC">
      <w:pPr>
        <w:rPr>
          <w:lang w:val="pt-PT" w:eastAsia="ja-JP"/>
        </w:rPr>
      </w:pPr>
    </w:p>
    <w:p w14:paraId="49202927" w14:textId="7240831B" w:rsidR="00326C9B" w:rsidRPr="00292532" w:rsidRDefault="00514B3B" w:rsidP="00514B3B">
      <w:pPr>
        <w:pStyle w:val="Heading2"/>
      </w:pPr>
      <w:bookmarkStart w:id="862" w:name="_Toc73620236"/>
      <w:bookmarkStart w:id="863" w:name="_Toc73623863"/>
      <w:bookmarkStart w:id="864" w:name="_Toc73624511"/>
      <w:bookmarkStart w:id="865" w:name="_Toc73954646"/>
      <w:bookmarkStart w:id="866" w:name="_Toc75438032"/>
      <w:bookmarkStart w:id="867" w:name="_Toc78435471"/>
      <w:bookmarkStart w:id="868" w:name="_Toc80380141"/>
      <w:r w:rsidRPr="00292532">
        <w:lastRenderedPageBreak/>
        <w:t>Identificação e Consulta com as Partes Interessadas</w:t>
      </w:r>
      <w:bookmarkEnd w:id="862"/>
      <w:bookmarkEnd w:id="863"/>
      <w:bookmarkEnd w:id="864"/>
      <w:bookmarkEnd w:id="865"/>
      <w:bookmarkEnd w:id="866"/>
      <w:bookmarkEnd w:id="867"/>
      <w:bookmarkEnd w:id="868"/>
      <w:r w:rsidRPr="00292532">
        <w:t xml:space="preserve"> </w:t>
      </w:r>
    </w:p>
    <w:p w14:paraId="2FF28C16" w14:textId="3F9EB8F6" w:rsidR="00514B3B" w:rsidRPr="00292532" w:rsidRDefault="00514B3B" w:rsidP="00514B3B">
      <w:pPr>
        <w:rPr>
          <w:lang w:val="pt-PT" w:eastAsia="ja-JP"/>
        </w:rPr>
      </w:pPr>
      <w:r w:rsidRPr="00292532">
        <w:rPr>
          <w:lang w:val="pt-PT" w:eastAsia="ja-JP"/>
        </w:rPr>
        <w:t xml:space="preserve">Durante a fase de elaboração dos estudos ambientais e socias no âmbito das Avaliações de Impacto Ambiental e Social, serão identificadas e engajadas as partes interessadas e </w:t>
      </w:r>
      <w:proofErr w:type="spellStart"/>
      <w:r w:rsidRPr="00292532">
        <w:rPr>
          <w:lang w:val="pt-PT" w:eastAsia="ja-JP"/>
        </w:rPr>
        <w:t>afectadas</w:t>
      </w:r>
      <w:proofErr w:type="spellEnd"/>
      <w:r w:rsidRPr="00292532">
        <w:rPr>
          <w:lang w:val="pt-PT" w:eastAsia="ja-JP"/>
        </w:rPr>
        <w:t xml:space="preserve"> pelo </w:t>
      </w:r>
      <w:proofErr w:type="spellStart"/>
      <w:r w:rsidRPr="00292532">
        <w:rPr>
          <w:lang w:val="pt-PT" w:eastAsia="ja-JP"/>
        </w:rPr>
        <w:t>Projecto</w:t>
      </w:r>
      <w:proofErr w:type="spellEnd"/>
      <w:r w:rsidRPr="00292532">
        <w:rPr>
          <w:lang w:val="pt-PT" w:eastAsia="ja-JP"/>
        </w:rPr>
        <w:t xml:space="preserve">. Estas incluirão estruturas locais e membros da comunidade que possam contribuir para a identificação e melhor entendimento do património cultural local. </w:t>
      </w:r>
    </w:p>
    <w:p w14:paraId="526D3887" w14:textId="171B0161" w:rsidR="00514B3B" w:rsidRPr="00292532" w:rsidRDefault="00514B3B">
      <w:pPr>
        <w:rPr>
          <w:lang w:val="pt-PT" w:eastAsia="ja-JP"/>
        </w:rPr>
      </w:pPr>
      <w:r w:rsidRPr="00292532">
        <w:rPr>
          <w:lang w:val="pt-PT" w:eastAsia="ja-JP"/>
        </w:rPr>
        <w:t xml:space="preserve">Durante as consultas públicas, deve-se sempre incluir na agenda uma discussão sobre o património cultural e informar às partes interessadas sobre o nível de entendimento atingido sobre esta temática por parte do </w:t>
      </w:r>
      <w:proofErr w:type="spellStart"/>
      <w:r w:rsidRPr="00292532">
        <w:rPr>
          <w:lang w:val="pt-PT" w:eastAsia="ja-JP"/>
        </w:rPr>
        <w:t>Projecto</w:t>
      </w:r>
      <w:proofErr w:type="spellEnd"/>
      <w:r w:rsidRPr="00292532">
        <w:rPr>
          <w:lang w:val="pt-PT" w:eastAsia="ja-JP"/>
        </w:rPr>
        <w:t xml:space="preserve"> (áreas mapeadas, locais identificados, requisitos de transferência, </w:t>
      </w:r>
      <w:proofErr w:type="spellStart"/>
      <w:r w:rsidRPr="00292532">
        <w:rPr>
          <w:lang w:val="pt-PT" w:eastAsia="ja-JP"/>
        </w:rPr>
        <w:t>etc</w:t>
      </w:r>
      <w:proofErr w:type="spellEnd"/>
      <w:r w:rsidRPr="00292532">
        <w:rPr>
          <w:lang w:val="pt-PT" w:eastAsia="ja-JP"/>
        </w:rPr>
        <w:t xml:space="preserve">). </w:t>
      </w:r>
      <w:r w:rsidR="009B2B69" w:rsidRPr="00292532">
        <w:rPr>
          <w:lang w:val="pt-PT" w:eastAsia="ja-JP"/>
        </w:rPr>
        <w:t xml:space="preserve">Também, se deve </w:t>
      </w:r>
      <w:r w:rsidRPr="00292532">
        <w:rPr>
          <w:lang w:val="pt-PT" w:eastAsia="ja-JP"/>
        </w:rPr>
        <w:t>consultar sobre os procedimentos a serem seguidos no caso de descobertas casuais. Estas recomendações servirão de subsídios para a elaboração de futuros procedimentos de descobertas casuais a serem elaborados pelos empreiteiros.</w:t>
      </w:r>
    </w:p>
    <w:p w14:paraId="2ABDD374" w14:textId="77777777" w:rsidR="00514B3B" w:rsidRPr="00292532" w:rsidRDefault="00514B3B" w:rsidP="00B145AC">
      <w:pPr>
        <w:rPr>
          <w:lang w:val="pt-PT" w:eastAsia="ja-JP"/>
        </w:rPr>
      </w:pPr>
    </w:p>
    <w:p w14:paraId="5F11E6D3" w14:textId="476AB47B" w:rsidR="00326C9B" w:rsidRPr="00292532" w:rsidRDefault="00DE43E5" w:rsidP="00326C9B">
      <w:pPr>
        <w:pStyle w:val="Heading2"/>
      </w:pPr>
      <w:bookmarkStart w:id="869" w:name="_Toc73620237"/>
      <w:bookmarkStart w:id="870" w:name="_Toc73623864"/>
      <w:bookmarkStart w:id="871" w:name="_Toc73624512"/>
      <w:bookmarkStart w:id="872" w:name="_Toc73954647"/>
      <w:bookmarkStart w:id="873" w:name="_Toc75438033"/>
      <w:bookmarkStart w:id="874" w:name="_Toc78435472"/>
      <w:bookmarkStart w:id="875" w:name="_Toc80380142"/>
      <w:r w:rsidRPr="00292532">
        <w:t xml:space="preserve">Capacitação </w:t>
      </w:r>
      <w:r w:rsidR="00326C9B" w:rsidRPr="00292532">
        <w:t>e consciencialização</w:t>
      </w:r>
      <w:bookmarkEnd w:id="869"/>
      <w:bookmarkEnd w:id="870"/>
      <w:bookmarkEnd w:id="871"/>
      <w:bookmarkEnd w:id="872"/>
      <w:bookmarkEnd w:id="873"/>
      <w:bookmarkEnd w:id="874"/>
      <w:bookmarkEnd w:id="875"/>
      <w:r w:rsidR="00326C9B" w:rsidRPr="00292532">
        <w:t xml:space="preserve"> </w:t>
      </w:r>
    </w:p>
    <w:p w14:paraId="15A59C99" w14:textId="4A3BE4C0" w:rsidR="009D4738" w:rsidRPr="00292532" w:rsidRDefault="00326C9B" w:rsidP="007A1525">
      <w:pPr>
        <w:rPr>
          <w:b/>
          <w:lang w:val="pt-PT"/>
        </w:rPr>
      </w:pPr>
      <w:r w:rsidRPr="00292532">
        <w:rPr>
          <w:lang w:val="pt-PT"/>
        </w:rPr>
        <w:t xml:space="preserve">O reconhecimento do património cultural constitui o primeiro passo para garantir que os achados sejam devidamente notificados e preservados, portanto, o </w:t>
      </w:r>
      <w:proofErr w:type="spellStart"/>
      <w:r w:rsidRPr="00292532">
        <w:rPr>
          <w:lang w:val="pt-PT"/>
        </w:rPr>
        <w:t>Projecto</w:t>
      </w:r>
      <w:proofErr w:type="spellEnd"/>
      <w:r w:rsidRPr="00292532">
        <w:rPr>
          <w:lang w:val="pt-PT"/>
        </w:rPr>
        <w:t xml:space="preserve">, através dos seus empreiteiros deverá realizar induções e campanhas de consciencialização, priorizando os trabalhadores que serão envolvidos nas </w:t>
      </w:r>
      <w:proofErr w:type="spellStart"/>
      <w:r w:rsidRPr="00292532">
        <w:rPr>
          <w:lang w:val="pt-PT"/>
        </w:rPr>
        <w:t>actividades</w:t>
      </w:r>
      <w:proofErr w:type="spellEnd"/>
      <w:r w:rsidRPr="00292532">
        <w:rPr>
          <w:lang w:val="pt-PT"/>
        </w:rPr>
        <w:t xml:space="preserve"> de limpeza, desmatação, terraplenagens e escavações para famili</w:t>
      </w:r>
      <w:r w:rsidR="0072649B" w:rsidRPr="00292532">
        <w:rPr>
          <w:lang w:val="pt-PT"/>
        </w:rPr>
        <w:t xml:space="preserve">arizá-los com os tipos de bens potencialmente presentes nas áreas de intervenção e com os procedimentos a serem seguidos no caso de uma descoberta. </w:t>
      </w:r>
      <w:r w:rsidRPr="00292532">
        <w:rPr>
          <w:lang w:val="pt-PT"/>
        </w:rPr>
        <w:t xml:space="preserve">  </w:t>
      </w:r>
    </w:p>
    <w:p w14:paraId="641FC6E5" w14:textId="77777777" w:rsidR="00326C9B" w:rsidRPr="00292532" w:rsidRDefault="00326C9B">
      <w:pPr>
        <w:rPr>
          <w:lang w:val="pt-PT" w:eastAsia="ja-JP"/>
        </w:rPr>
      </w:pPr>
    </w:p>
    <w:p w14:paraId="57A6CD78" w14:textId="2B6D86C7" w:rsidR="00930154" w:rsidRPr="00292532" w:rsidRDefault="00DE43E5" w:rsidP="009D4738">
      <w:pPr>
        <w:pStyle w:val="Heading2"/>
      </w:pPr>
      <w:bookmarkStart w:id="876" w:name="_Toc73620238"/>
      <w:bookmarkStart w:id="877" w:name="_Toc73623865"/>
      <w:bookmarkStart w:id="878" w:name="_Toc73624513"/>
      <w:bookmarkStart w:id="879" w:name="_Toc73954648"/>
      <w:bookmarkStart w:id="880" w:name="_Toc75438034"/>
      <w:bookmarkStart w:id="881" w:name="_Toc78435473"/>
      <w:bookmarkStart w:id="882" w:name="_Toc80380143"/>
      <w:r w:rsidRPr="00292532">
        <w:t>Descobertas Casuais</w:t>
      </w:r>
      <w:bookmarkEnd w:id="876"/>
      <w:bookmarkEnd w:id="877"/>
      <w:bookmarkEnd w:id="878"/>
      <w:bookmarkEnd w:id="879"/>
      <w:bookmarkEnd w:id="880"/>
      <w:bookmarkEnd w:id="881"/>
      <w:bookmarkEnd w:id="882"/>
    </w:p>
    <w:p w14:paraId="775F39FF" w14:textId="472A9726" w:rsidR="00930154" w:rsidRPr="00292532" w:rsidRDefault="005629C5" w:rsidP="00A95C30">
      <w:pPr>
        <w:rPr>
          <w:lang w:val="pt-PT"/>
        </w:rPr>
      </w:pPr>
      <w:r w:rsidRPr="00292532">
        <w:rPr>
          <w:lang w:val="pt-PT"/>
        </w:rPr>
        <w:t xml:space="preserve">No caso de uma eventual </w:t>
      </w:r>
      <w:r w:rsidR="005341AA" w:rsidRPr="00292532">
        <w:rPr>
          <w:lang w:val="pt-PT"/>
        </w:rPr>
        <w:t xml:space="preserve">descoberta </w:t>
      </w:r>
      <w:r w:rsidR="00DE43E5" w:rsidRPr="00292532">
        <w:rPr>
          <w:lang w:val="pt-PT"/>
        </w:rPr>
        <w:t xml:space="preserve">casual </w:t>
      </w:r>
      <w:r w:rsidR="005341AA" w:rsidRPr="00292532">
        <w:rPr>
          <w:lang w:val="pt-PT"/>
        </w:rPr>
        <w:t>de s</w:t>
      </w:r>
      <w:r w:rsidR="00DE43E5" w:rsidRPr="00292532">
        <w:rPr>
          <w:lang w:val="pt-PT"/>
        </w:rPr>
        <w:t>e</w:t>
      </w:r>
      <w:r w:rsidR="005341AA" w:rsidRPr="00292532">
        <w:rPr>
          <w:lang w:val="pt-PT"/>
        </w:rPr>
        <w:t>pulturas</w:t>
      </w:r>
      <w:r w:rsidR="00514B3B" w:rsidRPr="00292532">
        <w:rPr>
          <w:lang w:val="pt-PT"/>
        </w:rPr>
        <w:t>/restos humanos</w:t>
      </w:r>
      <w:r w:rsidR="005341AA" w:rsidRPr="00292532">
        <w:rPr>
          <w:lang w:val="pt-PT"/>
        </w:rPr>
        <w:t xml:space="preserve"> ou locais sagrados no decurso d</w:t>
      </w:r>
      <w:r w:rsidR="00930154" w:rsidRPr="00292532">
        <w:rPr>
          <w:lang w:val="pt-PT"/>
        </w:rPr>
        <w:t xml:space="preserve">as </w:t>
      </w:r>
      <w:proofErr w:type="spellStart"/>
      <w:r w:rsidR="00930154" w:rsidRPr="00292532">
        <w:rPr>
          <w:lang w:val="pt-PT"/>
        </w:rPr>
        <w:t>activ</w:t>
      </w:r>
      <w:r w:rsidRPr="00292532">
        <w:rPr>
          <w:lang w:val="pt-PT"/>
        </w:rPr>
        <w:t>idades</w:t>
      </w:r>
      <w:proofErr w:type="spellEnd"/>
      <w:r w:rsidR="00930154" w:rsidRPr="00292532">
        <w:rPr>
          <w:lang w:val="pt-PT"/>
        </w:rPr>
        <w:t xml:space="preserve"> de escavações e movimentação de terras os seguintes passos aplicam-se: </w:t>
      </w:r>
    </w:p>
    <w:p w14:paraId="59ECBD4A" w14:textId="22356661" w:rsidR="00930154" w:rsidRPr="00292532" w:rsidRDefault="00930154" w:rsidP="00AE14AE">
      <w:pPr>
        <w:pStyle w:val="ListParagraph"/>
        <w:numPr>
          <w:ilvl w:val="0"/>
          <w:numId w:val="95"/>
        </w:numPr>
        <w:rPr>
          <w:lang w:val="pt-PT"/>
        </w:rPr>
      </w:pPr>
      <w:r w:rsidRPr="00292532">
        <w:rPr>
          <w:lang w:val="pt-PT"/>
        </w:rPr>
        <w:t xml:space="preserve">Interrupção imediata das </w:t>
      </w:r>
      <w:proofErr w:type="spellStart"/>
      <w:r w:rsidRPr="00292532">
        <w:rPr>
          <w:lang w:val="pt-PT"/>
        </w:rPr>
        <w:t>actividades</w:t>
      </w:r>
      <w:proofErr w:type="spellEnd"/>
      <w:r w:rsidRPr="00292532">
        <w:rPr>
          <w:lang w:val="pt-PT"/>
        </w:rPr>
        <w:t xml:space="preserve"> </w:t>
      </w:r>
      <w:r w:rsidR="00C43871" w:rsidRPr="00292532">
        <w:rPr>
          <w:lang w:val="pt-PT"/>
        </w:rPr>
        <w:t>pelo</w:t>
      </w:r>
      <w:r w:rsidRPr="00292532">
        <w:rPr>
          <w:lang w:val="pt-PT"/>
        </w:rPr>
        <w:t xml:space="preserve"> empreiteiro naquele local e isolamento da área</w:t>
      </w:r>
      <w:r w:rsidR="005629C5" w:rsidRPr="00292532">
        <w:rPr>
          <w:lang w:val="pt-PT"/>
        </w:rPr>
        <w:t>;</w:t>
      </w:r>
    </w:p>
    <w:p w14:paraId="55B3A422" w14:textId="10FD7D6C" w:rsidR="00930154" w:rsidRPr="00292532" w:rsidRDefault="00930154" w:rsidP="00AE14AE">
      <w:pPr>
        <w:pStyle w:val="ListParagraph"/>
        <w:numPr>
          <w:ilvl w:val="0"/>
          <w:numId w:val="95"/>
        </w:numPr>
        <w:rPr>
          <w:lang w:val="pt-PT"/>
        </w:rPr>
      </w:pPr>
      <w:bookmarkStart w:id="883" w:name="_Hlk73375115"/>
      <w:r w:rsidRPr="00292532">
        <w:rPr>
          <w:lang w:val="pt-PT"/>
        </w:rPr>
        <w:t xml:space="preserve">O empreiteiro deve comunicar de imediato ao oficial de ligação com a comunidade, ao especialista de salvaguardas da Unidade Técnica Provincial, esta que por sua vez deverá informar à equipa de salvaguardas da Unidade de Implementação do </w:t>
      </w:r>
      <w:proofErr w:type="spellStart"/>
      <w:r w:rsidRPr="00292532">
        <w:rPr>
          <w:lang w:val="pt-PT"/>
        </w:rPr>
        <w:t>Projecto</w:t>
      </w:r>
      <w:proofErr w:type="spellEnd"/>
      <w:r w:rsidRPr="00292532">
        <w:rPr>
          <w:lang w:val="pt-PT"/>
        </w:rPr>
        <w:t>.</w:t>
      </w:r>
    </w:p>
    <w:bookmarkEnd w:id="883"/>
    <w:p w14:paraId="67C160D6" w14:textId="05EF5AE6" w:rsidR="005629C5" w:rsidRPr="00292532" w:rsidRDefault="005629C5" w:rsidP="00AE14AE">
      <w:pPr>
        <w:pStyle w:val="ListParagraph"/>
        <w:numPr>
          <w:ilvl w:val="0"/>
          <w:numId w:val="95"/>
        </w:numPr>
        <w:rPr>
          <w:lang w:val="pt-PT"/>
        </w:rPr>
      </w:pPr>
      <w:r w:rsidRPr="00292532">
        <w:rPr>
          <w:lang w:val="pt-PT"/>
        </w:rPr>
        <w:t xml:space="preserve">O empreiteiro e a </w:t>
      </w:r>
      <w:proofErr w:type="spellStart"/>
      <w:r w:rsidRPr="00292532">
        <w:rPr>
          <w:lang w:val="pt-PT"/>
        </w:rPr>
        <w:t>respectiva</w:t>
      </w:r>
      <w:proofErr w:type="spellEnd"/>
      <w:r w:rsidRPr="00292532">
        <w:rPr>
          <w:lang w:val="pt-PT"/>
        </w:rPr>
        <w:t xml:space="preserve"> UTP devem </w:t>
      </w:r>
      <w:r w:rsidR="00326C9B" w:rsidRPr="00292532">
        <w:rPr>
          <w:lang w:val="pt-PT"/>
        </w:rPr>
        <w:t>notificar</w:t>
      </w:r>
      <w:r w:rsidRPr="00292532">
        <w:rPr>
          <w:lang w:val="pt-PT"/>
        </w:rPr>
        <w:t xml:space="preserve"> as autoridades locais</w:t>
      </w:r>
      <w:r w:rsidR="005341AA" w:rsidRPr="00292532">
        <w:rPr>
          <w:lang w:val="pt-PT"/>
        </w:rPr>
        <w:t>. No caso de um achado de um local sagrado, estas comunicarão com as estruturas tradicionais. No caso de sepulturas as autoridades locais deverão apoiar na identificação</w:t>
      </w:r>
      <w:r w:rsidRPr="00292532">
        <w:rPr>
          <w:lang w:val="pt-PT"/>
        </w:rPr>
        <w:t xml:space="preserve"> da(s) família(s) donas das sepulturas</w:t>
      </w:r>
      <w:r w:rsidR="005341AA" w:rsidRPr="00292532">
        <w:rPr>
          <w:lang w:val="pt-PT"/>
        </w:rPr>
        <w:t xml:space="preserve"> e contacto com as estruturas sanitárias locais e tradicionais.</w:t>
      </w:r>
    </w:p>
    <w:p w14:paraId="4A7ECBF2" w14:textId="47F56838" w:rsidR="0072649B" w:rsidRPr="00292532" w:rsidRDefault="0072649B" w:rsidP="00AE14AE">
      <w:pPr>
        <w:pStyle w:val="ListParagraph"/>
        <w:numPr>
          <w:ilvl w:val="0"/>
          <w:numId w:val="95"/>
        </w:numPr>
        <w:rPr>
          <w:lang w:val="pt-PT"/>
        </w:rPr>
      </w:pPr>
      <w:r w:rsidRPr="00292532">
        <w:rPr>
          <w:lang w:val="pt-PT"/>
        </w:rPr>
        <w:t>Caso seja necessário transferir um local sagrado, ou bem sagrado (p.e. uma árvore)</w:t>
      </w:r>
      <w:r w:rsidR="009B2B69" w:rsidRPr="00292532">
        <w:rPr>
          <w:lang w:val="pt-PT"/>
        </w:rPr>
        <w:t>, o</w:t>
      </w:r>
      <w:r w:rsidRPr="00292532">
        <w:rPr>
          <w:lang w:val="pt-PT"/>
        </w:rPr>
        <w:t xml:space="preserve"> </w:t>
      </w:r>
      <w:proofErr w:type="spellStart"/>
      <w:r w:rsidRPr="00292532">
        <w:rPr>
          <w:lang w:val="pt-PT"/>
        </w:rPr>
        <w:t>Projecto</w:t>
      </w:r>
      <w:proofErr w:type="spellEnd"/>
      <w:r w:rsidRPr="00292532">
        <w:rPr>
          <w:lang w:val="pt-PT"/>
        </w:rPr>
        <w:t xml:space="preserve"> através dos seus empreiteiros e </w:t>
      </w:r>
      <w:proofErr w:type="spellStart"/>
      <w:r w:rsidRPr="00292532">
        <w:rPr>
          <w:lang w:val="pt-PT"/>
        </w:rPr>
        <w:t>UTPs</w:t>
      </w:r>
      <w:proofErr w:type="spellEnd"/>
      <w:r w:rsidRPr="00292532">
        <w:rPr>
          <w:lang w:val="pt-PT"/>
        </w:rPr>
        <w:t xml:space="preserve"> deverá apoiar a comunidade e assegurar as condições necessárias para a realização das cerimónias necessárias, com a devida</w:t>
      </w:r>
      <w:r w:rsidR="009B2B69" w:rsidRPr="00292532">
        <w:rPr>
          <w:lang w:val="pt-PT"/>
        </w:rPr>
        <w:t xml:space="preserve"> </w:t>
      </w:r>
      <w:r w:rsidRPr="00292532">
        <w:rPr>
          <w:lang w:val="pt-PT"/>
        </w:rPr>
        <w:t>atenção às questões e tradições culturais</w:t>
      </w:r>
      <w:r w:rsidR="009B2B69" w:rsidRPr="00292532">
        <w:rPr>
          <w:lang w:val="pt-PT"/>
        </w:rPr>
        <w:t xml:space="preserve"> locais</w:t>
      </w:r>
      <w:r w:rsidRPr="00292532">
        <w:rPr>
          <w:lang w:val="pt-PT"/>
        </w:rPr>
        <w:t>.</w:t>
      </w:r>
    </w:p>
    <w:p w14:paraId="044BFB30" w14:textId="1513A7FF" w:rsidR="00A95C30" w:rsidRPr="00292532" w:rsidRDefault="00930154" w:rsidP="00AE14AE">
      <w:pPr>
        <w:pStyle w:val="ListParagraph"/>
        <w:numPr>
          <w:ilvl w:val="0"/>
          <w:numId w:val="95"/>
        </w:numPr>
        <w:rPr>
          <w:lang w:val="pt-PT"/>
        </w:rPr>
      </w:pPr>
      <w:r w:rsidRPr="00292532">
        <w:rPr>
          <w:lang w:val="pt-PT"/>
        </w:rPr>
        <w:t>o empreiteiro em coordenação com a</w:t>
      </w:r>
      <w:r w:rsidR="00A95C30" w:rsidRPr="00292532">
        <w:rPr>
          <w:lang w:val="pt-PT"/>
        </w:rPr>
        <w:t xml:space="preserve"> UTP </w:t>
      </w:r>
      <w:r w:rsidRPr="00292532">
        <w:rPr>
          <w:lang w:val="pt-PT"/>
        </w:rPr>
        <w:t>e com</w:t>
      </w:r>
      <w:r w:rsidR="00A95C30" w:rsidRPr="00292532">
        <w:rPr>
          <w:lang w:val="pt-PT"/>
        </w:rPr>
        <w:t xml:space="preserve"> as</w:t>
      </w:r>
      <w:r w:rsidR="005629C5" w:rsidRPr="00292532">
        <w:rPr>
          <w:lang w:val="pt-PT"/>
        </w:rPr>
        <w:t xml:space="preserve"> famílias donas das sepulturas,</w:t>
      </w:r>
      <w:r w:rsidR="00A95C30" w:rsidRPr="00292532">
        <w:rPr>
          <w:lang w:val="pt-PT"/>
        </w:rPr>
        <w:t xml:space="preserve"> autoridades de saúde locais e as estruturas tradicionais deve</w:t>
      </w:r>
      <w:r w:rsidRPr="00292532">
        <w:rPr>
          <w:lang w:val="pt-PT"/>
        </w:rPr>
        <w:t>m</w:t>
      </w:r>
      <w:r w:rsidR="00A95C30" w:rsidRPr="00292532">
        <w:rPr>
          <w:lang w:val="pt-PT"/>
        </w:rPr>
        <w:t xml:space="preserve"> organizar a exumação dos corpos para cemitérios identificados pela família a quem pertence a sepultura. </w:t>
      </w:r>
    </w:p>
    <w:p w14:paraId="62A09520" w14:textId="2CABF6E6" w:rsidR="00C43871" w:rsidRPr="00292532" w:rsidRDefault="005341AA" w:rsidP="005629C5">
      <w:pPr>
        <w:rPr>
          <w:lang w:val="pt-PT"/>
        </w:rPr>
      </w:pPr>
      <w:r w:rsidRPr="00292532">
        <w:rPr>
          <w:lang w:val="pt-PT"/>
        </w:rPr>
        <w:t>No caso de achados</w:t>
      </w:r>
      <w:r w:rsidR="00514B3B" w:rsidRPr="00292532">
        <w:rPr>
          <w:lang w:val="pt-PT"/>
        </w:rPr>
        <w:t xml:space="preserve"> </w:t>
      </w:r>
      <w:r w:rsidRPr="00292532">
        <w:rPr>
          <w:lang w:val="pt-PT"/>
        </w:rPr>
        <w:t>de valor arqueológico, paleontológico, antropológico ou geológico durante as escavações</w:t>
      </w:r>
      <w:r w:rsidR="00514B3B" w:rsidRPr="00292532">
        <w:rPr>
          <w:lang w:val="pt-PT"/>
        </w:rPr>
        <w:t xml:space="preserve"> (p.e. artefactos, restos de plantas, ou animas fossilizados)</w:t>
      </w:r>
      <w:r w:rsidR="00C43871" w:rsidRPr="00292532">
        <w:rPr>
          <w:lang w:val="pt-PT"/>
        </w:rPr>
        <w:t xml:space="preserve">, os passos a seguir são: </w:t>
      </w:r>
    </w:p>
    <w:p w14:paraId="64C0F327" w14:textId="77777777" w:rsidR="00C43871" w:rsidRPr="00292532" w:rsidRDefault="00C43871" w:rsidP="00AE14AE">
      <w:pPr>
        <w:pStyle w:val="ListParagraph"/>
        <w:numPr>
          <w:ilvl w:val="0"/>
          <w:numId w:val="96"/>
        </w:numPr>
        <w:rPr>
          <w:lang w:val="pt-PT"/>
        </w:rPr>
      </w:pPr>
      <w:r w:rsidRPr="00292532">
        <w:rPr>
          <w:lang w:val="pt-PT"/>
        </w:rPr>
        <w:lastRenderedPageBreak/>
        <w:t xml:space="preserve">Interrupção imediata das </w:t>
      </w:r>
      <w:proofErr w:type="spellStart"/>
      <w:r w:rsidRPr="00292532">
        <w:rPr>
          <w:lang w:val="pt-PT"/>
        </w:rPr>
        <w:t>actividades</w:t>
      </w:r>
      <w:proofErr w:type="spellEnd"/>
      <w:r w:rsidRPr="00292532">
        <w:rPr>
          <w:lang w:val="pt-PT"/>
        </w:rPr>
        <w:t xml:space="preserve"> pelo empreiteiro naquele local e isolamento da área;</w:t>
      </w:r>
    </w:p>
    <w:p w14:paraId="08F89642" w14:textId="77777777" w:rsidR="00C43871" w:rsidRPr="00292532" w:rsidRDefault="00C43871" w:rsidP="00AE14AE">
      <w:pPr>
        <w:pStyle w:val="ListParagraph"/>
        <w:numPr>
          <w:ilvl w:val="0"/>
          <w:numId w:val="96"/>
        </w:numPr>
        <w:rPr>
          <w:lang w:val="pt-PT"/>
        </w:rPr>
      </w:pPr>
      <w:r w:rsidRPr="00292532">
        <w:rPr>
          <w:lang w:val="pt-PT"/>
        </w:rPr>
        <w:t xml:space="preserve">O empreiteiro deve comunicar de imediato ao oficial de ligação com a comunidade, ao especialista de salvaguardas da Unidade Técnica Provincial, esta que por sua vez deverá informar à equipa de salvaguardas da Unidade de Implementação do </w:t>
      </w:r>
      <w:proofErr w:type="spellStart"/>
      <w:r w:rsidRPr="00292532">
        <w:rPr>
          <w:lang w:val="pt-PT"/>
        </w:rPr>
        <w:t>Projecto</w:t>
      </w:r>
      <w:proofErr w:type="spellEnd"/>
      <w:r w:rsidRPr="00292532">
        <w:rPr>
          <w:lang w:val="pt-PT"/>
        </w:rPr>
        <w:t>.</w:t>
      </w:r>
    </w:p>
    <w:p w14:paraId="6ABF8A1E" w14:textId="2DA2DBAA" w:rsidR="00C43871" w:rsidRPr="00292532" w:rsidRDefault="00C43871" w:rsidP="00AE14AE">
      <w:pPr>
        <w:pStyle w:val="ListParagraph"/>
        <w:numPr>
          <w:ilvl w:val="0"/>
          <w:numId w:val="96"/>
        </w:numPr>
        <w:rPr>
          <w:lang w:val="pt-PT"/>
        </w:rPr>
      </w:pPr>
      <w:r w:rsidRPr="00292532">
        <w:rPr>
          <w:lang w:val="pt-PT"/>
        </w:rPr>
        <w:t xml:space="preserve">O empreiteiro e a </w:t>
      </w:r>
      <w:proofErr w:type="spellStart"/>
      <w:r w:rsidRPr="00292532">
        <w:rPr>
          <w:lang w:val="pt-PT"/>
        </w:rPr>
        <w:t>respectiva</w:t>
      </w:r>
      <w:proofErr w:type="spellEnd"/>
      <w:r w:rsidRPr="00292532">
        <w:rPr>
          <w:lang w:val="pt-PT"/>
        </w:rPr>
        <w:t xml:space="preserve"> UTP devem</w:t>
      </w:r>
      <w:r w:rsidR="00326C9B" w:rsidRPr="00292532">
        <w:rPr>
          <w:lang w:val="pt-PT"/>
        </w:rPr>
        <w:t xml:space="preserve"> comunicar</w:t>
      </w:r>
      <w:r w:rsidR="00ED29D6" w:rsidRPr="00292532">
        <w:rPr>
          <w:lang w:val="pt-PT"/>
        </w:rPr>
        <w:t xml:space="preserve"> </w:t>
      </w:r>
      <w:r w:rsidR="00326C9B" w:rsidRPr="00292532">
        <w:rPr>
          <w:lang w:val="pt-PT"/>
        </w:rPr>
        <w:t xml:space="preserve">às autoridades distritais ou municipais sobre a descoberta dentro de um prazo de 48 horas. </w:t>
      </w:r>
    </w:p>
    <w:p w14:paraId="4BFBBADB" w14:textId="11AB6ABC" w:rsidR="00326C9B" w:rsidRPr="00292532" w:rsidRDefault="00326C9B" w:rsidP="00AE14AE">
      <w:pPr>
        <w:pStyle w:val="ListParagraph"/>
        <w:numPr>
          <w:ilvl w:val="0"/>
          <w:numId w:val="96"/>
        </w:numPr>
        <w:rPr>
          <w:lang w:val="pt-PT"/>
        </w:rPr>
      </w:pPr>
      <w:r w:rsidRPr="00292532">
        <w:rPr>
          <w:lang w:val="pt-PT"/>
        </w:rPr>
        <w:t>Devem ser seguidos os passos a serem recomendados pelas autoridades.</w:t>
      </w:r>
    </w:p>
    <w:p w14:paraId="782A6EE2" w14:textId="77777777" w:rsidR="00DE43E5" w:rsidRPr="00292532" w:rsidRDefault="00DE43E5" w:rsidP="007A1525">
      <w:pPr>
        <w:pStyle w:val="ListParagraph"/>
        <w:numPr>
          <w:ilvl w:val="0"/>
          <w:numId w:val="0"/>
        </w:numPr>
        <w:ind w:left="766"/>
        <w:rPr>
          <w:lang w:val="pt-PT"/>
        </w:rPr>
      </w:pPr>
    </w:p>
    <w:p w14:paraId="063CA951" w14:textId="14D0307B" w:rsidR="00326C9B" w:rsidRPr="00292532" w:rsidRDefault="00DE43E5" w:rsidP="00326C9B">
      <w:pPr>
        <w:pStyle w:val="Heading2"/>
      </w:pPr>
      <w:bookmarkStart w:id="884" w:name="_Toc73620239"/>
      <w:bookmarkStart w:id="885" w:name="_Toc73623866"/>
      <w:bookmarkStart w:id="886" w:name="_Toc73624514"/>
      <w:bookmarkStart w:id="887" w:name="_Toc73954649"/>
      <w:bookmarkStart w:id="888" w:name="_Toc75438035"/>
      <w:bookmarkStart w:id="889" w:name="_Toc78435474"/>
      <w:bookmarkStart w:id="890" w:name="_Toc80380144"/>
      <w:r w:rsidRPr="00292532">
        <w:t>Avali</w:t>
      </w:r>
      <w:r w:rsidR="00514B3B" w:rsidRPr="00292532">
        <w:t>a</w:t>
      </w:r>
      <w:r w:rsidRPr="00292532">
        <w:t xml:space="preserve">ção e </w:t>
      </w:r>
      <w:r w:rsidR="00326C9B" w:rsidRPr="00292532">
        <w:t>Registo d</w:t>
      </w:r>
      <w:r w:rsidRPr="00292532">
        <w:t>a Descoberta</w:t>
      </w:r>
      <w:bookmarkEnd w:id="884"/>
      <w:bookmarkEnd w:id="885"/>
      <w:bookmarkEnd w:id="886"/>
      <w:bookmarkEnd w:id="887"/>
      <w:bookmarkEnd w:id="888"/>
      <w:bookmarkEnd w:id="889"/>
      <w:bookmarkEnd w:id="890"/>
      <w:r w:rsidRPr="00292532">
        <w:t xml:space="preserve"> </w:t>
      </w:r>
      <w:r w:rsidR="00326C9B" w:rsidRPr="00292532">
        <w:t xml:space="preserve"> </w:t>
      </w:r>
    </w:p>
    <w:p w14:paraId="0875DA60" w14:textId="5A6FF9D4" w:rsidR="00DE43E5" w:rsidRPr="00292532" w:rsidRDefault="00DE43E5" w:rsidP="00326C9B">
      <w:pPr>
        <w:rPr>
          <w:lang w:val="pt-PT"/>
        </w:rPr>
      </w:pPr>
      <w:r w:rsidRPr="00292532">
        <w:rPr>
          <w:lang w:val="pt-PT"/>
        </w:rPr>
        <w:t xml:space="preserve">Logo após a descoberta e notificação, o </w:t>
      </w:r>
      <w:proofErr w:type="spellStart"/>
      <w:r w:rsidRPr="00292532">
        <w:rPr>
          <w:lang w:val="pt-PT"/>
        </w:rPr>
        <w:t>Projecto</w:t>
      </w:r>
      <w:proofErr w:type="spellEnd"/>
      <w:r w:rsidRPr="00292532">
        <w:rPr>
          <w:lang w:val="pt-PT"/>
        </w:rPr>
        <w:t xml:space="preserve"> através das </w:t>
      </w:r>
      <w:proofErr w:type="spellStart"/>
      <w:r w:rsidRPr="00292532">
        <w:rPr>
          <w:lang w:val="pt-PT"/>
        </w:rPr>
        <w:t>UIPs</w:t>
      </w:r>
      <w:proofErr w:type="spellEnd"/>
      <w:r w:rsidRPr="00292532">
        <w:rPr>
          <w:lang w:val="pt-PT"/>
        </w:rPr>
        <w:t xml:space="preserve"> deve nomear um especialist</w:t>
      </w:r>
      <w:r w:rsidR="00514B3B" w:rsidRPr="00292532">
        <w:rPr>
          <w:lang w:val="pt-PT"/>
        </w:rPr>
        <w:t xml:space="preserve">a de património cultural para realizar uma avaliação da descoberta para </w:t>
      </w:r>
    </w:p>
    <w:p w14:paraId="2457161D" w14:textId="339C264B" w:rsidR="00326C9B" w:rsidRPr="00292532" w:rsidRDefault="0072649B" w:rsidP="00326C9B">
      <w:pPr>
        <w:rPr>
          <w:lang w:val="pt-PT"/>
        </w:rPr>
      </w:pPr>
      <w:r w:rsidRPr="00292532">
        <w:rPr>
          <w:lang w:val="pt-PT"/>
        </w:rPr>
        <w:t xml:space="preserve">O empreiteiro, juntamente, com a equipa de salvaguardas das </w:t>
      </w:r>
      <w:proofErr w:type="spellStart"/>
      <w:r w:rsidRPr="00292532">
        <w:rPr>
          <w:lang w:val="pt-PT"/>
        </w:rPr>
        <w:t>UTPs</w:t>
      </w:r>
      <w:proofErr w:type="spellEnd"/>
      <w:r w:rsidRPr="00292532">
        <w:rPr>
          <w:lang w:val="pt-PT"/>
        </w:rPr>
        <w:t xml:space="preserve"> devem registar </w:t>
      </w:r>
      <w:r w:rsidR="00DE43E5" w:rsidRPr="00292532">
        <w:rPr>
          <w:lang w:val="pt-PT"/>
        </w:rPr>
        <w:t>as descobertas casuais</w:t>
      </w:r>
      <w:r w:rsidRPr="00292532">
        <w:rPr>
          <w:lang w:val="pt-PT"/>
        </w:rPr>
        <w:t xml:space="preserve">, providenciando no mínimo a seguinte informação: </w:t>
      </w:r>
    </w:p>
    <w:p w14:paraId="45A267C2" w14:textId="70A6E29A" w:rsidR="0072649B" w:rsidRPr="00292532" w:rsidRDefault="0072649B" w:rsidP="00AE14AE">
      <w:pPr>
        <w:pStyle w:val="ListParagraph"/>
        <w:numPr>
          <w:ilvl w:val="0"/>
          <w:numId w:val="97"/>
        </w:numPr>
        <w:rPr>
          <w:lang w:val="pt-PT"/>
        </w:rPr>
      </w:pPr>
      <w:r w:rsidRPr="00292532">
        <w:rPr>
          <w:lang w:val="pt-PT"/>
        </w:rPr>
        <w:t xml:space="preserve">Localização (georreferenciada) </w:t>
      </w:r>
    </w:p>
    <w:p w14:paraId="4D5028C1" w14:textId="4B6359D1" w:rsidR="0072649B" w:rsidRPr="00292532" w:rsidRDefault="0072649B" w:rsidP="00AE14AE">
      <w:pPr>
        <w:pStyle w:val="ListParagraph"/>
        <w:numPr>
          <w:ilvl w:val="0"/>
          <w:numId w:val="97"/>
        </w:numPr>
        <w:rPr>
          <w:lang w:val="pt-PT"/>
        </w:rPr>
      </w:pPr>
      <w:r w:rsidRPr="00292532">
        <w:rPr>
          <w:lang w:val="pt-PT"/>
        </w:rPr>
        <w:t xml:space="preserve">Data da descoberta </w:t>
      </w:r>
    </w:p>
    <w:p w14:paraId="3D797DB1" w14:textId="0D848DD2" w:rsidR="0072649B" w:rsidRPr="00292532" w:rsidRDefault="0072649B" w:rsidP="00AE14AE">
      <w:pPr>
        <w:pStyle w:val="ListParagraph"/>
        <w:numPr>
          <w:ilvl w:val="0"/>
          <w:numId w:val="97"/>
        </w:numPr>
        <w:rPr>
          <w:lang w:val="pt-PT"/>
        </w:rPr>
      </w:pPr>
      <w:r w:rsidRPr="00292532">
        <w:rPr>
          <w:lang w:val="pt-PT"/>
        </w:rPr>
        <w:t xml:space="preserve">Registo fotográfico </w:t>
      </w:r>
    </w:p>
    <w:p w14:paraId="314163A4" w14:textId="206B4E38" w:rsidR="0072649B" w:rsidRPr="00292532" w:rsidRDefault="0072649B" w:rsidP="00AE14AE">
      <w:pPr>
        <w:pStyle w:val="ListParagraph"/>
        <w:numPr>
          <w:ilvl w:val="0"/>
          <w:numId w:val="97"/>
        </w:numPr>
        <w:rPr>
          <w:lang w:val="pt-PT"/>
        </w:rPr>
      </w:pPr>
      <w:r w:rsidRPr="00292532">
        <w:rPr>
          <w:lang w:val="pt-PT"/>
        </w:rPr>
        <w:t>Nome do pessoal envolvido no processo</w:t>
      </w:r>
    </w:p>
    <w:p w14:paraId="654690ED" w14:textId="3A7165E4" w:rsidR="0072649B" w:rsidRPr="00292532" w:rsidRDefault="0072649B" w:rsidP="00AE14AE">
      <w:pPr>
        <w:pStyle w:val="ListParagraph"/>
        <w:numPr>
          <w:ilvl w:val="0"/>
          <w:numId w:val="97"/>
        </w:numPr>
        <w:rPr>
          <w:lang w:val="pt-PT"/>
        </w:rPr>
      </w:pPr>
      <w:r w:rsidRPr="00292532">
        <w:rPr>
          <w:lang w:val="pt-PT"/>
        </w:rPr>
        <w:t>Evidencia de isolamento da área</w:t>
      </w:r>
    </w:p>
    <w:p w14:paraId="2B5EAFE6" w14:textId="005F4893" w:rsidR="0072649B" w:rsidRPr="00292532" w:rsidRDefault="0072649B" w:rsidP="00AE14AE">
      <w:pPr>
        <w:pStyle w:val="ListParagraph"/>
        <w:numPr>
          <w:ilvl w:val="0"/>
          <w:numId w:val="97"/>
        </w:numPr>
        <w:rPr>
          <w:lang w:val="pt-PT"/>
        </w:rPr>
      </w:pPr>
      <w:r w:rsidRPr="00292532">
        <w:rPr>
          <w:lang w:val="pt-PT"/>
        </w:rPr>
        <w:t xml:space="preserve">Cópia </w:t>
      </w:r>
      <w:r w:rsidR="00DE43E5" w:rsidRPr="00292532">
        <w:rPr>
          <w:lang w:val="pt-PT"/>
        </w:rPr>
        <w:t>das notificações feitas</w:t>
      </w:r>
      <w:r w:rsidRPr="00292532">
        <w:rPr>
          <w:lang w:val="pt-PT"/>
        </w:rPr>
        <w:t xml:space="preserve"> </w:t>
      </w:r>
      <w:r w:rsidR="00AB4662" w:rsidRPr="00292532">
        <w:rPr>
          <w:lang w:val="pt-PT"/>
        </w:rPr>
        <w:t>às</w:t>
      </w:r>
      <w:r w:rsidRPr="00292532">
        <w:rPr>
          <w:lang w:val="pt-PT"/>
        </w:rPr>
        <w:t xml:space="preserve"> autoridades após descoberta</w:t>
      </w:r>
    </w:p>
    <w:p w14:paraId="4D0A7A71" w14:textId="77777777" w:rsidR="00AB4662" w:rsidRPr="00292532" w:rsidRDefault="0072649B" w:rsidP="00AE14AE">
      <w:pPr>
        <w:pStyle w:val="ListParagraph"/>
        <w:numPr>
          <w:ilvl w:val="0"/>
          <w:numId w:val="97"/>
        </w:numPr>
        <w:rPr>
          <w:lang w:val="pt-PT"/>
        </w:rPr>
      </w:pPr>
      <w:r w:rsidRPr="00292532">
        <w:rPr>
          <w:lang w:val="pt-PT"/>
        </w:rPr>
        <w:t xml:space="preserve">Registo dos procedimentos seguidos após a descoberta até o reinício das </w:t>
      </w:r>
      <w:proofErr w:type="spellStart"/>
      <w:r w:rsidRPr="00292532">
        <w:rPr>
          <w:lang w:val="pt-PT"/>
        </w:rPr>
        <w:t>actividades</w:t>
      </w:r>
      <w:proofErr w:type="spellEnd"/>
      <w:r w:rsidRPr="00292532">
        <w:rPr>
          <w:lang w:val="pt-PT"/>
        </w:rPr>
        <w:t xml:space="preserve"> no local.</w:t>
      </w:r>
    </w:p>
    <w:p w14:paraId="549148DF" w14:textId="1FBA66E7" w:rsidR="0072649B" w:rsidRPr="00292532" w:rsidRDefault="0072649B" w:rsidP="007A1525">
      <w:pPr>
        <w:pStyle w:val="ListParagraph"/>
        <w:numPr>
          <w:ilvl w:val="0"/>
          <w:numId w:val="0"/>
        </w:numPr>
        <w:ind w:left="720"/>
        <w:rPr>
          <w:lang w:val="pt-PT"/>
        </w:rPr>
      </w:pPr>
      <w:r w:rsidRPr="00292532">
        <w:rPr>
          <w:lang w:val="pt-PT"/>
        </w:rPr>
        <w:t xml:space="preserve"> </w:t>
      </w:r>
    </w:p>
    <w:p w14:paraId="61112A44" w14:textId="77777777" w:rsidR="00AB4662" w:rsidRPr="00292532" w:rsidRDefault="00AB4662" w:rsidP="007A1525">
      <w:pPr>
        <w:pStyle w:val="Heading2"/>
      </w:pPr>
      <w:bookmarkStart w:id="891" w:name="_Toc73620240"/>
      <w:bookmarkStart w:id="892" w:name="_Toc73623867"/>
      <w:bookmarkStart w:id="893" w:name="_Toc73624515"/>
      <w:bookmarkStart w:id="894" w:name="_Toc73954650"/>
      <w:bookmarkStart w:id="895" w:name="_Toc75438036"/>
      <w:bookmarkStart w:id="896" w:name="_Toc78435475"/>
      <w:bookmarkStart w:id="897" w:name="_Toc80380145"/>
      <w:r w:rsidRPr="00292532">
        <w:t>Monitorização, Acompanhamento e Indicadores de Desempenho</w:t>
      </w:r>
      <w:bookmarkEnd w:id="891"/>
      <w:bookmarkEnd w:id="892"/>
      <w:bookmarkEnd w:id="893"/>
      <w:bookmarkEnd w:id="894"/>
      <w:bookmarkEnd w:id="895"/>
      <w:bookmarkEnd w:id="896"/>
      <w:bookmarkEnd w:id="897"/>
      <w:r w:rsidRPr="00292532">
        <w:t xml:space="preserve"> </w:t>
      </w:r>
    </w:p>
    <w:p w14:paraId="6A8F5DA9" w14:textId="77777777" w:rsidR="00AB4662" w:rsidRPr="00292532" w:rsidRDefault="00AB4662" w:rsidP="00AB4662">
      <w:pPr>
        <w:rPr>
          <w:lang w:val="pt-PT" w:eastAsia="ja-JP"/>
        </w:rPr>
      </w:pPr>
      <w:r w:rsidRPr="00292532">
        <w:rPr>
          <w:lang w:val="pt-PT" w:eastAsia="ja-JP"/>
        </w:rPr>
        <w:t>Os indicadores de desempenho serão usados para medir e acompanhar o desempenho face à eficácia das medidas de mitigação e de controlo descritas neste Plano.</w:t>
      </w:r>
    </w:p>
    <w:p w14:paraId="19091495" w14:textId="5397DFA0" w:rsidR="00AB4662" w:rsidRPr="00292532" w:rsidRDefault="00AB4662" w:rsidP="00AB4662">
      <w:pPr>
        <w:rPr>
          <w:lang w:val="pt-PT" w:eastAsia="ja-JP"/>
        </w:rPr>
      </w:pPr>
      <w:r w:rsidRPr="00292532">
        <w:rPr>
          <w:lang w:val="pt-PT" w:eastAsia="ja-JP"/>
        </w:rPr>
        <w:t xml:space="preserve">Os indicadores de desempenho devem ser mensuráveis em relação a uma meta específica. A </w:t>
      </w:r>
      <w:r w:rsidR="008C11E8" w:rsidRPr="00292532">
        <w:rPr>
          <w:b/>
          <w:bCs/>
          <w:lang w:val="pt-PT" w:eastAsia="ja-JP"/>
        </w:rPr>
        <w:t>Tabela 1</w:t>
      </w:r>
      <w:r w:rsidRPr="00292532">
        <w:rPr>
          <w:b/>
          <w:bCs/>
          <w:lang w:val="pt-PT" w:eastAsia="ja-JP"/>
        </w:rPr>
        <w:t xml:space="preserve"> </w:t>
      </w:r>
      <w:r w:rsidRPr="00292532">
        <w:rPr>
          <w:lang w:val="pt-PT" w:eastAsia="ja-JP"/>
        </w:rPr>
        <w:t>descreve os indicadores de desempenho aplicáveis ao Procedimento de Gestão do Património Cultural e descreve como os mesmos serão medidos, as metas e frequência de controlo</w:t>
      </w:r>
      <w:proofErr w:type="gramStart"/>
      <w:r w:rsidRPr="00292532">
        <w:rPr>
          <w:lang w:val="pt-PT" w:eastAsia="ja-JP"/>
        </w:rPr>
        <w:t>. ;</w:t>
      </w:r>
      <w:proofErr w:type="gramEnd"/>
      <w:r w:rsidRPr="00292532">
        <w:rPr>
          <w:lang w:val="pt-PT" w:eastAsia="ja-JP"/>
        </w:rPr>
        <w:t xml:space="preserve"> apenas os indicadores que são específicos e claramente mensuráveis foram incluídos. </w:t>
      </w:r>
    </w:p>
    <w:p w14:paraId="0C675918" w14:textId="106F99CC" w:rsidR="00AB4662" w:rsidRPr="00292532" w:rsidRDefault="008C11E8" w:rsidP="00AB4662">
      <w:pPr>
        <w:pStyle w:val="Caption"/>
      </w:pPr>
      <w:r w:rsidRPr="00292532">
        <w:t>Tabela 1</w:t>
      </w:r>
      <w:r w:rsidR="00AB4662" w:rsidRPr="00292532">
        <w:t xml:space="preserve">: Indicadores de Desempenho: </w:t>
      </w:r>
    </w:p>
    <w:tbl>
      <w:tblPr>
        <w:tblStyle w:val="GridTable4-Accent51"/>
        <w:tblW w:w="8818" w:type="dxa"/>
        <w:tblLook w:val="04A0" w:firstRow="1" w:lastRow="0" w:firstColumn="1" w:lastColumn="0" w:noHBand="0" w:noVBand="1"/>
      </w:tblPr>
      <w:tblGrid>
        <w:gridCol w:w="2515"/>
        <w:gridCol w:w="2532"/>
        <w:gridCol w:w="2119"/>
        <w:gridCol w:w="1652"/>
      </w:tblGrid>
      <w:tr w:rsidR="00AB4662" w:rsidRPr="00292532" w14:paraId="490A3C8D" w14:textId="77777777" w:rsidTr="00C023E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15" w:type="dxa"/>
          </w:tcPr>
          <w:p w14:paraId="73D1B3B3" w14:textId="77777777" w:rsidR="00AB4662" w:rsidRPr="004500AE" w:rsidRDefault="00AB4662" w:rsidP="00C023E5">
            <w:pPr>
              <w:jc w:val="center"/>
              <w:rPr>
                <w:sz w:val="20"/>
                <w:szCs w:val="20"/>
                <w:lang w:val="pt-PT" w:eastAsia="ja-JP"/>
              </w:rPr>
            </w:pPr>
            <w:r w:rsidRPr="004500AE">
              <w:rPr>
                <w:sz w:val="20"/>
                <w:szCs w:val="20"/>
                <w:lang w:val="pt-PT" w:eastAsia="ja-JP"/>
              </w:rPr>
              <w:t>Indicador de desempenho</w:t>
            </w:r>
          </w:p>
        </w:tc>
        <w:tc>
          <w:tcPr>
            <w:tcW w:w="2532" w:type="dxa"/>
          </w:tcPr>
          <w:p w14:paraId="4EE7CCE4" w14:textId="77777777" w:rsidR="00AB4662" w:rsidRPr="004500AE" w:rsidRDefault="00AB4662" w:rsidP="00C023E5">
            <w:pPr>
              <w:jc w:val="center"/>
              <w:cnfStyle w:val="100000000000" w:firstRow="1" w:lastRow="0" w:firstColumn="0" w:lastColumn="0" w:oddVBand="0" w:evenVBand="0" w:oddHBand="0" w:evenHBand="0" w:firstRowFirstColumn="0" w:firstRowLastColumn="0" w:lastRowFirstColumn="0" w:lastRowLastColumn="0"/>
              <w:rPr>
                <w:sz w:val="20"/>
                <w:szCs w:val="20"/>
                <w:lang w:val="pt-PT" w:eastAsia="ja-JP"/>
              </w:rPr>
            </w:pPr>
            <w:r w:rsidRPr="004500AE">
              <w:rPr>
                <w:sz w:val="20"/>
                <w:szCs w:val="20"/>
                <w:lang w:val="pt-PT" w:eastAsia="ja-JP"/>
              </w:rPr>
              <w:t>Medição</w:t>
            </w:r>
          </w:p>
        </w:tc>
        <w:tc>
          <w:tcPr>
            <w:tcW w:w="2119" w:type="dxa"/>
          </w:tcPr>
          <w:p w14:paraId="2DAC3234" w14:textId="77777777" w:rsidR="00AB4662" w:rsidRPr="004500AE" w:rsidRDefault="00AB4662" w:rsidP="00C023E5">
            <w:pPr>
              <w:jc w:val="center"/>
              <w:cnfStyle w:val="100000000000" w:firstRow="1" w:lastRow="0" w:firstColumn="0" w:lastColumn="0" w:oddVBand="0" w:evenVBand="0" w:oddHBand="0" w:evenHBand="0" w:firstRowFirstColumn="0" w:firstRowLastColumn="0" w:lastRowFirstColumn="0" w:lastRowLastColumn="0"/>
              <w:rPr>
                <w:sz w:val="20"/>
                <w:szCs w:val="20"/>
                <w:lang w:val="pt-PT" w:eastAsia="ja-JP"/>
              </w:rPr>
            </w:pPr>
            <w:r w:rsidRPr="004500AE">
              <w:rPr>
                <w:sz w:val="20"/>
                <w:szCs w:val="20"/>
                <w:lang w:val="pt-PT" w:eastAsia="ja-JP"/>
              </w:rPr>
              <w:t>Meta/Referência</w:t>
            </w:r>
          </w:p>
        </w:tc>
        <w:tc>
          <w:tcPr>
            <w:tcW w:w="1652" w:type="dxa"/>
          </w:tcPr>
          <w:p w14:paraId="420EB388" w14:textId="77777777" w:rsidR="00AB4662" w:rsidRPr="004500AE" w:rsidRDefault="00AB4662" w:rsidP="00C023E5">
            <w:pPr>
              <w:jc w:val="center"/>
              <w:cnfStyle w:val="100000000000" w:firstRow="1" w:lastRow="0" w:firstColumn="0" w:lastColumn="0" w:oddVBand="0" w:evenVBand="0" w:oddHBand="0" w:evenHBand="0" w:firstRowFirstColumn="0" w:firstRowLastColumn="0" w:lastRowFirstColumn="0" w:lastRowLastColumn="0"/>
              <w:rPr>
                <w:sz w:val="20"/>
                <w:szCs w:val="20"/>
                <w:lang w:val="pt-PT" w:eastAsia="ja-JP"/>
              </w:rPr>
            </w:pPr>
            <w:r w:rsidRPr="004500AE">
              <w:rPr>
                <w:sz w:val="20"/>
                <w:szCs w:val="20"/>
                <w:lang w:val="pt-PT" w:eastAsia="ja-JP"/>
              </w:rPr>
              <w:t>Frequência de Monitoramento</w:t>
            </w:r>
          </w:p>
        </w:tc>
      </w:tr>
      <w:tr w:rsidR="00AB4662" w:rsidRPr="00292532" w14:paraId="0BF7B071" w14:textId="77777777" w:rsidTr="00C023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28C1C664" w14:textId="6A8E458B" w:rsidR="00AB4662" w:rsidRPr="00292532" w:rsidRDefault="00AB4662" w:rsidP="00C023E5">
            <w:pPr>
              <w:rPr>
                <w:sz w:val="20"/>
                <w:szCs w:val="20"/>
                <w:lang w:val="pt-PT" w:eastAsia="ja-JP"/>
              </w:rPr>
            </w:pPr>
            <w:r w:rsidRPr="00292532">
              <w:rPr>
                <w:sz w:val="20"/>
                <w:szCs w:val="20"/>
                <w:lang w:val="pt-PT" w:eastAsia="ja-JP"/>
              </w:rPr>
              <w:t>Comunicações de descobertas casuais às autoridades</w:t>
            </w:r>
          </w:p>
        </w:tc>
        <w:tc>
          <w:tcPr>
            <w:tcW w:w="2532" w:type="dxa"/>
          </w:tcPr>
          <w:p w14:paraId="2CE4A3A6" w14:textId="554554CB" w:rsidR="00AB4662" w:rsidRPr="00292532" w:rsidRDefault="00AB4662" w:rsidP="00C023E5">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Registo das descobertas e evidência</w:t>
            </w:r>
            <w:r w:rsidR="009B2B69" w:rsidRPr="00292532">
              <w:rPr>
                <w:sz w:val="20"/>
                <w:szCs w:val="20"/>
                <w:lang w:val="pt-PT" w:eastAsia="ja-JP"/>
              </w:rPr>
              <w:t xml:space="preserve"> das</w:t>
            </w:r>
            <w:r w:rsidRPr="00292532">
              <w:rPr>
                <w:sz w:val="20"/>
                <w:szCs w:val="20"/>
                <w:lang w:val="pt-PT" w:eastAsia="ja-JP"/>
              </w:rPr>
              <w:t xml:space="preserve"> comunicações feitas às autoridades competentes</w:t>
            </w:r>
          </w:p>
        </w:tc>
        <w:tc>
          <w:tcPr>
            <w:tcW w:w="2119" w:type="dxa"/>
          </w:tcPr>
          <w:p w14:paraId="5A66EF6B" w14:textId="09FEB874" w:rsidR="00AB4662" w:rsidRPr="00292532" w:rsidRDefault="00AB4662" w:rsidP="00C023E5">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 xml:space="preserve">Todas as descobertas sem </w:t>
            </w:r>
            <w:proofErr w:type="spellStart"/>
            <w:r w:rsidRPr="00292532">
              <w:rPr>
                <w:sz w:val="20"/>
                <w:szCs w:val="20"/>
                <w:lang w:val="pt-PT" w:eastAsia="ja-JP"/>
              </w:rPr>
              <w:t>excepção</w:t>
            </w:r>
            <w:proofErr w:type="spellEnd"/>
            <w:r w:rsidRPr="00292532">
              <w:rPr>
                <w:sz w:val="20"/>
                <w:szCs w:val="20"/>
                <w:lang w:val="pt-PT" w:eastAsia="ja-JP"/>
              </w:rPr>
              <w:t xml:space="preserve"> devem ser comunicadas às autoridades competentes</w:t>
            </w:r>
          </w:p>
        </w:tc>
        <w:tc>
          <w:tcPr>
            <w:tcW w:w="1652" w:type="dxa"/>
          </w:tcPr>
          <w:p w14:paraId="39FBCD17" w14:textId="77777777" w:rsidR="00AB4662" w:rsidRPr="004500AE" w:rsidRDefault="00AB4662" w:rsidP="00C023E5">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4500AE">
              <w:rPr>
                <w:sz w:val="20"/>
                <w:szCs w:val="20"/>
                <w:lang w:val="pt-PT" w:eastAsia="ja-JP"/>
              </w:rPr>
              <w:t xml:space="preserve">Contínuo </w:t>
            </w:r>
          </w:p>
        </w:tc>
      </w:tr>
      <w:tr w:rsidR="00AB4662" w:rsidRPr="00292532" w14:paraId="49E6B728" w14:textId="77777777" w:rsidTr="00C023E5">
        <w:tc>
          <w:tcPr>
            <w:cnfStyle w:val="001000000000" w:firstRow="0" w:lastRow="0" w:firstColumn="1" w:lastColumn="0" w:oddVBand="0" w:evenVBand="0" w:oddHBand="0" w:evenHBand="0" w:firstRowFirstColumn="0" w:firstRowLastColumn="0" w:lastRowFirstColumn="0" w:lastRowLastColumn="0"/>
            <w:tcW w:w="2515" w:type="dxa"/>
          </w:tcPr>
          <w:p w14:paraId="3838A4A9" w14:textId="058A64BE" w:rsidR="00AB4662" w:rsidRPr="00292532" w:rsidRDefault="00AB4662" w:rsidP="00C023E5">
            <w:pPr>
              <w:rPr>
                <w:sz w:val="20"/>
                <w:szCs w:val="20"/>
                <w:lang w:val="pt-PT" w:eastAsia="ja-JP"/>
              </w:rPr>
            </w:pPr>
            <w:r w:rsidRPr="00292532">
              <w:rPr>
                <w:sz w:val="20"/>
                <w:szCs w:val="20"/>
                <w:lang w:val="pt-PT" w:eastAsia="ja-JP"/>
              </w:rPr>
              <w:t>Consciencialização e capacitação sobre o património cultural</w:t>
            </w:r>
          </w:p>
        </w:tc>
        <w:tc>
          <w:tcPr>
            <w:tcW w:w="2532" w:type="dxa"/>
          </w:tcPr>
          <w:p w14:paraId="7011B76A" w14:textId="2F5C32D9" w:rsidR="00AB4662" w:rsidRPr="00292532" w:rsidRDefault="00AB4662" w:rsidP="00C023E5">
            <w:pPr>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292532">
              <w:rPr>
                <w:sz w:val="20"/>
                <w:szCs w:val="20"/>
                <w:lang w:val="pt-PT" w:eastAsia="ja-JP"/>
              </w:rPr>
              <w:t xml:space="preserve">Registo das </w:t>
            </w:r>
            <w:proofErr w:type="spellStart"/>
            <w:r w:rsidRPr="00292532">
              <w:rPr>
                <w:sz w:val="20"/>
                <w:szCs w:val="20"/>
                <w:lang w:val="pt-PT" w:eastAsia="ja-JP"/>
              </w:rPr>
              <w:t>acções</w:t>
            </w:r>
            <w:proofErr w:type="spellEnd"/>
            <w:r w:rsidRPr="00292532">
              <w:rPr>
                <w:sz w:val="20"/>
                <w:szCs w:val="20"/>
                <w:lang w:val="pt-PT" w:eastAsia="ja-JP"/>
              </w:rPr>
              <w:t xml:space="preserve"> de formação e consciencialização sobre os requisitos deste plano e sobre os tipos de bens de património cultural </w:t>
            </w:r>
            <w:r w:rsidRPr="00292532">
              <w:rPr>
                <w:sz w:val="20"/>
                <w:szCs w:val="20"/>
                <w:lang w:val="pt-PT" w:eastAsia="ja-JP"/>
              </w:rPr>
              <w:lastRenderedPageBreak/>
              <w:t xml:space="preserve">prováveis de ocorrer nas áreas do </w:t>
            </w:r>
            <w:proofErr w:type="spellStart"/>
            <w:r w:rsidRPr="00292532">
              <w:rPr>
                <w:sz w:val="20"/>
                <w:szCs w:val="20"/>
                <w:lang w:val="pt-PT" w:eastAsia="ja-JP"/>
              </w:rPr>
              <w:t>Projecto</w:t>
            </w:r>
            <w:proofErr w:type="spellEnd"/>
            <w:r w:rsidRPr="00292532">
              <w:rPr>
                <w:sz w:val="20"/>
                <w:szCs w:val="20"/>
                <w:lang w:val="pt-PT" w:eastAsia="ja-JP"/>
              </w:rPr>
              <w:t xml:space="preserve">  </w:t>
            </w:r>
          </w:p>
        </w:tc>
        <w:tc>
          <w:tcPr>
            <w:tcW w:w="2119" w:type="dxa"/>
          </w:tcPr>
          <w:p w14:paraId="72B65D68" w14:textId="464D9F3F" w:rsidR="00AB4662" w:rsidRPr="00292532" w:rsidRDefault="00AB4662" w:rsidP="00C023E5">
            <w:pPr>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292532">
              <w:rPr>
                <w:sz w:val="20"/>
                <w:szCs w:val="20"/>
                <w:lang w:val="pt-PT" w:eastAsia="ja-JP"/>
              </w:rPr>
              <w:lastRenderedPageBreak/>
              <w:t xml:space="preserve">Todos os trabalhadores envolvidos nas </w:t>
            </w:r>
            <w:proofErr w:type="spellStart"/>
            <w:r w:rsidRPr="00292532">
              <w:rPr>
                <w:sz w:val="20"/>
                <w:szCs w:val="20"/>
                <w:lang w:val="pt-PT" w:eastAsia="ja-JP"/>
              </w:rPr>
              <w:t>actividades</w:t>
            </w:r>
            <w:proofErr w:type="spellEnd"/>
            <w:r w:rsidRPr="00292532">
              <w:rPr>
                <w:sz w:val="20"/>
                <w:szCs w:val="20"/>
                <w:lang w:val="pt-PT" w:eastAsia="ja-JP"/>
              </w:rPr>
              <w:t xml:space="preserve"> de terraplenagens, escavações, desmatamento devem </w:t>
            </w:r>
            <w:r w:rsidRPr="00292532">
              <w:rPr>
                <w:sz w:val="20"/>
                <w:szCs w:val="20"/>
                <w:lang w:val="pt-PT" w:eastAsia="ja-JP"/>
              </w:rPr>
              <w:lastRenderedPageBreak/>
              <w:t xml:space="preserve">ser capacidades e consciencializados  </w:t>
            </w:r>
          </w:p>
        </w:tc>
        <w:tc>
          <w:tcPr>
            <w:tcW w:w="1652" w:type="dxa"/>
          </w:tcPr>
          <w:p w14:paraId="592A6161" w14:textId="0DBF9AB3" w:rsidR="00AB4662" w:rsidRPr="004500AE" w:rsidRDefault="00AB4662" w:rsidP="00C023E5">
            <w:pPr>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4500AE">
              <w:rPr>
                <w:sz w:val="20"/>
                <w:szCs w:val="20"/>
                <w:lang w:val="pt-PT" w:eastAsia="ja-JP"/>
              </w:rPr>
              <w:lastRenderedPageBreak/>
              <w:t>Mensalmente</w:t>
            </w:r>
          </w:p>
        </w:tc>
      </w:tr>
    </w:tbl>
    <w:p w14:paraId="74EDF620" w14:textId="079EE2C8" w:rsidR="000615DB" w:rsidRPr="00292532" w:rsidRDefault="00AB4662" w:rsidP="000D7B05">
      <w:pPr>
        <w:pStyle w:val="Title"/>
      </w:pPr>
      <w:r w:rsidRPr="00292532">
        <w:br w:type="page"/>
      </w:r>
    </w:p>
    <w:p w14:paraId="0B4E26DF" w14:textId="77777777" w:rsidR="000615DB" w:rsidRPr="00292532" w:rsidRDefault="000615DB" w:rsidP="000D7B05">
      <w:pPr>
        <w:pStyle w:val="Title"/>
        <w:sectPr w:rsidR="000615DB" w:rsidRPr="00292532" w:rsidSect="00032E3B">
          <w:pgSz w:w="11920" w:h="16840"/>
          <w:pgMar w:top="1380" w:right="1210" w:bottom="1340" w:left="1080" w:header="0" w:footer="0" w:gutter="0"/>
          <w:cols w:space="720"/>
          <w:titlePg/>
          <w:docGrid w:linePitch="299"/>
        </w:sectPr>
      </w:pPr>
    </w:p>
    <w:p w14:paraId="3AFC95A2" w14:textId="3F005874" w:rsidR="000615DB" w:rsidRPr="00292532" w:rsidRDefault="000615DB" w:rsidP="000D7B05">
      <w:pPr>
        <w:pStyle w:val="Title"/>
      </w:pPr>
    </w:p>
    <w:p w14:paraId="253145DF" w14:textId="1249DEA8" w:rsidR="00A555CC" w:rsidRPr="00292532" w:rsidRDefault="00A555CC">
      <w:pPr>
        <w:rPr>
          <w:lang w:val="pt-PT" w:eastAsia="ja-JP"/>
        </w:rPr>
      </w:pPr>
      <w:bookmarkStart w:id="898" w:name="_bookmark119"/>
      <w:bookmarkEnd w:id="898"/>
    </w:p>
    <w:p w14:paraId="0C129A45" w14:textId="40B4EF6E" w:rsidR="00CD1C60" w:rsidRPr="00292532" w:rsidRDefault="00CD1C60" w:rsidP="000D7B05">
      <w:pPr>
        <w:pStyle w:val="Title"/>
      </w:pPr>
    </w:p>
    <w:p w14:paraId="37FBCAFF" w14:textId="0E078875" w:rsidR="00B31AE2" w:rsidRPr="00292532" w:rsidRDefault="00B31AE2" w:rsidP="000D7B05">
      <w:pPr>
        <w:pStyle w:val="Title"/>
      </w:pPr>
      <w:r w:rsidRPr="00292532">
        <w:t xml:space="preserve">Anexo </w:t>
      </w:r>
      <w:r w:rsidR="000615DB" w:rsidRPr="00292532">
        <w:t>9</w:t>
      </w:r>
    </w:p>
    <w:p w14:paraId="3549E362" w14:textId="606EAAE2" w:rsidR="00CA52F1" w:rsidRPr="00292532" w:rsidRDefault="00B31AE2" w:rsidP="000D7B05">
      <w:pPr>
        <w:pStyle w:val="Title"/>
      </w:pPr>
      <w:r w:rsidRPr="00292532">
        <w:t>Plano de Gestão de Mão</w:t>
      </w:r>
      <w:r w:rsidR="00A6116B" w:rsidRPr="00292532">
        <w:t>-</w:t>
      </w:r>
      <w:r w:rsidRPr="00292532">
        <w:t>de</w:t>
      </w:r>
      <w:r w:rsidR="00A6116B" w:rsidRPr="00292532">
        <w:t>-</w:t>
      </w:r>
      <w:r w:rsidRPr="00292532">
        <w:t xml:space="preserve">Obra e de Gestão de Saúde e Segurança Ocupacional </w:t>
      </w:r>
    </w:p>
    <w:p w14:paraId="01BA032B" w14:textId="77777777" w:rsidR="00B31AE2" w:rsidRPr="00292532" w:rsidRDefault="00B31AE2" w:rsidP="000D7B05">
      <w:pPr>
        <w:pStyle w:val="Title"/>
      </w:pPr>
    </w:p>
    <w:p w14:paraId="6FFBABAD" w14:textId="394A4C8B" w:rsidR="00B31AE2" w:rsidRPr="00292532" w:rsidRDefault="00B31AE2" w:rsidP="00AE14AE">
      <w:pPr>
        <w:keepNext/>
        <w:keepLines/>
        <w:numPr>
          <w:ilvl w:val="0"/>
          <w:numId w:val="121"/>
        </w:numPr>
        <w:spacing w:before="0" w:after="200" w:line="276" w:lineRule="auto"/>
        <w:ind w:left="426"/>
        <w:jc w:val="left"/>
        <w:outlineLvl w:val="1"/>
        <w:rPr>
          <w:rFonts w:ascii="Arial" w:eastAsia="Times New Roman" w:hAnsi="Arial" w:cs="Arial"/>
          <w:b/>
          <w:bCs/>
          <w:color w:val="4472C4"/>
          <w:sz w:val="26"/>
          <w:szCs w:val="26"/>
          <w:lang w:val="pt-PT"/>
        </w:rPr>
      </w:pPr>
      <w:bookmarkStart w:id="899" w:name="_Toc74921468"/>
      <w:bookmarkStart w:id="900" w:name="_Toc75438044"/>
      <w:bookmarkStart w:id="901" w:name="_Toc78435476"/>
      <w:bookmarkStart w:id="902" w:name="_Toc80380146"/>
      <w:r w:rsidRPr="00292532">
        <w:rPr>
          <w:rFonts w:ascii="Arial" w:eastAsia="Times New Roman" w:hAnsi="Arial" w:cs="Arial"/>
          <w:b/>
          <w:bCs/>
          <w:color w:val="4472C4"/>
          <w:sz w:val="26"/>
          <w:szCs w:val="26"/>
          <w:lang w:val="pt-PT"/>
        </w:rPr>
        <w:t>INTRODUÇÃO</w:t>
      </w:r>
      <w:bookmarkEnd w:id="899"/>
      <w:bookmarkEnd w:id="900"/>
      <w:bookmarkEnd w:id="901"/>
      <w:bookmarkEnd w:id="902"/>
    </w:p>
    <w:p w14:paraId="24F60037" w14:textId="77777777" w:rsidR="00B31AE2" w:rsidRPr="00292532" w:rsidRDefault="00B31AE2" w:rsidP="00AE14AE">
      <w:pPr>
        <w:keepNext/>
        <w:keepLines/>
        <w:numPr>
          <w:ilvl w:val="1"/>
          <w:numId w:val="126"/>
        </w:numPr>
        <w:spacing w:before="40" w:after="0" w:line="276" w:lineRule="auto"/>
        <w:jc w:val="left"/>
        <w:outlineLvl w:val="2"/>
        <w:rPr>
          <w:rFonts w:ascii="Arial" w:eastAsia="Times New Roman" w:hAnsi="Arial" w:cs="Arial"/>
          <w:b/>
          <w:color w:val="1F3763"/>
          <w:sz w:val="24"/>
          <w:szCs w:val="24"/>
          <w:lang w:val="pt-PT"/>
        </w:rPr>
      </w:pPr>
      <w:bookmarkStart w:id="903" w:name="_Toc74921469"/>
      <w:bookmarkStart w:id="904" w:name="_Toc75438045"/>
      <w:bookmarkStart w:id="905" w:name="_Toc78435477"/>
      <w:bookmarkStart w:id="906" w:name="_Toc80380147"/>
      <w:r w:rsidRPr="00292532">
        <w:rPr>
          <w:rFonts w:ascii="Arial" w:eastAsia="Times New Roman" w:hAnsi="Arial" w:cs="Arial"/>
          <w:b/>
          <w:color w:val="1F3763"/>
          <w:sz w:val="24"/>
          <w:szCs w:val="24"/>
          <w:lang w:val="pt-PT"/>
        </w:rPr>
        <w:t>Contextualização</w:t>
      </w:r>
      <w:bookmarkEnd w:id="903"/>
      <w:bookmarkEnd w:id="904"/>
      <w:bookmarkEnd w:id="905"/>
      <w:bookmarkEnd w:id="906"/>
      <w:r w:rsidRPr="00292532">
        <w:rPr>
          <w:rFonts w:ascii="Arial" w:eastAsia="Times New Roman" w:hAnsi="Arial" w:cs="Arial"/>
          <w:b/>
          <w:color w:val="1F3763"/>
          <w:sz w:val="24"/>
          <w:szCs w:val="24"/>
          <w:lang w:val="pt-PT"/>
        </w:rPr>
        <w:t xml:space="preserve"> </w:t>
      </w:r>
    </w:p>
    <w:p w14:paraId="0C72F4E8" w14:textId="51256B63" w:rsidR="00B31AE2" w:rsidRPr="00292532" w:rsidRDefault="00B31AE2" w:rsidP="00B31AE2">
      <w:pPr>
        <w:spacing w:before="0" w:after="0"/>
        <w:rPr>
          <w:rFonts w:ascii="Arial" w:eastAsia="Calibri" w:hAnsi="Arial" w:cs="Arial"/>
          <w:color w:val="000000"/>
          <w:sz w:val="20"/>
          <w:lang w:val="pt-PT"/>
        </w:rPr>
      </w:pPr>
      <w:r w:rsidRPr="00292532">
        <w:rPr>
          <w:rFonts w:ascii="Arial" w:eastAsia="Calibri" w:hAnsi="Arial" w:cs="Arial"/>
          <w:color w:val="000000"/>
          <w:sz w:val="20"/>
          <w:lang w:val="pt-PT"/>
        </w:rPr>
        <w:t xml:space="preserve">O presente Plano de Gestão de Mão de Obra e de Gestão de Saúde e Segurança Ocupacional (doravante designado ‘’Plano’’) é anexo do </w:t>
      </w:r>
      <w:r w:rsidRPr="00292532">
        <w:rPr>
          <w:rFonts w:ascii="Arial" w:eastAsia="Calibri" w:hAnsi="Arial" w:cs="Arial"/>
          <w:color w:val="5B9BD5"/>
          <w:sz w:val="20"/>
          <w:lang w:val="pt-PT"/>
        </w:rPr>
        <w:t xml:space="preserve">Quadro de Gestão Ambiental e Social do </w:t>
      </w:r>
      <w:proofErr w:type="spellStart"/>
      <w:r w:rsidRPr="00292532">
        <w:rPr>
          <w:rFonts w:ascii="Arial" w:eastAsia="Calibri" w:hAnsi="Arial" w:cs="Arial"/>
          <w:color w:val="5B9BD5"/>
          <w:sz w:val="20"/>
          <w:lang w:val="pt-PT"/>
        </w:rPr>
        <w:t>Projecto</w:t>
      </w:r>
      <w:proofErr w:type="spellEnd"/>
      <w:r w:rsidRPr="00292532">
        <w:rPr>
          <w:rFonts w:ascii="Arial" w:eastAsia="Calibri" w:hAnsi="Arial" w:cs="Arial"/>
          <w:color w:val="5B9BD5"/>
          <w:sz w:val="20"/>
          <w:lang w:val="pt-PT"/>
        </w:rPr>
        <w:t xml:space="preserve"> Água Segura para Zonas Rurais e Vilas</w:t>
      </w:r>
      <w:r w:rsidR="00D0637C" w:rsidRPr="00292532">
        <w:rPr>
          <w:rFonts w:ascii="Arial" w:eastAsia="Calibri" w:hAnsi="Arial" w:cs="Arial"/>
          <w:color w:val="5B9BD5"/>
          <w:sz w:val="20"/>
          <w:lang w:val="pt-PT"/>
        </w:rPr>
        <w:t xml:space="preserve"> (P 173518)</w:t>
      </w:r>
      <w:r w:rsidRPr="00292532">
        <w:rPr>
          <w:rFonts w:ascii="Arial" w:eastAsia="Calibri" w:hAnsi="Arial" w:cs="Arial"/>
          <w:color w:val="5B9BD5"/>
          <w:sz w:val="20"/>
          <w:lang w:val="pt-PT"/>
        </w:rPr>
        <w:t xml:space="preserve">, </w:t>
      </w:r>
      <w:r w:rsidRPr="00292532">
        <w:rPr>
          <w:rFonts w:ascii="Arial" w:eastAsia="Calibri" w:hAnsi="Arial" w:cs="Arial"/>
          <w:sz w:val="20"/>
          <w:lang w:val="pt-PT"/>
        </w:rPr>
        <w:t xml:space="preserve">a ser implementado </w:t>
      </w:r>
      <w:r w:rsidRPr="00292532">
        <w:rPr>
          <w:rFonts w:ascii="Arial" w:eastAsia="Calibri" w:hAnsi="Arial" w:cs="Arial"/>
          <w:color w:val="000000"/>
          <w:sz w:val="20"/>
          <w:lang w:val="pt-PT"/>
        </w:rPr>
        <w:t>pelo Governo de Moçambique (</w:t>
      </w:r>
      <w:proofErr w:type="spellStart"/>
      <w:r w:rsidRPr="00292532">
        <w:rPr>
          <w:rFonts w:ascii="Arial" w:eastAsia="Calibri" w:hAnsi="Arial" w:cs="Arial"/>
          <w:color w:val="000000"/>
          <w:sz w:val="20"/>
          <w:lang w:val="pt-PT"/>
        </w:rPr>
        <w:t>GdM</w:t>
      </w:r>
      <w:proofErr w:type="spellEnd"/>
      <w:r w:rsidRPr="00292532">
        <w:rPr>
          <w:rFonts w:ascii="Arial" w:eastAsia="Calibri" w:hAnsi="Arial" w:cs="Arial"/>
          <w:color w:val="000000"/>
          <w:sz w:val="20"/>
          <w:lang w:val="pt-PT"/>
        </w:rPr>
        <w:t xml:space="preserve">) através do Ministério das Obras públicas, Habitação e Recursos Hídricos (MOPHRH), com o apoio do Banco Mundial. </w:t>
      </w:r>
    </w:p>
    <w:p w14:paraId="312A213A" w14:textId="77777777" w:rsidR="00B31AE2" w:rsidRPr="00292532" w:rsidRDefault="00B31AE2" w:rsidP="00B31AE2">
      <w:pPr>
        <w:spacing w:before="0" w:after="0"/>
        <w:rPr>
          <w:rFonts w:ascii="Arial" w:eastAsia="Calibri" w:hAnsi="Arial" w:cs="Arial"/>
          <w:color w:val="000000"/>
          <w:lang w:val="pt-PT"/>
        </w:rPr>
      </w:pPr>
    </w:p>
    <w:p w14:paraId="384989B5" w14:textId="136BD83E" w:rsidR="00B31AE2" w:rsidRPr="00292532" w:rsidRDefault="00B31AE2" w:rsidP="00AE14AE">
      <w:pPr>
        <w:keepNext/>
        <w:keepLines/>
        <w:numPr>
          <w:ilvl w:val="1"/>
          <w:numId w:val="126"/>
        </w:numPr>
        <w:spacing w:before="40" w:after="0" w:line="276" w:lineRule="auto"/>
        <w:jc w:val="left"/>
        <w:outlineLvl w:val="2"/>
        <w:rPr>
          <w:rFonts w:ascii="Arial" w:eastAsia="Times New Roman" w:hAnsi="Arial" w:cs="Arial"/>
          <w:b/>
          <w:color w:val="1F3763"/>
          <w:sz w:val="24"/>
          <w:szCs w:val="24"/>
          <w:lang w:val="pt-PT"/>
        </w:rPr>
      </w:pPr>
      <w:bookmarkStart w:id="907" w:name="_Toc74921470"/>
      <w:bookmarkStart w:id="908" w:name="_Toc75438046"/>
      <w:bookmarkStart w:id="909" w:name="_Toc78435478"/>
      <w:bookmarkStart w:id="910" w:name="_Toc80380148"/>
      <w:r w:rsidRPr="00292532">
        <w:rPr>
          <w:rFonts w:ascii="Arial" w:eastAsia="Times New Roman" w:hAnsi="Arial" w:cs="Arial"/>
          <w:b/>
          <w:color w:val="1F3763"/>
          <w:sz w:val="24"/>
          <w:szCs w:val="24"/>
          <w:lang w:val="pt-PT"/>
        </w:rPr>
        <w:t xml:space="preserve">Âmbito e </w:t>
      </w:r>
      <w:proofErr w:type="spellStart"/>
      <w:r w:rsidRPr="00292532">
        <w:rPr>
          <w:rFonts w:ascii="Arial" w:eastAsia="Times New Roman" w:hAnsi="Arial" w:cs="Arial"/>
          <w:b/>
          <w:color w:val="1F3763"/>
          <w:sz w:val="24"/>
          <w:szCs w:val="24"/>
          <w:lang w:val="pt-PT"/>
        </w:rPr>
        <w:t>objectivos</w:t>
      </w:r>
      <w:bookmarkEnd w:id="907"/>
      <w:bookmarkEnd w:id="908"/>
      <w:bookmarkEnd w:id="909"/>
      <w:bookmarkEnd w:id="910"/>
      <w:proofErr w:type="spellEnd"/>
    </w:p>
    <w:p w14:paraId="7834C436" w14:textId="77777777" w:rsidR="00B31AE2" w:rsidRPr="00292532" w:rsidRDefault="00B31AE2" w:rsidP="00B31AE2">
      <w:pPr>
        <w:spacing w:before="0" w:after="200"/>
        <w:rPr>
          <w:rFonts w:ascii="Arial" w:eastAsia="Calibri" w:hAnsi="Arial" w:cs="Arial"/>
          <w:sz w:val="20"/>
          <w:lang w:val="pt-PT"/>
        </w:rPr>
      </w:pPr>
      <w:r w:rsidRPr="00292532">
        <w:rPr>
          <w:rFonts w:ascii="Arial" w:eastAsia="Calibri" w:hAnsi="Arial" w:cs="Arial"/>
          <w:sz w:val="20"/>
          <w:lang w:val="pt-PT"/>
        </w:rPr>
        <w:t xml:space="preserve">Os requisitos enunciados no presente Plano são aplicáveis a todos interveniente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Água Segura e serão incorporados nos contractos entre a Unidade de Implementação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(UIP) e as empresas e indivíduos contratados ou subcontratados para executar quaisquer </w:t>
      </w:r>
      <w:proofErr w:type="spellStart"/>
      <w:r w:rsidRPr="00292532">
        <w:rPr>
          <w:rFonts w:ascii="Arial" w:eastAsia="Calibri" w:hAnsi="Arial" w:cs="Arial"/>
          <w:sz w:val="20"/>
          <w:lang w:val="pt-PT"/>
        </w:rPr>
        <w:t>actividades</w:t>
      </w:r>
      <w:proofErr w:type="spellEnd"/>
      <w:r w:rsidRPr="00292532">
        <w:rPr>
          <w:rFonts w:ascii="Arial" w:eastAsia="Calibri" w:hAnsi="Arial" w:cs="Arial"/>
          <w:sz w:val="20"/>
          <w:lang w:val="pt-PT"/>
        </w:rPr>
        <w:t xml:space="preserve"> no contexto do presente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seja como funcionário </w:t>
      </w:r>
      <w:proofErr w:type="spellStart"/>
      <w:r w:rsidRPr="00292532">
        <w:rPr>
          <w:rFonts w:ascii="Arial" w:eastAsia="Calibri" w:hAnsi="Arial" w:cs="Arial"/>
          <w:sz w:val="20"/>
          <w:lang w:val="pt-PT"/>
        </w:rPr>
        <w:t>directo</w:t>
      </w:r>
      <w:proofErr w:type="spellEnd"/>
      <w:r w:rsidRPr="00292532">
        <w:rPr>
          <w:rFonts w:ascii="Arial" w:eastAsia="Calibri" w:hAnsi="Arial" w:cs="Arial"/>
          <w:sz w:val="20"/>
          <w:lang w:val="pt-PT"/>
        </w:rPr>
        <w:t xml:space="preserve"> ou provedor de bens e serviços.</w:t>
      </w:r>
    </w:p>
    <w:p w14:paraId="1B583532" w14:textId="6F616862" w:rsidR="00B31AE2" w:rsidRPr="00292532" w:rsidRDefault="00B31AE2" w:rsidP="00B31AE2">
      <w:pPr>
        <w:spacing w:before="0" w:after="200"/>
        <w:rPr>
          <w:rFonts w:ascii="Arial" w:eastAsia="Calibri" w:hAnsi="Arial" w:cs="Arial"/>
          <w:sz w:val="20"/>
          <w:lang w:val="pt-PT"/>
        </w:rPr>
      </w:pPr>
      <w:r w:rsidRPr="00292532">
        <w:rPr>
          <w:rFonts w:ascii="Arial" w:eastAsia="Calibri" w:hAnsi="Arial" w:cs="Arial"/>
          <w:sz w:val="20"/>
          <w:lang w:val="pt-PT"/>
        </w:rPr>
        <w:t xml:space="preserve">O Plano é preparado com base na avaliação dos potenciais riscos para a mão de obra e das medidas de gestão associadas, afim de limitar os riscos de ocorrência de acidentes e garantir a </w:t>
      </w:r>
      <w:proofErr w:type="spellStart"/>
      <w:r w:rsidRPr="00292532">
        <w:rPr>
          <w:rFonts w:ascii="Arial" w:eastAsia="Calibri" w:hAnsi="Arial" w:cs="Arial"/>
          <w:sz w:val="20"/>
          <w:lang w:val="pt-PT"/>
        </w:rPr>
        <w:t>protecção</w:t>
      </w:r>
      <w:proofErr w:type="spellEnd"/>
      <w:r w:rsidRPr="00292532">
        <w:rPr>
          <w:rFonts w:ascii="Arial" w:eastAsia="Calibri" w:hAnsi="Arial" w:cs="Arial"/>
          <w:sz w:val="20"/>
          <w:lang w:val="pt-PT"/>
        </w:rPr>
        <w:t xml:space="preserve"> da saúde e o bem-estar dos trabalhadores e da comunidade, bem como cumprir com a legislação moçambican</w:t>
      </w:r>
      <w:r w:rsidR="00033BD3">
        <w:rPr>
          <w:rFonts w:ascii="Arial" w:eastAsia="Calibri" w:hAnsi="Arial" w:cs="Arial"/>
          <w:sz w:val="20"/>
          <w:lang w:val="pt-PT"/>
        </w:rPr>
        <w:t>a, com</w:t>
      </w:r>
      <w:r w:rsidRPr="00292532">
        <w:rPr>
          <w:rFonts w:ascii="Arial" w:eastAsia="Calibri" w:hAnsi="Arial" w:cs="Arial"/>
          <w:sz w:val="20"/>
          <w:lang w:val="pt-PT"/>
        </w:rPr>
        <w:t xml:space="preserve"> os requisitos de gestão ambiental e social do Banco Mundial (enfase especial para a Normas Ambientais e Sociais (NAS) 2 (Mão de obra e Condições de Trabalho) e NAS 4 (Saúde e Segurança Comunitária)</w:t>
      </w:r>
      <w:r w:rsidR="00033BD3">
        <w:rPr>
          <w:rFonts w:ascii="Arial" w:eastAsia="Calibri" w:hAnsi="Arial" w:cs="Arial"/>
          <w:sz w:val="20"/>
          <w:lang w:val="pt-PT"/>
        </w:rPr>
        <w:t xml:space="preserve"> e com os requisitos da Norma ISO 45001:2018 ou norma equivalente.</w:t>
      </w:r>
    </w:p>
    <w:p w14:paraId="21FD7018" w14:textId="77777777" w:rsidR="00B31AE2" w:rsidRPr="00292532" w:rsidRDefault="00B31AE2" w:rsidP="00B31AE2">
      <w:pPr>
        <w:spacing w:before="0" w:after="200"/>
        <w:rPr>
          <w:rFonts w:ascii="Arial" w:eastAsia="Calibri" w:hAnsi="Arial" w:cs="Arial"/>
          <w:sz w:val="20"/>
          <w:lang w:val="pt-PT"/>
        </w:rPr>
      </w:pPr>
      <w:r w:rsidRPr="00292532">
        <w:rPr>
          <w:rFonts w:ascii="Arial" w:eastAsia="Calibri" w:hAnsi="Arial" w:cs="Arial"/>
          <w:sz w:val="20"/>
          <w:lang w:val="pt-PT"/>
        </w:rPr>
        <w:t xml:space="preserve">Este documento é dinâmico, podendo ser modificado sob aprovação (não </w:t>
      </w:r>
      <w:proofErr w:type="spellStart"/>
      <w:r w:rsidRPr="00292532">
        <w:rPr>
          <w:rFonts w:ascii="Arial" w:eastAsia="Calibri" w:hAnsi="Arial" w:cs="Arial"/>
          <w:sz w:val="20"/>
          <w:lang w:val="pt-PT"/>
        </w:rPr>
        <w:t>objecção</w:t>
      </w:r>
      <w:proofErr w:type="spellEnd"/>
      <w:r w:rsidRPr="00292532">
        <w:rPr>
          <w:rFonts w:ascii="Arial" w:eastAsia="Calibri" w:hAnsi="Arial" w:cs="Arial"/>
          <w:sz w:val="20"/>
          <w:lang w:val="pt-PT"/>
        </w:rPr>
        <w:t xml:space="preserve">) do Banco Mundial de acordo com mudanças ou melhor clareza do escopo das </w:t>
      </w:r>
      <w:proofErr w:type="spellStart"/>
      <w:r w:rsidRPr="00292532">
        <w:rPr>
          <w:rFonts w:ascii="Arial" w:eastAsia="Calibri" w:hAnsi="Arial" w:cs="Arial"/>
          <w:sz w:val="20"/>
          <w:lang w:val="pt-PT"/>
        </w:rPr>
        <w:t>actividades</w:t>
      </w:r>
      <w:proofErr w:type="spellEnd"/>
      <w:r w:rsidRPr="00292532">
        <w:rPr>
          <w:rFonts w:ascii="Arial" w:eastAsia="Calibri" w:hAnsi="Arial" w:cs="Arial"/>
          <w:sz w:val="20"/>
          <w:lang w:val="pt-PT"/>
        </w:rPr>
        <w:t xml:space="preserve">, bem como ser adaptado (personalizado/adequado) para responder às necessidades especificas (ex. de subprojectos, escritórios, províncias, distritos, empresas) com aprovação da Unidade de Implementação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(UIP).</w:t>
      </w:r>
    </w:p>
    <w:p w14:paraId="12C213A6" w14:textId="00F35F93" w:rsidR="00B31AE2" w:rsidRPr="00292532" w:rsidRDefault="00B31AE2" w:rsidP="00B31AE2">
      <w:pPr>
        <w:spacing w:before="0" w:after="200"/>
        <w:rPr>
          <w:rFonts w:ascii="Arial" w:eastAsia="Calibri" w:hAnsi="Arial" w:cs="Arial"/>
          <w:sz w:val="20"/>
          <w:lang w:val="pt-PT"/>
        </w:rPr>
      </w:pPr>
      <w:r w:rsidRPr="00292532">
        <w:rPr>
          <w:rFonts w:ascii="Arial" w:eastAsia="Calibri" w:hAnsi="Arial" w:cs="Arial"/>
          <w:sz w:val="20"/>
          <w:lang w:val="pt-PT"/>
        </w:rPr>
        <w:t xml:space="preserve">Os empreiteiros deverão elaborar um </w:t>
      </w:r>
      <w:r w:rsidR="00033BD3">
        <w:rPr>
          <w:rFonts w:ascii="Arial" w:eastAsia="Calibri" w:hAnsi="Arial" w:cs="Arial"/>
          <w:sz w:val="20"/>
          <w:lang w:val="pt-PT"/>
        </w:rPr>
        <w:t xml:space="preserve">Plano de Gestão Ambiental e Social e Plano de Saúde e Segurança </w:t>
      </w:r>
      <w:r w:rsidRPr="00292532">
        <w:rPr>
          <w:rFonts w:ascii="Arial" w:eastAsia="Calibri" w:hAnsi="Arial" w:cs="Arial"/>
          <w:sz w:val="20"/>
          <w:lang w:val="pt-PT"/>
        </w:rPr>
        <w:t>com dados complementares para operacionalização deste plano e incluir anexos complementares relevantes (ex. plano de gestão de tráfego, de resposta a emergências e desastres, etc.).</w:t>
      </w:r>
    </w:p>
    <w:p w14:paraId="3A78935C" w14:textId="77777777" w:rsidR="00B31AE2" w:rsidRPr="00292532" w:rsidRDefault="00B31AE2" w:rsidP="00B31AE2">
      <w:pPr>
        <w:spacing w:before="0" w:after="200"/>
        <w:rPr>
          <w:rFonts w:ascii="Arial" w:eastAsia="Calibri" w:hAnsi="Arial" w:cs="Arial"/>
          <w:sz w:val="20"/>
          <w:lang w:val="pt-PT"/>
        </w:rPr>
      </w:pPr>
    </w:p>
    <w:p w14:paraId="3EB9F1E9" w14:textId="74C4A0A9" w:rsidR="00B31AE2" w:rsidRPr="00292532" w:rsidRDefault="00B31AE2" w:rsidP="00AE14AE">
      <w:pPr>
        <w:keepNext/>
        <w:keepLines/>
        <w:numPr>
          <w:ilvl w:val="1"/>
          <w:numId w:val="126"/>
        </w:numPr>
        <w:spacing w:before="40" w:after="0" w:line="276" w:lineRule="auto"/>
        <w:jc w:val="left"/>
        <w:outlineLvl w:val="2"/>
        <w:rPr>
          <w:rFonts w:ascii="Arial" w:eastAsia="Times New Roman" w:hAnsi="Arial" w:cs="Arial"/>
          <w:b/>
          <w:color w:val="1F3763"/>
          <w:sz w:val="24"/>
          <w:szCs w:val="24"/>
          <w:lang w:val="pt-PT"/>
        </w:rPr>
      </w:pPr>
      <w:bookmarkStart w:id="911" w:name="_Toc74921471"/>
      <w:bookmarkStart w:id="912" w:name="_Toc75438047"/>
      <w:bookmarkStart w:id="913" w:name="_Toc78435479"/>
      <w:bookmarkStart w:id="914" w:name="_Toc80380149"/>
      <w:r w:rsidRPr="00292532">
        <w:rPr>
          <w:rFonts w:ascii="Arial" w:eastAsia="Times New Roman" w:hAnsi="Arial" w:cs="Arial"/>
          <w:b/>
          <w:color w:val="1F3763"/>
          <w:sz w:val="24"/>
          <w:szCs w:val="24"/>
          <w:lang w:val="pt-PT"/>
        </w:rPr>
        <w:t>Responsabilidades na implementação do Plano</w:t>
      </w:r>
      <w:bookmarkEnd w:id="911"/>
      <w:bookmarkEnd w:id="912"/>
      <w:bookmarkEnd w:id="913"/>
      <w:bookmarkEnd w:id="914"/>
    </w:p>
    <w:p w14:paraId="7E82480A" w14:textId="1FC7DB2B" w:rsidR="00B31AE2" w:rsidRPr="00292532" w:rsidRDefault="00B31AE2" w:rsidP="00AE14AE">
      <w:pPr>
        <w:numPr>
          <w:ilvl w:val="0"/>
          <w:numId w:val="122"/>
        </w:numPr>
        <w:spacing w:before="0" w:after="0" w:line="276" w:lineRule="auto"/>
        <w:contextualSpacing/>
        <w:jc w:val="left"/>
        <w:rPr>
          <w:rFonts w:ascii="Arial" w:eastAsia="Calibri" w:hAnsi="Arial" w:cs="Arial"/>
          <w:color w:val="000000"/>
          <w:sz w:val="20"/>
          <w:lang w:val="pt-PT"/>
        </w:rPr>
      </w:pPr>
      <w:r w:rsidRPr="00292532">
        <w:rPr>
          <w:rFonts w:ascii="Arial" w:eastAsia="Calibri" w:hAnsi="Arial" w:cs="Arial"/>
          <w:color w:val="000000"/>
          <w:sz w:val="20"/>
          <w:szCs w:val="20"/>
          <w:u w:val="single"/>
          <w:lang w:val="pt-PT"/>
        </w:rPr>
        <w:t xml:space="preserve">Unidade de Implementação do </w:t>
      </w:r>
      <w:proofErr w:type="spellStart"/>
      <w:r w:rsidRPr="00292532">
        <w:rPr>
          <w:rFonts w:ascii="Arial" w:eastAsia="Calibri" w:hAnsi="Arial" w:cs="Arial"/>
          <w:color w:val="000000"/>
          <w:sz w:val="20"/>
          <w:szCs w:val="20"/>
          <w:u w:val="single"/>
          <w:lang w:val="pt-PT"/>
        </w:rPr>
        <w:t>Projecto</w:t>
      </w:r>
      <w:proofErr w:type="spellEnd"/>
      <w:r w:rsidRPr="00292532">
        <w:rPr>
          <w:rFonts w:ascii="Arial" w:eastAsia="Calibri" w:hAnsi="Arial" w:cs="Arial"/>
          <w:color w:val="000000"/>
          <w:sz w:val="20"/>
          <w:szCs w:val="20"/>
          <w:u w:val="single"/>
          <w:lang w:val="pt-PT"/>
        </w:rPr>
        <w:t xml:space="preserve"> (UIP):</w:t>
      </w:r>
      <w:r w:rsidRPr="00292532">
        <w:rPr>
          <w:rFonts w:ascii="Arial" w:eastAsia="Calibri" w:hAnsi="Arial" w:cs="Arial"/>
          <w:color w:val="000000"/>
          <w:sz w:val="20"/>
          <w:szCs w:val="20"/>
          <w:lang w:val="pt-PT"/>
        </w:rPr>
        <w:t xml:space="preserve"> responsável pela gestão geral do </w:t>
      </w:r>
      <w:proofErr w:type="spellStart"/>
      <w:r w:rsidRPr="00292532">
        <w:rPr>
          <w:rFonts w:ascii="Arial" w:eastAsia="Calibri" w:hAnsi="Arial" w:cs="Arial"/>
          <w:color w:val="000000"/>
          <w:sz w:val="20"/>
          <w:szCs w:val="20"/>
          <w:lang w:val="pt-PT"/>
        </w:rPr>
        <w:t>projecto</w:t>
      </w:r>
      <w:proofErr w:type="spellEnd"/>
      <w:r w:rsidRPr="00292532">
        <w:rPr>
          <w:rFonts w:ascii="Arial" w:eastAsia="Calibri" w:hAnsi="Arial" w:cs="Arial"/>
          <w:color w:val="000000"/>
          <w:sz w:val="20"/>
          <w:szCs w:val="20"/>
          <w:lang w:val="pt-PT"/>
        </w:rPr>
        <w:t>, promover a elaboração da comunicação prévia sobre o Plano, contratação e monitoria de consultores e contratadas de forma competitiva. Assegura a integração dos códigos de ética, de conduta e o presente Plano nos contractos, garantir o funcionamento do MGR e</w:t>
      </w:r>
      <w:r w:rsidRPr="00292532">
        <w:rPr>
          <w:rFonts w:ascii="Arial" w:eastAsia="Calibri" w:hAnsi="Arial" w:cs="Arial"/>
          <w:color w:val="000000"/>
          <w:sz w:val="20"/>
          <w:lang w:val="pt-PT"/>
        </w:rPr>
        <w:t xml:space="preserve"> monitorar as empresas contratadas e subcontratadas.</w:t>
      </w:r>
      <w:r w:rsidR="00033BD3">
        <w:rPr>
          <w:rFonts w:ascii="Arial" w:eastAsia="Calibri" w:hAnsi="Arial" w:cs="Arial"/>
          <w:color w:val="000000"/>
          <w:sz w:val="20"/>
          <w:lang w:val="pt-PT"/>
        </w:rPr>
        <w:t xml:space="preserve"> O pessoal da UIP deve fazer-se presente no local das obras no mínimo uma vez por mês. </w:t>
      </w:r>
    </w:p>
    <w:p w14:paraId="6712A403" w14:textId="77777777" w:rsidR="00B31AE2" w:rsidRPr="00292532" w:rsidRDefault="00B31AE2" w:rsidP="00AE14AE">
      <w:pPr>
        <w:numPr>
          <w:ilvl w:val="0"/>
          <w:numId w:val="122"/>
        </w:numPr>
        <w:spacing w:before="0" w:after="200" w:line="276" w:lineRule="auto"/>
        <w:contextualSpacing/>
        <w:jc w:val="left"/>
        <w:rPr>
          <w:rFonts w:ascii="Arial" w:eastAsia="Calibri" w:hAnsi="Arial" w:cs="Arial"/>
          <w:color w:val="000000"/>
          <w:sz w:val="20"/>
          <w:lang w:val="pt-PT"/>
        </w:rPr>
      </w:pPr>
      <w:r w:rsidRPr="00292532">
        <w:rPr>
          <w:rFonts w:ascii="Arial" w:eastAsia="Calibri" w:hAnsi="Arial" w:cs="Arial"/>
          <w:color w:val="000000"/>
          <w:sz w:val="20"/>
          <w:szCs w:val="20"/>
          <w:u w:val="single"/>
          <w:lang w:val="pt-PT"/>
        </w:rPr>
        <w:t>Especialista de Salvaguardas da UIP:</w:t>
      </w:r>
      <w:r w:rsidRPr="00292532">
        <w:rPr>
          <w:rFonts w:ascii="Arial" w:eastAsia="Calibri" w:hAnsi="Arial" w:cs="Arial"/>
          <w:color w:val="000000"/>
          <w:sz w:val="20"/>
          <w:lang w:val="pt-PT"/>
        </w:rPr>
        <w:t xml:space="preserve"> treinar os trabalhadores </w:t>
      </w:r>
      <w:proofErr w:type="spellStart"/>
      <w:r w:rsidRPr="00292532">
        <w:rPr>
          <w:rFonts w:ascii="Arial" w:eastAsia="Calibri" w:hAnsi="Arial" w:cs="Arial"/>
          <w:color w:val="000000"/>
          <w:sz w:val="20"/>
          <w:lang w:val="pt-PT"/>
        </w:rPr>
        <w:t>directos</w:t>
      </w:r>
      <w:proofErr w:type="spellEnd"/>
      <w:r w:rsidRPr="00292532">
        <w:rPr>
          <w:rFonts w:ascii="Arial" w:eastAsia="Calibri" w:hAnsi="Arial" w:cs="Arial"/>
          <w:color w:val="000000"/>
          <w:sz w:val="20"/>
          <w:lang w:val="pt-PT"/>
        </w:rPr>
        <w:t xml:space="preserve"> e supervisionar as empresas contratadas na implementação dos </w:t>
      </w:r>
      <w:proofErr w:type="spellStart"/>
      <w:r w:rsidRPr="00292532">
        <w:rPr>
          <w:rFonts w:ascii="Arial" w:eastAsia="Calibri" w:hAnsi="Arial" w:cs="Arial"/>
          <w:color w:val="000000"/>
          <w:sz w:val="20"/>
          <w:lang w:val="pt-PT"/>
        </w:rPr>
        <w:t>aspectos</w:t>
      </w:r>
      <w:proofErr w:type="spellEnd"/>
      <w:r w:rsidRPr="00292532">
        <w:rPr>
          <w:rFonts w:ascii="Arial" w:eastAsia="Calibri" w:hAnsi="Arial" w:cs="Arial"/>
          <w:color w:val="000000"/>
          <w:sz w:val="20"/>
          <w:lang w:val="pt-PT"/>
        </w:rPr>
        <w:t xml:space="preserve"> de saúde e segurança ocupacional e comunitária, instrumentos de salvaguarda ambiental e social, monitor a integração dos códigos de conduta nos contractos e a implementação do presente Plano</w:t>
      </w:r>
      <w:bookmarkStart w:id="915" w:name="_Hlk74841625"/>
      <w:bookmarkStart w:id="916" w:name="_Hlk74872611"/>
      <w:r w:rsidRPr="00292532">
        <w:rPr>
          <w:rFonts w:ascii="Arial" w:eastAsia="Calibri" w:hAnsi="Arial" w:cs="Arial"/>
          <w:color w:val="000000"/>
          <w:sz w:val="20"/>
          <w:lang w:val="pt-PT"/>
        </w:rPr>
        <w:t>.</w:t>
      </w:r>
    </w:p>
    <w:bookmarkEnd w:id="915"/>
    <w:bookmarkEnd w:id="916"/>
    <w:p w14:paraId="512AF502" w14:textId="77777777" w:rsidR="00B31AE2" w:rsidRPr="00292532" w:rsidRDefault="00B31AE2" w:rsidP="00AE14AE">
      <w:pPr>
        <w:numPr>
          <w:ilvl w:val="0"/>
          <w:numId w:val="122"/>
        </w:numPr>
        <w:spacing w:before="0" w:after="0" w:line="276" w:lineRule="auto"/>
        <w:contextualSpacing/>
        <w:jc w:val="left"/>
        <w:rPr>
          <w:rFonts w:ascii="Arial" w:eastAsia="Calibri" w:hAnsi="Arial" w:cs="Arial"/>
          <w:color w:val="000000"/>
          <w:sz w:val="20"/>
          <w:lang w:val="pt-PT"/>
        </w:rPr>
      </w:pPr>
      <w:r w:rsidRPr="00292532">
        <w:rPr>
          <w:rFonts w:ascii="Arial" w:eastAsia="Calibri" w:hAnsi="Arial" w:cs="Arial"/>
          <w:color w:val="000000"/>
          <w:sz w:val="20"/>
          <w:u w:val="single"/>
          <w:lang w:val="pt-PT"/>
        </w:rPr>
        <w:t>Oficiais ambientais, sociais e de saúde e segurança ocupacional (SSO) das empresas beneficiárias e contratadas:</w:t>
      </w:r>
      <w:r w:rsidRPr="00292532">
        <w:rPr>
          <w:rFonts w:ascii="Arial" w:eastAsia="Calibri" w:hAnsi="Arial" w:cs="Arial"/>
          <w:color w:val="000000"/>
          <w:sz w:val="20"/>
          <w:lang w:val="pt-PT"/>
        </w:rPr>
        <w:t xml:space="preserve"> em coordenação com os especialistas de salvaguardas da UIP, tem a responsabilidade de coordenar as </w:t>
      </w:r>
      <w:proofErr w:type="spellStart"/>
      <w:r w:rsidRPr="00292532">
        <w:rPr>
          <w:rFonts w:ascii="Arial" w:eastAsia="Calibri" w:hAnsi="Arial" w:cs="Arial"/>
          <w:color w:val="000000"/>
          <w:sz w:val="20"/>
          <w:lang w:val="pt-PT"/>
        </w:rPr>
        <w:t>actividades</w:t>
      </w:r>
      <w:proofErr w:type="spellEnd"/>
      <w:r w:rsidRPr="00292532">
        <w:rPr>
          <w:rFonts w:ascii="Arial" w:eastAsia="Calibri" w:hAnsi="Arial" w:cs="Arial"/>
          <w:color w:val="000000"/>
          <w:sz w:val="20"/>
          <w:lang w:val="pt-PT"/>
        </w:rPr>
        <w:t xml:space="preserve"> dos intervenientes do </w:t>
      </w:r>
      <w:proofErr w:type="spellStart"/>
      <w:r w:rsidRPr="00292532">
        <w:rPr>
          <w:rFonts w:ascii="Arial" w:eastAsia="Calibri" w:hAnsi="Arial" w:cs="Arial"/>
          <w:color w:val="000000"/>
          <w:sz w:val="20"/>
          <w:lang w:val="pt-PT"/>
        </w:rPr>
        <w:t>Projecto</w:t>
      </w:r>
      <w:proofErr w:type="spellEnd"/>
      <w:r w:rsidRPr="00292532">
        <w:rPr>
          <w:rFonts w:ascii="Arial" w:eastAsia="Calibri" w:hAnsi="Arial" w:cs="Arial"/>
          <w:color w:val="000000"/>
          <w:sz w:val="20"/>
          <w:lang w:val="pt-PT"/>
        </w:rPr>
        <w:t xml:space="preserve">, tendo em vista a </w:t>
      </w:r>
      <w:r w:rsidRPr="00292532">
        <w:rPr>
          <w:rFonts w:ascii="Arial" w:eastAsia="Calibri" w:hAnsi="Arial" w:cs="Arial"/>
          <w:color w:val="000000"/>
          <w:sz w:val="20"/>
          <w:lang w:val="pt-PT"/>
        </w:rPr>
        <w:lastRenderedPageBreak/>
        <w:t xml:space="preserve">integração dos princípios gerais de prevenção, promover a implementação das medidas previstas no presente Plano, garantir a adaptação do Plano face aos desvios do </w:t>
      </w:r>
      <w:proofErr w:type="spellStart"/>
      <w:r w:rsidRPr="00292532">
        <w:rPr>
          <w:rFonts w:ascii="Arial" w:eastAsia="Calibri" w:hAnsi="Arial" w:cs="Arial"/>
          <w:color w:val="000000"/>
          <w:sz w:val="20"/>
          <w:lang w:val="pt-PT"/>
        </w:rPr>
        <w:t>projecto</w:t>
      </w:r>
      <w:proofErr w:type="spellEnd"/>
      <w:r w:rsidRPr="00292532">
        <w:rPr>
          <w:rFonts w:ascii="Arial" w:eastAsia="Calibri" w:hAnsi="Arial" w:cs="Arial"/>
          <w:color w:val="000000"/>
          <w:sz w:val="20"/>
          <w:lang w:val="pt-PT"/>
        </w:rPr>
        <w:t xml:space="preserve">, promover a divulgação mútua de informação e treinamentos sobre riscos profissionais entre os intervenientes do </w:t>
      </w:r>
      <w:proofErr w:type="spellStart"/>
      <w:r w:rsidRPr="00292532">
        <w:rPr>
          <w:rFonts w:ascii="Arial" w:eastAsia="Calibri" w:hAnsi="Arial" w:cs="Arial"/>
          <w:color w:val="000000"/>
          <w:sz w:val="20"/>
          <w:lang w:val="pt-PT"/>
        </w:rPr>
        <w:t>Projecto</w:t>
      </w:r>
      <w:proofErr w:type="spellEnd"/>
      <w:r w:rsidRPr="00292532">
        <w:rPr>
          <w:rFonts w:ascii="Arial" w:eastAsia="Calibri" w:hAnsi="Arial" w:cs="Arial"/>
          <w:color w:val="000000"/>
          <w:sz w:val="20"/>
          <w:lang w:val="pt-PT"/>
        </w:rPr>
        <w:t xml:space="preserve">, definir as condições de acesso á obra, salvaguardar que as </w:t>
      </w:r>
      <w:proofErr w:type="spellStart"/>
      <w:r w:rsidRPr="00292532">
        <w:rPr>
          <w:rFonts w:ascii="Arial" w:eastAsia="Calibri" w:hAnsi="Arial" w:cs="Arial"/>
          <w:color w:val="000000"/>
          <w:sz w:val="20"/>
          <w:lang w:val="pt-PT"/>
        </w:rPr>
        <w:t>actividades</w:t>
      </w:r>
      <w:proofErr w:type="spellEnd"/>
      <w:r w:rsidRPr="00292532">
        <w:rPr>
          <w:rFonts w:ascii="Arial" w:eastAsia="Calibri" w:hAnsi="Arial" w:cs="Arial"/>
          <w:color w:val="000000"/>
          <w:sz w:val="20"/>
          <w:lang w:val="pt-PT"/>
        </w:rPr>
        <w:t xml:space="preserve"> do </w:t>
      </w:r>
      <w:proofErr w:type="spellStart"/>
      <w:r w:rsidRPr="00292532">
        <w:rPr>
          <w:rFonts w:ascii="Arial" w:eastAsia="Calibri" w:hAnsi="Arial" w:cs="Arial"/>
          <w:color w:val="000000"/>
          <w:sz w:val="20"/>
          <w:lang w:val="pt-PT"/>
        </w:rPr>
        <w:t>Projecto</w:t>
      </w:r>
      <w:proofErr w:type="spellEnd"/>
      <w:r w:rsidRPr="00292532">
        <w:rPr>
          <w:rFonts w:ascii="Arial" w:eastAsia="Calibri" w:hAnsi="Arial" w:cs="Arial"/>
          <w:color w:val="000000"/>
          <w:sz w:val="20"/>
          <w:lang w:val="pt-PT"/>
        </w:rPr>
        <w:t xml:space="preserve"> não constituam riscos para terceiros, realizar inquéritos de incidentes e acidentes de trabalho, apontar qualquer não-conformidade com a saúde e segurança e implementar todas as </w:t>
      </w:r>
      <w:proofErr w:type="spellStart"/>
      <w:r w:rsidRPr="00292532">
        <w:rPr>
          <w:rFonts w:ascii="Arial" w:eastAsia="Calibri" w:hAnsi="Arial" w:cs="Arial"/>
          <w:color w:val="000000"/>
          <w:sz w:val="20"/>
          <w:lang w:val="pt-PT"/>
        </w:rPr>
        <w:t>acções</w:t>
      </w:r>
      <w:proofErr w:type="spellEnd"/>
      <w:r w:rsidRPr="00292532">
        <w:rPr>
          <w:rFonts w:ascii="Arial" w:eastAsia="Calibri" w:hAnsi="Arial" w:cs="Arial"/>
          <w:color w:val="000000"/>
          <w:sz w:val="20"/>
          <w:lang w:val="pt-PT"/>
        </w:rPr>
        <w:t xml:space="preserve"> </w:t>
      </w:r>
      <w:proofErr w:type="spellStart"/>
      <w:r w:rsidRPr="00292532">
        <w:rPr>
          <w:rFonts w:ascii="Arial" w:eastAsia="Calibri" w:hAnsi="Arial" w:cs="Arial"/>
          <w:color w:val="000000"/>
          <w:sz w:val="20"/>
          <w:lang w:val="pt-PT"/>
        </w:rPr>
        <w:t>correctivas</w:t>
      </w:r>
      <w:proofErr w:type="spellEnd"/>
      <w:r w:rsidRPr="00292532">
        <w:rPr>
          <w:rFonts w:ascii="Arial" w:eastAsia="Calibri" w:hAnsi="Arial" w:cs="Arial"/>
          <w:color w:val="000000"/>
          <w:sz w:val="20"/>
          <w:lang w:val="pt-PT"/>
        </w:rPr>
        <w:t xml:space="preserve"> necessárias, assegurar o relacionamento com entidades públicas.</w:t>
      </w:r>
    </w:p>
    <w:p w14:paraId="78063978" w14:textId="13A64B71" w:rsidR="00B31AE2" w:rsidRPr="00292532" w:rsidRDefault="00B31AE2" w:rsidP="00AE14AE">
      <w:pPr>
        <w:numPr>
          <w:ilvl w:val="0"/>
          <w:numId w:val="122"/>
        </w:numPr>
        <w:spacing w:before="0" w:after="0" w:line="276" w:lineRule="auto"/>
        <w:contextualSpacing/>
        <w:jc w:val="left"/>
        <w:rPr>
          <w:rFonts w:ascii="Arial" w:eastAsia="Calibri" w:hAnsi="Arial" w:cs="Arial"/>
          <w:color w:val="000000"/>
          <w:sz w:val="20"/>
          <w:lang w:val="pt-PT"/>
        </w:rPr>
      </w:pPr>
      <w:r w:rsidRPr="00292532">
        <w:rPr>
          <w:rFonts w:ascii="Arial" w:eastAsia="Calibri" w:hAnsi="Arial" w:cs="Arial"/>
          <w:color w:val="000000"/>
          <w:sz w:val="20"/>
          <w:u w:val="single"/>
          <w:lang w:val="pt-PT"/>
        </w:rPr>
        <w:t>Fiscal:</w:t>
      </w:r>
      <w:r w:rsidR="00033BD3">
        <w:rPr>
          <w:rFonts w:ascii="Arial" w:eastAsia="Calibri" w:hAnsi="Arial" w:cs="Arial"/>
          <w:color w:val="000000"/>
          <w:sz w:val="20"/>
          <w:u w:val="single"/>
          <w:lang w:val="pt-PT"/>
        </w:rPr>
        <w:t xml:space="preserve"> o especialista ambiental e social e especialista de saúde e segurança são responsáveis por</w:t>
      </w:r>
      <w:r w:rsidRPr="00292532">
        <w:rPr>
          <w:rFonts w:ascii="Arial" w:eastAsia="Calibri" w:hAnsi="Arial" w:cs="Arial"/>
          <w:color w:val="000000"/>
          <w:sz w:val="20"/>
          <w:lang w:val="pt-PT"/>
        </w:rPr>
        <w:t xml:space="preserve"> assegurar que o presente Plano</w:t>
      </w:r>
      <w:r w:rsidR="00033BD3">
        <w:rPr>
          <w:rFonts w:ascii="Arial" w:eastAsia="Calibri" w:hAnsi="Arial" w:cs="Arial"/>
          <w:color w:val="000000"/>
          <w:sz w:val="20"/>
          <w:lang w:val="pt-PT"/>
        </w:rPr>
        <w:t xml:space="preserve"> incluindo do PGAS e Plano de Saúde e Segurança do empreiteiro</w:t>
      </w:r>
      <w:r w:rsidRPr="00292532">
        <w:rPr>
          <w:rFonts w:ascii="Arial" w:eastAsia="Calibri" w:hAnsi="Arial" w:cs="Arial"/>
          <w:color w:val="000000"/>
          <w:sz w:val="20"/>
          <w:lang w:val="pt-PT"/>
        </w:rPr>
        <w:t xml:space="preserve"> </w:t>
      </w:r>
      <w:r w:rsidR="00033BD3">
        <w:rPr>
          <w:rFonts w:ascii="Arial" w:eastAsia="Calibri" w:hAnsi="Arial" w:cs="Arial"/>
          <w:color w:val="000000"/>
          <w:sz w:val="20"/>
          <w:lang w:val="pt-PT"/>
        </w:rPr>
        <w:t xml:space="preserve">sejam </w:t>
      </w:r>
      <w:r w:rsidRPr="00292532">
        <w:rPr>
          <w:rFonts w:ascii="Arial" w:eastAsia="Calibri" w:hAnsi="Arial" w:cs="Arial"/>
          <w:color w:val="000000"/>
          <w:sz w:val="20"/>
          <w:lang w:val="pt-PT"/>
        </w:rPr>
        <w:t>cumprido</w:t>
      </w:r>
      <w:r w:rsidR="00033BD3">
        <w:rPr>
          <w:rFonts w:ascii="Arial" w:eastAsia="Calibri" w:hAnsi="Arial" w:cs="Arial"/>
          <w:color w:val="000000"/>
          <w:sz w:val="20"/>
          <w:lang w:val="pt-PT"/>
        </w:rPr>
        <w:t>s</w:t>
      </w:r>
      <w:r w:rsidRPr="00292532">
        <w:rPr>
          <w:rFonts w:ascii="Arial" w:eastAsia="Calibri" w:hAnsi="Arial" w:cs="Arial"/>
          <w:color w:val="000000"/>
          <w:sz w:val="20"/>
          <w:lang w:val="pt-PT"/>
        </w:rPr>
        <w:t xml:space="preserve"> pelas contratadas e subcontratadas que </w:t>
      </w:r>
      <w:proofErr w:type="spellStart"/>
      <w:r w:rsidRPr="00292532">
        <w:rPr>
          <w:rFonts w:ascii="Arial" w:eastAsia="Calibri" w:hAnsi="Arial" w:cs="Arial"/>
          <w:color w:val="000000"/>
          <w:sz w:val="20"/>
          <w:lang w:val="pt-PT"/>
        </w:rPr>
        <w:t>actuam</w:t>
      </w:r>
      <w:proofErr w:type="spellEnd"/>
      <w:r w:rsidRPr="00292532">
        <w:rPr>
          <w:rFonts w:ascii="Arial" w:eastAsia="Calibri" w:hAnsi="Arial" w:cs="Arial"/>
          <w:color w:val="000000"/>
          <w:sz w:val="20"/>
          <w:lang w:val="pt-PT"/>
        </w:rPr>
        <w:t xml:space="preserve"> no âmbito do </w:t>
      </w:r>
      <w:proofErr w:type="spellStart"/>
      <w:r w:rsidRPr="00292532">
        <w:rPr>
          <w:rFonts w:ascii="Arial" w:eastAsia="Calibri" w:hAnsi="Arial" w:cs="Arial"/>
          <w:color w:val="000000"/>
          <w:sz w:val="20"/>
          <w:lang w:val="pt-PT"/>
        </w:rPr>
        <w:t>Projecto</w:t>
      </w:r>
      <w:proofErr w:type="spellEnd"/>
      <w:r w:rsidRPr="00292532">
        <w:rPr>
          <w:rFonts w:ascii="Arial" w:eastAsia="Calibri" w:hAnsi="Arial" w:cs="Arial"/>
          <w:color w:val="000000"/>
          <w:sz w:val="20"/>
          <w:lang w:val="pt-PT"/>
        </w:rPr>
        <w:t xml:space="preserve">, que todos os trabalhadores têm o equipamento de </w:t>
      </w:r>
      <w:proofErr w:type="spellStart"/>
      <w:r w:rsidRPr="00292532">
        <w:rPr>
          <w:rFonts w:ascii="Arial" w:eastAsia="Calibri" w:hAnsi="Arial" w:cs="Arial"/>
          <w:color w:val="000000"/>
          <w:sz w:val="20"/>
          <w:lang w:val="pt-PT"/>
        </w:rPr>
        <w:t>protecção</w:t>
      </w:r>
      <w:proofErr w:type="spellEnd"/>
      <w:r w:rsidRPr="00292532">
        <w:rPr>
          <w:rFonts w:ascii="Arial" w:eastAsia="Calibri" w:hAnsi="Arial" w:cs="Arial"/>
          <w:color w:val="000000"/>
          <w:sz w:val="20"/>
          <w:lang w:val="pt-PT"/>
        </w:rPr>
        <w:t xml:space="preserve"> adequado as </w:t>
      </w:r>
      <w:proofErr w:type="spellStart"/>
      <w:r w:rsidRPr="00292532">
        <w:rPr>
          <w:rFonts w:ascii="Arial" w:eastAsia="Calibri" w:hAnsi="Arial" w:cs="Arial"/>
          <w:color w:val="000000"/>
          <w:sz w:val="20"/>
          <w:lang w:val="pt-PT"/>
        </w:rPr>
        <w:t>actividades</w:t>
      </w:r>
      <w:proofErr w:type="spellEnd"/>
      <w:r w:rsidRPr="00292532">
        <w:rPr>
          <w:rFonts w:ascii="Arial" w:eastAsia="Calibri" w:hAnsi="Arial" w:cs="Arial"/>
          <w:color w:val="000000"/>
          <w:sz w:val="20"/>
          <w:lang w:val="pt-PT"/>
        </w:rPr>
        <w:t xml:space="preserve"> específicas a desempenhar, que todas as providências para eliminar ou minimizar o risco associado á segurança operacional e comunitária foram tomadas em consideração, assegurar a </w:t>
      </w:r>
      <w:proofErr w:type="spellStart"/>
      <w:r w:rsidRPr="00292532">
        <w:rPr>
          <w:rFonts w:ascii="Arial" w:eastAsia="Calibri" w:hAnsi="Arial" w:cs="Arial"/>
          <w:color w:val="000000"/>
          <w:sz w:val="20"/>
          <w:lang w:val="pt-PT"/>
        </w:rPr>
        <w:t>rectificação</w:t>
      </w:r>
      <w:proofErr w:type="spellEnd"/>
      <w:r w:rsidRPr="00292532">
        <w:rPr>
          <w:rFonts w:ascii="Arial" w:eastAsia="Calibri" w:hAnsi="Arial" w:cs="Arial"/>
          <w:color w:val="000000"/>
          <w:sz w:val="20"/>
          <w:lang w:val="pt-PT"/>
        </w:rPr>
        <w:t xml:space="preserve"> de qualquer desvio em relação as normas </w:t>
      </w:r>
      <w:proofErr w:type="spellStart"/>
      <w:r w:rsidRPr="00292532">
        <w:rPr>
          <w:rFonts w:ascii="Arial" w:eastAsia="Calibri" w:hAnsi="Arial" w:cs="Arial"/>
          <w:color w:val="000000"/>
          <w:sz w:val="20"/>
          <w:lang w:val="pt-PT"/>
        </w:rPr>
        <w:t>exigidas.</w:t>
      </w:r>
      <w:r w:rsidR="00033BD3">
        <w:rPr>
          <w:rFonts w:ascii="Arial" w:eastAsia="Calibri" w:hAnsi="Arial" w:cs="Arial"/>
          <w:color w:val="000000"/>
          <w:sz w:val="20"/>
          <w:lang w:val="pt-PT"/>
        </w:rPr>
        <w:t>Estes</w:t>
      </w:r>
      <w:proofErr w:type="spellEnd"/>
      <w:r w:rsidR="00033BD3">
        <w:rPr>
          <w:rFonts w:ascii="Arial" w:eastAsia="Calibri" w:hAnsi="Arial" w:cs="Arial"/>
          <w:color w:val="000000"/>
          <w:sz w:val="20"/>
          <w:lang w:val="pt-PT"/>
        </w:rPr>
        <w:t xml:space="preserve"> especialistas devem estar presentes durante a construção a tempo integral.</w:t>
      </w:r>
    </w:p>
    <w:p w14:paraId="21D7B871" w14:textId="77777777" w:rsidR="00B31AE2" w:rsidRPr="00292532" w:rsidRDefault="00B31AE2" w:rsidP="00AE14AE">
      <w:pPr>
        <w:numPr>
          <w:ilvl w:val="0"/>
          <w:numId w:val="122"/>
        </w:numPr>
        <w:spacing w:before="0" w:after="0" w:line="276" w:lineRule="auto"/>
        <w:contextualSpacing/>
        <w:jc w:val="left"/>
        <w:rPr>
          <w:rFonts w:ascii="Arial" w:eastAsia="Calibri" w:hAnsi="Arial" w:cs="Arial"/>
          <w:color w:val="000000"/>
          <w:sz w:val="20"/>
          <w:szCs w:val="20"/>
          <w:lang w:val="pt-PT"/>
        </w:rPr>
      </w:pPr>
      <w:r w:rsidRPr="00292532">
        <w:rPr>
          <w:rFonts w:ascii="Arial" w:eastAsia="Calibri" w:hAnsi="Arial" w:cs="Arial"/>
          <w:color w:val="000000"/>
          <w:sz w:val="20"/>
          <w:szCs w:val="20"/>
          <w:u w:val="single"/>
          <w:lang w:val="pt-PT"/>
        </w:rPr>
        <w:t>Empresas beneficiárias, contratadas, subcontratadas:</w:t>
      </w:r>
      <w:r w:rsidRPr="00292532">
        <w:rPr>
          <w:rFonts w:ascii="Arial" w:eastAsia="Calibri" w:hAnsi="Arial" w:cs="Arial"/>
          <w:color w:val="000000"/>
          <w:sz w:val="20"/>
          <w:szCs w:val="20"/>
          <w:lang w:val="pt-PT"/>
        </w:rPr>
        <w:t xml:space="preserve"> cumprir com a legislação nacional, divulgar e garantir a implementação e o cumprimento do Plano, garantir que todos os trabalhadores no âmbito do </w:t>
      </w:r>
      <w:proofErr w:type="spellStart"/>
      <w:r w:rsidRPr="00292532">
        <w:rPr>
          <w:rFonts w:ascii="Arial" w:eastAsia="Calibri" w:hAnsi="Arial" w:cs="Arial"/>
          <w:color w:val="000000"/>
          <w:sz w:val="20"/>
          <w:szCs w:val="20"/>
          <w:lang w:val="pt-PT"/>
        </w:rPr>
        <w:t>projecto</w:t>
      </w:r>
      <w:proofErr w:type="spellEnd"/>
      <w:r w:rsidRPr="00292532">
        <w:rPr>
          <w:rFonts w:ascii="Arial" w:eastAsia="Calibri" w:hAnsi="Arial" w:cs="Arial"/>
          <w:color w:val="000000"/>
          <w:sz w:val="20"/>
          <w:szCs w:val="20"/>
          <w:lang w:val="pt-PT"/>
        </w:rPr>
        <w:t xml:space="preserve"> assinam o contracto e o código de conduta e assegurar o cumprimento dos requisitos gerais de saúde e segurança ocupacional e implementar as políticas e requisitos do </w:t>
      </w:r>
      <w:proofErr w:type="spellStart"/>
      <w:r w:rsidRPr="00292532">
        <w:rPr>
          <w:rFonts w:ascii="Arial" w:eastAsia="Calibri" w:hAnsi="Arial" w:cs="Arial"/>
          <w:color w:val="000000"/>
          <w:sz w:val="20"/>
          <w:szCs w:val="20"/>
          <w:lang w:val="pt-PT"/>
        </w:rPr>
        <w:t>projecto</w:t>
      </w:r>
      <w:proofErr w:type="spellEnd"/>
      <w:r w:rsidRPr="00292532">
        <w:rPr>
          <w:rFonts w:ascii="Arial" w:eastAsia="Calibri" w:hAnsi="Arial" w:cs="Arial"/>
          <w:color w:val="000000"/>
          <w:sz w:val="20"/>
          <w:szCs w:val="20"/>
          <w:lang w:val="pt-PT"/>
        </w:rPr>
        <w:t xml:space="preserve"> em todos os níveis. Devem incluir instrumentos de salvaguarda ambiental e social nas suas contratações, assegurar a funcionalidade do Mecanismo de Gestão de Reclamações (MGR), proceder ao </w:t>
      </w:r>
      <w:proofErr w:type="gramStart"/>
      <w:r w:rsidRPr="00292532">
        <w:rPr>
          <w:rFonts w:ascii="Arial" w:eastAsia="Calibri" w:hAnsi="Arial" w:cs="Arial"/>
          <w:color w:val="000000"/>
          <w:sz w:val="20"/>
          <w:szCs w:val="20"/>
          <w:lang w:val="pt-PT"/>
        </w:rPr>
        <w:t>registro</w:t>
      </w:r>
      <w:proofErr w:type="gramEnd"/>
      <w:r w:rsidRPr="00292532">
        <w:rPr>
          <w:rFonts w:ascii="Arial" w:eastAsia="Calibri" w:hAnsi="Arial" w:cs="Arial"/>
          <w:color w:val="000000"/>
          <w:sz w:val="20"/>
          <w:szCs w:val="20"/>
          <w:lang w:val="pt-PT"/>
        </w:rPr>
        <w:t xml:space="preserve"> de quaisquer incidentes/acidentes e garantir relatórios à UIP.</w:t>
      </w:r>
    </w:p>
    <w:p w14:paraId="6BCB86AA" w14:textId="77777777" w:rsidR="00B31AE2" w:rsidRPr="00292532" w:rsidRDefault="00B31AE2" w:rsidP="00AE14AE">
      <w:pPr>
        <w:numPr>
          <w:ilvl w:val="0"/>
          <w:numId w:val="122"/>
        </w:numPr>
        <w:spacing w:before="0" w:after="0" w:line="276" w:lineRule="auto"/>
        <w:contextualSpacing/>
        <w:jc w:val="left"/>
        <w:rPr>
          <w:rFonts w:ascii="Arial" w:eastAsia="Calibri" w:hAnsi="Arial" w:cs="Arial"/>
          <w:color w:val="000000"/>
          <w:sz w:val="20"/>
          <w:szCs w:val="20"/>
          <w:lang w:val="pt-PT"/>
        </w:rPr>
      </w:pPr>
      <w:r w:rsidRPr="00292532">
        <w:rPr>
          <w:rFonts w:ascii="Arial" w:eastAsia="Calibri" w:hAnsi="Arial" w:cs="Arial"/>
          <w:color w:val="000000"/>
          <w:sz w:val="20"/>
          <w:szCs w:val="20"/>
          <w:u w:val="single"/>
          <w:lang w:val="pt-PT"/>
        </w:rPr>
        <w:t>Trabalhador</w:t>
      </w:r>
      <w:r w:rsidRPr="00292532">
        <w:rPr>
          <w:rFonts w:ascii="Arial" w:eastAsia="Calibri" w:hAnsi="Arial" w:cs="Arial"/>
          <w:color w:val="000000"/>
          <w:sz w:val="20"/>
          <w:szCs w:val="20"/>
          <w:lang w:val="pt-PT"/>
        </w:rPr>
        <w:t xml:space="preserve">: responsável por cumprir com todas as cláusulas contratuais, do código de conduta e assegurar que as suas </w:t>
      </w:r>
      <w:proofErr w:type="spellStart"/>
      <w:r w:rsidRPr="00292532">
        <w:rPr>
          <w:rFonts w:ascii="Arial" w:eastAsia="Calibri" w:hAnsi="Arial" w:cs="Arial"/>
          <w:color w:val="000000"/>
          <w:sz w:val="20"/>
          <w:szCs w:val="20"/>
          <w:lang w:val="pt-PT"/>
        </w:rPr>
        <w:t>actividades</w:t>
      </w:r>
      <w:proofErr w:type="spellEnd"/>
      <w:r w:rsidRPr="00292532">
        <w:rPr>
          <w:rFonts w:ascii="Arial" w:eastAsia="Calibri" w:hAnsi="Arial" w:cs="Arial"/>
          <w:color w:val="000000"/>
          <w:sz w:val="20"/>
          <w:szCs w:val="20"/>
          <w:lang w:val="pt-PT"/>
        </w:rPr>
        <w:t xml:space="preserve"> não violem os requisitos estabelecidos no presente Plano, reporta violações ao contracto (pela empresa) e ao código de conduta (por outros indivíduos).</w:t>
      </w:r>
    </w:p>
    <w:p w14:paraId="79FA09C3" w14:textId="77777777" w:rsidR="00B31AE2" w:rsidRPr="00292532" w:rsidRDefault="00B31AE2" w:rsidP="00B31AE2">
      <w:pPr>
        <w:keepNext/>
        <w:spacing w:before="0" w:after="200" w:line="276" w:lineRule="auto"/>
        <w:rPr>
          <w:rFonts w:ascii="Arial" w:eastAsia="Calibri" w:hAnsi="Arial" w:cs="Arial"/>
          <w:sz w:val="20"/>
          <w:lang w:val="pt-PT"/>
        </w:rPr>
      </w:pPr>
    </w:p>
    <w:p w14:paraId="08556E29" w14:textId="06EEA237" w:rsidR="00B31AE2" w:rsidRPr="00292532" w:rsidRDefault="00B31AE2" w:rsidP="00AE14AE">
      <w:pPr>
        <w:keepNext/>
        <w:keepLines/>
        <w:numPr>
          <w:ilvl w:val="0"/>
          <w:numId w:val="121"/>
        </w:numPr>
        <w:spacing w:before="200" w:after="200" w:line="276" w:lineRule="auto"/>
        <w:ind w:left="426"/>
        <w:jc w:val="left"/>
        <w:outlineLvl w:val="1"/>
        <w:rPr>
          <w:rFonts w:ascii="Arial" w:eastAsia="Times New Roman" w:hAnsi="Arial" w:cs="Arial"/>
          <w:b/>
          <w:bCs/>
          <w:color w:val="4472C4"/>
          <w:sz w:val="26"/>
          <w:szCs w:val="26"/>
          <w:lang w:val="pt-PT"/>
        </w:rPr>
      </w:pPr>
      <w:bookmarkStart w:id="917" w:name="_Toc69283493"/>
      <w:bookmarkStart w:id="918" w:name="_Toc74921472"/>
      <w:bookmarkStart w:id="919" w:name="_Toc75438048"/>
      <w:bookmarkStart w:id="920" w:name="_Toc78435480"/>
      <w:bookmarkStart w:id="921" w:name="_Toc80380150"/>
      <w:r w:rsidRPr="00292532">
        <w:rPr>
          <w:rFonts w:ascii="Arial" w:eastAsia="Times New Roman" w:hAnsi="Arial" w:cs="Arial"/>
          <w:b/>
          <w:bCs/>
          <w:color w:val="4472C4"/>
          <w:sz w:val="26"/>
          <w:szCs w:val="26"/>
          <w:lang w:val="pt-PT"/>
        </w:rPr>
        <w:t>BREVE DESCRIÇÃO DO PROJECTO</w:t>
      </w:r>
      <w:bookmarkEnd w:id="917"/>
      <w:bookmarkEnd w:id="918"/>
      <w:bookmarkEnd w:id="919"/>
      <w:bookmarkEnd w:id="920"/>
      <w:bookmarkEnd w:id="921"/>
    </w:p>
    <w:p w14:paraId="506FD929" w14:textId="77777777" w:rsidR="00B31AE2" w:rsidRPr="00292532" w:rsidRDefault="00B31AE2" w:rsidP="00B31AE2">
      <w:pPr>
        <w:autoSpaceDE w:val="0"/>
        <w:autoSpaceDN w:val="0"/>
        <w:adjustRightInd w:val="0"/>
        <w:spacing w:before="0" w:after="200"/>
        <w:rPr>
          <w:rFonts w:ascii="Arial" w:eastAsia="Calibri" w:hAnsi="Arial" w:cs="Arial"/>
          <w:color w:val="000000"/>
          <w:sz w:val="20"/>
          <w:lang w:val="pt-PT"/>
        </w:rPr>
      </w:pPr>
      <w:bookmarkStart w:id="922" w:name="_Hlk68632360"/>
      <w:bookmarkStart w:id="923" w:name="_Hlk68631274"/>
      <w:r w:rsidRPr="00292532">
        <w:rPr>
          <w:rFonts w:ascii="Arial" w:eastAsia="Calibri" w:hAnsi="Arial" w:cs="Arial"/>
          <w:color w:val="000000"/>
          <w:sz w:val="20"/>
          <w:lang w:val="pt-PT"/>
        </w:rPr>
        <w:t xml:space="preserve">O </w:t>
      </w:r>
      <w:proofErr w:type="spellStart"/>
      <w:r w:rsidRPr="00292532">
        <w:rPr>
          <w:rFonts w:ascii="Arial" w:eastAsia="Calibri" w:hAnsi="Arial" w:cs="Arial"/>
          <w:color w:val="000000"/>
          <w:sz w:val="20"/>
          <w:lang w:val="pt-PT"/>
        </w:rPr>
        <w:t>Projecto</w:t>
      </w:r>
      <w:proofErr w:type="spellEnd"/>
      <w:r w:rsidRPr="00292532">
        <w:rPr>
          <w:rFonts w:ascii="Arial" w:eastAsia="Calibri" w:hAnsi="Arial" w:cs="Arial"/>
          <w:color w:val="000000"/>
          <w:sz w:val="20"/>
          <w:lang w:val="pt-PT"/>
        </w:rPr>
        <w:t xml:space="preserve"> será implementado pela </w:t>
      </w:r>
      <w:proofErr w:type="spellStart"/>
      <w:r w:rsidRPr="00292532">
        <w:rPr>
          <w:rFonts w:ascii="Arial" w:eastAsia="Calibri" w:hAnsi="Arial" w:cs="Arial"/>
          <w:color w:val="000000"/>
          <w:sz w:val="20"/>
          <w:lang w:val="pt-PT"/>
        </w:rPr>
        <w:t>Direcção</w:t>
      </w:r>
      <w:proofErr w:type="spellEnd"/>
      <w:r w:rsidRPr="00292532">
        <w:rPr>
          <w:rFonts w:ascii="Arial" w:eastAsia="Calibri" w:hAnsi="Arial" w:cs="Arial"/>
          <w:color w:val="000000"/>
          <w:sz w:val="20"/>
          <w:lang w:val="pt-PT"/>
        </w:rPr>
        <w:t xml:space="preserve"> Nacional de Abastecimento de Água e Saneamento (DNAAS),  Administração de Infraestruturas de Água e Saneamento, Instituto Público (AIAS-IP) e Autoridade Reguladora de Água (AURA), e contará com o envolvimento da </w:t>
      </w:r>
      <w:proofErr w:type="spellStart"/>
      <w:r w:rsidRPr="00292532">
        <w:rPr>
          <w:rFonts w:ascii="Arial" w:eastAsia="Calibri" w:hAnsi="Arial" w:cs="Arial"/>
          <w:color w:val="000000"/>
          <w:sz w:val="20"/>
          <w:lang w:val="pt-PT"/>
        </w:rPr>
        <w:t>Direcção</w:t>
      </w:r>
      <w:proofErr w:type="spellEnd"/>
      <w:r w:rsidRPr="00292532">
        <w:rPr>
          <w:rFonts w:ascii="Arial" w:eastAsia="Calibri" w:hAnsi="Arial" w:cs="Arial"/>
          <w:color w:val="000000"/>
          <w:sz w:val="20"/>
          <w:lang w:val="pt-PT"/>
        </w:rPr>
        <w:t xml:space="preserve"> Nacional de Gestão de Recursos Hídricos (DNGRH), com </w:t>
      </w:r>
      <w:proofErr w:type="spellStart"/>
      <w:r w:rsidRPr="00292532">
        <w:rPr>
          <w:rFonts w:ascii="Arial" w:eastAsia="Calibri" w:hAnsi="Arial" w:cs="Arial"/>
          <w:color w:val="000000"/>
          <w:sz w:val="20"/>
          <w:lang w:val="pt-PT"/>
        </w:rPr>
        <w:t>objectivo</w:t>
      </w:r>
      <w:proofErr w:type="spellEnd"/>
      <w:r w:rsidRPr="00292532">
        <w:rPr>
          <w:rFonts w:ascii="Arial" w:eastAsia="Calibri" w:hAnsi="Arial" w:cs="Arial"/>
          <w:color w:val="000000"/>
          <w:sz w:val="20"/>
          <w:lang w:val="pt-PT"/>
        </w:rPr>
        <w:t xml:space="preserve"> de melhorar a disponibilidade de água e aumentar o acesso à serviços de abastecimento de água e saneamento geridos de forma segura em zonas rurais e vilas </w:t>
      </w:r>
      <w:proofErr w:type="spellStart"/>
      <w:r w:rsidRPr="00292532">
        <w:rPr>
          <w:rFonts w:ascii="Arial" w:eastAsia="Calibri" w:hAnsi="Arial" w:cs="Arial"/>
          <w:color w:val="000000"/>
          <w:sz w:val="20"/>
          <w:lang w:val="pt-PT"/>
        </w:rPr>
        <w:t>seleccionadas</w:t>
      </w:r>
      <w:proofErr w:type="spellEnd"/>
      <w:r w:rsidRPr="00292532">
        <w:rPr>
          <w:rFonts w:ascii="Arial" w:eastAsia="Calibri" w:hAnsi="Arial" w:cs="Arial"/>
          <w:color w:val="000000"/>
          <w:sz w:val="20"/>
          <w:lang w:val="pt-PT"/>
        </w:rPr>
        <w:t xml:space="preserve"> nas províncias de Zambézia e Nampula.</w:t>
      </w:r>
    </w:p>
    <w:p w14:paraId="6DEAD18F" w14:textId="77777777" w:rsidR="00B31AE2" w:rsidRPr="00292532" w:rsidRDefault="00B31AE2" w:rsidP="00B31AE2">
      <w:pPr>
        <w:autoSpaceDE w:val="0"/>
        <w:autoSpaceDN w:val="0"/>
        <w:adjustRightInd w:val="0"/>
        <w:spacing w:before="0" w:after="0"/>
        <w:rPr>
          <w:rFonts w:ascii="Arial" w:eastAsia="Calibri" w:hAnsi="Arial" w:cs="Arial"/>
          <w:sz w:val="20"/>
          <w:szCs w:val="20"/>
          <w:u w:val="single"/>
          <w:lang w:val="pt-PT" w:eastAsia="en-GB"/>
        </w:rPr>
      </w:pPr>
      <w:r w:rsidRPr="00292532">
        <w:rPr>
          <w:rFonts w:ascii="Arial" w:eastAsia="Calibri" w:hAnsi="Arial" w:cs="Arial"/>
          <w:sz w:val="20"/>
          <w:szCs w:val="20"/>
          <w:lang w:val="pt-PT"/>
        </w:rPr>
        <w:t xml:space="preserve">O </w:t>
      </w:r>
      <w:proofErr w:type="spellStart"/>
      <w:r w:rsidRPr="00292532">
        <w:rPr>
          <w:rFonts w:ascii="Arial" w:eastAsia="Calibri" w:hAnsi="Arial" w:cs="Arial"/>
          <w:sz w:val="20"/>
          <w:szCs w:val="20"/>
          <w:lang w:val="pt-PT" w:eastAsia="en-GB"/>
        </w:rPr>
        <w:t>Projecto</w:t>
      </w:r>
      <w:proofErr w:type="spellEnd"/>
      <w:r w:rsidRPr="00292532">
        <w:rPr>
          <w:rFonts w:ascii="Arial" w:eastAsia="Calibri" w:hAnsi="Arial" w:cs="Arial"/>
          <w:sz w:val="20"/>
          <w:szCs w:val="20"/>
          <w:lang w:val="pt-PT" w:eastAsia="en-GB"/>
        </w:rPr>
        <w:t xml:space="preserve"> tem quatro (4) componentes que estão suficientemente descritos no </w:t>
      </w:r>
      <w:r w:rsidRPr="00292532">
        <w:rPr>
          <w:rFonts w:ascii="Arial" w:eastAsia="Calibri" w:hAnsi="Arial" w:cs="Arial"/>
          <w:color w:val="5B9BD5"/>
          <w:sz w:val="20"/>
          <w:szCs w:val="20"/>
          <w:lang w:val="pt-PT" w:eastAsia="en-GB"/>
        </w:rPr>
        <w:t xml:space="preserve">Quadro de Gestão Ambiental e Social do </w:t>
      </w:r>
      <w:proofErr w:type="spellStart"/>
      <w:r w:rsidRPr="00292532">
        <w:rPr>
          <w:rFonts w:ascii="Arial" w:eastAsia="Calibri" w:hAnsi="Arial" w:cs="Arial"/>
          <w:color w:val="5B9BD5"/>
          <w:sz w:val="20"/>
          <w:szCs w:val="20"/>
          <w:lang w:val="pt-PT" w:eastAsia="en-GB"/>
        </w:rPr>
        <w:t>Projecto</w:t>
      </w:r>
      <w:proofErr w:type="spellEnd"/>
      <w:r w:rsidRPr="00292532">
        <w:rPr>
          <w:rFonts w:ascii="Arial" w:eastAsia="Calibri" w:hAnsi="Arial" w:cs="Arial"/>
          <w:sz w:val="20"/>
          <w:szCs w:val="20"/>
          <w:lang w:val="pt-PT" w:eastAsia="en-GB"/>
        </w:rPr>
        <w:t xml:space="preserve">, sendo: i) fortalecimento dos serviços de abastecimento de água e saneamento nas vilas, </w:t>
      </w:r>
      <w:proofErr w:type="spellStart"/>
      <w:r w:rsidRPr="00292532">
        <w:rPr>
          <w:rFonts w:ascii="Arial" w:eastAsia="Calibri" w:hAnsi="Arial" w:cs="Arial"/>
          <w:sz w:val="20"/>
          <w:szCs w:val="20"/>
          <w:lang w:val="pt-PT" w:eastAsia="en-GB"/>
        </w:rPr>
        <w:t>ii</w:t>
      </w:r>
      <w:proofErr w:type="spellEnd"/>
      <w:r w:rsidRPr="00292532">
        <w:rPr>
          <w:rFonts w:ascii="Arial" w:eastAsia="Calibri" w:hAnsi="Arial" w:cs="Arial"/>
          <w:sz w:val="20"/>
          <w:szCs w:val="20"/>
          <w:lang w:val="pt-PT" w:eastAsia="en-GB"/>
        </w:rPr>
        <w:t xml:space="preserve">) fortalecimento dos serviços de abastecimento de água e saneamento nas zonas rurais, </w:t>
      </w:r>
      <w:proofErr w:type="spellStart"/>
      <w:r w:rsidRPr="00292532">
        <w:rPr>
          <w:rFonts w:ascii="Arial" w:eastAsia="Calibri" w:hAnsi="Arial" w:cs="Arial"/>
          <w:sz w:val="20"/>
          <w:szCs w:val="20"/>
          <w:lang w:val="pt-PT" w:eastAsia="en-GB"/>
        </w:rPr>
        <w:t>iii</w:t>
      </w:r>
      <w:proofErr w:type="spellEnd"/>
      <w:r w:rsidRPr="00292532">
        <w:rPr>
          <w:rFonts w:ascii="Arial" w:eastAsia="Calibri" w:hAnsi="Arial" w:cs="Arial"/>
          <w:sz w:val="20"/>
          <w:szCs w:val="20"/>
          <w:lang w:val="pt-PT" w:eastAsia="en-GB"/>
        </w:rPr>
        <w:t xml:space="preserve">) apoio institucional e à gestão do </w:t>
      </w:r>
      <w:proofErr w:type="spellStart"/>
      <w:r w:rsidRPr="00292532">
        <w:rPr>
          <w:rFonts w:ascii="Arial" w:eastAsia="Calibri" w:hAnsi="Arial" w:cs="Arial"/>
          <w:sz w:val="20"/>
          <w:szCs w:val="20"/>
          <w:lang w:val="pt-PT" w:eastAsia="en-GB"/>
        </w:rPr>
        <w:t>projecto</w:t>
      </w:r>
      <w:proofErr w:type="spellEnd"/>
      <w:r w:rsidRPr="00292532">
        <w:rPr>
          <w:rFonts w:ascii="Arial" w:eastAsia="Calibri" w:hAnsi="Arial" w:cs="Arial"/>
          <w:sz w:val="20"/>
          <w:szCs w:val="20"/>
          <w:lang w:val="pt-PT" w:eastAsia="en-GB"/>
        </w:rPr>
        <w:t xml:space="preserve">, </w:t>
      </w:r>
      <w:proofErr w:type="spellStart"/>
      <w:r w:rsidRPr="00292532">
        <w:rPr>
          <w:rFonts w:ascii="Arial" w:eastAsia="Calibri" w:hAnsi="Arial" w:cs="Arial"/>
          <w:sz w:val="20"/>
          <w:szCs w:val="20"/>
          <w:lang w:val="pt-PT" w:eastAsia="en-GB"/>
        </w:rPr>
        <w:t>iv</w:t>
      </w:r>
      <w:proofErr w:type="spellEnd"/>
      <w:r w:rsidRPr="00292532">
        <w:rPr>
          <w:rFonts w:ascii="Arial" w:eastAsia="Calibri" w:hAnsi="Arial" w:cs="Arial"/>
          <w:sz w:val="20"/>
          <w:szCs w:val="20"/>
          <w:lang w:val="pt-PT" w:eastAsia="en-GB"/>
        </w:rPr>
        <w:t>) Componente de Resposta a Emergências e Contingências (CERC).</w:t>
      </w:r>
    </w:p>
    <w:bookmarkEnd w:id="922"/>
    <w:bookmarkEnd w:id="923"/>
    <w:p w14:paraId="647648B8" w14:textId="77777777" w:rsidR="00B31AE2" w:rsidRPr="00292532" w:rsidRDefault="00B31AE2" w:rsidP="00B31AE2">
      <w:pPr>
        <w:autoSpaceDE w:val="0"/>
        <w:autoSpaceDN w:val="0"/>
        <w:adjustRightInd w:val="0"/>
        <w:spacing w:before="0" w:after="0"/>
        <w:rPr>
          <w:rFonts w:ascii="Arial" w:eastAsia="Calibri" w:hAnsi="Arial" w:cs="Arial"/>
          <w:sz w:val="20"/>
          <w:szCs w:val="20"/>
          <w:lang w:val="pt-PT" w:eastAsia="en-GB"/>
        </w:rPr>
      </w:pPr>
    </w:p>
    <w:p w14:paraId="28D098BB" w14:textId="3B37A362" w:rsidR="00B31AE2" w:rsidRPr="00292532" w:rsidRDefault="00B31AE2" w:rsidP="00AE14AE">
      <w:pPr>
        <w:keepNext/>
        <w:keepLines/>
        <w:numPr>
          <w:ilvl w:val="0"/>
          <w:numId w:val="121"/>
        </w:numPr>
        <w:spacing w:before="200" w:after="200" w:line="276" w:lineRule="auto"/>
        <w:ind w:left="426"/>
        <w:jc w:val="left"/>
        <w:outlineLvl w:val="1"/>
        <w:rPr>
          <w:rFonts w:ascii="Arial" w:eastAsia="Times New Roman" w:hAnsi="Arial" w:cs="Arial"/>
          <w:b/>
          <w:bCs/>
          <w:color w:val="4472C4"/>
          <w:sz w:val="26"/>
          <w:szCs w:val="26"/>
          <w:lang w:val="pt-PT"/>
        </w:rPr>
      </w:pPr>
      <w:bookmarkStart w:id="924" w:name="_Toc75438049"/>
      <w:bookmarkStart w:id="925" w:name="_Toc78435481"/>
      <w:bookmarkStart w:id="926" w:name="_Toc80380151"/>
      <w:bookmarkStart w:id="927" w:name="_Toc74921473"/>
      <w:r w:rsidRPr="00292532">
        <w:rPr>
          <w:rFonts w:ascii="Arial" w:eastAsia="Times New Roman" w:hAnsi="Arial" w:cs="Arial"/>
          <w:b/>
          <w:bCs/>
          <w:color w:val="4472C4"/>
          <w:sz w:val="26"/>
          <w:szCs w:val="26"/>
          <w:lang w:val="pt-PT"/>
        </w:rPr>
        <w:t>SÍNTESE DA LEGISLAÇÃO</w:t>
      </w:r>
      <w:bookmarkEnd w:id="924"/>
      <w:bookmarkEnd w:id="925"/>
      <w:bookmarkEnd w:id="926"/>
      <w:r w:rsidRPr="00292532">
        <w:rPr>
          <w:rFonts w:ascii="Arial" w:eastAsia="Times New Roman" w:hAnsi="Arial" w:cs="Arial"/>
          <w:b/>
          <w:bCs/>
          <w:color w:val="4472C4"/>
          <w:sz w:val="26"/>
          <w:szCs w:val="26"/>
          <w:lang w:val="pt-PT"/>
        </w:rPr>
        <w:t xml:space="preserve"> </w:t>
      </w:r>
      <w:bookmarkEnd w:id="927"/>
    </w:p>
    <w:p w14:paraId="65800843" w14:textId="77777777" w:rsidR="00B31AE2" w:rsidRPr="00292532" w:rsidRDefault="00B31AE2" w:rsidP="00B31AE2">
      <w:pPr>
        <w:spacing w:before="0" w:after="200"/>
        <w:rPr>
          <w:rFonts w:ascii="Arial" w:eastAsia="Calibri" w:hAnsi="Arial" w:cs="Arial"/>
          <w:sz w:val="20"/>
          <w:lang w:val="pt-PT"/>
        </w:rPr>
      </w:pPr>
      <w:r w:rsidRPr="00292532">
        <w:rPr>
          <w:rFonts w:ascii="Arial" w:eastAsia="Calibri" w:hAnsi="Arial" w:cs="Arial"/>
          <w:sz w:val="20"/>
          <w:lang w:val="pt-PT"/>
        </w:rPr>
        <w:t xml:space="preserve">A Legislação moçambicana estabelece as relações jurídicas de trabalho entre o empregador e o trabalhador (também designado por termos e condições) e, as medidas a </w:t>
      </w:r>
      <w:proofErr w:type="spellStart"/>
      <w:r w:rsidRPr="00292532">
        <w:rPr>
          <w:rFonts w:ascii="Arial" w:eastAsia="Calibri" w:hAnsi="Arial" w:cs="Arial"/>
          <w:sz w:val="20"/>
          <w:lang w:val="pt-PT"/>
        </w:rPr>
        <w:t>adoptar</w:t>
      </w:r>
      <w:proofErr w:type="spellEnd"/>
      <w:r w:rsidRPr="00292532">
        <w:rPr>
          <w:rFonts w:ascii="Arial" w:eastAsia="Calibri" w:hAnsi="Arial" w:cs="Arial"/>
          <w:sz w:val="20"/>
          <w:lang w:val="pt-PT"/>
        </w:rPr>
        <w:t xml:space="preserve"> sobre Saúde e Segurança Ocupacional. Na tabela abaixo é sintetizado o quadro legal moçambicano aplicável.</w:t>
      </w:r>
    </w:p>
    <w:tbl>
      <w:tblPr>
        <w:tblStyle w:val="1"/>
        <w:tblW w:w="9409" w:type="dxa"/>
        <w:tblLook w:val="04A0" w:firstRow="1" w:lastRow="0" w:firstColumn="1" w:lastColumn="0" w:noHBand="0" w:noVBand="1"/>
      </w:tblPr>
      <w:tblGrid>
        <w:gridCol w:w="2410"/>
        <w:gridCol w:w="2977"/>
        <w:gridCol w:w="4022"/>
      </w:tblGrid>
      <w:tr w:rsidR="00B31AE2" w:rsidRPr="00292532" w14:paraId="172FFBB5" w14:textId="77777777" w:rsidTr="00B31AE2">
        <w:trPr>
          <w:tblHeader/>
        </w:trPr>
        <w:tc>
          <w:tcPr>
            <w:tcW w:w="2410" w:type="dxa"/>
            <w:tcBorders>
              <w:left w:val="nil"/>
              <w:right w:val="nil"/>
            </w:tcBorders>
            <w:vAlign w:val="center"/>
          </w:tcPr>
          <w:p w14:paraId="7BC9D35E" w14:textId="77777777" w:rsidR="00B31AE2" w:rsidRPr="00292532" w:rsidRDefault="00B31AE2" w:rsidP="00B31AE2">
            <w:pPr>
              <w:jc w:val="center"/>
              <w:rPr>
                <w:rFonts w:ascii="Arial" w:eastAsia="Calibri" w:hAnsi="Arial" w:cs="Arial"/>
                <w:sz w:val="20"/>
                <w:lang w:val="pt-PT"/>
              </w:rPr>
            </w:pPr>
            <w:r w:rsidRPr="00292532">
              <w:rPr>
                <w:rFonts w:ascii="Arial" w:eastAsia="Calibri" w:hAnsi="Arial" w:cs="Arial"/>
                <w:b/>
                <w:sz w:val="20"/>
                <w:szCs w:val="20"/>
                <w:lang w:val="pt-PT"/>
              </w:rPr>
              <w:t>Legislação</w:t>
            </w:r>
          </w:p>
        </w:tc>
        <w:tc>
          <w:tcPr>
            <w:tcW w:w="2977" w:type="dxa"/>
            <w:tcBorders>
              <w:left w:val="nil"/>
              <w:right w:val="nil"/>
            </w:tcBorders>
          </w:tcPr>
          <w:p w14:paraId="08BEC5F9" w14:textId="77777777" w:rsidR="00B31AE2" w:rsidRPr="00292532" w:rsidRDefault="00B31AE2" w:rsidP="00B31AE2">
            <w:pPr>
              <w:jc w:val="center"/>
              <w:rPr>
                <w:rFonts w:ascii="Arial" w:eastAsia="Calibri" w:hAnsi="Arial" w:cs="Arial"/>
                <w:sz w:val="20"/>
                <w:lang w:val="pt-PT"/>
              </w:rPr>
            </w:pPr>
            <w:r w:rsidRPr="00292532">
              <w:rPr>
                <w:rFonts w:ascii="Arial" w:eastAsia="Calibri" w:hAnsi="Arial" w:cs="Arial"/>
                <w:b/>
                <w:sz w:val="20"/>
                <w:szCs w:val="20"/>
                <w:lang w:val="pt-PT"/>
              </w:rPr>
              <w:t>Descrição</w:t>
            </w:r>
          </w:p>
        </w:tc>
        <w:tc>
          <w:tcPr>
            <w:tcW w:w="4022" w:type="dxa"/>
            <w:tcBorders>
              <w:left w:val="nil"/>
              <w:right w:val="nil"/>
            </w:tcBorders>
          </w:tcPr>
          <w:p w14:paraId="19BD88A6" w14:textId="77777777" w:rsidR="00B31AE2" w:rsidRPr="00292532" w:rsidRDefault="00B31AE2" w:rsidP="00B31AE2">
            <w:pPr>
              <w:jc w:val="center"/>
              <w:rPr>
                <w:rFonts w:ascii="Arial" w:eastAsia="Calibri" w:hAnsi="Arial" w:cs="Arial"/>
                <w:sz w:val="20"/>
                <w:lang w:val="pt-PT"/>
              </w:rPr>
            </w:pPr>
            <w:r w:rsidRPr="00292532">
              <w:rPr>
                <w:rFonts w:ascii="Arial" w:eastAsia="Calibri" w:hAnsi="Arial" w:cs="Arial"/>
                <w:b/>
                <w:sz w:val="20"/>
                <w:szCs w:val="20"/>
                <w:lang w:val="pt-PT"/>
              </w:rPr>
              <w:t>Obrigação</w:t>
            </w:r>
          </w:p>
        </w:tc>
      </w:tr>
      <w:tr w:rsidR="00B31AE2" w:rsidRPr="004E2EAC" w14:paraId="4B557B04" w14:textId="77777777" w:rsidTr="00B31AE2">
        <w:tc>
          <w:tcPr>
            <w:tcW w:w="9404" w:type="dxa"/>
            <w:gridSpan w:val="3"/>
            <w:tcBorders>
              <w:left w:val="nil"/>
              <w:right w:val="nil"/>
            </w:tcBorders>
            <w:vAlign w:val="center"/>
          </w:tcPr>
          <w:p w14:paraId="26D81976" w14:textId="77777777" w:rsidR="00B31AE2" w:rsidRPr="00292532" w:rsidRDefault="00B31AE2" w:rsidP="00B31AE2">
            <w:pPr>
              <w:jc w:val="center"/>
              <w:rPr>
                <w:rFonts w:ascii="Arial" w:eastAsia="Calibri" w:hAnsi="Arial" w:cs="Arial"/>
                <w:sz w:val="20"/>
                <w:lang w:val="pt-PT"/>
              </w:rPr>
            </w:pPr>
            <w:r w:rsidRPr="00292532">
              <w:rPr>
                <w:rFonts w:ascii="Arial" w:eastAsia="Calibri" w:hAnsi="Arial" w:cs="Arial"/>
                <w:b/>
                <w:bCs/>
                <w:color w:val="4472C4"/>
                <w:sz w:val="20"/>
                <w:szCs w:val="20"/>
                <w:lang w:val="pt-PT"/>
              </w:rPr>
              <w:t>TERMOS E CONDIÇÕES DE TRABALHO</w:t>
            </w:r>
          </w:p>
        </w:tc>
      </w:tr>
      <w:tr w:rsidR="00B31AE2" w:rsidRPr="004E2EAC" w14:paraId="595FBC39" w14:textId="77777777" w:rsidTr="00B31AE2">
        <w:tc>
          <w:tcPr>
            <w:tcW w:w="2410" w:type="dxa"/>
            <w:tcBorders>
              <w:left w:val="nil"/>
              <w:right w:val="nil"/>
            </w:tcBorders>
            <w:vAlign w:val="center"/>
          </w:tcPr>
          <w:p w14:paraId="295D164E" w14:textId="77777777" w:rsidR="00B31AE2" w:rsidRPr="00292532" w:rsidRDefault="00B31AE2" w:rsidP="00B31AE2">
            <w:pPr>
              <w:rPr>
                <w:rFonts w:ascii="Arial" w:eastAsia="Calibri" w:hAnsi="Arial" w:cs="Arial"/>
                <w:sz w:val="20"/>
                <w:szCs w:val="20"/>
                <w:lang w:val="pt-PT"/>
              </w:rPr>
            </w:pPr>
            <w:r w:rsidRPr="00292532">
              <w:rPr>
                <w:rFonts w:ascii="Arial" w:eastAsia="Calibri" w:hAnsi="Arial" w:cs="Arial"/>
                <w:sz w:val="20"/>
                <w:szCs w:val="20"/>
                <w:lang w:val="pt-PT"/>
              </w:rPr>
              <w:t>Lei do Trabalho</w:t>
            </w:r>
          </w:p>
          <w:p w14:paraId="732D7D9B" w14:textId="77777777" w:rsidR="00B31AE2" w:rsidRPr="00292532" w:rsidRDefault="00B31AE2" w:rsidP="00B31AE2">
            <w:pPr>
              <w:rPr>
                <w:rFonts w:ascii="Arial" w:eastAsia="Calibri" w:hAnsi="Arial" w:cs="Arial"/>
                <w:sz w:val="20"/>
                <w:lang w:val="pt-PT"/>
              </w:rPr>
            </w:pPr>
            <w:r w:rsidRPr="00292532">
              <w:rPr>
                <w:rFonts w:ascii="Arial" w:eastAsia="Calibri" w:hAnsi="Arial" w:cs="Arial"/>
                <w:sz w:val="20"/>
                <w:szCs w:val="20"/>
                <w:lang w:val="pt-PT"/>
              </w:rPr>
              <w:t>Lei nº 23/2007</w:t>
            </w:r>
          </w:p>
        </w:tc>
        <w:tc>
          <w:tcPr>
            <w:tcW w:w="2977" w:type="dxa"/>
            <w:tcBorders>
              <w:left w:val="nil"/>
              <w:right w:val="nil"/>
            </w:tcBorders>
            <w:vAlign w:val="center"/>
          </w:tcPr>
          <w:p w14:paraId="3338AA41" w14:textId="77777777" w:rsidR="00B31AE2" w:rsidRPr="00292532" w:rsidRDefault="00B31AE2" w:rsidP="00B31AE2">
            <w:pPr>
              <w:rPr>
                <w:rFonts w:ascii="Arial" w:eastAsia="Calibri" w:hAnsi="Arial" w:cs="Arial"/>
                <w:sz w:val="20"/>
                <w:lang w:val="pt-PT"/>
              </w:rPr>
            </w:pPr>
            <w:r w:rsidRPr="00292532">
              <w:rPr>
                <w:rFonts w:ascii="Arial" w:eastAsia="Calibri" w:hAnsi="Arial" w:cs="Arial"/>
                <w:sz w:val="20"/>
                <w:szCs w:val="20"/>
                <w:lang w:val="pt-PT"/>
              </w:rPr>
              <w:t xml:space="preserve">Esta lei aplica-se às relações jurídicas de trabalho subordinado estabelecidas entre empregadores e trabalhadores nacionais e </w:t>
            </w:r>
            <w:r w:rsidRPr="00292532">
              <w:rPr>
                <w:rFonts w:ascii="Arial" w:eastAsia="Calibri" w:hAnsi="Arial" w:cs="Arial"/>
                <w:sz w:val="20"/>
                <w:szCs w:val="20"/>
                <w:lang w:val="pt-PT"/>
              </w:rPr>
              <w:lastRenderedPageBreak/>
              <w:t xml:space="preserve">estrangeiros, de todas as </w:t>
            </w:r>
            <w:proofErr w:type="spellStart"/>
            <w:r w:rsidRPr="00292532">
              <w:rPr>
                <w:rFonts w:ascii="Arial" w:eastAsia="Calibri" w:hAnsi="Arial" w:cs="Arial"/>
                <w:sz w:val="20"/>
                <w:szCs w:val="20"/>
                <w:lang w:val="pt-PT"/>
              </w:rPr>
              <w:t>actividades</w:t>
            </w:r>
            <w:proofErr w:type="spellEnd"/>
            <w:r w:rsidRPr="00292532">
              <w:rPr>
                <w:rFonts w:ascii="Arial" w:eastAsia="Calibri" w:hAnsi="Arial" w:cs="Arial"/>
                <w:sz w:val="20"/>
                <w:szCs w:val="20"/>
                <w:lang w:val="pt-PT"/>
              </w:rPr>
              <w:t xml:space="preserve"> no país. </w:t>
            </w:r>
          </w:p>
        </w:tc>
        <w:tc>
          <w:tcPr>
            <w:tcW w:w="4022" w:type="dxa"/>
            <w:tcBorders>
              <w:left w:val="nil"/>
              <w:right w:val="nil"/>
            </w:tcBorders>
          </w:tcPr>
          <w:p w14:paraId="1FE85EB3" w14:textId="77777777" w:rsidR="00B31AE2" w:rsidRPr="00292532" w:rsidRDefault="00B31AE2" w:rsidP="00AE14AE">
            <w:pPr>
              <w:numPr>
                <w:ilvl w:val="0"/>
                <w:numId w:val="124"/>
              </w:numPr>
              <w:spacing w:line="276" w:lineRule="auto"/>
              <w:ind w:left="173" w:hanging="173"/>
              <w:contextualSpacing/>
              <w:rPr>
                <w:rFonts w:ascii="Arial" w:eastAsia="Calibri" w:hAnsi="Arial" w:cs="Arial"/>
                <w:sz w:val="20"/>
                <w:szCs w:val="20"/>
                <w:lang w:val="pt-PT"/>
              </w:rPr>
            </w:pPr>
            <w:r w:rsidRPr="00292532">
              <w:rPr>
                <w:rFonts w:ascii="Arial" w:eastAsia="Calibri" w:hAnsi="Arial" w:cs="Arial"/>
                <w:sz w:val="20"/>
                <w:szCs w:val="20"/>
                <w:lang w:val="pt-PT"/>
              </w:rPr>
              <w:lastRenderedPageBreak/>
              <w:t xml:space="preserve">O empregador e o trabalhador devem respeitar e fazer respeitar as disposições legais, os instrumentos de regulamentação </w:t>
            </w:r>
            <w:proofErr w:type="spellStart"/>
            <w:r w:rsidRPr="00292532">
              <w:rPr>
                <w:rFonts w:ascii="Arial" w:eastAsia="Calibri" w:hAnsi="Arial" w:cs="Arial"/>
                <w:sz w:val="20"/>
                <w:szCs w:val="20"/>
                <w:lang w:val="pt-PT"/>
              </w:rPr>
              <w:t>colectiva</w:t>
            </w:r>
            <w:proofErr w:type="spellEnd"/>
            <w:r w:rsidRPr="00292532">
              <w:rPr>
                <w:rFonts w:ascii="Arial" w:eastAsia="Calibri" w:hAnsi="Arial" w:cs="Arial"/>
                <w:sz w:val="20"/>
                <w:szCs w:val="20"/>
                <w:lang w:val="pt-PT"/>
              </w:rPr>
              <w:t xml:space="preserve"> de trabalho, os códigos de conduta e colaborar para </w:t>
            </w:r>
            <w:r w:rsidRPr="00292532">
              <w:rPr>
                <w:rFonts w:ascii="Arial" w:eastAsia="Calibri" w:hAnsi="Arial" w:cs="Arial"/>
                <w:sz w:val="20"/>
                <w:szCs w:val="20"/>
                <w:lang w:val="pt-PT"/>
              </w:rPr>
              <w:lastRenderedPageBreak/>
              <w:t>a obtenção de elevados níveis de produtividade da empresa.</w:t>
            </w:r>
          </w:p>
          <w:p w14:paraId="3085BFC3" w14:textId="77777777" w:rsidR="00B31AE2" w:rsidRPr="00292532" w:rsidRDefault="00B31AE2" w:rsidP="00AE14AE">
            <w:pPr>
              <w:numPr>
                <w:ilvl w:val="0"/>
                <w:numId w:val="124"/>
              </w:numPr>
              <w:spacing w:line="276" w:lineRule="auto"/>
              <w:ind w:left="173" w:hanging="173"/>
              <w:contextualSpacing/>
              <w:rPr>
                <w:rFonts w:ascii="Arial" w:eastAsia="Calibri" w:hAnsi="Arial" w:cs="Arial"/>
                <w:sz w:val="20"/>
                <w:szCs w:val="20"/>
                <w:lang w:val="pt-PT"/>
              </w:rPr>
            </w:pPr>
            <w:r w:rsidRPr="00292532">
              <w:rPr>
                <w:rFonts w:ascii="Arial" w:eastAsia="Calibri" w:hAnsi="Arial" w:cs="Arial"/>
                <w:sz w:val="20"/>
                <w:szCs w:val="20"/>
                <w:lang w:val="pt-PT"/>
              </w:rPr>
              <w:t>O trabalhador deve prestar o trabalho com zelo e diligência</w:t>
            </w:r>
          </w:p>
          <w:p w14:paraId="161A614D" w14:textId="77777777" w:rsidR="00B31AE2" w:rsidRPr="00292532" w:rsidRDefault="00B31AE2" w:rsidP="00AE14AE">
            <w:pPr>
              <w:numPr>
                <w:ilvl w:val="0"/>
                <w:numId w:val="124"/>
              </w:numPr>
              <w:spacing w:line="276" w:lineRule="auto"/>
              <w:ind w:left="173" w:hanging="173"/>
              <w:contextualSpacing/>
              <w:rPr>
                <w:rFonts w:ascii="Arial" w:eastAsia="Calibri" w:hAnsi="Arial" w:cs="Arial"/>
                <w:sz w:val="20"/>
                <w:szCs w:val="20"/>
                <w:lang w:val="pt-PT"/>
              </w:rPr>
            </w:pPr>
            <w:r w:rsidRPr="00292532">
              <w:rPr>
                <w:rFonts w:ascii="Arial" w:eastAsia="Calibri" w:hAnsi="Arial" w:cs="Arial"/>
                <w:sz w:val="20"/>
                <w:szCs w:val="20"/>
                <w:lang w:val="pt-PT"/>
              </w:rPr>
              <w:t>O trabalhador deve comparecer ao serviço com pontualidade e assiduidade</w:t>
            </w:r>
          </w:p>
          <w:p w14:paraId="0D138910" w14:textId="77777777" w:rsidR="00B31AE2" w:rsidRPr="00292532" w:rsidRDefault="00B31AE2" w:rsidP="00AE14AE">
            <w:pPr>
              <w:numPr>
                <w:ilvl w:val="0"/>
                <w:numId w:val="124"/>
              </w:numPr>
              <w:spacing w:line="276" w:lineRule="auto"/>
              <w:ind w:left="173" w:hanging="173"/>
              <w:contextualSpacing/>
              <w:rPr>
                <w:rFonts w:ascii="Arial" w:eastAsia="Calibri" w:hAnsi="Arial" w:cs="Arial"/>
                <w:sz w:val="20"/>
                <w:szCs w:val="20"/>
                <w:lang w:val="pt-PT"/>
              </w:rPr>
            </w:pPr>
            <w:r w:rsidRPr="00292532">
              <w:rPr>
                <w:rFonts w:ascii="Arial" w:eastAsia="Calibri" w:hAnsi="Arial" w:cs="Arial"/>
                <w:sz w:val="20"/>
                <w:szCs w:val="20"/>
                <w:lang w:val="pt-PT"/>
              </w:rPr>
              <w:t>O trabalhador deve obedecer ordens legais a instrução do empregador</w:t>
            </w:r>
          </w:p>
          <w:p w14:paraId="417DE63B" w14:textId="77777777" w:rsidR="00B31AE2" w:rsidRPr="00292532" w:rsidRDefault="00B31AE2" w:rsidP="00AE14AE">
            <w:pPr>
              <w:numPr>
                <w:ilvl w:val="0"/>
                <w:numId w:val="124"/>
              </w:numPr>
              <w:spacing w:line="276" w:lineRule="auto"/>
              <w:ind w:left="173" w:hanging="173"/>
              <w:contextualSpacing/>
              <w:rPr>
                <w:rFonts w:ascii="Arial" w:eastAsia="Calibri" w:hAnsi="Arial" w:cs="Arial"/>
                <w:sz w:val="20"/>
                <w:szCs w:val="20"/>
                <w:lang w:val="pt-PT"/>
              </w:rPr>
            </w:pPr>
            <w:r w:rsidRPr="00292532">
              <w:rPr>
                <w:rFonts w:ascii="Arial" w:eastAsia="Calibri" w:hAnsi="Arial" w:cs="Arial"/>
                <w:sz w:val="20"/>
                <w:szCs w:val="20"/>
                <w:lang w:val="pt-PT"/>
              </w:rPr>
              <w:t xml:space="preserve">O trabalhador deve utilizar </w:t>
            </w:r>
            <w:proofErr w:type="spellStart"/>
            <w:r w:rsidRPr="00292532">
              <w:rPr>
                <w:rFonts w:ascii="Arial" w:eastAsia="Calibri" w:hAnsi="Arial" w:cs="Arial"/>
                <w:sz w:val="20"/>
                <w:szCs w:val="20"/>
                <w:lang w:val="pt-PT"/>
              </w:rPr>
              <w:t>correctamente</w:t>
            </w:r>
            <w:proofErr w:type="spellEnd"/>
            <w:r w:rsidRPr="00292532">
              <w:rPr>
                <w:rFonts w:ascii="Arial" w:eastAsia="Calibri" w:hAnsi="Arial" w:cs="Arial"/>
                <w:sz w:val="20"/>
                <w:szCs w:val="20"/>
                <w:lang w:val="pt-PT"/>
              </w:rPr>
              <w:t xml:space="preserve"> e os bens e equipamentos de trabalho</w:t>
            </w:r>
          </w:p>
          <w:p w14:paraId="15F640D9" w14:textId="77777777" w:rsidR="00B31AE2" w:rsidRPr="00292532" w:rsidRDefault="00B31AE2" w:rsidP="00AE14AE">
            <w:pPr>
              <w:numPr>
                <w:ilvl w:val="0"/>
                <w:numId w:val="124"/>
              </w:numPr>
              <w:spacing w:line="276" w:lineRule="auto"/>
              <w:ind w:left="173" w:hanging="173"/>
              <w:contextualSpacing/>
              <w:rPr>
                <w:rFonts w:ascii="Arial" w:eastAsia="Calibri" w:hAnsi="Arial" w:cs="Arial"/>
                <w:sz w:val="20"/>
                <w:szCs w:val="20"/>
                <w:lang w:val="pt-PT"/>
              </w:rPr>
            </w:pPr>
            <w:r w:rsidRPr="00292532">
              <w:rPr>
                <w:rFonts w:ascii="Arial" w:eastAsia="Calibri" w:hAnsi="Arial" w:cs="Arial"/>
                <w:sz w:val="20"/>
                <w:szCs w:val="20"/>
                <w:lang w:val="pt-PT"/>
              </w:rPr>
              <w:t>O empregador deve respeitar os direitos e garantias do trabalhador.</w:t>
            </w:r>
          </w:p>
          <w:p w14:paraId="23228F63" w14:textId="77777777" w:rsidR="00B31AE2" w:rsidRPr="00292532" w:rsidRDefault="00B31AE2" w:rsidP="00AE14AE">
            <w:pPr>
              <w:numPr>
                <w:ilvl w:val="0"/>
                <w:numId w:val="124"/>
              </w:numPr>
              <w:spacing w:line="276" w:lineRule="auto"/>
              <w:ind w:left="173" w:hanging="173"/>
              <w:contextualSpacing/>
              <w:rPr>
                <w:rFonts w:ascii="Arial" w:eastAsia="Calibri" w:hAnsi="Arial" w:cs="Arial"/>
                <w:sz w:val="20"/>
                <w:szCs w:val="20"/>
                <w:lang w:val="pt-PT"/>
              </w:rPr>
            </w:pPr>
            <w:r w:rsidRPr="00292532">
              <w:rPr>
                <w:rFonts w:ascii="Arial" w:eastAsia="Calibri" w:hAnsi="Arial" w:cs="Arial"/>
                <w:sz w:val="20"/>
                <w:szCs w:val="20"/>
                <w:lang w:val="pt-PT"/>
              </w:rPr>
              <w:t>O empregador deve pagar uma remuneração justa em função da qualidade e quantidade do trabalho prestado</w:t>
            </w:r>
          </w:p>
          <w:p w14:paraId="7FE39889" w14:textId="77777777" w:rsidR="00B31AE2" w:rsidRPr="00292532" w:rsidRDefault="00B31AE2" w:rsidP="00AE14AE">
            <w:pPr>
              <w:numPr>
                <w:ilvl w:val="0"/>
                <w:numId w:val="124"/>
              </w:numPr>
              <w:spacing w:line="276" w:lineRule="auto"/>
              <w:ind w:left="173" w:hanging="173"/>
              <w:contextualSpacing/>
              <w:rPr>
                <w:rFonts w:ascii="Arial" w:eastAsia="Calibri" w:hAnsi="Arial" w:cs="Arial"/>
                <w:sz w:val="20"/>
                <w:szCs w:val="20"/>
                <w:lang w:val="pt-PT"/>
              </w:rPr>
            </w:pPr>
            <w:r w:rsidRPr="00292532">
              <w:rPr>
                <w:rFonts w:ascii="Arial" w:eastAsia="Calibri" w:hAnsi="Arial" w:cs="Arial"/>
                <w:sz w:val="20"/>
                <w:szCs w:val="20"/>
                <w:lang w:val="pt-PT"/>
              </w:rPr>
              <w:t xml:space="preserve">O empregador deve permitir ao trabalhador o exercício de </w:t>
            </w:r>
            <w:proofErr w:type="spellStart"/>
            <w:r w:rsidRPr="00292532">
              <w:rPr>
                <w:rFonts w:ascii="Arial" w:eastAsia="Calibri" w:hAnsi="Arial" w:cs="Arial"/>
                <w:sz w:val="20"/>
                <w:szCs w:val="20"/>
                <w:lang w:val="pt-PT"/>
              </w:rPr>
              <w:t>actividade</w:t>
            </w:r>
            <w:proofErr w:type="spellEnd"/>
            <w:r w:rsidRPr="00292532">
              <w:rPr>
                <w:rFonts w:ascii="Arial" w:eastAsia="Calibri" w:hAnsi="Arial" w:cs="Arial"/>
                <w:sz w:val="20"/>
                <w:szCs w:val="20"/>
                <w:lang w:val="pt-PT"/>
              </w:rPr>
              <w:t xml:space="preserve"> sindical, não o prejudicando pelo exercício de cargos sindicais.</w:t>
            </w:r>
          </w:p>
        </w:tc>
      </w:tr>
      <w:tr w:rsidR="00B31AE2" w:rsidRPr="004E2EAC" w14:paraId="02E15093" w14:textId="77777777" w:rsidTr="00B31AE2">
        <w:tc>
          <w:tcPr>
            <w:tcW w:w="2410" w:type="dxa"/>
            <w:tcBorders>
              <w:left w:val="nil"/>
              <w:right w:val="nil"/>
            </w:tcBorders>
            <w:vAlign w:val="center"/>
          </w:tcPr>
          <w:p w14:paraId="48C4CBAB" w14:textId="77777777" w:rsidR="00B31AE2" w:rsidRPr="00292532" w:rsidRDefault="00B31AE2" w:rsidP="00B31AE2">
            <w:pPr>
              <w:rPr>
                <w:rFonts w:ascii="Arial" w:eastAsia="Calibri" w:hAnsi="Arial" w:cs="Arial"/>
                <w:sz w:val="20"/>
                <w:szCs w:val="20"/>
                <w:lang w:val="pt-PT"/>
              </w:rPr>
            </w:pPr>
            <w:r w:rsidRPr="00292532">
              <w:rPr>
                <w:rFonts w:ascii="Arial" w:eastAsia="Calibri" w:hAnsi="Arial" w:cs="Arial"/>
                <w:sz w:val="20"/>
                <w:szCs w:val="20"/>
                <w:lang w:val="pt-PT"/>
              </w:rPr>
              <w:lastRenderedPageBreak/>
              <w:t xml:space="preserve">Regulamento sobre </w:t>
            </w:r>
            <w:proofErr w:type="spellStart"/>
            <w:r w:rsidRPr="00292532">
              <w:rPr>
                <w:rFonts w:ascii="Arial" w:eastAsia="Calibri" w:hAnsi="Arial" w:cs="Arial"/>
                <w:sz w:val="20"/>
                <w:szCs w:val="20"/>
                <w:lang w:val="pt-PT"/>
              </w:rPr>
              <w:t>Inspecção</w:t>
            </w:r>
            <w:proofErr w:type="spellEnd"/>
            <w:r w:rsidRPr="00292532">
              <w:rPr>
                <w:rFonts w:ascii="Arial" w:eastAsia="Calibri" w:hAnsi="Arial" w:cs="Arial"/>
                <w:sz w:val="20"/>
                <w:szCs w:val="20"/>
                <w:lang w:val="pt-PT"/>
              </w:rPr>
              <w:t xml:space="preserve"> Geral do Trabalho</w:t>
            </w:r>
          </w:p>
          <w:p w14:paraId="40C64DB7" w14:textId="77777777" w:rsidR="00B31AE2" w:rsidRPr="00292532" w:rsidRDefault="00B31AE2" w:rsidP="00B31AE2">
            <w:pPr>
              <w:rPr>
                <w:rFonts w:ascii="Arial" w:eastAsia="Calibri" w:hAnsi="Arial" w:cs="Arial"/>
                <w:sz w:val="20"/>
                <w:lang w:val="pt-PT"/>
              </w:rPr>
            </w:pPr>
            <w:r w:rsidRPr="00292532">
              <w:rPr>
                <w:rFonts w:ascii="Arial" w:eastAsia="Calibri" w:hAnsi="Arial" w:cs="Arial"/>
                <w:sz w:val="20"/>
                <w:szCs w:val="20"/>
                <w:lang w:val="pt-PT"/>
              </w:rPr>
              <w:t>Decreto nº 45/2009</w:t>
            </w:r>
          </w:p>
        </w:tc>
        <w:tc>
          <w:tcPr>
            <w:tcW w:w="2977" w:type="dxa"/>
            <w:tcBorders>
              <w:left w:val="nil"/>
              <w:right w:val="nil"/>
            </w:tcBorders>
            <w:vAlign w:val="center"/>
          </w:tcPr>
          <w:p w14:paraId="12A04338" w14:textId="77777777" w:rsidR="00B31AE2" w:rsidRPr="00292532" w:rsidRDefault="00B31AE2" w:rsidP="00B31AE2">
            <w:pPr>
              <w:rPr>
                <w:rFonts w:ascii="Arial" w:eastAsia="Calibri" w:hAnsi="Arial" w:cs="Arial"/>
                <w:sz w:val="20"/>
                <w:lang w:val="pt-PT"/>
              </w:rPr>
            </w:pPr>
            <w:r w:rsidRPr="00292532">
              <w:rPr>
                <w:rFonts w:ascii="Arial" w:eastAsia="Calibri" w:hAnsi="Arial" w:cs="Arial"/>
                <w:sz w:val="20"/>
                <w:szCs w:val="20"/>
                <w:lang w:val="pt-PT"/>
              </w:rPr>
              <w:t xml:space="preserve">O regulamento estabelece as regras relativas às </w:t>
            </w:r>
            <w:proofErr w:type="spellStart"/>
            <w:r w:rsidRPr="00292532">
              <w:rPr>
                <w:rFonts w:ascii="Arial" w:eastAsia="Calibri" w:hAnsi="Arial" w:cs="Arial"/>
                <w:sz w:val="20"/>
                <w:szCs w:val="20"/>
                <w:lang w:val="pt-PT"/>
              </w:rPr>
              <w:t>actividades</w:t>
            </w:r>
            <w:proofErr w:type="spellEnd"/>
            <w:r w:rsidRPr="00292532">
              <w:rPr>
                <w:rFonts w:ascii="Arial" w:eastAsia="Calibri" w:hAnsi="Arial" w:cs="Arial"/>
                <w:sz w:val="20"/>
                <w:szCs w:val="20"/>
                <w:lang w:val="pt-PT"/>
              </w:rPr>
              <w:t xml:space="preserve"> de </w:t>
            </w:r>
            <w:proofErr w:type="spellStart"/>
            <w:r w:rsidRPr="00292532">
              <w:rPr>
                <w:rFonts w:ascii="Arial" w:eastAsia="Calibri" w:hAnsi="Arial" w:cs="Arial"/>
                <w:sz w:val="20"/>
                <w:szCs w:val="20"/>
                <w:lang w:val="pt-PT"/>
              </w:rPr>
              <w:t>inspecção</w:t>
            </w:r>
            <w:proofErr w:type="spellEnd"/>
            <w:r w:rsidRPr="00292532">
              <w:rPr>
                <w:rFonts w:ascii="Arial" w:eastAsia="Calibri" w:hAnsi="Arial" w:cs="Arial"/>
                <w:sz w:val="20"/>
                <w:szCs w:val="20"/>
                <w:lang w:val="pt-PT"/>
              </w:rPr>
              <w:t xml:space="preserve">, no âmbito do controle da legalidade do trabalho. </w:t>
            </w:r>
          </w:p>
        </w:tc>
        <w:tc>
          <w:tcPr>
            <w:tcW w:w="4022" w:type="dxa"/>
            <w:tcBorders>
              <w:left w:val="nil"/>
              <w:right w:val="nil"/>
            </w:tcBorders>
            <w:vAlign w:val="center"/>
          </w:tcPr>
          <w:p w14:paraId="293F77BD" w14:textId="77777777" w:rsidR="00B31AE2" w:rsidRPr="00292532" w:rsidRDefault="00B31AE2" w:rsidP="00AE14AE">
            <w:pPr>
              <w:numPr>
                <w:ilvl w:val="0"/>
                <w:numId w:val="124"/>
              </w:numPr>
              <w:spacing w:line="276" w:lineRule="auto"/>
              <w:ind w:left="173" w:hanging="173"/>
              <w:contextualSpacing/>
              <w:rPr>
                <w:rFonts w:ascii="Arial" w:eastAsia="Calibri" w:hAnsi="Arial" w:cs="Arial"/>
                <w:sz w:val="20"/>
                <w:szCs w:val="20"/>
                <w:lang w:val="pt-PT"/>
              </w:rPr>
            </w:pPr>
            <w:r w:rsidRPr="00292532">
              <w:rPr>
                <w:rFonts w:ascii="Arial" w:eastAsia="Calibri" w:hAnsi="Arial" w:cs="Arial"/>
                <w:sz w:val="20"/>
                <w:szCs w:val="20"/>
                <w:lang w:val="pt-PT"/>
              </w:rPr>
              <w:t xml:space="preserve">O empregador deve cumprir com as exigências. No caso de uma </w:t>
            </w:r>
            <w:proofErr w:type="spellStart"/>
            <w:r w:rsidRPr="00292532">
              <w:rPr>
                <w:rFonts w:ascii="Arial" w:eastAsia="Calibri" w:hAnsi="Arial" w:cs="Arial"/>
                <w:sz w:val="20"/>
                <w:szCs w:val="20"/>
                <w:lang w:val="pt-PT"/>
              </w:rPr>
              <w:t>inspecção</w:t>
            </w:r>
            <w:proofErr w:type="spellEnd"/>
            <w:r w:rsidRPr="00292532">
              <w:rPr>
                <w:rFonts w:ascii="Arial" w:eastAsia="Calibri" w:hAnsi="Arial" w:cs="Arial"/>
                <w:sz w:val="20"/>
                <w:szCs w:val="20"/>
                <w:lang w:val="pt-PT"/>
              </w:rPr>
              <w:t xml:space="preserve"> o empregador deve ajudar a fornecer toda informação necessária para os </w:t>
            </w:r>
            <w:proofErr w:type="spellStart"/>
            <w:r w:rsidRPr="00292532">
              <w:rPr>
                <w:rFonts w:ascii="Arial" w:eastAsia="Calibri" w:hAnsi="Arial" w:cs="Arial"/>
                <w:sz w:val="20"/>
                <w:szCs w:val="20"/>
                <w:lang w:val="pt-PT"/>
              </w:rPr>
              <w:t>inspectores</w:t>
            </w:r>
            <w:proofErr w:type="spellEnd"/>
            <w:r w:rsidRPr="00292532">
              <w:rPr>
                <w:rFonts w:ascii="Arial" w:eastAsia="Calibri" w:hAnsi="Arial" w:cs="Arial"/>
                <w:sz w:val="20"/>
                <w:szCs w:val="20"/>
                <w:lang w:val="pt-PT"/>
              </w:rPr>
              <w:t>.</w:t>
            </w:r>
          </w:p>
        </w:tc>
      </w:tr>
      <w:tr w:rsidR="00B31AE2" w:rsidRPr="00292532" w14:paraId="6A8DBDD5" w14:textId="77777777" w:rsidTr="00B31AE2">
        <w:trPr>
          <w:trHeight w:val="136"/>
        </w:trPr>
        <w:tc>
          <w:tcPr>
            <w:tcW w:w="9404" w:type="dxa"/>
            <w:gridSpan w:val="3"/>
            <w:tcBorders>
              <w:left w:val="nil"/>
              <w:right w:val="nil"/>
            </w:tcBorders>
            <w:vAlign w:val="center"/>
          </w:tcPr>
          <w:p w14:paraId="18DCD2C0" w14:textId="77777777" w:rsidR="00B31AE2" w:rsidRPr="00292532" w:rsidRDefault="00B31AE2" w:rsidP="00B31AE2">
            <w:pPr>
              <w:jc w:val="center"/>
              <w:rPr>
                <w:rFonts w:ascii="Arial" w:eastAsia="Calibri" w:hAnsi="Arial" w:cs="Arial"/>
                <w:sz w:val="20"/>
                <w:lang w:val="pt-PT"/>
              </w:rPr>
            </w:pPr>
            <w:r w:rsidRPr="00292532">
              <w:rPr>
                <w:rFonts w:ascii="Arial" w:eastAsia="Calibri" w:hAnsi="Arial" w:cs="Arial"/>
                <w:b/>
                <w:bCs/>
                <w:color w:val="4472C4"/>
                <w:sz w:val="20"/>
                <w:szCs w:val="20"/>
                <w:lang w:val="pt-PT"/>
              </w:rPr>
              <w:t>SAÚDE E SEGURANÇA OCUPACIONAL</w:t>
            </w:r>
          </w:p>
        </w:tc>
      </w:tr>
      <w:tr w:rsidR="00B31AE2" w:rsidRPr="004E2EAC" w14:paraId="23621139" w14:textId="77777777" w:rsidTr="00B31AE2">
        <w:tc>
          <w:tcPr>
            <w:tcW w:w="2410" w:type="dxa"/>
            <w:tcBorders>
              <w:left w:val="nil"/>
              <w:right w:val="nil"/>
            </w:tcBorders>
            <w:vAlign w:val="center"/>
          </w:tcPr>
          <w:p w14:paraId="5AB87A0E" w14:textId="77777777" w:rsidR="00B31AE2" w:rsidRPr="00292532" w:rsidRDefault="00B31AE2" w:rsidP="00B31AE2">
            <w:pPr>
              <w:rPr>
                <w:rFonts w:ascii="Arial" w:eastAsia="Calibri" w:hAnsi="Arial" w:cs="Arial"/>
                <w:sz w:val="20"/>
                <w:szCs w:val="20"/>
                <w:lang w:val="pt-PT"/>
              </w:rPr>
            </w:pPr>
            <w:r w:rsidRPr="00292532">
              <w:rPr>
                <w:rFonts w:ascii="Arial" w:eastAsia="Calibri" w:hAnsi="Arial" w:cs="Arial"/>
                <w:sz w:val="20"/>
                <w:szCs w:val="20"/>
                <w:lang w:val="pt-PT"/>
              </w:rPr>
              <w:t>Lei do Trabalho</w:t>
            </w:r>
          </w:p>
          <w:p w14:paraId="722F5794" w14:textId="77777777" w:rsidR="00B31AE2" w:rsidRPr="00292532" w:rsidRDefault="00B31AE2" w:rsidP="00B31AE2">
            <w:pPr>
              <w:rPr>
                <w:rFonts w:ascii="Arial" w:eastAsia="Calibri" w:hAnsi="Arial" w:cs="Arial"/>
                <w:sz w:val="20"/>
                <w:lang w:val="pt-PT"/>
              </w:rPr>
            </w:pPr>
            <w:r w:rsidRPr="00292532">
              <w:rPr>
                <w:rFonts w:ascii="Arial" w:eastAsia="Calibri" w:hAnsi="Arial" w:cs="Arial"/>
                <w:sz w:val="20"/>
                <w:szCs w:val="20"/>
                <w:lang w:val="pt-PT"/>
              </w:rPr>
              <w:t xml:space="preserve">Lei nº 23/2007 </w:t>
            </w:r>
          </w:p>
        </w:tc>
        <w:tc>
          <w:tcPr>
            <w:tcW w:w="2977" w:type="dxa"/>
            <w:tcBorders>
              <w:left w:val="nil"/>
              <w:right w:val="nil"/>
            </w:tcBorders>
            <w:vAlign w:val="center"/>
          </w:tcPr>
          <w:p w14:paraId="1D3FC992" w14:textId="77777777" w:rsidR="00B31AE2" w:rsidRPr="00292532" w:rsidRDefault="00B31AE2" w:rsidP="00B31AE2">
            <w:pPr>
              <w:rPr>
                <w:rFonts w:ascii="Arial" w:eastAsia="Calibri" w:hAnsi="Arial" w:cs="Arial"/>
                <w:sz w:val="20"/>
                <w:lang w:val="pt-PT"/>
              </w:rPr>
            </w:pPr>
            <w:r w:rsidRPr="00292532">
              <w:rPr>
                <w:rFonts w:ascii="Arial" w:eastAsia="Calibri" w:hAnsi="Arial" w:cs="Arial"/>
                <w:sz w:val="20"/>
                <w:szCs w:val="20"/>
                <w:lang w:val="pt-PT"/>
              </w:rPr>
              <w:t xml:space="preserve">Esta lei aplica-se às relações jurídicas de trabalho subordinado e inclui dispositivos de </w:t>
            </w:r>
            <w:proofErr w:type="spellStart"/>
            <w:r w:rsidRPr="00292532">
              <w:rPr>
                <w:rFonts w:ascii="Arial" w:eastAsia="Calibri" w:hAnsi="Arial" w:cs="Arial"/>
                <w:sz w:val="20"/>
                <w:szCs w:val="20"/>
                <w:lang w:val="pt-PT"/>
              </w:rPr>
              <w:t>protecção</w:t>
            </w:r>
            <w:proofErr w:type="spellEnd"/>
            <w:r w:rsidRPr="00292532">
              <w:rPr>
                <w:rFonts w:ascii="Arial" w:eastAsia="Calibri" w:hAnsi="Arial" w:cs="Arial"/>
                <w:sz w:val="20"/>
                <w:szCs w:val="20"/>
                <w:lang w:val="pt-PT"/>
              </w:rPr>
              <w:t xml:space="preserve"> da saúde e segurança dos trabalhadores. </w:t>
            </w:r>
          </w:p>
        </w:tc>
        <w:tc>
          <w:tcPr>
            <w:tcW w:w="4022" w:type="dxa"/>
            <w:tcBorders>
              <w:left w:val="nil"/>
              <w:right w:val="nil"/>
            </w:tcBorders>
          </w:tcPr>
          <w:p w14:paraId="3324A2CF" w14:textId="77777777" w:rsidR="00B31AE2" w:rsidRPr="00292532" w:rsidRDefault="00B31AE2" w:rsidP="00AE14AE">
            <w:pPr>
              <w:numPr>
                <w:ilvl w:val="0"/>
                <w:numId w:val="124"/>
              </w:numPr>
              <w:spacing w:line="276" w:lineRule="auto"/>
              <w:ind w:left="173" w:hanging="173"/>
              <w:contextualSpacing/>
              <w:rPr>
                <w:rFonts w:ascii="Arial" w:eastAsia="Calibri" w:hAnsi="Arial" w:cs="Arial"/>
                <w:sz w:val="20"/>
                <w:szCs w:val="20"/>
                <w:lang w:val="pt-PT"/>
              </w:rPr>
            </w:pPr>
            <w:r w:rsidRPr="00292532">
              <w:rPr>
                <w:rFonts w:ascii="Arial" w:eastAsia="Calibri" w:hAnsi="Arial" w:cs="Arial"/>
                <w:sz w:val="20"/>
                <w:szCs w:val="20"/>
                <w:lang w:val="pt-PT"/>
              </w:rPr>
              <w:t xml:space="preserve">O empregador deve fornecer aos seus trabalhadores, boas condições físicas, o trabalho ambiental e moral, informá-los sobre os riscos do seu trabalho e instruí-los sobre o cumprimento adequado das normas de higiene e segurança no trabalho. </w:t>
            </w:r>
          </w:p>
          <w:p w14:paraId="1F869E97" w14:textId="77777777" w:rsidR="00B31AE2" w:rsidRPr="00292532" w:rsidRDefault="00B31AE2" w:rsidP="00AE14AE">
            <w:pPr>
              <w:numPr>
                <w:ilvl w:val="0"/>
                <w:numId w:val="124"/>
              </w:numPr>
              <w:spacing w:line="276" w:lineRule="auto"/>
              <w:ind w:left="173" w:hanging="173"/>
              <w:contextualSpacing/>
              <w:rPr>
                <w:rFonts w:ascii="Arial" w:eastAsia="Calibri" w:hAnsi="Arial" w:cs="Arial"/>
                <w:sz w:val="20"/>
                <w:szCs w:val="20"/>
                <w:lang w:val="pt-PT"/>
              </w:rPr>
            </w:pPr>
            <w:r w:rsidRPr="00292532">
              <w:rPr>
                <w:rFonts w:ascii="Arial" w:eastAsia="Calibri" w:hAnsi="Arial" w:cs="Arial"/>
                <w:sz w:val="20"/>
                <w:szCs w:val="20"/>
                <w:lang w:val="pt-PT"/>
              </w:rPr>
              <w:t>O empregador também deve providenciar os primeiros socorros aos trabalhadores em caso de acidente, doença súbita, envenenamento ou indisposição.</w:t>
            </w:r>
          </w:p>
          <w:p w14:paraId="0A7ED3F6" w14:textId="77777777" w:rsidR="00B31AE2" w:rsidRPr="00292532" w:rsidRDefault="00B31AE2" w:rsidP="00AE14AE">
            <w:pPr>
              <w:numPr>
                <w:ilvl w:val="0"/>
                <w:numId w:val="124"/>
              </w:numPr>
              <w:spacing w:line="276" w:lineRule="auto"/>
              <w:ind w:left="173" w:hanging="173"/>
              <w:contextualSpacing/>
              <w:rPr>
                <w:rFonts w:ascii="Arial" w:eastAsia="Calibri" w:hAnsi="Arial" w:cs="Arial"/>
                <w:sz w:val="20"/>
                <w:szCs w:val="20"/>
                <w:lang w:val="pt-PT"/>
              </w:rPr>
            </w:pPr>
            <w:r w:rsidRPr="00292532">
              <w:rPr>
                <w:rFonts w:ascii="Arial" w:eastAsia="Calibri" w:hAnsi="Arial" w:cs="Arial"/>
                <w:sz w:val="20"/>
                <w:szCs w:val="20"/>
                <w:lang w:val="pt-PT"/>
              </w:rPr>
              <w:t>O empregador em cooperação com o sindicato, deve informar o órgão competente da administração do trabalho sobre a natureza dos acidentes de trabalho ou doenças profissionais, suas causas e consequências, depois de fazer suas consultas e de registo.</w:t>
            </w:r>
          </w:p>
          <w:p w14:paraId="3E963452" w14:textId="77777777" w:rsidR="00B31AE2" w:rsidRPr="00292532" w:rsidRDefault="00B31AE2" w:rsidP="00AE14AE">
            <w:pPr>
              <w:numPr>
                <w:ilvl w:val="0"/>
                <w:numId w:val="124"/>
              </w:numPr>
              <w:spacing w:line="276" w:lineRule="auto"/>
              <w:ind w:left="173" w:hanging="173"/>
              <w:contextualSpacing/>
              <w:rPr>
                <w:rFonts w:ascii="Arial" w:eastAsia="Calibri" w:hAnsi="Arial" w:cs="Arial"/>
                <w:sz w:val="20"/>
                <w:lang w:val="pt-PT"/>
              </w:rPr>
            </w:pPr>
            <w:r w:rsidRPr="00292532">
              <w:rPr>
                <w:rFonts w:ascii="Arial" w:eastAsia="Calibri" w:hAnsi="Arial" w:cs="Arial"/>
                <w:sz w:val="20"/>
                <w:szCs w:val="20"/>
                <w:lang w:val="pt-PT"/>
              </w:rPr>
              <w:t>O assédio sexual no local de trabalho deverá ser evitado. Deve-se criar um ambiente aberto no local de trabalho e que permita a denúncia dos casos de assédio sexual.</w:t>
            </w:r>
          </w:p>
        </w:tc>
      </w:tr>
      <w:tr w:rsidR="00B31AE2" w:rsidRPr="004E2EAC" w14:paraId="6046B514" w14:textId="77777777" w:rsidTr="00B31AE2">
        <w:tc>
          <w:tcPr>
            <w:tcW w:w="2410" w:type="dxa"/>
            <w:tcBorders>
              <w:left w:val="nil"/>
              <w:right w:val="nil"/>
            </w:tcBorders>
            <w:vAlign w:val="center"/>
          </w:tcPr>
          <w:p w14:paraId="043B6C9C" w14:textId="77777777" w:rsidR="00B31AE2" w:rsidRPr="00292532" w:rsidRDefault="00B31AE2" w:rsidP="00B31AE2">
            <w:pPr>
              <w:rPr>
                <w:rFonts w:ascii="Arial" w:eastAsia="Calibri" w:hAnsi="Arial" w:cs="Arial"/>
                <w:sz w:val="20"/>
                <w:szCs w:val="20"/>
                <w:lang w:val="pt-PT"/>
              </w:rPr>
            </w:pPr>
            <w:r w:rsidRPr="00292532">
              <w:rPr>
                <w:rFonts w:ascii="Arial" w:eastAsia="Calibri" w:hAnsi="Arial" w:cs="Arial"/>
                <w:sz w:val="20"/>
                <w:szCs w:val="20"/>
                <w:lang w:val="pt-PT"/>
              </w:rPr>
              <w:lastRenderedPageBreak/>
              <w:t xml:space="preserve">Lei de </w:t>
            </w:r>
            <w:proofErr w:type="spellStart"/>
            <w:r w:rsidRPr="00292532">
              <w:rPr>
                <w:rFonts w:ascii="Arial" w:eastAsia="Calibri" w:hAnsi="Arial" w:cs="Arial"/>
                <w:sz w:val="20"/>
                <w:szCs w:val="20"/>
                <w:lang w:val="pt-PT"/>
              </w:rPr>
              <w:t>Protecção</w:t>
            </w:r>
            <w:proofErr w:type="spellEnd"/>
            <w:r w:rsidRPr="00292532">
              <w:rPr>
                <w:rFonts w:ascii="Arial" w:eastAsia="Calibri" w:hAnsi="Arial" w:cs="Arial"/>
                <w:sz w:val="20"/>
                <w:szCs w:val="20"/>
                <w:lang w:val="pt-PT"/>
              </w:rPr>
              <w:t xml:space="preserve"> dos trabalhadores com HIV/SIDA</w:t>
            </w:r>
          </w:p>
          <w:p w14:paraId="76C25949" w14:textId="77777777" w:rsidR="00B31AE2" w:rsidRPr="00292532" w:rsidRDefault="00B31AE2" w:rsidP="00B31AE2">
            <w:pPr>
              <w:rPr>
                <w:rFonts w:ascii="Arial" w:eastAsia="Calibri" w:hAnsi="Arial" w:cs="Arial"/>
                <w:sz w:val="20"/>
                <w:lang w:val="pt-PT"/>
              </w:rPr>
            </w:pPr>
            <w:r w:rsidRPr="00292532">
              <w:rPr>
                <w:rFonts w:ascii="Arial" w:eastAsia="Calibri" w:hAnsi="Arial" w:cs="Arial"/>
                <w:sz w:val="20"/>
                <w:szCs w:val="20"/>
                <w:lang w:val="pt-PT"/>
              </w:rPr>
              <w:t>Lei nº 5/ 2002</w:t>
            </w:r>
          </w:p>
        </w:tc>
        <w:tc>
          <w:tcPr>
            <w:tcW w:w="2977" w:type="dxa"/>
            <w:tcBorders>
              <w:left w:val="nil"/>
              <w:right w:val="nil"/>
            </w:tcBorders>
            <w:vAlign w:val="center"/>
          </w:tcPr>
          <w:p w14:paraId="18E843B4" w14:textId="77777777" w:rsidR="00B31AE2" w:rsidRPr="00292532" w:rsidRDefault="00B31AE2" w:rsidP="00B31AE2">
            <w:pPr>
              <w:rPr>
                <w:rFonts w:ascii="Arial" w:eastAsia="Calibri" w:hAnsi="Arial" w:cs="Arial"/>
                <w:sz w:val="20"/>
                <w:lang w:val="pt-PT"/>
              </w:rPr>
            </w:pPr>
            <w:r w:rsidRPr="00292532">
              <w:rPr>
                <w:rFonts w:ascii="Arial" w:eastAsia="Calibri" w:hAnsi="Arial" w:cs="Arial"/>
                <w:sz w:val="20"/>
                <w:szCs w:val="20"/>
                <w:lang w:val="pt-PT"/>
              </w:rPr>
              <w:t>Esta lei estabelece os princípios gerais que visam assegurar que todos os empregados e candidatos a emprego não sejam discriminados no local de trabalho ou quando se candidatam a empregos, por estes serem suspeitos ou por terem HIV/SIDA.</w:t>
            </w:r>
          </w:p>
        </w:tc>
        <w:tc>
          <w:tcPr>
            <w:tcW w:w="4022" w:type="dxa"/>
            <w:tcBorders>
              <w:left w:val="nil"/>
              <w:right w:val="nil"/>
            </w:tcBorders>
            <w:vAlign w:val="center"/>
          </w:tcPr>
          <w:p w14:paraId="2179FF5F" w14:textId="77777777" w:rsidR="00B31AE2" w:rsidRPr="00292532" w:rsidRDefault="00B31AE2" w:rsidP="00AE14AE">
            <w:pPr>
              <w:numPr>
                <w:ilvl w:val="0"/>
                <w:numId w:val="124"/>
              </w:numPr>
              <w:spacing w:line="276" w:lineRule="auto"/>
              <w:ind w:left="173" w:hanging="173"/>
              <w:contextualSpacing/>
              <w:rPr>
                <w:rFonts w:ascii="Arial" w:eastAsia="Calibri" w:hAnsi="Arial" w:cs="Arial"/>
                <w:sz w:val="20"/>
                <w:lang w:val="pt-PT"/>
              </w:rPr>
            </w:pPr>
            <w:r w:rsidRPr="00292532">
              <w:rPr>
                <w:rFonts w:ascii="Arial" w:eastAsia="Calibri" w:hAnsi="Arial" w:cs="Arial"/>
                <w:sz w:val="20"/>
                <w:szCs w:val="20"/>
                <w:lang w:val="pt-PT"/>
              </w:rPr>
              <w:t xml:space="preserve">É proibida a testagem de HIV/SIDA aos trabalhadores, candidatos a emprego, candidatos para avaliar o treinamento ou candidatos a promoção, a pedido dos empregadores, sem o consentimento do trabalhador ou candidato a emprego. O empregador deverá treinar e reorientar todos os trabalhadores ou candidato a emprego </w:t>
            </w:r>
            <w:proofErr w:type="spellStart"/>
            <w:r w:rsidRPr="00292532">
              <w:rPr>
                <w:rFonts w:ascii="Arial" w:eastAsia="Calibri" w:hAnsi="Arial" w:cs="Arial"/>
                <w:sz w:val="20"/>
                <w:szCs w:val="20"/>
                <w:lang w:val="pt-PT"/>
              </w:rPr>
              <w:t>infectados</w:t>
            </w:r>
            <w:proofErr w:type="spellEnd"/>
            <w:r w:rsidRPr="00292532">
              <w:rPr>
                <w:rFonts w:ascii="Arial" w:eastAsia="Calibri" w:hAnsi="Arial" w:cs="Arial"/>
                <w:sz w:val="20"/>
                <w:szCs w:val="20"/>
                <w:lang w:val="pt-PT"/>
              </w:rPr>
              <w:t xml:space="preserve"> com HIV/SIDA, que sejam capazes de cumprir os seus deveres no trabalho, levando-o para um emprego compatível com as suas capacidades residuais.</w:t>
            </w:r>
          </w:p>
        </w:tc>
      </w:tr>
      <w:tr w:rsidR="00B31AE2" w:rsidRPr="004E2EAC" w14:paraId="255ABFA9" w14:textId="77777777" w:rsidTr="00B31AE2">
        <w:tc>
          <w:tcPr>
            <w:tcW w:w="2410" w:type="dxa"/>
            <w:tcBorders>
              <w:left w:val="nil"/>
              <w:right w:val="nil"/>
            </w:tcBorders>
            <w:vAlign w:val="center"/>
          </w:tcPr>
          <w:p w14:paraId="139DAABE" w14:textId="77777777" w:rsidR="00B31AE2" w:rsidRPr="00292532" w:rsidRDefault="00B31AE2" w:rsidP="00B31AE2">
            <w:pPr>
              <w:rPr>
                <w:rFonts w:ascii="Arial" w:eastAsia="Calibri" w:hAnsi="Arial" w:cs="Arial"/>
                <w:sz w:val="20"/>
                <w:lang w:val="pt-PT"/>
              </w:rPr>
            </w:pPr>
            <w:r w:rsidRPr="00292532">
              <w:rPr>
                <w:rFonts w:ascii="Arial" w:eastAsia="Calibri" w:hAnsi="Arial" w:cs="Arial"/>
                <w:sz w:val="20"/>
                <w:szCs w:val="20"/>
                <w:lang w:val="pt-PT"/>
              </w:rPr>
              <w:t xml:space="preserve">Lei de </w:t>
            </w:r>
            <w:proofErr w:type="spellStart"/>
            <w:r w:rsidRPr="00292532">
              <w:rPr>
                <w:rFonts w:ascii="Arial" w:eastAsia="Calibri" w:hAnsi="Arial" w:cs="Arial"/>
                <w:sz w:val="20"/>
                <w:szCs w:val="20"/>
                <w:lang w:val="pt-PT"/>
              </w:rPr>
              <w:t>Protecção</w:t>
            </w:r>
            <w:proofErr w:type="spellEnd"/>
            <w:r w:rsidRPr="00292532">
              <w:rPr>
                <w:rFonts w:ascii="Arial" w:eastAsia="Calibri" w:hAnsi="Arial" w:cs="Arial"/>
                <w:sz w:val="20"/>
                <w:szCs w:val="20"/>
                <w:lang w:val="pt-PT"/>
              </w:rPr>
              <w:t xml:space="preserve"> a Pessoa, Trabalhador ou Candidato ao Emprego vivendo com HIV/SIDA, Lei n</w:t>
            </w:r>
            <w:r w:rsidRPr="00292532">
              <w:rPr>
                <w:rFonts w:ascii="Arial" w:eastAsia="Calibri" w:hAnsi="Arial" w:cs="Arial"/>
                <w:sz w:val="20"/>
                <w:szCs w:val="20"/>
                <w:vertAlign w:val="superscript"/>
                <w:lang w:val="pt-PT"/>
              </w:rPr>
              <w:t>o</w:t>
            </w:r>
            <w:r w:rsidRPr="00292532">
              <w:rPr>
                <w:rFonts w:ascii="Arial" w:eastAsia="Calibri" w:hAnsi="Arial" w:cs="Arial"/>
                <w:sz w:val="20"/>
                <w:szCs w:val="20"/>
                <w:lang w:val="pt-PT"/>
              </w:rPr>
              <w:t xml:space="preserve"> 19/2014 de 27 de </w:t>
            </w:r>
            <w:proofErr w:type="gramStart"/>
            <w:r w:rsidRPr="00292532">
              <w:rPr>
                <w:rFonts w:ascii="Arial" w:eastAsia="Calibri" w:hAnsi="Arial" w:cs="Arial"/>
                <w:sz w:val="20"/>
                <w:szCs w:val="20"/>
                <w:lang w:val="pt-PT"/>
              </w:rPr>
              <w:t>Agosto</w:t>
            </w:r>
            <w:proofErr w:type="gramEnd"/>
          </w:p>
        </w:tc>
        <w:tc>
          <w:tcPr>
            <w:tcW w:w="2977" w:type="dxa"/>
            <w:tcBorders>
              <w:left w:val="nil"/>
              <w:right w:val="nil"/>
            </w:tcBorders>
            <w:vAlign w:val="center"/>
          </w:tcPr>
          <w:p w14:paraId="22ABF2C6" w14:textId="77777777" w:rsidR="00B31AE2" w:rsidRPr="00292532" w:rsidRDefault="00B31AE2" w:rsidP="00B31AE2">
            <w:pPr>
              <w:rPr>
                <w:rFonts w:ascii="Arial" w:eastAsia="Calibri" w:hAnsi="Arial" w:cs="Arial"/>
                <w:sz w:val="20"/>
                <w:lang w:val="pt-PT"/>
              </w:rPr>
            </w:pPr>
            <w:r w:rsidRPr="00292532">
              <w:rPr>
                <w:rFonts w:ascii="Arial" w:eastAsia="Calibri" w:hAnsi="Arial" w:cs="Arial"/>
                <w:sz w:val="20"/>
                <w:szCs w:val="20"/>
                <w:lang w:val="pt-PT"/>
              </w:rPr>
              <w:t>Estabelece os direitos e deveres das pessoas, trabalhadores ou candidatos a emprego vivendo com HIV/SIDA, incluindo pessoas em risco de contaminação como o pessoal médico.</w:t>
            </w:r>
          </w:p>
        </w:tc>
        <w:tc>
          <w:tcPr>
            <w:tcW w:w="4022" w:type="dxa"/>
            <w:tcBorders>
              <w:left w:val="nil"/>
              <w:right w:val="nil"/>
            </w:tcBorders>
            <w:vAlign w:val="center"/>
          </w:tcPr>
          <w:p w14:paraId="398D4ECD" w14:textId="77777777" w:rsidR="00B31AE2" w:rsidRPr="00292532" w:rsidRDefault="00B31AE2" w:rsidP="00AE14AE">
            <w:pPr>
              <w:numPr>
                <w:ilvl w:val="0"/>
                <w:numId w:val="124"/>
              </w:numPr>
              <w:spacing w:line="276" w:lineRule="auto"/>
              <w:ind w:left="173" w:hanging="173"/>
              <w:contextualSpacing/>
              <w:rPr>
                <w:rFonts w:ascii="Arial" w:eastAsia="Calibri" w:hAnsi="Arial" w:cs="Arial"/>
                <w:sz w:val="20"/>
                <w:szCs w:val="20"/>
                <w:lang w:val="pt-PT"/>
              </w:rPr>
            </w:pPr>
            <w:r w:rsidRPr="00292532">
              <w:rPr>
                <w:rFonts w:ascii="Arial" w:eastAsia="Calibri" w:hAnsi="Arial" w:cs="Arial"/>
                <w:sz w:val="20"/>
                <w:szCs w:val="20"/>
                <w:lang w:val="pt-PT"/>
              </w:rPr>
              <w:t xml:space="preserve">O acesso a oportunidades de emprego, assim como a integração na empresa deve-se basear no princípio de igualdade e não </w:t>
            </w:r>
            <w:proofErr w:type="gramStart"/>
            <w:r w:rsidRPr="00292532">
              <w:rPr>
                <w:rFonts w:ascii="Arial" w:eastAsia="Calibri" w:hAnsi="Arial" w:cs="Arial"/>
                <w:sz w:val="20"/>
                <w:szCs w:val="20"/>
                <w:lang w:val="pt-PT"/>
              </w:rPr>
              <w:t>descriminação</w:t>
            </w:r>
            <w:proofErr w:type="gramEnd"/>
            <w:r w:rsidRPr="00292532">
              <w:rPr>
                <w:rFonts w:ascii="Arial" w:eastAsia="Calibri" w:hAnsi="Arial" w:cs="Arial"/>
                <w:sz w:val="20"/>
                <w:szCs w:val="20"/>
                <w:lang w:val="pt-PT"/>
              </w:rPr>
              <w:t xml:space="preserve"> aos indivíduos seropositivos.</w:t>
            </w:r>
          </w:p>
          <w:p w14:paraId="7D14E323" w14:textId="77777777" w:rsidR="00B31AE2" w:rsidRPr="00292532" w:rsidRDefault="00B31AE2" w:rsidP="00AE14AE">
            <w:pPr>
              <w:numPr>
                <w:ilvl w:val="0"/>
                <w:numId w:val="124"/>
              </w:numPr>
              <w:spacing w:line="276" w:lineRule="auto"/>
              <w:ind w:left="173" w:hanging="173"/>
              <w:contextualSpacing/>
              <w:rPr>
                <w:rFonts w:ascii="Arial" w:eastAsia="Calibri" w:hAnsi="Arial" w:cs="Arial"/>
                <w:sz w:val="20"/>
                <w:lang w:val="pt-PT"/>
              </w:rPr>
            </w:pPr>
            <w:r w:rsidRPr="00292532">
              <w:rPr>
                <w:rFonts w:ascii="Arial" w:eastAsia="Calibri" w:hAnsi="Arial" w:cs="Arial"/>
                <w:sz w:val="20"/>
                <w:szCs w:val="20"/>
                <w:lang w:val="pt-PT"/>
              </w:rPr>
              <w:t xml:space="preserve">É dever do empregador assegurar a manutenção da assistência médica do trabalhador com HIV/SIDA. Deverá também criar um programa de combate e prevenção ao HIV/SIDA, assim como implantar normas de saúde e segurança ocupacional que evitem ou diminuam o risco de </w:t>
            </w:r>
            <w:proofErr w:type="spellStart"/>
            <w:r w:rsidRPr="00292532">
              <w:rPr>
                <w:rFonts w:ascii="Arial" w:eastAsia="Calibri" w:hAnsi="Arial" w:cs="Arial"/>
                <w:sz w:val="20"/>
                <w:szCs w:val="20"/>
                <w:lang w:val="pt-PT"/>
              </w:rPr>
              <w:t>infecção</w:t>
            </w:r>
            <w:proofErr w:type="spellEnd"/>
            <w:r w:rsidRPr="00292532">
              <w:rPr>
                <w:rFonts w:ascii="Arial" w:eastAsia="Calibri" w:hAnsi="Arial" w:cs="Arial"/>
                <w:sz w:val="20"/>
                <w:szCs w:val="20"/>
                <w:lang w:val="pt-PT"/>
              </w:rPr>
              <w:t xml:space="preserve"> ocupacional.</w:t>
            </w:r>
          </w:p>
        </w:tc>
      </w:tr>
      <w:tr w:rsidR="00B31AE2" w:rsidRPr="004E2EAC" w14:paraId="2B3AA4B7" w14:textId="77777777" w:rsidTr="00B31AE2">
        <w:tc>
          <w:tcPr>
            <w:tcW w:w="2410" w:type="dxa"/>
            <w:tcBorders>
              <w:left w:val="nil"/>
              <w:right w:val="nil"/>
            </w:tcBorders>
            <w:vAlign w:val="center"/>
          </w:tcPr>
          <w:p w14:paraId="2577794F" w14:textId="77777777" w:rsidR="00B31AE2" w:rsidRPr="00292532" w:rsidRDefault="00B31AE2" w:rsidP="00B31AE2">
            <w:pPr>
              <w:rPr>
                <w:rFonts w:ascii="Arial" w:eastAsia="Calibri" w:hAnsi="Arial" w:cs="Arial"/>
                <w:sz w:val="20"/>
                <w:szCs w:val="20"/>
                <w:lang w:val="pt-PT"/>
              </w:rPr>
            </w:pPr>
            <w:r w:rsidRPr="00292532">
              <w:rPr>
                <w:rFonts w:ascii="Arial" w:eastAsia="Calibri" w:hAnsi="Arial" w:cs="Arial"/>
                <w:sz w:val="20"/>
                <w:szCs w:val="20"/>
                <w:lang w:val="pt-PT"/>
              </w:rPr>
              <w:t>Regulamento que Estabelece o Regime Jurídico de Acidentes de Trabalho e Doenças Profissionais</w:t>
            </w:r>
          </w:p>
          <w:p w14:paraId="7375870A" w14:textId="77777777" w:rsidR="00B31AE2" w:rsidRPr="00292532" w:rsidRDefault="00B31AE2" w:rsidP="00B31AE2">
            <w:pPr>
              <w:rPr>
                <w:rFonts w:ascii="Arial" w:eastAsia="Calibri" w:hAnsi="Arial" w:cs="Arial"/>
                <w:sz w:val="20"/>
                <w:szCs w:val="20"/>
                <w:lang w:val="pt-PT"/>
              </w:rPr>
            </w:pPr>
            <w:r w:rsidRPr="00292532">
              <w:rPr>
                <w:rFonts w:ascii="Arial" w:eastAsia="Calibri" w:hAnsi="Arial" w:cs="Arial"/>
                <w:sz w:val="20"/>
                <w:szCs w:val="20"/>
                <w:lang w:val="pt-PT"/>
              </w:rPr>
              <w:t>Decreto n</w:t>
            </w:r>
            <w:r w:rsidRPr="00292532">
              <w:rPr>
                <w:rFonts w:ascii="Arial" w:eastAsia="Calibri" w:hAnsi="Arial" w:cs="Arial"/>
                <w:sz w:val="20"/>
                <w:szCs w:val="20"/>
                <w:vertAlign w:val="superscript"/>
                <w:lang w:val="pt-PT"/>
              </w:rPr>
              <w:t>o</w:t>
            </w:r>
            <w:r w:rsidRPr="00292532">
              <w:rPr>
                <w:rFonts w:ascii="Arial" w:eastAsia="Calibri" w:hAnsi="Arial" w:cs="Arial"/>
                <w:sz w:val="20"/>
                <w:szCs w:val="20"/>
                <w:lang w:val="pt-PT"/>
              </w:rPr>
              <w:t xml:space="preserve"> 62/2013 de 4 de </w:t>
            </w:r>
            <w:proofErr w:type="gramStart"/>
            <w:r w:rsidRPr="00292532">
              <w:rPr>
                <w:rFonts w:ascii="Arial" w:eastAsia="Calibri" w:hAnsi="Arial" w:cs="Arial"/>
                <w:sz w:val="20"/>
                <w:szCs w:val="20"/>
                <w:lang w:val="pt-PT"/>
              </w:rPr>
              <w:t>Dezembro</w:t>
            </w:r>
            <w:proofErr w:type="gramEnd"/>
          </w:p>
        </w:tc>
        <w:tc>
          <w:tcPr>
            <w:tcW w:w="2977" w:type="dxa"/>
            <w:tcBorders>
              <w:left w:val="nil"/>
              <w:right w:val="nil"/>
            </w:tcBorders>
            <w:vAlign w:val="center"/>
          </w:tcPr>
          <w:p w14:paraId="7ECA8570" w14:textId="77777777" w:rsidR="00B31AE2" w:rsidRPr="00292532" w:rsidRDefault="00B31AE2" w:rsidP="00B31AE2">
            <w:pPr>
              <w:rPr>
                <w:rFonts w:ascii="Arial" w:eastAsia="Calibri" w:hAnsi="Arial" w:cs="Arial"/>
                <w:sz w:val="20"/>
                <w:szCs w:val="20"/>
                <w:lang w:val="pt-PT"/>
              </w:rPr>
            </w:pPr>
            <w:r w:rsidRPr="00292532">
              <w:rPr>
                <w:rFonts w:ascii="Arial" w:eastAsia="Calibri" w:hAnsi="Arial" w:cs="Arial"/>
                <w:sz w:val="20"/>
                <w:szCs w:val="20"/>
                <w:lang w:val="pt-PT"/>
              </w:rPr>
              <w:t xml:space="preserve">Caracteriza os acidentes de trabalho e doenças profissionais, as responsabilidades dos empregadores e trabalhadores em matéria de saúde e segurança no trabalho; incluindo as instituições competentes em matéria de acidentes e doenças profissionais. </w:t>
            </w:r>
          </w:p>
        </w:tc>
        <w:tc>
          <w:tcPr>
            <w:tcW w:w="4022" w:type="dxa"/>
            <w:tcBorders>
              <w:left w:val="nil"/>
              <w:right w:val="nil"/>
            </w:tcBorders>
            <w:vAlign w:val="center"/>
          </w:tcPr>
          <w:p w14:paraId="3A6E0ECD" w14:textId="77777777" w:rsidR="00B31AE2" w:rsidRPr="00292532" w:rsidRDefault="00B31AE2" w:rsidP="00AE14AE">
            <w:pPr>
              <w:numPr>
                <w:ilvl w:val="0"/>
                <w:numId w:val="124"/>
              </w:numPr>
              <w:spacing w:line="276" w:lineRule="auto"/>
              <w:ind w:left="173" w:hanging="173"/>
              <w:contextualSpacing/>
              <w:rPr>
                <w:rFonts w:ascii="Arial" w:eastAsia="Calibri" w:hAnsi="Arial" w:cs="Arial"/>
                <w:sz w:val="20"/>
                <w:szCs w:val="20"/>
                <w:lang w:val="pt-PT"/>
              </w:rPr>
            </w:pPr>
            <w:r w:rsidRPr="00292532">
              <w:rPr>
                <w:rFonts w:ascii="Arial" w:eastAsia="Calibri" w:hAnsi="Arial" w:cs="Arial"/>
                <w:sz w:val="20"/>
                <w:szCs w:val="20"/>
                <w:lang w:val="pt-PT"/>
              </w:rPr>
              <w:t xml:space="preserve">O empregador é obrigado a garantir as condições de saúde e segurança ocupacional aos trabalhadores para a prevenção de acidentes de trabalho. Deverá ainda desenvolver </w:t>
            </w:r>
            <w:proofErr w:type="spellStart"/>
            <w:r w:rsidRPr="00292532">
              <w:rPr>
                <w:rFonts w:ascii="Arial" w:eastAsia="Calibri" w:hAnsi="Arial" w:cs="Arial"/>
                <w:sz w:val="20"/>
                <w:szCs w:val="20"/>
                <w:lang w:val="pt-PT"/>
              </w:rPr>
              <w:t>acções</w:t>
            </w:r>
            <w:proofErr w:type="spellEnd"/>
            <w:r w:rsidRPr="00292532">
              <w:rPr>
                <w:rFonts w:ascii="Arial" w:eastAsia="Calibri" w:hAnsi="Arial" w:cs="Arial"/>
                <w:sz w:val="20"/>
                <w:szCs w:val="20"/>
                <w:lang w:val="pt-PT"/>
              </w:rPr>
              <w:t xml:space="preserve"> de treinamento aos trabalhadores sobre as normas de prevenção de acidentes e doenças profissionais na fase de construção e operação do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w:t>
            </w:r>
          </w:p>
        </w:tc>
      </w:tr>
      <w:tr w:rsidR="00B31AE2" w:rsidRPr="004E2EAC" w14:paraId="1977FB90" w14:textId="77777777" w:rsidTr="00B31AE2">
        <w:tc>
          <w:tcPr>
            <w:tcW w:w="2410" w:type="dxa"/>
            <w:tcBorders>
              <w:left w:val="nil"/>
              <w:right w:val="nil"/>
            </w:tcBorders>
            <w:vAlign w:val="center"/>
          </w:tcPr>
          <w:p w14:paraId="03CDDCF2" w14:textId="77777777" w:rsidR="00B31AE2" w:rsidRPr="00292532" w:rsidRDefault="00B31AE2" w:rsidP="00B31AE2">
            <w:pPr>
              <w:rPr>
                <w:rFonts w:ascii="Arial" w:eastAsia="Calibri" w:hAnsi="Arial" w:cs="Arial"/>
                <w:sz w:val="20"/>
                <w:szCs w:val="20"/>
                <w:lang w:val="pt-PT"/>
              </w:rPr>
            </w:pPr>
            <w:r w:rsidRPr="00292532">
              <w:rPr>
                <w:rFonts w:ascii="Arial" w:eastAsia="Calibri" w:hAnsi="Arial" w:cs="Arial"/>
                <w:sz w:val="20"/>
                <w:szCs w:val="20"/>
                <w:lang w:val="pt-PT"/>
              </w:rPr>
              <w:t xml:space="preserve">Regulamento sobre </w:t>
            </w:r>
            <w:proofErr w:type="spellStart"/>
            <w:r w:rsidRPr="00292532">
              <w:rPr>
                <w:rFonts w:ascii="Arial" w:eastAsia="Calibri" w:hAnsi="Arial" w:cs="Arial"/>
                <w:sz w:val="20"/>
                <w:szCs w:val="20"/>
                <w:lang w:val="pt-PT"/>
              </w:rPr>
              <w:t>Inspecção</w:t>
            </w:r>
            <w:proofErr w:type="spellEnd"/>
            <w:r w:rsidRPr="00292532">
              <w:rPr>
                <w:rFonts w:ascii="Arial" w:eastAsia="Calibri" w:hAnsi="Arial" w:cs="Arial"/>
                <w:sz w:val="20"/>
                <w:szCs w:val="20"/>
                <w:lang w:val="pt-PT"/>
              </w:rPr>
              <w:t xml:space="preserve"> Geral do Trabalho</w:t>
            </w:r>
          </w:p>
          <w:p w14:paraId="0BA1E8F0" w14:textId="77777777" w:rsidR="00B31AE2" w:rsidRPr="00292532" w:rsidRDefault="00B31AE2" w:rsidP="00B31AE2">
            <w:pPr>
              <w:rPr>
                <w:rFonts w:ascii="Arial" w:eastAsia="Calibri" w:hAnsi="Arial" w:cs="Arial"/>
                <w:sz w:val="20"/>
                <w:szCs w:val="20"/>
                <w:lang w:val="pt-PT"/>
              </w:rPr>
            </w:pPr>
            <w:r w:rsidRPr="00292532">
              <w:rPr>
                <w:rFonts w:ascii="Arial" w:eastAsia="Calibri" w:hAnsi="Arial" w:cs="Arial"/>
                <w:sz w:val="20"/>
                <w:szCs w:val="20"/>
                <w:lang w:val="pt-PT"/>
              </w:rPr>
              <w:t>Decreto nº 45/2009</w:t>
            </w:r>
          </w:p>
        </w:tc>
        <w:tc>
          <w:tcPr>
            <w:tcW w:w="2977" w:type="dxa"/>
            <w:tcBorders>
              <w:left w:val="nil"/>
              <w:right w:val="nil"/>
            </w:tcBorders>
            <w:vAlign w:val="center"/>
          </w:tcPr>
          <w:p w14:paraId="5D71FB6E" w14:textId="77777777" w:rsidR="00B31AE2" w:rsidRPr="00292532" w:rsidRDefault="00B31AE2" w:rsidP="00B31AE2">
            <w:pPr>
              <w:rPr>
                <w:rFonts w:ascii="Arial" w:eastAsia="Calibri" w:hAnsi="Arial" w:cs="Arial"/>
                <w:sz w:val="20"/>
                <w:szCs w:val="20"/>
                <w:lang w:val="pt-PT"/>
              </w:rPr>
            </w:pPr>
            <w:r w:rsidRPr="00292532">
              <w:rPr>
                <w:rFonts w:ascii="Arial" w:eastAsia="Calibri" w:hAnsi="Arial" w:cs="Arial"/>
                <w:sz w:val="20"/>
                <w:szCs w:val="20"/>
                <w:lang w:val="pt-PT"/>
              </w:rPr>
              <w:t xml:space="preserve">O regulamento estabelece as regras relativas às </w:t>
            </w:r>
            <w:proofErr w:type="spellStart"/>
            <w:r w:rsidRPr="00292532">
              <w:rPr>
                <w:rFonts w:ascii="Arial" w:eastAsia="Calibri" w:hAnsi="Arial" w:cs="Arial"/>
                <w:sz w:val="20"/>
                <w:szCs w:val="20"/>
                <w:lang w:val="pt-PT"/>
              </w:rPr>
              <w:t>actividades</w:t>
            </w:r>
            <w:proofErr w:type="spellEnd"/>
            <w:r w:rsidRPr="00292532">
              <w:rPr>
                <w:rFonts w:ascii="Arial" w:eastAsia="Calibri" w:hAnsi="Arial" w:cs="Arial"/>
                <w:sz w:val="20"/>
                <w:szCs w:val="20"/>
                <w:lang w:val="pt-PT"/>
              </w:rPr>
              <w:t xml:space="preserve"> de </w:t>
            </w:r>
            <w:proofErr w:type="spellStart"/>
            <w:r w:rsidRPr="00292532">
              <w:rPr>
                <w:rFonts w:ascii="Arial" w:eastAsia="Calibri" w:hAnsi="Arial" w:cs="Arial"/>
                <w:sz w:val="20"/>
                <w:szCs w:val="20"/>
                <w:lang w:val="pt-PT"/>
              </w:rPr>
              <w:t>inspecção</w:t>
            </w:r>
            <w:proofErr w:type="spellEnd"/>
            <w:r w:rsidRPr="00292532">
              <w:rPr>
                <w:rFonts w:ascii="Arial" w:eastAsia="Calibri" w:hAnsi="Arial" w:cs="Arial"/>
                <w:sz w:val="20"/>
                <w:szCs w:val="20"/>
                <w:lang w:val="pt-PT"/>
              </w:rPr>
              <w:t xml:space="preserve">, no âmbito do controle da legalidade do trabalho. </w:t>
            </w:r>
          </w:p>
        </w:tc>
        <w:tc>
          <w:tcPr>
            <w:tcW w:w="4022" w:type="dxa"/>
            <w:tcBorders>
              <w:left w:val="nil"/>
              <w:right w:val="nil"/>
            </w:tcBorders>
            <w:vAlign w:val="center"/>
          </w:tcPr>
          <w:p w14:paraId="78C7864C" w14:textId="77777777" w:rsidR="00B31AE2" w:rsidRPr="00292532" w:rsidRDefault="00B31AE2" w:rsidP="00AE14AE">
            <w:pPr>
              <w:numPr>
                <w:ilvl w:val="0"/>
                <w:numId w:val="124"/>
              </w:numPr>
              <w:spacing w:line="276" w:lineRule="auto"/>
              <w:ind w:left="173" w:hanging="173"/>
              <w:contextualSpacing/>
              <w:rPr>
                <w:rFonts w:ascii="Arial" w:eastAsia="Calibri" w:hAnsi="Arial" w:cs="Arial"/>
                <w:sz w:val="20"/>
                <w:szCs w:val="20"/>
                <w:lang w:val="pt-PT"/>
              </w:rPr>
            </w:pPr>
            <w:r w:rsidRPr="00292532">
              <w:rPr>
                <w:rFonts w:ascii="Arial" w:eastAsia="Calibri" w:hAnsi="Arial" w:cs="Arial"/>
                <w:sz w:val="20"/>
                <w:szCs w:val="20"/>
                <w:lang w:val="pt-PT"/>
              </w:rPr>
              <w:t xml:space="preserve">O empregador deve cumprir com as exigências. No caso de uma </w:t>
            </w:r>
            <w:proofErr w:type="spellStart"/>
            <w:r w:rsidRPr="00292532">
              <w:rPr>
                <w:rFonts w:ascii="Arial" w:eastAsia="Calibri" w:hAnsi="Arial" w:cs="Arial"/>
                <w:sz w:val="20"/>
                <w:szCs w:val="20"/>
                <w:lang w:val="pt-PT"/>
              </w:rPr>
              <w:t>inspecção</w:t>
            </w:r>
            <w:proofErr w:type="spellEnd"/>
            <w:r w:rsidRPr="00292532">
              <w:rPr>
                <w:rFonts w:ascii="Arial" w:eastAsia="Calibri" w:hAnsi="Arial" w:cs="Arial"/>
                <w:sz w:val="20"/>
                <w:szCs w:val="20"/>
                <w:lang w:val="pt-PT"/>
              </w:rPr>
              <w:t xml:space="preserve"> o empregador deve ajudar a fornecer toda informação necessária para os </w:t>
            </w:r>
            <w:proofErr w:type="spellStart"/>
            <w:r w:rsidRPr="00292532">
              <w:rPr>
                <w:rFonts w:ascii="Arial" w:eastAsia="Calibri" w:hAnsi="Arial" w:cs="Arial"/>
                <w:sz w:val="20"/>
                <w:szCs w:val="20"/>
                <w:lang w:val="pt-PT"/>
              </w:rPr>
              <w:t>inspectores</w:t>
            </w:r>
            <w:proofErr w:type="spellEnd"/>
            <w:r w:rsidRPr="00292532">
              <w:rPr>
                <w:rFonts w:ascii="Arial" w:eastAsia="Calibri" w:hAnsi="Arial" w:cs="Arial"/>
                <w:sz w:val="20"/>
                <w:szCs w:val="20"/>
                <w:lang w:val="pt-PT"/>
              </w:rPr>
              <w:t>.</w:t>
            </w:r>
          </w:p>
        </w:tc>
      </w:tr>
    </w:tbl>
    <w:p w14:paraId="2AFA70CC" w14:textId="77777777" w:rsidR="00B31AE2" w:rsidRPr="00292532" w:rsidRDefault="00B31AE2" w:rsidP="00B31AE2">
      <w:pPr>
        <w:spacing w:after="200"/>
        <w:rPr>
          <w:rFonts w:ascii="Arial" w:eastAsia="Calibri" w:hAnsi="Arial" w:cs="Arial"/>
          <w:sz w:val="20"/>
          <w:lang w:val="pt-PT"/>
        </w:rPr>
      </w:pPr>
    </w:p>
    <w:p w14:paraId="64C5FF66" w14:textId="3A1A7641" w:rsidR="00B31AE2" w:rsidRPr="00292532" w:rsidRDefault="00B31AE2" w:rsidP="00AE14AE">
      <w:pPr>
        <w:keepNext/>
        <w:keepLines/>
        <w:numPr>
          <w:ilvl w:val="0"/>
          <w:numId w:val="121"/>
        </w:numPr>
        <w:spacing w:before="200" w:after="200" w:line="276" w:lineRule="auto"/>
        <w:ind w:left="426"/>
        <w:jc w:val="left"/>
        <w:outlineLvl w:val="1"/>
        <w:rPr>
          <w:rFonts w:ascii="Arial" w:eastAsia="Times New Roman" w:hAnsi="Arial" w:cs="Arial"/>
          <w:b/>
          <w:bCs/>
          <w:color w:val="4472C4"/>
          <w:sz w:val="26"/>
          <w:szCs w:val="26"/>
          <w:lang w:val="pt-PT"/>
        </w:rPr>
      </w:pPr>
      <w:bookmarkStart w:id="928" w:name="_Toc69283495"/>
      <w:bookmarkStart w:id="929" w:name="_Toc74921474"/>
      <w:bookmarkStart w:id="930" w:name="_Toc75438050"/>
      <w:bookmarkStart w:id="931" w:name="_Toc78435482"/>
      <w:bookmarkStart w:id="932" w:name="_Toc80380152"/>
      <w:r w:rsidRPr="00292532">
        <w:rPr>
          <w:rFonts w:ascii="Arial" w:eastAsia="Times New Roman" w:hAnsi="Arial" w:cs="Arial"/>
          <w:b/>
          <w:bCs/>
          <w:color w:val="4472C4"/>
          <w:sz w:val="26"/>
          <w:szCs w:val="26"/>
          <w:lang w:val="pt-PT"/>
        </w:rPr>
        <w:t>VISÃO GERAL DO USO DE MÃO DE OBRA NO PROJECTO</w:t>
      </w:r>
      <w:bookmarkEnd w:id="928"/>
      <w:bookmarkEnd w:id="929"/>
      <w:bookmarkEnd w:id="930"/>
      <w:bookmarkEnd w:id="931"/>
      <w:bookmarkEnd w:id="932"/>
    </w:p>
    <w:p w14:paraId="1AE3DC3A" w14:textId="2A895AA4" w:rsidR="00B31AE2" w:rsidRPr="00292532" w:rsidRDefault="00B31AE2" w:rsidP="00AE14AE">
      <w:pPr>
        <w:keepNext/>
        <w:keepLines/>
        <w:numPr>
          <w:ilvl w:val="1"/>
          <w:numId w:val="142"/>
        </w:numPr>
        <w:spacing w:before="40" w:after="0" w:line="276" w:lineRule="auto"/>
        <w:jc w:val="left"/>
        <w:outlineLvl w:val="2"/>
        <w:rPr>
          <w:rFonts w:ascii="Arial" w:eastAsia="Times New Roman" w:hAnsi="Arial" w:cs="Arial"/>
          <w:b/>
          <w:color w:val="1F3763"/>
          <w:sz w:val="24"/>
          <w:szCs w:val="24"/>
          <w:lang w:val="pt-PT"/>
        </w:rPr>
      </w:pPr>
      <w:bookmarkStart w:id="933" w:name="_Toc69283496"/>
      <w:bookmarkStart w:id="934" w:name="_Toc74921475"/>
      <w:bookmarkStart w:id="935" w:name="_Toc75438051"/>
      <w:bookmarkStart w:id="936" w:name="_Toc78435483"/>
      <w:bookmarkStart w:id="937" w:name="_Toc80380153"/>
      <w:r w:rsidRPr="00292532">
        <w:rPr>
          <w:rFonts w:ascii="Arial" w:eastAsia="Times New Roman" w:hAnsi="Arial" w:cs="Arial"/>
          <w:b/>
          <w:color w:val="1F3763"/>
          <w:sz w:val="24"/>
          <w:szCs w:val="24"/>
          <w:lang w:val="pt-PT"/>
        </w:rPr>
        <w:t>Visão geral</w:t>
      </w:r>
      <w:bookmarkEnd w:id="933"/>
      <w:bookmarkEnd w:id="934"/>
      <w:bookmarkEnd w:id="935"/>
      <w:bookmarkEnd w:id="936"/>
      <w:bookmarkEnd w:id="937"/>
    </w:p>
    <w:p w14:paraId="32844D53" w14:textId="77777777" w:rsidR="00B31AE2" w:rsidRPr="00292532" w:rsidRDefault="00B31AE2" w:rsidP="00B31AE2">
      <w:pPr>
        <w:spacing w:before="0" w:after="200"/>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As principais </w:t>
      </w:r>
      <w:proofErr w:type="spellStart"/>
      <w:r w:rsidRPr="00292532">
        <w:rPr>
          <w:rFonts w:ascii="Arial" w:eastAsia="Calibri" w:hAnsi="Arial" w:cs="Arial"/>
          <w:color w:val="000000"/>
          <w:sz w:val="20"/>
          <w:szCs w:val="20"/>
          <w:lang w:val="pt-PT"/>
        </w:rPr>
        <w:t>actividades</w:t>
      </w:r>
      <w:proofErr w:type="spellEnd"/>
      <w:r w:rsidRPr="00292532">
        <w:rPr>
          <w:rFonts w:ascii="Arial" w:eastAsia="Calibri" w:hAnsi="Arial" w:cs="Arial"/>
          <w:color w:val="000000"/>
          <w:sz w:val="20"/>
          <w:szCs w:val="20"/>
          <w:lang w:val="pt-PT"/>
        </w:rPr>
        <w:t xml:space="preserve"> a desenvolver no âmbito do </w:t>
      </w:r>
      <w:proofErr w:type="spellStart"/>
      <w:r w:rsidRPr="00292532">
        <w:rPr>
          <w:rFonts w:ascii="Arial" w:eastAsia="Calibri" w:hAnsi="Arial" w:cs="Arial"/>
          <w:color w:val="000000"/>
          <w:sz w:val="20"/>
          <w:szCs w:val="20"/>
          <w:lang w:val="pt-PT"/>
        </w:rPr>
        <w:t>projecto</w:t>
      </w:r>
      <w:proofErr w:type="spellEnd"/>
      <w:r w:rsidRPr="00292532">
        <w:rPr>
          <w:rFonts w:ascii="Arial" w:eastAsia="Calibri" w:hAnsi="Arial" w:cs="Arial"/>
          <w:color w:val="000000"/>
          <w:sz w:val="20"/>
          <w:szCs w:val="20"/>
          <w:lang w:val="pt-PT"/>
        </w:rPr>
        <w:t xml:space="preserve"> incluem:</w:t>
      </w:r>
    </w:p>
    <w:p w14:paraId="18974218" w14:textId="77777777" w:rsidR="00B31AE2" w:rsidRPr="00292532" w:rsidRDefault="00B31AE2" w:rsidP="00B31AE2">
      <w:pPr>
        <w:spacing w:before="0" w:after="0" w:line="276" w:lineRule="auto"/>
        <w:rPr>
          <w:rFonts w:ascii="Arial" w:eastAsia="Calibri" w:hAnsi="Arial" w:cs="Arial"/>
          <w:b/>
          <w:bCs/>
          <w:sz w:val="20"/>
          <w:szCs w:val="20"/>
          <w:lang w:val="pt-PT"/>
        </w:rPr>
      </w:pPr>
      <w:r w:rsidRPr="00292532">
        <w:rPr>
          <w:rFonts w:ascii="Arial" w:eastAsia="Calibri" w:hAnsi="Arial" w:cs="Arial"/>
          <w:b/>
          <w:bCs/>
          <w:sz w:val="20"/>
          <w:szCs w:val="20"/>
          <w:lang w:val="pt-PT"/>
        </w:rPr>
        <w:t>Construção e reabilitação de infraestruturas de abastecimento de água e saneamento</w:t>
      </w:r>
      <w:r w:rsidRPr="00292532">
        <w:rPr>
          <w:rFonts w:eastAsia="Calibri" w:cs="Times New Roman"/>
          <w:lang w:val="pt-PT"/>
        </w:rPr>
        <w:t xml:space="preserve"> </w:t>
      </w:r>
      <w:r w:rsidRPr="00292532">
        <w:rPr>
          <w:rFonts w:ascii="Arial" w:eastAsia="Calibri" w:hAnsi="Arial" w:cs="Arial"/>
          <w:b/>
          <w:bCs/>
          <w:sz w:val="20"/>
          <w:szCs w:val="20"/>
          <w:lang w:val="pt-PT"/>
        </w:rPr>
        <w:t>em zonas rurais e vilas</w:t>
      </w:r>
    </w:p>
    <w:p w14:paraId="7DCF5D7E" w14:textId="77777777" w:rsidR="00B31AE2" w:rsidRPr="00292532" w:rsidRDefault="00B31AE2" w:rsidP="00AE14AE">
      <w:pPr>
        <w:numPr>
          <w:ilvl w:val="0"/>
          <w:numId w:val="140"/>
        </w:numPr>
        <w:autoSpaceDE w:val="0"/>
        <w:autoSpaceDN w:val="0"/>
        <w:adjustRightInd w:val="0"/>
        <w:spacing w:before="0" w:after="0" w:line="276" w:lineRule="auto"/>
        <w:contextualSpacing/>
        <w:jc w:val="left"/>
        <w:rPr>
          <w:rFonts w:ascii="Arial" w:eastAsia="Calibri" w:hAnsi="Arial" w:cs="Arial"/>
          <w:sz w:val="20"/>
          <w:szCs w:val="20"/>
          <w:lang w:val="pt-PT"/>
        </w:rPr>
      </w:pPr>
      <w:r w:rsidRPr="00292532">
        <w:rPr>
          <w:rFonts w:ascii="Arial" w:eastAsia="Calibri" w:hAnsi="Arial" w:cs="Arial"/>
          <w:sz w:val="20"/>
          <w:szCs w:val="20"/>
          <w:lang w:val="pt-PT"/>
        </w:rPr>
        <w:t>Construção e reabilitação de sistemas de abastecimento de água, incluindo intervenções na fonte, adução, tratamento e distribuição.</w:t>
      </w:r>
    </w:p>
    <w:p w14:paraId="1742B59E" w14:textId="77777777" w:rsidR="00B31AE2" w:rsidRPr="00292532" w:rsidRDefault="00B31AE2" w:rsidP="00AE14AE">
      <w:pPr>
        <w:numPr>
          <w:ilvl w:val="0"/>
          <w:numId w:val="140"/>
        </w:numPr>
        <w:autoSpaceDE w:val="0"/>
        <w:autoSpaceDN w:val="0"/>
        <w:adjustRightInd w:val="0"/>
        <w:spacing w:before="0" w:after="0" w:line="276" w:lineRule="auto"/>
        <w:contextualSpacing/>
        <w:jc w:val="left"/>
        <w:rPr>
          <w:rFonts w:ascii="Arial" w:eastAsia="Calibri" w:hAnsi="Arial" w:cs="Arial"/>
          <w:sz w:val="20"/>
          <w:szCs w:val="20"/>
          <w:lang w:val="pt-PT"/>
        </w:rPr>
      </w:pPr>
      <w:r w:rsidRPr="00292532">
        <w:rPr>
          <w:rFonts w:ascii="Arial" w:eastAsia="Calibri" w:hAnsi="Arial" w:cs="Arial"/>
          <w:sz w:val="20"/>
          <w:szCs w:val="20"/>
          <w:lang w:val="pt-PT"/>
        </w:rPr>
        <w:lastRenderedPageBreak/>
        <w:t>Intervenções localizadas de saneamento, incluindo a construção e melhoria das instalações domiciliares e ao nível das escolas</w:t>
      </w:r>
      <w:r w:rsidRPr="00292532">
        <w:rPr>
          <w:rFonts w:ascii="Arial" w:eastAsia="Calibri" w:hAnsi="Arial" w:cs="Arial"/>
          <w:sz w:val="20"/>
          <w:szCs w:val="20"/>
          <w:vertAlign w:val="superscript"/>
          <w:lang w:val="pt-PT"/>
        </w:rPr>
        <w:footnoteReference w:id="13"/>
      </w:r>
      <w:r w:rsidRPr="00292532">
        <w:rPr>
          <w:rFonts w:ascii="Arial" w:eastAsia="Calibri" w:hAnsi="Arial" w:cs="Arial"/>
          <w:sz w:val="20"/>
          <w:szCs w:val="20"/>
          <w:lang w:val="pt-PT"/>
        </w:rPr>
        <w:t xml:space="preserve"> e investimentos para gestão de lamas fecais.</w:t>
      </w:r>
    </w:p>
    <w:p w14:paraId="753E3833" w14:textId="77777777" w:rsidR="00B31AE2" w:rsidRPr="00292532" w:rsidRDefault="00B31AE2" w:rsidP="00B31AE2">
      <w:pPr>
        <w:autoSpaceDE w:val="0"/>
        <w:autoSpaceDN w:val="0"/>
        <w:adjustRightInd w:val="0"/>
        <w:spacing w:before="0" w:after="0"/>
        <w:rPr>
          <w:rFonts w:ascii="Arial" w:eastAsia="Calibri" w:hAnsi="Arial" w:cs="Arial"/>
          <w:color w:val="000000"/>
          <w:sz w:val="20"/>
          <w:szCs w:val="20"/>
          <w:lang w:val="pt-PT"/>
        </w:rPr>
      </w:pPr>
    </w:p>
    <w:p w14:paraId="6EFEF981" w14:textId="77777777" w:rsidR="00B31AE2" w:rsidRPr="00292532" w:rsidRDefault="00B31AE2" w:rsidP="00B31AE2">
      <w:pPr>
        <w:spacing w:before="0" w:after="0" w:line="276" w:lineRule="auto"/>
        <w:rPr>
          <w:rFonts w:ascii="Arial" w:eastAsia="Calibri" w:hAnsi="Arial" w:cs="Arial"/>
          <w:b/>
          <w:bCs/>
          <w:sz w:val="20"/>
          <w:szCs w:val="20"/>
          <w:lang w:val="pt-PT"/>
        </w:rPr>
      </w:pPr>
      <w:r w:rsidRPr="00292532">
        <w:rPr>
          <w:rFonts w:ascii="Arial" w:eastAsia="Calibri" w:hAnsi="Arial" w:cs="Arial"/>
          <w:b/>
          <w:bCs/>
          <w:sz w:val="20"/>
          <w:szCs w:val="20"/>
          <w:lang w:val="pt-PT"/>
        </w:rPr>
        <w:t>Subvenções baseadas no desempenho</w:t>
      </w:r>
    </w:p>
    <w:p w14:paraId="46B6C92B" w14:textId="77777777" w:rsidR="00B31AE2" w:rsidRPr="00292532" w:rsidRDefault="00B31AE2" w:rsidP="00AE14AE">
      <w:pPr>
        <w:numPr>
          <w:ilvl w:val="0"/>
          <w:numId w:val="140"/>
        </w:numPr>
        <w:autoSpaceDE w:val="0"/>
        <w:autoSpaceDN w:val="0"/>
        <w:adjustRightInd w:val="0"/>
        <w:spacing w:before="0" w:after="0" w:line="276" w:lineRule="auto"/>
        <w:contextualSpacing/>
        <w:jc w:val="left"/>
        <w:rPr>
          <w:rFonts w:ascii="Arial" w:eastAsia="Calibri" w:hAnsi="Arial" w:cs="Arial"/>
          <w:color w:val="000000"/>
          <w:sz w:val="20"/>
          <w:szCs w:val="20"/>
          <w:lang w:val="pt-PT"/>
        </w:rPr>
      </w:pPr>
      <w:r w:rsidRPr="00292532">
        <w:rPr>
          <w:rFonts w:ascii="Arial" w:eastAsia="Calibri" w:hAnsi="Arial" w:cs="Arial"/>
          <w:sz w:val="20"/>
          <w:szCs w:val="20"/>
          <w:lang w:val="pt-PT"/>
        </w:rPr>
        <w:t>Desenvolvimento</w:t>
      </w:r>
      <w:r w:rsidRPr="00292532">
        <w:rPr>
          <w:rFonts w:ascii="Arial" w:eastAsia="Calibri" w:hAnsi="Arial" w:cs="Arial"/>
          <w:color w:val="000000"/>
          <w:sz w:val="20"/>
          <w:szCs w:val="20"/>
          <w:lang w:val="pt-PT"/>
        </w:rPr>
        <w:t xml:space="preserve"> e implementação de subvenções baseadas no desempenho para:</w:t>
      </w:r>
    </w:p>
    <w:p w14:paraId="6D504179" w14:textId="77777777" w:rsidR="00B31AE2" w:rsidRPr="00292532" w:rsidRDefault="00B31AE2" w:rsidP="004500AE">
      <w:pPr>
        <w:numPr>
          <w:ilvl w:val="2"/>
          <w:numId w:val="120"/>
        </w:numPr>
        <w:autoSpaceDE w:val="0"/>
        <w:autoSpaceDN w:val="0"/>
        <w:adjustRightInd w:val="0"/>
        <w:spacing w:before="0" w:after="0" w:line="276" w:lineRule="auto"/>
        <w:contextualSpacing/>
        <w:jc w:val="left"/>
        <w:rPr>
          <w:rFonts w:ascii="Arial" w:eastAsia="Calibri" w:hAnsi="Arial" w:cs="Arial"/>
          <w:color w:val="000000"/>
          <w:sz w:val="20"/>
          <w:szCs w:val="20"/>
          <w:lang w:val="pt-PT"/>
        </w:rPr>
      </w:pPr>
      <w:r w:rsidRPr="00292532">
        <w:rPr>
          <w:rFonts w:ascii="Arial" w:eastAsia="Calibri" w:hAnsi="Arial" w:cs="Arial"/>
          <w:color w:val="000000"/>
          <w:sz w:val="20"/>
          <w:szCs w:val="20"/>
          <w:lang w:val="pt-PT"/>
        </w:rPr>
        <w:t>apoiar os governos locais para melhorarem a planificação, financiamento, implementação e supervisão dos serviços de abastecimento de água e saneamento.</w:t>
      </w:r>
    </w:p>
    <w:p w14:paraId="3AECAA68" w14:textId="77777777" w:rsidR="00B31AE2" w:rsidRPr="00292532" w:rsidRDefault="00B31AE2" w:rsidP="004500AE">
      <w:pPr>
        <w:numPr>
          <w:ilvl w:val="2"/>
          <w:numId w:val="120"/>
        </w:numPr>
        <w:autoSpaceDE w:val="0"/>
        <w:autoSpaceDN w:val="0"/>
        <w:adjustRightInd w:val="0"/>
        <w:spacing w:before="0" w:after="0" w:line="276" w:lineRule="auto"/>
        <w:contextualSpacing/>
        <w:jc w:val="left"/>
        <w:rPr>
          <w:rFonts w:ascii="Arial" w:eastAsia="Calibri" w:hAnsi="Arial" w:cs="Arial"/>
          <w:color w:val="000000"/>
          <w:sz w:val="20"/>
          <w:szCs w:val="20"/>
          <w:lang w:val="pt-PT"/>
        </w:rPr>
      </w:pPr>
      <w:r w:rsidRPr="00292532">
        <w:rPr>
          <w:rFonts w:ascii="Arial" w:eastAsia="Calibri" w:hAnsi="Arial" w:cs="Arial"/>
          <w:color w:val="000000"/>
          <w:sz w:val="20"/>
          <w:szCs w:val="20"/>
          <w:lang w:val="pt-PT"/>
        </w:rPr>
        <w:t>operadores privados providenciarem serviços de abastecimento de água e saneamento sustentáveis, resilientes e inclusivos e realizar investimentos em fontes de água dispersas e saneamento localizado a nível domiciliar e escolar com facilidades para gestão da higiene menstrual nas zonas rurais.</w:t>
      </w:r>
    </w:p>
    <w:p w14:paraId="24521D8B" w14:textId="77777777" w:rsidR="00B31AE2" w:rsidRPr="00292532" w:rsidRDefault="00B31AE2" w:rsidP="00B31AE2">
      <w:pPr>
        <w:autoSpaceDE w:val="0"/>
        <w:autoSpaceDN w:val="0"/>
        <w:adjustRightInd w:val="0"/>
        <w:spacing w:before="0" w:after="0"/>
        <w:rPr>
          <w:rFonts w:ascii="Arial" w:eastAsia="Calibri" w:hAnsi="Arial" w:cs="Arial"/>
          <w:b/>
          <w:bCs/>
          <w:sz w:val="20"/>
          <w:szCs w:val="20"/>
          <w:lang w:val="pt-PT"/>
        </w:rPr>
      </w:pPr>
    </w:p>
    <w:p w14:paraId="7D441517" w14:textId="77777777" w:rsidR="00B31AE2" w:rsidRPr="00292532" w:rsidRDefault="00B31AE2" w:rsidP="00B31AE2">
      <w:pPr>
        <w:spacing w:before="0" w:after="0" w:line="276" w:lineRule="auto"/>
        <w:rPr>
          <w:rFonts w:ascii="Arial" w:eastAsia="Calibri" w:hAnsi="Arial" w:cs="Arial"/>
          <w:b/>
          <w:bCs/>
          <w:sz w:val="20"/>
          <w:szCs w:val="20"/>
          <w:lang w:val="pt-PT"/>
        </w:rPr>
      </w:pPr>
      <w:r w:rsidRPr="00292532">
        <w:rPr>
          <w:rFonts w:ascii="Arial" w:eastAsia="Calibri" w:hAnsi="Arial" w:cs="Arial"/>
          <w:b/>
          <w:bCs/>
          <w:sz w:val="20"/>
          <w:szCs w:val="20"/>
          <w:lang w:val="pt-PT"/>
        </w:rPr>
        <w:t>Apoio Institucional</w:t>
      </w:r>
    </w:p>
    <w:p w14:paraId="37EA0B04" w14:textId="77777777" w:rsidR="00B31AE2" w:rsidRPr="00292532" w:rsidRDefault="00B31AE2" w:rsidP="00AE14AE">
      <w:pPr>
        <w:numPr>
          <w:ilvl w:val="0"/>
          <w:numId w:val="140"/>
        </w:numPr>
        <w:autoSpaceDE w:val="0"/>
        <w:autoSpaceDN w:val="0"/>
        <w:adjustRightInd w:val="0"/>
        <w:spacing w:before="0" w:after="0" w:line="276" w:lineRule="auto"/>
        <w:contextualSpacing/>
        <w:jc w:val="left"/>
        <w:rPr>
          <w:rFonts w:ascii="Arial" w:eastAsia="Calibri" w:hAnsi="Arial" w:cs="Arial"/>
          <w:sz w:val="20"/>
          <w:szCs w:val="20"/>
          <w:lang w:val="pt-PT"/>
        </w:rPr>
      </w:pPr>
      <w:r w:rsidRPr="00292532">
        <w:rPr>
          <w:rFonts w:ascii="Arial" w:eastAsia="Calibri" w:hAnsi="Arial" w:cs="Arial"/>
          <w:sz w:val="20"/>
          <w:szCs w:val="20"/>
          <w:lang w:val="pt-PT"/>
        </w:rPr>
        <w:t xml:space="preserve">Apoio ao regulador (AURA) para expansão da </w:t>
      </w:r>
      <w:proofErr w:type="spellStart"/>
      <w:r w:rsidRPr="00292532">
        <w:rPr>
          <w:rFonts w:ascii="Arial" w:eastAsia="Calibri" w:hAnsi="Arial" w:cs="Arial"/>
          <w:sz w:val="20"/>
          <w:szCs w:val="20"/>
          <w:lang w:val="pt-PT"/>
        </w:rPr>
        <w:t>acção</w:t>
      </w:r>
      <w:proofErr w:type="spellEnd"/>
      <w:r w:rsidRPr="00292532">
        <w:rPr>
          <w:rFonts w:ascii="Arial" w:eastAsia="Calibri" w:hAnsi="Arial" w:cs="Arial"/>
          <w:sz w:val="20"/>
          <w:szCs w:val="20"/>
          <w:lang w:val="pt-PT"/>
        </w:rPr>
        <w:t xml:space="preserve"> regulatória para o meio rural e fortalecer os modelos regulatórios para as vilas com um envolvimento reforçado dos governos locais e estruturas comunitárias na supervisão dos serviços; </w:t>
      </w:r>
    </w:p>
    <w:p w14:paraId="28B57571" w14:textId="77777777" w:rsidR="00B31AE2" w:rsidRPr="00292532" w:rsidRDefault="00B31AE2" w:rsidP="00AE14AE">
      <w:pPr>
        <w:numPr>
          <w:ilvl w:val="0"/>
          <w:numId w:val="140"/>
        </w:numPr>
        <w:autoSpaceDE w:val="0"/>
        <w:autoSpaceDN w:val="0"/>
        <w:adjustRightInd w:val="0"/>
        <w:spacing w:before="0" w:after="0" w:line="276" w:lineRule="auto"/>
        <w:contextualSpacing/>
        <w:jc w:val="left"/>
        <w:rPr>
          <w:rFonts w:ascii="Arial" w:eastAsia="Calibri" w:hAnsi="Arial" w:cs="Arial"/>
          <w:sz w:val="20"/>
          <w:szCs w:val="20"/>
          <w:lang w:val="pt-PT"/>
        </w:rPr>
      </w:pPr>
      <w:r w:rsidRPr="00292532">
        <w:rPr>
          <w:rFonts w:ascii="Arial" w:eastAsia="Calibri" w:hAnsi="Arial" w:cs="Arial"/>
          <w:sz w:val="20"/>
          <w:szCs w:val="20"/>
          <w:lang w:val="pt-PT"/>
        </w:rPr>
        <w:t xml:space="preserve">Revisão e harmonização do quadro legal e institucional para serviços mais sustentáveis de abastecimento de água e saneamento, incluindo o desenvolvimento de mecanismos de financiamento para investimentos ao nível local nas vilas e zonas rurais; </w:t>
      </w:r>
    </w:p>
    <w:p w14:paraId="5467337C" w14:textId="77777777" w:rsidR="00B31AE2" w:rsidRPr="00292532" w:rsidRDefault="00B31AE2" w:rsidP="00AE14AE">
      <w:pPr>
        <w:numPr>
          <w:ilvl w:val="0"/>
          <w:numId w:val="140"/>
        </w:numPr>
        <w:autoSpaceDE w:val="0"/>
        <w:autoSpaceDN w:val="0"/>
        <w:adjustRightInd w:val="0"/>
        <w:spacing w:before="0" w:after="0" w:line="276" w:lineRule="auto"/>
        <w:contextualSpacing/>
        <w:jc w:val="left"/>
        <w:rPr>
          <w:rFonts w:ascii="Arial" w:eastAsia="Calibri" w:hAnsi="Arial" w:cs="Arial"/>
          <w:sz w:val="20"/>
          <w:szCs w:val="20"/>
          <w:lang w:val="pt-PT"/>
        </w:rPr>
      </w:pPr>
      <w:r w:rsidRPr="00292532">
        <w:rPr>
          <w:rFonts w:ascii="Arial" w:eastAsia="Calibri" w:hAnsi="Arial" w:cs="Arial"/>
          <w:sz w:val="20"/>
          <w:szCs w:val="20"/>
          <w:lang w:val="pt-PT"/>
        </w:rPr>
        <w:t xml:space="preserve">Desenvolvimento de estudos preparatórios para a nova geração de investimentos de abastecimento de água e saneamento; </w:t>
      </w:r>
    </w:p>
    <w:p w14:paraId="162F082C" w14:textId="77777777" w:rsidR="00B31AE2" w:rsidRPr="00292532" w:rsidRDefault="00B31AE2" w:rsidP="00AE14AE">
      <w:pPr>
        <w:numPr>
          <w:ilvl w:val="0"/>
          <w:numId w:val="140"/>
        </w:numPr>
        <w:autoSpaceDE w:val="0"/>
        <w:autoSpaceDN w:val="0"/>
        <w:adjustRightInd w:val="0"/>
        <w:spacing w:before="0" w:after="0" w:line="276" w:lineRule="auto"/>
        <w:contextualSpacing/>
        <w:jc w:val="left"/>
        <w:rPr>
          <w:rFonts w:ascii="Arial" w:eastAsia="Calibri" w:hAnsi="Arial" w:cs="Arial"/>
          <w:sz w:val="20"/>
          <w:szCs w:val="20"/>
          <w:lang w:val="pt-PT"/>
        </w:rPr>
      </w:pPr>
      <w:r w:rsidRPr="00292532">
        <w:rPr>
          <w:rFonts w:ascii="Arial" w:eastAsia="Calibri" w:hAnsi="Arial" w:cs="Arial"/>
          <w:sz w:val="20"/>
          <w:szCs w:val="20"/>
          <w:lang w:val="pt-PT"/>
        </w:rPr>
        <w:t xml:space="preserve">Apoio à gestão do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 xml:space="preserve"> incluindo assistência técnica e custos operacionais incrementais para assegurar a conformidade fiduciária, e cobertura dos custos de preparação e implementação dos processos e documentos de salvaguardas.</w:t>
      </w:r>
    </w:p>
    <w:p w14:paraId="25593795" w14:textId="77777777" w:rsidR="00B31AE2" w:rsidRPr="00292532" w:rsidRDefault="00B31AE2" w:rsidP="00B31AE2">
      <w:pPr>
        <w:spacing w:before="0" w:after="0" w:line="276" w:lineRule="auto"/>
        <w:jc w:val="left"/>
        <w:rPr>
          <w:rFonts w:eastAsia="Calibri" w:cs="Arial"/>
          <w:b/>
          <w:bCs/>
          <w:lang w:val="pt-PT"/>
        </w:rPr>
      </w:pPr>
    </w:p>
    <w:p w14:paraId="6AB6206C" w14:textId="28BB79B5" w:rsidR="00B31AE2" w:rsidRPr="00292532" w:rsidRDefault="00B31AE2" w:rsidP="00AE14AE">
      <w:pPr>
        <w:keepNext/>
        <w:keepLines/>
        <w:numPr>
          <w:ilvl w:val="1"/>
          <w:numId w:val="142"/>
        </w:numPr>
        <w:spacing w:before="40" w:after="0" w:line="276" w:lineRule="auto"/>
        <w:jc w:val="left"/>
        <w:outlineLvl w:val="2"/>
        <w:rPr>
          <w:rFonts w:ascii="Arial" w:eastAsia="Times New Roman" w:hAnsi="Arial" w:cs="Arial"/>
          <w:b/>
          <w:color w:val="1F3763"/>
          <w:sz w:val="24"/>
          <w:szCs w:val="24"/>
          <w:lang w:val="pt-PT"/>
        </w:rPr>
      </w:pPr>
      <w:bookmarkStart w:id="938" w:name="_Toc74921476"/>
      <w:bookmarkStart w:id="939" w:name="_Toc75438052"/>
      <w:bookmarkStart w:id="940" w:name="_Toc78435484"/>
      <w:bookmarkStart w:id="941" w:name="_Toc80380154"/>
      <w:r w:rsidRPr="00292532">
        <w:rPr>
          <w:rFonts w:ascii="Arial" w:eastAsia="Times New Roman" w:hAnsi="Arial" w:cs="Arial"/>
          <w:b/>
          <w:color w:val="1F3763"/>
          <w:sz w:val="24"/>
          <w:szCs w:val="24"/>
          <w:lang w:val="pt-PT"/>
        </w:rPr>
        <w:t xml:space="preserve">Estimativa do número de trabalhadores para o </w:t>
      </w:r>
      <w:proofErr w:type="spellStart"/>
      <w:r w:rsidRPr="00292532">
        <w:rPr>
          <w:rFonts w:ascii="Arial" w:eastAsia="Times New Roman" w:hAnsi="Arial" w:cs="Arial"/>
          <w:b/>
          <w:color w:val="1F3763"/>
          <w:sz w:val="24"/>
          <w:szCs w:val="24"/>
          <w:lang w:val="pt-PT"/>
        </w:rPr>
        <w:t>projecto</w:t>
      </w:r>
      <w:bookmarkEnd w:id="938"/>
      <w:bookmarkEnd w:id="939"/>
      <w:bookmarkEnd w:id="940"/>
      <w:bookmarkEnd w:id="941"/>
      <w:proofErr w:type="spellEnd"/>
    </w:p>
    <w:p w14:paraId="6806D282" w14:textId="77777777" w:rsidR="00B31AE2" w:rsidRPr="00292532" w:rsidRDefault="00B31AE2" w:rsidP="00B31AE2">
      <w:pPr>
        <w:spacing w:before="0" w:after="200"/>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A NAS2 do Banco Mundial define quatro categorias de trabalhadores do </w:t>
      </w:r>
      <w:proofErr w:type="spellStart"/>
      <w:r w:rsidRPr="00292532">
        <w:rPr>
          <w:rFonts w:ascii="Arial" w:eastAsia="Calibri" w:hAnsi="Arial" w:cs="Arial"/>
          <w:color w:val="000000"/>
          <w:sz w:val="20"/>
          <w:szCs w:val="20"/>
          <w:lang w:val="pt-PT"/>
        </w:rPr>
        <w:t>projecto</w:t>
      </w:r>
      <w:proofErr w:type="spellEnd"/>
      <w:r w:rsidRPr="00292532">
        <w:rPr>
          <w:rFonts w:ascii="Arial" w:eastAsia="Calibri" w:hAnsi="Arial" w:cs="Arial"/>
          <w:color w:val="000000"/>
          <w:sz w:val="20"/>
          <w:szCs w:val="20"/>
          <w:lang w:val="pt-PT"/>
        </w:rPr>
        <w:t xml:space="preserve"> cujas definições são apresentadas no glossário deste Plano, nomeadamente i. Trabalhadores </w:t>
      </w:r>
      <w:proofErr w:type="spellStart"/>
      <w:r w:rsidRPr="00292532">
        <w:rPr>
          <w:rFonts w:ascii="Arial" w:eastAsia="Calibri" w:hAnsi="Arial" w:cs="Arial"/>
          <w:color w:val="000000"/>
          <w:sz w:val="20"/>
          <w:szCs w:val="20"/>
          <w:lang w:val="pt-PT"/>
        </w:rPr>
        <w:t>directos</w:t>
      </w:r>
      <w:proofErr w:type="spellEnd"/>
      <w:r w:rsidRPr="00292532">
        <w:rPr>
          <w:rFonts w:ascii="Arial" w:eastAsia="Calibri" w:hAnsi="Arial" w:cs="Arial"/>
          <w:color w:val="000000"/>
          <w:sz w:val="20"/>
          <w:szCs w:val="20"/>
          <w:lang w:val="pt-PT"/>
        </w:rPr>
        <w:t xml:space="preserve">, </w:t>
      </w:r>
      <w:proofErr w:type="spellStart"/>
      <w:r w:rsidRPr="00292532">
        <w:rPr>
          <w:rFonts w:ascii="Arial" w:eastAsia="Calibri" w:hAnsi="Arial" w:cs="Arial"/>
          <w:color w:val="000000"/>
          <w:sz w:val="20"/>
          <w:szCs w:val="20"/>
          <w:lang w:val="pt-PT"/>
        </w:rPr>
        <w:t>ii</w:t>
      </w:r>
      <w:proofErr w:type="spellEnd"/>
      <w:r w:rsidRPr="00292532">
        <w:rPr>
          <w:rFonts w:ascii="Arial" w:eastAsia="Calibri" w:hAnsi="Arial" w:cs="Arial"/>
          <w:color w:val="000000"/>
          <w:sz w:val="20"/>
          <w:szCs w:val="20"/>
          <w:lang w:val="pt-PT"/>
        </w:rPr>
        <w:t xml:space="preserve">. Trabalhadores contratados, </w:t>
      </w:r>
      <w:proofErr w:type="spellStart"/>
      <w:r w:rsidRPr="00292532">
        <w:rPr>
          <w:rFonts w:ascii="Arial" w:eastAsia="Calibri" w:hAnsi="Arial" w:cs="Arial"/>
          <w:color w:val="000000"/>
          <w:sz w:val="20"/>
          <w:szCs w:val="20"/>
          <w:lang w:val="pt-PT"/>
        </w:rPr>
        <w:t>iii</w:t>
      </w:r>
      <w:proofErr w:type="spellEnd"/>
      <w:r w:rsidRPr="00292532">
        <w:rPr>
          <w:rFonts w:ascii="Arial" w:eastAsia="Calibri" w:hAnsi="Arial" w:cs="Arial"/>
          <w:color w:val="000000"/>
          <w:sz w:val="20"/>
          <w:szCs w:val="20"/>
          <w:lang w:val="pt-PT"/>
        </w:rPr>
        <w:t xml:space="preserve">. trabalhadores de fornecimento primário e </w:t>
      </w:r>
      <w:proofErr w:type="spellStart"/>
      <w:r w:rsidRPr="00292532">
        <w:rPr>
          <w:rFonts w:ascii="Arial" w:eastAsia="Calibri" w:hAnsi="Arial" w:cs="Arial"/>
          <w:color w:val="000000"/>
          <w:sz w:val="20"/>
          <w:szCs w:val="20"/>
          <w:lang w:val="pt-PT"/>
        </w:rPr>
        <w:t>iv</w:t>
      </w:r>
      <w:proofErr w:type="spellEnd"/>
      <w:r w:rsidRPr="00292532">
        <w:rPr>
          <w:rFonts w:ascii="Arial" w:eastAsia="Calibri" w:hAnsi="Arial" w:cs="Arial"/>
          <w:color w:val="000000"/>
          <w:sz w:val="20"/>
          <w:szCs w:val="20"/>
          <w:lang w:val="pt-PT"/>
        </w:rPr>
        <w:t xml:space="preserve">. Trabalhadores comunitários. </w:t>
      </w:r>
    </w:p>
    <w:p w14:paraId="68C6A80E" w14:textId="77777777" w:rsidR="00B31AE2" w:rsidRPr="00292532" w:rsidRDefault="00B31AE2" w:rsidP="00B31AE2">
      <w:pPr>
        <w:spacing w:before="0" w:after="200"/>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As intervenções no âmbito do </w:t>
      </w:r>
      <w:proofErr w:type="spellStart"/>
      <w:r w:rsidRPr="00292532">
        <w:rPr>
          <w:rFonts w:ascii="Arial" w:eastAsia="Calibri" w:hAnsi="Arial" w:cs="Arial"/>
          <w:color w:val="000000"/>
          <w:sz w:val="20"/>
          <w:szCs w:val="20"/>
          <w:lang w:val="pt-PT"/>
        </w:rPr>
        <w:t>Projecto</w:t>
      </w:r>
      <w:proofErr w:type="spellEnd"/>
      <w:r w:rsidRPr="00292532">
        <w:rPr>
          <w:rFonts w:ascii="Arial" w:eastAsia="Calibri" w:hAnsi="Arial" w:cs="Arial"/>
          <w:color w:val="000000"/>
          <w:sz w:val="20"/>
          <w:szCs w:val="20"/>
          <w:lang w:val="pt-PT"/>
        </w:rPr>
        <w:t xml:space="preserve"> evolverão trabalhadores </w:t>
      </w:r>
      <w:proofErr w:type="spellStart"/>
      <w:r w:rsidRPr="00292532">
        <w:rPr>
          <w:rFonts w:ascii="Arial" w:eastAsia="Calibri" w:hAnsi="Arial" w:cs="Arial"/>
          <w:color w:val="000000"/>
          <w:sz w:val="20"/>
          <w:szCs w:val="20"/>
          <w:lang w:val="pt-PT"/>
        </w:rPr>
        <w:t>directos</w:t>
      </w:r>
      <w:proofErr w:type="spellEnd"/>
      <w:r w:rsidRPr="00292532">
        <w:rPr>
          <w:rFonts w:ascii="Arial" w:eastAsia="Calibri" w:hAnsi="Arial" w:cs="Arial"/>
          <w:color w:val="000000"/>
          <w:sz w:val="20"/>
          <w:szCs w:val="20"/>
          <w:lang w:val="pt-PT"/>
        </w:rPr>
        <w:t xml:space="preserve"> (funcionários públicos e consultores para fornecer assistência técnica, </w:t>
      </w:r>
      <w:proofErr w:type="spellStart"/>
      <w:r w:rsidRPr="00292532">
        <w:rPr>
          <w:rFonts w:ascii="Arial" w:eastAsia="Calibri" w:hAnsi="Arial" w:cs="Arial"/>
          <w:color w:val="000000"/>
          <w:sz w:val="20"/>
          <w:szCs w:val="20"/>
          <w:lang w:val="pt-PT"/>
        </w:rPr>
        <w:t>etc</w:t>
      </w:r>
      <w:proofErr w:type="spellEnd"/>
      <w:r w:rsidRPr="00292532">
        <w:rPr>
          <w:rFonts w:ascii="Arial" w:eastAsia="Calibri" w:hAnsi="Arial" w:cs="Arial"/>
          <w:color w:val="000000"/>
          <w:sz w:val="20"/>
          <w:szCs w:val="20"/>
          <w:lang w:val="pt-PT"/>
        </w:rPr>
        <w:t xml:space="preserve">), trabalhadores contratados (trabalhadores dos empreiteiros para </w:t>
      </w:r>
      <w:proofErr w:type="spellStart"/>
      <w:r w:rsidRPr="00292532">
        <w:rPr>
          <w:rFonts w:ascii="Arial" w:eastAsia="Calibri" w:hAnsi="Arial" w:cs="Arial"/>
          <w:color w:val="000000"/>
          <w:sz w:val="20"/>
          <w:szCs w:val="20"/>
          <w:lang w:val="pt-PT"/>
        </w:rPr>
        <w:t>actividades</w:t>
      </w:r>
      <w:proofErr w:type="spellEnd"/>
      <w:r w:rsidRPr="00292532">
        <w:rPr>
          <w:rFonts w:ascii="Arial" w:eastAsia="Calibri" w:hAnsi="Arial" w:cs="Arial"/>
          <w:color w:val="000000"/>
          <w:sz w:val="20"/>
          <w:szCs w:val="20"/>
          <w:lang w:val="pt-PT"/>
        </w:rPr>
        <w:t xml:space="preserve"> de construção e reabilitação de sistemas de abastecimento de água e saneamento</w:t>
      </w:r>
      <w:r w:rsidRPr="00292532">
        <w:rPr>
          <w:rFonts w:ascii="Arial" w:eastAsia="Calibri" w:hAnsi="Arial" w:cs="Arial"/>
          <w:sz w:val="20"/>
          <w:szCs w:val="20"/>
          <w:lang w:val="pt-PT"/>
        </w:rPr>
        <w:t>) e</w:t>
      </w:r>
      <w:r w:rsidRPr="00292532">
        <w:rPr>
          <w:rFonts w:ascii="Arial" w:eastAsia="Calibri" w:hAnsi="Arial" w:cs="Arial"/>
          <w:color w:val="000000"/>
          <w:sz w:val="20"/>
          <w:szCs w:val="20"/>
          <w:lang w:val="pt-PT"/>
        </w:rPr>
        <w:t xml:space="preserve"> trabalhadores de fornecimento primário (</w:t>
      </w:r>
      <w:r w:rsidRPr="00292532">
        <w:rPr>
          <w:rFonts w:ascii="Arial" w:eastAsia="Calibri" w:hAnsi="Arial" w:cs="Arial"/>
          <w:sz w:val="20"/>
          <w:szCs w:val="20"/>
          <w:lang w:val="pt-PT"/>
        </w:rPr>
        <w:t>fornecedores de produtos e serviços</w:t>
      </w:r>
      <w:r w:rsidRPr="00292532">
        <w:rPr>
          <w:rFonts w:ascii="Arial" w:eastAsia="Calibri" w:hAnsi="Arial" w:cs="Arial"/>
          <w:color w:val="000000"/>
          <w:sz w:val="20"/>
          <w:szCs w:val="20"/>
          <w:lang w:val="pt-PT"/>
        </w:rPr>
        <w:t>). Não se espera o uso de trabalhadores comunitários.</w:t>
      </w:r>
    </w:p>
    <w:p w14:paraId="282A1155" w14:textId="77777777" w:rsidR="00B31AE2" w:rsidRPr="00292532" w:rsidRDefault="00B31AE2" w:rsidP="00B31AE2">
      <w:pPr>
        <w:spacing w:before="0" w:after="200"/>
        <w:rPr>
          <w:rFonts w:ascii="Arial" w:eastAsia="Calibri" w:hAnsi="Arial" w:cs="Arial"/>
          <w:color w:val="000000"/>
          <w:sz w:val="20"/>
          <w:szCs w:val="20"/>
          <w:lang w:val="pt-PT"/>
        </w:rPr>
      </w:pPr>
      <w:proofErr w:type="spellStart"/>
      <w:r w:rsidRPr="00292532">
        <w:rPr>
          <w:rFonts w:ascii="Arial" w:eastAsia="Calibri" w:hAnsi="Arial" w:cs="Arial"/>
          <w:color w:val="000000"/>
          <w:sz w:val="20"/>
          <w:szCs w:val="20"/>
          <w:lang w:val="pt-PT"/>
        </w:rPr>
        <w:t>Actualmente</w:t>
      </w:r>
      <w:proofErr w:type="spellEnd"/>
      <w:r w:rsidRPr="00292532">
        <w:rPr>
          <w:rFonts w:ascii="Arial" w:eastAsia="Calibri" w:hAnsi="Arial" w:cs="Arial"/>
          <w:color w:val="000000"/>
          <w:sz w:val="20"/>
          <w:szCs w:val="20"/>
          <w:lang w:val="pt-PT"/>
        </w:rPr>
        <w:t xml:space="preserve"> não é conhecido o número </w:t>
      </w:r>
      <w:proofErr w:type="spellStart"/>
      <w:r w:rsidRPr="00292532">
        <w:rPr>
          <w:rFonts w:ascii="Arial" w:eastAsia="Calibri" w:hAnsi="Arial" w:cs="Arial"/>
          <w:color w:val="000000"/>
          <w:sz w:val="20"/>
          <w:szCs w:val="20"/>
          <w:lang w:val="pt-PT"/>
        </w:rPr>
        <w:t>exacto</w:t>
      </w:r>
      <w:proofErr w:type="spellEnd"/>
      <w:r w:rsidRPr="00292532">
        <w:rPr>
          <w:rFonts w:ascii="Arial" w:eastAsia="Calibri" w:hAnsi="Arial" w:cs="Arial"/>
          <w:color w:val="000000"/>
          <w:sz w:val="20"/>
          <w:szCs w:val="20"/>
          <w:lang w:val="pt-PT"/>
        </w:rPr>
        <w:t xml:space="preserve"> de trabalhadores </w:t>
      </w:r>
      <w:proofErr w:type="spellStart"/>
      <w:r w:rsidRPr="00292532">
        <w:rPr>
          <w:rFonts w:ascii="Arial" w:eastAsia="Calibri" w:hAnsi="Arial" w:cs="Arial"/>
          <w:color w:val="000000"/>
          <w:sz w:val="20"/>
          <w:szCs w:val="20"/>
          <w:lang w:val="pt-PT"/>
        </w:rPr>
        <w:t>directos</w:t>
      </w:r>
      <w:proofErr w:type="spellEnd"/>
      <w:r w:rsidRPr="00292532">
        <w:rPr>
          <w:rFonts w:ascii="Arial" w:eastAsia="Calibri" w:hAnsi="Arial" w:cs="Arial"/>
          <w:color w:val="000000"/>
          <w:sz w:val="20"/>
          <w:szCs w:val="20"/>
          <w:lang w:val="pt-PT"/>
        </w:rPr>
        <w:t xml:space="preserve"> a serem contratados para a implementação das </w:t>
      </w:r>
      <w:proofErr w:type="spellStart"/>
      <w:r w:rsidRPr="00292532">
        <w:rPr>
          <w:rFonts w:ascii="Arial" w:eastAsia="Calibri" w:hAnsi="Arial" w:cs="Arial"/>
          <w:color w:val="000000"/>
          <w:sz w:val="20"/>
          <w:szCs w:val="20"/>
          <w:lang w:val="pt-PT"/>
        </w:rPr>
        <w:t>actividades</w:t>
      </w:r>
      <w:proofErr w:type="spellEnd"/>
      <w:r w:rsidRPr="00292532">
        <w:rPr>
          <w:rFonts w:ascii="Arial" w:eastAsia="Calibri" w:hAnsi="Arial" w:cs="Arial"/>
          <w:color w:val="000000"/>
          <w:sz w:val="20"/>
          <w:szCs w:val="20"/>
          <w:lang w:val="pt-PT"/>
        </w:rPr>
        <w:t xml:space="preserve"> do </w:t>
      </w:r>
      <w:proofErr w:type="spellStart"/>
      <w:r w:rsidRPr="00292532">
        <w:rPr>
          <w:rFonts w:ascii="Arial" w:eastAsia="Calibri" w:hAnsi="Arial" w:cs="Arial"/>
          <w:color w:val="000000"/>
          <w:sz w:val="20"/>
          <w:szCs w:val="20"/>
          <w:lang w:val="pt-PT"/>
        </w:rPr>
        <w:t>projecto</w:t>
      </w:r>
      <w:proofErr w:type="spellEnd"/>
      <w:r w:rsidRPr="00292532">
        <w:rPr>
          <w:rFonts w:ascii="Arial" w:eastAsia="Calibri" w:hAnsi="Arial" w:cs="Arial"/>
          <w:color w:val="000000"/>
          <w:sz w:val="20"/>
          <w:szCs w:val="20"/>
          <w:vertAlign w:val="superscript"/>
          <w:lang w:val="pt-PT"/>
        </w:rPr>
        <w:footnoteReference w:id="14"/>
      </w:r>
      <w:r w:rsidRPr="00292532">
        <w:rPr>
          <w:rFonts w:ascii="Arial" w:eastAsia="Calibri" w:hAnsi="Arial" w:cs="Arial"/>
          <w:color w:val="000000"/>
          <w:sz w:val="20"/>
          <w:szCs w:val="20"/>
          <w:lang w:val="pt-PT"/>
        </w:rPr>
        <w:t xml:space="preserve">, podendo se estimar em cerca de 40 trabalhadores </w:t>
      </w:r>
      <w:proofErr w:type="spellStart"/>
      <w:r w:rsidRPr="00292532">
        <w:rPr>
          <w:rFonts w:ascii="Arial" w:eastAsia="Calibri" w:hAnsi="Arial" w:cs="Arial"/>
          <w:color w:val="000000"/>
          <w:sz w:val="20"/>
          <w:szCs w:val="20"/>
          <w:lang w:val="pt-PT"/>
        </w:rPr>
        <w:t>directos</w:t>
      </w:r>
      <w:proofErr w:type="spellEnd"/>
      <w:r w:rsidRPr="00292532">
        <w:rPr>
          <w:rFonts w:ascii="Arial" w:eastAsia="Calibri" w:hAnsi="Arial" w:cs="Arial"/>
          <w:color w:val="000000"/>
          <w:sz w:val="20"/>
          <w:szCs w:val="20"/>
          <w:lang w:val="pt-PT"/>
        </w:rPr>
        <w:t xml:space="preserve"> que incluem: (i) Coordenador do </w:t>
      </w:r>
      <w:proofErr w:type="spellStart"/>
      <w:r w:rsidRPr="00292532">
        <w:rPr>
          <w:rFonts w:ascii="Arial" w:eastAsia="Calibri" w:hAnsi="Arial" w:cs="Arial"/>
          <w:color w:val="000000"/>
          <w:sz w:val="20"/>
          <w:szCs w:val="20"/>
          <w:lang w:val="pt-PT"/>
        </w:rPr>
        <w:t>projecto</w:t>
      </w:r>
      <w:proofErr w:type="spellEnd"/>
      <w:r w:rsidRPr="00292532">
        <w:rPr>
          <w:rFonts w:ascii="Arial" w:eastAsia="Calibri" w:hAnsi="Arial" w:cs="Arial"/>
          <w:color w:val="000000"/>
          <w:sz w:val="20"/>
          <w:szCs w:val="20"/>
          <w:lang w:val="pt-PT"/>
        </w:rPr>
        <w:t xml:space="preserve"> e assistentes, (</w:t>
      </w:r>
      <w:proofErr w:type="spellStart"/>
      <w:r w:rsidRPr="00292532">
        <w:rPr>
          <w:rFonts w:ascii="Arial" w:eastAsia="Calibri" w:hAnsi="Arial" w:cs="Arial"/>
          <w:color w:val="000000"/>
          <w:sz w:val="20"/>
          <w:szCs w:val="20"/>
          <w:lang w:val="pt-PT"/>
        </w:rPr>
        <w:t>ii</w:t>
      </w:r>
      <w:proofErr w:type="spellEnd"/>
      <w:r w:rsidRPr="00292532">
        <w:rPr>
          <w:rFonts w:ascii="Arial" w:eastAsia="Calibri" w:hAnsi="Arial" w:cs="Arial"/>
          <w:color w:val="000000"/>
          <w:sz w:val="20"/>
          <w:szCs w:val="20"/>
          <w:lang w:val="pt-PT"/>
        </w:rPr>
        <w:t>) Gestores dos subprojectos, (</w:t>
      </w:r>
      <w:proofErr w:type="spellStart"/>
      <w:r w:rsidRPr="00292532">
        <w:rPr>
          <w:rFonts w:ascii="Arial" w:eastAsia="Calibri" w:hAnsi="Arial" w:cs="Arial"/>
          <w:color w:val="000000"/>
          <w:sz w:val="20"/>
          <w:szCs w:val="20"/>
          <w:lang w:val="pt-PT"/>
        </w:rPr>
        <w:t>iii</w:t>
      </w:r>
      <w:proofErr w:type="spellEnd"/>
      <w:r w:rsidRPr="00292532">
        <w:rPr>
          <w:rFonts w:ascii="Arial" w:eastAsia="Calibri" w:hAnsi="Arial" w:cs="Arial"/>
          <w:color w:val="000000"/>
          <w:sz w:val="20"/>
          <w:szCs w:val="20"/>
          <w:lang w:val="pt-PT"/>
        </w:rPr>
        <w:t>) Oficial de Salvaguardas, (</w:t>
      </w:r>
      <w:proofErr w:type="spellStart"/>
      <w:r w:rsidRPr="00292532">
        <w:rPr>
          <w:rFonts w:ascii="Arial" w:eastAsia="Calibri" w:hAnsi="Arial" w:cs="Arial"/>
          <w:color w:val="000000"/>
          <w:sz w:val="20"/>
          <w:szCs w:val="20"/>
          <w:lang w:val="pt-PT"/>
        </w:rPr>
        <w:t>iv</w:t>
      </w:r>
      <w:proofErr w:type="spellEnd"/>
      <w:r w:rsidRPr="00292532">
        <w:rPr>
          <w:rFonts w:ascii="Arial" w:eastAsia="Calibri" w:hAnsi="Arial" w:cs="Arial"/>
          <w:color w:val="000000"/>
          <w:sz w:val="20"/>
          <w:szCs w:val="20"/>
          <w:lang w:val="pt-PT"/>
        </w:rPr>
        <w:t>) Oficial de monitoria e Avaliação, (v) Administração e finanças, (vi) Oficial de aquisições, (</w:t>
      </w:r>
      <w:proofErr w:type="spellStart"/>
      <w:r w:rsidRPr="00292532">
        <w:rPr>
          <w:rFonts w:ascii="Arial" w:eastAsia="Calibri" w:hAnsi="Arial" w:cs="Arial"/>
          <w:color w:val="000000"/>
          <w:sz w:val="20"/>
          <w:szCs w:val="20"/>
          <w:lang w:val="pt-PT"/>
        </w:rPr>
        <w:t>vii</w:t>
      </w:r>
      <w:proofErr w:type="spellEnd"/>
      <w:r w:rsidRPr="00292532">
        <w:rPr>
          <w:rFonts w:ascii="Arial" w:eastAsia="Calibri" w:hAnsi="Arial" w:cs="Arial"/>
          <w:color w:val="000000"/>
          <w:sz w:val="20"/>
          <w:szCs w:val="20"/>
          <w:lang w:val="pt-PT"/>
        </w:rPr>
        <w:t xml:space="preserve">) Especialista em género e outros especialistas/técnicos a serem contratados (temporários ou permanentes) para atenderem as necessidades do </w:t>
      </w:r>
      <w:proofErr w:type="spellStart"/>
      <w:r w:rsidRPr="00292532">
        <w:rPr>
          <w:rFonts w:ascii="Arial" w:eastAsia="Calibri" w:hAnsi="Arial" w:cs="Arial"/>
          <w:color w:val="000000"/>
          <w:sz w:val="20"/>
          <w:szCs w:val="20"/>
          <w:lang w:val="pt-PT"/>
        </w:rPr>
        <w:t>projecto</w:t>
      </w:r>
      <w:proofErr w:type="spellEnd"/>
      <w:r w:rsidRPr="00292532">
        <w:rPr>
          <w:rFonts w:ascii="Arial" w:eastAsia="Calibri" w:hAnsi="Arial" w:cs="Arial"/>
          <w:color w:val="000000"/>
          <w:sz w:val="20"/>
          <w:szCs w:val="20"/>
          <w:lang w:val="pt-PT"/>
        </w:rPr>
        <w:t xml:space="preserve">. Estes trabalhadores irão trabalhar com um número </w:t>
      </w:r>
      <w:proofErr w:type="spellStart"/>
      <w:r w:rsidRPr="00292532">
        <w:rPr>
          <w:rFonts w:ascii="Arial" w:eastAsia="Calibri" w:hAnsi="Arial" w:cs="Arial"/>
          <w:color w:val="000000"/>
          <w:sz w:val="20"/>
          <w:szCs w:val="20"/>
          <w:lang w:val="pt-PT"/>
        </w:rPr>
        <w:t>actualmente</w:t>
      </w:r>
      <w:proofErr w:type="spellEnd"/>
      <w:r w:rsidRPr="00292532">
        <w:rPr>
          <w:rFonts w:ascii="Arial" w:eastAsia="Calibri" w:hAnsi="Arial" w:cs="Arial"/>
          <w:color w:val="000000"/>
          <w:sz w:val="20"/>
          <w:szCs w:val="20"/>
          <w:lang w:val="pt-PT"/>
        </w:rPr>
        <w:t xml:space="preserve"> não conhecido de funcionários dos ministérios interessados no </w:t>
      </w:r>
      <w:proofErr w:type="spellStart"/>
      <w:r w:rsidRPr="00292532">
        <w:rPr>
          <w:rFonts w:ascii="Arial" w:eastAsia="Calibri" w:hAnsi="Arial" w:cs="Arial"/>
          <w:color w:val="000000"/>
          <w:sz w:val="20"/>
          <w:szCs w:val="20"/>
          <w:lang w:val="pt-PT"/>
        </w:rPr>
        <w:t>Projecto</w:t>
      </w:r>
      <w:proofErr w:type="spellEnd"/>
      <w:r w:rsidRPr="00292532">
        <w:rPr>
          <w:rFonts w:ascii="Arial" w:eastAsia="Calibri" w:hAnsi="Arial" w:cs="Arial"/>
          <w:color w:val="000000"/>
          <w:sz w:val="20"/>
          <w:szCs w:val="20"/>
          <w:lang w:val="pt-PT"/>
        </w:rPr>
        <w:t>.</w:t>
      </w:r>
    </w:p>
    <w:p w14:paraId="70E7A119" w14:textId="77777777" w:rsidR="00B31AE2" w:rsidRPr="00292532" w:rsidRDefault="00B31AE2" w:rsidP="00B31AE2">
      <w:pPr>
        <w:spacing w:before="0" w:after="200"/>
        <w:rPr>
          <w:rFonts w:ascii="Arial" w:eastAsia="Calibri" w:hAnsi="Arial" w:cs="Arial"/>
          <w:color w:val="000000"/>
          <w:sz w:val="20"/>
          <w:szCs w:val="20"/>
          <w:lang w:val="pt-PT"/>
        </w:rPr>
      </w:pPr>
      <w:r w:rsidRPr="00292532">
        <w:rPr>
          <w:rFonts w:ascii="Arial" w:eastAsia="Calibri" w:hAnsi="Arial" w:cs="Arial"/>
          <w:color w:val="000000"/>
          <w:sz w:val="20"/>
          <w:szCs w:val="20"/>
          <w:lang w:val="pt-PT"/>
        </w:rPr>
        <w:lastRenderedPageBreak/>
        <w:t xml:space="preserve">Os funcionários integrados no </w:t>
      </w:r>
      <w:proofErr w:type="spellStart"/>
      <w:r w:rsidRPr="00292532">
        <w:rPr>
          <w:rFonts w:ascii="Arial" w:eastAsia="Calibri" w:hAnsi="Arial" w:cs="Arial"/>
          <w:color w:val="000000"/>
          <w:sz w:val="20"/>
          <w:szCs w:val="20"/>
          <w:lang w:val="pt-PT"/>
        </w:rPr>
        <w:t>Projecto</w:t>
      </w:r>
      <w:proofErr w:type="spellEnd"/>
      <w:r w:rsidRPr="00292532">
        <w:rPr>
          <w:rFonts w:ascii="Arial" w:eastAsia="Calibri" w:hAnsi="Arial" w:cs="Arial"/>
          <w:color w:val="000000"/>
          <w:sz w:val="20"/>
          <w:szCs w:val="20"/>
          <w:lang w:val="pt-PT"/>
        </w:rPr>
        <w:t xml:space="preserve"> pelos ministérios e agências tuteladas em função das áreas especificas, são considerados beneficiários e pessoal de apoio, e a equipa de consultores deve fazer a transferência do conhecimento</w:t>
      </w:r>
      <w:r w:rsidRPr="00292532">
        <w:rPr>
          <w:rFonts w:ascii="Arial" w:eastAsia="Calibri" w:hAnsi="Arial" w:cs="Arial"/>
          <w:color w:val="000000"/>
          <w:sz w:val="20"/>
          <w:szCs w:val="20"/>
          <w:vertAlign w:val="superscript"/>
          <w:lang w:val="pt-PT"/>
        </w:rPr>
        <w:footnoteReference w:id="15"/>
      </w:r>
      <w:r w:rsidRPr="00292532">
        <w:rPr>
          <w:rFonts w:ascii="Arial" w:eastAsia="Calibri" w:hAnsi="Arial" w:cs="Arial"/>
          <w:color w:val="000000"/>
          <w:sz w:val="20"/>
          <w:szCs w:val="20"/>
          <w:lang w:val="pt-PT"/>
        </w:rPr>
        <w:t>.</w:t>
      </w:r>
    </w:p>
    <w:p w14:paraId="011C3745" w14:textId="77777777" w:rsidR="00B31AE2" w:rsidRPr="00292532" w:rsidRDefault="00B31AE2" w:rsidP="00B31AE2">
      <w:pPr>
        <w:spacing w:before="0" w:after="0"/>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Os dados </w:t>
      </w:r>
      <w:proofErr w:type="spellStart"/>
      <w:r w:rsidRPr="00292532">
        <w:rPr>
          <w:rFonts w:ascii="Arial" w:eastAsia="Calibri" w:hAnsi="Arial" w:cs="Arial"/>
          <w:color w:val="000000"/>
          <w:sz w:val="20"/>
          <w:szCs w:val="20"/>
          <w:lang w:val="pt-PT"/>
        </w:rPr>
        <w:t>actualmente</w:t>
      </w:r>
      <w:proofErr w:type="spellEnd"/>
      <w:r w:rsidRPr="00292532">
        <w:rPr>
          <w:rFonts w:ascii="Arial" w:eastAsia="Calibri" w:hAnsi="Arial" w:cs="Arial"/>
          <w:color w:val="000000"/>
          <w:sz w:val="20"/>
          <w:szCs w:val="20"/>
          <w:lang w:val="pt-PT"/>
        </w:rPr>
        <w:t xml:space="preserve"> disponíveis não permitem estimar o número de empresas contratadas ou beneficiárias, nem o número total de trabalhadores contratados ou trabalhadores de fornecimento primário, no entanto pela tipologia de </w:t>
      </w:r>
      <w:proofErr w:type="spellStart"/>
      <w:r w:rsidRPr="00292532">
        <w:rPr>
          <w:rFonts w:ascii="Arial" w:eastAsia="Calibri" w:hAnsi="Arial" w:cs="Arial"/>
          <w:color w:val="000000"/>
          <w:sz w:val="20"/>
          <w:szCs w:val="20"/>
          <w:lang w:val="pt-PT"/>
        </w:rPr>
        <w:t>projecto</w:t>
      </w:r>
      <w:proofErr w:type="spellEnd"/>
      <w:r w:rsidRPr="00292532">
        <w:rPr>
          <w:rFonts w:ascii="Arial" w:eastAsia="Calibri" w:hAnsi="Arial" w:cs="Arial"/>
          <w:color w:val="000000"/>
          <w:sz w:val="20"/>
          <w:szCs w:val="20"/>
          <w:lang w:val="pt-PT"/>
        </w:rPr>
        <w:t xml:space="preserve">, estima-se o envolvimento de menos de 600 trabalhadores nessas categorias, estimando-se que as empresas (empreiteiros) com maior volume de mão de obras no </w:t>
      </w:r>
      <w:proofErr w:type="spellStart"/>
      <w:r w:rsidRPr="00292532">
        <w:rPr>
          <w:rFonts w:ascii="Arial" w:eastAsia="Calibri" w:hAnsi="Arial" w:cs="Arial"/>
          <w:color w:val="000000"/>
          <w:sz w:val="20"/>
          <w:szCs w:val="20"/>
          <w:lang w:val="pt-PT"/>
        </w:rPr>
        <w:t>projecto</w:t>
      </w:r>
      <w:proofErr w:type="spellEnd"/>
      <w:r w:rsidRPr="00292532">
        <w:rPr>
          <w:rFonts w:ascii="Arial" w:eastAsia="Calibri" w:hAnsi="Arial" w:cs="Arial"/>
          <w:color w:val="000000"/>
          <w:sz w:val="20"/>
          <w:szCs w:val="20"/>
          <w:lang w:val="pt-PT"/>
        </w:rPr>
        <w:t xml:space="preserve"> terão abaixo de 150 trabalhadores. </w:t>
      </w:r>
    </w:p>
    <w:p w14:paraId="3280F6DB" w14:textId="77777777" w:rsidR="00B31AE2" w:rsidRPr="00292532" w:rsidRDefault="00B31AE2" w:rsidP="00B31AE2">
      <w:pPr>
        <w:spacing w:before="0" w:after="200"/>
        <w:rPr>
          <w:rFonts w:ascii="Arial" w:eastAsia="Calibri" w:hAnsi="Arial" w:cs="Arial"/>
          <w:color w:val="000000"/>
          <w:sz w:val="20"/>
          <w:lang w:val="pt-PT"/>
        </w:rPr>
      </w:pPr>
    </w:p>
    <w:p w14:paraId="188B1085" w14:textId="66E4689D" w:rsidR="00B31AE2" w:rsidRPr="00292532" w:rsidRDefault="00B31AE2" w:rsidP="00AE14AE">
      <w:pPr>
        <w:keepNext/>
        <w:keepLines/>
        <w:numPr>
          <w:ilvl w:val="0"/>
          <w:numId w:val="121"/>
        </w:numPr>
        <w:spacing w:before="200" w:after="200" w:line="276" w:lineRule="auto"/>
        <w:ind w:left="426"/>
        <w:jc w:val="left"/>
        <w:outlineLvl w:val="1"/>
        <w:rPr>
          <w:rFonts w:ascii="Arial" w:eastAsia="Times New Roman" w:hAnsi="Arial" w:cs="Arial"/>
          <w:b/>
          <w:bCs/>
          <w:color w:val="4472C4"/>
          <w:sz w:val="26"/>
          <w:szCs w:val="26"/>
          <w:lang w:val="pt-PT"/>
        </w:rPr>
      </w:pPr>
      <w:bookmarkStart w:id="942" w:name="_Ref72588694"/>
      <w:bookmarkStart w:id="943" w:name="_Toc74921477"/>
      <w:bookmarkStart w:id="944" w:name="_Toc75438053"/>
      <w:bookmarkStart w:id="945" w:name="_Toc78435485"/>
      <w:bookmarkStart w:id="946" w:name="_Toc80380155"/>
      <w:r w:rsidRPr="00292532">
        <w:rPr>
          <w:rFonts w:ascii="Arial" w:eastAsia="Times New Roman" w:hAnsi="Arial" w:cs="Arial"/>
          <w:b/>
          <w:bCs/>
          <w:color w:val="4472C4"/>
          <w:sz w:val="26"/>
          <w:szCs w:val="26"/>
          <w:lang w:val="pt-PT"/>
        </w:rPr>
        <w:t xml:space="preserve">AVALIAÇÃO DOS PRINCIPAIS RISCOS </w:t>
      </w:r>
      <w:bookmarkEnd w:id="942"/>
      <w:r w:rsidRPr="00292532">
        <w:rPr>
          <w:rFonts w:ascii="Arial" w:eastAsia="Times New Roman" w:hAnsi="Arial" w:cs="Arial"/>
          <w:b/>
          <w:bCs/>
          <w:color w:val="4472C4"/>
          <w:sz w:val="26"/>
          <w:szCs w:val="26"/>
          <w:lang w:val="pt-PT"/>
        </w:rPr>
        <w:t>LIGADOS AO TRABALHADOR</w:t>
      </w:r>
      <w:bookmarkEnd w:id="943"/>
      <w:bookmarkEnd w:id="944"/>
      <w:bookmarkEnd w:id="945"/>
      <w:bookmarkEnd w:id="946"/>
    </w:p>
    <w:p w14:paraId="2A057EF2" w14:textId="77777777" w:rsidR="00B31AE2" w:rsidRPr="00292532" w:rsidRDefault="00B31AE2" w:rsidP="00B31AE2">
      <w:pPr>
        <w:spacing w:before="0" w:after="200"/>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A tabela que se segue apresenta uma estratificação dos trabalhadores do </w:t>
      </w:r>
      <w:proofErr w:type="spellStart"/>
      <w:r w:rsidRPr="00292532">
        <w:rPr>
          <w:rFonts w:ascii="Arial" w:eastAsia="Calibri" w:hAnsi="Arial" w:cs="Arial"/>
          <w:color w:val="000000"/>
          <w:sz w:val="20"/>
          <w:szCs w:val="20"/>
          <w:lang w:val="pt-PT"/>
        </w:rPr>
        <w:t>projecto</w:t>
      </w:r>
      <w:proofErr w:type="spellEnd"/>
      <w:r w:rsidRPr="00292532">
        <w:rPr>
          <w:rFonts w:ascii="Arial" w:eastAsia="Calibri" w:hAnsi="Arial" w:cs="Arial"/>
          <w:color w:val="000000"/>
          <w:sz w:val="20"/>
          <w:szCs w:val="20"/>
          <w:lang w:val="pt-PT"/>
        </w:rPr>
        <w:t xml:space="preserve"> por categoria e identifica os potenciais riscos a que poderão estar expostos.</w:t>
      </w:r>
    </w:p>
    <w:tbl>
      <w:tblPr>
        <w:tblStyle w:val="1"/>
        <w:tblW w:w="9630" w:type="dxa"/>
        <w:tblLook w:val="04A0" w:firstRow="1" w:lastRow="0" w:firstColumn="1" w:lastColumn="0" w:noHBand="0" w:noVBand="1"/>
      </w:tblPr>
      <w:tblGrid>
        <w:gridCol w:w="1701"/>
        <w:gridCol w:w="2943"/>
        <w:gridCol w:w="4986"/>
      </w:tblGrid>
      <w:tr w:rsidR="00B31AE2" w:rsidRPr="00292532" w14:paraId="51B287A6" w14:textId="77777777" w:rsidTr="00B31AE2">
        <w:trPr>
          <w:trHeight w:val="193"/>
          <w:tblHeader/>
        </w:trPr>
        <w:tc>
          <w:tcPr>
            <w:tcW w:w="1701" w:type="dxa"/>
            <w:tcBorders>
              <w:left w:val="nil"/>
              <w:right w:val="nil"/>
            </w:tcBorders>
          </w:tcPr>
          <w:p w14:paraId="2FE3C3B9" w14:textId="77777777" w:rsidR="00B31AE2" w:rsidRPr="00292532" w:rsidRDefault="00B31AE2" w:rsidP="00B31AE2">
            <w:pPr>
              <w:jc w:val="center"/>
              <w:rPr>
                <w:rFonts w:ascii="Arial" w:eastAsia="Calibri" w:hAnsi="Arial" w:cs="Arial"/>
                <w:b/>
                <w:bCs/>
                <w:sz w:val="20"/>
                <w:szCs w:val="20"/>
                <w:lang w:val="pt-PT"/>
              </w:rPr>
            </w:pPr>
            <w:r w:rsidRPr="00292532">
              <w:rPr>
                <w:rFonts w:ascii="Arial" w:eastAsia="Calibri" w:hAnsi="Arial" w:cs="Arial"/>
                <w:b/>
                <w:bCs/>
                <w:sz w:val="20"/>
                <w:szCs w:val="20"/>
                <w:lang w:val="pt-PT"/>
              </w:rPr>
              <w:t>Categoria</w:t>
            </w:r>
          </w:p>
        </w:tc>
        <w:tc>
          <w:tcPr>
            <w:tcW w:w="2943" w:type="dxa"/>
            <w:tcBorders>
              <w:left w:val="nil"/>
              <w:right w:val="nil"/>
            </w:tcBorders>
          </w:tcPr>
          <w:p w14:paraId="4FD85C12" w14:textId="77777777" w:rsidR="00B31AE2" w:rsidRPr="00292532" w:rsidRDefault="00B31AE2" w:rsidP="00B31AE2">
            <w:pPr>
              <w:jc w:val="center"/>
              <w:rPr>
                <w:rFonts w:ascii="Arial" w:eastAsia="Calibri" w:hAnsi="Arial" w:cs="Arial"/>
                <w:b/>
                <w:bCs/>
                <w:sz w:val="20"/>
                <w:szCs w:val="20"/>
                <w:lang w:val="pt-PT"/>
              </w:rPr>
            </w:pPr>
            <w:r w:rsidRPr="00292532">
              <w:rPr>
                <w:rFonts w:ascii="Arial" w:eastAsia="Calibri" w:hAnsi="Arial" w:cs="Arial"/>
                <w:b/>
                <w:bCs/>
                <w:sz w:val="20"/>
                <w:szCs w:val="20"/>
                <w:lang w:val="pt-PT"/>
              </w:rPr>
              <w:t>Subcategoria</w:t>
            </w:r>
          </w:p>
        </w:tc>
        <w:tc>
          <w:tcPr>
            <w:tcW w:w="4986" w:type="dxa"/>
            <w:tcBorders>
              <w:left w:val="nil"/>
              <w:right w:val="nil"/>
            </w:tcBorders>
          </w:tcPr>
          <w:p w14:paraId="3A510827" w14:textId="77777777" w:rsidR="00B31AE2" w:rsidRPr="00292532" w:rsidRDefault="00B31AE2" w:rsidP="00B31AE2">
            <w:pPr>
              <w:jc w:val="center"/>
              <w:rPr>
                <w:rFonts w:ascii="Arial" w:eastAsia="Calibri" w:hAnsi="Arial" w:cs="Arial"/>
                <w:b/>
                <w:bCs/>
                <w:sz w:val="20"/>
                <w:szCs w:val="20"/>
                <w:lang w:val="pt-PT"/>
              </w:rPr>
            </w:pPr>
            <w:r w:rsidRPr="00292532">
              <w:rPr>
                <w:rFonts w:ascii="Arial" w:eastAsia="Calibri" w:hAnsi="Arial" w:cs="Arial"/>
                <w:b/>
                <w:bCs/>
                <w:sz w:val="20"/>
                <w:szCs w:val="20"/>
                <w:lang w:val="pt-PT"/>
              </w:rPr>
              <w:t>Principais riscos</w:t>
            </w:r>
          </w:p>
        </w:tc>
      </w:tr>
      <w:tr w:rsidR="00B31AE2" w:rsidRPr="004E2EAC" w14:paraId="79196336" w14:textId="77777777" w:rsidTr="00B31AE2">
        <w:trPr>
          <w:trHeight w:val="914"/>
        </w:trPr>
        <w:tc>
          <w:tcPr>
            <w:tcW w:w="1701" w:type="dxa"/>
            <w:vMerge w:val="restart"/>
            <w:tcBorders>
              <w:left w:val="nil"/>
              <w:right w:val="nil"/>
            </w:tcBorders>
            <w:vAlign w:val="center"/>
          </w:tcPr>
          <w:p w14:paraId="490AD015" w14:textId="77777777" w:rsidR="00B31AE2" w:rsidRPr="00292532" w:rsidRDefault="00B31AE2" w:rsidP="00B31AE2">
            <w:pPr>
              <w:rPr>
                <w:rFonts w:ascii="Arial" w:eastAsia="Calibri" w:hAnsi="Arial" w:cs="Arial"/>
                <w:sz w:val="20"/>
                <w:szCs w:val="20"/>
                <w:lang w:val="pt-PT"/>
              </w:rPr>
            </w:pPr>
            <w:r w:rsidRPr="00292532">
              <w:rPr>
                <w:rFonts w:ascii="Arial" w:eastAsia="Calibri" w:hAnsi="Arial" w:cs="Arial"/>
                <w:b/>
                <w:bCs/>
                <w:sz w:val="20"/>
                <w:szCs w:val="20"/>
                <w:lang w:val="pt-PT"/>
              </w:rPr>
              <w:t xml:space="preserve">Trabalhadores </w:t>
            </w:r>
            <w:proofErr w:type="spellStart"/>
            <w:r w:rsidRPr="00292532">
              <w:rPr>
                <w:rFonts w:ascii="Arial" w:eastAsia="Calibri" w:hAnsi="Arial" w:cs="Arial"/>
                <w:b/>
                <w:bCs/>
                <w:sz w:val="20"/>
                <w:szCs w:val="20"/>
                <w:lang w:val="pt-PT"/>
              </w:rPr>
              <w:t>directos</w:t>
            </w:r>
            <w:proofErr w:type="spellEnd"/>
            <w:r w:rsidRPr="00292532">
              <w:rPr>
                <w:rFonts w:ascii="Arial" w:eastAsia="Calibri" w:hAnsi="Arial" w:cs="Arial"/>
                <w:sz w:val="20"/>
                <w:szCs w:val="20"/>
                <w:vertAlign w:val="superscript"/>
                <w:lang w:val="pt-PT"/>
              </w:rPr>
              <w:footnoteReference w:id="16"/>
            </w:r>
          </w:p>
        </w:tc>
        <w:tc>
          <w:tcPr>
            <w:tcW w:w="2943" w:type="dxa"/>
            <w:tcBorders>
              <w:left w:val="nil"/>
              <w:right w:val="nil"/>
            </w:tcBorders>
            <w:vAlign w:val="center"/>
          </w:tcPr>
          <w:p w14:paraId="3EDD9B3B" w14:textId="77777777" w:rsidR="00B31AE2" w:rsidRPr="00292532" w:rsidRDefault="00B31AE2" w:rsidP="00B31AE2">
            <w:pPr>
              <w:rPr>
                <w:rFonts w:ascii="Arial" w:eastAsia="Calibri" w:hAnsi="Arial" w:cs="Arial"/>
                <w:sz w:val="20"/>
                <w:szCs w:val="20"/>
                <w:lang w:val="pt-PT"/>
              </w:rPr>
            </w:pPr>
            <w:proofErr w:type="spellStart"/>
            <w:r w:rsidRPr="00292532">
              <w:rPr>
                <w:rFonts w:ascii="Arial" w:eastAsia="Calibri" w:hAnsi="Arial" w:cs="Arial"/>
                <w:sz w:val="20"/>
                <w:szCs w:val="20"/>
                <w:lang w:val="pt-PT"/>
              </w:rPr>
              <w:t>Actuais</w:t>
            </w:r>
            <w:proofErr w:type="spellEnd"/>
            <w:r w:rsidRPr="00292532">
              <w:rPr>
                <w:rFonts w:ascii="Arial" w:eastAsia="Calibri" w:hAnsi="Arial" w:cs="Arial"/>
                <w:sz w:val="20"/>
                <w:szCs w:val="20"/>
                <w:lang w:val="pt-PT"/>
              </w:rPr>
              <w:t xml:space="preserve"> funcionários dos ministérios/agências envolvidas na implementação do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 xml:space="preserve"> - são funcionários públicos regidos por legislação específica</w:t>
            </w:r>
          </w:p>
        </w:tc>
        <w:tc>
          <w:tcPr>
            <w:tcW w:w="4986" w:type="dxa"/>
            <w:tcBorders>
              <w:left w:val="nil"/>
              <w:right w:val="nil"/>
            </w:tcBorders>
            <w:vAlign w:val="center"/>
          </w:tcPr>
          <w:p w14:paraId="56990BF6" w14:textId="77777777" w:rsidR="00B31AE2" w:rsidRPr="00292532" w:rsidRDefault="00B31AE2" w:rsidP="00AE14AE">
            <w:pPr>
              <w:numPr>
                <w:ilvl w:val="0"/>
                <w:numId w:val="125"/>
              </w:numPr>
              <w:spacing w:line="276" w:lineRule="auto"/>
              <w:ind w:left="75" w:hanging="180"/>
              <w:contextualSpacing/>
              <w:rPr>
                <w:rFonts w:ascii="Arial" w:eastAsia="Times New Roman" w:hAnsi="Arial" w:cs="Arial"/>
                <w:sz w:val="20"/>
                <w:szCs w:val="20"/>
                <w:lang w:val="pt-PT"/>
              </w:rPr>
            </w:pPr>
            <w:r w:rsidRPr="00292532">
              <w:rPr>
                <w:rFonts w:ascii="Arial" w:eastAsia="Times New Roman" w:hAnsi="Arial" w:cs="Arial"/>
                <w:sz w:val="20"/>
                <w:szCs w:val="20"/>
                <w:lang w:val="pt-PT"/>
              </w:rPr>
              <w:t>Acidentes de viagem.</w:t>
            </w:r>
          </w:p>
          <w:p w14:paraId="486CBAED" w14:textId="77777777" w:rsidR="00B31AE2" w:rsidRPr="00292532" w:rsidRDefault="00B31AE2" w:rsidP="00AE14AE">
            <w:pPr>
              <w:numPr>
                <w:ilvl w:val="0"/>
                <w:numId w:val="125"/>
              </w:numPr>
              <w:spacing w:line="276" w:lineRule="auto"/>
              <w:ind w:left="75" w:hanging="180"/>
              <w:contextualSpacing/>
              <w:rPr>
                <w:rFonts w:ascii="Arial" w:eastAsia="Times New Roman" w:hAnsi="Arial" w:cs="Arial"/>
                <w:sz w:val="20"/>
                <w:szCs w:val="20"/>
                <w:lang w:val="pt-PT"/>
              </w:rPr>
            </w:pPr>
            <w:r w:rsidRPr="00292532">
              <w:rPr>
                <w:rFonts w:ascii="Arial" w:eastAsia="Times New Roman" w:hAnsi="Arial" w:cs="Arial"/>
                <w:sz w:val="20"/>
                <w:szCs w:val="20"/>
                <w:lang w:val="pt-PT"/>
              </w:rPr>
              <w:t>Exposição a COVID-19</w:t>
            </w:r>
            <w:r w:rsidRPr="00292532">
              <w:rPr>
                <w:rFonts w:ascii="Arial" w:eastAsia="Times New Roman" w:hAnsi="Arial" w:cs="Arial"/>
                <w:sz w:val="20"/>
                <w:szCs w:val="20"/>
                <w:vertAlign w:val="superscript"/>
                <w:lang w:val="pt-PT"/>
              </w:rPr>
              <w:footnoteReference w:id="17"/>
            </w:r>
            <w:r w:rsidRPr="00292532">
              <w:rPr>
                <w:rFonts w:ascii="Arial" w:eastAsia="Times New Roman" w:hAnsi="Arial" w:cs="Arial"/>
                <w:sz w:val="20"/>
                <w:szCs w:val="20"/>
                <w:lang w:val="pt-PT"/>
              </w:rPr>
              <w:t xml:space="preserve"> (enquanto a pandemia estiver </w:t>
            </w:r>
            <w:proofErr w:type="spellStart"/>
            <w:r w:rsidRPr="00292532">
              <w:rPr>
                <w:rFonts w:ascii="Arial" w:eastAsia="Times New Roman" w:hAnsi="Arial" w:cs="Arial"/>
                <w:sz w:val="20"/>
                <w:szCs w:val="20"/>
                <w:lang w:val="pt-PT"/>
              </w:rPr>
              <w:t>activa</w:t>
            </w:r>
            <w:proofErr w:type="spellEnd"/>
            <w:r w:rsidRPr="00292532">
              <w:rPr>
                <w:rFonts w:ascii="Arial" w:eastAsia="Times New Roman" w:hAnsi="Arial" w:cs="Arial"/>
                <w:sz w:val="20"/>
                <w:szCs w:val="20"/>
                <w:lang w:val="pt-PT"/>
              </w:rPr>
              <w:t xml:space="preserve">). </w:t>
            </w:r>
          </w:p>
          <w:p w14:paraId="0E4BF8C8" w14:textId="77777777" w:rsidR="00B31AE2" w:rsidRPr="00292532" w:rsidRDefault="00B31AE2" w:rsidP="00AE14AE">
            <w:pPr>
              <w:numPr>
                <w:ilvl w:val="0"/>
                <w:numId w:val="125"/>
              </w:numPr>
              <w:spacing w:line="276" w:lineRule="auto"/>
              <w:ind w:left="75" w:hanging="180"/>
              <w:contextualSpacing/>
              <w:rPr>
                <w:rFonts w:ascii="Arial" w:eastAsia="Calibri" w:hAnsi="Arial" w:cs="Arial"/>
                <w:sz w:val="20"/>
                <w:szCs w:val="20"/>
                <w:lang w:val="pt-PT"/>
              </w:rPr>
            </w:pPr>
            <w:r w:rsidRPr="00292532">
              <w:rPr>
                <w:rFonts w:ascii="Arial" w:eastAsia="Times New Roman" w:hAnsi="Arial" w:cs="Arial"/>
                <w:sz w:val="20"/>
                <w:szCs w:val="20"/>
                <w:lang w:val="pt-PT"/>
              </w:rPr>
              <w:t>Trabalho sedentário.</w:t>
            </w:r>
          </w:p>
          <w:p w14:paraId="1393CC9A" w14:textId="77777777" w:rsidR="00B31AE2" w:rsidRPr="00292532" w:rsidRDefault="00B31AE2" w:rsidP="00AE14AE">
            <w:pPr>
              <w:numPr>
                <w:ilvl w:val="0"/>
                <w:numId w:val="125"/>
              </w:numPr>
              <w:spacing w:line="276" w:lineRule="auto"/>
              <w:ind w:left="75" w:hanging="180"/>
              <w:contextualSpacing/>
              <w:rPr>
                <w:rFonts w:ascii="Arial" w:eastAsia="Calibri" w:hAnsi="Arial" w:cs="Arial"/>
                <w:sz w:val="20"/>
                <w:szCs w:val="20"/>
                <w:lang w:val="pt-PT"/>
              </w:rPr>
            </w:pPr>
            <w:r w:rsidRPr="00292532">
              <w:rPr>
                <w:rFonts w:ascii="Arial" w:eastAsia="Times New Roman" w:hAnsi="Arial" w:cs="Arial"/>
                <w:sz w:val="20"/>
                <w:szCs w:val="20"/>
                <w:lang w:val="pt-PT"/>
              </w:rPr>
              <w:t>Doenças ocupacionais (ergonómicas).</w:t>
            </w:r>
            <w:r w:rsidRPr="00292532">
              <w:rPr>
                <w:rFonts w:ascii="Arial" w:eastAsia="Calibri" w:hAnsi="Arial" w:cs="Arial"/>
                <w:sz w:val="20"/>
                <w:szCs w:val="20"/>
                <w:lang w:val="pt-PT"/>
              </w:rPr>
              <w:t xml:space="preserve"> </w:t>
            </w:r>
          </w:p>
          <w:p w14:paraId="281CEF69" w14:textId="77777777" w:rsidR="00B31AE2" w:rsidRPr="00292532" w:rsidRDefault="00B31AE2" w:rsidP="00AE14AE">
            <w:pPr>
              <w:numPr>
                <w:ilvl w:val="0"/>
                <w:numId w:val="125"/>
              </w:numPr>
              <w:spacing w:line="276" w:lineRule="auto"/>
              <w:ind w:left="75" w:hanging="180"/>
              <w:contextualSpacing/>
              <w:rPr>
                <w:rFonts w:ascii="Arial" w:eastAsia="Calibri" w:hAnsi="Arial" w:cs="Arial"/>
                <w:sz w:val="20"/>
                <w:szCs w:val="20"/>
                <w:lang w:val="pt-PT"/>
              </w:rPr>
            </w:pPr>
            <w:r w:rsidRPr="00292532">
              <w:rPr>
                <w:rFonts w:ascii="Arial" w:eastAsia="Calibri" w:hAnsi="Arial" w:cs="Arial"/>
                <w:sz w:val="20"/>
                <w:szCs w:val="20"/>
                <w:lang w:val="pt-PT"/>
              </w:rPr>
              <w:t>Envolvimento em Violência Baseada no Género (VBG), Exploração e Abuso Sexual (EAS) e Assédio Sexual.</w:t>
            </w:r>
          </w:p>
        </w:tc>
      </w:tr>
      <w:tr w:rsidR="00B31AE2" w:rsidRPr="004E2EAC" w14:paraId="325A0CA2" w14:textId="77777777" w:rsidTr="00B31AE2">
        <w:trPr>
          <w:trHeight w:val="424"/>
        </w:trPr>
        <w:tc>
          <w:tcPr>
            <w:tcW w:w="1701" w:type="dxa"/>
            <w:vMerge/>
            <w:tcBorders>
              <w:left w:val="nil"/>
              <w:right w:val="nil"/>
            </w:tcBorders>
            <w:vAlign w:val="center"/>
          </w:tcPr>
          <w:p w14:paraId="5E00072D" w14:textId="77777777" w:rsidR="00B31AE2" w:rsidRPr="00292532" w:rsidRDefault="00B31AE2" w:rsidP="00B31AE2">
            <w:pPr>
              <w:rPr>
                <w:rFonts w:ascii="Arial" w:eastAsia="Calibri" w:hAnsi="Arial" w:cs="Arial"/>
                <w:sz w:val="20"/>
                <w:szCs w:val="20"/>
                <w:lang w:val="pt-PT"/>
              </w:rPr>
            </w:pPr>
          </w:p>
        </w:tc>
        <w:tc>
          <w:tcPr>
            <w:tcW w:w="2943" w:type="dxa"/>
            <w:tcBorders>
              <w:left w:val="nil"/>
              <w:right w:val="nil"/>
            </w:tcBorders>
            <w:vAlign w:val="center"/>
          </w:tcPr>
          <w:p w14:paraId="42202D3A" w14:textId="77777777" w:rsidR="00B31AE2" w:rsidRPr="00292532" w:rsidRDefault="00B31AE2" w:rsidP="00B31AE2">
            <w:pPr>
              <w:rPr>
                <w:rFonts w:ascii="Arial" w:eastAsia="Calibri" w:hAnsi="Arial" w:cs="Arial"/>
                <w:sz w:val="20"/>
                <w:szCs w:val="20"/>
                <w:lang w:val="pt-PT"/>
              </w:rPr>
            </w:pPr>
            <w:r w:rsidRPr="00292532">
              <w:rPr>
                <w:rFonts w:ascii="Arial" w:eastAsia="Calibri" w:hAnsi="Arial" w:cs="Arial"/>
                <w:sz w:val="20"/>
                <w:szCs w:val="20"/>
                <w:lang w:val="pt-PT"/>
              </w:rPr>
              <w:t xml:space="preserve">Consultores, técnicos contratados para apoiar na implementação do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w:t>
            </w:r>
          </w:p>
          <w:p w14:paraId="6773E8C7" w14:textId="77777777" w:rsidR="00B31AE2" w:rsidRPr="00292532" w:rsidRDefault="00B31AE2" w:rsidP="00B31AE2">
            <w:pPr>
              <w:rPr>
                <w:rFonts w:ascii="Arial" w:eastAsia="Calibri" w:hAnsi="Arial" w:cs="Arial"/>
                <w:sz w:val="20"/>
                <w:szCs w:val="20"/>
                <w:lang w:val="pt-PT"/>
              </w:rPr>
            </w:pPr>
            <w:r w:rsidRPr="00292532">
              <w:rPr>
                <w:rFonts w:ascii="Arial" w:eastAsia="Calibri" w:hAnsi="Arial" w:cs="Arial"/>
                <w:sz w:val="20"/>
                <w:szCs w:val="20"/>
                <w:lang w:val="pt-PT"/>
              </w:rPr>
              <w:t>tanto para a UIP assim como para unidades específicas dos sectores públicos</w:t>
            </w:r>
          </w:p>
        </w:tc>
        <w:tc>
          <w:tcPr>
            <w:tcW w:w="4986" w:type="dxa"/>
            <w:tcBorders>
              <w:left w:val="nil"/>
              <w:right w:val="nil"/>
            </w:tcBorders>
            <w:vAlign w:val="center"/>
          </w:tcPr>
          <w:p w14:paraId="64B60AE9" w14:textId="77777777" w:rsidR="00B31AE2" w:rsidRPr="00292532" w:rsidRDefault="00B31AE2" w:rsidP="00AE14AE">
            <w:pPr>
              <w:numPr>
                <w:ilvl w:val="0"/>
                <w:numId w:val="125"/>
              </w:numPr>
              <w:spacing w:line="276" w:lineRule="auto"/>
              <w:ind w:left="75" w:hanging="180"/>
              <w:contextualSpacing/>
              <w:rPr>
                <w:rFonts w:ascii="Arial" w:eastAsia="Calibri" w:hAnsi="Arial" w:cs="Arial"/>
                <w:sz w:val="20"/>
                <w:szCs w:val="20"/>
                <w:lang w:val="pt-PT"/>
              </w:rPr>
            </w:pPr>
            <w:r w:rsidRPr="00292532">
              <w:rPr>
                <w:rFonts w:ascii="Arial" w:eastAsia="Calibri" w:hAnsi="Arial" w:cs="Arial"/>
                <w:sz w:val="20"/>
                <w:szCs w:val="20"/>
                <w:lang w:val="pt-PT"/>
              </w:rPr>
              <w:t>Aplicam-se os riscos descritos acima.</w:t>
            </w:r>
          </w:p>
          <w:p w14:paraId="36CD66B6" w14:textId="77777777" w:rsidR="00B31AE2" w:rsidRPr="00292532" w:rsidRDefault="00B31AE2" w:rsidP="00AE14AE">
            <w:pPr>
              <w:numPr>
                <w:ilvl w:val="0"/>
                <w:numId w:val="125"/>
              </w:numPr>
              <w:spacing w:line="276" w:lineRule="auto"/>
              <w:ind w:left="75" w:hanging="180"/>
              <w:contextualSpacing/>
              <w:rPr>
                <w:rFonts w:ascii="Arial" w:eastAsia="Calibri" w:hAnsi="Arial" w:cs="Arial"/>
                <w:sz w:val="20"/>
                <w:szCs w:val="20"/>
                <w:lang w:val="pt-PT"/>
              </w:rPr>
            </w:pPr>
            <w:r w:rsidRPr="00292532">
              <w:rPr>
                <w:rFonts w:ascii="Arial" w:eastAsia="Times New Roman" w:hAnsi="Arial" w:cs="Arial"/>
                <w:sz w:val="20"/>
                <w:szCs w:val="20"/>
                <w:lang w:val="pt-PT"/>
              </w:rPr>
              <w:t>Doenças ocupacionais associadas ao stress, devido a trabalho sob pressão e por longas horas.</w:t>
            </w:r>
          </w:p>
          <w:p w14:paraId="00EA1456" w14:textId="77777777" w:rsidR="00B31AE2" w:rsidRPr="00292532" w:rsidRDefault="00B31AE2" w:rsidP="00AE14AE">
            <w:pPr>
              <w:numPr>
                <w:ilvl w:val="0"/>
                <w:numId w:val="125"/>
              </w:numPr>
              <w:spacing w:line="276" w:lineRule="auto"/>
              <w:ind w:left="75" w:hanging="180"/>
              <w:contextualSpacing/>
              <w:rPr>
                <w:rFonts w:ascii="Arial" w:eastAsia="Calibri" w:hAnsi="Arial" w:cs="Arial"/>
                <w:sz w:val="20"/>
                <w:szCs w:val="20"/>
                <w:lang w:val="pt-PT"/>
              </w:rPr>
            </w:pPr>
            <w:r w:rsidRPr="00292532">
              <w:rPr>
                <w:rFonts w:ascii="Arial" w:eastAsia="Calibri" w:hAnsi="Arial" w:cs="Arial"/>
                <w:sz w:val="20"/>
                <w:szCs w:val="20"/>
                <w:lang w:val="pt-PT"/>
              </w:rPr>
              <w:t>Conflitos laborais entre consultores/técnicos contratados pela UIP e funcionários públicos.</w:t>
            </w:r>
          </w:p>
          <w:p w14:paraId="2F1ACDE8" w14:textId="77777777" w:rsidR="00B31AE2" w:rsidRPr="00292532" w:rsidRDefault="00B31AE2" w:rsidP="00AE14AE">
            <w:pPr>
              <w:numPr>
                <w:ilvl w:val="0"/>
                <w:numId w:val="125"/>
              </w:numPr>
              <w:spacing w:line="276" w:lineRule="auto"/>
              <w:ind w:left="75" w:hanging="180"/>
              <w:contextualSpacing/>
              <w:rPr>
                <w:rFonts w:ascii="Arial" w:eastAsia="Calibri" w:hAnsi="Arial" w:cs="Arial"/>
                <w:sz w:val="20"/>
                <w:szCs w:val="20"/>
                <w:lang w:val="pt-PT"/>
              </w:rPr>
            </w:pPr>
            <w:r w:rsidRPr="00292532">
              <w:rPr>
                <w:rFonts w:ascii="Arial" w:eastAsia="Calibri" w:hAnsi="Arial" w:cs="Arial"/>
                <w:sz w:val="20"/>
                <w:szCs w:val="20"/>
                <w:lang w:val="pt-PT"/>
              </w:rPr>
              <w:t>Desvinculações prematuras de consultores que procuram “empregos mais longos”.</w:t>
            </w:r>
          </w:p>
        </w:tc>
      </w:tr>
      <w:tr w:rsidR="00B31AE2" w:rsidRPr="004E2EAC" w14:paraId="52DA8484" w14:textId="77777777" w:rsidTr="00B31AE2">
        <w:tc>
          <w:tcPr>
            <w:tcW w:w="1701" w:type="dxa"/>
            <w:vMerge w:val="restart"/>
            <w:tcBorders>
              <w:left w:val="nil"/>
              <w:right w:val="nil"/>
            </w:tcBorders>
            <w:vAlign w:val="center"/>
          </w:tcPr>
          <w:p w14:paraId="43A36F8A" w14:textId="77777777" w:rsidR="00B31AE2" w:rsidRPr="00292532" w:rsidRDefault="00B31AE2" w:rsidP="00B31AE2">
            <w:pPr>
              <w:rPr>
                <w:rFonts w:ascii="Arial" w:eastAsia="Calibri" w:hAnsi="Arial" w:cs="Arial"/>
                <w:sz w:val="20"/>
                <w:szCs w:val="20"/>
                <w:lang w:val="pt-PT"/>
              </w:rPr>
            </w:pPr>
            <w:r w:rsidRPr="00292532">
              <w:rPr>
                <w:rFonts w:ascii="Arial" w:eastAsia="Calibri" w:hAnsi="Arial" w:cs="Arial"/>
                <w:b/>
                <w:bCs/>
                <w:sz w:val="20"/>
                <w:szCs w:val="20"/>
                <w:lang w:val="pt-PT"/>
              </w:rPr>
              <w:t>Trabalhadores contratados</w:t>
            </w:r>
          </w:p>
        </w:tc>
        <w:tc>
          <w:tcPr>
            <w:tcW w:w="2943" w:type="dxa"/>
            <w:tcBorders>
              <w:left w:val="nil"/>
              <w:right w:val="nil"/>
            </w:tcBorders>
            <w:vAlign w:val="center"/>
          </w:tcPr>
          <w:p w14:paraId="6FFAEAAB" w14:textId="77777777" w:rsidR="00B31AE2" w:rsidRPr="00292532" w:rsidRDefault="00B31AE2" w:rsidP="00B31AE2">
            <w:pPr>
              <w:rPr>
                <w:rFonts w:ascii="Arial" w:eastAsia="Calibri" w:hAnsi="Arial" w:cs="Arial"/>
                <w:sz w:val="20"/>
                <w:szCs w:val="20"/>
                <w:lang w:val="pt-PT"/>
              </w:rPr>
            </w:pPr>
            <w:r w:rsidRPr="00292532">
              <w:rPr>
                <w:rFonts w:ascii="Arial" w:eastAsia="Calibri" w:hAnsi="Arial" w:cs="Arial"/>
                <w:sz w:val="20"/>
                <w:szCs w:val="20"/>
                <w:lang w:val="pt-PT"/>
              </w:rPr>
              <w:t xml:space="preserve">Trabalhadores dos empreiteiros para </w:t>
            </w:r>
            <w:proofErr w:type="spellStart"/>
            <w:r w:rsidRPr="00292532">
              <w:rPr>
                <w:rFonts w:ascii="Arial" w:eastAsia="Calibri" w:hAnsi="Arial" w:cs="Arial"/>
                <w:sz w:val="20"/>
                <w:szCs w:val="20"/>
                <w:lang w:val="pt-PT"/>
              </w:rPr>
              <w:t>actividades</w:t>
            </w:r>
            <w:proofErr w:type="spellEnd"/>
            <w:r w:rsidRPr="00292532">
              <w:rPr>
                <w:rFonts w:ascii="Arial" w:eastAsia="Calibri" w:hAnsi="Arial" w:cs="Arial"/>
                <w:sz w:val="20"/>
                <w:szCs w:val="20"/>
                <w:lang w:val="pt-PT"/>
              </w:rPr>
              <w:t xml:space="preserve"> de construção e reabilitação dos sistemas de abastecimento de água e saneamento</w:t>
            </w:r>
          </w:p>
        </w:tc>
        <w:tc>
          <w:tcPr>
            <w:tcW w:w="4986" w:type="dxa"/>
            <w:tcBorders>
              <w:left w:val="nil"/>
              <w:right w:val="nil"/>
            </w:tcBorders>
            <w:vAlign w:val="center"/>
          </w:tcPr>
          <w:p w14:paraId="08098914" w14:textId="77777777" w:rsidR="00B31AE2" w:rsidRPr="00292532" w:rsidRDefault="00B31AE2" w:rsidP="00AE14AE">
            <w:pPr>
              <w:numPr>
                <w:ilvl w:val="0"/>
                <w:numId w:val="125"/>
              </w:numPr>
              <w:spacing w:line="276" w:lineRule="auto"/>
              <w:ind w:left="75" w:hanging="180"/>
              <w:contextualSpacing/>
              <w:rPr>
                <w:rFonts w:ascii="Arial" w:eastAsia="Calibri" w:hAnsi="Arial" w:cs="Arial"/>
                <w:sz w:val="20"/>
                <w:szCs w:val="20"/>
                <w:lang w:val="pt-PT"/>
              </w:rPr>
            </w:pPr>
            <w:r w:rsidRPr="00292532">
              <w:rPr>
                <w:rFonts w:ascii="Arial" w:eastAsia="Calibri" w:hAnsi="Arial" w:cs="Arial"/>
                <w:sz w:val="20"/>
                <w:szCs w:val="20"/>
                <w:lang w:val="pt-PT"/>
              </w:rPr>
              <w:t xml:space="preserve">Violação de direitos laborais/trabalhistas básicos (ausência de contracto formal, desrespeito de carga horária, salários atrasados/não pagos, despedimentos sem justa causa/arbitrários, </w:t>
            </w:r>
            <w:proofErr w:type="spellStart"/>
            <w:r w:rsidRPr="00292532">
              <w:rPr>
                <w:rFonts w:ascii="Arial" w:eastAsia="Calibri" w:hAnsi="Arial" w:cs="Arial"/>
                <w:sz w:val="20"/>
                <w:szCs w:val="20"/>
                <w:lang w:val="pt-PT"/>
              </w:rPr>
              <w:t>etc</w:t>
            </w:r>
            <w:proofErr w:type="spellEnd"/>
            <w:r w:rsidRPr="00292532">
              <w:rPr>
                <w:rFonts w:ascii="Arial" w:eastAsia="Calibri" w:hAnsi="Arial" w:cs="Arial"/>
                <w:sz w:val="20"/>
                <w:szCs w:val="20"/>
                <w:lang w:val="pt-PT"/>
              </w:rPr>
              <w:t>).</w:t>
            </w:r>
          </w:p>
          <w:p w14:paraId="70DC678E" w14:textId="77777777" w:rsidR="00B31AE2" w:rsidRPr="00292532" w:rsidRDefault="00B31AE2" w:rsidP="00AE14AE">
            <w:pPr>
              <w:numPr>
                <w:ilvl w:val="0"/>
                <w:numId w:val="125"/>
              </w:numPr>
              <w:spacing w:line="276" w:lineRule="auto"/>
              <w:ind w:left="75" w:hanging="180"/>
              <w:contextualSpacing/>
              <w:rPr>
                <w:rFonts w:ascii="Arial" w:eastAsia="Calibri" w:hAnsi="Arial" w:cs="Arial"/>
                <w:sz w:val="20"/>
                <w:szCs w:val="20"/>
                <w:lang w:val="pt-PT"/>
              </w:rPr>
            </w:pPr>
            <w:r w:rsidRPr="00292532">
              <w:rPr>
                <w:rFonts w:ascii="Arial" w:eastAsia="Calibri" w:hAnsi="Arial" w:cs="Arial"/>
                <w:sz w:val="20"/>
                <w:szCs w:val="20"/>
                <w:lang w:val="pt-PT"/>
              </w:rPr>
              <w:lastRenderedPageBreak/>
              <w:t>Envolvimento em Violência Baseada no Género (VBG), Exploração e Abuso Sexual (EAS) e Assédio Sexual.</w:t>
            </w:r>
          </w:p>
          <w:p w14:paraId="527DA1A1" w14:textId="77777777" w:rsidR="00B31AE2" w:rsidRPr="00292532" w:rsidRDefault="00B31AE2" w:rsidP="00AE14AE">
            <w:pPr>
              <w:numPr>
                <w:ilvl w:val="0"/>
                <w:numId w:val="125"/>
              </w:numPr>
              <w:spacing w:line="276" w:lineRule="auto"/>
              <w:ind w:left="75" w:hanging="180"/>
              <w:contextualSpacing/>
              <w:rPr>
                <w:rFonts w:ascii="Arial" w:eastAsia="Calibri" w:hAnsi="Arial" w:cs="Arial"/>
                <w:sz w:val="20"/>
                <w:szCs w:val="20"/>
                <w:lang w:val="pt-PT"/>
              </w:rPr>
            </w:pPr>
            <w:r w:rsidRPr="00292532">
              <w:rPr>
                <w:rFonts w:ascii="Arial" w:eastAsia="Calibri" w:hAnsi="Arial" w:cs="Arial"/>
                <w:sz w:val="20"/>
                <w:szCs w:val="20"/>
                <w:lang w:val="pt-PT"/>
              </w:rPr>
              <w:t xml:space="preserve">Acidentes de trabalho (perfuração, aperto, contusões, esmagamento por equipamentos de trabalho e maquinarias, soterramento por deslize de terra, queda de cargas ao mesmo nível ou em altura, atropelamento, choque entre viaturas, </w:t>
            </w:r>
            <w:proofErr w:type="spellStart"/>
            <w:r w:rsidRPr="00292532">
              <w:rPr>
                <w:rFonts w:ascii="Arial" w:eastAsia="Calibri" w:hAnsi="Arial" w:cs="Arial"/>
                <w:sz w:val="20"/>
                <w:szCs w:val="20"/>
                <w:lang w:val="pt-PT"/>
              </w:rPr>
              <w:t>etc</w:t>
            </w:r>
            <w:proofErr w:type="spellEnd"/>
            <w:r w:rsidRPr="00292532">
              <w:rPr>
                <w:rFonts w:ascii="Arial" w:eastAsia="Calibri" w:hAnsi="Arial" w:cs="Arial"/>
                <w:sz w:val="20"/>
                <w:szCs w:val="20"/>
                <w:lang w:val="pt-PT"/>
              </w:rPr>
              <w:t>).</w:t>
            </w:r>
          </w:p>
          <w:p w14:paraId="38AE7ED2" w14:textId="77777777" w:rsidR="00B31AE2" w:rsidRPr="00292532" w:rsidRDefault="00B31AE2" w:rsidP="00AE14AE">
            <w:pPr>
              <w:numPr>
                <w:ilvl w:val="0"/>
                <w:numId w:val="125"/>
              </w:numPr>
              <w:spacing w:line="276" w:lineRule="auto"/>
              <w:ind w:left="75" w:hanging="180"/>
              <w:contextualSpacing/>
              <w:rPr>
                <w:rFonts w:ascii="Arial" w:eastAsia="Calibri" w:hAnsi="Arial" w:cs="Arial"/>
                <w:sz w:val="20"/>
                <w:szCs w:val="20"/>
                <w:lang w:val="pt-PT"/>
              </w:rPr>
            </w:pPr>
            <w:r w:rsidRPr="00292532">
              <w:rPr>
                <w:rFonts w:ascii="Arial" w:eastAsia="Calibri" w:hAnsi="Arial" w:cs="Arial"/>
                <w:sz w:val="20"/>
                <w:szCs w:val="20"/>
                <w:lang w:val="pt-PT"/>
              </w:rPr>
              <w:t>Incidência de trabalho infantil ou forçado.</w:t>
            </w:r>
          </w:p>
          <w:p w14:paraId="19441642" w14:textId="77777777" w:rsidR="00B31AE2" w:rsidRPr="00292532" w:rsidRDefault="00B31AE2" w:rsidP="00AE14AE">
            <w:pPr>
              <w:numPr>
                <w:ilvl w:val="0"/>
                <w:numId w:val="125"/>
              </w:numPr>
              <w:spacing w:line="276" w:lineRule="auto"/>
              <w:ind w:left="75" w:hanging="180"/>
              <w:contextualSpacing/>
              <w:rPr>
                <w:rFonts w:ascii="Arial" w:eastAsia="Calibri" w:hAnsi="Arial" w:cs="Arial"/>
                <w:sz w:val="20"/>
                <w:szCs w:val="20"/>
                <w:lang w:val="pt-PT"/>
              </w:rPr>
            </w:pPr>
            <w:r w:rsidRPr="00292532">
              <w:rPr>
                <w:rFonts w:ascii="Arial" w:eastAsia="Calibri" w:hAnsi="Arial" w:cs="Arial"/>
                <w:sz w:val="20"/>
                <w:szCs w:val="20"/>
                <w:lang w:val="pt-PT"/>
              </w:rPr>
              <w:t>Trabalho em condições insalubres (poeiras, calor, chuva, etc.).</w:t>
            </w:r>
          </w:p>
          <w:p w14:paraId="64169EE4" w14:textId="77777777" w:rsidR="00B31AE2" w:rsidRPr="00292532" w:rsidRDefault="00B31AE2" w:rsidP="00AE14AE">
            <w:pPr>
              <w:numPr>
                <w:ilvl w:val="0"/>
                <w:numId w:val="125"/>
              </w:numPr>
              <w:spacing w:line="276" w:lineRule="auto"/>
              <w:ind w:left="75" w:hanging="180"/>
              <w:contextualSpacing/>
              <w:rPr>
                <w:rFonts w:ascii="Arial" w:eastAsia="Calibri" w:hAnsi="Arial" w:cs="Arial"/>
                <w:sz w:val="20"/>
                <w:szCs w:val="20"/>
                <w:lang w:val="pt-PT"/>
              </w:rPr>
            </w:pPr>
            <w:r w:rsidRPr="00292532">
              <w:rPr>
                <w:rFonts w:ascii="Arial" w:eastAsia="Calibri" w:hAnsi="Arial" w:cs="Arial"/>
                <w:sz w:val="20"/>
                <w:szCs w:val="20"/>
                <w:lang w:val="pt-PT"/>
              </w:rPr>
              <w:t>Disseminação de doenças transmissíveis (</w:t>
            </w:r>
            <w:proofErr w:type="spellStart"/>
            <w:r w:rsidRPr="00292532">
              <w:rPr>
                <w:rFonts w:ascii="Arial" w:eastAsia="Calibri" w:hAnsi="Arial" w:cs="Arial"/>
                <w:sz w:val="20"/>
                <w:szCs w:val="20"/>
                <w:lang w:val="pt-PT"/>
              </w:rPr>
              <w:t>ITSs</w:t>
            </w:r>
            <w:proofErr w:type="spellEnd"/>
            <w:r w:rsidRPr="00292532">
              <w:rPr>
                <w:rFonts w:ascii="Arial" w:eastAsia="Calibri" w:hAnsi="Arial" w:cs="Arial"/>
                <w:sz w:val="20"/>
                <w:szCs w:val="20"/>
                <w:lang w:val="pt-PT"/>
              </w:rPr>
              <w:t xml:space="preserve">, HIV/SIDA, </w:t>
            </w:r>
            <w:proofErr w:type="spellStart"/>
            <w:r w:rsidRPr="00292532">
              <w:rPr>
                <w:rFonts w:ascii="Arial" w:eastAsia="Calibri" w:hAnsi="Arial" w:cs="Arial"/>
                <w:sz w:val="20"/>
                <w:szCs w:val="20"/>
                <w:lang w:val="pt-PT"/>
              </w:rPr>
              <w:t>etc</w:t>
            </w:r>
            <w:proofErr w:type="spellEnd"/>
            <w:r w:rsidRPr="00292532">
              <w:rPr>
                <w:rFonts w:ascii="Arial" w:eastAsia="Calibri" w:hAnsi="Arial" w:cs="Arial"/>
                <w:sz w:val="20"/>
                <w:szCs w:val="20"/>
                <w:lang w:val="pt-PT"/>
              </w:rPr>
              <w:t>)</w:t>
            </w:r>
          </w:p>
        </w:tc>
      </w:tr>
      <w:tr w:rsidR="00B31AE2" w:rsidRPr="004E2EAC" w14:paraId="47326F9B" w14:textId="77777777" w:rsidTr="00B31AE2">
        <w:trPr>
          <w:trHeight w:val="1215"/>
        </w:trPr>
        <w:tc>
          <w:tcPr>
            <w:tcW w:w="1701" w:type="dxa"/>
            <w:vMerge/>
            <w:tcBorders>
              <w:left w:val="nil"/>
              <w:right w:val="nil"/>
            </w:tcBorders>
            <w:vAlign w:val="center"/>
          </w:tcPr>
          <w:p w14:paraId="241AA72D" w14:textId="77777777" w:rsidR="00B31AE2" w:rsidRPr="00292532" w:rsidRDefault="00B31AE2" w:rsidP="00B31AE2">
            <w:pPr>
              <w:rPr>
                <w:rFonts w:ascii="Arial" w:eastAsia="Calibri" w:hAnsi="Arial" w:cs="Arial"/>
                <w:sz w:val="20"/>
                <w:szCs w:val="20"/>
                <w:lang w:val="pt-PT"/>
              </w:rPr>
            </w:pPr>
          </w:p>
        </w:tc>
        <w:tc>
          <w:tcPr>
            <w:tcW w:w="2943" w:type="dxa"/>
            <w:tcBorders>
              <w:left w:val="nil"/>
              <w:right w:val="nil"/>
            </w:tcBorders>
            <w:vAlign w:val="center"/>
          </w:tcPr>
          <w:p w14:paraId="2D8C406A" w14:textId="77777777" w:rsidR="00B31AE2" w:rsidRPr="00292532" w:rsidRDefault="00B31AE2" w:rsidP="00B31AE2">
            <w:pPr>
              <w:rPr>
                <w:rFonts w:ascii="Arial" w:eastAsia="Calibri" w:hAnsi="Arial" w:cs="Arial"/>
                <w:sz w:val="20"/>
                <w:szCs w:val="20"/>
                <w:lang w:val="pt-PT"/>
              </w:rPr>
            </w:pPr>
            <w:r w:rsidRPr="00292532">
              <w:rPr>
                <w:rFonts w:ascii="Arial" w:eastAsia="Calibri" w:hAnsi="Arial" w:cs="Arial"/>
                <w:sz w:val="20"/>
                <w:szCs w:val="20"/>
                <w:lang w:val="pt-PT"/>
              </w:rPr>
              <w:t>Beneficiários de subvenções para expandir os serviços de abastecimento de água e saneamento</w:t>
            </w:r>
          </w:p>
        </w:tc>
        <w:tc>
          <w:tcPr>
            <w:tcW w:w="4986" w:type="dxa"/>
            <w:tcBorders>
              <w:left w:val="nil"/>
              <w:right w:val="nil"/>
            </w:tcBorders>
            <w:vAlign w:val="center"/>
          </w:tcPr>
          <w:p w14:paraId="788FFEE4" w14:textId="77777777" w:rsidR="00B31AE2" w:rsidRPr="00292532" w:rsidRDefault="00B31AE2" w:rsidP="00AE14AE">
            <w:pPr>
              <w:numPr>
                <w:ilvl w:val="0"/>
                <w:numId w:val="125"/>
              </w:numPr>
              <w:spacing w:line="276" w:lineRule="auto"/>
              <w:ind w:left="75" w:hanging="180"/>
              <w:contextualSpacing/>
              <w:rPr>
                <w:rFonts w:ascii="Arial" w:eastAsia="Calibri" w:hAnsi="Arial" w:cs="Arial"/>
                <w:sz w:val="20"/>
                <w:szCs w:val="20"/>
                <w:lang w:val="pt-PT"/>
              </w:rPr>
            </w:pPr>
            <w:r w:rsidRPr="00292532">
              <w:rPr>
                <w:rFonts w:ascii="Arial" w:eastAsia="Calibri" w:hAnsi="Arial" w:cs="Arial"/>
                <w:sz w:val="20"/>
                <w:szCs w:val="20"/>
                <w:lang w:val="pt-PT"/>
              </w:rPr>
              <w:t>Aplicam-se os riscos descritos acima</w:t>
            </w:r>
          </w:p>
        </w:tc>
      </w:tr>
      <w:tr w:rsidR="00B31AE2" w:rsidRPr="004E2EAC" w14:paraId="18D2AF51" w14:textId="77777777" w:rsidTr="00B31AE2">
        <w:trPr>
          <w:trHeight w:val="1313"/>
        </w:trPr>
        <w:tc>
          <w:tcPr>
            <w:tcW w:w="1701" w:type="dxa"/>
            <w:tcBorders>
              <w:left w:val="nil"/>
              <w:right w:val="nil"/>
            </w:tcBorders>
            <w:vAlign w:val="center"/>
          </w:tcPr>
          <w:p w14:paraId="74F07408" w14:textId="77777777" w:rsidR="00B31AE2" w:rsidRPr="00292532" w:rsidRDefault="00B31AE2" w:rsidP="00B31AE2">
            <w:pPr>
              <w:rPr>
                <w:rFonts w:ascii="Arial" w:eastAsia="Calibri" w:hAnsi="Arial" w:cs="Arial"/>
                <w:b/>
                <w:i/>
                <w:sz w:val="20"/>
                <w:szCs w:val="20"/>
                <w:lang w:val="pt-PT"/>
              </w:rPr>
            </w:pPr>
            <w:r w:rsidRPr="00292532">
              <w:rPr>
                <w:rFonts w:ascii="Arial" w:eastAsia="Calibri" w:hAnsi="Arial" w:cs="Arial"/>
                <w:b/>
                <w:bCs/>
                <w:sz w:val="20"/>
                <w:szCs w:val="20"/>
                <w:lang w:val="pt-PT"/>
              </w:rPr>
              <w:t>Trabalhadores de fornecedores primários</w:t>
            </w:r>
          </w:p>
        </w:tc>
        <w:tc>
          <w:tcPr>
            <w:tcW w:w="2943" w:type="dxa"/>
            <w:tcBorders>
              <w:left w:val="nil"/>
              <w:right w:val="nil"/>
            </w:tcBorders>
            <w:vAlign w:val="center"/>
          </w:tcPr>
          <w:p w14:paraId="47A0583B" w14:textId="77777777" w:rsidR="00B31AE2" w:rsidRPr="00292532" w:rsidRDefault="00B31AE2" w:rsidP="00B31AE2">
            <w:pPr>
              <w:rPr>
                <w:rFonts w:ascii="Arial" w:eastAsia="Calibri" w:hAnsi="Arial" w:cs="Arial"/>
                <w:sz w:val="20"/>
                <w:szCs w:val="20"/>
                <w:lang w:val="pt-PT"/>
              </w:rPr>
            </w:pPr>
            <w:r w:rsidRPr="00292532">
              <w:rPr>
                <w:rFonts w:ascii="Arial" w:eastAsia="Calibri" w:hAnsi="Arial" w:cs="Arial"/>
                <w:sz w:val="20"/>
                <w:szCs w:val="20"/>
                <w:lang w:val="pt-PT"/>
              </w:rPr>
              <w:t xml:space="preserve">Trabalhadores de fornecedores produtos e serviços para o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 xml:space="preserve"> </w:t>
            </w:r>
          </w:p>
        </w:tc>
        <w:tc>
          <w:tcPr>
            <w:tcW w:w="4986" w:type="dxa"/>
            <w:tcBorders>
              <w:left w:val="nil"/>
              <w:right w:val="nil"/>
            </w:tcBorders>
            <w:vAlign w:val="center"/>
          </w:tcPr>
          <w:p w14:paraId="6D65BD0D" w14:textId="77777777" w:rsidR="00B31AE2" w:rsidRPr="00292532" w:rsidRDefault="00B31AE2" w:rsidP="00AE14AE">
            <w:pPr>
              <w:numPr>
                <w:ilvl w:val="0"/>
                <w:numId w:val="125"/>
              </w:numPr>
              <w:spacing w:line="276" w:lineRule="auto"/>
              <w:ind w:left="75" w:hanging="180"/>
              <w:contextualSpacing/>
              <w:rPr>
                <w:rFonts w:ascii="Arial" w:eastAsia="Calibri" w:hAnsi="Arial" w:cs="Arial"/>
                <w:sz w:val="20"/>
                <w:szCs w:val="20"/>
                <w:lang w:val="pt-PT"/>
              </w:rPr>
            </w:pPr>
            <w:r w:rsidRPr="00292532">
              <w:rPr>
                <w:rFonts w:ascii="Arial" w:eastAsia="Calibri" w:hAnsi="Arial" w:cs="Arial"/>
                <w:sz w:val="20"/>
                <w:szCs w:val="20"/>
                <w:lang w:val="pt-PT"/>
              </w:rPr>
              <w:t>Ocorrência de acidentes de trabalho (atropelamento, danificação do material a fornecer, choque entre viaturas).</w:t>
            </w:r>
          </w:p>
          <w:p w14:paraId="731291F5" w14:textId="77777777" w:rsidR="00B31AE2" w:rsidRPr="00292532" w:rsidRDefault="00B31AE2" w:rsidP="00AE14AE">
            <w:pPr>
              <w:numPr>
                <w:ilvl w:val="0"/>
                <w:numId w:val="125"/>
              </w:numPr>
              <w:spacing w:line="276" w:lineRule="auto"/>
              <w:ind w:left="75" w:hanging="180"/>
              <w:contextualSpacing/>
              <w:rPr>
                <w:rFonts w:ascii="Arial" w:eastAsia="Calibri" w:hAnsi="Arial" w:cs="Arial"/>
                <w:sz w:val="20"/>
                <w:szCs w:val="20"/>
                <w:lang w:val="pt-PT"/>
              </w:rPr>
            </w:pPr>
            <w:r w:rsidRPr="00292532">
              <w:rPr>
                <w:rFonts w:ascii="Arial" w:eastAsia="Calibri" w:hAnsi="Arial" w:cs="Arial"/>
                <w:sz w:val="20"/>
                <w:szCs w:val="20"/>
                <w:lang w:val="pt-PT"/>
              </w:rPr>
              <w:t>Trabalho infantil.</w:t>
            </w:r>
          </w:p>
          <w:p w14:paraId="2A76561F" w14:textId="77777777" w:rsidR="00B31AE2" w:rsidRPr="00292532" w:rsidRDefault="00B31AE2" w:rsidP="00AE14AE">
            <w:pPr>
              <w:numPr>
                <w:ilvl w:val="0"/>
                <w:numId w:val="125"/>
              </w:numPr>
              <w:spacing w:line="276" w:lineRule="auto"/>
              <w:ind w:left="75" w:hanging="180"/>
              <w:contextualSpacing/>
              <w:rPr>
                <w:rFonts w:ascii="Arial" w:eastAsia="Calibri" w:hAnsi="Arial" w:cs="Arial"/>
                <w:sz w:val="20"/>
                <w:szCs w:val="20"/>
                <w:lang w:val="pt-PT"/>
              </w:rPr>
            </w:pPr>
            <w:r w:rsidRPr="00292532">
              <w:rPr>
                <w:rFonts w:ascii="Arial" w:eastAsia="Calibri" w:hAnsi="Arial" w:cs="Arial"/>
                <w:sz w:val="20"/>
                <w:szCs w:val="20"/>
                <w:lang w:val="pt-PT"/>
              </w:rPr>
              <w:t>Envolvimento em Violência Baseada no Género (VBG), Exploração e Abuso Sexual (EAS) e Assédio Sexual.</w:t>
            </w:r>
          </w:p>
        </w:tc>
      </w:tr>
    </w:tbl>
    <w:p w14:paraId="659C77E9" w14:textId="77777777" w:rsidR="00B31AE2" w:rsidRPr="00292532" w:rsidRDefault="00B31AE2" w:rsidP="00B31AE2">
      <w:pPr>
        <w:spacing w:before="0" w:after="0"/>
        <w:rPr>
          <w:rFonts w:ascii="Arial" w:eastAsia="Calibri" w:hAnsi="Arial" w:cs="Arial"/>
          <w:b/>
          <w:color w:val="FF0000"/>
          <w:sz w:val="20"/>
          <w:szCs w:val="20"/>
          <w:lang w:val="pt-PT"/>
        </w:rPr>
      </w:pPr>
    </w:p>
    <w:p w14:paraId="3EB11C68" w14:textId="465FD907" w:rsidR="00B31AE2" w:rsidRPr="00292532" w:rsidRDefault="00B31AE2" w:rsidP="00AE14AE">
      <w:pPr>
        <w:keepNext/>
        <w:keepLines/>
        <w:numPr>
          <w:ilvl w:val="0"/>
          <w:numId w:val="121"/>
        </w:numPr>
        <w:spacing w:before="200" w:after="200" w:line="276" w:lineRule="auto"/>
        <w:jc w:val="left"/>
        <w:outlineLvl w:val="1"/>
        <w:rPr>
          <w:rFonts w:ascii="Arial" w:eastAsia="Times New Roman" w:hAnsi="Arial" w:cs="Arial"/>
          <w:b/>
          <w:bCs/>
          <w:color w:val="4472C4"/>
          <w:sz w:val="26"/>
          <w:szCs w:val="26"/>
          <w:lang w:val="pt-PT"/>
        </w:rPr>
      </w:pPr>
      <w:bookmarkStart w:id="947" w:name="_Toc74921478"/>
      <w:bookmarkStart w:id="948" w:name="_Toc75438054"/>
      <w:bookmarkStart w:id="949" w:name="_Toc78435486"/>
      <w:bookmarkStart w:id="950" w:name="_Toc80380156"/>
      <w:r w:rsidRPr="00292532">
        <w:rPr>
          <w:rFonts w:ascii="Arial" w:eastAsia="Times New Roman" w:hAnsi="Arial" w:cs="Arial"/>
          <w:b/>
          <w:bCs/>
          <w:color w:val="4472C4"/>
          <w:sz w:val="26"/>
          <w:szCs w:val="26"/>
          <w:lang w:val="pt-PT"/>
        </w:rPr>
        <w:t>GESTÃO DE EMPRESAS CONTRATADAS</w:t>
      </w:r>
      <w:bookmarkEnd w:id="947"/>
      <w:bookmarkEnd w:id="948"/>
      <w:bookmarkEnd w:id="949"/>
      <w:bookmarkEnd w:id="950"/>
    </w:p>
    <w:p w14:paraId="2B9B97CD" w14:textId="77777777" w:rsidR="00B31AE2" w:rsidRPr="00292532" w:rsidRDefault="00B31AE2" w:rsidP="00B31AE2">
      <w:pPr>
        <w:spacing w:before="0" w:after="200" w:line="276" w:lineRule="auto"/>
        <w:rPr>
          <w:rFonts w:ascii="Arial" w:eastAsia="Calibri" w:hAnsi="Arial" w:cs="Arial"/>
          <w:sz w:val="20"/>
          <w:lang w:val="pt-PT"/>
        </w:rPr>
      </w:pPr>
      <w:r w:rsidRPr="00292532">
        <w:rPr>
          <w:rFonts w:ascii="Arial" w:eastAsia="Calibri" w:hAnsi="Arial" w:cs="Arial"/>
          <w:sz w:val="20"/>
          <w:lang w:val="pt-PT"/>
        </w:rPr>
        <w:t xml:space="preserve">Algumas </w:t>
      </w:r>
      <w:proofErr w:type="spellStart"/>
      <w:r w:rsidRPr="00292532">
        <w:rPr>
          <w:rFonts w:ascii="Arial" w:eastAsia="Calibri" w:hAnsi="Arial" w:cs="Arial"/>
          <w:sz w:val="20"/>
          <w:lang w:val="pt-PT"/>
        </w:rPr>
        <w:t>actividades</w:t>
      </w:r>
      <w:proofErr w:type="spellEnd"/>
      <w:r w:rsidRPr="00292532">
        <w:rPr>
          <w:rFonts w:ascii="Arial" w:eastAsia="Calibri" w:hAnsi="Arial" w:cs="Arial"/>
          <w:sz w:val="20"/>
          <w:lang w:val="pt-PT"/>
        </w:rPr>
        <w:t xml:space="preserve"> específicas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serão desenvolvidas e apoiadas por empresas contratadas e subcontratadas (fornecedores de bens e serviços ou beneficiárias de subvenções) para garantir o alcance dos </w:t>
      </w:r>
      <w:proofErr w:type="spellStart"/>
      <w:r w:rsidRPr="00292532">
        <w:rPr>
          <w:rFonts w:ascii="Arial" w:eastAsia="Calibri" w:hAnsi="Arial" w:cs="Arial"/>
          <w:sz w:val="20"/>
          <w:lang w:val="pt-PT"/>
        </w:rPr>
        <w:t>objectivos</w:t>
      </w:r>
      <w:proofErr w:type="spellEnd"/>
      <w:r w:rsidRPr="00292532">
        <w:rPr>
          <w:rFonts w:ascii="Arial" w:eastAsia="Calibri" w:hAnsi="Arial" w:cs="Arial"/>
          <w:sz w:val="20"/>
          <w:lang w:val="pt-PT"/>
        </w:rPr>
        <w:t xml:space="preserve">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w:t>
      </w:r>
    </w:p>
    <w:p w14:paraId="0B1B5B08" w14:textId="77777777" w:rsidR="00B31AE2" w:rsidRPr="00292532" w:rsidRDefault="00B31AE2" w:rsidP="00B31AE2">
      <w:pPr>
        <w:spacing w:before="0" w:after="200" w:line="276" w:lineRule="auto"/>
        <w:rPr>
          <w:rFonts w:ascii="Arial" w:eastAsia="Calibri" w:hAnsi="Arial" w:cs="Arial"/>
          <w:sz w:val="20"/>
          <w:lang w:val="pt-PT"/>
        </w:rPr>
      </w:pPr>
      <w:r w:rsidRPr="00292532">
        <w:rPr>
          <w:rFonts w:ascii="Arial" w:eastAsia="Calibri" w:hAnsi="Arial" w:cs="Arial"/>
          <w:sz w:val="20"/>
          <w:lang w:val="pt-PT"/>
        </w:rPr>
        <w:t xml:space="preserve">Sempre que necessário proceder à contratação, será aberto um concurso de forma transparente, e divulgados os requisitos de </w:t>
      </w:r>
      <w:proofErr w:type="spellStart"/>
      <w:r w:rsidRPr="00292532">
        <w:rPr>
          <w:rFonts w:ascii="Arial" w:eastAsia="Calibri" w:hAnsi="Arial" w:cs="Arial"/>
          <w:sz w:val="20"/>
          <w:lang w:val="pt-PT"/>
        </w:rPr>
        <w:t>selecção</w:t>
      </w:r>
      <w:proofErr w:type="spellEnd"/>
      <w:r w:rsidRPr="00292532">
        <w:rPr>
          <w:rFonts w:ascii="Arial" w:eastAsia="Calibri" w:hAnsi="Arial" w:cs="Arial"/>
          <w:sz w:val="20"/>
          <w:lang w:val="pt-PT"/>
        </w:rPr>
        <w:t xml:space="preserve"> que podem incluir experiência anterior de execução de obras da mesma natureza, taxas de sinistralidade, licenças do negócio, qualificação dos recursos humanos da contratada, conformidade em questões de meio ambiente, saúde e segurança, exclusão de trabalho infantil e trabalho forçado.</w:t>
      </w:r>
    </w:p>
    <w:p w14:paraId="3380074A" w14:textId="77777777" w:rsidR="00B31AE2" w:rsidRPr="00292532" w:rsidRDefault="00B31AE2" w:rsidP="00B31AE2">
      <w:pPr>
        <w:spacing w:before="0" w:after="200" w:line="276" w:lineRule="auto"/>
        <w:rPr>
          <w:rFonts w:ascii="Arial" w:eastAsia="Calibri" w:hAnsi="Arial" w:cs="Arial"/>
          <w:color w:val="0070C0"/>
          <w:sz w:val="20"/>
          <w:szCs w:val="20"/>
          <w:lang w:val="pt-PT"/>
        </w:rPr>
      </w:pPr>
      <w:r w:rsidRPr="00292532">
        <w:rPr>
          <w:rFonts w:ascii="Arial" w:eastAsia="Calibri" w:hAnsi="Arial" w:cs="Arial"/>
          <w:sz w:val="20"/>
          <w:lang w:val="pt-PT"/>
        </w:rPr>
        <w:t xml:space="preserve">De acordo com os critérios de </w:t>
      </w:r>
      <w:proofErr w:type="spellStart"/>
      <w:r w:rsidRPr="00292532">
        <w:rPr>
          <w:rFonts w:ascii="Arial" w:eastAsia="Calibri" w:hAnsi="Arial" w:cs="Arial"/>
          <w:sz w:val="20"/>
          <w:lang w:val="pt-PT"/>
        </w:rPr>
        <w:t>selecção</w:t>
      </w:r>
      <w:proofErr w:type="spellEnd"/>
      <w:r w:rsidRPr="00292532">
        <w:rPr>
          <w:rFonts w:ascii="Arial" w:eastAsia="Calibri" w:hAnsi="Arial" w:cs="Arial"/>
          <w:sz w:val="20"/>
          <w:lang w:val="pt-PT"/>
        </w:rPr>
        <w:t xml:space="preserve">, os que atenderem melhor serão </w:t>
      </w:r>
      <w:proofErr w:type="spellStart"/>
      <w:r w:rsidRPr="00292532">
        <w:rPr>
          <w:rFonts w:ascii="Arial" w:eastAsia="Calibri" w:hAnsi="Arial" w:cs="Arial"/>
          <w:sz w:val="20"/>
          <w:lang w:val="pt-PT"/>
        </w:rPr>
        <w:t>seleccionados</w:t>
      </w:r>
      <w:proofErr w:type="spellEnd"/>
      <w:r w:rsidRPr="00292532">
        <w:rPr>
          <w:rFonts w:ascii="Arial" w:eastAsia="Calibri" w:hAnsi="Arial" w:cs="Arial"/>
          <w:sz w:val="20"/>
          <w:lang w:val="pt-PT"/>
        </w:rPr>
        <w:t xml:space="preserve"> e contratados. Os cadernos de concurso e o contracto deverão ter cláusulas que obrigam ao cumprimento do presente Plano</w:t>
      </w:r>
      <w:r w:rsidRPr="00292532" w:rsidDel="002663AC">
        <w:rPr>
          <w:rFonts w:ascii="Arial" w:eastAsia="Calibri" w:hAnsi="Arial" w:cs="Arial"/>
          <w:sz w:val="20"/>
          <w:lang w:val="pt-PT"/>
        </w:rPr>
        <w:t xml:space="preserve"> </w:t>
      </w:r>
      <w:r w:rsidRPr="00292532">
        <w:rPr>
          <w:rFonts w:ascii="Arial" w:eastAsia="Calibri" w:hAnsi="Arial" w:cs="Arial"/>
          <w:sz w:val="20"/>
          <w:lang w:val="pt-PT"/>
        </w:rPr>
        <w:t xml:space="preserve">e outros instrumentos relevantes de salvaguarda ambiental e social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incluindo códigos de conduta, procedimentos de gestão de queixas/reclamações que devem ser assinados aquando da contratação e antes do início das </w:t>
      </w:r>
      <w:proofErr w:type="spellStart"/>
      <w:r w:rsidRPr="00292532">
        <w:rPr>
          <w:rFonts w:ascii="Arial" w:eastAsia="Calibri" w:hAnsi="Arial" w:cs="Arial"/>
          <w:sz w:val="20"/>
          <w:lang w:val="pt-PT"/>
        </w:rPr>
        <w:t>actividades</w:t>
      </w:r>
      <w:proofErr w:type="spellEnd"/>
      <w:r w:rsidRPr="00292532">
        <w:rPr>
          <w:rFonts w:ascii="Arial" w:eastAsia="Calibri" w:hAnsi="Arial" w:cs="Arial"/>
          <w:sz w:val="20"/>
          <w:lang w:val="pt-PT"/>
        </w:rPr>
        <w:t xml:space="preserve"> no âmbito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conforme descrito na</w:t>
      </w:r>
      <w:r w:rsidRPr="00292532">
        <w:rPr>
          <w:rFonts w:ascii="Arial" w:eastAsia="Calibri" w:hAnsi="Arial" w:cs="Arial"/>
          <w:sz w:val="20"/>
          <w:szCs w:val="20"/>
          <w:lang w:val="pt-PT"/>
        </w:rPr>
        <w:t xml:space="preserve"> </w:t>
      </w:r>
      <w:r w:rsidRPr="00292532">
        <w:rPr>
          <w:rFonts w:eastAsia="Calibri" w:cs="Times New Roman"/>
          <w:color w:val="5B9BD5"/>
          <w:lang w:val="pt-PT"/>
        </w:rPr>
        <w:t>S</w:t>
      </w:r>
      <w:r w:rsidRPr="00292532">
        <w:rPr>
          <w:rFonts w:ascii="Arial" w:eastAsia="Calibri" w:hAnsi="Arial" w:cs="Arial"/>
          <w:color w:val="5B9BD5"/>
          <w:sz w:val="20"/>
          <w:szCs w:val="20"/>
          <w:lang w:val="pt-PT"/>
        </w:rPr>
        <w:t xml:space="preserve">ecção </w:t>
      </w:r>
      <w:r w:rsidRPr="00292532">
        <w:rPr>
          <w:rFonts w:ascii="Arial" w:eastAsia="Calibri" w:hAnsi="Arial" w:cs="Arial"/>
          <w:color w:val="5B9BD5"/>
          <w:sz w:val="20"/>
          <w:szCs w:val="20"/>
          <w:lang w:val="pt-PT"/>
        </w:rPr>
        <w:fldChar w:fldCharType="begin"/>
      </w:r>
      <w:r w:rsidRPr="00292532">
        <w:rPr>
          <w:rFonts w:ascii="Arial" w:eastAsia="Calibri" w:hAnsi="Arial" w:cs="Arial"/>
          <w:color w:val="5B9BD5"/>
          <w:sz w:val="20"/>
          <w:szCs w:val="20"/>
          <w:lang w:val="pt-PT"/>
        </w:rPr>
        <w:instrText xml:space="preserve"> REF _Ref72582252 \r \h  \* MERGEFORMAT </w:instrText>
      </w:r>
      <w:r w:rsidRPr="00292532">
        <w:rPr>
          <w:rFonts w:ascii="Arial" w:eastAsia="Calibri" w:hAnsi="Arial" w:cs="Arial"/>
          <w:color w:val="5B9BD5"/>
          <w:sz w:val="20"/>
          <w:szCs w:val="20"/>
          <w:lang w:val="pt-PT"/>
        </w:rPr>
      </w:r>
      <w:r w:rsidRPr="00292532">
        <w:rPr>
          <w:rFonts w:ascii="Arial" w:eastAsia="Calibri" w:hAnsi="Arial" w:cs="Arial"/>
          <w:color w:val="5B9BD5"/>
          <w:sz w:val="20"/>
          <w:szCs w:val="20"/>
          <w:lang w:val="pt-PT"/>
        </w:rPr>
        <w:fldChar w:fldCharType="separate"/>
      </w:r>
      <w:r w:rsidRPr="00292532">
        <w:rPr>
          <w:rFonts w:ascii="Arial" w:eastAsia="Calibri" w:hAnsi="Arial" w:cs="Arial"/>
          <w:color w:val="5B9BD5"/>
          <w:sz w:val="20"/>
          <w:szCs w:val="20"/>
          <w:lang w:val="pt-PT"/>
        </w:rPr>
        <w:t>8.4</w:t>
      </w:r>
      <w:r w:rsidRPr="00292532">
        <w:rPr>
          <w:rFonts w:ascii="Arial" w:eastAsia="Calibri" w:hAnsi="Arial" w:cs="Arial"/>
          <w:color w:val="5B9BD5"/>
          <w:sz w:val="20"/>
          <w:szCs w:val="20"/>
          <w:lang w:val="pt-PT"/>
        </w:rPr>
        <w:fldChar w:fldCharType="end"/>
      </w:r>
      <w:r w:rsidRPr="00292532">
        <w:rPr>
          <w:rFonts w:ascii="Arial" w:eastAsia="Calibri" w:hAnsi="Arial" w:cs="Arial"/>
          <w:color w:val="0070C0"/>
          <w:sz w:val="20"/>
          <w:szCs w:val="20"/>
          <w:lang w:val="pt-PT"/>
        </w:rPr>
        <w:t>.</w:t>
      </w:r>
    </w:p>
    <w:p w14:paraId="51A4835D" w14:textId="77777777" w:rsidR="00B31AE2" w:rsidRPr="00292532" w:rsidRDefault="00B31AE2" w:rsidP="00B31AE2">
      <w:pPr>
        <w:spacing w:before="0" w:after="200" w:line="276" w:lineRule="auto"/>
        <w:rPr>
          <w:rFonts w:ascii="Arial" w:eastAsia="Calibri" w:hAnsi="Arial" w:cs="Arial"/>
          <w:sz w:val="20"/>
          <w:lang w:val="pt-PT"/>
        </w:rPr>
      </w:pPr>
      <w:r w:rsidRPr="00292532">
        <w:rPr>
          <w:rFonts w:ascii="Arial" w:eastAsia="Calibri" w:hAnsi="Arial" w:cs="Arial"/>
          <w:sz w:val="20"/>
          <w:lang w:val="pt-PT"/>
        </w:rPr>
        <w:t>Durante a fase de implementação dos serviços, a UIP organizará visitas planeadas e não planeadas aos escritórios/locais onde o trabalho está sendo executado. Nessas visitas, serão observados os progressos alcançados, questões relacionadas à saúde e segurança ocupacional e a situação do trabalho infantil e forçado.</w:t>
      </w:r>
    </w:p>
    <w:p w14:paraId="2F506CB0" w14:textId="77777777" w:rsidR="00B31AE2" w:rsidRPr="00292532" w:rsidRDefault="00B31AE2" w:rsidP="00B31AE2">
      <w:pPr>
        <w:spacing w:before="0" w:after="0" w:line="276" w:lineRule="auto"/>
        <w:rPr>
          <w:rFonts w:ascii="Arial" w:eastAsia="Calibri" w:hAnsi="Arial" w:cs="Arial"/>
          <w:sz w:val="20"/>
          <w:lang w:val="pt-PT"/>
        </w:rPr>
      </w:pPr>
      <w:r w:rsidRPr="00292532">
        <w:rPr>
          <w:rFonts w:ascii="Arial" w:eastAsia="Calibri" w:hAnsi="Arial" w:cs="Arial"/>
          <w:sz w:val="20"/>
          <w:lang w:val="pt-PT"/>
        </w:rPr>
        <w:t>A contratada deverá fornecer informações que a UIP solicitar por meio de relatórios ou outros meios acordados.</w:t>
      </w:r>
    </w:p>
    <w:p w14:paraId="3B6676FA" w14:textId="77777777" w:rsidR="00B31AE2" w:rsidRPr="00292532" w:rsidRDefault="00B31AE2" w:rsidP="00B31AE2">
      <w:pPr>
        <w:spacing w:before="0" w:after="200" w:line="276" w:lineRule="auto"/>
        <w:rPr>
          <w:rFonts w:ascii="Arial" w:eastAsia="Calibri" w:hAnsi="Arial" w:cs="Arial"/>
          <w:sz w:val="20"/>
          <w:lang w:val="pt-PT"/>
        </w:rPr>
      </w:pPr>
    </w:p>
    <w:p w14:paraId="64EF22E5" w14:textId="1A5FE027" w:rsidR="00B31AE2" w:rsidRPr="00292532" w:rsidRDefault="00B31AE2" w:rsidP="00AE14AE">
      <w:pPr>
        <w:keepNext/>
        <w:keepLines/>
        <w:numPr>
          <w:ilvl w:val="0"/>
          <w:numId w:val="121"/>
        </w:numPr>
        <w:spacing w:before="0" w:after="200" w:line="276" w:lineRule="auto"/>
        <w:jc w:val="left"/>
        <w:outlineLvl w:val="1"/>
        <w:rPr>
          <w:rFonts w:ascii="Arial" w:eastAsia="Times New Roman" w:hAnsi="Arial" w:cs="Arial"/>
          <w:b/>
          <w:bCs/>
          <w:color w:val="4472C4"/>
          <w:sz w:val="26"/>
          <w:szCs w:val="26"/>
          <w:lang w:val="pt-PT"/>
        </w:rPr>
      </w:pPr>
      <w:bookmarkStart w:id="951" w:name="_Toc72582329"/>
      <w:bookmarkStart w:id="952" w:name="_Toc72582855"/>
      <w:bookmarkStart w:id="953" w:name="_Toc72586704"/>
      <w:bookmarkStart w:id="954" w:name="_Toc72589919"/>
      <w:bookmarkStart w:id="955" w:name="_Toc72582330"/>
      <w:bookmarkStart w:id="956" w:name="_Toc72582856"/>
      <w:bookmarkStart w:id="957" w:name="_Toc72586705"/>
      <w:bookmarkStart w:id="958" w:name="_Toc72589920"/>
      <w:bookmarkStart w:id="959" w:name="_Toc72582331"/>
      <w:bookmarkStart w:id="960" w:name="_Toc72582857"/>
      <w:bookmarkStart w:id="961" w:name="_Toc72586706"/>
      <w:bookmarkStart w:id="962" w:name="_Toc72589921"/>
      <w:bookmarkStart w:id="963" w:name="_Toc72582332"/>
      <w:bookmarkStart w:id="964" w:name="_Toc72582858"/>
      <w:bookmarkStart w:id="965" w:name="_Toc72586707"/>
      <w:bookmarkStart w:id="966" w:name="_Toc72589922"/>
      <w:bookmarkStart w:id="967" w:name="_Toc72582336"/>
      <w:bookmarkStart w:id="968" w:name="_Toc72582862"/>
      <w:bookmarkStart w:id="969" w:name="_Toc72586711"/>
      <w:bookmarkStart w:id="970" w:name="_Toc72589926"/>
      <w:bookmarkStart w:id="971" w:name="_Toc72582340"/>
      <w:bookmarkStart w:id="972" w:name="_Toc72582866"/>
      <w:bookmarkStart w:id="973" w:name="_Toc72586715"/>
      <w:bookmarkStart w:id="974" w:name="_Toc72589930"/>
      <w:bookmarkStart w:id="975" w:name="_Toc72582347"/>
      <w:bookmarkStart w:id="976" w:name="_Toc72582873"/>
      <w:bookmarkStart w:id="977" w:name="_Toc72586722"/>
      <w:bookmarkStart w:id="978" w:name="_Toc72589937"/>
      <w:bookmarkStart w:id="979" w:name="_Toc72582348"/>
      <w:bookmarkStart w:id="980" w:name="_Toc72582874"/>
      <w:bookmarkStart w:id="981" w:name="_Toc72586723"/>
      <w:bookmarkStart w:id="982" w:name="_Toc72589938"/>
      <w:bookmarkStart w:id="983" w:name="_Toc74921479"/>
      <w:bookmarkStart w:id="984" w:name="_Toc75438055"/>
      <w:bookmarkStart w:id="985" w:name="_Toc78435487"/>
      <w:bookmarkStart w:id="986" w:name="_Toc80380157"/>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r w:rsidRPr="00292532">
        <w:rPr>
          <w:rFonts w:ascii="Arial" w:eastAsia="Times New Roman" w:hAnsi="Arial" w:cs="Arial"/>
          <w:b/>
          <w:bCs/>
          <w:color w:val="4472C4"/>
          <w:sz w:val="26"/>
          <w:szCs w:val="26"/>
          <w:lang w:val="pt-PT"/>
        </w:rPr>
        <w:lastRenderedPageBreak/>
        <w:t>TRABALHADORES DE FORNECIMENTO PRIMÁRIO</w:t>
      </w:r>
      <w:bookmarkEnd w:id="983"/>
      <w:bookmarkEnd w:id="984"/>
      <w:bookmarkEnd w:id="985"/>
      <w:bookmarkEnd w:id="986"/>
    </w:p>
    <w:p w14:paraId="451A8F5F" w14:textId="77777777" w:rsidR="00B31AE2" w:rsidRPr="00292532" w:rsidRDefault="00B31AE2" w:rsidP="00B31AE2">
      <w:pPr>
        <w:spacing w:before="0" w:after="200"/>
        <w:rPr>
          <w:rFonts w:ascii="Arial" w:eastAsia="Calibri" w:hAnsi="Arial" w:cs="Arial"/>
          <w:sz w:val="20"/>
          <w:lang w:val="pt-PT"/>
        </w:rPr>
      </w:pPr>
      <w:r w:rsidRPr="00292532">
        <w:rPr>
          <w:rFonts w:ascii="Arial" w:eastAsia="Calibri" w:hAnsi="Arial" w:cs="Arial"/>
          <w:sz w:val="20"/>
          <w:lang w:val="pt-PT"/>
        </w:rPr>
        <w:t xml:space="preserve">A UIP supervisionará as aquisições de bens e equipamentos e realizará os devidos procedimentos baseando-se no Regulamento de Aquisições e nas </w:t>
      </w:r>
      <w:proofErr w:type="spellStart"/>
      <w:r w:rsidRPr="00292532">
        <w:rPr>
          <w:rFonts w:ascii="Arial" w:eastAsia="Calibri" w:hAnsi="Arial" w:cs="Arial"/>
          <w:sz w:val="20"/>
          <w:lang w:val="pt-PT"/>
        </w:rPr>
        <w:t>Directrizes</w:t>
      </w:r>
      <w:proofErr w:type="spellEnd"/>
      <w:r w:rsidRPr="00292532">
        <w:rPr>
          <w:rFonts w:ascii="Arial" w:eastAsia="Calibri" w:hAnsi="Arial" w:cs="Arial"/>
          <w:sz w:val="20"/>
          <w:lang w:val="pt-PT"/>
        </w:rPr>
        <w:t xml:space="preserve"> de Prevenção e Combate à Fraude e Corrupção e outras disposições estipuladas nos Contractos de Financiamento. O trabalho infantil ou forçado não é tolerado. Nos casos em que fornecedores estrangeiros são envolvidos, a UIP investigará (</w:t>
      </w:r>
      <w:proofErr w:type="spellStart"/>
      <w:r w:rsidRPr="00292532">
        <w:rPr>
          <w:rFonts w:ascii="Arial" w:eastAsia="Calibri" w:hAnsi="Arial" w:cs="Arial"/>
          <w:i/>
          <w:sz w:val="20"/>
          <w:lang w:val="pt-PT"/>
        </w:rPr>
        <w:t>due</w:t>
      </w:r>
      <w:proofErr w:type="spellEnd"/>
      <w:r w:rsidRPr="00292532">
        <w:rPr>
          <w:rFonts w:ascii="Arial" w:eastAsia="Calibri" w:hAnsi="Arial" w:cs="Arial"/>
          <w:i/>
          <w:sz w:val="20"/>
          <w:lang w:val="pt-PT"/>
        </w:rPr>
        <w:t xml:space="preserve"> </w:t>
      </w:r>
      <w:proofErr w:type="spellStart"/>
      <w:r w:rsidRPr="00292532">
        <w:rPr>
          <w:rFonts w:ascii="Arial" w:eastAsia="Calibri" w:hAnsi="Arial" w:cs="Arial"/>
          <w:i/>
          <w:sz w:val="20"/>
          <w:lang w:val="pt-PT"/>
        </w:rPr>
        <w:t>diligence</w:t>
      </w:r>
      <w:proofErr w:type="spellEnd"/>
      <w:r w:rsidRPr="00292532">
        <w:rPr>
          <w:rFonts w:ascii="Arial" w:eastAsia="Calibri" w:hAnsi="Arial" w:cs="Arial"/>
          <w:sz w:val="20"/>
          <w:lang w:val="pt-PT"/>
        </w:rPr>
        <w:t>) se o fornecedor foi acusado ou sancionado por algum desses problemas - relacionados a trabalho infantil, trabalho forçado e segurança ocupacional.</w:t>
      </w:r>
    </w:p>
    <w:p w14:paraId="26FB03BC" w14:textId="77777777" w:rsidR="00B31AE2" w:rsidRPr="00292532" w:rsidRDefault="00B31AE2" w:rsidP="00B31AE2">
      <w:pPr>
        <w:spacing w:before="0" w:after="0"/>
        <w:rPr>
          <w:rFonts w:ascii="Arial" w:eastAsia="Calibri" w:hAnsi="Arial" w:cs="Arial"/>
          <w:sz w:val="20"/>
          <w:lang w:val="pt-PT"/>
        </w:rPr>
      </w:pPr>
      <w:r w:rsidRPr="00292532">
        <w:rPr>
          <w:rFonts w:ascii="Arial" w:eastAsia="Calibri" w:hAnsi="Arial" w:cs="Arial"/>
          <w:sz w:val="20"/>
          <w:lang w:val="pt-PT"/>
        </w:rPr>
        <w:t xml:space="preserve">As empresas contratadas quando subcontratam terceiros para o fornecimento de materiais e equipamentos, são responsáveis por incluir em seus acordos de contratação as condições de aquisições e especificações sobre </w:t>
      </w:r>
      <w:proofErr w:type="spellStart"/>
      <w:r w:rsidRPr="00292532">
        <w:rPr>
          <w:rFonts w:ascii="Arial" w:eastAsia="Calibri" w:hAnsi="Arial" w:cs="Arial"/>
          <w:sz w:val="20"/>
          <w:lang w:val="pt-PT"/>
        </w:rPr>
        <w:t>aspectos</w:t>
      </w:r>
      <w:proofErr w:type="spellEnd"/>
      <w:r w:rsidRPr="00292532">
        <w:rPr>
          <w:rFonts w:ascii="Arial" w:eastAsia="Calibri" w:hAnsi="Arial" w:cs="Arial"/>
          <w:sz w:val="20"/>
          <w:lang w:val="pt-PT"/>
        </w:rPr>
        <w:t xml:space="preserve"> de saúde e segurança ocupacional, trabalho infantil, trabalho forçado, Códigos de Conduta, e deverão fazer a devida fiscalização.</w:t>
      </w:r>
    </w:p>
    <w:p w14:paraId="06CAFD12" w14:textId="77777777" w:rsidR="00B31AE2" w:rsidRPr="00292532" w:rsidRDefault="00B31AE2" w:rsidP="00B31AE2">
      <w:pPr>
        <w:spacing w:before="0" w:after="0"/>
        <w:rPr>
          <w:rFonts w:ascii="Arial" w:eastAsia="Calibri" w:hAnsi="Arial" w:cs="Arial"/>
          <w:b/>
          <w:color w:val="FF0000"/>
          <w:sz w:val="20"/>
          <w:szCs w:val="20"/>
          <w:lang w:val="pt-PT"/>
        </w:rPr>
      </w:pPr>
    </w:p>
    <w:p w14:paraId="345B50BD" w14:textId="1D50818B" w:rsidR="00B31AE2" w:rsidRPr="00292532" w:rsidRDefault="00B31AE2" w:rsidP="00AE14AE">
      <w:pPr>
        <w:keepNext/>
        <w:keepLines/>
        <w:numPr>
          <w:ilvl w:val="0"/>
          <w:numId w:val="121"/>
        </w:numPr>
        <w:spacing w:before="200" w:after="200" w:line="276" w:lineRule="auto"/>
        <w:jc w:val="left"/>
        <w:outlineLvl w:val="1"/>
        <w:rPr>
          <w:rFonts w:ascii="Arial" w:eastAsia="Times New Roman" w:hAnsi="Arial" w:cs="Arial"/>
          <w:b/>
          <w:bCs/>
          <w:color w:val="4472C4"/>
          <w:sz w:val="26"/>
          <w:szCs w:val="26"/>
          <w:lang w:val="pt-PT"/>
        </w:rPr>
      </w:pPr>
      <w:bookmarkStart w:id="987" w:name="_Toc74921480"/>
      <w:bookmarkStart w:id="988" w:name="_Toc75438056"/>
      <w:bookmarkStart w:id="989" w:name="_Toc78435488"/>
      <w:bookmarkStart w:id="990" w:name="_Toc80380158"/>
      <w:r w:rsidRPr="00292532">
        <w:rPr>
          <w:rFonts w:ascii="Arial" w:eastAsia="Times New Roman" w:hAnsi="Arial" w:cs="Arial"/>
          <w:b/>
          <w:bCs/>
          <w:color w:val="4472C4"/>
          <w:sz w:val="26"/>
          <w:szCs w:val="26"/>
          <w:lang w:val="pt-PT"/>
        </w:rPr>
        <w:t>REQUISITOS DE GESTÃO DE MÃO-DE-OBRA</w:t>
      </w:r>
      <w:bookmarkEnd w:id="987"/>
      <w:bookmarkEnd w:id="988"/>
      <w:bookmarkEnd w:id="989"/>
      <w:bookmarkEnd w:id="990"/>
    </w:p>
    <w:p w14:paraId="4DD81B57" w14:textId="77777777" w:rsidR="00B31AE2" w:rsidRPr="00292532" w:rsidRDefault="00B31AE2" w:rsidP="004500AE">
      <w:pPr>
        <w:keepNext/>
        <w:keepLines/>
        <w:spacing w:before="40" w:after="0" w:line="276" w:lineRule="auto"/>
        <w:ind w:left="408"/>
        <w:jc w:val="left"/>
        <w:outlineLvl w:val="2"/>
        <w:rPr>
          <w:rFonts w:ascii="Arial" w:eastAsia="Times New Roman" w:hAnsi="Arial" w:cs="Arial"/>
          <w:b/>
          <w:vanish/>
          <w:color w:val="1F3763"/>
          <w:sz w:val="24"/>
          <w:szCs w:val="24"/>
          <w:lang w:val="pt-PT"/>
        </w:rPr>
      </w:pPr>
      <w:bookmarkStart w:id="991" w:name="_Toc73400065"/>
      <w:bookmarkStart w:id="992" w:name="_Toc73400113"/>
      <w:bookmarkStart w:id="993" w:name="_Toc73400165"/>
      <w:bookmarkStart w:id="994" w:name="_Toc73474515"/>
      <w:bookmarkStart w:id="995" w:name="_Toc73475078"/>
      <w:bookmarkStart w:id="996" w:name="_Toc73475149"/>
      <w:bookmarkStart w:id="997" w:name="_Toc73475205"/>
      <w:bookmarkStart w:id="998" w:name="_Toc73480742"/>
      <w:bookmarkStart w:id="999" w:name="_Toc73480786"/>
      <w:bookmarkStart w:id="1000" w:name="_Toc73480992"/>
      <w:bookmarkStart w:id="1001" w:name="_Toc74811080"/>
      <w:bookmarkStart w:id="1002" w:name="_Toc74841344"/>
      <w:bookmarkStart w:id="1003" w:name="_Toc74908012"/>
      <w:bookmarkStart w:id="1004" w:name="_Toc74908415"/>
      <w:bookmarkStart w:id="1005" w:name="_Toc74908494"/>
      <w:bookmarkStart w:id="1006" w:name="_Toc74911404"/>
      <w:bookmarkStart w:id="1007" w:name="_Toc74911450"/>
      <w:bookmarkStart w:id="1008" w:name="_Toc74911496"/>
      <w:bookmarkStart w:id="1009" w:name="_Toc74911542"/>
      <w:bookmarkStart w:id="1010" w:name="_Toc74915546"/>
      <w:bookmarkStart w:id="1011" w:name="_Toc74921389"/>
      <w:bookmarkStart w:id="1012" w:name="_Toc74921435"/>
      <w:bookmarkStart w:id="1013" w:name="_Toc74921481"/>
      <w:bookmarkStart w:id="1014" w:name="_Toc75438057"/>
      <w:bookmarkStart w:id="1015" w:name="_Toc73400066"/>
      <w:bookmarkStart w:id="1016" w:name="_Toc73400114"/>
      <w:bookmarkStart w:id="1017" w:name="_Toc73400166"/>
      <w:bookmarkStart w:id="1018" w:name="_Toc73474516"/>
      <w:bookmarkStart w:id="1019" w:name="_Toc73475079"/>
      <w:bookmarkStart w:id="1020" w:name="_Toc73475150"/>
      <w:bookmarkStart w:id="1021" w:name="_Toc73475206"/>
      <w:bookmarkStart w:id="1022" w:name="_Toc73480743"/>
      <w:bookmarkStart w:id="1023" w:name="_Toc73480787"/>
      <w:bookmarkStart w:id="1024" w:name="_Toc73480993"/>
      <w:bookmarkStart w:id="1025" w:name="_Toc74811081"/>
      <w:bookmarkStart w:id="1026" w:name="_Toc74841345"/>
      <w:bookmarkStart w:id="1027" w:name="_Toc74908013"/>
      <w:bookmarkStart w:id="1028" w:name="_Toc74908416"/>
      <w:bookmarkStart w:id="1029" w:name="_Toc74908495"/>
      <w:bookmarkStart w:id="1030" w:name="_Toc74911405"/>
      <w:bookmarkStart w:id="1031" w:name="_Toc74911451"/>
      <w:bookmarkStart w:id="1032" w:name="_Toc74911497"/>
      <w:bookmarkStart w:id="1033" w:name="_Toc74911543"/>
      <w:bookmarkStart w:id="1034" w:name="_Toc74915547"/>
      <w:bookmarkStart w:id="1035" w:name="_Toc74921390"/>
      <w:bookmarkStart w:id="1036" w:name="_Toc74921436"/>
      <w:bookmarkStart w:id="1037" w:name="_Toc74921482"/>
      <w:bookmarkStart w:id="1038" w:name="_Toc75438058"/>
      <w:bookmarkStart w:id="1039" w:name="_Toc73400067"/>
      <w:bookmarkStart w:id="1040" w:name="_Toc73400115"/>
      <w:bookmarkStart w:id="1041" w:name="_Toc73400167"/>
      <w:bookmarkStart w:id="1042" w:name="_Toc73474517"/>
      <w:bookmarkStart w:id="1043" w:name="_Toc73475080"/>
      <w:bookmarkStart w:id="1044" w:name="_Toc73475151"/>
      <w:bookmarkStart w:id="1045" w:name="_Toc73475207"/>
      <w:bookmarkStart w:id="1046" w:name="_Toc73480744"/>
      <w:bookmarkStart w:id="1047" w:name="_Toc73480788"/>
      <w:bookmarkStart w:id="1048" w:name="_Toc73480994"/>
      <w:bookmarkStart w:id="1049" w:name="_Toc74811082"/>
      <w:bookmarkStart w:id="1050" w:name="_Toc74841346"/>
      <w:bookmarkStart w:id="1051" w:name="_Toc74908014"/>
      <w:bookmarkStart w:id="1052" w:name="_Toc74908417"/>
      <w:bookmarkStart w:id="1053" w:name="_Toc74908496"/>
      <w:bookmarkStart w:id="1054" w:name="_Toc74911406"/>
      <w:bookmarkStart w:id="1055" w:name="_Toc74911452"/>
      <w:bookmarkStart w:id="1056" w:name="_Toc74911498"/>
      <w:bookmarkStart w:id="1057" w:name="_Toc74911544"/>
      <w:bookmarkStart w:id="1058" w:name="_Toc74915548"/>
      <w:bookmarkStart w:id="1059" w:name="_Toc74921391"/>
      <w:bookmarkStart w:id="1060" w:name="_Toc74921437"/>
      <w:bookmarkStart w:id="1061" w:name="_Toc74921483"/>
      <w:bookmarkStart w:id="1062" w:name="_Toc75438059"/>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p>
    <w:p w14:paraId="769DC673" w14:textId="6E68D0A4" w:rsidR="00B31AE2" w:rsidRPr="00292532" w:rsidRDefault="00B31AE2" w:rsidP="00AE14AE">
      <w:pPr>
        <w:keepNext/>
        <w:keepLines/>
        <w:numPr>
          <w:ilvl w:val="1"/>
          <w:numId w:val="144"/>
        </w:numPr>
        <w:spacing w:before="40" w:after="0" w:line="276" w:lineRule="auto"/>
        <w:jc w:val="left"/>
        <w:outlineLvl w:val="2"/>
        <w:rPr>
          <w:rFonts w:ascii="Arial" w:eastAsia="Times New Roman" w:hAnsi="Arial" w:cs="Arial"/>
          <w:b/>
          <w:color w:val="1F3763"/>
          <w:sz w:val="24"/>
          <w:szCs w:val="24"/>
          <w:lang w:val="pt-PT"/>
        </w:rPr>
      </w:pPr>
      <w:bookmarkStart w:id="1063" w:name="_Toc74921484"/>
      <w:bookmarkStart w:id="1064" w:name="_Toc75438060"/>
      <w:bookmarkStart w:id="1065" w:name="_Toc78435489"/>
      <w:bookmarkStart w:id="1066" w:name="_Toc80380159"/>
      <w:r w:rsidRPr="00292532">
        <w:rPr>
          <w:rFonts w:ascii="Arial" w:eastAsia="Times New Roman" w:hAnsi="Arial" w:cs="Arial"/>
          <w:b/>
          <w:color w:val="1F3763"/>
          <w:sz w:val="24"/>
          <w:szCs w:val="24"/>
          <w:lang w:val="pt-PT"/>
        </w:rPr>
        <w:t>Termos e condições</w:t>
      </w:r>
      <w:bookmarkEnd w:id="1063"/>
      <w:bookmarkEnd w:id="1064"/>
      <w:bookmarkEnd w:id="1065"/>
      <w:bookmarkEnd w:id="1066"/>
    </w:p>
    <w:p w14:paraId="1DD30E8F" w14:textId="77777777" w:rsidR="00B31AE2" w:rsidRPr="00292532" w:rsidRDefault="00B31AE2" w:rsidP="00B31AE2">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 xml:space="preserve">Os termos e condições de emprego são regidos pelas disposições da legislação nacional e políticas definidas pela MOPHRH e pelas agências de implementação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w:t>
      </w:r>
    </w:p>
    <w:p w14:paraId="44E24343" w14:textId="3076CAE3" w:rsidR="00B31AE2" w:rsidRPr="00292532" w:rsidRDefault="00B31AE2" w:rsidP="00B31AE2">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 xml:space="preserve">Todos os trabalhadores que desempenham </w:t>
      </w:r>
      <w:proofErr w:type="spellStart"/>
      <w:r w:rsidRPr="00292532">
        <w:rPr>
          <w:rFonts w:ascii="Arial" w:eastAsia="Calibri" w:hAnsi="Arial" w:cs="Arial"/>
          <w:sz w:val="20"/>
          <w:lang w:val="pt-PT"/>
        </w:rPr>
        <w:t>actividades</w:t>
      </w:r>
      <w:proofErr w:type="spellEnd"/>
      <w:r w:rsidRPr="00292532">
        <w:rPr>
          <w:rFonts w:ascii="Arial" w:eastAsia="Calibri" w:hAnsi="Arial" w:cs="Arial"/>
          <w:sz w:val="20"/>
          <w:lang w:val="pt-PT"/>
        </w:rPr>
        <w:t xml:space="preserve"> no âmbito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devem ter e assinar contracto e documentos complementares (ex. código de conduta, etc</w:t>
      </w:r>
      <w:r w:rsidR="00D2381A" w:rsidRPr="00292532">
        <w:rPr>
          <w:rFonts w:ascii="Arial" w:eastAsia="Calibri" w:hAnsi="Arial" w:cs="Arial"/>
          <w:sz w:val="20"/>
          <w:lang w:val="pt-PT"/>
        </w:rPr>
        <w:t>.</w:t>
      </w:r>
      <w:r w:rsidRPr="00292532">
        <w:rPr>
          <w:rFonts w:ascii="Arial" w:eastAsia="Calibri" w:hAnsi="Arial" w:cs="Arial"/>
          <w:sz w:val="20"/>
          <w:lang w:val="pt-PT"/>
        </w:rPr>
        <w:t>) com a entidade empregadora.</w:t>
      </w:r>
    </w:p>
    <w:p w14:paraId="476D6BC3" w14:textId="7CE4AD17" w:rsidR="00CD1C60" w:rsidRPr="00292532" w:rsidRDefault="00CD1C60" w:rsidP="00B31AE2">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 xml:space="preserve">Os empreiteiros devem dispor de um departamento de Recursos Humanos (RH) que </w:t>
      </w:r>
      <w:proofErr w:type="spellStart"/>
      <w:r w:rsidRPr="00292532">
        <w:rPr>
          <w:rFonts w:ascii="Arial" w:eastAsia="Calibri" w:hAnsi="Arial" w:cs="Arial"/>
          <w:sz w:val="20"/>
          <w:lang w:val="pt-PT"/>
        </w:rPr>
        <w:t>actuará</w:t>
      </w:r>
      <w:proofErr w:type="spellEnd"/>
      <w:r w:rsidRPr="00292532">
        <w:rPr>
          <w:rFonts w:ascii="Arial" w:eastAsia="Calibri" w:hAnsi="Arial" w:cs="Arial"/>
          <w:sz w:val="20"/>
          <w:lang w:val="pt-PT"/>
        </w:rPr>
        <w:t xml:space="preserve"> como elo entre os trabalhadores e a gerência, sendo um sector primordial para exercício de recrutamentos, estruturação, treinamentos, instruções, capacitações, qualificação, e para mitigar e resolver problemas trabalhistas em primeiro estágio. Este departamento deverá possuir domínio da legislação moçambicana e experiência em resolução e encaminhamento de reclamações ou incidências oriundas do desenvolvimento de </w:t>
      </w:r>
      <w:proofErr w:type="spellStart"/>
      <w:r w:rsidRPr="00292532">
        <w:rPr>
          <w:rFonts w:ascii="Arial" w:eastAsia="Calibri" w:hAnsi="Arial" w:cs="Arial"/>
          <w:sz w:val="20"/>
          <w:lang w:val="pt-PT"/>
        </w:rPr>
        <w:t>actividades</w:t>
      </w:r>
      <w:proofErr w:type="spellEnd"/>
      <w:r w:rsidRPr="00292532">
        <w:rPr>
          <w:rFonts w:ascii="Arial" w:eastAsia="Calibri" w:hAnsi="Arial" w:cs="Arial"/>
          <w:sz w:val="20"/>
          <w:lang w:val="pt-PT"/>
        </w:rPr>
        <w:t xml:space="preserve">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w:t>
      </w:r>
    </w:p>
    <w:p w14:paraId="3021DAD9" w14:textId="66E995A3" w:rsidR="00CD1C60" w:rsidRPr="00292532" w:rsidRDefault="00B31AE2" w:rsidP="00CD1C60">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 xml:space="preserve">Os funcionários </w:t>
      </w:r>
      <w:proofErr w:type="spellStart"/>
      <w:r w:rsidRPr="00292532">
        <w:rPr>
          <w:rFonts w:ascii="Arial" w:eastAsia="Calibri" w:hAnsi="Arial" w:cs="Arial"/>
          <w:sz w:val="20"/>
          <w:lang w:val="pt-PT"/>
        </w:rPr>
        <w:t>directos</w:t>
      </w:r>
      <w:proofErr w:type="spellEnd"/>
      <w:r w:rsidRPr="00292532">
        <w:rPr>
          <w:rFonts w:ascii="Arial" w:eastAsia="Calibri" w:hAnsi="Arial" w:cs="Arial"/>
          <w:sz w:val="20"/>
          <w:lang w:val="pt-PT"/>
        </w:rPr>
        <w:t xml:space="preserve">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recebem todos os benefícios e direitos sociais exigidos pela legislação nacional (ou seja, horas extras,</w:t>
      </w:r>
      <w:r w:rsidR="00CD1C60" w:rsidRPr="00292532">
        <w:rPr>
          <w:rFonts w:ascii="Arial" w:eastAsia="Calibri" w:hAnsi="Arial" w:cs="Arial"/>
          <w:sz w:val="20"/>
          <w:lang w:val="pt-PT"/>
        </w:rPr>
        <w:t xml:space="preserve"> salários, </w:t>
      </w:r>
      <w:r w:rsidRPr="00292532">
        <w:rPr>
          <w:rFonts w:ascii="Arial" w:eastAsia="Calibri" w:hAnsi="Arial" w:cs="Arial"/>
          <w:sz w:val="20"/>
          <w:lang w:val="pt-PT"/>
        </w:rPr>
        <w:t>férias anuais remuneradas, licença por doença, jornada máxima de trabalho,</w:t>
      </w:r>
      <w:r w:rsidR="00CD1C60" w:rsidRPr="00292532">
        <w:rPr>
          <w:rFonts w:ascii="Arial" w:eastAsia="Calibri" w:hAnsi="Arial" w:cs="Arial"/>
          <w:sz w:val="20"/>
          <w:lang w:val="pt-PT"/>
        </w:rPr>
        <w:t xml:space="preserve"> indemnizações e benefícios,</w:t>
      </w:r>
      <w:r w:rsidRPr="00292532">
        <w:rPr>
          <w:rFonts w:ascii="Arial" w:eastAsia="Calibri" w:hAnsi="Arial" w:cs="Arial"/>
          <w:sz w:val="20"/>
          <w:lang w:val="pt-PT"/>
        </w:rPr>
        <w:t xml:space="preserve"> etc.). Os trabalhadores contratados (empresas de construção civil envolvidos no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serão regidos pelas disposições da legislação nacional e pelas políticas internas de cada empregador, as quais devem estar sincronizadas com o Plano e as políticas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w:t>
      </w:r>
      <w:r w:rsidR="00CD1C60" w:rsidRPr="00292532">
        <w:rPr>
          <w:rFonts w:ascii="Arial" w:eastAsia="Calibri" w:hAnsi="Arial" w:cs="Arial"/>
          <w:sz w:val="20"/>
          <w:lang w:val="pt-PT"/>
        </w:rPr>
        <w:t xml:space="preserve">que devem atender e não se limitar as disposições seguintes: </w:t>
      </w:r>
    </w:p>
    <w:p w14:paraId="1DD58BE1" w14:textId="41FA7101" w:rsidR="00CD1C60" w:rsidRPr="004500AE" w:rsidRDefault="00CD1C60" w:rsidP="004500AE">
      <w:pPr>
        <w:pStyle w:val="ListParagraph"/>
        <w:numPr>
          <w:ilvl w:val="0"/>
          <w:numId w:val="122"/>
        </w:numPr>
        <w:suppressAutoHyphens/>
        <w:spacing w:before="0" w:after="200"/>
        <w:ind w:right="12"/>
        <w:rPr>
          <w:rFonts w:ascii="Arial" w:eastAsia="Calibri" w:hAnsi="Arial" w:cs="Arial"/>
          <w:sz w:val="20"/>
          <w:lang w:val="pt-PT"/>
        </w:rPr>
      </w:pPr>
      <w:r w:rsidRPr="004500AE">
        <w:rPr>
          <w:rFonts w:ascii="Arial" w:eastAsia="Calibri" w:hAnsi="Arial" w:cs="Arial"/>
          <w:sz w:val="20"/>
          <w:lang w:val="pt-PT"/>
        </w:rPr>
        <w:t>O período normal de trabalho não pode ser superior a quarenta e oito horas por semana e oito horas por dia, podendo ser alargado até nove horas por dia, sempre que ao trabalhador seja concedido meio-dia de descanso complementar por semana, além do dia de descanso semanal.</w:t>
      </w:r>
    </w:p>
    <w:p w14:paraId="2463F06F" w14:textId="7B0ACB5F" w:rsidR="00CD1C60" w:rsidRPr="004500AE" w:rsidRDefault="00CD1C60" w:rsidP="004500AE">
      <w:pPr>
        <w:pStyle w:val="ListParagraph"/>
        <w:numPr>
          <w:ilvl w:val="0"/>
          <w:numId w:val="122"/>
        </w:numPr>
        <w:suppressAutoHyphens/>
        <w:spacing w:before="0" w:after="200"/>
        <w:ind w:right="12"/>
        <w:rPr>
          <w:rFonts w:ascii="Arial" w:eastAsia="Calibri" w:hAnsi="Arial" w:cs="Arial"/>
          <w:sz w:val="20"/>
          <w:lang w:val="pt-PT"/>
        </w:rPr>
      </w:pPr>
      <w:r w:rsidRPr="004500AE">
        <w:rPr>
          <w:rFonts w:ascii="Arial" w:eastAsia="Calibri" w:hAnsi="Arial" w:cs="Arial"/>
          <w:sz w:val="20"/>
          <w:lang w:val="pt-PT"/>
        </w:rPr>
        <w:t>Os limites máximos dos períodos normais de trabalho podem ser alargados em relação aos trabalhadores que exerçam funções acentuadamente intermitentes ou de simples presença e nos casos de trabalhos preparatórios ou complementares que, por razões técnicas, são necessariamente executados fora do período normal de trabalho, sem prejuízo dos períodos de descanso previstos na lei do trabalho.</w:t>
      </w:r>
    </w:p>
    <w:p w14:paraId="290BA6EC" w14:textId="551C47DD" w:rsidR="00CD1C60" w:rsidRPr="004500AE" w:rsidRDefault="00CD1C60" w:rsidP="004500AE">
      <w:pPr>
        <w:pStyle w:val="ListParagraph"/>
        <w:numPr>
          <w:ilvl w:val="0"/>
          <w:numId w:val="122"/>
        </w:numPr>
        <w:suppressAutoHyphens/>
        <w:spacing w:before="0" w:after="200"/>
        <w:ind w:right="12"/>
        <w:rPr>
          <w:rFonts w:ascii="Arial" w:eastAsia="Calibri" w:hAnsi="Arial" w:cs="Arial"/>
          <w:sz w:val="20"/>
          <w:lang w:val="pt-PT"/>
        </w:rPr>
      </w:pPr>
      <w:r w:rsidRPr="004500AE">
        <w:rPr>
          <w:rFonts w:ascii="Arial" w:eastAsia="Calibri" w:hAnsi="Arial" w:cs="Arial"/>
          <w:sz w:val="20"/>
          <w:lang w:val="pt-PT"/>
        </w:rPr>
        <w:t>O período normal de trabalho diário deve ser interrompido por um intervalo de duração não inferior a meia hora nem, superior a duas horas, sem prejuízo dos serviços prestados em regime de turnos, e pelo menos vinte horas de descanso semanal.</w:t>
      </w:r>
    </w:p>
    <w:p w14:paraId="3F0F61FC" w14:textId="617D02EF" w:rsidR="00CD1C60" w:rsidRPr="004500AE" w:rsidRDefault="00CD1C60" w:rsidP="004500AE">
      <w:pPr>
        <w:pStyle w:val="ListParagraph"/>
        <w:numPr>
          <w:ilvl w:val="0"/>
          <w:numId w:val="122"/>
        </w:numPr>
        <w:suppressAutoHyphens/>
        <w:spacing w:before="0" w:after="200"/>
        <w:ind w:right="12"/>
        <w:rPr>
          <w:rFonts w:ascii="Arial" w:eastAsia="Calibri" w:hAnsi="Arial" w:cs="Arial"/>
          <w:sz w:val="20"/>
          <w:lang w:val="pt-PT"/>
        </w:rPr>
      </w:pPr>
      <w:r w:rsidRPr="004500AE">
        <w:rPr>
          <w:rFonts w:ascii="Arial" w:eastAsia="Calibri" w:hAnsi="Arial" w:cs="Arial"/>
          <w:sz w:val="20"/>
          <w:lang w:val="pt-PT"/>
        </w:rPr>
        <w:t xml:space="preserve">O empregador é obrigado a possuir um registo do trabalho </w:t>
      </w:r>
      <w:proofErr w:type="spellStart"/>
      <w:r w:rsidRPr="004500AE">
        <w:rPr>
          <w:rFonts w:ascii="Arial" w:eastAsia="Calibri" w:hAnsi="Arial" w:cs="Arial"/>
          <w:sz w:val="20"/>
          <w:lang w:val="pt-PT"/>
        </w:rPr>
        <w:t>excepcional</w:t>
      </w:r>
      <w:proofErr w:type="spellEnd"/>
      <w:r w:rsidRPr="004500AE">
        <w:rPr>
          <w:rFonts w:ascii="Arial" w:eastAsia="Calibri" w:hAnsi="Arial" w:cs="Arial"/>
          <w:sz w:val="20"/>
          <w:lang w:val="pt-PT"/>
        </w:rPr>
        <w:t xml:space="preserve"> e extraordinário, onde, antes do início da prestação de trabalho e após o seu termo, devendo ser visado pelo trabalhador que o prestou, sendo que a prestação de trabalho em dia de descanso semanal, complementar ou feriado confere direito a um dia completo de descanso compensatório em um dos três dias seguintes, salvo quando a prestação de trabalho não ultrapasse um período de cinco horas consecutivas ou alternadas, caso em que é compensado com meio dia de descanso, sendo que cada trabalhador pode prestar até noventa e seis horas de trabalho extraordinário por trimestre, não podendo realizar mais de oito horas de trabalho extraordinário por semana, nem exceder duzentas horas por ano.</w:t>
      </w:r>
    </w:p>
    <w:p w14:paraId="4E55B24F" w14:textId="0D27B8D1" w:rsidR="00CD1C60" w:rsidRPr="00292532" w:rsidRDefault="00CD1C60" w:rsidP="00CD1C60">
      <w:pPr>
        <w:pStyle w:val="ListParagraph"/>
        <w:numPr>
          <w:ilvl w:val="0"/>
          <w:numId w:val="122"/>
        </w:numPr>
        <w:suppressAutoHyphens/>
        <w:spacing w:before="0" w:after="200"/>
        <w:ind w:right="12"/>
        <w:rPr>
          <w:rFonts w:ascii="Arial" w:eastAsia="Calibri" w:hAnsi="Arial" w:cs="Arial"/>
          <w:sz w:val="20"/>
          <w:lang w:val="pt-PT"/>
        </w:rPr>
      </w:pPr>
      <w:r w:rsidRPr="004500AE">
        <w:rPr>
          <w:rFonts w:ascii="Arial" w:eastAsia="Calibri" w:hAnsi="Arial" w:cs="Arial"/>
          <w:sz w:val="20"/>
          <w:lang w:val="pt-PT"/>
        </w:rPr>
        <w:t xml:space="preserve">Todo o trabalhador tem direito a férias remuneradas em cada ano civil conforme estabelecido no artigo 99 da lei do trabalho. Podendo ser substituídas por uma remuneração suplementar mediante </w:t>
      </w:r>
      <w:r w:rsidRPr="004500AE">
        <w:rPr>
          <w:rFonts w:ascii="Arial" w:eastAsia="Calibri" w:hAnsi="Arial" w:cs="Arial"/>
          <w:sz w:val="20"/>
          <w:lang w:val="pt-PT"/>
        </w:rPr>
        <w:lastRenderedPageBreak/>
        <w:t>acordo</w:t>
      </w:r>
      <w:r w:rsidRPr="00292532">
        <w:rPr>
          <w:rFonts w:ascii="Arial" w:eastAsia="Calibri" w:hAnsi="Arial" w:cs="Arial"/>
          <w:sz w:val="20"/>
          <w:lang w:val="pt-PT"/>
        </w:rPr>
        <w:t xml:space="preserve"> entre o empregador e o trabalhador, devendo gozar de pelo menos 6 dias úteis, que podem ser gozadas simultaneamente por todos os trabalhadores.</w:t>
      </w:r>
    </w:p>
    <w:p w14:paraId="48A6609B" w14:textId="77777777" w:rsidR="00CD1C60" w:rsidRPr="00292532" w:rsidRDefault="00CD1C60" w:rsidP="00CD1C60">
      <w:pPr>
        <w:pStyle w:val="ListParagraph"/>
        <w:numPr>
          <w:ilvl w:val="0"/>
          <w:numId w:val="122"/>
        </w:numPr>
        <w:suppressAutoHyphens/>
        <w:spacing w:before="0" w:after="200"/>
        <w:ind w:right="12"/>
        <w:rPr>
          <w:rFonts w:ascii="Arial" w:eastAsia="Calibri" w:hAnsi="Arial" w:cs="Arial"/>
          <w:sz w:val="20"/>
          <w:lang w:val="pt-PT"/>
        </w:rPr>
      </w:pPr>
      <w:r w:rsidRPr="00292532">
        <w:rPr>
          <w:rFonts w:ascii="Arial" w:eastAsia="Calibri" w:hAnsi="Arial" w:cs="Arial"/>
          <w:sz w:val="20"/>
          <w:lang w:val="pt-PT"/>
        </w:rPr>
        <w:t>A trabalhadora tem direito, além das férias normais, a uma licença por maternidade de sessenta dias consecutivos, a qual pode ter início 20 dias antes da data provável do parto, podendo o seu gozo ser consecutivo, e o pai goza do direito de licença de paternidade de um dia.</w:t>
      </w:r>
    </w:p>
    <w:p w14:paraId="31D50755" w14:textId="77777777" w:rsidR="00CD1C60" w:rsidRPr="00292532" w:rsidRDefault="00CD1C60" w:rsidP="00CD1C60">
      <w:pPr>
        <w:pStyle w:val="ListParagraph"/>
        <w:numPr>
          <w:ilvl w:val="0"/>
          <w:numId w:val="122"/>
        </w:numPr>
        <w:suppressAutoHyphens/>
        <w:spacing w:before="0" w:after="200"/>
        <w:ind w:right="12"/>
        <w:rPr>
          <w:rFonts w:ascii="Arial" w:eastAsia="Calibri" w:hAnsi="Arial" w:cs="Arial"/>
          <w:sz w:val="20"/>
          <w:lang w:val="pt-PT"/>
        </w:rPr>
      </w:pPr>
      <w:r w:rsidRPr="00292532">
        <w:rPr>
          <w:rFonts w:ascii="Arial" w:eastAsia="Calibri" w:hAnsi="Arial" w:cs="Arial"/>
          <w:sz w:val="20"/>
          <w:lang w:val="pt-PT"/>
        </w:rPr>
        <w:t xml:space="preserve">Pagar ao trabalhador uma remuneração justa e em períodos acordados nos termos do contracto individual ou </w:t>
      </w:r>
      <w:proofErr w:type="spellStart"/>
      <w:r w:rsidRPr="00292532">
        <w:rPr>
          <w:rFonts w:ascii="Arial" w:eastAsia="Calibri" w:hAnsi="Arial" w:cs="Arial"/>
          <w:sz w:val="20"/>
          <w:lang w:val="pt-PT"/>
        </w:rPr>
        <w:t>colectivo</w:t>
      </w:r>
      <w:proofErr w:type="spellEnd"/>
      <w:r w:rsidRPr="00292532">
        <w:rPr>
          <w:rFonts w:ascii="Arial" w:eastAsia="Calibri" w:hAnsi="Arial" w:cs="Arial"/>
          <w:sz w:val="20"/>
          <w:lang w:val="pt-PT"/>
        </w:rPr>
        <w:t xml:space="preserve"> ou dos usos que deve ser igual ou superior ao salário mínimo aplicado para o sector, respeitando os acréscimos necessários em caso de horas extras e trabalhos </w:t>
      </w:r>
      <w:proofErr w:type="spellStart"/>
      <w:r w:rsidRPr="00292532">
        <w:rPr>
          <w:rFonts w:ascii="Arial" w:eastAsia="Calibri" w:hAnsi="Arial" w:cs="Arial"/>
          <w:sz w:val="20"/>
          <w:lang w:val="pt-PT"/>
        </w:rPr>
        <w:t>excepcionais</w:t>
      </w:r>
      <w:proofErr w:type="spellEnd"/>
      <w:r w:rsidRPr="00292532">
        <w:rPr>
          <w:rFonts w:ascii="Arial" w:eastAsia="Calibri" w:hAnsi="Arial" w:cs="Arial"/>
          <w:sz w:val="20"/>
          <w:lang w:val="pt-PT"/>
        </w:rPr>
        <w:t>.</w:t>
      </w:r>
    </w:p>
    <w:p w14:paraId="373B4DD6" w14:textId="5487065E" w:rsidR="00B31AE2" w:rsidRPr="004500AE" w:rsidRDefault="00B31AE2" w:rsidP="004500AE">
      <w:pPr>
        <w:pStyle w:val="ListParagraph"/>
        <w:numPr>
          <w:ilvl w:val="0"/>
          <w:numId w:val="0"/>
        </w:numPr>
        <w:suppressAutoHyphens/>
        <w:spacing w:before="0" w:after="200"/>
        <w:ind w:left="720" w:right="12"/>
        <w:rPr>
          <w:rFonts w:ascii="Arial" w:eastAsia="Calibri" w:hAnsi="Arial" w:cs="Arial"/>
          <w:sz w:val="20"/>
          <w:lang w:val="pt-PT"/>
        </w:rPr>
      </w:pPr>
    </w:p>
    <w:p w14:paraId="7925E52D" w14:textId="2A1E802F" w:rsidR="00B31AE2" w:rsidRPr="00292532" w:rsidRDefault="00B31AE2" w:rsidP="00B31AE2">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 xml:space="preserve">Em caso de rescisão de contracto, </w:t>
      </w:r>
      <w:r w:rsidR="00CD1C60" w:rsidRPr="00292532">
        <w:rPr>
          <w:rFonts w:ascii="Arial" w:eastAsia="Calibri" w:hAnsi="Arial" w:cs="Arial"/>
          <w:sz w:val="20"/>
          <w:lang w:val="pt-PT"/>
        </w:rPr>
        <w:t xml:space="preserve">por parte do empregador, </w:t>
      </w:r>
      <w:r w:rsidRPr="00292532">
        <w:rPr>
          <w:rFonts w:ascii="Arial" w:eastAsia="Calibri" w:hAnsi="Arial" w:cs="Arial"/>
          <w:sz w:val="20"/>
          <w:lang w:val="pt-PT"/>
        </w:rPr>
        <w:t xml:space="preserve">os trabalhadores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(trabalhadores </w:t>
      </w:r>
      <w:proofErr w:type="spellStart"/>
      <w:r w:rsidRPr="00292532">
        <w:rPr>
          <w:rFonts w:ascii="Arial" w:eastAsia="Calibri" w:hAnsi="Arial" w:cs="Arial"/>
          <w:sz w:val="20"/>
          <w:lang w:val="pt-PT"/>
        </w:rPr>
        <w:t>directos</w:t>
      </w:r>
      <w:proofErr w:type="spellEnd"/>
      <w:r w:rsidRPr="00292532">
        <w:rPr>
          <w:rFonts w:ascii="Arial" w:eastAsia="Calibri" w:hAnsi="Arial" w:cs="Arial"/>
          <w:sz w:val="20"/>
          <w:lang w:val="pt-PT"/>
        </w:rPr>
        <w:t>, contratados e de fornecimento primário) receberão notificação por escrito,</w:t>
      </w:r>
      <w:r w:rsidR="00CD1C60" w:rsidRPr="00292532">
        <w:rPr>
          <w:rFonts w:ascii="Arial" w:eastAsia="Calibri" w:hAnsi="Arial" w:cs="Arial"/>
          <w:sz w:val="20"/>
          <w:lang w:val="pt-PT"/>
        </w:rPr>
        <w:t xml:space="preserve"> invocando a justa causa de rescisão de contracto, </w:t>
      </w:r>
      <w:r w:rsidRPr="00292532">
        <w:rPr>
          <w:rFonts w:ascii="Arial" w:eastAsia="Calibri" w:hAnsi="Arial" w:cs="Arial"/>
          <w:sz w:val="20"/>
          <w:lang w:val="pt-PT"/>
        </w:rPr>
        <w:t>bem como detalhes do pagamento ou quando for aplicável, indemnizações em tempo útil, conforme estipulado na lei do trabalho.</w:t>
      </w:r>
    </w:p>
    <w:p w14:paraId="61AE4B88" w14:textId="3D9FD52F" w:rsidR="00CD1C60" w:rsidRPr="00292532" w:rsidRDefault="00CD1C60" w:rsidP="00CD1C60">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O trabalhador pode rescindir o contracto de trabalho, com justa causa, nos termos do artigo 127 da lei do trabalho, mediante comunicação prévia de, pelo menos, 7 dias, indicando, expressa e inequivocamente, os factos que o fundamentam.</w:t>
      </w:r>
    </w:p>
    <w:p w14:paraId="3DD5F8C4" w14:textId="77777777" w:rsidR="00B31AE2" w:rsidRPr="00292532" w:rsidRDefault="00B31AE2" w:rsidP="00B31AE2">
      <w:pPr>
        <w:suppressAutoHyphens/>
        <w:spacing w:before="0" w:after="0"/>
        <w:ind w:left="24" w:right="12"/>
        <w:rPr>
          <w:rFonts w:ascii="Arial" w:eastAsia="Calibri" w:hAnsi="Arial" w:cs="Arial"/>
          <w:sz w:val="20"/>
          <w:lang w:val="pt-PT"/>
        </w:rPr>
      </w:pPr>
      <w:r w:rsidRPr="00292532">
        <w:rPr>
          <w:rFonts w:ascii="Arial" w:eastAsia="Calibri" w:hAnsi="Arial" w:cs="Arial"/>
          <w:sz w:val="20"/>
          <w:lang w:val="pt-PT"/>
        </w:rPr>
        <w:t xml:space="preserve">Ao operar no âmbito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os trabalhadores endossam e aceitam a legislação nacional e os requisitos expressos no Código de Conduta fornecido pelo empregador.</w:t>
      </w:r>
    </w:p>
    <w:p w14:paraId="725A6924" w14:textId="77777777" w:rsidR="00D2381A" w:rsidRPr="00292532" w:rsidRDefault="00D2381A" w:rsidP="00B31AE2">
      <w:pPr>
        <w:suppressAutoHyphens/>
        <w:spacing w:before="0" w:after="0"/>
        <w:ind w:left="24" w:right="12"/>
        <w:rPr>
          <w:rFonts w:ascii="Arial" w:eastAsia="Calibri" w:hAnsi="Arial" w:cs="Arial"/>
          <w:sz w:val="20"/>
          <w:lang w:val="pt-PT"/>
        </w:rPr>
      </w:pPr>
    </w:p>
    <w:p w14:paraId="2D901AC5" w14:textId="6C1E030B" w:rsidR="00B31AE2" w:rsidRPr="00292532" w:rsidRDefault="00B31AE2" w:rsidP="00AE14AE">
      <w:pPr>
        <w:keepNext/>
        <w:keepLines/>
        <w:numPr>
          <w:ilvl w:val="1"/>
          <w:numId w:val="144"/>
        </w:numPr>
        <w:spacing w:before="40" w:after="0" w:line="276" w:lineRule="auto"/>
        <w:jc w:val="left"/>
        <w:outlineLvl w:val="2"/>
        <w:rPr>
          <w:rFonts w:ascii="Arial" w:eastAsia="Times New Roman" w:hAnsi="Arial" w:cs="Arial"/>
          <w:b/>
          <w:color w:val="1F3763"/>
          <w:sz w:val="24"/>
          <w:szCs w:val="24"/>
          <w:lang w:val="pt-PT"/>
        </w:rPr>
      </w:pPr>
      <w:bookmarkStart w:id="1067" w:name="_Toc73400069"/>
      <w:bookmarkStart w:id="1068" w:name="_Toc73400117"/>
      <w:bookmarkStart w:id="1069" w:name="_Toc73400169"/>
      <w:bookmarkStart w:id="1070" w:name="_Toc73474519"/>
      <w:bookmarkStart w:id="1071" w:name="_Toc73475082"/>
      <w:bookmarkStart w:id="1072" w:name="_Toc73475153"/>
      <w:bookmarkStart w:id="1073" w:name="_Toc73475209"/>
      <w:bookmarkStart w:id="1074" w:name="_Toc73480746"/>
      <w:bookmarkStart w:id="1075" w:name="_Toc73480790"/>
      <w:bookmarkStart w:id="1076" w:name="_Toc73480996"/>
      <w:bookmarkStart w:id="1077" w:name="_Toc74811084"/>
      <w:bookmarkStart w:id="1078" w:name="_Toc74841348"/>
      <w:bookmarkStart w:id="1079" w:name="_Toc74908016"/>
      <w:bookmarkStart w:id="1080" w:name="_Toc74908419"/>
      <w:bookmarkStart w:id="1081" w:name="_Toc74908498"/>
      <w:bookmarkStart w:id="1082" w:name="_Toc74911408"/>
      <w:bookmarkStart w:id="1083" w:name="_Toc74911454"/>
      <w:bookmarkStart w:id="1084" w:name="_Toc74911500"/>
      <w:bookmarkStart w:id="1085" w:name="_Toc74911546"/>
      <w:bookmarkStart w:id="1086" w:name="_Toc74915550"/>
      <w:bookmarkStart w:id="1087" w:name="_Toc74921393"/>
      <w:bookmarkStart w:id="1088" w:name="_Toc74921439"/>
      <w:bookmarkStart w:id="1089" w:name="_Toc74921485"/>
      <w:bookmarkStart w:id="1090" w:name="_Toc75438061"/>
      <w:bookmarkStart w:id="1091" w:name="_Toc78435490"/>
      <w:bookmarkStart w:id="1092" w:name="_Toc73400070"/>
      <w:bookmarkStart w:id="1093" w:name="_Toc73400118"/>
      <w:bookmarkStart w:id="1094" w:name="_Toc73400170"/>
      <w:bookmarkStart w:id="1095" w:name="_Toc73474520"/>
      <w:bookmarkStart w:id="1096" w:name="_Toc73475083"/>
      <w:bookmarkStart w:id="1097" w:name="_Toc73475154"/>
      <w:bookmarkStart w:id="1098" w:name="_Toc73475210"/>
      <w:bookmarkStart w:id="1099" w:name="_Toc73480747"/>
      <w:bookmarkStart w:id="1100" w:name="_Toc73480791"/>
      <w:bookmarkStart w:id="1101" w:name="_Toc73480997"/>
      <w:bookmarkStart w:id="1102" w:name="_Toc74811085"/>
      <w:bookmarkStart w:id="1103" w:name="_Toc74841349"/>
      <w:bookmarkStart w:id="1104" w:name="_Toc74908017"/>
      <w:bookmarkStart w:id="1105" w:name="_Toc74908420"/>
      <w:bookmarkStart w:id="1106" w:name="_Toc74908499"/>
      <w:bookmarkStart w:id="1107" w:name="_Toc74911409"/>
      <w:bookmarkStart w:id="1108" w:name="_Toc74911455"/>
      <w:bookmarkStart w:id="1109" w:name="_Toc74911501"/>
      <w:bookmarkStart w:id="1110" w:name="_Toc74911547"/>
      <w:bookmarkStart w:id="1111" w:name="_Toc74915551"/>
      <w:bookmarkStart w:id="1112" w:name="_Toc74921394"/>
      <w:bookmarkStart w:id="1113" w:name="_Toc74921440"/>
      <w:bookmarkStart w:id="1114" w:name="_Toc74921486"/>
      <w:bookmarkStart w:id="1115" w:name="_Toc75438062"/>
      <w:bookmarkStart w:id="1116" w:name="_Toc78435491"/>
      <w:bookmarkStart w:id="1117" w:name="_Toc73400071"/>
      <w:bookmarkStart w:id="1118" w:name="_Toc73400119"/>
      <w:bookmarkStart w:id="1119" w:name="_Toc73400171"/>
      <w:bookmarkStart w:id="1120" w:name="_Toc73474521"/>
      <w:bookmarkStart w:id="1121" w:name="_Toc73475084"/>
      <w:bookmarkStart w:id="1122" w:name="_Toc73475155"/>
      <w:bookmarkStart w:id="1123" w:name="_Toc73475211"/>
      <w:bookmarkStart w:id="1124" w:name="_Toc73480748"/>
      <w:bookmarkStart w:id="1125" w:name="_Toc73480792"/>
      <w:bookmarkStart w:id="1126" w:name="_Toc73480998"/>
      <w:bookmarkStart w:id="1127" w:name="_Toc74811086"/>
      <w:bookmarkStart w:id="1128" w:name="_Toc74841350"/>
      <w:bookmarkStart w:id="1129" w:name="_Toc74908018"/>
      <w:bookmarkStart w:id="1130" w:name="_Toc74908421"/>
      <w:bookmarkStart w:id="1131" w:name="_Toc74908500"/>
      <w:bookmarkStart w:id="1132" w:name="_Toc74911410"/>
      <w:bookmarkStart w:id="1133" w:name="_Toc74911456"/>
      <w:bookmarkStart w:id="1134" w:name="_Toc74911502"/>
      <w:bookmarkStart w:id="1135" w:name="_Toc74911548"/>
      <w:bookmarkStart w:id="1136" w:name="_Toc74915552"/>
      <w:bookmarkStart w:id="1137" w:name="_Toc74921395"/>
      <w:bookmarkStart w:id="1138" w:name="_Toc74921441"/>
      <w:bookmarkStart w:id="1139" w:name="_Toc74921487"/>
      <w:bookmarkStart w:id="1140" w:name="_Toc75438063"/>
      <w:bookmarkStart w:id="1141" w:name="_Toc78435492"/>
      <w:bookmarkStart w:id="1142" w:name="_Toc74921488"/>
      <w:bookmarkStart w:id="1143" w:name="_Toc75438064"/>
      <w:bookmarkStart w:id="1144" w:name="_Toc78435493"/>
      <w:bookmarkStart w:id="1145" w:name="_Toc80380160"/>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r w:rsidRPr="00292532">
        <w:rPr>
          <w:rFonts w:ascii="Arial" w:eastAsia="Times New Roman" w:hAnsi="Arial" w:cs="Arial"/>
          <w:b/>
          <w:color w:val="1F3763"/>
          <w:sz w:val="24"/>
          <w:szCs w:val="24"/>
          <w:lang w:val="pt-PT"/>
        </w:rPr>
        <w:t xml:space="preserve">Políticas e procedimentos gerais do </w:t>
      </w:r>
      <w:proofErr w:type="spellStart"/>
      <w:r w:rsidRPr="00292532">
        <w:rPr>
          <w:rFonts w:ascii="Arial" w:eastAsia="Times New Roman" w:hAnsi="Arial" w:cs="Arial"/>
          <w:b/>
          <w:color w:val="1F3763"/>
          <w:sz w:val="24"/>
          <w:szCs w:val="24"/>
          <w:lang w:val="pt-PT"/>
        </w:rPr>
        <w:t>Projecto</w:t>
      </w:r>
      <w:bookmarkEnd w:id="1142"/>
      <w:bookmarkEnd w:id="1143"/>
      <w:bookmarkEnd w:id="1144"/>
      <w:bookmarkEnd w:id="1145"/>
      <w:proofErr w:type="spellEnd"/>
    </w:p>
    <w:p w14:paraId="0C5FD5D4" w14:textId="77777777" w:rsidR="00B31AE2" w:rsidRPr="00292532" w:rsidRDefault="00B31AE2" w:rsidP="00B31AE2">
      <w:pPr>
        <w:spacing w:before="0" w:after="200"/>
        <w:ind w:left="24" w:right="12"/>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Todos empregadores com mão-de-obra </w:t>
      </w:r>
      <w:proofErr w:type="spellStart"/>
      <w:r w:rsidRPr="00292532">
        <w:rPr>
          <w:rFonts w:ascii="Arial" w:eastAsia="Calibri" w:hAnsi="Arial" w:cs="Arial"/>
          <w:color w:val="000000"/>
          <w:sz w:val="20"/>
          <w:szCs w:val="20"/>
          <w:lang w:val="pt-PT"/>
        </w:rPr>
        <w:t>afecta</w:t>
      </w:r>
      <w:proofErr w:type="spellEnd"/>
      <w:r w:rsidRPr="00292532">
        <w:rPr>
          <w:rFonts w:ascii="Arial" w:eastAsia="Calibri" w:hAnsi="Arial" w:cs="Arial"/>
          <w:color w:val="000000"/>
          <w:sz w:val="20"/>
          <w:szCs w:val="20"/>
          <w:lang w:val="pt-PT"/>
        </w:rPr>
        <w:t xml:space="preserve"> ao </w:t>
      </w:r>
      <w:proofErr w:type="spellStart"/>
      <w:r w:rsidRPr="00292532">
        <w:rPr>
          <w:rFonts w:ascii="Arial" w:eastAsia="Calibri" w:hAnsi="Arial" w:cs="Arial"/>
          <w:color w:val="000000"/>
          <w:sz w:val="20"/>
          <w:szCs w:val="20"/>
          <w:lang w:val="pt-PT"/>
        </w:rPr>
        <w:t>Projecto</w:t>
      </w:r>
      <w:proofErr w:type="spellEnd"/>
      <w:r w:rsidRPr="00292532">
        <w:rPr>
          <w:rFonts w:ascii="Arial" w:eastAsia="Calibri" w:hAnsi="Arial" w:cs="Arial"/>
          <w:color w:val="000000"/>
          <w:sz w:val="20"/>
          <w:szCs w:val="20"/>
          <w:lang w:val="pt-PT"/>
        </w:rPr>
        <w:t xml:space="preserve"> ou subprojecto deverão:</w:t>
      </w:r>
    </w:p>
    <w:p w14:paraId="539AECD2" w14:textId="77777777" w:rsidR="00B31AE2" w:rsidRPr="00292532" w:rsidRDefault="00B31AE2" w:rsidP="00AE14AE">
      <w:pPr>
        <w:numPr>
          <w:ilvl w:val="0"/>
          <w:numId w:val="122"/>
        </w:numPr>
        <w:spacing w:before="0" w:after="0" w:line="276" w:lineRule="auto"/>
        <w:contextualSpacing/>
        <w:jc w:val="left"/>
        <w:rPr>
          <w:rFonts w:ascii="Arial" w:eastAsia="Calibri" w:hAnsi="Arial" w:cs="Arial"/>
          <w:color w:val="000000"/>
          <w:sz w:val="20"/>
          <w:szCs w:val="20"/>
          <w:lang w:val="pt-PT"/>
        </w:rPr>
      </w:pPr>
      <w:r w:rsidRPr="00292532">
        <w:rPr>
          <w:rFonts w:ascii="Arial" w:eastAsia="Calibri" w:hAnsi="Arial" w:cs="Arial"/>
          <w:color w:val="000000"/>
          <w:sz w:val="20"/>
          <w:szCs w:val="20"/>
          <w:lang w:val="pt-PT"/>
        </w:rPr>
        <w:t>Conhecer e cumprir as disposições legais relativas a emprego e trabalho, incluindo o trabalho infantil, e normas técnicas e regulamentares em vigor.</w:t>
      </w:r>
    </w:p>
    <w:p w14:paraId="797C2713" w14:textId="77777777" w:rsidR="00B31AE2" w:rsidRPr="00292532" w:rsidRDefault="00B31AE2" w:rsidP="00AE14AE">
      <w:pPr>
        <w:numPr>
          <w:ilvl w:val="0"/>
          <w:numId w:val="122"/>
        </w:numPr>
        <w:spacing w:before="0" w:after="0" w:line="276" w:lineRule="auto"/>
        <w:contextualSpacing/>
        <w:jc w:val="left"/>
        <w:rPr>
          <w:rFonts w:ascii="Arial" w:eastAsia="Calibri" w:hAnsi="Arial" w:cs="Arial"/>
          <w:color w:val="000000"/>
          <w:sz w:val="20"/>
          <w:szCs w:val="20"/>
          <w:lang w:val="pt-PT"/>
        </w:rPr>
      </w:pPr>
      <w:r w:rsidRPr="00292532">
        <w:rPr>
          <w:rFonts w:ascii="Arial" w:eastAsia="Calibri" w:hAnsi="Arial" w:cs="Arial"/>
          <w:color w:val="000000"/>
          <w:sz w:val="20"/>
          <w:szCs w:val="20"/>
          <w:lang w:val="pt-PT"/>
        </w:rPr>
        <w:t>Conhecer e cumprir com os diplomas legais relativos à Saúde e Segurança dos Trabalhadores.</w:t>
      </w:r>
    </w:p>
    <w:p w14:paraId="2AF40E99" w14:textId="77777777" w:rsidR="00B31AE2" w:rsidRPr="00292532" w:rsidRDefault="00B31AE2" w:rsidP="00AE14AE">
      <w:pPr>
        <w:numPr>
          <w:ilvl w:val="0"/>
          <w:numId w:val="122"/>
        </w:numPr>
        <w:spacing w:before="0" w:after="0" w:line="276" w:lineRule="auto"/>
        <w:contextualSpacing/>
        <w:jc w:val="left"/>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Conhecer, treinar aos colaboradores e cumprir com os documentos vinculativos do </w:t>
      </w:r>
      <w:proofErr w:type="spellStart"/>
      <w:r w:rsidRPr="00292532">
        <w:rPr>
          <w:rFonts w:ascii="Arial" w:eastAsia="Calibri" w:hAnsi="Arial" w:cs="Arial"/>
          <w:color w:val="000000"/>
          <w:sz w:val="20"/>
          <w:szCs w:val="20"/>
          <w:lang w:val="pt-PT"/>
        </w:rPr>
        <w:t>Projecto</w:t>
      </w:r>
      <w:proofErr w:type="spellEnd"/>
      <w:r w:rsidRPr="00292532">
        <w:rPr>
          <w:rFonts w:ascii="Arial" w:eastAsia="Calibri" w:hAnsi="Arial" w:cs="Arial"/>
          <w:color w:val="000000"/>
          <w:sz w:val="20"/>
          <w:szCs w:val="20"/>
          <w:lang w:val="pt-PT"/>
        </w:rPr>
        <w:t xml:space="preserve">, incluindo o presente Plano, e todos outros documentos elaborados para o presente </w:t>
      </w:r>
      <w:proofErr w:type="spellStart"/>
      <w:r w:rsidRPr="00292532">
        <w:rPr>
          <w:rFonts w:ascii="Arial" w:eastAsia="Calibri" w:hAnsi="Arial" w:cs="Arial"/>
          <w:color w:val="000000"/>
          <w:sz w:val="20"/>
          <w:szCs w:val="20"/>
          <w:lang w:val="pt-PT"/>
        </w:rPr>
        <w:t>projecto</w:t>
      </w:r>
      <w:proofErr w:type="spellEnd"/>
      <w:r w:rsidRPr="00292532">
        <w:rPr>
          <w:rFonts w:ascii="Arial" w:eastAsia="Calibri" w:hAnsi="Arial" w:cs="Arial"/>
          <w:color w:val="000000"/>
          <w:sz w:val="20"/>
          <w:szCs w:val="20"/>
          <w:lang w:val="pt-PT"/>
        </w:rPr>
        <w:t>.</w:t>
      </w:r>
    </w:p>
    <w:p w14:paraId="6FE0BF72" w14:textId="77777777" w:rsidR="00B31AE2" w:rsidRPr="00292532" w:rsidRDefault="00B31AE2" w:rsidP="00AE14AE">
      <w:pPr>
        <w:numPr>
          <w:ilvl w:val="0"/>
          <w:numId w:val="122"/>
        </w:numPr>
        <w:spacing w:before="0" w:after="0" w:line="276" w:lineRule="auto"/>
        <w:contextualSpacing/>
        <w:jc w:val="left"/>
        <w:rPr>
          <w:rFonts w:ascii="Arial" w:eastAsia="Calibri" w:hAnsi="Arial" w:cs="Arial"/>
          <w:color w:val="000000"/>
          <w:sz w:val="20"/>
          <w:szCs w:val="20"/>
          <w:lang w:val="pt-PT"/>
        </w:rPr>
      </w:pPr>
      <w:r w:rsidRPr="00292532">
        <w:rPr>
          <w:rFonts w:ascii="Arial" w:eastAsia="Calibri" w:hAnsi="Arial" w:cs="Arial"/>
          <w:color w:val="000000"/>
          <w:sz w:val="20"/>
          <w:szCs w:val="20"/>
          <w:lang w:val="pt-PT"/>
        </w:rPr>
        <w:t>Ter um departamento, sector ou pessoal responsável por gestão de recursos humanos e relações trabalhistas.</w:t>
      </w:r>
    </w:p>
    <w:p w14:paraId="1C1D7DA4" w14:textId="77777777" w:rsidR="00B31AE2" w:rsidRPr="00292532" w:rsidRDefault="00B31AE2" w:rsidP="00AE14AE">
      <w:pPr>
        <w:numPr>
          <w:ilvl w:val="0"/>
          <w:numId w:val="122"/>
        </w:numPr>
        <w:spacing w:before="0" w:after="0" w:line="276" w:lineRule="auto"/>
        <w:contextualSpacing/>
        <w:jc w:val="left"/>
        <w:rPr>
          <w:rFonts w:ascii="Arial" w:eastAsia="Calibri" w:hAnsi="Arial" w:cs="Arial"/>
          <w:color w:val="000000"/>
          <w:sz w:val="20"/>
          <w:szCs w:val="20"/>
          <w:lang w:val="pt-PT"/>
        </w:rPr>
      </w:pPr>
      <w:r w:rsidRPr="00292532">
        <w:rPr>
          <w:rFonts w:ascii="Arial" w:eastAsia="Calibri" w:hAnsi="Arial" w:cs="Arial"/>
          <w:color w:val="000000"/>
          <w:sz w:val="20"/>
          <w:szCs w:val="20"/>
          <w:lang w:val="pt-PT"/>
        </w:rPr>
        <w:t>Documentar e fornecer a cada trabalhador, ao ser contratado, de forma clara e compreensível, as informações relativas aos seus direitos previstos na legislação de trabalho, incluindo os direitos a salários e benefícios.</w:t>
      </w:r>
    </w:p>
    <w:p w14:paraId="3269AE8E" w14:textId="77777777" w:rsidR="00B31AE2" w:rsidRPr="00292532" w:rsidRDefault="00B31AE2" w:rsidP="00AE14AE">
      <w:pPr>
        <w:numPr>
          <w:ilvl w:val="0"/>
          <w:numId w:val="122"/>
        </w:numPr>
        <w:spacing w:before="0" w:after="0" w:line="276" w:lineRule="auto"/>
        <w:contextualSpacing/>
        <w:jc w:val="left"/>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Respeitar as condições de acordos </w:t>
      </w:r>
      <w:proofErr w:type="spellStart"/>
      <w:r w:rsidRPr="00292532">
        <w:rPr>
          <w:rFonts w:ascii="Arial" w:eastAsia="Calibri" w:hAnsi="Arial" w:cs="Arial"/>
          <w:color w:val="000000"/>
          <w:sz w:val="20"/>
          <w:szCs w:val="20"/>
          <w:lang w:val="pt-PT"/>
        </w:rPr>
        <w:t>colectivos</w:t>
      </w:r>
      <w:proofErr w:type="spellEnd"/>
      <w:r w:rsidRPr="00292532">
        <w:rPr>
          <w:rFonts w:ascii="Arial" w:eastAsia="Calibri" w:hAnsi="Arial" w:cs="Arial"/>
          <w:color w:val="000000"/>
          <w:sz w:val="20"/>
          <w:szCs w:val="20"/>
          <w:lang w:val="pt-PT"/>
        </w:rPr>
        <w:t xml:space="preserve"> e o direito à organização livre.</w:t>
      </w:r>
    </w:p>
    <w:p w14:paraId="1B5A5D59" w14:textId="77777777" w:rsidR="00B31AE2" w:rsidRPr="00292532" w:rsidRDefault="00B31AE2" w:rsidP="00AE14AE">
      <w:pPr>
        <w:numPr>
          <w:ilvl w:val="0"/>
          <w:numId w:val="122"/>
        </w:numPr>
        <w:spacing w:before="0" w:after="0" w:line="276" w:lineRule="auto"/>
        <w:contextualSpacing/>
        <w:jc w:val="left"/>
        <w:rPr>
          <w:rFonts w:ascii="Arial" w:eastAsia="Calibri" w:hAnsi="Arial" w:cs="Arial"/>
          <w:color w:val="000000"/>
          <w:sz w:val="20"/>
          <w:szCs w:val="20"/>
          <w:lang w:val="pt-PT"/>
        </w:rPr>
      </w:pPr>
      <w:r w:rsidRPr="00292532">
        <w:rPr>
          <w:rFonts w:ascii="Arial" w:eastAsia="Calibri" w:hAnsi="Arial" w:cs="Arial"/>
          <w:color w:val="000000"/>
          <w:sz w:val="20"/>
          <w:szCs w:val="20"/>
          <w:lang w:val="pt-PT"/>
        </w:rPr>
        <w:t>Documentar, divulgar e manter visível para os trabalhadores (em mural/locais estratégicos):</w:t>
      </w:r>
    </w:p>
    <w:p w14:paraId="74BBD80D" w14:textId="77777777" w:rsidR="00B31AE2" w:rsidRPr="00292532" w:rsidRDefault="00B31AE2" w:rsidP="00AE14AE">
      <w:pPr>
        <w:numPr>
          <w:ilvl w:val="1"/>
          <w:numId w:val="122"/>
        </w:numPr>
        <w:spacing w:before="0" w:after="0" w:line="276" w:lineRule="auto"/>
        <w:contextualSpacing/>
        <w:jc w:val="left"/>
        <w:rPr>
          <w:rFonts w:ascii="Arial" w:eastAsia="Calibri" w:hAnsi="Arial" w:cs="Arial"/>
          <w:sz w:val="20"/>
          <w:szCs w:val="24"/>
          <w:lang w:val="pt-PT"/>
        </w:rPr>
      </w:pPr>
      <w:r w:rsidRPr="00292532">
        <w:rPr>
          <w:rFonts w:ascii="Arial" w:eastAsia="Calibri" w:hAnsi="Arial" w:cs="Arial"/>
          <w:sz w:val="20"/>
          <w:szCs w:val="24"/>
          <w:lang w:val="pt-PT"/>
        </w:rPr>
        <w:t xml:space="preserve">Código de conduta (ver </w:t>
      </w:r>
      <w:r w:rsidRPr="00292532">
        <w:rPr>
          <w:rFonts w:ascii="Arial" w:eastAsia="Calibri" w:hAnsi="Arial" w:cs="Arial"/>
          <w:color w:val="5B9BD5"/>
          <w:sz w:val="20"/>
          <w:szCs w:val="24"/>
          <w:lang w:val="pt-PT"/>
        </w:rPr>
        <w:t xml:space="preserve">Secção </w:t>
      </w:r>
      <w:r w:rsidRPr="00292532">
        <w:rPr>
          <w:rFonts w:ascii="Arial" w:eastAsia="Calibri" w:hAnsi="Arial" w:cs="Arial"/>
          <w:color w:val="5B9BD5"/>
          <w:sz w:val="20"/>
          <w:szCs w:val="20"/>
          <w:lang w:val="pt-PT"/>
        </w:rPr>
        <w:fldChar w:fldCharType="begin"/>
      </w:r>
      <w:r w:rsidRPr="00292532">
        <w:rPr>
          <w:rFonts w:ascii="Arial" w:eastAsia="Calibri" w:hAnsi="Arial" w:cs="Arial"/>
          <w:color w:val="5B9BD5"/>
          <w:sz w:val="20"/>
          <w:szCs w:val="20"/>
          <w:lang w:val="pt-PT"/>
        </w:rPr>
        <w:instrText xml:space="preserve"> REF _Ref72582252 \r \h </w:instrText>
      </w:r>
      <w:r w:rsidRPr="00292532">
        <w:rPr>
          <w:rFonts w:ascii="Arial" w:eastAsia="Calibri" w:hAnsi="Arial" w:cs="Arial"/>
          <w:color w:val="5B9BD5"/>
          <w:sz w:val="20"/>
          <w:szCs w:val="20"/>
          <w:lang w:val="pt-PT"/>
        </w:rPr>
      </w:r>
      <w:r w:rsidRPr="00292532">
        <w:rPr>
          <w:rFonts w:ascii="Arial" w:eastAsia="Calibri" w:hAnsi="Arial" w:cs="Arial"/>
          <w:color w:val="5B9BD5"/>
          <w:sz w:val="20"/>
          <w:szCs w:val="20"/>
          <w:lang w:val="pt-PT"/>
        </w:rPr>
        <w:fldChar w:fldCharType="separate"/>
      </w:r>
      <w:r w:rsidRPr="00292532">
        <w:rPr>
          <w:rFonts w:ascii="Arial" w:eastAsia="Calibri" w:hAnsi="Arial" w:cs="Arial"/>
          <w:color w:val="5B9BD5"/>
          <w:sz w:val="20"/>
          <w:szCs w:val="20"/>
          <w:lang w:val="pt-PT"/>
        </w:rPr>
        <w:t>8.4</w:t>
      </w:r>
      <w:r w:rsidRPr="00292532">
        <w:rPr>
          <w:rFonts w:ascii="Arial" w:eastAsia="Calibri" w:hAnsi="Arial" w:cs="Arial"/>
          <w:color w:val="5B9BD5"/>
          <w:sz w:val="20"/>
          <w:szCs w:val="20"/>
          <w:lang w:val="pt-PT"/>
        </w:rPr>
        <w:fldChar w:fldCharType="end"/>
      </w:r>
      <w:r w:rsidRPr="00292532">
        <w:rPr>
          <w:rFonts w:ascii="Arial" w:eastAsia="Calibri" w:hAnsi="Arial" w:cs="Arial"/>
          <w:color w:val="000000"/>
          <w:sz w:val="20"/>
          <w:szCs w:val="20"/>
          <w:lang w:val="pt-PT"/>
        </w:rPr>
        <w:t xml:space="preserve">) </w:t>
      </w:r>
    </w:p>
    <w:p w14:paraId="655C57D1" w14:textId="77777777" w:rsidR="00B31AE2" w:rsidRPr="00292532" w:rsidRDefault="00B31AE2" w:rsidP="00AE14AE">
      <w:pPr>
        <w:numPr>
          <w:ilvl w:val="1"/>
          <w:numId w:val="122"/>
        </w:numPr>
        <w:spacing w:before="0" w:after="0" w:line="276" w:lineRule="auto"/>
        <w:contextualSpacing/>
        <w:jc w:val="left"/>
        <w:rPr>
          <w:rFonts w:ascii="Arial" w:eastAsia="Calibri" w:hAnsi="Arial" w:cs="Arial"/>
          <w:sz w:val="20"/>
          <w:szCs w:val="24"/>
          <w:lang w:val="pt-PT"/>
        </w:rPr>
      </w:pPr>
      <w:r w:rsidRPr="00292532">
        <w:rPr>
          <w:rFonts w:ascii="Arial" w:eastAsia="Calibri" w:hAnsi="Arial" w:cs="Arial"/>
          <w:sz w:val="20"/>
          <w:szCs w:val="24"/>
          <w:lang w:val="pt-PT"/>
        </w:rPr>
        <w:t>Canais de apresentação de queixas laborais</w:t>
      </w:r>
    </w:p>
    <w:p w14:paraId="22A1D8C0" w14:textId="77777777" w:rsidR="00B31AE2" w:rsidRPr="00292532" w:rsidRDefault="00B31AE2" w:rsidP="00AE14AE">
      <w:pPr>
        <w:numPr>
          <w:ilvl w:val="1"/>
          <w:numId w:val="122"/>
        </w:numPr>
        <w:spacing w:before="0" w:after="0" w:line="276" w:lineRule="auto"/>
        <w:contextualSpacing/>
        <w:jc w:val="left"/>
        <w:rPr>
          <w:rFonts w:ascii="Arial" w:eastAsia="Calibri" w:hAnsi="Arial" w:cs="Arial"/>
          <w:color w:val="000000"/>
          <w:sz w:val="20"/>
          <w:szCs w:val="20"/>
          <w:lang w:val="pt-PT"/>
        </w:rPr>
      </w:pPr>
      <w:r w:rsidRPr="00292532">
        <w:rPr>
          <w:rFonts w:ascii="Arial" w:eastAsia="Calibri" w:hAnsi="Arial" w:cs="Arial"/>
          <w:color w:val="000000"/>
          <w:sz w:val="20"/>
          <w:szCs w:val="20"/>
          <w:lang w:val="pt-PT"/>
        </w:rPr>
        <w:t>Regulamentos internos ou documentos similares que clarificam: Horário (de entrada, saída e intervalos diários); carga horária semanal e mensal, requisitos para benefício de horas extras, direito a repousos semanais e férias, sansões em vigor (ex. em caso de falta não justificada), etc.</w:t>
      </w:r>
    </w:p>
    <w:p w14:paraId="3604FFD6" w14:textId="77777777" w:rsidR="00B31AE2" w:rsidRPr="00292532" w:rsidRDefault="00B31AE2" w:rsidP="00AE14AE">
      <w:pPr>
        <w:numPr>
          <w:ilvl w:val="0"/>
          <w:numId w:val="122"/>
        </w:numPr>
        <w:spacing w:before="0" w:after="0" w:line="276" w:lineRule="auto"/>
        <w:contextualSpacing/>
        <w:jc w:val="left"/>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De acordo com o princípio da igualdade de oportunidades, promoção do género, e no tratamento justo, não fazer e não tolerar discriminação em nenhum dos </w:t>
      </w:r>
      <w:proofErr w:type="spellStart"/>
      <w:r w:rsidRPr="00292532">
        <w:rPr>
          <w:rFonts w:ascii="Arial" w:eastAsia="Calibri" w:hAnsi="Arial" w:cs="Arial"/>
          <w:color w:val="000000"/>
          <w:sz w:val="20"/>
          <w:szCs w:val="20"/>
          <w:lang w:val="pt-PT"/>
        </w:rPr>
        <w:t>aspectos</w:t>
      </w:r>
      <w:proofErr w:type="spellEnd"/>
      <w:r w:rsidRPr="00292532">
        <w:rPr>
          <w:rFonts w:ascii="Arial" w:eastAsia="Calibri" w:hAnsi="Arial" w:cs="Arial"/>
          <w:color w:val="000000"/>
          <w:sz w:val="20"/>
          <w:szCs w:val="20"/>
          <w:lang w:val="pt-PT"/>
        </w:rPr>
        <w:t xml:space="preserve"> da relação trabalhista (recrutamento, contratação, remuneração, condições de trabalho e termos de contratação, treinamento, promoção, rescisão do contracto e disciplina).</w:t>
      </w:r>
    </w:p>
    <w:p w14:paraId="78D79685" w14:textId="77777777" w:rsidR="00B31AE2" w:rsidRPr="00292532" w:rsidRDefault="00B31AE2" w:rsidP="00AE14AE">
      <w:pPr>
        <w:numPr>
          <w:ilvl w:val="0"/>
          <w:numId w:val="122"/>
        </w:numPr>
        <w:spacing w:before="0" w:after="0" w:line="276" w:lineRule="auto"/>
        <w:contextualSpacing/>
        <w:jc w:val="left"/>
        <w:rPr>
          <w:rFonts w:ascii="Arial" w:eastAsia="Calibri" w:hAnsi="Arial" w:cs="Arial"/>
          <w:color w:val="000000"/>
          <w:sz w:val="20"/>
          <w:szCs w:val="20"/>
          <w:lang w:val="pt-PT"/>
        </w:rPr>
      </w:pPr>
      <w:r w:rsidRPr="00292532">
        <w:rPr>
          <w:rFonts w:ascii="Arial" w:eastAsia="Calibri" w:hAnsi="Arial" w:cs="Arial"/>
          <w:color w:val="000000"/>
          <w:sz w:val="20"/>
          <w:szCs w:val="20"/>
          <w:lang w:val="pt-PT"/>
        </w:rPr>
        <w:t>Disponibilizar mecanismo de acesso fácil para reclamações aos trabalhadores e suas organizações, independente de outros recursos jurídicos, para que expressem suas preocupações quanto às condições de trabalho, com garantia de retorno aos reclamantes, sem qualquer retaliação.</w:t>
      </w:r>
    </w:p>
    <w:p w14:paraId="01B66E19" w14:textId="77777777" w:rsidR="00B31AE2" w:rsidRPr="00292532" w:rsidRDefault="00B31AE2" w:rsidP="00B31AE2">
      <w:pPr>
        <w:spacing w:before="0" w:after="0"/>
        <w:rPr>
          <w:rFonts w:ascii="Arial" w:eastAsia="Calibri" w:hAnsi="Arial" w:cs="Arial"/>
          <w:color w:val="000000"/>
          <w:sz w:val="20"/>
          <w:lang w:val="pt-PT"/>
        </w:rPr>
      </w:pPr>
      <w:bookmarkStart w:id="1146" w:name="_Toc72586691"/>
      <w:bookmarkStart w:id="1147" w:name="_Toc72589906"/>
      <w:bookmarkStart w:id="1148" w:name="_Toc72586692"/>
      <w:bookmarkStart w:id="1149" w:name="_Toc72589907"/>
      <w:bookmarkEnd w:id="1146"/>
      <w:bookmarkEnd w:id="1147"/>
      <w:bookmarkEnd w:id="1148"/>
      <w:bookmarkEnd w:id="1149"/>
    </w:p>
    <w:p w14:paraId="4EAA5946" w14:textId="11234F9C" w:rsidR="00B31AE2" w:rsidRPr="00292532" w:rsidRDefault="00B31AE2" w:rsidP="00AE14AE">
      <w:pPr>
        <w:keepNext/>
        <w:keepLines/>
        <w:numPr>
          <w:ilvl w:val="1"/>
          <w:numId w:val="144"/>
        </w:numPr>
        <w:spacing w:before="40" w:after="0" w:line="276" w:lineRule="auto"/>
        <w:jc w:val="left"/>
        <w:outlineLvl w:val="2"/>
        <w:rPr>
          <w:rFonts w:ascii="Arial" w:eastAsia="Times New Roman" w:hAnsi="Arial" w:cs="Arial"/>
          <w:b/>
          <w:color w:val="1F3763"/>
          <w:sz w:val="24"/>
          <w:szCs w:val="24"/>
          <w:lang w:val="pt-PT"/>
        </w:rPr>
      </w:pPr>
      <w:bookmarkStart w:id="1150" w:name="_Toc74921489"/>
      <w:bookmarkStart w:id="1151" w:name="_Toc75438065"/>
      <w:bookmarkStart w:id="1152" w:name="_Toc78435494"/>
      <w:bookmarkStart w:id="1153" w:name="_Toc80380161"/>
      <w:r w:rsidRPr="00292532">
        <w:rPr>
          <w:rFonts w:ascii="Arial" w:eastAsia="Times New Roman" w:hAnsi="Arial" w:cs="Arial"/>
          <w:b/>
          <w:color w:val="1F3763"/>
          <w:sz w:val="24"/>
          <w:szCs w:val="24"/>
          <w:lang w:val="pt-PT"/>
        </w:rPr>
        <w:t>Livre consentimento e idade de emprego</w:t>
      </w:r>
      <w:bookmarkEnd w:id="1150"/>
      <w:bookmarkEnd w:id="1151"/>
      <w:bookmarkEnd w:id="1152"/>
      <w:bookmarkEnd w:id="1153"/>
    </w:p>
    <w:p w14:paraId="782FA201" w14:textId="1567EFD0" w:rsidR="00B31AE2" w:rsidRPr="00292532" w:rsidRDefault="00B31AE2" w:rsidP="00B31AE2">
      <w:pPr>
        <w:spacing w:before="0" w:after="200"/>
        <w:rPr>
          <w:rFonts w:ascii="Arial" w:eastAsia="Calibri" w:hAnsi="Arial" w:cs="Arial"/>
          <w:sz w:val="20"/>
          <w:lang w:val="pt-PT"/>
        </w:rPr>
      </w:pPr>
      <w:r w:rsidRPr="00292532">
        <w:rPr>
          <w:rFonts w:ascii="Arial" w:eastAsia="Calibri" w:hAnsi="Arial" w:cs="Arial"/>
          <w:sz w:val="20"/>
          <w:lang w:val="pt-PT"/>
        </w:rPr>
        <w:t xml:space="preserve">Segundo a legislação nacional do trabalho, </w:t>
      </w:r>
      <w:r w:rsidRPr="00292532">
        <w:rPr>
          <w:rFonts w:ascii="Arial" w:eastAsia="Calibri" w:hAnsi="Arial" w:cs="Arial"/>
          <w:sz w:val="20"/>
          <w:szCs w:val="20"/>
          <w:lang w:val="pt-PT"/>
        </w:rPr>
        <w:t>Lei do Trabalho (Lei nº 23/2007)</w:t>
      </w:r>
      <w:r w:rsidRPr="00292532">
        <w:rPr>
          <w:rFonts w:ascii="Arial" w:eastAsia="Calibri" w:hAnsi="Arial" w:cs="Arial"/>
          <w:sz w:val="20"/>
          <w:lang w:val="pt-PT"/>
        </w:rPr>
        <w:t xml:space="preserve">, a idade mínima laboral em Moçambique é de 15 anos, sendo necessário obedecer alguns critérios descritos na mesma legislação, que incluem aprovação do representante legal do menor (menor de 18 anos), bem como a análise de risco que </w:t>
      </w:r>
      <w:r w:rsidRPr="00292532">
        <w:rPr>
          <w:rFonts w:ascii="Arial" w:eastAsia="Calibri" w:hAnsi="Arial" w:cs="Arial"/>
          <w:sz w:val="20"/>
          <w:lang w:val="pt-PT"/>
        </w:rPr>
        <w:lastRenderedPageBreak/>
        <w:t>evidencia que o menor não estará exposto a trabalhos perigos e a carga horária não irá exceder 38 horas semanais e sete horas diárias.</w:t>
      </w:r>
    </w:p>
    <w:p w14:paraId="2498A5D9" w14:textId="77777777" w:rsidR="00CD1C60" w:rsidRPr="00292532" w:rsidRDefault="00CD1C60" w:rsidP="00CD1C60">
      <w:pPr>
        <w:spacing w:before="0" w:after="0"/>
        <w:rPr>
          <w:rFonts w:ascii="Arial" w:eastAsia="Calibri" w:hAnsi="Arial" w:cs="Arial"/>
          <w:sz w:val="20"/>
          <w:lang w:val="pt-PT"/>
        </w:rPr>
      </w:pPr>
      <w:r w:rsidRPr="00292532">
        <w:rPr>
          <w:rFonts w:ascii="Arial" w:eastAsia="Calibri" w:hAnsi="Arial" w:cs="Arial"/>
          <w:sz w:val="20"/>
          <w:lang w:val="pt-PT"/>
        </w:rPr>
        <w:t xml:space="preserve">Portanto, para 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o empregador deve, em coordenação com o organismo sindical competente, </w:t>
      </w:r>
      <w:proofErr w:type="spellStart"/>
      <w:r w:rsidRPr="00292532">
        <w:rPr>
          <w:rFonts w:ascii="Arial" w:eastAsia="Calibri" w:hAnsi="Arial" w:cs="Arial"/>
          <w:sz w:val="20"/>
          <w:lang w:val="pt-PT"/>
        </w:rPr>
        <w:t>adoptar</w:t>
      </w:r>
      <w:proofErr w:type="spellEnd"/>
      <w:r w:rsidRPr="00292532">
        <w:rPr>
          <w:rFonts w:ascii="Arial" w:eastAsia="Calibri" w:hAnsi="Arial" w:cs="Arial"/>
          <w:sz w:val="20"/>
          <w:lang w:val="pt-PT"/>
        </w:rPr>
        <w:t xml:space="preserve"> medidas tendentes a proporcionar ao </w:t>
      </w:r>
      <w:proofErr w:type="gramStart"/>
      <w:r w:rsidRPr="00292532">
        <w:rPr>
          <w:rFonts w:ascii="Arial" w:eastAsia="Calibri" w:hAnsi="Arial" w:cs="Arial"/>
          <w:sz w:val="20"/>
          <w:lang w:val="pt-PT"/>
        </w:rPr>
        <w:t>menor condições</w:t>
      </w:r>
      <w:proofErr w:type="gramEnd"/>
      <w:r w:rsidRPr="00292532">
        <w:rPr>
          <w:rFonts w:ascii="Arial" w:eastAsia="Calibri" w:hAnsi="Arial" w:cs="Arial"/>
          <w:sz w:val="20"/>
          <w:lang w:val="pt-PT"/>
        </w:rPr>
        <w:t xml:space="preserve"> de trabalho adequadas à sua idade, saúde, segurança, educação e formação profissional, prevenindo quaisquer danos ao seu desenvolvimento físico, psíquico e moral, incluindo:</w:t>
      </w:r>
    </w:p>
    <w:p w14:paraId="0F1F3AEB" w14:textId="77777777" w:rsidR="00CD1C60" w:rsidRPr="00292532" w:rsidRDefault="00CD1C60" w:rsidP="00CD1C60">
      <w:pPr>
        <w:numPr>
          <w:ilvl w:val="0"/>
          <w:numId w:val="27"/>
        </w:numPr>
        <w:spacing w:after="120"/>
        <w:contextualSpacing/>
        <w:rPr>
          <w:lang w:val="pt-PT"/>
        </w:rPr>
      </w:pPr>
      <w:r w:rsidRPr="00292532">
        <w:rPr>
          <w:lang w:val="pt-PT"/>
        </w:rPr>
        <w:t>O empregador não deve ocupar o menor, com idade inferior a dezoito anos, em tarefas insalubres, perigosas ou as que requeiram grande esforço físico, definidas pelas autoridades competentes, após consulta às organizações sindicais e de empregadores e só poderá ser admitido após obedecer os requisitos de contratação anunciados na legislação do trabalho, incluindo:</w:t>
      </w:r>
    </w:p>
    <w:p w14:paraId="3C240EFB" w14:textId="77777777" w:rsidR="00CD1C60" w:rsidRPr="00292532" w:rsidRDefault="00CD1C60" w:rsidP="00CD1C60">
      <w:pPr>
        <w:numPr>
          <w:ilvl w:val="0"/>
          <w:numId w:val="27"/>
        </w:numPr>
        <w:spacing w:after="120"/>
        <w:contextualSpacing/>
        <w:rPr>
          <w:lang w:val="pt-PT"/>
        </w:rPr>
      </w:pPr>
      <w:r w:rsidRPr="00292532">
        <w:rPr>
          <w:lang w:val="pt-PT"/>
        </w:rPr>
        <w:t xml:space="preserve">O menor só pode ser admitido a trabalho depois de submetido a exame médico, para se conhecer da sua robustez física, saúde mental e aptidão para o trabalho em que será ocupado, sendo obrigatória a apresentação do </w:t>
      </w:r>
      <w:proofErr w:type="spellStart"/>
      <w:r w:rsidRPr="00292532">
        <w:rPr>
          <w:lang w:val="pt-PT"/>
        </w:rPr>
        <w:t>respectivo</w:t>
      </w:r>
      <w:proofErr w:type="spellEnd"/>
      <w:r w:rsidRPr="00292532">
        <w:rPr>
          <w:lang w:val="pt-PT"/>
        </w:rPr>
        <w:t xml:space="preserve"> atestado de aptidão para o trabalho. </w:t>
      </w:r>
    </w:p>
    <w:p w14:paraId="4E5F8335" w14:textId="77777777" w:rsidR="00CD1C60" w:rsidRPr="00292532" w:rsidRDefault="00CD1C60" w:rsidP="00CD1C60">
      <w:pPr>
        <w:numPr>
          <w:ilvl w:val="0"/>
          <w:numId w:val="27"/>
        </w:numPr>
        <w:spacing w:after="120"/>
        <w:contextualSpacing/>
        <w:rPr>
          <w:lang w:val="pt-PT"/>
        </w:rPr>
      </w:pPr>
      <w:r w:rsidRPr="00292532">
        <w:rPr>
          <w:lang w:val="pt-PT"/>
        </w:rPr>
        <w:t xml:space="preserve">A aptidão do menor para o trabalho deve ser </w:t>
      </w:r>
      <w:proofErr w:type="spellStart"/>
      <w:r w:rsidRPr="00292532">
        <w:rPr>
          <w:lang w:val="pt-PT"/>
        </w:rPr>
        <w:t>objecto</w:t>
      </w:r>
      <w:proofErr w:type="spellEnd"/>
      <w:r w:rsidRPr="00292532">
        <w:rPr>
          <w:lang w:val="pt-PT"/>
        </w:rPr>
        <w:t xml:space="preserve"> de </w:t>
      </w:r>
      <w:proofErr w:type="spellStart"/>
      <w:r w:rsidRPr="00292532">
        <w:rPr>
          <w:lang w:val="pt-PT"/>
        </w:rPr>
        <w:t>inspecção</w:t>
      </w:r>
      <w:proofErr w:type="spellEnd"/>
      <w:r w:rsidRPr="00292532">
        <w:rPr>
          <w:lang w:val="pt-PT"/>
        </w:rPr>
        <w:t xml:space="preserve"> médica anual, podendo a </w:t>
      </w:r>
      <w:proofErr w:type="spellStart"/>
      <w:r w:rsidRPr="00292532">
        <w:rPr>
          <w:lang w:val="pt-PT"/>
        </w:rPr>
        <w:t>Inspecção</w:t>
      </w:r>
      <w:proofErr w:type="spellEnd"/>
      <w:r w:rsidRPr="00292532">
        <w:rPr>
          <w:lang w:val="pt-PT"/>
        </w:rPr>
        <w:t xml:space="preserve"> do Trabalho requisitar os exames médicos daquele, com vista a certificar se os trabalhos a que o menor está obrigado, pela sua natureza ou pelas condições em que os mesmos são prestados, são prejudiciais à idade, condição física, moral ou mental do menor</w:t>
      </w:r>
    </w:p>
    <w:p w14:paraId="413961CB" w14:textId="77777777" w:rsidR="00CD1C60" w:rsidRPr="00292532" w:rsidRDefault="00CD1C60" w:rsidP="00CD1C60">
      <w:pPr>
        <w:numPr>
          <w:ilvl w:val="0"/>
          <w:numId w:val="27"/>
        </w:numPr>
        <w:spacing w:after="120"/>
        <w:contextualSpacing/>
        <w:rPr>
          <w:lang w:val="pt-PT"/>
        </w:rPr>
      </w:pPr>
      <w:r w:rsidRPr="00292532">
        <w:rPr>
          <w:lang w:val="pt-PT"/>
        </w:rPr>
        <w:t>Nos casos em que os trabalhos sejam prestados em condições especialmente perigosas para a saúde ou moral do menor, este deve ser transferido para outro posto de trabalho.</w:t>
      </w:r>
    </w:p>
    <w:p w14:paraId="516984E8" w14:textId="77777777" w:rsidR="00CD1C60" w:rsidRPr="00292532" w:rsidRDefault="00CD1C60" w:rsidP="00CD1C60">
      <w:pPr>
        <w:numPr>
          <w:ilvl w:val="0"/>
          <w:numId w:val="27"/>
        </w:numPr>
        <w:spacing w:after="120"/>
        <w:contextualSpacing/>
        <w:rPr>
          <w:lang w:val="pt-PT"/>
        </w:rPr>
      </w:pPr>
      <w:r w:rsidRPr="00292532">
        <w:rPr>
          <w:lang w:val="pt-PT"/>
        </w:rPr>
        <w:t xml:space="preserve">O contracto de trabalho celebrado </w:t>
      </w:r>
      <w:proofErr w:type="spellStart"/>
      <w:r w:rsidRPr="00292532">
        <w:rPr>
          <w:lang w:val="pt-PT"/>
        </w:rPr>
        <w:t>directamente</w:t>
      </w:r>
      <w:proofErr w:type="spellEnd"/>
      <w:r w:rsidRPr="00292532">
        <w:rPr>
          <w:lang w:val="pt-PT"/>
        </w:rPr>
        <w:t xml:space="preserve"> com o menor com idade compreendida entre Quinze e Dezoito anos só é válido mediante autorização, por escrito, do seu representante legal e aprovação formal da UIP, acompanhado de evidencias de aprovação do representante legal do menor bem como análise de riscos que evidência que o menor não estará exposto a trabalhos perigosos.</w:t>
      </w:r>
    </w:p>
    <w:p w14:paraId="581CA227" w14:textId="77777777" w:rsidR="00CD1C60" w:rsidRPr="00292532" w:rsidRDefault="00CD1C60" w:rsidP="00CD1C60">
      <w:pPr>
        <w:numPr>
          <w:ilvl w:val="0"/>
          <w:numId w:val="27"/>
        </w:numPr>
        <w:spacing w:after="0"/>
        <w:contextualSpacing/>
        <w:rPr>
          <w:lang w:val="pt-PT"/>
        </w:rPr>
      </w:pPr>
      <w:r w:rsidRPr="00292532">
        <w:rPr>
          <w:lang w:val="pt-PT"/>
        </w:rPr>
        <w:t>A remuneração a pagar ao menor deve ser fixada em função da quantidade e qualidade do trabalho por ele prestado, a qual, em caso algum, será inferior ao salário mínimo em vigor na empresa.</w:t>
      </w:r>
    </w:p>
    <w:p w14:paraId="5D85A542" w14:textId="77777777" w:rsidR="00CD1C60" w:rsidRPr="00292532" w:rsidRDefault="00CD1C60" w:rsidP="00CD1C60">
      <w:pPr>
        <w:spacing w:before="0" w:after="0"/>
        <w:rPr>
          <w:rFonts w:ascii="Arial" w:eastAsia="Calibri" w:hAnsi="Arial" w:cs="Arial"/>
          <w:sz w:val="20"/>
          <w:lang w:val="pt-PT"/>
        </w:rPr>
      </w:pPr>
    </w:p>
    <w:p w14:paraId="6B21AED0" w14:textId="77777777" w:rsidR="00CD1C60" w:rsidRPr="00292532" w:rsidRDefault="00CD1C60" w:rsidP="00CD1C60">
      <w:pPr>
        <w:spacing w:before="0" w:after="200"/>
        <w:rPr>
          <w:rFonts w:ascii="Arial" w:eastAsia="Calibri" w:hAnsi="Arial" w:cs="Arial"/>
          <w:sz w:val="20"/>
          <w:lang w:val="pt-PT"/>
        </w:rPr>
      </w:pPr>
      <w:r w:rsidRPr="00292532">
        <w:rPr>
          <w:rFonts w:ascii="Arial" w:eastAsia="Calibri" w:hAnsi="Arial" w:cs="Arial"/>
          <w:sz w:val="20"/>
          <w:lang w:val="pt-PT"/>
        </w:rPr>
        <w:t>As instituições que recebem estagiários estão isentas da solicitação de autorização, desde que disponham de contractos de estágio disponíveis para evidenciar de forma rápida em auditorias e monitorias.</w:t>
      </w:r>
    </w:p>
    <w:p w14:paraId="4F67AD64" w14:textId="063C599A" w:rsidR="00CD1C60" w:rsidRPr="00292532" w:rsidRDefault="00CD1C60" w:rsidP="00CD1C60">
      <w:pPr>
        <w:spacing w:before="0" w:after="200"/>
        <w:rPr>
          <w:rFonts w:ascii="Arial" w:eastAsia="Calibri" w:hAnsi="Arial" w:cs="Arial"/>
          <w:sz w:val="20"/>
          <w:lang w:val="pt-PT"/>
        </w:rPr>
      </w:pPr>
      <w:r w:rsidRPr="00292532">
        <w:rPr>
          <w:rFonts w:ascii="Arial" w:eastAsia="Calibri" w:hAnsi="Arial" w:cs="Arial"/>
          <w:sz w:val="20"/>
          <w:lang w:val="pt-PT"/>
        </w:rPr>
        <w:t xml:space="preserve">Contudo, para trabalhadores </w:t>
      </w:r>
      <w:proofErr w:type="spellStart"/>
      <w:r w:rsidRPr="00292532">
        <w:rPr>
          <w:rFonts w:ascii="Arial" w:eastAsia="Calibri" w:hAnsi="Arial" w:cs="Arial"/>
          <w:sz w:val="20"/>
          <w:lang w:val="pt-PT"/>
        </w:rPr>
        <w:t>directos</w:t>
      </w:r>
      <w:proofErr w:type="spellEnd"/>
      <w:r w:rsidRPr="00292532">
        <w:rPr>
          <w:rFonts w:ascii="Arial" w:eastAsia="Calibri" w:hAnsi="Arial" w:cs="Arial"/>
          <w:sz w:val="20"/>
          <w:lang w:val="pt-PT"/>
        </w:rPr>
        <w:t xml:space="preserve">, 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considera 18 anos como idade mínima para emprego, com base nos requisitos gerais para a provisão de funções públicas</w:t>
      </w:r>
    </w:p>
    <w:p w14:paraId="5666ED75" w14:textId="7CE2E481" w:rsidR="00B31AE2" w:rsidRPr="00292532" w:rsidRDefault="00B31AE2" w:rsidP="00B31AE2">
      <w:pPr>
        <w:spacing w:before="0" w:after="0"/>
        <w:rPr>
          <w:rFonts w:ascii="Arial" w:eastAsia="Calibri" w:hAnsi="Arial" w:cs="Arial"/>
          <w:sz w:val="20"/>
          <w:szCs w:val="24"/>
          <w:lang w:val="pt-PT"/>
        </w:rPr>
      </w:pPr>
      <w:r w:rsidRPr="00292532">
        <w:rPr>
          <w:rFonts w:ascii="Arial" w:eastAsia="Calibri" w:hAnsi="Arial" w:cs="Arial"/>
          <w:sz w:val="20"/>
          <w:szCs w:val="24"/>
          <w:lang w:val="pt-PT"/>
        </w:rPr>
        <w:t>.</w:t>
      </w:r>
    </w:p>
    <w:p w14:paraId="45B08D53" w14:textId="77777777" w:rsidR="00B31AE2" w:rsidRPr="00292532" w:rsidRDefault="00B31AE2" w:rsidP="00B31AE2">
      <w:pPr>
        <w:spacing w:before="0" w:after="0" w:line="276" w:lineRule="auto"/>
        <w:rPr>
          <w:rFonts w:ascii="Arial" w:eastAsia="Calibri" w:hAnsi="Arial" w:cs="Arial"/>
          <w:sz w:val="20"/>
          <w:lang w:val="pt-PT"/>
        </w:rPr>
      </w:pPr>
    </w:p>
    <w:p w14:paraId="212A919B" w14:textId="77777777" w:rsidR="00B31AE2" w:rsidRPr="00292532" w:rsidRDefault="00B31AE2" w:rsidP="00AE14AE">
      <w:pPr>
        <w:keepNext/>
        <w:keepLines/>
        <w:numPr>
          <w:ilvl w:val="1"/>
          <w:numId w:val="144"/>
        </w:numPr>
        <w:spacing w:before="40" w:after="0" w:line="276" w:lineRule="auto"/>
        <w:jc w:val="left"/>
        <w:outlineLvl w:val="2"/>
        <w:rPr>
          <w:rFonts w:ascii="Arial" w:eastAsia="Times New Roman" w:hAnsi="Arial" w:cs="Arial"/>
          <w:b/>
          <w:color w:val="1F3763"/>
          <w:sz w:val="24"/>
          <w:szCs w:val="24"/>
          <w:lang w:val="pt-PT"/>
        </w:rPr>
      </w:pPr>
      <w:bookmarkStart w:id="1154" w:name="_Toc72586698"/>
      <w:bookmarkStart w:id="1155" w:name="_Toc72589913"/>
      <w:bookmarkStart w:id="1156" w:name="_Ref72582252"/>
      <w:bookmarkStart w:id="1157" w:name="_Toc74921490"/>
      <w:bookmarkStart w:id="1158" w:name="_Toc75438066"/>
      <w:bookmarkStart w:id="1159" w:name="_Toc78435495"/>
      <w:bookmarkStart w:id="1160" w:name="_Toc80380162"/>
      <w:bookmarkEnd w:id="1154"/>
      <w:bookmarkEnd w:id="1155"/>
      <w:r w:rsidRPr="00292532">
        <w:rPr>
          <w:rFonts w:ascii="Arial" w:eastAsia="Times New Roman" w:hAnsi="Arial" w:cs="Arial"/>
          <w:b/>
          <w:color w:val="1F3763"/>
          <w:sz w:val="24"/>
          <w:szCs w:val="24"/>
          <w:lang w:val="pt-PT"/>
        </w:rPr>
        <w:t>Código de Conduta</w:t>
      </w:r>
      <w:bookmarkEnd w:id="1156"/>
      <w:bookmarkEnd w:id="1157"/>
      <w:bookmarkEnd w:id="1158"/>
      <w:bookmarkEnd w:id="1159"/>
      <w:bookmarkEnd w:id="1160"/>
      <w:r w:rsidRPr="00292532">
        <w:rPr>
          <w:rFonts w:ascii="Arial" w:eastAsia="Times New Roman" w:hAnsi="Arial" w:cs="Arial"/>
          <w:b/>
          <w:color w:val="1F3763"/>
          <w:sz w:val="24"/>
          <w:szCs w:val="24"/>
          <w:lang w:val="pt-PT"/>
        </w:rPr>
        <w:t xml:space="preserve"> </w:t>
      </w:r>
    </w:p>
    <w:p w14:paraId="7920A2B9" w14:textId="77777777" w:rsidR="00B31AE2" w:rsidRPr="00292532" w:rsidRDefault="00B31AE2" w:rsidP="00B31AE2">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 xml:space="preserve">Um conjunto de Código de Conduta para o empregador/empresa, para os gestores da empresa e para os trabalhadores individuais é apresentado no </w:t>
      </w:r>
      <w:r w:rsidRPr="00292532">
        <w:rPr>
          <w:rFonts w:ascii="Arial" w:eastAsia="Calibri" w:hAnsi="Arial" w:cs="Arial"/>
          <w:color w:val="5B9BD5"/>
          <w:sz w:val="20"/>
          <w:lang w:val="pt-PT"/>
        </w:rPr>
        <w:t>Apêndice B</w:t>
      </w:r>
      <w:r w:rsidRPr="00292532">
        <w:rPr>
          <w:rFonts w:ascii="Arial" w:eastAsia="Calibri" w:hAnsi="Arial" w:cs="Arial"/>
          <w:sz w:val="20"/>
          <w:lang w:val="pt-PT"/>
        </w:rPr>
        <w:t xml:space="preserve">. Ele enfatiza as questões trabalhistas, de Saúde e Segurança, questões ambientais e sociais, incluindo a violência baseada no género (VBG) e a violência contra crianças (VCC). As obrigações do código de cumprimento obrigatório por todos os trabalhadores. </w:t>
      </w:r>
    </w:p>
    <w:p w14:paraId="740F94FB" w14:textId="77777777" w:rsidR="00B31AE2" w:rsidRPr="00292532" w:rsidRDefault="00B31AE2" w:rsidP="00B31AE2">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 xml:space="preserve">O código individual deve ser assinado por cada trabalhador (incluindo gestores), preferencialmente na assinatura do contracto, e mantida uma cópia por ambas partes (trabalhador e empregador). No caso de trabalhadores contratados antes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estes devem assinar na fase de planificação e mobilização do subprojecto, ou seja, antes do início das </w:t>
      </w:r>
      <w:proofErr w:type="spellStart"/>
      <w:r w:rsidRPr="00292532">
        <w:rPr>
          <w:rFonts w:ascii="Arial" w:eastAsia="Calibri" w:hAnsi="Arial" w:cs="Arial"/>
          <w:sz w:val="20"/>
          <w:lang w:val="pt-PT"/>
        </w:rPr>
        <w:t>actividades</w:t>
      </w:r>
      <w:proofErr w:type="spellEnd"/>
      <w:r w:rsidRPr="00292532">
        <w:rPr>
          <w:rFonts w:ascii="Arial" w:eastAsia="Calibri" w:hAnsi="Arial" w:cs="Arial"/>
          <w:sz w:val="20"/>
          <w:lang w:val="pt-PT"/>
        </w:rPr>
        <w:t xml:space="preserve"> práticas no âmbito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w:t>
      </w:r>
    </w:p>
    <w:p w14:paraId="14D3521A" w14:textId="77777777" w:rsidR="00B31AE2" w:rsidRPr="00292532" w:rsidRDefault="00B31AE2" w:rsidP="00B31AE2">
      <w:pPr>
        <w:suppressAutoHyphens/>
        <w:spacing w:before="0" w:after="0"/>
        <w:ind w:left="24" w:right="12"/>
        <w:rPr>
          <w:rFonts w:ascii="Arial" w:eastAsia="Calibri" w:hAnsi="Arial" w:cs="Arial"/>
          <w:sz w:val="20"/>
          <w:lang w:val="pt-PT"/>
        </w:rPr>
      </w:pPr>
      <w:r w:rsidRPr="00292532">
        <w:rPr>
          <w:rFonts w:ascii="Arial" w:eastAsia="Calibri" w:hAnsi="Arial" w:cs="Arial"/>
          <w:sz w:val="20"/>
          <w:szCs w:val="20"/>
          <w:lang w:val="pt-PT"/>
        </w:rPr>
        <w:t>O Código de Conduta deve ser um documento resumido, escrito em linguagem simples. Deverá estar disponível em português</w:t>
      </w:r>
      <w:r w:rsidRPr="00292532">
        <w:rPr>
          <w:rFonts w:ascii="Arial" w:eastAsia="Calibri" w:hAnsi="Arial" w:cs="Arial"/>
          <w:sz w:val="20"/>
          <w:szCs w:val="20"/>
          <w:vertAlign w:val="superscript"/>
          <w:lang w:val="pt-PT"/>
        </w:rPr>
        <w:footnoteReference w:id="18"/>
      </w:r>
      <w:r w:rsidRPr="00292532">
        <w:rPr>
          <w:rFonts w:ascii="Arial" w:eastAsia="Calibri" w:hAnsi="Arial" w:cs="Arial"/>
          <w:sz w:val="20"/>
          <w:szCs w:val="20"/>
          <w:lang w:val="pt-PT"/>
        </w:rPr>
        <w:t xml:space="preserve"> e inglês e </w:t>
      </w:r>
      <w:r w:rsidRPr="00292532">
        <w:rPr>
          <w:rFonts w:ascii="Arial" w:eastAsia="Calibri" w:hAnsi="Arial" w:cs="Arial"/>
          <w:sz w:val="20"/>
          <w:lang w:val="pt-PT"/>
        </w:rPr>
        <w:t>deverá ser explicado oralmente ao trabalhador nos idiomas locais da região do subprojecto antes da sua assinatura. Deve também ser tema de debate nas sessões de treinamento/capacitação interna promovidas pelo empregador.</w:t>
      </w:r>
    </w:p>
    <w:p w14:paraId="0A017F19" w14:textId="77777777" w:rsidR="00B31AE2" w:rsidRPr="00292532" w:rsidRDefault="00B31AE2" w:rsidP="00B31AE2">
      <w:pPr>
        <w:spacing w:before="0" w:line="259" w:lineRule="auto"/>
        <w:jc w:val="left"/>
        <w:rPr>
          <w:rFonts w:ascii="Arial" w:eastAsia="Calibri" w:hAnsi="Arial" w:cs="Arial"/>
          <w:sz w:val="20"/>
          <w:lang w:val="pt-PT"/>
        </w:rPr>
      </w:pPr>
    </w:p>
    <w:p w14:paraId="767598C7" w14:textId="41D4BECF" w:rsidR="00B31AE2" w:rsidRPr="00292532" w:rsidRDefault="00B31AE2" w:rsidP="00AE14AE">
      <w:pPr>
        <w:keepNext/>
        <w:keepLines/>
        <w:numPr>
          <w:ilvl w:val="0"/>
          <w:numId w:val="121"/>
        </w:numPr>
        <w:spacing w:before="0" w:after="200" w:line="276" w:lineRule="auto"/>
        <w:jc w:val="left"/>
        <w:outlineLvl w:val="1"/>
        <w:rPr>
          <w:rFonts w:ascii="Arial" w:eastAsia="Times New Roman" w:hAnsi="Arial" w:cs="Arial"/>
          <w:b/>
          <w:bCs/>
          <w:color w:val="4472C4"/>
          <w:sz w:val="26"/>
          <w:szCs w:val="26"/>
          <w:lang w:val="pt-PT"/>
        </w:rPr>
      </w:pPr>
      <w:bookmarkStart w:id="1161" w:name="_Toc74921491"/>
      <w:bookmarkStart w:id="1162" w:name="_Toc75438067"/>
      <w:bookmarkStart w:id="1163" w:name="_Toc78435496"/>
      <w:bookmarkStart w:id="1164" w:name="_Toc80380163"/>
      <w:r w:rsidRPr="00292532">
        <w:rPr>
          <w:rFonts w:ascii="Arial" w:eastAsia="Times New Roman" w:hAnsi="Arial" w:cs="Arial"/>
          <w:b/>
          <w:bCs/>
          <w:color w:val="4472C4"/>
          <w:sz w:val="26"/>
          <w:szCs w:val="26"/>
          <w:lang w:val="pt-PT"/>
        </w:rPr>
        <w:lastRenderedPageBreak/>
        <w:t>GESTÃO DA SAÚDE E SEGURANÇA OCUPACIONAL</w:t>
      </w:r>
      <w:bookmarkEnd w:id="1161"/>
      <w:bookmarkEnd w:id="1162"/>
      <w:bookmarkEnd w:id="1163"/>
      <w:bookmarkEnd w:id="1164"/>
    </w:p>
    <w:p w14:paraId="1872FB10" w14:textId="77777777" w:rsidR="00B31AE2" w:rsidRPr="00292532" w:rsidRDefault="00B31AE2" w:rsidP="00AE14AE">
      <w:pPr>
        <w:keepNext/>
        <w:keepLines/>
        <w:numPr>
          <w:ilvl w:val="1"/>
          <w:numId w:val="145"/>
        </w:numPr>
        <w:spacing w:before="40" w:after="0" w:line="276" w:lineRule="auto"/>
        <w:jc w:val="left"/>
        <w:outlineLvl w:val="2"/>
        <w:rPr>
          <w:rFonts w:ascii="Arial" w:eastAsia="Times New Roman" w:hAnsi="Arial" w:cs="Arial"/>
          <w:b/>
          <w:color w:val="1F3763"/>
          <w:sz w:val="24"/>
          <w:szCs w:val="24"/>
          <w:lang w:val="pt-PT"/>
        </w:rPr>
      </w:pPr>
      <w:bookmarkStart w:id="1165" w:name="_Toc74921492"/>
      <w:bookmarkStart w:id="1166" w:name="_Toc75438068"/>
      <w:bookmarkStart w:id="1167" w:name="_Toc78435497"/>
      <w:bookmarkStart w:id="1168" w:name="_Toc80380164"/>
      <w:r w:rsidRPr="00292532">
        <w:rPr>
          <w:rFonts w:ascii="Arial" w:eastAsia="Times New Roman" w:hAnsi="Arial" w:cs="Arial"/>
          <w:b/>
          <w:color w:val="1F3763"/>
          <w:sz w:val="24"/>
          <w:szCs w:val="24"/>
          <w:lang w:val="pt-PT"/>
        </w:rPr>
        <w:t>Higiene, saúde e segurança ocupacional</w:t>
      </w:r>
      <w:bookmarkEnd w:id="1165"/>
      <w:bookmarkEnd w:id="1166"/>
      <w:bookmarkEnd w:id="1167"/>
      <w:bookmarkEnd w:id="1168"/>
      <w:r w:rsidRPr="00292532">
        <w:rPr>
          <w:rFonts w:ascii="Arial" w:eastAsia="Times New Roman" w:hAnsi="Arial" w:cs="Arial"/>
          <w:b/>
          <w:color w:val="1F3763"/>
          <w:sz w:val="24"/>
          <w:szCs w:val="24"/>
          <w:lang w:val="pt-PT"/>
        </w:rPr>
        <w:t xml:space="preserve"> </w:t>
      </w:r>
    </w:p>
    <w:p w14:paraId="0E165687" w14:textId="77777777" w:rsidR="00B31AE2" w:rsidRPr="00292532" w:rsidRDefault="00B31AE2" w:rsidP="00B31AE2">
      <w:pPr>
        <w:spacing w:before="0" w:after="0" w:line="276" w:lineRule="auto"/>
        <w:jc w:val="left"/>
        <w:rPr>
          <w:rFonts w:ascii="Arial" w:eastAsia="Calibri" w:hAnsi="Arial" w:cs="Arial"/>
          <w:sz w:val="20"/>
          <w:szCs w:val="20"/>
          <w:lang w:val="pt-PT"/>
        </w:rPr>
      </w:pPr>
      <w:r w:rsidRPr="00292532">
        <w:rPr>
          <w:rFonts w:ascii="Arial" w:eastAsia="Calibri" w:hAnsi="Arial" w:cs="Arial"/>
          <w:sz w:val="20"/>
          <w:szCs w:val="20"/>
          <w:lang w:val="pt-PT"/>
        </w:rPr>
        <w:t xml:space="preserve">As empresas contratadas e subcontratadas no âmbito do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 xml:space="preserve"> devem:</w:t>
      </w:r>
    </w:p>
    <w:p w14:paraId="0A0237FD" w14:textId="77777777" w:rsidR="00B31AE2" w:rsidRPr="00292532" w:rsidRDefault="00B31AE2" w:rsidP="00AE14AE">
      <w:pPr>
        <w:numPr>
          <w:ilvl w:val="0"/>
          <w:numId w:val="122"/>
        </w:numPr>
        <w:spacing w:before="0" w:after="0" w:line="276" w:lineRule="auto"/>
        <w:contextualSpacing/>
        <w:jc w:val="left"/>
        <w:rPr>
          <w:rFonts w:ascii="Arial" w:eastAsia="Calibri" w:hAnsi="Arial" w:cs="Arial"/>
          <w:color w:val="000000"/>
          <w:sz w:val="20"/>
          <w:lang w:val="pt-PT"/>
        </w:rPr>
      </w:pPr>
      <w:r w:rsidRPr="00292532">
        <w:rPr>
          <w:rFonts w:ascii="Arial" w:eastAsia="Calibri" w:hAnsi="Arial" w:cs="Arial"/>
          <w:color w:val="000000"/>
          <w:sz w:val="20"/>
          <w:lang w:val="pt-PT"/>
        </w:rPr>
        <w:t>Fornecer aos trabalhadores um ambiente de trabalho seguro e saudável, que leva em consideração os riscos inerentes de seu sector em particular e às classes de perigos específicos das áreas de trabalho, incluindo perigos físicos, químicos, biológicos e radiológicos.</w:t>
      </w:r>
    </w:p>
    <w:p w14:paraId="122A8834" w14:textId="77777777" w:rsidR="00B31AE2" w:rsidRPr="00292532" w:rsidRDefault="00B31AE2" w:rsidP="00AE14AE">
      <w:pPr>
        <w:numPr>
          <w:ilvl w:val="0"/>
          <w:numId w:val="122"/>
        </w:numPr>
        <w:spacing w:before="0" w:after="0" w:line="276" w:lineRule="auto"/>
        <w:contextualSpacing/>
        <w:jc w:val="left"/>
        <w:rPr>
          <w:rFonts w:ascii="Arial" w:eastAsia="Calibri" w:hAnsi="Arial" w:cs="Arial"/>
          <w:color w:val="000000"/>
          <w:sz w:val="20"/>
          <w:lang w:val="pt-PT"/>
        </w:rPr>
      </w:pPr>
      <w:r w:rsidRPr="00292532">
        <w:rPr>
          <w:rFonts w:ascii="Arial" w:eastAsia="Calibri" w:hAnsi="Arial" w:cs="Arial"/>
          <w:color w:val="000000"/>
          <w:sz w:val="20"/>
          <w:lang w:val="pt-PT"/>
        </w:rPr>
        <w:t>Tomar medidas para prevenir acidentes e doenças resultantes, associadas ou ocorridas durante o curso do trabalho, segundo as boas práticas que incluem: a identificação de perigos potenciais para os trabalhadores, principalmente aqueles que possam ser um risco à vida.</w:t>
      </w:r>
    </w:p>
    <w:p w14:paraId="04B7FB93" w14:textId="7AFBFC9A" w:rsidR="00B31AE2" w:rsidRPr="00292532" w:rsidRDefault="00B31AE2" w:rsidP="00AE14AE">
      <w:pPr>
        <w:numPr>
          <w:ilvl w:val="0"/>
          <w:numId w:val="122"/>
        </w:numPr>
        <w:spacing w:before="0" w:after="0" w:line="276" w:lineRule="auto"/>
        <w:contextualSpacing/>
        <w:jc w:val="left"/>
        <w:rPr>
          <w:rFonts w:ascii="Arial" w:eastAsia="Calibri" w:hAnsi="Arial" w:cs="Arial"/>
          <w:color w:val="000000"/>
          <w:sz w:val="20"/>
          <w:lang w:val="pt-PT"/>
        </w:rPr>
      </w:pPr>
      <w:r w:rsidRPr="00292532">
        <w:rPr>
          <w:rFonts w:ascii="Arial" w:eastAsia="Calibri" w:hAnsi="Arial" w:cs="Arial"/>
          <w:color w:val="000000"/>
          <w:sz w:val="20"/>
          <w:lang w:val="pt-PT"/>
        </w:rPr>
        <w:t xml:space="preserve">Ministrar treinamento </w:t>
      </w:r>
      <w:r w:rsidR="00826C3C" w:rsidRPr="00292532">
        <w:rPr>
          <w:rFonts w:ascii="Arial" w:eastAsia="Calibri" w:hAnsi="Arial" w:cs="Arial"/>
          <w:color w:val="000000"/>
          <w:sz w:val="20"/>
          <w:lang w:val="pt-PT"/>
        </w:rPr>
        <w:t>regular em procedimentos de</w:t>
      </w:r>
      <w:r w:rsidR="006E015D" w:rsidRPr="00292532">
        <w:rPr>
          <w:rFonts w:ascii="Arial" w:eastAsia="Calibri" w:hAnsi="Arial" w:cs="Arial"/>
          <w:color w:val="000000"/>
          <w:sz w:val="20"/>
          <w:lang w:val="pt-PT"/>
        </w:rPr>
        <w:t xml:space="preserve"> segurança operacional</w:t>
      </w:r>
      <w:r w:rsidR="00826C3C" w:rsidRPr="00292532">
        <w:rPr>
          <w:rFonts w:ascii="Arial" w:eastAsia="Calibri" w:hAnsi="Arial" w:cs="Arial"/>
          <w:color w:val="000000"/>
          <w:sz w:val="20"/>
          <w:lang w:val="pt-PT"/>
        </w:rPr>
        <w:t xml:space="preserve"> </w:t>
      </w:r>
      <w:r w:rsidRPr="00292532">
        <w:rPr>
          <w:rFonts w:ascii="Arial" w:eastAsia="Calibri" w:hAnsi="Arial" w:cs="Arial"/>
          <w:color w:val="000000"/>
          <w:sz w:val="20"/>
          <w:lang w:val="pt-PT"/>
        </w:rPr>
        <w:t>aos trabalhadores.</w:t>
      </w:r>
    </w:p>
    <w:p w14:paraId="213AF139" w14:textId="77777777" w:rsidR="00B31AE2" w:rsidRPr="00292532" w:rsidRDefault="00B31AE2" w:rsidP="00AE14AE">
      <w:pPr>
        <w:numPr>
          <w:ilvl w:val="0"/>
          <w:numId w:val="122"/>
        </w:numPr>
        <w:spacing w:before="0" w:after="0" w:line="276" w:lineRule="auto"/>
        <w:contextualSpacing/>
        <w:jc w:val="left"/>
        <w:rPr>
          <w:rFonts w:ascii="Arial" w:eastAsia="Calibri" w:hAnsi="Arial" w:cs="Arial"/>
          <w:color w:val="000000"/>
          <w:sz w:val="20"/>
          <w:lang w:val="pt-PT"/>
        </w:rPr>
      </w:pPr>
      <w:r w:rsidRPr="00292532">
        <w:rPr>
          <w:rFonts w:ascii="Arial" w:eastAsia="Calibri" w:hAnsi="Arial" w:cs="Arial"/>
          <w:color w:val="000000"/>
          <w:sz w:val="20"/>
          <w:lang w:val="pt-PT"/>
        </w:rPr>
        <w:t>Documentar e divulgar acidentes, doenças e incidentes ocupacionais.</w:t>
      </w:r>
    </w:p>
    <w:p w14:paraId="6D44E1BC" w14:textId="77777777" w:rsidR="00B31AE2" w:rsidRPr="00292532" w:rsidRDefault="00B31AE2" w:rsidP="00AE14AE">
      <w:pPr>
        <w:numPr>
          <w:ilvl w:val="0"/>
          <w:numId w:val="122"/>
        </w:numPr>
        <w:spacing w:before="0" w:after="0" w:line="276" w:lineRule="auto"/>
        <w:contextualSpacing/>
        <w:jc w:val="left"/>
        <w:rPr>
          <w:rFonts w:ascii="Arial" w:eastAsia="Calibri" w:hAnsi="Arial" w:cs="Arial"/>
          <w:color w:val="000000"/>
          <w:sz w:val="20"/>
          <w:lang w:val="pt-PT"/>
        </w:rPr>
      </w:pPr>
      <w:r w:rsidRPr="00292532">
        <w:rPr>
          <w:rFonts w:ascii="Arial" w:eastAsia="Calibri" w:hAnsi="Arial" w:cs="Arial"/>
          <w:color w:val="000000"/>
          <w:sz w:val="20"/>
          <w:lang w:val="pt-PT"/>
        </w:rPr>
        <w:t>Dispor de mecanismo para prevenção, preparação e resposta para emergências.</w:t>
      </w:r>
    </w:p>
    <w:p w14:paraId="01574C23" w14:textId="27651D9A" w:rsidR="003743DC" w:rsidRPr="00292532" w:rsidRDefault="00B31AE2" w:rsidP="00AE14AE">
      <w:pPr>
        <w:numPr>
          <w:ilvl w:val="0"/>
          <w:numId w:val="122"/>
        </w:numPr>
        <w:spacing w:before="0" w:after="0" w:line="276" w:lineRule="auto"/>
        <w:contextualSpacing/>
        <w:jc w:val="left"/>
        <w:rPr>
          <w:rFonts w:ascii="Arial" w:eastAsia="Calibri" w:hAnsi="Arial" w:cs="Arial"/>
          <w:color w:val="000000"/>
          <w:sz w:val="20"/>
          <w:lang w:val="pt-PT"/>
        </w:rPr>
      </w:pPr>
      <w:r w:rsidRPr="00292532">
        <w:rPr>
          <w:rFonts w:ascii="Arial" w:eastAsia="Calibri" w:hAnsi="Arial" w:cs="Arial"/>
          <w:color w:val="000000"/>
          <w:sz w:val="20"/>
          <w:lang w:val="pt-PT"/>
        </w:rPr>
        <w:t xml:space="preserve">Fornecer Equipamentos de </w:t>
      </w:r>
      <w:proofErr w:type="spellStart"/>
      <w:r w:rsidRPr="00292532">
        <w:rPr>
          <w:rFonts w:ascii="Arial" w:eastAsia="Calibri" w:hAnsi="Arial" w:cs="Arial"/>
          <w:color w:val="000000"/>
          <w:sz w:val="20"/>
          <w:lang w:val="pt-PT"/>
        </w:rPr>
        <w:t>Protecção</w:t>
      </w:r>
      <w:proofErr w:type="spellEnd"/>
      <w:r w:rsidRPr="00292532">
        <w:rPr>
          <w:rFonts w:ascii="Arial" w:eastAsia="Calibri" w:hAnsi="Arial" w:cs="Arial"/>
          <w:color w:val="000000"/>
          <w:sz w:val="20"/>
          <w:lang w:val="pt-PT"/>
        </w:rPr>
        <w:t xml:space="preserve"> Individual (</w:t>
      </w:r>
      <w:proofErr w:type="spellStart"/>
      <w:r w:rsidRPr="00292532">
        <w:rPr>
          <w:rFonts w:ascii="Arial" w:eastAsia="Calibri" w:hAnsi="Arial" w:cs="Arial"/>
          <w:color w:val="000000"/>
          <w:sz w:val="20"/>
          <w:lang w:val="pt-PT"/>
        </w:rPr>
        <w:t>EPIs</w:t>
      </w:r>
      <w:proofErr w:type="spellEnd"/>
      <w:r w:rsidRPr="00292532">
        <w:rPr>
          <w:rFonts w:ascii="Arial" w:eastAsia="Calibri" w:hAnsi="Arial" w:cs="Arial"/>
          <w:color w:val="000000"/>
          <w:sz w:val="20"/>
          <w:lang w:val="pt-PT"/>
        </w:rPr>
        <w:t xml:space="preserve">) e Equipamentos de </w:t>
      </w:r>
      <w:proofErr w:type="spellStart"/>
      <w:r w:rsidRPr="00292532">
        <w:rPr>
          <w:rFonts w:ascii="Arial" w:eastAsia="Calibri" w:hAnsi="Arial" w:cs="Arial"/>
          <w:color w:val="000000"/>
          <w:sz w:val="20"/>
          <w:lang w:val="pt-PT"/>
        </w:rPr>
        <w:t>Protecção</w:t>
      </w:r>
      <w:proofErr w:type="spellEnd"/>
      <w:r w:rsidRPr="00292532">
        <w:rPr>
          <w:rFonts w:ascii="Arial" w:eastAsia="Calibri" w:hAnsi="Arial" w:cs="Arial"/>
          <w:color w:val="000000"/>
          <w:sz w:val="20"/>
          <w:lang w:val="pt-PT"/>
        </w:rPr>
        <w:t xml:space="preserve"> </w:t>
      </w:r>
      <w:proofErr w:type="spellStart"/>
      <w:r w:rsidRPr="00292532">
        <w:rPr>
          <w:rFonts w:ascii="Arial" w:eastAsia="Calibri" w:hAnsi="Arial" w:cs="Arial"/>
          <w:color w:val="000000"/>
          <w:sz w:val="20"/>
          <w:lang w:val="pt-PT"/>
        </w:rPr>
        <w:t>Colectiva</w:t>
      </w:r>
      <w:proofErr w:type="spellEnd"/>
      <w:r w:rsidRPr="00292532">
        <w:rPr>
          <w:rFonts w:ascii="Arial" w:eastAsia="Calibri" w:hAnsi="Arial" w:cs="Arial"/>
          <w:color w:val="000000"/>
          <w:sz w:val="20"/>
          <w:lang w:val="pt-PT"/>
        </w:rPr>
        <w:t xml:space="preserve"> (EPC) inerentes aos riscos das </w:t>
      </w:r>
      <w:proofErr w:type="spellStart"/>
      <w:r w:rsidRPr="00292532">
        <w:rPr>
          <w:rFonts w:ascii="Arial" w:eastAsia="Calibri" w:hAnsi="Arial" w:cs="Arial"/>
          <w:color w:val="000000"/>
          <w:sz w:val="20"/>
          <w:lang w:val="pt-PT"/>
        </w:rPr>
        <w:t>actividades</w:t>
      </w:r>
      <w:proofErr w:type="spellEnd"/>
      <w:r w:rsidRPr="00292532">
        <w:rPr>
          <w:rFonts w:ascii="Arial" w:eastAsia="Calibri" w:hAnsi="Arial" w:cs="Arial"/>
          <w:color w:val="000000"/>
          <w:sz w:val="20"/>
          <w:lang w:val="pt-PT"/>
        </w:rPr>
        <w:t xml:space="preserve"> a desenvolver.</w:t>
      </w:r>
    </w:p>
    <w:p w14:paraId="0694D4D3" w14:textId="0432CEB2" w:rsidR="00B31AE2" w:rsidRPr="00292532" w:rsidRDefault="00CD1C60" w:rsidP="00AE14AE">
      <w:pPr>
        <w:numPr>
          <w:ilvl w:val="0"/>
          <w:numId w:val="122"/>
        </w:numPr>
        <w:spacing w:before="0" w:after="0" w:line="276" w:lineRule="auto"/>
        <w:contextualSpacing/>
        <w:jc w:val="left"/>
        <w:rPr>
          <w:rFonts w:ascii="Arial" w:eastAsia="Calibri" w:hAnsi="Arial" w:cs="Arial"/>
          <w:color w:val="000000"/>
          <w:sz w:val="20"/>
          <w:lang w:val="pt-PT"/>
        </w:rPr>
      </w:pPr>
      <w:r w:rsidRPr="00292532">
        <w:rPr>
          <w:rFonts w:ascii="Arial" w:eastAsia="Calibri" w:hAnsi="Arial" w:cs="Arial"/>
          <w:color w:val="000000"/>
          <w:sz w:val="20"/>
          <w:lang w:val="pt-PT"/>
        </w:rPr>
        <w:t xml:space="preserve">Fornecer </w:t>
      </w:r>
      <w:proofErr w:type="gramStart"/>
      <w:r w:rsidRPr="00292532">
        <w:rPr>
          <w:rFonts w:ascii="Arial" w:eastAsia="Calibri" w:hAnsi="Arial" w:cs="Arial"/>
          <w:color w:val="000000"/>
          <w:sz w:val="20"/>
          <w:lang w:val="pt-PT"/>
        </w:rPr>
        <w:t xml:space="preserve">aos </w:t>
      </w:r>
      <w:r w:rsidR="003743DC" w:rsidRPr="00292532">
        <w:rPr>
          <w:rFonts w:ascii="Arial" w:eastAsia="Calibri" w:hAnsi="Arial" w:cs="Arial"/>
          <w:color w:val="000000"/>
          <w:sz w:val="20"/>
          <w:lang w:val="pt-PT"/>
        </w:rPr>
        <w:t xml:space="preserve"> trabalhadores</w:t>
      </w:r>
      <w:proofErr w:type="gramEnd"/>
      <w:r w:rsidR="003743DC" w:rsidRPr="00292532">
        <w:rPr>
          <w:rFonts w:ascii="Arial" w:eastAsia="Calibri" w:hAnsi="Arial" w:cs="Arial"/>
          <w:color w:val="000000"/>
          <w:sz w:val="20"/>
          <w:lang w:val="pt-PT"/>
        </w:rPr>
        <w:t xml:space="preserve"> treinamento adequado e demonstração do uso de </w:t>
      </w:r>
      <w:proofErr w:type="spellStart"/>
      <w:r w:rsidR="003743DC" w:rsidRPr="00292532">
        <w:rPr>
          <w:rFonts w:ascii="Arial" w:eastAsia="Calibri" w:hAnsi="Arial" w:cs="Arial"/>
          <w:color w:val="000000"/>
          <w:sz w:val="20"/>
          <w:lang w:val="pt-PT"/>
        </w:rPr>
        <w:t>EPIs</w:t>
      </w:r>
      <w:proofErr w:type="spellEnd"/>
      <w:r w:rsidR="00F9652A" w:rsidRPr="00292532">
        <w:rPr>
          <w:rFonts w:ascii="Arial" w:eastAsia="Calibri" w:hAnsi="Arial" w:cs="Arial"/>
          <w:color w:val="000000"/>
          <w:sz w:val="20"/>
          <w:lang w:val="pt-PT"/>
        </w:rPr>
        <w:t xml:space="preserve"> e EPC</w:t>
      </w:r>
      <w:r w:rsidR="003743DC" w:rsidRPr="00292532">
        <w:rPr>
          <w:rFonts w:ascii="Arial" w:eastAsia="Calibri" w:hAnsi="Arial" w:cs="Arial"/>
          <w:color w:val="000000"/>
          <w:sz w:val="20"/>
          <w:lang w:val="pt-PT"/>
        </w:rPr>
        <w:t xml:space="preserve">. </w:t>
      </w:r>
    </w:p>
    <w:p w14:paraId="16B548F2" w14:textId="7C9F78B4" w:rsidR="00B31AE2" w:rsidRPr="004500AE" w:rsidRDefault="00CD1C60" w:rsidP="001B0A87">
      <w:pPr>
        <w:pStyle w:val="ListParagraph"/>
        <w:numPr>
          <w:ilvl w:val="0"/>
          <w:numId w:val="122"/>
        </w:numPr>
        <w:rPr>
          <w:rFonts w:ascii="Arial" w:eastAsia="Calibri" w:hAnsi="Arial" w:cs="Arial"/>
          <w:color w:val="000000"/>
          <w:sz w:val="20"/>
          <w:lang w:val="pt-PT"/>
        </w:rPr>
      </w:pPr>
      <w:r w:rsidRPr="00292532">
        <w:rPr>
          <w:rFonts w:ascii="Arial" w:eastAsia="Calibri" w:hAnsi="Arial" w:cs="Arial"/>
          <w:color w:val="000000"/>
          <w:sz w:val="20"/>
          <w:lang w:val="pt-PT"/>
        </w:rPr>
        <w:t>S</w:t>
      </w:r>
      <w:r w:rsidR="00A06A82" w:rsidRPr="00292532">
        <w:rPr>
          <w:rFonts w:ascii="Arial" w:eastAsia="Calibri" w:hAnsi="Arial" w:cs="Arial"/>
          <w:color w:val="000000"/>
          <w:sz w:val="20"/>
          <w:lang w:val="pt-PT"/>
        </w:rPr>
        <w:t>upervis</w:t>
      </w:r>
      <w:r w:rsidRPr="00292532">
        <w:rPr>
          <w:rFonts w:ascii="Arial" w:eastAsia="Calibri" w:hAnsi="Arial" w:cs="Arial"/>
          <w:color w:val="000000"/>
          <w:sz w:val="20"/>
          <w:lang w:val="pt-PT"/>
        </w:rPr>
        <w:t>ionar</w:t>
      </w:r>
      <w:r w:rsidR="00A06A82" w:rsidRPr="00292532">
        <w:rPr>
          <w:rFonts w:ascii="Arial" w:eastAsia="Calibri" w:hAnsi="Arial" w:cs="Arial"/>
          <w:color w:val="000000"/>
          <w:sz w:val="20"/>
          <w:lang w:val="pt-PT"/>
        </w:rPr>
        <w:t xml:space="preserve"> frequente</w:t>
      </w:r>
      <w:r w:rsidRPr="00292532">
        <w:rPr>
          <w:rFonts w:ascii="Arial" w:eastAsia="Calibri" w:hAnsi="Arial" w:cs="Arial"/>
          <w:color w:val="000000"/>
          <w:sz w:val="20"/>
          <w:lang w:val="pt-PT"/>
        </w:rPr>
        <w:t xml:space="preserve">mente o </w:t>
      </w:r>
      <w:r w:rsidR="00B31AE2" w:rsidRPr="004500AE">
        <w:rPr>
          <w:rFonts w:ascii="Arial" w:eastAsia="Calibri" w:hAnsi="Arial" w:cs="Arial"/>
          <w:color w:val="000000"/>
          <w:sz w:val="20"/>
          <w:lang w:val="pt-PT"/>
        </w:rPr>
        <w:t xml:space="preserve">uso contínuo </w:t>
      </w:r>
      <w:r w:rsidRPr="00292532">
        <w:rPr>
          <w:rFonts w:ascii="Arial" w:eastAsia="Calibri" w:hAnsi="Arial" w:cs="Arial"/>
          <w:color w:val="000000"/>
          <w:sz w:val="20"/>
          <w:lang w:val="pt-PT"/>
        </w:rPr>
        <w:t xml:space="preserve">e </w:t>
      </w:r>
      <w:proofErr w:type="spellStart"/>
      <w:r w:rsidRPr="00292532">
        <w:rPr>
          <w:rFonts w:ascii="Arial" w:eastAsia="Calibri" w:hAnsi="Arial" w:cs="Arial"/>
          <w:color w:val="000000"/>
          <w:sz w:val="20"/>
          <w:lang w:val="pt-PT"/>
        </w:rPr>
        <w:t>correcto</w:t>
      </w:r>
      <w:proofErr w:type="spellEnd"/>
      <w:r w:rsidRPr="00292532">
        <w:rPr>
          <w:rFonts w:ascii="Arial" w:eastAsia="Calibri" w:hAnsi="Arial" w:cs="Arial"/>
          <w:color w:val="000000"/>
          <w:sz w:val="20"/>
          <w:lang w:val="pt-PT"/>
        </w:rPr>
        <w:t xml:space="preserve"> </w:t>
      </w:r>
      <w:r w:rsidR="00B31AE2" w:rsidRPr="004500AE">
        <w:rPr>
          <w:rFonts w:ascii="Arial" w:eastAsia="Calibri" w:hAnsi="Arial" w:cs="Arial"/>
          <w:color w:val="000000"/>
          <w:sz w:val="20"/>
          <w:lang w:val="pt-PT"/>
        </w:rPr>
        <w:t>de EPI e EPC durante os trabalhos.</w:t>
      </w:r>
    </w:p>
    <w:p w14:paraId="43BC186C" w14:textId="331E79BF" w:rsidR="00B31AE2" w:rsidRPr="00292532" w:rsidRDefault="00B31AE2" w:rsidP="00AE14AE">
      <w:pPr>
        <w:numPr>
          <w:ilvl w:val="0"/>
          <w:numId w:val="122"/>
        </w:numPr>
        <w:spacing w:before="0" w:after="0" w:line="276" w:lineRule="auto"/>
        <w:contextualSpacing/>
        <w:jc w:val="left"/>
        <w:rPr>
          <w:rFonts w:ascii="Arial" w:eastAsia="Calibri" w:hAnsi="Arial" w:cs="Arial"/>
          <w:color w:val="000000"/>
          <w:sz w:val="20"/>
          <w:lang w:val="pt-PT"/>
        </w:rPr>
      </w:pPr>
      <w:r w:rsidRPr="00292532">
        <w:rPr>
          <w:rFonts w:ascii="Arial" w:eastAsia="Calibri" w:hAnsi="Arial" w:cs="Arial"/>
          <w:color w:val="000000"/>
          <w:sz w:val="20"/>
          <w:lang w:val="pt-PT"/>
        </w:rPr>
        <w:t xml:space="preserve">Promover campanhas de consciencialização/sensibilização sobre COVID-19, HIV/SIDA, e </w:t>
      </w:r>
      <w:proofErr w:type="spellStart"/>
      <w:r w:rsidRPr="00292532">
        <w:rPr>
          <w:rFonts w:ascii="Arial" w:eastAsia="Calibri" w:hAnsi="Arial" w:cs="Arial"/>
          <w:color w:val="000000"/>
          <w:sz w:val="20"/>
          <w:lang w:val="pt-PT"/>
        </w:rPr>
        <w:t>infecções</w:t>
      </w:r>
      <w:proofErr w:type="spellEnd"/>
      <w:r w:rsidRPr="00292532">
        <w:rPr>
          <w:rFonts w:ascii="Arial" w:eastAsia="Calibri" w:hAnsi="Arial" w:cs="Arial"/>
          <w:color w:val="000000"/>
          <w:sz w:val="20"/>
          <w:lang w:val="pt-PT"/>
        </w:rPr>
        <w:t xml:space="preserve"> </w:t>
      </w:r>
      <w:r w:rsidR="004A443B" w:rsidRPr="00292532">
        <w:rPr>
          <w:rFonts w:ascii="Arial" w:eastAsia="Calibri" w:hAnsi="Arial" w:cs="Arial"/>
          <w:color w:val="000000"/>
          <w:sz w:val="20"/>
          <w:lang w:val="pt-PT"/>
        </w:rPr>
        <w:t xml:space="preserve">de </w:t>
      </w:r>
      <w:r w:rsidR="00292532" w:rsidRPr="00292532">
        <w:rPr>
          <w:rFonts w:ascii="Arial" w:eastAsia="Calibri" w:hAnsi="Arial" w:cs="Arial"/>
          <w:color w:val="000000"/>
          <w:sz w:val="20"/>
          <w:lang w:val="pt-PT"/>
        </w:rPr>
        <w:t>Transmissão</w:t>
      </w:r>
      <w:r w:rsidR="004A443B" w:rsidRPr="00292532">
        <w:rPr>
          <w:rFonts w:ascii="Arial" w:eastAsia="Calibri" w:hAnsi="Arial" w:cs="Arial"/>
          <w:color w:val="000000"/>
          <w:sz w:val="20"/>
          <w:lang w:val="pt-PT"/>
        </w:rPr>
        <w:t xml:space="preserve"> Sexual</w:t>
      </w:r>
      <w:r w:rsidRPr="00292532">
        <w:rPr>
          <w:rFonts w:ascii="Arial" w:eastAsia="Calibri" w:hAnsi="Arial" w:cs="Arial"/>
          <w:color w:val="000000"/>
          <w:sz w:val="20"/>
          <w:lang w:val="pt-PT"/>
        </w:rPr>
        <w:t xml:space="preserve"> (ITS).</w:t>
      </w:r>
    </w:p>
    <w:p w14:paraId="7D83DA69" w14:textId="3D4A3672" w:rsidR="006B2705" w:rsidRPr="00292532" w:rsidRDefault="00B31AE2" w:rsidP="00136089">
      <w:pPr>
        <w:numPr>
          <w:ilvl w:val="0"/>
          <w:numId w:val="122"/>
        </w:numPr>
        <w:spacing w:before="0" w:after="0" w:line="276" w:lineRule="auto"/>
        <w:contextualSpacing/>
        <w:jc w:val="left"/>
        <w:rPr>
          <w:rFonts w:ascii="Arial" w:eastAsia="Calibri" w:hAnsi="Arial" w:cs="Arial"/>
          <w:color w:val="000000"/>
          <w:sz w:val="20"/>
          <w:lang w:val="pt-PT"/>
        </w:rPr>
      </w:pPr>
      <w:r w:rsidRPr="00292532">
        <w:rPr>
          <w:rFonts w:ascii="Arial" w:eastAsia="Calibri" w:hAnsi="Arial" w:cs="Arial"/>
          <w:color w:val="000000"/>
          <w:sz w:val="20"/>
          <w:lang w:val="pt-PT"/>
        </w:rPr>
        <w:t>Manter as melhores condições possíveis que garantam a qualidade de vida e o saneamento nas instalações de apoio aos colaboradores, como as áreas de vivência, refeitórios</w:t>
      </w:r>
      <w:r w:rsidR="00CD1C60" w:rsidRPr="00292532">
        <w:rPr>
          <w:rFonts w:ascii="Arial" w:eastAsia="Calibri" w:hAnsi="Arial" w:cs="Arial"/>
          <w:color w:val="000000"/>
          <w:sz w:val="20"/>
          <w:lang w:val="pt-PT"/>
        </w:rPr>
        <w:t xml:space="preserve"> com mesas e cadeiras</w:t>
      </w:r>
      <w:r w:rsidRPr="00292532">
        <w:rPr>
          <w:rFonts w:ascii="Arial" w:eastAsia="Calibri" w:hAnsi="Arial" w:cs="Arial"/>
          <w:color w:val="000000"/>
          <w:sz w:val="20"/>
          <w:lang w:val="pt-PT"/>
        </w:rPr>
        <w:t>, sanitários e vestiários no canteiro de obras.</w:t>
      </w:r>
    </w:p>
    <w:p w14:paraId="2A387D4B" w14:textId="2DC22AEB" w:rsidR="00F9652A" w:rsidRPr="00292532" w:rsidRDefault="00B31AE2" w:rsidP="00575EB7">
      <w:pPr>
        <w:numPr>
          <w:ilvl w:val="0"/>
          <w:numId w:val="122"/>
        </w:numPr>
        <w:spacing w:before="0" w:after="0" w:line="276" w:lineRule="auto"/>
        <w:contextualSpacing/>
        <w:jc w:val="left"/>
        <w:rPr>
          <w:rFonts w:ascii="Arial" w:eastAsia="Calibri" w:hAnsi="Arial" w:cs="Arial"/>
          <w:color w:val="000000"/>
          <w:sz w:val="20"/>
          <w:lang w:val="pt-PT"/>
        </w:rPr>
      </w:pPr>
      <w:r w:rsidRPr="00292532">
        <w:rPr>
          <w:rFonts w:ascii="Arial" w:eastAsia="Calibri" w:hAnsi="Arial" w:cs="Arial"/>
          <w:color w:val="000000"/>
          <w:sz w:val="20"/>
          <w:lang w:val="pt-PT"/>
        </w:rPr>
        <w:t xml:space="preserve">Contar com água potável em quantidade correspondente ao necessário, </w:t>
      </w:r>
      <w:r w:rsidR="0057480D" w:rsidRPr="00292532">
        <w:rPr>
          <w:rFonts w:ascii="Arial" w:eastAsia="Calibri" w:hAnsi="Arial" w:cs="Arial"/>
          <w:color w:val="000000"/>
          <w:sz w:val="20"/>
          <w:lang w:val="pt-PT"/>
        </w:rPr>
        <w:t>incluindo nas frentes de obra</w:t>
      </w:r>
      <w:r w:rsidR="00B90383" w:rsidRPr="00292532">
        <w:rPr>
          <w:rFonts w:ascii="Arial" w:eastAsia="Calibri" w:hAnsi="Arial" w:cs="Arial"/>
          <w:color w:val="000000"/>
          <w:sz w:val="20"/>
          <w:lang w:val="pt-PT"/>
        </w:rPr>
        <w:t>, de mod</w:t>
      </w:r>
      <w:r w:rsidR="00674553" w:rsidRPr="00292532">
        <w:rPr>
          <w:rFonts w:ascii="Arial" w:eastAsia="Calibri" w:hAnsi="Arial" w:cs="Arial"/>
          <w:color w:val="000000"/>
          <w:sz w:val="20"/>
          <w:lang w:val="pt-PT"/>
        </w:rPr>
        <w:t>o</w:t>
      </w:r>
      <w:r w:rsidR="00B90383" w:rsidRPr="00292532">
        <w:rPr>
          <w:rFonts w:ascii="Arial" w:eastAsia="Calibri" w:hAnsi="Arial" w:cs="Arial"/>
          <w:color w:val="000000"/>
          <w:sz w:val="20"/>
          <w:lang w:val="pt-PT"/>
        </w:rPr>
        <w:t xml:space="preserve"> a</w:t>
      </w:r>
      <w:r w:rsidR="0098162F" w:rsidRPr="00292532">
        <w:rPr>
          <w:rFonts w:ascii="Arial" w:eastAsia="Calibri" w:hAnsi="Arial" w:cs="Arial"/>
          <w:color w:val="000000"/>
          <w:sz w:val="20"/>
          <w:lang w:val="pt-PT"/>
        </w:rPr>
        <w:t xml:space="preserve"> ser fornecida </w:t>
      </w:r>
      <w:r w:rsidR="00575EB7" w:rsidRPr="00292532">
        <w:rPr>
          <w:rFonts w:ascii="Arial" w:eastAsia="Calibri" w:hAnsi="Arial" w:cs="Arial"/>
          <w:color w:val="000000"/>
          <w:sz w:val="20"/>
          <w:lang w:val="pt-PT"/>
        </w:rPr>
        <w:t>aos trabalhadores,</w:t>
      </w:r>
      <w:r w:rsidR="0098162F" w:rsidRPr="00292532">
        <w:rPr>
          <w:rFonts w:ascii="Arial" w:eastAsia="Calibri" w:hAnsi="Arial" w:cs="Arial"/>
          <w:color w:val="000000"/>
          <w:sz w:val="20"/>
          <w:lang w:val="pt-PT"/>
        </w:rPr>
        <w:t xml:space="preserve"> de acordo com as recomendações e </w:t>
      </w:r>
      <w:proofErr w:type="spellStart"/>
      <w:r w:rsidR="0098162F" w:rsidRPr="00292532">
        <w:rPr>
          <w:rFonts w:ascii="Arial" w:eastAsia="Calibri" w:hAnsi="Arial" w:cs="Arial"/>
          <w:color w:val="000000"/>
          <w:sz w:val="20"/>
          <w:lang w:val="pt-PT"/>
        </w:rPr>
        <w:t>directrizes</w:t>
      </w:r>
      <w:proofErr w:type="spellEnd"/>
      <w:r w:rsidR="0098162F" w:rsidRPr="00292532">
        <w:rPr>
          <w:rFonts w:ascii="Arial" w:eastAsia="Calibri" w:hAnsi="Arial" w:cs="Arial"/>
          <w:color w:val="000000"/>
          <w:sz w:val="20"/>
          <w:lang w:val="pt-PT"/>
        </w:rPr>
        <w:t xml:space="preserve"> nacionais e da OMS aplicáveis.</w:t>
      </w:r>
    </w:p>
    <w:p w14:paraId="492E9C0D" w14:textId="07AC97C9" w:rsidR="00136089" w:rsidRPr="00292532" w:rsidRDefault="00B31AE2" w:rsidP="00136089">
      <w:pPr>
        <w:numPr>
          <w:ilvl w:val="0"/>
          <w:numId w:val="122"/>
        </w:numPr>
        <w:spacing w:before="0" w:after="0" w:line="276" w:lineRule="auto"/>
        <w:contextualSpacing/>
        <w:jc w:val="left"/>
        <w:rPr>
          <w:rFonts w:ascii="Arial" w:eastAsia="Calibri" w:hAnsi="Arial" w:cs="Arial"/>
          <w:color w:val="000000"/>
          <w:sz w:val="20"/>
          <w:lang w:val="pt-PT"/>
        </w:rPr>
      </w:pPr>
      <w:r w:rsidRPr="00292532">
        <w:rPr>
          <w:rFonts w:ascii="Arial" w:eastAsia="Calibri" w:hAnsi="Arial" w:cs="Arial"/>
          <w:color w:val="000000"/>
          <w:sz w:val="20"/>
          <w:lang w:val="pt-PT"/>
        </w:rPr>
        <w:t xml:space="preserve"> </w:t>
      </w:r>
      <w:r w:rsidR="00DA3835" w:rsidRPr="00292532">
        <w:rPr>
          <w:rFonts w:ascii="Arial" w:eastAsia="Calibri" w:hAnsi="Arial" w:cs="Arial"/>
          <w:color w:val="000000"/>
          <w:sz w:val="20"/>
          <w:lang w:val="pt-PT"/>
        </w:rPr>
        <w:t>C</w:t>
      </w:r>
      <w:r w:rsidRPr="00292532">
        <w:rPr>
          <w:rFonts w:ascii="Arial" w:eastAsia="Calibri" w:hAnsi="Arial" w:cs="Arial"/>
          <w:color w:val="000000"/>
          <w:sz w:val="20"/>
          <w:lang w:val="pt-PT"/>
        </w:rPr>
        <w:t>ontar com dispositivos de esgotos sanitários, como fossas sépticas</w:t>
      </w:r>
      <w:r w:rsidR="00DA3835" w:rsidRPr="00292532">
        <w:rPr>
          <w:rFonts w:ascii="Arial" w:eastAsia="Calibri" w:hAnsi="Arial" w:cs="Arial"/>
          <w:color w:val="000000"/>
          <w:sz w:val="20"/>
          <w:lang w:val="pt-PT"/>
        </w:rPr>
        <w:t xml:space="preserve">. </w:t>
      </w:r>
    </w:p>
    <w:p w14:paraId="12983462" w14:textId="3757C600" w:rsidR="00246086" w:rsidRPr="00292532" w:rsidRDefault="00246086" w:rsidP="00246086">
      <w:pPr>
        <w:pStyle w:val="ListParagraph"/>
        <w:numPr>
          <w:ilvl w:val="0"/>
          <w:numId w:val="122"/>
        </w:numPr>
        <w:rPr>
          <w:rFonts w:ascii="Arial" w:eastAsia="Calibri" w:hAnsi="Arial" w:cs="Arial"/>
          <w:color w:val="000000"/>
          <w:sz w:val="20"/>
          <w:lang w:val="pt-PT"/>
        </w:rPr>
      </w:pPr>
      <w:r w:rsidRPr="00292532">
        <w:rPr>
          <w:rFonts w:ascii="Arial" w:eastAsia="Calibri" w:hAnsi="Arial" w:cs="Arial"/>
          <w:color w:val="000000"/>
          <w:sz w:val="20"/>
          <w:lang w:val="pt-PT"/>
        </w:rPr>
        <w:t>Garantir a presença de sanitários limpos e adequados a cada um dos géneros, para trabalhadores da construção civil, incluindo os trabalhadores a operar nas frentes de obra.</w:t>
      </w:r>
    </w:p>
    <w:p w14:paraId="7E12D5B1" w14:textId="77777777" w:rsidR="00B31AE2" w:rsidRPr="00292532" w:rsidRDefault="00B31AE2" w:rsidP="00AE14AE">
      <w:pPr>
        <w:numPr>
          <w:ilvl w:val="0"/>
          <w:numId w:val="122"/>
        </w:numPr>
        <w:spacing w:before="0" w:after="0" w:line="276" w:lineRule="auto"/>
        <w:contextualSpacing/>
        <w:jc w:val="left"/>
        <w:rPr>
          <w:rFonts w:ascii="Arial" w:eastAsia="Calibri" w:hAnsi="Arial" w:cs="Arial"/>
          <w:color w:val="000000"/>
          <w:sz w:val="20"/>
          <w:lang w:val="pt-PT"/>
        </w:rPr>
      </w:pPr>
      <w:r w:rsidRPr="00292532">
        <w:rPr>
          <w:rFonts w:ascii="Arial" w:eastAsia="Calibri" w:hAnsi="Arial" w:cs="Arial"/>
          <w:color w:val="000000"/>
          <w:sz w:val="20"/>
          <w:lang w:val="pt-PT"/>
        </w:rPr>
        <w:t>Garantir no seu corpo técnico um responsável por saúde, segurança ocupacional (SSO), que deverá adaptar e implementar o presente plano consoante as condições existentes e observando a legislação nacional.</w:t>
      </w:r>
    </w:p>
    <w:p w14:paraId="347F628F" w14:textId="6C7EB97E" w:rsidR="00784D9F" w:rsidRPr="00292532" w:rsidRDefault="00B31AE2" w:rsidP="00784D9F">
      <w:pPr>
        <w:numPr>
          <w:ilvl w:val="0"/>
          <w:numId w:val="122"/>
        </w:numPr>
        <w:spacing w:before="0" w:after="0" w:line="276" w:lineRule="auto"/>
        <w:contextualSpacing/>
        <w:jc w:val="left"/>
        <w:rPr>
          <w:rFonts w:ascii="Arial" w:eastAsia="Calibri" w:hAnsi="Arial" w:cs="Arial"/>
          <w:color w:val="000000"/>
          <w:sz w:val="20"/>
          <w:lang w:val="pt-PT"/>
        </w:rPr>
      </w:pPr>
      <w:r w:rsidRPr="00292532">
        <w:rPr>
          <w:rFonts w:ascii="Arial" w:eastAsia="Calibri" w:hAnsi="Arial" w:cs="Arial"/>
          <w:color w:val="000000"/>
          <w:sz w:val="20"/>
          <w:lang w:val="pt-PT"/>
        </w:rPr>
        <w:t>Informar à Contratante e aos órgãos competentes, em cumprimento das normas legais, todos os acidentes, incidentes e fatalidades associadas às obras ou que envolvam comunidades locais, cobrindo a segurança dos trabalhadores e do público e fornecendo assistência imediata, de acordo com o que seja necessário, aos acidentados e seus familiares.</w:t>
      </w:r>
    </w:p>
    <w:p w14:paraId="569DE7EB" w14:textId="0C9AE7C6" w:rsidR="001B0A87" w:rsidRPr="00292532" w:rsidRDefault="00B31AE2" w:rsidP="00784D9F">
      <w:pPr>
        <w:numPr>
          <w:ilvl w:val="0"/>
          <w:numId w:val="122"/>
        </w:numPr>
        <w:spacing w:before="0" w:after="0" w:line="276" w:lineRule="auto"/>
        <w:contextualSpacing/>
        <w:jc w:val="left"/>
        <w:rPr>
          <w:rFonts w:ascii="Arial" w:eastAsia="Calibri" w:hAnsi="Arial" w:cs="Arial"/>
          <w:color w:val="000000"/>
          <w:sz w:val="20"/>
          <w:lang w:val="pt-PT"/>
        </w:rPr>
      </w:pPr>
      <w:r w:rsidRPr="00292532">
        <w:rPr>
          <w:rFonts w:ascii="Arial" w:eastAsia="Calibri" w:hAnsi="Arial" w:cs="Arial"/>
          <w:color w:val="000000"/>
          <w:sz w:val="20"/>
          <w:lang w:val="pt-PT"/>
        </w:rPr>
        <w:t>Dispor de pessoal formado em primeiros socorros no local das obras (quando aplicável), com condições necessárias para prover os prim</w:t>
      </w:r>
      <w:r w:rsidR="00575EB7" w:rsidRPr="00292532">
        <w:rPr>
          <w:rFonts w:ascii="Arial" w:eastAsia="Calibri" w:hAnsi="Arial" w:cs="Arial"/>
          <w:color w:val="000000"/>
          <w:sz w:val="20"/>
          <w:lang w:val="pt-PT"/>
        </w:rPr>
        <w:t>eiros socorros aos trabalhadores, de acordo com a legislação em vigor em Moçambique.</w:t>
      </w:r>
    </w:p>
    <w:p w14:paraId="02D70654" w14:textId="77777777" w:rsidR="001B0A87" w:rsidRPr="00292532" w:rsidRDefault="001B0A87" w:rsidP="001B0A87">
      <w:pPr>
        <w:numPr>
          <w:ilvl w:val="0"/>
          <w:numId w:val="122"/>
        </w:numPr>
        <w:spacing w:before="0" w:after="0" w:line="276" w:lineRule="auto"/>
        <w:contextualSpacing/>
        <w:jc w:val="left"/>
        <w:rPr>
          <w:rFonts w:ascii="Arial" w:eastAsia="Calibri" w:hAnsi="Arial" w:cs="Arial"/>
          <w:color w:val="000000"/>
          <w:sz w:val="20"/>
          <w:lang w:val="pt-PT"/>
        </w:rPr>
      </w:pPr>
      <w:r w:rsidRPr="00292532">
        <w:rPr>
          <w:rFonts w:ascii="Arial" w:eastAsia="Calibri" w:hAnsi="Arial" w:cs="Arial"/>
          <w:color w:val="000000"/>
          <w:sz w:val="20"/>
          <w:lang w:val="pt-PT"/>
        </w:rPr>
        <w:t>Proporcionar aos trabalhadores da construção civil alojamento seguro e adequado, onde as mulheres e os homens devem ter instalações balneares independentes e bem equipadas.</w:t>
      </w:r>
    </w:p>
    <w:p w14:paraId="2555FBE6" w14:textId="77777777" w:rsidR="001B0A87" w:rsidRPr="00292532" w:rsidRDefault="001B0A87" w:rsidP="001B0A87">
      <w:pPr>
        <w:numPr>
          <w:ilvl w:val="0"/>
          <w:numId w:val="122"/>
        </w:numPr>
        <w:spacing w:before="0" w:after="0" w:line="276" w:lineRule="auto"/>
        <w:contextualSpacing/>
        <w:jc w:val="left"/>
        <w:rPr>
          <w:rFonts w:ascii="Arial" w:eastAsia="Calibri" w:hAnsi="Arial" w:cs="Arial"/>
          <w:color w:val="000000"/>
          <w:sz w:val="20"/>
          <w:lang w:val="pt-PT"/>
        </w:rPr>
      </w:pPr>
      <w:r w:rsidRPr="00292532">
        <w:rPr>
          <w:rFonts w:ascii="Arial" w:eastAsia="Calibri" w:hAnsi="Arial" w:cs="Arial"/>
          <w:color w:val="000000"/>
          <w:sz w:val="20"/>
          <w:lang w:val="pt-PT"/>
        </w:rPr>
        <w:t>Nas frentes de obra, os trabalhadores deverão ter acesso a lugares de pausa onde tomar seus lanches e refeições, em locais protegidos do sol;</w:t>
      </w:r>
    </w:p>
    <w:p w14:paraId="0C43EC7F" w14:textId="77777777" w:rsidR="001B0A87" w:rsidRPr="00292532" w:rsidRDefault="001B0A87" w:rsidP="001B0A87">
      <w:pPr>
        <w:numPr>
          <w:ilvl w:val="0"/>
          <w:numId w:val="122"/>
        </w:numPr>
        <w:spacing w:before="0" w:after="0" w:line="276" w:lineRule="auto"/>
        <w:contextualSpacing/>
        <w:jc w:val="left"/>
        <w:rPr>
          <w:rFonts w:ascii="Arial" w:eastAsia="Calibri" w:hAnsi="Arial" w:cs="Arial"/>
          <w:color w:val="000000"/>
          <w:sz w:val="20"/>
          <w:lang w:val="pt-PT"/>
        </w:rPr>
      </w:pPr>
      <w:r w:rsidRPr="00292532">
        <w:rPr>
          <w:rFonts w:ascii="Arial" w:eastAsia="Calibri" w:hAnsi="Arial" w:cs="Arial"/>
          <w:color w:val="000000"/>
          <w:sz w:val="20"/>
          <w:lang w:val="pt-PT"/>
        </w:rPr>
        <w:t>Incluir quer no estaleiro bem como no local das obras um posto de emergência (</w:t>
      </w:r>
      <w:proofErr w:type="spellStart"/>
      <w:r w:rsidRPr="00292532">
        <w:rPr>
          <w:rFonts w:ascii="Arial" w:eastAsia="Calibri" w:hAnsi="Arial" w:cs="Arial"/>
          <w:color w:val="000000"/>
          <w:sz w:val="20"/>
          <w:lang w:val="pt-PT"/>
        </w:rPr>
        <w:t>emergency</w:t>
      </w:r>
      <w:proofErr w:type="spellEnd"/>
      <w:r w:rsidRPr="00292532">
        <w:rPr>
          <w:rFonts w:ascii="Arial" w:eastAsia="Calibri" w:hAnsi="Arial" w:cs="Arial"/>
          <w:color w:val="000000"/>
          <w:sz w:val="20"/>
          <w:lang w:val="pt-PT"/>
        </w:rPr>
        <w:t xml:space="preserve"> </w:t>
      </w:r>
      <w:proofErr w:type="spellStart"/>
      <w:r w:rsidRPr="00292532">
        <w:rPr>
          <w:rFonts w:ascii="Arial" w:eastAsia="Calibri" w:hAnsi="Arial" w:cs="Arial"/>
          <w:color w:val="000000"/>
          <w:sz w:val="20"/>
          <w:lang w:val="pt-PT"/>
        </w:rPr>
        <w:t>assembly</w:t>
      </w:r>
      <w:proofErr w:type="spellEnd"/>
      <w:r w:rsidRPr="00292532">
        <w:rPr>
          <w:rFonts w:ascii="Arial" w:eastAsia="Calibri" w:hAnsi="Arial" w:cs="Arial"/>
          <w:color w:val="000000"/>
          <w:sz w:val="20"/>
          <w:lang w:val="pt-PT"/>
        </w:rPr>
        <w:t xml:space="preserve"> </w:t>
      </w:r>
      <w:proofErr w:type="spellStart"/>
      <w:r w:rsidRPr="00292532">
        <w:rPr>
          <w:rFonts w:ascii="Arial" w:eastAsia="Calibri" w:hAnsi="Arial" w:cs="Arial"/>
          <w:color w:val="000000"/>
          <w:sz w:val="20"/>
          <w:lang w:val="pt-PT"/>
        </w:rPr>
        <w:t>point</w:t>
      </w:r>
      <w:proofErr w:type="spellEnd"/>
      <w:r w:rsidRPr="00292532">
        <w:rPr>
          <w:rFonts w:ascii="Arial" w:eastAsia="Calibri" w:hAnsi="Arial" w:cs="Arial"/>
          <w:color w:val="000000"/>
          <w:sz w:val="20"/>
          <w:lang w:val="pt-PT"/>
        </w:rPr>
        <w:t xml:space="preserve">). </w:t>
      </w:r>
    </w:p>
    <w:p w14:paraId="2664266F" w14:textId="21C0D0AB" w:rsidR="00B31AE2" w:rsidRPr="00292532" w:rsidRDefault="00B31AE2" w:rsidP="00AE14AE">
      <w:pPr>
        <w:numPr>
          <w:ilvl w:val="0"/>
          <w:numId w:val="122"/>
        </w:numPr>
        <w:spacing w:before="0" w:after="0" w:line="276" w:lineRule="auto"/>
        <w:contextualSpacing/>
        <w:jc w:val="left"/>
        <w:rPr>
          <w:rFonts w:ascii="Arial" w:eastAsia="Calibri" w:hAnsi="Arial" w:cs="Arial"/>
          <w:color w:val="000000"/>
          <w:sz w:val="20"/>
          <w:lang w:val="pt-PT"/>
        </w:rPr>
      </w:pPr>
    </w:p>
    <w:p w14:paraId="6B234A63" w14:textId="77777777" w:rsidR="00B31AE2" w:rsidRPr="00292532" w:rsidRDefault="00B31AE2" w:rsidP="00B31AE2">
      <w:pPr>
        <w:spacing w:before="0" w:after="0"/>
        <w:rPr>
          <w:rFonts w:ascii="Arial" w:eastAsia="Calibri" w:hAnsi="Arial" w:cs="Arial"/>
          <w:color w:val="000000"/>
          <w:sz w:val="20"/>
          <w:lang w:val="pt-PT"/>
        </w:rPr>
      </w:pPr>
    </w:p>
    <w:p w14:paraId="43E99E8B" w14:textId="1D69353C" w:rsidR="00B31AE2" w:rsidRPr="00292532" w:rsidRDefault="00B31AE2" w:rsidP="00AE14AE">
      <w:pPr>
        <w:keepNext/>
        <w:keepLines/>
        <w:numPr>
          <w:ilvl w:val="1"/>
          <w:numId w:val="145"/>
        </w:numPr>
        <w:spacing w:before="40" w:after="0" w:line="276" w:lineRule="auto"/>
        <w:jc w:val="left"/>
        <w:outlineLvl w:val="2"/>
        <w:rPr>
          <w:rFonts w:ascii="Arial" w:eastAsia="Times New Roman" w:hAnsi="Arial" w:cs="Arial"/>
          <w:b/>
          <w:color w:val="1F3763"/>
          <w:sz w:val="24"/>
          <w:szCs w:val="24"/>
          <w:lang w:val="pt-PT"/>
        </w:rPr>
      </w:pPr>
      <w:bookmarkStart w:id="1169" w:name="_Toc74921493"/>
      <w:bookmarkStart w:id="1170" w:name="_Toc75438069"/>
      <w:bookmarkStart w:id="1171" w:name="_Toc78435498"/>
      <w:bookmarkStart w:id="1172" w:name="_Toc80380165"/>
      <w:r w:rsidRPr="00292532">
        <w:rPr>
          <w:rFonts w:ascii="Arial" w:eastAsia="Times New Roman" w:hAnsi="Arial" w:cs="Arial"/>
          <w:b/>
          <w:color w:val="1F3763"/>
          <w:sz w:val="24"/>
          <w:szCs w:val="24"/>
          <w:lang w:val="pt-PT"/>
        </w:rPr>
        <w:t>Gestão de riscos específicos de SSO</w:t>
      </w:r>
      <w:bookmarkEnd w:id="1169"/>
      <w:bookmarkEnd w:id="1170"/>
      <w:bookmarkEnd w:id="1171"/>
      <w:bookmarkEnd w:id="1172"/>
    </w:p>
    <w:p w14:paraId="74740798" w14:textId="77777777" w:rsidR="00B31AE2" w:rsidRPr="00292532" w:rsidRDefault="00B31AE2" w:rsidP="00B31AE2">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Os riscos identificados acima, são facilmente geridos com a implementação de medidas de mitigação dos riscos listados abaixo:</w:t>
      </w:r>
    </w:p>
    <w:tbl>
      <w:tblPr>
        <w:tblStyle w:val="1"/>
        <w:tblW w:w="945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0"/>
        <w:gridCol w:w="6570"/>
      </w:tblGrid>
      <w:tr w:rsidR="00B31AE2" w:rsidRPr="00292532" w14:paraId="66898ECF" w14:textId="77777777" w:rsidTr="00B31AE2">
        <w:trPr>
          <w:trHeight w:val="202"/>
          <w:tblHeader/>
        </w:trPr>
        <w:tc>
          <w:tcPr>
            <w:tcW w:w="2880" w:type="dxa"/>
            <w:tcBorders>
              <w:top w:val="single" w:sz="4" w:space="0" w:color="auto"/>
              <w:bottom w:val="single" w:sz="4" w:space="0" w:color="auto"/>
            </w:tcBorders>
            <w:vAlign w:val="center"/>
          </w:tcPr>
          <w:p w14:paraId="22544EE7" w14:textId="77777777" w:rsidR="00B31AE2" w:rsidRPr="00292532" w:rsidRDefault="00B31AE2" w:rsidP="00B31AE2">
            <w:pPr>
              <w:jc w:val="center"/>
              <w:rPr>
                <w:rFonts w:ascii="Arial" w:eastAsia="Calibri" w:hAnsi="Arial" w:cs="Arial"/>
                <w:b/>
                <w:color w:val="000000"/>
                <w:sz w:val="20"/>
                <w:lang w:val="pt-PT"/>
              </w:rPr>
            </w:pPr>
            <w:r w:rsidRPr="00292532">
              <w:rPr>
                <w:rFonts w:ascii="Arial" w:eastAsia="Calibri" w:hAnsi="Arial" w:cs="Arial"/>
                <w:b/>
                <w:color w:val="000000"/>
                <w:sz w:val="20"/>
                <w:lang w:val="pt-PT"/>
              </w:rPr>
              <w:lastRenderedPageBreak/>
              <w:t>Risco</w:t>
            </w:r>
          </w:p>
        </w:tc>
        <w:tc>
          <w:tcPr>
            <w:tcW w:w="6570" w:type="dxa"/>
            <w:tcBorders>
              <w:top w:val="single" w:sz="4" w:space="0" w:color="auto"/>
              <w:bottom w:val="single" w:sz="4" w:space="0" w:color="auto"/>
            </w:tcBorders>
            <w:vAlign w:val="center"/>
          </w:tcPr>
          <w:p w14:paraId="1763B0FD" w14:textId="77777777" w:rsidR="00B31AE2" w:rsidRPr="00292532" w:rsidRDefault="00B31AE2" w:rsidP="00B31AE2">
            <w:pPr>
              <w:jc w:val="center"/>
              <w:rPr>
                <w:rFonts w:ascii="Arial" w:eastAsia="Calibri" w:hAnsi="Arial" w:cs="Arial"/>
                <w:b/>
                <w:color w:val="000000"/>
                <w:sz w:val="20"/>
                <w:lang w:val="pt-PT"/>
              </w:rPr>
            </w:pPr>
            <w:r w:rsidRPr="00292532">
              <w:rPr>
                <w:rFonts w:ascii="Arial" w:eastAsia="Calibri" w:hAnsi="Arial" w:cs="Arial"/>
                <w:b/>
                <w:color w:val="000000"/>
                <w:sz w:val="20"/>
                <w:lang w:val="pt-PT"/>
              </w:rPr>
              <w:t>Medidas de gestão</w:t>
            </w:r>
          </w:p>
        </w:tc>
      </w:tr>
      <w:tr w:rsidR="00B31AE2" w:rsidRPr="004E2EAC" w14:paraId="38954A63" w14:textId="77777777" w:rsidTr="00B31AE2">
        <w:trPr>
          <w:trHeight w:val="274"/>
        </w:trPr>
        <w:tc>
          <w:tcPr>
            <w:tcW w:w="2880" w:type="dxa"/>
            <w:tcBorders>
              <w:top w:val="single" w:sz="4" w:space="0" w:color="auto"/>
              <w:bottom w:val="single" w:sz="4" w:space="0" w:color="auto"/>
            </w:tcBorders>
            <w:vAlign w:val="center"/>
          </w:tcPr>
          <w:p w14:paraId="46387E2E" w14:textId="77777777" w:rsidR="00B31AE2" w:rsidRPr="00292532" w:rsidRDefault="00B31AE2" w:rsidP="00B31AE2">
            <w:pPr>
              <w:rPr>
                <w:rFonts w:ascii="Arial" w:eastAsia="Calibri" w:hAnsi="Arial" w:cs="Arial"/>
                <w:color w:val="000000"/>
                <w:sz w:val="20"/>
                <w:szCs w:val="20"/>
                <w:lang w:val="pt-PT"/>
              </w:rPr>
            </w:pPr>
            <w:r w:rsidRPr="00292532">
              <w:rPr>
                <w:rFonts w:ascii="Arial" w:eastAsia="Calibri" w:hAnsi="Arial" w:cs="Arial"/>
                <w:color w:val="000000"/>
                <w:sz w:val="20"/>
                <w:szCs w:val="20"/>
                <w:lang w:val="pt-PT"/>
              </w:rPr>
              <w:t>Exposição a COVID-19</w:t>
            </w:r>
          </w:p>
        </w:tc>
        <w:tc>
          <w:tcPr>
            <w:tcW w:w="6570" w:type="dxa"/>
            <w:tcBorders>
              <w:top w:val="single" w:sz="4" w:space="0" w:color="auto"/>
              <w:bottom w:val="single" w:sz="4" w:space="0" w:color="auto"/>
            </w:tcBorders>
          </w:tcPr>
          <w:p w14:paraId="004D8288"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Desenvolver e cumprir com procedimentos de contingência da COVID-19 adequados ao ambiente de trabalho, podendo basear-se nos procedimentos descritos na </w:t>
            </w:r>
            <w:r w:rsidRPr="00292532">
              <w:rPr>
                <w:rFonts w:ascii="Arial" w:eastAsia="Calibri" w:hAnsi="Arial" w:cs="Arial"/>
                <w:color w:val="4472C4"/>
                <w:sz w:val="20"/>
                <w:szCs w:val="20"/>
                <w:lang w:val="pt-PT"/>
              </w:rPr>
              <w:t xml:space="preserve">Secção </w:t>
            </w:r>
            <w:r w:rsidRPr="00292532">
              <w:rPr>
                <w:rFonts w:ascii="Arial" w:eastAsia="Calibri" w:hAnsi="Arial" w:cs="Arial"/>
                <w:color w:val="4472C4"/>
                <w:sz w:val="20"/>
                <w:szCs w:val="20"/>
                <w:lang w:val="pt-PT"/>
              </w:rPr>
              <w:fldChar w:fldCharType="begin"/>
            </w:r>
            <w:r w:rsidRPr="00292532">
              <w:rPr>
                <w:rFonts w:ascii="Arial" w:eastAsia="Calibri" w:hAnsi="Arial" w:cs="Arial"/>
                <w:color w:val="4472C4"/>
                <w:sz w:val="20"/>
                <w:szCs w:val="20"/>
                <w:lang w:val="pt-PT"/>
              </w:rPr>
              <w:instrText xml:space="preserve"> REF _Ref64798625 \r \h  \* MERGEFORMAT </w:instrText>
            </w:r>
            <w:r w:rsidRPr="00292532">
              <w:rPr>
                <w:rFonts w:ascii="Arial" w:eastAsia="Calibri" w:hAnsi="Arial" w:cs="Arial"/>
                <w:color w:val="4472C4"/>
                <w:sz w:val="20"/>
                <w:szCs w:val="20"/>
                <w:lang w:val="pt-PT"/>
              </w:rPr>
            </w:r>
            <w:r w:rsidRPr="00292532">
              <w:rPr>
                <w:rFonts w:ascii="Arial" w:eastAsia="Calibri" w:hAnsi="Arial" w:cs="Arial"/>
                <w:color w:val="4472C4"/>
                <w:sz w:val="20"/>
                <w:szCs w:val="20"/>
                <w:lang w:val="pt-PT"/>
              </w:rPr>
              <w:fldChar w:fldCharType="separate"/>
            </w:r>
            <w:r w:rsidRPr="00292532">
              <w:rPr>
                <w:rFonts w:ascii="Arial" w:eastAsia="Calibri" w:hAnsi="Arial" w:cs="Arial"/>
                <w:color w:val="4472C4"/>
                <w:sz w:val="20"/>
                <w:szCs w:val="20"/>
                <w:lang w:val="pt-PT"/>
              </w:rPr>
              <w:t>9.10</w:t>
            </w:r>
            <w:r w:rsidRPr="00292532">
              <w:rPr>
                <w:rFonts w:ascii="Arial" w:eastAsia="Calibri" w:hAnsi="Arial" w:cs="Arial"/>
                <w:color w:val="4472C4"/>
                <w:sz w:val="20"/>
                <w:szCs w:val="20"/>
                <w:lang w:val="pt-PT"/>
              </w:rPr>
              <w:fldChar w:fldCharType="end"/>
            </w:r>
            <w:r w:rsidRPr="00292532">
              <w:rPr>
                <w:rFonts w:ascii="Arial" w:eastAsia="Calibri" w:hAnsi="Arial" w:cs="Arial"/>
                <w:color w:val="000000"/>
                <w:sz w:val="20"/>
                <w:szCs w:val="20"/>
                <w:lang w:val="pt-PT"/>
              </w:rPr>
              <w:t xml:space="preserve">. </w:t>
            </w:r>
          </w:p>
        </w:tc>
      </w:tr>
      <w:tr w:rsidR="00B31AE2" w:rsidRPr="004E2EAC" w14:paraId="0DFAEB42" w14:textId="77777777" w:rsidTr="00B31AE2">
        <w:trPr>
          <w:trHeight w:val="133"/>
        </w:trPr>
        <w:tc>
          <w:tcPr>
            <w:tcW w:w="2880" w:type="dxa"/>
            <w:tcBorders>
              <w:top w:val="single" w:sz="4" w:space="0" w:color="auto"/>
              <w:bottom w:val="single" w:sz="4" w:space="0" w:color="auto"/>
            </w:tcBorders>
            <w:vAlign w:val="center"/>
          </w:tcPr>
          <w:p w14:paraId="52538D89" w14:textId="77777777" w:rsidR="00B31AE2" w:rsidRPr="00292532" w:rsidRDefault="00B31AE2" w:rsidP="00B31AE2">
            <w:pPr>
              <w:rPr>
                <w:rFonts w:ascii="Arial" w:eastAsia="Calibri" w:hAnsi="Arial" w:cs="Arial"/>
                <w:color w:val="000000"/>
                <w:sz w:val="20"/>
                <w:szCs w:val="20"/>
                <w:lang w:val="pt-PT"/>
              </w:rPr>
            </w:pPr>
            <w:r w:rsidRPr="00292532">
              <w:rPr>
                <w:rFonts w:ascii="Arial" w:eastAsia="Calibri" w:hAnsi="Arial" w:cs="Arial"/>
                <w:color w:val="000000"/>
                <w:sz w:val="20"/>
                <w:lang w:val="pt-PT"/>
              </w:rPr>
              <w:t>Acidentes de viação/aviação (atropelamento, despiste, choques entre viaturas, capotamento)</w:t>
            </w:r>
          </w:p>
        </w:tc>
        <w:tc>
          <w:tcPr>
            <w:tcW w:w="6570" w:type="dxa"/>
            <w:tcBorders>
              <w:top w:val="single" w:sz="4" w:space="0" w:color="auto"/>
              <w:bottom w:val="single" w:sz="4" w:space="0" w:color="auto"/>
            </w:tcBorders>
          </w:tcPr>
          <w:p w14:paraId="6A699343"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Reduzir o número de viagens e dar preferência a contratação de consultores/empresas de assessoria da área de implementação do </w:t>
            </w:r>
            <w:proofErr w:type="spellStart"/>
            <w:r w:rsidRPr="00292532">
              <w:rPr>
                <w:rFonts w:ascii="Arial" w:eastAsia="Calibri" w:hAnsi="Arial" w:cs="Arial"/>
                <w:color w:val="000000"/>
                <w:sz w:val="20"/>
                <w:szCs w:val="20"/>
                <w:lang w:val="pt-PT"/>
              </w:rPr>
              <w:t>projecto</w:t>
            </w:r>
            <w:proofErr w:type="spellEnd"/>
            <w:r w:rsidRPr="00292532">
              <w:rPr>
                <w:rFonts w:ascii="Arial" w:eastAsia="Calibri" w:hAnsi="Arial" w:cs="Arial"/>
                <w:color w:val="000000"/>
                <w:sz w:val="20"/>
                <w:szCs w:val="20"/>
                <w:lang w:val="pt-PT"/>
              </w:rPr>
              <w:t>.</w:t>
            </w:r>
          </w:p>
          <w:p w14:paraId="6F437104"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Contratar mão de obra residente próximo dos locais de intervenção dos subprojectos.</w:t>
            </w:r>
          </w:p>
          <w:p w14:paraId="09539414"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Contractar motoristas e operadores de equipamentos certificados e com experiência comprovada.</w:t>
            </w:r>
          </w:p>
          <w:p w14:paraId="66646CD9"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Estipular limite máximo de velocidade para os trabalhos do </w:t>
            </w:r>
            <w:proofErr w:type="spellStart"/>
            <w:r w:rsidRPr="00292532">
              <w:rPr>
                <w:rFonts w:ascii="Arial" w:eastAsia="Calibri" w:hAnsi="Arial" w:cs="Arial"/>
                <w:color w:val="000000"/>
                <w:sz w:val="20"/>
                <w:szCs w:val="20"/>
                <w:lang w:val="pt-PT"/>
              </w:rPr>
              <w:t>projecto</w:t>
            </w:r>
            <w:proofErr w:type="spellEnd"/>
            <w:r w:rsidRPr="00292532">
              <w:rPr>
                <w:rFonts w:ascii="Arial" w:eastAsia="Calibri" w:hAnsi="Arial" w:cs="Arial"/>
                <w:color w:val="000000"/>
                <w:sz w:val="20"/>
                <w:szCs w:val="20"/>
                <w:lang w:val="pt-PT"/>
              </w:rPr>
              <w:t>.</w:t>
            </w:r>
          </w:p>
          <w:p w14:paraId="35B0B9C4" w14:textId="71563F36"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Estabelecer programas de sensibilização frequentes sobre segurança de trânsito</w:t>
            </w:r>
            <w:r w:rsidR="00761A6E" w:rsidRPr="00292532">
              <w:rPr>
                <w:rFonts w:ascii="Arial" w:eastAsia="Calibri" w:hAnsi="Arial" w:cs="Arial"/>
                <w:color w:val="000000"/>
                <w:sz w:val="20"/>
                <w:szCs w:val="20"/>
                <w:lang w:val="pt-PT"/>
              </w:rPr>
              <w:t xml:space="preserve"> </w:t>
            </w:r>
            <w:r w:rsidR="00CD1C60" w:rsidRPr="00292532">
              <w:rPr>
                <w:rFonts w:ascii="Arial" w:eastAsia="Calibri" w:hAnsi="Arial" w:cs="Arial"/>
                <w:color w:val="000000"/>
                <w:sz w:val="20"/>
                <w:szCs w:val="20"/>
                <w:lang w:val="pt-PT"/>
              </w:rPr>
              <w:t xml:space="preserve">conforme descrito nas </w:t>
            </w:r>
            <w:proofErr w:type="spellStart"/>
            <w:r w:rsidR="00CD1C60" w:rsidRPr="00292532">
              <w:rPr>
                <w:rFonts w:ascii="Arial" w:eastAsia="Calibri" w:hAnsi="Arial" w:cs="Arial"/>
                <w:color w:val="000000"/>
                <w:sz w:val="20"/>
                <w:szCs w:val="20"/>
                <w:lang w:val="pt-PT"/>
              </w:rPr>
              <w:t>Directrizes</w:t>
            </w:r>
            <w:proofErr w:type="spellEnd"/>
            <w:r w:rsidR="00CD1C60" w:rsidRPr="00292532">
              <w:rPr>
                <w:rFonts w:ascii="Arial" w:eastAsia="Calibri" w:hAnsi="Arial" w:cs="Arial"/>
                <w:color w:val="000000"/>
                <w:sz w:val="20"/>
                <w:szCs w:val="20"/>
                <w:lang w:val="pt-PT"/>
              </w:rPr>
              <w:t xml:space="preserve"> de Gestão do Tráfego Rodoviário que consta no Anexo 10 do QGAS</w:t>
            </w:r>
          </w:p>
          <w:p w14:paraId="57D3747C"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Delimitar zona de circulação automóvel.</w:t>
            </w:r>
          </w:p>
          <w:p w14:paraId="6628A28B"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Garantir o bom estado de funcionamento do sinal acústico e pirilampos luminosos das máquinas e camiões utilizados no </w:t>
            </w:r>
            <w:proofErr w:type="spellStart"/>
            <w:r w:rsidRPr="00292532">
              <w:rPr>
                <w:rFonts w:ascii="Arial" w:eastAsia="Calibri" w:hAnsi="Arial" w:cs="Arial"/>
                <w:color w:val="000000"/>
                <w:sz w:val="20"/>
                <w:szCs w:val="20"/>
                <w:lang w:val="pt-PT"/>
              </w:rPr>
              <w:t>projecto</w:t>
            </w:r>
            <w:proofErr w:type="spellEnd"/>
            <w:r w:rsidRPr="00292532">
              <w:rPr>
                <w:rFonts w:ascii="Arial" w:eastAsia="Calibri" w:hAnsi="Arial" w:cs="Arial"/>
                <w:color w:val="000000"/>
                <w:sz w:val="20"/>
                <w:szCs w:val="20"/>
                <w:lang w:val="pt-PT"/>
              </w:rPr>
              <w:t>.</w:t>
            </w:r>
          </w:p>
          <w:p w14:paraId="3FF0A51C"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Sinalizar e cercar as áreas que potencialmente podem influenciar a ocorrência de acidentes de viação.</w:t>
            </w:r>
          </w:p>
        </w:tc>
      </w:tr>
      <w:tr w:rsidR="00B31AE2" w:rsidRPr="004E2EAC" w14:paraId="7297C4E0" w14:textId="77777777" w:rsidTr="004500AE">
        <w:trPr>
          <w:trHeight w:val="2462"/>
        </w:trPr>
        <w:tc>
          <w:tcPr>
            <w:tcW w:w="2880" w:type="dxa"/>
            <w:tcBorders>
              <w:top w:val="single" w:sz="4" w:space="0" w:color="auto"/>
              <w:bottom w:val="single" w:sz="4" w:space="0" w:color="auto"/>
            </w:tcBorders>
            <w:vAlign w:val="center"/>
          </w:tcPr>
          <w:p w14:paraId="6E1FEC69" w14:textId="77777777" w:rsidR="00B31AE2" w:rsidRPr="00292532" w:rsidRDefault="00B31AE2" w:rsidP="00B31AE2">
            <w:pPr>
              <w:rPr>
                <w:rFonts w:ascii="Arial" w:eastAsia="Calibri" w:hAnsi="Arial" w:cs="Arial"/>
                <w:color w:val="000000"/>
                <w:sz w:val="20"/>
                <w:szCs w:val="20"/>
                <w:lang w:val="pt-PT"/>
              </w:rPr>
            </w:pPr>
            <w:r w:rsidRPr="00292532">
              <w:rPr>
                <w:rFonts w:ascii="Arial" w:eastAsia="Calibri" w:hAnsi="Arial" w:cs="Arial"/>
                <w:color w:val="000000"/>
                <w:sz w:val="20"/>
                <w:lang w:val="pt-PT"/>
              </w:rPr>
              <w:t>Violação de direitos trabalhistas ou má interpretação dos mesmos</w:t>
            </w:r>
          </w:p>
        </w:tc>
        <w:tc>
          <w:tcPr>
            <w:tcW w:w="6570" w:type="dxa"/>
            <w:tcBorders>
              <w:top w:val="single" w:sz="4" w:space="0" w:color="auto"/>
              <w:bottom w:val="single" w:sz="4" w:space="0" w:color="auto"/>
            </w:tcBorders>
          </w:tcPr>
          <w:p w14:paraId="26CCD5DA" w14:textId="14C3DCED" w:rsidR="00CD1C60" w:rsidRPr="00292532" w:rsidRDefault="00B31AE2" w:rsidP="004500AE">
            <w:pPr>
              <w:pStyle w:val="ListParagraph"/>
              <w:numPr>
                <w:ilvl w:val="0"/>
                <w:numId w:val="123"/>
              </w:numPr>
              <w:ind w:left="71" w:hanging="829"/>
              <w:rPr>
                <w:rFonts w:ascii="Arial" w:eastAsia="Calibri" w:hAnsi="Arial" w:cs="Arial"/>
                <w:color w:val="000000"/>
                <w:sz w:val="20"/>
                <w:szCs w:val="20"/>
                <w:lang w:val="pt-PT"/>
              </w:rPr>
            </w:pPr>
            <w:r w:rsidRPr="00292532">
              <w:rPr>
                <w:rFonts w:ascii="Arial" w:eastAsia="Calibri" w:hAnsi="Arial" w:cs="Arial"/>
                <w:color w:val="000000"/>
                <w:sz w:val="20"/>
                <w:szCs w:val="20"/>
                <w:lang w:val="pt-PT"/>
              </w:rPr>
              <w:t>Prover explicação (aos trabalhadores), do tipo de contracto, duração, das cláusulas do contracto, tipo e condições de trabalho a realizar</w:t>
            </w:r>
            <w:r w:rsidR="00CD1C60" w:rsidRPr="004500AE">
              <w:rPr>
                <w:lang w:val="pt-PT"/>
              </w:rPr>
              <w:t xml:space="preserve"> </w:t>
            </w:r>
            <w:r w:rsidR="00CD1C60" w:rsidRPr="00292532">
              <w:rPr>
                <w:rFonts w:ascii="Arial" w:eastAsia="Calibri" w:hAnsi="Arial" w:cs="Arial"/>
                <w:color w:val="000000"/>
                <w:sz w:val="20"/>
                <w:szCs w:val="20"/>
                <w:lang w:val="pt-PT"/>
              </w:rPr>
              <w:t xml:space="preserve">em conformidade com a lei moçambicana, </w:t>
            </w:r>
            <w:proofErr w:type="gramStart"/>
            <w:r w:rsidR="00CD1C60" w:rsidRPr="00292532">
              <w:rPr>
                <w:rFonts w:ascii="Arial" w:eastAsia="Calibri" w:hAnsi="Arial" w:cs="Arial"/>
                <w:color w:val="000000"/>
                <w:sz w:val="20"/>
                <w:szCs w:val="20"/>
                <w:lang w:val="pt-PT"/>
              </w:rPr>
              <w:t>incluindo</w:t>
            </w:r>
            <w:proofErr w:type="gramEnd"/>
            <w:r w:rsidR="00CD1C60" w:rsidRPr="00292532">
              <w:rPr>
                <w:rFonts w:ascii="Arial" w:eastAsia="Calibri" w:hAnsi="Arial" w:cs="Arial"/>
                <w:color w:val="000000"/>
                <w:sz w:val="20"/>
                <w:szCs w:val="20"/>
                <w:lang w:val="pt-PT"/>
              </w:rPr>
              <w:t xml:space="preserve"> mas não se limitando a direitos relacionados a horários de trabalho, férias, dias de descanso, salário, horas extras, indemnização e benefícios (ver secção 8.1).</w:t>
            </w:r>
          </w:p>
          <w:p w14:paraId="5191449A" w14:textId="77777777" w:rsidR="00B31AE2" w:rsidRPr="00292532" w:rsidRDefault="00B31AE2" w:rsidP="00CD1C60">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Disponibilização de contracto de trabalho, código de conduta, código de ética e estatuto interno no </w:t>
            </w:r>
            <w:proofErr w:type="spellStart"/>
            <w:r w:rsidRPr="00292532">
              <w:rPr>
                <w:rFonts w:ascii="Arial" w:eastAsia="Calibri" w:hAnsi="Arial" w:cs="Arial"/>
                <w:color w:val="000000"/>
                <w:sz w:val="20"/>
                <w:szCs w:val="20"/>
                <w:lang w:val="pt-PT"/>
              </w:rPr>
              <w:t>acto</w:t>
            </w:r>
            <w:proofErr w:type="spellEnd"/>
            <w:r w:rsidRPr="00292532">
              <w:rPr>
                <w:rFonts w:ascii="Arial" w:eastAsia="Calibri" w:hAnsi="Arial" w:cs="Arial"/>
                <w:color w:val="000000"/>
                <w:sz w:val="20"/>
                <w:szCs w:val="20"/>
                <w:lang w:val="pt-PT"/>
              </w:rPr>
              <w:t xml:space="preserve"> da assinatura do contracto. Depois de assinados, uma cópia fica com cada uma das partes.</w:t>
            </w:r>
          </w:p>
          <w:p w14:paraId="4D01B0B2"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Formações internas sobre os direitos e deveres dos trabalhadores.</w:t>
            </w:r>
          </w:p>
          <w:p w14:paraId="54E473F4"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Cumprimento da legislação moçambicana sobre trabalho.</w:t>
            </w:r>
          </w:p>
          <w:p w14:paraId="5B4148EE"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Disponibilização e divulgação do MGR para trabalhadores - os canais de apresentação de queixas devem estar fixos em locais visíveis.</w:t>
            </w:r>
          </w:p>
        </w:tc>
      </w:tr>
      <w:tr w:rsidR="00B31AE2" w:rsidRPr="004E2EAC" w14:paraId="387D2D1D" w14:textId="77777777" w:rsidTr="00B31AE2">
        <w:trPr>
          <w:trHeight w:val="167"/>
        </w:trPr>
        <w:tc>
          <w:tcPr>
            <w:tcW w:w="2880" w:type="dxa"/>
            <w:tcBorders>
              <w:top w:val="single" w:sz="4" w:space="0" w:color="auto"/>
              <w:bottom w:val="single" w:sz="4" w:space="0" w:color="auto"/>
            </w:tcBorders>
            <w:shd w:val="clear" w:color="auto" w:fill="auto"/>
            <w:vAlign w:val="center"/>
          </w:tcPr>
          <w:p w14:paraId="4368AD3A" w14:textId="77777777" w:rsidR="00B31AE2" w:rsidRPr="00292532" w:rsidRDefault="00B31AE2" w:rsidP="00B31AE2">
            <w:pPr>
              <w:rPr>
                <w:rFonts w:ascii="Arial" w:eastAsia="Calibri" w:hAnsi="Arial" w:cs="Arial"/>
                <w:color w:val="000000"/>
                <w:sz w:val="20"/>
                <w:szCs w:val="20"/>
                <w:lang w:val="pt-PT"/>
              </w:rPr>
            </w:pPr>
            <w:r w:rsidRPr="00292532">
              <w:rPr>
                <w:rFonts w:ascii="Arial" w:eastAsia="Calibri" w:hAnsi="Arial" w:cs="Arial"/>
                <w:color w:val="000000"/>
                <w:sz w:val="20"/>
                <w:lang w:val="pt-PT"/>
              </w:rPr>
              <w:t>Violência Baseada no Género (VBG), Exploração e Abuso Sexual (EAS) e Assédio Sexual</w:t>
            </w:r>
          </w:p>
        </w:tc>
        <w:tc>
          <w:tcPr>
            <w:tcW w:w="6570" w:type="dxa"/>
            <w:tcBorders>
              <w:top w:val="single" w:sz="4" w:space="0" w:color="auto"/>
              <w:bottom w:val="single" w:sz="4" w:space="0" w:color="auto"/>
            </w:tcBorders>
            <w:vAlign w:val="center"/>
          </w:tcPr>
          <w:p w14:paraId="21CA5A9F"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Sensibilizações frequentes sobre VBG/EAS e desencorajamento da sua prática visto ser uma violação brutal as políticas do </w:t>
            </w:r>
            <w:proofErr w:type="spellStart"/>
            <w:r w:rsidRPr="00292532">
              <w:rPr>
                <w:rFonts w:ascii="Arial" w:eastAsia="Calibri" w:hAnsi="Arial" w:cs="Arial"/>
                <w:color w:val="000000"/>
                <w:sz w:val="20"/>
                <w:szCs w:val="20"/>
                <w:lang w:val="pt-PT"/>
              </w:rPr>
              <w:t>Projecto</w:t>
            </w:r>
            <w:proofErr w:type="spellEnd"/>
            <w:r w:rsidRPr="00292532">
              <w:rPr>
                <w:rFonts w:ascii="Arial" w:eastAsia="Calibri" w:hAnsi="Arial" w:cs="Arial"/>
                <w:color w:val="000000"/>
                <w:sz w:val="20"/>
                <w:szCs w:val="20"/>
                <w:lang w:val="pt-PT"/>
              </w:rPr>
              <w:t>.</w:t>
            </w:r>
          </w:p>
          <w:p w14:paraId="6B03435A"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Cumprimento das obrigações do código de conduta e das penalizações no caso de violação do cumprimento.</w:t>
            </w:r>
          </w:p>
          <w:p w14:paraId="773BB95F" w14:textId="39E0976B"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Disponibilização e divulgação do mecanismo de gestão de reclamação (MGR) e garantir assistência e resolução de todos os casos relacionados a VBG</w:t>
            </w:r>
            <w:r w:rsidR="00CD1C60" w:rsidRPr="00292532">
              <w:rPr>
                <w:rFonts w:ascii="Arial" w:eastAsia="Calibri" w:hAnsi="Arial" w:cs="Arial"/>
                <w:color w:val="000000"/>
                <w:sz w:val="20"/>
                <w:szCs w:val="20"/>
                <w:lang w:val="pt-PT"/>
              </w:rPr>
              <w:t xml:space="preserve"> através da contratação de um provedor de serviços para o </w:t>
            </w:r>
            <w:proofErr w:type="spellStart"/>
            <w:proofErr w:type="gramStart"/>
            <w:r w:rsidR="00CD1C60" w:rsidRPr="00292532">
              <w:rPr>
                <w:rFonts w:ascii="Arial" w:eastAsia="Calibri" w:hAnsi="Arial" w:cs="Arial"/>
                <w:color w:val="000000"/>
                <w:sz w:val="20"/>
                <w:szCs w:val="20"/>
                <w:lang w:val="pt-PT"/>
              </w:rPr>
              <w:t>projecto</w:t>
            </w:r>
            <w:proofErr w:type="spellEnd"/>
            <w:r w:rsidR="00CD1C60" w:rsidRPr="00292532">
              <w:rPr>
                <w:rFonts w:ascii="Arial" w:eastAsia="Calibri" w:hAnsi="Arial" w:cs="Arial"/>
                <w:color w:val="000000"/>
                <w:sz w:val="20"/>
                <w:szCs w:val="20"/>
                <w:lang w:val="pt-PT"/>
              </w:rPr>
              <w:t>.</w:t>
            </w:r>
            <w:r w:rsidRPr="00292532">
              <w:rPr>
                <w:rFonts w:ascii="Arial" w:eastAsia="Calibri" w:hAnsi="Arial" w:cs="Arial"/>
                <w:color w:val="000000"/>
                <w:sz w:val="20"/>
                <w:szCs w:val="20"/>
                <w:lang w:val="pt-PT"/>
              </w:rPr>
              <w:t>.</w:t>
            </w:r>
            <w:proofErr w:type="gramEnd"/>
          </w:p>
          <w:p w14:paraId="49435E15" w14:textId="0AA36DCD"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Implementar e garantir o cumprimento do </w:t>
            </w:r>
            <w:r w:rsidRPr="00292532">
              <w:rPr>
                <w:rFonts w:ascii="Arial" w:eastAsia="Calibri" w:hAnsi="Arial" w:cs="Arial"/>
                <w:color w:val="5B9BD5"/>
                <w:sz w:val="20"/>
                <w:szCs w:val="20"/>
                <w:lang w:val="pt-PT"/>
              </w:rPr>
              <w:t xml:space="preserve">Plano de </w:t>
            </w:r>
            <w:proofErr w:type="spellStart"/>
            <w:r w:rsidRPr="00292532">
              <w:rPr>
                <w:rFonts w:ascii="Arial" w:eastAsia="Calibri" w:hAnsi="Arial" w:cs="Arial"/>
                <w:color w:val="5B9BD5"/>
                <w:sz w:val="20"/>
                <w:szCs w:val="20"/>
                <w:lang w:val="pt-PT"/>
              </w:rPr>
              <w:t>Acção</w:t>
            </w:r>
            <w:proofErr w:type="spellEnd"/>
            <w:r w:rsidRPr="00292532">
              <w:rPr>
                <w:rFonts w:ascii="Arial" w:eastAsia="Calibri" w:hAnsi="Arial" w:cs="Arial"/>
                <w:color w:val="5B9BD5"/>
                <w:sz w:val="20"/>
                <w:szCs w:val="20"/>
                <w:lang w:val="pt-PT"/>
              </w:rPr>
              <w:t xml:space="preserve"> de Violência Baseada no Género </w:t>
            </w:r>
            <w:r w:rsidRPr="00292532">
              <w:rPr>
                <w:rFonts w:ascii="Arial" w:eastAsia="Calibri" w:hAnsi="Arial" w:cs="Arial"/>
                <w:color w:val="5B9BD5"/>
                <w:sz w:val="20"/>
                <w:lang w:val="pt-PT"/>
              </w:rPr>
              <w:t>(Anexo</w:t>
            </w:r>
            <w:r w:rsidR="000615DB" w:rsidRPr="00292532">
              <w:rPr>
                <w:rFonts w:ascii="Arial" w:eastAsia="Calibri" w:hAnsi="Arial" w:cs="Arial"/>
                <w:color w:val="5B9BD5"/>
                <w:sz w:val="20"/>
                <w:lang w:val="pt-PT"/>
              </w:rPr>
              <w:t xml:space="preserve"> 12</w:t>
            </w:r>
            <w:r w:rsidRPr="00292532">
              <w:rPr>
                <w:rFonts w:ascii="Arial" w:eastAsia="Calibri" w:hAnsi="Arial" w:cs="Arial"/>
                <w:color w:val="5B9BD5"/>
                <w:sz w:val="20"/>
                <w:lang w:val="pt-PT"/>
              </w:rPr>
              <w:t xml:space="preserve"> do QGAS).</w:t>
            </w:r>
          </w:p>
        </w:tc>
      </w:tr>
      <w:tr w:rsidR="00B31AE2" w:rsidRPr="004E2EAC" w14:paraId="0019C0B9" w14:textId="77777777" w:rsidTr="00B31AE2">
        <w:tc>
          <w:tcPr>
            <w:tcW w:w="2880" w:type="dxa"/>
            <w:tcBorders>
              <w:top w:val="single" w:sz="4" w:space="0" w:color="auto"/>
              <w:bottom w:val="single" w:sz="4" w:space="0" w:color="auto"/>
            </w:tcBorders>
            <w:shd w:val="clear" w:color="auto" w:fill="auto"/>
            <w:vAlign w:val="center"/>
          </w:tcPr>
          <w:p w14:paraId="35387113" w14:textId="77777777" w:rsidR="00B31AE2" w:rsidRPr="00292532" w:rsidRDefault="00B31AE2" w:rsidP="00B31AE2">
            <w:pPr>
              <w:rPr>
                <w:rFonts w:ascii="Arial" w:eastAsia="Calibri" w:hAnsi="Arial" w:cs="Arial"/>
                <w:color w:val="000000"/>
                <w:sz w:val="20"/>
                <w:szCs w:val="20"/>
                <w:lang w:val="pt-PT"/>
              </w:rPr>
            </w:pPr>
            <w:r w:rsidRPr="00292532">
              <w:rPr>
                <w:rFonts w:ascii="Arial" w:eastAsia="Calibri" w:hAnsi="Arial" w:cs="Arial"/>
                <w:color w:val="000000"/>
                <w:sz w:val="20"/>
                <w:lang w:val="pt-PT"/>
              </w:rPr>
              <w:t>Contratação de mão de obra infantil</w:t>
            </w:r>
          </w:p>
        </w:tc>
        <w:tc>
          <w:tcPr>
            <w:tcW w:w="6570" w:type="dxa"/>
            <w:tcBorders>
              <w:top w:val="single" w:sz="4" w:space="0" w:color="auto"/>
              <w:bottom w:val="single" w:sz="4" w:space="0" w:color="auto"/>
            </w:tcBorders>
            <w:vAlign w:val="center"/>
          </w:tcPr>
          <w:p w14:paraId="5156C0F1" w14:textId="38FF2F90"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É estritamente proibida a contratação de mão de obra com idade menor de 1</w:t>
            </w:r>
            <w:r w:rsidR="00CD1C60" w:rsidRPr="00292532">
              <w:rPr>
                <w:rFonts w:ascii="Arial" w:eastAsia="Calibri" w:hAnsi="Arial" w:cs="Arial"/>
                <w:color w:val="000000"/>
                <w:sz w:val="20"/>
                <w:szCs w:val="20"/>
                <w:lang w:val="pt-PT"/>
              </w:rPr>
              <w:t>5</w:t>
            </w:r>
            <w:r w:rsidRPr="00292532">
              <w:rPr>
                <w:rFonts w:ascii="Arial" w:eastAsia="Calibri" w:hAnsi="Arial" w:cs="Arial"/>
                <w:color w:val="000000"/>
                <w:sz w:val="20"/>
                <w:szCs w:val="20"/>
                <w:lang w:val="pt-PT"/>
              </w:rPr>
              <w:t xml:space="preserve"> anos para as </w:t>
            </w:r>
            <w:proofErr w:type="spellStart"/>
            <w:r w:rsidRPr="00292532">
              <w:rPr>
                <w:rFonts w:ascii="Arial" w:eastAsia="Calibri" w:hAnsi="Arial" w:cs="Arial"/>
                <w:color w:val="000000"/>
                <w:sz w:val="20"/>
                <w:szCs w:val="20"/>
                <w:lang w:val="pt-PT"/>
              </w:rPr>
              <w:t>actividades</w:t>
            </w:r>
            <w:proofErr w:type="spellEnd"/>
            <w:r w:rsidRPr="00292532">
              <w:rPr>
                <w:rFonts w:ascii="Arial" w:eastAsia="Calibri" w:hAnsi="Arial" w:cs="Arial"/>
                <w:color w:val="000000"/>
                <w:sz w:val="20"/>
                <w:szCs w:val="20"/>
                <w:lang w:val="pt-PT"/>
              </w:rPr>
              <w:t xml:space="preserve"> do </w:t>
            </w:r>
            <w:proofErr w:type="spellStart"/>
            <w:r w:rsidRPr="00292532">
              <w:rPr>
                <w:rFonts w:ascii="Arial" w:eastAsia="Calibri" w:hAnsi="Arial" w:cs="Arial"/>
                <w:color w:val="000000"/>
                <w:sz w:val="20"/>
                <w:szCs w:val="20"/>
                <w:lang w:val="pt-PT"/>
              </w:rPr>
              <w:t>projecto</w:t>
            </w:r>
            <w:proofErr w:type="spellEnd"/>
            <w:r w:rsidRPr="00292532">
              <w:rPr>
                <w:rFonts w:ascii="Arial" w:eastAsia="Calibri" w:hAnsi="Arial" w:cs="Arial"/>
                <w:color w:val="000000"/>
                <w:sz w:val="20"/>
                <w:szCs w:val="20"/>
                <w:lang w:val="pt-PT"/>
              </w:rPr>
              <w:t>.</w:t>
            </w:r>
          </w:p>
          <w:p w14:paraId="562284AB" w14:textId="7A7CD06D" w:rsidR="00CD1C60" w:rsidRPr="00292532" w:rsidRDefault="00CD1C60" w:rsidP="004500AE">
            <w:pPr>
              <w:pStyle w:val="ListParagraph"/>
              <w:numPr>
                <w:ilvl w:val="0"/>
                <w:numId w:val="123"/>
              </w:numPr>
              <w:spacing w:line="276" w:lineRule="auto"/>
              <w:ind w:left="42" w:hanging="142"/>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A contratação de menores em idade laboral (15-18 anos) deverá ser </w:t>
            </w:r>
            <w:proofErr w:type="spellStart"/>
            <w:r w:rsidRPr="00292532">
              <w:rPr>
                <w:rFonts w:ascii="Arial" w:eastAsia="Calibri" w:hAnsi="Arial" w:cs="Arial"/>
                <w:color w:val="000000"/>
                <w:sz w:val="20"/>
                <w:szCs w:val="20"/>
                <w:lang w:val="pt-PT"/>
              </w:rPr>
              <w:t>efectuada</w:t>
            </w:r>
            <w:proofErr w:type="spellEnd"/>
            <w:r w:rsidRPr="00292532">
              <w:rPr>
                <w:rFonts w:ascii="Arial" w:eastAsia="Calibri" w:hAnsi="Arial" w:cs="Arial"/>
                <w:color w:val="000000"/>
                <w:sz w:val="20"/>
                <w:szCs w:val="20"/>
                <w:lang w:val="pt-PT"/>
              </w:rPr>
              <w:t xml:space="preserve"> depois de atendidas as disposições presentes na secção 8.3.</w:t>
            </w:r>
          </w:p>
          <w:p w14:paraId="5203E7C7" w14:textId="7BA72424" w:rsidR="00394206" w:rsidRPr="00292532" w:rsidRDefault="00044F05"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Verificação</w:t>
            </w:r>
            <w:r w:rsidR="00394206" w:rsidRPr="00292532">
              <w:rPr>
                <w:rFonts w:ascii="Arial" w:eastAsia="Calibri" w:hAnsi="Arial" w:cs="Arial"/>
                <w:color w:val="000000"/>
                <w:sz w:val="20"/>
                <w:szCs w:val="20"/>
                <w:lang w:val="pt-PT"/>
              </w:rPr>
              <w:t xml:space="preserve"> sistemática da idade dos trabalhadores </w:t>
            </w:r>
          </w:p>
          <w:p w14:paraId="0834ABA1"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Capacitação sobre questões relacionadas ao trabalho infantil e violência contra criança (VCC) e o seu desencorajamento.</w:t>
            </w:r>
          </w:p>
          <w:p w14:paraId="67A8FD4D"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lastRenderedPageBreak/>
              <w:t xml:space="preserve">Capacitação dos funcionários (trabalhadores </w:t>
            </w:r>
            <w:proofErr w:type="spellStart"/>
            <w:r w:rsidRPr="00292532">
              <w:rPr>
                <w:rFonts w:ascii="Arial" w:eastAsia="Calibri" w:hAnsi="Arial" w:cs="Arial"/>
                <w:color w:val="000000"/>
                <w:sz w:val="20"/>
                <w:szCs w:val="20"/>
                <w:lang w:val="pt-PT"/>
              </w:rPr>
              <w:t>directos</w:t>
            </w:r>
            <w:proofErr w:type="spellEnd"/>
            <w:r w:rsidRPr="00292532">
              <w:rPr>
                <w:rFonts w:ascii="Arial" w:eastAsia="Calibri" w:hAnsi="Arial" w:cs="Arial"/>
                <w:color w:val="000000"/>
                <w:sz w:val="20"/>
                <w:szCs w:val="20"/>
                <w:lang w:val="pt-PT"/>
              </w:rPr>
              <w:t xml:space="preserve">, contractados, comunitários e de fornecimento </w:t>
            </w:r>
            <w:proofErr w:type="spellStart"/>
            <w:r w:rsidRPr="00292532">
              <w:rPr>
                <w:rFonts w:ascii="Arial" w:eastAsia="Calibri" w:hAnsi="Arial" w:cs="Arial"/>
                <w:color w:val="000000"/>
                <w:sz w:val="20"/>
                <w:szCs w:val="20"/>
                <w:lang w:val="pt-PT"/>
              </w:rPr>
              <w:t>directo</w:t>
            </w:r>
            <w:proofErr w:type="spellEnd"/>
            <w:r w:rsidRPr="00292532">
              <w:rPr>
                <w:rFonts w:ascii="Arial" w:eastAsia="Calibri" w:hAnsi="Arial" w:cs="Arial"/>
                <w:color w:val="000000"/>
                <w:sz w:val="20"/>
                <w:szCs w:val="20"/>
                <w:lang w:val="pt-PT"/>
              </w:rPr>
              <w:t>) para que não se envolvam e não promovam o trabalho infantil e VCC.</w:t>
            </w:r>
          </w:p>
          <w:p w14:paraId="590A6D8E"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Disponibilização e divulgação do código de conduta e explicação do mesmo sobre sanções para casos de uso de mão de obra infantil.</w:t>
            </w:r>
          </w:p>
        </w:tc>
      </w:tr>
      <w:tr w:rsidR="00B31AE2" w:rsidRPr="004E2EAC" w14:paraId="530F3E0C" w14:textId="77777777" w:rsidTr="00B31AE2">
        <w:tc>
          <w:tcPr>
            <w:tcW w:w="2880" w:type="dxa"/>
            <w:tcBorders>
              <w:top w:val="single" w:sz="4" w:space="0" w:color="auto"/>
              <w:bottom w:val="single" w:sz="4" w:space="0" w:color="auto"/>
            </w:tcBorders>
            <w:vAlign w:val="center"/>
          </w:tcPr>
          <w:p w14:paraId="77032E67" w14:textId="77777777" w:rsidR="00B31AE2" w:rsidRPr="00292532" w:rsidRDefault="00B31AE2" w:rsidP="00B31AE2">
            <w:pPr>
              <w:rPr>
                <w:rFonts w:ascii="Arial" w:eastAsia="Calibri" w:hAnsi="Arial" w:cs="Arial"/>
                <w:color w:val="000000"/>
                <w:sz w:val="20"/>
                <w:lang w:val="pt-PT"/>
              </w:rPr>
            </w:pPr>
            <w:r w:rsidRPr="00292532">
              <w:rPr>
                <w:rFonts w:ascii="Arial" w:eastAsia="Calibri" w:hAnsi="Arial" w:cs="Arial"/>
                <w:color w:val="000000"/>
                <w:sz w:val="20"/>
                <w:lang w:val="pt-PT"/>
              </w:rPr>
              <w:lastRenderedPageBreak/>
              <w:t>Incidência de trabalho forçado</w:t>
            </w:r>
          </w:p>
        </w:tc>
        <w:tc>
          <w:tcPr>
            <w:tcW w:w="6570" w:type="dxa"/>
            <w:tcBorders>
              <w:top w:val="single" w:sz="4" w:space="0" w:color="auto"/>
              <w:bottom w:val="single" w:sz="4" w:space="0" w:color="auto"/>
            </w:tcBorders>
            <w:vAlign w:val="center"/>
          </w:tcPr>
          <w:p w14:paraId="50182446"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Proibição estrita do trabalho forçado ou </w:t>
            </w:r>
            <w:proofErr w:type="spellStart"/>
            <w:r w:rsidRPr="00292532">
              <w:rPr>
                <w:rFonts w:ascii="Arial" w:eastAsia="Calibri" w:hAnsi="Arial" w:cs="Arial"/>
                <w:color w:val="000000"/>
                <w:sz w:val="20"/>
                <w:szCs w:val="20"/>
                <w:lang w:val="pt-PT"/>
              </w:rPr>
              <w:t>acções</w:t>
            </w:r>
            <w:proofErr w:type="spellEnd"/>
            <w:r w:rsidRPr="00292532">
              <w:rPr>
                <w:rFonts w:ascii="Arial" w:eastAsia="Calibri" w:hAnsi="Arial" w:cs="Arial"/>
                <w:color w:val="000000"/>
                <w:sz w:val="20"/>
                <w:szCs w:val="20"/>
                <w:lang w:val="pt-PT"/>
              </w:rPr>
              <w:t xml:space="preserve"> que levam ao trabalho forçado.</w:t>
            </w:r>
          </w:p>
          <w:p w14:paraId="49346679"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Disponibilização de MGR para encaminhamento de casos de trabalho forçado.</w:t>
            </w:r>
          </w:p>
          <w:p w14:paraId="7A4C1003"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Disponibilização de contractos escritos com todos os trabalhadores em todos os níveis (incluindo trabalhadores temporários), definindo tarefas, responsabilidades, duração do contracto, horas de trabalho, salário e outros </w:t>
            </w:r>
            <w:proofErr w:type="spellStart"/>
            <w:r w:rsidRPr="00292532">
              <w:rPr>
                <w:rFonts w:ascii="Arial" w:eastAsia="Calibri" w:hAnsi="Arial" w:cs="Arial"/>
                <w:color w:val="000000"/>
                <w:sz w:val="20"/>
                <w:szCs w:val="20"/>
                <w:lang w:val="pt-PT"/>
              </w:rPr>
              <w:t>aspectos</w:t>
            </w:r>
            <w:proofErr w:type="spellEnd"/>
            <w:r w:rsidRPr="00292532">
              <w:rPr>
                <w:rFonts w:ascii="Arial" w:eastAsia="Calibri" w:hAnsi="Arial" w:cs="Arial"/>
                <w:color w:val="000000"/>
                <w:sz w:val="20"/>
                <w:szCs w:val="20"/>
                <w:lang w:val="pt-PT"/>
              </w:rPr>
              <w:t xml:space="preserve"> relevantes.</w:t>
            </w:r>
          </w:p>
        </w:tc>
      </w:tr>
      <w:tr w:rsidR="00B31AE2" w:rsidRPr="004E2EAC" w14:paraId="272735AB" w14:textId="77777777" w:rsidTr="00B31AE2">
        <w:tc>
          <w:tcPr>
            <w:tcW w:w="2880" w:type="dxa"/>
            <w:tcBorders>
              <w:top w:val="single" w:sz="4" w:space="0" w:color="auto"/>
              <w:bottom w:val="single" w:sz="4" w:space="0" w:color="auto"/>
            </w:tcBorders>
            <w:vAlign w:val="center"/>
          </w:tcPr>
          <w:p w14:paraId="0ACC2F0D" w14:textId="77777777" w:rsidR="00B31AE2" w:rsidRPr="00292532" w:rsidRDefault="00B31AE2" w:rsidP="00B31AE2">
            <w:pPr>
              <w:rPr>
                <w:rFonts w:ascii="Arial" w:eastAsia="Calibri" w:hAnsi="Arial" w:cs="Arial"/>
                <w:color w:val="000000"/>
                <w:sz w:val="20"/>
                <w:lang w:val="pt-PT"/>
              </w:rPr>
            </w:pPr>
            <w:r w:rsidRPr="00292532">
              <w:rPr>
                <w:rFonts w:ascii="Arial" w:eastAsia="Calibri" w:hAnsi="Arial" w:cs="Arial"/>
                <w:color w:val="000000"/>
                <w:sz w:val="20"/>
                <w:lang w:val="pt-PT"/>
              </w:rPr>
              <w:t>Soterramento</w:t>
            </w:r>
          </w:p>
        </w:tc>
        <w:tc>
          <w:tcPr>
            <w:tcW w:w="6570" w:type="dxa"/>
            <w:tcBorders>
              <w:top w:val="single" w:sz="4" w:space="0" w:color="auto"/>
              <w:bottom w:val="single" w:sz="4" w:space="0" w:color="auto"/>
            </w:tcBorders>
            <w:vAlign w:val="center"/>
          </w:tcPr>
          <w:p w14:paraId="5635AD49"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Todos os materiais resultantes das escavações, assim como materiais/inertes a transportar, devem ser afastados da zona de trabalho.</w:t>
            </w:r>
          </w:p>
          <w:p w14:paraId="64459FC3"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Proibição de circulação de veículos junto aos bordos das escavações.</w:t>
            </w:r>
          </w:p>
          <w:p w14:paraId="5E0ED84D"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Proibição de sobrecarga nos bordos das escavações.</w:t>
            </w:r>
          </w:p>
          <w:p w14:paraId="7A8CE15A"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Demarcação dos locais de escavação e vedação para proteger terceiros.</w:t>
            </w:r>
          </w:p>
          <w:p w14:paraId="09AE42AB"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Durante as escavações, </w:t>
            </w:r>
            <w:proofErr w:type="spellStart"/>
            <w:r w:rsidRPr="00292532">
              <w:rPr>
                <w:rFonts w:ascii="Arial" w:eastAsia="Calibri" w:hAnsi="Arial" w:cs="Arial"/>
                <w:color w:val="000000"/>
                <w:sz w:val="20"/>
                <w:szCs w:val="20"/>
                <w:lang w:val="pt-PT"/>
              </w:rPr>
              <w:t>adoptar</w:t>
            </w:r>
            <w:proofErr w:type="spellEnd"/>
            <w:r w:rsidRPr="00292532">
              <w:rPr>
                <w:rFonts w:ascii="Arial" w:eastAsia="Calibri" w:hAnsi="Arial" w:cs="Arial"/>
                <w:color w:val="000000"/>
                <w:sz w:val="20"/>
                <w:szCs w:val="20"/>
                <w:lang w:val="pt-PT"/>
              </w:rPr>
              <w:t xml:space="preserve"> a solução de contenção mais adequada tendo em atenção os seguintes </w:t>
            </w:r>
            <w:proofErr w:type="spellStart"/>
            <w:r w:rsidRPr="00292532">
              <w:rPr>
                <w:rFonts w:ascii="Arial" w:eastAsia="Calibri" w:hAnsi="Arial" w:cs="Arial"/>
                <w:color w:val="000000"/>
                <w:sz w:val="20"/>
                <w:szCs w:val="20"/>
                <w:lang w:val="pt-PT"/>
              </w:rPr>
              <w:t>factores</w:t>
            </w:r>
            <w:proofErr w:type="spellEnd"/>
            <w:r w:rsidRPr="00292532">
              <w:rPr>
                <w:rFonts w:ascii="Arial" w:eastAsia="Calibri" w:hAnsi="Arial" w:cs="Arial"/>
                <w:color w:val="000000"/>
                <w:sz w:val="20"/>
                <w:szCs w:val="20"/>
                <w:lang w:val="pt-PT"/>
              </w:rPr>
              <w:t>: coesão do terreno, o nível do lençol freático e as condições acidentais previsíveis (possíveis fedas ou instabilidade do solo).</w:t>
            </w:r>
          </w:p>
          <w:p w14:paraId="7D404F18"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Se uma escavação for </w:t>
            </w:r>
            <w:proofErr w:type="spellStart"/>
            <w:r w:rsidRPr="00292532">
              <w:rPr>
                <w:rFonts w:ascii="Arial" w:eastAsia="Calibri" w:hAnsi="Arial" w:cs="Arial"/>
                <w:color w:val="000000"/>
                <w:sz w:val="20"/>
                <w:szCs w:val="20"/>
                <w:lang w:val="pt-PT"/>
              </w:rPr>
              <w:t>susceptível</w:t>
            </w:r>
            <w:proofErr w:type="spellEnd"/>
            <w:r w:rsidRPr="00292532">
              <w:rPr>
                <w:rFonts w:ascii="Arial" w:eastAsia="Calibri" w:hAnsi="Arial" w:cs="Arial"/>
                <w:color w:val="000000"/>
                <w:sz w:val="20"/>
                <w:szCs w:val="20"/>
                <w:lang w:val="pt-PT"/>
              </w:rPr>
              <w:t xml:space="preserve"> de </w:t>
            </w:r>
            <w:proofErr w:type="spellStart"/>
            <w:r w:rsidRPr="00292532">
              <w:rPr>
                <w:rFonts w:ascii="Arial" w:eastAsia="Calibri" w:hAnsi="Arial" w:cs="Arial"/>
                <w:color w:val="000000"/>
                <w:sz w:val="20"/>
                <w:szCs w:val="20"/>
                <w:lang w:val="pt-PT"/>
              </w:rPr>
              <w:t>afectar</w:t>
            </w:r>
            <w:proofErr w:type="spellEnd"/>
            <w:r w:rsidRPr="00292532">
              <w:rPr>
                <w:rFonts w:ascii="Arial" w:eastAsia="Calibri" w:hAnsi="Arial" w:cs="Arial"/>
                <w:color w:val="000000"/>
                <w:sz w:val="20"/>
                <w:szCs w:val="20"/>
                <w:lang w:val="pt-PT"/>
              </w:rPr>
              <w:t xml:space="preserve"> a segurança de uma estrutura em que estão a decorrer os trabalhos, todos devem ser evacuados e devem ser tomadas precauções para proteger a estrutura do colapso, fornecendo escoramento. </w:t>
            </w:r>
          </w:p>
        </w:tc>
      </w:tr>
      <w:tr w:rsidR="00B31AE2" w:rsidRPr="004E2EAC" w14:paraId="13E1C5C8" w14:textId="77777777" w:rsidTr="00B31AE2">
        <w:tc>
          <w:tcPr>
            <w:tcW w:w="2880" w:type="dxa"/>
            <w:tcBorders>
              <w:top w:val="single" w:sz="4" w:space="0" w:color="auto"/>
              <w:bottom w:val="single" w:sz="4" w:space="0" w:color="auto"/>
            </w:tcBorders>
            <w:vAlign w:val="center"/>
          </w:tcPr>
          <w:p w14:paraId="2642B4F8" w14:textId="77777777" w:rsidR="00B31AE2" w:rsidRPr="00292532" w:rsidRDefault="00B31AE2" w:rsidP="00B31AE2">
            <w:pPr>
              <w:rPr>
                <w:rFonts w:ascii="Arial" w:eastAsia="Calibri" w:hAnsi="Arial" w:cs="Arial"/>
                <w:color w:val="000000"/>
                <w:sz w:val="20"/>
                <w:lang w:val="pt-PT"/>
              </w:rPr>
            </w:pPr>
            <w:r w:rsidRPr="00292532">
              <w:rPr>
                <w:rFonts w:ascii="Arial" w:eastAsia="Calibri" w:hAnsi="Arial" w:cs="Arial"/>
                <w:color w:val="000000"/>
                <w:sz w:val="20"/>
                <w:lang w:val="pt-PT"/>
              </w:rPr>
              <w:t>Ocorrência de acidentes de trabalho (queimaduras, ablação, quedas, problemas de postura, contusões, distensões musculares, etc.)</w:t>
            </w:r>
          </w:p>
          <w:p w14:paraId="68254B62" w14:textId="77777777" w:rsidR="00B31AE2" w:rsidRPr="00292532" w:rsidRDefault="00B31AE2" w:rsidP="00B31AE2">
            <w:pPr>
              <w:rPr>
                <w:rFonts w:ascii="Arial" w:eastAsia="Calibri" w:hAnsi="Arial" w:cs="Arial"/>
                <w:color w:val="000000"/>
                <w:sz w:val="20"/>
                <w:szCs w:val="20"/>
                <w:lang w:val="pt-PT"/>
              </w:rPr>
            </w:pPr>
          </w:p>
        </w:tc>
        <w:tc>
          <w:tcPr>
            <w:tcW w:w="6570" w:type="dxa"/>
            <w:tcBorders>
              <w:top w:val="single" w:sz="4" w:space="0" w:color="auto"/>
              <w:bottom w:val="single" w:sz="4" w:space="0" w:color="auto"/>
            </w:tcBorders>
          </w:tcPr>
          <w:p w14:paraId="79C9DEC4"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Substâncias inflamáveis devem ser mantidas em local protegido do calor e de qualquer fonte de ignição, em áreas de acesso restrito e com sinaléticas de proibição de fumar.</w:t>
            </w:r>
          </w:p>
          <w:p w14:paraId="5074022F"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Não utilizar ferramentas pontiagudas para sondar cabos </w:t>
            </w:r>
            <w:proofErr w:type="spellStart"/>
            <w:r w:rsidRPr="00292532">
              <w:rPr>
                <w:rFonts w:ascii="Arial" w:eastAsia="Calibri" w:hAnsi="Arial" w:cs="Arial"/>
                <w:color w:val="000000"/>
                <w:sz w:val="20"/>
                <w:szCs w:val="20"/>
                <w:lang w:val="pt-PT"/>
              </w:rPr>
              <w:t>eléctricos</w:t>
            </w:r>
            <w:proofErr w:type="spellEnd"/>
            <w:r w:rsidRPr="00292532">
              <w:rPr>
                <w:rFonts w:ascii="Arial" w:eastAsia="Calibri" w:hAnsi="Arial" w:cs="Arial"/>
                <w:color w:val="000000"/>
                <w:sz w:val="20"/>
                <w:szCs w:val="20"/>
                <w:lang w:val="pt-PT"/>
              </w:rPr>
              <w:t xml:space="preserve"> subterrâneos.</w:t>
            </w:r>
          </w:p>
          <w:p w14:paraId="0D849E04"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Devem ser garantidas formações e capacitações em diferentes níveis sobre o manuseio de substâncias, equipamentos e materiais perigosos.</w:t>
            </w:r>
          </w:p>
          <w:p w14:paraId="33AECA3C" w14:textId="30D07B62"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Sempre que possível, devem ser realizadas formações sobre prestação de primeiros socorros e a identificação de responsável em prestar os primeiros socorros.</w:t>
            </w:r>
          </w:p>
          <w:p w14:paraId="53911DE9"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Implementação de código de conduta (proibição de uso ou consumo de álcool, drogas ou outras substâncias, </w:t>
            </w:r>
            <w:proofErr w:type="spellStart"/>
            <w:r w:rsidRPr="00292532">
              <w:rPr>
                <w:rFonts w:ascii="Arial" w:eastAsia="Calibri" w:hAnsi="Arial" w:cs="Arial"/>
                <w:color w:val="000000"/>
                <w:sz w:val="20"/>
                <w:szCs w:val="20"/>
                <w:lang w:val="pt-PT"/>
              </w:rPr>
              <w:t>acções</w:t>
            </w:r>
            <w:proofErr w:type="spellEnd"/>
            <w:r w:rsidRPr="00292532">
              <w:rPr>
                <w:rFonts w:ascii="Arial" w:eastAsia="Calibri" w:hAnsi="Arial" w:cs="Arial"/>
                <w:color w:val="000000"/>
                <w:sz w:val="20"/>
                <w:szCs w:val="20"/>
                <w:lang w:val="pt-PT"/>
              </w:rPr>
              <w:t xml:space="preserve"> ilegais, comportamento irresponsável e falta de cuidado no local de trabalho).</w:t>
            </w:r>
          </w:p>
          <w:p w14:paraId="013563BE"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Os trabalhadores devem dispor de </w:t>
            </w:r>
            <w:bookmarkStart w:id="1173" w:name="_Hlk74875643"/>
            <w:r w:rsidRPr="00292532">
              <w:rPr>
                <w:rFonts w:ascii="Arial" w:eastAsia="Calibri" w:hAnsi="Arial" w:cs="Arial"/>
                <w:color w:val="000000"/>
                <w:sz w:val="20"/>
                <w:szCs w:val="20"/>
                <w:lang w:val="pt-PT"/>
              </w:rPr>
              <w:t xml:space="preserve">equipamentos de </w:t>
            </w:r>
            <w:proofErr w:type="spellStart"/>
            <w:r w:rsidRPr="00292532">
              <w:rPr>
                <w:rFonts w:ascii="Arial" w:eastAsia="Calibri" w:hAnsi="Arial" w:cs="Arial"/>
                <w:color w:val="000000"/>
                <w:sz w:val="20"/>
                <w:szCs w:val="20"/>
                <w:lang w:val="pt-PT"/>
              </w:rPr>
              <w:t>protecção</w:t>
            </w:r>
            <w:proofErr w:type="spellEnd"/>
            <w:r w:rsidRPr="00292532">
              <w:rPr>
                <w:rFonts w:ascii="Arial" w:eastAsia="Calibri" w:hAnsi="Arial" w:cs="Arial"/>
                <w:color w:val="000000"/>
                <w:sz w:val="20"/>
                <w:szCs w:val="20"/>
                <w:lang w:val="pt-PT"/>
              </w:rPr>
              <w:t xml:space="preserve"> individual (EPI)</w:t>
            </w:r>
            <w:bookmarkEnd w:id="1173"/>
            <w:r w:rsidRPr="00292532">
              <w:rPr>
                <w:rFonts w:ascii="Arial" w:eastAsia="Calibri" w:hAnsi="Arial" w:cs="Arial"/>
                <w:color w:val="000000"/>
                <w:sz w:val="20"/>
                <w:szCs w:val="20"/>
                <w:lang w:val="pt-PT"/>
              </w:rPr>
              <w:t xml:space="preserve"> adequados às suas </w:t>
            </w:r>
            <w:proofErr w:type="spellStart"/>
            <w:r w:rsidRPr="00292532">
              <w:rPr>
                <w:rFonts w:ascii="Arial" w:eastAsia="Calibri" w:hAnsi="Arial" w:cs="Arial"/>
                <w:color w:val="000000"/>
                <w:sz w:val="20"/>
                <w:szCs w:val="20"/>
                <w:lang w:val="pt-PT"/>
              </w:rPr>
              <w:t>actividades</w:t>
            </w:r>
            <w:proofErr w:type="spellEnd"/>
            <w:r w:rsidRPr="00292532">
              <w:rPr>
                <w:rFonts w:ascii="Arial" w:eastAsia="Calibri" w:hAnsi="Arial" w:cs="Arial"/>
                <w:color w:val="000000"/>
                <w:sz w:val="20"/>
                <w:szCs w:val="20"/>
                <w:lang w:val="pt-PT"/>
              </w:rPr>
              <w:t xml:space="preserve"> e aos principais riscos associados.</w:t>
            </w:r>
          </w:p>
          <w:p w14:paraId="7840194E"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Os trabalhadores devem ser treinados a fazer a manutenção adequada do EPI, limpando os sujos e substituindo os danificados (o empregador deve atribuir). </w:t>
            </w:r>
          </w:p>
          <w:p w14:paraId="4E17C8C3"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Assegurar que áreas em obra ou com algum outro risco de saúde e segurança, estejam vedadas à entrada de pessoas não autorizadas e não treinadas/induzidas.</w:t>
            </w:r>
          </w:p>
          <w:p w14:paraId="017DB6C9"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lastRenderedPageBreak/>
              <w:t>Garantir a organização dos materiais ou equipamentos para que não apresentem riscos para o trabalhador.</w:t>
            </w:r>
          </w:p>
          <w:p w14:paraId="4ED9FD9B"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Arrumação de materiais e equipamentos de forma ordenada.</w:t>
            </w:r>
          </w:p>
          <w:p w14:paraId="1BE3132E"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Não estarem pessoas debaixo de cargas suspensas.</w:t>
            </w:r>
          </w:p>
          <w:p w14:paraId="716391EB"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Assegurar a disponibilidade de equipamentos de combate ao incêndio em áreas estratégicas.</w:t>
            </w:r>
          </w:p>
        </w:tc>
      </w:tr>
      <w:tr w:rsidR="00B31AE2" w:rsidRPr="00292532" w14:paraId="70A84B1E" w14:textId="77777777" w:rsidTr="00B31AE2">
        <w:tc>
          <w:tcPr>
            <w:tcW w:w="2880" w:type="dxa"/>
            <w:tcBorders>
              <w:top w:val="single" w:sz="4" w:space="0" w:color="auto"/>
              <w:bottom w:val="single" w:sz="4" w:space="0" w:color="auto"/>
            </w:tcBorders>
            <w:vAlign w:val="center"/>
          </w:tcPr>
          <w:p w14:paraId="576D423A" w14:textId="77777777" w:rsidR="00B31AE2" w:rsidRPr="00292532" w:rsidRDefault="00B31AE2" w:rsidP="00B31AE2">
            <w:pPr>
              <w:rPr>
                <w:rFonts w:ascii="Arial" w:eastAsia="Calibri" w:hAnsi="Arial" w:cs="Arial"/>
                <w:color w:val="000000"/>
                <w:sz w:val="20"/>
                <w:lang w:val="pt-PT"/>
              </w:rPr>
            </w:pPr>
            <w:r w:rsidRPr="00292532">
              <w:rPr>
                <w:rFonts w:ascii="Arial" w:eastAsia="Calibri" w:hAnsi="Arial" w:cs="Arial"/>
                <w:color w:val="000000"/>
                <w:sz w:val="20"/>
                <w:lang w:val="pt-PT"/>
              </w:rPr>
              <w:lastRenderedPageBreak/>
              <w:t xml:space="preserve">Exposição a ruídos intensos </w:t>
            </w:r>
          </w:p>
        </w:tc>
        <w:tc>
          <w:tcPr>
            <w:tcW w:w="6570" w:type="dxa"/>
            <w:tcBorders>
              <w:top w:val="single" w:sz="4" w:space="0" w:color="auto"/>
              <w:bottom w:val="single" w:sz="4" w:space="0" w:color="auto"/>
            </w:tcBorders>
          </w:tcPr>
          <w:p w14:paraId="15928A3B"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Programas de treinamentos e sensibilização sobre os riscos que advém do ruído prolongado.</w:t>
            </w:r>
          </w:p>
          <w:p w14:paraId="31CDC723"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Aquisição de equipamentos com baixos níveis de ruido sempre que possível.</w:t>
            </w:r>
          </w:p>
          <w:p w14:paraId="3E5D4B0E"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Distribuir equipamentos de </w:t>
            </w:r>
            <w:proofErr w:type="spellStart"/>
            <w:r w:rsidRPr="00292532">
              <w:rPr>
                <w:rFonts w:ascii="Arial" w:eastAsia="Calibri" w:hAnsi="Arial" w:cs="Arial"/>
                <w:color w:val="000000"/>
                <w:sz w:val="20"/>
                <w:szCs w:val="20"/>
                <w:lang w:val="pt-PT"/>
              </w:rPr>
              <w:t>protecção</w:t>
            </w:r>
            <w:proofErr w:type="spellEnd"/>
            <w:r w:rsidRPr="00292532">
              <w:rPr>
                <w:rFonts w:ascii="Arial" w:eastAsia="Calibri" w:hAnsi="Arial" w:cs="Arial"/>
                <w:color w:val="000000"/>
                <w:sz w:val="20"/>
                <w:szCs w:val="20"/>
                <w:lang w:val="pt-PT"/>
              </w:rPr>
              <w:t xml:space="preserve"> adequados para o risco.</w:t>
            </w:r>
          </w:p>
          <w:p w14:paraId="1C151A8D"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Garantir a fiscalização.</w:t>
            </w:r>
          </w:p>
        </w:tc>
      </w:tr>
      <w:tr w:rsidR="00B31AE2" w:rsidRPr="004E2EAC" w14:paraId="291E6015" w14:textId="77777777" w:rsidTr="00B31AE2">
        <w:tc>
          <w:tcPr>
            <w:tcW w:w="2880" w:type="dxa"/>
            <w:tcBorders>
              <w:top w:val="single" w:sz="4" w:space="0" w:color="auto"/>
              <w:bottom w:val="single" w:sz="4" w:space="0" w:color="auto"/>
            </w:tcBorders>
            <w:vAlign w:val="center"/>
          </w:tcPr>
          <w:p w14:paraId="0356AB13" w14:textId="77777777" w:rsidR="00B31AE2" w:rsidRPr="00292532" w:rsidRDefault="00B31AE2" w:rsidP="00B31AE2">
            <w:pPr>
              <w:rPr>
                <w:rFonts w:ascii="Arial" w:eastAsia="Calibri" w:hAnsi="Arial" w:cs="Arial"/>
                <w:color w:val="000000"/>
                <w:sz w:val="20"/>
                <w:lang w:val="pt-PT"/>
              </w:rPr>
            </w:pPr>
            <w:r w:rsidRPr="00292532">
              <w:rPr>
                <w:rFonts w:ascii="Arial" w:eastAsia="Calibri" w:hAnsi="Arial" w:cs="Arial"/>
                <w:color w:val="000000"/>
                <w:sz w:val="20"/>
                <w:lang w:val="pt-PT"/>
              </w:rPr>
              <w:t>Exposição a substâncias perigosas</w:t>
            </w:r>
          </w:p>
        </w:tc>
        <w:tc>
          <w:tcPr>
            <w:tcW w:w="6570" w:type="dxa"/>
            <w:tcBorders>
              <w:top w:val="single" w:sz="4" w:space="0" w:color="auto"/>
              <w:bottom w:val="single" w:sz="4" w:space="0" w:color="auto"/>
            </w:tcBorders>
          </w:tcPr>
          <w:p w14:paraId="2EED9E0B"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Deve se evitar o uso de produtos químicos sem o devido acompanhamento/treinamento por especialistas.</w:t>
            </w:r>
          </w:p>
          <w:p w14:paraId="6CD4D0ED"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Caso seja necessário à sua utilização, deve-se controlar a segurança das entregas das substâncias perigosas, o armazenamento, transporte, utilização e eliminação.</w:t>
            </w:r>
          </w:p>
          <w:p w14:paraId="3B60187F"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Garantir o fornecimento de </w:t>
            </w:r>
            <w:proofErr w:type="spellStart"/>
            <w:r w:rsidRPr="00292532">
              <w:rPr>
                <w:rFonts w:ascii="Arial" w:eastAsia="Calibri" w:hAnsi="Arial" w:cs="Arial"/>
                <w:color w:val="000000"/>
                <w:sz w:val="20"/>
                <w:szCs w:val="20"/>
                <w:lang w:val="pt-PT"/>
              </w:rPr>
              <w:t>EPIs</w:t>
            </w:r>
            <w:proofErr w:type="spellEnd"/>
            <w:r w:rsidRPr="00292532">
              <w:rPr>
                <w:rFonts w:ascii="Arial" w:eastAsia="Calibri" w:hAnsi="Arial" w:cs="Arial"/>
                <w:color w:val="000000"/>
                <w:sz w:val="20"/>
                <w:szCs w:val="20"/>
                <w:lang w:val="pt-PT"/>
              </w:rPr>
              <w:t xml:space="preserve"> adequados para a tarefa e ao produto por manusear.</w:t>
            </w:r>
          </w:p>
          <w:p w14:paraId="70989879"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Treinar aos manuseadores sobre a ficha de segurança de produto químico que apresenta os cuidados e regras no transporte, armazenamento, em </w:t>
            </w:r>
            <w:proofErr w:type="spellStart"/>
            <w:r w:rsidRPr="00292532">
              <w:rPr>
                <w:rFonts w:ascii="Arial" w:eastAsia="Calibri" w:hAnsi="Arial" w:cs="Arial"/>
                <w:color w:val="000000"/>
                <w:sz w:val="20"/>
                <w:szCs w:val="20"/>
                <w:lang w:val="pt-PT"/>
              </w:rPr>
              <w:t>acções</w:t>
            </w:r>
            <w:proofErr w:type="spellEnd"/>
            <w:r w:rsidRPr="00292532">
              <w:rPr>
                <w:rFonts w:ascii="Arial" w:eastAsia="Calibri" w:hAnsi="Arial" w:cs="Arial"/>
                <w:color w:val="000000"/>
                <w:sz w:val="20"/>
                <w:szCs w:val="20"/>
                <w:lang w:val="pt-PT"/>
              </w:rPr>
              <w:t xml:space="preserve"> a realizar em caso de acidente, etc.</w:t>
            </w:r>
          </w:p>
        </w:tc>
      </w:tr>
      <w:tr w:rsidR="00B31AE2" w:rsidRPr="004E2EAC" w14:paraId="4E59DD4F" w14:textId="77777777" w:rsidTr="00B31AE2">
        <w:tc>
          <w:tcPr>
            <w:tcW w:w="2880" w:type="dxa"/>
            <w:tcBorders>
              <w:top w:val="single" w:sz="4" w:space="0" w:color="auto"/>
              <w:bottom w:val="single" w:sz="4" w:space="0" w:color="auto"/>
            </w:tcBorders>
            <w:vAlign w:val="center"/>
          </w:tcPr>
          <w:p w14:paraId="0D58BE81" w14:textId="77777777" w:rsidR="00B31AE2" w:rsidRPr="00292532" w:rsidRDefault="00B31AE2" w:rsidP="00B31AE2">
            <w:pPr>
              <w:rPr>
                <w:rFonts w:ascii="Arial" w:eastAsia="Calibri" w:hAnsi="Arial" w:cs="Arial"/>
                <w:color w:val="000000"/>
                <w:sz w:val="20"/>
                <w:lang w:val="pt-PT"/>
              </w:rPr>
            </w:pPr>
            <w:r w:rsidRPr="00292532">
              <w:rPr>
                <w:rFonts w:ascii="Arial" w:eastAsia="Calibri" w:hAnsi="Arial" w:cs="Arial"/>
                <w:color w:val="000000"/>
                <w:sz w:val="20"/>
                <w:lang w:val="pt-PT"/>
              </w:rPr>
              <w:t>Incidência da prostituição</w:t>
            </w:r>
          </w:p>
        </w:tc>
        <w:tc>
          <w:tcPr>
            <w:tcW w:w="6570" w:type="dxa"/>
            <w:tcBorders>
              <w:top w:val="single" w:sz="4" w:space="0" w:color="auto"/>
              <w:bottom w:val="single" w:sz="4" w:space="0" w:color="auto"/>
            </w:tcBorders>
          </w:tcPr>
          <w:p w14:paraId="2091092C"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Os trabalhadores devem ser sensibilizados a não apoiarem/submeterem-se a prostituição, para evitar o risco de serem acusados de envolvimento em </w:t>
            </w:r>
            <w:proofErr w:type="spellStart"/>
            <w:r w:rsidRPr="00292532">
              <w:rPr>
                <w:rFonts w:ascii="Arial" w:eastAsia="Calibri" w:hAnsi="Arial" w:cs="Arial"/>
                <w:color w:val="000000"/>
                <w:sz w:val="20"/>
                <w:szCs w:val="20"/>
                <w:lang w:val="pt-PT"/>
              </w:rPr>
              <w:t>acto</w:t>
            </w:r>
            <w:proofErr w:type="spellEnd"/>
            <w:r w:rsidRPr="00292532">
              <w:rPr>
                <w:rFonts w:ascii="Arial" w:eastAsia="Calibri" w:hAnsi="Arial" w:cs="Arial"/>
                <w:color w:val="000000"/>
                <w:sz w:val="20"/>
                <w:szCs w:val="20"/>
                <w:lang w:val="pt-PT"/>
              </w:rPr>
              <w:t xml:space="preserve"> não consentido por vingança.</w:t>
            </w:r>
          </w:p>
          <w:p w14:paraId="77199A33"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Cumprimento do código de conduta.</w:t>
            </w:r>
          </w:p>
          <w:p w14:paraId="2C3D7FBA"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Implementar e garantir o cumprimento do Plano de </w:t>
            </w:r>
            <w:proofErr w:type="spellStart"/>
            <w:r w:rsidRPr="00292532">
              <w:rPr>
                <w:rFonts w:ascii="Arial" w:eastAsia="Calibri" w:hAnsi="Arial" w:cs="Arial"/>
                <w:color w:val="000000"/>
                <w:sz w:val="20"/>
                <w:szCs w:val="20"/>
                <w:lang w:val="pt-PT"/>
              </w:rPr>
              <w:t>Acção</w:t>
            </w:r>
            <w:proofErr w:type="spellEnd"/>
            <w:r w:rsidRPr="00292532">
              <w:rPr>
                <w:rFonts w:ascii="Arial" w:eastAsia="Calibri" w:hAnsi="Arial" w:cs="Arial"/>
                <w:color w:val="000000"/>
                <w:sz w:val="20"/>
                <w:szCs w:val="20"/>
                <w:lang w:val="pt-PT"/>
              </w:rPr>
              <w:t xml:space="preserve"> de Violência Baseada no Género</w:t>
            </w:r>
          </w:p>
        </w:tc>
      </w:tr>
      <w:tr w:rsidR="00B31AE2" w:rsidRPr="00292532" w14:paraId="41934117" w14:textId="77777777" w:rsidTr="00B31AE2">
        <w:tc>
          <w:tcPr>
            <w:tcW w:w="2880" w:type="dxa"/>
            <w:tcBorders>
              <w:top w:val="single" w:sz="4" w:space="0" w:color="auto"/>
              <w:bottom w:val="single" w:sz="4" w:space="0" w:color="auto"/>
            </w:tcBorders>
            <w:vAlign w:val="center"/>
          </w:tcPr>
          <w:p w14:paraId="688BF843" w14:textId="77777777" w:rsidR="00B31AE2" w:rsidRPr="00292532" w:rsidRDefault="00B31AE2" w:rsidP="00B31AE2">
            <w:pPr>
              <w:rPr>
                <w:rFonts w:ascii="Arial" w:eastAsia="Calibri" w:hAnsi="Arial" w:cs="Arial"/>
                <w:color w:val="000000"/>
                <w:sz w:val="20"/>
                <w:lang w:val="pt-PT"/>
              </w:rPr>
            </w:pPr>
            <w:r w:rsidRPr="00292532">
              <w:rPr>
                <w:rFonts w:ascii="Arial" w:eastAsia="Calibri" w:hAnsi="Arial" w:cs="Arial"/>
                <w:color w:val="000000"/>
                <w:sz w:val="20"/>
                <w:lang w:val="pt-PT"/>
              </w:rPr>
              <w:t>Disseminação de doenças transmissíveis (</w:t>
            </w:r>
            <w:proofErr w:type="spellStart"/>
            <w:r w:rsidRPr="00292532">
              <w:rPr>
                <w:rFonts w:ascii="Arial" w:eastAsia="Calibri" w:hAnsi="Arial" w:cs="Arial"/>
                <w:color w:val="000000"/>
                <w:sz w:val="20"/>
                <w:lang w:val="pt-PT"/>
              </w:rPr>
              <w:t>ITSs</w:t>
            </w:r>
            <w:proofErr w:type="spellEnd"/>
            <w:r w:rsidRPr="00292532">
              <w:rPr>
                <w:rFonts w:ascii="Arial" w:eastAsia="Calibri" w:hAnsi="Arial" w:cs="Arial"/>
                <w:color w:val="000000"/>
                <w:sz w:val="20"/>
                <w:lang w:val="pt-PT"/>
              </w:rPr>
              <w:t xml:space="preserve">, HIV/SIDA, </w:t>
            </w:r>
            <w:proofErr w:type="spellStart"/>
            <w:r w:rsidRPr="00292532">
              <w:rPr>
                <w:rFonts w:ascii="Arial" w:eastAsia="Calibri" w:hAnsi="Arial" w:cs="Arial"/>
                <w:color w:val="000000"/>
                <w:sz w:val="20"/>
                <w:lang w:val="pt-PT"/>
              </w:rPr>
              <w:t>etc</w:t>
            </w:r>
            <w:proofErr w:type="spellEnd"/>
            <w:r w:rsidRPr="00292532">
              <w:rPr>
                <w:rFonts w:ascii="Arial" w:eastAsia="Calibri" w:hAnsi="Arial" w:cs="Arial"/>
                <w:color w:val="000000"/>
                <w:sz w:val="20"/>
                <w:lang w:val="pt-PT"/>
              </w:rPr>
              <w:t>)</w:t>
            </w:r>
          </w:p>
        </w:tc>
        <w:tc>
          <w:tcPr>
            <w:tcW w:w="6570" w:type="dxa"/>
            <w:tcBorders>
              <w:top w:val="single" w:sz="4" w:space="0" w:color="auto"/>
              <w:bottom w:val="single" w:sz="4" w:space="0" w:color="auto"/>
            </w:tcBorders>
          </w:tcPr>
          <w:p w14:paraId="5CC01700"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Sensibilização dos trabalhadores a submeterem-se a testes voluntários de HIV.</w:t>
            </w:r>
          </w:p>
          <w:p w14:paraId="503F5415"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Sensibilizar os trabalhadores sobre a necessidade de tratamento das </w:t>
            </w:r>
            <w:proofErr w:type="spellStart"/>
            <w:r w:rsidRPr="00292532">
              <w:rPr>
                <w:rFonts w:ascii="Arial" w:eastAsia="Calibri" w:hAnsi="Arial" w:cs="Arial"/>
                <w:color w:val="000000"/>
                <w:sz w:val="20"/>
                <w:szCs w:val="20"/>
                <w:lang w:val="pt-PT"/>
              </w:rPr>
              <w:t>ITSs</w:t>
            </w:r>
            <w:proofErr w:type="spellEnd"/>
            <w:r w:rsidRPr="00292532">
              <w:rPr>
                <w:rFonts w:ascii="Arial" w:eastAsia="Calibri" w:hAnsi="Arial" w:cs="Arial"/>
                <w:color w:val="000000"/>
                <w:sz w:val="20"/>
                <w:szCs w:val="20"/>
                <w:lang w:val="pt-PT"/>
              </w:rPr>
              <w:t xml:space="preserve"> na sua fase inicial, de forma a minimizar o risco de </w:t>
            </w:r>
            <w:proofErr w:type="spellStart"/>
            <w:r w:rsidRPr="00292532">
              <w:rPr>
                <w:rFonts w:ascii="Arial" w:eastAsia="Calibri" w:hAnsi="Arial" w:cs="Arial"/>
                <w:color w:val="000000"/>
                <w:sz w:val="20"/>
                <w:szCs w:val="20"/>
                <w:lang w:val="pt-PT"/>
              </w:rPr>
              <w:t>infecção</w:t>
            </w:r>
            <w:proofErr w:type="spellEnd"/>
            <w:r w:rsidRPr="00292532">
              <w:rPr>
                <w:rFonts w:ascii="Arial" w:eastAsia="Calibri" w:hAnsi="Arial" w:cs="Arial"/>
                <w:color w:val="000000"/>
                <w:sz w:val="20"/>
                <w:szCs w:val="20"/>
                <w:lang w:val="pt-PT"/>
              </w:rPr>
              <w:t xml:space="preserve"> por HIV.</w:t>
            </w:r>
          </w:p>
          <w:p w14:paraId="288997DA"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Disponibilização de preservativos.</w:t>
            </w:r>
          </w:p>
        </w:tc>
      </w:tr>
      <w:tr w:rsidR="00B31AE2" w:rsidRPr="004E2EAC" w14:paraId="216DE1A7" w14:textId="77777777" w:rsidTr="00B31AE2">
        <w:tc>
          <w:tcPr>
            <w:tcW w:w="2880" w:type="dxa"/>
            <w:tcBorders>
              <w:top w:val="single" w:sz="4" w:space="0" w:color="auto"/>
              <w:bottom w:val="single" w:sz="4" w:space="0" w:color="auto"/>
            </w:tcBorders>
            <w:vAlign w:val="center"/>
          </w:tcPr>
          <w:p w14:paraId="4934E05A" w14:textId="77777777" w:rsidR="00B31AE2" w:rsidRPr="00292532" w:rsidRDefault="00B31AE2" w:rsidP="00B31AE2">
            <w:pPr>
              <w:rPr>
                <w:rFonts w:ascii="Arial" w:eastAsia="Calibri" w:hAnsi="Arial" w:cs="Arial"/>
                <w:color w:val="000000"/>
                <w:sz w:val="20"/>
                <w:lang w:val="pt-PT"/>
              </w:rPr>
            </w:pPr>
            <w:r w:rsidRPr="00292532">
              <w:rPr>
                <w:rFonts w:ascii="Arial" w:eastAsia="Calibri" w:hAnsi="Arial" w:cs="Arial"/>
                <w:color w:val="000000"/>
                <w:sz w:val="20"/>
                <w:lang w:val="pt-PT"/>
              </w:rPr>
              <w:t>Influxo de trabalhadores, que pode ocasionar conflitos e tensões sociais derivada da competição pelo acesso ao trabalho e exacerbar riscos sociais (ex. VBG).</w:t>
            </w:r>
          </w:p>
        </w:tc>
        <w:tc>
          <w:tcPr>
            <w:tcW w:w="6570" w:type="dxa"/>
            <w:tcBorders>
              <w:top w:val="single" w:sz="4" w:space="0" w:color="auto"/>
              <w:bottom w:val="single" w:sz="4" w:space="0" w:color="auto"/>
            </w:tcBorders>
          </w:tcPr>
          <w:p w14:paraId="0C8FC41A"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Os trabalhadores locais deverão ter prioridade no processo de contratação, principalmente do sexo feminino.</w:t>
            </w:r>
          </w:p>
          <w:p w14:paraId="7D40001C" w14:textId="77777777" w:rsidR="00B31AE2" w:rsidRPr="00292532" w:rsidRDefault="00B31AE2"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O processo de recrutamento deve ser transparente, </w:t>
            </w:r>
            <w:proofErr w:type="spellStart"/>
            <w:r w:rsidRPr="00292532">
              <w:rPr>
                <w:rFonts w:ascii="Arial" w:eastAsia="Calibri" w:hAnsi="Arial" w:cs="Arial"/>
                <w:color w:val="000000"/>
                <w:sz w:val="20"/>
                <w:szCs w:val="20"/>
                <w:lang w:val="pt-PT"/>
              </w:rPr>
              <w:t>efectuado</w:t>
            </w:r>
            <w:proofErr w:type="spellEnd"/>
            <w:r w:rsidRPr="00292532">
              <w:rPr>
                <w:rFonts w:ascii="Arial" w:eastAsia="Calibri" w:hAnsi="Arial" w:cs="Arial"/>
                <w:color w:val="000000"/>
                <w:sz w:val="20"/>
                <w:szCs w:val="20"/>
                <w:lang w:val="pt-PT"/>
              </w:rPr>
              <w:t xml:space="preserve"> em coordenação com os órgãos locais.</w:t>
            </w:r>
          </w:p>
          <w:p w14:paraId="0262C00A" w14:textId="38435364" w:rsidR="00CD1C60" w:rsidRPr="00292532" w:rsidRDefault="00CD1C60" w:rsidP="00AE14AE">
            <w:pPr>
              <w:numPr>
                <w:ilvl w:val="0"/>
                <w:numId w:val="123"/>
              </w:numPr>
              <w:spacing w:line="276" w:lineRule="auto"/>
              <w:ind w:left="42" w:hanging="142"/>
              <w:contextualSpacing/>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▪Aplicar as medidas descritas no Plano de </w:t>
            </w:r>
            <w:proofErr w:type="spellStart"/>
            <w:r w:rsidRPr="00292532">
              <w:rPr>
                <w:rFonts w:ascii="Arial" w:eastAsia="Calibri" w:hAnsi="Arial" w:cs="Arial"/>
                <w:color w:val="000000"/>
                <w:sz w:val="20"/>
                <w:szCs w:val="20"/>
                <w:lang w:val="pt-PT"/>
              </w:rPr>
              <w:t>Acção</w:t>
            </w:r>
            <w:proofErr w:type="spellEnd"/>
            <w:r w:rsidRPr="00292532">
              <w:rPr>
                <w:rFonts w:ascii="Arial" w:eastAsia="Calibri" w:hAnsi="Arial" w:cs="Arial"/>
                <w:color w:val="000000"/>
                <w:sz w:val="20"/>
                <w:szCs w:val="20"/>
                <w:lang w:val="pt-PT"/>
              </w:rPr>
              <w:t xml:space="preserve"> contra VBG disponível no Anexo 12 do QGAS</w:t>
            </w:r>
          </w:p>
        </w:tc>
      </w:tr>
    </w:tbl>
    <w:p w14:paraId="0F7688FB" w14:textId="77777777" w:rsidR="00B31AE2" w:rsidRPr="00292532" w:rsidRDefault="00B31AE2" w:rsidP="00B31AE2">
      <w:pPr>
        <w:spacing w:before="0" w:after="0" w:line="276" w:lineRule="auto"/>
        <w:jc w:val="left"/>
        <w:rPr>
          <w:rFonts w:eastAsia="Calibri" w:cs="Times New Roman"/>
          <w:lang w:val="pt-PT"/>
        </w:rPr>
      </w:pPr>
    </w:p>
    <w:p w14:paraId="5171D056" w14:textId="52117557" w:rsidR="00B31AE2" w:rsidRPr="00292532" w:rsidRDefault="00B31AE2" w:rsidP="00AE14AE">
      <w:pPr>
        <w:keepNext/>
        <w:keepLines/>
        <w:numPr>
          <w:ilvl w:val="1"/>
          <w:numId w:val="145"/>
        </w:numPr>
        <w:spacing w:before="40" w:after="0" w:line="276" w:lineRule="auto"/>
        <w:jc w:val="left"/>
        <w:outlineLvl w:val="2"/>
        <w:rPr>
          <w:rFonts w:ascii="Arial" w:eastAsia="Times New Roman" w:hAnsi="Arial" w:cs="Arial"/>
          <w:b/>
          <w:color w:val="1F3763"/>
          <w:sz w:val="24"/>
          <w:szCs w:val="24"/>
          <w:lang w:val="pt-PT"/>
        </w:rPr>
      </w:pPr>
      <w:bookmarkStart w:id="1174" w:name="_Toc74921494"/>
      <w:bookmarkStart w:id="1175" w:name="_Toc75438070"/>
      <w:bookmarkStart w:id="1176" w:name="_Toc78435499"/>
      <w:bookmarkStart w:id="1177" w:name="_Toc80380166"/>
      <w:r w:rsidRPr="00292532">
        <w:rPr>
          <w:rFonts w:ascii="Arial" w:eastAsia="Times New Roman" w:hAnsi="Arial" w:cs="Arial"/>
          <w:b/>
          <w:color w:val="1F3763"/>
          <w:sz w:val="24"/>
          <w:szCs w:val="24"/>
          <w:lang w:val="pt-PT"/>
        </w:rPr>
        <w:t>Consciencialização sobre Saúde e Segurança Ocupacional</w:t>
      </w:r>
      <w:bookmarkEnd w:id="1174"/>
      <w:bookmarkEnd w:id="1175"/>
      <w:bookmarkEnd w:id="1176"/>
      <w:bookmarkEnd w:id="1177"/>
    </w:p>
    <w:p w14:paraId="16525434" w14:textId="77777777" w:rsidR="00B31AE2" w:rsidRPr="00292532" w:rsidRDefault="00B31AE2" w:rsidP="00B31AE2">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 xml:space="preserve">Todos os trabalhadores </w:t>
      </w:r>
      <w:proofErr w:type="spellStart"/>
      <w:r w:rsidRPr="00292532">
        <w:rPr>
          <w:rFonts w:ascii="Arial" w:eastAsia="Calibri" w:hAnsi="Arial" w:cs="Arial"/>
          <w:sz w:val="20"/>
          <w:lang w:val="pt-PT"/>
        </w:rPr>
        <w:t>afectos</w:t>
      </w:r>
      <w:proofErr w:type="spellEnd"/>
      <w:r w:rsidRPr="00292532">
        <w:rPr>
          <w:rFonts w:ascii="Arial" w:eastAsia="Calibri" w:hAnsi="Arial" w:cs="Arial"/>
          <w:sz w:val="20"/>
          <w:lang w:val="pt-PT"/>
        </w:rPr>
        <w:t xml:space="preserve"> ao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w:t>
      </w:r>
      <w:proofErr w:type="spellStart"/>
      <w:r w:rsidRPr="00292532">
        <w:rPr>
          <w:rFonts w:ascii="Arial" w:eastAsia="Calibri" w:hAnsi="Arial" w:cs="Arial"/>
          <w:sz w:val="20"/>
          <w:lang w:val="pt-PT"/>
        </w:rPr>
        <w:t>directos</w:t>
      </w:r>
      <w:proofErr w:type="spellEnd"/>
      <w:r w:rsidRPr="00292532">
        <w:rPr>
          <w:rFonts w:ascii="Arial" w:eastAsia="Calibri" w:hAnsi="Arial" w:cs="Arial"/>
          <w:sz w:val="20"/>
          <w:lang w:val="pt-PT"/>
        </w:rPr>
        <w:t xml:space="preserve">, contratados) devem participar da sessão de indução em saúde e segurança, conduzida pelo Oficial de SSO ou outro que lhe for atribuída a tarefa, antes de se iniciar quaisquer </w:t>
      </w:r>
      <w:proofErr w:type="spellStart"/>
      <w:r w:rsidRPr="00292532">
        <w:rPr>
          <w:rFonts w:ascii="Arial" w:eastAsia="Calibri" w:hAnsi="Arial" w:cs="Arial"/>
          <w:sz w:val="20"/>
          <w:lang w:val="pt-PT"/>
        </w:rPr>
        <w:t>actividades</w:t>
      </w:r>
      <w:proofErr w:type="spellEnd"/>
      <w:r w:rsidRPr="00292532">
        <w:rPr>
          <w:rFonts w:ascii="Arial" w:eastAsia="Calibri" w:hAnsi="Arial" w:cs="Arial"/>
          <w:sz w:val="20"/>
          <w:lang w:val="pt-PT"/>
        </w:rPr>
        <w:t xml:space="preserve"> ao nível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Nenhum funcionário tem permissão para iniciar suas </w:t>
      </w:r>
      <w:proofErr w:type="spellStart"/>
      <w:r w:rsidRPr="00292532">
        <w:rPr>
          <w:rFonts w:ascii="Arial" w:eastAsia="Calibri" w:hAnsi="Arial" w:cs="Arial"/>
          <w:sz w:val="20"/>
          <w:lang w:val="pt-PT"/>
        </w:rPr>
        <w:t>actividades</w:t>
      </w:r>
      <w:proofErr w:type="spellEnd"/>
      <w:r w:rsidRPr="00292532">
        <w:rPr>
          <w:rFonts w:ascii="Arial" w:eastAsia="Calibri" w:hAnsi="Arial" w:cs="Arial"/>
          <w:sz w:val="20"/>
          <w:lang w:val="pt-PT"/>
        </w:rPr>
        <w:t xml:space="preserve"> de campo antes de participar desta sessão.</w:t>
      </w:r>
    </w:p>
    <w:p w14:paraId="6F750403" w14:textId="77777777" w:rsidR="00B31AE2" w:rsidRPr="00292532" w:rsidRDefault="00B31AE2" w:rsidP="00B31AE2">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 xml:space="preserve">A indução deve explicar o presente Plano, suas regras, bem como requisitos específicos do local a desenvolver a </w:t>
      </w:r>
      <w:proofErr w:type="spellStart"/>
      <w:r w:rsidRPr="00292532">
        <w:rPr>
          <w:rFonts w:ascii="Arial" w:eastAsia="Calibri" w:hAnsi="Arial" w:cs="Arial"/>
          <w:sz w:val="20"/>
          <w:lang w:val="pt-PT"/>
        </w:rPr>
        <w:t>actividade</w:t>
      </w:r>
      <w:proofErr w:type="spellEnd"/>
      <w:r w:rsidRPr="00292532">
        <w:rPr>
          <w:rFonts w:ascii="Arial" w:eastAsia="Calibri" w:hAnsi="Arial" w:cs="Arial"/>
          <w:sz w:val="20"/>
          <w:lang w:val="pt-PT"/>
        </w:rPr>
        <w:t>, que devem no mínimo, consistir em uma reunião informativa (</w:t>
      </w:r>
      <w:r w:rsidRPr="00292532">
        <w:rPr>
          <w:rFonts w:ascii="Arial" w:eastAsia="Calibri" w:hAnsi="Arial" w:cs="Arial"/>
          <w:i/>
          <w:sz w:val="20"/>
          <w:lang w:val="pt-PT"/>
        </w:rPr>
        <w:t>briefing</w:t>
      </w:r>
      <w:r w:rsidRPr="00292532">
        <w:rPr>
          <w:rFonts w:ascii="Arial" w:eastAsia="Calibri" w:hAnsi="Arial" w:cs="Arial"/>
          <w:sz w:val="20"/>
          <w:lang w:val="pt-PT"/>
        </w:rPr>
        <w:t xml:space="preserve">) introdutória explicando o trabalho, os perigos gerais que podem ser encontrados durante as </w:t>
      </w:r>
      <w:proofErr w:type="spellStart"/>
      <w:r w:rsidRPr="00292532">
        <w:rPr>
          <w:rFonts w:ascii="Arial" w:eastAsia="Calibri" w:hAnsi="Arial" w:cs="Arial"/>
          <w:sz w:val="20"/>
          <w:lang w:val="pt-PT"/>
        </w:rPr>
        <w:t>actividades</w:t>
      </w:r>
      <w:proofErr w:type="spellEnd"/>
      <w:r w:rsidRPr="00292532">
        <w:rPr>
          <w:rFonts w:ascii="Arial" w:eastAsia="Calibri" w:hAnsi="Arial" w:cs="Arial"/>
          <w:sz w:val="20"/>
          <w:lang w:val="pt-PT"/>
        </w:rPr>
        <w:t xml:space="preserve"> e o controle / medidas mitigadoras.</w:t>
      </w:r>
    </w:p>
    <w:p w14:paraId="7727DEF9" w14:textId="77777777" w:rsidR="00B31AE2" w:rsidRPr="00292532" w:rsidRDefault="00B31AE2" w:rsidP="00B31AE2">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 xml:space="preserve">Estas </w:t>
      </w:r>
      <w:proofErr w:type="spellStart"/>
      <w:r w:rsidRPr="00292532">
        <w:rPr>
          <w:rFonts w:ascii="Arial" w:eastAsia="Calibri" w:hAnsi="Arial" w:cs="Arial"/>
          <w:sz w:val="20"/>
          <w:lang w:val="pt-PT"/>
        </w:rPr>
        <w:t>acções</w:t>
      </w:r>
      <w:proofErr w:type="spellEnd"/>
      <w:r w:rsidRPr="00292532">
        <w:rPr>
          <w:rFonts w:ascii="Arial" w:eastAsia="Calibri" w:hAnsi="Arial" w:cs="Arial"/>
          <w:sz w:val="20"/>
          <w:lang w:val="pt-PT"/>
        </w:rPr>
        <w:t xml:space="preserve"> de formação e consciencialização também deverão ser realizadas na ocasião de:</w:t>
      </w:r>
    </w:p>
    <w:p w14:paraId="4FA1E846"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lastRenderedPageBreak/>
        <w:t>Transferência ou mudança de funções;</w:t>
      </w:r>
    </w:p>
    <w:p w14:paraId="11589BFA"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Mudança no equipamento de trabalho, ou</w:t>
      </w:r>
    </w:p>
    <w:p w14:paraId="0F64716F"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Introdução de uma nova tecnologia.</w:t>
      </w:r>
    </w:p>
    <w:p w14:paraId="1B6057DD" w14:textId="77777777" w:rsidR="00B31AE2" w:rsidRPr="00292532" w:rsidRDefault="00B31AE2" w:rsidP="00B31AE2">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 xml:space="preserve">Sessões diárias ou semanais de </w:t>
      </w:r>
      <w:r w:rsidRPr="00292532">
        <w:rPr>
          <w:rFonts w:ascii="Arial" w:eastAsia="Calibri" w:hAnsi="Arial" w:cs="Arial"/>
          <w:i/>
          <w:iCs/>
          <w:sz w:val="20"/>
          <w:lang w:val="pt-PT"/>
        </w:rPr>
        <w:t>briefing</w:t>
      </w:r>
      <w:r w:rsidRPr="00292532">
        <w:rPr>
          <w:rFonts w:ascii="Arial" w:eastAsia="Calibri" w:hAnsi="Arial" w:cs="Arial"/>
          <w:sz w:val="20"/>
          <w:lang w:val="pt-PT"/>
        </w:rPr>
        <w:t xml:space="preserve"> (momentos de segurança) deverão ser realizadas. As sessões discutirão questões de saúde e segurança ocupacional referentes as </w:t>
      </w:r>
      <w:proofErr w:type="spellStart"/>
      <w:r w:rsidRPr="00292532">
        <w:rPr>
          <w:rFonts w:ascii="Arial" w:eastAsia="Calibri" w:hAnsi="Arial" w:cs="Arial"/>
          <w:sz w:val="20"/>
          <w:lang w:val="pt-PT"/>
        </w:rPr>
        <w:t>actividades</w:t>
      </w:r>
      <w:proofErr w:type="spellEnd"/>
      <w:r w:rsidRPr="00292532">
        <w:rPr>
          <w:rFonts w:ascii="Arial" w:eastAsia="Calibri" w:hAnsi="Arial" w:cs="Arial"/>
          <w:sz w:val="20"/>
          <w:lang w:val="pt-PT"/>
        </w:rPr>
        <w:t xml:space="preserve">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ocorrências próximas, incidentes e acidentes, direitos humanos e questões relacionadas a género. Além disso, quaisquer preocupações dos trabalhadores podem ser discutidas, permitindo que os trabalhadores façam sugestões e comentários francos, e serão tratadas para a satisfação da pessoa em questão, por meio do pessoal apropriado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w:t>
      </w:r>
    </w:p>
    <w:p w14:paraId="5A177706" w14:textId="77777777" w:rsidR="00B31AE2" w:rsidRPr="00292532" w:rsidRDefault="00B31AE2" w:rsidP="00B31AE2">
      <w:pPr>
        <w:suppressAutoHyphens/>
        <w:spacing w:before="0" w:after="0"/>
        <w:ind w:left="24" w:right="12"/>
        <w:rPr>
          <w:rFonts w:ascii="Arial" w:eastAsia="Calibri" w:hAnsi="Arial" w:cs="Arial"/>
          <w:sz w:val="20"/>
          <w:lang w:val="pt-PT"/>
        </w:rPr>
      </w:pPr>
      <w:r w:rsidRPr="00292532">
        <w:rPr>
          <w:rFonts w:ascii="Arial" w:eastAsia="Calibri" w:hAnsi="Arial" w:cs="Arial"/>
          <w:sz w:val="20"/>
          <w:lang w:val="pt-PT"/>
        </w:rPr>
        <w:t xml:space="preserve">O </w:t>
      </w:r>
      <w:r w:rsidRPr="00292532">
        <w:rPr>
          <w:rFonts w:ascii="Arial" w:eastAsia="Calibri" w:hAnsi="Arial" w:cs="Arial"/>
          <w:color w:val="5B9BD5"/>
          <w:sz w:val="20"/>
          <w:lang w:val="pt-PT"/>
        </w:rPr>
        <w:t xml:space="preserve">Apêndice E </w:t>
      </w:r>
      <w:r w:rsidRPr="00292532">
        <w:rPr>
          <w:rFonts w:ascii="Arial" w:eastAsia="Calibri" w:hAnsi="Arial" w:cs="Arial"/>
          <w:sz w:val="20"/>
          <w:lang w:val="pt-PT"/>
        </w:rPr>
        <w:t>apresenta uma lista não exaustiva de temáticas que podem ser abordadas no momento de saúde e segurança ocupacional.</w:t>
      </w:r>
    </w:p>
    <w:p w14:paraId="513E14CB" w14:textId="77777777" w:rsidR="00B31AE2" w:rsidRPr="00292532" w:rsidRDefault="00B31AE2" w:rsidP="00B31AE2">
      <w:pPr>
        <w:suppressAutoHyphens/>
        <w:spacing w:before="0" w:after="0"/>
        <w:ind w:left="24" w:right="12"/>
        <w:rPr>
          <w:rFonts w:ascii="Arial" w:eastAsia="Calibri" w:hAnsi="Arial" w:cs="Arial"/>
          <w:sz w:val="20"/>
          <w:lang w:val="pt-PT"/>
        </w:rPr>
      </w:pPr>
    </w:p>
    <w:p w14:paraId="55B09400" w14:textId="77777777" w:rsidR="00B31AE2" w:rsidRPr="00292532" w:rsidRDefault="00B31AE2" w:rsidP="00AE14AE">
      <w:pPr>
        <w:keepNext/>
        <w:keepLines/>
        <w:numPr>
          <w:ilvl w:val="1"/>
          <w:numId w:val="145"/>
        </w:numPr>
        <w:spacing w:before="0" w:after="0" w:line="276" w:lineRule="auto"/>
        <w:jc w:val="left"/>
        <w:outlineLvl w:val="2"/>
        <w:rPr>
          <w:rFonts w:ascii="Arial" w:eastAsia="Times New Roman" w:hAnsi="Arial" w:cs="Arial"/>
          <w:b/>
          <w:color w:val="1F3763"/>
          <w:sz w:val="24"/>
          <w:szCs w:val="24"/>
          <w:lang w:val="pt-PT"/>
        </w:rPr>
      </w:pPr>
      <w:bookmarkStart w:id="1178" w:name="_Toc74921495"/>
      <w:bookmarkStart w:id="1179" w:name="_Toc75438071"/>
      <w:bookmarkStart w:id="1180" w:name="_Toc78435500"/>
      <w:bookmarkStart w:id="1181" w:name="_Toc80380167"/>
      <w:proofErr w:type="spellStart"/>
      <w:r w:rsidRPr="00292532">
        <w:rPr>
          <w:rFonts w:ascii="Arial" w:eastAsia="Times New Roman" w:hAnsi="Arial" w:cs="Arial"/>
          <w:b/>
          <w:color w:val="1F3763"/>
          <w:sz w:val="24"/>
          <w:szCs w:val="24"/>
          <w:lang w:val="pt-PT"/>
        </w:rPr>
        <w:t>Inspecção</w:t>
      </w:r>
      <w:bookmarkEnd w:id="1178"/>
      <w:bookmarkEnd w:id="1179"/>
      <w:bookmarkEnd w:id="1180"/>
      <w:bookmarkEnd w:id="1181"/>
      <w:proofErr w:type="spellEnd"/>
      <w:r w:rsidRPr="00292532">
        <w:rPr>
          <w:rFonts w:ascii="Arial" w:eastAsia="Times New Roman" w:hAnsi="Arial" w:cs="Arial"/>
          <w:b/>
          <w:color w:val="1F3763"/>
          <w:sz w:val="24"/>
          <w:szCs w:val="24"/>
          <w:lang w:val="pt-PT"/>
        </w:rPr>
        <w:t xml:space="preserve"> </w:t>
      </w:r>
    </w:p>
    <w:p w14:paraId="722A9F2F" w14:textId="77777777" w:rsidR="00B31AE2" w:rsidRPr="00292532" w:rsidRDefault="00B31AE2" w:rsidP="00B31AE2">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 xml:space="preserve">O </w:t>
      </w:r>
      <w:proofErr w:type="spellStart"/>
      <w:r w:rsidRPr="00292532">
        <w:rPr>
          <w:rFonts w:ascii="Arial" w:eastAsia="Calibri" w:hAnsi="Arial" w:cs="Arial"/>
          <w:sz w:val="20"/>
          <w:lang w:val="pt-PT"/>
        </w:rPr>
        <w:t>objectivo</w:t>
      </w:r>
      <w:proofErr w:type="spellEnd"/>
      <w:r w:rsidRPr="00292532">
        <w:rPr>
          <w:rFonts w:ascii="Arial" w:eastAsia="Calibri" w:hAnsi="Arial" w:cs="Arial"/>
          <w:sz w:val="20"/>
          <w:lang w:val="pt-PT"/>
        </w:rPr>
        <w:t xml:space="preserve"> da </w:t>
      </w:r>
      <w:proofErr w:type="spellStart"/>
      <w:r w:rsidRPr="00292532">
        <w:rPr>
          <w:rFonts w:ascii="Arial" w:eastAsia="Calibri" w:hAnsi="Arial" w:cs="Arial"/>
          <w:sz w:val="20"/>
          <w:lang w:val="pt-PT"/>
        </w:rPr>
        <w:t>inspecção</w:t>
      </w:r>
      <w:proofErr w:type="spellEnd"/>
      <w:r w:rsidRPr="00292532">
        <w:rPr>
          <w:rFonts w:ascii="Arial" w:eastAsia="Calibri" w:hAnsi="Arial" w:cs="Arial"/>
          <w:sz w:val="20"/>
          <w:lang w:val="pt-PT"/>
        </w:rPr>
        <w:t xml:space="preserve"> é de manter as normas de saúde e segurança ocupacional e descobrir deficiências num artigo, procedimento ou área antes de se tornar um perigo.</w:t>
      </w:r>
    </w:p>
    <w:p w14:paraId="6829D073" w14:textId="77777777" w:rsidR="00B31AE2" w:rsidRPr="00292532" w:rsidRDefault="00B31AE2" w:rsidP="00B31AE2">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 xml:space="preserve">Todas as </w:t>
      </w:r>
      <w:proofErr w:type="spellStart"/>
      <w:r w:rsidRPr="00292532">
        <w:rPr>
          <w:rFonts w:ascii="Arial" w:eastAsia="Calibri" w:hAnsi="Arial" w:cs="Arial"/>
          <w:sz w:val="20"/>
          <w:lang w:val="pt-PT"/>
        </w:rPr>
        <w:t>inspecções</w:t>
      </w:r>
      <w:proofErr w:type="spellEnd"/>
      <w:r w:rsidRPr="00292532">
        <w:rPr>
          <w:rFonts w:ascii="Arial" w:eastAsia="Calibri" w:hAnsi="Arial" w:cs="Arial"/>
          <w:sz w:val="20"/>
          <w:lang w:val="pt-PT"/>
        </w:rPr>
        <w:t xml:space="preserve"> de saúde e segurança devem ser realizadas utilizando uma lista de controlo (</w:t>
      </w:r>
      <w:proofErr w:type="spellStart"/>
      <w:r w:rsidRPr="00292532">
        <w:rPr>
          <w:rFonts w:ascii="Arial" w:eastAsia="Calibri" w:hAnsi="Arial" w:cs="Arial"/>
          <w:i/>
          <w:sz w:val="20"/>
          <w:lang w:val="pt-PT"/>
        </w:rPr>
        <w:t>check</w:t>
      </w:r>
      <w:proofErr w:type="spellEnd"/>
      <w:r w:rsidRPr="00292532">
        <w:rPr>
          <w:rFonts w:ascii="Arial" w:eastAsia="Calibri" w:hAnsi="Arial" w:cs="Arial"/>
          <w:i/>
          <w:sz w:val="20"/>
          <w:lang w:val="pt-PT"/>
        </w:rPr>
        <w:t xml:space="preserve"> </w:t>
      </w:r>
      <w:proofErr w:type="spellStart"/>
      <w:r w:rsidRPr="00292532">
        <w:rPr>
          <w:rFonts w:ascii="Arial" w:eastAsia="Calibri" w:hAnsi="Arial" w:cs="Arial"/>
          <w:i/>
          <w:sz w:val="20"/>
          <w:lang w:val="pt-PT"/>
        </w:rPr>
        <w:t>list</w:t>
      </w:r>
      <w:proofErr w:type="spellEnd"/>
      <w:r w:rsidRPr="00292532">
        <w:rPr>
          <w:rFonts w:ascii="Arial" w:eastAsia="Calibri" w:hAnsi="Arial" w:cs="Arial"/>
          <w:sz w:val="20"/>
          <w:lang w:val="pt-PT"/>
        </w:rPr>
        <w:t xml:space="preserve">) a ser elaborado pelo Oficial de Meio Ambiente e SSO da contratada, que deverá ser incluído no relatório de progresso mensal. </w:t>
      </w:r>
    </w:p>
    <w:p w14:paraId="272EA7B7" w14:textId="77777777" w:rsidR="00B31AE2" w:rsidRPr="00292532" w:rsidRDefault="00B31AE2" w:rsidP="00B31AE2">
      <w:pPr>
        <w:suppressAutoHyphens/>
        <w:spacing w:before="0" w:after="200"/>
        <w:ind w:right="12"/>
        <w:rPr>
          <w:rFonts w:ascii="Arial" w:eastAsia="Calibri" w:hAnsi="Arial" w:cs="Arial"/>
          <w:sz w:val="20"/>
          <w:lang w:val="pt-PT"/>
        </w:rPr>
      </w:pPr>
      <w:r w:rsidRPr="00292532">
        <w:rPr>
          <w:rFonts w:ascii="Arial" w:eastAsia="Calibri" w:hAnsi="Arial" w:cs="Arial"/>
          <w:sz w:val="20"/>
          <w:lang w:val="pt-PT"/>
        </w:rPr>
        <w:t xml:space="preserve">No processo de realização das </w:t>
      </w:r>
      <w:proofErr w:type="spellStart"/>
      <w:r w:rsidRPr="00292532">
        <w:rPr>
          <w:rFonts w:ascii="Arial" w:eastAsia="Calibri" w:hAnsi="Arial" w:cs="Arial"/>
          <w:sz w:val="20"/>
          <w:lang w:val="pt-PT"/>
        </w:rPr>
        <w:t>inspecções</w:t>
      </w:r>
      <w:proofErr w:type="spellEnd"/>
      <w:r w:rsidRPr="00292532">
        <w:rPr>
          <w:rFonts w:ascii="Arial" w:eastAsia="Calibri" w:hAnsi="Arial" w:cs="Arial"/>
          <w:sz w:val="20"/>
          <w:lang w:val="pt-PT"/>
        </w:rPr>
        <w:t>, deverá ser verificado, mas não se limitando a:</w:t>
      </w:r>
    </w:p>
    <w:p w14:paraId="43E4EC73" w14:textId="2112BDE9"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 xml:space="preserve">Registos de Equipamento de </w:t>
      </w:r>
      <w:proofErr w:type="spellStart"/>
      <w:r w:rsidRPr="00292532">
        <w:rPr>
          <w:rFonts w:ascii="Arial" w:eastAsia="Calibri" w:hAnsi="Arial" w:cs="Arial"/>
          <w:sz w:val="20"/>
          <w:lang w:val="pt-PT"/>
        </w:rPr>
        <w:t>Protecção</w:t>
      </w:r>
      <w:proofErr w:type="spellEnd"/>
      <w:r w:rsidRPr="00292532">
        <w:rPr>
          <w:rFonts w:ascii="Arial" w:eastAsia="Calibri" w:hAnsi="Arial" w:cs="Arial"/>
          <w:sz w:val="20"/>
          <w:lang w:val="pt-PT"/>
        </w:rPr>
        <w:t xml:space="preserve"> Individual e </w:t>
      </w:r>
      <w:proofErr w:type="spellStart"/>
      <w:r w:rsidRPr="00292532">
        <w:rPr>
          <w:rFonts w:ascii="Arial" w:eastAsia="Calibri" w:hAnsi="Arial" w:cs="Arial"/>
          <w:sz w:val="20"/>
          <w:lang w:val="pt-PT"/>
        </w:rPr>
        <w:t>colectivo</w:t>
      </w:r>
      <w:proofErr w:type="spellEnd"/>
      <w:r w:rsidRPr="00292532">
        <w:rPr>
          <w:rFonts w:ascii="Arial" w:eastAsia="Calibri" w:hAnsi="Arial" w:cs="Arial"/>
          <w:sz w:val="20"/>
          <w:lang w:val="pt-PT"/>
        </w:rPr>
        <w:t xml:space="preserve"> e o seu estado/condição para uso.</w:t>
      </w:r>
    </w:p>
    <w:p w14:paraId="48BC6DB5" w14:textId="2FA5475A" w:rsidR="00CA718D" w:rsidRPr="00292532" w:rsidRDefault="0034549C" w:rsidP="009A6B67">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 xml:space="preserve">Registos das formações de </w:t>
      </w:r>
      <w:r w:rsidR="00F03D32" w:rsidRPr="00292532">
        <w:rPr>
          <w:rFonts w:ascii="Arial" w:eastAsia="Calibri" w:hAnsi="Arial" w:cs="Arial"/>
          <w:sz w:val="20"/>
          <w:lang w:val="pt-PT"/>
        </w:rPr>
        <w:t>Saúde</w:t>
      </w:r>
      <w:r w:rsidRPr="00292532">
        <w:rPr>
          <w:rFonts w:ascii="Arial" w:eastAsia="Calibri" w:hAnsi="Arial" w:cs="Arial"/>
          <w:sz w:val="20"/>
          <w:lang w:val="pt-PT"/>
        </w:rPr>
        <w:t xml:space="preserve"> e </w:t>
      </w:r>
      <w:r w:rsidR="00F03D32" w:rsidRPr="00292532">
        <w:rPr>
          <w:rFonts w:ascii="Arial" w:eastAsia="Calibri" w:hAnsi="Arial" w:cs="Arial"/>
          <w:sz w:val="20"/>
          <w:lang w:val="pt-PT"/>
        </w:rPr>
        <w:t>Segurança</w:t>
      </w:r>
      <w:r w:rsidRPr="00292532">
        <w:rPr>
          <w:rFonts w:ascii="Arial" w:eastAsia="Calibri" w:hAnsi="Arial" w:cs="Arial"/>
          <w:sz w:val="20"/>
          <w:lang w:val="pt-PT"/>
        </w:rPr>
        <w:t xml:space="preserve"> </w:t>
      </w:r>
      <w:r w:rsidR="00F03D32" w:rsidRPr="00292532">
        <w:rPr>
          <w:rFonts w:ascii="Arial" w:eastAsia="Calibri" w:hAnsi="Arial" w:cs="Arial"/>
          <w:sz w:val="20"/>
          <w:lang w:val="pt-PT"/>
        </w:rPr>
        <w:t>ministradas aos trabalhadores</w:t>
      </w:r>
      <w:r w:rsidR="009A6B67" w:rsidRPr="00292532">
        <w:rPr>
          <w:rFonts w:ascii="Arial" w:eastAsia="Calibri" w:hAnsi="Arial" w:cs="Arial"/>
          <w:sz w:val="20"/>
          <w:lang w:val="pt-PT"/>
        </w:rPr>
        <w:t>, e</w:t>
      </w:r>
      <w:r w:rsidR="00CA718D" w:rsidRPr="00292532">
        <w:rPr>
          <w:rFonts w:ascii="Arial" w:eastAsia="Calibri" w:hAnsi="Arial" w:cs="Arial"/>
          <w:sz w:val="20"/>
          <w:lang w:val="pt-PT"/>
        </w:rPr>
        <w:t xml:space="preserve"> registo de </w:t>
      </w:r>
      <w:r w:rsidR="009A6B67" w:rsidRPr="00292532">
        <w:rPr>
          <w:rFonts w:ascii="Arial" w:eastAsia="Calibri" w:hAnsi="Arial" w:cs="Arial"/>
          <w:sz w:val="20"/>
          <w:lang w:val="pt-PT"/>
        </w:rPr>
        <w:t>presença as formações</w:t>
      </w:r>
    </w:p>
    <w:p w14:paraId="404FD0DE"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Registo de Substâncias Químicas Perigosas presentes na obra e o seu armazenamento.</w:t>
      </w:r>
    </w:p>
    <w:p w14:paraId="510CAD5D"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Registo do estado de máquinas e veículos.</w:t>
      </w:r>
    </w:p>
    <w:p w14:paraId="6E63A505"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Registo de Equipamento de Combate a incêndios.</w:t>
      </w:r>
    </w:p>
    <w:p w14:paraId="7FBEA1A8" w14:textId="491A30CC" w:rsidR="00B31AE2" w:rsidRPr="00292532" w:rsidRDefault="00442210"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Presença de</w:t>
      </w:r>
      <w:r w:rsidR="00B31AE2" w:rsidRPr="00292532">
        <w:rPr>
          <w:rFonts w:ascii="Arial" w:eastAsia="Calibri" w:hAnsi="Arial" w:cs="Arial"/>
          <w:sz w:val="20"/>
          <w:lang w:val="pt-PT"/>
        </w:rPr>
        <w:t xml:space="preserve"> </w:t>
      </w:r>
      <w:r w:rsidR="00B31AE2" w:rsidRPr="00292532">
        <w:rPr>
          <w:rFonts w:ascii="Arial" w:eastAsia="Calibri" w:hAnsi="Arial" w:cs="Arial"/>
          <w:i/>
          <w:sz w:val="20"/>
          <w:lang w:val="pt-PT"/>
        </w:rPr>
        <w:t>kits</w:t>
      </w:r>
      <w:r w:rsidR="00B31AE2" w:rsidRPr="00292532">
        <w:rPr>
          <w:rFonts w:ascii="Arial" w:eastAsia="Calibri" w:hAnsi="Arial" w:cs="Arial"/>
          <w:sz w:val="20"/>
          <w:lang w:val="pt-PT"/>
        </w:rPr>
        <w:t xml:space="preserve"> de primeiros socorros</w:t>
      </w:r>
      <w:r w:rsidRPr="00292532">
        <w:rPr>
          <w:rFonts w:ascii="Arial" w:eastAsia="Calibri" w:hAnsi="Arial" w:cs="Arial"/>
          <w:sz w:val="20"/>
          <w:lang w:val="pt-PT"/>
        </w:rPr>
        <w:t xml:space="preserve"> (e registo de material, medicamentos e equipamentos disponíveis)</w:t>
      </w:r>
      <w:r w:rsidR="00B31AE2" w:rsidRPr="00292532">
        <w:rPr>
          <w:rFonts w:ascii="Arial" w:eastAsia="Calibri" w:hAnsi="Arial" w:cs="Arial"/>
          <w:sz w:val="20"/>
          <w:lang w:val="pt-PT"/>
        </w:rPr>
        <w:t>.</w:t>
      </w:r>
    </w:p>
    <w:p w14:paraId="4F4C9926" w14:textId="0CCEE5EB"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Registo de condições de trabalho</w:t>
      </w:r>
      <w:r w:rsidR="00CD1C60" w:rsidRPr="004500AE">
        <w:rPr>
          <w:lang w:val="pt-PT"/>
        </w:rPr>
        <w:t xml:space="preserve"> </w:t>
      </w:r>
      <w:r w:rsidR="00CD1C60" w:rsidRPr="00292532">
        <w:rPr>
          <w:rFonts w:ascii="Arial" w:eastAsia="Calibri" w:hAnsi="Arial" w:cs="Arial"/>
          <w:sz w:val="20"/>
          <w:lang w:val="pt-PT"/>
        </w:rPr>
        <w:t xml:space="preserve">(medidas de mitigação </w:t>
      </w:r>
      <w:proofErr w:type="spellStart"/>
      <w:r w:rsidR="00CD1C60" w:rsidRPr="00292532">
        <w:rPr>
          <w:rFonts w:ascii="Arial" w:eastAsia="Calibri" w:hAnsi="Arial" w:cs="Arial"/>
          <w:sz w:val="20"/>
          <w:lang w:val="pt-PT"/>
        </w:rPr>
        <w:t>adoptadas</w:t>
      </w:r>
      <w:proofErr w:type="spellEnd"/>
      <w:r w:rsidR="00CD1C60" w:rsidRPr="00292532">
        <w:rPr>
          <w:rFonts w:ascii="Arial" w:eastAsia="Calibri" w:hAnsi="Arial" w:cs="Arial"/>
          <w:sz w:val="20"/>
          <w:lang w:val="pt-PT"/>
        </w:rPr>
        <w:t xml:space="preserve"> para minimizar possíveis acidentes decorrentes do trabalho) e condições dos estaleiros e acampamentos (dormitórios, existência de balneários separados para homens e mulheres, disposição de água, etc.).</w:t>
      </w:r>
    </w:p>
    <w:p w14:paraId="4D439599" w14:textId="25B26F75" w:rsidR="00CF3B85" w:rsidRPr="00292532" w:rsidRDefault="00B879F5"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Presença</w:t>
      </w:r>
      <w:r w:rsidR="00CF3B85" w:rsidRPr="00292532">
        <w:rPr>
          <w:rFonts w:ascii="Arial" w:eastAsia="Calibri" w:hAnsi="Arial" w:cs="Arial"/>
          <w:sz w:val="20"/>
          <w:lang w:val="pt-PT"/>
        </w:rPr>
        <w:t xml:space="preserve"> de </w:t>
      </w:r>
      <w:r w:rsidRPr="00292532">
        <w:rPr>
          <w:rFonts w:ascii="Arial" w:eastAsia="Calibri" w:hAnsi="Arial" w:cs="Arial"/>
          <w:sz w:val="20"/>
          <w:lang w:val="pt-PT"/>
        </w:rPr>
        <w:t>material</w:t>
      </w:r>
      <w:r w:rsidR="00CF3B85" w:rsidRPr="00292532">
        <w:rPr>
          <w:rFonts w:ascii="Arial" w:eastAsia="Calibri" w:hAnsi="Arial" w:cs="Arial"/>
          <w:sz w:val="20"/>
          <w:lang w:val="pt-PT"/>
        </w:rPr>
        <w:t xml:space="preserve"> de combate a </w:t>
      </w:r>
      <w:r w:rsidR="001E05D2" w:rsidRPr="00292532">
        <w:rPr>
          <w:rFonts w:ascii="Arial" w:eastAsia="Calibri" w:hAnsi="Arial" w:cs="Arial"/>
          <w:sz w:val="20"/>
          <w:lang w:val="pt-PT"/>
        </w:rPr>
        <w:t>incêndios e verificação da validade dos equipamentos</w:t>
      </w:r>
    </w:p>
    <w:p w14:paraId="489C2F08" w14:textId="77777777" w:rsidR="00B31AE2" w:rsidRPr="00292532" w:rsidRDefault="00B31AE2" w:rsidP="00B31AE2">
      <w:pPr>
        <w:suppressAutoHyphens/>
        <w:spacing w:before="0" w:after="0"/>
        <w:ind w:right="12"/>
        <w:rPr>
          <w:rFonts w:ascii="Arial" w:eastAsia="Calibri" w:hAnsi="Arial" w:cs="Arial"/>
          <w:sz w:val="20"/>
          <w:lang w:val="pt-PT"/>
        </w:rPr>
      </w:pPr>
      <w:r w:rsidRPr="00292532">
        <w:rPr>
          <w:rFonts w:ascii="Arial" w:eastAsia="Calibri" w:hAnsi="Arial" w:cs="Arial"/>
          <w:sz w:val="20"/>
          <w:lang w:val="pt-PT"/>
        </w:rPr>
        <w:t xml:space="preserve">Em caso de qualquer eventualidade/desvio, deverá se assegurar a sua </w:t>
      </w:r>
      <w:proofErr w:type="spellStart"/>
      <w:r w:rsidRPr="00292532">
        <w:rPr>
          <w:rFonts w:ascii="Arial" w:eastAsia="Calibri" w:hAnsi="Arial" w:cs="Arial"/>
          <w:sz w:val="20"/>
          <w:lang w:val="pt-PT"/>
        </w:rPr>
        <w:t>correcta</w:t>
      </w:r>
      <w:proofErr w:type="spellEnd"/>
      <w:r w:rsidRPr="00292532">
        <w:rPr>
          <w:rFonts w:ascii="Arial" w:eastAsia="Calibri" w:hAnsi="Arial" w:cs="Arial"/>
          <w:sz w:val="20"/>
          <w:lang w:val="pt-PT"/>
        </w:rPr>
        <w:t xml:space="preserve"> </w:t>
      </w:r>
      <w:proofErr w:type="spellStart"/>
      <w:r w:rsidRPr="00292532">
        <w:rPr>
          <w:rFonts w:ascii="Arial" w:eastAsia="Calibri" w:hAnsi="Arial" w:cs="Arial"/>
          <w:sz w:val="20"/>
          <w:lang w:val="pt-PT"/>
        </w:rPr>
        <w:t>acção</w:t>
      </w:r>
      <w:proofErr w:type="spellEnd"/>
      <w:r w:rsidRPr="00292532">
        <w:rPr>
          <w:rFonts w:ascii="Arial" w:eastAsia="Calibri" w:hAnsi="Arial" w:cs="Arial"/>
          <w:sz w:val="20"/>
          <w:lang w:val="pt-PT"/>
        </w:rPr>
        <w:t xml:space="preserve"> por forma a reduzir ou eliminar a ocorrência de incidente/acidente.</w:t>
      </w:r>
    </w:p>
    <w:p w14:paraId="2AC512C9" w14:textId="77777777" w:rsidR="00B31AE2" w:rsidRPr="00292532" w:rsidRDefault="00B31AE2" w:rsidP="00B31AE2">
      <w:pPr>
        <w:suppressAutoHyphens/>
        <w:spacing w:before="0" w:after="0"/>
        <w:ind w:left="24" w:right="12"/>
        <w:rPr>
          <w:rFonts w:ascii="Arial" w:eastAsia="Calibri" w:hAnsi="Arial" w:cs="Arial"/>
          <w:sz w:val="20"/>
          <w:lang w:val="pt-PT"/>
        </w:rPr>
      </w:pPr>
    </w:p>
    <w:p w14:paraId="656E6A6E" w14:textId="785719BF" w:rsidR="00B31AE2" w:rsidRPr="00292532" w:rsidRDefault="00B31AE2" w:rsidP="00AE14AE">
      <w:pPr>
        <w:keepNext/>
        <w:keepLines/>
        <w:numPr>
          <w:ilvl w:val="1"/>
          <w:numId w:val="145"/>
        </w:numPr>
        <w:spacing w:before="40" w:after="0" w:line="276" w:lineRule="auto"/>
        <w:jc w:val="left"/>
        <w:outlineLvl w:val="2"/>
        <w:rPr>
          <w:rFonts w:ascii="Arial" w:eastAsia="Times New Roman" w:hAnsi="Arial" w:cs="Arial"/>
          <w:b/>
          <w:color w:val="1F3763"/>
          <w:sz w:val="24"/>
          <w:szCs w:val="24"/>
          <w:lang w:val="pt-PT"/>
        </w:rPr>
      </w:pPr>
      <w:bookmarkStart w:id="1182" w:name="_Toc74921496"/>
      <w:bookmarkStart w:id="1183" w:name="_Toc75438072"/>
      <w:bookmarkStart w:id="1184" w:name="_Toc78435501"/>
      <w:bookmarkStart w:id="1185" w:name="_Toc80380168"/>
      <w:r w:rsidRPr="00292532">
        <w:rPr>
          <w:rFonts w:ascii="Arial" w:eastAsia="Times New Roman" w:hAnsi="Arial" w:cs="Arial"/>
          <w:b/>
          <w:color w:val="1F3763"/>
          <w:sz w:val="24"/>
          <w:szCs w:val="24"/>
          <w:lang w:val="pt-PT"/>
        </w:rPr>
        <w:t>Registo de Não Conformidades</w:t>
      </w:r>
      <w:bookmarkEnd w:id="1182"/>
      <w:bookmarkEnd w:id="1183"/>
      <w:bookmarkEnd w:id="1184"/>
      <w:bookmarkEnd w:id="1185"/>
    </w:p>
    <w:p w14:paraId="57F5EDC1" w14:textId="77777777" w:rsidR="00B31AE2" w:rsidRPr="00292532" w:rsidRDefault="00B31AE2" w:rsidP="00B31AE2">
      <w:pPr>
        <w:suppressAutoHyphens/>
        <w:spacing w:before="0" w:after="200"/>
        <w:ind w:left="24" w:right="12"/>
        <w:rPr>
          <w:rFonts w:ascii="Arial" w:eastAsia="Calibri" w:hAnsi="Arial" w:cs="Arial"/>
          <w:sz w:val="20"/>
          <w:lang w:val="pt-PT"/>
        </w:rPr>
      </w:pPr>
      <w:bookmarkStart w:id="1186" w:name="__RefHeading___Toc1717924"/>
      <w:bookmarkStart w:id="1187" w:name="__RefHeading___Toc1717927"/>
      <w:bookmarkEnd w:id="1186"/>
      <w:bookmarkEnd w:id="1187"/>
      <w:r w:rsidRPr="00292532">
        <w:rPr>
          <w:rFonts w:ascii="Arial" w:eastAsia="Calibri" w:hAnsi="Arial" w:cs="Arial"/>
          <w:sz w:val="20"/>
          <w:lang w:val="pt-PT"/>
        </w:rPr>
        <w:t xml:space="preserve">O Empreiteiro deverá registar como não conformidade todos os casos que apresentam gravidade significativa (requerendo </w:t>
      </w:r>
      <w:proofErr w:type="spellStart"/>
      <w:r w:rsidRPr="00292532">
        <w:rPr>
          <w:rFonts w:ascii="Arial" w:eastAsia="Calibri" w:hAnsi="Arial" w:cs="Arial"/>
          <w:sz w:val="20"/>
          <w:lang w:val="pt-PT"/>
        </w:rPr>
        <w:t>acções</w:t>
      </w:r>
      <w:proofErr w:type="spellEnd"/>
      <w:r w:rsidRPr="00292532">
        <w:rPr>
          <w:rFonts w:ascii="Arial" w:eastAsia="Calibri" w:hAnsi="Arial" w:cs="Arial"/>
          <w:sz w:val="20"/>
          <w:lang w:val="pt-PT"/>
        </w:rPr>
        <w:t xml:space="preserve"> </w:t>
      </w:r>
      <w:proofErr w:type="spellStart"/>
      <w:r w:rsidRPr="00292532">
        <w:rPr>
          <w:rFonts w:ascii="Arial" w:eastAsia="Calibri" w:hAnsi="Arial" w:cs="Arial"/>
          <w:sz w:val="20"/>
          <w:lang w:val="pt-PT"/>
        </w:rPr>
        <w:t>correctivas</w:t>
      </w:r>
      <w:proofErr w:type="spellEnd"/>
      <w:r w:rsidRPr="00292532">
        <w:rPr>
          <w:rFonts w:ascii="Arial" w:eastAsia="Calibri" w:hAnsi="Arial" w:cs="Arial"/>
          <w:sz w:val="20"/>
          <w:lang w:val="pt-PT"/>
        </w:rPr>
        <w:t xml:space="preserve"> / preventivas importantes) ou que, embora de menor gravidade, correspondam a uma situação de reincidência ou cujas </w:t>
      </w:r>
      <w:proofErr w:type="spellStart"/>
      <w:r w:rsidRPr="00292532">
        <w:rPr>
          <w:rFonts w:ascii="Arial" w:eastAsia="Calibri" w:hAnsi="Arial" w:cs="Arial"/>
          <w:sz w:val="20"/>
          <w:lang w:val="pt-PT"/>
        </w:rPr>
        <w:t>correcções</w:t>
      </w:r>
      <w:proofErr w:type="spellEnd"/>
      <w:r w:rsidRPr="00292532">
        <w:rPr>
          <w:rFonts w:ascii="Arial" w:eastAsia="Calibri" w:hAnsi="Arial" w:cs="Arial"/>
          <w:sz w:val="20"/>
          <w:lang w:val="pt-PT"/>
        </w:rPr>
        <w:t xml:space="preserve"> não possam ser resolvidas de imediato. Tais não conformidades deverão ser registadas em fichas conforme o </w:t>
      </w:r>
      <w:r w:rsidRPr="00292532">
        <w:rPr>
          <w:rFonts w:ascii="Arial" w:eastAsia="Calibri" w:hAnsi="Arial" w:cs="Arial"/>
          <w:color w:val="5B9BD5"/>
          <w:sz w:val="20"/>
          <w:lang w:val="pt-PT"/>
        </w:rPr>
        <w:t xml:space="preserve">Apêndice C </w:t>
      </w:r>
      <w:r w:rsidRPr="00292532">
        <w:rPr>
          <w:rFonts w:ascii="Arial" w:eastAsia="Calibri" w:hAnsi="Arial" w:cs="Arial"/>
          <w:sz w:val="20"/>
          <w:lang w:val="pt-PT"/>
        </w:rPr>
        <w:t>deste Plano, ou outro que o Empreiteiro entenda ser melhor, desde que não diminua a informação referida neste modelo.</w:t>
      </w:r>
    </w:p>
    <w:p w14:paraId="10AEDF41" w14:textId="77777777" w:rsidR="00B31AE2" w:rsidRPr="00292532" w:rsidRDefault="00B31AE2" w:rsidP="00B31AE2">
      <w:pPr>
        <w:suppressAutoHyphens/>
        <w:spacing w:before="0" w:after="0"/>
        <w:ind w:left="24" w:right="12"/>
        <w:rPr>
          <w:rFonts w:ascii="Arial" w:eastAsia="Calibri" w:hAnsi="Arial" w:cs="Arial"/>
          <w:sz w:val="20"/>
          <w:lang w:val="pt-PT"/>
        </w:rPr>
      </w:pPr>
      <w:r w:rsidRPr="00292532">
        <w:rPr>
          <w:rFonts w:ascii="Arial" w:eastAsia="Calibri" w:hAnsi="Arial" w:cs="Arial"/>
          <w:sz w:val="20"/>
          <w:lang w:val="pt-PT"/>
        </w:rPr>
        <w:t xml:space="preserve">Caso o Empreiteiro não registe uma não conformidade que no critério da Fiscalização deva ser considerado como tal, esta (o Fiscal) deverá registar essa não conformidade, obrigando-se o Empreiteiro a incluir no apêndice de não conformidades adiante referidas e a cumprir com a ordem dada pelo Fiscal. Nesta situação, o Fiscal deverá fazer constar essa situação nos relatórios mensais e para as reuniões de obra, registando-se na </w:t>
      </w:r>
      <w:proofErr w:type="spellStart"/>
      <w:r w:rsidRPr="00292532">
        <w:rPr>
          <w:rFonts w:ascii="Arial" w:eastAsia="Calibri" w:hAnsi="Arial" w:cs="Arial"/>
          <w:sz w:val="20"/>
          <w:lang w:val="pt-PT"/>
        </w:rPr>
        <w:t>respectiva</w:t>
      </w:r>
      <w:proofErr w:type="spellEnd"/>
      <w:r w:rsidRPr="00292532">
        <w:rPr>
          <w:rFonts w:ascii="Arial" w:eastAsia="Calibri" w:hAnsi="Arial" w:cs="Arial"/>
          <w:sz w:val="20"/>
          <w:lang w:val="pt-PT"/>
        </w:rPr>
        <w:t xml:space="preserve"> </w:t>
      </w:r>
      <w:proofErr w:type="spellStart"/>
      <w:r w:rsidRPr="00292532">
        <w:rPr>
          <w:rFonts w:ascii="Arial" w:eastAsia="Calibri" w:hAnsi="Arial" w:cs="Arial"/>
          <w:sz w:val="20"/>
          <w:lang w:val="pt-PT"/>
        </w:rPr>
        <w:t>acta</w:t>
      </w:r>
      <w:proofErr w:type="spellEnd"/>
      <w:r w:rsidRPr="00292532">
        <w:rPr>
          <w:rFonts w:ascii="Arial" w:eastAsia="Calibri" w:hAnsi="Arial" w:cs="Arial"/>
          <w:sz w:val="20"/>
          <w:lang w:val="pt-PT"/>
        </w:rPr>
        <w:t xml:space="preserve"> as medidas tomadas para esclarecer e evitar situações similares.</w:t>
      </w:r>
    </w:p>
    <w:p w14:paraId="1FB787CC" w14:textId="77777777" w:rsidR="00B31AE2" w:rsidRPr="00292532" w:rsidRDefault="00B31AE2" w:rsidP="00B31AE2">
      <w:pPr>
        <w:suppressAutoHyphens/>
        <w:spacing w:before="0" w:after="0"/>
        <w:ind w:left="24" w:right="12"/>
        <w:rPr>
          <w:rFonts w:ascii="Arial" w:eastAsia="Calibri" w:hAnsi="Arial" w:cs="Arial"/>
          <w:sz w:val="20"/>
          <w:highlight w:val="yellow"/>
          <w:lang w:val="pt-PT"/>
        </w:rPr>
      </w:pPr>
    </w:p>
    <w:p w14:paraId="5EE16603" w14:textId="76988D9A" w:rsidR="00B31AE2" w:rsidRPr="00292532" w:rsidRDefault="00B31AE2" w:rsidP="00AE14AE">
      <w:pPr>
        <w:keepNext/>
        <w:keepLines/>
        <w:numPr>
          <w:ilvl w:val="1"/>
          <w:numId w:val="145"/>
        </w:numPr>
        <w:spacing w:before="40" w:after="0" w:line="276" w:lineRule="auto"/>
        <w:jc w:val="left"/>
        <w:outlineLvl w:val="2"/>
        <w:rPr>
          <w:rFonts w:ascii="Arial" w:eastAsia="Times New Roman" w:hAnsi="Arial" w:cs="Arial"/>
          <w:b/>
          <w:color w:val="1F3763"/>
          <w:sz w:val="24"/>
          <w:szCs w:val="24"/>
          <w:lang w:val="pt-PT"/>
        </w:rPr>
      </w:pPr>
      <w:bookmarkStart w:id="1188" w:name="_Toc74921497"/>
      <w:bookmarkStart w:id="1189" w:name="_Toc75438073"/>
      <w:bookmarkStart w:id="1190" w:name="_Toc78435502"/>
      <w:bookmarkStart w:id="1191" w:name="_Toc80380169"/>
      <w:r w:rsidRPr="00292532">
        <w:rPr>
          <w:rFonts w:ascii="Arial" w:eastAsia="Times New Roman" w:hAnsi="Arial" w:cs="Arial"/>
          <w:b/>
          <w:color w:val="1F3763"/>
          <w:sz w:val="24"/>
          <w:szCs w:val="24"/>
          <w:lang w:val="pt-PT"/>
        </w:rPr>
        <w:t>Reporte de incidentes</w:t>
      </w:r>
      <w:bookmarkEnd w:id="1188"/>
      <w:bookmarkEnd w:id="1189"/>
      <w:bookmarkEnd w:id="1190"/>
      <w:bookmarkEnd w:id="1191"/>
    </w:p>
    <w:p w14:paraId="0813772E" w14:textId="77777777" w:rsidR="00B31AE2" w:rsidRPr="00292532" w:rsidRDefault="00B31AE2" w:rsidP="00B31AE2">
      <w:pPr>
        <w:suppressAutoHyphens/>
        <w:spacing w:before="0" w:after="0"/>
        <w:ind w:left="24" w:right="12"/>
        <w:rPr>
          <w:rFonts w:ascii="Arial" w:eastAsia="Calibri" w:hAnsi="Arial" w:cs="Arial"/>
          <w:sz w:val="20"/>
          <w:lang w:val="pt-PT"/>
        </w:rPr>
      </w:pPr>
      <w:r w:rsidRPr="00292532">
        <w:rPr>
          <w:rFonts w:ascii="Arial" w:eastAsia="Calibri" w:hAnsi="Arial" w:cs="Arial"/>
          <w:sz w:val="20"/>
          <w:lang w:val="pt-PT"/>
        </w:rPr>
        <w:t xml:space="preserve">Todos os incidentes, incluindo aqueles que requerem apenas respostas leves, quase ocorrências e violações aos direitos humanos ou questões relacionadas ao género devem ser relatados imediatamente após sua ocorrência ao Gerente da obra ou a UIP através do MGR (apresentado no </w:t>
      </w:r>
      <w:r w:rsidRPr="00292532">
        <w:rPr>
          <w:rFonts w:ascii="Arial" w:eastAsia="Calibri" w:hAnsi="Arial" w:cs="Arial"/>
          <w:color w:val="5B9BD5"/>
          <w:sz w:val="20"/>
          <w:lang w:val="pt-PT"/>
        </w:rPr>
        <w:t xml:space="preserve">Capítulo </w:t>
      </w:r>
      <w:r w:rsidRPr="00292532">
        <w:rPr>
          <w:rFonts w:ascii="Arial" w:eastAsia="Calibri" w:hAnsi="Arial" w:cs="Arial"/>
          <w:color w:val="5B9BD5"/>
          <w:sz w:val="20"/>
          <w:lang w:val="pt-PT"/>
        </w:rPr>
        <w:fldChar w:fldCharType="begin"/>
      </w:r>
      <w:r w:rsidRPr="00292532">
        <w:rPr>
          <w:rFonts w:ascii="Arial" w:eastAsia="Calibri" w:hAnsi="Arial" w:cs="Arial"/>
          <w:color w:val="5B9BD5"/>
          <w:sz w:val="20"/>
          <w:lang w:val="pt-PT"/>
        </w:rPr>
        <w:instrText xml:space="preserve"> REF _Ref73397692 \r \h  \* MERGEFORMAT </w:instrText>
      </w:r>
      <w:r w:rsidRPr="00292532">
        <w:rPr>
          <w:rFonts w:ascii="Arial" w:eastAsia="Calibri" w:hAnsi="Arial" w:cs="Arial"/>
          <w:color w:val="5B9BD5"/>
          <w:sz w:val="20"/>
          <w:lang w:val="pt-PT"/>
        </w:rPr>
      </w:r>
      <w:r w:rsidRPr="00292532">
        <w:rPr>
          <w:rFonts w:ascii="Arial" w:eastAsia="Calibri" w:hAnsi="Arial" w:cs="Arial"/>
          <w:color w:val="5B9BD5"/>
          <w:sz w:val="20"/>
          <w:lang w:val="pt-PT"/>
        </w:rPr>
        <w:fldChar w:fldCharType="separate"/>
      </w:r>
      <w:r w:rsidRPr="00292532">
        <w:rPr>
          <w:rFonts w:ascii="Arial" w:eastAsia="Calibri" w:hAnsi="Arial" w:cs="Arial"/>
          <w:color w:val="5B9BD5"/>
          <w:sz w:val="20"/>
          <w:lang w:val="pt-PT"/>
        </w:rPr>
        <w:t>10</w:t>
      </w:r>
      <w:r w:rsidRPr="00292532">
        <w:rPr>
          <w:rFonts w:ascii="Arial" w:eastAsia="Calibri" w:hAnsi="Arial" w:cs="Arial"/>
          <w:color w:val="5B9BD5"/>
          <w:sz w:val="20"/>
          <w:lang w:val="pt-PT"/>
        </w:rPr>
        <w:fldChar w:fldCharType="end"/>
      </w:r>
      <w:r w:rsidRPr="00292532">
        <w:rPr>
          <w:rFonts w:ascii="Arial" w:eastAsia="Calibri" w:hAnsi="Arial" w:cs="Arial"/>
          <w:sz w:val="20"/>
          <w:lang w:val="pt-PT"/>
        </w:rPr>
        <w:t xml:space="preserve">). O </w:t>
      </w:r>
      <w:proofErr w:type="spellStart"/>
      <w:r w:rsidRPr="00292532">
        <w:rPr>
          <w:rFonts w:ascii="Arial" w:eastAsia="Calibri" w:hAnsi="Arial" w:cs="Arial"/>
          <w:sz w:val="20"/>
          <w:lang w:val="pt-PT"/>
        </w:rPr>
        <w:t>objectivo</w:t>
      </w:r>
      <w:proofErr w:type="spellEnd"/>
      <w:r w:rsidRPr="00292532">
        <w:rPr>
          <w:rFonts w:ascii="Arial" w:eastAsia="Calibri" w:hAnsi="Arial" w:cs="Arial"/>
          <w:sz w:val="20"/>
          <w:lang w:val="pt-PT"/>
        </w:rPr>
        <w:t xml:space="preserve"> é prevenir a ocorrência de acidentes graves que possam resultar em grandes perdas de materiais e, mais importante, danos humanos irreparáveis ou conflitos entre trabalhadores. Nenhuma </w:t>
      </w:r>
      <w:proofErr w:type="spellStart"/>
      <w:r w:rsidRPr="00292532">
        <w:rPr>
          <w:rFonts w:ascii="Arial" w:eastAsia="Calibri" w:hAnsi="Arial" w:cs="Arial"/>
          <w:sz w:val="20"/>
          <w:lang w:val="pt-PT"/>
        </w:rPr>
        <w:t>acção</w:t>
      </w:r>
      <w:proofErr w:type="spellEnd"/>
      <w:r w:rsidRPr="00292532">
        <w:rPr>
          <w:rFonts w:ascii="Arial" w:eastAsia="Calibri" w:hAnsi="Arial" w:cs="Arial"/>
          <w:sz w:val="20"/>
          <w:lang w:val="pt-PT"/>
        </w:rPr>
        <w:t xml:space="preserve"> disciplinar deve ser tomada </w:t>
      </w:r>
      <w:r w:rsidRPr="00292532">
        <w:rPr>
          <w:rFonts w:ascii="Arial" w:eastAsia="Calibri" w:hAnsi="Arial" w:cs="Arial"/>
          <w:sz w:val="20"/>
          <w:lang w:val="pt-PT"/>
        </w:rPr>
        <w:lastRenderedPageBreak/>
        <w:t>sobre um funcionário por relatar um incidente, independentemente de sua categoria e gravidade. Pelo contrário, todos os trabalhadores devem ser incentivados a relatar todos incidentes e quase ocorrências</w:t>
      </w:r>
      <w:r w:rsidRPr="00292532">
        <w:rPr>
          <w:rFonts w:ascii="Arial" w:eastAsia="Calibri" w:hAnsi="Arial" w:cs="Arial"/>
          <w:sz w:val="20"/>
          <w:vertAlign w:val="superscript"/>
          <w:lang w:val="pt-PT"/>
        </w:rPr>
        <w:footnoteReference w:id="19"/>
      </w:r>
      <w:r w:rsidRPr="00292532">
        <w:rPr>
          <w:rFonts w:ascii="Arial" w:eastAsia="Calibri" w:hAnsi="Arial" w:cs="Arial"/>
          <w:sz w:val="20"/>
          <w:lang w:val="pt-PT"/>
        </w:rPr>
        <w:t xml:space="preserve">. Todos os incidentes relatados por ou envolvendo trabalhadores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devem ser investigados com seriedade. Medidas </w:t>
      </w:r>
      <w:proofErr w:type="spellStart"/>
      <w:r w:rsidRPr="00292532">
        <w:rPr>
          <w:rFonts w:ascii="Arial" w:eastAsia="Calibri" w:hAnsi="Arial" w:cs="Arial"/>
          <w:sz w:val="20"/>
          <w:lang w:val="pt-PT"/>
        </w:rPr>
        <w:t>correctivas</w:t>
      </w:r>
      <w:proofErr w:type="spellEnd"/>
      <w:r w:rsidRPr="00292532">
        <w:rPr>
          <w:rFonts w:ascii="Arial" w:eastAsia="Calibri" w:hAnsi="Arial" w:cs="Arial"/>
          <w:sz w:val="20"/>
          <w:lang w:val="pt-PT"/>
        </w:rPr>
        <w:t xml:space="preserve"> serão definidas, implementadas e transmitidas aos interessados.</w:t>
      </w:r>
    </w:p>
    <w:p w14:paraId="6DCFDD60" w14:textId="77777777" w:rsidR="00B31AE2" w:rsidRPr="00292532" w:rsidRDefault="00B31AE2" w:rsidP="00B31AE2">
      <w:pPr>
        <w:suppressAutoHyphens/>
        <w:spacing w:before="0" w:after="0"/>
        <w:ind w:left="24" w:right="12"/>
        <w:rPr>
          <w:rFonts w:ascii="Arial" w:eastAsia="Calibri" w:hAnsi="Arial" w:cs="Arial"/>
          <w:sz w:val="20"/>
          <w:lang w:val="pt-PT"/>
        </w:rPr>
      </w:pPr>
    </w:p>
    <w:p w14:paraId="5A6C9885" w14:textId="09162BB2" w:rsidR="00B31AE2" w:rsidRPr="00292532" w:rsidRDefault="00B31AE2" w:rsidP="00AE14AE">
      <w:pPr>
        <w:keepNext/>
        <w:keepLines/>
        <w:numPr>
          <w:ilvl w:val="1"/>
          <w:numId w:val="145"/>
        </w:numPr>
        <w:spacing w:before="40" w:after="0" w:line="276" w:lineRule="auto"/>
        <w:jc w:val="left"/>
        <w:outlineLvl w:val="2"/>
        <w:rPr>
          <w:rFonts w:ascii="Arial" w:eastAsia="Times New Roman" w:hAnsi="Arial" w:cs="Arial"/>
          <w:b/>
          <w:color w:val="1F3763"/>
          <w:sz w:val="24"/>
          <w:szCs w:val="24"/>
          <w:lang w:val="pt-PT"/>
        </w:rPr>
      </w:pPr>
      <w:bookmarkStart w:id="1192" w:name="_Toc74921498"/>
      <w:bookmarkStart w:id="1193" w:name="_Toc75438074"/>
      <w:bookmarkStart w:id="1194" w:name="_Toc78435503"/>
      <w:bookmarkStart w:id="1195" w:name="_Toc80380170"/>
      <w:r w:rsidRPr="00292532">
        <w:rPr>
          <w:rFonts w:ascii="Arial" w:eastAsia="Times New Roman" w:hAnsi="Arial" w:cs="Arial"/>
          <w:b/>
          <w:color w:val="1F3763"/>
          <w:sz w:val="24"/>
          <w:szCs w:val="24"/>
          <w:lang w:val="pt-PT"/>
        </w:rPr>
        <w:t>Registo de Acidentes de trabalho</w:t>
      </w:r>
      <w:bookmarkEnd w:id="1192"/>
      <w:bookmarkEnd w:id="1193"/>
      <w:bookmarkEnd w:id="1194"/>
      <w:bookmarkEnd w:id="1195"/>
    </w:p>
    <w:p w14:paraId="13240ED8" w14:textId="274F8AA4" w:rsidR="00B31AE2" w:rsidRPr="00292532" w:rsidRDefault="00B31AE2" w:rsidP="00B31AE2">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 xml:space="preserve">Sempre que ocorra um acidente de trabalho envolvendo qualquer trabalhador ao serviço do Empreiteiro (incluindo empresas subcontratadas e fornecedores), deve ser </w:t>
      </w:r>
      <w:proofErr w:type="spellStart"/>
      <w:r w:rsidRPr="00292532">
        <w:rPr>
          <w:rFonts w:ascii="Arial" w:eastAsia="Calibri" w:hAnsi="Arial" w:cs="Arial"/>
          <w:sz w:val="20"/>
          <w:lang w:val="pt-PT"/>
        </w:rPr>
        <w:t>efectuado</w:t>
      </w:r>
      <w:proofErr w:type="spellEnd"/>
      <w:r w:rsidRPr="00292532">
        <w:rPr>
          <w:rFonts w:ascii="Arial" w:eastAsia="Calibri" w:hAnsi="Arial" w:cs="Arial"/>
          <w:sz w:val="20"/>
          <w:lang w:val="pt-PT"/>
        </w:rPr>
        <w:t xml:space="preserve"> um inquérito registando-se todas as informações relevantes que permitam uma análise detalhada desse acidente, incluindo as medidas preventivas adequadas para evitar a ocorrência de um acidente similar. Tratando-se de acidente grave ou fatal deverá também o Empreiteiro proceder à sua comunicação, nos termos da legislação em vigor (Decreto no 62/2013 de 4 de Dezembro), às entidades competentes - essas situações carecem de notificação imediata (por telefone) ao Fiscal</w:t>
      </w:r>
      <w:r w:rsidR="00CD1C60" w:rsidRPr="00292532">
        <w:rPr>
          <w:rFonts w:ascii="Arial" w:eastAsia="Calibri" w:hAnsi="Arial" w:cs="Arial"/>
          <w:sz w:val="20"/>
          <w:lang w:val="pt-PT"/>
        </w:rPr>
        <w:t xml:space="preserve"> </w:t>
      </w:r>
      <w:r w:rsidRPr="00292532">
        <w:rPr>
          <w:rFonts w:ascii="Arial" w:eastAsia="Calibri" w:hAnsi="Arial" w:cs="Arial"/>
          <w:sz w:val="20"/>
          <w:lang w:val="pt-PT"/>
        </w:rPr>
        <w:t>à UIP</w:t>
      </w:r>
      <w:r w:rsidR="00CD1C60" w:rsidRPr="00292532">
        <w:rPr>
          <w:rFonts w:ascii="Arial" w:eastAsia="Calibri" w:hAnsi="Arial" w:cs="Arial"/>
          <w:sz w:val="20"/>
          <w:lang w:val="pt-PT"/>
        </w:rPr>
        <w:t xml:space="preserve"> </w:t>
      </w:r>
      <w:proofErr w:type="gramStart"/>
      <w:r w:rsidR="00CD1C60" w:rsidRPr="00292532">
        <w:rPr>
          <w:rFonts w:ascii="Arial" w:eastAsia="Calibri" w:hAnsi="Arial" w:cs="Arial"/>
          <w:sz w:val="20"/>
          <w:lang w:val="pt-PT"/>
        </w:rPr>
        <w:t xml:space="preserve">e </w:t>
      </w:r>
      <w:r w:rsidR="00CD1C60" w:rsidRPr="004500AE">
        <w:rPr>
          <w:lang w:val="pt-PT"/>
        </w:rPr>
        <w:t xml:space="preserve"> </w:t>
      </w:r>
      <w:r w:rsidR="00CD1C60" w:rsidRPr="00292532">
        <w:rPr>
          <w:rFonts w:ascii="Arial" w:eastAsia="Calibri" w:hAnsi="Arial" w:cs="Arial"/>
          <w:sz w:val="20"/>
          <w:lang w:val="pt-PT"/>
        </w:rPr>
        <w:t>deste</w:t>
      </w:r>
      <w:proofErr w:type="gramEnd"/>
      <w:r w:rsidR="00CD1C60" w:rsidRPr="00292532">
        <w:rPr>
          <w:rFonts w:ascii="Arial" w:eastAsia="Calibri" w:hAnsi="Arial" w:cs="Arial"/>
          <w:sz w:val="20"/>
          <w:lang w:val="pt-PT"/>
        </w:rPr>
        <w:t xml:space="preserve"> ao financiador (Banco Mundial) num prazo de 24 horas após o acidente</w:t>
      </w:r>
      <w:r w:rsidRPr="00292532">
        <w:rPr>
          <w:rFonts w:ascii="Arial" w:eastAsia="Calibri" w:hAnsi="Arial" w:cs="Arial"/>
          <w:sz w:val="20"/>
          <w:lang w:val="pt-PT"/>
        </w:rPr>
        <w:t xml:space="preserve">. </w:t>
      </w:r>
    </w:p>
    <w:p w14:paraId="695A36DA" w14:textId="31867EEF" w:rsidR="00B31AE2" w:rsidRPr="00292532" w:rsidRDefault="00B31AE2" w:rsidP="00B31AE2">
      <w:pPr>
        <w:suppressAutoHyphens/>
        <w:spacing w:before="0" w:after="0"/>
        <w:ind w:left="24" w:right="12"/>
        <w:rPr>
          <w:rFonts w:ascii="Arial" w:eastAsia="Calibri" w:hAnsi="Arial" w:cs="Arial"/>
          <w:sz w:val="20"/>
          <w:lang w:val="pt-PT"/>
        </w:rPr>
      </w:pPr>
      <w:r w:rsidRPr="00292532">
        <w:rPr>
          <w:rFonts w:ascii="Arial" w:eastAsia="Calibri" w:hAnsi="Arial" w:cs="Arial"/>
          <w:sz w:val="20"/>
          <w:lang w:val="pt-PT"/>
        </w:rPr>
        <w:t xml:space="preserve">O registo de acidentes de trabalho deverá ser feito através do modelo apresentado no </w:t>
      </w:r>
      <w:r w:rsidRPr="00292532">
        <w:rPr>
          <w:rFonts w:ascii="Arial" w:eastAsia="Calibri" w:hAnsi="Arial" w:cs="Arial"/>
          <w:color w:val="5B9BD5"/>
          <w:sz w:val="20"/>
          <w:lang w:val="pt-PT"/>
        </w:rPr>
        <w:t>Apêndice D</w:t>
      </w:r>
      <w:r w:rsidRPr="00292532">
        <w:rPr>
          <w:rFonts w:ascii="Arial" w:eastAsia="Calibri" w:hAnsi="Arial" w:cs="Arial"/>
          <w:sz w:val="20"/>
          <w:lang w:val="pt-PT"/>
        </w:rPr>
        <w:t xml:space="preserve">, ou em outro modelo que o empreiteiro e a UIP acordarem para o efeito, bastando ter informações precisas e que permitam a investigação do acidente e as medidas preventivas ou </w:t>
      </w:r>
      <w:proofErr w:type="spellStart"/>
      <w:r w:rsidRPr="00292532">
        <w:rPr>
          <w:rFonts w:ascii="Arial" w:eastAsia="Calibri" w:hAnsi="Arial" w:cs="Arial"/>
          <w:sz w:val="20"/>
          <w:lang w:val="pt-PT"/>
        </w:rPr>
        <w:t>correctivas</w:t>
      </w:r>
      <w:proofErr w:type="spellEnd"/>
      <w:r w:rsidRPr="00292532">
        <w:rPr>
          <w:rFonts w:ascii="Arial" w:eastAsia="Calibri" w:hAnsi="Arial" w:cs="Arial"/>
          <w:sz w:val="20"/>
          <w:lang w:val="pt-PT"/>
        </w:rPr>
        <w:t xml:space="preserve"> para que eventos similares não ocorram.</w:t>
      </w:r>
    </w:p>
    <w:p w14:paraId="44F746DA" w14:textId="77777777" w:rsidR="00B31AE2" w:rsidRPr="00292532" w:rsidRDefault="00B31AE2" w:rsidP="00B31AE2">
      <w:pPr>
        <w:suppressAutoHyphens/>
        <w:spacing w:before="0" w:after="0"/>
        <w:ind w:left="24" w:right="12"/>
        <w:rPr>
          <w:rFonts w:ascii="Arial" w:eastAsia="Calibri" w:hAnsi="Arial" w:cs="Arial"/>
          <w:sz w:val="20"/>
          <w:lang w:val="pt-PT"/>
        </w:rPr>
      </w:pPr>
    </w:p>
    <w:p w14:paraId="5D65E41F" w14:textId="77777777" w:rsidR="00B31AE2" w:rsidRPr="00292532" w:rsidRDefault="00B31AE2" w:rsidP="00B31AE2">
      <w:pPr>
        <w:suppressAutoHyphens/>
        <w:spacing w:before="0" w:after="200"/>
        <w:ind w:left="24" w:right="12"/>
        <w:rPr>
          <w:rFonts w:ascii="Arial" w:eastAsia="Calibri" w:hAnsi="Arial" w:cs="Arial"/>
          <w:sz w:val="20"/>
          <w:szCs w:val="20"/>
          <w:lang w:val="pt-PT"/>
        </w:rPr>
      </w:pPr>
      <w:r w:rsidRPr="00292532">
        <w:rPr>
          <w:rFonts w:ascii="Arial" w:eastAsia="Calibri" w:hAnsi="Arial" w:cs="Arial"/>
          <w:sz w:val="20"/>
          <w:szCs w:val="20"/>
          <w:lang w:val="pt-PT"/>
        </w:rPr>
        <w:t>Procedimento a seguir em caso de incidente/acidente:</w:t>
      </w:r>
    </w:p>
    <w:p w14:paraId="28ED6BAE" w14:textId="77777777" w:rsidR="00B31AE2" w:rsidRPr="00292532" w:rsidRDefault="00B31AE2" w:rsidP="00B31AE2">
      <w:pPr>
        <w:spacing w:before="0" w:after="0" w:line="276" w:lineRule="auto"/>
        <w:ind w:left="360"/>
        <w:jc w:val="left"/>
        <w:rPr>
          <w:rFonts w:ascii="Arial" w:eastAsia="Calibri" w:hAnsi="Arial" w:cs="Arial"/>
          <w:color w:val="000000"/>
          <w:sz w:val="20"/>
          <w:szCs w:val="20"/>
          <w:lang w:val="pt-PT"/>
        </w:rPr>
      </w:pPr>
      <w:r w:rsidRPr="00292532">
        <w:rPr>
          <w:rFonts w:ascii="Arial" w:eastAsia="Arial" w:hAnsi="Arial" w:cs="Arial"/>
          <w:color w:val="000000"/>
          <w:sz w:val="20"/>
          <w:szCs w:val="20"/>
          <w:lang w:val="pt-PT"/>
        </w:rPr>
        <w:t xml:space="preserve">■ </w:t>
      </w:r>
      <w:r w:rsidRPr="00292532">
        <w:rPr>
          <w:rFonts w:ascii="Arial" w:eastAsia="Calibri" w:hAnsi="Arial" w:cs="Arial"/>
          <w:b/>
          <w:color w:val="000000"/>
          <w:sz w:val="20"/>
          <w:szCs w:val="20"/>
          <w:lang w:val="pt-PT"/>
        </w:rPr>
        <w:t>Incidente / quase acidente</w:t>
      </w:r>
      <w:r w:rsidRPr="00292532">
        <w:rPr>
          <w:rFonts w:ascii="Arial" w:eastAsia="Calibri" w:hAnsi="Arial" w:cs="Arial"/>
          <w:color w:val="000000"/>
          <w:sz w:val="20"/>
          <w:szCs w:val="20"/>
          <w:lang w:val="pt-PT"/>
        </w:rPr>
        <w:t xml:space="preserve"> (sem ferimentos e sem danos materiais)</w:t>
      </w:r>
    </w:p>
    <w:p w14:paraId="3748B3B3" w14:textId="77777777" w:rsidR="00B31AE2" w:rsidRPr="00292532" w:rsidRDefault="00B31AE2" w:rsidP="00AE14AE">
      <w:pPr>
        <w:numPr>
          <w:ilvl w:val="0"/>
          <w:numId w:val="146"/>
        </w:numPr>
        <w:suppressAutoHyphens/>
        <w:spacing w:before="0" w:after="0" w:line="276" w:lineRule="auto"/>
        <w:ind w:right="12"/>
        <w:contextualSpacing/>
        <w:jc w:val="left"/>
        <w:rPr>
          <w:rFonts w:ascii="Arial" w:eastAsia="Calibri" w:hAnsi="Arial" w:cs="Arial"/>
          <w:sz w:val="20"/>
          <w:szCs w:val="20"/>
          <w:lang w:val="pt-PT"/>
        </w:rPr>
      </w:pPr>
      <w:r w:rsidRPr="00292532">
        <w:rPr>
          <w:rFonts w:ascii="Arial" w:eastAsia="Calibri" w:hAnsi="Arial" w:cs="Arial"/>
          <w:sz w:val="20"/>
          <w:szCs w:val="20"/>
          <w:lang w:val="pt-PT"/>
        </w:rPr>
        <w:t>Análise da ocorrência pelo Oficial de SSO e definição das medidas preventivas a implementar.</w:t>
      </w:r>
    </w:p>
    <w:p w14:paraId="7B22AA6C" w14:textId="77777777" w:rsidR="00B31AE2" w:rsidRPr="00292532" w:rsidRDefault="00B31AE2" w:rsidP="00B31AE2">
      <w:pPr>
        <w:suppressAutoHyphens/>
        <w:spacing w:before="0" w:after="0"/>
        <w:ind w:right="12"/>
        <w:rPr>
          <w:rFonts w:ascii="Arial" w:eastAsia="Calibri" w:hAnsi="Arial" w:cs="Arial"/>
          <w:sz w:val="20"/>
          <w:szCs w:val="20"/>
          <w:lang w:val="pt-PT"/>
        </w:rPr>
      </w:pPr>
    </w:p>
    <w:p w14:paraId="7BF0ED9D" w14:textId="77777777" w:rsidR="00B31AE2" w:rsidRPr="00292532" w:rsidRDefault="00B31AE2" w:rsidP="00B31AE2">
      <w:pPr>
        <w:spacing w:before="0" w:after="0" w:line="276" w:lineRule="auto"/>
        <w:ind w:left="360"/>
        <w:jc w:val="left"/>
        <w:rPr>
          <w:rFonts w:ascii="Arial" w:eastAsia="Calibri" w:hAnsi="Arial" w:cs="Arial"/>
          <w:color w:val="000000"/>
          <w:sz w:val="20"/>
          <w:szCs w:val="20"/>
          <w:lang w:val="pt-PT"/>
        </w:rPr>
      </w:pPr>
      <w:r w:rsidRPr="00292532">
        <w:rPr>
          <w:rFonts w:ascii="Arial" w:eastAsia="Arial" w:hAnsi="Arial" w:cs="Arial"/>
          <w:b/>
          <w:color w:val="000000"/>
          <w:sz w:val="20"/>
          <w:szCs w:val="20"/>
          <w:lang w:val="pt-PT"/>
        </w:rPr>
        <w:t xml:space="preserve">■ </w:t>
      </w:r>
      <w:r w:rsidRPr="00292532">
        <w:rPr>
          <w:rFonts w:ascii="Arial" w:eastAsia="Calibri" w:hAnsi="Arial" w:cs="Arial"/>
          <w:b/>
          <w:color w:val="000000"/>
          <w:sz w:val="20"/>
          <w:szCs w:val="20"/>
          <w:lang w:val="pt-PT"/>
        </w:rPr>
        <w:t>Acidente ligeiro</w:t>
      </w:r>
      <w:r w:rsidRPr="00292532">
        <w:rPr>
          <w:rFonts w:ascii="Arial" w:eastAsia="Calibri" w:hAnsi="Arial" w:cs="Arial"/>
          <w:color w:val="000000"/>
          <w:sz w:val="20"/>
          <w:szCs w:val="20"/>
          <w:lang w:val="pt-PT"/>
        </w:rPr>
        <w:t xml:space="preserve"> (arranhões leves, feridas leves, cujo primeiro socorro é suficiente/dano material ligeiro)</w:t>
      </w:r>
    </w:p>
    <w:p w14:paraId="64D88DF4"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szCs w:val="20"/>
          <w:lang w:val="pt-PT"/>
        </w:rPr>
      </w:pPr>
      <w:r w:rsidRPr="00292532">
        <w:rPr>
          <w:rFonts w:ascii="Arial" w:eastAsia="Calibri" w:hAnsi="Arial" w:cs="Arial"/>
          <w:sz w:val="20"/>
          <w:szCs w:val="20"/>
          <w:lang w:val="pt-PT"/>
        </w:rPr>
        <w:t>Comunicação à Gerência da Obra pelo Oficial de SSO e registo da ocorrência.</w:t>
      </w:r>
    </w:p>
    <w:p w14:paraId="62CAB576"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szCs w:val="20"/>
          <w:lang w:val="pt-PT"/>
        </w:rPr>
      </w:pPr>
      <w:r w:rsidRPr="00292532">
        <w:rPr>
          <w:rFonts w:ascii="Arial" w:eastAsia="Calibri" w:hAnsi="Arial" w:cs="Arial"/>
          <w:sz w:val="20"/>
          <w:szCs w:val="20"/>
          <w:lang w:val="pt-PT"/>
        </w:rPr>
        <w:t>Investigação do acidente.</w:t>
      </w:r>
    </w:p>
    <w:p w14:paraId="15A05852" w14:textId="77777777" w:rsidR="00B31AE2" w:rsidRPr="00292532" w:rsidRDefault="00B31AE2" w:rsidP="00AE14AE">
      <w:pPr>
        <w:numPr>
          <w:ilvl w:val="0"/>
          <w:numId w:val="146"/>
        </w:numPr>
        <w:suppressAutoHyphens/>
        <w:spacing w:before="0" w:after="0" w:line="276" w:lineRule="auto"/>
        <w:ind w:right="12"/>
        <w:contextualSpacing/>
        <w:jc w:val="left"/>
        <w:rPr>
          <w:rFonts w:ascii="Arial" w:eastAsia="Calibri" w:hAnsi="Arial" w:cs="Arial"/>
          <w:sz w:val="20"/>
          <w:szCs w:val="20"/>
          <w:lang w:val="pt-PT"/>
        </w:rPr>
      </w:pPr>
      <w:r w:rsidRPr="00292532">
        <w:rPr>
          <w:rFonts w:ascii="Arial" w:eastAsia="Calibri" w:hAnsi="Arial" w:cs="Arial"/>
          <w:sz w:val="20"/>
          <w:szCs w:val="20"/>
          <w:lang w:val="pt-PT"/>
        </w:rPr>
        <w:t>Definição das medidas preventivas a implementar para minimizar ou eliminar eventos futuros.</w:t>
      </w:r>
    </w:p>
    <w:p w14:paraId="4368FD35" w14:textId="77777777" w:rsidR="00B31AE2" w:rsidRPr="00292532" w:rsidRDefault="00B31AE2" w:rsidP="00B31AE2">
      <w:pPr>
        <w:suppressAutoHyphens/>
        <w:spacing w:before="0" w:after="0"/>
        <w:ind w:right="12"/>
        <w:rPr>
          <w:rFonts w:ascii="Arial" w:eastAsia="Calibri" w:hAnsi="Arial" w:cs="Arial"/>
          <w:color w:val="000000"/>
          <w:sz w:val="20"/>
          <w:szCs w:val="20"/>
          <w:lang w:val="pt-PT"/>
        </w:rPr>
      </w:pPr>
    </w:p>
    <w:p w14:paraId="2DC6B5AB" w14:textId="77777777" w:rsidR="00B31AE2" w:rsidRPr="00292532" w:rsidRDefault="00B31AE2" w:rsidP="00B31AE2">
      <w:pPr>
        <w:spacing w:before="0" w:after="0" w:line="276" w:lineRule="auto"/>
        <w:ind w:left="360"/>
        <w:jc w:val="left"/>
        <w:rPr>
          <w:rFonts w:ascii="Arial" w:eastAsia="Calibri" w:hAnsi="Arial" w:cs="Arial"/>
          <w:sz w:val="20"/>
          <w:szCs w:val="20"/>
          <w:lang w:val="pt-PT"/>
        </w:rPr>
      </w:pPr>
      <w:r w:rsidRPr="00292532">
        <w:rPr>
          <w:rFonts w:ascii="Arial" w:eastAsia="Arial" w:hAnsi="Arial" w:cs="Arial"/>
          <w:b/>
          <w:color w:val="000000"/>
          <w:sz w:val="20"/>
          <w:szCs w:val="20"/>
          <w:lang w:val="pt-PT"/>
        </w:rPr>
        <w:t xml:space="preserve">■ </w:t>
      </w:r>
      <w:r w:rsidRPr="00292532">
        <w:rPr>
          <w:rFonts w:ascii="Arial" w:eastAsia="Calibri" w:hAnsi="Arial" w:cs="Arial"/>
          <w:b/>
          <w:color w:val="000000"/>
          <w:sz w:val="20"/>
          <w:szCs w:val="20"/>
          <w:lang w:val="pt-PT"/>
        </w:rPr>
        <w:t>Acidente grave</w:t>
      </w:r>
      <w:r w:rsidRPr="00292532">
        <w:rPr>
          <w:rFonts w:ascii="Arial" w:eastAsia="Calibri" w:hAnsi="Arial" w:cs="Arial"/>
          <w:color w:val="000000"/>
          <w:sz w:val="20"/>
          <w:szCs w:val="20"/>
          <w:lang w:val="pt-PT"/>
        </w:rPr>
        <w:t xml:space="preserve"> (</w:t>
      </w:r>
      <w:r w:rsidRPr="00292532">
        <w:rPr>
          <w:rFonts w:ascii="Arial" w:eastAsia="Calibri" w:hAnsi="Arial" w:cs="Arial"/>
          <w:sz w:val="20"/>
          <w:szCs w:val="20"/>
          <w:lang w:val="pt-PT"/>
        </w:rPr>
        <w:t>Acidente com perda de tempo que acarreta a perda do turno seguinte</w:t>
      </w:r>
      <w:r w:rsidRPr="00292532">
        <w:rPr>
          <w:rFonts w:ascii="Arial" w:eastAsia="Calibri" w:hAnsi="Arial" w:cs="Arial"/>
          <w:color w:val="000000"/>
          <w:sz w:val="20"/>
          <w:szCs w:val="20"/>
          <w:lang w:val="pt-PT"/>
        </w:rPr>
        <w:t>/dano material significativo</w:t>
      </w:r>
      <w:r w:rsidRPr="00292532">
        <w:rPr>
          <w:rFonts w:ascii="Arial" w:eastAsia="Calibri" w:hAnsi="Arial" w:cs="Arial"/>
          <w:sz w:val="20"/>
          <w:szCs w:val="20"/>
          <w:lang w:val="pt-PT"/>
        </w:rPr>
        <w:t>)</w:t>
      </w:r>
    </w:p>
    <w:p w14:paraId="3B342BAD"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szCs w:val="20"/>
          <w:lang w:val="pt-PT"/>
        </w:rPr>
      </w:pPr>
      <w:r w:rsidRPr="00292532">
        <w:rPr>
          <w:rFonts w:ascii="Arial" w:eastAsia="Calibri" w:hAnsi="Arial" w:cs="Arial"/>
          <w:sz w:val="20"/>
          <w:szCs w:val="20"/>
          <w:lang w:val="pt-PT"/>
        </w:rPr>
        <w:t>Registo e comunicação do acidente à Gerência de Obra e a UIP.</w:t>
      </w:r>
    </w:p>
    <w:p w14:paraId="5B7C5B6C"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szCs w:val="20"/>
          <w:lang w:val="pt-PT"/>
        </w:rPr>
      </w:pPr>
      <w:r w:rsidRPr="00292532">
        <w:rPr>
          <w:rFonts w:ascii="Arial" w:eastAsia="Calibri" w:hAnsi="Arial" w:cs="Arial"/>
          <w:sz w:val="20"/>
          <w:szCs w:val="20"/>
          <w:lang w:val="pt-PT"/>
        </w:rPr>
        <w:t>Vigilância do acidente pelo responsável de SSO (sem prejuízo de quaisquer outras que a UIP considere necessárias, ou nos termos da lei).</w:t>
      </w:r>
    </w:p>
    <w:p w14:paraId="4CCC1454"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szCs w:val="20"/>
          <w:lang w:val="pt-PT"/>
        </w:rPr>
      </w:pPr>
      <w:r w:rsidRPr="00292532">
        <w:rPr>
          <w:rFonts w:ascii="Arial" w:eastAsia="Calibri" w:hAnsi="Arial" w:cs="Arial"/>
          <w:sz w:val="20"/>
          <w:szCs w:val="20"/>
          <w:lang w:val="pt-PT"/>
        </w:rPr>
        <w:t>Relatório final de investigação.</w:t>
      </w:r>
    </w:p>
    <w:p w14:paraId="4C34A90A" w14:textId="77777777" w:rsidR="00B31AE2" w:rsidRPr="00292532" w:rsidRDefault="00B31AE2" w:rsidP="00AE14AE">
      <w:pPr>
        <w:numPr>
          <w:ilvl w:val="0"/>
          <w:numId w:val="146"/>
        </w:numPr>
        <w:suppressAutoHyphens/>
        <w:spacing w:before="0" w:after="0" w:line="276" w:lineRule="auto"/>
        <w:ind w:right="12"/>
        <w:contextualSpacing/>
        <w:jc w:val="left"/>
        <w:rPr>
          <w:rFonts w:ascii="Arial" w:eastAsia="Calibri" w:hAnsi="Arial" w:cs="Arial"/>
          <w:sz w:val="20"/>
          <w:szCs w:val="20"/>
          <w:lang w:val="pt-PT"/>
        </w:rPr>
      </w:pPr>
      <w:r w:rsidRPr="00292532">
        <w:rPr>
          <w:rFonts w:ascii="Arial" w:eastAsia="Calibri" w:hAnsi="Arial" w:cs="Arial"/>
          <w:sz w:val="20"/>
          <w:szCs w:val="20"/>
          <w:lang w:val="pt-PT"/>
        </w:rPr>
        <w:t>Análise do relatório em reunião de progresso e definição das medidas preventivas a serem implementadas.</w:t>
      </w:r>
    </w:p>
    <w:p w14:paraId="1B45CC43" w14:textId="77777777" w:rsidR="00B31AE2" w:rsidRPr="00292532" w:rsidRDefault="00B31AE2" w:rsidP="00B31AE2">
      <w:pPr>
        <w:suppressAutoHyphens/>
        <w:spacing w:before="0" w:after="0"/>
        <w:ind w:right="12"/>
        <w:rPr>
          <w:rFonts w:ascii="Arial" w:eastAsia="Calibri" w:hAnsi="Arial" w:cs="Arial"/>
          <w:sz w:val="20"/>
          <w:szCs w:val="20"/>
          <w:lang w:val="pt-PT"/>
        </w:rPr>
      </w:pPr>
    </w:p>
    <w:p w14:paraId="5FB9E1D5" w14:textId="1982BCFA" w:rsidR="00B31AE2" w:rsidRPr="00292532" w:rsidRDefault="00B31AE2" w:rsidP="00B31AE2">
      <w:pPr>
        <w:spacing w:before="0" w:after="0" w:line="276" w:lineRule="auto"/>
        <w:ind w:left="360"/>
        <w:jc w:val="left"/>
        <w:rPr>
          <w:rFonts w:ascii="Arial" w:eastAsia="Calibri" w:hAnsi="Arial" w:cs="Arial"/>
          <w:b/>
          <w:color w:val="000000"/>
          <w:sz w:val="20"/>
          <w:szCs w:val="20"/>
          <w:lang w:val="pt-PT"/>
        </w:rPr>
      </w:pPr>
      <w:r w:rsidRPr="00292532">
        <w:rPr>
          <w:rFonts w:ascii="Arial" w:eastAsia="Arial" w:hAnsi="Arial" w:cs="Arial"/>
          <w:b/>
          <w:color w:val="000000"/>
          <w:sz w:val="20"/>
          <w:szCs w:val="20"/>
          <w:lang w:val="pt-PT"/>
        </w:rPr>
        <w:t xml:space="preserve">■ </w:t>
      </w:r>
      <w:r w:rsidRPr="00292532">
        <w:rPr>
          <w:rFonts w:ascii="Arial" w:eastAsia="Calibri" w:hAnsi="Arial" w:cs="Arial"/>
          <w:b/>
          <w:color w:val="000000"/>
          <w:sz w:val="20"/>
          <w:szCs w:val="20"/>
          <w:lang w:val="pt-PT"/>
        </w:rPr>
        <w:t>Acidente fatal</w:t>
      </w:r>
    </w:p>
    <w:p w14:paraId="79198AC2" w14:textId="4AFCC170"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szCs w:val="20"/>
          <w:lang w:val="pt-PT"/>
        </w:rPr>
      </w:pPr>
      <w:r w:rsidRPr="00292532">
        <w:rPr>
          <w:rFonts w:ascii="Arial" w:eastAsia="Calibri" w:hAnsi="Arial" w:cs="Arial"/>
          <w:sz w:val="20"/>
          <w:szCs w:val="20"/>
          <w:lang w:val="pt-PT"/>
        </w:rPr>
        <w:t xml:space="preserve">Registo e comunicação do acidente ao Gerente de </w:t>
      </w:r>
      <w:proofErr w:type="spellStart"/>
      <w:r w:rsidRPr="00292532">
        <w:rPr>
          <w:rFonts w:ascii="Arial" w:eastAsia="Calibri" w:hAnsi="Arial" w:cs="Arial"/>
          <w:sz w:val="20"/>
          <w:szCs w:val="20"/>
          <w:lang w:val="pt-PT"/>
        </w:rPr>
        <w:t>Projecto</w:t>
      </w:r>
      <w:proofErr w:type="spellEnd"/>
      <w:r w:rsidR="00E923EB">
        <w:rPr>
          <w:rFonts w:ascii="Arial" w:eastAsia="Calibri" w:hAnsi="Arial" w:cs="Arial"/>
          <w:sz w:val="20"/>
          <w:szCs w:val="20"/>
          <w:lang w:val="pt-PT"/>
        </w:rPr>
        <w:t xml:space="preserve">, ao Banco Mundial </w:t>
      </w:r>
      <w:r w:rsidRPr="00292532">
        <w:rPr>
          <w:rFonts w:ascii="Arial" w:eastAsia="Calibri" w:hAnsi="Arial" w:cs="Arial"/>
          <w:sz w:val="20"/>
          <w:szCs w:val="20"/>
          <w:lang w:val="pt-PT"/>
        </w:rPr>
        <w:t>e a UIP pelo oficial de SSO.</w:t>
      </w:r>
    </w:p>
    <w:p w14:paraId="1B224A61" w14:textId="63AF26F0" w:rsidR="00B31AE2" w:rsidRPr="00292532" w:rsidRDefault="00CD1C60" w:rsidP="00AE14AE">
      <w:pPr>
        <w:numPr>
          <w:ilvl w:val="0"/>
          <w:numId w:val="146"/>
        </w:numPr>
        <w:suppressAutoHyphens/>
        <w:spacing w:before="0" w:after="200" w:line="276" w:lineRule="auto"/>
        <w:ind w:right="12"/>
        <w:contextualSpacing/>
        <w:jc w:val="left"/>
        <w:rPr>
          <w:rFonts w:ascii="Arial" w:eastAsia="Calibri" w:hAnsi="Arial" w:cs="Arial"/>
          <w:sz w:val="20"/>
          <w:szCs w:val="20"/>
          <w:lang w:val="pt-PT"/>
        </w:rPr>
      </w:pPr>
      <w:r w:rsidRPr="00292532">
        <w:rPr>
          <w:rFonts w:ascii="Arial" w:eastAsia="Calibri" w:hAnsi="Arial" w:cs="Arial"/>
          <w:sz w:val="20"/>
          <w:szCs w:val="20"/>
          <w:lang w:val="pt-PT"/>
        </w:rPr>
        <w:t xml:space="preserve">Comunicação imediata ao financiador (Banco Mundial) pela UIP num prazo máximo de 24 </w:t>
      </w:r>
      <w:proofErr w:type="spellStart"/>
      <w:proofErr w:type="gramStart"/>
      <w:r w:rsidRPr="00292532">
        <w:rPr>
          <w:rFonts w:ascii="Arial" w:eastAsia="Calibri" w:hAnsi="Arial" w:cs="Arial"/>
          <w:sz w:val="20"/>
          <w:szCs w:val="20"/>
          <w:lang w:val="pt-PT"/>
        </w:rPr>
        <w:t>horas.</w:t>
      </w:r>
      <w:r w:rsidR="00B31AE2" w:rsidRPr="00292532">
        <w:rPr>
          <w:rFonts w:ascii="Arial" w:eastAsia="Calibri" w:hAnsi="Arial" w:cs="Arial"/>
          <w:sz w:val="20"/>
          <w:szCs w:val="20"/>
          <w:lang w:val="pt-PT"/>
        </w:rPr>
        <w:t>Notificação</w:t>
      </w:r>
      <w:proofErr w:type="spellEnd"/>
      <w:proofErr w:type="gramEnd"/>
      <w:r w:rsidR="00B31AE2" w:rsidRPr="00292532">
        <w:rPr>
          <w:rFonts w:ascii="Arial" w:eastAsia="Calibri" w:hAnsi="Arial" w:cs="Arial"/>
          <w:sz w:val="20"/>
          <w:szCs w:val="20"/>
          <w:lang w:val="pt-PT"/>
        </w:rPr>
        <w:t xml:space="preserve"> às autoridades competentes.</w:t>
      </w:r>
    </w:p>
    <w:p w14:paraId="0D8C3DD0"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szCs w:val="20"/>
          <w:lang w:val="pt-PT"/>
        </w:rPr>
      </w:pPr>
      <w:r w:rsidRPr="00292532">
        <w:rPr>
          <w:rFonts w:ascii="Arial" w:eastAsia="Calibri" w:hAnsi="Arial" w:cs="Arial"/>
          <w:sz w:val="20"/>
          <w:szCs w:val="20"/>
          <w:lang w:val="pt-PT"/>
        </w:rPr>
        <w:t>Isolamento total da área do acidente.</w:t>
      </w:r>
    </w:p>
    <w:p w14:paraId="582C0E7B"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szCs w:val="20"/>
          <w:lang w:val="pt-PT"/>
        </w:rPr>
      </w:pPr>
      <w:r w:rsidRPr="00292532">
        <w:rPr>
          <w:rFonts w:ascii="Arial" w:eastAsia="Calibri" w:hAnsi="Arial" w:cs="Arial"/>
          <w:sz w:val="20"/>
          <w:szCs w:val="20"/>
          <w:lang w:val="pt-PT"/>
        </w:rPr>
        <w:t>Investigação do acidente pelo Oficial de SSO (sem prejuízo de quaisquer outras que o Dono da Obra considere necessárias, ou nos termos da lei);</w:t>
      </w:r>
    </w:p>
    <w:p w14:paraId="2D346E2F"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szCs w:val="20"/>
          <w:lang w:val="pt-PT"/>
        </w:rPr>
      </w:pPr>
      <w:r w:rsidRPr="00292532">
        <w:rPr>
          <w:rFonts w:ascii="Arial" w:eastAsia="Calibri" w:hAnsi="Arial" w:cs="Arial"/>
          <w:sz w:val="20"/>
          <w:szCs w:val="20"/>
          <w:lang w:val="pt-PT"/>
        </w:rPr>
        <w:t>Relatório final de investigação;</w:t>
      </w:r>
    </w:p>
    <w:p w14:paraId="4F73D152" w14:textId="77777777" w:rsidR="00B31AE2" w:rsidRPr="00292532" w:rsidRDefault="00B31AE2" w:rsidP="00AE14AE">
      <w:pPr>
        <w:numPr>
          <w:ilvl w:val="0"/>
          <w:numId w:val="146"/>
        </w:numPr>
        <w:suppressAutoHyphens/>
        <w:spacing w:before="0" w:after="0" w:line="276" w:lineRule="auto"/>
        <w:ind w:right="12"/>
        <w:contextualSpacing/>
        <w:jc w:val="left"/>
        <w:rPr>
          <w:rFonts w:ascii="Arial" w:eastAsia="Calibri" w:hAnsi="Arial" w:cs="Arial"/>
          <w:sz w:val="20"/>
          <w:szCs w:val="20"/>
          <w:lang w:val="pt-PT"/>
        </w:rPr>
      </w:pPr>
      <w:r w:rsidRPr="00292532">
        <w:rPr>
          <w:rFonts w:ascii="Arial" w:eastAsia="Calibri" w:hAnsi="Arial" w:cs="Arial"/>
          <w:sz w:val="20"/>
          <w:szCs w:val="20"/>
          <w:lang w:val="pt-PT"/>
        </w:rPr>
        <w:t>Análise do relatório em reunião de segurança e definição das medidas preventivas a implementar por escrito no prazo de 24 horas.</w:t>
      </w:r>
    </w:p>
    <w:p w14:paraId="2932253C" w14:textId="77777777" w:rsidR="00B31AE2" w:rsidRPr="00292532" w:rsidRDefault="00B31AE2" w:rsidP="00B31AE2">
      <w:pPr>
        <w:spacing w:before="0" w:after="0" w:line="276" w:lineRule="auto"/>
        <w:jc w:val="left"/>
        <w:rPr>
          <w:rFonts w:eastAsia="Calibri" w:cs="Arial"/>
          <w:color w:val="000000"/>
          <w:lang w:val="pt-PT"/>
        </w:rPr>
      </w:pPr>
      <w:bookmarkStart w:id="1196" w:name="__RefHeading___Toc1717929"/>
      <w:bookmarkEnd w:id="1196"/>
    </w:p>
    <w:p w14:paraId="03CB3E99" w14:textId="59C65A06" w:rsidR="00B31AE2" w:rsidRPr="00292532" w:rsidRDefault="00B31AE2" w:rsidP="00AE14AE">
      <w:pPr>
        <w:keepNext/>
        <w:keepLines/>
        <w:numPr>
          <w:ilvl w:val="1"/>
          <w:numId w:val="145"/>
        </w:numPr>
        <w:spacing w:before="40" w:after="0" w:line="276" w:lineRule="auto"/>
        <w:jc w:val="left"/>
        <w:outlineLvl w:val="2"/>
        <w:rPr>
          <w:rFonts w:ascii="Arial" w:eastAsia="Times New Roman" w:hAnsi="Arial" w:cs="Arial"/>
          <w:b/>
          <w:color w:val="1F3763"/>
          <w:sz w:val="24"/>
          <w:szCs w:val="24"/>
          <w:lang w:val="pt-PT"/>
        </w:rPr>
      </w:pPr>
      <w:bookmarkStart w:id="1197" w:name="__RefHeading___Toc1717932"/>
      <w:bookmarkStart w:id="1198" w:name="__RefHeading___Toc1717944"/>
      <w:bookmarkStart w:id="1199" w:name="__RefHeading___Toc1717945"/>
      <w:bookmarkStart w:id="1200" w:name="__RefHeading___Toc1717946"/>
      <w:bookmarkStart w:id="1201" w:name="__RefHeading___Toc1717947"/>
      <w:bookmarkStart w:id="1202" w:name="_Toc74921499"/>
      <w:bookmarkStart w:id="1203" w:name="_Toc75438075"/>
      <w:bookmarkStart w:id="1204" w:name="_Toc78435504"/>
      <w:bookmarkStart w:id="1205" w:name="_Toc80380171"/>
      <w:bookmarkEnd w:id="1197"/>
      <w:bookmarkEnd w:id="1198"/>
      <w:bookmarkEnd w:id="1199"/>
      <w:bookmarkEnd w:id="1200"/>
      <w:bookmarkEnd w:id="1201"/>
      <w:r w:rsidRPr="00292532">
        <w:rPr>
          <w:rFonts w:ascii="Arial" w:eastAsia="Times New Roman" w:hAnsi="Arial" w:cs="Arial"/>
          <w:b/>
          <w:color w:val="1F3763"/>
          <w:sz w:val="24"/>
          <w:szCs w:val="24"/>
          <w:lang w:val="pt-PT"/>
        </w:rPr>
        <w:lastRenderedPageBreak/>
        <w:t>Plano de visitantes</w:t>
      </w:r>
      <w:bookmarkEnd w:id="1202"/>
      <w:bookmarkEnd w:id="1203"/>
      <w:bookmarkEnd w:id="1204"/>
      <w:bookmarkEnd w:id="1205"/>
    </w:p>
    <w:p w14:paraId="272D3838" w14:textId="77777777" w:rsidR="00B31AE2" w:rsidRPr="00292532" w:rsidRDefault="00B31AE2" w:rsidP="00B31AE2">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 xml:space="preserve">O acesso ao estaleiro de construção deve ser controlado através da delimitação total do seu perímetro com indicação da entrada. O canteiro de obras deve ser cercado em todos os perímetros e controlado 24 horas por dia. Todos os sinais de segurança obrigatórios e </w:t>
      </w:r>
      <w:proofErr w:type="spellStart"/>
      <w:r w:rsidRPr="00292532">
        <w:rPr>
          <w:rFonts w:ascii="Arial" w:eastAsia="Calibri" w:hAnsi="Arial" w:cs="Arial"/>
          <w:sz w:val="20"/>
          <w:lang w:val="pt-PT"/>
        </w:rPr>
        <w:t>acções</w:t>
      </w:r>
      <w:proofErr w:type="spellEnd"/>
      <w:r w:rsidRPr="00292532">
        <w:rPr>
          <w:rFonts w:ascii="Arial" w:eastAsia="Calibri" w:hAnsi="Arial" w:cs="Arial"/>
          <w:sz w:val="20"/>
          <w:lang w:val="pt-PT"/>
        </w:rPr>
        <w:t xml:space="preserve"> de proibição no portão e dentro do local devem ser exibidos na entrada.</w:t>
      </w:r>
    </w:p>
    <w:p w14:paraId="0CD27E82" w14:textId="77777777" w:rsidR="00B31AE2" w:rsidRPr="00292532" w:rsidRDefault="00B31AE2" w:rsidP="00B31AE2">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A autorização de entrada de visitantes no canteiro de obras deve contemplar as seguintes medidas preventivas:</w:t>
      </w:r>
    </w:p>
    <w:p w14:paraId="024C039E"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Informações sobre o seu propósito;</w:t>
      </w:r>
    </w:p>
    <w:p w14:paraId="39337554"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Indução sobre perigos e riscos associados aos locais de implantação das obras;</w:t>
      </w:r>
    </w:p>
    <w:p w14:paraId="0628E273"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Normas e regras de segurança a serem observadas;</w:t>
      </w:r>
    </w:p>
    <w:p w14:paraId="69841278"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 xml:space="preserve">Equipamentos de </w:t>
      </w:r>
      <w:proofErr w:type="spellStart"/>
      <w:r w:rsidRPr="00292532">
        <w:rPr>
          <w:rFonts w:ascii="Arial" w:eastAsia="Calibri" w:hAnsi="Arial" w:cs="Arial"/>
          <w:sz w:val="20"/>
          <w:lang w:val="pt-PT"/>
        </w:rPr>
        <w:t>Protecção</w:t>
      </w:r>
      <w:proofErr w:type="spellEnd"/>
      <w:r w:rsidRPr="00292532">
        <w:rPr>
          <w:rFonts w:ascii="Arial" w:eastAsia="Calibri" w:hAnsi="Arial" w:cs="Arial"/>
          <w:sz w:val="20"/>
          <w:lang w:val="pt-PT"/>
        </w:rPr>
        <w:t xml:space="preserve"> Individual a serem usados;</w:t>
      </w:r>
    </w:p>
    <w:p w14:paraId="0AC56462" w14:textId="77777777" w:rsidR="00B31AE2" w:rsidRPr="00292532" w:rsidRDefault="00B31AE2" w:rsidP="00AE14AE">
      <w:pPr>
        <w:numPr>
          <w:ilvl w:val="0"/>
          <w:numId w:val="146"/>
        </w:numPr>
        <w:suppressAutoHyphens/>
        <w:spacing w:before="0" w:after="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Os visitantes devem ser acompanhados por alguém que conheça bem o canteiro de obras e seus riscos, com aprovação do Oficial de SSO.</w:t>
      </w:r>
    </w:p>
    <w:p w14:paraId="51A8AE76" w14:textId="77777777" w:rsidR="00B31AE2" w:rsidRPr="00292532" w:rsidRDefault="00B31AE2" w:rsidP="00B31AE2">
      <w:pPr>
        <w:spacing w:before="0" w:after="0"/>
        <w:jc w:val="left"/>
        <w:rPr>
          <w:rFonts w:eastAsia="Calibri" w:cs="Arial"/>
          <w:color w:val="000000"/>
          <w:lang w:val="pt-PT"/>
        </w:rPr>
      </w:pPr>
      <w:bookmarkStart w:id="1206" w:name="__RefHeading___Toc1717948"/>
      <w:bookmarkStart w:id="1207" w:name="__RefHeading___Toc1717949"/>
      <w:bookmarkStart w:id="1208" w:name="__RefHeading___Toc1717950"/>
      <w:bookmarkEnd w:id="1206"/>
      <w:bookmarkEnd w:id="1207"/>
      <w:bookmarkEnd w:id="1208"/>
    </w:p>
    <w:p w14:paraId="4F39BACF" w14:textId="469C3AA4" w:rsidR="00B31AE2" w:rsidRPr="00292532" w:rsidRDefault="00B31AE2" w:rsidP="00AE14AE">
      <w:pPr>
        <w:keepNext/>
        <w:keepLines/>
        <w:numPr>
          <w:ilvl w:val="1"/>
          <w:numId w:val="145"/>
        </w:numPr>
        <w:spacing w:before="40" w:after="0" w:line="276" w:lineRule="auto"/>
        <w:jc w:val="left"/>
        <w:outlineLvl w:val="2"/>
        <w:rPr>
          <w:rFonts w:ascii="Arial" w:eastAsia="Times New Roman" w:hAnsi="Arial" w:cs="Arial"/>
          <w:b/>
          <w:color w:val="1F3763"/>
          <w:sz w:val="24"/>
          <w:szCs w:val="24"/>
          <w:lang w:val="pt-PT"/>
        </w:rPr>
      </w:pPr>
      <w:bookmarkStart w:id="1209" w:name="__RefHeading___Toc1717951"/>
      <w:bookmarkStart w:id="1210" w:name="_Toc74921500"/>
      <w:bookmarkStart w:id="1211" w:name="_Toc75438076"/>
      <w:bookmarkStart w:id="1212" w:name="_Toc78435505"/>
      <w:bookmarkStart w:id="1213" w:name="_Toc80380172"/>
      <w:bookmarkEnd w:id="1209"/>
      <w:r w:rsidRPr="00292532">
        <w:rPr>
          <w:rFonts w:ascii="Arial" w:eastAsia="Times New Roman" w:hAnsi="Arial" w:cs="Arial"/>
          <w:b/>
          <w:color w:val="1F3763"/>
          <w:sz w:val="24"/>
          <w:szCs w:val="24"/>
          <w:lang w:val="pt-PT"/>
        </w:rPr>
        <w:t>Controle de álcool e drogas</w:t>
      </w:r>
      <w:bookmarkEnd w:id="1210"/>
      <w:bookmarkEnd w:id="1211"/>
      <w:bookmarkEnd w:id="1212"/>
      <w:bookmarkEnd w:id="1213"/>
    </w:p>
    <w:p w14:paraId="74C07E26" w14:textId="77777777" w:rsidR="00B31AE2" w:rsidRPr="00292532" w:rsidRDefault="00B31AE2" w:rsidP="00B31AE2">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 xml:space="preserve">Como forma de controlar as taxas de acidentes e garantir a aptidão para o trabalho, funcionários e visitantes não devem ser autorizados a aceder/permanecer no local onde decorrem as </w:t>
      </w:r>
      <w:proofErr w:type="spellStart"/>
      <w:r w:rsidRPr="00292532">
        <w:rPr>
          <w:rFonts w:ascii="Arial" w:eastAsia="Calibri" w:hAnsi="Arial" w:cs="Arial"/>
          <w:sz w:val="20"/>
          <w:lang w:val="pt-PT"/>
        </w:rPr>
        <w:t>actividades</w:t>
      </w:r>
      <w:proofErr w:type="spellEnd"/>
      <w:r w:rsidRPr="00292532">
        <w:rPr>
          <w:rFonts w:ascii="Arial" w:eastAsia="Calibri" w:hAnsi="Arial" w:cs="Arial"/>
          <w:sz w:val="20"/>
          <w:lang w:val="pt-PT"/>
        </w:rPr>
        <w:t xml:space="preserve">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sob a influência de álcool ou drogas ou qualquer substância psicotrópica.</w:t>
      </w:r>
    </w:p>
    <w:p w14:paraId="17B467AD" w14:textId="2D93F808" w:rsidR="00B31AE2" w:rsidRPr="00292532" w:rsidRDefault="00B31AE2" w:rsidP="00B31AE2">
      <w:pPr>
        <w:suppressAutoHyphens/>
        <w:spacing w:before="0" w:after="0"/>
        <w:ind w:left="24" w:right="12"/>
        <w:rPr>
          <w:rFonts w:ascii="Arial" w:eastAsia="Calibri" w:hAnsi="Arial" w:cs="Arial"/>
          <w:sz w:val="20"/>
          <w:lang w:val="pt-PT"/>
        </w:rPr>
      </w:pPr>
      <w:r w:rsidRPr="00292532">
        <w:rPr>
          <w:rFonts w:ascii="Arial" w:eastAsia="Calibri" w:hAnsi="Arial" w:cs="Arial"/>
          <w:sz w:val="20"/>
          <w:lang w:val="pt-PT"/>
        </w:rPr>
        <w:t>O procedimento específico de controle de álcool</w:t>
      </w:r>
      <w:r w:rsidR="00CD1C60" w:rsidRPr="00292532">
        <w:rPr>
          <w:rFonts w:ascii="Arial" w:eastAsia="Calibri" w:hAnsi="Arial" w:cs="Arial"/>
          <w:sz w:val="20"/>
          <w:lang w:val="pt-PT"/>
        </w:rPr>
        <w:t xml:space="preserve"> e drogas</w:t>
      </w:r>
      <w:r w:rsidRPr="00292532">
        <w:rPr>
          <w:rFonts w:ascii="Arial" w:eastAsia="Calibri" w:hAnsi="Arial" w:cs="Arial"/>
          <w:sz w:val="20"/>
          <w:lang w:val="pt-PT"/>
        </w:rPr>
        <w:t xml:space="preserve"> deve ser elaborado, anexado e exibido no local e torná-lo acessível a todos os trabalhadores. </w:t>
      </w:r>
    </w:p>
    <w:p w14:paraId="7EFA12AA" w14:textId="77777777" w:rsidR="00B31AE2" w:rsidRPr="00292532" w:rsidRDefault="00B31AE2" w:rsidP="00B31AE2">
      <w:pPr>
        <w:suppressAutoHyphens/>
        <w:spacing w:before="0" w:after="200"/>
        <w:ind w:left="24" w:right="12"/>
        <w:rPr>
          <w:rFonts w:ascii="Arial" w:eastAsia="Calibri" w:hAnsi="Arial" w:cs="Arial"/>
          <w:sz w:val="20"/>
          <w:lang w:val="pt-PT"/>
        </w:rPr>
      </w:pPr>
    </w:p>
    <w:p w14:paraId="5AAAF426" w14:textId="67F939EC" w:rsidR="00B31AE2" w:rsidRPr="00292532" w:rsidRDefault="00B31AE2" w:rsidP="00AE14AE">
      <w:pPr>
        <w:keepNext/>
        <w:keepLines/>
        <w:numPr>
          <w:ilvl w:val="1"/>
          <w:numId w:val="145"/>
        </w:numPr>
        <w:spacing w:before="40" w:after="0" w:line="276" w:lineRule="auto"/>
        <w:jc w:val="left"/>
        <w:outlineLvl w:val="2"/>
        <w:rPr>
          <w:rFonts w:ascii="Arial" w:eastAsia="Times New Roman" w:hAnsi="Arial" w:cs="Arial"/>
          <w:b/>
          <w:color w:val="1F3763"/>
          <w:sz w:val="24"/>
          <w:szCs w:val="24"/>
          <w:lang w:val="pt-PT"/>
        </w:rPr>
      </w:pPr>
      <w:bookmarkStart w:id="1214" w:name="_Ref64798625"/>
      <w:bookmarkStart w:id="1215" w:name="_Toc74921501"/>
      <w:bookmarkStart w:id="1216" w:name="_Toc75438077"/>
      <w:bookmarkStart w:id="1217" w:name="_Toc78435506"/>
      <w:bookmarkStart w:id="1218" w:name="_Toc80380173"/>
      <w:r w:rsidRPr="00292532">
        <w:rPr>
          <w:rFonts w:ascii="Arial" w:eastAsia="Times New Roman" w:hAnsi="Arial" w:cs="Arial"/>
          <w:b/>
          <w:color w:val="1F3763"/>
          <w:sz w:val="24"/>
          <w:szCs w:val="24"/>
          <w:lang w:val="pt-PT"/>
        </w:rPr>
        <w:t>Procedimentos para a mitigação da COVID 19</w:t>
      </w:r>
      <w:bookmarkEnd w:id="1214"/>
      <w:bookmarkEnd w:id="1215"/>
      <w:bookmarkEnd w:id="1216"/>
      <w:bookmarkEnd w:id="1217"/>
      <w:bookmarkEnd w:id="1218"/>
    </w:p>
    <w:p w14:paraId="1CB81FC7" w14:textId="15A15595" w:rsidR="00CD1C60" w:rsidRPr="00292532" w:rsidRDefault="00B31AE2" w:rsidP="00CD1C60">
      <w:pPr>
        <w:suppressAutoHyphens/>
        <w:spacing w:before="0" w:after="0"/>
        <w:ind w:left="24" w:right="12"/>
        <w:rPr>
          <w:rFonts w:ascii="Arial" w:eastAsia="Calibri" w:hAnsi="Arial" w:cs="Arial"/>
          <w:sz w:val="20"/>
          <w:lang w:val="pt-PT"/>
        </w:rPr>
      </w:pPr>
      <w:r w:rsidRPr="00292532">
        <w:rPr>
          <w:rFonts w:ascii="Arial" w:eastAsia="Calibri" w:hAnsi="Arial" w:cs="Arial"/>
          <w:sz w:val="20"/>
          <w:lang w:val="pt-PT"/>
        </w:rPr>
        <w:t xml:space="preserve">Enquanto durar a pandemia da </w:t>
      </w:r>
      <w:bookmarkStart w:id="1219" w:name="_Hlk74877524"/>
      <w:r w:rsidRPr="00292532">
        <w:rPr>
          <w:rFonts w:ascii="Arial" w:eastAsia="Calibri" w:hAnsi="Arial" w:cs="Arial"/>
          <w:sz w:val="20"/>
          <w:lang w:val="pt-PT"/>
        </w:rPr>
        <w:t>COVID-19</w:t>
      </w:r>
      <w:bookmarkEnd w:id="1219"/>
      <w:r w:rsidRPr="00292532">
        <w:rPr>
          <w:rFonts w:ascii="Arial" w:eastAsia="Calibri" w:hAnsi="Arial" w:cs="Arial"/>
          <w:sz w:val="20"/>
          <w:lang w:val="pt-PT"/>
        </w:rPr>
        <w:t xml:space="preserve">, </w:t>
      </w:r>
      <w:proofErr w:type="spellStart"/>
      <w:r w:rsidRPr="00292532">
        <w:rPr>
          <w:rFonts w:ascii="Arial" w:eastAsia="Calibri" w:hAnsi="Arial" w:cs="Arial"/>
          <w:sz w:val="20"/>
          <w:lang w:val="pt-PT"/>
        </w:rPr>
        <w:t>acções</w:t>
      </w:r>
      <w:proofErr w:type="spellEnd"/>
      <w:r w:rsidRPr="00292532">
        <w:rPr>
          <w:rFonts w:ascii="Arial" w:eastAsia="Calibri" w:hAnsi="Arial" w:cs="Arial"/>
          <w:sz w:val="20"/>
          <w:lang w:val="pt-PT"/>
        </w:rPr>
        <w:t xml:space="preserve"> de prevenção e controlo deverão ser implementadas em diferentes situações, com a finalidade de garantir a segurança dos trabalhadores e da comunidade. Estes procedimentos estão descritos no </w:t>
      </w:r>
      <w:r w:rsidRPr="00292532">
        <w:rPr>
          <w:rFonts w:ascii="Arial" w:eastAsia="Calibri" w:hAnsi="Arial" w:cs="Arial"/>
          <w:color w:val="5B9BD5"/>
          <w:sz w:val="20"/>
          <w:lang w:val="pt-PT"/>
        </w:rPr>
        <w:t>Plano de Contingência da COVID-19 (</w:t>
      </w:r>
      <w:proofErr w:type="gramStart"/>
      <w:r w:rsidRPr="00292532">
        <w:rPr>
          <w:rFonts w:ascii="Arial" w:eastAsia="Calibri" w:hAnsi="Arial" w:cs="Arial"/>
          <w:color w:val="5B9BD5"/>
          <w:sz w:val="20"/>
          <w:lang w:val="pt-PT"/>
        </w:rPr>
        <w:t xml:space="preserve">Anexo </w:t>
      </w:r>
      <w:r w:rsidR="000615DB" w:rsidRPr="00292532">
        <w:rPr>
          <w:rFonts w:ascii="Arial" w:eastAsia="Calibri" w:hAnsi="Arial" w:cs="Arial"/>
          <w:color w:val="5B9BD5"/>
          <w:sz w:val="20"/>
          <w:lang w:val="pt-PT"/>
        </w:rPr>
        <w:t xml:space="preserve"> 11</w:t>
      </w:r>
      <w:proofErr w:type="gramEnd"/>
      <w:r w:rsidR="000615DB" w:rsidRPr="00292532">
        <w:rPr>
          <w:rFonts w:ascii="Arial" w:eastAsia="Calibri" w:hAnsi="Arial" w:cs="Arial"/>
          <w:color w:val="5B9BD5"/>
          <w:sz w:val="20"/>
          <w:lang w:val="pt-PT"/>
        </w:rPr>
        <w:t xml:space="preserve"> </w:t>
      </w:r>
      <w:r w:rsidRPr="00292532">
        <w:rPr>
          <w:rFonts w:ascii="Arial" w:eastAsia="Calibri" w:hAnsi="Arial" w:cs="Arial"/>
          <w:color w:val="5B9BD5"/>
          <w:sz w:val="20"/>
          <w:lang w:val="pt-PT"/>
        </w:rPr>
        <w:t xml:space="preserve">do QGAS) </w:t>
      </w:r>
      <w:r w:rsidRPr="00292532">
        <w:rPr>
          <w:rFonts w:ascii="Arial" w:eastAsia="Calibri" w:hAnsi="Arial" w:cs="Arial"/>
          <w:sz w:val="20"/>
          <w:lang w:val="pt-PT"/>
        </w:rPr>
        <w:t xml:space="preserve">elaborado para o presente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w:t>
      </w:r>
      <w:r w:rsidR="00CD1C60" w:rsidRPr="004500AE">
        <w:rPr>
          <w:lang w:val="pt-PT"/>
        </w:rPr>
        <w:t xml:space="preserve"> </w:t>
      </w:r>
      <w:r w:rsidR="00CD1C60" w:rsidRPr="00292532">
        <w:rPr>
          <w:rFonts w:ascii="Arial" w:eastAsia="Calibri" w:hAnsi="Arial" w:cs="Arial"/>
          <w:sz w:val="20"/>
          <w:lang w:val="pt-PT"/>
        </w:rPr>
        <w:t xml:space="preserve">O procedimento deverá enfatizar </w:t>
      </w:r>
      <w:proofErr w:type="gramStart"/>
      <w:r w:rsidR="00CD1C60" w:rsidRPr="00292532">
        <w:rPr>
          <w:rFonts w:ascii="Arial" w:eastAsia="Calibri" w:hAnsi="Arial" w:cs="Arial"/>
          <w:sz w:val="20"/>
          <w:lang w:val="pt-PT"/>
        </w:rPr>
        <w:t>a .obrigatoriedade</w:t>
      </w:r>
      <w:proofErr w:type="gramEnd"/>
      <w:r w:rsidR="00CD1C60" w:rsidRPr="00292532">
        <w:rPr>
          <w:rFonts w:ascii="Arial" w:eastAsia="Calibri" w:hAnsi="Arial" w:cs="Arial"/>
          <w:sz w:val="20"/>
          <w:lang w:val="pt-PT"/>
        </w:rPr>
        <w:t xml:space="preserve"> da sujeição dos trabalhadores internos ou pessoal externos aos testes e exames de </w:t>
      </w:r>
      <w:proofErr w:type="spellStart"/>
      <w:r w:rsidR="00CD1C60" w:rsidRPr="00292532">
        <w:rPr>
          <w:rFonts w:ascii="Arial" w:eastAsia="Calibri" w:hAnsi="Arial" w:cs="Arial"/>
          <w:sz w:val="20"/>
          <w:lang w:val="pt-PT"/>
        </w:rPr>
        <w:t>detecção</w:t>
      </w:r>
      <w:proofErr w:type="spellEnd"/>
      <w:r w:rsidR="00CD1C60" w:rsidRPr="00292532">
        <w:rPr>
          <w:rFonts w:ascii="Arial" w:eastAsia="Calibri" w:hAnsi="Arial" w:cs="Arial"/>
          <w:sz w:val="20"/>
          <w:lang w:val="pt-PT"/>
        </w:rPr>
        <w:t xml:space="preserve"> de álcool e drogas, onde deverá abordar: </w:t>
      </w:r>
    </w:p>
    <w:p w14:paraId="695CF830" w14:textId="77777777" w:rsidR="00CD1C60" w:rsidRPr="00292532" w:rsidRDefault="00CD1C60" w:rsidP="00CD1C60">
      <w:pPr>
        <w:suppressAutoHyphens/>
        <w:spacing w:before="0" w:after="0"/>
        <w:ind w:left="24" w:right="12"/>
        <w:rPr>
          <w:rFonts w:ascii="Arial" w:eastAsia="Calibri" w:hAnsi="Arial" w:cs="Arial"/>
          <w:sz w:val="20"/>
          <w:lang w:val="pt-PT"/>
        </w:rPr>
      </w:pPr>
    </w:p>
    <w:p w14:paraId="5EA7E889" w14:textId="244BB51F" w:rsidR="00CD1C60" w:rsidRPr="004500AE" w:rsidRDefault="00CD1C60" w:rsidP="004500AE">
      <w:pPr>
        <w:pStyle w:val="ListParagraph"/>
        <w:numPr>
          <w:ilvl w:val="2"/>
          <w:numId w:val="122"/>
        </w:numPr>
        <w:suppressAutoHyphens/>
        <w:spacing w:before="0" w:after="0"/>
        <w:ind w:left="384" w:right="12"/>
        <w:rPr>
          <w:rFonts w:ascii="Arial" w:eastAsia="Calibri" w:hAnsi="Arial" w:cs="Arial"/>
          <w:sz w:val="20"/>
          <w:lang w:val="pt-PT"/>
        </w:rPr>
      </w:pPr>
      <w:r w:rsidRPr="004500AE">
        <w:rPr>
          <w:rFonts w:ascii="Arial" w:eastAsia="Calibri" w:hAnsi="Arial" w:cs="Arial"/>
          <w:sz w:val="20"/>
          <w:lang w:val="pt-PT"/>
        </w:rPr>
        <w:t>A competência para a realização dos exames.</w:t>
      </w:r>
    </w:p>
    <w:p w14:paraId="6A90C867" w14:textId="6FFB044F" w:rsidR="00CD1C60" w:rsidRPr="004500AE" w:rsidRDefault="00CD1C60" w:rsidP="004500AE">
      <w:pPr>
        <w:pStyle w:val="ListParagraph"/>
        <w:numPr>
          <w:ilvl w:val="2"/>
          <w:numId w:val="122"/>
        </w:numPr>
        <w:suppressAutoHyphens/>
        <w:spacing w:before="0" w:after="0"/>
        <w:ind w:left="384" w:right="12"/>
        <w:rPr>
          <w:rFonts w:ascii="Arial" w:eastAsia="Calibri" w:hAnsi="Arial" w:cs="Arial"/>
          <w:sz w:val="20"/>
          <w:lang w:val="pt-PT"/>
        </w:rPr>
      </w:pPr>
      <w:r w:rsidRPr="004500AE">
        <w:rPr>
          <w:rFonts w:ascii="Arial" w:eastAsia="Calibri" w:hAnsi="Arial" w:cs="Arial"/>
          <w:sz w:val="20"/>
          <w:lang w:val="pt-PT"/>
        </w:rPr>
        <w:t>Locais e períodos de testagem.</w:t>
      </w:r>
    </w:p>
    <w:p w14:paraId="4F650231" w14:textId="4D314C07" w:rsidR="00CD1C60" w:rsidRPr="004500AE" w:rsidRDefault="00CD1C60" w:rsidP="004500AE">
      <w:pPr>
        <w:pStyle w:val="ListParagraph"/>
        <w:numPr>
          <w:ilvl w:val="2"/>
          <w:numId w:val="122"/>
        </w:numPr>
        <w:suppressAutoHyphens/>
        <w:spacing w:before="0" w:after="0"/>
        <w:ind w:left="384" w:right="12"/>
        <w:rPr>
          <w:rFonts w:ascii="Arial" w:eastAsia="Calibri" w:hAnsi="Arial" w:cs="Arial"/>
          <w:sz w:val="20"/>
          <w:lang w:val="pt-PT"/>
        </w:rPr>
      </w:pPr>
      <w:r w:rsidRPr="004500AE">
        <w:rPr>
          <w:rFonts w:ascii="Arial" w:eastAsia="Calibri" w:hAnsi="Arial" w:cs="Arial"/>
          <w:sz w:val="20"/>
          <w:lang w:val="pt-PT"/>
        </w:rPr>
        <w:t>Procedimentos para a aplicação dos testes.</w:t>
      </w:r>
    </w:p>
    <w:p w14:paraId="7111E56B" w14:textId="15A0FE53" w:rsidR="00CD1C60" w:rsidRPr="004500AE" w:rsidRDefault="00CD1C60" w:rsidP="004500AE">
      <w:pPr>
        <w:pStyle w:val="ListParagraph"/>
        <w:numPr>
          <w:ilvl w:val="2"/>
          <w:numId w:val="122"/>
        </w:numPr>
        <w:suppressAutoHyphens/>
        <w:spacing w:before="0" w:after="0"/>
        <w:ind w:left="384" w:right="12"/>
        <w:rPr>
          <w:rFonts w:ascii="Arial" w:eastAsia="Calibri" w:hAnsi="Arial" w:cs="Arial"/>
          <w:sz w:val="20"/>
          <w:lang w:val="pt-PT"/>
        </w:rPr>
      </w:pPr>
      <w:r w:rsidRPr="004500AE">
        <w:rPr>
          <w:rFonts w:ascii="Arial" w:eastAsia="Calibri" w:hAnsi="Arial" w:cs="Arial"/>
          <w:sz w:val="20"/>
          <w:lang w:val="pt-PT"/>
        </w:rPr>
        <w:t xml:space="preserve">Registo dos resultados e prazo de conservação dos resultados. </w:t>
      </w:r>
    </w:p>
    <w:p w14:paraId="569B2EFC" w14:textId="24250C9D" w:rsidR="00CD1C60" w:rsidRPr="004500AE" w:rsidRDefault="00CD1C60" w:rsidP="004500AE">
      <w:pPr>
        <w:pStyle w:val="ListParagraph"/>
        <w:numPr>
          <w:ilvl w:val="2"/>
          <w:numId w:val="122"/>
        </w:numPr>
        <w:suppressAutoHyphens/>
        <w:spacing w:before="0" w:after="0"/>
        <w:ind w:left="384" w:right="12"/>
        <w:rPr>
          <w:rFonts w:ascii="Arial" w:eastAsia="Calibri" w:hAnsi="Arial" w:cs="Arial"/>
          <w:sz w:val="20"/>
          <w:lang w:val="pt-PT"/>
        </w:rPr>
      </w:pPr>
      <w:r w:rsidRPr="004500AE">
        <w:rPr>
          <w:rFonts w:ascii="Arial" w:eastAsia="Calibri" w:hAnsi="Arial" w:cs="Arial"/>
          <w:sz w:val="20"/>
          <w:lang w:val="pt-PT"/>
        </w:rPr>
        <w:t xml:space="preserve">Procedimentos a atender no caso de recusa de submissão dos testes. </w:t>
      </w:r>
    </w:p>
    <w:p w14:paraId="1A664FCB" w14:textId="01626891" w:rsidR="00CD1C60" w:rsidRPr="004500AE" w:rsidRDefault="00CD1C60" w:rsidP="004500AE">
      <w:pPr>
        <w:pStyle w:val="ListParagraph"/>
        <w:numPr>
          <w:ilvl w:val="2"/>
          <w:numId w:val="122"/>
        </w:numPr>
        <w:suppressAutoHyphens/>
        <w:spacing w:before="0" w:after="0"/>
        <w:ind w:left="384" w:right="12"/>
        <w:rPr>
          <w:rFonts w:ascii="Arial" w:eastAsia="Calibri" w:hAnsi="Arial" w:cs="Arial"/>
          <w:sz w:val="20"/>
          <w:lang w:val="pt-PT"/>
        </w:rPr>
      </w:pPr>
      <w:r w:rsidRPr="004500AE">
        <w:rPr>
          <w:rFonts w:ascii="Arial" w:eastAsia="Calibri" w:hAnsi="Arial" w:cs="Arial"/>
          <w:sz w:val="20"/>
          <w:lang w:val="pt-PT"/>
        </w:rPr>
        <w:t xml:space="preserve">Direitos dos trabalhadores e contraprovas (ex. direito à recusa do teste, desde que devidamente justificada em motivos </w:t>
      </w:r>
      <w:proofErr w:type="spellStart"/>
      <w:r w:rsidRPr="004500AE">
        <w:rPr>
          <w:rFonts w:ascii="Arial" w:eastAsia="Calibri" w:hAnsi="Arial" w:cs="Arial"/>
          <w:sz w:val="20"/>
          <w:lang w:val="pt-PT"/>
        </w:rPr>
        <w:t>objectivamente</w:t>
      </w:r>
      <w:proofErr w:type="spellEnd"/>
      <w:r w:rsidRPr="004500AE">
        <w:rPr>
          <w:rFonts w:ascii="Arial" w:eastAsia="Calibri" w:hAnsi="Arial" w:cs="Arial"/>
          <w:sz w:val="20"/>
          <w:lang w:val="pt-PT"/>
        </w:rPr>
        <w:t xml:space="preserve"> atendíveis; pode o colaborador requerer que seja </w:t>
      </w:r>
      <w:proofErr w:type="spellStart"/>
      <w:r w:rsidRPr="004500AE">
        <w:rPr>
          <w:rFonts w:ascii="Arial" w:eastAsia="Calibri" w:hAnsi="Arial" w:cs="Arial"/>
          <w:sz w:val="20"/>
          <w:lang w:val="pt-PT"/>
        </w:rPr>
        <w:t>efectuada</w:t>
      </w:r>
      <w:proofErr w:type="spellEnd"/>
      <w:r w:rsidRPr="004500AE">
        <w:rPr>
          <w:rFonts w:ascii="Arial" w:eastAsia="Calibri" w:hAnsi="Arial" w:cs="Arial"/>
          <w:sz w:val="20"/>
          <w:lang w:val="pt-PT"/>
        </w:rPr>
        <w:t xml:space="preserve"> uma contraprova, desde que tal solicitação seja </w:t>
      </w:r>
      <w:proofErr w:type="spellStart"/>
      <w:r w:rsidRPr="004500AE">
        <w:rPr>
          <w:rFonts w:ascii="Arial" w:eastAsia="Calibri" w:hAnsi="Arial" w:cs="Arial"/>
          <w:sz w:val="20"/>
          <w:lang w:val="pt-PT"/>
        </w:rPr>
        <w:t>efectuada</w:t>
      </w:r>
      <w:proofErr w:type="spellEnd"/>
      <w:r w:rsidRPr="004500AE">
        <w:rPr>
          <w:rFonts w:ascii="Arial" w:eastAsia="Calibri" w:hAnsi="Arial" w:cs="Arial"/>
          <w:sz w:val="20"/>
          <w:lang w:val="pt-PT"/>
        </w:rPr>
        <w:t xml:space="preserve"> imediatamente após o conhecimento do resultado do Teste), </w:t>
      </w:r>
    </w:p>
    <w:p w14:paraId="146541DB" w14:textId="76E04C00" w:rsidR="00CD1C60" w:rsidRPr="004500AE" w:rsidRDefault="00CD1C60" w:rsidP="004500AE">
      <w:pPr>
        <w:pStyle w:val="ListParagraph"/>
        <w:numPr>
          <w:ilvl w:val="2"/>
          <w:numId w:val="122"/>
        </w:numPr>
        <w:suppressAutoHyphens/>
        <w:spacing w:before="0" w:after="0"/>
        <w:ind w:left="384" w:right="12"/>
        <w:rPr>
          <w:rFonts w:ascii="Arial" w:eastAsia="Calibri" w:hAnsi="Arial" w:cs="Arial"/>
          <w:sz w:val="20"/>
          <w:lang w:val="pt-PT"/>
        </w:rPr>
      </w:pPr>
      <w:r w:rsidRPr="00292532">
        <w:rPr>
          <w:rFonts w:ascii="Arial" w:eastAsia="Calibri" w:hAnsi="Arial" w:cs="Arial"/>
          <w:sz w:val="20"/>
          <w:lang w:val="pt-PT"/>
        </w:rPr>
        <w:t>P</w:t>
      </w:r>
      <w:r w:rsidRPr="004500AE">
        <w:rPr>
          <w:rFonts w:ascii="Arial" w:eastAsia="Calibri" w:hAnsi="Arial" w:cs="Arial"/>
          <w:sz w:val="20"/>
          <w:lang w:val="pt-PT"/>
        </w:rPr>
        <w:t xml:space="preserve">rocedimentos em caso de </w:t>
      </w:r>
      <w:proofErr w:type="spellStart"/>
      <w:r w:rsidRPr="004500AE">
        <w:rPr>
          <w:rFonts w:ascii="Arial" w:eastAsia="Calibri" w:hAnsi="Arial" w:cs="Arial"/>
          <w:sz w:val="20"/>
          <w:lang w:val="pt-PT"/>
        </w:rPr>
        <w:t>detecção</w:t>
      </w:r>
      <w:proofErr w:type="spellEnd"/>
      <w:r w:rsidRPr="004500AE">
        <w:rPr>
          <w:rFonts w:ascii="Arial" w:eastAsia="Calibri" w:hAnsi="Arial" w:cs="Arial"/>
          <w:sz w:val="20"/>
          <w:lang w:val="pt-PT"/>
        </w:rPr>
        <w:t xml:space="preserve"> positivo de testes de álcool/drogas</w:t>
      </w:r>
    </w:p>
    <w:p w14:paraId="6B654153" w14:textId="28BC310F" w:rsidR="00B31AE2" w:rsidRPr="004500AE" w:rsidRDefault="00CD1C60" w:rsidP="004500AE">
      <w:pPr>
        <w:pStyle w:val="ListParagraph"/>
        <w:numPr>
          <w:ilvl w:val="2"/>
          <w:numId w:val="122"/>
        </w:numPr>
        <w:suppressAutoHyphens/>
        <w:spacing w:before="0" w:after="0"/>
        <w:ind w:left="384" w:right="12"/>
        <w:rPr>
          <w:rFonts w:ascii="Arial" w:eastAsia="Calibri" w:hAnsi="Arial" w:cs="Arial"/>
          <w:sz w:val="20"/>
          <w:lang w:val="pt-PT"/>
        </w:rPr>
      </w:pPr>
      <w:r w:rsidRPr="004500AE">
        <w:rPr>
          <w:rFonts w:ascii="Arial" w:eastAsia="Calibri" w:hAnsi="Arial" w:cs="Arial"/>
          <w:sz w:val="20"/>
          <w:lang w:val="pt-PT"/>
        </w:rPr>
        <w:t>Sessões de Informação, Sensibilização e Formação.</w:t>
      </w:r>
    </w:p>
    <w:p w14:paraId="26880018" w14:textId="77777777" w:rsidR="00B31AE2" w:rsidRPr="00292532" w:rsidRDefault="00B31AE2" w:rsidP="00B31AE2">
      <w:pPr>
        <w:suppressAutoHyphens/>
        <w:spacing w:before="0" w:after="200"/>
        <w:ind w:left="24" w:right="12"/>
        <w:rPr>
          <w:rFonts w:ascii="Arial" w:eastAsia="Calibri" w:hAnsi="Arial" w:cs="Arial"/>
          <w:sz w:val="20"/>
          <w:lang w:val="pt-PT"/>
        </w:rPr>
      </w:pPr>
    </w:p>
    <w:p w14:paraId="4A7864C5" w14:textId="2138A9C8" w:rsidR="00B31AE2" w:rsidRPr="00292532" w:rsidRDefault="00B31AE2" w:rsidP="00AE14AE">
      <w:pPr>
        <w:keepNext/>
        <w:keepLines/>
        <w:numPr>
          <w:ilvl w:val="0"/>
          <w:numId w:val="121"/>
        </w:numPr>
        <w:spacing w:before="200" w:after="200" w:line="276" w:lineRule="auto"/>
        <w:jc w:val="left"/>
        <w:outlineLvl w:val="1"/>
        <w:rPr>
          <w:rFonts w:ascii="Arial" w:eastAsia="Times New Roman" w:hAnsi="Arial" w:cs="Arial"/>
          <w:b/>
          <w:bCs/>
          <w:color w:val="4472C4"/>
          <w:sz w:val="26"/>
          <w:szCs w:val="26"/>
          <w:lang w:val="pt-PT"/>
        </w:rPr>
      </w:pPr>
      <w:bookmarkStart w:id="1220" w:name="_Ref64798471"/>
      <w:bookmarkStart w:id="1221" w:name="_Ref73397692"/>
      <w:bookmarkStart w:id="1222" w:name="_Toc74921502"/>
      <w:bookmarkStart w:id="1223" w:name="_Toc75438078"/>
      <w:bookmarkStart w:id="1224" w:name="_Toc78435507"/>
      <w:bookmarkStart w:id="1225" w:name="_Toc80380174"/>
      <w:r w:rsidRPr="00292532">
        <w:rPr>
          <w:rFonts w:ascii="Arial" w:eastAsia="Times New Roman" w:hAnsi="Arial" w:cs="Arial"/>
          <w:b/>
          <w:bCs/>
          <w:color w:val="4472C4"/>
          <w:sz w:val="26"/>
          <w:szCs w:val="26"/>
          <w:lang w:val="pt-PT"/>
        </w:rPr>
        <w:t xml:space="preserve">MECANISMO DE </w:t>
      </w:r>
      <w:bookmarkEnd w:id="1220"/>
      <w:r w:rsidRPr="00292532">
        <w:rPr>
          <w:rFonts w:ascii="Arial" w:eastAsia="Times New Roman" w:hAnsi="Arial" w:cs="Arial"/>
          <w:b/>
          <w:bCs/>
          <w:color w:val="4472C4"/>
          <w:sz w:val="26"/>
          <w:szCs w:val="26"/>
          <w:lang w:val="pt-PT"/>
        </w:rPr>
        <w:t>GESTÃO DE RECLAMAÇÕES DOS TRABALHADORES</w:t>
      </w:r>
      <w:bookmarkEnd w:id="1221"/>
      <w:bookmarkEnd w:id="1222"/>
      <w:bookmarkEnd w:id="1223"/>
      <w:bookmarkEnd w:id="1224"/>
      <w:bookmarkEnd w:id="1225"/>
    </w:p>
    <w:p w14:paraId="07BEC16C" w14:textId="3EE6E987" w:rsidR="00B31AE2" w:rsidRPr="00292532" w:rsidRDefault="00B31AE2" w:rsidP="00B31AE2">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 xml:space="preserve">Todos os empreiteiros e outras empresas com trabalhadores envolvidos no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deverão dispor de um Mecanismo de Gestão de Reclamações (MGR) interno sincronizado com o MGR geral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w:t>
      </w:r>
    </w:p>
    <w:p w14:paraId="3B99BF47" w14:textId="52438EE2" w:rsidR="00FA44C2" w:rsidRPr="00292532" w:rsidRDefault="00FA44C2" w:rsidP="00B31AE2">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Todo o trabalhador deverá ser informado do mecanismo de reclamação no momento do seu recrutamento e das medidas postas em prática para protegê-los contra possíveis represálias pelo seu uso.</w:t>
      </w:r>
    </w:p>
    <w:p w14:paraId="3C0EF645" w14:textId="2B8A5CE0" w:rsidR="00B31AE2" w:rsidRPr="00292532" w:rsidRDefault="00B31AE2" w:rsidP="00B31AE2">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O Departamento/Unidade de Recursos Humanos (RH) é designado como o departamento nodal para lidar com as reclamações dos funcionários. O papel do departamento/unidade de RH é de tomar iniciativas para possibilitar uma entrega simples e com qualidade da Reparação das Reclamações e eliminar as causas das reclamações</w:t>
      </w:r>
      <w:r w:rsidR="00CD1C60" w:rsidRPr="00292532">
        <w:rPr>
          <w:rFonts w:ascii="Arial" w:eastAsia="Calibri" w:hAnsi="Arial" w:cs="Arial"/>
          <w:sz w:val="20"/>
          <w:lang w:val="pt-PT"/>
        </w:rPr>
        <w:t xml:space="preserve"> </w:t>
      </w:r>
      <w:proofErr w:type="gramStart"/>
      <w:r w:rsidR="00CD1C60" w:rsidRPr="00292532">
        <w:rPr>
          <w:rFonts w:ascii="Arial" w:eastAsia="Calibri" w:hAnsi="Arial" w:cs="Arial"/>
          <w:sz w:val="20"/>
          <w:lang w:val="pt-PT"/>
        </w:rPr>
        <w:t>e .assegurar</w:t>
      </w:r>
      <w:proofErr w:type="gramEnd"/>
      <w:r w:rsidR="00CD1C60" w:rsidRPr="00292532">
        <w:rPr>
          <w:rFonts w:ascii="Arial" w:eastAsia="Calibri" w:hAnsi="Arial" w:cs="Arial"/>
          <w:sz w:val="20"/>
          <w:lang w:val="pt-PT"/>
        </w:rPr>
        <w:t xml:space="preserve"> que as queixas sejam registadas e comunicadas à fiscalização. A fiscalização </w:t>
      </w:r>
      <w:r w:rsidR="00292532" w:rsidRPr="00292532">
        <w:rPr>
          <w:rFonts w:ascii="Arial" w:eastAsia="Calibri" w:hAnsi="Arial" w:cs="Arial"/>
          <w:sz w:val="20"/>
          <w:lang w:val="pt-PT"/>
        </w:rPr>
        <w:t>irá</w:t>
      </w:r>
      <w:r w:rsidR="00CD1C60" w:rsidRPr="00292532">
        <w:rPr>
          <w:rFonts w:ascii="Arial" w:eastAsia="Calibri" w:hAnsi="Arial" w:cs="Arial"/>
          <w:sz w:val="20"/>
          <w:lang w:val="pt-PT"/>
        </w:rPr>
        <w:t xml:space="preserve"> incluir um relatório sobre as queixas recebidas e estado de tratamento, a ser comunicado à UIP como parte integrante dos relatórios de supervisão em SSO.</w:t>
      </w:r>
    </w:p>
    <w:p w14:paraId="05222F51" w14:textId="77777777" w:rsidR="00CD1C60" w:rsidRPr="00292532" w:rsidRDefault="00CD1C60" w:rsidP="00CD1C60">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lastRenderedPageBreak/>
        <w:t xml:space="preserve">Um trabalhador pode ter reclamações contra qualquer outro trabalhador ou departamento na sua </w:t>
      </w:r>
      <w:proofErr w:type="spellStart"/>
      <w:r w:rsidRPr="00292532">
        <w:rPr>
          <w:rFonts w:ascii="Arial" w:eastAsia="Calibri" w:hAnsi="Arial" w:cs="Arial"/>
          <w:sz w:val="20"/>
          <w:lang w:val="pt-PT"/>
        </w:rPr>
        <w:t>actividade</w:t>
      </w:r>
      <w:proofErr w:type="spellEnd"/>
      <w:r w:rsidRPr="00292532">
        <w:rPr>
          <w:rFonts w:ascii="Arial" w:eastAsia="Calibri" w:hAnsi="Arial" w:cs="Arial"/>
          <w:sz w:val="20"/>
          <w:lang w:val="pt-PT"/>
        </w:rPr>
        <w:t xml:space="preserve"> diária. Qualquer funcionário pode registar a sua queixa, reclamação, sugestão, etc. ao oficial de reclamação designado no sector dos Recursos Humanos (RH) da empresa. A queixa pode ser feita fisicamente ou remotamente através dos contactos que devem estar disponíveis e divulgados para o efeito. </w:t>
      </w:r>
    </w:p>
    <w:p w14:paraId="0B7DEEB3" w14:textId="57178F9E" w:rsidR="00CD1C60" w:rsidRPr="00292532" w:rsidRDefault="00CD1C60" w:rsidP="00CD1C60">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 xml:space="preserve">Em caso de desconforto em apresentar a queixa ao RH ou na ausência de resposta, o reclamante pode optar por encaminhar ao </w:t>
      </w:r>
      <w:proofErr w:type="spellStart"/>
      <w:r w:rsidRPr="00292532">
        <w:rPr>
          <w:rFonts w:ascii="Arial" w:eastAsia="Calibri" w:hAnsi="Arial" w:cs="Arial"/>
          <w:sz w:val="20"/>
          <w:lang w:val="pt-PT"/>
        </w:rPr>
        <w:t>director</w:t>
      </w:r>
      <w:proofErr w:type="spellEnd"/>
      <w:r w:rsidRPr="00292532">
        <w:rPr>
          <w:rFonts w:ascii="Arial" w:eastAsia="Calibri" w:hAnsi="Arial" w:cs="Arial"/>
          <w:sz w:val="20"/>
          <w:lang w:val="pt-PT"/>
        </w:rPr>
        <w:t xml:space="preserve"> geral da empresa (ou seu representante no local) ou ao sindicato dos trabalhadores ou, se aplicável, ao fiscal. Estes deverão providenciar esclarecimentos ao reclamante sobre o assunto em causa, com vista a resolver a reclamação. Reclamações anónimas poderão ser registadas por telefone ou depositadas nas caixas de reclamação estabelecidas ao nível do estaleiro bem como no local das obras, que deverá ser </w:t>
      </w:r>
      <w:proofErr w:type="spellStart"/>
      <w:r w:rsidRPr="00292532">
        <w:rPr>
          <w:rFonts w:ascii="Arial" w:eastAsia="Calibri" w:hAnsi="Arial" w:cs="Arial"/>
          <w:sz w:val="20"/>
          <w:lang w:val="pt-PT"/>
        </w:rPr>
        <w:t>objecto</w:t>
      </w:r>
      <w:proofErr w:type="spellEnd"/>
      <w:r w:rsidRPr="00292532">
        <w:rPr>
          <w:rFonts w:ascii="Arial" w:eastAsia="Calibri" w:hAnsi="Arial" w:cs="Arial"/>
          <w:sz w:val="20"/>
          <w:lang w:val="pt-PT"/>
        </w:rPr>
        <w:t xml:space="preserve"> de divulgação frequente.</w:t>
      </w:r>
    </w:p>
    <w:p w14:paraId="793B0C4F" w14:textId="77777777" w:rsidR="00CD1C60" w:rsidRPr="00292532" w:rsidRDefault="00CD1C60" w:rsidP="00CD1C60">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 xml:space="preserve">Se a reclamação não for resolvida internamente ao nível da entidade empregadora, o reclamante poderá submeter às unidades técnicas (UT distrital e provincial) para definir devida solução ou dirigir a reclamação á UIP através do MGR geral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que está baseado a nível central (no AIAS e DNAAS).</w:t>
      </w:r>
    </w:p>
    <w:p w14:paraId="6954373F" w14:textId="77777777" w:rsidR="00CD1C60" w:rsidRPr="00292532" w:rsidRDefault="00CD1C60" w:rsidP="00CD1C60">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Na eventualidade de um caso não ser resolúvel internamente, poderá ser encaminhado pelo AIAS/DNAAS ou pelo reclamante para o ministério do trabalho através de suas representações distritais e municipais. Esta irá assegurar que os intervenientes se reúnam para intermediar a solução da reclamação com base na lei do trabalho e instrumentos jurídicos associados.</w:t>
      </w:r>
    </w:p>
    <w:p w14:paraId="5ED8522A" w14:textId="77777777" w:rsidR="00CD1C60" w:rsidRPr="00292532" w:rsidRDefault="00CD1C60" w:rsidP="00CD1C60">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 xml:space="preserve">Caso não haja solução a nível das representações do ministério do trabalho, a reclamação será transmitida para mediação por um tribunal, de preferência seguindo toda a hierarquia. </w:t>
      </w:r>
    </w:p>
    <w:p w14:paraId="4ED0DB17" w14:textId="2BD4ECC7" w:rsidR="00CD1C60" w:rsidRPr="00292532" w:rsidRDefault="00CD1C60" w:rsidP="00CD1C60">
      <w:pPr>
        <w:suppressAutoHyphens/>
        <w:spacing w:before="0" w:after="200"/>
        <w:ind w:left="24" w:right="12"/>
        <w:rPr>
          <w:rFonts w:ascii="Arial" w:eastAsia="Calibri" w:hAnsi="Arial" w:cs="Arial"/>
          <w:sz w:val="20"/>
          <w:lang w:val="pt-PT"/>
        </w:rPr>
      </w:pPr>
      <w:r w:rsidRPr="00292532">
        <w:rPr>
          <w:rFonts w:ascii="Arial" w:eastAsia="Calibri" w:hAnsi="Arial" w:cs="Arial"/>
          <w:sz w:val="20"/>
          <w:lang w:val="pt-PT"/>
        </w:rPr>
        <w:t>O trabalhador tem o direito de submeter a reclamação ao nível que lhe é conveniente, porém, deve incentivar-se a resolução seguindo a hierarquia apresentada no fluxo acima, estabelecendo abertura à diálogo, paciência em ouvir e explicar cuidadosamente e apresentando rápida resposta e, se for caso, reposição do direito reclamado pelo trabalhador.</w:t>
      </w:r>
    </w:p>
    <w:p w14:paraId="1465557B" w14:textId="1FF476D0" w:rsidR="00CD1C60" w:rsidRPr="00292532" w:rsidRDefault="00CD1C60" w:rsidP="00B31AE2">
      <w:pPr>
        <w:suppressAutoHyphens/>
        <w:spacing w:before="0" w:after="200"/>
        <w:ind w:left="24" w:right="12"/>
        <w:rPr>
          <w:rFonts w:ascii="Arial" w:eastAsia="Calibri" w:hAnsi="Arial" w:cs="Arial"/>
          <w:sz w:val="20"/>
          <w:lang w:val="pt-PT"/>
        </w:rPr>
      </w:pPr>
    </w:p>
    <w:p w14:paraId="007ECEA7" w14:textId="77777777" w:rsidR="00CD1C60" w:rsidRPr="00292532" w:rsidRDefault="00CD1C60" w:rsidP="00B31AE2">
      <w:pPr>
        <w:suppressAutoHyphens/>
        <w:spacing w:before="0" w:after="200"/>
        <w:ind w:left="24" w:right="12"/>
        <w:rPr>
          <w:rFonts w:ascii="Arial" w:eastAsia="Calibri" w:hAnsi="Arial" w:cs="Arial"/>
          <w:sz w:val="20"/>
          <w:lang w:val="pt-PT"/>
        </w:rPr>
      </w:pPr>
    </w:p>
    <w:p w14:paraId="250A8B16" w14:textId="54F636B8" w:rsidR="00B31AE2" w:rsidRPr="00292532" w:rsidRDefault="00B31AE2" w:rsidP="00B31AE2">
      <w:pPr>
        <w:suppressAutoHyphens/>
        <w:spacing w:before="0" w:after="200"/>
        <w:ind w:left="24" w:right="12"/>
        <w:jc w:val="center"/>
        <w:rPr>
          <w:rFonts w:ascii="Arial" w:eastAsia="Calibri" w:hAnsi="Arial" w:cs="Arial"/>
          <w:sz w:val="20"/>
          <w:highlight w:val="yellow"/>
          <w:lang w:val="pt-PT"/>
        </w:rPr>
      </w:pPr>
      <w:r w:rsidRPr="00292532">
        <w:rPr>
          <w:rFonts w:ascii="Arial" w:eastAsia="Calibri" w:hAnsi="Arial" w:cs="Arial"/>
          <w:noProof/>
          <w:sz w:val="20"/>
          <w:lang w:val="en-US"/>
        </w:rPr>
        <w:lastRenderedPageBreak/>
        <w:drawing>
          <wp:inline distT="0" distB="0" distL="0" distR="0" wp14:anchorId="5CC8B94D" wp14:editId="1B799DC2">
            <wp:extent cx="6102350" cy="4962525"/>
            <wp:effectExtent l="0" t="0" r="0" b="9525"/>
            <wp:docPr id="31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02350" cy="4962525"/>
                    </a:xfrm>
                    <a:prstGeom prst="rect">
                      <a:avLst/>
                    </a:prstGeom>
                    <a:noFill/>
                  </pic:spPr>
                </pic:pic>
              </a:graphicData>
            </a:graphic>
          </wp:inline>
        </w:drawing>
      </w:r>
    </w:p>
    <w:p w14:paraId="2086928D" w14:textId="77777777" w:rsidR="00B31AE2" w:rsidRPr="00292532" w:rsidRDefault="00B31AE2" w:rsidP="00B31AE2">
      <w:pPr>
        <w:suppressAutoHyphens/>
        <w:spacing w:before="0" w:after="0"/>
        <w:ind w:left="24" w:right="12"/>
        <w:jc w:val="center"/>
        <w:rPr>
          <w:rFonts w:ascii="Arial" w:eastAsia="Calibri" w:hAnsi="Arial" w:cs="Arial"/>
          <w:sz w:val="20"/>
          <w:highlight w:val="yellow"/>
          <w:lang w:val="pt-PT"/>
        </w:rPr>
      </w:pPr>
    </w:p>
    <w:p w14:paraId="0E689CB8" w14:textId="38A4191D" w:rsidR="00B31AE2" w:rsidRPr="00292532" w:rsidRDefault="00B31AE2" w:rsidP="00B31AE2">
      <w:pPr>
        <w:spacing w:before="0" w:after="273"/>
        <w:ind w:right="15"/>
        <w:rPr>
          <w:rFonts w:ascii="Arial" w:eastAsia="Calibri" w:hAnsi="Arial" w:cs="Arial"/>
          <w:sz w:val="20"/>
          <w:lang w:val="pt-PT"/>
        </w:rPr>
      </w:pPr>
      <w:r w:rsidRPr="00292532">
        <w:rPr>
          <w:rFonts w:ascii="Arial" w:eastAsia="Calibri" w:hAnsi="Arial" w:cs="Arial"/>
          <w:sz w:val="20"/>
          <w:lang w:val="pt-PT"/>
        </w:rPr>
        <w:t xml:space="preserve">A greve é um outro canal de reclamação, quando as reivindicações são </w:t>
      </w:r>
      <w:proofErr w:type="spellStart"/>
      <w:r w:rsidRPr="00292532">
        <w:rPr>
          <w:rFonts w:ascii="Arial" w:eastAsia="Calibri" w:hAnsi="Arial" w:cs="Arial"/>
          <w:sz w:val="20"/>
          <w:lang w:val="pt-PT"/>
        </w:rPr>
        <w:t>colectivas</w:t>
      </w:r>
      <w:proofErr w:type="spellEnd"/>
      <w:r w:rsidRPr="00292532">
        <w:rPr>
          <w:rFonts w:ascii="Arial" w:eastAsia="Calibri" w:hAnsi="Arial" w:cs="Arial"/>
          <w:sz w:val="20"/>
          <w:lang w:val="pt-PT"/>
        </w:rPr>
        <w:t>. É importante que a empresa apoie aos trabalhadores a criar condições para o estabelecimento de greves legais por forma a evitar greves ilegais mal planificadas e associadas a tumultos. Ao criar esta abertura, a empresa tem oportunidade de explicar aos colaboradores que, por lei, “não devem recorrer à greve sem antes tentar resolver o conflito através de meios alternativos de resolução de conflitos” (</w:t>
      </w:r>
      <w:proofErr w:type="spellStart"/>
      <w:r w:rsidRPr="00292532">
        <w:rPr>
          <w:rFonts w:ascii="Arial" w:eastAsia="Calibri" w:hAnsi="Arial" w:cs="Arial"/>
          <w:sz w:val="20"/>
          <w:lang w:val="pt-PT"/>
        </w:rPr>
        <w:t>Nr</w:t>
      </w:r>
      <w:proofErr w:type="spellEnd"/>
      <w:r w:rsidRPr="00292532">
        <w:rPr>
          <w:rFonts w:ascii="Arial" w:eastAsia="Calibri" w:hAnsi="Arial" w:cs="Arial"/>
          <w:sz w:val="20"/>
          <w:lang w:val="pt-PT"/>
        </w:rPr>
        <w:t xml:space="preserve"> 3 do Artigo 197 da Lei do Trabalho - Lei n. 23/2007)</w:t>
      </w:r>
      <w:r w:rsidRPr="00292532">
        <w:rPr>
          <w:rFonts w:ascii="Arial" w:eastAsia="Calibri" w:hAnsi="Arial" w:cs="Arial"/>
          <w:sz w:val="20"/>
          <w:vertAlign w:val="superscript"/>
          <w:lang w:val="pt-PT"/>
        </w:rPr>
        <w:footnoteReference w:id="20"/>
      </w:r>
      <w:r w:rsidRPr="00292532">
        <w:rPr>
          <w:rFonts w:ascii="Arial" w:eastAsia="Calibri" w:hAnsi="Arial" w:cs="Arial"/>
          <w:sz w:val="20"/>
          <w:lang w:val="pt-PT"/>
        </w:rPr>
        <w:t>. De facto, um MGR eficiente e transparente é um poderoso instrumento que mitiga este método de resolução desgastante e com custos para a produtividade da empresa.</w:t>
      </w:r>
    </w:p>
    <w:p w14:paraId="0A64486D" w14:textId="05940F1A" w:rsidR="00CD1C60" w:rsidRPr="00292532" w:rsidRDefault="00CD1C60" w:rsidP="00B31AE2">
      <w:pPr>
        <w:spacing w:before="0" w:after="273"/>
        <w:ind w:right="15"/>
        <w:rPr>
          <w:rFonts w:ascii="Arial" w:eastAsia="Calibri" w:hAnsi="Arial" w:cs="Arial"/>
          <w:sz w:val="20"/>
          <w:lang w:val="pt-PT"/>
        </w:rPr>
      </w:pPr>
      <w:r w:rsidRPr="00292532">
        <w:rPr>
          <w:rFonts w:ascii="Arial" w:eastAsia="Calibri" w:hAnsi="Arial" w:cs="Arial"/>
          <w:sz w:val="20"/>
          <w:lang w:val="pt-PT"/>
        </w:rPr>
        <w:t>Um mecanismo de queixas aprofundado para os trabalhadores será devidamente elaborado à posterior no Plano de Gestão Ambiental e Social.</w:t>
      </w:r>
    </w:p>
    <w:p w14:paraId="5E50FF95" w14:textId="77777777" w:rsidR="00B31AE2" w:rsidRPr="00292532" w:rsidRDefault="00B31AE2" w:rsidP="00B31AE2">
      <w:pPr>
        <w:spacing w:before="0" w:after="273"/>
        <w:ind w:right="15"/>
        <w:rPr>
          <w:rFonts w:ascii="Arial" w:eastAsia="Calibri" w:hAnsi="Arial" w:cs="Arial"/>
          <w:sz w:val="20"/>
          <w:lang w:val="pt-PT"/>
        </w:rPr>
      </w:pPr>
      <w:bookmarkStart w:id="1226" w:name="_Hlk57658567"/>
      <w:r w:rsidRPr="00292532">
        <w:rPr>
          <w:rFonts w:ascii="Arial" w:eastAsia="Calibri" w:hAnsi="Arial" w:cs="Arial"/>
          <w:sz w:val="20"/>
          <w:lang w:val="pt-PT"/>
        </w:rPr>
        <w:t>Se a reclamação, ou denúncia, estiver associada a Violência Baseada no Género (VBG)</w:t>
      </w:r>
      <w:r w:rsidRPr="00292532">
        <w:rPr>
          <w:rFonts w:ascii="Arial" w:eastAsia="Calibri" w:hAnsi="Arial" w:cs="Arial"/>
          <w:sz w:val="20"/>
          <w:vertAlign w:val="superscript"/>
          <w:lang w:val="pt-PT"/>
        </w:rPr>
        <w:footnoteReference w:id="21"/>
      </w:r>
      <w:r w:rsidRPr="00292532">
        <w:rPr>
          <w:rFonts w:ascii="Arial" w:eastAsia="Calibri" w:hAnsi="Arial" w:cs="Arial"/>
          <w:sz w:val="20"/>
          <w:lang w:val="pt-PT"/>
        </w:rPr>
        <w:t xml:space="preserve"> (incluindo a Violência Contra Criança (VCC), Violência Sexual Baseada no Género (VSBG), Exploração e Abuso Sexual </w:t>
      </w:r>
      <w:r w:rsidRPr="00292532">
        <w:rPr>
          <w:rFonts w:ascii="Arial" w:eastAsia="Calibri" w:hAnsi="Arial" w:cs="Arial"/>
          <w:sz w:val="20"/>
          <w:lang w:val="pt-PT"/>
        </w:rPr>
        <w:lastRenderedPageBreak/>
        <w:t xml:space="preserve">(EAS), Assédio Sexual (AS), Uniões Prematuras, trabalho infantil, trabalho forçado, etc.) as vítimas podem seguir ou a empresa podem comunicar </w:t>
      </w:r>
      <w:proofErr w:type="spellStart"/>
      <w:r w:rsidRPr="00292532">
        <w:rPr>
          <w:rFonts w:ascii="Arial" w:eastAsia="Calibri" w:hAnsi="Arial" w:cs="Arial"/>
          <w:sz w:val="20"/>
          <w:lang w:val="pt-PT"/>
        </w:rPr>
        <w:t>directo</w:t>
      </w:r>
      <w:proofErr w:type="spellEnd"/>
      <w:r w:rsidRPr="00292532">
        <w:rPr>
          <w:rFonts w:ascii="Arial" w:eastAsia="Calibri" w:hAnsi="Arial" w:cs="Arial"/>
          <w:sz w:val="20"/>
          <w:lang w:val="pt-PT"/>
        </w:rPr>
        <w:t xml:space="preserve"> à esquadra da polícia ou à saúde (unidade sanitária ou Agente Polivalente Elementar de saúde - APE) conforme se sentir mais protegida</w:t>
      </w:r>
      <w:r w:rsidRPr="00292532">
        <w:rPr>
          <w:rFonts w:ascii="Arial" w:eastAsia="Calibri" w:hAnsi="Arial" w:cs="Arial"/>
          <w:sz w:val="20"/>
          <w:vertAlign w:val="superscript"/>
          <w:lang w:val="pt-PT"/>
        </w:rPr>
        <w:footnoteReference w:id="22"/>
      </w:r>
      <w:r w:rsidRPr="00292532">
        <w:rPr>
          <w:rFonts w:ascii="Arial" w:eastAsia="Calibri" w:hAnsi="Arial" w:cs="Arial"/>
          <w:sz w:val="20"/>
          <w:lang w:val="pt-PT"/>
        </w:rPr>
        <w:t>.</w:t>
      </w:r>
      <w:bookmarkEnd w:id="1226"/>
      <w:r w:rsidRPr="00292532">
        <w:rPr>
          <w:rFonts w:ascii="Arial" w:eastAsia="Calibri" w:hAnsi="Arial" w:cs="Arial"/>
          <w:sz w:val="20"/>
          <w:lang w:val="pt-PT"/>
        </w:rPr>
        <w:t xml:space="preserve"> Se o perpetrador do </w:t>
      </w:r>
      <w:proofErr w:type="spellStart"/>
      <w:r w:rsidRPr="00292532">
        <w:rPr>
          <w:rFonts w:ascii="Arial" w:eastAsia="Calibri" w:hAnsi="Arial" w:cs="Arial"/>
          <w:sz w:val="20"/>
          <w:lang w:val="pt-PT"/>
        </w:rPr>
        <w:t>acto</w:t>
      </w:r>
      <w:proofErr w:type="spellEnd"/>
      <w:r w:rsidRPr="00292532">
        <w:rPr>
          <w:rFonts w:ascii="Arial" w:eastAsia="Calibri" w:hAnsi="Arial" w:cs="Arial"/>
          <w:sz w:val="20"/>
          <w:lang w:val="pt-PT"/>
        </w:rPr>
        <w:t xml:space="preserve"> for um trabalhador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é importante que o caso seja notificado à gestão da empresa e a UIP para que se </w:t>
      </w:r>
      <w:proofErr w:type="spellStart"/>
      <w:r w:rsidRPr="00292532">
        <w:rPr>
          <w:rFonts w:ascii="Arial" w:eastAsia="Calibri" w:hAnsi="Arial" w:cs="Arial"/>
          <w:sz w:val="20"/>
          <w:lang w:val="pt-PT"/>
        </w:rPr>
        <w:t>accione</w:t>
      </w:r>
      <w:proofErr w:type="spellEnd"/>
      <w:r w:rsidRPr="00292532">
        <w:rPr>
          <w:rFonts w:ascii="Arial" w:eastAsia="Calibri" w:hAnsi="Arial" w:cs="Arial"/>
          <w:sz w:val="20"/>
          <w:lang w:val="pt-PT"/>
        </w:rPr>
        <w:t xml:space="preserve"> as devidas penalizações associadas ao plano de </w:t>
      </w:r>
      <w:proofErr w:type="spellStart"/>
      <w:r w:rsidRPr="00292532">
        <w:rPr>
          <w:rFonts w:ascii="Arial" w:eastAsia="Calibri" w:hAnsi="Arial" w:cs="Arial"/>
          <w:sz w:val="20"/>
          <w:lang w:val="pt-PT"/>
        </w:rPr>
        <w:t>acção</w:t>
      </w:r>
      <w:proofErr w:type="spellEnd"/>
      <w:r w:rsidRPr="00292532">
        <w:rPr>
          <w:rFonts w:ascii="Arial" w:eastAsia="Calibri" w:hAnsi="Arial" w:cs="Arial"/>
          <w:sz w:val="20"/>
          <w:lang w:val="pt-PT"/>
        </w:rPr>
        <w:t xml:space="preserve"> e código de conduta para prevenção de VBG. Dependendo da gravidade, encaminha-se o agressor a polícia, e a vítima para atendimento hospitalar e psicológico.</w:t>
      </w:r>
    </w:p>
    <w:p w14:paraId="6469CE91" w14:textId="77777777" w:rsidR="00B31AE2" w:rsidRPr="00292532" w:rsidRDefault="00B31AE2" w:rsidP="00B31AE2">
      <w:pPr>
        <w:spacing w:before="0" w:after="0"/>
        <w:ind w:right="15"/>
        <w:rPr>
          <w:rFonts w:ascii="Arial" w:eastAsia="Calibri" w:hAnsi="Arial" w:cs="Arial"/>
          <w:sz w:val="20"/>
          <w:lang w:val="pt-PT"/>
        </w:rPr>
      </w:pPr>
      <w:r w:rsidRPr="00292532">
        <w:rPr>
          <w:rFonts w:ascii="Arial" w:eastAsia="Calibri" w:hAnsi="Arial" w:cs="Arial"/>
          <w:sz w:val="20"/>
          <w:lang w:val="pt-PT"/>
        </w:rPr>
        <w:t xml:space="preserve">Os </w:t>
      </w:r>
      <w:proofErr w:type="spellStart"/>
      <w:r w:rsidRPr="00292532">
        <w:rPr>
          <w:rFonts w:ascii="Arial" w:eastAsia="Calibri" w:hAnsi="Arial" w:cs="Arial"/>
          <w:sz w:val="20"/>
          <w:lang w:val="pt-PT"/>
        </w:rPr>
        <w:t>afectados</w:t>
      </w:r>
      <w:proofErr w:type="spellEnd"/>
      <w:r w:rsidRPr="00292532">
        <w:rPr>
          <w:rFonts w:ascii="Arial" w:eastAsia="Calibri" w:hAnsi="Arial" w:cs="Arial"/>
          <w:sz w:val="20"/>
          <w:lang w:val="pt-PT"/>
        </w:rPr>
        <w:t xml:space="preserve"> podem também enviar reclamações ao Painel de </w:t>
      </w:r>
      <w:proofErr w:type="spellStart"/>
      <w:r w:rsidRPr="00292532">
        <w:rPr>
          <w:rFonts w:ascii="Arial" w:eastAsia="Calibri" w:hAnsi="Arial" w:cs="Arial"/>
          <w:sz w:val="20"/>
          <w:lang w:val="pt-PT"/>
        </w:rPr>
        <w:t>Inspecção</w:t>
      </w:r>
      <w:proofErr w:type="spellEnd"/>
      <w:r w:rsidRPr="00292532">
        <w:rPr>
          <w:rFonts w:ascii="Arial" w:eastAsia="Calibri" w:hAnsi="Arial" w:cs="Arial"/>
          <w:sz w:val="20"/>
          <w:lang w:val="pt-PT"/>
        </w:rPr>
        <w:t xml:space="preserve"> independente do Banco Mundial, que determina se um dano ocorreu como resultado da não-conformidade com suas políticas e procedimentos - para mais informação visite  </w:t>
      </w:r>
      <w:hyperlink r:id="rId50" w:history="1">
        <w:r w:rsidRPr="00292532">
          <w:rPr>
            <w:rFonts w:ascii="Arial" w:eastAsia="Calibri" w:hAnsi="Arial" w:cs="Arial"/>
            <w:color w:val="0563C1"/>
            <w:sz w:val="20"/>
            <w:u w:val="single"/>
            <w:lang w:val="pt-PT"/>
          </w:rPr>
          <w:t>www.inspectionpanel.org</w:t>
        </w:r>
      </w:hyperlink>
      <w:r w:rsidRPr="00292532">
        <w:rPr>
          <w:rFonts w:ascii="Arial" w:eastAsia="Calibri" w:hAnsi="Arial" w:cs="Arial"/>
          <w:sz w:val="20"/>
          <w:lang w:val="pt-PT"/>
        </w:rPr>
        <w:t>.</w:t>
      </w:r>
    </w:p>
    <w:p w14:paraId="4A268FE7" w14:textId="77777777" w:rsidR="00B31AE2" w:rsidRPr="00292532" w:rsidRDefault="00B31AE2" w:rsidP="00B31AE2">
      <w:pPr>
        <w:suppressAutoHyphens/>
        <w:spacing w:before="0" w:after="200"/>
        <w:ind w:left="24" w:right="12"/>
        <w:rPr>
          <w:rFonts w:ascii="Arial" w:eastAsia="Calibri" w:hAnsi="Arial" w:cs="Arial"/>
          <w:sz w:val="20"/>
          <w:lang w:val="pt-PT"/>
        </w:rPr>
      </w:pPr>
    </w:p>
    <w:p w14:paraId="446B7B17" w14:textId="77777777" w:rsidR="00B31AE2" w:rsidRPr="00292532" w:rsidRDefault="00B31AE2" w:rsidP="00AE14AE">
      <w:pPr>
        <w:keepNext/>
        <w:keepLines/>
        <w:numPr>
          <w:ilvl w:val="0"/>
          <w:numId w:val="121"/>
        </w:numPr>
        <w:spacing w:before="200" w:after="200" w:line="276" w:lineRule="auto"/>
        <w:jc w:val="left"/>
        <w:outlineLvl w:val="1"/>
        <w:rPr>
          <w:rFonts w:ascii="Arial" w:eastAsia="Times New Roman" w:hAnsi="Arial" w:cs="Arial"/>
          <w:b/>
          <w:bCs/>
          <w:color w:val="4472C4"/>
          <w:sz w:val="26"/>
          <w:szCs w:val="26"/>
          <w:lang w:val="pt-PT"/>
        </w:rPr>
      </w:pPr>
      <w:bookmarkStart w:id="1227" w:name="_Toc72582350"/>
      <w:bookmarkStart w:id="1228" w:name="_Toc72582876"/>
      <w:bookmarkStart w:id="1229" w:name="_Toc72586725"/>
      <w:bookmarkStart w:id="1230" w:name="_Toc72589940"/>
      <w:bookmarkStart w:id="1231" w:name="_Toc74921503"/>
      <w:bookmarkStart w:id="1232" w:name="_Toc75438079"/>
      <w:bookmarkStart w:id="1233" w:name="_Toc78435508"/>
      <w:bookmarkStart w:id="1234" w:name="_Toc80380175"/>
      <w:bookmarkStart w:id="1235" w:name="_Ref64799485"/>
      <w:bookmarkEnd w:id="1227"/>
      <w:bookmarkEnd w:id="1228"/>
      <w:bookmarkEnd w:id="1229"/>
      <w:bookmarkEnd w:id="1230"/>
      <w:r w:rsidRPr="00292532">
        <w:rPr>
          <w:rFonts w:ascii="Arial" w:eastAsia="Times New Roman" w:hAnsi="Arial" w:cs="Arial"/>
          <w:b/>
          <w:bCs/>
          <w:color w:val="4472C4"/>
          <w:sz w:val="26"/>
          <w:szCs w:val="26"/>
          <w:lang w:val="pt-PT"/>
        </w:rPr>
        <w:t>PROCEDIMENTOS DE RESPOSTA A EMERGÊNCIAS</w:t>
      </w:r>
      <w:bookmarkEnd w:id="1231"/>
      <w:bookmarkEnd w:id="1232"/>
      <w:bookmarkEnd w:id="1233"/>
      <w:bookmarkEnd w:id="1234"/>
    </w:p>
    <w:p w14:paraId="6A5E09F4" w14:textId="77777777" w:rsidR="00B31AE2" w:rsidRPr="00292532" w:rsidRDefault="00B31AE2" w:rsidP="00B31AE2">
      <w:pPr>
        <w:spacing w:before="0" w:after="200"/>
        <w:rPr>
          <w:rFonts w:ascii="Arial" w:eastAsia="Calibri" w:hAnsi="Arial" w:cs="Arial"/>
          <w:sz w:val="20"/>
          <w:lang w:val="pt-PT"/>
        </w:rPr>
      </w:pPr>
      <w:r w:rsidRPr="00292532">
        <w:rPr>
          <w:rFonts w:ascii="Arial" w:eastAsia="Calibri" w:hAnsi="Arial" w:cs="Arial"/>
          <w:sz w:val="20"/>
          <w:lang w:val="pt-PT"/>
        </w:rPr>
        <w:t xml:space="preserve">As empresas envolvidas no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deverão elaborar procedimentos de resposta a emergências para proteger suas </w:t>
      </w:r>
      <w:proofErr w:type="spellStart"/>
      <w:r w:rsidRPr="00292532">
        <w:rPr>
          <w:rFonts w:ascii="Arial" w:eastAsia="Calibri" w:hAnsi="Arial" w:cs="Arial"/>
          <w:sz w:val="20"/>
          <w:lang w:val="pt-PT"/>
        </w:rPr>
        <w:t>actividades</w:t>
      </w:r>
      <w:proofErr w:type="spellEnd"/>
      <w:r w:rsidRPr="00292532">
        <w:rPr>
          <w:rFonts w:ascii="Arial" w:eastAsia="Calibri" w:hAnsi="Arial" w:cs="Arial"/>
          <w:sz w:val="20"/>
          <w:lang w:val="pt-PT"/>
        </w:rPr>
        <w:t>, trabalhadores e comunidades de prováveis cenários de emergência espectáveis.</w:t>
      </w:r>
    </w:p>
    <w:p w14:paraId="34B0C55C" w14:textId="77777777" w:rsidR="00B31AE2" w:rsidRPr="00292532" w:rsidRDefault="00B31AE2" w:rsidP="00B31AE2">
      <w:pPr>
        <w:spacing w:before="0" w:after="200"/>
        <w:rPr>
          <w:rFonts w:ascii="Arial" w:eastAsia="Calibri" w:hAnsi="Arial" w:cs="Arial"/>
          <w:sz w:val="20"/>
          <w:lang w:val="pt-PT"/>
        </w:rPr>
      </w:pPr>
      <w:r w:rsidRPr="00292532">
        <w:rPr>
          <w:rFonts w:ascii="Arial" w:eastAsia="Calibri" w:hAnsi="Arial" w:cs="Arial"/>
          <w:sz w:val="20"/>
          <w:lang w:val="pt-PT"/>
        </w:rPr>
        <w:t xml:space="preserve">Os procedimentos de resposta a cenários de emergência visam facilitar a identificação dos intervenientes e a definição do </w:t>
      </w:r>
      <w:proofErr w:type="spellStart"/>
      <w:r w:rsidRPr="00292532">
        <w:rPr>
          <w:rFonts w:ascii="Arial" w:eastAsia="Calibri" w:hAnsi="Arial" w:cs="Arial"/>
          <w:sz w:val="20"/>
          <w:lang w:val="pt-PT"/>
        </w:rPr>
        <w:t>respectivo</w:t>
      </w:r>
      <w:proofErr w:type="spellEnd"/>
      <w:r w:rsidRPr="00292532">
        <w:rPr>
          <w:rFonts w:ascii="Arial" w:eastAsia="Calibri" w:hAnsi="Arial" w:cs="Arial"/>
          <w:sz w:val="20"/>
          <w:lang w:val="pt-PT"/>
        </w:rPr>
        <w:t xml:space="preserve"> padrão de </w:t>
      </w:r>
      <w:proofErr w:type="spellStart"/>
      <w:r w:rsidRPr="00292532">
        <w:rPr>
          <w:rFonts w:ascii="Arial" w:eastAsia="Calibri" w:hAnsi="Arial" w:cs="Arial"/>
          <w:sz w:val="20"/>
          <w:lang w:val="pt-PT"/>
        </w:rPr>
        <w:t>actuação</w:t>
      </w:r>
      <w:proofErr w:type="spellEnd"/>
      <w:r w:rsidRPr="00292532">
        <w:rPr>
          <w:rFonts w:ascii="Arial" w:eastAsia="Calibri" w:hAnsi="Arial" w:cs="Arial"/>
          <w:sz w:val="20"/>
          <w:lang w:val="pt-PT"/>
        </w:rPr>
        <w:t xml:space="preserve"> em caso de ocorrência de emergência. Estas </w:t>
      </w:r>
      <w:proofErr w:type="spellStart"/>
      <w:r w:rsidRPr="00292532">
        <w:rPr>
          <w:rFonts w:ascii="Arial" w:eastAsia="Calibri" w:hAnsi="Arial" w:cs="Arial"/>
          <w:sz w:val="20"/>
          <w:lang w:val="pt-PT"/>
        </w:rPr>
        <w:t>acções</w:t>
      </w:r>
      <w:proofErr w:type="spellEnd"/>
      <w:r w:rsidRPr="00292532">
        <w:rPr>
          <w:rFonts w:ascii="Arial" w:eastAsia="Calibri" w:hAnsi="Arial" w:cs="Arial"/>
          <w:sz w:val="20"/>
          <w:lang w:val="pt-PT"/>
        </w:rPr>
        <w:t xml:space="preserve"> permitem um combate eficaz do acidente/incidente e a minimização da </w:t>
      </w:r>
      <w:proofErr w:type="spellStart"/>
      <w:r w:rsidRPr="00292532">
        <w:rPr>
          <w:rFonts w:ascii="Arial" w:eastAsia="Calibri" w:hAnsi="Arial" w:cs="Arial"/>
          <w:sz w:val="20"/>
          <w:lang w:val="pt-PT"/>
        </w:rPr>
        <w:t>respectiva</w:t>
      </w:r>
      <w:proofErr w:type="spellEnd"/>
      <w:r w:rsidRPr="00292532">
        <w:rPr>
          <w:rFonts w:ascii="Arial" w:eastAsia="Calibri" w:hAnsi="Arial" w:cs="Arial"/>
          <w:sz w:val="20"/>
          <w:lang w:val="pt-PT"/>
        </w:rPr>
        <w:t xml:space="preserve"> consequência, para assegurar a integridade física de toda a pessoa e trabalhadores no local.</w:t>
      </w:r>
    </w:p>
    <w:p w14:paraId="7C902D97" w14:textId="77777777" w:rsidR="00B31AE2" w:rsidRPr="00292532" w:rsidRDefault="00B31AE2" w:rsidP="00B31AE2">
      <w:pPr>
        <w:spacing w:before="0" w:after="200"/>
        <w:rPr>
          <w:rFonts w:ascii="Arial" w:eastAsia="Calibri" w:hAnsi="Arial" w:cs="Arial"/>
          <w:sz w:val="20"/>
          <w:lang w:val="pt-PT"/>
        </w:rPr>
      </w:pPr>
      <w:r w:rsidRPr="00292532">
        <w:rPr>
          <w:rFonts w:ascii="Arial" w:eastAsia="Calibri" w:hAnsi="Arial" w:cs="Arial"/>
          <w:sz w:val="20"/>
          <w:lang w:val="pt-PT"/>
        </w:rPr>
        <w:t xml:space="preserve">Como parte do sistema de gestão de riscos, durante a execução do </w:t>
      </w:r>
      <w:proofErr w:type="spellStart"/>
      <w:r w:rsidRPr="00292532">
        <w:rPr>
          <w:rFonts w:ascii="Arial" w:eastAsia="Calibri" w:hAnsi="Arial" w:cs="Arial"/>
          <w:sz w:val="20"/>
          <w:lang w:val="pt-PT"/>
        </w:rPr>
        <w:t>Projecto</w:t>
      </w:r>
      <w:proofErr w:type="spellEnd"/>
      <w:r w:rsidRPr="00292532">
        <w:rPr>
          <w:rFonts w:ascii="Arial" w:eastAsia="Calibri" w:hAnsi="Arial" w:cs="Arial"/>
          <w:sz w:val="20"/>
          <w:lang w:val="pt-PT"/>
        </w:rPr>
        <w:t xml:space="preserve">, o empreiteiro deverá avaliar as potenciais situações de risco inerentes às </w:t>
      </w:r>
      <w:proofErr w:type="spellStart"/>
      <w:r w:rsidRPr="00292532">
        <w:rPr>
          <w:rFonts w:ascii="Arial" w:eastAsia="Calibri" w:hAnsi="Arial" w:cs="Arial"/>
          <w:sz w:val="20"/>
          <w:lang w:val="pt-PT"/>
        </w:rPr>
        <w:t>actividades</w:t>
      </w:r>
      <w:proofErr w:type="spellEnd"/>
      <w:r w:rsidRPr="00292532">
        <w:rPr>
          <w:rFonts w:ascii="Arial" w:eastAsia="Calibri" w:hAnsi="Arial" w:cs="Arial"/>
          <w:sz w:val="20"/>
          <w:lang w:val="pt-PT"/>
        </w:rPr>
        <w:t xml:space="preserve"> e especificar melhor os responsáveis e </w:t>
      </w:r>
      <w:proofErr w:type="spellStart"/>
      <w:r w:rsidRPr="00292532">
        <w:rPr>
          <w:rFonts w:ascii="Arial" w:eastAsia="Calibri" w:hAnsi="Arial" w:cs="Arial"/>
          <w:sz w:val="20"/>
          <w:lang w:val="pt-PT"/>
        </w:rPr>
        <w:t>acções</w:t>
      </w:r>
      <w:proofErr w:type="spellEnd"/>
      <w:r w:rsidRPr="00292532">
        <w:rPr>
          <w:rFonts w:ascii="Arial" w:eastAsia="Calibri" w:hAnsi="Arial" w:cs="Arial"/>
          <w:sz w:val="20"/>
          <w:lang w:val="pt-PT"/>
        </w:rPr>
        <w:t xml:space="preserve"> através de um plano de preparação de resposta a emergência. O plano deverá incluir contactos relevantes e estar fixa em locais estratégicos visíveis aos trabalhadores. </w:t>
      </w:r>
    </w:p>
    <w:p w14:paraId="4231EB86" w14:textId="77777777" w:rsidR="00B31AE2" w:rsidRPr="00292532" w:rsidRDefault="00B31AE2" w:rsidP="00B31AE2">
      <w:pPr>
        <w:spacing w:before="0" w:after="200"/>
        <w:rPr>
          <w:rFonts w:ascii="Arial" w:eastAsia="Calibri" w:hAnsi="Arial" w:cs="Arial"/>
          <w:sz w:val="20"/>
          <w:lang w:val="pt-PT"/>
        </w:rPr>
      </w:pPr>
      <w:r w:rsidRPr="00292532">
        <w:rPr>
          <w:rFonts w:ascii="Arial" w:eastAsia="Calibri" w:hAnsi="Arial" w:cs="Arial"/>
          <w:sz w:val="20"/>
          <w:lang w:val="pt-PT"/>
        </w:rPr>
        <w:t>O Plano de Preparação e Resposta a Emergências deve estabelecer o seguinte:</w:t>
      </w:r>
    </w:p>
    <w:p w14:paraId="10253C4A"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os procedimentos em vigor para a identificação, notificação e o tratamento de incidentes, emergências e situações de crise;</w:t>
      </w:r>
    </w:p>
    <w:p w14:paraId="7F8696BB"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procedimentos de resposta a emergências a serem realizados, incluindo a melhor forma de prevenir / mitigar doenças e lesões decorrentes de emergências;</w:t>
      </w:r>
    </w:p>
    <w:p w14:paraId="69517872"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estruturas de gestão claramente definidas, funções e responsabilidades para lidar com emergências ou crise, incluindo o treinamento necessário a ser dado com antecedência para cada função;</w:t>
      </w:r>
    </w:p>
    <w:p w14:paraId="758698A2"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organização de áreas de emergência (por exemplo, pontos de encontros de emergências, salas de prestação de primeiros socorros, postos médicos);</w:t>
      </w:r>
    </w:p>
    <w:p w14:paraId="479A7C48"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providências para fornecimento de tratamento médico de emergência e, se necessário, evacuação médica;</w:t>
      </w:r>
    </w:p>
    <w:p w14:paraId="0C9EB2B2"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O plano de comunicação e os sistemas de comunicação em vigor, incluindo contactos relevantes.</w:t>
      </w:r>
    </w:p>
    <w:p w14:paraId="3F3A16A7" w14:textId="77777777" w:rsidR="00B31AE2" w:rsidRPr="00292532" w:rsidRDefault="00B31AE2" w:rsidP="00B31AE2">
      <w:pPr>
        <w:suppressAutoHyphens/>
        <w:spacing w:before="0" w:after="0"/>
        <w:ind w:right="12"/>
        <w:rPr>
          <w:rFonts w:ascii="Arial" w:eastAsia="Calibri" w:hAnsi="Arial" w:cs="Arial"/>
          <w:sz w:val="20"/>
          <w:lang w:val="pt-PT"/>
        </w:rPr>
      </w:pPr>
      <w:r w:rsidRPr="00292532">
        <w:rPr>
          <w:rFonts w:ascii="Arial" w:eastAsia="Calibri" w:hAnsi="Arial" w:cs="Arial"/>
          <w:sz w:val="20"/>
          <w:lang w:val="pt-PT"/>
        </w:rPr>
        <w:t xml:space="preserve">Os trabalhadores, visitantes e partes interessadas externas devem ser treinados e compreender os Planos de Resposta a Emergências, suas funções e responsabilidades e o uso de recursos de resposta a emergências. As necessidades </w:t>
      </w:r>
      <w:proofErr w:type="spellStart"/>
      <w:r w:rsidRPr="00292532">
        <w:rPr>
          <w:rFonts w:ascii="Arial" w:eastAsia="Calibri" w:hAnsi="Arial" w:cs="Arial"/>
          <w:sz w:val="20"/>
          <w:lang w:val="pt-PT"/>
        </w:rPr>
        <w:t>exactas</w:t>
      </w:r>
      <w:proofErr w:type="spellEnd"/>
      <w:r w:rsidRPr="00292532">
        <w:rPr>
          <w:rFonts w:ascii="Arial" w:eastAsia="Calibri" w:hAnsi="Arial" w:cs="Arial"/>
          <w:sz w:val="20"/>
          <w:lang w:val="pt-PT"/>
        </w:rPr>
        <w:t xml:space="preserve"> de treinamento devem ser identificadas com base nos requisitos, funções e responsabilidades e capacidades do (s) indivíduo (s) envolvido (s).</w:t>
      </w:r>
    </w:p>
    <w:p w14:paraId="3283E327" w14:textId="77777777" w:rsidR="00B31AE2" w:rsidRPr="00292532" w:rsidRDefault="00B31AE2" w:rsidP="00B31AE2">
      <w:pPr>
        <w:spacing w:before="0" w:after="200"/>
        <w:rPr>
          <w:rFonts w:ascii="Arial" w:eastAsia="Calibri" w:hAnsi="Arial" w:cs="Arial"/>
          <w:sz w:val="20"/>
          <w:lang w:val="pt-PT"/>
        </w:rPr>
      </w:pPr>
    </w:p>
    <w:p w14:paraId="08AE2AE2" w14:textId="77777777" w:rsidR="00B31AE2" w:rsidRPr="00292532" w:rsidRDefault="00B31AE2" w:rsidP="00AE14AE">
      <w:pPr>
        <w:keepNext/>
        <w:keepLines/>
        <w:numPr>
          <w:ilvl w:val="0"/>
          <w:numId w:val="121"/>
        </w:numPr>
        <w:spacing w:before="200" w:after="200" w:line="276" w:lineRule="auto"/>
        <w:jc w:val="left"/>
        <w:outlineLvl w:val="1"/>
        <w:rPr>
          <w:rFonts w:ascii="Arial" w:eastAsia="Times New Roman" w:hAnsi="Arial" w:cs="Arial"/>
          <w:b/>
          <w:bCs/>
          <w:color w:val="4472C4"/>
          <w:sz w:val="26"/>
          <w:szCs w:val="26"/>
          <w:lang w:val="pt-PT"/>
        </w:rPr>
      </w:pPr>
      <w:bookmarkStart w:id="1236" w:name="_Toc74921504"/>
      <w:bookmarkStart w:id="1237" w:name="_Toc75438080"/>
      <w:bookmarkStart w:id="1238" w:name="_Toc78435509"/>
      <w:bookmarkStart w:id="1239" w:name="_Toc80380176"/>
      <w:r w:rsidRPr="00292532">
        <w:rPr>
          <w:rFonts w:ascii="Arial" w:eastAsia="Times New Roman" w:hAnsi="Arial" w:cs="Arial"/>
          <w:b/>
          <w:bCs/>
          <w:color w:val="4472C4"/>
          <w:sz w:val="26"/>
          <w:szCs w:val="26"/>
          <w:lang w:val="pt-PT"/>
        </w:rPr>
        <w:lastRenderedPageBreak/>
        <w:t xml:space="preserve">RELATÓRIO </w:t>
      </w:r>
      <w:bookmarkEnd w:id="1236"/>
      <w:r w:rsidRPr="00292532">
        <w:rPr>
          <w:rFonts w:ascii="Arial" w:eastAsia="Times New Roman" w:hAnsi="Arial" w:cs="Arial"/>
          <w:b/>
          <w:bCs/>
          <w:color w:val="4472C4"/>
          <w:sz w:val="26"/>
          <w:szCs w:val="26"/>
          <w:lang w:val="pt-PT"/>
        </w:rPr>
        <w:t>DE PROGRESSO</w:t>
      </w:r>
      <w:bookmarkEnd w:id="1237"/>
      <w:bookmarkEnd w:id="1238"/>
      <w:bookmarkEnd w:id="1239"/>
    </w:p>
    <w:p w14:paraId="1CAFE02B" w14:textId="77777777" w:rsidR="00B31AE2" w:rsidRPr="00292532" w:rsidRDefault="00B31AE2" w:rsidP="00B31AE2">
      <w:pPr>
        <w:spacing w:before="0" w:after="200"/>
        <w:rPr>
          <w:rFonts w:ascii="Arial" w:eastAsia="Calibri" w:hAnsi="Arial" w:cs="Arial"/>
          <w:sz w:val="20"/>
          <w:lang w:val="pt-PT"/>
        </w:rPr>
      </w:pPr>
      <w:r w:rsidRPr="00292532">
        <w:rPr>
          <w:rFonts w:ascii="Arial" w:eastAsia="Calibri" w:hAnsi="Arial" w:cs="Arial"/>
          <w:sz w:val="20"/>
          <w:lang w:val="pt-PT"/>
        </w:rPr>
        <w:t>Numa base mensal, a contratada enviará à fiscalização e deste à UIP o Relatório de Progresso (mensal, trimestral e anual conforme e acordado) de meio-ambiente, assuntos sociais e de saúde e segurança, que deverá conter os seguintes elementos sobre Saúde e Segurança:</w:t>
      </w:r>
    </w:p>
    <w:p w14:paraId="223790B6" w14:textId="298486BC"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Estatísticas de saúde e segurança, incluindo incidentes e acidentes;</w:t>
      </w:r>
    </w:p>
    <w:p w14:paraId="5C31A885" w14:textId="19E5AD6B" w:rsidR="00DB0B85" w:rsidRPr="00292532" w:rsidRDefault="0046130C"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Número</w:t>
      </w:r>
      <w:r w:rsidR="00DB0B85" w:rsidRPr="00292532">
        <w:rPr>
          <w:rFonts w:ascii="Arial" w:eastAsia="Calibri" w:hAnsi="Arial" w:cs="Arial"/>
          <w:sz w:val="20"/>
          <w:lang w:val="pt-PT"/>
        </w:rPr>
        <w:t xml:space="preserve"> de treinamentos em saúde e segurança ministrados assim como </w:t>
      </w:r>
      <w:proofErr w:type="gramStart"/>
      <w:r w:rsidR="00DB0B85" w:rsidRPr="00292532">
        <w:rPr>
          <w:rFonts w:ascii="Arial" w:eastAsia="Calibri" w:hAnsi="Arial" w:cs="Arial"/>
          <w:sz w:val="20"/>
          <w:lang w:val="pt-PT"/>
        </w:rPr>
        <w:t>numero</w:t>
      </w:r>
      <w:proofErr w:type="gramEnd"/>
      <w:r w:rsidR="00DB0B85" w:rsidRPr="00292532">
        <w:rPr>
          <w:rFonts w:ascii="Arial" w:eastAsia="Calibri" w:hAnsi="Arial" w:cs="Arial"/>
          <w:sz w:val="20"/>
          <w:lang w:val="pt-PT"/>
        </w:rPr>
        <w:t xml:space="preserve"> de participantes</w:t>
      </w:r>
    </w:p>
    <w:p w14:paraId="48B76DB5"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proofErr w:type="gramStart"/>
      <w:r w:rsidRPr="00292532">
        <w:rPr>
          <w:rFonts w:ascii="Arial" w:eastAsia="Calibri" w:hAnsi="Arial" w:cs="Arial"/>
          <w:sz w:val="20"/>
          <w:lang w:val="pt-PT"/>
        </w:rPr>
        <w:t>Registros</w:t>
      </w:r>
      <w:proofErr w:type="gramEnd"/>
      <w:r w:rsidRPr="00292532">
        <w:rPr>
          <w:rFonts w:ascii="Arial" w:eastAsia="Calibri" w:hAnsi="Arial" w:cs="Arial"/>
          <w:sz w:val="20"/>
          <w:lang w:val="pt-PT"/>
        </w:rPr>
        <w:t xml:space="preserve"> de treinamento e </w:t>
      </w:r>
      <w:proofErr w:type="spellStart"/>
      <w:r w:rsidRPr="00292532">
        <w:rPr>
          <w:rFonts w:ascii="Arial" w:eastAsia="Calibri" w:hAnsi="Arial" w:cs="Arial"/>
          <w:sz w:val="20"/>
          <w:lang w:val="pt-PT"/>
        </w:rPr>
        <w:t>respectivas</w:t>
      </w:r>
      <w:proofErr w:type="spellEnd"/>
      <w:r w:rsidRPr="00292532">
        <w:rPr>
          <w:rFonts w:ascii="Arial" w:eastAsia="Calibri" w:hAnsi="Arial" w:cs="Arial"/>
          <w:sz w:val="20"/>
          <w:lang w:val="pt-PT"/>
        </w:rPr>
        <w:t xml:space="preserve"> evidencias;</w:t>
      </w:r>
    </w:p>
    <w:p w14:paraId="3FF89F8E"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proofErr w:type="gramStart"/>
      <w:r w:rsidRPr="00292532">
        <w:rPr>
          <w:rFonts w:ascii="Arial" w:eastAsia="Calibri" w:hAnsi="Arial" w:cs="Arial"/>
          <w:sz w:val="20"/>
          <w:lang w:val="pt-PT"/>
        </w:rPr>
        <w:t>Registros</w:t>
      </w:r>
      <w:proofErr w:type="gramEnd"/>
      <w:r w:rsidRPr="00292532">
        <w:rPr>
          <w:rFonts w:ascii="Arial" w:eastAsia="Calibri" w:hAnsi="Arial" w:cs="Arial"/>
          <w:sz w:val="20"/>
          <w:lang w:val="pt-PT"/>
        </w:rPr>
        <w:t xml:space="preserve"> de assistência médica;</w:t>
      </w:r>
    </w:p>
    <w:p w14:paraId="400DEC84"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Dias de trabalho e perdidos;</w:t>
      </w:r>
    </w:p>
    <w:p w14:paraId="71376D4D"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Número de funcionários e horas trabalhadas;</w:t>
      </w:r>
    </w:p>
    <w:p w14:paraId="76690BA5" w14:textId="745F1CD2"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Dados ambientais, como resíduos produzidos e descartados;</w:t>
      </w:r>
    </w:p>
    <w:p w14:paraId="7FE1AC35" w14:textId="621A0584" w:rsidR="00894434" w:rsidRPr="00292532" w:rsidRDefault="00894434"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Queixas apresentadas por trabalhado</w:t>
      </w:r>
      <w:r w:rsidR="00BF4044" w:rsidRPr="00292532">
        <w:rPr>
          <w:rFonts w:ascii="Arial" w:eastAsia="Calibri" w:hAnsi="Arial" w:cs="Arial"/>
          <w:sz w:val="20"/>
          <w:lang w:val="pt-PT"/>
        </w:rPr>
        <w:t>res e/ ou pela comunidade</w:t>
      </w:r>
    </w:p>
    <w:p w14:paraId="36F0AFB4" w14:textId="3210028A"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incidentes</w:t>
      </w:r>
      <w:r w:rsidR="00BF4044" w:rsidRPr="00292532">
        <w:rPr>
          <w:rFonts w:ascii="Arial" w:eastAsia="Calibri" w:hAnsi="Arial" w:cs="Arial"/>
          <w:sz w:val="20"/>
          <w:lang w:val="pt-PT"/>
        </w:rPr>
        <w:t xml:space="preserve"> de trabalho que </w:t>
      </w:r>
      <w:r w:rsidR="00F746C1" w:rsidRPr="00292532">
        <w:rPr>
          <w:rFonts w:ascii="Arial" w:eastAsia="Calibri" w:hAnsi="Arial" w:cs="Arial"/>
          <w:sz w:val="20"/>
          <w:lang w:val="pt-PT"/>
        </w:rPr>
        <w:t>tenham envolvido trabalhadores e/ou</w:t>
      </w:r>
      <w:r w:rsidRPr="00292532">
        <w:rPr>
          <w:rFonts w:ascii="Arial" w:eastAsia="Calibri" w:hAnsi="Arial" w:cs="Arial"/>
          <w:sz w:val="20"/>
          <w:lang w:val="pt-PT"/>
        </w:rPr>
        <w:t xml:space="preserve"> a comunidade;</w:t>
      </w:r>
    </w:p>
    <w:p w14:paraId="4A91627C" w14:textId="77777777" w:rsidR="00B31AE2" w:rsidRPr="00292532" w:rsidRDefault="00B31AE2" w:rsidP="00AE14AE">
      <w:pPr>
        <w:numPr>
          <w:ilvl w:val="0"/>
          <w:numId w:val="146"/>
        </w:numPr>
        <w:suppressAutoHyphens/>
        <w:spacing w:before="0" w:after="200" w:line="276" w:lineRule="auto"/>
        <w:ind w:right="12"/>
        <w:contextualSpacing/>
        <w:jc w:val="left"/>
        <w:rPr>
          <w:rFonts w:ascii="Arial" w:eastAsia="Calibri" w:hAnsi="Arial" w:cs="Arial"/>
          <w:sz w:val="20"/>
          <w:lang w:val="pt-PT"/>
        </w:rPr>
      </w:pPr>
      <w:r w:rsidRPr="00292532">
        <w:rPr>
          <w:rFonts w:ascii="Arial" w:eastAsia="Calibri" w:hAnsi="Arial" w:cs="Arial"/>
          <w:sz w:val="20"/>
          <w:lang w:val="pt-PT"/>
        </w:rPr>
        <w:t xml:space="preserve">Registo de reuniões com a comunidade e outras </w:t>
      </w:r>
      <w:proofErr w:type="spellStart"/>
      <w:r w:rsidRPr="00292532">
        <w:rPr>
          <w:rFonts w:ascii="Arial" w:eastAsia="Calibri" w:hAnsi="Arial" w:cs="Arial"/>
          <w:sz w:val="20"/>
          <w:lang w:val="pt-PT"/>
        </w:rPr>
        <w:t>acções</w:t>
      </w:r>
      <w:proofErr w:type="spellEnd"/>
      <w:r w:rsidRPr="00292532">
        <w:rPr>
          <w:rFonts w:ascii="Arial" w:eastAsia="Calibri" w:hAnsi="Arial" w:cs="Arial"/>
          <w:sz w:val="20"/>
          <w:lang w:val="pt-PT"/>
        </w:rPr>
        <w:t xml:space="preserve"> de engajamento com a comunidade e governo (quando aplicáveis). </w:t>
      </w:r>
    </w:p>
    <w:p w14:paraId="467BFD92" w14:textId="77777777" w:rsidR="00B31AE2" w:rsidRPr="00292532" w:rsidRDefault="00B31AE2" w:rsidP="00B31AE2">
      <w:pPr>
        <w:spacing w:before="0" w:line="259" w:lineRule="auto"/>
        <w:jc w:val="left"/>
        <w:rPr>
          <w:rFonts w:ascii="Arial" w:eastAsia="Calibri" w:hAnsi="Arial" w:cs="Arial"/>
          <w:sz w:val="20"/>
          <w:lang w:val="pt-PT"/>
        </w:rPr>
      </w:pPr>
      <w:r w:rsidRPr="00292532">
        <w:rPr>
          <w:rFonts w:ascii="Arial" w:eastAsia="Calibri" w:hAnsi="Arial" w:cs="Arial"/>
          <w:sz w:val="20"/>
          <w:lang w:val="pt-PT"/>
        </w:rPr>
        <w:br w:type="page"/>
      </w:r>
    </w:p>
    <w:p w14:paraId="1DBBB1AB" w14:textId="77777777" w:rsidR="00B31AE2" w:rsidRPr="00292532" w:rsidRDefault="00B31AE2" w:rsidP="00B31AE2">
      <w:pPr>
        <w:suppressAutoHyphens/>
        <w:spacing w:before="0" w:after="200"/>
        <w:ind w:right="12"/>
        <w:rPr>
          <w:rFonts w:ascii="Arial" w:eastAsia="Calibri" w:hAnsi="Arial" w:cs="Arial"/>
          <w:sz w:val="20"/>
          <w:lang w:val="pt-PT"/>
        </w:rPr>
      </w:pPr>
    </w:p>
    <w:p w14:paraId="449BA89D" w14:textId="77777777" w:rsidR="00B31AE2" w:rsidRPr="00292532" w:rsidRDefault="00B31AE2" w:rsidP="00B31AE2">
      <w:pPr>
        <w:suppressAutoHyphens/>
        <w:spacing w:before="0" w:after="200"/>
        <w:ind w:right="12"/>
        <w:rPr>
          <w:rFonts w:ascii="Arial" w:eastAsia="Calibri" w:hAnsi="Arial" w:cs="Arial"/>
          <w:sz w:val="20"/>
          <w:lang w:val="pt-PT"/>
        </w:rPr>
      </w:pPr>
    </w:p>
    <w:p w14:paraId="34110322" w14:textId="58362798" w:rsidR="00B31AE2" w:rsidRPr="00292532" w:rsidRDefault="00B31AE2" w:rsidP="00AE14AE">
      <w:pPr>
        <w:keepNext/>
        <w:keepLines/>
        <w:numPr>
          <w:ilvl w:val="0"/>
          <w:numId w:val="146"/>
        </w:numPr>
        <w:spacing w:before="480" w:after="200" w:line="276" w:lineRule="auto"/>
        <w:ind w:left="0" w:firstLine="0"/>
        <w:jc w:val="center"/>
        <w:outlineLvl w:val="0"/>
        <w:rPr>
          <w:rFonts w:ascii="Calibri Light" w:eastAsia="Times New Roman" w:hAnsi="Calibri Light" w:cs="Times New Roman"/>
          <w:b/>
          <w:bCs/>
          <w:color w:val="2F5496"/>
          <w:sz w:val="28"/>
          <w:szCs w:val="28"/>
          <w:lang w:val="pt-PT"/>
        </w:rPr>
      </w:pPr>
      <w:bookmarkStart w:id="1240" w:name="_Toc74921505"/>
      <w:bookmarkStart w:id="1241" w:name="_Toc75438081"/>
      <w:bookmarkStart w:id="1242" w:name="_Toc78435510"/>
      <w:bookmarkStart w:id="1243" w:name="_Toc80380177"/>
      <w:r w:rsidRPr="00292532">
        <w:rPr>
          <w:rFonts w:ascii="Calibri Light" w:eastAsia="Times New Roman" w:hAnsi="Calibri Light" w:cs="Times New Roman"/>
          <w:b/>
          <w:bCs/>
          <w:color w:val="2F5496"/>
          <w:sz w:val="28"/>
          <w:szCs w:val="28"/>
          <w:lang w:val="pt-PT"/>
        </w:rPr>
        <w:t>APÊNDICES</w:t>
      </w:r>
      <w:bookmarkEnd w:id="1240"/>
      <w:r w:rsidRPr="00292532">
        <w:rPr>
          <w:rFonts w:ascii="Calibri Light" w:eastAsia="Times New Roman" w:hAnsi="Calibri Light" w:cs="Times New Roman"/>
          <w:b/>
          <w:bCs/>
          <w:color w:val="2F5496"/>
          <w:sz w:val="28"/>
          <w:szCs w:val="28"/>
          <w:lang w:val="pt-PT"/>
        </w:rPr>
        <w:t xml:space="preserve"> do Plano de Gestão de Mão-de-Obra (PGMO) e do Plano de Gestão de Saúde e Segurança Ocupacionais (PGSSO)</w:t>
      </w:r>
      <w:bookmarkEnd w:id="1241"/>
      <w:bookmarkEnd w:id="1242"/>
      <w:bookmarkEnd w:id="1243"/>
    </w:p>
    <w:p w14:paraId="0BB1EED2" w14:textId="77777777" w:rsidR="00B31AE2" w:rsidRPr="00292532" w:rsidRDefault="00B31AE2" w:rsidP="00B31AE2">
      <w:pPr>
        <w:spacing w:before="0" w:line="259" w:lineRule="auto"/>
        <w:jc w:val="left"/>
        <w:rPr>
          <w:rFonts w:ascii="Arial" w:eastAsia="Times New Roman" w:hAnsi="Arial" w:cs="Arial"/>
          <w:b/>
          <w:bCs/>
          <w:color w:val="4472C4"/>
          <w:sz w:val="26"/>
          <w:szCs w:val="26"/>
          <w:lang w:val="pt-PT"/>
        </w:rPr>
      </w:pPr>
      <w:r w:rsidRPr="00292532">
        <w:rPr>
          <w:rFonts w:ascii="Arial" w:eastAsia="Calibri" w:hAnsi="Arial" w:cs="Arial"/>
          <w:lang w:val="pt-PT"/>
        </w:rPr>
        <w:br w:type="page"/>
      </w:r>
    </w:p>
    <w:p w14:paraId="44239BFF" w14:textId="74220743" w:rsidR="00B31AE2" w:rsidRPr="00292532" w:rsidRDefault="00B31AE2" w:rsidP="00AE14AE">
      <w:pPr>
        <w:keepNext/>
        <w:keepLines/>
        <w:numPr>
          <w:ilvl w:val="0"/>
          <w:numId w:val="146"/>
        </w:numPr>
        <w:spacing w:before="0" w:after="200" w:line="276" w:lineRule="auto"/>
        <w:ind w:left="426" w:firstLine="0"/>
        <w:jc w:val="left"/>
        <w:outlineLvl w:val="1"/>
        <w:rPr>
          <w:rFonts w:ascii="Arial" w:eastAsia="Times New Roman" w:hAnsi="Arial" w:cs="Arial"/>
          <w:b/>
          <w:bCs/>
          <w:color w:val="4472C4"/>
          <w:sz w:val="26"/>
          <w:szCs w:val="26"/>
          <w:lang w:val="pt-PT"/>
        </w:rPr>
      </w:pPr>
      <w:bookmarkStart w:id="1244" w:name="_Ref64800745"/>
      <w:bookmarkStart w:id="1245" w:name="_Toc74921506"/>
      <w:bookmarkStart w:id="1246" w:name="_Toc75438082"/>
      <w:bookmarkStart w:id="1247" w:name="_Toc78435511"/>
      <w:bookmarkStart w:id="1248" w:name="_Toc80380178"/>
      <w:bookmarkEnd w:id="1235"/>
      <w:r w:rsidRPr="00292532">
        <w:rPr>
          <w:rFonts w:ascii="Arial" w:eastAsia="Times New Roman" w:hAnsi="Arial" w:cs="Arial"/>
          <w:b/>
          <w:bCs/>
          <w:color w:val="4472C4"/>
          <w:sz w:val="26"/>
          <w:szCs w:val="26"/>
          <w:lang w:val="pt-PT"/>
        </w:rPr>
        <w:lastRenderedPageBreak/>
        <w:t>Apêndice A</w:t>
      </w:r>
      <w:bookmarkEnd w:id="1244"/>
      <w:r w:rsidRPr="00292532">
        <w:rPr>
          <w:rFonts w:ascii="Arial" w:eastAsia="Times New Roman" w:hAnsi="Arial" w:cs="Arial"/>
          <w:b/>
          <w:bCs/>
          <w:color w:val="4472C4"/>
          <w:sz w:val="26"/>
          <w:szCs w:val="26"/>
          <w:lang w:val="pt-PT"/>
        </w:rPr>
        <w:t xml:space="preserve"> - Guia de operacionalização do MGR para trabalhadores</w:t>
      </w:r>
      <w:bookmarkEnd w:id="1245"/>
      <w:bookmarkEnd w:id="1246"/>
      <w:bookmarkEnd w:id="1247"/>
      <w:bookmarkEnd w:id="1248"/>
    </w:p>
    <w:p w14:paraId="252457D6" w14:textId="77777777" w:rsidR="00B31AE2" w:rsidRPr="00292532" w:rsidRDefault="00B31AE2" w:rsidP="00B31AE2">
      <w:pPr>
        <w:spacing w:before="0" w:after="0" w:line="360" w:lineRule="auto"/>
        <w:jc w:val="center"/>
        <w:rPr>
          <w:rFonts w:eastAsia="Calibri" w:cs="Calibri"/>
          <w:b/>
          <w:sz w:val="20"/>
          <w:szCs w:val="20"/>
          <w:lang w:val="pt-PT"/>
        </w:rPr>
      </w:pPr>
      <w:bookmarkStart w:id="1249" w:name="_Hlk64804426"/>
      <w:r w:rsidRPr="00292532">
        <w:rPr>
          <w:rFonts w:eastAsia="Calibri" w:cs="Calibri"/>
          <w:b/>
          <w:sz w:val="20"/>
          <w:szCs w:val="20"/>
          <w:lang w:val="pt-PT"/>
        </w:rPr>
        <w:t xml:space="preserve">Guia de operacionalização do </w:t>
      </w:r>
      <w:bookmarkEnd w:id="1249"/>
      <w:r w:rsidRPr="00292532">
        <w:rPr>
          <w:rFonts w:eastAsia="Calibri" w:cs="Calibri"/>
          <w:b/>
          <w:sz w:val="20"/>
          <w:szCs w:val="20"/>
          <w:lang w:val="pt-PT"/>
        </w:rPr>
        <w:t>Mecanismo de Gestão de Reclamação (MGR)</w:t>
      </w:r>
    </w:p>
    <w:tbl>
      <w:tblPr>
        <w:tblW w:w="8220" w:type="dxa"/>
        <w:jc w:val="center"/>
        <w:tblCellMar>
          <w:left w:w="70" w:type="dxa"/>
          <w:right w:w="70" w:type="dxa"/>
        </w:tblCellMar>
        <w:tblLook w:val="04A0" w:firstRow="1" w:lastRow="0" w:firstColumn="1" w:lastColumn="0" w:noHBand="0" w:noVBand="1"/>
      </w:tblPr>
      <w:tblGrid>
        <w:gridCol w:w="8220"/>
      </w:tblGrid>
      <w:tr w:rsidR="00B31AE2" w:rsidRPr="004E2EAC" w14:paraId="07D864D2" w14:textId="77777777" w:rsidTr="00B31AE2">
        <w:trPr>
          <w:trHeight w:val="315"/>
          <w:jc w:val="center"/>
        </w:trPr>
        <w:tc>
          <w:tcPr>
            <w:tcW w:w="8220" w:type="dxa"/>
            <w:tcBorders>
              <w:top w:val="single" w:sz="8" w:space="0" w:color="auto"/>
              <w:left w:val="single" w:sz="8" w:space="0" w:color="auto"/>
              <w:bottom w:val="single" w:sz="8" w:space="0" w:color="auto"/>
              <w:right w:val="single" w:sz="8" w:space="0" w:color="auto"/>
            </w:tcBorders>
            <w:shd w:val="clear" w:color="auto" w:fill="FFFFFF"/>
            <w:noWrap/>
            <w:vAlign w:val="center"/>
            <w:hideMark/>
          </w:tcPr>
          <w:p w14:paraId="7E4A6A2E" w14:textId="77777777" w:rsidR="00B31AE2" w:rsidRPr="00292532" w:rsidRDefault="00B31AE2" w:rsidP="00B31AE2">
            <w:pPr>
              <w:spacing w:before="0" w:after="0" w:line="256" w:lineRule="auto"/>
              <w:jc w:val="center"/>
              <w:rPr>
                <w:rFonts w:eastAsia="Calibri" w:cs="Calibri"/>
                <w:b/>
                <w:szCs w:val="20"/>
                <w:lang w:val="pt-PT"/>
              </w:rPr>
            </w:pPr>
            <w:r w:rsidRPr="00292532">
              <w:rPr>
                <w:rFonts w:eastAsia="Calibri" w:cs="Calibri"/>
                <w:b/>
                <w:szCs w:val="20"/>
                <w:lang w:val="pt-PT"/>
              </w:rPr>
              <w:t xml:space="preserve">PASSO 0: Estabelecimentos dos canais de </w:t>
            </w:r>
            <w:proofErr w:type="spellStart"/>
            <w:r w:rsidRPr="00292532">
              <w:rPr>
                <w:rFonts w:eastAsia="Calibri" w:cs="Calibri"/>
                <w:b/>
                <w:szCs w:val="20"/>
                <w:lang w:val="pt-PT"/>
              </w:rPr>
              <w:t>recepção</w:t>
            </w:r>
            <w:proofErr w:type="spellEnd"/>
            <w:r w:rsidRPr="00292532">
              <w:rPr>
                <w:rFonts w:eastAsia="Calibri" w:cs="Calibri"/>
                <w:b/>
                <w:szCs w:val="20"/>
                <w:lang w:val="pt-PT"/>
              </w:rPr>
              <w:t xml:space="preserve"> de reclamações </w:t>
            </w:r>
          </w:p>
        </w:tc>
      </w:tr>
      <w:tr w:rsidR="00B31AE2" w:rsidRPr="004E2EAC" w14:paraId="04C499A1" w14:textId="77777777" w:rsidTr="00B31AE2">
        <w:trPr>
          <w:trHeight w:val="255"/>
          <w:jc w:val="center"/>
        </w:trPr>
        <w:tc>
          <w:tcPr>
            <w:tcW w:w="8220" w:type="dxa"/>
            <w:shd w:val="clear" w:color="auto" w:fill="FFFFFF"/>
            <w:noWrap/>
            <w:vAlign w:val="center"/>
            <w:hideMark/>
          </w:tcPr>
          <w:p w14:paraId="13A07461" w14:textId="77777777" w:rsidR="00B31AE2" w:rsidRPr="00292532" w:rsidRDefault="00B31AE2" w:rsidP="00B31AE2">
            <w:pPr>
              <w:spacing w:before="0" w:after="0" w:line="256" w:lineRule="auto"/>
              <w:jc w:val="center"/>
              <w:rPr>
                <w:rFonts w:eastAsia="Calibri" w:cs="Calibri"/>
                <w:szCs w:val="20"/>
                <w:lang w:val="pt-PT"/>
              </w:rPr>
            </w:pPr>
            <w:r w:rsidRPr="00292532">
              <w:rPr>
                <w:rFonts w:eastAsia="Calibri" w:cs="Calibri"/>
                <w:szCs w:val="20"/>
                <w:lang w:val="pt-PT"/>
              </w:rPr>
              <w:t>O Empreiteiro (</w:t>
            </w:r>
            <w:proofErr w:type="spellStart"/>
            <w:r w:rsidRPr="00292532">
              <w:rPr>
                <w:rFonts w:eastAsia="Calibri" w:cs="Calibri"/>
                <w:szCs w:val="20"/>
                <w:lang w:val="pt-PT"/>
              </w:rPr>
              <w:t>Director</w:t>
            </w:r>
            <w:proofErr w:type="spellEnd"/>
            <w:r w:rsidRPr="00292532">
              <w:rPr>
                <w:rFonts w:eastAsia="Calibri" w:cs="Calibri"/>
                <w:szCs w:val="20"/>
                <w:lang w:val="pt-PT"/>
              </w:rPr>
              <w:t xml:space="preserve"> da Obra e dos Recursos Humanos (RH)) e o Fiscal criam os canais para </w:t>
            </w:r>
            <w:proofErr w:type="spellStart"/>
            <w:r w:rsidRPr="00292532">
              <w:rPr>
                <w:rFonts w:eastAsia="Calibri" w:cs="Calibri"/>
                <w:szCs w:val="20"/>
                <w:lang w:val="pt-PT"/>
              </w:rPr>
              <w:t>recepção</w:t>
            </w:r>
            <w:proofErr w:type="spellEnd"/>
            <w:r w:rsidRPr="00292532">
              <w:rPr>
                <w:rFonts w:eastAsia="Calibri" w:cs="Calibri"/>
                <w:szCs w:val="20"/>
                <w:lang w:val="pt-PT"/>
              </w:rPr>
              <w:t xml:space="preserve"> de reclamações, nomeadamente:</w:t>
            </w:r>
          </w:p>
          <w:p w14:paraId="0D9D6789" w14:textId="77777777" w:rsidR="00B31AE2" w:rsidRPr="00292532" w:rsidRDefault="00B31AE2" w:rsidP="00AE14AE">
            <w:pPr>
              <w:numPr>
                <w:ilvl w:val="0"/>
                <w:numId w:val="128"/>
              </w:numPr>
              <w:autoSpaceDN w:val="0"/>
              <w:spacing w:before="0" w:after="0" w:line="276" w:lineRule="auto"/>
              <w:ind w:left="285"/>
              <w:contextualSpacing/>
              <w:jc w:val="center"/>
              <w:rPr>
                <w:rFonts w:eastAsia="Calibri" w:cs="Calibri"/>
                <w:szCs w:val="20"/>
                <w:lang w:val="pt-PT"/>
              </w:rPr>
            </w:pPr>
            <w:r w:rsidRPr="00292532">
              <w:rPr>
                <w:rFonts w:eastAsia="Calibri" w:cs="Calibri"/>
                <w:szCs w:val="20"/>
                <w:lang w:val="pt-PT"/>
              </w:rPr>
              <w:t>Linha telefónica dedicada</w:t>
            </w:r>
            <w:r w:rsidRPr="00292532">
              <w:rPr>
                <w:rFonts w:eastAsia="Calibri" w:cs="Calibri"/>
                <w:szCs w:val="20"/>
                <w:vertAlign w:val="superscript"/>
                <w:lang w:val="pt-PT"/>
              </w:rPr>
              <w:footnoteReference w:id="23"/>
            </w:r>
            <w:r w:rsidRPr="00292532">
              <w:rPr>
                <w:rFonts w:eastAsia="Calibri" w:cs="Calibri"/>
                <w:szCs w:val="20"/>
                <w:lang w:val="pt-PT"/>
              </w:rPr>
              <w:t xml:space="preserve"> para (i) Oficial de Reclamação de RH (</w:t>
            </w:r>
            <w:proofErr w:type="spellStart"/>
            <w:r w:rsidRPr="00292532">
              <w:rPr>
                <w:rFonts w:eastAsia="Calibri" w:cs="Calibri"/>
                <w:szCs w:val="20"/>
                <w:lang w:val="pt-PT"/>
              </w:rPr>
              <w:t>ii</w:t>
            </w:r>
            <w:proofErr w:type="spellEnd"/>
            <w:r w:rsidRPr="00292532">
              <w:rPr>
                <w:rFonts w:eastAsia="Calibri" w:cs="Calibri"/>
                <w:szCs w:val="20"/>
                <w:lang w:val="pt-PT"/>
              </w:rPr>
              <w:t>) oficial ambiental/SSO e (</w:t>
            </w:r>
            <w:proofErr w:type="spellStart"/>
            <w:r w:rsidRPr="00292532">
              <w:rPr>
                <w:rFonts w:eastAsia="Calibri" w:cs="Calibri"/>
                <w:szCs w:val="20"/>
                <w:lang w:val="pt-PT"/>
              </w:rPr>
              <w:t>iii</w:t>
            </w:r>
            <w:proofErr w:type="spellEnd"/>
            <w:r w:rsidRPr="00292532">
              <w:rPr>
                <w:rFonts w:eastAsia="Calibri" w:cs="Calibri"/>
                <w:szCs w:val="20"/>
                <w:lang w:val="pt-PT"/>
              </w:rPr>
              <w:t>) fiscal.</w:t>
            </w:r>
          </w:p>
          <w:p w14:paraId="6A99B262" w14:textId="77777777" w:rsidR="00B31AE2" w:rsidRPr="00292532" w:rsidRDefault="00B31AE2" w:rsidP="00AE14AE">
            <w:pPr>
              <w:numPr>
                <w:ilvl w:val="0"/>
                <w:numId w:val="128"/>
              </w:numPr>
              <w:autoSpaceDN w:val="0"/>
              <w:spacing w:before="0" w:after="0" w:line="276" w:lineRule="auto"/>
              <w:ind w:left="285"/>
              <w:contextualSpacing/>
              <w:jc w:val="center"/>
              <w:rPr>
                <w:rFonts w:eastAsia="Calibri" w:cs="Calibri"/>
                <w:szCs w:val="20"/>
                <w:lang w:val="pt-PT"/>
              </w:rPr>
            </w:pPr>
            <w:r w:rsidRPr="00292532">
              <w:rPr>
                <w:rFonts w:eastAsia="Calibri" w:cs="Calibri"/>
                <w:szCs w:val="20"/>
                <w:lang w:val="pt-PT"/>
              </w:rPr>
              <w:t>Caixa de reclamações, livros de registo físico disponibilizados em locais estratégicos de fácil acesso para os trabalhadores.</w:t>
            </w:r>
          </w:p>
          <w:p w14:paraId="255D3B9C" w14:textId="77777777" w:rsidR="00B31AE2" w:rsidRPr="00292532" w:rsidRDefault="00B31AE2" w:rsidP="00AE14AE">
            <w:pPr>
              <w:numPr>
                <w:ilvl w:val="0"/>
                <w:numId w:val="128"/>
              </w:numPr>
              <w:autoSpaceDN w:val="0"/>
              <w:spacing w:before="0" w:after="0" w:line="276" w:lineRule="auto"/>
              <w:ind w:left="285"/>
              <w:contextualSpacing/>
              <w:jc w:val="center"/>
              <w:rPr>
                <w:rFonts w:eastAsia="Calibri" w:cs="Calibri"/>
                <w:szCs w:val="20"/>
                <w:lang w:val="pt-PT"/>
              </w:rPr>
            </w:pPr>
            <w:r w:rsidRPr="00292532">
              <w:rPr>
                <w:rFonts w:eastAsia="Calibri" w:cs="Calibri"/>
                <w:szCs w:val="20"/>
                <w:lang w:val="pt-PT"/>
              </w:rPr>
              <w:t>Mural (muro, parede ou quadro) para fixação de informação relevante - deve estar protegido de sol e chuva</w:t>
            </w:r>
          </w:p>
        </w:tc>
      </w:tr>
      <w:tr w:rsidR="00B31AE2" w:rsidRPr="004E2EAC" w14:paraId="7AD0AAE8" w14:textId="77777777" w:rsidTr="00B31AE2">
        <w:trPr>
          <w:trHeight w:val="510"/>
          <w:jc w:val="center"/>
        </w:trPr>
        <w:tc>
          <w:tcPr>
            <w:tcW w:w="8220" w:type="dxa"/>
            <w:shd w:val="clear" w:color="auto" w:fill="FFFFFF"/>
            <w:vAlign w:val="center"/>
            <w:hideMark/>
          </w:tcPr>
          <w:p w14:paraId="054673AF" w14:textId="77777777" w:rsidR="00B31AE2" w:rsidRPr="00292532" w:rsidRDefault="00B31AE2" w:rsidP="00B31AE2">
            <w:pPr>
              <w:spacing w:before="0" w:after="0" w:line="256" w:lineRule="auto"/>
              <w:jc w:val="center"/>
              <w:rPr>
                <w:rFonts w:eastAsia="Calibri" w:cs="Calibri"/>
                <w:szCs w:val="20"/>
                <w:lang w:val="pt-PT"/>
              </w:rPr>
            </w:pPr>
            <w:r w:rsidRPr="00292532">
              <w:rPr>
                <w:rFonts w:eastAsia="Calibri" w:cs="Calibri"/>
                <w:color w:val="4472C4"/>
                <w:szCs w:val="20"/>
                <w:lang w:val="pt-PT"/>
              </w:rPr>
              <w:t>[Agentes de implementação: Oficial de Reclamação de RH e oficial ambiental/SSO]</w:t>
            </w:r>
          </w:p>
        </w:tc>
      </w:tr>
      <w:tr w:rsidR="00B31AE2" w:rsidRPr="004E2EAC" w14:paraId="61C40D6B" w14:textId="77777777" w:rsidTr="00B31AE2">
        <w:trPr>
          <w:trHeight w:val="315"/>
          <w:jc w:val="center"/>
        </w:trPr>
        <w:tc>
          <w:tcPr>
            <w:tcW w:w="8220" w:type="dxa"/>
            <w:tcBorders>
              <w:top w:val="single" w:sz="8" w:space="0" w:color="auto"/>
              <w:left w:val="single" w:sz="8" w:space="0" w:color="auto"/>
              <w:bottom w:val="single" w:sz="8" w:space="0" w:color="auto"/>
              <w:right w:val="single" w:sz="8" w:space="0" w:color="auto"/>
            </w:tcBorders>
            <w:shd w:val="clear" w:color="auto" w:fill="FFFFFF"/>
            <w:noWrap/>
            <w:vAlign w:val="center"/>
            <w:hideMark/>
          </w:tcPr>
          <w:p w14:paraId="3239782C" w14:textId="77777777" w:rsidR="00B31AE2" w:rsidRPr="00292532" w:rsidRDefault="00B31AE2" w:rsidP="00B31AE2">
            <w:pPr>
              <w:spacing w:before="0" w:after="0" w:line="256" w:lineRule="auto"/>
              <w:jc w:val="center"/>
              <w:rPr>
                <w:rFonts w:eastAsia="Calibri" w:cs="Calibri"/>
                <w:b/>
                <w:szCs w:val="20"/>
                <w:lang w:val="pt-PT"/>
              </w:rPr>
            </w:pPr>
            <w:r w:rsidRPr="00292532">
              <w:rPr>
                <w:rFonts w:eastAsia="Calibri" w:cs="Calibri"/>
                <w:b/>
                <w:szCs w:val="20"/>
                <w:lang w:val="pt-PT"/>
              </w:rPr>
              <w:t>PASSO 1: Divulgar o Mecanismo de Gestão de Reclamação (MGR)</w:t>
            </w:r>
          </w:p>
        </w:tc>
      </w:tr>
      <w:tr w:rsidR="00B31AE2" w:rsidRPr="004E2EAC" w14:paraId="74A1E54A" w14:textId="77777777" w:rsidTr="00B31AE2">
        <w:trPr>
          <w:trHeight w:val="255"/>
          <w:jc w:val="center"/>
        </w:trPr>
        <w:tc>
          <w:tcPr>
            <w:tcW w:w="8220" w:type="dxa"/>
            <w:shd w:val="clear" w:color="auto" w:fill="FFFFFF"/>
            <w:noWrap/>
            <w:vAlign w:val="center"/>
            <w:hideMark/>
          </w:tcPr>
          <w:p w14:paraId="3943AF1E" w14:textId="77777777" w:rsidR="00B31AE2" w:rsidRPr="00292532" w:rsidRDefault="00B31AE2" w:rsidP="00B31AE2">
            <w:pPr>
              <w:spacing w:before="0" w:after="0" w:line="256" w:lineRule="auto"/>
              <w:jc w:val="center"/>
              <w:rPr>
                <w:rFonts w:eastAsia="Calibri" w:cs="Calibri"/>
                <w:szCs w:val="20"/>
                <w:lang w:val="pt-PT"/>
              </w:rPr>
            </w:pPr>
            <w:r w:rsidRPr="00292532">
              <w:rPr>
                <w:rFonts w:eastAsia="Calibri" w:cs="Calibri"/>
                <w:szCs w:val="20"/>
                <w:lang w:val="pt-PT"/>
              </w:rPr>
              <w:t>O Empreiteiro, através do sector dos Recursos Humanos (RH) e do oficial ambiental/SSO promove a consciencialização sobre os procedimentos do MGR</w:t>
            </w:r>
          </w:p>
        </w:tc>
      </w:tr>
      <w:tr w:rsidR="00B31AE2" w:rsidRPr="004E2EAC" w14:paraId="7B5C9AAB" w14:textId="77777777" w:rsidTr="00B31AE2">
        <w:trPr>
          <w:trHeight w:val="510"/>
          <w:jc w:val="center"/>
        </w:trPr>
        <w:tc>
          <w:tcPr>
            <w:tcW w:w="8220" w:type="dxa"/>
            <w:shd w:val="clear" w:color="auto" w:fill="FFFFFF"/>
            <w:vAlign w:val="center"/>
            <w:hideMark/>
          </w:tcPr>
          <w:p w14:paraId="01E64E75" w14:textId="77777777" w:rsidR="00B31AE2" w:rsidRPr="00292532" w:rsidRDefault="00B31AE2" w:rsidP="00B31AE2">
            <w:pPr>
              <w:spacing w:before="0" w:after="0" w:line="256" w:lineRule="auto"/>
              <w:jc w:val="center"/>
              <w:rPr>
                <w:rFonts w:eastAsia="Calibri" w:cs="Calibri"/>
                <w:szCs w:val="20"/>
                <w:lang w:val="pt-PT"/>
              </w:rPr>
            </w:pPr>
            <w:r w:rsidRPr="00292532">
              <w:rPr>
                <w:rFonts w:eastAsia="Calibri" w:cs="Calibri"/>
                <w:color w:val="4472C4"/>
                <w:szCs w:val="20"/>
                <w:lang w:val="pt-PT"/>
              </w:rPr>
              <w:t>(Agentes de implementação: Oficial de Reclamação de RH e oficial ambiental/SSO e o fiscal).</w:t>
            </w:r>
          </w:p>
        </w:tc>
      </w:tr>
      <w:tr w:rsidR="00B31AE2" w:rsidRPr="004E2EAC" w14:paraId="52768C58" w14:textId="77777777" w:rsidTr="00B31AE2">
        <w:trPr>
          <w:trHeight w:val="525"/>
          <w:jc w:val="center"/>
        </w:trPr>
        <w:tc>
          <w:tcPr>
            <w:tcW w:w="8220" w:type="dxa"/>
            <w:shd w:val="clear" w:color="auto" w:fill="FFFFFF"/>
            <w:vAlign w:val="center"/>
            <w:hideMark/>
          </w:tcPr>
          <w:p w14:paraId="2AA68CDC" w14:textId="77777777" w:rsidR="00B31AE2" w:rsidRPr="00292532" w:rsidRDefault="00B31AE2" w:rsidP="00B31AE2">
            <w:pPr>
              <w:spacing w:before="0" w:after="0" w:line="256" w:lineRule="auto"/>
              <w:jc w:val="center"/>
              <w:rPr>
                <w:rFonts w:eastAsia="Calibri" w:cs="Calibri"/>
                <w:szCs w:val="20"/>
                <w:lang w:val="pt-PT"/>
              </w:rPr>
            </w:pPr>
            <w:r w:rsidRPr="00292532">
              <w:rPr>
                <w:rFonts w:eastAsia="Calibri" w:cs="Calibri"/>
                <w:szCs w:val="20"/>
                <w:lang w:val="pt-PT"/>
              </w:rPr>
              <w:t xml:space="preserve">Meios de comunicação: Reuniões constantes com os trabalhadores e comunidades próximas a obra; panfletos /mural do MGR em locais de fácil visualização pelos trabalhadores. </w:t>
            </w:r>
          </w:p>
        </w:tc>
      </w:tr>
      <w:tr w:rsidR="00B31AE2" w:rsidRPr="004E2EAC" w14:paraId="62C0AB66" w14:textId="77777777" w:rsidTr="00B31AE2">
        <w:trPr>
          <w:trHeight w:val="525"/>
          <w:jc w:val="center"/>
        </w:trPr>
        <w:tc>
          <w:tcPr>
            <w:tcW w:w="8220" w:type="dxa"/>
            <w:shd w:val="clear" w:color="auto" w:fill="DEEAF6"/>
            <w:vAlign w:val="center"/>
            <w:hideMark/>
          </w:tcPr>
          <w:p w14:paraId="28F2DD31" w14:textId="77777777" w:rsidR="00B31AE2" w:rsidRPr="00292532" w:rsidRDefault="00B31AE2" w:rsidP="00B31AE2">
            <w:pPr>
              <w:spacing w:before="0" w:after="0" w:line="256" w:lineRule="auto"/>
              <w:jc w:val="center"/>
              <w:rPr>
                <w:rFonts w:eastAsia="Calibri" w:cs="Calibri"/>
                <w:szCs w:val="20"/>
                <w:lang w:val="pt-PT"/>
              </w:rPr>
            </w:pPr>
            <w:r w:rsidRPr="00292532">
              <w:rPr>
                <w:rFonts w:eastAsia="Calibri" w:cs="Calibri"/>
                <w:szCs w:val="20"/>
                <w:lang w:val="pt-PT"/>
              </w:rPr>
              <w:t xml:space="preserve">Deve se explicar que é importante o reclamante obedecer a sequência abaixo de níveis de apresentação de reclamação e só passar a nível acima depois de não ficar satisfeito pelo nível abaixo, porém, está livre de ir </w:t>
            </w:r>
            <w:proofErr w:type="spellStart"/>
            <w:r w:rsidRPr="00292532">
              <w:rPr>
                <w:rFonts w:eastAsia="Calibri" w:cs="Calibri"/>
                <w:szCs w:val="20"/>
                <w:lang w:val="pt-PT"/>
              </w:rPr>
              <w:t>directo</w:t>
            </w:r>
            <w:proofErr w:type="spellEnd"/>
            <w:r w:rsidRPr="00292532">
              <w:rPr>
                <w:rFonts w:eastAsia="Calibri" w:cs="Calibri"/>
                <w:szCs w:val="20"/>
                <w:lang w:val="pt-PT"/>
              </w:rPr>
              <w:t xml:space="preserve"> aos níveis acima se não está confortável com os níveis abaixo.</w:t>
            </w:r>
          </w:p>
          <w:p w14:paraId="081C76BF" w14:textId="77777777" w:rsidR="00B31AE2" w:rsidRPr="00292532" w:rsidRDefault="00B31AE2" w:rsidP="00AE14AE">
            <w:pPr>
              <w:numPr>
                <w:ilvl w:val="0"/>
                <w:numId w:val="129"/>
              </w:numPr>
              <w:autoSpaceDN w:val="0"/>
              <w:spacing w:before="0" w:after="0" w:line="276" w:lineRule="auto"/>
              <w:contextualSpacing/>
              <w:jc w:val="left"/>
              <w:rPr>
                <w:rFonts w:eastAsia="Calibri" w:cs="Calibri"/>
                <w:szCs w:val="20"/>
                <w:lang w:val="pt-PT"/>
              </w:rPr>
            </w:pPr>
            <w:r w:rsidRPr="00292532">
              <w:rPr>
                <w:rFonts w:eastAsia="Calibri" w:cs="Calibri"/>
                <w:szCs w:val="20"/>
                <w:lang w:val="pt-PT"/>
              </w:rPr>
              <w:t xml:space="preserve">1º Oficial ambiental/SSO ou Recursos Humanos (RH) da empresa, 2º </w:t>
            </w:r>
            <w:proofErr w:type="spellStart"/>
            <w:r w:rsidRPr="00292532">
              <w:rPr>
                <w:rFonts w:eastAsia="Calibri" w:cs="Calibri"/>
                <w:szCs w:val="20"/>
                <w:lang w:val="pt-PT"/>
              </w:rPr>
              <w:t>Director</w:t>
            </w:r>
            <w:proofErr w:type="spellEnd"/>
            <w:r w:rsidRPr="00292532">
              <w:rPr>
                <w:rFonts w:eastAsia="Calibri" w:cs="Calibri"/>
                <w:szCs w:val="20"/>
                <w:lang w:val="pt-PT"/>
              </w:rPr>
              <w:t xml:space="preserve"> da obra (ou seu representante no local), 3º Fiscal, 4º Sindicato de trabalhadores (se aplicável)</w:t>
            </w:r>
          </w:p>
          <w:p w14:paraId="47043DFA" w14:textId="77777777" w:rsidR="00B31AE2" w:rsidRPr="00292532" w:rsidRDefault="00B31AE2" w:rsidP="00AE14AE">
            <w:pPr>
              <w:numPr>
                <w:ilvl w:val="0"/>
                <w:numId w:val="129"/>
              </w:numPr>
              <w:autoSpaceDN w:val="0"/>
              <w:spacing w:before="0" w:after="0" w:line="276" w:lineRule="auto"/>
              <w:contextualSpacing/>
              <w:jc w:val="left"/>
              <w:rPr>
                <w:rFonts w:eastAsia="Calibri" w:cs="Calibri"/>
                <w:szCs w:val="20"/>
                <w:lang w:val="pt-PT"/>
              </w:rPr>
            </w:pPr>
            <w:r w:rsidRPr="00292532">
              <w:rPr>
                <w:rFonts w:eastAsia="Calibri" w:cs="Calibri"/>
                <w:szCs w:val="20"/>
                <w:lang w:val="pt-PT"/>
              </w:rPr>
              <w:t xml:space="preserve">5º MGR Geral do </w:t>
            </w:r>
            <w:proofErr w:type="spellStart"/>
            <w:r w:rsidRPr="00292532">
              <w:rPr>
                <w:rFonts w:eastAsia="Calibri" w:cs="Calibri"/>
                <w:szCs w:val="20"/>
                <w:lang w:val="pt-PT"/>
              </w:rPr>
              <w:t>Projecto</w:t>
            </w:r>
            <w:proofErr w:type="spellEnd"/>
          </w:p>
          <w:p w14:paraId="08CA6954" w14:textId="77777777" w:rsidR="00B31AE2" w:rsidRPr="00292532" w:rsidRDefault="00B31AE2" w:rsidP="00AE14AE">
            <w:pPr>
              <w:numPr>
                <w:ilvl w:val="0"/>
                <w:numId w:val="129"/>
              </w:numPr>
              <w:autoSpaceDN w:val="0"/>
              <w:spacing w:before="0" w:after="0" w:line="276" w:lineRule="auto"/>
              <w:contextualSpacing/>
              <w:jc w:val="left"/>
              <w:rPr>
                <w:rFonts w:eastAsia="Calibri" w:cs="Calibri"/>
                <w:szCs w:val="20"/>
                <w:lang w:val="pt-PT"/>
              </w:rPr>
            </w:pPr>
            <w:r w:rsidRPr="00292532">
              <w:rPr>
                <w:rFonts w:eastAsia="Calibri" w:cs="Calibri"/>
                <w:szCs w:val="20"/>
                <w:lang w:val="pt-PT"/>
              </w:rPr>
              <w:t>6º Ministério do trabalho (representação local a nível do distrito/província - se aplicável)</w:t>
            </w:r>
          </w:p>
          <w:p w14:paraId="58377642" w14:textId="77777777" w:rsidR="00B31AE2" w:rsidRPr="00292532" w:rsidRDefault="00B31AE2" w:rsidP="00AE14AE">
            <w:pPr>
              <w:numPr>
                <w:ilvl w:val="0"/>
                <w:numId w:val="129"/>
              </w:numPr>
              <w:autoSpaceDN w:val="0"/>
              <w:spacing w:before="0" w:after="0" w:line="276" w:lineRule="auto"/>
              <w:contextualSpacing/>
              <w:jc w:val="left"/>
              <w:rPr>
                <w:rFonts w:eastAsia="Calibri" w:cs="Calibri"/>
                <w:szCs w:val="20"/>
                <w:lang w:val="pt-PT"/>
              </w:rPr>
            </w:pPr>
            <w:r w:rsidRPr="00292532">
              <w:rPr>
                <w:rFonts w:eastAsia="Calibri" w:cs="Calibri"/>
                <w:szCs w:val="20"/>
                <w:lang w:val="pt-PT"/>
              </w:rPr>
              <w:t>7º outros mediadores ou 8º tribunal</w:t>
            </w:r>
          </w:p>
        </w:tc>
      </w:tr>
      <w:tr w:rsidR="00B31AE2" w:rsidRPr="004E2EAC" w14:paraId="013D3A3C" w14:textId="77777777" w:rsidTr="00B31AE2">
        <w:trPr>
          <w:trHeight w:val="315"/>
          <w:jc w:val="center"/>
        </w:trPr>
        <w:tc>
          <w:tcPr>
            <w:tcW w:w="8220" w:type="dxa"/>
            <w:tcBorders>
              <w:top w:val="single" w:sz="8" w:space="0" w:color="auto"/>
              <w:left w:val="single" w:sz="8" w:space="0" w:color="auto"/>
              <w:bottom w:val="single" w:sz="8" w:space="0" w:color="auto"/>
              <w:right w:val="single" w:sz="8" w:space="0" w:color="auto"/>
            </w:tcBorders>
            <w:shd w:val="clear" w:color="auto" w:fill="FFFFFF"/>
            <w:noWrap/>
            <w:vAlign w:val="center"/>
            <w:hideMark/>
          </w:tcPr>
          <w:p w14:paraId="147C57B3" w14:textId="77777777" w:rsidR="00B31AE2" w:rsidRPr="00292532" w:rsidRDefault="00B31AE2" w:rsidP="00B31AE2">
            <w:pPr>
              <w:spacing w:before="0" w:after="0" w:line="256" w:lineRule="auto"/>
              <w:jc w:val="center"/>
              <w:rPr>
                <w:rFonts w:eastAsia="Calibri" w:cs="Calibri"/>
                <w:b/>
                <w:szCs w:val="20"/>
                <w:lang w:val="pt-PT"/>
              </w:rPr>
            </w:pPr>
            <w:r w:rsidRPr="00292532">
              <w:rPr>
                <w:rFonts w:eastAsia="Calibri" w:cs="Calibri"/>
                <w:b/>
                <w:szCs w:val="20"/>
                <w:lang w:val="pt-PT"/>
              </w:rPr>
              <w:t>PASSO 2: Receber e acompanhar as reclamações</w:t>
            </w:r>
          </w:p>
        </w:tc>
      </w:tr>
      <w:tr w:rsidR="00B31AE2" w:rsidRPr="004E2EAC" w14:paraId="083E198A" w14:textId="77777777" w:rsidTr="00B31AE2">
        <w:trPr>
          <w:trHeight w:val="765"/>
          <w:jc w:val="center"/>
        </w:trPr>
        <w:tc>
          <w:tcPr>
            <w:tcW w:w="8220" w:type="dxa"/>
            <w:shd w:val="clear" w:color="auto" w:fill="FFFFFF"/>
            <w:vAlign w:val="center"/>
            <w:hideMark/>
          </w:tcPr>
          <w:p w14:paraId="24EFB8DC" w14:textId="77777777" w:rsidR="00B31AE2" w:rsidRPr="00292532" w:rsidRDefault="00B31AE2" w:rsidP="00B31AE2">
            <w:pPr>
              <w:spacing w:before="0" w:after="0" w:line="256" w:lineRule="auto"/>
              <w:jc w:val="center"/>
              <w:rPr>
                <w:rFonts w:eastAsia="Calibri" w:cs="Calibri"/>
                <w:szCs w:val="20"/>
                <w:lang w:val="pt-PT"/>
              </w:rPr>
            </w:pPr>
            <w:r w:rsidRPr="00292532">
              <w:rPr>
                <w:rFonts w:eastAsia="Calibri" w:cs="Calibri"/>
                <w:szCs w:val="20"/>
                <w:lang w:val="pt-PT"/>
              </w:rPr>
              <w:t>Assegurar a acessibilidade do MGR a todos trabalhadores - reuniões regulares, linha(s) telefónica dedicada, caixa de reclamações, livros de registo físico - operacionais e disponíveis.</w:t>
            </w:r>
          </w:p>
          <w:p w14:paraId="1B939815" w14:textId="77777777" w:rsidR="00B31AE2" w:rsidRPr="00292532" w:rsidRDefault="00B31AE2" w:rsidP="00B31AE2">
            <w:pPr>
              <w:spacing w:before="0" w:after="0" w:line="256" w:lineRule="auto"/>
              <w:jc w:val="center"/>
              <w:rPr>
                <w:rFonts w:eastAsia="Calibri" w:cs="Calibri"/>
                <w:szCs w:val="20"/>
                <w:lang w:val="pt-PT"/>
              </w:rPr>
            </w:pPr>
            <w:r w:rsidRPr="00292532">
              <w:rPr>
                <w:rFonts w:eastAsia="Calibri" w:cs="Calibri"/>
                <w:color w:val="4472C4"/>
                <w:szCs w:val="20"/>
                <w:lang w:val="pt-PT"/>
              </w:rPr>
              <w:t xml:space="preserve">(Oficial de Reclamação, </w:t>
            </w:r>
            <w:proofErr w:type="spellStart"/>
            <w:r w:rsidRPr="00292532">
              <w:rPr>
                <w:rFonts w:eastAsia="Calibri" w:cs="Calibri"/>
                <w:color w:val="4472C4"/>
                <w:szCs w:val="20"/>
                <w:lang w:val="pt-PT"/>
              </w:rPr>
              <w:t>Director</w:t>
            </w:r>
            <w:proofErr w:type="spellEnd"/>
            <w:r w:rsidRPr="00292532">
              <w:rPr>
                <w:rFonts w:eastAsia="Calibri" w:cs="Calibri"/>
                <w:color w:val="4472C4"/>
                <w:szCs w:val="20"/>
                <w:lang w:val="pt-PT"/>
              </w:rPr>
              <w:t xml:space="preserve"> Da Obra)</w:t>
            </w:r>
          </w:p>
        </w:tc>
      </w:tr>
      <w:tr w:rsidR="00B31AE2" w:rsidRPr="004E2EAC" w14:paraId="614772C5" w14:textId="77777777" w:rsidTr="00B31AE2">
        <w:trPr>
          <w:trHeight w:val="525"/>
          <w:jc w:val="center"/>
        </w:trPr>
        <w:tc>
          <w:tcPr>
            <w:tcW w:w="8220" w:type="dxa"/>
            <w:shd w:val="clear" w:color="auto" w:fill="FFFFFF"/>
            <w:vAlign w:val="center"/>
            <w:hideMark/>
          </w:tcPr>
          <w:p w14:paraId="51666BEE" w14:textId="77777777" w:rsidR="00B31AE2" w:rsidRPr="00292532" w:rsidRDefault="00B31AE2" w:rsidP="00B31AE2">
            <w:pPr>
              <w:spacing w:before="0" w:after="0" w:line="256" w:lineRule="auto"/>
              <w:jc w:val="center"/>
              <w:rPr>
                <w:rFonts w:eastAsia="Calibri" w:cs="Calibri"/>
                <w:szCs w:val="20"/>
                <w:lang w:val="pt-PT"/>
              </w:rPr>
            </w:pPr>
            <w:r w:rsidRPr="00292532">
              <w:rPr>
                <w:rFonts w:eastAsia="Calibri" w:cs="Calibri"/>
                <w:szCs w:val="20"/>
                <w:lang w:val="pt-PT"/>
              </w:rPr>
              <w:t xml:space="preserve">O Oficial de Reclamação preenche o formulário no caso de reclamações orais e regista todas as reclamações num banco de dados </w:t>
            </w:r>
            <w:proofErr w:type="spellStart"/>
            <w:r w:rsidRPr="00292532">
              <w:rPr>
                <w:rFonts w:eastAsia="Calibri" w:cs="Calibri"/>
                <w:szCs w:val="20"/>
                <w:lang w:val="pt-PT"/>
              </w:rPr>
              <w:t>electrónico</w:t>
            </w:r>
            <w:proofErr w:type="spellEnd"/>
            <w:r w:rsidRPr="00292532">
              <w:rPr>
                <w:rFonts w:eastAsia="Calibri" w:cs="Calibri"/>
                <w:szCs w:val="20"/>
                <w:lang w:val="pt-PT"/>
              </w:rPr>
              <w:t xml:space="preserve"> simples, com um </w:t>
            </w:r>
            <w:r w:rsidRPr="00292532">
              <w:rPr>
                <w:rFonts w:eastAsia="Calibri" w:cs="Calibri"/>
                <w:i/>
                <w:szCs w:val="20"/>
                <w:lang w:val="pt-PT"/>
              </w:rPr>
              <w:t xml:space="preserve">back-up </w:t>
            </w:r>
            <w:r w:rsidRPr="00292532">
              <w:rPr>
                <w:rFonts w:eastAsia="Calibri" w:cs="Calibri"/>
                <w:szCs w:val="20"/>
                <w:lang w:val="pt-PT"/>
              </w:rPr>
              <w:t>regularmente mantido nos relatórios de progresso.</w:t>
            </w:r>
          </w:p>
        </w:tc>
      </w:tr>
      <w:tr w:rsidR="00B31AE2" w:rsidRPr="004E2EAC" w14:paraId="766F57D1" w14:textId="77777777" w:rsidTr="00B31AE2">
        <w:trPr>
          <w:trHeight w:val="315"/>
          <w:jc w:val="center"/>
        </w:trPr>
        <w:tc>
          <w:tcPr>
            <w:tcW w:w="8220" w:type="dxa"/>
            <w:tcBorders>
              <w:top w:val="single" w:sz="8" w:space="0" w:color="auto"/>
              <w:left w:val="single" w:sz="8" w:space="0" w:color="auto"/>
              <w:bottom w:val="single" w:sz="8" w:space="0" w:color="auto"/>
              <w:right w:val="single" w:sz="8" w:space="0" w:color="auto"/>
            </w:tcBorders>
            <w:shd w:val="clear" w:color="auto" w:fill="FFFFFF"/>
            <w:noWrap/>
            <w:vAlign w:val="center"/>
            <w:hideMark/>
          </w:tcPr>
          <w:p w14:paraId="0D0AE7E8" w14:textId="77777777" w:rsidR="00B31AE2" w:rsidRPr="00292532" w:rsidRDefault="00B31AE2" w:rsidP="00B31AE2">
            <w:pPr>
              <w:spacing w:before="0" w:after="0" w:line="256" w:lineRule="auto"/>
              <w:jc w:val="center"/>
              <w:rPr>
                <w:rFonts w:eastAsia="Calibri" w:cs="Calibri"/>
                <w:b/>
                <w:szCs w:val="20"/>
                <w:lang w:val="pt-PT"/>
              </w:rPr>
            </w:pPr>
            <w:r w:rsidRPr="00292532">
              <w:rPr>
                <w:rFonts w:eastAsia="Calibri" w:cs="Calibri"/>
                <w:b/>
                <w:szCs w:val="20"/>
                <w:lang w:val="pt-PT"/>
              </w:rPr>
              <w:t>PASSO 3: Avaliação preliminar da reclamação</w:t>
            </w:r>
          </w:p>
        </w:tc>
      </w:tr>
      <w:tr w:rsidR="00B31AE2" w:rsidRPr="004E2EAC" w14:paraId="23C7ED29" w14:textId="77777777" w:rsidTr="00B31AE2">
        <w:trPr>
          <w:trHeight w:val="510"/>
          <w:jc w:val="center"/>
        </w:trPr>
        <w:tc>
          <w:tcPr>
            <w:tcW w:w="8220" w:type="dxa"/>
            <w:shd w:val="clear" w:color="auto" w:fill="FFFFFF"/>
            <w:vAlign w:val="center"/>
            <w:hideMark/>
          </w:tcPr>
          <w:p w14:paraId="2888D108" w14:textId="77777777" w:rsidR="00B31AE2" w:rsidRPr="00292532" w:rsidRDefault="00B31AE2" w:rsidP="00B31AE2">
            <w:pPr>
              <w:spacing w:before="0" w:after="0" w:line="256" w:lineRule="auto"/>
              <w:jc w:val="center"/>
              <w:rPr>
                <w:rFonts w:eastAsia="Calibri" w:cs="Calibri"/>
                <w:szCs w:val="20"/>
                <w:lang w:val="pt-PT"/>
              </w:rPr>
            </w:pPr>
            <w:r w:rsidRPr="00292532">
              <w:rPr>
                <w:rFonts w:eastAsia="Calibri" w:cs="Calibri"/>
                <w:szCs w:val="20"/>
                <w:lang w:val="pt-PT"/>
              </w:rPr>
              <w:lastRenderedPageBreak/>
              <w:t xml:space="preserve">O Oficial de Reclamação categoriza as reclamações: </w:t>
            </w:r>
            <w:proofErr w:type="spellStart"/>
            <w:r w:rsidRPr="00292532">
              <w:rPr>
                <w:rFonts w:eastAsia="Calibri" w:cs="Calibri"/>
                <w:szCs w:val="20"/>
                <w:lang w:val="pt-PT"/>
              </w:rPr>
              <w:t>p.ex</w:t>
            </w:r>
            <w:proofErr w:type="spellEnd"/>
            <w:r w:rsidRPr="00292532">
              <w:rPr>
                <w:rFonts w:eastAsia="Calibri" w:cs="Calibri"/>
                <w:szCs w:val="20"/>
                <w:lang w:val="pt-PT"/>
              </w:rPr>
              <w:t>. violência, emprego, saúde e segurança.</w:t>
            </w:r>
          </w:p>
        </w:tc>
      </w:tr>
      <w:tr w:rsidR="00B31AE2" w:rsidRPr="004E2EAC" w14:paraId="43852935" w14:textId="77777777" w:rsidTr="00B31AE2">
        <w:trPr>
          <w:trHeight w:val="243"/>
          <w:jc w:val="center"/>
        </w:trPr>
        <w:tc>
          <w:tcPr>
            <w:tcW w:w="8220" w:type="dxa"/>
            <w:shd w:val="clear" w:color="auto" w:fill="FFFFFF"/>
            <w:vAlign w:val="center"/>
            <w:hideMark/>
          </w:tcPr>
          <w:p w14:paraId="47E1FBC9" w14:textId="77777777" w:rsidR="00B31AE2" w:rsidRPr="00292532" w:rsidRDefault="00B31AE2" w:rsidP="00B31AE2">
            <w:pPr>
              <w:spacing w:before="0" w:after="0" w:line="256" w:lineRule="auto"/>
              <w:jc w:val="center"/>
              <w:rPr>
                <w:rFonts w:eastAsia="Calibri" w:cs="Calibri"/>
                <w:szCs w:val="20"/>
                <w:lang w:val="pt-PT"/>
              </w:rPr>
            </w:pPr>
            <w:r w:rsidRPr="00292532">
              <w:rPr>
                <w:rFonts w:eastAsia="Calibri" w:cs="Calibri"/>
                <w:szCs w:val="20"/>
                <w:lang w:val="pt-PT"/>
              </w:rPr>
              <w:t xml:space="preserve">É decidido (através do Oficial de Reclamações e o </w:t>
            </w:r>
            <w:proofErr w:type="spellStart"/>
            <w:r w:rsidRPr="00292532">
              <w:rPr>
                <w:rFonts w:eastAsia="Calibri" w:cs="Calibri"/>
                <w:szCs w:val="20"/>
                <w:lang w:val="pt-PT"/>
              </w:rPr>
              <w:t>Director</w:t>
            </w:r>
            <w:proofErr w:type="spellEnd"/>
            <w:r w:rsidRPr="00292532">
              <w:rPr>
                <w:rFonts w:eastAsia="Calibri" w:cs="Calibri"/>
                <w:szCs w:val="20"/>
                <w:lang w:val="pt-PT"/>
              </w:rPr>
              <w:t xml:space="preserve"> Da Obra) como e quem será responsável por resolver a reclamação e quem vai canalizar a reclamação aos intervenientes.</w:t>
            </w:r>
          </w:p>
        </w:tc>
      </w:tr>
      <w:tr w:rsidR="00B31AE2" w:rsidRPr="004E2EAC" w14:paraId="71E5B6A3" w14:textId="77777777" w:rsidTr="00B31AE2">
        <w:trPr>
          <w:trHeight w:val="270"/>
          <w:jc w:val="center"/>
        </w:trPr>
        <w:tc>
          <w:tcPr>
            <w:tcW w:w="8220" w:type="dxa"/>
            <w:tcBorders>
              <w:top w:val="single" w:sz="8" w:space="0" w:color="auto"/>
              <w:left w:val="single" w:sz="8" w:space="0" w:color="auto"/>
              <w:bottom w:val="single" w:sz="8" w:space="0" w:color="auto"/>
              <w:right w:val="single" w:sz="8" w:space="0" w:color="auto"/>
            </w:tcBorders>
            <w:shd w:val="clear" w:color="auto" w:fill="FFFFFF"/>
            <w:noWrap/>
            <w:vAlign w:val="center"/>
            <w:hideMark/>
          </w:tcPr>
          <w:p w14:paraId="668AB244" w14:textId="77777777" w:rsidR="00B31AE2" w:rsidRPr="00292532" w:rsidRDefault="00B31AE2" w:rsidP="00B31AE2">
            <w:pPr>
              <w:spacing w:before="0" w:after="0" w:line="256" w:lineRule="auto"/>
              <w:jc w:val="center"/>
              <w:rPr>
                <w:rFonts w:eastAsia="Calibri" w:cs="Calibri"/>
                <w:b/>
                <w:szCs w:val="20"/>
                <w:lang w:val="pt-PT"/>
              </w:rPr>
            </w:pPr>
            <w:r w:rsidRPr="00292532">
              <w:rPr>
                <w:rFonts w:eastAsia="Calibri" w:cs="Calibri"/>
                <w:b/>
                <w:szCs w:val="20"/>
                <w:lang w:val="pt-PT"/>
              </w:rPr>
              <w:t>PASSO 4: Resposta inicial ao autor da reclamação</w:t>
            </w:r>
          </w:p>
        </w:tc>
      </w:tr>
      <w:tr w:rsidR="00B31AE2" w:rsidRPr="004E2EAC" w14:paraId="7D85034A" w14:textId="77777777" w:rsidTr="00B31AE2">
        <w:trPr>
          <w:trHeight w:val="510"/>
          <w:jc w:val="center"/>
        </w:trPr>
        <w:tc>
          <w:tcPr>
            <w:tcW w:w="8220" w:type="dxa"/>
            <w:shd w:val="clear" w:color="auto" w:fill="FFFFFF"/>
            <w:vAlign w:val="center"/>
            <w:hideMark/>
          </w:tcPr>
          <w:p w14:paraId="149C868D" w14:textId="77777777" w:rsidR="00B31AE2" w:rsidRPr="00292532" w:rsidRDefault="00B31AE2" w:rsidP="00B31AE2">
            <w:pPr>
              <w:spacing w:before="0" w:after="0" w:line="256" w:lineRule="auto"/>
              <w:jc w:val="center"/>
              <w:rPr>
                <w:rFonts w:eastAsia="Calibri" w:cs="Calibri"/>
                <w:szCs w:val="20"/>
                <w:lang w:val="pt-PT"/>
              </w:rPr>
            </w:pPr>
            <w:r w:rsidRPr="00292532">
              <w:rPr>
                <w:rFonts w:eastAsia="Calibri" w:cs="Calibri"/>
                <w:szCs w:val="20"/>
                <w:lang w:val="pt-PT"/>
              </w:rPr>
              <w:t xml:space="preserve">O sector dos Recursos Humanos, através do Oficial de Reclamação </w:t>
            </w:r>
          </w:p>
          <w:p w14:paraId="53E28219" w14:textId="77777777" w:rsidR="00B31AE2" w:rsidRPr="00292532" w:rsidRDefault="00B31AE2" w:rsidP="00B31AE2">
            <w:pPr>
              <w:spacing w:before="0" w:after="0" w:line="256" w:lineRule="auto"/>
              <w:jc w:val="center"/>
              <w:rPr>
                <w:rFonts w:eastAsia="Calibri" w:cs="Calibri"/>
                <w:szCs w:val="20"/>
                <w:lang w:val="pt-PT"/>
              </w:rPr>
            </w:pPr>
            <w:r w:rsidRPr="00292532">
              <w:rPr>
                <w:rFonts w:eastAsia="Calibri" w:cs="Calibri"/>
                <w:szCs w:val="20"/>
                <w:lang w:val="pt-PT"/>
              </w:rPr>
              <w:t xml:space="preserve"> escreve ou comunica verbalmente (o mais apropriado) ao autor da reclamação dentro de </w:t>
            </w:r>
            <w:r w:rsidRPr="00292532">
              <w:rPr>
                <w:rFonts w:eastAsia="Calibri" w:cs="Calibri"/>
                <w:szCs w:val="20"/>
                <w:u w:val="single"/>
                <w:lang w:val="pt-PT"/>
              </w:rPr>
              <w:t>5 dias para explicar o processo de gestão</w:t>
            </w:r>
            <w:r w:rsidRPr="00292532">
              <w:rPr>
                <w:rFonts w:eastAsia="Calibri" w:cs="Calibri"/>
                <w:szCs w:val="20"/>
                <w:lang w:val="pt-PT"/>
              </w:rPr>
              <w:t xml:space="preserve"> da reclamação.</w:t>
            </w:r>
          </w:p>
          <w:p w14:paraId="33A5DFBC" w14:textId="77777777" w:rsidR="00B31AE2" w:rsidRPr="00292532" w:rsidRDefault="00B31AE2" w:rsidP="00B31AE2">
            <w:pPr>
              <w:spacing w:before="0" w:after="0" w:line="256" w:lineRule="auto"/>
              <w:jc w:val="center"/>
              <w:rPr>
                <w:rFonts w:eastAsia="Calibri" w:cs="Calibri"/>
                <w:szCs w:val="20"/>
                <w:lang w:val="pt-PT"/>
              </w:rPr>
            </w:pPr>
            <w:r w:rsidRPr="00292532">
              <w:rPr>
                <w:rFonts w:eastAsia="Calibri" w:cs="Calibri"/>
                <w:szCs w:val="20"/>
                <w:lang w:val="pt-PT"/>
              </w:rPr>
              <w:t xml:space="preserve">O </w:t>
            </w:r>
            <w:r w:rsidRPr="00292532">
              <w:rPr>
                <w:rFonts w:eastAsia="Calibri" w:cs="Calibri"/>
                <w:szCs w:val="20"/>
                <w:u w:val="single"/>
                <w:lang w:val="pt-PT"/>
              </w:rPr>
              <w:t>prazo de resolução e resposta (ao autor da queixa) é de até 15</w:t>
            </w:r>
            <w:r w:rsidRPr="00292532">
              <w:rPr>
                <w:rFonts w:eastAsia="Calibri" w:cs="Calibri"/>
                <w:szCs w:val="20"/>
                <w:lang w:val="pt-PT"/>
              </w:rPr>
              <w:t xml:space="preserve"> dias da </w:t>
            </w:r>
            <w:proofErr w:type="spellStart"/>
            <w:r w:rsidRPr="00292532">
              <w:rPr>
                <w:rFonts w:eastAsia="Calibri" w:cs="Calibri"/>
                <w:szCs w:val="20"/>
                <w:lang w:val="pt-PT"/>
              </w:rPr>
              <w:t>recepção</w:t>
            </w:r>
            <w:proofErr w:type="spellEnd"/>
            <w:r w:rsidRPr="00292532">
              <w:rPr>
                <w:rFonts w:eastAsia="Calibri" w:cs="Calibri"/>
                <w:szCs w:val="20"/>
                <w:lang w:val="pt-PT"/>
              </w:rPr>
              <w:t xml:space="preserve"> da reclamação.</w:t>
            </w:r>
          </w:p>
        </w:tc>
      </w:tr>
      <w:tr w:rsidR="00B31AE2" w:rsidRPr="004E2EAC" w14:paraId="01B04CE3" w14:textId="77777777" w:rsidTr="00B31AE2">
        <w:trPr>
          <w:trHeight w:val="315"/>
          <w:jc w:val="center"/>
        </w:trPr>
        <w:tc>
          <w:tcPr>
            <w:tcW w:w="8220" w:type="dxa"/>
            <w:tcBorders>
              <w:top w:val="single" w:sz="8" w:space="0" w:color="auto"/>
              <w:left w:val="single" w:sz="8" w:space="0" w:color="auto"/>
              <w:bottom w:val="single" w:sz="8" w:space="0" w:color="auto"/>
              <w:right w:val="single" w:sz="8" w:space="0" w:color="auto"/>
            </w:tcBorders>
            <w:shd w:val="clear" w:color="auto" w:fill="FFFFFF"/>
            <w:noWrap/>
            <w:vAlign w:val="center"/>
            <w:hideMark/>
          </w:tcPr>
          <w:p w14:paraId="72DC1F79" w14:textId="77777777" w:rsidR="00B31AE2" w:rsidRPr="00292532" w:rsidRDefault="00B31AE2" w:rsidP="00B31AE2">
            <w:pPr>
              <w:spacing w:before="0" w:after="0" w:line="256" w:lineRule="auto"/>
              <w:jc w:val="center"/>
              <w:rPr>
                <w:rFonts w:eastAsia="Calibri" w:cs="Calibri"/>
                <w:b/>
                <w:szCs w:val="20"/>
                <w:lang w:val="pt-PT"/>
              </w:rPr>
            </w:pPr>
            <w:r w:rsidRPr="00292532">
              <w:rPr>
                <w:rFonts w:eastAsia="Calibri" w:cs="Calibri"/>
                <w:b/>
                <w:szCs w:val="20"/>
                <w:lang w:val="pt-PT"/>
              </w:rPr>
              <w:t>PASSO 5: Investigar a reclamação e desenvolver opções de resolução</w:t>
            </w:r>
          </w:p>
        </w:tc>
      </w:tr>
      <w:tr w:rsidR="00B31AE2" w:rsidRPr="004E2EAC" w14:paraId="197F1A5E" w14:textId="77777777" w:rsidTr="00B31AE2">
        <w:trPr>
          <w:trHeight w:val="810"/>
          <w:jc w:val="center"/>
        </w:trPr>
        <w:tc>
          <w:tcPr>
            <w:tcW w:w="8220" w:type="dxa"/>
            <w:shd w:val="clear" w:color="auto" w:fill="FFFFFF"/>
            <w:vAlign w:val="center"/>
            <w:hideMark/>
          </w:tcPr>
          <w:p w14:paraId="6382518B" w14:textId="77777777" w:rsidR="00B31AE2" w:rsidRPr="00292532" w:rsidRDefault="00B31AE2" w:rsidP="00B31AE2">
            <w:pPr>
              <w:spacing w:before="0" w:after="0" w:line="256" w:lineRule="auto"/>
              <w:jc w:val="center"/>
              <w:rPr>
                <w:rFonts w:eastAsia="Calibri" w:cs="Calibri"/>
                <w:szCs w:val="20"/>
                <w:lang w:val="pt-PT"/>
              </w:rPr>
            </w:pPr>
            <w:r w:rsidRPr="00292532">
              <w:rPr>
                <w:rFonts w:eastAsia="Calibri" w:cs="Calibri"/>
                <w:color w:val="4472C4"/>
                <w:szCs w:val="20"/>
                <w:lang w:val="pt-PT"/>
              </w:rPr>
              <w:t>O Empreiteiro</w:t>
            </w:r>
            <w:r w:rsidRPr="00292532">
              <w:rPr>
                <w:rFonts w:eastAsia="Calibri" w:cs="Calibri"/>
                <w:szCs w:val="20"/>
                <w:lang w:val="pt-PT"/>
              </w:rPr>
              <w:t>, dependendo da natureza da reclamação, nomeia uma pessoa ou equipa apropriada para obter informações e investigar cada caso.</w:t>
            </w:r>
          </w:p>
        </w:tc>
      </w:tr>
      <w:tr w:rsidR="00B31AE2" w:rsidRPr="004E2EAC" w14:paraId="2ED8991E" w14:textId="77777777" w:rsidTr="00B31AE2">
        <w:trPr>
          <w:trHeight w:val="315"/>
          <w:jc w:val="center"/>
        </w:trPr>
        <w:tc>
          <w:tcPr>
            <w:tcW w:w="8220" w:type="dxa"/>
            <w:tcBorders>
              <w:top w:val="single" w:sz="8" w:space="0" w:color="auto"/>
              <w:left w:val="single" w:sz="8" w:space="0" w:color="auto"/>
              <w:bottom w:val="single" w:sz="8" w:space="0" w:color="auto"/>
              <w:right w:val="single" w:sz="8" w:space="0" w:color="auto"/>
            </w:tcBorders>
            <w:shd w:val="clear" w:color="auto" w:fill="FFFFFF"/>
            <w:noWrap/>
            <w:vAlign w:val="center"/>
            <w:hideMark/>
          </w:tcPr>
          <w:p w14:paraId="3C233C99" w14:textId="77777777" w:rsidR="00B31AE2" w:rsidRPr="00292532" w:rsidRDefault="00B31AE2" w:rsidP="00B31AE2">
            <w:pPr>
              <w:spacing w:before="0" w:after="0" w:line="256" w:lineRule="auto"/>
              <w:jc w:val="center"/>
              <w:rPr>
                <w:rFonts w:eastAsia="Calibri" w:cs="Calibri"/>
                <w:b/>
                <w:szCs w:val="20"/>
                <w:lang w:val="pt-PT"/>
              </w:rPr>
            </w:pPr>
            <w:r w:rsidRPr="00292532">
              <w:rPr>
                <w:rFonts w:eastAsia="Calibri" w:cs="Calibri"/>
                <w:b/>
                <w:szCs w:val="20"/>
                <w:lang w:val="pt-PT"/>
              </w:rPr>
              <w:t>PASSO 6: Implementar e acompanhar a resolução acordada</w:t>
            </w:r>
          </w:p>
        </w:tc>
      </w:tr>
      <w:tr w:rsidR="00B31AE2" w:rsidRPr="004E2EAC" w14:paraId="5932785C" w14:textId="77777777" w:rsidTr="00B31AE2">
        <w:trPr>
          <w:trHeight w:val="255"/>
          <w:jc w:val="center"/>
        </w:trPr>
        <w:tc>
          <w:tcPr>
            <w:tcW w:w="8220" w:type="dxa"/>
            <w:shd w:val="clear" w:color="auto" w:fill="FFFFFF"/>
            <w:vAlign w:val="center"/>
            <w:hideMark/>
          </w:tcPr>
          <w:p w14:paraId="4676DE14" w14:textId="77777777" w:rsidR="00B31AE2" w:rsidRPr="00292532" w:rsidRDefault="00B31AE2" w:rsidP="00B31AE2">
            <w:pPr>
              <w:spacing w:before="0" w:after="0" w:line="256" w:lineRule="auto"/>
              <w:jc w:val="center"/>
              <w:rPr>
                <w:rFonts w:eastAsia="Calibri" w:cs="Calibri"/>
                <w:szCs w:val="20"/>
                <w:lang w:val="pt-PT"/>
              </w:rPr>
            </w:pPr>
            <w:r w:rsidRPr="00292532">
              <w:rPr>
                <w:rFonts w:eastAsia="Calibri" w:cs="Calibri"/>
                <w:szCs w:val="20"/>
                <w:lang w:val="pt-PT"/>
              </w:rPr>
              <w:t xml:space="preserve">O </w:t>
            </w:r>
            <w:r w:rsidRPr="00292532">
              <w:rPr>
                <w:rFonts w:eastAsia="Calibri" w:cs="Calibri"/>
                <w:color w:val="4472C4"/>
                <w:szCs w:val="20"/>
                <w:lang w:val="pt-PT"/>
              </w:rPr>
              <w:t>Empreiteiro</w:t>
            </w:r>
            <w:r w:rsidRPr="00292532">
              <w:rPr>
                <w:rFonts w:eastAsia="Calibri" w:cs="Calibri"/>
                <w:szCs w:val="20"/>
                <w:lang w:val="pt-PT"/>
              </w:rPr>
              <w:t xml:space="preserve"> Implementa a solução acordada.</w:t>
            </w:r>
          </w:p>
        </w:tc>
      </w:tr>
      <w:tr w:rsidR="00B31AE2" w:rsidRPr="004E2EAC" w14:paraId="3DB50DEA" w14:textId="77777777" w:rsidTr="00B31AE2">
        <w:trPr>
          <w:trHeight w:val="510"/>
          <w:jc w:val="center"/>
        </w:trPr>
        <w:tc>
          <w:tcPr>
            <w:tcW w:w="8220" w:type="dxa"/>
            <w:shd w:val="clear" w:color="auto" w:fill="FFFFFF"/>
            <w:vAlign w:val="center"/>
            <w:hideMark/>
          </w:tcPr>
          <w:p w14:paraId="00404C20" w14:textId="77777777" w:rsidR="00B31AE2" w:rsidRPr="00292532" w:rsidRDefault="00B31AE2" w:rsidP="00B31AE2">
            <w:pPr>
              <w:spacing w:before="0" w:after="0" w:line="256" w:lineRule="auto"/>
              <w:jc w:val="center"/>
              <w:rPr>
                <w:rFonts w:eastAsia="Calibri" w:cs="Calibri"/>
                <w:szCs w:val="20"/>
                <w:lang w:val="pt-PT"/>
              </w:rPr>
            </w:pPr>
            <w:r w:rsidRPr="00292532">
              <w:rPr>
                <w:rFonts w:eastAsia="Calibri" w:cs="Calibri"/>
                <w:color w:val="4472C4"/>
                <w:szCs w:val="20"/>
                <w:lang w:val="pt-PT"/>
              </w:rPr>
              <w:t xml:space="preserve">O Oficial de Reclamação </w:t>
            </w:r>
            <w:r w:rsidRPr="00292532">
              <w:rPr>
                <w:rFonts w:eastAsia="Calibri" w:cs="Calibri"/>
                <w:szCs w:val="20"/>
                <w:lang w:val="pt-PT"/>
              </w:rPr>
              <w:t>faz</w:t>
            </w:r>
            <w:r w:rsidRPr="00292532">
              <w:rPr>
                <w:rFonts w:eastAsia="Calibri" w:cs="Calibri"/>
                <w:color w:val="4472C4"/>
                <w:szCs w:val="20"/>
                <w:lang w:val="pt-PT"/>
              </w:rPr>
              <w:t xml:space="preserve"> </w:t>
            </w:r>
            <w:r w:rsidRPr="00292532">
              <w:rPr>
                <w:rFonts w:eastAsia="Calibri" w:cs="Calibri"/>
                <w:szCs w:val="20"/>
                <w:lang w:val="pt-PT"/>
              </w:rPr>
              <w:t>acompanhamento do queixoso para garantir a sua satisfação com a resolução e obtém acordo escrito do autor da reclamação que confirma a sua posição e arquiva os documentos no banco de dados.</w:t>
            </w:r>
          </w:p>
        </w:tc>
      </w:tr>
      <w:tr w:rsidR="00B31AE2" w:rsidRPr="004E2EAC" w14:paraId="680647EA" w14:textId="77777777" w:rsidTr="00B31AE2">
        <w:trPr>
          <w:trHeight w:val="283"/>
          <w:jc w:val="center"/>
        </w:trPr>
        <w:tc>
          <w:tcPr>
            <w:tcW w:w="8220" w:type="dxa"/>
            <w:tcBorders>
              <w:top w:val="single" w:sz="8" w:space="0" w:color="auto"/>
              <w:left w:val="single" w:sz="8" w:space="0" w:color="auto"/>
              <w:bottom w:val="single" w:sz="8" w:space="0" w:color="auto"/>
              <w:right w:val="single" w:sz="8" w:space="0" w:color="auto"/>
            </w:tcBorders>
            <w:shd w:val="clear" w:color="auto" w:fill="FFFFFF"/>
            <w:noWrap/>
            <w:vAlign w:val="center"/>
            <w:hideMark/>
          </w:tcPr>
          <w:p w14:paraId="65E39CE1" w14:textId="77777777" w:rsidR="00B31AE2" w:rsidRPr="00292532" w:rsidRDefault="00B31AE2" w:rsidP="00B31AE2">
            <w:pPr>
              <w:spacing w:before="0" w:after="0" w:line="256" w:lineRule="auto"/>
              <w:jc w:val="center"/>
              <w:rPr>
                <w:rFonts w:eastAsia="Calibri" w:cs="Calibri"/>
                <w:b/>
                <w:szCs w:val="20"/>
                <w:lang w:val="pt-PT"/>
              </w:rPr>
            </w:pPr>
            <w:r w:rsidRPr="00292532">
              <w:rPr>
                <w:rFonts w:eastAsia="Calibri" w:cs="Calibri"/>
                <w:b/>
                <w:szCs w:val="20"/>
                <w:lang w:val="pt-PT"/>
              </w:rPr>
              <w:t xml:space="preserve">PASSO 7: </w:t>
            </w:r>
            <w:proofErr w:type="spellStart"/>
            <w:r w:rsidRPr="00292532">
              <w:rPr>
                <w:rFonts w:eastAsia="Calibri" w:cs="Calibri"/>
                <w:b/>
                <w:szCs w:val="20"/>
                <w:lang w:val="pt-PT"/>
              </w:rPr>
              <w:t>Acção</w:t>
            </w:r>
            <w:proofErr w:type="spellEnd"/>
            <w:r w:rsidRPr="00292532">
              <w:rPr>
                <w:rFonts w:eastAsia="Calibri" w:cs="Calibri"/>
                <w:b/>
                <w:szCs w:val="20"/>
                <w:lang w:val="pt-PT"/>
              </w:rPr>
              <w:t xml:space="preserve"> adicional se autor da reclamação não estiver satisfeito</w:t>
            </w:r>
          </w:p>
        </w:tc>
      </w:tr>
      <w:tr w:rsidR="00B31AE2" w:rsidRPr="004E2EAC" w14:paraId="65923EFD" w14:textId="77777777" w:rsidTr="00B31AE2">
        <w:trPr>
          <w:trHeight w:val="60"/>
          <w:jc w:val="center"/>
        </w:trPr>
        <w:tc>
          <w:tcPr>
            <w:tcW w:w="8220" w:type="dxa"/>
            <w:shd w:val="clear" w:color="auto" w:fill="FFFFFF"/>
            <w:vAlign w:val="center"/>
            <w:hideMark/>
          </w:tcPr>
          <w:p w14:paraId="5401D697" w14:textId="77777777" w:rsidR="00B31AE2" w:rsidRPr="00292532" w:rsidRDefault="00B31AE2" w:rsidP="00B31AE2">
            <w:pPr>
              <w:spacing w:before="0" w:after="0" w:line="256" w:lineRule="auto"/>
              <w:jc w:val="center"/>
              <w:rPr>
                <w:rFonts w:eastAsia="Calibri" w:cs="Calibri"/>
                <w:szCs w:val="20"/>
                <w:lang w:val="pt-PT"/>
              </w:rPr>
            </w:pPr>
            <w:r w:rsidRPr="00292532">
              <w:rPr>
                <w:rFonts w:eastAsia="Calibri" w:cs="Calibri"/>
                <w:color w:val="4472C4"/>
                <w:szCs w:val="20"/>
                <w:lang w:val="pt-PT"/>
              </w:rPr>
              <w:t xml:space="preserve">O Empreiteiro </w:t>
            </w:r>
            <w:r w:rsidRPr="00292532">
              <w:rPr>
                <w:rFonts w:eastAsia="Calibri" w:cs="Calibri"/>
                <w:szCs w:val="20"/>
                <w:lang w:val="pt-PT"/>
              </w:rPr>
              <w:t>procura outras opções para encontrar soluções.</w:t>
            </w:r>
          </w:p>
        </w:tc>
      </w:tr>
      <w:tr w:rsidR="00B31AE2" w:rsidRPr="004E2EAC" w14:paraId="3613B81C" w14:textId="77777777" w:rsidTr="00B31AE2">
        <w:trPr>
          <w:trHeight w:val="525"/>
          <w:jc w:val="center"/>
        </w:trPr>
        <w:tc>
          <w:tcPr>
            <w:tcW w:w="8220" w:type="dxa"/>
            <w:shd w:val="clear" w:color="auto" w:fill="FFFFFF"/>
            <w:vAlign w:val="center"/>
            <w:hideMark/>
          </w:tcPr>
          <w:p w14:paraId="36874B79" w14:textId="77777777" w:rsidR="00B31AE2" w:rsidRPr="00292532" w:rsidRDefault="00B31AE2" w:rsidP="00B31AE2">
            <w:pPr>
              <w:spacing w:before="0" w:after="0" w:line="256" w:lineRule="auto"/>
              <w:jc w:val="center"/>
              <w:rPr>
                <w:rFonts w:eastAsia="Calibri" w:cs="Calibri"/>
                <w:szCs w:val="20"/>
                <w:lang w:val="pt-PT"/>
              </w:rPr>
            </w:pPr>
            <w:r w:rsidRPr="00292532">
              <w:rPr>
                <w:rFonts w:eastAsia="Calibri" w:cs="Calibri"/>
                <w:szCs w:val="20"/>
                <w:lang w:val="pt-PT"/>
              </w:rPr>
              <w:t xml:space="preserve">Se não se consegue resolver, remete-se para resolução pela UIP ou mediação de terceiros. </w:t>
            </w:r>
          </w:p>
          <w:p w14:paraId="7F673972" w14:textId="77777777" w:rsidR="00B31AE2" w:rsidRPr="00292532" w:rsidRDefault="00B31AE2" w:rsidP="00B31AE2">
            <w:pPr>
              <w:spacing w:before="0" w:after="0" w:line="256" w:lineRule="auto"/>
              <w:jc w:val="center"/>
              <w:rPr>
                <w:rFonts w:eastAsia="Calibri" w:cs="Calibri"/>
                <w:szCs w:val="20"/>
                <w:lang w:val="pt-PT"/>
              </w:rPr>
            </w:pPr>
            <w:r w:rsidRPr="00292532">
              <w:rPr>
                <w:rFonts w:eastAsia="Calibri" w:cs="Calibri"/>
                <w:szCs w:val="20"/>
                <w:lang w:val="pt-PT"/>
              </w:rPr>
              <w:t>Se o reclamante não concorda com a solução promovida pela UIP pode recorrer ao Sindicato dos trabalhadores ou pode encaminhar o caso a representação local do ministério do trabalho ou ao tribunal.</w:t>
            </w:r>
          </w:p>
        </w:tc>
      </w:tr>
      <w:tr w:rsidR="00B31AE2" w:rsidRPr="004E2EAC" w14:paraId="43E71DEF" w14:textId="77777777" w:rsidTr="00B31AE2">
        <w:trPr>
          <w:trHeight w:val="315"/>
          <w:jc w:val="center"/>
        </w:trPr>
        <w:tc>
          <w:tcPr>
            <w:tcW w:w="8220" w:type="dxa"/>
            <w:tcBorders>
              <w:top w:val="single" w:sz="8" w:space="0" w:color="auto"/>
              <w:left w:val="single" w:sz="8" w:space="0" w:color="auto"/>
              <w:bottom w:val="single" w:sz="8" w:space="0" w:color="auto"/>
              <w:right w:val="single" w:sz="8" w:space="0" w:color="auto"/>
            </w:tcBorders>
            <w:shd w:val="clear" w:color="auto" w:fill="FFFFFF"/>
            <w:noWrap/>
            <w:vAlign w:val="center"/>
            <w:hideMark/>
          </w:tcPr>
          <w:p w14:paraId="2D8AE104" w14:textId="77777777" w:rsidR="00B31AE2" w:rsidRPr="00292532" w:rsidRDefault="00B31AE2" w:rsidP="00B31AE2">
            <w:pPr>
              <w:spacing w:before="0" w:after="0" w:line="256" w:lineRule="auto"/>
              <w:jc w:val="center"/>
              <w:rPr>
                <w:rFonts w:eastAsia="Calibri" w:cs="Calibri"/>
                <w:b/>
                <w:szCs w:val="20"/>
                <w:lang w:val="pt-PT"/>
              </w:rPr>
            </w:pPr>
            <w:r w:rsidRPr="00292532">
              <w:rPr>
                <w:rFonts w:eastAsia="Calibri" w:cs="Calibri"/>
                <w:b/>
                <w:szCs w:val="20"/>
                <w:lang w:val="pt-PT"/>
              </w:rPr>
              <w:t>PASSO 8: Monitorar, avaliar e reportar sobre implementação do MGR</w:t>
            </w:r>
          </w:p>
        </w:tc>
      </w:tr>
      <w:tr w:rsidR="00B31AE2" w:rsidRPr="004E2EAC" w14:paraId="4A927F8C" w14:textId="77777777" w:rsidTr="00B31AE2">
        <w:trPr>
          <w:trHeight w:val="510"/>
          <w:jc w:val="center"/>
        </w:trPr>
        <w:tc>
          <w:tcPr>
            <w:tcW w:w="8220" w:type="dxa"/>
            <w:shd w:val="clear" w:color="auto" w:fill="FFFFFF"/>
            <w:vAlign w:val="center"/>
            <w:hideMark/>
          </w:tcPr>
          <w:p w14:paraId="14743E9B" w14:textId="77777777" w:rsidR="00B31AE2" w:rsidRPr="00292532" w:rsidRDefault="00B31AE2" w:rsidP="00B31AE2">
            <w:pPr>
              <w:spacing w:before="0" w:after="0" w:line="256" w:lineRule="auto"/>
              <w:jc w:val="center"/>
              <w:rPr>
                <w:rFonts w:eastAsia="Calibri" w:cs="Calibri"/>
                <w:szCs w:val="20"/>
                <w:lang w:val="pt-PT"/>
              </w:rPr>
            </w:pPr>
            <w:r w:rsidRPr="00292532">
              <w:rPr>
                <w:rFonts w:eastAsia="Calibri" w:cs="Calibri"/>
                <w:szCs w:val="20"/>
                <w:lang w:val="pt-PT"/>
              </w:rPr>
              <w:t xml:space="preserve">O </w:t>
            </w:r>
            <w:r w:rsidRPr="00292532">
              <w:rPr>
                <w:rFonts w:eastAsia="Calibri" w:cs="Calibri"/>
                <w:color w:val="4472C4"/>
                <w:szCs w:val="20"/>
                <w:lang w:val="pt-PT"/>
              </w:rPr>
              <w:t xml:space="preserve">Oficial de Reclamação e a Equipa de Salvaguardas da UIP </w:t>
            </w:r>
            <w:r w:rsidRPr="00292532">
              <w:rPr>
                <w:rFonts w:eastAsia="Calibri" w:cs="Calibri"/>
                <w:szCs w:val="20"/>
                <w:lang w:val="pt-PT"/>
              </w:rPr>
              <w:t xml:space="preserve">monitora mensalmente o número e tipo de reclamações recebidas, resolvidas e pendentes e reporta ao </w:t>
            </w:r>
            <w:proofErr w:type="spellStart"/>
            <w:r w:rsidRPr="00292532">
              <w:rPr>
                <w:rFonts w:eastAsia="Calibri" w:cs="Calibri"/>
                <w:szCs w:val="20"/>
                <w:lang w:val="pt-PT"/>
              </w:rPr>
              <w:t>Director</w:t>
            </w:r>
            <w:proofErr w:type="spellEnd"/>
            <w:r w:rsidRPr="00292532">
              <w:rPr>
                <w:rFonts w:eastAsia="Calibri" w:cs="Calibri"/>
                <w:szCs w:val="20"/>
                <w:lang w:val="pt-PT"/>
              </w:rPr>
              <w:t xml:space="preserve"> Da Obra/da UIP.</w:t>
            </w:r>
          </w:p>
        </w:tc>
      </w:tr>
      <w:tr w:rsidR="00B31AE2" w:rsidRPr="004E2EAC" w14:paraId="7372CB86" w14:textId="77777777" w:rsidTr="00B31AE2">
        <w:trPr>
          <w:trHeight w:val="255"/>
          <w:jc w:val="center"/>
        </w:trPr>
        <w:tc>
          <w:tcPr>
            <w:tcW w:w="8220" w:type="dxa"/>
            <w:shd w:val="clear" w:color="auto" w:fill="FFFFFF"/>
            <w:vAlign w:val="center"/>
            <w:hideMark/>
          </w:tcPr>
          <w:p w14:paraId="71340362" w14:textId="77777777" w:rsidR="00B31AE2" w:rsidRPr="00292532" w:rsidRDefault="00B31AE2" w:rsidP="00B31AE2">
            <w:pPr>
              <w:spacing w:before="0" w:after="0" w:line="256" w:lineRule="auto"/>
              <w:jc w:val="center"/>
              <w:rPr>
                <w:rFonts w:eastAsia="Calibri" w:cs="Calibri"/>
                <w:szCs w:val="20"/>
                <w:lang w:val="pt-PT"/>
              </w:rPr>
            </w:pPr>
            <w:r w:rsidRPr="00292532">
              <w:rPr>
                <w:rFonts w:eastAsia="Calibri" w:cs="Calibri"/>
                <w:szCs w:val="20"/>
                <w:lang w:val="pt-PT"/>
              </w:rPr>
              <w:t xml:space="preserve">O </w:t>
            </w:r>
            <w:proofErr w:type="spellStart"/>
            <w:r w:rsidRPr="00292532">
              <w:rPr>
                <w:rFonts w:eastAsia="Calibri" w:cs="Calibri"/>
                <w:color w:val="4472C4"/>
                <w:szCs w:val="20"/>
                <w:lang w:val="pt-PT"/>
              </w:rPr>
              <w:t>Director</w:t>
            </w:r>
            <w:proofErr w:type="spellEnd"/>
            <w:r w:rsidRPr="00292532">
              <w:rPr>
                <w:rFonts w:eastAsia="Calibri" w:cs="Calibri"/>
                <w:color w:val="4472C4"/>
                <w:szCs w:val="20"/>
                <w:lang w:val="pt-PT"/>
              </w:rPr>
              <w:t xml:space="preserve"> Geral e o </w:t>
            </w:r>
            <w:proofErr w:type="spellStart"/>
            <w:r w:rsidRPr="00292532">
              <w:rPr>
                <w:rFonts w:eastAsia="Calibri" w:cs="Calibri"/>
                <w:color w:val="4472C4"/>
                <w:szCs w:val="20"/>
                <w:lang w:val="pt-PT"/>
              </w:rPr>
              <w:t>Director</w:t>
            </w:r>
            <w:proofErr w:type="spellEnd"/>
            <w:r w:rsidRPr="00292532">
              <w:rPr>
                <w:rFonts w:eastAsia="Calibri" w:cs="Calibri"/>
                <w:color w:val="4472C4"/>
                <w:szCs w:val="20"/>
                <w:lang w:val="pt-PT"/>
              </w:rPr>
              <w:t xml:space="preserve"> da UIP </w:t>
            </w:r>
            <w:r w:rsidRPr="00292532">
              <w:rPr>
                <w:rFonts w:eastAsia="Calibri" w:cs="Calibri"/>
                <w:szCs w:val="20"/>
                <w:lang w:val="pt-PT"/>
              </w:rPr>
              <w:t xml:space="preserve">avaliam as tendências ao longo do tempo e as etapas do desenvolvimento do </w:t>
            </w:r>
            <w:proofErr w:type="spellStart"/>
            <w:r w:rsidRPr="00292532">
              <w:rPr>
                <w:rFonts w:eastAsia="Calibri" w:cs="Calibri"/>
                <w:szCs w:val="20"/>
                <w:lang w:val="pt-PT"/>
              </w:rPr>
              <w:t>Projecto</w:t>
            </w:r>
            <w:proofErr w:type="spellEnd"/>
            <w:r w:rsidRPr="00292532">
              <w:rPr>
                <w:rFonts w:eastAsia="Calibri" w:cs="Calibri"/>
                <w:szCs w:val="20"/>
                <w:lang w:val="pt-PT"/>
              </w:rPr>
              <w:t>.</w:t>
            </w:r>
          </w:p>
        </w:tc>
      </w:tr>
    </w:tbl>
    <w:p w14:paraId="15F6B683" w14:textId="77777777" w:rsidR="00B31AE2" w:rsidRPr="00292532" w:rsidRDefault="00B31AE2" w:rsidP="00B31AE2">
      <w:pPr>
        <w:spacing w:before="0" w:after="0" w:line="276" w:lineRule="auto"/>
        <w:jc w:val="left"/>
        <w:rPr>
          <w:rFonts w:eastAsia="Calibri" w:cs="Times New Roman"/>
          <w:b/>
          <w:sz w:val="28"/>
          <w:lang w:val="pt-PT"/>
        </w:rPr>
        <w:sectPr w:rsidR="00B31AE2" w:rsidRPr="00292532" w:rsidSect="00032E3B">
          <w:footerReference w:type="default" r:id="rId51"/>
          <w:pgSz w:w="11920" w:h="16840"/>
          <w:pgMar w:top="1380" w:right="1210" w:bottom="1340" w:left="1080" w:header="0" w:footer="0" w:gutter="0"/>
          <w:cols w:space="720"/>
          <w:titlePg/>
          <w:docGrid w:linePitch="299"/>
        </w:sectPr>
      </w:pPr>
    </w:p>
    <w:p w14:paraId="34C4898C" w14:textId="492B5F64" w:rsidR="00B31AE2" w:rsidRPr="00292532" w:rsidRDefault="00B31AE2" w:rsidP="00AE14AE">
      <w:pPr>
        <w:keepNext/>
        <w:keepLines/>
        <w:numPr>
          <w:ilvl w:val="0"/>
          <w:numId w:val="146"/>
        </w:numPr>
        <w:spacing w:before="200" w:after="200" w:line="276" w:lineRule="auto"/>
        <w:ind w:left="426" w:firstLine="0"/>
        <w:jc w:val="left"/>
        <w:outlineLvl w:val="1"/>
        <w:rPr>
          <w:rFonts w:ascii="Arial" w:eastAsia="Times New Roman" w:hAnsi="Arial" w:cs="Arial"/>
          <w:b/>
          <w:bCs/>
          <w:color w:val="4472C4"/>
          <w:sz w:val="26"/>
          <w:szCs w:val="26"/>
          <w:lang w:val="pt-PT"/>
        </w:rPr>
      </w:pPr>
      <w:bookmarkStart w:id="1250" w:name="_Toc74921507"/>
      <w:bookmarkStart w:id="1251" w:name="_Toc75438083"/>
      <w:bookmarkStart w:id="1252" w:name="_Toc78435512"/>
      <w:bookmarkStart w:id="1253" w:name="_Toc80380179"/>
      <w:r w:rsidRPr="00292532">
        <w:rPr>
          <w:rFonts w:ascii="Arial" w:eastAsia="Times New Roman" w:hAnsi="Arial" w:cs="Arial"/>
          <w:b/>
          <w:bCs/>
          <w:color w:val="4472C4"/>
          <w:sz w:val="26"/>
          <w:szCs w:val="26"/>
          <w:lang w:val="pt-PT"/>
        </w:rPr>
        <w:lastRenderedPageBreak/>
        <w:t>Apêndice B - Código de Conduta</w:t>
      </w:r>
      <w:bookmarkEnd w:id="1250"/>
      <w:bookmarkEnd w:id="1251"/>
      <w:bookmarkEnd w:id="1252"/>
      <w:bookmarkEnd w:id="1253"/>
    </w:p>
    <w:p w14:paraId="72DD7E0C" w14:textId="77777777" w:rsidR="00B31AE2" w:rsidRPr="00292532" w:rsidRDefault="00B31AE2" w:rsidP="00B31AE2">
      <w:pPr>
        <w:spacing w:before="0" w:after="200"/>
        <w:jc w:val="left"/>
        <w:rPr>
          <w:rFonts w:eastAsia="Calibri" w:cs="Calibri"/>
          <w:b/>
          <w:color w:val="4472C4"/>
          <w:lang w:val="pt-PT"/>
        </w:rPr>
      </w:pPr>
      <w:r w:rsidRPr="00292532">
        <w:rPr>
          <w:rFonts w:eastAsia="Calibri" w:cs="Calibri"/>
          <w:b/>
          <w:color w:val="4472C4"/>
          <w:lang w:val="pt-PT"/>
        </w:rPr>
        <w:t>1. Contexto</w:t>
      </w:r>
    </w:p>
    <w:p w14:paraId="3639896C" w14:textId="77777777" w:rsidR="00B31AE2" w:rsidRPr="00292532" w:rsidRDefault="00B31AE2" w:rsidP="00B31AE2">
      <w:pPr>
        <w:spacing w:before="0" w:after="200"/>
        <w:rPr>
          <w:rFonts w:eastAsia="Calibri" w:cs="Calibri"/>
          <w:lang w:val="pt-PT"/>
        </w:rPr>
      </w:pPr>
      <w:r w:rsidRPr="00292532">
        <w:rPr>
          <w:rFonts w:eastAsia="Calibri" w:cs="Calibri"/>
          <w:lang w:val="pt-PT"/>
        </w:rPr>
        <w:t xml:space="preserve">O respeito mútuo e o tratamento justo entre os trabalhadores do </w:t>
      </w:r>
      <w:proofErr w:type="spellStart"/>
      <w:r w:rsidRPr="00292532">
        <w:rPr>
          <w:rFonts w:eastAsia="Calibri" w:cs="Calibri"/>
          <w:lang w:val="pt-PT"/>
        </w:rPr>
        <w:t>projecto</w:t>
      </w:r>
      <w:proofErr w:type="spellEnd"/>
      <w:r w:rsidRPr="00292532">
        <w:rPr>
          <w:rFonts w:eastAsia="Calibri" w:cs="Calibri"/>
          <w:lang w:val="pt-PT"/>
        </w:rPr>
        <w:t xml:space="preserve"> e as comunidades locais é essencial para um local de trabalho e operação segura, respeitoso e produtivo. </w:t>
      </w:r>
    </w:p>
    <w:p w14:paraId="5859BFD6" w14:textId="77777777" w:rsidR="00B31AE2" w:rsidRPr="00292532" w:rsidRDefault="00B31AE2" w:rsidP="00B31AE2">
      <w:pPr>
        <w:spacing w:before="0" w:after="200"/>
        <w:rPr>
          <w:rFonts w:eastAsia="Calibri" w:cs="Calibri"/>
          <w:lang w:val="pt-PT"/>
        </w:rPr>
      </w:pPr>
      <w:r w:rsidRPr="00292532">
        <w:rPr>
          <w:rFonts w:eastAsia="Calibri" w:cs="Calibri"/>
          <w:lang w:val="pt-PT"/>
        </w:rPr>
        <w:t xml:space="preserve">Esses códigos devem ser </w:t>
      </w:r>
      <w:proofErr w:type="spellStart"/>
      <w:r w:rsidRPr="00292532">
        <w:rPr>
          <w:rFonts w:eastAsia="Calibri" w:cs="Calibri"/>
          <w:lang w:val="pt-PT"/>
        </w:rPr>
        <w:t>adoptados</w:t>
      </w:r>
      <w:proofErr w:type="spellEnd"/>
      <w:r w:rsidRPr="00292532">
        <w:rPr>
          <w:rFonts w:eastAsia="Calibri" w:cs="Calibri"/>
          <w:lang w:val="pt-PT"/>
        </w:rPr>
        <w:t xml:space="preserve"> por aqueles que trabalham </w:t>
      </w:r>
      <w:proofErr w:type="spellStart"/>
      <w:r w:rsidRPr="00292532">
        <w:rPr>
          <w:rFonts w:eastAsia="Calibri" w:cs="Calibri"/>
          <w:lang w:val="pt-PT"/>
        </w:rPr>
        <w:t>directa</w:t>
      </w:r>
      <w:proofErr w:type="spellEnd"/>
      <w:r w:rsidRPr="00292532">
        <w:rPr>
          <w:rFonts w:eastAsia="Calibri" w:cs="Calibri"/>
          <w:lang w:val="pt-PT"/>
        </w:rPr>
        <w:t xml:space="preserve"> ou </w:t>
      </w:r>
      <w:proofErr w:type="spellStart"/>
      <w:r w:rsidRPr="00292532">
        <w:rPr>
          <w:rFonts w:eastAsia="Calibri" w:cs="Calibri"/>
          <w:lang w:val="pt-PT"/>
        </w:rPr>
        <w:t>indirectamente</w:t>
      </w:r>
      <w:proofErr w:type="spellEnd"/>
      <w:r w:rsidRPr="00292532">
        <w:rPr>
          <w:rFonts w:eastAsia="Calibri" w:cs="Calibri"/>
          <w:lang w:val="pt-PT"/>
        </w:rPr>
        <w:t xml:space="preserve"> ou sejam beneficiários do </w:t>
      </w:r>
      <w:proofErr w:type="spellStart"/>
      <w:r w:rsidRPr="00292532">
        <w:rPr>
          <w:rFonts w:eastAsia="Calibri" w:cs="Calibri"/>
          <w:lang w:val="pt-PT"/>
        </w:rPr>
        <w:t>projecto</w:t>
      </w:r>
      <w:proofErr w:type="spellEnd"/>
      <w:r w:rsidRPr="00292532">
        <w:rPr>
          <w:rFonts w:eastAsia="Calibri" w:cs="Calibri"/>
          <w:lang w:val="pt-PT"/>
        </w:rPr>
        <w:t xml:space="preserve"> e são destinados a: (i) criar uma consciência comum sobre a conduta e ética a ter no ambiente de trabalho e em todas as suas representações, que inclui a consciência ambiental, saúde e segurança ocupacional e Violência Baseada no Género e Violência Contra Criança; (</w:t>
      </w:r>
      <w:proofErr w:type="spellStart"/>
      <w:r w:rsidRPr="00292532">
        <w:rPr>
          <w:rFonts w:eastAsia="Calibri" w:cs="Calibri"/>
          <w:lang w:val="pt-PT"/>
        </w:rPr>
        <w:t>ii</w:t>
      </w:r>
      <w:proofErr w:type="spellEnd"/>
      <w:r w:rsidRPr="00292532">
        <w:rPr>
          <w:rFonts w:eastAsia="Calibri" w:cs="Calibri"/>
          <w:lang w:val="pt-PT"/>
        </w:rPr>
        <w:t xml:space="preserve">) garantir um entendimento compartilhado de que </w:t>
      </w:r>
      <w:proofErr w:type="spellStart"/>
      <w:r w:rsidRPr="00292532">
        <w:rPr>
          <w:rFonts w:eastAsia="Calibri" w:cs="Calibri"/>
          <w:lang w:val="pt-PT"/>
        </w:rPr>
        <w:t>acções</w:t>
      </w:r>
      <w:proofErr w:type="spellEnd"/>
      <w:r w:rsidRPr="00292532">
        <w:rPr>
          <w:rFonts w:eastAsia="Calibri" w:cs="Calibri"/>
          <w:lang w:val="pt-PT"/>
        </w:rPr>
        <w:t xml:space="preserve"> que afligem o código não têm lugar no </w:t>
      </w:r>
      <w:proofErr w:type="spellStart"/>
      <w:r w:rsidRPr="00292532">
        <w:rPr>
          <w:rFonts w:eastAsia="Calibri" w:cs="Calibri"/>
          <w:lang w:val="pt-PT"/>
        </w:rPr>
        <w:t>projecto</w:t>
      </w:r>
      <w:proofErr w:type="spellEnd"/>
      <w:r w:rsidRPr="00292532">
        <w:rPr>
          <w:rFonts w:eastAsia="Calibri" w:cs="Calibri"/>
          <w:lang w:val="pt-PT"/>
        </w:rPr>
        <w:t>; e, (</w:t>
      </w:r>
      <w:proofErr w:type="spellStart"/>
      <w:r w:rsidRPr="00292532">
        <w:rPr>
          <w:rFonts w:eastAsia="Calibri" w:cs="Calibri"/>
          <w:lang w:val="pt-PT"/>
        </w:rPr>
        <w:t>iii</w:t>
      </w:r>
      <w:proofErr w:type="spellEnd"/>
      <w:r w:rsidRPr="00292532">
        <w:rPr>
          <w:rFonts w:eastAsia="Calibri" w:cs="Calibri"/>
          <w:lang w:val="pt-PT"/>
        </w:rPr>
        <w:t>) criar um sistema claro para identificar, responder e sancionar incidentes.</w:t>
      </w:r>
    </w:p>
    <w:p w14:paraId="06215926" w14:textId="77777777" w:rsidR="00B31AE2" w:rsidRPr="00292532" w:rsidRDefault="00B31AE2" w:rsidP="00B31AE2">
      <w:pPr>
        <w:spacing w:before="0" w:after="0"/>
        <w:rPr>
          <w:rFonts w:eastAsia="Calibri" w:cs="Calibri"/>
          <w:lang w:val="pt-PT"/>
        </w:rPr>
      </w:pPr>
      <w:r w:rsidRPr="00292532">
        <w:rPr>
          <w:rFonts w:eastAsia="Calibri" w:cs="Calibri"/>
          <w:lang w:val="pt-PT"/>
        </w:rPr>
        <w:t xml:space="preserve">Assegurar que todos os funcionários do </w:t>
      </w:r>
      <w:proofErr w:type="spellStart"/>
      <w:r w:rsidRPr="00292532">
        <w:rPr>
          <w:rFonts w:eastAsia="Calibri" w:cs="Calibri"/>
          <w:lang w:val="pt-PT"/>
        </w:rPr>
        <w:t>projecto</w:t>
      </w:r>
      <w:proofErr w:type="spellEnd"/>
      <w:r w:rsidRPr="00292532">
        <w:rPr>
          <w:rFonts w:eastAsia="Calibri" w:cs="Calibri"/>
          <w:lang w:val="pt-PT"/>
        </w:rPr>
        <w:t xml:space="preserve"> compreendam os valores do </w:t>
      </w:r>
      <w:proofErr w:type="spellStart"/>
      <w:r w:rsidRPr="00292532">
        <w:rPr>
          <w:rFonts w:eastAsia="Calibri" w:cs="Calibri"/>
          <w:lang w:val="pt-PT"/>
        </w:rPr>
        <w:t>projecto</w:t>
      </w:r>
      <w:proofErr w:type="spellEnd"/>
      <w:r w:rsidRPr="00292532">
        <w:rPr>
          <w:rFonts w:eastAsia="Calibri" w:cs="Calibri"/>
          <w:lang w:val="pt-PT"/>
        </w:rPr>
        <w:t xml:space="preserve">, as expectativas e que funcionários e beneficiários reconheçam as consequências por violações desses valores, ajudará a criar uma implementação do </w:t>
      </w:r>
      <w:proofErr w:type="spellStart"/>
      <w:r w:rsidRPr="00292532">
        <w:rPr>
          <w:rFonts w:eastAsia="Calibri" w:cs="Calibri"/>
          <w:lang w:val="pt-PT"/>
        </w:rPr>
        <w:t>projecto</w:t>
      </w:r>
      <w:proofErr w:type="spellEnd"/>
      <w:r w:rsidRPr="00292532">
        <w:rPr>
          <w:rFonts w:eastAsia="Calibri" w:cs="Calibri"/>
          <w:lang w:val="pt-PT"/>
        </w:rPr>
        <w:t xml:space="preserve"> mais suave, respeitosa e produtiva, ajudando assim a garantir que os </w:t>
      </w:r>
      <w:proofErr w:type="spellStart"/>
      <w:r w:rsidRPr="00292532">
        <w:rPr>
          <w:rFonts w:eastAsia="Calibri" w:cs="Calibri"/>
          <w:lang w:val="pt-PT"/>
        </w:rPr>
        <w:t>objectivos</w:t>
      </w:r>
      <w:proofErr w:type="spellEnd"/>
      <w:r w:rsidRPr="00292532">
        <w:rPr>
          <w:rFonts w:eastAsia="Calibri" w:cs="Calibri"/>
          <w:lang w:val="pt-PT"/>
        </w:rPr>
        <w:t xml:space="preserve"> do </w:t>
      </w:r>
      <w:proofErr w:type="spellStart"/>
      <w:r w:rsidRPr="00292532">
        <w:rPr>
          <w:rFonts w:eastAsia="Calibri" w:cs="Calibri"/>
          <w:lang w:val="pt-PT"/>
        </w:rPr>
        <w:t>projecto</w:t>
      </w:r>
      <w:proofErr w:type="spellEnd"/>
      <w:r w:rsidRPr="00292532">
        <w:rPr>
          <w:rFonts w:eastAsia="Calibri" w:cs="Calibri"/>
          <w:lang w:val="pt-PT"/>
        </w:rPr>
        <w:t xml:space="preserve"> sejam alcançados.</w:t>
      </w:r>
    </w:p>
    <w:p w14:paraId="4865C991" w14:textId="77777777" w:rsidR="00B31AE2" w:rsidRPr="00292532" w:rsidRDefault="00B31AE2" w:rsidP="00B31AE2">
      <w:pPr>
        <w:spacing w:before="0" w:after="0"/>
        <w:jc w:val="left"/>
        <w:rPr>
          <w:rFonts w:eastAsia="Calibri" w:cs="Calibri"/>
          <w:color w:val="000000"/>
          <w:lang w:val="pt-PT"/>
        </w:rPr>
      </w:pPr>
    </w:p>
    <w:p w14:paraId="03F29373" w14:textId="77777777" w:rsidR="00B31AE2" w:rsidRPr="00292532" w:rsidRDefault="00B31AE2" w:rsidP="00B31AE2">
      <w:pPr>
        <w:spacing w:before="0" w:after="200"/>
        <w:jc w:val="left"/>
        <w:rPr>
          <w:rFonts w:eastAsia="Calibri" w:cs="Calibri"/>
          <w:b/>
          <w:color w:val="4472C4"/>
          <w:lang w:val="pt-PT"/>
        </w:rPr>
      </w:pPr>
      <w:r w:rsidRPr="00292532">
        <w:rPr>
          <w:rFonts w:eastAsia="Calibri" w:cs="Calibri"/>
          <w:b/>
          <w:color w:val="4472C4"/>
          <w:lang w:val="pt-PT"/>
        </w:rPr>
        <w:t>2. Definições</w:t>
      </w:r>
    </w:p>
    <w:p w14:paraId="0C0F591B" w14:textId="77777777" w:rsidR="00B31AE2" w:rsidRPr="00292532" w:rsidRDefault="00B31AE2" w:rsidP="00B31AE2">
      <w:pPr>
        <w:spacing w:before="0" w:after="200"/>
        <w:jc w:val="left"/>
        <w:rPr>
          <w:rFonts w:eastAsia="Calibri" w:cs="Calibri"/>
          <w:color w:val="000000"/>
          <w:lang w:val="pt-PT"/>
        </w:rPr>
      </w:pPr>
      <w:r w:rsidRPr="00292532">
        <w:rPr>
          <w:rFonts w:eastAsia="Calibri" w:cs="Calibri"/>
          <w:lang w:val="pt-PT"/>
        </w:rPr>
        <w:t>Para o presente manual, aplicam-se as seguintes definições</w:t>
      </w:r>
      <w:r w:rsidRPr="00292532">
        <w:rPr>
          <w:rFonts w:eastAsia="Calibri" w:cs="Calibri"/>
          <w:vertAlign w:val="superscript"/>
          <w:lang w:val="pt-PT"/>
        </w:rPr>
        <w:footnoteReference w:id="24"/>
      </w:r>
      <w:r w:rsidRPr="00292532">
        <w:rPr>
          <w:rFonts w:eastAsia="Calibri" w:cs="Calibri"/>
          <w:lang w:val="pt-PT"/>
        </w:rPr>
        <w:t xml:space="preserve">: </w:t>
      </w:r>
    </w:p>
    <w:p w14:paraId="43DA085F" w14:textId="77777777" w:rsidR="00B31AE2" w:rsidRPr="00292532" w:rsidRDefault="00B31AE2" w:rsidP="00AE14AE">
      <w:pPr>
        <w:numPr>
          <w:ilvl w:val="0"/>
          <w:numId w:val="134"/>
        </w:numPr>
        <w:spacing w:before="260" w:after="120" w:line="276" w:lineRule="auto"/>
        <w:ind w:left="567" w:hanging="283"/>
        <w:contextualSpacing/>
        <w:jc w:val="left"/>
        <w:rPr>
          <w:rFonts w:eastAsia="Calibri" w:cs="Calibri"/>
          <w:b/>
          <w:lang w:val="pt-PT"/>
        </w:rPr>
      </w:pPr>
      <w:r w:rsidRPr="00292532">
        <w:rPr>
          <w:rFonts w:eastAsia="Calibri" w:cs="Calibri"/>
          <w:b/>
          <w:lang w:val="pt-PT"/>
        </w:rPr>
        <w:t xml:space="preserve">Violência: </w:t>
      </w:r>
      <w:r w:rsidRPr="00292532">
        <w:rPr>
          <w:rFonts w:eastAsia="Calibri" w:cs="Calibri"/>
          <w:lang w:val="pt-PT"/>
        </w:rPr>
        <w:t>uso intencional da força física ou do poder, sob forma de ameaça ou real, contra si mesmo, contra outra pessoa ou contra um grupo ou comunidade, que resulta ou tem grande probabilidade de resultar em lesão, morte, dano psíquico, alterações no desenvolvimento ou privações.</w:t>
      </w:r>
    </w:p>
    <w:p w14:paraId="1E7FFAC2" w14:textId="77777777" w:rsidR="00B31AE2" w:rsidRPr="00292532" w:rsidRDefault="00B31AE2" w:rsidP="00AE14AE">
      <w:pPr>
        <w:numPr>
          <w:ilvl w:val="0"/>
          <w:numId w:val="134"/>
        </w:numPr>
        <w:spacing w:before="260" w:after="120" w:line="276" w:lineRule="auto"/>
        <w:ind w:left="567" w:hanging="283"/>
        <w:contextualSpacing/>
        <w:jc w:val="left"/>
        <w:rPr>
          <w:rFonts w:eastAsia="Calibri" w:cs="Calibri"/>
          <w:lang w:val="pt-PT"/>
        </w:rPr>
      </w:pPr>
      <w:r w:rsidRPr="00292532">
        <w:rPr>
          <w:rFonts w:eastAsia="Calibri" w:cs="Calibri"/>
          <w:b/>
          <w:lang w:val="pt-PT"/>
        </w:rPr>
        <w:t>Violência baseada no género (VBG):</w:t>
      </w:r>
      <w:r w:rsidRPr="00292532">
        <w:rPr>
          <w:rFonts w:eastAsia="Calibri" w:cs="Calibri"/>
          <w:lang w:val="pt-PT"/>
        </w:rPr>
        <w:t xml:space="preserve"> qualquer </w:t>
      </w:r>
      <w:proofErr w:type="spellStart"/>
      <w:r w:rsidRPr="00292532">
        <w:rPr>
          <w:rFonts w:eastAsia="Calibri" w:cs="Calibri"/>
          <w:lang w:val="pt-PT"/>
        </w:rPr>
        <w:t>acto</w:t>
      </w:r>
      <w:proofErr w:type="spellEnd"/>
      <w:r w:rsidRPr="00292532">
        <w:rPr>
          <w:rFonts w:eastAsia="Calibri" w:cs="Calibri"/>
          <w:lang w:val="pt-PT"/>
        </w:rPr>
        <w:t xml:space="preserve"> prejudicial que seja perpetrado contra a vontade de uma pessoa e que se baseia em diferenças socialmente atribuídas (ou seja, género) entre homens e mulheres. Inclui </w:t>
      </w:r>
      <w:proofErr w:type="spellStart"/>
      <w:r w:rsidRPr="00292532">
        <w:rPr>
          <w:rFonts w:eastAsia="Calibri" w:cs="Calibri"/>
          <w:lang w:val="pt-PT"/>
        </w:rPr>
        <w:t>actos</w:t>
      </w:r>
      <w:proofErr w:type="spellEnd"/>
      <w:r w:rsidRPr="00292532">
        <w:rPr>
          <w:rFonts w:eastAsia="Calibri" w:cs="Calibri"/>
          <w:lang w:val="pt-PT"/>
        </w:rPr>
        <w:t xml:space="preserve"> que infligem danos ou sofrimento físico, violência sexual ou mental, ameaças de tais </w:t>
      </w:r>
      <w:proofErr w:type="spellStart"/>
      <w:r w:rsidRPr="00292532">
        <w:rPr>
          <w:rFonts w:eastAsia="Calibri" w:cs="Calibri"/>
          <w:lang w:val="pt-PT"/>
        </w:rPr>
        <w:t>actos</w:t>
      </w:r>
      <w:proofErr w:type="spellEnd"/>
      <w:r w:rsidRPr="00292532">
        <w:rPr>
          <w:rFonts w:eastAsia="Calibri" w:cs="Calibri"/>
          <w:lang w:val="pt-PT"/>
        </w:rPr>
        <w:t xml:space="preserve">, </w:t>
      </w:r>
      <w:proofErr w:type="spellStart"/>
      <w:r w:rsidRPr="00292532">
        <w:rPr>
          <w:rFonts w:eastAsia="Calibri" w:cs="Calibri"/>
          <w:lang w:val="pt-PT"/>
        </w:rPr>
        <w:t>coacções</w:t>
      </w:r>
      <w:proofErr w:type="spellEnd"/>
      <w:r w:rsidRPr="00292532">
        <w:rPr>
          <w:rFonts w:eastAsia="Calibri" w:cs="Calibri"/>
          <w:lang w:val="pt-PT"/>
        </w:rPr>
        <w:t xml:space="preserve"> e outras privações de liberdade. Esses </w:t>
      </w:r>
      <w:proofErr w:type="spellStart"/>
      <w:r w:rsidRPr="00292532">
        <w:rPr>
          <w:rFonts w:eastAsia="Calibri" w:cs="Calibri"/>
          <w:lang w:val="pt-PT"/>
        </w:rPr>
        <w:t>actos</w:t>
      </w:r>
      <w:proofErr w:type="spellEnd"/>
      <w:r w:rsidRPr="00292532">
        <w:rPr>
          <w:rFonts w:eastAsia="Calibri" w:cs="Calibri"/>
          <w:lang w:val="pt-PT"/>
        </w:rPr>
        <w:t xml:space="preserve"> podem ocorrer em público ou em privado. </w:t>
      </w:r>
    </w:p>
    <w:p w14:paraId="2EC39A93" w14:textId="77777777" w:rsidR="00B31AE2" w:rsidRPr="00292532" w:rsidRDefault="00B31AE2" w:rsidP="00AE14AE">
      <w:pPr>
        <w:numPr>
          <w:ilvl w:val="0"/>
          <w:numId w:val="134"/>
        </w:numPr>
        <w:spacing w:before="260" w:after="120" w:line="276" w:lineRule="auto"/>
        <w:ind w:left="567" w:hanging="283"/>
        <w:contextualSpacing/>
        <w:jc w:val="left"/>
        <w:rPr>
          <w:rFonts w:eastAsia="Calibri" w:cs="Calibri"/>
          <w:lang w:val="pt-PT"/>
        </w:rPr>
      </w:pPr>
      <w:r w:rsidRPr="00292532">
        <w:rPr>
          <w:rFonts w:eastAsia="Calibri" w:cs="Calibri"/>
          <w:b/>
          <w:lang w:val="pt-PT"/>
        </w:rPr>
        <w:t xml:space="preserve">Violência Sexual: </w:t>
      </w:r>
      <w:r w:rsidRPr="00292532">
        <w:rPr>
          <w:rFonts w:eastAsia="Calibri" w:cs="Calibri"/>
          <w:lang w:val="pt-PT"/>
        </w:rPr>
        <w:t>é o uso da força física, ameaça ou coerção emocional para ter/manter relação sexual sem o consentimento de outrem.</w:t>
      </w:r>
    </w:p>
    <w:p w14:paraId="210DD8CA" w14:textId="77777777" w:rsidR="00B31AE2" w:rsidRPr="00292532" w:rsidRDefault="00B31AE2" w:rsidP="00AE14AE">
      <w:pPr>
        <w:numPr>
          <w:ilvl w:val="0"/>
          <w:numId w:val="134"/>
        </w:numPr>
        <w:spacing w:before="260" w:after="120" w:line="276" w:lineRule="auto"/>
        <w:ind w:left="567" w:hanging="283"/>
        <w:contextualSpacing/>
        <w:jc w:val="left"/>
        <w:rPr>
          <w:rFonts w:eastAsia="Calibri" w:cs="Calibri"/>
          <w:lang w:val="pt-PT"/>
        </w:rPr>
      </w:pPr>
      <w:r w:rsidRPr="00292532">
        <w:rPr>
          <w:rFonts w:eastAsia="Calibri" w:cs="Calibri"/>
          <w:b/>
          <w:lang w:val="pt-PT"/>
        </w:rPr>
        <w:t>Violência contra crianças (VCC):</w:t>
      </w:r>
      <w:r w:rsidRPr="00292532">
        <w:rPr>
          <w:rFonts w:eastAsia="Calibri" w:cs="Calibri"/>
          <w:lang w:val="pt-PT"/>
        </w:rPr>
        <w:t xml:space="preserve"> abusos que causem danos físicos, sexuais, psicológicos ou negligência de crianças menores (ou seja, menores de 18 anos), incluindo o uso com fins lucrativos, trabalho infantil, gratificação sexual ou alguma outra vantagem pessoal, ou financeira, que pode resultar em prejuízo ao crescimento, desenvolvimento e maturação das crianças. Isso também inclui outras </w:t>
      </w:r>
      <w:proofErr w:type="spellStart"/>
      <w:r w:rsidRPr="00292532">
        <w:rPr>
          <w:rFonts w:eastAsia="Calibri" w:cs="Calibri"/>
          <w:lang w:val="pt-PT"/>
        </w:rPr>
        <w:t>actividades</w:t>
      </w:r>
      <w:proofErr w:type="spellEnd"/>
      <w:r w:rsidRPr="00292532">
        <w:rPr>
          <w:rFonts w:eastAsia="Calibri" w:cs="Calibri"/>
          <w:lang w:val="pt-PT"/>
        </w:rPr>
        <w:t>, como usar inadequadamente os computadores, telefones celulares ou câmaras de vídeo e digitais para explorar, expor ou perseguir crianças ou aceder pornografia infantil em qualquer meio.</w:t>
      </w:r>
    </w:p>
    <w:p w14:paraId="2B4279A0" w14:textId="77777777" w:rsidR="00B31AE2" w:rsidRPr="00292532" w:rsidRDefault="00B31AE2" w:rsidP="00AE14AE">
      <w:pPr>
        <w:numPr>
          <w:ilvl w:val="0"/>
          <w:numId w:val="134"/>
        </w:numPr>
        <w:spacing w:before="260" w:after="120" w:line="276" w:lineRule="auto"/>
        <w:ind w:left="567" w:hanging="283"/>
        <w:contextualSpacing/>
        <w:jc w:val="left"/>
        <w:rPr>
          <w:rFonts w:eastAsia="Calibri" w:cs="Calibri"/>
          <w:lang w:val="pt-PT"/>
        </w:rPr>
      </w:pPr>
      <w:r w:rsidRPr="00292532">
        <w:rPr>
          <w:rFonts w:eastAsia="Calibri" w:cs="Calibri"/>
          <w:b/>
          <w:lang w:val="pt-PT"/>
        </w:rPr>
        <w:t>Trabalho infantil:</w:t>
      </w:r>
      <w:r w:rsidRPr="00292532">
        <w:rPr>
          <w:rFonts w:eastAsia="Calibri" w:cs="Calibri"/>
          <w:lang w:val="pt-PT"/>
        </w:rPr>
        <w:t xml:space="preserve"> trabalho que priva as crianças de sua infância, do seu potencial e da sua dignidade, e que é prejudicial ao seu desenvolvimento físico e mental. Isto inclui o trabalho que é mentalmente, </w:t>
      </w:r>
      <w:r w:rsidRPr="00292532">
        <w:rPr>
          <w:rFonts w:eastAsia="Calibri" w:cs="Calibri"/>
          <w:lang w:val="pt-PT"/>
        </w:rPr>
        <w:lastRenderedPageBreak/>
        <w:t xml:space="preserve">fisicamente, social ou moralmente perigoso e prejudicial para as crianças; trabalho que interfere com a sua escolaridade bem como a contratação de crianças que estão abaixo da idade mínima para o trabalho, estabelecida pela legislação nacional que, dependendo do tipo de </w:t>
      </w:r>
      <w:proofErr w:type="spellStart"/>
      <w:r w:rsidRPr="00292532">
        <w:rPr>
          <w:rFonts w:eastAsia="Calibri" w:cs="Calibri"/>
          <w:lang w:val="pt-PT"/>
        </w:rPr>
        <w:t>actividade</w:t>
      </w:r>
      <w:proofErr w:type="spellEnd"/>
      <w:r w:rsidRPr="00292532">
        <w:rPr>
          <w:rFonts w:eastAsia="Calibri" w:cs="Calibri"/>
          <w:lang w:val="pt-PT"/>
        </w:rPr>
        <w:t xml:space="preserve"> não pode ser contratada criança abaixo de 15 anos de idade, e este não deve estar engajada em trabalhos perigosos (ou seja, trabalho que é </w:t>
      </w:r>
      <w:proofErr w:type="spellStart"/>
      <w:r w:rsidRPr="00292532">
        <w:rPr>
          <w:rFonts w:eastAsia="Calibri" w:cs="Calibri"/>
          <w:lang w:val="pt-PT"/>
        </w:rPr>
        <w:t>susceptível</w:t>
      </w:r>
      <w:proofErr w:type="spellEnd"/>
      <w:r w:rsidRPr="00292532">
        <w:rPr>
          <w:rFonts w:eastAsia="Calibri" w:cs="Calibri"/>
          <w:lang w:val="pt-PT"/>
        </w:rPr>
        <w:t xml:space="preserve"> de prejudicar a sua saúde, segurança ou moral) ou outras formas piores de trabalho infantil, como tráfico, exploração sexual, servidão por dívida, trabalho forçado e ao recrutamento ou uso de crianças menores de idade para propósito de segurança ou militar. </w:t>
      </w:r>
    </w:p>
    <w:p w14:paraId="3040CA77" w14:textId="77777777" w:rsidR="00B31AE2" w:rsidRPr="00292532" w:rsidRDefault="00B31AE2" w:rsidP="00AE14AE">
      <w:pPr>
        <w:numPr>
          <w:ilvl w:val="0"/>
          <w:numId w:val="134"/>
        </w:numPr>
        <w:spacing w:before="260" w:after="120" w:line="276" w:lineRule="auto"/>
        <w:ind w:left="567" w:hanging="283"/>
        <w:contextualSpacing/>
        <w:jc w:val="left"/>
        <w:rPr>
          <w:rFonts w:eastAsia="Calibri" w:cs="Calibri"/>
          <w:lang w:val="pt-PT"/>
        </w:rPr>
      </w:pPr>
      <w:r w:rsidRPr="00292532">
        <w:rPr>
          <w:rFonts w:eastAsia="Calibri" w:cs="Calibri"/>
          <w:b/>
          <w:lang w:val="pt-PT"/>
        </w:rPr>
        <w:t xml:space="preserve">Exploração e Abuso Sexual (EAS): </w:t>
      </w:r>
      <w:r w:rsidRPr="00292532">
        <w:rPr>
          <w:rFonts w:eastAsia="Calibri" w:cs="Calibri"/>
          <w:lang w:val="pt-PT"/>
        </w:rPr>
        <w:t xml:space="preserve">É o </w:t>
      </w:r>
      <w:proofErr w:type="spellStart"/>
      <w:r w:rsidRPr="00292532">
        <w:rPr>
          <w:rFonts w:eastAsia="Calibri" w:cs="Calibri"/>
          <w:lang w:val="pt-PT"/>
        </w:rPr>
        <w:t>acto</w:t>
      </w:r>
      <w:proofErr w:type="spellEnd"/>
      <w:r w:rsidRPr="00292532">
        <w:rPr>
          <w:rFonts w:eastAsia="Calibri" w:cs="Calibri"/>
          <w:lang w:val="pt-PT"/>
        </w:rPr>
        <w:t xml:space="preserve"> praticado pela pessoa que usa uma criança ou um adolescente para satisfazer seu desejo sexual, ou seja, é qualquer jogo ou relação sexual, ou mesmo </w:t>
      </w:r>
      <w:proofErr w:type="spellStart"/>
      <w:r w:rsidRPr="00292532">
        <w:rPr>
          <w:rFonts w:eastAsia="Calibri" w:cs="Calibri"/>
          <w:lang w:val="pt-PT"/>
        </w:rPr>
        <w:t>acção</w:t>
      </w:r>
      <w:proofErr w:type="spellEnd"/>
      <w:r w:rsidRPr="00292532">
        <w:rPr>
          <w:rFonts w:eastAsia="Calibri" w:cs="Calibri"/>
          <w:lang w:val="pt-PT"/>
        </w:rPr>
        <w:t xml:space="preserve"> de natureza erótica, destinada a buscar o prazer sexual com uma criança ou adolescente. Também pode ser qualquer forma de exploração sexual de criança e adolescente (incentivo à prostituição, à escravidão sexual, ao turismo sexual e à pornografia infantil).</w:t>
      </w:r>
    </w:p>
    <w:p w14:paraId="40A3FAD1" w14:textId="77777777" w:rsidR="00B31AE2" w:rsidRPr="00292532" w:rsidRDefault="00B31AE2" w:rsidP="00AE14AE">
      <w:pPr>
        <w:numPr>
          <w:ilvl w:val="0"/>
          <w:numId w:val="134"/>
        </w:numPr>
        <w:spacing w:before="260" w:after="120" w:line="276" w:lineRule="auto"/>
        <w:ind w:left="567" w:hanging="283"/>
        <w:contextualSpacing/>
        <w:jc w:val="left"/>
        <w:rPr>
          <w:rFonts w:eastAsia="Calibri" w:cs="Calibri"/>
          <w:b/>
          <w:lang w:val="pt-PT"/>
        </w:rPr>
      </w:pPr>
      <w:r w:rsidRPr="00292532">
        <w:rPr>
          <w:rFonts w:eastAsia="Calibri" w:cs="Calibri"/>
          <w:b/>
          <w:lang w:val="pt-PT"/>
        </w:rPr>
        <w:t xml:space="preserve">Assédio: </w:t>
      </w:r>
      <w:r w:rsidRPr="00292532">
        <w:rPr>
          <w:rFonts w:eastAsia="Calibri" w:cs="Calibri"/>
          <w:lang w:val="pt-PT"/>
        </w:rPr>
        <w:t xml:space="preserve">é todo o comportamento indesejado, baseado em </w:t>
      </w:r>
      <w:proofErr w:type="spellStart"/>
      <w:r w:rsidRPr="00292532">
        <w:rPr>
          <w:rFonts w:eastAsia="Calibri" w:cs="Calibri"/>
          <w:lang w:val="pt-PT"/>
        </w:rPr>
        <w:t>factor</w:t>
      </w:r>
      <w:proofErr w:type="spellEnd"/>
      <w:r w:rsidRPr="00292532">
        <w:rPr>
          <w:rFonts w:eastAsia="Calibri" w:cs="Calibri"/>
          <w:lang w:val="pt-PT"/>
        </w:rPr>
        <w:t xml:space="preserve"> de discriminação, praticado aquando do acesso ao emprego ou no próprio emprego, trabalho ou formação profissional, com o </w:t>
      </w:r>
      <w:proofErr w:type="spellStart"/>
      <w:r w:rsidRPr="00292532">
        <w:rPr>
          <w:rFonts w:eastAsia="Calibri" w:cs="Calibri"/>
          <w:lang w:val="pt-PT"/>
        </w:rPr>
        <w:t>objectivo</w:t>
      </w:r>
      <w:proofErr w:type="spellEnd"/>
      <w:r w:rsidRPr="00292532">
        <w:rPr>
          <w:rFonts w:eastAsia="Calibri" w:cs="Calibri"/>
          <w:lang w:val="pt-PT"/>
        </w:rPr>
        <w:t xml:space="preserve"> ou o efeito de perturbar ou constranger a pessoa, </w:t>
      </w:r>
      <w:proofErr w:type="spellStart"/>
      <w:r w:rsidRPr="00292532">
        <w:rPr>
          <w:rFonts w:eastAsia="Calibri" w:cs="Calibri"/>
          <w:lang w:val="pt-PT"/>
        </w:rPr>
        <w:t>afectar</w:t>
      </w:r>
      <w:proofErr w:type="spellEnd"/>
      <w:r w:rsidRPr="00292532">
        <w:rPr>
          <w:rFonts w:eastAsia="Calibri" w:cs="Calibri"/>
          <w:lang w:val="pt-PT"/>
        </w:rPr>
        <w:t xml:space="preserve"> a sua dignidade, ou de lhe criar um ambiente intimidativo, hostil, degradante, humilhante ou desestabilizador.</w:t>
      </w:r>
    </w:p>
    <w:p w14:paraId="6DD9F79E" w14:textId="77777777" w:rsidR="00B31AE2" w:rsidRPr="00292532" w:rsidRDefault="00B31AE2" w:rsidP="00AE14AE">
      <w:pPr>
        <w:numPr>
          <w:ilvl w:val="0"/>
          <w:numId w:val="134"/>
        </w:numPr>
        <w:spacing w:before="260" w:after="120" w:line="276" w:lineRule="auto"/>
        <w:ind w:left="567" w:hanging="283"/>
        <w:contextualSpacing/>
        <w:jc w:val="left"/>
        <w:rPr>
          <w:rFonts w:eastAsia="Calibri" w:cs="Calibri"/>
          <w:b/>
          <w:lang w:val="pt-PT"/>
        </w:rPr>
      </w:pPr>
      <w:r w:rsidRPr="00292532">
        <w:rPr>
          <w:rFonts w:eastAsia="Calibri" w:cs="Calibri"/>
          <w:b/>
          <w:lang w:val="pt-PT"/>
        </w:rPr>
        <w:t xml:space="preserve">Assédio sexual: </w:t>
      </w:r>
      <w:r w:rsidRPr="00292532">
        <w:rPr>
          <w:rFonts w:eastAsia="Calibri" w:cs="Calibri"/>
          <w:lang w:val="pt-PT"/>
        </w:rPr>
        <w:t xml:space="preserve">é todo o comportamento indesejado de carácter sexual, sob forma verbal, não verbal ou física, com o </w:t>
      </w:r>
      <w:proofErr w:type="spellStart"/>
      <w:r w:rsidRPr="00292532">
        <w:rPr>
          <w:rFonts w:eastAsia="Calibri" w:cs="Calibri"/>
          <w:lang w:val="pt-PT"/>
        </w:rPr>
        <w:t>objectivo</w:t>
      </w:r>
      <w:proofErr w:type="spellEnd"/>
      <w:r w:rsidRPr="00292532">
        <w:rPr>
          <w:rFonts w:eastAsia="Calibri" w:cs="Calibri"/>
          <w:lang w:val="pt-PT"/>
        </w:rPr>
        <w:t xml:space="preserve"> ou o efeito de perturbar ou constranger a pessoa, </w:t>
      </w:r>
      <w:proofErr w:type="spellStart"/>
      <w:r w:rsidRPr="00292532">
        <w:rPr>
          <w:rFonts w:eastAsia="Calibri" w:cs="Calibri"/>
          <w:lang w:val="pt-PT"/>
        </w:rPr>
        <w:t>afectar</w:t>
      </w:r>
      <w:proofErr w:type="spellEnd"/>
      <w:r w:rsidRPr="00292532">
        <w:rPr>
          <w:rFonts w:eastAsia="Calibri" w:cs="Calibri"/>
          <w:lang w:val="pt-PT"/>
        </w:rPr>
        <w:t xml:space="preserve"> a sua dignidade, ou de lhe criar um ambiente intimidativo, hostil, degradante, humilhante ou desestabilizador.</w:t>
      </w:r>
    </w:p>
    <w:p w14:paraId="5DFD647A" w14:textId="77777777" w:rsidR="00B31AE2" w:rsidRPr="00292532" w:rsidRDefault="00B31AE2" w:rsidP="00AE14AE">
      <w:pPr>
        <w:numPr>
          <w:ilvl w:val="0"/>
          <w:numId w:val="134"/>
        </w:numPr>
        <w:spacing w:before="260" w:after="120" w:line="276" w:lineRule="auto"/>
        <w:ind w:left="567" w:hanging="283"/>
        <w:contextualSpacing/>
        <w:jc w:val="left"/>
        <w:rPr>
          <w:rFonts w:eastAsia="Calibri" w:cs="Calibri"/>
          <w:lang w:val="pt-PT"/>
        </w:rPr>
      </w:pPr>
      <w:r w:rsidRPr="00292532">
        <w:rPr>
          <w:rFonts w:eastAsia="Calibri" w:cs="Calibri"/>
          <w:b/>
          <w:lang w:val="pt-PT"/>
        </w:rPr>
        <w:t>Medidas de responsabilização:</w:t>
      </w:r>
      <w:r w:rsidRPr="00292532">
        <w:rPr>
          <w:rFonts w:eastAsia="Calibri" w:cs="Calibri"/>
          <w:lang w:val="pt-PT"/>
        </w:rPr>
        <w:t xml:space="preserve"> são as medidas implementadas para garantir a confidencialidade dos sobreviventes e para manter os contratados, consultores e o cliente responsável por instituir um sistema justo de resolução de reclamações.</w:t>
      </w:r>
    </w:p>
    <w:p w14:paraId="5D0494BB" w14:textId="77777777" w:rsidR="00B31AE2" w:rsidRPr="00292532" w:rsidRDefault="00B31AE2" w:rsidP="00AE14AE">
      <w:pPr>
        <w:numPr>
          <w:ilvl w:val="0"/>
          <w:numId w:val="134"/>
        </w:numPr>
        <w:spacing w:before="260" w:after="120" w:line="276" w:lineRule="auto"/>
        <w:ind w:left="567" w:hanging="283"/>
        <w:contextualSpacing/>
        <w:jc w:val="left"/>
        <w:rPr>
          <w:rFonts w:eastAsia="Calibri" w:cs="Calibri"/>
          <w:lang w:val="pt-PT"/>
        </w:rPr>
      </w:pPr>
      <w:r w:rsidRPr="00292532">
        <w:rPr>
          <w:rFonts w:eastAsia="Calibri" w:cs="Calibri"/>
          <w:b/>
          <w:lang w:val="pt-PT"/>
        </w:rPr>
        <w:t>Criança ou Crianças:</w:t>
      </w:r>
      <w:r w:rsidRPr="00292532">
        <w:rPr>
          <w:rFonts w:eastAsia="Calibri" w:cs="Calibri"/>
          <w:lang w:val="pt-PT"/>
        </w:rPr>
        <w:t xml:space="preserve"> é usado de forma intercambiável com o termo ‘menor’ e refere-se a uma pessoa com menos de 18 anos. Isso está de acordo com o Artigo 1 da Convecção das Nações Unidas sobre os Direitos da Criança, ratificada pelo governo de Moçambique e também abordado na lei de trabalho.</w:t>
      </w:r>
    </w:p>
    <w:p w14:paraId="13CA9FCE" w14:textId="77777777" w:rsidR="00B31AE2" w:rsidRPr="00292532" w:rsidRDefault="00B31AE2" w:rsidP="00AE14AE">
      <w:pPr>
        <w:numPr>
          <w:ilvl w:val="0"/>
          <w:numId w:val="134"/>
        </w:numPr>
        <w:spacing w:before="260" w:after="120" w:line="276" w:lineRule="auto"/>
        <w:ind w:left="567" w:hanging="283"/>
        <w:contextualSpacing/>
        <w:jc w:val="left"/>
        <w:rPr>
          <w:rFonts w:eastAsia="Calibri" w:cs="Calibri"/>
          <w:lang w:val="pt-PT"/>
        </w:rPr>
      </w:pPr>
      <w:r w:rsidRPr="00292532">
        <w:rPr>
          <w:rFonts w:eastAsia="Calibri" w:cs="Calibri"/>
          <w:b/>
          <w:lang w:val="pt-PT"/>
        </w:rPr>
        <w:t>Trabalho decente:</w:t>
      </w:r>
      <w:r w:rsidRPr="00292532">
        <w:rPr>
          <w:rFonts w:eastAsia="Calibri" w:cs="Calibri"/>
          <w:lang w:val="pt-PT"/>
        </w:rPr>
        <w:t xml:space="preserve"> envolve oportunidades de trabalho que são produtivas e produz um rendimento justo. O trabalho decente deve garantir a segurança no local de trabalho e </w:t>
      </w:r>
      <w:proofErr w:type="spellStart"/>
      <w:r w:rsidRPr="00292532">
        <w:rPr>
          <w:rFonts w:eastAsia="Calibri" w:cs="Calibri"/>
          <w:lang w:val="pt-PT"/>
        </w:rPr>
        <w:t>protecção</w:t>
      </w:r>
      <w:proofErr w:type="spellEnd"/>
      <w:r w:rsidRPr="00292532">
        <w:rPr>
          <w:rFonts w:eastAsia="Calibri" w:cs="Calibri"/>
          <w:lang w:val="pt-PT"/>
        </w:rPr>
        <w:t xml:space="preserve"> social para as famílias, direitos no trabalho, diálogo social e melhores </w:t>
      </w:r>
      <w:proofErr w:type="spellStart"/>
      <w:r w:rsidRPr="00292532">
        <w:rPr>
          <w:rFonts w:eastAsia="Calibri" w:cs="Calibri"/>
          <w:lang w:val="pt-PT"/>
        </w:rPr>
        <w:t>perspectivas</w:t>
      </w:r>
      <w:proofErr w:type="spellEnd"/>
      <w:r w:rsidRPr="00292532">
        <w:rPr>
          <w:rFonts w:eastAsia="Calibri" w:cs="Calibri"/>
          <w:lang w:val="pt-PT"/>
        </w:rPr>
        <w:t xml:space="preserve"> de desenvolvimento pessoal e integração social. As pessoas, incluindo jovens em idade de trabalhar, devem ser livres para expressar suas preocupações e têm o direito à igualdade de oportunidades e de tratamento.</w:t>
      </w:r>
    </w:p>
    <w:p w14:paraId="5F615B74" w14:textId="65C4FE4B" w:rsidR="00B31AE2" w:rsidRPr="00292532" w:rsidRDefault="00B31AE2" w:rsidP="00AE14AE">
      <w:pPr>
        <w:numPr>
          <w:ilvl w:val="0"/>
          <w:numId w:val="134"/>
        </w:numPr>
        <w:spacing w:before="260" w:after="120" w:line="276" w:lineRule="auto"/>
        <w:ind w:left="567" w:hanging="283"/>
        <w:contextualSpacing/>
        <w:jc w:val="left"/>
        <w:rPr>
          <w:rFonts w:eastAsia="Calibri" w:cs="Calibri"/>
          <w:lang w:val="pt-PT"/>
        </w:rPr>
      </w:pPr>
      <w:r w:rsidRPr="00292532">
        <w:rPr>
          <w:rFonts w:eastAsia="Calibri" w:cs="Calibri"/>
          <w:b/>
          <w:lang w:val="pt-PT"/>
        </w:rPr>
        <w:t>Não discriminação:</w:t>
      </w:r>
      <w:r w:rsidRPr="00292532">
        <w:rPr>
          <w:rFonts w:eastAsia="Calibri" w:cs="Calibri"/>
          <w:lang w:val="pt-PT"/>
        </w:rPr>
        <w:t xml:space="preserve"> tratamento igual a todos indivíduos, sem distinção de raça, cor, sexo, língua, deficiência, religião, opiniões políticas ou quaisquer outras, nacionalidade, origem indígena ou classe social, ou ainda qualquer outra condição de riqueza, nascimento, etc. Em resumo, isso significa que todos indivíduos, em todas as situações, de todos os tempos, em </w:t>
      </w:r>
      <w:r w:rsidR="00292532" w:rsidRPr="00292532">
        <w:rPr>
          <w:rFonts w:eastAsia="Calibri" w:cs="Calibri"/>
          <w:lang w:val="pt-PT"/>
        </w:rPr>
        <w:t>toda a</w:t>
      </w:r>
      <w:r w:rsidRPr="00292532">
        <w:rPr>
          <w:rFonts w:eastAsia="Calibri" w:cs="Calibri"/>
          <w:lang w:val="pt-PT"/>
        </w:rPr>
        <w:t xml:space="preserve"> parte – têm o mesmo direito de desenvolver todo o seu potencial.</w:t>
      </w:r>
    </w:p>
    <w:p w14:paraId="34FE6521" w14:textId="77777777" w:rsidR="00B31AE2" w:rsidRPr="00292532" w:rsidRDefault="00B31AE2" w:rsidP="00AE14AE">
      <w:pPr>
        <w:numPr>
          <w:ilvl w:val="0"/>
          <w:numId w:val="134"/>
        </w:numPr>
        <w:spacing w:before="260" w:after="120" w:line="276" w:lineRule="auto"/>
        <w:ind w:left="567" w:hanging="283"/>
        <w:contextualSpacing/>
        <w:jc w:val="left"/>
        <w:rPr>
          <w:rFonts w:eastAsia="Calibri" w:cs="Calibri"/>
          <w:lang w:val="pt-PT"/>
        </w:rPr>
      </w:pPr>
      <w:r w:rsidRPr="00292532">
        <w:rPr>
          <w:rFonts w:eastAsia="Calibri" w:cs="Calibri"/>
          <w:b/>
          <w:lang w:val="pt-PT"/>
        </w:rPr>
        <w:t>Consentimento</w:t>
      </w:r>
      <w:r w:rsidRPr="00292532">
        <w:rPr>
          <w:rFonts w:eastAsia="Calibri" w:cs="Calibri"/>
          <w:lang w:val="pt-PT"/>
        </w:rPr>
        <w:t xml:space="preserve">: é uma escolha informada subjacente à intenção, aceitação ou acordo voluntário de um indivíduo para fazer algo. A falta de consentimento pode acontecer quando tal aceitação ou acordo é obtido por ameaças, força, ou outras formas de coerção, abdução, fraude, </w:t>
      </w:r>
      <w:proofErr w:type="spellStart"/>
      <w:r w:rsidRPr="00292532">
        <w:rPr>
          <w:rFonts w:eastAsia="Calibri" w:cs="Calibri"/>
          <w:lang w:val="pt-PT"/>
        </w:rPr>
        <w:t>decepção</w:t>
      </w:r>
      <w:proofErr w:type="spellEnd"/>
      <w:r w:rsidRPr="00292532">
        <w:rPr>
          <w:rFonts w:eastAsia="Calibri" w:cs="Calibri"/>
          <w:lang w:val="pt-PT"/>
        </w:rPr>
        <w:t xml:space="preserve"> ou falsas declarações. A crença equivocada sobre a idade da criança e o consentimento da criança não é uma defesa. </w:t>
      </w:r>
    </w:p>
    <w:p w14:paraId="1E7A83B9" w14:textId="77777777" w:rsidR="00B31AE2" w:rsidRPr="00292532" w:rsidRDefault="00B31AE2" w:rsidP="00AE14AE">
      <w:pPr>
        <w:numPr>
          <w:ilvl w:val="0"/>
          <w:numId w:val="134"/>
        </w:numPr>
        <w:spacing w:before="260" w:after="120" w:line="276" w:lineRule="auto"/>
        <w:ind w:left="567" w:hanging="283"/>
        <w:contextualSpacing/>
        <w:jc w:val="left"/>
        <w:rPr>
          <w:rFonts w:eastAsia="Calibri" w:cs="Calibri"/>
          <w:lang w:val="pt-PT"/>
        </w:rPr>
      </w:pPr>
      <w:r w:rsidRPr="00292532">
        <w:rPr>
          <w:rFonts w:eastAsia="Calibri" w:cs="Calibri"/>
          <w:b/>
          <w:lang w:val="pt-PT"/>
        </w:rPr>
        <w:t>Mecanismo de Gestão de Reclamações (MGR):</w:t>
      </w:r>
      <w:r w:rsidRPr="00292532">
        <w:rPr>
          <w:rFonts w:eastAsia="Calibri" w:cs="Calibri"/>
          <w:lang w:val="pt-PT"/>
        </w:rPr>
        <w:t xml:space="preserve"> é o processo estabelecido pelo </w:t>
      </w:r>
      <w:proofErr w:type="spellStart"/>
      <w:r w:rsidRPr="00292532">
        <w:rPr>
          <w:rFonts w:eastAsia="Calibri" w:cs="Calibri"/>
          <w:lang w:val="pt-PT"/>
        </w:rPr>
        <w:t>projecto</w:t>
      </w:r>
      <w:proofErr w:type="spellEnd"/>
      <w:r w:rsidRPr="00292532">
        <w:rPr>
          <w:rFonts w:eastAsia="Calibri" w:cs="Calibri"/>
          <w:lang w:val="pt-PT"/>
        </w:rPr>
        <w:t xml:space="preserve"> para receber e resolver reclamações. </w:t>
      </w:r>
    </w:p>
    <w:p w14:paraId="5D1C16CA" w14:textId="77777777" w:rsidR="00B31AE2" w:rsidRPr="00292532" w:rsidRDefault="00B31AE2" w:rsidP="00AE14AE">
      <w:pPr>
        <w:numPr>
          <w:ilvl w:val="0"/>
          <w:numId w:val="134"/>
        </w:numPr>
        <w:spacing w:before="260" w:after="120" w:line="276" w:lineRule="auto"/>
        <w:ind w:left="567" w:hanging="283"/>
        <w:contextualSpacing/>
        <w:jc w:val="left"/>
        <w:rPr>
          <w:rFonts w:eastAsia="Calibri" w:cs="Calibri"/>
          <w:lang w:val="pt-PT"/>
        </w:rPr>
      </w:pPr>
      <w:r w:rsidRPr="00292532">
        <w:rPr>
          <w:rFonts w:eastAsia="Calibri" w:cs="Calibri"/>
          <w:b/>
          <w:lang w:val="pt-PT"/>
        </w:rPr>
        <w:lastRenderedPageBreak/>
        <w:t>Instigação (</w:t>
      </w:r>
      <w:proofErr w:type="spellStart"/>
      <w:r w:rsidRPr="00292532">
        <w:rPr>
          <w:rFonts w:eastAsia="Calibri" w:cs="Calibri"/>
          <w:b/>
          <w:i/>
          <w:lang w:val="pt-PT"/>
        </w:rPr>
        <w:t>Grooming</w:t>
      </w:r>
      <w:proofErr w:type="spellEnd"/>
      <w:r w:rsidRPr="00292532">
        <w:rPr>
          <w:rFonts w:eastAsia="Calibri" w:cs="Calibri"/>
          <w:b/>
          <w:lang w:val="pt-PT"/>
        </w:rPr>
        <w:t>):</w:t>
      </w:r>
      <w:r w:rsidRPr="00292532">
        <w:rPr>
          <w:rFonts w:eastAsia="Calibri" w:cs="Calibri"/>
          <w:lang w:val="pt-PT"/>
        </w:rPr>
        <w:t xml:space="preserve"> são comportamentos que tornam mais fácil para um perpetrador procurar uma criança para </w:t>
      </w:r>
      <w:proofErr w:type="spellStart"/>
      <w:r w:rsidRPr="00292532">
        <w:rPr>
          <w:rFonts w:eastAsia="Calibri" w:cs="Calibri"/>
          <w:lang w:val="pt-PT"/>
        </w:rPr>
        <w:t>actividades</w:t>
      </w:r>
      <w:proofErr w:type="spellEnd"/>
      <w:r w:rsidRPr="00292532">
        <w:rPr>
          <w:rFonts w:eastAsia="Calibri" w:cs="Calibri"/>
          <w:lang w:val="pt-PT"/>
        </w:rPr>
        <w:t xml:space="preserve"> sexuais. Por exemplo, um ofensor pode construir uma relação de confiança com a criança e, em seguida, procurar sexualizar essa relação (por exemplo, encorajando sentimentos românticos ou expondo a criança a conceitos sexuais através da pornografia).  </w:t>
      </w:r>
    </w:p>
    <w:p w14:paraId="19A32145" w14:textId="77777777" w:rsidR="00B31AE2" w:rsidRPr="00292532" w:rsidRDefault="00B31AE2" w:rsidP="00AE14AE">
      <w:pPr>
        <w:numPr>
          <w:ilvl w:val="1"/>
          <w:numId w:val="134"/>
        </w:numPr>
        <w:spacing w:before="260" w:after="120" w:line="276" w:lineRule="auto"/>
        <w:contextualSpacing/>
        <w:jc w:val="left"/>
        <w:rPr>
          <w:rFonts w:eastAsia="Calibri" w:cs="Calibri"/>
          <w:lang w:val="pt-PT"/>
        </w:rPr>
      </w:pPr>
      <w:r w:rsidRPr="00292532">
        <w:rPr>
          <w:rFonts w:eastAsia="Calibri" w:cs="Calibri"/>
          <w:b/>
          <w:lang w:val="pt-PT"/>
        </w:rPr>
        <w:t xml:space="preserve">Instigação </w:t>
      </w:r>
      <w:r w:rsidRPr="00292532">
        <w:rPr>
          <w:rFonts w:eastAsia="Calibri" w:cs="Calibri"/>
          <w:b/>
          <w:i/>
          <w:lang w:val="pt-PT"/>
        </w:rPr>
        <w:t xml:space="preserve">online </w:t>
      </w:r>
      <w:r w:rsidRPr="00292532">
        <w:rPr>
          <w:rFonts w:eastAsia="Calibri" w:cs="Calibri"/>
          <w:b/>
          <w:lang w:val="pt-PT"/>
        </w:rPr>
        <w:t>(</w:t>
      </w:r>
      <w:r w:rsidRPr="00292532">
        <w:rPr>
          <w:rFonts w:eastAsia="Calibri" w:cs="Calibri"/>
          <w:b/>
          <w:i/>
          <w:lang w:val="pt-PT"/>
        </w:rPr>
        <w:t xml:space="preserve">Online </w:t>
      </w:r>
      <w:proofErr w:type="spellStart"/>
      <w:r w:rsidRPr="00292532">
        <w:rPr>
          <w:rFonts w:eastAsia="Calibri" w:cs="Calibri"/>
          <w:b/>
          <w:i/>
          <w:lang w:val="pt-PT"/>
        </w:rPr>
        <w:t>Grooming</w:t>
      </w:r>
      <w:proofErr w:type="spellEnd"/>
      <w:r w:rsidRPr="00292532">
        <w:rPr>
          <w:rFonts w:eastAsia="Calibri" w:cs="Calibri"/>
          <w:b/>
          <w:lang w:val="pt-PT"/>
        </w:rPr>
        <w:t>):</w:t>
      </w:r>
      <w:r w:rsidRPr="00292532">
        <w:rPr>
          <w:rFonts w:eastAsia="Calibri" w:cs="Calibri"/>
          <w:lang w:val="pt-PT"/>
        </w:rPr>
        <w:t xml:space="preserve"> é o </w:t>
      </w:r>
      <w:proofErr w:type="spellStart"/>
      <w:r w:rsidRPr="00292532">
        <w:rPr>
          <w:rFonts w:eastAsia="Calibri" w:cs="Calibri"/>
          <w:lang w:val="pt-PT"/>
        </w:rPr>
        <w:t>acto</w:t>
      </w:r>
      <w:proofErr w:type="spellEnd"/>
      <w:r w:rsidRPr="00292532">
        <w:rPr>
          <w:rFonts w:eastAsia="Calibri" w:cs="Calibri"/>
          <w:lang w:val="pt-PT"/>
        </w:rPr>
        <w:t xml:space="preserve"> de enviar uma mensagem </w:t>
      </w:r>
      <w:proofErr w:type="spellStart"/>
      <w:r w:rsidRPr="00292532">
        <w:rPr>
          <w:rFonts w:eastAsia="Calibri" w:cs="Calibri"/>
          <w:lang w:val="pt-PT"/>
        </w:rPr>
        <w:t>electrónica</w:t>
      </w:r>
      <w:proofErr w:type="spellEnd"/>
      <w:r w:rsidRPr="00292532">
        <w:rPr>
          <w:rFonts w:eastAsia="Calibri" w:cs="Calibri"/>
          <w:lang w:val="pt-PT"/>
        </w:rPr>
        <w:t xml:space="preserve"> com conteúdo indecente para um destinatário que o remetente acredita ser um menor, com a intenção de fazer com que o destinatário se envolva ou submeta à </w:t>
      </w:r>
      <w:proofErr w:type="spellStart"/>
      <w:r w:rsidRPr="00292532">
        <w:rPr>
          <w:rFonts w:eastAsia="Calibri" w:cs="Calibri"/>
          <w:lang w:val="pt-PT"/>
        </w:rPr>
        <w:t>actividade</w:t>
      </w:r>
      <w:proofErr w:type="spellEnd"/>
      <w:r w:rsidRPr="00292532">
        <w:rPr>
          <w:rFonts w:eastAsia="Calibri" w:cs="Calibri"/>
          <w:lang w:val="pt-PT"/>
        </w:rPr>
        <w:t xml:space="preserve"> sexual com outra pessoa inclusive, mas não necessariamente o remetente. </w:t>
      </w:r>
    </w:p>
    <w:p w14:paraId="22401E66" w14:textId="77777777" w:rsidR="00B31AE2" w:rsidRPr="00292532" w:rsidRDefault="00B31AE2" w:rsidP="00AE14AE">
      <w:pPr>
        <w:numPr>
          <w:ilvl w:val="0"/>
          <w:numId w:val="134"/>
        </w:numPr>
        <w:spacing w:before="260" w:after="120" w:line="276" w:lineRule="auto"/>
        <w:ind w:left="567" w:hanging="283"/>
        <w:contextualSpacing/>
        <w:jc w:val="left"/>
        <w:rPr>
          <w:rFonts w:eastAsia="Calibri" w:cs="Calibri"/>
          <w:lang w:val="pt-PT"/>
        </w:rPr>
      </w:pPr>
      <w:r w:rsidRPr="00292532">
        <w:rPr>
          <w:rFonts w:eastAsia="Calibri" w:cs="Calibri"/>
          <w:b/>
          <w:lang w:val="pt-PT"/>
        </w:rPr>
        <w:t>Perpetrador:</w:t>
      </w:r>
      <w:r w:rsidRPr="00292532">
        <w:rPr>
          <w:rFonts w:eastAsia="Calibri" w:cs="Calibri"/>
          <w:lang w:val="pt-PT"/>
        </w:rPr>
        <w:t xml:space="preserve"> é a pessoa que comete ou ameaça cometer um </w:t>
      </w:r>
      <w:proofErr w:type="spellStart"/>
      <w:r w:rsidRPr="00292532">
        <w:rPr>
          <w:rFonts w:eastAsia="Calibri" w:cs="Calibri"/>
          <w:lang w:val="pt-PT"/>
        </w:rPr>
        <w:t>acto</w:t>
      </w:r>
      <w:proofErr w:type="spellEnd"/>
      <w:r w:rsidRPr="00292532">
        <w:rPr>
          <w:rFonts w:eastAsia="Calibri" w:cs="Calibri"/>
          <w:lang w:val="pt-PT"/>
        </w:rPr>
        <w:t xml:space="preserve"> de VBG ou VCC.  </w:t>
      </w:r>
    </w:p>
    <w:p w14:paraId="10DAE9BA" w14:textId="77777777" w:rsidR="00B31AE2" w:rsidRPr="00292532" w:rsidRDefault="00B31AE2" w:rsidP="00AE14AE">
      <w:pPr>
        <w:numPr>
          <w:ilvl w:val="0"/>
          <w:numId w:val="134"/>
        </w:numPr>
        <w:spacing w:before="260" w:after="120" w:line="276" w:lineRule="auto"/>
        <w:ind w:left="567" w:hanging="283"/>
        <w:contextualSpacing/>
        <w:jc w:val="left"/>
        <w:rPr>
          <w:rFonts w:eastAsia="Calibri" w:cs="Calibri"/>
          <w:lang w:val="pt-PT"/>
        </w:rPr>
      </w:pPr>
      <w:r w:rsidRPr="00292532">
        <w:rPr>
          <w:rFonts w:eastAsia="Calibri" w:cs="Calibri"/>
          <w:b/>
          <w:lang w:val="pt-PT"/>
        </w:rPr>
        <w:t>Sobrevivente/ sobreviventes:</w:t>
      </w:r>
      <w:r w:rsidRPr="00292532">
        <w:rPr>
          <w:rFonts w:eastAsia="Calibri" w:cs="Calibri"/>
          <w:lang w:val="pt-PT"/>
        </w:rPr>
        <w:t xml:space="preserve"> é a pessoa / pessoas negativamente </w:t>
      </w:r>
      <w:proofErr w:type="spellStart"/>
      <w:r w:rsidRPr="00292532">
        <w:rPr>
          <w:rFonts w:eastAsia="Calibri" w:cs="Calibri"/>
          <w:lang w:val="pt-PT"/>
        </w:rPr>
        <w:t>afectadas</w:t>
      </w:r>
      <w:proofErr w:type="spellEnd"/>
      <w:r w:rsidRPr="00292532">
        <w:rPr>
          <w:rFonts w:eastAsia="Calibri" w:cs="Calibri"/>
          <w:lang w:val="pt-PT"/>
        </w:rPr>
        <w:t xml:space="preserve"> pela VBG ou VCC. Mulheres, homens e crianças podem ser sobreviventes da VBG; crianças podem ser sobreviventes da VCC. </w:t>
      </w:r>
    </w:p>
    <w:p w14:paraId="394540AA" w14:textId="77777777" w:rsidR="00B31AE2" w:rsidRPr="00292532" w:rsidRDefault="00B31AE2" w:rsidP="00AE14AE">
      <w:pPr>
        <w:numPr>
          <w:ilvl w:val="0"/>
          <w:numId w:val="134"/>
        </w:numPr>
        <w:spacing w:before="260" w:after="120" w:line="276" w:lineRule="auto"/>
        <w:ind w:left="567" w:hanging="283"/>
        <w:contextualSpacing/>
        <w:jc w:val="left"/>
        <w:rPr>
          <w:rFonts w:eastAsia="Calibri" w:cs="Calibri"/>
          <w:lang w:val="pt-PT"/>
        </w:rPr>
      </w:pPr>
      <w:r w:rsidRPr="00292532">
        <w:rPr>
          <w:rFonts w:eastAsia="Calibri" w:cs="Calibri"/>
          <w:b/>
          <w:lang w:val="pt-PT"/>
        </w:rPr>
        <w:t>Local de Trabalho:</w:t>
      </w:r>
      <w:r w:rsidRPr="00292532">
        <w:rPr>
          <w:rFonts w:eastAsia="Calibri" w:cs="Calibri"/>
          <w:lang w:val="pt-PT"/>
        </w:rPr>
        <w:t xml:space="preserve"> é a área em que o desenvolvimento da infraestrutura está a ser realizada, como parte do </w:t>
      </w:r>
      <w:proofErr w:type="spellStart"/>
      <w:r w:rsidRPr="00292532">
        <w:rPr>
          <w:rFonts w:eastAsia="Calibri" w:cs="Calibri"/>
          <w:lang w:val="pt-PT"/>
        </w:rPr>
        <w:t>projecto</w:t>
      </w:r>
      <w:proofErr w:type="spellEnd"/>
      <w:r w:rsidRPr="00292532">
        <w:rPr>
          <w:rFonts w:eastAsia="Calibri" w:cs="Calibri"/>
          <w:lang w:val="pt-PT"/>
        </w:rPr>
        <w:t xml:space="preserve">.  </w:t>
      </w:r>
    </w:p>
    <w:p w14:paraId="30CE8729" w14:textId="77777777" w:rsidR="00B31AE2" w:rsidRPr="00292532" w:rsidRDefault="00B31AE2" w:rsidP="00B31AE2">
      <w:pPr>
        <w:spacing w:before="0" w:after="200" w:line="276" w:lineRule="auto"/>
        <w:jc w:val="center"/>
        <w:rPr>
          <w:rFonts w:eastAsia="Calibri" w:cs="Calibri"/>
          <w:b/>
          <w:lang w:val="pt-PT"/>
        </w:rPr>
      </w:pPr>
      <w:bookmarkStart w:id="1254" w:name="_Hlk68980425"/>
      <w:r w:rsidRPr="00292532">
        <w:rPr>
          <w:rFonts w:eastAsia="Calibri" w:cs="Calibri"/>
          <w:b/>
          <w:lang w:val="pt-PT"/>
        </w:rPr>
        <w:t>Código de Conduta da Empresa</w:t>
      </w:r>
    </w:p>
    <w:p w14:paraId="7E23FBB8" w14:textId="77777777" w:rsidR="00B31AE2" w:rsidRPr="00292532" w:rsidRDefault="00B31AE2" w:rsidP="00B31AE2">
      <w:pPr>
        <w:spacing w:before="0" w:after="0" w:line="276" w:lineRule="auto"/>
        <w:rPr>
          <w:rFonts w:eastAsia="Calibri" w:cs="Calibri"/>
          <w:lang w:val="pt-PT"/>
        </w:rPr>
      </w:pPr>
      <w:r w:rsidRPr="00292532">
        <w:rPr>
          <w:rFonts w:eastAsia="Calibri" w:cs="Calibri"/>
          <w:lang w:val="pt-PT"/>
        </w:rPr>
        <w:t xml:space="preserve">A Empresa está empenhada em criar e manter um ambiente seguro para os trabalhadores e a comunidade local, </w:t>
      </w:r>
      <w:bookmarkStart w:id="1255" w:name="_Hlk68981710"/>
      <w:r w:rsidRPr="00292532">
        <w:rPr>
          <w:rFonts w:eastAsia="Calibri" w:cs="Calibri"/>
          <w:lang w:val="pt-PT"/>
        </w:rPr>
        <w:t xml:space="preserve">garantindo que os riscos e impactos ambientais e sociais sejam mínimos através do uso mais eficiente e eficaz dos recursos, a prevenção da poluição e as práticas de anulação do efeito estufa e que a violência baseada no género (VBG) e a violência contra crianças (VCC) </w:t>
      </w:r>
      <w:bookmarkEnd w:id="1255"/>
      <w:r w:rsidRPr="00292532">
        <w:rPr>
          <w:rFonts w:eastAsia="Calibri" w:cs="Calibri"/>
          <w:lang w:val="pt-PT"/>
        </w:rPr>
        <w:t xml:space="preserve">(incluindo Violência Sexual Baseada no Género (VSBG), Exploração e Abuso Sexual (EAS), Assédio Sexual (AS), Uniões Prematuras, trabalho infantil, etc.), não tenham lugar e não sejam toleradas por nenhum trabalhador, associado ou representante da empresa. Portanto, para garantir que todos os envolvidos no </w:t>
      </w:r>
      <w:proofErr w:type="spellStart"/>
      <w:r w:rsidRPr="00292532">
        <w:rPr>
          <w:rFonts w:eastAsia="Calibri" w:cs="Calibri"/>
          <w:lang w:val="pt-PT"/>
        </w:rPr>
        <w:t>projecto</w:t>
      </w:r>
      <w:proofErr w:type="spellEnd"/>
      <w:r w:rsidRPr="00292532">
        <w:rPr>
          <w:rFonts w:eastAsia="Calibri" w:cs="Calibri"/>
          <w:lang w:val="pt-PT"/>
        </w:rPr>
        <w:t xml:space="preserve"> estejam conscientes desse compromisso, a empresa compromete-se com os seguintes princípios fundamentais e padrões mínimos de comportamento que se aplicará a todos os funcionários da empresa, associados e representantes, incluindo subcontratados, sem </w:t>
      </w:r>
      <w:proofErr w:type="spellStart"/>
      <w:r w:rsidRPr="00292532">
        <w:rPr>
          <w:rFonts w:eastAsia="Calibri" w:cs="Calibri"/>
          <w:lang w:val="pt-PT"/>
        </w:rPr>
        <w:t>excepção</w:t>
      </w:r>
      <w:proofErr w:type="spellEnd"/>
      <w:r w:rsidRPr="00292532">
        <w:rPr>
          <w:rFonts w:eastAsia="Calibri" w:cs="Calibri"/>
          <w:lang w:val="pt-PT"/>
        </w:rPr>
        <w:t xml:space="preserve">.  </w:t>
      </w:r>
    </w:p>
    <w:p w14:paraId="457CBB27" w14:textId="77777777" w:rsidR="00B31AE2" w:rsidRPr="00292532" w:rsidRDefault="00B31AE2" w:rsidP="00AE14AE">
      <w:pPr>
        <w:numPr>
          <w:ilvl w:val="0"/>
          <w:numId w:val="130"/>
        </w:numPr>
        <w:spacing w:before="260" w:after="120" w:line="276" w:lineRule="auto"/>
        <w:contextualSpacing/>
        <w:jc w:val="left"/>
        <w:rPr>
          <w:rFonts w:eastAsia="Calibri" w:cs="Calibri"/>
          <w:lang w:val="pt-PT"/>
        </w:rPr>
      </w:pPr>
      <w:r w:rsidRPr="00292532">
        <w:rPr>
          <w:rFonts w:eastAsia="Calibri" w:cs="Calibri"/>
          <w:lang w:val="pt-PT"/>
        </w:rPr>
        <w:t xml:space="preserve">A Empresa e, portanto, todos os funcionários, associados e representantes – comprometem-se a respeitar os direitos básicos de todos os seres humanos, independentemente do sexo, idade, origem étnica, nação, religião, idioma, orientação sexual, opinião política, se têm alguma deficiência, se têm HIV-SIDA ou qualquer outro </w:t>
      </w:r>
      <w:proofErr w:type="spellStart"/>
      <w:r w:rsidRPr="00292532">
        <w:rPr>
          <w:rFonts w:eastAsia="Calibri" w:cs="Calibri"/>
          <w:lang w:val="pt-PT"/>
        </w:rPr>
        <w:t>aspecto</w:t>
      </w:r>
      <w:proofErr w:type="spellEnd"/>
      <w:r w:rsidRPr="00292532">
        <w:rPr>
          <w:rFonts w:eastAsia="Calibri" w:cs="Calibri"/>
          <w:lang w:val="pt-PT"/>
        </w:rPr>
        <w:t xml:space="preserve"> de sua identidade, incluindo,</w:t>
      </w:r>
    </w:p>
    <w:p w14:paraId="5D24A401" w14:textId="77777777" w:rsidR="00B31AE2" w:rsidRPr="00292532" w:rsidRDefault="00B31AE2" w:rsidP="00AE14AE">
      <w:pPr>
        <w:numPr>
          <w:ilvl w:val="1"/>
          <w:numId w:val="130"/>
        </w:numPr>
        <w:spacing w:before="260" w:after="120" w:line="276" w:lineRule="auto"/>
        <w:contextualSpacing/>
        <w:jc w:val="left"/>
        <w:rPr>
          <w:rFonts w:eastAsia="Calibri" w:cs="Calibri"/>
          <w:lang w:val="pt-PT"/>
        </w:rPr>
      </w:pPr>
      <w:r w:rsidRPr="00292532">
        <w:rPr>
          <w:rFonts w:eastAsia="Calibri" w:cs="Calibri"/>
          <w:lang w:val="pt-PT"/>
        </w:rPr>
        <w:t xml:space="preserve">Agir com justiça, honestidade para tratar as pessoas com dignidade e respeito. Os </w:t>
      </w:r>
      <w:proofErr w:type="spellStart"/>
      <w:r w:rsidRPr="00292532">
        <w:rPr>
          <w:rFonts w:eastAsia="Calibri" w:cs="Calibri"/>
          <w:lang w:val="pt-PT"/>
        </w:rPr>
        <w:t>actos</w:t>
      </w:r>
      <w:proofErr w:type="spellEnd"/>
      <w:r w:rsidRPr="00292532">
        <w:rPr>
          <w:rFonts w:eastAsia="Calibri" w:cs="Calibri"/>
          <w:lang w:val="pt-PT"/>
        </w:rPr>
        <w:t xml:space="preserve"> de VBG e de VCC violam esse compromisso e justificam penalizações que podem incluir sanções, cessação de funções e/ou processos legais.</w:t>
      </w:r>
    </w:p>
    <w:p w14:paraId="61B49639" w14:textId="77777777" w:rsidR="00B31AE2" w:rsidRPr="00292532" w:rsidRDefault="00B31AE2" w:rsidP="00AE14AE">
      <w:pPr>
        <w:numPr>
          <w:ilvl w:val="1"/>
          <w:numId w:val="130"/>
        </w:numPr>
        <w:spacing w:before="260" w:after="120" w:line="276" w:lineRule="auto"/>
        <w:contextualSpacing/>
        <w:jc w:val="left"/>
        <w:rPr>
          <w:rFonts w:eastAsia="Calibri" w:cs="Calibri"/>
          <w:lang w:val="pt-PT"/>
        </w:rPr>
      </w:pPr>
      <w:r w:rsidRPr="00292532">
        <w:rPr>
          <w:rFonts w:eastAsia="Calibri" w:cs="Calibri"/>
          <w:lang w:val="pt-PT"/>
        </w:rPr>
        <w:t xml:space="preserve">Respeitar e fazer respeitar os direitos das crianças que participam das suas </w:t>
      </w:r>
      <w:proofErr w:type="spellStart"/>
      <w:r w:rsidRPr="00292532">
        <w:rPr>
          <w:rFonts w:eastAsia="Calibri" w:cs="Calibri"/>
          <w:lang w:val="pt-PT"/>
        </w:rPr>
        <w:t>actividades</w:t>
      </w:r>
      <w:proofErr w:type="spellEnd"/>
      <w:r w:rsidRPr="00292532">
        <w:rPr>
          <w:rFonts w:eastAsia="Calibri" w:cs="Calibri"/>
          <w:lang w:val="pt-PT"/>
        </w:rPr>
        <w:t xml:space="preserve">, promovendo ambientes seguros e evitando qualquer forma de abandono, abuso, tráfico ou exploração sexual, laboral ou qualquer outro tipo de exploração e VCC, incluindo não empregar ou usar crianças abaixo da idade laboral em qualquer tipo de </w:t>
      </w:r>
      <w:proofErr w:type="spellStart"/>
      <w:r w:rsidRPr="00292532">
        <w:rPr>
          <w:rFonts w:eastAsia="Calibri" w:cs="Calibri"/>
          <w:lang w:val="pt-PT"/>
        </w:rPr>
        <w:t>actividade</w:t>
      </w:r>
      <w:proofErr w:type="spellEnd"/>
      <w:r w:rsidRPr="00292532">
        <w:rPr>
          <w:rFonts w:eastAsia="Calibri" w:cs="Calibri"/>
          <w:lang w:val="pt-PT"/>
        </w:rPr>
        <w:t xml:space="preserve">. </w:t>
      </w:r>
    </w:p>
    <w:p w14:paraId="67F3FD12" w14:textId="77777777" w:rsidR="00B31AE2" w:rsidRPr="00292532" w:rsidRDefault="00B31AE2" w:rsidP="00AE14AE">
      <w:pPr>
        <w:numPr>
          <w:ilvl w:val="1"/>
          <w:numId w:val="130"/>
        </w:numPr>
        <w:spacing w:before="260" w:after="120" w:line="276" w:lineRule="auto"/>
        <w:contextualSpacing/>
        <w:jc w:val="left"/>
        <w:rPr>
          <w:rFonts w:eastAsia="Calibri" w:cs="Calibri"/>
          <w:lang w:val="pt-PT"/>
        </w:rPr>
      </w:pPr>
      <w:r w:rsidRPr="00292532">
        <w:rPr>
          <w:rFonts w:eastAsia="Calibri" w:cs="Calibri"/>
          <w:lang w:val="pt-PT"/>
        </w:rPr>
        <w:t xml:space="preserve">Estabelecer um vigoroso sistema para a verificação da idade como parte dos processos de recrutamento e assegurar que esse sistema também seja utilizado em toda a sua cadeia de valor. </w:t>
      </w:r>
    </w:p>
    <w:p w14:paraId="164078C1" w14:textId="77777777" w:rsidR="00B31AE2" w:rsidRPr="00292532" w:rsidRDefault="00B31AE2" w:rsidP="00AE14AE">
      <w:pPr>
        <w:numPr>
          <w:ilvl w:val="1"/>
          <w:numId w:val="130"/>
        </w:numPr>
        <w:spacing w:before="260" w:after="120" w:line="276" w:lineRule="auto"/>
        <w:contextualSpacing/>
        <w:jc w:val="left"/>
        <w:rPr>
          <w:rFonts w:eastAsia="Calibri" w:cs="Calibri"/>
          <w:lang w:val="pt-PT"/>
        </w:rPr>
      </w:pPr>
      <w:r w:rsidRPr="00292532">
        <w:rPr>
          <w:rFonts w:eastAsia="Calibri" w:cs="Calibri"/>
          <w:lang w:val="pt-PT"/>
        </w:rPr>
        <w:t xml:space="preserve">Garantir um ambiente seguro para </w:t>
      </w:r>
      <w:proofErr w:type="spellStart"/>
      <w:r w:rsidRPr="00292532">
        <w:rPr>
          <w:rFonts w:eastAsia="Calibri" w:cs="Calibri"/>
          <w:lang w:val="pt-PT"/>
        </w:rPr>
        <w:t>actividades</w:t>
      </w:r>
      <w:proofErr w:type="spellEnd"/>
      <w:r w:rsidRPr="00292532">
        <w:rPr>
          <w:rFonts w:eastAsia="Calibri" w:cs="Calibri"/>
          <w:lang w:val="pt-PT"/>
        </w:rPr>
        <w:t xml:space="preserve"> desempenhadas por crianças em idade laboral, cumprindo com a legislação do trabalho em vigor no país.</w:t>
      </w:r>
    </w:p>
    <w:p w14:paraId="42653617" w14:textId="77777777" w:rsidR="00B31AE2" w:rsidRPr="00292532" w:rsidRDefault="00B31AE2" w:rsidP="00AE14AE">
      <w:pPr>
        <w:numPr>
          <w:ilvl w:val="1"/>
          <w:numId w:val="130"/>
        </w:numPr>
        <w:spacing w:before="260" w:after="120" w:line="276" w:lineRule="auto"/>
        <w:contextualSpacing/>
        <w:jc w:val="left"/>
        <w:rPr>
          <w:rFonts w:eastAsia="Calibri" w:cs="Calibri"/>
          <w:lang w:val="pt-PT"/>
        </w:rPr>
      </w:pPr>
      <w:r w:rsidRPr="00292532">
        <w:rPr>
          <w:rFonts w:eastAsia="Calibri" w:cs="Calibri"/>
          <w:lang w:val="pt-PT"/>
        </w:rPr>
        <w:lastRenderedPageBreak/>
        <w:t xml:space="preserve">Proibir o contacto ou </w:t>
      </w:r>
      <w:proofErr w:type="spellStart"/>
      <w:r w:rsidRPr="00292532">
        <w:rPr>
          <w:rFonts w:eastAsia="Calibri" w:cs="Calibri"/>
          <w:lang w:val="pt-PT"/>
        </w:rPr>
        <w:t>actividade</w:t>
      </w:r>
      <w:proofErr w:type="spellEnd"/>
      <w:r w:rsidRPr="00292532">
        <w:rPr>
          <w:rFonts w:eastAsia="Calibri" w:cs="Calibri"/>
          <w:lang w:val="pt-PT"/>
        </w:rPr>
        <w:t xml:space="preserve"> sexual com menores de 18 anos – inclusive através da média digital. A crença equivocada sobre a idade de uma criança não é uma defesa. O consentimento da criança também não é uma defesa ou desculpa. </w:t>
      </w:r>
    </w:p>
    <w:p w14:paraId="3FD8F01D" w14:textId="77777777" w:rsidR="00B31AE2" w:rsidRPr="00292532" w:rsidRDefault="00B31AE2" w:rsidP="00AE14AE">
      <w:pPr>
        <w:numPr>
          <w:ilvl w:val="1"/>
          <w:numId w:val="130"/>
        </w:numPr>
        <w:spacing w:before="260" w:after="120" w:line="276" w:lineRule="auto"/>
        <w:contextualSpacing/>
        <w:jc w:val="left"/>
        <w:rPr>
          <w:rFonts w:eastAsia="Calibri" w:cs="Calibri"/>
          <w:lang w:val="pt-PT"/>
        </w:rPr>
      </w:pPr>
      <w:r w:rsidRPr="00292532">
        <w:rPr>
          <w:rFonts w:eastAsia="Calibri" w:cs="Calibri"/>
          <w:lang w:val="pt-PT"/>
        </w:rPr>
        <w:t>Assegurar que os direitos das crianças, de suas famílias e das comunidades sejam incluídos no processo de reparação de danos ambientais e de saúde causados pela operação da empresa.</w:t>
      </w:r>
    </w:p>
    <w:p w14:paraId="008067A0" w14:textId="77777777" w:rsidR="00B31AE2" w:rsidRPr="00292532" w:rsidRDefault="00B31AE2" w:rsidP="00AE14AE">
      <w:pPr>
        <w:numPr>
          <w:ilvl w:val="1"/>
          <w:numId w:val="130"/>
        </w:numPr>
        <w:spacing w:before="260" w:after="120" w:line="276" w:lineRule="auto"/>
        <w:contextualSpacing/>
        <w:jc w:val="left"/>
        <w:rPr>
          <w:rFonts w:eastAsia="Calibri" w:cs="Calibri"/>
          <w:lang w:val="pt-PT"/>
        </w:rPr>
      </w:pPr>
      <w:r w:rsidRPr="00292532">
        <w:rPr>
          <w:rFonts w:eastAsia="Calibri" w:cs="Calibri"/>
          <w:lang w:val="pt-PT"/>
        </w:rPr>
        <w:t xml:space="preserve">Assegurar que as comunicações e o </w:t>
      </w:r>
      <w:r w:rsidRPr="00292532">
        <w:rPr>
          <w:rFonts w:eastAsia="Calibri" w:cs="Calibri"/>
          <w:i/>
          <w:lang w:val="pt-PT"/>
        </w:rPr>
        <w:t>marketing</w:t>
      </w:r>
      <w:r w:rsidRPr="00292532">
        <w:rPr>
          <w:rFonts w:eastAsia="Calibri" w:cs="Calibri"/>
          <w:lang w:val="pt-PT"/>
        </w:rPr>
        <w:t xml:space="preserve"> não tenham um impacto negativo sobre os direitos das crianças e não atentam a integridade de qualquer pessoa ou comunidade. As campanhas de </w:t>
      </w:r>
      <w:r w:rsidRPr="00292532">
        <w:rPr>
          <w:rFonts w:eastAsia="Calibri" w:cs="Calibri"/>
          <w:i/>
          <w:lang w:val="pt-PT"/>
        </w:rPr>
        <w:t>marketing</w:t>
      </w:r>
      <w:r w:rsidRPr="00292532">
        <w:rPr>
          <w:rFonts w:eastAsia="Calibri" w:cs="Calibri"/>
          <w:lang w:val="pt-PT"/>
        </w:rPr>
        <w:t xml:space="preserve"> não devem incitar a discriminação.</w:t>
      </w:r>
    </w:p>
    <w:p w14:paraId="5914057E" w14:textId="77777777" w:rsidR="00B31AE2" w:rsidRPr="00292532" w:rsidRDefault="00B31AE2" w:rsidP="00AE14AE">
      <w:pPr>
        <w:numPr>
          <w:ilvl w:val="0"/>
          <w:numId w:val="130"/>
        </w:numPr>
        <w:spacing w:before="260" w:after="120" w:line="276" w:lineRule="auto"/>
        <w:contextualSpacing/>
        <w:jc w:val="left"/>
        <w:rPr>
          <w:rFonts w:eastAsia="Calibri" w:cs="Calibri"/>
          <w:lang w:val="pt-PT"/>
        </w:rPr>
      </w:pPr>
      <w:r w:rsidRPr="00292532">
        <w:rPr>
          <w:rFonts w:eastAsia="Calibri" w:cs="Calibri"/>
          <w:lang w:val="pt-PT"/>
        </w:rPr>
        <w:t>A linguagem, ameaças, discriminação, assédio, intimidação, tráfico e comportamentos sexuais indesejáveis, ameaçadores, abusivos ou que se traduzem em favores sexuais ou outras formas de comportamento humilhante, degradador ou explorador, culturalmente inapropriados ou sexualmente provocados são proibidos entre todos os funcionários da empresa, associados e seus representantes, incluindo,</w:t>
      </w:r>
    </w:p>
    <w:p w14:paraId="70239E98" w14:textId="77777777" w:rsidR="00B31AE2" w:rsidRPr="00292532" w:rsidRDefault="00B31AE2" w:rsidP="00AE14AE">
      <w:pPr>
        <w:numPr>
          <w:ilvl w:val="1"/>
          <w:numId w:val="130"/>
        </w:numPr>
        <w:spacing w:before="260" w:after="120" w:line="276" w:lineRule="auto"/>
        <w:contextualSpacing/>
        <w:jc w:val="left"/>
        <w:rPr>
          <w:rFonts w:eastAsia="Calibri" w:cs="Calibri"/>
          <w:lang w:val="pt-PT"/>
        </w:rPr>
      </w:pPr>
      <w:r w:rsidRPr="00292532">
        <w:rPr>
          <w:rFonts w:eastAsia="Calibri" w:cs="Calibri"/>
          <w:lang w:val="pt-PT"/>
        </w:rPr>
        <w:t>Qualquer abuso real ou tentativa de abuso de posição de vulnerabilidade, poder diferencial ou confiança, para fins sexuais, incluindo, mas não se limitando a, lucrar monetariamente, social ou politicamente com a exploração sexual.</w:t>
      </w:r>
    </w:p>
    <w:p w14:paraId="21882123" w14:textId="77777777" w:rsidR="00B31AE2" w:rsidRPr="00292532" w:rsidRDefault="00B31AE2" w:rsidP="00AE14AE">
      <w:pPr>
        <w:numPr>
          <w:ilvl w:val="1"/>
          <w:numId w:val="130"/>
        </w:numPr>
        <w:spacing w:before="260" w:after="120" w:line="276" w:lineRule="auto"/>
        <w:contextualSpacing/>
        <w:jc w:val="left"/>
        <w:rPr>
          <w:rFonts w:eastAsia="Calibri" w:cs="Calibri"/>
          <w:lang w:val="pt-PT"/>
        </w:rPr>
      </w:pPr>
      <w:proofErr w:type="gramStart"/>
      <w:r w:rsidRPr="00292532">
        <w:rPr>
          <w:rFonts w:eastAsia="Calibri" w:cs="Calibri"/>
          <w:lang w:val="pt-PT"/>
        </w:rPr>
        <w:t>Registrar</w:t>
      </w:r>
      <w:proofErr w:type="gramEnd"/>
      <w:r w:rsidRPr="00292532">
        <w:rPr>
          <w:rFonts w:eastAsia="Calibri" w:cs="Calibri"/>
          <w:lang w:val="pt-PT"/>
        </w:rPr>
        <w:t xml:space="preserve">, aceder ou partilhar conteúdos que atentam a integridade do outrem. </w:t>
      </w:r>
    </w:p>
    <w:p w14:paraId="7E6BEF30" w14:textId="77777777" w:rsidR="00B31AE2" w:rsidRPr="00292532" w:rsidRDefault="00B31AE2" w:rsidP="00AE14AE">
      <w:pPr>
        <w:numPr>
          <w:ilvl w:val="1"/>
          <w:numId w:val="130"/>
        </w:numPr>
        <w:spacing w:before="260" w:after="120" w:line="276" w:lineRule="auto"/>
        <w:contextualSpacing/>
        <w:jc w:val="left"/>
        <w:rPr>
          <w:rFonts w:eastAsia="Calibri" w:cs="Calibri"/>
          <w:lang w:val="pt-PT"/>
        </w:rPr>
      </w:pPr>
      <w:r w:rsidRPr="00292532">
        <w:rPr>
          <w:rFonts w:eastAsia="Calibri" w:cs="Calibri"/>
          <w:lang w:val="pt-PT"/>
        </w:rPr>
        <w:t>Envolvimento sexual com membros das comunidades vizinhas sem consentimento</w:t>
      </w:r>
      <w:r w:rsidRPr="00292532">
        <w:rPr>
          <w:rFonts w:eastAsia="Calibri" w:cs="Calibri"/>
          <w:vertAlign w:val="superscript"/>
          <w:lang w:val="pt-PT"/>
        </w:rPr>
        <w:footnoteReference w:id="25"/>
      </w:r>
      <w:r w:rsidRPr="00292532">
        <w:rPr>
          <w:rFonts w:eastAsia="Calibri" w:cs="Calibri"/>
          <w:lang w:val="pt-PT"/>
        </w:rPr>
        <w:t xml:space="preserve">. Isso inclui relacionamentos que envolvem a retenção na fonte ou a promessa de prestação </w:t>
      </w:r>
      <w:proofErr w:type="spellStart"/>
      <w:r w:rsidRPr="00292532">
        <w:rPr>
          <w:rFonts w:eastAsia="Calibri" w:cs="Calibri"/>
          <w:lang w:val="pt-PT"/>
        </w:rPr>
        <w:t>efectiva</w:t>
      </w:r>
      <w:proofErr w:type="spellEnd"/>
      <w:r w:rsidRPr="00292532">
        <w:rPr>
          <w:rFonts w:eastAsia="Calibri" w:cs="Calibri"/>
          <w:lang w:val="pt-PT"/>
        </w:rPr>
        <w:t xml:space="preserve"> de benefício (monetário ou não monetário) aos membros da comunidade em troca de sexo. </w:t>
      </w:r>
    </w:p>
    <w:p w14:paraId="0DC3FC7A" w14:textId="77777777" w:rsidR="00B31AE2" w:rsidRPr="00292532" w:rsidRDefault="00B31AE2" w:rsidP="00AE14AE">
      <w:pPr>
        <w:numPr>
          <w:ilvl w:val="0"/>
          <w:numId w:val="130"/>
        </w:numPr>
        <w:spacing w:before="260" w:after="120" w:line="276" w:lineRule="auto"/>
        <w:contextualSpacing/>
        <w:jc w:val="left"/>
        <w:rPr>
          <w:rFonts w:eastAsia="Calibri" w:cs="Calibri"/>
          <w:lang w:val="pt-PT"/>
        </w:rPr>
      </w:pPr>
      <w:r w:rsidRPr="00292532">
        <w:rPr>
          <w:rFonts w:eastAsia="Calibri" w:cs="Calibri"/>
          <w:lang w:val="pt-PT"/>
        </w:rPr>
        <w:t xml:space="preserve">Ao implementar </w:t>
      </w:r>
      <w:proofErr w:type="spellStart"/>
      <w:r w:rsidRPr="00292532">
        <w:rPr>
          <w:rFonts w:eastAsia="Calibri" w:cs="Calibri"/>
          <w:lang w:val="pt-PT"/>
        </w:rPr>
        <w:t>actividades</w:t>
      </w:r>
      <w:proofErr w:type="spellEnd"/>
      <w:r w:rsidRPr="00292532">
        <w:rPr>
          <w:rFonts w:eastAsia="Calibri" w:cs="Calibri"/>
          <w:lang w:val="pt-PT"/>
        </w:rPr>
        <w:t xml:space="preserve"> do </w:t>
      </w:r>
      <w:proofErr w:type="spellStart"/>
      <w:r w:rsidRPr="00292532">
        <w:rPr>
          <w:rFonts w:eastAsia="Calibri" w:cs="Calibri"/>
          <w:lang w:val="pt-PT"/>
        </w:rPr>
        <w:t>projecto</w:t>
      </w:r>
      <w:proofErr w:type="spellEnd"/>
      <w:r w:rsidRPr="00292532">
        <w:rPr>
          <w:rFonts w:eastAsia="Calibri" w:cs="Calibri"/>
          <w:lang w:val="pt-PT"/>
        </w:rPr>
        <w:t xml:space="preserve">, garantir que as operações não </w:t>
      </w:r>
      <w:proofErr w:type="spellStart"/>
      <w:r w:rsidRPr="00292532">
        <w:rPr>
          <w:rFonts w:eastAsia="Calibri" w:cs="Calibri"/>
          <w:lang w:val="pt-PT"/>
        </w:rPr>
        <w:t>afectem</w:t>
      </w:r>
      <w:proofErr w:type="spellEnd"/>
      <w:r w:rsidRPr="00292532">
        <w:rPr>
          <w:rFonts w:eastAsia="Calibri" w:cs="Calibri"/>
          <w:lang w:val="pt-PT"/>
        </w:rPr>
        <w:t xml:space="preserve"> significativamente o meio ambiente, e não desenvolvam nem apoiem:</w:t>
      </w:r>
    </w:p>
    <w:p w14:paraId="32B9877F" w14:textId="6DA8FB00" w:rsidR="00B31AE2" w:rsidRPr="00292532" w:rsidRDefault="00B31AE2" w:rsidP="00AE14AE">
      <w:pPr>
        <w:numPr>
          <w:ilvl w:val="1"/>
          <w:numId w:val="130"/>
        </w:numPr>
        <w:spacing w:before="260" w:after="120" w:line="276" w:lineRule="auto"/>
        <w:contextualSpacing/>
        <w:jc w:val="left"/>
        <w:rPr>
          <w:rFonts w:eastAsia="Calibri" w:cs="Calibri"/>
          <w:lang w:val="pt-PT"/>
        </w:rPr>
      </w:pPr>
      <w:proofErr w:type="spellStart"/>
      <w:r w:rsidRPr="00292532">
        <w:rPr>
          <w:rFonts w:eastAsia="Calibri" w:cs="Calibri"/>
          <w:lang w:val="pt-PT"/>
        </w:rPr>
        <w:t>Acções</w:t>
      </w:r>
      <w:proofErr w:type="spellEnd"/>
      <w:r w:rsidRPr="00292532">
        <w:rPr>
          <w:rFonts w:eastAsia="Calibri" w:cs="Calibri"/>
          <w:lang w:val="pt-PT"/>
        </w:rPr>
        <w:t xml:space="preserve"> que pela sua natureza incentivam a exploração e comercialização de recursos naturais de forma ilegal (caça, pesca, compra ou venda ilegal de produtos florestais, faunísticos, minerais e seus derivados)</w:t>
      </w:r>
      <w:r w:rsidR="00E95257">
        <w:rPr>
          <w:rFonts w:eastAsia="Calibri" w:cs="Calibri"/>
          <w:lang w:val="pt-PT"/>
        </w:rPr>
        <w:t xml:space="preserve"> e </w:t>
      </w:r>
      <w:proofErr w:type="spellStart"/>
      <w:r w:rsidR="00E95257">
        <w:rPr>
          <w:rFonts w:eastAsia="Calibri" w:cs="Calibri"/>
          <w:lang w:val="pt-PT"/>
        </w:rPr>
        <w:t>probição</w:t>
      </w:r>
      <w:proofErr w:type="spellEnd"/>
      <w:r w:rsidR="00E95257">
        <w:rPr>
          <w:rFonts w:eastAsia="Calibri" w:cs="Calibri"/>
          <w:lang w:val="pt-PT"/>
        </w:rPr>
        <w:t xml:space="preserve"> de consumo de carne de caça.</w:t>
      </w:r>
    </w:p>
    <w:p w14:paraId="128FEF4D" w14:textId="77777777" w:rsidR="00B31AE2" w:rsidRPr="00292532" w:rsidRDefault="00B31AE2" w:rsidP="00AE14AE">
      <w:pPr>
        <w:numPr>
          <w:ilvl w:val="1"/>
          <w:numId w:val="130"/>
        </w:numPr>
        <w:spacing w:before="260" w:after="120" w:line="276" w:lineRule="auto"/>
        <w:contextualSpacing/>
        <w:jc w:val="left"/>
        <w:rPr>
          <w:rFonts w:eastAsia="Calibri" w:cs="Calibri"/>
          <w:lang w:val="pt-PT"/>
        </w:rPr>
      </w:pPr>
      <w:r w:rsidRPr="00292532">
        <w:rPr>
          <w:rFonts w:eastAsia="Calibri" w:cs="Calibri"/>
          <w:lang w:val="pt-PT"/>
        </w:rPr>
        <w:t>Ações que alteram a qualidade/quantidade de qualquer recurso natural de importância comunitária de forma permanente (poluição dos rios, lagos, diminuição do caudal das águas, poluição do ar, afugentamento de animais, remoção em grande escala da vegetação local, entre outras).</w:t>
      </w:r>
    </w:p>
    <w:p w14:paraId="36DC207C" w14:textId="77777777" w:rsidR="00B31AE2" w:rsidRPr="00292532" w:rsidRDefault="00B31AE2" w:rsidP="00AE14AE">
      <w:pPr>
        <w:numPr>
          <w:ilvl w:val="1"/>
          <w:numId w:val="130"/>
        </w:numPr>
        <w:spacing w:before="260" w:after="120" w:line="276" w:lineRule="auto"/>
        <w:contextualSpacing/>
        <w:jc w:val="left"/>
        <w:rPr>
          <w:rFonts w:eastAsia="Calibri" w:cs="Calibri"/>
          <w:lang w:val="pt-PT"/>
        </w:rPr>
      </w:pPr>
      <w:proofErr w:type="spellStart"/>
      <w:r w:rsidRPr="00292532">
        <w:rPr>
          <w:rFonts w:eastAsia="Calibri" w:cs="Calibri"/>
          <w:lang w:val="pt-PT"/>
        </w:rPr>
        <w:t>Actividades</w:t>
      </w:r>
      <w:proofErr w:type="spellEnd"/>
      <w:r w:rsidRPr="00292532">
        <w:rPr>
          <w:rFonts w:eastAsia="Calibri" w:cs="Calibri"/>
          <w:lang w:val="pt-PT"/>
        </w:rPr>
        <w:t xml:space="preserve"> que limitam o acesso da comunidade à terra e aos recursos naturais ou lugares de importância histórica ou social sem devida compensação.</w:t>
      </w:r>
    </w:p>
    <w:p w14:paraId="35D701C6" w14:textId="77777777" w:rsidR="00B31AE2" w:rsidRPr="00292532" w:rsidRDefault="00B31AE2" w:rsidP="00AE14AE">
      <w:pPr>
        <w:numPr>
          <w:ilvl w:val="0"/>
          <w:numId w:val="130"/>
        </w:numPr>
        <w:spacing w:before="260" w:after="120" w:line="276" w:lineRule="auto"/>
        <w:contextualSpacing/>
        <w:jc w:val="left"/>
        <w:rPr>
          <w:rFonts w:eastAsia="Calibri" w:cs="Calibri"/>
          <w:lang w:val="pt-PT"/>
        </w:rPr>
      </w:pPr>
      <w:r w:rsidRPr="00292532">
        <w:rPr>
          <w:rFonts w:eastAsia="Calibri" w:cs="Calibri"/>
          <w:lang w:val="pt-PT"/>
        </w:rPr>
        <w:t xml:space="preserve">Todos os funcionários, incluindo voluntários e subcontratados, são altamente encorajados a reportar qualquer desvio aos requisitos do Código de Conduta feitos por um colega de trabalho, seja da mesma empresa ou não, e por isso protegidos pela empresa </w:t>
      </w:r>
      <w:proofErr w:type="spellStart"/>
      <w:r w:rsidRPr="00292532">
        <w:rPr>
          <w:rFonts w:eastAsia="Calibri" w:cs="Calibri"/>
          <w:lang w:val="pt-PT"/>
        </w:rPr>
        <w:t>contra-retaliação</w:t>
      </w:r>
      <w:proofErr w:type="spellEnd"/>
      <w:r w:rsidRPr="00292532">
        <w:rPr>
          <w:rFonts w:eastAsia="Calibri" w:cs="Calibri"/>
          <w:lang w:val="pt-PT"/>
        </w:rPr>
        <w:t xml:space="preserve">. </w:t>
      </w:r>
    </w:p>
    <w:p w14:paraId="146BE2C6" w14:textId="77777777" w:rsidR="00B31AE2" w:rsidRPr="00292532" w:rsidRDefault="00B31AE2" w:rsidP="00AE14AE">
      <w:pPr>
        <w:numPr>
          <w:ilvl w:val="0"/>
          <w:numId w:val="130"/>
        </w:numPr>
        <w:spacing w:before="260" w:after="120" w:line="276" w:lineRule="auto"/>
        <w:contextualSpacing/>
        <w:jc w:val="left"/>
        <w:rPr>
          <w:rFonts w:eastAsia="Calibri" w:cs="Calibri"/>
          <w:lang w:val="pt-PT"/>
        </w:rPr>
      </w:pPr>
      <w:r w:rsidRPr="00292532">
        <w:rPr>
          <w:rFonts w:eastAsia="Calibri" w:cs="Calibri"/>
          <w:lang w:val="pt-PT"/>
        </w:rPr>
        <w:lastRenderedPageBreak/>
        <w:t xml:space="preserve">Os gerentes são obrigados a denunciar qualquer desvio suspeito ou real dos requisitos do código de conduta, uma vez que têm a responsabilidade de manter os compromissos da empresa e manter seus relatórios </w:t>
      </w:r>
      <w:proofErr w:type="spellStart"/>
      <w:r w:rsidRPr="00292532">
        <w:rPr>
          <w:rFonts w:eastAsia="Calibri" w:cs="Calibri"/>
          <w:lang w:val="pt-PT"/>
        </w:rPr>
        <w:t>directo</w:t>
      </w:r>
      <w:proofErr w:type="spellEnd"/>
      <w:r w:rsidRPr="00292532">
        <w:rPr>
          <w:rFonts w:eastAsia="Calibri" w:cs="Calibri"/>
          <w:lang w:val="pt-PT"/>
        </w:rPr>
        <w:t xml:space="preserve"> a seus responsáveis. </w:t>
      </w:r>
    </w:p>
    <w:p w14:paraId="09E7713E" w14:textId="77777777" w:rsidR="00B31AE2" w:rsidRPr="00292532" w:rsidRDefault="00B31AE2" w:rsidP="00AE14AE">
      <w:pPr>
        <w:numPr>
          <w:ilvl w:val="0"/>
          <w:numId w:val="130"/>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A empresa, funcionários, associados e representantes – comprometem-se a garantir um ambiente de trabalho seguro e saudável, incluindo:</w:t>
      </w:r>
    </w:p>
    <w:p w14:paraId="0EF00A8E" w14:textId="77777777" w:rsidR="00B31AE2" w:rsidRPr="00292532" w:rsidRDefault="00B31AE2" w:rsidP="00AE14AE">
      <w:pPr>
        <w:numPr>
          <w:ilvl w:val="1"/>
          <w:numId w:val="130"/>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Assegurar que os locais de trabalho e os seus equipamentos não causem risco ao trabalhador e a comunidade.</w:t>
      </w:r>
    </w:p>
    <w:p w14:paraId="29D19173" w14:textId="77777777" w:rsidR="00B31AE2" w:rsidRPr="00292532" w:rsidRDefault="00B31AE2" w:rsidP="00AE14AE">
      <w:pPr>
        <w:numPr>
          <w:ilvl w:val="1"/>
          <w:numId w:val="130"/>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 xml:space="preserve">Garantir que os trabalhadores tenham equipamentos de </w:t>
      </w:r>
      <w:proofErr w:type="spellStart"/>
      <w:r w:rsidRPr="00292532">
        <w:rPr>
          <w:rFonts w:eastAsia="Calibri" w:cs="Calibri"/>
          <w:lang w:val="pt-PT"/>
        </w:rPr>
        <w:t>protecção</w:t>
      </w:r>
      <w:proofErr w:type="spellEnd"/>
      <w:r w:rsidRPr="00292532">
        <w:rPr>
          <w:rFonts w:eastAsia="Calibri" w:cs="Calibri"/>
          <w:lang w:val="pt-PT"/>
        </w:rPr>
        <w:t xml:space="preserve"> individual adequados aos riscos das </w:t>
      </w:r>
      <w:proofErr w:type="spellStart"/>
      <w:r w:rsidRPr="00292532">
        <w:rPr>
          <w:rFonts w:eastAsia="Calibri" w:cs="Calibri"/>
          <w:lang w:val="pt-PT"/>
        </w:rPr>
        <w:t>actividades</w:t>
      </w:r>
      <w:proofErr w:type="spellEnd"/>
      <w:r w:rsidRPr="00292532">
        <w:rPr>
          <w:rFonts w:eastAsia="Calibri" w:cs="Calibri"/>
          <w:lang w:val="pt-PT"/>
        </w:rPr>
        <w:t xml:space="preserve"> específicas a serem desenvolvidas.</w:t>
      </w:r>
    </w:p>
    <w:p w14:paraId="67C5B487" w14:textId="77777777" w:rsidR="00B31AE2" w:rsidRPr="00292532" w:rsidRDefault="00B31AE2" w:rsidP="00AE14AE">
      <w:pPr>
        <w:numPr>
          <w:ilvl w:val="1"/>
          <w:numId w:val="130"/>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Disponibilizar água potável, sanitários e outros recursos necessários para o trabalho digno.</w:t>
      </w:r>
    </w:p>
    <w:p w14:paraId="26AB9163" w14:textId="77777777" w:rsidR="00B31AE2" w:rsidRPr="00292532" w:rsidRDefault="00B31AE2" w:rsidP="00AE14AE">
      <w:pPr>
        <w:numPr>
          <w:ilvl w:val="0"/>
          <w:numId w:val="130"/>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 xml:space="preserve">Qualquer </w:t>
      </w:r>
      <w:proofErr w:type="spellStart"/>
      <w:r w:rsidRPr="00292532">
        <w:rPr>
          <w:rFonts w:eastAsia="Calibri" w:cs="Calibri"/>
          <w:lang w:val="pt-PT"/>
        </w:rPr>
        <w:t>acto</w:t>
      </w:r>
      <w:proofErr w:type="spellEnd"/>
      <w:r w:rsidRPr="00292532">
        <w:rPr>
          <w:rFonts w:eastAsia="Calibri" w:cs="Calibri"/>
          <w:lang w:val="pt-PT"/>
        </w:rPr>
        <w:t xml:space="preserve"> ou comportamento que possa causar danos a empresa (roubos, desvios, sabotagem, troca de materiais, </w:t>
      </w:r>
      <w:proofErr w:type="spellStart"/>
      <w:r w:rsidRPr="00292532">
        <w:rPr>
          <w:rFonts w:eastAsia="Calibri" w:cs="Calibri"/>
          <w:lang w:val="pt-PT"/>
        </w:rPr>
        <w:t>etc</w:t>
      </w:r>
      <w:proofErr w:type="spellEnd"/>
      <w:r w:rsidRPr="00292532">
        <w:rPr>
          <w:rFonts w:eastAsia="Calibri" w:cs="Calibri"/>
          <w:lang w:val="pt-PT"/>
        </w:rPr>
        <w:t xml:space="preserve"> sem a devida autorização) não é tolerado, devendo ser punido e poderá se conduzir o caso a outras instâncias para a sua resolução e responsabilização.</w:t>
      </w:r>
    </w:p>
    <w:p w14:paraId="1EF53D7C" w14:textId="77777777" w:rsidR="00B31AE2" w:rsidRPr="00292532" w:rsidRDefault="00B31AE2" w:rsidP="00AE14AE">
      <w:pPr>
        <w:numPr>
          <w:ilvl w:val="0"/>
          <w:numId w:val="130"/>
        </w:numPr>
        <w:spacing w:before="260" w:after="120" w:line="276" w:lineRule="auto"/>
        <w:contextualSpacing/>
        <w:jc w:val="left"/>
        <w:rPr>
          <w:rFonts w:eastAsia="Calibri" w:cs="Calibri"/>
          <w:lang w:val="pt-PT"/>
        </w:rPr>
      </w:pPr>
      <w:r w:rsidRPr="00292532">
        <w:rPr>
          <w:rFonts w:eastAsia="Calibri" w:cs="Calibri"/>
          <w:lang w:val="pt-PT"/>
        </w:rPr>
        <w:t xml:space="preserve">Para garantir que os princípios acima mencionados sejam </w:t>
      </w:r>
      <w:proofErr w:type="spellStart"/>
      <w:r w:rsidRPr="00292532">
        <w:rPr>
          <w:rFonts w:eastAsia="Calibri" w:cs="Calibri"/>
          <w:lang w:val="pt-PT"/>
        </w:rPr>
        <w:t>efectivamente</w:t>
      </w:r>
      <w:proofErr w:type="spellEnd"/>
      <w:r w:rsidRPr="00292532">
        <w:rPr>
          <w:rFonts w:eastAsia="Calibri" w:cs="Calibri"/>
          <w:lang w:val="pt-PT"/>
        </w:rPr>
        <w:t xml:space="preserve"> implementados, a empresa compromete-se a garantir que: </w:t>
      </w:r>
    </w:p>
    <w:p w14:paraId="41449291" w14:textId="77777777" w:rsidR="00B31AE2" w:rsidRPr="00292532" w:rsidRDefault="00B31AE2" w:rsidP="00AE14AE">
      <w:pPr>
        <w:numPr>
          <w:ilvl w:val="1"/>
          <w:numId w:val="130"/>
        </w:numPr>
        <w:spacing w:before="260" w:after="120" w:line="276" w:lineRule="auto"/>
        <w:contextualSpacing/>
        <w:jc w:val="left"/>
        <w:rPr>
          <w:rFonts w:eastAsia="Calibri" w:cs="Calibri"/>
          <w:lang w:val="pt-PT"/>
        </w:rPr>
      </w:pPr>
      <w:r w:rsidRPr="00292532">
        <w:rPr>
          <w:rFonts w:eastAsia="Calibri" w:cs="Calibri"/>
          <w:lang w:val="pt-PT"/>
        </w:rPr>
        <w:t>Todos os gestores assinam o “Código de Conduta do Gestores” detalhando suas responsabilidades pela implementação dos compromissos da empresa e pelo cumprimento das responsabilidades no “Código de Conduta Individual”.</w:t>
      </w:r>
    </w:p>
    <w:p w14:paraId="7EB79A51" w14:textId="77777777" w:rsidR="00B31AE2" w:rsidRPr="00292532" w:rsidRDefault="00B31AE2" w:rsidP="00AE14AE">
      <w:pPr>
        <w:numPr>
          <w:ilvl w:val="1"/>
          <w:numId w:val="130"/>
        </w:numPr>
        <w:spacing w:before="260" w:after="120" w:line="276" w:lineRule="auto"/>
        <w:contextualSpacing/>
        <w:jc w:val="left"/>
        <w:rPr>
          <w:rFonts w:eastAsia="Calibri" w:cs="Calibri"/>
          <w:lang w:val="pt-PT"/>
        </w:rPr>
      </w:pPr>
      <w:r w:rsidRPr="00292532">
        <w:rPr>
          <w:rFonts w:eastAsia="Calibri" w:cs="Calibri"/>
          <w:lang w:val="pt-PT"/>
        </w:rPr>
        <w:t xml:space="preserve">Todos os funcionários assinam o “Código de Conduta Individual”, confirmando seu acordo com as </w:t>
      </w:r>
      <w:proofErr w:type="spellStart"/>
      <w:r w:rsidRPr="00292532">
        <w:rPr>
          <w:rFonts w:eastAsia="Calibri" w:cs="Calibri"/>
          <w:lang w:val="pt-PT"/>
        </w:rPr>
        <w:t>directrizes</w:t>
      </w:r>
      <w:proofErr w:type="spellEnd"/>
      <w:r w:rsidRPr="00292532">
        <w:rPr>
          <w:rFonts w:eastAsia="Calibri" w:cs="Calibri"/>
          <w:lang w:val="pt-PT"/>
        </w:rPr>
        <w:t xml:space="preserve"> da empresa e do </w:t>
      </w:r>
      <w:proofErr w:type="spellStart"/>
      <w:r w:rsidRPr="00292532">
        <w:rPr>
          <w:rFonts w:eastAsia="Calibri" w:cs="Calibri"/>
          <w:lang w:val="pt-PT"/>
        </w:rPr>
        <w:t>projecto</w:t>
      </w:r>
      <w:proofErr w:type="spellEnd"/>
      <w:r w:rsidRPr="00292532">
        <w:rPr>
          <w:rFonts w:eastAsia="Calibri" w:cs="Calibri"/>
          <w:lang w:val="pt-PT"/>
        </w:rPr>
        <w:t xml:space="preserve">. </w:t>
      </w:r>
    </w:p>
    <w:p w14:paraId="64A806DE" w14:textId="77777777" w:rsidR="00B31AE2" w:rsidRPr="00292532" w:rsidRDefault="00B31AE2" w:rsidP="00AE14AE">
      <w:pPr>
        <w:numPr>
          <w:ilvl w:val="1"/>
          <w:numId w:val="130"/>
        </w:numPr>
        <w:spacing w:before="260" w:after="120" w:line="276" w:lineRule="auto"/>
        <w:contextualSpacing/>
        <w:jc w:val="left"/>
        <w:rPr>
          <w:rFonts w:eastAsia="Calibri" w:cs="Calibri"/>
          <w:lang w:val="pt-PT"/>
        </w:rPr>
      </w:pPr>
      <w:r w:rsidRPr="00292532">
        <w:rPr>
          <w:rFonts w:eastAsia="Calibri" w:cs="Calibri"/>
          <w:lang w:val="pt-PT"/>
        </w:rPr>
        <w:t xml:space="preserve">Expor os Códigos de Conduta da empresa e individuais de forma proeminente e de forma clara nas frentes de trabalho, escritórios e locais públicos da área do </w:t>
      </w:r>
      <w:proofErr w:type="spellStart"/>
      <w:r w:rsidRPr="00292532">
        <w:rPr>
          <w:rFonts w:eastAsia="Calibri" w:cs="Calibri"/>
          <w:lang w:val="pt-PT"/>
        </w:rPr>
        <w:t>projecto</w:t>
      </w:r>
      <w:proofErr w:type="spellEnd"/>
      <w:r w:rsidRPr="00292532">
        <w:rPr>
          <w:rFonts w:eastAsia="Calibri" w:cs="Calibri"/>
          <w:lang w:val="pt-PT"/>
        </w:rPr>
        <w:t xml:space="preserve">. Exemplos incluem áreas de entrada, espera, repouso, refeitório, vitrinas/murais, etc.  </w:t>
      </w:r>
    </w:p>
    <w:p w14:paraId="1D1C4CCA" w14:textId="77777777" w:rsidR="00B31AE2" w:rsidRPr="00292532" w:rsidRDefault="00B31AE2" w:rsidP="00AE14AE">
      <w:pPr>
        <w:numPr>
          <w:ilvl w:val="1"/>
          <w:numId w:val="130"/>
        </w:numPr>
        <w:spacing w:before="260" w:after="120" w:line="276" w:lineRule="auto"/>
        <w:contextualSpacing/>
        <w:jc w:val="left"/>
        <w:rPr>
          <w:rFonts w:eastAsia="Calibri" w:cs="Calibri"/>
          <w:lang w:val="pt-PT"/>
        </w:rPr>
      </w:pPr>
      <w:r w:rsidRPr="00292532">
        <w:rPr>
          <w:rFonts w:eastAsia="Calibri" w:cs="Calibri"/>
          <w:lang w:val="pt-PT"/>
        </w:rPr>
        <w:t xml:space="preserve">Assegurar que todas as cópias publicadas e distribuídas pela empresa e os Códigos de Conduta individuais sejam traduzidos para um idioma de uso apropriado nas áreas do local de trabalho, bem como para qualquer equipa internacional em sua língua nativa. </w:t>
      </w:r>
    </w:p>
    <w:p w14:paraId="61BAA890" w14:textId="77777777" w:rsidR="00B31AE2" w:rsidRPr="00292532" w:rsidRDefault="00B31AE2" w:rsidP="00AE14AE">
      <w:pPr>
        <w:numPr>
          <w:ilvl w:val="1"/>
          <w:numId w:val="130"/>
        </w:numPr>
        <w:spacing w:before="260" w:after="120" w:line="276" w:lineRule="auto"/>
        <w:contextualSpacing/>
        <w:jc w:val="left"/>
        <w:rPr>
          <w:rFonts w:eastAsia="Calibri" w:cs="Calibri"/>
          <w:lang w:val="pt-PT"/>
        </w:rPr>
      </w:pPr>
      <w:r w:rsidRPr="00292532">
        <w:rPr>
          <w:rFonts w:eastAsia="Calibri" w:cs="Calibri"/>
          <w:lang w:val="pt-PT"/>
        </w:rPr>
        <w:t xml:space="preserve">Uma pessoa apropriada é nominada como “Ponto Focal” da empresa para abordar questões de saúde e segurança ocupacional, VBG e VCC, incluindo </w:t>
      </w:r>
      <w:proofErr w:type="spellStart"/>
      <w:r w:rsidRPr="00292532">
        <w:rPr>
          <w:rFonts w:eastAsia="Calibri" w:cs="Calibri"/>
          <w:lang w:val="pt-PT"/>
        </w:rPr>
        <w:t>aspectos</w:t>
      </w:r>
      <w:proofErr w:type="spellEnd"/>
      <w:r w:rsidRPr="00292532">
        <w:rPr>
          <w:rFonts w:eastAsia="Calibri" w:cs="Calibri"/>
          <w:lang w:val="pt-PT"/>
        </w:rPr>
        <w:t xml:space="preserve"> de conformidade ambiental e social.</w:t>
      </w:r>
    </w:p>
    <w:p w14:paraId="50E18B95" w14:textId="77777777" w:rsidR="00B31AE2" w:rsidRPr="00292532" w:rsidRDefault="00B31AE2" w:rsidP="00AE14AE">
      <w:pPr>
        <w:numPr>
          <w:ilvl w:val="1"/>
          <w:numId w:val="130"/>
        </w:numPr>
        <w:spacing w:before="260" w:after="120" w:line="276" w:lineRule="auto"/>
        <w:contextualSpacing/>
        <w:jc w:val="left"/>
        <w:rPr>
          <w:rFonts w:eastAsia="Calibri" w:cs="Calibri"/>
          <w:lang w:val="pt-PT"/>
        </w:rPr>
      </w:pPr>
      <w:r w:rsidRPr="00292532">
        <w:rPr>
          <w:rFonts w:eastAsia="Calibri" w:cs="Calibri"/>
          <w:lang w:val="pt-PT"/>
        </w:rPr>
        <w:t xml:space="preserve">Assegurar que um Plano de </w:t>
      </w:r>
      <w:proofErr w:type="spellStart"/>
      <w:r w:rsidRPr="00292532">
        <w:rPr>
          <w:rFonts w:eastAsia="Calibri" w:cs="Calibri"/>
          <w:lang w:val="pt-PT"/>
        </w:rPr>
        <w:t>Acção</w:t>
      </w:r>
      <w:proofErr w:type="spellEnd"/>
      <w:r w:rsidRPr="00292532">
        <w:rPr>
          <w:rFonts w:eastAsia="Calibri" w:cs="Calibri"/>
          <w:lang w:val="pt-PT"/>
        </w:rPr>
        <w:t xml:space="preserve"> </w:t>
      </w:r>
      <w:proofErr w:type="spellStart"/>
      <w:r w:rsidRPr="00292532">
        <w:rPr>
          <w:rFonts w:eastAsia="Calibri" w:cs="Calibri"/>
          <w:lang w:val="pt-PT"/>
        </w:rPr>
        <w:t>efectivo</w:t>
      </w:r>
      <w:proofErr w:type="spellEnd"/>
      <w:r w:rsidRPr="00292532">
        <w:rPr>
          <w:rFonts w:eastAsia="Calibri" w:cs="Calibri"/>
          <w:lang w:val="pt-PT"/>
        </w:rPr>
        <w:t xml:space="preserve"> seja desenvolvido, que inclui como mínimo: </w:t>
      </w:r>
    </w:p>
    <w:p w14:paraId="77B4A2D9" w14:textId="77777777" w:rsidR="00B31AE2" w:rsidRPr="00292532" w:rsidRDefault="00B31AE2" w:rsidP="00AE14AE">
      <w:pPr>
        <w:numPr>
          <w:ilvl w:val="0"/>
          <w:numId w:val="131"/>
        </w:numPr>
        <w:spacing w:before="260" w:after="120" w:line="276" w:lineRule="auto"/>
        <w:contextualSpacing/>
        <w:jc w:val="left"/>
        <w:rPr>
          <w:rFonts w:eastAsia="Calibri" w:cs="Calibri"/>
          <w:lang w:val="pt-PT"/>
        </w:rPr>
      </w:pPr>
      <w:r w:rsidRPr="00292532">
        <w:rPr>
          <w:rFonts w:eastAsia="Calibri" w:cs="Calibri"/>
          <w:b/>
          <w:lang w:val="pt-PT"/>
        </w:rPr>
        <w:t>Procedimento de Alegação/denuncia</w:t>
      </w:r>
      <w:r w:rsidRPr="00292532">
        <w:rPr>
          <w:rFonts w:eastAsia="Calibri" w:cs="Calibri"/>
          <w:b/>
          <w:vertAlign w:val="superscript"/>
          <w:lang w:val="pt-PT"/>
        </w:rPr>
        <w:footnoteReference w:id="26"/>
      </w:r>
      <w:r w:rsidRPr="00292532">
        <w:rPr>
          <w:rFonts w:eastAsia="Calibri" w:cs="Calibri"/>
          <w:b/>
          <w:lang w:val="pt-PT"/>
        </w:rPr>
        <w:t xml:space="preserve"> </w:t>
      </w:r>
      <w:r w:rsidRPr="00292532">
        <w:rPr>
          <w:rFonts w:eastAsia="Calibri" w:cs="Calibri"/>
          <w:lang w:val="pt-PT"/>
        </w:rPr>
        <w:t>para reportar casos de desvio do código de conduta, incluindo para reportar VBG e VCC através do Mecanismo de Gestão de Reclamações (MGR)</w:t>
      </w:r>
      <w:r w:rsidRPr="00292532">
        <w:rPr>
          <w:rFonts w:eastAsia="Calibri" w:cs="Calibri"/>
          <w:vertAlign w:val="superscript"/>
          <w:lang w:val="pt-PT"/>
        </w:rPr>
        <w:footnoteReference w:id="27"/>
      </w:r>
      <w:r w:rsidRPr="00292532">
        <w:rPr>
          <w:rFonts w:eastAsia="Calibri" w:cs="Calibri"/>
          <w:lang w:val="pt-PT"/>
        </w:rPr>
        <w:t>;</w:t>
      </w:r>
    </w:p>
    <w:p w14:paraId="67D86939" w14:textId="77777777" w:rsidR="00B31AE2" w:rsidRPr="00292532" w:rsidRDefault="00B31AE2" w:rsidP="00AE14AE">
      <w:pPr>
        <w:numPr>
          <w:ilvl w:val="0"/>
          <w:numId w:val="131"/>
        </w:numPr>
        <w:spacing w:before="260" w:after="120" w:line="276" w:lineRule="auto"/>
        <w:contextualSpacing/>
        <w:jc w:val="left"/>
        <w:rPr>
          <w:rFonts w:eastAsia="Calibri" w:cs="Calibri"/>
          <w:lang w:val="pt-PT"/>
        </w:rPr>
      </w:pPr>
      <w:r w:rsidRPr="00292532">
        <w:rPr>
          <w:rFonts w:eastAsia="Calibri" w:cs="Calibri"/>
          <w:b/>
          <w:lang w:val="pt-PT"/>
        </w:rPr>
        <w:t xml:space="preserve">Medidas de Responsabilização </w:t>
      </w:r>
      <w:r w:rsidRPr="00292532">
        <w:rPr>
          <w:rFonts w:eastAsia="Calibri" w:cs="Calibri"/>
          <w:lang w:val="pt-PT"/>
        </w:rPr>
        <w:t xml:space="preserve">para proteger a confidencialidade de todos os envolvidos; e, </w:t>
      </w:r>
    </w:p>
    <w:p w14:paraId="74499C6D" w14:textId="77777777" w:rsidR="00B31AE2" w:rsidRPr="00292532" w:rsidRDefault="00B31AE2" w:rsidP="00AE14AE">
      <w:pPr>
        <w:numPr>
          <w:ilvl w:val="0"/>
          <w:numId w:val="131"/>
        </w:numPr>
        <w:spacing w:before="260" w:after="120" w:line="276" w:lineRule="auto"/>
        <w:contextualSpacing/>
        <w:jc w:val="left"/>
        <w:rPr>
          <w:rFonts w:eastAsia="Calibri" w:cs="Calibri"/>
          <w:lang w:val="pt-PT"/>
        </w:rPr>
      </w:pPr>
      <w:r w:rsidRPr="00292532">
        <w:rPr>
          <w:rFonts w:eastAsia="Calibri" w:cs="Calibri"/>
          <w:b/>
          <w:lang w:val="pt-PT"/>
        </w:rPr>
        <w:lastRenderedPageBreak/>
        <w:t>Protocolo de Resposta/assistência</w:t>
      </w:r>
      <w:r w:rsidRPr="00292532">
        <w:rPr>
          <w:rFonts w:eastAsia="Calibri" w:cs="Calibri"/>
          <w:lang w:val="pt-PT"/>
        </w:rPr>
        <w:t xml:space="preserve"> aplicável às vítimas/sobreviventes</w:t>
      </w:r>
      <w:r w:rsidRPr="00292532">
        <w:rPr>
          <w:rFonts w:eastAsia="Calibri" w:cs="Calibri"/>
          <w:vertAlign w:val="superscript"/>
          <w:lang w:val="pt-PT"/>
        </w:rPr>
        <w:footnoteReference w:id="28"/>
      </w:r>
      <w:r w:rsidRPr="00292532">
        <w:rPr>
          <w:rFonts w:eastAsia="Calibri" w:cs="Calibri"/>
          <w:lang w:val="pt-PT"/>
        </w:rPr>
        <w:t xml:space="preserve"> e perpetradores</w:t>
      </w:r>
      <w:r w:rsidRPr="00292532">
        <w:rPr>
          <w:rFonts w:eastAsia="Calibri" w:cs="Calibri"/>
          <w:vertAlign w:val="superscript"/>
          <w:lang w:val="pt-PT"/>
        </w:rPr>
        <w:footnoteReference w:id="29"/>
      </w:r>
      <w:r w:rsidRPr="00292532">
        <w:rPr>
          <w:rFonts w:eastAsia="Calibri" w:cs="Calibri"/>
          <w:lang w:val="pt-PT"/>
        </w:rPr>
        <w:t xml:space="preserve"> da VBG e VCC. </w:t>
      </w:r>
    </w:p>
    <w:p w14:paraId="4702F0F1" w14:textId="77777777" w:rsidR="00B31AE2" w:rsidRPr="00292532" w:rsidRDefault="00B31AE2" w:rsidP="00AE14AE">
      <w:pPr>
        <w:numPr>
          <w:ilvl w:val="0"/>
          <w:numId w:val="130"/>
        </w:numPr>
        <w:spacing w:before="260" w:after="120" w:line="276" w:lineRule="auto"/>
        <w:contextualSpacing/>
        <w:jc w:val="left"/>
        <w:rPr>
          <w:rFonts w:eastAsia="Calibri" w:cs="Calibri"/>
          <w:lang w:val="pt-PT"/>
        </w:rPr>
      </w:pPr>
      <w:r w:rsidRPr="00292532">
        <w:rPr>
          <w:rFonts w:eastAsia="Calibri" w:cs="Calibri"/>
          <w:lang w:val="pt-PT"/>
        </w:rPr>
        <w:t>A empresa não se envolva ou apoie qualquer grupo/indivíduo que fomente ou pratica crimes públicos ou terrorismo</w:t>
      </w:r>
    </w:p>
    <w:p w14:paraId="56E22464" w14:textId="77777777" w:rsidR="00B31AE2" w:rsidRPr="00292532" w:rsidRDefault="00B31AE2" w:rsidP="00AE14AE">
      <w:pPr>
        <w:numPr>
          <w:ilvl w:val="0"/>
          <w:numId w:val="130"/>
        </w:numPr>
        <w:spacing w:before="260" w:after="0" w:line="276" w:lineRule="auto"/>
        <w:contextualSpacing/>
        <w:jc w:val="left"/>
        <w:rPr>
          <w:rFonts w:eastAsia="Calibri" w:cs="Calibri"/>
          <w:lang w:val="pt-PT"/>
        </w:rPr>
      </w:pPr>
      <w:r w:rsidRPr="00292532">
        <w:rPr>
          <w:rFonts w:eastAsia="Calibri" w:cs="Calibri"/>
          <w:lang w:val="pt-PT"/>
        </w:rPr>
        <w:t xml:space="preserve">Garantir que sejam dadas formações de indução antes do início dos trabalhos na área do </w:t>
      </w:r>
      <w:proofErr w:type="spellStart"/>
      <w:r w:rsidRPr="00292532">
        <w:rPr>
          <w:rFonts w:eastAsia="Calibri" w:cs="Calibri"/>
          <w:lang w:val="pt-PT"/>
        </w:rPr>
        <w:t>projecto</w:t>
      </w:r>
      <w:proofErr w:type="spellEnd"/>
      <w:r w:rsidRPr="00292532">
        <w:rPr>
          <w:rFonts w:eastAsia="Calibri" w:cs="Calibri"/>
          <w:lang w:val="pt-PT"/>
        </w:rPr>
        <w:t xml:space="preserve"> para garantir que estejam familiarizados com o compromisso da empresa e do Código de Conduta. </w:t>
      </w:r>
    </w:p>
    <w:p w14:paraId="3C9AFE2C" w14:textId="77777777" w:rsidR="00B31AE2" w:rsidRPr="00292532" w:rsidRDefault="00B31AE2" w:rsidP="00B31AE2">
      <w:pPr>
        <w:spacing w:before="0" w:after="0" w:line="276" w:lineRule="auto"/>
        <w:rPr>
          <w:rFonts w:eastAsia="Calibri" w:cs="Calibri"/>
          <w:lang w:val="pt-PT"/>
        </w:rPr>
      </w:pPr>
    </w:p>
    <w:p w14:paraId="2115C2C4" w14:textId="77777777" w:rsidR="00B31AE2" w:rsidRPr="00292532" w:rsidRDefault="00B31AE2" w:rsidP="00B31AE2">
      <w:pPr>
        <w:spacing w:before="0" w:after="200" w:line="276" w:lineRule="auto"/>
        <w:rPr>
          <w:rFonts w:eastAsia="Calibri" w:cs="Calibri"/>
          <w:lang w:val="pt-PT"/>
        </w:rPr>
      </w:pPr>
      <w:r w:rsidRPr="00292532">
        <w:rPr>
          <w:rFonts w:eastAsia="Calibri" w:cs="Calibri"/>
          <w:lang w:val="pt-PT"/>
        </w:rPr>
        <w:t xml:space="preserve">Por este meio, confirmo ter lido o Código de Conduta da empresa e, em nome da empresa, concordo em cumprir com os princípios acima estabelecidos. Entendo que qualquer </w:t>
      </w:r>
      <w:proofErr w:type="spellStart"/>
      <w:r w:rsidRPr="00292532">
        <w:rPr>
          <w:rFonts w:eastAsia="Calibri" w:cs="Calibri"/>
          <w:lang w:val="pt-PT"/>
        </w:rPr>
        <w:t>acção</w:t>
      </w:r>
      <w:proofErr w:type="spellEnd"/>
      <w:r w:rsidRPr="00292532">
        <w:rPr>
          <w:rFonts w:eastAsia="Calibri" w:cs="Calibri"/>
          <w:lang w:val="pt-PT"/>
        </w:rPr>
        <w:t xml:space="preserve"> inconsistente com este Código de Conduta da empresa ou falha na </w:t>
      </w:r>
      <w:proofErr w:type="spellStart"/>
      <w:r w:rsidRPr="00292532">
        <w:rPr>
          <w:rFonts w:eastAsia="Calibri" w:cs="Calibri"/>
          <w:lang w:val="pt-PT"/>
        </w:rPr>
        <w:t>acção</w:t>
      </w:r>
      <w:proofErr w:type="spellEnd"/>
      <w:r w:rsidRPr="00292532">
        <w:rPr>
          <w:rFonts w:eastAsia="Calibri" w:cs="Calibri"/>
          <w:lang w:val="pt-PT"/>
        </w:rPr>
        <w:t xml:space="preserve"> exigida por este Código de Conduta da empresa pode resultar em </w:t>
      </w:r>
      <w:proofErr w:type="spellStart"/>
      <w:r w:rsidRPr="00292532">
        <w:rPr>
          <w:rFonts w:eastAsia="Calibri" w:cs="Calibri"/>
          <w:lang w:val="pt-PT"/>
        </w:rPr>
        <w:t>acção</w:t>
      </w:r>
      <w:proofErr w:type="spellEnd"/>
      <w:r w:rsidRPr="00292532">
        <w:rPr>
          <w:rFonts w:eastAsia="Calibri" w:cs="Calibri"/>
          <w:lang w:val="pt-PT"/>
        </w:rPr>
        <w:t xml:space="preserve"> disciplinar ou </w:t>
      </w:r>
      <w:r w:rsidRPr="00292532">
        <w:rPr>
          <w:rFonts w:eastAsia="Times New Roman" w:cs="Calibri"/>
          <w:lang w:val="pt-PT"/>
        </w:rPr>
        <w:t>penalizações complementares aplicáveis.</w:t>
      </w:r>
    </w:p>
    <w:p w14:paraId="5ADD9871" w14:textId="77777777" w:rsidR="00B31AE2" w:rsidRPr="00292532" w:rsidRDefault="00B31AE2" w:rsidP="00B31AE2">
      <w:pPr>
        <w:spacing w:before="0" w:after="200" w:line="276" w:lineRule="auto"/>
        <w:jc w:val="center"/>
        <w:rPr>
          <w:rFonts w:eastAsia="Calibri" w:cs="Calibri"/>
          <w:lang w:val="pt-PT"/>
        </w:rPr>
      </w:pPr>
    </w:p>
    <w:p w14:paraId="022E0C95" w14:textId="77777777" w:rsidR="00B31AE2" w:rsidRPr="00292532" w:rsidRDefault="00B31AE2" w:rsidP="00B31AE2">
      <w:pPr>
        <w:spacing w:before="0" w:after="200" w:line="276" w:lineRule="auto"/>
        <w:jc w:val="center"/>
        <w:rPr>
          <w:rFonts w:eastAsia="Calibri" w:cs="Calibri"/>
          <w:lang w:val="pt-PT"/>
        </w:rPr>
      </w:pPr>
      <w:r w:rsidRPr="00292532">
        <w:rPr>
          <w:rFonts w:eastAsia="Calibri" w:cs="Calibri"/>
          <w:lang w:val="pt-PT"/>
        </w:rPr>
        <w:t>Nome da empresa: __________________</w:t>
      </w:r>
    </w:p>
    <w:p w14:paraId="3BA56853" w14:textId="77777777" w:rsidR="00B31AE2" w:rsidRPr="00292532" w:rsidRDefault="00B31AE2" w:rsidP="00B31AE2">
      <w:pPr>
        <w:spacing w:before="0" w:after="200" w:line="276" w:lineRule="auto"/>
        <w:jc w:val="center"/>
        <w:rPr>
          <w:rFonts w:eastAsia="Calibri" w:cs="Calibri"/>
          <w:lang w:val="pt-PT"/>
        </w:rPr>
      </w:pPr>
      <w:proofErr w:type="gramStart"/>
      <w:r w:rsidRPr="00292532">
        <w:rPr>
          <w:rFonts w:eastAsia="Calibri" w:cs="Calibri"/>
          <w:lang w:val="pt-PT"/>
        </w:rPr>
        <w:t>Assinatura:_</w:t>
      </w:r>
      <w:proofErr w:type="gramEnd"/>
      <w:r w:rsidRPr="00292532">
        <w:rPr>
          <w:rFonts w:eastAsia="Calibri" w:cs="Calibri"/>
          <w:lang w:val="pt-PT"/>
        </w:rPr>
        <w:t>________________________</w:t>
      </w:r>
    </w:p>
    <w:p w14:paraId="53A01AD6" w14:textId="77777777" w:rsidR="00B31AE2" w:rsidRPr="00292532" w:rsidRDefault="00B31AE2" w:rsidP="00B31AE2">
      <w:pPr>
        <w:spacing w:before="0" w:after="200" w:line="276" w:lineRule="auto"/>
        <w:jc w:val="center"/>
        <w:rPr>
          <w:rFonts w:eastAsia="Calibri" w:cs="Calibri"/>
          <w:lang w:val="pt-PT"/>
        </w:rPr>
      </w:pPr>
      <w:r w:rsidRPr="00292532">
        <w:rPr>
          <w:rFonts w:eastAsia="Calibri" w:cs="Calibri"/>
          <w:lang w:val="pt-PT"/>
        </w:rPr>
        <w:t>Nome:</w:t>
      </w:r>
      <w:r w:rsidRPr="00292532">
        <w:rPr>
          <w:rFonts w:eastAsia="Calibri" w:cs="Calibri"/>
          <w:lang w:val="pt-PT"/>
        </w:rPr>
        <w:tab/>
        <w:t xml:space="preserve">       _________________________</w:t>
      </w:r>
    </w:p>
    <w:p w14:paraId="403256B0" w14:textId="77777777" w:rsidR="00B31AE2" w:rsidRPr="00292532" w:rsidRDefault="00B31AE2" w:rsidP="00B31AE2">
      <w:pPr>
        <w:spacing w:before="0" w:after="200" w:line="276" w:lineRule="auto"/>
        <w:jc w:val="center"/>
        <w:rPr>
          <w:rFonts w:eastAsia="Calibri" w:cs="Calibri"/>
          <w:lang w:val="pt-PT"/>
        </w:rPr>
      </w:pPr>
      <w:r w:rsidRPr="00292532">
        <w:rPr>
          <w:rFonts w:eastAsia="Calibri" w:cs="Calibri"/>
          <w:lang w:val="pt-PT"/>
        </w:rPr>
        <w:t>Título:          _________________________</w:t>
      </w:r>
    </w:p>
    <w:p w14:paraId="66347AB2" w14:textId="515C62C7" w:rsidR="00B31AE2" w:rsidRPr="00292532" w:rsidRDefault="00B31AE2" w:rsidP="00B31AE2">
      <w:pPr>
        <w:spacing w:before="0" w:after="200" w:line="276" w:lineRule="auto"/>
        <w:jc w:val="center"/>
        <w:rPr>
          <w:rFonts w:eastAsia="Calibri" w:cs="Calibri"/>
          <w:lang w:val="pt-PT"/>
        </w:rPr>
      </w:pPr>
      <w:r w:rsidRPr="00292532">
        <w:rPr>
          <w:rFonts w:eastAsia="Calibri" w:cs="Calibri"/>
          <w:lang w:val="pt-PT"/>
        </w:rPr>
        <w:t>Data:          _________________________</w:t>
      </w:r>
    </w:p>
    <w:p w14:paraId="0653F9ED" w14:textId="77777777" w:rsidR="00B31AE2" w:rsidRPr="00292532" w:rsidRDefault="00B31AE2" w:rsidP="00B31AE2">
      <w:pPr>
        <w:spacing w:before="0" w:after="200" w:line="276" w:lineRule="auto"/>
        <w:jc w:val="center"/>
        <w:rPr>
          <w:rFonts w:eastAsia="Calibri" w:cs="Calibri"/>
          <w:lang w:val="pt-PT"/>
        </w:rPr>
      </w:pPr>
    </w:p>
    <w:p w14:paraId="5EA7A4DB" w14:textId="77777777" w:rsidR="00B31AE2" w:rsidRPr="00292532" w:rsidRDefault="00B31AE2" w:rsidP="00B31AE2">
      <w:pPr>
        <w:spacing w:before="0" w:after="200" w:line="276" w:lineRule="auto"/>
        <w:jc w:val="left"/>
        <w:rPr>
          <w:rFonts w:eastAsia="Calibri" w:cs="Calibri"/>
          <w:lang w:val="pt-PT"/>
        </w:rPr>
      </w:pPr>
    </w:p>
    <w:p w14:paraId="606C4265" w14:textId="77777777" w:rsidR="00B31AE2" w:rsidRPr="00292532" w:rsidRDefault="00B31AE2" w:rsidP="00B31AE2">
      <w:pPr>
        <w:spacing w:before="0" w:after="200" w:line="276" w:lineRule="auto"/>
        <w:jc w:val="center"/>
        <w:rPr>
          <w:rFonts w:eastAsia="Calibri" w:cs="Calibri"/>
          <w:b/>
          <w:lang w:val="pt-PT"/>
        </w:rPr>
      </w:pPr>
      <w:r w:rsidRPr="00292532">
        <w:rPr>
          <w:rFonts w:eastAsia="Calibri" w:cs="Calibri"/>
          <w:lang w:val="pt-PT"/>
        </w:rPr>
        <w:br w:type="page"/>
      </w:r>
      <w:r w:rsidRPr="00292532">
        <w:rPr>
          <w:rFonts w:eastAsia="Calibri" w:cs="Calibri"/>
          <w:b/>
          <w:lang w:val="pt-PT"/>
        </w:rPr>
        <w:lastRenderedPageBreak/>
        <w:t>Código de conduta para Gestores</w:t>
      </w:r>
    </w:p>
    <w:p w14:paraId="343BF88E" w14:textId="77777777" w:rsidR="00B31AE2" w:rsidRPr="00292532" w:rsidRDefault="00B31AE2" w:rsidP="00B31AE2">
      <w:pPr>
        <w:spacing w:before="0" w:after="200" w:line="276" w:lineRule="auto"/>
        <w:rPr>
          <w:rFonts w:eastAsia="Calibri" w:cs="Calibri"/>
          <w:lang w:val="pt-PT"/>
        </w:rPr>
      </w:pPr>
      <w:r w:rsidRPr="00292532">
        <w:rPr>
          <w:rFonts w:eastAsia="Calibri" w:cs="Calibri"/>
          <w:lang w:val="pt-PT"/>
        </w:rPr>
        <w:t xml:space="preserve">O gestor em todos os níveis tem responsabilidades particulares de fazer cumprir o compromisso da empresa na prevenção dos riscos e impactos ambientais, sociais e de saúde e segurança ocupacional, incluindo evitar e resolver casos de VBG e VCC (note-se Violência Sexual Baseada no Género (VSBG), Exploração e Abuso Sexual (EAS), Assédio Sexual (AS), Uniões Prematuras, trabalho infantil, etc.). Os gestores devem encorajar e promover a implementação do Código de Conduta da empresa. Para esse fim, os gestores devem aderir ao Código de Conduta para Gestores e também assinar o Código de Conduta Individual. Isso os compromete a apoiar e desenvolver sistemas que facilitem a implementação do código e Plano de </w:t>
      </w:r>
      <w:proofErr w:type="spellStart"/>
      <w:r w:rsidRPr="00292532">
        <w:rPr>
          <w:rFonts w:eastAsia="Calibri" w:cs="Calibri"/>
          <w:lang w:val="pt-PT"/>
        </w:rPr>
        <w:t>Acção</w:t>
      </w:r>
      <w:proofErr w:type="spellEnd"/>
      <w:r w:rsidRPr="00292532">
        <w:rPr>
          <w:rFonts w:eastAsia="Calibri" w:cs="Calibri"/>
          <w:lang w:val="pt-PT"/>
        </w:rPr>
        <w:t xml:space="preserve">. Essas responsabilidades incluem, mas não se restringem a: </w:t>
      </w:r>
    </w:p>
    <w:p w14:paraId="7BBB2D95" w14:textId="77777777" w:rsidR="00B31AE2" w:rsidRPr="00292532" w:rsidRDefault="00B31AE2" w:rsidP="00B31AE2">
      <w:pPr>
        <w:spacing w:before="0" w:after="0" w:line="276" w:lineRule="auto"/>
        <w:rPr>
          <w:rFonts w:eastAsia="Calibri" w:cs="Calibri"/>
          <w:lang w:val="pt-PT"/>
        </w:rPr>
      </w:pPr>
    </w:p>
    <w:p w14:paraId="56D0B0B4" w14:textId="77777777" w:rsidR="00B31AE2" w:rsidRPr="00292532" w:rsidRDefault="00B31AE2" w:rsidP="00B31AE2">
      <w:pPr>
        <w:spacing w:before="0" w:line="276" w:lineRule="auto"/>
        <w:jc w:val="left"/>
        <w:rPr>
          <w:rFonts w:eastAsia="Calibri" w:cs="Calibri"/>
          <w:b/>
          <w:bCs/>
          <w:lang w:val="pt-PT"/>
        </w:rPr>
      </w:pPr>
      <w:r w:rsidRPr="00292532">
        <w:rPr>
          <w:rFonts w:eastAsia="Calibri" w:cs="Calibri"/>
          <w:b/>
          <w:bCs/>
          <w:lang w:val="pt-PT"/>
        </w:rPr>
        <w:t>Implementação</w:t>
      </w:r>
    </w:p>
    <w:p w14:paraId="1F17C1BC" w14:textId="77777777" w:rsidR="00B31AE2" w:rsidRPr="00292532" w:rsidRDefault="00B31AE2" w:rsidP="00AE14AE">
      <w:pPr>
        <w:numPr>
          <w:ilvl w:val="0"/>
          <w:numId w:val="132"/>
        </w:numPr>
        <w:spacing w:before="0" w:after="120" w:line="276" w:lineRule="auto"/>
        <w:contextualSpacing/>
        <w:jc w:val="left"/>
        <w:rPr>
          <w:rFonts w:eastAsia="Calibri" w:cs="Calibri"/>
          <w:lang w:val="pt-PT"/>
        </w:rPr>
      </w:pPr>
      <w:r w:rsidRPr="00292532">
        <w:rPr>
          <w:rFonts w:eastAsia="Calibri" w:cs="Calibri"/>
          <w:lang w:val="pt-PT"/>
        </w:rPr>
        <w:t xml:space="preserve">Para garantir a </w:t>
      </w:r>
      <w:proofErr w:type="spellStart"/>
      <w:r w:rsidRPr="00292532">
        <w:rPr>
          <w:rFonts w:eastAsia="Calibri" w:cs="Calibri"/>
          <w:lang w:val="pt-PT"/>
        </w:rPr>
        <w:t>efectividade</w:t>
      </w:r>
      <w:proofErr w:type="spellEnd"/>
      <w:r w:rsidRPr="00292532">
        <w:rPr>
          <w:rFonts w:eastAsia="Calibri" w:cs="Calibri"/>
          <w:lang w:val="pt-PT"/>
        </w:rPr>
        <w:t xml:space="preserve"> máxima do Código de Conduta da Empresa e Individual: </w:t>
      </w:r>
    </w:p>
    <w:p w14:paraId="6D7002B1" w14:textId="77777777" w:rsidR="00B31AE2" w:rsidRPr="00292532" w:rsidRDefault="00B31AE2" w:rsidP="00AE14AE">
      <w:pPr>
        <w:numPr>
          <w:ilvl w:val="1"/>
          <w:numId w:val="132"/>
        </w:numPr>
        <w:spacing w:before="260" w:after="120" w:line="276" w:lineRule="auto"/>
        <w:contextualSpacing/>
        <w:jc w:val="left"/>
        <w:rPr>
          <w:rFonts w:eastAsia="Calibri" w:cs="Calibri"/>
          <w:lang w:val="pt-PT"/>
        </w:rPr>
      </w:pPr>
      <w:r w:rsidRPr="00292532">
        <w:rPr>
          <w:rFonts w:eastAsia="Calibri" w:cs="Calibri"/>
          <w:lang w:val="pt-PT"/>
        </w:rPr>
        <w:t xml:space="preserve">Exibir de forma proeminente o Código de Conduta da empresa e Individual de forma clara nos locais de trabalho, escritórios e em espaços públicos. Exemplos de áreas incluem áreas de entrada, espera, repouso, refeitório, vitrinas/murais, etc. </w:t>
      </w:r>
    </w:p>
    <w:p w14:paraId="7D241F62" w14:textId="77777777" w:rsidR="00B31AE2" w:rsidRPr="00292532" w:rsidRDefault="00B31AE2" w:rsidP="00AE14AE">
      <w:pPr>
        <w:numPr>
          <w:ilvl w:val="1"/>
          <w:numId w:val="132"/>
        </w:numPr>
        <w:spacing w:before="260" w:after="120" w:line="276" w:lineRule="auto"/>
        <w:contextualSpacing/>
        <w:jc w:val="left"/>
        <w:rPr>
          <w:rFonts w:eastAsia="Calibri" w:cs="Calibri"/>
          <w:lang w:val="pt-PT"/>
        </w:rPr>
      </w:pPr>
      <w:r w:rsidRPr="00292532">
        <w:rPr>
          <w:rFonts w:eastAsia="Calibri" w:cs="Calibri"/>
          <w:lang w:val="pt-PT"/>
        </w:rPr>
        <w:t xml:space="preserve">Assegurar que todas as cópias enviadas e distribuídas dos códigos de conduta da empresa e os individuais sejam traduzidos para idiomas apropriados nas áreas do local de trabalho, bem como para qualquer equipa internacional em suas línguas nativas. </w:t>
      </w:r>
    </w:p>
    <w:p w14:paraId="6DD4DFC5" w14:textId="77777777" w:rsidR="00B31AE2" w:rsidRPr="00292532" w:rsidRDefault="00B31AE2" w:rsidP="00AE14AE">
      <w:pPr>
        <w:numPr>
          <w:ilvl w:val="0"/>
          <w:numId w:val="132"/>
        </w:numPr>
        <w:spacing w:before="260" w:after="120" w:line="276" w:lineRule="auto"/>
        <w:contextualSpacing/>
        <w:jc w:val="left"/>
        <w:rPr>
          <w:rFonts w:eastAsia="Calibri" w:cs="Calibri"/>
          <w:lang w:val="pt-PT"/>
        </w:rPr>
      </w:pPr>
      <w:r w:rsidRPr="00292532">
        <w:rPr>
          <w:rFonts w:eastAsia="Calibri" w:cs="Calibri"/>
          <w:lang w:val="pt-PT"/>
        </w:rPr>
        <w:t xml:space="preserve">Explicação verbal nas línguas locais de incidência na área do subprojecto do Código de Conduta da Empresa e Individual para todos os colaboradores. </w:t>
      </w:r>
    </w:p>
    <w:p w14:paraId="1A997B6F" w14:textId="77777777" w:rsidR="00B31AE2" w:rsidRPr="00292532" w:rsidRDefault="00B31AE2" w:rsidP="00AE14AE">
      <w:pPr>
        <w:numPr>
          <w:ilvl w:val="0"/>
          <w:numId w:val="132"/>
        </w:numPr>
        <w:spacing w:before="260" w:after="120" w:line="276" w:lineRule="auto"/>
        <w:contextualSpacing/>
        <w:jc w:val="left"/>
        <w:rPr>
          <w:rFonts w:eastAsia="Calibri" w:cs="Calibri"/>
          <w:lang w:val="pt-PT"/>
        </w:rPr>
      </w:pPr>
      <w:r w:rsidRPr="00292532">
        <w:rPr>
          <w:rFonts w:eastAsia="Calibri" w:cs="Calibri"/>
          <w:lang w:val="pt-PT"/>
        </w:rPr>
        <w:t xml:space="preserve">Garantir que: </w:t>
      </w:r>
    </w:p>
    <w:p w14:paraId="0D211656" w14:textId="77777777" w:rsidR="00B31AE2" w:rsidRPr="00292532" w:rsidRDefault="00B31AE2" w:rsidP="00AE14AE">
      <w:pPr>
        <w:numPr>
          <w:ilvl w:val="1"/>
          <w:numId w:val="132"/>
        </w:numPr>
        <w:spacing w:before="260" w:after="120" w:line="276" w:lineRule="auto"/>
        <w:contextualSpacing/>
        <w:jc w:val="left"/>
        <w:rPr>
          <w:rFonts w:eastAsia="Calibri" w:cs="Calibri"/>
          <w:lang w:val="pt-PT"/>
        </w:rPr>
      </w:pPr>
      <w:r w:rsidRPr="00292532">
        <w:rPr>
          <w:rFonts w:eastAsia="Calibri" w:cs="Calibri"/>
          <w:lang w:val="pt-PT"/>
        </w:rPr>
        <w:t xml:space="preserve">Todos assinam o ‘código de conduta individual’ incluindo o reconhecimento de que leram e concordam com o código de conduta. </w:t>
      </w:r>
    </w:p>
    <w:p w14:paraId="49629FE2" w14:textId="77777777" w:rsidR="00B31AE2" w:rsidRPr="00292532" w:rsidRDefault="00B31AE2" w:rsidP="00AE14AE">
      <w:pPr>
        <w:numPr>
          <w:ilvl w:val="1"/>
          <w:numId w:val="132"/>
        </w:numPr>
        <w:spacing w:before="260" w:after="120" w:line="276" w:lineRule="auto"/>
        <w:contextualSpacing/>
        <w:jc w:val="left"/>
        <w:rPr>
          <w:rFonts w:eastAsia="Calibri" w:cs="Calibri"/>
          <w:lang w:val="pt-PT"/>
        </w:rPr>
      </w:pPr>
      <w:r w:rsidRPr="00292532">
        <w:rPr>
          <w:rFonts w:eastAsia="Calibri" w:cs="Calibri"/>
          <w:lang w:val="pt-PT"/>
        </w:rPr>
        <w:t xml:space="preserve">As listas de pessoal e as cópias assinadas dos códigos de conduta individuais são fornecidos a clientes quando solicitadas. </w:t>
      </w:r>
    </w:p>
    <w:p w14:paraId="679C753E" w14:textId="77777777" w:rsidR="00B31AE2" w:rsidRPr="00292532" w:rsidRDefault="00B31AE2" w:rsidP="00AE14AE">
      <w:pPr>
        <w:numPr>
          <w:ilvl w:val="1"/>
          <w:numId w:val="132"/>
        </w:numPr>
        <w:spacing w:before="260" w:after="120" w:line="276" w:lineRule="auto"/>
        <w:contextualSpacing/>
        <w:jc w:val="left"/>
        <w:rPr>
          <w:rFonts w:eastAsia="Calibri" w:cs="Calibri"/>
          <w:lang w:val="pt-PT"/>
        </w:rPr>
      </w:pPr>
      <w:r w:rsidRPr="00292532">
        <w:rPr>
          <w:rFonts w:eastAsia="Calibri" w:cs="Calibri"/>
          <w:lang w:val="pt-PT"/>
        </w:rPr>
        <w:t xml:space="preserve">Participar das formações e garantir que o pessoal também participe conforme realçado abaixo. </w:t>
      </w:r>
    </w:p>
    <w:p w14:paraId="784ACB0C" w14:textId="77777777" w:rsidR="00B31AE2" w:rsidRPr="00292532" w:rsidRDefault="00B31AE2" w:rsidP="00AE14AE">
      <w:pPr>
        <w:numPr>
          <w:ilvl w:val="1"/>
          <w:numId w:val="132"/>
        </w:numPr>
        <w:spacing w:before="260" w:after="120" w:line="276" w:lineRule="auto"/>
        <w:contextualSpacing/>
        <w:jc w:val="left"/>
        <w:rPr>
          <w:rFonts w:eastAsia="Calibri" w:cs="Calibri"/>
          <w:lang w:val="pt-PT"/>
        </w:rPr>
      </w:pPr>
      <w:r w:rsidRPr="00292532">
        <w:rPr>
          <w:rFonts w:eastAsia="Calibri" w:cs="Calibri"/>
          <w:lang w:val="pt-PT"/>
        </w:rPr>
        <w:t xml:space="preserve">Os trabalhadores estão familiarizados com o Mecanismo de Gestão de Reclamações (MGR) e o usam de forma anónima para denunciar casos de desvio do código, incluindo de VBG e VCC.  </w:t>
      </w:r>
    </w:p>
    <w:p w14:paraId="685C9167" w14:textId="77777777" w:rsidR="00B31AE2" w:rsidRPr="00292532" w:rsidRDefault="00B31AE2" w:rsidP="00AE14AE">
      <w:pPr>
        <w:numPr>
          <w:ilvl w:val="1"/>
          <w:numId w:val="132"/>
        </w:numPr>
        <w:spacing w:before="260" w:after="120" w:line="276" w:lineRule="auto"/>
        <w:contextualSpacing/>
        <w:jc w:val="left"/>
        <w:rPr>
          <w:rFonts w:eastAsia="Calibri" w:cs="Calibri"/>
          <w:lang w:val="pt-PT"/>
        </w:rPr>
      </w:pPr>
      <w:r w:rsidRPr="00292532">
        <w:rPr>
          <w:rFonts w:eastAsia="Calibri" w:cs="Calibri"/>
          <w:lang w:val="pt-PT"/>
        </w:rPr>
        <w:t xml:space="preserve">Os funcionários são encorajados a denunciar suspeitas ou casos reais de </w:t>
      </w:r>
      <w:proofErr w:type="spellStart"/>
      <w:r w:rsidRPr="00292532">
        <w:rPr>
          <w:rFonts w:eastAsia="Calibri" w:cs="Calibri"/>
          <w:lang w:val="pt-PT"/>
        </w:rPr>
        <w:t>actividades</w:t>
      </w:r>
      <w:proofErr w:type="spellEnd"/>
      <w:r w:rsidRPr="00292532">
        <w:rPr>
          <w:rFonts w:eastAsia="Calibri" w:cs="Calibri"/>
          <w:lang w:val="pt-PT"/>
        </w:rPr>
        <w:t xml:space="preserve"> ou </w:t>
      </w:r>
      <w:proofErr w:type="spellStart"/>
      <w:r w:rsidRPr="00292532">
        <w:rPr>
          <w:rFonts w:eastAsia="Calibri" w:cs="Calibri"/>
          <w:lang w:val="pt-PT"/>
        </w:rPr>
        <w:t>acções</w:t>
      </w:r>
      <w:proofErr w:type="spellEnd"/>
      <w:r w:rsidRPr="00292532">
        <w:rPr>
          <w:rFonts w:eastAsia="Calibri" w:cs="Calibri"/>
          <w:lang w:val="pt-PT"/>
        </w:rPr>
        <w:t xml:space="preserve"> que contradizem ao estipulado nos códigos de conduta e na legislação moçambicana,</w:t>
      </w:r>
      <w:r w:rsidRPr="00292532" w:rsidDel="0005596B">
        <w:rPr>
          <w:rFonts w:eastAsia="Calibri" w:cs="Calibri"/>
          <w:lang w:val="pt-PT"/>
        </w:rPr>
        <w:t xml:space="preserve"> </w:t>
      </w:r>
      <w:r w:rsidRPr="00292532">
        <w:rPr>
          <w:rFonts w:eastAsia="Calibri" w:cs="Calibri"/>
          <w:lang w:val="pt-PT"/>
        </w:rPr>
        <w:t xml:space="preserve">enfatizando a responsabilidade da equipa e enfatizando o respeito pela confidencialidade. </w:t>
      </w:r>
    </w:p>
    <w:p w14:paraId="42431AF9" w14:textId="77777777" w:rsidR="00B31AE2" w:rsidRPr="00292532" w:rsidRDefault="00B31AE2" w:rsidP="00AE14AE">
      <w:pPr>
        <w:numPr>
          <w:ilvl w:val="1"/>
          <w:numId w:val="132"/>
        </w:numPr>
        <w:spacing w:before="260" w:after="120" w:line="276" w:lineRule="auto"/>
        <w:contextualSpacing/>
        <w:jc w:val="left"/>
        <w:rPr>
          <w:rFonts w:eastAsia="Calibri" w:cs="Calibri"/>
          <w:lang w:val="pt-PT"/>
        </w:rPr>
      </w:pPr>
      <w:r w:rsidRPr="00292532">
        <w:rPr>
          <w:rFonts w:eastAsia="Calibri" w:cs="Calibri"/>
          <w:lang w:val="pt-PT"/>
        </w:rPr>
        <w:t xml:space="preserve">Os funcionários tenham todo material e equipamento necessário para a execução segura e eficaz das suas </w:t>
      </w:r>
      <w:proofErr w:type="spellStart"/>
      <w:r w:rsidRPr="00292532">
        <w:rPr>
          <w:rFonts w:eastAsia="Calibri" w:cs="Calibri"/>
          <w:lang w:val="pt-PT"/>
        </w:rPr>
        <w:t>actividades</w:t>
      </w:r>
      <w:proofErr w:type="spellEnd"/>
      <w:r w:rsidRPr="00292532">
        <w:rPr>
          <w:rFonts w:eastAsia="Calibri" w:cs="Calibri"/>
          <w:lang w:val="pt-PT"/>
        </w:rPr>
        <w:t xml:space="preserve">, garantindo menor risco ambiental, social e de acidentes de trabalho. </w:t>
      </w:r>
    </w:p>
    <w:p w14:paraId="236E9448" w14:textId="77777777" w:rsidR="00B31AE2" w:rsidRPr="00292532" w:rsidRDefault="00B31AE2" w:rsidP="00AE14AE">
      <w:pPr>
        <w:numPr>
          <w:ilvl w:val="0"/>
          <w:numId w:val="132"/>
        </w:numPr>
        <w:spacing w:before="260" w:after="120" w:line="276" w:lineRule="auto"/>
        <w:contextualSpacing/>
        <w:jc w:val="left"/>
        <w:rPr>
          <w:rFonts w:eastAsia="Calibri" w:cs="Calibri"/>
          <w:lang w:val="pt-PT"/>
        </w:rPr>
      </w:pPr>
      <w:r w:rsidRPr="00292532">
        <w:rPr>
          <w:rFonts w:eastAsia="Calibri" w:cs="Calibri"/>
          <w:lang w:val="pt-PT"/>
        </w:rPr>
        <w:t>Cumprir e fazer cumprir a legislação moçambicana e o código de conduta por todos os trabalhadores.</w:t>
      </w:r>
    </w:p>
    <w:p w14:paraId="643B4F1E" w14:textId="77777777" w:rsidR="00B31AE2" w:rsidRPr="00292532" w:rsidRDefault="00B31AE2" w:rsidP="00AE14AE">
      <w:pPr>
        <w:numPr>
          <w:ilvl w:val="0"/>
          <w:numId w:val="132"/>
        </w:numPr>
        <w:spacing w:before="260" w:after="120" w:line="276" w:lineRule="auto"/>
        <w:contextualSpacing/>
        <w:jc w:val="left"/>
        <w:rPr>
          <w:rFonts w:eastAsia="Calibri" w:cs="Calibri"/>
          <w:lang w:val="pt-PT"/>
        </w:rPr>
      </w:pPr>
      <w:r w:rsidRPr="00292532">
        <w:rPr>
          <w:rFonts w:eastAsia="Calibri" w:cs="Calibri"/>
          <w:lang w:val="pt-PT"/>
        </w:rPr>
        <w:t xml:space="preserve">Em conformidade com as leis aplicáveis, devem ser utilizadas verificações de referência e de registo criminal para todos os funcionários e evitar contratações a pessoas que foram acusados de crimes ligados a VBG e VCC. </w:t>
      </w:r>
    </w:p>
    <w:p w14:paraId="52571E3E" w14:textId="77777777" w:rsidR="00B31AE2" w:rsidRPr="00292532" w:rsidRDefault="00B31AE2" w:rsidP="00AE14AE">
      <w:pPr>
        <w:numPr>
          <w:ilvl w:val="0"/>
          <w:numId w:val="132"/>
        </w:numPr>
        <w:spacing w:before="260" w:after="120" w:line="276" w:lineRule="auto"/>
        <w:contextualSpacing/>
        <w:jc w:val="left"/>
        <w:rPr>
          <w:rFonts w:eastAsia="Calibri" w:cs="Calibri"/>
          <w:lang w:val="pt-PT"/>
        </w:rPr>
      </w:pPr>
      <w:r w:rsidRPr="00292532">
        <w:rPr>
          <w:rFonts w:eastAsia="Calibri" w:cs="Calibri"/>
          <w:lang w:val="pt-PT"/>
        </w:rPr>
        <w:lastRenderedPageBreak/>
        <w:t xml:space="preserve">Garantir que quando envolvidos em parcerias, subcontratações ou acordos/contratos similares, esses acordos/contratos: </w:t>
      </w:r>
    </w:p>
    <w:p w14:paraId="73302363" w14:textId="77777777" w:rsidR="00B31AE2" w:rsidRPr="00292532" w:rsidRDefault="00B31AE2" w:rsidP="00AE14AE">
      <w:pPr>
        <w:numPr>
          <w:ilvl w:val="1"/>
          <w:numId w:val="132"/>
        </w:numPr>
        <w:spacing w:before="260" w:after="120" w:line="276" w:lineRule="auto"/>
        <w:contextualSpacing/>
        <w:jc w:val="left"/>
        <w:rPr>
          <w:rFonts w:eastAsia="Calibri" w:cs="Calibri"/>
          <w:lang w:val="pt-PT"/>
        </w:rPr>
      </w:pPr>
      <w:r w:rsidRPr="00292532">
        <w:rPr>
          <w:rFonts w:eastAsia="Calibri" w:cs="Calibri"/>
          <w:lang w:val="pt-PT"/>
        </w:rPr>
        <w:t xml:space="preserve">Incorporem os Códigos de Conduta como um anexo. </w:t>
      </w:r>
    </w:p>
    <w:p w14:paraId="18CA7844" w14:textId="77777777" w:rsidR="00B31AE2" w:rsidRPr="00292532" w:rsidRDefault="00B31AE2" w:rsidP="00AE14AE">
      <w:pPr>
        <w:numPr>
          <w:ilvl w:val="1"/>
          <w:numId w:val="132"/>
        </w:numPr>
        <w:spacing w:before="260" w:after="120" w:line="276" w:lineRule="auto"/>
        <w:contextualSpacing/>
        <w:jc w:val="left"/>
        <w:rPr>
          <w:rFonts w:eastAsia="Calibri" w:cs="Calibri"/>
          <w:lang w:val="pt-PT"/>
        </w:rPr>
      </w:pPr>
      <w:r w:rsidRPr="00292532">
        <w:rPr>
          <w:rFonts w:eastAsia="Calibri" w:cs="Calibri"/>
          <w:lang w:val="pt-PT"/>
        </w:rPr>
        <w:t xml:space="preserve">Incluam linguagem apropriada que exija que tais entidades contratantes e pessoas físicas, e seus funcionários e voluntários cumpram com os códigos de conduta individual. </w:t>
      </w:r>
    </w:p>
    <w:p w14:paraId="2A748060" w14:textId="77777777" w:rsidR="00B31AE2" w:rsidRPr="00292532" w:rsidRDefault="00B31AE2" w:rsidP="00AE14AE">
      <w:pPr>
        <w:numPr>
          <w:ilvl w:val="1"/>
          <w:numId w:val="132"/>
        </w:numPr>
        <w:spacing w:before="260" w:after="120" w:line="276" w:lineRule="auto"/>
        <w:contextualSpacing/>
        <w:jc w:val="left"/>
        <w:rPr>
          <w:rFonts w:eastAsia="Calibri" w:cs="Calibri"/>
          <w:lang w:val="pt-PT"/>
        </w:rPr>
      </w:pPr>
      <w:r w:rsidRPr="00292532">
        <w:rPr>
          <w:rFonts w:eastAsia="Calibri" w:cs="Calibri"/>
          <w:lang w:val="pt-PT"/>
        </w:rPr>
        <w:t>Declarem expressamente que o fracasso dessas entidades ou indivíduos, conforma apropriado, no cumprimento do estipulado no código de conduta, constituirá motivo para sanções e penalizações.</w:t>
      </w:r>
    </w:p>
    <w:p w14:paraId="526DBB24" w14:textId="77777777" w:rsidR="00B31AE2" w:rsidRPr="00292532" w:rsidRDefault="00B31AE2" w:rsidP="00AE14AE">
      <w:pPr>
        <w:numPr>
          <w:ilvl w:val="0"/>
          <w:numId w:val="132"/>
        </w:numPr>
        <w:spacing w:before="260" w:after="0" w:line="276" w:lineRule="auto"/>
        <w:contextualSpacing/>
        <w:jc w:val="left"/>
        <w:rPr>
          <w:rFonts w:eastAsia="Calibri" w:cs="Calibri"/>
          <w:lang w:val="pt-PT"/>
        </w:rPr>
      </w:pPr>
      <w:r w:rsidRPr="00292532">
        <w:rPr>
          <w:rFonts w:eastAsia="Calibri" w:cs="Calibri"/>
          <w:lang w:val="pt-PT"/>
        </w:rPr>
        <w:t xml:space="preserve">Certificar-se de que qualquer problema que justifique a </w:t>
      </w:r>
      <w:proofErr w:type="spellStart"/>
      <w:r w:rsidRPr="00292532">
        <w:rPr>
          <w:rFonts w:eastAsia="Calibri" w:cs="Calibri"/>
          <w:lang w:val="pt-PT"/>
        </w:rPr>
        <w:t>acção</w:t>
      </w:r>
      <w:proofErr w:type="spellEnd"/>
      <w:r w:rsidRPr="00292532">
        <w:rPr>
          <w:rFonts w:eastAsia="Calibri" w:cs="Calibri"/>
          <w:lang w:val="pt-PT"/>
        </w:rPr>
        <w:t xml:space="preserve"> policial seja denunciado ao cliente e ou financiador imediatamente. </w:t>
      </w:r>
    </w:p>
    <w:p w14:paraId="56B12CDE" w14:textId="77777777" w:rsidR="00B31AE2" w:rsidRPr="00292532" w:rsidRDefault="00B31AE2" w:rsidP="00B31AE2">
      <w:pPr>
        <w:spacing w:before="0" w:after="0"/>
        <w:rPr>
          <w:rFonts w:eastAsia="Calibri" w:cs="Calibri"/>
          <w:lang w:val="pt-PT"/>
        </w:rPr>
      </w:pPr>
    </w:p>
    <w:p w14:paraId="661323DA" w14:textId="77777777" w:rsidR="00B31AE2" w:rsidRPr="00292532" w:rsidRDefault="00B31AE2" w:rsidP="00B31AE2">
      <w:pPr>
        <w:spacing w:before="0" w:line="276" w:lineRule="auto"/>
        <w:jc w:val="left"/>
        <w:rPr>
          <w:rFonts w:eastAsia="Calibri" w:cs="Calibri"/>
          <w:b/>
          <w:bCs/>
          <w:lang w:val="pt-PT"/>
        </w:rPr>
      </w:pPr>
      <w:r w:rsidRPr="00292532">
        <w:rPr>
          <w:rFonts w:eastAsia="Calibri" w:cs="Calibri"/>
          <w:b/>
          <w:bCs/>
          <w:lang w:val="pt-PT"/>
        </w:rPr>
        <w:t xml:space="preserve">Formação </w:t>
      </w:r>
    </w:p>
    <w:p w14:paraId="07534EEC" w14:textId="77777777" w:rsidR="00B31AE2" w:rsidRPr="00292532" w:rsidRDefault="00B31AE2" w:rsidP="00AE14AE">
      <w:pPr>
        <w:numPr>
          <w:ilvl w:val="0"/>
          <w:numId w:val="132"/>
        </w:numPr>
        <w:spacing w:before="0" w:after="120" w:line="276" w:lineRule="auto"/>
        <w:contextualSpacing/>
        <w:jc w:val="left"/>
        <w:rPr>
          <w:rFonts w:eastAsia="Calibri" w:cs="Calibri"/>
          <w:lang w:val="pt-PT"/>
        </w:rPr>
      </w:pPr>
      <w:r w:rsidRPr="00292532">
        <w:rPr>
          <w:rFonts w:eastAsia="Calibri" w:cs="Calibri"/>
          <w:lang w:val="pt-PT"/>
        </w:rPr>
        <w:t xml:space="preserve">Todos os gestores são obrigados a participar de uma secção de indução para gestores antes do início dos trabalhos no local de forma a garantir que eles estejam familiarizados com as funções e responsabilidades na manutenção dos códigos de conduta. Essa formação será separada da indução para todos os funcionários e proporcionará aos gestores o entendimento necessário e o apoio técnico necessário para começar a desenvolver o Plano de </w:t>
      </w:r>
      <w:proofErr w:type="spellStart"/>
      <w:r w:rsidRPr="00292532">
        <w:rPr>
          <w:rFonts w:eastAsia="Calibri" w:cs="Calibri"/>
          <w:lang w:val="pt-PT"/>
        </w:rPr>
        <w:t>Acção</w:t>
      </w:r>
      <w:proofErr w:type="spellEnd"/>
      <w:r w:rsidRPr="00292532">
        <w:rPr>
          <w:rFonts w:eastAsia="Calibri" w:cs="Calibri"/>
          <w:lang w:val="pt-PT"/>
        </w:rPr>
        <w:t>.</w:t>
      </w:r>
    </w:p>
    <w:p w14:paraId="2207565A" w14:textId="77777777" w:rsidR="00B31AE2" w:rsidRPr="00292532" w:rsidRDefault="00B31AE2" w:rsidP="00AE14AE">
      <w:pPr>
        <w:numPr>
          <w:ilvl w:val="0"/>
          <w:numId w:val="132"/>
        </w:numPr>
        <w:spacing w:before="260" w:after="120" w:line="276" w:lineRule="auto"/>
        <w:contextualSpacing/>
        <w:jc w:val="left"/>
        <w:rPr>
          <w:rFonts w:eastAsia="Calibri" w:cs="Calibri"/>
          <w:lang w:val="pt-PT"/>
        </w:rPr>
      </w:pPr>
      <w:r w:rsidRPr="00292532">
        <w:rPr>
          <w:rFonts w:eastAsia="Calibri" w:cs="Calibri"/>
          <w:lang w:val="pt-PT"/>
        </w:rPr>
        <w:t xml:space="preserve">Os gestores são obrigados a participar e auxiliar nos cursos de formação facilitados pelo </w:t>
      </w:r>
      <w:proofErr w:type="spellStart"/>
      <w:r w:rsidRPr="00292532">
        <w:rPr>
          <w:rFonts w:eastAsia="Calibri" w:cs="Calibri"/>
          <w:lang w:val="pt-PT"/>
        </w:rPr>
        <w:t>projecto</w:t>
      </w:r>
      <w:proofErr w:type="spellEnd"/>
      <w:r w:rsidRPr="00292532">
        <w:rPr>
          <w:rFonts w:eastAsia="Calibri" w:cs="Calibri"/>
          <w:lang w:val="pt-PT"/>
        </w:rPr>
        <w:t xml:space="preserve"> para todos os funcionários. Os gestores serão obrigados a apresentar as formações e anunciar as </w:t>
      </w:r>
      <w:proofErr w:type="spellStart"/>
      <w:r w:rsidRPr="00292532">
        <w:rPr>
          <w:rFonts w:eastAsia="Calibri" w:cs="Calibri"/>
          <w:lang w:val="pt-PT"/>
        </w:rPr>
        <w:t>auto-avaliações</w:t>
      </w:r>
      <w:proofErr w:type="spellEnd"/>
      <w:r w:rsidRPr="00292532">
        <w:rPr>
          <w:rFonts w:eastAsia="Calibri" w:cs="Calibri"/>
          <w:lang w:val="pt-PT"/>
        </w:rPr>
        <w:t xml:space="preserve">.  </w:t>
      </w:r>
    </w:p>
    <w:p w14:paraId="0E889164" w14:textId="77777777" w:rsidR="00B31AE2" w:rsidRPr="00292532" w:rsidRDefault="00B31AE2" w:rsidP="00B31AE2">
      <w:pPr>
        <w:spacing w:before="0" w:after="0" w:line="276" w:lineRule="auto"/>
        <w:jc w:val="left"/>
        <w:rPr>
          <w:rFonts w:eastAsia="Calibri" w:cs="Calibri"/>
          <w:lang w:val="pt-PT"/>
        </w:rPr>
      </w:pPr>
      <w:r w:rsidRPr="00292532">
        <w:rPr>
          <w:rFonts w:eastAsia="Calibri" w:cs="Calibri"/>
          <w:lang w:val="pt-PT"/>
        </w:rPr>
        <w:t xml:space="preserve">Recolher pesquisas de satisfação para avaliar experiências das formações e fornecer conselhos sobre como melhorar a eficácia das formações. </w:t>
      </w:r>
    </w:p>
    <w:p w14:paraId="283E62E0" w14:textId="77777777" w:rsidR="00B31AE2" w:rsidRPr="00292532" w:rsidRDefault="00B31AE2" w:rsidP="00B31AE2">
      <w:pPr>
        <w:spacing w:before="0" w:after="0" w:line="276" w:lineRule="auto"/>
        <w:jc w:val="left"/>
        <w:rPr>
          <w:rFonts w:eastAsia="Calibri" w:cs="Calibri"/>
          <w:lang w:val="pt-PT"/>
        </w:rPr>
      </w:pPr>
    </w:p>
    <w:p w14:paraId="7C63F207" w14:textId="77777777" w:rsidR="00B31AE2" w:rsidRPr="00292532" w:rsidRDefault="00B31AE2" w:rsidP="00B31AE2">
      <w:pPr>
        <w:spacing w:before="0" w:line="276" w:lineRule="auto"/>
        <w:jc w:val="left"/>
        <w:rPr>
          <w:rFonts w:eastAsia="Calibri" w:cs="Calibri"/>
          <w:b/>
          <w:bCs/>
          <w:lang w:val="pt-PT"/>
        </w:rPr>
      </w:pPr>
      <w:r w:rsidRPr="00292532">
        <w:rPr>
          <w:rFonts w:eastAsia="Calibri" w:cs="Calibri"/>
          <w:b/>
          <w:bCs/>
          <w:lang w:val="pt-PT"/>
        </w:rPr>
        <w:t>Resposta</w:t>
      </w:r>
    </w:p>
    <w:p w14:paraId="214901C3" w14:textId="77777777" w:rsidR="00B31AE2" w:rsidRPr="00292532" w:rsidRDefault="00B31AE2" w:rsidP="00AE14AE">
      <w:pPr>
        <w:numPr>
          <w:ilvl w:val="0"/>
          <w:numId w:val="132"/>
        </w:numPr>
        <w:spacing w:before="0" w:after="120" w:line="276" w:lineRule="auto"/>
        <w:contextualSpacing/>
        <w:jc w:val="left"/>
        <w:rPr>
          <w:rFonts w:eastAsia="Calibri" w:cs="Calibri"/>
          <w:lang w:val="pt-PT"/>
        </w:rPr>
      </w:pPr>
      <w:r w:rsidRPr="00292532">
        <w:rPr>
          <w:rFonts w:eastAsia="Calibri" w:cs="Calibri"/>
          <w:lang w:val="pt-PT"/>
        </w:rPr>
        <w:t xml:space="preserve">Os gestores são obrigados a fornecer contribuições para os procedimentos de resposta a reclamações e alegação/denuncia advindas das </w:t>
      </w:r>
      <w:proofErr w:type="spellStart"/>
      <w:r w:rsidRPr="00292532">
        <w:rPr>
          <w:rFonts w:eastAsia="Calibri" w:cs="Calibri"/>
          <w:lang w:val="pt-PT"/>
        </w:rPr>
        <w:t>actividades</w:t>
      </w:r>
      <w:proofErr w:type="spellEnd"/>
      <w:r w:rsidRPr="00292532">
        <w:rPr>
          <w:rFonts w:eastAsia="Calibri" w:cs="Calibri"/>
          <w:lang w:val="pt-PT"/>
        </w:rPr>
        <w:t xml:space="preserve"> da empresa. </w:t>
      </w:r>
    </w:p>
    <w:p w14:paraId="08D55C34" w14:textId="77777777" w:rsidR="00B31AE2" w:rsidRPr="00292532" w:rsidRDefault="00B31AE2" w:rsidP="00AE14AE">
      <w:pPr>
        <w:numPr>
          <w:ilvl w:val="0"/>
          <w:numId w:val="132"/>
        </w:numPr>
        <w:spacing w:before="260" w:after="120" w:line="276" w:lineRule="auto"/>
        <w:contextualSpacing/>
        <w:jc w:val="left"/>
        <w:rPr>
          <w:rFonts w:eastAsia="Calibri" w:cs="Calibri"/>
          <w:lang w:val="pt-PT"/>
        </w:rPr>
      </w:pPr>
      <w:r w:rsidRPr="00292532">
        <w:rPr>
          <w:rFonts w:eastAsia="Calibri" w:cs="Calibri"/>
          <w:lang w:val="pt-PT"/>
        </w:rPr>
        <w:t xml:space="preserve">Uma vez </w:t>
      </w:r>
      <w:proofErr w:type="spellStart"/>
      <w:r w:rsidRPr="00292532">
        <w:rPr>
          <w:rFonts w:eastAsia="Calibri" w:cs="Calibri"/>
          <w:lang w:val="pt-PT"/>
        </w:rPr>
        <w:t>adoptada</w:t>
      </w:r>
      <w:proofErr w:type="spellEnd"/>
      <w:r w:rsidRPr="00292532">
        <w:rPr>
          <w:rFonts w:eastAsia="Calibri" w:cs="Calibri"/>
          <w:lang w:val="pt-PT"/>
        </w:rPr>
        <w:t xml:space="preserve"> pela empresa, os gestores defenderão as medidas de responsabilização estabelecidas para manter a confidencialidade de todos os funcionários que relatam ou (alegadamente) perpetuam incidências do código (a menos que seja necessária uma violação de confidencialidade para proteger pessoas ou propriedade de danos graves ou quando exigido por lei). </w:t>
      </w:r>
    </w:p>
    <w:p w14:paraId="7C3ED981" w14:textId="77777777" w:rsidR="00B31AE2" w:rsidRPr="00292532" w:rsidRDefault="00B31AE2" w:rsidP="00AE14AE">
      <w:pPr>
        <w:numPr>
          <w:ilvl w:val="0"/>
          <w:numId w:val="132"/>
        </w:numPr>
        <w:spacing w:before="260" w:after="120" w:line="276" w:lineRule="auto"/>
        <w:contextualSpacing/>
        <w:jc w:val="left"/>
        <w:rPr>
          <w:rFonts w:eastAsia="Calibri" w:cs="Calibri"/>
          <w:lang w:val="pt-PT"/>
        </w:rPr>
      </w:pPr>
      <w:r w:rsidRPr="00292532">
        <w:rPr>
          <w:rFonts w:eastAsia="Calibri" w:cs="Calibri"/>
          <w:lang w:val="pt-PT"/>
        </w:rPr>
        <w:t xml:space="preserve">Se um gestor tiver preocupações ou suspeitas em relação a qualquer violação do código por um dos seus relatórios </w:t>
      </w:r>
      <w:proofErr w:type="spellStart"/>
      <w:r w:rsidRPr="00292532">
        <w:rPr>
          <w:rFonts w:eastAsia="Calibri" w:cs="Calibri"/>
          <w:lang w:val="pt-PT"/>
        </w:rPr>
        <w:t>directos</w:t>
      </w:r>
      <w:proofErr w:type="spellEnd"/>
      <w:r w:rsidRPr="00292532">
        <w:rPr>
          <w:rFonts w:eastAsia="Calibri" w:cs="Calibri"/>
          <w:lang w:val="pt-PT"/>
        </w:rPr>
        <w:t xml:space="preserve">, ou por um funcionário trabalhando para outro contratante no mesmo local de trabalho, ele é obrigado a denunciar o caso usando o MGR. </w:t>
      </w:r>
    </w:p>
    <w:p w14:paraId="122B26EC" w14:textId="77777777" w:rsidR="00B31AE2" w:rsidRPr="00292532" w:rsidRDefault="00B31AE2" w:rsidP="00AE14AE">
      <w:pPr>
        <w:numPr>
          <w:ilvl w:val="0"/>
          <w:numId w:val="132"/>
        </w:numPr>
        <w:spacing w:before="260" w:after="120" w:line="276" w:lineRule="auto"/>
        <w:contextualSpacing/>
        <w:jc w:val="left"/>
        <w:rPr>
          <w:rFonts w:eastAsia="Calibri" w:cs="Calibri"/>
          <w:lang w:val="pt-PT"/>
        </w:rPr>
      </w:pPr>
      <w:r w:rsidRPr="00292532">
        <w:rPr>
          <w:rFonts w:eastAsia="Calibri" w:cs="Calibri"/>
          <w:lang w:val="pt-PT"/>
        </w:rPr>
        <w:t xml:space="preserve">Uma vez que uma sanção for determinada, o gestor relevante deve ser pessoalmente responsabilizado por garantir que a medida seja </w:t>
      </w:r>
      <w:proofErr w:type="spellStart"/>
      <w:r w:rsidRPr="00292532">
        <w:rPr>
          <w:rFonts w:eastAsia="Calibri" w:cs="Calibri"/>
          <w:lang w:val="pt-PT"/>
        </w:rPr>
        <w:t>efectivamente</w:t>
      </w:r>
      <w:proofErr w:type="spellEnd"/>
      <w:r w:rsidRPr="00292532">
        <w:rPr>
          <w:rFonts w:eastAsia="Calibri" w:cs="Calibri"/>
          <w:lang w:val="pt-PT"/>
        </w:rPr>
        <w:t xml:space="preserve"> aplicada, dentro de um prazo máximo de 14 dias a partir da data em que foi tomada a decisão de sancionar. </w:t>
      </w:r>
    </w:p>
    <w:p w14:paraId="1C80E55B" w14:textId="77777777" w:rsidR="00B31AE2" w:rsidRPr="00292532" w:rsidRDefault="00B31AE2" w:rsidP="00B31AE2">
      <w:pPr>
        <w:spacing w:before="0" w:after="200" w:line="276" w:lineRule="auto"/>
        <w:jc w:val="left"/>
        <w:rPr>
          <w:rFonts w:eastAsia="Calibri" w:cs="Calibri"/>
          <w:lang w:val="pt-PT"/>
        </w:rPr>
      </w:pPr>
      <w:r w:rsidRPr="00292532">
        <w:rPr>
          <w:rFonts w:eastAsia="Calibri" w:cs="Calibri"/>
          <w:lang w:val="pt-PT"/>
        </w:rPr>
        <w:t xml:space="preserve">Os gestores que não informam ou estão de acordo com a tal disposição podem, por sua vez, estar sujeitos a medidas disciplinares, a serem determinadas e promulgadas pelo gestor da empresa, gestor do </w:t>
      </w:r>
      <w:proofErr w:type="spellStart"/>
      <w:r w:rsidRPr="00292532">
        <w:rPr>
          <w:rFonts w:eastAsia="Calibri" w:cs="Calibri"/>
          <w:lang w:val="pt-PT"/>
        </w:rPr>
        <w:t>projecto</w:t>
      </w:r>
      <w:proofErr w:type="spellEnd"/>
      <w:r w:rsidRPr="00292532">
        <w:rPr>
          <w:rFonts w:eastAsia="Calibri" w:cs="Calibri"/>
          <w:lang w:val="pt-PT"/>
        </w:rPr>
        <w:t xml:space="preserve"> ou gestor de classificação superior equivalente da empresa. Essas medidas podem incluir </w:t>
      </w:r>
      <w:proofErr w:type="spellStart"/>
      <w:r w:rsidRPr="00292532">
        <w:rPr>
          <w:rFonts w:eastAsia="Calibri" w:cs="Calibri"/>
          <w:lang w:val="pt-PT"/>
        </w:rPr>
        <w:t>acções</w:t>
      </w:r>
      <w:proofErr w:type="spellEnd"/>
      <w:r w:rsidRPr="00292532">
        <w:rPr>
          <w:rFonts w:eastAsia="Calibri" w:cs="Calibri"/>
          <w:lang w:val="pt-PT"/>
        </w:rPr>
        <w:t xml:space="preserve"> disciplinares previstas no nº 1 do artigo 63 da Lei nº 23/2007, de 1 de </w:t>
      </w:r>
      <w:proofErr w:type="gramStart"/>
      <w:r w:rsidRPr="00292532">
        <w:rPr>
          <w:rFonts w:eastAsia="Calibri" w:cs="Calibri"/>
          <w:lang w:val="pt-PT"/>
        </w:rPr>
        <w:t>Agosto</w:t>
      </w:r>
      <w:proofErr w:type="gramEnd"/>
      <w:r w:rsidRPr="00292532">
        <w:rPr>
          <w:rFonts w:eastAsia="Calibri" w:cs="Calibri"/>
          <w:lang w:val="pt-PT"/>
        </w:rPr>
        <w:t xml:space="preserve"> que aprova a Lei do Trabalho, designadamente:</w:t>
      </w:r>
    </w:p>
    <w:p w14:paraId="17EBA1B0" w14:textId="77777777" w:rsidR="00B31AE2" w:rsidRPr="00292532" w:rsidRDefault="00B31AE2" w:rsidP="00AE14AE">
      <w:pPr>
        <w:numPr>
          <w:ilvl w:val="0"/>
          <w:numId w:val="133"/>
        </w:numPr>
        <w:autoSpaceDE w:val="0"/>
        <w:autoSpaceDN w:val="0"/>
        <w:adjustRightInd w:val="0"/>
        <w:spacing w:before="0" w:after="120" w:line="276" w:lineRule="auto"/>
        <w:ind w:left="1134" w:hanging="283"/>
        <w:contextualSpacing/>
        <w:jc w:val="left"/>
        <w:rPr>
          <w:rFonts w:eastAsia="Calibri" w:cs="Calibri"/>
          <w:lang w:val="pt-PT"/>
        </w:rPr>
      </w:pPr>
      <w:r w:rsidRPr="00292532">
        <w:rPr>
          <w:rFonts w:eastAsia="Calibri" w:cs="Calibri"/>
          <w:lang w:val="pt-PT"/>
        </w:rPr>
        <w:lastRenderedPageBreak/>
        <w:t>Advertência verbal</w:t>
      </w:r>
    </w:p>
    <w:p w14:paraId="45A6974E" w14:textId="77777777" w:rsidR="00B31AE2" w:rsidRPr="00292532" w:rsidRDefault="00B31AE2" w:rsidP="00AE14AE">
      <w:pPr>
        <w:numPr>
          <w:ilvl w:val="0"/>
          <w:numId w:val="133"/>
        </w:numPr>
        <w:autoSpaceDE w:val="0"/>
        <w:autoSpaceDN w:val="0"/>
        <w:adjustRightInd w:val="0"/>
        <w:spacing w:before="0" w:after="120" w:line="276" w:lineRule="auto"/>
        <w:ind w:left="1134" w:hanging="283"/>
        <w:contextualSpacing/>
        <w:jc w:val="left"/>
        <w:rPr>
          <w:rFonts w:eastAsia="Calibri" w:cs="Calibri"/>
          <w:lang w:val="pt-PT"/>
        </w:rPr>
      </w:pPr>
      <w:r w:rsidRPr="00292532">
        <w:rPr>
          <w:rFonts w:eastAsia="Calibri" w:cs="Calibri"/>
          <w:lang w:val="pt-PT"/>
        </w:rPr>
        <w:t>Advertência registada</w:t>
      </w:r>
    </w:p>
    <w:p w14:paraId="23077849" w14:textId="77777777" w:rsidR="00B31AE2" w:rsidRPr="00292532" w:rsidRDefault="00B31AE2" w:rsidP="00AE14AE">
      <w:pPr>
        <w:numPr>
          <w:ilvl w:val="0"/>
          <w:numId w:val="133"/>
        </w:numPr>
        <w:autoSpaceDE w:val="0"/>
        <w:autoSpaceDN w:val="0"/>
        <w:adjustRightInd w:val="0"/>
        <w:spacing w:before="0" w:after="120" w:line="276" w:lineRule="auto"/>
        <w:ind w:left="1134" w:hanging="283"/>
        <w:contextualSpacing/>
        <w:jc w:val="left"/>
        <w:rPr>
          <w:rFonts w:eastAsia="Calibri" w:cs="Calibri"/>
          <w:lang w:val="pt-PT"/>
        </w:rPr>
      </w:pPr>
      <w:r w:rsidRPr="00292532">
        <w:rPr>
          <w:rFonts w:eastAsia="Calibri" w:cs="Calibri"/>
          <w:lang w:val="pt-PT"/>
        </w:rPr>
        <w:t xml:space="preserve">Suspensão do trabalho (com perda de remuneração): correspondentes até 10 (dez) dias por cada </w:t>
      </w:r>
      <w:proofErr w:type="spellStart"/>
      <w:r w:rsidRPr="00292532">
        <w:rPr>
          <w:rFonts w:eastAsia="Calibri" w:cs="Calibri"/>
          <w:lang w:val="pt-PT"/>
        </w:rPr>
        <w:t>infracção</w:t>
      </w:r>
      <w:proofErr w:type="spellEnd"/>
      <w:r w:rsidRPr="00292532">
        <w:rPr>
          <w:rFonts w:eastAsia="Calibri" w:cs="Calibri"/>
          <w:lang w:val="pt-PT"/>
        </w:rPr>
        <w:t xml:space="preserve">, ou 30 (trinta) dias, em cada ano civil   </w:t>
      </w:r>
    </w:p>
    <w:p w14:paraId="709E400A" w14:textId="77777777" w:rsidR="00B31AE2" w:rsidRPr="00292532" w:rsidRDefault="00B31AE2" w:rsidP="00AE14AE">
      <w:pPr>
        <w:numPr>
          <w:ilvl w:val="0"/>
          <w:numId w:val="133"/>
        </w:numPr>
        <w:autoSpaceDE w:val="0"/>
        <w:autoSpaceDN w:val="0"/>
        <w:adjustRightInd w:val="0"/>
        <w:spacing w:before="0" w:after="120" w:line="276" w:lineRule="auto"/>
        <w:ind w:left="1134" w:hanging="283"/>
        <w:contextualSpacing/>
        <w:jc w:val="left"/>
        <w:rPr>
          <w:rFonts w:eastAsia="Calibri" w:cs="Calibri"/>
          <w:lang w:val="pt-PT"/>
        </w:rPr>
      </w:pPr>
      <w:r w:rsidRPr="00292532">
        <w:rPr>
          <w:rFonts w:eastAsia="Calibri" w:cs="Calibri"/>
          <w:lang w:val="pt-PT"/>
        </w:rPr>
        <w:t>Perda de remuneração até 20 (vinte) dias</w:t>
      </w:r>
    </w:p>
    <w:p w14:paraId="020BB054" w14:textId="77777777" w:rsidR="00B31AE2" w:rsidRPr="00292532" w:rsidRDefault="00B31AE2" w:rsidP="00AE14AE">
      <w:pPr>
        <w:numPr>
          <w:ilvl w:val="0"/>
          <w:numId w:val="133"/>
        </w:numPr>
        <w:autoSpaceDE w:val="0"/>
        <w:autoSpaceDN w:val="0"/>
        <w:adjustRightInd w:val="0"/>
        <w:spacing w:before="0" w:after="120" w:line="276" w:lineRule="auto"/>
        <w:ind w:left="1134" w:hanging="283"/>
        <w:contextualSpacing/>
        <w:jc w:val="left"/>
        <w:rPr>
          <w:rFonts w:eastAsia="Calibri" w:cs="Calibri"/>
          <w:lang w:val="pt-PT"/>
        </w:rPr>
      </w:pPr>
      <w:r w:rsidRPr="00292532">
        <w:rPr>
          <w:rFonts w:eastAsia="Calibri" w:cs="Calibri"/>
          <w:lang w:val="pt-PT"/>
        </w:rPr>
        <w:t>Despromoção para categoria profissional imediatamente inferior, por um período não superior a 1 (um) ano, havendo possibilidade de formação adicional</w:t>
      </w:r>
    </w:p>
    <w:p w14:paraId="15784130" w14:textId="77777777" w:rsidR="00B31AE2" w:rsidRPr="00292532" w:rsidRDefault="00B31AE2" w:rsidP="00AE14AE">
      <w:pPr>
        <w:numPr>
          <w:ilvl w:val="0"/>
          <w:numId w:val="133"/>
        </w:numPr>
        <w:autoSpaceDE w:val="0"/>
        <w:autoSpaceDN w:val="0"/>
        <w:adjustRightInd w:val="0"/>
        <w:spacing w:before="0" w:after="120" w:line="276" w:lineRule="auto"/>
        <w:ind w:left="1134" w:hanging="283"/>
        <w:contextualSpacing/>
        <w:jc w:val="left"/>
        <w:rPr>
          <w:rFonts w:eastAsia="Calibri" w:cs="Calibri"/>
          <w:lang w:val="pt-PT"/>
        </w:rPr>
      </w:pPr>
      <w:r w:rsidRPr="00292532">
        <w:rPr>
          <w:rFonts w:eastAsia="Calibri" w:cs="Calibri"/>
          <w:lang w:val="pt-PT"/>
        </w:rPr>
        <w:t>Encaminhamento a Polícia</w:t>
      </w:r>
    </w:p>
    <w:p w14:paraId="41698A88" w14:textId="77777777" w:rsidR="00B31AE2" w:rsidRPr="00292532" w:rsidRDefault="00B31AE2" w:rsidP="00AE14AE">
      <w:pPr>
        <w:numPr>
          <w:ilvl w:val="0"/>
          <w:numId w:val="133"/>
        </w:numPr>
        <w:autoSpaceDE w:val="0"/>
        <w:autoSpaceDN w:val="0"/>
        <w:adjustRightInd w:val="0"/>
        <w:spacing w:before="0" w:after="120" w:line="276" w:lineRule="auto"/>
        <w:ind w:left="1134" w:hanging="283"/>
        <w:contextualSpacing/>
        <w:jc w:val="left"/>
        <w:rPr>
          <w:rFonts w:eastAsia="Calibri" w:cs="Calibri"/>
          <w:lang w:val="pt-PT"/>
        </w:rPr>
      </w:pPr>
      <w:r w:rsidRPr="00292532">
        <w:rPr>
          <w:rFonts w:eastAsia="Calibri" w:cs="Calibri"/>
          <w:lang w:val="pt-PT"/>
        </w:rPr>
        <w:t xml:space="preserve">Despedimento </w:t>
      </w:r>
    </w:p>
    <w:p w14:paraId="08F467D0" w14:textId="77777777" w:rsidR="00B31AE2" w:rsidRPr="00292532" w:rsidRDefault="00B31AE2" w:rsidP="00AE14AE">
      <w:pPr>
        <w:numPr>
          <w:ilvl w:val="0"/>
          <w:numId w:val="132"/>
        </w:numPr>
        <w:spacing w:before="0" w:after="120" w:line="276" w:lineRule="auto"/>
        <w:contextualSpacing/>
        <w:jc w:val="left"/>
        <w:rPr>
          <w:rFonts w:eastAsia="Calibri" w:cs="Calibri"/>
          <w:lang w:val="pt-PT"/>
        </w:rPr>
      </w:pPr>
      <w:r w:rsidRPr="00292532">
        <w:rPr>
          <w:rFonts w:eastAsia="Calibri" w:cs="Calibri"/>
          <w:lang w:val="pt-PT"/>
        </w:rPr>
        <w:t xml:space="preserve">No caso de prestação de serviços a título individual ou </w:t>
      </w:r>
      <w:proofErr w:type="spellStart"/>
      <w:r w:rsidRPr="00292532">
        <w:rPr>
          <w:rFonts w:eastAsia="Calibri" w:cs="Calibri"/>
          <w:lang w:val="pt-PT"/>
        </w:rPr>
        <w:t>colectivo</w:t>
      </w:r>
      <w:proofErr w:type="spellEnd"/>
      <w:r w:rsidRPr="00292532">
        <w:rPr>
          <w:rFonts w:eastAsia="Calibri" w:cs="Calibri"/>
          <w:lang w:val="pt-PT"/>
        </w:rPr>
        <w:t xml:space="preserve">, as sanções acima poderão ser substituídas por sessação de </w:t>
      </w:r>
      <w:bookmarkStart w:id="1256" w:name="_Hlk68558162"/>
      <w:r w:rsidRPr="00292532">
        <w:rPr>
          <w:rFonts w:eastAsia="Calibri" w:cs="Calibri"/>
          <w:lang w:val="pt-PT"/>
        </w:rPr>
        <w:t>contrato e penalizações complementares aplicáveis.</w:t>
      </w:r>
      <w:bookmarkEnd w:id="1256"/>
    </w:p>
    <w:p w14:paraId="233F5953" w14:textId="77777777" w:rsidR="00B31AE2" w:rsidRPr="00292532" w:rsidRDefault="00B31AE2" w:rsidP="00AE14AE">
      <w:pPr>
        <w:numPr>
          <w:ilvl w:val="0"/>
          <w:numId w:val="132"/>
        </w:numPr>
        <w:spacing w:before="260" w:after="0" w:line="276" w:lineRule="auto"/>
        <w:contextualSpacing/>
        <w:jc w:val="left"/>
        <w:rPr>
          <w:rFonts w:eastAsia="Calibri" w:cs="Calibri"/>
          <w:lang w:val="pt-PT"/>
        </w:rPr>
      </w:pPr>
      <w:r w:rsidRPr="00292532">
        <w:rPr>
          <w:rFonts w:eastAsia="Calibri" w:cs="Calibri"/>
          <w:lang w:val="pt-PT"/>
        </w:rPr>
        <w:t xml:space="preserve">Em última análise, a incapacidade de responder </w:t>
      </w:r>
      <w:proofErr w:type="spellStart"/>
      <w:r w:rsidRPr="00292532">
        <w:rPr>
          <w:rFonts w:eastAsia="Calibri" w:cs="Calibri"/>
          <w:lang w:val="pt-PT"/>
        </w:rPr>
        <w:t>efectivamente</w:t>
      </w:r>
      <w:proofErr w:type="spellEnd"/>
      <w:r w:rsidRPr="00292532">
        <w:rPr>
          <w:rFonts w:eastAsia="Calibri" w:cs="Calibri"/>
          <w:lang w:val="pt-PT"/>
        </w:rPr>
        <w:t xml:space="preserve"> a casos de desvios do código pelos gestores das empresas pode justificar </w:t>
      </w:r>
      <w:proofErr w:type="spellStart"/>
      <w:r w:rsidRPr="00292532">
        <w:rPr>
          <w:rFonts w:eastAsia="Calibri" w:cs="Calibri"/>
          <w:lang w:val="pt-PT"/>
        </w:rPr>
        <w:t>acções</w:t>
      </w:r>
      <w:proofErr w:type="spellEnd"/>
      <w:r w:rsidRPr="00292532">
        <w:rPr>
          <w:rFonts w:eastAsia="Calibri" w:cs="Calibri"/>
          <w:lang w:val="pt-PT"/>
        </w:rPr>
        <w:t xml:space="preserve"> legais pelas autoridades. </w:t>
      </w:r>
    </w:p>
    <w:p w14:paraId="505298EC" w14:textId="77777777" w:rsidR="00B31AE2" w:rsidRPr="00292532" w:rsidRDefault="00B31AE2" w:rsidP="00B31AE2">
      <w:pPr>
        <w:spacing w:before="0" w:after="0" w:line="276" w:lineRule="auto"/>
        <w:jc w:val="left"/>
        <w:rPr>
          <w:rFonts w:eastAsia="Calibri" w:cs="Calibri"/>
          <w:lang w:val="pt-PT"/>
        </w:rPr>
      </w:pPr>
    </w:p>
    <w:p w14:paraId="0BC1726D" w14:textId="77777777" w:rsidR="00B31AE2" w:rsidRPr="00292532" w:rsidRDefault="00B31AE2" w:rsidP="00B31AE2">
      <w:pPr>
        <w:spacing w:before="0" w:after="0" w:line="276" w:lineRule="auto"/>
        <w:jc w:val="left"/>
        <w:rPr>
          <w:rFonts w:eastAsia="Calibri" w:cs="Calibri"/>
          <w:lang w:val="pt-PT"/>
        </w:rPr>
      </w:pPr>
      <w:r w:rsidRPr="00292532">
        <w:rPr>
          <w:rFonts w:eastAsia="Calibri" w:cs="Calibri"/>
          <w:lang w:val="pt-PT"/>
        </w:rPr>
        <w:t xml:space="preserve">Reconheço, que li o Código de Conduta do Gestor e comprometo-me em cumprir os padrões nele contidos e compreendendo meus papéis e responsabilidades para evitar </w:t>
      </w:r>
      <w:proofErr w:type="spellStart"/>
      <w:r w:rsidRPr="00292532">
        <w:rPr>
          <w:rFonts w:eastAsia="Calibri" w:cs="Calibri"/>
          <w:lang w:val="pt-PT"/>
        </w:rPr>
        <w:t>acções</w:t>
      </w:r>
      <w:proofErr w:type="spellEnd"/>
      <w:r w:rsidRPr="00292532">
        <w:rPr>
          <w:rFonts w:eastAsia="Calibri" w:cs="Calibri"/>
          <w:lang w:val="pt-PT"/>
        </w:rPr>
        <w:t xml:space="preserve"> ou comportamentos que possam ser interpretados como violação do Código de Conduta e para prevenir e responder a VBG e VCC. Eu entendo que qualquer </w:t>
      </w:r>
      <w:proofErr w:type="spellStart"/>
      <w:r w:rsidRPr="00292532">
        <w:rPr>
          <w:rFonts w:eastAsia="Calibri" w:cs="Calibri"/>
          <w:lang w:val="pt-PT"/>
        </w:rPr>
        <w:t>acção</w:t>
      </w:r>
      <w:proofErr w:type="spellEnd"/>
      <w:r w:rsidRPr="00292532">
        <w:rPr>
          <w:rFonts w:eastAsia="Calibri" w:cs="Calibri"/>
          <w:lang w:val="pt-PT"/>
        </w:rPr>
        <w:t xml:space="preserve"> inconsistente com este Código de Conduta do Gestor ou falha na </w:t>
      </w:r>
      <w:proofErr w:type="spellStart"/>
      <w:r w:rsidRPr="00292532">
        <w:rPr>
          <w:rFonts w:eastAsia="Calibri" w:cs="Calibri"/>
          <w:lang w:val="pt-PT"/>
        </w:rPr>
        <w:t>acção</w:t>
      </w:r>
      <w:proofErr w:type="spellEnd"/>
      <w:r w:rsidRPr="00292532">
        <w:rPr>
          <w:rFonts w:eastAsia="Calibri" w:cs="Calibri"/>
          <w:lang w:val="pt-PT"/>
        </w:rPr>
        <w:t xml:space="preserve"> exigida pelo Código de Conduta pode resultar em </w:t>
      </w:r>
      <w:proofErr w:type="spellStart"/>
      <w:r w:rsidRPr="00292532">
        <w:rPr>
          <w:rFonts w:eastAsia="Calibri" w:cs="Calibri"/>
          <w:lang w:val="pt-PT"/>
        </w:rPr>
        <w:t>acção</w:t>
      </w:r>
      <w:proofErr w:type="spellEnd"/>
      <w:r w:rsidRPr="00292532">
        <w:rPr>
          <w:rFonts w:eastAsia="Calibri" w:cs="Calibri"/>
          <w:lang w:val="pt-PT"/>
        </w:rPr>
        <w:t xml:space="preserve"> disciplinar. </w:t>
      </w:r>
    </w:p>
    <w:p w14:paraId="174F672A" w14:textId="77777777" w:rsidR="00B31AE2" w:rsidRPr="00292532" w:rsidRDefault="00B31AE2" w:rsidP="00B31AE2">
      <w:pPr>
        <w:spacing w:before="0" w:after="0" w:line="276" w:lineRule="auto"/>
        <w:jc w:val="left"/>
        <w:rPr>
          <w:rFonts w:eastAsia="Calibri" w:cs="Calibri"/>
          <w:lang w:val="pt-PT"/>
        </w:rPr>
      </w:pPr>
    </w:p>
    <w:p w14:paraId="5C356623" w14:textId="77777777" w:rsidR="00B31AE2" w:rsidRPr="00292532" w:rsidRDefault="00B31AE2" w:rsidP="00B31AE2">
      <w:pPr>
        <w:spacing w:before="0" w:after="0" w:line="276" w:lineRule="auto"/>
        <w:jc w:val="center"/>
        <w:rPr>
          <w:rFonts w:eastAsia="Calibri" w:cs="Calibri"/>
          <w:lang w:val="pt-PT"/>
        </w:rPr>
      </w:pPr>
      <w:r w:rsidRPr="00292532">
        <w:rPr>
          <w:rFonts w:eastAsia="Calibri" w:cs="Calibri"/>
          <w:lang w:val="pt-PT"/>
        </w:rPr>
        <w:t xml:space="preserve">Assinatura: </w:t>
      </w:r>
      <w:r w:rsidRPr="00292532">
        <w:rPr>
          <w:rFonts w:eastAsia="Calibri" w:cs="Calibri"/>
          <w:lang w:val="pt-PT"/>
        </w:rPr>
        <w:tab/>
        <w:t>_________________________</w:t>
      </w:r>
    </w:p>
    <w:p w14:paraId="079C292E" w14:textId="77777777" w:rsidR="00B31AE2" w:rsidRPr="00292532" w:rsidRDefault="00B31AE2" w:rsidP="00B31AE2">
      <w:pPr>
        <w:spacing w:before="0" w:after="0" w:line="276" w:lineRule="auto"/>
        <w:jc w:val="center"/>
        <w:rPr>
          <w:rFonts w:eastAsia="Calibri" w:cs="Calibri"/>
          <w:lang w:val="pt-PT"/>
        </w:rPr>
      </w:pPr>
    </w:p>
    <w:p w14:paraId="0CE482BC" w14:textId="77777777" w:rsidR="00B31AE2" w:rsidRPr="00292532" w:rsidRDefault="00B31AE2" w:rsidP="00B31AE2">
      <w:pPr>
        <w:spacing w:before="0" w:after="0" w:line="276" w:lineRule="auto"/>
        <w:jc w:val="center"/>
        <w:rPr>
          <w:rFonts w:eastAsia="Calibri" w:cs="Calibri"/>
          <w:lang w:val="pt-PT"/>
        </w:rPr>
      </w:pPr>
      <w:r w:rsidRPr="00292532">
        <w:rPr>
          <w:rFonts w:eastAsia="Calibri" w:cs="Calibri"/>
          <w:lang w:val="pt-PT"/>
        </w:rPr>
        <w:t xml:space="preserve">Nome: </w:t>
      </w:r>
      <w:r w:rsidRPr="00292532">
        <w:rPr>
          <w:rFonts w:eastAsia="Calibri" w:cs="Calibri"/>
          <w:lang w:val="pt-PT"/>
        </w:rPr>
        <w:tab/>
      </w:r>
      <w:r w:rsidRPr="00292532">
        <w:rPr>
          <w:rFonts w:eastAsia="Calibri" w:cs="Calibri"/>
          <w:lang w:val="pt-PT"/>
        </w:rPr>
        <w:tab/>
        <w:t>_________________________</w:t>
      </w:r>
    </w:p>
    <w:p w14:paraId="3578228A" w14:textId="77777777" w:rsidR="00B31AE2" w:rsidRPr="00292532" w:rsidRDefault="00B31AE2" w:rsidP="00B31AE2">
      <w:pPr>
        <w:spacing w:before="0" w:after="0" w:line="276" w:lineRule="auto"/>
        <w:jc w:val="center"/>
        <w:rPr>
          <w:rFonts w:eastAsia="Calibri" w:cs="Calibri"/>
          <w:lang w:val="pt-PT"/>
        </w:rPr>
      </w:pPr>
    </w:p>
    <w:p w14:paraId="5CD1E378" w14:textId="77777777" w:rsidR="00B31AE2" w:rsidRPr="00292532" w:rsidRDefault="00B31AE2" w:rsidP="00B31AE2">
      <w:pPr>
        <w:spacing w:before="0" w:after="0" w:line="276" w:lineRule="auto"/>
        <w:jc w:val="center"/>
        <w:rPr>
          <w:rFonts w:eastAsia="Calibri" w:cs="Calibri"/>
          <w:lang w:val="pt-PT"/>
        </w:rPr>
      </w:pPr>
      <w:r w:rsidRPr="00292532">
        <w:rPr>
          <w:rFonts w:eastAsia="Calibri" w:cs="Calibri"/>
          <w:lang w:val="pt-PT"/>
        </w:rPr>
        <w:t xml:space="preserve">Título: </w:t>
      </w:r>
      <w:r w:rsidRPr="00292532">
        <w:rPr>
          <w:rFonts w:eastAsia="Calibri" w:cs="Calibri"/>
          <w:lang w:val="pt-PT"/>
        </w:rPr>
        <w:tab/>
        <w:t xml:space="preserve">               _________________________</w:t>
      </w:r>
    </w:p>
    <w:p w14:paraId="7B105C8A" w14:textId="77777777" w:rsidR="00B31AE2" w:rsidRPr="00292532" w:rsidRDefault="00B31AE2" w:rsidP="00B31AE2">
      <w:pPr>
        <w:spacing w:before="0" w:after="0" w:line="276" w:lineRule="auto"/>
        <w:jc w:val="center"/>
        <w:rPr>
          <w:rFonts w:eastAsia="Calibri" w:cs="Calibri"/>
          <w:lang w:val="pt-PT"/>
        </w:rPr>
      </w:pPr>
    </w:p>
    <w:p w14:paraId="3DBB1431" w14:textId="77777777" w:rsidR="00B31AE2" w:rsidRPr="00292532" w:rsidRDefault="00B31AE2" w:rsidP="00B31AE2">
      <w:pPr>
        <w:spacing w:before="0" w:after="200" w:line="276" w:lineRule="auto"/>
        <w:jc w:val="center"/>
        <w:rPr>
          <w:rFonts w:eastAsia="Calibri" w:cs="Calibri"/>
          <w:lang w:val="pt-PT"/>
        </w:rPr>
      </w:pPr>
      <w:r w:rsidRPr="00292532">
        <w:rPr>
          <w:rFonts w:eastAsia="Calibri" w:cs="Calibri"/>
          <w:lang w:val="pt-PT"/>
        </w:rPr>
        <w:t xml:space="preserve">Data: </w:t>
      </w:r>
      <w:r w:rsidRPr="00292532">
        <w:rPr>
          <w:rFonts w:eastAsia="Calibri" w:cs="Calibri"/>
          <w:lang w:val="pt-PT"/>
        </w:rPr>
        <w:tab/>
      </w:r>
      <w:r w:rsidRPr="00292532">
        <w:rPr>
          <w:rFonts w:eastAsia="Calibri" w:cs="Calibri"/>
          <w:lang w:val="pt-PT"/>
        </w:rPr>
        <w:tab/>
        <w:t>_________________________</w:t>
      </w:r>
    </w:p>
    <w:p w14:paraId="4D027198" w14:textId="77777777" w:rsidR="00B31AE2" w:rsidRPr="00292532" w:rsidRDefault="00B31AE2" w:rsidP="00B31AE2">
      <w:pPr>
        <w:spacing w:before="0" w:after="200" w:line="276" w:lineRule="auto"/>
        <w:jc w:val="left"/>
        <w:rPr>
          <w:rFonts w:eastAsia="Calibri" w:cs="Calibri"/>
          <w:lang w:val="pt-PT"/>
        </w:rPr>
      </w:pPr>
      <w:r w:rsidRPr="00292532">
        <w:rPr>
          <w:rFonts w:eastAsia="Calibri" w:cs="Calibri"/>
          <w:lang w:val="pt-PT"/>
        </w:rPr>
        <w:br w:type="page"/>
      </w:r>
    </w:p>
    <w:p w14:paraId="71CCAD3B" w14:textId="77777777" w:rsidR="00B31AE2" w:rsidRPr="00292532" w:rsidRDefault="00B31AE2" w:rsidP="00B31AE2">
      <w:pPr>
        <w:spacing w:before="0" w:after="200" w:line="276" w:lineRule="auto"/>
        <w:jc w:val="center"/>
        <w:rPr>
          <w:rFonts w:eastAsia="Calibri" w:cs="Calibri"/>
          <w:b/>
          <w:lang w:val="pt-PT"/>
        </w:rPr>
      </w:pPr>
      <w:r w:rsidRPr="00292532">
        <w:rPr>
          <w:rFonts w:eastAsia="Calibri" w:cs="Calibri"/>
          <w:b/>
          <w:lang w:val="pt-PT"/>
        </w:rPr>
        <w:lastRenderedPageBreak/>
        <w:t>Código de Conduta Individual</w:t>
      </w:r>
    </w:p>
    <w:p w14:paraId="541EA88B" w14:textId="77777777" w:rsidR="00B31AE2" w:rsidRPr="00292532" w:rsidRDefault="00B31AE2" w:rsidP="00B31AE2">
      <w:pPr>
        <w:spacing w:before="0" w:after="200" w:line="276" w:lineRule="auto"/>
        <w:jc w:val="left"/>
        <w:rPr>
          <w:rFonts w:eastAsia="Calibri" w:cs="Calibri"/>
          <w:lang w:val="pt-PT"/>
        </w:rPr>
      </w:pPr>
    </w:p>
    <w:p w14:paraId="3734BCEE" w14:textId="77777777" w:rsidR="00B31AE2" w:rsidRPr="00292532" w:rsidRDefault="00B31AE2" w:rsidP="00B31AE2">
      <w:pPr>
        <w:spacing w:before="0" w:after="0" w:line="276" w:lineRule="auto"/>
        <w:rPr>
          <w:rFonts w:eastAsia="Calibri" w:cs="Calibri"/>
          <w:lang w:val="pt-PT"/>
        </w:rPr>
      </w:pPr>
      <w:r w:rsidRPr="00292532">
        <w:rPr>
          <w:rFonts w:eastAsia="Calibri" w:cs="Calibri"/>
          <w:lang w:val="pt-PT"/>
        </w:rPr>
        <w:t xml:space="preserve">Eu, ______________________________, reconheço </w:t>
      </w:r>
      <w:bookmarkStart w:id="1257" w:name="_Hlk68559053"/>
      <w:r w:rsidRPr="00292532">
        <w:rPr>
          <w:rFonts w:eastAsia="Calibri" w:cs="Calibri"/>
          <w:lang w:val="pt-PT"/>
        </w:rPr>
        <w:t xml:space="preserve">que a prevenção dos riscos ambientais, sociais e de saúde e segurança ocupacional relacionados com as </w:t>
      </w:r>
      <w:proofErr w:type="spellStart"/>
      <w:r w:rsidRPr="00292532">
        <w:rPr>
          <w:rFonts w:eastAsia="Calibri" w:cs="Calibri"/>
          <w:lang w:val="pt-PT"/>
        </w:rPr>
        <w:t>actividades</w:t>
      </w:r>
      <w:proofErr w:type="spellEnd"/>
      <w:r w:rsidRPr="00292532">
        <w:rPr>
          <w:rFonts w:eastAsia="Calibri" w:cs="Calibri"/>
          <w:lang w:val="pt-PT"/>
        </w:rPr>
        <w:t xml:space="preserve"> do </w:t>
      </w:r>
      <w:proofErr w:type="spellStart"/>
      <w:r w:rsidRPr="00292532">
        <w:rPr>
          <w:rFonts w:eastAsia="Calibri" w:cs="Calibri"/>
          <w:lang w:val="pt-PT"/>
        </w:rPr>
        <w:t>Projecto</w:t>
      </w:r>
      <w:proofErr w:type="spellEnd"/>
      <w:r w:rsidRPr="00292532">
        <w:rPr>
          <w:rFonts w:eastAsia="Calibri" w:cs="Calibri"/>
          <w:lang w:val="pt-PT"/>
        </w:rPr>
        <w:t xml:space="preserve">, incluindo os riscos a Violência Baseada no Género (VBG) e a Violência Contra Crianças (VCC) (que inclui violência sexual baseada no género, exploração e abuso sexual, assédio sexual, uniões prematuras, trabalho infantil, etc.) é importante. A empresa considera que atitudes que constituem </w:t>
      </w:r>
      <w:proofErr w:type="spellStart"/>
      <w:r w:rsidRPr="00292532">
        <w:rPr>
          <w:rFonts w:eastAsia="Calibri" w:cs="Calibri"/>
          <w:lang w:val="pt-PT"/>
        </w:rPr>
        <w:t>actos</w:t>
      </w:r>
      <w:proofErr w:type="spellEnd"/>
      <w:r w:rsidRPr="00292532">
        <w:rPr>
          <w:rFonts w:eastAsia="Calibri" w:cs="Calibri"/>
          <w:lang w:val="pt-PT"/>
        </w:rPr>
        <w:t xml:space="preserve"> de má conduta grosseira são motivos de sanções, penalidades ou potencial término do contracto.</w:t>
      </w:r>
      <w:bookmarkEnd w:id="1257"/>
    </w:p>
    <w:p w14:paraId="7D40C788" w14:textId="77777777" w:rsidR="00B31AE2" w:rsidRPr="00292532" w:rsidRDefault="00B31AE2" w:rsidP="00B31AE2">
      <w:pPr>
        <w:spacing w:before="0" w:after="0" w:line="276" w:lineRule="auto"/>
        <w:jc w:val="left"/>
        <w:rPr>
          <w:rFonts w:eastAsia="Calibri" w:cs="Calibri"/>
          <w:lang w:val="pt-PT"/>
        </w:rPr>
      </w:pPr>
    </w:p>
    <w:p w14:paraId="39339AC7" w14:textId="77777777" w:rsidR="00B31AE2" w:rsidRPr="00292532" w:rsidRDefault="00B31AE2" w:rsidP="00B31AE2">
      <w:pPr>
        <w:spacing w:before="0" w:after="200" w:line="276" w:lineRule="auto"/>
        <w:jc w:val="left"/>
        <w:rPr>
          <w:rFonts w:eastAsia="Calibri" w:cs="Calibri"/>
          <w:lang w:val="pt-PT"/>
        </w:rPr>
      </w:pPr>
      <w:r w:rsidRPr="00292532">
        <w:rPr>
          <w:rFonts w:eastAsia="Calibri" w:cs="Calibri"/>
          <w:lang w:val="pt-PT"/>
        </w:rPr>
        <w:t xml:space="preserve">Concordo que enquanto trabalhar no </w:t>
      </w:r>
      <w:proofErr w:type="spellStart"/>
      <w:r w:rsidRPr="00292532">
        <w:rPr>
          <w:rFonts w:eastAsia="Calibri" w:cs="Calibri"/>
          <w:lang w:val="pt-PT"/>
        </w:rPr>
        <w:t>projecto</w:t>
      </w:r>
      <w:proofErr w:type="spellEnd"/>
      <w:r w:rsidRPr="00292532">
        <w:rPr>
          <w:rFonts w:eastAsia="Calibri" w:cs="Calibri"/>
          <w:lang w:val="pt-PT"/>
        </w:rPr>
        <w:t xml:space="preserve">/empregador, eu irei: </w:t>
      </w:r>
    </w:p>
    <w:p w14:paraId="0BC58D34" w14:textId="77777777" w:rsidR="00B31AE2" w:rsidRPr="00292532" w:rsidRDefault="00B31AE2" w:rsidP="00AE14AE">
      <w:pPr>
        <w:numPr>
          <w:ilvl w:val="0"/>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Desempenhar as funções que me forem atribuídas de forma competente e diligente.</w:t>
      </w:r>
    </w:p>
    <w:p w14:paraId="34C6AD41" w14:textId="77777777" w:rsidR="00B31AE2" w:rsidRPr="00292532" w:rsidRDefault="00B31AE2" w:rsidP="00AE14AE">
      <w:pPr>
        <w:numPr>
          <w:ilvl w:val="0"/>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Cumprir o presente Código de Conduta e todas as leis, regulamentos e outros requisitos aplicáveis ao trabalho/</w:t>
      </w:r>
      <w:proofErr w:type="spellStart"/>
      <w:r w:rsidRPr="00292532">
        <w:rPr>
          <w:rFonts w:eastAsia="Calibri" w:cs="Calibri"/>
          <w:lang w:val="pt-PT"/>
        </w:rPr>
        <w:t>Projecto</w:t>
      </w:r>
      <w:proofErr w:type="spellEnd"/>
      <w:r w:rsidRPr="00292532">
        <w:rPr>
          <w:rFonts w:eastAsia="Calibri" w:cs="Calibri"/>
          <w:lang w:val="pt-PT"/>
        </w:rPr>
        <w:t>.</w:t>
      </w:r>
    </w:p>
    <w:p w14:paraId="44F15447" w14:textId="77777777" w:rsidR="00B31AE2" w:rsidRPr="00292532" w:rsidRDefault="00B31AE2" w:rsidP="00AE14AE">
      <w:pPr>
        <w:numPr>
          <w:ilvl w:val="0"/>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Cumprir o dever de informar qualquer violação a este Código de Conduta e não retaliar quem denunciar violações ao Código, se a denúncia for feita de boa-fé.</w:t>
      </w:r>
    </w:p>
    <w:p w14:paraId="793B1470" w14:textId="77777777" w:rsidR="00B31AE2" w:rsidRPr="00292532" w:rsidRDefault="00B31AE2" w:rsidP="00AE14AE">
      <w:pPr>
        <w:numPr>
          <w:ilvl w:val="0"/>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 xml:space="preserve">Desenvolver </w:t>
      </w:r>
      <w:proofErr w:type="spellStart"/>
      <w:r w:rsidRPr="00292532">
        <w:rPr>
          <w:rFonts w:eastAsia="Calibri" w:cs="Calibri"/>
          <w:lang w:val="pt-PT"/>
        </w:rPr>
        <w:t>actividades</w:t>
      </w:r>
      <w:proofErr w:type="spellEnd"/>
      <w:r w:rsidRPr="00292532">
        <w:rPr>
          <w:rFonts w:eastAsia="Calibri" w:cs="Calibri"/>
          <w:lang w:val="pt-PT"/>
        </w:rPr>
        <w:t xml:space="preserve"> por forma a que estas não </w:t>
      </w:r>
      <w:proofErr w:type="spellStart"/>
      <w:r w:rsidRPr="00292532">
        <w:rPr>
          <w:rFonts w:eastAsia="Calibri" w:cs="Calibri"/>
          <w:lang w:val="pt-PT"/>
        </w:rPr>
        <w:t>afectem</w:t>
      </w:r>
      <w:proofErr w:type="spellEnd"/>
      <w:r w:rsidRPr="00292532">
        <w:rPr>
          <w:rFonts w:eastAsia="Calibri" w:cs="Calibri"/>
          <w:lang w:val="pt-PT"/>
        </w:rPr>
        <w:t xml:space="preserve"> significativamente o meio ambiente, incluindo:</w:t>
      </w:r>
    </w:p>
    <w:p w14:paraId="6A8BF50F"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 xml:space="preserve">Não me envolver </w:t>
      </w:r>
      <w:proofErr w:type="spellStart"/>
      <w:r w:rsidRPr="00292532">
        <w:rPr>
          <w:rFonts w:eastAsia="Calibri" w:cs="Calibri"/>
          <w:lang w:val="pt-PT"/>
        </w:rPr>
        <w:t>directa</w:t>
      </w:r>
      <w:proofErr w:type="spellEnd"/>
      <w:r w:rsidRPr="00292532">
        <w:rPr>
          <w:rFonts w:eastAsia="Calibri" w:cs="Calibri"/>
          <w:lang w:val="pt-PT"/>
        </w:rPr>
        <w:t xml:space="preserve"> ou </w:t>
      </w:r>
      <w:proofErr w:type="spellStart"/>
      <w:r w:rsidRPr="00292532">
        <w:rPr>
          <w:rFonts w:eastAsia="Calibri" w:cs="Calibri"/>
          <w:lang w:val="pt-PT"/>
        </w:rPr>
        <w:t>indirectamente</w:t>
      </w:r>
      <w:proofErr w:type="spellEnd"/>
      <w:r w:rsidRPr="00292532">
        <w:rPr>
          <w:rFonts w:eastAsia="Calibri" w:cs="Calibri"/>
          <w:lang w:val="pt-PT"/>
        </w:rPr>
        <w:t xml:space="preserve"> em </w:t>
      </w:r>
      <w:proofErr w:type="spellStart"/>
      <w:r w:rsidRPr="00292532">
        <w:rPr>
          <w:rFonts w:eastAsia="Calibri" w:cs="Calibri"/>
          <w:lang w:val="pt-PT"/>
        </w:rPr>
        <w:t>acções</w:t>
      </w:r>
      <w:proofErr w:type="spellEnd"/>
      <w:r w:rsidRPr="00292532">
        <w:rPr>
          <w:rFonts w:eastAsia="Calibri" w:cs="Calibri"/>
          <w:lang w:val="pt-PT"/>
        </w:rPr>
        <w:t xml:space="preserve"> que pela sua natureza incentivam a exploração e comercialização de recursos naturais de forma ilegal (caça, pesca, compra ou venda ilegal de produtos florestais, faunísticos, minerais e seus derivados, compra de animais silvestres ou sua carne).</w:t>
      </w:r>
    </w:p>
    <w:p w14:paraId="164541B4"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 xml:space="preserve">Abster-me de </w:t>
      </w:r>
      <w:proofErr w:type="spellStart"/>
      <w:r w:rsidRPr="00292532">
        <w:rPr>
          <w:rFonts w:eastAsia="Calibri" w:cs="Calibri"/>
          <w:lang w:val="pt-PT"/>
        </w:rPr>
        <w:t>acções</w:t>
      </w:r>
      <w:proofErr w:type="spellEnd"/>
      <w:r w:rsidRPr="00292532">
        <w:rPr>
          <w:rFonts w:eastAsia="Calibri" w:cs="Calibri"/>
          <w:lang w:val="pt-PT"/>
        </w:rPr>
        <w:t xml:space="preserve"> que alteram a qualidade/quantidade de qualquer recurso natural de importância comunitária de forma permanente (poluição dos rios, lagos, diminuição do caudal das águas, poluição do ar, afugentamento de animais, remoção em grande escala da vegetação local, entre outras).</w:t>
      </w:r>
    </w:p>
    <w:p w14:paraId="79F65687"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Não devastar a flora e fauna sem clara e estrita necessidade (abertura de novos caminhos, caça, etc.).</w:t>
      </w:r>
    </w:p>
    <w:p w14:paraId="7A626576"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Não lavar carros ou máquinas em rios ou riachos, nem fazer a troca ou substituição de óleos/combustível próximo desses.</w:t>
      </w:r>
    </w:p>
    <w:p w14:paraId="2BDB59C7" w14:textId="77777777" w:rsidR="00B31AE2" w:rsidRPr="00292532" w:rsidRDefault="00B31AE2" w:rsidP="00AE14AE">
      <w:pPr>
        <w:numPr>
          <w:ilvl w:val="0"/>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Proteger as crianças contra abusos ou comportamentos inaceitáveis, e:</w:t>
      </w:r>
    </w:p>
    <w:p w14:paraId="190FEF27"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 xml:space="preserve">Limitar as minhas </w:t>
      </w:r>
      <w:proofErr w:type="spellStart"/>
      <w:r w:rsidRPr="00292532">
        <w:rPr>
          <w:rFonts w:eastAsia="Calibri" w:cs="Calibri"/>
          <w:lang w:val="pt-PT"/>
        </w:rPr>
        <w:t>interacções</w:t>
      </w:r>
      <w:proofErr w:type="spellEnd"/>
      <w:r w:rsidRPr="00292532">
        <w:rPr>
          <w:rFonts w:eastAsia="Calibri" w:cs="Calibri"/>
          <w:lang w:val="pt-PT"/>
        </w:rPr>
        <w:t xml:space="preserve"> com crianças e garantir sua segurança nas áreas do </w:t>
      </w:r>
      <w:proofErr w:type="spellStart"/>
      <w:r w:rsidRPr="00292532">
        <w:rPr>
          <w:rFonts w:eastAsia="Calibri" w:cs="Calibri"/>
          <w:lang w:val="pt-PT"/>
        </w:rPr>
        <w:t>projecto</w:t>
      </w:r>
      <w:proofErr w:type="spellEnd"/>
      <w:r w:rsidRPr="00292532">
        <w:rPr>
          <w:rFonts w:eastAsia="Calibri" w:cs="Calibri"/>
          <w:lang w:val="pt-PT"/>
        </w:rPr>
        <w:t xml:space="preserve"> ou em qualquer outro lugar.</w:t>
      </w:r>
    </w:p>
    <w:p w14:paraId="13566611"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Sempre que possível, assegurar que outro adulto esteja presente ao trabalhar próximo de crianças.</w:t>
      </w:r>
    </w:p>
    <w:p w14:paraId="749644CF"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 xml:space="preserve">Usar equipamentos/meios </w:t>
      </w:r>
      <w:proofErr w:type="spellStart"/>
      <w:r w:rsidRPr="00292532">
        <w:rPr>
          <w:rFonts w:eastAsia="Calibri" w:cs="Calibri"/>
          <w:lang w:val="pt-PT"/>
        </w:rPr>
        <w:t>electrónicos</w:t>
      </w:r>
      <w:proofErr w:type="spellEnd"/>
      <w:r w:rsidRPr="00292532">
        <w:rPr>
          <w:rFonts w:eastAsia="Calibri" w:cs="Calibri"/>
          <w:lang w:val="pt-PT"/>
        </w:rPr>
        <w:t xml:space="preserve"> adequadamente, e nunca explorar, assediar crianças, aceder/partilhar pornografia infantil.</w:t>
      </w:r>
    </w:p>
    <w:p w14:paraId="43DAA09A" w14:textId="77777777" w:rsidR="00B31AE2" w:rsidRPr="00292532" w:rsidRDefault="00B31AE2" w:rsidP="00AE14AE">
      <w:pPr>
        <w:numPr>
          <w:ilvl w:val="1"/>
          <w:numId w:val="133"/>
        </w:numPr>
        <w:spacing w:before="260" w:after="120" w:line="276" w:lineRule="auto"/>
        <w:contextualSpacing/>
        <w:jc w:val="left"/>
        <w:rPr>
          <w:rFonts w:eastAsia="Calibri" w:cs="Calibri"/>
          <w:lang w:val="pt-PT"/>
        </w:rPr>
      </w:pPr>
      <w:r w:rsidRPr="00292532">
        <w:rPr>
          <w:rFonts w:eastAsia="Calibri" w:cs="Calibri"/>
          <w:lang w:val="pt-PT"/>
        </w:rPr>
        <w:t xml:space="preserve">Não envolver crianças abaixo da idade permitida em </w:t>
      </w:r>
      <w:proofErr w:type="spellStart"/>
      <w:r w:rsidRPr="00292532">
        <w:rPr>
          <w:rFonts w:eastAsia="Calibri" w:cs="Calibri"/>
          <w:lang w:val="pt-PT"/>
        </w:rPr>
        <w:t>actividades</w:t>
      </w:r>
      <w:proofErr w:type="spellEnd"/>
      <w:r w:rsidRPr="00292532">
        <w:rPr>
          <w:rFonts w:eastAsia="Calibri" w:cs="Calibri"/>
          <w:lang w:val="pt-PT"/>
        </w:rPr>
        <w:t xml:space="preserve"> laborais ou que impliquem riscos a sua saúde e segurança.</w:t>
      </w:r>
    </w:p>
    <w:p w14:paraId="355000E6" w14:textId="77777777" w:rsidR="00B31AE2" w:rsidRPr="00292532" w:rsidRDefault="00B31AE2" w:rsidP="00AE14AE">
      <w:pPr>
        <w:numPr>
          <w:ilvl w:val="1"/>
          <w:numId w:val="133"/>
        </w:numPr>
        <w:spacing w:before="260" w:after="120" w:line="276" w:lineRule="auto"/>
        <w:contextualSpacing/>
        <w:jc w:val="left"/>
        <w:rPr>
          <w:rFonts w:eastAsia="Calibri" w:cs="Calibri"/>
          <w:lang w:val="pt-PT"/>
        </w:rPr>
      </w:pPr>
      <w:r w:rsidRPr="00292532">
        <w:rPr>
          <w:rFonts w:eastAsia="Calibri" w:cs="Calibri"/>
          <w:lang w:val="pt-PT"/>
        </w:rPr>
        <w:lastRenderedPageBreak/>
        <w:t>Não maltratar ou agir de forma abusiva, ou de forma a colocar a criança em risco de maus-tratos ou abuso, incluindo insinuações, ou uso de linguagem que possa ser caracterizada como inadequada, ofensiva ou abusiva.</w:t>
      </w:r>
    </w:p>
    <w:p w14:paraId="593F3FEF"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 xml:space="preserve">Não participar em contactos sexuais ou </w:t>
      </w:r>
      <w:proofErr w:type="spellStart"/>
      <w:r w:rsidRPr="00292532">
        <w:rPr>
          <w:rFonts w:eastAsia="Calibri" w:cs="Calibri"/>
          <w:lang w:val="pt-PT"/>
        </w:rPr>
        <w:t>actividades</w:t>
      </w:r>
      <w:proofErr w:type="spellEnd"/>
      <w:r w:rsidRPr="00292532">
        <w:rPr>
          <w:rFonts w:eastAsia="Calibri" w:cs="Calibri"/>
          <w:lang w:val="pt-PT"/>
        </w:rPr>
        <w:t xml:space="preserve"> com crianças – incluindo instigação ou contacto através da média digital. A crença equivocada sobre a idade ou consentimento de uma criança não é uma defesa ou desculpa</w:t>
      </w:r>
    </w:p>
    <w:p w14:paraId="6A849F7E"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Cumprir com todas as leis relevantes, incluindo leis trabalhistas em relação ao trabalho infantil.</w:t>
      </w:r>
    </w:p>
    <w:p w14:paraId="7CE7A5A6"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Ao fotografar ou filmar uma criança ou usar imagens infantis para fins relacionados ao trabalho, devo:</w:t>
      </w:r>
    </w:p>
    <w:p w14:paraId="5DCABB54" w14:textId="77777777" w:rsidR="00B31AE2" w:rsidRPr="00292532" w:rsidRDefault="00B31AE2" w:rsidP="00AE14AE">
      <w:pPr>
        <w:numPr>
          <w:ilvl w:val="2"/>
          <w:numId w:val="133"/>
        </w:numPr>
        <w:autoSpaceDE w:val="0"/>
        <w:autoSpaceDN w:val="0"/>
        <w:adjustRightInd w:val="0"/>
        <w:spacing w:before="120" w:after="120" w:line="20" w:lineRule="atLeast"/>
        <w:contextualSpacing/>
        <w:jc w:val="left"/>
        <w:rPr>
          <w:rFonts w:eastAsia="Calibri" w:cs="Calibri"/>
          <w:lang w:val="pt-PT"/>
        </w:rPr>
      </w:pPr>
      <w:r w:rsidRPr="00292532">
        <w:rPr>
          <w:rFonts w:eastAsia="Calibri" w:cs="Calibri"/>
          <w:lang w:val="pt-PT"/>
        </w:rPr>
        <w:t>avaliar e se esforçar para cumprir as tradições ou restrições locais para reproduzir imagens pessoais antes de fotografar ou filmar uma criança;</w:t>
      </w:r>
    </w:p>
    <w:p w14:paraId="45816041" w14:textId="77777777" w:rsidR="00B31AE2" w:rsidRPr="00292532" w:rsidRDefault="00B31AE2" w:rsidP="00AE14AE">
      <w:pPr>
        <w:numPr>
          <w:ilvl w:val="2"/>
          <w:numId w:val="133"/>
        </w:numPr>
        <w:autoSpaceDE w:val="0"/>
        <w:autoSpaceDN w:val="0"/>
        <w:adjustRightInd w:val="0"/>
        <w:spacing w:before="120" w:after="120" w:line="20" w:lineRule="atLeast"/>
        <w:contextualSpacing/>
        <w:jc w:val="left"/>
        <w:rPr>
          <w:rFonts w:eastAsia="Calibri" w:cs="Calibri"/>
          <w:lang w:val="pt-PT"/>
        </w:rPr>
      </w:pPr>
      <w:r w:rsidRPr="00292532">
        <w:rPr>
          <w:rFonts w:eastAsia="Calibri" w:cs="Calibri"/>
          <w:lang w:val="pt-PT"/>
        </w:rPr>
        <w:t>Obtenha o consentimento informado da criança e dos pais ou responsável pela criança antes de fotografar ou filmar uma criança. Como parte disso, devo explicar como a fotografia ou filme será usado;</w:t>
      </w:r>
    </w:p>
    <w:p w14:paraId="0F56762F" w14:textId="77777777" w:rsidR="00B31AE2" w:rsidRPr="00292532" w:rsidRDefault="00B31AE2" w:rsidP="00AE14AE">
      <w:pPr>
        <w:numPr>
          <w:ilvl w:val="2"/>
          <w:numId w:val="133"/>
        </w:numPr>
        <w:autoSpaceDE w:val="0"/>
        <w:autoSpaceDN w:val="0"/>
        <w:adjustRightInd w:val="0"/>
        <w:spacing w:before="120" w:after="120" w:line="20" w:lineRule="atLeast"/>
        <w:contextualSpacing/>
        <w:jc w:val="left"/>
        <w:rPr>
          <w:rFonts w:eastAsia="Calibri" w:cs="Calibri"/>
          <w:lang w:val="pt-PT"/>
        </w:rPr>
      </w:pPr>
      <w:r w:rsidRPr="00292532">
        <w:rPr>
          <w:rFonts w:eastAsia="Calibri" w:cs="Calibri"/>
          <w:lang w:val="pt-PT"/>
        </w:rPr>
        <w:t>garantir que as fotos, filmes, vídeos e DVDs apresentem as crianças de maneira digna e respeitosa e não de forma vulnerável ou submissa. As crianças devem estar vestidas de forma adequada e não em poses que possam ser consideradas sexualmente sugestivas;</w:t>
      </w:r>
    </w:p>
    <w:p w14:paraId="03009104" w14:textId="77777777" w:rsidR="00B31AE2" w:rsidRPr="00292532" w:rsidRDefault="00B31AE2" w:rsidP="00AE14AE">
      <w:pPr>
        <w:numPr>
          <w:ilvl w:val="2"/>
          <w:numId w:val="133"/>
        </w:numPr>
        <w:autoSpaceDE w:val="0"/>
        <w:autoSpaceDN w:val="0"/>
        <w:adjustRightInd w:val="0"/>
        <w:spacing w:before="120" w:after="120" w:line="20" w:lineRule="atLeast"/>
        <w:contextualSpacing/>
        <w:jc w:val="left"/>
        <w:rPr>
          <w:rFonts w:eastAsia="Calibri" w:cs="Calibri"/>
          <w:lang w:val="pt-PT"/>
        </w:rPr>
      </w:pPr>
      <w:r w:rsidRPr="00292532">
        <w:rPr>
          <w:rFonts w:eastAsia="Calibri" w:cs="Calibri"/>
          <w:lang w:val="pt-PT"/>
        </w:rPr>
        <w:t>garantir que as imagens sejam representações honestas do contexto e dos fatos;</w:t>
      </w:r>
    </w:p>
    <w:p w14:paraId="47C7F2CF" w14:textId="77777777" w:rsidR="00B31AE2" w:rsidRPr="00292532" w:rsidRDefault="00B31AE2" w:rsidP="00AE14AE">
      <w:pPr>
        <w:numPr>
          <w:ilvl w:val="2"/>
          <w:numId w:val="133"/>
        </w:numPr>
        <w:autoSpaceDE w:val="0"/>
        <w:autoSpaceDN w:val="0"/>
        <w:adjustRightInd w:val="0"/>
        <w:spacing w:before="120" w:after="120" w:line="20" w:lineRule="atLeast"/>
        <w:contextualSpacing/>
        <w:jc w:val="left"/>
        <w:rPr>
          <w:rFonts w:eastAsia="Calibri" w:cs="Calibri"/>
          <w:lang w:val="pt-PT"/>
        </w:rPr>
      </w:pPr>
      <w:r w:rsidRPr="00292532">
        <w:rPr>
          <w:rFonts w:eastAsia="Calibri" w:cs="Calibri"/>
          <w:lang w:val="pt-PT"/>
        </w:rPr>
        <w:t xml:space="preserve">garantir que rótulos de arquivo ou descrições de texto não revelem informações de identificação sobre uma criança ao enviar imagens </w:t>
      </w:r>
      <w:proofErr w:type="spellStart"/>
      <w:r w:rsidRPr="00292532">
        <w:rPr>
          <w:rFonts w:eastAsia="Calibri" w:cs="Calibri"/>
          <w:lang w:val="pt-PT"/>
        </w:rPr>
        <w:t>electronicamente</w:t>
      </w:r>
      <w:proofErr w:type="spellEnd"/>
      <w:r w:rsidRPr="00292532">
        <w:rPr>
          <w:rFonts w:eastAsia="Calibri" w:cs="Calibri"/>
          <w:lang w:val="pt-PT"/>
        </w:rPr>
        <w:t xml:space="preserve"> ou publicando imagens em qualquer formato;</w:t>
      </w:r>
    </w:p>
    <w:p w14:paraId="5CBADD6B" w14:textId="77777777" w:rsidR="00B31AE2" w:rsidRPr="00292532" w:rsidRDefault="00B31AE2" w:rsidP="00AE14AE">
      <w:pPr>
        <w:numPr>
          <w:ilvl w:val="0"/>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Tratar outras pessoas e lugares com respeito e não discriminar grupos específicos, tais como mulheres, pessoas com deficiência, trabalhadores migrantes ou crianças comunidades</w:t>
      </w:r>
    </w:p>
    <w:p w14:paraId="07CD4A22"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Interagir de forma respeitosa com os membros da comunidade (por exemplo, transmitir uma atitude de respeito e não discriminação).</w:t>
      </w:r>
    </w:p>
    <w:p w14:paraId="69A1C248"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 xml:space="preserve">Respeitar e preservar costumes e locais de importância histórica ou cultural. </w:t>
      </w:r>
    </w:p>
    <w:p w14:paraId="7DA72C61"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 xml:space="preserve">Não causar distúrbio a qualquer coisa com valor </w:t>
      </w:r>
      <w:proofErr w:type="spellStart"/>
      <w:r w:rsidRPr="00292532">
        <w:rPr>
          <w:rFonts w:eastAsia="Calibri" w:cs="Calibri"/>
          <w:lang w:val="pt-PT"/>
        </w:rPr>
        <w:t>arquitectónico</w:t>
      </w:r>
      <w:proofErr w:type="spellEnd"/>
      <w:r w:rsidRPr="00292532">
        <w:rPr>
          <w:rFonts w:eastAsia="Calibri" w:cs="Calibri"/>
          <w:lang w:val="pt-PT"/>
        </w:rPr>
        <w:t xml:space="preserve"> ou histórico.</w:t>
      </w:r>
    </w:p>
    <w:p w14:paraId="115E787B" w14:textId="77777777" w:rsidR="00B31AE2" w:rsidRPr="00292532" w:rsidRDefault="00B31AE2" w:rsidP="00AE14AE">
      <w:pPr>
        <w:numPr>
          <w:ilvl w:val="0"/>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 xml:space="preserve">Distanciar-me de qualquer </w:t>
      </w:r>
      <w:proofErr w:type="spellStart"/>
      <w:r w:rsidRPr="00292532">
        <w:rPr>
          <w:rFonts w:eastAsia="Calibri" w:cs="Calibri"/>
          <w:lang w:val="pt-PT"/>
        </w:rPr>
        <w:t>acto</w:t>
      </w:r>
      <w:proofErr w:type="spellEnd"/>
      <w:r w:rsidRPr="00292532">
        <w:rPr>
          <w:rFonts w:eastAsia="Calibri" w:cs="Calibri"/>
          <w:lang w:val="pt-PT"/>
        </w:rPr>
        <w:t xml:space="preserve"> de Violência Baseada no Género, incluindo:</w:t>
      </w:r>
    </w:p>
    <w:p w14:paraId="7040C83E"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bookmarkStart w:id="1258" w:name="_Hlk68557096"/>
      <w:r w:rsidRPr="00292532">
        <w:rPr>
          <w:rFonts w:eastAsia="Calibri" w:cs="Calibri"/>
          <w:lang w:val="pt-PT"/>
        </w:rPr>
        <w:t>Não realizar ou apoiar abuso real ou tentativa de abuso de posição de vulnerabilidade, poder diferencial ou confiança, para fins sexuais, incluindo, mas não se limitando a, lucrar monetariamente, social ou politicamente com a exploração sexual de outro</w:t>
      </w:r>
    </w:p>
    <w:p w14:paraId="004EF042"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Não usar linguagem ou comportamento que seja impróprio, agressivo, abusivo, sexualmente provocante, rebaixante ou culturalmente impróprio para crianças, mulheres ou homens</w:t>
      </w:r>
    </w:p>
    <w:p w14:paraId="6F63BFA8"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 xml:space="preserve">Não me envolver em favores sexuais, por exemplo, promessas ou tratamento favorável dependente de </w:t>
      </w:r>
      <w:proofErr w:type="spellStart"/>
      <w:r w:rsidRPr="00292532">
        <w:rPr>
          <w:rFonts w:eastAsia="Calibri" w:cs="Calibri"/>
          <w:lang w:val="pt-PT"/>
        </w:rPr>
        <w:t>actos</w:t>
      </w:r>
      <w:proofErr w:type="spellEnd"/>
      <w:r w:rsidRPr="00292532">
        <w:rPr>
          <w:rFonts w:eastAsia="Calibri" w:cs="Calibri"/>
          <w:lang w:val="pt-PT"/>
        </w:rPr>
        <w:t xml:space="preserve"> sexuais, ou outras formas de comportamento humilhante, degradador ou explorador</w:t>
      </w:r>
    </w:p>
    <w:p w14:paraId="60BC8C43"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 xml:space="preserve">Não </w:t>
      </w:r>
      <w:proofErr w:type="gramStart"/>
      <w:r w:rsidRPr="00292532">
        <w:rPr>
          <w:rFonts w:eastAsia="Calibri" w:cs="Calibri"/>
          <w:lang w:val="pt-PT"/>
        </w:rPr>
        <w:t>registrar</w:t>
      </w:r>
      <w:proofErr w:type="gramEnd"/>
      <w:r w:rsidRPr="00292532">
        <w:rPr>
          <w:rFonts w:eastAsia="Calibri" w:cs="Calibri"/>
          <w:lang w:val="pt-PT"/>
        </w:rPr>
        <w:t xml:space="preserve">, aceder ou partilhar conteúdos que atentam a integridade do outrem sem a sua permissão </w:t>
      </w:r>
    </w:p>
    <w:p w14:paraId="3C5DD4B6" w14:textId="77777777" w:rsidR="00B31AE2" w:rsidRPr="00292532" w:rsidRDefault="00B31AE2" w:rsidP="00AE14AE">
      <w:pPr>
        <w:numPr>
          <w:ilvl w:val="1"/>
          <w:numId w:val="133"/>
        </w:numPr>
        <w:spacing w:before="260" w:after="0" w:line="276" w:lineRule="auto"/>
        <w:contextualSpacing/>
        <w:jc w:val="left"/>
        <w:rPr>
          <w:rFonts w:eastAsia="Calibri" w:cs="Calibri"/>
          <w:lang w:val="pt-PT"/>
        </w:rPr>
      </w:pPr>
      <w:r w:rsidRPr="00292532">
        <w:rPr>
          <w:rFonts w:eastAsia="Calibri" w:cs="Calibri"/>
          <w:lang w:val="pt-PT"/>
        </w:rPr>
        <w:lastRenderedPageBreak/>
        <w:t>A menos que exista o pleno consentimento</w:t>
      </w:r>
      <w:r w:rsidRPr="00292532">
        <w:rPr>
          <w:rFonts w:eastAsia="Calibri" w:cs="Calibri"/>
          <w:vertAlign w:val="superscript"/>
          <w:lang w:val="pt-PT"/>
        </w:rPr>
        <w:footnoteReference w:id="30"/>
      </w:r>
      <w:r w:rsidRPr="00292532">
        <w:rPr>
          <w:rFonts w:eastAsia="Calibri" w:cs="Calibri"/>
          <w:lang w:val="pt-PT"/>
        </w:rPr>
        <w:t xml:space="preserve"> de todas as partes envolvidas, não terei </w:t>
      </w:r>
      <w:proofErr w:type="spellStart"/>
      <w:r w:rsidRPr="00292532">
        <w:rPr>
          <w:rFonts w:eastAsia="Calibri" w:cs="Calibri"/>
          <w:lang w:val="pt-PT"/>
        </w:rPr>
        <w:t>interacções</w:t>
      </w:r>
      <w:proofErr w:type="spellEnd"/>
      <w:r w:rsidRPr="00292532">
        <w:rPr>
          <w:rFonts w:eastAsia="Calibri" w:cs="Calibri"/>
          <w:lang w:val="pt-PT"/>
        </w:rPr>
        <w:t xml:space="preserve"> sexuais com membros das comunidades vizinhas. Isso inclui relacionamentos que envolvem a retenção na fonte ou a promessa de prestação </w:t>
      </w:r>
      <w:proofErr w:type="spellStart"/>
      <w:r w:rsidRPr="00292532">
        <w:rPr>
          <w:rFonts w:eastAsia="Calibri" w:cs="Calibri"/>
          <w:lang w:val="pt-PT"/>
        </w:rPr>
        <w:t>efectiva</w:t>
      </w:r>
      <w:proofErr w:type="spellEnd"/>
      <w:r w:rsidRPr="00292532">
        <w:rPr>
          <w:rFonts w:eastAsia="Calibri" w:cs="Calibri"/>
          <w:lang w:val="pt-PT"/>
        </w:rPr>
        <w:t xml:space="preserve"> de benefício (monetário ou não monetário) aos membros da comunidade em troca de sexo. </w:t>
      </w:r>
    </w:p>
    <w:bookmarkEnd w:id="1258"/>
    <w:p w14:paraId="76B612F2" w14:textId="77777777" w:rsidR="00B31AE2" w:rsidRPr="00292532" w:rsidRDefault="00B31AE2" w:rsidP="00AE14AE">
      <w:pPr>
        <w:numPr>
          <w:ilvl w:val="0"/>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Manter um ambiente de trabalho seguro e saudável, para mim, colegas e comunidade, incluindo:</w:t>
      </w:r>
    </w:p>
    <w:p w14:paraId="4201BD08"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bookmarkStart w:id="1259" w:name="_Hlk68556467"/>
      <w:r w:rsidRPr="00292532">
        <w:rPr>
          <w:rFonts w:eastAsia="Calibri" w:cs="Calibri"/>
          <w:lang w:val="pt-PT"/>
        </w:rPr>
        <w:t>Assegurar que os locais de trabalho, equipamentos e processos sob o meu controlo são seguros e sem riscos para a saúde</w:t>
      </w:r>
    </w:p>
    <w:p w14:paraId="57BDC421"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 xml:space="preserve">Usar de forma </w:t>
      </w:r>
      <w:proofErr w:type="spellStart"/>
      <w:r w:rsidRPr="00292532">
        <w:rPr>
          <w:rFonts w:eastAsia="Calibri" w:cs="Calibri"/>
          <w:lang w:val="pt-PT"/>
        </w:rPr>
        <w:t>correcta</w:t>
      </w:r>
      <w:proofErr w:type="spellEnd"/>
      <w:r w:rsidRPr="00292532">
        <w:rPr>
          <w:rFonts w:eastAsia="Calibri" w:cs="Calibri"/>
          <w:lang w:val="pt-PT"/>
        </w:rPr>
        <w:t xml:space="preserve"> o equipamento de </w:t>
      </w:r>
      <w:proofErr w:type="spellStart"/>
      <w:r w:rsidRPr="00292532">
        <w:rPr>
          <w:rFonts w:eastAsia="Calibri" w:cs="Calibri"/>
          <w:lang w:val="pt-PT"/>
        </w:rPr>
        <w:t>protecção</w:t>
      </w:r>
      <w:proofErr w:type="spellEnd"/>
      <w:r w:rsidRPr="00292532">
        <w:rPr>
          <w:rFonts w:eastAsia="Calibri" w:cs="Calibri"/>
          <w:lang w:val="pt-PT"/>
        </w:rPr>
        <w:t xml:space="preserve"> pessoal que me for atribuído para a </w:t>
      </w:r>
      <w:proofErr w:type="spellStart"/>
      <w:r w:rsidRPr="00292532">
        <w:rPr>
          <w:rFonts w:eastAsia="Calibri" w:cs="Calibri"/>
          <w:lang w:val="pt-PT"/>
        </w:rPr>
        <w:t>actividade</w:t>
      </w:r>
      <w:proofErr w:type="spellEnd"/>
    </w:p>
    <w:p w14:paraId="261A193B"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Manter as melhores condições possíveis que garantam a qualidade de vida e o saneamento em qualquer local em que me encontrar</w:t>
      </w:r>
    </w:p>
    <w:p w14:paraId="5246ADD8"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 xml:space="preserve">Garantir que as </w:t>
      </w:r>
      <w:proofErr w:type="spellStart"/>
      <w:r w:rsidRPr="00292532">
        <w:rPr>
          <w:rFonts w:eastAsia="Calibri" w:cs="Calibri"/>
          <w:lang w:val="pt-PT"/>
        </w:rPr>
        <w:t>actividades</w:t>
      </w:r>
      <w:proofErr w:type="spellEnd"/>
      <w:r w:rsidRPr="00292532">
        <w:rPr>
          <w:rFonts w:eastAsia="Calibri" w:cs="Calibri"/>
          <w:lang w:val="pt-PT"/>
        </w:rPr>
        <w:t xml:space="preserve"> em minha responsabilidade não causam riscos aos outros trabalhadores e a comunidade</w:t>
      </w:r>
    </w:p>
    <w:p w14:paraId="7C882742"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Usar os sanitários fornecidos pelo empregador e não áreas impróprias.</w:t>
      </w:r>
    </w:p>
    <w:bookmarkEnd w:id="1259"/>
    <w:p w14:paraId="0E570F7B" w14:textId="77777777" w:rsidR="00B31AE2" w:rsidRPr="00292532" w:rsidRDefault="00B31AE2" w:rsidP="00AE14AE">
      <w:pPr>
        <w:numPr>
          <w:ilvl w:val="0"/>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 xml:space="preserve">Participar </w:t>
      </w:r>
      <w:proofErr w:type="spellStart"/>
      <w:r w:rsidRPr="00292532">
        <w:rPr>
          <w:rFonts w:eastAsia="Calibri" w:cs="Calibri"/>
          <w:lang w:val="pt-PT"/>
        </w:rPr>
        <w:t>activamente</w:t>
      </w:r>
      <w:proofErr w:type="spellEnd"/>
      <w:r w:rsidRPr="00292532">
        <w:rPr>
          <w:rFonts w:eastAsia="Calibri" w:cs="Calibri"/>
          <w:lang w:val="pt-PT"/>
        </w:rPr>
        <w:t xml:space="preserve"> em formação relevantes organizadas pelo trabalho e ler conteúdos disponíveis relacionados com os </w:t>
      </w:r>
      <w:proofErr w:type="spellStart"/>
      <w:r w:rsidRPr="00292532">
        <w:rPr>
          <w:rFonts w:eastAsia="Calibri" w:cs="Calibri"/>
          <w:lang w:val="pt-PT"/>
        </w:rPr>
        <w:t>aspectos</w:t>
      </w:r>
      <w:proofErr w:type="spellEnd"/>
      <w:r w:rsidRPr="00292532">
        <w:rPr>
          <w:rFonts w:eastAsia="Calibri" w:cs="Calibri"/>
          <w:lang w:val="pt-PT"/>
        </w:rPr>
        <w:t xml:space="preserve"> ambientais e sociais, incluindo sobre questões de saúde e segurança, exploração e abuso sexual, assédio sexual e qualquer outro conteúdo que possa ser relevante para o </w:t>
      </w:r>
      <w:proofErr w:type="spellStart"/>
      <w:r w:rsidRPr="00292532">
        <w:rPr>
          <w:rFonts w:eastAsia="Calibri" w:cs="Calibri"/>
          <w:lang w:val="pt-PT"/>
        </w:rPr>
        <w:t>Projecto</w:t>
      </w:r>
      <w:proofErr w:type="spellEnd"/>
    </w:p>
    <w:p w14:paraId="3CF9A8F1" w14:textId="77777777" w:rsidR="00B31AE2" w:rsidRPr="00292532" w:rsidRDefault="00B31AE2" w:rsidP="00AE14AE">
      <w:pPr>
        <w:numPr>
          <w:ilvl w:val="0"/>
          <w:numId w:val="133"/>
        </w:numPr>
        <w:autoSpaceDE w:val="0"/>
        <w:autoSpaceDN w:val="0"/>
        <w:adjustRightInd w:val="0"/>
        <w:spacing w:before="0" w:after="120" w:line="276" w:lineRule="auto"/>
        <w:contextualSpacing/>
        <w:jc w:val="left"/>
        <w:rPr>
          <w:rFonts w:eastAsia="Calibri" w:cs="Calibri"/>
          <w:lang w:val="pt-PT"/>
        </w:rPr>
      </w:pPr>
      <w:proofErr w:type="spellStart"/>
      <w:r w:rsidRPr="00292532">
        <w:rPr>
          <w:rFonts w:eastAsia="Calibri" w:cs="Calibri"/>
          <w:lang w:val="pt-PT"/>
        </w:rPr>
        <w:t>Actuar</w:t>
      </w:r>
      <w:proofErr w:type="spellEnd"/>
      <w:r w:rsidRPr="00292532">
        <w:rPr>
          <w:rFonts w:eastAsia="Calibri" w:cs="Calibri"/>
          <w:lang w:val="pt-PT"/>
        </w:rPr>
        <w:t xml:space="preserve"> com zelo, ética e profissionalismo em todas as </w:t>
      </w:r>
      <w:proofErr w:type="spellStart"/>
      <w:r w:rsidRPr="00292532">
        <w:rPr>
          <w:rFonts w:eastAsia="Calibri" w:cs="Calibri"/>
          <w:lang w:val="pt-PT"/>
        </w:rPr>
        <w:t>actividades</w:t>
      </w:r>
      <w:proofErr w:type="spellEnd"/>
      <w:r w:rsidRPr="00292532">
        <w:rPr>
          <w:rFonts w:eastAsia="Calibri" w:cs="Calibri"/>
          <w:lang w:val="pt-PT"/>
        </w:rPr>
        <w:t xml:space="preserve"> que for a desenvolver, incluindo: </w:t>
      </w:r>
    </w:p>
    <w:p w14:paraId="50D2F56C"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Não usar de privilégio profissional ou faculdade decorrente de função de forma abusiva, para fins discriminatórios ou para aferir vantagens pessoais;</w:t>
      </w:r>
    </w:p>
    <w:p w14:paraId="481E2233"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 xml:space="preserve">Não </w:t>
      </w:r>
      <w:proofErr w:type="spellStart"/>
      <w:r w:rsidRPr="00292532">
        <w:rPr>
          <w:rFonts w:eastAsia="Calibri" w:cs="Calibri"/>
          <w:lang w:val="pt-PT"/>
        </w:rPr>
        <w:t>actuar</w:t>
      </w:r>
      <w:proofErr w:type="spellEnd"/>
      <w:r w:rsidRPr="00292532">
        <w:rPr>
          <w:rFonts w:eastAsia="Calibri" w:cs="Calibri"/>
          <w:lang w:val="pt-PT"/>
        </w:rPr>
        <w:t xml:space="preserve"> sob circunstâncias de conflitos de interesse, favoritismo ou condições que prejudiquem moralmente ou profissionalmente outros envolvidos na </w:t>
      </w:r>
      <w:proofErr w:type="spellStart"/>
      <w:r w:rsidRPr="00292532">
        <w:rPr>
          <w:rFonts w:eastAsia="Calibri" w:cs="Calibri"/>
          <w:lang w:val="pt-PT"/>
        </w:rPr>
        <w:t>actividade</w:t>
      </w:r>
      <w:proofErr w:type="spellEnd"/>
      <w:r w:rsidRPr="00292532">
        <w:rPr>
          <w:rFonts w:eastAsia="Calibri" w:cs="Calibri"/>
          <w:lang w:val="pt-PT"/>
        </w:rPr>
        <w:t>.</w:t>
      </w:r>
    </w:p>
    <w:p w14:paraId="4712E2EE"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 xml:space="preserve">Não usar substâncias psicotrópicas (álcool, narcóticos, </w:t>
      </w:r>
      <w:proofErr w:type="spellStart"/>
      <w:r w:rsidRPr="00292532">
        <w:rPr>
          <w:rFonts w:eastAsia="Calibri" w:cs="Calibri"/>
          <w:lang w:val="pt-PT"/>
        </w:rPr>
        <w:t>etc</w:t>
      </w:r>
      <w:proofErr w:type="spellEnd"/>
      <w:r w:rsidRPr="00292532">
        <w:rPr>
          <w:rFonts w:eastAsia="Calibri" w:cs="Calibri"/>
          <w:lang w:val="pt-PT"/>
        </w:rPr>
        <w:t>) dentro da área do trabalho ou apresentar-me no local de trabalho sob influencia das mesmas.</w:t>
      </w:r>
    </w:p>
    <w:p w14:paraId="3A98AD96"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Usar os bens e instalações da empresa com o devido cuidado, evitando furto, descuido ou desperdícios;</w:t>
      </w:r>
    </w:p>
    <w:p w14:paraId="0E482744" w14:textId="77777777" w:rsidR="00B31AE2" w:rsidRPr="00292532" w:rsidRDefault="00B31AE2" w:rsidP="00AE14AE">
      <w:pPr>
        <w:numPr>
          <w:ilvl w:val="1"/>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Guardar sigilo profissional, ainda que o meu vínculo com a empresa venha a cessar, independentemente dos motivos</w:t>
      </w:r>
    </w:p>
    <w:p w14:paraId="01171208" w14:textId="77777777" w:rsidR="00B31AE2" w:rsidRPr="00292532" w:rsidRDefault="00B31AE2" w:rsidP="00AE14AE">
      <w:pPr>
        <w:numPr>
          <w:ilvl w:val="1"/>
          <w:numId w:val="133"/>
        </w:numPr>
        <w:spacing w:before="260" w:after="120" w:line="276" w:lineRule="auto"/>
        <w:contextualSpacing/>
        <w:jc w:val="left"/>
        <w:rPr>
          <w:rFonts w:eastAsia="Calibri" w:cs="Calibri"/>
          <w:lang w:val="pt-PT"/>
        </w:rPr>
      </w:pPr>
      <w:r w:rsidRPr="00292532">
        <w:rPr>
          <w:rFonts w:eastAsia="Calibri" w:cs="Calibri"/>
          <w:lang w:val="pt-PT"/>
        </w:rPr>
        <w:t xml:space="preserve">Não reter informações sobre condenações criminais, acusações ou procedimentos civis relacionados ao abuso de menores, ou violência sexual contra mulheres, sejam eles anteriores à minha admissão ou que surjam durante o tempo em que estou colaborando com a instituição </w:t>
      </w:r>
    </w:p>
    <w:p w14:paraId="6D1B6477" w14:textId="77777777" w:rsidR="00B31AE2" w:rsidRPr="00292532" w:rsidRDefault="00B31AE2" w:rsidP="00AE14AE">
      <w:pPr>
        <w:numPr>
          <w:ilvl w:val="1"/>
          <w:numId w:val="133"/>
        </w:numPr>
        <w:spacing w:before="260" w:after="0" w:line="276" w:lineRule="auto"/>
        <w:contextualSpacing/>
        <w:jc w:val="left"/>
        <w:rPr>
          <w:rFonts w:eastAsia="Calibri" w:cs="Calibri"/>
          <w:lang w:val="pt-PT"/>
        </w:rPr>
      </w:pPr>
      <w:r w:rsidRPr="00292532">
        <w:rPr>
          <w:rFonts w:eastAsia="Calibri" w:cs="Calibri"/>
          <w:lang w:val="pt-PT"/>
        </w:rPr>
        <w:t>Não me aliar ou apoiar (financeiramente, materialmente, abrigar ou deter informações cruciais) de grupos/indivíduos que fomentam ou praticam crimes públicos, incluindo terrorismo.</w:t>
      </w:r>
    </w:p>
    <w:p w14:paraId="4EEA25D6" w14:textId="77777777" w:rsidR="00B31AE2" w:rsidRPr="00292532" w:rsidRDefault="00B31AE2" w:rsidP="00B31AE2">
      <w:pPr>
        <w:spacing w:before="0" w:after="0" w:line="276" w:lineRule="auto"/>
        <w:jc w:val="left"/>
        <w:rPr>
          <w:rFonts w:eastAsia="Calibri" w:cs="Calibri"/>
          <w:b/>
          <w:color w:val="4472C4"/>
          <w:lang w:val="pt-PT"/>
        </w:rPr>
      </w:pPr>
    </w:p>
    <w:p w14:paraId="07BA6AD2" w14:textId="77777777" w:rsidR="00B31AE2" w:rsidRPr="00292532" w:rsidRDefault="00B31AE2" w:rsidP="00B31AE2">
      <w:pPr>
        <w:spacing w:before="0" w:after="0" w:line="276" w:lineRule="auto"/>
        <w:jc w:val="left"/>
        <w:rPr>
          <w:rFonts w:eastAsia="Calibri" w:cs="Calibri"/>
          <w:b/>
          <w:bCs/>
          <w:lang w:val="pt-PT"/>
        </w:rPr>
      </w:pPr>
      <w:r w:rsidRPr="00292532">
        <w:rPr>
          <w:rFonts w:eastAsia="Calibri" w:cs="Calibri"/>
          <w:b/>
          <w:bCs/>
          <w:lang w:val="pt-PT"/>
        </w:rPr>
        <w:t>Sanções</w:t>
      </w:r>
    </w:p>
    <w:p w14:paraId="15A0B93B" w14:textId="77777777" w:rsidR="00B31AE2" w:rsidRPr="00292532" w:rsidRDefault="00B31AE2" w:rsidP="00B31AE2">
      <w:pPr>
        <w:spacing w:before="0" w:after="200" w:line="276" w:lineRule="auto"/>
        <w:rPr>
          <w:rFonts w:eastAsia="Calibri" w:cs="Calibri"/>
          <w:lang w:val="pt-PT"/>
        </w:rPr>
      </w:pPr>
      <w:r w:rsidRPr="00292532">
        <w:rPr>
          <w:rFonts w:eastAsia="Calibri" w:cs="Calibri"/>
          <w:lang w:val="pt-PT"/>
        </w:rPr>
        <w:t xml:space="preserve">Eu compreendo que se violar este código conduta individual, o meu empregador pode tomar </w:t>
      </w:r>
      <w:proofErr w:type="spellStart"/>
      <w:r w:rsidRPr="00292532">
        <w:rPr>
          <w:rFonts w:eastAsia="Calibri" w:cs="Calibri"/>
          <w:lang w:val="pt-PT"/>
        </w:rPr>
        <w:t>acções</w:t>
      </w:r>
      <w:proofErr w:type="spellEnd"/>
      <w:r w:rsidRPr="00292532">
        <w:rPr>
          <w:rFonts w:eastAsia="Calibri" w:cs="Calibri"/>
          <w:lang w:val="pt-PT"/>
        </w:rPr>
        <w:t xml:space="preserve"> disciplinares previstas no nº 1 do artigo 63 da Lei nº 23/2007, de 1 de </w:t>
      </w:r>
      <w:proofErr w:type="gramStart"/>
      <w:r w:rsidRPr="00292532">
        <w:rPr>
          <w:rFonts w:eastAsia="Calibri" w:cs="Calibri"/>
          <w:lang w:val="pt-PT"/>
        </w:rPr>
        <w:t>Agosto</w:t>
      </w:r>
      <w:proofErr w:type="gramEnd"/>
      <w:r w:rsidRPr="00292532">
        <w:rPr>
          <w:rFonts w:eastAsia="Calibri" w:cs="Calibri"/>
          <w:lang w:val="pt-PT"/>
        </w:rPr>
        <w:t xml:space="preserve"> que aprova a Lei do Trabalho, designadamente:</w:t>
      </w:r>
    </w:p>
    <w:p w14:paraId="51EED616" w14:textId="77777777" w:rsidR="00B31AE2" w:rsidRPr="00292532" w:rsidRDefault="00B31AE2" w:rsidP="00AE14AE">
      <w:pPr>
        <w:numPr>
          <w:ilvl w:val="0"/>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Advertência verbal</w:t>
      </w:r>
    </w:p>
    <w:p w14:paraId="5297F909" w14:textId="77777777" w:rsidR="00B31AE2" w:rsidRPr="00292532" w:rsidRDefault="00B31AE2" w:rsidP="00AE14AE">
      <w:pPr>
        <w:numPr>
          <w:ilvl w:val="0"/>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Advertência registada</w:t>
      </w:r>
    </w:p>
    <w:p w14:paraId="2B39AF74" w14:textId="77777777" w:rsidR="00B31AE2" w:rsidRPr="00292532" w:rsidRDefault="00B31AE2" w:rsidP="00AE14AE">
      <w:pPr>
        <w:numPr>
          <w:ilvl w:val="0"/>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 xml:space="preserve">Suspensão do trabalho (com perda de remuneração): correspondentes até 10 (dez) dias por cada </w:t>
      </w:r>
      <w:proofErr w:type="spellStart"/>
      <w:r w:rsidRPr="00292532">
        <w:rPr>
          <w:rFonts w:eastAsia="Calibri" w:cs="Calibri"/>
          <w:lang w:val="pt-PT"/>
        </w:rPr>
        <w:t>infracção</w:t>
      </w:r>
      <w:proofErr w:type="spellEnd"/>
      <w:r w:rsidRPr="00292532">
        <w:rPr>
          <w:rFonts w:eastAsia="Calibri" w:cs="Calibri"/>
          <w:lang w:val="pt-PT"/>
        </w:rPr>
        <w:t xml:space="preserve">, ou 30 (trinta) dias, em cada ano civil   </w:t>
      </w:r>
    </w:p>
    <w:p w14:paraId="5F0CBF2B" w14:textId="77777777" w:rsidR="00B31AE2" w:rsidRPr="00292532" w:rsidRDefault="00B31AE2" w:rsidP="00AE14AE">
      <w:pPr>
        <w:numPr>
          <w:ilvl w:val="0"/>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Perda de remuneração até 20 (vinte) dias</w:t>
      </w:r>
    </w:p>
    <w:p w14:paraId="070EC026" w14:textId="77777777" w:rsidR="00B31AE2" w:rsidRPr="00292532" w:rsidRDefault="00B31AE2" w:rsidP="00AE14AE">
      <w:pPr>
        <w:numPr>
          <w:ilvl w:val="0"/>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Despromoção para categoria profissional imediatamente inferior, por um período não superior a 1 (um) ano, havendo possibilidade de formação adicional</w:t>
      </w:r>
    </w:p>
    <w:p w14:paraId="5BEE1804" w14:textId="77777777" w:rsidR="00B31AE2" w:rsidRPr="00292532" w:rsidRDefault="00B31AE2" w:rsidP="00AE14AE">
      <w:pPr>
        <w:numPr>
          <w:ilvl w:val="0"/>
          <w:numId w:val="133"/>
        </w:numPr>
        <w:autoSpaceDE w:val="0"/>
        <w:autoSpaceDN w:val="0"/>
        <w:adjustRightInd w:val="0"/>
        <w:spacing w:before="0" w:after="120" w:line="276" w:lineRule="auto"/>
        <w:contextualSpacing/>
        <w:jc w:val="left"/>
        <w:rPr>
          <w:rFonts w:eastAsia="Calibri" w:cs="Calibri"/>
          <w:lang w:val="pt-PT"/>
        </w:rPr>
      </w:pPr>
      <w:r w:rsidRPr="00292532">
        <w:rPr>
          <w:rFonts w:eastAsia="Calibri" w:cs="Calibri"/>
          <w:lang w:val="pt-PT"/>
        </w:rPr>
        <w:t>Encaminhamento a Polícia</w:t>
      </w:r>
    </w:p>
    <w:p w14:paraId="581C43B8" w14:textId="77777777" w:rsidR="00B31AE2" w:rsidRPr="00292532" w:rsidRDefault="00B31AE2" w:rsidP="00AE14AE">
      <w:pPr>
        <w:numPr>
          <w:ilvl w:val="0"/>
          <w:numId w:val="133"/>
        </w:numPr>
        <w:autoSpaceDE w:val="0"/>
        <w:autoSpaceDN w:val="0"/>
        <w:adjustRightInd w:val="0"/>
        <w:spacing w:before="0" w:after="0" w:line="276" w:lineRule="auto"/>
        <w:contextualSpacing/>
        <w:jc w:val="left"/>
        <w:rPr>
          <w:rFonts w:eastAsia="Calibri" w:cs="Calibri"/>
          <w:lang w:val="pt-PT"/>
        </w:rPr>
      </w:pPr>
      <w:r w:rsidRPr="00292532">
        <w:rPr>
          <w:rFonts w:eastAsia="Calibri" w:cs="Calibri"/>
          <w:lang w:val="pt-PT"/>
        </w:rPr>
        <w:t xml:space="preserve">Despedimento </w:t>
      </w:r>
    </w:p>
    <w:p w14:paraId="4F5EC3C2" w14:textId="77777777" w:rsidR="00B31AE2" w:rsidRPr="00292532" w:rsidRDefault="00B31AE2" w:rsidP="00B31AE2">
      <w:pPr>
        <w:spacing w:before="0" w:after="0" w:line="276" w:lineRule="auto"/>
        <w:jc w:val="left"/>
        <w:rPr>
          <w:rFonts w:eastAsia="Calibri" w:cs="Calibri"/>
          <w:lang w:val="pt-PT"/>
        </w:rPr>
      </w:pPr>
    </w:p>
    <w:p w14:paraId="0188C21F" w14:textId="77777777" w:rsidR="00B31AE2" w:rsidRPr="00292532" w:rsidRDefault="00B31AE2" w:rsidP="00B31AE2">
      <w:pPr>
        <w:spacing w:before="0" w:after="0" w:line="276" w:lineRule="auto"/>
        <w:rPr>
          <w:rFonts w:eastAsia="Times New Roman" w:cs="Calibri"/>
          <w:lang w:val="pt-PT"/>
        </w:rPr>
      </w:pPr>
      <w:r w:rsidRPr="00292532">
        <w:rPr>
          <w:rFonts w:eastAsia="Times New Roman" w:cs="Calibri"/>
          <w:lang w:val="pt-PT"/>
        </w:rPr>
        <w:t xml:space="preserve">No caso de prestação de serviços (a título individual ou </w:t>
      </w:r>
      <w:proofErr w:type="spellStart"/>
      <w:r w:rsidRPr="00292532">
        <w:rPr>
          <w:rFonts w:eastAsia="Times New Roman" w:cs="Calibri"/>
          <w:lang w:val="pt-PT"/>
        </w:rPr>
        <w:t>colectivo</w:t>
      </w:r>
      <w:proofErr w:type="spellEnd"/>
      <w:r w:rsidRPr="00292532">
        <w:rPr>
          <w:rFonts w:eastAsia="Times New Roman" w:cs="Calibri"/>
          <w:lang w:val="pt-PT"/>
        </w:rPr>
        <w:t>), as sanções acima poderão ser substituídas por sessação de contracto e penalizações complementares aplicáveis.</w:t>
      </w:r>
    </w:p>
    <w:p w14:paraId="768BCE2A" w14:textId="77777777" w:rsidR="00B31AE2" w:rsidRPr="00292532" w:rsidRDefault="00B31AE2" w:rsidP="00B31AE2">
      <w:pPr>
        <w:spacing w:before="0" w:after="0" w:line="276" w:lineRule="auto"/>
        <w:jc w:val="left"/>
        <w:rPr>
          <w:rFonts w:eastAsia="Arial Unicode MS" w:cs="Calibri"/>
          <w:lang w:val="pt-PT"/>
        </w:rPr>
      </w:pPr>
    </w:p>
    <w:p w14:paraId="6C711638" w14:textId="77777777" w:rsidR="00B31AE2" w:rsidRPr="00292532" w:rsidRDefault="00B31AE2" w:rsidP="00B31AE2">
      <w:pPr>
        <w:spacing w:before="0" w:after="0" w:line="276" w:lineRule="auto"/>
        <w:jc w:val="left"/>
        <w:rPr>
          <w:rFonts w:eastAsia="Calibri" w:cs="Calibri"/>
          <w:b/>
          <w:bCs/>
          <w:lang w:val="pt-PT"/>
        </w:rPr>
      </w:pPr>
      <w:r w:rsidRPr="00292532">
        <w:rPr>
          <w:rFonts w:eastAsia="Calibri" w:cs="Calibri"/>
          <w:b/>
          <w:bCs/>
          <w:lang w:val="pt-PT"/>
        </w:rPr>
        <w:t>Dúvidas e denúncias</w:t>
      </w:r>
    </w:p>
    <w:p w14:paraId="496E5C8D" w14:textId="77777777" w:rsidR="00B31AE2" w:rsidRPr="00292532" w:rsidRDefault="00B31AE2" w:rsidP="00B31AE2">
      <w:pPr>
        <w:spacing w:before="0" w:after="0" w:line="276" w:lineRule="auto"/>
        <w:rPr>
          <w:rFonts w:eastAsia="Calibri" w:cs="Calibri"/>
          <w:lang w:val="pt-PT"/>
        </w:rPr>
      </w:pPr>
      <w:r w:rsidRPr="00292532">
        <w:rPr>
          <w:rFonts w:eastAsia="Calibri" w:cs="Calibri"/>
          <w:lang w:val="pt-PT"/>
        </w:rPr>
        <w:t xml:space="preserve">Compreendo que se eu tiver qualquer dúvida sobre este Código de Conduta, entrarei em contacto com o departamento de Recursos Humanos (RH) ou usarei o Mecanismo de Gestão de Reclamações (MGR) do empregador e/ou o geral do </w:t>
      </w:r>
      <w:proofErr w:type="spellStart"/>
      <w:r w:rsidRPr="00292532">
        <w:rPr>
          <w:rFonts w:eastAsia="Calibri" w:cs="Calibri"/>
          <w:lang w:val="pt-PT"/>
        </w:rPr>
        <w:t>projecto</w:t>
      </w:r>
      <w:proofErr w:type="spellEnd"/>
      <w:r w:rsidRPr="00292532">
        <w:rPr>
          <w:rFonts w:eastAsia="Calibri" w:cs="Calibri"/>
          <w:lang w:val="pt-PT"/>
        </w:rPr>
        <w:t>.</w:t>
      </w:r>
    </w:p>
    <w:p w14:paraId="29E170F4" w14:textId="77777777" w:rsidR="00B31AE2" w:rsidRPr="00292532" w:rsidRDefault="00B31AE2" w:rsidP="00B31AE2">
      <w:pPr>
        <w:spacing w:before="0" w:after="0" w:line="276" w:lineRule="auto"/>
        <w:jc w:val="left"/>
        <w:rPr>
          <w:rFonts w:eastAsia="Calibri" w:cs="Calibri"/>
          <w:lang w:val="pt-PT"/>
        </w:rPr>
      </w:pPr>
    </w:p>
    <w:p w14:paraId="48B7116A" w14:textId="77777777" w:rsidR="00B31AE2" w:rsidRPr="00292532" w:rsidRDefault="00B31AE2" w:rsidP="00B31AE2">
      <w:pPr>
        <w:spacing w:before="0" w:after="0" w:line="276" w:lineRule="auto"/>
        <w:jc w:val="left"/>
        <w:rPr>
          <w:rFonts w:eastAsia="Calibri" w:cs="Calibri"/>
          <w:b/>
          <w:bCs/>
          <w:lang w:val="pt-PT"/>
        </w:rPr>
      </w:pPr>
      <w:r w:rsidRPr="00292532">
        <w:rPr>
          <w:rFonts w:eastAsia="Calibri" w:cs="Calibri"/>
          <w:b/>
          <w:bCs/>
          <w:lang w:val="pt-PT"/>
        </w:rPr>
        <w:t xml:space="preserve">Livre consentimento </w:t>
      </w:r>
    </w:p>
    <w:p w14:paraId="3223E201" w14:textId="77777777" w:rsidR="00B31AE2" w:rsidRPr="00292532" w:rsidRDefault="00B31AE2" w:rsidP="00B31AE2">
      <w:pPr>
        <w:spacing w:before="0" w:after="200" w:line="276" w:lineRule="auto"/>
        <w:rPr>
          <w:rFonts w:eastAsia="Calibri" w:cs="Calibri"/>
          <w:lang w:val="pt-PT"/>
        </w:rPr>
      </w:pPr>
      <w:r w:rsidRPr="00292532">
        <w:rPr>
          <w:rFonts w:eastAsia="Calibri" w:cs="Calibri"/>
          <w:lang w:val="pt-PT"/>
        </w:rPr>
        <w:t xml:space="preserve">Entendo que é minha responsabilidade </w:t>
      </w:r>
      <w:bookmarkStart w:id="1260" w:name="_Hlk68563950"/>
      <w:r w:rsidRPr="00292532">
        <w:rPr>
          <w:rFonts w:eastAsia="Calibri" w:cs="Calibri"/>
          <w:lang w:val="pt-PT"/>
        </w:rPr>
        <w:t xml:space="preserve">evitar </w:t>
      </w:r>
      <w:proofErr w:type="spellStart"/>
      <w:r w:rsidRPr="00292532">
        <w:rPr>
          <w:rFonts w:eastAsia="Calibri" w:cs="Calibri"/>
          <w:lang w:val="pt-PT"/>
        </w:rPr>
        <w:t>acções</w:t>
      </w:r>
      <w:proofErr w:type="spellEnd"/>
      <w:r w:rsidRPr="00292532">
        <w:rPr>
          <w:rFonts w:eastAsia="Calibri" w:cs="Calibri"/>
          <w:lang w:val="pt-PT"/>
        </w:rPr>
        <w:t xml:space="preserve"> ou comportamentos que possam ser interpretados como violação do Código de Conduta Individual. Por este meio, reconheço que li e recebi uma cópia do Código de Conduta Individual acima mencionado</w:t>
      </w:r>
      <w:bookmarkEnd w:id="1260"/>
      <w:r w:rsidRPr="00292532">
        <w:rPr>
          <w:rFonts w:eastAsia="Calibri" w:cs="Calibri"/>
          <w:lang w:val="pt-PT"/>
        </w:rPr>
        <w:t xml:space="preserve"> e, por assino asso duas cópias com igual conteúdo. </w:t>
      </w:r>
    </w:p>
    <w:p w14:paraId="25A219AE" w14:textId="77777777" w:rsidR="00B31AE2" w:rsidRPr="00292532" w:rsidRDefault="00B31AE2" w:rsidP="00B31AE2">
      <w:pPr>
        <w:spacing w:before="0" w:after="200" w:line="276" w:lineRule="auto"/>
        <w:ind w:left="1440" w:firstLine="720"/>
        <w:jc w:val="left"/>
        <w:rPr>
          <w:rFonts w:eastAsia="Calibri" w:cs="Calibri"/>
          <w:bCs/>
          <w:color w:val="000000"/>
          <w:lang w:val="pt-PT"/>
        </w:rPr>
      </w:pPr>
    </w:p>
    <w:p w14:paraId="56BFEF77" w14:textId="77777777" w:rsidR="00B31AE2" w:rsidRPr="00292532" w:rsidRDefault="00B31AE2" w:rsidP="00B31AE2">
      <w:pPr>
        <w:spacing w:before="0" w:after="200" w:line="276" w:lineRule="auto"/>
        <w:ind w:left="1440" w:firstLine="720"/>
        <w:jc w:val="left"/>
        <w:rPr>
          <w:rFonts w:eastAsia="Arial Unicode MS" w:cs="Calibri"/>
          <w:bCs/>
          <w:color w:val="000000"/>
          <w:lang w:val="pt-PT"/>
        </w:rPr>
      </w:pPr>
      <w:r w:rsidRPr="00292532">
        <w:rPr>
          <w:rFonts w:eastAsia="Calibri" w:cs="Calibri"/>
          <w:bCs/>
          <w:color w:val="000000"/>
          <w:lang w:val="pt-PT"/>
        </w:rPr>
        <w:t>Assinatura:</w:t>
      </w:r>
      <w:r w:rsidRPr="00292532">
        <w:rPr>
          <w:rFonts w:eastAsia="Calibri" w:cs="Calibri"/>
          <w:bCs/>
          <w:color w:val="000000"/>
          <w:lang w:val="pt-PT"/>
        </w:rPr>
        <w:tab/>
      </w:r>
      <w:r w:rsidRPr="00292532">
        <w:rPr>
          <w:rFonts w:eastAsia="Calibri" w:cs="Calibri"/>
          <w:bCs/>
          <w:color w:val="000000"/>
          <w:lang w:val="pt-PT"/>
        </w:rPr>
        <w:tab/>
        <w:t xml:space="preserve"> __________________________</w:t>
      </w:r>
    </w:p>
    <w:p w14:paraId="1C529E78" w14:textId="77777777" w:rsidR="00B31AE2" w:rsidRPr="00292532" w:rsidRDefault="00B31AE2" w:rsidP="00B31AE2">
      <w:pPr>
        <w:spacing w:before="0" w:after="200" w:line="276" w:lineRule="auto"/>
        <w:ind w:left="1440" w:firstLine="720"/>
        <w:jc w:val="left"/>
        <w:rPr>
          <w:rFonts w:eastAsia="Calibri" w:cs="Calibri"/>
          <w:bCs/>
          <w:color w:val="000000"/>
          <w:lang w:val="pt-PT"/>
        </w:rPr>
      </w:pPr>
      <w:r w:rsidRPr="00292532">
        <w:rPr>
          <w:rFonts w:eastAsia="Calibri" w:cs="Calibri"/>
          <w:bCs/>
          <w:color w:val="000000"/>
          <w:lang w:val="pt-PT"/>
        </w:rPr>
        <w:t>Nome (Letras Maiúsculas): __________________________</w:t>
      </w:r>
    </w:p>
    <w:p w14:paraId="28962D33" w14:textId="77777777" w:rsidR="00B31AE2" w:rsidRPr="00292532" w:rsidRDefault="00B31AE2" w:rsidP="00B31AE2">
      <w:pPr>
        <w:spacing w:before="0" w:after="200" w:line="276" w:lineRule="auto"/>
        <w:ind w:left="1440" w:firstLine="720"/>
        <w:jc w:val="left"/>
        <w:rPr>
          <w:rFonts w:eastAsia="Calibri" w:cs="Calibri"/>
          <w:bCs/>
          <w:color w:val="000000"/>
          <w:lang w:val="pt-PT"/>
        </w:rPr>
      </w:pPr>
      <w:r w:rsidRPr="00292532">
        <w:rPr>
          <w:rFonts w:eastAsia="Calibri" w:cs="Calibri"/>
          <w:bCs/>
          <w:color w:val="000000"/>
          <w:lang w:val="pt-PT"/>
        </w:rPr>
        <w:t xml:space="preserve">Cargo: </w:t>
      </w:r>
      <w:r w:rsidRPr="00292532">
        <w:rPr>
          <w:rFonts w:eastAsia="Calibri" w:cs="Calibri"/>
          <w:bCs/>
          <w:color w:val="000000"/>
          <w:lang w:val="pt-PT"/>
        </w:rPr>
        <w:tab/>
      </w:r>
      <w:r w:rsidRPr="00292532">
        <w:rPr>
          <w:rFonts w:eastAsia="Calibri" w:cs="Calibri"/>
          <w:bCs/>
          <w:color w:val="000000"/>
          <w:lang w:val="pt-PT"/>
        </w:rPr>
        <w:tab/>
      </w:r>
      <w:r w:rsidRPr="00292532">
        <w:rPr>
          <w:rFonts w:eastAsia="Calibri" w:cs="Calibri"/>
          <w:bCs/>
          <w:color w:val="000000"/>
          <w:lang w:val="pt-PT"/>
        </w:rPr>
        <w:tab/>
        <w:t>__________________________</w:t>
      </w:r>
    </w:p>
    <w:p w14:paraId="2450BB92" w14:textId="77777777" w:rsidR="00B31AE2" w:rsidRPr="00292532" w:rsidRDefault="00B31AE2" w:rsidP="00B31AE2">
      <w:pPr>
        <w:spacing w:before="0" w:after="200" w:line="276" w:lineRule="auto"/>
        <w:ind w:left="1416" w:firstLine="708"/>
        <w:jc w:val="left"/>
        <w:rPr>
          <w:rFonts w:eastAsia="Calibri" w:cs="Calibri"/>
          <w:lang w:val="pt-PT"/>
        </w:rPr>
      </w:pPr>
      <w:r w:rsidRPr="00292532">
        <w:rPr>
          <w:rFonts w:eastAsia="Calibri" w:cs="Calibri"/>
          <w:bCs/>
          <w:color w:val="000000"/>
          <w:lang w:val="pt-PT"/>
        </w:rPr>
        <w:t xml:space="preserve"> Data: </w:t>
      </w:r>
      <w:r w:rsidRPr="00292532">
        <w:rPr>
          <w:rFonts w:eastAsia="Calibri" w:cs="Calibri"/>
          <w:bCs/>
          <w:color w:val="000000"/>
          <w:lang w:val="pt-PT"/>
        </w:rPr>
        <w:tab/>
      </w:r>
      <w:r w:rsidRPr="00292532">
        <w:rPr>
          <w:rFonts w:eastAsia="Calibri" w:cs="Calibri"/>
          <w:bCs/>
          <w:color w:val="000000"/>
          <w:lang w:val="pt-PT"/>
        </w:rPr>
        <w:tab/>
      </w:r>
      <w:r w:rsidRPr="00292532">
        <w:rPr>
          <w:rFonts w:eastAsia="Calibri" w:cs="Calibri"/>
          <w:bCs/>
          <w:color w:val="000000"/>
          <w:lang w:val="pt-PT"/>
        </w:rPr>
        <w:tab/>
        <w:t>__________________________</w:t>
      </w:r>
    </w:p>
    <w:bookmarkEnd w:id="1254"/>
    <w:p w14:paraId="483892CD" w14:textId="77777777" w:rsidR="00B31AE2" w:rsidRPr="00292532" w:rsidRDefault="00B31AE2" w:rsidP="00B31AE2">
      <w:pPr>
        <w:spacing w:before="0" w:after="200" w:line="276" w:lineRule="auto"/>
        <w:ind w:left="1416" w:firstLine="708"/>
        <w:jc w:val="left"/>
        <w:rPr>
          <w:rFonts w:eastAsia="Calibri" w:cs="Calibri"/>
          <w:lang w:val="pt-PT"/>
        </w:rPr>
      </w:pPr>
    </w:p>
    <w:p w14:paraId="3D64963E" w14:textId="77777777" w:rsidR="00B31AE2" w:rsidRPr="00292532" w:rsidRDefault="00B31AE2" w:rsidP="00B31AE2">
      <w:pPr>
        <w:spacing w:before="0" w:line="259" w:lineRule="auto"/>
        <w:jc w:val="left"/>
        <w:rPr>
          <w:rFonts w:eastAsia="Calibri" w:cs="Calibri"/>
          <w:sz w:val="20"/>
          <w:szCs w:val="20"/>
          <w:lang w:val="pt-PT"/>
        </w:rPr>
        <w:sectPr w:rsidR="00B31AE2" w:rsidRPr="00292532" w:rsidSect="00B31AE2">
          <w:footerReference w:type="default" r:id="rId52"/>
          <w:pgSz w:w="11907" w:h="16840" w:code="1"/>
          <w:pgMar w:top="1378" w:right="992" w:bottom="1338" w:left="1077" w:header="720" w:footer="720" w:gutter="0"/>
          <w:cols w:space="720"/>
          <w:docGrid w:linePitch="360"/>
        </w:sectPr>
      </w:pPr>
      <w:r w:rsidRPr="00292532">
        <w:rPr>
          <w:rFonts w:eastAsia="Calibri" w:cs="Calibri"/>
          <w:sz w:val="20"/>
          <w:szCs w:val="20"/>
          <w:lang w:val="pt-PT"/>
        </w:rPr>
        <w:br w:type="page"/>
      </w:r>
    </w:p>
    <w:p w14:paraId="56E4A535" w14:textId="4CA21DD2" w:rsidR="00B31AE2" w:rsidRPr="00292532" w:rsidRDefault="00B31AE2" w:rsidP="00AE14AE">
      <w:pPr>
        <w:keepNext/>
        <w:keepLines/>
        <w:numPr>
          <w:ilvl w:val="0"/>
          <w:numId w:val="146"/>
        </w:numPr>
        <w:spacing w:before="200" w:after="200" w:line="276" w:lineRule="auto"/>
        <w:ind w:left="426" w:firstLine="0"/>
        <w:jc w:val="left"/>
        <w:outlineLvl w:val="1"/>
        <w:rPr>
          <w:rFonts w:ascii="Arial" w:eastAsia="Times New Roman" w:hAnsi="Arial" w:cs="Arial"/>
          <w:b/>
          <w:bCs/>
          <w:color w:val="4472C4"/>
          <w:sz w:val="26"/>
          <w:szCs w:val="26"/>
          <w:lang w:val="pt-PT"/>
        </w:rPr>
      </w:pPr>
      <w:bookmarkStart w:id="1261" w:name="_Toc74921508"/>
      <w:bookmarkStart w:id="1262" w:name="_Toc75438084"/>
      <w:bookmarkStart w:id="1263" w:name="_Toc78435513"/>
      <w:bookmarkStart w:id="1264" w:name="_Toc80380180"/>
      <w:r w:rsidRPr="00292532">
        <w:rPr>
          <w:rFonts w:ascii="Arial" w:eastAsia="Times New Roman" w:hAnsi="Arial" w:cs="Arial"/>
          <w:b/>
          <w:bCs/>
          <w:color w:val="4472C4"/>
          <w:sz w:val="26"/>
          <w:szCs w:val="26"/>
          <w:lang w:val="pt-PT"/>
        </w:rPr>
        <w:lastRenderedPageBreak/>
        <w:t>Apêndice C – Formulário para o Registo de Não Conformidades</w:t>
      </w:r>
      <w:bookmarkEnd w:id="1261"/>
      <w:bookmarkEnd w:id="1262"/>
      <w:bookmarkEnd w:id="1263"/>
      <w:bookmarkEnd w:id="1264"/>
      <w:r w:rsidRPr="00292532">
        <w:rPr>
          <w:rFonts w:ascii="Arial" w:eastAsia="Times New Roman" w:hAnsi="Arial" w:cs="Arial"/>
          <w:b/>
          <w:bCs/>
          <w:color w:val="4472C4"/>
          <w:sz w:val="26"/>
          <w:szCs w:val="26"/>
          <w:lang w:val="pt-PT"/>
        </w:rPr>
        <w:t xml:space="preserve"> </w:t>
      </w:r>
    </w:p>
    <w:tbl>
      <w:tblPr>
        <w:tblStyle w:val="1"/>
        <w:tblW w:w="0" w:type="auto"/>
        <w:tblLook w:val="04A0" w:firstRow="1" w:lastRow="0" w:firstColumn="1" w:lastColumn="0" w:noHBand="0" w:noVBand="1"/>
      </w:tblPr>
      <w:tblGrid>
        <w:gridCol w:w="4531"/>
        <w:gridCol w:w="4187"/>
        <w:gridCol w:w="66"/>
        <w:gridCol w:w="2507"/>
        <w:gridCol w:w="2823"/>
      </w:tblGrid>
      <w:tr w:rsidR="00B31AE2" w:rsidRPr="00292532" w14:paraId="5377F71F" w14:textId="77777777" w:rsidTr="00B31AE2">
        <w:trPr>
          <w:trHeight w:val="443"/>
        </w:trPr>
        <w:tc>
          <w:tcPr>
            <w:tcW w:w="11291" w:type="dxa"/>
            <w:gridSpan w:val="4"/>
            <w:shd w:val="clear" w:color="auto" w:fill="5B9BD5"/>
          </w:tcPr>
          <w:p w14:paraId="1CA2D68C" w14:textId="26E22210" w:rsidR="00B31AE2" w:rsidRPr="00292532" w:rsidRDefault="00B31AE2" w:rsidP="00B31AE2">
            <w:pPr>
              <w:spacing w:after="200" w:line="276" w:lineRule="auto"/>
              <w:jc w:val="center"/>
              <w:rPr>
                <w:rFonts w:eastAsia="Calibri" w:cs="Calibri"/>
                <w:b/>
                <w:color w:val="FFFFFF"/>
                <w:sz w:val="32"/>
                <w:szCs w:val="20"/>
                <w:lang w:val="pt-PT"/>
              </w:rPr>
            </w:pPr>
            <w:r w:rsidRPr="00292532">
              <w:rPr>
                <w:rFonts w:eastAsia="Calibri" w:cs="Calibri"/>
                <w:b/>
                <w:color w:val="FFFFFF"/>
                <w:sz w:val="32"/>
                <w:szCs w:val="20"/>
                <w:lang w:val="pt-PT"/>
              </w:rPr>
              <w:t xml:space="preserve">Registo de Não conformidades e </w:t>
            </w:r>
            <w:proofErr w:type="spellStart"/>
            <w:r w:rsidRPr="00292532">
              <w:rPr>
                <w:rFonts w:eastAsia="Calibri" w:cs="Calibri"/>
                <w:b/>
                <w:color w:val="FFFFFF"/>
                <w:sz w:val="32"/>
                <w:szCs w:val="20"/>
                <w:lang w:val="pt-PT"/>
              </w:rPr>
              <w:t>acções</w:t>
            </w:r>
            <w:proofErr w:type="spellEnd"/>
            <w:r w:rsidRPr="00292532">
              <w:rPr>
                <w:rFonts w:eastAsia="Calibri" w:cs="Calibri"/>
                <w:b/>
                <w:color w:val="FFFFFF"/>
                <w:sz w:val="32"/>
                <w:szCs w:val="20"/>
                <w:lang w:val="pt-PT"/>
              </w:rPr>
              <w:t xml:space="preserve"> </w:t>
            </w:r>
            <w:proofErr w:type="spellStart"/>
            <w:r w:rsidRPr="00292532">
              <w:rPr>
                <w:rFonts w:eastAsia="Calibri" w:cs="Calibri"/>
                <w:b/>
                <w:color w:val="FFFFFF"/>
                <w:sz w:val="32"/>
                <w:szCs w:val="20"/>
                <w:lang w:val="pt-PT"/>
              </w:rPr>
              <w:t>correctivas</w:t>
            </w:r>
            <w:proofErr w:type="spellEnd"/>
            <w:r w:rsidRPr="00292532">
              <w:rPr>
                <w:rFonts w:eastAsia="Calibri" w:cs="Calibri"/>
                <w:b/>
                <w:color w:val="FFFFFF"/>
                <w:sz w:val="32"/>
                <w:szCs w:val="20"/>
                <w:lang w:val="pt-PT"/>
              </w:rPr>
              <w:t xml:space="preserve"> e preventivas</w:t>
            </w:r>
          </w:p>
        </w:tc>
        <w:tc>
          <w:tcPr>
            <w:tcW w:w="2823" w:type="dxa"/>
          </w:tcPr>
          <w:p w14:paraId="2E0D68BD" w14:textId="77777777" w:rsidR="00B31AE2" w:rsidRPr="00292532" w:rsidRDefault="00B31AE2" w:rsidP="00B31AE2">
            <w:pPr>
              <w:spacing w:after="200" w:line="276" w:lineRule="auto"/>
              <w:rPr>
                <w:rFonts w:eastAsia="Calibri" w:cs="Calibri"/>
                <w:szCs w:val="20"/>
                <w:lang w:val="pt-PT"/>
              </w:rPr>
            </w:pPr>
            <w:r w:rsidRPr="00292532">
              <w:rPr>
                <w:rFonts w:eastAsia="Calibri" w:cs="Calibri"/>
                <w:szCs w:val="20"/>
                <w:lang w:val="pt-PT"/>
              </w:rPr>
              <w:t>Número:</w:t>
            </w:r>
          </w:p>
        </w:tc>
      </w:tr>
      <w:tr w:rsidR="00B31AE2" w:rsidRPr="00292532" w14:paraId="2777F933" w14:textId="77777777" w:rsidTr="00B31AE2">
        <w:tc>
          <w:tcPr>
            <w:tcW w:w="11291" w:type="dxa"/>
            <w:gridSpan w:val="4"/>
          </w:tcPr>
          <w:p w14:paraId="3C503FA5" w14:textId="77777777" w:rsidR="00B31AE2" w:rsidRPr="00292532" w:rsidRDefault="00B31AE2" w:rsidP="00B31AE2">
            <w:pPr>
              <w:spacing w:after="200" w:line="276" w:lineRule="auto"/>
              <w:rPr>
                <w:rFonts w:eastAsia="Calibri" w:cs="Calibri"/>
                <w:b/>
                <w:sz w:val="24"/>
                <w:szCs w:val="20"/>
                <w:lang w:val="pt-PT"/>
              </w:rPr>
            </w:pPr>
            <w:r w:rsidRPr="00292532">
              <w:rPr>
                <w:rFonts w:eastAsia="Calibri" w:cs="Calibri"/>
                <w:b/>
                <w:sz w:val="24"/>
                <w:szCs w:val="20"/>
                <w:lang w:val="pt-PT"/>
              </w:rPr>
              <w:t xml:space="preserve">Nome do </w:t>
            </w:r>
            <w:proofErr w:type="spellStart"/>
            <w:r w:rsidRPr="00292532">
              <w:rPr>
                <w:rFonts w:eastAsia="Calibri" w:cs="Calibri"/>
                <w:b/>
                <w:sz w:val="24"/>
                <w:szCs w:val="20"/>
                <w:lang w:val="pt-PT"/>
              </w:rPr>
              <w:t>Projecto</w:t>
            </w:r>
            <w:proofErr w:type="spellEnd"/>
            <w:r w:rsidRPr="00292532">
              <w:rPr>
                <w:rFonts w:eastAsia="Calibri" w:cs="Calibri"/>
                <w:b/>
                <w:sz w:val="24"/>
                <w:szCs w:val="20"/>
                <w:lang w:val="pt-PT"/>
              </w:rPr>
              <w:t>:</w:t>
            </w:r>
          </w:p>
        </w:tc>
        <w:tc>
          <w:tcPr>
            <w:tcW w:w="2823" w:type="dxa"/>
          </w:tcPr>
          <w:p w14:paraId="6DA67F8B" w14:textId="77777777" w:rsidR="00B31AE2" w:rsidRPr="00292532" w:rsidRDefault="00B31AE2" w:rsidP="00B31AE2">
            <w:pPr>
              <w:spacing w:after="200" w:line="276" w:lineRule="auto"/>
              <w:rPr>
                <w:rFonts w:eastAsia="Calibri" w:cs="Calibri"/>
                <w:szCs w:val="20"/>
                <w:lang w:val="pt-PT"/>
              </w:rPr>
            </w:pPr>
            <w:r w:rsidRPr="00292532">
              <w:rPr>
                <w:rFonts w:eastAsia="Calibri" w:cs="Calibri"/>
                <w:szCs w:val="20"/>
                <w:lang w:val="pt-PT"/>
              </w:rPr>
              <w:t>Código:</w:t>
            </w:r>
          </w:p>
        </w:tc>
      </w:tr>
      <w:tr w:rsidR="00B31AE2" w:rsidRPr="00292532" w14:paraId="4FF5551A" w14:textId="77777777" w:rsidTr="00B31AE2">
        <w:tc>
          <w:tcPr>
            <w:tcW w:w="14114" w:type="dxa"/>
            <w:gridSpan w:val="5"/>
          </w:tcPr>
          <w:p w14:paraId="409FDD30" w14:textId="77777777" w:rsidR="00B31AE2" w:rsidRPr="00292532" w:rsidRDefault="00B31AE2" w:rsidP="00B31AE2">
            <w:pPr>
              <w:spacing w:after="200" w:line="276" w:lineRule="auto"/>
              <w:rPr>
                <w:rFonts w:eastAsia="Calibri" w:cs="Calibri"/>
                <w:sz w:val="20"/>
                <w:szCs w:val="20"/>
                <w:lang w:val="pt-PT"/>
              </w:rPr>
            </w:pPr>
            <w:r w:rsidRPr="00292532">
              <w:rPr>
                <w:rFonts w:eastAsia="Calibri" w:cs="Calibri"/>
                <w:b/>
                <w:sz w:val="24"/>
                <w:szCs w:val="20"/>
                <w:lang w:val="pt-PT"/>
              </w:rPr>
              <w:t>Dono da Obra:</w:t>
            </w:r>
          </w:p>
        </w:tc>
      </w:tr>
      <w:tr w:rsidR="00B31AE2" w:rsidRPr="00292532" w14:paraId="3DABB06B" w14:textId="77777777" w:rsidTr="00B31AE2">
        <w:tc>
          <w:tcPr>
            <w:tcW w:w="14114" w:type="dxa"/>
            <w:gridSpan w:val="5"/>
          </w:tcPr>
          <w:p w14:paraId="11CE980C" w14:textId="77777777" w:rsidR="00B31AE2" w:rsidRPr="00292532" w:rsidRDefault="00B31AE2" w:rsidP="00B31AE2">
            <w:pPr>
              <w:spacing w:after="200" w:line="276" w:lineRule="auto"/>
              <w:rPr>
                <w:rFonts w:eastAsia="Calibri" w:cs="Calibri"/>
                <w:sz w:val="20"/>
                <w:szCs w:val="20"/>
                <w:lang w:val="pt-PT"/>
              </w:rPr>
            </w:pPr>
            <w:r w:rsidRPr="00292532">
              <w:rPr>
                <w:rFonts w:eastAsia="Calibri" w:cs="Calibri"/>
                <w:b/>
                <w:sz w:val="24"/>
                <w:szCs w:val="20"/>
                <w:lang w:val="pt-PT"/>
              </w:rPr>
              <w:t>Empreiteiro:</w:t>
            </w:r>
          </w:p>
        </w:tc>
      </w:tr>
      <w:tr w:rsidR="00B31AE2" w:rsidRPr="00292532" w14:paraId="760EF49E" w14:textId="77777777" w:rsidTr="00B31AE2">
        <w:trPr>
          <w:trHeight w:val="1269"/>
        </w:trPr>
        <w:tc>
          <w:tcPr>
            <w:tcW w:w="14114" w:type="dxa"/>
            <w:gridSpan w:val="5"/>
          </w:tcPr>
          <w:p w14:paraId="7E9BCB37" w14:textId="77777777" w:rsidR="00B31AE2" w:rsidRPr="00292532" w:rsidRDefault="00B31AE2" w:rsidP="00AE14AE">
            <w:pPr>
              <w:numPr>
                <w:ilvl w:val="0"/>
                <w:numId w:val="135"/>
              </w:numPr>
              <w:spacing w:after="200" w:line="276" w:lineRule="auto"/>
              <w:contextualSpacing/>
              <w:rPr>
                <w:rFonts w:eastAsia="Calibri" w:cs="Calibri"/>
                <w:sz w:val="20"/>
                <w:szCs w:val="20"/>
                <w:lang w:val="pt-PT"/>
              </w:rPr>
            </w:pPr>
            <w:r w:rsidRPr="00292532">
              <w:rPr>
                <w:rFonts w:eastAsia="Calibri" w:cs="Calibri"/>
                <w:sz w:val="20"/>
                <w:szCs w:val="20"/>
                <w:lang w:val="pt-PT"/>
              </w:rPr>
              <w:t>Descrição de não Conformidade</w:t>
            </w:r>
          </w:p>
          <w:p w14:paraId="39CFEEB9" w14:textId="77777777" w:rsidR="00B31AE2" w:rsidRPr="00292532" w:rsidRDefault="00B31AE2" w:rsidP="00B31AE2">
            <w:pPr>
              <w:spacing w:after="200" w:line="276" w:lineRule="auto"/>
              <w:rPr>
                <w:rFonts w:eastAsia="Calibri" w:cs="Calibri"/>
                <w:sz w:val="20"/>
                <w:szCs w:val="20"/>
                <w:lang w:val="pt-PT"/>
              </w:rPr>
            </w:pPr>
          </w:p>
          <w:p w14:paraId="7905FEDA" w14:textId="77777777" w:rsidR="00B31AE2" w:rsidRPr="00292532" w:rsidRDefault="00B31AE2" w:rsidP="00B31AE2">
            <w:pPr>
              <w:spacing w:after="200" w:line="276" w:lineRule="auto"/>
              <w:rPr>
                <w:rFonts w:eastAsia="Calibri" w:cs="Calibri"/>
                <w:sz w:val="20"/>
                <w:szCs w:val="20"/>
                <w:lang w:val="pt-PT"/>
              </w:rPr>
            </w:pPr>
          </w:p>
        </w:tc>
      </w:tr>
      <w:tr w:rsidR="00B31AE2" w:rsidRPr="00292532" w14:paraId="7A82CEF6" w14:textId="77777777" w:rsidTr="00B31AE2">
        <w:trPr>
          <w:trHeight w:val="524"/>
        </w:trPr>
        <w:tc>
          <w:tcPr>
            <w:tcW w:w="8784" w:type="dxa"/>
            <w:gridSpan w:val="3"/>
          </w:tcPr>
          <w:p w14:paraId="36CB4251" w14:textId="77777777" w:rsidR="00B31AE2" w:rsidRPr="00292532" w:rsidRDefault="00B31AE2" w:rsidP="00B31AE2">
            <w:pPr>
              <w:spacing w:after="200" w:line="276" w:lineRule="auto"/>
              <w:rPr>
                <w:rFonts w:eastAsia="Calibri" w:cs="Calibri"/>
                <w:sz w:val="20"/>
                <w:szCs w:val="20"/>
                <w:lang w:val="pt-PT"/>
              </w:rPr>
            </w:pPr>
            <w:r w:rsidRPr="00292532">
              <w:rPr>
                <w:rFonts w:eastAsia="Calibri" w:cs="Calibri"/>
                <w:sz w:val="20"/>
                <w:szCs w:val="20"/>
                <w:lang w:val="pt-PT"/>
              </w:rPr>
              <w:t>Localização:</w:t>
            </w:r>
          </w:p>
        </w:tc>
        <w:tc>
          <w:tcPr>
            <w:tcW w:w="5330" w:type="dxa"/>
            <w:gridSpan w:val="2"/>
            <w:vMerge w:val="restart"/>
          </w:tcPr>
          <w:p w14:paraId="2EBBED13" w14:textId="77777777" w:rsidR="00B31AE2" w:rsidRPr="00292532" w:rsidRDefault="00B31AE2" w:rsidP="00B31AE2">
            <w:pPr>
              <w:spacing w:after="200" w:line="276" w:lineRule="auto"/>
              <w:rPr>
                <w:rFonts w:eastAsia="Calibri" w:cs="Calibri"/>
                <w:sz w:val="20"/>
                <w:szCs w:val="20"/>
                <w:lang w:val="pt-PT"/>
              </w:rPr>
            </w:pPr>
            <w:r w:rsidRPr="00292532">
              <w:rPr>
                <w:rFonts w:eastAsia="Calibri" w:cs="Calibri"/>
                <w:sz w:val="20"/>
                <w:szCs w:val="20"/>
                <w:lang w:val="pt-PT"/>
              </w:rPr>
              <w:t>Documentos de referência:</w:t>
            </w:r>
          </w:p>
        </w:tc>
      </w:tr>
      <w:tr w:rsidR="00B31AE2" w:rsidRPr="00292532" w14:paraId="7720AD92" w14:textId="77777777" w:rsidTr="00B31AE2">
        <w:tc>
          <w:tcPr>
            <w:tcW w:w="4531" w:type="dxa"/>
            <w:shd w:val="clear" w:color="auto" w:fill="D9D9D9"/>
          </w:tcPr>
          <w:p w14:paraId="074AA423" w14:textId="77777777" w:rsidR="00B31AE2" w:rsidRPr="00292532" w:rsidRDefault="00B31AE2" w:rsidP="00B31AE2">
            <w:pPr>
              <w:spacing w:after="200" w:line="276" w:lineRule="auto"/>
              <w:rPr>
                <w:rFonts w:eastAsia="Calibri" w:cs="Calibri"/>
                <w:sz w:val="20"/>
                <w:szCs w:val="20"/>
                <w:lang w:val="pt-PT"/>
              </w:rPr>
            </w:pPr>
            <w:r w:rsidRPr="00292532">
              <w:rPr>
                <w:rFonts w:eastAsia="Calibri" w:cs="Calibri"/>
                <w:sz w:val="20"/>
                <w:szCs w:val="20"/>
                <w:lang w:val="pt-PT"/>
              </w:rPr>
              <w:t>Descrito por:</w:t>
            </w:r>
          </w:p>
        </w:tc>
        <w:tc>
          <w:tcPr>
            <w:tcW w:w="4253" w:type="dxa"/>
            <w:gridSpan w:val="2"/>
            <w:shd w:val="clear" w:color="auto" w:fill="D9D9D9"/>
          </w:tcPr>
          <w:p w14:paraId="5587946D" w14:textId="77777777" w:rsidR="00B31AE2" w:rsidRPr="00292532" w:rsidRDefault="00B31AE2" w:rsidP="00B31AE2">
            <w:pPr>
              <w:spacing w:after="200" w:line="276" w:lineRule="auto"/>
              <w:rPr>
                <w:rFonts w:eastAsia="Calibri" w:cs="Calibri"/>
                <w:sz w:val="20"/>
                <w:szCs w:val="20"/>
                <w:lang w:val="pt-PT"/>
              </w:rPr>
            </w:pPr>
            <w:r w:rsidRPr="00292532">
              <w:rPr>
                <w:rFonts w:eastAsia="Calibri" w:cs="Calibri"/>
                <w:sz w:val="20"/>
                <w:szCs w:val="20"/>
                <w:lang w:val="pt-PT"/>
              </w:rPr>
              <w:t>Verificado por:</w:t>
            </w:r>
          </w:p>
        </w:tc>
        <w:tc>
          <w:tcPr>
            <w:tcW w:w="5330" w:type="dxa"/>
            <w:gridSpan w:val="2"/>
            <w:vMerge/>
          </w:tcPr>
          <w:p w14:paraId="4D55FEE6" w14:textId="77777777" w:rsidR="00B31AE2" w:rsidRPr="00292532" w:rsidRDefault="00B31AE2" w:rsidP="00B31AE2">
            <w:pPr>
              <w:spacing w:after="200" w:line="276" w:lineRule="auto"/>
              <w:rPr>
                <w:rFonts w:eastAsia="Calibri" w:cs="Calibri"/>
                <w:sz w:val="20"/>
                <w:szCs w:val="20"/>
                <w:lang w:val="pt-PT"/>
              </w:rPr>
            </w:pPr>
          </w:p>
        </w:tc>
      </w:tr>
      <w:tr w:rsidR="00B31AE2" w:rsidRPr="004E2EAC" w14:paraId="5CF66BF6" w14:textId="77777777" w:rsidTr="00B31AE2">
        <w:trPr>
          <w:trHeight w:val="1199"/>
        </w:trPr>
        <w:tc>
          <w:tcPr>
            <w:tcW w:w="14114" w:type="dxa"/>
            <w:gridSpan w:val="5"/>
          </w:tcPr>
          <w:p w14:paraId="3BAFA915" w14:textId="77777777" w:rsidR="00B31AE2" w:rsidRPr="00292532" w:rsidRDefault="00B31AE2" w:rsidP="00AE14AE">
            <w:pPr>
              <w:numPr>
                <w:ilvl w:val="0"/>
                <w:numId w:val="135"/>
              </w:numPr>
              <w:spacing w:after="200" w:line="276" w:lineRule="auto"/>
              <w:contextualSpacing/>
              <w:rPr>
                <w:rFonts w:eastAsia="Calibri" w:cs="Calibri"/>
                <w:sz w:val="20"/>
                <w:szCs w:val="20"/>
                <w:lang w:val="pt-PT"/>
              </w:rPr>
            </w:pPr>
            <w:r w:rsidRPr="00292532">
              <w:rPr>
                <w:rFonts w:eastAsia="Calibri" w:cs="Calibri"/>
                <w:sz w:val="20"/>
                <w:szCs w:val="20"/>
                <w:lang w:val="pt-PT"/>
              </w:rPr>
              <w:t xml:space="preserve">Descrição das </w:t>
            </w:r>
            <w:proofErr w:type="spellStart"/>
            <w:r w:rsidRPr="00292532">
              <w:rPr>
                <w:rFonts w:eastAsia="Calibri" w:cs="Calibri"/>
                <w:sz w:val="20"/>
                <w:szCs w:val="20"/>
                <w:lang w:val="pt-PT"/>
              </w:rPr>
              <w:t>acções</w:t>
            </w:r>
            <w:proofErr w:type="spellEnd"/>
            <w:r w:rsidRPr="00292532">
              <w:rPr>
                <w:rFonts w:eastAsia="Calibri" w:cs="Calibri"/>
                <w:sz w:val="20"/>
                <w:szCs w:val="20"/>
                <w:lang w:val="pt-PT"/>
              </w:rPr>
              <w:t xml:space="preserve"> </w:t>
            </w:r>
            <w:proofErr w:type="gramStart"/>
            <w:r w:rsidRPr="00292532">
              <w:rPr>
                <w:rFonts w:eastAsia="Calibri" w:cs="Calibri"/>
                <w:sz w:val="20"/>
                <w:szCs w:val="20"/>
                <w:lang w:val="pt-PT"/>
              </w:rPr>
              <w:t>(  )</w:t>
            </w:r>
            <w:proofErr w:type="gramEnd"/>
            <w:r w:rsidRPr="00292532">
              <w:rPr>
                <w:rFonts w:eastAsia="Calibri" w:cs="Calibri"/>
                <w:sz w:val="20"/>
                <w:szCs w:val="20"/>
                <w:lang w:val="pt-PT"/>
              </w:rPr>
              <w:t xml:space="preserve"> </w:t>
            </w:r>
            <w:proofErr w:type="spellStart"/>
            <w:r w:rsidRPr="00292532">
              <w:rPr>
                <w:rFonts w:eastAsia="Calibri" w:cs="Calibri"/>
                <w:sz w:val="20"/>
                <w:szCs w:val="20"/>
                <w:lang w:val="pt-PT"/>
              </w:rPr>
              <w:t>correctivas</w:t>
            </w:r>
            <w:proofErr w:type="spellEnd"/>
            <w:r w:rsidRPr="00292532">
              <w:rPr>
                <w:rFonts w:eastAsia="Calibri" w:cs="Calibri"/>
                <w:sz w:val="20"/>
                <w:szCs w:val="20"/>
                <w:lang w:val="pt-PT"/>
              </w:rPr>
              <w:t xml:space="preserve">, (  ) preventivas </w:t>
            </w:r>
          </w:p>
        </w:tc>
      </w:tr>
      <w:tr w:rsidR="00B31AE2" w:rsidRPr="00292532" w14:paraId="49BF9D70" w14:textId="77777777" w:rsidTr="00B31AE2">
        <w:tc>
          <w:tcPr>
            <w:tcW w:w="4531" w:type="dxa"/>
            <w:shd w:val="clear" w:color="auto" w:fill="D9D9D9"/>
          </w:tcPr>
          <w:p w14:paraId="74989455" w14:textId="77777777" w:rsidR="00B31AE2" w:rsidRPr="00292532" w:rsidRDefault="00B31AE2" w:rsidP="00B31AE2">
            <w:pPr>
              <w:spacing w:after="200" w:line="276" w:lineRule="auto"/>
              <w:rPr>
                <w:rFonts w:eastAsia="Calibri" w:cs="Calibri"/>
                <w:sz w:val="20"/>
                <w:szCs w:val="20"/>
                <w:lang w:val="pt-PT"/>
              </w:rPr>
            </w:pPr>
            <w:r w:rsidRPr="00292532">
              <w:rPr>
                <w:rFonts w:eastAsia="Calibri" w:cs="Calibri"/>
                <w:sz w:val="20"/>
                <w:szCs w:val="20"/>
                <w:lang w:val="pt-PT"/>
              </w:rPr>
              <w:t xml:space="preserve">Proposto por: </w:t>
            </w:r>
          </w:p>
        </w:tc>
        <w:tc>
          <w:tcPr>
            <w:tcW w:w="4187" w:type="dxa"/>
            <w:shd w:val="clear" w:color="auto" w:fill="D9D9D9"/>
          </w:tcPr>
          <w:p w14:paraId="1C7F6429" w14:textId="77777777" w:rsidR="00B31AE2" w:rsidRPr="00292532" w:rsidRDefault="00B31AE2" w:rsidP="00B31AE2">
            <w:pPr>
              <w:spacing w:after="200" w:line="276" w:lineRule="auto"/>
              <w:rPr>
                <w:rFonts w:eastAsia="Calibri" w:cs="Calibri"/>
                <w:sz w:val="20"/>
                <w:szCs w:val="20"/>
                <w:lang w:val="pt-PT"/>
              </w:rPr>
            </w:pPr>
            <w:r w:rsidRPr="00292532">
              <w:rPr>
                <w:rFonts w:eastAsia="Calibri" w:cs="Calibri"/>
                <w:sz w:val="20"/>
                <w:szCs w:val="20"/>
                <w:lang w:val="pt-PT"/>
              </w:rPr>
              <w:t xml:space="preserve">Verificado por: </w:t>
            </w:r>
          </w:p>
        </w:tc>
        <w:tc>
          <w:tcPr>
            <w:tcW w:w="5396" w:type="dxa"/>
            <w:gridSpan w:val="3"/>
            <w:shd w:val="clear" w:color="auto" w:fill="D9D9D9"/>
          </w:tcPr>
          <w:p w14:paraId="5E32464B" w14:textId="77777777" w:rsidR="00B31AE2" w:rsidRPr="00292532" w:rsidRDefault="00B31AE2" w:rsidP="00B31AE2">
            <w:pPr>
              <w:spacing w:after="200" w:line="276" w:lineRule="auto"/>
              <w:rPr>
                <w:rFonts w:eastAsia="Calibri" w:cs="Calibri"/>
                <w:sz w:val="20"/>
                <w:szCs w:val="20"/>
                <w:lang w:val="pt-PT"/>
              </w:rPr>
            </w:pPr>
            <w:r w:rsidRPr="00292532">
              <w:rPr>
                <w:rFonts w:eastAsia="Calibri" w:cs="Calibri"/>
                <w:sz w:val="20"/>
                <w:szCs w:val="20"/>
                <w:lang w:val="pt-PT"/>
              </w:rPr>
              <w:t>Aprovado por:</w:t>
            </w:r>
          </w:p>
        </w:tc>
      </w:tr>
      <w:tr w:rsidR="00B31AE2" w:rsidRPr="004E2EAC" w14:paraId="5B43B79D" w14:textId="77777777" w:rsidTr="00B31AE2">
        <w:trPr>
          <w:trHeight w:val="1193"/>
        </w:trPr>
        <w:tc>
          <w:tcPr>
            <w:tcW w:w="14114" w:type="dxa"/>
            <w:gridSpan w:val="5"/>
          </w:tcPr>
          <w:p w14:paraId="5707A4A2" w14:textId="77777777" w:rsidR="00B31AE2" w:rsidRPr="00292532" w:rsidRDefault="00B31AE2" w:rsidP="00AE14AE">
            <w:pPr>
              <w:numPr>
                <w:ilvl w:val="0"/>
                <w:numId w:val="135"/>
              </w:numPr>
              <w:spacing w:after="200" w:line="276" w:lineRule="auto"/>
              <w:contextualSpacing/>
              <w:rPr>
                <w:rFonts w:eastAsia="Calibri" w:cs="Calibri"/>
                <w:sz w:val="20"/>
                <w:szCs w:val="20"/>
                <w:lang w:val="pt-PT"/>
              </w:rPr>
            </w:pPr>
            <w:r w:rsidRPr="00292532">
              <w:rPr>
                <w:rFonts w:eastAsia="Calibri" w:cs="Calibri"/>
                <w:sz w:val="20"/>
                <w:szCs w:val="20"/>
                <w:lang w:val="pt-PT"/>
              </w:rPr>
              <w:t xml:space="preserve">Execução das </w:t>
            </w:r>
            <w:proofErr w:type="spellStart"/>
            <w:r w:rsidRPr="00292532">
              <w:rPr>
                <w:rFonts w:eastAsia="Calibri" w:cs="Calibri"/>
                <w:sz w:val="20"/>
                <w:szCs w:val="20"/>
                <w:lang w:val="pt-PT"/>
              </w:rPr>
              <w:t>acções</w:t>
            </w:r>
            <w:proofErr w:type="spellEnd"/>
            <w:r w:rsidRPr="00292532">
              <w:rPr>
                <w:rFonts w:eastAsia="Calibri" w:cs="Calibri"/>
                <w:sz w:val="20"/>
                <w:szCs w:val="20"/>
                <w:lang w:val="pt-PT"/>
              </w:rPr>
              <w:t xml:space="preserve"> </w:t>
            </w:r>
            <w:proofErr w:type="spellStart"/>
            <w:r w:rsidRPr="00292532">
              <w:rPr>
                <w:rFonts w:eastAsia="Calibri" w:cs="Calibri"/>
                <w:sz w:val="20"/>
                <w:szCs w:val="20"/>
                <w:lang w:val="pt-PT"/>
              </w:rPr>
              <w:t>correctiva</w:t>
            </w:r>
            <w:proofErr w:type="spellEnd"/>
            <w:r w:rsidRPr="00292532">
              <w:rPr>
                <w:rFonts w:eastAsia="Calibri" w:cs="Calibri"/>
                <w:sz w:val="20"/>
                <w:szCs w:val="20"/>
                <w:lang w:val="pt-PT"/>
              </w:rPr>
              <w:t>/preventivas</w:t>
            </w:r>
          </w:p>
        </w:tc>
      </w:tr>
      <w:tr w:rsidR="00B31AE2" w:rsidRPr="00292532" w14:paraId="696ED997" w14:textId="77777777" w:rsidTr="00B31AE2">
        <w:tc>
          <w:tcPr>
            <w:tcW w:w="4531" w:type="dxa"/>
            <w:shd w:val="clear" w:color="auto" w:fill="D9D9D9"/>
          </w:tcPr>
          <w:p w14:paraId="4FE7D6EE" w14:textId="77777777" w:rsidR="00B31AE2" w:rsidRPr="00292532" w:rsidRDefault="00B31AE2" w:rsidP="00B31AE2">
            <w:pPr>
              <w:spacing w:after="200" w:line="276" w:lineRule="auto"/>
              <w:rPr>
                <w:rFonts w:eastAsia="Calibri" w:cs="Calibri"/>
                <w:sz w:val="20"/>
                <w:szCs w:val="20"/>
                <w:lang w:val="pt-PT"/>
              </w:rPr>
            </w:pPr>
            <w:r w:rsidRPr="00292532">
              <w:rPr>
                <w:rFonts w:eastAsia="Calibri" w:cs="Calibri"/>
                <w:sz w:val="20"/>
                <w:szCs w:val="20"/>
                <w:lang w:val="pt-PT"/>
              </w:rPr>
              <w:lastRenderedPageBreak/>
              <w:t xml:space="preserve">Executado por: </w:t>
            </w:r>
          </w:p>
        </w:tc>
        <w:tc>
          <w:tcPr>
            <w:tcW w:w="4253" w:type="dxa"/>
            <w:gridSpan w:val="2"/>
            <w:shd w:val="clear" w:color="auto" w:fill="D9D9D9"/>
          </w:tcPr>
          <w:p w14:paraId="0C2D3A96" w14:textId="77777777" w:rsidR="00B31AE2" w:rsidRPr="00292532" w:rsidRDefault="00B31AE2" w:rsidP="00B31AE2">
            <w:pPr>
              <w:spacing w:after="200" w:line="276" w:lineRule="auto"/>
              <w:rPr>
                <w:rFonts w:eastAsia="Calibri" w:cs="Calibri"/>
                <w:sz w:val="20"/>
                <w:szCs w:val="20"/>
                <w:lang w:val="pt-PT"/>
              </w:rPr>
            </w:pPr>
            <w:r w:rsidRPr="00292532">
              <w:rPr>
                <w:rFonts w:eastAsia="Calibri" w:cs="Calibri"/>
                <w:sz w:val="20"/>
                <w:szCs w:val="20"/>
                <w:lang w:val="pt-PT"/>
              </w:rPr>
              <w:t>Verificado por:</w:t>
            </w:r>
          </w:p>
        </w:tc>
        <w:tc>
          <w:tcPr>
            <w:tcW w:w="5330" w:type="dxa"/>
            <w:gridSpan w:val="2"/>
            <w:shd w:val="clear" w:color="auto" w:fill="D9D9D9"/>
          </w:tcPr>
          <w:p w14:paraId="3E2D42F7" w14:textId="77777777" w:rsidR="00B31AE2" w:rsidRPr="00292532" w:rsidRDefault="00B31AE2" w:rsidP="00B31AE2">
            <w:pPr>
              <w:spacing w:after="200" w:line="276" w:lineRule="auto"/>
              <w:rPr>
                <w:rFonts w:eastAsia="Calibri" w:cs="Calibri"/>
                <w:sz w:val="20"/>
                <w:szCs w:val="20"/>
                <w:lang w:val="pt-PT"/>
              </w:rPr>
            </w:pPr>
            <w:r w:rsidRPr="00292532">
              <w:rPr>
                <w:rFonts w:eastAsia="Calibri" w:cs="Calibri"/>
                <w:sz w:val="20"/>
                <w:szCs w:val="20"/>
                <w:lang w:val="pt-PT"/>
              </w:rPr>
              <w:t>Aprovado por:</w:t>
            </w:r>
          </w:p>
        </w:tc>
      </w:tr>
    </w:tbl>
    <w:p w14:paraId="5C9E6A38" w14:textId="77777777" w:rsidR="00B31AE2" w:rsidRPr="00292532" w:rsidRDefault="00B31AE2" w:rsidP="00B31AE2">
      <w:pPr>
        <w:spacing w:before="0" w:after="200" w:line="276" w:lineRule="auto"/>
        <w:rPr>
          <w:rFonts w:eastAsia="Calibri" w:cs="Calibri"/>
          <w:sz w:val="20"/>
          <w:szCs w:val="20"/>
          <w:lang w:val="pt-PT"/>
        </w:rPr>
        <w:sectPr w:rsidR="00B31AE2" w:rsidRPr="00292532" w:rsidSect="00B31AE2">
          <w:pgSz w:w="16840" w:h="11907" w:orient="landscape" w:code="1"/>
          <w:pgMar w:top="1077" w:right="1378" w:bottom="992" w:left="1338" w:header="720" w:footer="720" w:gutter="0"/>
          <w:cols w:space="720"/>
          <w:docGrid w:linePitch="360"/>
        </w:sectPr>
      </w:pPr>
    </w:p>
    <w:p w14:paraId="445DC38E" w14:textId="4C419169" w:rsidR="00B31AE2" w:rsidRPr="00292532" w:rsidRDefault="00B31AE2" w:rsidP="00AE14AE">
      <w:pPr>
        <w:keepNext/>
        <w:keepLines/>
        <w:numPr>
          <w:ilvl w:val="0"/>
          <w:numId w:val="146"/>
        </w:numPr>
        <w:spacing w:before="200" w:after="200" w:line="276" w:lineRule="auto"/>
        <w:ind w:left="426" w:firstLine="0"/>
        <w:jc w:val="left"/>
        <w:outlineLvl w:val="1"/>
        <w:rPr>
          <w:rFonts w:ascii="Arial" w:eastAsia="Times New Roman" w:hAnsi="Arial" w:cs="Arial"/>
          <w:b/>
          <w:bCs/>
          <w:color w:val="4472C4"/>
          <w:sz w:val="26"/>
          <w:szCs w:val="26"/>
          <w:lang w:val="pt-PT"/>
        </w:rPr>
      </w:pPr>
      <w:bookmarkStart w:id="1265" w:name="_Toc74921509"/>
      <w:bookmarkStart w:id="1266" w:name="_Toc75438085"/>
      <w:bookmarkStart w:id="1267" w:name="_Toc78435514"/>
      <w:bookmarkStart w:id="1268" w:name="_Toc80380181"/>
      <w:r w:rsidRPr="00292532">
        <w:rPr>
          <w:rFonts w:ascii="Arial" w:eastAsia="Times New Roman" w:hAnsi="Arial" w:cs="Arial"/>
          <w:b/>
          <w:bCs/>
          <w:color w:val="4472C4"/>
          <w:sz w:val="26"/>
          <w:szCs w:val="26"/>
          <w:lang w:val="pt-PT"/>
        </w:rPr>
        <w:lastRenderedPageBreak/>
        <w:t xml:space="preserve">Apêndice D – Formulário para o Registo </w:t>
      </w:r>
      <w:r w:rsidR="001E28C0" w:rsidRPr="00292532">
        <w:rPr>
          <w:rFonts w:ascii="Arial" w:eastAsia="Times New Roman" w:hAnsi="Arial" w:cs="Arial"/>
          <w:b/>
          <w:bCs/>
          <w:color w:val="4472C4"/>
          <w:sz w:val="26"/>
          <w:szCs w:val="26"/>
          <w:lang w:val="pt-PT"/>
        </w:rPr>
        <w:t xml:space="preserve">de </w:t>
      </w:r>
      <w:r w:rsidRPr="00292532">
        <w:rPr>
          <w:rFonts w:ascii="Arial" w:eastAsia="Times New Roman" w:hAnsi="Arial" w:cs="Arial"/>
          <w:b/>
          <w:bCs/>
          <w:color w:val="4472C4"/>
          <w:sz w:val="26"/>
          <w:szCs w:val="26"/>
          <w:lang w:val="pt-PT"/>
        </w:rPr>
        <w:t>Acidentes de Trabalho</w:t>
      </w:r>
      <w:bookmarkEnd w:id="1265"/>
      <w:bookmarkEnd w:id="1266"/>
      <w:bookmarkEnd w:id="1267"/>
      <w:bookmarkEnd w:id="1268"/>
      <w:r w:rsidRPr="00292532">
        <w:rPr>
          <w:rFonts w:ascii="Arial" w:eastAsia="Times New Roman" w:hAnsi="Arial" w:cs="Arial"/>
          <w:b/>
          <w:bCs/>
          <w:color w:val="4472C4"/>
          <w:sz w:val="26"/>
          <w:szCs w:val="26"/>
          <w:lang w:val="pt-PT"/>
        </w:rPr>
        <w:t xml:space="preserve"> </w:t>
      </w:r>
    </w:p>
    <w:tbl>
      <w:tblPr>
        <w:tblStyle w:val="1"/>
        <w:tblW w:w="9634" w:type="dxa"/>
        <w:tblLook w:val="04A0" w:firstRow="1" w:lastRow="0" w:firstColumn="1" w:lastColumn="0" w:noHBand="0" w:noVBand="1"/>
      </w:tblPr>
      <w:tblGrid>
        <w:gridCol w:w="4812"/>
        <w:gridCol w:w="2696"/>
        <w:gridCol w:w="992"/>
        <w:gridCol w:w="1134"/>
      </w:tblGrid>
      <w:tr w:rsidR="00B31AE2" w:rsidRPr="00292532" w14:paraId="4A38072D" w14:textId="77777777" w:rsidTr="00B31AE2">
        <w:tc>
          <w:tcPr>
            <w:tcW w:w="7508" w:type="dxa"/>
            <w:gridSpan w:val="2"/>
            <w:shd w:val="clear" w:color="auto" w:fill="5B9BD5"/>
            <w:vAlign w:val="center"/>
          </w:tcPr>
          <w:p w14:paraId="5C23F6ED" w14:textId="1C8EF171" w:rsidR="00B31AE2" w:rsidRPr="00292532" w:rsidRDefault="00B31AE2" w:rsidP="00B31AE2">
            <w:pPr>
              <w:spacing w:after="200" w:line="276" w:lineRule="auto"/>
              <w:jc w:val="center"/>
              <w:rPr>
                <w:rFonts w:eastAsia="Calibri" w:cs="Times New Roman"/>
                <w:b/>
                <w:color w:val="FFFFFF"/>
                <w:lang w:val="pt-PT"/>
              </w:rPr>
            </w:pPr>
            <w:r w:rsidRPr="00292532">
              <w:rPr>
                <w:rFonts w:eastAsia="Calibri" w:cs="Times New Roman"/>
                <w:b/>
                <w:color w:val="FFFFFF"/>
                <w:lang w:val="pt-PT"/>
              </w:rPr>
              <w:t>REGISTO DE ACIDENTE DE TRABALHO</w:t>
            </w:r>
          </w:p>
        </w:tc>
        <w:tc>
          <w:tcPr>
            <w:tcW w:w="992" w:type="dxa"/>
            <w:shd w:val="clear" w:color="auto" w:fill="5B9BD5"/>
          </w:tcPr>
          <w:p w14:paraId="6AC4C1DB" w14:textId="77777777" w:rsidR="00B31AE2" w:rsidRPr="00292532" w:rsidRDefault="00B31AE2" w:rsidP="00B31AE2">
            <w:pPr>
              <w:spacing w:after="200" w:line="276" w:lineRule="auto"/>
              <w:jc w:val="center"/>
              <w:rPr>
                <w:rFonts w:eastAsia="Calibri" w:cs="Times New Roman"/>
                <w:b/>
                <w:color w:val="FFFFFF"/>
                <w:lang w:val="pt-PT"/>
              </w:rPr>
            </w:pPr>
            <w:r w:rsidRPr="00292532">
              <w:rPr>
                <w:rFonts w:eastAsia="Calibri" w:cs="Times New Roman"/>
                <w:b/>
                <w:color w:val="FFFFFF"/>
                <w:lang w:val="pt-PT"/>
              </w:rPr>
              <w:t>Número</w:t>
            </w:r>
          </w:p>
          <w:p w14:paraId="194DCDA5" w14:textId="77777777" w:rsidR="00B31AE2" w:rsidRPr="00292532" w:rsidRDefault="00B31AE2" w:rsidP="00B31AE2">
            <w:pPr>
              <w:spacing w:after="200" w:line="276" w:lineRule="auto"/>
              <w:jc w:val="center"/>
              <w:rPr>
                <w:rFonts w:eastAsia="Calibri" w:cs="Times New Roman"/>
                <w:b/>
                <w:color w:val="FFFFFF"/>
                <w:lang w:val="pt-PT"/>
              </w:rPr>
            </w:pPr>
          </w:p>
        </w:tc>
        <w:tc>
          <w:tcPr>
            <w:tcW w:w="1134" w:type="dxa"/>
            <w:shd w:val="clear" w:color="auto" w:fill="5B9BD5"/>
          </w:tcPr>
          <w:p w14:paraId="58D6F9BF" w14:textId="77777777" w:rsidR="00B31AE2" w:rsidRPr="00292532" w:rsidRDefault="00B31AE2" w:rsidP="00B31AE2">
            <w:pPr>
              <w:spacing w:after="200" w:line="276" w:lineRule="auto"/>
              <w:jc w:val="center"/>
              <w:rPr>
                <w:rFonts w:eastAsia="Calibri" w:cs="Times New Roman"/>
                <w:b/>
                <w:color w:val="FFFFFF"/>
                <w:lang w:val="pt-PT"/>
              </w:rPr>
            </w:pPr>
            <w:r w:rsidRPr="00292532">
              <w:rPr>
                <w:rFonts w:eastAsia="Calibri" w:cs="Times New Roman"/>
                <w:b/>
                <w:color w:val="FFFFFF"/>
                <w:lang w:val="pt-PT"/>
              </w:rPr>
              <w:t>Código</w:t>
            </w:r>
          </w:p>
        </w:tc>
      </w:tr>
      <w:tr w:rsidR="00B31AE2" w:rsidRPr="00292532" w14:paraId="2C4F47ED" w14:textId="77777777" w:rsidTr="00B31AE2">
        <w:tc>
          <w:tcPr>
            <w:tcW w:w="7508" w:type="dxa"/>
            <w:gridSpan w:val="2"/>
          </w:tcPr>
          <w:p w14:paraId="62782DAD" w14:textId="77777777" w:rsidR="00B31AE2" w:rsidRPr="00292532" w:rsidRDefault="00B31AE2" w:rsidP="00B31AE2">
            <w:pPr>
              <w:spacing w:after="200" w:line="276" w:lineRule="auto"/>
              <w:rPr>
                <w:rFonts w:eastAsia="Calibri" w:cs="Times New Roman"/>
                <w:lang w:val="pt-PT"/>
              </w:rPr>
            </w:pPr>
            <w:r w:rsidRPr="00292532">
              <w:rPr>
                <w:rFonts w:eastAsia="Calibri" w:cs="Times New Roman"/>
                <w:lang w:val="pt-PT"/>
              </w:rPr>
              <w:t>Dono da Obra:</w:t>
            </w:r>
          </w:p>
        </w:tc>
        <w:tc>
          <w:tcPr>
            <w:tcW w:w="992" w:type="dxa"/>
          </w:tcPr>
          <w:p w14:paraId="377D2801" w14:textId="77777777" w:rsidR="00B31AE2" w:rsidRPr="00292532" w:rsidRDefault="00B31AE2" w:rsidP="00B31AE2">
            <w:pPr>
              <w:spacing w:after="200" w:line="276" w:lineRule="auto"/>
              <w:rPr>
                <w:rFonts w:eastAsia="Calibri" w:cs="Times New Roman"/>
                <w:lang w:val="pt-PT"/>
              </w:rPr>
            </w:pPr>
          </w:p>
        </w:tc>
        <w:tc>
          <w:tcPr>
            <w:tcW w:w="1134" w:type="dxa"/>
          </w:tcPr>
          <w:p w14:paraId="57748641" w14:textId="77777777" w:rsidR="00B31AE2" w:rsidRPr="00292532" w:rsidRDefault="00B31AE2" w:rsidP="00B31AE2">
            <w:pPr>
              <w:spacing w:after="200" w:line="276" w:lineRule="auto"/>
              <w:rPr>
                <w:rFonts w:eastAsia="Calibri" w:cs="Times New Roman"/>
                <w:lang w:val="pt-PT"/>
              </w:rPr>
            </w:pPr>
          </w:p>
        </w:tc>
      </w:tr>
      <w:tr w:rsidR="00B31AE2" w:rsidRPr="00292532" w14:paraId="553F3165" w14:textId="77777777" w:rsidTr="00B31AE2">
        <w:tc>
          <w:tcPr>
            <w:tcW w:w="7508" w:type="dxa"/>
            <w:gridSpan w:val="2"/>
          </w:tcPr>
          <w:p w14:paraId="7887208B" w14:textId="77777777" w:rsidR="00B31AE2" w:rsidRPr="00292532" w:rsidRDefault="00B31AE2" w:rsidP="00B31AE2">
            <w:pPr>
              <w:spacing w:after="200" w:line="276" w:lineRule="auto"/>
              <w:rPr>
                <w:rFonts w:eastAsia="Calibri" w:cs="Times New Roman"/>
                <w:lang w:val="pt-PT"/>
              </w:rPr>
            </w:pPr>
            <w:r w:rsidRPr="00292532">
              <w:rPr>
                <w:rFonts w:eastAsia="Calibri" w:cs="Times New Roman"/>
                <w:lang w:val="pt-PT"/>
              </w:rPr>
              <w:t xml:space="preserve">Nome do </w:t>
            </w:r>
            <w:proofErr w:type="spellStart"/>
            <w:r w:rsidRPr="00292532">
              <w:rPr>
                <w:rFonts w:eastAsia="Calibri" w:cs="Times New Roman"/>
                <w:lang w:val="pt-PT"/>
              </w:rPr>
              <w:t>projecto</w:t>
            </w:r>
            <w:proofErr w:type="spellEnd"/>
            <w:r w:rsidRPr="00292532">
              <w:rPr>
                <w:rFonts w:eastAsia="Calibri" w:cs="Times New Roman"/>
                <w:lang w:val="pt-PT"/>
              </w:rPr>
              <w:t>:</w:t>
            </w:r>
          </w:p>
        </w:tc>
        <w:tc>
          <w:tcPr>
            <w:tcW w:w="992" w:type="dxa"/>
          </w:tcPr>
          <w:p w14:paraId="72F85F57" w14:textId="77777777" w:rsidR="00B31AE2" w:rsidRPr="00292532" w:rsidRDefault="00B31AE2" w:rsidP="00B31AE2">
            <w:pPr>
              <w:spacing w:after="200" w:line="276" w:lineRule="auto"/>
              <w:rPr>
                <w:rFonts w:eastAsia="Calibri" w:cs="Times New Roman"/>
                <w:lang w:val="pt-PT"/>
              </w:rPr>
            </w:pPr>
          </w:p>
        </w:tc>
        <w:tc>
          <w:tcPr>
            <w:tcW w:w="1134" w:type="dxa"/>
          </w:tcPr>
          <w:p w14:paraId="3D6E8DB5" w14:textId="77777777" w:rsidR="00B31AE2" w:rsidRPr="00292532" w:rsidRDefault="00B31AE2" w:rsidP="00B31AE2">
            <w:pPr>
              <w:spacing w:after="200" w:line="276" w:lineRule="auto"/>
              <w:rPr>
                <w:rFonts w:eastAsia="Calibri" w:cs="Times New Roman"/>
                <w:lang w:val="pt-PT"/>
              </w:rPr>
            </w:pPr>
          </w:p>
        </w:tc>
      </w:tr>
      <w:tr w:rsidR="00B31AE2" w:rsidRPr="00292532" w14:paraId="1B3D2EC3" w14:textId="77777777" w:rsidTr="00B31AE2">
        <w:tc>
          <w:tcPr>
            <w:tcW w:w="7508" w:type="dxa"/>
            <w:gridSpan w:val="2"/>
          </w:tcPr>
          <w:p w14:paraId="7456C4F5" w14:textId="77777777" w:rsidR="00B31AE2" w:rsidRPr="00292532" w:rsidRDefault="00B31AE2" w:rsidP="00B31AE2">
            <w:pPr>
              <w:spacing w:after="200" w:line="276" w:lineRule="auto"/>
              <w:rPr>
                <w:rFonts w:eastAsia="Calibri" w:cs="Times New Roman"/>
                <w:lang w:val="pt-PT"/>
              </w:rPr>
            </w:pPr>
            <w:r w:rsidRPr="00292532">
              <w:rPr>
                <w:rFonts w:eastAsia="Calibri" w:cs="Times New Roman"/>
                <w:lang w:val="pt-PT"/>
              </w:rPr>
              <w:t>Empreiteiro:</w:t>
            </w:r>
          </w:p>
        </w:tc>
        <w:tc>
          <w:tcPr>
            <w:tcW w:w="992" w:type="dxa"/>
          </w:tcPr>
          <w:p w14:paraId="3FCEDFF8" w14:textId="77777777" w:rsidR="00B31AE2" w:rsidRPr="00292532" w:rsidRDefault="00B31AE2" w:rsidP="00B31AE2">
            <w:pPr>
              <w:spacing w:after="200" w:line="276" w:lineRule="auto"/>
              <w:rPr>
                <w:rFonts w:eastAsia="Calibri" w:cs="Times New Roman"/>
                <w:lang w:val="pt-PT"/>
              </w:rPr>
            </w:pPr>
          </w:p>
        </w:tc>
        <w:tc>
          <w:tcPr>
            <w:tcW w:w="1134" w:type="dxa"/>
          </w:tcPr>
          <w:p w14:paraId="7E72F565" w14:textId="77777777" w:rsidR="00B31AE2" w:rsidRPr="00292532" w:rsidRDefault="00B31AE2" w:rsidP="00B31AE2">
            <w:pPr>
              <w:spacing w:after="200" w:line="276" w:lineRule="auto"/>
              <w:rPr>
                <w:rFonts w:eastAsia="Calibri" w:cs="Times New Roman"/>
                <w:lang w:val="pt-PT"/>
              </w:rPr>
            </w:pPr>
          </w:p>
        </w:tc>
      </w:tr>
      <w:tr w:rsidR="00B31AE2" w:rsidRPr="00292532" w14:paraId="1312C6D3" w14:textId="77777777" w:rsidTr="00B31AE2">
        <w:tc>
          <w:tcPr>
            <w:tcW w:w="9634" w:type="dxa"/>
            <w:gridSpan w:val="4"/>
            <w:shd w:val="clear" w:color="auto" w:fill="5B9BD5"/>
          </w:tcPr>
          <w:p w14:paraId="1537A71D" w14:textId="77777777" w:rsidR="00B31AE2" w:rsidRPr="00292532" w:rsidRDefault="00B31AE2" w:rsidP="00B31AE2">
            <w:pPr>
              <w:spacing w:after="200" w:line="276" w:lineRule="auto"/>
              <w:jc w:val="center"/>
              <w:rPr>
                <w:rFonts w:eastAsia="Calibri" w:cs="Times New Roman"/>
                <w:b/>
                <w:color w:val="FFFFFF"/>
                <w:lang w:val="pt-PT"/>
              </w:rPr>
            </w:pPr>
            <w:r w:rsidRPr="00292532">
              <w:rPr>
                <w:rFonts w:eastAsia="Calibri" w:cs="Times New Roman"/>
                <w:b/>
                <w:color w:val="FFFFFF"/>
                <w:lang w:val="pt-PT"/>
              </w:rPr>
              <w:t>Dados do Sinistrado</w:t>
            </w:r>
          </w:p>
        </w:tc>
      </w:tr>
      <w:tr w:rsidR="00B31AE2" w:rsidRPr="004E2EAC" w14:paraId="760915BA" w14:textId="77777777" w:rsidTr="00B31AE2">
        <w:tc>
          <w:tcPr>
            <w:tcW w:w="9634" w:type="dxa"/>
            <w:gridSpan w:val="4"/>
          </w:tcPr>
          <w:p w14:paraId="52624479" w14:textId="77777777" w:rsidR="00B31AE2" w:rsidRPr="00292532" w:rsidRDefault="00B31AE2" w:rsidP="00B31AE2">
            <w:pPr>
              <w:tabs>
                <w:tab w:val="left" w:pos="5472"/>
              </w:tabs>
              <w:spacing w:after="200" w:line="276" w:lineRule="auto"/>
              <w:rPr>
                <w:rFonts w:eastAsia="Calibri" w:cs="Times New Roman"/>
                <w:lang w:val="pt-PT"/>
              </w:rPr>
            </w:pPr>
            <w:r w:rsidRPr="00292532">
              <w:rPr>
                <w:rFonts w:eastAsia="Calibri" w:cs="Times New Roman"/>
                <w:lang w:val="pt-PT"/>
              </w:rPr>
              <w:t>Nome:</w:t>
            </w:r>
            <w:r w:rsidRPr="00292532">
              <w:rPr>
                <w:rFonts w:eastAsia="Calibri" w:cs="Times New Roman"/>
                <w:lang w:val="pt-PT"/>
              </w:rPr>
              <w:tab/>
              <w:t>Número de trabalhador: ___________</w:t>
            </w:r>
          </w:p>
          <w:p w14:paraId="1EE9BC29" w14:textId="77777777" w:rsidR="00B31AE2" w:rsidRPr="00292532" w:rsidRDefault="00B31AE2" w:rsidP="00B31AE2">
            <w:pPr>
              <w:tabs>
                <w:tab w:val="left" w:pos="2232"/>
                <w:tab w:val="left" w:pos="5472"/>
              </w:tabs>
              <w:spacing w:after="200" w:line="276" w:lineRule="auto"/>
              <w:rPr>
                <w:rFonts w:eastAsia="Calibri" w:cs="Times New Roman"/>
                <w:lang w:val="pt-PT"/>
              </w:rPr>
            </w:pPr>
            <w:r w:rsidRPr="00292532">
              <w:rPr>
                <w:rFonts w:eastAsia="Calibri" w:cs="Times New Roman"/>
                <w:lang w:val="pt-PT"/>
              </w:rPr>
              <w:t xml:space="preserve">Sexo: </w:t>
            </w:r>
            <w:proofErr w:type="gramStart"/>
            <w:r w:rsidRPr="00292532">
              <w:rPr>
                <w:rFonts w:eastAsia="Calibri" w:cs="Times New Roman"/>
                <w:lang w:val="pt-PT"/>
              </w:rPr>
              <w:t>(  )</w:t>
            </w:r>
            <w:proofErr w:type="gramEnd"/>
            <w:r w:rsidRPr="00292532">
              <w:rPr>
                <w:rFonts w:eastAsia="Calibri" w:cs="Times New Roman"/>
                <w:lang w:val="pt-PT"/>
              </w:rPr>
              <w:t>Masculino,</w:t>
            </w:r>
            <w:r w:rsidRPr="00292532">
              <w:rPr>
                <w:rFonts w:eastAsia="Calibri" w:cs="Times New Roman"/>
                <w:lang w:val="pt-PT"/>
              </w:rPr>
              <w:tab/>
              <w:t>(   ) Feminino</w:t>
            </w:r>
            <w:r w:rsidRPr="00292532">
              <w:rPr>
                <w:rFonts w:eastAsia="Calibri" w:cs="Times New Roman"/>
                <w:lang w:val="pt-PT"/>
              </w:rPr>
              <w:tab/>
              <w:t>Data de nascimento:____/_____/____</w:t>
            </w:r>
          </w:p>
          <w:p w14:paraId="07E44172" w14:textId="77777777" w:rsidR="00B31AE2" w:rsidRPr="00292532" w:rsidRDefault="00B31AE2" w:rsidP="00B31AE2">
            <w:pPr>
              <w:tabs>
                <w:tab w:val="left" w:pos="2232"/>
                <w:tab w:val="left" w:pos="5472"/>
              </w:tabs>
              <w:spacing w:after="200" w:line="276" w:lineRule="auto"/>
              <w:rPr>
                <w:rFonts w:eastAsia="Calibri" w:cs="Times New Roman"/>
                <w:lang w:val="pt-PT"/>
              </w:rPr>
            </w:pPr>
            <w:r w:rsidRPr="00292532">
              <w:rPr>
                <w:rFonts w:eastAsia="Calibri" w:cs="Times New Roman"/>
                <w:lang w:val="pt-PT"/>
              </w:rPr>
              <w:t>Naturalidade: ______________________________________________________________________</w:t>
            </w:r>
          </w:p>
          <w:p w14:paraId="5AAF7001" w14:textId="77777777" w:rsidR="00B31AE2" w:rsidRPr="00292532" w:rsidRDefault="00B31AE2" w:rsidP="00B31AE2">
            <w:pPr>
              <w:tabs>
                <w:tab w:val="left" w:pos="2232"/>
                <w:tab w:val="left" w:pos="5472"/>
              </w:tabs>
              <w:spacing w:after="200" w:line="276" w:lineRule="auto"/>
              <w:rPr>
                <w:rFonts w:eastAsia="Calibri" w:cs="Times New Roman"/>
                <w:lang w:val="pt-PT"/>
              </w:rPr>
            </w:pPr>
            <w:r w:rsidRPr="00292532">
              <w:rPr>
                <w:rFonts w:eastAsia="Calibri" w:cs="Times New Roman"/>
                <w:lang w:val="pt-PT"/>
              </w:rPr>
              <w:t>Nacionalidade: _____________________________________________________________________</w:t>
            </w:r>
          </w:p>
          <w:p w14:paraId="1768BC0B" w14:textId="77777777" w:rsidR="00B31AE2" w:rsidRPr="00292532" w:rsidRDefault="00B31AE2" w:rsidP="00B31AE2">
            <w:pPr>
              <w:tabs>
                <w:tab w:val="left" w:pos="2232"/>
                <w:tab w:val="left" w:pos="5472"/>
              </w:tabs>
              <w:spacing w:after="200" w:line="276" w:lineRule="auto"/>
              <w:rPr>
                <w:rFonts w:eastAsia="Calibri" w:cs="Times New Roman"/>
                <w:lang w:val="pt-PT"/>
              </w:rPr>
            </w:pPr>
            <w:r w:rsidRPr="00292532">
              <w:rPr>
                <w:rFonts w:eastAsia="Calibri" w:cs="Times New Roman"/>
                <w:lang w:val="pt-PT"/>
              </w:rPr>
              <w:t>Morada: __________________________________________________________________________</w:t>
            </w:r>
          </w:p>
          <w:p w14:paraId="2802B821" w14:textId="77777777" w:rsidR="00B31AE2" w:rsidRPr="00292532" w:rsidRDefault="00B31AE2" w:rsidP="00B31AE2">
            <w:pPr>
              <w:tabs>
                <w:tab w:val="left" w:pos="2232"/>
                <w:tab w:val="left" w:pos="5472"/>
              </w:tabs>
              <w:spacing w:after="200" w:line="276" w:lineRule="auto"/>
              <w:rPr>
                <w:rFonts w:eastAsia="Calibri" w:cs="Times New Roman"/>
                <w:lang w:val="pt-PT"/>
              </w:rPr>
            </w:pPr>
            <w:r w:rsidRPr="00292532">
              <w:rPr>
                <w:rFonts w:eastAsia="Calibri" w:cs="Times New Roman"/>
                <w:lang w:val="pt-PT"/>
              </w:rPr>
              <w:t>Estado Civil: _______________________________________________________________________</w:t>
            </w:r>
          </w:p>
          <w:p w14:paraId="0B5EA46E" w14:textId="77777777" w:rsidR="00B31AE2" w:rsidRPr="00292532" w:rsidRDefault="00B31AE2" w:rsidP="00B31AE2">
            <w:pPr>
              <w:tabs>
                <w:tab w:val="left" w:pos="2232"/>
                <w:tab w:val="left" w:pos="5472"/>
              </w:tabs>
              <w:spacing w:after="200" w:line="276" w:lineRule="auto"/>
              <w:rPr>
                <w:rFonts w:eastAsia="Calibri" w:cs="Times New Roman"/>
                <w:lang w:val="pt-PT"/>
              </w:rPr>
            </w:pPr>
            <w:r w:rsidRPr="00292532">
              <w:rPr>
                <w:rFonts w:eastAsia="Calibri" w:cs="Times New Roman"/>
                <w:lang w:val="pt-PT"/>
              </w:rPr>
              <w:t>Número de BI/Passaporte/</w:t>
            </w:r>
            <w:proofErr w:type="spellStart"/>
            <w:r w:rsidRPr="00292532">
              <w:rPr>
                <w:rFonts w:eastAsia="Calibri" w:cs="Times New Roman"/>
                <w:lang w:val="pt-PT"/>
              </w:rPr>
              <w:t>DiRE</w:t>
            </w:r>
            <w:proofErr w:type="spellEnd"/>
            <w:r w:rsidRPr="00292532">
              <w:rPr>
                <w:rFonts w:eastAsia="Calibri" w:cs="Times New Roman"/>
                <w:lang w:val="pt-PT"/>
              </w:rPr>
              <w:t>: ______________________________de_______/_______/_______</w:t>
            </w:r>
          </w:p>
          <w:p w14:paraId="48D6CCA7" w14:textId="77777777" w:rsidR="00B31AE2" w:rsidRPr="00292532" w:rsidRDefault="00B31AE2" w:rsidP="00B31AE2">
            <w:pPr>
              <w:tabs>
                <w:tab w:val="left" w:pos="2232"/>
                <w:tab w:val="left" w:pos="5472"/>
              </w:tabs>
              <w:spacing w:after="200" w:line="276" w:lineRule="auto"/>
              <w:rPr>
                <w:rFonts w:eastAsia="Calibri" w:cs="Times New Roman"/>
                <w:lang w:val="pt-PT"/>
              </w:rPr>
            </w:pPr>
            <w:r w:rsidRPr="00292532">
              <w:rPr>
                <w:rFonts w:eastAsia="Calibri" w:cs="Times New Roman"/>
                <w:lang w:val="pt-PT"/>
              </w:rPr>
              <w:t>Profissão/Categoria: ________________________________________________________________</w:t>
            </w:r>
          </w:p>
          <w:p w14:paraId="73760173" w14:textId="77777777" w:rsidR="00B31AE2" w:rsidRPr="00292532" w:rsidRDefault="00B31AE2" w:rsidP="00B31AE2">
            <w:pPr>
              <w:tabs>
                <w:tab w:val="left" w:pos="2232"/>
                <w:tab w:val="left" w:pos="5472"/>
              </w:tabs>
              <w:spacing w:after="200" w:line="276" w:lineRule="auto"/>
              <w:rPr>
                <w:rFonts w:eastAsia="Calibri" w:cs="Times New Roman"/>
                <w:lang w:val="pt-PT"/>
              </w:rPr>
            </w:pPr>
            <w:r w:rsidRPr="00292532">
              <w:rPr>
                <w:rFonts w:eastAsia="Calibri" w:cs="Times New Roman"/>
                <w:lang w:val="pt-PT"/>
              </w:rPr>
              <w:t>Data de admissão da Obra: _______/_________/________</w:t>
            </w:r>
          </w:p>
          <w:p w14:paraId="1122905E" w14:textId="77777777" w:rsidR="00B31AE2" w:rsidRPr="00292532" w:rsidRDefault="00B31AE2" w:rsidP="00B31AE2">
            <w:pPr>
              <w:tabs>
                <w:tab w:val="left" w:pos="2232"/>
                <w:tab w:val="left" w:pos="5472"/>
              </w:tabs>
              <w:spacing w:after="200" w:line="276" w:lineRule="auto"/>
              <w:rPr>
                <w:rFonts w:eastAsia="Calibri" w:cs="Times New Roman"/>
                <w:lang w:val="pt-PT"/>
              </w:rPr>
            </w:pPr>
          </w:p>
        </w:tc>
      </w:tr>
      <w:tr w:rsidR="00B31AE2" w:rsidRPr="00292532" w14:paraId="12F74956" w14:textId="77777777" w:rsidTr="00B31AE2">
        <w:tc>
          <w:tcPr>
            <w:tcW w:w="9634" w:type="dxa"/>
            <w:gridSpan w:val="4"/>
            <w:shd w:val="clear" w:color="auto" w:fill="5B9BD5"/>
          </w:tcPr>
          <w:p w14:paraId="55936785" w14:textId="77777777" w:rsidR="00B31AE2" w:rsidRPr="00292532" w:rsidRDefault="00B31AE2" w:rsidP="00B31AE2">
            <w:pPr>
              <w:spacing w:after="200" w:line="276" w:lineRule="auto"/>
              <w:jc w:val="center"/>
              <w:rPr>
                <w:rFonts w:eastAsia="Calibri" w:cs="Times New Roman"/>
                <w:b/>
                <w:color w:val="FFFFFF"/>
                <w:lang w:val="pt-PT"/>
              </w:rPr>
            </w:pPr>
            <w:r w:rsidRPr="00292532">
              <w:rPr>
                <w:rFonts w:eastAsia="Calibri" w:cs="Times New Roman"/>
                <w:b/>
                <w:color w:val="FFFFFF"/>
                <w:lang w:val="pt-PT"/>
              </w:rPr>
              <w:t>Dados Relativo ao Acidente</w:t>
            </w:r>
          </w:p>
        </w:tc>
      </w:tr>
      <w:tr w:rsidR="00B31AE2" w:rsidRPr="00292532" w14:paraId="178A3886" w14:textId="77777777" w:rsidTr="00B31AE2">
        <w:tc>
          <w:tcPr>
            <w:tcW w:w="9634" w:type="dxa"/>
            <w:gridSpan w:val="4"/>
          </w:tcPr>
          <w:p w14:paraId="33C530EC" w14:textId="77777777" w:rsidR="00B31AE2" w:rsidRPr="00292532" w:rsidRDefault="00B31AE2" w:rsidP="00B31AE2">
            <w:pPr>
              <w:tabs>
                <w:tab w:val="left" w:pos="5892"/>
              </w:tabs>
              <w:spacing w:after="200" w:line="276" w:lineRule="auto"/>
              <w:rPr>
                <w:rFonts w:eastAsia="Calibri" w:cs="Times New Roman"/>
                <w:lang w:val="pt-PT"/>
              </w:rPr>
            </w:pPr>
            <w:r w:rsidRPr="00292532">
              <w:rPr>
                <w:rFonts w:eastAsia="Calibri" w:cs="Times New Roman"/>
                <w:lang w:val="pt-PT"/>
              </w:rPr>
              <w:t xml:space="preserve">Data ____________/__________/__________ </w:t>
            </w:r>
            <w:r w:rsidRPr="00292532">
              <w:rPr>
                <w:rFonts w:eastAsia="Calibri" w:cs="Times New Roman"/>
                <w:lang w:val="pt-PT"/>
              </w:rPr>
              <w:tab/>
              <w:t>Hora:</w:t>
            </w:r>
          </w:p>
          <w:p w14:paraId="2EF2AEEB" w14:textId="77777777" w:rsidR="00B31AE2" w:rsidRPr="00292532" w:rsidRDefault="00B31AE2" w:rsidP="00B31AE2">
            <w:pPr>
              <w:tabs>
                <w:tab w:val="left" w:pos="4032"/>
                <w:tab w:val="left" w:pos="6492"/>
              </w:tabs>
              <w:spacing w:after="200" w:line="276" w:lineRule="auto"/>
              <w:rPr>
                <w:rFonts w:eastAsia="Calibri" w:cs="Times New Roman"/>
                <w:lang w:val="pt-PT"/>
              </w:rPr>
            </w:pPr>
            <w:r w:rsidRPr="00292532">
              <w:rPr>
                <w:rFonts w:eastAsia="Calibri" w:cs="Times New Roman"/>
                <w:lang w:val="pt-PT"/>
              </w:rPr>
              <w:t xml:space="preserve">Local da ocorrência: </w:t>
            </w:r>
          </w:p>
          <w:p w14:paraId="2F2D3767" w14:textId="77777777" w:rsidR="00B31AE2" w:rsidRPr="00292532" w:rsidRDefault="00B31AE2" w:rsidP="00B31AE2">
            <w:pPr>
              <w:tabs>
                <w:tab w:val="left" w:pos="4032"/>
                <w:tab w:val="left" w:pos="6492"/>
                <w:tab w:val="left" w:pos="7332"/>
              </w:tabs>
              <w:spacing w:after="200" w:line="276" w:lineRule="auto"/>
              <w:rPr>
                <w:rFonts w:eastAsia="Calibri" w:cs="Times New Roman"/>
                <w:lang w:val="pt-PT"/>
              </w:rPr>
            </w:pPr>
            <w:proofErr w:type="gramStart"/>
            <w:r w:rsidRPr="00292532">
              <w:rPr>
                <w:rFonts w:eastAsia="Calibri" w:cs="Times New Roman"/>
                <w:lang w:val="pt-PT"/>
              </w:rPr>
              <w:t>(  )</w:t>
            </w:r>
            <w:proofErr w:type="gramEnd"/>
            <w:r w:rsidRPr="00292532">
              <w:rPr>
                <w:rFonts w:eastAsia="Calibri" w:cs="Times New Roman"/>
                <w:lang w:val="pt-PT"/>
              </w:rPr>
              <w:t xml:space="preserve"> na obra          (  ) fora da obra      (  ) deslocamento (casa-trabalho)       (   )deslocamento (casa-trabalho)</w:t>
            </w:r>
          </w:p>
          <w:p w14:paraId="74B32F93" w14:textId="77777777" w:rsidR="00B31AE2" w:rsidRPr="00292532" w:rsidRDefault="00B31AE2" w:rsidP="00B31AE2">
            <w:pPr>
              <w:tabs>
                <w:tab w:val="left" w:pos="4032"/>
                <w:tab w:val="left" w:pos="6492"/>
                <w:tab w:val="left" w:pos="7332"/>
              </w:tabs>
              <w:spacing w:after="200" w:line="276" w:lineRule="auto"/>
              <w:rPr>
                <w:rFonts w:eastAsia="Calibri" w:cs="Times New Roman"/>
                <w:lang w:val="pt-PT"/>
              </w:rPr>
            </w:pPr>
            <w:r w:rsidRPr="00292532">
              <w:rPr>
                <w:rFonts w:eastAsia="Calibri" w:cs="Times New Roman"/>
                <w:lang w:val="pt-PT"/>
              </w:rPr>
              <w:t>Nome do local: _________________________________________________________________________</w:t>
            </w:r>
          </w:p>
          <w:p w14:paraId="19350D58" w14:textId="77777777" w:rsidR="00B31AE2" w:rsidRPr="00292532" w:rsidRDefault="00B31AE2" w:rsidP="00B31AE2">
            <w:pPr>
              <w:tabs>
                <w:tab w:val="left" w:pos="4032"/>
                <w:tab w:val="left" w:pos="6492"/>
                <w:tab w:val="left" w:pos="7332"/>
              </w:tabs>
              <w:spacing w:after="200" w:line="276" w:lineRule="auto"/>
              <w:rPr>
                <w:rFonts w:eastAsia="Calibri" w:cs="Times New Roman"/>
                <w:lang w:val="pt-PT"/>
              </w:rPr>
            </w:pPr>
            <w:r w:rsidRPr="00292532">
              <w:rPr>
                <w:rFonts w:eastAsia="Calibri" w:cs="Times New Roman"/>
                <w:lang w:val="pt-PT"/>
              </w:rPr>
              <w:t>Destino do sinistrado: ___________________________________________________________________</w:t>
            </w:r>
          </w:p>
          <w:p w14:paraId="234DB506" w14:textId="77777777" w:rsidR="00B31AE2" w:rsidRPr="00292532" w:rsidRDefault="00B31AE2" w:rsidP="00B31AE2">
            <w:pPr>
              <w:tabs>
                <w:tab w:val="left" w:pos="4032"/>
                <w:tab w:val="left" w:pos="6492"/>
                <w:tab w:val="left" w:pos="7332"/>
              </w:tabs>
              <w:spacing w:after="200" w:line="276" w:lineRule="auto"/>
              <w:rPr>
                <w:rFonts w:eastAsia="Calibri" w:cs="Times New Roman"/>
                <w:lang w:val="pt-PT"/>
              </w:rPr>
            </w:pPr>
            <w:r w:rsidRPr="00292532">
              <w:rPr>
                <w:rFonts w:eastAsia="Calibri" w:cs="Times New Roman"/>
                <w:lang w:val="pt-PT"/>
              </w:rPr>
              <w:t>Entidade que o transportou: _____________________________data____/____/____ hora: __________</w:t>
            </w:r>
          </w:p>
          <w:p w14:paraId="772668AA" w14:textId="77777777" w:rsidR="00B31AE2" w:rsidRPr="00292532" w:rsidRDefault="00B31AE2" w:rsidP="00B31AE2">
            <w:pPr>
              <w:tabs>
                <w:tab w:val="left" w:pos="4032"/>
                <w:tab w:val="left" w:pos="6492"/>
                <w:tab w:val="left" w:pos="7332"/>
              </w:tabs>
              <w:spacing w:after="200" w:line="276" w:lineRule="auto"/>
              <w:rPr>
                <w:rFonts w:eastAsia="Calibri" w:cs="Times New Roman"/>
                <w:lang w:val="pt-PT"/>
              </w:rPr>
            </w:pPr>
            <w:r w:rsidRPr="00292532">
              <w:rPr>
                <w:rFonts w:eastAsia="Calibri" w:cs="Times New Roman"/>
                <w:lang w:val="pt-PT"/>
              </w:rPr>
              <w:t xml:space="preserve">Houve mais sinistrados no local?   </w:t>
            </w:r>
            <w:proofErr w:type="gramStart"/>
            <w:r w:rsidRPr="00292532">
              <w:rPr>
                <w:rFonts w:eastAsia="Calibri" w:cs="Times New Roman"/>
                <w:lang w:val="pt-PT"/>
              </w:rPr>
              <w:t xml:space="preserve">(  </w:t>
            </w:r>
            <w:proofErr w:type="gramEnd"/>
            <w:r w:rsidRPr="00292532">
              <w:rPr>
                <w:rFonts w:eastAsia="Calibri" w:cs="Times New Roman"/>
                <w:lang w:val="pt-PT"/>
              </w:rPr>
              <w:t xml:space="preserve"> ) Não     (    ) sim        quantos? _________</w:t>
            </w:r>
          </w:p>
        </w:tc>
      </w:tr>
      <w:tr w:rsidR="00B31AE2" w:rsidRPr="004E2EAC" w14:paraId="087BD820" w14:textId="77777777" w:rsidTr="00B31AE2">
        <w:tc>
          <w:tcPr>
            <w:tcW w:w="9634" w:type="dxa"/>
            <w:gridSpan w:val="4"/>
          </w:tcPr>
          <w:p w14:paraId="2CA71C69" w14:textId="77777777" w:rsidR="00B31AE2" w:rsidRPr="00292532" w:rsidRDefault="00B31AE2" w:rsidP="00B31AE2">
            <w:pPr>
              <w:spacing w:after="200" w:line="276" w:lineRule="auto"/>
              <w:rPr>
                <w:rFonts w:eastAsia="Calibri" w:cs="Times New Roman"/>
                <w:lang w:val="pt-PT"/>
              </w:rPr>
            </w:pPr>
            <w:r w:rsidRPr="00292532">
              <w:rPr>
                <w:rFonts w:eastAsia="Calibri" w:cs="Times New Roman"/>
                <w:lang w:val="pt-PT"/>
              </w:rPr>
              <w:t>Causa do acidente:</w:t>
            </w:r>
          </w:p>
          <w:p w14:paraId="21F9B6AC" w14:textId="77777777" w:rsidR="00B31AE2" w:rsidRPr="00292532" w:rsidRDefault="00B31AE2" w:rsidP="00B31AE2">
            <w:pPr>
              <w:tabs>
                <w:tab w:val="left" w:pos="3132"/>
                <w:tab w:val="left" w:pos="3600"/>
                <w:tab w:val="left" w:pos="6948"/>
                <w:tab w:val="left" w:pos="7608"/>
              </w:tabs>
              <w:spacing w:after="200" w:line="276" w:lineRule="auto"/>
              <w:rPr>
                <w:rFonts w:eastAsia="Calibri" w:cs="Times New Roman"/>
                <w:lang w:val="pt-PT"/>
              </w:rPr>
            </w:pPr>
            <w:proofErr w:type="gramStart"/>
            <w:r w:rsidRPr="00292532">
              <w:rPr>
                <w:rFonts w:eastAsia="Calibri" w:cs="Times New Roman"/>
                <w:lang w:val="pt-PT"/>
              </w:rPr>
              <w:lastRenderedPageBreak/>
              <w:t xml:space="preserve">(  </w:t>
            </w:r>
            <w:proofErr w:type="gramEnd"/>
            <w:r w:rsidRPr="00292532">
              <w:rPr>
                <w:rFonts w:eastAsia="Calibri" w:cs="Times New Roman"/>
                <w:lang w:val="pt-PT"/>
              </w:rPr>
              <w:t xml:space="preserve"> )atropelamento</w:t>
            </w:r>
            <w:r w:rsidRPr="00292532">
              <w:rPr>
                <w:rFonts w:eastAsia="Calibri" w:cs="Times New Roman"/>
                <w:lang w:val="pt-PT"/>
              </w:rPr>
              <w:tab/>
              <w:t>(   )substancias nocivas</w:t>
            </w:r>
            <w:r w:rsidRPr="00292532">
              <w:rPr>
                <w:rFonts w:eastAsia="Calibri" w:cs="Times New Roman"/>
                <w:lang w:val="pt-PT"/>
              </w:rPr>
              <w:tab/>
              <w:t>(  )queda em altura</w:t>
            </w:r>
          </w:p>
          <w:p w14:paraId="03E1A5C0" w14:textId="77777777" w:rsidR="00B31AE2" w:rsidRPr="00292532" w:rsidRDefault="00B31AE2" w:rsidP="00B31AE2">
            <w:pPr>
              <w:tabs>
                <w:tab w:val="left" w:pos="3144"/>
                <w:tab w:val="left" w:pos="3600"/>
                <w:tab w:val="left" w:pos="6960"/>
                <w:tab w:val="left" w:pos="7608"/>
              </w:tabs>
              <w:spacing w:after="200" w:line="276" w:lineRule="auto"/>
              <w:rPr>
                <w:rFonts w:eastAsia="Calibri" w:cs="Times New Roman"/>
                <w:lang w:val="pt-PT"/>
              </w:rPr>
            </w:pPr>
            <w:proofErr w:type="gramStart"/>
            <w:r w:rsidRPr="00292532">
              <w:rPr>
                <w:rFonts w:eastAsia="Calibri" w:cs="Times New Roman"/>
                <w:lang w:val="pt-PT"/>
              </w:rPr>
              <w:t xml:space="preserve">(  </w:t>
            </w:r>
            <w:proofErr w:type="gramEnd"/>
            <w:r w:rsidRPr="00292532">
              <w:rPr>
                <w:rFonts w:eastAsia="Calibri" w:cs="Times New Roman"/>
                <w:lang w:val="pt-PT"/>
              </w:rPr>
              <w:t xml:space="preserve"> )capotamento</w:t>
            </w:r>
            <w:r w:rsidRPr="00292532">
              <w:rPr>
                <w:rFonts w:eastAsia="Calibri" w:cs="Times New Roman"/>
                <w:lang w:val="pt-PT"/>
              </w:rPr>
              <w:tab/>
              <w:t xml:space="preserve">(   )choque com </w:t>
            </w:r>
            <w:proofErr w:type="spellStart"/>
            <w:r w:rsidRPr="00292532">
              <w:rPr>
                <w:rFonts w:eastAsia="Calibri" w:cs="Times New Roman"/>
                <w:lang w:val="pt-PT"/>
              </w:rPr>
              <w:t>objectos</w:t>
            </w:r>
            <w:proofErr w:type="spellEnd"/>
            <w:r w:rsidRPr="00292532">
              <w:rPr>
                <w:rFonts w:eastAsia="Calibri" w:cs="Times New Roman"/>
                <w:lang w:val="pt-PT"/>
              </w:rPr>
              <w:tab/>
              <w:t>(  )queda ao mesmo nível</w:t>
            </w:r>
          </w:p>
          <w:p w14:paraId="02A0723F" w14:textId="77777777" w:rsidR="00B31AE2" w:rsidRPr="00292532" w:rsidRDefault="00B31AE2" w:rsidP="00B31AE2">
            <w:pPr>
              <w:tabs>
                <w:tab w:val="left" w:pos="3144"/>
                <w:tab w:val="left" w:pos="6960"/>
              </w:tabs>
              <w:spacing w:after="200" w:line="276" w:lineRule="auto"/>
              <w:rPr>
                <w:rFonts w:eastAsia="Calibri" w:cs="Times New Roman"/>
                <w:lang w:val="pt-PT"/>
              </w:rPr>
            </w:pPr>
            <w:proofErr w:type="gramStart"/>
            <w:r w:rsidRPr="00292532">
              <w:rPr>
                <w:rFonts w:eastAsia="Calibri" w:cs="Times New Roman"/>
                <w:lang w:val="pt-PT"/>
              </w:rPr>
              <w:t xml:space="preserve">(  </w:t>
            </w:r>
            <w:proofErr w:type="gramEnd"/>
            <w:r w:rsidRPr="00292532">
              <w:rPr>
                <w:rFonts w:eastAsia="Calibri" w:cs="Times New Roman"/>
                <w:lang w:val="pt-PT"/>
              </w:rPr>
              <w:t xml:space="preserve"> )colisão de veículos</w:t>
            </w:r>
            <w:r w:rsidRPr="00292532">
              <w:rPr>
                <w:rFonts w:eastAsia="Calibri" w:cs="Times New Roman"/>
                <w:lang w:val="pt-PT"/>
              </w:rPr>
              <w:tab/>
              <w:t>(   )esforço físico excessivo</w:t>
            </w:r>
            <w:r w:rsidRPr="00292532">
              <w:rPr>
                <w:rFonts w:eastAsia="Calibri" w:cs="Times New Roman"/>
                <w:lang w:val="pt-PT"/>
              </w:rPr>
              <w:tab/>
              <w:t xml:space="preserve">(  )queda de </w:t>
            </w:r>
            <w:proofErr w:type="spellStart"/>
            <w:r w:rsidRPr="00292532">
              <w:rPr>
                <w:rFonts w:eastAsia="Calibri" w:cs="Times New Roman"/>
                <w:lang w:val="pt-PT"/>
              </w:rPr>
              <w:t>objectos</w:t>
            </w:r>
            <w:proofErr w:type="spellEnd"/>
          </w:p>
          <w:p w14:paraId="604B96E7" w14:textId="77777777" w:rsidR="00B31AE2" w:rsidRPr="00292532" w:rsidRDefault="00B31AE2" w:rsidP="00B31AE2">
            <w:pPr>
              <w:tabs>
                <w:tab w:val="left" w:pos="3144"/>
                <w:tab w:val="left" w:pos="6960"/>
              </w:tabs>
              <w:spacing w:after="200" w:line="276" w:lineRule="auto"/>
              <w:rPr>
                <w:rFonts w:eastAsia="Calibri" w:cs="Times New Roman"/>
                <w:lang w:val="pt-PT"/>
              </w:rPr>
            </w:pPr>
            <w:proofErr w:type="gramStart"/>
            <w:r w:rsidRPr="00292532">
              <w:rPr>
                <w:rFonts w:eastAsia="Calibri" w:cs="Times New Roman"/>
                <w:lang w:val="pt-PT"/>
              </w:rPr>
              <w:t xml:space="preserve">(  </w:t>
            </w:r>
            <w:proofErr w:type="gramEnd"/>
            <w:r w:rsidRPr="00292532">
              <w:rPr>
                <w:rFonts w:eastAsia="Calibri" w:cs="Times New Roman"/>
                <w:lang w:val="pt-PT"/>
              </w:rPr>
              <w:t xml:space="preserve"> )compressão por </w:t>
            </w:r>
            <w:proofErr w:type="spellStart"/>
            <w:r w:rsidRPr="00292532">
              <w:rPr>
                <w:rFonts w:eastAsia="Calibri" w:cs="Times New Roman"/>
                <w:lang w:val="pt-PT"/>
              </w:rPr>
              <w:t>objectos</w:t>
            </w:r>
            <w:proofErr w:type="spellEnd"/>
            <w:r w:rsidRPr="00292532">
              <w:rPr>
                <w:rFonts w:eastAsia="Calibri" w:cs="Times New Roman"/>
                <w:lang w:val="pt-PT"/>
              </w:rPr>
              <w:tab/>
              <w:t>(   )explosão/incêndio</w:t>
            </w:r>
            <w:r w:rsidRPr="00292532">
              <w:rPr>
                <w:rFonts w:eastAsia="Calibri" w:cs="Times New Roman"/>
                <w:lang w:val="pt-PT"/>
              </w:rPr>
              <w:tab/>
              <w:t>(  )soterramento</w:t>
            </w:r>
          </w:p>
          <w:p w14:paraId="4EE908B7" w14:textId="77777777" w:rsidR="00B31AE2" w:rsidRPr="00292532" w:rsidRDefault="00B31AE2" w:rsidP="00B31AE2">
            <w:pPr>
              <w:tabs>
                <w:tab w:val="left" w:pos="3144"/>
              </w:tabs>
              <w:spacing w:after="200" w:line="276" w:lineRule="auto"/>
              <w:rPr>
                <w:rFonts w:eastAsia="Calibri" w:cs="Times New Roman"/>
                <w:lang w:val="pt-PT"/>
              </w:rPr>
            </w:pPr>
            <w:proofErr w:type="gramStart"/>
            <w:r w:rsidRPr="00292532">
              <w:rPr>
                <w:rFonts w:eastAsia="Calibri" w:cs="Times New Roman"/>
                <w:lang w:val="pt-PT"/>
              </w:rPr>
              <w:t xml:space="preserve">(  </w:t>
            </w:r>
            <w:proofErr w:type="gramEnd"/>
            <w:r w:rsidRPr="00292532">
              <w:rPr>
                <w:rFonts w:eastAsia="Calibri" w:cs="Times New Roman"/>
                <w:lang w:val="pt-PT"/>
              </w:rPr>
              <w:t xml:space="preserve"> )choque </w:t>
            </w:r>
            <w:proofErr w:type="spellStart"/>
            <w:r w:rsidRPr="00292532">
              <w:rPr>
                <w:rFonts w:eastAsia="Calibri" w:cs="Times New Roman"/>
                <w:lang w:val="pt-PT"/>
              </w:rPr>
              <w:t>eléctrico</w:t>
            </w:r>
            <w:proofErr w:type="spellEnd"/>
            <w:r w:rsidRPr="00292532">
              <w:rPr>
                <w:rFonts w:eastAsia="Calibri" w:cs="Times New Roman"/>
                <w:lang w:val="pt-PT"/>
              </w:rPr>
              <w:tab/>
              <w:t xml:space="preserve">(   )intoxicação </w:t>
            </w:r>
          </w:p>
          <w:p w14:paraId="5D003B6E" w14:textId="77777777" w:rsidR="00B31AE2" w:rsidRPr="00292532" w:rsidRDefault="00B31AE2" w:rsidP="00B31AE2">
            <w:pPr>
              <w:tabs>
                <w:tab w:val="left" w:pos="3144"/>
              </w:tabs>
              <w:spacing w:after="200" w:line="276" w:lineRule="auto"/>
              <w:rPr>
                <w:rFonts w:eastAsia="Calibri" w:cs="Times New Roman"/>
                <w:lang w:val="pt-PT"/>
              </w:rPr>
            </w:pPr>
          </w:p>
          <w:p w14:paraId="6CF4DAD4" w14:textId="77777777" w:rsidR="00B31AE2" w:rsidRPr="00292532" w:rsidRDefault="00B31AE2" w:rsidP="00B31AE2">
            <w:pPr>
              <w:tabs>
                <w:tab w:val="left" w:pos="3144"/>
              </w:tabs>
              <w:spacing w:after="200" w:line="276" w:lineRule="auto"/>
              <w:rPr>
                <w:rFonts w:eastAsia="Calibri" w:cs="Times New Roman"/>
                <w:lang w:val="pt-PT"/>
              </w:rPr>
            </w:pPr>
            <w:proofErr w:type="gramStart"/>
            <w:r w:rsidRPr="00292532">
              <w:rPr>
                <w:rFonts w:eastAsia="Calibri" w:cs="Times New Roman"/>
                <w:lang w:val="pt-PT"/>
              </w:rPr>
              <w:t xml:space="preserve">(  </w:t>
            </w:r>
            <w:proofErr w:type="gramEnd"/>
            <w:r w:rsidRPr="00292532">
              <w:rPr>
                <w:rFonts w:eastAsia="Calibri" w:cs="Times New Roman"/>
                <w:lang w:val="pt-PT"/>
              </w:rPr>
              <w:t xml:space="preserve"> ) outro (especificar)____________</w:t>
            </w:r>
          </w:p>
        </w:tc>
      </w:tr>
      <w:tr w:rsidR="00B31AE2" w:rsidRPr="004E2EAC" w14:paraId="06BE6270" w14:textId="77777777" w:rsidTr="00B31AE2">
        <w:tc>
          <w:tcPr>
            <w:tcW w:w="9634" w:type="dxa"/>
            <w:gridSpan w:val="4"/>
          </w:tcPr>
          <w:p w14:paraId="121F06B0" w14:textId="77777777" w:rsidR="00B31AE2" w:rsidRPr="00292532" w:rsidRDefault="00B31AE2" w:rsidP="00B31AE2">
            <w:pPr>
              <w:spacing w:after="200" w:line="276" w:lineRule="auto"/>
              <w:rPr>
                <w:rFonts w:eastAsia="Calibri" w:cs="Times New Roman"/>
                <w:lang w:val="pt-PT"/>
              </w:rPr>
            </w:pPr>
            <w:r w:rsidRPr="00292532">
              <w:rPr>
                <w:rFonts w:eastAsia="Calibri" w:cs="Times New Roman"/>
                <w:lang w:val="pt-PT"/>
              </w:rPr>
              <w:lastRenderedPageBreak/>
              <w:t xml:space="preserve">Tipo de lesão </w:t>
            </w:r>
          </w:p>
          <w:p w14:paraId="4B505738" w14:textId="77777777" w:rsidR="00B31AE2" w:rsidRPr="00292532" w:rsidRDefault="00B31AE2" w:rsidP="00B31AE2">
            <w:pPr>
              <w:tabs>
                <w:tab w:val="left" w:pos="3132"/>
                <w:tab w:val="left" w:pos="3600"/>
                <w:tab w:val="left" w:pos="6948"/>
                <w:tab w:val="left" w:pos="7608"/>
              </w:tabs>
              <w:spacing w:after="200" w:line="276" w:lineRule="auto"/>
              <w:rPr>
                <w:rFonts w:eastAsia="Calibri" w:cs="Times New Roman"/>
                <w:lang w:val="pt-PT"/>
              </w:rPr>
            </w:pPr>
            <w:proofErr w:type="gramStart"/>
            <w:r w:rsidRPr="00292532">
              <w:rPr>
                <w:rFonts w:eastAsia="Calibri" w:cs="Times New Roman"/>
                <w:lang w:val="pt-PT"/>
              </w:rPr>
              <w:t xml:space="preserve">(  </w:t>
            </w:r>
            <w:proofErr w:type="gramEnd"/>
            <w:r w:rsidRPr="00292532">
              <w:rPr>
                <w:rFonts w:eastAsia="Calibri" w:cs="Times New Roman"/>
                <w:lang w:val="pt-PT"/>
              </w:rPr>
              <w:t xml:space="preserve"> )amputação </w:t>
            </w:r>
            <w:r w:rsidRPr="00292532">
              <w:rPr>
                <w:rFonts w:eastAsia="Calibri" w:cs="Times New Roman"/>
                <w:lang w:val="pt-PT"/>
              </w:rPr>
              <w:tab/>
              <w:t>(   )</w:t>
            </w:r>
            <w:proofErr w:type="spellStart"/>
            <w:r w:rsidRPr="00292532">
              <w:rPr>
                <w:rFonts w:eastAsia="Calibri" w:cs="Times New Roman"/>
                <w:lang w:val="pt-PT"/>
              </w:rPr>
              <w:t>electrização</w:t>
            </w:r>
            <w:proofErr w:type="spellEnd"/>
            <w:r w:rsidRPr="00292532">
              <w:rPr>
                <w:rFonts w:eastAsia="Calibri" w:cs="Times New Roman"/>
                <w:lang w:val="pt-PT"/>
              </w:rPr>
              <w:t>/</w:t>
            </w:r>
            <w:proofErr w:type="spellStart"/>
            <w:r w:rsidRPr="00292532">
              <w:rPr>
                <w:rFonts w:eastAsia="Calibri" w:cs="Times New Roman"/>
                <w:lang w:val="pt-PT"/>
              </w:rPr>
              <w:t>electrocussão</w:t>
            </w:r>
            <w:proofErr w:type="spellEnd"/>
            <w:r w:rsidRPr="00292532">
              <w:rPr>
                <w:rFonts w:eastAsia="Calibri" w:cs="Times New Roman"/>
                <w:lang w:val="pt-PT"/>
              </w:rPr>
              <w:t xml:space="preserve"> </w:t>
            </w:r>
            <w:r w:rsidRPr="00292532">
              <w:rPr>
                <w:rFonts w:eastAsia="Calibri" w:cs="Times New Roman"/>
                <w:lang w:val="pt-PT"/>
              </w:rPr>
              <w:tab/>
              <w:t>(  ) lesões múltiplas</w:t>
            </w:r>
          </w:p>
          <w:p w14:paraId="642ECB8B" w14:textId="77777777" w:rsidR="00B31AE2" w:rsidRPr="00292532" w:rsidRDefault="00B31AE2" w:rsidP="00B31AE2">
            <w:pPr>
              <w:tabs>
                <w:tab w:val="left" w:pos="3144"/>
                <w:tab w:val="left" w:pos="3600"/>
                <w:tab w:val="left" w:pos="6960"/>
                <w:tab w:val="left" w:pos="7608"/>
              </w:tabs>
              <w:spacing w:after="200" w:line="276" w:lineRule="auto"/>
              <w:rPr>
                <w:rFonts w:eastAsia="Calibri" w:cs="Times New Roman"/>
                <w:lang w:val="pt-PT"/>
              </w:rPr>
            </w:pPr>
            <w:proofErr w:type="gramStart"/>
            <w:r w:rsidRPr="00292532">
              <w:rPr>
                <w:rFonts w:eastAsia="Calibri" w:cs="Times New Roman"/>
                <w:lang w:val="pt-PT"/>
              </w:rPr>
              <w:t xml:space="preserve">(  </w:t>
            </w:r>
            <w:proofErr w:type="gramEnd"/>
            <w:r w:rsidRPr="00292532">
              <w:rPr>
                <w:rFonts w:eastAsia="Calibri" w:cs="Times New Roman"/>
                <w:lang w:val="pt-PT"/>
              </w:rPr>
              <w:t xml:space="preserve"> )asfixia</w:t>
            </w:r>
            <w:r w:rsidRPr="00292532">
              <w:rPr>
                <w:rFonts w:eastAsia="Calibri" w:cs="Times New Roman"/>
                <w:lang w:val="pt-PT"/>
              </w:rPr>
              <w:tab/>
              <w:t>(   )enforcamento</w:t>
            </w:r>
            <w:r w:rsidRPr="00292532">
              <w:rPr>
                <w:rFonts w:eastAsia="Calibri" w:cs="Times New Roman"/>
                <w:lang w:val="pt-PT"/>
              </w:rPr>
              <w:tab/>
              <w:t xml:space="preserve">(  )luxação </w:t>
            </w:r>
          </w:p>
          <w:p w14:paraId="72438948" w14:textId="77777777" w:rsidR="00B31AE2" w:rsidRPr="00292532" w:rsidRDefault="00B31AE2" w:rsidP="00B31AE2">
            <w:pPr>
              <w:tabs>
                <w:tab w:val="left" w:pos="3144"/>
                <w:tab w:val="left" w:pos="6960"/>
              </w:tabs>
              <w:spacing w:after="200" w:line="276" w:lineRule="auto"/>
              <w:rPr>
                <w:rFonts w:eastAsia="Calibri" w:cs="Times New Roman"/>
                <w:lang w:val="pt-PT"/>
              </w:rPr>
            </w:pPr>
            <w:proofErr w:type="gramStart"/>
            <w:r w:rsidRPr="00292532">
              <w:rPr>
                <w:rFonts w:eastAsia="Calibri" w:cs="Times New Roman"/>
                <w:lang w:val="pt-PT"/>
              </w:rPr>
              <w:t xml:space="preserve">(  </w:t>
            </w:r>
            <w:proofErr w:type="gramEnd"/>
            <w:r w:rsidRPr="00292532">
              <w:rPr>
                <w:rFonts w:eastAsia="Calibri" w:cs="Times New Roman"/>
                <w:lang w:val="pt-PT"/>
              </w:rPr>
              <w:t xml:space="preserve"> )lesões internas</w:t>
            </w:r>
            <w:r w:rsidRPr="00292532">
              <w:rPr>
                <w:rFonts w:eastAsia="Calibri" w:cs="Times New Roman"/>
                <w:lang w:val="pt-PT"/>
              </w:rPr>
              <w:tab/>
              <w:t>(   )esmagamento</w:t>
            </w:r>
            <w:r w:rsidRPr="00292532">
              <w:rPr>
                <w:rFonts w:eastAsia="Calibri" w:cs="Times New Roman"/>
                <w:lang w:val="pt-PT"/>
              </w:rPr>
              <w:tab/>
              <w:t>(  )queimaduras</w:t>
            </w:r>
          </w:p>
          <w:p w14:paraId="23F67DAD" w14:textId="77777777" w:rsidR="00B31AE2" w:rsidRPr="00292532" w:rsidRDefault="00B31AE2" w:rsidP="00B31AE2">
            <w:pPr>
              <w:tabs>
                <w:tab w:val="left" w:pos="3144"/>
                <w:tab w:val="left" w:pos="6960"/>
              </w:tabs>
              <w:spacing w:after="200" w:line="276" w:lineRule="auto"/>
              <w:rPr>
                <w:rFonts w:eastAsia="Calibri" w:cs="Times New Roman"/>
                <w:lang w:val="pt-PT"/>
              </w:rPr>
            </w:pPr>
            <w:proofErr w:type="gramStart"/>
            <w:r w:rsidRPr="00292532">
              <w:rPr>
                <w:rFonts w:eastAsia="Calibri" w:cs="Times New Roman"/>
                <w:lang w:val="pt-PT"/>
              </w:rPr>
              <w:t xml:space="preserve">(  </w:t>
            </w:r>
            <w:proofErr w:type="gramEnd"/>
            <w:r w:rsidRPr="00292532">
              <w:rPr>
                <w:rFonts w:eastAsia="Calibri" w:cs="Times New Roman"/>
                <w:lang w:val="pt-PT"/>
              </w:rPr>
              <w:t xml:space="preserve"> )contusão</w:t>
            </w:r>
            <w:r w:rsidRPr="00292532">
              <w:rPr>
                <w:rFonts w:eastAsia="Calibri" w:cs="Times New Roman"/>
                <w:lang w:val="pt-PT"/>
              </w:rPr>
              <w:tab/>
              <w:t>(  )traumatismo</w:t>
            </w:r>
            <w:r w:rsidRPr="00292532">
              <w:rPr>
                <w:rFonts w:eastAsia="Calibri" w:cs="Times New Roman"/>
                <w:lang w:val="pt-PT"/>
              </w:rPr>
              <w:tab/>
              <w:t>(   )</w:t>
            </w:r>
            <w:proofErr w:type="spellStart"/>
            <w:r w:rsidRPr="00292532">
              <w:rPr>
                <w:rFonts w:eastAsia="Calibri" w:cs="Times New Roman"/>
                <w:lang w:val="pt-PT"/>
              </w:rPr>
              <w:t>fractura</w:t>
            </w:r>
            <w:proofErr w:type="spellEnd"/>
          </w:p>
          <w:p w14:paraId="42402CB1" w14:textId="77777777" w:rsidR="00B31AE2" w:rsidRPr="00292532" w:rsidRDefault="00B31AE2" w:rsidP="00B31AE2">
            <w:pPr>
              <w:tabs>
                <w:tab w:val="left" w:pos="3144"/>
              </w:tabs>
              <w:spacing w:after="200" w:line="276" w:lineRule="auto"/>
              <w:rPr>
                <w:rFonts w:eastAsia="Calibri" w:cs="Times New Roman"/>
                <w:lang w:val="pt-PT"/>
              </w:rPr>
            </w:pPr>
          </w:p>
          <w:p w14:paraId="32FF49C9" w14:textId="77777777" w:rsidR="00B31AE2" w:rsidRPr="00292532" w:rsidRDefault="00B31AE2" w:rsidP="00B31AE2">
            <w:pPr>
              <w:tabs>
                <w:tab w:val="left" w:pos="3144"/>
              </w:tabs>
              <w:spacing w:after="200" w:line="276" w:lineRule="auto"/>
              <w:rPr>
                <w:rFonts w:eastAsia="Calibri" w:cs="Times New Roman"/>
                <w:lang w:val="pt-PT"/>
              </w:rPr>
            </w:pPr>
            <w:proofErr w:type="gramStart"/>
            <w:r w:rsidRPr="00292532">
              <w:rPr>
                <w:rFonts w:eastAsia="Calibri" w:cs="Times New Roman"/>
                <w:lang w:val="pt-PT"/>
              </w:rPr>
              <w:t xml:space="preserve">(  </w:t>
            </w:r>
            <w:proofErr w:type="gramEnd"/>
            <w:r w:rsidRPr="00292532">
              <w:rPr>
                <w:rFonts w:eastAsia="Calibri" w:cs="Times New Roman"/>
                <w:lang w:val="pt-PT"/>
              </w:rPr>
              <w:t xml:space="preserve"> ) outro (especificar)________________________________</w:t>
            </w:r>
          </w:p>
        </w:tc>
      </w:tr>
      <w:tr w:rsidR="00B31AE2" w:rsidRPr="004E2EAC" w14:paraId="76B501C6" w14:textId="77777777" w:rsidTr="00B31AE2">
        <w:tc>
          <w:tcPr>
            <w:tcW w:w="9634" w:type="dxa"/>
            <w:gridSpan w:val="4"/>
          </w:tcPr>
          <w:p w14:paraId="50D321ED" w14:textId="77777777" w:rsidR="00B31AE2" w:rsidRPr="00292532" w:rsidRDefault="00B31AE2" w:rsidP="00B31AE2">
            <w:pPr>
              <w:spacing w:after="200" w:line="276" w:lineRule="auto"/>
              <w:rPr>
                <w:rFonts w:eastAsia="Calibri" w:cs="Times New Roman"/>
                <w:lang w:val="pt-PT"/>
              </w:rPr>
            </w:pPr>
            <w:r w:rsidRPr="00292532">
              <w:rPr>
                <w:rFonts w:eastAsia="Calibri" w:cs="Times New Roman"/>
                <w:lang w:val="pt-PT"/>
              </w:rPr>
              <w:t>Parte do corpo atingida</w:t>
            </w:r>
          </w:p>
          <w:p w14:paraId="4EC966A0" w14:textId="77777777" w:rsidR="00B31AE2" w:rsidRPr="00292532" w:rsidRDefault="00B31AE2" w:rsidP="00B31AE2">
            <w:pPr>
              <w:tabs>
                <w:tab w:val="left" w:pos="3132"/>
                <w:tab w:val="left" w:pos="3600"/>
                <w:tab w:val="left" w:pos="6948"/>
                <w:tab w:val="left" w:pos="7608"/>
              </w:tabs>
              <w:spacing w:after="200" w:line="276" w:lineRule="auto"/>
              <w:rPr>
                <w:rFonts w:eastAsia="Calibri" w:cs="Times New Roman"/>
                <w:lang w:val="pt-PT"/>
              </w:rPr>
            </w:pPr>
            <w:proofErr w:type="gramStart"/>
            <w:r w:rsidRPr="00292532">
              <w:rPr>
                <w:rFonts w:eastAsia="Calibri" w:cs="Times New Roman"/>
                <w:lang w:val="pt-PT"/>
              </w:rPr>
              <w:t xml:space="preserve">(  </w:t>
            </w:r>
            <w:proofErr w:type="gramEnd"/>
            <w:r w:rsidRPr="00292532">
              <w:rPr>
                <w:rFonts w:eastAsia="Calibri" w:cs="Times New Roman"/>
                <w:lang w:val="pt-PT"/>
              </w:rPr>
              <w:t xml:space="preserve"> )cabeça, </w:t>
            </w:r>
            <w:proofErr w:type="spellStart"/>
            <w:r w:rsidRPr="00292532">
              <w:rPr>
                <w:rFonts w:eastAsia="Calibri" w:cs="Times New Roman"/>
                <w:lang w:val="pt-PT"/>
              </w:rPr>
              <w:t>excepto</w:t>
            </w:r>
            <w:proofErr w:type="spellEnd"/>
            <w:r w:rsidRPr="00292532">
              <w:rPr>
                <w:rFonts w:eastAsia="Calibri" w:cs="Times New Roman"/>
                <w:lang w:val="pt-PT"/>
              </w:rPr>
              <w:t xml:space="preserve"> olhos </w:t>
            </w:r>
            <w:r w:rsidRPr="00292532">
              <w:rPr>
                <w:rFonts w:eastAsia="Calibri" w:cs="Times New Roman"/>
                <w:lang w:val="pt-PT"/>
              </w:rPr>
              <w:tab/>
              <w:t xml:space="preserve">(   )braço(s) </w:t>
            </w:r>
            <w:r w:rsidRPr="00292532">
              <w:rPr>
                <w:rFonts w:eastAsia="Calibri" w:cs="Times New Roman"/>
                <w:lang w:val="pt-PT"/>
              </w:rPr>
              <w:tab/>
              <w:t xml:space="preserve">(  )pé(s), </w:t>
            </w:r>
            <w:proofErr w:type="spellStart"/>
            <w:r w:rsidRPr="00292532">
              <w:rPr>
                <w:rFonts w:eastAsia="Calibri" w:cs="Times New Roman"/>
                <w:lang w:val="pt-PT"/>
              </w:rPr>
              <w:t>excepto</w:t>
            </w:r>
            <w:proofErr w:type="spellEnd"/>
            <w:r w:rsidRPr="00292532">
              <w:rPr>
                <w:rFonts w:eastAsia="Calibri" w:cs="Times New Roman"/>
                <w:lang w:val="pt-PT"/>
              </w:rPr>
              <w:t xml:space="preserve"> dedos</w:t>
            </w:r>
          </w:p>
          <w:p w14:paraId="1F72E6B0" w14:textId="77777777" w:rsidR="00B31AE2" w:rsidRPr="00292532" w:rsidRDefault="00B31AE2" w:rsidP="00B31AE2">
            <w:pPr>
              <w:tabs>
                <w:tab w:val="left" w:pos="3144"/>
                <w:tab w:val="left" w:pos="3600"/>
                <w:tab w:val="left" w:pos="6960"/>
                <w:tab w:val="left" w:pos="7608"/>
              </w:tabs>
              <w:spacing w:after="200" w:line="276" w:lineRule="auto"/>
              <w:rPr>
                <w:rFonts w:eastAsia="Calibri" w:cs="Times New Roman"/>
                <w:lang w:val="pt-PT"/>
              </w:rPr>
            </w:pPr>
            <w:proofErr w:type="gramStart"/>
            <w:r w:rsidRPr="00292532">
              <w:rPr>
                <w:rFonts w:eastAsia="Calibri" w:cs="Times New Roman"/>
                <w:lang w:val="pt-PT"/>
              </w:rPr>
              <w:t xml:space="preserve">(  </w:t>
            </w:r>
            <w:proofErr w:type="gramEnd"/>
            <w:r w:rsidRPr="00292532">
              <w:rPr>
                <w:rFonts w:eastAsia="Calibri" w:cs="Times New Roman"/>
                <w:lang w:val="pt-PT"/>
              </w:rPr>
              <w:t xml:space="preserve"> )olho(s)</w:t>
            </w:r>
            <w:r w:rsidRPr="00292532">
              <w:rPr>
                <w:rFonts w:eastAsia="Calibri" w:cs="Times New Roman"/>
                <w:lang w:val="pt-PT"/>
              </w:rPr>
              <w:tab/>
              <w:t xml:space="preserve">(   )mão(s), </w:t>
            </w:r>
            <w:proofErr w:type="spellStart"/>
            <w:r w:rsidRPr="00292532">
              <w:rPr>
                <w:rFonts w:eastAsia="Calibri" w:cs="Times New Roman"/>
                <w:lang w:val="pt-PT"/>
              </w:rPr>
              <w:t>excepto</w:t>
            </w:r>
            <w:proofErr w:type="spellEnd"/>
            <w:r w:rsidRPr="00292532">
              <w:rPr>
                <w:rFonts w:eastAsia="Calibri" w:cs="Times New Roman"/>
                <w:lang w:val="pt-PT"/>
              </w:rPr>
              <w:t xml:space="preserve"> dedos</w:t>
            </w:r>
            <w:r w:rsidRPr="00292532">
              <w:rPr>
                <w:rFonts w:eastAsia="Calibri" w:cs="Times New Roman"/>
                <w:lang w:val="pt-PT"/>
              </w:rPr>
              <w:tab/>
              <w:t>(  )dedo(s) do(s) pé(s)</w:t>
            </w:r>
          </w:p>
          <w:p w14:paraId="1608AA42" w14:textId="77777777" w:rsidR="00B31AE2" w:rsidRPr="00292532" w:rsidRDefault="00B31AE2" w:rsidP="00B31AE2">
            <w:pPr>
              <w:tabs>
                <w:tab w:val="left" w:pos="3144"/>
                <w:tab w:val="left" w:pos="6960"/>
              </w:tabs>
              <w:spacing w:after="200" w:line="276" w:lineRule="auto"/>
              <w:rPr>
                <w:rFonts w:eastAsia="Calibri" w:cs="Times New Roman"/>
                <w:lang w:val="pt-PT"/>
              </w:rPr>
            </w:pPr>
            <w:proofErr w:type="gramStart"/>
            <w:r w:rsidRPr="00292532">
              <w:rPr>
                <w:rFonts w:eastAsia="Calibri" w:cs="Times New Roman"/>
                <w:lang w:val="pt-PT"/>
              </w:rPr>
              <w:t xml:space="preserve">(  </w:t>
            </w:r>
            <w:proofErr w:type="gramEnd"/>
            <w:r w:rsidRPr="00292532">
              <w:rPr>
                <w:rFonts w:eastAsia="Calibri" w:cs="Times New Roman"/>
                <w:lang w:val="pt-PT"/>
              </w:rPr>
              <w:t xml:space="preserve"> )tronco, </w:t>
            </w:r>
            <w:proofErr w:type="spellStart"/>
            <w:r w:rsidRPr="00292532">
              <w:rPr>
                <w:rFonts w:eastAsia="Calibri" w:cs="Times New Roman"/>
                <w:lang w:val="pt-PT"/>
              </w:rPr>
              <w:t>excepto</w:t>
            </w:r>
            <w:proofErr w:type="spellEnd"/>
            <w:r w:rsidRPr="00292532">
              <w:rPr>
                <w:rFonts w:eastAsia="Calibri" w:cs="Times New Roman"/>
                <w:lang w:val="pt-PT"/>
              </w:rPr>
              <w:t xml:space="preserve"> coluna</w:t>
            </w:r>
            <w:r w:rsidRPr="00292532">
              <w:rPr>
                <w:rFonts w:eastAsia="Calibri" w:cs="Times New Roman"/>
                <w:lang w:val="pt-PT"/>
              </w:rPr>
              <w:tab/>
              <w:t>(   )dedo(s) da(s) mão(s)</w:t>
            </w:r>
            <w:r w:rsidRPr="00292532">
              <w:rPr>
                <w:rFonts w:eastAsia="Calibri" w:cs="Times New Roman"/>
                <w:lang w:val="pt-PT"/>
              </w:rPr>
              <w:tab/>
              <w:t>(  )localizações múltiplas</w:t>
            </w:r>
          </w:p>
          <w:p w14:paraId="657861EB" w14:textId="77777777" w:rsidR="00B31AE2" w:rsidRPr="00292532" w:rsidRDefault="00B31AE2" w:rsidP="00B31AE2">
            <w:pPr>
              <w:tabs>
                <w:tab w:val="left" w:pos="3144"/>
                <w:tab w:val="left" w:pos="6960"/>
              </w:tabs>
              <w:spacing w:after="200" w:line="276" w:lineRule="auto"/>
              <w:rPr>
                <w:rFonts w:eastAsia="Calibri" w:cs="Times New Roman"/>
                <w:lang w:val="pt-PT"/>
              </w:rPr>
            </w:pPr>
            <w:proofErr w:type="gramStart"/>
            <w:r w:rsidRPr="00292532">
              <w:rPr>
                <w:rFonts w:eastAsia="Calibri" w:cs="Times New Roman"/>
                <w:lang w:val="pt-PT"/>
              </w:rPr>
              <w:t xml:space="preserve">(  </w:t>
            </w:r>
            <w:proofErr w:type="gramEnd"/>
            <w:r w:rsidRPr="00292532">
              <w:rPr>
                <w:rFonts w:eastAsia="Calibri" w:cs="Times New Roman"/>
                <w:lang w:val="pt-PT"/>
              </w:rPr>
              <w:t xml:space="preserve"> )coluna vertebral</w:t>
            </w:r>
            <w:r w:rsidRPr="00292532">
              <w:rPr>
                <w:rFonts w:eastAsia="Calibri" w:cs="Times New Roman"/>
                <w:lang w:val="pt-PT"/>
              </w:rPr>
              <w:tab/>
              <w:t>(   )pernas</w:t>
            </w:r>
            <w:r w:rsidRPr="00292532">
              <w:rPr>
                <w:rFonts w:eastAsia="Calibri" w:cs="Times New Roman"/>
                <w:lang w:val="pt-PT"/>
              </w:rPr>
              <w:tab/>
            </w:r>
          </w:p>
          <w:p w14:paraId="56515A33" w14:textId="77777777" w:rsidR="00B31AE2" w:rsidRPr="00292532" w:rsidRDefault="00B31AE2" w:rsidP="00B31AE2">
            <w:pPr>
              <w:tabs>
                <w:tab w:val="left" w:pos="3144"/>
                <w:tab w:val="left" w:pos="6960"/>
              </w:tabs>
              <w:spacing w:after="200" w:line="276" w:lineRule="auto"/>
              <w:rPr>
                <w:rFonts w:eastAsia="Calibri" w:cs="Times New Roman"/>
                <w:lang w:val="pt-PT"/>
              </w:rPr>
            </w:pPr>
          </w:p>
          <w:p w14:paraId="09FE2A9A" w14:textId="77777777" w:rsidR="00B31AE2" w:rsidRPr="00292532" w:rsidRDefault="00B31AE2" w:rsidP="00B31AE2">
            <w:pPr>
              <w:spacing w:after="200" w:line="276" w:lineRule="auto"/>
              <w:rPr>
                <w:rFonts w:eastAsia="Calibri" w:cs="Times New Roman"/>
                <w:lang w:val="pt-PT"/>
              </w:rPr>
            </w:pPr>
            <w:proofErr w:type="gramStart"/>
            <w:r w:rsidRPr="00292532">
              <w:rPr>
                <w:rFonts w:eastAsia="Calibri" w:cs="Times New Roman"/>
                <w:lang w:val="pt-PT"/>
              </w:rPr>
              <w:t xml:space="preserve">(  </w:t>
            </w:r>
            <w:proofErr w:type="gramEnd"/>
            <w:r w:rsidRPr="00292532">
              <w:rPr>
                <w:rFonts w:eastAsia="Calibri" w:cs="Times New Roman"/>
                <w:lang w:val="pt-PT"/>
              </w:rPr>
              <w:t xml:space="preserve"> )</w:t>
            </w:r>
            <w:proofErr w:type="spellStart"/>
            <w:r w:rsidRPr="00292532">
              <w:rPr>
                <w:rFonts w:eastAsia="Calibri" w:cs="Times New Roman"/>
                <w:lang w:val="pt-PT"/>
              </w:rPr>
              <w:t>Fractura</w:t>
            </w:r>
            <w:proofErr w:type="spellEnd"/>
            <w:r w:rsidRPr="00292532">
              <w:rPr>
                <w:rFonts w:eastAsia="Calibri" w:cs="Times New Roman"/>
                <w:lang w:val="pt-PT"/>
              </w:rPr>
              <w:tab/>
              <w:t>(   ) outro (especificar)________________________________</w:t>
            </w:r>
          </w:p>
        </w:tc>
      </w:tr>
      <w:tr w:rsidR="00B31AE2" w:rsidRPr="00292532" w14:paraId="79F20A75" w14:textId="77777777" w:rsidTr="00B31AE2">
        <w:tc>
          <w:tcPr>
            <w:tcW w:w="9634" w:type="dxa"/>
            <w:gridSpan w:val="4"/>
          </w:tcPr>
          <w:p w14:paraId="1912131A" w14:textId="77777777" w:rsidR="00B31AE2" w:rsidRPr="00292532" w:rsidRDefault="00B31AE2" w:rsidP="00B31AE2">
            <w:pPr>
              <w:spacing w:after="200" w:line="276" w:lineRule="auto"/>
              <w:rPr>
                <w:rFonts w:eastAsia="Calibri" w:cs="Times New Roman"/>
                <w:lang w:val="pt-PT"/>
              </w:rPr>
            </w:pPr>
            <w:r w:rsidRPr="00292532">
              <w:rPr>
                <w:rFonts w:eastAsia="Calibri" w:cs="Times New Roman"/>
                <w:lang w:val="pt-PT"/>
              </w:rPr>
              <w:t>Breve descrição do acidente______________________________________________________________</w:t>
            </w:r>
          </w:p>
          <w:p w14:paraId="65737DD2" w14:textId="77777777" w:rsidR="00B31AE2" w:rsidRPr="00292532" w:rsidRDefault="00B31AE2" w:rsidP="00B31AE2">
            <w:pPr>
              <w:spacing w:after="200" w:line="276" w:lineRule="auto"/>
              <w:rPr>
                <w:rFonts w:eastAsia="Calibri" w:cs="Times New Roman"/>
                <w:lang w:val="pt-PT"/>
              </w:rPr>
            </w:pPr>
            <w:r w:rsidRPr="00292532">
              <w:rPr>
                <w:rFonts w:eastAsia="Calibri" w:cs="Times New Roman"/>
                <w:lang w:val="pt-PT"/>
              </w:rPr>
              <w:t>_____________________________________________________________________________________</w:t>
            </w:r>
          </w:p>
          <w:p w14:paraId="1AAED608" w14:textId="77777777" w:rsidR="00B31AE2" w:rsidRPr="00292532" w:rsidRDefault="00B31AE2" w:rsidP="00B31AE2">
            <w:pPr>
              <w:spacing w:after="200" w:line="276" w:lineRule="auto"/>
              <w:rPr>
                <w:rFonts w:eastAsia="Calibri" w:cs="Times New Roman"/>
                <w:lang w:val="pt-PT"/>
              </w:rPr>
            </w:pPr>
            <w:r w:rsidRPr="00292532">
              <w:rPr>
                <w:rFonts w:eastAsia="Calibri" w:cs="Times New Roman"/>
                <w:lang w:val="pt-PT"/>
              </w:rPr>
              <w:t>_____________________________________________________________________________________</w:t>
            </w:r>
          </w:p>
          <w:p w14:paraId="4055A43C" w14:textId="77777777" w:rsidR="00B31AE2" w:rsidRPr="00292532" w:rsidRDefault="00B31AE2" w:rsidP="00B31AE2">
            <w:pPr>
              <w:spacing w:after="200" w:line="276" w:lineRule="auto"/>
              <w:rPr>
                <w:rFonts w:eastAsia="Calibri" w:cs="Times New Roman"/>
                <w:lang w:val="pt-PT"/>
              </w:rPr>
            </w:pPr>
            <w:r w:rsidRPr="00292532">
              <w:rPr>
                <w:rFonts w:eastAsia="Calibri" w:cs="Times New Roman"/>
                <w:lang w:val="pt-PT"/>
              </w:rPr>
              <w:t>_____________________________________________________________________________________</w:t>
            </w:r>
          </w:p>
          <w:p w14:paraId="308A5589" w14:textId="77777777" w:rsidR="00B31AE2" w:rsidRPr="00292532" w:rsidRDefault="00B31AE2" w:rsidP="00B31AE2">
            <w:pPr>
              <w:spacing w:after="200" w:line="276" w:lineRule="auto"/>
              <w:rPr>
                <w:rFonts w:eastAsia="Calibri" w:cs="Times New Roman"/>
                <w:lang w:val="pt-PT"/>
              </w:rPr>
            </w:pPr>
            <w:r w:rsidRPr="00292532">
              <w:rPr>
                <w:rFonts w:eastAsia="Calibri" w:cs="Times New Roman"/>
                <w:lang w:val="pt-PT"/>
              </w:rPr>
              <w:t>_____________________________________________________________________________________</w:t>
            </w:r>
          </w:p>
          <w:p w14:paraId="4600240A" w14:textId="77777777" w:rsidR="00B31AE2" w:rsidRPr="00292532" w:rsidRDefault="00B31AE2" w:rsidP="00B31AE2">
            <w:pPr>
              <w:spacing w:after="200" w:line="276" w:lineRule="auto"/>
              <w:rPr>
                <w:rFonts w:eastAsia="Calibri" w:cs="Times New Roman"/>
                <w:lang w:val="pt-PT"/>
              </w:rPr>
            </w:pPr>
            <w:r w:rsidRPr="00292532">
              <w:rPr>
                <w:rFonts w:eastAsia="Calibri" w:cs="Times New Roman"/>
                <w:lang w:val="pt-PT"/>
              </w:rPr>
              <w:lastRenderedPageBreak/>
              <w:t xml:space="preserve">_____________________________________________________________________________________ </w:t>
            </w:r>
          </w:p>
          <w:p w14:paraId="0E73611D" w14:textId="77777777" w:rsidR="00B31AE2" w:rsidRPr="00292532" w:rsidRDefault="00B31AE2" w:rsidP="00B31AE2">
            <w:pPr>
              <w:spacing w:after="200" w:line="276" w:lineRule="auto"/>
              <w:rPr>
                <w:rFonts w:eastAsia="Calibri" w:cs="Times New Roman"/>
                <w:lang w:val="pt-PT"/>
              </w:rPr>
            </w:pPr>
          </w:p>
          <w:p w14:paraId="7B6141F7" w14:textId="77777777" w:rsidR="00B31AE2" w:rsidRPr="00292532" w:rsidRDefault="00B31AE2" w:rsidP="00B31AE2">
            <w:pPr>
              <w:spacing w:after="200" w:line="276" w:lineRule="auto"/>
              <w:rPr>
                <w:rFonts w:eastAsia="Calibri" w:cs="Times New Roman"/>
                <w:lang w:val="pt-PT"/>
              </w:rPr>
            </w:pPr>
            <w:r w:rsidRPr="00292532">
              <w:rPr>
                <w:rFonts w:eastAsia="Calibri" w:cs="Times New Roman"/>
                <w:lang w:val="pt-PT"/>
              </w:rPr>
              <w:t xml:space="preserve">Medidas de prevenção </w:t>
            </w:r>
            <w:proofErr w:type="spellStart"/>
            <w:r w:rsidRPr="00292532">
              <w:rPr>
                <w:rFonts w:eastAsia="Calibri" w:cs="Times New Roman"/>
                <w:lang w:val="pt-PT"/>
              </w:rPr>
              <w:t>adoptadas</w:t>
            </w:r>
            <w:proofErr w:type="spellEnd"/>
            <w:r w:rsidRPr="00292532">
              <w:rPr>
                <w:rFonts w:eastAsia="Calibri" w:cs="Times New Roman"/>
                <w:lang w:val="pt-PT"/>
              </w:rPr>
              <w:t>: ________________________________________________________</w:t>
            </w:r>
          </w:p>
          <w:p w14:paraId="5D2C95EB" w14:textId="77777777" w:rsidR="00B31AE2" w:rsidRPr="00292532" w:rsidRDefault="00B31AE2" w:rsidP="00B31AE2">
            <w:pPr>
              <w:spacing w:after="200" w:line="276" w:lineRule="auto"/>
              <w:rPr>
                <w:rFonts w:eastAsia="Calibri" w:cs="Times New Roman"/>
                <w:lang w:val="pt-PT"/>
              </w:rPr>
            </w:pPr>
            <w:r w:rsidRPr="00292532">
              <w:rPr>
                <w:rFonts w:eastAsia="Calibri" w:cs="Times New Roman"/>
                <w:lang w:val="pt-PT"/>
              </w:rPr>
              <w:t>_____________________________________________________________________________________</w:t>
            </w:r>
          </w:p>
          <w:p w14:paraId="12803583" w14:textId="77777777" w:rsidR="00B31AE2" w:rsidRPr="00292532" w:rsidRDefault="00B31AE2" w:rsidP="00B31AE2">
            <w:pPr>
              <w:spacing w:after="200" w:line="276" w:lineRule="auto"/>
              <w:rPr>
                <w:rFonts w:eastAsia="Calibri" w:cs="Times New Roman"/>
                <w:lang w:val="pt-PT"/>
              </w:rPr>
            </w:pPr>
            <w:r w:rsidRPr="00292532">
              <w:rPr>
                <w:rFonts w:eastAsia="Calibri" w:cs="Times New Roman"/>
                <w:lang w:val="pt-PT"/>
              </w:rPr>
              <w:t>_____________________________________________________________________________________</w:t>
            </w:r>
          </w:p>
          <w:p w14:paraId="5B918D99" w14:textId="77777777" w:rsidR="00B31AE2" w:rsidRPr="00292532" w:rsidRDefault="00B31AE2" w:rsidP="00B31AE2">
            <w:pPr>
              <w:spacing w:after="200" w:line="276" w:lineRule="auto"/>
              <w:rPr>
                <w:rFonts w:eastAsia="Calibri" w:cs="Times New Roman"/>
                <w:lang w:val="pt-PT"/>
              </w:rPr>
            </w:pPr>
          </w:p>
        </w:tc>
      </w:tr>
      <w:tr w:rsidR="00B31AE2" w:rsidRPr="00292532" w14:paraId="68C2D650" w14:textId="77777777" w:rsidTr="00B31AE2">
        <w:tc>
          <w:tcPr>
            <w:tcW w:w="9634" w:type="dxa"/>
            <w:gridSpan w:val="4"/>
          </w:tcPr>
          <w:p w14:paraId="55882F93" w14:textId="77777777" w:rsidR="00B31AE2" w:rsidRPr="00292532" w:rsidRDefault="00B31AE2" w:rsidP="00B31AE2">
            <w:pPr>
              <w:spacing w:after="200" w:line="276" w:lineRule="auto"/>
              <w:rPr>
                <w:rFonts w:eastAsia="Calibri" w:cs="Times New Roman"/>
                <w:lang w:val="pt-PT"/>
              </w:rPr>
            </w:pPr>
            <w:r w:rsidRPr="00292532">
              <w:rPr>
                <w:rFonts w:eastAsia="Calibri" w:cs="Times New Roman"/>
                <w:lang w:val="pt-PT"/>
              </w:rPr>
              <w:lastRenderedPageBreak/>
              <w:t>Efeitos do acidente:</w:t>
            </w:r>
          </w:p>
          <w:p w14:paraId="64960B05" w14:textId="77777777" w:rsidR="00B31AE2" w:rsidRPr="00292532" w:rsidRDefault="00B31AE2" w:rsidP="00B31AE2">
            <w:pPr>
              <w:tabs>
                <w:tab w:val="left" w:pos="2808"/>
                <w:tab w:val="left" w:pos="3156"/>
                <w:tab w:val="left" w:pos="6420"/>
                <w:tab w:val="left" w:pos="6900"/>
              </w:tabs>
              <w:spacing w:after="200" w:line="276" w:lineRule="auto"/>
              <w:rPr>
                <w:rFonts w:eastAsia="Calibri" w:cs="Times New Roman"/>
                <w:lang w:val="pt-PT"/>
              </w:rPr>
            </w:pPr>
            <w:proofErr w:type="gramStart"/>
            <w:r w:rsidRPr="00292532">
              <w:rPr>
                <w:rFonts w:eastAsia="Calibri" w:cs="Times New Roman"/>
                <w:lang w:val="pt-PT"/>
              </w:rPr>
              <w:t>(  )</w:t>
            </w:r>
            <w:proofErr w:type="gramEnd"/>
            <w:r w:rsidRPr="00292532">
              <w:rPr>
                <w:rFonts w:eastAsia="Calibri" w:cs="Times New Roman"/>
                <w:lang w:val="pt-PT"/>
              </w:rPr>
              <w:t xml:space="preserve"> sem incapacidade</w:t>
            </w:r>
            <w:r w:rsidRPr="00292532">
              <w:rPr>
                <w:rFonts w:eastAsia="Calibri" w:cs="Times New Roman"/>
                <w:lang w:val="pt-PT"/>
              </w:rPr>
              <w:tab/>
              <w:t>(   ) incapacidade temporária</w:t>
            </w:r>
            <w:r w:rsidRPr="00292532">
              <w:rPr>
                <w:rFonts w:eastAsia="Calibri" w:cs="Times New Roman"/>
                <w:lang w:val="pt-PT"/>
              </w:rPr>
              <w:tab/>
              <w:t>(   ) incapacidade permanente</w:t>
            </w:r>
          </w:p>
          <w:p w14:paraId="6B3198E1" w14:textId="77777777" w:rsidR="00B31AE2" w:rsidRPr="00292532" w:rsidRDefault="00B31AE2" w:rsidP="00B31AE2">
            <w:pPr>
              <w:tabs>
                <w:tab w:val="left" w:pos="2808"/>
                <w:tab w:val="left" w:pos="3156"/>
                <w:tab w:val="left" w:pos="6420"/>
                <w:tab w:val="left" w:pos="6900"/>
              </w:tabs>
              <w:spacing w:after="200" w:line="276" w:lineRule="auto"/>
              <w:rPr>
                <w:rFonts w:eastAsia="Calibri" w:cs="Times New Roman"/>
                <w:lang w:val="pt-PT"/>
              </w:rPr>
            </w:pPr>
            <w:proofErr w:type="gramStart"/>
            <w:r w:rsidRPr="00292532">
              <w:rPr>
                <w:rFonts w:eastAsia="Calibri" w:cs="Times New Roman"/>
                <w:lang w:val="pt-PT"/>
              </w:rPr>
              <w:t>(  )</w:t>
            </w:r>
            <w:proofErr w:type="gramEnd"/>
            <w:r w:rsidRPr="00292532">
              <w:rPr>
                <w:rFonts w:eastAsia="Calibri" w:cs="Times New Roman"/>
                <w:lang w:val="pt-PT"/>
              </w:rPr>
              <w:t xml:space="preserve"> morte</w:t>
            </w:r>
          </w:p>
        </w:tc>
      </w:tr>
      <w:tr w:rsidR="00B31AE2" w:rsidRPr="004E2EAC" w14:paraId="436677DA" w14:textId="77777777" w:rsidTr="00B31AE2">
        <w:tc>
          <w:tcPr>
            <w:tcW w:w="9634" w:type="dxa"/>
            <w:gridSpan w:val="4"/>
          </w:tcPr>
          <w:p w14:paraId="15A4AE88" w14:textId="77777777" w:rsidR="00B31AE2" w:rsidRPr="00292532" w:rsidRDefault="00B31AE2" w:rsidP="00B31AE2">
            <w:pPr>
              <w:spacing w:after="200" w:line="276" w:lineRule="auto"/>
              <w:rPr>
                <w:rFonts w:eastAsia="Calibri" w:cs="Times New Roman"/>
                <w:lang w:val="pt-PT"/>
              </w:rPr>
            </w:pPr>
            <w:r w:rsidRPr="00292532">
              <w:rPr>
                <w:rFonts w:eastAsia="Calibri" w:cs="Times New Roman"/>
                <w:lang w:val="pt-PT"/>
              </w:rPr>
              <w:t>Regresso ao trabalho:</w:t>
            </w:r>
          </w:p>
          <w:p w14:paraId="69C8475C" w14:textId="77777777" w:rsidR="00B31AE2" w:rsidRPr="00292532" w:rsidRDefault="00B31AE2" w:rsidP="00B31AE2">
            <w:pPr>
              <w:spacing w:after="200" w:line="276" w:lineRule="auto"/>
              <w:rPr>
                <w:rFonts w:eastAsia="Calibri" w:cs="Times New Roman"/>
                <w:lang w:val="pt-PT"/>
              </w:rPr>
            </w:pPr>
            <w:r w:rsidRPr="00292532">
              <w:rPr>
                <w:rFonts w:eastAsia="Calibri" w:cs="Times New Roman"/>
                <w:lang w:val="pt-PT"/>
              </w:rPr>
              <w:t>Dias perdidos __________</w:t>
            </w:r>
          </w:p>
        </w:tc>
      </w:tr>
      <w:tr w:rsidR="00B31AE2" w:rsidRPr="004E2EAC" w14:paraId="3BF234A5" w14:textId="77777777" w:rsidTr="00B31AE2">
        <w:tc>
          <w:tcPr>
            <w:tcW w:w="4812" w:type="dxa"/>
            <w:tcBorders>
              <w:bottom w:val="single" w:sz="4" w:space="0" w:color="auto"/>
            </w:tcBorders>
            <w:shd w:val="clear" w:color="auto" w:fill="F2F2F2"/>
          </w:tcPr>
          <w:p w14:paraId="4D10C175" w14:textId="77777777" w:rsidR="00B31AE2" w:rsidRPr="00292532" w:rsidRDefault="00B31AE2" w:rsidP="00B31AE2">
            <w:pPr>
              <w:spacing w:after="200" w:line="276" w:lineRule="auto"/>
              <w:rPr>
                <w:rFonts w:eastAsia="Calibri" w:cs="Times New Roman"/>
                <w:lang w:val="pt-PT"/>
              </w:rPr>
            </w:pPr>
            <w:r w:rsidRPr="00292532">
              <w:rPr>
                <w:rFonts w:eastAsia="Calibri" w:cs="Times New Roman"/>
                <w:lang w:val="pt-PT"/>
              </w:rPr>
              <w:t>Responsável de saúde e segurança do Empreiteiro</w:t>
            </w:r>
          </w:p>
          <w:p w14:paraId="16DA887D" w14:textId="77777777" w:rsidR="00B31AE2" w:rsidRPr="00292532" w:rsidRDefault="00B31AE2" w:rsidP="00B31AE2">
            <w:pPr>
              <w:spacing w:after="200" w:line="276" w:lineRule="auto"/>
              <w:jc w:val="center"/>
              <w:rPr>
                <w:rFonts w:eastAsia="Calibri" w:cs="Times New Roman"/>
                <w:lang w:val="pt-PT"/>
              </w:rPr>
            </w:pPr>
          </w:p>
          <w:p w14:paraId="58B2D4DD" w14:textId="77777777" w:rsidR="00B31AE2" w:rsidRPr="00292532" w:rsidRDefault="00B31AE2" w:rsidP="00B31AE2">
            <w:pPr>
              <w:spacing w:after="200" w:line="276" w:lineRule="auto"/>
              <w:jc w:val="center"/>
              <w:rPr>
                <w:rFonts w:eastAsia="Calibri" w:cs="Times New Roman"/>
                <w:lang w:val="pt-PT"/>
              </w:rPr>
            </w:pPr>
            <w:r w:rsidRPr="00292532">
              <w:rPr>
                <w:rFonts w:eastAsia="Calibri" w:cs="Times New Roman"/>
                <w:lang w:val="pt-PT"/>
              </w:rPr>
              <w:t>_____________________________________</w:t>
            </w:r>
          </w:p>
          <w:p w14:paraId="5F9CF7A0" w14:textId="77777777" w:rsidR="00B31AE2" w:rsidRPr="00292532" w:rsidRDefault="00B31AE2" w:rsidP="00B31AE2">
            <w:pPr>
              <w:spacing w:after="200" w:line="276" w:lineRule="auto"/>
              <w:jc w:val="center"/>
              <w:rPr>
                <w:rFonts w:eastAsia="Calibri" w:cs="Times New Roman"/>
                <w:lang w:val="pt-PT"/>
              </w:rPr>
            </w:pPr>
            <w:r w:rsidRPr="00292532">
              <w:rPr>
                <w:rFonts w:eastAsia="Calibri" w:cs="Times New Roman"/>
                <w:lang w:val="pt-PT"/>
              </w:rPr>
              <w:t>(data: _____/_____/____)</w:t>
            </w:r>
          </w:p>
          <w:p w14:paraId="23D4B10F" w14:textId="77777777" w:rsidR="00B31AE2" w:rsidRPr="00292532" w:rsidRDefault="00B31AE2" w:rsidP="00B31AE2">
            <w:pPr>
              <w:spacing w:after="200" w:line="276" w:lineRule="auto"/>
              <w:rPr>
                <w:rFonts w:eastAsia="Calibri" w:cs="Times New Roman"/>
                <w:lang w:val="pt-PT"/>
              </w:rPr>
            </w:pPr>
          </w:p>
        </w:tc>
        <w:tc>
          <w:tcPr>
            <w:tcW w:w="4822" w:type="dxa"/>
            <w:gridSpan w:val="3"/>
            <w:shd w:val="clear" w:color="auto" w:fill="F2F2F2"/>
          </w:tcPr>
          <w:p w14:paraId="3199508F" w14:textId="77777777" w:rsidR="00B31AE2" w:rsidRPr="00292532" w:rsidRDefault="00B31AE2" w:rsidP="00B31AE2">
            <w:pPr>
              <w:spacing w:after="200" w:line="276" w:lineRule="auto"/>
              <w:jc w:val="center"/>
              <w:rPr>
                <w:rFonts w:eastAsia="Calibri" w:cs="Times New Roman"/>
                <w:lang w:val="pt-PT"/>
              </w:rPr>
            </w:pPr>
            <w:proofErr w:type="spellStart"/>
            <w:r w:rsidRPr="00292532">
              <w:rPr>
                <w:rFonts w:eastAsia="Calibri" w:cs="Times New Roman"/>
                <w:lang w:val="pt-PT"/>
              </w:rPr>
              <w:t>Director</w:t>
            </w:r>
            <w:proofErr w:type="spellEnd"/>
            <w:r w:rsidRPr="00292532">
              <w:rPr>
                <w:rFonts w:eastAsia="Calibri" w:cs="Times New Roman"/>
                <w:lang w:val="pt-PT"/>
              </w:rPr>
              <w:t xml:space="preserve"> técnico da Empreitada</w:t>
            </w:r>
          </w:p>
          <w:p w14:paraId="61B45C0F" w14:textId="77777777" w:rsidR="00B31AE2" w:rsidRPr="00292532" w:rsidRDefault="00B31AE2" w:rsidP="00B31AE2">
            <w:pPr>
              <w:spacing w:after="200" w:line="276" w:lineRule="auto"/>
              <w:jc w:val="center"/>
              <w:rPr>
                <w:rFonts w:eastAsia="Calibri" w:cs="Times New Roman"/>
                <w:lang w:val="pt-PT"/>
              </w:rPr>
            </w:pPr>
          </w:p>
          <w:p w14:paraId="5F3C8AAE" w14:textId="77777777" w:rsidR="00B31AE2" w:rsidRPr="00292532" w:rsidRDefault="00B31AE2" w:rsidP="00B31AE2">
            <w:pPr>
              <w:spacing w:after="200" w:line="276" w:lineRule="auto"/>
              <w:jc w:val="center"/>
              <w:rPr>
                <w:rFonts w:eastAsia="Calibri" w:cs="Times New Roman"/>
                <w:lang w:val="pt-PT"/>
              </w:rPr>
            </w:pPr>
            <w:r w:rsidRPr="00292532">
              <w:rPr>
                <w:rFonts w:eastAsia="Calibri" w:cs="Times New Roman"/>
                <w:lang w:val="pt-PT"/>
              </w:rPr>
              <w:t>_____________________________________</w:t>
            </w:r>
          </w:p>
          <w:p w14:paraId="30A1303F" w14:textId="77777777" w:rsidR="00B31AE2" w:rsidRPr="00292532" w:rsidRDefault="00B31AE2" w:rsidP="00B31AE2">
            <w:pPr>
              <w:spacing w:after="200" w:line="276" w:lineRule="auto"/>
              <w:jc w:val="center"/>
              <w:rPr>
                <w:rFonts w:eastAsia="Calibri" w:cs="Times New Roman"/>
                <w:lang w:val="pt-PT"/>
              </w:rPr>
            </w:pPr>
            <w:r w:rsidRPr="00292532">
              <w:rPr>
                <w:rFonts w:eastAsia="Calibri" w:cs="Times New Roman"/>
                <w:lang w:val="pt-PT"/>
              </w:rPr>
              <w:t>(data: _____/_____/____)</w:t>
            </w:r>
          </w:p>
          <w:p w14:paraId="32C49E1B" w14:textId="77777777" w:rsidR="00B31AE2" w:rsidRPr="00292532" w:rsidRDefault="00B31AE2" w:rsidP="00B31AE2">
            <w:pPr>
              <w:jc w:val="center"/>
              <w:rPr>
                <w:rFonts w:eastAsia="Calibri" w:cs="Times New Roman"/>
                <w:lang w:val="pt-PT"/>
              </w:rPr>
            </w:pPr>
          </w:p>
        </w:tc>
      </w:tr>
    </w:tbl>
    <w:p w14:paraId="55DA78AE" w14:textId="77777777" w:rsidR="00B31AE2" w:rsidRPr="00292532" w:rsidRDefault="00B31AE2" w:rsidP="00B31AE2">
      <w:pPr>
        <w:spacing w:before="0" w:after="200" w:line="276" w:lineRule="auto"/>
        <w:rPr>
          <w:rFonts w:eastAsia="Calibri" w:cs="Calibri"/>
          <w:sz w:val="20"/>
          <w:szCs w:val="20"/>
          <w:lang w:val="pt-PT"/>
        </w:rPr>
      </w:pPr>
    </w:p>
    <w:p w14:paraId="395483C7" w14:textId="77777777" w:rsidR="00B31AE2" w:rsidRPr="00292532" w:rsidRDefault="00B31AE2" w:rsidP="00B31AE2">
      <w:pPr>
        <w:spacing w:before="0" w:after="200" w:line="276" w:lineRule="auto"/>
        <w:rPr>
          <w:rFonts w:eastAsia="Calibri" w:cs="Calibri"/>
          <w:sz w:val="20"/>
          <w:szCs w:val="20"/>
          <w:lang w:val="pt-PT"/>
        </w:rPr>
      </w:pPr>
    </w:p>
    <w:p w14:paraId="7A503797" w14:textId="77777777" w:rsidR="00B31AE2" w:rsidRPr="00292532" w:rsidRDefault="00B31AE2" w:rsidP="00B31AE2">
      <w:pPr>
        <w:spacing w:before="0" w:after="200" w:line="276" w:lineRule="auto"/>
        <w:rPr>
          <w:rFonts w:eastAsia="Calibri" w:cs="Calibri"/>
          <w:sz w:val="20"/>
          <w:szCs w:val="20"/>
          <w:lang w:val="pt-PT"/>
        </w:rPr>
      </w:pPr>
    </w:p>
    <w:p w14:paraId="727194F0" w14:textId="71F01264" w:rsidR="00B31AE2" w:rsidRPr="00292532" w:rsidRDefault="00B31AE2" w:rsidP="00B31AE2">
      <w:pPr>
        <w:spacing w:before="0" w:line="259" w:lineRule="auto"/>
        <w:jc w:val="left"/>
        <w:rPr>
          <w:rFonts w:eastAsia="Calibri" w:cs="Calibri"/>
          <w:sz w:val="20"/>
          <w:szCs w:val="20"/>
          <w:lang w:val="pt-PT"/>
        </w:rPr>
      </w:pPr>
      <w:r w:rsidRPr="00292532">
        <w:rPr>
          <w:rFonts w:eastAsia="Calibri" w:cs="Calibri"/>
          <w:sz w:val="20"/>
          <w:szCs w:val="20"/>
          <w:lang w:val="pt-PT"/>
        </w:rPr>
        <w:br w:type="page"/>
      </w:r>
    </w:p>
    <w:p w14:paraId="0A6BA969" w14:textId="3FE7A3E8" w:rsidR="00B31AE2" w:rsidRPr="00292532" w:rsidRDefault="00B31AE2" w:rsidP="00AE14AE">
      <w:pPr>
        <w:keepNext/>
        <w:keepLines/>
        <w:numPr>
          <w:ilvl w:val="0"/>
          <w:numId w:val="146"/>
        </w:numPr>
        <w:spacing w:before="200" w:after="200" w:line="276" w:lineRule="auto"/>
        <w:ind w:left="426" w:firstLine="0"/>
        <w:jc w:val="left"/>
        <w:outlineLvl w:val="1"/>
        <w:rPr>
          <w:rFonts w:ascii="Arial" w:eastAsia="Times New Roman" w:hAnsi="Arial" w:cs="Arial"/>
          <w:b/>
          <w:bCs/>
          <w:color w:val="4472C4"/>
          <w:sz w:val="26"/>
          <w:szCs w:val="26"/>
          <w:lang w:val="pt-PT"/>
        </w:rPr>
      </w:pPr>
      <w:bookmarkStart w:id="1269" w:name="_Toc78435515"/>
      <w:bookmarkStart w:id="1270" w:name="_Toc74921510"/>
      <w:bookmarkStart w:id="1271" w:name="_Toc75438086"/>
      <w:bookmarkStart w:id="1272" w:name="_Toc78435516"/>
      <w:bookmarkStart w:id="1273" w:name="_Toc80380182"/>
      <w:bookmarkEnd w:id="1269"/>
      <w:r w:rsidRPr="00292532">
        <w:rPr>
          <w:rFonts w:ascii="Arial" w:eastAsia="Times New Roman" w:hAnsi="Arial" w:cs="Arial"/>
          <w:b/>
          <w:bCs/>
          <w:color w:val="4472C4"/>
          <w:sz w:val="26"/>
          <w:szCs w:val="26"/>
          <w:lang w:val="pt-PT"/>
        </w:rPr>
        <w:lastRenderedPageBreak/>
        <w:t>Apêndice E – Temas para o Momento de Ambiente, Saúde e Segurança</w:t>
      </w:r>
      <w:bookmarkEnd w:id="1270"/>
      <w:bookmarkEnd w:id="1271"/>
      <w:bookmarkEnd w:id="1272"/>
      <w:bookmarkEnd w:id="1273"/>
    </w:p>
    <w:tbl>
      <w:tblPr>
        <w:tblStyle w:val="1"/>
        <w:tblW w:w="0" w:type="auto"/>
        <w:tblLook w:val="04A0" w:firstRow="1" w:lastRow="0" w:firstColumn="1" w:lastColumn="0" w:noHBand="0" w:noVBand="1"/>
      </w:tblPr>
      <w:tblGrid>
        <w:gridCol w:w="1860"/>
        <w:gridCol w:w="7164"/>
      </w:tblGrid>
      <w:tr w:rsidR="00B31AE2" w:rsidRPr="00292532" w14:paraId="2776B1B8" w14:textId="77777777" w:rsidTr="00B31AE2">
        <w:trPr>
          <w:trHeight w:val="2967"/>
        </w:trPr>
        <w:tc>
          <w:tcPr>
            <w:tcW w:w="1885" w:type="dxa"/>
          </w:tcPr>
          <w:p w14:paraId="5F4EDC1D" w14:textId="77777777" w:rsidR="00B31AE2" w:rsidRPr="00292532" w:rsidRDefault="00B31AE2" w:rsidP="00B31AE2">
            <w:pPr>
              <w:spacing w:after="200"/>
              <w:rPr>
                <w:rFonts w:eastAsia="Calibri" w:cs="Times New Roman"/>
                <w:lang w:val="pt-PT"/>
              </w:rPr>
            </w:pPr>
            <w:r w:rsidRPr="00292532">
              <w:rPr>
                <w:rFonts w:eastAsia="Calibri" w:cs="Times New Roman"/>
                <w:lang w:val="pt-PT"/>
              </w:rPr>
              <w:t>1 Saúde</w:t>
            </w:r>
          </w:p>
        </w:tc>
        <w:tc>
          <w:tcPr>
            <w:tcW w:w="7858" w:type="dxa"/>
          </w:tcPr>
          <w:p w14:paraId="6F5F1C80" w14:textId="77777777" w:rsidR="00B31AE2" w:rsidRPr="00292532" w:rsidRDefault="00B31AE2" w:rsidP="00AE14AE">
            <w:pPr>
              <w:numPr>
                <w:ilvl w:val="0"/>
                <w:numId w:val="136"/>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COVID 19</w:t>
            </w:r>
          </w:p>
          <w:p w14:paraId="2ED53DC8" w14:textId="77777777" w:rsidR="00B31AE2" w:rsidRPr="00292532" w:rsidRDefault="00B31AE2" w:rsidP="00AE14AE">
            <w:pPr>
              <w:numPr>
                <w:ilvl w:val="0"/>
                <w:numId w:val="136"/>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Prevenção e controle da malária</w:t>
            </w:r>
          </w:p>
          <w:p w14:paraId="45AFEF0F" w14:textId="7EC81E29" w:rsidR="00B31AE2" w:rsidRPr="00292532" w:rsidRDefault="00B31AE2" w:rsidP="00AE14AE">
            <w:pPr>
              <w:numPr>
                <w:ilvl w:val="0"/>
                <w:numId w:val="136"/>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 xml:space="preserve">HIV / </w:t>
            </w:r>
            <w:r w:rsidR="001E28C0" w:rsidRPr="00292532">
              <w:rPr>
                <w:rFonts w:eastAsia="Calibri" w:cs="Times New Roman"/>
                <w:lang w:val="pt-PT"/>
              </w:rPr>
              <w:t>SIDA</w:t>
            </w:r>
          </w:p>
          <w:p w14:paraId="0972DE48" w14:textId="77777777" w:rsidR="00B31AE2" w:rsidRPr="00292532" w:rsidRDefault="00B31AE2" w:rsidP="00AE14AE">
            <w:pPr>
              <w:numPr>
                <w:ilvl w:val="0"/>
                <w:numId w:val="136"/>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Drogas e álcool</w:t>
            </w:r>
          </w:p>
          <w:p w14:paraId="16C61CBE" w14:textId="77777777" w:rsidR="00B31AE2" w:rsidRPr="00292532" w:rsidRDefault="00B31AE2" w:rsidP="00AE14AE">
            <w:pPr>
              <w:numPr>
                <w:ilvl w:val="0"/>
                <w:numId w:val="136"/>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Depressão</w:t>
            </w:r>
          </w:p>
          <w:p w14:paraId="49495B6C" w14:textId="77777777" w:rsidR="00B31AE2" w:rsidRPr="00292532" w:rsidRDefault="00B31AE2" w:rsidP="00AE14AE">
            <w:pPr>
              <w:numPr>
                <w:ilvl w:val="0"/>
                <w:numId w:val="136"/>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Desidratação</w:t>
            </w:r>
          </w:p>
          <w:p w14:paraId="1E451321" w14:textId="77777777" w:rsidR="00B31AE2" w:rsidRPr="00292532" w:rsidRDefault="00B31AE2" w:rsidP="00AE14AE">
            <w:pPr>
              <w:numPr>
                <w:ilvl w:val="0"/>
                <w:numId w:val="136"/>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Gastrite</w:t>
            </w:r>
          </w:p>
          <w:p w14:paraId="5AFBAB1C" w14:textId="77777777" w:rsidR="00B31AE2" w:rsidRPr="00292532" w:rsidRDefault="00B31AE2" w:rsidP="00AE14AE">
            <w:pPr>
              <w:numPr>
                <w:ilvl w:val="0"/>
                <w:numId w:val="136"/>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Resfriado e gripe</w:t>
            </w:r>
          </w:p>
          <w:p w14:paraId="03E02E03" w14:textId="77777777" w:rsidR="00B31AE2" w:rsidRPr="00292532" w:rsidRDefault="00B31AE2" w:rsidP="00AE14AE">
            <w:pPr>
              <w:numPr>
                <w:ilvl w:val="0"/>
                <w:numId w:val="136"/>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Hipertensão</w:t>
            </w:r>
          </w:p>
          <w:p w14:paraId="4A51DE97" w14:textId="77777777" w:rsidR="00B31AE2" w:rsidRPr="00292532" w:rsidRDefault="00B31AE2" w:rsidP="00AE14AE">
            <w:pPr>
              <w:numPr>
                <w:ilvl w:val="0"/>
                <w:numId w:val="136"/>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Insuficiência renal crónica</w:t>
            </w:r>
          </w:p>
          <w:p w14:paraId="41D514DB" w14:textId="77777777" w:rsidR="00B31AE2" w:rsidRPr="00292532" w:rsidRDefault="00B31AE2" w:rsidP="00AE14AE">
            <w:pPr>
              <w:numPr>
                <w:ilvl w:val="0"/>
                <w:numId w:val="136"/>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Raiva</w:t>
            </w:r>
          </w:p>
          <w:p w14:paraId="268DF2C5" w14:textId="77777777" w:rsidR="00B31AE2" w:rsidRPr="00292532" w:rsidRDefault="00B31AE2" w:rsidP="00AE14AE">
            <w:pPr>
              <w:numPr>
                <w:ilvl w:val="0"/>
                <w:numId w:val="136"/>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Cólera</w:t>
            </w:r>
          </w:p>
          <w:p w14:paraId="2EA747E9" w14:textId="77777777" w:rsidR="00B31AE2" w:rsidRPr="00292532" w:rsidRDefault="00B31AE2" w:rsidP="00AE14AE">
            <w:pPr>
              <w:numPr>
                <w:ilvl w:val="0"/>
                <w:numId w:val="136"/>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TB</w:t>
            </w:r>
          </w:p>
          <w:p w14:paraId="627E6F0A" w14:textId="77777777" w:rsidR="00B31AE2" w:rsidRPr="00292532" w:rsidRDefault="00B31AE2" w:rsidP="00AE14AE">
            <w:pPr>
              <w:numPr>
                <w:ilvl w:val="0"/>
                <w:numId w:val="136"/>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Higiene pessoal</w:t>
            </w:r>
          </w:p>
        </w:tc>
      </w:tr>
      <w:tr w:rsidR="00B31AE2" w:rsidRPr="004E2EAC" w14:paraId="59AEF2F3" w14:textId="77777777" w:rsidTr="00B31AE2">
        <w:trPr>
          <w:trHeight w:val="1028"/>
        </w:trPr>
        <w:tc>
          <w:tcPr>
            <w:tcW w:w="1885" w:type="dxa"/>
          </w:tcPr>
          <w:p w14:paraId="0F8CA694" w14:textId="77777777" w:rsidR="00B31AE2" w:rsidRPr="00292532" w:rsidRDefault="00B31AE2" w:rsidP="00B31AE2">
            <w:pPr>
              <w:spacing w:after="200"/>
              <w:rPr>
                <w:rFonts w:eastAsia="Calibri" w:cs="Times New Roman"/>
                <w:lang w:val="pt-PT"/>
              </w:rPr>
            </w:pPr>
            <w:r w:rsidRPr="00292532">
              <w:rPr>
                <w:rFonts w:eastAsia="Calibri" w:cs="Times New Roman"/>
                <w:lang w:val="pt-PT"/>
              </w:rPr>
              <w:t>2 Saúde ocupacional e comportamento geral no local de trabalho</w:t>
            </w:r>
          </w:p>
        </w:tc>
        <w:tc>
          <w:tcPr>
            <w:tcW w:w="7858" w:type="dxa"/>
          </w:tcPr>
          <w:p w14:paraId="21DF413A" w14:textId="77777777" w:rsidR="00B31AE2" w:rsidRPr="00292532" w:rsidRDefault="00B31AE2" w:rsidP="00AE14AE">
            <w:pPr>
              <w:numPr>
                <w:ilvl w:val="0"/>
                <w:numId w:val="137"/>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 xml:space="preserve">Estresse térmico e </w:t>
            </w:r>
            <w:proofErr w:type="spellStart"/>
            <w:r w:rsidRPr="00292532">
              <w:rPr>
                <w:rFonts w:eastAsia="Calibri" w:cs="Times New Roman"/>
                <w:lang w:val="pt-PT"/>
              </w:rPr>
              <w:t>protecção</w:t>
            </w:r>
            <w:proofErr w:type="spellEnd"/>
            <w:r w:rsidRPr="00292532">
              <w:rPr>
                <w:rFonts w:eastAsia="Calibri" w:cs="Times New Roman"/>
                <w:lang w:val="pt-PT"/>
              </w:rPr>
              <w:t xml:space="preserve"> solar</w:t>
            </w:r>
          </w:p>
          <w:p w14:paraId="0CD61029" w14:textId="77777777" w:rsidR="00B31AE2" w:rsidRPr="00292532" w:rsidRDefault="00B31AE2" w:rsidP="00AE14AE">
            <w:pPr>
              <w:numPr>
                <w:ilvl w:val="0"/>
                <w:numId w:val="137"/>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Ergonomia</w:t>
            </w:r>
          </w:p>
          <w:p w14:paraId="0B36B051" w14:textId="77777777" w:rsidR="00B31AE2" w:rsidRPr="00292532" w:rsidRDefault="00B31AE2" w:rsidP="00AE14AE">
            <w:pPr>
              <w:numPr>
                <w:ilvl w:val="0"/>
                <w:numId w:val="137"/>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Segurança fora do local de trabalho</w:t>
            </w:r>
          </w:p>
          <w:p w14:paraId="4C16C879" w14:textId="77777777" w:rsidR="00B31AE2" w:rsidRPr="00292532" w:rsidRDefault="00B31AE2" w:rsidP="00AE14AE">
            <w:pPr>
              <w:numPr>
                <w:ilvl w:val="0"/>
                <w:numId w:val="137"/>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Materiais / substâncias perigosas</w:t>
            </w:r>
          </w:p>
          <w:p w14:paraId="2115BAE0" w14:textId="77777777" w:rsidR="00B31AE2" w:rsidRPr="00292532" w:rsidRDefault="00B31AE2" w:rsidP="00AE14AE">
            <w:pPr>
              <w:numPr>
                <w:ilvl w:val="0"/>
                <w:numId w:val="137"/>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 xml:space="preserve">Equipamento de </w:t>
            </w:r>
            <w:proofErr w:type="spellStart"/>
            <w:proofErr w:type="gramStart"/>
            <w:r w:rsidRPr="00292532">
              <w:rPr>
                <w:rFonts w:eastAsia="Calibri" w:cs="Times New Roman"/>
                <w:lang w:val="pt-PT"/>
              </w:rPr>
              <w:t>protecção</w:t>
            </w:r>
            <w:proofErr w:type="spellEnd"/>
            <w:r w:rsidRPr="00292532">
              <w:rPr>
                <w:rFonts w:eastAsia="Calibri" w:cs="Times New Roman"/>
                <w:lang w:val="pt-PT"/>
              </w:rPr>
              <w:t xml:space="preserve"> Individual</w:t>
            </w:r>
            <w:proofErr w:type="gramEnd"/>
            <w:r w:rsidRPr="00292532">
              <w:rPr>
                <w:rFonts w:eastAsia="Calibri" w:cs="Times New Roman"/>
                <w:lang w:val="pt-PT"/>
              </w:rPr>
              <w:t xml:space="preserve"> e </w:t>
            </w:r>
            <w:proofErr w:type="spellStart"/>
            <w:r w:rsidRPr="00292532">
              <w:rPr>
                <w:rFonts w:eastAsia="Calibri" w:cs="Times New Roman"/>
                <w:lang w:val="pt-PT"/>
              </w:rPr>
              <w:t>colectiva</w:t>
            </w:r>
            <w:proofErr w:type="spellEnd"/>
          </w:p>
        </w:tc>
      </w:tr>
      <w:tr w:rsidR="00B31AE2" w:rsidRPr="004E2EAC" w14:paraId="300C93B8" w14:textId="77777777" w:rsidTr="00B31AE2">
        <w:tc>
          <w:tcPr>
            <w:tcW w:w="1885" w:type="dxa"/>
          </w:tcPr>
          <w:p w14:paraId="27AB2A5F" w14:textId="77777777" w:rsidR="00B31AE2" w:rsidRPr="00292532" w:rsidRDefault="00B31AE2" w:rsidP="00B31AE2">
            <w:pPr>
              <w:spacing w:after="200"/>
              <w:rPr>
                <w:rFonts w:eastAsia="Calibri" w:cs="Times New Roman"/>
                <w:lang w:val="pt-PT"/>
              </w:rPr>
            </w:pPr>
            <w:r w:rsidRPr="00292532">
              <w:rPr>
                <w:rFonts w:eastAsia="Calibri" w:cs="Times New Roman"/>
                <w:lang w:val="pt-PT"/>
              </w:rPr>
              <w:t>3 Segurança</w:t>
            </w:r>
          </w:p>
        </w:tc>
        <w:tc>
          <w:tcPr>
            <w:tcW w:w="7858" w:type="dxa"/>
          </w:tcPr>
          <w:p w14:paraId="6C854D09" w14:textId="77777777" w:rsidR="00B31AE2" w:rsidRPr="00292532" w:rsidRDefault="00B31AE2" w:rsidP="00AE14AE">
            <w:pPr>
              <w:numPr>
                <w:ilvl w:val="0"/>
                <w:numId w:val="138"/>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Riscos na Área de Obras Civis</w:t>
            </w:r>
          </w:p>
          <w:p w14:paraId="50E939E5" w14:textId="77777777" w:rsidR="00B31AE2" w:rsidRPr="00292532" w:rsidRDefault="00B31AE2" w:rsidP="00AE14AE">
            <w:pPr>
              <w:numPr>
                <w:ilvl w:val="0"/>
                <w:numId w:val="138"/>
              </w:numPr>
              <w:spacing w:before="100" w:beforeAutospacing="1" w:after="200" w:afterAutospacing="1" w:line="276" w:lineRule="auto"/>
              <w:contextualSpacing/>
              <w:rPr>
                <w:rFonts w:eastAsia="Calibri" w:cs="Times New Roman"/>
                <w:lang w:val="pt-PT"/>
              </w:rPr>
            </w:pPr>
            <w:proofErr w:type="spellStart"/>
            <w:r w:rsidRPr="00292532">
              <w:rPr>
                <w:rFonts w:eastAsia="Calibri" w:cs="Times New Roman"/>
                <w:lang w:val="pt-PT"/>
              </w:rPr>
              <w:t>Housekeeping</w:t>
            </w:r>
            <w:proofErr w:type="spellEnd"/>
          </w:p>
          <w:p w14:paraId="1E5EE820" w14:textId="77777777" w:rsidR="00B31AE2" w:rsidRPr="00292532" w:rsidRDefault="00B31AE2" w:rsidP="00AE14AE">
            <w:pPr>
              <w:numPr>
                <w:ilvl w:val="0"/>
                <w:numId w:val="138"/>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Principais causas de acidentes de trabalho</w:t>
            </w:r>
          </w:p>
          <w:p w14:paraId="39FBD69D" w14:textId="77777777" w:rsidR="00B31AE2" w:rsidRPr="00292532" w:rsidRDefault="00B31AE2" w:rsidP="00AE14AE">
            <w:pPr>
              <w:numPr>
                <w:ilvl w:val="0"/>
                <w:numId w:val="138"/>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 xml:space="preserve">Corrigindo </w:t>
            </w:r>
            <w:proofErr w:type="spellStart"/>
            <w:r w:rsidRPr="00292532">
              <w:rPr>
                <w:rFonts w:eastAsia="Calibri" w:cs="Times New Roman"/>
                <w:lang w:val="pt-PT"/>
              </w:rPr>
              <w:t>actos</w:t>
            </w:r>
            <w:proofErr w:type="spellEnd"/>
            <w:r w:rsidRPr="00292532">
              <w:rPr>
                <w:rFonts w:eastAsia="Calibri" w:cs="Times New Roman"/>
                <w:lang w:val="pt-PT"/>
              </w:rPr>
              <w:t xml:space="preserve"> inseguros de colegas</w:t>
            </w:r>
          </w:p>
          <w:p w14:paraId="0D65075A" w14:textId="77777777" w:rsidR="00B31AE2" w:rsidRPr="00292532" w:rsidRDefault="00B31AE2" w:rsidP="00AE14AE">
            <w:pPr>
              <w:numPr>
                <w:ilvl w:val="0"/>
                <w:numId w:val="138"/>
              </w:numPr>
              <w:spacing w:before="100" w:beforeAutospacing="1" w:after="200" w:afterAutospacing="1" w:line="276" w:lineRule="auto"/>
              <w:contextualSpacing/>
              <w:rPr>
                <w:rFonts w:eastAsia="Calibri" w:cs="Times New Roman"/>
                <w:lang w:val="pt-PT"/>
              </w:rPr>
            </w:pPr>
            <w:proofErr w:type="spellStart"/>
            <w:r w:rsidRPr="00292532">
              <w:rPr>
                <w:rFonts w:eastAsia="Calibri" w:cs="Times New Roman"/>
                <w:lang w:val="pt-PT"/>
              </w:rPr>
              <w:t>Distracções</w:t>
            </w:r>
            <w:proofErr w:type="spellEnd"/>
            <w:r w:rsidRPr="00292532">
              <w:rPr>
                <w:rFonts w:eastAsia="Calibri" w:cs="Times New Roman"/>
                <w:lang w:val="pt-PT"/>
              </w:rPr>
              <w:t xml:space="preserve"> no local de trabalho</w:t>
            </w:r>
          </w:p>
          <w:p w14:paraId="77D7B1A7" w14:textId="77777777" w:rsidR="00B31AE2" w:rsidRPr="00292532" w:rsidRDefault="00B31AE2" w:rsidP="00AE14AE">
            <w:pPr>
              <w:numPr>
                <w:ilvl w:val="0"/>
                <w:numId w:val="138"/>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Excesso de confiança</w:t>
            </w:r>
          </w:p>
          <w:p w14:paraId="28C74915" w14:textId="77777777" w:rsidR="00B31AE2" w:rsidRPr="00292532" w:rsidRDefault="00B31AE2" w:rsidP="00AE14AE">
            <w:pPr>
              <w:numPr>
                <w:ilvl w:val="0"/>
                <w:numId w:val="138"/>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Falta de atenção</w:t>
            </w:r>
          </w:p>
          <w:p w14:paraId="004B7663" w14:textId="77777777" w:rsidR="00B31AE2" w:rsidRPr="00292532" w:rsidRDefault="00B31AE2" w:rsidP="00AE14AE">
            <w:pPr>
              <w:numPr>
                <w:ilvl w:val="0"/>
                <w:numId w:val="138"/>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Segurança com veículos</w:t>
            </w:r>
          </w:p>
          <w:p w14:paraId="6A095994" w14:textId="77777777" w:rsidR="00B31AE2" w:rsidRPr="00292532" w:rsidRDefault="00B31AE2" w:rsidP="00AE14AE">
            <w:pPr>
              <w:numPr>
                <w:ilvl w:val="0"/>
                <w:numId w:val="138"/>
              </w:numPr>
              <w:spacing w:before="100" w:beforeAutospacing="1" w:after="200" w:afterAutospacing="1" w:line="276" w:lineRule="auto"/>
              <w:contextualSpacing/>
              <w:rPr>
                <w:rFonts w:eastAsia="Calibri" w:cs="Times New Roman"/>
                <w:lang w:val="pt-PT"/>
              </w:rPr>
            </w:pPr>
            <w:proofErr w:type="spellStart"/>
            <w:r w:rsidRPr="00292532">
              <w:rPr>
                <w:rFonts w:eastAsia="Calibri" w:cs="Times New Roman"/>
                <w:lang w:val="pt-PT"/>
              </w:rPr>
              <w:t>Protecção</w:t>
            </w:r>
            <w:proofErr w:type="spellEnd"/>
            <w:r w:rsidRPr="00292532">
              <w:rPr>
                <w:rFonts w:eastAsia="Calibri" w:cs="Times New Roman"/>
                <w:lang w:val="pt-PT"/>
              </w:rPr>
              <w:t xml:space="preserve"> das mãos</w:t>
            </w:r>
          </w:p>
          <w:p w14:paraId="03BE63A7" w14:textId="77777777" w:rsidR="00B31AE2" w:rsidRPr="00292532" w:rsidRDefault="00B31AE2" w:rsidP="00AE14AE">
            <w:pPr>
              <w:numPr>
                <w:ilvl w:val="0"/>
                <w:numId w:val="138"/>
              </w:numPr>
              <w:spacing w:before="100" w:beforeAutospacing="1" w:after="200" w:afterAutospacing="1" w:line="276" w:lineRule="auto"/>
              <w:contextualSpacing/>
              <w:rPr>
                <w:rFonts w:eastAsia="Calibri" w:cs="Times New Roman"/>
                <w:lang w:val="pt-PT"/>
              </w:rPr>
            </w:pPr>
            <w:proofErr w:type="spellStart"/>
            <w:r w:rsidRPr="00292532">
              <w:rPr>
                <w:rFonts w:eastAsia="Calibri" w:cs="Times New Roman"/>
                <w:lang w:val="pt-PT"/>
              </w:rPr>
              <w:t>Protecção</w:t>
            </w:r>
            <w:proofErr w:type="spellEnd"/>
            <w:r w:rsidRPr="00292532">
              <w:rPr>
                <w:rFonts w:eastAsia="Calibri" w:cs="Times New Roman"/>
                <w:lang w:val="pt-PT"/>
              </w:rPr>
              <w:t xml:space="preserve"> ocular</w:t>
            </w:r>
          </w:p>
          <w:p w14:paraId="3A01BA36" w14:textId="77777777" w:rsidR="00B31AE2" w:rsidRPr="00292532" w:rsidRDefault="00B31AE2" w:rsidP="00AE14AE">
            <w:pPr>
              <w:numPr>
                <w:ilvl w:val="0"/>
                <w:numId w:val="138"/>
              </w:numPr>
              <w:spacing w:before="100" w:beforeAutospacing="1" w:after="200" w:afterAutospacing="1" w:line="276" w:lineRule="auto"/>
              <w:contextualSpacing/>
              <w:rPr>
                <w:rFonts w:eastAsia="Calibri" w:cs="Times New Roman"/>
                <w:lang w:val="pt-PT"/>
              </w:rPr>
            </w:pPr>
            <w:proofErr w:type="spellStart"/>
            <w:r w:rsidRPr="00292532">
              <w:rPr>
                <w:rFonts w:eastAsia="Calibri" w:cs="Times New Roman"/>
                <w:lang w:val="pt-PT"/>
              </w:rPr>
              <w:t>Protecção</w:t>
            </w:r>
            <w:proofErr w:type="spellEnd"/>
            <w:r w:rsidRPr="00292532">
              <w:rPr>
                <w:rFonts w:eastAsia="Calibri" w:cs="Times New Roman"/>
                <w:lang w:val="pt-PT"/>
              </w:rPr>
              <w:t xml:space="preserve"> facial</w:t>
            </w:r>
          </w:p>
          <w:p w14:paraId="6F517A76" w14:textId="77777777" w:rsidR="00B31AE2" w:rsidRPr="00292532" w:rsidRDefault="00B31AE2" w:rsidP="00AE14AE">
            <w:pPr>
              <w:numPr>
                <w:ilvl w:val="0"/>
                <w:numId w:val="138"/>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Primeiros socorros</w:t>
            </w:r>
          </w:p>
          <w:p w14:paraId="23D400B2" w14:textId="77777777" w:rsidR="00B31AE2" w:rsidRPr="00292532" w:rsidRDefault="00B31AE2" w:rsidP="00AE14AE">
            <w:pPr>
              <w:numPr>
                <w:ilvl w:val="0"/>
                <w:numId w:val="138"/>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 xml:space="preserve">Equipamentos e roupas de </w:t>
            </w:r>
            <w:proofErr w:type="spellStart"/>
            <w:r w:rsidRPr="00292532">
              <w:rPr>
                <w:rFonts w:eastAsia="Calibri" w:cs="Times New Roman"/>
                <w:lang w:val="pt-PT"/>
              </w:rPr>
              <w:t>protecção</w:t>
            </w:r>
            <w:proofErr w:type="spellEnd"/>
          </w:p>
          <w:p w14:paraId="172B8203" w14:textId="77777777" w:rsidR="00B31AE2" w:rsidRPr="00292532" w:rsidRDefault="00B31AE2" w:rsidP="00AE14AE">
            <w:pPr>
              <w:numPr>
                <w:ilvl w:val="0"/>
                <w:numId w:val="138"/>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Condições inseguras</w:t>
            </w:r>
          </w:p>
          <w:p w14:paraId="7B275C4B" w14:textId="77777777" w:rsidR="00B31AE2" w:rsidRPr="00292532" w:rsidRDefault="00B31AE2" w:rsidP="00AE14AE">
            <w:pPr>
              <w:numPr>
                <w:ilvl w:val="0"/>
                <w:numId w:val="138"/>
              </w:numPr>
              <w:spacing w:before="100" w:beforeAutospacing="1" w:after="200" w:afterAutospacing="1" w:line="276" w:lineRule="auto"/>
              <w:contextualSpacing/>
              <w:rPr>
                <w:rFonts w:eastAsia="Calibri" w:cs="Times New Roman"/>
                <w:lang w:val="pt-PT"/>
              </w:rPr>
            </w:pPr>
            <w:proofErr w:type="spellStart"/>
            <w:r w:rsidRPr="00292532">
              <w:rPr>
                <w:rFonts w:eastAsia="Calibri" w:cs="Times New Roman"/>
                <w:lang w:val="pt-PT"/>
              </w:rPr>
              <w:t>Protecção</w:t>
            </w:r>
            <w:proofErr w:type="spellEnd"/>
            <w:r w:rsidRPr="00292532">
              <w:rPr>
                <w:rFonts w:eastAsia="Calibri" w:cs="Times New Roman"/>
                <w:lang w:val="pt-PT"/>
              </w:rPr>
              <w:t xml:space="preserve"> e prevenção de incêndio</w:t>
            </w:r>
          </w:p>
        </w:tc>
      </w:tr>
      <w:tr w:rsidR="00B31AE2" w:rsidRPr="00292532" w14:paraId="2E609A97" w14:textId="77777777" w:rsidTr="00B31AE2">
        <w:tc>
          <w:tcPr>
            <w:tcW w:w="1885" w:type="dxa"/>
          </w:tcPr>
          <w:p w14:paraId="6D8BD807" w14:textId="77777777" w:rsidR="00B31AE2" w:rsidRPr="00292532" w:rsidRDefault="00B31AE2" w:rsidP="00B31AE2">
            <w:pPr>
              <w:spacing w:after="200"/>
              <w:rPr>
                <w:rFonts w:eastAsia="Calibri" w:cs="Times New Roman"/>
                <w:lang w:val="pt-PT"/>
              </w:rPr>
            </w:pPr>
            <w:r w:rsidRPr="00292532">
              <w:rPr>
                <w:rFonts w:eastAsia="Calibri" w:cs="Times New Roman"/>
                <w:lang w:val="pt-PT"/>
              </w:rPr>
              <w:t>4 Meio Ambiente</w:t>
            </w:r>
          </w:p>
        </w:tc>
        <w:tc>
          <w:tcPr>
            <w:tcW w:w="7858" w:type="dxa"/>
          </w:tcPr>
          <w:p w14:paraId="28EB6ABF" w14:textId="77777777" w:rsidR="00B31AE2" w:rsidRPr="00292532" w:rsidRDefault="00B31AE2" w:rsidP="00AE14AE">
            <w:pPr>
              <w:numPr>
                <w:ilvl w:val="0"/>
                <w:numId w:val="139"/>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Gestão e minimização de resíduos</w:t>
            </w:r>
          </w:p>
          <w:p w14:paraId="6A6AF1EF" w14:textId="77777777" w:rsidR="00B31AE2" w:rsidRPr="00292532" w:rsidRDefault="00B31AE2" w:rsidP="00AE14AE">
            <w:pPr>
              <w:numPr>
                <w:ilvl w:val="0"/>
                <w:numId w:val="139"/>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Segregação de resíduos</w:t>
            </w:r>
          </w:p>
          <w:p w14:paraId="23D041C8" w14:textId="77777777" w:rsidR="00B31AE2" w:rsidRPr="00292532" w:rsidRDefault="00B31AE2" w:rsidP="00AE14AE">
            <w:pPr>
              <w:numPr>
                <w:ilvl w:val="0"/>
                <w:numId w:val="139"/>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Minimização do consumo de água e energia</w:t>
            </w:r>
          </w:p>
          <w:p w14:paraId="077854F9" w14:textId="77777777" w:rsidR="00B31AE2" w:rsidRPr="00292532" w:rsidRDefault="00B31AE2" w:rsidP="00AE14AE">
            <w:pPr>
              <w:numPr>
                <w:ilvl w:val="0"/>
                <w:numId w:val="139"/>
              </w:numPr>
              <w:spacing w:before="100" w:beforeAutospacing="1" w:after="200" w:afterAutospacing="1" w:line="276" w:lineRule="auto"/>
              <w:contextualSpacing/>
              <w:rPr>
                <w:rFonts w:eastAsia="Calibri" w:cs="Times New Roman"/>
                <w:lang w:val="pt-PT"/>
              </w:rPr>
            </w:pPr>
            <w:r w:rsidRPr="00292532">
              <w:rPr>
                <w:rFonts w:eastAsia="Calibri" w:cs="Times New Roman"/>
                <w:lang w:val="pt-PT"/>
              </w:rPr>
              <w:t>Efeitos de incêndios florestais</w:t>
            </w:r>
          </w:p>
        </w:tc>
      </w:tr>
    </w:tbl>
    <w:p w14:paraId="4B176D4B" w14:textId="77777777" w:rsidR="00B31AE2" w:rsidRPr="00292532" w:rsidRDefault="00B31AE2" w:rsidP="00B31AE2">
      <w:pPr>
        <w:spacing w:before="0" w:after="200" w:line="276" w:lineRule="auto"/>
        <w:rPr>
          <w:rFonts w:eastAsia="Calibri" w:cs="Calibri"/>
          <w:sz w:val="20"/>
          <w:szCs w:val="20"/>
          <w:lang w:val="pt-PT"/>
        </w:rPr>
      </w:pPr>
    </w:p>
    <w:p w14:paraId="458E6C3F" w14:textId="5EB0A014" w:rsidR="00B31AE2" w:rsidRPr="00292532" w:rsidRDefault="00B31AE2" w:rsidP="000D7B05">
      <w:pPr>
        <w:pStyle w:val="Title"/>
      </w:pPr>
      <w:r w:rsidRPr="00292532">
        <w:br w:type="page"/>
      </w:r>
    </w:p>
    <w:p w14:paraId="38FA0BFD" w14:textId="0DAF1B3E" w:rsidR="000615DB" w:rsidRPr="00292532" w:rsidRDefault="000615DB" w:rsidP="000D7B05">
      <w:pPr>
        <w:pStyle w:val="Title"/>
      </w:pPr>
    </w:p>
    <w:p w14:paraId="1C1A1172" w14:textId="77777777" w:rsidR="000615DB" w:rsidRPr="00292532" w:rsidRDefault="000615DB" w:rsidP="000D7B05">
      <w:pPr>
        <w:pStyle w:val="Title"/>
      </w:pPr>
      <w:r w:rsidRPr="00292532">
        <w:t>Anexo 10</w:t>
      </w:r>
    </w:p>
    <w:p w14:paraId="2F1C0AA5" w14:textId="77777777" w:rsidR="000615DB" w:rsidRPr="00292532" w:rsidRDefault="000615DB" w:rsidP="000615DB">
      <w:pPr>
        <w:pStyle w:val="Heading1"/>
        <w:numPr>
          <w:ilvl w:val="0"/>
          <w:numId w:val="82"/>
        </w:numPr>
        <w:rPr>
          <w:rFonts w:eastAsia="Times New Roman"/>
          <w:lang w:val="pt-PT"/>
        </w:rPr>
      </w:pPr>
      <w:bookmarkStart w:id="1274" w:name="_Toc78435517"/>
      <w:bookmarkStart w:id="1275" w:name="_Toc80380183"/>
      <w:proofErr w:type="spellStart"/>
      <w:r w:rsidRPr="00292532">
        <w:rPr>
          <w:rFonts w:eastAsia="Times New Roman"/>
          <w:lang w:val="pt-PT"/>
        </w:rPr>
        <w:t>Directrizes</w:t>
      </w:r>
      <w:proofErr w:type="spellEnd"/>
      <w:r w:rsidRPr="00292532">
        <w:rPr>
          <w:rFonts w:eastAsia="Times New Roman"/>
          <w:lang w:val="pt-PT"/>
        </w:rPr>
        <w:t xml:space="preserve"> de Gestão do Tráfego Rodoviário</w:t>
      </w:r>
      <w:bookmarkEnd w:id="1274"/>
      <w:bookmarkEnd w:id="1275"/>
      <w:r w:rsidRPr="00292532">
        <w:rPr>
          <w:rFonts w:eastAsia="Times New Roman"/>
          <w:lang w:val="pt-PT"/>
        </w:rPr>
        <w:t xml:space="preserve"> </w:t>
      </w:r>
    </w:p>
    <w:p w14:paraId="61D139AD" w14:textId="77777777" w:rsidR="000615DB" w:rsidRPr="00292532" w:rsidRDefault="000615DB" w:rsidP="000615DB">
      <w:pPr>
        <w:pStyle w:val="Heading2"/>
      </w:pPr>
      <w:bookmarkStart w:id="1276" w:name="_Toc78435518"/>
      <w:bookmarkStart w:id="1277" w:name="_Toc80380184"/>
      <w:r w:rsidRPr="00292532">
        <w:t>Aplicabilidade</w:t>
      </w:r>
      <w:bookmarkEnd w:id="1276"/>
      <w:bookmarkEnd w:id="1277"/>
    </w:p>
    <w:p w14:paraId="329E849B" w14:textId="77777777" w:rsidR="000615DB" w:rsidRPr="00292532" w:rsidRDefault="000615DB" w:rsidP="000615DB">
      <w:pPr>
        <w:rPr>
          <w:lang w:val="pt-PT" w:eastAsia="ja-JP"/>
        </w:rPr>
      </w:pPr>
      <w:r w:rsidRPr="00292532">
        <w:rPr>
          <w:lang w:val="pt-PT" w:eastAsia="ja-JP"/>
        </w:rPr>
        <w:t xml:space="preserve">Estas </w:t>
      </w:r>
      <w:proofErr w:type="spellStart"/>
      <w:r w:rsidRPr="00292532">
        <w:rPr>
          <w:lang w:val="pt-PT" w:eastAsia="ja-JP"/>
        </w:rPr>
        <w:t>directrizes</w:t>
      </w:r>
      <w:proofErr w:type="spellEnd"/>
      <w:r w:rsidRPr="00292532">
        <w:rPr>
          <w:lang w:val="pt-PT" w:eastAsia="ja-JP"/>
        </w:rPr>
        <w:t xml:space="preserve"> são aplicáveis a todos os veículos envolvidos no </w:t>
      </w:r>
      <w:proofErr w:type="spellStart"/>
      <w:r w:rsidRPr="00292532">
        <w:rPr>
          <w:lang w:val="pt-PT" w:eastAsia="ja-JP"/>
        </w:rPr>
        <w:t>Projecto</w:t>
      </w:r>
      <w:proofErr w:type="spellEnd"/>
      <w:r w:rsidRPr="00292532">
        <w:rPr>
          <w:lang w:val="pt-PT" w:eastAsia="ja-JP"/>
        </w:rPr>
        <w:t xml:space="preserve">, quer pertencentes às instituições </w:t>
      </w:r>
      <w:proofErr w:type="spellStart"/>
      <w:r w:rsidRPr="00292532">
        <w:rPr>
          <w:lang w:val="pt-PT" w:eastAsia="ja-JP"/>
        </w:rPr>
        <w:t>directamente</w:t>
      </w:r>
      <w:proofErr w:type="spellEnd"/>
      <w:r w:rsidRPr="00292532">
        <w:rPr>
          <w:lang w:val="pt-PT" w:eastAsia="ja-JP"/>
        </w:rPr>
        <w:t xml:space="preserve"> envolvidas na implementação do </w:t>
      </w:r>
      <w:proofErr w:type="spellStart"/>
      <w:r w:rsidRPr="00292532">
        <w:rPr>
          <w:lang w:val="pt-PT" w:eastAsia="ja-JP"/>
        </w:rPr>
        <w:t>Projecto</w:t>
      </w:r>
      <w:proofErr w:type="spellEnd"/>
      <w:r w:rsidRPr="00292532">
        <w:rPr>
          <w:lang w:val="pt-PT" w:eastAsia="ja-JP"/>
        </w:rPr>
        <w:t xml:space="preserve"> (AIAS; DNAAS; AURA; </w:t>
      </w:r>
      <w:proofErr w:type="spellStart"/>
      <w:r w:rsidRPr="00292532">
        <w:rPr>
          <w:lang w:val="pt-PT" w:eastAsia="ja-JP"/>
        </w:rPr>
        <w:t>DPOPs</w:t>
      </w:r>
      <w:proofErr w:type="spellEnd"/>
      <w:r w:rsidRPr="00292532">
        <w:rPr>
          <w:lang w:val="pt-PT" w:eastAsia="ja-JP"/>
        </w:rPr>
        <w:t xml:space="preserve">), as empresas contratadas. Recomenda-se que as medidas e recomendações contidas neste plano sejam disseminadas para as autoridades que estarão envolvidas em algumas </w:t>
      </w:r>
      <w:proofErr w:type="spellStart"/>
      <w:r w:rsidRPr="00292532">
        <w:rPr>
          <w:lang w:val="pt-PT" w:eastAsia="ja-JP"/>
        </w:rPr>
        <w:t>actividades</w:t>
      </w:r>
      <w:proofErr w:type="spellEnd"/>
      <w:r w:rsidRPr="00292532">
        <w:rPr>
          <w:lang w:val="pt-PT" w:eastAsia="ja-JP"/>
        </w:rPr>
        <w:t xml:space="preserve"> do </w:t>
      </w:r>
      <w:proofErr w:type="spellStart"/>
      <w:r w:rsidRPr="00292532">
        <w:rPr>
          <w:lang w:val="pt-PT" w:eastAsia="ja-JP"/>
        </w:rPr>
        <w:t>Projecto</w:t>
      </w:r>
      <w:proofErr w:type="spellEnd"/>
      <w:r w:rsidRPr="00292532">
        <w:rPr>
          <w:lang w:val="pt-PT" w:eastAsia="ja-JP"/>
        </w:rPr>
        <w:t>, Serviços Provinciais do Ambiente, Administração dos Distritos.</w:t>
      </w:r>
    </w:p>
    <w:p w14:paraId="0651F139" w14:textId="77777777" w:rsidR="000615DB" w:rsidRPr="00292532" w:rsidRDefault="000615DB" w:rsidP="000615DB">
      <w:pPr>
        <w:rPr>
          <w:lang w:val="pt-PT" w:eastAsia="ja-JP"/>
        </w:rPr>
      </w:pPr>
    </w:p>
    <w:p w14:paraId="109FD30E" w14:textId="77777777" w:rsidR="000615DB" w:rsidRPr="00292532" w:rsidRDefault="000615DB" w:rsidP="000615DB">
      <w:pPr>
        <w:pStyle w:val="Heading2"/>
      </w:pPr>
      <w:bookmarkStart w:id="1278" w:name="_Toc78435519"/>
      <w:bookmarkStart w:id="1279" w:name="_Toc80380185"/>
      <w:r w:rsidRPr="00292532">
        <w:t>Principais Riscos e Perigos Rodoviários</w:t>
      </w:r>
      <w:bookmarkEnd w:id="1278"/>
      <w:bookmarkEnd w:id="1279"/>
      <w:r w:rsidRPr="00292532">
        <w:t xml:space="preserve"> </w:t>
      </w:r>
    </w:p>
    <w:p w14:paraId="5E706E2A" w14:textId="77777777" w:rsidR="000615DB" w:rsidRPr="00292532" w:rsidRDefault="000615DB" w:rsidP="000615DB">
      <w:pPr>
        <w:ind w:left="360" w:hanging="360"/>
        <w:rPr>
          <w:lang w:val="pt-PT" w:eastAsia="ja-JP"/>
        </w:rPr>
      </w:pPr>
      <w:r w:rsidRPr="00292532">
        <w:rPr>
          <w:lang w:val="pt-PT" w:eastAsia="ja-JP"/>
        </w:rPr>
        <w:t xml:space="preserve">Os principais riscos e perigos nas rodovias, relevantes para o </w:t>
      </w:r>
      <w:proofErr w:type="spellStart"/>
      <w:r w:rsidRPr="00292532">
        <w:rPr>
          <w:lang w:val="pt-PT" w:eastAsia="ja-JP"/>
        </w:rPr>
        <w:t>Projecto</w:t>
      </w:r>
      <w:proofErr w:type="spellEnd"/>
      <w:r w:rsidRPr="00292532">
        <w:rPr>
          <w:lang w:val="pt-PT" w:eastAsia="ja-JP"/>
        </w:rPr>
        <w:t xml:space="preserve"> são os seguintes: </w:t>
      </w:r>
    </w:p>
    <w:p w14:paraId="1A3F364C" w14:textId="77777777" w:rsidR="000615DB" w:rsidRPr="00292532" w:rsidRDefault="000615DB" w:rsidP="000615DB">
      <w:pPr>
        <w:pStyle w:val="ListParagraph"/>
        <w:numPr>
          <w:ilvl w:val="0"/>
          <w:numId w:val="83"/>
        </w:numPr>
        <w:rPr>
          <w:lang w:val="pt-PT" w:eastAsia="ja-JP"/>
        </w:rPr>
      </w:pPr>
      <w:r w:rsidRPr="00292532">
        <w:rPr>
          <w:lang w:val="pt-PT" w:eastAsia="ja-JP"/>
        </w:rPr>
        <w:t xml:space="preserve">Acidentes devido a colisões envolvendo um ou mais veículos </w:t>
      </w:r>
    </w:p>
    <w:p w14:paraId="0612D0D0" w14:textId="77777777" w:rsidR="000615DB" w:rsidRPr="00292532" w:rsidRDefault="000615DB" w:rsidP="000615DB">
      <w:pPr>
        <w:pStyle w:val="ListParagraph"/>
        <w:numPr>
          <w:ilvl w:val="0"/>
          <w:numId w:val="83"/>
        </w:numPr>
        <w:rPr>
          <w:lang w:val="pt-PT" w:eastAsia="ja-JP"/>
        </w:rPr>
      </w:pPr>
      <w:r w:rsidRPr="00292532">
        <w:rPr>
          <w:lang w:val="pt-PT" w:eastAsia="ja-JP"/>
        </w:rPr>
        <w:t xml:space="preserve">Atropelamentos de pessoas, incluindo idosos e crianças </w:t>
      </w:r>
    </w:p>
    <w:p w14:paraId="1AE16ED1" w14:textId="77777777" w:rsidR="000615DB" w:rsidRPr="00292532" w:rsidRDefault="000615DB" w:rsidP="000615DB">
      <w:pPr>
        <w:pStyle w:val="ListParagraph"/>
        <w:numPr>
          <w:ilvl w:val="0"/>
          <w:numId w:val="83"/>
        </w:numPr>
        <w:rPr>
          <w:lang w:val="pt-PT" w:eastAsia="ja-JP"/>
        </w:rPr>
      </w:pPr>
      <w:r w:rsidRPr="00292532">
        <w:rPr>
          <w:lang w:val="pt-PT" w:eastAsia="ja-JP"/>
        </w:rPr>
        <w:t xml:space="preserve">Atropelamento de fauna </w:t>
      </w:r>
    </w:p>
    <w:p w14:paraId="556504B1" w14:textId="77777777" w:rsidR="000615DB" w:rsidRPr="00292532" w:rsidRDefault="000615DB" w:rsidP="000615DB">
      <w:pPr>
        <w:pStyle w:val="ListParagraph"/>
        <w:numPr>
          <w:ilvl w:val="0"/>
          <w:numId w:val="83"/>
        </w:numPr>
        <w:rPr>
          <w:lang w:val="pt-PT" w:eastAsia="ja-JP"/>
        </w:rPr>
      </w:pPr>
      <w:r w:rsidRPr="00292532">
        <w:rPr>
          <w:lang w:val="pt-PT" w:eastAsia="ja-JP"/>
        </w:rPr>
        <w:t xml:space="preserve">Existência de estradas e vias de acesso danificadas e deterioradas </w:t>
      </w:r>
    </w:p>
    <w:p w14:paraId="1F71E00E" w14:textId="77777777" w:rsidR="000615DB" w:rsidRPr="00292532" w:rsidRDefault="000615DB" w:rsidP="000615DB">
      <w:pPr>
        <w:pStyle w:val="ListParagraph"/>
        <w:numPr>
          <w:ilvl w:val="0"/>
          <w:numId w:val="83"/>
        </w:numPr>
        <w:rPr>
          <w:lang w:val="pt-PT" w:eastAsia="ja-JP"/>
        </w:rPr>
      </w:pPr>
      <w:r w:rsidRPr="00292532">
        <w:rPr>
          <w:lang w:val="pt-PT" w:eastAsia="ja-JP"/>
        </w:rPr>
        <w:t xml:space="preserve">Fraca visibilidade e falta de iluminação </w:t>
      </w:r>
    </w:p>
    <w:p w14:paraId="6EAD462F" w14:textId="77777777" w:rsidR="000615DB" w:rsidRPr="00292532" w:rsidRDefault="000615DB" w:rsidP="000615DB">
      <w:pPr>
        <w:pStyle w:val="ListParagraph"/>
        <w:numPr>
          <w:ilvl w:val="0"/>
          <w:numId w:val="83"/>
        </w:numPr>
        <w:rPr>
          <w:lang w:val="pt-PT" w:eastAsia="ja-JP"/>
        </w:rPr>
      </w:pPr>
      <w:r w:rsidRPr="00292532">
        <w:rPr>
          <w:lang w:val="pt-PT" w:eastAsia="ja-JP"/>
        </w:rPr>
        <w:t>Emissão de ruído</w:t>
      </w:r>
    </w:p>
    <w:p w14:paraId="086A75C2" w14:textId="77777777" w:rsidR="000615DB" w:rsidRPr="00292532" w:rsidRDefault="000615DB" w:rsidP="000615DB">
      <w:pPr>
        <w:pStyle w:val="ListParagraph"/>
        <w:numPr>
          <w:ilvl w:val="0"/>
          <w:numId w:val="83"/>
        </w:numPr>
        <w:rPr>
          <w:lang w:val="pt-PT" w:eastAsia="ja-JP"/>
        </w:rPr>
      </w:pPr>
      <w:r w:rsidRPr="00292532">
        <w:rPr>
          <w:lang w:val="pt-PT" w:eastAsia="ja-JP"/>
        </w:rPr>
        <w:t xml:space="preserve">Emissão de poeiras, devida a suspensão de material durante o movimento dos veículos </w:t>
      </w:r>
    </w:p>
    <w:p w14:paraId="7734508A" w14:textId="77777777" w:rsidR="000615DB" w:rsidRPr="00292532" w:rsidRDefault="000615DB" w:rsidP="000615DB">
      <w:pPr>
        <w:pStyle w:val="ListParagraph"/>
        <w:numPr>
          <w:ilvl w:val="0"/>
          <w:numId w:val="83"/>
        </w:numPr>
        <w:rPr>
          <w:lang w:val="pt-PT" w:eastAsia="ja-JP"/>
        </w:rPr>
      </w:pPr>
      <w:r w:rsidRPr="00292532">
        <w:rPr>
          <w:lang w:val="pt-PT" w:eastAsia="ja-JP"/>
        </w:rPr>
        <w:t xml:space="preserve">Quedas de materiais durante o transporte </w:t>
      </w:r>
    </w:p>
    <w:p w14:paraId="2D02BFC3" w14:textId="77777777" w:rsidR="000615DB" w:rsidRPr="00292532" w:rsidRDefault="000615DB" w:rsidP="000615DB">
      <w:pPr>
        <w:pStyle w:val="ListParagraph"/>
        <w:numPr>
          <w:ilvl w:val="0"/>
          <w:numId w:val="83"/>
        </w:numPr>
        <w:rPr>
          <w:lang w:val="pt-PT" w:eastAsia="ja-JP"/>
        </w:rPr>
      </w:pPr>
      <w:r w:rsidRPr="00292532">
        <w:rPr>
          <w:lang w:val="pt-PT" w:eastAsia="ja-JP"/>
        </w:rPr>
        <w:t xml:space="preserve">Derrames de combustíveis devido à colisões e avarias dos veículos. </w:t>
      </w:r>
    </w:p>
    <w:p w14:paraId="5D83589B" w14:textId="77777777" w:rsidR="000615DB" w:rsidRPr="00292532" w:rsidRDefault="000615DB" w:rsidP="000615DB">
      <w:pPr>
        <w:pStyle w:val="ListParagraph"/>
        <w:numPr>
          <w:ilvl w:val="0"/>
          <w:numId w:val="0"/>
        </w:numPr>
        <w:ind w:left="720"/>
        <w:rPr>
          <w:lang w:val="pt-PT" w:eastAsia="ja-JP"/>
        </w:rPr>
      </w:pPr>
    </w:p>
    <w:p w14:paraId="12EB1810" w14:textId="77777777" w:rsidR="000615DB" w:rsidRPr="00292532" w:rsidRDefault="000615DB" w:rsidP="000615DB">
      <w:pPr>
        <w:pStyle w:val="Heading2"/>
      </w:pPr>
      <w:bookmarkStart w:id="1280" w:name="_Toc78435520"/>
      <w:bookmarkStart w:id="1281" w:name="_Toc80380186"/>
      <w:r w:rsidRPr="00292532">
        <w:t>Planeamento de Viagens</w:t>
      </w:r>
      <w:bookmarkEnd w:id="1280"/>
      <w:bookmarkEnd w:id="1281"/>
      <w:r w:rsidRPr="00292532">
        <w:t xml:space="preserve">  </w:t>
      </w:r>
    </w:p>
    <w:p w14:paraId="6006EAE9" w14:textId="77777777" w:rsidR="000615DB" w:rsidRPr="00292532" w:rsidRDefault="000615DB" w:rsidP="000615DB">
      <w:pPr>
        <w:rPr>
          <w:lang w:val="pt-PT" w:eastAsia="ja-JP"/>
        </w:rPr>
      </w:pPr>
      <w:r w:rsidRPr="00292532">
        <w:rPr>
          <w:lang w:val="pt-PT" w:eastAsia="ja-JP"/>
        </w:rPr>
        <w:t xml:space="preserve">Como forma de prevenir acidentes rodoviários as viagens e circulação de veículos devem ser devidamente planeadas tendo em conta os seguintes princípios: </w:t>
      </w:r>
    </w:p>
    <w:p w14:paraId="046EE954" w14:textId="77777777" w:rsidR="000615DB" w:rsidRPr="00292532" w:rsidRDefault="000615DB" w:rsidP="000615DB">
      <w:pPr>
        <w:pStyle w:val="ListParagraph"/>
        <w:numPr>
          <w:ilvl w:val="0"/>
          <w:numId w:val="84"/>
        </w:numPr>
        <w:rPr>
          <w:lang w:val="pt-PT" w:eastAsia="ja-JP"/>
        </w:rPr>
      </w:pPr>
      <w:r w:rsidRPr="00292532">
        <w:rPr>
          <w:lang w:val="pt-PT" w:eastAsia="ja-JP"/>
        </w:rPr>
        <w:t xml:space="preserve">Identificação das rotas a serem priorizadas durante a circulação assim como rotas a serem evitadas </w:t>
      </w:r>
    </w:p>
    <w:p w14:paraId="2DF9F895" w14:textId="77777777" w:rsidR="000615DB" w:rsidRPr="00292532" w:rsidRDefault="000615DB" w:rsidP="000615DB">
      <w:pPr>
        <w:pStyle w:val="ListParagraph"/>
        <w:numPr>
          <w:ilvl w:val="0"/>
          <w:numId w:val="84"/>
        </w:numPr>
        <w:rPr>
          <w:lang w:val="pt-PT" w:eastAsia="ja-JP"/>
        </w:rPr>
      </w:pPr>
      <w:r w:rsidRPr="00292532">
        <w:rPr>
          <w:lang w:val="pt-PT" w:eastAsia="ja-JP"/>
        </w:rPr>
        <w:t xml:space="preserve">Fazer uma avaliação de riscos das principais rotas a serem utilizados pelos veículos dos </w:t>
      </w:r>
      <w:proofErr w:type="spellStart"/>
      <w:r w:rsidRPr="00292532">
        <w:rPr>
          <w:lang w:val="pt-PT" w:eastAsia="ja-JP"/>
        </w:rPr>
        <w:t>Projectos</w:t>
      </w:r>
      <w:proofErr w:type="spellEnd"/>
      <w:r w:rsidRPr="00292532">
        <w:rPr>
          <w:lang w:val="pt-PT" w:eastAsia="ja-JP"/>
        </w:rPr>
        <w:t xml:space="preserve"> com a finalidade de identificar novos riscos (estradas danificadas, troços rompidos), zonas com escolas e unidades sanitárias, identificar medidas de mitigação adicionais (p.e. limites de velocidade mais exigentes do que os prescritos legalmente)</w:t>
      </w:r>
    </w:p>
    <w:p w14:paraId="69C24764" w14:textId="77777777" w:rsidR="000615DB" w:rsidRPr="00292532" w:rsidRDefault="000615DB" w:rsidP="000615DB">
      <w:pPr>
        <w:pStyle w:val="ListParagraph"/>
        <w:numPr>
          <w:ilvl w:val="0"/>
          <w:numId w:val="84"/>
        </w:numPr>
        <w:rPr>
          <w:lang w:val="pt-PT" w:eastAsia="ja-JP"/>
        </w:rPr>
      </w:pPr>
      <w:r w:rsidRPr="00292532">
        <w:rPr>
          <w:lang w:val="pt-PT" w:eastAsia="ja-JP"/>
        </w:rPr>
        <w:t xml:space="preserve">Consciencializar os motoristas sobre os riscos e níveis de atenção necessários em certos troços ou locais (próximos de escolas, unidades sanitárias), </w:t>
      </w:r>
    </w:p>
    <w:p w14:paraId="5D39AA4F" w14:textId="77777777" w:rsidR="000615DB" w:rsidRPr="00292532" w:rsidRDefault="000615DB" w:rsidP="000615DB">
      <w:pPr>
        <w:pStyle w:val="ListParagraph"/>
        <w:numPr>
          <w:ilvl w:val="0"/>
          <w:numId w:val="84"/>
        </w:numPr>
        <w:rPr>
          <w:lang w:val="pt-PT" w:eastAsia="ja-JP"/>
        </w:rPr>
      </w:pPr>
      <w:r w:rsidRPr="00292532">
        <w:rPr>
          <w:lang w:val="pt-PT" w:eastAsia="ja-JP"/>
        </w:rPr>
        <w:t xml:space="preserve">Definir limites de velocidade a serem seguidos pelo </w:t>
      </w:r>
      <w:proofErr w:type="spellStart"/>
      <w:r w:rsidRPr="00292532">
        <w:rPr>
          <w:lang w:val="pt-PT" w:eastAsia="ja-JP"/>
        </w:rPr>
        <w:t>projecto</w:t>
      </w:r>
      <w:proofErr w:type="spellEnd"/>
      <w:r w:rsidRPr="00292532">
        <w:rPr>
          <w:lang w:val="pt-PT" w:eastAsia="ja-JP"/>
        </w:rPr>
        <w:t xml:space="preserve"> em conformidade com a lei e proporcional aos potenciais riscos</w:t>
      </w:r>
    </w:p>
    <w:p w14:paraId="08477085" w14:textId="77777777" w:rsidR="000615DB" w:rsidRPr="00292532" w:rsidRDefault="000615DB" w:rsidP="000615DB">
      <w:pPr>
        <w:pStyle w:val="ListParagraph"/>
        <w:numPr>
          <w:ilvl w:val="0"/>
          <w:numId w:val="84"/>
        </w:numPr>
        <w:rPr>
          <w:lang w:val="pt-PT" w:eastAsia="ja-JP"/>
        </w:rPr>
      </w:pPr>
      <w:r w:rsidRPr="00292532">
        <w:rPr>
          <w:lang w:val="pt-PT" w:eastAsia="ja-JP"/>
        </w:rPr>
        <w:t xml:space="preserve">Maximização das viagens, </w:t>
      </w:r>
      <w:proofErr w:type="gramStart"/>
      <w:r w:rsidRPr="00292532">
        <w:rPr>
          <w:lang w:val="pt-PT" w:eastAsia="ja-JP"/>
        </w:rPr>
        <w:t>i.e.</w:t>
      </w:r>
      <w:proofErr w:type="gramEnd"/>
      <w:r w:rsidRPr="00292532">
        <w:rPr>
          <w:lang w:val="pt-PT" w:eastAsia="ja-JP"/>
        </w:rPr>
        <w:t xml:space="preserve"> utilizar a mesma viagem para vários fins, sempre que possível e viável</w:t>
      </w:r>
    </w:p>
    <w:p w14:paraId="37B44D4C" w14:textId="77777777" w:rsidR="000615DB" w:rsidRPr="00292532" w:rsidRDefault="000615DB" w:rsidP="000615DB">
      <w:pPr>
        <w:pStyle w:val="ListParagraph"/>
        <w:numPr>
          <w:ilvl w:val="0"/>
          <w:numId w:val="84"/>
        </w:numPr>
        <w:rPr>
          <w:lang w:val="pt-PT" w:eastAsia="ja-JP"/>
        </w:rPr>
      </w:pPr>
      <w:r w:rsidRPr="00292532">
        <w:rPr>
          <w:lang w:val="pt-PT" w:eastAsia="ja-JP"/>
        </w:rPr>
        <w:t>Evitar ao máximo a circulação de veículos no período noturno</w:t>
      </w:r>
    </w:p>
    <w:p w14:paraId="1B06322E" w14:textId="77777777" w:rsidR="000615DB" w:rsidRPr="00292532" w:rsidRDefault="000615DB" w:rsidP="000615DB">
      <w:pPr>
        <w:pStyle w:val="ListParagraph"/>
        <w:numPr>
          <w:ilvl w:val="0"/>
          <w:numId w:val="84"/>
        </w:numPr>
        <w:rPr>
          <w:lang w:val="pt-PT" w:eastAsia="ja-JP"/>
        </w:rPr>
      </w:pPr>
      <w:r w:rsidRPr="00292532">
        <w:rPr>
          <w:lang w:val="pt-PT" w:eastAsia="ja-JP"/>
        </w:rPr>
        <w:lastRenderedPageBreak/>
        <w:t>Priorizar o uso de vias com estradas mais largas e pavimentadas, evitar o máximo a utilização de trilhos (especialmente para fins de redução de distâncias)</w:t>
      </w:r>
    </w:p>
    <w:p w14:paraId="57BFD2D2" w14:textId="77777777" w:rsidR="000615DB" w:rsidRPr="00292532" w:rsidRDefault="000615DB" w:rsidP="000615DB">
      <w:pPr>
        <w:pStyle w:val="ListParagraph"/>
        <w:numPr>
          <w:ilvl w:val="0"/>
          <w:numId w:val="84"/>
        </w:numPr>
        <w:rPr>
          <w:lang w:val="pt-PT" w:eastAsia="ja-JP"/>
        </w:rPr>
      </w:pPr>
      <w:r w:rsidRPr="00292532">
        <w:rPr>
          <w:lang w:val="pt-PT" w:eastAsia="ja-JP"/>
        </w:rPr>
        <w:t>Recomendar que estejam sempre presentes no mínimo duas pessoas nos veículos</w:t>
      </w:r>
    </w:p>
    <w:p w14:paraId="7507A065" w14:textId="77777777" w:rsidR="000615DB" w:rsidRPr="00292532" w:rsidRDefault="000615DB" w:rsidP="000615DB">
      <w:pPr>
        <w:pStyle w:val="ListParagraph"/>
        <w:numPr>
          <w:ilvl w:val="0"/>
          <w:numId w:val="84"/>
        </w:numPr>
        <w:rPr>
          <w:lang w:val="pt-PT" w:eastAsia="ja-JP"/>
        </w:rPr>
      </w:pPr>
      <w:r w:rsidRPr="00292532">
        <w:rPr>
          <w:lang w:val="pt-PT" w:eastAsia="ja-JP"/>
        </w:rPr>
        <w:t xml:space="preserve">Recomendar que </w:t>
      </w:r>
      <w:proofErr w:type="spellStart"/>
      <w:r w:rsidRPr="00292532">
        <w:rPr>
          <w:lang w:val="pt-PT" w:eastAsia="ja-JP"/>
        </w:rPr>
        <w:t>inspecções</w:t>
      </w:r>
      <w:proofErr w:type="spellEnd"/>
      <w:r w:rsidRPr="00292532">
        <w:rPr>
          <w:lang w:val="pt-PT" w:eastAsia="ja-JP"/>
        </w:rPr>
        <w:t xml:space="preserve"> rápidas aos veículos pelos condutores antes da primeira viagem da jornada. Estas podem ser feitas com base numa lista de verificação para identificar potenciais riscos (condições dos pneus), avarias (fugas), presença de repteis ou outros animas por baixo dos veículos, etc. </w:t>
      </w:r>
    </w:p>
    <w:p w14:paraId="40A1484A" w14:textId="77777777" w:rsidR="000615DB" w:rsidRPr="00292532" w:rsidRDefault="000615DB" w:rsidP="000615DB">
      <w:pPr>
        <w:pStyle w:val="ListParagraph"/>
        <w:numPr>
          <w:ilvl w:val="0"/>
          <w:numId w:val="84"/>
        </w:numPr>
        <w:rPr>
          <w:lang w:val="pt-PT" w:eastAsia="ja-JP"/>
        </w:rPr>
      </w:pPr>
      <w:r w:rsidRPr="00292532">
        <w:rPr>
          <w:lang w:val="pt-PT" w:eastAsia="ja-JP"/>
        </w:rPr>
        <w:t xml:space="preserve">Planeamento cuidadoso de viagens consideradas de alto risco e definição de medidas especificas (p.e. o transporte de materiais perigosos deve ser acompanhado por kits para contenção de potenciais derrames e limpeza, inventário do material transporto e Ficha de dados de segurança dos materiais transportados). </w:t>
      </w:r>
    </w:p>
    <w:p w14:paraId="065F13A1" w14:textId="77777777" w:rsidR="000615DB" w:rsidRPr="00292532" w:rsidRDefault="000615DB" w:rsidP="000615DB">
      <w:pPr>
        <w:pStyle w:val="Heading2"/>
      </w:pPr>
      <w:bookmarkStart w:id="1282" w:name="_Toc78435521"/>
      <w:bookmarkStart w:id="1283" w:name="_Toc80380187"/>
      <w:r w:rsidRPr="00292532">
        <w:t>Medidas de Prevenção de Acidentes Rodoviários</w:t>
      </w:r>
      <w:bookmarkEnd w:id="1282"/>
      <w:bookmarkEnd w:id="1283"/>
      <w:r w:rsidRPr="00292532">
        <w:t xml:space="preserve"> </w:t>
      </w:r>
    </w:p>
    <w:p w14:paraId="0880CBAD" w14:textId="77777777" w:rsidR="000615DB" w:rsidRPr="00292532" w:rsidRDefault="000615DB" w:rsidP="000615DB">
      <w:pPr>
        <w:pStyle w:val="ListParagraph"/>
        <w:numPr>
          <w:ilvl w:val="0"/>
          <w:numId w:val="84"/>
        </w:numPr>
        <w:rPr>
          <w:lang w:val="pt-PT" w:eastAsia="ja-JP"/>
        </w:rPr>
      </w:pPr>
      <w:r w:rsidRPr="00292532">
        <w:rPr>
          <w:lang w:val="pt-PT" w:eastAsia="ja-JP"/>
        </w:rPr>
        <w:t xml:space="preserve">Treinamento dos motoristas dos veículos em métodos de condução defensiva </w:t>
      </w:r>
    </w:p>
    <w:p w14:paraId="50126A90" w14:textId="77777777" w:rsidR="000615DB" w:rsidRPr="00292532" w:rsidRDefault="000615DB" w:rsidP="000615DB">
      <w:pPr>
        <w:pStyle w:val="ListParagraph"/>
        <w:numPr>
          <w:ilvl w:val="0"/>
          <w:numId w:val="84"/>
        </w:numPr>
        <w:rPr>
          <w:lang w:val="pt-PT" w:eastAsia="ja-JP"/>
        </w:rPr>
      </w:pPr>
      <w:r w:rsidRPr="00292532">
        <w:rPr>
          <w:lang w:val="pt-PT" w:eastAsia="ja-JP"/>
        </w:rPr>
        <w:t xml:space="preserve">Realização frequente de diálogos de segurança a abranger temas sobre riscos rodoviários </w:t>
      </w:r>
    </w:p>
    <w:p w14:paraId="6D8EF16C" w14:textId="77777777" w:rsidR="000615DB" w:rsidRPr="00292532" w:rsidRDefault="000615DB" w:rsidP="000615DB">
      <w:pPr>
        <w:pStyle w:val="ListParagraph"/>
        <w:numPr>
          <w:ilvl w:val="0"/>
          <w:numId w:val="84"/>
        </w:numPr>
        <w:rPr>
          <w:lang w:val="pt-PT" w:eastAsia="ja-JP"/>
        </w:rPr>
      </w:pPr>
      <w:r w:rsidRPr="00292532">
        <w:rPr>
          <w:lang w:val="pt-PT" w:eastAsia="ja-JP"/>
        </w:rPr>
        <w:t>Garantir a realização da manutenção periódica dos veículos</w:t>
      </w:r>
    </w:p>
    <w:p w14:paraId="1FD0B7A5" w14:textId="77777777" w:rsidR="000615DB" w:rsidRPr="00292532" w:rsidRDefault="000615DB" w:rsidP="000615DB">
      <w:pPr>
        <w:pStyle w:val="ListParagraph"/>
        <w:numPr>
          <w:ilvl w:val="0"/>
          <w:numId w:val="84"/>
        </w:numPr>
        <w:rPr>
          <w:lang w:val="pt-PT" w:eastAsia="ja-JP"/>
        </w:rPr>
      </w:pPr>
      <w:r w:rsidRPr="00292532">
        <w:rPr>
          <w:lang w:val="pt-PT" w:eastAsia="ja-JP"/>
        </w:rPr>
        <w:t xml:space="preserve">Estabelecer mecanismos de disciplinares para o não cumprimento das regras rodoviárias pelos trabalhadores </w:t>
      </w:r>
    </w:p>
    <w:p w14:paraId="2521EEB7" w14:textId="77777777" w:rsidR="000615DB" w:rsidRPr="00292532" w:rsidRDefault="000615DB" w:rsidP="000615DB">
      <w:pPr>
        <w:pStyle w:val="ListParagraph"/>
        <w:numPr>
          <w:ilvl w:val="0"/>
          <w:numId w:val="84"/>
        </w:numPr>
        <w:rPr>
          <w:lang w:val="pt-PT" w:eastAsia="ja-JP"/>
        </w:rPr>
      </w:pPr>
      <w:r w:rsidRPr="00292532">
        <w:rPr>
          <w:lang w:val="pt-PT" w:eastAsia="ja-JP"/>
        </w:rPr>
        <w:t xml:space="preserve">Disponibilizar nos veículos contactos de emergência em caso de acidentes </w:t>
      </w:r>
    </w:p>
    <w:p w14:paraId="21CF97AF" w14:textId="77777777" w:rsidR="000615DB" w:rsidRPr="00292532" w:rsidRDefault="000615DB" w:rsidP="000615DB">
      <w:pPr>
        <w:pStyle w:val="ListParagraph"/>
        <w:numPr>
          <w:ilvl w:val="0"/>
          <w:numId w:val="84"/>
        </w:numPr>
        <w:rPr>
          <w:lang w:val="pt-PT" w:eastAsia="ja-JP"/>
        </w:rPr>
      </w:pPr>
      <w:r w:rsidRPr="00292532">
        <w:rPr>
          <w:lang w:val="pt-PT" w:eastAsia="ja-JP"/>
        </w:rPr>
        <w:t>Estabelecer mecanismos de resposta a emergências aplicável a acidentes rodoviários</w:t>
      </w:r>
    </w:p>
    <w:p w14:paraId="33FAC6B4" w14:textId="77777777" w:rsidR="000615DB" w:rsidRPr="00292532" w:rsidRDefault="000615DB" w:rsidP="000615DB">
      <w:pPr>
        <w:pStyle w:val="ListParagraph"/>
        <w:numPr>
          <w:ilvl w:val="0"/>
          <w:numId w:val="0"/>
        </w:numPr>
        <w:ind w:left="720"/>
        <w:rPr>
          <w:lang w:val="pt-PT" w:eastAsia="ja-JP"/>
        </w:rPr>
      </w:pPr>
    </w:p>
    <w:p w14:paraId="36A5AEB9" w14:textId="77777777" w:rsidR="000615DB" w:rsidRPr="00292532" w:rsidRDefault="000615DB" w:rsidP="000615DB">
      <w:pPr>
        <w:pStyle w:val="Heading2"/>
      </w:pPr>
      <w:bookmarkStart w:id="1284" w:name="_Toc78435522"/>
      <w:bookmarkStart w:id="1285" w:name="_Toc80380188"/>
      <w:r w:rsidRPr="00292532">
        <w:t>Procedimentos a seguir em Caso de Ocorrência de Acidentes Rodoviários</w:t>
      </w:r>
      <w:bookmarkEnd w:id="1284"/>
      <w:bookmarkEnd w:id="1285"/>
      <w:r w:rsidRPr="00292532">
        <w:t xml:space="preserve"> </w:t>
      </w:r>
    </w:p>
    <w:p w14:paraId="0D2CC60D" w14:textId="77777777" w:rsidR="000615DB" w:rsidRPr="00292532" w:rsidRDefault="000615DB" w:rsidP="000615DB">
      <w:pPr>
        <w:rPr>
          <w:lang w:val="pt-PT" w:eastAsia="ja-JP"/>
        </w:rPr>
      </w:pPr>
      <w:r w:rsidRPr="00292532">
        <w:rPr>
          <w:lang w:val="pt-PT" w:eastAsia="ja-JP"/>
        </w:rPr>
        <w:t xml:space="preserve">No caso de ocorrência de acidentes rodoviários devem ser </w:t>
      </w:r>
      <w:proofErr w:type="spellStart"/>
      <w:r w:rsidRPr="00292532">
        <w:rPr>
          <w:lang w:val="pt-PT" w:eastAsia="ja-JP"/>
        </w:rPr>
        <w:t>activados</w:t>
      </w:r>
      <w:proofErr w:type="spellEnd"/>
      <w:r w:rsidRPr="00292532">
        <w:rPr>
          <w:lang w:val="pt-PT" w:eastAsia="ja-JP"/>
        </w:rPr>
        <w:t xml:space="preserve"> os mecanismos e meios necessários para dar resposta e garantir atendimento às vítimas e evacuação necessário. Destacam-se as seguintes medidas: </w:t>
      </w:r>
    </w:p>
    <w:p w14:paraId="09B6A835" w14:textId="74FE4FB0" w:rsidR="000615DB" w:rsidRPr="00292532" w:rsidRDefault="000615DB" w:rsidP="000615DB">
      <w:pPr>
        <w:pStyle w:val="ListParagraph"/>
        <w:numPr>
          <w:ilvl w:val="0"/>
          <w:numId w:val="85"/>
        </w:numPr>
        <w:rPr>
          <w:lang w:val="pt-PT" w:eastAsia="ja-JP"/>
        </w:rPr>
      </w:pPr>
      <w:proofErr w:type="spellStart"/>
      <w:r w:rsidRPr="00292532">
        <w:rPr>
          <w:lang w:val="pt-PT" w:eastAsia="ja-JP"/>
        </w:rPr>
        <w:t>Activar</w:t>
      </w:r>
      <w:proofErr w:type="spellEnd"/>
      <w:r w:rsidRPr="00292532">
        <w:rPr>
          <w:lang w:val="pt-PT" w:eastAsia="ja-JP"/>
        </w:rPr>
        <w:t xml:space="preserve"> imedia</w:t>
      </w:r>
      <w:r w:rsidR="00292532">
        <w:rPr>
          <w:lang w:val="pt-PT" w:eastAsia="ja-JP"/>
        </w:rPr>
        <w:t>ta</w:t>
      </w:r>
      <w:r w:rsidRPr="00292532">
        <w:rPr>
          <w:lang w:val="pt-PT" w:eastAsia="ja-JP"/>
        </w:rPr>
        <w:t xml:space="preserve">mente a equipa de emergência para procedimentos de evacuação e atendimento médico </w:t>
      </w:r>
    </w:p>
    <w:p w14:paraId="3F5FB7AB" w14:textId="77777777" w:rsidR="000615DB" w:rsidRPr="00292532" w:rsidRDefault="000615DB" w:rsidP="000615DB">
      <w:pPr>
        <w:pStyle w:val="ListParagraph"/>
        <w:numPr>
          <w:ilvl w:val="0"/>
          <w:numId w:val="85"/>
        </w:numPr>
        <w:rPr>
          <w:lang w:val="pt-PT" w:eastAsia="ja-JP"/>
        </w:rPr>
      </w:pPr>
      <w:r w:rsidRPr="00292532">
        <w:rPr>
          <w:lang w:val="pt-PT" w:eastAsia="ja-JP"/>
        </w:rPr>
        <w:t>Prestar o apoio necessário às vítimas pertencentes à comunidade e garantir comunicações necessárias</w:t>
      </w:r>
    </w:p>
    <w:p w14:paraId="561600B9" w14:textId="77777777" w:rsidR="000615DB" w:rsidRPr="00292532" w:rsidRDefault="000615DB" w:rsidP="000615DB">
      <w:pPr>
        <w:pStyle w:val="ListParagraph"/>
        <w:numPr>
          <w:ilvl w:val="0"/>
          <w:numId w:val="85"/>
        </w:numPr>
        <w:rPr>
          <w:lang w:val="pt-PT" w:eastAsia="ja-JP"/>
        </w:rPr>
      </w:pPr>
      <w:r w:rsidRPr="00292532">
        <w:rPr>
          <w:lang w:val="pt-PT" w:eastAsia="ja-JP"/>
        </w:rPr>
        <w:t xml:space="preserve">Registar devidamente a ocorrência </w:t>
      </w:r>
    </w:p>
    <w:p w14:paraId="25269EBD" w14:textId="77777777" w:rsidR="000615DB" w:rsidRPr="00292532" w:rsidRDefault="000615DB" w:rsidP="000615DB">
      <w:pPr>
        <w:pStyle w:val="ListParagraph"/>
        <w:numPr>
          <w:ilvl w:val="0"/>
          <w:numId w:val="85"/>
        </w:numPr>
        <w:rPr>
          <w:lang w:val="pt-PT" w:eastAsia="ja-JP"/>
        </w:rPr>
      </w:pPr>
      <w:r w:rsidRPr="00292532">
        <w:rPr>
          <w:lang w:val="pt-PT" w:eastAsia="ja-JP"/>
        </w:rPr>
        <w:t xml:space="preserve">Proceder com uma investigação interna para apurar as causas do acidente e propor um plano de </w:t>
      </w:r>
      <w:proofErr w:type="spellStart"/>
      <w:r w:rsidRPr="00292532">
        <w:rPr>
          <w:lang w:val="pt-PT" w:eastAsia="ja-JP"/>
        </w:rPr>
        <w:t>acção</w:t>
      </w:r>
      <w:proofErr w:type="spellEnd"/>
      <w:r w:rsidRPr="00292532">
        <w:rPr>
          <w:lang w:val="pt-PT" w:eastAsia="ja-JP"/>
        </w:rPr>
        <w:t xml:space="preserve"> de medidas </w:t>
      </w:r>
      <w:proofErr w:type="spellStart"/>
      <w:r w:rsidRPr="00292532">
        <w:rPr>
          <w:lang w:val="pt-PT" w:eastAsia="ja-JP"/>
        </w:rPr>
        <w:t>correctivas</w:t>
      </w:r>
      <w:proofErr w:type="spellEnd"/>
      <w:r w:rsidRPr="00292532">
        <w:rPr>
          <w:lang w:val="pt-PT" w:eastAsia="ja-JP"/>
        </w:rPr>
        <w:t xml:space="preserve"> para prevenir recorrência do evento </w:t>
      </w:r>
    </w:p>
    <w:p w14:paraId="55A470DB" w14:textId="77777777" w:rsidR="000615DB" w:rsidRPr="00292532" w:rsidRDefault="000615DB" w:rsidP="000615DB">
      <w:pPr>
        <w:pStyle w:val="ListParagraph"/>
        <w:numPr>
          <w:ilvl w:val="0"/>
          <w:numId w:val="85"/>
        </w:numPr>
        <w:rPr>
          <w:lang w:val="pt-PT" w:eastAsia="ja-JP"/>
        </w:rPr>
      </w:pPr>
      <w:r w:rsidRPr="00292532">
        <w:rPr>
          <w:lang w:val="pt-PT" w:eastAsia="ja-JP"/>
        </w:rPr>
        <w:t xml:space="preserve">Disseminar lições aprendidas em diálogos de segurança e outras medidas de consciencialização, possivelmente envolvendo as comunidades locais. </w:t>
      </w:r>
    </w:p>
    <w:p w14:paraId="208A643E" w14:textId="77777777" w:rsidR="000615DB" w:rsidRPr="00292532" w:rsidRDefault="000615DB" w:rsidP="000615DB">
      <w:pPr>
        <w:rPr>
          <w:lang w:val="pt-PT" w:eastAsia="ja-JP"/>
        </w:rPr>
      </w:pPr>
    </w:p>
    <w:p w14:paraId="78345A77" w14:textId="77777777" w:rsidR="000615DB" w:rsidRPr="00292532" w:rsidRDefault="000615DB" w:rsidP="004500AE">
      <w:pPr>
        <w:pStyle w:val="Heading2"/>
      </w:pPr>
      <w:bookmarkStart w:id="1286" w:name="_Toc78435523"/>
      <w:bookmarkStart w:id="1287" w:name="_Toc80380189"/>
      <w:r w:rsidRPr="00292532">
        <w:t>Monitorização, Acompanhamento e Indicadores de Desempenho</w:t>
      </w:r>
      <w:bookmarkEnd w:id="1286"/>
      <w:bookmarkEnd w:id="1287"/>
      <w:r w:rsidRPr="00292532">
        <w:t xml:space="preserve"> </w:t>
      </w:r>
    </w:p>
    <w:p w14:paraId="0B7F6D10" w14:textId="4A19939F" w:rsidR="000615DB" w:rsidRPr="00292532" w:rsidRDefault="000615DB" w:rsidP="000615DB">
      <w:pPr>
        <w:rPr>
          <w:lang w:val="pt-PT" w:eastAsia="ja-JP"/>
        </w:rPr>
      </w:pPr>
      <w:r w:rsidRPr="00292532">
        <w:rPr>
          <w:lang w:val="pt-PT" w:eastAsia="ja-JP"/>
        </w:rPr>
        <w:t>Os indicadores de desempenho serão usados para medir e acompanhar o desempenho face à eficácia das medidas de mitigação e de controlo descritas neste procedimento.</w:t>
      </w:r>
    </w:p>
    <w:p w14:paraId="5E1AB585" w14:textId="77777777" w:rsidR="000615DB" w:rsidRPr="00292532" w:rsidRDefault="000615DB" w:rsidP="000615DB">
      <w:pPr>
        <w:rPr>
          <w:lang w:val="pt-PT" w:eastAsia="ja-JP"/>
        </w:rPr>
      </w:pPr>
      <w:r w:rsidRPr="00292532">
        <w:rPr>
          <w:lang w:val="pt-PT" w:eastAsia="ja-JP"/>
        </w:rPr>
        <w:t>Os indicadores de desempenho serão usados para medir e acompanhar o desempenho face à eficácia das medidas de mitigação e de controlo descritas neste procedimento.</w:t>
      </w:r>
    </w:p>
    <w:p w14:paraId="41B28E67" w14:textId="77777777" w:rsidR="000615DB" w:rsidRPr="00292532" w:rsidRDefault="000615DB" w:rsidP="000615DB">
      <w:pPr>
        <w:rPr>
          <w:lang w:val="pt-PT" w:eastAsia="ja-JP"/>
        </w:rPr>
      </w:pPr>
      <w:r w:rsidRPr="00292532">
        <w:rPr>
          <w:lang w:val="pt-PT" w:eastAsia="ja-JP"/>
        </w:rPr>
        <w:lastRenderedPageBreak/>
        <w:t xml:space="preserve">Os indicadores de desempenho devem ser mensuráveis em relação a uma meta específica. A </w:t>
      </w:r>
      <w:r w:rsidRPr="00292532">
        <w:rPr>
          <w:b/>
          <w:bCs/>
          <w:lang w:val="pt-PT" w:eastAsia="ja-JP"/>
        </w:rPr>
        <w:t xml:space="preserve">Tabela 1 </w:t>
      </w:r>
      <w:r w:rsidRPr="00292532">
        <w:rPr>
          <w:lang w:val="pt-PT" w:eastAsia="ja-JP"/>
        </w:rPr>
        <w:t xml:space="preserve">descreve os indicadores de desempenho aplicáveis Procedimento de Gestão de Tráfego e descreve como os mesmos serão medidos, as metas e frequência de controlo; apenas os indicadores que são específicos e claramente mensuráveis foram incluídos. </w:t>
      </w:r>
    </w:p>
    <w:p w14:paraId="60BD11ED" w14:textId="77777777" w:rsidR="000615DB" w:rsidRPr="00292532" w:rsidRDefault="000615DB" w:rsidP="000615DB">
      <w:pPr>
        <w:spacing w:after="120"/>
        <w:jc w:val="center"/>
        <w:rPr>
          <w:rFonts w:eastAsiaTheme="minorEastAsia"/>
          <w:b/>
          <w:iCs/>
          <w:sz w:val="18"/>
          <w:szCs w:val="18"/>
          <w:lang w:val="pt-PT" w:eastAsia="ja-JP"/>
        </w:rPr>
      </w:pPr>
      <w:r w:rsidRPr="00292532">
        <w:rPr>
          <w:rFonts w:eastAsiaTheme="minorEastAsia"/>
          <w:b/>
          <w:iCs/>
          <w:sz w:val="18"/>
          <w:szCs w:val="18"/>
          <w:lang w:val="pt-PT" w:eastAsia="ja-JP"/>
        </w:rPr>
        <w:t xml:space="preserve">Tabela 1: Indicadores de Desempenho: </w:t>
      </w:r>
    </w:p>
    <w:tbl>
      <w:tblPr>
        <w:tblStyle w:val="GridTable4-Accent511"/>
        <w:tblW w:w="8818" w:type="dxa"/>
        <w:tblLook w:val="04A0" w:firstRow="1" w:lastRow="0" w:firstColumn="1" w:lastColumn="0" w:noHBand="0" w:noVBand="1"/>
      </w:tblPr>
      <w:tblGrid>
        <w:gridCol w:w="2515"/>
        <w:gridCol w:w="2532"/>
        <w:gridCol w:w="2119"/>
        <w:gridCol w:w="1652"/>
      </w:tblGrid>
      <w:tr w:rsidR="000615DB" w:rsidRPr="00292532" w14:paraId="26CB2D38" w14:textId="77777777" w:rsidTr="006174B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15" w:type="dxa"/>
          </w:tcPr>
          <w:p w14:paraId="50659FC4" w14:textId="77777777" w:rsidR="000615DB" w:rsidRPr="004500AE" w:rsidRDefault="000615DB" w:rsidP="000615DB">
            <w:pPr>
              <w:jc w:val="center"/>
              <w:rPr>
                <w:sz w:val="20"/>
                <w:szCs w:val="20"/>
                <w:lang w:val="pt-PT" w:eastAsia="ja-JP"/>
              </w:rPr>
            </w:pPr>
            <w:r w:rsidRPr="004500AE">
              <w:rPr>
                <w:sz w:val="20"/>
                <w:szCs w:val="20"/>
                <w:lang w:val="pt-PT" w:eastAsia="ja-JP"/>
              </w:rPr>
              <w:t>Indicador de desempenho</w:t>
            </w:r>
          </w:p>
        </w:tc>
        <w:tc>
          <w:tcPr>
            <w:tcW w:w="2532" w:type="dxa"/>
          </w:tcPr>
          <w:p w14:paraId="65AF06E8" w14:textId="77777777" w:rsidR="000615DB" w:rsidRPr="004500AE" w:rsidRDefault="000615DB" w:rsidP="000615DB">
            <w:pPr>
              <w:jc w:val="center"/>
              <w:cnfStyle w:val="100000000000" w:firstRow="1" w:lastRow="0" w:firstColumn="0" w:lastColumn="0" w:oddVBand="0" w:evenVBand="0" w:oddHBand="0" w:evenHBand="0" w:firstRowFirstColumn="0" w:firstRowLastColumn="0" w:lastRowFirstColumn="0" w:lastRowLastColumn="0"/>
              <w:rPr>
                <w:sz w:val="20"/>
                <w:szCs w:val="20"/>
                <w:lang w:val="pt-PT" w:eastAsia="ja-JP"/>
              </w:rPr>
            </w:pPr>
            <w:r w:rsidRPr="004500AE">
              <w:rPr>
                <w:sz w:val="20"/>
                <w:szCs w:val="20"/>
                <w:lang w:val="pt-PT" w:eastAsia="ja-JP"/>
              </w:rPr>
              <w:t>Medição</w:t>
            </w:r>
          </w:p>
        </w:tc>
        <w:tc>
          <w:tcPr>
            <w:tcW w:w="2119" w:type="dxa"/>
          </w:tcPr>
          <w:p w14:paraId="06A8D0EB" w14:textId="77777777" w:rsidR="000615DB" w:rsidRPr="004500AE" w:rsidRDefault="000615DB" w:rsidP="000615DB">
            <w:pPr>
              <w:jc w:val="center"/>
              <w:cnfStyle w:val="100000000000" w:firstRow="1" w:lastRow="0" w:firstColumn="0" w:lastColumn="0" w:oddVBand="0" w:evenVBand="0" w:oddHBand="0" w:evenHBand="0" w:firstRowFirstColumn="0" w:firstRowLastColumn="0" w:lastRowFirstColumn="0" w:lastRowLastColumn="0"/>
              <w:rPr>
                <w:sz w:val="20"/>
                <w:szCs w:val="20"/>
                <w:lang w:val="pt-PT" w:eastAsia="ja-JP"/>
              </w:rPr>
            </w:pPr>
            <w:r w:rsidRPr="004500AE">
              <w:rPr>
                <w:sz w:val="20"/>
                <w:szCs w:val="20"/>
                <w:lang w:val="pt-PT" w:eastAsia="ja-JP"/>
              </w:rPr>
              <w:t>Meta/Referência</w:t>
            </w:r>
          </w:p>
        </w:tc>
        <w:tc>
          <w:tcPr>
            <w:tcW w:w="1652" w:type="dxa"/>
          </w:tcPr>
          <w:p w14:paraId="15638AA9" w14:textId="77777777" w:rsidR="000615DB" w:rsidRPr="004500AE" w:rsidRDefault="000615DB" w:rsidP="000615DB">
            <w:pPr>
              <w:jc w:val="center"/>
              <w:cnfStyle w:val="100000000000" w:firstRow="1" w:lastRow="0" w:firstColumn="0" w:lastColumn="0" w:oddVBand="0" w:evenVBand="0" w:oddHBand="0" w:evenHBand="0" w:firstRowFirstColumn="0" w:firstRowLastColumn="0" w:lastRowFirstColumn="0" w:lastRowLastColumn="0"/>
              <w:rPr>
                <w:sz w:val="20"/>
                <w:szCs w:val="20"/>
                <w:lang w:val="pt-PT" w:eastAsia="ja-JP"/>
              </w:rPr>
            </w:pPr>
            <w:r w:rsidRPr="004500AE">
              <w:rPr>
                <w:sz w:val="20"/>
                <w:szCs w:val="20"/>
                <w:lang w:val="pt-PT" w:eastAsia="ja-JP"/>
              </w:rPr>
              <w:t>Frequência de Monitoramento</w:t>
            </w:r>
          </w:p>
        </w:tc>
      </w:tr>
      <w:tr w:rsidR="000615DB" w:rsidRPr="00292532" w14:paraId="4731B807" w14:textId="77777777" w:rsidTr="006174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5B927D2E" w14:textId="77777777" w:rsidR="000615DB" w:rsidRPr="00292532" w:rsidRDefault="000615DB" w:rsidP="000615DB">
            <w:pPr>
              <w:rPr>
                <w:sz w:val="20"/>
                <w:szCs w:val="20"/>
                <w:lang w:val="pt-PT" w:eastAsia="ja-JP"/>
              </w:rPr>
            </w:pPr>
            <w:r w:rsidRPr="00292532">
              <w:rPr>
                <w:sz w:val="20"/>
                <w:szCs w:val="20"/>
                <w:lang w:val="pt-PT" w:eastAsia="ja-JP"/>
              </w:rPr>
              <w:t xml:space="preserve">No. de Acidentes rodoviários resultando em ferimentos/fatalidades </w:t>
            </w:r>
          </w:p>
        </w:tc>
        <w:tc>
          <w:tcPr>
            <w:tcW w:w="2532" w:type="dxa"/>
          </w:tcPr>
          <w:p w14:paraId="1DD944A0" w14:textId="31AAF4D1" w:rsidR="000615DB" w:rsidRPr="00292532" w:rsidRDefault="000615DB" w:rsidP="000615DB">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 xml:space="preserve">Registo de acidentes rodoviários envolvendo apenas os trabalhadores do </w:t>
            </w:r>
            <w:proofErr w:type="spellStart"/>
            <w:r w:rsidRPr="00292532">
              <w:rPr>
                <w:sz w:val="20"/>
                <w:szCs w:val="20"/>
                <w:lang w:val="pt-PT" w:eastAsia="ja-JP"/>
              </w:rPr>
              <w:t>Projecto</w:t>
            </w:r>
            <w:proofErr w:type="spellEnd"/>
            <w:r w:rsidRPr="00292532">
              <w:rPr>
                <w:sz w:val="20"/>
                <w:szCs w:val="20"/>
                <w:lang w:val="pt-PT" w:eastAsia="ja-JP"/>
              </w:rPr>
              <w:t xml:space="preserve"> (</w:t>
            </w:r>
            <w:r w:rsidR="00292532" w:rsidRPr="00292532">
              <w:rPr>
                <w:sz w:val="20"/>
                <w:szCs w:val="20"/>
                <w:lang w:val="pt-PT" w:eastAsia="ja-JP"/>
              </w:rPr>
              <w:t>incluindo</w:t>
            </w:r>
            <w:r w:rsidRPr="00292532">
              <w:rPr>
                <w:sz w:val="20"/>
                <w:szCs w:val="20"/>
                <w:lang w:val="pt-PT" w:eastAsia="ja-JP"/>
              </w:rPr>
              <w:t xml:space="preserve"> contratadas e subcontratadas) resultando em ferimentos ou mortes</w:t>
            </w:r>
          </w:p>
        </w:tc>
        <w:tc>
          <w:tcPr>
            <w:tcW w:w="2119" w:type="dxa"/>
          </w:tcPr>
          <w:p w14:paraId="332A6BB8" w14:textId="77777777" w:rsidR="000615DB" w:rsidRPr="00292532" w:rsidRDefault="000615DB" w:rsidP="000615DB">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 xml:space="preserve">Zero ferimentos/fatalidades causados aos trabalhadores pelos veículos do </w:t>
            </w:r>
            <w:proofErr w:type="spellStart"/>
            <w:r w:rsidRPr="00292532">
              <w:rPr>
                <w:sz w:val="20"/>
                <w:szCs w:val="20"/>
                <w:lang w:val="pt-PT" w:eastAsia="ja-JP"/>
              </w:rPr>
              <w:t>Projecto</w:t>
            </w:r>
            <w:proofErr w:type="spellEnd"/>
            <w:r w:rsidRPr="00292532">
              <w:rPr>
                <w:sz w:val="20"/>
                <w:szCs w:val="20"/>
                <w:lang w:val="pt-PT" w:eastAsia="ja-JP"/>
              </w:rPr>
              <w:t xml:space="preserve"> (e suas contractadas) </w:t>
            </w:r>
          </w:p>
        </w:tc>
        <w:tc>
          <w:tcPr>
            <w:tcW w:w="1652" w:type="dxa"/>
          </w:tcPr>
          <w:p w14:paraId="7D733128" w14:textId="77777777" w:rsidR="000615DB" w:rsidRPr="004500AE" w:rsidRDefault="000615DB" w:rsidP="000615DB">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4500AE">
              <w:rPr>
                <w:sz w:val="20"/>
                <w:szCs w:val="20"/>
                <w:lang w:val="pt-PT" w:eastAsia="ja-JP"/>
              </w:rPr>
              <w:t xml:space="preserve">Contínuo </w:t>
            </w:r>
          </w:p>
        </w:tc>
      </w:tr>
      <w:tr w:rsidR="000615DB" w:rsidRPr="00292532" w14:paraId="2CCCE5A9" w14:textId="77777777" w:rsidTr="006174BB">
        <w:tc>
          <w:tcPr>
            <w:cnfStyle w:val="001000000000" w:firstRow="0" w:lastRow="0" w:firstColumn="1" w:lastColumn="0" w:oddVBand="0" w:evenVBand="0" w:oddHBand="0" w:evenHBand="0" w:firstRowFirstColumn="0" w:firstRowLastColumn="0" w:lastRowFirstColumn="0" w:lastRowLastColumn="0"/>
            <w:tcW w:w="2515" w:type="dxa"/>
          </w:tcPr>
          <w:p w14:paraId="596DBEFB" w14:textId="77777777" w:rsidR="000615DB" w:rsidRPr="00292532" w:rsidRDefault="000615DB" w:rsidP="000615DB">
            <w:pPr>
              <w:rPr>
                <w:sz w:val="20"/>
                <w:szCs w:val="20"/>
                <w:lang w:val="pt-PT" w:eastAsia="ja-JP"/>
              </w:rPr>
            </w:pPr>
            <w:r w:rsidRPr="00292532">
              <w:rPr>
                <w:sz w:val="20"/>
                <w:szCs w:val="20"/>
                <w:lang w:val="pt-PT" w:eastAsia="ja-JP"/>
              </w:rPr>
              <w:t xml:space="preserve">No. de Acidentes rodoviários envolvendo as comunidades </w:t>
            </w:r>
            <w:r w:rsidRPr="00292532">
              <w:rPr>
                <w:sz w:val="20"/>
                <w:szCs w:val="20"/>
                <w:lang w:val="pt-PT" w:eastAsia="ja-JP"/>
              </w:rPr>
              <w:tab/>
            </w:r>
          </w:p>
        </w:tc>
        <w:tc>
          <w:tcPr>
            <w:tcW w:w="2532" w:type="dxa"/>
          </w:tcPr>
          <w:p w14:paraId="6244863D" w14:textId="77777777" w:rsidR="000615DB" w:rsidRPr="00292532" w:rsidRDefault="000615DB" w:rsidP="000615DB">
            <w:pPr>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292532">
              <w:rPr>
                <w:sz w:val="20"/>
                <w:szCs w:val="20"/>
                <w:lang w:val="pt-PT" w:eastAsia="ja-JP"/>
              </w:rPr>
              <w:t xml:space="preserve">Registo de acidentes ocupacionais dentro das instalações do </w:t>
            </w:r>
            <w:proofErr w:type="spellStart"/>
            <w:r w:rsidRPr="00292532">
              <w:rPr>
                <w:sz w:val="20"/>
                <w:szCs w:val="20"/>
                <w:lang w:val="pt-PT" w:eastAsia="ja-JP"/>
              </w:rPr>
              <w:t>Projecto</w:t>
            </w:r>
            <w:proofErr w:type="spellEnd"/>
            <w:r w:rsidRPr="00292532">
              <w:rPr>
                <w:sz w:val="20"/>
                <w:szCs w:val="20"/>
                <w:lang w:val="pt-PT" w:eastAsia="ja-JP"/>
              </w:rPr>
              <w:t xml:space="preserve"> ou áreas de trabalho (local das obras) envolvendo as comunidades </w:t>
            </w:r>
          </w:p>
        </w:tc>
        <w:tc>
          <w:tcPr>
            <w:tcW w:w="2119" w:type="dxa"/>
          </w:tcPr>
          <w:p w14:paraId="79DEB0F1" w14:textId="77777777" w:rsidR="000615DB" w:rsidRPr="00292532" w:rsidRDefault="000615DB" w:rsidP="000615DB">
            <w:pPr>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292532">
              <w:rPr>
                <w:sz w:val="20"/>
                <w:szCs w:val="20"/>
                <w:lang w:val="pt-PT" w:eastAsia="ja-JP"/>
              </w:rPr>
              <w:t xml:space="preserve">Zero incidentes/acidentes envolvendo membros da comunidade ou bens pertencentes às mesmas </w:t>
            </w:r>
          </w:p>
        </w:tc>
        <w:tc>
          <w:tcPr>
            <w:tcW w:w="1652" w:type="dxa"/>
          </w:tcPr>
          <w:p w14:paraId="6F370522" w14:textId="77777777" w:rsidR="000615DB" w:rsidRPr="004500AE" w:rsidRDefault="000615DB" w:rsidP="000615DB">
            <w:pPr>
              <w:cnfStyle w:val="000000000000" w:firstRow="0" w:lastRow="0" w:firstColumn="0" w:lastColumn="0" w:oddVBand="0" w:evenVBand="0" w:oddHBand="0" w:evenHBand="0" w:firstRowFirstColumn="0" w:firstRowLastColumn="0" w:lastRowFirstColumn="0" w:lastRowLastColumn="0"/>
              <w:rPr>
                <w:sz w:val="20"/>
                <w:szCs w:val="20"/>
                <w:lang w:val="pt-PT" w:eastAsia="ja-JP"/>
              </w:rPr>
            </w:pPr>
            <w:r w:rsidRPr="004500AE">
              <w:rPr>
                <w:sz w:val="20"/>
                <w:szCs w:val="20"/>
                <w:lang w:val="pt-PT" w:eastAsia="ja-JP"/>
              </w:rPr>
              <w:t xml:space="preserve">Contínuo </w:t>
            </w:r>
          </w:p>
        </w:tc>
      </w:tr>
      <w:tr w:rsidR="000615DB" w:rsidRPr="00292532" w14:paraId="70F69591" w14:textId="77777777" w:rsidTr="006174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4B93450F" w14:textId="77777777" w:rsidR="000615DB" w:rsidRPr="00292532" w:rsidRDefault="000615DB" w:rsidP="000615DB">
            <w:pPr>
              <w:rPr>
                <w:sz w:val="20"/>
                <w:szCs w:val="20"/>
                <w:lang w:val="pt-PT" w:eastAsia="ja-JP"/>
              </w:rPr>
            </w:pPr>
            <w:r w:rsidRPr="00292532">
              <w:rPr>
                <w:sz w:val="20"/>
                <w:szCs w:val="20"/>
                <w:lang w:val="pt-PT" w:eastAsia="ja-JP"/>
              </w:rPr>
              <w:t xml:space="preserve">No. de Acidentes rodoviários resultando em danos aos veículos ou outros danos materiais </w:t>
            </w:r>
          </w:p>
        </w:tc>
        <w:tc>
          <w:tcPr>
            <w:tcW w:w="2532" w:type="dxa"/>
          </w:tcPr>
          <w:p w14:paraId="6BCD20EB" w14:textId="77777777" w:rsidR="000615DB" w:rsidRPr="00292532" w:rsidRDefault="000615DB" w:rsidP="000615DB">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 xml:space="preserve">Registo de acidentes rodoviários causados pelo </w:t>
            </w:r>
            <w:proofErr w:type="spellStart"/>
            <w:r w:rsidRPr="00292532">
              <w:rPr>
                <w:sz w:val="20"/>
                <w:szCs w:val="20"/>
                <w:lang w:val="pt-PT" w:eastAsia="ja-JP"/>
              </w:rPr>
              <w:t>Projecto</w:t>
            </w:r>
            <w:proofErr w:type="spellEnd"/>
            <w:r w:rsidRPr="00292532">
              <w:rPr>
                <w:sz w:val="20"/>
                <w:szCs w:val="20"/>
                <w:lang w:val="pt-PT" w:eastAsia="ja-JP"/>
              </w:rPr>
              <w:t xml:space="preserve"> (incluindo contratadas e subcontratadas) resultando danos </w:t>
            </w:r>
          </w:p>
        </w:tc>
        <w:tc>
          <w:tcPr>
            <w:tcW w:w="2119" w:type="dxa"/>
          </w:tcPr>
          <w:p w14:paraId="3774DAB9" w14:textId="77777777" w:rsidR="000615DB" w:rsidRPr="00292532" w:rsidRDefault="000615DB" w:rsidP="000615DB">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292532">
              <w:rPr>
                <w:sz w:val="20"/>
                <w:szCs w:val="20"/>
                <w:lang w:val="pt-PT" w:eastAsia="ja-JP"/>
              </w:rPr>
              <w:t xml:space="preserve">Zero danos materiais causados pelos veículos do </w:t>
            </w:r>
            <w:proofErr w:type="spellStart"/>
            <w:r w:rsidRPr="00292532">
              <w:rPr>
                <w:sz w:val="20"/>
                <w:szCs w:val="20"/>
                <w:lang w:val="pt-PT" w:eastAsia="ja-JP"/>
              </w:rPr>
              <w:t>Projecto</w:t>
            </w:r>
            <w:proofErr w:type="spellEnd"/>
            <w:r w:rsidRPr="00292532">
              <w:rPr>
                <w:sz w:val="20"/>
                <w:szCs w:val="20"/>
                <w:lang w:val="pt-PT" w:eastAsia="ja-JP"/>
              </w:rPr>
              <w:t xml:space="preserve"> (e suas contractadas) </w:t>
            </w:r>
          </w:p>
        </w:tc>
        <w:tc>
          <w:tcPr>
            <w:tcW w:w="1652" w:type="dxa"/>
          </w:tcPr>
          <w:p w14:paraId="18F7AEB8" w14:textId="77777777" w:rsidR="000615DB" w:rsidRPr="004500AE" w:rsidRDefault="000615DB" w:rsidP="000615DB">
            <w:pPr>
              <w:cnfStyle w:val="000000100000" w:firstRow="0" w:lastRow="0" w:firstColumn="0" w:lastColumn="0" w:oddVBand="0" w:evenVBand="0" w:oddHBand="1" w:evenHBand="0" w:firstRowFirstColumn="0" w:firstRowLastColumn="0" w:lastRowFirstColumn="0" w:lastRowLastColumn="0"/>
              <w:rPr>
                <w:sz w:val="20"/>
                <w:szCs w:val="20"/>
                <w:lang w:val="pt-PT" w:eastAsia="ja-JP"/>
              </w:rPr>
            </w:pPr>
            <w:r w:rsidRPr="004500AE">
              <w:rPr>
                <w:sz w:val="20"/>
                <w:szCs w:val="20"/>
                <w:lang w:val="pt-PT" w:eastAsia="ja-JP"/>
              </w:rPr>
              <w:t xml:space="preserve">Contínuo </w:t>
            </w:r>
          </w:p>
        </w:tc>
      </w:tr>
    </w:tbl>
    <w:p w14:paraId="3ED4DBE1" w14:textId="77777777" w:rsidR="000615DB" w:rsidRPr="00292532" w:rsidRDefault="000615DB" w:rsidP="000615DB">
      <w:pPr>
        <w:spacing w:before="0" w:after="120"/>
        <w:jc w:val="center"/>
        <w:rPr>
          <w:rFonts w:ascii="Arial" w:eastAsia="Times New Roman" w:hAnsi="Arial" w:cs="Times New Roman"/>
          <w:b/>
          <w:i/>
          <w:iCs/>
          <w:caps/>
          <w:lang w:val="pt-PT" w:eastAsia="pt-BR"/>
        </w:rPr>
      </w:pPr>
    </w:p>
    <w:p w14:paraId="14763ACB" w14:textId="77777777" w:rsidR="000615DB" w:rsidRPr="00292532" w:rsidRDefault="000615DB" w:rsidP="000615DB">
      <w:pPr>
        <w:rPr>
          <w:lang w:val="pt-PT" w:eastAsia="ja-JP"/>
        </w:rPr>
      </w:pPr>
    </w:p>
    <w:p w14:paraId="276DD015" w14:textId="481DE242" w:rsidR="000615DB" w:rsidRPr="00292532" w:rsidRDefault="000615DB" w:rsidP="000D7B05">
      <w:pPr>
        <w:pStyle w:val="Title"/>
      </w:pPr>
    </w:p>
    <w:p w14:paraId="3D7DE202" w14:textId="0F82882D" w:rsidR="000615DB" w:rsidRPr="00292532" w:rsidRDefault="000615DB" w:rsidP="000D7B05">
      <w:pPr>
        <w:pStyle w:val="Title"/>
      </w:pPr>
    </w:p>
    <w:p w14:paraId="1DAEE225" w14:textId="592656F8" w:rsidR="000615DB" w:rsidRPr="00292532" w:rsidRDefault="000615DB" w:rsidP="000D7B05">
      <w:pPr>
        <w:pStyle w:val="Title"/>
      </w:pPr>
    </w:p>
    <w:p w14:paraId="2EE34468" w14:textId="5FC41B3A" w:rsidR="000615DB" w:rsidRPr="00292532" w:rsidRDefault="000615DB" w:rsidP="000D7B05">
      <w:pPr>
        <w:pStyle w:val="Title"/>
      </w:pPr>
    </w:p>
    <w:p w14:paraId="01556AEC" w14:textId="44F393F6" w:rsidR="000615DB" w:rsidRPr="00292532" w:rsidRDefault="000615DB" w:rsidP="000D7B05">
      <w:pPr>
        <w:pStyle w:val="Title"/>
      </w:pPr>
    </w:p>
    <w:p w14:paraId="4F800EFF" w14:textId="7ECC2EA4" w:rsidR="000615DB" w:rsidRPr="00292532" w:rsidRDefault="000615DB" w:rsidP="000D7B05">
      <w:pPr>
        <w:pStyle w:val="Title"/>
      </w:pPr>
    </w:p>
    <w:p w14:paraId="7A2639E4" w14:textId="2787EAD2" w:rsidR="000615DB" w:rsidRPr="00292532" w:rsidRDefault="000615DB" w:rsidP="000D7B05">
      <w:pPr>
        <w:pStyle w:val="Title"/>
      </w:pPr>
    </w:p>
    <w:p w14:paraId="24485208" w14:textId="057FCB49" w:rsidR="000615DB" w:rsidRPr="00292532" w:rsidRDefault="000615DB" w:rsidP="000D7B05">
      <w:pPr>
        <w:pStyle w:val="Title"/>
      </w:pPr>
    </w:p>
    <w:p w14:paraId="12A662D9" w14:textId="142AE292" w:rsidR="000615DB" w:rsidRPr="00292532" w:rsidRDefault="000615DB" w:rsidP="000D7B05">
      <w:pPr>
        <w:pStyle w:val="Title"/>
      </w:pPr>
    </w:p>
    <w:p w14:paraId="4C42B64F" w14:textId="3658C22D" w:rsidR="000615DB" w:rsidRPr="00292532" w:rsidRDefault="000615DB" w:rsidP="000D7B05">
      <w:pPr>
        <w:pStyle w:val="Title"/>
      </w:pPr>
    </w:p>
    <w:p w14:paraId="6002389F" w14:textId="77777777" w:rsidR="000615DB" w:rsidRPr="00292532" w:rsidRDefault="000615DB" w:rsidP="000D7B05">
      <w:pPr>
        <w:pStyle w:val="Title"/>
        <w:sectPr w:rsidR="000615DB" w:rsidRPr="00292532" w:rsidSect="00CC332B">
          <w:pgSz w:w="11900" w:h="16838"/>
          <w:pgMar w:top="1418" w:right="1426" w:bottom="457" w:left="1440" w:header="0" w:footer="0" w:gutter="0"/>
          <w:cols w:space="720" w:equalWidth="0">
            <w:col w:w="9040"/>
          </w:cols>
        </w:sectPr>
      </w:pPr>
    </w:p>
    <w:p w14:paraId="061E0B26" w14:textId="2B225ACD" w:rsidR="000615DB" w:rsidRPr="00292532" w:rsidRDefault="000615DB" w:rsidP="000D7B05">
      <w:pPr>
        <w:pStyle w:val="Title"/>
      </w:pPr>
    </w:p>
    <w:p w14:paraId="3A89F25B" w14:textId="2054C681" w:rsidR="00CA52F1" w:rsidRPr="00292532" w:rsidRDefault="00B31AE2" w:rsidP="000D7B05">
      <w:pPr>
        <w:pStyle w:val="Title"/>
      </w:pPr>
      <w:r w:rsidRPr="00292532">
        <w:t xml:space="preserve">Anexo </w:t>
      </w:r>
      <w:r w:rsidR="00A6116B" w:rsidRPr="00292532">
        <w:t>1</w:t>
      </w:r>
      <w:r w:rsidR="000615DB" w:rsidRPr="00292532">
        <w:t>1</w:t>
      </w:r>
    </w:p>
    <w:p w14:paraId="2F64AE6D" w14:textId="144CB2ED" w:rsidR="00A6116B" w:rsidRPr="00292532" w:rsidRDefault="00A6116B" w:rsidP="000D7B05">
      <w:pPr>
        <w:pStyle w:val="Title"/>
      </w:pPr>
      <w:r w:rsidRPr="00292532">
        <w:t>Plano de Contingência da covid-19</w:t>
      </w:r>
    </w:p>
    <w:p w14:paraId="489A94C0" w14:textId="6D497139" w:rsidR="00B31AE2" w:rsidRPr="00292532" w:rsidRDefault="00B31AE2" w:rsidP="000D7B05">
      <w:pPr>
        <w:pStyle w:val="Title"/>
      </w:pPr>
    </w:p>
    <w:p w14:paraId="1867CB41" w14:textId="1A3D4FF3" w:rsidR="00B31AE2" w:rsidRPr="00292532" w:rsidRDefault="00B31AE2" w:rsidP="00AE14AE">
      <w:pPr>
        <w:keepNext/>
        <w:numPr>
          <w:ilvl w:val="0"/>
          <w:numId w:val="147"/>
        </w:numPr>
        <w:tabs>
          <w:tab w:val="left" w:pos="1134"/>
        </w:tabs>
        <w:suppressAutoHyphens/>
        <w:autoSpaceDE w:val="0"/>
        <w:autoSpaceDN w:val="0"/>
        <w:adjustRightInd w:val="0"/>
        <w:spacing w:before="0" w:line="259" w:lineRule="auto"/>
        <w:ind w:left="431" w:hanging="431"/>
        <w:jc w:val="left"/>
        <w:outlineLvl w:val="0"/>
        <w:rPr>
          <w:rFonts w:ascii="Arial" w:eastAsia="Times New Roman" w:hAnsi="Arial" w:cs="Arial"/>
          <w:b/>
          <w:color w:val="4472C4"/>
          <w:sz w:val="26"/>
          <w:szCs w:val="26"/>
          <w:lang w:val="pt-PT"/>
        </w:rPr>
      </w:pPr>
      <w:bookmarkStart w:id="1288" w:name="_Toc74922400"/>
      <w:bookmarkStart w:id="1289" w:name="_Toc75438087"/>
      <w:bookmarkStart w:id="1290" w:name="_Toc78435524"/>
      <w:bookmarkStart w:id="1291" w:name="_Toc80380190"/>
      <w:r w:rsidRPr="00292532">
        <w:rPr>
          <w:rFonts w:ascii="Arial" w:eastAsia="Times New Roman" w:hAnsi="Arial" w:cs="Arial"/>
          <w:b/>
          <w:color w:val="4472C4"/>
          <w:sz w:val="26"/>
          <w:szCs w:val="26"/>
          <w:lang w:val="pt-PT"/>
        </w:rPr>
        <w:t>INTRODUÇÃO</w:t>
      </w:r>
      <w:bookmarkEnd w:id="1288"/>
      <w:bookmarkEnd w:id="1289"/>
      <w:bookmarkEnd w:id="1290"/>
      <w:bookmarkEnd w:id="1291"/>
    </w:p>
    <w:p w14:paraId="60ED407F" w14:textId="77777777" w:rsidR="00B31AE2" w:rsidRPr="00292532" w:rsidRDefault="00B31AE2" w:rsidP="00B31AE2">
      <w:pPr>
        <w:suppressAutoHyphens/>
        <w:spacing w:before="0"/>
        <w:rPr>
          <w:rFonts w:ascii="Arial" w:eastAsia="Calibri" w:hAnsi="Arial" w:cs="Arial"/>
          <w:sz w:val="20"/>
          <w:szCs w:val="20"/>
          <w:lang w:val="pt-PT"/>
        </w:rPr>
      </w:pPr>
      <w:bookmarkStart w:id="1292" w:name="_Hlk48695970"/>
      <w:r w:rsidRPr="00292532">
        <w:rPr>
          <w:rFonts w:ascii="Arial" w:eastAsia="Calibri" w:hAnsi="Arial" w:cs="Arial"/>
          <w:sz w:val="20"/>
          <w:szCs w:val="20"/>
          <w:lang w:val="pt-PT"/>
        </w:rPr>
        <w:t xml:space="preserve">A Organização Mundial da Saúde (OMS) declarou COVID-19 como uma emergência de saúde pública de carácter internacional no dia 30 de </w:t>
      </w:r>
      <w:proofErr w:type="gramStart"/>
      <w:r w:rsidRPr="00292532">
        <w:rPr>
          <w:rFonts w:ascii="Arial" w:eastAsia="Calibri" w:hAnsi="Arial" w:cs="Arial"/>
          <w:sz w:val="20"/>
          <w:szCs w:val="20"/>
          <w:lang w:val="pt-PT"/>
        </w:rPr>
        <w:t>Janeiro</w:t>
      </w:r>
      <w:proofErr w:type="gramEnd"/>
      <w:r w:rsidRPr="00292532">
        <w:rPr>
          <w:rFonts w:ascii="Arial" w:eastAsia="Calibri" w:hAnsi="Arial" w:cs="Arial"/>
          <w:sz w:val="20"/>
          <w:szCs w:val="20"/>
          <w:lang w:val="pt-PT"/>
        </w:rPr>
        <w:t xml:space="preserve"> de 2020, e como pandemia no dia 11 de Março do mesmo ano. Em Moçambique, foi reportado o primeiro caso no dia 22 de </w:t>
      </w:r>
      <w:proofErr w:type="gramStart"/>
      <w:r w:rsidRPr="00292532">
        <w:rPr>
          <w:rFonts w:ascii="Arial" w:eastAsia="Calibri" w:hAnsi="Arial" w:cs="Arial"/>
          <w:sz w:val="20"/>
          <w:szCs w:val="20"/>
          <w:lang w:val="pt-PT"/>
        </w:rPr>
        <w:t>Março</w:t>
      </w:r>
      <w:proofErr w:type="gramEnd"/>
      <w:r w:rsidRPr="00292532">
        <w:rPr>
          <w:rFonts w:ascii="Arial" w:eastAsia="Calibri" w:hAnsi="Arial" w:cs="Arial"/>
          <w:sz w:val="20"/>
          <w:szCs w:val="20"/>
          <w:lang w:val="pt-PT"/>
        </w:rPr>
        <w:t xml:space="preserve"> de 2020, e foi decretado o primeiro estado de emergência no dia 01 de Abril do mesmo ano, e a 07 de Setembro de 2020 foi decretado o estado de calamidade pública.</w:t>
      </w:r>
    </w:p>
    <w:p w14:paraId="08D037B5" w14:textId="77777777" w:rsidR="00B31AE2" w:rsidRPr="00292532" w:rsidRDefault="00B31AE2" w:rsidP="00B31AE2">
      <w:pPr>
        <w:suppressAutoHyphens/>
        <w:spacing w:before="0"/>
        <w:rPr>
          <w:rFonts w:ascii="Arial" w:eastAsia="Calibri" w:hAnsi="Arial" w:cs="Arial"/>
          <w:sz w:val="20"/>
          <w:szCs w:val="20"/>
          <w:lang w:val="pt-PT"/>
        </w:rPr>
      </w:pPr>
      <w:r w:rsidRPr="00292532">
        <w:rPr>
          <w:rFonts w:ascii="Arial" w:eastAsia="Calibri" w:hAnsi="Arial" w:cs="Arial"/>
          <w:sz w:val="20"/>
          <w:szCs w:val="20"/>
          <w:lang w:val="pt-PT"/>
        </w:rPr>
        <w:t xml:space="preserve">A transmissão do COVID-19 pode ocorrer pela emissão de gotículas geradas através de espirro, tosse, assoar o nariz e fala que podem contaminar as superfícies, mãos e </w:t>
      </w:r>
      <w:proofErr w:type="spellStart"/>
      <w:r w:rsidRPr="00292532">
        <w:rPr>
          <w:rFonts w:ascii="Arial" w:eastAsia="Calibri" w:hAnsi="Arial" w:cs="Arial"/>
          <w:sz w:val="20"/>
          <w:szCs w:val="20"/>
          <w:lang w:val="pt-PT"/>
        </w:rPr>
        <w:t>objectos</w:t>
      </w:r>
      <w:proofErr w:type="spellEnd"/>
      <w:r w:rsidRPr="00292532">
        <w:rPr>
          <w:rFonts w:ascii="Arial" w:eastAsia="Calibri" w:hAnsi="Arial" w:cs="Arial"/>
          <w:sz w:val="20"/>
          <w:szCs w:val="20"/>
          <w:lang w:val="pt-PT"/>
        </w:rPr>
        <w:t xml:space="preserve"> de uso pessoal (talheres, pratos, copos e garrafas).</w:t>
      </w:r>
    </w:p>
    <w:p w14:paraId="36F5DFFD" w14:textId="77777777" w:rsidR="00B31AE2" w:rsidRPr="00292532" w:rsidRDefault="00B31AE2" w:rsidP="00B31AE2">
      <w:pPr>
        <w:suppressAutoHyphens/>
        <w:spacing w:before="0"/>
        <w:rPr>
          <w:rFonts w:ascii="Arial" w:eastAsia="Calibri" w:hAnsi="Arial" w:cs="Arial"/>
          <w:sz w:val="20"/>
          <w:szCs w:val="20"/>
          <w:lang w:val="pt-PT"/>
        </w:rPr>
      </w:pPr>
      <w:r w:rsidRPr="00292532">
        <w:rPr>
          <w:rFonts w:ascii="Arial" w:eastAsia="Calibri" w:hAnsi="Arial" w:cs="Arial"/>
          <w:sz w:val="20"/>
          <w:szCs w:val="20"/>
          <w:lang w:val="pt-PT"/>
        </w:rPr>
        <w:t>Vários grupos técnicos de referência da Organização Mundial da Saúde (OMS) divulgaram normas e procedimentos que orientam os países perante a situação de pandemia nas diversas áreas de intervenção para a prevenção e redução da mortalidade pelo COVID-19. O Governo de Moçambique também tem divulgado as suas orientações, disponíveis no website do Ministério da Saúde (MISAU) -</w:t>
      </w:r>
      <w:proofErr w:type="spellStart"/>
      <w:r w:rsidRPr="00292532">
        <w:rPr>
          <w:rFonts w:ascii="Arial" w:eastAsia="Calibri" w:hAnsi="Arial" w:cs="Arial"/>
          <w:sz w:val="20"/>
          <w:szCs w:val="20"/>
          <w:lang w:val="pt-PT"/>
        </w:rPr>
        <w:t>actualizações</w:t>
      </w:r>
      <w:proofErr w:type="spellEnd"/>
      <w:r w:rsidRPr="00292532">
        <w:rPr>
          <w:rFonts w:ascii="Arial" w:eastAsia="Calibri" w:hAnsi="Arial" w:cs="Arial"/>
          <w:sz w:val="20"/>
          <w:szCs w:val="20"/>
          <w:lang w:val="pt-PT"/>
        </w:rPr>
        <w:t xml:space="preserve"> às orientações podem ser encontradas através dos contactos partilhados no </w:t>
      </w:r>
      <w:r w:rsidRPr="00292532">
        <w:rPr>
          <w:rFonts w:ascii="Arial" w:eastAsia="Calibri" w:hAnsi="Arial" w:cs="Arial"/>
          <w:color w:val="4472C4"/>
          <w:sz w:val="20"/>
          <w:szCs w:val="20"/>
          <w:lang w:val="pt-PT"/>
        </w:rPr>
        <w:t>Apêndice B</w:t>
      </w:r>
      <w:r w:rsidRPr="00292532">
        <w:rPr>
          <w:rFonts w:ascii="Arial" w:eastAsia="Calibri" w:hAnsi="Arial" w:cs="Arial"/>
          <w:sz w:val="20"/>
          <w:szCs w:val="20"/>
          <w:lang w:val="pt-PT"/>
        </w:rPr>
        <w:t>.</w:t>
      </w:r>
    </w:p>
    <w:p w14:paraId="119EC075" w14:textId="77777777" w:rsidR="00B31AE2" w:rsidRPr="00292532" w:rsidRDefault="00B31AE2" w:rsidP="00B31AE2">
      <w:pPr>
        <w:suppressAutoHyphens/>
        <w:spacing w:before="0"/>
        <w:rPr>
          <w:rFonts w:ascii="Arial" w:eastAsia="Calibri" w:hAnsi="Arial" w:cs="Arial"/>
          <w:sz w:val="20"/>
          <w:szCs w:val="20"/>
          <w:lang w:val="pt-PT"/>
        </w:rPr>
      </w:pPr>
      <w:r w:rsidRPr="00292532">
        <w:rPr>
          <w:rFonts w:ascii="Arial" w:eastAsia="Calibri" w:hAnsi="Arial" w:cs="Arial"/>
          <w:sz w:val="20"/>
          <w:szCs w:val="20"/>
          <w:lang w:val="pt-PT"/>
        </w:rPr>
        <w:t xml:space="preserve">É com base nesse pressuposto que é elaborado o presente Plano de Contingência da COVID-19, por forma a orientar as entidades que desenvolvem </w:t>
      </w:r>
      <w:proofErr w:type="spellStart"/>
      <w:r w:rsidRPr="00292532">
        <w:rPr>
          <w:rFonts w:ascii="Arial" w:eastAsia="Calibri" w:hAnsi="Arial" w:cs="Arial"/>
          <w:sz w:val="20"/>
          <w:szCs w:val="20"/>
          <w:lang w:val="pt-PT"/>
        </w:rPr>
        <w:t>actividades</w:t>
      </w:r>
      <w:proofErr w:type="spellEnd"/>
      <w:r w:rsidRPr="00292532">
        <w:rPr>
          <w:rFonts w:ascii="Arial" w:eastAsia="Calibri" w:hAnsi="Arial" w:cs="Arial"/>
          <w:sz w:val="20"/>
          <w:szCs w:val="20"/>
          <w:lang w:val="pt-PT"/>
        </w:rPr>
        <w:t xml:space="preserve"> no âmbito do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 xml:space="preserve"> á </w:t>
      </w:r>
      <w:proofErr w:type="spellStart"/>
      <w:r w:rsidRPr="00292532">
        <w:rPr>
          <w:rFonts w:ascii="Arial" w:eastAsia="Calibri" w:hAnsi="Arial" w:cs="Arial"/>
          <w:sz w:val="20"/>
          <w:szCs w:val="20"/>
          <w:lang w:val="pt-PT"/>
        </w:rPr>
        <w:t>adoptarem</w:t>
      </w:r>
      <w:proofErr w:type="spellEnd"/>
      <w:r w:rsidRPr="00292532">
        <w:rPr>
          <w:rFonts w:ascii="Arial" w:eastAsia="Calibri" w:hAnsi="Arial" w:cs="Arial"/>
          <w:sz w:val="20"/>
          <w:szCs w:val="20"/>
          <w:lang w:val="pt-PT"/>
        </w:rPr>
        <w:t xml:space="preserve"> medidas preventivas da propagação da COVID-19.</w:t>
      </w:r>
    </w:p>
    <w:bookmarkEnd w:id="1292"/>
    <w:p w14:paraId="124A104A" w14:textId="77777777" w:rsidR="00B31AE2" w:rsidRPr="00292532" w:rsidRDefault="00B31AE2" w:rsidP="00B31AE2">
      <w:pPr>
        <w:spacing w:before="0" w:after="0"/>
        <w:rPr>
          <w:rFonts w:ascii="Arial" w:eastAsia="Calibri" w:hAnsi="Arial" w:cs="Arial"/>
          <w:sz w:val="20"/>
          <w:szCs w:val="20"/>
          <w:lang w:val="pt-PT" w:eastAsia="en-GB"/>
        </w:rPr>
      </w:pPr>
    </w:p>
    <w:p w14:paraId="3E5F9ACF" w14:textId="77777777" w:rsidR="00B31AE2" w:rsidRPr="00292532" w:rsidRDefault="00B31AE2" w:rsidP="00AE14AE">
      <w:pPr>
        <w:keepNext/>
        <w:numPr>
          <w:ilvl w:val="0"/>
          <w:numId w:val="147"/>
        </w:numPr>
        <w:tabs>
          <w:tab w:val="left" w:pos="1134"/>
        </w:tabs>
        <w:suppressAutoHyphens/>
        <w:autoSpaceDE w:val="0"/>
        <w:autoSpaceDN w:val="0"/>
        <w:adjustRightInd w:val="0"/>
        <w:spacing w:before="0" w:line="259" w:lineRule="auto"/>
        <w:ind w:left="431" w:hanging="431"/>
        <w:jc w:val="left"/>
        <w:outlineLvl w:val="0"/>
        <w:rPr>
          <w:rFonts w:ascii="Arial" w:eastAsia="Times New Roman" w:hAnsi="Arial" w:cs="Arial"/>
          <w:b/>
          <w:color w:val="4472C4"/>
          <w:sz w:val="26"/>
          <w:szCs w:val="26"/>
          <w:lang w:val="pt-PT"/>
        </w:rPr>
      </w:pPr>
      <w:bookmarkStart w:id="1293" w:name="_Toc74922401"/>
      <w:bookmarkStart w:id="1294" w:name="_Toc75438088"/>
      <w:bookmarkStart w:id="1295" w:name="_Toc78435525"/>
      <w:bookmarkStart w:id="1296" w:name="_Toc80380191"/>
      <w:bookmarkStart w:id="1297" w:name="_Hlk67638157"/>
      <w:r w:rsidRPr="00292532">
        <w:rPr>
          <w:rFonts w:ascii="Arial" w:eastAsia="Times New Roman" w:hAnsi="Arial" w:cs="Arial"/>
          <w:b/>
          <w:color w:val="4472C4"/>
          <w:sz w:val="26"/>
          <w:szCs w:val="26"/>
          <w:lang w:val="pt-PT"/>
        </w:rPr>
        <w:t>OBJECTIVO</w:t>
      </w:r>
      <w:bookmarkEnd w:id="1293"/>
      <w:bookmarkEnd w:id="1294"/>
      <w:bookmarkEnd w:id="1295"/>
      <w:bookmarkEnd w:id="1296"/>
      <w:r w:rsidRPr="00292532">
        <w:rPr>
          <w:rFonts w:ascii="Arial" w:eastAsia="Times New Roman" w:hAnsi="Arial" w:cs="Arial"/>
          <w:b/>
          <w:color w:val="4472C4"/>
          <w:sz w:val="26"/>
          <w:szCs w:val="26"/>
          <w:lang w:val="pt-PT"/>
        </w:rPr>
        <w:t xml:space="preserve"> </w:t>
      </w:r>
    </w:p>
    <w:p w14:paraId="74C2CC51" w14:textId="77777777" w:rsidR="00B31AE2" w:rsidRPr="00292532" w:rsidRDefault="00B31AE2" w:rsidP="00B31AE2">
      <w:pPr>
        <w:suppressAutoHyphens/>
        <w:spacing w:before="0" w:after="0"/>
        <w:rPr>
          <w:rFonts w:ascii="Arial" w:eastAsia="Calibri" w:hAnsi="Arial" w:cs="Arial"/>
          <w:sz w:val="20"/>
          <w:szCs w:val="20"/>
          <w:lang w:val="pt-PT"/>
        </w:rPr>
      </w:pPr>
      <w:bookmarkStart w:id="1298" w:name="_Hlk67638121"/>
      <w:bookmarkStart w:id="1299" w:name="_Ref2672503"/>
      <w:bookmarkStart w:id="1300" w:name="_Toc511026495"/>
      <w:bookmarkStart w:id="1301" w:name="_Toc517766235"/>
      <w:bookmarkStart w:id="1302" w:name="_Toc525196033"/>
      <w:bookmarkEnd w:id="1297"/>
      <w:r w:rsidRPr="00292532">
        <w:rPr>
          <w:rFonts w:ascii="Arial" w:eastAsia="Calibri" w:hAnsi="Arial" w:cs="Arial"/>
          <w:sz w:val="20"/>
          <w:szCs w:val="20"/>
          <w:lang w:val="pt-PT"/>
        </w:rPr>
        <w:t xml:space="preserve">Este plano estabelece </w:t>
      </w:r>
      <w:proofErr w:type="spellStart"/>
      <w:r w:rsidRPr="00292532">
        <w:rPr>
          <w:rFonts w:ascii="Arial" w:eastAsia="Calibri" w:hAnsi="Arial" w:cs="Arial"/>
          <w:sz w:val="20"/>
          <w:szCs w:val="20"/>
          <w:lang w:val="pt-PT"/>
        </w:rPr>
        <w:t>directrizes</w:t>
      </w:r>
      <w:proofErr w:type="spellEnd"/>
      <w:r w:rsidRPr="00292532">
        <w:rPr>
          <w:rFonts w:ascii="Arial" w:eastAsia="Calibri" w:hAnsi="Arial" w:cs="Arial"/>
          <w:sz w:val="20"/>
          <w:szCs w:val="20"/>
          <w:lang w:val="pt-PT"/>
        </w:rPr>
        <w:t xml:space="preserve"> de prevenção da propagação e de resposta/</w:t>
      </w:r>
      <w:proofErr w:type="spellStart"/>
      <w:r w:rsidRPr="00292532">
        <w:rPr>
          <w:rFonts w:ascii="Arial" w:eastAsia="Calibri" w:hAnsi="Arial" w:cs="Arial"/>
          <w:sz w:val="20"/>
          <w:szCs w:val="20"/>
          <w:lang w:val="pt-PT"/>
        </w:rPr>
        <w:t>actuação</w:t>
      </w:r>
      <w:proofErr w:type="spellEnd"/>
      <w:r w:rsidRPr="00292532">
        <w:rPr>
          <w:rFonts w:ascii="Arial" w:eastAsia="Calibri" w:hAnsi="Arial" w:cs="Arial"/>
          <w:sz w:val="20"/>
          <w:szCs w:val="20"/>
          <w:lang w:val="pt-PT"/>
        </w:rPr>
        <w:t xml:space="preserve"> no contexto da COVID-19, por forma a salvaguardar a saúde dos trabalhadores do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w:t>
      </w:r>
    </w:p>
    <w:bookmarkEnd w:id="1298"/>
    <w:p w14:paraId="70252673" w14:textId="77777777" w:rsidR="00B31AE2" w:rsidRPr="00292532" w:rsidRDefault="00B31AE2" w:rsidP="00B31AE2">
      <w:pPr>
        <w:spacing w:before="0" w:after="0"/>
        <w:rPr>
          <w:rFonts w:ascii="Arial" w:eastAsia="Calibri" w:hAnsi="Arial" w:cs="Arial"/>
          <w:sz w:val="20"/>
          <w:szCs w:val="20"/>
          <w:lang w:val="pt-PT" w:eastAsia="en-GB"/>
        </w:rPr>
      </w:pPr>
    </w:p>
    <w:p w14:paraId="5C4100B0" w14:textId="77777777" w:rsidR="00B31AE2" w:rsidRPr="00292532" w:rsidRDefault="00B31AE2" w:rsidP="00AE14AE">
      <w:pPr>
        <w:keepNext/>
        <w:numPr>
          <w:ilvl w:val="1"/>
          <w:numId w:val="147"/>
        </w:numPr>
        <w:tabs>
          <w:tab w:val="left" w:pos="1145"/>
        </w:tabs>
        <w:suppressAutoHyphens/>
        <w:autoSpaceDE w:val="0"/>
        <w:autoSpaceDN w:val="0"/>
        <w:adjustRightInd w:val="0"/>
        <w:spacing w:before="0" w:line="259" w:lineRule="auto"/>
        <w:jc w:val="left"/>
        <w:outlineLvl w:val="1"/>
        <w:rPr>
          <w:rFonts w:ascii="Arial" w:eastAsia="Times New Roman" w:hAnsi="Arial" w:cs="Arial"/>
          <w:b/>
          <w:color w:val="2F5496"/>
          <w:sz w:val="26"/>
          <w:szCs w:val="26"/>
          <w:lang w:val="pt-PT"/>
        </w:rPr>
      </w:pPr>
      <w:bookmarkStart w:id="1303" w:name="_Toc74922402"/>
      <w:bookmarkStart w:id="1304" w:name="_Toc75438089"/>
      <w:bookmarkStart w:id="1305" w:name="_Toc78435526"/>
      <w:bookmarkStart w:id="1306" w:name="_Toc80380192"/>
      <w:r w:rsidRPr="00292532">
        <w:rPr>
          <w:rFonts w:ascii="Arial" w:eastAsia="Times New Roman" w:hAnsi="Arial" w:cs="Arial"/>
          <w:b/>
          <w:color w:val="2F5496"/>
          <w:sz w:val="26"/>
          <w:szCs w:val="26"/>
          <w:lang w:val="pt-PT"/>
        </w:rPr>
        <w:t>Âmbito</w:t>
      </w:r>
      <w:bookmarkEnd w:id="1303"/>
      <w:bookmarkEnd w:id="1304"/>
      <w:bookmarkEnd w:id="1305"/>
      <w:bookmarkEnd w:id="1306"/>
    </w:p>
    <w:p w14:paraId="44C443F8" w14:textId="77777777" w:rsidR="00B31AE2" w:rsidRPr="00292532" w:rsidRDefault="00B31AE2" w:rsidP="00B31AE2">
      <w:pPr>
        <w:spacing w:before="0" w:after="0"/>
        <w:rPr>
          <w:rFonts w:ascii="Arial" w:eastAsia="Calibri" w:hAnsi="Arial" w:cs="Arial"/>
          <w:sz w:val="20"/>
          <w:szCs w:val="20"/>
          <w:lang w:val="pt-PT"/>
        </w:rPr>
      </w:pPr>
      <w:r w:rsidRPr="00292532">
        <w:rPr>
          <w:rFonts w:ascii="Arial" w:eastAsia="Calibri" w:hAnsi="Arial" w:cs="Arial"/>
          <w:sz w:val="20"/>
          <w:szCs w:val="20"/>
          <w:lang w:val="pt-PT"/>
        </w:rPr>
        <w:t xml:space="preserve">O presente Plano é um documento vinculativo e é aplicável às empresas e indivíduos que executam </w:t>
      </w:r>
      <w:proofErr w:type="spellStart"/>
      <w:r w:rsidRPr="00292532">
        <w:rPr>
          <w:rFonts w:ascii="Arial" w:eastAsia="Calibri" w:hAnsi="Arial" w:cs="Arial"/>
          <w:sz w:val="20"/>
          <w:szCs w:val="20"/>
          <w:lang w:val="pt-PT"/>
        </w:rPr>
        <w:t>actividades</w:t>
      </w:r>
      <w:proofErr w:type="spellEnd"/>
      <w:r w:rsidRPr="00292532">
        <w:rPr>
          <w:rFonts w:ascii="Arial" w:eastAsia="Calibri" w:hAnsi="Arial" w:cs="Arial"/>
          <w:sz w:val="20"/>
          <w:szCs w:val="20"/>
          <w:lang w:val="pt-PT"/>
        </w:rPr>
        <w:t xml:space="preserve"> no contexto do presente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 de modo a:</w:t>
      </w:r>
    </w:p>
    <w:p w14:paraId="38704761" w14:textId="77777777" w:rsidR="00B31AE2" w:rsidRPr="00292532" w:rsidRDefault="00B31AE2" w:rsidP="00AE14AE">
      <w:pPr>
        <w:numPr>
          <w:ilvl w:val="0"/>
          <w:numId w:val="149"/>
        </w:numPr>
        <w:suppressAutoHyphens/>
        <w:autoSpaceDE w:val="0"/>
        <w:autoSpaceDN w:val="0"/>
        <w:adjustRightInd w:val="0"/>
        <w:spacing w:before="0" w:after="200" w:line="259" w:lineRule="auto"/>
        <w:contextualSpacing/>
        <w:jc w:val="left"/>
        <w:rPr>
          <w:rFonts w:ascii="Arial" w:eastAsia="Calibri" w:hAnsi="Arial" w:cs="Arial"/>
          <w:sz w:val="20"/>
          <w:szCs w:val="20"/>
          <w:lang w:val="pt-PT"/>
        </w:rPr>
      </w:pPr>
      <w:r w:rsidRPr="00292532">
        <w:rPr>
          <w:rFonts w:ascii="Arial" w:eastAsia="Calibri" w:hAnsi="Arial" w:cs="Arial"/>
          <w:sz w:val="20"/>
          <w:szCs w:val="20"/>
          <w:lang w:val="pt-PT"/>
        </w:rPr>
        <w:t xml:space="preserve">Proteger a saúde dos trabalhadores através da limitação do risco de contaminação, nos locais de trabalho. </w:t>
      </w:r>
    </w:p>
    <w:p w14:paraId="466F1640" w14:textId="77777777" w:rsidR="00B31AE2" w:rsidRPr="00292532" w:rsidRDefault="00B31AE2" w:rsidP="00AE14AE">
      <w:pPr>
        <w:numPr>
          <w:ilvl w:val="0"/>
          <w:numId w:val="149"/>
        </w:numPr>
        <w:suppressAutoHyphens/>
        <w:autoSpaceDE w:val="0"/>
        <w:autoSpaceDN w:val="0"/>
        <w:adjustRightInd w:val="0"/>
        <w:spacing w:before="0" w:after="200" w:line="259" w:lineRule="auto"/>
        <w:contextualSpacing/>
        <w:jc w:val="left"/>
        <w:rPr>
          <w:rFonts w:ascii="Arial" w:eastAsia="Calibri" w:hAnsi="Arial" w:cs="Arial"/>
          <w:sz w:val="20"/>
          <w:szCs w:val="20"/>
          <w:lang w:val="pt-PT"/>
        </w:rPr>
      </w:pPr>
      <w:r w:rsidRPr="00292532">
        <w:rPr>
          <w:rFonts w:ascii="Arial" w:eastAsia="Calibri" w:hAnsi="Arial" w:cs="Arial"/>
          <w:sz w:val="20"/>
          <w:szCs w:val="20"/>
          <w:lang w:val="pt-PT"/>
        </w:rPr>
        <w:t xml:space="preserve">Promover a continuidade das </w:t>
      </w:r>
      <w:proofErr w:type="spellStart"/>
      <w:r w:rsidRPr="00292532">
        <w:rPr>
          <w:rFonts w:ascii="Arial" w:eastAsia="Calibri" w:hAnsi="Arial" w:cs="Arial"/>
          <w:sz w:val="20"/>
          <w:szCs w:val="20"/>
          <w:lang w:val="pt-PT"/>
        </w:rPr>
        <w:t>actividades</w:t>
      </w:r>
      <w:proofErr w:type="spellEnd"/>
      <w:r w:rsidRPr="00292532">
        <w:rPr>
          <w:rFonts w:ascii="Arial" w:eastAsia="Calibri" w:hAnsi="Arial" w:cs="Arial"/>
          <w:sz w:val="20"/>
          <w:szCs w:val="20"/>
          <w:lang w:val="pt-PT"/>
        </w:rPr>
        <w:t xml:space="preserve"> do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 assegurando a manutenção dos serviços que venham a ser considerados essenciais.</w:t>
      </w:r>
    </w:p>
    <w:p w14:paraId="2EB57011" w14:textId="77777777" w:rsidR="00B31AE2" w:rsidRPr="00292532" w:rsidRDefault="00B31AE2" w:rsidP="00B31AE2">
      <w:pPr>
        <w:spacing w:before="0" w:after="0"/>
        <w:rPr>
          <w:rFonts w:ascii="Arial" w:eastAsia="Calibri" w:hAnsi="Arial" w:cs="Arial"/>
          <w:sz w:val="20"/>
          <w:szCs w:val="20"/>
          <w:lang w:val="pt-PT"/>
        </w:rPr>
      </w:pPr>
      <w:r w:rsidRPr="00292532">
        <w:rPr>
          <w:rFonts w:ascii="Arial" w:eastAsia="Calibri" w:hAnsi="Arial" w:cs="Arial"/>
          <w:sz w:val="20"/>
          <w:szCs w:val="20"/>
          <w:lang w:val="pt-PT"/>
        </w:rPr>
        <w:t xml:space="preserve">A sua implementação é estatutária e sujeita a monitoria durante o decurso das </w:t>
      </w:r>
      <w:proofErr w:type="spellStart"/>
      <w:r w:rsidRPr="00292532">
        <w:rPr>
          <w:rFonts w:ascii="Arial" w:eastAsia="Calibri" w:hAnsi="Arial" w:cs="Arial"/>
          <w:sz w:val="20"/>
          <w:szCs w:val="20"/>
          <w:lang w:val="pt-PT"/>
        </w:rPr>
        <w:t>actividades</w:t>
      </w:r>
      <w:proofErr w:type="spellEnd"/>
      <w:r w:rsidRPr="00292532">
        <w:rPr>
          <w:rFonts w:ascii="Arial" w:eastAsia="Calibri" w:hAnsi="Arial" w:cs="Arial"/>
          <w:sz w:val="20"/>
          <w:szCs w:val="20"/>
          <w:lang w:val="pt-PT"/>
        </w:rPr>
        <w:t xml:space="preserve"> do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w:t>
      </w:r>
    </w:p>
    <w:p w14:paraId="0198F55A" w14:textId="77777777" w:rsidR="00B31AE2" w:rsidRPr="00292532" w:rsidRDefault="00B31AE2" w:rsidP="00B31AE2">
      <w:pPr>
        <w:spacing w:before="0" w:after="0"/>
        <w:rPr>
          <w:rFonts w:ascii="Arial" w:eastAsia="Calibri" w:hAnsi="Arial" w:cs="Arial"/>
          <w:sz w:val="20"/>
          <w:szCs w:val="20"/>
          <w:lang w:val="pt-PT"/>
        </w:rPr>
      </w:pPr>
      <w:r w:rsidRPr="00292532">
        <w:rPr>
          <w:rFonts w:ascii="Arial" w:eastAsia="Calibri" w:hAnsi="Arial" w:cs="Arial"/>
          <w:sz w:val="20"/>
          <w:szCs w:val="20"/>
          <w:lang w:val="pt-PT"/>
        </w:rPr>
        <w:t>Os empreiteiros deverão elaborar um plano de implementação deste plano, com dados complementares a serem observados na obra.</w:t>
      </w:r>
    </w:p>
    <w:p w14:paraId="64092182" w14:textId="77777777" w:rsidR="00B31AE2" w:rsidRPr="00292532" w:rsidRDefault="00B31AE2" w:rsidP="00B31AE2">
      <w:pPr>
        <w:spacing w:before="0" w:after="0"/>
        <w:rPr>
          <w:rFonts w:ascii="Arial" w:eastAsia="Calibri" w:hAnsi="Arial" w:cs="Arial"/>
          <w:sz w:val="20"/>
          <w:szCs w:val="20"/>
          <w:lang w:val="pt-PT" w:eastAsia="en-GB"/>
        </w:rPr>
      </w:pPr>
    </w:p>
    <w:p w14:paraId="4D5771B0" w14:textId="77777777" w:rsidR="00B31AE2" w:rsidRPr="00292532" w:rsidRDefault="00B31AE2" w:rsidP="00AE14AE">
      <w:pPr>
        <w:keepNext/>
        <w:numPr>
          <w:ilvl w:val="1"/>
          <w:numId w:val="147"/>
        </w:numPr>
        <w:tabs>
          <w:tab w:val="left" w:pos="1145"/>
        </w:tabs>
        <w:suppressAutoHyphens/>
        <w:autoSpaceDE w:val="0"/>
        <w:autoSpaceDN w:val="0"/>
        <w:adjustRightInd w:val="0"/>
        <w:spacing w:before="0" w:line="259" w:lineRule="auto"/>
        <w:jc w:val="left"/>
        <w:outlineLvl w:val="1"/>
        <w:rPr>
          <w:rFonts w:ascii="Arial" w:eastAsia="Times New Roman" w:hAnsi="Arial" w:cs="Arial"/>
          <w:b/>
          <w:color w:val="2F5496"/>
          <w:sz w:val="26"/>
          <w:szCs w:val="26"/>
          <w:lang w:val="pt-PT"/>
        </w:rPr>
      </w:pPr>
      <w:bookmarkStart w:id="1307" w:name="_Toc67923220"/>
      <w:bookmarkStart w:id="1308" w:name="_Toc67924096"/>
      <w:bookmarkStart w:id="1309" w:name="_Toc67558303"/>
      <w:bookmarkStart w:id="1310" w:name="_Ref69179329"/>
      <w:bookmarkStart w:id="1311" w:name="_Toc74922403"/>
      <w:bookmarkStart w:id="1312" w:name="_Toc75438090"/>
      <w:bookmarkStart w:id="1313" w:name="_Toc78435527"/>
      <w:bookmarkStart w:id="1314" w:name="_Toc80380193"/>
      <w:bookmarkEnd w:id="1307"/>
      <w:bookmarkEnd w:id="1308"/>
      <w:r w:rsidRPr="00292532">
        <w:rPr>
          <w:rFonts w:ascii="Arial" w:eastAsia="Times New Roman" w:hAnsi="Arial" w:cs="Arial"/>
          <w:b/>
          <w:color w:val="2F5496"/>
          <w:sz w:val="26"/>
          <w:szCs w:val="26"/>
          <w:lang w:val="pt-PT"/>
        </w:rPr>
        <w:t>Responsabilidade na Implementação do Plano</w:t>
      </w:r>
      <w:r w:rsidRPr="00292532">
        <w:rPr>
          <w:rFonts w:ascii="Arial" w:eastAsia="Times New Roman" w:hAnsi="Arial" w:cs="Arial"/>
          <w:b/>
          <w:color w:val="2F5496"/>
          <w:sz w:val="26"/>
          <w:szCs w:val="26"/>
          <w:vertAlign w:val="superscript"/>
          <w:lang w:val="pt-PT"/>
        </w:rPr>
        <w:footnoteReference w:id="31"/>
      </w:r>
      <w:bookmarkEnd w:id="1309"/>
      <w:bookmarkEnd w:id="1310"/>
      <w:bookmarkEnd w:id="1311"/>
      <w:bookmarkEnd w:id="1312"/>
      <w:bookmarkEnd w:id="1313"/>
      <w:bookmarkEnd w:id="1314"/>
    </w:p>
    <w:p w14:paraId="2EB13CBD" w14:textId="77777777" w:rsidR="00B31AE2" w:rsidRPr="00292532" w:rsidRDefault="00B31AE2" w:rsidP="00B31AE2">
      <w:pPr>
        <w:spacing w:before="0" w:after="0" w:line="297" w:lineRule="exact"/>
        <w:ind w:right="80"/>
        <w:jc w:val="left"/>
        <w:rPr>
          <w:rFonts w:ascii="Arial" w:eastAsia="Calibri" w:hAnsi="Arial" w:cs="Arial"/>
          <w:sz w:val="20"/>
          <w:szCs w:val="20"/>
          <w:lang w:val="pt-PT"/>
        </w:rPr>
      </w:pPr>
      <w:bookmarkStart w:id="1315" w:name="_Toc525115043"/>
      <w:bookmarkStart w:id="1316" w:name="_Toc525115194"/>
      <w:bookmarkStart w:id="1317" w:name="_Toc525128512"/>
      <w:bookmarkStart w:id="1318" w:name="_Toc525133809"/>
      <w:bookmarkStart w:id="1319" w:name="_Toc525187680"/>
      <w:bookmarkStart w:id="1320" w:name="_Toc525187890"/>
      <w:bookmarkStart w:id="1321" w:name="_Toc525188100"/>
      <w:bookmarkStart w:id="1322" w:name="_Toc525115044"/>
      <w:bookmarkStart w:id="1323" w:name="_Toc525115195"/>
      <w:bookmarkStart w:id="1324" w:name="_Toc525128513"/>
      <w:bookmarkStart w:id="1325" w:name="_Toc525133810"/>
      <w:bookmarkStart w:id="1326" w:name="_Toc525187681"/>
      <w:bookmarkStart w:id="1327" w:name="_Toc525187891"/>
      <w:bookmarkStart w:id="1328" w:name="_Toc525188101"/>
      <w:bookmarkStart w:id="1329" w:name="_Hlk23161822"/>
      <w:bookmarkStart w:id="1330" w:name="_Toc304055575"/>
      <w:bookmarkStart w:id="1331" w:name="_Hlk506779666"/>
      <w:bookmarkStart w:id="1332" w:name="_Hlk48491749"/>
      <w:bookmarkEnd w:id="1299"/>
      <w:bookmarkEnd w:id="1300"/>
      <w:bookmarkEnd w:id="1301"/>
      <w:bookmarkEnd w:id="1302"/>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r w:rsidRPr="00292532">
        <w:rPr>
          <w:rFonts w:ascii="Arial" w:eastAsia="Calibri" w:hAnsi="Arial" w:cs="Arial"/>
          <w:b/>
          <w:sz w:val="20"/>
          <w:szCs w:val="20"/>
          <w:lang w:val="pt-PT"/>
        </w:rPr>
        <w:t xml:space="preserve">O Gerente de </w:t>
      </w:r>
      <w:proofErr w:type="spellStart"/>
      <w:r w:rsidRPr="00292532">
        <w:rPr>
          <w:rFonts w:ascii="Arial" w:eastAsia="Calibri" w:hAnsi="Arial" w:cs="Arial"/>
          <w:b/>
          <w:sz w:val="20"/>
          <w:szCs w:val="20"/>
          <w:lang w:val="pt-PT"/>
        </w:rPr>
        <w:t>Projecto</w:t>
      </w:r>
      <w:proofErr w:type="spellEnd"/>
      <w:r w:rsidRPr="00292532">
        <w:rPr>
          <w:rFonts w:ascii="Arial" w:eastAsia="Calibri" w:hAnsi="Arial" w:cs="Arial"/>
          <w:b/>
          <w:sz w:val="20"/>
          <w:szCs w:val="20"/>
          <w:lang w:val="pt-PT"/>
        </w:rPr>
        <w:t xml:space="preserve"> da Contratada</w:t>
      </w:r>
      <w:r w:rsidRPr="00292532">
        <w:rPr>
          <w:rFonts w:ascii="Arial" w:eastAsia="Calibri" w:hAnsi="Arial" w:cs="Arial"/>
          <w:sz w:val="20"/>
          <w:szCs w:val="20"/>
          <w:lang w:val="pt-PT"/>
        </w:rPr>
        <w:t xml:space="preserve"> é responsável por fornecer os recursos necessários para garantir a implementação adequada e a eficácia do Plano. </w:t>
      </w:r>
    </w:p>
    <w:p w14:paraId="6073E34B" w14:textId="77777777" w:rsidR="00B31AE2" w:rsidRPr="00292532" w:rsidRDefault="00B31AE2" w:rsidP="00B31AE2">
      <w:pPr>
        <w:spacing w:before="0" w:after="0" w:line="297" w:lineRule="exact"/>
        <w:ind w:right="80"/>
        <w:rPr>
          <w:rFonts w:ascii="Arial" w:eastAsia="Calibri" w:hAnsi="Arial" w:cs="Arial"/>
          <w:sz w:val="20"/>
          <w:szCs w:val="20"/>
          <w:lang w:val="pt-PT"/>
        </w:rPr>
      </w:pPr>
      <w:r w:rsidRPr="00292532">
        <w:rPr>
          <w:rFonts w:ascii="Arial" w:eastAsia="Calibri" w:hAnsi="Arial" w:cs="Arial"/>
          <w:b/>
          <w:sz w:val="20"/>
          <w:szCs w:val="20"/>
          <w:lang w:val="pt-PT"/>
        </w:rPr>
        <w:t xml:space="preserve">Fiscal </w:t>
      </w:r>
      <w:r w:rsidRPr="00292532">
        <w:rPr>
          <w:rFonts w:ascii="Arial" w:eastAsia="Calibri" w:hAnsi="Arial" w:cs="Arial"/>
          <w:sz w:val="20"/>
          <w:szCs w:val="20"/>
          <w:lang w:val="pt-PT"/>
        </w:rPr>
        <w:t>deve orientar a equipe para o cumprimento deste Plano. Monitora os trabalhadores e relata qualquer observação relacionada aos sintomas do COVID-19.</w:t>
      </w:r>
    </w:p>
    <w:p w14:paraId="58E39CC5" w14:textId="77777777" w:rsidR="00B31AE2" w:rsidRPr="00292532" w:rsidRDefault="00B31AE2" w:rsidP="00B31AE2">
      <w:pPr>
        <w:spacing w:before="0" w:after="0" w:line="297" w:lineRule="exact"/>
        <w:ind w:right="80"/>
        <w:rPr>
          <w:rFonts w:ascii="Arial" w:eastAsia="Calibri" w:hAnsi="Arial" w:cs="Arial"/>
          <w:sz w:val="20"/>
          <w:szCs w:val="20"/>
          <w:lang w:val="pt-PT"/>
        </w:rPr>
      </w:pPr>
      <w:r w:rsidRPr="00292532">
        <w:rPr>
          <w:rFonts w:ascii="Arial" w:eastAsia="Calibri" w:hAnsi="Arial" w:cs="Arial"/>
          <w:b/>
          <w:sz w:val="20"/>
          <w:szCs w:val="20"/>
          <w:lang w:val="pt-PT"/>
        </w:rPr>
        <w:lastRenderedPageBreak/>
        <w:t>Guardas de segurança</w:t>
      </w:r>
      <w:r w:rsidRPr="00292532">
        <w:rPr>
          <w:rFonts w:ascii="Arial" w:eastAsia="Calibri" w:hAnsi="Arial" w:cs="Arial"/>
          <w:sz w:val="20"/>
          <w:szCs w:val="20"/>
          <w:lang w:val="pt-PT"/>
        </w:rPr>
        <w:t xml:space="preserve"> realizam leituras de temperatura do pessoal do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 xml:space="preserve"> (todos) e relatar ao Oficial de SSO ou à Comissão Institucional de Gestão de COVID-19. </w:t>
      </w:r>
    </w:p>
    <w:p w14:paraId="2F021A51" w14:textId="77777777" w:rsidR="00B31AE2" w:rsidRPr="00292532" w:rsidRDefault="00B31AE2" w:rsidP="00B31AE2">
      <w:pPr>
        <w:spacing w:before="0" w:after="0" w:line="297" w:lineRule="exact"/>
        <w:ind w:right="80"/>
        <w:rPr>
          <w:rFonts w:ascii="Arial" w:eastAsia="Calibri" w:hAnsi="Arial" w:cs="Arial"/>
          <w:sz w:val="20"/>
          <w:szCs w:val="20"/>
          <w:lang w:val="pt-PT"/>
        </w:rPr>
      </w:pPr>
      <w:r w:rsidRPr="00292532">
        <w:rPr>
          <w:rFonts w:ascii="Arial" w:eastAsia="Calibri" w:hAnsi="Arial" w:cs="Arial"/>
          <w:b/>
          <w:sz w:val="20"/>
          <w:szCs w:val="20"/>
          <w:lang w:val="pt-PT"/>
        </w:rPr>
        <w:t>Oficial de SSO junto com a</w:t>
      </w:r>
      <w:r w:rsidRPr="00292532">
        <w:rPr>
          <w:rFonts w:ascii="Arial" w:eastAsia="Calibri" w:hAnsi="Arial" w:cs="Arial"/>
          <w:sz w:val="20"/>
          <w:szCs w:val="20"/>
          <w:lang w:val="pt-PT"/>
        </w:rPr>
        <w:t xml:space="preserve"> </w:t>
      </w:r>
      <w:r w:rsidRPr="00292532">
        <w:rPr>
          <w:rFonts w:ascii="Arial" w:eastAsia="Calibri" w:hAnsi="Arial" w:cs="Arial"/>
          <w:b/>
          <w:sz w:val="20"/>
          <w:szCs w:val="20"/>
          <w:lang w:val="pt-PT"/>
        </w:rPr>
        <w:t>Comissão Institucional de Gestão de COVID-19 (CIGCOVID 19)</w:t>
      </w:r>
      <w:r w:rsidRPr="00292532">
        <w:rPr>
          <w:rFonts w:ascii="Arial" w:eastAsia="Calibri" w:hAnsi="Arial" w:cs="Arial"/>
          <w:sz w:val="20"/>
          <w:szCs w:val="20"/>
          <w:lang w:val="pt-PT"/>
        </w:rPr>
        <w:t xml:space="preserve"> lideraram as </w:t>
      </w:r>
      <w:proofErr w:type="spellStart"/>
      <w:r w:rsidRPr="00292532">
        <w:rPr>
          <w:rFonts w:ascii="Arial" w:eastAsia="Calibri" w:hAnsi="Arial" w:cs="Arial"/>
          <w:sz w:val="20"/>
          <w:szCs w:val="20"/>
          <w:lang w:val="pt-PT"/>
        </w:rPr>
        <w:t>actividades</w:t>
      </w:r>
      <w:proofErr w:type="spellEnd"/>
      <w:r w:rsidRPr="00292532">
        <w:rPr>
          <w:rFonts w:ascii="Arial" w:eastAsia="Calibri" w:hAnsi="Arial" w:cs="Arial"/>
          <w:sz w:val="20"/>
          <w:szCs w:val="20"/>
          <w:lang w:val="pt-PT"/>
        </w:rPr>
        <w:t xml:space="preserve"> de prevenção, controlo e vigilância da COVID-19 no local de trabalho, incluindo divulgação de informação (inclui contactos internos e externos de emergência </w:t>
      </w:r>
      <w:proofErr w:type="spellStart"/>
      <w:r w:rsidRPr="00292532">
        <w:rPr>
          <w:rFonts w:ascii="Arial" w:eastAsia="Calibri" w:hAnsi="Arial" w:cs="Arial"/>
          <w:sz w:val="20"/>
          <w:szCs w:val="20"/>
          <w:lang w:val="pt-PT"/>
        </w:rPr>
        <w:t>actualizados</w:t>
      </w:r>
      <w:proofErr w:type="spellEnd"/>
      <w:r w:rsidRPr="00292532">
        <w:rPr>
          <w:rFonts w:ascii="Arial" w:eastAsia="Calibri" w:hAnsi="Arial" w:cs="Arial"/>
          <w:sz w:val="20"/>
          <w:szCs w:val="20"/>
          <w:lang w:val="pt-PT"/>
        </w:rPr>
        <w:t xml:space="preserve"> e fixados em locais visíveis), definição de áreas de isolamento, assistência a pacientes (casos suspeitos, casos confirmados), coordenação as </w:t>
      </w:r>
      <w:proofErr w:type="spellStart"/>
      <w:r w:rsidRPr="00292532">
        <w:rPr>
          <w:rFonts w:ascii="Arial" w:eastAsia="Calibri" w:hAnsi="Arial" w:cs="Arial"/>
          <w:sz w:val="20"/>
          <w:szCs w:val="20"/>
          <w:lang w:val="pt-PT"/>
        </w:rPr>
        <w:t>actividades</w:t>
      </w:r>
      <w:proofErr w:type="spellEnd"/>
      <w:r w:rsidRPr="00292532">
        <w:rPr>
          <w:rFonts w:ascii="Arial" w:eastAsia="Calibri" w:hAnsi="Arial" w:cs="Arial"/>
          <w:sz w:val="20"/>
          <w:szCs w:val="20"/>
          <w:lang w:val="pt-PT"/>
        </w:rPr>
        <w:t xml:space="preserve"> de limpeza e </w:t>
      </w:r>
      <w:proofErr w:type="spellStart"/>
      <w:r w:rsidRPr="00292532">
        <w:rPr>
          <w:rFonts w:ascii="Arial" w:eastAsia="Calibri" w:hAnsi="Arial" w:cs="Arial"/>
          <w:sz w:val="20"/>
          <w:szCs w:val="20"/>
          <w:lang w:val="pt-PT"/>
        </w:rPr>
        <w:t>desinfecção</w:t>
      </w:r>
      <w:proofErr w:type="spellEnd"/>
      <w:r w:rsidRPr="00292532">
        <w:rPr>
          <w:rFonts w:ascii="Arial" w:eastAsia="Calibri" w:hAnsi="Arial" w:cs="Arial"/>
          <w:sz w:val="20"/>
          <w:szCs w:val="20"/>
          <w:lang w:val="pt-PT"/>
        </w:rPr>
        <w:t>, bem como disponibilização de outros recursos de prevenção (ex. termómetros).</w:t>
      </w:r>
    </w:p>
    <w:p w14:paraId="7EB86CB7" w14:textId="77777777" w:rsidR="00B31AE2" w:rsidRPr="00292532" w:rsidRDefault="00B31AE2" w:rsidP="00B31AE2">
      <w:pPr>
        <w:spacing w:before="0" w:after="0" w:line="297" w:lineRule="exact"/>
        <w:ind w:right="80"/>
        <w:rPr>
          <w:rFonts w:ascii="Arial" w:eastAsia="Calibri" w:hAnsi="Arial" w:cs="Arial"/>
          <w:sz w:val="20"/>
          <w:szCs w:val="20"/>
          <w:lang w:val="pt-PT"/>
        </w:rPr>
      </w:pPr>
    </w:p>
    <w:p w14:paraId="042F99C7" w14:textId="77777777" w:rsidR="00B31AE2" w:rsidRPr="00292532" w:rsidRDefault="00B31AE2" w:rsidP="00B31AE2">
      <w:pPr>
        <w:spacing w:before="0" w:after="0" w:line="259" w:lineRule="auto"/>
        <w:jc w:val="left"/>
        <w:rPr>
          <w:rFonts w:ascii="Arial" w:eastAsia="Calibri" w:hAnsi="Arial" w:cs="Arial"/>
          <w:sz w:val="20"/>
          <w:szCs w:val="20"/>
          <w:lang w:val="pt-PT"/>
        </w:rPr>
      </w:pPr>
      <w:bookmarkStart w:id="1333" w:name="_Toc56099930"/>
      <w:bookmarkStart w:id="1334" w:name="_Toc56099931"/>
      <w:bookmarkStart w:id="1335" w:name="_Toc53267380"/>
      <w:bookmarkStart w:id="1336" w:name="_Toc53268183"/>
      <w:bookmarkStart w:id="1337" w:name="_Toc53268438"/>
      <w:bookmarkStart w:id="1338" w:name="_Toc53350911"/>
      <w:bookmarkStart w:id="1339" w:name="_Toc53352305"/>
      <w:bookmarkStart w:id="1340" w:name="_Toc53353384"/>
      <w:bookmarkStart w:id="1341" w:name="_Toc53370555"/>
      <w:bookmarkStart w:id="1342" w:name="_Toc53370873"/>
      <w:bookmarkStart w:id="1343" w:name="_Toc53453403"/>
      <w:bookmarkStart w:id="1344" w:name="_Toc53495204"/>
      <w:bookmarkStart w:id="1345" w:name="_Toc53528675"/>
      <w:bookmarkStart w:id="1346" w:name="_Toc53529342"/>
      <w:bookmarkStart w:id="1347" w:name="_Toc53547516"/>
      <w:bookmarkStart w:id="1348" w:name="_Toc53547796"/>
      <w:bookmarkStart w:id="1349" w:name="_Toc53551265"/>
      <w:bookmarkStart w:id="1350" w:name="_Toc53552173"/>
      <w:bookmarkStart w:id="1351" w:name="_Toc53557894"/>
      <w:bookmarkStart w:id="1352" w:name="_Toc53570856"/>
      <w:bookmarkStart w:id="1353" w:name="_Toc56072250"/>
      <w:bookmarkStart w:id="1354" w:name="_Toc56072571"/>
      <w:bookmarkStart w:id="1355" w:name="_Toc56099932"/>
      <w:bookmarkStart w:id="1356" w:name="_Toc53267381"/>
      <w:bookmarkStart w:id="1357" w:name="_Toc53268184"/>
      <w:bookmarkStart w:id="1358" w:name="_Toc53268439"/>
      <w:bookmarkStart w:id="1359" w:name="_Toc53350912"/>
      <w:bookmarkStart w:id="1360" w:name="_Toc53352306"/>
      <w:bookmarkStart w:id="1361" w:name="_Toc53353385"/>
      <w:bookmarkStart w:id="1362" w:name="_Toc53370556"/>
      <w:bookmarkStart w:id="1363" w:name="_Toc53370874"/>
      <w:bookmarkStart w:id="1364" w:name="_Toc53453404"/>
      <w:bookmarkStart w:id="1365" w:name="_Toc53495205"/>
      <w:bookmarkStart w:id="1366" w:name="_Toc53528676"/>
      <w:bookmarkStart w:id="1367" w:name="_Toc53529343"/>
      <w:bookmarkStart w:id="1368" w:name="_Toc53547517"/>
      <w:bookmarkStart w:id="1369" w:name="_Toc53547797"/>
      <w:bookmarkStart w:id="1370" w:name="_Toc53551266"/>
      <w:bookmarkStart w:id="1371" w:name="_Toc53552174"/>
      <w:bookmarkStart w:id="1372" w:name="_Toc53557895"/>
      <w:bookmarkStart w:id="1373" w:name="_Toc53570857"/>
      <w:bookmarkStart w:id="1374" w:name="_Toc56072251"/>
      <w:bookmarkStart w:id="1375" w:name="_Toc56072572"/>
      <w:bookmarkStart w:id="1376" w:name="_Toc56099933"/>
      <w:bookmarkStart w:id="1377" w:name="_Toc53267382"/>
      <w:bookmarkStart w:id="1378" w:name="_Toc53268185"/>
      <w:bookmarkStart w:id="1379" w:name="_Toc53268440"/>
      <w:bookmarkStart w:id="1380" w:name="_Toc53350913"/>
      <w:bookmarkStart w:id="1381" w:name="_Toc53352307"/>
      <w:bookmarkStart w:id="1382" w:name="_Toc53353386"/>
      <w:bookmarkStart w:id="1383" w:name="_Toc53370557"/>
      <w:bookmarkStart w:id="1384" w:name="_Toc53370875"/>
      <w:bookmarkStart w:id="1385" w:name="_Toc53453405"/>
      <w:bookmarkStart w:id="1386" w:name="_Toc53495206"/>
      <w:bookmarkStart w:id="1387" w:name="_Toc53528677"/>
      <w:bookmarkStart w:id="1388" w:name="_Toc53529344"/>
      <w:bookmarkStart w:id="1389" w:name="_Toc53547518"/>
      <w:bookmarkStart w:id="1390" w:name="_Toc53547798"/>
      <w:bookmarkStart w:id="1391" w:name="_Toc53551267"/>
      <w:bookmarkStart w:id="1392" w:name="_Toc53552175"/>
      <w:bookmarkStart w:id="1393" w:name="_Toc53557896"/>
      <w:bookmarkStart w:id="1394" w:name="_Toc53570858"/>
      <w:bookmarkStart w:id="1395" w:name="_Toc56072252"/>
      <w:bookmarkStart w:id="1396" w:name="_Toc56072573"/>
      <w:bookmarkStart w:id="1397" w:name="_Toc56099934"/>
      <w:bookmarkStart w:id="1398" w:name="_Toc53267383"/>
      <w:bookmarkStart w:id="1399" w:name="_Toc53268186"/>
      <w:bookmarkStart w:id="1400" w:name="_Toc53268441"/>
      <w:bookmarkStart w:id="1401" w:name="_Toc53350914"/>
      <w:bookmarkStart w:id="1402" w:name="_Toc53352308"/>
      <w:bookmarkStart w:id="1403" w:name="_Toc53353387"/>
      <w:bookmarkStart w:id="1404" w:name="_Toc53370558"/>
      <w:bookmarkStart w:id="1405" w:name="_Toc53370876"/>
      <w:bookmarkStart w:id="1406" w:name="_Toc53453406"/>
      <w:bookmarkStart w:id="1407" w:name="_Toc53495207"/>
      <w:bookmarkStart w:id="1408" w:name="_Toc53528678"/>
      <w:bookmarkStart w:id="1409" w:name="_Toc53529345"/>
      <w:bookmarkStart w:id="1410" w:name="_Toc53547519"/>
      <w:bookmarkStart w:id="1411" w:name="_Toc53547799"/>
      <w:bookmarkStart w:id="1412" w:name="_Toc53551268"/>
      <w:bookmarkStart w:id="1413" w:name="_Toc53552176"/>
      <w:bookmarkStart w:id="1414" w:name="_Toc53557897"/>
      <w:bookmarkStart w:id="1415" w:name="_Toc53570859"/>
      <w:bookmarkStart w:id="1416" w:name="_Toc56072253"/>
      <w:bookmarkStart w:id="1417" w:name="_Toc56072574"/>
      <w:bookmarkStart w:id="1418" w:name="_Toc56099935"/>
      <w:bookmarkStart w:id="1419" w:name="_Toc53267384"/>
      <w:bookmarkStart w:id="1420" w:name="_Toc53268187"/>
      <w:bookmarkStart w:id="1421" w:name="_Toc53268442"/>
      <w:bookmarkStart w:id="1422" w:name="_Toc53350915"/>
      <w:bookmarkStart w:id="1423" w:name="_Toc53352309"/>
      <w:bookmarkStart w:id="1424" w:name="_Toc53353388"/>
      <w:bookmarkStart w:id="1425" w:name="_Toc53370559"/>
      <w:bookmarkStart w:id="1426" w:name="_Toc53370877"/>
      <w:bookmarkStart w:id="1427" w:name="_Toc53453407"/>
      <w:bookmarkStart w:id="1428" w:name="_Toc53495208"/>
      <w:bookmarkStart w:id="1429" w:name="_Toc53528679"/>
      <w:bookmarkStart w:id="1430" w:name="_Toc53529346"/>
      <w:bookmarkStart w:id="1431" w:name="_Toc53547520"/>
      <w:bookmarkStart w:id="1432" w:name="_Toc53547800"/>
      <w:bookmarkStart w:id="1433" w:name="_Toc53551269"/>
      <w:bookmarkStart w:id="1434" w:name="_Toc53552177"/>
      <w:bookmarkStart w:id="1435" w:name="_Toc53557898"/>
      <w:bookmarkStart w:id="1436" w:name="_Toc53570860"/>
      <w:bookmarkStart w:id="1437" w:name="_Toc56072254"/>
      <w:bookmarkStart w:id="1438" w:name="_Toc56072575"/>
      <w:bookmarkStart w:id="1439" w:name="_Toc56099936"/>
      <w:bookmarkStart w:id="1440" w:name="_Toc53267434"/>
      <w:bookmarkStart w:id="1441" w:name="_Toc53268237"/>
      <w:bookmarkStart w:id="1442" w:name="_Toc53268492"/>
      <w:bookmarkStart w:id="1443" w:name="_Toc53350965"/>
      <w:bookmarkStart w:id="1444" w:name="_Toc53352359"/>
      <w:bookmarkStart w:id="1445" w:name="_Toc53353438"/>
      <w:bookmarkStart w:id="1446" w:name="_Toc53453457"/>
      <w:bookmarkStart w:id="1447" w:name="_Toc53495258"/>
      <w:bookmarkStart w:id="1448" w:name="_Toc53528729"/>
      <w:bookmarkStart w:id="1449" w:name="_Toc53529396"/>
      <w:bookmarkStart w:id="1450" w:name="_Toc56099986"/>
      <w:bookmarkStart w:id="1451" w:name="_Toc53267449"/>
      <w:bookmarkStart w:id="1452" w:name="_Toc53268252"/>
      <w:bookmarkStart w:id="1453" w:name="_Toc53268507"/>
      <w:bookmarkStart w:id="1454" w:name="_Toc53350980"/>
      <w:bookmarkStart w:id="1455" w:name="_Toc53352374"/>
      <w:bookmarkStart w:id="1456" w:name="_Toc53353453"/>
      <w:bookmarkStart w:id="1457" w:name="_Toc53453472"/>
      <w:bookmarkStart w:id="1458" w:name="_Toc53495273"/>
      <w:bookmarkStart w:id="1459" w:name="_Toc53528744"/>
      <w:bookmarkStart w:id="1460" w:name="_Toc53529411"/>
      <w:bookmarkStart w:id="1461" w:name="_Toc56100001"/>
      <w:bookmarkStart w:id="1462" w:name="_Toc511374709"/>
      <w:bookmarkStart w:id="1463" w:name="_Toc511374710"/>
      <w:bookmarkStart w:id="1464" w:name="_Toc511374711"/>
      <w:bookmarkStart w:id="1465" w:name="_Toc511374712"/>
      <w:bookmarkStart w:id="1466" w:name="_Toc511374713"/>
      <w:bookmarkStart w:id="1467" w:name="_Toc511374714"/>
      <w:bookmarkStart w:id="1468" w:name="_Toc511374717"/>
      <w:bookmarkStart w:id="1469" w:name="_Toc511374718"/>
      <w:bookmarkStart w:id="1470" w:name="_Toc511374719"/>
      <w:bookmarkStart w:id="1471" w:name="_Toc511374723"/>
      <w:bookmarkStart w:id="1472" w:name="_Toc511374724"/>
      <w:bookmarkStart w:id="1473" w:name="_Toc511374725"/>
      <w:bookmarkStart w:id="1474" w:name="_Toc511374726"/>
      <w:bookmarkStart w:id="1475" w:name="_Toc511374727"/>
      <w:bookmarkStart w:id="1476" w:name="_Toc511374728"/>
      <w:bookmarkStart w:id="1477" w:name="_Toc511374729"/>
      <w:bookmarkStart w:id="1478" w:name="_Toc511374730"/>
      <w:bookmarkStart w:id="1479" w:name="_Toc511374731"/>
      <w:bookmarkStart w:id="1480" w:name="_Toc511374736"/>
      <w:bookmarkStart w:id="1481" w:name="_Toc511374737"/>
      <w:bookmarkStart w:id="1482" w:name="_Toc511374738"/>
      <w:bookmarkStart w:id="1483" w:name="_Toc511374739"/>
      <w:bookmarkStart w:id="1484" w:name="_Toc511374740"/>
      <w:bookmarkStart w:id="1485" w:name="_Toc511230001"/>
      <w:bookmarkStart w:id="1486" w:name="_Toc511230003"/>
      <w:bookmarkStart w:id="1487" w:name="_Toc53267488"/>
      <w:bookmarkStart w:id="1488" w:name="_Toc53268291"/>
      <w:bookmarkStart w:id="1489" w:name="_Toc53268546"/>
      <w:bookmarkStart w:id="1490" w:name="_Toc53351019"/>
      <w:bookmarkStart w:id="1491" w:name="_Toc53352413"/>
      <w:bookmarkStart w:id="1492" w:name="_Toc53353492"/>
      <w:bookmarkStart w:id="1493" w:name="_Toc53370655"/>
      <w:bookmarkStart w:id="1494" w:name="_Toc53370973"/>
      <w:bookmarkStart w:id="1495" w:name="_Toc53453511"/>
      <w:bookmarkStart w:id="1496" w:name="_Toc53495312"/>
      <w:bookmarkStart w:id="1497" w:name="_Toc56100044"/>
      <w:bookmarkStart w:id="1498" w:name="_Toc56100045"/>
      <w:bookmarkStart w:id="1499" w:name="page4"/>
      <w:bookmarkStart w:id="1500" w:name="_Toc67923227"/>
      <w:bookmarkStart w:id="1501" w:name="_Toc67924103"/>
      <w:bookmarkStart w:id="1502" w:name="_Toc67923228"/>
      <w:bookmarkStart w:id="1503" w:name="_Toc67924104"/>
      <w:bookmarkStart w:id="1504" w:name="page6"/>
      <w:bookmarkStart w:id="1505" w:name="_Toc67923230"/>
      <w:bookmarkStart w:id="1506" w:name="_Toc67924106"/>
      <w:bookmarkStart w:id="1507" w:name="page11"/>
      <w:bookmarkStart w:id="1508" w:name="_Toc53547626"/>
      <w:bookmarkStart w:id="1509" w:name="_Toc53547906"/>
      <w:bookmarkStart w:id="1510" w:name="_Toc53551375"/>
      <w:bookmarkStart w:id="1511" w:name="_Toc53552283"/>
      <w:bookmarkStart w:id="1512" w:name="_Toc53558004"/>
      <w:bookmarkStart w:id="1513" w:name="_Hlk49341986"/>
      <w:bookmarkStart w:id="1514" w:name="_Toc466617742"/>
      <w:bookmarkStart w:id="1515" w:name="_Toc522885901"/>
      <w:bookmarkStart w:id="1516" w:name="_Toc524983481"/>
      <w:bookmarkStart w:id="1517" w:name="_Toc518569772"/>
      <w:bookmarkStart w:id="1518" w:name="_Toc524983505"/>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p>
    <w:p w14:paraId="312B0CFC" w14:textId="77777777" w:rsidR="00B31AE2" w:rsidRPr="00292532" w:rsidRDefault="00B31AE2" w:rsidP="00AE14AE">
      <w:pPr>
        <w:keepNext/>
        <w:numPr>
          <w:ilvl w:val="0"/>
          <w:numId w:val="147"/>
        </w:numPr>
        <w:tabs>
          <w:tab w:val="left" w:pos="1134"/>
        </w:tabs>
        <w:suppressAutoHyphens/>
        <w:autoSpaceDE w:val="0"/>
        <w:autoSpaceDN w:val="0"/>
        <w:adjustRightInd w:val="0"/>
        <w:spacing w:before="0" w:line="259" w:lineRule="auto"/>
        <w:ind w:left="431" w:hanging="431"/>
        <w:jc w:val="left"/>
        <w:outlineLvl w:val="0"/>
        <w:rPr>
          <w:rFonts w:ascii="Arial" w:eastAsia="Times New Roman" w:hAnsi="Arial" w:cs="Arial"/>
          <w:b/>
          <w:color w:val="4472C4"/>
          <w:sz w:val="26"/>
          <w:szCs w:val="26"/>
          <w:lang w:val="pt-PT"/>
        </w:rPr>
      </w:pPr>
      <w:bookmarkStart w:id="1519" w:name="_Toc74922404"/>
      <w:bookmarkStart w:id="1520" w:name="_Toc75438091"/>
      <w:bookmarkStart w:id="1521" w:name="_Toc78435528"/>
      <w:bookmarkStart w:id="1522" w:name="_Toc80380194"/>
      <w:r w:rsidRPr="00292532">
        <w:rPr>
          <w:rFonts w:ascii="Arial" w:eastAsia="Times New Roman" w:hAnsi="Arial" w:cs="Arial"/>
          <w:b/>
          <w:color w:val="4472C4"/>
          <w:sz w:val="26"/>
          <w:szCs w:val="26"/>
          <w:lang w:val="pt-PT"/>
        </w:rPr>
        <w:t>PLANIFICAÇÃO PARA A IMPLEMENTAÇÃO DO PLANO</w:t>
      </w:r>
      <w:bookmarkEnd w:id="1519"/>
      <w:bookmarkEnd w:id="1520"/>
      <w:bookmarkEnd w:id="1521"/>
      <w:bookmarkEnd w:id="1522"/>
    </w:p>
    <w:p w14:paraId="5B9DE108" w14:textId="77777777" w:rsidR="00B31AE2" w:rsidRPr="00292532" w:rsidRDefault="00B31AE2" w:rsidP="00AE14AE">
      <w:pPr>
        <w:keepNext/>
        <w:numPr>
          <w:ilvl w:val="1"/>
          <w:numId w:val="147"/>
        </w:numPr>
        <w:tabs>
          <w:tab w:val="left" w:pos="1145"/>
        </w:tabs>
        <w:suppressAutoHyphens/>
        <w:autoSpaceDE w:val="0"/>
        <w:autoSpaceDN w:val="0"/>
        <w:adjustRightInd w:val="0"/>
        <w:spacing w:before="0" w:line="259" w:lineRule="auto"/>
        <w:jc w:val="left"/>
        <w:outlineLvl w:val="1"/>
        <w:rPr>
          <w:rFonts w:ascii="Arial" w:eastAsia="Times New Roman" w:hAnsi="Arial" w:cs="Arial"/>
          <w:b/>
          <w:color w:val="2F5496"/>
          <w:sz w:val="26"/>
          <w:szCs w:val="26"/>
          <w:lang w:val="pt-PT"/>
        </w:rPr>
      </w:pPr>
      <w:bookmarkStart w:id="1523" w:name="_Toc74922405"/>
      <w:bookmarkStart w:id="1524" w:name="_Toc75438092"/>
      <w:bookmarkStart w:id="1525" w:name="_Toc78435529"/>
      <w:bookmarkStart w:id="1526" w:name="_Toc80380195"/>
      <w:r w:rsidRPr="00292532">
        <w:rPr>
          <w:rFonts w:ascii="Arial" w:eastAsia="Times New Roman" w:hAnsi="Arial" w:cs="Arial"/>
          <w:b/>
          <w:color w:val="2F5496"/>
          <w:sz w:val="26"/>
          <w:szCs w:val="26"/>
          <w:lang w:val="pt-PT"/>
        </w:rPr>
        <w:t>Criação da Comissão Institucional de Gestão de COVID-19 (CIGCOVID-19)</w:t>
      </w:r>
      <w:bookmarkEnd w:id="1523"/>
      <w:bookmarkEnd w:id="1524"/>
      <w:bookmarkEnd w:id="1525"/>
      <w:bookmarkEnd w:id="1526"/>
    </w:p>
    <w:p w14:paraId="52CEE6AB" w14:textId="77777777" w:rsidR="00B31AE2" w:rsidRPr="00292532" w:rsidRDefault="00B31AE2" w:rsidP="00B31AE2">
      <w:pPr>
        <w:spacing w:before="0" w:line="259" w:lineRule="auto"/>
        <w:rPr>
          <w:rFonts w:ascii="Arial" w:eastAsia="Calibri" w:hAnsi="Arial" w:cs="Arial"/>
          <w:sz w:val="20"/>
          <w:szCs w:val="20"/>
          <w:lang w:val="pt-PT"/>
        </w:rPr>
      </w:pPr>
      <w:r w:rsidRPr="00292532">
        <w:rPr>
          <w:rFonts w:ascii="Arial" w:eastAsia="Calibri" w:hAnsi="Arial" w:cs="Arial"/>
          <w:sz w:val="20"/>
          <w:szCs w:val="20"/>
          <w:lang w:val="pt-PT"/>
        </w:rPr>
        <w:t xml:space="preserve">O empreiteiro deve constituir uma Comissão Institucional de Gestão da COVID-19 (CIGCOVID-19). A CIGCOVID-19 deve ser constituída por pessoas treinadas em matéria da COVID-19, podendo ser a equipe ambiental, social e de saúde e segurança ocupacional. </w:t>
      </w:r>
    </w:p>
    <w:p w14:paraId="66740423" w14:textId="77777777" w:rsidR="00B31AE2" w:rsidRPr="00292532" w:rsidRDefault="00B31AE2" w:rsidP="00B31AE2">
      <w:pPr>
        <w:spacing w:before="0" w:after="0" w:line="259" w:lineRule="auto"/>
        <w:rPr>
          <w:rFonts w:ascii="Arial" w:eastAsia="Calibri" w:hAnsi="Arial" w:cs="Arial"/>
          <w:sz w:val="20"/>
          <w:szCs w:val="20"/>
          <w:lang w:val="pt-PT"/>
        </w:rPr>
      </w:pPr>
      <w:r w:rsidRPr="00292532">
        <w:rPr>
          <w:rFonts w:ascii="Arial" w:eastAsia="Calibri" w:hAnsi="Arial" w:cs="Arial"/>
          <w:sz w:val="20"/>
          <w:szCs w:val="20"/>
          <w:lang w:val="pt-PT"/>
        </w:rPr>
        <w:t xml:space="preserve">As responsabilidades gerais da comissão estão apresentadas na </w:t>
      </w:r>
      <w:r w:rsidRPr="00292532">
        <w:rPr>
          <w:rFonts w:ascii="Arial" w:eastAsia="Calibri" w:hAnsi="Arial" w:cs="Arial"/>
          <w:color w:val="4472C4"/>
          <w:sz w:val="20"/>
          <w:szCs w:val="20"/>
          <w:lang w:val="pt-PT"/>
        </w:rPr>
        <w:t>Secção acima</w:t>
      </w:r>
      <w:r w:rsidRPr="00292532">
        <w:rPr>
          <w:rFonts w:ascii="Arial" w:eastAsia="Calibri" w:hAnsi="Arial" w:cs="Arial"/>
          <w:sz w:val="20"/>
          <w:szCs w:val="20"/>
          <w:lang w:val="pt-PT"/>
        </w:rPr>
        <w:t>. Ela fará a gestão da ocorrência dos casos suspeitos e confirmados</w:t>
      </w:r>
      <w:r w:rsidRPr="00292532">
        <w:rPr>
          <w:rFonts w:ascii="Arial" w:eastAsia="Calibri" w:hAnsi="Arial" w:cs="Arial"/>
          <w:sz w:val="20"/>
          <w:szCs w:val="20"/>
          <w:vertAlign w:val="superscript"/>
          <w:lang w:val="pt-PT"/>
        </w:rPr>
        <w:footnoteReference w:id="32"/>
      </w:r>
      <w:r w:rsidRPr="00292532">
        <w:rPr>
          <w:rFonts w:ascii="Arial" w:eastAsia="Calibri" w:hAnsi="Arial" w:cs="Arial"/>
          <w:sz w:val="20"/>
          <w:szCs w:val="20"/>
          <w:lang w:val="pt-PT"/>
        </w:rPr>
        <w:t xml:space="preserve">, garante contacto com as autoridades de saúde e a coordenação de todos os </w:t>
      </w:r>
      <w:proofErr w:type="spellStart"/>
      <w:r w:rsidRPr="00292532">
        <w:rPr>
          <w:rFonts w:ascii="Arial" w:eastAsia="Calibri" w:hAnsi="Arial" w:cs="Arial"/>
          <w:sz w:val="20"/>
          <w:szCs w:val="20"/>
          <w:lang w:val="pt-PT"/>
        </w:rPr>
        <w:t>aspectos</w:t>
      </w:r>
      <w:proofErr w:type="spellEnd"/>
      <w:r w:rsidRPr="00292532">
        <w:rPr>
          <w:rFonts w:ascii="Arial" w:eastAsia="Calibri" w:hAnsi="Arial" w:cs="Arial"/>
          <w:sz w:val="20"/>
          <w:szCs w:val="20"/>
          <w:lang w:val="pt-PT"/>
        </w:rPr>
        <w:t xml:space="preserve"> por forma a minimizar os impactos da COVID-19 no ambiente de trabalho (ex. treinamentos, definição de áreas de isolamento, criação e implementação de planos de </w:t>
      </w:r>
      <w:proofErr w:type="spellStart"/>
      <w:r w:rsidRPr="00292532">
        <w:rPr>
          <w:rFonts w:ascii="Arial" w:eastAsia="Calibri" w:hAnsi="Arial" w:cs="Arial"/>
          <w:sz w:val="20"/>
          <w:szCs w:val="20"/>
          <w:lang w:val="pt-PT"/>
        </w:rPr>
        <w:t>acção</w:t>
      </w:r>
      <w:proofErr w:type="spellEnd"/>
      <w:r w:rsidRPr="00292532">
        <w:rPr>
          <w:rFonts w:ascii="Arial" w:eastAsia="Calibri" w:hAnsi="Arial" w:cs="Arial"/>
          <w:sz w:val="20"/>
          <w:szCs w:val="20"/>
          <w:lang w:val="pt-PT"/>
        </w:rPr>
        <w:t xml:space="preserve"> específicos, etc.).</w:t>
      </w:r>
    </w:p>
    <w:p w14:paraId="0BCFA0A3" w14:textId="77777777" w:rsidR="00B31AE2" w:rsidRPr="00292532" w:rsidRDefault="00B31AE2" w:rsidP="00B31AE2">
      <w:pPr>
        <w:spacing w:before="0" w:after="0" w:line="259" w:lineRule="auto"/>
        <w:rPr>
          <w:rFonts w:ascii="Arial" w:eastAsia="Calibri" w:hAnsi="Arial" w:cs="Arial"/>
          <w:sz w:val="20"/>
          <w:szCs w:val="20"/>
          <w:lang w:val="pt-PT"/>
        </w:rPr>
      </w:pPr>
    </w:p>
    <w:p w14:paraId="37525299" w14:textId="77777777" w:rsidR="00B31AE2" w:rsidRPr="00292532" w:rsidRDefault="00B31AE2" w:rsidP="00AE14AE">
      <w:pPr>
        <w:keepNext/>
        <w:numPr>
          <w:ilvl w:val="1"/>
          <w:numId w:val="147"/>
        </w:numPr>
        <w:tabs>
          <w:tab w:val="left" w:pos="1145"/>
        </w:tabs>
        <w:suppressAutoHyphens/>
        <w:autoSpaceDE w:val="0"/>
        <w:autoSpaceDN w:val="0"/>
        <w:adjustRightInd w:val="0"/>
        <w:spacing w:before="0" w:line="259" w:lineRule="auto"/>
        <w:jc w:val="left"/>
        <w:outlineLvl w:val="1"/>
        <w:rPr>
          <w:rFonts w:ascii="Arial" w:eastAsia="Times New Roman" w:hAnsi="Arial" w:cs="Arial"/>
          <w:b/>
          <w:color w:val="2F5496"/>
          <w:sz w:val="26"/>
          <w:szCs w:val="26"/>
          <w:lang w:val="pt-PT"/>
        </w:rPr>
      </w:pPr>
      <w:bookmarkStart w:id="1527" w:name="_Toc72056291"/>
      <w:bookmarkStart w:id="1528" w:name="_Toc72057452"/>
      <w:bookmarkStart w:id="1529" w:name="_Toc72057571"/>
      <w:bookmarkStart w:id="1530" w:name="_Toc72056292"/>
      <w:bookmarkStart w:id="1531" w:name="_Toc72057453"/>
      <w:bookmarkStart w:id="1532" w:name="_Toc72057572"/>
      <w:bookmarkStart w:id="1533" w:name="_Toc72056293"/>
      <w:bookmarkStart w:id="1534" w:name="_Toc72057454"/>
      <w:bookmarkStart w:id="1535" w:name="_Toc72057573"/>
      <w:bookmarkStart w:id="1536" w:name="_Toc69104348"/>
      <w:bookmarkStart w:id="1537" w:name="_Toc69149726"/>
      <w:bookmarkStart w:id="1538" w:name="_Toc69149807"/>
      <w:bookmarkStart w:id="1539" w:name="_Ref69067593"/>
      <w:bookmarkStart w:id="1540" w:name="_Toc74922406"/>
      <w:bookmarkStart w:id="1541" w:name="_Toc75438093"/>
      <w:bookmarkStart w:id="1542" w:name="_Toc78435530"/>
      <w:bookmarkStart w:id="1543" w:name="_Toc80380196"/>
      <w:bookmarkEnd w:id="1527"/>
      <w:bookmarkEnd w:id="1528"/>
      <w:bookmarkEnd w:id="1529"/>
      <w:bookmarkEnd w:id="1530"/>
      <w:bookmarkEnd w:id="1531"/>
      <w:bookmarkEnd w:id="1532"/>
      <w:bookmarkEnd w:id="1533"/>
      <w:bookmarkEnd w:id="1534"/>
      <w:bookmarkEnd w:id="1535"/>
      <w:bookmarkEnd w:id="1536"/>
      <w:bookmarkEnd w:id="1537"/>
      <w:bookmarkEnd w:id="1538"/>
      <w:r w:rsidRPr="00292532">
        <w:rPr>
          <w:rFonts w:ascii="Arial" w:eastAsia="Times New Roman" w:hAnsi="Arial" w:cs="Arial"/>
          <w:b/>
          <w:color w:val="2F5496"/>
          <w:sz w:val="26"/>
          <w:szCs w:val="26"/>
          <w:lang w:val="pt-PT"/>
        </w:rPr>
        <w:t>Estabelecimento de áreas de isolamento</w:t>
      </w:r>
      <w:bookmarkEnd w:id="1539"/>
      <w:bookmarkEnd w:id="1540"/>
      <w:bookmarkEnd w:id="1541"/>
      <w:bookmarkEnd w:id="1542"/>
      <w:bookmarkEnd w:id="1543"/>
    </w:p>
    <w:p w14:paraId="6C379910" w14:textId="77777777" w:rsidR="00B31AE2" w:rsidRPr="00292532" w:rsidRDefault="00B31AE2" w:rsidP="00B31AE2">
      <w:pPr>
        <w:spacing w:before="0"/>
        <w:rPr>
          <w:rFonts w:ascii="Arial" w:eastAsia="Calibri" w:hAnsi="Arial" w:cs="Arial"/>
          <w:sz w:val="20"/>
          <w:szCs w:val="20"/>
          <w:lang w:val="pt-PT"/>
        </w:rPr>
      </w:pPr>
      <w:r w:rsidRPr="00292532">
        <w:rPr>
          <w:rFonts w:ascii="Arial" w:eastAsia="Calibri" w:hAnsi="Arial" w:cs="Arial"/>
          <w:sz w:val="20"/>
          <w:szCs w:val="20"/>
          <w:lang w:val="pt-PT"/>
        </w:rPr>
        <w:t>As áreas de isolamento devem ser identificadas e estabelecidas e divulgadas em todas as frentes de trabalho.  Ao se estabelecer uma área de isolamento, sempre que possível deve-se garantir que tenha:</w:t>
      </w:r>
    </w:p>
    <w:p w14:paraId="2BF7E0B7" w14:textId="77777777" w:rsidR="00B31AE2" w:rsidRPr="00292532" w:rsidRDefault="00B31AE2" w:rsidP="00AE14AE">
      <w:pPr>
        <w:numPr>
          <w:ilvl w:val="0"/>
          <w:numId w:val="151"/>
        </w:numPr>
        <w:autoSpaceDE w:val="0"/>
        <w:autoSpaceDN w:val="0"/>
        <w:adjustRightInd w:val="0"/>
        <w:spacing w:before="0" w:after="200" w:line="259" w:lineRule="auto"/>
        <w:contextualSpacing/>
        <w:jc w:val="left"/>
        <w:rPr>
          <w:rFonts w:ascii="Arial" w:eastAsia="Calibri" w:hAnsi="Arial" w:cs="Arial"/>
          <w:sz w:val="20"/>
          <w:szCs w:val="20"/>
          <w:lang w:val="pt-PT"/>
        </w:rPr>
      </w:pPr>
      <w:r w:rsidRPr="00292532">
        <w:rPr>
          <w:rFonts w:ascii="Arial" w:eastAsia="Calibri" w:hAnsi="Arial" w:cs="Arial"/>
          <w:sz w:val="20"/>
          <w:szCs w:val="20"/>
          <w:lang w:val="pt-PT"/>
        </w:rPr>
        <w:t>Ventilação natural - evitando que a ventilação contamine locais com outros trabalhadores.</w:t>
      </w:r>
    </w:p>
    <w:p w14:paraId="5F74A784" w14:textId="77777777" w:rsidR="00B31AE2" w:rsidRPr="00292532" w:rsidRDefault="00B31AE2" w:rsidP="00AE14AE">
      <w:pPr>
        <w:numPr>
          <w:ilvl w:val="0"/>
          <w:numId w:val="151"/>
        </w:numPr>
        <w:autoSpaceDE w:val="0"/>
        <w:autoSpaceDN w:val="0"/>
        <w:adjustRightInd w:val="0"/>
        <w:spacing w:before="0" w:after="200" w:line="259" w:lineRule="auto"/>
        <w:contextualSpacing/>
        <w:jc w:val="left"/>
        <w:rPr>
          <w:rFonts w:ascii="Arial" w:eastAsia="Calibri" w:hAnsi="Arial" w:cs="Arial"/>
          <w:sz w:val="20"/>
          <w:szCs w:val="20"/>
          <w:lang w:val="pt-PT"/>
        </w:rPr>
      </w:pPr>
      <w:r w:rsidRPr="00292532">
        <w:rPr>
          <w:rFonts w:ascii="Arial" w:eastAsia="Calibri" w:hAnsi="Arial" w:cs="Arial"/>
          <w:sz w:val="20"/>
          <w:szCs w:val="20"/>
          <w:lang w:val="pt-PT"/>
        </w:rPr>
        <w:t xml:space="preserve">Equipamento de repouso (cadeira, </w:t>
      </w:r>
      <w:proofErr w:type="spellStart"/>
      <w:r w:rsidRPr="00292532">
        <w:rPr>
          <w:rFonts w:ascii="Arial" w:eastAsia="Calibri" w:hAnsi="Arial" w:cs="Arial"/>
          <w:sz w:val="20"/>
          <w:szCs w:val="20"/>
          <w:lang w:val="pt-PT"/>
        </w:rPr>
        <w:t>etc</w:t>
      </w:r>
      <w:proofErr w:type="spellEnd"/>
      <w:r w:rsidRPr="00292532">
        <w:rPr>
          <w:rFonts w:ascii="Arial" w:eastAsia="Calibri" w:hAnsi="Arial" w:cs="Arial"/>
          <w:sz w:val="20"/>
          <w:szCs w:val="20"/>
          <w:lang w:val="pt-PT"/>
        </w:rPr>
        <w:t>).</w:t>
      </w:r>
    </w:p>
    <w:p w14:paraId="194B6765" w14:textId="77777777" w:rsidR="00B31AE2" w:rsidRPr="00292532" w:rsidRDefault="00B31AE2" w:rsidP="00AE14AE">
      <w:pPr>
        <w:numPr>
          <w:ilvl w:val="0"/>
          <w:numId w:val="151"/>
        </w:numPr>
        <w:autoSpaceDE w:val="0"/>
        <w:autoSpaceDN w:val="0"/>
        <w:adjustRightInd w:val="0"/>
        <w:spacing w:before="0" w:after="200" w:line="259" w:lineRule="auto"/>
        <w:contextualSpacing/>
        <w:jc w:val="left"/>
        <w:rPr>
          <w:rFonts w:ascii="Arial" w:eastAsia="Calibri" w:hAnsi="Arial" w:cs="Arial"/>
          <w:sz w:val="20"/>
          <w:szCs w:val="20"/>
          <w:lang w:val="pt-PT"/>
        </w:rPr>
      </w:pPr>
      <w:r w:rsidRPr="00292532">
        <w:rPr>
          <w:rFonts w:ascii="Arial" w:eastAsia="Calibri" w:hAnsi="Arial" w:cs="Arial"/>
          <w:sz w:val="20"/>
          <w:szCs w:val="20"/>
          <w:lang w:val="pt-PT"/>
        </w:rPr>
        <w:t xml:space="preserve">Equipamento de </w:t>
      </w:r>
      <w:proofErr w:type="spellStart"/>
      <w:r w:rsidRPr="00292532">
        <w:rPr>
          <w:rFonts w:ascii="Arial" w:eastAsia="Calibri" w:hAnsi="Arial" w:cs="Arial"/>
          <w:sz w:val="20"/>
          <w:szCs w:val="20"/>
          <w:lang w:val="pt-PT"/>
        </w:rPr>
        <w:t>Protecção</w:t>
      </w:r>
      <w:proofErr w:type="spellEnd"/>
      <w:r w:rsidRPr="00292532">
        <w:rPr>
          <w:rFonts w:ascii="Arial" w:eastAsia="Calibri" w:hAnsi="Arial" w:cs="Arial"/>
          <w:sz w:val="20"/>
          <w:szCs w:val="20"/>
          <w:lang w:val="pt-PT"/>
        </w:rPr>
        <w:t xml:space="preserve"> Individual:</w:t>
      </w:r>
    </w:p>
    <w:p w14:paraId="7CCA4B81" w14:textId="77777777" w:rsidR="00B31AE2" w:rsidRPr="00292532" w:rsidRDefault="00B31AE2" w:rsidP="00AE14AE">
      <w:pPr>
        <w:numPr>
          <w:ilvl w:val="1"/>
          <w:numId w:val="151"/>
        </w:numPr>
        <w:autoSpaceDE w:val="0"/>
        <w:autoSpaceDN w:val="0"/>
        <w:adjustRightInd w:val="0"/>
        <w:spacing w:before="0" w:after="200" w:line="259" w:lineRule="auto"/>
        <w:contextualSpacing/>
        <w:jc w:val="left"/>
        <w:rPr>
          <w:rFonts w:ascii="Arial" w:eastAsia="Calibri" w:hAnsi="Arial" w:cs="Arial"/>
          <w:sz w:val="20"/>
          <w:szCs w:val="20"/>
          <w:lang w:val="pt-PT"/>
        </w:rPr>
      </w:pPr>
      <w:r w:rsidRPr="00292532">
        <w:rPr>
          <w:rFonts w:ascii="Arial" w:eastAsia="Calibri" w:hAnsi="Arial" w:cs="Arial"/>
          <w:sz w:val="20"/>
          <w:szCs w:val="20"/>
          <w:lang w:val="pt-PT"/>
        </w:rPr>
        <w:t>máscaras descartáveis.</w:t>
      </w:r>
    </w:p>
    <w:p w14:paraId="77BF8E71" w14:textId="77777777" w:rsidR="00B31AE2" w:rsidRPr="00292532" w:rsidRDefault="00B31AE2" w:rsidP="00AE14AE">
      <w:pPr>
        <w:numPr>
          <w:ilvl w:val="1"/>
          <w:numId w:val="151"/>
        </w:numPr>
        <w:autoSpaceDE w:val="0"/>
        <w:autoSpaceDN w:val="0"/>
        <w:adjustRightInd w:val="0"/>
        <w:spacing w:before="0" w:after="200" w:line="259" w:lineRule="auto"/>
        <w:contextualSpacing/>
        <w:jc w:val="left"/>
        <w:rPr>
          <w:rFonts w:ascii="Arial" w:eastAsia="Calibri" w:hAnsi="Arial" w:cs="Arial"/>
          <w:sz w:val="20"/>
          <w:szCs w:val="20"/>
          <w:lang w:val="pt-PT"/>
        </w:rPr>
      </w:pPr>
      <w:r w:rsidRPr="00292532">
        <w:rPr>
          <w:rFonts w:ascii="Arial" w:eastAsia="Calibri" w:hAnsi="Arial" w:cs="Arial"/>
          <w:sz w:val="20"/>
          <w:szCs w:val="20"/>
          <w:lang w:val="pt-PT"/>
        </w:rPr>
        <w:t>viseira.</w:t>
      </w:r>
    </w:p>
    <w:p w14:paraId="0AC88B8D" w14:textId="77777777" w:rsidR="00B31AE2" w:rsidRPr="00292532" w:rsidRDefault="00B31AE2" w:rsidP="00AE14AE">
      <w:pPr>
        <w:numPr>
          <w:ilvl w:val="1"/>
          <w:numId w:val="151"/>
        </w:numPr>
        <w:autoSpaceDE w:val="0"/>
        <w:autoSpaceDN w:val="0"/>
        <w:adjustRightInd w:val="0"/>
        <w:spacing w:before="0" w:after="200" w:line="259" w:lineRule="auto"/>
        <w:contextualSpacing/>
        <w:jc w:val="left"/>
        <w:rPr>
          <w:rFonts w:ascii="Arial" w:eastAsia="Calibri" w:hAnsi="Arial" w:cs="Arial"/>
          <w:sz w:val="20"/>
          <w:szCs w:val="20"/>
          <w:lang w:val="pt-PT"/>
        </w:rPr>
      </w:pPr>
      <w:r w:rsidRPr="00292532">
        <w:rPr>
          <w:rFonts w:ascii="Arial" w:eastAsia="Calibri" w:hAnsi="Arial" w:cs="Arial"/>
          <w:sz w:val="20"/>
          <w:szCs w:val="20"/>
          <w:lang w:val="pt-PT"/>
        </w:rPr>
        <w:t>luvas descartáveis.</w:t>
      </w:r>
    </w:p>
    <w:p w14:paraId="4A9E557F" w14:textId="77777777" w:rsidR="00B31AE2" w:rsidRPr="00292532" w:rsidRDefault="00B31AE2" w:rsidP="00AE14AE">
      <w:pPr>
        <w:numPr>
          <w:ilvl w:val="0"/>
          <w:numId w:val="151"/>
        </w:numPr>
        <w:autoSpaceDE w:val="0"/>
        <w:autoSpaceDN w:val="0"/>
        <w:adjustRightInd w:val="0"/>
        <w:spacing w:before="0" w:after="200" w:line="259" w:lineRule="auto"/>
        <w:contextualSpacing/>
        <w:jc w:val="left"/>
        <w:rPr>
          <w:rFonts w:ascii="Arial" w:eastAsia="Calibri" w:hAnsi="Arial" w:cs="Arial"/>
          <w:sz w:val="20"/>
          <w:szCs w:val="20"/>
          <w:lang w:val="pt-PT"/>
        </w:rPr>
      </w:pPr>
      <w:r w:rsidRPr="00292532">
        <w:rPr>
          <w:rFonts w:ascii="Arial" w:eastAsia="Calibri" w:hAnsi="Arial" w:cs="Arial"/>
          <w:sz w:val="20"/>
          <w:szCs w:val="20"/>
          <w:lang w:val="pt-PT"/>
        </w:rPr>
        <w:t xml:space="preserve">Solução </w:t>
      </w:r>
      <w:proofErr w:type="spellStart"/>
      <w:r w:rsidRPr="00292532">
        <w:rPr>
          <w:rFonts w:ascii="Arial" w:eastAsia="Calibri" w:hAnsi="Arial" w:cs="Arial"/>
          <w:sz w:val="20"/>
          <w:szCs w:val="20"/>
          <w:lang w:val="pt-PT"/>
        </w:rPr>
        <w:t>anticéptica</w:t>
      </w:r>
      <w:proofErr w:type="spellEnd"/>
      <w:r w:rsidRPr="00292532">
        <w:rPr>
          <w:rFonts w:ascii="Arial" w:eastAsia="Calibri" w:hAnsi="Arial" w:cs="Arial"/>
          <w:sz w:val="20"/>
          <w:szCs w:val="20"/>
          <w:lang w:val="pt-PT"/>
        </w:rPr>
        <w:t xml:space="preserve"> para a </w:t>
      </w:r>
      <w:proofErr w:type="spellStart"/>
      <w:r w:rsidRPr="00292532">
        <w:rPr>
          <w:rFonts w:ascii="Arial" w:eastAsia="Calibri" w:hAnsi="Arial" w:cs="Arial"/>
          <w:sz w:val="20"/>
          <w:szCs w:val="20"/>
          <w:lang w:val="pt-PT"/>
        </w:rPr>
        <w:t>desinfecção</w:t>
      </w:r>
      <w:proofErr w:type="spellEnd"/>
      <w:r w:rsidRPr="00292532">
        <w:rPr>
          <w:rFonts w:ascii="Arial" w:eastAsia="Calibri" w:hAnsi="Arial" w:cs="Arial"/>
          <w:sz w:val="20"/>
          <w:szCs w:val="20"/>
          <w:lang w:val="pt-PT"/>
        </w:rPr>
        <w:t xml:space="preserve"> (água e sabão/álcool).</w:t>
      </w:r>
    </w:p>
    <w:p w14:paraId="3742C899" w14:textId="77777777" w:rsidR="00B31AE2" w:rsidRPr="00292532" w:rsidRDefault="00B31AE2" w:rsidP="00AE14AE">
      <w:pPr>
        <w:numPr>
          <w:ilvl w:val="0"/>
          <w:numId w:val="151"/>
        </w:numPr>
        <w:autoSpaceDE w:val="0"/>
        <w:autoSpaceDN w:val="0"/>
        <w:adjustRightInd w:val="0"/>
        <w:spacing w:before="0" w:after="200" w:line="259" w:lineRule="auto"/>
        <w:contextualSpacing/>
        <w:jc w:val="left"/>
        <w:rPr>
          <w:rFonts w:ascii="Arial" w:eastAsia="Calibri" w:hAnsi="Arial" w:cs="Arial"/>
          <w:sz w:val="20"/>
          <w:szCs w:val="20"/>
          <w:lang w:val="pt-PT"/>
        </w:rPr>
      </w:pPr>
      <w:r w:rsidRPr="00292532">
        <w:rPr>
          <w:rFonts w:ascii="Arial" w:eastAsia="Calibri" w:hAnsi="Arial" w:cs="Arial"/>
          <w:sz w:val="20"/>
          <w:szCs w:val="20"/>
          <w:lang w:val="pt-PT"/>
        </w:rPr>
        <w:t>Água engarrafada.</w:t>
      </w:r>
    </w:p>
    <w:p w14:paraId="181658CC" w14:textId="77777777" w:rsidR="00B31AE2" w:rsidRPr="00292532" w:rsidRDefault="00B31AE2" w:rsidP="00AE14AE">
      <w:pPr>
        <w:numPr>
          <w:ilvl w:val="0"/>
          <w:numId w:val="151"/>
        </w:numPr>
        <w:autoSpaceDE w:val="0"/>
        <w:autoSpaceDN w:val="0"/>
        <w:adjustRightInd w:val="0"/>
        <w:spacing w:before="0" w:after="200" w:line="259" w:lineRule="auto"/>
        <w:contextualSpacing/>
        <w:jc w:val="left"/>
        <w:rPr>
          <w:rFonts w:ascii="Arial" w:eastAsia="Calibri" w:hAnsi="Arial" w:cs="Arial"/>
          <w:sz w:val="20"/>
          <w:szCs w:val="20"/>
          <w:lang w:val="pt-PT"/>
        </w:rPr>
      </w:pPr>
      <w:r w:rsidRPr="00292532">
        <w:rPr>
          <w:rFonts w:ascii="Arial" w:eastAsia="Calibri" w:hAnsi="Arial" w:cs="Arial"/>
          <w:sz w:val="20"/>
          <w:szCs w:val="20"/>
          <w:lang w:val="pt-PT"/>
        </w:rPr>
        <w:t>Telefone para a comunicação externa (pode ser considerado o telefone do trabalhador - caso suspeito - se disponível).</w:t>
      </w:r>
    </w:p>
    <w:p w14:paraId="2C593AF7" w14:textId="77777777" w:rsidR="00B31AE2" w:rsidRPr="00292532" w:rsidRDefault="00B31AE2" w:rsidP="00AE14AE">
      <w:pPr>
        <w:numPr>
          <w:ilvl w:val="0"/>
          <w:numId w:val="151"/>
        </w:numPr>
        <w:autoSpaceDE w:val="0"/>
        <w:autoSpaceDN w:val="0"/>
        <w:adjustRightInd w:val="0"/>
        <w:spacing w:before="0" w:after="200" w:line="259" w:lineRule="auto"/>
        <w:contextualSpacing/>
        <w:jc w:val="left"/>
        <w:rPr>
          <w:rFonts w:ascii="Arial" w:eastAsia="Calibri" w:hAnsi="Arial" w:cs="Arial"/>
          <w:sz w:val="20"/>
          <w:szCs w:val="20"/>
          <w:lang w:val="pt-PT"/>
        </w:rPr>
      </w:pPr>
      <w:r w:rsidRPr="00292532">
        <w:rPr>
          <w:rFonts w:ascii="Arial" w:eastAsia="Calibri" w:hAnsi="Arial" w:cs="Arial"/>
          <w:sz w:val="20"/>
          <w:szCs w:val="20"/>
          <w:lang w:val="pt-PT"/>
        </w:rPr>
        <w:t>Termómetros.</w:t>
      </w:r>
    </w:p>
    <w:p w14:paraId="7637D9B0" w14:textId="77777777" w:rsidR="00B31AE2" w:rsidRPr="00292532" w:rsidRDefault="00B31AE2" w:rsidP="00AE14AE">
      <w:pPr>
        <w:numPr>
          <w:ilvl w:val="0"/>
          <w:numId w:val="151"/>
        </w:numPr>
        <w:autoSpaceDE w:val="0"/>
        <w:autoSpaceDN w:val="0"/>
        <w:adjustRightInd w:val="0"/>
        <w:spacing w:before="0" w:after="200" w:line="259" w:lineRule="auto"/>
        <w:contextualSpacing/>
        <w:jc w:val="left"/>
        <w:rPr>
          <w:rFonts w:ascii="Arial" w:eastAsia="Calibri" w:hAnsi="Arial" w:cs="Arial"/>
          <w:sz w:val="20"/>
          <w:szCs w:val="20"/>
          <w:lang w:val="pt-PT"/>
        </w:rPr>
      </w:pPr>
      <w:r w:rsidRPr="00292532">
        <w:rPr>
          <w:rFonts w:ascii="Arial" w:eastAsia="Calibri" w:hAnsi="Arial" w:cs="Arial"/>
          <w:sz w:val="20"/>
          <w:szCs w:val="20"/>
          <w:lang w:val="pt-PT"/>
        </w:rPr>
        <w:t>Contactos de emergência (da CIGCOVID-19, centrais de atendimento do MISAU, se aplicável do socorrista interno e das unidades sanitárias de referência).</w:t>
      </w:r>
    </w:p>
    <w:p w14:paraId="57A72B79" w14:textId="77777777" w:rsidR="00B31AE2" w:rsidRPr="00292532" w:rsidRDefault="00B31AE2" w:rsidP="00B31AE2">
      <w:pPr>
        <w:spacing w:before="0"/>
        <w:rPr>
          <w:rFonts w:ascii="Arial" w:eastAsia="Calibri" w:hAnsi="Arial" w:cs="Arial"/>
          <w:sz w:val="20"/>
          <w:szCs w:val="20"/>
          <w:lang w:val="pt-PT"/>
        </w:rPr>
      </w:pPr>
      <w:r w:rsidRPr="00292532">
        <w:rPr>
          <w:rFonts w:ascii="Arial" w:eastAsia="Calibri" w:hAnsi="Arial" w:cs="Arial"/>
          <w:sz w:val="20"/>
          <w:szCs w:val="20"/>
          <w:lang w:val="pt-PT"/>
        </w:rPr>
        <w:t>Mesmo que estas áreas se encontrem identificadas, sugere-se:</w:t>
      </w:r>
    </w:p>
    <w:p w14:paraId="433BA895" w14:textId="77777777" w:rsidR="00B31AE2" w:rsidRPr="00292532" w:rsidRDefault="00B31AE2" w:rsidP="00AE14AE">
      <w:pPr>
        <w:numPr>
          <w:ilvl w:val="0"/>
          <w:numId w:val="151"/>
        </w:numPr>
        <w:autoSpaceDE w:val="0"/>
        <w:autoSpaceDN w:val="0"/>
        <w:adjustRightInd w:val="0"/>
        <w:spacing w:before="0" w:after="200" w:line="259" w:lineRule="auto"/>
        <w:contextualSpacing/>
        <w:jc w:val="left"/>
        <w:rPr>
          <w:rFonts w:ascii="Arial" w:eastAsia="Calibri" w:hAnsi="Arial" w:cs="Arial"/>
          <w:sz w:val="20"/>
          <w:szCs w:val="20"/>
          <w:lang w:val="pt-PT"/>
        </w:rPr>
      </w:pPr>
      <w:r w:rsidRPr="00292532">
        <w:rPr>
          <w:rFonts w:ascii="Arial" w:eastAsia="Calibri" w:hAnsi="Arial" w:cs="Arial"/>
          <w:sz w:val="20"/>
          <w:szCs w:val="20"/>
          <w:lang w:val="pt-PT"/>
        </w:rPr>
        <w:t>A utilização da sala onde o trabalhador com sintomas já se encontra (se aplicável).</w:t>
      </w:r>
    </w:p>
    <w:p w14:paraId="62BF3DFC" w14:textId="77777777" w:rsidR="00B31AE2" w:rsidRPr="00292532" w:rsidRDefault="00B31AE2" w:rsidP="00AE14AE">
      <w:pPr>
        <w:numPr>
          <w:ilvl w:val="0"/>
          <w:numId w:val="151"/>
        </w:numPr>
        <w:autoSpaceDE w:val="0"/>
        <w:autoSpaceDN w:val="0"/>
        <w:adjustRightInd w:val="0"/>
        <w:spacing w:before="0" w:after="200" w:line="259" w:lineRule="auto"/>
        <w:contextualSpacing/>
        <w:jc w:val="left"/>
        <w:rPr>
          <w:rFonts w:ascii="Arial" w:eastAsia="Calibri" w:hAnsi="Arial" w:cs="Arial"/>
          <w:sz w:val="20"/>
          <w:szCs w:val="20"/>
          <w:lang w:val="pt-PT"/>
        </w:rPr>
      </w:pPr>
      <w:r w:rsidRPr="00292532">
        <w:rPr>
          <w:rFonts w:ascii="Arial" w:eastAsia="Calibri" w:hAnsi="Arial" w:cs="Arial"/>
          <w:sz w:val="20"/>
          <w:szCs w:val="20"/>
          <w:lang w:val="pt-PT"/>
        </w:rPr>
        <w:t>Caso a sala esteja ocupada por outros colegas, estes devem abandonar a sala, permitindo que o trabalhador com sintomas aí permaneça.</w:t>
      </w:r>
    </w:p>
    <w:p w14:paraId="5DB9CEED" w14:textId="77777777" w:rsidR="00B31AE2" w:rsidRPr="00292532" w:rsidRDefault="00B31AE2" w:rsidP="00AE14AE">
      <w:pPr>
        <w:numPr>
          <w:ilvl w:val="0"/>
          <w:numId w:val="151"/>
        </w:numPr>
        <w:autoSpaceDE w:val="0"/>
        <w:autoSpaceDN w:val="0"/>
        <w:adjustRightInd w:val="0"/>
        <w:spacing w:before="0" w:after="200" w:line="259" w:lineRule="auto"/>
        <w:contextualSpacing/>
        <w:jc w:val="left"/>
        <w:rPr>
          <w:rFonts w:ascii="Arial" w:eastAsia="Calibri" w:hAnsi="Arial" w:cs="Arial"/>
          <w:sz w:val="20"/>
          <w:szCs w:val="20"/>
          <w:lang w:val="pt-PT"/>
        </w:rPr>
      </w:pPr>
      <w:r w:rsidRPr="00292532">
        <w:rPr>
          <w:rFonts w:ascii="Arial" w:eastAsia="Calibri" w:hAnsi="Arial" w:cs="Arial"/>
          <w:sz w:val="20"/>
          <w:szCs w:val="20"/>
          <w:lang w:val="pt-PT"/>
        </w:rPr>
        <w:t xml:space="preserve">Caso a sala seja partilhada por um número significativo de trabalhadores </w:t>
      </w:r>
      <w:r w:rsidRPr="00292532">
        <w:rPr>
          <w:rFonts w:ascii="Arial" w:eastAsia="Calibri" w:hAnsi="Arial" w:cs="Arial"/>
          <w:i/>
          <w:sz w:val="20"/>
          <w:szCs w:val="20"/>
          <w:lang w:val="pt-PT"/>
        </w:rPr>
        <w:t xml:space="preserve">(open </w:t>
      </w:r>
      <w:proofErr w:type="spellStart"/>
      <w:r w:rsidRPr="00292532">
        <w:rPr>
          <w:rFonts w:ascii="Arial" w:eastAsia="Calibri" w:hAnsi="Arial" w:cs="Arial"/>
          <w:i/>
          <w:sz w:val="20"/>
          <w:szCs w:val="20"/>
          <w:lang w:val="pt-PT"/>
        </w:rPr>
        <w:t>space</w:t>
      </w:r>
      <w:proofErr w:type="spellEnd"/>
      <w:r w:rsidRPr="00292532">
        <w:rPr>
          <w:rFonts w:ascii="Arial" w:eastAsia="Calibri" w:hAnsi="Arial" w:cs="Arial"/>
          <w:sz w:val="20"/>
          <w:szCs w:val="20"/>
          <w:lang w:val="pt-PT"/>
        </w:rPr>
        <w:t>), o caso suspeito deve dirigir-se para a área de isolamento identificada pela instituição.</w:t>
      </w:r>
    </w:p>
    <w:p w14:paraId="3C4446E5" w14:textId="77777777" w:rsidR="00B31AE2" w:rsidRPr="00292532" w:rsidRDefault="00B31AE2" w:rsidP="00B31AE2">
      <w:pPr>
        <w:spacing w:before="0" w:after="0" w:line="259" w:lineRule="auto"/>
        <w:jc w:val="left"/>
        <w:rPr>
          <w:rFonts w:ascii="Arial" w:eastAsia="Calibri" w:hAnsi="Arial" w:cs="Arial"/>
          <w:sz w:val="20"/>
          <w:szCs w:val="20"/>
          <w:lang w:val="pt-PT"/>
        </w:rPr>
      </w:pPr>
    </w:p>
    <w:p w14:paraId="22608F24" w14:textId="77777777" w:rsidR="00B31AE2" w:rsidRPr="00292532" w:rsidRDefault="00B31AE2" w:rsidP="00AE14AE">
      <w:pPr>
        <w:keepNext/>
        <w:numPr>
          <w:ilvl w:val="0"/>
          <w:numId w:val="147"/>
        </w:numPr>
        <w:tabs>
          <w:tab w:val="left" w:pos="1134"/>
        </w:tabs>
        <w:suppressAutoHyphens/>
        <w:autoSpaceDE w:val="0"/>
        <w:autoSpaceDN w:val="0"/>
        <w:adjustRightInd w:val="0"/>
        <w:spacing w:before="0" w:line="259" w:lineRule="auto"/>
        <w:ind w:left="431" w:hanging="431"/>
        <w:jc w:val="left"/>
        <w:outlineLvl w:val="0"/>
        <w:rPr>
          <w:rFonts w:ascii="Arial" w:eastAsia="Times New Roman" w:hAnsi="Arial" w:cs="Arial"/>
          <w:b/>
          <w:color w:val="4472C4"/>
          <w:sz w:val="26"/>
          <w:szCs w:val="26"/>
          <w:lang w:val="pt-PT"/>
        </w:rPr>
      </w:pPr>
      <w:bookmarkStart w:id="1544" w:name="_Toc74922407"/>
      <w:bookmarkStart w:id="1545" w:name="_Toc75438094"/>
      <w:bookmarkStart w:id="1546" w:name="_Toc78435531"/>
      <w:bookmarkStart w:id="1547" w:name="_Toc80380197"/>
      <w:r w:rsidRPr="00292532">
        <w:rPr>
          <w:rFonts w:ascii="Arial" w:eastAsia="Times New Roman" w:hAnsi="Arial" w:cs="Arial"/>
          <w:b/>
          <w:color w:val="4472C4"/>
          <w:sz w:val="26"/>
          <w:szCs w:val="26"/>
          <w:lang w:val="pt-PT"/>
        </w:rPr>
        <w:t>REQUISITOS PARA A MITIGAÇÃO DA COVID-19</w:t>
      </w:r>
      <w:bookmarkEnd w:id="1544"/>
      <w:bookmarkEnd w:id="1545"/>
      <w:bookmarkEnd w:id="1546"/>
      <w:bookmarkEnd w:id="1547"/>
    </w:p>
    <w:p w14:paraId="6D602AA6" w14:textId="77777777" w:rsidR="00B31AE2" w:rsidRPr="00292532" w:rsidRDefault="00B31AE2" w:rsidP="00B31AE2">
      <w:pPr>
        <w:spacing w:before="0" w:after="0"/>
        <w:rPr>
          <w:rFonts w:ascii="Arial" w:eastAsia="Calibri" w:hAnsi="Arial" w:cs="Arial"/>
          <w:sz w:val="20"/>
          <w:szCs w:val="20"/>
          <w:lang w:val="pt-PT"/>
        </w:rPr>
      </w:pPr>
      <w:r w:rsidRPr="00292532">
        <w:rPr>
          <w:rFonts w:ascii="Arial" w:eastAsia="Calibri" w:hAnsi="Arial" w:cs="Arial"/>
          <w:sz w:val="20"/>
          <w:szCs w:val="20"/>
          <w:lang w:val="pt-PT"/>
        </w:rPr>
        <w:t xml:space="preserve">Por forma a assegurar a </w:t>
      </w:r>
      <w:proofErr w:type="spellStart"/>
      <w:r w:rsidRPr="00292532">
        <w:rPr>
          <w:rFonts w:ascii="Arial" w:eastAsia="Calibri" w:hAnsi="Arial" w:cs="Arial"/>
          <w:sz w:val="20"/>
          <w:szCs w:val="20"/>
          <w:lang w:val="pt-PT"/>
        </w:rPr>
        <w:t>protecção</w:t>
      </w:r>
      <w:proofErr w:type="spellEnd"/>
      <w:r w:rsidRPr="00292532">
        <w:rPr>
          <w:rFonts w:ascii="Arial" w:eastAsia="Calibri" w:hAnsi="Arial" w:cs="Arial"/>
          <w:sz w:val="20"/>
          <w:szCs w:val="20"/>
          <w:lang w:val="pt-PT"/>
        </w:rPr>
        <w:t xml:space="preserve"> dos trabalhadores e minimizar a propagação da COVID-19 tanto no ambiente de trabalho, assim como nas comunidades de abrangência do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 deve se obedecer os requisitos que se seguem:</w:t>
      </w:r>
    </w:p>
    <w:p w14:paraId="1D510297" w14:textId="77777777" w:rsidR="00B31AE2" w:rsidRPr="00292532" w:rsidRDefault="00B31AE2" w:rsidP="00B31AE2">
      <w:pPr>
        <w:spacing w:before="0" w:after="0" w:line="259" w:lineRule="auto"/>
        <w:jc w:val="left"/>
        <w:rPr>
          <w:rFonts w:ascii="Arial" w:eastAsia="Calibri" w:hAnsi="Arial" w:cs="Arial"/>
          <w:sz w:val="20"/>
          <w:szCs w:val="20"/>
          <w:lang w:val="pt-PT"/>
        </w:rPr>
      </w:pPr>
    </w:p>
    <w:p w14:paraId="47DD1E11" w14:textId="77777777" w:rsidR="00B31AE2" w:rsidRPr="00292532" w:rsidRDefault="00B31AE2" w:rsidP="00AE14AE">
      <w:pPr>
        <w:keepNext/>
        <w:numPr>
          <w:ilvl w:val="1"/>
          <w:numId w:val="147"/>
        </w:numPr>
        <w:tabs>
          <w:tab w:val="left" w:pos="1145"/>
        </w:tabs>
        <w:suppressAutoHyphens/>
        <w:autoSpaceDE w:val="0"/>
        <w:autoSpaceDN w:val="0"/>
        <w:adjustRightInd w:val="0"/>
        <w:spacing w:before="0" w:line="259" w:lineRule="auto"/>
        <w:jc w:val="left"/>
        <w:outlineLvl w:val="1"/>
        <w:rPr>
          <w:rFonts w:ascii="Arial" w:eastAsia="Times New Roman" w:hAnsi="Arial" w:cs="Arial"/>
          <w:b/>
          <w:color w:val="2F5496"/>
          <w:sz w:val="26"/>
          <w:szCs w:val="26"/>
          <w:lang w:val="pt-PT"/>
        </w:rPr>
      </w:pPr>
      <w:bookmarkStart w:id="1548" w:name="_Toc74922408"/>
      <w:bookmarkStart w:id="1549" w:name="_Toc75438095"/>
      <w:bookmarkStart w:id="1550" w:name="_Toc78435532"/>
      <w:bookmarkStart w:id="1551" w:name="_Toc80380198"/>
      <w:r w:rsidRPr="00292532">
        <w:rPr>
          <w:rFonts w:ascii="Arial" w:eastAsia="Times New Roman" w:hAnsi="Arial" w:cs="Arial"/>
          <w:b/>
          <w:color w:val="2F5496"/>
          <w:sz w:val="26"/>
          <w:szCs w:val="26"/>
          <w:lang w:val="pt-PT"/>
        </w:rPr>
        <w:t>Requisitos gerais</w:t>
      </w:r>
      <w:bookmarkEnd w:id="1548"/>
      <w:bookmarkEnd w:id="1549"/>
      <w:bookmarkEnd w:id="1550"/>
      <w:bookmarkEnd w:id="1551"/>
    </w:p>
    <w:p w14:paraId="08D74965" w14:textId="77777777" w:rsidR="00B31AE2" w:rsidRPr="00292532" w:rsidRDefault="00B31AE2" w:rsidP="00AE14AE">
      <w:pPr>
        <w:numPr>
          <w:ilvl w:val="0"/>
          <w:numId w:val="151"/>
        </w:numPr>
        <w:autoSpaceDE w:val="0"/>
        <w:autoSpaceDN w:val="0"/>
        <w:adjustRightInd w:val="0"/>
        <w:spacing w:before="0" w:after="200" w:line="259" w:lineRule="auto"/>
        <w:contextualSpacing/>
        <w:jc w:val="left"/>
        <w:rPr>
          <w:rFonts w:ascii="Arial" w:eastAsia="Times New Roman" w:hAnsi="Arial" w:cs="Arial"/>
          <w:sz w:val="20"/>
          <w:szCs w:val="20"/>
          <w:lang w:val="pt-PT"/>
        </w:rPr>
      </w:pPr>
      <w:r w:rsidRPr="00292532">
        <w:rPr>
          <w:rFonts w:ascii="Arial" w:eastAsia="Times New Roman" w:hAnsi="Arial" w:cs="Arial"/>
          <w:sz w:val="20"/>
          <w:szCs w:val="20"/>
          <w:lang w:val="pt-PT"/>
        </w:rPr>
        <w:t xml:space="preserve">Uso obrigatório de máscara (tapando de forma </w:t>
      </w:r>
      <w:proofErr w:type="spellStart"/>
      <w:r w:rsidRPr="00292532">
        <w:rPr>
          <w:rFonts w:ascii="Arial" w:eastAsia="Times New Roman" w:hAnsi="Arial" w:cs="Arial"/>
          <w:sz w:val="20"/>
          <w:szCs w:val="20"/>
          <w:lang w:val="pt-PT"/>
        </w:rPr>
        <w:t>correcta</w:t>
      </w:r>
      <w:proofErr w:type="spellEnd"/>
      <w:r w:rsidRPr="00292532">
        <w:rPr>
          <w:rFonts w:ascii="Arial" w:eastAsia="Times New Roman" w:hAnsi="Arial" w:cs="Arial"/>
          <w:sz w:val="20"/>
          <w:szCs w:val="20"/>
          <w:lang w:val="pt-PT"/>
        </w:rPr>
        <w:t xml:space="preserve"> a boca e o nariz) quando em contacto com outras pessoas ou em ambientes de uso partilhado. </w:t>
      </w:r>
    </w:p>
    <w:p w14:paraId="46276BA7" w14:textId="77777777" w:rsidR="00B31AE2" w:rsidRPr="00292532" w:rsidRDefault="00B31AE2" w:rsidP="00AE14AE">
      <w:pPr>
        <w:numPr>
          <w:ilvl w:val="0"/>
          <w:numId w:val="151"/>
        </w:numPr>
        <w:autoSpaceDE w:val="0"/>
        <w:autoSpaceDN w:val="0"/>
        <w:adjustRightInd w:val="0"/>
        <w:spacing w:before="0" w:after="0" w:line="259" w:lineRule="auto"/>
        <w:contextualSpacing/>
        <w:jc w:val="left"/>
        <w:rPr>
          <w:rFonts w:ascii="Arial" w:eastAsia="Times New Roman" w:hAnsi="Arial" w:cs="Arial"/>
          <w:sz w:val="20"/>
          <w:szCs w:val="20"/>
          <w:lang w:val="pt-PT"/>
        </w:rPr>
      </w:pPr>
      <w:r w:rsidRPr="00292532">
        <w:rPr>
          <w:rFonts w:ascii="Arial" w:eastAsia="Times New Roman" w:hAnsi="Arial" w:cs="Arial"/>
          <w:sz w:val="20"/>
          <w:szCs w:val="20"/>
          <w:lang w:val="pt-PT"/>
        </w:rPr>
        <w:t xml:space="preserve">Evitar qualquer tipo de contacto físico, incluindo para saudar pessoas. </w:t>
      </w:r>
    </w:p>
    <w:p w14:paraId="7159B5D7" w14:textId="77777777" w:rsidR="00B31AE2" w:rsidRPr="00292532" w:rsidRDefault="00B31AE2" w:rsidP="00AE14AE">
      <w:pPr>
        <w:numPr>
          <w:ilvl w:val="0"/>
          <w:numId w:val="151"/>
        </w:numPr>
        <w:autoSpaceDE w:val="0"/>
        <w:autoSpaceDN w:val="0"/>
        <w:adjustRightInd w:val="0"/>
        <w:spacing w:before="0" w:after="0" w:line="259" w:lineRule="auto"/>
        <w:contextualSpacing/>
        <w:jc w:val="left"/>
        <w:rPr>
          <w:rFonts w:ascii="Arial" w:eastAsia="Times New Roman" w:hAnsi="Arial" w:cs="Arial"/>
          <w:sz w:val="20"/>
          <w:szCs w:val="20"/>
          <w:lang w:val="pt-PT"/>
        </w:rPr>
      </w:pPr>
      <w:r w:rsidRPr="00292532">
        <w:rPr>
          <w:rFonts w:ascii="Arial" w:eastAsia="Times New Roman" w:hAnsi="Arial" w:cs="Arial"/>
          <w:sz w:val="20"/>
          <w:szCs w:val="20"/>
          <w:lang w:val="pt-PT"/>
        </w:rPr>
        <w:t>Lavar as mãos regularmente.</w:t>
      </w:r>
    </w:p>
    <w:p w14:paraId="19A1E096" w14:textId="77777777" w:rsidR="00B31AE2" w:rsidRPr="00292532" w:rsidRDefault="00B31AE2" w:rsidP="00AE14AE">
      <w:pPr>
        <w:numPr>
          <w:ilvl w:val="0"/>
          <w:numId w:val="151"/>
        </w:numPr>
        <w:autoSpaceDE w:val="0"/>
        <w:autoSpaceDN w:val="0"/>
        <w:adjustRightInd w:val="0"/>
        <w:spacing w:before="0" w:after="0" w:line="259" w:lineRule="auto"/>
        <w:contextualSpacing/>
        <w:jc w:val="left"/>
        <w:rPr>
          <w:rFonts w:ascii="Arial" w:eastAsia="Times New Roman" w:hAnsi="Arial" w:cs="Arial"/>
          <w:sz w:val="20"/>
          <w:szCs w:val="20"/>
          <w:lang w:val="pt-PT"/>
        </w:rPr>
      </w:pPr>
      <w:r w:rsidRPr="00292532">
        <w:rPr>
          <w:rFonts w:ascii="Arial" w:eastAsia="Times New Roman" w:hAnsi="Arial" w:cs="Arial"/>
          <w:sz w:val="20"/>
          <w:szCs w:val="20"/>
          <w:lang w:val="pt-PT"/>
        </w:rPr>
        <w:t>Evitar tocar os olhos, nariz e boca com as mãos.</w:t>
      </w:r>
    </w:p>
    <w:p w14:paraId="7231881F" w14:textId="77777777" w:rsidR="00B31AE2" w:rsidRPr="00292532" w:rsidRDefault="00B31AE2" w:rsidP="00AE14AE">
      <w:pPr>
        <w:numPr>
          <w:ilvl w:val="0"/>
          <w:numId w:val="151"/>
        </w:numPr>
        <w:autoSpaceDE w:val="0"/>
        <w:autoSpaceDN w:val="0"/>
        <w:adjustRightInd w:val="0"/>
        <w:spacing w:before="0" w:after="0" w:line="259" w:lineRule="auto"/>
        <w:contextualSpacing/>
        <w:jc w:val="left"/>
        <w:rPr>
          <w:rFonts w:ascii="Arial" w:eastAsia="Times New Roman" w:hAnsi="Arial" w:cs="Arial"/>
          <w:sz w:val="20"/>
          <w:szCs w:val="20"/>
          <w:lang w:val="pt-PT"/>
        </w:rPr>
      </w:pPr>
      <w:r w:rsidRPr="00292532">
        <w:rPr>
          <w:rFonts w:ascii="Arial" w:eastAsia="Times New Roman" w:hAnsi="Arial" w:cs="Arial"/>
          <w:sz w:val="20"/>
          <w:szCs w:val="20"/>
          <w:lang w:val="pt-PT"/>
        </w:rPr>
        <w:t>Aplicar a etiqueta da tosse (cobrir a boca com o braço em formato de ´´V´´ sempre que tossir ou espirrar).</w:t>
      </w:r>
    </w:p>
    <w:p w14:paraId="713FFEDA" w14:textId="77777777" w:rsidR="00B31AE2" w:rsidRPr="00292532" w:rsidRDefault="00B31AE2" w:rsidP="00AE14AE">
      <w:pPr>
        <w:numPr>
          <w:ilvl w:val="0"/>
          <w:numId w:val="151"/>
        </w:numPr>
        <w:autoSpaceDE w:val="0"/>
        <w:autoSpaceDN w:val="0"/>
        <w:adjustRightInd w:val="0"/>
        <w:spacing w:before="0" w:after="0" w:line="259" w:lineRule="auto"/>
        <w:contextualSpacing/>
        <w:jc w:val="left"/>
        <w:rPr>
          <w:rFonts w:ascii="Arial" w:eastAsia="Times New Roman" w:hAnsi="Arial" w:cs="Arial"/>
          <w:sz w:val="20"/>
          <w:szCs w:val="20"/>
          <w:lang w:val="pt-PT"/>
        </w:rPr>
      </w:pPr>
      <w:r w:rsidRPr="00292532">
        <w:rPr>
          <w:rFonts w:ascii="Arial" w:eastAsia="Times New Roman" w:hAnsi="Arial" w:cs="Arial"/>
          <w:sz w:val="20"/>
          <w:szCs w:val="20"/>
          <w:lang w:val="pt-PT"/>
        </w:rPr>
        <w:t xml:space="preserve">Os colaboradores que tenham um membro da família em casa </w:t>
      </w:r>
      <w:proofErr w:type="spellStart"/>
      <w:r w:rsidRPr="00292532">
        <w:rPr>
          <w:rFonts w:ascii="Arial" w:eastAsia="Times New Roman" w:hAnsi="Arial" w:cs="Arial"/>
          <w:sz w:val="20"/>
          <w:szCs w:val="20"/>
          <w:lang w:val="pt-PT"/>
        </w:rPr>
        <w:t>infectado</w:t>
      </w:r>
      <w:proofErr w:type="spellEnd"/>
      <w:r w:rsidRPr="00292532">
        <w:rPr>
          <w:rFonts w:ascii="Arial" w:eastAsia="Times New Roman" w:hAnsi="Arial" w:cs="Arial"/>
          <w:sz w:val="20"/>
          <w:szCs w:val="20"/>
          <w:lang w:val="pt-PT"/>
        </w:rPr>
        <w:t xml:space="preserve"> pela </w:t>
      </w:r>
      <w:bookmarkStart w:id="1552" w:name="_Hlk69183258"/>
      <w:r w:rsidRPr="00292532">
        <w:rPr>
          <w:rFonts w:ascii="Arial" w:eastAsia="Times New Roman" w:hAnsi="Arial" w:cs="Arial"/>
          <w:sz w:val="20"/>
          <w:szCs w:val="20"/>
          <w:lang w:val="pt-PT"/>
        </w:rPr>
        <w:t>COVID-19</w:t>
      </w:r>
      <w:bookmarkEnd w:id="1552"/>
      <w:r w:rsidRPr="00292532">
        <w:rPr>
          <w:rFonts w:ascii="Arial" w:eastAsia="Times New Roman" w:hAnsi="Arial" w:cs="Arial"/>
          <w:sz w:val="20"/>
          <w:szCs w:val="20"/>
          <w:lang w:val="pt-PT"/>
        </w:rPr>
        <w:t>, devem notificar o seu supervisor, ainda que este trabalhador não tenha sintomas.</w:t>
      </w:r>
    </w:p>
    <w:p w14:paraId="3F20D91F" w14:textId="77777777" w:rsidR="00B31AE2" w:rsidRPr="00292532" w:rsidRDefault="00B31AE2" w:rsidP="00AE14AE">
      <w:pPr>
        <w:numPr>
          <w:ilvl w:val="0"/>
          <w:numId w:val="151"/>
        </w:numPr>
        <w:autoSpaceDE w:val="0"/>
        <w:autoSpaceDN w:val="0"/>
        <w:adjustRightInd w:val="0"/>
        <w:spacing w:before="0" w:after="0" w:line="259" w:lineRule="auto"/>
        <w:contextualSpacing/>
        <w:jc w:val="left"/>
        <w:rPr>
          <w:rFonts w:ascii="Arial" w:eastAsia="Times New Roman" w:hAnsi="Arial" w:cs="Arial"/>
          <w:sz w:val="20"/>
          <w:szCs w:val="20"/>
          <w:lang w:val="pt-PT"/>
        </w:rPr>
      </w:pPr>
      <w:r w:rsidRPr="00292532">
        <w:rPr>
          <w:rFonts w:ascii="Arial" w:eastAsia="Times New Roman" w:hAnsi="Arial" w:cs="Arial"/>
          <w:sz w:val="20"/>
          <w:szCs w:val="20"/>
          <w:lang w:val="pt-PT"/>
        </w:rPr>
        <w:t xml:space="preserve">Assegurar que os funcionários classificados como casos suspeitos de COVID-19 e com autorização da autoridade de saúde permaneçam em casa e </w:t>
      </w:r>
      <w:proofErr w:type="spellStart"/>
      <w:r w:rsidRPr="00292532">
        <w:rPr>
          <w:rFonts w:ascii="Arial" w:eastAsia="Times New Roman" w:hAnsi="Arial" w:cs="Arial"/>
          <w:sz w:val="20"/>
          <w:szCs w:val="20"/>
          <w:lang w:val="pt-PT"/>
        </w:rPr>
        <w:t>adoptam</w:t>
      </w:r>
      <w:proofErr w:type="spellEnd"/>
      <w:r w:rsidRPr="00292532">
        <w:rPr>
          <w:rFonts w:ascii="Arial" w:eastAsia="Times New Roman" w:hAnsi="Arial" w:cs="Arial"/>
          <w:sz w:val="20"/>
          <w:szCs w:val="20"/>
          <w:lang w:val="pt-PT"/>
        </w:rPr>
        <w:t xml:space="preserve"> quando possível o teletrabalho.</w:t>
      </w:r>
    </w:p>
    <w:p w14:paraId="6A3651B3" w14:textId="77777777" w:rsidR="00B31AE2" w:rsidRPr="00292532" w:rsidRDefault="00B31AE2" w:rsidP="00B31AE2">
      <w:pPr>
        <w:autoSpaceDE w:val="0"/>
        <w:autoSpaceDN w:val="0"/>
        <w:adjustRightInd w:val="0"/>
        <w:spacing w:before="0" w:after="0"/>
        <w:ind w:left="720"/>
        <w:contextualSpacing/>
        <w:rPr>
          <w:rFonts w:ascii="Arial" w:eastAsia="Times New Roman" w:hAnsi="Arial" w:cs="Arial"/>
          <w:sz w:val="20"/>
          <w:szCs w:val="20"/>
          <w:lang w:val="pt-PT"/>
        </w:rPr>
      </w:pPr>
    </w:p>
    <w:p w14:paraId="40E93F41" w14:textId="77777777" w:rsidR="00B31AE2" w:rsidRPr="00292532" w:rsidRDefault="00B31AE2" w:rsidP="00B31AE2">
      <w:pPr>
        <w:spacing w:before="0" w:after="0" w:line="259" w:lineRule="auto"/>
        <w:jc w:val="left"/>
        <w:rPr>
          <w:rFonts w:ascii="Arial" w:eastAsia="Times New Roman" w:hAnsi="Arial" w:cs="Arial"/>
          <w:sz w:val="20"/>
          <w:szCs w:val="20"/>
          <w:lang w:val="pt-PT"/>
        </w:rPr>
      </w:pPr>
      <w:r w:rsidRPr="00292532">
        <w:rPr>
          <w:rFonts w:ascii="Arial" w:eastAsia="Times New Roman" w:hAnsi="Arial" w:cs="Arial"/>
          <w:sz w:val="20"/>
          <w:szCs w:val="20"/>
          <w:lang w:val="pt-PT"/>
        </w:rPr>
        <w:t>As médias acima estão descritas de forma mais detalhada nas explicações de medidas de prevenção para trabalhadores (</w:t>
      </w:r>
      <w:r w:rsidRPr="00292532">
        <w:rPr>
          <w:rFonts w:ascii="Arial" w:eastAsia="Times New Roman" w:hAnsi="Arial" w:cs="Arial"/>
          <w:color w:val="5B9BD5"/>
          <w:sz w:val="20"/>
          <w:szCs w:val="20"/>
          <w:lang w:val="pt-PT"/>
        </w:rPr>
        <w:t>Apêndice A</w:t>
      </w:r>
      <w:r w:rsidRPr="00292532">
        <w:rPr>
          <w:rFonts w:ascii="Arial" w:eastAsia="Times New Roman" w:hAnsi="Arial" w:cs="Arial"/>
          <w:sz w:val="20"/>
          <w:szCs w:val="20"/>
          <w:lang w:val="pt-PT"/>
        </w:rPr>
        <w:t>).</w:t>
      </w:r>
    </w:p>
    <w:p w14:paraId="4F2C8AC9" w14:textId="77777777" w:rsidR="00B31AE2" w:rsidRPr="00292532" w:rsidRDefault="00B31AE2" w:rsidP="00B31AE2">
      <w:pPr>
        <w:spacing w:before="0" w:after="0" w:line="259" w:lineRule="auto"/>
        <w:jc w:val="left"/>
        <w:rPr>
          <w:rFonts w:ascii="Arial" w:eastAsia="Times New Roman" w:hAnsi="Arial" w:cs="Arial"/>
          <w:sz w:val="20"/>
          <w:szCs w:val="20"/>
          <w:lang w:val="pt-PT"/>
        </w:rPr>
      </w:pPr>
    </w:p>
    <w:p w14:paraId="7AD5299E" w14:textId="77777777" w:rsidR="00B31AE2" w:rsidRPr="00292532" w:rsidRDefault="00B31AE2" w:rsidP="00AE14AE">
      <w:pPr>
        <w:keepNext/>
        <w:numPr>
          <w:ilvl w:val="1"/>
          <w:numId w:val="147"/>
        </w:numPr>
        <w:tabs>
          <w:tab w:val="left" w:pos="1145"/>
        </w:tabs>
        <w:suppressAutoHyphens/>
        <w:autoSpaceDE w:val="0"/>
        <w:autoSpaceDN w:val="0"/>
        <w:adjustRightInd w:val="0"/>
        <w:spacing w:before="0" w:line="259" w:lineRule="auto"/>
        <w:jc w:val="left"/>
        <w:outlineLvl w:val="1"/>
        <w:rPr>
          <w:rFonts w:ascii="Arial" w:eastAsia="Times New Roman" w:hAnsi="Arial" w:cs="Arial"/>
          <w:b/>
          <w:color w:val="2F5496"/>
          <w:sz w:val="26"/>
          <w:szCs w:val="26"/>
          <w:lang w:val="pt-PT"/>
        </w:rPr>
      </w:pPr>
      <w:bookmarkStart w:id="1553" w:name="_Toc69104352"/>
      <w:bookmarkStart w:id="1554" w:name="_Toc69149730"/>
      <w:bookmarkStart w:id="1555" w:name="_Toc69149811"/>
      <w:bookmarkStart w:id="1556" w:name="_Toc74922409"/>
      <w:bookmarkStart w:id="1557" w:name="_Toc75438096"/>
      <w:bookmarkStart w:id="1558" w:name="_Toc78435533"/>
      <w:bookmarkStart w:id="1559" w:name="_Toc80380199"/>
      <w:bookmarkEnd w:id="1553"/>
      <w:bookmarkEnd w:id="1554"/>
      <w:bookmarkEnd w:id="1555"/>
      <w:r w:rsidRPr="00292532">
        <w:rPr>
          <w:rFonts w:ascii="Arial" w:eastAsia="Times New Roman" w:hAnsi="Arial" w:cs="Arial"/>
          <w:b/>
          <w:color w:val="2F5496"/>
          <w:sz w:val="26"/>
          <w:szCs w:val="26"/>
          <w:lang w:val="pt-PT"/>
        </w:rPr>
        <w:t>Requisitos específicos em diferentes contextos</w:t>
      </w:r>
      <w:bookmarkEnd w:id="1556"/>
      <w:bookmarkEnd w:id="1557"/>
      <w:bookmarkEnd w:id="1558"/>
      <w:bookmarkEnd w:id="1559"/>
    </w:p>
    <w:p w14:paraId="5EAA821D" w14:textId="53615953" w:rsidR="00B31AE2" w:rsidRPr="00292532" w:rsidRDefault="00B31AE2" w:rsidP="00B31AE2">
      <w:pPr>
        <w:keepNext/>
        <w:autoSpaceDE w:val="0"/>
        <w:autoSpaceDN w:val="0"/>
        <w:adjustRightInd w:val="0"/>
        <w:spacing w:before="0" w:after="120"/>
        <w:jc w:val="center"/>
        <w:rPr>
          <w:rFonts w:ascii="Arial" w:eastAsia="Calibri" w:hAnsi="Arial" w:cs="Arial"/>
          <w:color w:val="4472C4"/>
          <w:szCs w:val="32"/>
          <w:lang w:val="pt-PT" w:eastAsia="de-DE"/>
        </w:rPr>
      </w:pPr>
      <w:bookmarkStart w:id="1560" w:name="_Toc74922420"/>
      <w:bookmarkStart w:id="1561" w:name="_Toc75438172"/>
      <w:bookmarkStart w:id="1562" w:name="_Toc78435625"/>
      <w:r w:rsidRPr="00292532">
        <w:rPr>
          <w:rFonts w:ascii="Arial" w:eastAsia="Calibri" w:hAnsi="Arial" w:cs="Arial"/>
          <w:color w:val="4472C4"/>
          <w:szCs w:val="32"/>
          <w:lang w:val="pt-PT" w:eastAsia="de-DE"/>
        </w:rPr>
        <w:t xml:space="preserve">Tabela </w:t>
      </w:r>
      <w:r w:rsidR="002D6D99">
        <w:rPr>
          <w:rFonts w:ascii="Arial" w:eastAsia="Calibri" w:hAnsi="Arial" w:cs="Arial"/>
          <w:color w:val="4472C4"/>
          <w:szCs w:val="32"/>
          <w:lang w:val="pt-PT" w:eastAsia="de-DE"/>
        </w:rPr>
        <w:t>1</w:t>
      </w:r>
      <w:r w:rsidRPr="00292532">
        <w:rPr>
          <w:rFonts w:ascii="Arial" w:eastAsia="Calibri" w:hAnsi="Arial" w:cs="Arial"/>
          <w:color w:val="4472C4"/>
          <w:szCs w:val="32"/>
          <w:lang w:val="pt-PT" w:eastAsia="de-DE"/>
        </w:rPr>
        <w:t>: Requisitos para mitigação da COVID 19</w:t>
      </w:r>
      <w:bookmarkEnd w:id="1560"/>
      <w:bookmarkEnd w:id="1561"/>
      <w:bookmarkEnd w:id="1562"/>
    </w:p>
    <w:tbl>
      <w:tblPr>
        <w:tblStyle w:val="TableGrid0"/>
        <w:tblW w:w="9814" w:type="dxa"/>
        <w:tblInd w:w="-450" w:type="dxa"/>
        <w:tblLayout w:type="fixed"/>
        <w:tblLook w:val="04A0" w:firstRow="1" w:lastRow="0" w:firstColumn="1" w:lastColumn="0" w:noHBand="0" w:noVBand="1"/>
      </w:tblPr>
      <w:tblGrid>
        <w:gridCol w:w="24"/>
        <w:gridCol w:w="1844"/>
        <w:gridCol w:w="567"/>
        <w:gridCol w:w="7285"/>
        <w:gridCol w:w="94"/>
      </w:tblGrid>
      <w:tr w:rsidR="00B31AE2" w:rsidRPr="00292532" w14:paraId="17A9E5E5" w14:textId="77777777" w:rsidTr="00B31AE2">
        <w:trPr>
          <w:gridBefore w:val="1"/>
          <w:wBefore w:w="24" w:type="dxa"/>
          <w:trHeight w:val="466"/>
          <w:tblHeader/>
        </w:trPr>
        <w:tc>
          <w:tcPr>
            <w:tcW w:w="2411" w:type="dxa"/>
            <w:gridSpan w:val="2"/>
            <w:shd w:val="clear" w:color="auto" w:fill="5F9BD7"/>
            <w:vAlign w:val="center"/>
          </w:tcPr>
          <w:p w14:paraId="4E4E8C25" w14:textId="77777777" w:rsidR="00B31AE2" w:rsidRPr="00292532" w:rsidRDefault="00B31AE2" w:rsidP="00B31AE2">
            <w:pPr>
              <w:jc w:val="center"/>
              <w:rPr>
                <w:rFonts w:ascii="Arial" w:hAnsi="Arial" w:cs="Arial"/>
                <w:bCs/>
                <w:i/>
                <w:iCs/>
                <w:color w:val="FFFFFF"/>
                <w:sz w:val="20"/>
                <w:szCs w:val="20"/>
                <w:lang w:val="pt-PT"/>
              </w:rPr>
            </w:pPr>
            <w:bookmarkStart w:id="1563" w:name="_Hlk67935433"/>
            <w:bookmarkStart w:id="1564" w:name="_Hlk67981631"/>
            <w:r w:rsidRPr="00292532">
              <w:rPr>
                <w:rFonts w:ascii="Arial" w:hAnsi="Arial" w:cs="Arial"/>
                <w:b/>
                <w:color w:val="FFFFFF"/>
                <w:sz w:val="20"/>
                <w:szCs w:val="20"/>
                <w:lang w:val="pt-PT"/>
              </w:rPr>
              <w:t>Contexto</w:t>
            </w:r>
          </w:p>
        </w:tc>
        <w:tc>
          <w:tcPr>
            <w:tcW w:w="7379" w:type="dxa"/>
            <w:gridSpan w:val="2"/>
            <w:shd w:val="clear" w:color="auto" w:fill="5F9BD7"/>
            <w:vAlign w:val="center"/>
          </w:tcPr>
          <w:p w14:paraId="366339B7" w14:textId="77777777" w:rsidR="00B31AE2" w:rsidRPr="00292532" w:rsidRDefault="00B31AE2" w:rsidP="00B31AE2">
            <w:pPr>
              <w:jc w:val="center"/>
              <w:rPr>
                <w:rFonts w:ascii="Arial" w:hAnsi="Arial" w:cs="Arial"/>
                <w:b/>
                <w:color w:val="FFFFFF"/>
                <w:sz w:val="20"/>
                <w:szCs w:val="20"/>
                <w:lang w:val="pt-PT"/>
              </w:rPr>
            </w:pPr>
            <w:r w:rsidRPr="00292532">
              <w:rPr>
                <w:rFonts w:ascii="Arial" w:hAnsi="Arial" w:cs="Arial"/>
                <w:b/>
                <w:color w:val="FFFFFF"/>
                <w:sz w:val="20"/>
                <w:szCs w:val="20"/>
                <w:lang w:val="pt-PT"/>
              </w:rPr>
              <w:t>Medidas preventivas</w:t>
            </w:r>
          </w:p>
        </w:tc>
      </w:tr>
      <w:tr w:rsidR="00B31AE2" w:rsidRPr="004E2EAC" w14:paraId="1A1E8BBA" w14:textId="77777777" w:rsidTr="00B31AE2">
        <w:trPr>
          <w:gridAfter w:val="1"/>
          <w:wAfter w:w="94" w:type="dxa"/>
          <w:trHeight w:val="557"/>
        </w:trPr>
        <w:tc>
          <w:tcPr>
            <w:tcW w:w="1868" w:type="dxa"/>
            <w:gridSpan w:val="2"/>
            <w:tcBorders>
              <w:bottom w:val="single" w:sz="4" w:space="0" w:color="auto"/>
            </w:tcBorders>
            <w:vAlign w:val="center"/>
          </w:tcPr>
          <w:p w14:paraId="6BE52F72" w14:textId="77777777" w:rsidR="00B31AE2" w:rsidRPr="00292532" w:rsidRDefault="00B31AE2" w:rsidP="00B31AE2">
            <w:pPr>
              <w:jc w:val="center"/>
              <w:rPr>
                <w:rFonts w:ascii="Arial" w:hAnsi="Arial" w:cs="Arial"/>
                <w:b/>
                <w:bCs/>
                <w:sz w:val="20"/>
                <w:szCs w:val="20"/>
                <w:lang w:val="pt-PT"/>
              </w:rPr>
            </w:pPr>
            <w:r w:rsidRPr="00292532">
              <w:rPr>
                <w:rFonts w:ascii="Arial" w:hAnsi="Arial" w:cs="Arial"/>
                <w:b/>
                <w:bCs/>
                <w:sz w:val="20"/>
                <w:szCs w:val="20"/>
                <w:lang w:val="pt-PT"/>
              </w:rPr>
              <w:t>Medidas de Saúde e Segurança na Obra</w:t>
            </w:r>
          </w:p>
        </w:tc>
        <w:tc>
          <w:tcPr>
            <w:tcW w:w="7852" w:type="dxa"/>
            <w:gridSpan w:val="2"/>
            <w:tcBorders>
              <w:bottom w:val="single" w:sz="4" w:space="0" w:color="auto"/>
            </w:tcBorders>
            <w:vAlign w:val="center"/>
          </w:tcPr>
          <w:p w14:paraId="525A1D87" w14:textId="77777777" w:rsidR="00B31AE2" w:rsidRPr="00292532" w:rsidRDefault="00B31AE2" w:rsidP="00AE14AE">
            <w:pPr>
              <w:numPr>
                <w:ilvl w:val="0"/>
                <w:numId w:val="150"/>
              </w:numPr>
              <w:autoSpaceDE w:val="0"/>
              <w:autoSpaceDN w:val="0"/>
              <w:adjustRightInd w:val="0"/>
              <w:ind w:left="427" w:hanging="283"/>
              <w:contextualSpacing/>
              <w:rPr>
                <w:rFonts w:ascii="Arial" w:hAnsi="Arial" w:cs="Arial"/>
                <w:sz w:val="20"/>
                <w:szCs w:val="20"/>
                <w:lang w:val="pt-PT"/>
              </w:rPr>
            </w:pPr>
            <w:r w:rsidRPr="00292532">
              <w:rPr>
                <w:rFonts w:ascii="Arial" w:hAnsi="Arial" w:cs="Arial"/>
                <w:sz w:val="20"/>
                <w:szCs w:val="20"/>
                <w:lang w:val="pt-PT"/>
              </w:rPr>
              <w:t>Garantir observância das recomendações de medidas de prevenção para trabalhadores (</w:t>
            </w:r>
            <w:r w:rsidRPr="00292532">
              <w:rPr>
                <w:rFonts w:ascii="Arial" w:hAnsi="Arial" w:cs="Arial"/>
                <w:color w:val="5B9BD5"/>
                <w:sz w:val="20"/>
                <w:szCs w:val="20"/>
                <w:lang w:val="pt-PT"/>
              </w:rPr>
              <w:t>Apêndice A</w:t>
            </w:r>
            <w:r w:rsidRPr="00292532">
              <w:rPr>
                <w:rFonts w:ascii="Arial" w:hAnsi="Arial" w:cs="Arial"/>
                <w:sz w:val="20"/>
                <w:szCs w:val="20"/>
                <w:lang w:val="pt-PT"/>
              </w:rPr>
              <w:t>).</w:t>
            </w:r>
          </w:p>
          <w:p w14:paraId="662B9A49" w14:textId="77777777" w:rsidR="00B31AE2" w:rsidRPr="00292532" w:rsidRDefault="00B31AE2" w:rsidP="00AE14AE">
            <w:pPr>
              <w:numPr>
                <w:ilvl w:val="0"/>
                <w:numId w:val="150"/>
              </w:numPr>
              <w:autoSpaceDE w:val="0"/>
              <w:autoSpaceDN w:val="0"/>
              <w:adjustRightInd w:val="0"/>
              <w:ind w:left="427" w:hanging="283"/>
              <w:contextualSpacing/>
              <w:rPr>
                <w:rFonts w:ascii="Arial" w:hAnsi="Arial" w:cs="Arial"/>
                <w:sz w:val="20"/>
                <w:szCs w:val="20"/>
                <w:lang w:val="pt-PT"/>
              </w:rPr>
            </w:pPr>
            <w:r w:rsidRPr="00292532">
              <w:rPr>
                <w:rFonts w:ascii="Arial" w:hAnsi="Arial" w:cs="Arial"/>
                <w:sz w:val="20"/>
                <w:szCs w:val="20"/>
                <w:lang w:val="pt-PT"/>
              </w:rPr>
              <w:t>Aumentar o nível de sensibilização dos trabalhadores e comunidade sobre a Pandemia de COVID-19, através de palestras, fixação de panfletos nos estaleiros da Obra e formas de sua prevenção.</w:t>
            </w:r>
          </w:p>
          <w:p w14:paraId="31CABEFB" w14:textId="77777777" w:rsidR="00B31AE2" w:rsidRPr="00292532" w:rsidRDefault="00B31AE2" w:rsidP="00AE14AE">
            <w:pPr>
              <w:numPr>
                <w:ilvl w:val="0"/>
                <w:numId w:val="150"/>
              </w:numPr>
              <w:autoSpaceDE w:val="0"/>
              <w:autoSpaceDN w:val="0"/>
              <w:adjustRightInd w:val="0"/>
              <w:ind w:left="427" w:hanging="283"/>
              <w:contextualSpacing/>
              <w:rPr>
                <w:rFonts w:ascii="Arial" w:hAnsi="Arial" w:cs="Arial"/>
                <w:sz w:val="20"/>
                <w:szCs w:val="20"/>
                <w:lang w:val="pt-PT"/>
              </w:rPr>
            </w:pPr>
            <w:r w:rsidRPr="00292532">
              <w:rPr>
                <w:rFonts w:ascii="Arial" w:hAnsi="Arial" w:cs="Arial"/>
                <w:sz w:val="20"/>
                <w:szCs w:val="20"/>
                <w:lang w:val="pt-PT"/>
              </w:rPr>
              <w:t>Garantir a Indução diária dos trabalhadores por parte do Oficial de SSO/Chefe de Equipa presentes em cada frente, e incluir temas sobre as medidas de prevenção do COVID-19.</w:t>
            </w:r>
          </w:p>
          <w:p w14:paraId="4A0D8291" w14:textId="77777777" w:rsidR="00B31AE2" w:rsidRPr="00292532" w:rsidRDefault="00B31AE2" w:rsidP="00AE14AE">
            <w:pPr>
              <w:numPr>
                <w:ilvl w:val="0"/>
                <w:numId w:val="150"/>
              </w:numPr>
              <w:autoSpaceDE w:val="0"/>
              <w:autoSpaceDN w:val="0"/>
              <w:adjustRightInd w:val="0"/>
              <w:ind w:left="427" w:hanging="283"/>
              <w:contextualSpacing/>
              <w:rPr>
                <w:rFonts w:ascii="Arial" w:hAnsi="Arial" w:cs="Arial"/>
                <w:sz w:val="20"/>
                <w:szCs w:val="20"/>
                <w:lang w:val="pt-PT"/>
              </w:rPr>
            </w:pPr>
            <w:r w:rsidRPr="00292532">
              <w:rPr>
                <w:rFonts w:ascii="Arial" w:hAnsi="Arial" w:cs="Arial"/>
                <w:sz w:val="20"/>
                <w:szCs w:val="20"/>
                <w:lang w:val="pt-PT"/>
              </w:rPr>
              <w:t>Garantir a instalação de vários pontos de lavagem/</w:t>
            </w:r>
            <w:proofErr w:type="spellStart"/>
            <w:r w:rsidRPr="00292532">
              <w:rPr>
                <w:rFonts w:ascii="Arial" w:hAnsi="Arial" w:cs="Arial"/>
                <w:sz w:val="20"/>
                <w:szCs w:val="20"/>
                <w:lang w:val="pt-PT"/>
              </w:rPr>
              <w:t>desinfecção</w:t>
            </w:r>
            <w:proofErr w:type="spellEnd"/>
            <w:r w:rsidRPr="00292532">
              <w:rPr>
                <w:rFonts w:ascii="Arial" w:hAnsi="Arial" w:cs="Arial"/>
                <w:sz w:val="20"/>
                <w:szCs w:val="20"/>
                <w:lang w:val="pt-PT"/>
              </w:rPr>
              <w:t xml:space="preserve"> das mãos em cada frente de obra e locais de refeições.</w:t>
            </w:r>
          </w:p>
          <w:p w14:paraId="0356D749" w14:textId="77777777" w:rsidR="00B31AE2" w:rsidRPr="00292532" w:rsidRDefault="00B31AE2" w:rsidP="00AE14AE">
            <w:pPr>
              <w:numPr>
                <w:ilvl w:val="0"/>
                <w:numId w:val="150"/>
              </w:numPr>
              <w:autoSpaceDE w:val="0"/>
              <w:autoSpaceDN w:val="0"/>
              <w:adjustRightInd w:val="0"/>
              <w:ind w:left="427" w:hanging="283"/>
              <w:contextualSpacing/>
              <w:rPr>
                <w:rFonts w:ascii="Arial" w:hAnsi="Arial" w:cs="Arial"/>
                <w:sz w:val="20"/>
                <w:szCs w:val="20"/>
                <w:lang w:val="pt-PT"/>
              </w:rPr>
            </w:pPr>
            <w:r w:rsidRPr="00292532">
              <w:rPr>
                <w:rFonts w:ascii="Arial" w:hAnsi="Arial" w:cs="Arial"/>
                <w:sz w:val="20"/>
                <w:szCs w:val="20"/>
                <w:lang w:val="pt-PT"/>
              </w:rPr>
              <w:t xml:space="preserve">Garantir o controle de acessos a obra e estaleiros e, sempre que possível, incluir o controle da temperatura corporal de todos os trabalhadores na chegada ao local de trabalho e garantir a </w:t>
            </w:r>
            <w:proofErr w:type="spellStart"/>
            <w:r w:rsidRPr="00292532">
              <w:rPr>
                <w:rFonts w:ascii="Arial" w:hAnsi="Arial" w:cs="Arial"/>
                <w:sz w:val="20"/>
                <w:szCs w:val="20"/>
                <w:lang w:val="pt-PT"/>
              </w:rPr>
              <w:t>desinfecção</w:t>
            </w:r>
            <w:proofErr w:type="spellEnd"/>
            <w:r w:rsidRPr="00292532">
              <w:rPr>
                <w:rFonts w:ascii="Arial" w:hAnsi="Arial" w:cs="Arial"/>
                <w:sz w:val="20"/>
                <w:szCs w:val="20"/>
                <w:lang w:val="pt-PT"/>
              </w:rPr>
              <w:t xml:space="preserve"> imediata das mãos.</w:t>
            </w:r>
          </w:p>
          <w:p w14:paraId="358DC07F" w14:textId="77777777" w:rsidR="00B31AE2" w:rsidRPr="00292532" w:rsidRDefault="00B31AE2" w:rsidP="00AE14AE">
            <w:pPr>
              <w:numPr>
                <w:ilvl w:val="0"/>
                <w:numId w:val="150"/>
              </w:numPr>
              <w:autoSpaceDE w:val="0"/>
              <w:autoSpaceDN w:val="0"/>
              <w:adjustRightInd w:val="0"/>
              <w:ind w:left="427" w:hanging="283"/>
              <w:contextualSpacing/>
              <w:rPr>
                <w:rFonts w:ascii="Arial" w:eastAsia="Calibri" w:hAnsi="Arial" w:cs="Arial"/>
                <w:sz w:val="20"/>
                <w:szCs w:val="20"/>
                <w:lang w:val="pt-PT"/>
              </w:rPr>
            </w:pPr>
            <w:r w:rsidRPr="00292532">
              <w:rPr>
                <w:rFonts w:ascii="Arial" w:hAnsi="Arial" w:cs="Arial"/>
                <w:sz w:val="20"/>
                <w:szCs w:val="20"/>
                <w:lang w:val="pt-PT"/>
              </w:rPr>
              <w:t>O registo diário de entrada nas instalações ajudará no rastreiro de contactos que possam ter sido expostos à COVID-19, caso se registo de algum caso positivo. Sempre que existirem deverão ser conservados durante pelo menos um mês.</w:t>
            </w:r>
          </w:p>
        </w:tc>
      </w:tr>
      <w:tr w:rsidR="00B31AE2" w:rsidRPr="004E2EAC" w14:paraId="207DA28D" w14:textId="77777777" w:rsidTr="00B31AE2">
        <w:trPr>
          <w:gridAfter w:val="1"/>
          <w:wAfter w:w="94" w:type="dxa"/>
        </w:trPr>
        <w:tc>
          <w:tcPr>
            <w:tcW w:w="1868" w:type="dxa"/>
            <w:gridSpan w:val="2"/>
            <w:tcBorders>
              <w:top w:val="single" w:sz="4" w:space="0" w:color="auto"/>
              <w:bottom w:val="single" w:sz="4" w:space="0" w:color="auto"/>
            </w:tcBorders>
            <w:vAlign w:val="center"/>
          </w:tcPr>
          <w:p w14:paraId="20E30BE7" w14:textId="77777777" w:rsidR="00B31AE2" w:rsidRPr="00292532" w:rsidRDefault="00B31AE2" w:rsidP="00B31AE2">
            <w:pPr>
              <w:spacing w:after="11"/>
              <w:ind w:right="15"/>
              <w:jc w:val="center"/>
              <w:rPr>
                <w:rFonts w:ascii="Arial" w:hAnsi="Arial" w:cs="Arial"/>
                <w:b/>
                <w:bCs/>
                <w:sz w:val="20"/>
                <w:szCs w:val="20"/>
                <w:lang w:val="pt-PT"/>
              </w:rPr>
            </w:pPr>
            <w:r w:rsidRPr="00292532">
              <w:rPr>
                <w:rFonts w:ascii="Arial" w:hAnsi="Arial" w:cs="Arial"/>
                <w:b/>
                <w:bCs/>
                <w:sz w:val="20"/>
                <w:szCs w:val="20"/>
                <w:lang w:val="pt-PT"/>
              </w:rPr>
              <w:t>Em treinamentos e reuniões</w:t>
            </w:r>
          </w:p>
        </w:tc>
        <w:tc>
          <w:tcPr>
            <w:tcW w:w="7852" w:type="dxa"/>
            <w:gridSpan w:val="2"/>
            <w:tcBorders>
              <w:top w:val="single" w:sz="4" w:space="0" w:color="auto"/>
              <w:bottom w:val="single" w:sz="4" w:space="0" w:color="auto"/>
            </w:tcBorders>
            <w:vAlign w:val="center"/>
          </w:tcPr>
          <w:p w14:paraId="414C72A3" w14:textId="77777777" w:rsidR="00B31AE2" w:rsidRPr="00292532" w:rsidRDefault="00B31AE2" w:rsidP="00AE14AE">
            <w:pPr>
              <w:numPr>
                <w:ilvl w:val="0"/>
                <w:numId w:val="150"/>
              </w:numPr>
              <w:autoSpaceDE w:val="0"/>
              <w:autoSpaceDN w:val="0"/>
              <w:adjustRightInd w:val="0"/>
              <w:ind w:left="427" w:hanging="283"/>
              <w:contextualSpacing/>
              <w:rPr>
                <w:rFonts w:ascii="Arial" w:hAnsi="Arial" w:cs="Arial"/>
                <w:sz w:val="20"/>
                <w:szCs w:val="20"/>
                <w:lang w:val="pt-PT"/>
              </w:rPr>
            </w:pPr>
            <w:r w:rsidRPr="00292532">
              <w:rPr>
                <w:rFonts w:ascii="Arial" w:hAnsi="Arial" w:cs="Arial"/>
                <w:sz w:val="20"/>
                <w:szCs w:val="20"/>
                <w:lang w:val="pt-PT"/>
              </w:rPr>
              <w:t xml:space="preserve">Deve se obedecer ao número máximo de pessoas estipuladas pelo decreto em vigor sobre a COVID-19 em Moçambique. </w:t>
            </w:r>
          </w:p>
          <w:p w14:paraId="2CD6A943" w14:textId="77777777" w:rsidR="00B31AE2" w:rsidRPr="00292532" w:rsidRDefault="00B31AE2" w:rsidP="00AE14AE">
            <w:pPr>
              <w:numPr>
                <w:ilvl w:val="0"/>
                <w:numId w:val="150"/>
              </w:numPr>
              <w:autoSpaceDE w:val="0"/>
              <w:autoSpaceDN w:val="0"/>
              <w:adjustRightInd w:val="0"/>
              <w:ind w:left="427" w:hanging="283"/>
              <w:contextualSpacing/>
              <w:rPr>
                <w:rFonts w:ascii="Arial" w:hAnsi="Arial" w:cs="Arial"/>
                <w:sz w:val="20"/>
                <w:szCs w:val="20"/>
                <w:lang w:val="pt-PT"/>
              </w:rPr>
            </w:pPr>
            <w:r w:rsidRPr="00292532">
              <w:rPr>
                <w:rFonts w:ascii="Arial" w:hAnsi="Arial" w:cs="Arial"/>
                <w:sz w:val="20"/>
                <w:szCs w:val="20"/>
                <w:lang w:val="pt-PT"/>
              </w:rPr>
              <w:t xml:space="preserve">Deve se assegurar a utilização obrigatória e </w:t>
            </w:r>
            <w:proofErr w:type="spellStart"/>
            <w:r w:rsidRPr="00292532">
              <w:rPr>
                <w:rFonts w:ascii="Arial" w:hAnsi="Arial" w:cs="Arial"/>
                <w:sz w:val="20"/>
                <w:szCs w:val="20"/>
                <w:lang w:val="pt-PT"/>
              </w:rPr>
              <w:t>correcta</w:t>
            </w:r>
            <w:proofErr w:type="spellEnd"/>
            <w:r w:rsidRPr="00292532">
              <w:rPr>
                <w:rFonts w:ascii="Arial" w:hAnsi="Arial" w:cs="Arial"/>
                <w:sz w:val="20"/>
                <w:szCs w:val="20"/>
                <w:lang w:val="pt-PT"/>
              </w:rPr>
              <w:t xml:space="preserve"> de máscaras pelos participantes. </w:t>
            </w:r>
          </w:p>
          <w:p w14:paraId="42284535" w14:textId="77777777" w:rsidR="00B31AE2" w:rsidRPr="00292532" w:rsidRDefault="00B31AE2" w:rsidP="00AE14AE">
            <w:pPr>
              <w:numPr>
                <w:ilvl w:val="0"/>
                <w:numId w:val="150"/>
              </w:numPr>
              <w:autoSpaceDE w:val="0"/>
              <w:autoSpaceDN w:val="0"/>
              <w:adjustRightInd w:val="0"/>
              <w:ind w:left="427" w:hanging="283"/>
              <w:contextualSpacing/>
              <w:rPr>
                <w:rFonts w:ascii="Arial" w:hAnsi="Arial" w:cs="Arial"/>
                <w:sz w:val="20"/>
                <w:szCs w:val="20"/>
                <w:lang w:val="pt-PT"/>
              </w:rPr>
            </w:pPr>
            <w:r w:rsidRPr="00292532">
              <w:rPr>
                <w:rFonts w:ascii="Arial" w:hAnsi="Arial" w:cs="Arial"/>
                <w:sz w:val="20"/>
                <w:szCs w:val="20"/>
                <w:lang w:val="pt-PT"/>
              </w:rPr>
              <w:t>Sempre que possível, as induções devem ser realizadas ao “ar livre”, evitando lugares fechados que facilmente propagam o vírus em caso de um trabalhador ter sido exposto ao vírus.</w:t>
            </w:r>
          </w:p>
          <w:p w14:paraId="1DF3E23D" w14:textId="77777777" w:rsidR="00B31AE2" w:rsidRPr="00292532" w:rsidRDefault="00B31AE2" w:rsidP="00AE14AE">
            <w:pPr>
              <w:numPr>
                <w:ilvl w:val="0"/>
                <w:numId w:val="150"/>
              </w:numPr>
              <w:autoSpaceDE w:val="0"/>
              <w:autoSpaceDN w:val="0"/>
              <w:adjustRightInd w:val="0"/>
              <w:ind w:left="427" w:hanging="283"/>
              <w:contextualSpacing/>
              <w:rPr>
                <w:rFonts w:ascii="Arial" w:hAnsi="Arial" w:cs="Arial"/>
                <w:sz w:val="20"/>
                <w:szCs w:val="20"/>
                <w:lang w:val="pt-PT"/>
              </w:rPr>
            </w:pPr>
            <w:r w:rsidRPr="00292532">
              <w:rPr>
                <w:rFonts w:ascii="Arial" w:hAnsi="Arial" w:cs="Arial"/>
                <w:sz w:val="20"/>
                <w:szCs w:val="20"/>
                <w:lang w:val="pt-PT"/>
              </w:rPr>
              <w:t>A localização dos assentos em ambientes fechados deve permitir o distanciamento social, mas continuar a funcionar como um grupo quando necessário, por exemplo, arranjos em semicírculo.</w:t>
            </w:r>
          </w:p>
          <w:p w14:paraId="303B0BCA" w14:textId="77777777" w:rsidR="00B31AE2" w:rsidRPr="00292532" w:rsidRDefault="00B31AE2" w:rsidP="00AE14AE">
            <w:pPr>
              <w:numPr>
                <w:ilvl w:val="0"/>
                <w:numId w:val="150"/>
              </w:numPr>
              <w:autoSpaceDE w:val="0"/>
              <w:autoSpaceDN w:val="0"/>
              <w:adjustRightInd w:val="0"/>
              <w:ind w:left="427" w:hanging="283"/>
              <w:contextualSpacing/>
              <w:rPr>
                <w:rFonts w:ascii="Arial" w:hAnsi="Arial" w:cs="Arial"/>
                <w:sz w:val="20"/>
                <w:szCs w:val="20"/>
                <w:lang w:val="pt-PT"/>
              </w:rPr>
            </w:pPr>
            <w:r w:rsidRPr="00292532">
              <w:rPr>
                <w:rFonts w:ascii="Arial" w:hAnsi="Arial" w:cs="Arial"/>
                <w:sz w:val="20"/>
                <w:szCs w:val="20"/>
                <w:lang w:val="pt-PT"/>
              </w:rPr>
              <w:lastRenderedPageBreak/>
              <w:t>Deve se disponibilizar condições para higienização das mãos e, se possível, garantir a medição da temperatura corporal.</w:t>
            </w:r>
          </w:p>
          <w:p w14:paraId="643FFEC0" w14:textId="77777777" w:rsidR="00B31AE2" w:rsidRPr="00292532" w:rsidRDefault="00B31AE2" w:rsidP="00AE14AE">
            <w:pPr>
              <w:numPr>
                <w:ilvl w:val="0"/>
                <w:numId w:val="150"/>
              </w:numPr>
              <w:autoSpaceDE w:val="0"/>
              <w:autoSpaceDN w:val="0"/>
              <w:adjustRightInd w:val="0"/>
              <w:ind w:left="427" w:hanging="283"/>
              <w:contextualSpacing/>
              <w:rPr>
                <w:rFonts w:ascii="Arial" w:hAnsi="Arial" w:cs="Arial"/>
                <w:sz w:val="20"/>
                <w:szCs w:val="20"/>
                <w:lang w:val="pt-PT"/>
              </w:rPr>
            </w:pPr>
            <w:r w:rsidRPr="00292532">
              <w:rPr>
                <w:rFonts w:ascii="Arial" w:hAnsi="Arial" w:cs="Arial"/>
                <w:sz w:val="20"/>
                <w:szCs w:val="20"/>
                <w:lang w:val="pt-PT"/>
              </w:rPr>
              <w:t>A lista de presenças deve ser conservada. Isto ajudará a localizar pessoas que possam ter sido expostas à COVID-19 se um ou mais participantes ficarem doentes pouco tempo depois do evento.</w:t>
            </w:r>
          </w:p>
          <w:p w14:paraId="061CF8B3" w14:textId="77777777" w:rsidR="00B31AE2" w:rsidRPr="00292532" w:rsidRDefault="00B31AE2" w:rsidP="00AE14AE">
            <w:pPr>
              <w:numPr>
                <w:ilvl w:val="0"/>
                <w:numId w:val="150"/>
              </w:numPr>
              <w:autoSpaceDE w:val="0"/>
              <w:autoSpaceDN w:val="0"/>
              <w:adjustRightInd w:val="0"/>
              <w:ind w:left="427" w:hanging="283"/>
              <w:contextualSpacing/>
              <w:rPr>
                <w:rFonts w:ascii="Arial" w:eastAsia="Calibri" w:hAnsi="Arial" w:cs="Arial"/>
                <w:sz w:val="20"/>
                <w:szCs w:val="20"/>
                <w:lang w:val="pt-PT"/>
              </w:rPr>
            </w:pPr>
            <w:r w:rsidRPr="00292532">
              <w:rPr>
                <w:rFonts w:ascii="Arial" w:hAnsi="Arial" w:cs="Arial"/>
                <w:sz w:val="20"/>
                <w:szCs w:val="20"/>
                <w:lang w:val="pt-PT"/>
              </w:rPr>
              <w:t>O aglomerado de pessoas deve levar o mínimo de tempo possível. No caso de jornadas longas, deve se precaver vários intervalos curtos, no mínimo 5 a 10 min a cada 2 horas.</w:t>
            </w:r>
          </w:p>
        </w:tc>
      </w:tr>
      <w:tr w:rsidR="00B31AE2" w:rsidRPr="004E2EAC" w14:paraId="3B8614D7" w14:textId="77777777" w:rsidTr="00B31AE2">
        <w:trPr>
          <w:gridAfter w:val="1"/>
          <w:wAfter w:w="94" w:type="dxa"/>
        </w:trPr>
        <w:tc>
          <w:tcPr>
            <w:tcW w:w="1868" w:type="dxa"/>
            <w:gridSpan w:val="2"/>
            <w:tcBorders>
              <w:top w:val="single" w:sz="4" w:space="0" w:color="auto"/>
              <w:bottom w:val="single" w:sz="4" w:space="0" w:color="auto"/>
            </w:tcBorders>
            <w:vAlign w:val="center"/>
          </w:tcPr>
          <w:p w14:paraId="0ED1C58E" w14:textId="77777777" w:rsidR="00B31AE2" w:rsidRPr="00292532" w:rsidRDefault="00B31AE2" w:rsidP="00B31AE2">
            <w:pPr>
              <w:spacing w:after="11"/>
              <w:ind w:right="15"/>
              <w:jc w:val="center"/>
              <w:rPr>
                <w:rFonts w:ascii="Arial" w:hAnsi="Arial" w:cs="Arial"/>
                <w:b/>
                <w:bCs/>
                <w:sz w:val="20"/>
                <w:szCs w:val="20"/>
                <w:lang w:val="pt-PT"/>
              </w:rPr>
            </w:pPr>
            <w:r w:rsidRPr="00292532">
              <w:rPr>
                <w:rFonts w:ascii="Arial" w:hAnsi="Arial" w:cs="Arial"/>
                <w:b/>
                <w:bCs/>
                <w:sz w:val="20"/>
                <w:szCs w:val="20"/>
                <w:lang w:val="pt-PT"/>
              </w:rPr>
              <w:lastRenderedPageBreak/>
              <w:t xml:space="preserve">Durante as refeições </w:t>
            </w:r>
          </w:p>
        </w:tc>
        <w:tc>
          <w:tcPr>
            <w:tcW w:w="7852" w:type="dxa"/>
            <w:gridSpan w:val="2"/>
            <w:tcBorders>
              <w:top w:val="single" w:sz="4" w:space="0" w:color="auto"/>
              <w:bottom w:val="single" w:sz="4" w:space="0" w:color="auto"/>
            </w:tcBorders>
            <w:vAlign w:val="center"/>
          </w:tcPr>
          <w:p w14:paraId="20949342" w14:textId="77777777" w:rsidR="00B31AE2" w:rsidRPr="00292532" w:rsidRDefault="00B31AE2" w:rsidP="00AE14AE">
            <w:pPr>
              <w:numPr>
                <w:ilvl w:val="0"/>
                <w:numId w:val="150"/>
              </w:numPr>
              <w:autoSpaceDE w:val="0"/>
              <w:autoSpaceDN w:val="0"/>
              <w:adjustRightInd w:val="0"/>
              <w:ind w:left="427" w:hanging="283"/>
              <w:contextualSpacing/>
              <w:rPr>
                <w:rFonts w:ascii="Arial" w:hAnsi="Arial" w:cs="Arial"/>
                <w:sz w:val="20"/>
                <w:szCs w:val="20"/>
                <w:lang w:val="pt-PT"/>
              </w:rPr>
            </w:pPr>
            <w:r w:rsidRPr="00292532">
              <w:rPr>
                <w:rFonts w:ascii="Arial" w:hAnsi="Arial" w:cs="Arial"/>
                <w:sz w:val="20"/>
                <w:szCs w:val="20"/>
                <w:lang w:val="pt-PT"/>
              </w:rPr>
              <w:t xml:space="preserve">Assegurar </w:t>
            </w:r>
            <w:proofErr w:type="spellStart"/>
            <w:r w:rsidRPr="00292532">
              <w:rPr>
                <w:rFonts w:ascii="Arial" w:hAnsi="Arial" w:cs="Arial"/>
                <w:sz w:val="20"/>
                <w:szCs w:val="20"/>
                <w:lang w:val="pt-PT"/>
              </w:rPr>
              <w:t>desinfecção</w:t>
            </w:r>
            <w:proofErr w:type="spellEnd"/>
            <w:r w:rsidRPr="00292532">
              <w:rPr>
                <w:rFonts w:ascii="Arial" w:hAnsi="Arial" w:cs="Arial"/>
                <w:sz w:val="20"/>
                <w:szCs w:val="20"/>
                <w:lang w:val="pt-PT"/>
              </w:rPr>
              <w:t xml:space="preserve"> das mãos antes e após o manuseio de equipamentos/</w:t>
            </w:r>
            <w:proofErr w:type="spellStart"/>
            <w:r w:rsidRPr="00292532">
              <w:rPr>
                <w:rFonts w:ascii="Arial" w:hAnsi="Arial" w:cs="Arial"/>
                <w:sz w:val="20"/>
                <w:szCs w:val="20"/>
                <w:lang w:val="pt-PT"/>
              </w:rPr>
              <w:t>objectos</w:t>
            </w:r>
            <w:proofErr w:type="spellEnd"/>
            <w:r w:rsidRPr="00292532">
              <w:rPr>
                <w:rFonts w:ascii="Arial" w:hAnsi="Arial" w:cs="Arial"/>
                <w:sz w:val="20"/>
                <w:szCs w:val="20"/>
                <w:lang w:val="pt-PT"/>
              </w:rPr>
              <w:t xml:space="preserve"> de uso comum (máquina de café, dispensadores de água, açucareiros, </w:t>
            </w:r>
            <w:proofErr w:type="spellStart"/>
            <w:r w:rsidRPr="00292532">
              <w:rPr>
                <w:rFonts w:ascii="Arial" w:hAnsi="Arial" w:cs="Arial"/>
                <w:sz w:val="20"/>
                <w:szCs w:val="20"/>
                <w:lang w:val="pt-PT"/>
              </w:rPr>
              <w:t>etc</w:t>
            </w:r>
            <w:proofErr w:type="spellEnd"/>
            <w:r w:rsidRPr="00292532">
              <w:rPr>
                <w:rFonts w:ascii="Arial" w:hAnsi="Arial" w:cs="Arial"/>
                <w:sz w:val="20"/>
                <w:szCs w:val="20"/>
                <w:lang w:val="pt-PT"/>
              </w:rPr>
              <w:t xml:space="preserve">). Na impossibilidade de </w:t>
            </w:r>
            <w:proofErr w:type="spellStart"/>
            <w:r w:rsidRPr="00292532">
              <w:rPr>
                <w:rFonts w:ascii="Arial" w:hAnsi="Arial" w:cs="Arial"/>
                <w:sz w:val="20"/>
                <w:szCs w:val="20"/>
                <w:lang w:val="pt-PT"/>
              </w:rPr>
              <w:t>desinfecção</w:t>
            </w:r>
            <w:proofErr w:type="spellEnd"/>
            <w:r w:rsidRPr="00292532">
              <w:rPr>
                <w:rFonts w:ascii="Arial" w:hAnsi="Arial" w:cs="Arial"/>
                <w:sz w:val="20"/>
                <w:szCs w:val="20"/>
                <w:lang w:val="pt-PT"/>
              </w:rPr>
              <w:t xml:space="preserve"> deve se manusear com um guardanapo novo.</w:t>
            </w:r>
          </w:p>
          <w:p w14:paraId="7EE20711" w14:textId="77777777" w:rsidR="00B31AE2" w:rsidRPr="00292532" w:rsidRDefault="00B31AE2" w:rsidP="00AE14AE">
            <w:pPr>
              <w:numPr>
                <w:ilvl w:val="0"/>
                <w:numId w:val="150"/>
              </w:numPr>
              <w:autoSpaceDE w:val="0"/>
              <w:autoSpaceDN w:val="0"/>
              <w:adjustRightInd w:val="0"/>
              <w:ind w:left="427" w:hanging="283"/>
              <w:contextualSpacing/>
              <w:rPr>
                <w:rFonts w:ascii="Arial" w:hAnsi="Arial" w:cs="Arial"/>
                <w:sz w:val="20"/>
                <w:szCs w:val="20"/>
                <w:lang w:val="pt-PT"/>
              </w:rPr>
            </w:pPr>
            <w:r w:rsidRPr="00292532">
              <w:rPr>
                <w:rFonts w:ascii="Arial" w:hAnsi="Arial" w:cs="Arial"/>
                <w:sz w:val="20"/>
                <w:szCs w:val="20"/>
                <w:lang w:val="pt-PT"/>
              </w:rPr>
              <w:t xml:space="preserve">Evitar a partilha de utensílios (talheres, prato, copo, chávena, </w:t>
            </w:r>
            <w:proofErr w:type="spellStart"/>
            <w:r w:rsidRPr="00292532">
              <w:rPr>
                <w:rFonts w:ascii="Arial" w:hAnsi="Arial" w:cs="Arial"/>
                <w:sz w:val="20"/>
                <w:szCs w:val="20"/>
                <w:lang w:val="pt-PT"/>
              </w:rPr>
              <w:t>etc</w:t>
            </w:r>
            <w:proofErr w:type="spellEnd"/>
            <w:r w:rsidRPr="00292532">
              <w:rPr>
                <w:rFonts w:ascii="Arial" w:hAnsi="Arial" w:cs="Arial"/>
                <w:sz w:val="20"/>
                <w:szCs w:val="20"/>
                <w:lang w:val="pt-PT"/>
              </w:rPr>
              <w:t>) antes da sua lavagem/</w:t>
            </w:r>
            <w:proofErr w:type="spellStart"/>
            <w:r w:rsidRPr="00292532">
              <w:rPr>
                <w:rFonts w:ascii="Arial" w:hAnsi="Arial" w:cs="Arial"/>
                <w:sz w:val="20"/>
                <w:szCs w:val="20"/>
                <w:lang w:val="pt-PT"/>
              </w:rPr>
              <w:t>desinfecção</w:t>
            </w:r>
            <w:proofErr w:type="spellEnd"/>
            <w:r w:rsidRPr="00292532">
              <w:rPr>
                <w:rFonts w:ascii="Arial" w:hAnsi="Arial" w:cs="Arial"/>
                <w:sz w:val="20"/>
                <w:szCs w:val="20"/>
                <w:lang w:val="pt-PT"/>
              </w:rPr>
              <w:t xml:space="preserve">. </w:t>
            </w:r>
          </w:p>
          <w:p w14:paraId="40360AF1" w14:textId="77777777" w:rsidR="00B31AE2" w:rsidRPr="00292532" w:rsidRDefault="00B31AE2" w:rsidP="00AE14AE">
            <w:pPr>
              <w:numPr>
                <w:ilvl w:val="0"/>
                <w:numId w:val="150"/>
              </w:numPr>
              <w:autoSpaceDE w:val="0"/>
              <w:autoSpaceDN w:val="0"/>
              <w:adjustRightInd w:val="0"/>
              <w:ind w:left="427" w:hanging="283"/>
              <w:contextualSpacing/>
              <w:rPr>
                <w:rFonts w:ascii="Arial" w:hAnsi="Arial" w:cs="Arial"/>
                <w:sz w:val="20"/>
                <w:szCs w:val="20"/>
                <w:lang w:val="pt-PT"/>
              </w:rPr>
            </w:pPr>
            <w:r w:rsidRPr="00292532">
              <w:rPr>
                <w:rFonts w:ascii="Arial" w:hAnsi="Arial" w:cs="Arial"/>
                <w:sz w:val="20"/>
                <w:szCs w:val="20"/>
                <w:lang w:val="pt-PT"/>
              </w:rPr>
              <w:t>Dar preferência ao uso utensílios pessoais (ex. garrafas portáteis, lancheiras).</w:t>
            </w:r>
          </w:p>
          <w:p w14:paraId="744E8B73" w14:textId="77777777" w:rsidR="00B31AE2" w:rsidRPr="00292532" w:rsidRDefault="00B31AE2" w:rsidP="00AE14AE">
            <w:pPr>
              <w:numPr>
                <w:ilvl w:val="0"/>
                <w:numId w:val="150"/>
              </w:numPr>
              <w:autoSpaceDE w:val="0"/>
              <w:autoSpaceDN w:val="0"/>
              <w:adjustRightInd w:val="0"/>
              <w:ind w:left="427" w:hanging="283"/>
              <w:contextualSpacing/>
              <w:rPr>
                <w:rFonts w:ascii="Arial" w:hAnsi="Arial" w:cs="Arial"/>
                <w:sz w:val="20"/>
                <w:szCs w:val="20"/>
                <w:lang w:val="pt-PT"/>
              </w:rPr>
            </w:pPr>
            <w:r w:rsidRPr="00292532">
              <w:rPr>
                <w:rFonts w:ascii="Arial" w:hAnsi="Arial" w:cs="Arial"/>
                <w:sz w:val="20"/>
                <w:szCs w:val="20"/>
                <w:lang w:val="pt-PT"/>
              </w:rPr>
              <w:t>Limitar o tempo de permanência em locais de refeições (20 a 30 minutos por pessoa) e assegurar rotação do pessoal (em períodos diferentes).</w:t>
            </w:r>
          </w:p>
          <w:p w14:paraId="0448BB0F" w14:textId="77777777" w:rsidR="00B31AE2" w:rsidRPr="00292532" w:rsidRDefault="00B31AE2" w:rsidP="00AE14AE">
            <w:pPr>
              <w:numPr>
                <w:ilvl w:val="0"/>
                <w:numId w:val="150"/>
              </w:numPr>
              <w:autoSpaceDE w:val="0"/>
              <w:autoSpaceDN w:val="0"/>
              <w:adjustRightInd w:val="0"/>
              <w:ind w:left="427" w:hanging="283"/>
              <w:contextualSpacing/>
              <w:rPr>
                <w:rFonts w:ascii="Arial" w:hAnsi="Arial" w:cs="Arial"/>
                <w:sz w:val="20"/>
                <w:szCs w:val="20"/>
                <w:lang w:val="pt-PT"/>
              </w:rPr>
            </w:pPr>
            <w:r w:rsidRPr="00292532">
              <w:rPr>
                <w:rFonts w:ascii="Arial" w:hAnsi="Arial" w:cs="Arial"/>
                <w:sz w:val="20"/>
                <w:szCs w:val="20"/>
                <w:lang w:val="pt-PT"/>
              </w:rPr>
              <w:t xml:space="preserve">Sempre que possível, as refeições devem ser tomadas ao “ar livre”. </w:t>
            </w:r>
          </w:p>
          <w:p w14:paraId="753CE0B9" w14:textId="77777777" w:rsidR="00B31AE2" w:rsidRPr="00292532" w:rsidRDefault="00B31AE2" w:rsidP="00AE14AE">
            <w:pPr>
              <w:numPr>
                <w:ilvl w:val="0"/>
                <w:numId w:val="150"/>
              </w:numPr>
              <w:autoSpaceDE w:val="0"/>
              <w:autoSpaceDN w:val="0"/>
              <w:adjustRightInd w:val="0"/>
              <w:ind w:left="427" w:hanging="283"/>
              <w:contextualSpacing/>
              <w:rPr>
                <w:rFonts w:ascii="Arial" w:hAnsi="Arial" w:cs="Arial"/>
                <w:sz w:val="20"/>
                <w:szCs w:val="20"/>
                <w:lang w:val="pt-PT"/>
              </w:rPr>
            </w:pPr>
            <w:r w:rsidRPr="00292532">
              <w:rPr>
                <w:rFonts w:ascii="Arial" w:hAnsi="Arial" w:cs="Arial"/>
                <w:sz w:val="20"/>
                <w:szCs w:val="20"/>
                <w:lang w:val="pt-PT"/>
              </w:rPr>
              <w:t>Evitar conversas prolongadas durante as refeições (sem máscaras).</w:t>
            </w:r>
          </w:p>
        </w:tc>
      </w:tr>
      <w:tr w:rsidR="00B31AE2" w:rsidRPr="00292532" w14:paraId="0CF88FE5" w14:textId="77777777" w:rsidTr="00B31AE2">
        <w:trPr>
          <w:gridAfter w:val="1"/>
          <w:wAfter w:w="94" w:type="dxa"/>
        </w:trPr>
        <w:tc>
          <w:tcPr>
            <w:tcW w:w="1868" w:type="dxa"/>
            <w:gridSpan w:val="2"/>
            <w:tcBorders>
              <w:top w:val="single" w:sz="4" w:space="0" w:color="auto"/>
              <w:bottom w:val="single" w:sz="4" w:space="0" w:color="auto"/>
            </w:tcBorders>
            <w:vAlign w:val="center"/>
          </w:tcPr>
          <w:p w14:paraId="21DA4ADB" w14:textId="77777777" w:rsidR="00B31AE2" w:rsidRPr="00292532" w:rsidRDefault="00B31AE2" w:rsidP="00B31AE2">
            <w:pPr>
              <w:spacing w:after="11"/>
              <w:ind w:right="15"/>
              <w:jc w:val="center"/>
              <w:rPr>
                <w:rFonts w:ascii="Arial" w:hAnsi="Arial" w:cs="Arial"/>
                <w:b/>
                <w:bCs/>
                <w:sz w:val="20"/>
                <w:szCs w:val="20"/>
                <w:lang w:val="pt-PT"/>
              </w:rPr>
            </w:pPr>
            <w:r w:rsidRPr="00292532">
              <w:rPr>
                <w:rFonts w:ascii="Arial" w:hAnsi="Arial" w:cs="Arial"/>
                <w:b/>
                <w:bCs/>
                <w:sz w:val="20"/>
                <w:szCs w:val="20"/>
                <w:lang w:val="pt-PT"/>
              </w:rPr>
              <w:t>Chegada de trabalhadores do estrangeiro</w:t>
            </w:r>
          </w:p>
        </w:tc>
        <w:tc>
          <w:tcPr>
            <w:tcW w:w="7852" w:type="dxa"/>
            <w:gridSpan w:val="2"/>
            <w:tcBorders>
              <w:top w:val="single" w:sz="4" w:space="0" w:color="auto"/>
              <w:bottom w:val="single" w:sz="4" w:space="0" w:color="auto"/>
            </w:tcBorders>
            <w:vAlign w:val="center"/>
          </w:tcPr>
          <w:p w14:paraId="4E7689BA" w14:textId="77777777" w:rsidR="00B31AE2" w:rsidRPr="00292532" w:rsidRDefault="00B31AE2" w:rsidP="00AE14AE">
            <w:pPr>
              <w:numPr>
                <w:ilvl w:val="0"/>
                <w:numId w:val="150"/>
              </w:numPr>
              <w:autoSpaceDE w:val="0"/>
              <w:autoSpaceDN w:val="0"/>
              <w:adjustRightInd w:val="0"/>
              <w:ind w:left="427" w:hanging="283"/>
              <w:contextualSpacing/>
              <w:rPr>
                <w:rFonts w:ascii="Arial" w:hAnsi="Arial" w:cs="Arial"/>
                <w:sz w:val="20"/>
                <w:szCs w:val="20"/>
                <w:lang w:val="pt-PT"/>
              </w:rPr>
            </w:pPr>
            <w:r w:rsidRPr="00292532">
              <w:rPr>
                <w:rFonts w:ascii="Arial" w:hAnsi="Arial" w:cs="Arial"/>
                <w:sz w:val="20"/>
                <w:szCs w:val="20"/>
                <w:lang w:val="pt-PT"/>
              </w:rPr>
              <w:t>Notificar ao oficial de SSO ou a Comissão Institucional de Gestão de COVID-19 (CIGCOVID-19).</w:t>
            </w:r>
          </w:p>
          <w:p w14:paraId="348E7A11" w14:textId="77777777" w:rsidR="00B31AE2" w:rsidRPr="00292532" w:rsidRDefault="00B31AE2" w:rsidP="00AE14AE">
            <w:pPr>
              <w:numPr>
                <w:ilvl w:val="0"/>
                <w:numId w:val="150"/>
              </w:numPr>
              <w:autoSpaceDE w:val="0"/>
              <w:autoSpaceDN w:val="0"/>
              <w:adjustRightInd w:val="0"/>
              <w:ind w:left="427" w:hanging="283"/>
              <w:contextualSpacing/>
              <w:rPr>
                <w:rFonts w:ascii="Arial" w:hAnsi="Arial" w:cs="Arial"/>
                <w:sz w:val="20"/>
                <w:szCs w:val="20"/>
                <w:lang w:val="pt-PT"/>
              </w:rPr>
            </w:pPr>
            <w:r w:rsidRPr="00292532">
              <w:rPr>
                <w:rFonts w:ascii="Arial" w:hAnsi="Arial" w:cs="Arial"/>
                <w:sz w:val="20"/>
                <w:szCs w:val="20"/>
                <w:lang w:val="pt-PT"/>
              </w:rPr>
              <w:t xml:space="preserve">Os trabalhadores recém-chegados do estrangeiro devem trabalhar em quarentena a partir de casa/quarto restrito ou outros locais previamente identificados/aprovados durante catorze (14) dias, incluindo quaisquer subcontratados ou qualquer especialista a trabalhar no </w:t>
            </w:r>
            <w:proofErr w:type="spellStart"/>
            <w:r w:rsidRPr="00292532">
              <w:rPr>
                <w:rFonts w:ascii="Arial" w:hAnsi="Arial" w:cs="Arial"/>
                <w:sz w:val="20"/>
                <w:szCs w:val="20"/>
                <w:lang w:val="pt-PT"/>
              </w:rPr>
              <w:t>projecto</w:t>
            </w:r>
            <w:proofErr w:type="spellEnd"/>
            <w:r w:rsidRPr="00292532">
              <w:rPr>
                <w:rFonts w:ascii="Arial" w:hAnsi="Arial" w:cs="Arial"/>
                <w:sz w:val="20"/>
                <w:szCs w:val="20"/>
                <w:lang w:val="pt-PT"/>
              </w:rPr>
              <w:t>.</w:t>
            </w:r>
          </w:p>
          <w:p w14:paraId="58ED9B51" w14:textId="77777777" w:rsidR="00B31AE2" w:rsidRPr="00292532" w:rsidRDefault="00B31AE2" w:rsidP="00AE14AE">
            <w:pPr>
              <w:numPr>
                <w:ilvl w:val="0"/>
                <w:numId w:val="150"/>
              </w:numPr>
              <w:autoSpaceDE w:val="0"/>
              <w:autoSpaceDN w:val="0"/>
              <w:adjustRightInd w:val="0"/>
              <w:ind w:left="427" w:hanging="283"/>
              <w:contextualSpacing/>
              <w:rPr>
                <w:rFonts w:ascii="Arial" w:hAnsi="Arial" w:cs="Arial"/>
                <w:sz w:val="20"/>
                <w:szCs w:val="20"/>
                <w:lang w:val="pt-PT"/>
              </w:rPr>
            </w:pPr>
            <w:r w:rsidRPr="00292532">
              <w:rPr>
                <w:rFonts w:ascii="Arial" w:hAnsi="Arial" w:cs="Arial"/>
                <w:sz w:val="20"/>
                <w:szCs w:val="20"/>
                <w:lang w:val="pt-PT"/>
              </w:rPr>
              <w:t>Deve haver monitoria do estado de saúde, podendo incluir leituras diárias de temperatura da pessoa em quarentena e fornecer os dados ao CIGCOVID-19.</w:t>
            </w:r>
          </w:p>
          <w:p w14:paraId="2E6C54A8" w14:textId="77777777" w:rsidR="00B31AE2" w:rsidRPr="00292532" w:rsidRDefault="00B31AE2" w:rsidP="00AE14AE">
            <w:pPr>
              <w:numPr>
                <w:ilvl w:val="0"/>
                <w:numId w:val="150"/>
              </w:numPr>
              <w:autoSpaceDE w:val="0"/>
              <w:autoSpaceDN w:val="0"/>
              <w:adjustRightInd w:val="0"/>
              <w:ind w:left="427" w:hanging="283"/>
              <w:contextualSpacing/>
              <w:rPr>
                <w:rFonts w:ascii="Arial" w:hAnsi="Arial" w:cs="Arial"/>
                <w:sz w:val="20"/>
                <w:szCs w:val="20"/>
                <w:lang w:val="pt-PT"/>
              </w:rPr>
            </w:pPr>
            <w:r w:rsidRPr="004500AE">
              <w:rPr>
                <w:rFonts w:ascii="Arial" w:hAnsi="Arial" w:cs="Arial"/>
                <w:sz w:val="20"/>
                <w:szCs w:val="20"/>
                <w:lang w:val="pt-PT"/>
              </w:rPr>
              <w:t xml:space="preserve">Manter a higiene pessoal. </w:t>
            </w:r>
          </w:p>
        </w:tc>
      </w:tr>
      <w:bookmarkEnd w:id="1563"/>
      <w:bookmarkEnd w:id="1564"/>
    </w:tbl>
    <w:p w14:paraId="36B4F605" w14:textId="77777777" w:rsidR="00B31AE2" w:rsidRPr="00292532" w:rsidRDefault="00B31AE2" w:rsidP="00B31AE2">
      <w:pPr>
        <w:spacing w:before="0" w:line="259" w:lineRule="auto"/>
        <w:jc w:val="left"/>
        <w:rPr>
          <w:rFonts w:ascii="Arial" w:eastAsia="Calibri" w:hAnsi="Arial" w:cs="Arial"/>
          <w:sz w:val="20"/>
          <w:szCs w:val="20"/>
          <w:lang w:val="pt-PT"/>
        </w:rPr>
      </w:pPr>
    </w:p>
    <w:p w14:paraId="574EEFA3" w14:textId="77777777" w:rsidR="00B31AE2" w:rsidRPr="00292532" w:rsidRDefault="00B31AE2" w:rsidP="00AE14AE">
      <w:pPr>
        <w:keepNext/>
        <w:numPr>
          <w:ilvl w:val="0"/>
          <w:numId w:val="147"/>
        </w:numPr>
        <w:tabs>
          <w:tab w:val="left" w:pos="1134"/>
        </w:tabs>
        <w:suppressAutoHyphens/>
        <w:autoSpaceDE w:val="0"/>
        <w:autoSpaceDN w:val="0"/>
        <w:adjustRightInd w:val="0"/>
        <w:spacing w:before="0" w:line="259" w:lineRule="auto"/>
        <w:ind w:left="431" w:hanging="431"/>
        <w:jc w:val="left"/>
        <w:outlineLvl w:val="0"/>
        <w:rPr>
          <w:rFonts w:ascii="Arial" w:eastAsia="Times New Roman" w:hAnsi="Arial" w:cs="Arial"/>
          <w:b/>
          <w:color w:val="4472C4"/>
          <w:sz w:val="26"/>
          <w:szCs w:val="26"/>
          <w:lang w:val="pt-PT"/>
        </w:rPr>
      </w:pPr>
      <w:bookmarkStart w:id="1565" w:name="_Toc74922410"/>
      <w:bookmarkStart w:id="1566" w:name="_Toc75438097"/>
      <w:bookmarkStart w:id="1567" w:name="_Toc78435534"/>
      <w:bookmarkStart w:id="1568" w:name="_Toc80380200"/>
      <w:r w:rsidRPr="00292532">
        <w:rPr>
          <w:rFonts w:ascii="Arial" w:eastAsia="Times New Roman" w:hAnsi="Arial" w:cs="Arial"/>
          <w:b/>
          <w:color w:val="4472C4"/>
          <w:sz w:val="26"/>
          <w:szCs w:val="26"/>
          <w:lang w:val="pt-PT"/>
        </w:rPr>
        <w:t>REQUISITOS DE CONTROLO E VIGILÂNCIA</w:t>
      </w:r>
      <w:bookmarkEnd w:id="1565"/>
      <w:bookmarkEnd w:id="1566"/>
      <w:bookmarkEnd w:id="1567"/>
      <w:bookmarkEnd w:id="1568"/>
    </w:p>
    <w:p w14:paraId="0A4C278B" w14:textId="77777777" w:rsidR="00B31AE2" w:rsidRPr="00292532" w:rsidRDefault="00B31AE2" w:rsidP="00AE14AE">
      <w:pPr>
        <w:keepNext/>
        <w:numPr>
          <w:ilvl w:val="1"/>
          <w:numId w:val="147"/>
        </w:numPr>
        <w:tabs>
          <w:tab w:val="left" w:pos="1145"/>
        </w:tabs>
        <w:suppressAutoHyphens/>
        <w:autoSpaceDE w:val="0"/>
        <w:autoSpaceDN w:val="0"/>
        <w:adjustRightInd w:val="0"/>
        <w:spacing w:before="0" w:line="259" w:lineRule="auto"/>
        <w:jc w:val="left"/>
        <w:outlineLvl w:val="1"/>
        <w:rPr>
          <w:rFonts w:ascii="Arial" w:eastAsia="Times New Roman" w:hAnsi="Arial" w:cs="Arial"/>
          <w:b/>
          <w:color w:val="2F5496"/>
          <w:sz w:val="26"/>
          <w:szCs w:val="26"/>
          <w:lang w:val="pt-PT"/>
        </w:rPr>
      </w:pPr>
      <w:bookmarkStart w:id="1569" w:name="_Ref68891215"/>
      <w:bookmarkStart w:id="1570" w:name="_Ref69068757"/>
      <w:bookmarkStart w:id="1571" w:name="_Hlk69220949"/>
      <w:bookmarkStart w:id="1572" w:name="_Toc74922411"/>
      <w:bookmarkStart w:id="1573" w:name="_Toc75438098"/>
      <w:bookmarkStart w:id="1574" w:name="_Toc78435535"/>
      <w:bookmarkStart w:id="1575" w:name="_Toc80380201"/>
      <w:r w:rsidRPr="00292532">
        <w:rPr>
          <w:rFonts w:ascii="Arial" w:eastAsia="Times New Roman" w:hAnsi="Arial" w:cs="Arial"/>
          <w:b/>
          <w:color w:val="2F5496"/>
          <w:sz w:val="26"/>
          <w:szCs w:val="26"/>
          <w:lang w:val="pt-PT"/>
        </w:rPr>
        <w:t>Controlo e vigilância de casos suspeitos</w:t>
      </w:r>
      <w:bookmarkEnd w:id="1569"/>
      <w:r w:rsidRPr="00292532">
        <w:rPr>
          <w:rFonts w:ascii="Arial" w:eastAsia="Times New Roman" w:hAnsi="Arial" w:cs="Arial"/>
          <w:b/>
          <w:color w:val="2F5496"/>
          <w:sz w:val="26"/>
          <w:szCs w:val="26"/>
          <w:lang w:val="pt-PT"/>
        </w:rPr>
        <w:t xml:space="preserve"> e confirmados</w:t>
      </w:r>
      <w:bookmarkEnd w:id="1570"/>
      <w:bookmarkEnd w:id="1571"/>
      <w:bookmarkEnd w:id="1572"/>
      <w:bookmarkEnd w:id="1573"/>
      <w:bookmarkEnd w:id="1574"/>
      <w:bookmarkEnd w:id="1575"/>
    </w:p>
    <w:p w14:paraId="2695C57B" w14:textId="77777777" w:rsidR="00B31AE2" w:rsidRPr="00292532" w:rsidRDefault="00B31AE2" w:rsidP="00B31AE2">
      <w:pPr>
        <w:spacing w:before="0" w:after="0"/>
        <w:rPr>
          <w:rFonts w:ascii="Arial" w:eastAsia="Calibri" w:hAnsi="Arial" w:cs="Arial"/>
          <w:sz w:val="20"/>
          <w:szCs w:val="20"/>
          <w:lang w:val="pt-PT"/>
        </w:rPr>
      </w:pPr>
      <w:r w:rsidRPr="00292532">
        <w:rPr>
          <w:rFonts w:ascii="Arial" w:eastAsia="Calibri" w:hAnsi="Arial" w:cs="Arial"/>
          <w:sz w:val="20"/>
          <w:szCs w:val="20"/>
          <w:lang w:val="pt-PT"/>
        </w:rPr>
        <w:t xml:space="preserve">Qualquer trabalhador com sinais e sintomas compatíveis com os da COVID-19, ou que identifique um trabalhador com critérios compatíveis com a definição de caso suspeito, deverá </w:t>
      </w:r>
      <w:proofErr w:type="spellStart"/>
      <w:r w:rsidRPr="00292532">
        <w:rPr>
          <w:rFonts w:ascii="Arial" w:eastAsia="Calibri" w:hAnsi="Arial" w:cs="Arial"/>
          <w:sz w:val="20"/>
          <w:szCs w:val="20"/>
          <w:lang w:val="pt-PT"/>
        </w:rPr>
        <w:t>activar</w:t>
      </w:r>
      <w:proofErr w:type="spellEnd"/>
      <w:r w:rsidRPr="00292532">
        <w:rPr>
          <w:rFonts w:ascii="Arial" w:eastAsia="Calibri" w:hAnsi="Arial" w:cs="Arial"/>
          <w:sz w:val="20"/>
          <w:szCs w:val="20"/>
          <w:lang w:val="pt-PT"/>
        </w:rPr>
        <w:t xml:space="preserve"> os passos descritos na </w:t>
      </w:r>
      <w:r w:rsidRPr="00292532">
        <w:rPr>
          <w:rFonts w:ascii="Arial" w:eastAsia="Calibri" w:hAnsi="Arial" w:cs="Arial"/>
          <w:color w:val="4472C4"/>
          <w:sz w:val="20"/>
          <w:szCs w:val="20"/>
          <w:lang w:val="pt-PT"/>
        </w:rPr>
        <w:t>Figura seguinte:</w:t>
      </w:r>
      <w:r w:rsidRPr="00292532">
        <w:rPr>
          <w:rFonts w:ascii="Arial" w:eastAsia="Calibri" w:hAnsi="Arial" w:cs="Arial"/>
          <w:sz w:val="20"/>
          <w:szCs w:val="20"/>
          <w:lang w:val="pt-PT"/>
        </w:rPr>
        <w:t xml:space="preserve"> </w:t>
      </w:r>
    </w:p>
    <w:p w14:paraId="5AC5CC2F" w14:textId="77777777" w:rsidR="00B31AE2" w:rsidRPr="00292532" w:rsidRDefault="00B31AE2" w:rsidP="00B31AE2">
      <w:pPr>
        <w:spacing w:before="0" w:after="0"/>
        <w:rPr>
          <w:rFonts w:ascii="Arial" w:eastAsia="Calibri" w:hAnsi="Arial" w:cs="Arial"/>
          <w:sz w:val="20"/>
          <w:szCs w:val="20"/>
          <w:lang w:val="pt-PT"/>
        </w:rPr>
      </w:pPr>
    </w:p>
    <w:p w14:paraId="7137125E" w14:textId="77777777" w:rsidR="00B31AE2" w:rsidRPr="00292532" w:rsidRDefault="00B31AE2" w:rsidP="00B31AE2">
      <w:pPr>
        <w:spacing w:before="0" w:after="0"/>
        <w:rPr>
          <w:rFonts w:ascii="Arial" w:eastAsia="Calibri" w:hAnsi="Arial" w:cs="Arial"/>
          <w:sz w:val="20"/>
          <w:szCs w:val="20"/>
          <w:lang w:val="pt-PT"/>
        </w:rPr>
      </w:pPr>
    </w:p>
    <w:p w14:paraId="68C8A48B" w14:textId="77777777" w:rsidR="00B31AE2" w:rsidRPr="00292532" w:rsidRDefault="00B31AE2" w:rsidP="00B31AE2">
      <w:pPr>
        <w:spacing w:before="0"/>
        <w:jc w:val="center"/>
        <w:rPr>
          <w:rFonts w:ascii="Arial" w:eastAsia="Calibri" w:hAnsi="Arial" w:cs="Arial"/>
          <w:sz w:val="20"/>
          <w:szCs w:val="20"/>
          <w:lang w:val="pt-PT"/>
        </w:rPr>
      </w:pPr>
      <w:r w:rsidRPr="00292532">
        <w:rPr>
          <w:rFonts w:ascii="Arial" w:eastAsia="Calibri" w:hAnsi="Arial" w:cs="Arial"/>
          <w:noProof/>
          <w:sz w:val="20"/>
          <w:szCs w:val="20"/>
          <w:lang w:val="en-US"/>
        </w:rPr>
        <w:lastRenderedPageBreak/>
        <w:drawing>
          <wp:inline distT="0" distB="0" distL="0" distR="0" wp14:anchorId="4D25AAF1" wp14:editId="391BB259">
            <wp:extent cx="5064981" cy="5200776"/>
            <wp:effectExtent l="0" t="0" r="2540" b="0"/>
            <wp:docPr id="31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48565" cy="5286601"/>
                    </a:xfrm>
                    <a:prstGeom prst="rect">
                      <a:avLst/>
                    </a:prstGeom>
                    <a:noFill/>
                  </pic:spPr>
                </pic:pic>
              </a:graphicData>
            </a:graphic>
          </wp:inline>
        </w:drawing>
      </w:r>
    </w:p>
    <w:p w14:paraId="745D6732" w14:textId="7011B6D1" w:rsidR="00B31AE2" w:rsidRPr="00292532" w:rsidRDefault="00B31AE2" w:rsidP="00B31AE2">
      <w:pPr>
        <w:autoSpaceDE w:val="0"/>
        <w:autoSpaceDN w:val="0"/>
        <w:adjustRightInd w:val="0"/>
        <w:spacing w:before="0" w:after="120"/>
        <w:jc w:val="center"/>
        <w:rPr>
          <w:rFonts w:ascii="Arial" w:eastAsia="Calibri" w:hAnsi="Arial" w:cs="Arial"/>
          <w:color w:val="4472C4"/>
          <w:szCs w:val="32"/>
          <w:lang w:val="pt-PT" w:eastAsia="de-DE"/>
        </w:rPr>
      </w:pPr>
      <w:bookmarkStart w:id="1576" w:name="_Ref74918126"/>
      <w:bookmarkStart w:id="1577" w:name="_Toc65863188"/>
      <w:bookmarkStart w:id="1578" w:name="_Toc69125295"/>
      <w:bookmarkStart w:id="1579" w:name="_Toc74922419"/>
      <w:bookmarkStart w:id="1580" w:name="_Toc75438140"/>
      <w:bookmarkStart w:id="1581" w:name="_Toc80380247"/>
      <w:r w:rsidRPr="00292532">
        <w:rPr>
          <w:rFonts w:ascii="Arial" w:eastAsia="Calibri" w:hAnsi="Arial" w:cs="Arial"/>
          <w:color w:val="4472C4"/>
          <w:szCs w:val="32"/>
          <w:lang w:val="pt-PT" w:eastAsia="de-DE"/>
        </w:rPr>
        <w:t xml:space="preserve">Figura </w:t>
      </w:r>
      <w:bookmarkEnd w:id="1576"/>
      <w:r w:rsidR="002D6D99">
        <w:rPr>
          <w:rFonts w:ascii="Arial" w:eastAsia="Calibri" w:hAnsi="Arial" w:cs="Arial"/>
          <w:color w:val="4472C4"/>
          <w:szCs w:val="32"/>
          <w:lang w:val="pt-PT" w:eastAsia="de-DE"/>
        </w:rPr>
        <w:t>1</w:t>
      </w:r>
      <w:r w:rsidR="002D6D99" w:rsidRPr="00292532">
        <w:rPr>
          <w:rFonts w:ascii="Arial" w:eastAsia="Calibri" w:hAnsi="Arial" w:cs="Arial"/>
          <w:color w:val="4472C4"/>
          <w:szCs w:val="32"/>
          <w:lang w:val="pt-PT" w:eastAsia="de-DE"/>
        </w:rPr>
        <w:t xml:space="preserve"> </w:t>
      </w:r>
      <w:r w:rsidRPr="00292532">
        <w:rPr>
          <w:rFonts w:ascii="Arial" w:eastAsia="Calibri" w:hAnsi="Arial" w:cs="Arial"/>
          <w:color w:val="4472C4"/>
          <w:szCs w:val="32"/>
          <w:lang w:val="pt-PT" w:eastAsia="de-DE"/>
        </w:rPr>
        <w:t xml:space="preserve">– </w:t>
      </w:r>
      <w:bookmarkEnd w:id="1577"/>
      <w:bookmarkEnd w:id="1578"/>
      <w:r w:rsidRPr="00292532">
        <w:rPr>
          <w:rFonts w:ascii="Arial" w:eastAsia="Calibri" w:hAnsi="Arial" w:cs="Arial"/>
          <w:color w:val="4472C4"/>
          <w:szCs w:val="32"/>
          <w:lang w:val="pt-PT" w:eastAsia="de-DE"/>
        </w:rPr>
        <w:t>Fluxograma de controlo e vigilância de casos suspeitos e confirmados</w:t>
      </w:r>
      <w:bookmarkEnd w:id="1579"/>
      <w:bookmarkEnd w:id="1580"/>
      <w:bookmarkEnd w:id="1581"/>
    </w:p>
    <w:p w14:paraId="3E4CEF49" w14:textId="77777777" w:rsidR="00B31AE2" w:rsidRPr="00292532" w:rsidRDefault="00B31AE2" w:rsidP="00AE14AE">
      <w:pPr>
        <w:keepNext/>
        <w:numPr>
          <w:ilvl w:val="1"/>
          <w:numId w:val="147"/>
        </w:numPr>
        <w:tabs>
          <w:tab w:val="left" w:pos="1145"/>
        </w:tabs>
        <w:suppressAutoHyphens/>
        <w:autoSpaceDE w:val="0"/>
        <w:autoSpaceDN w:val="0"/>
        <w:adjustRightInd w:val="0"/>
        <w:spacing w:before="0" w:line="259" w:lineRule="auto"/>
        <w:jc w:val="left"/>
        <w:outlineLvl w:val="1"/>
        <w:rPr>
          <w:rFonts w:ascii="Arial" w:eastAsia="Times New Roman" w:hAnsi="Arial" w:cs="Arial"/>
          <w:b/>
          <w:color w:val="2F5496"/>
          <w:sz w:val="26"/>
          <w:szCs w:val="26"/>
          <w:lang w:val="pt-PT"/>
        </w:rPr>
      </w:pPr>
      <w:bookmarkStart w:id="1582" w:name="_Toc74922412"/>
      <w:bookmarkStart w:id="1583" w:name="_Toc75438099"/>
      <w:bookmarkStart w:id="1584" w:name="_Toc78435536"/>
      <w:bookmarkStart w:id="1585" w:name="_Toc80380202"/>
      <w:r w:rsidRPr="00292532">
        <w:rPr>
          <w:rFonts w:ascii="Arial" w:eastAsia="Times New Roman" w:hAnsi="Arial" w:cs="Arial"/>
          <w:b/>
          <w:color w:val="2F5496"/>
          <w:sz w:val="26"/>
          <w:szCs w:val="26"/>
          <w:lang w:val="pt-PT"/>
        </w:rPr>
        <w:t>Vigilância de contactos próximos</w:t>
      </w:r>
      <w:bookmarkEnd w:id="1582"/>
      <w:bookmarkEnd w:id="1583"/>
      <w:bookmarkEnd w:id="1584"/>
      <w:bookmarkEnd w:id="1585"/>
      <w:r w:rsidRPr="00292532">
        <w:rPr>
          <w:rFonts w:ascii="Arial" w:eastAsia="Times New Roman" w:hAnsi="Arial" w:cs="Arial"/>
          <w:b/>
          <w:color w:val="2F5496"/>
          <w:sz w:val="26"/>
          <w:szCs w:val="26"/>
          <w:lang w:val="pt-PT"/>
        </w:rPr>
        <w:t xml:space="preserve"> </w:t>
      </w:r>
    </w:p>
    <w:p w14:paraId="2884A2C1" w14:textId="77777777" w:rsidR="00B31AE2" w:rsidRPr="00292532" w:rsidRDefault="00B31AE2" w:rsidP="00B31AE2">
      <w:pPr>
        <w:spacing w:before="0"/>
        <w:rPr>
          <w:rFonts w:ascii="Arial" w:eastAsia="Calibri" w:hAnsi="Arial" w:cs="Arial"/>
          <w:sz w:val="20"/>
          <w:szCs w:val="20"/>
          <w:lang w:val="pt-PT"/>
        </w:rPr>
      </w:pPr>
      <w:r w:rsidRPr="00292532">
        <w:rPr>
          <w:rFonts w:ascii="Arial" w:eastAsia="Calibri" w:hAnsi="Arial" w:cs="Arial"/>
          <w:sz w:val="20"/>
          <w:szCs w:val="20"/>
          <w:lang w:val="pt-PT"/>
        </w:rPr>
        <w:t xml:space="preserve">Considera-se “contacto próximo” a pessoa que teve contacto com um caso confirmado de COVID-19. </w:t>
      </w:r>
    </w:p>
    <w:p w14:paraId="03649AC9" w14:textId="77777777" w:rsidR="00B31AE2" w:rsidRPr="00292532" w:rsidRDefault="00B31AE2" w:rsidP="00B31AE2">
      <w:pPr>
        <w:spacing w:before="0" w:line="259" w:lineRule="auto"/>
        <w:rPr>
          <w:rFonts w:ascii="Arial" w:eastAsia="Calibri" w:hAnsi="Arial" w:cs="Arial"/>
          <w:sz w:val="20"/>
          <w:szCs w:val="20"/>
          <w:lang w:val="pt-PT"/>
        </w:rPr>
      </w:pPr>
      <w:bookmarkStart w:id="1586" w:name="_Hlk68952762"/>
      <w:r w:rsidRPr="00292532">
        <w:rPr>
          <w:rFonts w:ascii="Arial" w:eastAsia="Calibri" w:hAnsi="Arial" w:cs="Arial"/>
          <w:sz w:val="20"/>
          <w:szCs w:val="20"/>
          <w:lang w:val="pt-PT"/>
        </w:rPr>
        <w:t>Perante um caso confirmado de COVID-19, os contactos próximos devem contactar a CIGCOVID-19</w:t>
      </w:r>
      <w:r w:rsidRPr="00292532" w:rsidDel="00066DF8">
        <w:rPr>
          <w:rFonts w:ascii="Arial" w:eastAsia="Calibri" w:hAnsi="Arial" w:cs="Arial"/>
          <w:sz w:val="20"/>
          <w:szCs w:val="20"/>
          <w:lang w:val="pt-PT"/>
        </w:rPr>
        <w:t xml:space="preserve"> </w:t>
      </w:r>
      <w:r w:rsidRPr="00292532">
        <w:rPr>
          <w:rFonts w:ascii="Arial" w:eastAsia="Calibri" w:hAnsi="Arial" w:cs="Arial"/>
          <w:sz w:val="20"/>
          <w:szCs w:val="20"/>
          <w:lang w:val="pt-PT"/>
        </w:rPr>
        <w:t>(por via telefónica) e reforçarem as medidas de prevenção da COVID-19. A CIGCOVID-19 deve registar e fornecer a informação a Autoridade Sanitária e monitorar os contactos próximos durante 14 dias ou até que apresentem os sintomas da COVID-19.</w:t>
      </w:r>
    </w:p>
    <w:bookmarkEnd w:id="1586"/>
    <w:p w14:paraId="4592CE3C" w14:textId="77777777" w:rsidR="00B31AE2" w:rsidRPr="00292532" w:rsidRDefault="00B31AE2" w:rsidP="00B31AE2">
      <w:pPr>
        <w:spacing w:before="0" w:after="0" w:line="259" w:lineRule="auto"/>
        <w:rPr>
          <w:rFonts w:ascii="Arial" w:eastAsia="Calibri" w:hAnsi="Arial" w:cs="Arial"/>
          <w:sz w:val="20"/>
          <w:szCs w:val="20"/>
          <w:lang w:val="pt-PT" w:eastAsia="de-DE"/>
        </w:rPr>
      </w:pPr>
      <w:r w:rsidRPr="00292532">
        <w:rPr>
          <w:rFonts w:ascii="Arial" w:eastAsia="Calibri" w:hAnsi="Arial" w:cs="Arial"/>
          <w:sz w:val="20"/>
          <w:szCs w:val="20"/>
          <w:lang w:val="pt-PT" w:eastAsia="de-DE"/>
        </w:rPr>
        <w:t>Segundo o MISAU</w:t>
      </w:r>
      <w:r w:rsidRPr="00292532">
        <w:rPr>
          <w:rFonts w:ascii="Arial" w:eastAsia="Calibri" w:hAnsi="Arial" w:cs="Arial"/>
          <w:sz w:val="20"/>
          <w:szCs w:val="20"/>
          <w:vertAlign w:val="superscript"/>
          <w:lang w:val="pt-PT" w:eastAsia="de-DE"/>
        </w:rPr>
        <w:footnoteReference w:id="33"/>
      </w:r>
      <w:r w:rsidRPr="00292532">
        <w:rPr>
          <w:rFonts w:ascii="Arial" w:eastAsia="Calibri" w:hAnsi="Arial" w:cs="Arial"/>
          <w:sz w:val="20"/>
          <w:szCs w:val="20"/>
          <w:lang w:val="pt-PT" w:eastAsia="de-DE"/>
        </w:rPr>
        <w:t>, o período de incubação estimado da COVID</w:t>
      </w:r>
      <w:r w:rsidRPr="00292532">
        <w:rPr>
          <w:rFonts w:ascii="Cambria Math" w:eastAsia="Calibri" w:hAnsi="Cambria Math" w:cs="Cambria Math"/>
          <w:sz w:val="20"/>
          <w:szCs w:val="20"/>
          <w:lang w:val="pt-PT" w:eastAsia="de-DE"/>
        </w:rPr>
        <w:t>‐</w:t>
      </w:r>
      <w:r w:rsidRPr="00292532">
        <w:rPr>
          <w:rFonts w:ascii="Arial" w:eastAsia="Calibri" w:hAnsi="Arial" w:cs="Arial"/>
          <w:sz w:val="20"/>
          <w:szCs w:val="20"/>
          <w:lang w:val="pt-PT" w:eastAsia="de-DE"/>
        </w:rPr>
        <w:t xml:space="preserve">19 é de 2 a 14 dias. Como medida de precaução, a vigilância </w:t>
      </w:r>
      <w:proofErr w:type="spellStart"/>
      <w:r w:rsidRPr="00292532">
        <w:rPr>
          <w:rFonts w:ascii="Arial" w:eastAsia="Calibri" w:hAnsi="Arial" w:cs="Arial"/>
          <w:sz w:val="20"/>
          <w:szCs w:val="20"/>
          <w:lang w:val="pt-PT" w:eastAsia="de-DE"/>
        </w:rPr>
        <w:t>activa</w:t>
      </w:r>
      <w:proofErr w:type="spellEnd"/>
      <w:r w:rsidRPr="00292532">
        <w:rPr>
          <w:rFonts w:ascii="Arial" w:eastAsia="Calibri" w:hAnsi="Arial" w:cs="Arial"/>
          <w:sz w:val="20"/>
          <w:szCs w:val="20"/>
          <w:lang w:val="pt-PT" w:eastAsia="de-DE"/>
        </w:rPr>
        <w:t xml:space="preserve"> dos contactos próximos decorre durante 14 dias, desde a data da última exposição a caso confirmado.</w:t>
      </w:r>
    </w:p>
    <w:p w14:paraId="2BFEBCFF" w14:textId="77777777" w:rsidR="00B31AE2" w:rsidRPr="00292532" w:rsidRDefault="00B31AE2" w:rsidP="00B31AE2">
      <w:pPr>
        <w:spacing w:before="0" w:after="0" w:line="259" w:lineRule="auto"/>
        <w:rPr>
          <w:rFonts w:ascii="Arial" w:eastAsia="Calibri" w:hAnsi="Arial" w:cs="Arial"/>
          <w:sz w:val="20"/>
          <w:szCs w:val="20"/>
          <w:lang w:val="pt-PT" w:eastAsia="de-DE"/>
        </w:rPr>
      </w:pPr>
    </w:p>
    <w:p w14:paraId="66A55D5F" w14:textId="77777777" w:rsidR="00B31AE2" w:rsidRPr="00292532" w:rsidRDefault="00B31AE2" w:rsidP="00AE14AE">
      <w:pPr>
        <w:keepNext/>
        <w:numPr>
          <w:ilvl w:val="1"/>
          <w:numId w:val="147"/>
        </w:numPr>
        <w:tabs>
          <w:tab w:val="left" w:pos="1145"/>
        </w:tabs>
        <w:suppressAutoHyphens/>
        <w:autoSpaceDE w:val="0"/>
        <w:autoSpaceDN w:val="0"/>
        <w:adjustRightInd w:val="0"/>
        <w:spacing w:before="0" w:line="259" w:lineRule="auto"/>
        <w:jc w:val="left"/>
        <w:outlineLvl w:val="1"/>
        <w:rPr>
          <w:rFonts w:ascii="Arial" w:eastAsia="Times New Roman" w:hAnsi="Arial" w:cs="Arial"/>
          <w:b/>
          <w:color w:val="2F5496"/>
          <w:sz w:val="26"/>
          <w:szCs w:val="26"/>
          <w:lang w:val="pt-PT"/>
        </w:rPr>
      </w:pPr>
      <w:bookmarkStart w:id="1587" w:name="_Toc74922413"/>
      <w:bookmarkStart w:id="1588" w:name="_Toc75438100"/>
      <w:bookmarkStart w:id="1589" w:name="_Toc78435537"/>
      <w:bookmarkStart w:id="1590" w:name="_Toc80380203"/>
      <w:r w:rsidRPr="00292532">
        <w:rPr>
          <w:rFonts w:ascii="Arial" w:eastAsia="Times New Roman" w:hAnsi="Arial" w:cs="Arial"/>
          <w:b/>
          <w:color w:val="2F5496"/>
          <w:sz w:val="26"/>
          <w:szCs w:val="26"/>
          <w:lang w:val="pt-PT"/>
        </w:rPr>
        <w:lastRenderedPageBreak/>
        <w:t>Requisitos de saúde e segurança na assistência de casos suspeitos e confirmados</w:t>
      </w:r>
      <w:bookmarkEnd w:id="1587"/>
      <w:bookmarkEnd w:id="1588"/>
      <w:bookmarkEnd w:id="1589"/>
      <w:bookmarkEnd w:id="1590"/>
    </w:p>
    <w:p w14:paraId="70FC0470" w14:textId="77777777" w:rsidR="00B31AE2" w:rsidRPr="00292532" w:rsidRDefault="00B31AE2" w:rsidP="00B31AE2">
      <w:pPr>
        <w:spacing w:before="0" w:after="0" w:line="259" w:lineRule="auto"/>
        <w:rPr>
          <w:rFonts w:ascii="Arial" w:eastAsia="Calibri" w:hAnsi="Arial" w:cs="Arial"/>
          <w:sz w:val="20"/>
          <w:szCs w:val="20"/>
          <w:lang w:val="pt-PT"/>
        </w:rPr>
      </w:pPr>
      <w:r w:rsidRPr="00292532">
        <w:rPr>
          <w:rFonts w:ascii="Arial" w:eastAsia="Calibri" w:hAnsi="Arial" w:cs="Arial"/>
          <w:sz w:val="20"/>
          <w:szCs w:val="20"/>
          <w:lang w:val="pt-PT"/>
        </w:rPr>
        <w:t xml:space="preserve">Por forma a garantir condições salubres e </w:t>
      </w:r>
      <w:proofErr w:type="spellStart"/>
      <w:r w:rsidRPr="00292532">
        <w:rPr>
          <w:rFonts w:ascii="Arial" w:eastAsia="Calibri" w:hAnsi="Arial" w:cs="Arial"/>
          <w:sz w:val="20"/>
          <w:szCs w:val="20"/>
          <w:lang w:val="pt-PT"/>
        </w:rPr>
        <w:t>protecção</w:t>
      </w:r>
      <w:proofErr w:type="spellEnd"/>
      <w:r w:rsidRPr="00292532">
        <w:rPr>
          <w:rFonts w:ascii="Arial" w:eastAsia="Calibri" w:hAnsi="Arial" w:cs="Arial"/>
          <w:sz w:val="20"/>
          <w:szCs w:val="20"/>
          <w:lang w:val="pt-PT"/>
        </w:rPr>
        <w:t xml:space="preserve"> dos demais trabalhadores no local de trabalho, ao se </w:t>
      </w:r>
      <w:proofErr w:type="spellStart"/>
      <w:r w:rsidRPr="00292532">
        <w:rPr>
          <w:rFonts w:ascii="Arial" w:eastAsia="Calibri" w:hAnsi="Arial" w:cs="Arial"/>
          <w:sz w:val="20"/>
          <w:szCs w:val="20"/>
          <w:lang w:val="pt-PT"/>
        </w:rPr>
        <w:t>detectar</w:t>
      </w:r>
      <w:proofErr w:type="spellEnd"/>
      <w:r w:rsidRPr="00292532">
        <w:rPr>
          <w:rFonts w:ascii="Arial" w:eastAsia="Calibri" w:hAnsi="Arial" w:cs="Arial"/>
          <w:sz w:val="20"/>
          <w:szCs w:val="20"/>
          <w:lang w:val="pt-PT"/>
        </w:rPr>
        <w:t xml:space="preserve"> um caso suspeito/confirmado da COVID-19, devem ser tomadas as </w:t>
      </w:r>
      <w:proofErr w:type="spellStart"/>
      <w:r w:rsidRPr="00292532">
        <w:rPr>
          <w:rFonts w:ascii="Arial" w:eastAsia="Calibri" w:hAnsi="Arial" w:cs="Arial"/>
          <w:sz w:val="20"/>
          <w:szCs w:val="20"/>
          <w:lang w:val="pt-PT"/>
        </w:rPr>
        <w:t>acções</w:t>
      </w:r>
      <w:proofErr w:type="spellEnd"/>
      <w:r w:rsidRPr="00292532">
        <w:rPr>
          <w:rFonts w:ascii="Arial" w:eastAsia="Calibri" w:hAnsi="Arial" w:cs="Arial"/>
          <w:sz w:val="20"/>
          <w:szCs w:val="20"/>
          <w:lang w:val="pt-PT"/>
        </w:rPr>
        <w:t xml:space="preserve"> descritas a seguir.</w:t>
      </w:r>
    </w:p>
    <w:p w14:paraId="0F43315B" w14:textId="77777777" w:rsidR="00B31AE2" w:rsidRPr="00292532" w:rsidRDefault="00B31AE2" w:rsidP="00B31AE2">
      <w:pPr>
        <w:spacing w:before="0" w:after="0" w:line="259" w:lineRule="auto"/>
        <w:rPr>
          <w:rFonts w:ascii="Arial" w:eastAsia="Calibri" w:hAnsi="Arial" w:cs="Arial"/>
          <w:sz w:val="20"/>
          <w:szCs w:val="20"/>
          <w:lang w:val="pt-PT"/>
        </w:rPr>
      </w:pPr>
    </w:p>
    <w:p w14:paraId="1FC91C7E" w14:textId="77777777" w:rsidR="00B31AE2" w:rsidRPr="00292532" w:rsidRDefault="00B31AE2" w:rsidP="00B31AE2">
      <w:pPr>
        <w:keepNext/>
        <w:autoSpaceDE w:val="0"/>
        <w:autoSpaceDN w:val="0"/>
        <w:adjustRightInd w:val="0"/>
        <w:spacing w:before="0" w:after="120"/>
        <w:jc w:val="center"/>
        <w:rPr>
          <w:rFonts w:ascii="Arial" w:eastAsia="Calibri" w:hAnsi="Arial" w:cs="Arial"/>
          <w:color w:val="4472C4"/>
          <w:szCs w:val="32"/>
          <w:lang w:val="pt-PT" w:eastAsia="de-DE"/>
        </w:rPr>
      </w:pPr>
      <w:bookmarkStart w:id="1591" w:name="_Toc74922421"/>
      <w:bookmarkStart w:id="1592" w:name="_Toc75438173"/>
      <w:bookmarkStart w:id="1593" w:name="_Toc78435626"/>
      <w:bookmarkStart w:id="1594" w:name="_Toc80380286"/>
      <w:r w:rsidRPr="00292532">
        <w:rPr>
          <w:rFonts w:ascii="Arial" w:eastAsia="Calibri" w:hAnsi="Arial" w:cs="Arial"/>
          <w:color w:val="4472C4"/>
          <w:szCs w:val="32"/>
          <w:lang w:val="pt-PT" w:eastAsia="de-DE"/>
        </w:rPr>
        <w:t xml:space="preserve">Tabela </w:t>
      </w:r>
      <w:r w:rsidRPr="00292532">
        <w:rPr>
          <w:rFonts w:ascii="Arial" w:eastAsia="Calibri" w:hAnsi="Arial" w:cs="Arial"/>
          <w:color w:val="4472C4"/>
          <w:szCs w:val="32"/>
          <w:lang w:val="pt-PT" w:eastAsia="de-DE"/>
        </w:rPr>
        <w:fldChar w:fldCharType="begin"/>
      </w:r>
      <w:r w:rsidRPr="00292532">
        <w:rPr>
          <w:rFonts w:ascii="Arial" w:eastAsia="Calibri" w:hAnsi="Arial" w:cs="Arial"/>
          <w:color w:val="4472C4"/>
          <w:szCs w:val="32"/>
          <w:lang w:val="pt-PT" w:eastAsia="de-DE"/>
        </w:rPr>
        <w:instrText xml:space="preserve"> SEQ Tabela \* ARABIC </w:instrText>
      </w:r>
      <w:r w:rsidRPr="00292532">
        <w:rPr>
          <w:rFonts w:ascii="Arial" w:eastAsia="Calibri" w:hAnsi="Arial" w:cs="Arial"/>
          <w:color w:val="4472C4"/>
          <w:szCs w:val="32"/>
          <w:lang w:val="pt-PT" w:eastAsia="de-DE"/>
        </w:rPr>
        <w:fldChar w:fldCharType="separate"/>
      </w:r>
      <w:r w:rsidRPr="00292532">
        <w:rPr>
          <w:rFonts w:ascii="Arial" w:eastAsia="Calibri" w:hAnsi="Arial" w:cs="Arial"/>
          <w:noProof/>
          <w:color w:val="4472C4"/>
          <w:szCs w:val="32"/>
          <w:lang w:val="pt-PT" w:eastAsia="de-DE"/>
        </w:rPr>
        <w:t>2</w:t>
      </w:r>
      <w:r w:rsidRPr="00292532">
        <w:rPr>
          <w:rFonts w:ascii="Arial" w:eastAsia="Calibri" w:hAnsi="Arial" w:cs="Arial"/>
          <w:color w:val="4472C4"/>
          <w:szCs w:val="32"/>
          <w:lang w:val="pt-PT" w:eastAsia="de-DE"/>
        </w:rPr>
        <w:fldChar w:fldCharType="end"/>
      </w:r>
      <w:r w:rsidRPr="00292532">
        <w:rPr>
          <w:rFonts w:ascii="Arial" w:eastAsia="Calibri" w:hAnsi="Arial" w:cs="Arial"/>
          <w:color w:val="4472C4"/>
          <w:szCs w:val="32"/>
          <w:lang w:val="pt-PT" w:eastAsia="de-DE"/>
        </w:rPr>
        <w:t xml:space="preserve">: </w:t>
      </w:r>
      <w:proofErr w:type="spellStart"/>
      <w:r w:rsidRPr="00292532">
        <w:rPr>
          <w:rFonts w:ascii="Arial" w:eastAsia="Calibri" w:hAnsi="Arial" w:cs="Arial"/>
          <w:color w:val="4472C4"/>
          <w:szCs w:val="32"/>
          <w:lang w:val="pt-PT" w:eastAsia="de-DE"/>
        </w:rPr>
        <w:t>Acções</w:t>
      </w:r>
      <w:proofErr w:type="spellEnd"/>
      <w:r w:rsidRPr="00292532">
        <w:rPr>
          <w:rFonts w:ascii="Arial" w:eastAsia="Calibri" w:hAnsi="Arial" w:cs="Arial"/>
          <w:color w:val="4472C4"/>
          <w:szCs w:val="32"/>
          <w:lang w:val="pt-PT" w:eastAsia="de-DE"/>
        </w:rPr>
        <w:t xml:space="preserve"> de higiene e saúde ocupacional perante um caso suspeito/confirmado no ambiente de trabalho</w:t>
      </w:r>
      <w:bookmarkEnd w:id="1591"/>
      <w:bookmarkEnd w:id="1592"/>
      <w:bookmarkEnd w:id="1593"/>
      <w:bookmarkEnd w:id="1594"/>
    </w:p>
    <w:tbl>
      <w:tblPr>
        <w:tblStyle w:val="3"/>
        <w:tblW w:w="9639"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639"/>
      </w:tblGrid>
      <w:tr w:rsidR="00B31AE2" w:rsidRPr="00292532" w14:paraId="7C59B6B7" w14:textId="77777777" w:rsidTr="00B31AE2">
        <w:trPr>
          <w:trHeight w:val="454"/>
        </w:trPr>
        <w:tc>
          <w:tcPr>
            <w:tcW w:w="9639" w:type="dxa"/>
            <w:tcBorders>
              <w:top w:val="nil"/>
              <w:bottom w:val="nil"/>
            </w:tcBorders>
            <w:shd w:val="clear" w:color="auto" w:fill="5B9BD5"/>
            <w:vAlign w:val="center"/>
          </w:tcPr>
          <w:p w14:paraId="0156DC9A" w14:textId="77777777" w:rsidR="00B31AE2" w:rsidRPr="00292532" w:rsidRDefault="00B31AE2" w:rsidP="00B31AE2">
            <w:pPr>
              <w:jc w:val="center"/>
              <w:rPr>
                <w:rFonts w:ascii="Arial" w:hAnsi="Arial" w:cs="Arial"/>
                <w:b/>
                <w:color w:val="FFFFFF"/>
                <w:lang w:val="pt-PT"/>
              </w:rPr>
            </w:pPr>
            <w:r w:rsidRPr="00292532">
              <w:rPr>
                <w:rFonts w:ascii="Arial" w:hAnsi="Arial" w:cs="Arial"/>
                <w:b/>
                <w:color w:val="FFFFFF"/>
                <w:lang w:val="pt-PT"/>
              </w:rPr>
              <w:t>Durante isolamento e transporte</w:t>
            </w:r>
          </w:p>
        </w:tc>
      </w:tr>
      <w:tr w:rsidR="00B31AE2" w:rsidRPr="004E2EAC" w14:paraId="4C4C3B7C" w14:textId="77777777" w:rsidTr="00B31AE2">
        <w:trPr>
          <w:trHeight w:val="142"/>
        </w:trPr>
        <w:tc>
          <w:tcPr>
            <w:tcW w:w="9639" w:type="dxa"/>
            <w:tcBorders>
              <w:top w:val="nil"/>
              <w:bottom w:val="single" w:sz="4" w:space="0" w:color="auto"/>
            </w:tcBorders>
          </w:tcPr>
          <w:p w14:paraId="18C38238" w14:textId="77777777" w:rsidR="00B31AE2" w:rsidRPr="00292532" w:rsidRDefault="00B31AE2" w:rsidP="00AE14AE">
            <w:pPr>
              <w:numPr>
                <w:ilvl w:val="0"/>
                <w:numId w:val="154"/>
              </w:numPr>
              <w:autoSpaceDE w:val="0"/>
              <w:autoSpaceDN w:val="0"/>
              <w:adjustRightInd w:val="0"/>
              <w:ind w:left="260" w:hanging="142"/>
              <w:contextualSpacing/>
              <w:rPr>
                <w:rFonts w:ascii="Arial" w:hAnsi="Arial" w:cs="Arial"/>
                <w:lang w:val="pt-PT"/>
              </w:rPr>
            </w:pPr>
            <w:r w:rsidRPr="00292532">
              <w:rPr>
                <w:rFonts w:ascii="Arial" w:hAnsi="Arial" w:cs="Arial"/>
                <w:lang w:val="pt-PT"/>
              </w:rPr>
              <w:t>Sempre que possível, evacuar todo o pessoal presente na frente de trabalho (sem criar tumulto).</w:t>
            </w:r>
          </w:p>
          <w:p w14:paraId="1F676767" w14:textId="77777777" w:rsidR="00B31AE2" w:rsidRPr="00292532" w:rsidRDefault="00B31AE2" w:rsidP="00AE14AE">
            <w:pPr>
              <w:numPr>
                <w:ilvl w:val="0"/>
                <w:numId w:val="154"/>
              </w:numPr>
              <w:autoSpaceDE w:val="0"/>
              <w:autoSpaceDN w:val="0"/>
              <w:adjustRightInd w:val="0"/>
              <w:ind w:left="260" w:hanging="142"/>
              <w:contextualSpacing/>
              <w:rPr>
                <w:rFonts w:ascii="Arial" w:hAnsi="Arial" w:cs="Arial"/>
                <w:lang w:val="pt-PT"/>
              </w:rPr>
            </w:pPr>
            <w:r w:rsidRPr="00292532">
              <w:rPr>
                <w:rFonts w:ascii="Arial" w:hAnsi="Arial" w:cs="Arial"/>
                <w:lang w:val="pt-PT"/>
              </w:rPr>
              <w:t xml:space="preserve">Certificar que a área de isolamento reúne condições descritas na </w:t>
            </w:r>
            <w:r w:rsidRPr="00292532">
              <w:rPr>
                <w:rFonts w:ascii="Arial" w:hAnsi="Arial" w:cs="Arial"/>
                <w:color w:val="5B9BD5"/>
                <w:lang w:val="pt-PT"/>
              </w:rPr>
              <w:t xml:space="preserve">Secção </w:t>
            </w:r>
            <w:r w:rsidRPr="004500AE">
              <w:rPr>
                <w:rFonts w:ascii="Arial" w:hAnsi="Arial" w:cs="Arial"/>
                <w:color w:val="5B9BD5"/>
                <w:lang w:val="pt-PT"/>
              </w:rPr>
              <w:fldChar w:fldCharType="begin"/>
            </w:r>
            <w:r w:rsidRPr="00292532">
              <w:rPr>
                <w:rFonts w:ascii="Arial" w:hAnsi="Arial" w:cs="Arial"/>
                <w:color w:val="5B9BD5"/>
                <w:lang w:val="pt-PT"/>
              </w:rPr>
              <w:instrText xml:space="preserve"> REF _Ref69067593 \n \h </w:instrText>
            </w:r>
            <w:r w:rsidRPr="004500AE">
              <w:rPr>
                <w:rFonts w:ascii="Arial" w:hAnsi="Arial" w:cs="Arial"/>
                <w:color w:val="5B9BD5"/>
                <w:lang w:val="pt-PT"/>
              </w:rPr>
              <w:instrText xml:space="preserve"> \* MERGEFORMAT </w:instrText>
            </w:r>
            <w:r w:rsidRPr="004500AE">
              <w:rPr>
                <w:rFonts w:ascii="Arial" w:hAnsi="Arial" w:cs="Arial"/>
                <w:color w:val="5B9BD5"/>
                <w:lang w:val="pt-PT"/>
              </w:rPr>
            </w:r>
            <w:r w:rsidRPr="004500AE">
              <w:rPr>
                <w:rFonts w:ascii="Arial" w:hAnsi="Arial" w:cs="Arial"/>
                <w:color w:val="5B9BD5"/>
                <w:lang w:val="pt-PT"/>
              </w:rPr>
              <w:fldChar w:fldCharType="separate"/>
            </w:r>
            <w:r w:rsidRPr="00292532">
              <w:rPr>
                <w:rFonts w:ascii="Arial" w:hAnsi="Arial" w:cs="Arial"/>
                <w:color w:val="5B9BD5"/>
                <w:lang w:val="pt-PT"/>
              </w:rPr>
              <w:t>3.2</w:t>
            </w:r>
            <w:r w:rsidRPr="004500AE">
              <w:rPr>
                <w:rFonts w:ascii="Arial" w:hAnsi="Arial" w:cs="Arial"/>
                <w:color w:val="5B9BD5"/>
                <w:lang w:val="pt-PT"/>
              </w:rPr>
              <w:fldChar w:fldCharType="end"/>
            </w:r>
            <w:r w:rsidRPr="00292532">
              <w:rPr>
                <w:rFonts w:ascii="Arial" w:hAnsi="Arial" w:cs="Arial"/>
                <w:lang w:val="pt-PT"/>
              </w:rPr>
              <w:t>.</w:t>
            </w:r>
          </w:p>
          <w:p w14:paraId="5CF691B7" w14:textId="77777777" w:rsidR="00B31AE2" w:rsidRPr="00292532" w:rsidRDefault="00B31AE2" w:rsidP="00AE14AE">
            <w:pPr>
              <w:numPr>
                <w:ilvl w:val="0"/>
                <w:numId w:val="154"/>
              </w:numPr>
              <w:autoSpaceDE w:val="0"/>
              <w:autoSpaceDN w:val="0"/>
              <w:adjustRightInd w:val="0"/>
              <w:ind w:left="260" w:hanging="142"/>
              <w:contextualSpacing/>
              <w:rPr>
                <w:rFonts w:ascii="Arial" w:hAnsi="Arial" w:cs="Arial"/>
                <w:lang w:val="pt-PT"/>
              </w:rPr>
            </w:pPr>
            <w:r w:rsidRPr="00292532">
              <w:rPr>
                <w:rFonts w:ascii="Arial" w:hAnsi="Arial" w:cs="Arial"/>
                <w:lang w:val="pt-PT"/>
              </w:rPr>
              <w:t xml:space="preserve">O caso suspeito deve se dirigir para a área de isolamento e obedecer o fluxo disponível na </w:t>
            </w:r>
            <w:r w:rsidRPr="00292532">
              <w:rPr>
                <w:rFonts w:ascii="Arial" w:hAnsi="Arial" w:cs="Arial"/>
                <w:color w:val="5B9BD5"/>
                <w:lang w:val="pt-PT"/>
              </w:rPr>
              <w:t xml:space="preserve">Secção </w:t>
            </w:r>
            <w:r w:rsidRPr="004500AE">
              <w:rPr>
                <w:rFonts w:ascii="Arial" w:hAnsi="Arial" w:cs="Arial"/>
                <w:color w:val="5B9BD5"/>
                <w:lang w:val="pt-PT"/>
              </w:rPr>
              <w:fldChar w:fldCharType="begin"/>
            </w:r>
            <w:r w:rsidRPr="00292532">
              <w:rPr>
                <w:rFonts w:ascii="Arial" w:hAnsi="Arial" w:cs="Arial"/>
                <w:color w:val="5B9BD5"/>
                <w:lang w:val="pt-PT"/>
              </w:rPr>
              <w:instrText xml:space="preserve"> REF _Ref69068757 \r \h </w:instrText>
            </w:r>
            <w:r w:rsidRPr="004500AE">
              <w:rPr>
                <w:rFonts w:ascii="Arial" w:hAnsi="Arial" w:cs="Arial"/>
                <w:color w:val="5B9BD5"/>
                <w:lang w:val="pt-PT"/>
              </w:rPr>
              <w:instrText xml:space="preserve"> \* MERGEFORMAT </w:instrText>
            </w:r>
            <w:r w:rsidRPr="004500AE">
              <w:rPr>
                <w:rFonts w:ascii="Arial" w:hAnsi="Arial" w:cs="Arial"/>
                <w:color w:val="5B9BD5"/>
                <w:lang w:val="pt-PT"/>
              </w:rPr>
            </w:r>
            <w:r w:rsidRPr="004500AE">
              <w:rPr>
                <w:rFonts w:ascii="Arial" w:hAnsi="Arial" w:cs="Arial"/>
                <w:color w:val="5B9BD5"/>
                <w:lang w:val="pt-PT"/>
              </w:rPr>
              <w:fldChar w:fldCharType="separate"/>
            </w:r>
            <w:r w:rsidRPr="00292532">
              <w:rPr>
                <w:rFonts w:ascii="Arial" w:hAnsi="Arial" w:cs="Arial"/>
                <w:color w:val="5B9BD5"/>
                <w:lang w:val="pt-PT"/>
              </w:rPr>
              <w:t>5.1</w:t>
            </w:r>
            <w:r w:rsidRPr="004500AE">
              <w:rPr>
                <w:rFonts w:ascii="Arial" w:hAnsi="Arial" w:cs="Arial"/>
                <w:color w:val="5B9BD5"/>
                <w:lang w:val="pt-PT"/>
              </w:rPr>
              <w:fldChar w:fldCharType="end"/>
            </w:r>
            <w:r w:rsidRPr="00292532">
              <w:rPr>
                <w:rFonts w:ascii="Arial" w:hAnsi="Arial" w:cs="Arial"/>
                <w:lang w:val="pt-PT"/>
              </w:rPr>
              <w:t>.</w:t>
            </w:r>
          </w:p>
          <w:p w14:paraId="7A40F544" w14:textId="77777777" w:rsidR="00B31AE2" w:rsidRPr="00292532" w:rsidRDefault="00B31AE2" w:rsidP="00AE14AE">
            <w:pPr>
              <w:numPr>
                <w:ilvl w:val="0"/>
                <w:numId w:val="154"/>
              </w:numPr>
              <w:autoSpaceDE w:val="0"/>
              <w:autoSpaceDN w:val="0"/>
              <w:adjustRightInd w:val="0"/>
              <w:ind w:left="260" w:hanging="142"/>
              <w:contextualSpacing/>
              <w:rPr>
                <w:rFonts w:ascii="Arial" w:hAnsi="Arial" w:cs="Arial"/>
                <w:lang w:val="pt-PT"/>
              </w:rPr>
            </w:pPr>
            <w:r w:rsidRPr="00292532">
              <w:rPr>
                <w:rFonts w:ascii="Arial" w:hAnsi="Arial" w:cs="Arial"/>
                <w:lang w:val="pt-PT"/>
              </w:rPr>
              <w:t>Sempre que a máscara estiver húmida deverá ser substituída por outra.</w:t>
            </w:r>
          </w:p>
          <w:p w14:paraId="290E1F1A" w14:textId="77777777" w:rsidR="00B31AE2" w:rsidRPr="00292532" w:rsidRDefault="00B31AE2" w:rsidP="00AE14AE">
            <w:pPr>
              <w:numPr>
                <w:ilvl w:val="0"/>
                <w:numId w:val="154"/>
              </w:numPr>
              <w:autoSpaceDE w:val="0"/>
              <w:autoSpaceDN w:val="0"/>
              <w:adjustRightInd w:val="0"/>
              <w:ind w:left="260" w:hanging="142"/>
              <w:contextualSpacing/>
              <w:rPr>
                <w:rFonts w:ascii="Arial" w:hAnsi="Arial" w:cs="Arial"/>
                <w:lang w:val="pt-PT"/>
              </w:rPr>
            </w:pPr>
            <w:r w:rsidRPr="00292532">
              <w:rPr>
                <w:rFonts w:ascii="Arial" w:hAnsi="Arial" w:cs="Arial"/>
                <w:lang w:val="pt-PT"/>
              </w:rPr>
              <w:t>Verificar a temperatura corporal (se aplicável).</w:t>
            </w:r>
          </w:p>
          <w:p w14:paraId="1DCBE36B" w14:textId="77777777" w:rsidR="00B31AE2" w:rsidRPr="00292532" w:rsidRDefault="00B31AE2" w:rsidP="00AE14AE">
            <w:pPr>
              <w:numPr>
                <w:ilvl w:val="0"/>
                <w:numId w:val="154"/>
              </w:numPr>
              <w:autoSpaceDE w:val="0"/>
              <w:autoSpaceDN w:val="0"/>
              <w:adjustRightInd w:val="0"/>
              <w:ind w:left="260" w:hanging="142"/>
              <w:contextualSpacing/>
              <w:rPr>
                <w:rFonts w:ascii="Arial" w:hAnsi="Arial" w:cs="Arial"/>
                <w:lang w:val="pt-PT"/>
              </w:rPr>
            </w:pPr>
            <w:r w:rsidRPr="00292532">
              <w:rPr>
                <w:rFonts w:ascii="Arial" w:hAnsi="Arial" w:cs="Arial"/>
                <w:lang w:val="pt-PT"/>
              </w:rPr>
              <w:t xml:space="preserve">Sempre que se substituir luvas, máscaras e outros materiais que possam estar contaminados (lenços de papel descartáveis, toalhetes, </w:t>
            </w:r>
            <w:proofErr w:type="spellStart"/>
            <w:r w:rsidRPr="00292532">
              <w:rPr>
                <w:rFonts w:ascii="Arial" w:hAnsi="Arial" w:cs="Arial"/>
                <w:lang w:val="pt-PT"/>
              </w:rPr>
              <w:t>etc</w:t>
            </w:r>
            <w:proofErr w:type="spellEnd"/>
            <w:r w:rsidRPr="00292532">
              <w:rPr>
                <w:rFonts w:ascii="Arial" w:hAnsi="Arial" w:cs="Arial"/>
                <w:lang w:val="pt-PT"/>
              </w:rPr>
              <w:t>) deve se depositar dentro de saco de lixo no interior da sala.</w:t>
            </w:r>
          </w:p>
          <w:p w14:paraId="31E0317A" w14:textId="77777777" w:rsidR="00B31AE2" w:rsidRPr="00292532" w:rsidRDefault="00B31AE2" w:rsidP="00AE14AE">
            <w:pPr>
              <w:numPr>
                <w:ilvl w:val="0"/>
                <w:numId w:val="154"/>
              </w:numPr>
              <w:autoSpaceDE w:val="0"/>
              <w:autoSpaceDN w:val="0"/>
              <w:adjustRightInd w:val="0"/>
              <w:ind w:left="260" w:hanging="142"/>
              <w:contextualSpacing/>
              <w:rPr>
                <w:rFonts w:ascii="Arial" w:hAnsi="Arial" w:cs="Arial"/>
                <w:lang w:val="pt-PT"/>
              </w:rPr>
            </w:pPr>
            <w:r w:rsidRPr="00292532">
              <w:rPr>
                <w:rFonts w:ascii="Arial" w:hAnsi="Arial" w:cs="Arial"/>
                <w:lang w:val="pt-PT"/>
              </w:rPr>
              <w:t>Se aplicável, o funcionário que presta assistência ao caso suspeito (na sala e no transporte), deve colocar (momentos antes de iniciar a assistência) máscara e luvas descartáveis e viseira. Para além do cumprimento de outras precauções básicas de controlo incluindo a higienização das mãos.</w:t>
            </w:r>
          </w:p>
          <w:p w14:paraId="00D6D23E" w14:textId="77777777" w:rsidR="00B31AE2" w:rsidRPr="00292532" w:rsidRDefault="00B31AE2" w:rsidP="00AE14AE">
            <w:pPr>
              <w:numPr>
                <w:ilvl w:val="0"/>
                <w:numId w:val="154"/>
              </w:numPr>
              <w:autoSpaceDE w:val="0"/>
              <w:autoSpaceDN w:val="0"/>
              <w:adjustRightInd w:val="0"/>
              <w:ind w:left="260" w:hanging="142"/>
              <w:contextualSpacing/>
              <w:rPr>
                <w:rFonts w:ascii="Arial" w:hAnsi="Arial" w:cs="Arial"/>
                <w:lang w:val="pt-PT"/>
              </w:rPr>
            </w:pPr>
            <w:r w:rsidRPr="00292532">
              <w:rPr>
                <w:rFonts w:ascii="Arial" w:hAnsi="Arial" w:cs="Arial"/>
                <w:lang w:val="pt-PT"/>
              </w:rPr>
              <w:t xml:space="preserve">Após a assistência e limpeza os funcionários devem tirar a roupa e outros </w:t>
            </w:r>
            <w:proofErr w:type="spellStart"/>
            <w:r w:rsidRPr="00292532">
              <w:rPr>
                <w:rFonts w:ascii="Arial" w:hAnsi="Arial" w:cs="Arial"/>
                <w:lang w:val="pt-PT"/>
              </w:rPr>
              <w:t>objectos</w:t>
            </w:r>
            <w:proofErr w:type="spellEnd"/>
            <w:r w:rsidRPr="00292532">
              <w:rPr>
                <w:rFonts w:ascii="Arial" w:hAnsi="Arial" w:cs="Arial"/>
                <w:lang w:val="pt-PT"/>
              </w:rPr>
              <w:t xml:space="preserve"> para lavagem e fazer banho.</w:t>
            </w:r>
          </w:p>
        </w:tc>
      </w:tr>
      <w:tr w:rsidR="00B31AE2" w:rsidRPr="00292532" w14:paraId="56F20C99" w14:textId="77777777" w:rsidTr="00B31AE2">
        <w:trPr>
          <w:trHeight w:val="440"/>
        </w:trPr>
        <w:tc>
          <w:tcPr>
            <w:tcW w:w="9639" w:type="dxa"/>
            <w:tcBorders>
              <w:top w:val="nil"/>
              <w:bottom w:val="nil"/>
            </w:tcBorders>
            <w:shd w:val="clear" w:color="auto" w:fill="5B9BD5"/>
            <w:vAlign w:val="center"/>
          </w:tcPr>
          <w:p w14:paraId="2392EF46" w14:textId="77777777" w:rsidR="00B31AE2" w:rsidRPr="00292532" w:rsidRDefault="00B31AE2" w:rsidP="00B31AE2">
            <w:pPr>
              <w:jc w:val="center"/>
              <w:rPr>
                <w:rFonts w:ascii="Arial" w:hAnsi="Arial" w:cs="Arial"/>
                <w:b/>
                <w:color w:val="FFFFFF"/>
                <w:lang w:val="pt-PT"/>
              </w:rPr>
            </w:pPr>
            <w:r w:rsidRPr="00292532">
              <w:rPr>
                <w:rFonts w:ascii="Arial" w:hAnsi="Arial" w:cs="Arial"/>
                <w:b/>
                <w:color w:val="FFFFFF"/>
                <w:lang w:val="pt-PT"/>
              </w:rPr>
              <w:t xml:space="preserve">Higienização </w:t>
            </w:r>
          </w:p>
        </w:tc>
      </w:tr>
      <w:tr w:rsidR="00B31AE2" w:rsidRPr="004E2EAC" w14:paraId="3F94A930" w14:textId="77777777" w:rsidTr="00B31AE2">
        <w:trPr>
          <w:trHeight w:val="851"/>
        </w:trPr>
        <w:tc>
          <w:tcPr>
            <w:tcW w:w="9639" w:type="dxa"/>
            <w:tcBorders>
              <w:top w:val="nil"/>
              <w:bottom w:val="single" w:sz="4" w:space="0" w:color="auto"/>
            </w:tcBorders>
          </w:tcPr>
          <w:p w14:paraId="1EDA1DF4" w14:textId="77777777" w:rsidR="00B31AE2" w:rsidRPr="00292532" w:rsidRDefault="00B31AE2" w:rsidP="00B31AE2">
            <w:pPr>
              <w:rPr>
                <w:rFonts w:ascii="Arial" w:hAnsi="Arial" w:cs="Arial"/>
                <w:i/>
                <w:u w:val="single"/>
                <w:lang w:val="pt-PT"/>
              </w:rPr>
            </w:pPr>
            <w:r w:rsidRPr="00292532">
              <w:rPr>
                <w:rFonts w:ascii="Arial" w:hAnsi="Arial" w:cs="Arial"/>
                <w:i/>
                <w:u w:val="single"/>
                <w:lang w:val="pt-PT"/>
              </w:rPr>
              <w:t>A equipa de limpeza, treinada para o efeito, deverá:</w:t>
            </w:r>
          </w:p>
          <w:p w14:paraId="30BBE159" w14:textId="77777777" w:rsidR="00B31AE2" w:rsidRPr="00292532" w:rsidRDefault="00B31AE2" w:rsidP="00AE14AE">
            <w:pPr>
              <w:numPr>
                <w:ilvl w:val="0"/>
                <w:numId w:val="154"/>
              </w:numPr>
              <w:autoSpaceDE w:val="0"/>
              <w:autoSpaceDN w:val="0"/>
              <w:adjustRightInd w:val="0"/>
              <w:ind w:left="260" w:hanging="142"/>
              <w:contextualSpacing/>
              <w:rPr>
                <w:rFonts w:ascii="Arial" w:hAnsi="Arial" w:cs="Arial"/>
                <w:lang w:val="pt-PT"/>
              </w:rPr>
            </w:pPr>
            <w:r w:rsidRPr="00292532">
              <w:rPr>
                <w:rFonts w:ascii="Arial" w:hAnsi="Arial" w:cs="Arial"/>
                <w:lang w:val="pt-PT"/>
              </w:rPr>
              <w:t>Ventilar o local de isolamento e todo o local recentemente frequentado pelo caso positivo: abertura de portas e janelas (se aplicável).</w:t>
            </w:r>
          </w:p>
          <w:p w14:paraId="32C0E6A7" w14:textId="77777777" w:rsidR="00B31AE2" w:rsidRPr="00292532" w:rsidRDefault="00B31AE2" w:rsidP="00AE14AE">
            <w:pPr>
              <w:numPr>
                <w:ilvl w:val="0"/>
                <w:numId w:val="154"/>
              </w:numPr>
              <w:autoSpaceDE w:val="0"/>
              <w:autoSpaceDN w:val="0"/>
              <w:adjustRightInd w:val="0"/>
              <w:spacing w:after="200"/>
              <w:ind w:left="260" w:hanging="142"/>
              <w:contextualSpacing/>
              <w:rPr>
                <w:rFonts w:ascii="Arial" w:hAnsi="Arial" w:cs="Arial"/>
                <w:lang w:val="pt-PT"/>
              </w:rPr>
            </w:pPr>
            <w:r w:rsidRPr="00292532">
              <w:rPr>
                <w:rFonts w:ascii="Arial" w:hAnsi="Arial" w:cs="Arial"/>
                <w:lang w:val="pt-PT"/>
              </w:rPr>
              <w:t>Proceder pulverização chão, paredes e superfícies relevantes (se aplicável).</w:t>
            </w:r>
          </w:p>
          <w:p w14:paraId="2D5D6DE9" w14:textId="77777777" w:rsidR="00B31AE2" w:rsidRPr="00292532" w:rsidRDefault="00B31AE2" w:rsidP="00AE14AE">
            <w:pPr>
              <w:numPr>
                <w:ilvl w:val="0"/>
                <w:numId w:val="154"/>
              </w:numPr>
              <w:autoSpaceDE w:val="0"/>
              <w:autoSpaceDN w:val="0"/>
              <w:adjustRightInd w:val="0"/>
              <w:ind w:left="260" w:hanging="142"/>
              <w:contextualSpacing/>
              <w:rPr>
                <w:rFonts w:ascii="Arial" w:hAnsi="Arial" w:cs="Arial"/>
                <w:lang w:val="pt-PT"/>
              </w:rPr>
            </w:pPr>
            <w:r w:rsidRPr="00292532">
              <w:rPr>
                <w:rFonts w:ascii="Arial" w:hAnsi="Arial" w:cs="Arial"/>
                <w:lang w:val="pt-PT"/>
              </w:rPr>
              <w:t>Proceder à limpeza do material/equipamento/ferramentas de trabalho partilhado pelo caso positivo</w:t>
            </w:r>
          </w:p>
          <w:p w14:paraId="744E43EE" w14:textId="77777777" w:rsidR="00B31AE2" w:rsidRPr="00292532" w:rsidRDefault="00B31AE2" w:rsidP="00AE14AE">
            <w:pPr>
              <w:numPr>
                <w:ilvl w:val="0"/>
                <w:numId w:val="154"/>
              </w:numPr>
              <w:autoSpaceDE w:val="0"/>
              <w:autoSpaceDN w:val="0"/>
              <w:adjustRightInd w:val="0"/>
              <w:ind w:left="260" w:hanging="142"/>
              <w:contextualSpacing/>
              <w:rPr>
                <w:rFonts w:ascii="Arial" w:hAnsi="Arial" w:cs="Arial"/>
                <w:lang w:val="pt-PT"/>
              </w:rPr>
            </w:pPr>
            <w:r w:rsidRPr="00292532">
              <w:rPr>
                <w:rFonts w:ascii="Arial" w:hAnsi="Arial" w:cs="Arial"/>
                <w:lang w:val="pt-PT"/>
              </w:rPr>
              <w:t>Proceder à limpeza da sala de isolamento: todo o mobiliário e superfícies existentes.</w:t>
            </w:r>
          </w:p>
          <w:p w14:paraId="7990FBD1" w14:textId="77777777" w:rsidR="00B31AE2" w:rsidRPr="00292532" w:rsidRDefault="00B31AE2" w:rsidP="00AE14AE">
            <w:pPr>
              <w:numPr>
                <w:ilvl w:val="0"/>
                <w:numId w:val="154"/>
              </w:numPr>
              <w:autoSpaceDE w:val="0"/>
              <w:autoSpaceDN w:val="0"/>
              <w:adjustRightInd w:val="0"/>
              <w:ind w:left="260" w:hanging="142"/>
              <w:contextualSpacing/>
              <w:rPr>
                <w:rFonts w:ascii="Arial" w:hAnsi="Arial" w:cs="Arial"/>
                <w:lang w:val="pt-PT"/>
              </w:rPr>
            </w:pPr>
            <w:r w:rsidRPr="00292532">
              <w:rPr>
                <w:rFonts w:ascii="Arial" w:hAnsi="Arial" w:cs="Arial"/>
                <w:lang w:val="pt-PT"/>
              </w:rPr>
              <w:t>Armazenar os resíduos em saco plástico, amarar e encaminhar para incineração adequada.</w:t>
            </w:r>
          </w:p>
          <w:p w14:paraId="4A197297" w14:textId="77777777" w:rsidR="00B31AE2" w:rsidRPr="00292532" w:rsidRDefault="00B31AE2" w:rsidP="00B31AE2">
            <w:pPr>
              <w:autoSpaceDE w:val="0"/>
              <w:autoSpaceDN w:val="0"/>
              <w:adjustRightInd w:val="0"/>
              <w:ind w:left="260"/>
              <w:contextualSpacing/>
              <w:rPr>
                <w:rFonts w:ascii="Arial" w:hAnsi="Arial" w:cs="Arial"/>
                <w:lang w:val="pt-PT"/>
              </w:rPr>
            </w:pPr>
          </w:p>
          <w:p w14:paraId="4D4DF9D3" w14:textId="77777777" w:rsidR="00B31AE2" w:rsidRPr="00292532" w:rsidRDefault="00B31AE2" w:rsidP="00B31AE2">
            <w:pPr>
              <w:rPr>
                <w:rFonts w:ascii="Arial" w:hAnsi="Arial" w:cs="Arial"/>
                <w:i/>
                <w:u w:val="single"/>
                <w:lang w:val="pt-PT"/>
              </w:rPr>
            </w:pPr>
            <w:r w:rsidRPr="00292532">
              <w:rPr>
                <w:rFonts w:ascii="Arial" w:hAnsi="Arial" w:cs="Arial"/>
                <w:i/>
                <w:u w:val="single"/>
                <w:lang w:val="pt-PT"/>
              </w:rPr>
              <w:t>Para a realização destas tarefas deverá ser considerado o seguinte:</w:t>
            </w:r>
          </w:p>
          <w:p w14:paraId="4375EDDE" w14:textId="77777777" w:rsidR="00B31AE2" w:rsidRPr="00292532" w:rsidRDefault="00B31AE2" w:rsidP="00AE14AE">
            <w:pPr>
              <w:numPr>
                <w:ilvl w:val="0"/>
                <w:numId w:val="154"/>
              </w:numPr>
              <w:autoSpaceDE w:val="0"/>
              <w:autoSpaceDN w:val="0"/>
              <w:adjustRightInd w:val="0"/>
              <w:ind w:left="260" w:hanging="142"/>
              <w:contextualSpacing/>
              <w:rPr>
                <w:rFonts w:ascii="Arial" w:hAnsi="Arial" w:cs="Arial"/>
                <w:lang w:val="pt-PT"/>
              </w:rPr>
            </w:pPr>
            <w:r w:rsidRPr="00292532">
              <w:rPr>
                <w:rFonts w:ascii="Arial" w:hAnsi="Arial" w:cs="Arial"/>
                <w:lang w:val="pt-PT"/>
              </w:rPr>
              <w:t>Uso de luvas e máscara descartável e de viseira.</w:t>
            </w:r>
          </w:p>
          <w:p w14:paraId="1E332BCD" w14:textId="77777777" w:rsidR="00B31AE2" w:rsidRPr="00292532" w:rsidRDefault="00B31AE2" w:rsidP="00AE14AE">
            <w:pPr>
              <w:numPr>
                <w:ilvl w:val="0"/>
                <w:numId w:val="154"/>
              </w:numPr>
              <w:autoSpaceDE w:val="0"/>
              <w:autoSpaceDN w:val="0"/>
              <w:adjustRightInd w:val="0"/>
              <w:ind w:left="260" w:hanging="142"/>
              <w:contextualSpacing/>
              <w:rPr>
                <w:rFonts w:ascii="Arial" w:hAnsi="Arial" w:cs="Arial"/>
                <w:lang w:val="pt-PT"/>
              </w:rPr>
            </w:pPr>
            <w:r w:rsidRPr="00292532">
              <w:rPr>
                <w:rFonts w:ascii="Arial" w:hAnsi="Arial" w:cs="Arial"/>
                <w:lang w:val="pt-PT"/>
              </w:rPr>
              <w:t>O pano de limpeza utilizado destina-se apenas a este procedimento e deverá ser deixado ao sol por 72 horas após o uso.</w:t>
            </w:r>
          </w:p>
          <w:p w14:paraId="2C241C42" w14:textId="77777777" w:rsidR="00B31AE2" w:rsidRPr="00292532" w:rsidRDefault="00B31AE2" w:rsidP="00AE14AE">
            <w:pPr>
              <w:numPr>
                <w:ilvl w:val="0"/>
                <w:numId w:val="154"/>
              </w:numPr>
              <w:autoSpaceDE w:val="0"/>
              <w:autoSpaceDN w:val="0"/>
              <w:adjustRightInd w:val="0"/>
              <w:spacing w:after="200"/>
              <w:ind w:left="260" w:hanging="142"/>
              <w:contextualSpacing/>
              <w:rPr>
                <w:rFonts w:ascii="Arial" w:hAnsi="Arial" w:cs="Arial"/>
                <w:lang w:val="pt-PT"/>
              </w:rPr>
            </w:pPr>
            <w:r w:rsidRPr="00292532">
              <w:rPr>
                <w:rFonts w:ascii="Arial" w:hAnsi="Arial" w:cs="Arial"/>
                <w:lang w:val="pt-PT"/>
              </w:rPr>
              <w:t xml:space="preserve">Para esta limpeza será utilizado o líquido </w:t>
            </w:r>
            <w:proofErr w:type="spellStart"/>
            <w:r w:rsidRPr="00292532">
              <w:rPr>
                <w:rFonts w:ascii="Arial" w:hAnsi="Arial" w:cs="Arial"/>
                <w:lang w:val="pt-PT"/>
              </w:rPr>
              <w:t>desinfectante</w:t>
            </w:r>
            <w:proofErr w:type="spellEnd"/>
            <w:r w:rsidRPr="00292532">
              <w:rPr>
                <w:rFonts w:ascii="Arial" w:hAnsi="Arial" w:cs="Arial"/>
                <w:lang w:val="pt-PT"/>
              </w:rPr>
              <w:t xml:space="preserve"> (Lixívia).</w:t>
            </w:r>
          </w:p>
          <w:p w14:paraId="005CE014" w14:textId="77777777" w:rsidR="00B31AE2" w:rsidRPr="00292532" w:rsidRDefault="00B31AE2" w:rsidP="00AE14AE">
            <w:pPr>
              <w:numPr>
                <w:ilvl w:val="0"/>
                <w:numId w:val="154"/>
              </w:numPr>
              <w:autoSpaceDE w:val="0"/>
              <w:autoSpaceDN w:val="0"/>
              <w:adjustRightInd w:val="0"/>
              <w:spacing w:after="200"/>
              <w:ind w:left="260" w:hanging="142"/>
              <w:contextualSpacing/>
              <w:rPr>
                <w:rFonts w:ascii="Arial" w:hAnsi="Arial" w:cs="Arial"/>
                <w:lang w:val="pt-PT"/>
              </w:rPr>
            </w:pPr>
            <w:r w:rsidRPr="00292532">
              <w:rPr>
                <w:rFonts w:ascii="Arial" w:hAnsi="Arial" w:cs="Arial"/>
                <w:lang w:val="pt-PT"/>
              </w:rPr>
              <w:t xml:space="preserve">Após limpeza os funcionários devem tirar a roupa e outros </w:t>
            </w:r>
            <w:proofErr w:type="spellStart"/>
            <w:r w:rsidRPr="00292532">
              <w:rPr>
                <w:rFonts w:ascii="Arial" w:hAnsi="Arial" w:cs="Arial"/>
                <w:lang w:val="pt-PT"/>
              </w:rPr>
              <w:t>objectos</w:t>
            </w:r>
            <w:proofErr w:type="spellEnd"/>
            <w:r w:rsidRPr="00292532">
              <w:rPr>
                <w:rFonts w:ascii="Arial" w:hAnsi="Arial" w:cs="Arial"/>
                <w:lang w:val="pt-PT"/>
              </w:rPr>
              <w:t xml:space="preserve"> para lavagem e fazer banho.</w:t>
            </w:r>
          </w:p>
          <w:p w14:paraId="060D196A" w14:textId="77777777" w:rsidR="00B31AE2" w:rsidRPr="00292532" w:rsidRDefault="00B31AE2" w:rsidP="00B31AE2">
            <w:pPr>
              <w:rPr>
                <w:rFonts w:ascii="Arial" w:hAnsi="Arial" w:cs="Arial"/>
                <w:lang w:val="pt-PT"/>
              </w:rPr>
            </w:pPr>
            <w:r w:rsidRPr="00292532">
              <w:rPr>
                <w:rFonts w:ascii="Arial" w:hAnsi="Arial" w:cs="Arial"/>
                <w:lang w:val="pt-PT"/>
              </w:rPr>
              <w:t>Sempre que a confirmação de caso positivo for dada fora do período de expediente, o vigilante (segurança do local) deverá proceder à afixação de aviso de interdição de entrada do local de trabalho</w:t>
            </w:r>
          </w:p>
        </w:tc>
      </w:tr>
    </w:tbl>
    <w:p w14:paraId="452B68B2" w14:textId="77777777" w:rsidR="00B31AE2" w:rsidRPr="00292532" w:rsidRDefault="00B31AE2" w:rsidP="00B31AE2">
      <w:pPr>
        <w:spacing w:before="0" w:after="0" w:line="259" w:lineRule="auto"/>
        <w:rPr>
          <w:rFonts w:ascii="Arial" w:eastAsia="Calibri" w:hAnsi="Arial" w:cs="Arial"/>
          <w:sz w:val="20"/>
          <w:szCs w:val="20"/>
          <w:lang w:val="pt-PT" w:eastAsia="de-DE"/>
        </w:rPr>
      </w:pPr>
    </w:p>
    <w:p w14:paraId="2D5C4896" w14:textId="77777777" w:rsidR="00B31AE2" w:rsidRPr="00292532" w:rsidRDefault="00B31AE2" w:rsidP="00B31AE2">
      <w:pPr>
        <w:spacing w:before="0" w:after="0" w:line="259" w:lineRule="auto"/>
        <w:jc w:val="left"/>
        <w:rPr>
          <w:rFonts w:ascii="Arial" w:eastAsia="Calibri" w:hAnsi="Arial" w:cs="Arial"/>
          <w:sz w:val="20"/>
          <w:szCs w:val="20"/>
          <w:lang w:val="pt-PT" w:eastAsia="de-DE"/>
        </w:rPr>
      </w:pPr>
      <w:bookmarkStart w:id="1595" w:name="_Hlk68973578"/>
    </w:p>
    <w:p w14:paraId="4E661010" w14:textId="77777777" w:rsidR="00B31AE2" w:rsidRPr="00292532" w:rsidRDefault="00B31AE2" w:rsidP="00B31AE2">
      <w:pPr>
        <w:spacing w:before="0" w:line="259" w:lineRule="auto"/>
        <w:jc w:val="left"/>
        <w:rPr>
          <w:rFonts w:ascii="Arial" w:eastAsia="Times New Roman" w:hAnsi="Arial" w:cs="Arial"/>
          <w:color w:val="2F5496"/>
          <w:sz w:val="20"/>
          <w:szCs w:val="20"/>
          <w:lang w:val="pt-PT"/>
        </w:rPr>
      </w:pPr>
      <w:bookmarkStart w:id="1596" w:name="_Toc69149734"/>
      <w:bookmarkStart w:id="1597" w:name="_Toc69149815"/>
      <w:bookmarkStart w:id="1598" w:name="_Toc69149735"/>
      <w:bookmarkStart w:id="1599" w:name="_Toc69149816"/>
      <w:bookmarkStart w:id="1600" w:name="_Toc69149736"/>
      <w:bookmarkStart w:id="1601" w:name="_Toc69149817"/>
      <w:bookmarkStart w:id="1602" w:name="_Toc69149737"/>
      <w:bookmarkStart w:id="1603" w:name="_Toc69149818"/>
      <w:bookmarkStart w:id="1604" w:name="_Toc69149738"/>
      <w:bookmarkStart w:id="1605" w:name="_Toc69149819"/>
      <w:bookmarkStart w:id="1606" w:name="_Toc69104357"/>
      <w:bookmarkStart w:id="1607" w:name="_Toc69149740"/>
      <w:bookmarkStart w:id="1608" w:name="_Toc69149821"/>
      <w:bookmarkStart w:id="1609" w:name="_Toc69104358"/>
      <w:bookmarkStart w:id="1610" w:name="_Toc69149741"/>
      <w:bookmarkStart w:id="1611" w:name="_Toc69149822"/>
      <w:bookmarkStart w:id="1612" w:name="_Toc69104359"/>
      <w:bookmarkStart w:id="1613" w:name="_Toc69149742"/>
      <w:bookmarkStart w:id="1614" w:name="_Toc69149823"/>
      <w:bookmarkStart w:id="1615" w:name="_Toc69104360"/>
      <w:bookmarkStart w:id="1616" w:name="_Toc69149743"/>
      <w:bookmarkStart w:id="1617" w:name="_Toc69149824"/>
      <w:bookmarkStart w:id="1618" w:name="_Toc524983562"/>
      <w:bookmarkStart w:id="1619" w:name="_Hlk23162055"/>
      <w:bookmarkEnd w:id="1513"/>
      <w:bookmarkEnd w:id="1514"/>
      <w:bookmarkEnd w:id="1515"/>
      <w:bookmarkEnd w:id="1516"/>
      <w:bookmarkEnd w:id="1517"/>
      <w:bookmarkEnd w:id="1518"/>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r w:rsidRPr="00292532">
        <w:rPr>
          <w:rFonts w:ascii="Arial" w:eastAsia="Calibri" w:hAnsi="Arial" w:cs="Arial"/>
          <w:sz w:val="20"/>
          <w:szCs w:val="20"/>
          <w:lang w:val="pt-PT"/>
        </w:rPr>
        <w:br w:type="page"/>
      </w:r>
    </w:p>
    <w:p w14:paraId="3C831186" w14:textId="364EA398" w:rsidR="00B31AE2" w:rsidRPr="00292532" w:rsidRDefault="00B31AE2" w:rsidP="00AE14AE">
      <w:pPr>
        <w:keepNext/>
        <w:numPr>
          <w:ilvl w:val="0"/>
          <w:numId w:val="148"/>
        </w:numPr>
        <w:tabs>
          <w:tab w:val="left" w:pos="1134"/>
        </w:tabs>
        <w:suppressAutoHyphens/>
        <w:autoSpaceDE w:val="0"/>
        <w:autoSpaceDN w:val="0"/>
        <w:adjustRightInd w:val="0"/>
        <w:spacing w:before="0" w:line="259" w:lineRule="auto"/>
        <w:ind w:left="0" w:firstLine="0"/>
        <w:jc w:val="center"/>
        <w:outlineLvl w:val="0"/>
        <w:rPr>
          <w:rFonts w:ascii="Arial" w:eastAsia="Times New Roman" w:hAnsi="Arial" w:cs="Arial"/>
          <w:b/>
          <w:color w:val="4472C4"/>
          <w:sz w:val="26"/>
          <w:szCs w:val="26"/>
          <w:lang w:val="pt-PT"/>
        </w:rPr>
      </w:pPr>
      <w:bookmarkStart w:id="1620" w:name="_Toc74922415"/>
      <w:bookmarkStart w:id="1621" w:name="_Toc75438101"/>
      <w:bookmarkStart w:id="1622" w:name="_Toc78435538"/>
      <w:bookmarkStart w:id="1623" w:name="_Toc80380204"/>
      <w:r w:rsidRPr="00292532">
        <w:rPr>
          <w:rFonts w:ascii="Arial" w:eastAsia="Times New Roman" w:hAnsi="Arial" w:cs="Arial"/>
          <w:b/>
          <w:color w:val="4472C4"/>
          <w:sz w:val="26"/>
          <w:szCs w:val="26"/>
          <w:lang w:val="pt-PT"/>
        </w:rPr>
        <w:lastRenderedPageBreak/>
        <w:t>APÊNDICES</w:t>
      </w:r>
      <w:bookmarkEnd w:id="1620"/>
      <w:r w:rsidRPr="00292532">
        <w:rPr>
          <w:rFonts w:ascii="Arial" w:eastAsia="Times New Roman" w:hAnsi="Arial" w:cs="Arial"/>
          <w:b/>
          <w:color w:val="4472C4"/>
          <w:sz w:val="26"/>
          <w:szCs w:val="26"/>
          <w:lang w:val="pt-PT"/>
        </w:rPr>
        <w:t xml:space="preserve"> DO PLANO DE CONTINGÊNCIA DA COVID-19</w:t>
      </w:r>
      <w:bookmarkEnd w:id="1621"/>
      <w:bookmarkEnd w:id="1622"/>
      <w:bookmarkEnd w:id="1623"/>
    </w:p>
    <w:p w14:paraId="0C583307" w14:textId="77777777" w:rsidR="00B31AE2" w:rsidRPr="00292532" w:rsidRDefault="00B31AE2" w:rsidP="00032E3B">
      <w:pPr>
        <w:keepNext/>
        <w:keepLines/>
        <w:spacing w:before="0" w:after="0" w:line="259" w:lineRule="auto"/>
        <w:jc w:val="left"/>
        <w:outlineLvl w:val="0"/>
        <w:rPr>
          <w:rFonts w:ascii="Arial" w:eastAsia="Times New Roman" w:hAnsi="Arial" w:cs="Arial"/>
          <w:b/>
          <w:color w:val="4472C4"/>
          <w:sz w:val="26"/>
          <w:szCs w:val="26"/>
          <w:shd w:val="clear" w:color="auto" w:fill="FFFFFF"/>
          <w:lang w:val="pt-PT"/>
        </w:rPr>
      </w:pPr>
      <w:bookmarkStart w:id="1624" w:name="_Hlk68959034"/>
      <w:bookmarkStart w:id="1625" w:name="_Toc42591526"/>
      <w:bookmarkStart w:id="1626" w:name="_Toc74922416"/>
    </w:p>
    <w:p w14:paraId="0B44281C" w14:textId="01E6BFC9" w:rsidR="00B31AE2" w:rsidRPr="00292532" w:rsidRDefault="00B31AE2" w:rsidP="00AE14AE">
      <w:pPr>
        <w:keepNext/>
        <w:keepLines/>
        <w:numPr>
          <w:ilvl w:val="0"/>
          <w:numId w:val="148"/>
        </w:numPr>
        <w:spacing w:before="0" w:after="0" w:line="259" w:lineRule="auto"/>
        <w:ind w:left="0" w:firstLine="0"/>
        <w:jc w:val="left"/>
        <w:outlineLvl w:val="0"/>
        <w:rPr>
          <w:rFonts w:ascii="Arial" w:eastAsia="Times New Roman" w:hAnsi="Arial" w:cs="Arial"/>
          <w:b/>
          <w:color w:val="4472C4"/>
          <w:sz w:val="26"/>
          <w:szCs w:val="26"/>
          <w:shd w:val="clear" w:color="auto" w:fill="FFFFFF"/>
          <w:lang w:val="pt-PT"/>
        </w:rPr>
      </w:pPr>
      <w:bookmarkStart w:id="1627" w:name="_Toc75438102"/>
      <w:bookmarkStart w:id="1628" w:name="_Toc78435539"/>
      <w:bookmarkStart w:id="1629" w:name="_Toc80380205"/>
      <w:r w:rsidRPr="00292532">
        <w:rPr>
          <w:rFonts w:ascii="Arial" w:eastAsia="Times New Roman" w:hAnsi="Arial" w:cs="Arial"/>
          <w:b/>
          <w:color w:val="4472C4"/>
          <w:sz w:val="26"/>
          <w:szCs w:val="26"/>
          <w:shd w:val="clear" w:color="auto" w:fill="FFFFFF"/>
          <w:lang w:val="pt-PT"/>
        </w:rPr>
        <w:t>Apêndice A</w:t>
      </w:r>
      <w:bookmarkEnd w:id="1624"/>
      <w:r w:rsidRPr="00292532">
        <w:rPr>
          <w:rFonts w:ascii="Arial" w:eastAsia="Times New Roman" w:hAnsi="Arial" w:cs="Arial"/>
          <w:b/>
          <w:color w:val="4472C4"/>
          <w:sz w:val="26"/>
          <w:szCs w:val="26"/>
          <w:shd w:val="clear" w:color="auto" w:fill="FFFFFF"/>
          <w:lang w:val="pt-PT"/>
        </w:rPr>
        <w:t xml:space="preserve"> - Informação fundamental a transmitir para os colaboradores e parceiros </w:t>
      </w:r>
      <w:bookmarkEnd w:id="1625"/>
      <w:r w:rsidRPr="00292532">
        <w:rPr>
          <w:rFonts w:ascii="Arial" w:eastAsia="Times New Roman" w:hAnsi="Arial" w:cs="Arial"/>
          <w:b/>
          <w:color w:val="4472C4"/>
          <w:sz w:val="26"/>
          <w:szCs w:val="26"/>
          <w:shd w:val="clear" w:color="auto" w:fill="FFFFFF"/>
          <w:lang w:val="pt-PT"/>
        </w:rPr>
        <w:t>durante os treinamentos</w:t>
      </w:r>
      <w:bookmarkEnd w:id="1626"/>
      <w:bookmarkEnd w:id="1627"/>
      <w:bookmarkEnd w:id="1628"/>
      <w:bookmarkEnd w:id="1629"/>
    </w:p>
    <w:p w14:paraId="50C37943" w14:textId="77777777" w:rsidR="00B31AE2" w:rsidRPr="00292532" w:rsidRDefault="00B31AE2" w:rsidP="00B31AE2">
      <w:pPr>
        <w:spacing w:before="0"/>
        <w:rPr>
          <w:rFonts w:ascii="Arial" w:eastAsia="Calibri" w:hAnsi="Arial" w:cs="Arial"/>
          <w:color w:val="000000"/>
          <w:sz w:val="20"/>
          <w:szCs w:val="20"/>
          <w:shd w:val="clear" w:color="auto" w:fill="FFFFFF"/>
          <w:lang w:val="pt-PT"/>
        </w:rPr>
      </w:pPr>
    </w:p>
    <w:p w14:paraId="760FD6EE" w14:textId="77777777" w:rsidR="00B31AE2" w:rsidRPr="00292532" w:rsidRDefault="00B31AE2" w:rsidP="00B31AE2">
      <w:pPr>
        <w:spacing w:before="0"/>
        <w:rPr>
          <w:rFonts w:ascii="Arial" w:eastAsia="Calibri" w:hAnsi="Arial" w:cs="Arial"/>
          <w:b/>
          <w:color w:val="000000"/>
          <w:sz w:val="20"/>
          <w:szCs w:val="20"/>
          <w:shd w:val="clear" w:color="auto" w:fill="FFFFFF"/>
          <w:lang w:val="pt-PT"/>
        </w:rPr>
      </w:pPr>
      <w:r w:rsidRPr="00292532">
        <w:rPr>
          <w:rFonts w:ascii="Arial" w:eastAsia="Calibri" w:hAnsi="Arial" w:cs="Arial"/>
          <w:b/>
          <w:color w:val="000000"/>
          <w:sz w:val="20"/>
          <w:szCs w:val="20"/>
          <w:shd w:val="clear" w:color="auto" w:fill="FFFFFF"/>
          <w:lang w:val="pt-PT"/>
        </w:rPr>
        <w:t>O que é COVID-19?</w:t>
      </w:r>
    </w:p>
    <w:p w14:paraId="58B54F43" w14:textId="77777777" w:rsidR="00B31AE2" w:rsidRPr="00292532" w:rsidRDefault="00B31AE2" w:rsidP="00B31AE2">
      <w:pPr>
        <w:spacing w:before="0"/>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shd w:val="clear" w:color="auto" w:fill="FFFFFF"/>
          <w:lang w:val="pt-PT"/>
        </w:rPr>
        <w:t xml:space="preserve">A COVID-19 é uma doença provocada pelo coronavírus que foi identificado pela primeira vez em </w:t>
      </w:r>
      <w:proofErr w:type="gramStart"/>
      <w:r w:rsidRPr="00292532">
        <w:rPr>
          <w:rFonts w:ascii="Arial" w:eastAsia="Calibri" w:hAnsi="Arial" w:cs="Arial"/>
          <w:color w:val="000000"/>
          <w:sz w:val="20"/>
          <w:szCs w:val="20"/>
          <w:shd w:val="clear" w:color="auto" w:fill="FFFFFF"/>
          <w:lang w:val="pt-PT"/>
        </w:rPr>
        <w:t>Dezembro</w:t>
      </w:r>
      <w:proofErr w:type="gramEnd"/>
      <w:r w:rsidRPr="00292532">
        <w:rPr>
          <w:rFonts w:ascii="Arial" w:eastAsia="Calibri" w:hAnsi="Arial" w:cs="Arial"/>
          <w:color w:val="000000"/>
          <w:sz w:val="20"/>
          <w:szCs w:val="20"/>
          <w:shd w:val="clear" w:color="auto" w:fill="FFFFFF"/>
          <w:lang w:val="pt-PT"/>
        </w:rPr>
        <w:t xml:space="preserve"> de 2019. </w:t>
      </w:r>
    </w:p>
    <w:p w14:paraId="3EAE9F46" w14:textId="77777777" w:rsidR="00B31AE2" w:rsidRPr="00292532" w:rsidRDefault="00B31AE2" w:rsidP="00B31AE2">
      <w:pPr>
        <w:spacing w:before="0"/>
        <w:rPr>
          <w:rFonts w:ascii="Arial" w:eastAsia="Calibri" w:hAnsi="Arial" w:cs="Arial"/>
          <w:b/>
          <w:color w:val="000000"/>
          <w:sz w:val="20"/>
          <w:szCs w:val="20"/>
          <w:shd w:val="clear" w:color="auto" w:fill="FFFFFF"/>
          <w:lang w:val="pt-PT"/>
        </w:rPr>
      </w:pPr>
      <w:r w:rsidRPr="00292532">
        <w:rPr>
          <w:rFonts w:ascii="Arial" w:eastAsia="Calibri" w:hAnsi="Arial" w:cs="Arial"/>
          <w:color w:val="000000"/>
          <w:sz w:val="20"/>
          <w:szCs w:val="20"/>
          <w:shd w:val="clear" w:color="auto" w:fill="FFFFFF"/>
          <w:lang w:val="pt-PT"/>
        </w:rPr>
        <w:t xml:space="preserve">Os casos iniciais da doença COVID-19 foram associados a um mercado de venda de animais vivos. O mercado foi encerrado a 1 de </w:t>
      </w:r>
      <w:proofErr w:type="gramStart"/>
      <w:r w:rsidRPr="00292532">
        <w:rPr>
          <w:rFonts w:ascii="Arial" w:eastAsia="Calibri" w:hAnsi="Arial" w:cs="Arial"/>
          <w:color w:val="000000"/>
          <w:sz w:val="20"/>
          <w:szCs w:val="20"/>
          <w:shd w:val="clear" w:color="auto" w:fill="FFFFFF"/>
          <w:lang w:val="pt-PT"/>
        </w:rPr>
        <w:t>Janeiro</w:t>
      </w:r>
      <w:proofErr w:type="gramEnd"/>
      <w:r w:rsidRPr="00292532">
        <w:rPr>
          <w:rFonts w:ascii="Arial" w:eastAsia="Calibri" w:hAnsi="Arial" w:cs="Arial"/>
          <w:color w:val="000000"/>
          <w:sz w:val="20"/>
          <w:szCs w:val="20"/>
          <w:shd w:val="clear" w:color="auto" w:fill="FFFFFF"/>
          <w:lang w:val="pt-PT"/>
        </w:rPr>
        <w:t xml:space="preserve"> de 2020, mas a doença foi progredindo desencadeando uma epidemia mundial ou </w:t>
      </w:r>
      <w:r w:rsidRPr="00292532">
        <w:rPr>
          <w:rFonts w:ascii="Arial" w:eastAsia="Calibri" w:hAnsi="Arial" w:cs="Arial"/>
          <w:b/>
          <w:color w:val="000000"/>
          <w:sz w:val="20"/>
          <w:szCs w:val="20"/>
          <w:shd w:val="clear" w:color="auto" w:fill="FFFFFF"/>
          <w:lang w:val="pt-PT"/>
        </w:rPr>
        <w:t>pandemia.</w:t>
      </w:r>
    </w:p>
    <w:p w14:paraId="4C21036A" w14:textId="77777777" w:rsidR="00B31AE2" w:rsidRPr="00292532" w:rsidRDefault="00B31AE2" w:rsidP="00B31AE2">
      <w:pPr>
        <w:spacing w:before="0"/>
        <w:jc w:val="left"/>
        <w:rPr>
          <w:rFonts w:ascii="Arial" w:eastAsia="Calibri" w:hAnsi="Arial" w:cs="Arial"/>
          <w:b/>
          <w:color w:val="000000"/>
          <w:sz w:val="20"/>
          <w:szCs w:val="20"/>
          <w:shd w:val="clear" w:color="auto" w:fill="FFFFFF"/>
          <w:lang w:val="pt-PT"/>
        </w:rPr>
      </w:pPr>
      <w:r w:rsidRPr="00292532">
        <w:rPr>
          <w:rFonts w:ascii="Arial" w:eastAsia="Calibri" w:hAnsi="Arial" w:cs="Arial"/>
          <w:b/>
          <w:color w:val="000000"/>
          <w:sz w:val="20"/>
          <w:szCs w:val="20"/>
          <w:shd w:val="clear" w:color="auto" w:fill="FFFFFF"/>
          <w:lang w:val="pt-PT"/>
        </w:rPr>
        <w:t>O que é um coronavírus?</w:t>
      </w:r>
    </w:p>
    <w:p w14:paraId="298CE22F" w14:textId="77777777" w:rsidR="00B31AE2" w:rsidRPr="00292532" w:rsidRDefault="00B31AE2" w:rsidP="00B31AE2">
      <w:pPr>
        <w:spacing w:before="0"/>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shd w:val="clear" w:color="auto" w:fill="FFFFFF"/>
          <w:lang w:val="pt-PT"/>
        </w:rPr>
        <w:t xml:space="preserve">O coronavírus é um vírus que pode causar </w:t>
      </w:r>
      <w:proofErr w:type="spellStart"/>
      <w:r w:rsidRPr="00292532">
        <w:rPr>
          <w:rFonts w:ascii="Arial" w:eastAsia="Calibri" w:hAnsi="Arial" w:cs="Arial"/>
          <w:color w:val="000000"/>
          <w:sz w:val="20"/>
          <w:szCs w:val="20"/>
          <w:shd w:val="clear" w:color="auto" w:fill="FFFFFF"/>
          <w:lang w:val="pt-PT"/>
        </w:rPr>
        <w:t>infecção</w:t>
      </w:r>
      <w:proofErr w:type="spellEnd"/>
      <w:r w:rsidRPr="00292532">
        <w:rPr>
          <w:rFonts w:ascii="Arial" w:eastAsia="Calibri" w:hAnsi="Arial" w:cs="Arial"/>
          <w:color w:val="000000"/>
          <w:sz w:val="20"/>
          <w:szCs w:val="20"/>
          <w:shd w:val="clear" w:color="auto" w:fill="FFFFFF"/>
          <w:lang w:val="pt-PT"/>
        </w:rPr>
        <w:t xml:space="preserve"> no homem, em mamíferos e em aves. Até à data, conhecem-se oito coronavírus que </w:t>
      </w:r>
      <w:proofErr w:type="spellStart"/>
      <w:r w:rsidRPr="00292532">
        <w:rPr>
          <w:rFonts w:ascii="Arial" w:eastAsia="Calibri" w:hAnsi="Arial" w:cs="Arial"/>
          <w:color w:val="000000"/>
          <w:sz w:val="20"/>
          <w:szCs w:val="20"/>
          <w:shd w:val="clear" w:color="auto" w:fill="FFFFFF"/>
          <w:lang w:val="pt-PT"/>
        </w:rPr>
        <w:t>infectam</w:t>
      </w:r>
      <w:proofErr w:type="spellEnd"/>
      <w:r w:rsidRPr="00292532">
        <w:rPr>
          <w:rFonts w:ascii="Arial" w:eastAsia="Calibri" w:hAnsi="Arial" w:cs="Arial"/>
          <w:color w:val="000000"/>
          <w:sz w:val="20"/>
          <w:szCs w:val="20"/>
          <w:shd w:val="clear" w:color="auto" w:fill="FFFFFF"/>
          <w:lang w:val="pt-PT"/>
        </w:rPr>
        <w:t xml:space="preserve"> e podem causar doença no homem. Normalmente, estas </w:t>
      </w:r>
      <w:proofErr w:type="spellStart"/>
      <w:r w:rsidRPr="00292532">
        <w:rPr>
          <w:rFonts w:ascii="Arial" w:eastAsia="Calibri" w:hAnsi="Arial" w:cs="Arial"/>
          <w:color w:val="000000"/>
          <w:sz w:val="20"/>
          <w:szCs w:val="20"/>
          <w:shd w:val="clear" w:color="auto" w:fill="FFFFFF"/>
          <w:lang w:val="pt-PT"/>
        </w:rPr>
        <w:t>infecções</w:t>
      </w:r>
      <w:proofErr w:type="spellEnd"/>
      <w:r w:rsidRPr="00292532">
        <w:rPr>
          <w:rFonts w:ascii="Arial" w:eastAsia="Calibri" w:hAnsi="Arial" w:cs="Arial"/>
          <w:color w:val="000000"/>
          <w:sz w:val="20"/>
          <w:szCs w:val="20"/>
          <w:shd w:val="clear" w:color="auto" w:fill="FFFFFF"/>
          <w:lang w:val="pt-PT"/>
        </w:rPr>
        <w:t xml:space="preserve"> </w:t>
      </w:r>
      <w:proofErr w:type="spellStart"/>
      <w:r w:rsidRPr="00292532">
        <w:rPr>
          <w:rFonts w:ascii="Arial" w:eastAsia="Calibri" w:hAnsi="Arial" w:cs="Arial"/>
          <w:color w:val="000000"/>
          <w:sz w:val="20"/>
          <w:szCs w:val="20"/>
          <w:shd w:val="clear" w:color="auto" w:fill="FFFFFF"/>
          <w:lang w:val="pt-PT"/>
        </w:rPr>
        <w:t>afectam</w:t>
      </w:r>
      <w:proofErr w:type="spellEnd"/>
      <w:r w:rsidRPr="00292532">
        <w:rPr>
          <w:rFonts w:ascii="Arial" w:eastAsia="Calibri" w:hAnsi="Arial" w:cs="Arial"/>
          <w:color w:val="000000"/>
          <w:sz w:val="20"/>
          <w:szCs w:val="20"/>
          <w:shd w:val="clear" w:color="auto" w:fill="FFFFFF"/>
          <w:lang w:val="pt-PT"/>
        </w:rPr>
        <w:t xml:space="preserve"> o sistema respiratório, podendo ser semelhantes às constipações comuns ou evoluir para uma doença mais grave, como a pneumonia. </w:t>
      </w:r>
    </w:p>
    <w:p w14:paraId="1CCDF566" w14:textId="77777777" w:rsidR="00B31AE2" w:rsidRPr="00292532" w:rsidRDefault="00B31AE2" w:rsidP="00B31AE2">
      <w:pPr>
        <w:spacing w:before="0"/>
        <w:rPr>
          <w:rFonts w:ascii="Arial" w:eastAsia="Calibri" w:hAnsi="Arial" w:cs="Arial"/>
          <w:b/>
          <w:color w:val="000000"/>
          <w:sz w:val="20"/>
          <w:szCs w:val="20"/>
          <w:shd w:val="clear" w:color="auto" w:fill="FFFFFF"/>
          <w:lang w:val="pt-PT"/>
        </w:rPr>
      </w:pPr>
      <w:r w:rsidRPr="00292532">
        <w:rPr>
          <w:rFonts w:ascii="Arial" w:eastAsia="Calibri" w:hAnsi="Arial" w:cs="Arial"/>
          <w:b/>
          <w:color w:val="000000"/>
          <w:sz w:val="20"/>
          <w:szCs w:val="20"/>
          <w:shd w:val="clear" w:color="auto" w:fill="FFFFFF"/>
          <w:lang w:val="pt-PT"/>
        </w:rPr>
        <w:t>Como se pode transmite o COVID-19?</w:t>
      </w:r>
    </w:p>
    <w:p w14:paraId="244C191B" w14:textId="77777777" w:rsidR="00B31AE2" w:rsidRPr="00292532" w:rsidRDefault="00B31AE2" w:rsidP="00B31AE2">
      <w:pPr>
        <w:spacing w:before="0"/>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shd w:val="clear" w:color="auto" w:fill="FFFFFF"/>
          <w:lang w:val="pt-PT"/>
        </w:rPr>
        <w:t>A transmissão da COVID-19 pode ser:</w:t>
      </w:r>
    </w:p>
    <w:p w14:paraId="166BEC7D" w14:textId="77777777" w:rsidR="00B31AE2" w:rsidRPr="00292532" w:rsidRDefault="00B31AE2" w:rsidP="00AE14AE">
      <w:pPr>
        <w:numPr>
          <w:ilvl w:val="0"/>
          <w:numId w:val="152"/>
        </w:numPr>
        <w:spacing w:before="0" w:after="200" w:line="259" w:lineRule="auto"/>
        <w:jc w:val="left"/>
        <w:rPr>
          <w:rFonts w:ascii="Arial" w:eastAsia="Calibri" w:hAnsi="Arial" w:cs="Arial"/>
          <w:color w:val="000000"/>
          <w:sz w:val="20"/>
          <w:szCs w:val="20"/>
          <w:shd w:val="clear" w:color="auto" w:fill="FFFFFF"/>
          <w:lang w:val="pt-PT"/>
        </w:rPr>
      </w:pPr>
      <w:proofErr w:type="spellStart"/>
      <w:r w:rsidRPr="00292532">
        <w:rPr>
          <w:rFonts w:ascii="Arial" w:eastAsia="Calibri" w:hAnsi="Arial" w:cs="Arial"/>
          <w:b/>
          <w:color w:val="000000"/>
          <w:sz w:val="20"/>
          <w:szCs w:val="20"/>
          <w:shd w:val="clear" w:color="auto" w:fill="FFFFFF"/>
          <w:lang w:val="pt-PT"/>
        </w:rPr>
        <w:t>Directa</w:t>
      </w:r>
      <w:proofErr w:type="spellEnd"/>
      <w:r w:rsidRPr="00292532">
        <w:rPr>
          <w:rFonts w:ascii="Arial" w:eastAsia="Calibri" w:hAnsi="Arial" w:cs="Arial"/>
          <w:b/>
          <w:color w:val="000000"/>
          <w:sz w:val="20"/>
          <w:szCs w:val="20"/>
          <w:shd w:val="clear" w:color="auto" w:fill="FFFFFF"/>
          <w:lang w:val="pt-PT"/>
        </w:rPr>
        <w:t>:</w:t>
      </w:r>
      <w:r w:rsidRPr="00292532">
        <w:rPr>
          <w:rFonts w:ascii="Arial" w:eastAsia="Calibri" w:hAnsi="Arial" w:cs="Arial"/>
          <w:color w:val="000000"/>
          <w:sz w:val="20"/>
          <w:szCs w:val="20"/>
          <w:shd w:val="clear" w:color="auto" w:fill="FFFFFF"/>
          <w:lang w:val="pt-PT"/>
        </w:rPr>
        <w:t xml:space="preserve"> transmissão pessoa-a-pessoa por contacto próximo com pessoas </w:t>
      </w:r>
      <w:proofErr w:type="spellStart"/>
      <w:r w:rsidRPr="00292532">
        <w:rPr>
          <w:rFonts w:ascii="Arial" w:eastAsia="Calibri" w:hAnsi="Arial" w:cs="Arial"/>
          <w:color w:val="000000"/>
          <w:sz w:val="20"/>
          <w:szCs w:val="20"/>
          <w:shd w:val="clear" w:color="auto" w:fill="FFFFFF"/>
          <w:lang w:val="pt-PT"/>
        </w:rPr>
        <w:t>infectadas</w:t>
      </w:r>
      <w:proofErr w:type="spellEnd"/>
      <w:r w:rsidRPr="00292532">
        <w:rPr>
          <w:rFonts w:ascii="Arial" w:eastAsia="Calibri" w:hAnsi="Arial" w:cs="Arial"/>
          <w:color w:val="000000"/>
          <w:sz w:val="20"/>
          <w:szCs w:val="20"/>
          <w:shd w:val="clear" w:color="auto" w:fill="FFFFFF"/>
          <w:lang w:val="pt-PT"/>
        </w:rPr>
        <w:t xml:space="preserve"> pelo vírus. A transmissão ocorre principalmente através de gotículas (visíveis e invisíveis) que contêm vírus que são libertadas pelo nariz ou boca de pessoas </w:t>
      </w:r>
      <w:proofErr w:type="spellStart"/>
      <w:r w:rsidRPr="00292532">
        <w:rPr>
          <w:rFonts w:ascii="Arial" w:eastAsia="Calibri" w:hAnsi="Arial" w:cs="Arial"/>
          <w:color w:val="000000"/>
          <w:sz w:val="20"/>
          <w:szCs w:val="20"/>
          <w:shd w:val="clear" w:color="auto" w:fill="FFFFFF"/>
          <w:lang w:val="pt-PT"/>
        </w:rPr>
        <w:t>infectadas</w:t>
      </w:r>
      <w:proofErr w:type="spellEnd"/>
      <w:r w:rsidRPr="00292532">
        <w:rPr>
          <w:rFonts w:ascii="Arial" w:eastAsia="Calibri" w:hAnsi="Arial" w:cs="Arial"/>
          <w:color w:val="000000"/>
          <w:sz w:val="20"/>
          <w:szCs w:val="20"/>
          <w:shd w:val="clear" w:color="auto" w:fill="FFFFFF"/>
          <w:lang w:val="pt-PT"/>
        </w:rPr>
        <w:t xml:space="preserve">, quando tossem ou espirram, e que podem atingir </w:t>
      </w:r>
      <w:proofErr w:type="spellStart"/>
      <w:r w:rsidRPr="00292532">
        <w:rPr>
          <w:rFonts w:ascii="Arial" w:eastAsia="Calibri" w:hAnsi="Arial" w:cs="Arial"/>
          <w:color w:val="000000"/>
          <w:sz w:val="20"/>
          <w:szCs w:val="20"/>
          <w:shd w:val="clear" w:color="auto" w:fill="FFFFFF"/>
          <w:lang w:val="pt-PT"/>
        </w:rPr>
        <w:t>directamente</w:t>
      </w:r>
      <w:proofErr w:type="spellEnd"/>
      <w:r w:rsidRPr="00292532">
        <w:rPr>
          <w:rFonts w:ascii="Arial" w:eastAsia="Calibri" w:hAnsi="Arial" w:cs="Arial"/>
          <w:color w:val="000000"/>
          <w:sz w:val="20"/>
          <w:szCs w:val="20"/>
          <w:shd w:val="clear" w:color="auto" w:fill="FFFFFF"/>
          <w:lang w:val="pt-PT"/>
        </w:rPr>
        <w:t xml:space="preserve"> a boca, nariz e olhos de quem estiver próximo.</w:t>
      </w:r>
    </w:p>
    <w:p w14:paraId="455C3C6B" w14:textId="77777777" w:rsidR="00B31AE2" w:rsidRPr="00292532" w:rsidRDefault="00B31AE2" w:rsidP="00AE14AE">
      <w:pPr>
        <w:numPr>
          <w:ilvl w:val="0"/>
          <w:numId w:val="152"/>
        </w:numPr>
        <w:spacing w:before="0" w:after="200" w:line="259" w:lineRule="auto"/>
        <w:jc w:val="left"/>
        <w:rPr>
          <w:rFonts w:ascii="Arial" w:eastAsia="Calibri" w:hAnsi="Arial" w:cs="Arial"/>
          <w:color w:val="000000"/>
          <w:sz w:val="20"/>
          <w:szCs w:val="20"/>
          <w:shd w:val="clear" w:color="auto" w:fill="FFFFFF"/>
          <w:lang w:val="pt-PT"/>
        </w:rPr>
      </w:pPr>
      <w:proofErr w:type="spellStart"/>
      <w:r w:rsidRPr="00292532">
        <w:rPr>
          <w:rFonts w:ascii="Arial" w:eastAsia="Calibri" w:hAnsi="Arial" w:cs="Arial"/>
          <w:b/>
          <w:color w:val="000000"/>
          <w:sz w:val="20"/>
          <w:szCs w:val="20"/>
          <w:shd w:val="clear" w:color="auto" w:fill="FFFFFF"/>
          <w:lang w:val="pt-PT"/>
        </w:rPr>
        <w:t>Indirecta</w:t>
      </w:r>
      <w:proofErr w:type="spellEnd"/>
      <w:r w:rsidRPr="00292532">
        <w:rPr>
          <w:rFonts w:ascii="Arial" w:eastAsia="Calibri" w:hAnsi="Arial" w:cs="Arial"/>
          <w:color w:val="000000"/>
          <w:sz w:val="20"/>
          <w:szCs w:val="20"/>
          <w:shd w:val="clear" w:color="auto" w:fill="FFFFFF"/>
          <w:lang w:val="pt-PT"/>
        </w:rPr>
        <w:t xml:space="preserve">: através do contacto com superfícies e </w:t>
      </w:r>
      <w:proofErr w:type="spellStart"/>
      <w:r w:rsidRPr="00292532">
        <w:rPr>
          <w:rFonts w:ascii="Arial" w:eastAsia="Calibri" w:hAnsi="Arial" w:cs="Arial"/>
          <w:color w:val="000000"/>
          <w:sz w:val="20"/>
          <w:szCs w:val="20"/>
          <w:shd w:val="clear" w:color="auto" w:fill="FFFFFF"/>
          <w:lang w:val="pt-PT"/>
        </w:rPr>
        <w:t>objectos</w:t>
      </w:r>
      <w:proofErr w:type="spellEnd"/>
      <w:r w:rsidRPr="00292532">
        <w:rPr>
          <w:rFonts w:ascii="Arial" w:eastAsia="Calibri" w:hAnsi="Arial" w:cs="Arial"/>
          <w:color w:val="000000"/>
          <w:sz w:val="20"/>
          <w:szCs w:val="20"/>
          <w:shd w:val="clear" w:color="auto" w:fill="FFFFFF"/>
          <w:lang w:val="pt-PT"/>
        </w:rPr>
        <w:t xml:space="preserve"> contaminados. As gotículas libertadas </w:t>
      </w:r>
      <w:proofErr w:type="gramStart"/>
      <w:r w:rsidRPr="00292532">
        <w:rPr>
          <w:rFonts w:ascii="Arial" w:eastAsia="Calibri" w:hAnsi="Arial" w:cs="Arial"/>
          <w:color w:val="000000"/>
          <w:sz w:val="20"/>
          <w:szCs w:val="20"/>
          <w:shd w:val="clear" w:color="auto" w:fill="FFFFFF"/>
          <w:lang w:val="pt-PT"/>
        </w:rPr>
        <w:t>pela pessoas</w:t>
      </w:r>
      <w:proofErr w:type="gramEnd"/>
      <w:r w:rsidRPr="00292532">
        <w:rPr>
          <w:rFonts w:ascii="Arial" w:eastAsia="Calibri" w:hAnsi="Arial" w:cs="Arial"/>
          <w:color w:val="000000"/>
          <w:sz w:val="20"/>
          <w:szCs w:val="20"/>
          <w:shd w:val="clear" w:color="auto" w:fill="FFFFFF"/>
          <w:lang w:val="pt-PT"/>
        </w:rPr>
        <w:t xml:space="preserve"> </w:t>
      </w:r>
      <w:proofErr w:type="spellStart"/>
      <w:r w:rsidRPr="00292532">
        <w:rPr>
          <w:rFonts w:ascii="Arial" w:eastAsia="Calibri" w:hAnsi="Arial" w:cs="Arial"/>
          <w:color w:val="000000"/>
          <w:sz w:val="20"/>
          <w:szCs w:val="20"/>
          <w:shd w:val="clear" w:color="auto" w:fill="FFFFFF"/>
          <w:lang w:val="pt-PT"/>
        </w:rPr>
        <w:t>infectadas</w:t>
      </w:r>
      <w:proofErr w:type="spellEnd"/>
      <w:r w:rsidRPr="00292532">
        <w:rPr>
          <w:rFonts w:ascii="Arial" w:eastAsia="Calibri" w:hAnsi="Arial" w:cs="Arial"/>
          <w:color w:val="000000"/>
          <w:sz w:val="20"/>
          <w:szCs w:val="20"/>
          <w:shd w:val="clear" w:color="auto" w:fill="FFFFFF"/>
          <w:lang w:val="pt-PT"/>
        </w:rPr>
        <w:t xml:space="preserve"> podem depositar-se nos </w:t>
      </w:r>
      <w:proofErr w:type="spellStart"/>
      <w:r w:rsidRPr="00292532">
        <w:rPr>
          <w:rFonts w:ascii="Arial" w:eastAsia="Calibri" w:hAnsi="Arial" w:cs="Arial"/>
          <w:color w:val="000000"/>
          <w:sz w:val="20"/>
          <w:szCs w:val="20"/>
          <w:shd w:val="clear" w:color="auto" w:fill="FFFFFF"/>
          <w:lang w:val="pt-PT"/>
        </w:rPr>
        <w:t>objectos</w:t>
      </w:r>
      <w:proofErr w:type="spellEnd"/>
      <w:r w:rsidRPr="00292532">
        <w:rPr>
          <w:rFonts w:ascii="Arial" w:eastAsia="Calibri" w:hAnsi="Arial" w:cs="Arial"/>
          <w:color w:val="000000"/>
          <w:sz w:val="20"/>
          <w:szCs w:val="20"/>
          <w:shd w:val="clear" w:color="auto" w:fill="FFFFFF"/>
          <w:lang w:val="pt-PT"/>
        </w:rPr>
        <w:t xml:space="preserve"> ou superfícies que rodeiam a pessoa </w:t>
      </w:r>
      <w:proofErr w:type="spellStart"/>
      <w:r w:rsidRPr="00292532">
        <w:rPr>
          <w:rFonts w:ascii="Arial" w:eastAsia="Calibri" w:hAnsi="Arial" w:cs="Arial"/>
          <w:color w:val="000000"/>
          <w:sz w:val="20"/>
          <w:szCs w:val="20"/>
          <w:shd w:val="clear" w:color="auto" w:fill="FFFFFF"/>
          <w:lang w:val="pt-PT"/>
        </w:rPr>
        <w:t>infectada</w:t>
      </w:r>
      <w:proofErr w:type="spellEnd"/>
      <w:r w:rsidRPr="00292532">
        <w:rPr>
          <w:rFonts w:ascii="Arial" w:eastAsia="Calibri" w:hAnsi="Arial" w:cs="Arial"/>
          <w:color w:val="000000"/>
          <w:sz w:val="20"/>
          <w:szCs w:val="20"/>
          <w:shd w:val="clear" w:color="auto" w:fill="FFFFFF"/>
          <w:lang w:val="pt-PT"/>
        </w:rPr>
        <w:t xml:space="preserve"> e, desta forma, </w:t>
      </w:r>
      <w:proofErr w:type="spellStart"/>
      <w:r w:rsidRPr="00292532">
        <w:rPr>
          <w:rFonts w:ascii="Arial" w:eastAsia="Calibri" w:hAnsi="Arial" w:cs="Arial"/>
          <w:color w:val="000000"/>
          <w:sz w:val="20"/>
          <w:szCs w:val="20"/>
          <w:shd w:val="clear" w:color="auto" w:fill="FFFFFF"/>
          <w:lang w:val="pt-PT"/>
        </w:rPr>
        <w:t>infectar</w:t>
      </w:r>
      <w:proofErr w:type="spellEnd"/>
      <w:r w:rsidRPr="00292532">
        <w:rPr>
          <w:rFonts w:ascii="Arial" w:eastAsia="Calibri" w:hAnsi="Arial" w:cs="Arial"/>
          <w:color w:val="000000"/>
          <w:sz w:val="20"/>
          <w:szCs w:val="20"/>
          <w:shd w:val="clear" w:color="auto" w:fill="FFFFFF"/>
          <w:lang w:val="pt-PT"/>
        </w:rPr>
        <w:t xml:space="preserve"> outras pessoas quando tocam nestes </w:t>
      </w:r>
      <w:proofErr w:type="spellStart"/>
      <w:r w:rsidRPr="00292532">
        <w:rPr>
          <w:rFonts w:ascii="Arial" w:eastAsia="Calibri" w:hAnsi="Arial" w:cs="Arial"/>
          <w:color w:val="000000"/>
          <w:sz w:val="20"/>
          <w:szCs w:val="20"/>
          <w:shd w:val="clear" w:color="auto" w:fill="FFFFFF"/>
          <w:lang w:val="pt-PT"/>
        </w:rPr>
        <w:t>objectos</w:t>
      </w:r>
      <w:proofErr w:type="spellEnd"/>
      <w:r w:rsidRPr="00292532">
        <w:rPr>
          <w:rFonts w:ascii="Arial" w:eastAsia="Calibri" w:hAnsi="Arial" w:cs="Arial"/>
          <w:color w:val="000000"/>
          <w:sz w:val="20"/>
          <w:szCs w:val="20"/>
          <w:shd w:val="clear" w:color="auto" w:fill="FFFFFF"/>
          <w:lang w:val="pt-PT"/>
        </w:rPr>
        <w:t xml:space="preserve"> ou superfícies e depois tocam nos seus olhos, nariz ou boca. O vírus pode sobreviver em superfícies e </w:t>
      </w:r>
      <w:proofErr w:type="spellStart"/>
      <w:r w:rsidRPr="00292532">
        <w:rPr>
          <w:rFonts w:ascii="Arial" w:eastAsia="Calibri" w:hAnsi="Arial" w:cs="Arial"/>
          <w:color w:val="000000"/>
          <w:sz w:val="20"/>
          <w:szCs w:val="20"/>
          <w:shd w:val="clear" w:color="auto" w:fill="FFFFFF"/>
          <w:lang w:val="pt-PT"/>
        </w:rPr>
        <w:t>objectos</w:t>
      </w:r>
      <w:proofErr w:type="spellEnd"/>
      <w:r w:rsidRPr="00292532">
        <w:rPr>
          <w:rFonts w:ascii="Arial" w:eastAsia="Calibri" w:hAnsi="Arial" w:cs="Arial"/>
          <w:color w:val="000000"/>
          <w:sz w:val="20"/>
          <w:szCs w:val="20"/>
          <w:shd w:val="clear" w:color="auto" w:fill="FFFFFF"/>
          <w:lang w:val="pt-PT"/>
        </w:rPr>
        <w:t xml:space="preserve"> durante horas ou até dias, se estas superfícies não forem limpas e </w:t>
      </w:r>
      <w:proofErr w:type="spellStart"/>
      <w:r w:rsidRPr="00292532">
        <w:rPr>
          <w:rFonts w:ascii="Arial" w:eastAsia="Calibri" w:hAnsi="Arial" w:cs="Arial"/>
          <w:color w:val="000000"/>
          <w:sz w:val="20"/>
          <w:szCs w:val="20"/>
          <w:shd w:val="clear" w:color="auto" w:fill="FFFFFF"/>
          <w:lang w:val="pt-PT"/>
        </w:rPr>
        <w:t>desinfectadas</w:t>
      </w:r>
      <w:proofErr w:type="spellEnd"/>
      <w:r w:rsidRPr="00292532">
        <w:rPr>
          <w:rFonts w:ascii="Arial" w:eastAsia="Calibri" w:hAnsi="Arial" w:cs="Arial"/>
          <w:color w:val="000000"/>
          <w:sz w:val="20"/>
          <w:szCs w:val="20"/>
          <w:shd w:val="clear" w:color="auto" w:fill="FFFFFF"/>
          <w:lang w:val="pt-PT"/>
        </w:rPr>
        <w:t xml:space="preserve"> com frequência.</w:t>
      </w:r>
    </w:p>
    <w:p w14:paraId="7E86B9DF" w14:textId="77777777" w:rsidR="00B31AE2" w:rsidRPr="00292532" w:rsidRDefault="00B31AE2" w:rsidP="00B31AE2">
      <w:pPr>
        <w:pBdr>
          <w:top w:val="single" w:sz="4" w:space="1" w:color="auto"/>
          <w:left w:val="single" w:sz="4" w:space="4" w:color="auto"/>
          <w:bottom w:val="single" w:sz="4" w:space="1" w:color="auto"/>
          <w:right w:val="single" w:sz="4" w:space="4" w:color="auto"/>
          <w:between w:val="single" w:sz="4" w:space="1" w:color="auto"/>
          <w:bar w:val="single" w:sz="4" w:color="auto"/>
        </w:pBdr>
        <w:spacing w:before="0"/>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shd w:val="clear" w:color="auto" w:fill="FFFFFF"/>
          <w:lang w:val="pt-PT"/>
        </w:rPr>
        <w:t>Lembre-se que pessoas idosas, e pessoas com outras doenças como pressão arterial alta (hipertensos), doenças cardiovasculares e diabetes têm maior risco de desenvolver doença de forma grave comparativamente às outras pessoas.</w:t>
      </w:r>
    </w:p>
    <w:p w14:paraId="11959A86" w14:textId="77777777" w:rsidR="00B31AE2" w:rsidRPr="00292532" w:rsidRDefault="00B31AE2" w:rsidP="00B31AE2">
      <w:pPr>
        <w:spacing w:before="0" w:after="0"/>
        <w:ind w:left="720"/>
        <w:rPr>
          <w:rFonts w:ascii="Arial" w:eastAsia="Calibri" w:hAnsi="Arial" w:cs="Arial"/>
          <w:color w:val="000000"/>
          <w:sz w:val="20"/>
          <w:szCs w:val="20"/>
          <w:shd w:val="clear" w:color="auto" w:fill="FFFFFF"/>
          <w:lang w:val="pt-PT"/>
        </w:rPr>
      </w:pPr>
    </w:p>
    <w:p w14:paraId="3355B98F" w14:textId="77777777" w:rsidR="00B31AE2" w:rsidRPr="00292532" w:rsidRDefault="00B31AE2" w:rsidP="00B31AE2">
      <w:pPr>
        <w:spacing w:before="0"/>
        <w:rPr>
          <w:rFonts w:ascii="Arial" w:eastAsia="Calibri" w:hAnsi="Arial" w:cs="Arial"/>
          <w:color w:val="000000"/>
          <w:sz w:val="20"/>
          <w:szCs w:val="20"/>
          <w:shd w:val="clear" w:color="auto" w:fill="FFFFFF"/>
          <w:lang w:val="pt-PT"/>
        </w:rPr>
      </w:pPr>
      <w:r w:rsidRPr="00292532">
        <w:rPr>
          <w:rFonts w:ascii="Arial" w:eastAsia="Calibri" w:hAnsi="Arial" w:cs="Arial"/>
          <w:b/>
          <w:color w:val="000000"/>
          <w:sz w:val="20"/>
          <w:szCs w:val="20"/>
          <w:shd w:val="clear" w:color="auto" w:fill="FFFFFF"/>
          <w:lang w:val="pt-PT"/>
        </w:rPr>
        <w:t>Qual é o período de incubação?</w:t>
      </w:r>
      <w:r w:rsidRPr="00292532">
        <w:rPr>
          <w:rFonts w:ascii="Arial" w:eastAsia="Calibri" w:hAnsi="Arial" w:cs="Arial"/>
          <w:color w:val="000000"/>
          <w:sz w:val="20"/>
          <w:szCs w:val="20"/>
          <w:shd w:val="clear" w:color="auto" w:fill="FFFFFF"/>
          <w:lang w:val="pt-PT"/>
        </w:rPr>
        <w:t xml:space="preserve"> </w:t>
      </w:r>
    </w:p>
    <w:p w14:paraId="7ABC633C" w14:textId="77777777" w:rsidR="00B31AE2" w:rsidRPr="00292532" w:rsidRDefault="00B31AE2" w:rsidP="00AE14AE">
      <w:pPr>
        <w:numPr>
          <w:ilvl w:val="0"/>
          <w:numId w:val="152"/>
        </w:numPr>
        <w:spacing w:before="0" w:after="200" w:line="259" w:lineRule="auto"/>
        <w:jc w:val="left"/>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shd w:val="clear" w:color="auto" w:fill="FFFFFF"/>
          <w:lang w:val="pt-PT"/>
        </w:rPr>
        <w:t>O período de incubação (tempo desde a exposição ao vírus até ao aparecimento de sintomas) é de 2 a 14 dias.</w:t>
      </w:r>
    </w:p>
    <w:p w14:paraId="2837EF28" w14:textId="77777777" w:rsidR="00B31AE2" w:rsidRPr="00292532" w:rsidRDefault="00B31AE2" w:rsidP="00B31AE2">
      <w:pPr>
        <w:spacing w:before="0"/>
        <w:rPr>
          <w:rFonts w:ascii="Arial" w:eastAsia="Calibri" w:hAnsi="Arial" w:cs="Arial"/>
          <w:b/>
          <w:color w:val="000000"/>
          <w:sz w:val="20"/>
          <w:szCs w:val="20"/>
          <w:shd w:val="clear" w:color="auto" w:fill="FFFFFF"/>
          <w:lang w:val="pt-PT"/>
        </w:rPr>
      </w:pPr>
      <w:r w:rsidRPr="00292532">
        <w:rPr>
          <w:rFonts w:ascii="Arial" w:eastAsia="Calibri" w:hAnsi="Arial" w:cs="Arial"/>
          <w:b/>
          <w:color w:val="000000"/>
          <w:sz w:val="20"/>
          <w:szCs w:val="20"/>
          <w:shd w:val="clear" w:color="auto" w:fill="FFFFFF"/>
          <w:lang w:val="pt-PT"/>
        </w:rPr>
        <w:t xml:space="preserve">Quais são os sintomas da pessoa </w:t>
      </w:r>
      <w:proofErr w:type="spellStart"/>
      <w:r w:rsidRPr="00292532">
        <w:rPr>
          <w:rFonts w:ascii="Arial" w:eastAsia="Calibri" w:hAnsi="Arial" w:cs="Arial"/>
          <w:b/>
          <w:color w:val="000000"/>
          <w:sz w:val="20"/>
          <w:szCs w:val="20"/>
          <w:shd w:val="clear" w:color="auto" w:fill="FFFFFF"/>
          <w:lang w:val="pt-PT"/>
        </w:rPr>
        <w:t>infectada</w:t>
      </w:r>
      <w:proofErr w:type="spellEnd"/>
      <w:r w:rsidRPr="00292532">
        <w:rPr>
          <w:rFonts w:ascii="Arial" w:eastAsia="Calibri" w:hAnsi="Arial" w:cs="Arial"/>
          <w:b/>
          <w:color w:val="000000"/>
          <w:sz w:val="20"/>
          <w:szCs w:val="20"/>
          <w:shd w:val="clear" w:color="auto" w:fill="FFFFFF"/>
          <w:lang w:val="pt-PT"/>
        </w:rPr>
        <w:t>?</w:t>
      </w:r>
    </w:p>
    <w:p w14:paraId="04DE9CD7" w14:textId="77777777" w:rsidR="00B31AE2" w:rsidRPr="00292532" w:rsidRDefault="00B31AE2" w:rsidP="00AE14AE">
      <w:pPr>
        <w:numPr>
          <w:ilvl w:val="0"/>
          <w:numId w:val="152"/>
        </w:numPr>
        <w:spacing w:before="0" w:after="0" w:line="259" w:lineRule="auto"/>
        <w:jc w:val="left"/>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shd w:val="clear" w:color="auto" w:fill="FFFFFF"/>
          <w:lang w:val="pt-PT"/>
        </w:rPr>
        <w:t>Febre acima de 38 °C.</w:t>
      </w:r>
    </w:p>
    <w:p w14:paraId="6B338645" w14:textId="77777777" w:rsidR="00B31AE2" w:rsidRPr="00292532" w:rsidRDefault="00B31AE2" w:rsidP="00AE14AE">
      <w:pPr>
        <w:numPr>
          <w:ilvl w:val="0"/>
          <w:numId w:val="152"/>
        </w:numPr>
        <w:spacing w:before="0" w:after="0" w:line="259" w:lineRule="auto"/>
        <w:jc w:val="left"/>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shd w:val="clear" w:color="auto" w:fill="FFFFFF"/>
          <w:lang w:val="pt-PT"/>
        </w:rPr>
        <w:t>Tosse seca.</w:t>
      </w:r>
    </w:p>
    <w:p w14:paraId="32B2FEAD" w14:textId="77777777" w:rsidR="00B31AE2" w:rsidRPr="00292532" w:rsidRDefault="00B31AE2" w:rsidP="00AE14AE">
      <w:pPr>
        <w:numPr>
          <w:ilvl w:val="0"/>
          <w:numId w:val="152"/>
        </w:numPr>
        <w:spacing w:before="0" w:after="0" w:line="259" w:lineRule="auto"/>
        <w:jc w:val="left"/>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shd w:val="clear" w:color="auto" w:fill="FFFFFF"/>
          <w:lang w:val="pt-PT"/>
        </w:rPr>
        <w:t>Cansaço e dores musculares</w:t>
      </w:r>
    </w:p>
    <w:p w14:paraId="17E10532" w14:textId="77777777" w:rsidR="00B31AE2" w:rsidRPr="00292532" w:rsidRDefault="00B31AE2" w:rsidP="00AE14AE">
      <w:pPr>
        <w:numPr>
          <w:ilvl w:val="0"/>
          <w:numId w:val="152"/>
        </w:numPr>
        <w:spacing w:before="0" w:after="0" w:line="259" w:lineRule="auto"/>
        <w:jc w:val="left"/>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shd w:val="clear" w:color="auto" w:fill="FFFFFF"/>
          <w:lang w:val="pt-PT"/>
        </w:rPr>
        <w:t>Dor da garganta</w:t>
      </w:r>
    </w:p>
    <w:p w14:paraId="2E911A8B" w14:textId="77777777" w:rsidR="00B31AE2" w:rsidRPr="00292532" w:rsidRDefault="00B31AE2" w:rsidP="00AE14AE">
      <w:pPr>
        <w:numPr>
          <w:ilvl w:val="0"/>
          <w:numId w:val="152"/>
        </w:numPr>
        <w:spacing w:before="0" w:after="0" w:line="259" w:lineRule="auto"/>
        <w:jc w:val="left"/>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shd w:val="clear" w:color="auto" w:fill="FFFFFF"/>
          <w:lang w:val="pt-PT"/>
        </w:rPr>
        <w:t>Dificuldade para respirar (dor no peito).</w:t>
      </w:r>
    </w:p>
    <w:p w14:paraId="0FB41600" w14:textId="77777777" w:rsidR="00B31AE2" w:rsidRPr="00292532" w:rsidRDefault="00B31AE2" w:rsidP="00AE14AE">
      <w:pPr>
        <w:numPr>
          <w:ilvl w:val="0"/>
          <w:numId w:val="152"/>
        </w:numPr>
        <w:spacing w:before="0" w:after="0" w:line="259" w:lineRule="auto"/>
        <w:jc w:val="left"/>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shd w:val="clear" w:color="auto" w:fill="FFFFFF"/>
          <w:lang w:val="pt-PT"/>
        </w:rPr>
        <w:t>Sintomas iguais a constipação comum (mal-estar geral, dor de cabeça, náuseas, dores musculares, diarreia, não sentir o cheiro e sabor da comida, entre outros sintomas).</w:t>
      </w:r>
    </w:p>
    <w:p w14:paraId="0ABCA6C4" w14:textId="77777777" w:rsidR="00B31AE2" w:rsidRPr="00292532" w:rsidRDefault="00B31AE2" w:rsidP="00AE14AE">
      <w:pPr>
        <w:numPr>
          <w:ilvl w:val="0"/>
          <w:numId w:val="152"/>
        </w:numPr>
        <w:spacing w:before="0" w:after="0" w:line="259" w:lineRule="auto"/>
        <w:jc w:val="left"/>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shd w:val="clear" w:color="auto" w:fill="FFFFFF"/>
          <w:lang w:val="pt-PT"/>
        </w:rPr>
        <w:lastRenderedPageBreak/>
        <w:t xml:space="preserve">Recentemente, foi também verificada a perda do </w:t>
      </w:r>
      <w:proofErr w:type="spellStart"/>
      <w:r w:rsidRPr="00292532">
        <w:rPr>
          <w:rFonts w:ascii="Arial" w:eastAsia="Calibri" w:hAnsi="Arial" w:cs="Arial"/>
          <w:color w:val="000000"/>
          <w:sz w:val="20"/>
          <w:szCs w:val="20"/>
          <w:shd w:val="clear" w:color="auto" w:fill="FFFFFF"/>
          <w:lang w:val="pt-PT"/>
        </w:rPr>
        <w:t>olfacto</w:t>
      </w:r>
      <w:proofErr w:type="spellEnd"/>
      <w:r w:rsidRPr="00292532">
        <w:rPr>
          <w:rFonts w:ascii="Arial" w:eastAsia="Calibri" w:hAnsi="Arial" w:cs="Arial"/>
          <w:color w:val="000000"/>
          <w:sz w:val="20"/>
          <w:szCs w:val="20"/>
          <w:shd w:val="clear" w:color="auto" w:fill="FFFFFF"/>
          <w:lang w:val="pt-PT"/>
        </w:rPr>
        <w:t xml:space="preserve"> e em alguns casos a perda do paladar. </w:t>
      </w:r>
    </w:p>
    <w:p w14:paraId="0256597D" w14:textId="77777777" w:rsidR="00B31AE2" w:rsidRPr="00292532" w:rsidRDefault="00B31AE2" w:rsidP="00B31AE2">
      <w:pPr>
        <w:spacing w:before="0" w:after="0"/>
        <w:rPr>
          <w:rFonts w:ascii="Arial" w:eastAsia="Calibri" w:hAnsi="Arial" w:cs="Arial"/>
          <w:color w:val="000000"/>
          <w:sz w:val="20"/>
          <w:szCs w:val="20"/>
          <w:shd w:val="clear" w:color="auto" w:fill="FFFFFF"/>
          <w:lang w:val="pt-PT"/>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24"/>
      </w:tblGrid>
      <w:tr w:rsidR="00B31AE2" w:rsidRPr="004E2EAC" w14:paraId="1E7135FE" w14:textId="77777777" w:rsidTr="00B31AE2">
        <w:tc>
          <w:tcPr>
            <w:tcW w:w="9500" w:type="dxa"/>
            <w:shd w:val="clear" w:color="auto" w:fill="auto"/>
          </w:tcPr>
          <w:p w14:paraId="45B3D14C" w14:textId="77777777" w:rsidR="00B31AE2" w:rsidRPr="00292532" w:rsidRDefault="00B31AE2" w:rsidP="00B31AE2">
            <w:pPr>
              <w:spacing w:before="0"/>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shd w:val="clear" w:color="auto" w:fill="FFFFFF"/>
                <w:lang w:val="pt-PT"/>
              </w:rPr>
              <w:t xml:space="preserve">Lembre-se que há pessoas assintomáticas padecendo de COVID-19, o que significa que existem pessoas </w:t>
            </w:r>
            <w:proofErr w:type="spellStart"/>
            <w:r w:rsidRPr="00292532">
              <w:rPr>
                <w:rFonts w:ascii="Arial" w:eastAsia="Calibri" w:hAnsi="Arial" w:cs="Arial"/>
                <w:color w:val="000000"/>
                <w:sz w:val="20"/>
                <w:szCs w:val="20"/>
                <w:shd w:val="clear" w:color="auto" w:fill="FFFFFF"/>
                <w:lang w:val="pt-PT"/>
              </w:rPr>
              <w:t>infectadas</w:t>
            </w:r>
            <w:proofErr w:type="spellEnd"/>
            <w:r w:rsidRPr="00292532">
              <w:rPr>
                <w:rFonts w:ascii="Arial" w:eastAsia="Calibri" w:hAnsi="Arial" w:cs="Arial"/>
                <w:color w:val="000000"/>
                <w:sz w:val="20"/>
                <w:szCs w:val="20"/>
                <w:shd w:val="clear" w:color="auto" w:fill="FFFFFF"/>
                <w:lang w:val="pt-PT"/>
              </w:rPr>
              <w:t xml:space="preserve"> que não apresentam os sintomas, mas podem transmitir o vírus a outros. </w:t>
            </w:r>
          </w:p>
        </w:tc>
      </w:tr>
    </w:tbl>
    <w:p w14:paraId="78311288" w14:textId="77777777" w:rsidR="00B31AE2" w:rsidRPr="00292532" w:rsidRDefault="00B31AE2" w:rsidP="00B31AE2">
      <w:pPr>
        <w:spacing w:before="0"/>
        <w:rPr>
          <w:rFonts w:ascii="Arial" w:eastAsia="Calibri" w:hAnsi="Arial" w:cs="Arial"/>
          <w:b/>
          <w:color w:val="000000"/>
          <w:sz w:val="20"/>
          <w:szCs w:val="20"/>
          <w:shd w:val="clear" w:color="auto" w:fill="FFFFFF"/>
          <w:lang w:val="pt-PT"/>
        </w:rPr>
      </w:pPr>
    </w:p>
    <w:p w14:paraId="0DA0F3A1" w14:textId="77777777" w:rsidR="00B31AE2" w:rsidRPr="00292532" w:rsidRDefault="00B31AE2" w:rsidP="00B31AE2">
      <w:pPr>
        <w:spacing w:before="0"/>
        <w:rPr>
          <w:rFonts w:ascii="Arial" w:eastAsia="Calibri" w:hAnsi="Arial" w:cs="Arial"/>
          <w:b/>
          <w:color w:val="4472C4"/>
          <w:sz w:val="20"/>
          <w:szCs w:val="20"/>
          <w:shd w:val="clear" w:color="auto" w:fill="FFFFFF"/>
          <w:lang w:val="pt-PT"/>
        </w:rPr>
      </w:pPr>
      <w:r w:rsidRPr="00292532">
        <w:rPr>
          <w:rFonts w:ascii="Arial" w:eastAsia="Calibri" w:hAnsi="Arial" w:cs="Arial"/>
          <w:b/>
          <w:color w:val="4472C4"/>
          <w:sz w:val="20"/>
          <w:szCs w:val="20"/>
          <w:shd w:val="clear" w:color="auto" w:fill="FFFFFF"/>
          <w:lang w:val="pt-PT"/>
        </w:rPr>
        <w:t>Como se prevenir?</w:t>
      </w:r>
    </w:p>
    <w:p w14:paraId="72AF23A7" w14:textId="77777777" w:rsidR="00B31AE2" w:rsidRPr="00292532" w:rsidRDefault="00B31AE2" w:rsidP="00AE14AE">
      <w:pPr>
        <w:numPr>
          <w:ilvl w:val="0"/>
          <w:numId w:val="151"/>
        </w:numPr>
        <w:autoSpaceDE w:val="0"/>
        <w:autoSpaceDN w:val="0"/>
        <w:adjustRightInd w:val="0"/>
        <w:spacing w:before="0" w:after="200" w:line="259" w:lineRule="auto"/>
        <w:contextualSpacing/>
        <w:jc w:val="left"/>
        <w:rPr>
          <w:rFonts w:ascii="Arial" w:eastAsia="Times New Roman" w:hAnsi="Arial" w:cs="Arial"/>
          <w:sz w:val="20"/>
          <w:szCs w:val="20"/>
          <w:lang w:val="pt-PT"/>
        </w:rPr>
      </w:pPr>
      <w:r w:rsidRPr="00292532">
        <w:rPr>
          <w:rFonts w:ascii="Arial" w:eastAsia="Times New Roman" w:hAnsi="Arial" w:cs="Arial"/>
          <w:sz w:val="20"/>
          <w:szCs w:val="20"/>
          <w:lang w:val="pt-PT"/>
        </w:rPr>
        <w:t xml:space="preserve">Uso obrigatório de máscara (tapando de forma </w:t>
      </w:r>
      <w:proofErr w:type="spellStart"/>
      <w:r w:rsidRPr="00292532">
        <w:rPr>
          <w:rFonts w:ascii="Arial" w:eastAsia="Times New Roman" w:hAnsi="Arial" w:cs="Arial"/>
          <w:sz w:val="20"/>
          <w:szCs w:val="20"/>
          <w:lang w:val="pt-PT"/>
        </w:rPr>
        <w:t>correcta</w:t>
      </w:r>
      <w:proofErr w:type="spellEnd"/>
      <w:r w:rsidRPr="00292532">
        <w:rPr>
          <w:rFonts w:ascii="Arial" w:eastAsia="Times New Roman" w:hAnsi="Arial" w:cs="Arial"/>
          <w:sz w:val="20"/>
          <w:szCs w:val="20"/>
          <w:lang w:val="pt-PT"/>
        </w:rPr>
        <w:t xml:space="preserve"> a boca e o nariz) quando em contacto com outras pessoas ou em ambientes de uso partilhado. A indicação da obrigatoriedade deve estar visível através de cartazes.</w:t>
      </w:r>
    </w:p>
    <w:p w14:paraId="43F7B867" w14:textId="77777777" w:rsidR="00B31AE2" w:rsidRPr="00292532" w:rsidRDefault="00B31AE2" w:rsidP="00AE14AE">
      <w:pPr>
        <w:numPr>
          <w:ilvl w:val="0"/>
          <w:numId w:val="151"/>
        </w:numPr>
        <w:autoSpaceDE w:val="0"/>
        <w:autoSpaceDN w:val="0"/>
        <w:adjustRightInd w:val="0"/>
        <w:spacing w:before="0" w:after="200" w:line="259" w:lineRule="auto"/>
        <w:contextualSpacing/>
        <w:jc w:val="left"/>
        <w:rPr>
          <w:rFonts w:ascii="Arial" w:eastAsia="Times New Roman" w:hAnsi="Arial" w:cs="Arial"/>
          <w:sz w:val="20"/>
          <w:szCs w:val="20"/>
          <w:lang w:val="pt-PT"/>
        </w:rPr>
      </w:pPr>
      <w:proofErr w:type="spellStart"/>
      <w:r w:rsidRPr="00292532">
        <w:rPr>
          <w:rFonts w:ascii="Arial" w:eastAsia="Times New Roman" w:hAnsi="Arial" w:cs="Arial"/>
          <w:sz w:val="20"/>
          <w:szCs w:val="20"/>
          <w:lang w:val="pt-PT"/>
        </w:rPr>
        <w:t>Desinfecção</w:t>
      </w:r>
      <w:proofErr w:type="spellEnd"/>
      <w:r w:rsidRPr="00292532">
        <w:rPr>
          <w:rFonts w:ascii="Arial" w:eastAsia="Times New Roman" w:hAnsi="Arial" w:cs="Arial"/>
          <w:sz w:val="20"/>
          <w:szCs w:val="20"/>
          <w:lang w:val="pt-PT"/>
        </w:rPr>
        <w:t xml:space="preserve"> frequente das mãos, particularmente após o toque de superfícies de uso comum. A entidade empregadora deve fornecer locais para lavagem nas instalações (para trabalhadores e visitantes). Se o sabão e a água corrente não estiverem imediatamente disponíveis, fornecer um </w:t>
      </w:r>
      <w:proofErr w:type="spellStart"/>
      <w:r w:rsidRPr="00292532">
        <w:rPr>
          <w:rFonts w:ascii="Arial" w:eastAsia="Times New Roman" w:hAnsi="Arial" w:cs="Arial"/>
          <w:sz w:val="20"/>
          <w:szCs w:val="20"/>
          <w:lang w:val="pt-PT"/>
        </w:rPr>
        <w:t>desinfectante</w:t>
      </w:r>
      <w:proofErr w:type="spellEnd"/>
      <w:r w:rsidRPr="00292532">
        <w:rPr>
          <w:rFonts w:ascii="Arial" w:eastAsia="Times New Roman" w:hAnsi="Arial" w:cs="Arial"/>
          <w:sz w:val="20"/>
          <w:szCs w:val="20"/>
          <w:lang w:val="pt-PT"/>
        </w:rPr>
        <w:t xml:space="preserve"> a base de álcool (70% de álcool).</w:t>
      </w:r>
    </w:p>
    <w:p w14:paraId="116A0F47" w14:textId="77777777" w:rsidR="00B31AE2" w:rsidRPr="00292532" w:rsidRDefault="00B31AE2" w:rsidP="00AE14AE">
      <w:pPr>
        <w:numPr>
          <w:ilvl w:val="0"/>
          <w:numId w:val="151"/>
        </w:numPr>
        <w:autoSpaceDE w:val="0"/>
        <w:autoSpaceDN w:val="0"/>
        <w:adjustRightInd w:val="0"/>
        <w:spacing w:before="0" w:after="200" w:line="259" w:lineRule="auto"/>
        <w:contextualSpacing/>
        <w:jc w:val="left"/>
        <w:rPr>
          <w:rFonts w:ascii="Arial" w:eastAsia="Times New Roman" w:hAnsi="Arial" w:cs="Arial"/>
          <w:sz w:val="20"/>
          <w:szCs w:val="20"/>
          <w:lang w:val="pt-PT"/>
        </w:rPr>
      </w:pPr>
      <w:r w:rsidRPr="00292532">
        <w:rPr>
          <w:rFonts w:ascii="Arial" w:eastAsia="Times New Roman" w:hAnsi="Arial" w:cs="Arial"/>
          <w:sz w:val="20"/>
          <w:szCs w:val="20"/>
          <w:lang w:val="pt-PT"/>
        </w:rPr>
        <w:t>Uso da etiqueta da tosse (medidas para reduzir a propagação de doenças respiratórias) - cobrir a boca e nariz com o cotovelo flexionado ao tossir ou espirrar.</w:t>
      </w:r>
    </w:p>
    <w:p w14:paraId="2CD8D1B0" w14:textId="77777777" w:rsidR="00B31AE2" w:rsidRPr="00292532" w:rsidRDefault="00B31AE2" w:rsidP="00AE14AE">
      <w:pPr>
        <w:numPr>
          <w:ilvl w:val="0"/>
          <w:numId w:val="151"/>
        </w:numPr>
        <w:autoSpaceDE w:val="0"/>
        <w:autoSpaceDN w:val="0"/>
        <w:adjustRightInd w:val="0"/>
        <w:spacing w:before="0" w:after="200" w:line="259" w:lineRule="auto"/>
        <w:contextualSpacing/>
        <w:jc w:val="left"/>
        <w:rPr>
          <w:rFonts w:ascii="Arial" w:eastAsia="Times New Roman" w:hAnsi="Arial" w:cs="Arial"/>
          <w:sz w:val="20"/>
          <w:szCs w:val="20"/>
          <w:lang w:val="pt-PT"/>
        </w:rPr>
      </w:pPr>
      <w:r w:rsidRPr="00292532">
        <w:rPr>
          <w:rFonts w:ascii="Arial" w:eastAsia="Times New Roman" w:hAnsi="Arial" w:cs="Arial"/>
          <w:sz w:val="20"/>
          <w:szCs w:val="20"/>
          <w:lang w:val="pt-PT"/>
        </w:rPr>
        <w:t xml:space="preserve">Não ter contacto físico (apertos de mão, abraços e beijos). O toque por cotovelo e pernas também é desaconselhado (a tosse é feita para o cotovelo de acordo com o ponto acima). Promover formas de cumprimentar sem o contacto físico (ex. vénia). </w:t>
      </w:r>
    </w:p>
    <w:p w14:paraId="14F11DF0" w14:textId="77777777" w:rsidR="00B31AE2" w:rsidRPr="00292532" w:rsidRDefault="00B31AE2" w:rsidP="00AE14AE">
      <w:pPr>
        <w:numPr>
          <w:ilvl w:val="0"/>
          <w:numId w:val="151"/>
        </w:numPr>
        <w:autoSpaceDE w:val="0"/>
        <w:autoSpaceDN w:val="0"/>
        <w:adjustRightInd w:val="0"/>
        <w:spacing w:before="0" w:after="200" w:line="259" w:lineRule="auto"/>
        <w:contextualSpacing/>
        <w:jc w:val="left"/>
        <w:rPr>
          <w:rFonts w:ascii="Arial" w:eastAsia="Times New Roman" w:hAnsi="Arial" w:cs="Arial"/>
          <w:sz w:val="20"/>
          <w:szCs w:val="20"/>
          <w:lang w:val="pt-PT"/>
        </w:rPr>
      </w:pPr>
      <w:r w:rsidRPr="00292532">
        <w:rPr>
          <w:rFonts w:ascii="Arial" w:eastAsia="Times New Roman" w:hAnsi="Arial" w:cs="Arial"/>
          <w:sz w:val="20"/>
          <w:szCs w:val="20"/>
          <w:lang w:val="pt-PT"/>
        </w:rPr>
        <w:t>Manter o distanciamento de segurança (mínimo de 1,5 metros).</w:t>
      </w:r>
    </w:p>
    <w:p w14:paraId="0116413B" w14:textId="77777777" w:rsidR="00B31AE2" w:rsidRPr="00292532" w:rsidRDefault="00B31AE2" w:rsidP="00AE14AE">
      <w:pPr>
        <w:numPr>
          <w:ilvl w:val="0"/>
          <w:numId w:val="151"/>
        </w:numPr>
        <w:autoSpaceDE w:val="0"/>
        <w:autoSpaceDN w:val="0"/>
        <w:adjustRightInd w:val="0"/>
        <w:spacing w:before="0" w:after="200" w:line="259" w:lineRule="auto"/>
        <w:contextualSpacing/>
        <w:jc w:val="left"/>
        <w:rPr>
          <w:rFonts w:ascii="Arial" w:eastAsia="Times New Roman" w:hAnsi="Arial" w:cs="Arial"/>
          <w:sz w:val="20"/>
          <w:szCs w:val="20"/>
          <w:lang w:val="pt-PT"/>
        </w:rPr>
      </w:pPr>
      <w:r w:rsidRPr="00292532">
        <w:rPr>
          <w:rFonts w:ascii="Arial" w:eastAsia="Times New Roman" w:hAnsi="Arial" w:cs="Arial"/>
          <w:sz w:val="20"/>
          <w:szCs w:val="20"/>
          <w:lang w:val="pt-PT"/>
        </w:rPr>
        <w:t>Não tocar na face da cara (olhos, nariz e boca) com as mãos não higienizadas.</w:t>
      </w:r>
    </w:p>
    <w:p w14:paraId="4DD11B05" w14:textId="77777777" w:rsidR="00B31AE2" w:rsidRPr="00292532" w:rsidRDefault="00B31AE2" w:rsidP="00AE14AE">
      <w:pPr>
        <w:numPr>
          <w:ilvl w:val="0"/>
          <w:numId w:val="151"/>
        </w:numPr>
        <w:autoSpaceDE w:val="0"/>
        <w:autoSpaceDN w:val="0"/>
        <w:adjustRightInd w:val="0"/>
        <w:spacing w:before="0" w:after="200" w:line="259" w:lineRule="auto"/>
        <w:contextualSpacing/>
        <w:jc w:val="left"/>
        <w:rPr>
          <w:rFonts w:ascii="Arial" w:eastAsia="Times New Roman" w:hAnsi="Arial" w:cs="Arial"/>
          <w:sz w:val="20"/>
          <w:szCs w:val="20"/>
          <w:lang w:val="pt-PT"/>
        </w:rPr>
      </w:pPr>
      <w:r w:rsidRPr="00292532">
        <w:rPr>
          <w:rFonts w:ascii="Arial" w:eastAsia="Times New Roman" w:hAnsi="Arial" w:cs="Arial"/>
          <w:sz w:val="20"/>
          <w:szCs w:val="20"/>
          <w:lang w:val="pt-PT"/>
        </w:rPr>
        <w:t>Respeitar e cumprir com os procedimentos das instalações sobre mitigação da COVID-19</w:t>
      </w:r>
    </w:p>
    <w:p w14:paraId="6A067D8F" w14:textId="77777777" w:rsidR="00B31AE2" w:rsidRPr="00292532" w:rsidRDefault="00B31AE2" w:rsidP="00AE14AE">
      <w:pPr>
        <w:numPr>
          <w:ilvl w:val="0"/>
          <w:numId w:val="151"/>
        </w:numPr>
        <w:autoSpaceDE w:val="0"/>
        <w:autoSpaceDN w:val="0"/>
        <w:adjustRightInd w:val="0"/>
        <w:spacing w:before="0" w:after="0" w:line="259" w:lineRule="auto"/>
        <w:contextualSpacing/>
        <w:jc w:val="left"/>
        <w:rPr>
          <w:rFonts w:ascii="Arial" w:eastAsia="Times New Roman" w:hAnsi="Arial" w:cs="Arial"/>
          <w:sz w:val="20"/>
          <w:szCs w:val="20"/>
          <w:lang w:val="pt-PT"/>
        </w:rPr>
      </w:pPr>
      <w:r w:rsidRPr="00292532">
        <w:rPr>
          <w:rFonts w:ascii="Arial" w:eastAsia="Times New Roman" w:hAnsi="Arial" w:cs="Arial"/>
          <w:sz w:val="20"/>
          <w:szCs w:val="20"/>
          <w:lang w:val="pt-PT"/>
        </w:rPr>
        <w:t xml:space="preserve">Evitar aglomerados no mesmo espaço físico (refeitório/copa, sala de reuniões, escritório, </w:t>
      </w:r>
      <w:proofErr w:type="spellStart"/>
      <w:r w:rsidRPr="00292532">
        <w:rPr>
          <w:rFonts w:ascii="Arial" w:eastAsia="Times New Roman" w:hAnsi="Arial" w:cs="Arial"/>
          <w:sz w:val="20"/>
          <w:szCs w:val="20"/>
          <w:lang w:val="pt-PT"/>
        </w:rPr>
        <w:t>etc</w:t>
      </w:r>
      <w:proofErr w:type="spellEnd"/>
      <w:r w:rsidRPr="00292532">
        <w:rPr>
          <w:rFonts w:ascii="Arial" w:eastAsia="Times New Roman" w:hAnsi="Arial" w:cs="Arial"/>
          <w:sz w:val="20"/>
          <w:szCs w:val="20"/>
          <w:lang w:val="pt-PT"/>
        </w:rPr>
        <w:t>), principalmente em situações que requeiram remoção da máscara (</w:t>
      </w:r>
      <w:proofErr w:type="spellStart"/>
      <w:r w:rsidRPr="00292532">
        <w:rPr>
          <w:rFonts w:ascii="Arial" w:eastAsia="Times New Roman" w:hAnsi="Arial" w:cs="Arial"/>
          <w:sz w:val="20"/>
          <w:szCs w:val="20"/>
          <w:lang w:val="pt-PT"/>
        </w:rPr>
        <w:t>ex</w:t>
      </w:r>
      <w:proofErr w:type="spellEnd"/>
      <w:r w:rsidRPr="00292532">
        <w:rPr>
          <w:rFonts w:ascii="Arial" w:eastAsia="Times New Roman" w:hAnsi="Arial" w:cs="Arial"/>
          <w:sz w:val="20"/>
          <w:szCs w:val="20"/>
          <w:lang w:val="pt-PT"/>
        </w:rPr>
        <w:t>, beber água, alimentação).</w:t>
      </w:r>
    </w:p>
    <w:p w14:paraId="160BCE17" w14:textId="77777777" w:rsidR="00B31AE2" w:rsidRPr="00292532" w:rsidRDefault="00B31AE2" w:rsidP="00AE14AE">
      <w:pPr>
        <w:numPr>
          <w:ilvl w:val="0"/>
          <w:numId w:val="151"/>
        </w:numPr>
        <w:autoSpaceDE w:val="0"/>
        <w:autoSpaceDN w:val="0"/>
        <w:adjustRightInd w:val="0"/>
        <w:spacing w:before="0" w:after="0" w:line="259" w:lineRule="auto"/>
        <w:contextualSpacing/>
        <w:jc w:val="left"/>
        <w:rPr>
          <w:rFonts w:ascii="Arial" w:eastAsia="Times New Roman" w:hAnsi="Arial" w:cs="Arial"/>
          <w:sz w:val="20"/>
          <w:szCs w:val="20"/>
          <w:lang w:val="pt-PT"/>
        </w:rPr>
      </w:pPr>
      <w:r w:rsidRPr="00292532">
        <w:rPr>
          <w:rFonts w:ascii="Arial" w:eastAsia="Times New Roman" w:hAnsi="Arial" w:cs="Arial"/>
          <w:sz w:val="20"/>
          <w:szCs w:val="20"/>
          <w:lang w:val="pt-PT"/>
        </w:rPr>
        <w:t>Sempre que manusear equipamentos/</w:t>
      </w:r>
      <w:proofErr w:type="spellStart"/>
      <w:r w:rsidRPr="00292532">
        <w:rPr>
          <w:rFonts w:ascii="Arial" w:eastAsia="Times New Roman" w:hAnsi="Arial" w:cs="Arial"/>
          <w:sz w:val="20"/>
          <w:szCs w:val="20"/>
          <w:lang w:val="pt-PT"/>
        </w:rPr>
        <w:t>objectos</w:t>
      </w:r>
      <w:proofErr w:type="spellEnd"/>
      <w:r w:rsidRPr="00292532">
        <w:rPr>
          <w:rFonts w:ascii="Arial" w:eastAsia="Times New Roman" w:hAnsi="Arial" w:cs="Arial"/>
          <w:sz w:val="20"/>
          <w:szCs w:val="20"/>
          <w:lang w:val="pt-PT"/>
        </w:rPr>
        <w:t xml:space="preserve"> de uso comum associados a alimentação (máquina de café, dispensadores de água, açucareiros, </w:t>
      </w:r>
      <w:proofErr w:type="spellStart"/>
      <w:r w:rsidRPr="00292532">
        <w:rPr>
          <w:rFonts w:ascii="Arial" w:eastAsia="Times New Roman" w:hAnsi="Arial" w:cs="Arial"/>
          <w:sz w:val="20"/>
          <w:szCs w:val="20"/>
          <w:lang w:val="pt-PT"/>
        </w:rPr>
        <w:t>etc</w:t>
      </w:r>
      <w:proofErr w:type="spellEnd"/>
      <w:r w:rsidRPr="00292532">
        <w:rPr>
          <w:rFonts w:ascii="Arial" w:eastAsia="Times New Roman" w:hAnsi="Arial" w:cs="Arial"/>
          <w:sz w:val="20"/>
          <w:szCs w:val="20"/>
          <w:lang w:val="pt-PT"/>
        </w:rPr>
        <w:t>), garantir a lavagem/</w:t>
      </w:r>
      <w:proofErr w:type="spellStart"/>
      <w:r w:rsidRPr="00292532">
        <w:rPr>
          <w:rFonts w:ascii="Arial" w:eastAsia="Times New Roman" w:hAnsi="Arial" w:cs="Arial"/>
          <w:sz w:val="20"/>
          <w:szCs w:val="20"/>
          <w:lang w:val="pt-PT"/>
        </w:rPr>
        <w:t>desinfecção</w:t>
      </w:r>
      <w:proofErr w:type="spellEnd"/>
      <w:r w:rsidRPr="00292532">
        <w:rPr>
          <w:rFonts w:ascii="Arial" w:eastAsia="Times New Roman" w:hAnsi="Arial" w:cs="Arial"/>
          <w:sz w:val="20"/>
          <w:szCs w:val="20"/>
          <w:lang w:val="pt-PT"/>
        </w:rPr>
        <w:t xml:space="preserve"> das mãos antes e após o uso. Na impossibilidade de </w:t>
      </w:r>
      <w:proofErr w:type="spellStart"/>
      <w:r w:rsidRPr="00292532">
        <w:rPr>
          <w:rFonts w:ascii="Arial" w:eastAsia="Times New Roman" w:hAnsi="Arial" w:cs="Arial"/>
          <w:sz w:val="20"/>
          <w:szCs w:val="20"/>
          <w:lang w:val="pt-PT"/>
        </w:rPr>
        <w:t>desinfecção</w:t>
      </w:r>
      <w:proofErr w:type="spellEnd"/>
      <w:r w:rsidRPr="00292532">
        <w:rPr>
          <w:rFonts w:ascii="Arial" w:eastAsia="Times New Roman" w:hAnsi="Arial" w:cs="Arial"/>
          <w:sz w:val="20"/>
          <w:szCs w:val="20"/>
          <w:lang w:val="pt-PT"/>
        </w:rPr>
        <w:t xml:space="preserve"> manuseie com um guardanapo novo.</w:t>
      </w:r>
    </w:p>
    <w:p w14:paraId="5DEDF47D" w14:textId="77777777" w:rsidR="00B31AE2" w:rsidRPr="00292532" w:rsidRDefault="00B31AE2" w:rsidP="00AE14AE">
      <w:pPr>
        <w:numPr>
          <w:ilvl w:val="0"/>
          <w:numId w:val="151"/>
        </w:numPr>
        <w:autoSpaceDE w:val="0"/>
        <w:autoSpaceDN w:val="0"/>
        <w:adjustRightInd w:val="0"/>
        <w:spacing w:before="0" w:after="0" w:line="259" w:lineRule="auto"/>
        <w:contextualSpacing/>
        <w:jc w:val="left"/>
        <w:rPr>
          <w:rFonts w:ascii="Arial" w:eastAsia="Times New Roman" w:hAnsi="Arial" w:cs="Arial"/>
          <w:sz w:val="20"/>
          <w:szCs w:val="20"/>
          <w:lang w:val="pt-PT"/>
        </w:rPr>
      </w:pPr>
      <w:r w:rsidRPr="00292532">
        <w:rPr>
          <w:rFonts w:ascii="Arial" w:eastAsia="Times New Roman" w:hAnsi="Arial" w:cs="Arial"/>
          <w:sz w:val="20"/>
          <w:szCs w:val="20"/>
          <w:lang w:val="pt-PT"/>
        </w:rPr>
        <w:t xml:space="preserve">Evitar partilhar </w:t>
      </w:r>
      <w:proofErr w:type="spellStart"/>
      <w:r w:rsidRPr="00292532">
        <w:rPr>
          <w:rFonts w:ascii="Arial" w:eastAsia="Times New Roman" w:hAnsi="Arial" w:cs="Arial"/>
          <w:sz w:val="20"/>
          <w:szCs w:val="20"/>
          <w:lang w:val="pt-PT"/>
        </w:rPr>
        <w:t>objectos</w:t>
      </w:r>
      <w:proofErr w:type="spellEnd"/>
      <w:r w:rsidRPr="00292532">
        <w:rPr>
          <w:rFonts w:ascii="Arial" w:eastAsia="Times New Roman" w:hAnsi="Arial" w:cs="Arial"/>
          <w:sz w:val="20"/>
          <w:szCs w:val="20"/>
          <w:lang w:val="pt-PT"/>
        </w:rPr>
        <w:t xml:space="preserve"> de uso individual (celular, computadores pessoais, esferográficas, </w:t>
      </w:r>
      <w:proofErr w:type="spellStart"/>
      <w:r w:rsidRPr="00292532">
        <w:rPr>
          <w:rFonts w:ascii="Arial" w:eastAsia="Times New Roman" w:hAnsi="Arial" w:cs="Arial"/>
          <w:sz w:val="20"/>
          <w:szCs w:val="20"/>
          <w:lang w:val="pt-PT"/>
        </w:rPr>
        <w:t>etc</w:t>
      </w:r>
      <w:proofErr w:type="spellEnd"/>
      <w:r w:rsidRPr="00292532">
        <w:rPr>
          <w:rFonts w:ascii="Arial" w:eastAsia="Times New Roman" w:hAnsi="Arial" w:cs="Arial"/>
          <w:sz w:val="20"/>
          <w:szCs w:val="20"/>
          <w:lang w:val="pt-PT"/>
        </w:rPr>
        <w:t>).</w:t>
      </w:r>
    </w:p>
    <w:p w14:paraId="0CC938BA" w14:textId="77777777" w:rsidR="00B31AE2" w:rsidRPr="00292532" w:rsidRDefault="00B31AE2" w:rsidP="00AE14AE">
      <w:pPr>
        <w:numPr>
          <w:ilvl w:val="0"/>
          <w:numId w:val="151"/>
        </w:numPr>
        <w:autoSpaceDE w:val="0"/>
        <w:autoSpaceDN w:val="0"/>
        <w:adjustRightInd w:val="0"/>
        <w:spacing w:before="0" w:after="0" w:line="259" w:lineRule="auto"/>
        <w:contextualSpacing/>
        <w:jc w:val="left"/>
        <w:rPr>
          <w:rFonts w:ascii="Arial" w:eastAsia="Times New Roman" w:hAnsi="Arial" w:cs="Arial"/>
          <w:sz w:val="20"/>
          <w:szCs w:val="20"/>
          <w:lang w:val="pt-PT"/>
        </w:rPr>
      </w:pPr>
      <w:r w:rsidRPr="00292532">
        <w:rPr>
          <w:rFonts w:ascii="Arial" w:eastAsia="Times New Roman" w:hAnsi="Arial" w:cs="Arial"/>
          <w:sz w:val="20"/>
          <w:szCs w:val="20"/>
          <w:lang w:val="pt-PT"/>
        </w:rPr>
        <w:t xml:space="preserve">Evitar permutabilidade (sempre que possível sentar-se no mesmo lugar todos os dias, evitando trocar de cadeiras ou secretárias) e garantir a </w:t>
      </w:r>
      <w:proofErr w:type="spellStart"/>
      <w:r w:rsidRPr="00292532">
        <w:rPr>
          <w:rFonts w:ascii="Arial" w:eastAsia="Times New Roman" w:hAnsi="Arial" w:cs="Arial"/>
          <w:sz w:val="20"/>
          <w:szCs w:val="20"/>
          <w:lang w:val="pt-PT"/>
        </w:rPr>
        <w:t>desinfecção</w:t>
      </w:r>
      <w:proofErr w:type="spellEnd"/>
      <w:r w:rsidRPr="00292532">
        <w:rPr>
          <w:rFonts w:ascii="Arial" w:eastAsia="Times New Roman" w:hAnsi="Arial" w:cs="Arial"/>
          <w:sz w:val="20"/>
          <w:szCs w:val="20"/>
          <w:lang w:val="pt-PT"/>
        </w:rPr>
        <w:t xml:space="preserve"> do local antes da jornada de trabalho/formação.</w:t>
      </w:r>
    </w:p>
    <w:p w14:paraId="1E91FED4" w14:textId="77777777" w:rsidR="00B31AE2" w:rsidRPr="00292532" w:rsidRDefault="00B31AE2" w:rsidP="00AE14AE">
      <w:pPr>
        <w:numPr>
          <w:ilvl w:val="0"/>
          <w:numId w:val="152"/>
        </w:numPr>
        <w:spacing w:before="0" w:after="0" w:line="259" w:lineRule="auto"/>
        <w:jc w:val="left"/>
        <w:rPr>
          <w:rFonts w:ascii="Arial" w:eastAsia="Times New Roman" w:hAnsi="Arial" w:cs="Arial"/>
          <w:sz w:val="20"/>
          <w:szCs w:val="20"/>
          <w:lang w:val="pt-PT"/>
        </w:rPr>
      </w:pPr>
      <w:r w:rsidRPr="00292532">
        <w:rPr>
          <w:rFonts w:ascii="Arial" w:eastAsia="Times New Roman" w:hAnsi="Arial" w:cs="Arial"/>
          <w:sz w:val="20"/>
          <w:szCs w:val="20"/>
          <w:lang w:val="pt-PT"/>
        </w:rPr>
        <w:t xml:space="preserve">Colaboradores que se sintam com sintomas de COVID-19 antes da ida ao trabalho ou participar de qualquer outra </w:t>
      </w:r>
      <w:proofErr w:type="spellStart"/>
      <w:r w:rsidRPr="00292532">
        <w:rPr>
          <w:rFonts w:ascii="Arial" w:eastAsia="Times New Roman" w:hAnsi="Arial" w:cs="Arial"/>
          <w:sz w:val="20"/>
          <w:szCs w:val="20"/>
          <w:lang w:val="pt-PT"/>
        </w:rPr>
        <w:t>actividade</w:t>
      </w:r>
      <w:proofErr w:type="spellEnd"/>
      <w:r w:rsidRPr="00292532">
        <w:rPr>
          <w:rFonts w:ascii="Arial" w:eastAsia="Times New Roman" w:hAnsi="Arial" w:cs="Arial"/>
          <w:sz w:val="20"/>
          <w:szCs w:val="20"/>
          <w:lang w:val="pt-PT"/>
        </w:rPr>
        <w:t xml:space="preserve"> devem reportar imediatamente ao Oficial de HSE/Social/ambiental ou a CIGCOVID-19 e seguir os requisitos de controlo e vigilância de casos suspeitos e confirmados</w:t>
      </w:r>
      <w:r w:rsidRPr="00292532" w:rsidDel="00CD3BC9">
        <w:rPr>
          <w:rFonts w:ascii="Arial" w:eastAsia="Times New Roman" w:hAnsi="Arial" w:cs="Arial"/>
          <w:sz w:val="20"/>
          <w:szCs w:val="20"/>
          <w:lang w:val="pt-PT"/>
        </w:rPr>
        <w:t xml:space="preserve"> </w:t>
      </w:r>
      <w:r w:rsidRPr="00292532">
        <w:rPr>
          <w:rFonts w:ascii="Arial" w:eastAsia="Times New Roman" w:hAnsi="Arial" w:cs="Arial"/>
          <w:sz w:val="20"/>
          <w:szCs w:val="20"/>
          <w:lang w:val="pt-PT"/>
        </w:rPr>
        <w:t xml:space="preserve">(descrito na </w:t>
      </w:r>
      <w:r w:rsidRPr="00292532">
        <w:rPr>
          <w:rFonts w:ascii="Arial" w:eastAsia="Calibri" w:hAnsi="Arial" w:cs="Arial"/>
          <w:color w:val="4472C4"/>
          <w:sz w:val="20"/>
          <w:szCs w:val="20"/>
          <w:shd w:val="clear" w:color="auto" w:fill="FFFFFF"/>
          <w:lang w:val="pt-PT"/>
        </w:rPr>
        <w:t>Secção 3.3 do Plano de COVID-19</w:t>
      </w:r>
      <w:r w:rsidRPr="00292532">
        <w:rPr>
          <w:rFonts w:ascii="Arial" w:eastAsia="Times New Roman" w:hAnsi="Arial" w:cs="Arial"/>
          <w:sz w:val="20"/>
          <w:szCs w:val="20"/>
          <w:lang w:val="pt-PT"/>
        </w:rPr>
        <w:t>).</w:t>
      </w:r>
    </w:p>
    <w:p w14:paraId="61E9DAE3" w14:textId="77777777" w:rsidR="00B31AE2" w:rsidRPr="00292532" w:rsidRDefault="00B31AE2" w:rsidP="00AE14AE">
      <w:pPr>
        <w:numPr>
          <w:ilvl w:val="0"/>
          <w:numId w:val="151"/>
        </w:numPr>
        <w:autoSpaceDE w:val="0"/>
        <w:autoSpaceDN w:val="0"/>
        <w:adjustRightInd w:val="0"/>
        <w:spacing w:before="0" w:after="0" w:line="259" w:lineRule="auto"/>
        <w:contextualSpacing/>
        <w:jc w:val="left"/>
        <w:rPr>
          <w:rFonts w:ascii="Arial" w:eastAsia="Times New Roman" w:hAnsi="Arial" w:cs="Arial"/>
          <w:sz w:val="20"/>
          <w:szCs w:val="20"/>
          <w:lang w:val="pt-PT"/>
        </w:rPr>
      </w:pPr>
      <w:r w:rsidRPr="00292532">
        <w:rPr>
          <w:rFonts w:ascii="Arial" w:eastAsia="Times New Roman" w:hAnsi="Arial" w:cs="Arial"/>
          <w:sz w:val="20"/>
          <w:szCs w:val="20"/>
          <w:lang w:val="pt-PT"/>
        </w:rPr>
        <w:t xml:space="preserve">Os colaboradores que tenham um membro da família em casa </w:t>
      </w:r>
      <w:proofErr w:type="spellStart"/>
      <w:r w:rsidRPr="00292532">
        <w:rPr>
          <w:rFonts w:ascii="Arial" w:eastAsia="Times New Roman" w:hAnsi="Arial" w:cs="Arial"/>
          <w:sz w:val="20"/>
          <w:szCs w:val="20"/>
          <w:lang w:val="pt-PT"/>
        </w:rPr>
        <w:t>infectado</w:t>
      </w:r>
      <w:proofErr w:type="spellEnd"/>
      <w:r w:rsidRPr="00292532">
        <w:rPr>
          <w:rFonts w:ascii="Arial" w:eastAsia="Times New Roman" w:hAnsi="Arial" w:cs="Arial"/>
          <w:sz w:val="20"/>
          <w:szCs w:val="20"/>
          <w:lang w:val="pt-PT"/>
        </w:rPr>
        <w:t xml:space="preserve"> pela COVID-19, devem notificar o seu supervisor, ainda que este trabalhador não tenha sintomas.</w:t>
      </w:r>
    </w:p>
    <w:p w14:paraId="637F286E" w14:textId="77777777" w:rsidR="00B31AE2" w:rsidRPr="00292532" w:rsidRDefault="00B31AE2" w:rsidP="00AE14AE">
      <w:pPr>
        <w:numPr>
          <w:ilvl w:val="0"/>
          <w:numId w:val="151"/>
        </w:numPr>
        <w:autoSpaceDE w:val="0"/>
        <w:autoSpaceDN w:val="0"/>
        <w:adjustRightInd w:val="0"/>
        <w:spacing w:before="0" w:after="0" w:line="259" w:lineRule="auto"/>
        <w:contextualSpacing/>
        <w:jc w:val="left"/>
        <w:rPr>
          <w:rFonts w:ascii="Arial" w:eastAsia="Times New Roman" w:hAnsi="Arial" w:cs="Arial"/>
          <w:sz w:val="20"/>
          <w:szCs w:val="20"/>
          <w:lang w:val="pt-PT"/>
        </w:rPr>
      </w:pPr>
      <w:r w:rsidRPr="00292532">
        <w:rPr>
          <w:rFonts w:ascii="Arial" w:eastAsia="Times New Roman" w:hAnsi="Arial" w:cs="Arial"/>
          <w:sz w:val="20"/>
          <w:szCs w:val="20"/>
          <w:lang w:val="pt-PT"/>
        </w:rPr>
        <w:t>Todos (trabalhadores e convidados) que sejam positivos para COVID-19 devem permanecer em casa, e não comparecer a nenhuma sessão trabalho ou formação.</w:t>
      </w:r>
    </w:p>
    <w:tbl>
      <w:tblPr>
        <w:tblW w:w="0" w:type="auto"/>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186"/>
      </w:tblGrid>
      <w:tr w:rsidR="00B31AE2" w:rsidRPr="004E2EAC" w14:paraId="286520E9" w14:textId="77777777" w:rsidTr="00B31AE2">
        <w:tc>
          <w:tcPr>
            <w:tcW w:w="9738" w:type="dxa"/>
            <w:shd w:val="clear" w:color="auto" w:fill="auto"/>
          </w:tcPr>
          <w:p w14:paraId="203EE85E" w14:textId="77777777" w:rsidR="00B31AE2" w:rsidRPr="00292532" w:rsidRDefault="00B31AE2" w:rsidP="00B31AE2">
            <w:pPr>
              <w:spacing w:before="0" w:after="0" w:line="259" w:lineRule="auto"/>
              <w:jc w:val="left"/>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shd w:val="clear" w:color="auto" w:fill="FFFFFF"/>
                <w:lang w:val="pt-PT"/>
              </w:rPr>
              <w:t xml:space="preserve">Lembre-se que a ausência ao trabalho deve ser devidamente comunicada e justificada. A doenças são atestadas e o </w:t>
            </w:r>
            <w:r w:rsidRPr="00292532">
              <w:rPr>
                <w:rFonts w:ascii="Arial" w:eastAsia="Times New Roman" w:hAnsi="Arial" w:cs="Arial"/>
                <w:sz w:val="20"/>
                <w:szCs w:val="20"/>
                <w:lang w:val="pt-PT"/>
              </w:rPr>
              <w:t xml:space="preserve">isolamento </w:t>
            </w:r>
            <w:proofErr w:type="spellStart"/>
            <w:r w:rsidRPr="00292532">
              <w:rPr>
                <w:rFonts w:ascii="Arial" w:eastAsia="Times New Roman" w:hAnsi="Arial" w:cs="Arial"/>
                <w:sz w:val="20"/>
                <w:szCs w:val="20"/>
                <w:lang w:val="pt-PT"/>
              </w:rPr>
              <w:t>profiláctico</w:t>
            </w:r>
            <w:proofErr w:type="spellEnd"/>
            <w:r w:rsidRPr="00292532">
              <w:rPr>
                <w:rFonts w:ascii="Arial" w:eastAsia="Times New Roman" w:hAnsi="Arial" w:cs="Arial"/>
                <w:sz w:val="20"/>
                <w:szCs w:val="20"/>
                <w:lang w:val="pt-PT"/>
              </w:rPr>
              <w:t xml:space="preserve"> deve ser certificado pelas autoridades de saúde.</w:t>
            </w:r>
          </w:p>
        </w:tc>
      </w:tr>
    </w:tbl>
    <w:p w14:paraId="4AAC5E6A" w14:textId="77777777" w:rsidR="00B31AE2" w:rsidRPr="00292532" w:rsidRDefault="00B31AE2" w:rsidP="00B31AE2">
      <w:pPr>
        <w:spacing w:before="0" w:after="0"/>
        <w:rPr>
          <w:rFonts w:ascii="Arial" w:eastAsia="Calibri" w:hAnsi="Arial" w:cs="Arial"/>
          <w:color w:val="000000"/>
          <w:sz w:val="20"/>
          <w:szCs w:val="20"/>
          <w:shd w:val="clear" w:color="auto" w:fill="FFFFFF"/>
          <w:lang w:val="pt-PT"/>
        </w:rPr>
      </w:pPr>
    </w:p>
    <w:p w14:paraId="51AEE531" w14:textId="77777777" w:rsidR="00B31AE2" w:rsidRPr="00292532" w:rsidRDefault="00B31AE2" w:rsidP="00B31AE2">
      <w:pPr>
        <w:spacing w:before="0"/>
        <w:rPr>
          <w:rFonts w:ascii="Arial" w:eastAsia="Calibri" w:hAnsi="Arial" w:cs="Arial"/>
          <w:b/>
          <w:color w:val="000000"/>
          <w:sz w:val="20"/>
          <w:szCs w:val="20"/>
          <w:shd w:val="clear" w:color="auto" w:fill="FFFFFF"/>
          <w:lang w:val="pt-PT"/>
        </w:rPr>
      </w:pPr>
      <w:r w:rsidRPr="00292532">
        <w:rPr>
          <w:rFonts w:ascii="Arial" w:eastAsia="Calibri" w:hAnsi="Arial" w:cs="Arial"/>
          <w:b/>
          <w:color w:val="000000"/>
          <w:sz w:val="20"/>
          <w:szCs w:val="20"/>
          <w:shd w:val="clear" w:color="auto" w:fill="FFFFFF"/>
          <w:lang w:val="pt-PT"/>
        </w:rPr>
        <w:t xml:space="preserve">O que se pode fazer quando a pessoa fica </w:t>
      </w:r>
      <w:proofErr w:type="spellStart"/>
      <w:r w:rsidRPr="00292532">
        <w:rPr>
          <w:rFonts w:ascii="Arial" w:eastAsia="Calibri" w:hAnsi="Arial" w:cs="Arial"/>
          <w:b/>
          <w:color w:val="000000"/>
          <w:sz w:val="20"/>
          <w:szCs w:val="20"/>
          <w:shd w:val="clear" w:color="auto" w:fill="FFFFFF"/>
          <w:lang w:val="pt-PT"/>
        </w:rPr>
        <w:t>infectada</w:t>
      </w:r>
      <w:proofErr w:type="spellEnd"/>
      <w:r w:rsidRPr="00292532">
        <w:rPr>
          <w:rFonts w:ascii="Arial" w:eastAsia="Calibri" w:hAnsi="Arial" w:cs="Arial"/>
          <w:b/>
          <w:color w:val="000000"/>
          <w:sz w:val="20"/>
          <w:szCs w:val="20"/>
          <w:shd w:val="clear" w:color="auto" w:fill="FFFFFF"/>
          <w:lang w:val="pt-PT"/>
        </w:rPr>
        <w:t xml:space="preserve"> com COVID-19?</w:t>
      </w:r>
    </w:p>
    <w:p w14:paraId="3D9B7D17" w14:textId="77777777" w:rsidR="00B31AE2" w:rsidRPr="00292532" w:rsidRDefault="00B31AE2" w:rsidP="00AE14AE">
      <w:pPr>
        <w:numPr>
          <w:ilvl w:val="0"/>
          <w:numId w:val="152"/>
        </w:numPr>
        <w:spacing w:before="0" w:after="0" w:line="259" w:lineRule="auto"/>
        <w:jc w:val="left"/>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shd w:val="clear" w:color="auto" w:fill="FFFFFF"/>
          <w:lang w:val="pt-PT"/>
        </w:rPr>
        <w:t xml:space="preserve">Se a pessoa tiver febre e tosse seca recomende ou telefone para “Alô Vida”. Se a pessoa tiver dificuldades em respirar telefona para a “linha de saúde para consulta médica” (contactos disponíveis no </w:t>
      </w:r>
      <w:r w:rsidRPr="00292532">
        <w:rPr>
          <w:rFonts w:ascii="Arial" w:eastAsia="Calibri" w:hAnsi="Arial" w:cs="Arial"/>
          <w:color w:val="4472C4"/>
          <w:sz w:val="20"/>
          <w:szCs w:val="20"/>
          <w:shd w:val="clear" w:color="auto" w:fill="FFFFFF"/>
          <w:lang w:val="pt-PT"/>
        </w:rPr>
        <w:t>Apêndice B</w:t>
      </w:r>
      <w:r w:rsidRPr="00292532">
        <w:rPr>
          <w:rFonts w:ascii="Arial" w:eastAsia="Calibri" w:hAnsi="Arial" w:cs="Arial"/>
          <w:color w:val="000000"/>
          <w:sz w:val="20"/>
          <w:szCs w:val="20"/>
          <w:shd w:val="clear" w:color="auto" w:fill="FFFFFF"/>
          <w:lang w:val="pt-PT"/>
        </w:rPr>
        <w:t>) ou consulta a unidade sanitária mais próxima.</w:t>
      </w:r>
    </w:p>
    <w:p w14:paraId="111AB19A" w14:textId="77777777" w:rsidR="00B31AE2" w:rsidRPr="00292532" w:rsidRDefault="00B31AE2" w:rsidP="00AE14AE">
      <w:pPr>
        <w:numPr>
          <w:ilvl w:val="0"/>
          <w:numId w:val="152"/>
        </w:numPr>
        <w:spacing w:before="0" w:after="0" w:line="259" w:lineRule="auto"/>
        <w:jc w:val="left"/>
        <w:rPr>
          <w:rFonts w:ascii="Arial" w:eastAsia="Calibri" w:hAnsi="Arial" w:cs="Arial"/>
          <w:sz w:val="20"/>
          <w:szCs w:val="20"/>
          <w:shd w:val="clear" w:color="auto" w:fill="FFFFFF"/>
          <w:lang w:val="pt-PT"/>
        </w:rPr>
      </w:pPr>
      <w:r w:rsidRPr="00292532">
        <w:rPr>
          <w:rFonts w:ascii="Arial" w:eastAsia="Calibri" w:hAnsi="Arial" w:cs="Arial"/>
          <w:color w:val="000000"/>
          <w:sz w:val="20"/>
          <w:szCs w:val="20"/>
          <w:shd w:val="clear" w:color="auto" w:fill="FFFFFF"/>
          <w:lang w:val="pt-PT"/>
        </w:rPr>
        <w:t xml:space="preserve">Evite tocar todos os </w:t>
      </w:r>
      <w:proofErr w:type="spellStart"/>
      <w:r w:rsidRPr="00292532">
        <w:rPr>
          <w:rFonts w:ascii="Arial" w:eastAsia="Calibri" w:hAnsi="Arial" w:cs="Arial"/>
          <w:color w:val="000000"/>
          <w:sz w:val="20"/>
          <w:szCs w:val="20"/>
          <w:shd w:val="clear" w:color="auto" w:fill="FFFFFF"/>
          <w:lang w:val="pt-PT"/>
        </w:rPr>
        <w:t>objectos</w:t>
      </w:r>
      <w:proofErr w:type="spellEnd"/>
      <w:r w:rsidRPr="00292532">
        <w:rPr>
          <w:rFonts w:ascii="Arial" w:eastAsia="Calibri" w:hAnsi="Arial" w:cs="Arial"/>
          <w:color w:val="000000"/>
          <w:sz w:val="20"/>
          <w:szCs w:val="20"/>
          <w:shd w:val="clear" w:color="auto" w:fill="FFFFFF"/>
          <w:lang w:val="pt-PT"/>
        </w:rPr>
        <w:t xml:space="preserve"> usados pela pessoa </w:t>
      </w:r>
      <w:proofErr w:type="spellStart"/>
      <w:r w:rsidRPr="00292532">
        <w:rPr>
          <w:rFonts w:ascii="Arial" w:eastAsia="Calibri" w:hAnsi="Arial" w:cs="Arial"/>
          <w:color w:val="000000"/>
          <w:sz w:val="20"/>
          <w:szCs w:val="20"/>
          <w:shd w:val="clear" w:color="auto" w:fill="FFFFFF"/>
          <w:lang w:val="pt-PT"/>
        </w:rPr>
        <w:t>infectada</w:t>
      </w:r>
      <w:proofErr w:type="spellEnd"/>
      <w:r w:rsidRPr="00292532">
        <w:rPr>
          <w:rFonts w:ascii="Arial" w:eastAsia="Calibri" w:hAnsi="Arial" w:cs="Arial"/>
          <w:color w:val="000000"/>
          <w:sz w:val="20"/>
          <w:szCs w:val="20"/>
          <w:shd w:val="clear" w:color="auto" w:fill="FFFFFF"/>
          <w:lang w:val="pt-PT"/>
        </w:rPr>
        <w:t>.</w:t>
      </w:r>
      <w:r w:rsidRPr="00292532">
        <w:rPr>
          <w:rFonts w:ascii="Arial" w:eastAsia="Calibri" w:hAnsi="Arial" w:cs="Arial"/>
          <w:sz w:val="20"/>
          <w:szCs w:val="20"/>
          <w:shd w:val="clear" w:color="auto" w:fill="FFFFFF"/>
          <w:lang w:val="pt-PT"/>
        </w:rPr>
        <w:br w:type="page"/>
      </w:r>
    </w:p>
    <w:p w14:paraId="481C170B" w14:textId="77777777" w:rsidR="00B31AE2" w:rsidRPr="00292532" w:rsidRDefault="00B31AE2" w:rsidP="00AE14AE">
      <w:pPr>
        <w:keepNext/>
        <w:keepLines/>
        <w:numPr>
          <w:ilvl w:val="0"/>
          <w:numId w:val="148"/>
        </w:numPr>
        <w:spacing w:before="0" w:after="0" w:line="259" w:lineRule="auto"/>
        <w:ind w:left="0" w:firstLine="0"/>
        <w:jc w:val="left"/>
        <w:outlineLvl w:val="0"/>
        <w:rPr>
          <w:rFonts w:ascii="Arial" w:eastAsia="Times New Roman" w:hAnsi="Arial" w:cs="Arial"/>
          <w:b/>
          <w:color w:val="4472C4"/>
          <w:sz w:val="26"/>
          <w:szCs w:val="26"/>
          <w:shd w:val="clear" w:color="auto" w:fill="FFFFFF"/>
          <w:lang w:val="pt-PT"/>
        </w:rPr>
      </w:pPr>
      <w:bookmarkStart w:id="1630" w:name="_Toc74922417"/>
      <w:bookmarkStart w:id="1631" w:name="_Toc75438103"/>
      <w:bookmarkStart w:id="1632" w:name="_Toc78435540"/>
      <w:bookmarkStart w:id="1633" w:name="_Toc80380206"/>
      <w:r w:rsidRPr="00292532">
        <w:rPr>
          <w:rFonts w:ascii="Arial" w:eastAsia="Times New Roman" w:hAnsi="Arial" w:cs="Arial"/>
          <w:b/>
          <w:color w:val="4472C4"/>
          <w:sz w:val="26"/>
          <w:szCs w:val="26"/>
          <w:shd w:val="clear" w:color="auto" w:fill="FFFFFF"/>
          <w:lang w:val="pt-PT"/>
        </w:rPr>
        <w:lastRenderedPageBreak/>
        <w:t>Apêndice B - Contactos e referências</w:t>
      </w:r>
      <w:bookmarkEnd w:id="1630"/>
      <w:bookmarkEnd w:id="1631"/>
      <w:bookmarkEnd w:id="1632"/>
      <w:bookmarkEnd w:id="1633"/>
      <w:r w:rsidRPr="00292532">
        <w:rPr>
          <w:rFonts w:ascii="Arial" w:eastAsia="Times New Roman" w:hAnsi="Arial" w:cs="Arial"/>
          <w:b/>
          <w:color w:val="4472C4"/>
          <w:sz w:val="26"/>
          <w:szCs w:val="26"/>
          <w:shd w:val="clear" w:color="auto" w:fill="FFFFFF"/>
          <w:lang w:val="pt-PT"/>
        </w:rPr>
        <w:t xml:space="preserve"> </w:t>
      </w:r>
    </w:p>
    <w:p w14:paraId="78ACE060" w14:textId="77777777" w:rsidR="00B31AE2" w:rsidRPr="00292532" w:rsidRDefault="00B31AE2" w:rsidP="00B31AE2">
      <w:pPr>
        <w:spacing w:before="0" w:after="0" w:line="259" w:lineRule="auto"/>
        <w:jc w:val="left"/>
        <w:rPr>
          <w:rFonts w:ascii="Arial" w:eastAsia="Calibri" w:hAnsi="Arial" w:cs="Arial"/>
          <w:sz w:val="20"/>
          <w:szCs w:val="20"/>
          <w:lang w:val="pt-PT"/>
        </w:rPr>
      </w:pPr>
    </w:p>
    <w:p w14:paraId="1B28CBD9" w14:textId="77777777" w:rsidR="00B31AE2" w:rsidRPr="00292532" w:rsidRDefault="00B31AE2" w:rsidP="00B31AE2">
      <w:pPr>
        <w:spacing w:before="0" w:after="0"/>
        <w:jc w:val="center"/>
        <w:rPr>
          <w:rFonts w:ascii="Arial" w:eastAsia="Calibri" w:hAnsi="Arial" w:cs="Arial"/>
          <w:color w:val="4472C4"/>
          <w:sz w:val="20"/>
          <w:szCs w:val="20"/>
          <w:shd w:val="clear" w:color="auto" w:fill="FFFFFF"/>
          <w:lang w:val="pt-PT"/>
        </w:rPr>
      </w:pPr>
      <w:r w:rsidRPr="00292532">
        <w:rPr>
          <w:rFonts w:ascii="Arial" w:eastAsia="Calibri" w:hAnsi="Arial" w:cs="Arial"/>
          <w:color w:val="4472C4"/>
          <w:sz w:val="20"/>
          <w:szCs w:val="20"/>
          <w:shd w:val="clear" w:color="auto" w:fill="FFFFFF"/>
          <w:lang w:val="pt-PT"/>
        </w:rPr>
        <w:t xml:space="preserve">Contactos relevantes do </w:t>
      </w:r>
      <w:proofErr w:type="spellStart"/>
      <w:r w:rsidRPr="00292532">
        <w:rPr>
          <w:rFonts w:ascii="Arial" w:eastAsia="Calibri" w:hAnsi="Arial" w:cs="Arial"/>
          <w:color w:val="4472C4"/>
          <w:sz w:val="20"/>
          <w:szCs w:val="20"/>
          <w:shd w:val="clear" w:color="auto" w:fill="FFFFFF"/>
          <w:lang w:val="pt-PT"/>
        </w:rPr>
        <w:t>Projecto</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94"/>
        <w:gridCol w:w="4986"/>
      </w:tblGrid>
      <w:tr w:rsidR="00B31AE2" w:rsidRPr="00292532" w14:paraId="71BD52B6" w14:textId="77777777" w:rsidTr="00B31AE2">
        <w:trPr>
          <w:trHeight w:val="472"/>
        </w:trPr>
        <w:tc>
          <w:tcPr>
            <w:tcW w:w="3794" w:type="dxa"/>
            <w:tcBorders>
              <w:top w:val="single" w:sz="4" w:space="0" w:color="000000"/>
              <w:left w:val="single" w:sz="4" w:space="0" w:color="000000"/>
              <w:bottom w:val="single" w:sz="4" w:space="0" w:color="000000"/>
              <w:right w:val="single" w:sz="4" w:space="0" w:color="000000"/>
            </w:tcBorders>
            <w:vAlign w:val="bottom"/>
            <w:hideMark/>
          </w:tcPr>
          <w:p w14:paraId="0720F8CF" w14:textId="77777777" w:rsidR="00B31AE2" w:rsidRPr="00292532" w:rsidRDefault="00B31AE2" w:rsidP="00B31AE2">
            <w:pPr>
              <w:spacing w:before="0" w:line="259" w:lineRule="auto"/>
              <w:jc w:val="left"/>
              <w:rPr>
                <w:rFonts w:ascii="Arial" w:eastAsia="Calibri" w:hAnsi="Arial" w:cs="Arial"/>
                <w:b/>
                <w:bCs/>
                <w:color w:val="000000"/>
                <w:sz w:val="20"/>
                <w:szCs w:val="20"/>
                <w:lang w:val="pt-PT" w:eastAsia="en-GB"/>
              </w:rPr>
            </w:pPr>
            <w:r w:rsidRPr="00292532">
              <w:rPr>
                <w:rFonts w:ascii="Arial" w:eastAsia="Calibri" w:hAnsi="Arial" w:cs="Arial"/>
                <w:b/>
                <w:bCs/>
                <w:color w:val="000000"/>
                <w:sz w:val="20"/>
                <w:szCs w:val="20"/>
                <w:lang w:val="pt-PT" w:eastAsia="en-GB"/>
              </w:rPr>
              <w:t>Sector/responsável</w:t>
            </w:r>
          </w:p>
        </w:tc>
        <w:tc>
          <w:tcPr>
            <w:tcW w:w="4986" w:type="dxa"/>
            <w:tcBorders>
              <w:top w:val="single" w:sz="4" w:space="0" w:color="000000"/>
              <w:left w:val="single" w:sz="4" w:space="0" w:color="000000"/>
              <w:bottom w:val="single" w:sz="4" w:space="0" w:color="000000"/>
              <w:right w:val="single" w:sz="4" w:space="0" w:color="000000"/>
            </w:tcBorders>
            <w:vAlign w:val="bottom"/>
            <w:hideMark/>
          </w:tcPr>
          <w:p w14:paraId="16F5E0CA" w14:textId="77777777" w:rsidR="00B31AE2" w:rsidRPr="00292532" w:rsidRDefault="00B31AE2" w:rsidP="00B31AE2">
            <w:pPr>
              <w:spacing w:before="0" w:line="259" w:lineRule="auto"/>
              <w:jc w:val="left"/>
              <w:rPr>
                <w:rFonts w:ascii="Arial" w:eastAsia="Calibri" w:hAnsi="Arial" w:cs="Arial"/>
                <w:b/>
                <w:bCs/>
                <w:color w:val="000000"/>
                <w:sz w:val="20"/>
                <w:szCs w:val="20"/>
                <w:lang w:val="pt-PT" w:eastAsia="en-GB"/>
              </w:rPr>
            </w:pPr>
            <w:r w:rsidRPr="00292532">
              <w:rPr>
                <w:rFonts w:ascii="Arial" w:eastAsia="Calibri" w:hAnsi="Arial" w:cs="Arial"/>
                <w:b/>
                <w:bCs/>
                <w:color w:val="000000"/>
                <w:sz w:val="20"/>
                <w:szCs w:val="20"/>
                <w:lang w:val="pt-PT" w:eastAsia="en-GB"/>
              </w:rPr>
              <w:t xml:space="preserve">Contacto e pessoa relevante </w:t>
            </w:r>
          </w:p>
        </w:tc>
      </w:tr>
      <w:tr w:rsidR="00B31AE2" w:rsidRPr="00292532" w14:paraId="7B2E2744" w14:textId="77777777" w:rsidTr="00B31AE2">
        <w:trPr>
          <w:trHeight w:val="472"/>
        </w:trPr>
        <w:tc>
          <w:tcPr>
            <w:tcW w:w="3794" w:type="dxa"/>
            <w:tcBorders>
              <w:top w:val="single" w:sz="4" w:space="0" w:color="000000"/>
              <w:left w:val="single" w:sz="4" w:space="0" w:color="000000"/>
              <w:bottom w:val="single" w:sz="4" w:space="0" w:color="000000"/>
              <w:right w:val="single" w:sz="4" w:space="0" w:color="000000"/>
            </w:tcBorders>
            <w:vAlign w:val="bottom"/>
          </w:tcPr>
          <w:p w14:paraId="071B0C34" w14:textId="77777777" w:rsidR="00B31AE2" w:rsidRPr="00292532" w:rsidRDefault="00B31AE2" w:rsidP="00B31AE2">
            <w:pPr>
              <w:spacing w:before="0" w:line="259" w:lineRule="auto"/>
              <w:jc w:val="left"/>
              <w:rPr>
                <w:rFonts w:ascii="Arial" w:eastAsia="Calibri" w:hAnsi="Arial" w:cs="Arial"/>
                <w:color w:val="000000"/>
                <w:sz w:val="20"/>
                <w:szCs w:val="20"/>
                <w:lang w:val="pt-PT" w:eastAsia="en-GB"/>
              </w:rPr>
            </w:pPr>
            <w:r w:rsidRPr="00292532">
              <w:rPr>
                <w:rFonts w:ascii="Arial" w:eastAsia="Calibri" w:hAnsi="Arial" w:cs="Arial"/>
                <w:color w:val="000000"/>
                <w:sz w:val="20"/>
                <w:szCs w:val="20"/>
                <w:lang w:val="pt-PT" w:eastAsia="en-GB"/>
              </w:rPr>
              <w:t xml:space="preserve">Unidade sanitária de referência </w:t>
            </w:r>
          </w:p>
        </w:tc>
        <w:tc>
          <w:tcPr>
            <w:tcW w:w="4986" w:type="dxa"/>
            <w:tcBorders>
              <w:top w:val="single" w:sz="4" w:space="0" w:color="000000"/>
              <w:left w:val="single" w:sz="4" w:space="0" w:color="000000"/>
              <w:bottom w:val="single" w:sz="4" w:space="0" w:color="000000"/>
              <w:right w:val="single" w:sz="4" w:space="0" w:color="000000"/>
            </w:tcBorders>
            <w:vAlign w:val="bottom"/>
          </w:tcPr>
          <w:p w14:paraId="33AFD293" w14:textId="77777777" w:rsidR="00B31AE2" w:rsidRPr="00292532" w:rsidRDefault="00B31AE2" w:rsidP="00B31AE2">
            <w:pPr>
              <w:spacing w:before="0" w:line="259" w:lineRule="auto"/>
              <w:jc w:val="left"/>
              <w:rPr>
                <w:rFonts w:ascii="Arial" w:eastAsia="Calibri" w:hAnsi="Arial" w:cs="Arial"/>
                <w:color w:val="000000"/>
                <w:sz w:val="20"/>
                <w:szCs w:val="20"/>
                <w:lang w:val="pt-PT" w:eastAsia="en-GB"/>
              </w:rPr>
            </w:pPr>
            <w:r w:rsidRPr="00292532">
              <w:rPr>
                <w:rFonts w:ascii="Arial" w:eastAsia="Calibri" w:hAnsi="Arial" w:cs="Arial"/>
                <w:color w:val="000000"/>
                <w:sz w:val="20"/>
                <w:szCs w:val="20"/>
                <w:lang w:val="pt-PT" w:eastAsia="en-GB"/>
              </w:rPr>
              <w:t>por preencher pelo empreiteiro…</w:t>
            </w:r>
          </w:p>
        </w:tc>
      </w:tr>
      <w:tr w:rsidR="00B31AE2" w:rsidRPr="004E2EAC" w14:paraId="2D2CC8F0" w14:textId="77777777" w:rsidTr="00B31AE2">
        <w:trPr>
          <w:trHeight w:val="591"/>
        </w:trPr>
        <w:tc>
          <w:tcPr>
            <w:tcW w:w="3794" w:type="dxa"/>
            <w:tcBorders>
              <w:top w:val="single" w:sz="4" w:space="0" w:color="000000"/>
              <w:left w:val="single" w:sz="4" w:space="0" w:color="000000"/>
              <w:bottom w:val="single" w:sz="4" w:space="0" w:color="000000"/>
              <w:right w:val="single" w:sz="4" w:space="0" w:color="000000"/>
            </w:tcBorders>
            <w:vAlign w:val="bottom"/>
          </w:tcPr>
          <w:p w14:paraId="34A5620D" w14:textId="77777777" w:rsidR="00B31AE2" w:rsidRPr="00292532" w:rsidRDefault="00B31AE2" w:rsidP="00B31AE2">
            <w:pPr>
              <w:spacing w:before="0" w:line="259" w:lineRule="auto"/>
              <w:jc w:val="left"/>
              <w:rPr>
                <w:rFonts w:ascii="Arial" w:eastAsia="Calibri" w:hAnsi="Arial" w:cs="Arial"/>
                <w:color w:val="000000"/>
                <w:sz w:val="20"/>
                <w:szCs w:val="20"/>
                <w:lang w:val="pt-PT" w:eastAsia="en-GB"/>
              </w:rPr>
            </w:pPr>
            <w:r w:rsidRPr="00292532">
              <w:rPr>
                <w:rFonts w:ascii="Arial" w:eastAsia="Calibri" w:hAnsi="Arial" w:cs="Arial"/>
                <w:color w:val="000000"/>
                <w:sz w:val="20"/>
                <w:szCs w:val="20"/>
                <w:lang w:val="pt-PT" w:eastAsia="en-GB"/>
              </w:rPr>
              <w:t>Comissão Institucional de Gestão de COVID-19 (CIGCOVID-19)</w:t>
            </w:r>
          </w:p>
        </w:tc>
        <w:tc>
          <w:tcPr>
            <w:tcW w:w="4986" w:type="dxa"/>
            <w:tcBorders>
              <w:top w:val="single" w:sz="4" w:space="0" w:color="000000"/>
              <w:left w:val="single" w:sz="4" w:space="0" w:color="000000"/>
              <w:bottom w:val="single" w:sz="4" w:space="0" w:color="000000"/>
              <w:right w:val="single" w:sz="4" w:space="0" w:color="000000"/>
            </w:tcBorders>
            <w:vAlign w:val="bottom"/>
          </w:tcPr>
          <w:p w14:paraId="47AF5A6C" w14:textId="77777777" w:rsidR="00B31AE2" w:rsidRPr="00292532" w:rsidRDefault="00B31AE2" w:rsidP="00B31AE2">
            <w:pPr>
              <w:spacing w:before="0" w:line="259" w:lineRule="auto"/>
              <w:jc w:val="left"/>
              <w:rPr>
                <w:rFonts w:ascii="Arial" w:eastAsia="Calibri" w:hAnsi="Arial" w:cs="Arial"/>
                <w:b/>
                <w:bCs/>
                <w:color w:val="000000"/>
                <w:sz w:val="21"/>
                <w:szCs w:val="21"/>
                <w:lang w:val="pt-PT" w:eastAsia="en-GB"/>
              </w:rPr>
            </w:pPr>
          </w:p>
        </w:tc>
      </w:tr>
      <w:tr w:rsidR="00B31AE2" w:rsidRPr="00292532" w14:paraId="2102B07C" w14:textId="77777777" w:rsidTr="00B31AE2">
        <w:trPr>
          <w:trHeight w:val="472"/>
        </w:trPr>
        <w:tc>
          <w:tcPr>
            <w:tcW w:w="3794" w:type="dxa"/>
            <w:tcBorders>
              <w:top w:val="single" w:sz="4" w:space="0" w:color="000000"/>
              <w:left w:val="single" w:sz="4" w:space="0" w:color="000000"/>
              <w:bottom w:val="single" w:sz="4" w:space="0" w:color="000000"/>
              <w:right w:val="single" w:sz="4" w:space="0" w:color="000000"/>
            </w:tcBorders>
            <w:vAlign w:val="bottom"/>
          </w:tcPr>
          <w:p w14:paraId="2A2561A7" w14:textId="77777777" w:rsidR="00B31AE2" w:rsidRPr="00292532" w:rsidRDefault="00B31AE2" w:rsidP="00B31AE2">
            <w:pPr>
              <w:spacing w:before="0" w:line="259" w:lineRule="auto"/>
              <w:jc w:val="left"/>
              <w:rPr>
                <w:rFonts w:ascii="Arial" w:eastAsia="Calibri" w:hAnsi="Arial" w:cs="Arial"/>
                <w:color w:val="000000"/>
                <w:sz w:val="20"/>
                <w:szCs w:val="20"/>
                <w:lang w:val="pt-PT" w:eastAsia="en-GB"/>
              </w:rPr>
            </w:pPr>
            <w:r w:rsidRPr="00292532">
              <w:rPr>
                <w:rFonts w:ascii="Arial" w:eastAsia="Calibri" w:hAnsi="Arial" w:cs="Arial"/>
                <w:color w:val="000000"/>
                <w:sz w:val="20"/>
                <w:szCs w:val="20"/>
                <w:lang w:val="pt-PT" w:eastAsia="en-GB"/>
              </w:rPr>
              <w:t xml:space="preserve">Supervisor </w:t>
            </w:r>
          </w:p>
        </w:tc>
        <w:tc>
          <w:tcPr>
            <w:tcW w:w="4986" w:type="dxa"/>
            <w:tcBorders>
              <w:top w:val="single" w:sz="4" w:space="0" w:color="000000"/>
              <w:left w:val="single" w:sz="4" w:space="0" w:color="000000"/>
              <w:bottom w:val="single" w:sz="4" w:space="0" w:color="000000"/>
              <w:right w:val="single" w:sz="4" w:space="0" w:color="000000"/>
            </w:tcBorders>
            <w:vAlign w:val="bottom"/>
          </w:tcPr>
          <w:p w14:paraId="771FFB90" w14:textId="77777777" w:rsidR="00B31AE2" w:rsidRPr="00292532" w:rsidRDefault="00B31AE2" w:rsidP="00B31AE2">
            <w:pPr>
              <w:spacing w:before="0" w:line="259" w:lineRule="auto"/>
              <w:jc w:val="left"/>
              <w:rPr>
                <w:rFonts w:ascii="Arial" w:eastAsia="Calibri" w:hAnsi="Arial" w:cs="Arial"/>
                <w:b/>
                <w:bCs/>
                <w:color w:val="000000"/>
                <w:sz w:val="21"/>
                <w:szCs w:val="21"/>
                <w:lang w:val="pt-PT" w:eastAsia="en-GB"/>
              </w:rPr>
            </w:pPr>
          </w:p>
        </w:tc>
      </w:tr>
      <w:tr w:rsidR="00B31AE2" w:rsidRPr="00292532" w14:paraId="22550392" w14:textId="77777777" w:rsidTr="00B31AE2">
        <w:trPr>
          <w:trHeight w:val="472"/>
        </w:trPr>
        <w:tc>
          <w:tcPr>
            <w:tcW w:w="3794" w:type="dxa"/>
            <w:tcBorders>
              <w:top w:val="single" w:sz="4" w:space="0" w:color="000000"/>
              <w:left w:val="single" w:sz="4" w:space="0" w:color="000000"/>
              <w:bottom w:val="single" w:sz="4" w:space="0" w:color="000000"/>
              <w:right w:val="single" w:sz="4" w:space="0" w:color="000000"/>
            </w:tcBorders>
            <w:vAlign w:val="bottom"/>
          </w:tcPr>
          <w:p w14:paraId="7F39518C" w14:textId="77777777" w:rsidR="00B31AE2" w:rsidRPr="00292532" w:rsidRDefault="00B31AE2" w:rsidP="00B31AE2">
            <w:pPr>
              <w:spacing w:before="0" w:line="259" w:lineRule="auto"/>
              <w:jc w:val="left"/>
              <w:rPr>
                <w:rFonts w:ascii="Arial" w:eastAsia="Calibri" w:hAnsi="Arial" w:cs="Arial"/>
                <w:color w:val="000000"/>
                <w:sz w:val="20"/>
                <w:szCs w:val="20"/>
                <w:lang w:val="pt-PT" w:eastAsia="en-GB"/>
              </w:rPr>
            </w:pPr>
            <w:r w:rsidRPr="00292532">
              <w:rPr>
                <w:rFonts w:ascii="Arial" w:eastAsia="Calibri" w:hAnsi="Arial" w:cs="Arial"/>
                <w:color w:val="000000"/>
                <w:sz w:val="20"/>
                <w:szCs w:val="20"/>
                <w:lang w:val="pt-PT" w:eastAsia="en-GB"/>
              </w:rPr>
              <w:t>Oficial de SSO</w:t>
            </w:r>
          </w:p>
        </w:tc>
        <w:tc>
          <w:tcPr>
            <w:tcW w:w="4986" w:type="dxa"/>
            <w:tcBorders>
              <w:top w:val="single" w:sz="4" w:space="0" w:color="000000"/>
              <w:left w:val="single" w:sz="4" w:space="0" w:color="000000"/>
              <w:bottom w:val="single" w:sz="4" w:space="0" w:color="000000"/>
              <w:right w:val="single" w:sz="4" w:space="0" w:color="000000"/>
            </w:tcBorders>
            <w:vAlign w:val="bottom"/>
          </w:tcPr>
          <w:p w14:paraId="54FA5328" w14:textId="77777777" w:rsidR="00B31AE2" w:rsidRPr="00292532" w:rsidRDefault="00B31AE2" w:rsidP="00B31AE2">
            <w:pPr>
              <w:spacing w:before="0" w:line="259" w:lineRule="auto"/>
              <w:jc w:val="left"/>
              <w:rPr>
                <w:rFonts w:ascii="Arial" w:eastAsia="Calibri" w:hAnsi="Arial" w:cs="Arial"/>
                <w:color w:val="000000"/>
                <w:sz w:val="21"/>
                <w:szCs w:val="21"/>
                <w:lang w:val="pt-PT" w:eastAsia="en-GB"/>
              </w:rPr>
            </w:pPr>
          </w:p>
        </w:tc>
      </w:tr>
      <w:tr w:rsidR="00B31AE2" w:rsidRPr="00292532" w14:paraId="1156FBD0" w14:textId="77777777" w:rsidTr="00B31AE2">
        <w:trPr>
          <w:trHeight w:val="472"/>
        </w:trPr>
        <w:tc>
          <w:tcPr>
            <w:tcW w:w="3794" w:type="dxa"/>
            <w:tcBorders>
              <w:top w:val="single" w:sz="4" w:space="0" w:color="000000"/>
              <w:left w:val="single" w:sz="4" w:space="0" w:color="000000"/>
              <w:bottom w:val="single" w:sz="4" w:space="0" w:color="000000"/>
              <w:right w:val="single" w:sz="4" w:space="0" w:color="000000"/>
            </w:tcBorders>
            <w:vAlign w:val="bottom"/>
          </w:tcPr>
          <w:p w14:paraId="3276A9F1" w14:textId="77777777" w:rsidR="00B31AE2" w:rsidRPr="00292532" w:rsidRDefault="00B31AE2" w:rsidP="00B31AE2">
            <w:pPr>
              <w:spacing w:before="0" w:line="259" w:lineRule="auto"/>
              <w:jc w:val="left"/>
              <w:rPr>
                <w:rFonts w:ascii="Arial" w:eastAsia="Calibri" w:hAnsi="Arial" w:cs="Arial"/>
                <w:color w:val="000000"/>
                <w:sz w:val="20"/>
                <w:szCs w:val="20"/>
                <w:lang w:val="pt-PT" w:eastAsia="en-GB"/>
              </w:rPr>
            </w:pPr>
            <w:r w:rsidRPr="00292532">
              <w:rPr>
                <w:rFonts w:ascii="Arial" w:eastAsia="Calibri" w:hAnsi="Arial" w:cs="Arial"/>
                <w:color w:val="000000"/>
                <w:sz w:val="20"/>
                <w:szCs w:val="20"/>
                <w:lang w:val="pt-PT" w:eastAsia="en-GB"/>
              </w:rPr>
              <w:t>Fiscal Residente</w:t>
            </w:r>
          </w:p>
        </w:tc>
        <w:tc>
          <w:tcPr>
            <w:tcW w:w="4986" w:type="dxa"/>
            <w:tcBorders>
              <w:top w:val="single" w:sz="4" w:space="0" w:color="000000"/>
              <w:left w:val="single" w:sz="4" w:space="0" w:color="000000"/>
              <w:bottom w:val="single" w:sz="4" w:space="0" w:color="000000"/>
              <w:right w:val="single" w:sz="4" w:space="0" w:color="000000"/>
            </w:tcBorders>
            <w:vAlign w:val="bottom"/>
          </w:tcPr>
          <w:p w14:paraId="0D625B58" w14:textId="77777777" w:rsidR="00B31AE2" w:rsidRPr="00292532" w:rsidRDefault="00B31AE2" w:rsidP="00B31AE2">
            <w:pPr>
              <w:spacing w:before="0" w:line="259" w:lineRule="auto"/>
              <w:jc w:val="left"/>
              <w:rPr>
                <w:rFonts w:ascii="Arial" w:eastAsia="Calibri" w:hAnsi="Arial" w:cs="Arial"/>
                <w:color w:val="000000"/>
                <w:sz w:val="21"/>
                <w:szCs w:val="21"/>
                <w:lang w:val="pt-PT" w:eastAsia="en-GB"/>
              </w:rPr>
            </w:pPr>
          </w:p>
        </w:tc>
      </w:tr>
      <w:tr w:rsidR="00B31AE2" w:rsidRPr="00292532" w14:paraId="6282312C" w14:textId="77777777" w:rsidTr="00B31AE2">
        <w:trPr>
          <w:trHeight w:val="472"/>
        </w:trPr>
        <w:tc>
          <w:tcPr>
            <w:tcW w:w="3794" w:type="dxa"/>
            <w:tcBorders>
              <w:top w:val="single" w:sz="4" w:space="0" w:color="000000"/>
              <w:left w:val="single" w:sz="4" w:space="0" w:color="000000"/>
              <w:bottom w:val="single" w:sz="4" w:space="0" w:color="000000"/>
              <w:right w:val="single" w:sz="4" w:space="0" w:color="000000"/>
            </w:tcBorders>
            <w:vAlign w:val="bottom"/>
          </w:tcPr>
          <w:p w14:paraId="510720EB" w14:textId="77777777" w:rsidR="00B31AE2" w:rsidRPr="00292532" w:rsidRDefault="00B31AE2" w:rsidP="00B31AE2">
            <w:pPr>
              <w:spacing w:before="0" w:line="259" w:lineRule="auto"/>
              <w:jc w:val="left"/>
              <w:rPr>
                <w:rFonts w:ascii="Arial" w:eastAsia="Calibri" w:hAnsi="Arial" w:cs="Arial"/>
                <w:color w:val="000000"/>
                <w:sz w:val="20"/>
                <w:szCs w:val="20"/>
                <w:lang w:val="pt-PT" w:eastAsia="en-GB"/>
              </w:rPr>
            </w:pPr>
            <w:proofErr w:type="spellStart"/>
            <w:r w:rsidRPr="00292532">
              <w:rPr>
                <w:rFonts w:ascii="Arial" w:eastAsia="Calibri" w:hAnsi="Arial" w:cs="Arial"/>
                <w:color w:val="000000"/>
                <w:sz w:val="20"/>
                <w:szCs w:val="20"/>
                <w:lang w:val="pt-PT" w:eastAsia="en-GB"/>
              </w:rPr>
              <w:t>Director</w:t>
            </w:r>
            <w:proofErr w:type="spellEnd"/>
            <w:r w:rsidRPr="00292532">
              <w:rPr>
                <w:rFonts w:ascii="Arial" w:eastAsia="Calibri" w:hAnsi="Arial" w:cs="Arial"/>
                <w:color w:val="000000"/>
                <w:sz w:val="20"/>
                <w:szCs w:val="20"/>
                <w:lang w:val="pt-PT" w:eastAsia="en-GB"/>
              </w:rPr>
              <w:t xml:space="preserve"> da Obra</w:t>
            </w:r>
          </w:p>
        </w:tc>
        <w:tc>
          <w:tcPr>
            <w:tcW w:w="4986" w:type="dxa"/>
            <w:tcBorders>
              <w:top w:val="single" w:sz="4" w:space="0" w:color="000000"/>
              <w:left w:val="single" w:sz="4" w:space="0" w:color="000000"/>
              <w:bottom w:val="single" w:sz="4" w:space="0" w:color="000000"/>
              <w:right w:val="single" w:sz="4" w:space="0" w:color="000000"/>
            </w:tcBorders>
            <w:vAlign w:val="bottom"/>
          </w:tcPr>
          <w:p w14:paraId="1986C6B8" w14:textId="77777777" w:rsidR="00B31AE2" w:rsidRPr="00292532" w:rsidRDefault="00B31AE2" w:rsidP="00B31AE2">
            <w:pPr>
              <w:spacing w:before="0" w:line="259" w:lineRule="auto"/>
              <w:jc w:val="left"/>
              <w:rPr>
                <w:rFonts w:ascii="Arial" w:eastAsia="Calibri" w:hAnsi="Arial" w:cs="Arial"/>
                <w:color w:val="000000"/>
                <w:sz w:val="21"/>
                <w:szCs w:val="21"/>
                <w:lang w:val="pt-PT" w:eastAsia="en-GB"/>
              </w:rPr>
            </w:pPr>
          </w:p>
        </w:tc>
      </w:tr>
      <w:tr w:rsidR="00B31AE2" w:rsidRPr="004E2EAC" w14:paraId="68A928AF" w14:textId="77777777" w:rsidTr="00B31AE2">
        <w:trPr>
          <w:trHeight w:val="472"/>
        </w:trPr>
        <w:tc>
          <w:tcPr>
            <w:tcW w:w="3794" w:type="dxa"/>
            <w:tcBorders>
              <w:top w:val="single" w:sz="4" w:space="0" w:color="000000"/>
              <w:left w:val="single" w:sz="4" w:space="0" w:color="000000"/>
              <w:bottom w:val="single" w:sz="4" w:space="0" w:color="000000"/>
              <w:right w:val="single" w:sz="4" w:space="0" w:color="000000"/>
            </w:tcBorders>
            <w:vAlign w:val="bottom"/>
          </w:tcPr>
          <w:p w14:paraId="37A544E5" w14:textId="77777777" w:rsidR="00B31AE2" w:rsidRPr="00292532" w:rsidRDefault="00B31AE2" w:rsidP="00B31AE2">
            <w:pPr>
              <w:spacing w:before="0" w:line="259" w:lineRule="auto"/>
              <w:jc w:val="left"/>
              <w:rPr>
                <w:rFonts w:ascii="Arial" w:eastAsia="Calibri" w:hAnsi="Arial" w:cs="Arial"/>
                <w:color w:val="000000"/>
                <w:sz w:val="20"/>
                <w:szCs w:val="20"/>
                <w:lang w:val="pt-PT" w:eastAsia="en-GB"/>
              </w:rPr>
            </w:pPr>
            <w:r w:rsidRPr="00292532">
              <w:rPr>
                <w:rFonts w:ascii="Arial" w:eastAsia="Calibri" w:hAnsi="Arial" w:cs="Arial"/>
                <w:color w:val="000000"/>
                <w:sz w:val="20"/>
                <w:szCs w:val="20"/>
                <w:lang w:val="pt-PT" w:eastAsia="en-GB"/>
              </w:rPr>
              <w:t>Mecanismo de Gestão de Reclamações</w:t>
            </w:r>
          </w:p>
        </w:tc>
        <w:tc>
          <w:tcPr>
            <w:tcW w:w="4986" w:type="dxa"/>
            <w:tcBorders>
              <w:top w:val="single" w:sz="4" w:space="0" w:color="000000"/>
              <w:left w:val="single" w:sz="4" w:space="0" w:color="000000"/>
              <w:bottom w:val="single" w:sz="4" w:space="0" w:color="000000"/>
              <w:right w:val="single" w:sz="4" w:space="0" w:color="000000"/>
            </w:tcBorders>
            <w:vAlign w:val="bottom"/>
          </w:tcPr>
          <w:p w14:paraId="5A50CBD9" w14:textId="77777777" w:rsidR="00B31AE2" w:rsidRPr="00292532" w:rsidRDefault="00B31AE2" w:rsidP="00B31AE2">
            <w:pPr>
              <w:spacing w:before="0" w:line="259" w:lineRule="auto"/>
              <w:jc w:val="left"/>
              <w:rPr>
                <w:rFonts w:ascii="Arial" w:eastAsia="Calibri" w:hAnsi="Arial" w:cs="Arial"/>
                <w:color w:val="000000"/>
                <w:sz w:val="21"/>
                <w:szCs w:val="21"/>
                <w:lang w:val="pt-PT" w:eastAsia="en-GB"/>
              </w:rPr>
            </w:pPr>
          </w:p>
        </w:tc>
      </w:tr>
    </w:tbl>
    <w:p w14:paraId="3C8AAE25" w14:textId="77777777" w:rsidR="00B31AE2" w:rsidRPr="00292532" w:rsidRDefault="00B31AE2" w:rsidP="00B31AE2">
      <w:pPr>
        <w:spacing w:before="0" w:after="0"/>
        <w:rPr>
          <w:rFonts w:ascii="Arial" w:eastAsia="Calibri" w:hAnsi="Arial" w:cs="Arial"/>
          <w:color w:val="000000"/>
          <w:sz w:val="20"/>
          <w:szCs w:val="20"/>
          <w:shd w:val="clear" w:color="auto" w:fill="FFFFFF"/>
          <w:lang w:val="pt-PT"/>
        </w:rPr>
      </w:pPr>
    </w:p>
    <w:p w14:paraId="2F47A2D9" w14:textId="77777777" w:rsidR="00B31AE2" w:rsidRPr="00292532" w:rsidRDefault="00B31AE2" w:rsidP="00B31AE2">
      <w:pPr>
        <w:spacing w:before="0" w:after="0"/>
        <w:jc w:val="center"/>
        <w:rPr>
          <w:rFonts w:ascii="Arial" w:eastAsia="Calibri" w:hAnsi="Arial" w:cs="Arial"/>
          <w:color w:val="000000"/>
          <w:sz w:val="20"/>
          <w:szCs w:val="20"/>
          <w:shd w:val="clear" w:color="auto" w:fill="FFFFFF"/>
          <w:lang w:val="pt-PT"/>
        </w:rPr>
      </w:pPr>
    </w:p>
    <w:p w14:paraId="6A3F3DC4" w14:textId="77777777" w:rsidR="00B31AE2" w:rsidRPr="00292532" w:rsidRDefault="00B31AE2" w:rsidP="00B31AE2">
      <w:pPr>
        <w:spacing w:before="0" w:after="0"/>
        <w:jc w:val="center"/>
        <w:rPr>
          <w:rFonts w:ascii="Arial" w:eastAsia="Calibri" w:hAnsi="Arial" w:cs="Arial"/>
          <w:color w:val="4472C4"/>
          <w:sz w:val="20"/>
          <w:szCs w:val="20"/>
          <w:shd w:val="clear" w:color="auto" w:fill="FFFFFF"/>
          <w:lang w:val="pt-PT"/>
        </w:rPr>
      </w:pPr>
      <w:r w:rsidRPr="00292532">
        <w:rPr>
          <w:rFonts w:ascii="Arial" w:eastAsia="Calibri" w:hAnsi="Arial" w:cs="Arial"/>
          <w:color w:val="4472C4"/>
          <w:sz w:val="20"/>
          <w:szCs w:val="20"/>
          <w:shd w:val="clear" w:color="auto" w:fill="FFFFFF"/>
          <w:lang w:val="pt-PT"/>
        </w:rPr>
        <w:t>Contactos Relevantes do Ministério da Saúde</w:t>
      </w:r>
    </w:p>
    <w:p w14:paraId="1731675D" w14:textId="77777777" w:rsidR="00B31AE2" w:rsidRPr="00292532" w:rsidRDefault="00B31AE2" w:rsidP="00AE14AE">
      <w:pPr>
        <w:numPr>
          <w:ilvl w:val="0"/>
          <w:numId w:val="152"/>
        </w:numPr>
        <w:spacing w:before="0" w:after="0" w:line="259" w:lineRule="auto"/>
        <w:jc w:val="left"/>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u w:val="single"/>
          <w:shd w:val="clear" w:color="auto" w:fill="FFFFFF"/>
          <w:lang w:val="pt-PT"/>
        </w:rPr>
        <w:t>Unidade sanitária de referência</w:t>
      </w:r>
      <w:r w:rsidRPr="00292532">
        <w:rPr>
          <w:rFonts w:ascii="Arial" w:eastAsia="Calibri" w:hAnsi="Arial" w:cs="Arial"/>
          <w:color w:val="000000"/>
          <w:sz w:val="20"/>
          <w:szCs w:val="20"/>
          <w:shd w:val="clear" w:color="auto" w:fill="FFFFFF"/>
          <w:lang w:val="pt-PT"/>
        </w:rPr>
        <w:t xml:space="preserve"> - por preencher pelo empreiteiro…</w:t>
      </w:r>
    </w:p>
    <w:p w14:paraId="5D57287C" w14:textId="77777777" w:rsidR="00B31AE2" w:rsidRPr="00292532" w:rsidRDefault="00B31AE2" w:rsidP="00AE14AE">
      <w:pPr>
        <w:numPr>
          <w:ilvl w:val="0"/>
          <w:numId w:val="152"/>
        </w:numPr>
        <w:spacing w:before="0" w:after="0" w:line="259" w:lineRule="auto"/>
        <w:jc w:val="left"/>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u w:val="single"/>
          <w:shd w:val="clear" w:color="auto" w:fill="FFFFFF"/>
          <w:lang w:val="pt-PT"/>
        </w:rPr>
        <w:t>Alô Vida</w:t>
      </w:r>
      <w:r w:rsidRPr="00292532">
        <w:rPr>
          <w:rFonts w:ascii="Arial" w:eastAsia="Calibri" w:hAnsi="Arial" w:cs="Arial"/>
          <w:color w:val="000000"/>
          <w:sz w:val="20"/>
          <w:szCs w:val="20"/>
          <w:shd w:val="clear" w:color="auto" w:fill="FFFFFF"/>
          <w:lang w:val="pt-PT"/>
        </w:rPr>
        <w:t xml:space="preserve"> - linhas grátis para dúvidas sobre saúde (COVID-19, Tuberculose, HIV-SIDA, </w:t>
      </w:r>
      <w:proofErr w:type="spellStart"/>
      <w:r w:rsidRPr="00292532">
        <w:rPr>
          <w:rFonts w:ascii="Arial" w:eastAsia="Calibri" w:hAnsi="Arial" w:cs="Arial"/>
          <w:color w:val="000000"/>
          <w:sz w:val="20"/>
          <w:szCs w:val="20"/>
          <w:shd w:val="clear" w:color="auto" w:fill="FFFFFF"/>
          <w:lang w:val="pt-PT"/>
        </w:rPr>
        <w:t>etc</w:t>
      </w:r>
      <w:proofErr w:type="spellEnd"/>
      <w:r w:rsidRPr="00292532">
        <w:rPr>
          <w:rFonts w:ascii="Arial" w:eastAsia="Calibri" w:hAnsi="Arial" w:cs="Arial"/>
          <w:color w:val="000000"/>
          <w:sz w:val="20"/>
          <w:szCs w:val="20"/>
          <w:shd w:val="clear" w:color="auto" w:fill="FFFFFF"/>
          <w:lang w:val="pt-PT"/>
        </w:rPr>
        <w:t>).</w:t>
      </w:r>
    </w:p>
    <w:p w14:paraId="73B904BF" w14:textId="77777777" w:rsidR="00B31AE2" w:rsidRPr="00292532" w:rsidRDefault="00B31AE2" w:rsidP="00AE14AE">
      <w:pPr>
        <w:numPr>
          <w:ilvl w:val="1"/>
          <w:numId w:val="153"/>
        </w:numPr>
        <w:spacing w:before="0" w:after="0" w:line="259" w:lineRule="auto"/>
        <w:jc w:val="left"/>
        <w:rPr>
          <w:rFonts w:ascii="Arial" w:eastAsia="Calibri" w:hAnsi="Arial" w:cs="Arial"/>
          <w:color w:val="000000"/>
          <w:sz w:val="20"/>
          <w:szCs w:val="20"/>
          <w:shd w:val="clear" w:color="auto" w:fill="FFFFFF"/>
          <w:lang w:val="pt-PT"/>
        </w:rPr>
      </w:pPr>
      <w:proofErr w:type="spellStart"/>
      <w:r w:rsidRPr="00292532">
        <w:rPr>
          <w:rFonts w:ascii="Arial" w:eastAsia="Calibri" w:hAnsi="Arial" w:cs="Arial"/>
          <w:color w:val="000000"/>
          <w:sz w:val="20"/>
          <w:szCs w:val="20"/>
          <w:shd w:val="clear" w:color="auto" w:fill="FFFFFF"/>
          <w:lang w:val="pt-PT"/>
        </w:rPr>
        <w:t>Tmcel</w:t>
      </w:r>
      <w:proofErr w:type="spellEnd"/>
      <w:r w:rsidRPr="00292532">
        <w:rPr>
          <w:rFonts w:ascii="Arial" w:eastAsia="Calibri" w:hAnsi="Arial" w:cs="Arial"/>
          <w:color w:val="000000"/>
          <w:sz w:val="20"/>
          <w:szCs w:val="20"/>
          <w:shd w:val="clear" w:color="auto" w:fill="FFFFFF"/>
          <w:lang w:val="pt-PT"/>
        </w:rPr>
        <w:t xml:space="preserve"> - 82149 ou 1490</w:t>
      </w:r>
    </w:p>
    <w:p w14:paraId="1BF7FC37" w14:textId="77777777" w:rsidR="00B31AE2" w:rsidRPr="00292532" w:rsidRDefault="00B31AE2" w:rsidP="00AE14AE">
      <w:pPr>
        <w:numPr>
          <w:ilvl w:val="1"/>
          <w:numId w:val="153"/>
        </w:numPr>
        <w:spacing w:before="0" w:after="0" w:line="259" w:lineRule="auto"/>
        <w:jc w:val="left"/>
        <w:rPr>
          <w:rFonts w:ascii="Arial" w:eastAsia="Calibri" w:hAnsi="Arial" w:cs="Arial"/>
          <w:color w:val="000000"/>
          <w:sz w:val="20"/>
          <w:szCs w:val="20"/>
          <w:shd w:val="clear" w:color="auto" w:fill="FFFFFF"/>
          <w:lang w:val="pt-PT"/>
        </w:rPr>
      </w:pPr>
      <w:proofErr w:type="spellStart"/>
      <w:r w:rsidRPr="00292532">
        <w:rPr>
          <w:rFonts w:ascii="Arial" w:eastAsia="Calibri" w:hAnsi="Arial" w:cs="Arial"/>
          <w:color w:val="000000"/>
          <w:sz w:val="20"/>
          <w:szCs w:val="20"/>
          <w:shd w:val="clear" w:color="auto" w:fill="FFFFFF"/>
          <w:lang w:val="pt-PT"/>
        </w:rPr>
        <w:t>Vodacom</w:t>
      </w:r>
      <w:proofErr w:type="spellEnd"/>
      <w:r w:rsidRPr="00292532">
        <w:rPr>
          <w:rFonts w:ascii="Arial" w:eastAsia="Calibri" w:hAnsi="Arial" w:cs="Arial"/>
          <w:color w:val="000000"/>
          <w:sz w:val="20"/>
          <w:szCs w:val="20"/>
          <w:shd w:val="clear" w:color="auto" w:fill="FFFFFF"/>
          <w:lang w:val="pt-PT"/>
        </w:rPr>
        <w:t xml:space="preserve"> - 84146</w:t>
      </w:r>
    </w:p>
    <w:p w14:paraId="139381F4" w14:textId="77777777" w:rsidR="00B31AE2" w:rsidRPr="00292532" w:rsidRDefault="00B31AE2" w:rsidP="00AE14AE">
      <w:pPr>
        <w:numPr>
          <w:ilvl w:val="1"/>
          <w:numId w:val="153"/>
        </w:numPr>
        <w:spacing w:before="0" w:after="0" w:line="259" w:lineRule="auto"/>
        <w:jc w:val="left"/>
        <w:rPr>
          <w:rFonts w:ascii="Arial" w:eastAsia="Calibri" w:hAnsi="Arial" w:cs="Arial"/>
          <w:color w:val="000000"/>
          <w:sz w:val="20"/>
          <w:szCs w:val="20"/>
          <w:shd w:val="clear" w:color="auto" w:fill="FFFFFF"/>
          <w:lang w:val="pt-PT"/>
        </w:rPr>
      </w:pPr>
      <w:proofErr w:type="spellStart"/>
      <w:r w:rsidRPr="00292532">
        <w:rPr>
          <w:rFonts w:ascii="Arial" w:eastAsia="Calibri" w:hAnsi="Arial" w:cs="Arial"/>
          <w:color w:val="000000"/>
          <w:sz w:val="20"/>
          <w:szCs w:val="20"/>
          <w:shd w:val="clear" w:color="auto" w:fill="FFFFFF"/>
          <w:lang w:val="pt-PT"/>
        </w:rPr>
        <w:t>Movitel</w:t>
      </w:r>
      <w:proofErr w:type="spellEnd"/>
      <w:r w:rsidRPr="00292532">
        <w:rPr>
          <w:rFonts w:ascii="Arial" w:eastAsia="Calibri" w:hAnsi="Arial" w:cs="Arial"/>
          <w:color w:val="000000"/>
          <w:sz w:val="20"/>
          <w:szCs w:val="20"/>
          <w:shd w:val="clear" w:color="auto" w:fill="FFFFFF"/>
          <w:lang w:val="pt-PT"/>
        </w:rPr>
        <w:t xml:space="preserve"> - 1490</w:t>
      </w:r>
    </w:p>
    <w:p w14:paraId="1CED3B6B" w14:textId="77777777" w:rsidR="00B31AE2" w:rsidRPr="00292532" w:rsidRDefault="00B31AE2" w:rsidP="00AE14AE">
      <w:pPr>
        <w:numPr>
          <w:ilvl w:val="1"/>
          <w:numId w:val="153"/>
        </w:numPr>
        <w:autoSpaceDE w:val="0"/>
        <w:autoSpaceDN w:val="0"/>
        <w:adjustRightInd w:val="0"/>
        <w:spacing w:before="0" w:after="0" w:line="259" w:lineRule="auto"/>
        <w:contextualSpacing/>
        <w:jc w:val="left"/>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shd w:val="clear" w:color="auto" w:fill="FFFFFF"/>
          <w:lang w:val="pt-PT"/>
        </w:rPr>
        <w:t xml:space="preserve">Email: </w:t>
      </w:r>
      <w:hyperlink r:id="rId54" w:history="1">
        <w:r w:rsidRPr="00292532">
          <w:rPr>
            <w:rFonts w:ascii="Arial" w:eastAsia="Calibri" w:hAnsi="Arial" w:cs="Arial"/>
            <w:color w:val="2F5496"/>
            <w:sz w:val="20"/>
            <w:szCs w:val="20"/>
            <w:u w:val="single"/>
            <w:shd w:val="clear" w:color="auto" w:fill="FFFFFF"/>
            <w:lang w:val="pt-PT"/>
          </w:rPr>
          <w:t>covid19@ins.gov.mz</w:t>
        </w:r>
      </w:hyperlink>
    </w:p>
    <w:p w14:paraId="540D402D" w14:textId="77777777" w:rsidR="00B31AE2" w:rsidRPr="00292532" w:rsidRDefault="00B31AE2" w:rsidP="00AE14AE">
      <w:pPr>
        <w:numPr>
          <w:ilvl w:val="1"/>
          <w:numId w:val="153"/>
        </w:numPr>
        <w:autoSpaceDE w:val="0"/>
        <w:autoSpaceDN w:val="0"/>
        <w:adjustRightInd w:val="0"/>
        <w:spacing w:before="0" w:after="0" w:line="259" w:lineRule="auto"/>
        <w:contextualSpacing/>
        <w:jc w:val="left"/>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shd w:val="clear" w:color="auto" w:fill="FFFFFF"/>
          <w:lang w:val="pt-PT"/>
        </w:rPr>
        <w:t>www.covid19.ins.gov.mz</w:t>
      </w:r>
    </w:p>
    <w:p w14:paraId="1B63E30E" w14:textId="77777777" w:rsidR="00B31AE2" w:rsidRPr="00292532" w:rsidRDefault="00B31AE2" w:rsidP="00AE14AE">
      <w:pPr>
        <w:numPr>
          <w:ilvl w:val="0"/>
          <w:numId w:val="152"/>
        </w:numPr>
        <w:spacing w:before="0" w:after="0" w:line="259" w:lineRule="auto"/>
        <w:jc w:val="left"/>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u w:val="single"/>
          <w:shd w:val="clear" w:color="auto" w:fill="FFFFFF"/>
          <w:lang w:val="pt-PT"/>
        </w:rPr>
        <w:t>Linha de saúde para consulta médica</w:t>
      </w:r>
      <w:r w:rsidRPr="00292532">
        <w:rPr>
          <w:rFonts w:ascii="Arial" w:eastAsia="Calibri" w:hAnsi="Arial" w:cs="Arial"/>
          <w:color w:val="000000"/>
          <w:sz w:val="20"/>
          <w:szCs w:val="20"/>
          <w:shd w:val="clear" w:color="auto" w:fill="FFFFFF"/>
          <w:lang w:val="pt-PT"/>
        </w:rPr>
        <w:t xml:space="preserve"> - 110 (grátis para todas redes de telefonia)</w:t>
      </w:r>
    </w:p>
    <w:p w14:paraId="620A485B" w14:textId="77777777" w:rsidR="00B31AE2" w:rsidRPr="00292532" w:rsidRDefault="00B31AE2" w:rsidP="00AE14AE">
      <w:pPr>
        <w:numPr>
          <w:ilvl w:val="0"/>
          <w:numId w:val="152"/>
        </w:numPr>
        <w:spacing w:before="0" w:after="0" w:line="259" w:lineRule="auto"/>
        <w:jc w:val="left"/>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u w:val="single"/>
          <w:shd w:val="clear" w:color="auto" w:fill="FFFFFF"/>
          <w:lang w:val="pt-PT"/>
        </w:rPr>
        <w:t>PENSA</w:t>
      </w:r>
      <w:r w:rsidRPr="00292532">
        <w:rPr>
          <w:rFonts w:ascii="Arial" w:eastAsia="Calibri" w:hAnsi="Arial" w:cs="Arial"/>
          <w:color w:val="000000"/>
          <w:sz w:val="20"/>
          <w:szCs w:val="20"/>
          <w:shd w:val="clear" w:color="auto" w:fill="FFFFFF"/>
          <w:lang w:val="pt-PT"/>
        </w:rPr>
        <w:t xml:space="preserve"> - *660# (plataforma educativa de informação sobre a saúde)</w:t>
      </w:r>
    </w:p>
    <w:p w14:paraId="3F86B4B5" w14:textId="77777777" w:rsidR="00B31AE2" w:rsidRPr="00292532" w:rsidRDefault="00B31AE2" w:rsidP="00AE14AE">
      <w:pPr>
        <w:numPr>
          <w:ilvl w:val="0"/>
          <w:numId w:val="152"/>
        </w:numPr>
        <w:spacing w:before="0" w:after="0" w:line="259" w:lineRule="auto"/>
        <w:jc w:val="left"/>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u w:val="single"/>
          <w:shd w:val="clear" w:color="auto" w:fill="FFFFFF"/>
          <w:lang w:val="pt-PT"/>
        </w:rPr>
        <w:t>FICA ATENTO</w:t>
      </w:r>
      <w:r w:rsidRPr="00292532">
        <w:rPr>
          <w:rFonts w:ascii="Arial" w:eastAsia="Calibri" w:hAnsi="Arial" w:cs="Arial"/>
          <w:color w:val="000000"/>
          <w:sz w:val="20"/>
          <w:szCs w:val="20"/>
          <w:shd w:val="clear" w:color="auto" w:fill="FFFFFF"/>
          <w:lang w:val="pt-PT"/>
        </w:rPr>
        <w:t xml:space="preserve"> - +258 84 331 8727 (WhatsApp de serviço de suporte oficial COVID-19 de Moçambique, que fornece informações </w:t>
      </w:r>
      <w:proofErr w:type="spellStart"/>
      <w:r w:rsidRPr="00292532">
        <w:rPr>
          <w:rFonts w:ascii="Arial" w:eastAsia="Calibri" w:hAnsi="Arial" w:cs="Arial"/>
          <w:color w:val="000000"/>
          <w:sz w:val="20"/>
          <w:szCs w:val="20"/>
          <w:shd w:val="clear" w:color="auto" w:fill="FFFFFF"/>
          <w:lang w:val="pt-PT"/>
        </w:rPr>
        <w:t>actualizadas</w:t>
      </w:r>
      <w:proofErr w:type="spellEnd"/>
      <w:r w:rsidRPr="00292532">
        <w:rPr>
          <w:rFonts w:ascii="Arial" w:eastAsia="Calibri" w:hAnsi="Arial" w:cs="Arial"/>
          <w:color w:val="000000"/>
          <w:sz w:val="20"/>
          <w:szCs w:val="20"/>
          <w:shd w:val="clear" w:color="auto" w:fill="FFFFFF"/>
          <w:lang w:val="pt-PT"/>
        </w:rPr>
        <w:t xml:space="preserve"> sobre o COVID-19).</w:t>
      </w:r>
    </w:p>
    <w:p w14:paraId="2DCF61F1" w14:textId="77777777" w:rsidR="00B31AE2" w:rsidRPr="00292532" w:rsidRDefault="00B31AE2" w:rsidP="00AE14AE">
      <w:pPr>
        <w:numPr>
          <w:ilvl w:val="0"/>
          <w:numId w:val="152"/>
        </w:numPr>
        <w:spacing w:before="0" w:after="0" w:line="259" w:lineRule="auto"/>
        <w:jc w:val="left"/>
        <w:rPr>
          <w:rFonts w:ascii="Arial" w:eastAsia="Calibri" w:hAnsi="Arial" w:cs="Arial"/>
          <w:color w:val="000000"/>
          <w:sz w:val="20"/>
          <w:szCs w:val="20"/>
          <w:shd w:val="clear" w:color="auto" w:fill="FFFFFF"/>
          <w:lang w:val="pt-PT"/>
        </w:rPr>
      </w:pPr>
      <w:proofErr w:type="spellStart"/>
      <w:r w:rsidRPr="00292532">
        <w:rPr>
          <w:rFonts w:ascii="Arial" w:eastAsia="Calibri" w:hAnsi="Arial" w:cs="Arial"/>
          <w:color w:val="000000"/>
          <w:sz w:val="20"/>
          <w:szCs w:val="20"/>
          <w:shd w:val="clear" w:color="auto" w:fill="FFFFFF"/>
          <w:lang w:val="pt-PT"/>
        </w:rPr>
        <w:t>Auto-avaliação</w:t>
      </w:r>
      <w:proofErr w:type="spellEnd"/>
      <w:r w:rsidRPr="00292532">
        <w:rPr>
          <w:rFonts w:ascii="Arial" w:eastAsia="Calibri" w:hAnsi="Arial" w:cs="Arial"/>
          <w:color w:val="000000"/>
          <w:sz w:val="20"/>
          <w:szCs w:val="20"/>
          <w:shd w:val="clear" w:color="auto" w:fill="FFFFFF"/>
          <w:lang w:val="pt-PT"/>
        </w:rPr>
        <w:t xml:space="preserve"> de Risco COVID 19 - </w:t>
      </w:r>
      <w:hyperlink r:id="rId55" w:history="1">
        <w:r w:rsidRPr="00292532">
          <w:rPr>
            <w:rFonts w:ascii="Arial" w:eastAsia="Calibri" w:hAnsi="Arial" w:cs="Arial"/>
            <w:color w:val="000000"/>
            <w:sz w:val="20"/>
            <w:szCs w:val="20"/>
            <w:lang w:val="pt-PT"/>
          </w:rPr>
          <w:t>https://riscocovid19.misau.gov.mz/</w:t>
        </w:r>
      </w:hyperlink>
    </w:p>
    <w:p w14:paraId="07ED1A65" w14:textId="77777777" w:rsidR="00B31AE2" w:rsidRPr="00292532" w:rsidRDefault="00B31AE2" w:rsidP="00AE14AE">
      <w:pPr>
        <w:numPr>
          <w:ilvl w:val="0"/>
          <w:numId w:val="152"/>
        </w:numPr>
        <w:spacing w:before="0" w:after="0" w:line="259" w:lineRule="auto"/>
        <w:jc w:val="left"/>
        <w:rPr>
          <w:rFonts w:ascii="Arial" w:eastAsia="Calibri" w:hAnsi="Arial" w:cs="Arial"/>
          <w:color w:val="000000"/>
          <w:sz w:val="20"/>
          <w:szCs w:val="20"/>
          <w:shd w:val="clear" w:color="auto" w:fill="FFFFFF"/>
          <w:lang w:val="pt-PT"/>
        </w:rPr>
      </w:pPr>
      <w:r w:rsidRPr="00292532">
        <w:rPr>
          <w:rFonts w:ascii="Arial" w:eastAsia="Calibri" w:hAnsi="Arial" w:cs="Arial"/>
          <w:sz w:val="20"/>
          <w:szCs w:val="20"/>
          <w:lang w:val="pt-PT"/>
        </w:rPr>
        <w:t xml:space="preserve">Manuais e Material Educativo sobre COVID-19/MISAU - </w:t>
      </w:r>
      <w:r w:rsidRPr="00292532">
        <w:rPr>
          <w:rFonts w:ascii="Arial" w:eastAsia="Calibri" w:hAnsi="Arial" w:cs="Arial"/>
          <w:color w:val="000000"/>
          <w:sz w:val="20"/>
          <w:szCs w:val="20"/>
          <w:shd w:val="clear" w:color="auto" w:fill="FFFFFF"/>
          <w:lang w:val="pt-PT"/>
        </w:rPr>
        <w:t>https://www.misau.gov.mz/index.php/manuais-e-material-educativo</w:t>
      </w:r>
    </w:p>
    <w:p w14:paraId="2E1A3EE1" w14:textId="77777777" w:rsidR="00B31AE2" w:rsidRPr="00292532" w:rsidRDefault="00B31AE2" w:rsidP="00AE14AE">
      <w:pPr>
        <w:numPr>
          <w:ilvl w:val="0"/>
          <w:numId w:val="152"/>
        </w:numPr>
        <w:spacing w:before="0" w:after="0" w:line="259" w:lineRule="auto"/>
        <w:jc w:val="left"/>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shd w:val="clear" w:color="auto" w:fill="FFFFFF"/>
          <w:lang w:val="pt-PT"/>
        </w:rPr>
        <w:t xml:space="preserve">Manuais e Guiões sobre COVID-19/INS - </w:t>
      </w:r>
      <w:hyperlink r:id="rId56" w:history="1">
        <w:r w:rsidRPr="00292532">
          <w:rPr>
            <w:rFonts w:ascii="Arial" w:eastAsia="Calibri" w:hAnsi="Arial" w:cs="Arial"/>
            <w:color w:val="000000"/>
            <w:sz w:val="20"/>
            <w:szCs w:val="20"/>
            <w:lang w:val="pt-PT"/>
          </w:rPr>
          <w:t>https://covid19.ins.gov.mz/documentos-em-pdf/manuais-e-guioes/</w:t>
        </w:r>
      </w:hyperlink>
    </w:p>
    <w:p w14:paraId="3FEAFB54" w14:textId="77777777" w:rsidR="00B31AE2" w:rsidRPr="00292532" w:rsidRDefault="00B31AE2" w:rsidP="00AE14AE">
      <w:pPr>
        <w:numPr>
          <w:ilvl w:val="0"/>
          <w:numId w:val="152"/>
        </w:numPr>
        <w:spacing w:before="0" w:after="0" w:line="259" w:lineRule="auto"/>
        <w:jc w:val="left"/>
        <w:rPr>
          <w:rFonts w:ascii="Arial" w:eastAsia="Calibri" w:hAnsi="Arial" w:cs="Arial"/>
          <w:color w:val="000000"/>
          <w:sz w:val="20"/>
          <w:szCs w:val="20"/>
          <w:shd w:val="clear" w:color="auto" w:fill="FFFFFF"/>
          <w:lang w:val="pt-PT"/>
        </w:rPr>
      </w:pPr>
      <w:r w:rsidRPr="00292532">
        <w:rPr>
          <w:rFonts w:ascii="Arial" w:eastAsia="Calibri" w:hAnsi="Arial" w:cs="Arial"/>
          <w:color w:val="000000"/>
          <w:sz w:val="20"/>
          <w:szCs w:val="20"/>
          <w:shd w:val="clear" w:color="auto" w:fill="FFFFFF"/>
          <w:lang w:val="pt-PT"/>
        </w:rPr>
        <w:t>Biblioteca</w:t>
      </w:r>
      <w:r w:rsidRPr="00292532">
        <w:rPr>
          <w:rFonts w:ascii="Arial" w:eastAsia="Calibri" w:hAnsi="Arial" w:cs="Arial"/>
          <w:sz w:val="20"/>
          <w:szCs w:val="20"/>
          <w:lang w:val="pt-PT"/>
        </w:rPr>
        <w:t xml:space="preserve"> virtual em saúde - </w:t>
      </w:r>
      <w:r w:rsidRPr="00292532">
        <w:rPr>
          <w:rFonts w:ascii="Arial" w:eastAsia="Calibri" w:hAnsi="Arial" w:cs="Arial"/>
          <w:color w:val="000000"/>
          <w:sz w:val="20"/>
          <w:szCs w:val="20"/>
          <w:shd w:val="clear" w:color="auto" w:fill="FFFFFF"/>
          <w:lang w:val="pt-PT"/>
        </w:rPr>
        <w:t>http://mocambique.eportuguese.org/</w:t>
      </w:r>
    </w:p>
    <w:bookmarkEnd w:id="1618"/>
    <w:bookmarkEnd w:id="1619"/>
    <w:p w14:paraId="34B8AB32" w14:textId="77777777" w:rsidR="00B31AE2" w:rsidRPr="00292532" w:rsidRDefault="00B31AE2" w:rsidP="00B31AE2">
      <w:pPr>
        <w:spacing w:before="0" w:line="259" w:lineRule="auto"/>
        <w:jc w:val="left"/>
        <w:rPr>
          <w:rFonts w:ascii="Arial" w:eastAsia="Calibri" w:hAnsi="Arial" w:cs="Arial"/>
          <w:sz w:val="20"/>
          <w:szCs w:val="20"/>
          <w:lang w:val="pt-PT"/>
        </w:rPr>
      </w:pPr>
      <w:r w:rsidRPr="00292532">
        <w:rPr>
          <w:rFonts w:ascii="Arial" w:eastAsia="Calibri" w:hAnsi="Arial" w:cs="Arial"/>
          <w:sz w:val="20"/>
          <w:szCs w:val="20"/>
          <w:lang w:val="pt-PT"/>
        </w:rPr>
        <w:br w:type="page"/>
      </w:r>
    </w:p>
    <w:p w14:paraId="2B8C634C" w14:textId="0B2D4543" w:rsidR="00B31AE2" w:rsidRPr="00292532" w:rsidRDefault="00B31AE2" w:rsidP="00AE14AE">
      <w:pPr>
        <w:keepNext/>
        <w:keepLines/>
        <w:numPr>
          <w:ilvl w:val="0"/>
          <w:numId w:val="148"/>
        </w:numPr>
        <w:spacing w:before="0" w:after="0" w:line="259" w:lineRule="auto"/>
        <w:ind w:left="0" w:firstLine="0"/>
        <w:jc w:val="left"/>
        <w:outlineLvl w:val="0"/>
        <w:rPr>
          <w:rFonts w:ascii="Arial" w:eastAsia="Times New Roman" w:hAnsi="Arial" w:cs="Arial"/>
          <w:b/>
          <w:color w:val="4472C4"/>
          <w:sz w:val="26"/>
          <w:szCs w:val="26"/>
          <w:shd w:val="clear" w:color="auto" w:fill="FFFFFF"/>
          <w:lang w:val="pt-PT"/>
        </w:rPr>
      </w:pPr>
      <w:bookmarkStart w:id="1634" w:name="_Toc74922418"/>
      <w:bookmarkStart w:id="1635" w:name="_Toc75438104"/>
      <w:bookmarkStart w:id="1636" w:name="_Toc78435541"/>
      <w:bookmarkStart w:id="1637" w:name="_Toc80380207"/>
      <w:r w:rsidRPr="00292532">
        <w:rPr>
          <w:rFonts w:ascii="Arial" w:eastAsia="Times New Roman" w:hAnsi="Arial" w:cs="Arial"/>
          <w:b/>
          <w:color w:val="4472C4"/>
          <w:sz w:val="26"/>
          <w:szCs w:val="26"/>
          <w:shd w:val="clear" w:color="auto" w:fill="FFFFFF"/>
          <w:lang w:val="pt-PT"/>
        </w:rPr>
        <w:lastRenderedPageBreak/>
        <w:t>Apêndice c - Quadro legal regulamentar</w:t>
      </w:r>
      <w:bookmarkEnd w:id="1634"/>
      <w:bookmarkEnd w:id="1635"/>
      <w:bookmarkEnd w:id="1636"/>
      <w:bookmarkEnd w:id="1637"/>
    </w:p>
    <w:p w14:paraId="43CA350C" w14:textId="77777777" w:rsidR="00B31AE2" w:rsidRPr="00292532" w:rsidRDefault="00B31AE2" w:rsidP="00B31AE2">
      <w:pPr>
        <w:spacing w:before="0" w:after="0"/>
        <w:rPr>
          <w:rFonts w:ascii="Arial" w:eastAsia="Calibri" w:hAnsi="Arial" w:cs="Arial"/>
          <w:color w:val="000000"/>
          <w:sz w:val="20"/>
          <w:szCs w:val="20"/>
          <w:lang w:val="pt-PT"/>
        </w:rPr>
      </w:pPr>
      <w:r w:rsidRPr="00292532">
        <w:rPr>
          <w:rFonts w:ascii="Arial" w:eastAsia="Calibri" w:hAnsi="Arial" w:cs="Arial"/>
          <w:color w:val="000000"/>
          <w:sz w:val="20"/>
          <w:szCs w:val="20"/>
          <w:lang w:val="pt-PT"/>
        </w:rPr>
        <w:t xml:space="preserve">Em Moçambique, após o anúncio do primeiro caso confirmado da COVID-19 a 22 de </w:t>
      </w:r>
      <w:proofErr w:type="gramStart"/>
      <w:r w:rsidRPr="00292532">
        <w:rPr>
          <w:rFonts w:ascii="Arial" w:eastAsia="Calibri" w:hAnsi="Arial" w:cs="Arial"/>
          <w:color w:val="000000"/>
          <w:sz w:val="20"/>
          <w:szCs w:val="20"/>
          <w:lang w:val="pt-PT"/>
        </w:rPr>
        <w:t>Março</w:t>
      </w:r>
      <w:proofErr w:type="gramEnd"/>
      <w:r w:rsidRPr="00292532">
        <w:rPr>
          <w:rFonts w:ascii="Arial" w:eastAsia="Calibri" w:hAnsi="Arial" w:cs="Arial"/>
          <w:color w:val="000000"/>
          <w:sz w:val="20"/>
          <w:szCs w:val="20"/>
          <w:lang w:val="pt-PT"/>
        </w:rPr>
        <w:t xml:space="preserve"> de 2020, foram estabelecidos vários regulamentos para prevenir e minimizar a contaminação e a propagação da COVID-19, a destacar:</w:t>
      </w:r>
    </w:p>
    <w:p w14:paraId="3F61F06A" w14:textId="77777777" w:rsidR="00B31AE2" w:rsidRPr="00292532" w:rsidRDefault="00B31AE2" w:rsidP="00B31AE2">
      <w:pPr>
        <w:spacing w:before="0" w:after="0"/>
        <w:rPr>
          <w:rFonts w:ascii="Arial" w:eastAsia="Calibri" w:hAnsi="Arial" w:cs="Arial"/>
          <w:color w:val="000000"/>
          <w:sz w:val="20"/>
          <w:szCs w:val="20"/>
          <w:lang w:val="pt-PT"/>
        </w:rPr>
      </w:pPr>
    </w:p>
    <w:tbl>
      <w:tblPr>
        <w:tblW w:w="9540"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160"/>
        <w:gridCol w:w="7380"/>
      </w:tblGrid>
      <w:tr w:rsidR="00B31AE2" w:rsidRPr="00292532" w14:paraId="186A208A" w14:textId="77777777" w:rsidTr="00B31AE2">
        <w:trPr>
          <w:trHeight w:val="48"/>
        </w:trPr>
        <w:tc>
          <w:tcPr>
            <w:tcW w:w="2160" w:type="dxa"/>
            <w:tcBorders>
              <w:top w:val="nil"/>
              <w:bottom w:val="nil"/>
              <w:right w:val="nil"/>
            </w:tcBorders>
            <w:shd w:val="clear" w:color="auto" w:fill="5B9BD5"/>
          </w:tcPr>
          <w:p w14:paraId="2B50F14B" w14:textId="77777777" w:rsidR="00B31AE2" w:rsidRPr="00292532" w:rsidRDefault="00B31AE2" w:rsidP="00B31AE2">
            <w:pPr>
              <w:autoSpaceDE w:val="0"/>
              <w:autoSpaceDN w:val="0"/>
              <w:adjustRightInd w:val="0"/>
              <w:spacing w:before="60" w:after="0" w:line="276" w:lineRule="auto"/>
              <w:rPr>
                <w:rFonts w:ascii="Arial" w:eastAsia="Calibri" w:hAnsi="Arial" w:cs="Arial"/>
                <w:sz w:val="20"/>
                <w:szCs w:val="20"/>
                <w:lang w:val="pt-PT" w:eastAsia="en-GB"/>
              </w:rPr>
            </w:pPr>
            <w:r w:rsidRPr="00292532">
              <w:rPr>
                <w:rFonts w:ascii="Arial" w:eastAsia="Calibri" w:hAnsi="Arial" w:cs="Arial"/>
                <w:b/>
                <w:color w:val="FFFFFF"/>
                <w:sz w:val="20"/>
                <w:szCs w:val="20"/>
                <w:lang w:val="pt-PT" w:eastAsia="en-GB"/>
              </w:rPr>
              <w:t>Instrumento</w:t>
            </w:r>
          </w:p>
        </w:tc>
        <w:tc>
          <w:tcPr>
            <w:tcW w:w="7380" w:type="dxa"/>
            <w:tcBorders>
              <w:top w:val="nil"/>
              <w:left w:val="nil"/>
              <w:bottom w:val="nil"/>
            </w:tcBorders>
            <w:shd w:val="clear" w:color="auto" w:fill="5B9BD5"/>
          </w:tcPr>
          <w:p w14:paraId="5B459B78" w14:textId="77777777" w:rsidR="00B31AE2" w:rsidRPr="00292532" w:rsidRDefault="00B31AE2" w:rsidP="00B31AE2">
            <w:pPr>
              <w:autoSpaceDE w:val="0"/>
              <w:autoSpaceDN w:val="0"/>
              <w:adjustRightInd w:val="0"/>
              <w:spacing w:before="0" w:after="0" w:line="276" w:lineRule="auto"/>
              <w:rPr>
                <w:rFonts w:ascii="Arial" w:eastAsia="Calibri" w:hAnsi="Arial" w:cs="Arial"/>
                <w:sz w:val="20"/>
                <w:szCs w:val="20"/>
                <w:lang w:val="pt-PT" w:eastAsia="en-GB"/>
              </w:rPr>
            </w:pPr>
            <w:r w:rsidRPr="00292532">
              <w:rPr>
                <w:rFonts w:ascii="Arial" w:eastAsia="Calibri" w:hAnsi="Arial" w:cs="Arial"/>
                <w:b/>
                <w:color w:val="FFFFFF"/>
                <w:sz w:val="20"/>
                <w:szCs w:val="20"/>
                <w:lang w:val="pt-PT" w:eastAsia="en-GB"/>
              </w:rPr>
              <w:t>Descrição</w:t>
            </w:r>
          </w:p>
        </w:tc>
      </w:tr>
      <w:tr w:rsidR="00B31AE2" w:rsidRPr="004E2EAC" w14:paraId="4CB35F39" w14:textId="77777777" w:rsidTr="00B31AE2">
        <w:trPr>
          <w:trHeight w:val="48"/>
        </w:trPr>
        <w:tc>
          <w:tcPr>
            <w:tcW w:w="2160" w:type="dxa"/>
            <w:tcBorders>
              <w:top w:val="nil"/>
              <w:right w:val="nil"/>
            </w:tcBorders>
          </w:tcPr>
          <w:p w14:paraId="3A6F0EB9" w14:textId="77777777" w:rsidR="00B31AE2" w:rsidRPr="00292532" w:rsidRDefault="00B31AE2" w:rsidP="00B31AE2">
            <w:pPr>
              <w:autoSpaceDE w:val="0"/>
              <w:autoSpaceDN w:val="0"/>
              <w:adjustRightInd w:val="0"/>
              <w:spacing w:before="60" w:after="0" w:line="276" w:lineRule="auto"/>
              <w:rPr>
                <w:rFonts w:ascii="Arial" w:eastAsia="Calibri" w:hAnsi="Arial" w:cs="Arial"/>
                <w:sz w:val="20"/>
                <w:szCs w:val="20"/>
                <w:lang w:val="pt-PT" w:eastAsia="en-GB"/>
              </w:rPr>
            </w:pPr>
            <w:r w:rsidRPr="00292532">
              <w:rPr>
                <w:rFonts w:ascii="Arial" w:eastAsia="Calibri" w:hAnsi="Arial" w:cs="Arial"/>
                <w:sz w:val="20"/>
                <w:szCs w:val="20"/>
                <w:lang w:val="pt-PT" w:eastAsia="en-GB"/>
              </w:rPr>
              <w:t xml:space="preserve">Lei n.º 1/2020, de 31 de </w:t>
            </w:r>
            <w:proofErr w:type="gramStart"/>
            <w:r w:rsidRPr="00292532">
              <w:rPr>
                <w:rFonts w:ascii="Arial" w:eastAsia="Calibri" w:hAnsi="Arial" w:cs="Arial"/>
                <w:sz w:val="20"/>
                <w:szCs w:val="20"/>
                <w:lang w:val="pt-PT" w:eastAsia="en-GB"/>
              </w:rPr>
              <w:t>Março</w:t>
            </w:r>
            <w:proofErr w:type="gramEnd"/>
          </w:p>
        </w:tc>
        <w:tc>
          <w:tcPr>
            <w:tcW w:w="7380" w:type="dxa"/>
            <w:tcBorders>
              <w:top w:val="nil"/>
              <w:left w:val="nil"/>
            </w:tcBorders>
          </w:tcPr>
          <w:p w14:paraId="519498B6" w14:textId="77777777" w:rsidR="00B31AE2" w:rsidRPr="00292532" w:rsidRDefault="00B31AE2" w:rsidP="00B31AE2">
            <w:pPr>
              <w:autoSpaceDE w:val="0"/>
              <w:autoSpaceDN w:val="0"/>
              <w:adjustRightInd w:val="0"/>
              <w:spacing w:before="0" w:after="0" w:line="276" w:lineRule="auto"/>
              <w:rPr>
                <w:rFonts w:ascii="Arial" w:eastAsia="Calibri" w:hAnsi="Arial" w:cs="Arial"/>
                <w:sz w:val="20"/>
                <w:szCs w:val="20"/>
                <w:lang w:val="pt-PT" w:eastAsia="en-GB"/>
              </w:rPr>
            </w:pPr>
            <w:r w:rsidRPr="00292532">
              <w:rPr>
                <w:rFonts w:ascii="Arial" w:eastAsia="Calibri" w:hAnsi="Arial" w:cs="Arial"/>
                <w:sz w:val="20"/>
                <w:szCs w:val="20"/>
                <w:lang w:val="pt-PT" w:eastAsia="en-GB"/>
              </w:rPr>
              <w:t xml:space="preserve">Ratifica a Declaração do Estado de Emergência, constante no Decreto Presidencial n.º 11/2020, de 30 de </w:t>
            </w:r>
            <w:proofErr w:type="gramStart"/>
            <w:r w:rsidRPr="00292532">
              <w:rPr>
                <w:rFonts w:ascii="Arial" w:eastAsia="Calibri" w:hAnsi="Arial" w:cs="Arial"/>
                <w:sz w:val="20"/>
                <w:szCs w:val="20"/>
                <w:lang w:val="pt-PT" w:eastAsia="en-GB"/>
              </w:rPr>
              <w:t>Março</w:t>
            </w:r>
            <w:proofErr w:type="gramEnd"/>
            <w:r w:rsidRPr="00292532">
              <w:rPr>
                <w:rFonts w:ascii="Arial" w:eastAsia="Calibri" w:hAnsi="Arial" w:cs="Arial"/>
                <w:sz w:val="20"/>
                <w:szCs w:val="20"/>
                <w:lang w:val="pt-PT" w:eastAsia="en-GB"/>
              </w:rPr>
              <w:t>.</w:t>
            </w:r>
          </w:p>
        </w:tc>
      </w:tr>
      <w:tr w:rsidR="00B31AE2" w:rsidRPr="004E2EAC" w14:paraId="2D3EBF0E" w14:textId="77777777" w:rsidTr="00B31AE2">
        <w:trPr>
          <w:trHeight w:val="48"/>
        </w:trPr>
        <w:tc>
          <w:tcPr>
            <w:tcW w:w="2160" w:type="dxa"/>
            <w:tcBorders>
              <w:right w:val="nil"/>
            </w:tcBorders>
          </w:tcPr>
          <w:p w14:paraId="1858F722" w14:textId="77777777" w:rsidR="00B31AE2" w:rsidRPr="00292532" w:rsidRDefault="00B31AE2" w:rsidP="00B31AE2">
            <w:pPr>
              <w:autoSpaceDE w:val="0"/>
              <w:autoSpaceDN w:val="0"/>
              <w:adjustRightInd w:val="0"/>
              <w:spacing w:before="60" w:after="0" w:line="276" w:lineRule="auto"/>
              <w:rPr>
                <w:rFonts w:ascii="Arial" w:eastAsia="Calibri" w:hAnsi="Arial" w:cs="Arial"/>
                <w:sz w:val="20"/>
                <w:szCs w:val="20"/>
                <w:lang w:val="pt-PT" w:eastAsia="en-GB"/>
              </w:rPr>
            </w:pPr>
            <w:r w:rsidRPr="00292532">
              <w:rPr>
                <w:rFonts w:ascii="Arial" w:eastAsia="Calibri" w:hAnsi="Arial" w:cs="Arial"/>
                <w:sz w:val="20"/>
                <w:szCs w:val="20"/>
                <w:lang w:val="pt-PT" w:eastAsia="en-GB"/>
              </w:rPr>
              <w:t xml:space="preserve">Decreto </w:t>
            </w:r>
            <w:proofErr w:type="spellStart"/>
            <w:r w:rsidRPr="00292532">
              <w:rPr>
                <w:rFonts w:ascii="Arial" w:eastAsia="Calibri" w:hAnsi="Arial" w:cs="Arial"/>
                <w:sz w:val="20"/>
                <w:szCs w:val="20"/>
                <w:lang w:val="pt-PT" w:eastAsia="en-GB"/>
              </w:rPr>
              <w:t>n.</w:t>
            </w:r>
            <w:r w:rsidRPr="00292532">
              <w:rPr>
                <w:rFonts w:ascii="Arial" w:eastAsia="Calibri" w:hAnsi="Arial" w:cs="Arial"/>
                <w:sz w:val="20"/>
                <w:szCs w:val="20"/>
                <w:u w:val="single"/>
                <w:vertAlign w:val="superscript"/>
                <w:lang w:val="pt-PT" w:eastAsia="en-GB"/>
              </w:rPr>
              <w:t>o</w:t>
            </w:r>
            <w:proofErr w:type="spellEnd"/>
            <w:r w:rsidRPr="00292532">
              <w:rPr>
                <w:rFonts w:ascii="Arial" w:eastAsia="Calibri" w:hAnsi="Arial" w:cs="Arial"/>
                <w:sz w:val="20"/>
                <w:szCs w:val="20"/>
                <w:vertAlign w:val="superscript"/>
                <w:lang w:val="pt-PT" w:eastAsia="en-GB"/>
              </w:rPr>
              <w:t xml:space="preserve"> </w:t>
            </w:r>
            <w:r w:rsidRPr="00292532">
              <w:rPr>
                <w:rFonts w:ascii="Arial" w:eastAsia="Calibri" w:hAnsi="Arial" w:cs="Arial"/>
                <w:sz w:val="20"/>
                <w:szCs w:val="20"/>
                <w:lang w:val="pt-PT" w:eastAsia="en-GB"/>
              </w:rPr>
              <w:t xml:space="preserve">11/2020, de 30 de </w:t>
            </w:r>
            <w:proofErr w:type="gramStart"/>
            <w:r w:rsidRPr="00292532">
              <w:rPr>
                <w:rFonts w:ascii="Arial" w:eastAsia="Calibri" w:hAnsi="Arial" w:cs="Arial"/>
                <w:sz w:val="20"/>
                <w:szCs w:val="20"/>
                <w:lang w:val="pt-PT" w:eastAsia="en-GB"/>
              </w:rPr>
              <w:t>Março</w:t>
            </w:r>
            <w:proofErr w:type="gramEnd"/>
          </w:p>
        </w:tc>
        <w:tc>
          <w:tcPr>
            <w:tcW w:w="7380" w:type="dxa"/>
            <w:tcBorders>
              <w:left w:val="nil"/>
            </w:tcBorders>
          </w:tcPr>
          <w:p w14:paraId="280D9CA2" w14:textId="77777777" w:rsidR="00B31AE2" w:rsidRPr="00292532" w:rsidRDefault="00B31AE2" w:rsidP="00B31AE2">
            <w:pPr>
              <w:autoSpaceDE w:val="0"/>
              <w:autoSpaceDN w:val="0"/>
              <w:adjustRightInd w:val="0"/>
              <w:spacing w:before="0" w:after="0" w:line="276" w:lineRule="auto"/>
              <w:rPr>
                <w:rFonts w:ascii="Arial" w:eastAsia="Calibri" w:hAnsi="Arial" w:cs="Arial"/>
                <w:sz w:val="20"/>
                <w:szCs w:val="20"/>
                <w:lang w:val="pt-PT" w:eastAsia="en-GB"/>
              </w:rPr>
            </w:pPr>
            <w:r w:rsidRPr="00292532">
              <w:rPr>
                <w:rFonts w:ascii="Arial" w:eastAsia="Calibri" w:hAnsi="Arial" w:cs="Arial"/>
                <w:sz w:val="20"/>
                <w:szCs w:val="20"/>
                <w:lang w:val="pt-PT" w:eastAsia="en-GB"/>
              </w:rPr>
              <w:t>Declara o estado de Emergência, por razões de calamidade pública, em todo o território nacional.</w:t>
            </w:r>
          </w:p>
        </w:tc>
      </w:tr>
      <w:tr w:rsidR="00B31AE2" w:rsidRPr="004E2EAC" w14:paraId="71F37E27" w14:textId="77777777" w:rsidTr="00B31AE2">
        <w:trPr>
          <w:trHeight w:val="48"/>
        </w:trPr>
        <w:tc>
          <w:tcPr>
            <w:tcW w:w="2160" w:type="dxa"/>
            <w:tcBorders>
              <w:right w:val="nil"/>
            </w:tcBorders>
          </w:tcPr>
          <w:p w14:paraId="5B344B82" w14:textId="77777777" w:rsidR="00B31AE2" w:rsidRPr="00292532" w:rsidRDefault="00B31AE2" w:rsidP="00B31AE2">
            <w:pPr>
              <w:autoSpaceDE w:val="0"/>
              <w:autoSpaceDN w:val="0"/>
              <w:adjustRightInd w:val="0"/>
              <w:spacing w:before="60" w:after="0" w:line="276" w:lineRule="auto"/>
              <w:rPr>
                <w:rFonts w:ascii="Arial" w:eastAsia="Calibri" w:hAnsi="Arial" w:cs="Arial"/>
                <w:sz w:val="20"/>
                <w:szCs w:val="20"/>
                <w:lang w:val="pt-PT" w:eastAsia="en-GB"/>
              </w:rPr>
            </w:pPr>
            <w:r w:rsidRPr="00292532">
              <w:rPr>
                <w:rFonts w:ascii="Arial" w:eastAsia="Calibri" w:hAnsi="Arial" w:cs="Arial"/>
                <w:sz w:val="20"/>
                <w:szCs w:val="20"/>
                <w:lang w:val="pt-PT" w:eastAsia="en-GB"/>
              </w:rPr>
              <w:t xml:space="preserve">Decreto n.º 26/2020, de 8 de </w:t>
            </w:r>
            <w:proofErr w:type="gramStart"/>
            <w:r w:rsidRPr="00292532">
              <w:rPr>
                <w:rFonts w:ascii="Arial" w:eastAsia="Calibri" w:hAnsi="Arial" w:cs="Arial"/>
                <w:sz w:val="20"/>
                <w:szCs w:val="20"/>
                <w:lang w:val="pt-PT" w:eastAsia="en-GB"/>
              </w:rPr>
              <w:t>Maio</w:t>
            </w:r>
            <w:proofErr w:type="gramEnd"/>
          </w:p>
        </w:tc>
        <w:tc>
          <w:tcPr>
            <w:tcW w:w="7380" w:type="dxa"/>
            <w:tcBorders>
              <w:left w:val="nil"/>
            </w:tcBorders>
          </w:tcPr>
          <w:p w14:paraId="0041A8C0" w14:textId="77777777" w:rsidR="00B31AE2" w:rsidRPr="00292532" w:rsidRDefault="00B31AE2" w:rsidP="00B31AE2">
            <w:pPr>
              <w:autoSpaceDE w:val="0"/>
              <w:autoSpaceDN w:val="0"/>
              <w:adjustRightInd w:val="0"/>
              <w:spacing w:before="60" w:after="0" w:line="276" w:lineRule="auto"/>
              <w:rPr>
                <w:rFonts w:ascii="Arial" w:eastAsia="Calibri" w:hAnsi="Arial" w:cs="Arial"/>
                <w:sz w:val="20"/>
                <w:szCs w:val="20"/>
                <w:lang w:val="pt-PT" w:eastAsia="en-GB"/>
              </w:rPr>
            </w:pPr>
            <w:r w:rsidRPr="00292532">
              <w:rPr>
                <w:rFonts w:ascii="Arial" w:eastAsia="Calibri" w:hAnsi="Arial" w:cs="Arial"/>
                <w:sz w:val="20"/>
                <w:szCs w:val="20"/>
                <w:lang w:val="pt-PT" w:eastAsia="en-GB"/>
              </w:rPr>
              <w:t>Estabelece as medidas de execução administrativa para a prevenção e contenção da propagação da pandemia COVID-19, a vigorar durante o Estado de Emergência.</w:t>
            </w:r>
          </w:p>
        </w:tc>
      </w:tr>
      <w:tr w:rsidR="00B31AE2" w:rsidRPr="004E2EAC" w14:paraId="02A40077" w14:textId="77777777" w:rsidTr="00B31AE2">
        <w:trPr>
          <w:trHeight w:val="58"/>
        </w:trPr>
        <w:tc>
          <w:tcPr>
            <w:tcW w:w="2160" w:type="dxa"/>
            <w:tcBorders>
              <w:right w:val="nil"/>
            </w:tcBorders>
          </w:tcPr>
          <w:p w14:paraId="253B850C" w14:textId="77777777" w:rsidR="00B31AE2" w:rsidRPr="00292532" w:rsidRDefault="00B31AE2" w:rsidP="00B31AE2">
            <w:pPr>
              <w:autoSpaceDE w:val="0"/>
              <w:autoSpaceDN w:val="0"/>
              <w:adjustRightInd w:val="0"/>
              <w:spacing w:before="0" w:after="0" w:line="276" w:lineRule="auto"/>
              <w:jc w:val="left"/>
              <w:rPr>
                <w:rFonts w:ascii="Arial" w:eastAsia="Calibri" w:hAnsi="Arial" w:cs="Arial"/>
                <w:sz w:val="20"/>
                <w:szCs w:val="20"/>
                <w:lang w:val="pt-PT" w:eastAsia="en-GB"/>
              </w:rPr>
            </w:pPr>
            <w:r w:rsidRPr="00292532">
              <w:rPr>
                <w:rFonts w:ascii="Arial" w:eastAsia="Calibri" w:hAnsi="Arial" w:cs="Arial"/>
                <w:sz w:val="20"/>
                <w:szCs w:val="20"/>
                <w:lang w:val="pt-PT" w:eastAsia="en-GB"/>
              </w:rPr>
              <w:t xml:space="preserve">Decreto n.º 79/2020, de 4 de </w:t>
            </w:r>
            <w:proofErr w:type="gramStart"/>
            <w:r w:rsidRPr="00292532">
              <w:rPr>
                <w:rFonts w:ascii="Arial" w:eastAsia="Calibri" w:hAnsi="Arial" w:cs="Arial"/>
                <w:sz w:val="20"/>
                <w:szCs w:val="20"/>
                <w:lang w:val="pt-PT" w:eastAsia="en-GB"/>
              </w:rPr>
              <w:t>Setembro</w:t>
            </w:r>
            <w:proofErr w:type="gramEnd"/>
          </w:p>
        </w:tc>
        <w:tc>
          <w:tcPr>
            <w:tcW w:w="7380" w:type="dxa"/>
            <w:tcBorders>
              <w:left w:val="nil"/>
            </w:tcBorders>
          </w:tcPr>
          <w:p w14:paraId="776BEE5B" w14:textId="77777777" w:rsidR="00B31AE2" w:rsidRPr="00292532" w:rsidRDefault="00B31AE2" w:rsidP="00B31AE2">
            <w:pPr>
              <w:autoSpaceDE w:val="0"/>
              <w:autoSpaceDN w:val="0"/>
              <w:adjustRightInd w:val="0"/>
              <w:spacing w:before="0" w:after="0" w:line="276" w:lineRule="auto"/>
              <w:rPr>
                <w:rFonts w:ascii="Arial" w:eastAsia="Calibri" w:hAnsi="Arial" w:cs="Arial"/>
                <w:sz w:val="20"/>
                <w:szCs w:val="20"/>
                <w:lang w:val="pt-PT" w:eastAsia="en-GB"/>
              </w:rPr>
            </w:pPr>
            <w:r w:rsidRPr="00292532">
              <w:rPr>
                <w:rFonts w:ascii="Arial" w:eastAsia="Calibri" w:hAnsi="Arial" w:cs="Arial"/>
                <w:sz w:val="20"/>
                <w:szCs w:val="20"/>
                <w:lang w:val="pt-PT" w:eastAsia="en-GB"/>
              </w:rPr>
              <w:t xml:space="preserve">Declara a Situação de Calamidade Pública e </w:t>
            </w:r>
            <w:proofErr w:type="spellStart"/>
            <w:r w:rsidRPr="00292532">
              <w:rPr>
                <w:rFonts w:ascii="Arial" w:eastAsia="Calibri" w:hAnsi="Arial" w:cs="Arial"/>
                <w:sz w:val="20"/>
                <w:szCs w:val="20"/>
                <w:lang w:val="pt-PT" w:eastAsia="en-GB"/>
              </w:rPr>
              <w:t>Activa</w:t>
            </w:r>
            <w:proofErr w:type="spellEnd"/>
            <w:r w:rsidRPr="00292532">
              <w:rPr>
                <w:rFonts w:ascii="Arial" w:eastAsia="Calibri" w:hAnsi="Arial" w:cs="Arial"/>
                <w:sz w:val="20"/>
                <w:szCs w:val="20"/>
                <w:lang w:val="pt-PT" w:eastAsia="en-GB"/>
              </w:rPr>
              <w:t xml:space="preserve"> o Alerta Vermelho</w:t>
            </w:r>
          </w:p>
        </w:tc>
      </w:tr>
      <w:tr w:rsidR="00B31AE2" w:rsidRPr="004E2EAC" w14:paraId="49AB75CC" w14:textId="77777777" w:rsidTr="00B31AE2">
        <w:trPr>
          <w:trHeight w:val="58"/>
        </w:trPr>
        <w:tc>
          <w:tcPr>
            <w:tcW w:w="2160" w:type="dxa"/>
            <w:tcBorders>
              <w:right w:val="nil"/>
            </w:tcBorders>
          </w:tcPr>
          <w:p w14:paraId="68B27BD1" w14:textId="77777777" w:rsidR="00B31AE2" w:rsidRPr="00292532" w:rsidRDefault="00B31AE2" w:rsidP="00B31AE2">
            <w:pPr>
              <w:autoSpaceDE w:val="0"/>
              <w:autoSpaceDN w:val="0"/>
              <w:adjustRightInd w:val="0"/>
              <w:spacing w:before="60" w:after="0" w:line="276" w:lineRule="auto"/>
              <w:rPr>
                <w:rFonts w:ascii="Arial" w:eastAsia="Calibri" w:hAnsi="Arial" w:cs="Arial"/>
                <w:sz w:val="20"/>
                <w:szCs w:val="20"/>
                <w:lang w:val="pt-PT" w:eastAsia="en-GB"/>
              </w:rPr>
            </w:pPr>
            <w:r w:rsidRPr="00292532">
              <w:rPr>
                <w:rFonts w:ascii="Arial" w:eastAsia="Calibri" w:hAnsi="Arial" w:cs="Arial"/>
                <w:sz w:val="20"/>
                <w:szCs w:val="20"/>
                <w:lang w:val="pt-PT" w:eastAsia="en-GB"/>
              </w:rPr>
              <w:t xml:space="preserve">Decreto n.º 110/2020, de 18 de </w:t>
            </w:r>
            <w:proofErr w:type="gramStart"/>
            <w:r w:rsidRPr="00292532">
              <w:rPr>
                <w:rFonts w:ascii="Arial" w:eastAsia="Calibri" w:hAnsi="Arial" w:cs="Arial"/>
                <w:sz w:val="20"/>
                <w:szCs w:val="20"/>
                <w:lang w:val="pt-PT" w:eastAsia="en-GB"/>
              </w:rPr>
              <w:t>Dezembro</w:t>
            </w:r>
            <w:proofErr w:type="gramEnd"/>
          </w:p>
        </w:tc>
        <w:tc>
          <w:tcPr>
            <w:tcW w:w="7380" w:type="dxa"/>
            <w:tcBorders>
              <w:left w:val="nil"/>
            </w:tcBorders>
          </w:tcPr>
          <w:p w14:paraId="2244EFAD" w14:textId="77777777" w:rsidR="00B31AE2" w:rsidRPr="00292532" w:rsidRDefault="00B31AE2" w:rsidP="00B31AE2">
            <w:pPr>
              <w:autoSpaceDE w:val="0"/>
              <w:autoSpaceDN w:val="0"/>
              <w:adjustRightInd w:val="0"/>
              <w:spacing w:before="60" w:after="0" w:line="276" w:lineRule="auto"/>
              <w:rPr>
                <w:rFonts w:ascii="Arial" w:eastAsia="Calibri" w:hAnsi="Arial" w:cs="Arial"/>
                <w:sz w:val="20"/>
                <w:szCs w:val="20"/>
                <w:lang w:val="pt-PT" w:eastAsia="en-GB"/>
              </w:rPr>
            </w:pPr>
            <w:r w:rsidRPr="00292532">
              <w:rPr>
                <w:rFonts w:ascii="Arial" w:eastAsia="Calibri" w:hAnsi="Arial" w:cs="Arial"/>
                <w:sz w:val="20"/>
                <w:szCs w:val="20"/>
                <w:lang w:val="pt-PT" w:eastAsia="en-GB"/>
              </w:rPr>
              <w:t>Estabelece as medidas para contenção da propagação da pandemia COVID-19, enquanto vigorar a Situação de Calamidade Pública.</w:t>
            </w:r>
          </w:p>
        </w:tc>
      </w:tr>
      <w:tr w:rsidR="00B31AE2" w:rsidRPr="004E2EAC" w14:paraId="16DEAAEA" w14:textId="77777777" w:rsidTr="00B31AE2">
        <w:trPr>
          <w:trHeight w:val="58"/>
        </w:trPr>
        <w:tc>
          <w:tcPr>
            <w:tcW w:w="2160" w:type="dxa"/>
            <w:tcBorders>
              <w:right w:val="nil"/>
            </w:tcBorders>
          </w:tcPr>
          <w:p w14:paraId="51D2E48E" w14:textId="77777777" w:rsidR="00B31AE2" w:rsidRPr="00292532" w:rsidRDefault="00B31AE2" w:rsidP="00B31AE2">
            <w:pPr>
              <w:autoSpaceDE w:val="0"/>
              <w:autoSpaceDN w:val="0"/>
              <w:adjustRightInd w:val="0"/>
              <w:spacing w:before="60" w:after="0" w:line="276" w:lineRule="auto"/>
              <w:rPr>
                <w:rFonts w:ascii="Arial" w:eastAsia="Calibri" w:hAnsi="Arial" w:cs="Arial"/>
                <w:sz w:val="20"/>
                <w:szCs w:val="20"/>
                <w:lang w:val="pt-PT" w:eastAsia="en-GB"/>
              </w:rPr>
            </w:pPr>
            <w:r w:rsidRPr="00292532">
              <w:rPr>
                <w:rFonts w:ascii="Arial" w:eastAsia="Calibri" w:hAnsi="Arial" w:cs="Arial"/>
                <w:sz w:val="20"/>
                <w:szCs w:val="20"/>
                <w:lang w:val="pt-PT" w:eastAsia="en-GB"/>
              </w:rPr>
              <w:t xml:space="preserve">Decreto n.º 1/2021, de 13 de </w:t>
            </w:r>
            <w:proofErr w:type="gramStart"/>
            <w:r w:rsidRPr="00292532">
              <w:rPr>
                <w:rFonts w:ascii="Arial" w:eastAsia="Calibri" w:hAnsi="Arial" w:cs="Arial"/>
                <w:sz w:val="20"/>
                <w:szCs w:val="20"/>
                <w:lang w:val="pt-PT" w:eastAsia="en-GB"/>
              </w:rPr>
              <w:t>Janeiro</w:t>
            </w:r>
            <w:proofErr w:type="gramEnd"/>
          </w:p>
        </w:tc>
        <w:tc>
          <w:tcPr>
            <w:tcW w:w="7380" w:type="dxa"/>
            <w:tcBorders>
              <w:left w:val="nil"/>
            </w:tcBorders>
          </w:tcPr>
          <w:p w14:paraId="22970670" w14:textId="77777777" w:rsidR="00B31AE2" w:rsidRPr="00292532" w:rsidRDefault="00B31AE2" w:rsidP="00B31AE2">
            <w:pPr>
              <w:autoSpaceDE w:val="0"/>
              <w:autoSpaceDN w:val="0"/>
              <w:adjustRightInd w:val="0"/>
              <w:spacing w:before="60" w:after="0" w:line="276" w:lineRule="auto"/>
              <w:rPr>
                <w:rFonts w:ascii="Arial" w:eastAsia="Calibri" w:hAnsi="Arial" w:cs="Arial"/>
                <w:sz w:val="20"/>
                <w:szCs w:val="20"/>
                <w:lang w:val="pt-PT" w:eastAsia="en-GB"/>
              </w:rPr>
            </w:pPr>
            <w:r w:rsidRPr="00292532">
              <w:rPr>
                <w:rFonts w:ascii="Arial" w:eastAsia="Calibri" w:hAnsi="Arial" w:cs="Arial"/>
                <w:sz w:val="20"/>
                <w:szCs w:val="20"/>
                <w:lang w:val="pt-PT" w:eastAsia="en-GB"/>
              </w:rPr>
              <w:t xml:space="preserve">Revê as medidas para a contenção da propagação da pandemia da COVID-19, enquanto durar a Situação de Calamidade Pública, e revoga o Decreto n.º 110/2020, de 18 de </w:t>
            </w:r>
            <w:proofErr w:type="gramStart"/>
            <w:r w:rsidRPr="00292532">
              <w:rPr>
                <w:rFonts w:ascii="Arial" w:eastAsia="Calibri" w:hAnsi="Arial" w:cs="Arial"/>
                <w:sz w:val="20"/>
                <w:szCs w:val="20"/>
                <w:lang w:val="pt-PT" w:eastAsia="en-GB"/>
              </w:rPr>
              <w:t>Dezembro</w:t>
            </w:r>
            <w:proofErr w:type="gramEnd"/>
            <w:r w:rsidRPr="00292532">
              <w:rPr>
                <w:rFonts w:ascii="Arial" w:eastAsia="Calibri" w:hAnsi="Arial" w:cs="Arial"/>
                <w:sz w:val="20"/>
                <w:szCs w:val="20"/>
                <w:lang w:val="pt-PT" w:eastAsia="en-GB"/>
              </w:rPr>
              <w:t>.</w:t>
            </w:r>
          </w:p>
        </w:tc>
      </w:tr>
      <w:tr w:rsidR="00B31AE2" w:rsidRPr="004E2EAC" w14:paraId="17108087" w14:textId="77777777" w:rsidTr="00B31AE2">
        <w:trPr>
          <w:trHeight w:val="58"/>
        </w:trPr>
        <w:tc>
          <w:tcPr>
            <w:tcW w:w="2160" w:type="dxa"/>
            <w:tcBorders>
              <w:right w:val="nil"/>
            </w:tcBorders>
          </w:tcPr>
          <w:p w14:paraId="774F9DA2" w14:textId="77777777" w:rsidR="00B31AE2" w:rsidRPr="00292532" w:rsidRDefault="00B31AE2" w:rsidP="00B31AE2">
            <w:pPr>
              <w:autoSpaceDE w:val="0"/>
              <w:autoSpaceDN w:val="0"/>
              <w:adjustRightInd w:val="0"/>
              <w:spacing w:before="60" w:after="0" w:line="276" w:lineRule="auto"/>
              <w:rPr>
                <w:rFonts w:ascii="Arial" w:eastAsia="Calibri" w:hAnsi="Arial" w:cs="Arial"/>
                <w:sz w:val="20"/>
                <w:szCs w:val="20"/>
                <w:lang w:val="pt-PT" w:eastAsia="en-GB"/>
              </w:rPr>
            </w:pPr>
            <w:r w:rsidRPr="00292532">
              <w:rPr>
                <w:rFonts w:ascii="Arial" w:eastAsia="Calibri" w:hAnsi="Arial" w:cs="Arial"/>
                <w:sz w:val="20"/>
                <w:szCs w:val="20"/>
                <w:lang w:val="pt-PT" w:eastAsia="en-GB"/>
              </w:rPr>
              <w:t xml:space="preserve">Decreto </w:t>
            </w:r>
            <w:proofErr w:type="spellStart"/>
            <w:r w:rsidRPr="00292532">
              <w:rPr>
                <w:rFonts w:ascii="Arial" w:eastAsia="Calibri" w:hAnsi="Arial" w:cs="Arial"/>
                <w:sz w:val="20"/>
                <w:szCs w:val="20"/>
                <w:lang w:val="pt-PT" w:eastAsia="en-GB"/>
              </w:rPr>
              <w:t>n.</w:t>
            </w:r>
            <w:r w:rsidRPr="00292532">
              <w:rPr>
                <w:rFonts w:ascii="Arial" w:eastAsia="Calibri" w:hAnsi="Arial" w:cs="Arial"/>
                <w:sz w:val="20"/>
                <w:szCs w:val="20"/>
                <w:u w:val="single"/>
                <w:vertAlign w:val="superscript"/>
                <w:lang w:val="pt-PT" w:eastAsia="en-GB"/>
              </w:rPr>
              <w:t>o</w:t>
            </w:r>
            <w:proofErr w:type="spellEnd"/>
            <w:r w:rsidRPr="00292532">
              <w:rPr>
                <w:rFonts w:ascii="Arial" w:eastAsia="Calibri" w:hAnsi="Arial" w:cs="Arial"/>
                <w:sz w:val="20"/>
                <w:szCs w:val="20"/>
                <w:vertAlign w:val="superscript"/>
                <w:lang w:val="pt-PT" w:eastAsia="en-GB"/>
              </w:rPr>
              <w:t xml:space="preserve"> </w:t>
            </w:r>
            <w:r w:rsidRPr="00292532">
              <w:rPr>
                <w:rFonts w:ascii="Arial" w:eastAsia="Calibri" w:hAnsi="Arial" w:cs="Arial"/>
                <w:sz w:val="20"/>
                <w:szCs w:val="20"/>
                <w:lang w:val="pt-PT" w:eastAsia="en-GB"/>
              </w:rPr>
              <w:t xml:space="preserve">2/2021, de 4 de </w:t>
            </w:r>
            <w:proofErr w:type="gramStart"/>
            <w:r w:rsidRPr="00292532">
              <w:rPr>
                <w:rFonts w:ascii="Arial" w:eastAsia="Calibri" w:hAnsi="Arial" w:cs="Arial"/>
                <w:sz w:val="20"/>
                <w:szCs w:val="20"/>
                <w:lang w:val="pt-PT" w:eastAsia="en-GB"/>
              </w:rPr>
              <w:t>Fevereiro</w:t>
            </w:r>
            <w:proofErr w:type="gramEnd"/>
          </w:p>
        </w:tc>
        <w:tc>
          <w:tcPr>
            <w:tcW w:w="7380" w:type="dxa"/>
            <w:tcBorders>
              <w:left w:val="nil"/>
            </w:tcBorders>
          </w:tcPr>
          <w:p w14:paraId="445F4CC2" w14:textId="77777777" w:rsidR="00B31AE2" w:rsidRPr="00292532" w:rsidRDefault="00B31AE2" w:rsidP="00B31AE2">
            <w:pPr>
              <w:autoSpaceDE w:val="0"/>
              <w:autoSpaceDN w:val="0"/>
              <w:adjustRightInd w:val="0"/>
              <w:spacing w:before="0" w:after="0" w:line="276" w:lineRule="auto"/>
              <w:rPr>
                <w:rFonts w:ascii="Arial" w:eastAsia="Calibri" w:hAnsi="Arial" w:cs="Arial"/>
                <w:sz w:val="20"/>
                <w:szCs w:val="20"/>
                <w:lang w:val="pt-PT" w:eastAsia="en-GB"/>
              </w:rPr>
            </w:pPr>
            <w:r w:rsidRPr="00292532">
              <w:rPr>
                <w:rFonts w:ascii="Arial" w:eastAsia="Calibri" w:hAnsi="Arial" w:cs="Arial"/>
                <w:sz w:val="20"/>
                <w:szCs w:val="20"/>
                <w:lang w:val="pt-PT" w:eastAsia="en-GB"/>
              </w:rPr>
              <w:t xml:space="preserve">Revê as medidas para a contenção da propagação da pandemia da COVID-19, enquanto durar a Situação de Calamidade Pública, e revoga o Decreto </w:t>
            </w:r>
            <w:proofErr w:type="spellStart"/>
            <w:r w:rsidRPr="00292532">
              <w:rPr>
                <w:rFonts w:ascii="Arial" w:eastAsia="Calibri" w:hAnsi="Arial" w:cs="Arial"/>
                <w:sz w:val="20"/>
                <w:szCs w:val="20"/>
                <w:lang w:val="pt-PT" w:eastAsia="en-GB"/>
              </w:rPr>
              <w:t>n.</w:t>
            </w:r>
            <w:r w:rsidRPr="00292532">
              <w:rPr>
                <w:rFonts w:ascii="Arial" w:eastAsia="Calibri" w:hAnsi="Arial" w:cs="Arial"/>
                <w:sz w:val="20"/>
                <w:szCs w:val="20"/>
                <w:u w:val="single"/>
                <w:vertAlign w:val="superscript"/>
                <w:lang w:val="pt-PT" w:eastAsia="en-GB"/>
              </w:rPr>
              <w:t>o</w:t>
            </w:r>
            <w:proofErr w:type="spellEnd"/>
            <w:r w:rsidRPr="00292532">
              <w:rPr>
                <w:rFonts w:ascii="Arial" w:eastAsia="Calibri" w:hAnsi="Arial" w:cs="Arial"/>
                <w:sz w:val="20"/>
                <w:szCs w:val="20"/>
                <w:vertAlign w:val="superscript"/>
                <w:lang w:val="pt-PT" w:eastAsia="en-GB"/>
              </w:rPr>
              <w:t xml:space="preserve">   </w:t>
            </w:r>
            <w:r w:rsidRPr="00292532">
              <w:rPr>
                <w:rFonts w:ascii="Arial" w:eastAsia="Calibri" w:hAnsi="Arial" w:cs="Arial"/>
                <w:sz w:val="20"/>
                <w:szCs w:val="20"/>
                <w:lang w:val="pt-PT" w:eastAsia="en-GB"/>
              </w:rPr>
              <w:t xml:space="preserve">1/2021, de 13 de </w:t>
            </w:r>
            <w:proofErr w:type="gramStart"/>
            <w:r w:rsidRPr="00292532">
              <w:rPr>
                <w:rFonts w:ascii="Arial" w:eastAsia="Calibri" w:hAnsi="Arial" w:cs="Arial"/>
                <w:sz w:val="20"/>
                <w:szCs w:val="20"/>
                <w:lang w:val="pt-PT" w:eastAsia="en-GB"/>
              </w:rPr>
              <w:t>Janeiro</w:t>
            </w:r>
            <w:proofErr w:type="gramEnd"/>
            <w:r w:rsidRPr="00292532">
              <w:rPr>
                <w:rFonts w:ascii="Arial" w:eastAsia="Calibri" w:hAnsi="Arial" w:cs="Arial"/>
                <w:sz w:val="20"/>
                <w:szCs w:val="20"/>
                <w:lang w:val="pt-PT" w:eastAsia="en-GB"/>
              </w:rPr>
              <w:t>.</w:t>
            </w:r>
          </w:p>
        </w:tc>
      </w:tr>
      <w:tr w:rsidR="00B31AE2" w:rsidRPr="004E2EAC" w14:paraId="03C1982C" w14:textId="77777777" w:rsidTr="00B31AE2">
        <w:trPr>
          <w:trHeight w:val="129"/>
        </w:trPr>
        <w:tc>
          <w:tcPr>
            <w:tcW w:w="2160" w:type="dxa"/>
            <w:tcBorders>
              <w:right w:val="nil"/>
            </w:tcBorders>
          </w:tcPr>
          <w:p w14:paraId="6F1F6A8C" w14:textId="77777777" w:rsidR="00B31AE2" w:rsidRPr="00292532" w:rsidRDefault="00B31AE2" w:rsidP="00B31AE2">
            <w:pPr>
              <w:autoSpaceDE w:val="0"/>
              <w:autoSpaceDN w:val="0"/>
              <w:adjustRightInd w:val="0"/>
              <w:spacing w:before="0" w:after="0" w:line="276" w:lineRule="auto"/>
              <w:jc w:val="left"/>
              <w:rPr>
                <w:rFonts w:ascii="Arial" w:eastAsia="Calibri" w:hAnsi="Arial" w:cs="Arial"/>
                <w:sz w:val="20"/>
                <w:szCs w:val="20"/>
                <w:lang w:val="pt-PT" w:eastAsia="en-GB"/>
              </w:rPr>
            </w:pPr>
            <w:r w:rsidRPr="00292532">
              <w:rPr>
                <w:rFonts w:ascii="Arial" w:eastAsia="Calibri" w:hAnsi="Arial" w:cs="Arial"/>
                <w:sz w:val="20"/>
                <w:szCs w:val="20"/>
                <w:lang w:val="pt-PT" w:eastAsia="en-GB"/>
              </w:rPr>
              <w:t xml:space="preserve">Decreto n.º 7/2021, de 5 de </w:t>
            </w:r>
            <w:proofErr w:type="gramStart"/>
            <w:r w:rsidRPr="00292532">
              <w:rPr>
                <w:rFonts w:ascii="Arial" w:eastAsia="Calibri" w:hAnsi="Arial" w:cs="Arial"/>
                <w:sz w:val="20"/>
                <w:szCs w:val="20"/>
                <w:lang w:val="pt-PT" w:eastAsia="en-GB"/>
              </w:rPr>
              <w:t>Março</w:t>
            </w:r>
            <w:proofErr w:type="gramEnd"/>
          </w:p>
        </w:tc>
        <w:tc>
          <w:tcPr>
            <w:tcW w:w="7380" w:type="dxa"/>
            <w:tcBorders>
              <w:left w:val="nil"/>
            </w:tcBorders>
          </w:tcPr>
          <w:p w14:paraId="23475CD8" w14:textId="77777777" w:rsidR="00B31AE2" w:rsidRPr="00292532" w:rsidRDefault="00B31AE2" w:rsidP="00B31AE2">
            <w:pPr>
              <w:autoSpaceDE w:val="0"/>
              <w:autoSpaceDN w:val="0"/>
              <w:adjustRightInd w:val="0"/>
              <w:spacing w:before="0" w:after="0" w:line="276" w:lineRule="auto"/>
              <w:rPr>
                <w:rFonts w:ascii="Arial" w:eastAsia="Calibri" w:hAnsi="Arial" w:cs="Arial"/>
                <w:sz w:val="20"/>
                <w:szCs w:val="20"/>
                <w:lang w:val="pt-PT" w:eastAsia="en-GB"/>
              </w:rPr>
            </w:pPr>
            <w:r w:rsidRPr="00292532">
              <w:rPr>
                <w:rFonts w:ascii="Arial" w:eastAsia="Calibri" w:hAnsi="Arial" w:cs="Arial"/>
                <w:sz w:val="20"/>
                <w:szCs w:val="20"/>
                <w:lang w:val="pt-PT" w:eastAsia="en-GB"/>
              </w:rPr>
              <w:t xml:space="preserve">Revê as medidas para a contenção da propagação da pandemia da COVID-19, enquanto durar a Situação de Calamidade Pública, aprovadas pelo Decreto n.º 2/2021, de 4 de </w:t>
            </w:r>
            <w:proofErr w:type="gramStart"/>
            <w:r w:rsidRPr="00292532">
              <w:rPr>
                <w:rFonts w:ascii="Arial" w:eastAsia="Calibri" w:hAnsi="Arial" w:cs="Arial"/>
                <w:sz w:val="20"/>
                <w:szCs w:val="20"/>
                <w:lang w:val="pt-PT" w:eastAsia="en-GB"/>
              </w:rPr>
              <w:t>Fevereiro</w:t>
            </w:r>
            <w:proofErr w:type="gramEnd"/>
            <w:r w:rsidRPr="00292532">
              <w:rPr>
                <w:rFonts w:ascii="Arial" w:eastAsia="Calibri" w:hAnsi="Arial" w:cs="Arial"/>
                <w:sz w:val="20"/>
                <w:szCs w:val="20"/>
                <w:lang w:val="pt-PT" w:eastAsia="en-GB"/>
              </w:rPr>
              <w:t>.</w:t>
            </w:r>
          </w:p>
        </w:tc>
      </w:tr>
      <w:tr w:rsidR="00B31AE2" w:rsidRPr="004E2EAC" w14:paraId="3C25684C" w14:textId="77777777" w:rsidTr="00B31AE2">
        <w:trPr>
          <w:trHeight w:val="129"/>
        </w:trPr>
        <w:tc>
          <w:tcPr>
            <w:tcW w:w="2160" w:type="dxa"/>
            <w:tcBorders>
              <w:right w:val="nil"/>
            </w:tcBorders>
          </w:tcPr>
          <w:p w14:paraId="34F79153" w14:textId="77777777" w:rsidR="00B31AE2" w:rsidRPr="00292532" w:rsidRDefault="00B31AE2" w:rsidP="00B31AE2">
            <w:pPr>
              <w:autoSpaceDE w:val="0"/>
              <w:autoSpaceDN w:val="0"/>
              <w:adjustRightInd w:val="0"/>
              <w:spacing w:before="0" w:after="0" w:line="276" w:lineRule="auto"/>
              <w:rPr>
                <w:rFonts w:ascii="Arial" w:eastAsia="Calibri" w:hAnsi="Arial" w:cs="Arial"/>
                <w:sz w:val="20"/>
                <w:szCs w:val="20"/>
                <w:lang w:val="pt-PT" w:eastAsia="en-GB"/>
              </w:rPr>
            </w:pPr>
            <w:r w:rsidRPr="00292532">
              <w:rPr>
                <w:rFonts w:ascii="Arial" w:eastAsia="Calibri" w:hAnsi="Arial" w:cs="Arial"/>
                <w:sz w:val="20"/>
                <w:szCs w:val="20"/>
                <w:lang w:val="pt-PT"/>
              </w:rPr>
              <w:t>Procedimentos de Prevenção Controle e Vigilância da COVID-19 no local de Trabalho</w:t>
            </w:r>
          </w:p>
        </w:tc>
        <w:tc>
          <w:tcPr>
            <w:tcW w:w="7380" w:type="dxa"/>
            <w:tcBorders>
              <w:left w:val="nil"/>
            </w:tcBorders>
          </w:tcPr>
          <w:p w14:paraId="188EDF9E" w14:textId="77777777" w:rsidR="00B31AE2" w:rsidRPr="00292532" w:rsidRDefault="00B31AE2" w:rsidP="00B31AE2">
            <w:pPr>
              <w:autoSpaceDE w:val="0"/>
              <w:autoSpaceDN w:val="0"/>
              <w:adjustRightInd w:val="0"/>
              <w:spacing w:before="0" w:after="0" w:line="276" w:lineRule="auto"/>
              <w:rPr>
                <w:rFonts w:ascii="Arial" w:eastAsia="Calibri" w:hAnsi="Arial" w:cs="Arial"/>
                <w:sz w:val="20"/>
                <w:szCs w:val="20"/>
                <w:lang w:val="pt-PT" w:eastAsia="en-GB"/>
              </w:rPr>
            </w:pPr>
            <w:r w:rsidRPr="00292532">
              <w:rPr>
                <w:rFonts w:ascii="Arial" w:eastAsia="Calibri" w:hAnsi="Arial" w:cs="Arial"/>
                <w:sz w:val="20"/>
                <w:szCs w:val="20"/>
                <w:lang w:val="pt-PT"/>
              </w:rPr>
              <w:t>Indica os procedimentos de prevenção, controlo e vigilância da COVID – 19 no local de trabalho (MISAU)</w:t>
            </w:r>
          </w:p>
        </w:tc>
      </w:tr>
    </w:tbl>
    <w:p w14:paraId="021EF26C" w14:textId="77777777" w:rsidR="00B31AE2" w:rsidRPr="00292532" w:rsidRDefault="00B31AE2" w:rsidP="00B31AE2">
      <w:pPr>
        <w:spacing w:before="0" w:line="259" w:lineRule="auto"/>
        <w:jc w:val="left"/>
        <w:rPr>
          <w:rFonts w:ascii="Arial" w:eastAsia="Calibri" w:hAnsi="Arial" w:cs="Arial"/>
          <w:sz w:val="20"/>
          <w:szCs w:val="20"/>
          <w:lang w:val="pt-PT"/>
        </w:rPr>
      </w:pPr>
    </w:p>
    <w:p w14:paraId="7846BF4B" w14:textId="5442C131" w:rsidR="00B31AE2" w:rsidRPr="00292532" w:rsidRDefault="00B31AE2" w:rsidP="00B31AE2">
      <w:pPr>
        <w:spacing w:before="0" w:line="259" w:lineRule="auto"/>
        <w:jc w:val="left"/>
        <w:rPr>
          <w:rFonts w:ascii="Arial" w:eastAsia="Calibri" w:hAnsi="Arial" w:cs="Arial"/>
          <w:sz w:val="20"/>
          <w:szCs w:val="20"/>
          <w:lang w:val="pt-PT"/>
        </w:rPr>
      </w:pPr>
      <w:r w:rsidRPr="00292532">
        <w:rPr>
          <w:rFonts w:ascii="Arial" w:eastAsia="Calibri" w:hAnsi="Arial" w:cs="Arial"/>
          <w:sz w:val="20"/>
          <w:szCs w:val="20"/>
          <w:lang w:val="pt-PT"/>
        </w:rPr>
        <w:br w:type="page"/>
      </w:r>
    </w:p>
    <w:p w14:paraId="1FFA44B7" w14:textId="77777777" w:rsidR="00B31AE2" w:rsidRPr="00292532" w:rsidRDefault="00B31AE2" w:rsidP="00B31AE2">
      <w:pPr>
        <w:spacing w:before="0" w:line="259" w:lineRule="auto"/>
        <w:jc w:val="left"/>
        <w:rPr>
          <w:rFonts w:ascii="Arial" w:eastAsia="Calibri" w:hAnsi="Arial" w:cs="Arial"/>
          <w:sz w:val="20"/>
          <w:szCs w:val="20"/>
          <w:lang w:val="pt-PT"/>
        </w:rPr>
      </w:pPr>
    </w:p>
    <w:p w14:paraId="358991FE" w14:textId="69AE5C9A" w:rsidR="00B31AE2" w:rsidRPr="00292532" w:rsidRDefault="00B31AE2" w:rsidP="000D7B05">
      <w:pPr>
        <w:pStyle w:val="Title"/>
      </w:pPr>
      <w:r w:rsidRPr="00292532">
        <w:t>aNEXO 1</w:t>
      </w:r>
      <w:r w:rsidR="000615DB" w:rsidRPr="00292532">
        <w:t>2</w:t>
      </w:r>
    </w:p>
    <w:p w14:paraId="0910C232" w14:textId="69DB76E9" w:rsidR="00B31AE2" w:rsidRPr="00292532" w:rsidRDefault="00B31AE2" w:rsidP="000D7B05">
      <w:pPr>
        <w:pStyle w:val="Title"/>
      </w:pPr>
    </w:p>
    <w:p w14:paraId="2DEF7B10" w14:textId="61236AA4" w:rsidR="00B31AE2" w:rsidRPr="00292532" w:rsidRDefault="00B31AE2" w:rsidP="000D7B05">
      <w:pPr>
        <w:pStyle w:val="Title"/>
      </w:pPr>
      <w:r w:rsidRPr="00292532">
        <w:t>Avaliação de Risco</w:t>
      </w:r>
      <w:r w:rsidR="00061682" w:rsidRPr="00292532">
        <w:t xml:space="preserve"> e plano de acção</w:t>
      </w:r>
      <w:r w:rsidRPr="00292532">
        <w:t xml:space="preserve"> </w:t>
      </w:r>
      <w:r w:rsidR="00061682" w:rsidRPr="00292532">
        <w:t xml:space="preserve">sobre </w:t>
      </w:r>
      <w:r w:rsidRPr="00292532">
        <w:t>Violência Baseada no Género</w:t>
      </w:r>
    </w:p>
    <w:p w14:paraId="67479133" w14:textId="3F9A449E" w:rsidR="00B31AE2" w:rsidRPr="00292532" w:rsidRDefault="00B31AE2" w:rsidP="000D7B05">
      <w:pPr>
        <w:pStyle w:val="Title"/>
      </w:pPr>
    </w:p>
    <w:p w14:paraId="045ED790" w14:textId="6AEDB461" w:rsidR="00B31AE2" w:rsidRPr="004500AE" w:rsidRDefault="00B31AE2" w:rsidP="00AE14AE">
      <w:pPr>
        <w:keepNext/>
        <w:keepLines/>
        <w:numPr>
          <w:ilvl w:val="0"/>
          <w:numId w:val="168"/>
        </w:numPr>
        <w:suppressAutoHyphens/>
        <w:spacing w:before="0" w:after="120"/>
        <w:outlineLvl w:val="0"/>
        <w:rPr>
          <w:rFonts w:eastAsia="Times New Roman" w:cs="Times New Roman"/>
          <w:color w:val="2F5496"/>
          <w:sz w:val="32"/>
          <w:lang w:val="pt-PT"/>
        </w:rPr>
      </w:pPr>
      <w:bookmarkStart w:id="1638" w:name="_Toc75246787"/>
      <w:bookmarkStart w:id="1639" w:name="_Toc75438105"/>
      <w:bookmarkStart w:id="1640" w:name="_Toc78435542"/>
      <w:bookmarkStart w:id="1641" w:name="_Toc80380208"/>
      <w:r w:rsidRPr="004500AE">
        <w:rPr>
          <w:rFonts w:eastAsia="Times New Roman" w:cs="Times New Roman"/>
          <w:color w:val="2F5496"/>
          <w:sz w:val="32"/>
          <w:lang w:val="pt-PT"/>
        </w:rPr>
        <w:t>Introdução</w:t>
      </w:r>
      <w:bookmarkEnd w:id="1638"/>
      <w:bookmarkEnd w:id="1639"/>
      <w:bookmarkEnd w:id="1640"/>
      <w:bookmarkEnd w:id="1641"/>
    </w:p>
    <w:p w14:paraId="45806988" w14:textId="4EB48E53" w:rsidR="00B31AE2" w:rsidRPr="00292532" w:rsidRDefault="00B31AE2" w:rsidP="00B31AE2">
      <w:pPr>
        <w:spacing w:before="0" w:after="120"/>
        <w:rPr>
          <w:rFonts w:ascii="Arial" w:eastAsia="Calibri" w:hAnsi="Arial" w:cs="Arial"/>
          <w:sz w:val="20"/>
          <w:szCs w:val="20"/>
          <w:lang w:val="pt-PT"/>
        </w:rPr>
      </w:pPr>
      <w:r w:rsidRPr="00292532">
        <w:rPr>
          <w:rFonts w:ascii="Arial" w:eastAsia="Calibri" w:hAnsi="Arial" w:cs="Arial"/>
          <w:sz w:val="20"/>
          <w:szCs w:val="20"/>
          <w:lang w:val="pt-PT"/>
        </w:rPr>
        <w:t>O presente anexo do</w:t>
      </w:r>
      <w:r w:rsidRPr="00292532">
        <w:rPr>
          <w:rFonts w:ascii="Arial" w:eastAsia="Times New Roman" w:hAnsi="Arial" w:cs="Arial"/>
          <w:color w:val="000000"/>
          <w:sz w:val="20"/>
          <w:szCs w:val="20"/>
          <w:lang w:val="pt-PT"/>
        </w:rPr>
        <w:t xml:space="preserve"> </w:t>
      </w:r>
      <w:r w:rsidRPr="00292532">
        <w:rPr>
          <w:rFonts w:ascii="Arial" w:eastAsia="Calibri" w:hAnsi="Arial" w:cs="Arial"/>
          <w:color w:val="5B9BD5"/>
          <w:sz w:val="20"/>
          <w:szCs w:val="20"/>
          <w:lang w:val="pt-PT"/>
        </w:rPr>
        <w:t xml:space="preserve">Quadro de Gestão Ambiental e Social do </w:t>
      </w:r>
      <w:proofErr w:type="spellStart"/>
      <w:r w:rsidRPr="00292532">
        <w:rPr>
          <w:rFonts w:ascii="Arial" w:eastAsia="Calibri" w:hAnsi="Arial" w:cs="Arial"/>
          <w:color w:val="5B9BD5"/>
          <w:sz w:val="20"/>
          <w:szCs w:val="20"/>
          <w:lang w:val="pt-PT"/>
        </w:rPr>
        <w:t>Projecto</w:t>
      </w:r>
      <w:proofErr w:type="spellEnd"/>
      <w:r w:rsidRPr="00292532">
        <w:rPr>
          <w:rFonts w:ascii="Arial" w:eastAsia="Times New Roman" w:hAnsi="Arial" w:cs="Arial"/>
          <w:color w:val="5B9BD5"/>
          <w:sz w:val="20"/>
          <w:szCs w:val="20"/>
          <w:lang w:val="pt-PT"/>
        </w:rPr>
        <w:t xml:space="preserve"> </w:t>
      </w:r>
      <w:r w:rsidRPr="00292532">
        <w:rPr>
          <w:rFonts w:ascii="Arial" w:eastAsia="Calibri" w:hAnsi="Arial" w:cs="Arial"/>
          <w:sz w:val="20"/>
          <w:szCs w:val="20"/>
          <w:lang w:val="pt-PT"/>
        </w:rPr>
        <w:t xml:space="preserve">apresenta a Avaliação de Riscos </w:t>
      </w:r>
      <w:r w:rsidR="00061682" w:rsidRPr="00292532">
        <w:rPr>
          <w:rFonts w:ascii="Arial" w:eastAsia="Calibri" w:hAnsi="Arial" w:cs="Arial"/>
          <w:sz w:val="20"/>
          <w:szCs w:val="20"/>
          <w:lang w:val="pt-PT"/>
        </w:rPr>
        <w:t xml:space="preserve">e Plano de </w:t>
      </w:r>
      <w:proofErr w:type="spellStart"/>
      <w:r w:rsidR="00061682" w:rsidRPr="00292532">
        <w:rPr>
          <w:rFonts w:ascii="Arial" w:eastAsia="Calibri" w:hAnsi="Arial" w:cs="Arial"/>
          <w:sz w:val="20"/>
          <w:szCs w:val="20"/>
          <w:lang w:val="pt-PT"/>
        </w:rPr>
        <w:t>Acção</w:t>
      </w:r>
      <w:proofErr w:type="spellEnd"/>
      <w:r w:rsidR="00061682" w:rsidRPr="00292532">
        <w:rPr>
          <w:rFonts w:ascii="Arial" w:eastAsia="Calibri" w:hAnsi="Arial" w:cs="Arial"/>
          <w:sz w:val="20"/>
          <w:szCs w:val="20"/>
          <w:lang w:val="pt-PT"/>
        </w:rPr>
        <w:t xml:space="preserve"> sobre </w:t>
      </w:r>
      <w:r w:rsidRPr="00292532">
        <w:rPr>
          <w:rFonts w:ascii="Arial" w:eastAsia="Calibri" w:hAnsi="Arial" w:cs="Arial"/>
          <w:sz w:val="20"/>
          <w:szCs w:val="20"/>
          <w:lang w:val="pt-PT"/>
        </w:rPr>
        <w:t xml:space="preserve">Violência Baseada no Género (VBG), para o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 xml:space="preserve"> de Abastecimento de Água e Saneamento para Zonas Rurais e Vilas.</w:t>
      </w:r>
    </w:p>
    <w:p w14:paraId="6A5D656A" w14:textId="5730CF47" w:rsidR="00B31AE2" w:rsidRPr="00292532" w:rsidRDefault="00B31AE2" w:rsidP="00B31AE2">
      <w:pPr>
        <w:spacing w:before="0" w:after="120"/>
        <w:rPr>
          <w:rFonts w:ascii="Arial" w:eastAsia="Calibri" w:hAnsi="Arial" w:cs="Arial"/>
          <w:sz w:val="20"/>
          <w:szCs w:val="20"/>
          <w:lang w:val="pt-PT"/>
        </w:rPr>
      </w:pPr>
      <w:r w:rsidRPr="00292532">
        <w:rPr>
          <w:rFonts w:ascii="Arial" w:eastAsia="Calibri" w:hAnsi="Arial" w:cs="Arial"/>
          <w:sz w:val="20"/>
          <w:szCs w:val="20"/>
          <w:lang w:val="pt-PT"/>
        </w:rPr>
        <w:t xml:space="preserve">O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 xml:space="preserve"> será implementado em áreas rurais e vilas das províncias de Nampula e Zambézia. Para o abastecimento de água são previstas intervenções em </w:t>
      </w:r>
      <w:r w:rsidR="00472547">
        <w:rPr>
          <w:rFonts w:ascii="Arial" w:eastAsia="Calibri" w:hAnsi="Arial" w:cs="Arial"/>
          <w:sz w:val="20"/>
          <w:szCs w:val="20"/>
          <w:lang w:val="pt-PT"/>
        </w:rPr>
        <w:t>18</w:t>
      </w:r>
      <w:r w:rsidRPr="00292532">
        <w:rPr>
          <w:rFonts w:ascii="Arial" w:eastAsia="Calibri" w:hAnsi="Arial" w:cs="Arial"/>
          <w:sz w:val="20"/>
          <w:szCs w:val="20"/>
          <w:lang w:val="pt-PT"/>
        </w:rPr>
        <w:t xml:space="preserve"> vilas (1</w:t>
      </w:r>
      <w:r w:rsidR="00472547">
        <w:rPr>
          <w:rFonts w:ascii="Arial" w:eastAsia="Calibri" w:hAnsi="Arial" w:cs="Arial"/>
          <w:sz w:val="20"/>
          <w:szCs w:val="20"/>
          <w:lang w:val="pt-PT"/>
        </w:rPr>
        <w:t>0</w:t>
      </w:r>
      <w:r w:rsidRPr="00292532">
        <w:rPr>
          <w:rFonts w:ascii="Arial" w:eastAsia="Calibri" w:hAnsi="Arial" w:cs="Arial"/>
          <w:sz w:val="20"/>
          <w:szCs w:val="20"/>
          <w:lang w:val="pt-PT"/>
        </w:rPr>
        <w:t xml:space="preserve"> em Nampula e 8 na Zambézia) e, para o saneamento são previstas intervenções em 27 vilas (14 na Zambézia e 13 em Nampula). No espaço rural, estão previstos investimentos em sistemas de abastecimento de água em 30 localidades que se destacam como centros de crescimento rural (10 em Nampula e 20 na Zambézia). </w:t>
      </w:r>
    </w:p>
    <w:p w14:paraId="1C0879A3" w14:textId="77777777" w:rsidR="00B31AE2" w:rsidRPr="00292532" w:rsidRDefault="00B31AE2" w:rsidP="00B31AE2">
      <w:pPr>
        <w:spacing w:before="0" w:after="120"/>
        <w:rPr>
          <w:rFonts w:ascii="Arial" w:eastAsia="Calibri" w:hAnsi="Arial" w:cs="Arial"/>
          <w:sz w:val="20"/>
          <w:szCs w:val="20"/>
          <w:lang w:val="pt-PT"/>
        </w:rPr>
      </w:pPr>
      <w:r w:rsidRPr="00292532">
        <w:rPr>
          <w:rFonts w:ascii="Arial" w:eastAsia="Calibri" w:hAnsi="Arial" w:cs="Arial"/>
          <w:sz w:val="20"/>
          <w:szCs w:val="20"/>
          <w:lang w:val="pt-PT"/>
        </w:rPr>
        <w:t xml:space="preserve">Estima-se que no espaço das vilas, cerca de 481,000 pessoas beneficiem das intervenções do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 xml:space="preserve"> e no </w:t>
      </w:r>
      <w:proofErr w:type="spellStart"/>
      <w:r w:rsidRPr="00292532">
        <w:rPr>
          <w:rFonts w:ascii="Arial" w:eastAsia="Calibri" w:hAnsi="Arial" w:cs="Arial"/>
          <w:sz w:val="20"/>
          <w:szCs w:val="20"/>
          <w:lang w:val="pt-PT"/>
        </w:rPr>
        <w:t>no</w:t>
      </w:r>
      <w:proofErr w:type="spellEnd"/>
      <w:r w:rsidRPr="00292532">
        <w:rPr>
          <w:rFonts w:ascii="Arial" w:eastAsia="Calibri" w:hAnsi="Arial" w:cs="Arial"/>
          <w:sz w:val="20"/>
          <w:szCs w:val="20"/>
          <w:lang w:val="pt-PT"/>
        </w:rPr>
        <w:t xml:space="preserve"> espaço rural, 467,000 pessoas possam beneficiar das intervenções do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w:t>
      </w:r>
    </w:p>
    <w:p w14:paraId="0C2F2BCC" w14:textId="77777777" w:rsidR="00B31AE2" w:rsidRPr="00292532" w:rsidRDefault="00B31AE2" w:rsidP="00B31AE2">
      <w:pPr>
        <w:spacing w:before="0" w:after="0"/>
        <w:rPr>
          <w:rFonts w:ascii="Arial" w:eastAsia="Times New Roman" w:hAnsi="Arial" w:cs="Arial"/>
          <w:lang w:val="pt-PT"/>
        </w:rPr>
      </w:pPr>
    </w:p>
    <w:p w14:paraId="08AFF2D3" w14:textId="0D018663" w:rsidR="00B31AE2" w:rsidRPr="00292532" w:rsidRDefault="00B31AE2" w:rsidP="00AE14AE">
      <w:pPr>
        <w:keepNext/>
        <w:keepLines/>
        <w:numPr>
          <w:ilvl w:val="1"/>
          <w:numId w:val="155"/>
        </w:numPr>
        <w:spacing w:before="0" w:after="120"/>
        <w:outlineLvl w:val="1"/>
        <w:rPr>
          <w:rFonts w:ascii="Arial" w:eastAsia="Times New Roman" w:hAnsi="Arial" w:cs="Arial"/>
          <w:bCs/>
          <w:color w:val="2F5496"/>
          <w:sz w:val="26"/>
          <w:szCs w:val="26"/>
          <w:lang w:val="pt-PT"/>
        </w:rPr>
      </w:pPr>
      <w:bookmarkStart w:id="1642" w:name="_Toc75246788"/>
      <w:bookmarkStart w:id="1643" w:name="_Toc75438106"/>
      <w:bookmarkStart w:id="1644" w:name="_Toc78435543"/>
      <w:bookmarkStart w:id="1645" w:name="_Toc80380209"/>
      <w:proofErr w:type="spellStart"/>
      <w:r w:rsidRPr="00292532">
        <w:rPr>
          <w:rFonts w:ascii="Arial" w:eastAsia="Times New Roman" w:hAnsi="Arial" w:cs="Arial"/>
          <w:bCs/>
          <w:color w:val="2F5496"/>
          <w:sz w:val="26"/>
          <w:szCs w:val="26"/>
          <w:lang w:val="pt-PT"/>
        </w:rPr>
        <w:t>Objectivos</w:t>
      </w:r>
      <w:bookmarkEnd w:id="1642"/>
      <w:bookmarkEnd w:id="1643"/>
      <w:bookmarkEnd w:id="1644"/>
      <w:bookmarkEnd w:id="1645"/>
      <w:proofErr w:type="spellEnd"/>
    </w:p>
    <w:p w14:paraId="61034797" w14:textId="77777777" w:rsidR="00B31AE2" w:rsidRPr="00292532" w:rsidRDefault="00B31AE2" w:rsidP="00B31AE2">
      <w:pPr>
        <w:spacing w:before="0" w:after="120"/>
        <w:rPr>
          <w:rFonts w:ascii="Arial" w:eastAsia="Times New Roman" w:hAnsi="Arial" w:cs="Arial"/>
          <w:sz w:val="20"/>
          <w:szCs w:val="20"/>
          <w:lang w:val="pt-PT"/>
        </w:rPr>
      </w:pPr>
      <w:r w:rsidRPr="00292532">
        <w:rPr>
          <w:rFonts w:ascii="Arial" w:eastAsia="Times New Roman" w:hAnsi="Arial" w:cs="Arial"/>
          <w:sz w:val="20"/>
          <w:szCs w:val="20"/>
          <w:lang w:val="pt-PT"/>
        </w:rPr>
        <w:t xml:space="preserve">Este documento visa avaliar e estabelecer as medidas de mitigação dos riscos que podem advir da implementação do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 xml:space="preserve"> ligados à exploração e abuso sexual (EAS) e outras formas de Violência Baseada no Género (VBG) relacionadas. O documento fornece uma avaliação de potenciais riscos e propõe medidas para evitar/reduzir o impacto dos mesmos no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 xml:space="preserve"> e nas pessoas, através das seguintes </w:t>
      </w:r>
      <w:proofErr w:type="spellStart"/>
      <w:r w:rsidRPr="00292532">
        <w:rPr>
          <w:rFonts w:ascii="Arial" w:eastAsia="Times New Roman" w:hAnsi="Arial" w:cs="Arial"/>
          <w:sz w:val="20"/>
          <w:szCs w:val="20"/>
          <w:lang w:val="pt-PT"/>
        </w:rPr>
        <w:t>acções</w:t>
      </w:r>
      <w:proofErr w:type="spellEnd"/>
      <w:r w:rsidRPr="00292532">
        <w:rPr>
          <w:rFonts w:ascii="Arial" w:eastAsia="Times New Roman" w:hAnsi="Arial" w:cs="Arial"/>
          <w:sz w:val="20"/>
          <w:szCs w:val="20"/>
          <w:lang w:val="pt-PT"/>
        </w:rPr>
        <w:t xml:space="preserve"> específicas:</w:t>
      </w:r>
    </w:p>
    <w:p w14:paraId="55DE5BDF" w14:textId="77777777" w:rsidR="00B31AE2" w:rsidRPr="00292532" w:rsidRDefault="00B31AE2" w:rsidP="00AE14AE">
      <w:pPr>
        <w:numPr>
          <w:ilvl w:val="0"/>
          <w:numId w:val="156"/>
        </w:numPr>
        <w:spacing w:before="0" w:after="0" w:line="297" w:lineRule="exact"/>
        <w:ind w:right="80"/>
        <w:rPr>
          <w:rFonts w:ascii="Arial" w:eastAsia="Calibri" w:hAnsi="Arial" w:cs="Arial"/>
          <w:sz w:val="20"/>
          <w:szCs w:val="20"/>
          <w:lang w:val="pt-PT"/>
        </w:rPr>
      </w:pPr>
      <w:r w:rsidRPr="00292532">
        <w:rPr>
          <w:rFonts w:ascii="Arial" w:eastAsia="Calibri" w:hAnsi="Arial" w:cs="Arial"/>
          <w:sz w:val="20"/>
          <w:szCs w:val="20"/>
          <w:lang w:val="pt-PT"/>
        </w:rPr>
        <w:t xml:space="preserve">Identificar riscos preexistentes de VBG e aqueles que podem ser exacerbados ou que possam surgir com as </w:t>
      </w:r>
      <w:proofErr w:type="spellStart"/>
      <w:r w:rsidRPr="00292532">
        <w:rPr>
          <w:rFonts w:ascii="Arial" w:eastAsia="Calibri" w:hAnsi="Arial" w:cs="Arial"/>
          <w:sz w:val="20"/>
          <w:szCs w:val="20"/>
          <w:lang w:val="pt-PT"/>
        </w:rPr>
        <w:t>actividades</w:t>
      </w:r>
      <w:proofErr w:type="spellEnd"/>
      <w:r w:rsidRPr="00292532">
        <w:rPr>
          <w:rFonts w:ascii="Arial" w:eastAsia="Calibri" w:hAnsi="Arial" w:cs="Arial"/>
          <w:sz w:val="20"/>
          <w:szCs w:val="20"/>
          <w:lang w:val="pt-PT"/>
        </w:rPr>
        <w:t xml:space="preserve"> do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 xml:space="preserve">; </w:t>
      </w:r>
    </w:p>
    <w:p w14:paraId="4E77690E" w14:textId="77777777" w:rsidR="00B31AE2" w:rsidRPr="00292532" w:rsidRDefault="00B31AE2" w:rsidP="00AE14AE">
      <w:pPr>
        <w:numPr>
          <w:ilvl w:val="0"/>
          <w:numId w:val="156"/>
        </w:numPr>
        <w:spacing w:before="0" w:after="0" w:line="297" w:lineRule="exact"/>
        <w:ind w:right="80"/>
        <w:rPr>
          <w:rFonts w:ascii="Arial" w:eastAsia="Calibri" w:hAnsi="Arial" w:cs="Arial"/>
          <w:sz w:val="20"/>
          <w:szCs w:val="20"/>
          <w:lang w:val="pt-PT"/>
        </w:rPr>
      </w:pPr>
      <w:r w:rsidRPr="00292532">
        <w:rPr>
          <w:rFonts w:ascii="Arial" w:eastAsia="Calibri" w:hAnsi="Arial" w:cs="Arial"/>
          <w:sz w:val="20"/>
          <w:szCs w:val="20"/>
          <w:lang w:val="pt-PT"/>
        </w:rPr>
        <w:t xml:space="preserve">Realizar o mapeamento de prestadores de serviços de VBG nas áreas circundantes do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 xml:space="preserve"> que possam ser usados pelos beneficiários; </w:t>
      </w:r>
    </w:p>
    <w:p w14:paraId="56061F44" w14:textId="77777777" w:rsidR="00B31AE2" w:rsidRPr="00292532" w:rsidRDefault="00B31AE2" w:rsidP="00AE14AE">
      <w:pPr>
        <w:numPr>
          <w:ilvl w:val="0"/>
          <w:numId w:val="156"/>
        </w:numPr>
        <w:spacing w:before="0" w:after="0" w:line="297" w:lineRule="exact"/>
        <w:ind w:right="80"/>
        <w:rPr>
          <w:rFonts w:ascii="Arial" w:eastAsia="Calibri" w:hAnsi="Arial" w:cs="Arial"/>
          <w:sz w:val="20"/>
          <w:szCs w:val="20"/>
          <w:lang w:val="pt-PT"/>
        </w:rPr>
      </w:pPr>
      <w:r w:rsidRPr="00292532">
        <w:rPr>
          <w:rFonts w:ascii="Arial" w:eastAsia="Calibri" w:hAnsi="Arial" w:cs="Arial"/>
          <w:sz w:val="20"/>
          <w:szCs w:val="20"/>
          <w:lang w:val="pt-PT"/>
        </w:rPr>
        <w:t xml:space="preserve">Identificar outras medidas que o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 xml:space="preserve"> deve realizar para reduzir o risco de VBG. </w:t>
      </w:r>
    </w:p>
    <w:p w14:paraId="43EA6418" w14:textId="77777777" w:rsidR="00B31AE2" w:rsidRPr="00292532" w:rsidRDefault="00B31AE2" w:rsidP="00AE14AE">
      <w:pPr>
        <w:numPr>
          <w:ilvl w:val="0"/>
          <w:numId w:val="156"/>
        </w:numPr>
        <w:spacing w:before="0" w:after="0" w:line="297" w:lineRule="exact"/>
        <w:ind w:right="80"/>
        <w:rPr>
          <w:rFonts w:ascii="Arial" w:eastAsia="Calibri" w:hAnsi="Arial" w:cs="Arial"/>
          <w:sz w:val="20"/>
          <w:szCs w:val="20"/>
          <w:lang w:val="pt-PT"/>
        </w:rPr>
      </w:pPr>
      <w:r w:rsidRPr="00292532">
        <w:rPr>
          <w:rFonts w:ascii="Arial" w:eastAsia="Calibri" w:hAnsi="Arial" w:cs="Arial"/>
          <w:sz w:val="20"/>
          <w:szCs w:val="20"/>
          <w:lang w:val="pt-PT"/>
        </w:rPr>
        <w:t xml:space="preserve">Desenvolver um Plano de </w:t>
      </w:r>
      <w:proofErr w:type="spellStart"/>
      <w:r w:rsidRPr="00292532">
        <w:rPr>
          <w:rFonts w:ascii="Arial" w:eastAsia="Calibri" w:hAnsi="Arial" w:cs="Arial"/>
          <w:sz w:val="20"/>
          <w:szCs w:val="20"/>
          <w:lang w:val="pt-PT"/>
        </w:rPr>
        <w:t>Acção</w:t>
      </w:r>
      <w:proofErr w:type="spellEnd"/>
      <w:r w:rsidRPr="00292532">
        <w:rPr>
          <w:rFonts w:ascii="Arial" w:eastAsia="Calibri" w:hAnsi="Arial" w:cs="Arial"/>
          <w:sz w:val="20"/>
          <w:szCs w:val="20"/>
          <w:lang w:val="pt-PT"/>
        </w:rPr>
        <w:t xml:space="preserve"> para mitigar os riscos identificados.</w:t>
      </w:r>
    </w:p>
    <w:p w14:paraId="120ED83E" w14:textId="77777777" w:rsidR="00B31AE2" w:rsidRPr="00292532" w:rsidRDefault="00B31AE2" w:rsidP="00B31AE2">
      <w:pPr>
        <w:spacing w:before="0" w:after="0" w:line="297" w:lineRule="exact"/>
        <w:ind w:right="80"/>
        <w:rPr>
          <w:rFonts w:ascii="Arial" w:eastAsia="Calibri" w:hAnsi="Arial" w:cs="Arial"/>
          <w:sz w:val="20"/>
          <w:szCs w:val="20"/>
          <w:lang w:val="pt-PT"/>
        </w:rPr>
      </w:pPr>
    </w:p>
    <w:p w14:paraId="5E8A8F19" w14:textId="77777777" w:rsidR="00B31AE2" w:rsidRPr="00292532" w:rsidRDefault="00B31AE2" w:rsidP="00B31AE2">
      <w:pPr>
        <w:spacing w:before="0" w:after="0" w:line="297" w:lineRule="exact"/>
        <w:ind w:right="80"/>
        <w:rPr>
          <w:rFonts w:ascii="Arial" w:eastAsia="Calibri" w:hAnsi="Arial" w:cs="Arial"/>
          <w:lang w:val="pt-PT"/>
        </w:rPr>
      </w:pPr>
      <w:r w:rsidRPr="00292532">
        <w:rPr>
          <w:rFonts w:ascii="Arial" w:eastAsia="Calibri" w:hAnsi="Arial" w:cs="Arial"/>
          <w:sz w:val="20"/>
          <w:szCs w:val="20"/>
          <w:lang w:val="pt-PT"/>
        </w:rPr>
        <w:t xml:space="preserve">A avaliação baseou-se no método qualitativo, que incluiu essencialmente a revisão de literatura </w:t>
      </w:r>
      <w:r w:rsidRPr="00292532">
        <w:rPr>
          <w:rFonts w:ascii="Arial" w:eastAsia="Times New Roman" w:hAnsi="Arial" w:cs="Arial"/>
          <w:sz w:val="20"/>
          <w:szCs w:val="20"/>
          <w:lang w:val="pt-PT"/>
        </w:rPr>
        <w:t xml:space="preserve">sendo os principais documentos consultados: estratégias sectoriais; documentos do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 xml:space="preserve">; material recolhido para avaliações de </w:t>
      </w:r>
      <w:proofErr w:type="spellStart"/>
      <w:r w:rsidRPr="00292532">
        <w:rPr>
          <w:rFonts w:ascii="Arial" w:eastAsia="Times New Roman" w:hAnsi="Arial" w:cs="Arial"/>
          <w:sz w:val="20"/>
          <w:szCs w:val="20"/>
          <w:lang w:val="pt-PT"/>
        </w:rPr>
        <w:t>projectos</w:t>
      </w:r>
      <w:proofErr w:type="spellEnd"/>
      <w:r w:rsidRPr="00292532">
        <w:rPr>
          <w:rFonts w:ascii="Arial" w:eastAsia="Times New Roman" w:hAnsi="Arial" w:cs="Arial"/>
          <w:sz w:val="20"/>
          <w:szCs w:val="20"/>
          <w:lang w:val="pt-PT"/>
        </w:rPr>
        <w:t xml:space="preserve"> em áreas</w:t>
      </w:r>
      <w:r w:rsidRPr="00292532">
        <w:rPr>
          <w:rFonts w:ascii="Arial" w:eastAsia="Calibri" w:hAnsi="Arial" w:cs="Arial"/>
          <w:sz w:val="20"/>
          <w:szCs w:val="20"/>
          <w:lang w:val="pt-PT"/>
        </w:rPr>
        <w:t xml:space="preserve"> similares e estudos recentes.</w:t>
      </w:r>
      <w:r w:rsidRPr="00292532">
        <w:rPr>
          <w:rFonts w:ascii="Arial" w:eastAsia="Calibri" w:hAnsi="Arial" w:cs="Arial"/>
          <w:lang w:val="pt-PT"/>
        </w:rPr>
        <w:t xml:space="preserve"> </w:t>
      </w:r>
    </w:p>
    <w:p w14:paraId="04A0A45A" w14:textId="77777777" w:rsidR="00B31AE2" w:rsidRPr="00292532" w:rsidRDefault="00B31AE2" w:rsidP="00B31AE2">
      <w:pPr>
        <w:spacing w:before="0" w:after="120" w:line="297" w:lineRule="exact"/>
        <w:ind w:right="80"/>
        <w:jc w:val="left"/>
        <w:rPr>
          <w:rFonts w:ascii="Arial" w:eastAsia="Calibri" w:hAnsi="Arial" w:cs="Arial"/>
          <w:szCs w:val="20"/>
          <w:lang w:val="pt-PT"/>
        </w:rPr>
      </w:pPr>
    </w:p>
    <w:p w14:paraId="21CDC440" w14:textId="25543204" w:rsidR="00B31AE2" w:rsidRPr="004500AE" w:rsidRDefault="00B31AE2" w:rsidP="00AE14AE">
      <w:pPr>
        <w:keepNext/>
        <w:keepLines/>
        <w:numPr>
          <w:ilvl w:val="0"/>
          <w:numId w:val="155"/>
        </w:numPr>
        <w:suppressAutoHyphens/>
        <w:spacing w:before="0" w:after="120"/>
        <w:outlineLvl w:val="0"/>
        <w:rPr>
          <w:rFonts w:eastAsia="Times New Roman" w:cs="Times New Roman"/>
          <w:color w:val="2F5496"/>
          <w:sz w:val="32"/>
          <w:lang w:val="pt-PT"/>
        </w:rPr>
      </w:pPr>
      <w:bookmarkStart w:id="1646" w:name="_Toc75246789"/>
      <w:bookmarkStart w:id="1647" w:name="_Toc75438107"/>
      <w:bookmarkStart w:id="1648" w:name="_Toc78435544"/>
      <w:bookmarkStart w:id="1649" w:name="_Toc80380210"/>
      <w:r w:rsidRPr="004500AE">
        <w:rPr>
          <w:rFonts w:eastAsia="Times New Roman" w:cs="Times New Roman"/>
          <w:color w:val="2F5496"/>
          <w:sz w:val="32"/>
          <w:lang w:val="pt-PT"/>
        </w:rPr>
        <w:t>Violência Baseada no Género (VBG)</w:t>
      </w:r>
      <w:bookmarkEnd w:id="1646"/>
      <w:bookmarkEnd w:id="1647"/>
      <w:bookmarkEnd w:id="1648"/>
      <w:bookmarkEnd w:id="1649"/>
    </w:p>
    <w:p w14:paraId="6DEE7D86" w14:textId="77777777" w:rsidR="00B31AE2" w:rsidRPr="00292532" w:rsidRDefault="00B31AE2" w:rsidP="00B31AE2">
      <w:pPr>
        <w:spacing w:before="0" w:after="120" w:line="297" w:lineRule="exact"/>
        <w:ind w:right="80"/>
        <w:rPr>
          <w:rFonts w:ascii="Arial" w:eastAsia="Times New Roman" w:hAnsi="Arial" w:cs="Arial"/>
          <w:sz w:val="20"/>
          <w:szCs w:val="20"/>
          <w:lang w:val="pt-PT"/>
        </w:rPr>
      </w:pPr>
      <w:r w:rsidRPr="00292532">
        <w:rPr>
          <w:rFonts w:ascii="Arial" w:eastAsia="Times New Roman" w:hAnsi="Arial" w:cs="Arial"/>
          <w:sz w:val="20"/>
          <w:szCs w:val="20"/>
          <w:lang w:val="pt-PT"/>
        </w:rPr>
        <w:t xml:space="preserve">O conceito género refere-se aos papéis socialmente construídos, comportamentos, </w:t>
      </w:r>
      <w:proofErr w:type="spellStart"/>
      <w:r w:rsidRPr="00292532">
        <w:rPr>
          <w:rFonts w:ascii="Arial" w:eastAsia="Times New Roman" w:hAnsi="Arial" w:cs="Arial"/>
          <w:sz w:val="20"/>
          <w:szCs w:val="20"/>
          <w:lang w:val="pt-PT"/>
        </w:rPr>
        <w:t>actividades</w:t>
      </w:r>
      <w:proofErr w:type="spellEnd"/>
      <w:r w:rsidRPr="00292532">
        <w:rPr>
          <w:rFonts w:ascii="Arial" w:eastAsia="Times New Roman" w:hAnsi="Arial" w:cs="Arial"/>
          <w:sz w:val="20"/>
          <w:szCs w:val="20"/>
          <w:lang w:val="pt-PT"/>
        </w:rPr>
        <w:t xml:space="preserve"> e atributos que uma determinada sociedade considera apropriados para homens e mulheres (GTZ, </w:t>
      </w:r>
      <w:proofErr w:type="spellStart"/>
      <w:r w:rsidRPr="00292532">
        <w:rPr>
          <w:rFonts w:ascii="Arial" w:eastAsia="Times New Roman" w:hAnsi="Arial" w:cs="Arial"/>
          <w:sz w:val="20"/>
          <w:szCs w:val="20"/>
          <w:lang w:val="pt-PT"/>
        </w:rPr>
        <w:t>nd</w:t>
      </w:r>
      <w:proofErr w:type="spellEnd"/>
      <w:r w:rsidRPr="00292532">
        <w:rPr>
          <w:rFonts w:ascii="Arial" w:eastAsia="Times New Roman" w:hAnsi="Arial" w:cs="Arial"/>
          <w:sz w:val="20"/>
          <w:szCs w:val="20"/>
          <w:lang w:val="pt-PT"/>
        </w:rPr>
        <w:t xml:space="preserve">). As relações de género variam e mudam numa mesma sociedade de acordo com outras categorias sociais, tais como raça, classe, idade, orientação sexual, etnia e religião. Estes </w:t>
      </w:r>
      <w:proofErr w:type="spellStart"/>
      <w:r w:rsidRPr="00292532">
        <w:rPr>
          <w:rFonts w:ascii="Arial" w:eastAsia="Times New Roman" w:hAnsi="Arial" w:cs="Arial"/>
          <w:sz w:val="20"/>
          <w:szCs w:val="20"/>
          <w:lang w:val="pt-PT"/>
        </w:rPr>
        <w:t>factores</w:t>
      </w:r>
      <w:proofErr w:type="spellEnd"/>
      <w:r w:rsidRPr="00292532">
        <w:rPr>
          <w:rFonts w:ascii="Arial" w:eastAsia="Times New Roman" w:hAnsi="Arial" w:cs="Arial"/>
          <w:sz w:val="20"/>
          <w:szCs w:val="20"/>
          <w:lang w:val="pt-PT"/>
        </w:rPr>
        <w:t xml:space="preserve"> não agem de forma independente e criam um sistema que </w:t>
      </w:r>
      <w:proofErr w:type="spellStart"/>
      <w:r w:rsidRPr="00292532">
        <w:rPr>
          <w:rFonts w:ascii="Arial" w:eastAsia="Times New Roman" w:hAnsi="Arial" w:cs="Arial"/>
          <w:sz w:val="20"/>
          <w:szCs w:val="20"/>
          <w:lang w:val="pt-PT"/>
        </w:rPr>
        <w:t>reflecte</w:t>
      </w:r>
      <w:proofErr w:type="spellEnd"/>
      <w:r w:rsidRPr="00292532">
        <w:rPr>
          <w:rFonts w:ascii="Arial" w:eastAsia="Times New Roman" w:hAnsi="Arial" w:cs="Arial"/>
          <w:sz w:val="20"/>
          <w:szCs w:val="20"/>
          <w:lang w:val="pt-PT"/>
        </w:rPr>
        <w:t xml:space="preserve"> o "cruzamento" de múltiplas formas de discriminação (MGCAS, 2016).</w:t>
      </w:r>
    </w:p>
    <w:p w14:paraId="7152794F" w14:textId="77777777" w:rsidR="00B31AE2" w:rsidRPr="00292532" w:rsidRDefault="00B31AE2" w:rsidP="00B31AE2">
      <w:pPr>
        <w:spacing w:before="0" w:after="120" w:line="297" w:lineRule="exact"/>
        <w:ind w:right="80"/>
        <w:rPr>
          <w:rFonts w:ascii="Arial" w:eastAsia="Times New Roman" w:hAnsi="Arial" w:cs="Arial"/>
          <w:sz w:val="20"/>
          <w:szCs w:val="20"/>
          <w:lang w:val="pt-PT"/>
        </w:rPr>
      </w:pPr>
      <w:r w:rsidRPr="00292532">
        <w:rPr>
          <w:rFonts w:ascii="Arial" w:eastAsia="Times New Roman" w:hAnsi="Arial" w:cs="Arial"/>
          <w:sz w:val="20"/>
          <w:szCs w:val="20"/>
          <w:lang w:val="pt-PT"/>
        </w:rPr>
        <w:t xml:space="preserve">A Violência Baseada no Género (VBG) é referida como qualquer </w:t>
      </w:r>
      <w:proofErr w:type="spellStart"/>
      <w:r w:rsidRPr="00292532">
        <w:rPr>
          <w:rFonts w:ascii="Arial" w:eastAsia="Times New Roman" w:hAnsi="Arial" w:cs="Arial"/>
          <w:sz w:val="20"/>
          <w:szCs w:val="20"/>
          <w:lang w:val="pt-PT"/>
        </w:rPr>
        <w:t>acto</w:t>
      </w:r>
      <w:proofErr w:type="spellEnd"/>
      <w:r w:rsidRPr="00292532">
        <w:rPr>
          <w:rFonts w:ascii="Arial" w:eastAsia="Times New Roman" w:hAnsi="Arial" w:cs="Arial"/>
          <w:sz w:val="20"/>
          <w:szCs w:val="20"/>
          <w:lang w:val="pt-PT"/>
        </w:rPr>
        <w:t xml:space="preserve"> prejudicial que é perpetrado contra a vontade de uma pessoa e que assenta nas diferenças de género socialmente construídas e </w:t>
      </w:r>
      <w:r w:rsidRPr="00292532">
        <w:rPr>
          <w:rFonts w:ascii="Arial" w:eastAsia="Times New Roman" w:hAnsi="Arial" w:cs="Arial"/>
          <w:sz w:val="20"/>
          <w:szCs w:val="20"/>
          <w:lang w:val="pt-PT"/>
        </w:rPr>
        <w:lastRenderedPageBreak/>
        <w:t xml:space="preserve">fundamentadas nas posições de poder desiguais entre homens e mulheres sustentadas pelo patriarcado (Conselho da Europa, 2007). A mesma inclui </w:t>
      </w:r>
      <w:proofErr w:type="spellStart"/>
      <w:r w:rsidRPr="00292532">
        <w:rPr>
          <w:rFonts w:ascii="Arial" w:eastAsia="Times New Roman" w:hAnsi="Arial" w:cs="Arial"/>
          <w:sz w:val="20"/>
          <w:szCs w:val="20"/>
          <w:lang w:val="pt-PT"/>
        </w:rPr>
        <w:t>actos</w:t>
      </w:r>
      <w:proofErr w:type="spellEnd"/>
      <w:r w:rsidRPr="00292532">
        <w:rPr>
          <w:rFonts w:ascii="Arial" w:eastAsia="Times New Roman" w:hAnsi="Arial" w:cs="Arial"/>
          <w:sz w:val="20"/>
          <w:szCs w:val="20"/>
          <w:lang w:val="pt-PT"/>
        </w:rPr>
        <w:t xml:space="preserve"> que levam a dano ou sofrimento físico, mental, sexual, ameaças de tais </w:t>
      </w:r>
      <w:proofErr w:type="spellStart"/>
      <w:r w:rsidRPr="00292532">
        <w:rPr>
          <w:rFonts w:ascii="Arial" w:eastAsia="Times New Roman" w:hAnsi="Arial" w:cs="Arial"/>
          <w:sz w:val="20"/>
          <w:szCs w:val="20"/>
          <w:lang w:val="pt-PT"/>
        </w:rPr>
        <w:t>actos</w:t>
      </w:r>
      <w:proofErr w:type="spellEnd"/>
      <w:r w:rsidRPr="00292532">
        <w:rPr>
          <w:rFonts w:ascii="Arial" w:eastAsia="Times New Roman" w:hAnsi="Arial" w:cs="Arial"/>
          <w:sz w:val="20"/>
          <w:szCs w:val="20"/>
          <w:lang w:val="pt-PT"/>
        </w:rPr>
        <w:t xml:space="preserve">, e coerção e outras privações de liberdade, podendo ocorrer na vida pública ou privada. </w:t>
      </w:r>
    </w:p>
    <w:p w14:paraId="0404C0D1" w14:textId="444B5126" w:rsidR="00B31AE2" w:rsidRPr="00292532" w:rsidRDefault="00B31AE2" w:rsidP="00B31AE2">
      <w:pPr>
        <w:spacing w:before="0" w:after="0" w:line="297" w:lineRule="exact"/>
        <w:ind w:right="80"/>
        <w:rPr>
          <w:rFonts w:ascii="Arial" w:eastAsia="Times New Roman" w:hAnsi="Arial" w:cs="Arial"/>
          <w:sz w:val="20"/>
          <w:szCs w:val="20"/>
          <w:lang w:val="pt-PT"/>
        </w:rPr>
      </w:pPr>
      <w:r w:rsidRPr="00292532">
        <w:rPr>
          <w:rFonts w:ascii="Arial" w:eastAsia="Times New Roman" w:hAnsi="Arial" w:cs="Arial"/>
          <w:sz w:val="20"/>
          <w:szCs w:val="20"/>
          <w:lang w:val="pt-PT"/>
        </w:rPr>
        <w:t>Os termos violência contra mulher e violência baseada no género, são frequentemente usados de forma intercambiável quer na literatura quer pelos defensores dos direitos das mulheres, contudo a VBG enaltece a dimensão de género, mais concretamente a interligação entre (i) o estatuto de subordinação da mulher e; (</w:t>
      </w:r>
      <w:proofErr w:type="spellStart"/>
      <w:r w:rsidRPr="00292532">
        <w:rPr>
          <w:rFonts w:ascii="Arial" w:eastAsia="Times New Roman" w:hAnsi="Arial" w:cs="Arial"/>
          <w:sz w:val="20"/>
          <w:szCs w:val="20"/>
          <w:lang w:val="pt-PT"/>
        </w:rPr>
        <w:t>ii</w:t>
      </w:r>
      <w:proofErr w:type="spellEnd"/>
      <w:r w:rsidRPr="00292532">
        <w:rPr>
          <w:rFonts w:ascii="Arial" w:eastAsia="Times New Roman" w:hAnsi="Arial" w:cs="Arial"/>
          <w:sz w:val="20"/>
          <w:szCs w:val="20"/>
          <w:lang w:val="pt-PT"/>
        </w:rPr>
        <w:t>) a crescente vulnerabilidade à violência derivada das relações desiguais de poder e papéis de género. O termo VBG providencia uma oportunidade para examinar e perceber o fenómeno da violência contra a mulher, deixando de olhar para a mulher como vítima, mas sim focalizando nas relações de género e de poder entre homens e mulheres criadas e mantidas por estereótipos de género</w:t>
      </w:r>
      <w:r w:rsidRPr="00292532">
        <w:rPr>
          <w:rFonts w:ascii="Arial" w:eastAsia="Times New Roman" w:hAnsi="Arial" w:cs="Arial"/>
          <w:sz w:val="20"/>
          <w:szCs w:val="20"/>
          <w:vertAlign w:val="superscript"/>
          <w:lang w:val="pt-PT"/>
        </w:rPr>
        <w:footnoteReference w:id="34"/>
      </w:r>
      <w:r w:rsidRPr="00292532">
        <w:rPr>
          <w:rFonts w:ascii="Arial" w:eastAsia="Times New Roman" w:hAnsi="Arial" w:cs="Arial"/>
          <w:sz w:val="20"/>
          <w:szCs w:val="20"/>
          <w:lang w:val="pt-PT"/>
        </w:rPr>
        <w:t xml:space="preserve"> (UNFEM, 2001). Neste contexto as mulheres podem ser vítimas de VBG perpetrada por outras mulheres na tentativa de exercer o poder patriarcal e significa ainda que homens e rapazes podem também ser vítimas de VBG, com especial atenção à violência sexual, como nos casos em que estes são considerados como estando “fora do padrão” tradicional dos papéis de género. No entanto é importante ter em conta que a grande maioria das vítimas de VBG são as mulheres.</w:t>
      </w:r>
    </w:p>
    <w:p w14:paraId="4565C1CE" w14:textId="77777777" w:rsidR="00B31AE2" w:rsidRPr="00292532" w:rsidRDefault="00B31AE2" w:rsidP="00B31AE2">
      <w:pPr>
        <w:spacing w:before="0" w:after="0" w:line="297" w:lineRule="exact"/>
        <w:ind w:right="80"/>
        <w:rPr>
          <w:rFonts w:ascii="Arial" w:eastAsia="Times New Roman" w:hAnsi="Arial" w:cs="Arial"/>
          <w:sz w:val="20"/>
          <w:szCs w:val="20"/>
          <w:lang w:val="pt-PT"/>
        </w:rPr>
      </w:pPr>
    </w:p>
    <w:p w14:paraId="6BC8D84C" w14:textId="77777777" w:rsidR="00B31AE2" w:rsidRPr="00292532" w:rsidRDefault="00B31AE2" w:rsidP="00B31AE2">
      <w:pPr>
        <w:spacing w:before="0" w:after="120" w:line="297" w:lineRule="exact"/>
        <w:ind w:right="80"/>
        <w:rPr>
          <w:rFonts w:ascii="Arial" w:eastAsia="Times New Roman" w:hAnsi="Arial" w:cs="Arial"/>
          <w:sz w:val="20"/>
          <w:szCs w:val="20"/>
          <w:lang w:val="pt-PT"/>
        </w:rPr>
      </w:pPr>
      <w:r w:rsidRPr="00292532">
        <w:rPr>
          <w:rFonts w:ascii="Arial" w:eastAsia="Times New Roman" w:hAnsi="Arial" w:cs="Arial"/>
          <w:sz w:val="20"/>
          <w:szCs w:val="20"/>
          <w:lang w:val="pt-PT"/>
        </w:rPr>
        <w:t>A Violência Baseada no Género (VBG) pode se configurar em diferentes formas descritas a seguir</w:t>
      </w:r>
      <w:r w:rsidRPr="00292532">
        <w:rPr>
          <w:rFonts w:ascii="Arial" w:eastAsia="Times New Roman" w:hAnsi="Arial" w:cs="Arial"/>
          <w:sz w:val="20"/>
          <w:szCs w:val="20"/>
          <w:vertAlign w:val="superscript"/>
          <w:lang w:val="pt-PT"/>
        </w:rPr>
        <w:footnoteReference w:id="35"/>
      </w:r>
      <w:r w:rsidRPr="00292532">
        <w:rPr>
          <w:rFonts w:ascii="Arial" w:eastAsia="Times New Roman" w:hAnsi="Arial" w:cs="Arial"/>
          <w:sz w:val="20"/>
          <w:szCs w:val="20"/>
          <w:lang w:val="pt-PT"/>
        </w:rPr>
        <w:t>:</w:t>
      </w:r>
    </w:p>
    <w:p w14:paraId="131EBAFF" w14:textId="77777777" w:rsidR="00B31AE2" w:rsidRPr="00292532" w:rsidRDefault="00B31AE2" w:rsidP="00B31AE2">
      <w:pPr>
        <w:pBdr>
          <w:top w:val="single" w:sz="4" w:space="1" w:color="auto"/>
          <w:left w:val="single" w:sz="4" w:space="4" w:color="auto"/>
          <w:bottom w:val="single" w:sz="4" w:space="1" w:color="auto"/>
          <w:right w:val="single" w:sz="4" w:space="0" w:color="auto"/>
        </w:pBdr>
        <w:spacing w:before="0" w:after="120"/>
        <w:rPr>
          <w:rFonts w:ascii="Arial" w:eastAsia="Times New Roman" w:hAnsi="Arial" w:cs="Arial"/>
          <w:sz w:val="20"/>
          <w:szCs w:val="20"/>
          <w:lang w:val="pt-PT"/>
        </w:rPr>
      </w:pPr>
      <w:r w:rsidRPr="00292532">
        <w:rPr>
          <w:rFonts w:ascii="Arial" w:eastAsia="Times New Roman" w:hAnsi="Arial" w:cs="Arial"/>
          <w:b/>
          <w:bCs/>
          <w:sz w:val="20"/>
          <w:szCs w:val="20"/>
          <w:lang w:val="pt-PT"/>
        </w:rPr>
        <w:t xml:space="preserve">Violência Física: </w:t>
      </w:r>
      <w:r w:rsidRPr="00292532">
        <w:rPr>
          <w:rFonts w:ascii="Arial" w:eastAsia="Times New Roman" w:hAnsi="Arial" w:cs="Arial"/>
          <w:sz w:val="20"/>
          <w:szCs w:val="20"/>
          <w:lang w:val="pt-PT"/>
        </w:rPr>
        <w:t>resulta em lesões, angústia e problemas de saúde. Formas típicas de violência física são espancamento, estrangulamento, empurrão e uso de armas para atacar a vítima.</w:t>
      </w:r>
    </w:p>
    <w:p w14:paraId="1CF884F5" w14:textId="77777777" w:rsidR="00B31AE2" w:rsidRPr="00292532" w:rsidRDefault="00B31AE2" w:rsidP="00B31AE2">
      <w:pPr>
        <w:pBdr>
          <w:top w:val="single" w:sz="4" w:space="1" w:color="auto"/>
          <w:left w:val="single" w:sz="4" w:space="4" w:color="auto"/>
          <w:bottom w:val="single" w:sz="4" w:space="1" w:color="auto"/>
          <w:right w:val="single" w:sz="4" w:space="0" w:color="auto"/>
        </w:pBdr>
        <w:spacing w:before="0" w:after="120"/>
        <w:rPr>
          <w:rFonts w:ascii="Arial" w:eastAsia="Times New Roman" w:hAnsi="Arial" w:cs="Arial"/>
          <w:sz w:val="20"/>
          <w:szCs w:val="20"/>
          <w:lang w:val="pt-PT"/>
        </w:rPr>
      </w:pPr>
      <w:r w:rsidRPr="00292532">
        <w:rPr>
          <w:rFonts w:ascii="Arial" w:eastAsia="Times New Roman" w:hAnsi="Arial" w:cs="Arial"/>
          <w:b/>
          <w:bCs/>
          <w:sz w:val="20"/>
          <w:szCs w:val="20"/>
          <w:lang w:val="pt-PT"/>
        </w:rPr>
        <w:t>Violência Sexual</w:t>
      </w:r>
      <w:r w:rsidRPr="00292532">
        <w:rPr>
          <w:rFonts w:ascii="Arial" w:eastAsia="Times New Roman" w:hAnsi="Arial" w:cs="Arial"/>
          <w:sz w:val="20"/>
          <w:szCs w:val="20"/>
          <w:lang w:val="pt-PT"/>
        </w:rPr>
        <w:t xml:space="preserve">: inclui </w:t>
      </w:r>
      <w:proofErr w:type="spellStart"/>
      <w:r w:rsidRPr="00292532">
        <w:rPr>
          <w:rFonts w:ascii="Arial" w:eastAsia="Times New Roman" w:hAnsi="Arial" w:cs="Arial"/>
          <w:sz w:val="20"/>
          <w:szCs w:val="20"/>
          <w:lang w:val="pt-PT"/>
        </w:rPr>
        <w:t>actos</w:t>
      </w:r>
      <w:proofErr w:type="spellEnd"/>
      <w:r w:rsidRPr="00292532">
        <w:rPr>
          <w:rFonts w:ascii="Arial" w:eastAsia="Times New Roman" w:hAnsi="Arial" w:cs="Arial"/>
          <w:sz w:val="20"/>
          <w:szCs w:val="20"/>
          <w:lang w:val="pt-PT"/>
        </w:rPr>
        <w:t xml:space="preserve"> sexuais, tentativas de obter um </w:t>
      </w:r>
      <w:proofErr w:type="spellStart"/>
      <w:r w:rsidRPr="00292532">
        <w:rPr>
          <w:rFonts w:ascii="Arial" w:eastAsia="Times New Roman" w:hAnsi="Arial" w:cs="Arial"/>
          <w:sz w:val="20"/>
          <w:szCs w:val="20"/>
          <w:lang w:val="pt-PT"/>
        </w:rPr>
        <w:t>acto</w:t>
      </w:r>
      <w:proofErr w:type="spellEnd"/>
      <w:r w:rsidRPr="00292532">
        <w:rPr>
          <w:rFonts w:ascii="Arial" w:eastAsia="Times New Roman" w:hAnsi="Arial" w:cs="Arial"/>
          <w:sz w:val="20"/>
          <w:szCs w:val="20"/>
          <w:lang w:val="pt-PT"/>
        </w:rPr>
        <w:t xml:space="preserve"> sexual, </w:t>
      </w:r>
      <w:proofErr w:type="spellStart"/>
      <w:r w:rsidRPr="00292532">
        <w:rPr>
          <w:rFonts w:ascii="Arial" w:eastAsia="Times New Roman" w:hAnsi="Arial" w:cs="Arial"/>
          <w:sz w:val="20"/>
          <w:szCs w:val="20"/>
          <w:lang w:val="pt-PT"/>
        </w:rPr>
        <w:t>actos</w:t>
      </w:r>
      <w:proofErr w:type="spellEnd"/>
      <w:r w:rsidRPr="00292532">
        <w:rPr>
          <w:rFonts w:ascii="Arial" w:eastAsia="Times New Roman" w:hAnsi="Arial" w:cs="Arial"/>
          <w:sz w:val="20"/>
          <w:szCs w:val="20"/>
          <w:lang w:val="pt-PT"/>
        </w:rPr>
        <w:t xml:space="preserve"> de tráfico ou outros </w:t>
      </w:r>
      <w:proofErr w:type="spellStart"/>
      <w:r w:rsidRPr="00292532">
        <w:rPr>
          <w:rFonts w:ascii="Arial" w:eastAsia="Times New Roman" w:hAnsi="Arial" w:cs="Arial"/>
          <w:sz w:val="20"/>
          <w:szCs w:val="20"/>
          <w:lang w:val="pt-PT"/>
        </w:rPr>
        <w:t>actos</w:t>
      </w:r>
      <w:proofErr w:type="spellEnd"/>
      <w:r w:rsidRPr="00292532">
        <w:rPr>
          <w:rFonts w:ascii="Arial" w:eastAsia="Times New Roman" w:hAnsi="Arial" w:cs="Arial"/>
          <w:sz w:val="20"/>
          <w:szCs w:val="20"/>
          <w:lang w:val="pt-PT"/>
        </w:rPr>
        <w:t xml:space="preserve"> dirigidos contra a sexualidade de uma pessoa sem o consentimento da pessoa.</w:t>
      </w:r>
    </w:p>
    <w:p w14:paraId="051166F3" w14:textId="77777777" w:rsidR="00B31AE2" w:rsidRPr="00292532" w:rsidRDefault="00B31AE2" w:rsidP="00B31AE2">
      <w:pPr>
        <w:pBdr>
          <w:top w:val="single" w:sz="4" w:space="1" w:color="auto"/>
          <w:left w:val="single" w:sz="4" w:space="4" w:color="auto"/>
          <w:bottom w:val="single" w:sz="4" w:space="1" w:color="auto"/>
          <w:right w:val="single" w:sz="4" w:space="0" w:color="auto"/>
        </w:pBdr>
        <w:spacing w:before="0" w:after="120"/>
        <w:rPr>
          <w:rFonts w:ascii="Arial" w:eastAsia="Times New Roman" w:hAnsi="Arial" w:cs="Arial"/>
          <w:sz w:val="20"/>
          <w:szCs w:val="20"/>
          <w:lang w:val="pt-PT"/>
        </w:rPr>
      </w:pPr>
      <w:r w:rsidRPr="00292532">
        <w:rPr>
          <w:rFonts w:ascii="Arial" w:eastAsia="Times New Roman" w:hAnsi="Arial" w:cs="Arial"/>
          <w:b/>
          <w:bCs/>
          <w:sz w:val="20"/>
          <w:szCs w:val="20"/>
          <w:lang w:val="pt-PT"/>
        </w:rPr>
        <w:t xml:space="preserve">Violência Psicológica: </w:t>
      </w:r>
      <w:proofErr w:type="spellStart"/>
      <w:r w:rsidRPr="00292532">
        <w:rPr>
          <w:rFonts w:ascii="Arial" w:eastAsia="Times New Roman" w:hAnsi="Arial" w:cs="Arial"/>
          <w:sz w:val="20"/>
          <w:szCs w:val="20"/>
          <w:lang w:val="pt-PT"/>
        </w:rPr>
        <w:t>Actos</w:t>
      </w:r>
      <w:proofErr w:type="spellEnd"/>
      <w:r w:rsidRPr="00292532">
        <w:rPr>
          <w:rFonts w:ascii="Arial" w:eastAsia="Times New Roman" w:hAnsi="Arial" w:cs="Arial"/>
          <w:sz w:val="20"/>
          <w:szCs w:val="20"/>
          <w:lang w:val="pt-PT"/>
        </w:rPr>
        <w:t xml:space="preserve"> ou omissões com o </w:t>
      </w:r>
      <w:proofErr w:type="spellStart"/>
      <w:r w:rsidRPr="00292532">
        <w:rPr>
          <w:rFonts w:ascii="Arial" w:eastAsia="Times New Roman" w:hAnsi="Arial" w:cs="Arial"/>
          <w:sz w:val="20"/>
          <w:szCs w:val="20"/>
          <w:lang w:val="pt-PT"/>
        </w:rPr>
        <w:t>objectivo</w:t>
      </w:r>
      <w:proofErr w:type="spellEnd"/>
      <w:r w:rsidRPr="00292532">
        <w:rPr>
          <w:rFonts w:ascii="Arial" w:eastAsia="Times New Roman" w:hAnsi="Arial" w:cs="Arial"/>
          <w:sz w:val="20"/>
          <w:szCs w:val="20"/>
          <w:lang w:val="pt-PT"/>
        </w:rPr>
        <w:t xml:space="preserve"> de controlar o comportamento, </w:t>
      </w:r>
      <w:proofErr w:type="spellStart"/>
      <w:r w:rsidRPr="00292532">
        <w:rPr>
          <w:rFonts w:ascii="Arial" w:eastAsia="Times New Roman" w:hAnsi="Arial" w:cs="Arial"/>
          <w:sz w:val="20"/>
          <w:szCs w:val="20"/>
          <w:lang w:val="pt-PT"/>
        </w:rPr>
        <w:t>acções</w:t>
      </w:r>
      <w:proofErr w:type="spellEnd"/>
      <w:r w:rsidRPr="00292532">
        <w:rPr>
          <w:rFonts w:ascii="Arial" w:eastAsia="Times New Roman" w:hAnsi="Arial" w:cs="Arial"/>
          <w:sz w:val="20"/>
          <w:szCs w:val="20"/>
          <w:lang w:val="pt-PT"/>
        </w:rPr>
        <w:t xml:space="preserve">, crenças e capacidade de tomar decisões de uma pessoa através de manipulação, intimidação, insulto, ameaça, isolamento, humilhação, </w:t>
      </w:r>
      <w:r w:rsidRPr="00292532">
        <w:rPr>
          <w:rFonts w:ascii="Arial" w:eastAsia="Times New Roman" w:hAnsi="Arial" w:cs="Arial"/>
          <w:i/>
          <w:iCs/>
          <w:sz w:val="20"/>
          <w:szCs w:val="20"/>
          <w:lang w:val="pt-PT"/>
        </w:rPr>
        <w:t>etc</w:t>
      </w:r>
      <w:r w:rsidRPr="00292532">
        <w:rPr>
          <w:rFonts w:ascii="Arial" w:eastAsia="Times New Roman" w:hAnsi="Arial" w:cs="Arial"/>
          <w:sz w:val="20"/>
          <w:szCs w:val="20"/>
          <w:lang w:val="pt-PT"/>
        </w:rPr>
        <w:t>.</w:t>
      </w:r>
    </w:p>
    <w:p w14:paraId="07A737BF" w14:textId="77777777" w:rsidR="00B31AE2" w:rsidRPr="00292532" w:rsidRDefault="00B31AE2" w:rsidP="00B31AE2">
      <w:pPr>
        <w:pBdr>
          <w:top w:val="single" w:sz="4" w:space="1" w:color="auto"/>
          <w:left w:val="single" w:sz="4" w:space="4" w:color="auto"/>
          <w:bottom w:val="single" w:sz="4" w:space="1" w:color="auto"/>
          <w:right w:val="single" w:sz="4" w:space="0" w:color="auto"/>
        </w:pBdr>
        <w:spacing w:before="0" w:after="120"/>
        <w:rPr>
          <w:rFonts w:ascii="Arial" w:eastAsia="Times New Roman" w:hAnsi="Arial" w:cs="Arial"/>
          <w:sz w:val="20"/>
          <w:szCs w:val="20"/>
          <w:lang w:val="pt-PT"/>
        </w:rPr>
      </w:pPr>
      <w:r w:rsidRPr="00292532">
        <w:rPr>
          <w:rFonts w:ascii="Arial" w:eastAsia="Times New Roman" w:hAnsi="Arial" w:cs="Arial"/>
          <w:b/>
          <w:bCs/>
          <w:sz w:val="20"/>
          <w:szCs w:val="20"/>
          <w:lang w:val="pt-PT"/>
        </w:rPr>
        <w:t xml:space="preserve">Violência Patrimonial ou Económica: </w:t>
      </w:r>
      <w:r w:rsidRPr="00292532">
        <w:rPr>
          <w:rFonts w:ascii="Arial" w:eastAsia="Times New Roman" w:hAnsi="Arial" w:cs="Arial"/>
          <w:sz w:val="20"/>
          <w:szCs w:val="20"/>
          <w:lang w:val="pt-PT"/>
        </w:rPr>
        <w:t>inclui barreiras impostas pelo violador para que a vítima possa ter acesso ao dinheiro ou recursos. A pressão para não trabalhar e ficar em casa ou o controlo dos recursos, são exemplos muito claros de violência económica.</w:t>
      </w:r>
    </w:p>
    <w:p w14:paraId="35124818" w14:textId="77777777" w:rsidR="00B31AE2" w:rsidRPr="00292532" w:rsidRDefault="00B31AE2" w:rsidP="00B31AE2">
      <w:pPr>
        <w:pBdr>
          <w:top w:val="single" w:sz="4" w:space="1" w:color="auto"/>
          <w:left w:val="single" w:sz="4" w:space="4" w:color="auto"/>
          <w:bottom w:val="single" w:sz="4" w:space="1" w:color="auto"/>
          <w:right w:val="single" w:sz="4" w:space="0" w:color="auto"/>
        </w:pBdr>
        <w:spacing w:before="0" w:after="120"/>
        <w:rPr>
          <w:rFonts w:ascii="Arial" w:eastAsia="Times New Roman" w:hAnsi="Arial" w:cs="Arial"/>
          <w:sz w:val="20"/>
          <w:szCs w:val="20"/>
          <w:lang w:val="pt-PT"/>
        </w:rPr>
      </w:pPr>
      <w:r w:rsidRPr="00292532">
        <w:rPr>
          <w:rFonts w:ascii="Arial" w:eastAsia="Times New Roman" w:hAnsi="Arial" w:cs="Arial"/>
          <w:b/>
          <w:bCs/>
          <w:sz w:val="20"/>
          <w:szCs w:val="20"/>
          <w:lang w:val="pt-PT"/>
        </w:rPr>
        <w:t xml:space="preserve">Violência </w:t>
      </w:r>
      <w:proofErr w:type="gramStart"/>
      <w:r w:rsidRPr="00292532">
        <w:rPr>
          <w:rFonts w:ascii="Arial" w:eastAsia="Times New Roman" w:hAnsi="Arial" w:cs="Arial"/>
          <w:b/>
          <w:bCs/>
          <w:sz w:val="20"/>
          <w:szCs w:val="20"/>
          <w:lang w:val="pt-PT"/>
        </w:rPr>
        <w:t xml:space="preserve">Política </w:t>
      </w:r>
      <w:r w:rsidRPr="00292532">
        <w:rPr>
          <w:rFonts w:ascii="Arial" w:eastAsia="Times New Roman" w:hAnsi="Arial" w:cs="Arial"/>
          <w:sz w:val="20"/>
          <w:szCs w:val="20"/>
          <w:lang w:val="pt-PT"/>
        </w:rPr>
        <w:t>Qualquer</w:t>
      </w:r>
      <w:proofErr w:type="gramEnd"/>
      <w:r w:rsidRPr="00292532">
        <w:rPr>
          <w:rFonts w:ascii="Arial" w:eastAsia="Times New Roman" w:hAnsi="Arial" w:cs="Arial"/>
          <w:sz w:val="20"/>
          <w:szCs w:val="20"/>
          <w:lang w:val="pt-PT"/>
        </w:rPr>
        <w:t xml:space="preserve"> prática ou </w:t>
      </w:r>
      <w:proofErr w:type="spellStart"/>
      <w:r w:rsidRPr="00292532">
        <w:rPr>
          <w:rFonts w:ascii="Arial" w:eastAsia="Times New Roman" w:hAnsi="Arial" w:cs="Arial"/>
          <w:sz w:val="20"/>
          <w:szCs w:val="20"/>
          <w:lang w:val="pt-PT"/>
        </w:rPr>
        <w:t>acto</w:t>
      </w:r>
      <w:proofErr w:type="spellEnd"/>
      <w:r w:rsidRPr="00292532">
        <w:rPr>
          <w:rFonts w:ascii="Arial" w:eastAsia="Times New Roman" w:hAnsi="Arial" w:cs="Arial"/>
          <w:sz w:val="20"/>
          <w:szCs w:val="20"/>
          <w:lang w:val="pt-PT"/>
        </w:rPr>
        <w:t xml:space="preserve"> de discriminação ou violência verbal, psicológica, física, sexual ou económica, bem como ameaças de tais </w:t>
      </w:r>
      <w:proofErr w:type="spellStart"/>
      <w:r w:rsidRPr="00292532">
        <w:rPr>
          <w:rFonts w:ascii="Arial" w:eastAsia="Times New Roman" w:hAnsi="Arial" w:cs="Arial"/>
          <w:sz w:val="20"/>
          <w:szCs w:val="20"/>
          <w:lang w:val="pt-PT"/>
        </w:rPr>
        <w:t>actos</w:t>
      </w:r>
      <w:proofErr w:type="spellEnd"/>
      <w:r w:rsidRPr="00292532">
        <w:rPr>
          <w:rFonts w:ascii="Arial" w:eastAsia="Times New Roman" w:hAnsi="Arial" w:cs="Arial"/>
          <w:sz w:val="20"/>
          <w:szCs w:val="20"/>
          <w:lang w:val="pt-PT"/>
        </w:rPr>
        <w:t xml:space="preserve"> ou intimidação, que impeçam ou dificultem o acesso das vítimas a ocupar cargos públicos ou políticos ou o livre exercício ou carreira política.</w:t>
      </w:r>
    </w:p>
    <w:p w14:paraId="196492EB" w14:textId="77777777" w:rsidR="00B31AE2" w:rsidRPr="00292532" w:rsidRDefault="00B31AE2" w:rsidP="00B31AE2">
      <w:pPr>
        <w:pBdr>
          <w:top w:val="single" w:sz="4" w:space="1" w:color="auto"/>
          <w:left w:val="single" w:sz="4" w:space="4" w:color="auto"/>
          <w:bottom w:val="single" w:sz="4" w:space="1" w:color="auto"/>
          <w:right w:val="single" w:sz="4" w:space="0" w:color="auto"/>
        </w:pBdr>
        <w:spacing w:before="0" w:after="120"/>
        <w:rPr>
          <w:rFonts w:ascii="Arial" w:eastAsia="Times New Roman" w:hAnsi="Arial" w:cs="Arial"/>
          <w:sz w:val="20"/>
          <w:szCs w:val="20"/>
          <w:lang w:val="pt-PT"/>
        </w:rPr>
      </w:pPr>
      <w:r w:rsidRPr="00292532">
        <w:rPr>
          <w:rFonts w:ascii="Arial" w:eastAsia="Times New Roman" w:hAnsi="Arial" w:cs="Arial"/>
          <w:b/>
          <w:bCs/>
          <w:sz w:val="20"/>
          <w:szCs w:val="20"/>
          <w:lang w:val="pt-PT"/>
        </w:rPr>
        <w:t xml:space="preserve">Violência </w:t>
      </w:r>
      <w:proofErr w:type="gramStart"/>
      <w:r w:rsidRPr="00292532">
        <w:rPr>
          <w:rFonts w:ascii="Arial" w:eastAsia="Times New Roman" w:hAnsi="Arial" w:cs="Arial"/>
          <w:b/>
          <w:bCs/>
          <w:sz w:val="20"/>
          <w:szCs w:val="20"/>
          <w:lang w:val="pt-PT"/>
        </w:rPr>
        <w:t xml:space="preserve">Sociocultural </w:t>
      </w:r>
      <w:r w:rsidRPr="00292532">
        <w:rPr>
          <w:rFonts w:ascii="Arial" w:eastAsia="Times New Roman" w:hAnsi="Arial" w:cs="Arial"/>
          <w:sz w:val="20"/>
          <w:szCs w:val="20"/>
          <w:lang w:val="pt-PT"/>
        </w:rPr>
        <w:t>Qualquer</w:t>
      </w:r>
      <w:proofErr w:type="gramEnd"/>
      <w:r w:rsidRPr="00292532">
        <w:rPr>
          <w:rFonts w:ascii="Arial" w:eastAsia="Times New Roman" w:hAnsi="Arial" w:cs="Arial"/>
          <w:sz w:val="20"/>
          <w:szCs w:val="20"/>
          <w:lang w:val="pt-PT"/>
        </w:rPr>
        <w:t xml:space="preserve"> prática tradicional ou cultural que possa pôr em perigo a </w:t>
      </w:r>
      <w:proofErr w:type="spellStart"/>
      <w:r w:rsidRPr="00292532">
        <w:rPr>
          <w:rFonts w:ascii="Arial" w:eastAsia="Times New Roman" w:hAnsi="Arial" w:cs="Arial"/>
          <w:sz w:val="20"/>
          <w:szCs w:val="20"/>
          <w:lang w:val="pt-PT"/>
        </w:rPr>
        <w:t>auto-estima</w:t>
      </w:r>
      <w:proofErr w:type="spellEnd"/>
      <w:r w:rsidRPr="00292532">
        <w:rPr>
          <w:rFonts w:ascii="Arial" w:eastAsia="Times New Roman" w:hAnsi="Arial" w:cs="Arial"/>
          <w:sz w:val="20"/>
          <w:szCs w:val="20"/>
          <w:lang w:val="pt-PT"/>
        </w:rPr>
        <w:t>, saúde e vida das pessoas. Exemplos de violência sociocultural incluem: mutilação genital feminina, casamento precoce, trabalho forçado, exposição sexual forçada, impedimento de socializar com outras pessoas, amigos, familiares ou vizinhos, etc.</w:t>
      </w:r>
    </w:p>
    <w:p w14:paraId="4264FED0" w14:textId="77777777" w:rsidR="00B31AE2" w:rsidRPr="00292532" w:rsidRDefault="00B31AE2" w:rsidP="00B31AE2">
      <w:pPr>
        <w:spacing w:before="0" w:after="0"/>
        <w:rPr>
          <w:rFonts w:ascii="Arial" w:eastAsia="Times New Roman" w:hAnsi="Arial" w:cs="Arial"/>
          <w:lang w:val="pt-PT"/>
        </w:rPr>
      </w:pPr>
    </w:p>
    <w:p w14:paraId="3790494E" w14:textId="77777777" w:rsidR="00B31AE2" w:rsidRPr="00292532" w:rsidRDefault="00B31AE2" w:rsidP="00B31AE2">
      <w:pPr>
        <w:spacing w:before="0" w:after="120"/>
        <w:rPr>
          <w:rFonts w:ascii="Arial" w:eastAsia="Times New Roman" w:hAnsi="Arial" w:cs="Arial"/>
          <w:sz w:val="20"/>
          <w:szCs w:val="20"/>
          <w:lang w:val="pt-PT"/>
        </w:rPr>
      </w:pPr>
      <w:r w:rsidRPr="00292532">
        <w:rPr>
          <w:rFonts w:ascii="Arial" w:eastAsia="Times New Roman" w:hAnsi="Arial" w:cs="Arial"/>
          <w:sz w:val="20"/>
          <w:szCs w:val="20"/>
          <w:lang w:val="pt-PT"/>
        </w:rPr>
        <w:lastRenderedPageBreak/>
        <w:t>Alguns exemplos de VBG</w:t>
      </w:r>
      <w:r w:rsidRPr="00292532">
        <w:rPr>
          <w:rFonts w:ascii="Arial" w:eastAsia="Times New Roman" w:hAnsi="Arial" w:cs="Arial"/>
          <w:sz w:val="20"/>
          <w:szCs w:val="20"/>
          <w:vertAlign w:val="superscript"/>
          <w:lang w:val="pt-PT"/>
        </w:rPr>
        <w:footnoteReference w:id="36"/>
      </w:r>
      <w:r w:rsidRPr="00292532">
        <w:rPr>
          <w:rFonts w:ascii="Arial" w:eastAsia="Times New Roman" w:hAnsi="Arial" w:cs="Arial"/>
          <w:sz w:val="20"/>
          <w:szCs w:val="20"/>
          <w:lang w:val="pt-PT"/>
        </w:rPr>
        <w:t>:</w:t>
      </w:r>
    </w:p>
    <w:p w14:paraId="355903B6" w14:textId="77777777" w:rsidR="00B31AE2" w:rsidRPr="00292532" w:rsidRDefault="00B31AE2" w:rsidP="00B31AE2">
      <w:pPr>
        <w:pBdr>
          <w:top w:val="single" w:sz="4" w:space="1" w:color="auto"/>
          <w:left w:val="single" w:sz="4" w:space="4" w:color="auto"/>
          <w:bottom w:val="single" w:sz="4" w:space="1" w:color="auto"/>
          <w:right w:val="single" w:sz="4" w:space="4" w:color="auto"/>
        </w:pBdr>
        <w:spacing w:before="0" w:after="120"/>
        <w:rPr>
          <w:rFonts w:ascii="Arial" w:eastAsia="Times New Roman" w:hAnsi="Arial" w:cs="Arial"/>
          <w:sz w:val="20"/>
          <w:szCs w:val="20"/>
          <w:lang w:val="pt-PT"/>
        </w:rPr>
      </w:pPr>
      <w:r w:rsidRPr="00292532">
        <w:rPr>
          <w:rFonts w:ascii="Arial" w:eastAsia="Times New Roman" w:hAnsi="Arial" w:cs="Arial"/>
          <w:b/>
          <w:sz w:val="20"/>
          <w:szCs w:val="20"/>
          <w:lang w:val="pt-PT"/>
        </w:rPr>
        <w:t>A violência doméstica:</w:t>
      </w:r>
      <w:r w:rsidRPr="00292532">
        <w:rPr>
          <w:rFonts w:ascii="Arial" w:eastAsia="Times New Roman" w:hAnsi="Arial" w:cs="Arial"/>
          <w:sz w:val="20"/>
          <w:szCs w:val="20"/>
          <w:lang w:val="pt-PT"/>
        </w:rPr>
        <w:t xml:space="preserve"> inclui todos os </w:t>
      </w:r>
      <w:proofErr w:type="spellStart"/>
      <w:r w:rsidRPr="00292532">
        <w:rPr>
          <w:rFonts w:ascii="Arial" w:eastAsia="Times New Roman" w:hAnsi="Arial" w:cs="Arial"/>
          <w:sz w:val="20"/>
          <w:szCs w:val="20"/>
          <w:lang w:val="pt-PT"/>
        </w:rPr>
        <w:t>actos</w:t>
      </w:r>
      <w:proofErr w:type="spellEnd"/>
      <w:r w:rsidRPr="00292532">
        <w:rPr>
          <w:rFonts w:ascii="Arial" w:eastAsia="Times New Roman" w:hAnsi="Arial" w:cs="Arial"/>
          <w:sz w:val="20"/>
          <w:szCs w:val="20"/>
          <w:lang w:val="pt-PT"/>
        </w:rPr>
        <w:t xml:space="preserve"> de violência física, sexual, psicológica e económica que ocorrem no âmbito privado dentro da família, unidade doméstica ou entre parceiros íntimos (anteriores ou </w:t>
      </w:r>
      <w:proofErr w:type="spellStart"/>
      <w:r w:rsidRPr="00292532">
        <w:rPr>
          <w:rFonts w:ascii="Arial" w:eastAsia="Times New Roman" w:hAnsi="Arial" w:cs="Arial"/>
          <w:sz w:val="20"/>
          <w:szCs w:val="20"/>
          <w:lang w:val="pt-PT"/>
        </w:rPr>
        <w:t>actuais</w:t>
      </w:r>
      <w:proofErr w:type="spellEnd"/>
      <w:r w:rsidRPr="00292532">
        <w:rPr>
          <w:rFonts w:ascii="Arial" w:eastAsia="Times New Roman" w:hAnsi="Arial" w:cs="Arial"/>
          <w:sz w:val="20"/>
          <w:szCs w:val="20"/>
          <w:lang w:val="pt-PT"/>
        </w:rPr>
        <w:t>, mesmo quando não vivem juntos);</w:t>
      </w:r>
    </w:p>
    <w:p w14:paraId="32F036CF" w14:textId="77777777" w:rsidR="00B31AE2" w:rsidRPr="00292532" w:rsidRDefault="00B31AE2" w:rsidP="00B31AE2">
      <w:pPr>
        <w:pBdr>
          <w:top w:val="single" w:sz="4" w:space="1" w:color="auto"/>
          <w:left w:val="single" w:sz="4" w:space="4" w:color="auto"/>
          <w:bottom w:val="single" w:sz="4" w:space="1" w:color="auto"/>
          <w:right w:val="single" w:sz="4" w:space="4" w:color="auto"/>
        </w:pBdr>
        <w:spacing w:before="0" w:after="120"/>
        <w:rPr>
          <w:rFonts w:ascii="Arial" w:eastAsia="Times New Roman" w:hAnsi="Arial" w:cs="Arial"/>
          <w:sz w:val="20"/>
          <w:szCs w:val="20"/>
          <w:lang w:val="pt-PT"/>
        </w:rPr>
      </w:pPr>
      <w:r w:rsidRPr="00292532">
        <w:rPr>
          <w:rFonts w:ascii="Arial" w:eastAsia="Times New Roman" w:hAnsi="Arial" w:cs="Arial"/>
          <w:b/>
          <w:sz w:val="20"/>
          <w:szCs w:val="20"/>
          <w:lang w:val="pt-PT"/>
        </w:rPr>
        <w:t>O assédio sexual</w:t>
      </w:r>
      <w:r w:rsidRPr="00292532">
        <w:rPr>
          <w:rFonts w:ascii="Arial" w:eastAsia="Times New Roman" w:hAnsi="Arial" w:cs="Arial"/>
          <w:sz w:val="20"/>
          <w:szCs w:val="20"/>
          <w:lang w:val="pt-PT"/>
        </w:rPr>
        <w:t xml:space="preserve"> inclui conduta indesejada verbal, física ou outra, de natureza sexual, com o </w:t>
      </w:r>
      <w:proofErr w:type="spellStart"/>
      <w:r w:rsidRPr="00292532">
        <w:rPr>
          <w:rFonts w:ascii="Arial" w:eastAsia="Times New Roman" w:hAnsi="Arial" w:cs="Arial"/>
          <w:sz w:val="20"/>
          <w:szCs w:val="20"/>
          <w:lang w:val="pt-PT"/>
        </w:rPr>
        <w:t>objectivo</w:t>
      </w:r>
      <w:proofErr w:type="spellEnd"/>
      <w:r w:rsidRPr="00292532">
        <w:rPr>
          <w:rFonts w:ascii="Arial" w:eastAsia="Times New Roman" w:hAnsi="Arial" w:cs="Arial"/>
          <w:sz w:val="20"/>
          <w:szCs w:val="20"/>
          <w:lang w:val="pt-PT"/>
        </w:rPr>
        <w:t xml:space="preserve"> ou efeito de violar a dignidade de uma pessoa. Pode ocorrer em um contexto de relações desiguais de poder como um local de trabalho por exemplo e inclui </w:t>
      </w:r>
      <w:proofErr w:type="spellStart"/>
      <w:r w:rsidRPr="00292532">
        <w:rPr>
          <w:rFonts w:ascii="Arial" w:eastAsia="Times New Roman" w:hAnsi="Arial" w:cs="Arial"/>
          <w:sz w:val="20"/>
          <w:szCs w:val="20"/>
          <w:lang w:val="pt-PT"/>
        </w:rPr>
        <w:t>actos</w:t>
      </w:r>
      <w:proofErr w:type="spellEnd"/>
      <w:r w:rsidRPr="00292532">
        <w:rPr>
          <w:rFonts w:ascii="Arial" w:eastAsia="Times New Roman" w:hAnsi="Arial" w:cs="Arial"/>
          <w:sz w:val="20"/>
          <w:szCs w:val="20"/>
          <w:lang w:val="pt-PT"/>
        </w:rPr>
        <w:t xml:space="preserve"> verbais, toques sem consentimento da pessoa, visualização de pornografia, </w:t>
      </w:r>
      <w:proofErr w:type="spellStart"/>
      <w:r w:rsidRPr="00292532">
        <w:rPr>
          <w:rFonts w:ascii="Arial" w:eastAsia="Times New Roman" w:hAnsi="Arial" w:cs="Arial"/>
          <w:sz w:val="20"/>
          <w:szCs w:val="20"/>
          <w:lang w:val="pt-PT"/>
        </w:rPr>
        <w:t>etc</w:t>
      </w:r>
      <w:proofErr w:type="spellEnd"/>
      <w:r w:rsidRPr="00292532">
        <w:rPr>
          <w:rFonts w:ascii="Arial" w:eastAsia="Times New Roman" w:hAnsi="Arial" w:cs="Arial"/>
          <w:sz w:val="20"/>
          <w:szCs w:val="20"/>
          <w:lang w:val="pt-PT"/>
        </w:rPr>
        <w:t>;</w:t>
      </w:r>
    </w:p>
    <w:p w14:paraId="447366EF" w14:textId="77777777" w:rsidR="00B31AE2" w:rsidRPr="00292532" w:rsidRDefault="00B31AE2" w:rsidP="00B31AE2">
      <w:pPr>
        <w:pBdr>
          <w:top w:val="single" w:sz="4" w:space="1" w:color="auto"/>
          <w:left w:val="single" w:sz="4" w:space="4" w:color="auto"/>
          <w:bottom w:val="single" w:sz="4" w:space="1" w:color="auto"/>
          <w:right w:val="single" w:sz="4" w:space="4" w:color="auto"/>
        </w:pBdr>
        <w:spacing w:before="0" w:after="120"/>
        <w:rPr>
          <w:rFonts w:ascii="Arial" w:eastAsia="Times New Roman" w:hAnsi="Arial" w:cs="Arial"/>
          <w:sz w:val="20"/>
          <w:szCs w:val="20"/>
          <w:lang w:val="pt-PT"/>
        </w:rPr>
      </w:pPr>
      <w:r w:rsidRPr="00292532">
        <w:rPr>
          <w:rFonts w:ascii="Arial" w:eastAsia="Times New Roman" w:hAnsi="Arial" w:cs="Arial"/>
          <w:b/>
          <w:sz w:val="20"/>
          <w:szCs w:val="20"/>
          <w:lang w:val="pt-PT"/>
        </w:rPr>
        <w:t>Mutilação genital feminina (MGF)</w:t>
      </w:r>
      <w:r w:rsidRPr="00292532">
        <w:rPr>
          <w:rFonts w:ascii="Arial" w:eastAsia="Times New Roman" w:hAnsi="Arial" w:cs="Arial"/>
          <w:sz w:val="20"/>
          <w:szCs w:val="20"/>
          <w:lang w:val="pt-PT"/>
        </w:rPr>
        <w:t xml:space="preserve"> é o corte ou remoção ritual de parte ou de todos os órgãos genitais femininos externos. Isso viola o corpo das mulheres e muitas vezes prejudica sua sexualidade, saúde mental, bem-estar e participação em sua comunidade e pode até levar à morte;</w:t>
      </w:r>
    </w:p>
    <w:p w14:paraId="1A40C075" w14:textId="77777777" w:rsidR="00B31AE2" w:rsidRPr="00292532" w:rsidRDefault="00B31AE2" w:rsidP="00B31AE2">
      <w:pPr>
        <w:pBdr>
          <w:top w:val="single" w:sz="4" w:space="1" w:color="auto"/>
          <w:left w:val="single" w:sz="4" w:space="4" w:color="auto"/>
          <w:bottom w:val="single" w:sz="4" w:space="1" w:color="auto"/>
          <w:right w:val="single" w:sz="4" w:space="4" w:color="auto"/>
        </w:pBdr>
        <w:spacing w:before="0" w:after="120"/>
        <w:rPr>
          <w:rFonts w:ascii="Arial" w:eastAsia="Times New Roman" w:hAnsi="Arial" w:cs="Arial"/>
          <w:sz w:val="20"/>
          <w:szCs w:val="20"/>
          <w:lang w:val="pt-PT"/>
        </w:rPr>
      </w:pPr>
      <w:r w:rsidRPr="00292532">
        <w:rPr>
          <w:rFonts w:ascii="Arial" w:eastAsia="Times New Roman" w:hAnsi="Arial" w:cs="Arial"/>
          <w:b/>
          <w:sz w:val="20"/>
          <w:szCs w:val="20"/>
          <w:lang w:val="pt-PT"/>
        </w:rPr>
        <w:t>Casamento forçado</w:t>
      </w:r>
      <w:r w:rsidRPr="00292532">
        <w:rPr>
          <w:rFonts w:ascii="Arial" w:eastAsia="Times New Roman" w:hAnsi="Arial" w:cs="Arial"/>
          <w:sz w:val="20"/>
          <w:szCs w:val="20"/>
          <w:lang w:val="pt-PT"/>
        </w:rPr>
        <w:t xml:space="preserve"> a uma união por meio de força ou coerção, incluindo o casamento infantil ou precoce, quando crianças se casam antes de atingirem a idade mínima para o casamento. É importante notar que em Moçambique é mais comum o uso do termo união forçada, uma vez que se entende que um casamento pela lei só ocorre quando existe o consentimento entre duas pessoas adultas;</w:t>
      </w:r>
    </w:p>
    <w:p w14:paraId="412415FB" w14:textId="53DBA996" w:rsidR="00B31AE2" w:rsidRPr="00292532" w:rsidRDefault="00B31AE2" w:rsidP="00B31AE2">
      <w:pPr>
        <w:pBdr>
          <w:top w:val="single" w:sz="4" w:space="1" w:color="auto"/>
          <w:left w:val="single" w:sz="4" w:space="4" w:color="auto"/>
          <w:bottom w:val="single" w:sz="4" w:space="1" w:color="auto"/>
          <w:right w:val="single" w:sz="4" w:space="4" w:color="auto"/>
        </w:pBdr>
        <w:spacing w:before="0" w:after="120"/>
        <w:rPr>
          <w:rFonts w:ascii="Arial" w:eastAsia="Times New Roman" w:hAnsi="Arial" w:cs="Arial"/>
          <w:sz w:val="20"/>
          <w:szCs w:val="20"/>
          <w:lang w:val="pt-PT"/>
        </w:rPr>
      </w:pPr>
      <w:bookmarkStart w:id="1651" w:name="_Hlk72167778"/>
      <w:r w:rsidRPr="00292532">
        <w:rPr>
          <w:rFonts w:ascii="Arial" w:eastAsia="Times New Roman" w:hAnsi="Arial" w:cs="Arial"/>
          <w:b/>
          <w:sz w:val="20"/>
          <w:szCs w:val="20"/>
          <w:lang w:val="pt-PT"/>
        </w:rPr>
        <w:t>Exploração e Abuso Sexual:</w:t>
      </w:r>
      <w:r w:rsidRPr="00292532">
        <w:rPr>
          <w:rFonts w:ascii="Arial" w:eastAsia="Times New Roman" w:hAnsi="Arial" w:cs="Arial"/>
          <w:sz w:val="20"/>
          <w:szCs w:val="20"/>
          <w:lang w:val="pt-PT"/>
        </w:rPr>
        <w:t xml:space="preserve"> Qualquer abuso real ou tentativa de abuso da posição de vulnerabilidade, poder diferencial ou confiança de uma pessoa para fins sexuais, incluindo, mas não se limitando a, tirar proveito monetário, social ou político com a exploração sexual de outra pessoa. O abuso sexual é ainda definido como "a intrusão física real ou ameaça/tentativa de natureza sexual, seja pela força ou sob condições desiguais ou coercitivas". </w:t>
      </w:r>
      <w:bookmarkEnd w:id="1651"/>
    </w:p>
    <w:p w14:paraId="206C10FB" w14:textId="77777777" w:rsidR="00B31AE2" w:rsidRPr="00292532" w:rsidRDefault="00B31AE2" w:rsidP="00B31AE2">
      <w:pPr>
        <w:spacing w:before="0" w:after="120"/>
        <w:rPr>
          <w:rFonts w:ascii="Arial" w:eastAsia="Times New Roman" w:hAnsi="Arial" w:cs="Arial"/>
          <w:lang w:val="pt-PT"/>
        </w:rPr>
      </w:pPr>
    </w:p>
    <w:p w14:paraId="6CD43C01" w14:textId="0F876CAB" w:rsidR="00B31AE2" w:rsidRPr="004500AE" w:rsidRDefault="00B31AE2" w:rsidP="00AE14AE">
      <w:pPr>
        <w:keepNext/>
        <w:keepLines/>
        <w:numPr>
          <w:ilvl w:val="0"/>
          <w:numId w:val="155"/>
        </w:numPr>
        <w:suppressAutoHyphens/>
        <w:spacing w:before="0" w:after="120"/>
        <w:outlineLvl w:val="0"/>
        <w:rPr>
          <w:rFonts w:eastAsia="Times New Roman" w:cs="Times New Roman"/>
          <w:color w:val="2F5496"/>
          <w:sz w:val="32"/>
          <w:lang w:val="pt-PT"/>
        </w:rPr>
      </w:pPr>
      <w:bookmarkStart w:id="1652" w:name="_Toc75246790"/>
      <w:bookmarkStart w:id="1653" w:name="_Toc75438108"/>
      <w:bookmarkStart w:id="1654" w:name="_Toc78435545"/>
      <w:bookmarkStart w:id="1655" w:name="_Toc80380211"/>
      <w:r w:rsidRPr="004500AE">
        <w:rPr>
          <w:rFonts w:eastAsia="Times New Roman" w:cs="Times New Roman"/>
          <w:color w:val="2F5496"/>
          <w:sz w:val="32"/>
          <w:lang w:val="pt-PT"/>
        </w:rPr>
        <w:t>Contexto sobre VBG</w:t>
      </w:r>
      <w:bookmarkEnd w:id="1652"/>
      <w:bookmarkEnd w:id="1653"/>
      <w:bookmarkEnd w:id="1654"/>
      <w:bookmarkEnd w:id="1655"/>
    </w:p>
    <w:p w14:paraId="250EF5DD" w14:textId="6DE6455C" w:rsidR="00B31AE2" w:rsidRPr="00292532" w:rsidRDefault="00B31AE2" w:rsidP="00AE14AE">
      <w:pPr>
        <w:keepNext/>
        <w:keepLines/>
        <w:numPr>
          <w:ilvl w:val="1"/>
          <w:numId w:val="166"/>
        </w:numPr>
        <w:spacing w:before="0" w:after="120"/>
        <w:outlineLvl w:val="1"/>
        <w:rPr>
          <w:rFonts w:ascii="Arial" w:eastAsia="Times New Roman" w:hAnsi="Arial" w:cs="Arial"/>
          <w:bCs/>
          <w:color w:val="2F5496"/>
          <w:sz w:val="26"/>
          <w:szCs w:val="26"/>
          <w:lang w:val="pt-PT"/>
        </w:rPr>
      </w:pPr>
      <w:bookmarkStart w:id="1656" w:name="_Toc75246791"/>
      <w:bookmarkStart w:id="1657" w:name="_Toc75438109"/>
      <w:bookmarkStart w:id="1658" w:name="_Toc78435546"/>
      <w:bookmarkStart w:id="1659" w:name="_Toc80380212"/>
      <w:r w:rsidRPr="00292532">
        <w:rPr>
          <w:rFonts w:ascii="Arial" w:eastAsia="Calibri" w:hAnsi="Arial" w:cs="Arial"/>
          <w:bCs/>
          <w:color w:val="2F5496"/>
          <w:sz w:val="26"/>
          <w:szCs w:val="26"/>
          <w:lang w:val="pt-PT"/>
        </w:rPr>
        <w:t>Quadro</w:t>
      </w:r>
      <w:r w:rsidRPr="00292532">
        <w:rPr>
          <w:rFonts w:ascii="Arial" w:eastAsia="Times New Roman" w:hAnsi="Arial" w:cs="Arial"/>
          <w:bCs/>
          <w:color w:val="2F5496"/>
          <w:sz w:val="26"/>
          <w:szCs w:val="26"/>
          <w:lang w:val="pt-PT"/>
        </w:rPr>
        <w:t xml:space="preserve"> político-legal</w:t>
      </w:r>
      <w:bookmarkEnd w:id="1656"/>
      <w:bookmarkEnd w:id="1657"/>
      <w:bookmarkEnd w:id="1658"/>
      <w:bookmarkEnd w:id="1659"/>
    </w:p>
    <w:p w14:paraId="49FAF0BB" w14:textId="137BAE03" w:rsidR="00B31AE2" w:rsidRPr="00292532" w:rsidRDefault="00B31AE2" w:rsidP="00B31AE2">
      <w:pPr>
        <w:spacing w:before="0" w:after="0" w:line="297" w:lineRule="exact"/>
        <w:ind w:right="80"/>
        <w:rPr>
          <w:rFonts w:ascii="Arial" w:eastAsia="Times New Roman" w:hAnsi="Arial" w:cs="Arial"/>
          <w:sz w:val="20"/>
          <w:szCs w:val="20"/>
          <w:lang w:val="pt-PT"/>
        </w:rPr>
      </w:pPr>
      <w:r w:rsidRPr="00292532">
        <w:rPr>
          <w:rFonts w:ascii="Arial" w:eastAsia="Times New Roman" w:hAnsi="Arial" w:cs="Arial"/>
          <w:sz w:val="20"/>
          <w:szCs w:val="20"/>
          <w:lang w:val="pt-PT"/>
        </w:rPr>
        <w:t xml:space="preserve">Desde a ratificação da Convenção para a Eliminação de todas as Formas de Violência Contra a Mulher (CEDAW) em 1997 e a </w:t>
      </w:r>
      <w:proofErr w:type="spellStart"/>
      <w:r w:rsidRPr="00292532">
        <w:rPr>
          <w:rFonts w:ascii="Arial" w:eastAsia="Times New Roman" w:hAnsi="Arial" w:cs="Arial"/>
          <w:sz w:val="20"/>
          <w:szCs w:val="20"/>
          <w:lang w:val="pt-PT"/>
        </w:rPr>
        <w:t>adopção</w:t>
      </w:r>
      <w:proofErr w:type="spellEnd"/>
      <w:r w:rsidRPr="00292532">
        <w:rPr>
          <w:rFonts w:ascii="Arial" w:eastAsia="Times New Roman" w:hAnsi="Arial" w:cs="Arial"/>
          <w:sz w:val="20"/>
          <w:szCs w:val="20"/>
          <w:lang w:val="pt-PT"/>
        </w:rPr>
        <w:t xml:space="preserve"> da Declaração e Plataforma de </w:t>
      </w:r>
      <w:proofErr w:type="spellStart"/>
      <w:r w:rsidRPr="00292532">
        <w:rPr>
          <w:rFonts w:ascii="Arial" w:eastAsia="Times New Roman" w:hAnsi="Arial" w:cs="Arial"/>
          <w:sz w:val="20"/>
          <w:szCs w:val="20"/>
          <w:lang w:val="pt-PT"/>
        </w:rPr>
        <w:t>Acção</w:t>
      </w:r>
      <w:proofErr w:type="spellEnd"/>
      <w:r w:rsidRPr="00292532">
        <w:rPr>
          <w:rFonts w:ascii="Arial" w:eastAsia="Times New Roman" w:hAnsi="Arial" w:cs="Arial"/>
          <w:sz w:val="20"/>
          <w:szCs w:val="20"/>
          <w:lang w:val="pt-PT"/>
        </w:rPr>
        <w:t xml:space="preserve"> de </w:t>
      </w:r>
      <w:proofErr w:type="spellStart"/>
      <w:r w:rsidRPr="00292532">
        <w:rPr>
          <w:rFonts w:ascii="Arial" w:eastAsia="Times New Roman" w:hAnsi="Arial" w:cs="Arial"/>
          <w:sz w:val="20"/>
          <w:szCs w:val="20"/>
          <w:lang w:val="pt-PT"/>
        </w:rPr>
        <w:t>Beijing</w:t>
      </w:r>
      <w:proofErr w:type="spellEnd"/>
      <w:r w:rsidRPr="00292532">
        <w:rPr>
          <w:rFonts w:ascii="Arial" w:eastAsia="Times New Roman" w:hAnsi="Arial" w:cs="Arial"/>
          <w:sz w:val="20"/>
          <w:szCs w:val="20"/>
          <w:lang w:val="pt-PT"/>
        </w:rPr>
        <w:t>, bem como da consideração da igualdade de género como princípio constitucional, Moçambique fez progressos significativos a nível político, legal e institucional no que concerne aos esforços para eliminar a VBG, destacado alguns marcos na tabela a seguir:</w:t>
      </w:r>
    </w:p>
    <w:p w14:paraId="0ACF5E98" w14:textId="506C94DB" w:rsidR="00B31AE2" w:rsidRPr="00292532" w:rsidRDefault="00B31AE2" w:rsidP="00B31AE2">
      <w:pPr>
        <w:spacing w:before="0" w:after="0" w:line="297" w:lineRule="exact"/>
        <w:ind w:right="80"/>
        <w:rPr>
          <w:rFonts w:ascii="Arial" w:eastAsia="Times New Roman" w:hAnsi="Arial" w:cs="Arial"/>
          <w:sz w:val="20"/>
          <w:szCs w:val="20"/>
          <w:lang w:val="pt-PT"/>
        </w:rPr>
      </w:pPr>
    </w:p>
    <w:p w14:paraId="709772C4" w14:textId="77777777" w:rsidR="00B31AE2" w:rsidRPr="00292532" w:rsidRDefault="00B31AE2" w:rsidP="00B31AE2">
      <w:pPr>
        <w:spacing w:before="0" w:after="0" w:line="297" w:lineRule="exact"/>
        <w:ind w:right="80"/>
        <w:rPr>
          <w:rFonts w:ascii="Arial" w:eastAsia="Times New Roman" w:hAnsi="Arial" w:cs="Arial"/>
          <w:sz w:val="20"/>
          <w:szCs w:val="20"/>
          <w:lang w:val="pt-PT"/>
        </w:rPr>
      </w:pPr>
    </w:p>
    <w:p w14:paraId="3AF220C8" w14:textId="48D4722E" w:rsidR="00B31AE2" w:rsidRPr="00292532" w:rsidRDefault="00061682" w:rsidP="004500AE">
      <w:pPr>
        <w:keepNext/>
        <w:spacing w:before="0" w:after="200"/>
        <w:rPr>
          <w:rFonts w:ascii="Arial" w:eastAsia="Times New Roman" w:hAnsi="Arial" w:cs="Arial"/>
          <w:lang w:val="pt-PT"/>
        </w:rPr>
      </w:pPr>
      <w:r w:rsidRPr="00292532">
        <w:rPr>
          <w:rFonts w:ascii="Arial" w:eastAsia="Times New Roman" w:hAnsi="Arial" w:cs="Times New Roman"/>
          <w:i/>
          <w:iCs/>
          <w:color w:val="44546A"/>
          <w:sz w:val="18"/>
          <w:szCs w:val="18"/>
          <w:lang w:val="pt-PT"/>
        </w:rPr>
        <w:t>Tabela 1: Quadro político e legal de VBG</w:t>
      </w:r>
    </w:p>
    <w:tbl>
      <w:tblPr>
        <w:tblStyle w:val="0-Table1"/>
        <w:tblW w:w="0" w:type="auto"/>
        <w:tblLook w:val="04A0" w:firstRow="1" w:lastRow="0" w:firstColumn="1" w:lastColumn="0" w:noHBand="0" w:noVBand="1"/>
      </w:tblPr>
      <w:tblGrid>
        <w:gridCol w:w="2263"/>
        <w:gridCol w:w="6753"/>
      </w:tblGrid>
      <w:tr w:rsidR="00B31AE2" w:rsidRPr="00292532" w14:paraId="4E17587F" w14:textId="77777777" w:rsidTr="00B31AE2">
        <w:trPr>
          <w:tblHeader/>
        </w:trPr>
        <w:tc>
          <w:tcPr>
            <w:tcW w:w="2263" w:type="dxa"/>
            <w:shd w:val="clear" w:color="auto" w:fill="5B9BD5"/>
            <w:vAlign w:val="center"/>
          </w:tcPr>
          <w:p w14:paraId="75E0733E" w14:textId="77777777" w:rsidR="00B31AE2" w:rsidRPr="00292532" w:rsidRDefault="00B31AE2" w:rsidP="00B31AE2">
            <w:pPr>
              <w:jc w:val="center"/>
              <w:rPr>
                <w:rFonts w:ascii="Arial" w:hAnsi="Arial" w:cs="Arial"/>
                <w:b/>
                <w:color w:val="FFFFFF"/>
                <w:sz w:val="20"/>
                <w:szCs w:val="20"/>
                <w:lang w:val="pt-PT"/>
              </w:rPr>
            </w:pPr>
            <w:r w:rsidRPr="00292532">
              <w:rPr>
                <w:rFonts w:ascii="Arial" w:hAnsi="Arial" w:cs="Arial"/>
                <w:b/>
                <w:color w:val="FFFFFF"/>
                <w:sz w:val="20"/>
                <w:szCs w:val="20"/>
                <w:lang w:val="pt-PT"/>
              </w:rPr>
              <w:t xml:space="preserve">Tipo de Instrumento </w:t>
            </w:r>
          </w:p>
        </w:tc>
        <w:tc>
          <w:tcPr>
            <w:tcW w:w="6753" w:type="dxa"/>
            <w:shd w:val="clear" w:color="auto" w:fill="5B9BD5"/>
            <w:vAlign w:val="center"/>
          </w:tcPr>
          <w:p w14:paraId="3EB20284" w14:textId="77777777" w:rsidR="00B31AE2" w:rsidRPr="00292532" w:rsidRDefault="00B31AE2" w:rsidP="00B31AE2">
            <w:pPr>
              <w:jc w:val="center"/>
              <w:rPr>
                <w:rFonts w:ascii="Arial" w:hAnsi="Arial" w:cs="Arial"/>
                <w:b/>
                <w:color w:val="FFFFFF"/>
                <w:sz w:val="20"/>
                <w:szCs w:val="20"/>
                <w:lang w:val="pt-PT"/>
              </w:rPr>
            </w:pPr>
            <w:r w:rsidRPr="00292532">
              <w:rPr>
                <w:rFonts w:ascii="Arial" w:hAnsi="Arial" w:cs="Arial"/>
                <w:b/>
                <w:color w:val="FFFFFF"/>
                <w:sz w:val="20"/>
                <w:szCs w:val="20"/>
                <w:lang w:val="pt-PT"/>
              </w:rPr>
              <w:t>Pontos-chave</w:t>
            </w:r>
          </w:p>
        </w:tc>
      </w:tr>
      <w:tr w:rsidR="00B31AE2" w:rsidRPr="00292532" w14:paraId="644B4B12" w14:textId="77777777" w:rsidTr="00B31AE2">
        <w:tc>
          <w:tcPr>
            <w:tcW w:w="9016" w:type="dxa"/>
            <w:gridSpan w:val="2"/>
            <w:shd w:val="clear" w:color="auto" w:fill="BDD6EE"/>
          </w:tcPr>
          <w:p w14:paraId="70AAD21B" w14:textId="77777777" w:rsidR="00B31AE2" w:rsidRPr="00292532" w:rsidRDefault="00B31AE2" w:rsidP="00B31AE2">
            <w:pPr>
              <w:ind w:left="2"/>
              <w:jc w:val="center"/>
              <w:rPr>
                <w:rFonts w:ascii="Arial" w:hAnsi="Arial" w:cs="Arial"/>
                <w:b/>
                <w:bCs/>
                <w:sz w:val="20"/>
                <w:szCs w:val="20"/>
                <w:lang w:val="pt-PT"/>
              </w:rPr>
            </w:pPr>
            <w:r w:rsidRPr="00292532">
              <w:rPr>
                <w:rFonts w:ascii="Arial" w:hAnsi="Arial" w:cs="Arial"/>
                <w:b/>
                <w:bCs/>
                <w:sz w:val="20"/>
                <w:szCs w:val="20"/>
                <w:lang w:val="pt-PT"/>
              </w:rPr>
              <w:t>Leis</w:t>
            </w:r>
          </w:p>
        </w:tc>
      </w:tr>
      <w:tr w:rsidR="00B31AE2" w:rsidRPr="004E2EAC" w14:paraId="7F9D78CF" w14:textId="77777777" w:rsidTr="00B31AE2">
        <w:tc>
          <w:tcPr>
            <w:tcW w:w="2263" w:type="dxa"/>
            <w:tcBorders>
              <w:top w:val="single" w:sz="4" w:space="0" w:color="000000"/>
              <w:left w:val="single" w:sz="4" w:space="0" w:color="000000"/>
              <w:bottom w:val="single" w:sz="4" w:space="0" w:color="000000"/>
              <w:right w:val="single" w:sz="4" w:space="0" w:color="000000"/>
            </w:tcBorders>
          </w:tcPr>
          <w:p w14:paraId="378BD5B8" w14:textId="77777777" w:rsidR="00B31AE2" w:rsidRPr="00292532" w:rsidRDefault="00B31AE2" w:rsidP="00B31AE2">
            <w:pPr>
              <w:rPr>
                <w:rFonts w:ascii="Arial" w:hAnsi="Arial" w:cs="Arial"/>
                <w:sz w:val="20"/>
                <w:szCs w:val="20"/>
                <w:lang w:val="pt-PT"/>
              </w:rPr>
            </w:pPr>
            <w:r w:rsidRPr="00292532">
              <w:rPr>
                <w:rFonts w:ascii="Arial" w:hAnsi="Arial" w:cs="Arial"/>
                <w:b/>
                <w:sz w:val="20"/>
                <w:szCs w:val="20"/>
                <w:lang w:val="pt-PT"/>
              </w:rPr>
              <w:t xml:space="preserve">Constituição da República de </w:t>
            </w:r>
          </w:p>
          <w:p w14:paraId="0A92C811" w14:textId="77777777" w:rsidR="00B31AE2" w:rsidRPr="00292532" w:rsidRDefault="00B31AE2" w:rsidP="00B31AE2">
            <w:pPr>
              <w:rPr>
                <w:rFonts w:ascii="Arial" w:hAnsi="Arial" w:cs="Arial"/>
                <w:sz w:val="20"/>
                <w:szCs w:val="20"/>
                <w:lang w:val="pt-PT"/>
              </w:rPr>
            </w:pPr>
            <w:r w:rsidRPr="00292532">
              <w:rPr>
                <w:rFonts w:ascii="Arial" w:hAnsi="Arial" w:cs="Arial"/>
                <w:b/>
                <w:sz w:val="20"/>
                <w:szCs w:val="20"/>
                <w:lang w:val="pt-PT"/>
              </w:rPr>
              <w:t xml:space="preserve">Moçambique. </w:t>
            </w:r>
          </w:p>
          <w:p w14:paraId="3C11EDF2" w14:textId="77777777" w:rsidR="00B31AE2" w:rsidRPr="00292532" w:rsidRDefault="00B31AE2" w:rsidP="00B31AE2">
            <w:pPr>
              <w:rPr>
                <w:rFonts w:ascii="Arial" w:hAnsi="Arial" w:cs="Arial"/>
                <w:sz w:val="20"/>
                <w:szCs w:val="20"/>
                <w:lang w:val="pt-PT"/>
              </w:rPr>
            </w:pPr>
            <w:r w:rsidRPr="00292532">
              <w:rPr>
                <w:rFonts w:ascii="Arial" w:hAnsi="Arial" w:cs="Arial"/>
                <w:sz w:val="20"/>
                <w:szCs w:val="20"/>
                <w:lang w:val="pt-PT"/>
              </w:rPr>
              <w:lastRenderedPageBreak/>
              <w:t xml:space="preserve">Aprovada pela Assembleia da República em 2004. </w:t>
            </w:r>
          </w:p>
        </w:tc>
        <w:tc>
          <w:tcPr>
            <w:tcW w:w="6753" w:type="dxa"/>
            <w:tcBorders>
              <w:top w:val="single" w:sz="4" w:space="0" w:color="000000"/>
              <w:left w:val="single" w:sz="4" w:space="0" w:color="000000"/>
              <w:bottom w:val="single" w:sz="4" w:space="0" w:color="000000"/>
              <w:right w:val="single" w:sz="4" w:space="0" w:color="000000"/>
            </w:tcBorders>
          </w:tcPr>
          <w:p w14:paraId="16E2387B" w14:textId="77777777" w:rsidR="00B31AE2" w:rsidRPr="00292532" w:rsidRDefault="00B31AE2" w:rsidP="00B31AE2">
            <w:pPr>
              <w:ind w:left="2" w:right="11"/>
              <w:rPr>
                <w:rFonts w:ascii="Arial" w:hAnsi="Arial" w:cs="Arial"/>
                <w:sz w:val="20"/>
                <w:szCs w:val="20"/>
                <w:lang w:val="pt-PT"/>
              </w:rPr>
            </w:pPr>
            <w:r w:rsidRPr="00292532">
              <w:rPr>
                <w:rFonts w:ascii="Arial" w:hAnsi="Arial" w:cs="Arial"/>
                <w:sz w:val="20"/>
                <w:szCs w:val="20"/>
                <w:lang w:val="pt-PT"/>
              </w:rPr>
              <w:lastRenderedPageBreak/>
              <w:t>É a lei base de toda a legislação moçambicana e estabelece o princípio da igualdade de género (artigo 36º) proíbe a discriminação ao estabelecer o princípio da universalidade e da igualdade no artigo 35º.</w:t>
            </w:r>
          </w:p>
        </w:tc>
      </w:tr>
      <w:tr w:rsidR="00B31AE2" w:rsidRPr="004E2EAC" w14:paraId="6DD99740" w14:textId="77777777" w:rsidTr="00B31AE2">
        <w:tc>
          <w:tcPr>
            <w:tcW w:w="2263" w:type="dxa"/>
            <w:tcBorders>
              <w:top w:val="single" w:sz="4" w:space="0" w:color="000000"/>
              <w:left w:val="single" w:sz="4" w:space="0" w:color="000000"/>
              <w:bottom w:val="single" w:sz="4" w:space="0" w:color="000000"/>
              <w:right w:val="single" w:sz="4" w:space="0" w:color="000000"/>
            </w:tcBorders>
          </w:tcPr>
          <w:p w14:paraId="57308AE5" w14:textId="77777777" w:rsidR="00B31AE2" w:rsidRPr="00292532" w:rsidRDefault="00B31AE2" w:rsidP="00B31AE2">
            <w:pPr>
              <w:rPr>
                <w:rFonts w:ascii="Arial" w:hAnsi="Arial" w:cs="Arial"/>
                <w:sz w:val="20"/>
                <w:szCs w:val="20"/>
                <w:lang w:val="pt-PT"/>
              </w:rPr>
            </w:pPr>
            <w:r w:rsidRPr="00292532">
              <w:rPr>
                <w:rFonts w:ascii="Arial" w:hAnsi="Arial" w:cs="Arial"/>
                <w:b/>
                <w:sz w:val="20"/>
                <w:szCs w:val="20"/>
                <w:lang w:val="pt-PT"/>
              </w:rPr>
              <w:t>Lei de Terras</w:t>
            </w:r>
            <w:r w:rsidRPr="00292532">
              <w:rPr>
                <w:rFonts w:ascii="Arial" w:hAnsi="Arial" w:cs="Arial"/>
                <w:sz w:val="20"/>
                <w:szCs w:val="20"/>
                <w:lang w:val="pt-PT"/>
              </w:rPr>
              <w:t xml:space="preserve">.  </w:t>
            </w:r>
          </w:p>
          <w:p w14:paraId="7C4D4A08" w14:textId="77777777" w:rsidR="00B31AE2" w:rsidRPr="00292532" w:rsidRDefault="00B31AE2" w:rsidP="00B31AE2">
            <w:pPr>
              <w:rPr>
                <w:rFonts w:ascii="Arial" w:hAnsi="Arial" w:cs="Arial"/>
                <w:sz w:val="20"/>
                <w:szCs w:val="20"/>
                <w:lang w:val="pt-PT"/>
              </w:rPr>
            </w:pPr>
            <w:r w:rsidRPr="00292532">
              <w:rPr>
                <w:rFonts w:ascii="Arial" w:hAnsi="Arial" w:cs="Arial"/>
                <w:sz w:val="20"/>
                <w:szCs w:val="20"/>
                <w:lang w:val="pt-PT"/>
              </w:rPr>
              <w:t xml:space="preserve">Lei nº 19/97, de 1 de </w:t>
            </w:r>
          </w:p>
          <w:p w14:paraId="3C1E02C0" w14:textId="77777777" w:rsidR="00B31AE2" w:rsidRPr="00292532" w:rsidRDefault="00B31AE2" w:rsidP="00B31AE2">
            <w:pPr>
              <w:rPr>
                <w:rFonts w:ascii="Arial" w:hAnsi="Arial" w:cs="Arial"/>
                <w:sz w:val="20"/>
                <w:szCs w:val="20"/>
                <w:lang w:val="pt-PT"/>
              </w:rPr>
            </w:pPr>
            <w:r w:rsidRPr="00292532">
              <w:rPr>
                <w:rFonts w:ascii="Arial" w:hAnsi="Arial" w:cs="Arial"/>
                <w:sz w:val="20"/>
                <w:szCs w:val="20"/>
                <w:lang w:val="pt-PT"/>
              </w:rPr>
              <w:t xml:space="preserve">Outubro. </w:t>
            </w:r>
          </w:p>
        </w:tc>
        <w:tc>
          <w:tcPr>
            <w:tcW w:w="6753" w:type="dxa"/>
            <w:tcBorders>
              <w:top w:val="single" w:sz="4" w:space="0" w:color="000000"/>
              <w:left w:val="single" w:sz="4" w:space="0" w:color="000000"/>
              <w:bottom w:val="single" w:sz="4" w:space="0" w:color="000000"/>
              <w:right w:val="single" w:sz="4" w:space="0" w:color="000000"/>
            </w:tcBorders>
          </w:tcPr>
          <w:p w14:paraId="665C64AD" w14:textId="77777777" w:rsidR="00B31AE2" w:rsidRPr="00292532" w:rsidRDefault="00B31AE2" w:rsidP="00B31AE2">
            <w:pPr>
              <w:ind w:left="2" w:right="49"/>
              <w:rPr>
                <w:rFonts w:ascii="Arial" w:hAnsi="Arial" w:cs="Arial"/>
                <w:sz w:val="20"/>
                <w:szCs w:val="20"/>
                <w:lang w:val="pt-PT"/>
              </w:rPr>
            </w:pPr>
            <w:r w:rsidRPr="00292532">
              <w:rPr>
                <w:rFonts w:ascii="Arial" w:hAnsi="Arial" w:cs="Arial"/>
                <w:sz w:val="20"/>
                <w:szCs w:val="20"/>
                <w:lang w:val="pt-PT"/>
              </w:rPr>
              <w:t>Confere direitos iguais de uso e aproveitamento da terra às mulheres e aos homens (artigo 10º e 15º). A lei não é discriminatória com relação à garantia do acesso à terra por parte de mulheres e homens, porém, inclui como um dos requisitos para aquisição da terra “</w:t>
            </w:r>
            <w:r w:rsidRPr="00292532">
              <w:rPr>
                <w:rFonts w:ascii="Arial" w:hAnsi="Arial" w:cs="Arial"/>
                <w:i/>
                <w:sz w:val="20"/>
                <w:szCs w:val="20"/>
                <w:lang w:val="pt-PT"/>
              </w:rPr>
              <w:t xml:space="preserve">as normas e práticas costumeiras no que não contrariem a Constituição”, </w:t>
            </w:r>
            <w:r w:rsidRPr="00292532">
              <w:rPr>
                <w:rFonts w:ascii="Arial" w:hAnsi="Arial" w:cs="Arial"/>
                <w:sz w:val="20"/>
                <w:szCs w:val="20"/>
                <w:lang w:val="pt-PT"/>
              </w:rPr>
              <w:t xml:space="preserve">Artigo 12, línea a).  </w:t>
            </w:r>
          </w:p>
          <w:p w14:paraId="018F3464" w14:textId="77777777" w:rsidR="00B31AE2" w:rsidRPr="00292532" w:rsidRDefault="00B31AE2" w:rsidP="00B31AE2">
            <w:pPr>
              <w:ind w:left="2"/>
              <w:rPr>
                <w:rFonts w:ascii="Arial" w:hAnsi="Arial" w:cs="Arial"/>
                <w:sz w:val="20"/>
                <w:szCs w:val="20"/>
                <w:lang w:val="pt-PT"/>
              </w:rPr>
            </w:pPr>
            <w:r w:rsidRPr="00292532">
              <w:rPr>
                <w:rFonts w:ascii="Arial" w:hAnsi="Arial" w:cs="Arial"/>
                <w:sz w:val="20"/>
                <w:szCs w:val="20"/>
                <w:lang w:val="pt-PT"/>
              </w:rPr>
              <w:t xml:space="preserve">Protege o acesso sem distinção de sexo à terra por via da herança (artigo 15º, nº4). </w:t>
            </w:r>
            <w:r w:rsidRPr="00292532">
              <w:rPr>
                <w:rFonts w:ascii="Arial" w:hAnsi="Arial" w:cs="Arial"/>
                <w:b/>
                <w:sz w:val="20"/>
                <w:szCs w:val="20"/>
                <w:lang w:val="pt-PT"/>
              </w:rPr>
              <w:t xml:space="preserve"> </w:t>
            </w:r>
          </w:p>
        </w:tc>
      </w:tr>
      <w:tr w:rsidR="00B31AE2" w:rsidRPr="004E2EAC" w14:paraId="70BB315B" w14:textId="77777777" w:rsidTr="00B31AE2">
        <w:trPr>
          <w:trHeight w:val="983"/>
        </w:trPr>
        <w:tc>
          <w:tcPr>
            <w:tcW w:w="2263" w:type="dxa"/>
          </w:tcPr>
          <w:p w14:paraId="4F8C518F" w14:textId="77777777" w:rsidR="00B31AE2" w:rsidRPr="00292532" w:rsidRDefault="00B31AE2" w:rsidP="00B31AE2">
            <w:pPr>
              <w:rPr>
                <w:rFonts w:ascii="Arial" w:hAnsi="Arial" w:cs="Arial"/>
                <w:sz w:val="20"/>
                <w:szCs w:val="20"/>
                <w:lang w:val="pt-PT"/>
              </w:rPr>
            </w:pPr>
            <w:r w:rsidRPr="00292532">
              <w:rPr>
                <w:rFonts w:ascii="Arial" w:hAnsi="Arial" w:cs="Arial"/>
                <w:b/>
                <w:sz w:val="20"/>
                <w:szCs w:val="20"/>
                <w:lang w:val="pt-PT"/>
              </w:rPr>
              <w:t>Lei da Família</w:t>
            </w:r>
            <w:r w:rsidRPr="00292532">
              <w:rPr>
                <w:rFonts w:ascii="Arial" w:hAnsi="Arial" w:cs="Arial"/>
                <w:sz w:val="20"/>
                <w:szCs w:val="20"/>
                <w:lang w:val="pt-PT"/>
              </w:rPr>
              <w:t xml:space="preserve">.  </w:t>
            </w:r>
          </w:p>
          <w:p w14:paraId="5521C220" w14:textId="77777777" w:rsidR="00B31AE2" w:rsidRPr="00292532" w:rsidRDefault="00B31AE2" w:rsidP="00B31AE2">
            <w:pPr>
              <w:rPr>
                <w:rFonts w:ascii="Arial" w:hAnsi="Arial" w:cs="Arial"/>
                <w:sz w:val="20"/>
                <w:szCs w:val="20"/>
                <w:lang w:val="pt-PT"/>
              </w:rPr>
            </w:pPr>
            <w:r w:rsidRPr="00292532">
              <w:rPr>
                <w:rFonts w:ascii="Arial" w:hAnsi="Arial" w:cs="Arial"/>
                <w:sz w:val="20"/>
                <w:szCs w:val="20"/>
                <w:lang w:val="pt-PT"/>
              </w:rPr>
              <w:t xml:space="preserve">Lei nº 12/2004, de 25 de </w:t>
            </w:r>
            <w:proofErr w:type="gramStart"/>
            <w:r w:rsidRPr="00292532">
              <w:rPr>
                <w:rFonts w:ascii="Arial" w:hAnsi="Arial" w:cs="Arial"/>
                <w:sz w:val="20"/>
                <w:szCs w:val="20"/>
                <w:lang w:val="pt-PT"/>
              </w:rPr>
              <w:t>Agosto</w:t>
            </w:r>
            <w:proofErr w:type="gramEnd"/>
            <w:r w:rsidRPr="00292532">
              <w:rPr>
                <w:rFonts w:ascii="Arial" w:hAnsi="Arial" w:cs="Arial"/>
                <w:sz w:val="20"/>
                <w:szCs w:val="20"/>
                <w:lang w:val="pt-PT"/>
              </w:rPr>
              <w:t xml:space="preserve"> de 2004. </w:t>
            </w:r>
          </w:p>
        </w:tc>
        <w:tc>
          <w:tcPr>
            <w:tcW w:w="6753" w:type="dxa"/>
          </w:tcPr>
          <w:p w14:paraId="0B21240A" w14:textId="77777777" w:rsidR="00B31AE2" w:rsidRPr="00292532" w:rsidRDefault="00B31AE2" w:rsidP="00B31AE2">
            <w:pPr>
              <w:spacing w:after="21"/>
              <w:ind w:left="2" w:right="57"/>
              <w:rPr>
                <w:rFonts w:ascii="Arial" w:hAnsi="Arial" w:cs="Arial"/>
                <w:sz w:val="20"/>
                <w:szCs w:val="20"/>
                <w:lang w:val="pt-PT"/>
              </w:rPr>
            </w:pPr>
            <w:r w:rsidRPr="00292532">
              <w:rPr>
                <w:rFonts w:ascii="Arial" w:hAnsi="Arial" w:cs="Arial"/>
                <w:sz w:val="20"/>
                <w:szCs w:val="20"/>
                <w:lang w:val="pt-PT"/>
              </w:rPr>
              <w:t>Estabelece uma total igualdade de género perante a lei, no casamento, divórcio, guarda das crianças e na divisão de bens. Expressamente, exclui toda a discriminação contra a mulher, seja em relação à herança, idade para casar, estatuto da viúva, etc.</w:t>
            </w:r>
            <w:r w:rsidRPr="00292532">
              <w:rPr>
                <w:rFonts w:ascii="Arial" w:hAnsi="Arial" w:cs="Arial"/>
                <w:sz w:val="20"/>
                <w:szCs w:val="20"/>
                <w:vertAlign w:val="superscript"/>
                <w:lang w:val="pt-PT"/>
              </w:rPr>
              <w:footnoteReference w:id="37"/>
            </w:r>
            <w:r w:rsidRPr="00292532">
              <w:rPr>
                <w:rFonts w:ascii="Arial" w:hAnsi="Arial" w:cs="Arial"/>
                <w:sz w:val="20"/>
                <w:szCs w:val="20"/>
                <w:lang w:val="pt-PT"/>
              </w:rPr>
              <w:t xml:space="preserve">  Ressalta-se o seguinte: </w:t>
            </w:r>
          </w:p>
          <w:p w14:paraId="11704204" w14:textId="77777777" w:rsidR="00B31AE2" w:rsidRPr="00292532" w:rsidRDefault="00B31AE2" w:rsidP="00AE14AE">
            <w:pPr>
              <w:numPr>
                <w:ilvl w:val="0"/>
                <w:numId w:val="160"/>
              </w:numPr>
              <w:ind w:hanging="283"/>
              <w:rPr>
                <w:rFonts w:ascii="Arial" w:hAnsi="Arial" w:cs="Arial"/>
                <w:sz w:val="20"/>
                <w:szCs w:val="20"/>
                <w:lang w:val="pt-PT"/>
              </w:rPr>
            </w:pPr>
            <w:r w:rsidRPr="00292532">
              <w:rPr>
                <w:rFonts w:ascii="Arial" w:hAnsi="Arial" w:cs="Arial"/>
                <w:sz w:val="20"/>
                <w:szCs w:val="20"/>
                <w:lang w:val="pt-PT"/>
              </w:rPr>
              <w:t xml:space="preserve">Elimina o princípio de supremacia masculina ao impor deveres recíprocos a ambos os cônjuges (artigos 93º, 94º, 95º, 96º e 97º). </w:t>
            </w:r>
          </w:p>
          <w:p w14:paraId="1AA157A4" w14:textId="77777777" w:rsidR="00B31AE2" w:rsidRPr="00292532" w:rsidRDefault="00B31AE2" w:rsidP="00AE14AE">
            <w:pPr>
              <w:numPr>
                <w:ilvl w:val="0"/>
                <w:numId w:val="160"/>
              </w:numPr>
              <w:ind w:hanging="283"/>
              <w:rPr>
                <w:rFonts w:ascii="Arial" w:hAnsi="Arial" w:cs="Arial"/>
                <w:sz w:val="20"/>
                <w:szCs w:val="20"/>
                <w:lang w:val="pt-PT"/>
              </w:rPr>
            </w:pPr>
            <w:r w:rsidRPr="00292532">
              <w:rPr>
                <w:rFonts w:ascii="Arial" w:hAnsi="Arial" w:cs="Arial"/>
                <w:sz w:val="20"/>
                <w:szCs w:val="20"/>
                <w:lang w:val="pt-PT"/>
              </w:rPr>
              <w:t xml:space="preserve">Reconhece que tanto o homem como a mulher podem representar a família (artigo 99º), transmitir os seus nomes aos seus descendentes (artigo 100º) e administrar os bens comuns (artigo 102º). </w:t>
            </w:r>
          </w:p>
          <w:p w14:paraId="3AABED4B" w14:textId="77777777" w:rsidR="00B31AE2" w:rsidRPr="00292532" w:rsidRDefault="00B31AE2" w:rsidP="00AE14AE">
            <w:pPr>
              <w:numPr>
                <w:ilvl w:val="0"/>
                <w:numId w:val="160"/>
              </w:numPr>
              <w:ind w:hanging="283"/>
              <w:rPr>
                <w:rFonts w:ascii="Arial" w:hAnsi="Arial" w:cs="Arial"/>
                <w:sz w:val="20"/>
                <w:szCs w:val="20"/>
                <w:lang w:val="pt-PT"/>
              </w:rPr>
            </w:pPr>
            <w:r w:rsidRPr="00292532">
              <w:rPr>
                <w:rFonts w:ascii="Arial" w:hAnsi="Arial" w:cs="Arial"/>
                <w:sz w:val="20"/>
                <w:szCs w:val="20"/>
                <w:lang w:val="pt-PT"/>
              </w:rPr>
              <w:t xml:space="preserve">Não permite o casamento forçado (artigo 7º).  </w:t>
            </w:r>
            <w:r w:rsidRPr="00292532">
              <w:rPr>
                <w:rFonts w:ascii="Arial" w:hAnsi="Arial" w:cs="Arial"/>
                <w:b/>
                <w:sz w:val="20"/>
                <w:szCs w:val="20"/>
                <w:lang w:val="pt-PT"/>
              </w:rPr>
              <w:t xml:space="preserve"> </w:t>
            </w:r>
          </w:p>
        </w:tc>
      </w:tr>
      <w:tr w:rsidR="00B31AE2" w:rsidRPr="004E2EAC" w14:paraId="7B9C3463" w14:textId="77777777" w:rsidTr="00B31AE2">
        <w:trPr>
          <w:trHeight w:val="3585"/>
        </w:trPr>
        <w:tc>
          <w:tcPr>
            <w:tcW w:w="2263" w:type="dxa"/>
          </w:tcPr>
          <w:p w14:paraId="58616B77" w14:textId="77777777" w:rsidR="00B31AE2" w:rsidRPr="00292532" w:rsidRDefault="00B31AE2" w:rsidP="00B31AE2">
            <w:pPr>
              <w:rPr>
                <w:rFonts w:ascii="Arial" w:hAnsi="Arial" w:cs="Arial"/>
                <w:b/>
                <w:sz w:val="20"/>
                <w:szCs w:val="20"/>
                <w:lang w:val="pt-PT"/>
              </w:rPr>
            </w:pPr>
            <w:r w:rsidRPr="00292532">
              <w:rPr>
                <w:rFonts w:ascii="Arial" w:hAnsi="Arial" w:cs="Arial"/>
                <w:b/>
                <w:sz w:val="20"/>
                <w:szCs w:val="20"/>
                <w:lang w:val="pt-PT"/>
              </w:rPr>
              <w:t xml:space="preserve">Lei de Prevenção e Combate às Uniões Prematuras. </w:t>
            </w:r>
          </w:p>
          <w:p w14:paraId="2C64945D" w14:textId="77777777" w:rsidR="00B31AE2" w:rsidRPr="00292532" w:rsidRDefault="00B31AE2" w:rsidP="00B31AE2">
            <w:pPr>
              <w:rPr>
                <w:rFonts w:ascii="Arial" w:hAnsi="Arial" w:cs="Arial"/>
                <w:bCs/>
                <w:sz w:val="20"/>
                <w:szCs w:val="20"/>
                <w:lang w:val="pt-PT"/>
              </w:rPr>
            </w:pPr>
            <w:r w:rsidRPr="00292532">
              <w:rPr>
                <w:rFonts w:ascii="Arial" w:hAnsi="Arial" w:cs="Arial"/>
                <w:bCs/>
                <w:sz w:val="20"/>
                <w:szCs w:val="20"/>
                <w:lang w:val="pt-PT"/>
              </w:rPr>
              <w:t xml:space="preserve">Lei </w:t>
            </w:r>
            <w:r w:rsidRPr="00292532">
              <w:rPr>
                <w:rFonts w:ascii="Arial" w:hAnsi="Arial" w:cs="Arial"/>
                <w:sz w:val="20"/>
                <w:szCs w:val="20"/>
                <w:lang w:val="pt-PT"/>
              </w:rPr>
              <w:t>nº</w:t>
            </w:r>
            <w:r w:rsidRPr="00292532">
              <w:rPr>
                <w:rFonts w:ascii="Arial" w:hAnsi="Arial" w:cs="Arial"/>
                <w:bCs/>
                <w:sz w:val="20"/>
                <w:szCs w:val="20"/>
                <w:lang w:val="pt-PT"/>
              </w:rPr>
              <w:t xml:space="preserve"> 19/2019</w:t>
            </w:r>
          </w:p>
        </w:tc>
        <w:tc>
          <w:tcPr>
            <w:tcW w:w="6753" w:type="dxa"/>
          </w:tcPr>
          <w:p w14:paraId="299C8F59" w14:textId="77777777" w:rsidR="00B31AE2" w:rsidRPr="00292532" w:rsidRDefault="00B31AE2" w:rsidP="00B31AE2">
            <w:pPr>
              <w:spacing w:after="21"/>
              <w:ind w:left="2" w:right="57"/>
              <w:rPr>
                <w:rFonts w:ascii="Arial" w:hAnsi="Arial" w:cs="Arial"/>
                <w:sz w:val="20"/>
                <w:szCs w:val="20"/>
                <w:lang w:val="pt-PT"/>
              </w:rPr>
            </w:pPr>
            <w:r w:rsidRPr="00292532">
              <w:rPr>
                <w:rFonts w:ascii="Arial" w:hAnsi="Arial" w:cs="Arial"/>
                <w:sz w:val="20"/>
                <w:szCs w:val="20"/>
                <w:lang w:val="pt-PT"/>
              </w:rPr>
              <w:t xml:space="preserve">Estabelece a proibição, prevenção, mitigação e combate às uniões prematuras e penalização dos seus autores e cúmplices, bem como a </w:t>
            </w:r>
            <w:proofErr w:type="spellStart"/>
            <w:r w:rsidRPr="00292532">
              <w:rPr>
                <w:rFonts w:ascii="Arial" w:hAnsi="Arial" w:cs="Arial"/>
                <w:sz w:val="20"/>
                <w:szCs w:val="20"/>
                <w:lang w:val="pt-PT"/>
              </w:rPr>
              <w:t>protecção</w:t>
            </w:r>
            <w:proofErr w:type="spellEnd"/>
            <w:r w:rsidRPr="00292532">
              <w:rPr>
                <w:rFonts w:ascii="Arial" w:hAnsi="Arial" w:cs="Arial"/>
                <w:sz w:val="20"/>
                <w:szCs w:val="20"/>
                <w:lang w:val="pt-PT"/>
              </w:rPr>
              <w:t xml:space="preserve"> das crianças que se encontrem ou se encontravam nessas uniões. </w:t>
            </w:r>
          </w:p>
          <w:p w14:paraId="763421D2" w14:textId="77777777" w:rsidR="00B31AE2" w:rsidRPr="004500AE" w:rsidRDefault="00B31AE2" w:rsidP="00AE14AE">
            <w:pPr>
              <w:numPr>
                <w:ilvl w:val="0"/>
                <w:numId w:val="162"/>
              </w:numPr>
              <w:spacing w:after="21" w:line="260" w:lineRule="exact"/>
              <w:ind w:right="57"/>
              <w:contextualSpacing/>
              <w:rPr>
                <w:rFonts w:ascii="Arial" w:eastAsia="Calibri" w:hAnsi="Arial" w:cs="Arial"/>
                <w:sz w:val="20"/>
                <w:szCs w:val="20"/>
                <w:lang w:val="pt-PT"/>
              </w:rPr>
            </w:pPr>
            <w:r w:rsidRPr="004500AE">
              <w:rPr>
                <w:rFonts w:ascii="Arial" w:eastAsia="Calibri" w:hAnsi="Arial" w:cs="Arial"/>
                <w:sz w:val="20"/>
                <w:szCs w:val="20"/>
                <w:lang w:val="pt-PT"/>
              </w:rPr>
              <w:t>Penaliza ao adulto, independentemente do seu estado civil, que unir-se com criança será punido com pena de prisão de oito a doze anos e multa até dois anos (artigo 30º);</w:t>
            </w:r>
          </w:p>
          <w:p w14:paraId="490262FC" w14:textId="77777777" w:rsidR="00B31AE2" w:rsidRPr="004500AE" w:rsidRDefault="00B31AE2" w:rsidP="00AE14AE">
            <w:pPr>
              <w:numPr>
                <w:ilvl w:val="0"/>
                <w:numId w:val="162"/>
              </w:numPr>
              <w:spacing w:after="21" w:line="260" w:lineRule="exact"/>
              <w:ind w:right="57"/>
              <w:contextualSpacing/>
              <w:rPr>
                <w:rFonts w:ascii="Arial" w:eastAsia="Calibri" w:hAnsi="Arial" w:cs="Arial"/>
                <w:sz w:val="20"/>
                <w:szCs w:val="20"/>
                <w:lang w:val="pt-PT"/>
              </w:rPr>
            </w:pPr>
            <w:r w:rsidRPr="004500AE">
              <w:rPr>
                <w:rFonts w:ascii="Arial" w:eastAsia="Calibri" w:hAnsi="Arial" w:cs="Arial"/>
                <w:sz w:val="20"/>
                <w:szCs w:val="20"/>
                <w:lang w:val="pt-PT"/>
              </w:rPr>
              <w:t>Penaliza ainda, aquele que colaborar para que a união com criança tenha lugar, ou que por qualquer outra forma concorra para que produzam os seus efeitos, desde que tenha conhecimento de que a união envolve criança. será punido com pena de prisão e multa até um ano (artigo 31º);</w:t>
            </w:r>
          </w:p>
        </w:tc>
      </w:tr>
      <w:tr w:rsidR="00B31AE2" w:rsidRPr="004E2EAC" w14:paraId="15B1C66B" w14:textId="77777777" w:rsidTr="00B31AE2">
        <w:trPr>
          <w:trHeight w:val="983"/>
        </w:trPr>
        <w:tc>
          <w:tcPr>
            <w:tcW w:w="2263" w:type="dxa"/>
          </w:tcPr>
          <w:p w14:paraId="3292A7D0" w14:textId="77777777" w:rsidR="00B31AE2" w:rsidRPr="00292532" w:rsidRDefault="00B31AE2" w:rsidP="00B31AE2">
            <w:pPr>
              <w:rPr>
                <w:rFonts w:ascii="Arial" w:hAnsi="Arial" w:cs="Arial"/>
                <w:b/>
                <w:sz w:val="20"/>
                <w:szCs w:val="20"/>
                <w:lang w:val="pt-PT"/>
              </w:rPr>
            </w:pPr>
            <w:r w:rsidRPr="00292532">
              <w:rPr>
                <w:rFonts w:ascii="Arial" w:hAnsi="Arial" w:cs="Arial"/>
                <w:b/>
                <w:sz w:val="20"/>
                <w:szCs w:val="20"/>
                <w:lang w:val="pt-PT"/>
              </w:rPr>
              <w:t xml:space="preserve">Lei do Trabalho.  </w:t>
            </w:r>
            <w:r w:rsidRPr="00292532">
              <w:rPr>
                <w:rFonts w:ascii="Arial" w:hAnsi="Arial" w:cs="Arial"/>
                <w:sz w:val="20"/>
                <w:szCs w:val="20"/>
                <w:lang w:val="pt-PT"/>
              </w:rPr>
              <w:t xml:space="preserve">Lei nº 27/2007, de 1 de </w:t>
            </w:r>
            <w:proofErr w:type="gramStart"/>
            <w:r w:rsidRPr="00292532">
              <w:rPr>
                <w:rFonts w:ascii="Arial" w:hAnsi="Arial" w:cs="Arial"/>
                <w:sz w:val="20"/>
                <w:szCs w:val="20"/>
                <w:lang w:val="pt-PT"/>
              </w:rPr>
              <w:t>Agosto</w:t>
            </w:r>
            <w:proofErr w:type="gramEnd"/>
            <w:r w:rsidRPr="00292532">
              <w:rPr>
                <w:rFonts w:ascii="Arial" w:hAnsi="Arial" w:cs="Arial"/>
                <w:sz w:val="20"/>
                <w:szCs w:val="20"/>
                <w:lang w:val="pt-PT"/>
              </w:rPr>
              <w:t xml:space="preserve"> de 2007. </w:t>
            </w:r>
          </w:p>
        </w:tc>
        <w:tc>
          <w:tcPr>
            <w:tcW w:w="6753" w:type="dxa"/>
          </w:tcPr>
          <w:p w14:paraId="3F3C9521" w14:textId="77777777" w:rsidR="00B31AE2" w:rsidRPr="00292532" w:rsidRDefault="00B31AE2" w:rsidP="00B31AE2">
            <w:pPr>
              <w:ind w:left="2"/>
              <w:rPr>
                <w:rFonts w:ascii="Arial" w:hAnsi="Arial" w:cs="Arial"/>
                <w:sz w:val="20"/>
                <w:szCs w:val="20"/>
                <w:lang w:val="pt-PT"/>
              </w:rPr>
            </w:pPr>
            <w:r w:rsidRPr="00292532">
              <w:rPr>
                <w:rFonts w:ascii="Arial" w:hAnsi="Arial" w:cs="Arial"/>
                <w:sz w:val="20"/>
                <w:szCs w:val="20"/>
                <w:lang w:val="pt-PT"/>
              </w:rPr>
              <w:t>Focaliza-se na realização de trabalho por conta de outrem.  Concede às mulheres 60 dias de licença de maternidade com direito à 100% do salário</w:t>
            </w:r>
            <w:r w:rsidRPr="00292532">
              <w:rPr>
                <w:rFonts w:ascii="Arial" w:hAnsi="Arial" w:cs="Arial"/>
                <w:sz w:val="20"/>
                <w:szCs w:val="20"/>
                <w:vertAlign w:val="superscript"/>
                <w:lang w:val="pt-PT"/>
              </w:rPr>
              <w:footnoteReference w:id="38"/>
            </w:r>
            <w:r w:rsidRPr="00292532">
              <w:rPr>
                <w:rFonts w:ascii="Arial" w:hAnsi="Arial" w:cs="Arial"/>
                <w:sz w:val="20"/>
                <w:szCs w:val="20"/>
                <w:lang w:val="pt-PT"/>
              </w:rPr>
              <w:t xml:space="preserve">. </w:t>
            </w:r>
          </w:p>
          <w:p w14:paraId="1231E02B" w14:textId="77777777" w:rsidR="00B31AE2" w:rsidRPr="00292532" w:rsidRDefault="00B31AE2" w:rsidP="00B31AE2">
            <w:pPr>
              <w:ind w:left="2"/>
              <w:rPr>
                <w:rFonts w:ascii="Arial" w:hAnsi="Arial" w:cs="Arial"/>
                <w:sz w:val="20"/>
                <w:szCs w:val="20"/>
                <w:lang w:val="pt-PT"/>
              </w:rPr>
            </w:pPr>
            <w:r w:rsidRPr="00292532">
              <w:rPr>
                <w:rFonts w:ascii="Arial" w:hAnsi="Arial" w:cs="Arial"/>
                <w:sz w:val="20"/>
                <w:szCs w:val="20"/>
                <w:lang w:val="pt-PT"/>
              </w:rPr>
              <w:t xml:space="preserve">Este direito pode ser usufruído até 20 dias antes do parto, independentemente de ter nascido um nado vivo ou morto (Artigo 12º).  </w:t>
            </w:r>
          </w:p>
          <w:p w14:paraId="1E71888C" w14:textId="77777777" w:rsidR="00B31AE2" w:rsidRPr="00292532" w:rsidRDefault="00B31AE2" w:rsidP="00B31AE2">
            <w:pPr>
              <w:ind w:left="2"/>
              <w:rPr>
                <w:rFonts w:ascii="Arial" w:hAnsi="Arial" w:cs="Arial"/>
                <w:sz w:val="20"/>
                <w:szCs w:val="20"/>
                <w:lang w:val="pt-PT"/>
              </w:rPr>
            </w:pPr>
            <w:r w:rsidRPr="00292532">
              <w:rPr>
                <w:rFonts w:ascii="Arial" w:hAnsi="Arial" w:cs="Arial"/>
                <w:sz w:val="20"/>
                <w:szCs w:val="20"/>
                <w:lang w:val="pt-PT"/>
              </w:rPr>
              <w:t xml:space="preserve">Aos homens, a Lei prevê 1 dia de licença de paternidade no dia imediatamente posterior ao nascimento da criança (Artigo 12º, nº 5).  </w:t>
            </w:r>
          </w:p>
          <w:p w14:paraId="04901BCF" w14:textId="77777777" w:rsidR="00B31AE2" w:rsidRPr="00292532" w:rsidRDefault="00B31AE2" w:rsidP="00B31AE2">
            <w:pPr>
              <w:spacing w:after="36"/>
              <w:ind w:left="2"/>
              <w:rPr>
                <w:rFonts w:ascii="Arial" w:hAnsi="Arial" w:cs="Arial"/>
                <w:sz w:val="20"/>
                <w:szCs w:val="20"/>
                <w:lang w:val="pt-PT"/>
              </w:rPr>
            </w:pPr>
            <w:r w:rsidRPr="00292532">
              <w:rPr>
                <w:rFonts w:ascii="Arial" w:hAnsi="Arial" w:cs="Arial"/>
                <w:sz w:val="20"/>
                <w:szCs w:val="20"/>
                <w:lang w:val="pt-PT"/>
              </w:rPr>
              <w:t xml:space="preserve">Estabelece uma série de direitos especiais à mulher durante e depois do período de gestação. </w:t>
            </w:r>
          </w:p>
          <w:p w14:paraId="2787897A" w14:textId="77777777" w:rsidR="00B31AE2" w:rsidRPr="00292532" w:rsidRDefault="00B31AE2" w:rsidP="00B31AE2">
            <w:pPr>
              <w:spacing w:after="21"/>
              <w:ind w:left="2" w:right="57"/>
              <w:rPr>
                <w:rFonts w:ascii="Arial" w:hAnsi="Arial" w:cs="Arial"/>
                <w:sz w:val="20"/>
                <w:szCs w:val="20"/>
                <w:lang w:val="pt-PT"/>
              </w:rPr>
            </w:pPr>
            <w:r w:rsidRPr="00292532">
              <w:rPr>
                <w:rFonts w:ascii="Arial" w:hAnsi="Arial" w:cs="Arial"/>
                <w:sz w:val="20"/>
                <w:szCs w:val="20"/>
                <w:lang w:val="pt-PT"/>
              </w:rPr>
              <w:t xml:space="preserve">Reconhecendo o papel biológico reprodutor das mulheres, a Lei concede um tempo de até 30 dias ao ano em conceito de faltas justificadas para cuidar de filhos menores em caso de doença ou acidente. </w:t>
            </w:r>
          </w:p>
        </w:tc>
      </w:tr>
      <w:tr w:rsidR="00B31AE2" w:rsidRPr="004E2EAC" w14:paraId="091EDBDA" w14:textId="77777777" w:rsidTr="00B31AE2">
        <w:trPr>
          <w:trHeight w:val="983"/>
        </w:trPr>
        <w:tc>
          <w:tcPr>
            <w:tcW w:w="2263" w:type="dxa"/>
          </w:tcPr>
          <w:p w14:paraId="6015BA15" w14:textId="77777777" w:rsidR="00B31AE2" w:rsidRPr="00292532" w:rsidRDefault="00B31AE2" w:rsidP="00B31AE2">
            <w:pPr>
              <w:rPr>
                <w:rFonts w:ascii="Arial" w:hAnsi="Arial" w:cs="Arial"/>
                <w:sz w:val="20"/>
                <w:szCs w:val="20"/>
                <w:lang w:val="pt-PT"/>
              </w:rPr>
            </w:pPr>
            <w:r w:rsidRPr="00292532">
              <w:rPr>
                <w:rFonts w:ascii="Arial" w:hAnsi="Arial" w:cs="Arial"/>
                <w:b/>
                <w:sz w:val="20"/>
                <w:szCs w:val="20"/>
                <w:lang w:val="pt-PT"/>
              </w:rPr>
              <w:lastRenderedPageBreak/>
              <w:t xml:space="preserve">Lei sobre o Trafico de Pessoas. </w:t>
            </w:r>
            <w:r w:rsidRPr="00292532">
              <w:rPr>
                <w:rFonts w:ascii="Arial" w:hAnsi="Arial" w:cs="Arial"/>
                <w:sz w:val="20"/>
                <w:szCs w:val="20"/>
                <w:lang w:val="pt-PT"/>
              </w:rPr>
              <w:t xml:space="preserve"> </w:t>
            </w:r>
          </w:p>
          <w:p w14:paraId="3C908ED9" w14:textId="77777777" w:rsidR="00B31AE2" w:rsidRPr="00292532" w:rsidRDefault="00B31AE2" w:rsidP="00B31AE2">
            <w:pPr>
              <w:rPr>
                <w:rFonts w:ascii="Arial" w:hAnsi="Arial" w:cs="Arial"/>
                <w:b/>
                <w:sz w:val="20"/>
                <w:szCs w:val="20"/>
                <w:lang w:val="pt-PT"/>
              </w:rPr>
            </w:pPr>
            <w:r w:rsidRPr="00292532">
              <w:rPr>
                <w:rFonts w:ascii="Arial" w:hAnsi="Arial" w:cs="Arial"/>
                <w:sz w:val="20"/>
                <w:szCs w:val="20"/>
                <w:lang w:val="pt-PT"/>
              </w:rPr>
              <w:t xml:space="preserve">Lei n° 6/2008, de 9 de </w:t>
            </w:r>
            <w:proofErr w:type="gramStart"/>
            <w:r w:rsidRPr="00292532">
              <w:rPr>
                <w:rFonts w:ascii="Arial" w:hAnsi="Arial" w:cs="Arial"/>
                <w:sz w:val="20"/>
                <w:szCs w:val="20"/>
                <w:lang w:val="pt-PT"/>
              </w:rPr>
              <w:t>Julho</w:t>
            </w:r>
            <w:proofErr w:type="gramEnd"/>
            <w:r w:rsidRPr="00292532">
              <w:rPr>
                <w:rFonts w:ascii="Arial" w:hAnsi="Arial" w:cs="Arial"/>
                <w:sz w:val="20"/>
                <w:szCs w:val="20"/>
                <w:lang w:val="pt-PT"/>
              </w:rPr>
              <w:t xml:space="preserve">.  </w:t>
            </w:r>
          </w:p>
        </w:tc>
        <w:tc>
          <w:tcPr>
            <w:tcW w:w="6753" w:type="dxa"/>
          </w:tcPr>
          <w:p w14:paraId="10C4DECC" w14:textId="77777777" w:rsidR="00B31AE2" w:rsidRPr="00292532" w:rsidRDefault="00B31AE2" w:rsidP="00B31AE2">
            <w:pPr>
              <w:ind w:left="2"/>
              <w:rPr>
                <w:rFonts w:ascii="Arial" w:hAnsi="Arial" w:cs="Arial"/>
                <w:sz w:val="20"/>
                <w:szCs w:val="20"/>
                <w:lang w:val="pt-PT"/>
              </w:rPr>
            </w:pPr>
            <w:r w:rsidRPr="00292532">
              <w:rPr>
                <w:rFonts w:ascii="Arial" w:hAnsi="Arial" w:cs="Arial"/>
                <w:sz w:val="20"/>
                <w:szCs w:val="20"/>
                <w:lang w:val="pt-PT"/>
              </w:rPr>
              <w:t xml:space="preserve">Criminaliza o tráfico de pessoas, em especial mulheres e crianças.  </w:t>
            </w:r>
          </w:p>
          <w:p w14:paraId="6BA3E1EB" w14:textId="77777777" w:rsidR="00B31AE2" w:rsidRPr="00292532" w:rsidRDefault="00B31AE2" w:rsidP="00B31AE2">
            <w:pPr>
              <w:ind w:left="2"/>
              <w:rPr>
                <w:rFonts w:ascii="Arial" w:hAnsi="Arial" w:cs="Arial"/>
                <w:sz w:val="20"/>
                <w:szCs w:val="20"/>
                <w:lang w:val="pt-PT"/>
              </w:rPr>
            </w:pPr>
            <w:r w:rsidRPr="00292532">
              <w:rPr>
                <w:rFonts w:ascii="Arial" w:hAnsi="Arial" w:cs="Arial"/>
                <w:sz w:val="20"/>
                <w:szCs w:val="20"/>
                <w:lang w:val="pt-PT"/>
              </w:rPr>
              <w:t xml:space="preserve">Estabelece as </w:t>
            </w:r>
            <w:proofErr w:type="spellStart"/>
            <w:r w:rsidRPr="00292532">
              <w:rPr>
                <w:rFonts w:ascii="Arial" w:hAnsi="Arial" w:cs="Arial"/>
                <w:sz w:val="20"/>
                <w:szCs w:val="20"/>
                <w:lang w:val="pt-PT"/>
              </w:rPr>
              <w:t>acções</w:t>
            </w:r>
            <w:proofErr w:type="spellEnd"/>
            <w:r w:rsidRPr="00292532">
              <w:rPr>
                <w:rFonts w:ascii="Arial" w:hAnsi="Arial" w:cs="Arial"/>
                <w:sz w:val="20"/>
                <w:szCs w:val="20"/>
                <w:lang w:val="pt-PT"/>
              </w:rPr>
              <w:t xml:space="preserve"> criminosas, as sanções assim como as medidas de </w:t>
            </w:r>
            <w:proofErr w:type="spellStart"/>
            <w:r w:rsidRPr="00292532">
              <w:rPr>
                <w:rFonts w:ascii="Arial" w:hAnsi="Arial" w:cs="Arial"/>
                <w:sz w:val="20"/>
                <w:szCs w:val="20"/>
                <w:lang w:val="pt-PT"/>
              </w:rPr>
              <w:t>protecção</w:t>
            </w:r>
            <w:proofErr w:type="spellEnd"/>
            <w:r w:rsidRPr="00292532">
              <w:rPr>
                <w:rFonts w:ascii="Arial" w:hAnsi="Arial" w:cs="Arial"/>
                <w:sz w:val="20"/>
                <w:szCs w:val="20"/>
                <w:lang w:val="pt-PT"/>
              </w:rPr>
              <w:t xml:space="preserve"> das vítimas de tráfico humano ao nível nacional e internacional.</w:t>
            </w:r>
          </w:p>
        </w:tc>
      </w:tr>
      <w:tr w:rsidR="00B31AE2" w:rsidRPr="004E2EAC" w14:paraId="22D7D025" w14:textId="77777777" w:rsidTr="00B31AE2">
        <w:trPr>
          <w:trHeight w:val="983"/>
        </w:trPr>
        <w:tc>
          <w:tcPr>
            <w:tcW w:w="2263" w:type="dxa"/>
          </w:tcPr>
          <w:p w14:paraId="7FE4E7D3" w14:textId="77777777" w:rsidR="00B31AE2" w:rsidRPr="00292532" w:rsidRDefault="00B31AE2" w:rsidP="00B31AE2">
            <w:pPr>
              <w:rPr>
                <w:rFonts w:ascii="Arial" w:hAnsi="Arial" w:cs="Arial"/>
                <w:b/>
                <w:sz w:val="20"/>
                <w:szCs w:val="20"/>
                <w:lang w:val="pt-PT"/>
              </w:rPr>
            </w:pPr>
            <w:r w:rsidRPr="00292532">
              <w:rPr>
                <w:rFonts w:ascii="Arial" w:hAnsi="Arial" w:cs="Arial"/>
                <w:b/>
                <w:sz w:val="20"/>
                <w:szCs w:val="20"/>
                <w:lang w:val="pt-PT"/>
              </w:rPr>
              <w:t xml:space="preserve">Lei da violência doméstica praticada contra a mulher. </w:t>
            </w:r>
            <w:r w:rsidRPr="00292532">
              <w:rPr>
                <w:rFonts w:ascii="Arial" w:hAnsi="Arial" w:cs="Arial"/>
                <w:sz w:val="20"/>
                <w:szCs w:val="20"/>
                <w:lang w:val="pt-PT"/>
              </w:rPr>
              <w:t xml:space="preserve">Lei nº 29/2009, de 1 de </w:t>
            </w:r>
            <w:proofErr w:type="gramStart"/>
            <w:r w:rsidRPr="00292532">
              <w:rPr>
                <w:rFonts w:ascii="Arial" w:hAnsi="Arial" w:cs="Arial"/>
                <w:sz w:val="20"/>
                <w:szCs w:val="20"/>
                <w:lang w:val="pt-PT"/>
              </w:rPr>
              <w:t>Setembro</w:t>
            </w:r>
            <w:proofErr w:type="gramEnd"/>
            <w:r w:rsidRPr="00292532">
              <w:rPr>
                <w:rFonts w:ascii="Arial" w:hAnsi="Arial" w:cs="Arial"/>
                <w:sz w:val="20"/>
                <w:szCs w:val="20"/>
                <w:lang w:val="pt-PT"/>
              </w:rPr>
              <w:t xml:space="preserve"> de 2009.</w:t>
            </w:r>
            <w:r w:rsidRPr="00292532">
              <w:rPr>
                <w:rFonts w:ascii="Arial" w:hAnsi="Arial" w:cs="Arial"/>
                <w:b/>
                <w:sz w:val="20"/>
                <w:szCs w:val="20"/>
                <w:lang w:val="pt-PT"/>
              </w:rPr>
              <w:t xml:space="preserve"> </w:t>
            </w:r>
          </w:p>
        </w:tc>
        <w:tc>
          <w:tcPr>
            <w:tcW w:w="6753" w:type="dxa"/>
          </w:tcPr>
          <w:p w14:paraId="0B9E7B3F" w14:textId="77777777" w:rsidR="00B31AE2" w:rsidRPr="00292532" w:rsidRDefault="00B31AE2" w:rsidP="00B31AE2">
            <w:pPr>
              <w:ind w:left="2"/>
              <w:rPr>
                <w:rFonts w:ascii="Arial" w:hAnsi="Arial" w:cs="Arial"/>
                <w:sz w:val="20"/>
                <w:szCs w:val="20"/>
                <w:lang w:val="pt-PT"/>
              </w:rPr>
            </w:pPr>
            <w:r w:rsidRPr="00292532">
              <w:rPr>
                <w:rFonts w:ascii="Arial" w:hAnsi="Arial" w:cs="Arial"/>
                <w:sz w:val="20"/>
                <w:szCs w:val="20"/>
                <w:lang w:val="pt-PT"/>
              </w:rPr>
              <w:t xml:space="preserve">Criminaliza a violência com base no género e a violência doméstica (Artigo 1º) e a considera um crime público (Artigo 21º).  </w:t>
            </w:r>
          </w:p>
          <w:p w14:paraId="59EAE173" w14:textId="77777777" w:rsidR="00B31AE2" w:rsidRPr="00292532" w:rsidRDefault="00B31AE2" w:rsidP="00B31AE2">
            <w:pPr>
              <w:ind w:left="2"/>
              <w:rPr>
                <w:rFonts w:ascii="Arial" w:hAnsi="Arial" w:cs="Arial"/>
                <w:sz w:val="20"/>
                <w:szCs w:val="20"/>
                <w:lang w:val="pt-PT"/>
              </w:rPr>
            </w:pPr>
            <w:r w:rsidRPr="00292532">
              <w:rPr>
                <w:rFonts w:ascii="Arial" w:hAnsi="Arial" w:cs="Arial"/>
                <w:sz w:val="20"/>
                <w:szCs w:val="20"/>
                <w:lang w:val="pt-PT"/>
              </w:rPr>
              <w:t xml:space="preserve">A lei reconhece a violação no seio do casamento pelo esposo e a penaliza (Artigo 17º). Assim como penaliza com penas de até 12 anos de prisão o envolvimento sexual com conhecimento de possuir uma doença </w:t>
            </w:r>
            <w:proofErr w:type="spellStart"/>
            <w:r w:rsidRPr="00292532">
              <w:rPr>
                <w:rFonts w:ascii="Arial" w:hAnsi="Arial" w:cs="Arial"/>
                <w:sz w:val="20"/>
                <w:szCs w:val="20"/>
                <w:lang w:val="pt-PT"/>
              </w:rPr>
              <w:t>infecciosa</w:t>
            </w:r>
            <w:proofErr w:type="spellEnd"/>
            <w:r w:rsidRPr="00292532">
              <w:rPr>
                <w:rFonts w:ascii="Arial" w:hAnsi="Arial" w:cs="Arial"/>
                <w:sz w:val="20"/>
                <w:szCs w:val="20"/>
                <w:lang w:val="pt-PT"/>
              </w:rPr>
              <w:t xml:space="preserve"> (Artigo 18º).  </w:t>
            </w:r>
          </w:p>
        </w:tc>
      </w:tr>
      <w:tr w:rsidR="00B31AE2" w:rsidRPr="004E2EAC" w14:paraId="01C128A4" w14:textId="77777777" w:rsidTr="00B31AE2">
        <w:trPr>
          <w:trHeight w:val="983"/>
        </w:trPr>
        <w:tc>
          <w:tcPr>
            <w:tcW w:w="2263" w:type="dxa"/>
          </w:tcPr>
          <w:p w14:paraId="4C58ED56" w14:textId="77777777" w:rsidR="00B31AE2" w:rsidRPr="00292532" w:rsidRDefault="00B31AE2" w:rsidP="00B31AE2">
            <w:pPr>
              <w:rPr>
                <w:rFonts w:ascii="Arial" w:hAnsi="Arial" w:cs="Arial"/>
                <w:sz w:val="20"/>
                <w:szCs w:val="20"/>
                <w:lang w:val="pt-PT"/>
              </w:rPr>
            </w:pPr>
            <w:r w:rsidRPr="00292532">
              <w:rPr>
                <w:rFonts w:ascii="Arial" w:hAnsi="Arial" w:cs="Arial"/>
                <w:b/>
                <w:sz w:val="20"/>
                <w:szCs w:val="20"/>
                <w:lang w:val="pt-PT"/>
              </w:rPr>
              <w:t xml:space="preserve">Código Penal. </w:t>
            </w:r>
            <w:r w:rsidRPr="00292532">
              <w:rPr>
                <w:rFonts w:ascii="Arial" w:hAnsi="Arial" w:cs="Arial"/>
                <w:sz w:val="20"/>
                <w:szCs w:val="20"/>
                <w:lang w:val="pt-PT"/>
              </w:rPr>
              <w:t xml:space="preserve"> </w:t>
            </w:r>
          </w:p>
          <w:p w14:paraId="0A95EA8A" w14:textId="77777777" w:rsidR="00B31AE2" w:rsidRPr="00292532" w:rsidRDefault="00B31AE2" w:rsidP="00B31AE2">
            <w:pPr>
              <w:rPr>
                <w:rFonts w:ascii="Arial" w:hAnsi="Arial" w:cs="Arial"/>
                <w:sz w:val="20"/>
                <w:szCs w:val="20"/>
                <w:lang w:val="pt-PT"/>
              </w:rPr>
            </w:pPr>
            <w:r w:rsidRPr="00292532">
              <w:rPr>
                <w:rFonts w:ascii="Arial" w:hAnsi="Arial" w:cs="Arial"/>
                <w:sz w:val="20"/>
                <w:szCs w:val="20"/>
                <w:lang w:val="pt-PT"/>
              </w:rPr>
              <w:t xml:space="preserve">Lei nº 35/2014, de 31 de </w:t>
            </w:r>
          </w:p>
          <w:p w14:paraId="345371FF" w14:textId="77777777" w:rsidR="00B31AE2" w:rsidRPr="00292532" w:rsidRDefault="00B31AE2" w:rsidP="00B31AE2">
            <w:pPr>
              <w:rPr>
                <w:rFonts w:ascii="Arial" w:hAnsi="Arial" w:cs="Arial"/>
                <w:sz w:val="20"/>
                <w:szCs w:val="20"/>
                <w:lang w:val="pt-PT"/>
              </w:rPr>
            </w:pPr>
            <w:r w:rsidRPr="00292532">
              <w:rPr>
                <w:rFonts w:ascii="Arial" w:hAnsi="Arial" w:cs="Arial"/>
                <w:sz w:val="20"/>
                <w:szCs w:val="20"/>
                <w:lang w:val="pt-PT"/>
              </w:rPr>
              <w:t xml:space="preserve">Dezembro </w:t>
            </w:r>
          </w:p>
          <w:p w14:paraId="00491084" w14:textId="77777777" w:rsidR="00B31AE2" w:rsidRPr="00292532" w:rsidRDefault="00B31AE2" w:rsidP="00B31AE2">
            <w:pPr>
              <w:rPr>
                <w:rFonts w:ascii="Arial" w:hAnsi="Arial" w:cs="Arial"/>
                <w:b/>
                <w:sz w:val="20"/>
                <w:szCs w:val="20"/>
                <w:lang w:val="pt-PT"/>
              </w:rPr>
            </w:pPr>
            <w:r w:rsidRPr="00292532">
              <w:rPr>
                <w:rFonts w:ascii="Arial" w:hAnsi="Arial" w:cs="Arial"/>
                <w:sz w:val="20"/>
                <w:szCs w:val="20"/>
                <w:lang w:val="pt-PT"/>
              </w:rPr>
              <w:t xml:space="preserve"> </w:t>
            </w:r>
          </w:p>
        </w:tc>
        <w:tc>
          <w:tcPr>
            <w:tcW w:w="6753" w:type="dxa"/>
          </w:tcPr>
          <w:p w14:paraId="0E0B595E" w14:textId="77777777" w:rsidR="00B31AE2" w:rsidRPr="00292532" w:rsidRDefault="00B31AE2" w:rsidP="00B31AE2">
            <w:pPr>
              <w:ind w:left="2"/>
              <w:rPr>
                <w:rFonts w:ascii="Arial" w:hAnsi="Arial" w:cs="Arial"/>
                <w:sz w:val="20"/>
                <w:szCs w:val="20"/>
                <w:lang w:val="pt-PT"/>
              </w:rPr>
            </w:pPr>
            <w:proofErr w:type="gramStart"/>
            <w:r w:rsidRPr="00292532">
              <w:rPr>
                <w:rFonts w:ascii="Arial" w:hAnsi="Arial" w:cs="Arial"/>
                <w:sz w:val="20"/>
                <w:szCs w:val="20"/>
                <w:lang w:val="pt-PT"/>
              </w:rPr>
              <w:t>Trás</w:t>
            </w:r>
            <w:proofErr w:type="gramEnd"/>
            <w:r w:rsidRPr="00292532">
              <w:rPr>
                <w:rFonts w:ascii="Arial" w:hAnsi="Arial" w:cs="Arial"/>
                <w:sz w:val="20"/>
                <w:szCs w:val="20"/>
                <w:lang w:val="pt-PT"/>
              </w:rPr>
              <w:t xml:space="preserve"> importantes contribuições para a eliminação da discriminação contra a mulher, despenalizando o aborto realizado dentro de 12 semanas de gestação. </w:t>
            </w:r>
          </w:p>
          <w:p w14:paraId="64703494" w14:textId="77777777" w:rsidR="00B31AE2" w:rsidRPr="00292532" w:rsidRDefault="00B31AE2" w:rsidP="00B31AE2">
            <w:pPr>
              <w:spacing w:after="2"/>
              <w:ind w:left="2"/>
              <w:rPr>
                <w:rFonts w:ascii="Arial" w:hAnsi="Arial" w:cs="Arial"/>
                <w:sz w:val="20"/>
                <w:szCs w:val="20"/>
                <w:lang w:val="pt-PT"/>
              </w:rPr>
            </w:pPr>
            <w:r w:rsidRPr="00292532">
              <w:rPr>
                <w:rFonts w:ascii="Arial" w:hAnsi="Arial" w:cs="Arial"/>
                <w:sz w:val="20"/>
                <w:szCs w:val="20"/>
                <w:lang w:val="pt-PT"/>
              </w:rPr>
              <w:t xml:space="preserve">Elimina atenuantes ao crime de violação como o de perdão no caso de o violador casar-se com a vítima. </w:t>
            </w:r>
          </w:p>
          <w:p w14:paraId="3F9DFA46" w14:textId="77777777" w:rsidR="00B31AE2" w:rsidRPr="00292532" w:rsidRDefault="00B31AE2" w:rsidP="00B31AE2">
            <w:pPr>
              <w:ind w:left="2"/>
              <w:rPr>
                <w:rFonts w:ascii="Arial" w:hAnsi="Arial" w:cs="Arial"/>
                <w:sz w:val="20"/>
                <w:szCs w:val="20"/>
                <w:lang w:val="pt-PT"/>
              </w:rPr>
            </w:pPr>
            <w:r w:rsidRPr="00292532">
              <w:rPr>
                <w:rFonts w:ascii="Arial" w:hAnsi="Arial" w:cs="Arial"/>
                <w:sz w:val="20"/>
                <w:szCs w:val="20"/>
                <w:lang w:val="pt-PT"/>
              </w:rPr>
              <w:t xml:space="preserve">Reconhece o abuso sexual e incorpora o crime de violência doméstica sem perder de vista a legislação específica.  </w:t>
            </w:r>
          </w:p>
          <w:p w14:paraId="2A9719AF" w14:textId="77777777" w:rsidR="00B31AE2" w:rsidRPr="00292532" w:rsidRDefault="00B31AE2" w:rsidP="00B31AE2">
            <w:pPr>
              <w:ind w:left="2"/>
              <w:rPr>
                <w:rFonts w:ascii="Arial" w:hAnsi="Arial" w:cs="Arial"/>
                <w:sz w:val="20"/>
                <w:szCs w:val="20"/>
                <w:lang w:val="pt-PT"/>
              </w:rPr>
            </w:pPr>
            <w:r w:rsidRPr="00292532">
              <w:rPr>
                <w:rFonts w:ascii="Arial" w:hAnsi="Arial" w:cs="Arial"/>
                <w:sz w:val="20"/>
                <w:szCs w:val="20"/>
                <w:lang w:val="pt-PT"/>
              </w:rPr>
              <w:t xml:space="preserve">Descriminaliza a prostituição, pessoas idosas a pedir esmola, homossexualidade.  </w:t>
            </w:r>
          </w:p>
        </w:tc>
      </w:tr>
      <w:tr w:rsidR="00B31AE2" w:rsidRPr="00292532" w14:paraId="553CC7C6" w14:textId="77777777" w:rsidTr="00B31AE2">
        <w:trPr>
          <w:trHeight w:val="368"/>
        </w:trPr>
        <w:tc>
          <w:tcPr>
            <w:tcW w:w="9016" w:type="dxa"/>
            <w:gridSpan w:val="2"/>
            <w:shd w:val="clear" w:color="auto" w:fill="BDD6EE"/>
          </w:tcPr>
          <w:p w14:paraId="6A40DBCA" w14:textId="77777777" w:rsidR="00B31AE2" w:rsidRPr="00292532" w:rsidRDefault="00B31AE2" w:rsidP="00B31AE2">
            <w:pPr>
              <w:ind w:left="2"/>
              <w:jc w:val="center"/>
              <w:rPr>
                <w:rFonts w:ascii="Arial" w:hAnsi="Arial" w:cs="Arial"/>
                <w:b/>
                <w:bCs/>
                <w:sz w:val="20"/>
                <w:szCs w:val="20"/>
                <w:lang w:val="pt-PT"/>
              </w:rPr>
            </w:pPr>
            <w:r w:rsidRPr="00292532">
              <w:rPr>
                <w:rFonts w:ascii="Arial" w:hAnsi="Arial" w:cs="Arial"/>
                <w:b/>
                <w:bCs/>
                <w:sz w:val="20"/>
                <w:szCs w:val="20"/>
                <w:lang w:val="pt-PT"/>
              </w:rPr>
              <w:t>Políticas, Planos e Estratégias</w:t>
            </w:r>
          </w:p>
        </w:tc>
      </w:tr>
      <w:tr w:rsidR="00B31AE2" w:rsidRPr="004E2EAC" w14:paraId="508BFC4A" w14:textId="77777777" w:rsidTr="00B31AE2">
        <w:tc>
          <w:tcPr>
            <w:tcW w:w="2263" w:type="dxa"/>
            <w:tcBorders>
              <w:top w:val="single" w:sz="4" w:space="0" w:color="000000"/>
              <w:left w:val="single" w:sz="4" w:space="0" w:color="000000"/>
              <w:bottom w:val="single" w:sz="4" w:space="0" w:color="000000"/>
              <w:right w:val="single" w:sz="4" w:space="0" w:color="000000"/>
            </w:tcBorders>
          </w:tcPr>
          <w:p w14:paraId="17C8DD49" w14:textId="77777777" w:rsidR="00B31AE2" w:rsidRPr="00292532" w:rsidRDefault="00B31AE2" w:rsidP="00B31AE2">
            <w:pPr>
              <w:rPr>
                <w:rFonts w:ascii="Arial" w:hAnsi="Arial" w:cs="Arial"/>
                <w:sz w:val="20"/>
                <w:szCs w:val="20"/>
                <w:lang w:val="pt-PT"/>
              </w:rPr>
            </w:pPr>
            <w:r w:rsidRPr="00292532">
              <w:rPr>
                <w:rFonts w:ascii="Arial" w:hAnsi="Arial" w:cs="Arial"/>
                <w:b/>
                <w:sz w:val="20"/>
                <w:szCs w:val="20"/>
                <w:lang w:val="pt-PT"/>
              </w:rPr>
              <w:t xml:space="preserve">Política de Género e Estratégia da sua Implementação. </w:t>
            </w:r>
            <w:r w:rsidRPr="00292532">
              <w:rPr>
                <w:rFonts w:ascii="Arial" w:hAnsi="Arial" w:cs="Arial"/>
                <w:sz w:val="20"/>
                <w:szCs w:val="20"/>
                <w:lang w:val="pt-PT"/>
              </w:rPr>
              <w:t>Aprovada pelo Conselho de Ministros em 2006.</w:t>
            </w:r>
          </w:p>
        </w:tc>
        <w:tc>
          <w:tcPr>
            <w:tcW w:w="6753" w:type="dxa"/>
            <w:tcBorders>
              <w:top w:val="single" w:sz="4" w:space="0" w:color="000000"/>
              <w:left w:val="single" w:sz="4" w:space="0" w:color="000000"/>
              <w:bottom w:val="single" w:sz="4" w:space="0" w:color="000000"/>
              <w:right w:val="single" w:sz="4" w:space="0" w:color="000000"/>
            </w:tcBorders>
          </w:tcPr>
          <w:p w14:paraId="0FDDF1A5" w14:textId="77777777" w:rsidR="00B31AE2" w:rsidRPr="00292532" w:rsidRDefault="00B31AE2" w:rsidP="00B31AE2">
            <w:pPr>
              <w:rPr>
                <w:rFonts w:ascii="Arial" w:hAnsi="Arial" w:cs="Arial"/>
                <w:sz w:val="20"/>
                <w:szCs w:val="20"/>
                <w:lang w:val="pt-PT"/>
              </w:rPr>
            </w:pPr>
            <w:r w:rsidRPr="00292532">
              <w:rPr>
                <w:rFonts w:ascii="Arial" w:hAnsi="Arial" w:cs="Arial"/>
                <w:sz w:val="20"/>
                <w:szCs w:val="20"/>
                <w:lang w:val="pt-PT"/>
              </w:rPr>
              <w:t xml:space="preserve">Marca a base legal para a criação de mecanismos institucionais que permitam assegurar a integração do género nos planos sectoriais. A estratégia de implementação centra-se nas áreas identificadas como críticas através das quais a política será operacionalizada, concretamente: o empoderamento económico, a educação, a segurança alimentar, a participação das mulheres na vida pública e nos processos de tomada de decisão, a redução da mortalidade materna e na </w:t>
            </w:r>
            <w:proofErr w:type="spellStart"/>
            <w:r w:rsidRPr="00292532">
              <w:rPr>
                <w:rFonts w:ascii="Arial" w:hAnsi="Arial" w:cs="Arial"/>
                <w:sz w:val="20"/>
                <w:szCs w:val="20"/>
                <w:lang w:val="pt-PT"/>
              </w:rPr>
              <w:t>protecção</w:t>
            </w:r>
            <w:proofErr w:type="spellEnd"/>
            <w:r w:rsidRPr="00292532">
              <w:rPr>
                <w:rFonts w:ascii="Arial" w:hAnsi="Arial" w:cs="Arial"/>
                <w:sz w:val="20"/>
                <w:szCs w:val="20"/>
                <w:lang w:val="pt-PT"/>
              </w:rPr>
              <w:t xml:space="preserve"> dos direitos da mulher e da rapariga. </w:t>
            </w:r>
          </w:p>
        </w:tc>
      </w:tr>
      <w:tr w:rsidR="00B31AE2" w:rsidRPr="004E2EAC" w14:paraId="56726C79" w14:textId="77777777" w:rsidTr="00B31AE2">
        <w:trPr>
          <w:trHeight w:val="1850"/>
        </w:trPr>
        <w:tc>
          <w:tcPr>
            <w:tcW w:w="2263" w:type="dxa"/>
          </w:tcPr>
          <w:p w14:paraId="255A8950" w14:textId="77777777" w:rsidR="00B31AE2" w:rsidRPr="00292532" w:rsidRDefault="00B31AE2" w:rsidP="00B31AE2">
            <w:pPr>
              <w:rPr>
                <w:rFonts w:ascii="Arial" w:hAnsi="Arial" w:cs="Arial"/>
                <w:sz w:val="20"/>
                <w:szCs w:val="20"/>
                <w:lang w:val="pt-PT"/>
              </w:rPr>
            </w:pPr>
            <w:r w:rsidRPr="00292532">
              <w:rPr>
                <w:rFonts w:ascii="Arial" w:hAnsi="Arial" w:cs="Arial"/>
                <w:b/>
                <w:sz w:val="20"/>
                <w:szCs w:val="20"/>
                <w:lang w:val="pt-PT"/>
              </w:rPr>
              <w:t xml:space="preserve">Estratégia e Plano de </w:t>
            </w:r>
          </w:p>
          <w:p w14:paraId="1D528128" w14:textId="77777777" w:rsidR="00B31AE2" w:rsidRPr="00292532" w:rsidRDefault="00B31AE2" w:rsidP="00B31AE2">
            <w:pPr>
              <w:rPr>
                <w:rFonts w:ascii="Arial" w:hAnsi="Arial" w:cs="Arial"/>
                <w:sz w:val="20"/>
                <w:szCs w:val="20"/>
                <w:lang w:val="pt-PT"/>
              </w:rPr>
            </w:pPr>
            <w:proofErr w:type="spellStart"/>
            <w:r w:rsidRPr="00292532">
              <w:rPr>
                <w:rFonts w:ascii="Arial" w:hAnsi="Arial" w:cs="Arial"/>
                <w:b/>
                <w:sz w:val="20"/>
                <w:szCs w:val="20"/>
                <w:lang w:val="pt-PT"/>
              </w:rPr>
              <w:t>Acção</w:t>
            </w:r>
            <w:proofErr w:type="spellEnd"/>
            <w:r w:rsidRPr="00292532">
              <w:rPr>
                <w:rFonts w:ascii="Arial" w:hAnsi="Arial" w:cs="Arial"/>
                <w:b/>
                <w:sz w:val="20"/>
                <w:szCs w:val="20"/>
                <w:lang w:val="pt-PT"/>
              </w:rPr>
              <w:t xml:space="preserve"> de Segurança Alimentar e Nutricional (2008-2015). </w:t>
            </w:r>
          </w:p>
          <w:p w14:paraId="01318CC3" w14:textId="77777777" w:rsidR="00B31AE2" w:rsidRPr="00292532" w:rsidRDefault="00B31AE2" w:rsidP="00B31AE2">
            <w:pPr>
              <w:rPr>
                <w:rFonts w:ascii="Arial" w:hAnsi="Arial" w:cs="Arial"/>
                <w:sz w:val="20"/>
                <w:szCs w:val="20"/>
                <w:lang w:val="pt-PT"/>
              </w:rPr>
            </w:pPr>
            <w:r w:rsidRPr="00292532">
              <w:rPr>
                <w:rFonts w:ascii="Arial" w:hAnsi="Arial" w:cs="Arial"/>
                <w:sz w:val="20"/>
                <w:szCs w:val="20"/>
                <w:lang w:val="pt-PT"/>
              </w:rPr>
              <w:t xml:space="preserve">Aprovada em </w:t>
            </w:r>
            <w:proofErr w:type="gramStart"/>
            <w:r w:rsidRPr="00292532">
              <w:rPr>
                <w:rFonts w:ascii="Arial" w:hAnsi="Arial" w:cs="Arial"/>
                <w:sz w:val="20"/>
                <w:szCs w:val="20"/>
                <w:lang w:val="pt-PT"/>
              </w:rPr>
              <w:t>Setembro</w:t>
            </w:r>
            <w:proofErr w:type="gramEnd"/>
            <w:r w:rsidRPr="00292532">
              <w:rPr>
                <w:rFonts w:ascii="Arial" w:hAnsi="Arial" w:cs="Arial"/>
                <w:sz w:val="20"/>
                <w:szCs w:val="20"/>
                <w:lang w:val="pt-PT"/>
              </w:rPr>
              <w:t xml:space="preserve"> de </w:t>
            </w:r>
          </w:p>
          <w:p w14:paraId="64F1D547" w14:textId="77777777" w:rsidR="00B31AE2" w:rsidRPr="00292532" w:rsidRDefault="00B31AE2" w:rsidP="00B31AE2">
            <w:pPr>
              <w:rPr>
                <w:rFonts w:ascii="Arial" w:hAnsi="Arial" w:cs="Arial"/>
                <w:sz w:val="20"/>
                <w:szCs w:val="20"/>
                <w:lang w:val="pt-PT"/>
              </w:rPr>
            </w:pPr>
            <w:r w:rsidRPr="00292532">
              <w:rPr>
                <w:rFonts w:ascii="Arial" w:hAnsi="Arial" w:cs="Arial"/>
                <w:sz w:val="20"/>
                <w:szCs w:val="20"/>
                <w:lang w:val="pt-PT"/>
              </w:rPr>
              <w:t xml:space="preserve">2007 </w:t>
            </w:r>
          </w:p>
        </w:tc>
        <w:tc>
          <w:tcPr>
            <w:tcW w:w="6753" w:type="dxa"/>
          </w:tcPr>
          <w:p w14:paraId="2C8FE6BA" w14:textId="77777777" w:rsidR="00B31AE2" w:rsidRPr="00292532" w:rsidRDefault="00B31AE2" w:rsidP="00B31AE2">
            <w:pPr>
              <w:ind w:left="2" w:right="50"/>
              <w:rPr>
                <w:rFonts w:ascii="Arial" w:hAnsi="Arial" w:cs="Arial"/>
                <w:sz w:val="20"/>
                <w:szCs w:val="20"/>
                <w:lang w:val="pt-PT"/>
              </w:rPr>
            </w:pPr>
            <w:r w:rsidRPr="00292532">
              <w:rPr>
                <w:rFonts w:ascii="Arial" w:hAnsi="Arial" w:cs="Arial"/>
                <w:sz w:val="20"/>
                <w:szCs w:val="20"/>
                <w:lang w:val="pt-PT"/>
              </w:rPr>
              <w:t xml:space="preserve">Estabelece os princípios a ser observados e as responsabilidades para se garantir o usufruto do direito humano à alimentação, através do “acesso físico e económico aos alimentos necessários, de modo a que tenham uma vida </w:t>
            </w:r>
            <w:proofErr w:type="spellStart"/>
            <w:r w:rsidRPr="00292532">
              <w:rPr>
                <w:rFonts w:ascii="Arial" w:hAnsi="Arial" w:cs="Arial"/>
                <w:sz w:val="20"/>
                <w:szCs w:val="20"/>
                <w:lang w:val="pt-PT"/>
              </w:rPr>
              <w:t>activa</w:t>
            </w:r>
            <w:proofErr w:type="spellEnd"/>
            <w:r w:rsidRPr="00292532">
              <w:rPr>
                <w:rFonts w:ascii="Arial" w:hAnsi="Arial" w:cs="Arial"/>
                <w:sz w:val="20"/>
                <w:szCs w:val="20"/>
                <w:lang w:val="pt-PT"/>
              </w:rPr>
              <w:t xml:space="preserve"> e saudável”. </w:t>
            </w:r>
          </w:p>
          <w:p w14:paraId="27933C06" w14:textId="77777777" w:rsidR="00B31AE2" w:rsidRPr="00292532" w:rsidRDefault="00B31AE2" w:rsidP="00B31AE2">
            <w:pPr>
              <w:spacing w:after="6"/>
              <w:ind w:left="2" w:right="51"/>
              <w:rPr>
                <w:rFonts w:ascii="Arial" w:hAnsi="Arial" w:cs="Arial"/>
                <w:sz w:val="20"/>
                <w:szCs w:val="20"/>
                <w:lang w:val="pt-PT"/>
              </w:rPr>
            </w:pPr>
            <w:r w:rsidRPr="00292532">
              <w:rPr>
                <w:rFonts w:ascii="Arial" w:hAnsi="Arial" w:cs="Arial"/>
                <w:sz w:val="20"/>
                <w:szCs w:val="20"/>
                <w:lang w:val="pt-PT"/>
              </w:rPr>
              <w:t xml:space="preserve">Tem como referência a Política de Género e Estratégia da sua Implementação. Define a equidade de género como um elemento fundamental na sua própria implementação, envolvendo </w:t>
            </w:r>
            <w:proofErr w:type="spellStart"/>
            <w:r w:rsidRPr="00292532">
              <w:rPr>
                <w:rFonts w:ascii="Arial" w:hAnsi="Arial" w:cs="Arial"/>
                <w:sz w:val="20"/>
                <w:szCs w:val="20"/>
                <w:lang w:val="pt-PT"/>
              </w:rPr>
              <w:t>activamente</w:t>
            </w:r>
            <w:proofErr w:type="spellEnd"/>
            <w:r w:rsidRPr="00292532">
              <w:rPr>
                <w:rFonts w:ascii="Arial" w:hAnsi="Arial" w:cs="Arial"/>
                <w:sz w:val="20"/>
                <w:szCs w:val="20"/>
                <w:lang w:val="pt-PT"/>
              </w:rPr>
              <w:t xml:space="preserve"> a mulher em todas as esferas da mesma. </w:t>
            </w:r>
          </w:p>
        </w:tc>
      </w:tr>
      <w:tr w:rsidR="00B31AE2" w:rsidRPr="004E2EAC" w14:paraId="6E862D98" w14:textId="77777777" w:rsidTr="00B31AE2">
        <w:trPr>
          <w:trHeight w:val="416"/>
        </w:trPr>
        <w:tc>
          <w:tcPr>
            <w:tcW w:w="2263" w:type="dxa"/>
          </w:tcPr>
          <w:p w14:paraId="7EB843EE" w14:textId="77777777" w:rsidR="00B31AE2" w:rsidRPr="00292532" w:rsidRDefault="00B31AE2" w:rsidP="00B31AE2">
            <w:pPr>
              <w:ind w:right="53"/>
              <w:rPr>
                <w:rFonts w:ascii="Arial" w:hAnsi="Arial" w:cs="Arial"/>
                <w:sz w:val="20"/>
                <w:szCs w:val="20"/>
                <w:lang w:val="pt-PT"/>
              </w:rPr>
            </w:pPr>
            <w:r w:rsidRPr="00292532">
              <w:rPr>
                <w:rFonts w:ascii="Arial" w:hAnsi="Arial" w:cs="Arial"/>
                <w:b/>
                <w:sz w:val="20"/>
                <w:szCs w:val="20"/>
                <w:lang w:val="pt-PT"/>
              </w:rPr>
              <w:t xml:space="preserve">Estratégia de Inclusão da Igualdade de Género do Sector da Saúde. </w:t>
            </w:r>
            <w:r w:rsidRPr="00292532">
              <w:rPr>
                <w:rFonts w:ascii="Arial" w:hAnsi="Arial" w:cs="Arial"/>
                <w:sz w:val="20"/>
                <w:szCs w:val="20"/>
                <w:lang w:val="pt-PT"/>
              </w:rPr>
              <w:t xml:space="preserve">Aprovada em </w:t>
            </w:r>
            <w:proofErr w:type="gramStart"/>
            <w:r w:rsidRPr="00292532">
              <w:rPr>
                <w:rFonts w:ascii="Arial" w:hAnsi="Arial" w:cs="Arial"/>
                <w:sz w:val="20"/>
                <w:szCs w:val="20"/>
                <w:lang w:val="pt-PT"/>
              </w:rPr>
              <w:t>Janeiro</w:t>
            </w:r>
            <w:proofErr w:type="gramEnd"/>
            <w:r w:rsidRPr="00292532">
              <w:rPr>
                <w:rFonts w:ascii="Arial" w:hAnsi="Arial" w:cs="Arial"/>
                <w:sz w:val="20"/>
                <w:szCs w:val="20"/>
                <w:lang w:val="pt-PT"/>
              </w:rPr>
              <w:t xml:space="preserve"> de </w:t>
            </w:r>
          </w:p>
          <w:p w14:paraId="7E1309D4" w14:textId="77777777" w:rsidR="00B31AE2" w:rsidRPr="00292532" w:rsidRDefault="00B31AE2" w:rsidP="00B31AE2">
            <w:pPr>
              <w:rPr>
                <w:rFonts w:ascii="Arial" w:hAnsi="Arial" w:cs="Arial"/>
                <w:sz w:val="20"/>
                <w:szCs w:val="20"/>
                <w:lang w:val="pt-PT"/>
              </w:rPr>
            </w:pPr>
            <w:r w:rsidRPr="00292532">
              <w:rPr>
                <w:rFonts w:ascii="Arial" w:hAnsi="Arial" w:cs="Arial"/>
                <w:sz w:val="20"/>
                <w:szCs w:val="20"/>
                <w:lang w:val="pt-PT"/>
              </w:rPr>
              <w:t xml:space="preserve">2009 </w:t>
            </w:r>
          </w:p>
        </w:tc>
        <w:tc>
          <w:tcPr>
            <w:tcW w:w="6753" w:type="dxa"/>
          </w:tcPr>
          <w:p w14:paraId="3B6CFA55" w14:textId="77777777" w:rsidR="00B31AE2" w:rsidRPr="00292532" w:rsidRDefault="00B31AE2" w:rsidP="00B31AE2">
            <w:pPr>
              <w:ind w:left="2" w:right="49"/>
              <w:rPr>
                <w:rFonts w:ascii="Arial" w:hAnsi="Arial" w:cs="Arial"/>
                <w:sz w:val="20"/>
                <w:szCs w:val="20"/>
                <w:lang w:val="pt-PT"/>
              </w:rPr>
            </w:pPr>
            <w:r w:rsidRPr="00292532">
              <w:rPr>
                <w:rFonts w:ascii="Arial" w:hAnsi="Arial" w:cs="Arial"/>
                <w:sz w:val="20"/>
                <w:szCs w:val="20"/>
                <w:lang w:val="pt-PT"/>
              </w:rPr>
              <w:t xml:space="preserve">Visa reduzir a desigualdade e garantir o princípio de igualdade de acesso e uso dos Serviços de Saúde por ambos os sexos. A estratégia reconhece a existência de disparidades de género na Saúde que se devem à pobreza e analfabetismo presente em grande percentagem na mulher ‟e às relações de poder desiguais entre mulheres e homens, o que coloca a mulher na situação de falta de poder de decisão sobre o seu corpo e a sua saúde ‟.  </w:t>
            </w:r>
          </w:p>
          <w:p w14:paraId="5ECC7382" w14:textId="77777777" w:rsidR="00B31AE2" w:rsidRPr="00292532" w:rsidRDefault="00B31AE2" w:rsidP="00B31AE2">
            <w:pPr>
              <w:spacing w:after="1"/>
              <w:ind w:left="2" w:right="51"/>
              <w:rPr>
                <w:rFonts w:ascii="Arial" w:hAnsi="Arial" w:cs="Arial"/>
                <w:sz w:val="20"/>
                <w:szCs w:val="20"/>
                <w:lang w:val="pt-PT"/>
              </w:rPr>
            </w:pPr>
            <w:r w:rsidRPr="00292532">
              <w:rPr>
                <w:rFonts w:ascii="Arial" w:hAnsi="Arial" w:cs="Arial"/>
                <w:sz w:val="20"/>
                <w:szCs w:val="20"/>
                <w:lang w:val="pt-PT"/>
              </w:rPr>
              <w:t>A estratégia faz análises de género das áreas prioritárias definidas para implementação da estratégia. Estas incluem (i) o desenvolvimento institucional (incluindo o papel dos pontos focais de género); (</w:t>
            </w:r>
            <w:proofErr w:type="spellStart"/>
            <w:r w:rsidRPr="00292532">
              <w:rPr>
                <w:rFonts w:ascii="Arial" w:hAnsi="Arial" w:cs="Arial"/>
                <w:sz w:val="20"/>
                <w:szCs w:val="20"/>
                <w:lang w:val="pt-PT"/>
              </w:rPr>
              <w:t>ii</w:t>
            </w:r>
            <w:proofErr w:type="spellEnd"/>
            <w:r w:rsidRPr="00292532">
              <w:rPr>
                <w:rFonts w:ascii="Arial" w:hAnsi="Arial" w:cs="Arial"/>
                <w:sz w:val="20"/>
                <w:szCs w:val="20"/>
                <w:lang w:val="pt-PT"/>
              </w:rPr>
              <w:t>) o desenvolvimento de recursos humanos (incluindo estratégias para garantir a paridade no número de profissionais do sector); (</w:t>
            </w:r>
            <w:proofErr w:type="spellStart"/>
            <w:r w:rsidRPr="00292532">
              <w:rPr>
                <w:rFonts w:ascii="Arial" w:hAnsi="Arial" w:cs="Arial"/>
                <w:sz w:val="20"/>
                <w:szCs w:val="20"/>
                <w:lang w:val="pt-PT"/>
              </w:rPr>
              <w:t>iii</w:t>
            </w:r>
            <w:proofErr w:type="spellEnd"/>
            <w:r w:rsidRPr="00292532">
              <w:rPr>
                <w:rFonts w:ascii="Arial" w:hAnsi="Arial" w:cs="Arial"/>
                <w:sz w:val="20"/>
                <w:szCs w:val="20"/>
                <w:lang w:val="pt-PT"/>
              </w:rPr>
              <w:t>) Saúde sexual e reprodutiva (incluindo estratégia para envolvimento dos homens); (</w:t>
            </w:r>
            <w:proofErr w:type="spellStart"/>
            <w:r w:rsidRPr="00292532">
              <w:rPr>
                <w:rFonts w:ascii="Arial" w:hAnsi="Arial" w:cs="Arial"/>
                <w:sz w:val="20"/>
                <w:szCs w:val="20"/>
                <w:lang w:val="pt-PT"/>
              </w:rPr>
              <w:t>iv</w:t>
            </w:r>
            <w:proofErr w:type="spellEnd"/>
            <w:r w:rsidRPr="00292532">
              <w:rPr>
                <w:rFonts w:ascii="Arial" w:hAnsi="Arial" w:cs="Arial"/>
                <w:sz w:val="20"/>
                <w:szCs w:val="20"/>
                <w:lang w:val="pt-PT"/>
              </w:rPr>
              <w:t xml:space="preserve">) Violência baseada no género, etc.  </w:t>
            </w:r>
          </w:p>
          <w:p w14:paraId="647819E4" w14:textId="77777777" w:rsidR="00B31AE2" w:rsidRPr="00292532" w:rsidRDefault="00B31AE2" w:rsidP="00B31AE2">
            <w:pPr>
              <w:ind w:left="2" w:right="51"/>
              <w:rPr>
                <w:rFonts w:ascii="Arial" w:hAnsi="Arial" w:cs="Arial"/>
                <w:sz w:val="20"/>
                <w:szCs w:val="20"/>
                <w:lang w:val="pt-PT"/>
              </w:rPr>
            </w:pPr>
            <w:r w:rsidRPr="00292532">
              <w:rPr>
                <w:rFonts w:ascii="Arial" w:hAnsi="Arial" w:cs="Arial"/>
                <w:sz w:val="20"/>
                <w:szCs w:val="20"/>
                <w:lang w:val="pt-PT"/>
              </w:rPr>
              <w:t xml:space="preserve">A estratégia define claramente as doenças ou situações que </w:t>
            </w:r>
            <w:proofErr w:type="spellStart"/>
            <w:r w:rsidRPr="00292532">
              <w:rPr>
                <w:rFonts w:ascii="Arial" w:hAnsi="Arial" w:cs="Arial"/>
                <w:sz w:val="20"/>
                <w:szCs w:val="20"/>
                <w:lang w:val="pt-PT"/>
              </w:rPr>
              <w:t>afectam</w:t>
            </w:r>
            <w:proofErr w:type="spellEnd"/>
            <w:r w:rsidRPr="00292532">
              <w:rPr>
                <w:rFonts w:ascii="Arial" w:hAnsi="Arial" w:cs="Arial"/>
                <w:sz w:val="20"/>
                <w:szCs w:val="20"/>
                <w:lang w:val="pt-PT"/>
              </w:rPr>
              <w:t xml:space="preserve"> mais a mulheres (violência baseada no género e desumanização dos serviços que </w:t>
            </w:r>
            <w:proofErr w:type="spellStart"/>
            <w:r w:rsidRPr="00292532">
              <w:rPr>
                <w:rFonts w:ascii="Arial" w:hAnsi="Arial" w:cs="Arial"/>
                <w:sz w:val="20"/>
                <w:szCs w:val="20"/>
                <w:lang w:val="pt-PT"/>
              </w:rPr>
              <w:t>afecta</w:t>
            </w:r>
            <w:proofErr w:type="spellEnd"/>
            <w:r w:rsidRPr="00292532">
              <w:rPr>
                <w:rFonts w:ascii="Arial" w:hAnsi="Arial" w:cs="Arial"/>
                <w:sz w:val="20"/>
                <w:szCs w:val="20"/>
                <w:lang w:val="pt-PT"/>
              </w:rPr>
              <w:t xml:space="preserve"> especialmente as mulheres nos serviços de maternidade e interrupção das gravidezes) e as que </w:t>
            </w:r>
            <w:proofErr w:type="spellStart"/>
            <w:r w:rsidRPr="00292532">
              <w:rPr>
                <w:rFonts w:ascii="Arial" w:hAnsi="Arial" w:cs="Arial"/>
                <w:sz w:val="20"/>
                <w:szCs w:val="20"/>
                <w:lang w:val="pt-PT"/>
              </w:rPr>
              <w:t>afectam</w:t>
            </w:r>
            <w:proofErr w:type="spellEnd"/>
            <w:r w:rsidRPr="00292532">
              <w:rPr>
                <w:rFonts w:ascii="Arial" w:hAnsi="Arial" w:cs="Arial"/>
                <w:sz w:val="20"/>
                <w:szCs w:val="20"/>
                <w:lang w:val="pt-PT"/>
              </w:rPr>
              <w:t xml:space="preserve"> mais a homens (acidentes de viação e no trabalho) e faz análises de género das mesmas e identifica </w:t>
            </w:r>
            <w:proofErr w:type="spellStart"/>
            <w:r w:rsidRPr="00292532">
              <w:rPr>
                <w:rFonts w:ascii="Arial" w:hAnsi="Arial" w:cs="Arial"/>
                <w:sz w:val="20"/>
                <w:szCs w:val="20"/>
                <w:lang w:val="pt-PT"/>
              </w:rPr>
              <w:t>acções</w:t>
            </w:r>
            <w:proofErr w:type="spellEnd"/>
            <w:r w:rsidRPr="00292532">
              <w:rPr>
                <w:rFonts w:ascii="Arial" w:hAnsi="Arial" w:cs="Arial"/>
                <w:sz w:val="20"/>
                <w:szCs w:val="20"/>
                <w:lang w:val="pt-PT"/>
              </w:rPr>
              <w:t xml:space="preserve"> para abordá-las garantindo a equidade. </w:t>
            </w:r>
          </w:p>
        </w:tc>
      </w:tr>
      <w:tr w:rsidR="00B31AE2" w:rsidRPr="004E2EAC" w14:paraId="5C15A9E0" w14:textId="77777777" w:rsidTr="00B31AE2">
        <w:tc>
          <w:tcPr>
            <w:tcW w:w="2263" w:type="dxa"/>
            <w:tcBorders>
              <w:top w:val="single" w:sz="4" w:space="0" w:color="000000"/>
              <w:left w:val="single" w:sz="4" w:space="0" w:color="000000"/>
              <w:bottom w:val="single" w:sz="4" w:space="0" w:color="000000"/>
              <w:right w:val="single" w:sz="4" w:space="0" w:color="000000"/>
            </w:tcBorders>
          </w:tcPr>
          <w:p w14:paraId="2C902465" w14:textId="77777777" w:rsidR="00B31AE2" w:rsidRPr="00292532" w:rsidRDefault="00B31AE2" w:rsidP="00B31AE2">
            <w:pPr>
              <w:rPr>
                <w:rFonts w:ascii="Arial" w:hAnsi="Arial" w:cs="Arial"/>
                <w:sz w:val="20"/>
                <w:szCs w:val="20"/>
                <w:lang w:val="pt-PT"/>
              </w:rPr>
            </w:pPr>
            <w:r w:rsidRPr="00292532">
              <w:rPr>
                <w:rFonts w:ascii="Arial" w:hAnsi="Arial" w:cs="Arial"/>
                <w:b/>
                <w:sz w:val="20"/>
                <w:szCs w:val="20"/>
                <w:lang w:val="pt-PT"/>
              </w:rPr>
              <w:lastRenderedPageBreak/>
              <w:t>Plano Nacional para o Avanço da Mulher 2010 – 2014.</w:t>
            </w:r>
            <w:r w:rsidRPr="00292532">
              <w:rPr>
                <w:rFonts w:ascii="Arial" w:hAnsi="Arial" w:cs="Arial"/>
                <w:sz w:val="20"/>
                <w:szCs w:val="20"/>
                <w:lang w:val="pt-PT"/>
              </w:rPr>
              <w:t xml:space="preserve"> </w:t>
            </w:r>
          </w:p>
        </w:tc>
        <w:tc>
          <w:tcPr>
            <w:tcW w:w="6753" w:type="dxa"/>
            <w:tcBorders>
              <w:top w:val="single" w:sz="4" w:space="0" w:color="000000"/>
              <w:left w:val="single" w:sz="4" w:space="0" w:color="000000"/>
              <w:bottom w:val="single" w:sz="4" w:space="0" w:color="000000"/>
              <w:right w:val="single" w:sz="4" w:space="0" w:color="000000"/>
            </w:tcBorders>
          </w:tcPr>
          <w:p w14:paraId="30D0FA0E" w14:textId="77777777" w:rsidR="00B31AE2" w:rsidRPr="00292532" w:rsidRDefault="00B31AE2" w:rsidP="00B31AE2">
            <w:pPr>
              <w:rPr>
                <w:rFonts w:ascii="Arial" w:hAnsi="Arial" w:cs="Arial"/>
                <w:sz w:val="20"/>
                <w:szCs w:val="20"/>
                <w:lang w:val="pt-PT"/>
              </w:rPr>
            </w:pPr>
            <w:r w:rsidRPr="00292532">
              <w:rPr>
                <w:rFonts w:ascii="Arial" w:hAnsi="Arial" w:cs="Arial"/>
                <w:sz w:val="20"/>
                <w:szCs w:val="20"/>
                <w:lang w:val="pt-PT"/>
              </w:rPr>
              <w:t xml:space="preserve">Coordenado pelo Conselho Nacional para o Avanço da Mulher, tem a responsabilidade de coordenar e acompanhar a implementação das políticas e programas no âmbito da equidade de género, aprovados pelo Governo. As áreas estratégicas do Plano são: Pobreza e emprego; Saúde e HIV/SIDA; Educação e Formação das raparigas; Direitos das mulheres e violência; Poder e presença nos organismos de tomada de decisão; Meio ambiente e agricultura; Mecanismos institucionais para o Avanço da Mulher. </w:t>
            </w:r>
          </w:p>
        </w:tc>
      </w:tr>
      <w:tr w:rsidR="00B31AE2" w:rsidRPr="004E2EAC" w14:paraId="31E39E9C" w14:textId="77777777" w:rsidTr="00B31AE2">
        <w:tc>
          <w:tcPr>
            <w:tcW w:w="2263" w:type="dxa"/>
          </w:tcPr>
          <w:p w14:paraId="4622D875" w14:textId="77777777" w:rsidR="00B31AE2" w:rsidRPr="00292532" w:rsidRDefault="00B31AE2" w:rsidP="00B31AE2">
            <w:pPr>
              <w:spacing w:after="1"/>
              <w:rPr>
                <w:rFonts w:ascii="Arial" w:hAnsi="Arial" w:cs="Arial"/>
                <w:sz w:val="20"/>
                <w:szCs w:val="20"/>
                <w:lang w:val="pt-PT"/>
              </w:rPr>
            </w:pPr>
            <w:r w:rsidRPr="00292532">
              <w:rPr>
                <w:rFonts w:ascii="Arial" w:hAnsi="Arial" w:cs="Arial"/>
                <w:b/>
                <w:sz w:val="20"/>
                <w:szCs w:val="20"/>
                <w:lang w:val="pt-PT"/>
              </w:rPr>
              <w:t>Estratégia Nacional de Prevenção e Eliminação dos Casamentos Prematuros em Moçambique (2015-</w:t>
            </w:r>
          </w:p>
          <w:p w14:paraId="41D6D16D" w14:textId="77777777" w:rsidR="00B31AE2" w:rsidRPr="00292532" w:rsidRDefault="00B31AE2" w:rsidP="00B31AE2">
            <w:pPr>
              <w:rPr>
                <w:rFonts w:ascii="Arial" w:hAnsi="Arial" w:cs="Arial"/>
                <w:sz w:val="20"/>
                <w:szCs w:val="20"/>
                <w:lang w:val="pt-PT"/>
              </w:rPr>
            </w:pPr>
            <w:r w:rsidRPr="00292532">
              <w:rPr>
                <w:rFonts w:ascii="Arial" w:hAnsi="Arial" w:cs="Arial"/>
                <w:b/>
                <w:sz w:val="20"/>
                <w:szCs w:val="20"/>
                <w:lang w:val="pt-PT"/>
              </w:rPr>
              <w:t xml:space="preserve">2019). </w:t>
            </w:r>
          </w:p>
          <w:p w14:paraId="692D2307" w14:textId="77777777" w:rsidR="00B31AE2" w:rsidRPr="00292532" w:rsidRDefault="00B31AE2" w:rsidP="00B31AE2">
            <w:pPr>
              <w:rPr>
                <w:rFonts w:ascii="Arial" w:hAnsi="Arial" w:cs="Arial"/>
                <w:b/>
                <w:sz w:val="20"/>
                <w:szCs w:val="20"/>
                <w:lang w:val="pt-PT"/>
              </w:rPr>
            </w:pPr>
            <w:r w:rsidRPr="00292532">
              <w:rPr>
                <w:rFonts w:ascii="Arial" w:hAnsi="Arial" w:cs="Arial"/>
                <w:sz w:val="20"/>
                <w:szCs w:val="20"/>
                <w:lang w:val="pt-PT"/>
              </w:rPr>
              <w:t xml:space="preserve">Aprovada em </w:t>
            </w:r>
            <w:proofErr w:type="gramStart"/>
            <w:r w:rsidRPr="00292532">
              <w:rPr>
                <w:rFonts w:ascii="Arial" w:hAnsi="Arial" w:cs="Arial"/>
                <w:sz w:val="20"/>
                <w:szCs w:val="20"/>
                <w:lang w:val="pt-PT"/>
              </w:rPr>
              <w:t>Dezembro</w:t>
            </w:r>
            <w:proofErr w:type="gramEnd"/>
            <w:r w:rsidRPr="00292532">
              <w:rPr>
                <w:rFonts w:ascii="Arial" w:hAnsi="Arial" w:cs="Arial"/>
                <w:sz w:val="20"/>
                <w:szCs w:val="20"/>
                <w:lang w:val="pt-PT"/>
              </w:rPr>
              <w:t xml:space="preserve"> de 2015 </w:t>
            </w:r>
          </w:p>
        </w:tc>
        <w:tc>
          <w:tcPr>
            <w:tcW w:w="6753" w:type="dxa"/>
          </w:tcPr>
          <w:p w14:paraId="03A5BAFC" w14:textId="77777777" w:rsidR="00B31AE2" w:rsidRPr="00292532" w:rsidRDefault="00B31AE2" w:rsidP="00B31AE2">
            <w:pPr>
              <w:ind w:left="2" w:right="50"/>
              <w:rPr>
                <w:rFonts w:ascii="Arial" w:hAnsi="Arial" w:cs="Arial"/>
                <w:sz w:val="20"/>
                <w:szCs w:val="20"/>
                <w:lang w:val="pt-PT"/>
              </w:rPr>
            </w:pPr>
            <w:r w:rsidRPr="00292532">
              <w:rPr>
                <w:rFonts w:ascii="Arial" w:hAnsi="Arial" w:cs="Arial"/>
                <w:sz w:val="20"/>
                <w:szCs w:val="20"/>
                <w:lang w:val="pt-PT"/>
              </w:rPr>
              <w:t xml:space="preserve">Visa a criação de mecanismos multissectoriais ao nível local e nacional, conducentes à redução e eliminação dos casamentos prematuros. Define estratégias interligadas para alcançar os seus </w:t>
            </w:r>
            <w:proofErr w:type="spellStart"/>
            <w:r w:rsidRPr="00292532">
              <w:rPr>
                <w:rFonts w:ascii="Arial" w:hAnsi="Arial" w:cs="Arial"/>
                <w:sz w:val="20"/>
                <w:szCs w:val="20"/>
                <w:lang w:val="pt-PT"/>
              </w:rPr>
              <w:t>objectivos</w:t>
            </w:r>
            <w:proofErr w:type="spellEnd"/>
            <w:r w:rsidRPr="00292532">
              <w:rPr>
                <w:rFonts w:ascii="Arial" w:hAnsi="Arial" w:cs="Arial"/>
                <w:sz w:val="20"/>
                <w:szCs w:val="20"/>
                <w:lang w:val="pt-PT"/>
              </w:rPr>
              <w:t xml:space="preserve">, incluindo estratégias de comunicação e mobilização social para poder envolver as famílias e comunidades na prevenção dos casamentos prematuros; traça também estratégias para aumentar o acesso das crianças de sexo feminino à educação de qualidade e sua retenção; defende o empoderamento das crianças do sexo feminino em termos económicos e acesso a redes de </w:t>
            </w:r>
            <w:proofErr w:type="spellStart"/>
            <w:r w:rsidRPr="00292532">
              <w:rPr>
                <w:rFonts w:ascii="Arial" w:hAnsi="Arial" w:cs="Arial"/>
                <w:sz w:val="20"/>
                <w:szCs w:val="20"/>
                <w:lang w:val="pt-PT"/>
              </w:rPr>
              <w:t>protecção</w:t>
            </w:r>
            <w:proofErr w:type="spellEnd"/>
            <w:r w:rsidRPr="00292532">
              <w:rPr>
                <w:rFonts w:ascii="Arial" w:hAnsi="Arial" w:cs="Arial"/>
                <w:sz w:val="20"/>
                <w:szCs w:val="20"/>
                <w:lang w:val="pt-PT"/>
              </w:rPr>
              <w:t xml:space="preserve"> de apoio.  </w:t>
            </w:r>
          </w:p>
          <w:p w14:paraId="0802F732" w14:textId="77777777" w:rsidR="00B31AE2" w:rsidRPr="00292532" w:rsidRDefault="00B31AE2" w:rsidP="00B31AE2">
            <w:pPr>
              <w:spacing w:after="1"/>
              <w:ind w:left="2" w:right="56"/>
              <w:rPr>
                <w:rFonts w:ascii="Arial" w:hAnsi="Arial" w:cs="Arial"/>
                <w:sz w:val="20"/>
                <w:szCs w:val="20"/>
                <w:lang w:val="pt-PT"/>
              </w:rPr>
            </w:pPr>
            <w:r w:rsidRPr="00292532">
              <w:rPr>
                <w:rFonts w:ascii="Arial" w:hAnsi="Arial" w:cs="Arial"/>
                <w:sz w:val="20"/>
                <w:szCs w:val="20"/>
                <w:lang w:val="pt-PT"/>
              </w:rPr>
              <w:t xml:space="preserve">Estabelece medidas para envolvimento de todas partes interessadas na prevenção e eliminação dos casamentos prematuros, nomeadamente as famílias, comunidades (líderes comunitários, matronas, autoridades tradicionais, mestres de ritos de iniciação, etc.), Governo, sociedade civil. </w:t>
            </w:r>
          </w:p>
          <w:p w14:paraId="74D1DBA1" w14:textId="77777777" w:rsidR="00B31AE2" w:rsidRPr="00292532" w:rsidRDefault="00B31AE2" w:rsidP="00B31AE2">
            <w:pPr>
              <w:rPr>
                <w:rFonts w:ascii="Arial" w:hAnsi="Arial" w:cs="Arial"/>
                <w:sz w:val="20"/>
                <w:szCs w:val="20"/>
                <w:lang w:val="pt-PT"/>
              </w:rPr>
            </w:pPr>
            <w:r w:rsidRPr="00292532">
              <w:rPr>
                <w:rFonts w:ascii="Arial" w:hAnsi="Arial" w:cs="Arial"/>
                <w:sz w:val="20"/>
                <w:szCs w:val="20"/>
                <w:lang w:val="pt-PT"/>
              </w:rPr>
              <w:t xml:space="preserve">A estratégia prevê </w:t>
            </w:r>
            <w:proofErr w:type="spellStart"/>
            <w:r w:rsidRPr="00292532">
              <w:rPr>
                <w:rFonts w:ascii="Arial" w:hAnsi="Arial" w:cs="Arial"/>
                <w:sz w:val="20"/>
                <w:szCs w:val="20"/>
                <w:lang w:val="pt-PT"/>
              </w:rPr>
              <w:t>acções</w:t>
            </w:r>
            <w:proofErr w:type="spellEnd"/>
            <w:r w:rsidRPr="00292532">
              <w:rPr>
                <w:rFonts w:ascii="Arial" w:hAnsi="Arial" w:cs="Arial"/>
                <w:sz w:val="20"/>
                <w:szCs w:val="20"/>
                <w:lang w:val="pt-PT"/>
              </w:rPr>
              <w:t xml:space="preserve"> para desafiar a desigualdade de género subjacente aos casamentos prematuros e a participação dos homens na prevenção mesmo através de uma linha estratégica que inclua „desafiar, as normas sociais sobre o casamento prematuro ‟. A estratégia prevê que os recursos para sua implementação provenham do Plano Económico Social.  </w:t>
            </w:r>
          </w:p>
        </w:tc>
      </w:tr>
      <w:tr w:rsidR="00B31AE2" w:rsidRPr="004E2EAC" w14:paraId="530A84EE" w14:textId="77777777" w:rsidTr="00B31AE2">
        <w:tc>
          <w:tcPr>
            <w:tcW w:w="2263" w:type="dxa"/>
          </w:tcPr>
          <w:p w14:paraId="0448888A" w14:textId="77777777" w:rsidR="00B31AE2" w:rsidRPr="00292532" w:rsidRDefault="00B31AE2" w:rsidP="00B31AE2">
            <w:pPr>
              <w:rPr>
                <w:rFonts w:ascii="Arial" w:hAnsi="Arial" w:cs="Arial"/>
                <w:sz w:val="20"/>
                <w:szCs w:val="20"/>
                <w:lang w:val="pt-PT"/>
              </w:rPr>
            </w:pPr>
            <w:r w:rsidRPr="00292532">
              <w:rPr>
                <w:rFonts w:ascii="Arial" w:hAnsi="Arial" w:cs="Arial"/>
                <w:b/>
                <w:sz w:val="20"/>
                <w:szCs w:val="20"/>
                <w:lang w:val="pt-PT"/>
              </w:rPr>
              <w:t xml:space="preserve">Estratégia de Género do Sector da Educação e Desenvolvimento </w:t>
            </w:r>
          </w:p>
          <w:p w14:paraId="6DAABCA5" w14:textId="77777777" w:rsidR="00B31AE2" w:rsidRPr="00292532" w:rsidRDefault="00B31AE2" w:rsidP="00B31AE2">
            <w:pPr>
              <w:rPr>
                <w:rFonts w:ascii="Arial" w:hAnsi="Arial" w:cs="Arial"/>
                <w:sz w:val="20"/>
                <w:szCs w:val="20"/>
                <w:lang w:val="pt-PT"/>
              </w:rPr>
            </w:pPr>
            <w:r w:rsidRPr="00292532">
              <w:rPr>
                <w:rFonts w:ascii="Arial" w:hAnsi="Arial" w:cs="Arial"/>
                <w:b/>
                <w:sz w:val="20"/>
                <w:szCs w:val="20"/>
                <w:lang w:val="pt-PT"/>
              </w:rPr>
              <w:t>Humano (2016-2020).</w:t>
            </w:r>
          </w:p>
          <w:p w14:paraId="4A13EDB8" w14:textId="77777777" w:rsidR="00B31AE2" w:rsidRPr="00292532" w:rsidRDefault="00B31AE2" w:rsidP="00B31AE2">
            <w:pPr>
              <w:rPr>
                <w:rFonts w:ascii="Arial" w:hAnsi="Arial" w:cs="Arial"/>
                <w:b/>
                <w:sz w:val="20"/>
                <w:szCs w:val="20"/>
                <w:lang w:val="pt-PT"/>
              </w:rPr>
            </w:pPr>
            <w:r w:rsidRPr="00292532">
              <w:rPr>
                <w:rFonts w:ascii="Arial" w:hAnsi="Arial" w:cs="Arial"/>
                <w:sz w:val="20"/>
                <w:szCs w:val="20"/>
                <w:lang w:val="pt-PT"/>
              </w:rPr>
              <w:t xml:space="preserve"> </w:t>
            </w:r>
          </w:p>
        </w:tc>
        <w:tc>
          <w:tcPr>
            <w:tcW w:w="6753" w:type="dxa"/>
          </w:tcPr>
          <w:p w14:paraId="79937558" w14:textId="77777777" w:rsidR="00B31AE2" w:rsidRPr="00292532" w:rsidRDefault="00B31AE2" w:rsidP="00B31AE2">
            <w:pPr>
              <w:ind w:left="2" w:right="51"/>
              <w:rPr>
                <w:rFonts w:ascii="Arial" w:hAnsi="Arial" w:cs="Arial"/>
                <w:sz w:val="20"/>
                <w:szCs w:val="20"/>
                <w:lang w:val="pt-PT"/>
              </w:rPr>
            </w:pPr>
            <w:r w:rsidRPr="00292532">
              <w:rPr>
                <w:rFonts w:ascii="Arial" w:hAnsi="Arial" w:cs="Arial"/>
                <w:sz w:val="20"/>
                <w:szCs w:val="20"/>
                <w:lang w:val="pt-PT"/>
              </w:rPr>
              <w:t xml:space="preserve">Tem como </w:t>
            </w:r>
            <w:proofErr w:type="spellStart"/>
            <w:r w:rsidRPr="00292532">
              <w:rPr>
                <w:rFonts w:ascii="Arial" w:hAnsi="Arial" w:cs="Arial"/>
                <w:sz w:val="20"/>
                <w:szCs w:val="20"/>
                <w:lang w:val="pt-PT"/>
              </w:rPr>
              <w:t>objectivo</w:t>
            </w:r>
            <w:proofErr w:type="spellEnd"/>
            <w:r w:rsidRPr="00292532">
              <w:rPr>
                <w:rFonts w:ascii="Arial" w:hAnsi="Arial" w:cs="Arial"/>
                <w:sz w:val="20"/>
                <w:szCs w:val="20"/>
                <w:lang w:val="pt-PT"/>
              </w:rPr>
              <w:t xml:space="preserve"> geral promover a igualdade de direitos e oportunidades para crianças, jovens e adultos de ambos os sexos no acesso à educação de qualidade e aos seus benefícios. </w:t>
            </w:r>
          </w:p>
          <w:p w14:paraId="2909B871" w14:textId="77777777" w:rsidR="00B31AE2" w:rsidRPr="00292532" w:rsidRDefault="00B31AE2" w:rsidP="00B31AE2">
            <w:pPr>
              <w:ind w:left="2" w:right="51"/>
              <w:rPr>
                <w:rFonts w:ascii="Arial" w:hAnsi="Arial" w:cs="Arial"/>
                <w:sz w:val="20"/>
                <w:szCs w:val="20"/>
                <w:lang w:val="pt-PT"/>
              </w:rPr>
            </w:pPr>
            <w:r w:rsidRPr="00292532">
              <w:rPr>
                <w:rFonts w:ascii="Arial" w:hAnsi="Arial" w:cs="Arial"/>
                <w:sz w:val="20"/>
                <w:szCs w:val="20"/>
                <w:lang w:val="pt-PT"/>
              </w:rPr>
              <w:t xml:space="preserve">Identifica claramente os </w:t>
            </w:r>
            <w:proofErr w:type="spellStart"/>
            <w:r w:rsidRPr="00292532">
              <w:rPr>
                <w:rFonts w:ascii="Arial" w:hAnsi="Arial" w:cs="Arial"/>
                <w:sz w:val="20"/>
                <w:szCs w:val="20"/>
                <w:lang w:val="pt-PT"/>
              </w:rPr>
              <w:t>factores</w:t>
            </w:r>
            <w:proofErr w:type="spellEnd"/>
            <w:r w:rsidRPr="00292532">
              <w:rPr>
                <w:rFonts w:ascii="Arial" w:hAnsi="Arial" w:cs="Arial"/>
                <w:sz w:val="20"/>
                <w:szCs w:val="20"/>
                <w:lang w:val="pt-PT"/>
              </w:rPr>
              <w:t xml:space="preserve"> de desigualdade de género no Sector da Educação. Desde o ponto de vista da procura (por exemplo a pobreza generalizada, a sobrecarga de trabalho das raparigas, os ritos de iniciação, casamentos e gravidezes precoces, etc.) da oferta (por exemplo: expansão da rede escolar, qualidade da educação, qualidade de professores e presença de professoras, mecanismos ineficazes de resposta ao assédio e abuso sexual das raparigas, etc.). </w:t>
            </w:r>
          </w:p>
          <w:p w14:paraId="74F58A1C" w14:textId="77777777" w:rsidR="00B31AE2" w:rsidRPr="00292532" w:rsidRDefault="00B31AE2" w:rsidP="00B31AE2">
            <w:pPr>
              <w:ind w:left="2"/>
              <w:rPr>
                <w:rFonts w:ascii="Arial" w:hAnsi="Arial" w:cs="Arial"/>
                <w:sz w:val="20"/>
                <w:szCs w:val="20"/>
                <w:lang w:val="pt-PT"/>
              </w:rPr>
            </w:pPr>
            <w:r w:rsidRPr="00292532">
              <w:rPr>
                <w:rFonts w:ascii="Arial" w:hAnsi="Arial" w:cs="Arial"/>
                <w:sz w:val="20"/>
                <w:szCs w:val="20"/>
                <w:lang w:val="pt-PT"/>
              </w:rPr>
              <w:t xml:space="preserve">A estratégia define os seguintes </w:t>
            </w:r>
            <w:proofErr w:type="spellStart"/>
            <w:r w:rsidRPr="00292532">
              <w:rPr>
                <w:rFonts w:ascii="Arial" w:hAnsi="Arial" w:cs="Arial"/>
                <w:sz w:val="20"/>
                <w:szCs w:val="20"/>
                <w:lang w:val="pt-PT"/>
              </w:rPr>
              <w:t>objectivos</w:t>
            </w:r>
            <w:proofErr w:type="spellEnd"/>
            <w:r w:rsidRPr="00292532">
              <w:rPr>
                <w:rFonts w:ascii="Arial" w:hAnsi="Arial" w:cs="Arial"/>
                <w:sz w:val="20"/>
                <w:szCs w:val="20"/>
                <w:lang w:val="pt-PT"/>
              </w:rPr>
              <w:t xml:space="preserve"> estratégicos: </w:t>
            </w:r>
          </w:p>
          <w:p w14:paraId="0AC043D2" w14:textId="77777777" w:rsidR="00B31AE2" w:rsidRPr="00292532" w:rsidRDefault="00B31AE2" w:rsidP="00AE14AE">
            <w:pPr>
              <w:numPr>
                <w:ilvl w:val="0"/>
                <w:numId w:val="161"/>
              </w:numPr>
              <w:ind w:hanging="283"/>
              <w:rPr>
                <w:rFonts w:ascii="Arial" w:hAnsi="Arial" w:cs="Arial"/>
                <w:sz w:val="20"/>
                <w:szCs w:val="20"/>
                <w:lang w:val="pt-PT"/>
              </w:rPr>
            </w:pPr>
            <w:r w:rsidRPr="00292532">
              <w:rPr>
                <w:rFonts w:ascii="Arial" w:hAnsi="Arial" w:cs="Arial"/>
                <w:sz w:val="20"/>
                <w:szCs w:val="20"/>
                <w:lang w:val="pt-PT"/>
              </w:rPr>
              <w:t xml:space="preserve">Eliminar as disparidades de género na Educação em todos os níveis no acesso, retenção e conclusão e na formação profissional. </w:t>
            </w:r>
          </w:p>
          <w:p w14:paraId="0CF67548" w14:textId="77777777" w:rsidR="00B31AE2" w:rsidRPr="00292532" w:rsidRDefault="00B31AE2" w:rsidP="00AE14AE">
            <w:pPr>
              <w:numPr>
                <w:ilvl w:val="0"/>
                <w:numId w:val="161"/>
              </w:numPr>
              <w:ind w:hanging="283"/>
              <w:rPr>
                <w:rFonts w:ascii="Arial" w:hAnsi="Arial" w:cs="Arial"/>
                <w:sz w:val="20"/>
                <w:szCs w:val="20"/>
                <w:lang w:val="pt-PT"/>
              </w:rPr>
            </w:pPr>
            <w:r w:rsidRPr="00292532">
              <w:rPr>
                <w:rFonts w:ascii="Arial" w:hAnsi="Arial" w:cs="Arial"/>
                <w:sz w:val="20"/>
                <w:szCs w:val="20"/>
                <w:lang w:val="pt-PT"/>
              </w:rPr>
              <w:t xml:space="preserve">Incrementar a qualidade e relevância do ensino para a população estudantil com vista à mudança de valores, atitudes e comportamentos que levam à igualdade de género. </w:t>
            </w:r>
          </w:p>
          <w:p w14:paraId="65FE0227" w14:textId="77777777" w:rsidR="00B31AE2" w:rsidRPr="00292532" w:rsidRDefault="00B31AE2" w:rsidP="00AE14AE">
            <w:pPr>
              <w:numPr>
                <w:ilvl w:val="0"/>
                <w:numId w:val="161"/>
              </w:numPr>
              <w:ind w:hanging="283"/>
              <w:rPr>
                <w:rFonts w:ascii="Arial" w:hAnsi="Arial" w:cs="Arial"/>
                <w:sz w:val="20"/>
                <w:szCs w:val="20"/>
                <w:lang w:val="pt-PT"/>
              </w:rPr>
            </w:pPr>
            <w:r w:rsidRPr="00292532">
              <w:rPr>
                <w:rFonts w:ascii="Arial" w:hAnsi="Arial" w:cs="Arial"/>
                <w:sz w:val="20"/>
                <w:szCs w:val="20"/>
                <w:lang w:val="pt-PT"/>
              </w:rPr>
              <w:t xml:space="preserve">Aumentar a capacidade de professores, </w:t>
            </w:r>
            <w:proofErr w:type="spellStart"/>
            <w:r w:rsidRPr="00292532">
              <w:rPr>
                <w:rFonts w:ascii="Arial" w:hAnsi="Arial" w:cs="Arial"/>
                <w:sz w:val="20"/>
                <w:szCs w:val="20"/>
                <w:lang w:val="pt-PT"/>
              </w:rPr>
              <w:t>directores</w:t>
            </w:r>
            <w:proofErr w:type="spellEnd"/>
            <w:r w:rsidRPr="00292532">
              <w:rPr>
                <w:rFonts w:ascii="Arial" w:hAnsi="Arial" w:cs="Arial"/>
                <w:sz w:val="20"/>
                <w:szCs w:val="20"/>
                <w:lang w:val="pt-PT"/>
              </w:rPr>
              <w:t xml:space="preserve">, </w:t>
            </w:r>
            <w:proofErr w:type="spellStart"/>
            <w:r w:rsidRPr="00292532">
              <w:rPr>
                <w:rFonts w:ascii="Arial" w:hAnsi="Arial" w:cs="Arial"/>
                <w:sz w:val="20"/>
                <w:szCs w:val="20"/>
                <w:lang w:val="pt-PT"/>
              </w:rPr>
              <w:t>inspectores</w:t>
            </w:r>
            <w:proofErr w:type="spellEnd"/>
            <w:r w:rsidRPr="00292532">
              <w:rPr>
                <w:rFonts w:ascii="Arial" w:hAnsi="Arial" w:cs="Arial"/>
                <w:sz w:val="20"/>
                <w:szCs w:val="20"/>
                <w:lang w:val="pt-PT"/>
              </w:rPr>
              <w:t xml:space="preserve"> de ambos os sexos para lidar com assuntos de igualdade de género e direitos humanos. </w:t>
            </w:r>
          </w:p>
          <w:p w14:paraId="5CA57872" w14:textId="77777777" w:rsidR="00B31AE2" w:rsidRPr="00292532" w:rsidRDefault="00B31AE2" w:rsidP="00B31AE2">
            <w:pPr>
              <w:rPr>
                <w:rFonts w:ascii="Arial" w:hAnsi="Arial" w:cs="Arial"/>
                <w:sz w:val="20"/>
                <w:szCs w:val="20"/>
                <w:lang w:val="pt-PT"/>
              </w:rPr>
            </w:pPr>
            <w:r w:rsidRPr="00292532">
              <w:rPr>
                <w:rFonts w:ascii="Arial" w:hAnsi="Arial" w:cs="Arial"/>
                <w:sz w:val="20"/>
                <w:szCs w:val="20"/>
                <w:lang w:val="pt-PT"/>
              </w:rPr>
              <w:t xml:space="preserve">Fortalecer a Unidade de Género a todos os níveis, criando maior visibilidade e impacto. </w:t>
            </w:r>
          </w:p>
        </w:tc>
      </w:tr>
      <w:tr w:rsidR="00B31AE2" w:rsidRPr="00292532" w14:paraId="22EBE94D" w14:textId="77777777" w:rsidTr="00B31AE2">
        <w:tc>
          <w:tcPr>
            <w:tcW w:w="9016" w:type="dxa"/>
            <w:gridSpan w:val="2"/>
            <w:tcBorders>
              <w:top w:val="single" w:sz="4" w:space="0" w:color="000000"/>
              <w:left w:val="single" w:sz="4" w:space="0" w:color="000000"/>
              <w:bottom w:val="single" w:sz="4" w:space="0" w:color="000000"/>
              <w:right w:val="single" w:sz="4" w:space="0" w:color="000000"/>
            </w:tcBorders>
            <w:shd w:val="clear" w:color="auto" w:fill="BDD6EE"/>
          </w:tcPr>
          <w:p w14:paraId="559A7E4B" w14:textId="77777777" w:rsidR="00B31AE2" w:rsidRPr="00292532" w:rsidRDefault="00B31AE2" w:rsidP="00B31AE2">
            <w:pPr>
              <w:jc w:val="center"/>
              <w:rPr>
                <w:rFonts w:ascii="Arial" w:hAnsi="Arial" w:cs="Arial"/>
                <w:b/>
                <w:bCs/>
                <w:sz w:val="20"/>
                <w:szCs w:val="20"/>
                <w:lang w:val="pt-PT"/>
              </w:rPr>
            </w:pPr>
            <w:r w:rsidRPr="00292532">
              <w:rPr>
                <w:rFonts w:ascii="Arial" w:hAnsi="Arial" w:cs="Arial"/>
                <w:b/>
                <w:bCs/>
                <w:sz w:val="20"/>
                <w:szCs w:val="20"/>
                <w:lang w:val="pt-PT"/>
              </w:rPr>
              <w:t>Mecanismos Institucionais</w:t>
            </w:r>
          </w:p>
        </w:tc>
      </w:tr>
      <w:tr w:rsidR="00B31AE2" w:rsidRPr="004E2EAC" w14:paraId="7F00C8E0" w14:textId="77777777" w:rsidTr="00B31AE2">
        <w:trPr>
          <w:trHeight w:val="1773"/>
        </w:trPr>
        <w:tc>
          <w:tcPr>
            <w:tcW w:w="2263" w:type="dxa"/>
          </w:tcPr>
          <w:p w14:paraId="4F61F195" w14:textId="77777777" w:rsidR="00B31AE2" w:rsidRPr="00292532" w:rsidRDefault="00B31AE2" w:rsidP="00B31AE2">
            <w:pPr>
              <w:rPr>
                <w:rFonts w:ascii="Arial" w:hAnsi="Arial" w:cs="Arial"/>
                <w:sz w:val="20"/>
                <w:szCs w:val="20"/>
                <w:lang w:val="pt-PT"/>
              </w:rPr>
            </w:pPr>
            <w:r w:rsidRPr="00292532">
              <w:rPr>
                <w:rFonts w:ascii="Arial" w:hAnsi="Arial" w:cs="Arial"/>
                <w:b/>
                <w:sz w:val="20"/>
                <w:szCs w:val="20"/>
                <w:lang w:val="pt-PT"/>
              </w:rPr>
              <w:t xml:space="preserve">Despacho do Ministério da Saúde sobre o Atendimento Integrado às Vítimas de Violência de Género. </w:t>
            </w:r>
            <w:r w:rsidRPr="00292532">
              <w:rPr>
                <w:rFonts w:ascii="Arial" w:hAnsi="Arial" w:cs="Arial"/>
                <w:sz w:val="20"/>
                <w:szCs w:val="20"/>
                <w:lang w:val="pt-PT"/>
              </w:rPr>
              <w:t xml:space="preserve">Aprovado no dia 12 de </w:t>
            </w:r>
            <w:proofErr w:type="gramStart"/>
            <w:r w:rsidRPr="00292532">
              <w:rPr>
                <w:rFonts w:ascii="Arial" w:hAnsi="Arial" w:cs="Arial"/>
                <w:sz w:val="20"/>
                <w:szCs w:val="20"/>
                <w:lang w:val="pt-PT"/>
              </w:rPr>
              <w:t>Janeiro</w:t>
            </w:r>
            <w:proofErr w:type="gramEnd"/>
            <w:r w:rsidRPr="00292532">
              <w:rPr>
                <w:rFonts w:ascii="Arial" w:hAnsi="Arial" w:cs="Arial"/>
                <w:sz w:val="20"/>
                <w:szCs w:val="20"/>
                <w:lang w:val="pt-PT"/>
              </w:rPr>
              <w:t xml:space="preserve"> de 2011. </w:t>
            </w:r>
          </w:p>
        </w:tc>
        <w:tc>
          <w:tcPr>
            <w:tcW w:w="6753" w:type="dxa"/>
          </w:tcPr>
          <w:p w14:paraId="7B7DCD52" w14:textId="77777777" w:rsidR="00B31AE2" w:rsidRPr="00292532" w:rsidRDefault="00B31AE2" w:rsidP="00B31AE2">
            <w:pPr>
              <w:ind w:left="2"/>
              <w:rPr>
                <w:rFonts w:ascii="Arial" w:hAnsi="Arial" w:cs="Arial"/>
                <w:sz w:val="20"/>
                <w:szCs w:val="20"/>
                <w:lang w:val="pt-PT"/>
              </w:rPr>
            </w:pPr>
            <w:r w:rsidRPr="00292532">
              <w:rPr>
                <w:rFonts w:ascii="Arial" w:hAnsi="Arial" w:cs="Arial"/>
                <w:sz w:val="20"/>
                <w:szCs w:val="20"/>
                <w:lang w:val="pt-PT"/>
              </w:rPr>
              <w:t xml:space="preserve">Estabelece os procedimentos a serem respeitados pelas unidades sanitárias no atendimento às vítimas de violência baseada no género, a maior parte das quais são mulheres e raparigas. Estabelece a relação a ser estabelecida entre a Unidade Sanitária e outros serviços às sobreviventes de violência baseada no género como a Polícia.  </w:t>
            </w:r>
          </w:p>
          <w:p w14:paraId="243ACE15" w14:textId="77777777" w:rsidR="00B31AE2" w:rsidRPr="00292532" w:rsidRDefault="00B31AE2" w:rsidP="00B31AE2">
            <w:pPr>
              <w:spacing w:after="2"/>
              <w:ind w:left="2"/>
              <w:rPr>
                <w:rFonts w:ascii="Arial" w:hAnsi="Arial" w:cs="Arial"/>
                <w:sz w:val="20"/>
                <w:szCs w:val="20"/>
                <w:lang w:val="pt-PT"/>
              </w:rPr>
            </w:pPr>
            <w:r w:rsidRPr="00292532">
              <w:rPr>
                <w:rFonts w:ascii="Arial" w:hAnsi="Arial" w:cs="Arial"/>
                <w:sz w:val="20"/>
                <w:szCs w:val="20"/>
                <w:lang w:val="pt-PT"/>
              </w:rPr>
              <w:t xml:space="preserve">Determina o papel dos Agentes de Saúde e os protocolos a serem seguidos para se identificar casos de violência para se abordar casos já identificados. </w:t>
            </w:r>
          </w:p>
        </w:tc>
      </w:tr>
      <w:tr w:rsidR="00B31AE2" w:rsidRPr="004E2EAC" w14:paraId="3CE3239F" w14:textId="77777777" w:rsidTr="00B31AE2">
        <w:trPr>
          <w:trHeight w:val="3375"/>
        </w:trPr>
        <w:tc>
          <w:tcPr>
            <w:tcW w:w="2263" w:type="dxa"/>
          </w:tcPr>
          <w:p w14:paraId="5C2743FE" w14:textId="77777777" w:rsidR="00B31AE2" w:rsidRPr="00292532" w:rsidRDefault="00B31AE2" w:rsidP="00B31AE2">
            <w:pPr>
              <w:rPr>
                <w:rFonts w:ascii="Arial" w:hAnsi="Arial" w:cs="Arial"/>
                <w:sz w:val="20"/>
                <w:szCs w:val="20"/>
                <w:lang w:val="pt-PT"/>
              </w:rPr>
            </w:pPr>
            <w:r w:rsidRPr="00292532">
              <w:rPr>
                <w:rFonts w:ascii="Arial" w:hAnsi="Arial" w:cs="Arial"/>
                <w:b/>
                <w:sz w:val="20"/>
                <w:szCs w:val="20"/>
                <w:lang w:val="pt-PT"/>
              </w:rPr>
              <w:lastRenderedPageBreak/>
              <w:t xml:space="preserve">Mecanismo </w:t>
            </w:r>
          </w:p>
          <w:p w14:paraId="6968429C" w14:textId="77777777" w:rsidR="00B31AE2" w:rsidRPr="00292532" w:rsidRDefault="00B31AE2" w:rsidP="00B31AE2">
            <w:pPr>
              <w:rPr>
                <w:rFonts w:ascii="Arial" w:hAnsi="Arial" w:cs="Arial"/>
                <w:sz w:val="20"/>
                <w:szCs w:val="20"/>
                <w:lang w:val="pt-PT"/>
              </w:rPr>
            </w:pPr>
            <w:r w:rsidRPr="00292532">
              <w:rPr>
                <w:rFonts w:ascii="Arial" w:hAnsi="Arial" w:cs="Arial"/>
                <w:b/>
                <w:sz w:val="20"/>
                <w:szCs w:val="20"/>
                <w:lang w:val="pt-PT"/>
              </w:rPr>
              <w:t xml:space="preserve">Multissectorial de </w:t>
            </w:r>
          </w:p>
          <w:p w14:paraId="5FD0449E" w14:textId="77777777" w:rsidR="00B31AE2" w:rsidRPr="00292532" w:rsidRDefault="00B31AE2" w:rsidP="00B31AE2">
            <w:pPr>
              <w:rPr>
                <w:rFonts w:ascii="Arial" w:hAnsi="Arial" w:cs="Arial"/>
                <w:sz w:val="20"/>
                <w:szCs w:val="20"/>
                <w:lang w:val="pt-PT"/>
              </w:rPr>
            </w:pPr>
            <w:r w:rsidRPr="00292532">
              <w:rPr>
                <w:rFonts w:ascii="Arial" w:hAnsi="Arial" w:cs="Arial"/>
                <w:b/>
                <w:sz w:val="20"/>
                <w:szCs w:val="20"/>
                <w:lang w:val="pt-PT"/>
              </w:rPr>
              <w:t xml:space="preserve">Atendimento Integrado à </w:t>
            </w:r>
          </w:p>
          <w:p w14:paraId="53E55B75" w14:textId="77777777" w:rsidR="00B31AE2" w:rsidRPr="00292532" w:rsidRDefault="00B31AE2" w:rsidP="00B31AE2">
            <w:pPr>
              <w:rPr>
                <w:rFonts w:ascii="Arial" w:hAnsi="Arial" w:cs="Arial"/>
                <w:sz w:val="20"/>
                <w:szCs w:val="20"/>
                <w:lang w:val="pt-PT"/>
              </w:rPr>
            </w:pPr>
            <w:r w:rsidRPr="00292532">
              <w:rPr>
                <w:rFonts w:ascii="Arial" w:hAnsi="Arial" w:cs="Arial"/>
                <w:b/>
                <w:sz w:val="20"/>
                <w:szCs w:val="20"/>
                <w:lang w:val="pt-PT"/>
              </w:rPr>
              <w:t xml:space="preserve">Mulher Vítima de </w:t>
            </w:r>
            <w:r w:rsidRPr="00292532">
              <w:rPr>
                <w:rFonts w:ascii="Arial" w:hAnsi="Arial" w:cs="Arial"/>
                <w:b/>
                <w:bCs/>
                <w:sz w:val="20"/>
                <w:szCs w:val="20"/>
                <w:lang w:val="pt-PT"/>
              </w:rPr>
              <w:t>Violência.</w:t>
            </w:r>
            <w:r w:rsidRPr="00292532">
              <w:rPr>
                <w:rFonts w:ascii="Arial" w:hAnsi="Arial" w:cs="Arial"/>
                <w:sz w:val="20"/>
                <w:szCs w:val="20"/>
                <w:lang w:val="pt-PT"/>
              </w:rPr>
              <w:t xml:space="preserve">  </w:t>
            </w:r>
          </w:p>
          <w:p w14:paraId="20F26D39" w14:textId="77777777" w:rsidR="00B31AE2" w:rsidRPr="00292532" w:rsidRDefault="00B31AE2" w:rsidP="00B31AE2">
            <w:pPr>
              <w:rPr>
                <w:rFonts w:ascii="Arial" w:hAnsi="Arial" w:cs="Arial"/>
                <w:sz w:val="20"/>
                <w:szCs w:val="20"/>
                <w:lang w:val="pt-PT"/>
              </w:rPr>
            </w:pPr>
            <w:r w:rsidRPr="00292532">
              <w:rPr>
                <w:rFonts w:ascii="Arial" w:hAnsi="Arial" w:cs="Arial"/>
                <w:sz w:val="20"/>
                <w:szCs w:val="20"/>
                <w:lang w:val="pt-PT"/>
              </w:rPr>
              <w:t xml:space="preserve">Aprovado em </w:t>
            </w:r>
            <w:proofErr w:type="gramStart"/>
            <w:r w:rsidRPr="00292532">
              <w:rPr>
                <w:rFonts w:ascii="Arial" w:hAnsi="Arial" w:cs="Arial"/>
                <w:sz w:val="20"/>
                <w:szCs w:val="20"/>
                <w:lang w:val="pt-PT"/>
              </w:rPr>
              <w:t>Junho</w:t>
            </w:r>
            <w:proofErr w:type="gramEnd"/>
            <w:r w:rsidRPr="00292532">
              <w:rPr>
                <w:rFonts w:ascii="Arial" w:hAnsi="Arial" w:cs="Arial"/>
                <w:sz w:val="20"/>
                <w:szCs w:val="20"/>
                <w:lang w:val="pt-PT"/>
              </w:rPr>
              <w:t xml:space="preserve"> de 2012.</w:t>
            </w:r>
            <w:r w:rsidRPr="00292532">
              <w:rPr>
                <w:rFonts w:ascii="Arial" w:hAnsi="Arial" w:cs="Arial"/>
                <w:b/>
                <w:sz w:val="20"/>
                <w:szCs w:val="20"/>
                <w:lang w:val="pt-PT"/>
              </w:rPr>
              <w:t xml:space="preserve"> </w:t>
            </w:r>
          </w:p>
        </w:tc>
        <w:tc>
          <w:tcPr>
            <w:tcW w:w="6753" w:type="dxa"/>
          </w:tcPr>
          <w:p w14:paraId="0F54F5C2" w14:textId="77777777" w:rsidR="00B31AE2" w:rsidRPr="00292532" w:rsidRDefault="00B31AE2" w:rsidP="00B31AE2">
            <w:pPr>
              <w:ind w:left="2"/>
              <w:rPr>
                <w:rFonts w:ascii="Arial" w:hAnsi="Arial" w:cs="Arial"/>
                <w:sz w:val="20"/>
                <w:szCs w:val="20"/>
                <w:lang w:val="pt-PT"/>
              </w:rPr>
            </w:pPr>
            <w:r w:rsidRPr="00292532">
              <w:rPr>
                <w:rFonts w:ascii="Arial" w:hAnsi="Arial" w:cs="Arial"/>
                <w:sz w:val="20"/>
                <w:szCs w:val="20"/>
                <w:lang w:val="pt-PT"/>
              </w:rPr>
              <w:t xml:space="preserve">Desenvolve uma abordagem holística em resposta das instituições do Governo e da sociedade civil à violência praticada contra a mulher e a rapariga.  </w:t>
            </w:r>
          </w:p>
          <w:p w14:paraId="4964C2FB" w14:textId="77777777" w:rsidR="00B31AE2" w:rsidRPr="00292532" w:rsidRDefault="00B31AE2" w:rsidP="00B31AE2">
            <w:pPr>
              <w:ind w:left="2"/>
              <w:rPr>
                <w:rFonts w:ascii="Arial" w:hAnsi="Arial" w:cs="Arial"/>
                <w:sz w:val="20"/>
                <w:szCs w:val="20"/>
                <w:lang w:val="pt-PT"/>
              </w:rPr>
            </w:pPr>
            <w:r w:rsidRPr="00292532">
              <w:rPr>
                <w:rFonts w:ascii="Arial" w:hAnsi="Arial" w:cs="Arial"/>
                <w:sz w:val="20"/>
                <w:szCs w:val="20"/>
                <w:lang w:val="pt-PT"/>
              </w:rPr>
              <w:t xml:space="preserve">A fim de incluir as diferentes necessidades na resposta à violência contra a mulher, este documento estabelece a relação de coordenação e de atendimento interligado dos vários </w:t>
            </w:r>
            <w:proofErr w:type="spellStart"/>
            <w:r w:rsidRPr="00292532">
              <w:rPr>
                <w:rFonts w:ascii="Arial" w:hAnsi="Arial" w:cs="Arial"/>
                <w:sz w:val="20"/>
                <w:szCs w:val="20"/>
                <w:lang w:val="pt-PT"/>
              </w:rPr>
              <w:t>actores</w:t>
            </w:r>
            <w:proofErr w:type="spellEnd"/>
            <w:r w:rsidRPr="00292532">
              <w:rPr>
                <w:rFonts w:ascii="Arial" w:hAnsi="Arial" w:cs="Arial"/>
                <w:sz w:val="20"/>
                <w:szCs w:val="20"/>
                <w:lang w:val="pt-PT"/>
              </w:rPr>
              <w:t xml:space="preserve">, incluindo os papéis a serem desempenhados por cada um.  </w:t>
            </w:r>
          </w:p>
          <w:p w14:paraId="3998F72B" w14:textId="77777777" w:rsidR="00B31AE2" w:rsidRPr="00292532" w:rsidRDefault="00B31AE2" w:rsidP="00B31AE2">
            <w:pPr>
              <w:ind w:left="2"/>
              <w:rPr>
                <w:rFonts w:ascii="Arial" w:hAnsi="Arial" w:cs="Arial"/>
                <w:sz w:val="20"/>
                <w:szCs w:val="20"/>
                <w:lang w:val="pt-PT"/>
              </w:rPr>
            </w:pPr>
            <w:r w:rsidRPr="00292532">
              <w:rPr>
                <w:rFonts w:ascii="Arial" w:hAnsi="Arial" w:cs="Arial"/>
                <w:sz w:val="20"/>
                <w:szCs w:val="20"/>
                <w:lang w:val="pt-PT"/>
              </w:rPr>
              <w:t xml:space="preserve">As principais instituições públicas envolvidas no atendimento multissectorial são o Ministério do Interior, o Ministério da Saúde, o Ministério do Género, Criança e </w:t>
            </w:r>
            <w:proofErr w:type="spellStart"/>
            <w:r w:rsidRPr="00292532">
              <w:rPr>
                <w:rFonts w:ascii="Arial" w:hAnsi="Arial" w:cs="Arial"/>
                <w:sz w:val="20"/>
                <w:szCs w:val="20"/>
                <w:lang w:val="pt-PT"/>
              </w:rPr>
              <w:t>Acção</w:t>
            </w:r>
            <w:proofErr w:type="spellEnd"/>
            <w:r w:rsidRPr="00292532">
              <w:rPr>
                <w:rFonts w:ascii="Arial" w:hAnsi="Arial" w:cs="Arial"/>
                <w:sz w:val="20"/>
                <w:szCs w:val="20"/>
                <w:lang w:val="pt-PT"/>
              </w:rPr>
              <w:t xml:space="preserve"> Social e o Ministério da Justiça.  </w:t>
            </w:r>
          </w:p>
          <w:p w14:paraId="3C4EFA3F" w14:textId="77777777" w:rsidR="00B31AE2" w:rsidRPr="00292532" w:rsidRDefault="00B31AE2" w:rsidP="00B31AE2">
            <w:pPr>
              <w:spacing w:after="6"/>
              <w:ind w:left="2"/>
              <w:rPr>
                <w:rFonts w:ascii="Arial" w:hAnsi="Arial" w:cs="Arial"/>
                <w:sz w:val="20"/>
                <w:szCs w:val="20"/>
                <w:lang w:val="pt-PT"/>
              </w:rPr>
            </w:pPr>
            <w:r w:rsidRPr="00292532">
              <w:rPr>
                <w:rFonts w:ascii="Arial" w:hAnsi="Arial" w:cs="Arial"/>
                <w:sz w:val="20"/>
                <w:szCs w:val="20"/>
                <w:lang w:val="pt-PT"/>
              </w:rPr>
              <w:t xml:space="preserve">O Mecanismo pretende melhorar o atendimento que se faz das sobreviventes de violência contra a mulher, coordenando melhor o trabalho e papel dos diferentes intervenientes e definindo protocolos de atendimento que permitam uniformizar os serviços oferecidos pelos diferentes profissionais envolvidos. </w:t>
            </w:r>
          </w:p>
        </w:tc>
      </w:tr>
    </w:tbl>
    <w:p w14:paraId="70DA5157" w14:textId="05F4507A" w:rsidR="00B31AE2" w:rsidRPr="00292532" w:rsidRDefault="00B31AE2" w:rsidP="00B31AE2">
      <w:pPr>
        <w:spacing w:before="0" w:after="120"/>
        <w:rPr>
          <w:rFonts w:ascii="Arial" w:eastAsia="Times New Roman" w:hAnsi="Arial" w:cs="Arial"/>
          <w:i/>
          <w:sz w:val="20"/>
          <w:lang w:val="pt-PT"/>
        </w:rPr>
      </w:pPr>
      <w:r w:rsidRPr="00292532">
        <w:rPr>
          <w:rFonts w:ascii="Arial" w:eastAsia="Times New Roman" w:hAnsi="Arial" w:cs="Arial"/>
          <w:i/>
          <w:sz w:val="20"/>
          <w:lang w:val="pt-PT"/>
        </w:rPr>
        <w:t xml:space="preserve">Fonte: </w:t>
      </w:r>
      <w:r w:rsidR="00061682" w:rsidRPr="00292532">
        <w:rPr>
          <w:rFonts w:ascii="Arial" w:eastAsia="Times New Roman" w:hAnsi="Arial" w:cs="Arial"/>
          <w:i/>
          <w:sz w:val="20"/>
          <w:lang w:val="pt-PT"/>
        </w:rPr>
        <w:t>Adaptado do p</w:t>
      </w:r>
      <w:r w:rsidRPr="00292532">
        <w:rPr>
          <w:rFonts w:ascii="Arial" w:eastAsia="Times New Roman" w:hAnsi="Arial" w:cs="Arial"/>
          <w:i/>
          <w:sz w:val="20"/>
          <w:lang w:val="pt-PT"/>
        </w:rPr>
        <w:t>erfil do género de Moçambique</w:t>
      </w:r>
    </w:p>
    <w:p w14:paraId="026F7ADC" w14:textId="77777777" w:rsidR="00B31AE2" w:rsidRPr="00292532" w:rsidRDefault="00B31AE2" w:rsidP="00B31AE2">
      <w:pPr>
        <w:spacing w:before="0" w:after="0"/>
        <w:rPr>
          <w:rFonts w:ascii="Arial" w:eastAsia="Times New Roman" w:hAnsi="Arial" w:cs="Arial"/>
          <w:sz w:val="20"/>
          <w:lang w:val="pt-PT"/>
        </w:rPr>
      </w:pPr>
    </w:p>
    <w:p w14:paraId="09C8EDF7" w14:textId="77777777" w:rsidR="00B31AE2" w:rsidRPr="00292532" w:rsidRDefault="00B31AE2" w:rsidP="00B31AE2">
      <w:pPr>
        <w:spacing w:before="0" w:after="0" w:line="297" w:lineRule="exact"/>
        <w:ind w:right="80"/>
        <w:rPr>
          <w:rFonts w:ascii="Arial" w:eastAsia="Times New Roman" w:hAnsi="Arial" w:cs="Arial"/>
          <w:sz w:val="20"/>
          <w:szCs w:val="20"/>
          <w:lang w:val="pt-PT"/>
        </w:rPr>
      </w:pPr>
      <w:r w:rsidRPr="00292532">
        <w:rPr>
          <w:rFonts w:ascii="Arial" w:eastAsia="Times New Roman" w:hAnsi="Arial" w:cs="Arial"/>
          <w:sz w:val="20"/>
          <w:szCs w:val="20"/>
          <w:lang w:val="pt-PT"/>
        </w:rPr>
        <w:t xml:space="preserve">Ao nível internacional e regional, o Governo de Moçambique ratificou vários instrumentos que visam promover a igualdade de género e direitos das mulheres, nomeadamente:  </w:t>
      </w:r>
    </w:p>
    <w:p w14:paraId="7C5DDE5E" w14:textId="77777777" w:rsidR="00B31AE2" w:rsidRPr="00292532" w:rsidRDefault="00B31AE2" w:rsidP="00B31AE2">
      <w:pPr>
        <w:spacing w:before="0" w:after="0"/>
        <w:ind w:right="51"/>
        <w:rPr>
          <w:rFonts w:ascii="Arial" w:eastAsia="Times New Roman" w:hAnsi="Arial" w:cs="Arial"/>
          <w:sz w:val="20"/>
          <w:szCs w:val="20"/>
          <w:lang w:val="pt-PT"/>
        </w:rPr>
      </w:pPr>
    </w:p>
    <w:p w14:paraId="3828B17A" w14:textId="77777777" w:rsidR="00B31AE2" w:rsidRPr="00292532" w:rsidRDefault="00B31AE2" w:rsidP="00B31AE2">
      <w:pPr>
        <w:spacing w:before="0" w:after="0" w:line="297" w:lineRule="exact"/>
        <w:ind w:right="80"/>
        <w:rPr>
          <w:rFonts w:ascii="Arial" w:eastAsia="Times New Roman" w:hAnsi="Arial" w:cs="Arial"/>
          <w:sz w:val="20"/>
          <w:szCs w:val="20"/>
          <w:lang w:val="pt-PT"/>
        </w:rPr>
      </w:pPr>
      <w:r w:rsidRPr="00292532">
        <w:rPr>
          <w:rFonts w:ascii="Arial" w:eastAsia="Times New Roman" w:hAnsi="Arial" w:cs="Arial"/>
          <w:sz w:val="20"/>
          <w:szCs w:val="20"/>
          <w:lang w:val="pt-PT"/>
        </w:rPr>
        <w:t xml:space="preserve">Acordos regionais e internacionais ratificados </w:t>
      </w:r>
    </w:p>
    <w:tbl>
      <w:tblPr>
        <w:tblStyle w:val="0-Table1"/>
        <w:tblW w:w="0" w:type="auto"/>
        <w:tblLook w:val="04A0" w:firstRow="1" w:lastRow="0" w:firstColumn="1" w:lastColumn="0" w:noHBand="0" w:noVBand="1"/>
      </w:tblPr>
      <w:tblGrid>
        <w:gridCol w:w="9016"/>
      </w:tblGrid>
      <w:tr w:rsidR="00B31AE2" w:rsidRPr="004E2EAC" w14:paraId="29291772" w14:textId="77777777" w:rsidTr="00B31AE2">
        <w:tc>
          <w:tcPr>
            <w:tcW w:w="9016" w:type="dxa"/>
          </w:tcPr>
          <w:p w14:paraId="0C2D7143" w14:textId="77777777" w:rsidR="00B31AE2" w:rsidRPr="00292532" w:rsidRDefault="00B31AE2" w:rsidP="00B31AE2">
            <w:pPr>
              <w:spacing w:after="120"/>
              <w:rPr>
                <w:rFonts w:ascii="Arial" w:hAnsi="Arial" w:cs="Arial"/>
                <w:b/>
                <w:sz w:val="20"/>
                <w:szCs w:val="20"/>
                <w:lang w:val="pt-PT"/>
              </w:rPr>
            </w:pPr>
            <w:r w:rsidRPr="00292532">
              <w:rPr>
                <w:rFonts w:ascii="Arial" w:hAnsi="Arial" w:cs="Arial"/>
                <w:b/>
                <w:sz w:val="20"/>
                <w:szCs w:val="20"/>
                <w:lang w:val="pt-PT"/>
              </w:rPr>
              <w:t xml:space="preserve">A Convenção sobre a Eliminação de todas as formas de Discriminação contra a Mulher (CEDAW, siglas em inglês). </w:t>
            </w:r>
            <w:r w:rsidRPr="00292532">
              <w:rPr>
                <w:rFonts w:ascii="Arial" w:hAnsi="Arial" w:cs="Arial"/>
                <w:sz w:val="20"/>
                <w:szCs w:val="20"/>
                <w:lang w:val="pt-PT"/>
              </w:rPr>
              <w:t>Ratificada pelo Governo Moçambicano em 1993, e que obriga os Estados signatários a rever toda legislação discriminatória vigente e a aprovar novas leis que permitam eliminar quaisquer discriminações existentes contra a mulher.</w:t>
            </w:r>
            <w:r w:rsidRPr="00292532">
              <w:rPr>
                <w:rFonts w:ascii="Arial" w:hAnsi="Arial" w:cs="Arial"/>
                <w:b/>
                <w:sz w:val="20"/>
                <w:szCs w:val="20"/>
                <w:lang w:val="pt-PT"/>
              </w:rPr>
              <w:t xml:space="preserve">  </w:t>
            </w:r>
          </w:p>
          <w:p w14:paraId="465EC5F2" w14:textId="77777777" w:rsidR="00B31AE2" w:rsidRPr="00292532" w:rsidRDefault="00B31AE2" w:rsidP="00B31AE2">
            <w:pPr>
              <w:spacing w:after="120"/>
              <w:rPr>
                <w:rFonts w:ascii="Arial" w:hAnsi="Arial" w:cs="Arial"/>
                <w:b/>
                <w:sz w:val="20"/>
                <w:szCs w:val="20"/>
                <w:lang w:val="pt-PT"/>
              </w:rPr>
            </w:pPr>
            <w:r w:rsidRPr="00292532">
              <w:rPr>
                <w:rFonts w:ascii="Arial" w:hAnsi="Arial" w:cs="Arial"/>
                <w:b/>
                <w:sz w:val="20"/>
                <w:szCs w:val="20"/>
                <w:lang w:val="pt-PT"/>
              </w:rPr>
              <w:t xml:space="preserve">Declaração de </w:t>
            </w:r>
            <w:proofErr w:type="spellStart"/>
            <w:r w:rsidRPr="00292532">
              <w:rPr>
                <w:rFonts w:ascii="Arial" w:hAnsi="Arial" w:cs="Arial"/>
                <w:b/>
                <w:sz w:val="20"/>
                <w:szCs w:val="20"/>
                <w:lang w:val="pt-PT"/>
              </w:rPr>
              <w:t>Beijing</w:t>
            </w:r>
            <w:proofErr w:type="spellEnd"/>
            <w:r w:rsidRPr="00292532">
              <w:rPr>
                <w:rFonts w:ascii="Arial" w:hAnsi="Arial" w:cs="Arial"/>
                <w:b/>
                <w:sz w:val="20"/>
                <w:szCs w:val="20"/>
                <w:lang w:val="pt-PT"/>
              </w:rPr>
              <w:t xml:space="preserve">. </w:t>
            </w:r>
            <w:r w:rsidRPr="00292532">
              <w:rPr>
                <w:rFonts w:ascii="Arial" w:hAnsi="Arial" w:cs="Arial"/>
                <w:sz w:val="20"/>
                <w:szCs w:val="20"/>
                <w:lang w:val="pt-PT"/>
              </w:rPr>
              <w:t xml:space="preserve">Ratificada em 1995, estabelece marcos programáticos a serem implementados pelos governos para melhorar o estatuto da mulher através da implementação da Plataforma de </w:t>
            </w:r>
            <w:proofErr w:type="spellStart"/>
            <w:r w:rsidRPr="00292532">
              <w:rPr>
                <w:rFonts w:ascii="Arial" w:hAnsi="Arial" w:cs="Arial"/>
                <w:sz w:val="20"/>
                <w:szCs w:val="20"/>
                <w:lang w:val="pt-PT"/>
              </w:rPr>
              <w:t>Acção</w:t>
            </w:r>
            <w:proofErr w:type="spellEnd"/>
            <w:r w:rsidRPr="00292532">
              <w:rPr>
                <w:rFonts w:ascii="Arial" w:hAnsi="Arial" w:cs="Arial"/>
                <w:sz w:val="20"/>
                <w:szCs w:val="20"/>
                <w:lang w:val="pt-PT"/>
              </w:rPr>
              <w:t xml:space="preserve"> de </w:t>
            </w:r>
            <w:proofErr w:type="spellStart"/>
            <w:r w:rsidRPr="00292532">
              <w:rPr>
                <w:rFonts w:ascii="Arial" w:hAnsi="Arial" w:cs="Arial"/>
                <w:sz w:val="20"/>
                <w:szCs w:val="20"/>
                <w:lang w:val="pt-PT"/>
              </w:rPr>
              <w:t>Beijing</w:t>
            </w:r>
            <w:proofErr w:type="spellEnd"/>
            <w:r w:rsidRPr="00292532">
              <w:rPr>
                <w:rFonts w:ascii="Arial" w:hAnsi="Arial" w:cs="Arial"/>
                <w:sz w:val="20"/>
                <w:szCs w:val="20"/>
                <w:lang w:val="pt-PT"/>
              </w:rPr>
              <w:t xml:space="preserve"> (com 12 áreas prioritárias).</w:t>
            </w:r>
            <w:r w:rsidRPr="00292532">
              <w:rPr>
                <w:rFonts w:ascii="Arial" w:hAnsi="Arial" w:cs="Arial"/>
                <w:b/>
                <w:sz w:val="20"/>
                <w:szCs w:val="20"/>
                <w:lang w:val="pt-PT"/>
              </w:rPr>
              <w:t xml:space="preserve"> </w:t>
            </w:r>
          </w:p>
          <w:p w14:paraId="3CDCAE01" w14:textId="77777777" w:rsidR="00B31AE2" w:rsidRPr="00292532" w:rsidRDefault="00B31AE2" w:rsidP="00B31AE2">
            <w:pPr>
              <w:spacing w:after="120"/>
              <w:rPr>
                <w:rFonts w:ascii="Arial" w:hAnsi="Arial" w:cs="Arial"/>
                <w:b/>
                <w:sz w:val="20"/>
                <w:szCs w:val="20"/>
                <w:lang w:val="pt-PT"/>
              </w:rPr>
            </w:pPr>
            <w:r w:rsidRPr="00292532">
              <w:rPr>
                <w:rFonts w:ascii="Arial" w:hAnsi="Arial" w:cs="Arial"/>
                <w:b/>
                <w:sz w:val="20"/>
                <w:szCs w:val="20"/>
                <w:lang w:val="pt-PT"/>
              </w:rPr>
              <w:t xml:space="preserve">Declaração de Género e Desenvolvimento da SADC. </w:t>
            </w:r>
            <w:r w:rsidRPr="00292532">
              <w:rPr>
                <w:rFonts w:ascii="Arial" w:hAnsi="Arial" w:cs="Arial"/>
                <w:sz w:val="20"/>
                <w:szCs w:val="20"/>
                <w:lang w:val="pt-PT"/>
              </w:rPr>
              <w:t xml:space="preserve">Ratificado em 1997. Compromete os países signatários a rever as leis discriminatórias e a aprovar novas, de forma a eliminar os </w:t>
            </w:r>
            <w:proofErr w:type="spellStart"/>
            <w:r w:rsidRPr="00292532">
              <w:rPr>
                <w:rFonts w:ascii="Arial" w:hAnsi="Arial" w:cs="Arial"/>
                <w:sz w:val="20"/>
                <w:szCs w:val="20"/>
                <w:lang w:val="pt-PT"/>
              </w:rPr>
              <w:t>factores</w:t>
            </w:r>
            <w:proofErr w:type="spellEnd"/>
            <w:r w:rsidRPr="00292532">
              <w:rPr>
                <w:rFonts w:ascii="Arial" w:hAnsi="Arial" w:cs="Arial"/>
                <w:sz w:val="20"/>
                <w:szCs w:val="20"/>
                <w:lang w:val="pt-PT"/>
              </w:rPr>
              <w:t xml:space="preserve"> que limitam o acesso e controlo dos recursos pelas mulheres e aos espaços de tomada de decisão.</w:t>
            </w:r>
            <w:r w:rsidRPr="00292532">
              <w:rPr>
                <w:rFonts w:ascii="Arial" w:hAnsi="Arial" w:cs="Arial"/>
                <w:b/>
                <w:sz w:val="20"/>
                <w:szCs w:val="20"/>
                <w:lang w:val="pt-PT"/>
              </w:rPr>
              <w:t xml:space="preserve"> </w:t>
            </w:r>
          </w:p>
          <w:p w14:paraId="790C3513" w14:textId="77777777" w:rsidR="00B31AE2" w:rsidRPr="00292532" w:rsidRDefault="00B31AE2" w:rsidP="00B31AE2">
            <w:pPr>
              <w:spacing w:after="120"/>
              <w:rPr>
                <w:rFonts w:ascii="Arial" w:hAnsi="Arial" w:cs="Arial"/>
                <w:b/>
                <w:sz w:val="20"/>
                <w:szCs w:val="20"/>
                <w:lang w:val="pt-PT"/>
              </w:rPr>
            </w:pPr>
            <w:r w:rsidRPr="00292532">
              <w:rPr>
                <w:rFonts w:ascii="Arial" w:hAnsi="Arial" w:cs="Arial"/>
                <w:b/>
                <w:sz w:val="20"/>
                <w:szCs w:val="20"/>
                <w:lang w:val="pt-PT"/>
              </w:rPr>
              <w:t xml:space="preserve">Protocolo Opcional da Carta Africana sobre dos Direitos Humanos e das Pessoas e Direitos das Mulheres. </w:t>
            </w:r>
            <w:r w:rsidRPr="00292532">
              <w:rPr>
                <w:rFonts w:ascii="Arial" w:hAnsi="Arial" w:cs="Arial"/>
                <w:sz w:val="20"/>
                <w:szCs w:val="20"/>
                <w:lang w:val="pt-PT"/>
              </w:rPr>
              <w:t xml:space="preserve">Ratificado em 2005, e que reforça as medidas </w:t>
            </w:r>
            <w:proofErr w:type="spellStart"/>
            <w:r w:rsidRPr="00292532">
              <w:rPr>
                <w:rFonts w:ascii="Arial" w:hAnsi="Arial" w:cs="Arial"/>
                <w:sz w:val="20"/>
                <w:szCs w:val="20"/>
                <w:lang w:val="pt-PT"/>
              </w:rPr>
              <w:t>adoptadas</w:t>
            </w:r>
            <w:proofErr w:type="spellEnd"/>
            <w:r w:rsidRPr="00292532">
              <w:rPr>
                <w:rFonts w:ascii="Arial" w:hAnsi="Arial" w:cs="Arial"/>
                <w:sz w:val="20"/>
                <w:szCs w:val="20"/>
                <w:lang w:val="pt-PT"/>
              </w:rPr>
              <w:t xml:space="preserve"> para eliminar qualquer tipo de discriminação contra a mulher em África e para proteger os seus direitos.  </w:t>
            </w:r>
          </w:p>
          <w:p w14:paraId="645D1C80" w14:textId="77777777" w:rsidR="00B31AE2" w:rsidRPr="00292532" w:rsidRDefault="00B31AE2" w:rsidP="00B31AE2">
            <w:pPr>
              <w:spacing w:after="120"/>
              <w:rPr>
                <w:rFonts w:ascii="Arial" w:hAnsi="Arial" w:cs="Arial"/>
                <w:sz w:val="20"/>
                <w:szCs w:val="20"/>
                <w:lang w:val="pt-PT"/>
              </w:rPr>
            </w:pPr>
            <w:r w:rsidRPr="00292532">
              <w:rPr>
                <w:rFonts w:ascii="Arial" w:hAnsi="Arial" w:cs="Arial"/>
                <w:b/>
                <w:sz w:val="20"/>
                <w:szCs w:val="20"/>
                <w:lang w:val="pt-PT"/>
              </w:rPr>
              <w:t xml:space="preserve">Declaração Solene da Igualdade de Género em África. </w:t>
            </w:r>
            <w:r w:rsidRPr="00292532">
              <w:rPr>
                <w:rFonts w:ascii="Arial" w:hAnsi="Arial" w:cs="Arial"/>
                <w:sz w:val="20"/>
                <w:szCs w:val="20"/>
                <w:lang w:val="pt-PT"/>
              </w:rPr>
              <w:t xml:space="preserve">Ratificada em 1994, estabelece as metas para a União Africana em termos de equidade de género que deverão ser atingidas pelos Estados-membros.  </w:t>
            </w:r>
          </w:p>
          <w:p w14:paraId="631B4B6A" w14:textId="77777777" w:rsidR="00B31AE2" w:rsidRPr="00292532" w:rsidRDefault="00B31AE2" w:rsidP="00B31AE2">
            <w:pPr>
              <w:spacing w:after="120"/>
              <w:rPr>
                <w:rFonts w:ascii="Arial" w:hAnsi="Arial" w:cs="Arial"/>
                <w:b/>
                <w:sz w:val="20"/>
                <w:szCs w:val="20"/>
                <w:lang w:val="pt-PT"/>
              </w:rPr>
            </w:pPr>
            <w:r w:rsidRPr="00292532">
              <w:rPr>
                <w:rFonts w:ascii="Arial" w:hAnsi="Arial" w:cs="Arial"/>
                <w:b/>
                <w:sz w:val="20"/>
                <w:szCs w:val="20"/>
                <w:lang w:val="pt-PT"/>
              </w:rPr>
              <w:t xml:space="preserve">Protocolo da SADC sobre Género e Desenvolvimento. </w:t>
            </w:r>
            <w:r w:rsidRPr="00292532">
              <w:rPr>
                <w:rFonts w:ascii="Arial" w:hAnsi="Arial" w:cs="Arial"/>
                <w:sz w:val="20"/>
                <w:szCs w:val="20"/>
                <w:lang w:val="pt-PT"/>
              </w:rPr>
              <w:t>Aprovado em 2008, estabelece metas para a SADC no que concerne ao alcance da equidade de género, incluindo a recomendação para se alcançar a quota de participação de 50% de mulheres nos espaços de tomada de decisão.</w:t>
            </w:r>
          </w:p>
        </w:tc>
      </w:tr>
    </w:tbl>
    <w:p w14:paraId="28754682" w14:textId="77777777" w:rsidR="00B31AE2" w:rsidRPr="00292532" w:rsidRDefault="00B31AE2" w:rsidP="00B31AE2">
      <w:pPr>
        <w:spacing w:before="0" w:after="120"/>
        <w:rPr>
          <w:rFonts w:ascii="Arial" w:eastAsia="Times New Roman" w:hAnsi="Arial" w:cs="Arial"/>
          <w:sz w:val="20"/>
          <w:lang w:val="pt-PT"/>
        </w:rPr>
      </w:pPr>
    </w:p>
    <w:p w14:paraId="361EB7C1" w14:textId="77777777" w:rsidR="00B31AE2" w:rsidRPr="00292532" w:rsidRDefault="00B31AE2" w:rsidP="00AE14AE">
      <w:pPr>
        <w:keepNext/>
        <w:keepLines/>
        <w:numPr>
          <w:ilvl w:val="1"/>
          <w:numId w:val="166"/>
        </w:numPr>
        <w:spacing w:before="0" w:after="120"/>
        <w:outlineLvl w:val="1"/>
        <w:rPr>
          <w:rFonts w:ascii="Arial" w:eastAsia="Calibri" w:hAnsi="Arial" w:cs="Arial"/>
          <w:bCs/>
          <w:color w:val="2F5496"/>
          <w:sz w:val="26"/>
          <w:szCs w:val="26"/>
          <w:lang w:val="pt-PT"/>
        </w:rPr>
      </w:pPr>
      <w:bookmarkStart w:id="1660" w:name="_Toc75246792"/>
      <w:bookmarkStart w:id="1661" w:name="_Toc75438110"/>
      <w:bookmarkStart w:id="1662" w:name="_Toc78435547"/>
      <w:bookmarkStart w:id="1663" w:name="_Toc80380213"/>
      <w:bookmarkStart w:id="1664" w:name="_Hlk68263324"/>
      <w:r w:rsidRPr="00292532">
        <w:rPr>
          <w:rFonts w:ascii="Arial" w:eastAsia="Calibri" w:hAnsi="Arial" w:cs="Arial"/>
          <w:bCs/>
          <w:color w:val="2F5496"/>
          <w:sz w:val="26"/>
          <w:szCs w:val="26"/>
          <w:lang w:val="pt-PT"/>
        </w:rPr>
        <w:t xml:space="preserve">Contextualização sobre VBG/EAS no âmbito do </w:t>
      </w:r>
      <w:proofErr w:type="spellStart"/>
      <w:r w:rsidRPr="00292532">
        <w:rPr>
          <w:rFonts w:ascii="Arial" w:eastAsia="Calibri" w:hAnsi="Arial" w:cs="Arial"/>
          <w:bCs/>
          <w:color w:val="2F5496"/>
          <w:sz w:val="26"/>
          <w:szCs w:val="26"/>
          <w:lang w:val="pt-PT"/>
        </w:rPr>
        <w:t>projecto</w:t>
      </w:r>
      <w:bookmarkEnd w:id="1660"/>
      <w:bookmarkEnd w:id="1661"/>
      <w:bookmarkEnd w:id="1662"/>
      <w:bookmarkEnd w:id="1663"/>
      <w:proofErr w:type="spellEnd"/>
    </w:p>
    <w:p w14:paraId="537C2860" w14:textId="77777777" w:rsidR="00B31AE2" w:rsidRPr="00292532" w:rsidRDefault="00B31AE2" w:rsidP="00B31AE2">
      <w:pPr>
        <w:spacing w:before="0" w:after="120"/>
        <w:rPr>
          <w:rFonts w:ascii="Arial" w:eastAsia="Times New Roman" w:hAnsi="Arial" w:cs="Arial"/>
          <w:sz w:val="20"/>
          <w:lang w:val="pt-PT"/>
        </w:rPr>
      </w:pPr>
      <w:r w:rsidRPr="00292532">
        <w:rPr>
          <w:rFonts w:ascii="Arial" w:eastAsia="Times New Roman" w:hAnsi="Arial" w:cs="Arial"/>
          <w:sz w:val="20"/>
          <w:lang w:val="pt-PT"/>
        </w:rPr>
        <w:t xml:space="preserve">A distribuição geográfica da população em Moçambique é irregular, sendo que 70% reside nas áreas rurais. As províncias de Zambézia e Nampula (área de abrangência do </w:t>
      </w:r>
      <w:proofErr w:type="spellStart"/>
      <w:r w:rsidRPr="00292532">
        <w:rPr>
          <w:rFonts w:ascii="Arial" w:eastAsia="Times New Roman" w:hAnsi="Arial" w:cs="Arial"/>
          <w:sz w:val="20"/>
          <w:lang w:val="pt-PT"/>
        </w:rPr>
        <w:t>projecto</w:t>
      </w:r>
      <w:proofErr w:type="spellEnd"/>
      <w:r w:rsidRPr="00292532">
        <w:rPr>
          <w:rFonts w:ascii="Arial" w:eastAsia="Times New Roman" w:hAnsi="Arial" w:cs="Arial"/>
          <w:sz w:val="20"/>
          <w:lang w:val="pt-PT"/>
        </w:rPr>
        <w:t xml:space="preserve">) concentram cerca de 40% da população total do país e apresentam as mais altas taxas de incidência da pobreza (56.6% e 57.1% </w:t>
      </w:r>
      <w:proofErr w:type="spellStart"/>
      <w:r w:rsidRPr="00292532">
        <w:rPr>
          <w:rFonts w:ascii="Arial" w:eastAsia="Times New Roman" w:hAnsi="Arial" w:cs="Arial"/>
          <w:sz w:val="20"/>
          <w:lang w:val="pt-PT"/>
        </w:rPr>
        <w:t>respectivamente</w:t>
      </w:r>
      <w:proofErr w:type="spellEnd"/>
      <w:r w:rsidRPr="00292532">
        <w:rPr>
          <w:rFonts w:ascii="Arial" w:eastAsia="Times New Roman" w:hAnsi="Arial" w:cs="Arial"/>
          <w:sz w:val="20"/>
          <w:lang w:val="pt-PT"/>
        </w:rPr>
        <w:t>) (MEF&amp;DEEF, 2016).</w:t>
      </w:r>
    </w:p>
    <w:p w14:paraId="5D25CCBB" w14:textId="77777777" w:rsidR="00B31AE2" w:rsidRPr="00292532" w:rsidRDefault="00B31AE2" w:rsidP="00B31AE2">
      <w:pPr>
        <w:spacing w:before="0" w:after="120"/>
        <w:rPr>
          <w:rFonts w:ascii="Arial" w:eastAsia="Times New Roman" w:hAnsi="Arial" w:cs="Arial"/>
          <w:sz w:val="20"/>
          <w:lang w:val="pt-PT"/>
        </w:rPr>
      </w:pPr>
      <w:r w:rsidRPr="00292532">
        <w:rPr>
          <w:rFonts w:ascii="Arial" w:eastAsia="Times New Roman" w:hAnsi="Arial" w:cs="Arial"/>
          <w:sz w:val="20"/>
          <w:lang w:val="pt-PT"/>
        </w:rPr>
        <w:t xml:space="preserve">A pobreza é um </w:t>
      </w:r>
      <w:proofErr w:type="spellStart"/>
      <w:r w:rsidRPr="00292532">
        <w:rPr>
          <w:rFonts w:ascii="Arial" w:eastAsia="Times New Roman" w:hAnsi="Arial" w:cs="Arial"/>
          <w:sz w:val="20"/>
          <w:lang w:val="pt-PT"/>
        </w:rPr>
        <w:t>factor</w:t>
      </w:r>
      <w:proofErr w:type="spellEnd"/>
      <w:r w:rsidRPr="00292532">
        <w:rPr>
          <w:rFonts w:ascii="Arial" w:eastAsia="Times New Roman" w:hAnsi="Arial" w:cs="Arial"/>
          <w:sz w:val="20"/>
          <w:lang w:val="pt-PT"/>
        </w:rPr>
        <w:t xml:space="preserve"> agravante no que se refere a VBG, por exemplo, pelo casamento prematuro, os pais são muitas vezes confrontados com a </w:t>
      </w:r>
      <w:proofErr w:type="spellStart"/>
      <w:r w:rsidRPr="00292532">
        <w:rPr>
          <w:rFonts w:ascii="Arial" w:eastAsia="Times New Roman" w:hAnsi="Arial" w:cs="Arial"/>
          <w:sz w:val="20"/>
          <w:lang w:val="pt-PT"/>
        </w:rPr>
        <w:t>perspectiva</w:t>
      </w:r>
      <w:proofErr w:type="spellEnd"/>
      <w:r w:rsidRPr="00292532">
        <w:rPr>
          <w:rFonts w:ascii="Arial" w:eastAsia="Times New Roman" w:hAnsi="Arial" w:cs="Arial"/>
          <w:sz w:val="20"/>
          <w:lang w:val="pt-PT"/>
        </w:rPr>
        <w:t xml:space="preserve"> de ter de entregar as suas filhas em troca de dinheiro para alimentar a família</w:t>
      </w:r>
      <w:r w:rsidRPr="00292532">
        <w:rPr>
          <w:rFonts w:ascii="Arial" w:eastAsia="Times New Roman" w:hAnsi="Arial" w:cs="Arial"/>
          <w:color w:val="222222"/>
          <w:sz w:val="20"/>
          <w:lang w:val="pt-PT"/>
        </w:rPr>
        <w:t xml:space="preserve">, o que </w:t>
      </w:r>
      <w:r w:rsidRPr="00292532">
        <w:rPr>
          <w:rFonts w:ascii="Arial" w:eastAsia="Times New Roman" w:hAnsi="Arial" w:cs="Arial"/>
          <w:sz w:val="20"/>
          <w:lang w:val="pt-PT"/>
        </w:rPr>
        <w:t>está também na origem de problemas</w:t>
      </w:r>
      <w:r w:rsidRPr="00292532">
        <w:rPr>
          <w:rFonts w:ascii="Arial" w:eastAsia="Times New Roman" w:hAnsi="Arial" w:cs="Arial"/>
          <w:color w:val="FF0000"/>
          <w:sz w:val="20"/>
          <w:lang w:val="pt-PT"/>
        </w:rPr>
        <w:t xml:space="preserve"> </w:t>
      </w:r>
      <w:r w:rsidRPr="00292532">
        <w:rPr>
          <w:rFonts w:ascii="Arial" w:eastAsia="Times New Roman" w:hAnsi="Arial" w:cs="Arial"/>
          <w:sz w:val="20"/>
          <w:lang w:val="pt-PT"/>
        </w:rPr>
        <w:t xml:space="preserve">de saúde sexual e reprodutiva, gravidez precoce, desistência escolar, entre outros (Machel, Pires, e </w:t>
      </w:r>
      <w:proofErr w:type="spellStart"/>
      <w:r w:rsidRPr="00292532">
        <w:rPr>
          <w:rFonts w:ascii="Arial" w:eastAsia="Times New Roman" w:hAnsi="Arial" w:cs="Arial"/>
          <w:sz w:val="20"/>
          <w:lang w:val="pt-PT"/>
        </w:rPr>
        <w:t>Carlsson</w:t>
      </w:r>
      <w:proofErr w:type="spellEnd"/>
      <w:r w:rsidRPr="00292532">
        <w:rPr>
          <w:rFonts w:ascii="Arial" w:eastAsia="Times New Roman" w:hAnsi="Arial" w:cs="Arial"/>
          <w:sz w:val="20"/>
          <w:lang w:val="pt-PT"/>
        </w:rPr>
        <w:t xml:space="preserve">, 2013).  </w:t>
      </w:r>
    </w:p>
    <w:p w14:paraId="0E2C0451" w14:textId="77777777" w:rsidR="00B31AE2" w:rsidRPr="00292532" w:rsidRDefault="00B31AE2" w:rsidP="00B31AE2">
      <w:pPr>
        <w:spacing w:before="0" w:after="120"/>
        <w:rPr>
          <w:rFonts w:ascii="Arial" w:eastAsia="Times New Roman" w:hAnsi="Arial" w:cs="Arial"/>
          <w:sz w:val="20"/>
          <w:szCs w:val="24"/>
          <w:lang w:val="pt-PT"/>
        </w:rPr>
      </w:pPr>
      <w:r w:rsidRPr="00292532">
        <w:rPr>
          <w:rFonts w:ascii="Arial" w:eastAsia="Times New Roman" w:hAnsi="Arial" w:cs="Arial"/>
          <w:sz w:val="20"/>
          <w:szCs w:val="24"/>
          <w:lang w:val="pt-PT"/>
        </w:rPr>
        <w:lastRenderedPageBreak/>
        <w:t xml:space="preserve">Outro </w:t>
      </w:r>
      <w:proofErr w:type="spellStart"/>
      <w:r w:rsidRPr="00292532">
        <w:rPr>
          <w:rFonts w:ascii="Arial" w:eastAsia="Times New Roman" w:hAnsi="Arial" w:cs="Arial"/>
          <w:sz w:val="20"/>
          <w:szCs w:val="24"/>
          <w:lang w:val="pt-PT"/>
        </w:rPr>
        <w:t>factor</w:t>
      </w:r>
      <w:proofErr w:type="spellEnd"/>
      <w:r w:rsidRPr="00292532">
        <w:rPr>
          <w:rFonts w:ascii="Arial" w:eastAsia="Times New Roman" w:hAnsi="Arial" w:cs="Arial"/>
          <w:sz w:val="20"/>
          <w:szCs w:val="24"/>
          <w:lang w:val="pt-PT"/>
        </w:rPr>
        <w:t xml:space="preserve"> agravante devido a incidência da pobreza é a Violência Contra Crianças (VCC) que constitui um constrangimento para a sua erradicação. Em 2010 havia mais de 12 milhões de crianças e cerca de 1.108.334 crianças entre 7 e 17 anos desenvolviam trabalho infantil em diversos ramos ou sectores de </w:t>
      </w:r>
      <w:proofErr w:type="spellStart"/>
      <w:r w:rsidRPr="00292532">
        <w:rPr>
          <w:rFonts w:ascii="Arial" w:eastAsia="Times New Roman" w:hAnsi="Arial" w:cs="Arial"/>
          <w:sz w:val="20"/>
          <w:szCs w:val="24"/>
          <w:lang w:val="pt-PT"/>
        </w:rPr>
        <w:t>actividades</w:t>
      </w:r>
      <w:proofErr w:type="spellEnd"/>
      <w:r w:rsidRPr="00292532">
        <w:rPr>
          <w:rFonts w:ascii="Arial" w:eastAsia="Times New Roman" w:hAnsi="Arial" w:cs="Arial"/>
          <w:sz w:val="20"/>
          <w:szCs w:val="24"/>
          <w:lang w:val="pt-PT"/>
        </w:rPr>
        <w:t xml:space="preserve"> em todo o país. As províncias de Nampula e Zambézia lideram a maioria da população infantil envolvida em trabalho remunerado (MITESS, UEM, 2016).</w:t>
      </w:r>
    </w:p>
    <w:p w14:paraId="49AE5DDC" w14:textId="77777777" w:rsidR="00B31AE2" w:rsidRPr="00292532" w:rsidRDefault="00B31AE2" w:rsidP="00B31AE2">
      <w:pPr>
        <w:spacing w:before="0" w:after="120"/>
        <w:rPr>
          <w:rFonts w:ascii="Arial" w:eastAsia="Times New Roman" w:hAnsi="Arial" w:cs="Arial"/>
          <w:sz w:val="20"/>
          <w:szCs w:val="24"/>
          <w:lang w:val="pt-PT"/>
        </w:rPr>
      </w:pPr>
      <w:r w:rsidRPr="00292532">
        <w:rPr>
          <w:rFonts w:ascii="Arial" w:eastAsia="Times New Roman" w:hAnsi="Arial" w:cs="Arial"/>
          <w:sz w:val="20"/>
          <w:lang w:val="pt-PT"/>
        </w:rPr>
        <w:t xml:space="preserve">Os ritos de iniciação que é uma prática comum na área de implementação do </w:t>
      </w:r>
      <w:proofErr w:type="spellStart"/>
      <w:r w:rsidRPr="00292532">
        <w:rPr>
          <w:rFonts w:ascii="Arial" w:eastAsia="Times New Roman" w:hAnsi="Arial" w:cs="Arial"/>
          <w:sz w:val="20"/>
          <w:lang w:val="pt-PT"/>
        </w:rPr>
        <w:t>projecto</w:t>
      </w:r>
      <w:proofErr w:type="spellEnd"/>
      <w:r w:rsidRPr="00292532">
        <w:rPr>
          <w:rFonts w:ascii="Arial" w:eastAsia="Times New Roman" w:hAnsi="Arial" w:cs="Arial"/>
          <w:sz w:val="20"/>
          <w:lang w:val="pt-PT"/>
        </w:rPr>
        <w:t>, é um exemplo de prática sociocultural que põe as raparigas e mulheres em situação de subordinação em relação aos rapazes e homens. Os ritos regulam os comportamentos, tentando conservar as hierarquias e reforçar as desigualdades de género (função de chefe para o homem e de mãe para mulher) (WLSA 2013). Estas práticas têm vindo a reproduzir o modelo da inferioridade das mulheres/raparigas, o que legitima a cultura de dominação patriarcal, potencializando a</w:t>
      </w:r>
      <w:r w:rsidRPr="00292532">
        <w:rPr>
          <w:rFonts w:ascii="Arial" w:eastAsia="Times New Roman" w:hAnsi="Arial" w:cs="Arial"/>
          <w:sz w:val="20"/>
          <w:szCs w:val="24"/>
          <w:lang w:val="pt-PT"/>
        </w:rPr>
        <w:t xml:space="preserve">s diferenças de género que, segundo a tradição, representam a passagem da adolescência para a idade adulta. Como resultado, as meninas são forçadas a abandonar a escola e casar precocemente, o que permanece frequente nas áreas rurais e que normaliza </w:t>
      </w:r>
      <w:proofErr w:type="spellStart"/>
      <w:r w:rsidRPr="00292532">
        <w:rPr>
          <w:rFonts w:ascii="Arial" w:eastAsia="Times New Roman" w:hAnsi="Arial" w:cs="Arial"/>
          <w:sz w:val="20"/>
          <w:szCs w:val="24"/>
          <w:lang w:val="pt-PT"/>
        </w:rPr>
        <w:t>actos</w:t>
      </w:r>
      <w:proofErr w:type="spellEnd"/>
      <w:r w:rsidRPr="00292532">
        <w:rPr>
          <w:rFonts w:ascii="Arial" w:eastAsia="Times New Roman" w:hAnsi="Arial" w:cs="Arial"/>
          <w:sz w:val="20"/>
          <w:szCs w:val="24"/>
          <w:lang w:val="pt-PT"/>
        </w:rPr>
        <w:t xml:space="preserve"> de violência contra mulheres e raparigas (Conceição Osório, 2013).</w:t>
      </w:r>
    </w:p>
    <w:p w14:paraId="415390DF" w14:textId="77777777" w:rsidR="00B31AE2" w:rsidRPr="00292532" w:rsidRDefault="00B31AE2" w:rsidP="00B31AE2">
      <w:pPr>
        <w:spacing w:before="0" w:after="120"/>
        <w:rPr>
          <w:rFonts w:ascii="Arial" w:eastAsia="Times New Roman" w:hAnsi="Arial" w:cs="Arial"/>
          <w:sz w:val="20"/>
          <w:lang w:val="pt-PT"/>
        </w:rPr>
      </w:pPr>
      <w:r w:rsidRPr="00292532">
        <w:rPr>
          <w:rFonts w:ascii="Arial" w:eastAsia="Times New Roman" w:hAnsi="Arial" w:cs="Arial"/>
          <w:sz w:val="20"/>
          <w:lang w:val="pt-PT"/>
        </w:rPr>
        <w:t xml:space="preserve">As províncias do centro e norte do país (incluindo a área de abrangência do </w:t>
      </w:r>
      <w:proofErr w:type="spellStart"/>
      <w:r w:rsidRPr="00292532">
        <w:rPr>
          <w:rFonts w:ascii="Arial" w:eastAsia="Times New Roman" w:hAnsi="Arial" w:cs="Arial"/>
          <w:sz w:val="20"/>
          <w:lang w:val="pt-PT"/>
        </w:rPr>
        <w:t>projecto</w:t>
      </w:r>
      <w:proofErr w:type="spellEnd"/>
      <w:r w:rsidRPr="00292532">
        <w:rPr>
          <w:rFonts w:ascii="Arial" w:eastAsia="Times New Roman" w:hAnsi="Arial" w:cs="Arial"/>
          <w:sz w:val="20"/>
          <w:lang w:val="pt-PT"/>
        </w:rPr>
        <w:t xml:space="preserve">) caracterizam-se por serem de estrutura matrilinear, o que significa que a descendência ocorre pela linhagem materna, incluindo a transmissão dos direitos de propriedade da terra, embora a sua gestão é feita através de um membro da família do sexo masculino, nomeadamente irmãos ou tios maternos (Hábitos e Cultura do Povo Moçambicano, 2020). Segundo o estudo da WLSA (2013) não há grande diferença na transmissão das mensagens de desigualdade de género e divisão de trabalho tanto na organização patrilinear como na matrilinear, no entanto, as regiões predominantemente assentes em valores matrilineares, aliados à uma forte influência islâmica, tem estruturas próprias de resolução de conflitos onde as estruturas oficiais de justiça (que integram as mulheres) não são muito valorizadas. </w:t>
      </w:r>
    </w:p>
    <w:p w14:paraId="3DE98D95" w14:textId="77777777" w:rsidR="00B31AE2" w:rsidRPr="00292532" w:rsidRDefault="00B31AE2" w:rsidP="00B31AE2">
      <w:pPr>
        <w:spacing w:before="0" w:after="120"/>
        <w:rPr>
          <w:rFonts w:ascii="Arial" w:eastAsia="Times New Roman" w:hAnsi="Arial" w:cs="Arial"/>
          <w:sz w:val="20"/>
          <w:lang w:val="pt-PT"/>
        </w:rPr>
      </w:pPr>
      <w:r w:rsidRPr="00292532">
        <w:rPr>
          <w:rFonts w:ascii="Arial" w:eastAsia="Times New Roman" w:hAnsi="Arial" w:cs="Arial"/>
          <w:sz w:val="20"/>
          <w:lang w:val="pt-PT"/>
        </w:rPr>
        <w:t xml:space="preserve">Na análise de VBG do </w:t>
      </w:r>
      <w:proofErr w:type="spellStart"/>
      <w:r w:rsidRPr="00292532">
        <w:rPr>
          <w:rFonts w:ascii="Arial" w:eastAsia="Times New Roman" w:hAnsi="Arial" w:cs="Arial"/>
          <w:sz w:val="20"/>
          <w:lang w:val="pt-PT"/>
        </w:rPr>
        <w:t>projecto</w:t>
      </w:r>
      <w:proofErr w:type="spellEnd"/>
      <w:r w:rsidRPr="00292532">
        <w:rPr>
          <w:rFonts w:ascii="Arial" w:eastAsia="Times New Roman" w:hAnsi="Arial" w:cs="Arial"/>
          <w:sz w:val="20"/>
          <w:lang w:val="pt-PT"/>
        </w:rPr>
        <w:t xml:space="preserve"> </w:t>
      </w:r>
      <w:proofErr w:type="spellStart"/>
      <w:r w:rsidRPr="00292532">
        <w:rPr>
          <w:rFonts w:ascii="Arial" w:eastAsia="Times New Roman" w:hAnsi="Arial" w:cs="Arial"/>
          <w:sz w:val="20"/>
          <w:lang w:val="pt-PT"/>
        </w:rPr>
        <w:t>MozRural</w:t>
      </w:r>
      <w:proofErr w:type="spellEnd"/>
      <w:r w:rsidRPr="00292532">
        <w:rPr>
          <w:rFonts w:ascii="Arial" w:eastAsia="Times New Roman" w:hAnsi="Arial" w:cs="Arial"/>
          <w:sz w:val="20"/>
          <w:lang w:val="pt-PT"/>
        </w:rPr>
        <w:t xml:space="preserve">, a ser implementado na centro e zona Norte do país, foi constatado que os apelos para a inclusão da mulher em várias </w:t>
      </w:r>
      <w:proofErr w:type="spellStart"/>
      <w:r w:rsidRPr="00292532">
        <w:rPr>
          <w:rFonts w:ascii="Arial" w:eastAsia="Times New Roman" w:hAnsi="Arial" w:cs="Arial"/>
          <w:sz w:val="20"/>
          <w:lang w:val="pt-PT"/>
        </w:rPr>
        <w:t>actividades</w:t>
      </w:r>
      <w:proofErr w:type="spellEnd"/>
      <w:r w:rsidRPr="00292532">
        <w:rPr>
          <w:rFonts w:ascii="Arial" w:eastAsia="Times New Roman" w:hAnsi="Arial" w:cs="Arial"/>
          <w:sz w:val="20"/>
          <w:lang w:val="pt-PT"/>
        </w:rPr>
        <w:t>/</w:t>
      </w:r>
      <w:proofErr w:type="spellStart"/>
      <w:r w:rsidRPr="00292532">
        <w:rPr>
          <w:rFonts w:ascii="Arial" w:eastAsia="Times New Roman" w:hAnsi="Arial" w:cs="Arial"/>
          <w:sz w:val="20"/>
          <w:lang w:val="pt-PT"/>
        </w:rPr>
        <w:t>projectos</w:t>
      </w:r>
      <w:proofErr w:type="spellEnd"/>
      <w:r w:rsidRPr="00292532">
        <w:rPr>
          <w:rFonts w:ascii="Arial" w:eastAsia="Times New Roman" w:hAnsi="Arial" w:cs="Arial"/>
          <w:sz w:val="20"/>
          <w:lang w:val="pt-PT"/>
        </w:rPr>
        <w:t xml:space="preserve">, criam um “romantismo” em torno da questão e a inclusão das mulheres em alguns </w:t>
      </w:r>
      <w:proofErr w:type="spellStart"/>
      <w:r w:rsidRPr="00292532">
        <w:rPr>
          <w:rFonts w:ascii="Arial" w:eastAsia="Times New Roman" w:hAnsi="Arial" w:cs="Arial"/>
          <w:sz w:val="20"/>
          <w:lang w:val="pt-PT"/>
        </w:rPr>
        <w:t>projectos</w:t>
      </w:r>
      <w:proofErr w:type="spellEnd"/>
      <w:r w:rsidRPr="00292532">
        <w:rPr>
          <w:rFonts w:ascii="Arial" w:eastAsia="Times New Roman" w:hAnsi="Arial" w:cs="Arial"/>
          <w:sz w:val="20"/>
          <w:lang w:val="pt-PT"/>
        </w:rPr>
        <w:t xml:space="preserve"> é vista como o cumprimento de uma orientação/obrigação e não como um direito ou merecimento, o que pode resultar na marginalização e discriminação das mesmas, mesmo quando inseridas nos </w:t>
      </w:r>
      <w:proofErr w:type="spellStart"/>
      <w:r w:rsidRPr="00292532">
        <w:rPr>
          <w:rFonts w:ascii="Arial" w:eastAsia="Times New Roman" w:hAnsi="Arial" w:cs="Arial"/>
          <w:sz w:val="20"/>
          <w:lang w:val="pt-PT"/>
        </w:rPr>
        <w:t>projectos</w:t>
      </w:r>
      <w:proofErr w:type="spellEnd"/>
      <w:r w:rsidRPr="00292532">
        <w:rPr>
          <w:rFonts w:ascii="Arial" w:eastAsia="Times New Roman" w:hAnsi="Arial" w:cs="Arial"/>
          <w:sz w:val="20"/>
          <w:lang w:val="pt-PT"/>
        </w:rPr>
        <w:t>.</w:t>
      </w:r>
    </w:p>
    <w:p w14:paraId="43E96D69" w14:textId="77777777" w:rsidR="00B31AE2" w:rsidRPr="00292532" w:rsidRDefault="00B31AE2" w:rsidP="00B31AE2">
      <w:pPr>
        <w:spacing w:before="0" w:after="120"/>
        <w:rPr>
          <w:rFonts w:ascii="Arial" w:eastAsia="Times New Roman" w:hAnsi="Arial" w:cs="Arial"/>
          <w:sz w:val="20"/>
          <w:lang w:val="pt-PT"/>
        </w:rPr>
      </w:pPr>
      <w:r w:rsidRPr="00292532">
        <w:rPr>
          <w:rFonts w:ascii="Arial" w:eastAsia="Times New Roman" w:hAnsi="Arial" w:cs="Arial"/>
          <w:sz w:val="20"/>
          <w:lang w:val="pt-PT"/>
        </w:rPr>
        <w:t xml:space="preserve">Numa situação de exclusão e vulnerabilidade, o assédio e abuso sexual, uniões forçadas e precoces constituem alguns dos riscos a que as mulheres podem estar expostas, por exemplo quando elas participam em </w:t>
      </w:r>
      <w:proofErr w:type="spellStart"/>
      <w:r w:rsidRPr="00292532">
        <w:rPr>
          <w:rFonts w:ascii="Arial" w:eastAsia="Times New Roman" w:hAnsi="Arial" w:cs="Arial"/>
          <w:sz w:val="20"/>
          <w:lang w:val="pt-PT"/>
        </w:rPr>
        <w:t>actividades</w:t>
      </w:r>
      <w:proofErr w:type="spellEnd"/>
      <w:r w:rsidRPr="00292532">
        <w:rPr>
          <w:rFonts w:ascii="Arial" w:eastAsia="Times New Roman" w:hAnsi="Arial" w:cs="Arial"/>
          <w:sz w:val="20"/>
          <w:lang w:val="pt-PT"/>
        </w:rPr>
        <w:t xml:space="preserve"> em espaço naturalmente dominado por homens, ou quando os homens estão a trabalhar distantes das suas famílias e esposas, como por exemplo na construção/melhoria de </w:t>
      </w:r>
      <w:proofErr w:type="spellStart"/>
      <w:r w:rsidRPr="00292532">
        <w:rPr>
          <w:rFonts w:ascii="Arial" w:eastAsia="Times New Roman" w:hAnsi="Arial" w:cs="Arial"/>
          <w:sz w:val="20"/>
          <w:lang w:val="pt-PT"/>
        </w:rPr>
        <w:t>infra-estruturas</w:t>
      </w:r>
      <w:proofErr w:type="spellEnd"/>
      <w:r w:rsidRPr="00292532">
        <w:rPr>
          <w:rFonts w:ascii="Arial" w:eastAsia="Times New Roman" w:hAnsi="Arial" w:cs="Arial"/>
          <w:sz w:val="20"/>
          <w:lang w:val="pt-PT"/>
        </w:rPr>
        <w:t xml:space="preserve"> num contexto dominado por estereótipos de género construídas a partir de uma ideologia patriarcal. A vulnerabilidade faz com que raparigas da comunidade facilmente cedam a avanços sexuais (assédio sexual, violência sexual, abuso sexual).</w:t>
      </w:r>
    </w:p>
    <w:p w14:paraId="6D173EA4" w14:textId="77777777" w:rsidR="00B31AE2" w:rsidRPr="00292532" w:rsidRDefault="00B31AE2" w:rsidP="00B31AE2">
      <w:pPr>
        <w:spacing w:before="0" w:after="120"/>
        <w:rPr>
          <w:rFonts w:ascii="Arial" w:eastAsia="Times New Roman" w:hAnsi="Arial" w:cs="Arial"/>
          <w:sz w:val="20"/>
          <w:lang w:val="pt-PT"/>
        </w:rPr>
      </w:pPr>
      <w:r w:rsidRPr="00292532">
        <w:rPr>
          <w:rFonts w:ascii="Arial" w:eastAsia="Times New Roman" w:hAnsi="Arial" w:cs="Arial"/>
          <w:sz w:val="20"/>
          <w:lang w:val="pt-PT"/>
        </w:rPr>
        <w:t xml:space="preserve">Segundo o Jornal o País num artigo publicado no dia 19 de Junho de 2021 e reportagens televisivas no mesmo período, durante a implementação do </w:t>
      </w:r>
      <w:proofErr w:type="spellStart"/>
      <w:r w:rsidRPr="00292532">
        <w:rPr>
          <w:rFonts w:ascii="Arial" w:eastAsia="Times New Roman" w:hAnsi="Arial" w:cs="Arial"/>
          <w:sz w:val="20"/>
          <w:lang w:val="pt-PT"/>
        </w:rPr>
        <w:t>Projecto</w:t>
      </w:r>
      <w:proofErr w:type="spellEnd"/>
      <w:r w:rsidRPr="00292532">
        <w:rPr>
          <w:rFonts w:ascii="Arial" w:eastAsia="Times New Roman" w:hAnsi="Arial" w:cs="Arial"/>
          <w:sz w:val="20"/>
          <w:lang w:val="pt-PT"/>
        </w:rPr>
        <w:t xml:space="preserve"> Estradas Rurais, implementado igualmente nas províncias de Zambézia e Nampula, seis casos de violações sexuais de menores, incluindo com uma gravidez precoce, foram protagonizados pelos trabalhadores da obra, o que levou o Ministério das Obras Públicas, com o envolvimento do Ministro, a definir medidas restritivas para os trabalhadores e empresas envolvidas afim de reduzir o risco de acontecimentos similares. Tais restrições incluem a proibição de ter trabalhadores oriundos de outros pontos do país ou outras comunidades a viverem fora dos acampamentos do empreiteiro, o que permitirá a restrição de contacto com as raparigas da comunidade e minimizar os casos de VBG. Embora os perpetradores do </w:t>
      </w:r>
      <w:proofErr w:type="spellStart"/>
      <w:r w:rsidRPr="00292532">
        <w:rPr>
          <w:rFonts w:ascii="Arial" w:eastAsia="Times New Roman" w:hAnsi="Arial" w:cs="Arial"/>
          <w:sz w:val="20"/>
          <w:lang w:val="pt-PT"/>
        </w:rPr>
        <w:t>Projecto</w:t>
      </w:r>
      <w:proofErr w:type="spellEnd"/>
      <w:r w:rsidRPr="00292532">
        <w:rPr>
          <w:rFonts w:ascii="Arial" w:eastAsia="Times New Roman" w:hAnsi="Arial" w:cs="Arial"/>
          <w:sz w:val="20"/>
          <w:lang w:val="pt-PT"/>
        </w:rPr>
        <w:t xml:space="preserve"> Estradas Rurais tenham sido expulsos e abertos processos criminais contra eles, em muitos </w:t>
      </w:r>
      <w:proofErr w:type="spellStart"/>
      <w:r w:rsidRPr="00292532">
        <w:rPr>
          <w:rFonts w:ascii="Arial" w:eastAsia="Times New Roman" w:hAnsi="Arial" w:cs="Arial"/>
          <w:sz w:val="20"/>
          <w:lang w:val="pt-PT"/>
        </w:rPr>
        <w:t>projectos</w:t>
      </w:r>
      <w:proofErr w:type="spellEnd"/>
      <w:r w:rsidRPr="00292532">
        <w:rPr>
          <w:rFonts w:ascii="Arial" w:eastAsia="Times New Roman" w:hAnsi="Arial" w:cs="Arial"/>
          <w:sz w:val="20"/>
          <w:lang w:val="pt-PT"/>
        </w:rPr>
        <w:t xml:space="preserve">, devido aos deficientes sistemas de controlo de VBG e a falta de divulgação extensiva dos mecanismos de queixa e reclamações, as vítimas sofrem caladas e tem originado casos frequentes de ‘’crianças do </w:t>
      </w:r>
      <w:proofErr w:type="spellStart"/>
      <w:r w:rsidRPr="00292532">
        <w:rPr>
          <w:rFonts w:ascii="Arial" w:eastAsia="Times New Roman" w:hAnsi="Arial" w:cs="Arial"/>
          <w:sz w:val="20"/>
          <w:lang w:val="pt-PT"/>
        </w:rPr>
        <w:t>projecto</w:t>
      </w:r>
      <w:proofErr w:type="spellEnd"/>
      <w:r w:rsidRPr="00292532">
        <w:rPr>
          <w:rFonts w:ascii="Arial" w:eastAsia="Times New Roman" w:hAnsi="Arial" w:cs="Arial"/>
          <w:sz w:val="20"/>
          <w:lang w:val="pt-PT"/>
        </w:rPr>
        <w:t xml:space="preserve">’’, que são filhos originados pelos trabalhadores do </w:t>
      </w:r>
      <w:proofErr w:type="spellStart"/>
      <w:r w:rsidRPr="00292532">
        <w:rPr>
          <w:rFonts w:ascii="Arial" w:eastAsia="Times New Roman" w:hAnsi="Arial" w:cs="Arial"/>
          <w:sz w:val="20"/>
          <w:lang w:val="pt-PT"/>
        </w:rPr>
        <w:t>projecto</w:t>
      </w:r>
      <w:proofErr w:type="spellEnd"/>
      <w:r w:rsidRPr="00292532">
        <w:rPr>
          <w:rFonts w:ascii="Arial" w:eastAsia="Times New Roman" w:hAnsi="Arial" w:cs="Arial"/>
          <w:sz w:val="20"/>
          <w:lang w:val="pt-PT"/>
        </w:rPr>
        <w:t xml:space="preserve"> e durante o </w:t>
      </w:r>
      <w:proofErr w:type="spellStart"/>
      <w:r w:rsidRPr="00292532">
        <w:rPr>
          <w:rFonts w:ascii="Arial" w:eastAsia="Times New Roman" w:hAnsi="Arial" w:cs="Arial"/>
          <w:sz w:val="20"/>
          <w:lang w:val="pt-PT"/>
        </w:rPr>
        <w:t>projecto</w:t>
      </w:r>
      <w:proofErr w:type="spellEnd"/>
      <w:r w:rsidRPr="00292532">
        <w:rPr>
          <w:rFonts w:ascii="Arial" w:eastAsia="Times New Roman" w:hAnsi="Arial" w:cs="Arial"/>
          <w:sz w:val="20"/>
          <w:lang w:val="pt-PT"/>
        </w:rPr>
        <w:t xml:space="preserve">, que muitas das vezes após o fim do trabalho no </w:t>
      </w:r>
      <w:proofErr w:type="spellStart"/>
      <w:r w:rsidRPr="00292532">
        <w:rPr>
          <w:rFonts w:ascii="Arial" w:eastAsia="Times New Roman" w:hAnsi="Arial" w:cs="Arial"/>
          <w:sz w:val="20"/>
          <w:lang w:val="pt-PT"/>
        </w:rPr>
        <w:t>Projecto</w:t>
      </w:r>
      <w:proofErr w:type="spellEnd"/>
      <w:r w:rsidRPr="00292532">
        <w:rPr>
          <w:rFonts w:ascii="Arial" w:eastAsia="Times New Roman" w:hAnsi="Arial" w:cs="Arial"/>
          <w:sz w:val="20"/>
          <w:lang w:val="pt-PT"/>
        </w:rPr>
        <w:t>, as vítimas são abandonadas, o que aumenta os casos de pobreza e, consequentemente, a vulnerabilidade.</w:t>
      </w:r>
    </w:p>
    <w:p w14:paraId="2FCB1031" w14:textId="77777777" w:rsidR="00B31AE2" w:rsidRPr="00292532" w:rsidRDefault="00B31AE2" w:rsidP="00B31AE2">
      <w:pPr>
        <w:spacing w:before="0" w:after="120"/>
        <w:rPr>
          <w:rFonts w:ascii="Arial" w:eastAsia="Times New Roman" w:hAnsi="Arial" w:cs="Arial"/>
          <w:sz w:val="20"/>
          <w:lang w:val="pt-PT"/>
        </w:rPr>
      </w:pPr>
      <w:r w:rsidRPr="00292532">
        <w:rPr>
          <w:rFonts w:ascii="Arial" w:eastAsia="Times New Roman" w:hAnsi="Arial" w:cs="Arial"/>
          <w:sz w:val="20"/>
          <w:lang w:val="pt-PT"/>
        </w:rPr>
        <w:t xml:space="preserve">Vários </w:t>
      </w:r>
      <w:proofErr w:type="spellStart"/>
      <w:r w:rsidRPr="00292532">
        <w:rPr>
          <w:rFonts w:ascii="Arial" w:eastAsia="Times New Roman" w:hAnsi="Arial" w:cs="Arial"/>
          <w:sz w:val="20"/>
          <w:lang w:val="pt-PT"/>
        </w:rPr>
        <w:t>actores</w:t>
      </w:r>
      <w:proofErr w:type="spellEnd"/>
      <w:r w:rsidRPr="00292532">
        <w:rPr>
          <w:rFonts w:ascii="Arial" w:eastAsia="Times New Roman" w:hAnsi="Arial" w:cs="Arial"/>
          <w:sz w:val="20"/>
          <w:lang w:val="pt-PT"/>
        </w:rPr>
        <w:t xml:space="preserve"> da sociedade civil e do Governo têm vindo a trabalhar por forma a criar consciência e criminalizar práticas de VBG em Moçambique, o que leva a crescentes denúncias desses casos nos últimos anos.</w:t>
      </w:r>
      <w:r w:rsidRPr="00292532" w:rsidDel="002971A3">
        <w:rPr>
          <w:rFonts w:ascii="Arial" w:eastAsia="Times New Roman" w:hAnsi="Arial" w:cs="Arial"/>
          <w:sz w:val="20"/>
          <w:lang w:val="pt-PT"/>
        </w:rPr>
        <w:t xml:space="preserve"> </w:t>
      </w:r>
      <w:r w:rsidRPr="00292532">
        <w:rPr>
          <w:rFonts w:ascii="Arial" w:eastAsia="Times New Roman" w:hAnsi="Arial" w:cs="Arial"/>
          <w:sz w:val="20"/>
          <w:lang w:val="pt-PT"/>
        </w:rPr>
        <w:t>Alguns escândalos envolvendo práticas de VBG em instituições públicas tem vindo a ser divulgados no país. No geral, as vítimas estão em condição de dependência/vulnerabilidade perante os perpetradores.</w:t>
      </w:r>
    </w:p>
    <w:p w14:paraId="1C38EFF6" w14:textId="08C0104C" w:rsidR="00B31AE2" w:rsidRPr="00292532" w:rsidRDefault="00B31AE2" w:rsidP="00B31AE2">
      <w:pPr>
        <w:spacing w:before="0" w:after="120"/>
        <w:rPr>
          <w:rFonts w:ascii="Arial" w:eastAsia="Times New Roman" w:hAnsi="Arial" w:cs="Arial"/>
          <w:color w:val="4472C4"/>
          <w:sz w:val="20"/>
          <w:szCs w:val="24"/>
          <w:lang w:val="pt-PT"/>
        </w:rPr>
      </w:pPr>
      <w:r w:rsidRPr="00292532">
        <w:rPr>
          <w:rFonts w:ascii="Arial" w:eastAsia="Times New Roman" w:hAnsi="Arial" w:cs="Arial"/>
          <w:sz w:val="20"/>
          <w:lang w:val="pt-PT"/>
        </w:rPr>
        <w:lastRenderedPageBreak/>
        <w:t xml:space="preserve">O Governo tem procurado se mostrar exemplarmente intolerante a tais </w:t>
      </w:r>
      <w:proofErr w:type="spellStart"/>
      <w:r w:rsidRPr="00292532">
        <w:rPr>
          <w:rFonts w:ascii="Arial" w:eastAsia="Times New Roman" w:hAnsi="Arial" w:cs="Arial"/>
          <w:sz w:val="20"/>
          <w:lang w:val="pt-PT"/>
        </w:rPr>
        <w:t>actos</w:t>
      </w:r>
      <w:proofErr w:type="spellEnd"/>
      <w:r w:rsidRPr="00292532">
        <w:rPr>
          <w:rFonts w:ascii="Arial" w:eastAsia="Times New Roman" w:hAnsi="Arial" w:cs="Arial"/>
          <w:sz w:val="20"/>
          <w:lang w:val="pt-PT"/>
        </w:rPr>
        <w:t xml:space="preserve"> através do pronunciamento do mais alto nível hierárquico (ministros, presidente da república, etc.) para garantir o esclarecimento dos casos, que por um lado demostra a pressão das organizações da sociedade civil para a denúncia e minimização de ocorrência dessas práticas, por outro lado, demostra o interesse em esclarecer e eliminar práticas de VBG pelo mais alto nível, garantindo desse modo a confiança para a resolução desses casos, a penalização dos perpetradores, </w:t>
      </w:r>
      <w:proofErr w:type="spellStart"/>
      <w:r w:rsidRPr="00292532">
        <w:rPr>
          <w:rFonts w:ascii="Arial" w:eastAsia="Times New Roman" w:hAnsi="Arial" w:cs="Arial"/>
          <w:sz w:val="20"/>
          <w:lang w:val="pt-PT"/>
        </w:rPr>
        <w:t>protecção</w:t>
      </w:r>
      <w:proofErr w:type="spellEnd"/>
      <w:r w:rsidRPr="00292532">
        <w:rPr>
          <w:rFonts w:ascii="Arial" w:eastAsia="Times New Roman" w:hAnsi="Arial" w:cs="Arial"/>
          <w:sz w:val="20"/>
          <w:lang w:val="pt-PT"/>
        </w:rPr>
        <w:t xml:space="preserve"> das vítimas, e incentivado a denúncia. A título de exemplo, veio ao público em 2020 o caso de candidatas a polícia engravidadas pelos instrutores em </w:t>
      </w:r>
      <w:proofErr w:type="spellStart"/>
      <w:r w:rsidRPr="00292532">
        <w:rPr>
          <w:rFonts w:ascii="Arial" w:eastAsia="Times New Roman" w:hAnsi="Arial" w:cs="Arial"/>
          <w:sz w:val="20"/>
          <w:lang w:val="pt-PT"/>
        </w:rPr>
        <w:t>Matalane</w:t>
      </w:r>
      <w:proofErr w:type="spellEnd"/>
      <w:r w:rsidRPr="00292532">
        <w:rPr>
          <w:rFonts w:ascii="Arial" w:eastAsia="Times New Roman" w:hAnsi="Arial" w:cs="Arial"/>
          <w:sz w:val="20"/>
          <w:lang w:val="pt-PT"/>
        </w:rPr>
        <w:t xml:space="preserve">, o que levou ao então Comandante Geral da Polícia de Moçambique a ordenar a suspensão dos instrutores envolvidos no escândalo e ao presidente do país a exigir uma investigação detalhada ao nível ministerial para o esclarecimento do caso (RTP, 2020). Outro caso foi </w:t>
      </w:r>
      <w:proofErr w:type="gramStart"/>
      <w:r w:rsidRPr="00292532">
        <w:rPr>
          <w:rFonts w:ascii="Arial" w:eastAsia="Times New Roman" w:hAnsi="Arial" w:cs="Arial"/>
          <w:sz w:val="20"/>
          <w:lang w:val="pt-PT"/>
        </w:rPr>
        <w:t>trazida</w:t>
      </w:r>
      <w:proofErr w:type="gramEnd"/>
      <w:r w:rsidRPr="00292532">
        <w:rPr>
          <w:rFonts w:ascii="Arial" w:eastAsia="Times New Roman" w:hAnsi="Arial" w:cs="Arial"/>
          <w:sz w:val="20"/>
          <w:lang w:val="pt-PT"/>
        </w:rPr>
        <w:t xml:space="preserve"> a tona recentemente, através do Centro de Integridade Pública (CIP) que denunciou a exploração sexual de reclusas da cadeia feminina de </w:t>
      </w:r>
      <w:proofErr w:type="spellStart"/>
      <w:r w:rsidRPr="00292532">
        <w:rPr>
          <w:rFonts w:ascii="Arial" w:eastAsia="Times New Roman" w:hAnsi="Arial" w:cs="Arial"/>
          <w:sz w:val="20"/>
          <w:lang w:val="pt-PT"/>
        </w:rPr>
        <w:t>Ndlavela</w:t>
      </w:r>
      <w:proofErr w:type="spellEnd"/>
      <w:r w:rsidRPr="00292532">
        <w:rPr>
          <w:rFonts w:ascii="Arial" w:eastAsia="Times New Roman" w:hAnsi="Arial" w:cs="Arial"/>
          <w:sz w:val="20"/>
          <w:lang w:val="pt-PT"/>
        </w:rPr>
        <w:t xml:space="preserve">, na província de Maputo, protagonizado pelos guardas prisionais, o que levou o Governo, através da Ministra da Justiça, Assuntos Constitucionais e Religiosos, a reunir uma comissão de inquérito para apurar a veracidade dos factos e responsabilizar os </w:t>
      </w:r>
      <w:proofErr w:type="spellStart"/>
      <w:r w:rsidRPr="00292532">
        <w:rPr>
          <w:rFonts w:ascii="Arial" w:eastAsia="Times New Roman" w:hAnsi="Arial" w:cs="Arial"/>
          <w:sz w:val="20"/>
          <w:lang w:val="pt-PT"/>
        </w:rPr>
        <w:t>actores</w:t>
      </w:r>
      <w:proofErr w:type="spellEnd"/>
      <w:r w:rsidRPr="00292532">
        <w:rPr>
          <w:rFonts w:ascii="Arial" w:eastAsia="Times New Roman" w:hAnsi="Arial" w:cs="Arial"/>
          <w:color w:val="4472C4"/>
          <w:sz w:val="20"/>
          <w:szCs w:val="24"/>
          <w:lang w:val="pt-PT"/>
        </w:rPr>
        <w:t>.</w:t>
      </w:r>
    </w:p>
    <w:p w14:paraId="4F5A60C5" w14:textId="77777777" w:rsidR="00B31AE2" w:rsidRPr="00292532" w:rsidRDefault="00B31AE2" w:rsidP="00B31AE2">
      <w:pPr>
        <w:spacing w:before="0" w:after="120"/>
        <w:rPr>
          <w:rFonts w:ascii="Arial" w:eastAsia="Times New Roman" w:hAnsi="Arial" w:cs="Arial"/>
          <w:sz w:val="20"/>
          <w:lang w:val="pt-PT"/>
        </w:rPr>
      </w:pPr>
      <w:r w:rsidRPr="00292532">
        <w:rPr>
          <w:rFonts w:ascii="Arial" w:eastAsia="Times New Roman" w:hAnsi="Arial" w:cs="Arial"/>
          <w:sz w:val="20"/>
          <w:lang w:val="pt-PT"/>
        </w:rPr>
        <w:t>Embora muita das vezes a violência e a desigualdade seja originada pelas diferenças de poder entre pessoas (ex. homens e mulheres, grupos sociais, étnicos, etc.), o acesso deficiente aos serviços básicos e essenciais como o acesso a água e saneamento pode exacerbar a vulnerabilidade á diferentes formas de violência, principalmente as mulheres e grupos minoritários quando procuram atender às suas necessidades diárias (e muitas vezes de suas famílias) de água e saneamento, onde muitas delas devem viajar longas distâncias em busca de uma fonte de água, esperar até a noite para procurar um lugar privado a fim de atender as suas necessidades biológicas.</w:t>
      </w:r>
      <w:r w:rsidRPr="00292532">
        <w:rPr>
          <w:rFonts w:ascii="Arial" w:eastAsia="Times New Roman" w:hAnsi="Arial" w:cs="Arial"/>
          <w:sz w:val="20"/>
          <w:vertAlign w:val="superscript"/>
          <w:lang w:val="pt-PT"/>
        </w:rPr>
        <w:footnoteReference w:id="39"/>
      </w:r>
      <w:r w:rsidRPr="00292532">
        <w:rPr>
          <w:rFonts w:ascii="Arial" w:eastAsia="Times New Roman" w:hAnsi="Arial" w:cs="Arial"/>
          <w:sz w:val="20"/>
          <w:lang w:val="pt-PT"/>
        </w:rPr>
        <w:t xml:space="preserve"> </w:t>
      </w:r>
    </w:p>
    <w:p w14:paraId="593F4C71" w14:textId="77777777" w:rsidR="00B31AE2" w:rsidRPr="00292532" w:rsidRDefault="00B31AE2" w:rsidP="00B31AE2">
      <w:pPr>
        <w:spacing w:before="0" w:after="120"/>
        <w:rPr>
          <w:rFonts w:ascii="Arial" w:eastAsia="Times New Roman" w:hAnsi="Arial" w:cs="Arial"/>
          <w:sz w:val="20"/>
          <w:lang w:val="pt-PT"/>
        </w:rPr>
      </w:pPr>
      <w:r w:rsidRPr="00292532">
        <w:rPr>
          <w:rFonts w:ascii="Arial" w:eastAsia="Times New Roman" w:hAnsi="Arial" w:cs="Arial"/>
          <w:sz w:val="20"/>
          <w:lang w:val="pt-PT"/>
        </w:rPr>
        <w:t>Raparigas e mulheres após a puberdade têm o desafio adicional de controlar a menstruação, o que aumenta suas necessidades diárias de água e saneamento por vários dias a cada mês</w:t>
      </w:r>
      <w:r w:rsidRPr="00292532">
        <w:rPr>
          <w:rFonts w:ascii="Arial" w:eastAsia="Times New Roman" w:hAnsi="Arial" w:cs="Arial"/>
          <w:sz w:val="20"/>
          <w:vertAlign w:val="superscript"/>
          <w:lang w:val="pt-PT"/>
        </w:rPr>
        <w:footnoteReference w:id="40"/>
      </w:r>
      <w:r w:rsidRPr="00292532">
        <w:rPr>
          <w:rFonts w:ascii="Arial" w:eastAsia="Times New Roman" w:hAnsi="Arial" w:cs="Arial"/>
          <w:sz w:val="20"/>
          <w:lang w:val="pt-PT"/>
        </w:rPr>
        <w:t xml:space="preserve">. Isso pode aumentar a vulnerabilidade à violência das meninas e mulheres que vivem em famílias que não têm acesso seguro a instalações adequadas de água e saneamento, incluindo o abandono escolar pelas limitações que as instituições de ensino oferecem para a gestão menstrual. A falta de acesso à água ou a demora devido a longas filas nos pontos de abastecimento de águas também pode contribuir para as tensões entre as mulheres e os seus parceiros, e isso pode levar à violência. Meninas em idade escolar que passam muito tempo buscando água correm maior risco de faltar e / ou não frequentar a escola, o que limita suas oportunidades futuras. Isso, por sua vez, pode colocá-las em um risco maior de Violência Baseada em Género no futuro. Por último, grupos socialmente marginalizados, como pessoas com deficiência, que podem ter problemas no acesso </w:t>
      </w:r>
      <w:proofErr w:type="gramStart"/>
      <w:r w:rsidRPr="00292532">
        <w:rPr>
          <w:rFonts w:ascii="Arial" w:eastAsia="Times New Roman" w:hAnsi="Arial" w:cs="Arial"/>
          <w:sz w:val="20"/>
          <w:lang w:val="pt-PT"/>
        </w:rPr>
        <w:t>à</w:t>
      </w:r>
      <w:proofErr w:type="gramEnd"/>
      <w:r w:rsidRPr="00292532">
        <w:rPr>
          <w:rFonts w:ascii="Arial" w:eastAsia="Times New Roman" w:hAnsi="Arial" w:cs="Arial"/>
          <w:sz w:val="20"/>
          <w:lang w:val="pt-PT"/>
        </w:rPr>
        <w:t xml:space="preserve"> infraestruturas sanitárias, onde a discriminação enraizada pode proibir o uso de fontes de saneamento comuns, podem ter maiores dificuldades em atender com segurança suas necessidades diárias de água e saneamento.</w:t>
      </w:r>
      <w:r w:rsidRPr="00292532">
        <w:rPr>
          <w:rFonts w:ascii="Arial" w:eastAsia="Times New Roman" w:hAnsi="Arial" w:cs="Arial"/>
          <w:sz w:val="20"/>
          <w:vertAlign w:val="superscript"/>
          <w:lang w:val="pt-PT"/>
        </w:rPr>
        <w:footnoteReference w:id="41"/>
      </w:r>
    </w:p>
    <w:p w14:paraId="6C6473F3" w14:textId="77777777" w:rsidR="00B31AE2" w:rsidRPr="00292532" w:rsidRDefault="00B31AE2" w:rsidP="00B31AE2">
      <w:pPr>
        <w:spacing w:before="0" w:after="120"/>
        <w:rPr>
          <w:rFonts w:ascii="Arial" w:eastAsia="Times New Roman" w:hAnsi="Arial" w:cs="Arial"/>
          <w:sz w:val="20"/>
          <w:lang w:val="pt-PT"/>
        </w:rPr>
      </w:pPr>
      <w:r w:rsidRPr="00292532">
        <w:rPr>
          <w:rFonts w:ascii="Arial" w:eastAsia="Times New Roman" w:hAnsi="Arial" w:cs="Arial"/>
          <w:sz w:val="20"/>
          <w:lang w:val="pt-PT"/>
        </w:rPr>
        <w:t xml:space="preserve">Tratando-se de um </w:t>
      </w:r>
      <w:proofErr w:type="spellStart"/>
      <w:r w:rsidRPr="00292532">
        <w:rPr>
          <w:rFonts w:ascii="Arial" w:eastAsia="Times New Roman" w:hAnsi="Arial" w:cs="Arial"/>
          <w:sz w:val="20"/>
          <w:lang w:val="pt-PT"/>
        </w:rPr>
        <w:t>projecto</w:t>
      </w:r>
      <w:proofErr w:type="spellEnd"/>
      <w:r w:rsidRPr="00292532">
        <w:rPr>
          <w:rFonts w:ascii="Arial" w:eastAsia="Times New Roman" w:hAnsi="Arial" w:cs="Arial"/>
          <w:sz w:val="20"/>
          <w:lang w:val="pt-PT"/>
        </w:rPr>
        <w:t xml:space="preserve"> que visa melhorar a provisão de serviços de água e saneamento em vilas e áreas rurais </w:t>
      </w:r>
      <w:proofErr w:type="spellStart"/>
      <w:r w:rsidRPr="00292532">
        <w:rPr>
          <w:rFonts w:ascii="Arial" w:eastAsia="Times New Roman" w:hAnsi="Arial" w:cs="Arial"/>
          <w:sz w:val="20"/>
          <w:lang w:val="pt-PT"/>
        </w:rPr>
        <w:t>seleccionadas</w:t>
      </w:r>
      <w:proofErr w:type="spellEnd"/>
      <w:r w:rsidRPr="00292532">
        <w:rPr>
          <w:rFonts w:ascii="Arial" w:eastAsia="Times New Roman" w:hAnsi="Arial" w:cs="Arial"/>
          <w:sz w:val="20"/>
          <w:lang w:val="pt-PT"/>
        </w:rPr>
        <w:t xml:space="preserve"> das províncias de Nampula e Zambézia, com </w:t>
      </w:r>
      <w:proofErr w:type="spellStart"/>
      <w:r w:rsidRPr="00292532">
        <w:rPr>
          <w:rFonts w:ascii="Arial" w:eastAsia="Times New Roman" w:hAnsi="Arial" w:cs="Arial"/>
          <w:sz w:val="20"/>
          <w:lang w:val="pt-PT"/>
        </w:rPr>
        <w:t>actividades</w:t>
      </w:r>
      <w:proofErr w:type="spellEnd"/>
      <w:r w:rsidRPr="00292532">
        <w:rPr>
          <w:rFonts w:ascii="Arial" w:eastAsia="Times New Roman" w:hAnsi="Arial" w:cs="Arial"/>
          <w:sz w:val="20"/>
          <w:lang w:val="pt-PT"/>
        </w:rPr>
        <w:t xml:space="preserve"> </w:t>
      </w:r>
      <w:proofErr w:type="spellStart"/>
      <w:r w:rsidRPr="00292532">
        <w:rPr>
          <w:rFonts w:ascii="Arial" w:eastAsia="Times New Roman" w:hAnsi="Arial" w:cs="Arial"/>
          <w:sz w:val="20"/>
          <w:lang w:val="pt-PT"/>
        </w:rPr>
        <w:t>infra-estruturais</w:t>
      </w:r>
      <w:proofErr w:type="spellEnd"/>
      <w:r w:rsidRPr="00292532">
        <w:rPr>
          <w:rFonts w:ascii="Arial" w:eastAsia="Times New Roman" w:hAnsi="Arial" w:cs="Arial"/>
          <w:sz w:val="20"/>
          <w:lang w:val="pt-PT"/>
        </w:rPr>
        <w:t xml:space="preserve"> e de sensibilização/educação que demandam influxo de trabalhadores e mudanças nas dinâmicas comunitárias, este pode dar lugar a Violência Baseada no Género (VBG), com especial incidência para a exploração e abuso sexual. O influxo de trabalhadores que o </w:t>
      </w:r>
      <w:proofErr w:type="spellStart"/>
      <w:r w:rsidRPr="00292532">
        <w:rPr>
          <w:rFonts w:ascii="Arial" w:eastAsia="Times New Roman" w:hAnsi="Arial" w:cs="Arial"/>
          <w:sz w:val="20"/>
          <w:lang w:val="pt-PT"/>
        </w:rPr>
        <w:t>projecto</w:t>
      </w:r>
      <w:proofErr w:type="spellEnd"/>
      <w:r w:rsidRPr="00292532">
        <w:rPr>
          <w:rFonts w:ascii="Arial" w:eastAsia="Times New Roman" w:hAnsi="Arial" w:cs="Arial"/>
          <w:sz w:val="20"/>
          <w:lang w:val="pt-PT"/>
        </w:rPr>
        <w:t xml:space="preserve"> demanda pode aumentar a procura por trabalho sexual - até mesmo aumentar o risco de tráfico de mulheres para fins de trabalho sexual, ou o risco de casamento precoce forçado em comunidades onde o casamento com um homem empregado é visto como a melhor estratégia de subsistência para uma adolescente, sobretudo onde a </w:t>
      </w:r>
      <w:r w:rsidRPr="00292532">
        <w:rPr>
          <w:rFonts w:ascii="Arial" w:eastAsia="Times New Roman" w:hAnsi="Arial" w:cs="Arial"/>
          <w:sz w:val="20"/>
          <w:lang w:val="pt-PT"/>
        </w:rPr>
        <w:lastRenderedPageBreak/>
        <w:t xml:space="preserve">carência económica e vulnerabilidade são elevadas. Além disso, salários mais altos para trabalhadores em uma comunidade podem levar a um aumento no sexo </w:t>
      </w:r>
      <w:proofErr w:type="spellStart"/>
      <w:r w:rsidRPr="00292532">
        <w:rPr>
          <w:rFonts w:ascii="Arial" w:eastAsia="Times New Roman" w:hAnsi="Arial" w:cs="Arial"/>
          <w:sz w:val="20"/>
          <w:lang w:val="pt-PT"/>
        </w:rPr>
        <w:t>transaccional</w:t>
      </w:r>
      <w:proofErr w:type="spellEnd"/>
      <w:r w:rsidRPr="00292532">
        <w:rPr>
          <w:rFonts w:ascii="Arial" w:eastAsia="Times New Roman" w:hAnsi="Arial" w:cs="Arial"/>
          <w:sz w:val="20"/>
          <w:vertAlign w:val="superscript"/>
          <w:lang w:val="pt-PT"/>
        </w:rPr>
        <w:footnoteReference w:id="42"/>
      </w:r>
      <w:r w:rsidRPr="00292532">
        <w:rPr>
          <w:rFonts w:ascii="Arial" w:eastAsia="Times New Roman" w:hAnsi="Arial" w:cs="Arial"/>
          <w:sz w:val="20"/>
          <w:lang w:val="pt-PT"/>
        </w:rPr>
        <w:t>.</w:t>
      </w:r>
    </w:p>
    <w:p w14:paraId="64C11681" w14:textId="77777777" w:rsidR="00B31AE2" w:rsidRPr="00292532" w:rsidRDefault="00B31AE2" w:rsidP="00B31AE2">
      <w:pPr>
        <w:spacing w:before="0" w:after="120"/>
        <w:rPr>
          <w:rFonts w:ascii="Arial" w:eastAsia="Times New Roman" w:hAnsi="Arial" w:cs="Arial"/>
          <w:sz w:val="20"/>
          <w:lang w:val="pt-PT"/>
        </w:rPr>
      </w:pPr>
    </w:p>
    <w:p w14:paraId="5E893BFC" w14:textId="77777777" w:rsidR="00B31AE2" w:rsidRPr="004500AE" w:rsidRDefault="00B31AE2" w:rsidP="00AE14AE">
      <w:pPr>
        <w:keepNext/>
        <w:keepLines/>
        <w:numPr>
          <w:ilvl w:val="0"/>
          <w:numId w:val="155"/>
        </w:numPr>
        <w:suppressAutoHyphens/>
        <w:spacing w:before="0" w:after="120"/>
        <w:outlineLvl w:val="0"/>
        <w:rPr>
          <w:rFonts w:eastAsia="Times New Roman" w:cs="Times New Roman"/>
          <w:color w:val="2F5496"/>
          <w:sz w:val="32"/>
          <w:lang w:val="pt-PT"/>
        </w:rPr>
      </w:pPr>
      <w:bookmarkStart w:id="1665" w:name="_Toc75246793"/>
      <w:bookmarkStart w:id="1666" w:name="_Toc75438111"/>
      <w:bookmarkStart w:id="1667" w:name="_Toc78435548"/>
      <w:bookmarkStart w:id="1668" w:name="_Toc80380214"/>
      <w:bookmarkStart w:id="1669" w:name="_Hlk69251253"/>
      <w:r w:rsidRPr="004500AE">
        <w:rPr>
          <w:rFonts w:eastAsia="Times New Roman" w:cs="Times New Roman"/>
          <w:color w:val="2F5496"/>
          <w:sz w:val="32"/>
          <w:lang w:val="pt-PT"/>
        </w:rPr>
        <w:t xml:space="preserve">Análise de Risco de VBG/EAS no contexto do </w:t>
      </w:r>
      <w:proofErr w:type="spellStart"/>
      <w:r w:rsidRPr="004500AE">
        <w:rPr>
          <w:rFonts w:eastAsia="Times New Roman" w:cs="Times New Roman"/>
          <w:color w:val="2F5496"/>
          <w:sz w:val="32"/>
          <w:lang w:val="pt-PT"/>
        </w:rPr>
        <w:t>projecto</w:t>
      </w:r>
      <w:bookmarkEnd w:id="1665"/>
      <w:bookmarkEnd w:id="1666"/>
      <w:bookmarkEnd w:id="1667"/>
      <w:bookmarkEnd w:id="1668"/>
      <w:proofErr w:type="spellEnd"/>
    </w:p>
    <w:p w14:paraId="51CF2CAE" w14:textId="77777777" w:rsidR="00B31AE2" w:rsidRPr="00292532" w:rsidRDefault="00B31AE2" w:rsidP="00AE14AE">
      <w:pPr>
        <w:keepNext/>
        <w:keepLines/>
        <w:numPr>
          <w:ilvl w:val="1"/>
          <w:numId w:val="167"/>
        </w:numPr>
        <w:spacing w:before="0" w:after="120"/>
        <w:outlineLvl w:val="1"/>
        <w:rPr>
          <w:rFonts w:ascii="Arial" w:eastAsia="Calibri" w:hAnsi="Arial" w:cs="Arial"/>
          <w:bCs/>
          <w:color w:val="2F5496"/>
          <w:sz w:val="26"/>
          <w:szCs w:val="26"/>
          <w:lang w:val="pt-PT"/>
        </w:rPr>
      </w:pPr>
      <w:bookmarkStart w:id="1670" w:name="_Toc75246794"/>
      <w:bookmarkStart w:id="1671" w:name="_Toc75438112"/>
      <w:bookmarkStart w:id="1672" w:name="_Toc78435549"/>
      <w:bookmarkStart w:id="1673" w:name="_Toc80380215"/>
      <w:r w:rsidRPr="00292532">
        <w:rPr>
          <w:rFonts w:ascii="Arial" w:eastAsia="Calibri" w:hAnsi="Arial" w:cs="Arial"/>
          <w:bCs/>
          <w:color w:val="2F5496"/>
          <w:sz w:val="26"/>
          <w:szCs w:val="26"/>
          <w:lang w:val="pt-PT"/>
        </w:rPr>
        <w:t xml:space="preserve">Principais riscos de VBG/EAS por componente do </w:t>
      </w:r>
      <w:proofErr w:type="spellStart"/>
      <w:r w:rsidRPr="00292532">
        <w:rPr>
          <w:rFonts w:ascii="Arial" w:eastAsia="Calibri" w:hAnsi="Arial" w:cs="Arial"/>
          <w:bCs/>
          <w:color w:val="2F5496"/>
          <w:sz w:val="26"/>
          <w:szCs w:val="26"/>
          <w:lang w:val="pt-PT"/>
        </w:rPr>
        <w:t>Projecto</w:t>
      </w:r>
      <w:bookmarkEnd w:id="1670"/>
      <w:bookmarkEnd w:id="1671"/>
      <w:bookmarkEnd w:id="1672"/>
      <w:bookmarkEnd w:id="1673"/>
      <w:proofErr w:type="spellEnd"/>
    </w:p>
    <w:p w14:paraId="13F1EBE6" w14:textId="77777777" w:rsidR="00B31AE2" w:rsidRPr="00292532" w:rsidRDefault="00B31AE2" w:rsidP="00B31AE2">
      <w:pPr>
        <w:spacing w:before="0" w:after="120"/>
        <w:rPr>
          <w:rFonts w:ascii="Arial" w:eastAsia="Calibri" w:hAnsi="Arial" w:cs="Arial"/>
          <w:sz w:val="20"/>
          <w:szCs w:val="20"/>
          <w:lang w:val="pt-PT"/>
        </w:rPr>
      </w:pPr>
      <w:r w:rsidRPr="00292532">
        <w:rPr>
          <w:rFonts w:ascii="Arial" w:eastAsia="Calibri" w:hAnsi="Arial" w:cs="Arial"/>
          <w:sz w:val="20"/>
          <w:szCs w:val="20"/>
          <w:lang w:val="pt-PT"/>
        </w:rPr>
        <w:t xml:space="preserve">Nesta secção são analisadas as componentes do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 xml:space="preserve"> com potencial risco de VBG/EAS tendo como base as </w:t>
      </w:r>
      <w:proofErr w:type="spellStart"/>
      <w:r w:rsidRPr="00292532">
        <w:rPr>
          <w:rFonts w:ascii="Arial" w:eastAsia="Calibri" w:hAnsi="Arial" w:cs="Arial"/>
          <w:sz w:val="20"/>
          <w:szCs w:val="20"/>
          <w:lang w:val="pt-PT"/>
        </w:rPr>
        <w:t>actividades</w:t>
      </w:r>
      <w:proofErr w:type="spellEnd"/>
      <w:r w:rsidRPr="00292532">
        <w:rPr>
          <w:rFonts w:ascii="Arial" w:eastAsia="Calibri" w:hAnsi="Arial" w:cs="Arial"/>
          <w:sz w:val="20"/>
          <w:szCs w:val="20"/>
          <w:lang w:val="pt-PT"/>
        </w:rPr>
        <w:t xml:space="preserve"> implicadas nas mesmas.</w:t>
      </w:r>
    </w:p>
    <w:p w14:paraId="42F3A47B" w14:textId="77777777" w:rsidR="00B31AE2" w:rsidRPr="00292532" w:rsidRDefault="00B31AE2" w:rsidP="00B31AE2">
      <w:pPr>
        <w:spacing w:after="0" w:line="259" w:lineRule="auto"/>
        <w:rPr>
          <w:rFonts w:ascii="Arial" w:eastAsia="Calibri" w:hAnsi="Arial" w:cs="Arial"/>
          <w:sz w:val="20"/>
          <w:szCs w:val="20"/>
          <w:lang w:val="pt-PT"/>
        </w:rPr>
      </w:pPr>
      <w:r w:rsidRPr="00292532">
        <w:rPr>
          <w:rFonts w:ascii="Arial" w:eastAsia="Calibri" w:hAnsi="Arial" w:cs="Arial"/>
          <w:b/>
          <w:bCs/>
          <w:sz w:val="20"/>
          <w:szCs w:val="20"/>
          <w:lang w:val="pt-PT"/>
        </w:rPr>
        <w:t>Componente 1</w:t>
      </w:r>
      <w:r w:rsidRPr="00292532">
        <w:rPr>
          <w:rFonts w:ascii="Arial" w:eastAsia="Calibri" w:hAnsi="Arial" w:cs="Arial"/>
          <w:sz w:val="20"/>
          <w:szCs w:val="20"/>
          <w:lang w:val="pt-PT"/>
        </w:rPr>
        <w:t>:</w:t>
      </w:r>
    </w:p>
    <w:p w14:paraId="17F9D8EE" w14:textId="77777777" w:rsidR="00B31AE2" w:rsidRPr="004500AE" w:rsidRDefault="00B31AE2" w:rsidP="00AE14AE">
      <w:pPr>
        <w:numPr>
          <w:ilvl w:val="1"/>
          <w:numId w:val="163"/>
        </w:numPr>
        <w:autoSpaceDE w:val="0"/>
        <w:autoSpaceDN w:val="0"/>
        <w:adjustRightInd w:val="0"/>
        <w:spacing w:before="0" w:after="0" w:line="259" w:lineRule="auto"/>
        <w:contextualSpacing/>
        <w:rPr>
          <w:rFonts w:ascii="Arial" w:eastAsia="Calibri" w:hAnsi="Arial" w:cs="Arial"/>
          <w:sz w:val="20"/>
          <w:szCs w:val="20"/>
          <w:u w:val="single"/>
          <w:lang w:val="pt-PT"/>
        </w:rPr>
      </w:pPr>
      <w:r w:rsidRPr="004500AE">
        <w:rPr>
          <w:rFonts w:ascii="Arial" w:eastAsia="Calibri" w:hAnsi="Arial" w:cs="Arial"/>
          <w:i/>
          <w:sz w:val="20"/>
          <w:szCs w:val="20"/>
          <w:u w:val="single"/>
          <w:lang w:val="pt-PT"/>
        </w:rPr>
        <w:t>Obras de construção e reabilitação de sistemas de abastecimento de água, incluindo intervenções na fonte, adução, tratamento e distribuição</w:t>
      </w:r>
      <w:r w:rsidRPr="004500AE">
        <w:rPr>
          <w:rFonts w:ascii="Arial" w:eastAsia="Calibri" w:hAnsi="Arial" w:cs="Arial"/>
          <w:sz w:val="20"/>
          <w:szCs w:val="20"/>
          <w:u w:val="single"/>
          <w:lang w:val="pt-PT"/>
        </w:rPr>
        <w:t>:</w:t>
      </w:r>
    </w:p>
    <w:p w14:paraId="6703D88F" w14:textId="77777777" w:rsidR="00B31AE2" w:rsidRPr="00292532" w:rsidRDefault="00B31AE2" w:rsidP="00B31AE2">
      <w:pPr>
        <w:autoSpaceDE w:val="0"/>
        <w:autoSpaceDN w:val="0"/>
        <w:adjustRightInd w:val="0"/>
        <w:spacing w:before="0" w:after="0" w:line="259" w:lineRule="auto"/>
        <w:ind w:left="720"/>
        <w:contextualSpacing/>
        <w:rPr>
          <w:rFonts w:ascii="Arial" w:eastAsia="Calibri" w:hAnsi="Arial" w:cs="Arial"/>
          <w:sz w:val="20"/>
          <w:szCs w:val="20"/>
          <w:u w:val="single"/>
          <w:lang w:val="pt-PT"/>
        </w:rPr>
      </w:pPr>
    </w:p>
    <w:p w14:paraId="1997C556" w14:textId="77777777" w:rsidR="00B31AE2" w:rsidRPr="00292532" w:rsidRDefault="00B31AE2" w:rsidP="00B31AE2">
      <w:pPr>
        <w:spacing w:before="0" w:after="120"/>
        <w:rPr>
          <w:rFonts w:ascii="Arial" w:eastAsia="Times New Roman" w:hAnsi="Arial" w:cs="Arial"/>
          <w:sz w:val="20"/>
          <w:szCs w:val="20"/>
          <w:lang w:val="pt-PT"/>
        </w:rPr>
      </w:pPr>
      <w:r w:rsidRPr="00292532">
        <w:rPr>
          <w:rFonts w:ascii="Arial" w:eastAsia="Times New Roman" w:hAnsi="Arial" w:cs="Arial"/>
          <w:sz w:val="20"/>
          <w:szCs w:val="20"/>
          <w:lang w:val="pt-PT"/>
        </w:rPr>
        <w:t>Esta subcomponente poderá envolver riscos de VBG/EAS quer no processo de candidatura/</w:t>
      </w:r>
      <w:proofErr w:type="spellStart"/>
      <w:r w:rsidRPr="00292532">
        <w:rPr>
          <w:rFonts w:ascii="Arial" w:eastAsia="Times New Roman" w:hAnsi="Arial" w:cs="Arial"/>
          <w:sz w:val="20"/>
          <w:szCs w:val="20"/>
          <w:lang w:val="pt-PT"/>
        </w:rPr>
        <w:t>selecção</w:t>
      </w:r>
      <w:proofErr w:type="spellEnd"/>
      <w:r w:rsidRPr="00292532">
        <w:rPr>
          <w:rFonts w:ascii="Arial" w:eastAsia="Times New Roman" w:hAnsi="Arial" w:cs="Arial"/>
          <w:sz w:val="20"/>
          <w:szCs w:val="20"/>
          <w:lang w:val="pt-PT"/>
        </w:rPr>
        <w:t xml:space="preserve"> para os postos de emprego a serem criados, quer no local de trabalho e comunidades circunvizinhas (principalmente para mulheres e raparigas) e, estas podem sofrer </w:t>
      </w:r>
      <w:proofErr w:type="spellStart"/>
      <w:r w:rsidRPr="00292532">
        <w:rPr>
          <w:rFonts w:ascii="Arial" w:eastAsia="Times New Roman" w:hAnsi="Arial" w:cs="Arial"/>
          <w:sz w:val="20"/>
          <w:szCs w:val="20"/>
          <w:lang w:val="pt-PT"/>
        </w:rPr>
        <w:t>actos</w:t>
      </w:r>
      <w:proofErr w:type="spellEnd"/>
      <w:r w:rsidRPr="00292532">
        <w:rPr>
          <w:rFonts w:ascii="Arial" w:eastAsia="Times New Roman" w:hAnsi="Arial" w:cs="Arial"/>
          <w:sz w:val="20"/>
          <w:szCs w:val="20"/>
          <w:lang w:val="pt-PT"/>
        </w:rPr>
        <w:t xml:space="preserve"> de violência no percurso da ida ou volta (muita das vezes ocasionada por percursos inseguros e mal iluminados ou transporte público inseguro que pode expô-las a assédio e abuso), ou riscos de violência doméstica devido a não conciliação das </w:t>
      </w:r>
      <w:proofErr w:type="spellStart"/>
      <w:r w:rsidRPr="00292532">
        <w:rPr>
          <w:rFonts w:ascii="Arial" w:eastAsia="Times New Roman" w:hAnsi="Arial" w:cs="Arial"/>
          <w:sz w:val="20"/>
          <w:szCs w:val="20"/>
          <w:lang w:val="pt-PT"/>
        </w:rPr>
        <w:t>actividades</w:t>
      </w:r>
      <w:proofErr w:type="spellEnd"/>
      <w:r w:rsidRPr="00292532">
        <w:rPr>
          <w:rFonts w:ascii="Arial" w:eastAsia="Times New Roman" w:hAnsi="Arial" w:cs="Arial"/>
          <w:sz w:val="20"/>
          <w:szCs w:val="20"/>
          <w:lang w:val="pt-PT"/>
        </w:rPr>
        <w:t xml:space="preserve"> do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 xml:space="preserve"> (emprego) e tarefas domésticas (muitas vezes deixada para mulheres e raparigas) ou pela chegada tardia a casa. O aumento do risco de sofrer violência pode impedir que eles aproveitem as oportunidades económicas adicionais.</w:t>
      </w:r>
    </w:p>
    <w:p w14:paraId="6E7A307B" w14:textId="77777777" w:rsidR="00B31AE2" w:rsidRPr="00292532" w:rsidRDefault="00B31AE2" w:rsidP="00B31AE2">
      <w:pPr>
        <w:spacing w:after="120"/>
        <w:rPr>
          <w:rFonts w:ascii="Arial" w:eastAsia="Times New Roman" w:hAnsi="Arial" w:cs="Arial"/>
          <w:sz w:val="20"/>
          <w:szCs w:val="20"/>
          <w:lang w:val="pt-PT"/>
        </w:rPr>
      </w:pPr>
      <w:r w:rsidRPr="00292532">
        <w:rPr>
          <w:rFonts w:ascii="Arial" w:eastAsia="Times New Roman" w:hAnsi="Arial" w:cs="Arial"/>
          <w:sz w:val="20"/>
          <w:szCs w:val="20"/>
          <w:lang w:val="pt-PT"/>
        </w:rPr>
        <w:t xml:space="preserve">Em todas as </w:t>
      </w:r>
      <w:proofErr w:type="spellStart"/>
      <w:r w:rsidRPr="00292532">
        <w:rPr>
          <w:rFonts w:ascii="Arial" w:eastAsia="Times New Roman" w:hAnsi="Arial" w:cs="Arial"/>
          <w:sz w:val="20"/>
          <w:szCs w:val="20"/>
          <w:lang w:val="pt-PT"/>
        </w:rPr>
        <w:t>actividades</w:t>
      </w:r>
      <w:proofErr w:type="spellEnd"/>
      <w:r w:rsidRPr="00292532">
        <w:rPr>
          <w:rFonts w:ascii="Arial" w:eastAsia="Times New Roman" w:hAnsi="Arial" w:cs="Arial"/>
          <w:sz w:val="20"/>
          <w:szCs w:val="20"/>
          <w:lang w:val="pt-PT"/>
        </w:rPr>
        <w:t xml:space="preserve"> que demandam o acesso a novas terras (quando ocorre a redistribuição de terras) - por exemplo, devido ao reassentamento para obras civis, as mulheres podem ser vulneráveis à VBG resultante da fragilidade que enfrentam para deterem títulos de Direito do Uso de Terra.</w:t>
      </w:r>
    </w:p>
    <w:p w14:paraId="60A2E062" w14:textId="77777777" w:rsidR="00B31AE2" w:rsidRPr="00292532" w:rsidRDefault="00B31AE2" w:rsidP="00B31AE2">
      <w:pPr>
        <w:spacing w:before="0" w:after="120"/>
        <w:rPr>
          <w:rFonts w:ascii="Arial" w:eastAsia="Times New Roman" w:hAnsi="Arial" w:cs="Arial"/>
          <w:sz w:val="20"/>
          <w:szCs w:val="20"/>
          <w:lang w:val="pt-PT"/>
        </w:rPr>
      </w:pPr>
      <w:r w:rsidRPr="00292532">
        <w:rPr>
          <w:rFonts w:ascii="Arial" w:eastAsia="Times New Roman" w:hAnsi="Arial" w:cs="Arial"/>
          <w:sz w:val="20"/>
          <w:szCs w:val="20"/>
          <w:lang w:val="pt-PT"/>
        </w:rPr>
        <w:t xml:space="preserve">O influxo de trabalhadores para as zonas do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 xml:space="preserve"> pode aumentar a VBG - até mesmo aumentar o risco de tráfico de mulheres para fins de trabalho sexual. O crescimento económico de trabalhadores </w:t>
      </w:r>
      <w:proofErr w:type="spellStart"/>
      <w:r w:rsidRPr="00292532">
        <w:rPr>
          <w:rFonts w:ascii="Arial" w:eastAsia="Times New Roman" w:hAnsi="Arial" w:cs="Arial"/>
          <w:sz w:val="20"/>
          <w:szCs w:val="20"/>
          <w:lang w:val="pt-PT"/>
        </w:rPr>
        <w:t>afectos</w:t>
      </w:r>
      <w:proofErr w:type="spellEnd"/>
      <w:r w:rsidRPr="00292532">
        <w:rPr>
          <w:rFonts w:ascii="Arial" w:eastAsia="Times New Roman" w:hAnsi="Arial" w:cs="Arial"/>
          <w:sz w:val="20"/>
          <w:szCs w:val="20"/>
          <w:lang w:val="pt-PT"/>
        </w:rPr>
        <w:t xml:space="preserve"> ao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 xml:space="preserve"> pode conduzir ao elevado risco de casamento precoce forçado em comunidade onde o casamento com um homem empregado é visto como a melhor estratégia de subsistência para uma adolescente e sua família. Além disso, salários mais altos para trabalhadores em uma comunidade podem levar a um aumento no sexo </w:t>
      </w:r>
      <w:proofErr w:type="spellStart"/>
      <w:r w:rsidRPr="00292532">
        <w:rPr>
          <w:rFonts w:ascii="Arial" w:eastAsia="Times New Roman" w:hAnsi="Arial" w:cs="Arial"/>
          <w:sz w:val="20"/>
          <w:szCs w:val="20"/>
          <w:lang w:val="pt-PT"/>
        </w:rPr>
        <w:t>transaccional</w:t>
      </w:r>
      <w:proofErr w:type="spellEnd"/>
      <w:r w:rsidRPr="00292532">
        <w:rPr>
          <w:rFonts w:ascii="Arial" w:eastAsia="Times New Roman" w:hAnsi="Arial" w:cs="Arial"/>
          <w:sz w:val="20"/>
          <w:szCs w:val="20"/>
          <w:lang w:val="pt-PT"/>
        </w:rPr>
        <w:t>. Esta situação pode ainda exacerbar-se num contexto de precariedade económica que causa a vulnerabilidade das famílias (ex. famílias chefiadas por mulheres, agregados familiares com raparigas adolescentes, agregados familiares chefiados por raparigas).</w:t>
      </w:r>
    </w:p>
    <w:p w14:paraId="6386F9A0" w14:textId="77777777" w:rsidR="00B31AE2" w:rsidRPr="00292532" w:rsidRDefault="00B31AE2" w:rsidP="00B31AE2">
      <w:pPr>
        <w:spacing w:before="0" w:after="0"/>
        <w:rPr>
          <w:rFonts w:ascii="Arial" w:eastAsia="Times New Roman" w:hAnsi="Arial" w:cs="Arial"/>
          <w:sz w:val="20"/>
          <w:szCs w:val="20"/>
          <w:lang w:val="pt-PT"/>
        </w:rPr>
      </w:pPr>
      <w:r w:rsidRPr="00292532">
        <w:rPr>
          <w:rFonts w:ascii="Arial" w:eastAsia="Times New Roman" w:hAnsi="Arial" w:cs="Arial"/>
          <w:sz w:val="20"/>
          <w:szCs w:val="20"/>
          <w:lang w:val="pt-PT"/>
        </w:rPr>
        <w:t xml:space="preserve">Nos casos em que mulheres são contratadas para desenvolverem </w:t>
      </w:r>
      <w:proofErr w:type="spellStart"/>
      <w:r w:rsidRPr="00292532">
        <w:rPr>
          <w:rFonts w:ascii="Arial" w:eastAsia="Times New Roman" w:hAnsi="Arial" w:cs="Arial"/>
          <w:sz w:val="20"/>
          <w:szCs w:val="20"/>
          <w:lang w:val="pt-PT"/>
        </w:rPr>
        <w:t>actividades</w:t>
      </w:r>
      <w:proofErr w:type="spellEnd"/>
      <w:r w:rsidRPr="00292532">
        <w:rPr>
          <w:rFonts w:ascii="Arial" w:eastAsia="Times New Roman" w:hAnsi="Arial" w:cs="Arial"/>
          <w:sz w:val="20"/>
          <w:szCs w:val="20"/>
          <w:lang w:val="pt-PT"/>
        </w:rPr>
        <w:t xml:space="preserve"> no âmbito do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 existe o risco de violência económica, caracterizada pela retenção dos salários das mulheres pelos parceiros, tornando a mulher financeiramente dependente e sem controlo do seu salário.</w:t>
      </w:r>
    </w:p>
    <w:p w14:paraId="4C2349CA" w14:textId="77777777" w:rsidR="00B31AE2" w:rsidRPr="00292532" w:rsidRDefault="00B31AE2" w:rsidP="00B31AE2">
      <w:pPr>
        <w:spacing w:before="0" w:after="0"/>
        <w:rPr>
          <w:rFonts w:ascii="Arial" w:eastAsia="Times New Roman" w:hAnsi="Arial" w:cs="Arial"/>
          <w:sz w:val="20"/>
          <w:szCs w:val="20"/>
          <w:lang w:val="pt-PT"/>
        </w:rPr>
      </w:pPr>
    </w:p>
    <w:p w14:paraId="00D29BFC" w14:textId="77777777" w:rsidR="00B31AE2" w:rsidRPr="004500AE" w:rsidRDefault="00B31AE2" w:rsidP="00AE14AE">
      <w:pPr>
        <w:numPr>
          <w:ilvl w:val="1"/>
          <w:numId w:val="163"/>
        </w:numPr>
        <w:autoSpaceDE w:val="0"/>
        <w:autoSpaceDN w:val="0"/>
        <w:adjustRightInd w:val="0"/>
        <w:spacing w:before="0" w:after="0" w:line="259" w:lineRule="auto"/>
        <w:contextualSpacing/>
        <w:rPr>
          <w:rFonts w:ascii="Arial" w:eastAsia="Calibri" w:hAnsi="Arial" w:cs="Arial"/>
          <w:i/>
          <w:sz w:val="20"/>
          <w:szCs w:val="20"/>
          <w:u w:val="single"/>
          <w:lang w:val="pt-PT"/>
        </w:rPr>
      </w:pPr>
      <w:r w:rsidRPr="004500AE">
        <w:rPr>
          <w:rFonts w:ascii="Arial" w:eastAsia="Calibri" w:hAnsi="Arial" w:cs="Arial"/>
          <w:i/>
          <w:sz w:val="20"/>
          <w:szCs w:val="20"/>
          <w:u w:val="single"/>
          <w:lang w:val="pt-PT"/>
        </w:rPr>
        <w:t>Desenho e implementação de contractos baseados no desempenho</w:t>
      </w:r>
      <w:r w:rsidRPr="004500AE">
        <w:rPr>
          <w:rFonts w:ascii="Arial" w:eastAsia="Calibri" w:hAnsi="Arial" w:cs="Arial"/>
          <w:i/>
          <w:sz w:val="20"/>
          <w:szCs w:val="20"/>
          <w:u w:val="single"/>
          <w:vertAlign w:val="superscript"/>
          <w:lang w:val="pt-PT"/>
        </w:rPr>
        <w:footnoteReference w:id="43"/>
      </w:r>
      <w:r w:rsidRPr="004500AE">
        <w:rPr>
          <w:rFonts w:ascii="Arial" w:eastAsia="Calibri" w:hAnsi="Arial" w:cs="Arial"/>
          <w:i/>
          <w:sz w:val="20"/>
          <w:szCs w:val="20"/>
          <w:u w:val="single"/>
          <w:lang w:val="pt-PT"/>
        </w:rPr>
        <w:t xml:space="preserve"> para operadores privados providenciarem serviços de abastecimento de água e saneamento sustentáveis, resilientes e inclusivos:</w:t>
      </w:r>
    </w:p>
    <w:p w14:paraId="2AB6BE9B" w14:textId="77777777" w:rsidR="00B31AE2" w:rsidRPr="00292532" w:rsidRDefault="00B31AE2" w:rsidP="00B31AE2">
      <w:pPr>
        <w:autoSpaceDE w:val="0"/>
        <w:autoSpaceDN w:val="0"/>
        <w:adjustRightInd w:val="0"/>
        <w:spacing w:before="0" w:after="0" w:line="259" w:lineRule="auto"/>
        <w:contextualSpacing/>
        <w:rPr>
          <w:rFonts w:ascii="Arial" w:eastAsia="Calibri" w:hAnsi="Arial" w:cs="Arial"/>
          <w:i/>
          <w:sz w:val="20"/>
          <w:szCs w:val="20"/>
          <w:u w:val="single"/>
          <w:lang w:val="pt-PT"/>
        </w:rPr>
      </w:pPr>
    </w:p>
    <w:p w14:paraId="3FBB12A8" w14:textId="77777777" w:rsidR="00B31AE2" w:rsidRPr="00292532" w:rsidRDefault="00B31AE2" w:rsidP="00B31AE2">
      <w:pPr>
        <w:spacing w:before="0" w:after="120"/>
        <w:rPr>
          <w:rFonts w:ascii="Arial" w:eastAsia="Times New Roman" w:hAnsi="Arial" w:cs="Arial"/>
          <w:sz w:val="20"/>
          <w:szCs w:val="20"/>
          <w:lang w:val="pt-PT"/>
        </w:rPr>
      </w:pPr>
      <w:r w:rsidRPr="00292532">
        <w:rPr>
          <w:rFonts w:ascii="Arial" w:eastAsia="Times New Roman" w:hAnsi="Arial" w:cs="Arial"/>
          <w:sz w:val="20"/>
          <w:szCs w:val="20"/>
          <w:lang w:val="pt-PT"/>
        </w:rPr>
        <w:t xml:space="preserve">Esta subcomponente inclui incentivos financeiros para os operadores privados investirem na expansão dos serviços de abastecimento de água (novas ligações) e saneamento. As </w:t>
      </w:r>
      <w:proofErr w:type="spellStart"/>
      <w:r w:rsidRPr="00292532">
        <w:rPr>
          <w:rFonts w:ascii="Arial" w:eastAsia="Times New Roman" w:hAnsi="Arial" w:cs="Arial"/>
          <w:sz w:val="20"/>
          <w:szCs w:val="20"/>
          <w:lang w:val="pt-PT"/>
        </w:rPr>
        <w:t>actividades</w:t>
      </w:r>
      <w:proofErr w:type="spellEnd"/>
      <w:r w:rsidRPr="00292532">
        <w:rPr>
          <w:rFonts w:ascii="Arial" w:eastAsia="Times New Roman" w:hAnsi="Arial" w:cs="Arial"/>
          <w:sz w:val="20"/>
          <w:szCs w:val="20"/>
          <w:lang w:val="pt-PT"/>
        </w:rPr>
        <w:t xml:space="preserve"> para esta </w:t>
      </w:r>
      <w:r w:rsidRPr="00292532">
        <w:rPr>
          <w:rFonts w:ascii="Arial" w:eastAsia="Times New Roman" w:hAnsi="Arial" w:cs="Arial"/>
          <w:sz w:val="20"/>
          <w:szCs w:val="20"/>
          <w:lang w:val="pt-PT"/>
        </w:rPr>
        <w:lastRenderedPageBreak/>
        <w:t>subcomponente poderão envolver riscos de VBG principalmente as obras de expansão (similar ao item acima) e as novas ligações domiciliares feitas por operadores privados, que podem induzir ao assédio e abuso sexual perpetrado por trabalhadores às mulheres e raparigas da comunidade.</w:t>
      </w:r>
    </w:p>
    <w:p w14:paraId="06C78DEA" w14:textId="77777777" w:rsidR="00B31AE2" w:rsidRPr="00292532" w:rsidRDefault="00B31AE2" w:rsidP="00B31AE2">
      <w:pPr>
        <w:spacing w:before="0" w:after="0"/>
        <w:rPr>
          <w:rFonts w:ascii="Arial" w:eastAsia="Times New Roman" w:hAnsi="Arial" w:cs="Arial"/>
          <w:sz w:val="20"/>
          <w:szCs w:val="20"/>
          <w:lang w:val="pt-PT"/>
        </w:rPr>
      </w:pPr>
      <w:r w:rsidRPr="00292532">
        <w:rPr>
          <w:rFonts w:ascii="Arial" w:eastAsia="Times New Roman" w:hAnsi="Arial" w:cs="Arial"/>
          <w:sz w:val="20"/>
          <w:szCs w:val="20"/>
          <w:lang w:val="pt-PT"/>
        </w:rPr>
        <w:t xml:space="preserve">A má implantação de sistemas/serviços fornecidos pelo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 xml:space="preserve"> (abastecimento de água e saneamento), fazendo com que algumas comunidades tenham acesso deficiente ou tenham de percorrer/esperar longas horas para beneficiar dos serviços, poderá contribuir para surgimento de tensões entre mulheres e seus parceiros, e levar à riscos de violência doméstica ou de assédio e abuso sexual durante o percurso.</w:t>
      </w:r>
    </w:p>
    <w:p w14:paraId="309C01C1" w14:textId="77777777" w:rsidR="00B31AE2" w:rsidRPr="00292532" w:rsidRDefault="00B31AE2" w:rsidP="00B31AE2">
      <w:pPr>
        <w:autoSpaceDE w:val="0"/>
        <w:autoSpaceDN w:val="0"/>
        <w:adjustRightInd w:val="0"/>
        <w:spacing w:before="0" w:after="0" w:line="259" w:lineRule="auto"/>
        <w:contextualSpacing/>
        <w:rPr>
          <w:rFonts w:ascii="Arial" w:eastAsia="Times New Roman" w:hAnsi="Arial" w:cs="Arial"/>
          <w:sz w:val="20"/>
          <w:szCs w:val="20"/>
          <w:lang w:val="pt-PT"/>
        </w:rPr>
      </w:pPr>
    </w:p>
    <w:p w14:paraId="6BFC2858" w14:textId="77777777" w:rsidR="00B31AE2" w:rsidRPr="004500AE" w:rsidRDefault="00B31AE2" w:rsidP="00AE14AE">
      <w:pPr>
        <w:numPr>
          <w:ilvl w:val="1"/>
          <w:numId w:val="163"/>
        </w:numPr>
        <w:autoSpaceDE w:val="0"/>
        <w:autoSpaceDN w:val="0"/>
        <w:adjustRightInd w:val="0"/>
        <w:spacing w:before="0" w:after="0" w:line="259" w:lineRule="auto"/>
        <w:contextualSpacing/>
        <w:rPr>
          <w:rFonts w:ascii="Arial" w:eastAsia="Calibri" w:hAnsi="Arial" w:cs="Arial"/>
          <w:i/>
          <w:sz w:val="20"/>
          <w:szCs w:val="20"/>
          <w:u w:val="single"/>
          <w:lang w:val="pt-PT"/>
        </w:rPr>
      </w:pPr>
      <w:r w:rsidRPr="004500AE">
        <w:rPr>
          <w:rFonts w:ascii="Arial" w:eastAsia="Calibri" w:hAnsi="Arial" w:cs="Arial"/>
          <w:i/>
          <w:sz w:val="20"/>
          <w:szCs w:val="20"/>
          <w:u w:val="single"/>
          <w:lang w:val="pt-PT"/>
        </w:rPr>
        <w:t>Intervenções localizadas de saneamento ao nível das vilas, incluindo a construção e melhoria das instalações domiciliares e ao nível das escolas</w:t>
      </w:r>
      <w:r w:rsidRPr="004500AE">
        <w:rPr>
          <w:rFonts w:ascii="Arial" w:eastAsia="Calibri" w:hAnsi="Arial" w:cs="Times New Roman"/>
          <w:sz w:val="20"/>
          <w:szCs w:val="20"/>
          <w:vertAlign w:val="superscript"/>
          <w:lang w:val="pt-PT"/>
        </w:rPr>
        <w:footnoteReference w:id="44"/>
      </w:r>
      <w:r w:rsidRPr="004500AE">
        <w:rPr>
          <w:rFonts w:ascii="Arial" w:eastAsia="Calibri" w:hAnsi="Arial" w:cs="Arial"/>
          <w:i/>
          <w:sz w:val="20"/>
          <w:szCs w:val="20"/>
          <w:u w:val="single"/>
          <w:lang w:val="pt-PT"/>
        </w:rPr>
        <w:t xml:space="preserve"> e investimentos para gestão de lamas fecais</w:t>
      </w:r>
    </w:p>
    <w:p w14:paraId="43A4B300" w14:textId="77777777" w:rsidR="00B31AE2" w:rsidRPr="00292532" w:rsidRDefault="00B31AE2" w:rsidP="00B31AE2">
      <w:pPr>
        <w:spacing w:before="0" w:after="0"/>
        <w:rPr>
          <w:rFonts w:ascii="Arial" w:eastAsia="Times New Roman" w:hAnsi="Arial" w:cs="Arial"/>
          <w:sz w:val="20"/>
          <w:szCs w:val="20"/>
          <w:lang w:val="pt-PT"/>
        </w:rPr>
      </w:pPr>
    </w:p>
    <w:p w14:paraId="2073EABB" w14:textId="77777777" w:rsidR="00B31AE2" w:rsidRPr="00292532" w:rsidRDefault="00B31AE2" w:rsidP="00B31AE2">
      <w:pPr>
        <w:spacing w:before="0" w:after="120"/>
        <w:rPr>
          <w:rFonts w:ascii="Arial" w:eastAsia="Times New Roman" w:hAnsi="Arial" w:cs="Arial"/>
          <w:sz w:val="20"/>
          <w:szCs w:val="20"/>
          <w:lang w:val="pt-PT"/>
        </w:rPr>
      </w:pPr>
      <w:r w:rsidRPr="00292532">
        <w:rPr>
          <w:rFonts w:ascii="Arial" w:eastAsia="Times New Roman" w:hAnsi="Arial" w:cs="Arial"/>
          <w:sz w:val="20"/>
          <w:szCs w:val="20"/>
          <w:lang w:val="pt-PT"/>
        </w:rPr>
        <w:t xml:space="preserve">Para esta subcomponente, é previsto o risco de VBG/EAS nas </w:t>
      </w:r>
      <w:proofErr w:type="spellStart"/>
      <w:r w:rsidRPr="00292532">
        <w:rPr>
          <w:rFonts w:ascii="Arial" w:eastAsia="Times New Roman" w:hAnsi="Arial" w:cs="Arial"/>
          <w:sz w:val="20"/>
          <w:szCs w:val="20"/>
          <w:lang w:val="pt-PT"/>
        </w:rPr>
        <w:t>actividades</w:t>
      </w:r>
      <w:proofErr w:type="spellEnd"/>
      <w:r w:rsidRPr="00292532">
        <w:rPr>
          <w:rFonts w:ascii="Arial" w:eastAsia="Times New Roman" w:hAnsi="Arial" w:cs="Arial"/>
          <w:sz w:val="20"/>
          <w:szCs w:val="20"/>
          <w:lang w:val="pt-PT"/>
        </w:rPr>
        <w:t xml:space="preserve"> que demandam </w:t>
      </w:r>
      <w:proofErr w:type="spellStart"/>
      <w:r w:rsidRPr="00292532">
        <w:rPr>
          <w:rFonts w:ascii="Arial" w:eastAsia="Times New Roman" w:hAnsi="Arial" w:cs="Arial"/>
          <w:sz w:val="20"/>
          <w:szCs w:val="20"/>
          <w:lang w:val="pt-PT"/>
        </w:rPr>
        <w:t>interacções</w:t>
      </w:r>
      <w:proofErr w:type="spellEnd"/>
      <w:r w:rsidRPr="00292532">
        <w:rPr>
          <w:rFonts w:ascii="Arial" w:eastAsia="Times New Roman" w:hAnsi="Arial" w:cs="Arial"/>
          <w:sz w:val="20"/>
          <w:szCs w:val="20"/>
          <w:lang w:val="pt-PT"/>
        </w:rPr>
        <w:t xml:space="preserve"> frequentes com membros da comunidade e os trabalhadores do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 xml:space="preserve"> (construção de infraestruturas sanitárias ao nível domiciliar), o que poderá criar cenários de confiança entre membros da comunidade e trabalhadores do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 xml:space="preserve"> e proporcionar o risco de assédio, abuso e violação sexual ou também o risco de casamento precoce forçado, em que pais/encarregados forçam menores a se envolverem com os trabalhadores do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 como a melhor estratégia de subsistência para as adolescentes.</w:t>
      </w:r>
    </w:p>
    <w:p w14:paraId="1A00D8B5" w14:textId="77777777" w:rsidR="00B31AE2" w:rsidRPr="00292532" w:rsidRDefault="00B31AE2" w:rsidP="00B31AE2">
      <w:pPr>
        <w:spacing w:before="0" w:after="120"/>
        <w:rPr>
          <w:rFonts w:ascii="Arial" w:eastAsia="Times New Roman" w:hAnsi="Arial" w:cs="Arial"/>
          <w:sz w:val="20"/>
          <w:szCs w:val="20"/>
          <w:lang w:val="pt-PT"/>
        </w:rPr>
      </w:pPr>
      <w:r w:rsidRPr="00292532">
        <w:rPr>
          <w:rFonts w:ascii="Arial" w:eastAsia="Times New Roman" w:hAnsi="Arial" w:cs="Arial"/>
          <w:sz w:val="20"/>
          <w:szCs w:val="20"/>
          <w:lang w:val="pt-PT"/>
        </w:rPr>
        <w:t xml:space="preserve">Além disso, salários mais altos para trabalhadores em uma comunidade podem levar a um aumento de sexo </w:t>
      </w:r>
      <w:proofErr w:type="spellStart"/>
      <w:r w:rsidRPr="00292532">
        <w:rPr>
          <w:rFonts w:ascii="Arial" w:eastAsia="Times New Roman" w:hAnsi="Arial" w:cs="Arial"/>
          <w:sz w:val="20"/>
          <w:szCs w:val="20"/>
          <w:lang w:val="pt-PT"/>
        </w:rPr>
        <w:t>transaccional</w:t>
      </w:r>
      <w:proofErr w:type="spellEnd"/>
      <w:r w:rsidRPr="00292532">
        <w:rPr>
          <w:rFonts w:ascii="Arial" w:eastAsia="Times New Roman" w:hAnsi="Arial" w:cs="Arial"/>
          <w:sz w:val="20"/>
          <w:szCs w:val="20"/>
          <w:lang w:val="pt-PT"/>
        </w:rPr>
        <w:t xml:space="preserve"> e aumento de casos de prostituição.</w:t>
      </w:r>
    </w:p>
    <w:p w14:paraId="2D866A40" w14:textId="77777777" w:rsidR="00B31AE2" w:rsidRPr="00292532" w:rsidRDefault="00B31AE2" w:rsidP="00B31AE2">
      <w:pPr>
        <w:spacing w:before="0" w:after="120"/>
        <w:rPr>
          <w:rFonts w:ascii="Arial" w:eastAsia="Times New Roman" w:hAnsi="Arial" w:cs="Arial"/>
          <w:sz w:val="20"/>
          <w:szCs w:val="20"/>
          <w:lang w:val="pt-PT"/>
        </w:rPr>
      </w:pPr>
      <w:r w:rsidRPr="00292532">
        <w:rPr>
          <w:rFonts w:ascii="Arial" w:eastAsia="Times New Roman" w:hAnsi="Arial" w:cs="Arial"/>
          <w:sz w:val="20"/>
          <w:szCs w:val="20"/>
          <w:lang w:val="pt-PT"/>
        </w:rPr>
        <w:t xml:space="preserve">O processo de </w:t>
      </w:r>
      <w:proofErr w:type="spellStart"/>
      <w:r w:rsidRPr="00292532">
        <w:rPr>
          <w:rFonts w:ascii="Arial" w:eastAsia="Times New Roman" w:hAnsi="Arial" w:cs="Arial"/>
          <w:sz w:val="20"/>
          <w:szCs w:val="20"/>
          <w:lang w:val="pt-PT"/>
        </w:rPr>
        <w:t>selecção</w:t>
      </w:r>
      <w:proofErr w:type="spellEnd"/>
      <w:r w:rsidRPr="00292532">
        <w:rPr>
          <w:rFonts w:ascii="Arial" w:eastAsia="Times New Roman" w:hAnsi="Arial" w:cs="Arial"/>
          <w:sz w:val="20"/>
          <w:szCs w:val="20"/>
          <w:lang w:val="pt-PT"/>
        </w:rPr>
        <w:t xml:space="preserve"> (principalmente de mulheres membros da comunidade) para executarem algumas </w:t>
      </w:r>
      <w:proofErr w:type="spellStart"/>
      <w:r w:rsidRPr="00292532">
        <w:rPr>
          <w:rFonts w:ascii="Arial" w:eastAsia="Times New Roman" w:hAnsi="Arial" w:cs="Arial"/>
          <w:sz w:val="20"/>
          <w:szCs w:val="20"/>
          <w:lang w:val="pt-PT"/>
        </w:rPr>
        <w:t>actividades</w:t>
      </w:r>
      <w:proofErr w:type="spellEnd"/>
      <w:r w:rsidRPr="00292532">
        <w:rPr>
          <w:rFonts w:ascii="Arial" w:eastAsia="Times New Roman" w:hAnsi="Arial" w:cs="Arial"/>
          <w:sz w:val="20"/>
          <w:szCs w:val="20"/>
          <w:lang w:val="pt-PT"/>
        </w:rPr>
        <w:t xml:space="preserve"> no âmbito do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 xml:space="preserve"> poderá propiciar a ocorrência de riscos de VBG/EAS como condição para a sua contratação ou durante o trabalho, por se encontrarem numa posição de dependência para conseguirem a </w:t>
      </w:r>
      <w:proofErr w:type="spellStart"/>
      <w:r w:rsidRPr="00292532">
        <w:rPr>
          <w:rFonts w:ascii="Arial" w:eastAsia="Times New Roman" w:hAnsi="Arial" w:cs="Arial"/>
          <w:sz w:val="20"/>
          <w:szCs w:val="20"/>
          <w:lang w:val="pt-PT"/>
        </w:rPr>
        <w:t>afectação</w:t>
      </w:r>
      <w:proofErr w:type="spellEnd"/>
      <w:r w:rsidRPr="00292532">
        <w:rPr>
          <w:rFonts w:ascii="Arial" w:eastAsia="Times New Roman" w:hAnsi="Arial" w:cs="Arial"/>
          <w:sz w:val="20"/>
          <w:szCs w:val="20"/>
          <w:lang w:val="pt-PT"/>
        </w:rPr>
        <w:t xml:space="preserve"> ao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w:t>
      </w:r>
    </w:p>
    <w:p w14:paraId="18A6F291" w14:textId="77777777" w:rsidR="00B31AE2" w:rsidRPr="00292532" w:rsidRDefault="00B31AE2" w:rsidP="00B31AE2">
      <w:pPr>
        <w:spacing w:before="0" w:after="0"/>
        <w:rPr>
          <w:rFonts w:ascii="Arial" w:eastAsia="Times New Roman" w:hAnsi="Arial" w:cs="Arial"/>
          <w:sz w:val="20"/>
          <w:szCs w:val="20"/>
          <w:lang w:val="pt-PT"/>
        </w:rPr>
      </w:pPr>
      <w:r w:rsidRPr="00292532">
        <w:rPr>
          <w:rFonts w:ascii="Arial" w:eastAsia="Times New Roman" w:hAnsi="Arial" w:cs="Arial"/>
          <w:sz w:val="20"/>
          <w:szCs w:val="20"/>
          <w:lang w:val="pt-PT"/>
        </w:rPr>
        <w:t xml:space="preserve">A construção das </w:t>
      </w:r>
      <w:proofErr w:type="spellStart"/>
      <w:r w:rsidRPr="00292532">
        <w:rPr>
          <w:rFonts w:ascii="Arial" w:eastAsia="Times New Roman" w:hAnsi="Arial" w:cs="Arial"/>
          <w:sz w:val="20"/>
          <w:szCs w:val="20"/>
          <w:lang w:val="pt-PT"/>
        </w:rPr>
        <w:t>infra-estruturas</w:t>
      </w:r>
      <w:proofErr w:type="spellEnd"/>
      <w:r w:rsidRPr="00292532">
        <w:rPr>
          <w:rFonts w:ascii="Arial" w:eastAsia="Times New Roman" w:hAnsi="Arial" w:cs="Arial"/>
          <w:sz w:val="20"/>
          <w:szCs w:val="20"/>
          <w:lang w:val="pt-PT"/>
        </w:rPr>
        <w:t xml:space="preserve"> de saneamento nas escolas, podem abrir espaço para ocorrência de casos de VBG (ex. assédio sexual) nos casos em que não existe uma separação clara para rapazes e raparigas. O potencial de ocorrência de VBG existe ainda nos casos em que as </w:t>
      </w:r>
      <w:proofErr w:type="spellStart"/>
      <w:r w:rsidRPr="00292532">
        <w:rPr>
          <w:rFonts w:ascii="Arial" w:eastAsia="Times New Roman" w:hAnsi="Arial" w:cs="Arial"/>
          <w:sz w:val="20"/>
          <w:szCs w:val="20"/>
          <w:lang w:val="pt-PT"/>
        </w:rPr>
        <w:t>infra-estruturas</w:t>
      </w:r>
      <w:proofErr w:type="spellEnd"/>
      <w:r w:rsidRPr="00292532">
        <w:rPr>
          <w:rFonts w:ascii="Arial" w:eastAsia="Times New Roman" w:hAnsi="Arial" w:cs="Arial"/>
          <w:sz w:val="20"/>
          <w:szCs w:val="20"/>
          <w:lang w:val="pt-PT"/>
        </w:rPr>
        <w:t xml:space="preserve"> forem construídas em locais não seguros (muito distantes, lugares não visíveis) dentro das escolas, ambiente este que pode levar a violação e abuso sexual, ou no caso em que os trabalhadores do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 xml:space="preserve"> tem contacto frequente com os alunos (principalmente raparigas), podendo propiciar falsa confiança que pode levar a práticas sexuais/casamento precoce com alunas, ou através de </w:t>
      </w:r>
      <w:proofErr w:type="spellStart"/>
      <w:r w:rsidRPr="00292532">
        <w:rPr>
          <w:rFonts w:ascii="Arial" w:eastAsia="Times New Roman" w:hAnsi="Arial" w:cs="Arial"/>
          <w:sz w:val="20"/>
          <w:szCs w:val="20"/>
          <w:lang w:val="pt-PT"/>
        </w:rPr>
        <w:t>acto</w:t>
      </w:r>
      <w:proofErr w:type="spellEnd"/>
      <w:r w:rsidRPr="00292532">
        <w:rPr>
          <w:rFonts w:ascii="Arial" w:eastAsia="Times New Roman" w:hAnsi="Arial" w:cs="Arial"/>
          <w:sz w:val="20"/>
          <w:szCs w:val="20"/>
          <w:lang w:val="pt-PT"/>
        </w:rPr>
        <w:t xml:space="preserve"> aliciantes (valores monetários ou materiais) favorecer práticas de VBG.</w:t>
      </w:r>
    </w:p>
    <w:p w14:paraId="57B46BEE" w14:textId="77777777" w:rsidR="00B31AE2" w:rsidRPr="00292532" w:rsidRDefault="00B31AE2" w:rsidP="00B31AE2">
      <w:pPr>
        <w:spacing w:before="0" w:after="0"/>
        <w:rPr>
          <w:rFonts w:ascii="Arial" w:eastAsia="Times New Roman" w:hAnsi="Arial" w:cs="Arial"/>
          <w:sz w:val="20"/>
          <w:szCs w:val="20"/>
          <w:lang w:val="pt-PT"/>
        </w:rPr>
      </w:pPr>
    </w:p>
    <w:p w14:paraId="3F9D7FB3" w14:textId="77777777" w:rsidR="00B31AE2" w:rsidRPr="00292532" w:rsidRDefault="00B31AE2" w:rsidP="00B31AE2">
      <w:pPr>
        <w:spacing w:before="0" w:after="0" w:line="259" w:lineRule="auto"/>
        <w:rPr>
          <w:rFonts w:ascii="Arial" w:eastAsia="Calibri" w:hAnsi="Arial" w:cs="Arial"/>
          <w:sz w:val="20"/>
          <w:szCs w:val="20"/>
          <w:lang w:val="pt-PT"/>
        </w:rPr>
      </w:pPr>
      <w:r w:rsidRPr="00292532">
        <w:rPr>
          <w:rFonts w:ascii="Arial" w:eastAsia="Calibri" w:hAnsi="Arial" w:cs="Arial"/>
          <w:b/>
          <w:bCs/>
          <w:sz w:val="20"/>
          <w:szCs w:val="20"/>
          <w:lang w:val="pt-PT"/>
        </w:rPr>
        <w:t>Componente 2:</w:t>
      </w:r>
    </w:p>
    <w:p w14:paraId="1838C1A2" w14:textId="77777777" w:rsidR="00B31AE2" w:rsidRPr="00292532" w:rsidRDefault="00B31AE2" w:rsidP="00B31AE2">
      <w:pPr>
        <w:autoSpaceDE w:val="0"/>
        <w:autoSpaceDN w:val="0"/>
        <w:adjustRightInd w:val="0"/>
        <w:spacing w:before="0" w:after="0" w:line="259" w:lineRule="auto"/>
        <w:contextualSpacing/>
        <w:rPr>
          <w:rFonts w:ascii="Arial" w:eastAsia="Calibri" w:hAnsi="Arial" w:cs="Arial"/>
          <w:i/>
          <w:sz w:val="20"/>
          <w:szCs w:val="20"/>
          <w:u w:val="single"/>
          <w:lang w:val="pt-PT"/>
        </w:rPr>
      </w:pPr>
      <w:r w:rsidRPr="00292532">
        <w:rPr>
          <w:rFonts w:ascii="Arial" w:eastAsia="Calibri" w:hAnsi="Arial" w:cs="Arial"/>
          <w:i/>
          <w:sz w:val="20"/>
          <w:szCs w:val="20"/>
          <w:u w:val="single"/>
          <w:lang w:val="pt-PT"/>
        </w:rPr>
        <w:t>2.1. Construção de sistemas de abastecimento de água para centros de crescimento rural</w:t>
      </w:r>
    </w:p>
    <w:p w14:paraId="546921E4" w14:textId="77777777" w:rsidR="00B31AE2" w:rsidRPr="00292532" w:rsidRDefault="00B31AE2" w:rsidP="00B31AE2">
      <w:pPr>
        <w:spacing w:before="0" w:after="0"/>
        <w:rPr>
          <w:rFonts w:ascii="Arial" w:eastAsia="Times New Roman" w:hAnsi="Arial" w:cs="Arial"/>
          <w:sz w:val="20"/>
          <w:szCs w:val="20"/>
          <w:lang w:val="pt-PT"/>
        </w:rPr>
      </w:pPr>
    </w:p>
    <w:p w14:paraId="604610F3" w14:textId="77777777" w:rsidR="00B31AE2" w:rsidRPr="00292532" w:rsidRDefault="00B31AE2" w:rsidP="00B31AE2">
      <w:pPr>
        <w:spacing w:before="0" w:after="120"/>
        <w:rPr>
          <w:rFonts w:ascii="Arial" w:eastAsia="Times New Roman" w:hAnsi="Arial" w:cs="Arial"/>
          <w:sz w:val="20"/>
          <w:szCs w:val="20"/>
          <w:lang w:val="pt-PT"/>
        </w:rPr>
      </w:pPr>
      <w:r w:rsidRPr="00292532">
        <w:rPr>
          <w:rFonts w:ascii="Arial" w:eastAsia="Times New Roman" w:hAnsi="Arial" w:cs="Arial"/>
          <w:sz w:val="20"/>
          <w:szCs w:val="20"/>
          <w:lang w:val="pt-PT"/>
        </w:rPr>
        <w:t>Devido a fragilidade económica e a falta de mão de obra qualificada nas zonas rurais, poderá ser necessário a contratação de trabalhadores de outras comunidades ou outros pontos do país, o que pode resultar na demanda por trabalho sexual - até mesmo aumentar o risco de tráfico de mulheres para fins de trabalho sexual.</w:t>
      </w:r>
    </w:p>
    <w:p w14:paraId="7B053468" w14:textId="77777777" w:rsidR="00B31AE2" w:rsidRPr="00292532" w:rsidRDefault="00B31AE2" w:rsidP="00B31AE2">
      <w:pPr>
        <w:spacing w:before="0" w:after="120"/>
        <w:rPr>
          <w:rFonts w:ascii="Arial" w:eastAsia="Times New Roman" w:hAnsi="Arial" w:cs="Arial"/>
          <w:sz w:val="20"/>
          <w:szCs w:val="20"/>
          <w:lang w:val="pt-PT"/>
        </w:rPr>
      </w:pPr>
      <w:r w:rsidRPr="00292532">
        <w:rPr>
          <w:rFonts w:ascii="Arial" w:eastAsia="Times New Roman" w:hAnsi="Arial" w:cs="Arial"/>
          <w:sz w:val="20"/>
          <w:szCs w:val="20"/>
          <w:lang w:val="pt-PT"/>
        </w:rPr>
        <w:t xml:space="preserve">O aumento da renda por parte dos trabalhadores </w:t>
      </w:r>
      <w:proofErr w:type="spellStart"/>
      <w:r w:rsidRPr="00292532">
        <w:rPr>
          <w:rFonts w:ascii="Arial" w:eastAsia="Times New Roman" w:hAnsi="Arial" w:cs="Arial"/>
          <w:sz w:val="20"/>
          <w:szCs w:val="20"/>
          <w:lang w:val="pt-PT"/>
        </w:rPr>
        <w:t>afectos</w:t>
      </w:r>
      <w:proofErr w:type="spellEnd"/>
      <w:r w:rsidRPr="00292532">
        <w:rPr>
          <w:rFonts w:ascii="Arial" w:eastAsia="Times New Roman" w:hAnsi="Arial" w:cs="Arial"/>
          <w:sz w:val="20"/>
          <w:szCs w:val="20"/>
          <w:lang w:val="pt-PT"/>
        </w:rPr>
        <w:t xml:space="preserve"> ao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 xml:space="preserve"> pode conduzir ao elevado risco de casamento precoce forçado, principalmente em comunidades onde o casamento com um homem empregado é visto como a melhor estratégia de subsistência para uma adolescente. Além disso, salários mais altos para trabalhadores em uma comunidade podem levar a um aumento do sexo </w:t>
      </w:r>
      <w:proofErr w:type="spellStart"/>
      <w:r w:rsidRPr="00292532">
        <w:rPr>
          <w:rFonts w:ascii="Arial" w:eastAsia="Times New Roman" w:hAnsi="Arial" w:cs="Arial"/>
          <w:sz w:val="20"/>
          <w:szCs w:val="20"/>
          <w:lang w:val="pt-PT"/>
        </w:rPr>
        <w:t>transaccional</w:t>
      </w:r>
      <w:proofErr w:type="spellEnd"/>
      <w:r w:rsidRPr="00292532">
        <w:rPr>
          <w:rFonts w:ascii="Arial" w:eastAsia="Times New Roman" w:hAnsi="Arial" w:cs="Arial"/>
          <w:sz w:val="20"/>
          <w:szCs w:val="20"/>
          <w:lang w:val="pt-PT"/>
        </w:rPr>
        <w:t>.</w:t>
      </w:r>
    </w:p>
    <w:p w14:paraId="11B87CD6" w14:textId="77777777" w:rsidR="00B31AE2" w:rsidRPr="00292532" w:rsidRDefault="00B31AE2" w:rsidP="00B31AE2">
      <w:pPr>
        <w:spacing w:before="0" w:after="120"/>
        <w:rPr>
          <w:rFonts w:ascii="Arial" w:eastAsia="Times New Roman" w:hAnsi="Arial" w:cs="Arial"/>
          <w:sz w:val="20"/>
          <w:szCs w:val="20"/>
          <w:lang w:val="pt-PT"/>
        </w:rPr>
      </w:pPr>
      <w:r w:rsidRPr="00292532">
        <w:rPr>
          <w:rFonts w:ascii="Arial" w:eastAsia="Times New Roman" w:hAnsi="Arial" w:cs="Arial"/>
          <w:sz w:val="20"/>
          <w:szCs w:val="20"/>
          <w:lang w:val="pt-PT"/>
        </w:rPr>
        <w:t xml:space="preserve">A mudança na dinâmica da comunidade proporcionada pelas </w:t>
      </w:r>
      <w:proofErr w:type="spellStart"/>
      <w:r w:rsidRPr="00292532">
        <w:rPr>
          <w:rFonts w:ascii="Arial" w:eastAsia="Times New Roman" w:hAnsi="Arial" w:cs="Arial"/>
          <w:sz w:val="20"/>
          <w:szCs w:val="20"/>
          <w:lang w:val="pt-PT"/>
        </w:rPr>
        <w:t>actividades</w:t>
      </w:r>
      <w:proofErr w:type="spellEnd"/>
      <w:r w:rsidRPr="00292532">
        <w:rPr>
          <w:rFonts w:ascii="Arial" w:eastAsia="Times New Roman" w:hAnsi="Arial" w:cs="Arial"/>
          <w:sz w:val="20"/>
          <w:szCs w:val="20"/>
          <w:lang w:val="pt-PT"/>
        </w:rPr>
        <w:t xml:space="preserve"> do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 xml:space="preserve"> poderá conduzir a chegada de novas pessoas vindas de outras comunidades à procura de melhores oportunidades (</w:t>
      </w:r>
      <w:proofErr w:type="spellStart"/>
      <w:r w:rsidRPr="00292532">
        <w:rPr>
          <w:rFonts w:ascii="Arial" w:eastAsia="Times New Roman" w:hAnsi="Arial" w:cs="Arial"/>
          <w:sz w:val="20"/>
          <w:szCs w:val="20"/>
          <w:lang w:val="pt-PT"/>
        </w:rPr>
        <w:t>vientes</w:t>
      </w:r>
      <w:proofErr w:type="spellEnd"/>
      <w:r w:rsidRPr="00292532">
        <w:rPr>
          <w:rFonts w:ascii="Arial" w:eastAsia="Times New Roman" w:hAnsi="Arial" w:cs="Arial"/>
          <w:sz w:val="20"/>
          <w:szCs w:val="20"/>
          <w:lang w:val="pt-PT"/>
        </w:rPr>
        <w:t xml:space="preserve">), o que poderá aumentar o risco de abuso, assédio, violência contra criança, casamento prematuro e gravidez precoce, etc. A mistura de várias tradições e culturas trazidas por trabalhadores </w:t>
      </w:r>
      <w:r w:rsidRPr="00292532">
        <w:rPr>
          <w:rFonts w:ascii="Arial" w:eastAsia="Times New Roman" w:hAnsi="Arial" w:cs="Arial"/>
          <w:sz w:val="20"/>
          <w:szCs w:val="20"/>
          <w:lang w:val="pt-PT"/>
        </w:rPr>
        <w:lastRenderedPageBreak/>
        <w:t>ou “</w:t>
      </w:r>
      <w:proofErr w:type="spellStart"/>
      <w:r w:rsidRPr="00292532">
        <w:rPr>
          <w:rFonts w:ascii="Arial" w:eastAsia="Times New Roman" w:hAnsi="Arial" w:cs="Arial"/>
          <w:sz w:val="20"/>
          <w:szCs w:val="20"/>
          <w:lang w:val="pt-PT"/>
        </w:rPr>
        <w:t>vientes</w:t>
      </w:r>
      <w:proofErr w:type="spellEnd"/>
      <w:r w:rsidRPr="00292532">
        <w:rPr>
          <w:rFonts w:ascii="Arial" w:eastAsia="Times New Roman" w:hAnsi="Arial" w:cs="Arial"/>
          <w:sz w:val="20"/>
          <w:szCs w:val="20"/>
          <w:lang w:val="pt-PT"/>
        </w:rPr>
        <w:t xml:space="preserve">” poderá levar a </w:t>
      </w:r>
      <w:proofErr w:type="spellStart"/>
      <w:r w:rsidRPr="00292532">
        <w:rPr>
          <w:rFonts w:ascii="Arial" w:eastAsia="Times New Roman" w:hAnsi="Arial" w:cs="Arial"/>
          <w:sz w:val="20"/>
          <w:szCs w:val="20"/>
          <w:lang w:val="pt-PT"/>
        </w:rPr>
        <w:t>actos</w:t>
      </w:r>
      <w:proofErr w:type="spellEnd"/>
      <w:r w:rsidRPr="00292532">
        <w:rPr>
          <w:rFonts w:ascii="Arial" w:eastAsia="Times New Roman" w:hAnsi="Arial" w:cs="Arial"/>
          <w:sz w:val="20"/>
          <w:szCs w:val="20"/>
          <w:lang w:val="pt-PT"/>
        </w:rPr>
        <w:t xml:space="preserve"> de ciúmes aos nativos, que pode resultar em alto índice de violência doméstica.</w:t>
      </w:r>
    </w:p>
    <w:p w14:paraId="6D99C560" w14:textId="77777777" w:rsidR="00B31AE2" w:rsidRPr="00292532" w:rsidRDefault="00B31AE2" w:rsidP="00B31AE2">
      <w:pPr>
        <w:spacing w:before="0" w:after="0"/>
        <w:rPr>
          <w:rFonts w:ascii="Arial" w:eastAsia="Times New Roman" w:hAnsi="Arial" w:cs="Arial"/>
          <w:sz w:val="20"/>
          <w:szCs w:val="20"/>
          <w:lang w:val="pt-PT"/>
        </w:rPr>
      </w:pPr>
      <w:r w:rsidRPr="00292532">
        <w:rPr>
          <w:rFonts w:ascii="Arial" w:eastAsia="Times New Roman" w:hAnsi="Arial" w:cs="Arial"/>
          <w:sz w:val="20"/>
          <w:szCs w:val="20"/>
          <w:lang w:val="pt-PT"/>
        </w:rPr>
        <w:t xml:space="preserve">Os beneficiários das obras de saneamento podem sofrer cobranças indevidas para a execução da </w:t>
      </w:r>
      <w:proofErr w:type="spellStart"/>
      <w:r w:rsidRPr="00292532">
        <w:rPr>
          <w:rFonts w:ascii="Arial" w:eastAsia="Times New Roman" w:hAnsi="Arial" w:cs="Arial"/>
          <w:sz w:val="20"/>
          <w:szCs w:val="20"/>
          <w:lang w:val="pt-PT"/>
        </w:rPr>
        <w:t>actividade</w:t>
      </w:r>
      <w:proofErr w:type="spellEnd"/>
      <w:r w:rsidRPr="00292532">
        <w:rPr>
          <w:rFonts w:ascii="Arial" w:eastAsia="Times New Roman" w:hAnsi="Arial" w:cs="Arial"/>
          <w:sz w:val="20"/>
          <w:szCs w:val="20"/>
          <w:lang w:val="pt-PT"/>
        </w:rPr>
        <w:t xml:space="preserve">, que podem incluir solicitações para a prática de </w:t>
      </w:r>
      <w:proofErr w:type="spellStart"/>
      <w:r w:rsidRPr="00292532">
        <w:rPr>
          <w:rFonts w:ascii="Arial" w:eastAsia="Times New Roman" w:hAnsi="Arial" w:cs="Arial"/>
          <w:sz w:val="20"/>
          <w:szCs w:val="20"/>
          <w:lang w:val="pt-PT"/>
        </w:rPr>
        <w:t>actividades</w:t>
      </w:r>
      <w:proofErr w:type="spellEnd"/>
      <w:r w:rsidRPr="00292532">
        <w:rPr>
          <w:rFonts w:ascii="Arial" w:eastAsia="Times New Roman" w:hAnsi="Arial" w:cs="Arial"/>
          <w:sz w:val="20"/>
          <w:szCs w:val="20"/>
          <w:lang w:val="pt-PT"/>
        </w:rPr>
        <w:t xml:space="preserve"> sexuais principalmente para as mulheres e raparigas chefes de família que já se encontram em condições de fragilidade.</w:t>
      </w:r>
    </w:p>
    <w:p w14:paraId="3F35F773" w14:textId="77777777" w:rsidR="00B31AE2" w:rsidRPr="00292532" w:rsidRDefault="00B31AE2" w:rsidP="00B31AE2">
      <w:pPr>
        <w:spacing w:before="0" w:after="0"/>
        <w:rPr>
          <w:rFonts w:ascii="Arial" w:eastAsia="Times New Roman" w:hAnsi="Arial" w:cs="Arial"/>
          <w:sz w:val="20"/>
          <w:szCs w:val="20"/>
          <w:lang w:val="pt-PT"/>
        </w:rPr>
      </w:pPr>
    </w:p>
    <w:p w14:paraId="1462CF1F" w14:textId="77777777" w:rsidR="00B31AE2" w:rsidRPr="004500AE" w:rsidRDefault="00B31AE2" w:rsidP="00AE14AE">
      <w:pPr>
        <w:numPr>
          <w:ilvl w:val="1"/>
          <w:numId w:val="164"/>
        </w:numPr>
        <w:autoSpaceDE w:val="0"/>
        <w:autoSpaceDN w:val="0"/>
        <w:adjustRightInd w:val="0"/>
        <w:spacing w:before="0" w:after="0" w:line="259" w:lineRule="auto"/>
        <w:contextualSpacing/>
        <w:rPr>
          <w:rFonts w:ascii="Arial" w:eastAsia="Calibri" w:hAnsi="Arial" w:cs="Arial"/>
          <w:i/>
          <w:color w:val="000000"/>
          <w:sz w:val="20"/>
          <w:szCs w:val="20"/>
          <w:u w:val="single"/>
          <w:lang w:val="pt-PT"/>
        </w:rPr>
      </w:pPr>
      <w:r w:rsidRPr="004500AE">
        <w:rPr>
          <w:rFonts w:ascii="Arial" w:eastAsia="Calibri" w:hAnsi="Arial" w:cs="Arial"/>
          <w:i/>
          <w:color w:val="000000"/>
          <w:sz w:val="20"/>
          <w:szCs w:val="20"/>
          <w:u w:val="single"/>
          <w:lang w:val="pt-PT"/>
        </w:rPr>
        <w:t>Desenvolvimento e implementação de subvenções baseadas no desempenho para:</w:t>
      </w:r>
    </w:p>
    <w:p w14:paraId="2DB091A9" w14:textId="77777777" w:rsidR="00B31AE2" w:rsidRPr="004500AE" w:rsidRDefault="00B31AE2" w:rsidP="00AE14AE">
      <w:pPr>
        <w:numPr>
          <w:ilvl w:val="2"/>
          <w:numId w:val="165"/>
        </w:numPr>
        <w:autoSpaceDE w:val="0"/>
        <w:autoSpaceDN w:val="0"/>
        <w:adjustRightInd w:val="0"/>
        <w:spacing w:before="0" w:after="0" w:line="259" w:lineRule="auto"/>
        <w:contextualSpacing/>
        <w:rPr>
          <w:rFonts w:ascii="Arial" w:eastAsia="Calibri" w:hAnsi="Arial" w:cs="Arial"/>
          <w:i/>
          <w:color w:val="000000"/>
          <w:sz w:val="20"/>
          <w:szCs w:val="20"/>
          <w:u w:val="single"/>
          <w:lang w:val="pt-PT"/>
        </w:rPr>
      </w:pPr>
      <w:r w:rsidRPr="004500AE">
        <w:rPr>
          <w:rFonts w:ascii="Arial" w:eastAsia="Calibri" w:hAnsi="Arial" w:cs="Arial"/>
          <w:i/>
          <w:color w:val="000000"/>
          <w:sz w:val="20"/>
          <w:szCs w:val="20"/>
          <w:u w:val="single"/>
          <w:lang w:val="pt-PT"/>
        </w:rPr>
        <w:t xml:space="preserve">realizar investimentos em fontes de água dispersas e saneamento localizado a nível domiciliar e escolar com facilidades para gestão da higiene menstrual nas zonas rurais </w:t>
      </w:r>
    </w:p>
    <w:p w14:paraId="69D0B91D" w14:textId="77777777" w:rsidR="00B31AE2" w:rsidRPr="00292532" w:rsidRDefault="00B31AE2" w:rsidP="00B31AE2">
      <w:pPr>
        <w:spacing w:before="0" w:after="0"/>
        <w:rPr>
          <w:rFonts w:ascii="Arial" w:eastAsia="Times New Roman" w:hAnsi="Arial" w:cs="Arial"/>
          <w:sz w:val="20"/>
          <w:szCs w:val="20"/>
          <w:lang w:val="pt-PT"/>
        </w:rPr>
      </w:pPr>
    </w:p>
    <w:p w14:paraId="075A7AA2" w14:textId="77777777" w:rsidR="00B31AE2" w:rsidRPr="00292532" w:rsidRDefault="00B31AE2" w:rsidP="00B31AE2">
      <w:pPr>
        <w:spacing w:before="0" w:after="120"/>
        <w:rPr>
          <w:rFonts w:ascii="Arial" w:eastAsia="Times New Roman" w:hAnsi="Arial" w:cs="Arial"/>
          <w:sz w:val="20"/>
          <w:szCs w:val="20"/>
          <w:lang w:val="pt-PT"/>
        </w:rPr>
      </w:pPr>
      <w:r w:rsidRPr="00292532">
        <w:rPr>
          <w:rFonts w:ascii="Arial" w:eastAsia="Times New Roman" w:hAnsi="Arial" w:cs="Arial"/>
          <w:sz w:val="20"/>
          <w:szCs w:val="20"/>
          <w:lang w:val="pt-PT"/>
        </w:rPr>
        <w:t xml:space="preserve">Esta subcomponente poderá envolver riscos de VBG quer no processo de </w:t>
      </w:r>
      <w:proofErr w:type="spellStart"/>
      <w:r w:rsidRPr="00292532">
        <w:rPr>
          <w:rFonts w:ascii="Arial" w:eastAsia="Times New Roman" w:hAnsi="Arial" w:cs="Arial"/>
          <w:sz w:val="20"/>
          <w:szCs w:val="20"/>
          <w:lang w:val="pt-PT"/>
        </w:rPr>
        <w:t>selecção</w:t>
      </w:r>
      <w:proofErr w:type="spellEnd"/>
      <w:r w:rsidRPr="00292532">
        <w:rPr>
          <w:rFonts w:ascii="Arial" w:eastAsia="Times New Roman" w:hAnsi="Arial" w:cs="Arial"/>
          <w:sz w:val="20"/>
          <w:szCs w:val="20"/>
          <w:lang w:val="pt-PT"/>
        </w:rPr>
        <w:t>/candidatura para os postos de emprego a serem criados, quer no local de trabalho (principalmente para mulheres e raparigas) ou riscos de violência sexual no troço casa trabalho ou vice-versa, e violência doméstica devido a não conciliação do emprego e das tarefas domésticas (muitas vezes deixada para mulheres e raparigas).</w:t>
      </w:r>
    </w:p>
    <w:p w14:paraId="351F5E50" w14:textId="77777777" w:rsidR="00B31AE2" w:rsidRPr="00292532" w:rsidRDefault="00B31AE2" w:rsidP="00B31AE2">
      <w:pPr>
        <w:spacing w:before="0" w:after="120"/>
        <w:rPr>
          <w:rFonts w:ascii="Arial" w:eastAsia="Times New Roman" w:hAnsi="Arial" w:cs="Arial"/>
          <w:sz w:val="20"/>
          <w:szCs w:val="20"/>
          <w:lang w:val="pt-PT"/>
        </w:rPr>
      </w:pPr>
      <w:r w:rsidRPr="00292532">
        <w:rPr>
          <w:rFonts w:ascii="Arial" w:eastAsia="Times New Roman" w:hAnsi="Arial" w:cs="Arial"/>
          <w:sz w:val="20"/>
          <w:szCs w:val="20"/>
          <w:lang w:val="pt-PT"/>
        </w:rPr>
        <w:t xml:space="preserve">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 xml:space="preserve"> criará mudança na comunidade em que serão desenvolvidas as </w:t>
      </w:r>
      <w:proofErr w:type="spellStart"/>
      <w:r w:rsidRPr="00292532">
        <w:rPr>
          <w:rFonts w:ascii="Arial" w:eastAsia="Times New Roman" w:hAnsi="Arial" w:cs="Arial"/>
          <w:sz w:val="20"/>
          <w:szCs w:val="20"/>
          <w:lang w:val="pt-PT"/>
        </w:rPr>
        <w:t>actividades</w:t>
      </w:r>
      <w:proofErr w:type="spellEnd"/>
      <w:r w:rsidRPr="00292532">
        <w:rPr>
          <w:rFonts w:ascii="Arial" w:eastAsia="Times New Roman" w:hAnsi="Arial" w:cs="Arial"/>
          <w:sz w:val="20"/>
          <w:szCs w:val="20"/>
          <w:lang w:val="pt-PT"/>
        </w:rPr>
        <w:t xml:space="preserve">, e podem causar mudanças na dinâmica de poder entre os membros da comunidade e dentro das famílias. O ciúme masculino, um dos principais impulsionadores da VBG, pode ser desencadeado pelo influxo de trabalhadores, quando se acredita que estes (os trabalhadores) estão interagindo com as mulheres da comunidade. Consequentemente, o comportamento abusivo pode ocorrer não apenas entre a equipe do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 xml:space="preserve"> e aqueles que vivem dentro e ao redor do local do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 xml:space="preserve">, mas também dentro das casas das pessoas </w:t>
      </w:r>
      <w:proofErr w:type="spellStart"/>
      <w:r w:rsidRPr="00292532">
        <w:rPr>
          <w:rFonts w:ascii="Arial" w:eastAsia="Times New Roman" w:hAnsi="Arial" w:cs="Arial"/>
          <w:sz w:val="20"/>
          <w:szCs w:val="20"/>
          <w:lang w:val="pt-PT"/>
        </w:rPr>
        <w:t>afectadas</w:t>
      </w:r>
      <w:proofErr w:type="spellEnd"/>
      <w:r w:rsidRPr="00292532">
        <w:rPr>
          <w:rFonts w:ascii="Arial" w:eastAsia="Times New Roman" w:hAnsi="Arial" w:cs="Arial"/>
          <w:sz w:val="20"/>
          <w:szCs w:val="20"/>
          <w:lang w:val="pt-PT"/>
        </w:rPr>
        <w:t xml:space="preserve"> pelo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w:t>
      </w:r>
    </w:p>
    <w:p w14:paraId="0F71E527" w14:textId="77777777" w:rsidR="00B31AE2" w:rsidRPr="00292532" w:rsidRDefault="00B31AE2" w:rsidP="00B31AE2">
      <w:pPr>
        <w:spacing w:before="0" w:after="120"/>
        <w:rPr>
          <w:rFonts w:ascii="Arial" w:eastAsia="Times New Roman" w:hAnsi="Arial" w:cs="Arial"/>
          <w:sz w:val="20"/>
          <w:szCs w:val="20"/>
          <w:lang w:val="pt-PT"/>
        </w:rPr>
      </w:pPr>
      <w:r w:rsidRPr="00292532">
        <w:rPr>
          <w:rFonts w:ascii="Arial" w:eastAsia="Times New Roman" w:hAnsi="Arial" w:cs="Arial"/>
          <w:sz w:val="20"/>
          <w:szCs w:val="20"/>
          <w:lang w:val="pt-PT"/>
        </w:rPr>
        <w:t xml:space="preserve">A exclusão de mulheres para a realização de </w:t>
      </w:r>
      <w:proofErr w:type="spellStart"/>
      <w:r w:rsidRPr="00292532">
        <w:rPr>
          <w:rFonts w:ascii="Arial" w:eastAsia="Times New Roman" w:hAnsi="Arial" w:cs="Arial"/>
          <w:sz w:val="20"/>
          <w:szCs w:val="20"/>
          <w:lang w:val="pt-PT"/>
        </w:rPr>
        <w:t>actividades</w:t>
      </w:r>
      <w:proofErr w:type="spellEnd"/>
      <w:r w:rsidRPr="00292532">
        <w:rPr>
          <w:rFonts w:ascii="Arial" w:eastAsia="Times New Roman" w:hAnsi="Arial" w:cs="Arial"/>
          <w:sz w:val="20"/>
          <w:szCs w:val="20"/>
          <w:lang w:val="pt-PT"/>
        </w:rPr>
        <w:t xml:space="preserve"> nessa componente é maior, visto que envolve </w:t>
      </w:r>
      <w:proofErr w:type="spellStart"/>
      <w:r w:rsidRPr="00292532">
        <w:rPr>
          <w:rFonts w:ascii="Arial" w:eastAsia="Times New Roman" w:hAnsi="Arial" w:cs="Arial"/>
          <w:sz w:val="20"/>
          <w:szCs w:val="20"/>
          <w:lang w:val="pt-PT"/>
        </w:rPr>
        <w:t>actividades</w:t>
      </w:r>
      <w:proofErr w:type="spellEnd"/>
      <w:r w:rsidRPr="00292532">
        <w:rPr>
          <w:rFonts w:ascii="Arial" w:eastAsia="Times New Roman" w:hAnsi="Arial" w:cs="Arial"/>
          <w:sz w:val="20"/>
          <w:szCs w:val="20"/>
          <w:lang w:val="pt-PT"/>
        </w:rPr>
        <w:t xml:space="preserve"> que geralmente são identificadas como do caracter masculino, principalmente nas áreas rurais em que o </w:t>
      </w:r>
      <w:proofErr w:type="spellStart"/>
      <w:r w:rsidRPr="00292532">
        <w:rPr>
          <w:rFonts w:ascii="Arial" w:eastAsia="Times New Roman" w:hAnsi="Arial" w:cs="Arial"/>
          <w:sz w:val="20"/>
          <w:szCs w:val="20"/>
          <w:lang w:val="pt-PT"/>
        </w:rPr>
        <w:t>aspecto</w:t>
      </w:r>
      <w:proofErr w:type="spellEnd"/>
      <w:r w:rsidRPr="00292532">
        <w:rPr>
          <w:rFonts w:ascii="Arial" w:eastAsia="Times New Roman" w:hAnsi="Arial" w:cs="Arial"/>
          <w:sz w:val="20"/>
          <w:szCs w:val="20"/>
          <w:lang w:val="pt-PT"/>
        </w:rPr>
        <w:t xml:space="preserve"> cultural é responsável pela ideologia e estereótipos de género a distribuição de tarefas, tendo a mulher (que muita das vezes desempenha </w:t>
      </w:r>
      <w:proofErr w:type="spellStart"/>
      <w:r w:rsidRPr="00292532">
        <w:rPr>
          <w:rFonts w:ascii="Arial" w:eastAsia="Times New Roman" w:hAnsi="Arial" w:cs="Arial"/>
          <w:sz w:val="20"/>
          <w:szCs w:val="20"/>
          <w:lang w:val="pt-PT"/>
        </w:rPr>
        <w:t>actividades</w:t>
      </w:r>
      <w:proofErr w:type="spellEnd"/>
      <w:r w:rsidRPr="00292532">
        <w:rPr>
          <w:rFonts w:ascii="Arial" w:eastAsia="Times New Roman" w:hAnsi="Arial" w:cs="Arial"/>
          <w:sz w:val="20"/>
          <w:szCs w:val="20"/>
          <w:lang w:val="pt-PT"/>
        </w:rPr>
        <w:t xml:space="preserve"> de menor rendimento como a confeição de alimentos, limpeza, </w:t>
      </w:r>
      <w:proofErr w:type="spellStart"/>
      <w:r w:rsidRPr="00292532">
        <w:rPr>
          <w:rFonts w:ascii="Arial" w:eastAsia="Times New Roman" w:hAnsi="Arial" w:cs="Arial"/>
          <w:sz w:val="20"/>
          <w:szCs w:val="20"/>
          <w:lang w:val="pt-PT"/>
        </w:rPr>
        <w:t>etc</w:t>
      </w:r>
      <w:proofErr w:type="spellEnd"/>
      <w:r w:rsidRPr="00292532">
        <w:rPr>
          <w:rFonts w:ascii="Arial" w:eastAsia="Times New Roman" w:hAnsi="Arial" w:cs="Arial"/>
          <w:sz w:val="20"/>
          <w:szCs w:val="20"/>
          <w:lang w:val="pt-PT"/>
        </w:rPr>
        <w:t>) menos beneficiada e estando em condição de dependência, o que proporciona o risco de violência financeira em que o parceiro ou membro da família tem o controlo total do rendimento da mulher, e dita a forma como será aplicado o valor.</w:t>
      </w:r>
    </w:p>
    <w:p w14:paraId="1F70C497" w14:textId="77777777" w:rsidR="00B31AE2" w:rsidRPr="00292532" w:rsidRDefault="00B31AE2" w:rsidP="00B31AE2">
      <w:pPr>
        <w:spacing w:before="0" w:after="120"/>
        <w:rPr>
          <w:rFonts w:ascii="Arial" w:eastAsia="Times New Roman" w:hAnsi="Arial" w:cs="Arial"/>
          <w:sz w:val="20"/>
          <w:szCs w:val="20"/>
          <w:lang w:val="pt-PT"/>
        </w:rPr>
      </w:pPr>
      <w:r w:rsidRPr="00292532">
        <w:rPr>
          <w:rFonts w:ascii="Arial" w:eastAsia="Times New Roman" w:hAnsi="Arial" w:cs="Arial"/>
          <w:sz w:val="20"/>
          <w:szCs w:val="20"/>
          <w:lang w:val="pt-PT"/>
        </w:rPr>
        <w:t xml:space="preserve">Além disso, salários mais altos para trabalhadores em uma comunidade podem levar a um aumento no sexo </w:t>
      </w:r>
      <w:proofErr w:type="spellStart"/>
      <w:r w:rsidRPr="00292532">
        <w:rPr>
          <w:rFonts w:ascii="Arial" w:eastAsia="Times New Roman" w:hAnsi="Arial" w:cs="Arial"/>
          <w:sz w:val="20"/>
          <w:szCs w:val="20"/>
          <w:lang w:val="pt-PT"/>
        </w:rPr>
        <w:t>transaccional</w:t>
      </w:r>
      <w:proofErr w:type="spellEnd"/>
      <w:r w:rsidRPr="00292532">
        <w:rPr>
          <w:rFonts w:ascii="Arial" w:eastAsia="Times New Roman" w:hAnsi="Arial" w:cs="Arial"/>
          <w:sz w:val="20"/>
          <w:szCs w:val="20"/>
          <w:lang w:val="pt-PT"/>
        </w:rPr>
        <w:t xml:space="preserve">. O risco de incidentes de </w:t>
      </w:r>
      <w:proofErr w:type="spellStart"/>
      <w:r w:rsidRPr="00292532">
        <w:rPr>
          <w:rFonts w:ascii="Arial" w:eastAsia="Times New Roman" w:hAnsi="Arial" w:cs="Arial"/>
          <w:sz w:val="20"/>
          <w:szCs w:val="20"/>
          <w:lang w:val="pt-PT"/>
        </w:rPr>
        <w:t>actividade</w:t>
      </w:r>
      <w:proofErr w:type="spellEnd"/>
      <w:r w:rsidRPr="00292532">
        <w:rPr>
          <w:rFonts w:ascii="Arial" w:eastAsia="Times New Roman" w:hAnsi="Arial" w:cs="Arial"/>
          <w:sz w:val="20"/>
          <w:szCs w:val="20"/>
          <w:lang w:val="pt-PT"/>
        </w:rPr>
        <w:t xml:space="preserve"> sexual entre trabalhadores e menores, mesmo quando não </w:t>
      </w:r>
      <w:proofErr w:type="spellStart"/>
      <w:r w:rsidRPr="00292532">
        <w:rPr>
          <w:rFonts w:ascii="Arial" w:eastAsia="Times New Roman" w:hAnsi="Arial" w:cs="Arial"/>
          <w:sz w:val="20"/>
          <w:szCs w:val="20"/>
          <w:lang w:val="pt-PT"/>
        </w:rPr>
        <w:t>transaccional</w:t>
      </w:r>
      <w:proofErr w:type="spellEnd"/>
      <w:r w:rsidRPr="00292532">
        <w:rPr>
          <w:rFonts w:ascii="Arial" w:eastAsia="Times New Roman" w:hAnsi="Arial" w:cs="Arial"/>
          <w:sz w:val="20"/>
          <w:szCs w:val="20"/>
          <w:lang w:val="pt-PT"/>
        </w:rPr>
        <w:t xml:space="preserve">, também pode aumentar, levando a prática de casamento prematuro e gravidez precoce.  </w:t>
      </w:r>
    </w:p>
    <w:p w14:paraId="443289E8" w14:textId="77777777" w:rsidR="00B31AE2" w:rsidRPr="00292532" w:rsidRDefault="00B31AE2" w:rsidP="00B31AE2">
      <w:pPr>
        <w:spacing w:before="0" w:after="0"/>
        <w:rPr>
          <w:rFonts w:ascii="Arial" w:eastAsia="Times New Roman" w:hAnsi="Arial" w:cs="Arial"/>
          <w:sz w:val="20"/>
          <w:szCs w:val="20"/>
          <w:lang w:val="pt-PT"/>
        </w:rPr>
      </w:pPr>
      <w:r w:rsidRPr="00292532">
        <w:rPr>
          <w:rFonts w:ascii="Arial" w:eastAsia="Times New Roman" w:hAnsi="Arial" w:cs="Arial"/>
          <w:sz w:val="20"/>
          <w:szCs w:val="20"/>
          <w:lang w:val="pt-PT"/>
        </w:rPr>
        <w:t xml:space="preserve">Por outro lado, dependendo da localização das infraestruturas de saneamento, a falta de iluminação e mecanismos de segurança (portas trancáveis por dentro), distância das infraestruturas e a residência principal podem potencializar riscos de abuso sexual, violações sexuais e desconforto/medo no seu uso. </w:t>
      </w:r>
    </w:p>
    <w:p w14:paraId="61E153D5" w14:textId="77777777" w:rsidR="00B31AE2" w:rsidRPr="00292532" w:rsidRDefault="00B31AE2" w:rsidP="00B31AE2">
      <w:pPr>
        <w:spacing w:before="0" w:after="0"/>
        <w:rPr>
          <w:rFonts w:ascii="Arial" w:eastAsia="Times New Roman" w:hAnsi="Arial" w:cs="Arial"/>
          <w:lang w:val="pt-PT"/>
        </w:rPr>
      </w:pPr>
    </w:p>
    <w:p w14:paraId="1C5A0852" w14:textId="4DD996F5" w:rsidR="00B31AE2" w:rsidRPr="00292532" w:rsidRDefault="00B31AE2" w:rsidP="00AE14AE">
      <w:pPr>
        <w:keepNext/>
        <w:keepLines/>
        <w:numPr>
          <w:ilvl w:val="1"/>
          <w:numId w:val="167"/>
        </w:numPr>
        <w:spacing w:before="0" w:after="120"/>
        <w:outlineLvl w:val="1"/>
        <w:rPr>
          <w:rFonts w:ascii="Arial" w:eastAsia="Calibri" w:hAnsi="Arial" w:cs="Arial"/>
          <w:bCs/>
          <w:color w:val="2F5496"/>
          <w:sz w:val="26"/>
          <w:szCs w:val="26"/>
          <w:lang w:val="pt-PT"/>
        </w:rPr>
      </w:pPr>
      <w:bookmarkStart w:id="1674" w:name="_Toc75246795"/>
      <w:bookmarkStart w:id="1675" w:name="_Toc75438113"/>
      <w:bookmarkStart w:id="1676" w:name="_Toc78435550"/>
      <w:bookmarkStart w:id="1677" w:name="_Toc80380216"/>
      <w:r w:rsidRPr="00292532">
        <w:rPr>
          <w:rFonts w:ascii="Arial" w:eastAsia="Calibri" w:hAnsi="Arial" w:cs="Arial"/>
          <w:bCs/>
          <w:color w:val="2F5496"/>
          <w:sz w:val="26"/>
          <w:szCs w:val="26"/>
          <w:lang w:val="pt-PT"/>
        </w:rPr>
        <w:t xml:space="preserve">Resumo dos principais riscos de VBG/EAS associados ao </w:t>
      </w:r>
      <w:proofErr w:type="spellStart"/>
      <w:r w:rsidRPr="00292532">
        <w:rPr>
          <w:rFonts w:ascii="Arial" w:eastAsia="Calibri" w:hAnsi="Arial" w:cs="Arial"/>
          <w:bCs/>
          <w:color w:val="2F5496"/>
          <w:sz w:val="26"/>
          <w:szCs w:val="26"/>
          <w:lang w:val="pt-PT"/>
        </w:rPr>
        <w:t>projecto</w:t>
      </w:r>
      <w:bookmarkEnd w:id="1674"/>
      <w:bookmarkEnd w:id="1675"/>
      <w:bookmarkEnd w:id="1676"/>
      <w:bookmarkEnd w:id="1677"/>
      <w:proofErr w:type="spellEnd"/>
    </w:p>
    <w:p w14:paraId="2F810BCF" w14:textId="7E3BAA3B" w:rsidR="00061682" w:rsidRPr="00292532" w:rsidRDefault="00061682" w:rsidP="00061682">
      <w:pPr>
        <w:keepNext/>
        <w:keepLines/>
        <w:spacing w:before="0" w:after="120"/>
        <w:ind w:left="1080"/>
        <w:outlineLvl w:val="1"/>
        <w:rPr>
          <w:rFonts w:ascii="Arial" w:eastAsia="Calibri" w:hAnsi="Arial" w:cs="Arial"/>
          <w:bCs/>
          <w:color w:val="2F5496"/>
          <w:sz w:val="26"/>
          <w:szCs w:val="26"/>
          <w:lang w:val="pt-PT"/>
        </w:rPr>
      </w:pPr>
    </w:p>
    <w:p w14:paraId="51FEA566" w14:textId="56F96A14" w:rsidR="00061682" w:rsidRPr="004500AE" w:rsidRDefault="00061682" w:rsidP="004500AE">
      <w:pPr>
        <w:keepNext/>
        <w:spacing w:before="0" w:after="200"/>
        <w:rPr>
          <w:lang w:val="pt-PT"/>
        </w:rPr>
      </w:pPr>
      <w:r w:rsidRPr="00292532">
        <w:rPr>
          <w:rFonts w:ascii="Arial" w:eastAsia="Times New Roman" w:hAnsi="Arial" w:cs="Times New Roman"/>
          <w:i/>
          <w:iCs/>
          <w:color w:val="44546A"/>
          <w:sz w:val="18"/>
          <w:szCs w:val="18"/>
          <w:lang w:val="pt-PT"/>
        </w:rPr>
        <w:t xml:space="preserve">Tabela 2: Principais riscos de VBG/EAS associados ao </w:t>
      </w:r>
      <w:proofErr w:type="spellStart"/>
      <w:r w:rsidRPr="00292532">
        <w:rPr>
          <w:rFonts w:ascii="Arial" w:eastAsia="Times New Roman" w:hAnsi="Arial" w:cs="Times New Roman"/>
          <w:i/>
          <w:iCs/>
          <w:color w:val="44546A"/>
          <w:sz w:val="18"/>
          <w:szCs w:val="18"/>
          <w:lang w:val="pt-PT"/>
        </w:rPr>
        <w:t>Projecto</w:t>
      </w:r>
      <w:proofErr w:type="spellEnd"/>
    </w:p>
    <w:tbl>
      <w:tblPr>
        <w:tblStyle w:val="0-Table1"/>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5"/>
        <w:gridCol w:w="3009"/>
        <w:gridCol w:w="3118"/>
      </w:tblGrid>
      <w:tr w:rsidR="00B31AE2" w:rsidRPr="00292532" w14:paraId="0C642BCB" w14:textId="77777777" w:rsidTr="00B31AE2">
        <w:trPr>
          <w:trHeight w:val="389"/>
          <w:tblHeader/>
        </w:trPr>
        <w:tc>
          <w:tcPr>
            <w:tcW w:w="2945" w:type="dxa"/>
            <w:shd w:val="clear" w:color="auto" w:fill="5B9BD5"/>
            <w:vAlign w:val="center"/>
          </w:tcPr>
          <w:p w14:paraId="44FDE185" w14:textId="77777777" w:rsidR="00B31AE2" w:rsidRPr="00292532" w:rsidRDefault="00B31AE2" w:rsidP="00B31AE2">
            <w:pPr>
              <w:spacing w:after="120"/>
              <w:jc w:val="center"/>
              <w:rPr>
                <w:rFonts w:ascii="Arial" w:hAnsi="Arial" w:cs="Arial"/>
                <w:b/>
                <w:color w:val="FFFFFF"/>
                <w:sz w:val="20"/>
                <w:szCs w:val="20"/>
                <w:lang w:val="pt-PT"/>
              </w:rPr>
            </w:pPr>
            <w:r w:rsidRPr="00292532">
              <w:rPr>
                <w:rFonts w:ascii="Arial" w:hAnsi="Arial" w:cs="Arial"/>
                <w:b/>
                <w:color w:val="FFFFFF"/>
                <w:sz w:val="20"/>
                <w:szCs w:val="20"/>
                <w:lang w:val="pt-PT"/>
              </w:rPr>
              <w:t>Exploração e Abuso Sexual (EAS)</w:t>
            </w:r>
          </w:p>
        </w:tc>
        <w:tc>
          <w:tcPr>
            <w:tcW w:w="3009" w:type="dxa"/>
            <w:shd w:val="clear" w:color="auto" w:fill="5B9BD5"/>
            <w:vAlign w:val="center"/>
          </w:tcPr>
          <w:p w14:paraId="5AC179D7" w14:textId="77777777" w:rsidR="00B31AE2" w:rsidRPr="00292532" w:rsidRDefault="00B31AE2" w:rsidP="00B31AE2">
            <w:pPr>
              <w:spacing w:after="120"/>
              <w:jc w:val="center"/>
              <w:rPr>
                <w:rFonts w:ascii="Arial" w:hAnsi="Arial" w:cs="Arial"/>
                <w:b/>
                <w:color w:val="FFFFFF"/>
                <w:sz w:val="20"/>
                <w:szCs w:val="20"/>
                <w:lang w:val="pt-PT"/>
              </w:rPr>
            </w:pPr>
            <w:r w:rsidRPr="00292532">
              <w:rPr>
                <w:rFonts w:ascii="Arial" w:hAnsi="Arial" w:cs="Arial"/>
                <w:b/>
                <w:color w:val="FFFFFF"/>
                <w:sz w:val="20"/>
                <w:szCs w:val="20"/>
                <w:lang w:val="pt-PT"/>
              </w:rPr>
              <w:t>Assédio sexual no local de trabalho/comunidade</w:t>
            </w:r>
          </w:p>
        </w:tc>
        <w:tc>
          <w:tcPr>
            <w:tcW w:w="3118" w:type="dxa"/>
            <w:shd w:val="clear" w:color="auto" w:fill="5B9BD5"/>
            <w:vAlign w:val="center"/>
          </w:tcPr>
          <w:p w14:paraId="4B6C14BB" w14:textId="77777777" w:rsidR="00B31AE2" w:rsidRPr="00292532" w:rsidRDefault="00B31AE2" w:rsidP="00B31AE2">
            <w:pPr>
              <w:spacing w:after="120"/>
              <w:jc w:val="center"/>
              <w:rPr>
                <w:rFonts w:ascii="Arial" w:hAnsi="Arial" w:cs="Arial"/>
                <w:b/>
                <w:color w:val="FFFFFF"/>
                <w:sz w:val="20"/>
                <w:szCs w:val="20"/>
                <w:lang w:val="pt-PT"/>
              </w:rPr>
            </w:pPr>
            <w:r w:rsidRPr="00292532">
              <w:rPr>
                <w:rFonts w:ascii="Arial" w:hAnsi="Arial" w:cs="Arial"/>
                <w:b/>
                <w:color w:val="FFFFFF"/>
                <w:sz w:val="20"/>
                <w:szCs w:val="20"/>
                <w:lang w:val="pt-PT"/>
              </w:rPr>
              <w:t>Outras formas de VBG</w:t>
            </w:r>
          </w:p>
        </w:tc>
      </w:tr>
      <w:tr w:rsidR="00B31AE2" w:rsidRPr="004E2EAC" w14:paraId="30095F5E" w14:textId="77777777" w:rsidTr="00B31AE2">
        <w:tc>
          <w:tcPr>
            <w:tcW w:w="2945" w:type="dxa"/>
            <w:tcBorders>
              <w:bottom w:val="single" w:sz="4" w:space="0" w:color="auto"/>
            </w:tcBorders>
          </w:tcPr>
          <w:p w14:paraId="79F0C6C3" w14:textId="77777777" w:rsidR="00B31AE2" w:rsidRPr="00292532" w:rsidRDefault="00B31AE2" w:rsidP="00AE14AE">
            <w:pPr>
              <w:numPr>
                <w:ilvl w:val="0"/>
                <w:numId w:val="158"/>
              </w:numPr>
              <w:spacing w:after="120" w:line="260" w:lineRule="exact"/>
              <w:ind w:left="176" w:hanging="176"/>
              <w:contextualSpacing/>
              <w:rPr>
                <w:rFonts w:ascii="Arial" w:eastAsia="Calibri" w:hAnsi="Arial" w:cs="Arial"/>
                <w:sz w:val="20"/>
                <w:szCs w:val="20"/>
                <w:lang w:val="pt-PT"/>
              </w:rPr>
            </w:pPr>
            <w:r w:rsidRPr="00292532">
              <w:rPr>
                <w:rFonts w:ascii="Arial" w:eastAsia="Calibri" w:hAnsi="Arial" w:cs="Arial"/>
                <w:sz w:val="20"/>
                <w:szCs w:val="20"/>
                <w:lang w:val="pt-PT"/>
              </w:rPr>
              <w:t>Exploração de uma posição vulnerável, poder diferencial de confiança para fins sexuais em troca de favores, serviços e bens</w:t>
            </w:r>
          </w:p>
          <w:p w14:paraId="250613A3" w14:textId="77777777" w:rsidR="00B31AE2" w:rsidRPr="00292532" w:rsidRDefault="00B31AE2" w:rsidP="00AE14AE">
            <w:pPr>
              <w:numPr>
                <w:ilvl w:val="0"/>
                <w:numId w:val="158"/>
              </w:numPr>
              <w:spacing w:after="120" w:line="260" w:lineRule="exact"/>
              <w:ind w:left="176" w:hanging="176"/>
              <w:contextualSpacing/>
              <w:rPr>
                <w:rFonts w:ascii="Arial" w:eastAsia="Calibri" w:hAnsi="Arial" w:cs="Arial"/>
                <w:sz w:val="20"/>
                <w:szCs w:val="20"/>
                <w:lang w:val="pt-PT"/>
              </w:rPr>
            </w:pPr>
            <w:r w:rsidRPr="00292532">
              <w:rPr>
                <w:rFonts w:ascii="Arial" w:eastAsia="Calibri" w:hAnsi="Arial" w:cs="Arial"/>
                <w:sz w:val="20"/>
                <w:szCs w:val="20"/>
                <w:lang w:val="pt-PT"/>
              </w:rPr>
              <w:t>Casamento forçado ou precoce como uma estratégia de sobrevivência</w:t>
            </w:r>
          </w:p>
          <w:p w14:paraId="752C2429" w14:textId="77777777" w:rsidR="00B31AE2" w:rsidRPr="00292532" w:rsidRDefault="00B31AE2" w:rsidP="00AE14AE">
            <w:pPr>
              <w:numPr>
                <w:ilvl w:val="0"/>
                <w:numId w:val="158"/>
              </w:numPr>
              <w:spacing w:after="120" w:line="260" w:lineRule="exact"/>
              <w:ind w:left="176" w:hanging="176"/>
              <w:contextualSpacing/>
              <w:rPr>
                <w:rFonts w:ascii="Arial" w:eastAsia="Calibri" w:hAnsi="Arial" w:cs="Arial"/>
                <w:sz w:val="20"/>
                <w:szCs w:val="20"/>
                <w:lang w:val="pt-PT"/>
              </w:rPr>
            </w:pPr>
            <w:r w:rsidRPr="00292532">
              <w:rPr>
                <w:rFonts w:ascii="Arial" w:eastAsia="Calibri" w:hAnsi="Arial" w:cs="Arial"/>
                <w:sz w:val="20"/>
                <w:szCs w:val="20"/>
                <w:lang w:val="pt-PT"/>
              </w:rPr>
              <w:t>Violação sexual</w:t>
            </w:r>
          </w:p>
          <w:p w14:paraId="397431D4" w14:textId="77777777" w:rsidR="00B31AE2" w:rsidRPr="00292532" w:rsidRDefault="00B31AE2" w:rsidP="00AE14AE">
            <w:pPr>
              <w:numPr>
                <w:ilvl w:val="0"/>
                <w:numId w:val="158"/>
              </w:numPr>
              <w:spacing w:after="120" w:line="260" w:lineRule="exact"/>
              <w:ind w:left="176" w:hanging="176"/>
              <w:contextualSpacing/>
              <w:rPr>
                <w:rFonts w:ascii="Arial" w:eastAsia="Calibri" w:hAnsi="Arial" w:cs="Arial"/>
                <w:sz w:val="20"/>
                <w:szCs w:val="20"/>
                <w:lang w:val="pt-PT"/>
              </w:rPr>
            </w:pPr>
            <w:r w:rsidRPr="00292532">
              <w:rPr>
                <w:rFonts w:ascii="Arial" w:eastAsia="Calibri" w:hAnsi="Arial" w:cs="Arial"/>
                <w:sz w:val="20"/>
                <w:szCs w:val="20"/>
                <w:lang w:val="pt-PT"/>
              </w:rPr>
              <w:lastRenderedPageBreak/>
              <w:t xml:space="preserve">Exploração sexual de mulheres e raparigas (sexo transacional), pelo influxo de trabalhadores nas obras e muitas vezes incitado pelas famílias. </w:t>
            </w:r>
          </w:p>
        </w:tc>
        <w:tc>
          <w:tcPr>
            <w:tcW w:w="3009" w:type="dxa"/>
            <w:tcBorders>
              <w:bottom w:val="single" w:sz="4" w:space="0" w:color="auto"/>
            </w:tcBorders>
          </w:tcPr>
          <w:p w14:paraId="39A87273" w14:textId="77777777" w:rsidR="00B31AE2" w:rsidRPr="00292532" w:rsidRDefault="00B31AE2" w:rsidP="00AE14AE">
            <w:pPr>
              <w:numPr>
                <w:ilvl w:val="0"/>
                <w:numId w:val="158"/>
              </w:numPr>
              <w:spacing w:after="120" w:line="260" w:lineRule="exact"/>
              <w:ind w:left="176" w:hanging="176"/>
              <w:contextualSpacing/>
              <w:rPr>
                <w:rFonts w:ascii="Arial" w:eastAsia="Calibri" w:hAnsi="Arial" w:cs="Arial"/>
                <w:sz w:val="20"/>
                <w:szCs w:val="20"/>
                <w:lang w:val="pt-PT"/>
              </w:rPr>
            </w:pPr>
            <w:r w:rsidRPr="00292532">
              <w:rPr>
                <w:rFonts w:ascii="Arial" w:eastAsia="Calibri" w:hAnsi="Arial" w:cs="Arial"/>
                <w:sz w:val="20"/>
                <w:szCs w:val="20"/>
                <w:lang w:val="pt-PT"/>
              </w:rPr>
              <w:lastRenderedPageBreak/>
              <w:t xml:space="preserve">Avanços sexuais indesejados </w:t>
            </w:r>
          </w:p>
          <w:p w14:paraId="0E3B76DA" w14:textId="77777777" w:rsidR="00B31AE2" w:rsidRPr="00292532" w:rsidRDefault="00B31AE2" w:rsidP="00AE14AE">
            <w:pPr>
              <w:numPr>
                <w:ilvl w:val="0"/>
                <w:numId w:val="158"/>
              </w:numPr>
              <w:spacing w:after="120" w:line="260" w:lineRule="exact"/>
              <w:ind w:left="176" w:hanging="176"/>
              <w:contextualSpacing/>
              <w:rPr>
                <w:rFonts w:ascii="Arial" w:eastAsia="Calibri" w:hAnsi="Arial" w:cs="Arial"/>
                <w:sz w:val="20"/>
                <w:szCs w:val="20"/>
                <w:lang w:val="pt-PT"/>
              </w:rPr>
            </w:pPr>
            <w:r w:rsidRPr="00292532">
              <w:rPr>
                <w:rFonts w:ascii="Arial" w:eastAsia="Calibri" w:hAnsi="Arial" w:cs="Arial"/>
                <w:sz w:val="20"/>
                <w:szCs w:val="20"/>
                <w:lang w:val="pt-PT"/>
              </w:rPr>
              <w:t>Pedidos de favores sexuais</w:t>
            </w:r>
          </w:p>
          <w:p w14:paraId="1A4B5134" w14:textId="77777777" w:rsidR="00B31AE2" w:rsidRPr="00292532" w:rsidRDefault="00B31AE2" w:rsidP="00AE14AE">
            <w:pPr>
              <w:numPr>
                <w:ilvl w:val="0"/>
                <w:numId w:val="158"/>
              </w:numPr>
              <w:spacing w:after="120" w:line="260" w:lineRule="exact"/>
              <w:ind w:left="176" w:hanging="176"/>
              <w:contextualSpacing/>
              <w:rPr>
                <w:rFonts w:ascii="Arial" w:eastAsia="Calibri" w:hAnsi="Arial" w:cs="Arial"/>
                <w:sz w:val="20"/>
                <w:szCs w:val="20"/>
                <w:lang w:val="pt-PT"/>
              </w:rPr>
            </w:pPr>
            <w:r w:rsidRPr="00292532">
              <w:rPr>
                <w:rFonts w:ascii="Arial" w:eastAsia="Calibri" w:hAnsi="Arial" w:cs="Arial"/>
                <w:sz w:val="20"/>
                <w:szCs w:val="20"/>
                <w:lang w:val="pt-PT"/>
              </w:rPr>
              <w:t>Contacto físico sexual</w:t>
            </w:r>
          </w:p>
        </w:tc>
        <w:tc>
          <w:tcPr>
            <w:tcW w:w="3118" w:type="dxa"/>
            <w:tcBorders>
              <w:bottom w:val="single" w:sz="4" w:space="0" w:color="auto"/>
            </w:tcBorders>
          </w:tcPr>
          <w:p w14:paraId="567700B8" w14:textId="77777777" w:rsidR="00B31AE2" w:rsidRPr="00292532" w:rsidRDefault="00B31AE2" w:rsidP="00AE14AE">
            <w:pPr>
              <w:numPr>
                <w:ilvl w:val="0"/>
                <w:numId w:val="158"/>
              </w:numPr>
              <w:spacing w:after="120" w:line="260" w:lineRule="exact"/>
              <w:ind w:left="176" w:hanging="176"/>
              <w:contextualSpacing/>
              <w:rPr>
                <w:rFonts w:ascii="Arial" w:eastAsia="Calibri" w:hAnsi="Arial" w:cs="Arial"/>
                <w:sz w:val="20"/>
                <w:szCs w:val="20"/>
                <w:lang w:val="pt-PT"/>
              </w:rPr>
            </w:pPr>
            <w:r w:rsidRPr="00292532">
              <w:rPr>
                <w:rFonts w:ascii="Arial" w:eastAsia="Calibri" w:hAnsi="Arial" w:cs="Arial"/>
                <w:sz w:val="20"/>
                <w:szCs w:val="20"/>
                <w:lang w:val="pt-PT"/>
              </w:rPr>
              <w:t>Agressão física</w:t>
            </w:r>
          </w:p>
          <w:p w14:paraId="2E6381F7" w14:textId="77777777" w:rsidR="00B31AE2" w:rsidRPr="00292532" w:rsidRDefault="00B31AE2" w:rsidP="00AE14AE">
            <w:pPr>
              <w:numPr>
                <w:ilvl w:val="0"/>
                <w:numId w:val="158"/>
              </w:numPr>
              <w:spacing w:after="120" w:line="260" w:lineRule="exact"/>
              <w:ind w:left="176" w:hanging="176"/>
              <w:contextualSpacing/>
              <w:rPr>
                <w:rFonts w:ascii="Arial" w:eastAsia="Calibri" w:hAnsi="Arial" w:cs="Arial"/>
                <w:sz w:val="20"/>
                <w:szCs w:val="20"/>
                <w:lang w:val="pt-PT"/>
              </w:rPr>
            </w:pPr>
            <w:r w:rsidRPr="00292532">
              <w:rPr>
                <w:rFonts w:ascii="Arial" w:eastAsia="Calibri" w:hAnsi="Arial" w:cs="Arial"/>
                <w:sz w:val="20"/>
                <w:szCs w:val="20"/>
                <w:lang w:val="pt-PT"/>
              </w:rPr>
              <w:t>Abuso psicológico ou físico</w:t>
            </w:r>
          </w:p>
          <w:p w14:paraId="3A7DA285" w14:textId="77777777" w:rsidR="00B31AE2" w:rsidRPr="00292532" w:rsidRDefault="00B31AE2" w:rsidP="00AE14AE">
            <w:pPr>
              <w:numPr>
                <w:ilvl w:val="0"/>
                <w:numId w:val="158"/>
              </w:numPr>
              <w:spacing w:after="120" w:line="260" w:lineRule="exact"/>
              <w:ind w:left="176" w:hanging="176"/>
              <w:contextualSpacing/>
              <w:rPr>
                <w:rFonts w:ascii="Arial" w:eastAsia="Calibri" w:hAnsi="Arial" w:cs="Arial"/>
                <w:sz w:val="20"/>
                <w:szCs w:val="20"/>
                <w:lang w:val="pt-PT"/>
              </w:rPr>
            </w:pPr>
            <w:r w:rsidRPr="00292532">
              <w:rPr>
                <w:rFonts w:ascii="Arial" w:eastAsia="Calibri" w:hAnsi="Arial" w:cs="Arial"/>
                <w:sz w:val="20"/>
                <w:szCs w:val="20"/>
                <w:lang w:val="pt-PT"/>
              </w:rPr>
              <w:t>Violência económica</w:t>
            </w:r>
          </w:p>
          <w:p w14:paraId="00D08E3B" w14:textId="77777777" w:rsidR="00B31AE2" w:rsidRPr="00292532" w:rsidRDefault="00B31AE2" w:rsidP="00AE14AE">
            <w:pPr>
              <w:numPr>
                <w:ilvl w:val="0"/>
                <w:numId w:val="158"/>
              </w:numPr>
              <w:spacing w:after="120" w:line="260" w:lineRule="exact"/>
              <w:ind w:left="176" w:hanging="176"/>
              <w:contextualSpacing/>
              <w:rPr>
                <w:rFonts w:ascii="Arial" w:eastAsia="Calibri" w:hAnsi="Arial" w:cs="Arial"/>
                <w:sz w:val="20"/>
                <w:szCs w:val="20"/>
                <w:lang w:val="pt-PT"/>
              </w:rPr>
            </w:pPr>
            <w:r w:rsidRPr="00292532">
              <w:rPr>
                <w:rFonts w:ascii="Arial" w:eastAsia="Calibri" w:hAnsi="Arial" w:cs="Arial"/>
                <w:sz w:val="20"/>
                <w:szCs w:val="20"/>
                <w:lang w:val="pt-PT"/>
              </w:rPr>
              <w:t>Negação a recursos, oportunidades ou serviços</w:t>
            </w:r>
          </w:p>
          <w:p w14:paraId="5BED0C9A" w14:textId="77777777" w:rsidR="00B31AE2" w:rsidRPr="00292532" w:rsidRDefault="00B31AE2" w:rsidP="00AE14AE">
            <w:pPr>
              <w:numPr>
                <w:ilvl w:val="0"/>
                <w:numId w:val="158"/>
              </w:numPr>
              <w:spacing w:after="120" w:line="260" w:lineRule="exact"/>
              <w:ind w:left="176" w:hanging="176"/>
              <w:contextualSpacing/>
              <w:rPr>
                <w:rFonts w:ascii="Arial" w:eastAsia="Calibri" w:hAnsi="Arial" w:cs="Arial"/>
                <w:sz w:val="20"/>
                <w:szCs w:val="20"/>
                <w:lang w:val="pt-PT"/>
              </w:rPr>
            </w:pPr>
            <w:r w:rsidRPr="00292532">
              <w:rPr>
                <w:rFonts w:ascii="Arial" w:eastAsia="Calibri" w:hAnsi="Arial" w:cs="Arial"/>
                <w:sz w:val="20"/>
                <w:szCs w:val="20"/>
                <w:lang w:val="pt-PT"/>
              </w:rPr>
              <w:t>violência por parceiro íntimo (violência doméstica)</w:t>
            </w:r>
          </w:p>
        </w:tc>
      </w:tr>
    </w:tbl>
    <w:p w14:paraId="729C5BE8" w14:textId="77777777" w:rsidR="00B31AE2" w:rsidRPr="00292532" w:rsidRDefault="00B31AE2" w:rsidP="00B31AE2">
      <w:pPr>
        <w:spacing w:before="0" w:after="120"/>
        <w:rPr>
          <w:rFonts w:ascii="Arial" w:eastAsia="Times New Roman" w:hAnsi="Arial" w:cs="Arial"/>
          <w:lang w:val="pt-PT"/>
        </w:rPr>
      </w:pPr>
    </w:p>
    <w:p w14:paraId="737ECD69" w14:textId="77777777" w:rsidR="00B31AE2" w:rsidRPr="004500AE" w:rsidRDefault="00B31AE2" w:rsidP="00AE14AE">
      <w:pPr>
        <w:keepNext/>
        <w:keepLines/>
        <w:numPr>
          <w:ilvl w:val="0"/>
          <w:numId w:val="155"/>
        </w:numPr>
        <w:suppressAutoHyphens/>
        <w:spacing w:before="0" w:after="120"/>
        <w:outlineLvl w:val="0"/>
        <w:rPr>
          <w:rFonts w:eastAsia="Times New Roman" w:cs="Times New Roman"/>
          <w:color w:val="2F5496"/>
          <w:sz w:val="32"/>
          <w:lang w:val="pt-PT"/>
        </w:rPr>
      </w:pPr>
      <w:bookmarkStart w:id="1678" w:name="_Toc65012107"/>
      <w:bookmarkStart w:id="1679" w:name="_Toc65841216"/>
      <w:bookmarkStart w:id="1680" w:name="_Toc65867368"/>
      <w:bookmarkStart w:id="1681" w:name="_Toc75246796"/>
      <w:bookmarkStart w:id="1682" w:name="_Toc75438114"/>
      <w:bookmarkStart w:id="1683" w:name="_Toc78435551"/>
      <w:bookmarkStart w:id="1684" w:name="_Toc80380217"/>
      <w:bookmarkStart w:id="1685" w:name="_Toc64135306"/>
      <w:bookmarkEnd w:id="1664"/>
      <w:bookmarkEnd w:id="1669"/>
      <w:r w:rsidRPr="004500AE">
        <w:rPr>
          <w:rFonts w:eastAsia="Times New Roman" w:cs="Times New Roman"/>
          <w:color w:val="2F5496"/>
          <w:sz w:val="32"/>
          <w:lang w:val="pt-PT"/>
        </w:rPr>
        <w:t>Mapeamento dos prestadores de serviços de VB</w:t>
      </w:r>
      <w:bookmarkEnd w:id="1678"/>
      <w:bookmarkEnd w:id="1679"/>
      <w:bookmarkEnd w:id="1680"/>
      <w:r w:rsidRPr="004500AE">
        <w:rPr>
          <w:rFonts w:eastAsia="Times New Roman" w:cs="Times New Roman"/>
          <w:color w:val="2F5496"/>
          <w:sz w:val="32"/>
          <w:lang w:val="pt-PT"/>
        </w:rPr>
        <w:t>G</w:t>
      </w:r>
      <w:bookmarkEnd w:id="1681"/>
      <w:bookmarkEnd w:id="1682"/>
      <w:bookmarkEnd w:id="1683"/>
      <w:bookmarkEnd w:id="1684"/>
    </w:p>
    <w:p w14:paraId="629B3858" w14:textId="77777777" w:rsidR="00B31AE2" w:rsidRPr="00292532" w:rsidRDefault="00B31AE2" w:rsidP="00B31AE2">
      <w:pPr>
        <w:spacing w:before="0" w:after="120"/>
        <w:rPr>
          <w:rFonts w:ascii="Arial" w:eastAsia="Times New Roman" w:hAnsi="Arial" w:cs="Arial"/>
          <w:sz w:val="20"/>
          <w:szCs w:val="20"/>
          <w:lang w:val="pt-PT"/>
        </w:rPr>
      </w:pPr>
      <w:r w:rsidRPr="00292532">
        <w:rPr>
          <w:rFonts w:ascii="Arial" w:eastAsia="Times New Roman" w:hAnsi="Arial" w:cs="Arial"/>
          <w:sz w:val="20"/>
          <w:szCs w:val="20"/>
          <w:lang w:val="pt-PT"/>
        </w:rPr>
        <w:t xml:space="preserve">O Mecanismo Multissectorial de Atendimento Integrado às Mulheres Vítimas de Violência surge no ano 2012 sob a liderança do Ministério de Género, Criança e </w:t>
      </w:r>
      <w:proofErr w:type="spellStart"/>
      <w:r w:rsidRPr="00292532">
        <w:rPr>
          <w:rFonts w:ascii="Arial" w:eastAsia="Times New Roman" w:hAnsi="Arial" w:cs="Arial"/>
          <w:sz w:val="20"/>
          <w:szCs w:val="20"/>
          <w:lang w:val="pt-PT"/>
        </w:rPr>
        <w:t>Acção</w:t>
      </w:r>
      <w:proofErr w:type="spellEnd"/>
      <w:r w:rsidRPr="00292532">
        <w:rPr>
          <w:rFonts w:ascii="Arial" w:eastAsia="Times New Roman" w:hAnsi="Arial" w:cs="Arial"/>
          <w:sz w:val="20"/>
          <w:szCs w:val="20"/>
          <w:lang w:val="pt-PT"/>
        </w:rPr>
        <w:t xml:space="preserve"> social (MGCAS) com o </w:t>
      </w:r>
      <w:proofErr w:type="spellStart"/>
      <w:r w:rsidRPr="00292532">
        <w:rPr>
          <w:rFonts w:ascii="Arial" w:eastAsia="Times New Roman" w:hAnsi="Arial" w:cs="Arial"/>
          <w:sz w:val="20"/>
          <w:szCs w:val="20"/>
          <w:lang w:val="pt-PT"/>
        </w:rPr>
        <w:t>objectivo</w:t>
      </w:r>
      <w:proofErr w:type="spellEnd"/>
      <w:r w:rsidRPr="00292532">
        <w:rPr>
          <w:rFonts w:ascii="Arial" w:eastAsia="Times New Roman" w:hAnsi="Arial" w:cs="Arial"/>
          <w:sz w:val="20"/>
          <w:szCs w:val="20"/>
          <w:lang w:val="pt-PT"/>
        </w:rPr>
        <w:t xml:space="preserve"> de melhorar o acesso e disponibilidade dos serviços de atendimento às mulheres vítimas de violência de forma integrada, a todos os níveis de </w:t>
      </w:r>
      <w:proofErr w:type="spellStart"/>
      <w:r w:rsidRPr="00292532">
        <w:rPr>
          <w:rFonts w:ascii="Arial" w:eastAsia="Times New Roman" w:hAnsi="Arial" w:cs="Arial"/>
          <w:sz w:val="20"/>
          <w:szCs w:val="20"/>
          <w:lang w:val="pt-PT"/>
        </w:rPr>
        <w:t>actuação</w:t>
      </w:r>
      <w:proofErr w:type="spellEnd"/>
      <w:r w:rsidRPr="00292532">
        <w:rPr>
          <w:rFonts w:ascii="Arial" w:eastAsia="Times New Roman" w:hAnsi="Arial" w:cs="Arial"/>
          <w:sz w:val="20"/>
          <w:szCs w:val="20"/>
          <w:lang w:val="pt-PT"/>
        </w:rPr>
        <w:t xml:space="preserve">, em coordenação entre entidades Governamentais, e com participação da sociedade civil. Este contempla as seguintes instituições: Ministério da Género, Criança e </w:t>
      </w:r>
      <w:proofErr w:type="spellStart"/>
      <w:r w:rsidRPr="00292532">
        <w:rPr>
          <w:rFonts w:ascii="Arial" w:eastAsia="Times New Roman" w:hAnsi="Arial" w:cs="Arial"/>
          <w:sz w:val="20"/>
          <w:szCs w:val="20"/>
          <w:lang w:val="pt-PT"/>
        </w:rPr>
        <w:t>Acção</w:t>
      </w:r>
      <w:proofErr w:type="spellEnd"/>
      <w:r w:rsidRPr="00292532">
        <w:rPr>
          <w:rFonts w:ascii="Arial" w:eastAsia="Times New Roman" w:hAnsi="Arial" w:cs="Arial"/>
          <w:sz w:val="20"/>
          <w:szCs w:val="20"/>
          <w:lang w:val="pt-PT"/>
        </w:rPr>
        <w:t xml:space="preserve"> Social (MGCAS), Ministério da Saúde (MISAU), Ministério do Interior (MINIT) e Ministério da Justiça, Assuntos Constitucionais e Religiosos (MJCR). </w:t>
      </w:r>
    </w:p>
    <w:p w14:paraId="77CD63E7" w14:textId="77777777" w:rsidR="00B31AE2" w:rsidRPr="00292532" w:rsidRDefault="00B31AE2" w:rsidP="00B31AE2">
      <w:pPr>
        <w:spacing w:before="0" w:after="120"/>
        <w:rPr>
          <w:rFonts w:ascii="Arial" w:eastAsia="Times New Roman" w:hAnsi="Arial" w:cs="Arial"/>
          <w:sz w:val="20"/>
          <w:szCs w:val="20"/>
          <w:lang w:val="pt-PT"/>
        </w:rPr>
      </w:pPr>
      <w:r w:rsidRPr="00292532">
        <w:rPr>
          <w:rFonts w:ascii="Arial" w:eastAsia="Times New Roman" w:hAnsi="Arial" w:cs="Arial"/>
          <w:sz w:val="20"/>
          <w:szCs w:val="20"/>
          <w:lang w:val="pt-PT"/>
        </w:rPr>
        <w:t xml:space="preserve">Existem três portas de entrada para aceder ao mecanismo, nomeadamente: </w:t>
      </w:r>
    </w:p>
    <w:p w14:paraId="1D7E9041" w14:textId="77777777" w:rsidR="00B31AE2" w:rsidRPr="00292532" w:rsidRDefault="00B31AE2" w:rsidP="00AE14AE">
      <w:pPr>
        <w:numPr>
          <w:ilvl w:val="0"/>
          <w:numId w:val="157"/>
        </w:numPr>
        <w:spacing w:before="0" w:after="80"/>
        <w:ind w:left="1077"/>
        <w:rPr>
          <w:rFonts w:ascii="Arial" w:eastAsia="Calibri" w:hAnsi="Arial" w:cs="Arial"/>
          <w:sz w:val="20"/>
          <w:szCs w:val="20"/>
          <w:lang w:val="pt-PT"/>
        </w:rPr>
      </w:pPr>
      <w:r w:rsidRPr="00292532">
        <w:rPr>
          <w:rFonts w:ascii="Arial" w:eastAsia="Calibri" w:hAnsi="Arial" w:cs="Arial"/>
          <w:sz w:val="20"/>
          <w:szCs w:val="20"/>
          <w:lang w:val="pt-PT"/>
        </w:rPr>
        <w:t xml:space="preserve">Centro de Atendimento Integrado: nos quais estão integrados serviços de saúde, psicossociais, policiais e jurídicos. Existem no país 25 CAIS, </w:t>
      </w:r>
      <w:proofErr w:type="spellStart"/>
      <w:r w:rsidRPr="00292532">
        <w:rPr>
          <w:rFonts w:ascii="Arial" w:eastAsia="Calibri" w:hAnsi="Arial" w:cs="Arial"/>
          <w:sz w:val="20"/>
          <w:szCs w:val="20"/>
          <w:lang w:val="pt-PT"/>
        </w:rPr>
        <w:t>excepto</w:t>
      </w:r>
      <w:proofErr w:type="spellEnd"/>
      <w:r w:rsidRPr="00292532">
        <w:rPr>
          <w:rFonts w:ascii="Arial" w:eastAsia="Calibri" w:hAnsi="Arial" w:cs="Arial"/>
          <w:sz w:val="20"/>
          <w:szCs w:val="20"/>
          <w:lang w:val="pt-PT"/>
        </w:rPr>
        <w:t xml:space="preserve"> nas províncias de Zambézia, Manica, Cabo Delgado e Niassa;</w:t>
      </w:r>
      <w:r w:rsidRPr="00292532">
        <w:rPr>
          <w:rFonts w:ascii="Arial" w:eastAsia="Calibri" w:hAnsi="Arial" w:cs="Arial"/>
          <w:sz w:val="20"/>
          <w:szCs w:val="20"/>
          <w:vertAlign w:val="superscript"/>
          <w:lang w:val="pt-PT"/>
        </w:rPr>
        <w:footnoteReference w:id="45"/>
      </w:r>
      <w:r w:rsidRPr="00292532">
        <w:rPr>
          <w:rFonts w:ascii="Arial" w:eastAsia="Calibri" w:hAnsi="Arial" w:cs="Arial"/>
          <w:sz w:val="20"/>
          <w:szCs w:val="20"/>
          <w:lang w:val="pt-PT"/>
        </w:rPr>
        <w:t xml:space="preserve"> </w:t>
      </w:r>
    </w:p>
    <w:p w14:paraId="1B70C07E" w14:textId="77777777" w:rsidR="00B31AE2" w:rsidRPr="00292532" w:rsidRDefault="00B31AE2" w:rsidP="00AE14AE">
      <w:pPr>
        <w:numPr>
          <w:ilvl w:val="0"/>
          <w:numId w:val="157"/>
        </w:numPr>
        <w:spacing w:before="0" w:after="80"/>
        <w:ind w:left="1077"/>
        <w:rPr>
          <w:rFonts w:ascii="Arial" w:eastAsia="Calibri" w:hAnsi="Arial" w:cs="Arial"/>
          <w:sz w:val="20"/>
          <w:szCs w:val="20"/>
          <w:lang w:val="pt-PT"/>
        </w:rPr>
      </w:pPr>
      <w:r w:rsidRPr="00292532">
        <w:rPr>
          <w:rFonts w:ascii="Arial" w:eastAsia="Calibri" w:hAnsi="Arial" w:cs="Arial"/>
          <w:sz w:val="20"/>
          <w:szCs w:val="20"/>
          <w:lang w:val="pt-PT"/>
        </w:rPr>
        <w:t>Gabinete de Atendimento à Família e Menor Vítima de Violência (GAFMVV): que funcionam sob a égide das esquadras da Polícia da República de Moçambique existindo no país 25 gabinetes e 351 secções de atendimento;</w:t>
      </w:r>
    </w:p>
    <w:p w14:paraId="4F956210" w14:textId="77777777" w:rsidR="00B31AE2" w:rsidRPr="00292532" w:rsidRDefault="00B31AE2" w:rsidP="00AE14AE">
      <w:pPr>
        <w:numPr>
          <w:ilvl w:val="0"/>
          <w:numId w:val="157"/>
        </w:numPr>
        <w:spacing w:before="0" w:after="80"/>
        <w:ind w:left="1077"/>
        <w:rPr>
          <w:rFonts w:ascii="Arial" w:eastAsia="Calibri" w:hAnsi="Arial" w:cs="Arial"/>
          <w:sz w:val="20"/>
          <w:szCs w:val="20"/>
          <w:lang w:val="pt-PT"/>
        </w:rPr>
      </w:pPr>
      <w:r w:rsidRPr="00292532">
        <w:rPr>
          <w:rFonts w:ascii="Arial" w:eastAsia="Calibri" w:hAnsi="Arial" w:cs="Arial"/>
          <w:sz w:val="20"/>
          <w:szCs w:val="20"/>
          <w:lang w:val="pt-PT"/>
        </w:rPr>
        <w:t xml:space="preserve">Ao nível do país e sobretudo nos locais abrangidos pelo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 xml:space="preserve">, existem organizações da sociedade civil, Organizações Comunitárias de Base, Organizações Não Governamentais e outras organizações internacionais que implementam iniciativas na área de VBG. É importante ainda mencionar o papel das lideranças comunitárias como agentes que desempenham um papel importante na prevenção da VBG. Existem alguns Programas como a Iniciativa </w:t>
      </w:r>
      <w:proofErr w:type="spellStart"/>
      <w:r w:rsidRPr="00292532">
        <w:rPr>
          <w:rFonts w:ascii="Arial" w:eastAsia="Calibri" w:hAnsi="Arial" w:cs="Arial"/>
          <w:sz w:val="20"/>
          <w:szCs w:val="20"/>
          <w:lang w:val="pt-PT"/>
        </w:rPr>
        <w:t>Spotlight</w:t>
      </w:r>
      <w:proofErr w:type="spellEnd"/>
      <w:r w:rsidRPr="00292532">
        <w:rPr>
          <w:rFonts w:ascii="Arial" w:eastAsia="Calibri" w:hAnsi="Arial" w:cs="Arial"/>
          <w:sz w:val="20"/>
          <w:szCs w:val="20"/>
          <w:lang w:val="pt-PT"/>
        </w:rPr>
        <w:t xml:space="preserve"> das Nações Unidas em algumas das localidades do </w:t>
      </w:r>
      <w:proofErr w:type="spellStart"/>
      <w:r w:rsidRPr="00292532">
        <w:rPr>
          <w:rFonts w:ascii="Arial" w:eastAsia="Calibri" w:hAnsi="Arial" w:cs="Arial"/>
          <w:sz w:val="20"/>
          <w:szCs w:val="20"/>
          <w:lang w:val="pt-PT"/>
        </w:rPr>
        <w:t>projecto</w:t>
      </w:r>
      <w:proofErr w:type="spellEnd"/>
      <w:r w:rsidRPr="00292532">
        <w:rPr>
          <w:rFonts w:ascii="Arial" w:eastAsia="Calibri" w:hAnsi="Arial" w:cs="Arial"/>
          <w:sz w:val="20"/>
          <w:szCs w:val="20"/>
          <w:lang w:val="pt-PT"/>
        </w:rPr>
        <w:t xml:space="preserve"> como o caso de Nampula; Organizações como a Pathfinder, </w:t>
      </w:r>
      <w:proofErr w:type="spellStart"/>
      <w:r w:rsidRPr="00292532">
        <w:rPr>
          <w:rFonts w:ascii="Arial" w:eastAsia="Calibri" w:hAnsi="Arial" w:cs="Arial"/>
          <w:sz w:val="20"/>
          <w:szCs w:val="20"/>
          <w:lang w:val="pt-PT"/>
        </w:rPr>
        <w:t>Medicus</w:t>
      </w:r>
      <w:proofErr w:type="spellEnd"/>
      <w:r w:rsidRPr="00292532">
        <w:rPr>
          <w:rFonts w:ascii="Arial" w:eastAsia="Calibri" w:hAnsi="Arial" w:cs="Arial"/>
          <w:sz w:val="20"/>
          <w:szCs w:val="20"/>
          <w:lang w:val="pt-PT"/>
        </w:rPr>
        <w:t xml:space="preserve"> </w:t>
      </w:r>
      <w:proofErr w:type="spellStart"/>
      <w:r w:rsidRPr="00292532">
        <w:rPr>
          <w:rFonts w:ascii="Arial" w:eastAsia="Calibri" w:hAnsi="Arial" w:cs="Arial"/>
          <w:sz w:val="20"/>
          <w:szCs w:val="20"/>
          <w:lang w:val="pt-PT"/>
        </w:rPr>
        <w:t>Mundi</w:t>
      </w:r>
      <w:proofErr w:type="spellEnd"/>
      <w:r w:rsidRPr="00292532">
        <w:rPr>
          <w:rFonts w:ascii="Arial" w:eastAsia="Calibri" w:hAnsi="Arial" w:cs="Arial"/>
          <w:sz w:val="20"/>
          <w:szCs w:val="20"/>
          <w:lang w:val="pt-PT"/>
        </w:rPr>
        <w:t xml:space="preserve">, Save </w:t>
      </w:r>
      <w:proofErr w:type="spellStart"/>
      <w:r w:rsidRPr="00292532">
        <w:rPr>
          <w:rFonts w:ascii="Arial" w:eastAsia="Calibri" w:hAnsi="Arial" w:cs="Arial"/>
          <w:sz w:val="20"/>
          <w:szCs w:val="20"/>
          <w:lang w:val="pt-PT"/>
        </w:rPr>
        <w:t>the</w:t>
      </w:r>
      <w:proofErr w:type="spellEnd"/>
      <w:r w:rsidRPr="00292532">
        <w:rPr>
          <w:rFonts w:ascii="Arial" w:eastAsia="Calibri" w:hAnsi="Arial" w:cs="Arial"/>
          <w:sz w:val="20"/>
          <w:szCs w:val="20"/>
          <w:lang w:val="pt-PT"/>
        </w:rPr>
        <w:t xml:space="preserve"> </w:t>
      </w:r>
      <w:proofErr w:type="spellStart"/>
      <w:r w:rsidRPr="00292532">
        <w:rPr>
          <w:rFonts w:ascii="Arial" w:eastAsia="Calibri" w:hAnsi="Arial" w:cs="Arial"/>
          <w:sz w:val="20"/>
          <w:szCs w:val="20"/>
          <w:lang w:val="pt-PT"/>
        </w:rPr>
        <w:t>Children</w:t>
      </w:r>
      <w:proofErr w:type="spellEnd"/>
      <w:r w:rsidRPr="00292532">
        <w:rPr>
          <w:rFonts w:ascii="Arial" w:eastAsia="Calibri" w:hAnsi="Arial" w:cs="Arial"/>
          <w:sz w:val="20"/>
          <w:szCs w:val="20"/>
          <w:lang w:val="pt-PT"/>
        </w:rPr>
        <w:t xml:space="preserve">, WLSA Moçambique, </w:t>
      </w:r>
      <w:proofErr w:type="spellStart"/>
      <w:r w:rsidRPr="00292532">
        <w:rPr>
          <w:rFonts w:ascii="Arial" w:eastAsia="Calibri" w:hAnsi="Arial" w:cs="Arial"/>
          <w:sz w:val="20"/>
          <w:szCs w:val="20"/>
          <w:lang w:val="pt-PT"/>
        </w:rPr>
        <w:t>Muleide</w:t>
      </w:r>
      <w:proofErr w:type="spellEnd"/>
      <w:r w:rsidRPr="00292532">
        <w:rPr>
          <w:rFonts w:ascii="Arial" w:eastAsia="Calibri" w:hAnsi="Arial" w:cs="Arial"/>
          <w:sz w:val="20"/>
          <w:szCs w:val="20"/>
          <w:lang w:val="pt-PT"/>
        </w:rPr>
        <w:t>, Fórum Mulher, Gender Links, ONU Mulheres, UNICEF e UNFPA são algumas das organizações que trabalham na área.</w:t>
      </w:r>
    </w:p>
    <w:p w14:paraId="30DFD3CF" w14:textId="3EA6F6D3" w:rsidR="00B31AE2" w:rsidRPr="00292532" w:rsidRDefault="00B31AE2" w:rsidP="00B31AE2">
      <w:pPr>
        <w:spacing w:before="0" w:after="120"/>
        <w:rPr>
          <w:rFonts w:ascii="Arial" w:eastAsia="Times New Roman" w:hAnsi="Arial" w:cs="Arial"/>
          <w:sz w:val="20"/>
          <w:szCs w:val="20"/>
          <w:lang w:val="pt-PT"/>
        </w:rPr>
      </w:pPr>
      <w:r w:rsidRPr="00292532">
        <w:rPr>
          <w:rFonts w:ascii="Arial" w:eastAsia="Times New Roman" w:hAnsi="Arial" w:cs="Arial"/>
          <w:sz w:val="20"/>
          <w:szCs w:val="20"/>
          <w:lang w:val="pt-PT"/>
        </w:rPr>
        <w:t xml:space="preserve">Apesar da existência destes serviços, existem lacunas no fornecimento dos serviços sobretudo ao nível dos distritos, uma vez que alguns destes apenas contam com os gabinetes de atendimento que por sua vez debatem-se com dificuldades de providenciar uma resposta integrada adequada. Sessões de sensibilização, resposta integrada e acompanhamento/seguimento dos casos são algumas das lacunas. </w:t>
      </w:r>
      <w:bookmarkEnd w:id="1685"/>
    </w:p>
    <w:p w14:paraId="15CD776E" w14:textId="77777777" w:rsidR="00B31AE2" w:rsidRPr="00292532" w:rsidRDefault="00B31AE2" w:rsidP="00B31AE2">
      <w:pPr>
        <w:spacing w:before="0" w:after="120"/>
        <w:rPr>
          <w:rFonts w:ascii="Arial" w:eastAsia="Times New Roman" w:hAnsi="Arial" w:cs="Arial"/>
          <w:sz w:val="20"/>
          <w:szCs w:val="20"/>
          <w:lang w:val="pt-PT"/>
        </w:rPr>
      </w:pPr>
      <w:r w:rsidRPr="00292532">
        <w:rPr>
          <w:rFonts w:ascii="Arial" w:eastAsia="Times New Roman" w:hAnsi="Arial" w:cs="Arial"/>
          <w:sz w:val="20"/>
          <w:szCs w:val="20"/>
          <w:lang w:val="pt-PT"/>
        </w:rPr>
        <w:t>É importante ainda mencionar que a fraca criminalização dos casos também contribuiu para a fraca procura dos serviços e aumento da VBG.</w:t>
      </w:r>
    </w:p>
    <w:p w14:paraId="066B7887" w14:textId="10EF9E89" w:rsidR="00B31AE2" w:rsidRPr="004500AE" w:rsidRDefault="00B31AE2" w:rsidP="00AE14AE">
      <w:pPr>
        <w:keepNext/>
        <w:keepLines/>
        <w:numPr>
          <w:ilvl w:val="0"/>
          <w:numId w:val="155"/>
        </w:numPr>
        <w:suppressAutoHyphens/>
        <w:spacing w:before="0" w:after="120"/>
        <w:outlineLvl w:val="0"/>
        <w:rPr>
          <w:rFonts w:eastAsia="Times New Roman" w:cs="Times New Roman"/>
          <w:color w:val="2F5496"/>
          <w:sz w:val="32"/>
          <w:lang w:val="pt-PT"/>
        </w:rPr>
      </w:pPr>
      <w:bookmarkStart w:id="1686" w:name="_Toc75188288"/>
      <w:bookmarkStart w:id="1687" w:name="_Toc75188304"/>
      <w:bookmarkStart w:id="1688" w:name="_Toc75246797"/>
      <w:bookmarkStart w:id="1689" w:name="_Toc75438115"/>
      <w:bookmarkStart w:id="1690" w:name="_Toc78435552"/>
      <w:bookmarkStart w:id="1691" w:name="_Toc80380218"/>
      <w:bookmarkEnd w:id="1686"/>
      <w:bookmarkEnd w:id="1687"/>
      <w:r w:rsidRPr="004500AE">
        <w:rPr>
          <w:rFonts w:eastAsia="Times New Roman" w:cs="Times New Roman"/>
          <w:color w:val="2F5496"/>
          <w:sz w:val="32"/>
          <w:lang w:val="pt-PT"/>
        </w:rPr>
        <w:t xml:space="preserve">Organizações Não-Estatais que </w:t>
      </w:r>
      <w:proofErr w:type="spellStart"/>
      <w:r w:rsidRPr="004500AE">
        <w:rPr>
          <w:rFonts w:eastAsia="Times New Roman" w:cs="Times New Roman"/>
          <w:color w:val="2F5496"/>
          <w:sz w:val="32"/>
          <w:lang w:val="pt-PT"/>
        </w:rPr>
        <w:t>actuam</w:t>
      </w:r>
      <w:proofErr w:type="spellEnd"/>
      <w:r w:rsidRPr="004500AE">
        <w:rPr>
          <w:rFonts w:eastAsia="Times New Roman" w:cs="Times New Roman"/>
          <w:color w:val="2F5496"/>
          <w:sz w:val="32"/>
          <w:lang w:val="pt-PT"/>
        </w:rPr>
        <w:t xml:space="preserve"> na </w:t>
      </w:r>
      <w:proofErr w:type="spellStart"/>
      <w:r w:rsidRPr="004500AE">
        <w:rPr>
          <w:rFonts w:eastAsia="Times New Roman" w:cs="Times New Roman"/>
          <w:color w:val="2F5496"/>
          <w:sz w:val="32"/>
          <w:lang w:val="pt-PT"/>
        </w:rPr>
        <w:t>protecção</w:t>
      </w:r>
      <w:proofErr w:type="spellEnd"/>
      <w:r w:rsidRPr="004500AE">
        <w:rPr>
          <w:rFonts w:eastAsia="Times New Roman" w:cs="Times New Roman"/>
          <w:color w:val="2F5496"/>
          <w:sz w:val="32"/>
          <w:lang w:val="pt-PT"/>
        </w:rPr>
        <w:t xml:space="preserve"> dos direitos das mulheres e VBG</w:t>
      </w:r>
      <w:bookmarkEnd w:id="1688"/>
      <w:bookmarkEnd w:id="1689"/>
      <w:bookmarkEnd w:id="1690"/>
      <w:bookmarkEnd w:id="1691"/>
    </w:p>
    <w:p w14:paraId="63FB840B" w14:textId="77777777" w:rsidR="00B31AE2" w:rsidRPr="00292532" w:rsidRDefault="00B31AE2" w:rsidP="00B31AE2">
      <w:pPr>
        <w:spacing w:before="0" w:after="0"/>
        <w:rPr>
          <w:rFonts w:ascii="Arial" w:eastAsia="Times New Roman" w:hAnsi="Arial" w:cs="Arial"/>
          <w:sz w:val="20"/>
          <w:szCs w:val="20"/>
          <w:lang w:val="pt-PT"/>
        </w:rPr>
      </w:pPr>
      <w:r w:rsidRPr="00292532">
        <w:rPr>
          <w:rFonts w:ascii="Arial" w:eastAsia="Times New Roman" w:hAnsi="Arial" w:cs="Arial"/>
          <w:sz w:val="20"/>
          <w:szCs w:val="20"/>
          <w:lang w:val="pt-PT"/>
        </w:rPr>
        <w:t xml:space="preserve">A tabela abaixo apresenta o mapeamento preliminar dos prestadores de serviços de VBG pelas organizações não estatais (ONG, OSC, </w:t>
      </w:r>
      <w:proofErr w:type="spellStart"/>
      <w:r w:rsidRPr="00292532">
        <w:rPr>
          <w:rFonts w:ascii="Arial" w:eastAsia="Times New Roman" w:hAnsi="Arial" w:cs="Arial"/>
          <w:sz w:val="20"/>
          <w:szCs w:val="20"/>
          <w:lang w:val="pt-PT"/>
        </w:rPr>
        <w:t>OCBs</w:t>
      </w:r>
      <w:proofErr w:type="spellEnd"/>
      <w:r w:rsidRPr="00292532">
        <w:rPr>
          <w:rFonts w:ascii="Arial" w:eastAsia="Times New Roman" w:hAnsi="Arial" w:cs="Arial"/>
          <w:sz w:val="20"/>
          <w:szCs w:val="20"/>
          <w:lang w:val="pt-PT"/>
        </w:rPr>
        <w:t xml:space="preserve">, Redes) nos locais abrangidos pelo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 xml:space="preserve"> com um foco para as duas províncias. Entretanto, importa realçar ainda que este mapeamento está sujeito à </w:t>
      </w:r>
      <w:proofErr w:type="spellStart"/>
      <w:r w:rsidRPr="00292532">
        <w:rPr>
          <w:rFonts w:ascii="Arial" w:eastAsia="Times New Roman" w:hAnsi="Arial" w:cs="Arial"/>
          <w:sz w:val="20"/>
          <w:szCs w:val="20"/>
          <w:lang w:val="pt-PT"/>
        </w:rPr>
        <w:t>actualização</w:t>
      </w:r>
      <w:proofErr w:type="spellEnd"/>
      <w:r w:rsidRPr="00292532">
        <w:rPr>
          <w:rFonts w:ascii="Arial" w:eastAsia="Times New Roman" w:hAnsi="Arial" w:cs="Arial"/>
          <w:sz w:val="20"/>
          <w:szCs w:val="20"/>
          <w:lang w:val="pt-PT"/>
        </w:rPr>
        <w:t xml:space="preserve"> e aprofundamento que é recomendado que seja feito a nível local no início da implementação do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w:t>
      </w:r>
    </w:p>
    <w:p w14:paraId="43059242" w14:textId="2241CB74" w:rsidR="00B31AE2" w:rsidRPr="00292532" w:rsidRDefault="00061682" w:rsidP="004500AE">
      <w:pPr>
        <w:keepNext/>
        <w:spacing w:before="0" w:after="200"/>
        <w:rPr>
          <w:rFonts w:ascii="Arial" w:eastAsia="Times New Roman" w:hAnsi="Arial" w:cs="Arial"/>
          <w:lang w:val="pt-PT"/>
        </w:rPr>
      </w:pPr>
      <w:r w:rsidRPr="00292532">
        <w:rPr>
          <w:rFonts w:ascii="Arial" w:eastAsia="Times New Roman" w:hAnsi="Arial" w:cs="Times New Roman"/>
          <w:i/>
          <w:iCs/>
          <w:color w:val="44546A"/>
          <w:sz w:val="18"/>
          <w:szCs w:val="18"/>
          <w:lang w:val="pt-PT"/>
        </w:rPr>
        <w:lastRenderedPageBreak/>
        <w:t xml:space="preserve">Tabela 3: Organizações Não-Estatais que </w:t>
      </w:r>
      <w:proofErr w:type="spellStart"/>
      <w:r w:rsidRPr="00292532">
        <w:rPr>
          <w:rFonts w:ascii="Arial" w:eastAsia="Times New Roman" w:hAnsi="Arial" w:cs="Times New Roman"/>
          <w:i/>
          <w:iCs/>
          <w:color w:val="44546A"/>
          <w:sz w:val="18"/>
          <w:szCs w:val="18"/>
          <w:lang w:val="pt-PT"/>
        </w:rPr>
        <w:t>actuam</w:t>
      </w:r>
      <w:proofErr w:type="spellEnd"/>
      <w:r w:rsidRPr="00292532">
        <w:rPr>
          <w:rFonts w:ascii="Arial" w:eastAsia="Times New Roman" w:hAnsi="Arial" w:cs="Times New Roman"/>
          <w:i/>
          <w:iCs/>
          <w:color w:val="44546A"/>
          <w:sz w:val="18"/>
          <w:szCs w:val="18"/>
          <w:lang w:val="pt-PT"/>
        </w:rPr>
        <w:t xml:space="preserve"> na </w:t>
      </w:r>
      <w:proofErr w:type="spellStart"/>
      <w:r w:rsidRPr="00292532">
        <w:rPr>
          <w:rFonts w:ascii="Arial" w:eastAsia="Times New Roman" w:hAnsi="Arial" w:cs="Times New Roman"/>
          <w:i/>
          <w:iCs/>
          <w:color w:val="44546A"/>
          <w:sz w:val="18"/>
          <w:szCs w:val="18"/>
          <w:lang w:val="pt-PT"/>
        </w:rPr>
        <w:t>protecção</w:t>
      </w:r>
      <w:proofErr w:type="spellEnd"/>
      <w:r w:rsidRPr="00292532">
        <w:rPr>
          <w:rFonts w:ascii="Arial" w:eastAsia="Times New Roman" w:hAnsi="Arial" w:cs="Times New Roman"/>
          <w:i/>
          <w:iCs/>
          <w:color w:val="44546A"/>
          <w:sz w:val="18"/>
          <w:szCs w:val="18"/>
          <w:lang w:val="pt-PT"/>
        </w:rPr>
        <w:t xml:space="preserve"> dos direitos das mulheres e VBG nas províncias de implementação do </w:t>
      </w:r>
      <w:proofErr w:type="spellStart"/>
      <w:r w:rsidRPr="00292532">
        <w:rPr>
          <w:rFonts w:ascii="Arial" w:eastAsia="Times New Roman" w:hAnsi="Arial" w:cs="Times New Roman"/>
          <w:i/>
          <w:iCs/>
          <w:color w:val="44546A"/>
          <w:sz w:val="18"/>
          <w:szCs w:val="18"/>
          <w:lang w:val="pt-PT"/>
        </w:rPr>
        <w:t>Projecto</w:t>
      </w:r>
      <w:proofErr w:type="spellEnd"/>
    </w:p>
    <w:tbl>
      <w:tblPr>
        <w:tblStyle w:val="TableGrid10"/>
        <w:tblW w:w="9072" w:type="dxa"/>
        <w:tblInd w:w="-5" w:type="dxa"/>
        <w:tblCellMar>
          <w:left w:w="107" w:type="dxa"/>
          <w:right w:w="62" w:type="dxa"/>
        </w:tblCellMar>
        <w:tblLook w:val="04A0" w:firstRow="1" w:lastRow="0" w:firstColumn="1" w:lastColumn="0" w:noHBand="0" w:noVBand="1"/>
      </w:tblPr>
      <w:tblGrid>
        <w:gridCol w:w="2977"/>
        <w:gridCol w:w="6095"/>
      </w:tblGrid>
      <w:tr w:rsidR="00B31AE2" w:rsidRPr="004E2EAC" w14:paraId="2430E11B" w14:textId="77777777" w:rsidTr="00B31AE2">
        <w:trPr>
          <w:trHeight w:val="101"/>
          <w:tblHeader/>
        </w:trPr>
        <w:tc>
          <w:tcPr>
            <w:tcW w:w="2977" w:type="dxa"/>
            <w:tcBorders>
              <w:top w:val="single" w:sz="4" w:space="0" w:color="000000"/>
              <w:left w:val="single" w:sz="4" w:space="0" w:color="000000"/>
              <w:bottom w:val="single" w:sz="4" w:space="0" w:color="000000"/>
              <w:right w:val="single" w:sz="4" w:space="0" w:color="000000"/>
            </w:tcBorders>
            <w:shd w:val="clear" w:color="auto" w:fill="5B9BD5"/>
          </w:tcPr>
          <w:p w14:paraId="47C8B5E8" w14:textId="77777777" w:rsidR="00B31AE2" w:rsidRPr="004500AE" w:rsidRDefault="00B31AE2" w:rsidP="00B31AE2">
            <w:pPr>
              <w:spacing w:line="259" w:lineRule="auto"/>
              <w:jc w:val="both"/>
              <w:rPr>
                <w:rFonts w:ascii="Arial" w:hAnsi="Arial" w:cs="Arial"/>
                <w:color w:val="FFFFFF"/>
                <w:sz w:val="20"/>
                <w:szCs w:val="20"/>
                <w:lang w:val="pt-PT"/>
              </w:rPr>
            </w:pPr>
            <w:r w:rsidRPr="004500AE">
              <w:rPr>
                <w:rFonts w:ascii="Arial" w:eastAsia="Calibri" w:hAnsi="Arial" w:cs="Arial"/>
                <w:b/>
                <w:color w:val="FFFFFF"/>
                <w:sz w:val="20"/>
                <w:szCs w:val="20"/>
                <w:lang w:val="pt-PT"/>
              </w:rPr>
              <w:t>Nome</w:t>
            </w:r>
          </w:p>
        </w:tc>
        <w:tc>
          <w:tcPr>
            <w:tcW w:w="6095" w:type="dxa"/>
            <w:tcBorders>
              <w:top w:val="single" w:sz="4" w:space="0" w:color="000000"/>
              <w:left w:val="single" w:sz="4" w:space="0" w:color="000000"/>
              <w:bottom w:val="single" w:sz="4" w:space="0" w:color="000000"/>
              <w:right w:val="single" w:sz="4" w:space="0" w:color="000000"/>
            </w:tcBorders>
            <w:shd w:val="clear" w:color="auto" w:fill="5B9BD5"/>
          </w:tcPr>
          <w:p w14:paraId="79F76D81" w14:textId="77777777" w:rsidR="00B31AE2" w:rsidRPr="00292532" w:rsidRDefault="00B31AE2" w:rsidP="00B31AE2">
            <w:pPr>
              <w:spacing w:line="259" w:lineRule="auto"/>
              <w:ind w:left="1"/>
              <w:jc w:val="both"/>
              <w:rPr>
                <w:rFonts w:ascii="Arial" w:hAnsi="Arial" w:cs="Arial"/>
                <w:color w:val="FFFFFF"/>
                <w:sz w:val="20"/>
                <w:szCs w:val="20"/>
                <w:lang w:val="pt-PT"/>
              </w:rPr>
            </w:pPr>
            <w:proofErr w:type="spellStart"/>
            <w:r w:rsidRPr="00292532">
              <w:rPr>
                <w:rFonts w:ascii="Arial" w:eastAsia="Calibri" w:hAnsi="Arial" w:cs="Arial"/>
                <w:b/>
                <w:color w:val="FFFFFF"/>
                <w:sz w:val="20"/>
                <w:szCs w:val="20"/>
                <w:lang w:val="pt-PT"/>
              </w:rPr>
              <w:t>Actividades</w:t>
            </w:r>
            <w:proofErr w:type="spellEnd"/>
            <w:r w:rsidRPr="00292532">
              <w:rPr>
                <w:rFonts w:ascii="Arial" w:eastAsia="Calibri" w:hAnsi="Arial" w:cs="Arial"/>
                <w:b/>
                <w:color w:val="FFFFFF"/>
                <w:sz w:val="20"/>
                <w:szCs w:val="20"/>
                <w:lang w:val="pt-PT"/>
              </w:rPr>
              <w:t xml:space="preserve"> específicas na área de Género</w:t>
            </w:r>
          </w:p>
        </w:tc>
      </w:tr>
      <w:tr w:rsidR="00B31AE2" w:rsidRPr="00292532" w14:paraId="6B1CCAA3" w14:textId="77777777" w:rsidTr="00B31AE2">
        <w:trPr>
          <w:trHeight w:val="54"/>
        </w:trPr>
        <w:tc>
          <w:tcPr>
            <w:tcW w:w="2977" w:type="dxa"/>
            <w:tcBorders>
              <w:top w:val="single" w:sz="4" w:space="0" w:color="000000"/>
              <w:left w:val="single" w:sz="4" w:space="0" w:color="000000"/>
              <w:bottom w:val="single" w:sz="4" w:space="0" w:color="000000"/>
              <w:right w:val="nil"/>
            </w:tcBorders>
            <w:shd w:val="clear" w:color="auto" w:fill="5B9BD5"/>
          </w:tcPr>
          <w:p w14:paraId="02388A60" w14:textId="77777777" w:rsidR="00B31AE2" w:rsidRPr="00292532" w:rsidRDefault="00B31AE2" w:rsidP="00B31AE2">
            <w:pPr>
              <w:spacing w:line="259" w:lineRule="auto"/>
              <w:rPr>
                <w:rFonts w:ascii="Arial" w:hAnsi="Arial" w:cs="Arial"/>
                <w:color w:val="FFFFFF"/>
                <w:sz w:val="20"/>
                <w:szCs w:val="20"/>
                <w:lang w:val="pt-PT"/>
              </w:rPr>
            </w:pPr>
          </w:p>
        </w:tc>
        <w:tc>
          <w:tcPr>
            <w:tcW w:w="6095" w:type="dxa"/>
            <w:tcBorders>
              <w:top w:val="single" w:sz="4" w:space="0" w:color="000000"/>
              <w:left w:val="nil"/>
              <w:bottom w:val="single" w:sz="4" w:space="0" w:color="000000"/>
              <w:right w:val="single" w:sz="4" w:space="0" w:color="000000"/>
            </w:tcBorders>
            <w:shd w:val="clear" w:color="auto" w:fill="5B9BD5"/>
          </w:tcPr>
          <w:p w14:paraId="4E2135E1" w14:textId="77777777" w:rsidR="00B31AE2" w:rsidRPr="004500AE" w:rsidRDefault="00B31AE2" w:rsidP="00B31AE2">
            <w:pPr>
              <w:spacing w:line="259" w:lineRule="auto"/>
              <w:ind w:left="1353"/>
              <w:rPr>
                <w:rFonts w:ascii="Arial" w:hAnsi="Arial" w:cs="Arial"/>
                <w:color w:val="FFFFFF"/>
                <w:sz w:val="20"/>
                <w:szCs w:val="20"/>
                <w:lang w:val="pt-PT"/>
              </w:rPr>
            </w:pPr>
            <w:r w:rsidRPr="004500AE">
              <w:rPr>
                <w:rFonts w:ascii="Arial" w:eastAsia="Calibri" w:hAnsi="Arial" w:cs="Arial"/>
                <w:b/>
                <w:color w:val="FFFFFF"/>
                <w:sz w:val="20"/>
                <w:szCs w:val="20"/>
                <w:lang w:val="pt-PT"/>
              </w:rPr>
              <w:t xml:space="preserve">Nampula </w:t>
            </w:r>
          </w:p>
        </w:tc>
      </w:tr>
      <w:tr w:rsidR="00B31AE2" w:rsidRPr="004E2EAC" w14:paraId="53179F4D" w14:textId="77777777" w:rsidTr="00B31AE2">
        <w:trPr>
          <w:trHeight w:val="673"/>
        </w:trPr>
        <w:tc>
          <w:tcPr>
            <w:tcW w:w="2977" w:type="dxa"/>
            <w:tcBorders>
              <w:top w:val="single" w:sz="4" w:space="0" w:color="000000"/>
              <w:left w:val="single" w:sz="4" w:space="0" w:color="000000"/>
              <w:bottom w:val="single" w:sz="4" w:space="0" w:color="000000"/>
              <w:right w:val="single" w:sz="4" w:space="0" w:color="000000"/>
            </w:tcBorders>
          </w:tcPr>
          <w:p w14:paraId="4A96AE26" w14:textId="77777777" w:rsidR="00B31AE2" w:rsidRPr="00292532" w:rsidRDefault="00B31AE2" w:rsidP="00B31AE2">
            <w:pPr>
              <w:spacing w:line="259" w:lineRule="auto"/>
              <w:rPr>
                <w:rFonts w:ascii="Arial" w:hAnsi="Arial" w:cs="Arial"/>
                <w:sz w:val="20"/>
                <w:szCs w:val="20"/>
                <w:lang w:val="pt-PT"/>
              </w:rPr>
            </w:pPr>
            <w:r w:rsidRPr="00292532">
              <w:rPr>
                <w:rFonts w:ascii="Arial" w:eastAsia="Calibri" w:hAnsi="Arial" w:cs="Arial"/>
                <w:sz w:val="20"/>
                <w:szCs w:val="20"/>
                <w:lang w:val="pt-PT"/>
              </w:rPr>
              <w:t xml:space="preserve">AENA (Associação Nacional de Extensão Rural) </w:t>
            </w:r>
          </w:p>
        </w:tc>
        <w:tc>
          <w:tcPr>
            <w:tcW w:w="6095" w:type="dxa"/>
            <w:tcBorders>
              <w:top w:val="single" w:sz="4" w:space="0" w:color="000000"/>
              <w:left w:val="single" w:sz="4" w:space="0" w:color="000000"/>
              <w:bottom w:val="single" w:sz="4" w:space="0" w:color="000000"/>
              <w:right w:val="single" w:sz="4" w:space="0" w:color="000000"/>
            </w:tcBorders>
          </w:tcPr>
          <w:p w14:paraId="11A3C70B" w14:textId="77777777" w:rsidR="00B31AE2" w:rsidRPr="00292532" w:rsidRDefault="00B31AE2" w:rsidP="00B31AE2">
            <w:pPr>
              <w:spacing w:line="259" w:lineRule="auto"/>
              <w:ind w:left="1" w:right="22"/>
              <w:rPr>
                <w:rFonts w:ascii="Arial" w:hAnsi="Arial" w:cs="Arial"/>
                <w:sz w:val="20"/>
                <w:szCs w:val="20"/>
                <w:lang w:val="pt-PT"/>
              </w:rPr>
            </w:pPr>
            <w:r w:rsidRPr="00292532">
              <w:rPr>
                <w:rFonts w:ascii="Arial" w:eastAsia="Calibri" w:hAnsi="Arial" w:cs="Arial"/>
                <w:sz w:val="20"/>
                <w:szCs w:val="20"/>
                <w:lang w:val="pt-PT"/>
              </w:rPr>
              <w:t xml:space="preserve">Divulgação de leis de família e violência doméstica; Debates sobre Género e HIV/SIDA; Debates sobre género, participação e liderança; Integração de mulheres no processo de alfabetização de educação de adultos; agricultura; recursos naturais </w:t>
            </w:r>
          </w:p>
        </w:tc>
      </w:tr>
      <w:tr w:rsidR="00B31AE2" w:rsidRPr="004E2EAC" w14:paraId="464B5BF9" w14:textId="77777777" w:rsidTr="00B31AE2">
        <w:trPr>
          <w:trHeight w:val="403"/>
        </w:trPr>
        <w:tc>
          <w:tcPr>
            <w:tcW w:w="2977" w:type="dxa"/>
            <w:tcBorders>
              <w:top w:val="single" w:sz="4" w:space="0" w:color="000000"/>
              <w:left w:val="single" w:sz="4" w:space="0" w:color="000000"/>
              <w:bottom w:val="single" w:sz="4" w:space="0" w:color="000000"/>
              <w:right w:val="single" w:sz="4" w:space="0" w:color="000000"/>
            </w:tcBorders>
          </w:tcPr>
          <w:p w14:paraId="4C47308D" w14:textId="77777777" w:rsidR="00B31AE2" w:rsidRPr="00292532" w:rsidRDefault="00B31AE2" w:rsidP="00B31AE2">
            <w:pPr>
              <w:spacing w:line="259" w:lineRule="auto"/>
              <w:rPr>
                <w:rFonts w:ascii="Arial" w:hAnsi="Arial" w:cs="Arial"/>
                <w:sz w:val="20"/>
                <w:szCs w:val="20"/>
                <w:lang w:val="pt-PT"/>
              </w:rPr>
            </w:pPr>
            <w:r w:rsidRPr="00292532">
              <w:rPr>
                <w:rFonts w:ascii="Arial" w:eastAsia="Calibri" w:hAnsi="Arial" w:cs="Arial"/>
                <w:sz w:val="20"/>
                <w:szCs w:val="20"/>
                <w:lang w:val="pt-PT"/>
              </w:rPr>
              <w:t xml:space="preserve">AMR (Associação de Mulheres Rurais) </w:t>
            </w:r>
          </w:p>
        </w:tc>
        <w:tc>
          <w:tcPr>
            <w:tcW w:w="6095" w:type="dxa"/>
            <w:tcBorders>
              <w:top w:val="single" w:sz="4" w:space="0" w:color="000000"/>
              <w:left w:val="single" w:sz="4" w:space="0" w:color="000000"/>
              <w:bottom w:val="single" w:sz="4" w:space="0" w:color="000000"/>
              <w:right w:val="single" w:sz="4" w:space="0" w:color="000000"/>
            </w:tcBorders>
          </w:tcPr>
          <w:p w14:paraId="621E7A6C" w14:textId="77777777" w:rsidR="00B31AE2" w:rsidRPr="00292532" w:rsidRDefault="00B31AE2" w:rsidP="00B31AE2">
            <w:pPr>
              <w:spacing w:line="259" w:lineRule="auto"/>
              <w:ind w:left="1"/>
              <w:rPr>
                <w:rFonts w:ascii="Arial" w:hAnsi="Arial" w:cs="Arial"/>
                <w:sz w:val="20"/>
                <w:szCs w:val="20"/>
                <w:lang w:val="pt-PT"/>
              </w:rPr>
            </w:pPr>
            <w:r w:rsidRPr="00292532">
              <w:rPr>
                <w:rFonts w:ascii="Arial" w:eastAsia="Calibri" w:hAnsi="Arial" w:cs="Arial"/>
                <w:sz w:val="20"/>
                <w:szCs w:val="20"/>
                <w:lang w:val="pt-PT"/>
              </w:rPr>
              <w:t xml:space="preserve">Divulgação de leis contra violência; Debates sobre género e violência </w:t>
            </w:r>
          </w:p>
        </w:tc>
      </w:tr>
      <w:tr w:rsidR="00B31AE2" w:rsidRPr="004E2EAC" w14:paraId="31099D68" w14:textId="77777777" w:rsidTr="00B31AE2">
        <w:trPr>
          <w:trHeight w:val="571"/>
        </w:trPr>
        <w:tc>
          <w:tcPr>
            <w:tcW w:w="2977" w:type="dxa"/>
            <w:tcBorders>
              <w:top w:val="single" w:sz="4" w:space="0" w:color="000000"/>
              <w:left w:val="single" w:sz="4" w:space="0" w:color="000000"/>
              <w:bottom w:val="single" w:sz="4" w:space="0" w:color="000000"/>
              <w:right w:val="single" w:sz="4" w:space="0" w:color="000000"/>
            </w:tcBorders>
          </w:tcPr>
          <w:p w14:paraId="54143805" w14:textId="77777777" w:rsidR="00B31AE2" w:rsidRPr="00292532" w:rsidRDefault="00B31AE2" w:rsidP="00B31AE2">
            <w:pPr>
              <w:spacing w:line="259" w:lineRule="auto"/>
              <w:jc w:val="both"/>
              <w:rPr>
                <w:rFonts w:ascii="Arial" w:hAnsi="Arial" w:cs="Arial"/>
                <w:sz w:val="20"/>
                <w:szCs w:val="20"/>
                <w:lang w:val="pt-PT"/>
              </w:rPr>
            </w:pPr>
            <w:r w:rsidRPr="00292532">
              <w:rPr>
                <w:rFonts w:ascii="Arial" w:eastAsia="Calibri" w:hAnsi="Arial" w:cs="Arial"/>
                <w:sz w:val="20"/>
                <w:szCs w:val="20"/>
                <w:lang w:val="pt-PT"/>
              </w:rPr>
              <w:t xml:space="preserve">AMORA – Associação de Mulheres para Apoio da Rapariga </w:t>
            </w:r>
          </w:p>
        </w:tc>
        <w:tc>
          <w:tcPr>
            <w:tcW w:w="6095" w:type="dxa"/>
            <w:tcBorders>
              <w:top w:val="single" w:sz="4" w:space="0" w:color="000000"/>
              <w:left w:val="single" w:sz="4" w:space="0" w:color="000000"/>
              <w:bottom w:val="single" w:sz="4" w:space="0" w:color="000000"/>
              <w:right w:val="single" w:sz="4" w:space="0" w:color="000000"/>
            </w:tcBorders>
          </w:tcPr>
          <w:p w14:paraId="26B60C7B" w14:textId="77777777" w:rsidR="00B31AE2" w:rsidRPr="00292532" w:rsidRDefault="00B31AE2" w:rsidP="00B31AE2">
            <w:pPr>
              <w:spacing w:line="259" w:lineRule="auto"/>
              <w:ind w:left="1"/>
              <w:rPr>
                <w:rFonts w:ascii="Arial" w:hAnsi="Arial" w:cs="Arial"/>
                <w:sz w:val="20"/>
                <w:szCs w:val="20"/>
                <w:lang w:val="pt-PT"/>
              </w:rPr>
            </w:pPr>
            <w:r w:rsidRPr="00292532">
              <w:rPr>
                <w:rFonts w:ascii="Arial" w:eastAsia="Calibri" w:hAnsi="Arial" w:cs="Arial"/>
                <w:sz w:val="20"/>
                <w:szCs w:val="20"/>
                <w:lang w:val="pt-PT"/>
              </w:rPr>
              <w:t xml:space="preserve">Direitos das mulheres, Violência baseada no género </w:t>
            </w:r>
          </w:p>
        </w:tc>
      </w:tr>
      <w:tr w:rsidR="00B31AE2" w:rsidRPr="00292532" w14:paraId="7D065EF3" w14:textId="77777777" w:rsidTr="00B31AE2">
        <w:trPr>
          <w:trHeight w:val="403"/>
        </w:trPr>
        <w:tc>
          <w:tcPr>
            <w:tcW w:w="2977" w:type="dxa"/>
            <w:tcBorders>
              <w:top w:val="single" w:sz="4" w:space="0" w:color="000000"/>
              <w:left w:val="single" w:sz="4" w:space="0" w:color="000000"/>
              <w:bottom w:val="single" w:sz="4" w:space="0" w:color="000000"/>
              <w:right w:val="single" w:sz="4" w:space="0" w:color="000000"/>
            </w:tcBorders>
          </w:tcPr>
          <w:p w14:paraId="58E866A3" w14:textId="77777777" w:rsidR="00B31AE2" w:rsidRPr="004500AE" w:rsidRDefault="00B31AE2" w:rsidP="00B31AE2">
            <w:pPr>
              <w:spacing w:line="259" w:lineRule="auto"/>
              <w:rPr>
                <w:rFonts w:ascii="Arial" w:hAnsi="Arial" w:cs="Arial"/>
                <w:sz w:val="20"/>
                <w:szCs w:val="20"/>
                <w:lang w:val="pt-PT"/>
              </w:rPr>
            </w:pPr>
            <w:proofErr w:type="spellStart"/>
            <w:r w:rsidRPr="004500AE">
              <w:rPr>
                <w:rFonts w:ascii="Arial" w:eastAsia="Calibri" w:hAnsi="Arial" w:cs="Arial"/>
                <w:sz w:val="20"/>
                <w:szCs w:val="20"/>
                <w:lang w:val="pt-PT"/>
              </w:rPr>
              <w:t>Activa</w:t>
            </w:r>
            <w:proofErr w:type="spellEnd"/>
            <w:r w:rsidRPr="004500AE">
              <w:rPr>
                <w:rFonts w:ascii="Arial" w:eastAsia="Calibri" w:hAnsi="Arial" w:cs="Arial"/>
                <w:sz w:val="20"/>
                <w:szCs w:val="20"/>
                <w:lang w:val="pt-PT"/>
              </w:rPr>
              <w:t xml:space="preserve"> </w:t>
            </w:r>
          </w:p>
        </w:tc>
        <w:tc>
          <w:tcPr>
            <w:tcW w:w="6095" w:type="dxa"/>
            <w:tcBorders>
              <w:top w:val="single" w:sz="4" w:space="0" w:color="000000"/>
              <w:left w:val="single" w:sz="4" w:space="0" w:color="000000"/>
              <w:bottom w:val="single" w:sz="4" w:space="0" w:color="000000"/>
              <w:right w:val="single" w:sz="4" w:space="0" w:color="000000"/>
            </w:tcBorders>
          </w:tcPr>
          <w:p w14:paraId="66B65C78" w14:textId="77777777" w:rsidR="00B31AE2" w:rsidRPr="004500AE" w:rsidRDefault="00B31AE2" w:rsidP="00B31AE2">
            <w:pPr>
              <w:spacing w:line="259" w:lineRule="auto"/>
              <w:ind w:left="1"/>
              <w:rPr>
                <w:rFonts w:ascii="Arial" w:hAnsi="Arial" w:cs="Arial"/>
                <w:sz w:val="20"/>
                <w:szCs w:val="20"/>
                <w:lang w:val="pt-PT"/>
              </w:rPr>
            </w:pPr>
            <w:r w:rsidRPr="004500AE">
              <w:rPr>
                <w:rFonts w:ascii="Arial" w:eastAsia="Calibri" w:hAnsi="Arial" w:cs="Arial"/>
                <w:sz w:val="20"/>
                <w:szCs w:val="20"/>
                <w:lang w:val="pt-PT"/>
              </w:rPr>
              <w:t xml:space="preserve">Direitos das Mulheres </w:t>
            </w:r>
          </w:p>
        </w:tc>
      </w:tr>
      <w:tr w:rsidR="00B31AE2" w:rsidRPr="004E2EAC" w14:paraId="605BAABB" w14:textId="77777777" w:rsidTr="00B31AE2">
        <w:trPr>
          <w:trHeight w:val="408"/>
        </w:trPr>
        <w:tc>
          <w:tcPr>
            <w:tcW w:w="2977" w:type="dxa"/>
            <w:tcBorders>
              <w:top w:val="single" w:sz="4" w:space="0" w:color="000000"/>
              <w:left w:val="single" w:sz="4" w:space="0" w:color="000000"/>
              <w:bottom w:val="single" w:sz="4" w:space="0" w:color="000000"/>
              <w:right w:val="single" w:sz="4" w:space="0" w:color="000000"/>
            </w:tcBorders>
          </w:tcPr>
          <w:p w14:paraId="78759E0A" w14:textId="77777777" w:rsidR="00B31AE2" w:rsidRPr="00292532" w:rsidRDefault="00B31AE2" w:rsidP="00B31AE2">
            <w:pPr>
              <w:spacing w:line="259" w:lineRule="auto"/>
              <w:rPr>
                <w:rFonts w:ascii="Arial" w:hAnsi="Arial" w:cs="Arial"/>
                <w:sz w:val="20"/>
                <w:szCs w:val="20"/>
                <w:lang w:val="pt-PT"/>
              </w:rPr>
            </w:pPr>
            <w:r w:rsidRPr="00292532">
              <w:rPr>
                <w:rFonts w:ascii="Arial" w:eastAsia="Calibri" w:hAnsi="Arial" w:cs="Arial"/>
                <w:sz w:val="20"/>
                <w:szCs w:val="20"/>
                <w:lang w:val="pt-PT"/>
              </w:rPr>
              <w:t xml:space="preserve">NUGENA – Núcleo de Género de Nampula </w:t>
            </w:r>
          </w:p>
        </w:tc>
        <w:tc>
          <w:tcPr>
            <w:tcW w:w="6095" w:type="dxa"/>
            <w:tcBorders>
              <w:top w:val="single" w:sz="4" w:space="0" w:color="000000"/>
              <w:left w:val="single" w:sz="4" w:space="0" w:color="000000"/>
              <w:bottom w:val="single" w:sz="4" w:space="0" w:color="000000"/>
              <w:right w:val="single" w:sz="4" w:space="0" w:color="000000"/>
            </w:tcBorders>
          </w:tcPr>
          <w:p w14:paraId="533CD8F2" w14:textId="77777777" w:rsidR="00B31AE2" w:rsidRPr="00292532" w:rsidRDefault="00B31AE2" w:rsidP="00B31AE2">
            <w:pPr>
              <w:spacing w:line="259" w:lineRule="auto"/>
              <w:ind w:left="1"/>
              <w:rPr>
                <w:rFonts w:ascii="Arial" w:hAnsi="Arial" w:cs="Arial"/>
                <w:sz w:val="20"/>
                <w:szCs w:val="20"/>
                <w:lang w:val="pt-PT"/>
              </w:rPr>
            </w:pPr>
            <w:r w:rsidRPr="00292532">
              <w:rPr>
                <w:rFonts w:ascii="Arial" w:eastAsia="Calibri" w:hAnsi="Arial" w:cs="Arial"/>
                <w:sz w:val="20"/>
                <w:szCs w:val="20"/>
                <w:lang w:val="pt-PT"/>
              </w:rPr>
              <w:t xml:space="preserve">Defesa dos Direitos Humanos das Mulheres </w:t>
            </w:r>
          </w:p>
        </w:tc>
      </w:tr>
      <w:tr w:rsidR="00B31AE2" w:rsidRPr="004E2EAC" w14:paraId="14E5C796" w14:textId="77777777" w:rsidTr="00B31AE2">
        <w:trPr>
          <w:trHeight w:val="787"/>
        </w:trPr>
        <w:tc>
          <w:tcPr>
            <w:tcW w:w="2977" w:type="dxa"/>
            <w:tcBorders>
              <w:top w:val="single" w:sz="4" w:space="0" w:color="000000"/>
              <w:left w:val="single" w:sz="4" w:space="0" w:color="000000"/>
              <w:bottom w:val="single" w:sz="4" w:space="0" w:color="000000"/>
              <w:right w:val="single" w:sz="4" w:space="0" w:color="000000"/>
            </w:tcBorders>
          </w:tcPr>
          <w:p w14:paraId="37B1BA93" w14:textId="77777777" w:rsidR="00B31AE2" w:rsidRPr="00292532" w:rsidRDefault="00B31AE2" w:rsidP="00B31AE2">
            <w:pPr>
              <w:tabs>
                <w:tab w:val="center" w:pos="1161"/>
                <w:tab w:val="center" w:pos="1924"/>
                <w:tab w:val="center" w:pos="2807"/>
                <w:tab w:val="right" w:pos="3430"/>
              </w:tabs>
              <w:spacing w:line="259" w:lineRule="auto"/>
              <w:rPr>
                <w:rFonts w:ascii="Arial" w:hAnsi="Arial" w:cs="Arial"/>
                <w:sz w:val="20"/>
                <w:szCs w:val="20"/>
                <w:lang w:val="pt-PT"/>
              </w:rPr>
            </w:pPr>
            <w:r w:rsidRPr="00292532">
              <w:rPr>
                <w:rFonts w:ascii="Arial" w:eastAsia="Calibri" w:hAnsi="Arial" w:cs="Arial"/>
                <w:sz w:val="20"/>
                <w:szCs w:val="20"/>
                <w:lang w:val="pt-PT"/>
              </w:rPr>
              <w:t xml:space="preserve">OPHAVELA </w:t>
            </w:r>
            <w:r w:rsidRPr="00292532">
              <w:rPr>
                <w:rFonts w:ascii="Arial" w:eastAsia="Calibri" w:hAnsi="Arial" w:cs="Arial"/>
                <w:sz w:val="20"/>
                <w:szCs w:val="20"/>
                <w:lang w:val="pt-PT"/>
              </w:rPr>
              <w:tab/>
              <w:t xml:space="preserve">– </w:t>
            </w:r>
            <w:r w:rsidRPr="00292532">
              <w:rPr>
                <w:rFonts w:ascii="Arial" w:eastAsia="Calibri" w:hAnsi="Arial" w:cs="Arial"/>
                <w:sz w:val="20"/>
                <w:szCs w:val="20"/>
                <w:lang w:val="pt-PT"/>
              </w:rPr>
              <w:tab/>
              <w:t xml:space="preserve">Associação </w:t>
            </w:r>
            <w:r w:rsidRPr="00292532">
              <w:rPr>
                <w:rFonts w:ascii="Arial" w:eastAsia="Calibri" w:hAnsi="Arial" w:cs="Arial"/>
                <w:sz w:val="20"/>
                <w:szCs w:val="20"/>
                <w:lang w:val="pt-PT"/>
              </w:rPr>
              <w:tab/>
              <w:t xml:space="preserve">para </w:t>
            </w:r>
            <w:r w:rsidRPr="00292532">
              <w:rPr>
                <w:rFonts w:ascii="Arial" w:eastAsia="Calibri" w:hAnsi="Arial" w:cs="Arial"/>
                <w:sz w:val="20"/>
                <w:szCs w:val="20"/>
                <w:lang w:val="pt-PT"/>
              </w:rPr>
              <w:tab/>
              <w:t xml:space="preserve">o </w:t>
            </w:r>
          </w:p>
          <w:p w14:paraId="384F6FCC" w14:textId="77777777" w:rsidR="00B31AE2" w:rsidRPr="00292532" w:rsidRDefault="00B31AE2" w:rsidP="00B31AE2">
            <w:pPr>
              <w:spacing w:line="259" w:lineRule="auto"/>
              <w:rPr>
                <w:rFonts w:ascii="Arial" w:hAnsi="Arial" w:cs="Arial"/>
                <w:sz w:val="20"/>
                <w:szCs w:val="20"/>
                <w:lang w:val="pt-PT"/>
              </w:rPr>
            </w:pPr>
            <w:r w:rsidRPr="00292532">
              <w:rPr>
                <w:rFonts w:ascii="Arial" w:eastAsia="Calibri" w:hAnsi="Arial" w:cs="Arial"/>
                <w:sz w:val="20"/>
                <w:szCs w:val="20"/>
                <w:lang w:val="pt-PT"/>
              </w:rPr>
              <w:t xml:space="preserve">Desenvolvimento Socio Económico </w:t>
            </w:r>
          </w:p>
        </w:tc>
        <w:tc>
          <w:tcPr>
            <w:tcW w:w="6095" w:type="dxa"/>
            <w:tcBorders>
              <w:top w:val="single" w:sz="4" w:space="0" w:color="000000"/>
              <w:left w:val="single" w:sz="4" w:space="0" w:color="000000"/>
              <w:bottom w:val="single" w:sz="4" w:space="0" w:color="000000"/>
              <w:right w:val="single" w:sz="4" w:space="0" w:color="000000"/>
            </w:tcBorders>
          </w:tcPr>
          <w:p w14:paraId="5A80A925" w14:textId="77777777" w:rsidR="00B31AE2" w:rsidRPr="00292532" w:rsidRDefault="00B31AE2" w:rsidP="00B31AE2">
            <w:pPr>
              <w:spacing w:line="259" w:lineRule="auto"/>
              <w:ind w:left="1" w:right="41"/>
              <w:jc w:val="both"/>
              <w:rPr>
                <w:rFonts w:ascii="Arial" w:hAnsi="Arial" w:cs="Arial"/>
                <w:sz w:val="20"/>
                <w:szCs w:val="20"/>
                <w:lang w:val="pt-PT"/>
              </w:rPr>
            </w:pPr>
            <w:r w:rsidRPr="00292532">
              <w:rPr>
                <w:rFonts w:ascii="Arial" w:eastAsia="Calibri" w:hAnsi="Arial" w:cs="Arial"/>
                <w:sz w:val="20"/>
                <w:szCs w:val="20"/>
                <w:lang w:val="pt-PT"/>
              </w:rPr>
              <w:t xml:space="preserve">Temas transversais: Meio Ambiente, Género e HIV e SIDA; Sessões de Debate nos grupos de Poupança sobre as relações sociais de género no contexto do Desenvolvimento Comunitário e do HIV e SIDA </w:t>
            </w:r>
          </w:p>
        </w:tc>
      </w:tr>
      <w:tr w:rsidR="00B31AE2" w:rsidRPr="004E2EAC" w14:paraId="674F27B4" w14:textId="77777777" w:rsidTr="00B31AE2">
        <w:trPr>
          <w:trHeight w:val="619"/>
        </w:trPr>
        <w:tc>
          <w:tcPr>
            <w:tcW w:w="2977" w:type="dxa"/>
            <w:tcBorders>
              <w:top w:val="single" w:sz="4" w:space="0" w:color="000000"/>
              <w:left w:val="single" w:sz="4" w:space="0" w:color="000000"/>
              <w:bottom w:val="single" w:sz="4" w:space="0" w:color="000000"/>
              <w:right w:val="single" w:sz="4" w:space="0" w:color="000000"/>
            </w:tcBorders>
          </w:tcPr>
          <w:p w14:paraId="4E26827C" w14:textId="77777777" w:rsidR="00B31AE2" w:rsidRPr="00292532" w:rsidRDefault="00B31AE2" w:rsidP="00B31AE2">
            <w:pPr>
              <w:spacing w:line="259" w:lineRule="auto"/>
              <w:rPr>
                <w:rFonts w:ascii="Arial" w:hAnsi="Arial" w:cs="Arial"/>
                <w:sz w:val="20"/>
                <w:szCs w:val="20"/>
                <w:lang w:val="pt-PT"/>
              </w:rPr>
            </w:pPr>
            <w:r w:rsidRPr="00292532">
              <w:rPr>
                <w:rFonts w:ascii="Arial" w:eastAsia="Calibri" w:hAnsi="Arial" w:cs="Arial"/>
                <w:sz w:val="20"/>
                <w:szCs w:val="20"/>
                <w:lang w:val="pt-PT"/>
              </w:rPr>
              <w:t xml:space="preserve">OPHENTA- Associação de Mulheres e Apoio à Raparigas </w:t>
            </w:r>
          </w:p>
        </w:tc>
        <w:tc>
          <w:tcPr>
            <w:tcW w:w="6095" w:type="dxa"/>
            <w:tcBorders>
              <w:top w:val="single" w:sz="4" w:space="0" w:color="000000"/>
              <w:left w:val="single" w:sz="4" w:space="0" w:color="000000"/>
              <w:bottom w:val="single" w:sz="4" w:space="0" w:color="000000"/>
              <w:right w:val="single" w:sz="4" w:space="0" w:color="000000"/>
            </w:tcBorders>
          </w:tcPr>
          <w:p w14:paraId="3668A358" w14:textId="77777777" w:rsidR="00B31AE2" w:rsidRPr="00292532" w:rsidRDefault="00B31AE2" w:rsidP="00B31AE2">
            <w:pPr>
              <w:spacing w:line="259" w:lineRule="auto"/>
              <w:ind w:left="1"/>
              <w:rPr>
                <w:rFonts w:ascii="Arial" w:hAnsi="Arial" w:cs="Arial"/>
                <w:sz w:val="20"/>
                <w:szCs w:val="20"/>
                <w:lang w:val="pt-PT"/>
              </w:rPr>
            </w:pPr>
            <w:r w:rsidRPr="00292532">
              <w:rPr>
                <w:rFonts w:ascii="Arial" w:eastAsia="Calibri" w:hAnsi="Arial" w:cs="Arial"/>
                <w:sz w:val="20"/>
                <w:szCs w:val="20"/>
                <w:lang w:val="pt-PT"/>
              </w:rPr>
              <w:t xml:space="preserve">Governação com enfoque para os direitos humanos, direitos humanos das mulheres e raparigas </w:t>
            </w:r>
          </w:p>
        </w:tc>
      </w:tr>
      <w:tr w:rsidR="00B31AE2" w:rsidRPr="004E2EAC" w14:paraId="131B43B8" w14:textId="77777777" w:rsidTr="00B31AE2">
        <w:trPr>
          <w:trHeight w:val="444"/>
        </w:trPr>
        <w:tc>
          <w:tcPr>
            <w:tcW w:w="2977" w:type="dxa"/>
            <w:tcBorders>
              <w:top w:val="single" w:sz="4" w:space="0" w:color="000000"/>
              <w:left w:val="single" w:sz="4" w:space="0" w:color="000000"/>
              <w:bottom w:val="single" w:sz="4" w:space="0" w:color="000000"/>
              <w:right w:val="single" w:sz="4" w:space="0" w:color="000000"/>
            </w:tcBorders>
          </w:tcPr>
          <w:p w14:paraId="62B32232" w14:textId="77777777" w:rsidR="00B31AE2" w:rsidRPr="004500AE" w:rsidRDefault="00B31AE2" w:rsidP="00B31AE2">
            <w:pPr>
              <w:spacing w:line="259" w:lineRule="auto"/>
              <w:rPr>
                <w:rFonts w:ascii="Arial" w:hAnsi="Arial" w:cs="Arial"/>
                <w:sz w:val="20"/>
                <w:szCs w:val="20"/>
                <w:lang w:val="pt-PT"/>
              </w:rPr>
            </w:pPr>
            <w:r w:rsidRPr="004500AE">
              <w:rPr>
                <w:rFonts w:ascii="Arial" w:eastAsia="Calibri" w:hAnsi="Arial" w:cs="Arial"/>
                <w:sz w:val="20"/>
                <w:szCs w:val="20"/>
                <w:lang w:val="pt-PT"/>
              </w:rPr>
              <w:t>Nações Unidas/</w:t>
            </w:r>
            <w:proofErr w:type="spellStart"/>
            <w:r w:rsidRPr="004500AE">
              <w:rPr>
                <w:rFonts w:ascii="Arial" w:eastAsia="Calibri" w:hAnsi="Arial" w:cs="Arial"/>
                <w:sz w:val="20"/>
                <w:szCs w:val="20"/>
                <w:lang w:val="pt-PT"/>
              </w:rPr>
              <w:t>Spotlight</w:t>
            </w:r>
            <w:proofErr w:type="spellEnd"/>
            <w:r w:rsidRPr="004500AE">
              <w:rPr>
                <w:rFonts w:ascii="Arial" w:eastAsia="Calibri" w:hAnsi="Arial" w:cs="Arial"/>
                <w:sz w:val="20"/>
                <w:szCs w:val="20"/>
                <w:lang w:val="pt-PT"/>
              </w:rPr>
              <w:t xml:space="preserve"> </w:t>
            </w:r>
            <w:proofErr w:type="spellStart"/>
            <w:r w:rsidRPr="004500AE">
              <w:rPr>
                <w:rFonts w:ascii="Arial" w:eastAsia="Calibri" w:hAnsi="Arial" w:cs="Arial"/>
                <w:sz w:val="20"/>
                <w:szCs w:val="20"/>
                <w:lang w:val="pt-PT"/>
              </w:rPr>
              <w:t>Initiative</w:t>
            </w:r>
            <w:proofErr w:type="spellEnd"/>
            <w:r w:rsidRPr="004500AE">
              <w:rPr>
                <w:rFonts w:ascii="Arial" w:eastAsia="Calibri" w:hAnsi="Arial" w:cs="Arial"/>
                <w:sz w:val="20"/>
                <w:szCs w:val="20"/>
                <w:vertAlign w:val="superscript"/>
                <w:lang w:val="pt-PT"/>
              </w:rPr>
              <w:footnoteReference w:id="46"/>
            </w:r>
            <w:r w:rsidRPr="004500AE">
              <w:rPr>
                <w:rFonts w:ascii="Arial" w:eastAsia="Calibri" w:hAnsi="Arial" w:cs="Arial"/>
                <w:sz w:val="20"/>
                <w:szCs w:val="20"/>
                <w:lang w:val="pt-PT"/>
              </w:rPr>
              <w:t xml:space="preserve"> </w:t>
            </w:r>
          </w:p>
        </w:tc>
        <w:tc>
          <w:tcPr>
            <w:tcW w:w="6095" w:type="dxa"/>
            <w:tcBorders>
              <w:top w:val="single" w:sz="4" w:space="0" w:color="000000"/>
              <w:left w:val="single" w:sz="4" w:space="0" w:color="000000"/>
              <w:bottom w:val="single" w:sz="4" w:space="0" w:color="000000"/>
              <w:right w:val="single" w:sz="4" w:space="0" w:color="000000"/>
            </w:tcBorders>
          </w:tcPr>
          <w:p w14:paraId="0D33B108" w14:textId="77777777" w:rsidR="00B31AE2" w:rsidRPr="00292532" w:rsidRDefault="00B31AE2" w:rsidP="00B31AE2">
            <w:pPr>
              <w:spacing w:line="259" w:lineRule="auto"/>
              <w:ind w:left="1"/>
              <w:jc w:val="both"/>
              <w:rPr>
                <w:rFonts w:ascii="Arial" w:hAnsi="Arial" w:cs="Arial"/>
                <w:sz w:val="20"/>
                <w:szCs w:val="20"/>
                <w:lang w:val="pt-PT"/>
              </w:rPr>
            </w:pPr>
            <w:r w:rsidRPr="00292532">
              <w:rPr>
                <w:rFonts w:ascii="Arial" w:eastAsia="Calibri" w:hAnsi="Arial" w:cs="Arial"/>
                <w:sz w:val="20"/>
                <w:szCs w:val="20"/>
                <w:lang w:val="pt-PT"/>
              </w:rPr>
              <w:t xml:space="preserve">Violência baseada no género (10-24 anos), práticas nocivas; serviços essenciais de apoio às vítimas e sobreviventes de violência;  </w:t>
            </w:r>
          </w:p>
        </w:tc>
      </w:tr>
      <w:tr w:rsidR="00B31AE2" w:rsidRPr="004E2EAC" w14:paraId="369C18B8" w14:textId="77777777" w:rsidTr="00B31AE2">
        <w:trPr>
          <w:trHeight w:val="167"/>
        </w:trPr>
        <w:tc>
          <w:tcPr>
            <w:tcW w:w="2977" w:type="dxa"/>
            <w:tcBorders>
              <w:top w:val="single" w:sz="4" w:space="0" w:color="000000"/>
              <w:left w:val="single" w:sz="4" w:space="0" w:color="000000"/>
              <w:bottom w:val="single" w:sz="4" w:space="0" w:color="000000"/>
              <w:right w:val="single" w:sz="4" w:space="0" w:color="000000"/>
            </w:tcBorders>
          </w:tcPr>
          <w:p w14:paraId="1801AC15" w14:textId="77777777" w:rsidR="00B31AE2" w:rsidRPr="004500AE" w:rsidRDefault="00B31AE2" w:rsidP="00B31AE2">
            <w:pPr>
              <w:spacing w:line="259" w:lineRule="auto"/>
              <w:rPr>
                <w:rFonts w:ascii="Arial" w:hAnsi="Arial" w:cs="Arial"/>
                <w:sz w:val="20"/>
                <w:szCs w:val="20"/>
                <w:lang w:val="pt-PT"/>
              </w:rPr>
            </w:pPr>
            <w:r w:rsidRPr="004500AE">
              <w:rPr>
                <w:rFonts w:ascii="Arial" w:eastAsia="Calibri" w:hAnsi="Arial" w:cs="Arial"/>
                <w:sz w:val="20"/>
                <w:szCs w:val="20"/>
                <w:lang w:val="pt-PT"/>
              </w:rPr>
              <w:t xml:space="preserve">TCV – Todos Contra Violência </w:t>
            </w:r>
          </w:p>
        </w:tc>
        <w:tc>
          <w:tcPr>
            <w:tcW w:w="6095" w:type="dxa"/>
            <w:tcBorders>
              <w:top w:val="single" w:sz="4" w:space="0" w:color="000000"/>
              <w:left w:val="single" w:sz="4" w:space="0" w:color="000000"/>
              <w:bottom w:val="single" w:sz="4" w:space="0" w:color="000000"/>
              <w:right w:val="single" w:sz="4" w:space="0" w:color="000000"/>
            </w:tcBorders>
          </w:tcPr>
          <w:p w14:paraId="13336AFD" w14:textId="77777777" w:rsidR="00B31AE2" w:rsidRPr="00292532" w:rsidRDefault="00B31AE2" w:rsidP="00B31AE2">
            <w:pPr>
              <w:spacing w:line="259" w:lineRule="auto"/>
              <w:ind w:left="1"/>
              <w:rPr>
                <w:rFonts w:ascii="Arial" w:hAnsi="Arial" w:cs="Arial"/>
                <w:sz w:val="20"/>
                <w:szCs w:val="20"/>
                <w:lang w:val="pt-PT"/>
              </w:rPr>
            </w:pPr>
            <w:r w:rsidRPr="00292532">
              <w:rPr>
                <w:rFonts w:ascii="Arial" w:eastAsia="Calibri" w:hAnsi="Arial" w:cs="Arial"/>
                <w:sz w:val="20"/>
                <w:szCs w:val="20"/>
                <w:lang w:val="pt-PT"/>
              </w:rPr>
              <w:t xml:space="preserve">Assistência Social, Defesa dos direitos da Mulher na área da Violência </w:t>
            </w:r>
          </w:p>
        </w:tc>
      </w:tr>
      <w:tr w:rsidR="00B31AE2" w:rsidRPr="00292532" w14:paraId="7CF77855" w14:textId="77777777" w:rsidTr="00B31AE2">
        <w:trPr>
          <w:trHeight w:val="25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5B9BD5"/>
          </w:tcPr>
          <w:p w14:paraId="1D6D1626" w14:textId="77777777" w:rsidR="00B31AE2" w:rsidRPr="004500AE" w:rsidRDefault="00B31AE2" w:rsidP="00B31AE2">
            <w:pPr>
              <w:spacing w:line="259" w:lineRule="auto"/>
              <w:jc w:val="center"/>
              <w:rPr>
                <w:rFonts w:ascii="Arial" w:hAnsi="Arial" w:cs="Arial"/>
                <w:b/>
                <w:color w:val="FFFFFF"/>
                <w:sz w:val="20"/>
                <w:szCs w:val="20"/>
                <w:lang w:val="pt-PT"/>
              </w:rPr>
            </w:pPr>
            <w:r w:rsidRPr="004500AE">
              <w:rPr>
                <w:rFonts w:ascii="Arial" w:hAnsi="Arial" w:cs="Arial"/>
                <w:b/>
                <w:color w:val="FFFFFF"/>
                <w:sz w:val="20"/>
                <w:szCs w:val="20"/>
                <w:lang w:val="pt-PT"/>
              </w:rPr>
              <w:t>Zambézia</w:t>
            </w:r>
          </w:p>
        </w:tc>
      </w:tr>
      <w:tr w:rsidR="00B31AE2" w:rsidRPr="004E2EAC" w14:paraId="5FB154DA"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3CD04E7D" w14:textId="77777777" w:rsidR="00B31AE2" w:rsidRPr="004500AE" w:rsidRDefault="00B31AE2" w:rsidP="00B31AE2">
            <w:pPr>
              <w:spacing w:line="259" w:lineRule="auto"/>
              <w:rPr>
                <w:rFonts w:ascii="Arial" w:eastAsia="Calibri" w:hAnsi="Arial" w:cs="Arial"/>
                <w:sz w:val="20"/>
                <w:szCs w:val="20"/>
                <w:lang w:val="pt-PT"/>
              </w:rPr>
            </w:pPr>
            <w:r w:rsidRPr="004500AE">
              <w:rPr>
                <w:rFonts w:ascii="Arial" w:eastAsia="Calibri" w:hAnsi="Arial" w:cs="Arial"/>
                <w:sz w:val="20"/>
                <w:szCs w:val="20"/>
                <w:lang w:val="pt-PT"/>
              </w:rPr>
              <w:t xml:space="preserve">NAFEZA </w:t>
            </w:r>
          </w:p>
        </w:tc>
        <w:tc>
          <w:tcPr>
            <w:tcW w:w="6095" w:type="dxa"/>
            <w:tcBorders>
              <w:top w:val="single" w:sz="4" w:space="0" w:color="000000"/>
              <w:left w:val="single" w:sz="4" w:space="0" w:color="000000"/>
              <w:bottom w:val="single" w:sz="4" w:space="0" w:color="000000"/>
              <w:right w:val="single" w:sz="4" w:space="0" w:color="000000"/>
            </w:tcBorders>
          </w:tcPr>
          <w:p w14:paraId="1E5FE3C2" w14:textId="77777777" w:rsidR="00B31AE2" w:rsidRPr="00292532" w:rsidRDefault="00B31AE2" w:rsidP="00B31AE2">
            <w:pPr>
              <w:spacing w:line="259" w:lineRule="auto"/>
              <w:ind w:left="1"/>
              <w:rPr>
                <w:rFonts w:ascii="Arial" w:eastAsia="Calibri" w:hAnsi="Arial" w:cs="Arial"/>
                <w:sz w:val="20"/>
                <w:szCs w:val="20"/>
                <w:lang w:val="pt-PT"/>
              </w:rPr>
            </w:pPr>
            <w:r w:rsidRPr="00292532">
              <w:rPr>
                <w:rFonts w:ascii="Arial" w:eastAsia="Calibri" w:hAnsi="Arial" w:cs="Arial"/>
                <w:sz w:val="20"/>
                <w:szCs w:val="20"/>
                <w:lang w:val="pt-PT"/>
              </w:rPr>
              <w:t>Advocacia, mobilização social, sensibilização comunitária, género e equidade, desenvolvimento institucional, política, mulher</w:t>
            </w:r>
          </w:p>
        </w:tc>
      </w:tr>
      <w:tr w:rsidR="00B31AE2" w:rsidRPr="004E2EAC" w14:paraId="7575FD0C"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3111250F" w14:textId="77777777" w:rsidR="00B31AE2" w:rsidRPr="004500AE" w:rsidRDefault="00B31AE2" w:rsidP="00B31AE2">
            <w:pPr>
              <w:spacing w:line="259" w:lineRule="auto"/>
              <w:rPr>
                <w:rFonts w:ascii="Arial" w:eastAsia="Calibri" w:hAnsi="Arial" w:cs="Arial"/>
                <w:sz w:val="20"/>
                <w:szCs w:val="20"/>
                <w:lang w:val="pt-PT"/>
              </w:rPr>
            </w:pPr>
            <w:r w:rsidRPr="004500AE">
              <w:rPr>
                <w:rFonts w:ascii="Arial" w:eastAsia="Calibri" w:hAnsi="Arial" w:cs="Arial"/>
                <w:sz w:val="20"/>
                <w:szCs w:val="20"/>
                <w:lang w:val="pt-PT"/>
              </w:rPr>
              <w:t>COMUTRA-OTM.CS</w:t>
            </w:r>
          </w:p>
        </w:tc>
        <w:tc>
          <w:tcPr>
            <w:tcW w:w="6095" w:type="dxa"/>
            <w:tcBorders>
              <w:top w:val="single" w:sz="4" w:space="0" w:color="000000"/>
              <w:left w:val="single" w:sz="4" w:space="0" w:color="000000"/>
              <w:bottom w:val="single" w:sz="4" w:space="0" w:color="000000"/>
              <w:right w:val="single" w:sz="4" w:space="0" w:color="000000"/>
            </w:tcBorders>
          </w:tcPr>
          <w:p w14:paraId="79C77F92" w14:textId="77777777" w:rsidR="00B31AE2" w:rsidRPr="00292532" w:rsidRDefault="00B31AE2" w:rsidP="00B31AE2">
            <w:pPr>
              <w:spacing w:line="259" w:lineRule="auto"/>
              <w:ind w:left="1"/>
              <w:rPr>
                <w:rFonts w:ascii="Arial" w:eastAsia="Calibri" w:hAnsi="Arial" w:cs="Arial"/>
                <w:sz w:val="20"/>
                <w:szCs w:val="20"/>
                <w:lang w:val="pt-PT"/>
              </w:rPr>
            </w:pPr>
            <w:r w:rsidRPr="00292532">
              <w:rPr>
                <w:rFonts w:ascii="Arial" w:eastAsia="Calibri" w:hAnsi="Arial" w:cs="Arial"/>
                <w:sz w:val="20"/>
                <w:szCs w:val="20"/>
                <w:lang w:val="pt-PT"/>
              </w:rPr>
              <w:t>Advocacia, mobilização social, sensibilização comunitária, género e equidade</w:t>
            </w:r>
          </w:p>
        </w:tc>
      </w:tr>
      <w:tr w:rsidR="00B31AE2" w:rsidRPr="004E2EAC" w14:paraId="6D90F71B"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4A799CAF" w14:textId="77777777" w:rsidR="00B31AE2" w:rsidRPr="00292532" w:rsidRDefault="00B31AE2" w:rsidP="00B31AE2">
            <w:pPr>
              <w:spacing w:line="259" w:lineRule="auto"/>
              <w:rPr>
                <w:rFonts w:ascii="Arial" w:eastAsia="Calibri" w:hAnsi="Arial" w:cs="Arial"/>
                <w:sz w:val="20"/>
                <w:szCs w:val="20"/>
                <w:lang w:val="pt-PT"/>
              </w:rPr>
            </w:pPr>
            <w:r w:rsidRPr="00292532">
              <w:rPr>
                <w:rFonts w:ascii="Arial" w:eastAsia="Calibri" w:hAnsi="Arial" w:cs="Arial"/>
                <w:sz w:val="20"/>
                <w:szCs w:val="20"/>
                <w:lang w:val="pt-PT"/>
              </w:rPr>
              <w:t>Liga dos Direitos da criança</w:t>
            </w:r>
          </w:p>
        </w:tc>
        <w:tc>
          <w:tcPr>
            <w:tcW w:w="6095" w:type="dxa"/>
            <w:tcBorders>
              <w:top w:val="single" w:sz="4" w:space="0" w:color="000000"/>
              <w:left w:val="single" w:sz="4" w:space="0" w:color="000000"/>
              <w:bottom w:val="single" w:sz="4" w:space="0" w:color="000000"/>
              <w:right w:val="single" w:sz="4" w:space="0" w:color="000000"/>
            </w:tcBorders>
          </w:tcPr>
          <w:p w14:paraId="367CD1FF" w14:textId="77777777" w:rsidR="00B31AE2" w:rsidRPr="00292532" w:rsidRDefault="00B31AE2" w:rsidP="00B31AE2">
            <w:pPr>
              <w:spacing w:line="259" w:lineRule="auto"/>
              <w:ind w:left="1"/>
              <w:rPr>
                <w:rFonts w:ascii="Arial" w:eastAsia="Calibri" w:hAnsi="Arial" w:cs="Arial"/>
                <w:sz w:val="20"/>
                <w:szCs w:val="20"/>
                <w:lang w:val="pt-PT"/>
              </w:rPr>
            </w:pPr>
            <w:r w:rsidRPr="00292532">
              <w:rPr>
                <w:rFonts w:ascii="Arial" w:eastAsia="Calibri" w:hAnsi="Arial" w:cs="Arial"/>
                <w:sz w:val="20"/>
                <w:szCs w:val="20"/>
                <w:lang w:val="pt-PT"/>
              </w:rPr>
              <w:t>Direitos da criança e educação</w:t>
            </w:r>
          </w:p>
        </w:tc>
      </w:tr>
      <w:tr w:rsidR="00B31AE2" w:rsidRPr="00292532" w14:paraId="4B43BDB1"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6D64ADFB" w14:textId="77777777" w:rsidR="00B31AE2" w:rsidRPr="00292532" w:rsidRDefault="00B31AE2" w:rsidP="00B31AE2">
            <w:pPr>
              <w:spacing w:line="259" w:lineRule="auto"/>
              <w:rPr>
                <w:rFonts w:ascii="Arial" w:eastAsia="Calibri" w:hAnsi="Arial" w:cs="Arial"/>
                <w:sz w:val="20"/>
                <w:szCs w:val="20"/>
                <w:lang w:val="pt-PT"/>
              </w:rPr>
            </w:pPr>
            <w:r w:rsidRPr="00292532">
              <w:rPr>
                <w:rFonts w:ascii="Arial" w:eastAsia="Calibri" w:hAnsi="Arial" w:cs="Arial"/>
                <w:sz w:val="20"/>
                <w:szCs w:val="20"/>
                <w:lang w:val="pt-PT"/>
              </w:rPr>
              <w:t>NAMUALI- Associação para o desenvolvimento da criança</w:t>
            </w:r>
          </w:p>
        </w:tc>
        <w:tc>
          <w:tcPr>
            <w:tcW w:w="6095" w:type="dxa"/>
            <w:tcBorders>
              <w:top w:val="single" w:sz="4" w:space="0" w:color="000000"/>
              <w:left w:val="single" w:sz="4" w:space="0" w:color="000000"/>
              <w:bottom w:val="single" w:sz="4" w:space="0" w:color="000000"/>
              <w:right w:val="single" w:sz="4" w:space="0" w:color="000000"/>
            </w:tcBorders>
          </w:tcPr>
          <w:p w14:paraId="4A737B08" w14:textId="77777777" w:rsidR="00B31AE2" w:rsidRPr="004500AE" w:rsidRDefault="00B31AE2" w:rsidP="00B31AE2">
            <w:pPr>
              <w:spacing w:line="259" w:lineRule="auto"/>
              <w:ind w:left="1"/>
              <w:rPr>
                <w:rFonts w:ascii="Arial" w:eastAsia="Calibri" w:hAnsi="Arial" w:cs="Arial"/>
                <w:sz w:val="20"/>
                <w:szCs w:val="20"/>
                <w:lang w:val="pt-PT"/>
              </w:rPr>
            </w:pPr>
            <w:r w:rsidRPr="004500AE">
              <w:rPr>
                <w:rFonts w:ascii="Arial" w:eastAsia="Calibri" w:hAnsi="Arial" w:cs="Arial"/>
                <w:sz w:val="20"/>
                <w:szCs w:val="20"/>
                <w:lang w:val="pt-PT"/>
              </w:rPr>
              <w:t>Educação e mobilização social</w:t>
            </w:r>
          </w:p>
        </w:tc>
      </w:tr>
      <w:tr w:rsidR="00B31AE2" w:rsidRPr="004E2EAC" w14:paraId="415A439B"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00D11CB3" w14:textId="77777777" w:rsidR="00B31AE2" w:rsidRPr="00292532" w:rsidRDefault="00B31AE2" w:rsidP="00B31AE2">
            <w:pPr>
              <w:spacing w:line="259" w:lineRule="auto"/>
              <w:rPr>
                <w:rFonts w:ascii="Arial" w:eastAsia="Calibri" w:hAnsi="Arial" w:cs="Arial"/>
                <w:sz w:val="20"/>
                <w:szCs w:val="20"/>
                <w:lang w:val="pt-PT"/>
              </w:rPr>
            </w:pPr>
            <w:r w:rsidRPr="00292532">
              <w:rPr>
                <w:rFonts w:ascii="Arial" w:eastAsia="Calibri" w:hAnsi="Arial" w:cs="Arial"/>
                <w:sz w:val="20"/>
                <w:szCs w:val="20"/>
                <w:lang w:val="pt-PT"/>
              </w:rPr>
              <w:t>A voz do deserto de Moçambique</w:t>
            </w:r>
          </w:p>
        </w:tc>
        <w:tc>
          <w:tcPr>
            <w:tcW w:w="6095" w:type="dxa"/>
            <w:tcBorders>
              <w:top w:val="single" w:sz="4" w:space="0" w:color="000000"/>
              <w:left w:val="single" w:sz="4" w:space="0" w:color="000000"/>
              <w:bottom w:val="single" w:sz="4" w:space="0" w:color="000000"/>
              <w:right w:val="single" w:sz="4" w:space="0" w:color="000000"/>
            </w:tcBorders>
          </w:tcPr>
          <w:p w14:paraId="7146B9FE" w14:textId="77777777" w:rsidR="00B31AE2" w:rsidRPr="00292532" w:rsidRDefault="00B31AE2" w:rsidP="00B31AE2">
            <w:pPr>
              <w:spacing w:line="259" w:lineRule="auto"/>
              <w:ind w:left="1"/>
              <w:rPr>
                <w:rFonts w:ascii="Arial" w:eastAsia="Calibri" w:hAnsi="Arial" w:cs="Arial"/>
                <w:sz w:val="20"/>
                <w:szCs w:val="20"/>
                <w:lang w:val="pt-PT"/>
              </w:rPr>
            </w:pPr>
            <w:r w:rsidRPr="00292532">
              <w:rPr>
                <w:rFonts w:ascii="Arial" w:eastAsia="Calibri" w:hAnsi="Arial" w:cs="Arial"/>
                <w:sz w:val="20"/>
                <w:szCs w:val="20"/>
                <w:lang w:val="pt-PT"/>
              </w:rPr>
              <w:t>Educação, Saúde, Direitos Humanos, Advocacia, capacitação e sensibilização</w:t>
            </w:r>
          </w:p>
        </w:tc>
      </w:tr>
      <w:tr w:rsidR="00B31AE2" w:rsidRPr="004E2EAC" w14:paraId="22ADC514"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3EE059C4" w14:textId="77777777" w:rsidR="00B31AE2" w:rsidRPr="004500AE" w:rsidRDefault="00B31AE2" w:rsidP="00B31AE2">
            <w:pPr>
              <w:spacing w:line="259" w:lineRule="auto"/>
              <w:rPr>
                <w:rFonts w:ascii="Arial" w:eastAsia="Calibri" w:hAnsi="Arial" w:cs="Arial"/>
                <w:sz w:val="20"/>
                <w:szCs w:val="20"/>
                <w:lang w:val="pt-PT"/>
              </w:rPr>
            </w:pPr>
            <w:r w:rsidRPr="004500AE">
              <w:rPr>
                <w:rFonts w:ascii="Arial" w:eastAsia="Calibri" w:hAnsi="Arial" w:cs="Arial"/>
                <w:sz w:val="20"/>
                <w:szCs w:val="20"/>
                <w:lang w:val="pt-PT"/>
              </w:rPr>
              <w:t>AMUCSE</w:t>
            </w:r>
          </w:p>
        </w:tc>
        <w:tc>
          <w:tcPr>
            <w:tcW w:w="6095" w:type="dxa"/>
            <w:tcBorders>
              <w:top w:val="single" w:sz="4" w:space="0" w:color="000000"/>
              <w:left w:val="single" w:sz="4" w:space="0" w:color="000000"/>
              <w:bottom w:val="single" w:sz="4" w:space="0" w:color="000000"/>
              <w:right w:val="single" w:sz="4" w:space="0" w:color="000000"/>
            </w:tcBorders>
          </w:tcPr>
          <w:p w14:paraId="3FE0807B" w14:textId="77777777" w:rsidR="00B31AE2" w:rsidRPr="00292532" w:rsidRDefault="00B31AE2" w:rsidP="00B31AE2">
            <w:pPr>
              <w:spacing w:line="259" w:lineRule="auto"/>
              <w:ind w:left="1"/>
              <w:rPr>
                <w:rFonts w:ascii="Arial" w:eastAsia="Calibri" w:hAnsi="Arial" w:cs="Arial"/>
                <w:sz w:val="20"/>
                <w:szCs w:val="20"/>
                <w:lang w:val="pt-PT"/>
              </w:rPr>
            </w:pPr>
            <w:proofErr w:type="spellStart"/>
            <w:r w:rsidRPr="00292532">
              <w:rPr>
                <w:rFonts w:ascii="Arial" w:eastAsia="Calibri" w:hAnsi="Arial" w:cs="Arial"/>
                <w:sz w:val="20"/>
                <w:szCs w:val="20"/>
                <w:lang w:val="pt-PT"/>
              </w:rPr>
              <w:t>COVs</w:t>
            </w:r>
            <w:proofErr w:type="spellEnd"/>
            <w:r w:rsidRPr="00292532">
              <w:rPr>
                <w:rFonts w:ascii="Arial" w:eastAsia="Calibri" w:hAnsi="Arial" w:cs="Arial"/>
                <w:sz w:val="20"/>
                <w:szCs w:val="20"/>
                <w:lang w:val="pt-PT"/>
              </w:rPr>
              <w:t xml:space="preserve"> e Mulheres, sensibilização comunitária</w:t>
            </w:r>
          </w:p>
        </w:tc>
      </w:tr>
      <w:tr w:rsidR="00B31AE2" w:rsidRPr="00292532" w14:paraId="3EF66CF7"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7F6E544C" w14:textId="77777777" w:rsidR="00B31AE2" w:rsidRPr="00292532" w:rsidRDefault="00B31AE2" w:rsidP="00B31AE2">
            <w:pPr>
              <w:spacing w:line="259" w:lineRule="auto"/>
              <w:rPr>
                <w:rFonts w:ascii="Arial" w:eastAsia="Calibri" w:hAnsi="Arial" w:cs="Arial"/>
                <w:sz w:val="20"/>
                <w:szCs w:val="20"/>
                <w:lang w:val="pt-PT"/>
              </w:rPr>
            </w:pPr>
            <w:r w:rsidRPr="00292532">
              <w:rPr>
                <w:rFonts w:ascii="Arial" w:eastAsia="Calibri" w:hAnsi="Arial" w:cs="Arial"/>
                <w:sz w:val="20"/>
                <w:szCs w:val="20"/>
                <w:lang w:val="pt-PT"/>
              </w:rPr>
              <w:t>Associação dos jovens amigos de Nama</w:t>
            </w:r>
          </w:p>
        </w:tc>
        <w:tc>
          <w:tcPr>
            <w:tcW w:w="6095" w:type="dxa"/>
            <w:tcBorders>
              <w:top w:val="single" w:sz="4" w:space="0" w:color="000000"/>
              <w:left w:val="single" w:sz="4" w:space="0" w:color="000000"/>
              <w:bottom w:val="single" w:sz="4" w:space="0" w:color="000000"/>
              <w:right w:val="single" w:sz="4" w:space="0" w:color="000000"/>
            </w:tcBorders>
          </w:tcPr>
          <w:p w14:paraId="46A4E51D" w14:textId="77777777" w:rsidR="00B31AE2" w:rsidRPr="004500AE" w:rsidRDefault="00B31AE2" w:rsidP="00B31AE2">
            <w:pPr>
              <w:spacing w:line="259" w:lineRule="auto"/>
              <w:ind w:left="1"/>
              <w:rPr>
                <w:rFonts w:ascii="Arial" w:eastAsia="Calibri" w:hAnsi="Arial" w:cs="Arial"/>
                <w:sz w:val="20"/>
                <w:szCs w:val="20"/>
                <w:lang w:val="pt-PT"/>
              </w:rPr>
            </w:pPr>
            <w:r w:rsidRPr="004500AE">
              <w:rPr>
                <w:rFonts w:ascii="Arial" w:eastAsia="Calibri" w:hAnsi="Arial" w:cs="Arial"/>
                <w:sz w:val="20"/>
                <w:szCs w:val="20"/>
                <w:lang w:val="pt-PT"/>
              </w:rPr>
              <w:t>Saúde e Sensibilização comunitária</w:t>
            </w:r>
          </w:p>
        </w:tc>
      </w:tr>
      <w:tr w:rsidR="00B31AE2" w:rsidRPr="004E2EAC" w14:paraId="1CE8466F"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0EBF1AFF" w14:textId="77777777" w:rsidR="00B31AE2" w:rsidRPr="00292532" w:rsidRDefault="00B31AE2" w:rsidP="00B31AE2">
            <w:pPr>
              <w:spacing w:line="259" w:lineRule="auto"/>
              <w:rPr>
                <w:rFonts w:ascii="Arial" w:eastAsia="Calibri" w:hAnsi="Arial" w:cs="Arial"/>
                <w:sz w:val="20"/>
                <w:szCs w:val="20"/>
                <w:lang w:val="pt-PT"/>
              </w:rPr>
            </w:pPr>
            <w:r w:rsidRPr="00292532">
              <w:rPr>
                <w:rFonts w:ascii="Arial" w:eastAsia="Calibri" w:hAnsi="Arial" w:cs="Arial"/>
                <w:sz w:val="20"/>
                <w:szCs w:val="20"/>
                <w:lang w:val="pt-PT"/>
              </w:rPr>
              <w:t>LDH- Liga dos Direitos Básicos Humanos</w:t>
            </w:r>
          </w:p>
        </w:tc>
        <w:tc>
          <w:tcPr>
            <w:tcW w:w="6095" w:type="dxa"/>
            <w:tcBorders>
              <w:top w:val="single" w:sz="4" w:space="0" w:color="000000"/>
              <w:left w:val="single" w:sz="4" w:space="0" w:color="000000"/>
              <w:bottom w:val="single" w:sz="4" w:space="0" w:color="000000"/>
              <w:right w:val="single" w:sz="4" w:space="0" w:color="000000"/>
            </w:tcBorders>
          </w:tcPr>
          <w:p w14:paraId="547B6541" w14:textId="77777777" w:rsidR="00B31AE2" w:rsidRPr="00292532" w:rsidRDefault="00B31AE2" w:rsidP="00B31AE2">
            <w:pPr>
              <w:spacing w:line="259" w:lineRule="auto"/>
              <w:ind w:left="1"/>
              <w:rPr>
                <w:rFonts w:ascii="Arial" w:eastAsia="Calibri" w:hAnsi="Arial" w:cs="Arial"/>
                <w:sz w:val="20"/>
                <w:szCs w:val="20"/>
                <w:lang w:val="pt-PT"/>
              </w:rPr>
            </w:pPr>
            <w:r w:rsidRPr="00292532">
              <w:rPr>
                <w:rFonts w:ascii="Arial" w:eastAsia="Calibri" w:hAnsi="Arial" w:cs="Arial"/>
                <w:sz w:val="20"/>
                <w:szCs w:val="20"/>
                <w:lang w:val="pt-PT"/>
              </w:rPr>
              <w:t>Direitos Humanos, Cidadania, Violação, Advocacia, mobilização social, sensibilização comunitária, capacitação e prestação de serviços</w:t>
            </w:r>
          </w:p>
        </w:tc>
      </w:tr>
      <w:tr w:rsidR="00B31AE2" w:rsidRPr="00292532" w14:paraId="2DE0D064"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15E2BF4F" w14:textId="77777777" w:rsidR="00B31AE2" w:rsidRPr="004500AE" w:rsidRDefault="00B31AE2" w:rsidP="00B31AE2">
            <w:pPr>
              <w:spacing w:line="259" w:lineRule="auto"/>
              <w:rPr>
                <w:rFonts w:ascii="Arial" w:eastAsia="Calibri" w:hAnsi="Arial" w:cs="Arial"/>
                <w:sz w:val="20"/>
                <w:szCs w:val="20"/>
                <w:lang w:val="pt-PT"/>
              </w:rPr>
            </w:pPr>
            <w:r w:rsidRPr="004500AE">
              <w:rPr>
                <w:rFonts w:ascii="Arial" w:eastAsia="Calibri" w:hAnsi="Arial" w:cs="Arial"/>
                <w:sz w:val="20"/>
                <w:szCs w:val="20"/>
                <w:lang w:val="pt-PT"/>
              </w:rPr>
              <w:t xml:space="preserve">Geração </w:t>
            </w:r>
            <w:proofErr w:type="spellStart"/>
            <w:r w:rsidRPr="004500AE">
              <w:rPr>
                <w:rFonts w:ascii="Arial" w:eastAsia="Calibri" w:hAnsi="Arial" w:cs="Arial"/>
                <w:sz w:val="20"/>
                <w:szCs w:val="20"/>
                <w:lang w:val="pt-PT"/>
              </w:rPr>
              <w:t>Biz</w:t>
            </w:r>
            <w:proofErr w:type="spellEnd"/>
          </w:p>
        </w:tc>
        <w:tc>
          <w:tcPr>
            <w:tcW w:w="6095" w:type="dxa"/>
            <w:tcBorders>
              <w:top w:val="single" w:sz="4" w:space="0" w:color="000000"/>
              <w:left w:val="single" w:sz="4" w:space="0" w:color="000000"/>
              <w:bottom w:val="single" w:sz="4" w:space="0" w:color="000000"/>
              <w:right w:val="single" w:sz="4" w:space="0" w:color="000000"/>
            </w:tcBorders>
          </w:tcPr>
          <w:p w14:paraId="36D1E8E8" w14:textId="77777777" w:rsidR="00B31AE2" w:rsidRPr="004500AE" w:rsidRDefault="00B31AE2" w:rsidP="00B31AE2">
            <w:pPr>
              <w:spacing w:line="259" w:lineRule="auto"/>
              <w:ind w:left="1"/>
              <w:rPr>
                <w:rFonts w:ascii="Arial" w:eastAsia="Calibri" w:hAnsi="Arial" w:cs="Arial"/>
                <w:sz w:val="20"/>
                <w:szCs w:val="20"/>
                <w:lang w:val="pt-PT"/>
              </w:rPr>
            </w:pPr>
            <w:r w:rsidRPr="004500AE">
              <w:rPr>
                <w:rFonts w:ascii="Arial" w:eastAsia="Calibri" w:hAnsi="Arial" w:cs="Arial"/>
                <w:sz w:val="20"/>
                <w:szCs w:val="20"/>
                <w:lang w:val="pt-PT"/>
              </w:rPr>
              <w:t>Saúde</w:t>
            </w:r>
          </w:p>
        </w:tc>
      </w:tr>
      <w:tr w:rsidR="00B31AE2" w:rsidRPr="00292532" w14:paraId="52741767"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24A76A71" w14:textId="77777777" w:rsidR="00B31AE2" w:rsidRPr="004500AE" w:rsidRDefault="00B31AE2" w:rsidP="00B31AE2">
            <w:pPr>
              <w:spacing w:line="259" w:lineRule="auto"/>
              <w:rPr>
                <w:rFonts w:ascii="Arial" w:eastAsia="Calibri" w:hAnsi="Arial" w:cs="Arial"/>
                <w:sz w:val="20"/>
                <w:szCs w:val="20"/>
                <w:lang w:val="pt-PT"/>
              </w:rPr>
            </w:pPr>
            <w:r w:rsidRPr="004500AE">
              <w:rPr>
                <w:rFonts w:ascii="Arial" w:eastAsia="Calibri" w:hAnsi="Arial" w:cs="Arial"/>
                <w:sz w:val="20"/>
                <w:szCs w:val="20"/>
                <w:lang w:val="pt-PT"/>
              </w:rPr>
              <w:t xml:space="preserve">Associação </w:t>
            </w:r>
            <w:proofErr w:type="spellStart"/>
            <w:r w:rsidRPr="004500AE">
              <w:rPr>
                <w:rFonts w:ascii="Arial" w:eastAsia="Calibri" w:hAnsi="Arial" w:cs="Arial"/>
                <w:sz w:val="20"/>
                <w:szCs w:val="20"/>
                <w:lang w:val="pt-PT"/>
              </w:rPr>
              <w:t>Niwandane</w:t>
            </w:r>
            <w:proofErr w:type="spellEnd"/>
          </w:p>
        </w:tc>
        <w:tc>
          <w:tcPr>
            <w:tcW w:w="6095" w:type="dxa"/>
            <w:tcBorders>
              <w:top w:val="single" w:sz="4" w:space="0" w:color="000000"/>
              <w:left w:val="single" w:sz="4" w:space="0" w:color="000000"/>
              <w:bottom w:val="single" w:sz="4" w:space="0" w:color="000000"/>
              <w:right w:val="single" w:sz="4" w:space="0" w:color="000000"/>
            </w:tcBorders>
          </w:tcPr>
          <w:p w14:paraId="45AB29EC" w14:textId="77777777" w:rsidR="00B31AE2" w:rsidRPr="004500AE" w:rsidRDefault="00B31AE2" w:rsidP="00B31AE2">
            <w:pPr>
              <w:spacing w:line="259" w:lineRule="auto"/>
              <w:ind w:left="1"/>
              <w:rPr>
                <w:rFonts w:ascii="Arial" w:eastAsia="Calibri" w:hAnsi="Arial" w:cs="Arial"/>
                <w:sz w:val="20"/>
                <w:szCs w:val="20"/>
                <w:lang w:val="pt-PT"/>
              </w:rPr>
            </w:pPr>
            <w:r w:rsidRPr="004500AE">
              <w:rPr>
                <w:rFonts w:ascii="Arial" w:eastAsia="Calibri" w:hAnsi="Arial" w:cs="Arial"/>
                <w:sz w:val="20"/>
                <w:szCs w:val="20"/>
                <w:lang w:val="pt-PT"/>
              </w:rPr>
              <w:t>Saúde, Sensibilização social</w:t>
            </w:r>
          </w:p>
        </w:tc>
      </w:tr>
      <w:tr w:rsidR="00B31AE2" w:rsidRPr="00292532" w14:paraId="365C047B"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4AB2ADFF" w14:textId="77777777" w:rsidR="00B31AE2" w:rsidRPr="00292532" w:rsidRDefault="00B31AE2" w:rsidP="00B31AE2">
            <w:pPr>
              <w:spacing w:line="259" w:lineRule="auto"/>
              <w:rPr>
                <w:rFonts w:ascii="Arial" w:eastAsia="Calibri" w:hAnsi="Arial" w:cs="Arial"/>
                <w:sz w:val="20"/>
                <w:szCs w:val="20"/>
                <w:lang w:val="pt-PT"/>
              </w:rPr>
            </w:pPr>
            <w:r w:rsidRPr="00292532">
              <w:rPr>
                <w:rFonts w:ascii="Arial" w:eastAsia="Calibri" w:hAnsi="Arial" w:cs="Arial"/>
                <w:sz w:val="20"/>
                <w:szCs w:val="20"/>
                <w:lang w:val="pt-PT"/>
              </w:rPr>
              <w:lastRenderedPageBreak/>
              <w:t xml:space="preserve">Associação para Ajuda ao </w:t>
            </w:r>
            <w:proofErr w:type="spellStart"/>
            <w:r w:rsidRPr="00292532">
              <w:rPr>
                <w:rFonts w:ascii="Arial" w:eastAsia="Calibri" w:hAnsi="Arial" w:cs="Arial"/>
                <w:sz w:val="20"/>
                <w:szCs w:val="20"/>
                <w:lang w:val="pt-PT"/>
              </w:rPr>
              <w:t>Desenv</w:t>
            </w:r>
            <w:proofErr w:type="spellEnd"/>
            <w:r w:rsidRPr="00292532">
              <w:rPr>
                <w:rFonts w:ascii="Arial" w:eastAsia="Calibri" w:hAnsi="Arial" w:cs="Arial"/>
                <w:sz w:val="20"/>
                <w:szCs w:val="20"/>
                <w:lang w:val="pt-PT"/>
              </w:rPr>
              <w:t>. e Ocupação da Mulher (AADOM)</w:t>
            </w:r>
          </w:p>
        </w:tc>
        <w:tc>
          <w:tcPr>
            <w:tcW w:w="6095" w:type="dxa"/>
            <w:tcBorders>
              <w:top w:val="single" w:sz="4" w:space="0" w:color="000000"/>
              <w:left w:val="single" w:sz="4" w:space="0" w:color="000000"/>
              <w:bottom w:val="single" w:sz="4" w:space="0" w:color="000000"/>
              <w:right w:val="single" w:sz="4" w:space="0" w:color="000000"/>
            </w:tcBorders>
          </w:tcPr>
          <w:p w14:paraId="43C9F8D6" w14:textId="77777777" w:rsidR="00B31AE2" w:rsidRPr="004500AE" w:rsidRDefault="00B31AE2" w:rsidP="00B31AE2">
            <w:pPr>
              <w:spacing w:line="259" w:lineRule="auto"/>
              <w:ind w:left="1"/>
              <w:rPr>
                <w:rFonts w:ascii="Arial" w:eastAsia="Calibri" w:hAnsi="Arial" w:cs="Arial"/>
                <w:sz w:val="20"/>
                <w:szCs w:val="20"/>
                <w:lang w:val="pt-PT"/>
              </w:rPr>
            </w:pPr>
            <w:r w:rsidRPr="004500AE">
              <w:rPr>
                <w:rFonts w:ascii="Arial" w:eastAsia="Calibri" w:hAnsi="Arial" w:cs="Arial"/>
                <w:sz w:val="20"/>
                <w:szCs w:val="20"/>
                <w:lang w:val="pt-PT"/>
              </w:rPr>
              <w:t>Agricultura, Saúde</w:t>
            </w:r>
          </w:p>
        </w:tc>
      </w:tr>
      <w:tr w:rsidR="00B31AE2" w:rsidRPr="00292532" w14:paraId="602877F2"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0324BB41" w14:textId="77777777" w:rsidR="00B31AE2" w:rsidRPr="00292532" w:rsidRDefault="00B31AE2" w:rsidP="00B31AE2">
            <w:pPr>
              <w:spacing w:line="259" w:lineRule="auto"/>
              <w:rPr>
                <w:rFonts w:ascii="Arial" w:eastAsia="Calibri" w:hAnsi="Arial" w:cs="Arial"/>
                <w:sz w:val="20"/>
                <w:szCs w:val="20"/>
                <w:lang w:val="pt-PT"/>
              </w:rPr>
            </w:pPr>
            <w:r w:rsidRPr="00292532">
              <w:rPr>
                <w:rFonts w:ascii="Arial" w:eastAsia="Calibri" w:hAnsi="Arial" w:cs="Arial"/>
                <w:sz w:val="20"/>
                <w:szCs w:val="20"/>
                <w:lang w:val="pt-PT"/>
              </w:rPr>
              <w:t>Movimento Cívico da Zambézia (MOCIZA)</w:t>
            </w:r>
          </w:p>
        </w:tc>
        <w:tc>
          <w:tcPr>
            <w:tcW w:w="6095" w:type="dxa"/>
            <w:tcBorders>
              <w:top w:val="single" w:sz="4" w:space="0" w:color="000000"/>
              <w:left w:val="single" w:sz="4" w:space="0" w:color="000000"/>
              <w:bottom w:val="single" w:sz="4" w:space="0" w:color="000000"/>
              <w:right w:val="single" w:sz="4" w:space="0" w:color="000000"/>
            </w:tcBorders>
          </w:tcPr>
          <w:p w14:paraId="3330548D" w14:textId="77777777" w:rsidR="00B31AE2" w:rsidRPr="004500AE" w:rsidRDefault="00B31AE2" w:rsidP="00B31AE2">
            <w:pPr>
              <w:spacing w:line="259" w:lineRule="auto"/>
              <w:ind w:left="1"/>
              <w:rPr>
                <w:rFonts w:ascii="Arial" w:eastAsia="Calibri" w:hAnsi="Arial" w:cs="Arial"/>
                <w:sz w:val="20"/>
                <w:szCs w:val="20"/>
                <w:lang w:val="pt-PT"/>
              </w:rPr>
            </w:pPr>
            <w:r w:rsidRPr="004500AE">
              <w:rPr>
                <w:rFonts w:ascii="Arial" w:eastAsia="Calibri" w:hAnsi="Arial" w:cs="Arial"/>
                <w:sz w:val="20"/>
                <w:szCs w:val="20"/>
                <w:lang w:val="pt-PT"/>
              </w:rPr>
              <w:t>Direitos Humanos, Saúde</w:t>
            </w:r>
          </w:p>
        </w:tc>
      </w:tr>
      <w:tr w:rsidR="00B31AE2" w:rsidRPr="004E2EAC" w14:paraId="598B7015"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0B8E5DC7" w14:textId="77777777" w:rsidR="00B31AE2" w:rsidRPr="00292532" w:rsidRDefault="00B31AE2" w:rsidP="00B31AE2">
            <w:pPr>
              <w:spacing w:line="259" w:lineRule="auto"/>
              <w:rPr>
                <w:rFonts w:ascii="Arial" w:eastAsia="Calibri" w:hAnsi="Arial" w:cs="Arial"/>
                <w:sz w:val="20"/>
                <w:szCs w:val="20"/>
                <w:lang w:val="pt-PT"/>
              </w:rPr>
            </w:pPr>
            <w:proofErr w:type="spellStart"/>
            <w:r w:rsidRPr="00292532">
              <w:rPr>
                <w:rFonts w:ascii="Arial" w:eastAsia="Calibri" w:hAnsi="Arial" w:cs="Arial"/>
                <w:sz w:val="20"/>
                <w:szCs w:val="20"/>
                <w:lang w:val="pt-PT"/>
              </w:rPr>
              <w:t>Ass</w:t>
            </w:r>
            <w:proofErr w:type="spellEnd"/>
            <w:r w:rsidRPr="00292532">
              <w:rPr>
                <w:rFonts w:ascii="Arial" w:eastAsia="Calibri" w:hAnsi="Arial" w:cs="Arial"/>
                <w:sz w:val="20"/>
                <w:szCs w:val="20"/>
                <w:lang w:val="pt-PT"/>
              </w:rPr>
              <w:t>. Para Apoio aos Jovens Casados (AAJOCA)</w:t>
            </w:r>
          </w:p>
        </w:tc>
        <w:tc>
          <w:tcPr>
            <w:tcW w:w="6095" w:type="dxa"/>
            <w:tcBorders>
              <w:top w:val="single" w:sz="4" w:space="0" w:color="000000"/>
              <w:left w:val="single" w:sz="4" w:space="0" w:color="000000"/>
              <w:bottom w:val="single" w:sz="4" w:space="0" w:color="000000"/>
              <w:right w:val="single" w:sz="4" w:space="0" w:color="000000"/>
            </w:tcBorders>
          </w:tcPr>
          <w:p w14:paraId="6FB04D1E" w14:textId="77777777" w:rsidR="00B31AE2" w:rsidRPr="00292532" w:rsidRDefault="00B31AE2" w:rsidP="00B31AE2">
            <w:pPr>
              <w:spacing w:line="259" w:lineRule="auto"/>
              <w:ind w:left="1"/>
              <w:rPr>
                <w:rFonts w:ascii="Arial" w:eastAsia="Calibri" w:hAnsi="Arial" w:cs="Arial"/>
                <w:sz w:val="20"/>
                <w:szCs w:val="20"/>
                <w:lang w:val="pt-PT"/>
              </w:rPr>
            </w:pPr>
            <w:r w:rsidRPr="00292532">
              <w:rPr>
                <w:rFonts w:ascii="Arial" w:eastAsia="Calibri" w:hAnsi="Arial" w:cs="Arial"/>
                <w:sz w:val="20"/>
                <w:szCs w:val="20"/>
                <w:lang w:val="pt-PT"/>
              </w:rPr>
              <w:t>Educação, Construção latrinas e poços, Género</w:t>
            </w:r>
          </w:p>
        </w:tc>
      </w:tr>
      <w:tr w:rsidR="00B31AE2" w:rsidRPr="00292532" w14:paraId="60435E69"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5557BCF4" w14:textId="77777777" w:rsidR="00B31AE2" w:rsidRPr="00292532" w:rsidRDefault="00B31AE2" w:rsidP="00B31AE2">
            <w:pPr>
              <w:spacing w:line="259" w:lineRule="auto"/>
              <w:rPr>
                <w:rFonts w:ascii="Arial" w:eastAsia="Calibri" w:hAnsi="Arial" w:cs="Arial"/>
                <w:sz w:val="20"/>
                <w:szCs w:val="20"/>
                <w:lang w:val="pt-PT"/>
              </w:rPr>
            </w:pPr>
            <w:proofErr w:type="spellStart"/>
            <w:r w:rsidRPr="00292532">
              <w:rPr>
                <w:rFonts w:ascii="Arial" w:eastAsia="Calibri" w:hAnsi="Arial" w:cs="Arial"/>
                <w:sz w:val="20"/>
                <w:szCs w:val="20"/>
                <w:lang w:val="pt-PT"/>
              </w:rPr>
              <w:t>Ass</w:t>
            </w:r>
            <w:proofErr w:type="spellEnd"/>
            <w:r w:rsidRPr="00292532">
              <w:rPr>
                <w:rFonts w:ascii="Arial" w:eastAsia="Calibri" w:hAnsi="Arial" w:cs="Arial"/>
                <w:sz w:val="20"/>
                <w:szCs w:val="20"/>
                <w:lang w:val="pt-PT"/>
              </w:rPr>
              <w:t>. Moçambicana das Mulheres e Educação (AMME)</w:t>
            </w:r>
          </w:p>
        </w:tc>
        <w:tc>
          <w:tcPr>
            <w:tcW w:w="6095" w:type="dxa"/>
            <w:tcBorders>
              <w:top w:val="single" w:sz="4" w:space="0" w:color="000000"/>
              <w:left w:val="single" w:sz="4" w:space="0" w:color="000000"/>
              <w:bottom w:val="single" w:sz="4" w:space="0" w:color="000000"/>
              <w:right w:val="single" w:sz="4" w:space="0" w:color="000000"/>
            </w:tcBorders>
          </w:tcPr>
          <w:p w14:paraId="21F8C8FD" w14:textId="77777777" w:rsidR="00B31AE2" w:rsidRPr="004500AE" w:rsidRDefault="00B31AE2" w:rsidP="00B31AE2">
            <w:pPr>
              <w:spacing w:line="259" w:lineRule="auto"/>
              <w:ind w:left="1"/>
              <w:rPr>
                <w:rFonts w:ascii="Arial" w:eastAsia="Calibri" w:hAnsi="Arial" w:cs="Arial"/>
                <w:sz w:val="20"/>
                <w:szCs w:val="20"/>
                <w:lang w:val="pt-PT"/>
              </w:rPr>
            </w:pPr>
            <w:r w:rsidRPr="004500AE">
              <w:rPr>
                <w:rFonts w:ascii="Arial" w:eastAsia="Calibri" w:hAnsi="Arial" w:cs="Arial"/>
                <w:sz w:val="20"/>
                <w:szCs w:val="20"/>
                <w:lang w:val="pt-PT"/>
              </w:rPr>
              <w:t>Educação da rapariga, Saúde</w:t>
            </w:r>
          </w:p>
        </w:tc>
      </w:tr>
      <w:tr w:rsidR="00B31AE2" w:rsidRPr="00292532" w14:paraId="67DC9241"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1389CD72" w14:textId="77777777" w:rsidR="00B31AE2" w:rsidRPr="004500AE" w:rsidRDefault="00B31AE2" w:rsidP="00B31AE2">
            <w:pPr>
              <w:spacing w:line="259" w:lineRule="auto"/>
              <w:rPr>
                <w:rFonts w:ascii="Arial" w:eastAsia="Calibri" w:hAnsi="Arial" w:cs="Arial"/>
                <w:sz w:val="20"/>
                <w:szCs w:val="20"/>
                <w:lang w:val="pt-PT"/>
              </w:rPr>
            </w:pPr>
            <w:r w:rsidRPr="004500AE">
              <w:rPr>
                <w:rFonts w:ascii="Arial" w:eastAsia="Calibri" w:hAnsi="Arial" w:cs="Arial"/>
                <w:sz w:val="20"/>
                <w:szCs w:val="20"/>
                <w:lang w:val="pt-PT"/>
              </w:rPr>
              <w:t>ARO MOÇAMBIQUE</w:t>
            </w:r>
          </w:p>
        </w:tc>
        <w:tc>
          <w:tcPr>
            <w:tcW w:w="6095" w:type="dxa"/>
            <w:tcBorders>
              <w:top w:val="single" w:sz="4" w:space="0" w:color="000000"/>
              <w:left w:val="single" w:sz="4" w:space="0" w:color="000000"/>
              <w:bottom w:val="single" w:sz="4" w:space="0" w:color="000000"/>
              <w:right w:val="single" w:sz="4" w:space="0" w:color="000000"/>
            </w:tcBorders>
          </w:tcPr>
          <w:p w14:paraId="289B4616" w14:textId="77777777" w:rsidR="00B31AE2" w:rsidRPr="004500AE" w:rsidRDefault="00B31AE2" w:rsidP="00B31AE2">
            <w:pPr>
              <w:spacing w:line="259" w:lineRule="auto"/>
              <w:ind w:left="1"/>
              <w:rPr>
                <w:rFonts w:ascii="Arial" w:eastAsia="Calibri" w:hAnsi="Arial" w:cs="Arial"/>
                <w:sz w:val="20"/>
                <w:szCs w:val="20"/>
                <w:lang w:val="pt-PT"/>
              </w:rPr>
            </w:pPr>
            <w:r w:rsidRPr="004500AE">
              <w:rPr>
                <w:rFonts w:ascii="Arial" w:eastAsia="Calibri" w:hAnsi="Arial" w:cs="Arial"/>
                <w:sz w:val="20"/>
                <w:szCs w:val="20"/>
                <w:lang w:val="pt-PT"/>
              </w:rPr>
              <w:t>Educação, Saúde</w:t>
            </w:r>
          </w:p>
        </w:tc>
      </w:tr>
      <w:tr w:rsidR="00B31AE2" w:rsidRPr="00292532" w14:paraId="4046F281"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13E3C6C5" w14:textId="77777777" w:rsidR="00B31AE2" w:rsidRPr="004500AE" w:rsidRDefault="00B31AE2" w:rsidP="00B31AE2">
            <w:pPr>
              <w:spacing w:line="259" w:lineRule="auto"/>
              <w:rPr>
                <w:rFonts w:ascii="Arial" w:eastAsia="Calibri" w:hAnsi="Arial" w:cs="Arial"/>
                <w:sz w:val="20"/>
                <w:szCs w:val="20"/>
                <w:lang w:val="pt-PT"/>
              </w:rPr>
            </w:pPr>
            <w:r w:rsidRPr="004500AE">
              <w:rPr>
                <w:rFonts w:ascii="Arial" w:eastAsia="Calibri" w:hAnsi="Arial" w:cs="Arial"/>
                <w:sz w:val="20"/>
                <w:szCs w:val="20"/>
                <w:lang w:val="pt-PT"/>
              </w:rPr>
              <w:t>Tomás Fernando (TIRE PABODZE)</w:t>
            </w:r>
          </w:p>
        </w:tc>
        <w:tc>
          <w:tcPr>
            <w:tcW w:w="6095" w:type="dxa"/>
            <w:tcBorders>
              <w:top w:val="single" w:sz="4" w:space="0" w:color="000000"/>
              <w:left w:val="single" w:sz="4" w:space="0" w:color="000000"/>
              <w:bottom w:val="single" w:sz="4" w:space="0" w:color="000000"/>
              <w:right w:val="single" w:sz="4" w:space="0" w:color="000000"/>
            </w:tcBorders>
          </w:tcPr>
          <w:p w14:paraId="244D3069" w14:textId="77777777" w:rsidR="00B31AE2" w:rsidRPr="004500AE" w:rsidRDefault="00B31AE2" w:rsidP="00B31AE2">
            <w:pPr>
              <w:spacing w:line="259" w:lineRule="auto"/>
              <w:ind w:left="1"/>
              <w:rPr>
                <w:rFonts w:ascii="Arial" w:eastAsia="Calibri" w:hAnsi="Arial" w:cs="Arial"/>
                <w:sz w:val="20"/>
                <w:szCs w:val="20"/>
                <w:lang w:val="pt-PT"/>
              </w:rPr>
            </w:pPr>
            <w:r w:rsidRPr="004500AE">
              <w:rPr>
                <w:rFonts w:ascii="Arial" w:eastAsia="Calibri" w:hAnsi="Arial" w:cs="Arial"/>
                <w:sz w:val="20"/>
                <w:szCs w:val="20"/>
                <w:lang w:val="pt-PT"/>
              </w:rPr>
              <w:t>Saúde e Educação</w:t>
            </w:r>
          </w:p>
        </w:tc>
      </w:tr>
      <w:tr w:rsidR="00B31AE2" w:rsidRPr="00292532" w14:paraId="796FC4E0"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7CD207D7" w14:textId="77777777" w:rsidR="00B31AE2" w:rsidRPr="00292532" w:rsidRDefault="00B31AE2" w:rsidP="00B31AE2">
            <w:pPr>
              <w:spacing w:line="259" w:lineRule="auto"/>
              <w:rPr>
                <w:rFonts w:ascii="Arial" w:eastAsia="Calibri" w:hAnsi="Arial" w:cs="Arial"/>
                <w:sz w:val="20"/>
                <w:szCs w:val="20"/>
                <w:lang w:val="pt-PT"/>
              </w:rPr>
            </w:pPr>
            <w:r w:rsidRPr="00292532">
              <w:rPr>
                <w:rFonts w:ascii="Arial" w:eastAsia="Calibri" w:hAnsi="Arial" w:cs="Arial"/>
                <w:sz w:val="20"/>
                <w:szCs w:val="20"/>
                <w:lang w:val="pt-PT"/>
              </w:rPr>
              <w:t>Associação de Ajuda Humanitária a População Vulnerável (AAHPOV)</w:t>
            </w:r>
          </w:p>
        </w:tc>
        <w:tc>
          <w:tcPr>
            <w:tcW w:w="6095" w:type="dxa"/>
            <w:tcBorders>
              <w:top w:val="single" w:sz="4" w:space="0" w:color="000000"/>
              <w:left w:val="single" w:sz="4" w:space="0" w:color="000000"/>
              <w:bottom w:val="single" w:sz="4" w:space="0" w:color="000000"/>
              <w:right w:val="single" w:sz="4" w:space="0" w:color="000000"/>
            </w:tcBorders>
          </w:tcPr>
          <w:p w14:paraId="2083C02A" w14:textId="77777777" w:rsidR="00B31AE2" w:rsidRPr="004500AE" w:rsidRDefault="00B31AE2" w:rsidP="00B31AE2">
            <w:pPr>
              <w:spacing w:line="259" w:lineRule="auto"/>
              <w:ind w:left="1"/>
              <w:rPr>
                <w:rFonts w:ascii="Arial" w:eastAsia="Calibri" w:hAnsi="Arial" w:cs="Arial"/>
                <w:sz w:val="20"/>
                <w:szCs w:val="20"/>
                <w:lang w:val="pt-PT"/>
              </w:rPr>
            </w:pPr>
            <w:r w:rsidRPr="004500AE">
              <w:rPr>
                <w:rFonts w:ascii="Arial" w:eastAsia="Calibri" w:hAnsi="Arial" w:cs="Arial"/>
                <w:sz w:val="20"/>
                <w:szCs w:val="20"/>
                <w:lang w:val="pt-PT"/>
              </w:rPr>
              <w:t>Saúde</w:t>
            </w:r>
          </w:p>
        </w:tc>
      </w:tr>
      <w:tr w:rsidR="00B31AE2" w:rsidRPr="00292532" w14:paraId="15C485E7"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4FE0B95D" w14:textId="77777777" w:rsidR="00B31AE2" w:rsidRPr="00292532" w:rsidRDefault="00B31AE2" w:rsidP="00B31AE2">
            <w:pPr>
              <w:spacing w:line="259" w:lineRule="auto"/>
              <w:rPr>
                <w:rFonts w:ascii="Arial" w:eastAsia="Calibri" w:hAnsi="Arial" w:cs="Arial"/>
                <w:sz w:val="20"/>
                <w:szCs w:val="20"/>
                <w:lang w:val="pt-PT"/>
              </w:rPr>
            </w:pPr>
            <w:r w:rsidRPr="00292532">
              <w:rPr>
                <w:rFonts w:ascii="Arial" w:eastAsia="Calibri" w:hAnsi="Arial" w:cs="Arial"/>
                <w:sz w:val="20"/>
                <w:szCs w:val="20"/>
                <w:lang w:val="pt-PT"/>
              </w:rPr>
              <w:t>Associação de Género Adolescentes da Zambézia (AGAZA)</w:t>
            </w:r>
          </w:p>
        </w:tc>
        <w:tc>
          <w:tcPr>
            <w:tcW w:w="6095" w:type="dxa"/>
            <w:tcBorders>
              <w:top w:val="single" w:sz="4" w:space="0" w:color="000000"/>
              <w:left w:val="single" w:sz="4" w:space="0" w:color="000000"/>
              <w:bottom w:val="single" w:sz="4" w:space="0" w:color="000000"/>
              <w:right w:val="single" w:sz="4" w:space="0" w:color="000000"/>
            </w:tcBorders>
          </w:tcPr>
          <w:p w14:paraId="7B340584" w14:textId="77777777" w:rsidR="00B31AE2" w:rsidRPr="004500AE" w:rsidRDefault="00B31AE2" w:rsidP="00B31AE2">
            <w:pPr>
              <w:spacing w:line="259" w:lineRule="auto"/>
              <w:ind w:left="1"/>
              <w:rPr>
                <w:rFonts w:ascii="Arial" w:eastAsia="Calibri" w:hAnsi="Arial" w:cs="Arial"/>
                <w:sz w:val="20"/>
                <w:szCs w:val="20"/>
                <w:lang w:val="pt-PT"/>
              </w:rPr>
            </w:pPr>
            <w:r w:rsidRPr="004500AE">
              <w:rPr>
                <w:rFonts w:ascii="Arial" w:eastAsia="Calibri" w:hAnsi="Arial" w:cs="Arial"/>
                <w:sz w:val="20"/>
                <w:szCs w:val="20"/>
                <w:lang w:val="pt-PT"/>
              </w:rPr>
              <w:t>Saúde e Género</w:t>
            </w:r>
          </w:p>
        </w:tc>
      </w:tr>
      <w:tr w:rsidR="00B31AE2" w:rsidRPr="004E2EAC" w14:paraId="0393C90E"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2F51A697" w14:textId="77777777" w:rsidR="00B31AE2" w:rsidRPr="00292532" w:rsidRDefault="00B31AE2" w:rsidP="00B31AE2">
            <w:pPr>
              <w:spacing w:line="259" w:lineRule="auto"/>
              <w:rPr>
                <w:rFonts w:ascii="Arial" w:eastAsia="Calibri" w:hAnsi="Arial" w:cs="Arial"/>
                <w:sz w:val="20"/>
                <w:szCs w:val="20"/>
                <w:lang w:val="pt-PT"/>
              </w:rPr>
            </w:pPr>
            <w:proofErr w:type="spellStart"/>
            <w:r w:rsidRPr="00292532">
              <w:rPr>
                <w:rFonts w:ascii="Arial" w:eastAsia="Calibri" w:hAnsi="Arial" w:cs="Arial"/>
                <w:sz w:val="20"/>
                <w:szCs w:val="20"/>
                <w:lang w:val="pt-PT"/>
              </w:rPr>
              <w:t>Ass</w:t>
            </w:r>
            <w:proofErr w:type="spellEnd"/>
            <w:r w:rsidRPr="00292532">
              <w:rPr>
                <w:rFonts w:ascii="Arial" w:eastAsia="Calibri" w:hAnsi="Arial" w:cs="Arial"/>
                <w:sz w:val="20"/>
                <w:szCs w:val="20"/>
                <w:lang w:val="pt-PT"/>
              </w:rPr>
              <w:t>. Moçambicana das Mulheres de Carreira Jurídica (AMMCJ)</w:t>
            </w:r>
          </w:p>
        </w:tc>
        <w:tc>
          <w:tcPr>
            <w:tcW w:w="6095" w:type="dxa"/>
            <w:tcBorders>
              <w:top w:val="single" w:sz="4" w:space="0" w:color="000000"/>
              <w:left w:val="single" w:sz="4" w:space="0" w:color="000000"/>
              <w:bottom w:val="single" w:sz="4" w:space="0" w:color="000000"/>
              <w:right w:val="single" w:sz="4" w:space="0" w:color="000000"/>
            </w:tcBorders>
          </w:tcPr>
          <w:p w14:paraId="6A70C71E" w14:textId="77777777" w:rsidR="00B31AE2" w:rsidRPr="00292532" w:rsidRDefault="00B31AE2" w:rsidP="00B31AE2">
            <w:pPr>
              <w:spacing w:line="259" w:lineRule="auto"/>
              <w:ind w:left="1"/>
              <w:rPr>
                <w:rFonts w:ascii="Arial" w:eastAsia="Calibri" w:hAnsi="Arial" w:cs="Arial"/>
                <w:sz w:val="20"/>
                <w:szCs w:val="20"/>
                <w:lang w:val="pt-PT"/>
              </w:rPr>
            </w:pPr>
            <w:r w:rsidRPr="00292532">
              <w:rPr>
                <w:rFonts w:ascii="Arial" w:eastAsia="Calibri" w:hAnsi="Arial" w:cs="Arial"/>
                <w:sz w:val="20"/>
                <w:szCs w:val="20"/>
                <w:lang w:val="pt-PT"/>
              </w:rPr>
              <w:t>Género, Saúde e Direitos Humanos</w:t>
            </w:r>
          </w:p>
        </w:tc>
      </w:tr>
      <w:tr w:rsidR="00B31AE2" w:rsidRPr="00292532" w14:paraId="7B361B44"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5794DAED" w14:textId="77777777" w:rsidR="00B31AE2" w:rsidRPr="00292532" w:rsidRDefault="00B31AE2" w:rsidP="00B31AE2">
            <w:pPr>
              <w:spacing w:line="259" w:lineRule="auto"/>
              <w:rPr>
                <w:rFonts w:ascii="Arial" w:eastAsia="Calibri" w:hAnsi="Arial" w:cs="Arial"/>
                <w:sz w:val="20"/>
                <w:szCs w:val="20"/>
                <w:lang w:val="pt-PT"/>
              </w:rPr>
            </w:pPr>
            <w:proofErr w:type="spellStart"/>
            <w:r w:rsidRPr="00292532">
              <w:rPr>
                <w:rFonts w:ascii="Arial" w:eastAsia="Calibri" w:hAnsi="Arial" w:cs="Arial"/>
                <w:sz w:val="20"/>
                <w:szCs w:val="20"/>
                <w:lang w:val="pt-PT"/>
              </w:rPr>
              <w:t>Ass</w:t>
            </w:r>
            <w:proofErr w:type="spellEnd"/>
            <w:r w:rsidRPr="00292532">
              <w:rPr>
                <w:rFonts w:ascii="Arial" w:eastAsia="Calibri" w:hAnsi="Arial" w:cs="Arial"/>
                <w:sz w:val="20"/>
                <w:szCs w:val="20"/>
                <w:lang w:val="pt-PT"/>
              </w:rPr>
              <w:t>. Para o Desenvolvimento Comunitário da Zambézia (ADECOZA)</w:t>
            </w:r>
          </w:p>
        </w:tc>
        <w:tc>
          <w:tcPr>
            <w:tcW w:w="6095" w:type="dxa"/>
            <w:tcBorders>
              <w:top w:val="single" w:sz="4" w:space="0" w:color="000000"/>
              <w:left w:val="single" w:sz="4" w:space="0" w:color="000000"/>
              <w:bottom w:val="single" w:sz="4" w:space="0" w:color="000000"/>
              <w:right w:val="single" w:sz="4" w:space="0" w:color="000000"/>
            </w:tcBorders>
          </w:tcPr>
          <w:p w14:paraId="049FA2D3" w14:textId="77777777" w:rsidR="00B31AE2" w:rsidRPr="004500AE" w:rsidRDefault="00B31AE2" w:rsidP="00B31AE2">
            <w:pPr>
              <w:spacing w:line="259" w:lineRule="auto"/>
              <w:ind w:left="1"/>
              <w:rPr>
                <w:rFonts w:ascii="Arial" w:eastAsia="Calibri" w:hAnsi="Arial" w:cs="Arial"/>
                <w:sz w:val="20"/>
                <w:szCs w:val="20"/>
                <w:lang w:val="pt-PT"/>
              </w:rPr>
            </w:pPr>
            <w:r w:rsidRPr="004500AE">
              <w:rPr>
                <w:rFonts w:ascii="Arial" w:eastAsia="Calibri" w:hAnsi="Arial" w:cs="Arial"/>
                <w:sz w:val="20"/>
                <w:szCs w:val="20"/>
                <w:lang w:val="pt-PT"/>
              </w:rPr>
              <w:t>Desenvolvimento Comunitário e Saúde</w:t>
            </w:r>
          </w:p>
        </w:tc>
      </w:tr>
      <w:tr w:rsidR="00B31AE2" w:rsidRPr="004E2EAC" w14:paraId="15D9427F"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65C0FCC2" w14:textId="77777777" w:rsidR="00B31AE2" w:rsidRPr="00292532" w:rsidRDefault="00B31AE2" w:rsidP="00B31AE2">
            <w:pPr>
              <w:spacing w:line="259" w:lineRule="auto"/>
              <w:rPr>
                <w:rFonts w:ascii="Arial" w:eastAsia="Calibri" w:hAnsi="Arial" w:cs="Arial"/>
                <w:sz w:val="20"/>
                <w:szCs w:val="20"/>
                <w:lang w:val="pt-PT"/>
              </w:rPr>
            </w:pPr>
            <w:r w:rsidRPr="00292532">
              <w:rPr>
                <w:rFonts w:ascii="Arial" w:eastAsia="Calibri" w:hAnsi="Arial" w:cs="Arial"/>
                <w:sz w:val="20"/>
                <w:szCs w:val="20"/>
                <w:lang w:val="pt-PT"/>
              </w:rPr>
              <w:t>Cada Criança um Sonho um Sorriso (CCSS)</w:t>
            </w:r>
          </w:p>
        </w:tc>
        <w:tc>
          <w:tcPr>
            <w:tcW w:w="6095" w:type="dxa"/>
            <w:tcBorders>
              <w:top w:val="single" w:sz="4" w:space="0" w:color="000000"/>
              <w:left w:val="single" w:sz="4" w:space="0" w:color="000000"/>
              <w:bottom w:val="single" w:sz="4" w:space="0" w:color="000000"/>
              <w:right w:val="single" w:sz="4" w:space="0" w:color="000000"/>
            </w:tcBorders>
          </w:tcPr>
          <w:p w14:paraId="37AD7E76" w14:textId="77777777" w:rsidR="00B31AE2" w:rsidRPr="00292532" w:rsidRDefault="00B31AE2" w:rsidP="00B31AE2">
            <w:pPr>
              <w:spacing w:line="259" w:lineRule="auto"/>
              <w:ind w:left="1"/>
              <w:rPr>
                <w:rFonts w:ascii="Arial" w:eastAsia="Calibri" w:hAnsi="Arial" w:cs="Arial"/>
                <w:sz w:val="20"/>
                <w:szCs w:val="20"/>
                <w:lang w:val="pt-PT"/>
              </w:rPr>
            </w:pPr>
            <w:r w:rsidRPr="00292532">
              <w:rPr>
                <w:rFonts w:ascii="Arial" w:eastAsia="Calibri" w:hAnsi="Arial" w:cs="Arial"/>
                <w:sz w:val="20"/>
                <w:szCs w:val="20"/>
                <w:lang w:val="pt-PT"/>
              </w:rPr>
              <w:t>Direitos da criança e Saúde</w:t>
            </w:r>
          </w:p>
        </w:tc>
      </w:tr>
      <w:tr w:rsidR="00B31AE2" w:rsidRPr="00292532" w14:paraId="4A811C16"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4AD8BC81" w14:textId="77777777" w:rsidR="00B31AE2" w:rsidRPr="00292532" w:rsidRDefault="00B31AE2" w:rsidP="00B31AE2">
            <w:pPr>
              <w:spacing w:line="259" w:lineRule="auto"/>
              <w:rPr>
                <w:rFonts w:ascii="Arial" w:eastAsia="Calibri" w:hAnsi="Arial" w:cs="Arial"/>
                <w:sz w:val="20"/>
                <w:szCs w:val="20"/>
                <w:lang w:val="pt-PT"/>
              </w:rPr>
            </w:pPr>
            <w:r w:rsidRPr="00292532">
              <w:rPr>
                <w:rFonts w:ascii="Arial" w:eastAsia="Calibri" w:hAnsi="Arial" w:cs="Arial"/>
                <w:sz w:val="20"/>
                <w:szCs w:val="20"/>
                <w:lang w:val="pt-PT"/>
              </w:rPr>
              <w:t>Associação de apoio a criança órfã e vulnerável (OVILELA)</w:t>
            </w:r>
          </w:p>
        </w:tc>
        <w:tc>
          <w:tcPr>
            <w:tcW w:w="6095" w:type="dxa"/>
            <w:tcBorders>
              <w:top w:val="single" w:sz="4" w:space="0" w:color="000000"/>
              <w:left w:val="single" w:sz="4" w:space="0" w:color="000000"/>
              <w:bottom w:val="single" w:sz="4" w:space="0" w:color="000000"/>
              <w:right w:val="single" w:sz="4" w:space="0" w:color="000000"/>
            </w:tcBorders>
          </w:tcPr>
          <w:p w14:paraId="77C48DCE" w14:textId="77777777" w:rsidR="00B31AE2" w:rsidRPr="004500AE" w:rsidRDefault="00B31AE2" w:rsidP="00B31AE2">
            <w:pPr>
              <w:spacing w:line="259" w:lineRule="auto"/>
              <w:ind w:left="1"/>
              <w:rPr>
                <w:rFonts w:ascii="Arial" w:eastAsia="Calibri" w:hAnsi="Arial" w:cs="Arial"/>
                <w:sz w:val="20"/>
                <w:szCs w:val="20"/>
                <w:lang w:val="pt-PT"/>
              </w:rPr>
            </w:pPr>
            <w:r w:rsidRPr="004500AE">
              <w:rPr>
                <w:rFonts w:ascii="Arial" w:eastAsia="Calibri" w:hAnsi="Arial" w:cs="Arial"/>
                <w:sz w:val="20"/>
                <w:szCs w:val="20"/>
                <w:lang w:val="pt-PT"/>
              </w:rPr>
              <w:t>Saúde</w:t>
            </w:r>
          </w:p>
        </w:tc>
      </w:tr>
      <w:tr w:rsidR="00B31AE2" w:rsidRPr="00292532" w14:paraId="0E17D8A4"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561F4265" w14:textId="77777777" w:rsidR="00B31AE2" w:rsidRPr="004500AE" w:rsidRDefault="00B31AE2" w:rsidP="00B31AE2">
            <w:pPr>
              <w:spacing w:line="259" w:lineRule="auto"/>
              <w:rPr>
                <w:rFonts w:ascii="Arial" w:eastAsia="Calibri" w:hAnsi="Arial" w:cs="Arial"/>
                <w:sz w:val="20"/>
                <w:szCs w:val="20"/>
                <w:lang w:val="pt-PT"/>
              </w:rPr>
            </w:pPr>
            <w:r w:rsidRPr="004500AE">
              <w:rPr>
                <w:rFonts w:ascii="Arial" w:eastAsia="Calibri" w:hAnsi="Arial" w:cs="Arial"/>
                <w:sz w:val="20"/>
                <w:szCs w:val="20"/>
                <w:lang w:val="pt-PT"/>
              </w:rPr>
              <w:t>Associação das mulheres</w:t>
            </w:r>
          </w:p>
        </w:tc>
        <w:tc>
          <w:tcPr>
            <w:tcW w:w="6095" w:type="dxa"/>
            <w:tcBorders>
              <w:top w:val="single" w:sz="4" w:space="0" w:color="000000"/>
              <w:left w:val="single" w:sz="4" w:space="0" w:color="000000"/>
              <w:bottom w:val="single" w:sz="4" w:space="0" w:color="000000"/>
              <w:right w:val="single" w:sz="4" w:space="0" w:color="000000"/>
            </w:tcBorders>
          </w:tcPr>
          <w:p w14:paraId="084304B2" w14:textId="77777777" w:rsidR="00B31AE2" w:rsidRPr="004500AE" w:rsidRDefault="00B31AE2" w:rsidP="00B31AE2">
            <w:pPr>
              <w:spacing w:line="259" w:lineRule="auto"/>
              <w:ind w:left="1"/>
              <w:rPr>
                <w:rFonts w:ascii="Arial" w:eastAsia="Calibri" w:hAnsi="Arial" w:cs="Arial"/>
                <w:sz w:val="20"/>
                <w:szCs w:val="20"/>
                <w:lang w:val="pt-PT"/>
              </w:rPr>
            </w:pPr>
            <w:r w:rsidRPr="004500AE">
              <w:rPr>
                <w:rFonts w:ascii="Arial" w:eastAsia="Calibri" w:hAnsi="Arial" w:cs="Arial"/>
                <w:sz w:val="20"/>
                <w:szCs w:val="20"/>
                <w:lang w:val="pt-PT"/>
              </w:rPr>
              <w:t>Governação; Âmbito distrital</w:t>
            </w:r>
          </w:p>
        </w:tc>
      </w:tr>
      <w:tr w:rsidR="00B31AE2" w:rsidRPr="004E2EAC" w14:paraId="09EF4C79" w14:textId="77777777" w:rsidTr="00B31AE2">
        <w:trPr>
          <w:trHeight w:val="277"/>
        </w:trPr>
        <w:tc>
          <w:tcPr>
            <w:tcW w:w="2977" w:type="dxa"/>
            <w:tcBorders>
              <w:top w:val="single" w:sz="4" w:space="0" w:color="000000"/>
              <w:left w:val="single" w:sz="4" w:space="0" w:color="000000"/>
              <w:bottom w:val="single" w:sz="4" w:space="0" w:color="000000"/>
              <w:right w:val="single" w:sz="4" w:space="0" w:color="000000"/>
            </w:tcBorders>
          </w:tcPr>
          <w:p w14:paraId="43DEB2FE" w14:textId="77777777" w:rsidR="00B31AE2" w:rsidRPr="00292532" w:rsidRDefault="00B31AE2" w:rsidP="00B31AE2">
            <w:pPr>
              <w:spacing w:line="259" w:lineRule="auto"/>
              <w:rPr>
                <w:rFonts w:ascii="Arial" w:eastAsia="Calibri" w:hAnsi="Arial" w:cs="Arial"/>
                <w:sz w:val="20"/>
                <w:szCs w:val="20"/>
                <w:lang w:val="pt-PT"/>
              </w:rPr>
            </w:pPr>
            <w:proofErr w:type="spellStart"/>
            <w:r w:rsidRPr="00292532">
              <w:rPr>
                <w:rFonts w:ascii="Arial" w:eastAsia="Calibri" w:hAnsi="Arial" w:cs="Arial"/>
                <w:sz w:val="20"/>
                <w:szCs w:val="20"/>
                <w:lang w:val="pt-PT"/>
              </w:rPr>
              <w:t>Ass</w:t>
            </w:r>
            <w:proofErr w:type="spellEnd"/>
            <w:r w:rsidRPr="00292532">
              <w:rPr>
                <w:rFonts w:ascii="Arial" w:eastAsia="Calibri" w:hAnsi="Arial" w:cs="Arial"/>
                <w:sz w:val="20"/>
                <w:szCs w:val="20"/>
                <w:lang w:val="pt-PT"/>
              </w:rPr>
              <w:t>. De Género Adolescentes da Zambézia (AGAZA)</w:t>
            </w:r>
          </w:p>
        </w:tc>
        <w:tc>
          <w:tcPr>
            <w:tcW w:w="6095" w:type="dxa"/>
            <w:tcBorders>
              <w:top w:val="single" w:sz="4" w:space="0" w:color="000000"/>
              <w:left w:val="single" w:sz="4" w:space="0" w:color="000000"/>
              <w:bottom w:val="single" w:sz="4" w:space="0" w:color="000000"/>
              <w:right w:val="single" w:sz="4" w:space="0" w:color="000000"/>
            </w:tcBorders>
          </w:tcPr>
          <w:p w14:paraId="51858294" w14:textId="77777777" w:rsidR="00B31AE2" w:rsidRPr="00292532" w:rsidRDefault="00B31AE2" w:rsidP="00B31AE2">
            <w:pPr>
              <w:spacing w:line="259" w:lineRule="auto"/>
              <w:ind w:left="1"/>
              <w:rPr>
                <w:rFonts w:ascii="Arial" w:eastAsia="Calibri" w:hAnsi="Arial" w:cs="Arial"/>
                <w:sz w:val="20"/>
                <w:szCs w:val="20"/>
                <w:lang w:val="pt-PT"/>
              </w:rPr>
            </w:pPr>
            <w:r w:rsidRPr="00292532">
              <w:rPr>
                <w:rFonts w:ascii="Arial" w:eastAsia="Calibri" w:hAnsi="Arial" w:cs="Arial"/>
                <w:sz w:val="20"/>
                <w:szCs w:val="20"/>
                <w:lang w:val="pt-PT"/>
              </w:rPr>
              <w:t>Direitos da criança e Saúde</w:t>
            </w:r>
          </w:p>
        </w:tc>
      </w:tr>
      <w:tr w:rsidR="00B31AE2" w:rsidRPr="004E2EAC" w14:paraId="35A578B8" w14:textId="77777777" w:rsidTr="00B31AE2">
        <w:tblPrEx>
          <w:tblCellMar>
            <w:left w:w="106" w:type="dxa"/>
            <w:right w:w="63" w:type="dxa"/>
          </w:tblCellMar>
        </w:tblPrEx>
        <w:trPr>
          <w:trHeight w:val="34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5B9BD5"/>
          </w:tcPr>
          <w:p w14:paraId="3C55763B" w14:textId="77777777" w:rsidR="00B31AE2" w:rsidRPr="00292532" w:rsidRDefault="00B31AE2" w:rsidP="00B31AE2">
            <w:pPr>
              <w:spacing w:line="259" w:lineRule="auto"/>
              <w:ind w:right="41"/>
              <w:jc w:val="center"/>
              <w:rPr>
                <w:rFonts w:ascii="Arial" w:hAnsi="Arial" w:cs="Arial"/>
                <w:color w:val="FFFFFF"/>
                <w:sz w:val="20"/>
                <w:szCs w:val="20"/>
                <w:lang w:val="pt-PT"/>
              </w:rPr>
            </w:pPr>
            <w:r w:rsidRPr="00292532">
              <w:rPr>
                <w:rFonts w:ascii="Arial" w:eastAsia="Calibri" w:hAnsi="Arial" w:cs="Arial"/>
                <w:b/>
                <w:color w:val="FFFFFF"/>
                <w:sz w:val="20"/>
                <w:szCs w:val="20"/>
                <w:lang w:val="pt-PT"/>
              </w:rPr>
              <w:t xml:space="preserve">Nacionais (Organizações de âmbito nacional que </w:t>
            </w:r>
            <w:proofErr w:type="spellStart"/>
            <w:r w:rsidRPr="00292532">
              <w:rPr>
                <w:rFonts w:ascii="Arial" w:eastAsia="Calibri" w:hAnsi="Arial" w:cs="Arial"/>
                <w:b/>
                <w:color w:val="FFFFFF"/>
                <w:sz w:val="20"/>
                <w:szCs w:val="20"/>
                <w:lang w:val="pt-PT"/>
              </w:rPr>
              <w:t>actuam</w:t>
            </w:r>
            <w:proofErr w:type="spellEnd"/>
            <w:r w:rsidRPr="00292532">
              <w:rPr>
                <w:rFonts w:ascii="Arial" w:eastAsia="Calibri" w:hAnsi="Arial" w:cs="Arial"/>
                <w:b/>
                <w:color w:val="FFFFFF"/>
                <w:sz w:val="20"/>
                <w:szCs w:val="20"/>
                <w:lang w:val="pt-PT"/>
              </w:rPr>
              <w:t xml:space="preserve"> em um ou mais províncias cobertas pelo </w:t>
            </w:r>
            <w:proofErr w:type="spellStart"/>
            <w:r w:rsidRPr="00292532">
              <w:rPr>
                <w:rFonts w:ascii="Arial" w:eastAsia="Calibri" w:hAnsi="Arial" w:cs="Arial"/>
                <w:b/>
                <w:color w:val="FFFFFF"/>
                <w:sz w:val="20"/>
                <w:szCs w:val="20"/>
                <w:lang w:val="pt-PT"/>
              </w:rPr>
              <w:t>projecto</w:t>
            </w:r>
            <w:proofErr w:type="spellEnd"/>
            <w:r w:rsidRPr="00292532">
              <w:rPr>
                <w:rFonts w:ascii="Arial" w:eastAsia="Calibri" w:hAnsi="Arial" w:cs="Arial"/>
                <w:b/>
                <w:color w:val="FFFFFF"/>
                <w:sz w:val="20"/>
                <w:szCs w:val="20"/>
                <w:lang w:val="pt-PT"/>
              </w:rPr>
              <w:t xml:space="preserve">) </w:t>
            </w:r>
          </w:p>
        </w:tc>
      </w:tr>
      <w:tr w:rsidR="00B31AE2" w:rsidRPr="004E2EAC" w14:paraId="384F6AEF" w14:textId="77777777" w:rsidTr="00B31AE2">
        <w:tblPrEx>
          <w:tblCellMar>
            <w:left w:w="106" w:type="dxa"/>
            <w:right w:w="63" w:type="dxa"/>
          </w:tblCellMar>
        </w:tblPrEx>
        <w:trPr>
          <w:trHeight w:val="568"/>
        </w:trPr>
        <w:tc>
          <w:tcPr>
            <w:tcW w:w="2977" w:type="dxa"/>
            <w:tcBorders>
              <w:top w:val="single" w:sz="4" w:space="0" w:color="000000"/>
              <w:left w:val="single" w:sz="4" w:space="0" w:color="000000"/>
              <w:bottom w:val="single" w:sz="4" w:space="0" w:color="000000"/>
              <w:right w:val="single" w:sz="4" w:space="0" w:color="000000"/>
            </w:tcBorders>
          </w:tcPr>
          <w:p w14:paraId="28150908" w14:textId="77777777" w:rsidR="00B31AE2" w:rsidRPr="00292532" w:rsidRDefault="00B31AE2" w:rsidP="00B31AE2">
            <w:pPr>
              <w:spacing w:line="259" w:lineRule="auto"/>
              <w:ind w:right="22"/>
              <w:rPr>
                <w:rFonts w:ascii="Arial" w:eastAsia="Calibri" w:hAnsi="Arial" w:cs="Arial"/>
                <w:sz w:val="20"/>
                <w:szCs w:val="20"/>
                <w:lang w:val="pt-PT"/>
              </w:rPr>
            </w:pPr>
            <w:r w:rsidRPr="00292532">
              <w:rPr>
                <w:rFonts w:ascii="Arial" w:eastAsia="Calibri" w:hAnsi="Arial" w:cs="Arial"/>
                <w:sz w:val="20"/>
                <w:szCs w:val="20"/>
                <w:lang w:val="pt-PT"/>
              </w:rPr>
              <w:t xml:space="preserve">AMMCJ </w:t>
            </w:r>
            <w:r w:rsidRPr="00292532">
              <w:rPr>
                <w:rFonts w:ascii="Arial" w:eastAsia="Calibri" w:hAnsi="Arial" w:cs="Arial"/>
                <w:sz w:val="20"/>
                <w:szCs w:val="20"/>
                <w:lang w:val="pt-PT"/>
              </w:rPr>
              <w:tab/>
              <w:t xml:space="preserve">– Associação Moçambicana de Mulheres de carreira Jurídica </w:t>
            </w:r>
          </w:p>
        </w:tc>
        <w:tc>
          <w:tcPr>
            <w:tcW w:w="6095" w:type="dxa"/>
            <w:tcBorders>
              <w:top w:val="single" w:sz="4" w:space="0" w:color="000000"/>
              <w:left w:val="single" w:sz="4" w:space="0" w:color="000000"/>
              <w:bottom w:val="single" w:sz="4" w:space="0" w:color="000000"/>
              <w:right w:val="single" w:sz="4" w:space="0" w:color="000000"/>
            </w:tcBorders>
          </w:tcPr>
          <w:p w14:paraId="4A0837BF" w14:textId="77777777" w:rsidR="00B31AE2" w:rsidRPr="00292532" w:rsidRDefault="00B31AE2" w:rsidP="00B31AE2">
            <w:pPr>
              <w:spacing w:line="259" w:lineRule="auto"/>
              <w:ind w:left="1" w:right="22"/>
              <w:rPr>
                <w:rFonts w:ascii="Arial" w:eastAsia="Calibri" w:hAnsi="Arial" w:cs="Arial"/>
                <w:sz w:val="20"/>
                <w:szCs w:val="20"/>
                <w:lang w:val="pt-PT"/>
              </w:rPr>
            </w:pPr>
            <w:r w:rsidRPr="00292532">
              <w:rPr>
                <w:rFonts w:ascii="Arial" w:eastAsia="Calibri" w:hAnsi="Arial" w:cs="Arial"/>
                <w:sz w:val="20"/>
                <w:szCs w:val="20"/>
                <w:lang w:val="pt-PT"/>
              </w:rPr>
              <w:t xml:space="preserve">Assistência Jurídica e Apoio </w:t>
            </w:r>
            <w:proofErr w:type="spellStart"/>
            <w:r w:rsidRPr="00292532">
              <w:rPr>
                <w:rFonts w:ascii="Arial" w:eastAsia="Calibri" w:hAnsi="Arial" w:cs="Arial"/>
                <w:sz w:val="20"/>
                <w:szCs w:val="20"/>
                <w:lang w:val="pt-PT"/>
              </w:rPr>
              <w:t>psico</w:t>
            </w:r>
            <w:proofErr w:type="spellEnd"/>
            <w:r w:rsidRPr="00292532">
              <w:rPr>
                <w:rFonts w:ascii="Arial" w:eastAsia="Calibri" w:hAnsi="Arial" w:cs="Arial"/>
                <w:sz w:val="20"/>
                <w:szCs w:val="20"/>
                <w:lang w:val="pt-PT"/>
              </w:rPr>
              <w:t xml:space="preserve"> social as vítimas de VBG </w:t>
            </w:r>
          </w:p>
        </w:tc>
      </w:tr>
      <w:tr w:rsidR="00B31AE2" w:rsidRPr="00292532" w14:paraId="6D5EF796" w14:textId="77777777" w:rsidTr="00B31AE2">
        <w:tblPrEx>
          <w:tblCellMar>
            <w:left w:w="106" w:type="dxa"/>
            <w:right w:w="63" w:type="dxa"/>
          </w:tblCellMar>
        </w:tblPrEx>
        <w:trPr>
          <w:trHeight w:val="571"/>
        </w:trPr>
        <w:tc>
          <w:tcPr>
            <w:tcW w:w="2977" w:type="dxa"/>
            <w:tcBorders>
              <w:top w:val="single" w:sz="4" w:space="0" w:color="000000"/>
              <w:left w:val="single" w:sz="4" w:space="0" w:color="000000"/>
              <w:bottom w:val="single" w:sz="4" w:space="0" w:color="000000"/>
              <w:right w:val="single" w:sz="4" w:space="0" w:color="000000"/>
            </w:tcBorders>
          </w:tcPr>
          <w:p w14:paraId="59C636C7" w14:textId="77777777" w:rsidR="00B31AE2" w:rsidRPr="00292532" w:rsidRDefault="00B31AE2" w:rsidP="00B31AE2">
            <w:pPr>
              <w:spacing w:line="259" w:lineRule="auto"/>
              <w:ind w:left="1" w:right="22"/>
              <w:rPr>
                <w:rFonts w:ascii="Arial" w:eastAsia="Calibri" w:hAnsi="Arial" w:cs="Arial"/>
                <w:sz w:val="20"/>
                <w:szCs w:val="20"/>
                <w:lang w:val="pt-PT"/>
              </w:rPr>
            </w:pPr>
            <w:r w:rsidRPr="00292532">
              <w:rPr>
                <w:rFonts w:ascii="Arial" w:eastAsia="Calibri" w:hAnsi="Arial" w:cs="Arial"/>
                <w:sz w:val="20"/>
                <w:szCs w:val="20"/>
                <w:lang w:val="pt-PT"/>
              </w:rPr>
              <w:t xml:space="preserve">AMODEFA- Associação Moçambicana para o Desenvolvimento da Família </w:t>
            </w:r>
          </w:p>
        </w:tc>
        <w:tc>
          <w:tcPr>
            <w:tcW w:w="6095" w:type="dxa"/>
            <w:tcBorders>
              <w:top w:val="single" w:sz="4" w:space="0" w:color="000000"/>
              <w:left w:val="single" w:sz="4" w:space="0" w:color="000000"/>
              <w:bottom w:val="single" w:sz="4" w:space="0" w:color="000000"/>
              <w:right w:val="single" w:sz="4" w:space="0" w:color="000000"/>
            </w:tcBorders>
          </w:tcPr>
          <w:p w14:paraId="243055F9" w14:textId="77777777" w:rsidR="00B31AE2" w:rsidRPr="004500AE" w:rsidRDefault="00B31AE2" w:rsidP="00B31AE2">
            <w:pPr>
              <w:spacing w:line="259" w:lineRule="auto"/>
              <w:ind w:left="1" w:right="22"/>
              <w:rPr>
                <w:rFonts w:ascii="Arial" w:eastAsia="Calibri" w:hAnsi="Arial" w:cs="Arial"/>
                <w:sz w:val="20"/>
                <w:szCs w:val="20"/>
                <w:lang w:val="pt-PT"/>
              </w:rPr>
            </w:pPr>
            <w:r w:rsidRPr="004500AE">
              <w:rPr>
                <w:rFonts w:ascii="Arial" w:eastAsia="Calibri" w:hAnsi="Arial" w:cs="Arial"/>
                <w:sz w:val="20"/>
                <w:szCs w:val="20"/>
                <w:lang w:val="pt-PT"/>
              </w:rPr>
              <w:t xml:space="preserve">Direitos sexuais reprodutivos </w:t>
            </w:r>
          </w:p>
        </w:tc>
      </w:tr>
      <w:tr w:rsidR="00B31AE2" w:rsidRPr="004E2EAC" w14:paraId="361C4EB4" w14:textId="77777777" w:rsidTr="00B31AE2">
        <w:tblPrEx>
          <w:tblCellMar>
            <w:left w:w="106" w:type="dxa"/>
            <w:right w:w="63" w:type="dxa"/>
          </w:tblCellMar>
        </w:tblPrEx>
        <w:trPr>
          <w:trHeight w:val="571"/>
        </w:trPr>
        <w:tc>
          <w:tcPr>
            <w:tcW w:w="2977" w:type="dxa"/>
            <w:tcBorders>
              <w:top w:val="single" w:sz="4" w:space="0" w:color="000000"/>
              <w:left w:val="single" w:sz="4" w:space="0" w:color="000000"/>
              <w:bottom w:val="single" w:sz="4" w:space="0" w:color="000000"/>
              <w:right w:val="single" w:sz="4" w:space="0" w:color="000000"/>
            </w:tcBorders>
          </w:tcPr>
          <w:p w14:paraId="6F4D364B" w14:textId="77777777" w:rsidR="00B31AE2" w:rsidRPr="004500AE" w:rsidRDefault="00B31AE2" w:rsidP="00B31AE2">
            <w:pPr>
              <w:spacing w:line="259" w:lineRule="auto"/>
              <w:ind w:left="1" w:right="22"/>
              <w:rPr>
                <w:rFonts w:ascii="Arial" w:eastAsia="Calibri" w:hAnsi="Arial" w:cs="Arial"/>
                <w:sz w:val="20"/>
                <w:szCs w:val="20"/>
                <w:lang w:val="pt-PT"/>
              </w:rPr>
            </w:pPr>
            <w:r w:rsidRPr="004500AE">
              <w:rPr>
                <w:rFonts w:ascii="Arial" w:eastAsia="Calibri" w:hAnsi="Arial" w:cs="Arial"/>
                <w:sz w:val="20"/>
                <w:szCs w:val="20"/>
                <w:lang w:val="pt-PT"/>
              </w:rPr>
              <w:t xml:space="preserve">AGA KHAN </w:t>
            </w:r>
          </w:p>
        </w:tc>
        <w:tc>
          <w:tcPr>
            <w:tcW w:w="6095" w:type="dxa"/>
            <w:tcBorders>
              <w:top w:val="single" w:sz="4" w:space="0" w:color="000000"/>
              <w:left w:val="single" w:sz="4" w:space="0" w:color="000000"/>
              <w:bottom w:val="single" w:sz="4" w:space="0" w:color="000000"/>
              <w:right w:val="single" w:sz="4" w:space="0" w:color="000000"/>
            </w:tcBorders>
          </w:tcPr>
          <w:p w14:paraId="0028BE61" w14:textId="77777777" w:rsidR="00B31AE2" w:rsidRPr="00292532" w:rsidRDefault="00B31AE2" w:rsidP="00B31AE2">
            <w:pPr>
              <w:spacing w:line="259" w:lineRule="auto"/>
              <w:ind w:left="1" w:right="22"/>
              <w:rPr>
                <w:rFonts w:ascii="Arial" w:eastAsia="Calibri" w:hAnsi="Arial" w:cs="Arial"/>
                <w:sz w:val="20"/>
                <w:szCs w:val="20"/>
                <w:lang w:val="pt-PT"/>
              </w:rPr>
            </w:pPr>
            <w:r w:rsidRPr="00292532">
              <w:rPr>
                <w:rFonts w:ascii="Arial" w:eastAsia="Calibri" w:hAnsi="Arial" w:cs="Arial"/>
                <w:sz w:val="20"/>
                <w:szCs w:val="20"/>
                <w:lang w:val="pt-PT"/>
              </w:rPr>
              <w:t xml:space="preserve">VBG, empoderamento económico da mulher, voz </w:t>
            </w:r>
            <w:proofErr w:type="spellStart"/>
            <w:r w:rsidRPr="00292532">
              <w:rPr>
                <w:rFonts w:ascii="Arial" w:eastAsia="Calibri" w:hAnsi="Arial" w:cs="Arial"/>
                <w:sz w:val="20"/>
                <w:szCs w:val="20"/>
                <w:lang w:val="pt-PT"/>
              </w:rPr>
              <w:t>activa</w:t>
            </w:r>
            <w:proofErr w:type="spellEnd"/>
            <w:r w:rsidRPr="00292532">
              <w:rPr>
                <w:rFonts w:ascii="Arial" w:eastAsia="Calibri" w:hAnsi="Arial" w:cs="Arial"/>
                <w:sz w:val="20"/>
                <w:szCs w:val="20"/>
                <w:lang w:val="pt-PT"/>
              </w:rPr>
              <w:t xml:space="preserve">, Promoção da igualdade de género nas organizações </w:t>
            </w:r>
          </w:p>
        </w:tc>
      </w:tr>
      <w:tr w:rsidR="00B31AE2" w:rsidRPr="004E2EAC" w14:paraId="1B8888DD" w14:textId="77777777" w:rsidTr="00B31AE2">
        <w:tblPrEx>
          <w:tblCellMar>
            <w:left w:w="106" w:type="dxa"/>
            <w:right w:w="63" w:type="dxa"/>
          </w:tblCellMar>
        </w:tblPrEx>
        <w:trPr>
          <w:trHeight w:val="346"/>
        </w:trPr>
        <w:tc>
          <w:tcPr>
            <w:tcW w:w="2977" w:type="dxa"/>
            <w:tcBorders>
              <w:top w:val="single" w:sz="4" w:space="0" w:color="000000"/>
              <w:left w:val="single" w:sz="4" w:space="0" w:color="000000"/>
              <w:bottom w:val="single" w:sz="4" w:space="0" w:color="000000"/>
              <w:right w:val="single" w:sz="4" w:space="0" w:color="000000"/>
            </w:tcBorders>
          </w:tcPr>
          <w:p w14:paraId="77042375" w14:textId="77777777" w:rsidR="00B31AE2" w:rsidRPr="004500AE" w:rsidRDefault="00B31AE2" w:rsidP="00B31AE2">
            <w:pPr>
              <w:spacing w:line="259" w:lineRule="auto"/>
              <w:ind w:left="1" w:right="22"/>
              <w:rPr>
                <w:rFonts w:ascii="Arial" w:eastAsia="Calibri" w:hAnsi="Arial" w:cs="Arial"/>
                <w:sz w:val="20"/>
                <w:szCs w:val="20"/>
                <w:lang w:val="pt-PT"/>
              </w:rPr>
            </w:pPr>
            <w:r w:rsidRPr="004500AE">
              <w:rPr>
                <w:rFonts w:ascii="Arial" w:eastAsia="Calibri" w:hAnsi="Arial" w:cs="Arial"/>
                <w:sz w:val="20"/>
                <w:szCs w:val="20"/>
                <w:lang w:val="pt-PT"/>
              </w:rPr>
              <w:t xml:space="preserve">Ariel </w:t>
            </w:r>
            <w:proofErr w:type="spellStart"/>
            <w:r w:rsidRPr="004500AE">
              <w:rPr>
                <w:rFonts w:ascii="Arial" w:eastAsia="Calibri" w:hAnsi="Arial" w:cs="Arial"/>
                <w:sz w:val="20"/>
                <w:szCs w:val="20"/>
                <w:lang w:val="pt-PT"/>
              </w:rPr>
              <w:t>Gleiser</w:t>
            </w:r>
            <w:proofErr w:type="spellEnd"/>
            <w:r w:rsidRPr="004500AE">
              <w:rPr>
                <w:rFonts w:ascii="Arial" w:eastAsia="Calibri" w:hAnsi="Arial" w:cs="Arial"/>
                <w:sz w:val="20"/>
                <w:szCs w:val="20"/>
                <w:lang w:val="pt-PT"/>
              </w:rPr>
              <w:t xml:space="preserve"> </w:t>
            </w:r>
          </w:p>
        </w:tc>
        <w:tc>
          <w:tcPr>
            <w:tcW w:w="6095" w:type="dxa"/>
            <w:tcBorders>
              <w:top w:val="single" w:sz="4" w:space="0" w:color="000000"/>
              <w:left w:val="single" w:sz="4" w:space="0" w:color="000000"/>
              <w:bottom w:val="single" w:sz="4" w:space="0" w:color="000000"/>
              <w:right w:val="single" w:sz="4" w:space="0" w:color="000000"/>
            </w:tcBorders>
          </w:tcPr>
          <w:p w14:paraId="74D14672" w14:textId="77777777" w:rsidR="00B31AE2" w:rsidRPr="00292532" w:rsidRDefault="00B31AE2" w:rsidP="00B31AE2">
            <w:pPr>
              <w:spacing w:line="259" w:lineRule="auto"/>
              <w:ind w:left="1" w:right="22"/>
              <w:rPr>
                <w:rFonts w:ascii="Arial" w:eastAsia="Calibri" w:hAnsi="Arial" w:cs="Arial"/>
                <w:sz w:val="20"/>
                <w:szCs w:val="20"/>
                <w:lang w:val="pt-PT"/>
              </w:rPr>
            </w:pPr>
            <w:r w:rsidRPr="00292532">
              <w:rPr>
                <w:rFonts w:ascii="Arial" w:eastAsia="Calibri" w:hAnsi="Arial" w:cs="Arial"/>
                <w:sz w:val="20"/>
                <w:szCs w:val="20"/>
                <w:lang w:val="pt-PT"/>
              </w:rPr>
              <w:t xml:space="preserve">Direitos Sexuais e Reprodutivos e HIV/SIDA </w:t>
            </w:r>
          </w:p>
        </w:tc>
      </w:tr>
      <w:tr w:rsidR="00B31AE2" w:rsidRPr="004E2EAC" w14:paraId="3F0995C5" w14:textId="77777777" w:rsidTr="00B31AE2">
        <w:tblPrEx>
          <w:tblCellMar>
            <w:left w:w="106" w:type="dxa"/>
            <w:right w:w="63" w:type="dxa"/>
          </w:tblCellMar>
        </w:tblPrEx>
        <w:trPr>
          <w:trHeight w:val="571"/>
        </w:trPr>
        <w:tc>
          <w:tcPr>
            <w:tcW w:w="2977" w:type="dxa"/>
            <w:tcBorders>
              <w:top w:val="single" w:sz="4" w:space="0" w:color="000000"/>
              <w:left w:val="single" w:sz="4" w:space="0" w:color="000000"/>
              <w:bottom w:val="single" w:sz="4" w:space="0" w:color="000000"/>
              <w:right w:val="single" w:sz="4" w:space="0" w:color="000000"/>
            </w:tcBorders>
          </w:tcPr>
          <w:p w14:paraId="5FF74D17" w14:textId="77777777" w:rsidR="00B31AE2" w:rsidRPr="00292532" w:rsidRDefault="00B31AE2" w:rsidP="00B31AE2">
            <w:pPr>
              <w:spacing w:line="259" w:lineRule="auto"/>
              <w:ind w:left="1" w:right="22"/>
              <w:rPr>
                <w:rFonts w:ascii="Arial" w:eastAsia="Calibri" w:hAnsi="Arial" w:cs="Arial"/>
                <w:sz w:val="20"/>
                <w:szCs w:val="20"/>
                <w:lang w:val="pt-PT"/>
              </w:rPr>
            </w:pPr>
            <w:r w:rsidRPr="00292532">
              <w:rPr>
                <w:rFonts w:ascii="Arial" w:eastAsia="Calibri" w:hAnsi="Arial" w:cs="Arial"/>
                <w:sz w:val="20"/>
                <w:szCs w:val="20"/>
                <w:lang w:val="pt-PT"/>
              </w:rPr>
              <w:t xml:space="preserve">Associação Mulher, Lei e Desenvolvimento (MULEIDE) </w:t>
            </w:r>
          </w:p>
        </w:tc>
        <w:tc>
          <w:tcPr>
            <w:tcW w:w="6095" w:type="dxa"/>
            <w:tcBorders>
              <w:top w:val="single" w:sz="4" w:space="0" w:color="000000"/>
              <w:left w:val="single" w:sz="4" w:space="0" w:color="000000"/>
              <w:bottom w:val="single" w:sz="4" w:space="0" w:color="000000"/>
              <w:right w:val="single" w:sz="4" w:space="0" w:color="000000"/>
            </w:tcBorders>
          </w:tcPr>
          <w:p w14:paraId="2D555E26" w14:textId="77777777" w:rsidR="00B31AE2" w:rsidRPr="00292532" w:rsidRDefault="00B31AE2" w:rsidP="00B31AE2">
            <w:pPr>
              <w:spacing w:line="259" w:lineRule="auto"/>
              <w:ind w:left="1" w:right="22"/>
              <w:rPr>
                <w:rFonts w:ascii="Arial" w:eastAsia="Calibri" w:hAnsi="Arial" w:cs="Arial"/>
                <w:sz w:val="20"/>
                <w:szCs w:val="20"/>
                <w:lang w:val="pt-PT"/>
              </w:rPr>
            </w:pPr>
            <w:r w:rsidRPr="00292532">
              <w:rPr>
                <w:rFonts w:ascii="Arial" w:eastAsia="Calibri" w:hAnsi="Arial" w:cs="Arial"/>
                <w:sz w:val="20"/>
                <w:szCs w:val="20"/>
                <w:lang w:val="pt-PT"/>
              </w:rPr>
              <w:t xml:space="preserve">Pesquisa e treinamento de mulheres no setor informal, treinamento em saúde e prevenção de HIV / SIDA e treinamento em consciencialização jurídica </w:t>
            </w:r>
          </w:p>
        </w:tc>
      </w:tr>
      <w:tr w:rsidR="00B31AE2" w:rsidRPr="004E2EAC" w14:paraId="00411079" w14:textId="77777777" w:rsidTr="00B31AE2">
        <w:tblPrEx>
          <w:tblCellMar>
            <w:left w:w="106" w:type="dxa"/>
            <w:right w:w="63" w:type="dxa"/>
          </w:tblCellMar>
        </w:tblPrEx>
        <w:trPr>
          <w:trHeight w:val="792"/>
        </w:trPr>
        <w:tc>
          <w:tcPr>
            <w:tcW w:w="2977" w:type="dxa"/>
            <w:tcBorders>
              <w:top w:val="single" w:sz="4" w:space="0" w:color="000000"/>
              <w:left w:val="single" w:sz="4" w:space="0" w:color="000000"/>
              <w:bottom w:val="single" w:sz="4" w:space="0" w:color="000000"/>
              <w:right w:val="single" w:sz="4" w:space="0" w:color="000000"/>
            </w:tcBorders>
          </w:tcPr>
          <w:p w14:paraId="6DC388B8" w14:textId="77777777" w:rsidR="00B31AE2" w:rsidRPr="004500AE" w:rsidRDefault="00B31AE2" w:rsidP="00B31AE2">
            <w:pPr>
              <w:spacing w:line="259" w:lineRule="auto"/>
              <w:ind w:left="1" w:right="22"/>
              <w:rPr>
                <w:rFonts w:ascii="Arial" w:eastAsia="Calibri" w:hAnsi="Arial" w:cs="Arial"/>
                <w:sz w:val="20"/>
                <w:szCs w:val="20"/>
                <w:lang w:val="pt-PT"/>
              </w:rPr>
            </w:pPr>
            <w:r w:rsidRPr="004500AE">
              <w:rPr>
                <w:rFonts w:ascii="Arial" w:eastAsia="Calibri" w:hAnsi="Arial" w:cs="Arial"/>
                <w:sz w:val="20"/>
                <w:szCs w:val="20"/>
                <w:lang w:val="pt-PT"/>
              </w:rPr>
              <w:t xml:space="preserve">CARE </w:t>
            </w:r>
            <w:proofErr w:type="spellStart"/>
            <w:r w:rsidRPr="004500AE">
              <w:rPr>
                <w:rFonts w:ascii="Arial" w:eastAsia="Calibri" w:hAnsi="Arial" w:cs="Arial"/>
                <w:sz w:val="20"/>
                <w:szCs w:val="20"/>
                <w:lang w:val="pt-PT"/>
              </w:rPr>
              <w:t>International</w:t>
            </w:r>
            <w:proofErr w:type="spellEnd"/>
            <w:r w:rsidRPr="004500AE">
              <w:rPr>
                <w:rFonts w:ascii="Arial" w:eastAsia="Calibri" w:hAnsi="Arial" w:cs="Arial"/>
                <w:sz w:val="20"/>
                <w:szCs w:val="20"/>
                <w:lang w:val="pt-PT"/>
              </w:rPr>
              <w:t xml:space="preserve"> </w:t>
            </w:r>
          </w:p>
        </w:tc>
        <w:tc>
          <w:tcPr>
            <w:tcW w:w="6095" w:type="dxa"/>
            <w:tcBorders>
              <w:top w:val="single" w:sz="4" w:space="0" w:color="000000"/>
              <w:left w:val="single" w:sz="4" w:space="0" w:color="000000"/>
              <w:bottom w:val="single" w:sz="4" w:space="0" w:color="000000"/>
              <w:right w:val="single" w:sz="4" w:space="0" w:color="000000"/>
            </w:tcBorders>
          </w:tcPr>
          <w:p w14:paraId="0160F91A" w14:textId="77777777" w:rsidR="00B31AE2" w:rsidRPr="00292532" w:rsidRDefault="00B31AE2" w:rsidP="00B31AE2">
            <w:pPr>
              <w:spacing w:line="259" w:lineRule="auto"/>
              <w:ind w:left="1" w:right="22"/>
              <w:rPr>
                <w:rFonts w:ascii="Arial" w:eastAsia="Calibri" w:hAnsi="Arial" w:cs="Arial"/>
                <w:sz w:val="20"/>
                <w:szCs w:val="20"/>
                <w:lang w:val="pt-PT"/>
              </w:rPr>
            </w:pPr>
            <w:r w:rsidRPr="00292532">
              <w:rPr>
                <w:rFonts w:ascii="Arial" w:eastAsia="Calibri" w:hAnsi="Arial" w:cs="Arial"/>
                <w:sz w:val="20"/>
                <w:szCs w:val="20"/>
                <w:lang w:val="pt-PT"/>
              </w:rPr>
              <w:t xml:space="preserve">Género e nutrição; Treinamento sobre lei de terra, lei de família e violência baseada no género; Género e Inclusão Social no Programa de Prevenção e Resposta a Emergência em Moçambique; Empoderamento da mulher para alcançar a igualdade de género. </w:t>
            </w:r>
          </w:p>
        </w:tc>
      </w:tr>
      <w:tr w:rsidR="00B31AE2" w:rsidRPr="004E2EAC" w14:paraId="25B2B023" w14:textId="77777777" w:rsidTr="00B31AE2">
        <w:tblPrEx>
          <w:tblCellMar>
            <w:left w:w="106" w:type="dxa"/>
            <w:right w:w="63" w:type="dxa"/>
          </w:tblCellMar>
        </w:tblPrEx>
        <w:trPr>
          <w:trHeight w:val="346"/>
        </w:trPr>
        <w:tc>
          <w:tcPr>
            <w:tcW w:w="2977" w:type="dxa"/>
            <w:tcBorders>
              <w:top w:val="single" w:sz="4" w:space="0" w:color="000000"/>
              <w:left w:val="single" w:sz="4" w:space="0" w:color="000000"/>
              <w:bottom w:val="single" w:sz="4" w:space="0" w:color="000000"/>
              <w:right w:val="single" w:sz="4" w:space="0" w:color="000000"/>
            </w:tcBorders>
          </w:tcPr>
          <w:p w14:paraId="5B21A402" w14:textId="77777777" w:rsidR="00B31AE2" w:rsidRPr="004500AE" w:rsidRDefault="00B31AE2" w:rsidP="00B31AE2">
            <w:pPr>
              <w:spacing w:line="259" w:lineRule="auto"/>
              <w:ind w:left="1" w:right="22"/>
              <w:rPr>
                <w:rFonts w:ascii="Arial" w:eastAsia="Calibri" w:hAnsi="Arial" w:cs="Arial"/>
                <w:sz w:val="20"/>
                <w:szCs w:val="20"/>
                <w:lang w:val="pt-PT"/>
              </w:rPr>
            </w:pPr>
            <w:r w:rsidRPr="004500AE">
              <w:rPr>
                <w:rFonts w:ascii="Arial" w:eastAsia="Calibri" w:hAnsi="Arial" w:cs="Arial"/>
                <w:sz w:val="20"/>
                <w:szCs w:val="20"/>
                <w:lang w:val="pt-PT"/>
              </w:rPr>
              <w:t xml:space="preserve">DKT – Íntimo </w:t>
            </w:r>
          </w:p>
        </w:tc>
        <w:tc>
          <w:tcPr>
            <w:tcW w:w="6095" w:type="dxa"/>
            <w:tcBorders>
              <w:top w:val="single" w:sz="4" w:space="0" w:color="000000"/>
              <w:left w:val="single" w:sz="4" w:space="0" w:color="000000"/>
              <w:bottom w:val="single" w:sz="4" w:space="0" w:color="000000"/>
              <w:right w:val="single" w:sz="4" w:space="0" w:color="000000"/>
            </w:tcBorders>
          </w:tcPr>
          <w:p w14:paraId="349DD2F4" w14:textId="77777777" w:rsidR="00B31AE2" w:rsidRPr="00292532" w:rsidRDefault="00B31AE2" w:rsidP="00B31AE2">
            <w:pPr>
              <w:spacing w:line="259" w:lineRule="auto"/>
              <w:ind w:left="1" w:right="22"/>
              <w:rPr>
                <w:rFonts w:ascii="Arial" w:eastAsia="Calibri" w:hAnsi="Arial" w:cs="Arial"/>
                <w:sz w:val="20"/>
                <w:szCs w:val="20"/>
                <w:lang w:val="pt-PT"/>
              </w:rPr>
            </w:pPr>
            <w:r w:rsidRPr="00292532">
              <w:rPr>
                <w:rFonts w:ascii="Arial" w:eastAsia="Calibri" w:hAnsi="Arial" w:cs="Arial"/>
                <w:sz w:val="20"/>
                <w:szCs w:val="20"/>
                <w:lang w:val="pt-PT"/>
              </w:rPr>
              <w:t xml:space="preserve"> Direitos Sexuais Reprodutivos da mulher </w:t>
            </w:r>
          </w:p>
        </w:tc>
      </w:tr>
      <w:tr w:rsidR="00B31AE2" w:rsidRPr="004E2EAC" w14:paraId="75C1AE3D" w14:textId="77777777" w:rsidTr="00B31AE2">
        <w:tblPrEx>
          <w:tblCellMar>
            <w:left w:w="106" w:type="dxa"/>
            <w:right w:w="63" w:type="dxa"/>
          </w:tblCellMar>
        </w:tblPrEx>
        <w:trPr>
          <w:trHeight w:val="571"/>
        </w:trPr>
        <w:tc>
          <w:tcPr>
            <w:tcW w:w="2977" w:type="dxa"/>
            <w:tcBorders>
              <w:top w:val="single" w:sz="4" w:space="0" w:color="000000"/>
              <w:left w:val="single" w:sz="4" w:space="0" w:color="000000"/>
              <w:bottom w:val="single" w:sz="4" w:space="0" w:color="000000"/>
              <w:right w:val="single" w:sz="4" w:space="0" w:color="000000"/>
            </w:tcBorders>
          </w:tcPr>
          <w:p w14:paraId="531BEBDB" w14:textId="77777777" w:rsidR="00B31AE2" w:rsidRPr="00292532" w:rsidRDefault="00B31AE2" w:rsidP="00B31AE2">
            <w:pPr>
              <w:spacing w:line="259" w:lineRule="auto"/>
              <w:ind w:left="1" w:right="22"/>
              <w:rPr>
                <w:rFonts w:ascii="Arial" w:eastAsia="Calibri" w:hAnsi="Arial" w:cs="Arial"/>
                <w:sz w:val="20"/>
                <w:szCs w:val="20"/>
                <w:lang w:val="pt-PT"/>
              </w:rPr>
            </w:pPr>
            <w:r w:rsidRPr="00292532">
              <w:rPr>
                <w:rFonts w:ascii="Arial" w:eastAsia="Calibri" w:hAnsi="Arial" w:cs="Arial"/>
                <w:sz w:val="20"/>
                <w:szCs w:val="20"/>
                <w:lang w:val="pt-PT"/>
              </w:rPr>
              <w:lastRenderedPageBreak/>
              <w:t xml:space="preserve">FDC-Fundação para o Desenvolvimento da Comunidade  </w:t>
            </w:r>
          </w:p>
        </w:tc>
        <w:tc>
          <w:tcPr>
            <w:tcW w:w="6095" w:type="dxa"/>
            <w:tcBorders>
              <w:top w:val="single" w:sz="4" w:space="0" w:color="000000"/>
              <w:left w:val="single" w:sz="4" w:space="0" w:color="000000"/>
              <w:bottom w:val="single" w:sz="4" w:space="0" w:color="000000"/>
              <w:right w:val="single" w:sz="4" w:space="0" w:color="000000"/>
            </w:tcBorders>
          </w:tcPr>
          <w:p w14:paraId="713412C9" w14:textId="77777777" w:rsidR="00B31AE2" w:rsidRPr="00292532" w:rsidRDefault="00B31AE2" w:rsidP="00B31AE2">
            <w:pPr>
              <w:spacing w:line="259" w:lineRule="auto"/>
              <w:ind w:left="1" w:right="22"/>
              <w:rPr>
                <w:rFonts w:ascii="Arial" w:eastAsia="Calibri" w:hAnsi="Arial" w:cs="Arial"/>
                <w:sz w:val="20"/>
                <w:szCs w:val="20"/>
                <w:lang w:val="pt-PT"/>
              </w:rPr>
            </w:pPr>
            <w:r w:rsidRPr="00292532">
              <w:rPr>
                <w:rFonts w:ascii="Arial" w:eastAsia="Calibri" w:hAnsi="Arial" w:cs="Arial"/>
                <w:sz w:val="20"/>
                <w:szCs w:val="20"/>
                <w:lang w:val="pt-PT"/>
              </w:rPr>
              <w:t xml:space="preserve">Erradicação da pobreza, advocacia, justiça social, construção da paz e reconciliação nacional e coesão social, direitos das mulheres, crianças e raparigas  </w:t>
            </w:r>
          </w:p>
        </w:tc>
      </w:tr>
      <w:tr w:rsidR="00B31AE2" w:rsidRPr="004E2EAC" w14:paraId="4EADC2F3" w14:textId="77777777" w:rsidTr="00B31AE2">
        <w:tblPrEx>
          <w:tblCellMar>
            <w:left w:w="106" w:type="dxa"/>
            <w:right w:w="63" w:type="dxa"/>
          </w:tblCellMar>
        </w:tblPrEx>
        <w:trPr>
          <w:trHeight w:val="571"/>
        </w:trPr>
        <w:tc>
          <w:tcPr>
            <w:tcW w:w="2977" w:type="dxa"/>
            <w:tcBorders>
              <w:top w:val="single" w:sz="4" w:space="0" w:color="000000"/>
              <w:left w:val="single" w:sz="4" w:space="0" w:color="000000"/>
              <w:bottom w:val="single" w:sz="4" w:space="0" w:color="000000"/>
              <w:right w:val="single" w:sz="4" w:space="0" w:color="000000"/>
            </w:tcBorders>
          </w:tcPr>
          <w:p w14:paraId="224658DE" w14:textId="77777777" w:rsidR="00B31AE2" w:rsidRPr="00292532" w:rsidRDefault="00B31AE2" w:rsidP="00B31AE2">
            <w:pPr>
              <w:spacing w:line="259" w:lineRule="auto"/>
              <w:ind w:left="1" w:right="22"/>
              <w:rPr>
                <w:rFonts w:ascii="Arial" w:eastAsia="Calibri" w:hAnsi="Arial" w:cs="Arial"/>
                <w:sz w:val="20"/>
                <w:szCs w:val="20"/>
                <w:lang w:val="pt-PT"/>
              </w:rPr>
            </w:pPr>
            <w:r w:rsidRPr="00292532">
              <w:rPr>
                <w:rFonts w:ascii="Arial" w:eastAsia="Calibri" w:hAnsi="Arial" w:cs="Arial"/>
                <w:sz w:val="20"/>
                <w:szCs w:val="20"/>
                <w:lang w:val="pt-PT"/>
              </w:rPr>
              <w:t xml:space="preserve">IREX-Programa para Fortalecimento da </w:t>
            </w:r>
            <w:proofErr w:type="spellStart"/>
            <w:r w:rsidRPr="00292532">
              <w:rPr>
                <w:rFonts w:ascii="Arial" w:eastAsia="Calibri" w:hAnsi="Arial" w:cs="Arial"/>
                <w:sz w:val="20"/>
                <w:szCs w:val="20"/>
                <w:lang w:val="pt-PT"/>
              </w:rPr>
              <w:t>Mídia</w:t>
            </w:r>
            <w:proofErr w:type="spellEnd"/>
            <w:r w:rsidRPr="00292532">
              <w:rPr>
                <w:rFonts w:ascii="Arial" w:eastAsia="Calibri" w:hAnsi="Arial" w:cs="Arial"/>
                <w:sz w:val="20"/>
                <w:szCs w:val="20"/>
                <w:lang w:val="pt-PT"/>
              </w:rPr>
              <w:t xml:space="preserve">  </w:t>
            </w:r>
          </w:p>
        </w:tc>
        <w:tc>
          <w:tcPr>
            <w:tcW w:w="6095" w:type="dxa"/>
            <w:tcBorders>
              <w:top w:val="single" w:sz="4" w:space="0" w:color="000000"/>
              <w:left w:val="single" w:sz="4" w:space="0" w:color="000000"/>
              <w:bottom w:val="single" w:sz="4" w:space="0" w:color="000000"/>
              <w:right w:val="single" w:sz="4" w:space="0" w:color="000000"/>
            </w:tcBorders>
          </w:tcPr>
          <w:p w14:paraId="7FCBF61D" w14:textId="77777777" w:rsidR="00B31AE2" w:rsidRPr="00292532" w:rsidRDefault="00B31AE2" w:rsidP="00B31AE2">
            <w:pPr>
              <w:spacing w:line="259" w:lineRule="auto"/>
              <w:ind w:left="1" w:right="22"/>
              <w:rPr>
                <w:rFonts w:ascii="Arial" w:eastAsia="Calibri" w:hAnsi="Arial" w:cs="Arial"/>
                <w:sz w:val="20"/>
                <w:szCs w:val="20"/>
                <w:lang w:val="pt-PT"/>
              </w:rPr>
            </w:pPr>
            <w:r w:rsidRPr="00292532">
              <w:rPr>
                <w:rFonts w:ascii="Arial" w:eastAsia="Calibri" w:hAnsi="Arial" w:cs="Arial"/>
                <w:sz w:val="20"/>
                <w:szCs w:val="20"/>
                <w:lang w:val="pt-PT"/>
              </w:rPr>
              <w:t xml:space="preserve">Cobertura de matérias relacionadas com Violência baseada no Género (Rede de Pontos Focais nas Rádios Comunitárias parceiras) </w:t>
            </w:r>
          </w:p>
        </w:tc>
      </w:tr>
      <w:tr w:rsidR="00B31AE2" w:rsidRPr="004E2EAC" w14:paraId="06405A47" w14:textId="77777777" w:rsidTr="00B31AE2">
        <w:tblPrEx>
          <w:tblCellMar>
            <w:left w:w="106" w:type="dxa"/>
            <w:right w:w="63" w:type="dxa"/>
          </w:tblCellMar>
        </w:tblPrEx>
        <w:trPr>
          <w:trHeight w:val="350"/>
        </w:trPr>
        <w:tc>
          <w:tcPr>
            <w:tcW w:w="2977" w:type="dxa"/>
            <w:tcBorders>
              <w:top w:val="single" w:sz="4" w:space="0" w:color="000000"/>
              <w:left w:val="single" w:sz="4" w:space="0" w:color="000000"/>
              <w:bottom w:val="single" w:sz="4" w:space="0" w:color="000000"/>
              <w:right w:val="single" w:sz="4" w:space="0" w:color="000000"/>
            </w:tcBorders>
          </w:tcPr>
          <w:p w14:paraId="7B1CCD66" w14:textId="77777777" w:rsidR="00B31AE2" w:rsidRPr="004500AE" w:rsidRDefault="00B31AE2" w:rsidP="00B31AE2">
            <w:pPr>
              <w:spacing w:line="259" w:lineRule="auto"/>
              <w:ind w:left="1" w:right="22"/>
              <w:rPr>
                <w:rFonts w:ascii="Arial" w:eastAsia="Calibri" w:hAnsi="Arial" w:cs="Arial"/>
                <w:sz w:val="20"/>
                <w:szCs w:val="20"/>
                <w:lang w:val="pt-PT"/>
              </w:rPr>
            </w:pPr>
            <w:r w:rsidRPr="004500AE">
              <w:rPr>
                <w:rFonts w:ascii="Arial" w:eastAsia="Calibri" w:hAnsi="Arial" w:cs="Arial"/>
                <w:sz w:val="20"/>
                <w:szCs w:val="20"/>
                <w:lang w:val="pt-PT"/>
              </w:rPr>
              <w:t xml:space="preserve">LAMBDA  </w:t>
            </w:r>
          </w:p>
        </w:tc>
        <w:tc>
          <w:tcPr>
            <w:tcW w:w="6095" w:type="dxa"/>
            <w:tcBorders>
              <w:top w:val="single" w:sz="4" w:space="0" w:color="000000"/>
              <w:left w:val="single" w:sz="4" w:space="0" w:color="000000"/>
              <w:bottom w:val="single" w:sz="4" w:space="0" w:color="000000"/>
              <w:right w:val="single" w:sz="4" w:space="0" w:color="000000"/>
            </w:tcBorders>
          </w:tcPr>
          <w:p w14:paraId="1B00BC31" w14:textId="77777777" w:rsidR="00B31AE2" w:rsidRPr="00292532" w:rsidRDefault="00B31AE2" w:rsidP="00B31AE2">
            <w:pPr>
              <w:spacing w:line="259" w:lineRule="auto"/>
              <w:ind w:left="1" w:right="22"/>
              <w:rPr>
                <w:rFonts w:ascii="Arial" w:eastAsia="Calibri" w:hAnsi="Arial" w:cs="Arial"/>
                <w:sz w:val="20"/>
                <w:szCs w:val="20"/>
                <w:lang w:val="pt-PT"/>
              </w:rPr>
            </w:pPr>
            <w:r w:rsidRPr="00292532">
              <w:rPr>
                <w:rFonts w:ascii="Arial" w:eastAsia="Calibri" w:hAnsi="Arial" w:cs="Arial"/>
                <w:sz w:val="20"/>
                <w:szCs w:val="20"/>
                <w:lang w:val="pt-PT"/>
              </w:rPr>
              <w:t xml:space="preserve"> Defesa dos direitos das minorias sexuais </w:t>
            </w:r>
          </w:p>
        </w:tc>
      </w:tr>
      <w:tr w:rsidR="00B31AE2" w:rsidRPr="004E2EAC" w14:paraId="010FF02D" w14:textId="77777777" w:rsidTr="00B31AE2">
        <w:tblPrEx>
          <w:tblCellMar>
            <w:left w:w="106" w:type="dxa"/>
            <w:right w:w="63" w:type="dxa"/>
          </w:tblCellMar>
        </w:tblPrEx>
        <w:trPr>
          <w:trHeight w:val="346"/>
        </w:trPr>
        <w:tc>
          <w:tcPr>
            <w:tcW w:w="2977" w:type="dxa"/>
            <w:tcBorders>
              <w:top w:val="single" w:sz="4" w:space="0" w:color="000000"/>
              <w:left w:val="single" w:sz="4" w:space="0" w:color="000000"/>
              <w:bottom w:val="single" w:sz="4" w:space="0" w:color="000000"/>
              <w:right w:val="single" w:sz="4" w:space="0" w:color="000000"/>
            </w:tcBorders>
          </w:tcPr>
          <w:p w14:paraId="6DD40B4A" w14:textId="77777777" w:rsidR="00B31AE2" w:rsidRPr="004500AE" w:rsidRDefault="00B31AE2" w:rsidP="00B31AE2">
            <w:pPr>
              <w:spacing w:line="259" w:lineRule="auto"/>
              <w:ind w:left="1" w:right="22"/>
              <w:rPr>
                <w:rFonts w:ascii="Arial" w:eastAsia="Calibri" w:hAnsi="Arial" w:cs="Arial"/>
                <w:sz w:val="20"/>
                <w:szCs w:val="20"/>
                <w:lang w:val="pt-PT"/>
              </w:rPr>
            </w:pPr>
            <w:proofErr w:type="spellStart"/>
            <w:r w:rsidRPr="004500AE">
              <w:rPr>
                <w:rFonts w:ascii="Arial" w:eastAsia="Calibri" w:hAnsi="Arial" w:cs="Arial"/>
                <w:sz w:val="20"/>
                <w:szCs w:val="20"/>
                <w:lang w:val="pt-PT"/>
              </w:rPr>
              <w:t>Magariro</w:t>
            </w:r>
            <w:proofErr w:type="spellEnd"/>
            <w:r w:rsidRPr="004500AE">
              <w:rPr>
                <w:rFonts w:ascii="Arial" w:eastAsia="Calibri" w:hAnsi="Arial" w:cs="Arial"/>
                <w:sz w:val="20"/>
                <w:szCs w:val="20"/>
                <w:lang w:val="pt-PT"/>
              </w:rPr>
              <w:t xml:space="preserve"> </w:t>
            </w:r>
          </w:p>
        </w:tc>
        <w:tc>
          <w:tcPr>
            <w:tcW w:w="6095" w:type="dxa"/>
            <w:tcBorders>
              <w:top w:val="single" w:sz="4" w:space="0" w:color="000000"/>
              <w:left w:val="single" w:sz="4" w:space="0" w:color="000000"/>
              <w:bottom w:val="single" w:sz="4" w:space="0" w:color="000000"/>
              <w:right w:val="single" w:sz="4" w:space="0" w:color="000000"/>
            </w:tcBorders>
          </w:tcPr>
          <w:p w14:paraId="7AC20A3E" w14:textId="77777777" w:rsidR="00B31AE2" w:rsidRPr="00292532" w:rsidRDefault="00B31AE2" w:rsidP="00B31AE2">
            <w:pPr>
              <w:spacing w:line="259" w:lineRule="auto"/>
              <w:ind w:left="1" w:right="22"/>
              <w:rPr>
                <w:rFonts w:ascii="Arial" w:eastAsia="Calibri" w:hAnsi="Arial" w:cs="Arial"/>
                <w:sz w:val="20"/>
                <w:szCs w:val="20"/>
                <w:lang w:val="pt-PT"/>
              </w:rPr>
            </w:pPr>
            <w:r w:rsidRPr="00292532">
              <w:rPr>
                <w:rFonts w:ascii="Arial" w:eastAsia="Calibri" w:hAnsi="Arial" w:cs="Arial"/>
                <w:sz w:val="20"/>
                <w:szCs w:val="20"/>
                <w:lang w:val="pt-PT"/>
              </w:rPr>
              <w:t xml:space="preserve">Advocacia e defesa dos direitos dos grupos mais desfavorecidos </w:t>
            </w:r>
          </w:p>
        </w:tc>
      </w:tr>
      <w:tr w:rsidR="00B31AE2" w:rsidRPr="004E2EAC" w14:paraId="27B909EB" w14:textId="77777777" w:rsidTr="00B31AE2">
        <w:tblPrEx>
          <w:tblCellMar>
            <w:left w:w="106" w:type="dxa"/>
            <w:right w:w="63" w:type="dxa"/>
          </w:tblCellMar>
        </w:tblPrEx>
        <w:trPr>
          <w:trHeight w:val="571"/>
        </w:trPr>
        <w:tc>
          <w:tcPr>
            <w:tcW w:w="2977" w:type="dxa"/>
            <w:tcBorders>
              <w:top w:val="single" w:sz="4" w:space="0" w:color="000000"/>
              <w:left w:val="single" w:sz="4" w:space="0" w:color="000000"/>
              <w:bottom w:val="single" w:sz="4" w:space="0" w:color="000000"/>
              <w:right w:val="single" w:sz="4" w:space="0" w:color="000000"/>
            </w:tcBorders>
          </w:tcPr>
          <w:p w14:paraId="5B7DA75E" w14:textId="77777777" w:rsidR="00B31AE2" w:rsidRPr="004500AE" w:rsidRDefault="00B31AE2" w:rsidP="00B31AE2">
            <w:pPr>
              <w:spacing w:line="259" w:lineRule="auto"/>
              <w:ind w:left="1" w:right="22"/>
              <w:rPr>
                <w:rFonts w:ascii="Arial" w:eastAsia="Calibri" w:hAnsi="Arial" w:cs="Arial"/>
                <w:sz w:val="20"/>
                <w:szCs w:val="20"/>
                <w:lang w:val="pt-PT"/>
              </w:rPr>
            </w:pPr>
            <w:r w:rsidRPr="004500AE">
              <w:rPr>
                <w:rFonts w:ascii="Arial" w:eastAsia="Calibri" w:hAnsi="Arial" w:cs="Arial"/>
                <w:sz w:val="20"/>
                <w:szCs w:val="20"/>
                <w:lang w:val="pt-PT"/>
              </w:rPr>
              <w:t>N´</w:t>
            </w:r>
            <w:proofErr w:type="spellStart"/>
            <w:r w:rsidRPr="004500AE">
              <w:rPr>
                <w:rFonts w:ascii="Arial" w:eastAsia="Calibri" w:hAnsi="Arial" w:cs="Arial"/>
                <w:sz w:val="20"/>
                <w:szCs w:val="20"/>
                <w:lang w:val="pt-PT"/>
              </w:rPr>
              <w:t>weti</w:t>
            </w:r>
            <w:proofErr w:type="spellEnd"/>
            <w:r w:rsidRPr="004500AE">
              <w:rPr>
                <w:rFonts w:ascii="Arial" w:eastAsia="Calibri" w:hAnsi="Arial" w:cs="Arial"/>
                <w:sz w:val="20"/>
                <w:szCs w:val="20"/>
                <w:lang w:val="pt-PT"/>
              </w:rPr>
              <w:t xml:space="preserve"> </w:t>
            </w:r>
          </w:p>
        </w:tc>
        <w:tc>
          <w:tcPr>
            <w:tcW w:w="6095" w:type="dxa"/>
            <w:tcBorders>
              <w:top w:val="single" w:sz="4" w:space="0" w:color="000000"/>
              <w:left w:val="single" w:sz="4" w:space="0" w:color="000000"/>
              <w:bottom w:val="single" w:sz="4" w:space="0" w:color="000000"/>
              <w:right w:val="single" w:sz="4" w:space="0" w:color="000000"/>
            </w:tcBorders>
          </w:tcPr>
          <w:p w14:paraId="7E8AA3C0" w14:textId="77777777" w:rsidR="00B31AE2" w:rsidRPr="00292532" w:rsidRDefault="00B31AE2" w:rsidP="00B31AE2">
            <w:pPr>
              <w:spacing w:line="259" w:lineRule="auto"/>
              <w:ind w:left="1" w:right="22"/>
              <w:rPr>
                <w:rFonts w:ascii="Arial" w:eastAsia="Calibri" w:hAnsi="Arial" w:cs="Arial"/>
                <w:sz w:val="20"/>
                <w:szCs w:val="20"/>
                <w:lang w:val="pt-PT"/>
              </w:rPr>
            </w:pPr>
            <w:r w:rsidRPr="00292532">
              <w:rPr>
                <w:rFonts w:ascii="Arial" w:eastAsia="Calibri" w:hAnsi="Arial" w:cs="Arial"/>
                <w:sz w:val="20"/>
                <w:szCs w:val="20"/>
                <w:lang w:val="pt-PT"/>
              </w:rPr>
              <w:t xml:space="preserve">Comunicação para mudança de comportamento na área da saúde e género; multimédia, Pesquisa e Mobilização social </w:t>
            </w:r>
          </w:p>
        </w:tc>
      </w:tr>
      <w:tr w:rsidR="00B31AE2" w:rsidRPr="00292532" w14:paraId="4A16FF72" w14:textId="77777777" w:rsidTr="00B31AE2">
        <w:tblPrEx>
          <w:tblCellMar>
            <w:left w:w="106" w:type="dxa"/>
            <w:right w:w="63" w:type="dxa"/>
          </w:tblCellMar>
        </w:tblPrEx>
        <w:trPr>
          <w:trHeight w:val="350"/>
        </w:trPr>
        <w:tc>
          <w:tcPr>
            <w:tcW w:w="2977" w:type="dxa"/>
            <w:tcBorders>
              <w:top w:val="single" w:sz="4" w:space="0" w:color="000000"/>
              <w:left w:val="single" w:sz="4" w:space="0" w:color="000000"/>
              <w:bottom w:val="single" w:sz="4" w:space="0" w:color="000000"/>
              <w:right w:val="single" w:sz="4" w:space="0" w:color="000000"/>
            </w:tcBorders>
          </w:tcPr>
          <w:p w14:paraId="00BE37F1" w14:textId="77777777" w:rsidR="00B31AE2" w:rsidRPr="004500AE" w:rsidRDefault="00B31AE2" w:rsidP="00B31AE2">
            <w:pPr>
              <w:spacing w:line="259" w:lineRule="auto"/>
              <w:ind w:left="1" w:right="22"/>
              <w:rPr>
                <w:rFonts w:ascii="Arial" w:eastAsia="Calibri" w:hAnsi="Arial" w:cs="Arial"/>
                <w:sz w:val="20"/>
                <w:szCs w:val="20"/>
                <w:lang w:val="pt-PT"/>
              </w:rPr>
            </w:pPr>
            <w:r w:rsidRPr="004500AE">
              <w:rPr>
                <w:rFonts w:ascii="Arial" w:eastAsia="Calibri" w:hAnsi="Arial" w:cs="Arial"/>
                <w:sz w:val="20"/>
                <w:szCs w:val="20"/>
                <w:lang w:val="pt-PT"/>
              </w:rPr>
              <w:t xml:space="preserve">PATHFINDER </w:t>
            </w:r>
          </w:p>
        </w:tc>
        <w:tc>
          <w:tcPr>
            <w:tcW w:w="6095" w:type="dxa"/>
            <w:tcBorders>
              <w:top w:val="single" w:sz="4" w:space="0" w:color="000000"/>
              <w:left w:val="single" w:sz="4" w:space="0" w:color="000000"/>
              <w:bottom w:val="single" w:sz="4" w:space="0" w:color="000000"/>
              <w:right w:val="single" w:sz="4" w:space="0" w:color="000000"/>
            </w:tcBorders>
          </w:tcPr>
          <w:p w14:paraId="1C74DB8A" w14:textId="77777777" w:rsidR="00B31AE2" w:rsidRPr="004500AE" w:rsidRDefault="00B31AE2" w:rsidP="00B31AE2">
            <w:pPr>
              <w:spacing w:line="259" w:lineRule="auto"/>
              <w:ind w:left="1" w:right="22"/>
              <w:rPr>
                <w:rFonts w:ascii="Arial" w:eastAsia="Calibri" w:hAnsi="Arial" w:cs="Arial"/>
                <w:sz w:val="20"/>
                <w:szCs w:val="20"/>
                <w:lang w:val="pt-PT"/>
              </w:rPr>
            </w:pPr>
            <w:r w:rsidRPr="004500AE">
              <w:rPr>
                <w:rFonts w:ascii="Arial" w:eastAsia="Calibri" w:hAnsi="Arial" w:cs="Arial"/>
                <w:sz w:val="20"/>
                <w:szCs w:val="20"/>
                <w:lang w:val="pt-PT"/>
              </w:rPr>
              <w:t xml:space="preserve">Direitos sexuais reprodutivos </w:t>
            </w:r>
          </w:p>
        </w:tc>
      </w:tr>
      <w:tr w:rsidR="00B31AE2" w:rsidRPr="004E2EAC" w14:paraId="016AE53B" w14:textId="77777777" w:rsidTr="00B31AE2">
        <w:tblPrEx>
          <w:tblCellMar>
            <w:left w:w="106" w:type="dxa"/>
            <w:right w:w="63" w:type="dxa"/>
          </w:tblCellMar>
        </w:tblPrEx>
        <w:trPr>
          <w:trHeight w:val="571"/>
        </w:trPr>
        <w:tc>
          <w:tcPr>
            <w:tcW w:w="2977" w:type="dxa"/>
            <w:tcBorders>
              <w:top w:val="single" w:sz="4" w:space="0" w:color="000000"/>
              <w:left w:val="single" w:sz="4" w:space="0" w:color="000000"/>
              <w:bottom w:val="single" w:sz="4" w:space="0" w:color="000000"/>
              <w:right w:val="single" w:sz="4" w:space="0" w:color="000000"/>
            </w:tcBorders>
          </w:tcPr>
          <w:p w14:paraId="6F52943C" w14:textId="77777777" w:rsidR="00B31AE2" w:rsidRPr="004500AE" w:rsidRDefault="00B31AE2" w:rsidP="00B31AE2">
            <w:pPr>
              <w:spacing w:line="259" w:lineRule="auto"/>
              <w:ind w:left="1" w:right="22"/>
              <w:rPr>
                <w:rFonts w:ascii="Arial" w:eastAsia="Calibri" w:hAnsi="Arial" w:cs="Arial"/>
                <w:sz w:val="20"/>
                <w:szCs w:val="20"/>
                <w:lang w:val="pt-PT"/>
              </w:rPr>
            </w:pPr>
            <w:r w:rsidRPr="004500AE">
              <w:rPr>
                <w:rFonts w:ascii="Arial" w:eastAsia="Calibri" w:hAnsi="Arial" w:cs="Arial"/>
                <w:sz w:val="20"/>
                <w:szCs w:val="20"/>
                <w:lang w:val="pt-PT"/>
              </w:rPr>
              <w:t xml:space="preserve">Rede CAME  </w:t>
            </w:r>
          </w:p>
        </w:tc>
        <w:tc>
          <w:tcPr>
            <w:tcW w:w="6095" w:type="dxa"/>
            <w:tcBorders>
              <w:top w:val="single" w:sz="4" w:space="0" w:color="000000"/>
              <w:left w:val="single" w:sz="4" w:space="0" w:color="000000"/>
              <w:bottom w:val="single" w:sz="4" w:space="0" w:color="000000"/>
              <w:right w:val="single" w:sz="4" w:space="0" w:color="000000"/>
            </w:tcBorders>
          </w:tcPr>
          <w:p w14:paraId="4E0DC5D2" w14:textId="77777777" w:rsidR="00B31AE2" w:rsidRPr="00292532" w:rsidRDefault="00B31AE2" w:rsidP="00B31AE2">
            <w:pPr>
              <w:spacing w:line="259" w:lineRule="auto"/>
              <w:ind w:left="1" w:right="22"/>
              <w:rPr>
                <w:rFonts w:ascii="Arial" w:eastAsia="Calibri" w:hAnsi="Arial" w:cs="Arial"/>
                <w:sz w:val="20"/>
                <w:szCs w:val="20"/>
                <w:lang w:val="pt-PT"/>
              </w:rPr>
            </w:pPr>
            <w:r w:rsidRPr="00292532">
              <w:rPr>
                <w:rFonts w:ascii="Arial" w:eastAsia="Calibri" w:hAnsi="Arial" w:cs="Arial"/>
                <w:sz w:val="20"/>
                <w:szCs w:val="20"/>
                <w:lang w:val="pt-PT"/>
              </w:rPr>
              <w:t xml:space="preserve">Prevenção e combate a todas as formas de abuso da criança através da educação, advocacia e sensibilização </w:t>
            </w:r>
          </w:p>
        </w:tc>
      </w:tr>
      <w:tr w:rsidR="00B31AE2" w:rsidRPr="004E2EAC" w14:paraId="7B414488" w14:textId="77777777" w:rsidTr="00B31AE2">
        <w:tblPrEx>
          <w:tblCellMar>
            <w:left w:w="106" w:type="dxa"/>
            <w:right w:w="63" w:type="dxa"/>
          </w:tblCellMar>
        </w:tblPrEx>
        <w:trPr>
          <w:trHeight w:val="566"/>
        </w:trPr>
        <w:tc>
          <w:tcPr>
            <w:tcW w:w="2977" w:type="dxa"/>
            <w:tcBorders>
              <w:top w:val="single" w:sz="4" w:space="0" w:color="000000"/>
              <w:left w:val="single" w:sz="4" w:space="0" w:color="000000"/>
              <w:bottom w:val="single" w:sz="4" w:space="0" w:color="000000"/>
              <w:right w:val="single" w:sz="4" w:space="0" w:color="000000"/>
            </w:tcBorders>
          </w:tcPr>
          <w:p w14:paraId="7CE8B709" w14:textId="77777777" w:rsidR="00B31AE2" w:rsidRPr="00292532" w:rsidRDefault="00B31AE2" w:rsidP="00B31AE2">
            <w:pPr>
              <w:spacing w:line="259" w:lineRule="auto"/>
              <w:ind w:left="1" w:right="22"/>
              <w:rPr>
                <w:rFonts w:ascii="Arial" w:eastAsia="Calibri" w:hAnsi="Arial" w:cs="Arial"/>
                <w:sz w:val="20"/>
                <w:szCs w:val="20"/>
                <w:lang w:val="pt-PT"/>
              </w:rPr>
            </w:pPr>
            <w:r w:rsidRPr="00292532">
              <w:rPr>
                <w:rFonts w:ascii="Arial" w:eastAsia="Calibri" w:hAnsi="Arial" w:cs="Arial"/>
                <w:sz w:val="20"/>
                <w:szCs w:val="20"/>
                <w:lang w:val="pt-PT"/>
              </w:rPr>
              <w:t xml:space="preserve">WLSA- Mulher e Lei na Africa Austral  </w:t>
            </w:r>
          </w:p>
        </w:tc>
        <w:tc>
          <w:tcPr>
            <w:tcW w:w="6095" w:type="dxa"/>
            <w:tcBorders>
              <w:top w:val="single" w:sz="4" w:space="0" w:color="000000"/>
              <w:left w:val="single" w:sz="4" w:space="0" w:color="000000"/>
              <w:bottom w:val="single" w:sz="4" w:space="0" w:color="000000"/>
              <w:right w:val="single" w:sz="4" w:space="0" w:color="000000"/>
            </w:tcBorders>
          </w:tcPr>
          <w:p w14:paraId="06C2D3BA" w14:textId="77777777" w:rsidR="00B31AE2" w:rsidRPr="00292532" w:rsidRDefault="00B31AE2" w:rsidP="00B31AE2">
            <w:pPr>
              <w:spacing w:line="259" w:lineRule="auto"/>
              <w:ind w:left="1" w:right="22"/>
              <w:rPr>
                <w:rFonts w:ascii="Arial" w:eastAsia="Calibri" w:hAnsi="Arial" w:cs="Arial"/>
                <w:sz w:val="20"/>
                <w:szCs w:val="20"/>
                <w:lang w:val="pt-PT"/>
              </w:rPr>
            </w:pPr>
            <w:r w:rsidRPr="00292532">
              <w:rPr>
                <w:rFonts w:ascii="Arial" w:eastAsia="Calibri" w:hAnsi="Arial" w:cs="Arial"/>
                <w:sz w:val="20"/>
                <w:szCs w:val="20"/>
                <w:lang w:val="pt-PT"/>
              </w:rPr>
              <w:t xml:space="preserve">Pesquisa sobre a situação dos direitos das mulheres, advocacia, mobilização social sobre o combate e prevenção a VBG </w:t>
            </w:r>
          </w:p>
        </w:tc>
      </w:tr>
    </w:tbl>
    <w:p w14:paraId="11EF1DEE" w14:textId="6ED32534" w:rsidR="00B31AE2" w:rsidRPr="00292532" w:rsidRDefault="00B31AE2" w:rsidP="00B31AE2">
      <w:pPr>
        <w:spacing w:before="0" w:after="120"/>
        <w:rPr>
          <w:rFonts w:ascii="Arial" w:eastAsia="Times New Roman" w:hAnsi="Arial" w:cs="Arial"/>
          <w:i/>
          <w:sz w:val="18"/>
          <w:lang w:val="pt-PT"/>
        </w:rPr>
      </w:pPr>
      <w:r w:rsidRPr="00292532">
        <w:rPr>
          <w:rFonts w:ascii="Arial" w:eastAsia="Times New Roman" w:hAnsi="Arial" w:cs="Arial"/>
          <w:sz w:val="18"/>
          <w:lang w:val="pt-PT"/>
        </w:rPr>
        <w:t>Fonte</w:t>
      </w:r>
      <w:r w:rsidRPr="00292532">
        <w:rPr>
          <w:rFonts w:ascii="Arial" w:eastAsia="Times New Roman" w:hAnsi="Arial" w:cs="Arial"/>
          <w:lang w:val="pt-PT"/>
        </w:rPr>
        <w:t xml:space="preserve">: </w:t>
      </w:r>
      <w:hyperlink r:id="rId57" w:history="1">
        <w:r w:rsidR="00A94216" w:rsidRPr="00292532">
          <w:rPr>
            <w:rStyle w:val="Hyperlink"/>
            <w:rFonts w:ascii="Arial" w:eastAsia="Times New Roman" w:hAnsi="Arial" w:cs="Arial"/>
            <w:i/>
            <w:sz w:val="18"/>
            <w:lang w:val="pt-PT"/>
          </w:rPr>
          <w:t>www.Joint.org.mz//public/assets/documentos/ongs_nacionais_que_actuam_no_pais</w:t>
        </w:r>
      </w:hyperlink>
    </w:p>
    <w:p w14:paraId="09B0B7BC" w14:textId="1ACCD22B" w:rsidR="00A94216" w:rsidRPr="00292532" w:rsidRDefault="00A94216" w:rsidP="00B31AE2">
      <w:pPr>
        <w:spacing w:before="0" w:after="120"/>
        <w:rPr>
          <w:rFonts w:ascii="Arial" w:eastAsia="Times New Roman" w:hAnsi="Arial" w:cs="Arial"/>
          <w:i/>
          <w:sz w:val="18"/>
          <w:lang w:val="pt-PT"/>
        </w:rPr>
      </w:pPr>
      <w:r w:rsidRPr="00292532">
        <w:rPr>
          <w:rFonts w:ascii="Arial" w:eastAsia="Times New Roman" w:hAnsi="Arial" w:cs="Arial"/>
          <w:i/>
          <w:sz w:val="18"/>
          <w:lang w:val="pt-PT"/>
        </w:rPr>
        <w:br w:type="page"/>
      </w:r>
    </w:p>
    <w:p w14:paraId="50753769" w14:textId="77777777" w:rsidR="00B31AE2" w:rsidRPr="00292532" w:rsidRDefault="00B31AE2" w:rsidP="00B31AE2">
      <w:pPr>
        <w:spacing w:before="0" w:after="120"/>
        <w:rPr>
          <w:rFonts w:ascii="Arial" w:eastAsia="Times New Roman" w:hAnsi="Arial" w:cs="Arial"/>
          <w:lang w:val="pt-PT"/>
        </w:rPr>
      </w:pPr>
    </w:p>
    <w:p w14:paraId="62F221EF" w14:textId="3639E8AE" w:rsidR="00B31AE2" w:rsidRPr="004500AE" w:rsidRDefault="00B31AE2" w:rsidP="00AE14AE">
      <w:pPr>
        <w:keepNext/>
        <w:keepLines/>
        <w:numPr>
          <w:ilvl w:val="0"/>
          <w:numId w:val="155"/>
        </w:numPr>
        <w:suppressAutoHyphens/>
        <w:spacing w:before="0" w:after="120"/>
        <w:outlineLvl w:val="0"/>
        <w:rPr>
          <w:rFonts w:eastAsia="Times New Roman" w:cs="Times New Roman"/>
          <w:color w:val="2F5496"/>
          <w:sz w:val="32"/>
          <w:lang w:val="pt-PT"/>
        </w:rPr>
      </w:pPr>
      <w:bookmarkStart w:id="1692" w:name="_Toc64135307"/>
      <w:bookmarkStart w:id="1693" w:name="_Toc65012108"/>
      <w:bookmarkStart w:id="1694" w:name="_Toc65841217"/>
      <w:bookmarkStart w:id="1695" w:name="_Toc65867369"/>
      <w:bookmarkStart w:id="1696" w:name="_Toc66882418"/>
      <w:bookmarkStart w:id="1697" w:name="_Toc66885201"/>
      <w:bookmarkStart w:id="1698" w:name="_Toc75246798"/>
      <w:bookmarkStart w:id="1699" w:name="_Toc75438116"/>
      <w:bookmarkStart w:id="1700" w:name="_Toc78435553"/>
      <w:bookmarkStart w:id="1701" w:name="_Toc80380219"/>
      <w:r w:rsidRPr="004500AE">
        <w:rPr>
          <w:rFonts w:eastAsia="Times New Roman" w:cs="Times New Roman"/>
          <w:color w:val="2F5496"/>
          <w:sz w:val="32"/>
          <w:lang w:val="pt-PT"/>
        </w:rPr>
        <w:t xml:space="preserve">Análise dos riscos e </w:t>
      </w:r>
      <w:bookmarkEnd w:id="1692"/>
      <w:bookmarkEnd w:id="1693"/>
      <w:bookmarkEnd w:id="1694"/>
      <w:bookmarkEnd w:id="1695"/>
      <w:bookmarkEnd w:id="1696"/>
      <w:bookmarkEnd w:id="1697"/>
      <w:r w:rsidRPr="004500AE">
        <w:rPr>
          <w:rFonts w:eastAsia="Times New Roman" w:cs="Times New Roman"/>
          <w:color w:val="2F5496"/>
          <w:sz w:val="32"/>
          <w:lang w:val="pt-PT"/>
        </w:rPr>
        <w:t>medidas de mitigação</w:t>
      </w:r>
      <w:bookmarkEnd w:id="1698"/>
      <w:bookmarkEnd w:id="1699"/>
      <w:bookmarkEnd w:id="1700"/>
      <w:bookmarkEnd w:id="1701"/>
    </w:p>
    <w:p w14:paraId="7E0CB96B" w14:textId="77777777" w:rsidR="00B31AE2" w:rsidRPr="00292532" w:rsidRDefault="00B31AE2" w:rsidP="00B31AE2">
      <w:pPr>
        <w:spacing w:before="0" w:after="120"/>
        <w:rPr>
          <w:rFonts w:ascii="Arial" w:eastAsia="Times New Roman" w:hAnsi="Arial" w:cs="Arial"/>
          <w:sz w:val="20"/>
          <w:szCs w:val="20"/>
          <w:lang w:val="pt-PT"/>
        </w:rPr>
      </w:pPr>
      <w:r w:rsidRPr="00292532">
        <w:rPr>
          <w:rFonts w:ascii="Arial" w:eastAsia="Times New Roman" w:hAnsi="Arial" w:cs="Arial"/>
          <w:sz w:val="20"/>
          <w:szCs w:val="20"/>
          <w:lang w:val="pt-PT"/>
        </w:rPr>
        <w:t xml:space="preserve">O </w:t>
      </w:r>
      <w:proofErr w:type="spellStart"/>
      <w:r w:rsidRPr="00292532">
        <w:rPr>
          <w:rFonts w:ascii="Arial" w:eastAsia="Times New Roman" w:hAnsi="Arial" w:cs="Arial"/>
          <w:sz w:val="20"/>
          <w:szCs w:val="20"/>
          <w:lang w:val="pt-PT"/>
        </w:rPr>
        <w:t>projecto</w:t>
      </w:r>
      <w:proofErr w:type="spellEnd"/>
      <w:r w:rsidRPr="00292532">
        <w:rPr>
          <w:rFonts w:ascii="Arial" w:eastAsia="Times New Roman" w:hAnsi="Arial" w:cs="Arial"/>
          <w:sz w:val="20"/>
          <w:szCs w:val="20"/>
          <w:lang w:val="pt-PT"/>
        </w:rPr>
        <w:t xml:space="preserve"> comporta </w:t>
      </w:r>
      <w:proofErr w:type="spellStart"/>
      <w:r w:rsidRPr="00292532">
        <w:rPr>
          <w:rFonts w:ascii="Arial" w:eastAsia="Times New Roman" w:hAnsi="Arial" w:cs="Arial"/>
          <w:sz w:val="20"/>
          <w:szCs w:val="20"/>
          <w:lang w:val="pt-PT"/>
        </w:rPr>
        <w:t>actividades</w:t>
      </w:r>
      <w:proofErr w:type="spellEnd"/>
      <w:r w:rsidRPr="00292532">
        <w:rPr>
          <w:rFonts w:ascii="Arial" w:eastAsia="Times New Roman" w:hAnsi="Arial" w:cs="Arial"/>
          <w:sz w:val="20"/>
          <w:szCs w:val="20"/>
          <w:lang w:val="pt-PT"/>
        </w:rPr>
        <w:t xml:space="preserve"> que demandam risco de VBG/EAS/AS, mais especificamente em </w:t>
      </w:r>
      <w:proofErr w:type="spellStart"/>
      <w:r w:rsidRPr="00292532">
        <w:rPr>
          <w:rFonts w:ascii="Arial" w:eastAsia="Times New Roman" w:hAnsi="Arial" w:cs="Arial"/>
          <w:sz w:val="20"/>
          <w:szCs w:val="20"/>
          <w:lang w:val="pt-PT"/>
        </w:rPr>
        <w:t>actividades</w:t>
      </w:r>
      <w:proofErr w:type="spellEnd"/>
      <w:r w:rsidRPr="00292532">
        <w:rPr>
          <w:rFonts w:ascii="Arial" w:eastAsia="Times New Roman" w:hAnsi="Arial" w:cs="Arial"/>
          <w:sz w:val="20"/>
          <w:szCs w:val="20"/>
          <w:lang w:val="pt-PT"/>
        </w:rPr>
        <w:t xml:space="preserve"> relacionadas com obras civis, processo de </w:t>
      </w:r>
      <w:proofErr w:type="spellStart"/>
      <w:r w:rsidRPr="00292532">
        <w:rPr>
          <w:rFonts w:ascii="Arial" w:eastAsia="Times New Roman" w:hAnsi="Arial" w:cs="Arial"/>
          <w:sz w:val="20"/>
          <w:szCs w:val="20"/>
          <w:lang w:val="pt-PT"/>
        </w:rPr>
        <w:t>selecção</w:t>
      </w:r>
      <w:proofErr w:type="spellEnd"/>
      <w:r w:rsidRPr="00292532">
        <w:rPr>
          <w:rFonts w:ascii="Arial" w:eastAsia="Times New Roman" w:hAnsi="Arial" w:cs="Arial"/>
          <w:sz w:val="20"/>
          <w:szCs w:val="20"/>
          <w:lang w:val="pt-PT"/>
        </w:rPr>
        <w:t xml:space="preserve"> e contratação, sensibilização e trabalhos ao nível escolar e domiciliar. Os mesmos riscos podem ser exacerbados num contexto de deterioração económica exacerbada pela pandemia da COVID-19 (perdas de emprego, de oportunidades de formação (instabilidade da escolaridade), meios de vida por muitas famílias e mulheres, sobretudo que estão desproporcionalmente representadas em </w:t>
      </w:r>
      <w:proofErr w:type="spellStart"/>
      <w:r w:rsidRPr="00292532">
        <w:rPr>
          <w:rFonts w:ascii="Arial" w:eastAsia="Times New Roman" w:hAnsi="Arial" w:cs="Arial"/>
          <w:sz w:val="20"/>
          <w:szCs w:val="20"/>
          <w:lang w:val="pt-PT"/>
        </w:rPr>
        <w:t>actividades</w:t>
      </w:r>
      <w:proofErr w:type="spellEnd"/>
      <w:r w:rsidRPr="00292532">
        <w:rPr>
          <w:rFonts w:ascii="Arial" w:eastAsia="Times New Roman" w:hAnsi="Arial" w:cs="Arial"/>
          <w:sz w:val="20"/>
          <w:szCs w:val="20"/>
          <w:lang w:val="pt-PT"/>
        </w:rPr>
        <w:t xml:space="preserve"> de negócio de pequena dimensão (</w:t>
      </w:r>
      <w:proofErr w:type="spellStart"/>
      <w:r w:rsidRPr="00292532">
        <w:rPr>
          <w:rFonts w:ascii="Arial" w:eastAsia="Times New Roman" w:hAnsi="Arial" w:cs="Arial"/>
          <w:sz w:val="20"/>
          <w:szCs w:val="20"/>
          <w:lang w:val="pt-PT"/>
        </w:rPr>
        <w:t>Confecção</w:t>
      </w:r>
      <w:proofErr w:type="spellEnd"/>
      <w:r w:rsidRPr="00292532">
        <w:rPr>
          <w:rFonts w:ascii="Arial" w:eastAsia="Times New Roman" w:hAnsi="Arial" w:cs="Arial"/>
          <w:sz w:val="20"/>
          <w:szCs w:val="20"/>
          <w:lang w:val="pt-PT"/>
        </w:rPr>
        <w:t xml:space="preserve"> de alimentos, limpezas, etc.). Contudo, se aplicadas as medidas e mecanismos apropriados para responder a esses riscos os mesmos podem ser minimizados.</w:t>
      </w:r>
    </w:p>
    <w:p w14:paraId="0DFD4DA2" w14:textId="7F956B5F" w:rsidR="00061682" w:rsidRPr="00292532" w:rsidRDefault="00061682" w:rsidP="00B31AE2">
      <w:pPr>
        <w:jc w:val="center"/>
        <w:rPr>
          <w:rFonts w:ascii="Arial" w:eastAsia="Calibri" w:hAnsi="Arial" w:cs="Arial"/>
          <w:b/>
          <w:bCs/>
          <w:color w:val="FFFFFF"/>
          <w:sz w:val="20"/>
          <w:szCs w:val="18"/>
          <w:lang w:val="pt-PT"/>
        </w:rPr>
      </w:pPr>
    </w:p>
    <w:p w14:paraId="22451F9D" w14:textId="5721E3D5" w:rsidR="00061682" w:rsidRPr="00292532" w:rsidRDefault="00061682" w:rsidP="00B31AE2">
      <w:pPr>
        <w:jc w:val="center"/>
        <w:rPr>
          <w:rFonts w:ascii="Arial" w:eastAsia="Calibri" w:hAnsi="Arial" w:cs="Arial"/>
          <w:b/>
          <w:bCs/>
          <w:color w:val="FFFFFF"/>
          <w:sz w:val="20"/>
          <w:szCs w:val="18"/>
          <w:lang w:val="pt-PT"/>
        </w:rPr>
      </w:pPr>
    </w:p>
    <w:p w14:paraId="1C717499" w14:textId="77777777" w:rsidR="00061682" w:rsidRPr="00292532" w:rsidRDefault="00061682" w:rsidP="00B31AE2">
      <w:pPr>
        <w:jc w:val="center"/>
        <w:rPr>
          <w:rFonts w:ascii="Arial" w:eastAsia="Calibri" w:hAnsi="Arial" w:cs="Arial"/>
          <w:b/>
          <w:bCs/>
          <w:color w:val="FFFFFF"/>
          <w:sz w:val="20"/>
          <w:szCs w:val="18"/>
          <w:lang w:val="pt-PT"/>
        </w:rPr>
        <w:sectPr w:rsidR="00061682" w:rsidRPr="00292532" w:rsidSect="00CC332B">
          <w:pgSz w:w="11900" w:h="16838"/>
          <w:pgMar w:top="1418" w:right="1426" w:bottom="457" w:left="1440" w:header="0" w:footer="0" w:gutter="0"/>
          <w:cols w:space="720" w:equalWidth="0">
            <w:col w:w="9040"/>
          </w:cols>
        </w:sectPr>
      </w:pPr>
    </w:p>
    <w:p w14:paraId="4A2E3FAA" w14:textId="7EFF1FBC" w:rsidR="00061682" w:rsidRPr="00292532" w:rsidRDefault="00061682" w:rsidP="00B31AE2">
      <w:pPr>
        <w:jc w:val="center"/>
        <w:rPr>
          <w:rFonts w:ascii="Arial" w:eastAsia="Calibri" w:hAnsi="Arial" w:cs="Arial"/>
          <w:b/>
          <w:bCs/>
          <w:color w:val="FFFFFF"/>
          <w:sz w:val="20"/>
          <w:szCs w:val="18"/>
          <w:lang w:val="pt-PT"/>
        </w:rPr>
      </w:pPr>
    </w:p>
    <w:p w14:paraId="0EAAB9CA" w14:textId="7D260E7F" w:rsidR="00061682" w:rsidRPr="004500AE" w:rsidRDefault="00061682" w:rsidP="004500AE">
      <w:pPr>
        <w:keepNext/>
        <w:spacing w:before="0" w:after="200"/>
        <w:rPr>
          <w:rFonts w:ascii="Arial" w:eastAsia="Times New Roman" w:hAnsi="Arial" w:cs="Times New Roman"/>
          <w:i/>
          <w:iCs/>
          <w:color w:val="44546A"/>
          <w:sz w:val="18"/>
          <w:szCs w:val="18"/>
          <w:lang w:val="pt-PT"/>
        </w:rPr>
      </w:pPr>
      <w:r w:rsidRPr="004500AE">
        <w:rPr>
          <w:rFonts w:ascii="Arial" w:eastAsia="Times New Roman" w:hAnsi="Arial" w:cs="Times New Roman"/>
          <w:i/>
          <w:iCs/>
          <w:color w:val="44546A"/>
          <w:sz w:val="18"/>
          <w:szCs w:val="18"/>
          <w:lang w:val="pt-PT"/>
        </w:rPr>
        <w:t xml:space="preserve">Tabela </w:t>
      </w:r>
      <w:r w:rsidRPr="00292532">
        <w:rPr>
          <w:rFonts w:ascii="Arial" w:eastAsia="Times New Roman" w:hAnsi="Arial" w:cs="Times New Roman"/>
          <w:i/>
          <w:iCs/>
          <w:color w:val="44546A"/>
          <w:sz w:val="18"/>
          <w:szCs w:val="18"/>
          <w:lang w:val="pt-PT"/>
        </w:rPr>
        <w:t>4</w:t>
      </w:r>
      <w:r w:rsidRPr="004500AE">
        <w:rPr>
          <w:rFonts w:ascii="Arial" w:eastAsia="Times New Roman" w:hAnsi="Arial" w:cs="Times New Roman"/>
          <w:i/>
          <w:iCs/>
          <w:color w:val="44546A"/>
          <w:sz w:val="18"/>
          <w:szCs w:val="18"/>
          <w:lang w:val="pt-PT"/>
        </w:rPr>
        <w:t xml:space="preserve"> Avaliação dos riscos e medidas de mitigação de riscos de VBG para o </w:t>
      </w:r>
      <w:proofErr w:type="spellStart"/>
      <w:r w:rsidRPr="004500AE">
        <w:rPr>
          <w:rFonts w:ascii="Arial" w:eastAsia="Times New Roman" w:hAnsi="Arial" w:cs="Times New Roman"/>
          <w:i/>
          <w:iCs/>
          <w:color w:val="44546A"/>
          <w:sz w:val="18"/>
          <w:szCs w:val="18"/>
          <w:lang w:val="pt-PT"/>
        </w:rPr>
        <w:t>Projecto</w:t>
      </w:r>
      <w:proofErr w:type="spellEnd"/>
    </w:p>
    <w:tbl>
      <w:tblPr>
        <w:tblStyle w:val="0-Table11"/>
        <w:tblW w:w="14035" w:type="dxa"/>
        <w:tblLook w:val="04A0" w:firstRow="1" w:lastRow="0" w:firstColumn="1" w:lastColumn="0" w:noHBand="0" w:noVBand="1"/>
      </w:tblPr>
      <w:tblGrid>
        <w:gridCol w:w="2532"/>
        <w:gridCol w:w="3191"/>
        <w:gridCol w:w="3207"/>
        <w:gridCol w:w="2668"/>
        <w:gridCol w:w="2437"/>
      </w:tblGrid>
      <w:tr w:rsidR="00B31AE2" w:rsidRPr="00292532" w14:paraId="6DA0BE08" w14:textId="77777777" w:rsidTr="00B31AE2">
        <w:trPr>
          <w:trHeight w:val="494"/>
          <w:tblHeader/>
        </w:trPr>
        <w:tc>
          <w:tcPr>
            <w:tcW w:w="2532" w:type="dxa"/>
            <w:shd w:val="clear" w:color="auto" w:fill="5B9BD5"/>
            <w:vAlign w:val="center"/>
          </w:tcPr>
          <w:p w14:paraId="2692BB84" w14:textId="39B6D43C" w:rsidR="00B31AE2" w:rsidRPr="00292532" w:rsidRDefault="00B31AE2" w:rsidP="00B31AE2">
            <w:pPr>
              <w:jc w:val="center"/>
              <w:rPr>
                <w:rFonts w:ascii="Arial" w:eastAsia="Calibri" w:hAnsi="Arial" w:cs="Arial"/>
                <w:b/>
                <w:bCs/>
                <w:color w:val="FFFFFF"/>
                <w:sz w:val="20"/>
                <w:szCs w:val="18"/>
                <w:lang w:val="pt-PT"/>
              </w:rPr>
            </w:pPr>
            <w:r w:rsidRPr="00292532">
              <w:rPr>
                <w:rFonts w:ascii="Arial" w:eastAsia="Calibri" w:hAnsi="Arial" w:cs="Arial"/>
                <w:b/>
                <w:bCs/>
                <w:color w:val="FFFFFF"/>
                <w:sz w:val="20"/>
                <w:szCs w:val="18"/>
                <w:lang w:val="pt-PT"/>
              </w:rPr>
              <w:t xml:space="preserve">Tipo de </w:t>
            </w:r>
            <w:proofErr w:type="spellStart"/>
            <w:r w:rsidRPr="00292532">
              <w:rPr>
                <w:rFonts w:ascii="Arial" w:eastAsia="Calibri" w:hAnsi="Arial" w:cs="Arial"/>
                <w:b/>
                <w:bCs/>
                <w:color w:val="FFFFFF"/>
                <w:sz w:val="20"/>
                <w:szCs w:val="18"/>
                <w:lang w:val="pt-PT"/>
              </w:rPr>
              <w:t>Actividade</w:t>
            </w:r>
            <w:proofErr w:type="spellEnd"/>
          </w:p>
        </w:tc>
        <w:tc>
          <w:tcPr>
            <w:tcW w:w="3191" w:type="dxa"/>
            <w:shd w:val="clear" w:color="auto" w:fill="5B9BD5"/>
            <w:vAlign w:val="center"/>
          </w:tcPr>
          <w:p w14:paraId="663071D8" w14:textId="77777777" w:rsidR="00B31AE2" w:rsidRPr="00292532" w:rsidRDefault="00B31AE2" w:rsidP="00B31AE2">
            <w:pPr>
              <w:jc w:val="center"/>
              <w:rPr>
                <w:rFonts w:ascii="Arial" w:eastAsia="Calibri" w:hAnsi="Arial" w:cs="Arial"/>
                <w:b/>
                <w:bCs/>
                <w:color w:val="FFFFFF"/>
                <w:sz w:val="20"/>
                <w:szCs w:val="18"/>
                <w:lang w:val="pt-PT"/>
              </w:rPr>
            </w:pPr>
            <w:r w:rsidRPr="00292532">
              <w:rPr>
                <w:rFonts w:ascii="Arial" w:eastAsia="Calibri" w:hAnsi="Arial" w:cs="Arial"/>
                <w:b/>
                <w:bCs/>
                <w:color w:val="FFFFFF"/>
                <w:sz w:val="20"/>
                <w:szCs w:val="18"/>
                <w:lang w:val="pt-PT"/>
              </w:rPr>
              <w:t>Riscos e Considerações</w:t>
            </w:r>
          </w:p>
        </w:tc>
        <w:tc>
          <w:tcPr>
            <w:tcW w:w="3207" w:type="dxa"/>
            <w:shd w:val="clear" w:color="auto" w:fill="5B9BD5"/>
            <w:vAlign w:val="center"/>
          </w:tcPr>
          <w:p w14:paraId="6B8C62D4" w14:textId="77777777" w:rsidR="00B31AE2" w:rsidRPr="00292532" w:rsidRDefault="00B31AE2" w:rsidP="00B31AE2">
            <w:pPr>
              <w:jc w:val="center"/>
              <w:rPr>
                <w:rFonts w:ascii="Arial" w:eastAsia="Calibri" w:hAnsi="Arial" w:cs="Arial"/>
                <w:b/>
                <w:bCs/>
                <w:color w:val="FFFFFF"/>
                <w:sz w:val="20"/>
                <w:szCs w:val="18"/>
                <w:lang w:val="pt-PT"/>
              </w:rPr>
            </w:pPr>
            <w:r w:rsidRPr="00292532">
              <w:rPr>
                <w:rFonts w:ascii="Arial" w:eastAsia="Calibri" w:hAnsi="Arial" w:cs="Arial"/>
                <w:b/>
                <w:bCs/>
                <w:color w:val="FFFFFF"/>
                <w:sz w:val="20"/>
                <w:szCs w:val="18"/>
                <w:lang w:val="pt-PT"/>
              </w:rPr>
              <w:t>Recomendações, medidas de mitigação e Prevenção</w:t>
            </w:r>
          </w:p>
        </w:tc>
        <w:tc>
          <w:tcPr>
            <w:tcW w:w="2668" w:type="dxa"/>
            <w:shd w:val="clear" w:color="auto" w:fill="5B9BD5"/>
            <w:vAlign w:val="center"/>
          </w:tcPr>
          <w:p w14:paraId="03B8466C" w14:textId="77777777" w:rsidR="00B31AE2" w:rsidRPr="00292532" w:rsidRDefault="00B31AE2" w:rsidP="00B31AE2">
            <w:pPr>
              <w:jc w:val="center"/>
              <w:rPr>
                <w:rFonts w:ascii="Arial" w:eastAsia="Calibri" w:hAnsi="Arial" w:cs="Arial"/>
                <w:b/>
                <w:bCs/>
                <w:color w:val="FFFFFF"/>
                <w:sz w:val="20"/>
                <w:szCs w:val="18"/>
                <w:lang w:val="pt-PT"/>
              </w:rPr>
            </w:pPr>
            <w:r w:rsidRPr="00292532">
              <w:rPr>
                <w:rFonts w:ascii="Arial" w:eastAsia="Calibri" w:hAnsi="Arial" w:cs="Arial"/>
                <w:b/>
                <w:bCs/>
                <w:color w:val="FFFFFF"/>
                <w:sz w:val="20"/>
                <w:szCs w:val="18"/>
                <w:lang w:val="pt-PT"/>
              </w:rPr>
              <w:t>Indicadores de Execução</w:t>
            </w:r>
          </w:p>
        </w:tc>
        <w:tc>
          <w:tcPr>
            <w:tcW w:w="2437" w:type="dxa"/>
            <w:shd w:val="clear" w:color="auto" w:fill="5B9BD5"/>
            <w:vAlign w:val="center"/>
          </w:tcPr>
          <w:p w14:paraId="4F7243D2" w14:textId="77777777" w:rsidR="00B31AE2" w:rsidRPr="00292532" w:rsidRDefault="00B31AE2" w:rsidP="00B31AE2">
            <w:pPr>
              <w:jc w:val="center"/>
              <w:rPr>
                <w:rFonts w:ascii="Arial" w:eastAsia="Calibri" w:hAnsi="Arial" w:cs="Arial"/>
                <w:b/>
                <w:bCs/>
                <w:color w:val="FFFFFF"/>
                <w:sz w:val="20"/>
                <w:szCs w:val="18"/>
                <w:lang w:val="pt-PT"/>
              </w:rPr>
            </w:pPr>
            <w:r w:rsidRPr="00292532">
              <w:rPr>
                <w:rFonts w:ascii="Arial" w:eastAsia="Calibri" w:hAnsi="Arial" w:cs="Arial"/>
                <w:b/>
                <w:bCs/>
                <w:color w:val="FFFFFF"/>
                <w:sz w:val="20"/>
                <w:szCs w:val="18"/>
                <w:lang w:val="pt-PT"/>
              </w:rPr>
              <w:t>Parte Responsável</w:t>
            </w:r>
          </w:p>
        </w:tc>
      </w:tr>
      <w:tr w:rsidR="00B31AE2" w:rsidRPr="004E2EAC" w14:paraId="5EDA1857" w14:textId="77777777" w:rsidTr="00B31AE2">
        <w:trPr>
          <w:trHeight w:val="1277"/>
        </w:trPr>
        <w:tc>
          <w:tcPr>
            <w:tcW w:w="2532" w:type="dxa"/>
            <w:vMerge w:val="restart"/>
            <w:shd w:val="clear" w:color="auto" w:fill="auto"/>
            <w:vAlign w:val="center"/>
          </w:tcPr>
          <w:p w14:paraId="4AA72494" w14:textId="77777777" w:rsidR="00B31AE2" w:rsidRPr="00292532" w:rsidRDefault="00B31AE2" w:rsidP="00B31AE2">
            <w:pPr>
              <w:rPr>
                <w:rFonts w:ascii="Arial" w:eastAsia="Calibri" w:hAnsi="Arial" w:cs="Arial"/>
                <w:b/>
                <w:bCs/>
                <w:sz w:val="18"/>
                <w:szCs w:val="18"/>
                <w:lang w:val="pt-PT"/>
              </w:rPr>
            </w:pPr>
            <w:r w:rsidRPr="00292532">
              <w:rPr>
                <w:rFonts w:ascii="Arial" w:eastAsia="Calibri" w:hAnsi="Arial" w:cs="Arial"/>
                <w:b/>
                <w:bCs/>
                <w:sz w:val="18"/>
                <w:szCs w:val="18"/>
                <w:lang w:val="pt-PT"/>
              </w:rPr>
              <w:t>Construção e reabilitação de sistemas de abastecimento de água e serviços de saneamento</w:t>
            </w:r>
          </w:p>
        </w:tc>
        <w:tc>
          <w:tcPr>
            <w:tcW w:w="3191" w:type="dxa"/>
            <w:shd w:val="clear" w:color="auto" w:fill="auto"/>
            <w:vAlign w:val="center"/>
          </w:tcPr>
          <w:p w14:paraId="09331C5C"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MS Mincho" w:hAnsi="Arial" w:cs="Arial"/>
                <w:bCs/>
                <w:sz w:val="18"/>
                <w:szCs w:val="18"/>
                <w:lang w:val="pt-PT"/>
              </w:rPr>
              <w:t xml:space="preserve">Risco de assédio sexual perpetrado por trabalhadores do </w:t>
            </w:r>
            <w:proofErr w:type="spellStart"/>
            <w:r w:rsidRPr="00292532">
              <w:rPr>
                <w:rFonts w:ascii="Arial" w:eastAsia="MS Mincho" w:hAnsi="Arial" w:cs="Arial"/>
                <w:bCs/>
                <w:sz w:val="18"/>
                <w:szCs w:val="18"/>
                <w:lang w:val="pt-PT"/>
              </w:rPr>
              <w:t>projecto</w:t>
            </w:r>
            <w:proofErr w:type="spellEnd"/>
            <w:r w:rsidRPr="00292532">
              <w:rPr>
                <w:rFonts w:ascii="Arial" w:eastAsia="MS Mincho" w:hAnsi="Arial" w:cs="Arial"/>
                <w:bCs/>
                <w:sz w:val="18"/>
                <w:szCs w:val="18"/>
                <w:lang w:val="pt-PT"/>
              </w:rPr>
              <w:t xml:space="preserve"> aproveitando-se da posição de poder para abusar e explorar colegas do trabalho ou mulheres e raparigas da comunidade, incluindo outras formas de violência (ex. psicológica, económica, etc.). É um </w:t>
            </w:r>
            <w:proofErr w:type="spellStart"/>
            <w:r w:rsidRPr="00292532">
              <w:rPr>
                <w:rFonts w:ascii="Arial" w:eastAsia="MS Mincho" w:hAnsi="Arial" w:cs="Arial"/>
                <w:bCs/>
                <w:sz w:val="18"/>
                <w:szCs w:val="18"/>
                <w:lang w:val="pt-PT"/>
              </w:rPr>
              <w:t>aspecto</w:t>
            </w:r>
            <w:proofErr w:type="spellEnd"/>
            <w:r w:rsidRPr="00292532">
              <w:rPr>
                <w:rFonts w:ascii="Arial" w:eastAsia="MS Mincho" w:hAnsi="Arial" w:cs="Arial"/>
                <w:bCs/>
                <w:sz w:val="18"/>
                <w:szCs w:val="18"/>
                <w:lang w:val="pt-PT"/>
              </w:rPr>
              <w:t xml:space="preserve"> comum quando envolve pessoas em situações de vulnerabilidade social e/ou económica, o que lhes dá poucas possibilidades de resistirem à pressão sofrida e a denunciarem – pois têm o receio de perder as oportunidades que lhes são oferecidas.</w:t>
            </w:r>
          </w:p>
        </w:tc>
        <w:tc>
          <w:tcPr>
            <w:tcW w:w="3207" w:type="dxa"/>
            <w:shd w:val="clear" w:color="auto" w:fill="auto"/>
            <w:vAlign w:val="center"/>
          </w:tcPr>
          <w:p w14:paraId="08D399B1"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Calibri" w:hAnsi="Arial" w:cs="Arial"/>
                <w:sz w:val="18"/>
                <w:szCs w:val="18"/>
                <w:lang w:val="pt-PT"/>
              </w:rPr>
              <w:t>Divulgar</w:t>
            </w:r>
            <w:r w:rsidRPr="00292532">
              <w:rPr>
                <w:rFonts w:ascii="Arial" w:eastAsia="MS Mincho" w:hAnsi="Arial" w:cs="Arial"/>
                <w:bCs/>
                <w:sz w:val="18"/>
                <w:szCs w:val="18"/>
                <w:lang w:val="pt-PT"/>
              </w:rPr>
              <w:t xml:space="preserve"> e assegurar a assinatura de códigos de conduta que incluam cláusulas sobre VBG/EAS e para regular a conduta e comportamento de trabalhadores do </w:t>
            </w:r>
            <w:proofErr w:type="spellStart"/>
            <w:r w:rsidRPr="00292532">
              <w:rPr>
                <w:rFonts w:ascii="Arial" w:eastAsia="MS Mincho" w:hAnsi="Arial" w:cs="Arial"/>
                <w:bCs/>
                <w:sz w:val="18"/>
                <w:szCs w:val="18"/>
                <w:lang w:val="pt-PT"/>
              </w:rPr>
              <w:t>projecto</w:t>
            </w:r>
            <w:proofErr w:type="spellEnd"/>
            <w:r w:rsidRPr="00292532">
              <w:rPr>
                <w:rFonts w:ascii="Arial" w:eastAsia="MS Mincho" w:hAnsi="Arial" w:cs="Arial"/>
                <w:bCs/>
                <w:sz w:val="18"/>
                <w:szCs w:val="18"/>
                <w:lang w:val="pt-PT"/>
              </w:rPr>
              <w:t xml:space="preserve"> durante as suas </w:t>
            </w:r>
            <w:proofErr w:type="spellStart"/>
            <w:r w:rsidRPr="00292532">
              <w:rPr>
                <w:rFonts w:ascii="Arial" w:eastAsia="MS Mincho" w:hAnsi="Arial" w:cs="Arial"/>
                <w:bCs/>
                <w:sz w:val="18"/>
                <w:szCs w:val="18"/>
                <w:lang w:val="pt-PT"/>
              </w:rPr>
              <w:t>actividades</w:t>
            </w:r>
            <w:proofErr w:type="spellEnd"/>
            <w:r w:rsidRPr="00292532">
              <w:rPr>
                <w:rFonts w:ascii="Arial" w:eastAsia="MS Mincho" w:hAnsi="Arial" w:cs="Arial"/>
                <w:bCs/>
                <w:sz w:val="18"/>
                <w:szCs w:val="18"/>
                <w:lang w:val="pt-PT"/>
              </w:rPr>
              <w:t xml:space="preserve"> e </w:t>
            </w:r>
            <w:proofErr w:type="spellStart"/>
            <w:r w:rsidRPr="00292532">
              <w:rPr>
                <w:rFonts w:ascii="Arial" w:eastAsia="MS Mincho" w:hAnsi="Arial" w:cs="Arial"/>
                <w:bCs/>
                <w:sz w:val="18"/>
                <w:szCs w:val="18"/>
                <w:lang w:val="pt-PT"/>
              </w:rPr>
              <w:t>interacções</w:t>
            </w:r>
            <w:proofErr w:type="spellEnd"/>
            <w:r w:rsidRPr="00292532">
              <w:rPr>
                <w:rFonts w:ascii="Arial" w:eastAsia="MS Mincho" w:hAnsi="Arial" w:cs="Arial"/>
                <w:bCs/>
                <w:sz w:val="18"/>
                <w:szCs w:val="18"/>
                <w:lang w:val="pt-PT"/>
              </w:rPr>
              <w:t xml:space="preserve"> entre os colegas e com a comunidade (disponível no</w:t>
            </w:r>
            <w:r w:rsidRPr="00292532">
              <w:rPr>
                <w:rFonts w:ascii="Arial" w:eastAsia="MS Mincho" w:hAnsi="Arial" w:cs="Arial"/>
                <w:bCs/>
                <w:color w:val="0070C0"/>
                <w:sz w:val="18"/>
                <w:szCs w:val="18"/>
                <w:lang w:val="pt-PT"/>
              </w:rPr>
              <w:t xml:space="preserve"> Procedimento de Gestão de Mão de Obra do </w:t>
            </w:r>
            <w:proofErr w:type="spellStart"/>
            <w:r w:rsidRPr="00292532">
              <w:rPr>
                <w:rFonts w:ascii="Arial" w:eastAsia="MS Mincho" w:hAnsi="Arial" w:cs="Arial"/>
                <w:bCs/>
                <w:color w:val="0070C0"/>
                <w:sz w:val="18"/>
                <w:szCs w:val="18"/>
                <w:lang w:val="pt-PT"/>
              </w:rPr>
              <w:t>Projecto</w:t>
            </w:r>
            <w:proofErr w:type="spellEnd"/>
            <w:r w:rsidRPr="00292532">
              <w:rPr>
                <w:rFonts w:ascii="Arial" w:eastAsia="MS Mincho" w:hAnsi="Arial" w:cs="Arial"/>
                <w:bCs/>
                <w:sz w:val="18"/>
                <w:szCs w:val="18"/>
                <w:lang w:val="pt-PT"/>
              </w:rPr>
              <w:t>).</w:t>
            </w:r>
          </w:p>
          <w:p w14:paraId="38BBCB7B"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 xml:space="preserve">Treinar trabalhadores do </w:t>
            </w:r>
            <w:proofErr w:type="spellStart"/>
            <w:r w:rsidRPr="00292532">
              <w:rPr>
                <w:rFonts w:ascii="Arial" w:eastAsia="MS Mincho" w:hAnsi="Arial" w:cs="Arial"/>
                <w:bCs/>
                <w:sz w:val="18"/>
                <w:szCs w:val="18"/>
                <w:lang w:val="pt-PT"/>
              </w:rPr>
              <w:t>projecto</w:t>
            </w:r>
            <w:proofErr w:type="spellEnd"/>
            <w:r w:rsidRPr="00292532">
              <w:rPr>
                <w:rFonts w:ascii="Arial" w:eastAsia="MS Mincho" w:hAnsi="Arial" w:cs="Arial"/>
                <w:bCs/>
                <w:sz w:val="18"/>
                <w:szCs w:val="18"/>
                <w:lang w:val="pt-PT"/>
              </w:rPr>
              <w:t xml:space="preserve"> sobre matérias de VBG/EAS e AS.</w:t>
            </w:r>
          </w:p>
          <w:p w14:paraId="1779FFA8"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Sensibilizar a comunidade sobre VBG/EAS e AS e mecanismos de denúncia.</w:t>
            </w:r>
          </w:p>
          <w:p w14:paraId="3E519EEE"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 xml:space="preserve">Implementar o mecanismo de gestão de reclamações, incluindo a sensibilização para o uso eficaz e mapear </w:t>
            </w:r>
            <w:proofErr w:type="spellStart"/>
            <w:r w:rsidRPr="00292532">
              <w:rPr>
                <w:rFonts w:ascii="Arial" w:eastAsia="MS Mincho" w:hAnsi="Arial" w:cs="Arial"/>
                <w:bCs/>
                <w:sz w:val="18"/>
                <w:szCs w:val="18"/>
                <w:lang w:val="pt-PT"/>
              </w:rPr>
              <w:t>actores</w:t>
            </w:r>
            <w:proofErr w:type="spellEnd"/>
            <w:r w:rsidRPr="00292532">
              <w:rPr>
                <w:rFonts w:ascii="Arial" w:eastAsia="MS Mincho" w:hAnsi="Arial" w:cs="Arial"/>
                <w:bCs/>
                <w:sz w:val="18"/>
                <w:szCs w:val="18"/>
                <w:lang w:val="pt-PT"/>
              </w:rPr>
              <w:t xml:space="preserve"> de prevenção e resposta à VBG em comunidades adjacentes ao </w:t>
            </w:r>
            <w:proofErr w:type="spellStart"/>
            <w:r w:rsidRPr="00292532">
              <w:rPr>
                <w:rFonts w:ascii="Arial" w:eastAsia="MS Mincho" w:hAnsi="Arial" w:cs="Arial"/>
                <w:bCs/>
                <w:sz w:val="18"/>
                <w:szCs w:val="18"/>
                <w:lang w:val="pt-PT"/>
              </w:rPr>
              <w:t>projecto</w:t>
            </w:r>
            <w:proofErr w:type="spellEnd"/>
            <w:r w:rsidRPr="00292532">
              <w:rPr>
                <w:rFonts w:ascii="Arial" w:eastAsia="MS Mincho" w:hAnsi="Arial" w:cs="Arial"/>
                <w:bCs/>
                <w:sz w:val="18"/>
                <w:szCs w:val="18"/>
                <w:lang w:val="pt-PT"/>
              </w:rPr>
              <w:t>.</w:t>
            </w:r>
          </w:p>
        </w:tc>
        <w:tc>
          <w:tcPr>
            <w:tcW w:w="2668" w:type="dxa"/>
            <w:shd w:val="clear" w:color="auto" w:fill="auto"/>
            <w:vAlign w:val="center"/>
          </w:tcPr>
          <w:p w14:paraId="5C4AF490"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 de trabalhadores que assinam os códigos de conduta sobre VBG/EAS e AS nas sessões de treinamento e capacitação</w:t>
            </w:r>
          </w:p>
          <w:p w14:paraId="42952BED"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 xml:space="preserve"># de encontros de sensibilização sobre </w:t>
            </w:r>
            <w:proofErr w:type="gramStart"/>
            <w:r w:rsidRPr="00292532">
              <w:rPr>
                <w:rFonts w:ascii="Arial" w:eastAsia="MS Mincho" w:hAnsi="Arial" w:cs="Arial"/>
                <w:bCs/>
                <w:sz w:val="18"/>
                <w:szCs w:val="18"/>
                <w:lang w:val="pt-PT"/>
              </w:rPr>
              <w:t>VBG  realizados</w:t>
            </w:r>
            <w:proofErr w:type="gramEnd"/>
          </w:p>
          <w:p w14:paraId="6FC30759"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 xml:space="preserve"># de trabalhadores das empresas contratadas pelo </w:t>
            </w:r>
            <w:proofErr w:type="spellStart"/>
            <w:r w:rsidRPr="00292532">
              <w:rPr>
                <w:rFonts w:ascii="Arial" w:eastAsia="MS Mincho" w:hAnsi="Arial" w:cs="Arial"/>
                <w:bCs/>
                <w:sz w:val="18"/>
                <w:szCs w:val="18"/>
                <w:lang w:val="pt-PT"/>
              </w:rPr>
              <w:t>projecto</w:t>
            </w:r>
            <w:proofErr w:type="spellEnd"/>
            <w:r w:rsidRPr="00292532">
              <w:rPr>
                <w:rFonts w:ascii="Arial" w:eastAsia="MS Mincho" w:hAnsi="Arial" w:cs="Arial"/>
                <w:bCs/>
                <w:sz w:val="18"/>
                <w:szCs w:val="18"/>
                <w:lang w:val="pt-PT"/>
              </w:rPr>
              <w:t xml:space="preserve"> treinados sobre VBG/SEA</w:t>
            </w:r>
          </w:p>
          <w:p w14:paraId="27FDE2E3" w14:textId="77777777" w:rsidR="00B31AE2" w:rsidRPr="004500AE"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4500AE">
              <w:rPr>
                <w:rFonts w:ascii="Arial" w:eastAsia="Calibri" w:hAnsi="Arial" w:cs="Arial"/>
                <w:sz w:val="18"/>
                <w:szCs w:val="18"/>
                <w:lang w:val="pt-PT"/>
              </w:rPr>
              <w:t xml:space="preserve">Existência e funcionamento de um mecanismo de </w:t>
            </w:r>
            <w:proofErr w:type="spellStart"/>
            <w:r w:rsidRPr="004500AE">
              <w:rPr>
                <w:rFonts w:ascii="Arial" w:eastAsia="Calibri" w:hAnsi="Arial" w:cs="Arial"/>
                <w:sz w:val="18"/>
                <w:szCs w:val="18"/>
                <w:lang w:val="pt-PT"/>
              </w:rPr>
              <w:t>raclamações</w:t>
            </w:r>
            <w:proofErr w:type="spellEnd"/>
            <w:r w:rsidRPr="004500AE">
              <w:rPr>
                <w:rFonts w:ascii="Arial" w:eastAsia="Calibri" w:hAnsi="Arial" w:cs="Arial"/>
                <w:sz w:val="18"/>
                <w:szCs w:val="18"/>
                <w:lang w:val="pt-PT"/>
              </w:rPr>
              <w:t xml:space="preserve"> que incluam casos sobre VBG/EAS</w:t>
            </w:r>
          </w:p>
        </w:tc>
        <w:tc>
          <w:tcPr>
            <w:tcW w:w="2437" w:type="dxa"/>
            <w:shd w:val="clear" w:color="auto" w:fill="auto"/>
            <w:vAlign w:val="center"/>
          </w:tcPr>
          <w:p w14:paraId="51F5D430" w14:textId="77777777" w:rsidR="00B31AE2" w:rsidRPr="00292532" w:rsidRDefault="00B31AE2" w:rsidP="00B31AE2">
            <w:pPr>
              <w:rPr>
                <w:rFonts w:ascii="Arial" w:eastAsia="Calibri" w:hAnsi="Arial" w:cs="Arial"/>
                <w:sz w:val="18"/>
                <w:szCs w:val="18"/>
                <w:lang w:val="pt-PT"/>
              </w:rPr>
            </w:pPr>
            <w:r w:rsidRPr="00292532">
              <w:rPr>
                <w:rFonts w:ascii="Arial" w:eastAsia="Calibri" w:hAnsi="Arial" w:cs="Arial"/>
                <w:sz w:val="18"/>
                <w:szCs w:val="18"/>
                <w:lang w:val="pt-PT"/>
              </w:rPr>
              <w:t>Empreiteiro/Beneficiários de subvenção e UIP</w:t>
            </w:r>
          </w:p>
        </w:tc>
      </w:tr>
      <w:tr w:rsidR="00B31AE2" w:rsidRPr="004E2EAC" w14:paraId="4D041854" w14:textId="77777777" w:rsidTr="00B31AE2">
        <w:trPr>
          <w:trHeight w:val="1472"/>
        </w:trPr>
        <w:tc>
          <w:tcPr>
            <w:tcW w:w="2532" w:type="dxa"/>
            <w:vMerge/>
            <w:shd w:val="clear" w:color="auto" w:fill="auto"/>
            <w:vAlign w:val="center"/>
          </w:tcPr>
          <w:p w14:paraId="6FE4B8D0" w14:textId="77777777" w:rsidR="00B31AE2" w:rsidRPr="00292532" w:rsidRDefault="00B31AE2" w:rsidP="00B31AE2">
            <w:pPr>
              <w:spacing w:after="120"/>
              <w:rPr>
                <w:rFonts w:ascii="Arial" w:eastAsia="Calibri" w:hAnsi="Arial" w:cs="Arial"/>
                <w:b/>
                <w:bCs/>
                <w:sz w:val="18"/>
                <w:szCs w:val="18"/>
                <w:lang w:val="pt-PT"/>
              </w:rPr>
            </w:pPr>
          </w:p>
        </w:tc>
        <w:tc>
          <w:tcPr>
            <w:tcW w:w="3191" w:type="dxa"/>
            <w:shd w:val="clear" w:color="auto" w:fill="auto"/>
          </w:tcPr>
          <w:p w14:paraId="34930364" w14:textId="435E3E78"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Riscos de violações sexuais e abuso sexual potencializado durante a implantação de infraestruturas frágeis (sanitários) que não obedecem requisitos de segurança principalmente para as mulheres (infraestruturas de </w:t>
            </w:r>
            <w:r w:rsidRPr="00292532">
              <w:rPr>
                <w:rFonts w:ascii="Arial" w:eastAsia="Calibri" w:hAnsi="Arial" w:cs="Arial"/>
                <w:sz w:val="18"/>
                <w:szCs w:val="18"/>
                <w:lang w:val="pt-PT"/>
              </w:rPr>
              <w:lastRenderedPageBreak/>
              <w:t xml:space="preserve">saneamento distantes das residências/principais </w:t>
            </w:r>
            <w:proofErr w:type="spellStart"/>
            <w:r w:rsidRPr="00292532">
              <w:rPr>
                <w:rFonts w:ascii="Arial" w:eastAsia="Calibri" w:hAnsi="Arial" w:cs="Arial"/>
                <w:sz w:val="18"/>
                <w:szCs w:val="18"/>
                <w:lang w:val="pt-PT"/>
              </w:rPr>
              <w:t>infra-estruturas</w:t>
            </w:r>
            <w:proofErr w:type="spellEnd"/>
            <w:r w:rsidRPr="00292532">
              <w:rPr>
                <w:rFonts w:ascii="Arial" w:eastAsia="Calibri" w:hAnsi="Arial" w:cs="Arial"/>
                <w:sz w:val="18"/>
                <w:szCs w:val="18"/>
                <w:lang w:val="pt-PT"/>
              </w:rPr>
              <w:t xml:space="preserve"> escolares, com falta de iluminação e sem mecanismos de trancar por dentro, incluindo </w:t>
            </w:r>
            <w:proofErr w:type="spellStart"/>
            <w:r w:rsidRPr="00292532">
              <w:rPr>
                <w:rFonts w:ascii="Arial" w:eastAsia="Calibri" w:hAnsi="Arial" w:cs="Arial"/>
                <w:sz w:val="18"/>
                <w:szCs w:val="18"/>
                <w:lang w:val="pt-PT"/>
              </w:rPr>
              <w:t>infra-estruturas</w:t>
            </w:r>
            <w:proofErr w:type="spellEnd"/>
            <w:r w:rsidRPr="00292532">
              <w:rPr>
                <w:rFonts w:ascii="Arial" w:eastAsia="Calibri" w:hAnsi="Arial" w:cs="Arial"/>
                <w:sz w:val="18"/>
                <w:szCs w:val="18"/>
                <w:lang w:val="pt-PT"/>
              </w:rPr>
              <w:t xml:space="preserve"> para homens e mulheres próximas uma das outras);</w:t>
            </w:r>
          </w:p>
        </w:tc>
        <w:tc>
          <w:tcPr>
            <w:tcW w:w="3207" w:type="dxa"/>
            <w:shd w:val="clear" w:color="auto" w:fill="auto"/>
            <w:vAlign w:val="center"/>
          </w:tcPr>
          <w:p w14:paraId="06F5E8AD"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lastRenderedPageBreak/>
              <w:t xml:space="preserve">O desenho do </w:t>
            </w:r>
            <w:proofErr w:type="spellStart"/>
            <w:r w:rsidRPr="00292532">
              <w:rPr>
                <w:rFonts w:ascii="Arial" w:eastAsia="Calibri" w:hAnsi="Arial" w:cs="Arial"/>
                <w:sz w:val="18"/>
                <w:szCs w:val="18"/>
                <w:lang w:val="pt-PT"/>
              </w:rPr>
              <w:t>projecto</w:t>
            </w:r>
            <w:proofErr w:type="spellEnd"/>
            <w:r w:rsidRPr="00292532">
              <w:rPr>
                <w:rFonts w:ascii="Arial" w:eastAsia="Calibri" w:hAnsi="Arial" w:cs="Arial"/>
                <w:sz w:val="18"/>
                <w:szCs w:val="18"/>
                <w:lang w:val="pt-PT"/>
              </w:rPr>
              <w:t xml:space="preserve"> deve ser feito com base na pesquisa que deve incorporar opinião da comunidade sobre o tipo de infraestruturas, mecanismos de segurança e disponibilidade em relação as comunidades </w:t>
            </w:r>
          </w:p>
          <w:p w14:paraId="22EBE40E"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lastRenderedPageBreak/>
              <w:t xml:space="preserve">Construção de </w:t>
            </w:r>
            <w:proofErr w:type="spellStart"/>
            <w:r w:rsidRPr="00292532">
              <w:rPr>
                <w:rFonts w:ascii="Arial" w:eastAsia="Calibri" w:hAnsi="Arial" w:cs="Arial"/>
                <w:sz w:val="18"/>
                <w:szCs w:val="18"/>
                <w:lang w:val="pt-PT"/>
              </w:rPr>
              <w:t>infra-estruturas</w:t>
            </w:r>
            <w:proofErr w:type="spellEnd"/>
            <w:r w:rsidRPr="00292532">
              <w:rPr>
                <w:rFonts w:ascii="Arial" w:eastAsia="Calibri" w:hAnsi="Arial" w:cs="Arial"/>
                <w:sz w:val="18"/>
                <w:szCs w:val="18"/>
                <w:lang w:val="pt-PT"/>
              </w:rPr>
              <w:t xml:space="preserve"> seguras (locais iluminados, fácil acesso) e com uma separação para uso de mulheres e homens de diferentes idades; </w:t>
            </w:r>
          </w:p>
          <w:p w14:paraId="4E98B132"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Construção de </w:t>
            </w:r>
            <w:proofErr w:type="spellStart"/>
            <w:r w:rsidRPr="00292532">
              <w:rPr>
                <w:rFonts w:ascii="Arial" w:eastAsia="Calibri" w:hAnsi="Arial" w:cs="Arial"/>
                <w:sz w:val="18"/>
                <w:szCs w:val="18"/>
                <w:lang w:val="pt-PT"/>
              </w:rPr>
              <w:t>infra-estruturas</w:t>
            </w:r>
            <w:proofErr w:type="spellEnd"/>
            <w:r w:rsidRPr="00292532">
              <w:rPr>
                <w:rFonts w:ascii="Arial" w:eastAsia="Calibri" w:hAnsi="Arial" w:cs="Arial"/>
                <w:sz w:val="18"/>
                <w:szCs w:val="18"/>
                <w:lang w:val="pt-PT"/>
              </w:rPr>
              <w:t xml:space="preserve"> com facilidades de acesso por deficientes físicos, incluindo </w:t>
            </w:r>
            <w:proofErr w:type="spellStart"/>
            <w:r w:rsidRPr="00292532">
              <w:rPr>
                <w:rFonts w:ascii="Arial" w:eastAsia="Calibri" w:hAnsi="Arial" w:cs="Arial"/>
                <w:sz w:val="18"/>
                <w:szCs w:val="18"/>
                <w:lang w:val="pt-PT"/>
              </w:rPr>
              <w:t>cadeirantes</w:t>
            </w:r>
            <w:proofErr w:type="spellEnd"/>
            <w:r w:rsidRPr="00292532">
              <w:rPr>
                <w:rFonts w:ascii="Arial" w:eastAsia="Calibri" w:hAnsi="Arial" w:cs="Arial"/>
                <w:sz w:val="18"/>
                <w:szCs w:val="18"/>
                <w:lang w:val="pt-PT"/>
              </w:rPr>
              <w:t>.</w:t>
            </w:r>
          </w:p>
        </w:tc>
        <w:tc>
          <w:tcPr>
            <w:tcW w:w="2668" w:type="dxa"/>
            <w:shd w:val="clear" w:color="auto" w:fill="auto"/>
          </w:tcPr>
          <w:p w14:paraId="52D2A946"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lastRenderedPageBreak/>
              <w:t xml:space="preserve"># de recomendações resultantes da auscultação das comunidades </w:t>
            </w:r>
          </w:p>
          <w:p w14:paraId="76B4C1A9"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Nível de satisfação de mulheres e raparigas pelo uso de infraestruturas </w:t>
            </w:r>
            <w:r w:rsidRPr="00292532">
              <w:rPr>
                <w:rFonts w:ascii="Arial" w:eastAsia="Calibri" w:hAnsi="Arial" w:cs="Arial"/>
                <w:sz w:val="18"/>
                <w:szCs w:val="18"/>
                <w:lang w:val="pt-PT"/>
              </w:rPr>
              <w:lastRenderedPageBreak/>
              <w:t xml:space="preserve">disponibilizadas pelo </w:t>
            </w:r>
            <w:proofErr w:type="spellStart"/>
            <w:r w:rsidRPr="00292532">
              <w:rPr>
                <w:rFonts w:ascii="Arial" w:eastAsia="Calibri" w:hAnsi="Arial" w:cs="Arial"/>
                <w:sz w:val="18"/>
                <w:szCs w:val="18"/>
                <w:lang w:val="pt-PT"/>
              </w:rPr>
              <w:t>projecto</w:t>
            </w:r>
            <w:proofErr w:type="spellEnd"/>
          </w:p>
        </w:tc>
        <w:tc>
          <w:tcPr>
            <w:tcW w:w="2437" w:type="dxa"/>
            <w:shd w:val="clear" w:color="auto" w:fill="auto"/>
            <w:vAlign w:val="center"/>
          </w:tcPr>
          <w:p w14:paraId="0F766B6E" w14:textId="77777777" w:rsidR="00B31AE2" w:rsidRPr="00292532" w:rsidRDefault="00B31AE2" w:rsidP="00B31AE2">
            <w:pPr>
              <w:spacing w:after="120"/>
              <w:rPr>
                <w:rFonts w:ascii="Arial" w:eastAsia="Calibri" w:hAnsi="Arial" w:cs="Arial"/>
                <w:sz w:val="18"/>
                <w:szCs w:val="18"/>
                <w:lang w:val="pt-PT"/>
              </w:rPr>
            </w:pPr>
            <w:r w:rsidRPr="00292532">
              <w:rPr>
                <w:rFonts w:ascii="Arial" w:eastAsia="Calibri" w:hAnsi="Arial" w:cs="Arial"/>
                <w:sz w:val="18"/>
                <w:szCs w:val="18"/>
                <w:lang w:val="pt-PT"/>
              </w:rPr>
              <w:lastRenderedPageBreak/>
              <w:t>Empreiteiro/Beneficiários de subvenção e UIP</w:t>
            </w:r>
          </w:p>
        </w:tc>
      </w:tr>
      <w:tr w:rsidR="00B31AE2" w:rsidRPr="004E2EAC" w14:paraId="47CF1671" w14:textId="77777777" w:rsidTr="00B31AE2">
        <w:trPr>
          <w:trHeight w:val="1472"/>
        </w:trPr>
        <w:tc>
          <w:tcPr>
            <w:tcW w:w="2532" w:type="dxa"/>
            <w:vMerge/>
            <w:shd w:val="clear" w:color="auto" w:fill="auto"/>
            <w:vAlign w:val="center"/>
          </w:tcPr>
          <w:p w14:paraId="31261F4A" w14:textId="77777777" w:rsidR="00B31AE2" w:rsidRPr="00292532" w:rsidRDefault="00B31AE2" w:rsidP="00B31AE2">
            <w:pPr>
              <w:spacing w:after="120"/>
              <w:rPr>
                <w:rFonts w:ascii="Arial" w:eastAsia="Calibri" w:hAnsi="Arial" w:cs="Arial"/>
                <w:b/>
                <w:bCs/>
                <w:sz w:val="18"/>
                <w:szCs w:val="18"/>
                <w:lang w:val="pt-PT"/>
              </w:rPr>
            </w:pPr>
          </w:p>
        </w:tc>
        <w:tc>
          <w:tcPr>
            <w:tcW w:w="3191" w:type="dxa"/>
            <w:shd w:val="clear" w:color="auto" w:fill="auto"/>
          </w:tcPr>
          <w:p w14:paraId="1E8B2C62"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A má implantação de sistemas/serviços fornecidos pelo </w:t>
            </w:r>
            <w:proofErr w:type="spellStart"/>
            <w:r w:rsidRPr="00292532">
              <w:rPr>
                <w:rFonts w:ascii="Arial" w:eastAsia="Calibri" w:hAnsi="Arial" w:cs="Arial"/>
                <w:sz w:val="18"/>
                <w:szCs w:val="18"/>
                <w:lang w:val="pt-PT"/>
              </w:rPr>
              <w:t>projecto</w:t>
            </w:r>
            <w:proofErr w:type="spellEnd"/>
            <w:r w:rsidRPr="00292532">
              <w:rPr>
                <w:rFonts w:ascii="Arial" w:eastAsia="Calibri" w:hAnsi="Arial" w:cs="Arial"/>
                <w:sz w:val="18"/>
                <w:szCs w:val="18"/>
                <w:lang w:val="pt-PT"/>
              </w:rPr>
              <w:t xml:space="preserve"> (abastecimento de água e saneamento), poderá resultar na </w:t>
            </w:r>
            <w:proofErr w:type="gramStart"/>
            <w:r w:rsidRPr="00292532">
              <w:rPr>
                <w:rFonts w:ascii="Arial" w:eastAsia="Calibri" w:hAnsi="Arial" w:cs="Arial"/>
                <w:sz w:val="18"/>
                <w:szCs w:val="18"/>
                <w:lang w:val="pt-PT"/>
              </w:rPr>
              <w:t>deficiência  no</w:t>
            </w:r>
            <w:proofErr w:type="gramEnd"/>
            <w:r w:rsidRPr="00292532">
              <w:rPr>
                <w:rFonts w:ascii="Arial" w:eastAsia="Calibri" w:hAnsi="Arial" w:cs="Arial"/>
                <w:sz w:val="18"/>
                <w:szCs w:val="18"/>
                <w:lang w:val="pt-PT"/>
              </w:rPr>
              <w:t xml:space="preserve">  acesso aos serviços de abastecimento de água, ou tenham de percorrer/esperar longas horas para beneficiar dos serviços, contribuindo para o surgimento de  tensões entre mulheres e seus parceiros (o que pode levar à riscos de violência doméstica) ou de assédio e abuso sexual durante o percurso.</w:t>
            </w:r>
          </w:p>
        </w:tc>
        <w:tc>
          <w:tcPr>
            <w:tcW w:w="3207" w:type="dxa"/>
            <w:shd w:val="clear" w:color="auto" w:fill="auto"/>
            <w:vAlign w:val="center"/>
          </w:tcPr>
          <w:p w14:paraId="5C325E8D"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O desenho do </w:t>
            </w:r>
            <w:proofErr w:type="spellStart"/>
            <w:r w:rsidRPr="00292532">
              <w:rPr>
                <w:rFonts w:ascii="Arial" w:eastAsia="Calibri" w:hAnsi="Arial" w:cs="Arial"/>
                <w:sz w:val="18"/>
                <w:szCs w:val="18"/>
                <w:lang w:val="pt-PT"/>
              </w:rPr>
              <w:t>projecto</w:t>
            </w:r>
            <w:proofErr w:type="spellEnd"/>
            <w:r w:rsidRPr="00292532">
              <w:rPr>
                <w:rFonts w:ascii="Arial" w:eastAsia="Calibri" w:hAnsi="Arial" w:cs="Arial"/>
                <w:sz w:val="18"/>
                <w:szCs w:val="18"/>
                <w:lang w:val="pt-PT"/>
              </w:rPr>
              <w:t xml:space="preserve"> deve levar em conta as distâncias para a implantação de novos sistemas de abastecimento de água, podendo ser feita consultas comunitária para estabelecer local apropriado para as infraestruturas</w:t>
            </w:r>
          </w:p>
        </w:tc>
        <w:tc>
          <w:tcPr>
            <w:tcW w:w="2668" w:type="dxa"/>
            <w:shd w:val="clear" w:color="auto" w:fill="auto"/>
          </w:tcPr>
          <w:p w14:paraId="136234D9"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 de encontros de realizados</w:t>
            </w:r>
          </w:p>
          <w:p w14:paraId="39921258"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 xml:space="preserve">% de recomendações resultantes da auscultação das comunidades que são implementadas pelo </w:t>
            </w:r>
            <w:proofErr w:type="spellStart"/>
            <w:r w:rsidRPr="00292532">
              <w:rPr>
                <w:rFonts w:ascii="Arial" w:eastAsia="MS Mincho" w:hAnsi="Arial" w:cs="Arial"/>
                <w:bCs/>
                <w:sz w:val="18"/>
                <w:szCs w:val="18"/>
                <w:lang w:val="pt-PT"/>
              </w:rPr>
              <w:t>projecto</w:t>
            </w:r>
            <w:proofErr w:type="spellEnd"/>
          </w:p>
        </w:tc>
        <w:tc>
          <w:tcPr>
            <w:tcW w:w="2437" w:type="dxa"/>
            <w:shd w:val="clear" w:color="auto" w:fill="auto"/>
            <w:vAlign w:val="center"/>
          </w:tcPr>
          <w:p w14:paraId="33D68593" w14:textId="77777777" w:rsidR="00B31AE2" w:rsidRPr="00292532" w:rsidRDefault="00B31AE2" w:rsidP="00B31AE2">
            <w:pPr>
              <w:spacing w:after="120"/>
              <w:rPr>
                <w:rFonts w:ascii="Arial" w:eastAsia="Calibri" w:hAnsi="Arial" w:cs="Arial"/>
                <w:sz w:val="18"/>
                <w:szCs w:val="18"/>
                <w:lang w:val="pt-PT"/>
              </w:rPr>
            </w:pPr>
            <w:r w:rsidRPr="00292532">
              <w:rPr>
                <w:rFonts w:ascii="Arial" w:eastAsia="Calibri" w:hAnsi="Arial" w:cs="Arial"/>
                <w:sz w:val="18"/>
                <w:szCs w:val="18"/>
                <w:lang w:val="pt-PT"/>
              </w:rPr>
              <w:t>Empreiteiro/Beneficiários de subvenção e UIP</w:t>
            </w:r>
          </w:p>
        </w:tc>
      </w:tr>
      <w:tr w:rsidR="00B31AE2" w:rsidRPr="004E2EAC" w14:paraId="6221E463" w14:textId="77777777" w:rsidTr="00B31AE2">
        <w:trPr>
          <w:trHeight w:val="338"/>
        </w:trPr>
        <w:tc>
          <w:tcPr>
            <w:tcW w:w="2532" w:type="dxa"/>
            <w:vMerge/>
            <w:shd w:val="clear" w:color="auto" w:fill="auto"/>
            <w:vAlign w:val="center"/>
          </w:tcPr>
          <w:p w14:paraId="6E9CD62C" w14:textId="77777777" w:rsidR="00B31AE2" w:rsidRPr="00292532" w:rsidRDefault="00B31AE2" w:rsidP="00B31AE2">
            <w:pPr>
              <w:spacing w:after="120"/>
              <w:rPr>
                <w:rFonts w:ascii="Arial" w:eastAsia="Calibri" w:hAnsi="Arial" w:cs="Arial"/>
                <w:b/>
                <w:bCs/>
                <w:sz w:val="18"/>
                <w:szCs w:val="18"/>
                <w:lang w:val="pt-PT"/>
              </w:rPr>
            </w:pPr>
          </w:p>
        </w:tc>
        <w:tc>
          <w:tcPr>
            <w:tcW w:w="3191" w:type="dxa"/>
            <w:shd w:val="clear" w:color="auto" w:fill="auto"/>
          </w:tcPr>
          <w:p w14:paraId="11D1501F"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A exclusão de mulheres nas componentes associadas a obra é maior, visto que envolve </w:t>
            </w:r>
            <w:proofErr w:type="spellStart"/>
            <w:r w:rsidRPr="00292532">
              <w:rPr>
                <w:rFonts w:ascii="Arial" w:eastAsia="Calibri" w:hAnsi="Arial" w:cs="Arial"/>
                <w:sz w:val="18"/>
                <w:szCs w:val="18"/>
                <w:lang w:val="pt-PT"/>
              </w:rPr>
              <w:t>actividades</w:t>
            </w:r>
            <w:proofErr w:type="spellEnd"/>
            <w:r w:rsidRPr="00292532">
              <w:rPr>
                <w:rFonts w:ascii="Arial" w:eastAsia="Calibri" w:hAnsi="Arial" w:cs="Arial"/>
                <w:sz w:val="18"/>
                <w:szCs w:val="18"/>
                <w:lang w:val="pt-PT"/>
              </w:rPr>
              <w:t xml:space="preserve"> que geralmente são identificadas como de estereotipo masculino, principalmente nas áreas rurais em que o </w:t>
            </w:r>
            <w:proofErr w:type="spellStart"/>
            <w:r w:rsidRPr="00292532">
              <w:rPr>
                <w:rFonts w:ascii="Arial" w:eastAsia="Calibri" w:hAnsi="Arial" w:cs="Arial"/>
                <w:sz w:val="18"/>
                <w:szCs w:val="18"/>
                <w:lang w:val="pt-PT"/>
              </w:rPr>
              <w:t>aspecto</w:t>
            </w:r>
            <w:proofErr w:type="spellEnd"/>
            <w:r w:rsidRPr="00292532">
              <w:rPr>
                <w:rFonts w:ascii="Arial" w:eastAsia="Calibri" w:hAnsi="Arial" w:cs="Arial"/>
                <w:sz w:val="18"/>
                <w:szCs w:val="18"/>
                <w:lang w:val="pt-PT"/>
              </w:rPr>
              <w:t xml:space="preserve"> </w:t>
            </w:r>
            <w:r w:rsidRPr="00292532">
              <w:rPr>
                <w:rFonts w:ascii="Arial" w:eastAsia="Calibri" w:hAnsi="Arial" w:cs="Arial"/>
                <w:sz w:val="18"/>
                <w:szCs w:val="18"/>
                <w:lang w:val="pt-PT"/>
              </w:rPr>
              <w:lastRenderedPageBreak/>
              <w:t xml:space="preserve">cultural é responsável pela ideologia de distribuição de tarefas por género, tendo a mulher (que muita das vezes desempenha </w:t>
            </w:r>
            <w:proofErr w:type="spellStart"/>
            <w:r w:rsidRPr="00292532">
              <w:rPr>
                <w:rFonts w:ascii="Arial" w:eastAsia="Calibri" w:hAnsi="Arial" w:cs="Arial"/>
                <w:sz w:val="18"/>
                <w:szCs w:val="18"/>
                <w:lang w:val="pt-PT"/>
              </w:rPr>
              <w:t>actividades</w:t>
            </w:r>
            <w:proofErr w:type="spellEnd"/>
            <w:r w:rsidRPr="00292532">
              <w:rPr>
                <w:rFonts w:ascii="Arial" w:eastAsia="Calibri" w:hAnsi="Arial" w:cs="Arial"/>
                <w:sz w:val="18"/>
                <w:szCs w:val="18"/>
                <w:lang w:val="pt-PT"/>
              </w:rPr>
              <w:t xml:space="preserve"> de menor rendimento como a confeição de alimentos, cuidar da casa, etc.) menos beneficiada e estando em condição de dependência, potencializando senários de assédio, abuso sexual como condição para a sua integração no </w:t>
            </w:r>
            <w:proofErr w:type="spellStart"/>
            <w:r w:rsidRPr="00292532">
              <w:rPr>
                <w:rFonts w:ascii="Arial" w:eastAsia="Calibri" w:hAnsi="Arial" w:cs="Arial"/>
                <w:sz w:val="18"/>
                <w:szCs w:val="18"/>
                <w:lang w:val="pt-PT"/>
              </w:rPr>
              <w:t>projecto</w:t>
            </w:r>
            <w:proofErr w:type="spellEnd"/>
            <w:r w:rsidRPr="00292532">
              <w:rPr>
                <w:rFonts w:ascii="Arial" w:eastAsia="Calibri" w:hAnsi="Arial" w:cs="Arial"/>
                <w:sz w:val="18"/>
                <w:szCs w:val="18"/>
                <w:lang w:val="pt-PT"/>
              </w:rPr>
              <w:t xml:space="preserve"> ou para aferir melhores condições. </w:t>
            </w:r>
          </w:p>
          <w:p w14:paraId="25FB6BBD"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As mulheres da comunidade contratadas para desenvolverem </w:t>
            </w:r>
            <w:proofErr w:type="spellStart"/>
            <w:r w:rsidRPr="00292532">
              <w:rPr>
                <w:rFonts w:ascii="Arial" w:eastAsia="Calibri" w:hAnsi="Arial" w:cs="Arial"/>
                <w:sz w:val="18"/>
                <w:szCs w:val="18"/>
                <w:lang w:val="pt-PT"/>
              </w:rPr>
              <w:t>actividades</w:t>
            </w:r>
            <w:proofErr w:type="spellEnd"/>
            <w:r w:rsidRPr="00292532">
              <w:rPr>
                <w:rFonts w:ascii="Arial" w:eastAsia="Calibri" w:hAnsi="Arial" w:cs="Arial"/>
                <w:sz w:val="18"/>
                <w:szCs w:val="18"/>
                <w:lang w:val="pt-PT"/>
              </w:rPr>
              <w:t xml:space="preserve"> no âmbito do </w:t>
            </w:r>
            <w:proofErr w:type="spellStart"/>
            <w:r w:rsidRPr="00292532">
              <w:rPr>
                <w:rFonts w:ascii="Arial" w:eastAsia="Calibri" w:hAnsi="Arial" w:cs="Arial"/>
                <w:sz w:val="18"/>
                <w:szCs w:val="18"/>
                <w:lang w:val="pt-PT"/>
              </w:rPr>
              <w:t>projecto</w:t>
            </w:r>
            <w:proofErr w:type="spellEnd"/>
            <w:r w:rsidRPr="00292532">
              <w:rPr>
                <w:rFonts w:ascii="Arial" w:eastAsia="Calibri" w:hAnsi="Arial" w:cs="Arial"/>
                <w:sz w:val="18"/>
                <w:szCs w:val="18"/>
                <w:lang w:val="pt-PT"/>
              </w:rPr>
              <w:t>, podem estar vulneráveis a riscos de diferentes tipos de violência no percurso da ida ou volta do local de trabalho (muita das vezes ocasionada por percursos inseguras e mal iluminados ou transporte público inseguro que pode expô-las a assédio e abuso);</w:t>
            </w:r>
          </w:p>
          <w:p w14:paraId="3960E729"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lastRenderedPageBreak/>
              <w:t>Risco de aumento de violência contra as mulheres pelos seus parceiros por passarem a auferir salários.</w:t>
            </w:r>
          </w:p>
        </w:tc>
        <w:tc>
          <w:tcPr>
            <w:tcW w:w="3207" w:type="dxa"/>
            <w:shd w:val="clear" w:color="auto" w:fill="auto"/>
            <w:vAlign w:val="center"/>
          </w:tcPr>
          <w:p w14:paraId="5590DDE5"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lastRenderedPageBreak/>
              <w:t>Devem ser estabelecidos critérios de contratação que privilegiem mão de obra local para que os casos de VBG sejam mínimos;</w:t>
            </w:r>
          </w:p>
          <w:p w14:paraId="319D7767" w14:textId="77777777" w:rsidR="00B31AE2" w:rsidRPr="00292532" w:rsidRDefault="00B31AE2" w:rsidP="00AE14AE">
            <w:pPr>
              <w:numPr>
                <w:ilvl w:val="0"/>
                <w:numId w:val="159"/>
              </w:numPr>
              <w:autoSpaceDE w:val="0"/>
              <w:autoSpaceDN w:val="0"/>
              <w:adjustRightInd w:val="0"/>
              <w:spacing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lastRenderedPageBreak/>
              <w:t>Implementar a metodologia GALS</w:t>
            </w:r>
            <w:r w:rsidRPr="00292532">
              <w:rPr>
                <w:rFonts w:ascii="Arial" w:eastAsia="Calibri" w:hAnsi="Arial" w:cs="Arial"/>
                <w:sz w:val="18"/>
                <w:szCs w:val="18"/>
                <w:vertAlign w:val="superscript"/>
                <w:lang w:val="pt-PT"/>
              </w:rPr>
              <w:footnoteReference w:id="47"/>
            </w:r>
            <w:r w:rsidRPr="00292532">
              <w:rPr>
                <w:rFonts w:ascii="Arial" w:eastAsia="Calibri" w:hAnsi="Arial" w:cs="Arial"/>
                <w:sz w:val="18"/>
                <w:szCs w:val="18"/>
                <w:lang w:val="pt-PT"/>
              </w:rPr>
              <w:t xml:space="preserve"> nas famílias para ajudar a identificar as barreiras ao progresso económico e social ligadas à divisão de trabalho por género, bem como as vantagens da inclusão das mulheres para a economia familiar e comunitária;</w:t>
            </w:r>
          </w:p>
          <w:p w14:paraId="00FA82C3"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Os códigos de conduta devem ser assinados por todos os intervenientes do </w:t>
            </w:r>
            <w:proofErr w:type="spellStart"/>
            <w:r w:rsidRPr="00292532">
              <w:rPr>
                <w:rFonts w:ascii="Arial" w:eastAsia="Calibri" w:hAnsi="Arial" w:cs="Arial"/>
                <w:sz w:val="18"/>
                <w:szCs w:val="18"/>
                <w:lang w:val="pt-PT"/>
              </w:rPr>
              <w:t>projecto</w:t>
            </w:r>
            <w:proofErr w:type="spellEnd"/>
            <w:r w:rsidRPr="00292532">
              <w:rPr>
                <w:rFonts w:ascii="Arial" w:eastAsia="Calibri" w:hAnsi="Arial" w:cs="Arial"/>
                <w:sz w:val="18"/>
                <w:szCs w:val="18"/>
                <w:lang w:val="pt-PT"/>
              </w:rPr>
              <w:t>.</w:t>
            </w:r>
          </w:p>
          <w:p w14:paraId="25772C3D"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Sempre que possível deve ser estabelecido transporte de ida e volta para as comunidades com maior número de trabalhadores do </w:t>
            </w:r>
            <w:proofErr w:type="spellStart"/>
            <w:r w:rsidRPr="00292532">
              <w:rPr>
                <w:rFonts w:ascii="Arial" w:eastAsia="Calibri" w:hAnsi="Arial" w:cs="Arial"/>
                <w:sz w:val="18"/>
                <w:szCs w:val="18"/>
                <w:lang w:val="pt-PT"/>
              </w:rPr>
              <w:t>projecto</w:t>
            </w:r>
            <w:proofErr w:type="spellEnd"/>
            <w:r w:rsidRPr="00292532">
              <w:rPr>
                <w:rFonts w:ascii="Arial" w:eastAsia="Calibri" w:hAnsi="Arial" w:cs="Arial"/>
                <w:sz w:val="18"/>
                <w:szCs w:val="18"/>
                <w:lang w:val="pt-PT"/>
              </w:rPr>
              <w:t xml:space="preserve">, evitando desse modo a caminhada em percursos inseguros e propenso a </w:t>
            </w:r>
            <w:proofErr w:type="spellStart"/>
            <w:r w:rsidRPr="00292532">
              <w:rPr>
                <w:rFonts w:ascii="Arial" w:eastAsia="Calibri" w:hAnsi="Arial" w:cs="Arial"/>
                <w:sz w:val="18"/>
                <w:szCs w:val="18"/>
                <w:lang w:val="pt-PT"/>
              </w:rPr>
              <w:t>actos</w:t>
            </w:r>
            <w:proofErr w:type="spellEnd"/>
            <w:r w:rsidRPr="00292532">
              <w:rPr>
                <w:rFonts w:ascii="Arial" w:eastAsia="Calibri" w:hAnsi="Arial" w:cs="Arial"/>
                <w:sz w:val="18"/>
                <w:szCs w:val="18"/>
                <w:lang w:val="pt-PT"/>
              </w:rPr>
              <w:t xml:space="preserve"> de violência (principalmente para as mulheres e em períodos sem luz do sole)</w:t>
            </w:r>
            <w:r w:rsidRPr="00292532">
              <w:rPr>
                <w:rFonts w:ascii="Arial" w:eastAsia="Calibri" w:hAnsi="Arial" w:cs="Arial"/>
                <w:sz w:val="18"/>
                <w:szCs w:val="18"/>
                <w:vertAlign w:val="superscript"/>
                <w:lang w:val="pt-PT"/>
              </w:rPr>
              <w:footnoteReference w:id="48"/>
            </w:r>
          </w:p>
          <w:p w14:paraId="67E8D8E1"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Prestar apoio técnico específico às mulheres no processo de candidaturas, preferencialmente, o apoio deve ser feito por mulheres e </w:t>
            </w:r>
            <w:r w:rsidRPr="00292532">
              <w:rPr>
                <w:rFonts w:ascii="Arial" w:eastAsia="Calibri" w:hAnsi="Arial" w:cs="Arial"/>
                <w:sz w:val="18"/>
                <w:szCs w:val="18"/>
                <w:lang w:val="pt-PT"/>
              </w:rPr>
              <w:lastRenderedPageBreak/>
              <w:t>sempre que possível é importante que elas sejam lideradas por mulheres mais experientes;</w:t>
            </w:r>
          </w:p>
        </w:tc>
        <w:tc>
          <w:tcPr>
            <w:tcW w:w="2668" w:type="dxa"/>
            <w:shd w:val="clear" w:color="auto" w:fill="auto"/>
          </w:tcPr>
          <w:p w14:paraId="6AD52855"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lastRenderedPageBreak/>
              <w:t># de famílias abrangidas na implementação da metodologia GALS</w:t>
            </w:r>
          </w:p>
          <w:p w14:paraId="0E793F51"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Critérios de contratação estabelecidos</w:t>
            </w:r>
          </w:p>
          <w:p w14:paraId="5C7EB268"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lastRenderedPageBreak/>
              <w:t xml:space="preserve">Códigos de conduta assinados por todos os intervenientes do </w:t>
            </w:r>
            <w:proofErr w:type="spellStart"/>
            <w:r w:rsidRPr="00292532">
              <w:rPr>
                <w:rFonts w:ascii="Arial" w:eastAsia="Calibri" w:hAnsi="Arial" w:cs="Arial"/>
                <w:sz w:val="18"/>
                <w:szCs w:val="18"/>
                <w:lang w:val="pt-PT"/>
              </w:rPr>
              <w:t>projecto</w:t>
            </w:r>
            <w:proofErr w:type="spellEnd"/>
          </w:p>
          <w:p w14:paraId="038F3187"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 de mão-de-obra da comunidade empregue no subprojecto. </w:t>
            </w:r>
          </w:p>
          <w:p w14:paraId="276BB12E"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 de mulheres contratadas para as </w:t>
            </w:r>
            <w:proofErr w:type="spellStart"/>
            <w:r w:rsidRPr="00292532">
              <w:rPr>
                <w:rFonts w:ascii="Arial" w:eastAsia="Calibri" w:hAnsi="Arial" w:cs="Arial"/>
                <w:sz w:val="18"/>
                <w:szCs w:val="18"/>
                <w:lang w:val="pt-PT"/>
              </w:rPr>
              <w:t>actividades</w:t>
            </w:r>
            <w:proofErr w:type="spellEnd"/>
            <w:r w:rsidRPr="00292532">
              <w:rPr>
                <w:rFonts w:ascii="Arial" w:eastAsia="Calibri" w:hAnsi="Arial" w:cs="Arial"/>
                <w:sz w:val="18"/>
                <w:szCs w:val="18"/>
                <w:lang w:val="pt-PT"/>
              </w:rPr>
              <w:t xml:space="preserve"> do </w:t>
            </w:r>
            <w:proofErr w:type="spellStart"/>
            <w:r w:rsidRPr="00292532">
              <w:rPr>
                <w:rFonts w:ascii="Arial" w:eastAsia="Calibri" w:hAnsi="Arial" w:cs="Arial"/>
                <w:sz w:val="18"/>
                <w:szCs w:val="18"/>
                <w:lang w:val="pt-PT"/>
              </w:rPr>
              <w:t>projecto</w:t>
            </w:r>
            <w:proofErr w:type="spellEnd"/>
            <w:r w:rsidRPr="00292532">
              <w:rPr>
                <w:rFonts w:ascii="Arial" w:eastAsia="Calibri" w:hAnsi="Arial" w:cs="Arial"/>
                <w:sz w:val="18"/>
                <w:szCs w:val="18"/>
                <w:lang w:val="pt-PT"/>
              </w:rPr>
              <w:t xml:space="preserve"> que reportam não sofrer de VBG/EAS;</w:t>
            </w:r>
          </w:p>
        </w:tc>
        <w:tc>
          <w:tcPr>
            <w:tcW w:w="2437" w:type="dxa"/>
            <w:shd w:val="clear" w:color="auto" w:fill="auto"/>
            <w:vAlign w:val="center"/>
          </w:tcPr>
          <w:p w14:paraId="697900D5" w14:textId="77777777" w:rsidR="00B31AE2" w:rsidRPr="00292532" w:rsidRDefault="00B31AE2" w:rsidP="00B31AE2">
            <w:pPr>
              <w:spacing w:after="120"/>
              <w:rPr>
                <w:rFonts w:ascii="Arial" w:eastAsia="Calibri" w:hAnsi="Arial" w:cs="Arial"/>
                <w:sz w:val="18"/>
                <w:szCs w:val="18"/>
                <w:lang w:val="pt-PT"/>
              </w:rPr>
            </w:pPr>
            <w:r w:rsidRPr="00292532">
              <w:rPr>
                <w:rFonts w:ascii="Arial" w:eastAsia="Calibri" w:hAnsi="Arial" w:cs="Arial"/>
                <w:sz w:val="18"/>
                <w:szCs w:val="18"/>
                <w:lang w:val="pt-PT"/>
              </w:rPr>
              <w:lastRenderedPageBreak/>
              <w:t>Empreiteiro/Beneficiários de subvenção e UIP</w:t>
            </w:r>
          </w:p>
        </w:tc>
      </w:tr>
      <w:tr w:rsidR="00B31AE2" w:rsidRPr="004E2EAC" w14:paraId="7348F7CB" w14:textId="77777777" w:rsidTr="00B31AE2">
        <w:trPr>
          <w:trHeight w:val="338"/>
        </w:trPr>
        <w:tc>
          <w:tcPr>
            <w:tcW w:w="2532" w:type="dxa"/>
            <w:vMerge/>
            <w:shd w:val="clear" w:color="auto" w:fill="auto"/>
            <w:vAlign w:val="center"/>
          </w:tcPr>
          <w:p w14:paraId="49439137" w14:textId="77777777" w:rsidR="00B31AE2" w:rsidRPr="00292532" w:rsidRDefault="00B31AE2" w:rsidP="00B31AE2">
            <w:pPr>
              <w:rPr>
                <w:rFonts w:ascii="Arial" w:eastAsia="Calibri" w:hAnsi="Arial" w:cs="Arial"/>
                <w:b/>
                <w:bCs/>
                <w:sz w:val="18"/>
                <w:szCs w:val="18"/>
                <w:lang w:val="pt-PT"/>
              </w:rPr>
            </w:pPr>
          </w:p>
        </w:tc>
        <w:tc>
          <w:tcPr>
            <w:tcW w:w="3191" w:type="dxa"/>
            <w:shd w:val="clear" w:color="auto" w:fill="auto"/>
          </w:tcPr>
          <w:p w14:paraId="4026D05C"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O aumento da mobilidade masculina, por causa das obras de construção pode aumentar o risco de VBG (assédio, abuso sexual, uniões forçadas/prematuras) durante o envolvimento dos trabalhadores das obras com mulheres e raparigas locais (incluindo entre trabalhadores da mesma empresa). Esta situação pode exacerbar-se sobretudo nas comunidades abrangidas pelo acolhimento de deslocados internos resultantes do conflito em Cabo Delgado que veio agravar a situação já precária já agudizada pelos impactos económicos da COVID-19 e limitações com a pesca e agricultura;</w:t>
            </w:r>
          </w:p>
        </w:tc>
        <w:tc>
          <w:tcPr>
            <w:tcW w:w="3207" w:type="dxa"/>
            <w:shd w:val="clear" w:color="auto" w:fill="auto"/>
            <w:vAlign w:val="center"/>
          </w:tcPr>
          <w:p w14:paraId="2C142A0C"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Priorizar a contratação de mão de obra local</w:t>
            </w:r>
          </w:p>
          <w:p w14:paraId="1C9DD2EC"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Envolver os líderes comunitários para a </w:t>
            </w:r>
            <w:proofErr w:type="spellStart"/>
            <w:r w:rsidRPr="00292532">
              <w:rPr>
                <w:rFonts w:ascii="Arial" w:eastAsia="Calibri" w:hAnsi="Arial" w:cs="Arial"/>
                <w:sz w:val="18"/>
                <w:szCs w:val="18"/>
                <w:lang w:val="pt-PT"/>
              </w:rPr>
              <w:t>selecção</w:t>
            </w:r>
            <w:proofErr w:type="spellEnd"/>
            <w:r w:rsidRPr="00292532">
              <w:rPr>
                <w:rFonts w:ascii="Arial" w:eastAsia="Calibri" w:hAnsi="Arial" w:cs="Arial"/>
                <w:sz w:val="18"/>
                <w:szCs w:val="18"/>
                <w:lang w:val="pt-PT"/>
              </w:rPr>
              <w:t xml:space="preserve"> da mão de obra local</w:t>
            </w:r>
          </w:p>
          <w:p w14:paraId="6DB162ED"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Divulgar e assegurar a assinatura de códigos de conduta que incluem cláusulas sobre VBG/EAS (</w:t>
            </w:r>
            <w:r w:rsidRPr="00292532">
              <w:rPr>
                <w:rFonts w:ascii="Arial" w:eastAsia="Calibri" w:hAnsi="Arial" w:cs="Arial"/>
                <w:color w:val="4472C4"/>
                <w:sz w:val="18"/>
                <w:szCs w:val="18"/>
                <w:lang w:val="pt-PT"/>
              </w:rPr>
              <w:t xml:space="preserve">disponível no Procedimento de Gestão de Mão de Obra do </w:t>
            </w:r>
            <w:proofErr w:type="spellStart"/>
            <w:r w:rsidRPr="00292532">
              <w:rPr>
                <w:rFonts w:ascii="Arial" w:eastAsia="Calibri" w:hAnsi="Arial" w:cs="Arial"/>
                <w:color w:val="4472C4"/>
                <w:sz w:val="18"/>
                <w:szCs w:val="18"/>
                <w:lang w:val="pt-PT"/>
              </w:rPr>
              <w:t>Projecto</w:t>
            </w:r>
            <w:proofErr w:type="spellEnd"/>
            <w:r w:rsidRPr="00292532">
              <w:rPr>
                <w:rFonts w:ascii="Arial" w:eastAsia="Calibri" w:hAnsi="Arial" w:cs="Arial"/>
                <w:sz w:val="18"/>
                <w:szCs w:val="18"/>
                <w:lang w:val="pt-PT"/>
              </w:rPr>
              <w:t xml:space="preserve">) e para regular a conduta e comportamento de trabalhadores do </w:t>
            </w:r>
            <w:proofErr w:type="spellStart"/>
            <w:r w:rsidRPr="00292532">
              <w:rPr>
                <w:rFonts w:ascii="Arial" w:eastAsia="Calibri" w:hAnsi="Arial" w:cs="Arial"/>
                <w:sz w:val="18"/>
                <w:szCs w:val="18"/>
                <w:lang w:val="pt-PT"/>
              </w:rPr>
              <w:t>projecto</w:t>
            </w:r>
            <w:proofErr w:type="spellEnd"/>
            <w:r w:rsidRPr="00292532">
              <w:rPr>
                <w:rFonts w:ascii="Arial" w:eastAsia="Calibri" w:hAnsi="Arial" w:cs="Arial"/>
                <w:sz w:val="18"/>
                <w:szCs w:val="18"/>
                <w:lang w:val="pt-PT"/>
              </w:rPr>
              <w:t xml:space="preserve"> e a comunidade.</w:t>
            </w:r>
          </w:p>
          <w:p w14:paraId="492D0AF8"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Calibri" w:hAnsi="Arial" w:cs="Arial"/>
                <w:sz w:val="18"/>
                <w:szCs w:val="18"/>
                <w:lang w:val="pt-PT"/>
              </w:rPr>
              <w:t>Sensibilizar todos os trabalhadores sobre matérias de VBG/EAS e AS;</w:t>
            </w:r>
          </w:p>
        </w:tc>
        <w:tc>
          <w:tcPr>
            <w:tcW w:w="2668" w:type="dxa"/>
            <w:shd w:val="clear" w:color="auto" w:fill="auto"/>
          </w:tcPr>
          <w:p w14:paraId="600AA315"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MS Mincho" w:hAnsi="Arial" w:cs="Arial"/>
                <w:bCs/>
                <w:sz w:val="18"/>
                <w:szCs w:val="18"/>
                <w:lang w:val="pt-PT"/>
              </w:rPr>
              <w:t xml:space="preserve"># de trabalhadores contratados localmente </w:t>
            </w:r>
            <w:proofErr w:type="spellStart"/>
            <w:r w:rsidRPr="00292532">
              <w:rPr>
                <w:rFonts w:ascii="Arial" w:eastAsia="MS Mincho" w:hAnsi="Arial" w:cs="Arial"/>
                <w:bCs/>
                <w:sz w:val="18"/>
                <w:szCs w:val="18"/>
                <w:lang w:val="pt-PT"/>
              </w:rPr>
              <w:t>afectos</w:t>
            </w:r>
            <w:proofErr w:type="spellEnd"/>
            <w:r w:rsidRPr="00292532">
              <w:rPr>
                <w:rFonts w:ascii="Arial" w:eastAsia="MS Mincho" w:hAnsi="Arial" w:cs="Arial"/>
                <w:bCs/>
                <w:sz w:val="18"/>
                <w:szCs w:val="18"/>
                <w:lang w:val="pt-PT"/>
              </w:rPr>
              <w:t xml:space="preserve"> ao </w:t>
            </w:r>
            <w:proofErr w:type="spellStart"/>
            <w:r w:rsidRPr="00292532">
              <w:rPr>
                <w:rFonts w:ascii="Arial" w:eastAsia="MS Mincho" w:hAnsi="Arial" w:cs="Arial"/>
                <w:bCs/>
                <w:sz w:val="18"/>
                <w:szCs w:val="18"/>
                <w:lang w:val="pt-PT"/>
              </w:rPr>
              <w:t>projecto</w:t>
            </w:r>
            <w:proofErr w:type="spellEnd"/>
          </w:p>
          <w:p w14:paraId="131F586A"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Códigos de conduta assinados pelos trabalhadores do </w:t>
            </w:r>
            <w:proofErr w:type="spellStart"/>
            <w:r w:rsidRPr="00292532">
              <w:rPr>
                <w:rFonts w:ascii="Arial" w:eastAsia="Calibri" w:hAnsi="Arial" w:cs="Arial"/>
                <w:sz w:val="18"/>
                <w:szCs w:val="18"/>
                <w:lang w:val="pt-PT"/>
              </w:rPr>
              <w:t>projecto</w:t>
            </w:r>
            <w:proofErr w:type="spellEnd"/>
            <w:r w:rsidRPr="00292532">
              <w:rPr>
                <w:rFonts w:ascii="Arial" w:eastAsia="Calibri" w:hAnsi="Arial" w:cs="Arial"/>
                <w:sz w:val="18"/>
                <w:szCs w:val="18"/>
                <w:lang w:val="pt-PT"/>
              </w:rPr>
              <w:t>, que incluem cláusulas sobre VBG</w:t>
            </w:r>
          </w:p>
          <w:p w14:paraId="348F90AF"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de Sensibilizações realizadas aos trabalhadores e a comunidade sobre matérias ligadas a VBG/EAS e AS</w:t>
            </w:r>
          </w:p>
        </w:tc>
        <w:tc>
          <w:tcPr>
            <w:tcW w:w="2437" w:type="dxa"/>
            <w:shd w:val="clear" w:color="auto" w:fill="auto"/>
            <w:vAlign w:val="center"/>
          </w:tcPr>
          <w:p w14:paraId="02AE4991" w14:textId="77777777" w:rsidR="00B31AE2" w:rsidRPr="00292532" w:rsidRDefault="00B31AE2" w:rsidP="00B31AE2">
            <w:pPr>
              <w:rPr>
                <w:rFonts w:ascii="Arial" w:eastAsia="Calibri" w:hAnsi="Arial" w:cs="Arial"/>
                <w:sz w:val="18"/>
                <w:szCs w:val="18"/>
                <w:lang w:val="pt-PT"/>
              </w:rPr>
            </w:pPr>
            <w:r w:rsidRPr="00292532">
              <w:rPr>
                <w:rFonts w:ascii="Arial" w:eastAsia="Calibri" w:hAnsi="Arial" w:cs="Arial"/>
                <w:sz w:val="18"/>
                <w:szCs w:val="18"/>
                <w:lang w:val="pt-PT"/>
              </w:rPr>
              <w:t>Empreiteiro/Beneficiários de subvenção e UIP</w:t>
            </w:r>
          </w:p>
        </w:tc>
      </w:tr>
      <w:tr w:rsidR="00B31AE2" w:rsidRPr="004E2EAC" w14:paraId="6B5AC1B5" w14:textId="77777777" w:rsidTr="00B31AE2">
        <w:trPr>
          <w:trHeight w:val="1472"/>
        </w:trPr>
        <w:tc>
          <w:tcPr>
            <w:tcW w:w="2532" w:type="dxa"/>
            <w:vMerge/>
            <w:shd w:val="clear" w:color="auto" w:fill="auto"/>
            <w:vAlign w:val="center"/>
          </w:tcPr>
          <w:p w14:paraId="515728D3" w14:textId="77777777" w:rsidR="00B31AE2" w:rsidRPr="00292532" w:rsidRDefault="00B31AE2" w:rsidP="00B31AE2">
            <w:pPr>
              <w:rPr>
                <w:rFonts w:ascii="Arial" w:eastAsia="Calibri" w:hAnsi="Arial" w:cs="Arial"/>
                <w:b/>
                <w:bCs/>
                <w:sz w:val="18"/>
                <w:szCs w:val="18"/>
                <w:lang w:val="pt-PT"/>
              </w:rPr>
            </w:pPr>
          </w:p>
        </w:tc>
        <w:tc>
          <w:tcPr>
            <w:tcW w:w="3191" w:type="dxa"/>
            <w:shd w:val="clear" w:color="auto" w:fill="auto"/>
          </w:tcPr>
          <w:p w14:paraId="17C5FDCC"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Os beneficiários das obras de saneamento (especificamente mulheres e raparigas) podem sofrer cobranças indevidas para a execução da </w:t>
            </w:r>
            <w:proofErr w:type="spellStart"/>
            <w:r w:rsidRPr="00292532">
              <w:rPr>
                <w:rFonts w:ascii="Arial" w:eastAsia="Calibri" w:hAnsi="Arial" w:cs="Arial"/>
                <w:sz w:val="18"/>
                <w:szCs w:val="18"/>
                <w:lang w:val="pt-PT"/>
              </w:rPr>
              <w:t>actividade</w:t>
            </w:r>
            <w:proofErr w:type="spellEnd"/>
            <w:r w:rsidRPr="00292532">
              <w:rPr>
                <w:rFonts w:ascii="Arial" w:eastAsia="Calibri" w:hAnsi="Arial" w:cs="Arial"/>
                <w:sz w:val="18"/>
                <w:szCs w:val="18"/>
                <w:lang w:val="pt-PT"/>
              </w:rPr>
              <w:t xml:space="preserve">, incluindo solicitações para </w:t>
            </w:r>
            <w:proofErr w:type="spellStart"/>
            <w:r w:rsidRPr="00292532">
              <w:rPr>
                <w:rFonts w:ascii="Arial" w:eastAsia="Calibri" w:hAnsi="Arial" w:cs="Arial"/>
                <w:sz w:val="18"/>
                <w:szCs w:val="18"/>
                <w:lang w:val="pt-PT"/>
              </w:rPr>
              <w:t>actos</w:t>
            </w:r>
            <w:proofErr w:type="spellEnd"/>
            <w:r w:rsidRPr="00292532">
              <w:rPr>
                <w:rFonts w:ascii="Arial" w:eastAsia="Calibri" w:hAnsi="Arial" w:cs="Arial"/>
                <w:sz w:val="18"/>
                <w:szCs w:val="18"/>
                <w:lang w:val="pt-PT"/>
              </w:rPr>
              <w:t xml:space="preserve"> sexuais principalmente para as mulheres e raparigas chefes de família que já </w:t>
            </w:r>
            <w:r w:rsidRPr="00292532">
              <w:rPr>
                <w:rFonts w:ascii="Arial" w:eastAsia="Calibri" w:hAnsi="Arial" w:cs="Arial"/>
                <w:sz w:val="18"/>
                <w:szCs w:val="18"/>
                <w:lang w:val="pt-PT"/>
              </w:rPr>
              <w:lastRenderedPageBreak/>
              <w:t>se encontram em condições de fragilidade.</w:t>
            </w:r>
          </w:p>
        </w:tc>
        <w:tc>
          <w:tcPr>
            <w:tcW w:w="3207" w:type="dxa"/>
            <w:shd w:val="clear" w:color="auto" w:fill="auto"/>
            <w:vAlign w:val="center"/>
          </w:tcPr>
          <w:p w14:paraId="21A6381A"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lastRenderedPageBreak/>
              <w:t xml:space="preserve">Garantir o envolvimento da comunidade em todas as etapas do </w:t>
            </w:r>
            <w:proofErr w:type="spellStart"/>
            <w:r w:rsidRPr="00292532">
              <w:rPr>
                <w:rFonts w:ascii="Arial" w:eastAsia="Calibri" w:hAnsi="Arial" w:cs="Arial"/>
                <w:sz w:val="18"/>
                <w:szCs w:val="18"/>
                <w:lang w:val="pt-PT"/>
              </w:rPr>
              <w:t>projecto</w:t>
            </w:r>
            <w:proofErr w:type="spellEnd"/>
            <w:r w:rsidRPr="00292532">
              <w:rPr>
                <w:rFonts w:ascii="Arial" w:eastAsia="Calibri" w:hAnsi="Arial" w:cs="Arial"/>
                <w:sz w:val="18"/>
                <w:szCs w:val="18"/>
                <w:lang w:val="pt-PT"/>
              </w:rPr>
              <w:t xml:space="preserve">, por forma a que ela saiba de todos os </w:t>
            </w:r>
            <w:proofErr w:type="spellStart"/>
            <w:r w:rsidRPr="00292532">
              <w:rPr>
                <w:rFonts w:ascii="Arial" w:eastAsia="Calibri" w:hAnsi="Arial" w:cs="Arial"/>
                <w:sz w:val="18"/>
                <w:szCs w:val="18"/>
                <w:lang w:val="pt-PT"/>
              </w:rPr>
              <w:t>aspectos</w:t>
            </w:r>
            <w:proofErr w:type="spellEnd"/>
            <w:r w:rsidRPr="00292532">
              <w:rPr>
                <w:rFonts w:ascii="Arial" w:eastAsia="Calibri" w:hAnsi="Arial" w:cs="Arial"/>
                <w:sz w:val="18"/>
                <w:szCs w:val="18"/>
                <w:lang w:val="pt-PT"/>
              </w:rPr>
              <w:t xml:space="preserve"> do </w:t>
            </w:r>
            <w:proofErr w:type="spellStart"/>
            <w:r w:rsidRPr="00292532">
              <w:rPr>
                <w:rFonts w:ascii="Arial" w:eastAsia="Calibri" w:hAnsi="Arial" w:cs="Arial"/>
                <w:sz w:val="18"/>
                <w:szCs w:val="18"/>
                <w:lang w:val="pt-PT"/>
              </w:rPr>
              <w:t>projecto</w:t>
            </w:r>
            <w:proofErr w:type="spellEnd"/>
            <w:r w:rsidRPr="00292532">
              <w:rPr>
                <w:rFonts w:ascii="Arial" w:eastAsia="Calibri" w:hAnsi="Arial" w:cs="Arial"/>
                <w:sz w:val="18"/>
                <w:szCs w:val="18"/>
                <w:lang w:val="pt-PT"/>
              </w:rPr>
              <w:t>, incluindo as condições para beneficiar-se do mesmo e mecanismo de reclamações;</w:t>
            </w:r>
          </w:p>
          <w:p w14:paraId="00C311BE"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lastRenderedPageBreak/>
              <w:t xml:space="preserve">Incluir no código de conduta as punições que podem decorrer de </w:t>
            </w:r>
            <w:proofErr w:type="spellStart"/>
            <w:r w:rsidRPr="00292532">
              <w:rPr>
                <w:rFonts w:ascii="Arial" w:eastAsia="Calibri" w:hAnsi="Arial" w:cs="Arial"/>
                <w:sz w:val="18"/>
                <w:szCs w:val="18"/>
                <w:lang w:val="pt-PT"/>
              </w:rPr>
              <w:t>aspectos</w:t>
            </w:r>
            <w:proofErr w:type="spellEnd"/>
            <w:r w:rsidRPr="00292532">
              <w:rPr>
                <w:rFonts w:ascii="Arial" w:eastAsia="Calibri" w:hAnsi="Arial" w:cs="Arial"/>
                <w:sz w:val="18"/>
                <w:szCs w:val="18"/>
                <w:lang w:val="pt-PT"/>
              </w:rPr>
              <w:t xml:space="preserve"> desviantes para fins não relacionados com o </w:t>
            </w:r>
            <w:proofErr w:type="spellStart"/>
            <w:r w:rsidRPr="00292532">
              <w:rPr>
                <w:rFonts w:ascii="Arial" w:eastAsia="Calibri" w:hAnsi="Arial" w:cs="Arial"/>
                <w:sz w:val="18"/>
                <w:szCs w:val="18"/>
                <w:lang w:val="pt-PT"/>
              </w:rPr>
              <w:t>sub-projecto</w:t>
            </w:r>
            <w:proofErr w:type="spellEnd"/>
            <w:r w:rsidRPr="00292532">
              <w:rPr>
                <w:rFonts w:ascii="Arial" w:eastAsia="Calibri" w:hAnsi="Arial" w:cs="Arial"/>
                <w:sz w:val="18"/>
                <w:szCs w:val="18"/>
                <w:lang w:val="pt-PT"/>
              </w:rPr>
              <w:t xml:space="preserve">, sobretudo ligados ao assédio sexual e abuso (ex. exigir favores sexuais ou financeiros para as mulheres e raparigas ou suas famílias beneficiarem-se do </w:t>
            </w:r>
            <w:proofErr w:type="spellStart"/>
            <w:r w:rsidRPr="00292532">
              <w:rPr>
                <w:rFonts w:ascii="Arial" w:eastAsia="Calibri" w:hAnsi="Arial" w:cs="Arial"/>
                <w:sz w:val="18"/>
                <w:szCs w:val="18"/>
                <w:lang w:val="pt-PT"/>
              </w:rPr>
              <w:t>projecto</w:t>
            </w:r>
            <w:proofErr w:type="spellEnd"/>
            <w:r w:rsidRPr="00292532">
              <w:rPr>
                <w:rFonts w:ascii="Arial" w:eastAsia="Calibri" w:hAnsi="Arial" w:cs="Arial"/>
                <w:sz w:val="18"/>
                <w:szCs w:val="18"/>
                <w:lang w:val="pt-PT"/>
              </w:rPr>
              <w:t>);</w:t>
            </w:r>
          </w:p>
        </w:tc>
        <w:tc>
          <w:tcPr>
            <w:tcW w:w="2668" w:type="dxa"/>
            <w:shd w:val="clear" w:color="auto" w:fill="auto"/>
          </w:tcPr>
          <w:p w14:paraId="568C66C3"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lastRenderedPageBreak/>
              <w:t># de encontros de sensibilização realizados com a comunidade;</w:t>
            </w:r>
          </w:p>
          <w:p w14:paraId="634F1E48"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Existência de códigos de conduta que incluem cláusulas sobre VBG/EAS e VCC assinados pelos trabalhadores do </w:t>
            </w:r>
            <w:proofErr w:type="spellStart"/>
            <w:r w:rsidRPr="00292532">
              <w:rPr>
                <w:rFonts w:ascii="Arial" w:eastAsia="Calibri" w:hAnsi="Arial" w:cs="Arial"/>
                <w:sz w:val="18"/>
                <w:szCs w:val="18"/>
                <w:lang w:val="pt-PT"/>
              </w:rPr>
              <w:t>projecto</w:t>
            </w:r>
            <w:proofErr w:type="spellEnd"/>
          </w:p>
          <w:p w14:paraId="6D49947C"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lastRenderedPageBreak/>
              <w:t xml:space="preserve">Mecanismos de gestão de reclamação estabelecidos e funcionais  </w:t>
            </w:r>
          </w:p>
          <w:p w14:paraId="3AD23B34"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de denúncias que são seguidas e resolvidos em relação ao total de casos denunciados;</w:t>
            </w:r>
          </w:p>
        </w:tc>
        <w:tc>
          <w:tcPr>
            <w:tcW w:w="2437" w:type="dxa"/>
            <w:shd w:val="clear" w:color="auto" w:fill="auto"/>
            <w:vAlign w:val="center"/>
          </w:tcPr>
          <w:p w14:paraId="2E3611EF" w14:textId="77777777" w:rsidR="00B31AE2" w:rsidRPr="00292532" w:rsidRDefault="00B31AE2" w:rsidP="00B31AE2">
            <w:pPr>
              <w:rPr>
                <w:rFonts w:ascii="Arial" w:eastAsia="Calibri" w:hAnsi="Arial" w:cs="Arial"/>
                <w:sz w:val="18"/>
                <w:szCs w:val="18"/>
                <w:lang w:val="pt-PT"/>
              </w:rPr>
            </w:pPr>
            <w:r w:rsidRPr="00292532">
              <w:rPr>
                <w:rFonts w:ascii="Arial" w:eastAsia="Calibri" w:hAnsi="Arial" w:cs="Arial"/>
                <w:sz w:val="18"/>
                <w:szCs w:val="18"/>
                <w:lang w:val="pt-PT"/>
              </w:rPr>
              <w:lastRenderedPageBreak/>
              <w:t>Empreiteiro/Beneficiários de subvenção e UIP</w:t>
            </w:r>
          </w:p>
        </w:tc>
      </w:tr>
      <w:tr w:rsidR="00B31AE2" w:rsidRPr="004E2EAC" w14:paraId="534D975C" w14:textId="77777777" w:rsidTr="00B31AE2">
        <w:trPr>
          <w:trHeight w:val="338"/>
        </w:trPr>
        <w:tc>
          <w:tcPr>
            <w:tcW w:w="2532" w:type="dxa"/>
            <w:shd w:val="clear" w:color="auto" w:fill="auto"/>
            <w:vAlign w:val="center"/>
          </w:tcPr>
          <w:p w14:paraId="13C62C53" w14:textId="77777777" w:rsidR="00B31AE2" w:rsidRPr="00292532" w:rsidRDefault="00B31AE2" w:rsidP="00B31AE2">
            <w:pPr>
              <w:rPr>
                <w:rFonts w:ascii="Arial" w:eastAsia="Calibri" w:hAnsi="Arial" w:cs="Arial"/>
                <w:b/>
                <w:bCs/>
                <w:sz w:val="18"/>
                <w:szCs w:val="18"/>
                <w:lang w:val="pt-PT"/>
              </w:rPr>
            </w:pPr>
          </w:p>
          <w:p w14:paraId="349F3176" w14:textId="77777777" w:rsidR="00B31AE2" w:rsidRPr="00292532" w:rsidRDefault="00B31AE2" w:rsidP="00B31AE2">
            <w:pPr>
              <w:rPr>
                <w:rFonts w:ascii="Arial" w:eastAsia="Calibri" w:hAnsi="Arial" w:cs="Arial"/>
                <w:b/>
                <w:bCs/>
                <w:sz w:val="18"/>
                <w:szCs w:val="18"/>
                <w:lang w:val="pt-PT"/>
              </w:rPr>
            </w:pPr>
            <w:r w:rsidRPr="00292532">
              <w:rPr>
                <w:rFonts w:ascii="Arial" w:eastAsia="Calibri" w:hAnsi="Arial" w:cs="Arial"/>
                <w:b/>
                <w:bCs/>
                <w:sz w:val="18"/>
                <w:szCs w:val="18"/>
                <w:lang w:val="pt-PT"/>
              </w:rPr>
              <w:t xml:space="preserve">Sensibilização comunitária sobre saneamento e intervenções nas escolas </w:t>
            </w:r>
            <w:proofErr w:type="spellStart"/>
            <w:r w:rsidRPr="00292532">
              <w:rPr>
                <w:rFonts w:ascii="Arial" w:eastAsia="Calibri" w:hAnsi="Arial" w:cs="Arial"/>
                <w:b/>
                <w:bCs/>
                <w:sz w:val="18"/>
                <w:szCs w:val="18"/>
                <w:lang w:val="pt-PT"/>
              </w:rPr>
              <w:t>seleccionadas</w:t>
            </w:r>
            <w:proofErr w:type="spellEnd"/>
          </w:p>
          <w:p w14:paraId="5A395661" w14:textId="77777777" w:rsidR="00B31AE2" w:rsidRPr="00292532" w:rsidRDefault="00B31AE2" w:rsidP="00B31AE2">
            <w:pPr>
              <w:rPr>
                <w:rFonts w:ascii="Arial" w:eastAsia="Calibri" w:hAnsi="Arial" w:cs="Arial"/>
                <w:b/>
                <w:bCs/>
                <w:sz w:val="18"/>
                <w:szCs w:val="18"/>
                <w:lang w:val="pt-PT"/>
              </w:rPr>
            </w:pPr>
          </w:p>
          <w:p w14:paraId="64B3B143" w14:textId="77777777" w:rsidR="00B31AE2" w:rsidRPr="00292532" w:rsidRDefault="00B31AE2" w:rsidP="00B31AE2">
            <w:pPr>
              <w:rPr>
                <w:rFonts w:ascii="Arial" w:eastAsia="Calibri" w:hAnsi="Arial" w:cs="Arial"/>
                <w:b/>
                <w:bCs/>
                <w:sz w:val="18"/>
                <w:szCs w:val="18"/>
                <w:lang w:val="pt-PT"/>
              </w:rPr>
            </w:pPr>
          </w:p>
        </w:tc>
        <w:tc>
          <w:tcPr>
            <w:tcW w:w="3191" w:type="dxa"/>
            <w:shd w:val="clear" w:color="auto" w:fill="auto"/>
          </w:tcPr>
          <w:p w14:paraId="5CA43200"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Existe o risco de exploração e assédio sexual durante os programas de sensibilização, que podem incluir o assédio sexual contra mulheres.</w:t>
            </w:r>
          </w:p>
          <w:p w14:paraId="221F21F6"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O envolvimento dos trabalhadores do </w:t>
            </w:r>
            <w:proofErr w:type="spellStart"/>
            <w:r w:rsidRPr="00292532">
              <w:rPr>
                <w:rFonts w:ascii="Arial" w:eastAsia="Calibri" w:hAnsi="Arial" w:cs="Arial"/>
                <w:sz w:val="18"/>
                <w:szCs w:val="18"/>
                <w:lang w:val="pt-PT"/>
              </w:rPr>
              <w:t>projecto</w:t>
            </w:r>
            <w:proofErr w:type="spellEnd"/>
            <w:r w:rsidRPr="00292532">
              <w:rPr>
                <w:rFonts w:ascii="Arial" w:eastAsia="Calibri" w:hAnsi="Arial" w:cs="Arial"/>
                <w:sz w:val="18"/>
                <w:szCs w:val="18"/>
                <w:lang w:val="pt-PT"/>
              </w:rPr>
              <w:t xml:space="preserve"> nas escolas (apoio aos núcleos escolares) poderá potencializar riscos de VBG devido a interação frequente com raparigas e rapazes alunos, podendo ser criado um vínculo de ‘’falsa confiança’’ ou através de promessas (materiais ou monetárias) </w:t>
            </w:r>
            <w:proofErr w:type="gramStart"/>
            <w:r w:rsidRPr="00292532">
              <w:rPr>
                <w:rFonts w:ascii="Arial" w:eastAsia="Calibri" w:hAnsi="Arial" w:cs="Arial"/>
                <w:sz w:val="18"/>
                <w:szCs w:val="18"/>
                <w:lang w:val="pt-PT"/>
              </w:rPr>
              <w:t>ás</w:t>
            </w:r>
            <w:proofErr w:type="gramEnd"/>
            <w:r w:rsidRPr="00292532">
              <w:rPr>
                <w:rFonts w:ascii="Arial" w:eastAsia="Calibri" w:hAnsi="Arial" w:cs="Arial"/>
                <w:sz w:val="18"/>
                <w:szCs w:val="18"/>
                <w:lang w:val="pt-PT"/>
              </w:rPr>
              <w:t xml:space="preserve"> raparigas alunas, que pode resultar em envolvimentos sexuais, casamentos prematuros, gravidezes precoces ou assédio sexual. Os riscos de VBG contra alunos podem ser agudizados </w:t>
            </w:r>
            <w:r w:rsidRPr="00292532">
              <w:rPr>
                <w:rFonts w:ascii="Arial" w:eastAsia="Calibri" w:hAnsi="Arial" w:cs="Arial"/>
                <w:sz w:val="18"/>
                <w:szCs w:val="18"/>
                <w:lang w:val="pt-PT"/>
              </w:rPr>
              <w:lastRenderedPageBreak/>
              <w:t xml:space="preserve">devido aos níveis de pobreza nas áreas de implementação do </w:t>
            </w:r>
            <w:proofErr w:type="spellStart"/>
            <w:r w:rsidRPr="00292532">
              <w:rPr>
                <w:rFonts w:ascii="Arial" w:eastAsia="Calibri" w:hAnsi="Arial" w:cs="Arial"/>
                <w:sz w:val="18"/>
                <w:szCs w:val="18"/>
                <w:lang w:val="pt-PT"/>
              </w:rPr>
              <w:t>projecto</w:t>
            </w:r>
            <w:proofErr w:type="spellEnd"/>
          </w:p>
        </w:tc>
        <w:tc>
          <w:tcPr>
            <w:tcW w:w="3207" w:type="dxa"/>
            <w:shd w:val="clear" w:color="auto" w:fill="auto"/>
            <w:vAlign w:val="center"/>
          </w:tcPr>
          <w:p w14:paraId="1F66ACCA"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MS Mincho" w:hAnsi="Arial" w:cs="Arial"/>
                <w:bCs/>
                <w:sz w:val="18"/>
                <w:szCs w:val="18"/>
                <w:lang w:val="pt-PT"/>
              </w:rPr>
              <w:lastRenderedPageBreak/>
              <w:t xml:space="preserve">Divulgar e </w:t>
            </w:r>
            <w:r w:rsidRPr="00292532">
              <w:rPr>
                <w:rFonts w:ascii="Arial" w:eastAsia="Calibri" w:hAnsi="Arial" w:cs="Arial"/>
                <w:sz w:val="18"/>
                <w:szCs w:val="18"/>
                <w:lang w:val="pt-PT"/>
              </w:rPr>
              <w:t xml:space="preserve">assegurar a assinatura de códigos de conduta que incluam cláusulas sobre VBG/EAS e para regular a conduta e comportamento de formadores durante as sessões de capacitação/sensibilização. </w:t>
            </w:r>
          </w:p>
          <w:p w14:paraId="40FF93BB"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Treinar formadores e facilitadores da comunidade sobre matérias de VBG/EAS e AS;</w:t>
            </w:r>
          </w:p>
          <w:p w14:paraId="27D33850"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Calibri" w:hAnsi="Arial" w:cs="Arial"/>
                <w:sz w:val="18"/>
                <w:szCs w:val="18"/>
                <w:lang w:val="pt-PT"/>
              </w:rPr>
              <w:t>Priorizar campanhas de divulgação usando os meios de comunicação e informação (físicos e digitais), por exemplo rádios comunitárias, televisão, panfletos, bem como,</w:t>
            </w:r>
            <w:r w:rsidRPr="00292532">
              <w:rPr>
                <w:rFonts w:ascii="Arial" w:eastAsia="MS Mincho" w:hAnsi="Arial" w:cs="Arial"/>
                <w:bCs/>
                <w:sz w:val="18"/>
                <w:szCs w:val="18"/>
                <w:lang w:val="pt-PT"/>
              </w:rPr>
              <w:t xml:space="preserve"> privilegiar os </w:t>
            </w:r>
            <w:proofErr w:type="spellStart"/>
            <w:r w:rsidRPr="00292532">
              <w:rPr>
                <w:rFonts w:ascii="Arial" w:eastAsia="MS Mincho" w:hAnsi="Arial" w:cs="Arial"/>
                <w:bCs/>
                <w:sz w:val="18"/>
                <w:szCs w:val="18"/>
                <w:lang w:val="pt-PT"/>
              </w:rPr>
              <w:t>actores</w:t>
            </w:r>
            <w:proofErr w:type="spellEnd"/>
            <w:r w:rsidRPr="00292532">
              <w:rPr>
                <w:rFonts w:ascii="Arial" w:eastAsia="MS Mincho" w:hAnsi="Arial" w:cs="Arial"/>
                <w:bCs/>
                <w:sz w:val="18"/>
                <w:szCs w:val="18"/>
                <w:lang w:val="pt-PT"/>
              </w:rPr>
              <w:t xml:space="preserve"> locais para as </w:t>
            </w:r>
            <w:proofErr w:type="spellStart"/>
            <w:r w:rsidRPr="00292532">
              <w:rPr>
                <w:rFonts w:ascii="Arial" w:eastAsia="MS Mincho" w:hAnsi="Arial" w:cs="Arial"/>
                <w:bCs/>
                <w:sz w:val="18"/>
                <w:szCs w:val="18"/>
                <w:lang w:val="pt-PT"/>
              </w:rPr>
              <w:t>acções</w:t>
            </w:r>
            <w:proofErr w:type="spellEnd"/>
            <w:r w:rsidRPr="00292532">
              <w:rPr>
                <w:rFonts w:ascii="Arial" w:eastAsia="MS Mincho" w:hAnsi="Arial" w:cs="Arial"/>
                <w:bCs/>
                <w:sz w:val="18"/>
                <w:szCs w:val="18"/>
                <w:lang w:val="pt-PT"/>
              </w:rPr>
              <w:t xml:space="preserve"> de sensibilização, </w:t>
            </w:r>
            <w:proofErr w:type="gramStart"/>
            <w:r w:rsidRPr="00292532">
              <w:rPr>
                <w:rFonts w:ascii="Arial" w:eastAsia="MS Mincho" w:hAnsi="Arial" w:cs="Arial"/>
                <w:bCs/>
                <w:sz w:val="18"/>
                <w:szCs w:val="18"/>
                <w:lang w:val="pt-PT"/>
              </w:rPr>
              <w:t xml:space="preserve">líderes,  </w:t>
            </w:r>
            <w:proofErr w:type="spellStart"/>
            <w:r w:rsidRPr="00292532">
              <w:rPr>
                <w:rFonts w:ascii="Arial" w:eastAsia="MS Mincho" w:hAnsi="Arial" w:cs="Arial"/>
                <w:bCs/>
                <w:sz w:val="18"/>
                <w:szCs w:val="18"/>
                <w:lang w:val="pt-PT"/>
              </w:rPr>
              <w:t>ONGs</w:t>
            </w:r>
            <w:proofErr w:type="spellEnd"/>
            <w:proofErr w:type="gramEnd"/>
            <w:r w:rsidRPr="00292532">
              <w:rPr>
                <w:rFonts w:ascii="Arial" w:eastAsia="MS Mincho" w:hAnsi="Arial" w:cs="Arial"/>
                <w:bCs/>
                <w:sz w:val="18"/>
                <w:szCs w:val="18"/>
                <w:lang w:val="pt-PT"/>
              </w:rPr>
              <w:t xml:space="preserve"> locais, etc.</w:t>
            </w:r>
          </w:p>
        </w:tc>
        <w:tc>
          <w:tcPr>
            <w:tcW w:w="2668" w:type="dxa"/>
            <w:shd w:val="clear" w:color="auto" w:fill="auto"/>
          </w:tcPr>
          <w:p w14:paraId="6D24248F"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formadores que assinam os códigos de conduta sobre VBG/EAS e AS nas sessões de treinamento e capacitação</w:t>
            </w:r>
          </w:p>
          <w:p w14:paraId="1E9B7770"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de formadores treinados sobre VBG/EAS e AS;</w:t>
            </w:r>
          </w:p>
          <w:p w14:paraId="4D41D655"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de campanhas de sensibilização sobre saneamento realizadas</w:t>
            </w:r>
          </w:p>
          <w:p w14:paraId="71C86221"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de palestras realizadas sobre VBG/EAS e AS;</w:t>
            </w:r>
          </w:p>
          <w:p w14:paraId="2F69715E"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Critérios de localização dos novos sanitários.</w:t>
            </w:r>
          </w:p>
        </w:tc>
        <w:tc>
          <w:tcPr>
            <w:tcW w:w="2437" w:type="dxa"/>
            <w:shd w:val="clear" w:color="auto" w:fill="auto"/>
            <w:vAlign w:val="center"/>
          </w:tcPr>
          <w:p w14:paraId="7B2EF3D8" w14:textId="77777777" w:rsidR="00B31AE2" w:rsidRPr="00292532" w:rsidRDefault="00B31AE2" w:rsidP="00B31AE2">
            <w:pPr>
              <w:rPr>
                <w:rFonts w:ascii="Arial" w:eastAsia="Calibri" w:hAnsi="Arial" w:cs="Arial"/>
                <w:sz w:val="18"/>
                <w:szCs w:val="18"/>
                <w:lang w:val="pt-PT"/>
              </w:rPr>
            </w:pPr>
            <w:r w:rsidRPr="00292532">
              <w:rPr>
                <w:rFonts w:ascii="Arial" w:eastAsia="Calibri" w:hAnsi="Arial" w:cs="Arial"/>
                <w:sz w:val="18"/>
                <w:szCs w:val="18"/>
                <w:lang w:val="pt-PT"/>
              </w:rPr>
              <w:t>Empreiteiro/Beneficiários de subvenção e UIP</w:t>
            </w:r>
          </w:p>
        </w:tc>
      </w:tr>
      <w:tr w:rsidR="00B31AE2" w:rsidRPr="004E2EAC" w14:paraId="472D1B43" w14:textId="77777777" w:rsidTr="00B31AE2">
        <w:trPr>
          <w:trHeight w:val="1997"/>
        </w:trPr>
        <w:tc>
          <w:tcPr>
            <w:tcW w:w="2532" w:type="dxa"/>
            <w:vMerge w:val="restart"/>
            <w:shd w:val="clear" w:color="auto" w:fill="auto"/>
            <w:vAlign w:val="center"/>
          </w:tcPr>
          <w:p w14:paraId="62B481DB" w14:textId="77777777" w:rsidR="00B31AE2" w:rsidRPr="00292532" w:rsidRDefault="00B31AE2" w:rsidP="00B31AE2">
            <w:pPr>
              <w:spacing w:after="40"/>
              <w:rPr>
                <w:rFonts w:ascii="Arial" w:eastAsia="Calibri" w:hAnsi="Arial" w:cs="Arial"/>
                <w:b/>
                <w:bCs/>
                <w:sz w:val="18"/>
                <w:szCs w:val="18"/>
                <w:lang w:val="pt-PT"/>
              </w:rPr>
            </w:pPr>
            <w:proofErr w:type="spellStart"/>
            <w:r w:rsidRPr="00292532">
              <w:rPr>
                <w:rFonts w:ascii="Arial" w:eastAsia="Calibri" w:hAnsi="Arial" w:cs="Arial"/>
                <w:b/>
                <w:bCs/>
                <w:sz w:val="18"/>
                <w:szCs w:val="18"/>
                <w:lang w:val="pt-PT"/>
              </w:rPr>
              <w:t>Aspectos</w:t>
            </w:r>
            <w:proofErr w:type="spellEnd"/>
            <w:r w:rsidRPr="00292532">
              <w:rPr>
                <w:rFonts w:ascii="Arial" w:eastAsia="Calibri" w:hAnsi="Arial" w:cs="Arial"/>
                <w:b/>
                <w:bCs/>
                <w:sz w:val="18"/>
                <w:szCs w:val="18"/>
                <w:lang w:val="pt-PT"/>
              </w:rPr>
              <w:t xml:space="preserve"> para todas as componentes</w:t>
            </w:r>
          </w:p>
        </w:tc>
        <w:tc>
          <w:tcPr>
            <w:tcW w:w="3191" w:type="dxa"/>
            <w:shd w:val="clear" w:color="auto" w:fill="auto"/>
          </w:tcPr>
          <w:p w14:paraId="41E69BCE"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 xml:space="preserve">Existe o risco de VBG/EAS relacionado ao processo de </w:t>
            </w:r>
            <w:proofErr w:type="spellStart"/>
            <w:r w:rsidRPr="00292532">
              <w:rPr>
                <w:rFonts w:ascii="Arial" w:eastAsia="MS Mincho" w:hAnsi="Arial" w:cs="Arial"/>
                <w:bCs/>
                <w:sz w:val="18"/>
                <w:szCs w:val="18"/>
                <w:lang w:val="pt-PT"/>
              </w:rPr>
              <w:t>selecção</w:t>
            </w:r>
            <w:proofErr w:type="spellEnd"/>
            <w:r w:rsidRPr="00292532">
              <w:rPr>
                <w:rFonts w:ascii="Arial" w:eastAsia="MS Mincho" w:hAnsi="Arial" w:cs="Arial"/>
                <w:bCs/>
                <w:sz w:val="18"/>
                <w:szCs w:val="18"/>
                <w:lang w:val="pt-PT"/>
              </w:rPr>
              <w:t xml:space="preserve"> da mão de obra (principalmente a contratação de mão de obra feminina) onde mulheres podem ser aliciadas para a sua inclusão nas </w:t>
            </w:r>
            <w:proofErr w:type="spellStart"/>
            <w:r w:rsidRPr="00292532">
              <w:rPr>
                <w:rFonts w:ascii="Arial" w:eastAsia="MS Mincho" w:hAnsi="Arial" w:cs="Arial"/>
                <w:bCs/>
                <w:sz w:val="18"/>
                <w:szCs w:val="18"/>
                <w:lang w:val="pt-PT"/>
              </w:rPr>
              <w:t>actividades</w:t>
            </w:r>
            <w:proofErr w:type="spellEnd"/>
            <w:r w:rsidRPr="00292532">
              <w:rPr>
                <w:rFonts w:ascii="Arial" w:eastAsia="MS Mincho" w:hAnsi="Arial" w:cs="Arial"/>
                <w:bCs/>
                <w:sz w:val="18"/>
                <w:szCs w:val="18"/>
                <w:lang w:val="pt-PT"/>
              </w:rPr>
              <w:t xml:space="preserve"> dos subprojectos ou promessas de melhores salários/melhor cargo. Este risco existe em todas as componentes que envolvem o engajamento </w:t>
            </w:r>
            <w:proofErr w:type="spellStart"/>
            <w:r w:rsidRPr="00292532">
              <w:rPr>
                <w:rFonts w:ascii="Arial" w:eastAsia="MS Mincho" w:hAnsi="Arial" w:cs="Arial"/>
                <w:bCs/>
                <w:sz w:val="18"/>
                <w:szCs w:val="18"/>
                <w:lang w:val="pt-PT"/>
              </w:rPr>
              <w:t>directo</w:t>
            </w:r>
            <w:proofErr w:type="spellEnd"/>
            <w:r w:rsidRPr="00292532">
              <w:rPr>
                <w:rFonts w:ascii="Arial" w:eastAsia="MS Mincho" w:hAnsi="Arial" w:cs="Arial"/>
                <w:bCs/>
                <w:sz w:val="18"/>
                <w:szCs w:val="18"/>
                <w:lang w:val="pt-PT"/>
              </w:rPr>
              <w:t xml:space="preserve"> com beneficiárias. As pessoas em posições de poder podem ser os principais perpetradores;</w:t>
            </w:r>
          </w:p>
        </w:tc>
        <w:tc>
          <w:tcPr>
            <w:tcW w:w="3207" w:type="dxa"/>
            <w:shd w:val="clear" w:color="auto" w:fill="auto"/>
            <w:vAlign w:val="center"/>
          </w:tcPr>
          <w:p w14:paraId="46F4013B"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 xml:space="preserve">Estabelecer padrões a serem usados no processo de </w:t>
            </w:r>
            <w:proofErr w:type="spellStart"/>
            <w:r w:rsidRPr="00292532">
              <w:rPr>
                <w:rFonts w:ascii="Arial" w:eastAsia="MS Mincho" w:hAnsi="Arial" w:cs="Arial"/>
                <w:bCs/>
                <w:sz w:val="18"/>
                <w:szCs w:val="18"/>
                <w:lang w:val="pt-PT"/>
              </w:rPr>
              <w:t>selecção</w:t>
            </w:r>
            <w:proofErr w:type="spellEnd"/>
            <w:r w:rsidRPr="00292532">
              <w:rPr>
                <w:rFonts w:ascii="Arial" w:eastAsia="MS Mincho" w:hAnsi="Arial" w:cs="Arial"/>
                <w:bCs/>
                <w:sz w:val="18"/>
                <w:szCs w:val="18"/>
                <w:lang w:val="pt-PT"/>
              </w:rPr>
              <w:t xml:space="preserve"> da mão de obra e instituir níveis de verificação distintos no processo de </w:t>
            </w:r>
            <w:proofErr w:type="spellStart"/>
            <w:r w:rsidRPr="00292532">
              <w:rPr>
                <w:rFonts w:ascii="Arial" w:eastAsia="MS Mincho" w:hAnsi="Arial" w:cs="Arial"/>
                <w:bCs/>
                <w:sz w:val="18"/>
                <w:szCs w:val="18"/>
                <w:lang w:val="pt-PT"/>
              </w:rPr>
              <w:t>selecção</w:t>
            </w:r>
            <w:proofErr w:type="spellEnd"/>
            <w:r w:rsidRPr="00292532">
              <w:rPr>
                <w:rFonts w:ascii="Arial" w:eastAsia="MS Mincho" w:hAnsi="Arial" w:cs="Arial"/>
                <w:bCs/>
                <w:sz w:val="18"/>
                <w:szCs w:val="18"/>
                <w:lang w:val="pt-PT"/>
              </w:rPr>
              <w:t>;</w:t>
            </w:r>
          </w:p>
          <w:p w14:paraId="19E014A5"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Realizar sessões de VBG (prevenção e abuso sexual, e assédio sexual), no local de trabalho e informar aos trabalhadores sobre o risco de serem sancionados pela lei em caso de violação;</w:t>
            </w:r>
          </w:p>
          <w:p w14:paraId="4484BA1C"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Seguir os casos de VBG que acontecem no local de trabalho e responsabilizar os perpetradores como forma de desencorajar práticas similares e proteger as mulheres no local de trabalho. Isto inclui denúncias feitas pelos beneficiários dos mesmos;</w:t>
            </w:r>
          </w:p>
          <w:p w14:paraId="32E4988B"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MS Mincho" w:hAnsi="Arial" w:cs="Arial"/>
                <w:bCs/>
                <w:sz w:val="18"/>
                <w:szCs w:val="18"/>
                <w:lang w:val="pt-PT"/>
              </w:rPr>
              <w:t xml:space="preserve">Identificar preferencialmente uma mulher no local de trabalho como ponto focal de género e VBG para fazer a ligação e apoiar as mulheres em casos de ocorrência de </w:t>
            </w:r>
            <w:proofErr w:type="spellStart"/>
            <w:r w:rsidRPr="00292532">
              <w:rPr>
                <w:rFonts w:ascii="Arial" w:eastAsia="MS Mincho" w:hAnsi="Arial" w:cs="Arial"/>
                <w:bCs/>
                <w:sz w:val="18"/>
                <w:szCs w:val="18"/>
                <w:lang w:val="pt-PT"/>
              </w:rPr>
              <w:t>actos</w:t>
            </w:r>
            <w:proofErr w:type="spellEnd"/>
            <w:r w:rsidRPr="00292532">
              <w:rPr>
                <w:rFonts w:ascii="Arial" w:eastAsia="MS Mincho" w:hAnsi="Arial" w:cs="Arial"/>
                <w:bCs/>
                <w:sz w:val="18"/>
                <w:szCs w:val="18"/>
                <w:lang w:val="pt-PT"/>
              </w:rPr>
              <w:t xml:space="preserve"> relacionados;</w:t>
            </w:r>
          </w:p>
        </w:tc>
        <w:tc>
          <w:tcPr>
            <w:tcW w:w="2668" w:type="dxa"/>
            <w:shd w:val="clear" w:color="auto" w:fill="auto"/>
          </w:tcPr>
          <w:p w14:paraId="06BCD435"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 xml:space="preserve">Padrões e requisitos de </w:t>
            </w:r>
            <w:proofErr w:type="spellStart"/>
            <w:r w:rsidRPr="00292532">
              <w:rPr>
                <w:rFonts w:ascii="Arial" w:eastAsia="MS Mincho" w:hAnsi="Arial" w:cs="Arial"/>
                <w:bCs/>
                <w:sz w:val="18"/>
                <w:szCs w:val="18"/>
                <w:lang w:val="pt-PT"/>
              </w:rPr>
              <w:t>selecção</w:t>
            </w:r>
            <w:proofErr w:type="spellEnd"/>
            <w:r w:rsidRPr="00292532">
              <w:rPr>
                <w:rFonts w:ascii="Arial" w:eastAsia="MS Mincho" w:hAnsi="Arial" w:cs="Arial"/>
                <w:bCs/>
                <w:sz w:val="18"/>
                <w:szCs w:val="18"/>
                <w:lang w:val="pt-PT"/>
              </w:rPr>
              <w:t xml:space="preserve"> criados e usados em todos os </w:t>
            </w:r>
            <w:proofErr w:type="spellStart"/>
            <w:r w:rsidRPr="00292532">
              <w:rPr>
                <w:rFonts w:ascii="Arial" w:eastAsia="MS Mincho" w:hAnsi="Arial" w:cs="Arial"/>
                <w:bCs/>
                <w:sz w:val="18"/>
                <w:szCs w:val="18"/>
                <w:lang w:val="pt-PT"/>
              </w:rPr>
              <w:t>projectos</w:t>
            </w:r>
            <w:proofErr w:type="spellEnd"/>
            <w:r w:rsidRPr="00292532">
              <w:rPr>
                <w:rFonts w:ascii="Arial" w:eastAsia="MS Mincho" w:hAnsi="Arial" w:cs="Arial"/>
                <w:bCs/>
                <w:sz w:val="18"/>
                <w:szCs w:val="18"/>
                <w:lang w:val="pt-PT"/>
              </w:rPr>
              <w:t xml:space="preserve"> que envolvem o engajamento </w:t>
            </w:r>
            <w:proofErr w:type="spellStart"/>
            <w:r w:rsidRPr="00292532">
              <w:rPr>
                <w:rFonts w:ascii="Arial" w:eastAsia="MS Mincho" w:hAnsi="Arial" w:cs="Arial"/>
                <w:bCs/>
                <w:sz w:val="18"/>
                <w:szCs w:val="18"/>
                <w:lang w:val="pt-PT"/>
              </w:rPr>
              <w:t>directo</w:t>
            </w:r>
            <w:proofErr w:type="spellEnd"/>
            <w:r w:rsidRPr="00292532">
              <w:rPr>
                <w:rFonts w:ascii="Arial" w:eastAsia="MS Mincho" w:hAnsi="Arial" w:cs="Arial"/>
                <w:bCs/>
                <w:sz w:val="18"/>
                <w:szCs w:val="18"/>
                <w:lang w:val="pt-PT"/>
              </w:rPr>
              <w:t xml:space="preserve"> com beneficiários para acesso a serviços e recursos;</w:t>
            </w:r>
          </w:p>
          <w:p w14:paraId="1525A237"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 de palestras realizadas sobre VBG/EAS e AS;</w:t>
            </w:r>
          </w:p>
          <w:p w14:paraId="5FCCCADB"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 de denúncias que são seguidas em relação ao total de casos denunciados;</w:t>
            </w:r>
          </w:p>
          <w:p w14:paraId="4E8F1A36"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p>
        </w:tc>
        <w:tc>
          <w:tcPr>
            <w:tcW w:w="2437" w:type="dxa"/>
            <w:tcBorders>
              <w:top w:val="nil"/>
            </w:tcBorders>
            <w:shd w:val="clear" w:color="auto" w:fill="auto"/>
            <w:vAlign w:val="center"/>
          </w:tcPr>
          <w:p w14:paraId="62ED5D9C" w14:textId="77777777" w:rsidR="00B31AE2" w:rsidRPr="00292532" w:rsidRDefault="00B31AE2" w:rsidP="00B31AE2">
            <w:pPr>
              <w:spacing w:before="120"/>
              <w:rPr>
                <w:rFonts w:ascii="Arial" w:eastAsia="MS Mincho" w:hAnsi="Arial" w:cs="Arial"/>
                <w:bCs/>
                <w:sz w:val="18"/>
                <w:szCs w:val="18"/>
                <w:lang w:val="pt-PT"/>
              </w:rPr>
            </w:pPr>
            <w:r w:rsidRPr="00292532">
              <w:rPr>
                <w:rFonts w:ascii="Arial" w:eastAsia="Calibri" w:hAnsi="Arial" w:cs="Arial"/>
                <w:sz w:val="18"/>
                <w:szCs w:val="18"/>
                <w:lang w:val="pt-PT"/>
              </w:rPr>
              <w:t>Empreiteiro/Beneficiários de subvenção e UIP</w:t>
            </w:r>
          </w:p>
        </w:tc>
      </w:tr>
      <w:tr w:rsidR="00B31AE2" w:rsidRPr="004E2EAC" w14:paraId="3D8986CC" w14:textId="77777777" w:rsidTr="00B31AE2">
        <w:trPr>
          <w:trHeight w:val="905"/>
        </w:trPr>
        <w:tc>
          <w:tcPr>
            <w:tcW w:w="2532" w:type="dxa"/>
            <w:vMerge/>
            <w:shd w:val="clear" w:color="auto" w:fill="auto"/>
            <w:vAlign w:val="center"/>
          </w:tcPr>
          <w:p w14:paraId="287BC144" w14:textId="77777777" w:rsidR="00B31AE2" w:rsidRPr="00292532" w:rsidRDefault="00B31AE2" w:rsidP="00B31AE2">
            <w:pPr>
              <w:spacing w:after="40"/>
              <w:rPr>
                <w:rFonts w:ascii="Arial" w:eastAsia="Calibri" w:hAnsi="Arial" w:cs="Arial"/>
                <w:b/>
                <w:bCs/>
                <w:sz w:val="18"/>
                <w:szCs w:val="18"/>
                <w:lang w:val="pt-PT"/>
              </w:rPr>
            </w:pPr>
          </w:p>
        </w:tc>
        <w:tc>
          <w:tcPr>
            <w:tcW w:w="3191" w:type="dxa"/>
            <w:shd w:val="clear" w:color="auto" w:fill="auto"/>
          </w:tcPr>
          <w:p w14:paraId="2EB22512"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 xml:space="preserve">Risco de perpetuação da VBG/EAS e AS relacionado a ausência de denúncias e seguimento dos casos quer por falta de mecanismos para o efeito como pelo medo/receio da vítima de sofrer represálias e perder os benefícios do </w:t>
            </w:r>
            <w:proofErr w:type="spellStart"/>
            <w:r w:rsidRPr="00292532">
              <w:rPr>
                <w:rFonts w:ascii="Arial" w:eastAsia="MS Mincho" w:hAnsi="Arial" w:cs="Arial"/>
                <w:bCs/>
                <w:sz w:val="18"/>
                <w:szCs w:val="18"/>
                <w:lang w:val="pt-PT"/>
              </w:rPr>
              <w:t>projecto</w:t>
            </w:r>
            <w:proofErr w:type="spellEnd"/>
            <w:r w:rsidRPr="00292532">
              <w:rPr>
                <w:rFonts w:ascii="Arial" w:eastAsia="MS Mincho" w:hAnsi="Arial" w:cs="Arial"/>
                <w:bCs/>
                <w:sz w:val="18"/>
                <w:szCs w:val="18"/>
                <w:lang w:val="pt-PT"/>
              </w:rPr>
              <w:t xml:space="preserve">, o que faz com que os perpetradores se sintam imunes e continuem com </w:t>
            </w:r>
            <w:proofErr w:type="spellStart"/>
            <w:r w:rsidRPr="00292532">
              <w:rPr>
                <w:rFonts w:ascii="Arial" w:eastAsia="MS Mincho" w:hAnsi="Arial" w:cs="Arial"/>
                <w:bCs/>
                <w:sz w:val="18"/>
                <w:szCs w:val="18"/>
                <w:lang w:val="pt-PT"/>
              </w:rPr>
              <w:t>actos</w:t>
            </w:r>
            <w:proofErr w:type="spellEnd"/>
            <w:r w:rsidRPr="00292532">
              <w:rPr>
                <w:rFonts w:ascii="Arial" w:eastAsia="MS Mincho" w:hAnsi="Arial" w:cs="Arial"/>
                <w:bCs/>
                <w:sz w:val="18"/>
                <w:szCs w:val="18"/>
                <w:lang w:val="pt-PT"/>
              </w:rPr>
              <w:t xml:space="preserve"> similares normalizando a VBG dentro do </w:t>
            </w:r>
            <w:proofErr w:type="spellStart"/>
            <w:r w:rsidRPr="00292532">
              <w:rPr>
                <w:rFonts w:ascii="Arial" w:eastAsia="MS Mincho" w:hAnsi="Arial" w:cs="Arial"/>
                <w:bCs/>
                <w:sz w:val="18"/>
                <w:szCs w:val="18"/>
                <w:lang w:val="pt-PT"/>
              </w:rPr>
              <w:t>projecto</w:t>
            </w:r>
            <w:proofErr w:type="spellEnd"/>
            <w:r w:rsidRPr="00292532">
              <w:rPr>
                <w:rFonts w:ascii="Arial" w:eastAsia="MS Mincho" w:hAnsi="Arial" w:cs="Arial"/>
                <w:bCs/>
                <w:sz w:val="18"/>
                <w:szCs w:val="18"/>
                <w:lang w:val="pt-PT"/>
              </w:rPr>
              <w:t xml:space="preserve">. Entretanto, as consequências da VBG/EAS podem trazer consequências graves para o </w:t>
            </w:r>
            <w:proofErr w:type="spellStart"/>
            <w:r w:rsidRPr="00292532">
              <w:rPr>
                <w:rFonts w:ascii="Arial" w:eastAsia="MS Mincho" w:hAnsi="Arial" w:cs="Arial"/>
                <w:bCs/>
                <w:sz w:val="18"/>
                <w:szCs w:val="18"/>
                <w:lang w:val="pt-PT"/>
              </w:rPr>
              <w:t>projecto</w:t>
            </w:r>
            <w:proofErr w:type="spellEnd"/>
            <w:r w:rsidRPr="00292532">
              <w:rPr>
                <w:rFonts w:ascii="Arial" w:eastAsia="MS Mincho" w:hAnsi="Arial" w:cs="Arial"/>
                <w:bCs/>
                <w:sz w:val="18"/>
                <w:szCs w:val="18"/>
                <w:lang w:val="pt-PT"/>
              </w:rPr>
              <w:t xml:space="preserve"> e para as mulheres; </w:t>
            </w:r>
            <w:proofErr w:type="spellStart"/>
            <w:r w:rsidRPr="00292532">
              <w:rPr>
                <w:rFonts w:ascii="Arial" w:eastAsia="MS Mincho" w:hAnsi="Arial" w:cs="Arial"/>
                <w:bCs/>
                <w:sz w:val="18"/>
                <w:szCs w:val="18"/>
                <w:lang w:val="pt-PT"/>
              </w:rPr>
              <w:t>ex</w:t>
            </w:r>
            <w:proofErr w:type="spellEnd"/>
            <w:r w:rsidRPr="00292532">
              <w:rPr>
                <w:rFonts w:ascii="Arial" w:eastAsia="MS Mincho" w:hAnsi="Arial" w:cs="Arial"/>
                <w:bCs/>
                <w:sz w:val="18"/>
                <w:szCs w:val="18"/>
                <w:lang w:val="pt-PT"/>
              </w:rPr>
              <w:t xml:space="preserve">: </w:t>
            </w:r>
            <w:proofErr w:type="spellStart"/>
            <w:r w:rsidRPr="00292532">
              <w:rPr>
                <w:rFonts w:ascii="Arial" w:eastAsia="MS Mincho" w:hAnsi="Arial" w:cs="Arial"/>
                <w:bCs/>
                <w:sz w:val="18"/>
                <w:szCs w:val="18"/>
                <w:lang w:val="pt-PT"/>
              </w:rPr>
              <w:t>afectar</w:t>
            </w:r>
            <w:proofErr w:type="spellEnd"/>
            <w:r w:rsidRPr="00292532">
              <w:rPr>
                <w:rFonts w:ascii="Arial" w:eastAsia="MS Mincho" w:hAnsi="Arial" w:cs="Arial"/>
                <w:bCs/>
                <w:sz w:val="18"/>
                <w:szCs w:val="18"/>
                <w:lang w:val="pt-PT"/>
              </w:rPr>
              <w:t xml:space="preserve"> a sua saúde física e psicológica impedindo-as de continuar com as suas </w:t>
            </w:r>
            <w:proofErr w:type="spellStart"/>
            <w:r w:rsidRPr="00292532">
              <w:rPr>
                <w:rFonts w:ascii="Arial" w:eastAsia="MS Mincho" w:hAnsi="Arial" w:cs="Arial"/>
                <w:bCs/>
                <w:sz w:val="18"/>
                <w:szCs w:val="18"/>
                <w:lang w:val="pt-PT"/>
              </w:rPr>
              <w:t>actividades</w:t>
            </w:r>
            <w:proofErr w:type="spellEnd"/>
            <w:r w:rsidRPr="00292532">
              <w:rPr>
                <w:rFonts w:ascii="Arial" w:eastAsia="MS Mincho" w:hAnsi="Arial" w:cs="Arial"/>
                <w:bCs/>
                <w:sz w:val="18"/>
                <w:szCs w:val="18"/>
                <w:lang w:val="pt-PT"/>
              </w:rPr>
              <w:t xml:space="preserve"> e algumas mulheres e raparigas podem ainda desistir de participar/beneficiar-se do </w:t>
            </w:r>
            <w:proofErr w:type="spellStart"/>
            <w:r w:rsidRPr="00292532">
              <w:rPr>
                <w:rFonts w:ascii="Arial" w:eastAsia="MS Mincho" w:hAnsi="Arial" w:cs="Arial"/>
                <w:bCs/>
                <w:sz w:val="18"/>
                <w:szCs w:val="18"/>
                <w:lang w:val="pt-PT"/>
              </w:rPr>
              <w:t>projecto</w:t>
            </w:r>
            <w:proofErr w:type="spellEnd"/>
            <w:r w:rsidRPr="00292532">
              <w:rPr>
                <w:rFonts w:ascii="Arial" w:eastAsia="MS Mincho" w:hAnsi="Arial" w:cs="Arial"/>
                <w:bCs/>
                <w:sz w:val="18"/>
                <w:szCs w:val="18"/>
                <w:lang w:val="pt-PT"/>
              </w:rPr>
              <w:t xml:space="preserve">. </w:t>
            </w:r>
          </w:p>
        </w:tc>
        <w:tc>
          <w:tcPr>
            <w:tcW w:w="3207" w:type="dxa"/>
            <w:shd w:val="clear" w:color="auto" w:fill="auto"/>
          </w:tcPr>
          <w:p w14:paraId="0344F571"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Elaborar e criar códigos de conduta em todos os subprojectos com risco de VBG e EAS a ser assinado por todos os envolvidos;</w:t>
            </w:r>
          </w:p>
          <w:p w14:paraId="0788919F"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 xml:space="preserve">Implementar o mecanismo de reclamação em todos os subprojectos com potencial risco de VBG alguns dos quais podem ser com base em livros ou caixa de reclamações. </w:t>
            </w:r>
          </w:p>
          <w:p w14:paraId="1D4742A1" w14:textId="77777777" w:rsidR="00B31AE2" w:rsidRPr="00292532" w:rsidRDefault="00B31AE2" w:rsidP="00B31AE2">
            <w:pPr>
              <w:spacing w:after="120"/>
              <w:rPr>
                <w:rFonts w:ascii="Arial" w:eastAsia="MS Mincho" w:hAnsi="Arial" w:cs="Arial"/>
                <w:bCs/>
                <w:sz w:val="18"/>
                <w:szCs w:val="18"/>
                <w:lang w:val="pt-PT"/>
              </w:rPr>
            </w:pPr>
          </w:p>
          <w:p w14:paraId="51D3D7FF" w14:textId="77777777" w:rsidR="00B31AE2" w:rsidRPr="00292532" w:rsidRDefault="00B31AE2" w:rsidP="00B31AE2">
            <w:pPr>
              <w:autoSpaceDE w:val="0"/>
              <w:autoSpaceDN w:val="0"/>
              <w:adjustRightInd w:val="0"/>
              <w:rPr>
                <w:rFonts w:ascii="Arial" w:eastAsia="MS Mincho" w:hAnsi="Arial" w:cs="Arial"/>
                <w:bCs/>
                <w:sz w:val="18"/>
                <w:szCs w:val="18"/>
                <w:lang w:val="pt-PT"/>
              </w:rPr>
            </w:pPr>
          </w:p>
        </w:tc>
        <w:tc>
          <w:tcPr>
            <w:tcW w:w="2668" w:type="dxa"/>
            <w:shd w:val="clear" w:color="auto" w:fill="auto"/>
          </w:tcPr>
          <w:p w14:paraId="47122119"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 xml:space="preserve">% de instituições envolvidas no </w:t>
            </w:r>
            <w:proofErr w:type="spellStart"/>
            <w:r w:rsidRPr="00292532">
              <w:rPr>
                <w:rFonts w:ascii="Arial" w:eastAsia="MS Mincho" w:hAnsi="Arial" w:cs="Arial"/>
                <w:bCs/>
                <w:sz w:val="18"/>
                <w:szCs w:val="18"/>
                <w:lang w:val="pt-PT"/>
              </w:rPr>
              <w:t>projecto</w:t>
            </w:r>
            <w:proofErr w:type="spellEnd"/>
            <w:r w:rsidRPr="00292532">
              <w:rPr>
                <w:rFonts w:ascii="Arial" w:eastAsia="MS Mincho" w:hAnsi="Arial" w:cs="Arial"/>
                <w:bCs/>
                <w:sz w:val="18"/>
                <w:szCs w:val="18"/>
                <w:lang w:val="pt-PT"/>
              </w:rPr>
              <w:t xml:space="preserve"> e que possuem um código de conduta sobre EAS e AS;</w:t>
            </w:r>
          </w:p>
          <w:p w14:paraId="1D8C9AF2"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Existência e implementação de mecanismos de denúncia que incluem casos de VBG</w:t>
            </w:r>
          </w:p>
          <w:p w14:paraId="3620E7BE"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 de denúncias de VBG reportadas através do mecanismo de denúncia e que são seguidos/resolvidos</w:t>
            </w:r>
          </w:p>
        </w:tc>
        <w:tc>
          <w:tcPr>
            <w:tcW w:w="2437" w:type="dxa"/>
            <w:tcBorders>
              <w:top w:val="nil"/>
            </w:tcBorders>
            <w:shd w:val="clear" w:color="auto" w:fill="auto"/>
            <w:vAlign w:val="center"/>
          </w:tcPr>
          <w:p w14:paraId="276735D9" w14:textId="77777777" w:rsidR="00B31AE2" w:rsidRPr="00292532" w:rsidRDefault="00B31AE2" w:rsidP="00B31AE2">
            <w:pPr>
              <w:spacing w:before="120"/>
              <w:rPr>
                <w:rFonts w:ascii="Arial" w:eastAsia="MS Mincho" w:hAnsi="Arial" w:cs="Arial"/>
                <w:bCs/>
                <w:sz w:val="18"/>
                <w:szCs w:val="18"/>
                <w:lang w:val="pt-PT"/>
              </w:rPr>
            </w:pPr>
            <w:r w:rsidRPr="00292532">
              <w:rPr>
                <w:rFonts w:ascii="Arial" w:eastAsia="Calibri" w:hAnsi="Arial" w:cs="Arial"/>
                <w:sz w:val="18"/>
                <w:szCs w:val="18"/>
                <w:lang w:val="pt-PT"/>
              </w:rPr>
              <w:t>Empreiteiro/Beneficiários de subvenção e UIP</w:t>
            </w:r>
          </w:p>
        </w:tc>
      </w:tr>
      <w:tr w:rsidR="00B31AE2" w:rsidRPr="004E2EAC" w14:paraId="79A2249D" w14:textId="77777777" w:rsidTr="00B31AE2">
        <w:trPr>
          <w:trHeight w:val="480"/>
        </w:trPr>
        <w:tc>
          <w:tcPr>
            <w:tcW w:w="2532" w:type="dxa"/>
            <w:vMerge/>
            <w:shd w:val="clear" w:color="auto" w:fill="auto"/>
          </w:tcPr>
          <w:p w14:paraId="60050617" w14:textId="77777777" w:rsidR="00B31AE2" w:rsidRPr="00292532" w:rsidRDefault="00B31AE2" w:rsidP="00B31AE2">
            <w:pPr>
              <w:spacing w:after="40"/>
              <w:rPr>
                <w:rFonts w:ascii="Arial" w:eastAsia="Calibri" w:hAnsi="Arial" w:cs="Arial"/>
                <w:b/>
                <w:bCs/>
                <w:sz w:val="18"/>
                <w:szCs w:val="18"/>
                <w:lang w:val="pt-PT"/>
              </w:rPr>
            </w:pPr>
          </w:p>
        </w:tc>
        <w:tc>
          <w:tcPr>
            <w:tcW w:w="3191" w:type="dxa"/>
            <w:shd w:val="clear" w:color="auto" w:fill="auto"/>
          </w:tcPr>
          <w:p w14:paraId="3BC79339"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As melhores condições auferidas pelos trabalhadores da </w:t>
            </w:r>
            <w:proofErr w:type="gramStart"/>
            <w:r w:rsidRPr="00292532">
              <w:rPr>
                <w:rFonts w:ascii="Arial" w:eastAsia="Calibri" w:hAnsi="Arial" w:cs="Arial"/>
                <w:sz w:val="18"/>
                <w:szCs w:val="18"/>
                <w:lang w:val="pt-PT"/>
              </w:rPr>
              <w:t xml:space="preserve">comunidade  </w:t>
            </w:r>
            <w:proofErr w:type="spellStart"/>
            <w:r w:rsidRPr="00292532">
              <w:rPr>
                <w:rFonts w:ascii="Arial" w:eastAsia="Calibri" w:hAnsi="Arial" w:cs="Arial"/>
                <w:sz w:val="18"/>
                <w:szCs w:val="18"/>
                <w:lang w:val="pt-PT"/>
              </w:rPr>
              <w:t>afectos</w:t>
            </w:r>
            <w:proofErr w:type="spellEnd"/>
            <w:proofErr w:type="gramEnd"/>
            <w:r w:rsidRPr="00292532">
              <w:rPr>
                <w:rFonts w:ascii="Arial" w:eastAsia="Calibri" w:hAnsi="Arial" w:cs="Arial"/>
                <w:sz w:val="18"/>
                <w:szCs w:val="18"/>
                <w:lang w:val="pt-PT"/>
              </w:rPr>
              <w:t xml:space="preserve"> ao </w:t>
            </w:r>
            <w:proofErr w:type="spellStart"/>
            <w:r w:rsidRPr="00292532">
              <w:rPr>
                <w:rFonts w:ascii="Arial" w:eastAsia="Calibri" w:hAnsi="Arial" w:cs="Arial"/>
                <w:sz w:val="18"/>
                <w:szCs w:val="18"/>
                <w:lang w:val="pt-PT"/>
              </w:rPr>
              <w:t>projecto</w:t>
            </w:r>
            <w:proofErr w:type="spellEnd"/>
            <w:r w:rsidRPr="00292532">
              <w:rPr>
                <w:rFonts w:ascii="Arial" w:eastAsia="Calibri" w:hAnsi="Arial" w:cs="Arial"/>
                <w:sz w:val="18"/>
                <w:szCs w:val="18"/>
                <w:lang w:val="pt-PT"/>
              </w:rPr>
              <w:t xml:space="preserve"> pode conduzir ao elevado risco de casamento precoce ou forçado, principalmente em comunidades onde o casamento com um homem empregado é visto como a melhor estratégia de subsistência para uma adolescente. Além disso, </w:t>
            </w:r>
            <w:proofErr w:type="gramStart"/>
            <w:r w:rsidRPr="00292532">
              <w:rPr>
                <w:rFonts w:ascii="Arial" w:eastAsia="Calibri" w:hAnsi="Arial" w:cs="Arial"/>
                <w:sz w:val="18"/>
                <w:szCs w:val="18"/>
                <w:lang w:val="pt-PT"/>
              </w:rPr>
              <w:lastRenderedPageBreak/>
              <w:t>salários mais altos para trabalhadores em uma comunidade pode</w:t>
            </w:r>
            <w:proofErr w:type="gramEnd"/>
            <w:r w:rsidRPr="00292532">
              <w:rPr>
                <w:rFonts w:ascii="Arial" w:eastAsia="Calibri" w:hAnsi="Arial" w:cs="Arial"/>
                <w:sz w:val="18"/>
                <w:szCs w:val="18"/>
                <w:lang w:val="pt-PT"/>
              </w:rPr>
              <w:t xml:space="preserve"> levar a um aumento no sexo </w:t>
            </w:r>
            <w:proofErr w:type="spellStart"/>
            <w:r w:rsidRPr="00292532">
              <w:rPr>
                <w:rFonts w:ascii="Arial" w:eastAsia="Calibri" w:hAnsi="Arial" w:cs="Arial"/>
                <w:sz w:val="18"/>
                <w:szCs w:val="18"/>
                <w:lang w:val="pt-PT"/>
              </w:rPr>
              <w:t>transaccional</w:t>
            </w:r>
            <w:proofErr w:type="spellEnd"/>
            <w:r w:rsidRPr="00292532">
              <w:rPr>
                <w:rFonts w:ascii="Arial" w:eastAsia="Calibri" w:hAnsi="Arial" w:cs="Arial"/>
                <w:sz w:val="18"/>
                <w:szCs w:val="18"/>
                <w:lang w:val="pt-PT"/>
              </w:rPr>
              <w:t>.</w:t>
            </w:r>
          </w:p>
          <w:p w14:paraId="7267B6A3"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Risco de VBG/EAS nas </w:t>
            </w:r>
            <w:proofErr w:type="spellStart"/>
            <w:r w:rsidRPr="00292532">
              <w:rPr>
                <w:rFonts w:ascii="Arial" w:eastAsia="Calibri" w:hAnsi="Arial" w:cs="Arial"/>
                <w:sz w:val="18"/>
                <w:szCs w:val="18"/>
                <w:lang w:val="pt-PT"/>
              </w:rPr>
              <w:t>actividades</w:t>
            </w:r>
            <w:proofErr w:type="spellEnd"/>
            <w:r w:rsidRPr="00292532">
              <w:rPr>
                <w:rFonts w:ascii="Arial" w:eastAsia="Calibri" w:hAnsi="Arial" w:cs="Arial"/>
                <w:sz w:val="18"/>
                <w:szCs w:val="18"/>
                <w:lang w:val="pt-PT"/>
              </w:rPr>
              <w:t xml:space="preserve"> que demandam </w:t>
            </w:r>
            <w:proofErr w:type="spellStart"/>
            <w:r w:rsidRPr="00292532">
              <w:rPr>
                <w:rFonts w:ascii="Arial" w:eastAsia="Calibri" w:hAnsi="Arial" w:cs="Arial"/>
                <w:sz w:val="18"/>
                <w:szCs w:val="18"/>
                <w:lang w:val="pt-PT"/>
              </w:rPr>
              <w:t>interacções</w:t>
            </w:r>
            <w:proofErr w:type="spellEnd"/>
            <w:r w:rsidRPr="00292532">
              <w:rPr>
                <w:rFonts w:ascii="Arial" w:eastAsia="Calibri" w:hAnsi="Arial" w:cs="Arial"/>
                <w:sz w:val="18"/>
                <w:szCs w:val="18"/>
                <w:lang w:val="pt-PT"/>
              </w:rPr>
              <w:t xml:space="preserve"> frequentes com membros da comunidade e trabalhadores do </w:t>
            </w:r>
            <w:proofErr w:type="spellStart"/>
            <w:r w:rsidRPr="00292532">
              <w:rPr>
                <w:rFonts w:ascii="Arial" w:eastAsia="Calibri" w:hAnsi="Arial" w:cs="Arial"/>
                <w:sz w:val="18"/>
                <w:szCs w:val="18"/>
                <w:lang w:val="pt-PT"/>
              </w:rPr>
              <w:t>projecto</w:t>
            </w:r>
            <w:proofErr w:type="spellEnd"/>
            <w:r w:rsidRPr="00292532">
              <w:rPr>
                <w:rFonts w:ascii="Arial" w:eastAsia="Calibri" w:hAnsi="Arial" w:cs="Arial"/>
                <w:sz w:val="18"/>
                <w:szCs w:val="18"/>
                <w:lang w:val="pt-PT"/>
              </w:rPr>
              <w:t xml:space="preserve"> (construção de infraestruturas sanitárias ao nível domiciliar), o que poderá criar cenários de confiança entre membros da comunidade e trabalhadores do </w:t>
            </w:r>
            <w:proofErr w:type="spellStart"/>
            <w:r w:rsidRPr="00292532">
              <w:rPr>
                <w:rFonts w:ascii="Arial" w:eastAsia="Calibri" w:hAnsi="Arial" w:cs="Arial"/>
                <w:sz w:val="18"/>
                <w:szCs w:val="18"/>
                <w:lang w:val="pt-PT"/>
              </w:rPr>
              <w:t>projecto</w:t>
            </w:r>
            <w:proofErr w:type="spellEnd"/>
            <w:r w:rsidRPr="00292532">
              <w:rPr>
                <w:rFonts w:ascii="Arial" w:eastAsia="Calibri" w:hAnsi="Arial" w:cs="Arial"/>
                <w:sz w:val="18"/>
                <w:szCs w:val="18"/>
                <w:lang w:val="pt-PT"/>
              </w:rPr>
              <w:t xml:space="preserve"> e proporcionar risco de assédio, abuso e violação sexual ou também o risco de casamento precoce forçado, em que pais/encarregados forçam menores a se envolverem com os trabalhadores do </w:t>
            </w:r>
            <w:proofErr w:type="spellStart"/>
            <w:r w:rsidRPr="00292532">
              <w:rPr>
                <w:rFonts w:ascii="Arial" w:eastAsia="Calibri" w:hAnsi="Arial" w:cs="Arial"/>
                <w:sz w:val="18"/>
                <w:szCs w:val="18"/>
                <w:lang w:val="pt-PT"/>
              </w:rPr>
              <w:t>projecto</w:t>
            </w:r>
            <w:proofErr w:type="spellEnd"/>
            <w:r w:rsidRPr="00292532">
              <w:rPr>
                <w:rFonts w:ascii="Arial" w:eastAsia="Calibri" w:hAnsi="Arial" w:cs="Arial"/>
                <w:sz w:val="18"/>
                <w:szCs w:val="18"/>
                <w:lang w:val="pt-PT"/>
              </w:rPr>
              <w:t>, como a melhor estratégia de subsistência para as adolescentes.</w:t>
            </w:r>
          </w:p>
        </w:tc>
        <w:tc>
          <w:tcPr>
            <w:tcW w:w="3207" w:type="dxa"/>
            <w:shd w:val="clear" w:color="auto" w:fill="auto"/>
          </w:tcPr>
          <w:p w14:paraId="0FD68F9E"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lastRenderedPageBreak/>
              <w:t>Sensibilização comunitária sobre VBG/SEA, risco de casamentos prematuros e gravidez precoce</w:t>
            </w:r>
          </w:p>
          <w:p w14:paraId="35505260"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Implementar os mecanismos de gestão de reclamações em todos os níveis, incluindo a sua disposição para a comunidade</w:t>
            </w:r>
          </w:p>
          <w:p w14:paraId="65750CA2"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 xml:space="preserve">Identificar uma mulher no local de trabalho ou na comunidade como ponto focal de género e VBG para </w:t>
            </w:r>
            <w:r w:rsidRPr="00292532">
              <w:rPr>
                <w:rFonts w:ascii="Arial" w:eastAsia="MS Mincho" w:hAnsi="Arial" w:cs="Arial"/>
                <w:bCs/>
                <w:sz w:val="18"/>
                <w:szCs w:val="18"/>
                <w:lang w:val="pt-PT"/>
              </w:rPr>
              <w:lastRenderedPageBreak/>
              <w:t xml:space="preserve">fazer a ligação e apoiar as mulheres e raparigas de ocorrência de algum </w:t>
            </w:r>
            <w:proofErr w:type="spellStart"/>
            <w:r w:rsidRPr="00292532">
              <w:rPr>
                <w:rFonts w:ascii="Arial" w:eastAsia="MS Mincho" w:hAnsi="Arial" w:cs="Arial"/>
                <w:bCs/>
                <w:sz w:val="18"/>
                <w:szCs w:val="18"/>
                <w:lang w:val="pt-PT"/>
              </w:rPr>
              <w:t>acto</w:t>
            </w:r>
            <w:proofErr w:type="spellEnd"/>
            <w:r w:rsidRPr="00292532">
              <w:rPr>
                <w:rFonts w:ascii="Arial" w:eastAsia="MS Mincho" w:hAnsi="Arial" w:cs="Arial"/>
                <w:bCs/>
                <w:sz w:val="18"/>
                <w:szCs w:val="18"/>
                <w:lang w:val="pt-PT"/>
              </w:rPr>
              <w:t xml:space="preserve"> relacionado;</w:t>
            </w:r>
          </w:p>
          <w:p w14:paraId="567281EF"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 xml:space="preserve">Engajar com Organizações da sociedade civil para </w:t>
            </w:r>
            <w:proofErr w:type="spellStart"/>
            <w:r w:rsidRPr="00292532">
              <w:rPr>
                <w:rFonts w:ascii="Arial" w:eastAsia="MS Mincho" w:hAnsi="Arial" w:cs="Arial"/>
                <w:bCs/>
                <w:sz w:val="18"/>
                <w:szCs w:val="18"/>
                <w:lang w:val="pt-PT"/>
              </w:rPr>
              <w:t>acções</w:t>
            </w:r>
            <w:proofErr w:type="spellEnd"/>
            <w:r w:rsidRPr="00292532">
              <w:rPr>
                <w:rFonts w:ascii="Arial" w:eastAsia="MS Mincho" w:hAnsi="Arial" w:cs="Arial"/>
                <w:bCs/>
                <w:sz w:val="18"/>
                <w:szCs w:val="18"/>
                <w:lang w:val="pt-PT"/>
              </w:rPr>
              <w:t xml:space="preserve"> de sensibilizado comunitária e para reforçar a aplicação da lei 24/2019 de revisão do código para responsabilizar criminalmente os perpetradores;</w:t>
            </w:r>
          </w:p>
        </w:tc>
        <w:tc>
          <w:tcPr>
            <w:tcW w:w="2668" w:type="dxa"/>
            <w:shd w:val="clear" w:color="auto" w:fill="auto"/>
          </w:tcPr>
          <w:p w14:paraId="01EF9AED"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lastRenderedPageBreak/>
              <w:t xml:space="preserve">Códigos de Conduta que enfatizam questões sobre VBG/EAS e </w:t>
            </w:r>
            <w:proofErr w:type="gramStart"/>
            <w:r w:rsidRPr="00292532">
              <w:rPr>
                <w:rFonts w:ascii="Arial" w:eastAsia="MS Mincho" w:hAnsi="Arial" w:cs="Arial"/>
                <w:bCs/>
                <w:sz w:val="18"/>
                <w:szCs w:val="18"/>
                <w:lang w:val="pt-PT"/>
              </w:rPr>
              <w:t>AS assinados</w:t>
            </w:r>
            <w:proofErr w:type="gramEnd"/>
            <w:r w:rsidRPr="00292532">
              <w:rPr>
                <w:rFonts w:ascii="Arial" w:eastAsia="MS Mincho" w:hAnsi="Arial" w:cs="Arial"/>
                <w:bCs/>
                <w:sz w:val="18"/>
                <w:szCs w:val="18"/>
                <w:lang w:val="pt-PT"/>
              </w:rPr>
              <w:t xml:space="preserve"> pelos trabalhadores do </w:t>
            </w:r>
            <w:proofErr w:type="spellStart"/>
            <w:r w:rsidRPr="00292532">
              <w:rPr>
                <w:rFonts w:ascii="Arial" w:eastAsia="MS Mincho" w:hAnsi="Arial" w:cs="Arial"/>
                <w:bCs/>
                <w:sz w:val="18"/>
                <w:szCs w:val="18"/>
                <w:lang w:val="pt-PT"/>
              </w:rPr>
              <w:t>projecto</w:t>
            </w:r>
            <w:proofErr w:type="spellEnd"/>
          </w:p>
          <w:p w14:paraId="60171531"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Linhas de denúncia operacionais (livro/caixa de reclamações, linha verde para denúncias,)</w:t>
            </w:r>
          </w:p>
          <w:p w14:paraId="7094E140"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lastRenderedPageBreak/>
              <w:t xml:space="preserve"># de casos de VBG contra as mulheres e raparigas nas áreas de implementação de </w:t>
            </w:r>
            <w:proofErr w:type="spellStart"/>
            <w:r w:rsidRPr="00292532">
              <w:rPr>
                <w:rFonts w:ascii="Arial" w:eastAsia="MS Mincho" w:hAnsi="Arial" w:cs="Arial"/>
                <w:bCs/>
                <w:sz w:val="18"/>
                <w:szCs w:val="18"/>
                <w:lang w:val="pt-PT"/>
              </w:rPr>
              <w:t>projectos</w:t>
            </w:r>
            <w:proofErr w:type="spellEnd"/>
          </w:p>
        </w:tc>
        <w:tc>
          <w:tcPr>
            <w:tcW w:w="2437" w:type="dxa"/>
            <w:shd w:val="clear" w:color="auto" w:fill="auto"/>
            <w:vAlign w:val="center"/>
          </w:tcPr>
          <w:p w14:paraId="1A924D09" w14:textId="77777777" w:rsidR="00B31AE2" w:rsidRPr="00292532" w:rsidRDefault="00B31AE2" w:rsidP="00B31AE2">
            <w:pPr>
              <w:spacing w:before="120"/>
              <w:rPr>
                <w:rFonts w:ascii="Arial" w:eastAsia="MS Mincho" w:hAnsi="Arial" w:cs="Arial"/>
                <w:bCs/>
                <w:sz w:val="18"/>
                <w:szCs w:val="18"/>
                <w:lang w:val="pt-PT"/>
              </w:rPr>
            </w:pPr>
            <w:r w:rsidRPr="00292532">
              <w:rPr>
                <w:rFonts w:ascii="Arial" w:eastAsia="Calibri" w:hAnsi="Arial" w:cs="Arial"/>
                <w:sz w:val="18"/>
                <w:szCs w:val="18"/>
                <w:lang w:val="pt-PT"/>
              </w:rPr>
              <w:lastRenderedPageBreak/>
              <w:t>Empreiteiro/Beneficiários de subvenção e UIP</w:t>
            </w:r>
          </w:p>
        </w:tc>
      </w:tr>
      <w:tr w:rsidR="00B31AE2" w:rsidRPr="004E2EAC" w14:paraId="7B1D8D4B" w14:textId="77777777" w:rsidTr="00B31AE2">
        <w:trPr>
          <w:trHeight w:val="480"/>
        </w:trPr>
        <w:tc>
          <w:tcPr>
            <w:tcW w:w="2532" w:type="dxa"/>
            <w:vMerge/>
            <w:shd w:val="clear" w:color="auto" w:fill="auto"/>
          </w:tcPr>
          <w:p w14:paraId="5C638CC6" w14:textId="77777777" w:rsidR="00B31AE2" w:rsidRPr="00292532" w:rsidRDefault="00B31AE2" w:rsidP="00B31AE2">
            <w:pPr>
              <w:spacing w:after="40"/>
              <w:rPr>
                <w:rFonts w:ascii="Arial" w:eastAsia="Calibri" w:hAnsi="Arial" w:cs="Arial"/>
                <w:b/>
                <w:bCs/>
                <w:sz w:val="18"/>
                <w:szCs w:val="18"/>
                <w:lang w:val="pt-PT"/>
              </w:rPr>
            </w:pPr>
          </w:p>
        </w:tc>
        <w:tc>
          <w:tcPr>
            <w:tcW w:w="3191" w:type="dxa"/>
            <w:shd w:val="clear" w:color="auto" w:fill="auto"/>
          </w:tcPr>
          <w:p w14:paraId="721C7DF0"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Nos casos em que mulheres são contratadas para desenvolverem </w:t>
            </w:r>
            <w:proofErr w:type="spellStart"/>
            <w:r w:rsidRPr="00292532">
              <w:rPr>
                <w:rFonts w:ascii="Arial" w:eastAsia="Calibri" w:hAnsi="Arial" w:cs="Arial"/>
                <w:sz w:val="18"/>
                <w:szCs w:val="18"/>
                <w:lang w:val="pt-PT"/>
              </w:rPr>
              <w:t>actividades</w:t>
            </w:r>
            <w:proofErr w:type="spellEnd"/>
            <w:r w:rsidRPr="00292532">
              <w:rPr>
                <w:rFonts w:ascii="Arial" w:eastAsia="Calibri" w:hAnsi="Arial" w:cs="Arial"/>
                <w:sz w:val="18"/>
                <w:szCs w:val="18"/>
                <w:lang w:val="pt-PT"/>
              </w:rPr>
              <w:t xml:space="preserve"> no âmbito do </w:t>
            </w:r>
            <w:proofErr w:type="spellStart"/>
            <w:r w:rsidRPr="00292532">
              <w:rPr>
                <w:rFonts w:ascii="Arial" w:eastAsia="Calibri" w:hAnsi="Arial" w:cs="Arial"/>
                <w:sz w:val="18"/>
                <w:szCs w:val="18"/>
                <w:lang w:val="pt-PT"/>
              </w:rPr>
              <w:t>projecto</w:t>
            </w:r>
            <w:proofErr w:type="spellEnd"/>
            <w:r w:rsidRPr="00292532">
              <w:rPr>
                <w:rFonts w:ascii="Arial" w:eastAsia="Calibri" w:hAnsi="Arial" w:cs="Arial"/>
                <w:sz w:val="18"/>
                <w:szCs w:val="18"/>
                <w:lang w:val="pt-PT"/>
              </w:rPr>
              <w:t xml:space="preserve">, existe o risco de violência económica caracterizada pela retenção dos salários das mulheres pelo parceiro, tornando a mulher </w:t>
            </w:r>
            <w:r w:rsidRPr="00292532">
              <w:rPr>
                <w:rFonts w:ascii="Arial" w:eastAsia="Calibri" w:hAnsi="Arial" w:cs="Arial"/>
                <w:sz w:val="18"/>
                <w:szCs w:val="18"/>
                <w:lang w:val="pt-PT"/>
              </w:rPr>
              <w:lastRenderedPageBreak/>
              <w:t>financeiramente dependente e sem controlo do seu salário</w:t>
            </w:r>
          </w:p>
        </w:tc>
        <w:tc>
          <w:tcPr>
            <w:tcW w:w="3207" w:type="dxa"/>
            <w:shd w:val="clear" w:color="auto" w:fill="auto"/>
          </w:tcPr>
          <w:p w14:paraId="4A18639D"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lastRenderedPageBreak/>
              <w:t xml:space="preserve">O </w:t>
            </w:r>
            <w:proofErr w:type="spellStart"/>
            <w:r w:rsidRPr="00292532">
              <w:rPr>
                <w:rFonts w:ascii="Arial" w:eastAsia="Calibri" w:hAnsi="Arial" w:cs="Arial"/>
                <w:sz w:val="18"/>
                <w:szCs w:val="18"/>
                <w:lang w:val="pt-PT"/>
              </w:rPr>
              <w:t>projecto</w:t>
            </w:r>
            <w:proofErr w:type="spellEnd"/>
            <w:r w:rsidRPr="00292532">
              <w:rPr>
                <w:rFonts w:ascii="Arial" w:eastAsia="Calibri" w:hAnsi="Arial" w:cs="Arial"/>
                <w:sz w:val="18"/>
                <w:szCs w:val="18"/>
                <w:lang w:val="pt-PT"/>
              </w:rPr>
              <w:t xml:space="preserve"> deve estabelecer ligações com organizações da sociedade civil nacionais, organizações comunitárias de base, organizações não governamentais e outras organizações internacionais que implementam iniciativas na área de </w:t>
            </w:r>
            <w:r w:rsidRPr="00292532">
              <w:rPr>
                <w:rFonts w:ascii="Arial" w:eastAsia="Calibri" w:hAnsi="Arial" w:cs="Arial"/>
                <w:sz w:val="18"/>
                <w:szCs w:val="18"/>
                <w:lang w:val="pt-PT"/>
              </w:rPr>
              <w:lastRenderedPageBreak/>
              <w:t xml:space="preserve">Violência Baseada no Género </w:t>
            </w:r>
            <w:proofErr w:type="gramStart"/>
            <w:r w:rsidRPr="00292532">
              <w:rPr>
                <w:rFonts w:ascii="Arial" w:eastAsia="Calibri" w:hAnsi="Arial" w:cs="Arial"/>
                <w:sz w:val="18"/>
                <w:szCs w:val="18"/>
                <w:lang w:val="pt-PT"/>
              </w:rPr>
              <w:t>e  devem</w:t>
            </w:r>
            <w:proofErr w:type="gramEnd"/>
            <w:r w:rsidRPr="00292532">
              <w:rPr>
                <w:rFonts w:ascii="Arial" w:eastAsia="Calibri" w:hAnsi="Arial" w:cs="Arial"/>
                <w:sz w:val="18"/>
                <w:szCs w:val="18"/>
                <w:lang w:val="pt-PT"/>
              </w:rPr>
              <w:t xml:space="preserve"> transmitir conhecimentos sobre tipos de violência e suas consequências. Durante as campanhas de sensibilização, líderes comunitários, líderes religiosos e outras pessoas influentes devem fazer parte do processo de transmissão de conhecimento.</w:t>
            </w:r>
          </w:p>
        </w:tc>
        <w:tc>
          <w:tcPr>
            <w:tcW w:w="2668" w:type="dxa"/>
            <w:shd w:val="clear" w:color="auto" w:fill="auto"/>
          </w:tcPr>
          <w:p w14:paraId="24B24897"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lastRenderedPageBreak/>
              <w:t># de campanhas de sensibilização realizadas</w:t>
            </w:r>
          </w:p>
          <w:p w14:paraId="6697986D"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 de encontros com líderes comunitários, religiosos e outras pessoas influentes realizados</w:t>
            </w:r>
          </w:p>
          <w:p w14:paraId="60BF8A0D"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p>
        </w:tc>
        <w:tc>
          <w:tcPr>
            <w:tcW w:w="2437" w:type="dxa"/>
            <w:shd w:val="clear" w:color="auto" w:fill="auto"/>
            <w:vAlign w:val="center"/>
          </w:tcPr>
          <w:p w14:paraId="2F20099D" w14:textId="77777777" w:rsidR="00B31AE2" w:rsidRPr="00292532" w:rsidRDefault="00B31AE2" w:rsidP="00B31AE2">
            <w:pPr>
              <w:spacing w:before="120"/>
              <w:rPr>
                <w:rFonts w:ascii="Arial" w:eastAsia="MS Mincho" w:hAnsi="Arial" w:cs="Arial"/>
                <w:bCs/>
                <w:sz w:val="18"/>
                <w:szCs w:val="18"/>
                <w:lang w:val="pt-PT"/>
              </w:rPr>
            </w:pPr>
            <w:r w:rsidRPr="00292532">
              <w:rPr>
                <w:rFonts w:ascii="Arial" w:eastAsia="Calibri" w:hAnsi="Arial" w:cs="Arial"/>
                <w:sz w:val="18"/>
                <w:szCs w:val="18"/>
                <w:lang w:val="pt-PT"/>
              </w:rPr>
              <w:t>Empreiteiro/Beneficiários de subvenção e UIP</w:t>
            </w:r>
          </w:p>
        </w:tc>
      </w:tr>
      <w:tr w:rsidR="00B31AE2" w:rsidRPr="004E2EAC" w14:paraId="0BEBACFC" w14:textId="77777777" w:rsidTr="00B31AE2">
        <w:trPr>
          <w:trHeight w:val="480"/>
        </w:trPr>
        <w:tc>
          <w:tcPr>
            <w:tcW w:w="2532" w:type="dxa"/>
            <w:vMerge/>
            <w:shd w:val="clear" w:color="auto" w:fill="auto"/>
          </w:tcPr>
          <w:p w14:paraId="37C27E77" w14:textId="77777777" w:rsidR="00B31AE2" w:rsidRPr="00292532" w:rsidRDefault="00B31AE2" w:rsidP="00B31AE2">
            <w:pPr>
              <w:spacing w:after="40"/>
              <w:rPr>
                <w:rFonts w:ascii="Arial" w:eastAsia="Calibri" w:hAnsi="Arial" w:cs="Arial"/>
                <w:b/>
                <w:bCs/>
                <w:sz w:val="18"/>
                <w:szCs w:val="18"/>
                <w:lang w:val="pt-PT"/>
              </w:rPr>
            </w:pPr>
          </w:p>
        </w:tc>
        <w:tc>
          <w:tcPr>
            <w:tcW w:w="3191" w:type="dxa"/>
            <w:shd w:val="clear" w:color="auto" w:fill="auto"/>
          </w:tcPr>
          <w:p w14:paraId="3B7A7DC3"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Fraca consciência sobre VBG por parte de homens e mulheres nas áreas do </w:t>
            </w:r>
            <w:proofErr w:type="spellStart"/>
            <w:r w:rsidRPr="00292532">
              <w:rPr>
                <w:rFonts w:ascii="Arial" w:eastAsia="Calibri" w:hAnsi="Arial" w:cs="Arial"/>
                <w:sz w:val="18"/>
                <w:szCs w:val="18"/>
                <w:lang w:val="pt-PT"/>
              </w:rPr>
              <w:t>projecto</w:t>
            </w:r>
            <w:proofErr w:type="spellEnd"/>
            <w:r w:rsidRPr="00292532">
              <w:rPr>
                <w:rFonts w:ascii="Arial" w:eastAsia="Calibri" w:hAnsi="Arial" w:cs="Arial"/>
                <w:sz w:val="18"/>
                <w:szCs w:val="18"/>
                <w:lang w:val="pt-PT"/>
              </w:rPr>
              <w:t xml:space="preserve">, pode levar à “neutralização, normalização e silenciamento”, perpetuando os casos, o que pode </w:t>
            </w:r>
            <w:proofErr w:type="spellStart"/>
            <w:r w:rsidRPr="00292532">
              <w:rPr>
                <w:rFonts w:ascii="Arial" w:eastAsia="Calibri" w:hAnsi="Arial" w:cs="Arial"/>
                <w:sz w:val="18"/>
                <w:szCs w:val="18"/>
                <w:lang w:val="pt-PT"/>
              </w:rPr>
              <w:t>afectar</w:t>
            </w:r>
            <w:proofErr w:type="spellEnd"/>
            <w:r w:rsidRPr="00292532">
              <w:rPr>
                <w:rFonts w:ascii="Arial" w:eastAsia="Calibri" w:hAnsi="Arial" w:cs="Arial"/>
                <w:sz w:val="18"/>
                <w:szCs w:val="18"/>
                <w:lang w:val="pt-PT"/>
              </w:rPr>
              <w:t xml:space="preserve"> negativamente os direitos humanos das mulheres e a sua participação e benefícios do </w:t>
            </w:r>
            <w:proofErr w:type="spellStart"/>
            <w:r w:rsidRPr="00292532">
              <w:rPr>
                <w:rFonts w:ascii="Arial" w:eastAsia="Calibri" w:hAnsi="Arial" w:cs="Arial"/>
                <w:sz w:val="18"/>
                <w:szCs w:val="18"/>
                <w:lang w:val="pt-PT"/>
              </w:rPr>
              <w:t>projecto</w:t>
            </w:r>
            <w:proofErr w:type="spellEnd"/>
            <w:r w:rsidRPr="00292532">
              <w:rPr>
                <w:rFonts w:ascii="Arial" w:eastAsia="Calibri" w:hAnsi="Arial" w:cs="Arial"/>
                <w:sz w:val="18"/>
                <w:szCs w:val="18"/>
                <w:lang w:val="pt-PT"/>
              </w:rPr>
              <w:t xml:space="preserve">. Este risco pode agravar-se nas comunidades de acolhimento de pessoas deslocadas (foco para mulheres e raparigas) provenientes das zonas </w:t>
            </w:r>
            <w:proofErr w:type="spellStart"/>
            <w:r w:rsidRPr="00292532">
              <w:rPr>
                <w:rFonts w:ascii="Arial" w:eastAsia="Calibri" w:hAnsi="Arial" w:cs="Arial"/>
                <w:sz w:val="18"/>
                <w:szCs w:val="18"/>
                <w:lang w:val="pt-PT"/>
              </w:rPr>
              <w:t>afectadas</w:t>
            </w:r>
            <w:proofErr w:type="spellEnd"/>
            <w:r w:rsidRPr="00292532">
              <w:rPr>
                <w:rFonts w:ascii="Arial" w:eastAsia="Calibri" w:hAnsi="Arial" w:cs="Arial"/>
                <w:sz w:val="18"/>
                <w:szCs w:val="18"/>
                <w:lang w:val="pt-PT"/>
              </w:rPr>
              <w:t xml:space="preserve"> pelo conflito ou no caso de mulheres e raparigas nos centros de acomodação para deslocados internos;</w:t>
            </w:r>
          </w:p>
        </w:tc>
        <w:tc>
          <w:tcPr>
            <w:tcW w:w="3207" w:type="dxa"/>
            <w:shd w:val="clear" w:color="auto" w:fill="auto"/>
          </w:tcPr>
          <w:p w14:paraId="65377635" w14:textId="77777777" w:rsidR="00B31AE2" w:rsidRPr="00292532" w:rsidRDefault="00B31AE2" w:rsidP="00AE14AE">
            <w:pPr>
              <w:numPr>
                <w:ilvl w:val="0"/>
                <w:numId w:val="159"/>
              </w:numPr>
              <w:spacing w:after="120"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Alocar e treinar facilitadores comunitários nos diferentes </w:t>
            </w:r>
            <w:proofErr w:type="spellStart"/>
            <w:r w:rsidRPr="00292532">
              <w:rPr>
                <w:rFonts w:ascii="Arial" w:eastAsia="Calibri" w:hAnsi="Arial" w:cs="Arial"/>
                <w:sz w:val="18"/>
                <w:szCs w:val="18"/>
                <w:lang w:val="pt-PT"/>
              </w:rPr>
              <w:t>projectos</w:t>
            </w:r>
            <w:proofErr w:type="spellEnd"/>
            <w:r w:rsidRPr="00292532">
              <w:rPr>
                <w:rFonts w:ascii="Arial" w:eastAsia="Calibri" w:hAnsi="Arial" w:cs="Arial"/>
                <w:sz w:val="18"/>
                <w:szCs w:val="18"/>
                <w:lang w:val="pt-PT"/>
              </w:rPr>
              <w:t xml:space="preserve"> em matérias de VBG para fazerem a monitoria dos mesmos nas comunidades junto aos beneficiários, encorajar/facilitar a denúncia e seguimento dos mesmos;</w:t>
            </w:r>
          </w:p>
          <w:p w14:paraId="1BBEBD53" w14:textId="77777777" w:rsidR="00B31AE2" w:rsidRPr="00292532" w:rsidRDefault="00B31AE2" w:rsidP="00AE14AE">
            <w:pPr>
              <w:numPr>
                <w:ilvl w:val="0"/>
                <w:numId w:val="159"/>
              </w:numPr>
              <w:autoSpaceDE w:val="0"/>
              <w:autoSpaceDN w:val="0"/>
              <w:adjustRightInd w:val="0"/>
              <w:spacing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Mapear os serviços disponíveis na comunidade e disponibilizar informação sobre os mesmos, incluindo fluxograma de denúncias;</w:t>
            </w:r>
          </w:p>
          <w:p w14:paraId="7F71EC78" w14:textId="77777777" w:rsidR="00B31AE2" w:rsidRPr="00292532" w:rsidRDefault="00B31AE2" w:rsidP="00AE14AE">
            <w:pPr>
              <w:numPr>
                <w:ilvl w:val="0"/>
                <w:numId w:val="159"/>
              </w:numPr>
              <w:autoSpaceDE w:val="0"/>
              <w:autoSpaceDN w:val="0"/>
              <w:adjustRightInd w:val="0"/>
              <w:spacing w:line="260" w:lineRule="exact"/>
              <w:ind w:left="118" w:hanging="142"/>
              <w:contextualSpacing/>
              <w:rPr>
                <w:rFonts w:ascii="Arial" w:eastAsia="Calibri" w:hAnsi="Arial" w:cs="Arial"/>
                <w:sz w:val="18"/>
                <w:szCs w:val="18"/>
                <w:lang w:val="pt-PT"/>
              </w:rPr>
            </w:pPr>
            <w:r w:rsidRPr="00292532">
              <w:rPr>
                <w:rFonts w:ascii="Arial" w:eastAsia="Calibri" w:hAnsi="Arial" w:cs="Arial"/>
                <w:sz w:val="18"/>
                <w:szCs w:val="18"/>
                <w:lang w:val="pt-PT"/>
              </w:rPr>
              <w:t xml:space="preserve">Proteger e fornecer segurança às vítimas (ex. não perda do emprego/despromoção/retaliação) como forma de encorajar outras mulheres na mesma situação a fazerem a denúncia e desencorajar </w:t>
            </w:r>
            <w:proofErr w:type="spellStart"/>
            <w:r w:rsidRPr="00292532">
              <w:rPr>
                <w:rFonts w:ascii="Arial" w:eastAsia="Calibri" w:hAnsi="Arial" w:cs="Arial"/>
                <w:sz w:val="18"/>
                <w:szCs w:val="18"/>
                <w:lang w:val="pt-PT"/>
              </w:rPr>
              <w:t>actos</w:t>
            </w:r>
            <w:proofErr w:type="spellEnd"/>
            <w:r w:rsidRPr="00292532">
              <w:rPr>
                <w:rFonts w:ascii="Arial" w:eastAsia="Calibri" w:hAnsi="Arial" w:cs="Arial"/>
                <w:sz w:val="18"/>
                <w:szCs w:val="18"/>
                <w:lang w:val="pt-PT"/>
              </w:rPr>
              <w:t xml:space="preserve"> similares por parte dos perpetradores (ex. estabelecer e implementar protocolos para a </w:t>
            </w:r>
            <w:r w:rsidRPr="00292532">
              <w:rPr>
                <w:rFonts w:ascii="Arial" w:eastAsia="Calibri" w:hAnsi="Arial" w:cs="Arial"/>
                <w:sz w:val="18"/>
                <w:szCs w:val="18"/>
                <w:lang w:val="pt-PT"/>
              </w:rPr>
              <w:lastRenderedPageBreak/>
              <w:t>gestão de informação confidencial relacionada com os casos de VBG, incluindo os dados de sobreviventes (</w:t>
            </w:r>
            <w:proofErr w:type="gramStart"/>
            <w:r w:rsidRPr="00292532">
              <w:rPr>
                <w:rFonts w:ascii="Arial" w:eastAsia="Calibri" w:hAnsi="Arial" w:cs="Arial"/>
                <w:sz w:val="18"/>
                <w:szCs w:val="18"/>
                <w:lang w:val="pt-PT"/>
              </w:rPr>
              <w:t>vitimas</w:t>
            </w:r>
            <w:proofErr w:type="gramEnd"/>
            <w:r w:rsidRPr="00292532">
              <w:rPr>
                <w:rFonts w:ascii="Arial" w:eastAsia="Calibri" w:hAnsi="Arial" w:cs="Arial"/>
                <w:sz w:val="18"/>
                <w:szCs w:val="18"/>
                <w:lang w:val="pt-PT"/>
              </w:rPr>
              <w:t>) e denunciantes.</w:t>
            </w:r>
          </w:p>
        </w:tc>
        <w:tc>
          <w:tcPr>
            <w:tcW w:w="2668" w:type="dxa"/>
            <w:shd w:val="clear" w:color="auto" w:fill="auto"/>
          </w:tcPr>
          <w:p w14:paraId="5089B732"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lastRenderedPageBreak/>
              <w:t xml:space="preserve"># de facilitadores comunitários alocados aos </w:t>
            </w:r>
            <w:proofErr w:type="spellStart"/>
            <w:r w:rsidRPr="00292532">
              <w:rPr>
                <w:rFonts w:ascii="Arial" w:eastAsia="MS Mincho" w:hAnsi="Arial" w:cs="Arial"/>
                <w:bCs/>
                <w:sz w:val="18"/>
                <w:szCs w:val="18"/>
                <w:lang w:val="pt-PT"/>
              </w:rPr>
              <w:t>projectos</w:t>
            </w:r>
            <w:proofErr w:type="spellEnd"/>
            <w:r w:rsidRPr="00292532">
              <w:rPr>
                <w:rFonts w:ascii="Arial" w:eastAsia="MS Mincho" w:hAnsi="Arial" w:cs="Arial"/>
                <w:bCs/>
                <w:sz w:val="18"/>
                <w:szCs w:val="18"/>
                <w:lang w:val="pt-PT"/>
              </w:rPr>
              <w:t xml:space="preserve"> que monitoram casos de VBG nas comunidades (desagregado por sexo)</w:t>
            </w:r>
          </w:p>
          <w:p w14:paraId="4E45DFE4"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 xml:space="preserve">Lista de organizações e serviços disponíveis para atender casos de VBG no local do </w:t>
            </w:r>
            <w:proofErr w:type="spellStart"/>
            <w:r w:rsidRPr="00292532">
              <w:rPr>
                <w:rFonts w:ascii="Arial" w:eastAsia="MS Mincho" w:hAnsi="Arial" w:cs="Arial"/>
                <w:bCs/>
                <w:sz w:val="18"/>
                <w:szCs w:val="18"/>
                <w:lang w:val="pt-PT"/>
              </w:rPr>
              <w:t>projecto</w:t>
            </w:r>
            <w:proofErr w:type="spellEnd"/>
            <w:r w:rsidRPr="00292532">
              <w:rPr>
                <w:rFonts w:ascii="Arial" w:eastAsia="MS Mincho" w:hAnsi="Arial" w:cs="Arial"/>
                <w:bCs/>
                <w:sz w:val="18"/>
                <w:szCs w:val="18"/>
                <w:lang w:val="pt-PT"/>
              </w:rPr>
              <w:t xml:space="preserve"> e proximidades (desagregado por tipo de serviços, de atendimento às vítimas de VBG)</w:t>
            </w:r>
          </w:p>
          <w:p w14:paraId="69AB08CA"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 de casos de VBG que apresentados e que foram seguidos (contra os casos reportados);</w:t>
            </w:r>
          </w:p>
          <w:p w14:paraId="617D1ADA" w14:textId="77777777" w:rsidR="00B31AE2" w:rsidRPr="00292532" w:rsidRDefault="00B31AE2" w:rsidP="00AE14AE">
            <w:pPr>
              <w:numPr>
                <w:ilvl w:val="0"/>
                <w:numId w:val="159"/>
              </w:numPr>
              <w:spacing w:after="120" w:line="260" w:lineRule="exact"/>
              <w:ind w:left="118" w:hanging="142"/>
              <w:contextualSpacing/>
              <w:rPr>
                <w:rFonts w:ascii="Arial" w:eastAsia="MS Mincho" w:hAnsi="Arial" w:cs="Arial"/>
                <w:bCs/>
                <w:sz w:val="18"/>
                <w:szCs w:val="18"/>
                <w:lang w:val="pt-PT"/>
              </w:rPr>
            </w:pPr>
            <w:r w:rsidRPr="00292532">
              <w:rPr>
                <w:rFonts w:ascii="Arial" w:eastAsia="MS Mincho" w:hAnsi="Arial" w:cs="Arial"/>
                <w:bCs/>
                <w:sz w:val="18"/>
                <w:szCs w:val="18"/>
                <w:lang w:val="pt-PT"/>
              </w:rPr>
              <w:t xml:space="preserve">Lista de organizações e serviços disponíveis para atender casos de VBG no </w:t>
            </w:r>
            <w:r w:rsidRPr="00292532">
              <w:rPr>
                <w:rFonts w:ascii="Arial" w:eastAsia="MS Mincho" w:hAnsi="Arial" w:cs="Arial"/>
                <w:bCs/>
                <w:sz w:val="18"/>
                <w:szCs w:val="18"/>
                <w:lang w:val="pt-PT"/>
              </w:rPr>
              <w:lastRenderedPageBreak/>
              <w:t xml:space="preserve">local do </w:t>
            </w:r>
            <w:proofErr w:type="spellStart"/>
            <w:r w:rsidRPr="00292532">
              <w:rPr>
                <w:rFonts w:ascii="Arial" w:eastAsia="MS Mincho" w:hAnsi="Arial" w:cs="Arial"/>
                <w:bCs/>
                <w:sz w:val="18"/>
                <w:szCs w:val="18"/>
                <w:lang w:val="pt-PT"/>
              </w:rPr>
              <w:t>projecto</w:t>
            </w:r>
            <w:proofErr w:type="spellEnd"/>
            <w:r w:rsidRPr="00292532">
              <w:rPr>
                <w:rFonts w:ascii="Arial" w:eastAsia="MS Mincho" w:hAnsi="Arial" w:cs="Arial"/>
                <w:bCs/>
                <w:sz w:val="18"/>
                <w:szCs w:val="18"/>
                <w:lang w:val="pt-PT"/>
              </w:rPr>
              <w:t xml:space="preserve"> e proximidades (desagregado por tipo de serviços, de atendimento às vítimas de VBG)</w:t>
            </w:r>
          </w:p>
        </w:tc>
        <w:tc>
          <w:tcPr>
            <w:tcW w:w="2437" w:type="dxa"/>
            <w:shd w:val="clear" w:color="auto" w:fill="auto"/>
            <w:vAlign w:val="center"/>
          </w:tcPr>
          <w:p w14:paraId="177C0580" w14:textId="77777777" w:rsidR="00B31AE2" w:rsidRPr="00292532" w:rsidRDefault="00B31AE2" w:rsidP="00B31AE2">
            <w:pPr>
              <w:spacing w:before="120"/>
              <w:rPr>
                <w:rFonts w:ascii="Arial" w:eastAsia="MS Mincho" w:hAnsi="Arial" w:cs="Arial"/>
                <w:bCs/>
                <w:sz w:val="18"/>
                <w:szCs w:val="18"/>
                <w:lang w:val="pt-PT"/>
              </w:rPr>
            </w:pPr>
            <w:r w:rsidRPr="00292532">
              <w:rPr>
                <w:rFonts w:ascii="Arial" w:eastAsia="Calibri" w:hAnsi="Arial" w:cs="Arial"/>
                <w:sz w:val="18"/>
                <w:szCs w:val="18"/>
                <w:lang w:val="pt-PT"/>
              </w:rPr>
              <w:lastRenderedPageBreak/>
              <w:t>Empreiteiro/Beneficiários de subvenção e UIP</w:t>
            </w:r>
          </w:p>
        </w:tc>
      </w:tr>
    </w:tbl>
    <w:p w14:paraId="2A284439" w14:textId="77777777" w:rsidR="00A94216" w:rsidRPr="00292532" w:rsidRDefault="00A94216" w:rsidP="000D7B05">
      <w:pPr>
        <w:pStyle w:val="Title"/>
      </w:pPr>
    </w:p>
    <w:p w14:paraId="2D5172E3" w14:textId="77777777" w:rsidR="00A94216" w:rsidRPr="00292532" w:rsidRDefault="00A94216" w:rsidP="000D7B05">
      <w:pPr>
        <w:pStyle w:val="Title"/>
      </w:pPr>
    </w:p>
    <w:p w14:paraId="33AE4FD4" w14:textId="77777777" w:rsidR="00A94216" w:rsidRPr="00292532" w:rsidRDefault="00A94216" w:rsidP="000D7B05">
      <w:pPr>
        <w:pStyle w:val="Title"/>
      </w:pPr>
    </w:p>
    <w:p w14:paraId="4E007C00" w14:textId="77777777" w:rsidR="00A94216" w:rsidRPr="00292532" w:rsidRDefault="00A94216" w:rsidP="000D7B05">
      <w:pPr>
        <w:pStyle w:val="Title"/>
      </w:pPr>
    </w:p>
    <w:p w14:paraId="07BE0564" w14:textId="41394B09" w:rsidR="00A94216" w:rsidRPr="00292532" w:rsidRDefault="00A94216" w:rsidP="000D7B05">
      <w:pPr>
        <w:pStyle w:val="Title"/>
        <w:sectPr w:rsidR="00A94216" w:rsidRPr="00292532" w:rsidSect="00032E3B">
          <w:pgSz w:w="16838" w:h="11900" w:orient="landscape"/>
          <w:pgMar w:top="1440" w:right="1411" w:bottom="1426" w:left="461" w:header="0" w:footer="0" w:gutter="0"/>
          <w:cols w:space="720" w:equalWidth="0">
            <w:col w:w="9047"/>
          </w:cols>
        </w:sectPr>
      </w:pPr>
    </w:p>
    <w:p w14:paraId="5BB89D3E" w14:textId="77777777" w:rsidR="00061682" w:rsidRPr="00292532" w:rsidRDefault="00061682" w:rsidP="000D7B05">
      <w:pPr>
        <w:pStyle w:val="Title"/>
      </w:pPr>
    </w:p>
    <w:p w14:paraId="2AD89518" w14:textId="77777777" w:rsidR="00061682" w:rsidRPr="00292532" w:rsidRDefault="00061682" w:rsidP="000D7B05">
      <w:pPr>
        <w:pStyle w:val="Title"/>
      </w:pPr>
    </w:p>
    <w:p w14:paraId="2EAA8F9A" w14:textId="44DA75DC" w:rsidR="00061682" w:rsidRDefault="00061682" w:rsidP="00061682">
      <w:pPr>
        <w:keepNext/>
        <w:keepLines/>
        <w:numPr>
          <w:ilvl w:val="0"/>
          <w:numId w:val="155"/>
        </w:numPr>
        <w:suppressAutoHyphens/>
        <w:spacing w:before="0" w:after="120"/>
        <w:outlineLvl w:val="0"/>
        <w:rPr>
          <w:rFonts w:eastAsia="Times New Roman" w:cs="Times New Roman"/>
          <w:color w:val="2F5496"/>
          <w:sz w:val="32"/>
          <w:lang w:val="pt-PT"/>
        </w:rPr>
      </w:pPr>
      <w:bookmarkStart w:id="1702" w:name="_Toc78435554"/>
      <w:bookmarkStart w:id="1703" w:name="_Toc80380220"/>
      <w:bookmarkStart w:id="1704" w:name="_Hlk80379927"/>
      <w:r w:rsidRPr="004500AE">
        <w:rPr>
          <w:rFonts w:eastAsia="Times New Roman" w:cs="Times New Roman"/>
          <w:color w:val="2F5496"/>
          <w:sz w:val="32"/>
          <w:lang w:val="pt-PT"/>
        </w:rPr>
        <w:t>Mecanismo de gestão de reclamações</w:t>
      </w:r>
      <w:bookmarkEnd w:id="1702"/>
      <w:bookmarkEnd w:id="1703"/>
      <w:r w:rsidRPr="004500AE">
        <w:rPr>
          <w:rFonts w:eastAsia="Times New Roman" w:cs="Times New Roman"/>
          <w:color w:val="2F5496"/>
          <w:sz w:val="32"/>
          <w:lang w:val="pt-PT"/>
        </w:rPr>
        <w:t xml:space="preserve"> </w:t>
      </w:r>
    </w:p>
    <w:p w14:paraId="02228285" w14:textId="1F7A9B0A" w:rsidR="00472547" w:rsidRPr="00292532" w:rsidRDefault="00472547" w:rsidP="00472547">
      <w:pPr>
        <w:keepNext/>
        <w:keepLines/>
        <w:numPr>
          <w:ilvl w:val="1"/>
          <w:numId w:val="155"/>
        </w:numPr>
        <w:spacing w:before="0" w:after="120"/>
        <w:outlineLvl w:val="1"/>
        <w:rPr>
          <w:rFonts w:ascii="Arial" w:eastAsia="Calibri" w:hAnsi="Arial" w:cs="Arial"/>
          <w:bCs/>
          <w:color w:val="2F5496"/>
          <w:sz w:val="26"/>
          <w:szCs w:val="26"/>
          <w:lang w:val="pt-PT"/>
        </w:rPr>
      </w:pPr>
      <w:bookmarkStart w:id="1705" w:name="_Toc80380221"/>
      <w:bookmarkEnd w:id="1704"/>
      <w:r>
        <w:rPr>
          <w:rFonts w:ascii="Arial" w:eastAsia="Calibri" w:hAnsi="Arial" w:cs="Arial"/>
          <w:bCs/>
          <w:color w:val="2F5496"/>
          <w:sz w:val="26"/>
          <w:szCs w:val="26"/>
          <w:lang w:val="pt-PT"/>
        </w:rPr>
        <w:t>Enquadramento</w:t>
      </w:r>
      <w:bookmarkEnd w:id="1705"/>
    </w:p>
    <w:p w14:paraId="56096EE2" w14:textId="77777777" w:rsidR="00472547" w:rsidRPr="00472547" w:rsidRDefault="00472547" w:rsidP="00472547">
      <w:pPr>
        <w:suppressAutoHyphens/>
        <w:spacing w:before="0"/>
        <w:rPr>
          <w:rFonts w:ascii="Arial" w:eastAsia="Calibri" w:hAnsi="Arial" w:cs="Arial"/>
          <w:i/>
          <w:iCs/>
          <w:sz w:val="20"/>
          <w:szCs w:val="20"/>
          <w:u w:val="single"/>
          <w:lang w:val="pt-PT"/>
        </w:rPr>
      </w:pPr>
      <w:r w:rsidRPr="00472547">
        <w:rPr>
          <w:rFonts w:ascii="Arial" w:eastAsia="Calibri" w:hAnsi="Arial" w:cs="Arial"/>
          <w:i/>
          <w:iCs/>
          <w:sz w:val="20"/>
          <w:szCs w:val="20"/>
          <w:u w:val="single"/>
          <w:lang w:val="pt-PT"/>
        </w:rPr>
        <w:t>Importância do diálogo e reclamação</w:t>
      </w:r>
    </w:p>
    <w:p w14:paraId="42EFB7C2" w14:textId="77777777" w:rsidR="00472547" w:rsidRPr="00472547" w:rsidRDefault="00472547" w:rsidP="00472547">
      <w:pPr>
        <w:suppressAutoHyphens/>
        <w:spacing w:before="0"/>
        <w:rPr>
          <w:rFonts w:ascii="Arial" w:eastAsia="Calibri" w:hAnsi="Arial" w:cs="Arial"/>
          <w:sz w:val="20"/>
          <w:szCs w:val="20"/>
          <w:lang w:val="pt-PT"/>
        </w:rPr>
      </w:pPr>
      <w:r w:rsidRPr="00472547">
        <w:rPr>
          <w:rFonts w:ascii="Arial" w:eastAsia="Calibri" w:hAnsi="Arial" w:cs="Arial"/>
          <w:sz w:val="20"/>
          <w:szCs w:val="20"/>
          <w:lang w:val="pt-PT"/>
        </w:rPr>
        <w:t xml:space="preserve">Os conflitos resultam geralmente de má comunicação, inadequação ou falta de consulta, fluxo inadequado de informações precisas, ou restrições que podem ser impostas às pessoas através da implementação de </w:t>
      </w:r>
      <w:proofErr w:type="spellStart"/>
      <w:r w:rsidRPr="00472547">
        <w:rPr>
          <w:rFonts w:ascii="Arial" w:eastAsia="Calibri" w:hAnsi="Arial" w:cs="Arial"/>
          <w:sz w:val="20"/>
          <w:szCs w:val="20"/>
          <w:lang w:val="pt-PT"/>
        </w:rPr>
        <w:t>actividades</w:t>
      </w:r>
      <w:proofErr w:type="spellEnd"/>
      <w:r w:rsidRPr="00472547">
        <w:rPr>
          <w:rFonts w:ascii="Arial" w:eastAsia="Calibri" w:hAnsi="Arial" w:cs="Arial"/>
          <w:sz w:val="20"/>
          <w:szCs w:val="20"/>
          <w:lang w:val="pt-PT"/>
        </w:rPr>
        <w:t xml:space="preserve"> do </w:t>
      </w:r>
      <w:proofErr w:type="spellStart"/>
      <w:r w:rsidRPr="00472547">
        <w:rPr>
          <w:rFonts w:ascii="Arial" w:eastAsia="Calibri" w:hAnsi="Arial" w:cs="Arial"/>
          <w:sz w:val="20"/>
          <w:szCs w:val="20"/>
          <w:lang w:val="pt-PT"/>
        </w:rPr>
        <w:t>Projecto</w:t>
      </w:r>
      <w:proofErr w:type="spellEnd"/>
      <w:r w:rsidRPr="00472547">
        <w:rPr>
          <w:rFonts w:ascii="Arial" w:eastAsia="Calibri" w:hAnsi="Arial" w:cs="Arial"/>
          <w:sz w:val="20"/>
          <w:szCs w:val="20"/>
          <w:lang w:val="pt-PT"/>
        </w:rPr>
        <w:t xml:space="preserve">. A abertura ao diálogo e a existência de conhecidos canais para apresentação e resolução transparentes e comunicativa de reclamações é um importante instrumento para prevenção de conflitos e obtenção de colaboração das comunidades na contribuição para os </w:t>
      </w:r>
      <w:proofErr w:type="spellStart"/>
      <w:r w:rsidRPr="00472547">
        <w:rPr>
          <w:rFonts w:ascii="Arial" w:eastAsia="Calibri" w:hAnsi="Arial" w:cs="Arial"/>
          <w:sz w:val="20"/>
          <w:szCs w:val="20"/>
          <w:lang w:val="pt-PT"/>
        </w:rPr>
        <w:t>objectivos</w:t>
      </w:r>
      <w:proofErr w:type="spellEnd"/>
      <w:r w:rsidRPr="00472547">
        <w:rPr>
          <w:rFonts w:ascii="Arial" w:eastAsia="Calibri" w:hAnsi="Arial" w:cs="Arial"/>
          <w:sz w:val="20"/>
          <w:szCs w:val="20"/>
          <w:lang w:val="pt-PT"/>
        </w:rPr>
        <w:t xml:space="preserve"> de desenvolvimento do </w:t>
      </w:r>
      <w:proofErr w:type="spellStart"/>
      <w:r w:rsidRPr="00472547">
        <w:rPr>
          <w:rFonts w:ascii="Arial" w:eastAsia="Calibri" w:hAnsi="Arial" w:cs="Arial"/>
          <w:sz w:val="20"/>
          <w:szCs w:val="20"/>
          <w:lang w:val="pt-PT"/>
        </w:rPr>
        <w:t>Projecto</w:t>
      </w:r>
      <w:proofErr w:type="spellEnd"/>
      <w:r w:rsidRPr="00472547">
        <w:rPr>
          <w:rFonts w:ascii="Arial" w:eastAsia="Calibri" w:hAnsi="Arial" w:cs="Arial"/>
          <w:sz w:val="20"/>
          <w:szCs w:val="20"/>
          <w:lang w:val="pt-PT"/>
        </w:rPr>
        <w:t>.</w:t>
      </w:r>
    </w:p>
    <w:p w14:paraId="01695749" w14:textId="77777777" w:rsidR="00472547" w:rsidRPr="00472547" w:rsidRDefault="00472547" w:rsidP="00472547">
      <w:pPr>
        <w:spacing w:before="0" w:line="259" w:lineRule="auto"/>
        <w:rPr>
          <w:rFonts w:ascii="Arial" w:eastAsia="Calibri" w:hAnsi="Arial" w:cs="Arial"/>
          <w:bCs/>
          <w:sz w:val="20"/>
          <w:szCs w:val="20"/>
          <w:lang w:val="pt-PT"/>
        </w:rPr>
      </w:pPr>
      <w:r w:rsidRPr="00472547">
        <w:rPr>
          <w:rFonts w:ascii="Arial" w:eastAsia="Calibri" w:hAnsi="Arial" w:cs="Arial"/>
          <w:bCs/>
          <w:sz w:val="20"/>
          <w:szCs w:val="20"/>
          <w:lang w:val="pt-PT"/>
        </w:rPr>
        <w:t xml:space="preserve">O </w:t>
      </w:r>
      <w:proofErr w:type="spellStart"/>
      <w:r w:rsidRPr="00472547">
        <w:rPr>
          <w:rFonts w:ascii="Arial" w:eastAsia="Calibri" w:hAnsi="Arial" w:cs="Arial"/>
          <w:sz w:val="20"/>
          <w:szCs w:val="20"/>
          <w:lang w:val="pt-PT"/>
        </w:rPr>
        <w:t>Projecto</w:t>
      </w:r>
      <w:proofErr w:type="spellEnd"/>
      <w:r w:rsidRPr="00472547">
        <w:rPr>
          <w:rFonts w:ascii="Arial" w:eastAsia="Calibri" w:hAnsi="Arial" w:cs="Arial"/>
          <w:sz w:val="20"/>
          <w:szCs w:val="20"/>
          <w:lang w:val="pt-PT"/>
        </w:rPr>
        <w:t xml:space="preserve"> Água Segura</w:t>
      </w:r>
      <w:r w:rsidRPr="00472547">
        <w:rPr>
          <w:rFonts w:ascii="Arial" w:eastAsia="Calibri" w:hAnsi="Arial" w:cs="Arial"/>
          <w:bCs/>
          <w:sz w:val="20"/>
          <w:szCs w:val="20"/>
          <w:lang w:val="pt-PT"/>
        </w:rPr>
        <w:t xml:space="preserve"> contará com Mecanismos de Gestão de Reclamações (MGR) instituídos a nível de cada subprojecto, que irá permitir ao reclamante apresentar a insatisfação à UIP</w:t>
      </w:r>
      <w:r w:rsidRPr="00472547" w:rsidDel="00E27C4A">
        <w:rPr>
          <w:rFonts w:ascii="Arial" w:eastAsia="Calibri" w:hAnsi="Arial" w:cs="Arial"/>
          <w:bCs/>
          <w:sz w:val="20"/>
          <w:szCs w:val="20"/>
          <w:lang w:val="pt-PT"/>
        </w:rPr>
        <w:t xml:space="preserve"> </w:t>
      </w:r>
      <w:r w:rsidRPr="00472547">
        <w:rPr>
          <w:rFonts w:ascii="Arial" w:eastAsia="Calibri" w:hAnsi="Arial" w:cs="Arial"/>
          <w:bCs/>
          <w:sz w:val="20"/>
          <w:szCs w:val="20"/>
          <w:lang w:val="pt-PT"/>
        </w:rPr>
        <w:t>(AIAS ou DNAAS em função do subprojecto) caso não consiga solução local.</w:t>
      </w:r>
    </w:p>
    <w:p w14:paraId="41463BC6" w14:textId="77777777" w:rsidR="00472547" w:rsidRPr="00472547" w:rsidRDefault="00472547" w:rsidP="00472547">
      <w:pPr>
        <w:spacing w:before="0" w:after="0" w:line="259" w:lineRule="auto"/>
        <w:rPr>
          <w:rFonts w:ascii="Arial" w:eastAsia="Calibri" w:hAnsi="Arial" w:cs="Arial"/>
          <w:bCs/>
          <w:sz w:val="20"/>
          <w:szCs w:val="20"/>
          <w:lang w:val="pt-PT"/>
        </w:rPr>
      </w:pPr>
      <w:r w:rsidRPr="00472547">
        <w:rPr>
          <w:rFonts w:ascii="Arial" w:eastAsia="Calibri" w:hAnsi="Arial" w:cs="Arial"/>
          <w:bCs/>
          <w:sz w:val="20"/>
          <w:szCs w:val="20"/>
          <w:lang w:val="pt-PT"/>
        </w:rPr>
        <w:t xml:space="preserve">O mecanismo de gestão de reclamações do </w:t>
      </w:r>
      <w:proofErr w:type="spellStart"/>
      <w:r w:rsidRPr="00472547">
        <w:rPr>
          <w:rFonts w:ascii="Arial" w:eastAsia="Calibri" w:hAnsi="Arial" w:cs="Arial"/>
          <w:bCs/>
          <w:sz w:val="20"/>
          <w:szCs w:val="20"/>
          <w:lang w:val="pt-PT"/>
        </w:rPr>
        <w:t>Projecto</w:t>
      </w:r>
      <w:proofErr w:type="spellEnd"/>
      <w:r w:rsidRPr="00472547">
        <w:rPr>
          <w:rFonts w:ascii="Arial" w:eastAsia="Calibri" w:hAnsi="Arial" w:cs="Arial"/>
          <w:bCs/>
          <w:sz w:val="20"/>
          <w:szCs w:val="20"/>
          <w:lang w:val="pt-PT"/>
        </w:rPr>
        <w:t xml:space="preserve"> será periodicamente revisto, modificado e adaptado ao contexto dos subprojectos.</w:t>
      </w:r>
    </w:p>
    <w:p w14:paraId="3E6FF3DF" w14:textId="77777777" w:rsidR="00472547" w:rsidRPr="00472547" w:rsidRDefault="00472547" w:rsidP="00472547">
      <w:pPr>
        <w:suppressAutoHyphens/>
        <w:spacing w:before="0" w:after="0"/>
        <w:rPr>
          <w:rFonts w:ascii="Arial" w:eastAsia="Calibri" w:hAnsi="Arial" w:cs="Arial"/>
          <w:sz w:val="20"/>
          <w:szCs w:val="20"/>
          <w:lang w:val="pt-PT"/>
        </w:rPr>
      </w:pPr>
    </w:p>
    <w:p w14:paraId="67EB8841" w14:textId="77777777" w:rsidR="00472547" w:rsidRPr="00472547" w:rsidRDefault="00472547" w:rsidP="00472547">
      <w:pPr>
        <w:suppressAutoHyphens/>
        <w:spacing w:before="0"/>
        <w:rPr>
          <w:rFonts w:ascii="Arial" w:eastAsia="Calibri" w:hAnsi="Arial" w:cs="Arial"/>
          <w:i/>
          <w:iCs/>
          <w:sz w:val="20"/>
          <w:szCs w:val="20"/>
          <w:u w:val="single"/>
          <w:lang w:val="pt-PT"/>
        </w:rPr>
      </w:pPr>
      <w:bookmarkStart w:id="1706" w:name="_Hlk64918540"/>
      <w:r w:rsidRPr="00472547">
        <w:rPr>
          <w:rFonts w:ascii="Arial" w:eastAsia="Calibri" w:hAnsi="Arial" w:cs="Arial"/>
          <w:i/>
          <w:iCs/>
          <w:sz w:val="20"/>
          <w:szCs w:val="20"/>
          <w:u w:val="single"/>
          <w:lang w:val="pt-PT"/>
        </w:rPr>
        <w:t>Questões sensíveis</w:t>
      </w:r>
    </w:p>
    <w:bookmarkEnd w:id="1706"/>
    <w:p w14:paraId="51D70213" w14:textId="77777777" w:rsidR="00472547" w:rsidRPr="00472547" w:rsidRDefault="00472547" w:rsidP="00472547">
      <w:pPr>
        <w:spacing w:before="0" w:line="259" w:lineRule="auto"/>
        <w:rPr>
          <w:rFonts w:ascii="Arial" w:eastAsia="Calibri" w:hAnsi="Arial" w:cs="Arial"/>
          <w:sz w:val="20"/>
          <w:szCs w:val="20"/>
          <w:lang w:val="pt-PT"/>
        </w:rPr>
      </w:pPr>
      <w:r w:rsidRPr="00472547">
        <w:rPr>
          <w:rFonts w:ascii="Arial" w:eastAsia="Calibri" w:hAnsi="Arial" w:cs="Arial"/>
          <w:sz w:val="20"/>
          <w:szCs w:val="20"/>
          <w:lang w:val="pt-PT"/>
        </w:rPr>
        <w:t xml:space="preserve">Em função de novas temáticas de boas práticas internacionais e as exigências do desenvolvimento sustentável do país, dentre outras questões sensíveis a enfatizar no MGR, destacam-se a Violência Baseada no Género (VBG) e questões associadas a gestão da mão-de-obra, incluindo Exploração e Abuso Sexual (EAS), Assédio Sexual (AS), Uniões Prematuras, Trabalho Infantil, Trabalho Forçado, etc. Estas questões podem </w:t>
      </w:r>
      <w:proofErr w:type="spellStart"/>
      <w:r w:rsidRPr="00472547">
        <w:rPr>
          <w:rFonts w:ascii="Arial" w:eastAsia="Calibri" w:hAnsi="Arial" w:cs="Arial"/>
          <w:sz w:val="20"/>
          <w:szCs w:val="20"/>
          <w:lang w:val="pt-PT"/>
        </w:rPr>
        <w:t>afectar</w:t>
      </w:r>
      <w:proofErr w:type="spellEnd"/>
      <w:r w:rsidRPr="00472547">
        <w:rPr>
          <w:rFonts w:ascii="Arial" w:eastAsia="Calibri" w:hAnsi="Arial" w:cs="Arial"/>
          <w:sz w:val="20"/>
          <w:szCs w:val="20"/>
          <w:lang w:val="pt-PT"/>
        </w:rPr>
        <w:t xml:space="preserve"> qualquer pessoa quer seja </w:t>
      </w:r>
      <w:proofErr w:type="spellStart"/>
      <w:r w:rsidRPr="00472547">
        <w:rPr>
          <w:rFonts w:ascii="Arial" w:eastAsia="Calibri" w:hAnsi="Arial" w:cs="Arial"/>
          <w:sz w:val="20"/>
          <w:szCs w:val="20"/>
          <w:lang w:val="pt-PT"/>
        </w:rPr>
        <w:t>homen</w:t>
      </w:r>
      <w:proofErr w:type="spellEnd"/>
      <w:r w:rsidRPr="00472547">
        <w:rPr>
          <w:rFonts w:ascii="Arial" w:eastAsia="Calibri" w:hAnsi="Arial" w:cs="Arial"/>
          <w:sz w:val="20"/>
          <w:szCs w:val="20"/>
          <w:lang w:val="pt-PT"/>
        </w:rPr>
        <w:t xml:space="preserve"> ou mulher, incluindo as que não se reconhecem nas dimensões tradicionais/estereótipos de género, no entanto, a grande maioria de casos de VBG diz respeito às mulheres o que associa a VBG à violência contra mulheres e </w:t>
      </w:r>
      <w:proofErr w:type="spellStart"/>
      <w:proofErr w:type="gramStart"/>
      <w:r w:rsidRPr="00472547">
        <w:rPr>
          <w:rFonts w:ascii="Arial" w:eastAsia="Calibri" w:hAnsi="Arial" w:cs="Arial"/>
          <w:sz w:val="20"/>
          <w:szCs w:val="20"/>
          <w:lang w:val="pt-PT"/>
        </w:rPr>
        <w:t>raparigas.e</w:t>
      </w:r>
      <w:proofErr w:type="spellEnd"/>
      <w:proofErr w:type="gramEnd"/>
      <w:r w:rsidRPr="00472547">
        <w:rPr>
          <w:rFonts w:ascii="Arial" w:eastAsia="Calibri" w:hAnsi="Arial" w:cs="Arial"/>
          <w:sz w:val="20"/>
          <w:szCs w:val="20"/>
          <w:lang w:val="pt-PT"/>
        </w:rPr>
        <w:t xml:space="preserve"> é perpetrada maioritariamente por homens, justificada pelo poder patriarcal e normas sociais e culturais que </w:t>
      </w:r>
      <w:proofErr w:type="spellStart"/>
      <w:r w:rsidRPr="00472547">
        <w:rPr>
          <w:rFonts w:ascii="Arial" w:eastAsia="Calibri" w:hAnsi="Arial" w:cs="Arial"/>
          <w:sz w:val="20"/>
          <w:szCs w:val="20"/>
          <w:lang w:val="pt-PT"/>
        </w:rPr>
        <w:t>subornidam</w:t>
      </w:r>
      <w:proofErr w:type="spellEnd"/>
      <w:r w:rsidRPr="00472547">
        <w:rPr>
          <w:rFonts w:ascii="Arial" w:eastAsia="Calibri" w:hAnsi="Arial" w:cs="Arial"/>
          <w:sz w:val="20"/>
          <w:szCs w:val="20"/>
          <w:lang w:val="pt-PT"/>
        </w:rPr>
        <w:t xml:space="preserve"> as mulheres ao poder de dominação masculino. </w:t>
      </w:r>
    </w:p>
    <w:p w14:paraId="40777249" w14:textId="77777777" w:rsidR="00472547" w:rsidRPr="00472547" w:rsidRDefault="00472547" w:rsidP="00472547">
      <w:pPr>
        <w:spacing w:before="0" w:line="259" w:lineRule="auto"/>
        <w:rPr>
          <w:rFonts w:ascii="Arial" w:eastAsia="Calibri" w:hAnsi="Arial" w:cs="Arial"/>
          <w:sz w:val="20"/>
          <w:szCs w:val="20"/>
          <w:lang w:val="pt-PT"/>
        </w:rPr>
      </w:pPr>
      <w:r w:rsidRPr="00472547">
        <w:rPr>
          <w:rFonts w:ascii="Arial" w:eastAsia="Calibri" w:hAnsi="Arial" w:cs="Arial"/>
          <w:sz w:val="20"/>
          <w:szCs w:val="20"/>
          <w:lang w:val="pt-PT"/>
        </w:rPr>
        <w:t>Estas questões sensíveis podem resultar em danos de diferente natureza, tais como físico, sexual, económico e psicológico e outras formas de sofrimento para as vítimas (mulheres, homens, jovens e crianças) incluindo danos para as suas famílias e comunidades, impedindo-as de participar e usufruir das oportunidades de desenvolvimento disponíveis</w:t>
      </w:r>
    </w:p>
    <w:p w14:paraId="41683D20" w14:textId="77777777" w:rsidR="00472547" w:rsidRPr="00472547" w:rsidRDefault="00472547" w:rsidP="00472547">
      <w:pPr>
        <w:spacing w:before="0" w:line="259" w:lineRule="auto"/>
        <w:rPr>
          <w:rFonts w:ascii="Arial" w:eastAsia="Calibri" w:hAnsi="Arial" w:cs="Arial"/>
          <w:sz w:val="20"/>
          <w:szCs w:val="20"/>
          <w:lang w:val="pt-PT"/>
        </w:rPr>
      </w:pPr>
      <w:r w:rsidRPr="00472547">
        <w:rPr>
          <w:rFonts w:ascii="Arial" w:eastAsia="Calibri" w:hAnsi="Arial" w:cs="Arial"/>
          <w:sz w:val="20"/>
          <w:szCs w:val="20"/>
          <w:lang w:val="pt-PT"/>
        </w:rPr>
        <w:t xml:space="preserve">A ausência de mecanismos de reclamação/denúncia e de resposta e o fraco conhecimento sobre estas temáticas podem levar à normalização dos casos de violência brutal, limitando </w:t>
      </w:r>
      <w:proofErr w:type="gramStart"/>
      <w:r w:rsidRPr="00472547">
        <w:rPr>
          <w:rFonts w:ascii="Arial" w:eastAsia="Calibri" w:hAnsi="Arial" w:cs="Arial"/>
          <w:sz w:val="20"/>
          <w:szCs w:val="20"/>
          <w:lang w:val="pt-PT"/>
        </w:rPr>
        <w:t>a  identificação</w:t>
      </w:r>
      <w:proofErr w:type="gramEnd"/>
      <w:r w:rsidRPr="00472547">
        <w:rPr>
          <w:rFonts w:ascii="Arial" w:eastAsia="Calibri" w:hAnsi="Arial" w:cs="Arial"/>
          <w:sz w:val="20"/>
          <w:szCs w:val="20"/>
          <w:lang w:val="pt-PT"/>
        </w:rPr>
        <w:t xml:space="preserve"> dos casos, seguimento e responsabilização criminal dos perpetradores o que coloca as vítimas mais expostas ao risco de VBG levando também à descredibilização do funcionamento dos mecanismos/instituições de gestão dos casos. </w:t>
      </w:r>
    </w:p>
    <w:p w14:paraId="56FDCFF6" w14:textId="77777777" w:rsidR="00472547" w:rsidRPr="00472547" w:rsidRDefault="00472547" w:rsidP="00472547">
      <w:pPr>
        <w:suppressAutoHyphens/>
        <w:spacing w:before="0"/>
        <w:rPr>
          <w:rFonts w:ascii="Arial" w:eastAsia="Calibri" w:hAnsi="Arial" w:cs="Arial"/>
          <w:i/>
          <w:iCs/>
          <w:sz w:val="20"/>
          <w:szCs w:val="20"/>
          <w:u w:val="single"/>
          <w:lang w:val="pt-PT"/>
        </w:rPr>
      </w:pPr>
      <w:r w:rsidRPr="00472547">
        <w:rPr>
          <w:rFonts w:ascii="Arial" w:eastAsia="Calibri" w:hAnsi="Arial" w:cs="Arial"/>
          <w:i/>
          <w:iCs/>
          <w:sz w:val="20"/>
          <w:szCs w:val="20"/>
          <w:u w:val="single"/>
          <w:lang w:val="pt-PT"/>
        </w:rPr>
        <w:t xml:space="preserve">Medidas preventivas </w:t>
      </w:r>
    </w:p>
    <w:p w14:paraId="621FFA50" w14:textId="77777777" w:rsidR="00472547" w:rsidRPr="00472547" w:rsidRDefault="00472547" w:rsidP="00472547">
      <w:pPr>
        <w:spacing w:before="0" w:line="259" w:lineRule="auto"/>
        <w:rPr>
          <w:rFonts w:ascii="Arial" w:eastAsia="Calibri" w:hAnsi="Arial" w:cs="Arial"/>
          <w:bCs/>
          <w:sz w:val="20"/>
          <w:szCs w:val="20"/>
          <w:lang w:val="pt-PT"/>
        </w:rPr>
      </w:pPr>
      <w:r w:rsidRPr="00472547">
        <w:rPr>
          <w:rFonts w:ascii="Arial" w:eastAsia="Calibri" w:hAnsi="Arial" w:cs="Arial"/>
          <w:bCs/>
          <w:sz w:val="20"/>
          <w:szCs w:val="20"/>
          <w:lang w:val="pt-PT"/>
        </w:rPr>
        <w:t xml:space="preserve">Como medida preventiva, a sensibilização sobre as </w:t>
      </w:r>
      <w:proofErr w:type="spellStart"/>
      <w:r w:rsidRPr="00472547">
        <w:rPr>
          <w:rFonts w:ascii="Arial" w:eastAsia="Calibri" w:hAnsi="Arial" w:cs="Arial"/>
          <w:bCs/>
          <w:sz w:val="20"/>
          <w:szCs w:val="20"/>
          <w:lang w:val="pt-PT"/>
        </w:rPr>
        <w:t>actividades</w:t>
      </w:r>
      <w:proofErr w:type="spellEnd"/>
      <w:r w:rsidRPr="00472547">
        <w:rPr>
          <w:rFonts w:ascii="Arial" w:eastAsia="Calibri" w:hAnsi="Arial" w:cs="Arial"/>
          <w:bCs/>
          <w:sz w:val="20"/>
          <w:szCs w:val="20"/>
          <w:lang w:val="pt-PT"/>
        </w:rPr>
        <w:t xml:space="preserve"> do </w:t>
      </w:r>
      <w:proofErr w:type="spellStart"/>
      <w:r w:rsidRPr="00472547">
        <w:rPr>
          <w:rFonts w:ascii="Arial" w:eastAsia="Calibri" w:hAnsi="Arial" w:cs="Arial"/>
          <w:bCs/>
          <w:sz w:val="20"/>
          <w:szCs w:val="20"/>
          <w:lang w:val="pt-PT"/>
        </w:rPr>
        <w:t>Projecto</w:t>
      </w:r>
      <w:proofErr w:type="spellEnd"/>
      <w:r w:rsidRPr="00472547">
        <w:rPr>
          <w:rFonts w:ascii="Arial" w:eastAsia="Calibri" w:hAnsi="Arial" w:cs="Arial"/>
          <w:bCs/>
          <w:sz w:val="20"/>
          <w:szCs w:val="20"/>
          <w:lang w:val="pt-PT"/>
        </w:rPr>
        <w:t xml:space="preserve"> e a abertura ao diálogo será continuada e fortificada durante todo o </w:t>
      </w:r>
      <w:proofErr w:type="spellStart"/>
      <w:r w:rsidRPr="00472547">
        <w:rPr>
          <w:rFonts w:ascii="Arial" w:eastAsia="Calibri" w:hAnsi="Arial" w:cs="Arial"/>
          <w:bCs/>
          <w:sz w:val="20"/>
          <w:szCs w:val="20"/>
          <w:lang w:val="pt-PT"/>
        </w:rPr>
        <w:t>Projecto</w:t>
      </w:r>
      <w:proofErr w:type="spellEnd"/>
      <w:r w:rsidRPr="00472547">
        <w:rPr>
          <w:rFonts w:ascii="Arial" w:eastAsia="Calibri" w:hAnsi="Arial" w:cs="Arial"/>
          <w:bCs/>
          <w:sz w:val="20"/>
          <w:szCs w:val="20"/>
          <w:lang w:val="pt-PT"/>
        </w:rPr>
        <w:t xml:space="preserve">, a fim de reduzir mal-entendidos e queixas. </w:t>
      </w:r>
    </w:p>
    <w:p w14:paraId="7FD2C91E" w14:textId="77777777" w:rsidR="00472547" w:rsidRPr="00472547" w:rsidRDefault="00472547" w:rsidP="00472547">
      <w:pPr>
        <w:spacing w:before="0" w:line="259" w:lineRule="auto"/>
        <w:rPr>
          <w:rFonts w:ascii="Arial" w:eastAsia="Calibri" w:hAnsi="Arial" w:cs="Arial"/>
          <w:bCs/>
          <w:sz w:val="20"/>
          <w:szCs w:val="20"/>
          <w:lang w:val="pt-PT"/>
        </w:rPr>
      </w:pPr>
      <w:r w:rsidRPr="00472547">
        <w:rPr>
          <w:rFonts w:ascii="Arial" w:eastAsia="Calibri" w:hAnsi="Arial" w:cs="Arial"/>
          <w:sz w:val="20"/>
          <w:szCs w:val="20"/>
          <w:lang w:val="pt-PT"/>
        </w:rPr>
        <w:t xml:space="preserve">Para reduzir os riscos de aumento de casos de VBG nas áreas do </w:t>
      </w:r>
      <w:proofErr w:type="spellStart"/>
      <w:r w:rsidRPr="00472547">
        <w:rPr>
          <w:rFonts w:ascii="Arial" w:eastAsia="Calibri" w:hAnsi="Arial" w:cs="Arial"/>
          <w:sz w:val="20"/>
          <w:szCs w:val="20"/>
          <w:lang w:val="pt-PT"/>
        </w:rPr>
        <w:t>Projecto</w:t>
      </w:r>
      <w:proofErr w:type="spellEnd"/>
      <w:r w:rsidRPr="00472547">
        <w:rPr>
          <w:rFonts w:ascii="Arial" w:eastAsia="Calibri" w:hAnsi="Arial" w:cs="Arial"/>
          <w:sz w:val="20"/>
          <w:szCs w:val="20"/>
          <w:lang w:val="pt-PT"/>
        </w:rPr>
        <w:t xml:space="preserve">, e a tendência de baixa participação das mulheres e fraca denúncia pelas vítimas, o mecanismo de resolução de reclamações do </w:t>
      </w:r>
      <w:proofErr w:type="spellStart"/>
      <w:r w:rsidRPr="00472547">
        <w:rPr>
          <w:rFonts w:ascii="Arial" w:eastAsia="Calibri" w:hAnsi="Arial" w:cs="Arial"/>
          <w:sz w:val="20"/>
          <w:szCs w:val="20"/>
          <w:lang w:val="pt-PT"/>
        </w:rPr>
        <w:t>Projecto</w:t>
      </w:r>
      <w:proofErr w:type="spellEnd"/>
      <w:r w:rsidRPr="00472547">
        <w:rPr>
          <w:rFonts w:ascii="Arial" w:eastAsia="Calibri" w:hAnsi="Arial" w:cs="Arial"/>
          <w:sz w:val="20"/>
          <w:szCs w:val="20"/>
          <w:lang w:val="pt-PT"/>
        </w:rPr>
        <w:t xml:space="preserve"> deverá destacar uma linha confidencial para tratar de casos de VBG e outras questões sensíveis (incluindo VCC e trabalho forçado). As reclamações sobre VBG serão preferencialmente resolvidas pelo Provedor de Serviços de VBG (PS-VBG)</w:t>
      </w:r>
    </w:p>
    <w:p w14:paraId="547A7FFB" w14:textId="6B12116F" w:rsidR="00472547" w:rsidRDefault="00472547" w:rsidP="00472547">
      <w:pPr>
        <w:spacing w:before="0" w:after="0" w:line="259" w:lineRule="auto"/>
        <w:rPr>
          <w:rFonts w:ascii="Arial" w:eastAsia="Calibri" w:hAnsi="Arial" w:cs="Arial"/>
          <w:bCs/>
          <w:sz w:val="20"/>
          <w:szCs w:val="20"/>
          <w:lang w:val="pt-PT"/>
        </w:rPr>
      </w:pPr>
      <w:r w:rsidRPr="00472547">
        <w:rPr>
          <w:rFonts w:ascii="Arial" w:eastAsia="Calibri" w:hAnsi="Arial" w:cs="Arial"/>
          <w:bCs/>
          <w:sz w:val="20"/>
          <w:szCs w:val="20"/>
          <w:lang w:val="pt-PT"/>
        </w:rPr>
        <w:lastRenderedPageBreak/>
        <w:t xml:space="preserve">Serão realizadas consultas e negociações com as pessoas </w:t>
      </w:r>
      <w:proofErr w:type="spellStart"/>
      <w:r w:rsidRPr="00472547">
        <w:rPr>
          <w:rFonts w:ascii="Arial" w:eastAsia="Calibri" w:hAnsi="Arial" w:cs="Arial"/>
          <w:bCs/>
          <w:sz w:val="20"/>
          <w:szCs w:val="20"/>
          <w:lang w:val="pt-PT"/>
        </w:rPr>
        <w:t>afectadas</w:t>
      </w:r>
      <w:proofErr w:type="spellEnd"/>
      <w:r w:rsidRPr="00472547">
        <w:rPr>
          <w:rFonts w:ascii="Arial" w:eastAsia="Calibri" w:hAnsi="Arial" w:cs="Arial"/>
          <w:bCs/>
          <w:sz w:val="20"/>
          <w:szCs w:val="20"/>
          <w:lang w:val="pt-PT"/>
        </w:rPr>
        <w:t xml:space="preserve"> pelo </w:t>
      </w:r>
      <w:proofErr w:type="spellStart"/>
      <w:r w:rsidRPr="00472547">
        <w:rPr>
          <w:rFonts w:ascii="Arial" w:eastAsia="Calibri" w:hAnsi="Arial" w:cs="Arial"/>
          <w:bCs/>
          <w:sz w:val="20"/>
          <w:szCs w:val="20"/>
          <w:lang w:val="pt-PT"/>
        </w:rPr>
        <w:t>Projecto</w:t>
      </w:r>
      <w:proofErr w:type="spellEnd"/>
      <w:r w:rsidRPr="00472547">
        <w:rPr>
          <w:rFonts w:ascii="Arial" w:eastAsia="Calibri" w:hAnsi="Arial" w:cs="Arial"/>
          <w:bCs/>
          <w:sz w:val="20"/>
          <w:szCs w:val="20"/>
          <w:lang w:val="pt-PT"/>
        </w:rPr>
        <w:t xml:space="preserve"> sempre que haja indícios de potenciais conflitos. A formação de equipas técnicas, comités de Reassentamento e líderes locais em gestão de conflitos também ajudará a minimizar o impacto negativo dos conflitos. Para capacitar as comunidades, estas serão envolvidas na sensibilização e formação relativamente aos seus direitos e obrigações, como obter aconselhamento jurídico e representação, e como procurar reparação contra o que consideram ser práticas desleais por parte de parceiros de investimento, visitantes, trabalhadores do </w:t>
      </w:r>
      <w:proofErr w:type="spellStart"/>
      <w:r w:rsidRPr="00472547">
        <w:rPr>
          <w:rFonts w:ascii="Arial" w:eastAsia="Calibri" w:hAnsi="Arial" w:cs="Arial"/>
          <w:bCs/>
          <w:sz w:val="20"/>
          <w:szCs w:val="20"/>
          <w:lang w:val="pt-PT"/>
        </w:rPr>
        <w:t>Projecto</w:t>
      </w:r>
      <w:proofErr w:type="spellEnd"/>
      <w:r w:rsidRPr="00472547">
        <w:rPr>
          <w:rFonts w:ascii="Arial" w:eastAsia="Calibri" w:hAnsi="Arial" w:cs="Arial"/>
          <w:bCs/>
          <w:sz w:val="20"/>
          <w:szCs w:val="20"/>
          <w:lang w:val="pt-PT"/>
        </w:rPr>
        <w:t xml:space="preserve">, ou outros. </w:t>
      </w:r>
    </w:p>
    <w:p w14:paraId="7A8C923A" w14:textId="77777777" w:rsidR="00472547" w:rsidRPr="00472547" w:rsidRDefault="00472547" w:rsidP="00472547">
      <w:pPr>
        <w:spacing w:before="0" w:after="0" w:line="259" w:lineRule="auto"/>
        <w:rPr>
          <w:rFonts w:ascii="Arial" w:eastAsia="Calibri" w:hAnsi="Arial" w:cs="Arial"/>
          <w:sz w:val="20"/>
          <w:szCs w:val="20"/>
          <w:lang w:val="pt-PT"/>
        </w:rPr>
      </w:pPr>
    </w:p>
    <w:p w14:paraId="7DD2B74C" w14:textId="77777777" w:rsidR="00472547" w:rsidRPr="00941934" w:rsidRDefault="00472547" w:rsidP="00941934">
      <w:pPr>
        <w:keepNext/>
        <w:keepLines/>
        <w:numPr>
          <w:ilvl w:val="1"/>
          <w:numId w:val="155"/>
        </w:numPr>
        <w:spacing w:before="0" w:after="120"/>
        <w:outlineLvl w:val="1"/>
        <w:rPr>
          <w:rFonts w:ascii="Arial" w:eastAsia="Calibri" w:hAnsi="Arial" w:cs="Arial"/>
          <w:bCs/>
          <w:color w:val="2F5496"/>
          <w:sz w:val="26"/>
          <w:szCs w:val="26"/>
          <w:lang w:val="pt-PT"/>
        </w:rPr>
      </w:pPr>
      <w:bookmarkStart w:id="1707" w:name="_Toc67647772"/>
      <w:bookmarkStart w:id="1708" w:name="_Toc69125273"/>
      <w:bookmarkStart w:id="1709" w:name="_Toc80347344"/>
      <w:bookmarkStart w:id="1710" w:name="_Toc80380222"/>
      <w:r w:rsidRPr="00941934">
        <w:rPr>
          <w:rFonts w:ascii="Arial" w:eastAsia="Calibri" w:hAnsi="Arial" w:cs="Arial"/>
          <w:bCs/>
          <w:color w:val="2F5496"/>
          <w:sz w:val="26"/>
          <w:szCs w:val="26"/>
          <w:lang w:val="pt-PT"/>
        </w:rPr>
        <w:t>Resolução de Reclamações e Potenciais Conflitos</w:t>
      </w:r>
      <w:bookmarkEnd w:id="1707"/>
      <w:bookmarkEnd w:id="1708"/>
      <w:bookmarkEnd w:id="1709"/>
      <w:bookmarkEnd w:id="1710"/>
      <w:r w:rsidRPr="00941934">
        <w:rPr>
          <w:rFonts w:ascii="Arial" w:eastAsia="Calibri" w:hAnsi="Arial" w:cs="Arial"/>
          <w:bCs/>
          <w:color w:val="2F5496"/>
          <w:sz w:val="26"/>
          <w:szCs w:val="26"/>
          <w:lang w:val="pt-PT"/>
        </w:rPr>
        <w:t xml:space="preserve"> </w:t>
      </w:r>
    </w:p>
    <w:p w14:paraId="17CEE51C" w14:textId="77777777" w:rsidR="00472547" w:rsidRPr="00472547" w:rsidRDefault="00472547" w:rsidP="00472547">
      <w:pPr>
        <w:spacing w:before="0" w:line="259" w:lineRule="auto"/>
        <w:rPr>
          <w:rFonts w:ascii="Arial" w:eastAsia="Calibri" w:hAnsi="Arial" w:cs="Arial"/>
          <w:b/>
          <w:sz w:val="20"/>
          <w:szCs w:val="20"/>
          <w:lang w:val="pt-PT"/>
        </w:rPr>
      </w:pPr>
      <w:r w:rsidRPr="00472547">
        <w:rPr>
          <w:rFonts w:ascii="Arial" w:eastAsia="Calibri" w:hAnsi="Arial" w:cs="Arial"/>
          <w:b/>
          <w:sz w:val="20"/>
          <w:szCs w:val="20"/>
          <w:lang w:val="pt-PT"/>
        </w:rPr>
        <w:t>Gestão de queixas e reclamações a nível comunitário</w:t>
      </w:r>
    </w:p>
    <w:p w14:paraId="77381871" w14:textId="77777777" w:rsidR="00472547" w:rsidRPr="00472547" w:rsidRDefault="00472547" w:rsidP="00472547">
      <w:pPr>
        <w:spacing w:before="0" w:line="259" w:lineRule="auto"/>
        <w:rPr>
          <w:rFonts w:ascii="Arial" w:eastAsia="Calibri" w:hAnsi="Arial" w:cs="Arial"/>
          <w:sz w:val="20"/>
          <w:szCs w:val="20"/>
          <w:lang w:val="pt-PT"/>
        </w:rPr>
      </w:pPr>
      <w:bookmarkStart w:id="1711" w:name="_Hlk74771504"/>
      <w:r w:rsidRPr="00472547">
        <w:rPr>
          <w:rFonts w:ascii="Arial" w:eastAsia="Calibri" w:hAnsi="Arial" w:cs="Arial"/>
          <w:sz w:val="20"/>
          <w:szCs w:val="20"/>
          <w:lang w:val="pt-PT"/>
        </w:rPr>
        <w:t xml:space="preserve">Ao nível das comunidades locais existem mecanismos tradicionais e culturais de resolução de problemas e queixas através das estruturas familiares e lideranças comunitárias e/ou tradicionais. Espera-se que algumas das disputas que surgirem ao nível da comunidade possam ser resolvidas usando estes mecanismos, sem o envolvimento do proponente, contratante/empreiteiro ou representantes do Governo a nível local e nacional. Contudo, questões desencadeadas </w:t>
      </w:r>
      <w:proofErr w:type="spellStart"/>
      <w:r w:rsidRPr="00472547">
        <w:rPr>
          <w:rFonts w:ascii="Arial" w:eastAsia="Calibri" w:hAnsi="Arial" w:cs="Arial"/>
          <w:sz w:val="20"/>
          <w:szCs w:val="20"/>
          <w:lang w:val="pt-PT"/>
        </w:rPr>
        <w:t>indirectamente</w:t>
      </w:r>
      <w:proofErr w:type="spellEnd"/>
      <w:r w:rsidRPr="00472547">
        <w:rPr>
          <w:rFonts w:ascii="Arial" w:eastAsia="Calibri" w:hAnsi="Arial" w:cs="Arial"/>
          <w:sz w:val="20"/>
          <w:szCs w:val="20"/>
          <w:lang w:val="pt-PT"/>
        </w:rPr>
        <w:t xml:space="preserve"> pelo </w:t>
      </w:r>
      <w:proofErr w:type="spellStart"/>
      <w:r w:rsidRPr="00472547">
        <w:rPr>
          <w:rFonts w:ascii="Arial" w:eastAsia="Calibri" w:hAnsi="Arial" w:cs="Arial"/>
          <w:sz w:val="20"/>
          <w:szCs w:val="20"/>
          <w:lang w:val="pt-PT"/>
        </w:rPr>
        <w:t>Projecto</w:t>
      </w:r>
      <w:proofErr w:type="spellEnd"/>
      <w:r w:rsidRPr="00472547">
        <w:rPr>
          <w:rFonts w:ascii="Arial" w:eastAsia="Calibri" w:hAnsi="Arial" w:cs="Arial"/>
          <w:sz w:val="20"/>
          <w:szCs w:val="20"/>
          <w:lang w:val="pt-PT"/>
        </w:rPr>
        <w:t xml:space="preserve"> como por exemplo níveis maiores de disputas de terras envolvendo áreas para implementação do </w:t>
      </w:r>
      <w:proofErr w:type="spellStart"/>
      <w:r w:rsidRPr="00472547">
        <w:rPr>
          <w:rFonts w:ascii="Arial" w:eastAsia="Calibri" w:hAnsi="Arial" w:cs="Arial"/>
          <w:sz w:val="20"/>
          <w:szCs w:val="20"/>
          <w:lang w:val="pt-PT"/>
        </w:rPr>
        <w:t>projecto</w:t>
      </w:r>
      <w:proofErr w:type="spellEnd"/>
      <w:r w:rsidRPr="00472547">
        <w:rPr>
          <w:rFonts w:ascii="Arial" w:eastAsia="Calibri" w:hAnsi="Arial" w:cs="Arial"/>
          <w:sz w:val="20"/>
          <w:szCs w:val="20"/>
          <w:lang w:val="pt-PT"/>
        </w:rPr>
        <w:t xml:space="preserve"> deverão ter o envolvimento oficial das autoridades do governo local e o(s) proprietário(s) da terra em questão.</w:t>
      </w:r>
    </w:p>
    <w:p w14:paraId="3E0EACE0" w14:textId="77777777" w:rsidR="00472547" w:rsidRPr="00472547" w:rsidRDefault="00472547" w:rsidP="00472547">
      <w:pPr>
        <w:spacing w:before="0" w:line="259" w:lineRule="auto"/>
        <w:rPr>
          <w:rFonts w:ascii="Arial" w:eastAsia="Calibri" w:hAnsi="Arial" w:cs="Arial"/>
          <w:sz w:val="20"/>
          <w:szCs w:val="20"/>
          <w:lang w:val="pt-PT"/>
        </w:rPr>
      </w:pPr>
      <w:r w:rsidRPr="00472547">
        <w:rPr>
          <w:rFonts w:ascii="Arial" w:eastAsia="Calibri" w:hAnsi="Arial" w:cs="Arial"/>
          <w:sz w:val="20"/>
          <w:szCs w:val="20"/>
          <w:lang w:val="pt-PT"/>
        </w:rPr>
        <w:t xml:space="preserve">Quando os problemas causados pelo </w:t>
      </w:r>
      <w:proofErr w:type="spellStart"/>
      <w:r w:rsidRPr="00472547">
        <w:rPr>
          <w:rFonts w:ascii="Arial" w:eastAsia="Calibri" w:hAnsi="Arial" w:cs="Arial"/>
          <w:sz w:val="20"/>
          <w:szCs w:val="20"/>
          <w:lang w:val="pt-PT"/>
        </w:rPr>
        <w:t>projecto</w:t>
      </w:r>
      <w:proofErr w:type="spellEnd"/>
      <w:r w:rsidRPr="00472547">
        <w:rPr>
          <w:rFonts w:ascii="Arial" w:eastAsia="Calibri" w:hAnsi="Arial" w:cs="Arial"/>
          <w:sz w:val="20"/>
          <w:szCs w:val="20"/>
          <w:lang w:val="pt-PT"/>
        </w:rPr>
        <w:t xml:space="preserve"> são levantados e resolvidos por meio dos mecanismos comunitários de resolução existentes, a estrutura de governo local deverá relatar ao </w:t>
      </w:r>
      <w:proofErr w:type="spellStart"/>
      <w:r w:rsidRPr="00472547">
        <w:rPr>
          <w:rFonts w:ascii="Arial" w:eastAsia="Calibri" w:hAnsi="Arial" w:cs="Arial"/>
          <w:sz w:val="20"/>
          <w:szCs w:val="20"/>
          <w:lang w:val="pt-PT"/>
        </w:rPr>
        <w:t>projecto</w:t>
      </w:r>
      <w:proofErr w:type="spellEnd"/>
      <w:r w:rsidRPr="00472547">
        <w:rPr>
          <w:rFonts w:ascii="Arial" w:eastAsia="Calibri" w:hAnsi="Arial" w:cs="Arial"/>
          <w:sz w:val="20"/>
          <w:szCs w:val="20"/>
          <w:lang w:val="pt-PT"/>
        </w:rPr>
        <w:t xml:space="preserve"> para efeitos de registo e tomada de conhecimento. Portanto, ao </w:t>
      </w:r>
      <w:proofErr w:type="spellStart"/>
      <w:r w:rsidRPr="00472547">
        <w:rPr>
          <w:rFonts w:ascii="Arial" w:eastAsia="Calibri" w:hAnsi="Arial" w:cs="Arial"/>
          <w:sz w:val="20"/>
          <w:szCs w:val="20"/>
          <w:lang w:val="pt-PT"/>
        </w:rPr>
        <w:t>Projecto</w:t>
      </w:r>
      <w:proofErr w:type="spellEnd"/>
      <w:r w:rsidRPr="00472547">
        <w:rPr>
          <w:rFonts w:ascii="Arial" w:eastAsia="Calibri" w:hAnsi="Arial" w:cs="Arial"/>
          <w:sz w:val="20"/>
          <w:szCs w:val="20"/>
          <w:lang w:val="pt-PT"/>
        </w:rPr>
        <w:t xml:space="preserve"> ficam registadas todas as queixas e reclamações incluindo os resultados do processo de solução e, as pessoas que intervieram. No caso específico de casos de conflito relacionados com VBG, o </w:t>
      </w:r>
      <w:proofErr w:type="spellStart"/>
      <w:r w:rsidRPr="00472547">
        <w:rPr>
          <w:rFonts w:ascii="Arial" w:eastAsia="Calibri" w:hAnsi="Arial" w:cs="Arial"/>
          <w:sz w:val="20"/>
          <w:szCs w:val="20"/>
          <w:lang w:val="pt-PT"/>
        </w:rPr>
        <w:t>projecto</w:t>
      </w:r>
      <w:proofErr w:type="spellEnd"/>
      <w:r w:rsidRPr="00472547">
        <w:rPr>
          <w:rFonts w:ascii="Arial" w:eastAsia="Calibri" w:hAnsi="Arial" w:cs="Arial"/>
          <w:sz w:val="20"/>
          <w:szCs w:val="20"/>
          <w:lang w:val="pt-PT"/>
        </w:rPr>
        <w:t xml:space="preserve"> fará a devida coordenação com a estrutura formal de referência localmente disponível (ex. Centros de Atendimento Integrado, secções da Polícia, Esquadras da Polícia ou </w:t>
      </w:r>
      <w:proofErr w:type="spellStart"/>
      <w:r w:rsidRPr="00472547">
        <w:rPr>
          <w:rFonts w:ascii="Arial" w:eastAsia="Calibri" w:hAnsi="Arial" w:cs="Arial"/>
          <w:sz w:val="20"/>
          <w:szCs w:val="20"/>
          <w:lang w:val="pt-PT"/>
        </w:rPr>
        <w:t>Gabinentes</w:t>
      </w:r>
      <w:proofErr w:type="spellEnd"/>
      <w:r w:rsidRPr="00472547">
        <w:rPr>
          <w:rFonts w:ascii="Arial" w:eastAsia="Calibri" w:hAnsi="Arial" w:cs="Arial"/>
          <w:sz w:val="20"/>
          <w:szCs w:val="20"/>
          <w:lang w:val="pt-PT"/>
        </w:rPr>
        <w:t xml:space="preserve"> de Atendimento da Mulher e criança vítimas de Violência).</w:t>
      </w:r>
    </w:p>
    <w:p w14:paraId="540AD0BC" w14:textId="77777777" w:rsidR="00472547" w:rsidRPr="00472547" w:rsidRDefault="00472547" w:rsidP="00472547">
      <w:pPr>
        <w:spacing w:before="0" w:after="0" w:line="259" w:lineRule="auto"/>
        <w:rPr>
          <w:rFonts w:ascii="Arial" w:eastAsia="Calibri" w:hAnsi="Arial" w:cs="Arial"/>
          <w:sz w:val="20"/>
          <w:szCs w:val="20"/>
          <w:lang w:val="pt-PT"/>
        </w:rPr>
      </w:pPr>
      <w:r w:rsidRPr="00472547">
        <w:rPr>
          <w:rFonts w:ascii="Arial" w:eastAsia="Calibri" w:hAnsi="Arial" w:cs="Arial"/>
          <w:sz w:val="20"/>
          <w:szCs w:val="20"/>
          <w:lang w:val="pt-PT"/>
        </w:rPr>
        <w:t>Espera-se que quaisquer questões de disputas ao nível das comunidades possam ser resolvidas a este nível. Doutro modo, são transferidas para o nível a seguir.</w:t>
      </w:r>
    </w:p>
    <w:bookmarkEnd w:id="1711"/>
    <w:p w14:paraId="3DF6A173" w14:textId="77777777" w:rsidR="00472547" w:rsidRPr="00472547" w:rsidRDefault="00472547" w:rsidP="00472547">
      <w:pPr>
        <w:spacing w:before="0" w:after="0" w:line="259" w:lineRule="auto"/>
        <w:rPr>
          <w:rFonts w:ascii="Arial" w:eastAsia="Calibri" w:hAnsi="Arial" w:cs="Arial"/>
          <w:sz w:val="20"/>
          <w:szCs w:val="20"/>
          <w:lang w:val="pt-PT"/>
        </w:rPr>
      </w:pPr>
    </w:p>
    <w:p w14:paraId="399C9ADC" w14:textId="77777777" w:rsidR="00472547" w:rsidRPr="00472547" w:rsidRDefault="00472547" w:rsidP="00472547">
      <w:pPr>
        <w:spacing w:before="0" w:line="259" w:lineRule="auto"/>
        <w:rPr>
          <w:rFonts w:ascii="Arial" w:eastAsia="Calibri" w:hAnsi="Arial" w:cs="Arial"/>
          <w:b/>
          <w:sz w:val="20"/>
          <w:szCs w:val="20"/>
          <w:lang w:val="pt-PT"/>
        </w:rPr>
      </w:pPr>
      <w:r w:rsidRPr="00472547">
        <w:rPr>
          <w:rFonts w:ascii="Arial" w:eastAsia="Calibri" w:hAnsi="Arial" w:cs="Arial"/>
          <w:b/>
          <w:sz w:val="20"/>
          <w:szCs w:val="20"/>
          <w:lang w:val="pt-PT"/>
        </w:rPr>
        <w:t xml:space="preserve">Gestão de queixas e reclamações a nível de </w:t>
      </w:r>
      <w:proofErr w:type="spellStart"/>
      <w:r w:rsidRPr="00472547">
        <w:rPr>
          <w:rFonts w:ascii="Arial" w:eastAsia="Calibri" w:hAnsi="Arial" w:cs="Arial"/>
          <w:b/>
          <w:sz w:val="20"/>
          <w:szCs w:val="20"/>
          <w:lang w:val="pt-PT"/>
        </w:rPr>
        <w:t>projecto</w:t>
      </w:r>
      <w:proofErr w:type="spellEnd"/>
      <w:r w:rsidRPr="00472547">
        <w:rPr>
          <w:rFonts w:ascii="Arial" w:eastAsia="Calibri" w:hAnsi="Arial" w:cs="Arial"/>
          <w:b/>
          <w:sz w:val="20"/>
          <w:szCs w:val="20"/>
          <w:lang w:val="pt-PT"/>
        </w:rPr>
        <w:t xml:space="preserve">   </w:t>
      </w:r>
    </w:p>
    <w:p w14:paraId="47EDBAD8" w14:textId="77777777" w:rsidR="00472547" w:rsidRPr="00472547" w:rsidRDefault="00472547" w:rsidP="00472547">
      <w:pPr>
        <w:spacing w:before="120" w:after="120"/>
        <w:rPr>
          <w:rFonts w:ascii="Arial" w:eastAsia="Calibri" w:hAnsi="Arial" w:cs="Arial"/>
          <w:sz w:val="20"/>
          <w:szCs w:val="20"/>
          <w:lang w:val="pt-PT"/>
        </w:rPr>
      </w:pPr>
      <w:bookmarkStart w:id="1712" w:name="_Hlk74771419"/>
      <w:r w:rsidRPr="00472547">
        <w:rPr>
          <w:rFonts w:ascii="Arial" w:eastAsia="Calibri" w:hAnsi="Arial" w:cs="Arial"/>
          <w:sz w:val="20"/>
          <w:szCs w:val="20"/>
          <w:lang w:val="pt-PT"/>
        </w:rPr>
        <w:t>Deve ser estabelecido ao nível da área de implementação dos subprojectos, um Comité de Gestão de Reclamações (</w:t>
      </w:r>
      <w:r w:rsidRPr="00472547">
        <w:rPr>
          <w:rFonts w:ascii="Arial" w:eastAsia="Calibri" w:hAnsi="Arial" w:cs="Arial"/>
          <w:caps/>
          <w:sz w:val="20"/>
          <w:szCs w:val="20"/>
          <w:lang w:val="pt-PT"/>
        </w:rPr>
        <w:t xml:space="preserve">CGR) </w:t>
      </w:r>
      <w:r w:rsidRPr="00472547">
        <w:rPr>
          <w:rFonts w:ascii="Arial" w:eastAsia="Calibri" w:hAnsi="Arial" w:cs="Arial"/>
          <w:sz w:val="20"/>
          <w:szCs w:val="20"/>
          <w:lang w:val="pt-PT"/>
        </w:rPr>
        <w:t xml:space="preserve">constituído pelos especialistas em salvaguardas das </w:t>
      </w:r>
      <w:proofErr w:type="spellStart"/>
      <w:r w:rsidRPr="00472547">
        <w:rPr>
          <w:rFonts w:ascii="Arial" w:eastAsia="Calibri" w:hAnsi="Arial" w:cs="Arial"/>
          <w:sz w:val="20"/>
          <w:szCs w:val="20"/>
          <w:lang w:val="pt-PT"/>
        </w:rPr>
        <w:t>UTs</w:t>
      </w:r>
      <w:proofErr w:type="spellEnd"/>
      <w:r w:rsidRPr="00472547">
        <w:rPr>
          <w:rFonts w:ascii="Arial" w:eastAsia="Calibri" w:hAnsi="Arial" w:cs="Arial"/>
          <w:sz w:val="20"/>
          <w:szCs w:val="20"/>
          <w:lang w:val="pt-PT"/>
        </w:rPr>
        <w:t xml:space="preserve"> da província ou distrito, especialistas das salvaguardas a nível central, a contratada (PROSIR/empreiteiro), fiscal ou um escritório regional com representantes locais do </w:t>
      </w:r>
      <w:proofErr w:type="spellStart"/>
      <w:r w:rsidRPr="00472547">
        <w:rPr>
          <w:rFonts w:ascii="Arial" w:eastAsia="Calibri" w:hAnsi="Arial" w:cs="Arial"/>
          <w:sz w:val="20"/>
          <w:szCs w:val="20"/>
          <w:lang w:val="pt-PT"/>
        </w:rPr>
        <w:t>projecto</w:t>
      </w:r>
      <w:proofErr w:type="spellEnd"/>
      <w:r w:rsidRPr="00472547">
        <w:rPr>
          <w:rFonts w:ascii="Arial" w:eastAsia="Calibri" w:hAnsi="Arial" w:cs="Arial"/>
          <w:sz w:val="20"/>
          <w:szCs w:val="20"/>
          <w:lang w:val="pt-PT"/>
        </w:rPr>
        <w:t xml:space="preserve">. Este comité estabelecido deve ser autorizado e possuir autonomia para lidar com reclamações no nível local e garantir que as mesmas sejam resolvidas de forma rápida e transparente. Contudo, caso as queixas e reclamações não alcancem solução ou os queixosos não se encontrem satisfeitos com a solução dada a este nível podem recorrer a um nível superior para apresentação da sua reclamação. </w:t>
      </w:r>
    </w:p>
    <w:p w14:paraId="0625D0E8" w14:textId="77777777" w:rsidR="00472547" w:rsidRPr="00472547" w:rsidRDefault="00472547" w:rsidP="00472547">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rPr>
          <w:rFonts w:ascii="Arial" w:eastAsia="Times New Roman" w:hAnsi="Arial" w:cs="Arial"/>
          <w:sz w:val="20"/>
          <w:szCs w:val="20"/>
          <w:lang w:val="pt-PT"/>
        </w:rPr>
      </w:pPr>
      <w:r w:rsidRPr="00472547">
        <w:rPr>
          <w:rFonts w:ascii="Arial" w:eastAsia="Times New Roman" w:hAnsi="Arial" w:cs="Arial"/>
          <w:sz w:val="20"/>
          <w:szCs w:val="20"/>
          <w:lang w:val="pt-PT"/>
        </w:rPr>
        <w:t xml:space="preserve">O mecanismo de gestão de reclamações (MGR) no </w:t>
      </w:r>
      <w:proofErr w:type="spellStart"/>
      <w:r w:rsidRPr="00472547">
        <w:rPr>
          <w:rFonts w:ascii="Arial" w:eastAsia="Times New Roman" w:hAnsi="Arial" w:cs="Arial"/>
          <w:sz w:val="20"/>
          <w:szCs w:val="20"/>
          <w:lang w:val="pt-PT"/>
        </w:rPr>
        <w:t>projecto</w:t>
      </w:r>
      <w:proofErr w:type="spellEnd"/>
      <w:r w:rsidRPr="00472547">
        <w:rPr>
          <w:rFonts w:ascii="Arial" w:eastAsia="Times New Roman" w:hAnsi="Arial" w:cs="Arial"/>
          <w:sz w:val="20"/>
          <w:szCs w:val="20"/>
          <w:lang w:val="pt-PT"/>
        </w:rPr>
        <w:t xml:space="preserve"> incluirá as seguintes etapas:</w:t>
      </w:r>
    </w:p>
    <w:bookmarkEnd w:id="1712"/>
    <w:p w14:paraId="73CBFEFD" w14:textId="77777777" w:rsidR="00472547" w:rsidRPr="00472547" w:rsidRDefault="00472547" w:rsidP="00472547">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59" w:lineRule="auto"/>
        <w:contextualSpacing/>
        <w:jc w:val="left"/>
        <w:rPr>
          <w:rFonts w:ascii="Arial" w:eastAsia="Times New Roman" w:hAnsi="Arial" w:cs="Arial"/>
          <w:sz w:val="20"/>
          <w:szCs w:val="20"/>
          <w:lang w:val="pt-PT"/>
        </w:rPr>
      </w:pPr>
      <w:r w:rsidRPr="00472547">
        <w:rPr>
          <w:rFonts w:ascii="Arial" w:eastAsia="Times New Roman" w:hAnsi="Arial" w:cs="Arial"/>
          <w:b/>
          <w:bCs/>
          <w:sz w:val="20"/>
          <w:szCs w:val="20"/>
          <w:lang w:val="pt-PT"/>
        </w:rPr>
        <w:t>Etapa 1</w:t>
      </w:r>
      <w:r w:rsidRPr="00472547">
        <w:rPr>
          <w:rFonts w:ascii="Arial" w:eastAsia="Times New Roman" w:hAnsi="Arial" w:cs="Arial"/>
          <w:sz w:val="20"/>
          <w:szCs w:val="20"/>
          <w:lang w:val="pt-PT"/>
        </w:rPr>
        <w:t xml:space="preserve">: Reclamação recebida e registada pela unidade de implementação do subprojecto / Ponto Focal das reclamações do PROSIR/empreiteiro. Uma reclamação pode ser registada </w:t>
      </w:r>
      <w:proofErr w:type="spellStart"/>
      <w:r w:rsidRPr="00472547">
        <w:rPr>
          <w:rFonts w:ascii="Arial" w:eastAsia="Times New Roman" w:hAnsi="Arial" w:cs="Arial"/>
          <w:sz w:val="20"/>
          <w:szCs w:val="20"/>
          <w:lang w:val="pt-PT"/>
        </w:rPr>
        <w:t>directamente</w:t>
      </w:r>
      <w:proofErr w:type="spellEnd"/>
      <w:r w:rsidRPr="00472547">
        <w:rPr>
          <w:rFonts w:ascii="Arial" w:eastAsia="Times New Roman" w:hAnsi="Arial" w:cs="Arial"/>
          <w:sz w:val="20"/>
          <w:szCs w:val="20"/>
          <w:lang w:val="pt-PT"/>
        </w:rPr>
        <w:t xml:space="preserve"> no Comité de Gestão de Reclamações (CGR) a nível local (PROSIR/Empreiteiro/Fiscal) ou na UIP por meio de qualquer um dos seguintes modos e, se necessário, de forma anónima</w:t>
      </w:r>
      <w:r w:rsidRPr="00472547">
        <w:rPr>
          <w:rFonts w:ascii="Arial" w:eastAsia="Times New Roman" w:hAnsi="Arial" w:cs="Arial"/>
          <w:sz w:val="20"/>
          <w:szCs w:val="20"/>
          <w:vertAlign w:val="superscript"/>
          <w:lang w:val="pt-PT"/>
        </w:rPr>
        <w:footnoteReference w:id="49"/>
      </w:r>
      <w:r w:rsidRPr="00472547">
        <w:rPr>
          <w:rFonts w:ascii="Arial" w:eastAsia="Times New Roman" w:hAnsi="Arial" w:cs="Arial"/>
          <w:sz w:val="20"/>
          <w:szCs w:val="20"/>
          <w:lang w:val="pt-PT"/>
        </w:rPr>
        <w:t xml:space="preserve"> ou por meio de terceiros, devendo se encorajar a partilha de informação </w:t>
      </w:r>
      <w:proofErr w:type="spellStart"/>
      <w:r w:rsidRPr="00472547">
        <w:rPr>
          <w:rFonts w:ascii="Arial" w:eastAsia="Times New Roman" w:hAnsi="Arial" w:cs="Arial"/>
          <w:sz w:val="20"/>
          <w:szCs w:val="20"/>
          <w:lang w:val="pt-PT"/>
        </w:rPr>
        <w:t>objectiva</w:t>
      </w:r>
      <w:proofErr w:type="spellEnd"/>
      <w:r w:rsidRPr="00472547">
        <w:rPr>
          <w:rFonts w:ascii="Arial" w:eastAsia="Times New Roman" w:hAnsi="Arial" w:cs="Arial"/>
          <w:sz w:val="20"/>
          <w:szCs w:val="20"/>
          <w:lang w:val="pt-PT"/>
        </w:rPr>
        <w:t xml:space="preserve"> para facilitar o seguimento dos casos. </w:t>
      </w:r>
    </w:p>
    <w:p w14:paraId="74021E47" w14:textId="77777777" w:rsidR="00472547" w:rsidRPr="00472547" w:rsidRDefault="00472547" w:rsidP="00472547">
      <w:pPr>
        <w:numPr>
          <w:ilvl w:val="0"/>
          <w:numId w:val="25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59" w:lineRule="auto"/>
        <w:contextualSpacing/>
        <w:jc w:val="left"/>
        <w:rPr>
          <w:rFonts w:ascii="Arial" w:eastAsia="Times New Roman" w:hAnsi="Arial" w:cs="Arial"/>
          <w:sz w:val="20"/>
          <w:szCs w:val="20"/>
          <w:lang w:val="pt-PT"/>
        </w:rPr>
      </w:pPr>
      <w:r w:rsidRPr="00472547">
        <w:rPr>
          <w:rFonts w:ascii="Arial" w:eastAsia="Times New Roman" w:hAnsi="Arial" w:cs="Arial"/>
          <w:sz w:val="20"/>
          <w:szCs w:val="20"/>
          <w:lang w:val="pt-PT"/>
        </w:rPr>
        <w:lastRenderedPageBreak/>
        <w:t xml:space="preserve">Por telefone em ligação, SMS e/ou WhatsApp </w:t>
      </w:r>
    </w:p>
    <w:p w14:paraId="10507911" w14:textId="77777777" w:rsidR="00472547" w:rsidRPr="00472547" w:rsidRDefault="00472547" w:rsidP="00472547">
      <w:pPr>
        <w:numPr>
          <w:ilvl w:val="0"/>
          <w:numId w:val="25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59" w:lineRule="auto"/>
        <w:contextualSpacing/>
        <w:jc w:val="left"/>
        <w:rPr>
          <w:rFonts w:ascii="Arial" w:eastAsia="Times New Roman" w:hAnsi="Arial" w:cs="Arial"/>
          <w:sz w:val="20"/>
          <w:szCs w:val="20"/>
          <w:lang w:val="pt-PT"/>
        </w:rPr>
      </w:pPr>
      <w:r w:rsidRPr="00472547">
        <w:rPr>
          <w:rFonts w:ascii="Arial" w:eastAsia="Times New Roman" w:hAnsi="Arial" w:cs="Arial"/>
          <w:sz w:val="20"/>
          <w:szCs w:val="20"/>
          <w:lang w:val="pt-PT"/>
        </w:rPr>
        <w:t xml:space="preserve">Por e-mail para [endereço de e-mail a ser criado e </w:t>
      </w:r>
      <w:proofErr w:type="spellStart"/>
      <w:r w:rsidRPr="00472547">
        <w:rPr>
          <w:rFonts w:ascii="Arial" w:eastAsia="Times New Roman" w:hAnsi="Arial" w:cs="Arial"/>
          <w:sz w:val="20"/>
          <w:szCs w:val="20"/>
          <w:lang w:val="pt-PT"/>
        </w:rPr>
        <w:t>activado</w:t>
      </w:r>
      <w:proofErr w:type="spellEnd"/>
      <w:r w:rsidRPr="00472547">
        <w:rPr>
          <w:rFonts w:ascii="Arial" w:eastAsia="Times New Roman" w:hAnsi="Arial" w:cs="Arial"/>
          <w:sz w:val="20"/>
          <w:szCs w:val="20"/>
          <w:lang w:val="pt-PT"/>
        </w:rPr>
        <w:t xml:space="preserve">] </w:t>
      </w:r>
    </w:p>
    <w:p w14:paraId="7A412A9C" w14:textId="77777777" w:rsidR="00472547" w:rsidRPr="00472547" w:rsidRDefault="00472547" w:rsidP="00472547">
      <w:pPr>
        <w:numPr>
          <w:ilvl w:val="0"/>
          <w:numId w:val="25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59" w:lineRule="auto"/>
        <w:contextualSpacing/>
        <w:jc w:val="left"/>
        <w:rPr>
          <w:rFonts w:ascii="Arial" w:eastAsia="Times New Roman" w:hAnsi="Arial" w:cs="Arial"/>
          <w:sz w:val="20"/>
          <w:szCs w:val="20"/>
          <w:lang w:val="pt-PT"/>
        </w:rPr>
      </w:pPr>
      <w:r w:rsidRPr="00472547">
        <w:rPr>
          <w:rFonts w:ascii="Arial" w:eastAsia="Times New Roman" w:hAnsi="Arial" w:cs="Arial"/>
          <w:sz w:val="20"/>
          <w:szCs w:val="20"/>
          <w:lang w:val="pt-PT"/>
        </w:rPr>
        <w:t xml:space="preserve">Por carta </w:t>
      </w:r>
    </w:p>
    <w:p w14:paraId="310C8DAC" w14:textId="77777777" w:rsidR="00472547" w:rsidRPr="00472547" w:rsidRDefault="00472547" w:rsidP="00472547">
      <w:pPr>
        <w:numPr>
          <w:ilvl w:val="0"/>
          <w:numId w:val="25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59" w:lineRule="auto"/>
        <w:contextualSpacing/>
        <w:jc w:val="left"/>
        <w:rPr>
          <w:rFonts w:ascii="Arial" w:eastAsia="Times New Roman" w:hAnsi="Arial" w:cs="Arial"/>
          <w:sz w:val="20"/>
          <w:szCs w:val="20"/>
          <w:lang w:val="pt-PT"/>
        </w:rPr>
      </w:pPr>
      <w:r w:rsidRPr="00472547">
        <w:rPr>
          <w:rFonts w:ascii="Arial" w:eastAsia="Times New Roman" w:hAnsi="Arial" w:cs="Arial"/>
          <w:sz w:val="20"/>
          <w:szCs w:val="20"/>
          <w:lang w:val="pt-PT"/>
        </w:rPr>
        <w:t>Por formulário de reclamação / livro / caixa de sugestões - encontrado em instituições públicas com subprojectos</w:t>
      </w:r>
    </w:p>
    <w:p w14:paraId="49A3C1A5" w14:textId="77777777" w:rsidR="00472547" w:rsidRPr="00472547" w:rsidRDefault="00472547" w:rsidP="00472547">
      <w:pPr>
        <w:numPr>
          <w:ilvl w:val="0"/>
          <w:numId w:val="25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59" w:lineRule="auto"/>
        <w:contextualSpacing/>
        <w:jc w:val="left"/>
        <w:rPr>
          <w:rFonts w:ascii="Arial" w:eastAsia="Times New Roman" w:hAnsi="Arial" w:cs="Arial"/>
          <w:sz w:val="20"/>
          <w:szCs w:val="20"/>
          <w:lang w:val="pt-PT"/>
        </w:rPr>
      </w:pPr>
      <w:r w:rsidRPr="00472547">
        <w:rPr>
          <w:rFonts w:ascii="Arial" w:eastAsia="Times New Roman" w:hAnsi="Arial" w:cs="Arial"/>
          <w:sz w:val="20"/>
          <w:szCs w:val="20"/>
          <w:lang w:val="pt-PT"/>
        </w:rPr>
        <w:t>Registar uma reclamação no livro de registo de reclamações no departamento / agência específica onde o serviço é prestado</w:t>
      </w:r>
    </w:p>
    <w:p w14:paraId="2A48BFB1" w14:textId="77777777" w:rsidR="00472547" w:rsidRPr="00472547" w:rsidRDefault="00472547" w:rsidP="00472547">
      <w:pPr>
        <w:numPr>
          <w:ilvl w:val="0"/>
          <w:numId w:val="25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59" w:lineRule="auto"/>
        <w:contextualSpacing/>
        <w:jc w:val="left"/>
        <w:rPr>
          <w:rFonts w:ascii="Arial" w:eastAsia="Times New Roman" w:hAnsi="Arial" w:cs="Arial"/>
          <w:sz w:val="20"/>
          <w:szCs w:val="20"/>
          <w:lang w:val="pt-PT"/>
        </w:rPr>
      </w:pPr>
      <w:r w:rsidRPr="00472547">
        <w:rPr>
          <w:rFonts w:ascii="Arial" w:eastAsia="Times New Roman" w:hAnsi="Arial" w:cs="Arial"/>
          <w:sz w:val="20"/>
          <w:szCs w:val="20"/>
          <w:lang w:val="pt-PT"/>
        </w:rPr>
        <w:t>Registar a reclamação num website</w:t>
      </w:r>
      <w:r w:rsidRPr="00472547">
        <w:rPr>
          <w:rFonts w:ascii="Arial" w:eastAsia="Calibri" w:hAnsi="Arial" w:cs="Arial"/>
          <w:sz w:val="20"/>
          <w:szCs w:val="20"/>
          <w:vertAlign w:val="superscript"/>
          <w:lang w:val="pt-PT"/>
        </w:rPr>
        <w:footnoteReference w:id="50"/>
      </w:r>
      <w:r w:rsidRPr="00472547">
        <w:rPr>
          <w:rFonts w:ascii="Arial" w:eastAsia="Times New Roman" w:hAnsi="Arial" w:cs="Arial"/>
          <w:sz w:val="20"/>
          <w:szCs w:val="20"/>
          <w:lang w:val="pt-PT"/>
        </w:rPr>
        <w:t xml:space="preserve"> da AIAS, DNAAS.</w:t>
      </w:r>
    </w:p>
    <w:p w14:paraId="43EEC098" w14:textId="77777777" w:rsidR="00472547" w:rsidRPr="00472547" w:rsidRDefault="00472547" w:rsidP="004725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0"/>
        <w:ind w:left="10" w:hanging="10"/>
        <w:rPr>
          <w:rFonts w:ascii="Arial" w:eastAsia="Times New Roman" w:hAnsi="Arial" w:cs="Arial"/>
          <w:sz w:val="20"/>
          <w:szCs w:val="20"/>
          <w:lang w:val="pt-PT"/>
        </w:rPr>
      </w:pPr>
      <w:r w:rsidRPr="00472547">
        <w:rPr>
          <w:rFonts w:ascii="Arial" w:eastAsia="Times New Roman" w:hAnsi="Arial" w:cs="Arial"/>
          <w:sz w:val="20"/>
          <w:szCs w:val="20"/>
          <w:lang w:val="pt-PT"/>
        </w:rPr>
        <w:t>Assim que uma reclamação for recebida, ela deve ser registada no livro de registo de reclamações ou na base de dados de reclamações.</w:t>
      </w:r>
    </w:p>
    <w:p w14:paraId="395F5226" w14:textId="77777777" w:rsidR="00472547" w:rsidRPr="00472547" w:rsidRDefault="00472547" w:rsidP="004725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left="10" w:hanging="10"/>
        <w:rPr>
          <w:rFonts w:ascii="Arial" w:eastAsia="Times New Roman" w:hAnsi="Arial" w:cs="Arial"/>
          <w:sz w:val="20"/>
          <w:szCs w:val="20"/>
          <w:lang w:val="pt-PT"/>
        </w:rPr>
      </w:pPr>
    </w:p>
    <w:p w14:paraId="18DF47DC" w14:textId="77777777" w:rsidR="00472547" w:rsidRPr="00472547" w:rsidRDefault="00472547" w:rsidP="00472547">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59" w:lineRule="auto"/>
        <w:contextualSpacing/>
        <w:jc w:val="left"/>
        <w:rPr>
          <w:rFonts w:ascii="Arial" w:eastAsia="Times New Roman" w:hAnsi="Arial" w:cs="Arial"/>
          <w:sz w:val="20"/>
          <w:szCs w:val="20"/>
          <w:lang w:val="pt-PT"/>
        </w:rPr>
      </w:pPr>
      <w:r w:rsidRPr="00472547">
        <w:rPr>
          <w:rFonts w:ascii="Arial" w:eastAsia="Times New Roman" w:hAnsi="Arial" w:cs="Arial"/>
          <w:b/>
          <w:bCs/>
          <w:sz w:val="20"/>
          <w:szCs w:val="20"/>
          <w:lang w:val="pt-PT"/>
        </w:rPr>
        <w:t>Etapa 2</w:t>
      </w:r>
      <w:r w:rsidRPr="00472547">
        <w:rPr>
          <w:rFonts w:ascii="Arial" w:eastAsia="Times New Roman" w:hAnsi="Arial" w:cs="Arial"/>
          <w:sz w:val="20"/>
          <w:szCs w:val="20"/>
          <w:lang w:val="pt-PT"/>
        </w:rPr>
        <w:t>: Confirme o recebimento da reclamação, avalie sua complexidade e atribua a pessoa responsável por tratar a reclamação</w:t>
      </w:r>
      <w:r w:rsidRPr="00472547">
        <w:rPr>
          <w:rFonts w:ascii="Arial" w:eastAsia="Times New Roman" w:hAnsi="Arial" w:cs="Arial"/>
          <w:sz w:val="20"/>
          <w:szCs w:val="20"/>
          <w:vertAlign w:val="superscript"/>
          <w:lang w:val="pt-PT"/>
        </w:rPr>
        <w:footnoteReference w:id="51"/>
      </w:r>
      <w:r w:rsidRPr="00472547">
        <w:rPr>
          <w:rFonts w:ascii="Arial" w:eastAsia="Times New Roman" w:hAnsi="Arial" w:cs="Arial"/>
          <w:sz w:val="20"/>
          <w:szCs w:val="20"/>
          <w:lang w:val="pt-PT"/>
        </w:rPr>
        <w:t>.</w:t>
      </w:r>
    </w:p>
    <w:p w14:paraId="48D48469" w14:textId="77777777" w:rsidR="00472547" w:rsidRPr="00472547" w:rsidRDefault="00472547" w:rsidP="00472547">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59" w:lineRule="auto"/>
        <w:contextualSpacing/>
        <w:jc w:val="left"/>
        <w:rPr>
          <w:rFonts w:ascii="Arial" w:eastAsia="Times New Roman" w:hAnsi="Arial" w:cs="Arial"/>
          <w:sz w:val="20"/>
          <w:szCs w:val="20"/>
          <w:lang w:val="pt-PT"/>
        </w:rPr>
      </w:pPr>
      <w:r w:rsidRPr="00472547">
        <w:rPr>
          <w:rFonts w:ascii="Arial" w:eastAsia="Times New Roman" w:hAnsi="Arial" w:cs="Arial"/>
          <w:b/>
          <w:bCs/>
          <w:sz w:val="20"/>
          <w:szCs w:val="20"/>
          <w:lang w:val="pt-PT"/>
        </w:rPr>
        <w:t>Etapa 3</w:t>
      </w:r>
      <w:r w:rsidRPr="00472547">
        <w:rPr>
          <w:rFonts w:ascii="Arial" w:eastAsia="Times New Roman" w:hAnsi="Arial" w:cs="Arial"/>
          <w:sz w:val="20"/>
          <w:szCs w:val="20"/>
          <w:lang w:val="pt-PT"/>
        </w:rPr>
        <w:t>: Desenvolver e propor uma resolução e obter aprovação ao nível do subprojecto (comités de gestão de reclamações – CGR - devem ser estabelecidos nesses níveis).</w:t>
      </w:r>
    </w:p>
    <w:p w14:paraId="1BE8808C" w14:textId="77777777" w:rsidR="00472547" w:rsidRPr="00472547" w:rsidRDefault="00472547" w:rsidP="00472547">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59" w:lineRule="auto"/>
        <w:contextualSpacing/>
        <w:jc w:val="left"/>
        <w:rPr>
          <w:rFonts w:ascii="Arial" w:eastAsia="Times New Roman" w:hAnsi="Arial" w:cs="Arial"/>
          <w:sz w:val="20"/>
          <w:szCs w:val="20"/>
          <w:lang w:val="pt-PT"/>
        </w:rPr>
      </w:pPr>
      <w:r w:rsidRPr="00472547">
        <w:rPr>
          <w:rFonts w:ascii="Arial" w:eastAsia="Times New Roman" w:hAnsi="Arial" w:cs="Arial"/>
          <w:b/>
          <w:bCs/>
          <w:sz w:val="20"/>
          <w:szCs w:val="20"/>
          <w:lang w:val="pt-PT"/>
        </w:rPr>
        <w:t>Etapa 4</w:t>
      </w:r>
      <w:r w:rsidRPr="00472547">
        <w:rPr>
          <w:rFonts w:ascii="Arial" w:eastAsia="Times New Roman" w:hAnsi="Arial" w:cs="Arial"/>
          <w:sz w:val="20"/>
          <w:szCs w:val="20"/>
          <w:lang w:val="pt-PT"/>
        </w:rPr>
        <w:t>: Comunique a proposta da solução ao reclamante e busque um acordo sobre a resposta.</w:t>
      </w:r>
    </w:p>
    <w:p w14:paraId="41982A84" w14:textId="77777777" w:rsidR="00472547" w:rsidRPr="00472547" w:rsidRDefault="00472547" w:rsidP="00472547">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59" w:lineRule="auto"/>
        <w:contextualSpacing/>
        <w:jc w:val="left"/>
        <w:rPr>
          <w:rFonts w:ascii="Arial" w:eastAsia="Times New Roman" w:hAnsi="Arial" w:cs="Arial"/>
          <w:sz w:val="20"/>
          <w:szCs w:val="20"/>
          <w:lang w:val="pt-PT"/>
        </w:rPr>
      </w:pPr>
      <w:r w:rsidRPr="00472547">
        <w:rPr>
          <w:rFonts w:ascii="Arial" w:eastAsia="Times New Roman" w:hAnsi="Arial" w:cs="Arial"/>
          <w:b/>
          <w:bCs/>
          <w:sz w:val="20"/>
          <w:szCs w:val="20"/>
          <w:lang w:val="pt-PT"/>
        </w:rPr>
        <w:t>Etapa 5</w:t>
      </w:r>
      <w:r w:rsidRPr="00472547">
        <w:rPr>
          <w:rFonts w:ascii="Arial" w:eastAsia="Times New Roman" w:hAnsi="Arial" w:cs="Arial"/>
          <w:sz w:val="20"/>
          <w:szCs w:val="20"/>
          <w:lang w:val="pt-PT"/>
        </w:rPr>
        <w:t>: Implementar a resposta para resolver a reclamação com base no acordo alcançado na etapa anterior.</w:t>
      </w:r>
    </w:p>
    <w:p w14:paraId="05A3D183" w14:textId="77777777" w:rsidR="00472547" w:rsidRPr="00472547" w:rsidRDefault="00472547" w:rsidP="00472547">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59" w:lineRule="auto"/>
        <w:contextualSpacing/>
        <w:jc w:val="left"/>
        <w:rPr>
          <w:rFonts w:ascii="Arial" w:eastAsia="Times New Roman" w:hAnsi="Arial" w:cs="Arial"/>
          <w:sz w:val="20"/>
          <w:szCs w:val="20"/>
          <w:lang w:val="pt-PT"/>
        </w:rPr>
      </w:pPr>
      <w:r w:rsidRPr="00472547">
        <w:rPr>
          <w:rFonts w:ascii="Arial" w:eastAsia="Times New Roman" w:hAnsi="Arial" w:cs="Arial"/>
          <w:b/>
          <w:bCs/>
          <w:sz w:val="20"/>
          <w:szCs w:val="20"/>
          <w:lang w:val="pt-PT"/>
        </w:rPr>
        <w:t>Etapa 6:</w:t>
      </w:r>
      <w:r w:rsidRPr="00472547">
        <w:rPr>
          <w:rFonts w:ascii="Arial" w:eastAsia="Times New Roman" w:hAnsi="Arial" w:cs="Arial"/>
          <w:sz w:val="20"/>
          <w:szCs w:val="20"/>
          <w:lang w:val="pt-PT"/>
        </w:rPr>
        <w:t xml:space="preserve"> Rever a solução, caso não tido sucesso de acordo com as recomendações.</w:t>
      </w:r>
    </w:p>
    <w:p w14:paraId="78A953F8" w14:textId="77777777" w:rsidR="00472547" w:rsidRPr="00472547" w:rsidRDefault="00472547" w:rsidP="00472547">
      <w:pPr>
        <w:numPr>
          <w:ilvl w:val="0"/>
          <w:numId w:val="1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59" w:lineRule="auto"/>
        <w:contextualSpacing/>
        <w:jc w:val="left"/>
        <w:rPr>
          <w:rFonts w:ascii="Arial" w:eastAsia="Times New Roman" w:hAnsi="Arial" w:cs="Arial"/>
          <w:sz w:val="20"/>
          <w:szCs w:val="20"/>
          <w:lang w:val="pt-PT"/>
        </w:rPr>
      </w:pPr>
      <w:r w:rsidRPr="00472547">
        <w:rPr>
          <w:rFonts w:ascii="Arial" w:eastAsia="Times New Roman" w:hAnsi="Arial" w:cs="Arial"/>
          <w:b/>
          <w:bCs/>
          <w:sz w:val="20"/>
          <w:szCs w:val="20"/>
          <w:lang w:val="pt-PT"/>
        </w:rPr>
        <w:t>Etapa 7</w:t>
      </w:r>
      <w:r w:rsidRPr="00472547">
        <w:rPr>
          <w:rFonts w:ascii="Arial" w:eastAsia="Times New Roman" w:hAnsi="Arial" w:cs="Arial"/>
          <w:sz w:val="20"/>
          <w:szCs w:val="20"/>
          <w:lang w:val="pt-PT"/>
        </w:rPr>
        <w:t xml:space="preserve">: encerrar a queixa se tudo estiver acordado ou encaminhe a reclamação para o próximo nível caso não haja acordo. </w:t>
      </w:r>
    </w:p>
    <w:p w14:paraId="130758F1" w14:textId="77777777" w:rsidR="00472547" w:rsidRPr="00472547" w:rsidRDefault="00472547" w:rsidP="004725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0"/>
        <w:ind w:left="720"/>
        <w:rPr>
          <w:rFonts w:ascii="Arial" w:eastAsia="Times New Roman" w:hAnsi="Arial" w:cs="Arial"/>
          <w:sz w:val="20"/>
          <w:szCs w:val="20"/>
          <w:lang w:val="pt-PT"/>
        </w:rPr>
      </w:pPr>
    </w:p>
    <w:p w14:paraId="1BEBD52B" w14:textId="77777777" w:rsidR="00472547" w:rsidRPr="00472547" w:rsidRDefault="00472547" w:rsidP="004725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rPr>
          <w:rFonts w:ascii="Arial" w:eastAsia="Times New Roman" w:hAnsi="Arial" w:cs="Arial"/>
          <w:sz w:val="20"/>
          <w:szCs w:val="20"/>
          <w:lang w:val="pt-PT"/>
        </w:rPr>
      </w:pPr>
      <w:r w:rsidRPr="00472547">
        <w:rPr>
          <w:rFonts w:ascii="Arial" w:eastAsia="Times New Roman" w:hAnsi="Arial" w:cs="Arial"/>
          <w:sz w:val="20"/>
          <w:szCs w:val="20"/>
          <w:lang w:val="pt-PT"/>
        </w:rPr>
        <w:t xml:space="preserve">Uma vez que todas as possíveis reparações tenham sido propostas, se o reclamante ainda não estiver satisfeito, ele deverá ser informado do seu direito ao recurso legal. A </w:t>
      </w:r>
      <w:r w:rsidRPr="00472547">
        <w:rPr>
          <w:rFonts w:ascii="Arial" w:eastAsia="Times New Roman" w:hAnsi="Arial" w:cs="Arial"/>
          <w:sz w:val="20"/>
          <w:szCs w:val="20"/>
          <w:lang w:val="pt-PT"/>
        </w:rPr>
        <w:fldChar w:fldCharType="begin"/>
      </w:r>
      <w:r w:rsidRPr="00472547">
        <w:rPr>
          <w:rFonts w:ascii="Arial" w:eastAsia="Times New Roman" w:hAnsi="Arial" w:cs="Arial"/>
          <w:sz w:val="20"/>
          <w:szCs w:val="20"/>
          <w:lang w:val="pt-PT"/>
        </w:rPr>
        <w:instrText xml:space="preserve"> REF _Ref64875870 \h  \* MERGEFORMAT </w:instrText>
      </w:r>
      <w:r w:rsidRPr="00472547">
        <w:rPr>
          <w:rFonts w:ascii="Arial" w:eastAsia="Times New Roman" w:hAnsi="Arial" w:cs="Arial"/>
          <w:sz w:val="20"/>
          <w:szCs w:val="20"/>
          <w:lang w:val="pt-PT"/>
        </w:rPr>
      </w:r>
      <w:r w:rsidRPr="00472547">
        <w:rPr>
          <w:rFonts w:ascii="Arial" w:eastAsia="Times New Roman" w:hAnsi="Arial" w:cs="Arial"/>
          <w:sz w:val="20"/>
          <w:szCs w:val="20"/>
          <w:lang w:val="pt-PT"/>
        </w:rPr>
        <w:fldChar w:fldCharType="separate"/>
      </w:r>
      <w:r w:rsidRPr="00472547">
        <w:rPr>
          <w:rFonts w:ascii="Arial" w:eastAsia="Calibri" w:hAnsi="Arial" w:cs="Times New Roman"/>
          <w:bCs/>
          <w:color w:val="5B9BD5"/>
          <w:sz w:val="20"/>
          <w:szCs w:val="20"/>
          <w:lang w:val="pt-PT"/>
        </w:rPr>
        <w:t xml:space="preserve">Figura </w:t>
      </w:r>
      <w:r w:rsidRPr="00472547">
        <w:rPr>
          <w:rFonts w:ascii="Arial" w:eastAsia="Calibri" w:hAnsi="Arial" w:cs="Times New Roman"/>
          <w:bCs/>
          <w:noProof/>
          <w:color w:val="5B9BD5"/>
          <w:sz w:val="20"/>
          <w:szCs w:val="20"/>
          <w:lang w:val="pt-PT"/>
        </w:rPr>
        <w:t>2</w:t>
      </w:r>
      <w:r w:rsidRPr="00472547">
        <w:rPr>
          <w:rFonts w:ascii="Arial" w:eastAsia="Times New Roman" w:hAnsi="Arial" w:cs="Arial"/>
          <w:sz w:val="20"/>
          <w:szCs w:val="20"/>
          <w:lang w:val="pt-PT"/>
        </w:rPr>
        <w:fldChar w:fldCharType="end"/>
      </w:r>
      <w:r w:rsidRPr="00472547">
        <w:rPr>
          <w:rFonts w:ascii="Arial" w:eastAsia="Times New Roman" w:hAnsi="Arial" w:cs="Arial"/>
          <w:sz w:val="20"/>
          <w:szCs w:val="20"/>
          <w:lang w:val="pt-PT"/>
        </w:rPr>
        <w:t xml:space="preserve"> resume o processo do MGR e os níveis de recorrência que o queixoso tem direito.</w:t>
      </w:r>
    </w:p>
    <w:p w14:paraId="415D8E44" w14:textId="77777777" w:rsidR="00472547" w:rsidRPr="00472547" w:rsidRDefault="00472547" w:rsidP="00472547">
      <w:pPr>
        <w:spacing w:before="0" w:after="0" w:line="259" w:lineRule="auto"/>
        <w:rPr>
          <w:rFonts w:ascii="Arial" w:eastAsia="Calibri" w:hAnsi="Arial" w:cs="Arial"/>
          <w:sz w:val="20"/>
          <w:szCs w:val="20"/>
          <w:lang w:val="pt-PT"/>
        </w:rPr>
      </w:pPr>
    </w:p>
    <w:p w14:paraId="3D2790A8" w14:textId="77777777" w:rsidR="00472547" w:rsidRPr="00472547" w:rsidRDefault="00472547" w:rsidP="00472547">
      <w:pPr>
        <w:spacing w:before="0" w:line="259" w:lineRule="auto"/>
        <w:rPr>
          <w:rFonts w:ascii="Arial" w:eastAsia="Calibri" w:hAnsi="Arial" w:cs="Arial"/>
          <w:b/>
          <w:color w:val="000000"/>
          <w:sz w:val="20"/>
          <w:szCs w:val="20"/>
          <w:lang w:val="pt-PT"/>
        </w:rPr>
      </w:pPr>
      <w:r w:rsidRPr="00472547">
        <w:rPr>
          <w:rFonts w:ascii="Arial" w:eastAsia="Calibri" w:hAnsi="Arial" w:cs="Arial"/>
          <w:b/>
          <w:color w:val="000000"/>
          <w:sz w:val="20"/>
          <w:szCs w:val="20"/>
          <w:lang w:val="pt-PT"/>
        </w:rPr>
        <w:t>Tempo de Resposta:</w:t>
      </w:r>
    </w:p>
    <w:p w14:paraId="31E56196" w14:textId="77777777" w:rsidR="00472547" w:rsidRPr="00472547" w:rsidRDefault="00472547" w:rsidP="004725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ind w:left="10" w:hanging="10"/>
        <w:rPr>
          <w:rFonts w:ascii="Arial" w:eastAsia="Times New Roman" w:hAnsi="Arial" w:cs="Arial"/>
          <w:sz w:val="20"/>
          <w:szCs w:val="20"/>
          <w:lang w:val="pt-PT"/>
        </w:rPr>
      </w:pPr>
      <w:r w:rsidRPr="00472547">
        <w:rPr>
          <w:rFonts w:ascii="Arial" w:eastAsia="Times New Roman" w:hAnsi="Arial" w:cs="Arial"/>
          <w:sz w:val="20"/>
          <w:szCs w:val="20"/>
          <w:lang w:val="pt-PT"/>
        </w:rPr>
        <w:t xml:space="preserve">A reclamação deve ser registada na base de dados de reclamações da UIP, como primeira </w:t>
      </w:r>
      <w:proofErr w:type="spellStart"/>
      <w:r w:rsidRPr="00472547">
        <w:rPr>
          <w:rFonts w:ascii="Arial" w:eastAsia="Times New Roman" w:hAnsi="Arial" w:cs="Arial"/>
          <w:sz w:val="20"/>
          <w:szCs w:val="20"/>
          <w:lang w:val="pt-PT"/>
        </w:rPr>
        <w:t>acção</w:t>
      </w:r>
      <w:proofErr w:type="spellEnd"/>
      <w:r w:rsidRPr="00472547">
        <w:rPr>
          <w:rFonts w:ascii="Arial" w:eastAsia="Times New Roman" w:hAnsi="Arial" w:cs="Arial"/>
          <w:sz w:val="20"/>
          <w:szCs w:val="20"/>
          <w:lang w:val="pt-PT"/>
        </w:rPr>
        <w:t xml:space="preserve"> imediatamente logo após a notificação (se o sistema online estiver em funcionamento), ou dentro de 2 dias (se por outro meio de captação) após a reclamação ter sido levantada. O subprojecto responsável pela reclamação deverá se esforçar para apresentar uma solução em 5 dias. Caso contrário, as seguintes etapas devem ser seguidas:</w:t>
      </w:r>
    </w:p>
    <w:p w14:paraId="47DD8831" w14:textId="77777777" w:rsidR="00472547" w:rsidRPr="00472547" w:rsidRDefault="00472547" w:rsidP="00472547">
      <w:pPr>
        <w:numPr>
          <w:ilvl w:val="0"/>
          <w:numId w:val="25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59" w:lineRule="auto"/>
        <w:jc w:val="left"/>
        <w:rPr>
          <w:rFonts w:ascii="Arial" w:eastAsia="Times New Roman" w:hAnsi="Arial" w:cs="Arial"/>
          <w:sz w:val="20"/>
          <w:szCs w:val="20"/>
          <w:lang w:val="pt-PT"/>
        </w:rPr>
      </w:pPr>
      <w:r w:rsidRPr="00472547">
        <w:rPr>
          <w:rFonts w:ascii="Arial" w:eastAsia="Times New Roman" w:hAnsi="Arial" w:cs="Arial"/>
          <w:sz w:val="20"/>
          <w:szCs w:val="20"/>
          <w:lang w:val="pt-PT"/>
        </w:rPr>
        <w:t xml:space="preserve"> </w:t>
      </w:r>
      <w:r w:rsidRPr="00472547">
        <w:rPr>
          <w:rFonts w:ascii="Arial" w:eastAsia="Times New Roman" w:hAnsi="Arial" w:cs="Arial"/>
          <w:sz w:val="20"/>
          <w:szCs w:val="20"/>
          <w:lang w:val="pt-PT"/>
        </w:rPr>
        <w:tab/>
        <w:t>O primeiro nível de recurso - intervenção da UT Distrital não deve exceder 10 dias após a notificação.</w:t>
      </w:r>
    </w:p>
    <w:p w14:paraId="18BE8B55" w14:textId="77777777" w:rsidR="00472547" w:rsidRPr="00472547" w:rsidRDefault="00472547" w:rsidP="00472547">
      <w:pPr>
        <w:numPr>
          <w:ilvl w:val="0"/>
          <w:numId w:val="25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59" w:lineRule="auto"/>
        <w:jc w:val="left"/>
        <w:rPr>
          <w:rFonts w:ascii="Arial" w:eastAsia="Times New Roman" w:hAnsi="Arial" w:cs="Arial"/>
          <w:sz w:val="20"/>
          <w:szCs w:val="20"/>
          <w:lang w:val="pt-PT"/>
        </w:rPr>
      </w:pPr>
      <w:r w:rsidRPr="00472547">
        <w:rPr>
          <w:rFonts w:ascii="Arial" w:eastAsia="Times New Roman" w:hAnsi="Arial" w:cs="Arial"/>
          <w:sz w:val="20"/>
          <w:szCs w:val="20"/>
          <w:lang w:val="pt-PT"/>
        </w:rPr>
        <w:t>A segunda instância de recurso - intervenção do UT Provincial não deve exceder 15 dias após a notificação.</w:t>
      </w:r>
    </w:p>
    <w:p w14:paraId="60F3F2F3" w14:textId="77777777" w:rsidR="00472547" w:rsidRPr="00472547" w:rsidRDefault="00472547" w:rsidP="00472547">
      <w:pPr>
        <w:numPr>
          <w:ilvl w:val="0"/>
          <w:numId w:val="25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59" w:lineRule="auto"/>
        <w:jc w:val="left"/>
        <w:rPr>
          <w:rFonts w:ascii="Arial" w:eastAsia="Times New Roman" w:hAnsi="Arial" w:cs="Arial"/>
          <w:sz w:val="20"/>
          <w:szCs w:val="20"/>
          <w:lang w:val="pt-PT"/>
        </w:rPr>
      </w:pPr>
      <w:r w:rsidRPr="00472547">
        <w:rPr>
          <w:rFonts w:ascii="Arial" w:eastAsia="Times New Roman" w:hAnsi="Arial" w:cs="Arial"/>
          <w:sz w:val="20"/>
          <w:szCs w:val="20"/>
          <w:lang w:val="pt-PT"/>
        </w:rPr>
        <w:t xml:space="preserve">O terceiro nível de recurso – UIP central não deve exceder 21 dias após a notificação. </w:t>
      </w:r>
    </w:p>
    <w:p w14:paraId="09BC4187" w14:textId="77777777" w:rsidR="00472547" w:rsidRPr="00472547" w:rsidRDefault="00472547" w:rsidP="00472547">
      <w:pPr>
        <w:numPr>
          <w:ilvl w:val="0"/>
          <w:numId w:val="25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59" w:lineRule="auto"/>
        <w:jc w:val="left"/>
        <w:rPr>
          <w:rFonts w:ascii="Arial" w:eastAsia="Times New Roman" w:hAnsi="Arial" w:cs="Arial"/>
          <w:sz w:val="20"/>
          <w:szCs w:val="20"/>
          <w:lang w:val="pt-PT"/>
        </w:rPr>
      </w:pPr>
      <w:r w:rsidRPr="00472547">
        <w:rPr>
          <w:rFonts w:ascii="Arial" w:eastAsia="Times New Roman" w:hAnsi="Arial" w:cs="Arial"/>
          <w:sz w:val="20"/>
          <w:szCs w:val="20"/>
          <w:lang w:val="pt-PT"/>
        </w:rPr>
        <w:t xml:space="preserve">Além disso, caso uma das partes esteja insatisfeita, a parte </w:t>
      </w:r>
      <w:proofErr w:type="spellStart"/>
      <w:r w:rsidRPr="00472547">
        <w:rPr>
          <w:rFonts w:ascii="Arial" w:eastAsia="Times New Roman" w:hAnsi="Arial" w:cs="Arial"/>
          <w:sz w:val="20"/>
          <w:szCs w:val="20"/>
          <w:lang w:val="pt-PT"/>
        </w:rPr>
        <w:t>afectada</w:t>
      </w:r>
      <w:proofErr w:type="spellEnd"/>
      <w:r w:rsidRPr="00472547">
        <w:rPr>
          <w:rFonts w:ascii="Arial" w:eastAsia="Times New Roman" w:hAnsi="Arial" w:cs="Arial"/>
          <w:sz w:val="20"/>
          <w:szCs w:val="20"/>
          <w:lang w:val="pt-PT"/>
        </w:rPr>
        <w:t xml:space="preserve"> pode levar a reclamação a tribunal, onde será tratada de acordo com a lei moçambicana.</w:t>
      </w:r>
    </w:p>
    <w:p w14:paraId="162A8514" w14:textId="77777777" w:rsidR="00472547" w:rsidRPr="00472547" w:rsidRDefault="00472547" w:rsidP="004725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left="10" w:hanging="10"/>
        <w:rPr>
          <w:rFonts w:ascii="Arial" w:eastAsia="Times New Roman" w:hAnsi="Arial" w:cs="Arial"/>
          <w:sz w:val="20"/>
          <w:szCs w:val="20"/>
          <w:lang w:val="pt-PT"/>
        </w:rPr>
      </w:pPr>
    </w:p>
    <w:p w14:paraId="78400A1B" w14:textId="77777777" w:rsidR="00472547" w:rsidRPr="00472547" w:rsidRDefault="00472547" w:rsidP="004725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ind w:left="10" w:hanging="10"/>
        <w:rPr>
          <w:rFonts w:ascii="Arial" w:eastAsia="Times New Roman" w:hAnsi="Arial" w:cs="Arial"/>
          <w:sz w:val="20"/>
          <w:szCs w:val="20"/>
          <w:lang w:val="pt-PT"/>
        </w:rPr>
      </w:pPr>
      <w:r w:rsidRPr="00472547">
        <w:rPr>
          <w:rFonts w:ascii="Arial" w:eastAsia="Times New Roman" w:hAnsi="Arial" w:cs="Arial"/>
          <w:sz w:val="20"/>
          <w:szCs w:val="20"/>
          <w:lang w:val="pt-PT"/>
        </w:rPr>
        <w:lastRenderedPageBreak/>
        <w:t xml:space="preserve">A UIP irá garantir que seja criado e mantido um “Registo de Reclamações" centralizado durante todo o ciclo de vida do </w:t>
      </w:r>
      <w:proofErr w:type="spellStart"/>
      <w:r w:rsidRPr="00472547">
        <w:rPr>
          <w:rFonts w:ascii="Arial" w:eastAsia="Times New Roman" w:hAnsi="Arial" w:cs="Arial"/>
          <w:sz w:val="20"/>
          <w:szCs w:val="20"/>
          <w:lang w:val="pt-PT"/>
        </w:rPr>
        <w:t>projecto</w:t>
      </w:r>
      <w:proofErr w:type="spellEnd"/>
      <w:r w:rsidRPr="00472547">
        <w:rPr>
          <w:rFonts w:ascii="Arial" w:eastAsia="Times New Roman" w:hAnsi="Arial" w:cs="Arial"/>
          <w:sz w:val="20"/>
          <w:szCs w:val="20"/>
          <w:lang w:val="pt-PT"/>
        </w:rPr>
        <w:t xml:space="preserve">. Os registos da reclamação devem conter: i) os detalhes de contacto do reclamante e informações sobre a reclamação em si, </w:t>
      </w:r>
      <w:proofErr w:type="spellStart"/>
      <w:r w:rsidRPr="00472547">
        <w:rPr>
          <w:rFonts w:ascii="Arial" w:eastAsia="Times New Roman" w:hAnsi="Arial" w:cs="Arial"/>
          <w:sz w:val="20"/>
          <w:szCs w:val="20"/>
          <w:lang w:val="pt-PT"/>
        </w:rPr>
        <w:t>ii</w:t>
      </w:r>
      <w:proofErr w:type="spellEnd"/>
      <w:r w:rsidRPr="00472547">
        <w:rPr>
          <w:rFonts w:ascii="Arial" w:eastAsia="Times New Roman" w:hAnsi="Arial" w:cs="Arial"/>
          <w:sz w:val="20"/>
          <w:szCs w:val="20"/>
          <w:lang w:val="pt-PT"/>
        </w:rPr>
        <w:t xml:space="preserve">) os resultados das investigações e respostas fornecidas, </w:t>
      </w:r>
      <w:proofErr w:type="spellStart"/>
      <w:r w:rsidRPr="00472547">
        <w:rPr>
          <w:rFonts w:ascii="Arial" w:eastAsia="Times New Roman" w:hAnsi="Arial" w:cs="Arial"/>
          <w:sz w:val="20"/>
          <w:szCs w:val="20"/>
          <w:lang w:val="pt-PT"/>
        </w:rPr>
        <w:t>iii</w:t>
      </w:r>
      <w:proofErr w:type="spellEnd"/>
      <w:r w:rsidRPr="00472547">
        <w:rPr>
          <w:rFonts w:ascii="Arial" w:eastAsia="Times New Roman" w:hAnsi="Arial" w:cs="Arial"/>
          <w:sz w:val="20"/>
          <w:szCs w:val="20"/>
          <w:lang w:val="pt-PT"/>
        </w:rPr>
        <w:t xml:space="preserve">) </w:t>
      </w:r>
      <w:proofErr w:type="spellStart"/>
      <w:r w:rsidRPr="00472547">
        <w:rPr>
          <w:rFonts w:ascii="Arial" w:eastAsia="Times New Roman" w:hAnsi="Arial" w:cs="Arial"/>
          <w:sz w:val="20"/>
          <w:szCs w:val="20"/>
          <w:lang w:val="pt-PT"/>
        </w:rPr>
        <w:t>acções</w:t>
      </w:r>
      <w:proofErr w:type="spellEnd"/>
      <w:r w:rsidRPr="00472547">
        <w:rPr>
          <w:rFonts w:ascii="Arial" w:eastAsia="Times New Roman" w:hAnsi="Arial" w:cs="Arial"/>
          <w:sz w:val="20"/>
          <w:szCs w:val="20"/>
          <w:lang w:val="pt-PT"/>
        </w:rPr>
        <w:t xml:space="preserve"> de acompanhamento necessárias e comunicações internas feitas em resposta às reclamações e o resultado.</w:t>
      </w:r>
    </w:p>
    <w:p w14:paraId="4BD0B6B4" w14:textId="77777777" w:rsidR="00472547" w:rsidRPr="00472547" w:rsidRDefault="00472547" w:rsidP="00472547">
      <w:pPr>
        <w:spacing w:before="0" w:after="0" w:line="259" w:lineRule="auto"/>
        <w:rPr>
          <w:rFonts w:ascii="Arial" w:eastAsia="Calibri" w:hAnsi="Arial" w:cs="Arial"/>
          <w:sz w:val="20"/>
          <w:szCs w:val="20"/>
          <w:lang w:val="pt-PT"/>
        </w:rPr>
      </w:pPr>
    </w:p>
    <w:p w14:paraId="20FDEBD6" w14:textId="77777777" w:rsidR="00472547" w:rsidRPr="00472547" w:rsidRDefault="00472547" w:rsidP="00472547">
      <w:pPr>
        <w:spacing w:before="0" w:after="0" w:line="259" w:lineRule="auto"/>
        <w:rPr>
          <w:rFonts w:ascii="Arial" w:eastAsia="Calibri" w:hAnsi="Arial" w:cs="Arial"/>
          <w:sz w:val="20"/>
          <w:szCs w:val="20"/>
          <w:lang w:val="pt-PT"/>
        </w:rPr>
      </w:pPr>
      <w:r w:rsidRPr="00472547">
        <w:rPr>
          <w:rFonts w:ascii="Arial" w:eastAsia="Calibri" w:hAnsi="Arial" w:cs="Arial"/>
          <w:noProof/>
          <w:sz w:val="20"/>
          <w:szCs w:val="20"/>
          <w:lang w:val="pt-PT"/>
        </w:rPr>
        <w:drawing>
          <wp:inline distT="0" distB="0" distL="0" distR="0" wp14:anchorId="1EF7660A" wp14:editId="14124888">
            <wp:extent cx="6529070" cy="4846955"/>
            <wp:effectExtent l="0" t="0" r="5080" b="0"/>
            <wp:docPr id="28" name="Picture 2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529070" cy="4846955"/>
                    </a:xfrm>
                    <a:prstGeom prst="rect">
                      <a:avLst/>
                    </a:prstGeom>
                    <a:noFill/>
                  </pic:spPr>
                </pic:pic>
              </a:graphicData>
            </a:graphic>
          </wp:inline>
        </w:drawing>
      </w:r>
    </w:p>
    <w:p w14:paraId="484D3F6B" w14:textId="18C403B1" w:rsidR="00472547" w:rsidRPr="00472547" w:rsidRDefault="00472547" w:rsidP="00472547">
      <w:pPr>
        <w:keepNext/>
        <w:autoSpaceDE w:val="0"/>
        <w:autoSpaceDN w:val="0"/>
        <w:adjustRightInd w:val="0"/>
        <w:spacing w:before="0" w:after="0"/>
        <w:jc w:val="center"/>
        <w:rPr>
          <w:rFonts w:ascii="Arial" w:eastAsia="Calibri" w:hAnsi="Arial" w:cs="Arial"/>
          <w:bCs/>
          <w:color w:val="5B9BD5"/>
          <w:sz w:val="20"/>
          <w:szCs w:val="20"/>
          <w:lang w:val="pt-PT" w:eastAsia="de-DE"/>
        </w:rPr>
      </w:pPr>
      <w:bookmarkStart w:id="1713" w:name="_Ref64875870"/>
      <w:bookmarkStart w:id="1714" w:name="_Toc67648470"/>
      <w:bookmarkStart w:id="1715" w:name="_Toc69125298"/>
      <w:bookmarkStart w:id="1716" w:name="_Toc80347368"/>
      <w:r w:rsidRPr="00472547">
        <w:rPr>
          <w:rFonts w:ascii="Arial" w:eastAsia="Calibri" w:hAnsi="Arial" w:cs="Arial"/>
          <w:bCs/>
          <w:color w:val="5B9BD5"/>
          <w:sz w:val="20"/>
          <w:szCs w:val="20"/>
          <w:lang w:val="pt-PT" w:eastAsia="de-DE"/>
        </w:rPr>
        <w:t>Figura</w:t>
      </w:r>
      <w:bookmarkEnd w:id="1713"/>
      <w:r w:rsidR="008907E4">
        <w:rPr>
          <w:rFonts w:ascii="Arial" w:eastAsia="Calibri" w:hAnsi="Arial" w:cs="Arial"/>
          <w:bCs/>
          <w:color w:val="5B9BD5"/>
          <w:sz w:val="20"/>
          <w:szCs w:val="20"/>
          <w:lang w:val="pt-PT" w:eastAsia="de-DE"/>
        </w:rPr>
        <w:t xml:space="preserve"> </w:t>
      </w:r>
      <w:proofErr w:type="gramStart"/>
      <w:r w:rsidR="008907E4">
        <w:rPr>
          <w:rFonts w:ascii="Arial" w:eastAsia="Calibri" w:hAnsi="Arial" w:cs="Arial"/>
          <w:bCs/>
          <w:color w:val="5B9BD5"/>
          <w:sz w:val="20"/>
          <w:szCs w:val="20"/>
          <w:lang w:val="pt-PT" w:eastAsia="de-DE"/>
        </w:rPr>
        <w:t>1</w:t>
      </w:r>
      <w:r>
        <w:rPr>
          <w:rFonts w:ascii="Arial" w:eastAsia="Calibri" w:hAnsi="Arial" w:cs="Arial"/>
          <w:bCs/>
          <w:color w:val="5B9BD5"/>
          <w:sz w:val="20"/>
          <w:szCs w:val="20"/>
          <w:lang w:val="pt-PT" w:eastAsia="de-DE"/>
        </w:rPr>
        <w:t xml:space="preserve"> </w:t>
      </w:r>
      <w:r w:rsidRPr="00472547">
        <w:rPr>
          <w:rFonts w:ascii="Arial" w:eastAsia="Calibri" w:hAnsi="Arial" w:cs="Arial"/>
          <w:bCs/>
          <w:color w:val="5B9BD5"/>
          <w:sz w:val="20"/>
          <w:szCs w:val="20"/>
          <w:lang w:val="pt-PT" w:eastAsia="de-DE"/>
        </w:rPr>
        <w:t>.</w:t>
      </w:r>
      <w:proofErr w:type="gramEnd"/>
      <w:r w:rsidRPr="00472547">
        <w:rPr>
          <w:rFonts w:ascii="Arial" w:eastAsia="Calibri" w:hAnsi="Arial" w:cs="Arial"/>
          <w:bCs/>
          <w:color w:val="5B9BD5"/>
          <w:sz w:val="20"/>
          <w:szCs w:val="20"/>
          <w:lang w:val="pt-PT" w:eastAsia="de-DE"/>
        </w:rPr>
        <w:t xml:space="preserve"> Resumo do processo de resolução de queixas e o </w:t>
      </w:r>
      <w:bookmarkStart w:id="1717" w:name="_Hlk64913370"/>
      <w:r w:rsidRPr="00472547">
        <w:rPr>
          <w:rFonts w:ascii="Arial" w:eastAsia="Calibri" w:hAnsi="Arial" w:cs="Arial"/>
          <w:bCs/>
          <w:color w:val="5B9BD5"/>
          <w:sz w:val="20"/>
          <w:szCs w:val="20"/>
          <w:lang w:val="pt-PT" w:eastAsia="de-DE"/>
        </w:rPr>
        <w:t>processo relacionado a VBG destacado</w:t>
      </w:r>
      <w:bookmarkEnd w:id="1714"/>
      <w:bookmarkEnd w:id="1715"/>
      <w:bookmarkEnd w:id="1716"/>
      <w:bookmarkEnd w:id="1717"/>
    </w:p>
    <w:p w14:paraId="5686BB12" w14:textId="77777777" w:rsidR="00472547" w:rsidRPr="00472547" w:rsidRDefault="00472547" w:rsidP="00472547">
      <w:pPr>
        <w:tabs>
          <w:tab w:val="center" w:pos="4748"/>
          <w:tab w:val="left" w:pos="6525"/>
        </w:tabs>
        <w:spacing w:before="0" w:line="259" w:lineRule="auto"/>
        <w:jc w:val="left"/>
        <w:rPr>
          <w:rFonts w:ascii="Arial" w:eastAsia="Calibri" w:hAnsi="Arial" w:cs="Arial"/>
          <w:b/>
          <w:sz w:val="20"/>
          <w:szCs w:val="20"/>
          <w:lang w:val="pt-PT"/>
        </w:rPr>
      </w:pPr>
      <w:bookmarkStart w:id="1718" w:name="_Hlk518007865"/>
      <w:r w:rsidRPr="00472547">
        <w:rPr>
          <w:rFonts w:ascii="Arial" w:eastAsia="Calibri" w:hAnsi="Arial" w:cs="Arial"/>
          <w:sz w:val="20"/>
          <w:szCs w:val="20"/>
          <w:lang w:val="pt-PT"/>
        </w:rPr>
        <w:tab/>
      </w:r>
      <w:bookmarkStart w:id="1719" w:name="_Toc484061179"/>
      <w:bookmarkEnd w:id="1718"/>
    </w:p>
    <w:p w14:paraId="09C37B28" w14:textId="77777777" w:rsidR="00472547" w:rsidRPr="00472547" w:rsidRDefault="00472547" w:rsidP="00472547">
      <w:pPr>
        <w:spacing w:before="0" w:line="259" w:lineRule="auto"/>
        <w:rPr>
          <w:rFonts w:ascii="Arial" w:eastAsia="Calibri" w:hAnsi="Arial" w:cs="Times New Roman"/>
          <w:sz w:val="20"/>
          <w:szCs w:val="20"/>
          <w:lang w:val="pt-PT"/>
        </w:rPr>
      </w:pPr>
      <w:r w:rsidRPr="00472547">
        <w:rPr>
          <w:rFonts w:ascii="Arial" w:eastAsia="Calibri" w:hAnsi="Arial" w:cs="Arial"/>
          <w:b/>
          <w:sz w:val="20"/>
          <w:szCs w:val="20"/>
          <w:lang w:val="pt-PT"/>
        </w:rPr>
        <w:t>Gestão de queixas a nível judicial</w:t>
      </w:r>
      <w:bookmarkEnd w:id="1719"/>
      <w:r w:rsidRPr="00472547">
        <w:rPr>
          <w:rFonts w:ascii="Arial" w:eastAsia="Calibri" w:hAnsi="Arial" w:cs="Arial"/>
          <w:b/>
          <w:sz w:val="20"/>
          <w:szCs w:val="20"/>
          <w:lang w:val="pt-PT"/>
        </w:rPr>
        <w:t xml:space="preserve">  </w:t>
      </w:r>
    </w:p>
    <w:p w14:paraId="2B586A4D" w14:textId="7F122F54" w:rsidR="00472547" w:rsidRDefault="00472547" w:rsidP="00472547">
      <w:pPr>
        <w:spacing w:before="120" w:after="0"/>
        <w:rPr>
          <w:rFonts w:ascii="Arial" w:eastAsia="Calibri" w:hAnsi="Arial" w:cs="Arial"/>
          <w:sz w:val="20"/>
          <w:szCs w:val="20"/>
          <w:lang w:val="pt-PT"/>
        </w:rPr>
      </w:pPr>
      <w:r w:rsidRPr="00472547">
        <w:rPr>
          <w:rFonts w:ascii="Arial" w:eastAsia="Calibri" w:hAnsi="Arial" w:cs="Arial"/>
          <w:sz w:val="20"/>
          <w:szCs w:val="20"/>
          <w:lang w:val="pt-PT"/>
        </w:rPr>
        <w:t xml:space="preserve">No processo de gestão de queixas e reclamações, os queixosos e /ou reclamantes, podem aceder o nível judicial para apresentação e alcance de soluções das suas inquietações. A qualquer momento, o queixoso e/ou reclamante pode levar as questões às autoridades legais ou judiciais competentes, de acordo com o quadro legal da República de Moçambique. </w:t>
      </w:r>
    </w:p>
    <w:p w14:paraId="77AEB687" w14:textId="049D538E" w:rsidR="00472547" w:rsidRDefault="00472547" w:rsidP="00472547">
      <w:pPr>
        <w:spacing w:before="120" w:after="0"/>
        <w:rPr>
          <w:rFonts w:ascii="Arial" w:eastAsia="Calibri" w:hAnsi="Arial" w:cs="Arial"/>
          <w:sz w:val="20"/>
          <w:szCs w:val="20"/>
          <w:lang w:val="pt-PT"/>
        </w:rPr>
      </w:pPr>
    </w:p>
    <w:p w14:paraId="229B2177" w14:textId="345F9285" w:rsidR="00472547" w:rsidRDefault="00472547" w:rsidP="00472547">
      <w:pPr>
        <w:spacing w:before="120" w:after="0"/>
        <w:rPr>
          <w:rFonts w:ascii="Arial" w:eastAsia="Calibri" w:hAnsi="Arial" w:cs="Arial"/>
          <w:sz w:val="20"/>
          <w:szCs w:val="20"/>
          <w:lang w:val="pt-PT"/>
        </w:rPr>
      </w:pPr>
    </w:p>
    <w:p w14:paraId="5184CC4F" w14:textId="6E9EE44A" w:rsidR="00472547" w:rsidRDefault="00472547" w:rsidP="00472547">
      <w:pPr>
        <w:spacing w:before="120" w:after="0"/>
        <w:rPr>
          <w:rFonts w:ascii="Arial" w:eastAsia="Calibri" w:hAnsi="Arial" w:cs="Arial"/>
          <w:sz w:val="20"/>
          <w:szCs w:val="20"/>
          <w:lang w:val="pt-PT"/>
        </w:rPr>
      </w:pPr>
    </w:p>
    <w:p w14:paraId="60A8D2CF" w14:textId="47AC26A4" w:rsidR="00472547" w:rsidRDefault="00472547" w:rsidP="00472547">
      <w:pPr>
        <w:spacing w:before="120" w:after="0"/>
        <w:rPr>
          <w:rFonts w:ascii="Arial" w:eastAsia="Calibri" w:hAnsi="Arial" w:cs="Arial"/>
          <w:sz w:val="20"/>
          <w:szCs w:val="20"/>
          <w:lang w:val="pt-PT"/>
        </w:rPr>
      </w:pPr>
    </w:p>
    <w:p w14:paraId="32533A72" w14:textId="77777777" w:rsidR="00472547" w:rsidRPr="00472547" w:rsidRDefault="00472547" w:rsidP="00472547">
      <w:pPr>
        <w:spacing w:before="120" w:after="0"/>
        <w:rPr>
          <w:rFonts w:ascii="Arial" w:eastAsia="Calibri" w:hAnsi="Arial" w:cs="Arial"/>
          <w:sz w:val="20"/>
          <w:szCs w:val="20"/>
          <w:lang w:val="pt-PT"/>
        </w:rPr>
      </w:pPr>
    </w:p>
    <w:p w14:paraId="79F2CB5C" w14:textId="77777777" w:rsidR="00472547" w:rsidRPr="00472547" w:rsidRDefault="00472547" w:rsidP="00472547">
      <w:pPr>
        <w:spacing w:before="0" w:after="0"/>
        <w:rPr>
          <w:rFonts w:ascii="Arial" w:eastAsia="Calibri" w:hAnsi="Arial" w:cs="Arial"/>
          <w:sz w:val="20"/>
          <w:szCs w:val="20"/>
          <w:lang w:val="pt-PT"/>
        </w:rPr>
      </w:pPr>
    </w:p>
    <w:p w14:paraId="72707BE2" w14:textId="77777777" w:rsidR="00472547" w:rsidRPr="00472547" w:rsidRDefault="00472547" w:rsidP="00472547">
      <w:pPr>
        <w:spacing w:before="0" w:line="259" w:lineRule="auto"/>
        <w:rPr>
          <w:rFonts w:ascii="Arial" w:eastAsia="Calibri" w:hAnsi="Arial" w:cs="Arial"/>
          <w:b/>
          <w:sz w:val="20"/>
          <w:szCs w:val="20"/>
          <w:lang w:val="pt-PT"/>
        </w:rPr>
      </w:pPr>
      <w:bookmarkStart w:id="1720" w:name="_Toc484061180"/>
      <w:r w:rsidRPr="00472547">
        <w:rPr>
          <w:rFonts w:ascii="Arial" w:eastAsia="Calibri" w:hAnsi="Arial" w:cs="Arial"/>
          <w:b/>
          <w:sz w:val="20"/>
          <w:szCs w:val="20"/>
          <w:lang w:val="pt-PT"/>
        </w:rPr>
        <w:t>Queixas relacionadas a VBG</w:t>
      </w:r>
      <w:bookmarkEnd w:id="1720"/>
    </w:p>
    <w:p w14:paraId="604D89DB" w14:textId="77777777" w:rsidR="00472547" w:rsidRPr="00472547" w:rsidRDefault="00472547" w:rsidP="00472547">
      <w:pPr>
        <w:spacing w:before="0"/>
        <w:rPr>
          <w:rFonts w:ascii="Arial" w:eastAsia="Calibri" w:hAnsi="Arial" w:cs="Arial"/>
          <w:sz w:val="20"/>
          <w:szCs w:val="20"/>
          <w:lang w:val="pt-PT"/>
        </w:rPr>
      </w:pPr>
      <w:r w:rsidRPr="00472547">
        <w:rPr>
          <w:rFonts w:ascii="Arial" w:eastAsia="Calibri" w:hAnsi="Arial" w:cs="Arial"/>
          <w:sz w:val="20"/>
          <w:szCs w:val="20"/>
          <w:lang w:val="pt-PT"/>
        </w:rPr>
        <w:t>As reclamações, ou denúncias, associadas a Violência Baseada no Género (VBG)</w:t>
      </w:r>
      <w:r w:rsidRPr="00472547">
        <w:rPr>
          <w:rFonts w:eastAsia="Calibri" w:cs="Calibri"/>
          <w:sz w:val="20"/>
          <w:vertAlign w:val="superscript"/>
          <w:lang w:val="pt-PT"/>
        </w:rPr>
        <w:footnoteReference w:id="52"/>
      </w:r>
      <w:r w:rsidRPr="00472547">
        <w:rPr>
          <w:rFonts w:eastAsia="Calibri" w:cs="Calibri"/>
          <w:sz w:val="20"/>
          <w:lang w:val="pt-PT"/>
        </w:rPr>
        <w:t xml:space="preserve"> </w:t>
      </w:r>
      <w:r w:rsidRPr="00472547">
        <w:rPr>
          <w:rFonts w:ascii="Arial" w:eastAsia="Calibri" w:hAnsi="Arial" w:cs="Arial"/>
          <w:sz w:val="20"/>
          <w:szCs w:val="20"/>
          <w:lang w:val="pt-PT"/>
        </w:rPr>
        <w:t xml:space="preserve">(incluindo a Violência Contra Criança (VCC), Exploração e Abuso Sexual (EAS), Assédio Sexual (AS), Uniões Prematuras/forçadas, etc.) a nível do </w:t>
      </w:r>
      <w:proofErr w:type="spellStart"/>
      <w:r w:rsidRPr="00472547">
        <w:rPr>
          <w:rFonts w:ascii="Arial" w:eastAsia="Calibri" w:hAnsi="Arial" w:cs="Arial"/>
          <w:sz w:val="20"/>
          <w:szCs w:val="20"/>
          <w:lang w:val="pt-PT"/>
        </w:rPr>
        <w:t>Projecto</w:t>
      </w:r>
      <w:proofErr w:type="spellEnd"/>
      <w:r w:rsidRPr="00472547">
        <w:rPr>
          <w:rFonts w:ascii="Arial" w:eastAsia="Calibri" w:hAnsi="Arial" w:cs="Arial"/>
          <w:sz w:val="20"/>
          <w:szCs w:val="20"/>
          <w:lang w:val="pt-PT"/>
        </w:rPr>
        <w:t xml:space="preserve"> serão geridas pelo Provedor de Serviços de VBG (PS-VBG), seja um consultor, ONG/OCB ou outro. </w:t>
      </w:r>
    </w:p>
    <w:p w14:paraId="19AE8109" w14:textId="77777777" w:rsidR="00472547" w:rsidRPr="00472547" w:rsidRDefault="00472547" w:rsidP="00472547">
      <w:pPr>
        <w:spacing w:before="0" w:line="259" w:lineRule="auto"/>
        <w:rPr>
          <w:rFonts w:ascii="Arial" w:eastAsia="Calibri" w:hAnsi="Arial" w:cs="Arial"/>
          <w:sz w:val="20"/>
          <w:szCs w:val="20"/>
          <w:lang w:val="pt-PT"/>
        </w:rPr>
      </w:pPr>
      <w:r w:rsidRPr="00472547">
        <w:rPr>
          <w:rFonts w:ascii="Arial" w:eastAsia="Calibri" w:hAnsi="Arial" w:cs="Arial"/>
          <w:sz w:val="20"/>
          <w:szCs w:val="20"/>
          <w:lang w:val="pt-PT"/>
        </w:rPr>
        <w:t xml:space="preserve">O PS-VBG irá montar um sistema autónomo de gestão de alegações de VBG para o </w:t>
      </w:r>
      <w:proofErr w:type="spellStart"/>
      <w:r w:rsidRPr="00472547">
        <w:rPr>
          <w:rFonts w:ascii="Arial" w:eastAsia="Calibri" w:hAnsi="Arial" w:cs="Arial"/>
          <w:sz w:val="20"/>
          <w:szCs w:val="20"/>
          <w:lang w:val="pt-PT"/>
        </w:rPr>
        <w:t>Projecto</w:t>
      </w:r>
      <w:proofErr w:type="spellEnd"/>
      <w:r w:rsidRPr="00472547">
        <w:rPr>
          <w:rFonts w:ascii="Arial" w:eastAsia="Calibri" w:hAnsi="Arial" w:cs="Arial"/>
          <w:sz w:val="20"/>
          <w:szCs w:val="20"/>
          <w:lang w:val="pt-PT"/>
        </w:rPr>
        <w:t xml:space="preserve">, integrado a todo processo de atendimento e proteção da vítima (obtenção de assistência médica, investigação, etc.).  </w:t>
      </w:r>
      <w:proofErr w:type="gramStart"/>
      <w:r w:rsidRPr="00472547">
        <w:rPr>
          <w:rFonts w:ascii="Arial" w:eastAsia="Calibri" w:hAnsi="Arial" w:cs="Arial"/>
          <w:sz w:val="20"/>
          <w:szCs w:val="20"/>
          <w:lang w:val="pt-PT"/>
        </w:rPr>
        <w:t>O  PS</w:t>
      </w:r>
      <w:proofErr w:type="gramEnd"/>
      <w:r w:rsidRPr="00472547">
        <w:rPr>
          <w:rFonts w:ascii="Arial" w:eastAsia="Calibri" w:hAnsi="Arial" w:cs="Arial"/>
          <w:sz w:val="20"/>
          <w:szCs w:val="20"/>
          <w:lang w:val="pt-PT"/>
        </w:rPr>
        <w:t xml:space="preserve">-VBG (na ausência deste, o PROSIR que implementa o RAP) deverá mapear previamente as partes chave disponíveis (ex. líderes locais, religiosos, Agentes Polivalentes Elementares de saúde (APE), instituições policiais, </w:t>
      </w:r>
      <w:proofErr w:type="spellStart"/>
      <w:r w:rsidRPr="00472547">
        <w:rPr>
          <w:rFonts w:ascii="Arial" w:eastAsia="Calibri" w:hAnsi="Arial" w:cs="Arial"/>
          <w:sz w:val="20"/>
          <w:szCs w:val="20"/>
          <w:lang w:val="pt-PT"/>
        </w:rPr>
        <w:t>OCB´s</w:t>
      </w:r>
      <w:proofErr w:type="spellEnd"/>
      <w:r w:rsidRPr="00472547">
        <w:rPr>
          <w:rFonts w:ascii="Arial" w:eastAsia="Calibri" w:hAnsi="Arial" w:cs="Arial"/>
          <w:sz w:val="20"/>
          <w:szCs w:val="20"/>
          <w:lang w:val="pt-PT"/>
        </w:rPr>
        <w:t xml:space="preserve"> e outras), preparar e capacitar os responsáveis para integrarem no sistema de </w:t>
      </w:r>
      <w:proofErr w:type="spellStart"/>
      <w:r w:rsidRPr="00472547">
        <w:rPr>
          <w:rFonts w:ascii="Arial" w:eastAsia="Calibri" w:hAnsi="Arial" w:cs="Arial"/>
          <w:sz w:val="20"/>
          <w:szCs w:val="20"/>
          <w:lang w:val="pt-PT"/>
        </w:rPr>
        <w:t>recepção</w:t>
      </w:r>
      <w:proofErr w:type="spellEnd"/>
      <w:r w:rsidRPr="00472547">
        <w:rPr>
          <w:rFonts w:ascii="Arial" w:eastAsia="Calibri" w:hAnsi="Arial" w:cs="Arial"/>
          <w:sz w:val="20"/>
          <w:szCs w:val="20"/>
          <w:lang w:val="pt-PT"/>
        </w:rPr>
        <w:t xml:space="preserve"> e encaminhamento de reclamações ao nível do distrito, garantindo a proteção à vítima e disponibilizar informação sobre os serviços disponíveis de VBG na comunidade. </w:t>
      </w:r>
    </w:p>
    <w:p w14:paraId="5698EE04" w14:textId="77777777" w:rsidR="00472547" w:rsidRPr="00472547" w:rsidRDefault="00472547" w:rsidP="00472547">
      <w:pPr>
        <w:spacing w:before="0"/>
        <w:rPr>
          <w:rFonts w:ascii="Arial" w:eastAsia="Calibri" w:hAnsi="Arial" w:cs="Arial"/>
          <w:sz w:val="20"/>
          <w:szCs w:val="20"/>
          <w:lang w:val="pt-PT"/>
        </w:rPr>
      </w:pPr>
      <w:r w:rsidRPr="00472547">
        <w:rPr>
          <w:rFonts w:ascii="Arial" w:eastAsia="Calibri" w:hAnsi="Arial" w:cs="Arial"/>
          <w:sz w:val="20"/>
          <w:szCs w:val="20"/>
          <w:lang w:val="pt-PT"/>
        </w:rPr>
        <w:t xml:space="preserve">O PS-VBG e outras partes trainadas deverão ser capazes de identificar vítimas de VBG através de rastreio de rotina tanto nas comunidades de implementação do </w:t>
      </w:r>
      <w:proofErr w:type="spellStart"/>
      <w:r w:rsidRPr="00472547">
        <w:rPr>
          <w:rFonts w:ascii="Arial" w:eastAsia="Calibri" w:hAnsi="Arial" w:cs="Arial"/>
          <w:sz w:val="20"/>
          <w:szCs w:val="20"/>
          <w:lang w:val="pt-PT"/>
        </w:rPr>
        <w:t>Projecto</w:t>
      </w:r>
      <w:proofErr w:type="spellEnd"/>
      <w:r w:rsidRPr="00472547">
        <w:rPr>
          <w:rFonts w:ascii="Arial" w:eastAsia="Calibri" w:hAnsi="Arial" w:cs="Arial"/>
          <w:sz w:val="20"/>
          <w:szCs w:val="20"/>
          <w:lang w:val="pt-PT"/>
        </w:rPr>
        <w:t>, como nos trabalhadores.</w:t>
      </w:r>
    </w:p>
    <w:p w14:paraId="43EFEEB0" w14:textId="77777777" w:rsidR="00472547" w:rsidRPr="00472547" w:rsidRDefault="00472547" w:rsidP="00472547">
      <w:pPr>
        <w:spacing w:before="0"/>
        <w:rPr>
          <w:rFonts w:ascii="Arial" w:eastAsia="Calibri" w:hAnsi="Arial" w:cs="Arial"/>
          <w:sz w:val="20"/>
          <w:szCs w:val="20"/>
          <w:highlight w:val="yellow"/>
          <w:lang w:val="pt-PT"/>
        </w:rPr>
      </w:pPr>
      <w:r w:rsidRPr="00472547">
        <w:rPr>
          <w:rFonts w:ascii="Arial" w:eastAsia="Calibri" w:hAnsi="Arial" w:cs="Times New Roman"/>
          <w:sz w:val="20"/>
          <w:szCs w:val="20"/>
          <w:lang w:val="pt-PT"/>
        </w:rPr>
        <w:t xml:space="preserve">O PS-VBG atualizará o plano de ação da VBG a implementar, que dentre outros deverá incluir detalhes sobre o caminho que será usado pelo </w:t>
      </w:r>
      <w:proofErr w:type="spellStart"/>
      <w:r w:rsidRPr="00472547">
        <w:rPr>
          <w:rFonts w:ascii="Arial" w:eastAsia="Calibri" w:hAnsi="Arial" w:cs="Times New Roman"/>
          <w:sz w:val="20"/>
          <w:szCs w:val="20"/>
          <w:lang w:val="pt-PT"/>
        </w:rPr>
        <w:t>Projecto</w:t>
      </w:r>
      <w:proofErr w:type="spellEnd"/>
      <w:r w:rsidRPr="00472547">
        <w:rPr>
          <w:rFonts w:ascii="Arial" w:eastAsia="Calibri" w:hAnsi="Arial" w:cs="Times New Roman"/>
          <w:sz w:val="20"/>
          <w:szCs w:val="20"/>
          <w:lang w:val="pt-PT"/>
        </w:rPr>
        <w:t xml:space="preserve"> para atendimento adequado às vítimas e assegurar o encaminhamento </w:t>
      </w:r>
      <w:proofErr w:type="spellStart"/>
      <w:r w:rsidRPr="00472547">
        <w:rPr>
          <w:rFonts w:ascii="Arial" w:eastAsia="Calibri" w:hAnsi="Arial" w:cs="Times New Roman"/>
          <w:sz w:val="20"/>
          <w:szCs w:val="20"/>
          <w:lang w:val="pt-PT"/>
        </w:rPr>
        <w:t>correcto</w:t>
      </w:r>
      <w:proofErr w:type="spellEnd"/>
      <w:r w:rsidRPr="00472547">
        <w:rPr>
          <w:rFonts w:ascii="Arial" w:eastAsia="Calibri" w:hAnsi="Arial" w:cs="Times New Roman"/>
          <w:sz w:val="20"/>
          <w:szCs w:val="20"/>
          <w:lang w:val="pt-PT"/>
        </w:rPr>
        <w:t xml:space="preserve"> da reclamação. O Plano de </w:t>
      </w:r>
      <w:proofErr w:type="spellStart"/>
      <w:r w:rsidRPr="00472547">
        <w:rPr>
          <w:rFonts w:ascii="Arial" w:eastAsia="Calibri" w:hAnsi="Arial" w:cs="Times New Roman"/>
          <w:sz w:val="20"/>
          <w:szCs w:val="20"/>
          <w:lang w:val="pt-PT"/>
        </w:rPr>
        <w:t>Acção</w:t>
      </w:r>
      <w:proofErr w:type="spellEnd"/>
      <w:r w:rsidRPr="00472547">
        <w:rPr>
          <w:rFonts w:ascii="Arial" w:eastAsia="Calibri" w:hAnsi="Arial" w:cs="Times New Roman"/>
          <w:sz w:val="20"/>
          <w:szCs w:val="20"/>
          <w:lang w:val="pt-PT"/>
        </w:rPr>
        <w:t xml:space="preserve"> de VBG deverá estar alinhado ao Mecanismo </w:t>
      </w:r>
      <w:proofErr w:type="spellStart"/>
      <w:r w:rsidRPr="00472547">
        <w:rPr>
          <w:rFonts w:ascii="Arial" w:eastAsia="Calibri" w:hAnsi="Arial" w:cs="Times New Roman"/>
          <w:sz w:val="20"/>
          <w:szCs w:val="20"/>
          <w:lang w:val="pt-PT"/>
        </w:rPr>
        <w:t>Multisectorial</w:t>
      </w:r>
      <w:proofErr w:type="spellEnd"/>
      <w:r w:rsidRPr="00472547">
        <w:rPr>
          <w:rFonts w:ascii="Arial" w:eastAsia="Calibri" w:hAnsi="Arial" w:cs="Times New Roman"/>
          <w:sz w:val="20"/>
          <w:szCs w:val="20"/>
          <w:lang w:val="pt-PT"/>
        </w:rPr>
        <w:t xml:space="preserve"> de Atendimento Integrado à Mulher vítima de Violência </w:t>
      </w:r>
      <w:proofErr w:type="spellStart"/>
      <w:r w:rsidRPr="00472547">
        <w:rPr>
          <w:rFonts w:ascii="Arial" w:eastAsia="Calibri" w:hAnsi="Arial" w:cs="Times New Roman"/>
          <w:sz w:val="20"/>
          <w:szCs w:val="20"/>
          <w:lang w:val="pt-PT"/>
        </w:rPr>
        <w:t>actualmente</w:t>
      </w:r>
      <w:proofErr w:type="spellEnd"/>
      <w:r w:rsidRPr="00472547">
        <w:rPr>
          <w:rFonts w:ascii="Arial" w:eastAsia="Calibri" w:hAnsi="Arial" w:cs="Times New Roman"/>
          <w:sz w:val="20"/>
          <w:szCs w:val="20"/>
          <w:lang w:val="pt-PT"/>
        </w:rPr>
        <w:t xml:space="preserve"> em uso pelo Governo, aprovado pelo Conselho de Ministros em 2012</w:t>
      </w:r>
      <w:r w:rsidRPr="00472547">
        <w:rPr>
          <w:rFonts w:ascii="Arial" w:eastAsia="Calibri" w:hAnsi="Arial" w:cs="Times New Roman"/>
          <w:sz w:val="20"/>
          <w:szCs w:val="20"/>
          <w:vertAlign w:val="superscript"/>
          <w:lang w:val="pt-PT"/>
        </w:rPr>
        <w:footnoteReference w:id="53"/>
      </w:r>
      <w:r w:rsidRPr="00472547">
        <w:rPr>
          <w:rFonts w:ascii="Arial" w:eastAsia="Calibri" w:hAnsi="Arial" w:cs="Times New Roman"/>
          <w:sz w:val="20"/>
          <w:szCs w:val="20"/>
          <w:lang w:val="pt-PT"/>
        </w:rPr>
        <w:t xml:space="preserve">, na qual são apresentadas três (3) portas principais de entrada que o reclamante (ou parte interessada) pode aceder: i. ao Centro de Atendimento Integrado (CAI), </w:t>
      </w:r>
      <w:proofErr w:type="spellStart"/>
      <w:r w:rsidRPr="00472547">
        <w:rPr>
          <w:rFonts w:ascii="Arial" w:eastAsia="Calibri" w:hAnsi="Arial" w:cs="Times New Roman"/>
          <w:sz w:val="20"/>
          <w:szCs w:val="20"/>
          <w:lang w:val="pt-PT"/>
        </w:rPr>
        <w:t>ii</w:t>
      </w:r>
      <w:proofErr w:type="spellEnd"/>
      <w:r w:rsidRPr="00472547">
        <w:rPr>
          <w:rFonts w:ascii="Arial" w:eastAsia="Calibri" w:hAnsi="Arial" w:cs="Times New Roman"/>
          <w:sz w:val="20"/>
          <w:szCs w:val="20"/>
          <w:lang w:val="pt-PT"/>
        </w:rPr>
        <w:t xml:space="preserve">. ao Gabinete de Atendimento à Família e Menor Vítima de Violência (GAFMVV) e </w:t>
      </w:r>
      <w:proofErr w:type="spellStart"/>
      <w:r w:rsidRPr="00472547">
        <w:rPr>
          <w:rFonts w:ascii="Arial" w:eastAsia="Calibri" w:hAnsi="Arial" w:cs="Times New Roman"/>
          <w:sz w:val="20"/>
          <w:szCs w:val="20"/>
          <w:lang w:val="pt-PT"/>
        </w:rPr>
        <w:t>iii</w:t>
      </w:r>
      <w:proofErr w:type="spellEnd"/>
      <w:r w:rsidRPr="00472547">
        <w:rPr>
          <w:rFonts w:ascii="Arial" w:eastAsia="Calibri" w:hAnsi="Arial" w:cs="Times New Roman"/>
          <w:sz w:val="20"/>
          <w:szCs w:val="20"/>
          <w:lang w:val="pt-PT"/>
        </w:rPr>
        <w:t xml:space="preserve">. aos serviços de urgência nas Unidades Sanitárias. </w:t>
      </w:r>
    </w:p>
    <w:p w14:paraId="66A4AA9B" w14:textId="77777777" w:rsidR="00472547" w:rsidRPr="00472547" w:rsidRDefault="00472547" w:rsidP="00472547">
      <w:pPr>
        <w:spacing w:before="0" w:after="273"/>
        <w:ind w:right="15"/>
        <w:rPr>
          <w:rFonts w:ascii="Arial" w:eastAsia="Calibri" w:hAnsi="Arial" w:cs="Times New Roman"/>
          <w:sz w:val="20"/>
          <w:szCs w:val="20"/>
          <w:lang w:val="pt-PT"/>
        </w:rPr>
      </w:pPr>
      <w:r w:rsidRPr="00472547">
        <w:rPr>
          <w:rFonts w:ascii="Arial" w:eastAsia="Calibri" w:hAnsi="Arial" w:cs="Times New Roman"/>
          <w:sz w:val="20"/>
          <w:szCs w:val="20"/>
          <w:lang w:val="pt-PT"/>
        </w:rPr>
        <w:t>As vítimas/sobreviventes ou seus representantes (autorizados ou não pela vítima)</w:t>
      </w:r>
      <w:r w:rsidRPr="00472547">
        <w:rPr>
          <w:rFonts w:ascii="Arial" w:eastAsia="Calibri" w:hAnsi="Arial" w:cs="Times New Roman"/>
          <w:sz w:val="20"/>
          <w:szCs w:val="20"/>
          <w:vertAlign w:val="superscript"/>
          <w:lang w:val="pt-PT"/>
        </w:rPr>
        <w:footnoteReference w:id="54"/>
      </w:r>
      <w:r w:rsidRPr="00472547">
        <w:rPr>
          <w:rFonts w:ascii="Arial" w:eastAsia="Calibri" w:hAnsi="Arial" w:cs="Times New Roman"/>
          <w:sz w:val="20"/>
          <w:szCs w:val="20"/>
          <w:lang w:val="pt-PT"/>
        </w:rPr>
        <w:t xml:space="preserve">, podem comunicar </w:t>
      </w:r>
      <w:proofErr w:type="spellStart"/>
      <w:r w:rsidRPr="00472547">
        <w:rPr>
          <w:rFonts w:ascii="Arial" w:eastAsia="Calibri" w:hAnsi="Arial" w:cs="Times New Roman"/>
          <w:sz w:val="20"/>
          <w:szCs w:val="20"/>
          <w:lang w:val="pt-PT"/>
        </w:rPr>
        <w:t>directo</w:t>
      </w:r>
      <w:proofErr w:type="spellEnd"/>
      <w:r w:rsidRPr="00472547">
        <w:rPr>
          <w:rFonts w:ascii="Arial" w:eastAsia="Calibri" w:hAnsi="Arial" w:cs="Times New Roman"/>
          <w:sz w:val="20"/>
          <w:szCs w:val="20"/>
          <w:lang w:val="pt-PT"/>
        </w:rPr>
        <w:t xml:space="preserve"> ao PS-VBG ou Comité de Gestão de Reclamações (CGR) para devida assistência. Por outro lado, em muitos casos, e principalmente em ambiente laboral, as vítimas de VBG podem não portar </w:t>
      </w:r>
      <w:proofErr w:type="spellStart"/>
      <w:r w:rsidRPr="00472547">
        <w:rPr>
          <w:rFonts w:ascii="Arial" w:eastAsia="Calibri" w:hAnsi="Arial" w:cs="Times New Roman"/>
          <w:sz w:val="20"/>
          <w:szCs w:val="20"/>
          <w:lang w:val="pt-PT"/>
        </w:rPr>
        <w:t>directamente</w:t>
      </w:r>
      <w:proofErr w:type="spellEnd"/>
      <w:r w:rsidRPr="00472547">
        <w:rPr>
          <w:rFonts w:ascii="Arial" w:eastAsia="Calibri" w:hAnsi="Arial" w:cs="Times New Roman"/>
          <w:sz w:val="20"/>
          <w:szCs w:val="20"/>
          <w:lang w:val="pt-PT"/>
        </w:rPr>
        <w:t xml:space="preserve">, isto é, “na primeira pessoa”, mas podem por exemplo mencionar o perpetrador e falar na terceira pessoa. E nestes casos é importante que se registe estas reclamações com todos disponíveis. </w:t>
      </w:r>
    </w:p>
    <w:p w14:paraId="5631DFE3" w14:textId="77777777" w:rsidR="00472547" w:rsidRPr="00472547" w:rsidRDefault="00472547" w:rsidP="00472547">
      <w:pPr>
        <w:spacing w:before="0"/>
        <w:rPr>
          <w:rFonts w:ascii="Arial" w:eastAsia="Calibri" w:hAnsi="Arial" w:cs="Times New Roman"/>
          <w:sz w:val="20"/>
          <w:szCs w:val="20"/>
          <w:lang w:val="pt-PT"/>
        </w:rPr>
      </w:pPr>
      <w:r w:rsidRPr="00472547">
        <w:rPr>
          <w:rFonts w:ascii="Arial" w:eastAsia="Calibri" w:hAnsi="Arial" w:cs="Times New Roman"/>
          <w:sz w:val="20"/>
          <w:szCs w:val="20"/>
          <w:lang w:val="pt-PT"/>
        </w:rPr>
        <w:lastRenderedPageBreak/>
        <w:t>Quando a violação envolver agressão física ou sexual, a vítima deverá procurar os serviços de saúde (unidade sanitária ou APE)</w:t>
      </w:r>
      <w:r w:rsidRPr="00472547">
        <w:rPr>
          <w:rFonts w:ascii="Arial" w:eastAsia="Calibri" w:hAnsi="Arial" w:cs="Times New Roman"/>
          <w:sz w:val="20"/>
          <w:szCs w:val="20"/>
          <w:vertAlign w:val="superscript"/>
          <w:lang w:val="pt-PT"/>
        </w:rPr>
        <w:footnoteReference w:id="55"/>
      </w:r>
      <w:r w:rsidRPr="00472547">
        <w:rPr>
          <w:rFonts w:ascii="Arial" w:eastAsia="Calibri" w:hAnsi="Arial" w:cs="Times New Roman"/>
          <w:sz w:val="20"/>
          <w:szCs w:val="20"/>
          <w:lang w:val="pt-PT"/>
        </w:rPr>
        <w:t>, que apoiará com envolvimento de outras partes relevantes</w:t>
      </w:r>
      <w:r w:rsidRPr="00472547">
        <w:rPr>
          <w:rFonts w:ascii="Arial" w:eastAsia="Calibri" w:hAnsi="Arial" w:cs="Times New Roman"/>
          <w:sz w:val="20"/>
          <w:szCs w:val="20"/>
          <w:vertAlign w:val="superscript"/>
          <w:lang w:val="pt-PT"/>
        </w:rPr>
        <w:footnoteReference w:id="56"/>
      </w:r>
      <w:r w:rsidRPr="00472547">
        <w:rPr>
          <w:rFonts w:ascii="Arial" w:eastAsia="Calibri" w:hAnsi="Arial" w:cs="Times New Roman"/>
          <w:sz w:val="20"/>
          <w:szCs w:val="20"/>
          <w:lang w:val="pt-PT"/>
        </w:rPr>
        <w:t>. Quando aplicável, depois de apresentada a queixa oficial, os serviços de medicina legal e policiais darão seguimento ao processo de investigação criminal</w:t>
      </w:r>
      <w:r w:rsidRPr="00472547">
        <w:rPr>
          <w:rFonts w:eastAsia="Calibri" w:cs="Calibri"/>
          <w:sz w:val="20"/>
          <w:szCs w:val="20"/>
          <w:vertAlign w:val="superscript"/>
          <w:lang w:val="pt-PT"/>
        </w:rPr>
        <w:footnoteReference w:id="57"/>
      </w:r>
      <w:r w:rsidRPr="00472547">
        <w:rPr>
          <w:rFonts w:ascii="Arial" w:eastAsia="Calibri" w:hAnsi="Arial" w:cs="Times New Roman"/>
          <w:sz w:val="20"/>
          <w:szCs w:val="20"/>
          <w:lang w:val="pt-PT"/>
        </w:rPr>
        <w:t xml:space="preserve">. Enquanto decorre a investigação, o PS-VBG deverá acompanhar cada caso junto as entidades relevantes, e garantir que a vítima está protegida por forma a evitar reincidência ou represálias. </w:t>
      </w:r>
    </w:p>
    <w:p w14:paraId="5266F0AA" w14:textId="77777777" w:rsidR="00472547" w:rsidRPr="00472547" w:rsidRDefault="00472547" w:rsidP="00472547">
      <w:pPr>
        <w:tabs>
          <w:tab w:val="left" w:pos="6379"/>
        </w:tabs>
        <w:autoSpaceDE w:val="0"/>
        <w:autoSpaceDN w:val="0"/>
        <w:adjustRightInd w:val="0"/>
        <w:spacing w:before="260" w:after="120"/>
        <w:rPr>
          <w:rFonts w:ascii="Arial" w:eastAsia="Calibri" w:hAnsi="Arial" w:cs="Times New Roman"/>
          <w:sz w:val="20"/>
          <w:szCs w:val="20"/>
          <w:lang w:val="pt-PT"/>
        </w:rPr>
      </w:pPr>
      <w:r w:rsidRPr="00472547">
        <w:rPr>
          <w:rFonts w:ascii="Arial" w:eastAsia="Calibri" w:hAnsi="Arial" w:cs="Times New Roman"/>
          <w:sz w:val="20"/>
          <w:szCs w:val="20"/>
          <w:lang w:val="pt-PT"/>
        </w:rPr>
        <w:t xml:space="preserve">Se o perpetrador do </w:t>
      </w:r>
      <w:proofErr w:type="spellStart"/>
      <w:r w:rsidRPr="00472547">
        <w:rPr>
          <w:rFonts w:ascii="Arial" w:eastAsia="Calibri" w:hAnsi="Arial" w:cs="Times New Roman"/>
          <w:sz w:val="20"/>
          <w:szCs w:val="20"/>
          <w:lang w:val="pt-PT"/>
        </w:rPr>
        <w:t>acto</w:t>
      </w:r>
      <w:proofErr w:type="spellEnd"/>
      <w:r w:rsidRPr="00472547">
        <w:rPr>
          <w:rFonts w:ascii="Arial" w:eastAsia="Calibri" w:hAnsi="Arial" w:cs="Times New Roman"/>
          <w:sz w:val="20"/>
          <w:szCs w:val="20"/>
          <w:lang w:val="pt-PT"/>
        </w:rPr>
        <w:t xml:space="preserve"> for um trabalhador do </w:t>
      </w:r>
      <w:proofErr w:type="spellStart"/>
      <w:r w:rsidRPr="00472547">
        <w:rPr>
          <w:rFonts w:ascii="Arial" w:eastAsia="Calibri" w:hAnsi="Arial" w:cs="Times New Roman"/>
          <w:sz w:val="20"/>
          <w:szCs w:val="20"/>
          <w:lang w:val="pt-PT"/>
        </w:rPr>
        <w:t>Projecto</w:t>
      </w:r>
      <w:proofErr w:type="spellEnd"/>
      <w:r w:rsidRPr="00472547">
        <w:rPr>
          <w:rFonts w:ascii="Arial" w:eastAsia="Calibri" w:hAnsi="Arial" w:cs="Times New Roman"/>
          <w:sz w:val="20"/>
          <w:szCs w:val="20"/>
          <w:lang w:val="pt-PT"/>
        </w:rPr>
        <w:t xml:space="preserve">, é importante que o caso seja notificado à UIP para que se </w:t>
      </w:r>
      <w:proofErr w:type="spellStart"/>
      <w:r w:rsidRPr="00472547">
        <w:rPr>
          <w:rFonts w:ascii="Arial" w:eastAsia="Calibri" w:hAnsi="Arial" w:cs="Times New Roman"/>
          <w:sz w:val="20"/>
          <w:szCs w:val="20"/>
          <w:lang w:val="pt-PT"/>
        </w:rPr>
        <w:t>accione</w:t>
      </w:r>
      <w:proofErr w:type="spellEnd"/>
      <w:r w:rsidRPr="00472547">
        <w:rPr>
          <w:rFonts w:ascii="Arial" w:eastAsia="Calibri" w:hAnsi="Arial" w:cs="Times New Roman"/>
          <w:sz w:val="20"/>
          <w:szCs w:val="20"/>
          <w:lang w:val="pt-PT"/>
        </w:rPr>
        <w:t xml:space="preserve"> as devidas penalizações associadas ao código de conduta para prevenção de VBG.</w:t>
      </w:r>
    </w:p>
    <w:p w14:paraId="522B847F" w14:textId="77777777" w:rsidR="00472547" w:rsidRPr="00472547" w:rsidRDefault="00472547" w:rsidP="00472547">
      <w:pPr>
        <w:suppressAutoHyphens/>
        <w:spacing w:after="0"/>
        <w:rPr>
          <w:rFonts w:eastAsia="Times New Roman" w:cs="Calibri"/>
          <w:sz w:val="20"/>
          <w:szCs w:val="20"/>
          <w:lang w:val="pt-PT"/>
        </w:rPr>
      </w:pPr>
      <w:r w:rsidRPr="00472547">
        <w:rPr>
          <w:rFonts w:ascii="Arial" w:eastAsia="Calibri" w:hAnsi="Arial" w:cs="Times New Roman"/>
          <w:sz w:val="20"/>
          <w:szCs w:val="20"/>
          <w:lang w:val="pt-PT"/>
        </w:rPr>
        <w:t xml:space="preserve">Qualquer vítima que denuncie a Violência Baseada em Género por meio de um mecanismo de denúncia de um </w:t>
      </w:r>
      <w:proofErr w:type="spellStart"/>
      <w:r w:rsidRPr="00472547">
        <w:rPr>
          <w:rFonts w:ascii="Arial" w:eastAsia="Calibri" w:hAnsi="Arial" w:cs="Times New Roman"/>
          <w:sz w:val="20"/>
          <w:szCs w:val="20"/>
          <w:lang w:val="pt-PT"/>
        </w:rPr>
        <w:t>Projecto</w:t>
      </w:r>
      <w:proofErr w:type="spellEnd"/>
      <w:r w:rsidRPr="00472547">
        <w:rPr>
          <w:rFonts w:ascii="Arial" w:eastAsia="Calibri" w:hAnsi="Arial" w:cs="Times New Roman"/>
          <w:sz w:val="20"/>
          <w:szCs w:val="20"/>
          <w:lang w:val="pt-PT"/>
        </w:rPr>
        <w:t xml:space="preserve"> financiado pelo Banco Mundial deve receber cuidados, independentemente do perpetrador estar associado ao </w:t>
      </w:r>
      <w:proofErr w:type="spellStart"/>
      <w:r w:rsidRPr="00472547">
        <w:rPr>
          <w:rFonts w:ascii="Arial" w:eastAsia="Calibri" w:hAnsi="Arial" w:cs="Times New Roman"/>
          <w:sz w:val="20"/>
          <w:szCs w:val="20"/>
          <w:lang w:val="pt-PT"/>
        </w:rPr>
        <w:t>Projecto</w:t>
      </w:r>
      <w:proofErr w:type="spellEnd"/>
      <w:r w:rsidRPr="00472547">
        <w:rPr>
          <w:rFonts w:ascii="Arial" w:eastAsia="Calibri" w:hAnsi="Arial" w:cs="Times New Roman"/>
          <w:sz w:val="20"/>
          <w:szCs w:val="20"/>
          <w:lang w:val="pt-PT"/>
        </w:rPr>
        <w:t xml:space="preserve"> ou não</w:t>
      </w:r>
      <w:r w:rsidRPr="00472547">
        <w:rPr>
          <w:rFonts w:eastAsia="Calibri" w:cs="Calibri"/>
          <w:sz w:val="20"/>
          <w:szCs w:val="20"/>
          <w:vertAlign w:val="superscript"/>
          <w:lang w:val="pt-PT"/>
        </w:rPr>
        <w:footnoteReference w:id="58"/>
      </w:r>
      <w:r w:rsidRPr="00472547">
        <w:rPr>
          <w:rFonts w:eastAsia="Times New Roman" w:cs="Calibri"/>
          <w:sz w:val="20"/>
          <w:szCs w:val="20"/>
          <w:lang w:val="pt-PT"/>
        </w:rPr>
        <w:t xml:space="preserve">. </w:t>
      </w:r>
    </w:p>
    <w:p w14:paraId="6A86D4B3" w14:textId="77777777" w:rsidR="00472547" w:rsidRPr="00472547" w:rsidRDefault="00472547" w:rsidP="004725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ind w:left="720"/>
        <w:contextualSpacing/>
        <w:rPr>
          <w:rFonts w:ascii="Arial" w:eastAsia="Times New Roman" w:hAnsi="Arial" w:cs="Arial"/>
          <w:sz w:val="20"/>
          <w:szCs w:val="20"/>
          <w:lang w:val="pt-PT"/>
        </w:rPr>
      </w:pPr>
    </w:p>
    <w:p w14:paraId="519ACBB1" w14:textId="77777777" w:rsidR="00472547" w:rsidRPr="00472547" w:rsidRDefault="00472547" w:rsidP="00472547">
      <w:pPr>
        <w:spacing w:before="0" w:line="259" w:lineRule="auto"/>
        <w:rPr>
          <w:rFonts w:ascii="Arial" w:eastAsia="Calibri" w:hAnsi="Arial" w:cs="Times New Roman"/>
          <w:sz w:val="20"/>
          <w:szCs w:val="20"/>
          <w:lang w:val="pt-PT"/>
        </w:rPr>
      </w:pPr>
      <w:bookmarkStart w:id="1722" w:name="_Toc484061181"/>
      <w:r w:rsidRPr="00472547">
        <w:rPr>
          <w:rFonts w:ascii="Arial" w:eastAsia="Calibri" w:hAnsi="Arial" w:cs="Arial"/>
          <w:b/>
          <w:sz w:val="20"/>
          <w:szCs w:val="20"/>
          <w:lang w:val="pt-PT"/>
        </w:rPr>
        <w:t>Queixas relacionadas às relações Laborais</w:t>
      </w:r>
      <w:bookmarkEnd w:id="1722"/>
      <w:r w:rsidRPr="00472547">
        <w:rPr>
          <w:rFonts w:ascii="Arial" w:eastAsia="Calibri" w:hAnsi="Arial" w:cs="Arial"/>
          <w:b/>
          <w:sz w:val="20"/>
          <w:szCs w:val="20"/>
          <w:lang w:val="pt-PT"/>
        </w:rPr>
        <w:t xml:space="preserve"> </w:t>
      </w:r>
    </w:p>
    <w:p w14:paraId="3A851806" w14:textId="77777777" w:rsidR="00472547" w:rsidRPr="00472547" w:rsidRDefault="00472547" w:rsidP="004725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contextualSpacing/>
        <w:rPr>
          <w:rFonts w:ascii="Arial" w:eastAsia="Times New Roman" w:hAnsi="Arial" w:cs="Arial"/>
          <w:sz w:val="20"/>
          <w:szCs w:val="20"/>
          <w:lang w:val="pt-PT"/>
        </w:rPr>
      </w:pPr>
      <w:r w:rsidRPr="00472547">
        <w:rPr>
          <w:rFonts w:ascii="Arial" w:eastAsia="Times New Roman" w:hAnsi="Arial" w:cs="Arial"/>
          <w:sz w:val="20"/>
          <w:szCs w:val="20"/>
          <w:lang w:val="pt-PT"/>
        </w:rPr>
        <w:t xml:space="preserve">Haverá procedimentos específicos em vigor para lidar com queixas trabalhistas em conformidade com a Norma Ambiental e Social 2 (NAS 2) e a legislação nacional, detalhada no Procedimento de Gestão de Mão de Obra que é parte do Quadro de Gestão Ambiental e Social (QGAS) deste </w:t>
      </w:r>
      <w:proofErr w:type="spellStart"/>
      <w:r w:rsidRPr="00472547">
        <w:rPr>
          <w:rFonts w:ascii="Arial" w:eastAsia="Times New Roman" w:hAnsi="Arial" w:cs="Arial"/>
          <w:sz w:val="20"/>
          <w:szCs w:val="20"/>
          <w:lang w:val="pt-PT"/>
        </w:rPr>
        <w:t>Projecto</w:t>
      </w:r>
      <w:proofErr w:type="spellEnd"/>
      <w:r w:rsidRPr="00472547">
        <w:rPr>
          <w:rFonts w:ascii="Arial" w:eastAsia="Times New Roman" w:hAnsi="Arial" w:cs="Arial"/>
          <w:sz w:val="20"/>
          <w:szCs w:val="20"/>
          <w:lang w:val="pt-PT"/>
        </w:rPr>
        <w:t xml:space="preserve">. Este MGR de questões laborais terá mecanismos bem claros sobre a necessidade de notificar imediatamente o Banco Mundial em caso de reclamações ou queixas. </w:t>
      </w:r>
    </w:p>
    <w:p w14:paraId="47775222" w14:textId="73B2641E" w:rsidR="00061682" w:rsidRPr="00292532" w:rsidRDefault="00061682" w:rsidP="00061682">
      <w:pPr>
        <w:spacing w:before="0" w:after="200"/>
        <w:jc w:val="center"/>
        <w:rPr>
          <w:rFonts w:eastAsia="Times New Roman" w:cs="Calibri"/>
          <w:i/>
          <w:iCs/>
          <w:color w:val="44546A"/>
          <w:sz w:val="18"/>
          <w:szCs w:val="18"/>
          <w:lang w:val="pt-PT"/>
        </w:rPr>
      </w:pPr>
    </w:p>
    <w:p w14:paraId="4796AC02" w14:textId="77777777" w:rsidR="00061682" w:rsidRPr="00292532" w:rsidRDefault="00061682" w:rsidP="00061682">
      <w:pPr>
        <w:spacing w:before="0" w:after="120"/>
        <w:rPr>
          <w:rFonts w:ascii="Arial" w:eastAsia="Times New Roman" w:hAnsi="Arial" w:cs="Arial"/>
          <w:bCs/>
          <w:sz w:val="20"/>
          <w:szCs w:val="20"/>
          <w:lang w:val="pt-PT"/>
        </w:rPr>
      </w:pPr>
    </w:p>
    <w:p w14:paraId="7A519167" w14:textId="77777777" w:rsidR="00061682" w:rsidRPr="00292532" w:rsidRDefault="00061682" w:rsidP="000616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rPr>
          <w:rFonts w:eastAsia="Times New Roman" w:cs="Calibri"/>
          <w:sz w:val="20"/>
          <w:lang w:val="pt-PT"/>
        </w:rPr>
      </w:pPr>
    </w:p>
    <w:p w14:paraId="264423F7" w14:textId="77777777" w:rsidR="00061682" w:rsidRPr="00292532" w:rsidRDefault="00061682" w:rsidP="00061682">
      <w:pPr>
        <w:spacing w:before="0" w:line="259" w:lineRule="auto"/>
        <w:jc w:val="left"/>
        <w:rPr>
          <w:rFonts w:ascii="Arial" w:eastAsia="Times New Roman" w:hAnsi="Arial" w:cs="Arial"/>
          <w:sz w:val="18"/>
          <w:szCs w:val="18"/>
          <w:lang w:val="pt-PT"/>
        </w:rPr>
      </w:pPr>
    </w:p>
    <w:p w14:paraId="1F2484D6" w14:textId="77777777" w:rsidR="00061682" w:rsidRPr="00292532" w:rsidRDefault="00061682" w:rsidP="00061682">
      <w:pPr>
        <w:spacing w:before="0" w:line="259" w:lineRule="auto"/>
        <w:jc w:val="left"/>
        <w:rPr>
          <w:rFonts w:ascii="Arial" w:eastAsia="Times New Roman" w:hAnsi="Arial" w:cs="Arial"/>
          <w:sz w:val="18"/>
          <w:szCs w:val="18"/>
          <w:lang w:val="pt-PT"/>
        </w:rPr>
      </w:pPr>
    </w:p>
    <w:p w14:paraId="5708D1DE" w14:textId="77777777" w:rsidR="00061682" w:rsidRPr="00292532" w:rsidRDefault="00061682" w:rsidP="00061682">
      <w:pPr>
        <w:spacing w:before="0" w:after="120"/>
        <w:rPr>
          <w:rFonts w:ascii="Arial" w:eastAsia="Times New Roman" w:hAnsi="Arial" w:cs="Arial"/>
          <w:sz w:val="18"/>
          <w:szCs w:val="18"/>
          <w:lang w:val="pt-PT"/>
        </w:rPr>
        <w:sectPr w:rsidR="00061682" w:rsidRPr="00292532" w:rsidSect="00BD0602">
          <w:pgSz w:w="11906" w:h="16838"/>
          <w:pgMar w:top="1440" w:right="1440" w:bottom="1440" w:left="1440" w:header="708" w:footer="708" w:gutter="0"/>
          <w:cols w:space="708"/>
          <w:docGrid w:linePitch="360"/>
        </w:sectPr>
      </w:pPr>
    </w:p>
    <w:p w14:paraId="68DEEB46" w14:textId="027273C2" w:rsidR="008907E4" w:rsidRDefault="008907E4" w:rsidP="00941934">
      <w:pPr>
        <w:keepNext/>
        <w:keepLines/>
        <w:numPr>
          <w:ilvl w:val="0"/>
          <w:numId w:val="155"/>
        </w:numPr>
        <w:suppressAutoHyphens/>
        <w:spacing w:before="0" w:after="120"/>
        <w:outlineLvl w:val="0"/>
        <w:rPr>
          <w:rFonts w:eastAsia="Times New Roman" w:cs="Times New Roman"/>
          <w:color w:val="2F5496"/>
          <w:sz w:val="32"/>
          <w:lang w:val="pt-PT"/>
        </w:rPr>
      </w:pPr>
      <w:bookmarkStart w:id="1723" w:name="_Toc80380223"/>
      <w:bookmarkStart w:id="1724" w:name="_Toc78435555"/>
      <w:r>
        <w:rPr>
          <w:rFonts w:eastAsia="Times New Roman" w:cs="Times New Roman"/>
          <w:color w:val="2F5496"/>
          <w:sz w:val="32"/>
          <w:lang w:val="pt-PT"/>
        </w:rPr>
        <w:lastRenderedPageBreak/>
        <w:t>Estimativa do Orçamento</w:t>
      </w:r>
      <w:bookmarkEnd w:id="1723"/>
    </w:p>
    <w:bookmarkEnd w:id="1724"/>
    <w:p w14:paraId="1DB267E0" w14:textId="77777777" w:rsidR="00061682" w:rsidRPr="00292532" w:rsidRDefault="00061682" w:rsidP="00061682">
      <w:pPr>
        <w:spacing w:before="0" w:after="120"/>
        <w:rPr>
          <w:rFonts w:ascii="Arial" w:eastAsia="Times New Roman" w:hAnsi="Arial" w:cs="Arial"/>
          <w:sz w:val="18"/>
          <w:szCs w:val="18"/>
          <w:lang w:val="pt-PT"/>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0"/>
        <w:gridCol w:w="6520"/>
        <w:gridCol w:w="1880"/>
      </w:tblGrid>
      <w:tr w:rsidR="00061682" w:rsidRPr="00292532" w14:paraId="4186E569" w14:textId="77777777" w:rsidTr="00BD0602">
        <w:trPr>
          <w:trHeight w:val="315"/>
        </w:trPr>
        <w:tc>
          <w:tcPr>
            <w:tcW w:w="960" w:type="dxa"/>
            <w:shd w:val="clear" w:color="000000" w:fill="5B9BD5"/>
            <w:vAlign w:val="center"/>
            <w:hideMark/>
          </w:tcPr>
          <w:p w14:paraId="6047AC67" w14:textId="77777777" w:rsidR="00061682" w:rsidRPr="00292532" w:rsidRDefault="00061682" w:rsidP="00061682">
            <w:pPr>
              <w:spacing w:before="0" w:after="0"/>
              <w:jc w:val="center"/>
              <w:rPr>
                <w:rFonts w:ascii="Arial" w:eastAsia="Times New Roman" w:hAnsi="Arial" w:cs="Arial"/>
                <w:b/>
                <w:bCs/>
                <w:color w:val="FFFFFF"/>
                <w:sz w:val="20"/>
                <w:szCs w:val="20"/>
                <w:lang w:val="pt-PT" w:eastAsia="pt-PT"/>
              </w:rPr>
            </w:pPr>
            <w:proofErr w:type="spellStart"/>
            <w:r w:rsidRPr="00292532">
              <w:rPr>
                <w:rFonts w:ascii="Arial" w:eastAsia="Times New Roman" w:hAnsi="Arial" w:cs="Arial"/>
                <w:b/>
                <w:bCs/>
                <w:color w:val="FFFFFF"/>
                <w:sz w:val="20"/>
                <w:szCs w:val="20"/>
                <w:lang w:val="pt-PT" w:eastAsia="pt-PT"/>
              </w:rPr>
              <w:t>Nr</w:t>
            </w:r>
            <w:proofErr w:type="spellEnd"/>
          </w:p>
        </w:tc>
        <w:tc>
          <w:tcPr>
            <w:tcW w:w="6520" w:type="dxa"/>
            <w:shd w:val="clear" w:color="000000" w:fill="5B9BD5"/>
            <w:vAlign w:val="center"/>
            <w:hideMark/>
          </w:tcPr>
          <w:p w14:paraId="38ADD5D1" w14:textId="77777777" w:rsidR="00061682" w:rsidRPr="00292532" w:rsidRDefault="00061682" w:rsidP="00061682">
            <w:pPr>
              <w:spacing w:before="0" w:after="0"/>
              <w:jc w:val="center"/>
              <w:rPr>
                <w:rFonts w:ascii="Arial" w:eastAsia="Times New Roman" w:hAnsi="Arial" w:cs="Arial"/>
                <w:b/>
                <w:bCs/>
                <w:color w:val="FFFFFF"/>
                <w:sz w:val="20"/>
                <w:szCs w:val="20"/>
                <w:lang w:val="pt-PT" w:eastAsia="pt-PT"/>
              </w:rPr>
            </w:pPr>
            <w:proofErr w:type="spellStart"/>
            <w:r w:rsidRPr="00292532">
              <w:rPr>
                <w:rFonts w:ascii="Arial" w:eastAsia="Times New Roman" w:hAnsi="Arial" w:cs="Arial"/>
                <w:b/>
                <w:bCs/>
                <w:color w:val="FFFFFF"/>
                <w:sz w:val="20"/>
                <w:szCs w:val="20"/>
                <w:lang w:val="pt-PT" w:eastAsia="pt-PT"/>
              </w:rPr>
              <w:t>Acções</w:t>
            </w:r>
            <w:proofErr w:type="spellEnd"/>
            <w:r w:rsidRPr="00292532">
              <w:rPr>
                <w:rFonts w:ascii="Arial" w:eastAsia="Times New Roman" w:hAnsi="Arial" w:cs="Arial"/>
                <w:b/>
                <w:bCs/>
                <w:color w:val="FFFFFF"/>
                <w:sz w:val="20"/>
                <w:szCs w:val="20"/>
                <w:lang w:val="pt-PT" w:eastAsia="pt-PT"/>
              </w:rPr>
              <w:t>-Chave</w:t>
            </w:r>
          </w:p>
        </w:tc>
        <w:tc>
          <w:tcPr>
            <w:tcW w:w="1880" w:type="dxa"/>
            <w:shd w:val="clear" w:color="000000" w:fill="5B9BD5"/>
            <w:vAlign w:val="center"/>
            <w:hideMark/>
          </w:tcPr>
          <w:p w14:paraId="7FF08A10" w14:textId="77777777" w:rsidR="00061682" w:rsidRPr="00292532" w:rsidRDefault="00061682" w:rsidP="00061682">
            <w:pPr>
              <w:spacing w:before="0" w:after="0"/>
              <w:jc w:val="center"/>
              <w:rPr>
                <w:rFonts w:ascii="Arial" w:eastAsia="Times New Roman" w:hAnsi="Arial" w:cs="Arial"/>
                <w:b/>
                <w:bCs/>
                <w:color w:val="FFFFFF"/>
                <w:sz w:val="20"/>
                <w:szCs w:val="20"/>
                <w:lang w:val="pt-PT" w:eastAsia="pt-PT"/>
              </w:rPr>
            </w:pPr>
            <w:r w:rsidRPr="00292532">
              <w:rPr>
                <w:rFonts w:ascii="Arial" w:eastAsia="Times New Roman" w:hAnsi="Arial" w:cs="Arial"/>
                <w:b/>
                <w:bCs/>
                <w:color w:val="FFFFFF"/>
                <w:sz w:val="20"/>
                <w:szCs w:val="20"/>
                <w:lang w:val="pt-PT" w:eastAsia="pt-PT"/>
              </w:rPr>
              <w:t>Orçamento (USD)</w:t>
            </w:r>
          </w:p>
        </w:tc>
      </w:tr>
      <w:tr w:rsidR="00061682" w:rsidRPr="00292532" w14:paraId="3FDD6E3C" w14:textId="77777777" w:rsidTr="00BD0602">
        <w:trPr>
          <w:trHeight w:val="270"/>
        </w:trPr>
        <w:tc>
          <w:tcPr>
            <w:tcW w:w="960" w:type="dxa"/>
            <w:shd w:val="clear" w:color="auto" w:fill="auto"/>
            <w:vAlign w:val="center"/>
            <w:hideMark/>
          </w:tcPr>
          <w:p w14:paraId="39F4E2DA" w14:textId="77777777" w:rsidR="00061682" w:rsidRPr="00292532" w:rsidRDefault="00061682" w:rsidP="00061682">
            <w:pPr>
              <w:spacing w:before="0" w:after="0"/>
              <w:jc w:val="center"/>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1</w:t>
            </w:r>
          </w:p>
        </w:tc>
        <w:tc>
          <w:tcPr>
            <w:tcW w:w="6520" w:type="dxa"/>
            <w:shd w:val="clear" w:color="auto" w:fill="auto"/>
            <w:vAlign w:val="center"/>
            <w:hideMark/>
          </w:tcPr>
          <w:p w14:paraId="02AF93E0" w14:textId="77777777" w:rsidR="00061682" w:rsidRPr="00292532" w:rsidRDefault="00061682" w:rsidP="00061682">
            <w:pPr>
              <w:spacing w:before="0" w:after="0"/>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 xml:space="preserve">Contratação de Provedor de </w:t>
            </w:r>
            <w:proofErr w:type="gramStart"/>
            <w:r w:rsidRPr="00292532">
              <w:rPr>
                <w:rFonts w:ascii="Arial" w:eastAsia="Times New Roman" w:hAnsi="Arial" w:cs="Arial"/>
                <w:color w:val="000000"/>
                <w:sz w:val="20"/>
                <w:szCs w:val="20"/>
                <w:lang w:val="pt-PT" w:eastAsia="pt-PT"/>
              </w:rPr>
              <w:t>Serviços  em</w:t>
            </w:r>
            <w:proofErr w:type="gramEnd"/>
            <w:r w:rsidRPr="00292532">
              <w:rPr>
                <w:rFonts w:ascii="Arial" w:eastAsia="Times New Roman" w:hAnsi="Arial" w:cs="Arial"/>
                <w:color w:val="000000"/>
                <w:sz w:val="20"/>
                <w:szCs w:val="20"/>
                <w:lang w:val="pt-PT" w:eastAsia="pt-PT"/>
              </w:rPr>
              <w:t xml:space="preserve"> VBG (4 anos)</w:t>
            </w:r>
          </w:p>
        </w:tc>
        <w:tc>
          <w:tcPr>
            <w:tcW w:w="1880" w:type="dxa"/>
            <w:shd w:val="clear" w:color="000000" w:fill="FFFFFF"/>
            <w:vAlign w:val="center"/>
            <w:hideMark/>
          </w:tcPr>
          <w:p w14:paraId="24C8A137" w14:textId="77777777" w:rsidR="00061682" w:rsidRPr="00292532" w:rsidRDefault="00061682" w:rsidP="00061682">
            <w:pPr>
              <w:spacing w:before="0" w:after="0"/>
              <w:jc w:val="center"/>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 xml:space="preserve">           720,000.00   </w:t>
            </w:r>
          </w:p>
        </w:tc>
      </w:tr>
      <w:tr w:rsidR="00061682" w:rsidRPr="00292532" w14:paraId="3D4E375C" w14:textId="77777777" w:rsidTr="00BD0602">
        <w:trPr>
          <w:trHeight w:val="525"/>
        </w:trPr>
        <w:tc>
          <w:tcPr>
            <w:tcW w:w="960" w:type="dxa"/>
            <w:shd w:val="clear" w:color="auto" w:fill="auto"/>
            <w:vAlign w:val="center"/>
            <w:hideMark/>
          </w:tcPr>
          <w:p w14:paraId="2CDAC791" w14:textId="77777777" w:rsidR="00061682" w:rsidRPr="00292532" w:rsidRDefault="00061682" w:rsidP="00061682">
            <w:pPr>
              <w:spacing w:before="0" w:after="0"/>
              <w:jc w:val="center"/>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2</w:t>
            </w:r>
          </w:p>
        </w:tc>
        <w:tc>
          <w:tcPr>
            <w:tcW w:w="6520" w:type="dxa"/>
            <w:shd w:val="clear" w:color="auto" w:fill="auto"/>
            <w:vAlign w:val="center"/>
            <w:hideMark/>
          </w:tcPr>
          <w:p w14:paraId="6026E25C" w14:textId="77777777" w:rsidR="00061682" w:rsidRPr="00292532" w:rsidRDefault="00061682" w:rsidP="00061682">
            <w:pPr>
              <w:spacing w:before="0" w:after="0"/>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 xml:space="preserve">Capacitação interna pelo Provedor de Serviços (AIAS e DNAAS) e replicado </w:t>
            </w:r>
            <w:proofErr w:type="spellStart"/>
            <w:r w:rsidRPr="00292532">
              <w:rPr>
                <w:rFonts w:ascii="Arial" w:eastAsia="Times New Roman" w:hAnsi="Arial" w:cs="Arial"/>
                <w:color w:val="000000"/>
                <w:sz w:val="20"/>
                <w:szCs w:val="20"/>
                <w:lang w:val="pt-PT" w:eastAsia="pt-PT"/>
              </w:rPr>
              <w:t>interamente</w:t>
            </w:r>
            <w:proofErr w:type="spellEnd"/>
          </w:p>
        </w:tc>
        <w:tc>
          <w:tcPr>
            <w:tcW w:w="1880" w:type="dxa"/>
            <w:shd w:val="clear" w:color="000000" w:fill="FFFFFF"/>
            <w:vAlign w:val="center"/>
            <w:hideMark/>
          </w:tcPr>
          <w:p w14:paraId="4EC6D7B6" w14:textId="77777777" w:rsidR="00061682" w:rsidRPr="00292532" w:rsidRDefault="00061682" w:rsidP="00061682">
            <w:pPr>
              <w:spacing w:before="0" w:after="0"/>
              <w:jc w:val="center"/>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 xml:space="preserve">            40,000.00   </w:t>
            </w:r>
          </w:p>
        </w:tc>
      </w:tr>
      <w:tr w:rsidR="00061682" w:rsidRPr="00292532" w14:paraId="39E581E0" w14:textId="77777777" w:rsidTr="00BD0602">
        <w:trPr>
          <w:trHeight w:val="525"/>
        </w:trPr>
        <w:tc>
          <w:tcPr>
            <w:tcW w:w="960" w:type="dxa"/>
            <w:shd w:val="clear" w:color="auto" w:fill="auto"/>
            <w:vAlign w:val="center"/>
            <w:hideMark/>
          </w:tcPr>
          <w:p w14:paraId="7CAEA0E1" w14:textId="77777777" w:rsidR="00061682" w:rsidRPr="00292532" w:rsidRDefault="00061682" w:rsidP="00061682">
            <w:pPr>
              <w:spacing w:before="0" w:after="0"/>
              <w:jc w:val="center"/>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3</w:t>
            </w:r>
          </w:p>
        </w:tc>
        <w:tc>
          <w:tcPr>
            <w:tcW w:w="6520" w:type="dxa"/>
            <w:shd w:val="clear" w:color="auto" w:fill="auto"/>
            <w:vAlign w:val="center"/>
            <w:hideMark/>
          </w:tcPr>
          <w:p w14:paraId="525EDD7C" w14:textId="77777777" w:rsidR="00061682" w:rsidRPr="00292532" w:rsidRDefault="00061682" w:rsidP="00061682">
            <w:pPr>
              <w:spacing w:before="0" w:after="0"/>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Treinar Facilitadores comunitários em VBG para monitorarem casos de VBG nas comunidades</w:t>
            </w:r>
          </w:p>
        </w:tc>
        <w:tc>
          <w:tcPr>
            <w:tcW w:w="1880" w:type="dxa"/>
            <w:shd w:val="clear" w:color="000000" w:fill="FFFFFF"/>
            <w:vAlign w:val="center"/>
            <w:hideMark/>
          </w:tcPr>
          <w:p w14:paraId="1C63C0BB" w14:textId="77777777" w:rsidR="00061682" w:rsidRPr="00292532" w:rsidRDefault="00061682" w:rsidP="00061682">
            <w:pPr>
              <w:spacing w:before="0" w:after="0"/>
              <w:jc w:val="center"/>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 xml:space="preserve">            30,000.00   </w:t>
            </w:r>
          </w:p>
        </w:tc>
      </w:tr>
      <w:tr w:rsidR="00061682" w:rsidRPr="00292532" w14:paraId="5F24BD1E" w14:textId="77777777" w:rsidTr="00BD0602">
        <w:trPr>
          <w:trHeight w:val="780"/>
        </w:trPr>
        <w:tc>
          <w:tcPr>
            <w:tcW w:w="960" w:type="dxa"/>
            <w:shd w:val="clear" w:color="auto" w:fill="auto"/>
            <w:vAlign w:val="center"/>
            <w:hideMark/>
          </w:tcPr>
          <w:p w14:paraId="34B45434" w14:textId="77777777" w:rsidR="00061682" w:rsidRPr="00292532" w:rsidRDefault="00061682" w:rsidP="00061682">
            <w:pPr>
              <w:spacing w:before="0" w:after="0"/>
              <w:jc w:val="center"/>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4</w:t>
            </w:r>
          </w:p>
        </w:tc>
        <w:tc>
          <w:tcPr>
            <w:tcW w:w="6520" w:type="dxa"/>
            <w:shd w:val="clear" w:color="auto" w:fill="auto"/>
            <w:vAlign w:val="center"/>
            <w:hideMark/>
          </w:tcPr>
          <w:p w14:paraId="050F22F7" w14:textId="77777777" w:rsidR="00061682" w:rsidRPr="00292532" w:rsidRDefault="00061682" w:rsidP="00061682">
            <w:pPr>
              <w:spacing w:before="0" w:after="0"/>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 xml:space="preserve">Mapear os </w:t>
            </w:r>
            <w:proofErr w:type="spellStart"/>
            <w:r w:rsidRPr="00292532">
              <w:rPr>
                <w:rFonts w:ascii="Arial" w:eastAsia="Times New Roman" w:hAnsi="Arial" w:cs="Arial"/>
                <w:color w:val="000000"/>
                <w:sz w:val="20"/>
                <w:szCs w:val="20"/>
                <w:lang w:val="pt-PT" w:eastAsia="pt-PT"/>
              </w:rPr>
              <w:t>actores</w:t>
            </w:r>
            <w:proofErr w:type="spellEnd"/>
            <w:r w:rsidRPr="00292532">
              <w:rPr>
                <w:rFonts w:ascii="Arial" w:eastAsia="Times New Roman" w:hAnsi="Arial" w:cs="Arial"/>
                <w:color w:val="000000"/>
                <w:sz w:val="20"/>
                <w:szCs w:val="20"/>
                <w:lang w:val="pt-PT" w:eastAsia="pt-PT"/>
              </w:rPr>
              <w:t xml:space="preserve"> existentes e disponibilizar a informação para os intervenientes do </w:t>
            </w:r>
            <w:proofErr w:type="spellStart"/>
            <w:r w:rsidRPr="00292532">
              <w:rPr>
                <w:rFonts w:ascii="Arial" w:eastAsia="Times New Roman" w:hAnsi="Arial" w:cs="Arial"/>
                <w:color w:val="000000"/>
                <w:sz w:val="20"/>
                <w:szCs w:val="20"/>
                <w:lang w:val="pt-PT" w:eastAsia="pt-PT"/>
              </w:rPr>
              <w:t>projecto</w:t>
            </w:r>
            <w:proofErr w:type="spellEnd"/>
            <w:r w:rsidRPr="00292532">
              <w:rPr>
                <w:rFonts w:ascii="Arial" w:eastAsia="Times New Roman" w:hAnsi="Arial" w:cs="Arial"/>
                <w:color w:val="000000"/>
                <w:sz w:val="20"/>
                <w:szCs w:val="20"/>
                <w:lang w:val="pt-PT" w:eastAsia="pt-PT"/>
              </w:rPr>
              <w:t xml:space="preserve"> sobre a disponibilidade dos serviços em todos os distritos de implementação do </w:t>
            </w:r>
            <w:proofErr w:type="spellStart"/>
            <w:r w:rsidRPr="00292532">
              <w:rPr>
                <w:rFonts w:ascii="Arial" w:eastAsia="Times New Roman" w:hAnsi="Arial" w:cs="Arial"/>
                <w:color w:val="000000"/>
                <w:sz w:val="20"/>
                <w:szCs w:val="20"/>
                <w:lang w:val="pt-PT" w:eastAsia="pt-PT"/>
              </w:rPr>
              <w:t>projecto</w:t>
            </w:r>
            <w:proofErr w:type="spellEnd"/>
          </w:p>
        </w:tc>
        <w:tc>
          <w:tcPr>
            <w:tcW w:w="1880" w:type="dxa"/>
            <w:shd w:val="clear" w:color="000000" w:fill="FFFFFF"/>
            <w:vAlign w:val="center"/>
            <w:hideMark/>
          </w:tcPr>
          <w:p w14:paraId="30BD0991" w14:textId="77777777" w:rsidR="00061682" w:rsidRPr="00292532" w:rsidRDefault="00061682" w:rsidP="00061682">
            <w:pPr>
              <w:spacing w:before="0" w:after="0"/>
              <w:jc w:val="center"/>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 xml:space="preserve">            20,000.00   </w:t>
            </w:r>
          </w:p>
        </w:tc>
      </w:tr>
      <w:tr w:rsidR="00061682" w:rsidRPr="00292532" w14:paraId="234F269E" w14:textId="77777777" w:rsidTr="00BD0602">
        <w:trPr>
          <w:trHeight w:val="780"/>
        </w:trPr>
        <w:tc>
          <w:tcPr>
            <w:tcW w:w="960" w:type="dxa"/>
            <w:shd w:val="clear" w:color="auto" w:fill="auto"/>
            <w:vAlign w:val="center"/>
            <w:hideMark/>
          </w:tcPr>
          <w:p w14:paraId="1F77FFA4" w14:textId="77777777" w:rsidR="00061682" w:rsidRPr="00292532" w:rsidRDefault="00061682" w:rsidP="00061682">
            <w:pPr>
              <w:spacing w:before="0" w:after="0"/>
              <w:jc w:val="center"/>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5</w:t>
            </w:r>
          </w:p>
        </w:tc>
        <w:tc>
          <w:tcPr>
            <w:tcW w:w="6520" w:type="dxa"/>
            <w:shd w:val="clear" w:color="auto" w:fill="auto"/>
            <w:vAlign w:val="center"/>
            <w:hideMark/>
          </w:tcPr>
          <w:p w14:paraId="599704F4" w14:textId="77777777" w:rsidR="00061682" w:rsidRPr="00292532" w:rsidRDefault="00061682" w:rsidP="00061682">
            <w:pPr>
              <w:spacing w:before="0" w:after="0"/>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 xml:space="preserve">Realizar sessões de sensibilização e palestras regulares sobre VBG nas áreas de intervenção do </w:t>
            </w:r>
            <w:proofErr w:type="spellStart"/>
            <w:r w:rsidRPr="00292532">
              <w:rPr>
                <w:rFonts w:ascii="Arial" w:eastAsia="Times New Roman" w:hAnsi="Arial" w:cs="Arial"/>
                <w:color w:val="000000"/>
                <w:sz w:val="20"/>
                <w:szCs w:val="20"/>
                <w:lang w:val="pt-PT" w:eastAsia="pt-PT"/>
              </w:rPr>
              <w:t>projecto</w:t>
            </w:r>
            <w:proofErr w:type="spellEnd"/>
            <w:r w:rsidRPr="00292532">
              <w:rPr>
                <w:rFonts w:ascii="Arial" w:eastAsia="Times New Roman" w:hAnsi="Arial" w:cs="Arial"/>
                <w:color w:val="000000"/>
                <w:sz w:val="20"/>
                <w:szCs w:val="20"/>
                <w:lang w:val="pt-PT" w:eastAsia="pt-PT"/>
              </w:rPr>
              <w:t>, incluindo as principais Leis ligadas a VBG (nas escolas, mercados, comunidades, etc.)</w:t>
            </w:r>
          </w:p>
        </w:tc>
        <w:tc>
          <w:tcPr>
            <w:tcW w:w="1880" w:type="dxa"/>
            <w:vMerge w:val="restart"/>
            <w:shd w:val="clear" w:color="000000" w:fill="FFFFFF"/>
            <w:vAlign w:val="center"/>
            <w:hideMark/>
          </w:tcPr>
          <w:p w14:paraId="11A5DE55" w14:textId="77777777" w:rsidR="00061682" w:rsidRPr="00292532" w:rsidRDefault="00061682" w:rsidP="00061682">
            <w:pPr>
              <w:spacing w:before="0" w:after="0"/>
              <w:jc w:val="center"/>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 xml:space="preserve">           100,000.00   </w:t>
            </w:r>
          </w:p>
        </w:tc>
      </w:tr>
      <w:tr w:rsidR="00061682" w:rsidRPr="004E2EAC" w14:paraId="651ABB10" w14:textId="77777777" w:rsidTr="00BD0602">
        <w:trPr>
          <w:trHeight w:val="780"/>
        </w:trPr>
        <w:tc>
          <w:tcPr>
            <w:tcW w:w="960" w:type="dxa"/>
            <w:shd w:val="clear" w:color="auto" w:fill="auto"/>
            <w:vAlign w:val="center"/>
            <w:hideMark/>
          </w:tcPr>
          <w:p w14:paraId="2E8936AB" w14:textId="77777777" w:rsidR="00061682" w:rsidRPr="00292532" w:rsidRDefault="00061682" w:rsidP="00061682">
            <w:pPr>
              <w:spacing w:before="0" w:after="0"/>
              <w:jc w:val="center"/>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6</w:t>
            </w:r>
          </w:p>
        </w:tc>
        <w:tc>
          <w:tcPr>
            <w:tcW w:w="6520" w:type="dxa"/>
            <w:shd w:val="clear" w:color="auto" w:fill="auto"/>
            <w:vAlign w:val="center"/>
            <w:hideMark/>
          </w:tcPr>
          <w:p w14:paraId="61030B98" w14:textId="77777777" w:rsidR="00061682" w:rsidRPr="00292532" w:rsidRDefault="00061682" w:rsidP="00061682">
            <w:pPr>
              <w:spacing w:before="0" w:after="0"/>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Criar e divulgar o protocolo de funcionamento do mecanismo integrado de atendimento às vítimas de violência durante as sessões de mobilização e sensibilização sobre VBG</w:t>
            </w:r>
          </w:p>
        </w:tc>
        <w:tc>
          <w:tcPr>
            <w:tcW w:w="1880" w:type="dxa"/>
            <w:vMerge/>
            <w:vAlign w:val="center"/>
            <w:hideMark/>
          </w:tcPr>
          <w:p w14:paraId="4CE0BF61" w14:textId="77777777" w:rsidR="00061682" w:rsidRPr="00292532" w:rsidRDefault="00061682" w:rsidP="00061682">
            <w:pPr>
              <w:spacing w:before="0" w:after="0"/>
              <w:jc w:val="left"/>
              <w:rPr>
                <w:rFonts w:ascii="Arial" w:eastAsia="Times New Roman" w:hAnsi="Arial" w:cs="Arial"/>
                <w:color w:val="000000"/>
                <w:sz w:val="20"/>
                <w:szCs w:val="20"/>
                <w:lang w:val="pt-PT" w:eastAsia="pt-PT"/>
              </w:rPr>
            </w:pPr>
          </w:p>
        </w:tc>
      </w:tr>
      <w:tr w:rsidR="00061682" w:rsidRPr="004E2EAC" w14:paraId="4F0665C8" w14:textId="77777777" w:rsidTr="00BD0602">
        <w:trPr>
          <w:trHeight w:val="525"/>
        </w:trPr>
        <w:tc>
          <w:tcPr>
            <w:tcW w:w="960" w:type="dxa"/>
            <w:shd w:val="clear" w:color="auto" w:fill="auto"/>
            <w:vAlign w:val="center"/>
            <w:hideMark/>
          </w:tcPr>
          <w:p w14:paraId="4D8731F3" w14:textId="77777777" w:rsidR="00061682" w:rsidRPr="00292532" w:rsidRDefault="00061682" w:rsidP="00061682">
            <w:pPr>
              <w:spacing w:before="0" w:after="0"/>
              <w:jc w:val="center"/>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7</w:t>
            </w:r>
          </w:p>
        </w:tc>
        <w:tc>
          <w:tcPr>
            <w:tcW w:w="6520" w:type="dxa"/>
            <w:shd w:val="clear" w:color="auto" w:fill="auto"/>
            <w:vAlign w:val="center"/>
            <w:hideMark/>
          </w:tcPr>
          <w:p w14:paraId="569408A6" w14:textId="77777777" w:rsidR="00061682" w:rsidRPr="00292532" w:rsidRDefault="00061682" w:rsidP="00061682">
            <w:pPr>
              <w:spacing w:before="0" w:after="0"/>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 xml:space="preserve">Produzir e distribuir materiais de comunicação e informação sobre VBG nas áreas do </w:t>
            </w:r>
            <w:proofErr w:type="spellStart"/>
            <w:r w:rsidRPr="00292532">
              <w:rPr>
                <w:rFonts w:ascii="Arial" w:eastAsia="Times New Roman" w:hAnsi="Arial" w:cs="Arial"/>
                <w:color w:val="000000"/>
                <w:sz w:val="20"/>
                <w:szCs w:val="20"/>
                <w:lang w:val="pt-PT" w:eastAsia="pt-PT"/>
              </w:rPr>
              <w:t>projecto</w:t>
            </w:r>
            <w:proofErr w:type="spellEnd"/>
          </w:p>
        </w:tc>
        <w:tc>
          <w:tcPr>
            <w:tcW w:w="1880" w:type="dxa"/>
            <w:vMerge/>
            <w:vAlign w:val="center"/>
            <w:hideMark/>
          </w:tcPr>
          <w:p w14:paraId="081CAC30" w14:textId="77777777" w:rsidR="00061682" w:rsidRPr="00292532" w:rsidRDefault="00061682" w:rsidP="00061682">
            <w:pPr>
              <w:spacing w:before="0" w:after="0"/>
              <w:jc w:val="left"/>
              <w:rPr>
                <w:rFonts w:ascii="Arial" w:eastAsia="Times New Roman" w:hAnsi="Arial" w:cs="Arial"/>
                <w:color w:val="000000"/>
                <w:sz w:val="20"/>
                <w:szCs w:val="20"/>
                <w:lang w:val="pt-PT" w:eastAsia="pt-PT"/>
              </w:rPr>
            </w:pPr>
          </w:p>
        </w:tc>
      </w:tr>
      <w:tr w:rsidR="00061682" w:rsidRPr="00292532" w14:paraId="669E42CB" w14:textId="77777777" w:rsidTr="00BD0602">
        <w:trPr>
          <w:trHeight w:val="315"/>
        </w:trPr>
        <w:tc>
          <w:tcPr>
            <w:tcW w:w="960" w:type="dxa"/>
            <w:shd w:val="clear" w:color="auto" w:fill="auto"/>
            <w:vAlign w:val="center"/>
            <w:hideMark/>
          </w:tcPr>
          <w:p w14:paraId="437B9A46" w14:textId="77777777" w:rsidR="00061682" w:rsidRPr="00292532" w:rsidRDefault="00061682" w:rsidP="00061682">
            <w:pPr>
              <w:spacing w:before="0" w:after="0"/>
              <w:jc w:val="center"/>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8</w:t>
            </w:r>
          </w:p>
        </w:tc>
        <w:tc>
          <w:tcPr>
            <w:tcW w:w="6520" w:type="dxa"/>
            <w:shd w:val="clear" w:color="auto" w:fill="auto"/>
            <w:vAlign w:val="center"/>
            <w:hideMark/>
          </w:tcPr>
          <w:p w14:paraId="77DA497E" w14:textId="77777777" w:rsidR="00061682" w:rsidRPr="00292532" w:rsidRDefault="00061682" w:rsidP="00061682">
            <w:pPr>
              <w:spacing w:before="0" w:after="0"/>
              <w:rPr>
                <w:rFonts w:ascii="Arial" w:eastAsia="Times New Roman" w:hAnsi="Arial" w:cs="Arial"/>
                <w:color w:val="000000"/>
                <w:sz w:val="20"/>
                <w:szCs w:val="20"/>
                <w:lang w:val="pt-PT" w:eastAsia="pt-PT"/>
              </w:rPr>
            </w:pPr>
            <w:proofErr w:type="spellStart"/>
            <w:r w:rsidRPr="00292532">
              <w:rPr>
                <w:rFonts w:ascii="Arial" w:eastAsia="Times New Roman" w:hAnsi="Arial" w:cs="Arial"/>
                <w:color w:val="000000"/>
                <w:sz w:val="20"/>
                <w:szCs w:val="20"/>
                <w:lang w:val="pt-PT" w:eastAsia="pt-PT"/>
              </w:rPr>
              <w:t>Atedimento</w:t>
            </w:r>
            <w:proofErr w:type="spellEnd"/>
            <w:r w:rsidRPr="00292532">
              <w:rPr>
                <w:rFonts w:ascii="Arial" w:eastAsia="Times New Roman" w:hAnsi="Arial" w:cs="Arial"/>
                <w:color w:val="000000"/>
                <w:sz w:val="20"/>
                <w:szCs w:val="20"/>
                <w:lang w:val="pt-PT" w:eastAsia="pt-PT"/>
              </w:rPr>
              <w:t xml:space="preserve"> a vítimas de VBG e Investigações de alegações de VBG</w:t>
            </w:r>
          </w:p>
        </w:tc>
        <w:tc>
          <w:tcPr>
            <w:tcW w:w="1880" w:type="dxa"/>
            <w:shd w:val="clear" w:color="000000" w:fill="FFFFFF"/>
            <w:vAlign w:val="center"/>
            <w:hideMark/>
          </w:tcPr>
          <w:p w14:paraId="0C424D5B" w14:textId="77777777" w:rsidR="00061682" w:rsidRPr="00292532" w:rsidRDefault="00061682" w:rsidP="00061682">
            <w:pPr>
              <w:spacing w:before="0" w:after="0"/>
              <w:jc w:val="center"/>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 xml:space="preserve">            40,000.00   </w:t>
            </w:r>
          </w:p>
        </w:tc>
      </w:tr>
      <w:tr w:rsidR="00061682" w:rsidRPr="00292532" w14:paraId="406457D1" w14:textId="77777777" w:rsidTr="00BD0602">
        <w:trPr>
          <w:trHeight w:val="315"/>
        </w:trPr>
        <w:tc>
          <w:tcPr>
            <w:tcW w:w="960" w:type="dxa"/>
            <w:shd w:val="clear" w:color="auto" w:fill="auto"/>
            <w:vAlign w:val="center"/>
            <w:hideMark/>
          </w:tcPr>
          <w:p w14:paraId="6075626D" w14:textId="77777777" w:rsidR="00061682" w:rsidRPr="00292532" w:rsidRDefault="00061682" w:rsidP="00061682">
            <w:pPr>
              <w:spacing w:before="0" w:after="0"/>
              <w:jc w:val="center"/>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9</w:t>
            </w:r>
          </w:p>
        </w:tc>
        <w:tc>
          <w:tcPr>
            <w:tcW w:w="6520" w:type="dxa"/>
            <w:shd w:val="clear" w:color="auto" w:fill="auto"/>
            <w:vAlign w:val="center"/>
            <w:hideMark/>
          </w:tcPr>
          <w:p w14:paraId="124DD308" w14:textId="77777777" w:rsidR="00061682" w:rsidRPr="00292532" w:rsidRDefault="00061682" w:rsidP="00061682">
            <w:pPr>
              <w:spacing w:before="0" w:after="0"/>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Estabelecimento e operação de linha verde para VBG</w:t>
            </w:r>
          </w:p>
        </w:tc>
        <w:tc>
          <w:tcPr>
            <w:tcW w:w="1880" w:type="dxa"/>
            <w:shd w:val="clear" w:color="000000" w:fill="FFFFFF"/>
            <w:vAlign w:val="center"/>
            <w:hideMark/>
          </w:tcPr>
          <w:p w14:paraId="4EA58ECE" w14:textId="77777777" w:rsidR="00061682" w:rsidRPr="00292532" w:rsidRDefault="00061682" w:rsidP="00061682">
            <w:pPr>
              <w:spacing w:before="0" w:after="0"/>
              <w:jc w:val="center"/>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 xml:space="preserve">            60,000.00   </w:t>
            </w:r>
          </w:p>
        </w:tc>
      </w:tr>
      <w:tr w:rsidR="00061682" w:rsidRPr="00292532" w14:paraId="1AA6C7F5" w14:textId="77777777" w:rsidTr="00BD0602">
        <w:trPr>
          <w:trHeight w:val="525"/>
        </w:trPr>
        <w:tc>
          <w:tcPr>
            <w:tcW w:w="960" w:type="dxa"/>
            <w:shd w:val="clear" w:color="auto" w:fill="auto"/>
            <w:vAlign w:val="center"/>
            <w:hideMark/>
          </w:tcPr>
          <w:p w14:paraId="6489C4BD" w14:textId="77777777" w:rsidR="00061682" w:rsidRPr="00292532" w:rsidRDefault="00061682" w:rsidP="00061682">
            <w:pPr>
              <w:spacing w:before="0" w:after="0"/>
              <w:jc w:val="center"/>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10</w:t>
            </w:r>
          </w:p>
        </w:tc>
        <w:tc>
          <w:tcPr>
            <w:tcW w:w="6520" w:type="dxa"/>
            <w:shd w:val="clear" w:color="auto" w:fill="auto"/>
            <w:vAlign w:val="center"/>
            <w:hideMark/>
          </w:tcPr>
          <w:p w14:paraId="144D825F" w14:textId="77777777" w:rsidR="00061682" w:rsidRPr="00292532" w:rsidRDefault="00061682" w:rsidP="00061682">
            <w:pPr>
              <w:spacing w:before="0" w:after="0"/>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 xml:space="preserve">Realizar encontros anuais de aprendizagem sobre VBG no </w:t>
            </w:r>
            <w:proofErr w:type="spellStart"/>
            <w:r w:rsidRPr="00292532">
              <w:rPr>
                <w:rFonts w:ascii="Arial" w:eastAsia="Times New Roman" w:hAnsi="Arial" w:cs="Arial"/>
                <w:color w:val="000000"/>
                <w:sz w:val="20"/>
                <w:szCs w:val="20"/>
                <w:lang w:val="pt-PT" w:eastAsia="pt-PT"/>
              </w:rPr>
              <w:t>projecto</w:t>
            </w:r>
            <w:proofErr w:type="spellEnd"/>
            <w:r w:rsidRPr="00292532">
              <w:rPr>
                <w:rFonts w:ascii="Arial" w:eastAsia="Times New Roman" w:hAnsi="Arial" w:cs="Arial"/>
                <w:color w:val="000000"/>
                <w:sz w:val="20"/>
                <w:szCs w:val="20"/>
                <w:lang w:val="pt-PT" w:eastAsia="pt-PT"/>
              </w:rPr>
              <w:t xml:space="preserve"> e documentar as lições aprendidas e boas práticas</w:t>
            </w:r>
          </w:p>
        </w:tc>
        <w:tc>
          <w:tcPr>
            <w:tcW w:w="1880" w:type="dxa"/>
            <w:shd w:val="clear" w:color="auto" w:fill="auto"/>
            <w:vAlign w:val="center"/>
            <w:hideMark/>
          </w:tcPr>
          <w:p w14:paraId="7C8F25B7" w14:textId="77777777" w:rsidR="00061682" w:rsidRPr="00292532" w:rsidRDefault="00061682" w:rsidP="00061682">
            <w:pPr>
              <w:spacing w:before="0" w:after="0"/>
              <w:jc w:val="center"/>
              <w:rPr>
                <w:rFonts w:ascii="Arial" w:eastAsia="Times New Roman" w:hAnsi="Arial" w:cs="Arial"/>
                <w:color w:val="000000"/>
                <w:sz w:val="20"/>
                <w:szCs w:val="20"/>
                <w:lang w:val="pt-PT" w:eastAsia="pt-PT"/>
              </w:rPr>
            </w:pPr>
            <w:r w:rsidRPr="00292532">
              <w:rPr>
                <w:rFonts w:ascii="Arial" w:eastAsia="Times New Roman" w:hAnsi="Arial" w:cs="Arial"/>
                <w:color w:val="000000"/>
                <w:sz w:val="20"/>
                <w:szCs w:val="20"/>
                <w:lang w:val="pt-PT" w:eastAsia="pt-PT"/>
              </w:rPr>
              <w:t xml:space="preserve">            20,000.00   </w:t>
            </w:r>
          </w:p>
        </w:tc>
      </w:tr>
      <w:tr w:rsidR="00061682" w:rsidRPr="00292532" w14:paraId="7C390AC2" w14:textId="77777777" w:rsidTr="00BD0602">
        <w:trPr>
          <w:trHeight w:val="315"/>
        </w:trPr>
        <w:tc>
          <w:tcPr>
            <w:tcW w:w="960" w:type="dxa"/>
            <w:shd w:val="clear" w:color="auto" w:fill="auto"/>
            <w:vAlign w:val="center"/>
            <w:hideMark/>
          </w:tcPr>
          <w:p w14:paraId="0B51B9D4" w14:textId="77777777" w:rsidR="00061682" w:rsidRPr="00292532" w:rsidRDefault="00061682" w:rsidP="00061682">
            <w:pPr>
              <w:spacing w:before="0" w:after="0"/>
              <w:rPr>
                <w:rFonts w:ascii="Arial" w:eastAsia="Times New Roman" w:hAnsi="Arial" w:cs="Arial"/>
                <w:b/>
                <w:bCs/>
                <w:color w:val="000000"/>
                <w:sz w:val="20"/>
                <w:szCs w:val="20"/>
                <w:lang w:val="pt-PT" w:eastAsia="pt-PT"/>
              </w:rPr>
            </w:pPr>
            <w:r w:rsidRPr="00292532">
              <w:rPr>
                <w:rFonts w:ascii="Arial" w:eastAsia="Times New Roman" w:hAnsi="Arial" w:cs="Arial"/>
                <w:b/>
                <w:bCs/>
                <w:color w:val="000000"/>
                <w:sz w:val="20"/>
                <w:szCs w:val="20"/>
                <w:lang w:val="pt-PT" w:eastAsia="pt-PT"/>
              </w:rPr>
              <w:t> </w:t>
            </w:r>
          </w:p>
        </w:tc>
        <w:tc>
          <w:tcPr>
            <w:tcW w:w="6520" w:type="dxa"/>
            <w:shd w:val="clear" w:color="auto" w:fill="auto"/>
            <w:vAlign w:val="center"/>
            <w:hideMark/>
          </w:tcPr>
          <w:p w14:paraId="5952B9DA" w14:textId="77777777" w:rsidR="00061682" w:rsidRPr="00292532" w:rsidRDefault="00061682" w:rsidP="00061682">
            <w:pPr>
              <w:spacing w:before="0" w:after="0"/>
              <w:rPr>
                <w:rFonts w:ascii="Arial" w:eastAsia="Times New Roman" w:hAnsi="Arial" w:cs="Arial"/>
                <w:b/>
                <w:bCs/>
                <w:color w:val="000000"/>
                <w:sz w:val="20"/>
                <w:szCs w:val="20"/>
                <w:lang w:val="pt-PT" w:eastAsia="pt-PT"/>
              </w:rPr>
            </w:pPr>
            <w:r w:rsidRPr="00292532">
              <w:rPr>
                <w:rFonts w:ascii="Arial" w:eastAsia="Times New Roman" w:hAnsi="Arial" w:cs="Arial"/>
                <w:b/>
                <w:bCs/>
                <w:color w:val="000000"/>
                <w:sz w:val="20"/>
                <w:szCs w:val="20"/>
                <w:lang w:val="pt-PT" w:eastAsia="pt-PT"/>
              </w:rPr>
              <w:t>Total</w:t>
            </w:r>
          </w:p>
        </w:tc>
        <w:tc>
          <w:tcPr>
            <w:tcW w:w="1880" w:type="dxa"/>
            <w:shd w:val="clear" w:color="auto" w:fill="auto"/>
            <w:vAlign w:val="center"/>
            <w:hideMark/>
          </w:tcPr>
          <w:p w14:paraId="55B0D71B" w14:textId="77777777" w:rsidR="00061682" w:rsidRPr="00292532" w:rsidRDefault="00061682" w:rsidP="00061682">
            <w:pPr>
              <w:spacing w:before="0" w:after="0"/>
              <w:jc w:val="center"/>
              <w:rPr>
                <w:rFonts w:ascii="Arial" w:eastAsia="Times New Roman" w:hAnsi="Arial" w:cs="Arial"/>
                <w:b/>
                <w:bCs/>
                <w:color w:val="000000"/>
                <w:sz w:val="20"/>
                <w:szCs w:val="20"/>
                <w:lang w:val="pt-PT" w:eastAsia="pt-PT"/>
              </w:rPr>
            </w:pPr>
            <w:r w:rsidRPr="00292532">
              <w:rPr>
                <w:rFonts w:ascii="Arial" w:eastAsia="Times New Roman" w:hAnsi="Arial" w:cs="Arial"/>
                <w:b/>
                <w:bCs/>
                <w:color w:val="000000"/>
                <w:sz w:val="20"/>
                <w:szCs w:val="20"/>
                <w:lang w:val="pt-PT" w:eastAsia="pt-PT"/>
              </w:rPr>
              <w:t xml:space="preserve">        1,030,000.00   </w:t>
            </w:r>
          </w:p>
        </w:tc>
      </w:tr>
    </w:tbl>
    <w:p w14:paraId="335EC085" w14:textId="77777777" w:rsidR="00061682" w:rsidRPr="00292532" w:rsidRDefault="00061682" w:rsidP="00061682">
      <w:pPr>
        <w:spacing w:before="0" w:after="120"/>
        <w:rPr>
          <w:rFonts w:ascii="Arial" w:eastAsia="Times New Roman" w:hAnsi="Arial" w:cs="Arial"/>
          <w:sz w:val="18"/>
          <w:szCs w:val="18"/>
          <w:lang w:val="pt-PT"/>
        </w:rPr>
      </w:pPr>
    </w:p>
    <w:p w14:paraId="11906239" w14:textId="0B46813C" w:rsidR="00061682" w:rsidRPr="00292532" w:rsidRDefault="00061682" w:rsidP="000D7B05">
      <w:pPr>
        <w:pStyle w:val="Title"/>
        <w:sectPr w:rsidR="00061682" w:rsidRPr="00292532" w:rsidSect="00CE785A">
          <w:headerReference w:type="even" r:id="rId59"/>
          <w:headerReference w:type="default" r:id="rId60"/>
          <w:footerReference w:type="even" r:id="rId61"/>
          <w:footerReference w:type="default" r:id="rId62"/>
          <w:headerReference w:type="first" r:id="rId63"/>
          <w:footerReference w:type="first" r:id="rId64"/>
          <w:pgSz w:w="12240" w:h="15840"/>
          <w:pgMar w:top="1440" w:right="1440" w:bottom="1440" w:left="1440" w:header="720" w:footer="720" w:gutter="0"/>
          <w:cols w:space="720"/>
          <w:docGrid w:linePitch="360"/>
        </w:sectPr>
      </w:pPr>
    </w:p>
    <w:p w14:paraId="1C473B3D" w14:textId="7B655561" w:rsidR="00B31AE2" w:rsidRPr="00292532" w:rsidRDefault="00817F0F" w:rsidP="000D7B05">
      <w:pPr>
        <w:pStyle w:val="Title"/>
      </w:pPr>
      <w:r w:rsidRPr="00292532">
        <w:lastRenderedPageBreak/>
        <w:t>Anexo 1</w:t>
      </w:r>
      <w:r w:rsidR="000615DB" w:rsidRPr="00292532">
        <w:t>3</w:t>
      </w:r>
      <w:r w:rsidRPr="00292532">
        <w:t xml:space="preserve"> </w:t>
      </w:r>
    </w:p>
    <w:p w14:paraId="2DD55B39" w14:textId="77777777" w:rsidR="00706222" w:rsidRPr="00292532" w:rsidRDefault="00706222" w:rsidP="000D7B05">
      <w:pPr>
        <w:pStyle w:val="Title"/>
      </w:pPr>
    </w:p>
    <w:p w14:paraId="65889E2D" w14:textId="6D1960A9" w:rsidR="00817F0F" w:rsidRPr="00292532" w:rsidRDefault="00817F0F" w:rsidP="000D7B05">
      <w:pPr>
        <w:pStyle w:val="Title"/>
      </w:pPr>
      <w:r w:rsidRPr="00292532">
        <w:t xml:space="preserve">relatório de consulta pública </w:t>
      </w:r>
    </w:p>
    <w:p w14:paraId="4B7E852A" w14:textId="77777777" w:rsidR="00CE785A" w:rsidRPr="00292532" w:rsidRDefault="00CE785A" w:rsidP="000D7B05">
      <w:pPr>
        <w:pStyle w:val="Title"/>
      </w:pPr>
    </w:p>
    <w:p w14:paraId="4E910AC9" w14:textId="724E278A" w:rsidR="00CE785A" w:rsidRPr="00292532" w:rsidRDefault="00706222" w:rsidP="000D7B05">
      <w:pPr>
        <w:pStyle w:val="Title"/>
      </w:pPr>
      <w:r w:rsidRPr="00292532">
        <w:t xml:space="preserve">PARTE a: RELATÓRIO DE CONSULTA PÚBLICA NA </w:t>
      </w:r>
      <w:r w:rsidR="00CE785A" w:rsidRPr="00292532">
        <w:t>Província da Zambézia</w:t>
      </w:r>
    </w:p>
    <w:p w14:paraId="5B654C1B" w14:textId="58257D87" w:rsidR="00CE785A" w:rsidRPr="00292532" w:rsidRDefault="00CE785A" w:rsidP="000D7B05">
      <w:pPr>
        <w:pStyle w:val="Title"/>
      </w:pPr>
    </w:p>
    <w:p w14:paraId="70A7E340" w14:textId="77777777" w:rsidR="00CE785A" w:rsidRPr="00292532" w:rsidRDefault="00CE785A" w:rsidP="00CE785A">
      <w:pPr>
        <w:spacing w:before="0" w:line="259" w:lineRule="auto"/>
        <w:jc w:val="center"/>
        <w:rPr>
          <w:rFonts w:eastAsia="Calibri" w:cs="Calibri"/>
          <w:b/>
          <w:i/>
          <w:noProof/>
          <w:u w:val="single"/>
          <w:lang w:val="pt-PT"/>
        </w:rPr>
      </w:pPr>
    </w:p>
    <w:p w14:paraId="73C5FF04" w14:textId="77777777" w:rsidR="00CE785A" w:rsidRPr="00292532" w:rsidRDefault="00CE785A" w:rsidP="00CE785A">
      <w:pPr>
        <w:spacing w:before="0" w:line="259" w:lineRule="auto"/>
        <w:jc w:val="center"/>
        <w:rPr>
          <w:rFonts w:eastAsia="Calibri" w:cs="Calibri"/>
          <w:b/>
          <w:i/>
          <w:noProof/>
          <w:u w:val="single"/>
          <w:lang w:val="pt-PT"/>
        </w:rPr>
      </w:pPr>
      <w:r w:rsidRPr="00292532">
        <w:rPr>
          <w:rFonts w:eastAsia="Calibri" w:cs="Calibri"/>
          <w:b/>
          <w:i/>
          <w:noProof/>
          <w:u w:val="single"/>
          <w:lang w:val="pt-PT"/>
        </w:rPr>
        <w:t>Acta da Reuniao</w:t>
      </w:r>
    </w:p>
    <w:p w14:paraId="0DD52488" w14:textId="77777777" w:rsidR="00CE785A" w:rsidRPr="00292532" w:rsidRDefault="00CE785A" w:rsidP="00CE785A">
      <w:pPr>
        <w:suppressAutoHyphens/>
        <w:spacing w:before="0"/>
        <w:rPr>
          <w:rFonts w:eastAsia="Calibri" w:cs="Calibri"/>
          <w:lang w:val="pt-PT"/>
        </w:rPr>
      </w:pPr>
      <w:r w:rsidRPr="00292532">
        <w:rPr>
          <w:rFonts w:eastAsia="Calibri" w:cs="Calibri"/>
          <w:lang w:val="pt-PT"/>
        </w:rPr>
        <w:t xml:space="preserve">Devido às restrições impostas pela COVID-19, as reuniões foram faseadas, realizadas em pequenos grupos, para apresentar o </w:t>
      </w:r>
      <w:proofErr w:type="spellStart"/>
      <w:r w:rsidRPr="00292532">
        <w:rPr>
          <w:rFonts w:eastAsia="Calibri" w:cs="Calibri"/>
          <w:lang w:val="pt-PT"/>
        </w:rPr>
        <w:t>projecto</w:t>
      </w:r>
      <w:proofErr w:type="spellEnd"/>
      <w:r w:rsidRPr="00292532">
        <w:rPr>
          <w:rFonts w:eastAsia="Calibri" w:cs="Calibri"/>
          <w:lang w:val="pt-PT"/>
        </w:rPr>
        <w:t xml:space="preserve"> e obter as </w:t>
      </w:r>
      <w:proofErr w:type="spellStart"/>
      <w:r w:rsidRPr="00292532">
        <w:rPr>
          <w:rFonts w:eastAsia="Calibri" w:cs="Calibri"/>
          <w:lang w:val="pt-PT"/>
        </w:rPr>
        <w:t>percepções</w:t>
      </w:r>
      <w:proofErr w:type="spellEnd"/>
      <w:r w:rsidRPr="00292532">
        <w:rPr>
          <w:rFonts w:eastAsia="Calibri" w:cs="Calibri"/>
          <w:lang w:val="pt-PT"/>
        </w:rPr>
        <w:t xml:space="preserve"> das partes interessadas e </w:t>
      </w:r>
      <w:proofErr w:type="spellStart"/>
      <w:r w:rsidRPr="00292532">
        <w:rPr>
          <w:rFonts w:eastAsia="Calibri" w:cs="Calibri"/>
          <w:lang w:val="pt-PT"/>
        </w:rPr>
        <w:t>afectadas</w:t>
      </w:r>
      <w:proofErr w:type="spellEnd"/>
      <w:r w:rsidRPr="00292532">
        <w:rPr>
          <w:rFonts w:eastAsia="Calibri" w:cs="Calibri"/>
          <w:lang w:val="pt-PT"/>
        </w:rPr>
        <w:t>.</w:t>
      </w:r>
    </w:p>
    <w:p w14:paraId="44E7346C" w14:textId="77777777" w:rsidR="00CE785A" w:rsidRPr="00292532" w:rsidRDefault="00CE785A" w:rsidP="00CE785A">
      <w:pPr>
        <w:suppressAutoHyphens/>
        <w:spacing w:before="0" w:after="0"/>
        <w:rPr>
          <w:rFonts w:eastAsia="Times New Roman" w:cs="Calibri"/>
          <w:bCs/>
          <w:spacing w:val="-4"/>
          <w:lang w:val="pt-PT" w:eastAsia="en-GB"/>
        </w:rPr>
      </w:pPr>
      <w:r w:rsidRPr="00292532">
        <w:rPr>
          <w:rFonts w:eastAsia="Calibri" w:cs="Calibri"/>
          <w:lang w:val="pt-PT"/>
        </w:rPr>
        <w:t xml:space="preserve">As reuniões de consulta pública permitiram </w:t>
      </w:r>
      <w:proofErr w:type="spellStart"/>
      <w:r w:rsidRPr="00292532">
        <w:rPr>
          <w:rFonts w:eastAsia="Calibri" w:cs="Calibri"/>
          <w:lang w:val="pt-PT"/>
        </w:rPr>
        <w:t>interacção</w:t>
      </w:r>
      <w:proofErr w:type="spellEnd"/>
      <w:r w:rsidRPr="00292532">
        <w:rPr>
          <w:rFonts w:eastAsia="Calibri" w:cs="Calibri"/>
          <w:lang w:val="pt-PT"/>
        </w:rPr>
        <w:t xml:space="preserve"> com um total de 58 pessoas na província de Zambézia, das quais 29 do sexo masculino e igual número para o sexo feminino, envolvendo os principais representantes das comunidades </w:t>
      </w:r>
      <w:proofErr w:type="spellStart"/>
      <w:r w:rsidRPr="00292532">
        <w:rPr>
          <w:rFonts w:eastAsia="Calibri" w:cs="Calibri"/>
          <w:lang w:val="pt-PT"/>
        </w:rPr>
        <w:t>afectadas</w:t>
      </w:r>
      <w:proofErr w:type="spellEnd"/>
      <w:r w:rsidRPr="00292532">
        <w:rPr>
          <w:rFonts w:eastAsia="Calibri" w:cs="Calibri"/>
          <w:lang w:val="pt-PT"/>
        </w:rPr>
        <w:t xml:space="preserve"> (chefes de localidades e líderes locais), Serviços Distritais de Planeamento e </w:t>
      </w:r>
      <w:proofErr w:type="spellStart"/>
      <w:r w:rsidRPr="00292532">
        <w:rPr>
          <w:rFonts w:eastAsia="Calibri" w:cs="Calibri"/>
          <w:lang w:val="pt-PT"/>
        </w:rPr>
        <w:t>Infra-estruturas</w:t>
      </w:r>
      <w:proofErr w:type="spellEnd"/>
      <w:r w:rsidRPr="00292532">
        <w:rPr>
          <w:rFonts w:eastAsia="Calibri" w:cs="Calibri"/>
          <w:lang w:val="pt-PT"/>
        </w:rPr>
        <w:t xml:space="preserve">, Organizações Não-Governamentais (Associação dos Cegos e Amblíopes de Moçambique - ACAMO </w:t>
      </w:r>
      <w:proofErr w:type="spellStart"/>
      <w:r w:rsidRPr="00292532">
        <w:rPr>
          <w:rFonts w:eastAsia="Calibri" w:cs="Calibri"/>
          <w:lang w:val="pt-PT"/>
        </w:rPr>
        <w:t>Nicoadala</w:t>
      </w:r>
      <w:proofErr w:type="spellEnd"/>
      <w:r w:rsidRPr="00292532">
        <w:rPr>
          <w:rFonts w:eastAsia="Calibri" w:cs="Calibri"/>
          <w:lang w:val="pt-PT"/>
        </w:rPr>
        <w:t>, Associação dos Comerciantes Informais de Mocuba – ACIMO, Rede de Conservação da Biodiversidade Costeira, Marinha e Recursos Hídricos – MULABA), Operadores de fontes de abastecimento de água, representantes do comité de gestão de água.</w:t>
      </w:r>
      <w:r w:rsidRPr="00292532">
        <w:rPr>
          <w:rFonts w:eastAsia="Times New Roman" w:cs="Calibri"/>
          <w:bCs/>
          <w:spacing w:val="-4"/>
          <w:lang w:val="pt-PT" w:eastAsia="en-GB"/>
        </w:rPr>
        <w:t xml:space="preserve"> </w:t>
      </w:r>
    </w:p>
    <w:p w14:paraId="74D2E3DB" w14:textId="77777777" w:rsidR="00CE785A" w:rsidRPr="00292532" w:rsidRDefault="00CE785A" w:rsidP="00CE785A">
      <w:pPr>
        <w:suppressAutoHyphens/>
        <w:spacing w:before="0" w:after="0"/>
        <w:rPr>
          <w:rFonts w:eastAsia="Times New Roman" w:cs="Calibri"/>
          <w:bCs/>
          <w:spacing w:val="-4"/>
          <w:lang w:val="pt-PT" w:eastAsia="en-GB"/>
        </w:rPr>
      </w:pPr>
    </w:p>
    <w:p w14:paraId="597C337B" w14:textId="77777777" w:rsidR="00CE785A" w:rsidRPr="00292532" w:rsidRDefault="00CE785A" w:rsidP="00CE785A">
      <w:pPr>
        <w:keepNext/>
        <w:autoSpaceDE w:val="0"/>
        <w:autoSpaceDN w:val="0"/>
        <w:adjustRightInd w:val="0"/>
        <w:spacing w:before="0" w:after="120"/>
        <w:jc w:val="center"/>
        <w:rPr>
          <w:rFonts w:eastAsia="Calibri" w:cs="Calibri"/>
          <w:b/>
          <w:bCs/>
          <w:color w:val="5B9BD5"/>
          <w:szCs w:val="24"/>
          <w:lang w:val="pt-PT" w:eastAsia="de-DE"/>
        </w:rPr>
      </w:pPr>
      <w:bookmarkStart w:id="1725" w:name="_Toc64126368"/>
      <w:r w:rsidRPr="00292532">
        <w:rPr>
          <w:rFonts w:eastAsia="Calibri" w:cs="Calibri"/>
          <w:b/>
          <w:bCs/>
          <w:color w:val="5B9BD5"/>
          <w:szCs w:val="24"/>
          <w:lang w:val="pt-PT" w:eastAsia="de-DE"/>
        </w:rPr>
        <w:t>Local, data, e número de participantes</w:t>
      </w:r>
      <w:bookmarkEnd w:id="1725"/>
      <w:r w:rsidRPr="00292532">
        <w:rPr>
          <w:rFonts w:eastAsia="Calibri" w:cs="Calibri"/>
          <w:b/>
          <w:bCs/>
          <w:color w:val="5B9BD5"/>
          <w:szCs w:val="24"/>
          <w:lang w:val="pt-PT" w:eastAsia="de-DE"/>
        </w:rPr>
        <w:t xml:space="preserve"> </w:t>
      </w:r>
    </w:p>
    <w:tbl>
      <w:tblPr>
        <w:tblStyle w:val="SGSTableBasic11"/>
        <w:tblW w:w="8364" w:type="dxa"/>
        <w:jc w:val="center"/>
        <w:tblBorders>
          <w:left w:val="none" w:sz="0" w:space="0" w:color="auto"/>
          <w:right w:val="none" w:sz="0" w:space="0" w:color="auto"/>
        </w:tblBorders>
        <w:tblLayout w:type="fixed"/>
        <w:tblLook w:val="04A0" w:firstRow="1" w:lastRow="0" w:firstColumn="1" w:lastColumn="0" w:noHBand="0" w:noVBand="1"/>
      </w:tblPr>
      <w:tblGrid>
        <w:gridCol w:w="2128"/>
        <w:gridCol w:w="2975"/>
        <w:gridCol w:w="851"/>
        <w:gridCol w:w="1134"/>
        <w:gridCol w:w="1276"/>
      </w:tblGrid>
      <w:tr w:rsidR="00CE785A" w:rsidRPr="00292532" w14:paraId="1ACF8E4F" w14:textId="77777777" w:rsidTr="00CE785A">
        <w:trPr>
          <w:cantSplit/>
          <w:tblHeader/>
          <w:jc w:val="center"/>
        </w:trPr>
        <w:tc>
          <w:tcPr>
            <w:tcW w:w="2128" w:type="dxa"/>
            <w:vMerge w:val="restart"/>
            <w:tcBorders>
              <w:top w:val="nil"/>
              <w:right w:val="nil"/>
            </w:tcBorders>
            <w:shd w:val="clear" w:color="auto" w:fill="5B9BD5"/>
            <w:vAlign w:val="center"/>
          </w:tcPr>
          <w:p w14:paraId="0CCFD752" w14:textId="77777777" w:rsidR="00CE785A" w:rsidRPr="00292532" w:rsidRDefault="00CE785A" w:rsidP="00CE785A">
            <w:pPr>
              <w:spacing w:line="259" w:lineRule="auto"/>
              <w:jc w:val="center"/>
              <w:rPr>
                <w:rFonts w:eastAsia="Times New Roman" w:cs="Calibri"/>
                <w:b/>
                <w:color w:val="FFFFFF"/>
                <w:lang w:val="pt-PT"/>
              </w:rPr>
            </w:pPr>
            <w:r w:rsidRPr="00292532">
              <w:rPr>
                <w:rFonts w:eastAsia="Times New Roman" w:cs="Calibri"/>
                <w:b/>
                <w:color w:val="FFFFFF"/>
                <w:lang w:val="pt-PT"/>
              </w:rPr>
              <w:t xml:space="preserve">Local </w:t>
            </w:r>
          </w:p>
        </w:tc>
        <w:tc>
          <w:tcPr>
            <w:tcW w:w="2975" w:type="dxa"/>
            <w:vMerge w:val="restart"/>
            <w:tcBorders>
              <w:top w:val="nil"/>
              <w:left w:val="nil"/>
              <w:right w:val="nil"/>
            </w:tcBorders>
            <w:shd w:val="clear" w:color="auto" w:fill="5B9BD5"/>
            <w:vAlign w:val="center"/>
          </w:tcPr>
          <w:p w14:paraId="1C840BE7" w14:textId="77777777" w:rsidR="00CE785A" w:rsidRPr="00292532" w:rsidRDefault="00CE785A" w:rsidP="00CE785A">
            <w:pPr>
              <w:spacing w:line="259" w:lineRule="auto"/>
              <w:jc w:val="center"/>
              <w:rPr>
                <w:rFonts w:eastAsia="Times New Roman" w:cs="Calibri"/>
                <w:b/>
                <w:color w:val="FFFFFF"/>
                <w:lang w:val="pt-PT"/>
              </w:rPr>
            </w:pPr>
            <w:r w:rsidRPr="00292532">
              <w:rPr>
                <w:rFonts w:eastAsia="Times New Roman" w:cs="Calibri"/>
                <w:b/>
                <w:color w:val="FFFFFF"/>
                <w:lang w:val="pt-PT"/>
              </w:rPr>
              <w:t>Data</w:t>
            </w:r>
          </w:p>
        </w:tc>
        <w:tc>
          <w:tcPr>
            <w:tcW w:w="3261" w:type="dxa"/>
            <w:gridSpan w:val="3"/>
            <w:tcBorders>
              <w:top w:val="nil"/>
              <w:left w:val="nil"/>
              <w:bottom w:val="single" w:sz="4" w:space="0" w:color="FFFFFF"/>
            </w:tcBorders>
            <w:shd w:val="clear" w:color="auto" w:fill="5B9BD5"/>
          </w:tcPr>
          <w:p w14:paraId="10C96FB8" w14:textId="77777777" w:rsidR="00CE785A" w:rsidRPr="00292532" w:rsidRDefault="00CE785A" w:rsidP="00CE785A">
            <w:pPr>
              <w:spacing w:line="259" w:lineRule="auto"/>
              <w:jc w:val="center"/>
              <w:rPr>
                <w:rFonts w:eastAsia="Times New Roman" w:cs="Calibri"/>
                <w:b/>
                <w:color w:val="FFFFFF"/>
                <w:lang w:val="pt-PT"/>
              </w:rPr>
            </w:pPr>
            <w:r w:rsidRPr="00292532">
              <w:rPr>
                <w:rFonts w:eastAsia="Times New Roman" w:cs="Calibri"/>
                <w:b/>
                <w:color w:val="FFFFFF"/>
                <w:lang w:val="pt-PT"/>
              </w:rPr>
              <w:t>Número de participantes</w:t>
            </w:r>
          </w:p>
        </w:tc>
      </w:tr>
      <w:tr w:rsidR="00CE785A" w:rsidRPr="00292532" w14:paraId="495B4A8C" w14:textId="77777777" w:rsidTr="00CE785A">
        <w:trPr>
          <w:jc w:val="center"/>
        </w:trPr>
        <w:tc>
          <w:tcPr>
            <w:tcW w:w="2128" w:type="dxa"/>
            <w:vMerge/>
            <w:tcBorders>
              <w:bottom w:val="nil"/>
              <w:right w:val="nil"/>
            </w:tcBorders>
          </w:tcPr>
          <w:p w14:paraId="27932379" w14:textId="77777777" w:rsidR="00CE785A" w:rsidRPr="00292532" w:rsidRDefault="00CE785A" w:rsidP="00CE785A">
            <w:pPr>
              <w:jc w:val="center"/>
              <w:rPr>
                <w:rFonts w:eastAsia="Calibri" w:cs="Calibri"/>
                <w:b/>
                <w:lang w:val="pt-PT"/>
              </w:rPr>
            </w:pPr>
          </w:p>
        </w:tc>
        <w:tc>
          <w:tcPr>
            <w:tcW w:w="2975" w:type="dxa"/>
            <w:vMerge/>
            <w:tcBorders>
              <w:left w:val="nil"/>
              <w:bottom w:val="nil"/>
              <w:right w:val="nil"/>
            </w:tcBorders>
          </w:tcPr>
          <w:p w14:paraId="52C4AA54" w14:textId="77777777" w:rsidR="00CE785A" w:rsidRPr="00292532" w:rsidRDefault="00CE785A" w:rsidP="00CE785A">
            <w:pPr>
              <w:jc w:val="center"/>
              <w:rPr>
                <w:rFonts w:eastAsia="Calibri" w:cs="Calibri"/>
                <w:b/>
                <w:lang w:val="pt-PT"/>
              </w:rPr>
            </w:pPr>
          </w:p>
        </w:tc>
        <w:tc>
          <w:tcPr>
            <w:tcW w:w="851" w:type="dxa"/>
            <w:tcBorders>
              <w:top w:val="single" w:sz="4" w:space="0" w:color="FFFFFF"/>
              <w:left w:val="nil"/>
              <w:bottom w:val="nil"/>
              <w:right w:val="nil"/>
            </w:tcBorders>
            <w:shd w:val="clear" w:color="auto" w:fill="5B9BD5"/>
          </w:tcPr>
          <w:p w14:paraId="5DC73C65" w14:textId="77777777" w:rsidR="00CE785A" w:rsidRPr="00292532" w:rsidRDefault="00CE785A" w:rsidP="00CE785A">
            <w:pPr>
              <w:spacing w:line="259" w:lineRule="auto"/>
              <w:jc w:val="center"/>
              <w:rPr>
                <w:rFonts w:eastAsia="Times New Roman" w:cs="Calibri"/>
                <w:b/>
                <w:color w:val="FFFFFF"/>
                <w:lang w:val="pt-PT"/>
              </w:rPr>
            </w:pPr>
            <w:r w:rsidRPr="00292532">
              <w:rPr>
                <w:rFonts w:eastAsia="Times New Roman" w:cs="Calibri"/>
                <w:b/>
                <w:color w:val="FFFFFF"/>
                <w:lang w:val="pt-PT"/>
              </w:rPr>
              <w:t>Total</w:t>
            </w:r>
          </w:p>
        </w:tc>
        <w:tc>
          <w:tcPr>
            <w:tcW w:w="1134" w:type="dxa"/>
            <w:tcBorders>
              <w:top w:val="single" w:sz="4" w:space="0" w:color="FFFFFF"/>
              <w:left w:val="nil"/>
              <w:bottom w:val="nil"/>
              <w:right w:val="nil"/>
            </w:tcBorders>
            <w:shd w:val="clear" w:color="auto" w:fill="5B9BD5"/>
          </w:tcPr>
          <w:p w14:paraId="3F64CD67" w14:textId="77777777" w:rsidR="00CE785A" w:rsidRPr="00292532" w:rsidRDefault="00CE785A" w:rsidP="00CE785A">
            <w:pPr>
              <w:spacing w:line="259" w:lineRule="auto"/>
              <w:jc w:val="center"/>
              <w:rPr>
                <w:rFonts w:eastAsia="Times New Roman" w:cs="Calibri"/>
                <w:b/>
                <w:color w:val="FFFFFF"/>
                <w:lang w:val="pt-PT"/>
              </w:rPr>
            </w:pPr>
            <w:r w:rsidRPr="00292532">
              <w:rPr>
                <w:rFonts w:eastAsia="Times New Roman" w:cs="Calibri"/>
                <w:b/>
                <w:color w:val="FFFFFF"/>
                <w:lang w:val="pt-PT"/>
              </w:rPr>
              <w:t>Homens</w:t>
            </w:r>
          </w:p>
        </w:tc>
        <w:tc>
          <w:tcPr>
            <w:tcW w:w="1276" w:type="dxa"/>
            <w:tcBorders>
              <w:top w:val="single" w:sz="4" w:space="0" w:color="FFFFFF"/>
              <w:left w:val="nil"/>
              <w:bottom w:val="nil"/>
            </w:tcBorders>
            <w:shd w:val="clear" w:color="auto" w:fill="5B9BD5"/>
          </w:tcPr>
          <w:p w14:paraId="1928B2AD" w14:textId="77777777" w:rsidR="00CE785A" w:rsidRPr="00292532" w:rsidRDefault="00CE785A" w:rsidP="00CE785A">
            <w:pPr>
              <w:spacing w:line="259" w:lineRule="auto"/>
              <w:jc w:val="center"/>
              <w:rPr>
                <w:rFonts w:eastAsia="Times New Roman" w:cs="Calibri"/>
                <w:b/>
                <w:color w:val="FFFFFF"/>
                <w:lang w:val="pt-PT"/>
              </w:rPr>
            </w:pPr>
            <w:r w:rsidRPr="00292532">
              <w:rPr>
                <w:rFonts w:eastAsia="Times New Roman" w:cs="Calibri"/>
                <w:b/>
                <w:color w:val="FFFFFF"/>
                <w:lang w:val="pt-PT"/>
              </w:rPr>
              <w:t>Mulheres</w:t>
            </w:r>
          </w:p>
        </w:tc>
      </w:tr>
      <w:tr w:rsidR="00CE785A" w:rsidRPr="00292532" w14:paraId="347DFAD1" w14:textId="77777777" w:rsidTr="00CE785A">
        <w:trPr>
          <w:jc w:val="center"/>
        </w:trPr>
        <w:tc>
          <w:tcPr>
            <w:tcW w:w="2128" w:type="dxa"/>
            <w:tcBorders>
              <w:top w:val="nil"/>
              <w:right w:val="nil"/>
            </w:tcBorders>
          </w:tcPr>
          <w:p w14:paraId="4E47C370" w14:textId="77777777" w:rsidR="00CE785A" w:rsidRPr="00292532" w:rsidRDefault="00CE785A" w:rsidP="00CE785A">
            <w:pPr>
              <w:jc w:val="center"/>
              <w:rPr>
                <w:rFonts w:eastAsia="Calibri" w:cs="Calibri"/>
                <w:lang w:val="pt-PT"/>
              </w:rPr>
            </w:pPr>
            <w:r w:rsidRPr="00292532">
              <w:rPr>
                <w:rFonts w:eastAsia="Calibri" w:cs="Calibri"/>
                <w:lang w:val="pt-PT"/>
              </w:rPr>
              <w:t>Lugela</w:t>
            </w:r>
          </w:p>
        </w:tc>
        <w:tc>
          <w:tcPr>
            <w:tcW w:w="2975" w:type="dxa"/>
            <w:tcBorders>
              <w:top w:val="nil"/>
              <w:left w:val="nil"/>
              <w:right w:val="nil"/>
            </w:tcBorders>
          </w:tcPr>
          <w:p w14:paraId="32216CB7" w14:textId="77777777" w:rsidR="00CE785A" w:rsidRPr="00292532" w:rsidRDefault="00CE785A" w:rsidP="00CE785A">
            <w:pPr>
              <w:jc w:val="center"/>
              <w:rPr>
                <w:rFonts w:eastAsia="Calibri" w:cs="Calibri"/>
                <w:lang w:val="pt-PT"/>
              </w:rPr>
            </w:pPr>
            <w:r w:rsidRPr="00292532">
              <w:rPr>
                <w:rFonts w:eastAsia="Calibri" w:cs="Calibri"/>
                <w:lang w:val="pt-PT"/>
              </w:rPr>
              <w:t>30.06.2021</w:t>
            </w:r>
          </w:p>
        </w:tc>
        <w:tc>
          <w:tcPr>
            <w:tcW w:w="851" w:type="dxa"/>
            <w:tcBorders>
              <w:top w:val="nil"/>
              <w:left w:val="nil"/>
              <w:right w:val="nil"/>
            </w:tcBorders>
          </w:tcPr>
          <w:p w14:paraId="475477D4" w14:textId="77777777" w:rsidR="00CE785A" w:rsidRPr="00292532" w:rsidRDefault="00CE785A" w:rsidP="00CE785A">
            <w:pPr>
              <w:jc w:val="center"/>
              <w:rPr>
                <w:rFonts w:eastAsia="Calibri" w:cs="Calibri"/>
                <w:lang w:val="pt-PT"/>
              </w:rPr>
            </w:pPr>
            <w:r w:rsidRPr="00292532">
              <w:rPr>
                <w:rFonts w:eastAsia="Calibri" w:cs="Calibri"/>
                <w:lang w:val="pt-PT"/>
              </w:rPr>
              <w:t>33</w:t>
            </w:r>
          </w:p>
        </w:tc>
        <w:tc>
          <w:tcPr>
            <w:tcW w:w="1134" w:type="dxa"/>
            <w:tcBorders>
              <w:top w:val="nil"/>
              <w:left w:val="nil"/>
              <w:right w:val="nil"/>
            </w:tcBorders>
          </w:tcPr>
          <w:p w14:paraId="0E85E792" w14:textId="77777777" w:rsidR="00CE785A" w:rsidRPr="00292532" w:rsidRDefault="00CE785A" w:rsidP="00CE785A">
            <w:pPr>
              <w:jc w:val="center"/>
              <w:rPr>
                <w:rFonts w:eastAsia="Calibri" w:cs="Calibri"/>
                <w:lang w:val="pt-PT"/>
              </w:rPr>
            </w:pPr>
            <w:r w:rsidRPr="00292532">
              <w:rPr>
                <w:rFonts w:eastAsia="Calibri" w:cs="Calibri"/>
                <w:lang w:val="pt-PT"/>
              </w:rPr>
              <w:t>16</w:t>
            </w:r>
          </w:p>
        </w:tc>
        <w:tc>
          <w:tcPr>
            <w:tcW w:w="1276" w:type="dxa"/>
            <w:tcBorders>
              <w:top w:val="nil"/>
              <w:left w:val="nil"/>
            </w:tcBorders>
          </w:tcPr>
          <w:p w14:paraId="42118090" w14:textId="77777777" w:rsidR="00CE785A" w:rsidRPr="00292532" w:rsidRDefault="00CE785A" w:rsidP="00CE785A">
            <w:pPr>
              <w:jc w:val="center"/>
              <w:rPr>
                <w:rFonts w:eastAsia="Calibri" w:cs="Calibri"/>
                <w:lang w:val="pt-PT"/>
              </w:rPr>
            </w:pPr>
            <w:r w:rsidRPr="00292532">
              <w:rPr>
                <w:rFonts w:eastAsia="Calibri" w:cs="Calibri"/>
                <w:lang w:val="pt-PT"/>
              </w:rPr>
              <w:t>17</w:t>
            </w:r>
          </w:p>
        </w:tc>
      </w:tr>
      <w:tr w:rsidR="00CE785A" w:rsidRPr="00292532" w14:paraId="2C94D429" w14:textId="77777777" w:rsidTr="00CE785A">
        <w:trPr>
          <w:jc w:val="center"/>
        </w:trPr>
        <w:tc>
          <w:tcPr>
            <w:tcW w:w="2128" w:type="dxa"/>
            <w:tcBorders>
              <w:right w:val="nil"/>
            </w:tcBorders>
          </w:tcPr>
          <w:p w14:paraId="600BE9FB" w14:textId="77777777" w:rsidR="00CE785A" w:rsidRPr="00292532" w:rsidRDefault="00CE785A" w:rsidP="00CE785A">
            <w:pPr>
              <w:jc w:val="center"/>
              <w:rPr>
                <w:rFonts w:eastAsia="Calibri" w:cs="Calibri"/>
                <w:lang w:val="pt-PT"/>
              </w:rPr>
            </w:pPr>
            <w:r w:rsidRPr="00292532">
              <w:rPr>
                <w:rFonts w:eastAsia="Calibri" w:cs="Calibri"/>
                <w:lang w:val="pt-PT"/>
              </w:rPr>
              <w:t>Mocuba</w:t>
            </w:r>
          </w:p>
        </w:tc>
        <w:tc>
          <w:tcPr>
            <w:tcW w:w="2975" w:type="dxa"/>
            <w:tcBorders>
              <w:left w:val="nil"/>
              <w:right w:val="nil"/>
            </w:tcBorders>
          </w:tcPr>
          <w:p w14:paraId="441C3C04" w14:textId="77777777" w:rsidR="00CE785A" w:rsidRPr="00292532" w:rsidRDefault="00CE785A" w:rsidP="00CE785A">
            <w:pPr>
              <w:jc w:val="center"/>
              <w:rPr>
                <w:rFonts w:eastAsia="Calibri" w:cs="Calibri"/>
                <w:lang w:val="pt-PT"/>
              </w:rPr>
            </w:pPr>
            <w:r w:rsidRPr="00292532">
              <w:rPr>
                <w:rFonts w:eastAsia="Calibri" w:cs="Calibri"/>
                <w:lang w:val="pt-PT"/>
              </w:rPr>
              <w:t>30.06.2021</w:t>
            </w:r>
          </w:p>
        </w:tc>
        <w:tc>
          <w:tcPr>
            <w:tcW w:w="851" w:type="dxa"/>
            <w:tcBorders>
              <w:left w:val="nil"/>
              <w:right w:val="nil"/>
            </w:tcBorders>
          </w:tcPr>
          <w:p w14:paraId="0A374CA2" w14:textId="77777777" w:rsidR="00CE785A" w:rsidRPr="00292532" w:rsidRDefault="00CE785A" w:rsidP="00CE785A">
            <w:pPr>
              <w:jc w:val="center"/>
              <w:rPr>
                <w:rFonts w:eastAsia="Calibri" w:cs="Calibri"/>
                <w:lang w:val="pt-PT"/>
              </w:rPr>
            </w:pPr>
            <w:r w:rsidRPr="00292532">
              <w:rPr>
                <w:rFonts w:eastAsia="Calibri" w:cs="Calibri"/>
                <w:lang w:val="pt-PT"/>
              </w:rPr>
              <w:t>16</w:t>
            </w:r>
          </w:p>
        </w:tc>
        <w:tc>
          <w:tcPr>
            <w:tcW w:w="1134" w:type="dxa"/>
            <w:tcBorders>
              <w:left w:val="nil"/>
              <w:right w:val="nil"/>
            </w:tcBorders>
          </w:tcPr>
          <w:p w14:paraId="06839AE7" w14:textId="77777777" w:rsidR="00CE785A" w:rsidRPr="00292532" w:rsidRDefault="00CE785A" w:rsidP="00CE785A">
            <w:pPr>
              <w:jc w:val="center"/>
              <w:rPr>
                <w:rFonts w:eastAsia="Calibri" w:cs="Calibri"/>
                <w:lang w:val="pt-PT"/>
              </w:rPr>
            </w:pPr>
            <w:r w:rsidRPr="00292532">
              <w:rPr>
                <w:rFonts w:eastAsia="Calibri" w:cs="Calibri"/>
                <w:lang w:val="pt-PT"/>
              </w:rPr>
              <w:t>7</w:t>
            </w:r>
          </w:p>
        </w:tc>
        <w:tc>
          <w:tcPr>
            <w:tcW w:w="1276" w:type="dxa"/>
            <w:tcBorders>
              <w:left w:val="nil"/>
            </w:tcBorders>
          </w:tcPr>
          <w:p w14:paraId="01DA3E4D" w14:textId="77777777" w:rsidR="00CE785A" w:rsidRPr="00292532" w:rsidRDefault="00CE785A" w:rsidP="00CE785A">
            <w:pPr>
              <w:jc w:val="center"/>
              <w:rPr>
                <w:rFonts w:eastAsia="Calibri" w:cs="Calibri"/>
                <w:lang w:val="pt-PT"/>
              </w:rPr>
            </w:pPr>
            <w:r w:rsidRPr="00292532">
              <w:rPr>
                <w:rFonts w:eastAsia="Calibri" w:cs="Calibri"/>
                <w:lang w:val="pt-PT"/>
              </w:rPr>
              <w:t>9</w:t>
            </w:r>
          </w:p>
        </w:tc>
      </w:tr>
      <w:tr w:rsidR="00CE785A" w:rsidRPr="00292532" w14:paraId="3DDC3734" w14:textId="77777777" w:rsidTr="00CE785A">
        <w:trPr>
          <w:jc w:val="center"/>
        </w:trPr>
        <w:tc>
          <w:tcPr>
            <w:tcW w:w="2128" w:type="dxa"/>
            <w:tcBorders>
              <w:right w:val="nil"/>
            </w:tcBorders>
          </w:tcPr>
          <w:p w14:paraId="649BE79C" w14:textId="77777777" w:rsidR="00CE785A" w:rsidRPr="00292532" w:rsidRDefault="00CE785A" w:rsidP="00CE785A">
            <w:pPr>
              <w:jc w:val="center"/>
              <w:rPr>
                <w:rFonts w:eastAsia="Calibri" w:cs="Calibri"/>
                <w:lang w:val="pt-PT"/>
              </w:rPr>
            </w:pPr>
            <w:proofErr w:type="spellStart"/>
            <w:r w:rsidRPr="00292532">
              <w:rPr>
                <w:rFonts w:eastAsia="Calibri" w:cs="Calibri"/>
                <w:lang w:val="pt-PT"/>
              </w:rPr>
              <w:t>Nicoadala</w:t>
            </w:r>
            <w:proofErr w:type="spellEnd"/>
          </w:p>
        </w:tc>
        <w:tc>
          <w:tcPr>
            <w:tcW w:w="2975" w:type="dxa"/>
            <w:tcBorders>
              <w:left w:val="nil"/>
              <w:right w:val="nil"/>
            </w:tcBorders>
          </w:tcPr>
          <w:p w14:paraId="4C113DCA" w14:textId="77777777" w:rsidR="00CE785A" w:rsidRPr="00292532" w:rsidRDefault="00CE785A" w:rsidP="00CE785A">
            <w:pPr>
              <w:jc w:val="center"/>
              <w:rPr>
                <w:rFonts w:eastAsia="Calibri" w:cs="Calibri"/>
                <w:lang w:val="pt-PT"/>
              </w:rPr>
            </w:pPr>
            <w:r w:rsidRPr="00292532">
              <w:rPr>
                <w:rFonts w:eastAsia="Calibri" w:cs="Calibri"/>
                <w:lang w:val="pt-PT"/>
              </w:rPr>
              <w:t>01.07.2021</w:t>
            </w:r>
          </w:p>
        </w:tc>
        <w:tc>
          <w:tcPr>
            <w:tcW w:w="851" w:type="dxa"/>
            <w:tcBorders>
              <w:left w:val="nil"/>
              <w:right w:val="nil"/>
            </w:tcBorders>
          </w:tcPr>
          <w:p w14:paraId="4C7C3A5C" w14:textId="77777777" w:rsidR="00CE785A" w:rsidRPr="00292532" w:rsidRDefault="00CE785A" w:rsidP="00CE785A">
            <w:pPr>
              <w:jc w:val="center"/>
              <w:rPr>
                <w:rFonts w:eastAsia="Calibri" w:cs="Calibri"/>
                <w:lang w:val="pt-PT"/>
              </w:rPr>
            </w:pPr>
            <w:r w:rsidRPr="00292532">
              <w:rPr>
                <w:rFonts w:eastAsia="Calibri" w:cs="Calibri"/>
                <w:lang w:val="pt-PT"/>
              </w:rPr>
              <w:t>9</w:t>
            </w:r>
          </w:p>
        </w:tc>
        <w:tc>
          <w:tcPr>
            <w:tcW w:w="1134" w:type="dxa"/>
            <w:tcBorders>
              <w:left w:val="nil"/>
              <w:right w:val="nil"/>
            </w:tcBorders>
          </w:tcPr>
          <w:p w14:paraId="54D7BC4E" w14:textId="77777777" w:rsidR="00CE785A" w:rsidRPr="00292532" w:rsidRDefault="00CE785A" w:rsidP="00CE785A">
            <w:pPr>
              <w:jc w:val="center"/>
              <w:rPr>
                <w:rFonts w:eastAsia="Calibri" w:cs="Calibri"/>
                <w:lang w:val="pt-PT"/>
              </w:rPr>
            </w:pPr>
            <w:r w:rsidRPr="00292532">
              <w:rPr>
                <w:rFonts w:eastAsia="Calibri" w:cs="Calibri"/>
                <w:lang w:val="pt-PT"/>
              </w:rPr>
              <w:t>6</w:t>
            </w:r>
          </w:p>
        </w:tc>
        <w:tc>
          <w:tcPr>
            <w:tcW w:w="1276" w:type="dxa"/>
            <w:tcBorders>
              <w:left w:val="nil"/>
            </w:tcBorders>
          </w:tcPr>
          <w:p w14:paraId="735FD0DA" w14:textId="77777777" w:rsidR="00CE785A" w:rsidRPr="00292532" w:rsidRDefault="00CE785A" w:rsidP="00CE785A">
            <w:pPr>
              <w:jc w:val="center"/>
              <w:rPr>
                <w:rFonts w:eastAsia="Calibri" w:cs="Calibri"/>
                <w:lang w:val="pt-PT"/>
              </w:rPr>
            </w:pPr>
            <w:r w:rsidRPr="00292532">
              <w:rPr>
                <w:rFonts w:eastAsia="Calibri" w:cs="Calibri"/>
                <w:lang w:val="pt-PT"/>
              </w:rPr>
              <w:t>3</w:t>
            </w:r>
          </w:p>
        </w:tc>
      </w:tr>
      <w:tr w:rsidR="00CE785A" w:rsidRPr="00292532" w14:paraId="2671EF8A" w14:textId="77777777" w:rsidTr="00CE785A">
        <w:trPr>
          <w:jc w:val="center"/>
        </w:trPr>
        <w:tc>
          <w:tcPr>
            <w:tcW w:w="2128" w:type="dxa"/>
            <w:tcBorders>
              <w:right w:val="nil"/>
            </w:tcBorders>
          </w:tcPr>
          <w:p w14:paraId="443E910B" w14:textId="77777777" w:rsidR="00CE785A" w:rsidRPr="00292532" w:rsidRDefault="00CE785A" w:rsidP="00CE785A">
            <w:pPr>
              <w:jc w:val="center"/>
              <w:rPr>
                <w:rFonts w:eastAsia="Calibri" w:cs="Calibri"/>
                <w:b/>
                <w:lang w:val="pt-PT"/>
              </w:rPr>
            </w:pPr>
            <w:r w:rsidRPr="00292532">
              <w:rPr>
                <w:rFonts w:eastAsia="Calibri" w:cs="Calibri"/>
                <w:b/>
                <w:lang w:val="pt-PT"/>
              </w:rPr>
              <w:t>Total dos consultados</w:t>
            </w:r>
          </w:p>
        </w:tc>
        <w:tc>
          <w:tcPr>
            <w:tcW w:w="2975" w:type="dxa"/>
            <w:tcBorders>
              <w:left w:val="nil"/>
              <w:right w:val="nil"/>
            </w:tcBorders>
          </w:tcPr>
          <w:p w14:paraId="2F4F33F4" w14:textId="77777777" w:rsidR="00CE785A" w:rsidRPr="00292532" w:rsidRDefault="00CE785A" w:rsidP="00CE785A">
            <w:pPr>
              <w:jc w:val="center"/>
              <w:rPr>
                <w:rFonts w:eastAsia="Calibri" w:cs="Calibri"/>
                <w:lang w:val="pt-PT"/>
              </w:rPr>
            </w:pPr>
          </w:p>
        </w:tc>
        <w:tc>
          <w:tcPr>
            <w:tcW w:w="851" w:type="dxa"/>
            <w:tcBorders>
              <w:left w:val="nil"/>
              <w:right w:val="nil"/>
            </w:tcBorders>
          </w:tcPr>
          <w:p w14:paraId="0C88F322" w14:textId="77777777" w:rsidR="00CE785A" w:rsidRPr="00292532" w:rsidRDefault="00CE785A" w:rsidP="00CE785A">
            <w:pPr>
              <w:jc w:val="center"/>
              <w:rPr>
                <w:rFonts w:eastAsia="Calibri" w:cs="Calibri"/>
                <w:b/>
                <w:lang w:val="pt-PT"/>
              </w:rPr>
            </w:pPr>
            <w:r w:rsidRPr="00292532">
              <w:rPr>
                <w:rFonts w:eastAsia="Calibri" w:cs="Calibri"/>
                <w:b/>
                <w:lang w:val="pt-PT"/>
              </w:rPr>
              <w:t>58</w:t>
            </w:r>
          </w:p>
        </w:tc>
        <w:tc>
          <w:tcPr>
            <w:tcW w:w="1134" w:type="dxa"/>
            <w:tcBorders>
              <w:left w:val="nil"/>
              <w:right w:val="nil"/>
            </w:tcBorders>
          </w:tcPr>
          <w:p w14:paraId="7CE40A82" w14:textId="77777777" w:rsidR="00CE785A" w:rsidRPr="00292532" w:rsidRDefault="00CE785A" w:rsidP="00CE785A">
            <w:pPr>
              <w:jc w:val="center"/>
              <w:rPr>
                <w:rFonts w:eastAsia="Calibri" w:cs="Calibri"/>
                <w:b/>
                <w:lang w:val="pt-PT"/>
              </w:rPr>
            </w:pPr>
            <w:r w:rsidRPr="00292532">
              <w:rPr>
                <w:rFonts w:eastAsia="Calibri" w:cs="Calibri"/>
                <w:b/>
                <w:lang w:val="pt-PT"/>
              </w:rPr>
              <w:t>29</w:t>
            </w:r>
          </w:p>
        </w:tc>
        <w:tc>
          <w:tcPr>
            <w:tcW w:w="1276" w:type="dxa"/>
            <w:tcBorders>
              <w:left w:val="nil"/>
            </w:tcBorders>
          </w:tcPr>
          <w:p w14:paraId="53740F0B" w14:textId="77777777" w:rsidR="00CE785A" w:rsidRPr="00292532" w:rsidRDefault="00CE785A" w:rsidP="00CE785A">
            <w:pPr>
              <w:jc w:val="center"/>
              <w:rPr>
                <w:rFonts w:eastAsia="Calibri" w:cs="Calibri"/>
                <w:b/>
                <w:lang w:val="pt-PT"/>
              </w:rPr>
            </w:pPr>
            <w:r w:rsidRPr="00292532">
              <w:rPr>
                <w:rFonts w:eastAsia="Calibri" w:cs="Calibri"/>
                <w:b/>
                <w:lang w:val="pt-PT"/>
              </w:rPr>
              <w:t>29</w:t>
            </w:r>
          </w:p>
        </w:tc>
      </w:tr>
    </w:tbl>
    <w:p w14:paraId="7BFF531A" w14:textId="77777777" w:rsidR="00CE785A" w:rsidRPr="00292532" w:rsidRDefault="00CE785A" w:rsidP="00CE785A">
      <w:pPr>
        <w:spacing w:before="0" w:after="0" w:line="259" w:lineRule="auto"/>
        <w:jc w:val="center"/>
        <w:rPr>
          <w:rFonts w:eastAsia="Calibri" w:cs="Calibri"/>
          <w:b/>
          <w:i/>
          <w:u w:val="single"/>
          <w:lang w:val="pt-PT"/>
        </w:rPr>
      </w:pPr>
    </w:p>
    <w:p w14:paraId="0D2401B6" w14:textId="77777777" w:rsidR="00CE785A" w:rsidRPr="00292532" w:rsidRDefault="00CE785A" w:rsidP="00CE785A">
      <w:pPr>
        <w:spacing w:before="0" w:after="0" w:line="259" w:lineRule="auto"/>
        <w:jc w:val="center"/>
        <w:rPr>
          <w:rFonts w:eastAsia="Calibri" w:cs="Calibri"/>
          <w:b/>
          <w:i/>
          <w:u w:val="single"/>
          <w:lang w:val="pt-PT"/>
        </w:rPr>
      </w:pPr>
    </w:p>
    <w:p w14:paraId="396260EF" w14:textId="77777777" w:rsidR="00CE785A" w:rsidRPr="00292532" w:rsidRDefault="00CE785A" w:rsidP="00CE785A">
      <w:pPr>
        <w:spacing w:before="0" w:after="0" w:line="276" w:lineRule="auto"/>
        <w:jc w:val="center"/>
        <w:rPr>
          <w:rFonts w:eastAsia="Calibri" w:cs="Calibri"/>
          <w:b/>
          <w:sz w:val="24"/>
          <w:lang w:val="pt-PT"/>
        </w:rPr>
      </w:pPr>
      <w:r w:rsidRPr="00292532">
        <w:rPr>
          <w:rFonts w:eastAsia="Calibri" w:cs="Calibri"/>
          <w:b/>
          <w:sz w:val="24"/>
          <w:lang w:val="pt-PT"/>
        </w:rPr>
        <w:t>Distrito de Lugela</w:t>
      </w:r>
    </w:p>
    <w:p w14:paraId="0E2D850C" w14:textId="77777777" w:rsidR="00CE785A" w:rsidRPr="00292532" w:rsidRDefault="00CE785A" w:rsidP="00CE785A">
      <w:pPr>
        <w:spacing w:before="0" w:after="0" w:line="276" w:lineRule="auto"/>
        <w:jc w:val="center"/>
        <w:rPr>
          <w:rFonts w:eastAsia="Calibri" w:cs="Calibri"/>
          <w:sz w:val="24"/>
          <w:u w:val="single"/>
          <w:lang w:val="pt-PT"/>
        </w:rPr>
      </w:pPr>
      <w:r w:rsidRPr="00292532">
        <w:rPr>
          <w:rFonts w:eastAsia="Calibri" w:cs="Calibri"/>
          <w:b/>
          <w:sz w:val="24"/>
          <w:u w:val="single"/>
          <w:lang w:val="pt-PT"/>
        </w:rPr>
        <w:t>Consulta Pública para elaboração de instrumentos genéricos de gestão ambiental e social</w:t>
      </w:r>
    </w:p>
    <w:tbl>
      <w:tblPr>
        <w:tblW w:w="10348" w:type="dxa"/>
        <w:tblInd w:w="-289" w:type="dxa"/>
        <w:tblLayout w:type="fixed"/>
        <w:tblLook w:val="04A0" w:firstRow="1" w:lastRow="0" w:firstColumn="1" w:lastColumn="0" w:noHBand="0" w:noVBand="1"/>
      </w:tblPr>
      <w:tblGrid>
        <w:gridCol w:w="2274"/>
        <w:gridCol w:w="6095"/>
        <w:gridCol w:w="1979"/>
      </w:tblGrid>
      <w:tr w:rsidR="00CE785A" w:rsidRPr="00292532" w14:paraId="2F6DD0D0" w14:textId="77777777" w:rsidTr="00CE785A">
        <w:trPr>
          <w:trHeight w:val="70"/>
          <w:tblHeader/>
        </w:trPr>
        <w:tc>
          <w:tcPr>
            <w:tcW w:w="2274" w:type="dxa"/>
            <w:shd w:val="clear" w:color="auto" w:fill="4472C4"/>
            <w:vAlign w:val="center"/>
          </w:tcPr>
          <w:p w14:paraId="0355D722" w14:textId="77777777" w:rsidR="00CE785A" w:rsidRPr="00292532" w:rsidRDefault="00CE785A" w:rsidP="00CE785A">
            <w:pPr>
              <w:tabs>
                <w:tab w:val="left" w:pos="2980"/>
              </w:tabs>
              <w:spacing w:before="0" w:after="0" w:line="276" w:lineRule="auto"/>
              <w:jc w:val="center"/>
              <w:rPr>
                <w:rFonts w:eastAsia="Calibri" w:cs="Calibri"/>
                <w:b/>
                <w:color w:val="FFFFFF"/>
                <w:lang w:val="pt-PT"/>
              </w:rPr>
            </w:pPr>
            <w:r w:rsidRPr="00292532">
              <w:rPr>
                <w:rFonts w:eastAsia="Calibri" w:cs="Calibri"/>
                <w:b/>
                <w:color w:val="FFFFFF"/>
                <w:lang w:val="pt-PT"/>
              </w:rPr>
              <w:t>Assuntos abordados</w:t>
            </w:r>
          </w:p>
        </w:tc>
        <w:tc>
          <w:tcPr>
            <w:tcW w:w="6095" w:type="dxa"/>
            <w:shd w:val="clear" w:color="auto" w:fill="4472C4"/>
            <w:vAlign w:val="center"/>
          </w:tcPr>
          <w:p w14:paraId="0F2AE88E" w14:textId="77777777" w:rsidR="00CE785A" w:rsidRPr="00292532" w:rsidRDefault="00CE785A" w:rsidP="00CE785A">
            <w:pPr>
              <w:spacing w:before="0" w:after="0"/>
              <w:jc w:val="center"/>
              <w:rPr>
                <w:rFonts w:eastAsia="Calibri" w:cs="Calibri"/>
                <w:b/>
                <w:color w:val="FFFFFF"/>
                <w:lang w:val="pt-PT"/>
              </w:rPr>
            </w:pPr>
            <w:r w:rsidRPr="00292532">
              <w:rPr>
                <w:rFonts w:eastAsia="Times New Roman" w:cs="Calibri"/>
                <w:b/>
                <w:color w:val="FFFFFF"/>
                <w:lang w:val="pt-PT"/>
              </w:rPr>
              <w:t>Resposta / Comentário</w:t>
            </w:r>
          </w:p>
        </w:tc>
        <w:tc>
          <w:tcPr>
            <w:tcW w:w="1979" w:type="dxa"/>
            <w:shd w:val="clear" w:color="auto" w:fill="4472C4"/>
            <w:vAlign w:val="center"/>
          </w:tcPr>
          <w:p w14:paraId="7C2841B6" w14:textId="77777777" w:rsidR="00CE785A" w:rsidRPr="00292532" w:rsidRDefault="00CE785A" w:rsidP="00CE785A">
            <w:pPr>
              <w:spacing w:before="0" w:after="0" w:line="276" w:lineRule="auto"/>
              <w:jc w:val="center"/>
              <w:rPr>
                <w:rFonts w:eastAsia="Calibri" w:cs="Calibri"/>
                <w:b/>
                <w:color w:val="FFFFFF"/>
                <w:lang w:val="pt-PT"/>
              </w:rPr>
            </w:pPr>
            <w:r w:rsidRPr="00292532">
              <w:rPr>
                <w:rFonts w:eastAsia="Calibri" w:cs="Calibri"/>
                <w:b/>
                <w:color w:val="FFFFFF"/>
                <w:lang w:val="pt-PT"/>
              </w:rPr>
              <w:t>Intervenientes (nome, posição/título)</w:t>
            </w:r>
          </w:p>
        </w:tc>
      </w:tr>
      <w:tr w:rsidR="00CE785A" w:rsidRPr="004E2EAC" w14:paraId="6D911680" w14:textId="77777777" w:rsidTr="00CE785A">
        <w:tc>
          <w:tcPr>
            <w:tcW w:w="2274" w:type="dxa"/>
            <w:tcBorders>
              <w:top w:val="single" w:sz="4" w:space="0" w:color="auto"/>
              <w:left w:val="single" w:sz="4" w:space="0" w:color="auto"/>
              <w:bottom w:val="single" w:sz="4" w:space="0" w:color="auto"/>
              <w:right w:val="single" w:sz="4" w:space="0" w:color="auto"/>
            </w:tcBorders>
            <w:vAlign w:val="center"/>
          </w:tcPr>
          <w:p w14:paraId="22F09268"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bCs/>
                <w:lang w:val="pt-PT"/>
              </w:rPr>
              <w:t>Prioridades da comunidade para implantar um sistema de abastecimento de água e saneamento</w:t>
            </w:r>
          </w:p>
        </w:tc>
        <w:tc>
          <w:tcPr>
            <w:tcW w:w="6095" w:type="dxa"/>
            <w:tcBorders>
              <w:top w:val="single" w:sz="4" w:space="0" w:color="auto"/>
              <w:left w:val="single" w:sz="4" w:space="0" w:color="auto"/>
              <w:bottom w:val="single" w:sz="4" w:space="0" w:color="auto"/>
              <w:right w:val="single" w:sz="4" w:space="0" w:color="auto"/>
            </w:tcBorders>
            <w:vAlign w:val="center"/>
          </w:tcPr>
          <w:p w14:paraId="022D6744"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Times New Roman"/>
                <w:lang w:val="pt-PT"/>
              </w:rPr>
              <w:t xml:space="preserve">No </w:t>
            </w:r>
            <w:r w:rsidRPr="00292532">
              <w:rPr>
                <w:rFonts w:eastAsia="Calibri" w:cs="Calibri"/>
                <w:lang w:val="pt-PT"/>
              </w:rPr>
              <w:t>distrito</w:t>
            </w:r>
            <w:r w:rsidRPr="00292532">
              <w:rPr>
                <w:rFonts w:eastAsia="Calibri" w:cs="Times New Roman"/>
                <w:lang w:val="pt-PT"/>
              </w:rPr>
              <w:t xml:space="preserve"> de Lugela, vários </w:t>
            </w:r>
            <w:proofErr w:type="spellStart"/>
            <w:r w:rsidRPr="00292532">
              <w:rPr>
                <w:rFonts w:eastAsia="Calibri" w:cs="Times New Roman"/>
                <w:lang w:val="pt-PT"/>
              </w:rPr>
              <w:t>projectos</w:t>
            </w:r>
            <w:proofErr w:type="spellEnd"/>
            <w:r w:rsidRPr="00292532">
              <w:rPr>
                <w:rFonts w:eastAsia="Calibri" w:cs="Times New Roman"/>
                <w:lang w:val="pt-PT"/>
              </w:rPr>
              <w:t xml:space="preserve"> foram desenvolvidos com vista a suprir a necessidade de água e saneamento. Em 2019 foram reabilitadas cerca de 14 fontes de abastecimento de água e construídas 2 fontes. As fontes são constituídas por tanques elevados e </w:t>
            </w:r>
            <w:proofErr w:type="spellStart"/>
            <w:r w:rsidRPr="00292532">
              <w:rPr>
                <w:rFonts w:eastAsia="Calibri" w:cs="Times New Roman"/>
                <w:lang w:val="pt-PT"/>
              </w:rPr>
              <w:t>semi-elevados</w:t>
            </w:r>
            <w:proofErr w:type="spellEnd"/>
            <w:r w:rsidRPr="00292532">
              <w:rPr>
                <w:rFonts w:eastAsia="Calibri" w:cs="Times New Roman"/>
                <w:lang w:val="pt-PT"/>
              </w:rPr>
              <w:t xml:space="preserve">. Ao nível dos hospitais foram construídos igualmente no mesmo período 2 </w:t>
            </w:r>
            <w:proofErr w:type="spellStart"/>
            <w:r w:rsidRPr="00292532">
              <w:rPr>
                <w:rFonts w:eastAsia="Calibri" w:cs="Times New Roman"/>
                <w:lang w:val="pt-PT"/>
              </w:rPr>
              <w:t>mini-sistemas</w:t>
            </w:r>
            <w:proofErr w:type="spellEnd"/>
            <w:r w:rsidRPr="00292532">
              <w:rPr>
                <w:rFonts w:eastAsia="Calibri" w:cs="Times New Roman"/>
                <w:lang w:val="pt-PT"/>
              </w:rPr>
              <w:t xml:space="preserve"> de abastecimento de água e em Lugela-sede foram construídos 3 </w:t>
            </w:r>
            <w:r w:rsidRPr="00292532">
              <w:rPr>
                <w:rFonts w:eastAsia="Calibri" w:cs="Times New Roman"/>
                <w:lang w:val="pt-PT"/>
              </w:rPr>
              <w:lastRenderedPageBreak/>
              <w:t xml:space="preserve">minissistemas de abastecimento de água. Vários desses sistemas não estão operacionais </w:t>
            </w:r>
            <w:proofErr w:type="spellStart"/>
            <w:r w:rsidRPr="00292532">
              <w:rPr>
                <w:rFonts w:eastAsia="Calibri" w:cs="Times New Roman"/>
                <w:lang w:val="pt-PT"/>
              </w:rPr>
              <w:t>actualmente</w:t>
            </w:r>
            <w:proofErr w:type="spellEnd"/>
            <w:r w:rsidRPr="00292532">
              <w:rPr>
                <w:rFonts w:eastAsia="Calibri" w:cs="Times New Roman"/>
                <w:lang w:val="pt-PT"/>
              </w:rPr>
              <w:t>, o que demanda a necessidade de garantir o acesso a água para as comunidades.</w:t>
            </w:r>
          </w:p>
        </w:tc>
        <w:tc>
          <w:tcPr>
            <w:tcW w:w="1979" w:type="dxa"/>
            <w:tcBorders>
              <w:top w:val="single" w:sz="4" w:space="0" w:color="auto"/>
              <w:left w:val="single" w:sz="4" w:space="0" w:color="auto"/>
              <w:bottom w:val="single" w:sz="4" w:space="0" w:color="auto"/>
              <w:right w:val="single" w:sz="4" w:space="0" w:color="auto"/>
            </w:tcBorders>
            <w:vAlign w:val="center"/>
          </w:tcPr>
          <w:p w14:paraId="22DF5A1F" w14:textId="77777777" w:rsidR="00CE785A" w:rsidRPr="00292532" w:rsidRDefault="00CE785A" w:rsidP="00CE785A">
            <w:pPr>
              <w:spacing w:before="0" w:after="0" w:line="276" w:lineRule="auto"/>
              <w:jc w:val="left"/>
              <w:rPr>
                <w:rFonts w:eastAsia="Calibri" w:cs="Times New Roman"/>
                <w:lang w:val="pt-PT"/>
              </w:rPr>
            </w:pPr>
            <w:r w:rsidRPr="00292532">
              <w:rPr>
                <w:rFonts w:eastAsia="Calibri" w:cs="Times New Roman"/>
                <w:b/>
                <w:lang w:val="pt-PT"/>
              </w:rPr>
              <w:lastRenderedPageBreak/>
              <w:t xml:space="preserve">Ernesto António </w:t>
            </w:r>
            <w:r w:rsidRPr="00292532">
              <w:rPr>
                <w:rFonts w:eastAsia="Calibri" w:cs="Times New Roman"/>
                <w:lang w:val="pt-PT"/>
              </w:rPr>
              <w:t xml:space="preserve">- </w:t>
            </w:r>
            <w:proofErr w:type="spellStart"/>
            <w:r w:rsidRPr="00292532">
              <w:rPr>
                <w:rFonts w:eastAsia="Calibri" w:cs="Times New Roman"/>
                <w:lang w:val="pt-PT"/>
              </w:rPr>
              <w:t>director</w:t>
            </w:r>
            <w:proofErr w:type="spellEnd"/>
            <w:r w:rsidRPr="00292532">
              <w:rPr>
                <w:rFonts w:eastAsia="Calibri" w:cs="Times New Roman"/>
                <w:lang w:val="pt-PT"/>
              </w:rPr>
              <w:t xml:space="preserve"> de SDPI</w:t>
            </w:r>
          </w:p>
        </w:tc>
      </w:tr>
      <w:tr w:rsidR="00CE785A" w:rsidRPr="004E2EAC" w14:paraId="7C6D1D87" w14:textId="77777777" w:rsidTr="00CE785A">
        <w:tc>
          <w:tcPr>
            <w:tcW w:w="2274" w:type="dxa"/>
            <w:tcBorders>
              <w:top w:val="single" w:sz="4" w:space="0" w:color="auto"/>
              <w:left w:val="single" w:sz="4" w:space="0" w:color="auto"/>
              <w:bottom w:val="single" w:sz="4" w:space="0" w:color="auto"/>
              <w:right w:val="single" w:sz="4" w:space="0" w:color="auto"/>
            </w:tcBorders>
            <w:shd w:val="clear" w:color="auto" w:fill="auto"/>
            <w:vAlign w:val="center"/>
          </w:tcPr>
          <w:p w14:paraId="72192907" w14:textId="37713B13" w:rsidR="00CE785A" w:rsidRPr="00292532" w:rsidRDefault="00CE785A" w:rsidP="00CE785A">
            <w:pPr>
              <w:spacing w:before="0" w:after="0" w:line="276" w:lineRule="auto"/>
              <w:jc w:val="left"/>
              <w:rPr>
                <w:rFonts w:eastAsia="Calibri" w:cs="Calibri"/>
                <w:b/>
                <w:bCs/>
                <w:lang w:val="pt-PT"/>
              </w:rPr>
            </w:pPr>
            <w:r w:rsidRPr="00292532">
              <w:rPr>
                <w:rFonts w:eastAsia="Calibri" w:cs="Calibri"/>
                <w:b/>
                <w:bCs/>
                <w:lang w:val="pt-PT"/>
              </w:rPr>
              <w:t xml:space="preserve">Problemas de Abastecimento de água, </w:t>
            </w:r>
            <w:proofErr w:type="spellStart"/>
            <w:r w:rsidRPr="00292532">
              <w:rPr>
                <w:rFonts w:eastAsia="Calibri" w:cs="Calibri"/>
                <w:b/>
                <w:bCs/>
                <w:lang w:val="pt-PT"/>
              </w:rPr>
              <w:t>Actua</w:t>
            </w:r>
            <w:r w:rsidR="00292532">
              <w:rPr>
                <w:rFonts w:eastAsia="Calibri" w:cs="Calibri"/>
                <w:b/>
                <w:bCs/>
                <w:lang w:val="pt-PT"/>
              </w:rPr>
              <w:t>i</w:t>
            </w:r>
            <w:r w:rsidRPr="00292532">
              <w:rPr>
                <w:rFonts w:eastAsia="Calibri" w:cs="Calibri"/>
                <w:b/>
                <w:bCs/>
                <w:lang w:val="pt-PT"/>
              </w:rPr>
              <w:t>s</w:t>
            </w:r>
            <w:proofErr w:type="spellEnd"/>
            <w:r w:rsidRPr="00292532">
              <w:rPr>
                <w:rFonts w:eastAsia="Calibri" w:cs="Calibri"/>
                <w:b/>
                <w:bCs/>
                <w:lang w:val="pt-PT"/>
              </w:rPr>
              <w:t xml:space="preserve"> fontes de Abastecimento de Água.</w:t>
            </w:r>
          </w:p>
        </w:tc>
        <w:tc>
          <w:tcPr>
            <w:tcW w:w="6095" w:type="dxa"/>
            <w:tcBorders>
              <w:top w:val="single" w:sz="4" w:space="0" w:color="auto"/>
              <w:left w:val="single" w:sz="4" w:space="0" w:color="auto"/>
              <w:bottom w:val="single" w:sz="4" w:space="0" w:color="auto"/>
              <w:right w:val="single" w:sz="4" w:space="0" w:color="auto"/>
            </w:tcBorders>
            <w:shd w:val="clear" w:color="auto" w:fill="auto"/>
            <w:vAlign w:val="center"/>
          </w:tcPr>
          <w:p w14:paraId="4A47ED8D"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Pela falta de gestores, do total de 16 fontes construídas e reabilitadas, apenas 4 estão operacionais. A não operacionalização desses sistemas deve-se pela falta de gestão das fontes, pois a comunidade não faz o pagamento das taxas definidas para o pagamento mensal. As comunidades assumem que os custos incrementados pelos gestores são altos e por isso faziam o uso e ao final do mês não faziam os pagamentos. Há também vandalizações nos sistemas de abastecimento de água devido a falta de abrangência do sistema. Temos um parceiro, a </w:t>
            </w:r>
            <w:r w:rsidRPr="00292532">
              <w:rPr>
                <w:rFonts w:eastAsia="Calibri" w:cs="Calibri"/>
                <w:i/>
                <w:lang w:val="pt-PT"/>
              </w:rPr>
              <w:t>PEC</w:t>
            </w:r>
            <w:r w:rsidRPr="00292532">
              <w:rPr>
                <w:rFonts w:eastAsia="Calibri" w:cs="Calibri"/>
                <w:lang w:val="pt-PT"/>
              </w:rPr>
              <w:t xml:space="preserve"> que tem vindo a consciencializar a comunidade em questões de água e saneamento e tem prestado apoio para a manutenção dos sistemas existentes.</w:t>
            </w:r>
          </w:p>
          <w:p w14:paraId="44710560"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Na nossa localidade (Debane) temos cerca de 3 fontes de bombagem manual, apenas 2 estão em funcionamento e conseguem suprir todos os residentes, embora no verão há muita aglomeração devido a procura de água, o que leva muito tempo de espera para obter o precioso líquido.</w:t>
            </w:r>
          </w:p>
          <w:p w14:paraId="3EE814D5"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Times New Roman"/>
                <w:lang w:val="pt-PT"/>
              </w:rPr>
              <w:t>A nossa localidade (</w:t>
            </w:r>
            <w:proofErr w:type="spellStart"/>
            <w:r w:rsidRPr="00292532">
              <w:rPr>
                <w:rFonts w:eastAsia="Calibri" w:cs="Times New Roman"/>
                <w:lang w:val="pt-PT"/>
              </w:rPr>
              <w:t>Murrauanha</w:t>
            </w:r>
            <w:proofErr w:type="spellEnd"/>
            <w:r w:rsidRPr="00292532">
              <w:rPr>
                <w:rFonts w:eastAsia="Calibri" w:cs="Times New Roman"/>
                <w:lang w:val="pt-PT"/>
              </w:rPr>
              <w:t xml:space="preserve">) </w:t>
            </w:r>
            <w:proofErr w:type="spellStart"/>
            <w:r w:rsidRPr="00292532">
              <w:rPr>
                <w:rFonts w:eastAsia="Calibri" w:cs="Times New Roman"/>
                <w:lang w:val="pt-PT"/>
              </w:rPr>
              <w:t>actualmente</w:t>
            </w:r>
            <w:proofErr w:type="spellEnd"/>
            <w:r w:rsidRPr="00292532">
              <w:rPr>
                <w:rFonts w:eastAsia="Calibri" w:cs="Times New Roman"/>
                <w:lang w:val="pt-PT"/>
              </w:rPr>
              <w:t xml:space="preserve"> tem 5 fontes de bombagem manual que estão estragados e uma cisterna com dificuldade no seu funcionamento. Para buscar a água, devemos nos deslocar para outras localidades. As nossas mulheres devem acordar 3 horas da manhã para buscar água.</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14:paraId="68740ADD" w14:textId="77777777" w:rsidR="00CE785A" w:rsidRPr="00292532" w:rsidRDefault="00CE785A" w:rsidP="00CE785A">
            <w:pPr>
              <w:spacing w:before="0" w:after="0" w:line="276" w:lineRule="auto"/>
              <w:jc w:val="left"/>
              <w:rPr>
                <w:rFonts w:eastAsia="Calibri" w:cs="Times New Roman"/>
                <w:lang w:val="pt-PT"/>
              </w:rPr>
            </w:pPr>
            <w:r w:rsidRPr="00292532">
              <w:rPr>
                <w:rFonts w:eastAsia="Calibri" w:cs="Times New Roman"/>
                <w:b/>
                <w:lang w:val="pt-PT"/>
              </w:rPr>
              <w:t xml:space="preserve">Ernesto António </w:t>
            </w:r>
            <w:r w:rsidRPr="00292532">
              <w:rPr>
                <w:rFonts w:eastAsia="Calibri" w:cs="Times New Roman"/>
                <w:lang w:val="pt-PT"/>
              </w:rPr>
              <w:t xml:space="preserve">- </w:t>
            </w:r>
            <w:proofErr w:type="spellStart"/>
            <w:r w:rsidRPr="00292532">
              <w:rPr>
                <w:rFonts w:eastAsia="Calibri" w:cs="Times New Roman"/>
                <w:lang w:val="pt-PT"/>
              </w:rPr>
              <w:t>director</w:t>
            </w:r>
            <w:proofErr w:type="spellEnd"/>
            <w:r w:rsidRPr="00292532">
              <w:rPr>
                <w:rFonts w:eastAsia="Calibri" w:cs="Times New Roman"/>
                <w:lang w:val="pt-PT"/>
              </w:rPr>
              <w:t xml:space="preserve"> de SDPI</w:t>
            </w:r>
          </w:p>
          <w:p w14:paraId="46D1B82C" w14:textId="77777777" w:rsidR="00CE785A" w:rsidRPr="00292532" w:rsidRDefault="00CE785A" w:rsidP="00CE785A">
            <w:pPr>
              <w:spacing w:before="0" w:after="0" w:line="276" w:lineRule="auto"/>
              <w:jc w:val="left"/>
              <w:rPr>
                <w:rFonts w:eastAsia="Calibri" w:cs="Calibri"/>
                <w:lang w:val="pt-PT"/>
              </w:rPr>
            </w:pPr>
          </w:p>
          <w:p w14:paraId="76933B6F" w14:textId="77777777" w:rsidR="00CE785A" w:rsidRPr="00292532" w:rsidRDefault="00CE785A" w:rsidP="00CE785A">
            <w:pPr>
              <w:spacing w:before="0" w:after="0" w:line="276" w:lineRule="auto"/>
              <w:jc w:val="left"/>
              <w:rPr>
                <w:rFonts w:eastAsia="Calibri" w:cs="Calibri"/>
                <w:lang w:val="pt-PT"/>
              </w:rPr>
            </w:pPr>
            <w:proofErr w:type="spellStart"/>
            <w:r w:rsidRPr="00292532">
              <w:rPr>
                <w:rFonts w:eastAsia="Calibri" w:cs="Times New Roman"/>
                <w:b/>
                <w:lang w:val="pt-PT"/>
              </w:rPr>
              <w:t>Anapaula</w:t>
            </w:r>
            <w:proofErr w:type="spellEnd"/>
            <w:r w:rsidRPr="00292532">
              <w:rPr>
                <w:rFonts w:eastAsia="Calibri" w:cs="Times New Roman"/>
                <w:b/>
                <w:lang w:val="pt-PT"/>
              </w:rPr>
              <w:t xml:space="preserve"> Jone</w:t>
            </w:r>
            <w:r w:rsidRPr="00292532">
              <w:rPr>
                <w:rFonts w:eastAsia="Calibri" w:cs="Calibri"/>
                <w:lang w:val="pt-PT"/>
              </w:rPr>
              <w:t xml:space="preserve"> - Residente da localidade de </w:t>
            </w:r>
            <w:proofErr w:type="spellStart"/>
            <w:r w:rsidRPr="00292532">
              <w:rPr>
                <w:rFonts w:eastAsia="Calibri" w:cs="Calibri"/>
                <w:lang w:val="pt-PT"/>
              </w:rPr>
              <w:t>Dabane</w:t>
            </w:r>
            <w:proofErr w:type="spellEnd"/>
          </w:p>
          <w:p w14:paraId="095C0E29" w14:textId="77777777" w:rsidR="00CE785A" w:rsidRPr="00292532" w:rsidRDefault="00CE785A" w:rsidP="00CE785A">
            <w:pPr>
              <w:spacing w:before="0" w:after="0" w:line="276" w:lineRule="auto"/>
              <w:jc w:val="left"/>
              <w:rPr>
                <w:rFonts w:eastAsia="Calibri" w:cs="Calibri"/>
                <w:lang w:val="pt-PT"/>
              </w:rPr>
            </w:pPr>
          </w:p>
          <w:p w14:paraId="2B97DFB0" w14:textId="77777777" w:rsidR="00CE785A" w:rsidRPr="00292532" w:rsidRDefault="00CE785A" w:rsidP="00CE785A">
            <w:pPr>
              <w:spacing w:before="0" w:after="0" w:line="276" w:lineRule="auto"/>
              <w:jc w:val="left"/>
              <w:rPr>
                <w:rFonts w:eastAsia="Calibri" w:cs="Calibri"/>
                <w:lang w:val="pt-PT"/>
              </w:rPr>
            </w:pPr>
            <w:r w:rsidRPr="00292532">
              <w:rPr>
                <w:rFonts w:eastAsia="Calibri" w:cs="Times New Roman"/>
                <w:b/>
                <w:lang w:val="pt-PT"/>
              </w:rPr>
              <w:t>Bonifácio Alfredo</w:t>
            </w:r>
            <w:r w:rsidRPr="00292532">
              <w:rPr>
                <w:rFonts w:eastAsia="Calibri" w:cs="Calibri"/>
                <w:lang w:val="pt-PT"/>
              </w:rPr>
              <w:t xml:space="preserve"> - secretário da localidade de </w:t>
            </w:r>
            <w:proofErr w:type="spellStart"/>
            <w:r w:rsidRPr="00292532">
              <w:rPr>
                <w:rFonts w:eastAsia="Calibri" w:cs="Calibri"/>
                <w:lang w:val="pt-PT"/>
              </w:rPr>
              <w:t>Murrauanha</w:t>
            </w:r>
            <w:proofErr w:type="spellEnd"/>
          </w:p>
        </w:tc>
      </w:tr>
      <w:tr w:rsidR="00CE785A" w:rsidRPr="004E2EAC" w14:paraId="6F9EA2A5" w14:textId="77777777" w:rsidTr="00CE785A">
        <w:tc>
          <w:tcPr>
            <w:tcW w:w="2274" w:type="dxa"/>
            <w:tcBorders>
              <w:top w:val="single" w:sz="4" w:space="0" w:color="auto"/>
              <w:left w:val="single" w:sz="4" w:space="0" w:color="auto"/>
              <w:bottom w:val="single" w:sz="4" w:space="0" w:color="auto"/>
              <w:right w:val="single" w:sz="4" w:space="0" w:color="auto"/>
            </w:tcBorders>
            <w:vAlign w:val="center"/>
          </w:tcPr>
          <w:p w14:paraId="0112C5E6" w14:textId="77777777" w:rsidR="00CE785A" w:rsidRPr="00292532" w:rsidRDefault="00CE785A" w:rsidP="00CE785A">
            <w:pPr>
              <w:spacing w:before="0" w:after="0" w:line="276" w:lineRule="auto"/>
              <w:jc w:val="left"/>
              <w:rPr>
                <w:rFonts w:eastAsia="Calibri" w:cs="Calibri"/>
                <w:b/>
                <w:bCs/>
                <w:lang w:val="pt-PT"/>
              </w:rPr>
            </w:pPr>
            <w:r w:rsidRPr="00292532">
              <w:rPr>
                <w:rFonts w:eastAsia="Calibri" w:cs="Calibri"/>
                <w:b/>
                <w:bCs/>
                <w:lang w:val="pt-PT"/>
              </w:rPr>
              <w:t>Papel e envolvimento das mulheres na gestão de fontenários e de fontes dispersas de água com bombas manuais.</w:t>
            </w:r>
          </w:p>
        </w:tc>
        <w:tc>
          <w:tcPr>
            <w:tcW w:w="6095" w:type="dxa"/>
            <w:tcBorders>
              <w:top w:val="single" w:sz="4" w:space="0" w:color="auto"/>
              <w:left w:val="single" w:sz="4" w:space="0" w:color="auto"/>
              <w:bottom w:val="single" w:sz="4" w:space="0" w:color="auto"/>
              <w:right w:val="single" w:sz="4" w:space="0" w:color="auto"/>
            </w:tcBorders>
            <w:vAlign w:val="center"/>
          </w:tcPr>
          <w:p w14:paraId="483EB3CA"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Quando é construída uma fonte dispersa, é também estabelecido um comité de gestão da água, constituído maioritariamente por mulheres. Em alguns casos os líderes dos comités são mulheres e zelam pela fonte.</w:t>
            </w:r>
          </w:p>
        </w:tc>
        <w:tc>
          <w:tcPr>
            <w:tcW w:w="1979" w:type="dxa"/>
            <w:tcBorders>
              <w:top w:val="single" w:sz="4" w:space="0" w:color="auto"/>
              <w:left w:val="single" w:sz="4" w:space="0" w:color="auto"/>
              <w:bottom w:val="single" w:sz="4" w:space="0" w:color="auto"/>
              <w:right w:val="single" w:sz="4" w:space="0" w:color="auto"/>
            </w:tcBorders>
            <w:vAlign w:val="center"/>
          </w:tcPr>
          <w:p w14:paraId="28841ECF" w14:textId="77777777" w:rsidR="00CE785A" w:rsidRPr="00292532" w:rsidRDefault="00CE785A" w:rsidP="00CE785A">
            <w:pPr>
              <w:spacing w:before="0" w:after="0" w:line="276" w:lineRule="auto"/>
              <w:jc w:val="left"/>
              <w:rPr>
                <w:rFonts w:eastAsia="Calibri" w:cs="Calibri"/>
                <w:u w:val="single"/>
                <w:lang w:val="pt-PT"/>
              </w:rPr>
            </w:pPr>
          </w:p>
        </w:tc>
      </w:tr>
      <w:tr w:rsidR="00CE785A" w:rsidRPr="004E2EAC" w14:paraId="1A26BA8A" w14:textId="77777777" w:rsidTr="00CE785A">
        <w:trPr>
          <w:trHeight w:val="4313"/>
        </w:trPr>
        <w:tc>
          <w:tcPr>
            <w:tcW w:w="2274" w:type="dxa"/>
            <w:tcBorders>
              <w:top w:val="single" w:sz="4" w:space="0" w:color="auto"/>
              <w:left w:val="single" w:sz="4" w:space="0" w:color="auto"/>
              <w:bottom w:val="single" w:sz="4" w:space="0" w:color="auto"/>
              <w:right w:val="single" w:sz="4" w:space="0" w:color="auto"/>
            </w:tcBorders>
            <w:vAlign w:val="center"/>
          </w:tcPr>
          <w:p w14:paraId="33D27DAB" w14:textId="77777777" w:rsidR="00CE785A" w:rsidRPr="00292532" w:rsidRDefault="00CE785A" w:rsidP="00CE785A">
            <w:pPr>
              <w:spacing w:before="0" w:after="0" w:line="276" w:lineRule="auto"/>
              <w:jc w:val="left"/>
              <w:rPr>
                <w:rFonts w:eastAsia="Calibri" w:cs="Calibri"/>
                <w:b/>
                <w:bCs/>
                <w:lang w:val="pt-PT"/>
              </w:rPr>
            </w:pPr>
            <w:r w:rsidRPr="00292532">
              <w:rPr>
                <w:rFonts w:eastAsia="Calibri" w:cs="Calibri"/>
                <w:b/>
                <w:bCs/>
                <w:lang w:val="pt-PT"/>
              </w:rPr>
              <w:lastRenderedPageBreak/>
              <w:t xml:space="preserve">Situação </w:t>
            </w:r>
            <w:proofErr w:type="spellStart"/>
            <w:r w:rsidRPr="00292532">
              <w:rPr>
                <w:rFonts w:eastAsia="Calibri" w:cs="Calibri"/>
                <w:b/>
                <w:bCs/>
                <w:lang w:val="pt-PT"/>
              </w:rPr>
              <w:t>actual</w:t>
            </w:r>
            <w:proofErr w:type="spellEnd"/>
            <w:r w:rsidRPr="00292532">
              <w:rPr>
                <w:rFonts w:eastAsia="Calibri" w:cs="Calibri"/>
                <w:b/>
                <w:bCs/>
                <w:lang w:val="pt-PT"/>
              </w:rPr>
              <w:t xml:space="preserve"> do saneamento </w:t>
            </w:r>
          </w:p>
        </w:tc>
        <w:tc>
          <w:tcPr>
            <w:tcW w:w="6095" w:type="dxa"/>
            <w:tcBorders>
              <w:top w:val="single" w:sz="4" w:space="0" w:color="auto"/>
              <w:left w:val="single" w:sz="4" w:space="0" w:color="auto"/>
              <w:bottom w:val="single" w:sz="4" w:space="0" w:color="auto"/>
              <w:right w:val="single" w:sz="4" w:space="0" w:color="auto"/>
            </w:tcBorders>
            <w:vAlign w:val="center"/>
          </w:tcPr>
          <w:p w14:paraId="2D2BC7FD"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Quanto ao saneamento, ainda persistem situações de algumas famílias que não optam por construir latrinas, embora com menor incidência porque várias campanhas têm sido feitas para erradicar a prática de </w:t>
            </w:r>
            <w:proofErr w:type="spellStart"/>
            <w:r w:rsidRPr="00292532">
              <w:rPr>
                <w:rFonts w:eastAsia="Calibri" w:cs="Calibri"/>
                <w:lang w:val="pt-PT"/>
              </w:rPr>
              <w:t>fecalismo</w:t>
            </w:r>
            <w:proofErr w:type="spellEnd"/>
            <w:r w:rsidRPr="00292532">
              <w:rPr>
                <w:rFonts w:eastAsia="Calibri" w:cs="Calibri"/>
                <w:lang w:val="pt-PT"/>
              </w:rPr>
              <w:t xml:space="preserve"> a céu aberto na região. </w:t>
            </w:r>
            <w:proofErr w:type="spellStart"/>
            <w:r w:rsidRPr="00292532">
              <w:rPr>
                <w:rFonts w:eastAsia="Calibri" w:cs="Calibri"/>
                <w:lang w:val="pt-PT"/>
              </w:rPr>
              <w:t>Actualmente</w:t>
            </w:r>
            <w:proofErr w:type="spellEnd"/>
            <w:r w:rsidRPr="00292532">
              <w:rPr>
                <w:rFonts w:eastAsia="Calibri" w:cs="Calibri"/>
                <w:lang w:val="pt-PT"/>
              </w:rPr>
              <w:t xml:space="preserve"> temos a UNICEF que está a implementar </w:t>
            </w:r>
            <w:proofErr w:type="spellStart"/>
            <w:r w:rsidRPr="00292532">
              <w:rPr>
                <w:rFonts w:eastAsia="Calibri" w:cs="Calibri"/>
                <w:lang w:val="pt-PT"/>
              </w:rPr>
              <w:t>projectos</w:t>
            </w:r>
            <w:proofErr w:type="spellEnd"/>
            <w:r w:rsidRPr="00292532">
              <w:rPr>
                <w:rFonts w:eastAsia="Calibri" w:cs="Calibri"/>
                <w:lang w:val="pt-PT"/>
              </w:rPr>
              <w:t xml:space="preserve"> de construção de latrinas melhoradas cá no distrito. A prática de </w:t>
            </w:r>
            <w:proofErr w:type="spellStart"/>
            <w:r w:rsidRPr="00292532">
              <w:rPr>
                <w:rFonts w:eastAsia="Calibri" w:cs="Calibri"/>
                <w:lang w:val="pt-PT"/>
              </w:rPr>
              <w:t>fecalismo</w:t>
            </w:r>
            <w:proofErr w:type="spellEnd"/>
            <w:r w:rsidRPr="00292532">
              <w:rPr>
                <w:rFonts w:eastAsia="Calibri" w:cs="Calibri"/>
                <w:lang w:val="pt-PT"/>
              </w:rPr>
              <w:t xml:space="preserve"> a céu aberto reduziu muito na nossa comunidade, posso até dizer que a comunidade está suficientemente consciencializada sobre os males que advém dessas práticas.</w:t>
            </w:r>
          </w:p>
          <w:p w14:paraId="03A3F79A"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Ao nível comunitário acho que o problema está resolvido porque aqui no distrito várias campanhas envolvendo a comunidade foram criadas para consciencializar sobre a necessidade da construção de latrinas. Além demais, é uma obrigatoriedade o estabelecimento de latrinas cá no distrito, por isso em muitas casas existe pelo menos algum tipo de latrinas, embora muitos deles estejam em condições precárias e construídas de paus.</w:t>
            </w:r>
          </w:p>
        </w:tc>
        <w:tc>
          <w:tcPr>
            <w:tcW w:w="1979" w:type="dxa"/>
            <w:tcBorders>
              <w:top w:val="single" w:sz="4" w:space="0" w:color="auto"/>
              <w:left w:val="single" w:sz="4" w:space="0" w:color="auto"/>
              <w:bottom w:val="single" w:sz="4" w:space="0" w:color="auto"/>
              <w:right w:val="single" w:sz="4" w:space="0" w:color="auto"/>
            </w:tcBorders>
            <w:vAlign w:val="center"/>
          </w:tcPr>
          <w:p w14:paraId="445E7562" w14:textId="77777777" w:rsidR="00CE785A" w:rsidRPr="00292532" w:rsidRDefault="00CE785A" w:rsidP="00CE785A">
            <w:pPr>
              <w:spacing w:before="0" w:after="0" w:line="276" w:lineRule="auto"/>
              <w:jc w:val="left"/>
              <w:rPr>
                <w:rFonts w:eastAsia="Calibri" w:cs="Times New Roman"/>
                <w:lang w:val="pt-PT"/>
              </w:rPr>
            </w:pPr>
            <w:r w:rsidRPr="00292532">
              <w:rPr>
                <w:rFonts w:eastAsia="Calibri" w:cs="Times New Roman"/>
                <w:b/>
                <w:lang w:val="pt-PT"/>
              </w:rPr>
              <w:t xml:space="preserve">Ernesto António </w:t>
            </w:r>
            <w:r w:rsidRPr="00292532">
              <w:rPr>
                <w:rFonts w:eastAsia="Calibri" w:cs="Times New Roman"/>
                <w:lang w:val="pt-PT"/>
              </w:rPr>
              <w:t xml:space="preserve">- </w:t>
            </w:r>
            <w:proofErr w:type="spellStart"/>
            <w:r w:rsidRPr="00292532">
              <w:rPr>
                <w:rFonts w:eastAsia="Calibri" w:cs="Times New Roman"/>
                <w:lang w:val="pt-PT"/>
              </w:rPr>
              <w:t>director</w:t>
            </w:r>
            <w:proofErr w:type="spellEnd"/>
            <w:r w:rsidRPr="00292532">
              <w:rPr>
                <w:rFonts w:eastAsia="Calibri" w:cs="Times New Roman"/>
                <w:lang w:val="pt-PT"/>
              </w:rPr>
              <w:t xml:space="preserve"> de SDPI</w:t>
            </w:r>
          </w:p>
          <w:p w14:paraId="76CA1168" w14:textId="77777777" w:rsidR="00CE785A" w:rsidRPr="00292532" w:rsidRDefault="00CE785A" w:rsidP="00CE785A">
            <w:pPr>
              <w:spacing w:before="0" w:after="0" w:line="276" w:lineRule="auto"/>
              <w:jc w:val="left"/>
              <w:rPr>
                <w:rFonts w:eastAsia="Calibri" w:cs="Calibri"/>
                <w:lang w:val="pt-PT"/>
              </w:rPr>
            </w:pPr>
          </w:p>
          <w:p w14:paraId="410AB6B2" w14:textId="77777777" w:rsidR="00CE785A" w:rsidRPr="00292532" w:rsidRDefault="00CE785A" w:rsidP="00CE785A">
            <w:pPr>
              <w:spacing w:before="0" w:after="0" w:line="276" w:lineRule="auto"/>
              <w:jc w:val="left"/>
              <w:rPr>
                <w:rFonts w:eastAsia="Calibri" w:cs="Calibri"/>
                <w:lang w:val="pt-PT"/>
              </w:rPr>
            </w:pPr>
            <w:proofErr w:type="spellStart"/>
            <w:r w:rsidRPr="00292532">
              <w:rPr>
                <w:rFonts w:eastAsia="Calibri" w:cs="Times New Roman"/>
                <w:b/>
                <w:lang w:val="pt-PT"/>
              </w:rPr>
              <w:t>Anapaula</w:t>
            </w:r>
            <w:proofErr w:type="spellEnd"/>
            <w:r w:rsidRPr="00292532">
              <w:rPr>
                <w:rFonts w:eastAsia="Calibri" w:cs="Times New Roman"/>
                <w:b/>
                <w:lang w:val="pt-PT"/>
              </w:rPr>
              <w:t xml:space="preserve"> Jone</w:t>
            </w:r>
            <w:r w:rsidRPr="00292532">
              <w:rPr>
                <w:rFonts w:eastAsia="Calibri" w:cs="Calibri"/>
                <w:lang w:val="pt-PT"/>
              </w:rPr>
              <w:t xml:space="preserve"> - Residente da localidade de </w:t>
            </w:r>
            <w:proofErr w:type="spellStart"/>
            <w:r w:rsidRPr="00292532">
              <w:rPr>
                <w:rFonts w:eastAsia="Calibri" w:cs="Calibri"/>
                <w:lang w:val="pt-PT"/>
              </w:rPr>
              <w:t>Dabane</w:t>
            </w:r>
            <w:proofErr w:type="spellEnd"/>
          </w:p>
          <w:p w14:paraId="530FA481" w14:textId="77777777" w:rsidR="00CE785A" w:rsidRPr="00292532" w:rsidRDefault="00CE785A" w:rsidP="00CE785A">
            <w:pPr>
              <w:spacing w:before="0" w:after="0" w:line="276" w:lineRule="auto"/>
              <w:jc w:val="left"/>
              <w:rPr>
                <w:rFonts w:eastAsia="Calibri" w:cs="Calibri"/>
                <w:lang w:val="pt-PT"/>
              </w:rPr>
            </w:pPr>
          </w:p>
        </w:tc>
      </w:tr>
      <w:tr w:rsidR="00CE785A" w:rsidRPr="004E2EAC" w14:paraId="775D1CFE" w14:textId="77777777" w:rsidTr="00CE785A">
        <w:tc>
          <w:tcPr>
            <w:tcW w:w="2274" w:type="dxa"/>
            <w:tcBorders>
              <w:top w:val="single" w:sz="4" w:space="0" w:color="auto"/>
              <w:left w:val="single" w:sz="4" w:space="0" w:color="auto"/>
              <w:bottom w:val="single" w:sz="4" w:space="0" w:color="auto"/>
              <w:right w:val="single" w:sz="4" w:space="0" w:color="auto"/>
            </w:tcBorders>
            <w:vAlign w:val="center"/>
            <w:hideMark/>
          </w:tcPr>
          <w:p w14:paraId="5ACEF328"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bCs/>
                <w:lang w:val="pt-PT"/>
              </w:rPr>
              <w:t xml:space="preserve">Preocupações ou recomendações adicionais para o </w:t>
            </w:r>
            <w:proofErr w:type="spellStart"/>
            <w:r w:rsidRPr="00292532">
              <w:rPr>
                <w:rFonts w:eastAsia="Calibri" w:cs="Calibri"/>
                <w:b/>
                <w:bCs/>
                <w:lang w:val="pt-PT"/>
              </w:rPr>
              <w:t>projecto</w:t>
            </w:r>
            <w:proofErr w:type="spellEnd"/>
            <w:r w:rsidRPr="00292532">
              <w:rPr>
                <w:rFonts w:eastAsia="Calibri" w:cs="Calibri"/>
                <w:b/>
                <w:bCs/>
                <w:lang w:val="pt-PT"/>
              </w:rPr>
              <w:t>.</w:t>
            </w:r>
          </w:p>
        </w:tc>
        <w:tc>
          <w:tcPr>
            <w:tcW w:w="6095" w:type="dxa"/>
            <w:tcBorders>
              <w:top w:val="single" w:sz="4" w:space="0" w:color="auto"/>
              <w:left w:val="single" w:sz="4" w:space="0" w:color="auto"/>
              <w:bottom w:val="single" w:sz="4" w:space="0" w:color="auto"/>
              <w:right w:val="single" w:sz="4" w:space="0" w:color="auto"/>
            </w:tcBorders>
            <w:vAlign w:val="center"/>
          </w:tcPr>
          <w:p w14:paraId="50533A1E"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szCs w:val="24"/>
                <w:lang w:val="pt-PT"/>
              </w:rPr>
            </w:pPr>
            <w:r w:rsidRPr="00292532">
              <w:rPr>
                <w:rFonts w:eastAsia="Calibri" w:cs="Calibri"/>
                <w:szCs w:val="24"/>
                <w:lang w:val="pt-PT"/>
              </w:rPr>
              <w:t xml:space="preserve">O </w:t>
            </w:r>
            <w:proofErr w:type="spellStart"/>
            <w:r w:rsidRPr="00292532">
              <w:rPr>
                <w:rFonts w:eastAsia="Calibri" w:cs="Calibri"/>
                <w:szCs w:val="24"/>
                <w:lang w:val="pt-PT"/>
              </w:rPr>
              <w:t>projecto</w:t>
            </w:r>
            <w:proofErr w:type="spellEnd"/>
            <w:r w:rsidRPr="00292532">
              <w:rPr>
                <w:rFonts w:eastAsia="Calibri" w:cs="Calibri"/>
                <w:szCs w:val="24"/>
                <w:lang w:val="pt-PT"/>
              </w:rPr>
              <w:t>, se possível deverá ajudar as igrejas no que concerne a construção de infraestruturas sanitárias e fontes de abastecimento de água, pois esses lugares recebem várias pessoas. A maioria das igrejas apresenta sanitários precárias, sem portas e sem distinção de género, acontecendo que muitas vezes entramos e só assim conseguimos ver quem está no interior.</w:t>
            </w:r>
          </w:p>
          <w:p w14:paraId="23E98304"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szCs w:val="24"/>
                <w:lang w:val="pt-PT"/>
              </w:rPr>
            </w:pPr>
            <w:r w:rsidRPr="00292532">
              <w:rPr>
                <w:rFonts w:eastAsia="Calibri" w:cs="Calibri"/>
                <w:szCs w:val="24"/>
                <w:lang w:val="pt-PT"/>
              </w:rPr>
              <w:t xml:space="preserve">O </w:t>
            </w:r>
            <w:proofErr w:type="spellStart"/>
            <w:r w:rsidRPr="00292532">
              <w:rPr>
                <w:rFonts w:eastAsia="Calibri" w:cs="Calibri"/>
                <w:szCs w:val="24"/>
                <w:lang w:val="pt-PT"/>
              </w:rPr>
              <w:t>projecto</w:t>
            </w:r>
            <w:proofErr w:type="spellEnd"/>
            <w:r w:rsidRPr="00292532">
              <w:rPr>
                <w:rFonts w:eastAsia="Calibri" w:cs="Calibri"/>
                <w:szCs w:val="24"/>
                <w:lang w:val="pt-PT"/>
              </w:rPr>
              <w:t xml:space="preserve"> será bem-vindo, pois ajudará a suprir as necessidades da comunidade. Em algumas localidades, nós como representantes do governo não conseguimos estabelecer fontes de água porque a água na região é salubre. Com o </w:t>
            </w:r>
            <w:proofErr w:type="spellStart"/>
            <w:r w:rsidRPr="00292532">
              <w:rPr>
                <w:rFonts w:eastAsia="Calibri" w:cs="Calibri"/>
                <w:szCs w:val="24"/>
                <w:lang w:val="pt-PT"/>
              </w:rPr>
              <w:t>projecto</w:t>
            </w:r>
            <w:proofErr w:type="spellEnd"/>
            <w:r w:rsidRPr="00292532">
              <w:rPr>
                <w:rFonts w:eastAsia="Calibri" w:cs="Calibri"/>
                <w:szCs w:val="24"/>
                <w:lang w:val="pt-PT"/>
              </w:rPr>
              <w:t>, podemos conseguir identificar pontos estratégicos como o caso das regiões que sofrem por água devido a salubridade do seu lençol freático.</w:t>
            </w:r>
          </w:p>
          <w:p w14:paraId="5053FC6E"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szCs w:val="24"/>
                <w:lang w:val="pt-PT"/>
              </w:rPr>
            </w:pPr>
            <w:r w:rsidRPr="00292532">
              <w:rPr>
                <w:rFonts w:eastAsia="Calibri" w:cs="Calibri"/>
                <w:szCs w:val="24"/>
                <w:lang w:val="pt-PT"/>
              </w:rPr>
              <w:t>Ao nível de saneamento, seria benéfico que se implantassem sanitários públicas ao nível dos mercados ou paragens de maior afluência, para reduzir a procura de matas para se aliviar das necessidades biológicas.</w:t>
            </w:r>
          </w:p>
        </w:tc>
        <w:tc>
          <w:tcPr>
            <w:tcW w:w="1979" w:type="dxa"/>
            <w:tcBorders>
              <w:top w:val="single" w:sz="4" w:space="0" w:color="auto"/>
              <w:left w:val="single" w:sz="4" w:space="0" w:color="auto"/>
              <w:bottom w:val="single" w:sz="4" w:space="0" w:color="auto"/>
              <w:right w:val="single" w:sz="4" w:space="0" w:color="auto"/>
            </w:tcBorders>
            <w:vAlign w:val="center"/>
          </w:tcPr>
          <w:p w14:paraId="4107E8D8"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lang w:val="pt-PT"/>
              </w:rPr>
              <w:t xml:space="preserve">Rosário </w:t>
            </w:r>
            <w:proofErr w:type="spellStart"/>
            <w:r w:rsidRPr="00292532">
              <w:rPr>
                <w:rFonts w:eastAsia="Calibri" w:cs="Calibri"/>
                <w:b/>
                <w:lang w:val="pt-PT"/>
              </w:rPr>
              <w:t>Chuaia</w:t>
            </w:r>
            <w:proofErr w:type="spellEnd"/>
            <w:r w:rsidRPr="00292532">
              <w:rPr>
                <w:rFonts w:eastAsia="Calibri" w:cs="Calibri"/>
                <w:lang w:val="pt-PT"/>
              </w:rPr>
              <w:t xml:space="preserve"> – Líder comunitário </w:t>
            </w:r>
          </w:p>
          <w:p w14:paraId="677C7AFC" w14:textId="77777777" w:rsidR="00CE785A" w:rsidRPr="00292532" w:rsidRDefault="00CE785A" w:rsidP="00CE785A">
            <w:pPr>
              <w:spacing w:before="0" w:after="0" w:line="276" w:lineRule="auto"/>
              <w:jc w:val="left"/>
              <w:rPr>
                <w:rFonts w:eastAsia="Calibri" w:cs="Calibri"/>
                <w:lang w:val="pt-PT"/>
              </w:rPr>
            </w:pPr>
          </w:p>
          <w:p w14:paraId="2D87118E" w14:textId="77777777" w:rsidR="00CE785A" w:rsidRPr="00292532" w:rsidRDefault="00CE785A" w:rsidP="00CE785A">
            <w:pPr>
              <w:spacing w:before="0" w:after="0" w:line="276" w:lineRule="auto"/>
              <w:jc w:val="left"/>
              <w:rPr>
                <w:rFonts w:eastAsia="Calibri" w:cs="Times New Roman"/>
                <w:lang w:val="pt-PT"/>
              </w:rPr>
            </w:pPr>
            <w:r w:rsidRPr="00292532">
              <w:rPr>
                <w:rFonts w:eastAsia="Calibri" w:cs="Times New Roman"/>
                <w:b/>
                <w:lang w:val="pt-PT"/>
              </w:rPr>
              <w:t xml:space="preserve">Ernesto António </w:t>
            </w:r>
            <w:r w:rsidRPr="00292532">
              <w:rPr>
                <w:rFonts w:eastAsia="Calibri" w:cs="Times New Roman"/>
                <w:lang w:val="pt-PT"/>
              </w:rPr>
              <w:t xml:space="preserve">- </w:t>
            </w:r>
            <w:proofErr w:type="spellStart"/>
            <w:r w:rsidRPr="00292532">
              <w:rPr>
                <w:rFonts w:eastAsia="Calibri" w:cs="Times New Roman"/>
                <w:lang w:val="pt-PT"/>
              </w:rPr>
              <w:t>director</w:t>
            </w:r>
            <w:proofErr w:type="spellEnd"/>
            <w:r w:rsidRPr="00292532">
              <w:rPr>
                <w:rFonts w:eastAsia="Calibri" w:cs="Times New Roman"/>
                <w:lang w:val="pt-PT"/>
              </w:rPr>
              <w:t xml:space="preserve"> de SDPI</w:t>
            </w:r>
          </w:p>
          <w:p w14:paraId="31B93FAA" w14:textId="77777777" w:rsidR="00CE785A" w:rsidRPr="00292532" w:rsidRDefault="00CE785A" w:rsidP="00CE785A">
            <w:pPr>
              <w:spacing w:before="0" w:after="0" w:line="276" w:lineRule="auto"/>
              <w:jc w:val="left"/>
              <w:rPr>
                <w:rFonts w:eastAsia="Calibri" w:cs="Times New Roman"/>
                <w:lang w:val="pt-PT"/>
              </w:rPr>
            </w:pPr>
          </w:p>
          <w:p w14:paraId="2ACC36C0" w14:textId="77777777" w:rsidR="00CE785A" w:rsidRPr="00292532" w:rsidRDefault="00CE785A" w:rsidP="00CE785A">
            <w:pPr>
              <w:spacing w:before="0" w:after="0" w:line="276" w:lineRule="auto"/>
              <w:jc w:val="left"/>
              <w:rPr>
                <w:rFonts w:eastAsia="Calibri" w:cs="Times New Roman"/>
                <w:lang w:val="pt-PT"/>
              </w:rPr>
            </w:pPr>
            <w:proofErr w:type="spellStart"/>
            <w:r w:rsidRPr="00292532">
              <w:rPr>
                <w:rFonts w:eastAsia="Calibri" w:cs="Times New Roman"/>
                <w:b/>
                <w:lang w:val="pt-PT"/>
              </w:rPr>
              <w:t>Esménia</w:t>
            </w:r>
            <w:proofErr w:type="spellEnd"/>
            <w:r w:rsidRPr="00292532">
              <w:rPr>
                <w:rFonts w:eastAsia="Calibri" w:cs="Times New Roman"/>
                <w:b/>
                <w:lang w:val="pt-PT"/>
              </w:rPr>
              <w:t xml:space="preserve"> </w:t>
            </w:r>
            <w:proofErr w:type="spellStart"/>
            <w:r w:rsidRPr="00292532">
              <w:rPr>
                <w:rFonts w:eastAsia="Calibri" w:cs="Times New Roman"/>
                <w:b/>
                <w:lang w:val="pt-PT"/>
              </w:rPr>
              <w:t>Jotão</w:t>
            </w:r>
            <w:proofErr w:type="spellEnd"/>
            <w:r w:rsidRPr="00292532">
              <w:rPr>
                <w:rFonts w:eastAsia="Calibri" w:cs="Times New Roman"/>
                <w:lang w:val="pt-PT"/>
              </w:rPr>
              <w:t xml:space="preserve"> - Residente da localidade de </w:t>
            </w:r>
            <w:proofErr w:type="spellStart"/>
            <w:r w:rsidRPr="00292532">
              <w:rPr>
                <w:rFonts w:eastAsia="Calibri" w:cs="Times New Roman"/>
                <w:lang w:val="pt-PT"/>
              </w:rPr>
              <w:t>Dabane</w:t>
            </w:r>
            <w:proofErr w:type="spellEnd"/>
          </w:p>
        </w:tc>
      </w:tr>
      <w:tr w:rsidR="00CE785A" w:rsidRPr="00292532" w14:paraId="09137DB4" w14:textId="77777777" w:rsidTr="00CE785A">
        <w:tc>
          <w:tcPr>
            <w:tcW w:w="2274" w:type="dxa"/>
            <w:tcBorders>
              <w:top w:val="single" w:sz="4" w:space="0" w:color="auto"/>
              <w:left w:val="single" w:sz="4" w:space="0" w:color="auto"/>
              <w:bottom w:val="single" w:sz="4" w:space="0" w:color="auto"/>
              <w:right w:val="single" w:sz="4" w:space="0" w:color="auto"/>
            </w:tcBorders>
            <w:vAlign w:val="center"/>
          </w:tcPr>
          <w:p w14:paraId="4A2E33C9" w14:textId="77777777" w:rsidR="00CE785A" w:rsidRPr="00292532" w:rsidRDefault="00CE785A" w:rsidP="00CE785A">
            <w:pPr>
              <w:spacing w:before="0" w:after="0" w:line="276" w:lineRule="auto"/>
              <w:jc w:val="left"/>
              <w:rPr>
                <w:rFonts w:eastAsia="Calibri" w:cs="Calibri"/>
                <w:b/>
                <w:bCs/>
                <w:lang w:val="pt-PT"/>
              </w:rPr>
            </w:pPr>
            <w:r w:rsidRPr="00292532">
              <w:rPr>
                <w:rFonts w:eastAsia="Calibri" w:cs="Calibri"/>
                <w:b/>
                <w:bCs/>
                <w:lang w:val="pt-PT"/>
              </w:rPr>
              <w:t xml:space="preserve">Experiência do distrito com questões de reassentamento </w:t>
            </w:r>
          </w:p>
        </w:tc>
        <w:tc>
          <w:tcPr>
            <w:tcW w:w="6095" w:type="dxa"/>
            <w:tcBorders>
              <w:top w:val="single" w:sz="4" w:space="0" w:color="auto"/>
              <w:left w:val="single" w:sz="4" w:space="0" w:color="auto"/>
              <w:bottom w:val="single" w:sz="4" w:space="0" w:color="auto"/>
              <w:right w:val="single" w:sz="4" w:space="0" w:color="auto"/>
            </w:tcBorders>
            <w:vAlign w:val="center"/>
          </w:tcPr>
          <w:p w14:paraId="69857511"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Em 2015 devido a cheias no distrito e partes da província, duas comunidades de reassentamento foram criadas, e com vários parceiros foram estabelecidos serviços públicos básicos para a permanecia da população. Em caso de o </w:t>
            </w:r>
            <w:proofErr w:type="spellStart"/>
            <w:r w:rsidRPr="00292532">
              <w:rPr>
                <w:rFonts w:eastAsia="Calibri" w:cs="Calibri"/>
                <w:lang w:val="pt-PT"/>
              </w:rPr>
              <w:t>projecto</w:t>
            </w:r>
            <w:proofErr w:type="spellEnd"/>
            <w:r w:rsidRPr="00292532">
              <w:rPr>
                <w:rFonts w:eastAsia="Calibri" w:cs="Calibri"/>
                <w:lang w:val="pt-PT"/>
              </w:rPr>
              <w:t xml:space="preserve"> demandar processos de reassentamento físico, temos nessas </w:t>
            </w:r>
            <w:r w:rsidRPr="00292532">
              <w:rPr>
                <w:rFonts w:eastAsia="Calibri" w:cs="Calibri"/>
                <w:lang w:val="pt-PT"/>
              </w:rPr>
              <w:lastRenderedPageBreak/>
              <w:t xml:space="preserve">comunidades de reassentamento uma área demarcada que pode abarcar todas as pessoas que forem retiradas fisicamente durante a implantação do </w:t>
            </w:r>
            <w:proofErr w:type="spellStart"/>
            <w:r w:rsidRPr="00292532">
              <w:rPr>
                <w:rFonts w:eastAsia="Calibri" w:cs="Calibri"/>
                <w:lang w:val="pt-PT"/>
              </w:rPr>
              <w:t>projecto</w:t>
            </w:r>
            <w:proofErr w:type="spellEnd"/>
            <w:r w:rsidRPr="00292532">
              <w:rPr>
                <w:rFonts w:eastAsia="Calibri" w:cs="Calibri"/>
                <w:lang w:val="pt-PT"/>
              </w:rPr>
              <w:t>.</w:t>
            </w:r>
          </w:p>
        </w:tc>
        <w:tc>
          <w:tcPr>
            <w:tcW w:w="1979" w:type="dxa"/>
            <w:tcBorders>
              <w:top w:val="single" w:sz="4" w:space="0" w:color="auto"/>
              <w:left w:val="single" w:sz="4" w:space="0" w:color="auto"/>
              <w:bottom w:val="single" w:sz="4" w:space="0" w:color="auto"/>
              <w:right w:val="single" w:sz="4" w:space="0" w:color="auto"/>
            </w:tcBorders>
            <w:vAlign w:val="center"/>
          </w:tcPr>
          <w:p w14:paraId="3FE8FF38" w14:textId="77777777" w:rsidR="00CE785A" w:rsidRPr="00292532" w:rsidRDefault="00CE785A" w:rsidP="00CE785A">
            <w:pPr>
              <w:spacing w:before="0" w:after="0" w:line="276" w:lineRule="auto"/>
              <w:jc w:val="left"/>
              <w:rPr>
                <w:rFonts w:eastAsia="Calibri" w:cs="Times New Roman"/>
                <w:lang w:val="pt-PT"/>
              </w:rPr>
            </w:pPr>
            <w:r w:rsidRPr="00292532">
              <w:rPr>
                <w:rFonts w:eastAsia="Calibri" w:cs="Times New Roman"/>
                <w:b/>
                <w:lang w:val="pt-PT"/>
              </w:rPr>
              <w:lastRenderedPageBreak/>
              <w:t xml:space="preserve">Ernesto António </w:t>
            </w:r>
            <w:r w:rsidRPr="00292532">
              <w:rPr>
                <w:rFonts w:eastAsia="Calibri" w:cs="Times New Roman"/>
                <w:lang w:val="pt-PT"/>
              </w:rPr>
              <w:t xml:space="preserve">- </w:t>
            </w:r>
            <w:proofErr w:type="spellStart"/>
            <w:r w:rsidRPr="00292532">
              <w:rPr>
                <w:rFonts w:eastAsia="Calibri" w:cs="Times New Roman"/>
                <w:lang w:val="pt-PT"/>
              </w:rPr>
              <w:t>director</w:t>
            </w:r>
            <w:proofErr w:type="spellEnd"/>
            <w:r w:rsidRPr="00292532">
              <w:rPr>
                <w:rFonts w:eastAsia="Calibri" w:cs="Times New Roman"/>
                <w:lang w:val="pt-PT"/>
              </w:rPr>
              <w:t xml:space="preserve"> de SDPI</w:t>
            </w:r>
          </w:p>
          <w:p w14:paraId="6893CC5A" w14:textId="77777777" w:rsidR="00CE785A" w:rsidRPr="00292532" w:rsidRDefault="00CE785A" w:rsidP="00CE785A">
            <w:pPr>
              <w:spacing w:before="0" w:after="0" w:line="276" w:lineRule="auto"/>
              <w:jc w:val="left"/>
              <w:rPr>
                <w:rFonts w:eastAsia="Calibri" w:cs="Calibri"/>
                <w:b/>
                <w:lang w:val="pt-PT"/>
              </w:rPr>
            </w:pPr>
          </w:p>
        </w:tc>
      </w:tr>
      <w:tr w:rsidR="00CE785A" w:rsidRPr="004E2EAC" w14:paraId="25874987" w14:textId="77777777" w:rsidTr="00CE785A">
        <w:tc>
          <w:tcPr>
            <w:tcW w:w="2274" w:type="dxa"/>
            <w:tcBorders>
              <w:top w:val="single" w:sz="4" w:space="0" w:color="auto"/>
              <w:left w:val="single" w:sz="4" w:space="0" w:color="auto"/>
              <w:bottom w:val="single" w:sz="4" w:space="0" w:color="auto"/>
              <w:right w:val="single" w:sz="4" w:space="0" w:color="auto"/>
            </w:tcBorders>
            <w:vAlign w:val="center"/>
          </w:tcPr>
          <w:p w14:paraId="4BCA102C" w14:textId="77777777" w:rsidR="00CE785A" w:rsidRPr="00292532" w:rsidRDefault="00CE785A" w:rsidP="00CE785A">
            <w:pPr>
              <w:spacing w:before="0" w:after="0" w:line="276" w:lineRule="auto"/>
              <w:jc w:val="left"/>
              <w:rPr>
                <w:rFonts w:eastAsia="Calibri" w:cs="Calibri"/>
                <w:b/>
                <w:bCs/>
                <w:lang w:val="pt-PT"/>
              </w:rPr>
            </w:pPr>
            <w:r w:rsidRPr="00292532">
              <w:rPr>
                <w:rFonts w:eastAsia="Calibri" w:cs="Calibri"/>
                <w:b/>
                <w:bCs/>
                <w:lang w:val="pt-PT"/>
              </w:rPr>
              <w:t xml:space="preserve">Desafios </w:t>
            </w:r>
            <w:proofErr w:type="spellStart"/>
            <w:r w:rsidRPr="00292532">
              <w:rPr>
                <w:rFonts w:eastAsia="Calibri" w:cs="Calibri"/>
                <w:b/>
                <w:bCs/>
                <w:lang w:val="pt-PT"/>
              </w:rPr>
              <w:t>actuais</w:t>
            </w:r>
            <w:proofErr w:type="spellEnd"/>
            <w:r w:rsidRPr="00292532">
              <w:rPr>
                <w:rFonts w:eastAsia="Calibri" w:cs="Calibri"/>
                <w:b/>
                <w:bCs/>
                <w:lang w:val="pt-PT"/>
              </w:rPr>
              <w:t xml:space="preserve"> na comunidade devido aos ataques em Cabo Delgado</w:t>
            </w:r>
          </w:p>
        </w:tc>
        <w:tc>
          <w:tcPr>
            <w:tcW w:w="6095" w:type="dxa"/>
            <w:tcBorders>
              <w:top w:val="single" w:sz="4" w:space="0" w:color="auto"/>
              <w:left w:val="single" w:sz="4" w:space="0" w:color="auto"/>
              <w:bottom w:val="single" w:sz="4" w:space="0" w:color="auto"/>
              <w:right w:val="single" w:sz="4" w:space="0" w:color="auto"/>
            </w:tcBorders>
            <w:vAlign w:val="center"/>
          </w:tcPr>
          <w:p w14:paraId="21DB4127" w14:textId="77777777" w:rsidR="00CE785A" w:rsidRPr="00292532" w:rsidRDefault="00CE785A" w:rsidP="00AE14AE">
            <w:pPr>
              <w:numPr>
                <w:ilvl w:val="0"/>
                <w:numId w:val="172"/>
              </w:numPr>
              <w:spacing w:before="0" w:after="0" w:line="259" w:lineRule="auto"/>
              <w:ind w:left="176" w:hanging="142"/>
              <w:contextualSpacing/>
              <w:jc w:val="left"/>
              <w:rPr>
                <w:rFonts w:eastAsia="Calibri" w:cs="Times New Roman"/>
                <w:lang w:val="pt-PT"/>
              </w:rPr>
            </w:pPr>
            <w:proofErr w:type="spellStart"/>
            <w:r w:rsidRPr="00292532">
              <w:rPr>
                <w:rFonts w:eastAsia="Calibri" w:cs="Calibri"/>
                <w:lang w:val="pt-PT"/>
              </w:rPr>
              <w:t>Actualmente</w:t>
            </w:r>
            <w:proofErr w:type="spellEnd"/>
            <w:r w:rsidRPr="00292532">
              <w:rPr>
                <w:rFonts w:eastAsia="Calibri" w:cs="Calibri"/>
                <w:lang w:val="pt-PT"/>
              </w:rPr>
              <w:t xml:space="preserve"> o distrito conta com apenas 1 deslocado interno de Cabo Delgado, que é assistido pelo distrito. Tratando-se apenas de um caso, não demanda mudanças na vivência ou no suprimento das necessidades das comunidades.</w:t>
            </w:r>
          </w:p>
        </w:tc>
        <w:tc>
          <w:tcPr>
            <w:tcW w:w="1979" w:type="dxa"/>
            <w:tcBorders>
              <w:top w:val="single" w:sz="4" w:space="0" w:color="auto"/>
              <w:left w:val="single" w:sz="4" w:space="0" w:color="auto"/>
              <w:bottom w:val="single" w:sz="4" w:space="0" w:color="auto"/>
              <w:right w:val="single" w:sz="4" w:space="0" w:color="auto"/>
            </w:tcBorders>
            <w:vAlign w:val="center"/>
          </w:tcPr>
          <w:p w14:paraId="735F2E7C" w14:textId="77777777" w:rsidR="00CE785A" w:rsidRPr="00292532" w:rsidRDefault="00CE785A" w:rsidP="00CE785A">
            <w:pPr>
              <w:spacing w:before="0" w:after="0" w:line="276" w:lineRule="auto"/>
              <w:jc w:val="left"/>
              <w:rPr>
                <w:rFonts w:eastAsia="Calibri" w:cs="Times New Roman"/>
                <w:lang w:val="pt-PT"/>
              </w:rPr>
            </w:pPr>
            <w:r w:rsidRPr="00292532">
              <w:rPr>
                <w:rFonts w:eastAsia="Calibri" w:cs="Times New Roman"/>
                <w:b/>
                <w:lang w:val="pt-PT"/>
              </w:rPr>
              <w:t xml:space="preserve">Ernesto António </w:t>
            </w:r>
            <w:r w:rsidRPr="00292532">
              <w:rPr>
                <w:rFonts w:eastAsia="Calibri" w:cs="Times New Roman"/>
                <w:lang w:val="pt-PT"/>
              </w:rPr>
              <w:t xml:space="preserve">- </w:t>
            </w:r>
            <w:proofErr w:type="spellStart"/>
            <w:r w:rsidRPr="00292532">
              <w:rPr>
                <w:rFonts w:eastAsia="Calibri" w:cs="Times New Roman"/>
                <w:lang w:val="pt-PT"/>
              </w:rPr>
              <w:t>director</w:t>
            </w:r>
            <w:proofErr w:type="spellEnd"/>
            <w:r w:rsidRPr="00292532">
              <w:rPr>
                <w:rFonts w:eastAsia="Calibri" w:cs="Times New Roman"/>
                <w:lang w:val="pt-PT"/>
              </w:rPr>
              <w:t xml:space="preserve"> de SDPI</w:t>
            </w:r>
          </w:p>
        </w:tc>
      </w:tr>
      <w:tr w:rsidR="00CE785A" w:rsidRPr="004E2EAC" w14:paraId="15F1E8F3" w14:textId="77777777" w:rsidTr="00CE785A">
        <w:trPr>
          <w:trHeight w:val="4250"/>
        </w:trPr>
        <w:tc>
          <w:tcPr>
            <w:tcW w:w="2274" w:type="dxa"/>
            <w:tcBorders>
              <w:top w:val="single" w:sz="4" w:space="0" w:color="auto"/>
              <w:left w:val="single" w:sz="4" w:space="0" w:color="auto"/>
              <w:bottom w:val="single" w:sz="4" w:space="0" w:color="auto"/>
              <w:right w:val="single" w:sz="4" w:space="0" w:color="auto"/>
            </w:tcBorders>
            <w:vAlign w:val="center"/>
            <w:hideMark/>
          </w:tcPr>
          <w:p w14:paraId="521C8AE5"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bCs/>
                <w:lang w:val="pt-PT"/>
              </w:rPr>
              <w:t>Recrutamento de Mão-de-Obra.</w:t>
            </w:r>
          </w:p>
        </w:tc>
        <w:tc>
          <w:tcPr>
            <w:tcW w:w="6095" w:type="dxa"/>
            <w:tcBorders>
              <w:top w:val="single" w:sz="4" w:space="0" w:color="auto"/>
              <w:left w:val="single" w:sz="4" w:space="0" w:color="auto"/>
              <w:bottom w:val="single" w:sz="4" w:space="0" w:color="auto"/>
              <w:right w:val="single" w:sz="4" w:space="0" w:color="auto"/>
            </w:tcBorders>
            <w:vAlign w:val="center"/>
          </w:tcPr>
          <w:p w14:paraId="2C095EA4"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szCs w:val="24"/>
                <w:lang w:val="pt-PT"/>
              </w:rPr>
              <w:t xml:space="preserve">Em muitos </w:t>
            </w:r>
            <w:proofErr w:type="spellStart"/>
            <w:r w:rsidRPr="00292532">
              <w:rPr>
                <w:rFonts w:eastAsia="Calibri" w:cs="Calibri"/>
                <w:szCs w:val="24"/>
                <w:lang w:val="pt-PT"/>
              </w:rPr>
              <w:t>projectos</w:t>
            </w:r>
            <w:proofErr w:type="spellEnd"/>
            <w:r w:rsidRPr="00292532">
              <w:rPr>
                <w:rFonts w:eastAsia="Calibri" w:cs="Calibri"/>
                <w:szCs w:val="24"/>
                <w:lang w:val="pt-PT"/>
              </w:rPr>
              <w:t xml:space="preserve"> implementados na nossa localidade ou no distrito em geral, a mão de obra local foi pouco usada. O líder comunitário é contactado para elaborar a lista e ele não inclui nossos filhos. Ele apenas </w:t>
            </w:r>
            <w:proofErr w:type="gramStart"/>
            <w:r w:rsidRPr="00292532">
              <w:rPr>
                <w:rFonts w:eastAsia="Calibri" w:cs="Calibri"/>
                <w:szCs w:val="24"/>
                <w:lang w:val="pt-PT"/>
              </w:rPr>
              <w:t>registra</w:t>
            </w:r>
            <w:proofErr w:type="gramEnd"/>
            <w:r w:rsidRPr="00292532">
              <w:rPr>
                <w:rFonts w:eastAsia="Calibri" w:cs="Calibri"/>
                <w:szCs w:val="24"/>
                <w:lang w:val="pt-PT"/>
              </w:rPr>
              <w:t xml:space="preserve"> os seus familiares. Para </w:t>
            </w:r>
            <w:proofErr w:type="spellStart"/>
            <w:r w:rsidRPr="00292532">
              <w:rPr>
                <w:rFonts w:eastAsia="Calibri" w:cs="Calibri"/>
                <w:szCs w:val="24"/>
                <w:lang w:val="pt-PT"/>
              </w:rPr>
              <w:t>projectos</w:t>
            </w:r>
            <w:proofErr w:type="spellEnd"/>
            <w:r w:rsidRPr="00292532">
              <w:rPr>
                <w:rFonts w:eastAsia="Calibri" w:cs="Calibri"/>
                <w:szCs w:val="24"/>
                <w:lang w:val="pt-PT"/>
              </w:rPr>
              <w:t xml:space="preserve"> futuros que forem implementados na região, pedimos que sejam criadas brigadas de </w:t>
            </w:r>
            <w:proofErr w:type="gramStart"/>
            <w:r w:rsidRPr="00292532">
              <w:rPr>
                <w:rFonts w:eastAsia="Calibri" w:cs="Calibri"/>
                <w:szCs w:val="24"/>
                <w:lang w:val="pt-PT"/>
              </w:rPr>
              <w:t>registro</w:t>
            </w:r>
            <w:proofErr w:type="gramEnd"/>
            <w:r w:rsidRPr="00292532">
              <w:rPr>
                <w:rFonts w:eastAsia="Calibri" w:cs="Calibri"/>
                <w:szCs w:val="24"/>
                <w:lang w:val="pt-PT"/>
              </w:rPr>
              <w:t xml:space="preserve"> de jovens para a integração no trabalho, ou criar um comité de emprego, assim será mais imparcial e mais transparente.</w:t>
            </w:r>
          </w:p>
          <w:p w14:paraId="7E807F2F"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É necessário que no âmbito da implementação do </w:t>
            </w:r>
            <w:proofErr w:type="spellStart"/>
            <w:r w:rsidRPr="00292532">
              <w:rPr>
                <w:rFonts w:eastAsia="Calibri" w:cs="Calibri"/>
                <w:lang w:val="pt-PT"/>
              </w:rPr>
              <w:t>projecto</w:t>
            </w:r>
            <w:proofErr w:type="spellEnd"/>
            <w:r w:rsidRPr="00292532">
              <w:rPr>
                <w:rFonts w:eastAsia="Calibri" w:cs="Calibri"/>
                <w:lang w:val="pt-PT"/>
              </w:rPr>
              <w:t xml:space="preserve">, se contacte a comunidade para explicar como o </w:t>
            </w:r>
            <w:proofErr w:type="spellStart"/>
            <w:r w:rsidRPr="00292532">
              <w:rPr>
                <w:rFonts w:eastAsia="Calibri" w:cs="Calibri"/>
                <w:lang w:val="pt-PT"/>
              </w:rPr>
              <w:t>projecto</w:t>
            </w:r>
            <w:proofErr w:type="spellEnd"/>
            <w:r w:rsidRPr="00292532">
              <w:rPr>
                <w:rFonts w:eastAsia="Calibri" w:cs="Calibri"/>
                <w:lang w:val="pt-PT"/>
              </w:rPr>
              <w:t xml:space="preserve"> será desenvolvido e qual é a necessidade em termos de mão de obra, por forma a tornar o processo mais transparente e inclusivo.</w:t>
            </w:r>
          </w:p>
          <w:p w14:paraId="229C2477"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Solicitamos que as mulheres também sejam incluídas no processo de contratação, pois muitas vezes não somos </w:t>
            </w:r>
            <w:proofErr w:type="spellStart"/>
            <w:r w:rsidRPr="00292532">
              <w:rPr>
                <w:rFonts w:eastAsia="Calibri" w:cs="Calibri"/>
                <w:lang w:val="pt-PT"/>
              </w:rPr>
              <w:t>afectados</w:t>
            </w:r>
            <w:proofErr w:type="spellEnd"/>
            <w:r w:rsidRPr="00292532">
              <w:rPr>
                <w:rFonts w:eastAsia="Calibri" w:cs="Calibri"/>
                <w:lang w:val="pt-PT"/>
              </w:rPr>
              <w:t xml:space="preserve"> para trabalhar em muitos </w:t>
            </w:r>
            <w:proofErr w:type="spellStart"/>
            <w:r w:rsidRPr="00292532">
              <w:rPr>
                <w:rFonts w:eastAsia="Calibri" w:cs="Calibri"/>
                <w:lang w:val="pt-PT"/>
              </w:rPr>
              <w:t>projectos</w:t>
            </w:r>
            <w:proofErr w:type="spellEnd"/>
            <w:r w:rsidRPr="00292532">
              <w:rPr>
                <w:rFonts w:eastAsia="Calibri" w:cs="Calibri"/>
                <w:lang w:val="pt-PT"/>
              </w:rPr>
              <w:t>.</w:t>
            </w:r>
          </w:p>
        </w:tc>
        <w:tc>
          <w:tcPr>
            <w:tcW w:w="1979" w:type="dxa"/>
            <w:tcBorders>
              <w:top w:val="single" w:sz="4" w:space="0" w:color="auto"/>
              <w:left w:val="single" w:sz="4" w:space="0" w:color="auto"/>
              <w:bottom w:val="single" w:sz="4" w:space="0" w:color="auto"/>
              <w:right w:val="single" w:sz="4" w:space="0" w:color="auto"/>
            </w:tcBorders>
            <w:vAlign w:val="center"/>
          </w:tcPr>
          <w:p w14:paraId="5B2F9C68" w14:textId="77777777" w:rsidR="00CE785A" w:rsidRPr="00292532" w:rsidRDefault="00CE785A" w:rsidP="00CE785A">
            <w:pPr>
              <w:spacing w:before="0" w:after="0"/>
              <w:jc w:val="left"/>
              <w:rPr>
                <w:rFonts w:eastAsia="Calibri" w:cs="Calibri"/>
                <w:lang w:val="pt-PT"/>
              </w:rPr>
            </w:pPr>
            <w:proofErr w:type="spellStart"/>
            <w:r w:rsidRPr="00292532">
              <w:rPr>
                <w:rFonts w:eastAsia="Calibri" w:cs="Calibri"/>
                <w:b/>
                <w:lang w:val="pt-PT"/>
              </w:rPr>
              <w:t>Anapaula</w:t>
            </w:r>
            <w:proofErr w:type="spellEnd"/>
            <w:r w:rsidRPr="00292532">
              <w:rPr>
                <w:rFonts w:eastAsia="Calibri" w:cs="Calibri"/>
                <w:b/>
                <w:lang w:val="pt-PT"/>
              </w:rPr>
              <w:t xml:space="preserve"> Jone</w:t>
            </w:r>
            <w:r w:rsidRPr="00292532">
              <w:rPr>
                <w:rFonts w:eastAsia="Calibri" w:cs="Calibri"/>
                <w:lang w:val="pt-PT"/>
              </w:rPr>
              <w:t xml:space="preserve"> - Residente da localidade de </w:t>
            </w:r>
            <w:proofErr w:type="spellStart"/>
            <w:r w:rsidRPr="00292532">
              <w:rPr>
                <w:rFonts w:eastAsia="Calibri" w:cs="Calibri"/>
                <w:lang w:val="pt-PT"/>
              </w:rPr>
              <w:t>Dabane</w:t>
            </w:r>
            <w:proofErr w:type="spellEnd"/>
          </w:p>
          <w:p w14:paraId="4C901DF1" w14:textId="77777777" w:rsidR="00CE785A" w:rsidRPr="00292532" w:rsidRDefault="00CE785A" w:rsidP="00CE785A">
            <w:pPr>
              <w:spacing w:before="0" w:after="0"/>
              <w:jc w:val="left"/>
              <w:rPr>
                <w:rFonts w:eastAsia="Calibri" w:cs="Calibri"/>
                <w:lang w:val="pt-PT"/>
              </w:rPr>
            </w:pPr>
          </w:p>
          <w:p w14:paraId="4FD9906C" w14:textId="77777777" w:rsidR="00CE785A" w:rsidRPr="00292532" w:rsidRDefault="00CE785A" w:rsidP="00CE785A">
            <w:pPr>
              <w:spacing w:before="0" w:after="0"/>
              <w:jc w:val="left"/>
              <w:rPr>
                <w:rFonts w:eastAsia="Calibri" w:cs="Calibri"/>
                <w:lang w:val="pt-PT"/>
              </w:rPr>
            </w:pPr>
            <w:r w:rsidRPr="00292532">
              <w:rPr>
                <w:rFonts w:eastAsia="Calibri" w:cs="Calibri"/>
                <w:b/>
                <w:lang w:val="pt-PT"/>
              </w:rPr>
              <w:t>Tereza Cemente</w:t>
            </w:r>
            <w:r w:rsidRPr="00292532">
              <w:rPr>
                <w:rFonts w:eastAsia="Calibri" w:cs="Calibri"/>
                <w:lang w:val="pt-PT"/>
              </w:rPr>
              <w:t xml:space="preserve"> - Residente da localidade de </w:t>
            </w:r>
            <w:proofErr w:type="spellStart"/>
            <w:r w:rsidRPr="00292532">
              <w:rPr>
                <w:rFonts w:eastAsia="Calibri" w:cs="Calibri"/>
                <w:lang w:val="pt-PT"/>
              </w:rPr>
              <w:t>Dabane</w:t>
            </w:r>
            <w:proofErr w:type="spellEnd"/>
          </w:p>
          <w:p w14:paraId="68867252" w14:textId="77777777" w:rsidR="00CE785A" w:rsidRPr="00292532" w:rsidRDefault="00CE785A" w:rsidP="00CE785A">
            <w:pPr>
              <w:spacing w:before="0" w:after="0"/>
              <w:jc w:val="left"/>
              <w:rPr>
                <w:rFonts w:eastAsia="Calibri" w:cs="Calibri"/>
                <w:lang w:val="pt-PT"/>
              </w:rPr>
            </w:pPr>
          </w:p>
          <w:p w14:paraId="08DCB3FF" w14:textId="77777777" w:rsidR="00CE785A" w:rsidRPr="00292532" w:rsidRDefault="00CE785A" w:rsidP="00CE785A">
            <w:pPr>
              <w:spacing w:before="0" w:after="0"/>
              <w:jc w:val="left"/>
              <w:rPr>
                <w:rFonts w:eastAsia="Calibri" w:cs="Calibri"/>
                <w:lang w:val="pt-PT"/>
              </w:rPr>
            </w:pPr>
            <w:r w:rsidRPr="00292532">
              <w:rPr>
                <w:rFonts w:eastAsia="Calibri" w:cs="Calibri"/>
                <w:b/>
                <w:lang w:val="pt-PT"/>
              </w:rPr>
              <w:t xml:space="preserve">Laurinda </w:t>
            </w:r>
            <w:proofErr w:type="spellStart"/>
            <w:r w:rsidRPr="00292532">
              <w:rPr>
                <w:rFonts w:eastAsia="Calibri" w:cs="Calibri"/>
                <w:b/>
                <w:lang w:val="pt-PT"/>
              </w:rPr>
              <w:t>Dinís</w:t>
            </w:r>
            <w:proofErr w:type="spellEnd"/>
            <w:r w:rsidRPr="00292532">
              <w:rPr>
                <w:rFonts w:eastAsia="Calibri" w:cs="Calibri"/>
                <w:lang w:val="pt-PT"/>
              </w:rPr>
              <w:t xml:space="preserve"> - Residente da localidade de </w:t>
            </w:r>
            <w:proofErr w:type="spellStart"/>
            <w:r w:rsidRPr="00292532">
              <w:rPr>
                <w:rFonts w:eastAsia="Calibri" w:cs="Calibri"/>
                <w:lang w:val="pt-PT"/>
              </w:rPr>
              <w:t>Murauanha</w:t>
            </w:r>
            <w:proofErr w:type="spellEnd"/>
          </w:p>
        </w:tc>
      </w:tr>
      <w:tr w:rsidR="00CE785A" w:rsidRPr="00292532" w14:paraId="7A811F26" w14:textId="77777777" w:rsidTr="00CE785A">
        <w:tc>
          <w:tcPr>
            <w:tcW w:w="2274" w:type="dxa"/>
            <w:tcBorders>
              <w:top w:val="single" w:sz="4" w:space="0" w:color="auto"/>
              <w:left w:val="single" w:sz="4" w:space="0" w:color="auto"/>
              <w:bottom w:val="single" w:sz="4" w:space="0" w:color="auto"/>
              <w:right w:val="single" w:sz="4" w:space="0" w:color="auto"/>
            </w:tcBorders>
            <w:vAlign w:val="center"/>
          </w:tcPr>
          <w:p w14:paraId="7C82654D" w14:textId="77777777" w:rsidR="00CE785A" w:rsidRPr="00292532" w:rsidRDefault="00CE785A" w:rsidP="00CE785A">
            <w:pPr>
              <w:spacing w:before="0" w:after="0" w:line="276" w:lineRule="auto"/>
              <w:jc w:val="left"/>
              <w:rPr>
                <w:rFonts w:eastAsia="Calibri" w:cs="Calibri"/>
                <w:b/>
                <w:bCs/>
                <w:lang w:val="pt-PT"/>
              </w:rPr>
            </w:pPr>
            <w:r w:rsidRPr="00292532">
              <w:rPr>
                <w:rFonts w:eastAsia="Calibri" w:cs="Calibri"/>
                <w:b/>
                <w:bCs/>
                <w:lang w:val="pt-PT"/>
              </w:rPr>
              <w:t xml:space="preserve">Principais problemas, riscos e impactos </w:t>
            </w:r>
            <w:proofErr w:type="spellStart"/>
            <w:r w:rsidRPr="00292532">
              <w:rPr>
                <w:rFonts w:eastAsia="Calibri" w:cs="Calibri"/>
                <w:b/>
                <w:bCs/>
                <w:lang w:val="pt-PT"/>
              </w:rPr>
              <w:t>actuais</w:t>
            </w:r>
            <w:proofErr w:type="spellEnd"/>
            <w:r w:rsidRPr="00292532">
              <w:rPr>
                <w:rFonts w:eastAsia="Calibri" w:cs="Calibri"/>
                <w:b/>
                <w:bCs/>
                <w:lang w:val="pt-PT"/>
              </w:rPr>
              <w:t xml:space="preserve"> na busca de água.</w:t>
            </w:r>
          </w:p>
        </w:tc>
        <w:tc>
          <w:tcPr>
            <w:tcW w:w="6095" w:type="dxa"/>
            <w:tcBorders>
              <w:top w:val="single" w:sz="4" w:space="0" w:color="auto"/>
              <w:left w:val="single" w:sz="4" w:space="0" w:color="auto"/>
              <w:bottom w:val="single" w:sz="4" w:space="0" w:color="auto"/>
              <w:right w:val="single" w:sz="4" w:space="0" w:color="auto"/>
            </w:tcBorders>
            <w:vAlign w:val="center"/>
          </w:tcPr>
          <w:p w14:paraId="31752F90"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szCs w:val="24"/>
                <w:lang w:val="pt-PT"/>
              </w:rPr>
            </w:pPr>
            <w:r w:rsidRPr="00292532">
              <w:rPr>
                <w:rFonts w:eastAsia="Calibri" w:cs="Calibri"/>
                <w:szCs w:val="24"/>
                <w:lang w:val="pt-PT"/>
              </w:rPr>
              <w:t xml:space="preserve">Nunca foi reportado nada de anormal ou de risco para as mulheres na busca de água, porém muitas delas acordam muito cedo e percorrem longas distâncias á busca de água, o que torna a </w:t>
            </w:r>
            <w:proofErr w:type="spellStart"/>
            <w:r w:rsidRPr="00292532">
              <w:rPr>
                <w:rFonts w:eastAsia="Calibri" w:cs="Calibri"/>
                <w:szCs w:val="24"/>
                <w:lang w:val="pt-PT"/>
              </w:rPr>
              <w:t>actividade</w:t>
            </w:r>
            <w:proofErr w:type="spellEnd"/>
            <w:r w:rsidRPr="00292532">
              <w:rPr>
                <w:rFonts w:eastAsia="Calibri" w:cs="Calibri"/>
                <w:szCs w:val="24"/>
                <w:lang w:val="pt-PT"/>
              </w:rPr>
              <w:t xml:space="preserve"> desgastante.</w:t>
            </w:r>
          </w:p>
        </w:tc>
        <w:tc>
          <w:tcPr>
            <w:tcW w:w="1979" w:type="dxa"/>
            <w:tcBorders>
              <w:top w:val="single" w:sz="4" w:space="0" w:color="auto"/>
              <w:left w:val="single" w:sz="4" w:space="0" w:color="auto"/>
              <w:bottom w:val="single" w:sz="4" w:space="0" w:color="auto"/>
              <w:right w:val="single" w:sz="4" w:space="0" w:color="auto"/>
            </w:tcBorders>
            <w:vAlign w:val="center"/>
          </w:tcPr>
          <w:p w14:paraId="77AE7310"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lang w:val="pt-PT"/>
              </w:rPr>
              <w:t xml:space="preserve">Rosário </w:t>
            </w:r>
            <w:proofErr w:type="spellStart"/>
            <w:r w:rsidRPr="00292532">
              <w:rPr>
                <w:rFonts w:eastAsia="Calibri" w:cs="Calibri"/>
                <w:b/>
                <w:lang w:val="pt-PT"/>
              </w:rPr>
              <w:t>Chuaia</w:t>
            </w:r>
            <w:proofErr w:type="spellEnd"/>
            <w:r w:rsidRPr="00292532">
              <w:rPr>
                <w:rFonts w:eastAsia="Calibri" w:cs="Calibri"/>
                <w:lang w:val="pt-PT"/>
              </w:rPr>
              <w:t xml:space="preserve"> – Líder comunitário </w:t>
            </w:r>
          </w:p>
        </w:tc>
      </w:tr>
    </w:tbl>
    <w:p w14:paraId="3610E92A"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0FEE65D3"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6D800A5D"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673A8CDE"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0F156EA9"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5AE891CB"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289AD7D9"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4E5A15E5"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2BCE4C17"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3FC87595"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0BABC5F2"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346886D0"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4D924B31"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523EAFBF"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4694FC33" w14:textId="4849065B" w:rsidR="00CE785A" w:rsidRPr="00292532" w:rsidRDefault="00CE785A" w:rsidP="00CE785A">
      <w:pPr>
        <w:tabs>
          <w:tab w:val="left" w:pos="8064"/>
        </w:tabs>
        <w:spacing w:before="0" w:after="0" w:line="259" w:lineRule="auto"/>
        <w:ind w:left="-284"/>
        <w:jc w:val="left"/>
        <w:rPr>
          <w:rFonts w:eastAsia="Calibri" w:cs="Calibri"/>
          <w:lang w:val="pt-PT"/>
        </w:rPr>
      </w:pPr>
      <w:r w:rsidRPr="00292532">
        <w:rPr>
          <w:rFonts w:eastAsia="Calibri" w:cs="Calibri"/>
          <w:noProof/>
          <w:lang w:val="en-US"/>
        </w:rPr>
        <w:drawing>
          <wp:anchor distT="0" distB="0" distL="114300" distR="114300" simplePos="0" relativeHeight="252053504" behindDoc="1" locked="0" layoutInCell="1" allowOverlap="1" wp14:anchorId="1F897F22" wp14:editId="7EB8C54A">
            <wp:simplePos x="0" y="0"/>
            <wp:positionH relativeFrom="column">
              <wp:posOffset>177800</wp:posOffset>
            </wp:positionH>
            <wp:positionV relativeFrom="paragraph">
              <wp:posOffset>139700</wp:posOffset>
            </wp:positionV>
            <wp:extent cx="2926080" cy="4070350"/>
            <wp:effectExtent l="0" t="0" r="7620" b="6350"/>
            <wp:wrapNone/>
            <wp:docPr id="31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926080" cy="4070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2532">
        <w:rPr>
          <w:rFonts w:eastAsia="Calibri" w:cs="Calibri"/>
          <w:noProof/>
          <w:lang w:val="en-US"/>
        </w:rPr>
        <w:drawing>
          <wp:anchor distT="0" distB="0" distL="114300" distR="114300" simplePos="0" relativeHeight="252054528" behindDoc="1" locked="0" layoutInCell="1" allowOverlap="1" wp14:anchorId="1CBC1E56" wp14:editId="2F1C0063">
            <wp:simplePos x="0" y="0"/>
            <wp:positionH relativeFrom="column">
              <wp:posOffset>3435350</wp:posOffset>
            </wp:positionH>
            <wp:positionV relativeFrom="paragraph">
              <wp:posOffset>139699</wp:posOffset>
            </wp:positionV>
            <wp:extent cx="2616200" cy="1970193"/>
            <wp:effectExtent l="0" t="0" r="0" b="0"/>
            <wp:wrapNone/>
            <wp:docPr id="316"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618053" cy="19715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9C130E"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6A93FAD1"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4A0A11FF"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7F6136F4"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4F862E3E"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69A8E73F"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0FBC5D37"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4850CE16"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5EFF0A4A"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793AB316"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5BF55D02" w14:textId="0A5B2777" w:rsidR="00CE785A" w:rsidRPr="00292532" w:rsidRDefault="00CE785A" w:rsidP="00CE785A">
      <w:pPr>
        <w:tabs>
          <w:tab w:val="left" w:pos="8064"/>
        </w:tabs>
        <w:spacing w:before="0" w:after="0" w:line="259" w:lineRule="auto"/>
        <w:ind w:left="-284"/>
        <w:jc w:val="left"/>
        <w:rPr>
          <w:rFonts w:eastAsia="Calibri" w:cs="Calibri"/>
          <w:lang w:val="pt-PT"/>
        </w:rPr>
      </w:pPr>
    </w:p>
    <w:p w14:paraId="6EFE060B" w14:textId="079A1EF1" w:rsidR="00CE785A" w:rsidRPr="00292532" w:rsidRDefault="00CE785A" w:rsidP="00CE785A">
      <w:pPr>
        <w:tabs>
          <w:tab w:val="left" w:pos="8064"/>
        </w:tabs>
        <w:spacing w:before="0" w:after="0" w:line="259" w:lineRule="auto"/>
        <w:ind w:left="-284"/>
        <w:jc w:val="left"/>
        <w:rPr>
          <w:rFonts w:eastAsia="Calibri" w:cs="Calibri"/>
          <w:lang w:val="pt-PT"/>
        </w:rPr>
      </w:pPr>
      <w:r w:rsidRPr="00292532">
        <w:rPr>
          <w:rFonts w:eastAsia="Calibri" w:cs="Calibri"/>
          <w:noProof/>
          <w:lang w:val="en-US"/>
        </w:rPr>
        <w:drawing>
          <wp:anchor distT="0" distB="0" distL="114300" distR="114300" simplePos="0" relativeHeight="252055552" behindDoc="1" locked="0" layoutInCell="1" allowOverlap="1" wp14:anchorId="13F32C1F" wp14:editId="6655EF66">
            <wp:simplePos x="0" y="0"/>
            <wp:positionH relativeFrom="column">
              <wp:posOffset>3434715</wp:posOffset>
            </wp:positionH>
            <wp:positionV relativeFrom="paragraph">
              <wp:posOffset>20320</wp:posOffset>
            </wp:positionV>
            <wp:extent cx="2661913" cy="1949450"/>
            <wp:effectExtent l="0" t="0" r="5715" b="0"/>
            <wp:wrapNone/>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2661913" cy="1949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3AB88D"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41C6CA12"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0242EE02"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5CB1718E"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1E5E4296"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212D317C" w14:textId="77777777" w:rsidR="00CE785A" w:rsidRPr="00292532" w:rsidRDefault="00CE785A" w:rsidP="00CE785A">
      <w:pPr>
        <w:tabs>
          <w:tab w:val="left" w:pos="8064"/>
        </w:tabs>
        <w:spacing w:before="0" w:after="0" w:line="259" w:lineRule="auto"/>
        <w:ind w:left="-284"/>
        <w:jc w:val="left"/>
        <w:rPr>
          <w:rFonts w:eastAsia="Calibri" w:cs="Calibri"/>
          <w:lang w:val="pt-PT"/>
        </w:rPr>
        <w:sectPr w:rsidR="00CE785A" w:rsidRPr="00292532" w:rsidSect="00CE785A">
          <w:pgSz w:w="12240" w:h="15840"/>
          <w:pgMar w:top="1440" w:right="1440" w:bottom="1440" w:left="1440" w:header="720" w:footer="720" w:gutter="0"/>
          <w:cols w:space="720"/>
          <w:docGrid w:linePitch="360"/>
        </w:sectPr>
      </w:pPr>
    </w:p>
    <w:p w14:paraId="5DD03657" w14:textId="77777777" w:rsidR="00CE785A" w:rsidRPr="00292532" w:rsidRDefault="00CE785A" w:rsidP="00CE785A">
      <w:pPr>
        <w:spacing w:before="0" w:after="0"/>
        <w:jc w:val="center"/>
        <w:rPr>
          <w:rFonts w:eastAsia="Calibri" w:cs="Calibri"/>
          <w:b/>
          <w:sz w:val="24"/>
          <w:lang w:val="pt-PT"/>
        </w:rPr>
      </w:pPr>
      <w:r w:rsidRPr="00292532">
        <w:rPr>
          <w:rFonts w:eastAsia="Calibri" w:cs="Calibri"/>
          <w:b/>
          <w:sz w:val="24"/>
          <w:lang w:val="pt-PT"/>
        </w:rPr>
        <w:lastRenderedPageBreak/>
        <w:t xml:space="preserve">Distrito de </w:t>
      </w:r>
      <w:proofErr w:type="spellStart"/>
      <w:r w:rsidRPr="00292532">
        <w:rPr>
          <w:rFonts w:eastAsia="Calibri" w:cs="Calibri"/>
          <w:b/>
          <w:sz w:val="24"/>
          <w:lang w:val="pt-PT"/>
        </w:rPr>
        <w:t>Nicoadala</w:t>
      </w:r>
      <w:proofErr w:type="spellEnd"/>
    </w:p>
    <w:p w14:paraId="17C18EB6" w14:textId="77777777" w:rsidR="00CE785A" w:rsidRPr="00292532" w:rsidRDefault="00CE785A" w:rsidP="00CE785A">
      <w:pPr>
        <w:spacing w:before="0" w:after="0" w:line="276" w:lineRule="auto"/>
        <w:jc w:val="center"/>
        <w:rPr>
          <w:rFonts w:eastAsia="Calibri" w:cs="Calibri"/>
          <w:sz w:val="24"/>
          <w:u w:val="single"/>
          <w:lang w:val="pt-PT"/>
        </w:rPr>
      </w:pPr>
      <w:r w:rsidRPr="00292532">
        <w:rPr>
          <w:rFonts w:eastAsia="Calibri" w:cs="Calibri"/>
          <w:b/>
          <w:sz w:val="24"/>
          <w:u w:val="single"/>
          <w:lang w:val="pt-PT"/>
        </w:rPr>
        <w:t>Consulta Pública para elaboração de instrumentos genéricos de gestão ambiental e social</w:t>
      </w:r>
    </w:p>
    <w:tbl>
      <w:tblPr>
        <w:tblW w:w="10348" w:type="dxa"/>
        <w:tblInd w:w="-289" w:type="dxa"/>
        <w:tblLayout w:type="fixed"/>
        <w:tblLook w:val="04A0" w:firstRow="1" w:lastRow="0" w:firstColumn="1" w:lastColumn="0" w:noHBand="0" w:noVBand="1"/>
      </w:tblPr>
      <w:tblGrid>
        <w:gridCol w:w="2552"/>
        <w:gridCol w:w="5528"/>
        <w:gridCol w:w="2268"/>
      </w:tblGrid>
      <w:tr w:rsidR="00CE785A" w:rsidRPr="00292532" w14:paraId="0CDE82D3" w14:textId="77777777" w:rsidTr="00CE785A">
        <w:trPr>
          <w:trHeight w:val="505"/>
          <w:tblHeader/>
        </w:trPr>
        <w:tc>
          <w:tcPr>
            <w:tcW w:w="2552" w:type="dxa"/>
            <w:shd w:val="clear" w:color="auto" w:fill="4472C4"/>
            <w:vAlign w:val="center"/>
          </w:tcPr>
          <w:p w14:paraId="778C8D31" w14:textId="77777777" w:rsidR="00CE785A" w:rsidRPr="00292532" w:rsidRDefault="00CE785A" w:rsidP="00CE785A">
            <w:pPr>
              <w:tabs>
                <w:tab w:val="left" w:pos="2980"/>
              </w:tabs>
              <w:spacing w:before="0" w:after="0" w:line="276" w:lineRule="auto"/>
              <w:jc w:val="center"/>
              <w:rPr>
                <w:rFonts w:eastAsia="Calibri" w:cs="Calibri"/>
                <w:b/>
                <w:color w:val="FFFFFF"/>
                <w:lang w:val="pt-PT"/>
              </w:rPr>
            </w:pPr>
            <w:r w:rsidRPr="00292532">
              <w:rPr>
                <w:rFonts w:eastAsia="Calibri" w:cs="Calibri"/>
                <w:b/>
                <w:color w:val="FFFFFF"/>
                <w:lang w:val="pt-PT"/>
              </w:rPr>
              <w:t>Assuntos abordados</w:t>
            </w:r>
          </w:p>
        </w:tc>
        <w:tc>
          <w:tcPr>
            <w:tcW w:w="5528" w:type="dxa"/>
            <w:shd w:val="clear" w:color="auto" w:fill="4472C4"/>
            <w:vAlign w:val="center"/>
          </w:tcPr>
          <w:p w14:paraId="66119007" w14:textId="77777777" w:rsidR="00CE785A" w:rsidRPr="00292532" w:rsidRDefault="00CE785A" w:rsidP="00CE785A">
            <w:pPr>
              <w:spacing w:before="0" w:after="0"/>
              <w:jc w:val="center"/>
              <w:rPr>
                <w:rFonts w:eastAsia="Calibri" w:cs="Calibri"/>
                <w:b/>
                <w:color w:val="FFFFFF"/>
                <w:lang w:val="pt-PT"/>
              </w:rPr>
            </w:pPr>
            <w:r w:rsidRPr="00292532">
              <w:rPr>
                <w:rFonts w:eastAsia="Times New Roman" w:cs="Calibri"/>
                <w:b/>
                <w:color w:val="FFFFFF"/>
                <w:lang w:val="pt-PT"/>
              </w:rPr>
              <w:t>Resposta / Comentário</w:t>
            </w:r>
          </w:p>
        </w:tc>
        <w:tc>
          <w:tcPr>
            <w:tcW w:w="2268" w:type="dxa"/>
            <w:shd w:val="clear" w:color="auto" w:fill="4472C4"/>
            <w:vAlign w:val="center"/>
          </w:tcPr>
          <w:p w14:paraId="4ACF46DE" w14:textId="77777777" w:rsidR="00CE785A" w:rsidRPr="00292532" w:rsidRDefault="00CE785A" w:rsidP="00CE785A">
            <w:pPr>
              <w:spacing w:before="0" w:after="0" w:line="276" w:lineRule="auto"/>
              <w:jc w:val="center"/>
              <w:rPr>
                <w:rFonts w:eastAsia="Calibri" w:cs="Calibri"/>
                <w:b/>
                <w:color w:val="FFFFFF"/>
                <w:lang w:val="pt-PT"/>
              </w:rPr>
            </w:pPr>
            <w:r w:rsidRPr="00292532">
              <w:rPr>
                <w:rFonts w:eastAsia="Calibri" w:cs="Calibri"/>
                <w:b/>
                <w:color w:val="FFFFFF"/>
                <w:lang w:val="pt-PT"/>
              </w:rPr>
              <w:t>Intervenientes (nome, posição/título)</w:t>
            </w:r>
          </w:p>
        </w:tc>
      </w:tr>
      <w:tr w:rsidR="00CE785A" w:rsidRPr="004E2EAC" w14:paraId="0A22B26F" w14:textId="77777777" w:rsidTr="00CE785A">
        <w:tc>
          <w:tcPr>
            <w:tcW w:w="2552" w:type="dxa"/>
            <w:tcBorders>
              <w:top w:val="single" w:sz="4" w:space="0" w:color="auto"/>
              <w:left w:val="single" w:sz="4" w:space="0" w:color="auto"/>
              <w:bottom w:val="single" w:sz="4" w:space="0" w:color="auto"/>
              <w:right w:val="single" w:sz="4" w:space="0" w:color="auto"/>
            </w:tcBorders>
            <w:vAlign w:val="center"/>
          </w:tcPr>
          <w:p w14:paraId="4F4D99C4"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bCs/>
                <w:lang w:val="pt-PT"/>
              </w:rPr>
              <w:t>Prioridades da comunidade para implantar sistemas de abastecimento de água e saneamento</w:t>
            </w:r>
          </w:p>
        </w:tc>
        <w:tc>
          <w:tcPr>
            <w:tcW w:w="5528" w:type="dxa"/>
            <w:tcBorders>
              <w:top w:val="single" w:sz="4" w:space="0" w:color="auto"/>
              <w:left w:val="single" w:sz="4" w:space="0" w:color="auto"/>
              <w:bottom w:val="single" w:sz="4" w:space="0" w:color="auto"/>
              <w:right w:val="single" w:sz="4" w:space="0" w:color="auto"/>
            </w:tcBorders>
            <w:vAlign w:val="center"/>
          </w:tcPr>
          <w:p w14:paraId="6F10C81F"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A taxa de acesso a água potável no nosso distrito está abaixo de 40%, o que requer muito esforço para suprir as necessidades dos moradores, principalmente para o interior das localidades onde a falta de fontes seguras para a água é mais notável. Em </w:t>
            </w:r>
            <w:proofErr w:type="spellStart"/>
            <w:r w:rsidRPr="00292532">
              <w:rPr>
                <w:rFonts w:eastAsia="Calibri" w:cs="Calibri"/>
                <w:lang w:val="pt-PT"/>
              </w:rPr>
              <w:t>Nicoadala</w:t>
            </w:r>
            <w:proofErr w:type="spellEnd"/>
            <w:r w:rsidRPr="00292532">
              <w:rPr>
                <w:rFonts w:eastAsia="Calibri" w:cs="Calibri"/>
                <w:lang w:val="pt-PT"/>
              </w:rPr>
              <w:t xml:space="preserve">, existem furos do FIPAG, mas, os furos captam água e distribuem para cidade de Quelimane, não sendo visível os benefícios dos furos do FIPAG pois não é garantido o acesso a água a nível local. A UNICEF é o nosso grande parceiro na implementação de programas de água e saneamento, que tem vido a implementar iniciativas por forma a desmitificar algumas questões culturais que impedem o desenvolvimento comunitário. O </w:t>
            </w:r>
            <w:proofErr w:type="spellStart"/>
            <w:r w:rsidRPr="00292532">
              <w:rPr>
                <w:rFonts w:eastAsia="Calibri" w:cs="Calibri"/>
                <w:lang w:val="pt-PT"/>
              </w:rPr>
              <w:t>fecalismo</w:t>
            </w:r>
            <w:proofErr w:type="spellEnd"/>
            <w:r w:rsidRPr="00292532">
              <w:rPr>
                <w:rFonts w:eastAsia="Calibri" w:cs="Calibri"/>
                <w:lang w:val="pt-PT"/>
              </w:rPr>
              <w:t xml:space="preserve"> a céu aberto ainda é um grande desafio para o nosso distrito.</w:t>
            </w:r>
          </w:p>
          <w:p w14:paraId="71DA37E2"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A anos foi desenvolvido um </w:t>
            </w:r>
            <w:proofErr w:type="spellStart"/>
            <w:r w:rsidRPr="00292532">
              <w:rPr>
                <w:rFonts w:eastAsia="Calibri" w:cs="Calibri"/>
                <w:lang w:val="pt-PT"/>
              </w:rPr>
              <w:t>projecto</w:t>
            </w:r>
            <w:proofErr w:type="spellEnd"/>
            <w:r w:rsidRPr="00292532">
              <w:rPr>
                <w:rFonts w:eastAsia="Calibri" w:cs="Calibri"/>
                <w:lang w:val="pt-PT"/>
              </w:rPr>
              <w:t xml:space="preserve"> que terminou em 2016, que </w:t>
            </w:r>
            <w:proofErr w:type="spellStart"/>
            <w:r w:rsidRPr="00292532">
              <w:rPr>
                <w:rFonts w:eastAsia="Calibri" w:cs="Calibri"/>
                <w:lang w:val="pt-PT"/>
              </w:rPr>
              <w:t>objectivava</w:t>
            </w:r>
            <w:proofErr w:type="spellEnd"/>
            <w:r w:rsidRPr="00292532">
              <w:rPr>
                <w:rFonts w:eastAsia="Calibri" w:cs="Calibri"/>
                <w:lang w:val="pt-PT"/>
              </w:rPr>
              <w:t xml:space="preserve"> a distribuição de lajes (tampas de latrinas), com o intuito de incentivar a comunidade a construir latrinas. O </w:t>
            </w:r>
            <w:proofErr w:type="spellStart"/>
            <w:r w:rsidRPr="00292532">
              <w:rPr>
                <w:rFonts w:eastAsia="Calibri" w:cs="Calibri"/>
                <w:lang w:val="pt-PT"/>
              </w:rPr>
              <w:t>projecto</w:t>
            </w:r>
            <w:proofErr w:type="spellEnd"/>
            <w:r w:rsidRPr="00292532">
              <w:rPr>
                <w:rFonts w:eastAsia="Calibri" w:cs="Calibri"/>
                <w:lang w:val="pt-PT"/>
              </w:rPr>
              <w:t xml:space="preserve"> surtiu efeito pois a comunidade ao nível da vila tem as suas latrinas construídas graças a esse </w:t>
            </w:r>
            <w:proofErr w:type="spellStart"/>
            <w:r w:rsidRPr="00292532">
              <w:rPr>
                <w:rFonts w:eastAsia="Calibri" w:cs="Calibri"/>
                <w:lang w:val="pt-PT"/>
              </w:rPr>
              <w:t>projecto</w:t>
            </w:r>
            <w:proofErr w:type="spellEnd"/>
            <w:r w:rsidRPr="00292532">
              <w:rPr>
                <w:rFonts w:eastAsia="Calibri" w:cs="Calibri"/>
                <w:lang w:val="pt-PT"/>
              </w:rPr>
              <w:t xml:space="preserve">. mas o desafio ainda persiste no que concerne a erradicação da prática do </w:t>
            </w:r>
            <w:proofErr w:type="spellStart"/>
            <w:r w:rsidRPr="00292532">
              <w:rPr>
                <w:rFonts w:eastAsia="Calibri" w:cs="Calibri"/>
                <w:lang w:val="pt-PT"/>
              </w:rPr>
              <w:t>fecalismo</w:t>
            </w:r>
            <w:proofErr w:type="spellEnd"/>
            <w:r w:rsidRPr="00292532">
              <w:rPr>
                <w:rFonts w:eastAsia="Calibri" w:cs="Calibri"/>
                <w:lang w:val="pt-PT"/>
              </w:rPr>
              <w:t xml:space="preserve"> a céu aberto.</w:t>
            </w:r>
          </w:p>
        </w:tc>
        <w:tc>
          <w:tcPr>
            <w:tcW w:w="2268" w:type="dxa"/>
            <w:tcBorders>
              <w:top w:val="single" w:sz="4" w:space="0" w:color="auto"/>
              <w:left w:val="single" w:sz="4" w:space="0" w:color="auto"/>
              <w:bottom w:val="single" w:sz="4" w:space="0" w:color="auto"/>
              <w:right w:val="single" w:sz="4" w:space="0" w:color="auto"/>
            </w:tcBorders>
            <w:vAlign w:val="center"/>
          </w:tcPr>
          <w:p w14:paraId="5B9EC539" w14:textId="77777777" w:rsidR="00CE785A" w:rsidRPr="00292532" w:rsidRDefault="00CE785A" w:rsidP="00CE785A">
            <w:pPr>
              <w:spacing w:before="0" w:after="0" w:line="276" w:lineRule="auto"/>
              <w:jc w:val="left"/>
              <w:rPr>
                <w:rFonts w:eastAsia="Calibri" w:cs="Times New Roman"/>
                <w:lang w:val="pt-PT"/>
              </w:rPr>
            </w:pPr>
            <w:r w:rsidRPr="00292532">
              <w:rPr>
                <w:rFonts w:eastAsia="Calibri" w:cs="Times New Roman"/>
                <w:b/>
                <w:lang w:val="pt-PT"/>
              </w:rPr>
              <w:t xml:space="preserve">Donato Pedro dos Santos </w:t>
            </w:r>
            <w:r w:rsidRPr="00292532">
              <w:rPr>
                <w:rFonts w:eastAsia="Calibri" w:cs="Times New Roman"/>
                <w:lang w:val="pt-PT"/>
              </w:rPr>
              <w:t>– Técnico de saneamento SDPI</w:t>
            </w:r>
          </w:p>
          <w:p w14:paraId="7500F9BD" w14:textId="77777777" w:rsidR="00CE785A" w:rsidRPr="00292532" w:rsidRDefault="00CE785A" w:rsidP="00CE785A">
            <w:pPr>
              <w:spacing w:before="0" w:after="0" w:line="276" w:lineRule="auto"/>
              <w:jc w:val="left"/>
              <w:rPr>
                <w:rFonts w:eastAsia="Calibri" w:cs="Times New Roman"/>
                <w:lang w:val="pt-PT"/>
              </w:rPr>
            </w:pPr>
          </w:p>
          <w:p w14:paraId="4179C64A" w14:textId="77777777" w:rsidR="00CE785A" w:rsidRPr="00292532" w:rsidRDefault="00CE785A" w:rsidP="00CE785A">
            <w:pPr>
              <w:spacing w:before="0" w:after="0" w:line="276" w:lineRule="auto"/>
              <w:jc w:val="left"/>
              <w:rPr>
                <w:rFonts w:eastAsia="Calibri" w:cs="Times New Roman"/>
                <w:lang w:val="pt-PT"/>
              </w:rPr>
            </w:pPr>
            <w:r w:rsidRPr="00292532">
              <w:rPr>
                <w:rFonts w:eastAsia="Calibri" w:cs="Times New Roman"/>
                <w:b/>
                <w:lang w:val="pt-PT"/>
              </w:rPr>
              <w:t xml:space="preserve">Felícia Armando </w:t>
            </w:r>
            <w:r w:rsidRPr="00292532">
              <w:rPr>
                <w:rFonts w:eastAsia="Calibri" w:cs="Times New Roman"/>
                <w:lang w:val="pt-PT"/>
              </w:rPr>
              <w:t xml:space="preserve">– Residente da comunidade de </w:t>
            </w:r>
            <w:proofErr w:type="spellStart"/>
            <w:r w:rsidRPr="00292532">
              <w:rPr>
                <w:rFonts w:eastAsia="Calibri" w:cs="Times New Roman"/>
                <w:lang w:val="pt-PT"/>
              </w:rPr>
              <w:t>Nerire</w:t>
            </w:r>
            <w:proofErr w:type="spellEnd"/>
          </w:p>
          <w:p w14:paraId="77B8DDD2" w14:textId="77777777" w:rsidR="00CE785A" w:rsidRPr="00292532" w:rsidRDefault="00CE785A" w:rsidP="00CE785A">
            <w:pPr>
              <w:spacing w:before="0" w:after="0" w:line="276" w:lineRule="auto"/>
              <w:jc w:val="left"/>
              <w:rPr>
                <w:rFonts w:eastAsia="Calibri" w:cs="Times New Roman"/>
                <w:lang w:val="pt-PT"/>
              </w:rPr>
            </w:pPr>
          </w:p>
        </w:tc>
      </w:tr>
      <w:tr w:rsidR="00CE785A" w:rsidRPr="004E2EAC" w14:paraId="7DFA99D3" w14:textId="77777777" w:rsidTr="00CE785A">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70240A96" w14:textId="77777777" w:rsidR="00CE785A" w:rsidRPr="00292532" w:rsidRDefault="00CE785A" w:rsidP="00CE785A">
            <w:pPr>
              <w:spacing w:before="0" w:after="0" w:line="276" w:lineRule="auto"/>
              <w:jc w:val="left"/>
              <w:rPr>
                <w:rFonts w:eastAsia="Calibri" w:cs="Calibri"/>
                <w:b/>
                <w:bCs/>
                <w:lang w:val="pt-PT"/>
              </w:rPr>
            </w:pPr>
            <w:r w:rsidRPr="00292532">
              <w:rPr>
                <w:rFonts w:eastAsia="Calibri" w:cs="Calibri"/>
                <w:b/>
                <w:bCs/>
                <w:lang w:val="pt-PT"/>
              </w:rPr>
              <w:t xml:space="preserve">Problemas de Abastecimento de água, </w:t>
            </w:r>
            <w:proofErr w:type="spellStart"/>
            <w:r w:rsidRPr="00292532">
              <w:rPr>
                <w:rFonts w:eastAsia="Calibri" w:cs="Calibri"/>
                <w:b/>
                <w:bCs/>
                <w:lang w:val="pt-PT"/>
              </w:rPr>
              <w:t>Actuas</w:t>
            </w:r>
            <w:proofErr w:type="spellEnd"/>
            <w:r w:rsidRPr="00292532">
              <w:rPr>
                <w:rFonts w:eastAsia="Calibri" w:cs="Calibri"/>
                <w:b/>
                <w:bCs/>
                <w:lang w:val="pt-PT"/>
              </w:rPr>
              <w:t xml:space="preserve"> fontes de Abastecimento de Água.</w:t>
            </w:r>
          </w:p>
        </w:tc>
        <w:tc>
          <w:tcPr>
            <w:tcW w:w="5528" w:type="dxa"/>
            <w:tcBorders>
              <w:top w:val="single" w:sz="4" w:space="0" w:color="auto"/>
              <w:left w:val="single" w:sz="4" w:space="0" w:color="auto"/>
              <w:bottom w:val="single" w:sz="4" w:space="0" w:color="auto"/>
              <w:right w:val="single" w:sz="4" w:space="0" w:color="auto"/>
            </w:tcBorders>
            <w:shd w:val="clear" w:color="auto" w:fill="auto"/>
            <w:vAlign w:val="center"/>
          </w:tcPr>
          <w:p w14:paraId="31B71A86" w14:textId="77777777" w:rsidR="00CE785A" w:rsidRPr="00292532" w:rsidRDefault="00CE785A" w:rsidP="00AE14AE">
            <w:pPr>
              <w:numPr>
                <w:ilvl w:val="0"/>
                <w:numId w:val="172"/>
              </w:numPr>
              <w:spacing w:before="0" w:after="0" w:line="259" w:lineRule="auto"/>
              <w:ind w:left="176" w:hanging="142"/>
              <w:contextualSpacing/>
              <w:jc w:val="left"/>
              <w:rPr>
                <w:rFonts w:eastAsia="Calibri" w:cs="Times New Roman"/>
                <w:lang w:val="pt-PT"/>
              </w:rPr>
            </w:pPr>
            <w:r w:rsidRPr="00292532">
              <w:rPr>
                <w:rFonts w:eastAsia="Calibri" w:cs="Times New Roman"/>
                <w:lang w:val="pt-PT"/>
              </w:rPr>
              <w:t xml:space="preserve">Existem localidades como o caso de </w:t>
            </w:r>
            <w:proofErr w:type="spellStart"/>
            <w:r w:rsidRPr="00292532">
              <w:rPr>
                <w:rFonts w:eastAsia="Calibri" w:cs="Times New Roman"/>
                <w:lang w:val="pt-PT"/>
              </w:rPr>
              <w:t>Namacate</w:t>
            </w:r>
            <w:proofErr w:type="spellEnd"/>
            <w:r w:rsidRPr="00292532">
              <w:rPr>
                <w:rFonts w:eastAsia="Calibri" w:cs="Times New Roman"/>
                <w:lang w:val="pt-PT"/>
              </w:rPr>
              <w:t xml:space="preserve">, onde a água é normalmente salubre, o que inviabiliza a construção de fontes dispersas naquela região. Se o </w:t>
            </w:r>
            <w:proofErr w:type="spellStart"/>
            <w:r w:rsidRPr="00292532">
              <w:rPr>
                <w:rFonts w:eastAsia="Calibri" w:cs="Times New Roman"/>
                <w:lang w:val="pt-PT"/>
              </w:rPr>
              <w:t>projecto</w:t>
            </w:r>
            <w:proofErr w:type="spellEnd"/>
            <w:r w:rsidRPr="00292532">
              <w:rPr>
                <w:rFonts w:eastAsia="Calibri" w:cs="Times New Roman"/>
                <w:lang w:val="pt-PT"/>
              </w:rPr>
              <w:t xml:space="preserve"> fosse implementado, seria de bom grado priorizar </w:t>
            </w:r>
            <w:proofErr w:type="spellStart"/>
            <w:r w:rsidRPr="00292532">
              <w:rPr>
                <w:rFonts w:eastAsia="Calibri" w:cs="Times New Roman"/>
                <w:lang w:val="pt-PT"/>
              </w:rPr>
              <w:t>Namacate</w:t>
            </w:r>
            <w:proofErr w:type="spellEnd"/>
            <w:r w:rsidRPr="00292532">
              <w:rPr>
                <w:rFonts w:eastAsia="Calibri" w:cs="Times New Roman"/>
                <w:lang w:val="pt-PT"/>
              </w:rPr>
              <w:t xml:space="preserve"> e todas as localidades do interior do distrito, pois essas localidades têm acesso deficiente a água potável, recorrendo em muitos casos poços a céu aberto, estando vulneráveis a várias doenças.</w:t>
            </w:r>
          </w:p>
          <w:p w14:paraId="58814E3C"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A nossa comunidade (</w:t>
            </w:r>
            <w:proofErr w:type="spellStart"/>
            <w:r w:rsidRPr="00292532">
              <w:rPr>
                <w:rFonts w:eastAsia="Calibri" w:cs="Calibri"/>
                <w:lang w:val="pt-PT"/>
              </w:rPr>
              <w:t>Nerire</w:t>
            </w:r>
            <w:proofErr w:type="spellEnd"/>
            <w:r w:rsidRPr="00292532">
              <w:rPr>
                <w:rFonts w:eastAsia="Calibri" w:cs="Calibri"/>
                <w:lang w:val="pt-PT"/>
              </w:rPr>
              <w:t xml:space="preserve">) conta com fontenários para o acesso a água. Embora a maioria deles estejam localizados no mesmo local, fazendo com que algumas comunidades de longe percorram grandes distâncias para ter o acesso a água, o que tem implicações negativas, pois há aglomerados nas fontes, originando muita das vezes confusões para ter o acesso a água e que os menores ou pessoas de outras comunidades sofrem </w:t>
            </w:r>
            <w:r w:rsidRPr="00292532">
              <w:rPr>
                <w:rFonts w:eastAsia="Calibri" w:cs="Calibri"/>
                <w:lang w:val="pt-PT"/>
              </w:rPr>
              <w:lastRenderedPageBreak/>
              <w:t>discriminação, insultos e por vezes (em menor caso) agressões físicas.</w:t>
            </w:r>
          </w:p>
          <w:p w14:paraId="73A33F8A"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Algumas das fontes existentes na nossa localidade são sazonais, sendo que no verão não conseguem suprir a necessidade de todos que buscam a água. </w:t>
            </w:r>
          </w:p>
          <w:p w14:paraId="58C998FA"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Mensalmente temos </w:t>
            </w:r>
            <w:proofErr w:type="gramStart"/>
            <w:r w:rsidRPr="00292532">
              <w:rPr>
                <w:rFonts w:eastAsia="Calibri" w:cs="Calibri"/>
                <w:lang w:val="pt-PT"/>
              </w:rPr>
              <w:t>pago</w:t>
            </w:r>
            <w:proofErr w:type="gramEnd"/>
            <w:r w:rsidRPr="00292532">
              <w:rPr>
                <w:rFonts w:eastAsia="Calibri" w:cs="Calibri"/>
                <w:lang w:val="pt-PT"/>
              </w:rPr>
              <w:t xml:space="preserve"> uma taxa de consumo de água ao comité de gestão de água. As famílias que não tem condições para pagar esse valor mensalmente, optam por tirar a água nos poços, o que muita das vezes são poços destapados e não fornecem nenhuma segurança e não se sabe da qualidade da água.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8FE94CC" w14:textId="77777777" w:rsidR="00CE785A" w:rsidRPr="00292532" w:rsidRDefault="00CE785A" w:rsidP="00CE785A">
            <w:pPr>
              <w:spacing w:before="0" w:after="0" w:line="276" w:lineRule="auto"/>
              <w:jc w:val="left"/>
              <w:rPr>
                <w:rFonts w:eastAsia="Calibri" w:cs="Times New Roman"/>
                <w:lang w:val="pt-PT"/>
              </w:rPr>
            </w:pPr>
            <w:r w:rsidRPr="00292532">
              <w:rPr>
                <w:rFonts w:eastAsia="Calibri" w:cs="Times New Roman"/>
                <w:b/>
                <w:lang w:val="pt-PT"/>
              </w:rPr>
              <w:lastRenderedPageBreak/>
              <w:t xml:space="preserve">Donato Pedro dos Santos </w:t>
            </w:r>
            <w:r w:rsidRPr="00292532">
              <w:rPr>
                <w:rFonts w:eastAsia="Calibri" w:cs="Times New Roman"/>
                <w:lang w:val="pt-PT"/>
              </w:rPr>
              <w:t>– Técnico de saneamento SDPI</w:t>
            </w:r>
          </w:p>
          <w:p w14:paraId="699F381D" w14:textId="77777777" w:rsidR="00CE785A" w:rsidRPr="00292532" w:rsidRDefault="00CE785A" w:rsidP="00CE785A">
            <w:pPr>
              <w:spacing w:before="0" w:after="0" w:line="276" w:lineRule="auto"/>
              <w:jc w:val="left"/>
              <w:rPr>
                <w:rFonts w:eastAsia="Calibri" w:cs="Calibri"/>
                <w:lang w:val="pt-PT"/>
              </w:rPr>
            </w:pPr>
          </w:p>
          <w:p w14:paraId="1C38A0DB" w14:textId="77777777" w:rsidR="00CE785A" w:rsidRPr="00292532" w:rsidRDefault="00CE785A" w:rsidP="00CE785A">
            <w:pPr>
              <w:spacing w:before="0" w:after="0" w:line="276" w:lineRule="auto"/>
              <w:jc w:val="left"/>
              <w:rPr>
                <w:rFonts w:eastAsia="Calibri" w:cs="Calibri"/>
                <w:lang w:val="pt-PT"/>
              </w:rPr>
            </w:pPr>
            <w:r w:rsidRPr="00292532">
              <w:rPr>
                <w:rFonts w:eastAsia="Calibri" w:cs="Times New Roman"/>
                <w:b/>
                <w:lang w:val="pt-PT"/>
              </w:rPr>
              <w:t>Maria Araújo</w:t>
            </w:r>
            <w:r w:rsidRPr="00292532">
              <w:rPr>
                <w:rFonts w:eastAsia="Calibri" w:cs="Calibri"/>
                <w:lang w:val="pt-PT"/>
              </w:rPr>
              <w:t xml:space="preserve"> - moradora da comunidade de </w:t>
            </w:r>
            <w:proofErr w:type="spellStart"/>
            <w:r w:rsidRPr="00292532">
              <w:rPr>
                <w:rFonts w:eastAsia="Calibri" w:cs="Calibri"/>
                <w:lang w:val="pt-PT"/>
              </w:rPr>
              <w:t>Nerire</w:t>
            </w:r>
            <w:proofErr w:type="spellEnd"/>
          </w:p>
          <w:p w14:paraId="437FAFC0" w14:textId="77777777" w:rsidR="00CE785A" w:rsidRPr="00292532" w:rsidRDefault="00CE785A" w:rsidP="00CE785A">
            <w:pPr>
              <w:spacing w:before="0" w:after="0" w:line="276" w:lineRule="auto"/>
              <w:jc w:val="left"/>
              <w:rPr>
                <w:rFonts w:eastAsia="Calibri" w:cs="Calibri"/>
                <w:lang w:val="pt-PT"/>
              </w:rPr>
            </w:pPr>
          </w:p>
          <w:p w14:paraId="14862973"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lang w:val="pt-PT"/>
              </w:rPr>
              <w:t>Felícia Armando</w:t>
            </w:r>
            <w:r w:rsidRPr="00292532">
              <w:rPr>
                <w:rFonts w:eastAsia="Calibri" w:cs="Calibri"/>
                <w:lang w:val="pt-PT"/>
              </w:rPr>
              <w:t xml:space="preserve"> - Gestora e tesoureira de fontenário</w:t>
            </w:r>
          </w:p>
          <w:p w14:paraId="79F0EC4D" w14:textId="77777777" w:rsidR="00CE785A" w:rsidRPr="00292532" w:rsidRDefault="00CE785A" w:rsidP="00CE785A">
            <w:pPr>
              <w:spacing w:before="0" w:after="0" w:line="276" w:lineRule="auto"/>
              <w:jc w:val="left"/>
              <w:rPr>
                <w:rFonts w:eastAsia="Calibri" w:cs="Calibri"/>
                <w:lang w:val="pt-PT"/>
              </w:rPr>
            </w:pPr>
          </w:p>
          <w:p w14:paraId="2AA649C6" w14:textId="77777777" w:rsidR="00CE785A" w:rsidRPr="00292532" w:rsidRDefault="00CE785A" w:rsidP="00CE785A">
            <w:pPr>
              <w:spacing w:before="0" w:after="0" w:line="276" w:lineRule="auto"/>
              <w:jc w:val="left"/>
              <w:rPr>
                <w:rFonts w:eastAsia="Calibri" w:cs="Times New Roman"/>
                <w:b/>
                <w:lang w:val="pt-PT"/>
              </w:rPr>
            </w:pPr>
            <w:r w:rsidRPr="00292532">
              <w:rPr>
                <w:rFonts w:eastAsia="Calibri" w:cs="Calibri"/>
                <w:b/>
                <w:lang w:val="pt-PT"/>
              </w:rPr>
              <w:t>Fernanda</w:t>
            </w:r>
            <w:r w:rsidRPr="00292532">
              <w:rPr>
                <w:rFonts w:eastAsia="Calibri" w:cs="Times New Roman"/>
                <w:b/>
                <w:lang w:val="pt-PT"/>
              </w:rPr>
              <w:t xml:space="preserve"> Fonseca </w:t>
            </w:r>
            <w:r w:rsidRPr="00292532">
              <w:rPr>
                <w:rFonts w:eastAsia="Calibri" w:cs="Times New Roman"/>
                <w:lang w:val="pt-PT"/>
              </w:rPr>
              <w:t>-</w:t>
            </w:r>
            <w:r w:rsidRPr="00292532">
              <w:rPr>
                <w:rFonts w:eastAsia="Calibri" w:cs="Times New Roman"/>
                <w:b/>
                <w:lang w:val="pt-PT"/>
              </w:rPr>
              <w:t xml:space="preserve"> </w:t>
            </w:r>
            <w:r w:rsidRPr="00292532">
              <w:rPr>
                <w:rFonts w:eastAsia="Calibri" w:cs="Calibri"/>
                <w:lang w:val="pt-PT"/>
              </w:rPr>
              <w:t xml:space="preserve">moradora da comunidade de </w:t>
            </w:r>
            <w:proofErr w:type="spellStart"/>
            <w:r w:rsidRPr="00292532">
              <w:rPr>
                <w:rFonts w:eastAsia="Calibri" w:cs="Calibri"/>
                <w:lang w:val="pt-PT"/>
              </w:rPr>
              <w:t>Nerire</w:t>
            </w:r>
            <w:proofErr w:type="spellEnd"/>
            <w:r w:rsidRPr="00292532">
              <w:rPr>
                <w:rFonts w:eastAsia="Calibri" w:cs="Calibri"/>
                <w:lang w:val="pt-PT"/>
              </w:rPr>
              <w:t xml:space="preserve"> – sede</w:t>
            </w:r>
          </w:p>
          <w:p w14:paraId="4868F7E3" w14:textId="77777777" w:rsidR="00CE785A" w:rsidRPr="00292532" w:rsidRDefault="00CE785A" w:rsidP="00CE785A">
            <w:pPr>
              <w:spacing w:before="0" w:after="0" w:line="276" w:lineRule="auto"/>
              <w:jc w:val="left"/>
              <w:rPr>
                <w:rFonts w:eastAsia="Calibri" w:cs="Calibri"/>
                <w:lang w:val="pt-PT"/>
              </w:rPr>
            </w:pPr>
          </w:p>
        </w:tc>
      </w:tr>
      <w:tr w:rsidR="00CE785A" w:rsidRPr="004E2EAC" w14:paraId="7FA1D02B" w14:textId="77777777" w:rsidTr="00CE785A">
        <w:tc>
          <w:tcPr>
            <w:tcW w:w="2552" w:type="dxa"/>
            <w:tcBorders>
              <w:top w:val="single" w:sz="4" w:space="0" w:color="auto"/>
              <w:left w:val="single" w:sz="4" w:space="0" w:color="auto"/>
              <w:bottom w:val="single" w:sz="4" w:space="0" w:color="auto"/>
              <w:right w:val="single" w:sz="4" w:space="0" w:color="auto"/>
            </w:tcBorders>
            <w:vAlign w:val="center"/>
          </w:tcPr>
          <w:p w14:paraId="11EC361B" w14:textId="77777777" w:rsidR="00CE785A" w:rsidRPr="00292532" w:rsidRDefault="00CE785A" w:rsidP="00CE785A">
            <w:pPr>
              <w:spacing w:before="0" w:after="0" w:line="276" w:lineRule="auto"/>
              <w:jc w:val="left"/>
              <w:rPr>
                <w:rFonts w:eastAsia="Calibri" w:cs="Calibri"/>
                <w:b/>
                <w:bCs/>
                <w:lang w:val="pt-PT"/>
              </w:rPr>
            </w:pPr>
            <w:r w:rsidRPr="00292532">
              <w:rPr>
                <w:rFonts w:eastAsia="Calibri" w:cs="Calibri"/>
                <w:b/>
                <w:bCs/>
                <w:lang w:val="pt-PT"/>
              </w:rPr>
              <w:lastRenderedPageBreak/>
              <w:t>Papel e envolvimento das mulheres na gestão de fontanários e de fontes dispersas de água com bombas manuais.</w:t>
            </w:r>
          </w:p>
        </w:tc>
        <w:tc>
          <w:tcPr>
            <w:tcW w:w="5528" w:type="dxa"/>
            <w:tcBorders>
              <w:top w:val="single" w:sz="4" w:space="0" w:color="auto"/>
              <w:left w:val="single" w:sz="4" w:space="0" w:color="auto"/>
              <w:bottom w:val="single" w:sz="4" w:space="0" w:color="auto"/>
              <w:right w:val="single" w:sz="4" w:space="0" w:color="auto"/>
            </w:tcBorders>
            <w:vAlign w:val="center"/>
          </w:tcPr>
          <w:p w14:paraId="2DE4666D"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Times New Roman"/>
                <w:lang w:val="pt-PT"/>
              </w:rPr>
              <w:t xml:space="preserve">Em </w:t>
            </w:r>
            <w:r w:rsidRPr="00292532">
              <w:rPr>
                <w:rFonts w:eastAsia="Calibri" w:cs="Calibri"/>
                <w:lang w:val="pt-PT"/>
              </w:rPr>
              <w:t>todas</w:t>
            </w:r>
            <w:r w:rsidRPr="00292532">
              <w:rPr>
                <w:rFonts w:eastAsia="Calibri" w:cs="Times New Roman"/>
                <w:lang w:val="pt-PT"/>
              </w:rPr>
              <w:t xml:space="preserve"> as comunidades onde foram implantadas as fontes dispersas, existe um comité de gestão de água constituído por 6 a 12 elementos dependendo da necessidade. Para a constituição desse grupo de gestão de água, são obedecidos critérios do </w:t>
            </w:r>
            <w:r w:rsidRPr="00292532">
              <w:rPr>
                <w:rFonts w:eastAsia="Calibri" w:cs="Times New Roman"/>
                <w:u w:val="single"/>
                <w:lang w:val="pt-PT"/>
              </w:rPr>
              <w:t>princípio de procura</w:t>
            </w:r>
            <w:r w:rsidRPr="00292532">
              <w:rPr>
                <w:rFonts w:eastAsia="Calibri" w:cs="Times New Roman"/>
                <w:lang w:val="pt-PT"/>
              </w:rPr>
              <w:t>, que definem os elementos necessários para a gestão de fontes de água, preconizando a questão de género. Até porque muitas mulheres são presidentes nesses grupos de gestão de fontes de água devido a sua disponibilidade e porque são elas as maiores frequentadoras desses locais.</w:t>
            </w:r>
          </w:p>
          <w:p w14:paraId="2E3A3B6A"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As fontes de água no nosso distrito são sempre geridas por comités de gestão de água que são constituídos muitas vezes por um número de 8 a 10 pessoas e são sempre mudados em cada 5 anos. Como gestora da fonte, sou a responsável pelas cobranças, marcação de reuniões para discutir sobre a gestão da fonte, encaminhamento das reclamações ao régulo e manter o local limpo.</w:t>
            </w:r>
          </w:p>
        </w:tc>
        <w:tc>
          <w:tcPr>
            <w:tcW w:w="2268" w:type="dxa"/>
            <w:tcBorders>
              <w:top w:val="single" w:sz="4" w:space="0" w:color="auto"/>
              <w:left w:val="single" w:sz="4" w:space="0" w:color="auto"/>
              <w:bottom w:val="single" w:sz="4" w:space="0" w:color="auto"/>
              <w:right w:val="single" w:sz="4" w:space="0" w:color="auto"/>
            </w:tcBorders>
            <w:vAlign w:val="center"/>
          </w:tcPr>
          <w:p w14:paraId="0B0626DB" w14:textId="77777777" w:rsidR="00CE785A" w:rsidRPr="00292532" w:rsidRDefault="00CE785A" w:rsidP="00CE785A">
            <w:pPr>
              <w:spacing w:before="0" w:after="0" w:line="276" w:lineRule="auto"/>
              <w:jc w:val="left"/>
              <w:rPr>
                <w:rFonts w:eastAsia="Calibri" w:cs="Times New Roman"/>
                <w:lang w:val="pt-PT"/>
              </w:rPr>
            </w:pPr>
            <w:r w:rsidRPr="00292532">
              <w:rPr>
                <w:rFonts w:eastAsia="Calibri" w:cs="Times New Roman"/>
                <w:b/>
                <w:lang w:val="pt-PT"/>
              </w:rPr>
              <w:t xml:space="preserve">Donato Pedro dos Santos </w:t>
            </w:r>
            <w:r w:rsidRPr="00292532">
              <w:rPr>
                <w:rFonts w:eastAsia="Calibri" w:cs="Times New Roman"/>
                <w:lang w:val="pt-PT"/>
              </w:rPr>
              <w:t>– Técnico de saneamento SDPI</w:t>
            </w:r>
          </w:p>
          <w:p w14:paraId="060D4EC4" w14:textId="77777777" w:rsidR="00CE785A" w:rsidRPr="00292532" w:rsidRDefault="00CE785A" w:rsidP="00CE785A">
            <w:pPr>
              <w:spacing w:before="0" w:after="0" w:line="276" w:lineRule="auto"/>
              <w:jc w:val="left"/>
              <w:rPr>
                <w:rFonts w:eastAsia="Calibri" w:cs="Calibri"/>
                <w:u w:val="single"/>
                <w:lang w:val="pt-PT"/>
              </w:rPr>
            </w:pPr>
          </w:p>
          <w:p w14:paraId="47937950" w14:textId="77777777" w:rsidR="00CE785A" w:rsidRPr="00292532" w:rsidRDefault="00CE785A" w:rsidP="00CE785A">
            <w:pPr>
              <w:spacing w:before="0" w:after="0" w:line="276" w:lineRule="auto"/>
              <w:jc w:val="left"/>
              <w:rPr>
                <w:rFonts w:eastAsia="Calibri" w:cs="Times New Roman"/>
                <w:lang w:val="pt-PT"/>
              </w:rPr>
            </w:pPr>
            <w:r w:rsidRPr="00292532">
              <w:rPr>
                <w:rFonts w:eastAsia="Calibri" w:cs="Times New Roman"/>
                <w:b/>
                <w:lang w:val="pt-PT"/>
              </w:rPr>
              <w:t>Felícia Armando</w:t>
            </w:r>
            <w:r w:rsidRPr="00292532">
              <w:rPr>
                <w:rFonts w:eastAsia="Calibri" w:cs="Times New Roman"/>
                <w:lang w:val="pt-PT"/>
              </w:rPr>
              <w:t xml:space="preserve"> - Gestora e tesoureira de fontenário</w:t>
            </w:r>
          </w:p>
        </w:tc>
      </w:tr>
      <w:tr w:rsidR="00CE785A" w:rsidRPr="004E2EAC" w14:paraId="59D35113" w14:textId="77777777" w:rsidTr="00CE785A">
        <w:tc>
          <w:tcPr>
            <w:tcW w:w="2552" w:type="dxa"/>
            <w:tcBorders>
              <w:top w:val="single" w:sz="4" w:space="0" w:color="auto"/>
              <w:left w:val="single" w:sz="4" w:space="0" w:color="auto"/>
              <w:bottom w:val="single" w:sz="4" w:space="0" w:color="auto"/>
              <w:right w:val="single" w:sz="4" w:space="0" w:color="auto"/>
            </w:tcBorders>
            <w:vAlign w:val="center"/>
          </w:tcPr>
          <w:p w14:paraId="7DBC0737" w14:textId="77777777" w:rsidR="00CE785A" w:rsidRPr="00292532" w:rsidRDefault="00CE785A" w:rsidP="00CE785A">
            <w:pPr>
              <w:spacing w:before="0" w:after="0" w:line="276" w:lineRule="auto"/>
              <w:jc w:val="left"/>
              <w:rPr>
                <w:rFonts w:eastAsia="Calibri" w:cs="Calibri"/>
                <w:b/>
                <w:bCs/>
                <w:lang w:val="pt-PT"/>
              </w:rPr>
            </w:pPr>
            <w:r w:rsidRPr="00292532">
              <w:rPr>
                <w:rFonts w:eastAsia="Calibri" w:cs="Calibri"/>
                <w:b/>
                <w:bCs/>
                <w:lang w:val="pt-PT"/>
              </w:rPr>
              <w:t xml:space="preserve">Situação </w:t>
            </w:r>
            <w:proofErr w:type="spellStart"/>
            <w:r w:rsidRPr="00292532">
              <w:rPr>
                <w:rFonts w:eastAsia="Calibri" w:cs="Calibri"/>
                <w:b/>
                <w:bCs/>
                <w:lang w:val="pt-PT"/>
              </w:rPr>
              <w:t>actual</w:t>
            </w:r>
            <w:proofErr w:type="spellEnd"/>
            <w:r w:rsidRPr="00292532">
              <w:rPr>
                <w:rFonts w:eastAsia="Calibri" w:cs="Calibri"/>
                <w:b/>
                <w:bCs/>
                <w:lang w:val="pt-PT"/>
              </w:rPr>
              <w:t xml:space="preserve"> do saneamento </w:t>
            </w:r>
          </w:p>
        </w:tc>
        <w:tc>
          <w:tcPr>
            <w:tcW w:w="5528" w:type="dxa"/>
            <w:tcBorders>
              <w:top w:val="single" w:sz="4" w:space="0" w:color="auto"/>
              <w:left w:val="single" w:sz="4" w:space="0" w:color="auto"/>
              <w:bottom w:val="single" w:sz="4" w:space="0" w:color="auto"/>
              <w:right w:val="single" w:sz="4" w:space="0" w:color="auto"/>
            </w:tcBorders>
            <w:vAlign w:val="center"/>
          </w:tcPr>
          <w:p w14:paraId="316DC417" w14:textId="77777777" w:rsidR="00CE785A" w:rsidRPr="00292532" w:rsidRDefault="00CE785A" w:rsidP="00AE14AE">
            <w:pPr>
              <w:numPr>
                <w:ilvl w:val="0"/>
                <w:numId w:val="172"/>
              </w:numPr>
              <w:spacing w:before="0" w:after="0" w:line="259" w:lineRule="auto"/>
              <w:ind w:left="176" w:hanging="142"/>
              <w:contextualSpacing/>
              <w:jc w:val="left"/>
              <w:rPr>
                <w:rFonts w:eastAsia="Calibri" w:cs="Times New Roman"/>
                <w:lang w:val="pt-PT"/>
              </w:rPr>
            </w:pPr>
            <w:r w:rsidRPr="00292532">
              <w:rPr>
                <w:rFonts w:eastAsia="Calibri" w:cs="Times New Roman"/>
                <w:lang w:val="pt-PT"/>
              </w:rPr>
              <w:t xml:space="preserve">Aliado a falta de água, o saneamento é um problema gravíssimo no nosso distrito. Cá prevalece a prática de </w:t>
            </w:r>
            <w:proofErr w:type="spellStart"/>
            <w:r w:rsidRPr="00292532">
              <w:rPr>
                <w:rFonts w:eastAsia="Calibri" w:cs="Times New Roman"/>
                <w:lang w:val="pt-PT"/>
              </w:rPr>
              <w:t>fecalismo</w:t>
            </w:r>
            <w:proofErr w:type="spellEnd"/>
            <w:r w:rsidRPr="00292532">
              <w:rPr>
                <w:rFonts w:eastAsia="Calibri" w:cs="Times New Roman"/>
                <w:lang w:val="pt-PT"/>
              </w:rPr>
              <w:t xml:space="preserve"> a céu aberto. Mesmo em algumas residências ao nível da vila, é possível </w:t>
            </w:r>
            <w:proofErr w:type="spellStart"/>
            <w:r w:rsidRPr="00292532">
              <w:rPr>
                <w:rFonts w:eastAsia="Calibri" w:cs="Times New Roman"/>
                <w:lang w:val="pt-PT"/>
              </w:rPr>
              <w:t>detectar</w:t>
            </w:r>
            <w:proofErr w:type="spellEnd"/>
            <w:r w:rsidRPr="00292532">
              <w:rPr>
                <w:rFonts w:eastAsia="Calibri" w:cs="Times New Roman"/>
                <w:lang w:val="pt-PT"/>
              </w:rPr>
              <w:t xml:space="preserve"> a ausência de </w:t>
            </w:r>
            <w:proofErr w:type="spellStart"/>
            <w:r w:rsidRPr="00292532">
              <w:rPr>
                <w:rFonts w:eastAsia="Calibri" w:cs="Times New Roman"/>
                <w:lang w:val="pt-PT"/>
              </w:rPr>
              <w:t>infra-estruturas</w:t>
            </w:r>
            <w:proofErr w:type="spellEnd"/>
            <w:r w:rsidRPr="00292532">
              <w:rPr>
                <w:rFonts w:eastAsia="Calibri" w:cs="Times New Roman"/>
                <w:lang w:val="pt-PT"/>
              </w:rPr>
              <w:t xml:space="preserve"> sanitárias. Campanhas tem vindo a ser desenvolvidos a nível do distrito como forma de erradicar esse problema. Uma das razões que faz com que essa prática seja ainda recorrente, é a questão de </w:t>
            </w:r>
            <w:proofErr w:type="spellStart"/>
            <w:r w:rsidRPr="00292532">
              <w:rPr>
                <w:rFonts w:eastAsia="Calibri" w:cs="Times New Roman"/>
                <w:lang w:val="pt-PT"/>
              </w:rPr>
              <w:t>factores</w:t>
            </w:r>
            <w:proofErr w:type="spellEnd"/>
            <w:r w:rsidRPr="00292532">
              <w:rPr>
                <w:rFonts w:eastAsia="Calibri" w:cs="Times New Roman"/>
                <w:lang w:val="pt-PT"/>
              </w:rPr>
              <w:t xml:space="preserve"> culturais, sendo que algumas famílias não aceitam que os excrementos dos filhos estejam no mesmo lugar com os dos pais. </w:t>
            </w:r>
            <w:proofErr w:type="spellStart"/>
            <w:r w:rsidRPr="00292532">
              <w:rPr>
                <w:rFonts w:eastAsia="Calibri" w:cs="Times New Roman"/>
                <w:lang w:val="pt-PT"/>
              </w:rPr>
              <w:t>Actualmente</w:t>
            </w:r>
            <w:proofErr w:type="spellEnd"/>
            <w:r w:rsidRPr="00292532">
              <w:rPr>
                <w:rFonts w:eastAsia="Calibri" w:cs="Times New Roman"/>
                <w:lang w:val="pt-PT"/>
              </w:rPr>
              <w:t xml:space="preserve"> estamos a </w:t>
            </w:r>
            <w:r w:rsidRPr="00292532">
              <w:rPr>
                <w:rFonts w:eastAsia="Calibri" w:cs="Times New Roman"/>
                <w:lang w:val="pt-PT"/>
              </w:rPr>
              <w:lastRenderedPageBreak/>
              <w:t xml:space="preserve">levar a cabo a iniciativa denominada SANTOLIC (Saneamento Total liderado pela Comunidade), que é um conjunto de </w:t>
            </w:r>
            <w:proofErr w:type="spellStart"/>
            <w:r w:rsidRPr="00292532">
              <w:rPr>
                <w:rFonts w:eastAsia="Calibri" w:cs="Times New Roman"/>
                <w:lang w:val="pt-PT"/>
              </w:rPr>
              <w:t>actividades</w:t>
            </w:r>
            <w:proofErr w:type="spellEnd"/>
            <w:r w:rsidRPr="00292532">
              <w:rPr>
                <w:rFonts w:eastAsia="Calibri" w:cs="Times New Roman"/>
                <w:lang w:val="pt-PT"/>
              </w:rPr>
              <w:t xml:space="preserve"> que visam consciencializar a comunidade para a construção de latrinas, copas para o armazenamento de utensílios domésticos, o que pode vir a contribuir para a redução dos níveis de diarreias e cóleras no distrito. </w:t>
            </w:r>
          </w:p>
          <w:p w14:paraId="5B086A9D"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A questão de saneamento ainda é um desafio para a nossa comunidade, pois muitos preferem sair de noite ou pela manhã para o campo para aliviar as suas necessidades. </w:t>
            </w:r>
          </w:p>
          <w:p w14:paraId="6CEEF514"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Em </w:t>
            </w:r>
            <w:proofErr w:type="spellStart"/>
            <w:r w:rsidRPr="00292532">
              <w:rPr>
                <w:rFonts w:eastAsia="Calibri" w:cs="Calibri"/>
                <w:lang w:val="pt-PT"/>
              </w:rPr>
              <w:t>Nicoadala</w:t>
            </w:r>
            <w:proofErr w:type="spellEnd"/>
            <w:r w:rsidRPr="00292532">
              <w:rPr>
                <w:rFonts w:eastAsia="Calibri" w:cs="Calibri"/>
                <w:lang w:val="pt-PT"/>
              </w:rPr>
              <w:t xml:space="preserve">, muitos não tem latrinas. noutros casos, as latrinas existentes são de material precário e que facilmente cedem. Já me aconteceu de frequentar uma latrina que depois rompeu e tive de ser socorrido. Nós os deficientes visuais temos mais restrições no acesso a água e infraestruturas sanitárias. </w:t>
            </w:r>
          </w:p>
        </w:tc>
        <w:tc>
          <w:tcPr>
            <w:tcW w:w="2268" w:type="dxa"/>
            <w:tcBorders>
              <w:top w:val="single" w:sz="4" w:space="0" w:color="auto"/>
              <w:left w:val="single" w:sz="4" w:space="0" w:color="auto"/>
              <w:bottom w:val="single" w:sz="4" w:space="0" w:color="auto"/>
              <w:right w:val="single" w:sz="4" w:space="0" w:color="auto"/>
            </w:tcBorders>
            <w:vAlign w:val="center"/>
          </w:tcPr>
          <w:p w14:paraId="263CFD9F" w14:textId="77777777" w:rsidR="00CE785A" w:rsidRPr="00292532" w:rsidRDefault="00CE785A" w:rsidP="00CE785A">
            <w:pPr>
              <w:spacing w:before="0" w:after="0" w:line="276" w:lineRule="auto"/>
              <w:jc w:val="left"/>
              <w:rPr>
                <w:rFonts w:eastAsia="Calibri" w:cs="Times New Roman"/>
                <w:lang w:val="pt-PT"/>
              </w:rPr>
            </w:pPr>
            <w:r w:rsidRPr="00292532">
              <w:rPr>
                <w:rFonts w:eastAsia="Calibri" w:cs="Times New Roman"/>
                <w:b/>
                <w:lang w:val="pt-PT"/>
              </w:rPr>
              <w:lastRenderedPageBreak/>
              <w:t xml:space="preserve">Donato Pedro dos Santos </w:t>
            </w:r>
            <w:r w:rsidRPr="00292532">
              <w:rPr>
                <w:rFonts w:eastAsia="Calibri" w:cs="Times New Roman"/>
                <w:lang w:val="pt-PT"/>
              </w:rPr>
              <w:t>– Técnico de saneamento SDPI</w:t>
            </w:r>
          </w:p>
          <w:p w14:paraId="0CDA9242" w14:textId="77777777" w:rsidR="00CE785A" w:rsidRPr="00292532" w:rsidRDefault="00CE785A" w:rsidP="00CE785A">
            <w:pPr>
              <w:spacing w:before="0" w:after="0" w:line="276" w:lineRule="auto"/>
              <w:jc w:val="left"/>
              <w:rPr>
                <w:rFonts w:eastAsia="Calibri" w:cs="Calibri"/>
                <w:lang w:val="pt-PT"/>
              </w:rPr>
            </w:pPr>
          </w:p>
          <w:p w14:paraId="3829AB1E"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lang w:val="pt-PT"/>
              </w:rPr>
              <w:t>Maria Araújo</w:t>
            </w:r>
            <w:r w:rsidRPr="00292532">
              <w:rPr>
                <w:rFonts w:eastAsia="Calibri" w:cs="Calibri"/>
                <w:lang w:val="pt-PT"/>
              </w:rPr>
              <w:t xml:space="preserve"> - moradora da comunidade de </w:t>
            </w:r>
            <w:proofErr w:type="spellStart"/>
            <w:r w:rsidRPr="00292532">
              <w:rPr>
                <w:rFonts w:eastAsia="Calibri" w:cs="Calibri"/>
                <w:lang w:val="pt-PT"/>
              </w:rPr>
              <w:t>Nerire</w:t>
            </w:r>
            <w:proofErr w:type="spellEnd"/>
          </w:p>
          <w:p w14:paraId="31968021" w14:textId="77777777" w:rsidR="00CE785A" w:rsidRPr="00292532" w:rsidRDefault="00CE785A" w:rsidP="00CE785A">
            <w:pPr>
              <w:spacing w:before="0" w:after="0" w:line="276" w:lineRule="auto"/>
              <w:jc w:val="left"/>
              <w:rPr>
                <w:rFonts w:eastAsia="Calibri" w:cs="Calibri"/>
                <w:lang w:val="pt-PT"/>
              </w:rPr>
            </w:pPr>
          </w:p>
          <w:p w14:paraId="75BE50D8" w14:textId="77777777" w:rsidR="00CE785A" w:rsidRPr="00292532" w:rsidRDefault="00CE785A" w:rsidP="00CE785A">
            <w:pPr>
              <w:spacing w:before="0" w:after="0" w:line="276" w:lineRule="auto"/>
              <w:jc w:val="left"/>
              <w:rPr>
                <w:rFonts w:eastAsia="Calibri" w:cs="Times New Roman"/>
                <w:b/>
                <w:lang w:val="pt-PT"/>
              </w:rPr>
            </w:pPr>
            <w:proofErr w:type="spellStart"/>
            <w:r w:rsidRPr="00292532">
              <w:rPr>
                <w:rFonts w:eastAsia="Calibri" w:cs="Times New Roman"/>
                <w:b/>
                <w:lang w:val="pt-PT"/>
              </w:rPr>
              <w:t>Militor</w:t>
            </w:r>
            <w:proofErr w:type="spellEnd"/>
            <w:r w:rsidRPr="00292532">
              <w:rPr>
                <w:rFonts w:eastAsia="Calibri" w:cs="Times New Roman"/>
                <w:b/>
                <w:lang w:val="pt-PT"/>
              </w:rPr>
              <w:t xml:space="preserve"> </w:t>
            </w:r>
            <w:proofErr w:type="spellStart"/>
            <w:r w:rsidRPr="00292532">
              <w:rPr>
                <w:rFonts w:eastAsia="Calibri" w:cs="Times New Roman"/>
                <w:b/>
                <w:lang w:val="pt-PT"/>
              </w:rPr>
              <w:t>Tabucha</w:t>
            </w:r>
            <w:proofErr w:type="spellEnd"/>
            <w:r w:rsidRPr="00292532">
              <w:rPr>
                <w:rFonts w:eastAsia="Calibri" w:cs="Times New Roman"/>
                <w:b/>
                <w:lang w:val="pt-PT"/>
              </w:rPr>
              <w:t xml:space="preserve"> - </w:t>
            </w:r>
            <w:r w:rsidRPr="00292532">
              <w:rPr>
                <w:rFonts w:eastAsia="Calibri" w:cs="Calibri"/>
                <w:lang w:val="pt-PT"/>
              </w:rPr>
              <w:t xml:space="preserve">Presidente da </w:t>
            </w:r>
            <w:r w:rsidRPr="00292532">
              <w:rPr>
                <w:rFonts w:eastAsia="Calibri" w:cs="Calibri"/>
                <w:lang w:val="pt-PT"/>
              </w:rPr>
              <w:lastRenderedPageBreak/>
              <w:t xml:space="preserve">Associação dos Cegos e Amblíopes de Moçambique - ACAMO </w:t>
            </w:r>
            <w:proofErr w:type="spellStart"/>
            <w:r w:rsidRPr="00292532">
              <w:rPr>
                <w:rFonts w:eastAsia="Calibri" w:cs="Calibri"/>
                <w:lang w:val="pt-PT"/>
              </w:rPr>
              <w:t>Nicoadala</w:t>
            </w:r>
            <w:proofErr w:type="spellEnd"/>
          </w:p>
          <w:p w14:paraId="21306D06" w14:textId="77777777" w:rsidR="00CE785A" w:rsidRPr="00292532" w:rsidRDefault="00CE785A" w:rsidP="00CE785A">
            <w:pPr>
              <w:spacing w:before="0" w:after="0" w:line="276" w:lineRule="auto"/>
              <w:jc w:val="left"/>
              <w:rPr>
                <w:rFonts w:eastAsia="Calibri" w:cs="Calibri"/>
                <w:lang w:val="pt-PT"/>
              </w:rPr>
            </w:pPr>
          </w:p>
        </w:tc>
      </w:tr>
      <w:tr w:rsidR="00CE785A" w:rsidRPr="004E2EAC" w14:paraId="6FFB90BC" w14:textId="77777777" w:rsidTr="00CE785A">
        <w:tc>
          <w:tcPr>
            <w:tcW w:w="2552" w:type="dxa"/>
            <w:tcBorders>
              <w:top w:val="single" w:sz="4" w:space="0" w:color="auto"/>
              <w:left w:val="single" w:sz="4" w:space="0" w:color="auto"/>
              <w:bottom w:val="single" w:sz="4" w:space="0" w:color="auto"/>
              <w:right w:val="single" w:sz="4" w:space="0" w:color="auto"/>
            </w:tcBorders>
            <w:vAlign w:val="center"/>
            <w:hideMark/>
          </w:tcPr>
          <w:p w14:paraId="1ADA3433"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bCs/>
                <w:lang w:val="pt-PT"/>
              </w:rPr>
              <w:lastRenderedPageBreak/>
              <w:t xml:space="preserve">Preocupações ou recomendações adicionais para o </w:t>
            </w:r>
            <w:proofErr w:type="spellStart"/>
            <w:r w:rsidRPr="00292532">
              <w:rPr>
                <w:rFonts w:eastAsia="Calibri" w:cs="Calibri"/>
                <w:b/>
                <w:bCs/>
                <w:lang w:val="pt-PT"/>
              </w:rPr>
              <w:t>projecto</w:t>
            </w:r>
            <w:proofErr w:type="spellEnd"/>
            <w:r w:rsidRPr="00292532">
              <w:rPr>
                <w:rFonts w:eastAsia="Calibri" w:cs="Calibri"/>
                <w:b/>
                <w:bCs/>
                <w:lang w:val="pt-PT"/>
              </w:rPr>
              <w:t>.</w:t>
            </w:r>
          </w:p>
        </w:tc>
        <w:tc>
          <w:tcPr>
            <w:tcW w:w="5528" w:type="dxa"/>
            <w:tcBorders>
              <w:top w:val="single" w:sz="4" w:space="0" w:color="auto"/>
              <w:left w:val="single" w:sz="4" w:space="0" w:color="auto"/>
              <w:bottom w:val="single" w:sz="4" w:space="0" w:color="auto"/>
              <w:right w:val="single" w:sz="4" w:space="0" w:color="auto"/>
            </w:tcBorders>
            <w:vAlign w:val="center"/>
          </w:tcPr>
          <w:p w14:paraId="40114A64"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szCs w:val="24"/>
                <w:lang w:val="pt-PT"/>
              </w:rPr>
            </w:pPr>
            <w:r w:rsidRPr="00292532">
              <w:rPr>
                <w:rFonts w:eastAsia="Calibri" w:cs="Calibri"/>
                <w:szCs w:val="24"/>
                <w:lang w:val="pt-PT"/>
              </w:rPr>
              <w:t xml:space="preserve">Se o </w:t>
            </w:r>
            <w:proofErr w:type="spellStart"/>
            <w:r w:rsidRPr="00292532">
              <w:rPr>
                <w:rFonts w:eastAsia="Calibri" w:cs="Calibri"/>
                <w:szCs w:val="24"/>
                <w:lang w:val="pt-PT"/>
              </w:rPr>
              <w:t>projecto</w:t>
            </w:r>
            <w:proofErr w:type="spellEnd"/>
            <w:r w:rsidRPr="00292532">
              <w:rPr>
                <w:rFonts w:eastAsia="Calibri" w:cs="Calibri"/>
                <w:szCs w:val="24"/>
                <w:lang w:val="pt-PT"/>
              </w:rPr>
              <w:t xml:space="preserve"> pudesse distribuir tampas de latrinas para os residentes de uma forma abrangente, esse senário que </w:t>
            </w:r>
            <w:proofErr w:type="spellStart"/>
            <w:r w:rsidRPr="00292532">
              <w:rPr>
                <w:rFonts w:eastAsia="Calibri" w:cs="Calibri"/>
                <w:szCs w:val="24"/>
                <w:lang w:val="pt-PT"/>
              </w:rPr>
              <w:t>actualmente</w:t>
            </w:r>
            <w:proofErr w:type="spellEnd"/>
            <w:r w:rsidRPr="00292532">
              <w:rPr>
                <w:rFonts w:eastAsia="Calibri" w:cs="Calibri"/>
                <w:szCs w:val="24"/>
                <w:lang w:val="pt-PT"/>
              </w:rPr>
              <w:t xml:space="preserve"> se vive seria reduzido, pois muitas famílias alegam não ter condições para a compra das lajes e que não se sentem seguras fazendo latrinas com paus, pois facilmente apodrecem e podem romper.</w:t>
            </w:r>
          </w:p>
          <w:p w14:paraId="725FAB34"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szCs w:val="24"/>
                <w:lang w:val="pt-PT"/>
              </w:rPr>
            </w:pPr>
            <w:r w:rsidRPr="00292532">
              <w:rPr>
                <w:rFonts w:eastAsia="Calibri" w:cs="Calibri"/>
                <w:szCs w:val="24"/>
                <w:lang w:val="pt-PT"/>
              </w:rPr>
              <w:t>É importante que se faça um mapeamento detalhado por forma a se identificar regiões prioritárias para a implantação de sistemas de abastecimento de água por forma a não excluir comunidades carenciadas.</w:t>
            </w:r>
          </w:p>
          <w:p w14:paraId="5B37D1AA"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szCs w:val="24"/>
                <w:lang w:val="pt-PT"/>
              </w:rPr>
            </w:pPr>
            <w:r w:rsidRPr="00292532">
              <w:rPr>
                <w:rFonts w:eastAsia="Calibri" w:cs="Calibri"/>
                <w:szCs w:val="24"/>
                <w:lang w:val="pt-PT"/>
              </w:rPr>
              <w:t xml:space="preserve">Quanto ao saneamento, é importante que se faça uma grande campanha de consciencialização comunitária, em que algumas pessoas da comunidade partilham a </w:t>
            </w:r>
            <w:proofErr w:type="gramStart"/>
            <w:r w:rsidRPr="00292532">
              <w:rPr>
                <w:rFonts w:eastAsia="Calibri" w:cs="Calibri"/>
                <w:szCs w:val="24"/>
                <w:lang w:val="pt-PT"/>
              </w:rPr>
              <w:t>experiencia</w:t>
            </w:r>
            <w:proofErr w:type="gramEnd"/>
            <w:r w:rsidRPr="00292532">
              <w:rPr>
                <w:rFonts w:eastAsia="Calibri" w:cs="Calibri"/>
                <w:szCs w:val="24"/>
                <w:lang w:val="pt-PT"/>
              </w:rPr>
              <w:t xml:space="preserve"> de antes e depois de abandonarem a prática de </w:t>
            </w:r>
            <w:proofErr w:type="spellStart"/>
            <w:r w:rsidRPr="00292532">
              <w:rPr>
                <w:rFonts w:eastAsia="Calibri" w:cs="Calibri"/>
                <w:szCs w:val="24"/>
                <w:lang w:val="pt-PT"/>
              </w:rPr>
              <w:t>fecalismo</w:t>
            </w:r>
            <w:proofErr w:type="spellEnd"/>
            <w:r w:rsidRPr="00292532">
              <w:rPr>
                <w:rFonts w:eastAsia="Calibri" w:cs="Calibri"/>
                <w:szCs w:val="24"/>
                <w:lang w:val="pt-PT"/>
              </w:rPr>
              <w:t xml:space="preserve"> a céu aberto, a segurança que a infraestrutura sanitária proporciona ao utente e, nessas campanhas deverão ser distribuídas lajes para incentivar a construção de latrinas.</w:t>
            </w:r>
          </w:p>
          <w:p w14:paraId="077356A1"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szCs w:val="24"/>
                <w:lang w:val="pt-PT"/>
              </w:rPr>
            </w:pPr>
            <w:r w:rsidRPr="00292532">
              <w:rPr>
                <w:rFonts w:eastAsia="Calibri" w:cs="Calibri"/>
                <w:lang w:val="pt-PT"/>
              </w:rPr>
              <w:t xml:space="preserve">O </w:t>
            </w:r>
            <w:proofErr w:type="spellStart"/>
            <w:r w:rsidRPr="00292532">
              <w:rPr>
                <w:rFonts w:eastAsia="Calibri" w:cs="Calibri"/>
                <w:lang w:val="pt-PT"/>
              </w:rPr>
              <w:t>projecto</w:t>
            </w:r>
            <w:proofErr w:type="spellEnd"/>
            <w:r w:rsidRPr="00292532">
              <w:rPr>
                <w:rFonts w:eastAsia="Calibri" w:cs="Calibri"/>
                <w:lang w:val="pt-PT"/>
              </w:rPr>
              <w:t xml:space="preserve"> poderia apoiar através de distribuição de tampas de latrinas para induzir as pessoas a recorrerem a construção de latrinas melhoradas e com mais segurança. Durante a implementação do </w:t>
            </w:r>
            <w:proofErr w:type="spellStart"/>
            <w:r w:rsidRPr="00292532">
              <w:rPr>
                <w:rFonts w:eastAsia="Calibri" w:cs="Calibri"/>
                <w:lang w:val="pt-PT"/>
              </w:rPr>
              <w:t>projecto</w:t>
            </w:r>
            <w:proofErr w:type="spellEnd"/>
            <w:r w:rsidRPr="00292532">
              <w:rPr>
                <w:rFonts w:eastAsia="Calibri" w:cs="Calibri"/>
                <w:lang w:val="pt-PT"/>
              </w:rPr>
              <w:t xml:space="preserve">, é necessário fazer-se um mapeamento para identificar os deficientes de cada comunidade por forma a </w:t>
            </w:r>
            <w:r w:rsidRPr="00292532">
              <w:rPr>
                <w:rFonts w:eastAsia="Calibri" w:cs="Calibri"/>
                <w:lang w:val="pt-PT"/>
              </w:rPr>
              <w:lastRenderedPageBreak/>
              <w:t>oferecer/conceber infraestruturas adaptadas para as condições do utente. O mesmo deve ser feito para fontes de abastecimento de água. Nós os cegos somos muito dependentes, para buscar água recorremos aos nossos vizinhos, e quando as fontes de água estão longe, dificilmente temos ajuda.</w:t>
            </w:r>
          </w:p>
          <w:p w14:paraId="6ECF193B"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szCs w:val="24"/>
                <w:lang w:val="pt-PT"/>
              </w:rPr>
            </w:pPr>
            <w:r w:rsidRPr="00292532">
              <w:rPr>
                <w:rFonts w:eastAsia="Calibri" w:cs="Calibri"/>
                <w:szCs w:val="24"/>
                <w:lang w:val="pt-PT"/>
              </w:rPr>
              <w:t xml:space="preserve">Gostaríamos que o </w:t>
            </w:r>
            <w:proofErr w:type="spellStart"/>
            <w:r w:rsidRPr="00292532">
              <w:rPr>
                <w:rFonts w:eastAsia="Calibri" w:cs="Calibri"/>
                <w:szCs w:val="24"/>
                <w:lang w:val="pt-PT"/>
              </w:rPr>
              <w:t>projecto</w:t>
            </w:r>
            <w:proofErr w:type="spellEnd"/>
            <w:r w:rsidRPr="00292532">
              <w:rPr>
                <w:rFonts w:eastAsia="Calibri" w:cs="Calibri"/>
                <w:szCs w:val="24"/>
                <w:lang w:val="pt-PT"/>
              </w:rPr>
              <w:t xml:space="preserve"> focasse muito em nós os cegos e outros deficientes físicos durante a implementação do </w:t>
            </w:r>
            <w:proofErr w:type="spellStart"/>
            <w:r w:rsidRPr="00292532">
              <w:rPr>
                <w:rFonts w:eastAsia="Calibri" w:cs="Calibri"/>
                <w:szCs w:val="24"/>
                <w:lang w:val="pt-PT"/>
              </w:rPr>
              <w:t>projecto</w:t>
            </w:r>
            <w:proofErr w:type="spellEnd"/>
            <w:r w:rsidRPr="00292532">
              <w:rPr>
                <w:rFonts w:eastAsia="Calibri" w:cs="Calibri"/>
                <w:szCs w:val="24"/>
                <w:lang w:val="pt-PT"/>
              </w:rPr>
              <w:t xml:space="preserve">, pois sofremos muito porque as casas de banho existentes nos mercados encontram-se num estado deplorável e, quando nós os cegos chegamos somos discriminados e por vezes impedidos de entrar alegando que nós é que sujamos. Se possível, no âmbito da implementação desse </w:t>
            </w:r>
            <w:proofErr w:type="spellStart"/>
            <w:r w:rsidRPr="00292532">
              <w:rPr>
                <w:rFonts w:eastAsia="Calibri" w:cs="Calibri"/>
                <w:szCs w:val="24"/>
                <w:lang w:val="pt-PT"/>
              </w:rPr>
              <w:t>projecto</w:t>
            </w:r>
            <w:proofErr w:type="spellEnd"/>
            <w:r w:rsidRPr="00292532">
              <w:rPr>
                <w:rFonts w:eastAsia="Calibri" w:cs="Calibri"/>
                <w:szCs w:val="24"/>
                <w:lang w:val="pt-PT"/>
              </w:rPr>
              <w:t>, sejam criados balneários específicos para deficientes.</w:t>
            </w:r>
          </w:p>
          <w:p w14:paraId="1A07D5DC"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szCs w:val="24"/>
                <w:lang w:val="pt-PT"/>
              </w:rPr>
            </w:pPr>
            <w:r w:rsidRPr="00292532">
              <w:rPr>
                <w:rFonts w:eastAsia="Calibri" w:cs="Calibri"/>
                <w:szCs w:val="24"/>
                <w:lang w:val="pt-PT"/>
              </w:rPr>
              <w:t xml:space="preserve">Recomendo devem ser feitas reuniões com a comunidade de modo a se fazer intender qual é a importância de se estabelecer um comité de gestão de água e qual é a necessidade de se fazer o pagamento mensal e para que fins é destinado o valor contribuído. </w:t>
            </w:r>
          </w:p>
        </w:tc>
        <w:tc>
          <w:tcPr>
            <w:tcW w:w="2268" w:type="dxa"/>
            <w:tcBorders>
              <w:top w:val="single" w:sz="4" w:space="0" w:color="auto"/>
              <w:left w:val="single" w:sz="4" w:space="0" w:color="auto"/>
              <w:bottom w:val="single" w:sz="4" w:space="0" w:color="auto"/>
              <w:right w:val="single" w:sz="4" w:space="0" w:color="auto"/>
            </w:tcBorders>
            <w:vAlign w:val="center"/>
          </w:tcPr>
          <w:p w14:paraId="39A42247" w14:textId="77777777" w:rsidR="00CE785A" w:rsidRPr="00292532" w:rsidRDefault="00CE785A" w:rsidP="00CE785A">
            <w:pPr>
              <w:spacing w:before="0" w:after="0" w:line="276" w:lineRule="auto"/>
              <w:jc w:val="left"/>
              <w:rPr>
                <w:rFonts w:eastAsia="Calibri" w:cs="Calibri"/>
                <w:lang w:val="pt-PT"/>
              </w:rPr>
            </w:pPr>
            <w:proofErr w:type="spellStart"/>
            <w:r w:rsidRPr="00292532">
              <w:rPr>
                <w:rFonts w:eastAsia="Calibri" w:cs="Times New Roman"/>
                <w:b/>
                <w:lang w:val="pt-PT"/>
              </w:rPr>
              <w:lastRenderedPageBreak/>
              <w:t>Mardez</w:t>
            </w:r>
            <w:proofErr w:type="spellEnd"/>
            <w:r w:rsidRPr="00292532">
              <w:rPr>
                <w:rFonts w:eastAsia="Calibri" w:cs="Times New Roman"/>
                <w:b/>
                <w:lang w:val="pt-PT"/>
              </w:rPr>
              <w:t xml:space="preserve"> - </w:t>
            </w:r>
            <w:r w:rsidRPr="00292532">
              <w:rPr>
                <w:rFonts w:eastAsia="Calibri" w:cs="Calibri"/>
                <w:lang w:val="pt-PT"/>
              </w:rPr>
              <w:t xml:space="preserve">Régulo da comunidade de </w:t>
            </w:r>
            <w:proofErr w:type="spellStart"/>
            <w:r w:rsidRPr="00292532">
              <w:rPr>
                <w:rFonts w:eastAsia="Calibri" w:cs="Calibri"/>
                <w:lang w:val="pt-PT"/>
              </w:rPr>
              <w:t>Nerire</w:t>
            </w:r>
            <w:proofErr w:type="spellEnd"/>
            <w:r w:rsidRPr="00292532">
              <w:rPr>
                <w:rFonts w:eastAsia="Calibri" w:cs="Calibri"/>
                <w:lang w:val="pt-PT"/>
              </w:rPr>
              <w:t xml:space="preserve"> e líder comunitário do primeiro escalão</w:t>
            </w:r>
          </w:p>
          <w:p w14:paraId="68C3D0F6" w14:textId="77777777" w:rsidR="00CE785A" w:rsidRPr="00292532" w:rsidRDefault="00CE785A" w:rsidP="00CE785A">
            <w:pPr>
              <w:spacing w:before="0" w:after="0" w:line="276" w:lineRule="auto"/>
              <w:jc w:val="left"/>
              <w:rPr>
                <w:rFonts w:eastAsia="Calibri" w:cs="Calibri"/>
                <w:u w:val="single"/>
                <w:lang w:val="pt-PT"/>
              </w:rPr>
            </w:pPr>
          </w:p>
          <w:p w14:paraId="3B345F09" w14:textId="77777777" w:rsidR="00CE785A" w:rsidRPr="00292532" w:rsidRDefault="00CE785A" w:rsidP="00CE785A">
            <w:pPr>
              <w:spacing w:before="0" w:after="0" w:line="276" w:lineRule="auto"/>
              <w:jc w:val="left"/>
              <w:rPr>
                <w:rFonts w:eastAsia="Calibri" w:cs="Times New Roman"/>
                <w:b/>
                <w:lang w:val="pt-PT"/>
              </w:rPr>
            </w:pPr>
            <w:r w:rsidRPr="00292532">
              <w:rPr>
                <w:rFonts w:eastAsia="Calibri" w:cs="Times New Roman"/>
                <w:b/>
                <w:lang w:val="pt-PT"/>
              </w:rPr>
              <w:t xml:space="preserve">Maria Araújo - </w:t>
            </w:r>
            <w:r w:rsidRPr="00292532">
              <w:rPr>
                <w:rFonts w:eastAsia="Calibri" w:cs="Calibri"/>
                <w:lang w:val="pt-PT"/>
              </w:rPr>
              <w:t xml:space="preserve">moradora da comunidade de </w:t>
            </w:r>
            <w:proofErr w:type="spellStart"/>
            <w:r w:rsidRPr="00292532">
              <w:rPr>
                <w:rFonts w:eastAsia="Calibri" w:cs="Calibri"/>
                <w:lang w:val="pt-PT"/>
              </w:rPr>
              <w:t>Nerire</w:t>
            </w:r>
            <w:proofErr w:type="spellEnd"/>
          </w:p>
          <w:p w14:paraId="632EA4CC" w14:textId="77777777" w:rsidR="00CE785A" w:rsidRPr="00292532" w:rsidRDefault="00CE785A" w:rsidP="00CE785A">
            <w:pPr>
              <w:spacing w:before="0" w:after="0" w:line="276" w:lineRule="auto"/>
              <w:jc w:val="left"/>
              <w:rPr>
                <w:rFonts w:eastAsia="Calibri" w:cs="Calibri"/>
                <w:u w:val="single"/>
                <w:lang w:val="pt-PT"/>
              </w:rPr>
            </w:pPr>
          </w:p>
          <w:p w14:paraId="0F751FB9" w14:textId="77777777" w:rsidR="00CE785A" w:rsidRPr="00292532" w:rsidRDefault="00CE785A" w:rsidP="00CE785A">
            <w:pPr>
              <w:spacing w:before="0" w:after="0" w:line="276" w:lineRule="auto"/>
              <w:jc w:val="left"/>
              <w:rPr>
                <w:rFonts w:eastAsia="Calibri" w:cs="Calibri"/>
                <w:lang w:val="pt-PT"/>
              </w:rPr>
            </w:pPr>
            <w:proofErr w:type="spellStart"/>
            <w:r w:rsidRPr="00292532">
              <w:rPr>
                <w:rFonts w:eastAsia="Calibri" w:cs="Times New Roman"/>
                <w:b/>
                <w:lang w:val="pt-PT"/>
              </w:rPr>
              <w:t>Militor</w:t>
            </w:r>
            <w:proofErr w:type="spellEnd"/>
            <w:r w:rsidRPr="00292532">
              <w:rPr>
                <w:rFonts w:eastAsia="Calibri" w:cs="Times New Roman"/>
                <w:b/>
                <w:lang w:val="pt-PT"/>
              </w:rPr>
              <w:t xml:space="preserve"> </w:t>
            </w:r>
            <w:proofErr w:type="spellStart"/>
            <w:r w:rsidRPr="00292532">
              <w:rPr>
                <w:rFonts w:eastAsia="Calibri" w:cs="Times New Roman"/>
                <w:b/>
                <w:lang w:val="pt-PT"/>
              </w:rPr>
              <w:t>Tabucha</w:t>
            </w:r>
            <w:proofErr w:type="spellEnd"/>
            <w:r w:rsidRPr="00292532">
              <w:rPr>
                <w:rFonts w:eastAsia="Calibri" w:cs="Times New Roman"/>
                <w:b/>
                <w:lang w:val="pt-PT"/>
              </w:rPr>
              <w:t xml:space="preserve"> - </w:t>
            </w:r>
            <w:r w:rsidRPr="00292532">
              <w:rPr>
                <w:rFonts w:eastAsia="Calibri" w:cs="Calibri"/>
                <w:lang w:val="pt-PT"/>
              </w:rPr>
              <w:t xml:space="preserve">Presidente da Associação dos Cegos e Amblíopes de Moçambique - ACAMO </w:t>
            </w:r>
            <w:proofErr w:type="spellStart"/>
            <w:r w:rsidRPr="00292532">
              <w:rPr>
                <w:rFonts w:eastAsia="Calibri" w:cs="Calibri"/>
                <w:lang w:val="pt-PT"/>
              </w:rPr>
              <w:t>Nicoadala</w:t>
            </w:r>
            <w:proofErr w:type="spellEnd"/>
          </w:p>
          <w:p w14:paraId="1B4EA81E" w14:textId="77777777" w:rsidR="00CE785A" w:rsidRPr="00292532" w:rsidRDefault="00CE785A" w:rsidP="00CE785A">
            <w:pPr>
              <w:spacing w:before="0" w:after="0" w:line="276" w:lineRule="auto"/>
              <w:jc w:val="left"/>
              <w:rPr>
                <w:rFonts w:eastAsia="Calibri" w:cs="Times New Roman"/>
                <w:b/>
                <w:lang w:val="pt-PT"/>
              </w:rPr>
            </w:pPr>
          </w:p>
          <w:p w14:paraId="33944B4F" w14:textId="77777777" w:rsidR="00CE785A" w:rsidRPr="00292532" w:rsidRDefault="00CE785A" w:rsidP="00CE785A">
            <w:pPr>
              <w:spacing w:before="0" w:after="0" w:line="276" w:lineRule="auto"/>
              <w:jc w:val="left"/>
              <w:rPr>
                <w:rFonts w:eastAsia="Calibri" w:cs="Times New Roman"/>
                <w:lang w:val="pt-PT"/>
              </w:rPr>
            </w:pPr>
            <w:r w:rsidRPr="00292532">
              <w:rPr>
                <w:rFonts w:eastAsia="Calibri" w:cs="Times New Roman"/>
                <w:b/>
                <w:lang w:val="pt-PT"/>
              </w:rPr>
              <w:t xml:space="preserve">Elias Raul </w:t>
            </w:r>
            <w:r w:rsidRPr="00292532">
              <w:rPr>
                <w:rFonts w:eastAsia="Calibri" w:cs="Times New Roman"/>
                <w:lang w:val="pt-PT"/>
              </w:rPr>
              <w:t xml:space="preserve">– Secretário da Associação dos Cegos e Amblíopes de Moçambique – ACAMO </w:t>
            </w:r>
            <w:proofErr w:type="spellStart"/>
            <w:r w:rsidRPr="00292532">
              <w:rPr>
                <w:rFonts w:eastAsia="Calibri" w:cs="Times New Roman"/>
                <w:lang w:val="pt-PT"/>
              </w:rPr>
              <w:t>Nicoadala</w:t>
            </w:r>
            <w:proofErr w:type="spellEnd"/>
          </w:p>
          <w:p w14:paraId="5B19E951" w14:textId="77777777" w:rsidR="00CE785A" w:rsidRPr="00292532" w:rsidRDefault="00CE785A" w:rsidP="00CE785A">
            <w:pPr>
              <w:spacing w:before="0" w:after="0" w:line="276" w:lineRule="auto"/>
              <w:jc w:val="left"/>
              <w:rPr>
                <w:rFonts w:eastAsia="Calibri" w:cs="Times New Roman"/>
                <w:b/>
                <w:lang w:val="pt-PT"/>
              </w:rPr>
            </w:pPr>
          </w:p>
          <w:p w14:paraId="0C18BD8B" w14:textId="77777777" w:rsidR="00CE785A" w:rsidRPr="00292532" w:rsidRDefault="00CE785A" w:rsidP="00CE785A">
            <w:pPr>
              <w:spacing w:before="0" w:after="0" w:line="276" w:lineRule="auto"/>
              <w:jc w:val="left"/>
              <w:rPr>
                <w:rFonts w:eastAsia="Calibri" w:cs="Times New Roman"/>
                <w:lang w:val="pt-PT"/>
              </w:rPr>
            </w:pPr>
            <w:r w:rsidRPr="00292532">
              <w:rPr>
                <w:rFonts w:eastAsia="Calibri" w:cs="Times New Roman"/>
                <w:b/>
                <w:lang w:val="pt-PT"/>
              </w:rPr>
              <w:lastRenderedPageBreak/>
              <w:t>Felícia Armando</w:t>
            </w:r>
            <w:r w:rsidRPr="00292532">
              <w:rPr>
                <w:rFonts w:eastAsia="Calibri" w:cs="Times New Roman"/>
                <w:lang w:val="pt-PT"/>
              </w:rPr>
              <w:t xml:space="preserve"> - Gestora e tesoureira de fontenário</w:t>
            </w:r>
          </w:p>
          <w:p w14:paraId="2C2C2D4D" w14:textId="77777777" w:rsidR="00CE785A" w:rsidRPr="00292532" w:rsidRDefault="00CE785A" w:rsidP="00CE785A">
            <w:pPr>
              <w:spacing w:before="0" w:after="0" w:line="276" w:lineRule="auto"/>
              <w:jc w:val="left"/>
              <w:rPr>
                <w:rFonts w:eastAsia="Calibri" w:cs="Calibri"/>
                <w:u w:val="single"/>
                <w:lang w:val="pt-PT"/>
              </w:rPr>
            </w:pPr>
          </w:p>
          <w:p w14:paraId="35D2B877" w14:textId="77777777" w:rsidR="00CE785A" w:rsidRPr="00292532" w:rsidRDefault="00CE785A" w:rsidP="00CE785A">
            <w:pPr>
              <w:spacing w:before="0" w:line="259" w:lineRule="auto"/>
              <w:jc w:val="left"/>
              <w:rPr>
                <w:rFonts w:eastAsia="Calibri" w:cs="Calibri"/>
                <w:lang w:val="pt-PT"/>
              </w:rPr>
            </w:pPr>
          </w:p>
        </w:tc>
      </w:tr>
      <w:tr w:rsidR="00CE785A" w:rsidRPr="004E2EAC" w14:paraId="2098C2E3" w14:textId="77777777" w:rsidTr="00CE785A">
        <w:tc>
          <w:tcPr>
            <w:tcW w:w="2552" w:type="dxa"/>
            <w:tcBorders>
              <w:top w:val="single" w:sz="4" w:space="0" w:color="auto"/>
              <w:left w:val="single" w:sz="4" w:space="0" w:color="auto"/>
              <w:bottom w:val="single" w:sz="4" w:space="0" w:color="auto"/>
              <w:right w:val="single" w:sz="4" w:space="0" w:color="auto"/>
            </w:tcBorders>
            <w:vAlign w:val="center"/>
          </w:tcPr>
          <w:p w14:paraId="20EC5E88" w14:textId="77777777" w:rsidR="00CE785A" w:rsidRPr="00292532" w:rsidRDefault="00CE785A" w:rsidP="00CE785A">
            <w:pPr>
              <w:spacing w:before="0" w:after="0" w:line="276" w:lineRule="auto"/>
              <w:jc w:val="left"/>
              <w:rPr>
                <w:rFonts w:eastAsia="Calibri" w:cs="Calibri"/>
                <w:b/>
                <w:bCs/>
                <w:lang w:val="pt-PT"/>
              </w:rPr>
            </w:pPr>
            <w:r w:rsidRPr="00292532">
              <w:rPr>
                <w:rFonts w:eastAsia="Calibri" w:cs="Calibri"/>
                <w:b/>
                <w:bCs/>
                <w:lang w:val="pt-PT"/>
              </w:rPr>
              <w:lastRenderedPageBreak/>
              <w:t xml:space="preserve">Experiência do distrito com questões de reassentamento </w:t>
            </w:r>
          </w:p>
        </w:tc>
        <w:tc>
          <w:tcPr>
            <w:tcW w:w="5528" w:type="dxa"/>
            <w:tcBorders>
              <w:top w:val="single" w:sz="4" w:space="0" w:color="auto"/>
              <w:left w:val="single" w:sz="4" w:space="0" w:color="auto"/>
              <w:bottom w:val="single" w:sz="4" w:space="0" w:color="auto"/>
              <w:right w:val="single" w:sz="4" w:space="0" w:color="auto"/>
            </w:tcBorders>
            <w:vAlign w:val="center"/>
          </w:tcPr>
          <w:p w14:paraId="26F33FFB"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Times New Roman"/>
                <w:lang w:val="pt-PT"/>
              </w:rPr>
              <w:t xml:space="preserve">Vários </w:t>
            </w:r>
            <w:proofErr w:type="spellStart"/>
            <w:r w:rsidRPr="00292532">
              <w:rPr>
                <w:rFonts w:eastAsia="Calibri" w:cs="Times New Roman"/>
                <w:lang w:val="pt-PT"/>
              </w:rPr>
              <w:t>projectos</w:t>
            </w:r>
            <w:proofErr w:type="spellEnd"/>
            <w:r w:rsidRPr="00292532">
              <w:rPr>
                <w:rFonts w:eastAsia="Calibri" w:cs="Times New Roman"/>
                <w:lang w:val="pt-PT"/>
              </w:rPr>
              <w:t xml:space="preserve"> implementados no nosso distrito demandaram processos de reassentamento, e assumimos que temos condições e experiência para a implementação desses tipos de </w:t>
            </w:r>
            <w:proofErr w:type="spellStart"/>
            <w:r w:rsidRPr="00292532">
              <w:rPr>
                <w:rFonts w:eastAsia="Calibri" w:cs="Times New Roman"/>
                <w:lang w:val="pt-PT"/>
              </w:rPr>
              <w:t>projecto</w:t>
            </w:r>
            <w:proofErr w:type="spellEnd"/>
            <w:r w:rsidRPr="00292532">
              <w:rPr>
                <w:rFonts w:eastAsia="Calibri" w:cs="Times New Roman"/>
                <w:lang w:val="pt-PT"/>
              </w:rPr>
              <w:t xml:space="preserve">. </w:t>
            </w:r>
            <w:proofErr w:type="spellStart"/>
            <w:r w:rsidRPr="00292532">
              <w:rPr>
                <w:rFonts w:eastAsia="Calibri" w:cs="Times New Roman"/>
                <w:lang w:val="pt-PT"/>
              </w:rPr>
              <w:t>Actualmente</w:t>
            </w:r>
            <w:proofErr w:type="spellEnd"/>
            <w:r w:rsidRPr="00292532">
              <w:rPr>
                <w:rFonts w:eastAsia="Calibri" w:cs="Times New Roman"/>
                <w:lang w:val="pt-PT"/>
              </w:rPr>
              <w:t xml:space="preserve"> está em decurso o </w:t>
            </w:r>
            <w:proofErr w:type="spellStart"/>
            <w:r w:rsidRPr="00292532">
              <w:rPr>
                <w:rFonts w:eastAsia="Calibri" w:cs="Times New Roman"/>
                <w:lang w:val="pt-PT"/>
              </w:rPr>
              <w:t>projecto</w:t>
            </w:r>
            <w:proofErr w:type="spellEnd"/>
            <w:r w:rsidRPr="00292532">
              <w:rPr>
                <w:rFonts w:eastAsia="Calibri" w:cs="Times New Roman"/>
                <w:lang w:val="pt-PT"/>
              </w:rPr>
              <w:t xml:space="preserve"> de alargamento da estrada, onde foram identificadas várias residências e barracas ao longo da estrada que devem ser retiradas. Além desse </w:t>
            </w:r>
            <w:proofErr w:type="spellStart"/>
            <w:r w:rsidRPr="00292532">
              <w:rPr>
                <w:rFonts w:eastAsia="Calibri" w:cs="Times New Roman"/>
                <w:lang w:val="pt-PT"/>
              </w:rPr>
              <w:t>projecto</w:t>
            </w:r>
            <w:proofErr w:type="spellEnd"/>
            <w:r w:rsidRPr="00292532">
              <w:rPr>
                <w:rFonts w:eastAsia="Calibri" w:cs="Times New Roman"/>
                <w:lang w:val="pt-PT"/>
              </w:rPr>
              <w:t xml:space="preserve">, no passado tivemos comunidades que foram reassentados devido a cheias e </w:t>
            </w:r>
            <w:proofErr w:type="spellStart"/>
            <w:r w:rsidRPr="00292532">
              <w:rPr>
                <w:rFonts w:eastAsia="Calibri" w:cs="Times New Roman"/>
                <w:lang w:val="pt-PT"/>
              </w:rPr>
              <w:t>actualmente</w:t>
            </w:r>
            <w:proofErr w:type="spellEnd"/>
            <w:r w:rsidRPr="00292532">
              <w:rPr>
                <w:rFonts w:eastAsia="Calibri" w:cs="Times New Roman"/>
                <w:lang w:val="pt-PT"/>
              </w:rPr>
              <w:t xml:space="preserve"> devido a deslocados internos. Temos terra suficiente para albergar qualquer </w:t>
            </w:r>
            <w:proofErr w:type="spellStart"/>
            <w:r w:rsidRPr="00292532">
              <w:rPr>
                <w:rFonts w:eastAsia="Calibri" w:cs="Times New Roman"/>
                <w:lang w:val="pt-PT"/>
              </w:rPr>
              <w:t>actividade</w:t>
            </w:r>
            <w:proofErr w:type="spellEnd"/>
            <w:r w:rsidRPr="00292532">
              <w:rPr>
                <w:rFonts w:eastAsia="Calibri" w:cs="Times New Roman"/>
                <w:lang w:val="pt-PT"/>
              </w:rPr>
              <w:t xml:space="preserve"> que possa demandar reassentamento.</w:t>
            </w:r>
          </w:p>
        </w:tc>
        <w:tc>
          <w:tcPr>
            <w:tcW w:w="2268" w:type="dxa"/>
            <w:tcBorders>
              <w:top w:val="single" w:sz="4" w:space="0" w:color="auto"/>
              <w:left w:val="single" w:sz="4" w:space="0" w:color="auto"/>
              <w:bottom w:val="single" w:sz="4" w:space="0" w:color="auto"/>
              <w:right w:val="single" w:sz="4" w:space="0" w:color="auto"/>
            </w:tcBorders>
            <w:vAlign w:val="center"/>
          </w:tcPr>
          <w:p w14:paraId="5CEA38FA" w14:textId="77777777" w:rsidR="00CE785A" w:rsidRPr="00292532" w:rsidRDefault="00CE785A" w:rsidP="00CE785A">
            <w:pPr>
              <w:spacing w:before="0" w:after="0" w:line="276" w:lineRule="auto"/>
              <w:jc w:val="left"/>
              <w:rPr>
                <w:rFonts w:eastAsia="Calibri" w:cs="Calibri"/>
                <w:b/>
                <w:lang w:val="pt-PT"/>
              </w:rPr>
            </w:pPr>
            <w:r w:rsidRPr="00292532">
              <w:rPr>
                <w:rFonts w:eastAsia="Calibri" w:cs="Calibri"/>
                <w:b/>
                <w:lang w:val="pt-PT"/>
              </w:rPr>
              <w:t xml:space="preserve">Donato Pedro dos Santos </w:t>
            </w:r>
            <w:r w:rsidRPr="00292532">
              <w:rPr>
                <w:rFonts w:eastAsia="Calibri" w:cs="Calibri"/>
                <w:lang w:val="pt-PT"/>
              </w:rPr>
              <w:t>– Técnico de saneamento SDPI</w:t>
            </w:r>
          </w:p>
        </w:tc>
      </w:tr>
      <w:tr w:rsidR="00CE785A" w:rsidRPr="004E2EAC" w14:paraId="7A5872D1" w14:textId="77777777" w:rsidTr="00CE785A">
        <w:tc>
          <w:tcPr>
            <w:tcW w:w="2552" w:type="dxa"/>
            <w:tcBorders>
              <w:top w:val="single" w:sz="4" w:space="0" w:color="auto"/>
              <w:left w:val="single" w:sz="4" w:space="0" w:color="auto"/>
              <w:bottom w:val="single" w:sz="4" w:space="0" w:color="auto"/>
              <w:right w:val="single" w:sz="4" w:space="0" w:color="auto"/>
            </w:tcBorders>
            <w:vAlign w:val="center"/>
          </w:tcPr>
          <w:p w14:paraId="1F793FCE" w14:textId="77777777" w:rsidR="00CE785A" w:rsidRPr="00292532" w:rsidRDefault="00CE785A" w:rsidP="00CE785A">
            <w:pPr>
              <w:spacing w:before="0" w:after="0" w:line="276" w:lineRule="auto"/>
              <w:jc w:val="left"/>
              <w:rPr>
                <w:rFonts w:eastAsia="Calibri" w:cs="Calibri"/>
                <w:b/>
                <w:bCs/>
                <w:lang w:val="pt-PT"/>
              </w:rPr>
            </w:pPr>
            <w:r w:rsidRPr="00292532">
              <w:rPr>
                <w:rFonts w:eastAsia="Calibri" w:cs="Calibri"/>
                <w:b/>
                <w:bCs/>
                <w:lang w:val="pt-PT"/>
              </w:rPr>
              <w:t xml:space="preserve">Desafios </w:t>
            </w:r>
            <w:proofErr w:type="spellStart"/>
            <w:r w:rsidRPr="00292532">
              <w:rPr>
                <w:rFonts w:eastAsia="Calibri" w:cs="Calibri"/>
                <w:b/>
                <w:bCs/>
                <w:lang w:val="pt-PT"/>
              </w:rPr>
              <w:t>actuais</w:t>
            </w:r>
            <w:proofErr w:type="spellEnd"/>
            <w:r w:rsidRPr="00292532">
              <w:rPr>
                <w:rFonts w:eastAsia="Calibri" w:cs="Calibri"/>
                <w:b/>
                <w:bCs/>
                <w:lang w:val="pt-PT"/>
              </w:rPr>
              <w:t xml:space="preserve"> na comunidade devido aos ataques em Cabo Delgado (presença de deslocados, pressão adicional sobre a segurança, </w:t>
            </w:r>
            <w:r w:rsidRPr="00292532">
              <w:rPr>
                <w:rFonts w:eastAsia="Calibri" w:cs="Calibri"/>
                <w:b/>
                <w:bCs/>
                <w:lang w:val="pt-PT"/>
              </w:rPr>
              <w:lastRenderedPageBreak/>
              <w:t xml:space="preserve">infraestruturas e </w:t>
            </w:r>
            <w:proofErr w:type="spellStart"/>
            <w:r w:rsidRPr="00292532">
              <w:rPr>
                <w:rFonts w:eastAsia="Calibri" w:cs="Calibri"/>
                <w:b/>
                <w:bCs/>
                <w:lang w:val="pt-PT"/>
              </w:rPr>
              <w:t>servicos</w:t>
            </w:r>
            <w:proofErr w:type="spellEnd"/>
            <w:r w:rsidRPr="00292532">
              <w:rPr>
                <w:rFonts w:eastAsia="Calibri" w:cs="Calibri"/>
                <w:b/>
                <w:bCs/>
                <w:lang w:val="pt-PT"/>
              </w:rPr>
              <w:t>.</w:t>
            </w:r>
          </w:p>
        </w:tc>
        <w:tc>
          <w:tcPr>
            <w:tcW w:w="5528" w:type="dxa"/>
            <w:tcBorders>
              <w:top w:val="single" w:sz="4" w:space="0" w:color="auto"/>
              <w:left w:val="single" w:sz="4" w:space="0" w:color="auto"/>
              <w:bottom w:val="single" w:sz="4" w:space="0" w:color="auto"/>
              <w:right w:val="single" w:sz="4" w:space="0" w:color="auto"/>
            </w:tcBorders>
            <w:vAlign w:val="center"/>
          </w:tcPr>
          <w:p w14:paraId="0991844D"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lastRenderedPageBreak/>
              <w:t xml:space="preserve">Na nossa localidade temos deslocados internos, o que levou a criação de um centro de reassentamento na comunidade de </w:t>
            </w:r>
            <w:proofErr w:type="spellStart"/>
            <w:r w:rsidRPr="00292532">
              <w:rPr>
                <w:rFonts w:eastAsia="Calibri" w:cs="Calibri"/>
                <w:lang w:val="pt-PT"/>
              </w:rPr>
              <w:t>Mujessane</w:t>
            </w:r>
            <w:proofErr w:type="spellEnd"/>
            <w:r w:rsidRPr="00292532">
              <w:rPr>
                <w:rFonts w:eastAsia="Calibri" w:cs="Calibri"/>
                <w:lang w:val="pt-PT"/>
              </w:rPr>
              <w:t xml:space="preserve"> que só alberga reassentados por conflitos de cabo delgado. Nesses centros, as questões de água e saneamento estão acauteladas.</w:t>
            </w:r>
          </w:p>
        </w:tc>
        <w:tc>
          <w:tcPr>
            <w:tcW w:w="2268" w:type="dxa"/>
            <w:tcBorders>
              <w:top w:val="single" w:sz="4" w:space="0" w:color="auto"/>
              <w:left w:val="single" w:sz="4" w:space="0" w:color="auto"/>
              <w:bottom w:val="single" w:sz="4" w:space="0" w:color="auto"/>
              <w:right w:val="single" w:sz="4" w:space="0" w:color="auto"/>
            </w:tcBorders>
            <w:vAlign w:val="center"/>
          </w:tcPr>
          <w:p w14:paraId="2E8D35DF" w14:textId="77777777" w:rsidR="00CE785A" w:rsidRPr="00292532" w:rsidRDefault="00CE785A" w:rsidP="00CE785A">
            <w:pPr>
              <w:spacing w:before="0" w:after="0" w:line="276" w:lineRule="auto"/>
              <w:jc w:val="left"/>
              <w:rPr>
                <w:rFonts w:eastAsia="Calibri" w:cs="Times New Roman"/>
                <w:lang w:val="pt-PT"/>
              </w:rPr>
            </w:pPr>
            <w:r w:rsidRPr="00292532">
              <w:rPr>
                <w:rFonts w:eastAsia="Calibri" w:cs="Times New Roman"/>
                <w:b/>
                <w:lang w:val="pt-PT"/>
              </w:rPr>
              <w:t xml:space="preserve">Donato Pedro dos Santos </w:t>
            </w:r>
            <w:r w:rsidRPr="00292532">
              <w:rPr>
                <w:rFonts w:eastAsia="Calibri" w:cs="Times New Roman"/>
                <w:lang w:val="pt-PT"/>
              </w:rPr>
              <w:t>– Técnico de saneamento SDPI</w:t>
            </w:r>
          </w:p>
        </w:tc>
      </w:tr>
      <w:tr w:rsidR="00CE785A" w:rsidRPr="004E2EAC" w14:paraId="22575555" w14:textId="77777777" w:rsidTr="00CE785A">
        <w:tc>
          <w:tcPr>
            <w:tcW w:w="2552" w:type="dxa"/>
            <w:tcBorders>
              <w:top w:val="single" w:sz="4" w:space="0" w:color="auto"/>
              <w:left w:val="single" w:sz="4" w:space="0" w:color="auto"/>
              <w:bottom w:val="single" w:sz="4" w:space="0" w:color="auto"/>
              <w:right w:val="single" w:sz="4" w:space="0" w:color="auto"/>
            </w:tcBorders>
            <w:vAlign w:val="center"/>
            <w:hideMark/>
          </w:tcPr>
          <w:p w14:paraId="2E39AEB8" w14:textId="77777777" w:rsidR="00CE785A" w:rsidRPr="00292532" w:rsidRDefault="00CE785A" w:rsidP="00CE785A">
            <w:pPr>
              <w:spacing w:before="0" w:after="0" w:line="276" w:lineRule="auto"/>
              <w:jc w:val="left"/>
              <w:rPr>
                <w:rFonts w:eastAsia="Calibri" w:cs="Calibri"/>
                <w:lang w:val="pt-PT"/>
              </w:rPr>
            </w:pPr>
          </w:p>
          <w:p w14:paraId="75F086CE" w14:textId="77777777" w:rsidR="00CE785A" w:rsidRPr="00292532" w:rsidRDefault="00CE785A" w:rsidP="00CE785A">
            <w:pPr>
              <w:spacing w:before="0" w:after="0" w:line="276" w:lineRule="auto"/>
              <w:jc w:val="left"/>
              <w:rPr>
                <w:rFonts w:eastAsia="Calibri" w:cs="Calibri"/>
                <w:b/>
                <w:bCs/>
                <w:lang w:val="pt-PT"/>
              </w:rPr>
            </w:pPr>
            <w:r w:rsidRPr="00292532">
              <w:rPr>
                <w:rFonts w:eastAsia="Calibri" w:cs="Calibri"/>
                <w:b/>
                <w:bCs/>
                <w:lang w:val="pt-PT"/>
              </w:rPr>
              <w:t>Mecanismo de Gestão de Reclamação e conflitos a nível local.</w:t>
            </w:r>
          </w:p>
        </w:tc>
        <w:tc>
          <w:tcPr>
            <w:tcW w:w="5528" w:type="dxa"/>
            <w:tcBorders>
              <w:top w:val="single" w:sz="4" w:space="0" w:color="auto"/>
              <w:left w:val="single" w:sz="4" w:space="0" w:color="auto"/>
              <w:bottom w:val="single" w:sz="4" w:space="0" w:color="auto"/>
              <w:right w:val="single" w:sz="4" w:space="0" w:color="auto"/>
            </w:tcBorders>
            <w:vAlign w:val="center"/>
          </w:tcPr>
          <w:p w14:paraId="2770955B"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Qualquer reclamação que temos a nível comunitário, encaminhamos ao régulo e quando não é resolvido de forma satisfatória, o régulo encaminha ao distrito ou a polícia dependendo da gravidade e contexto do assunto em causa.</w:t>
            </w:r>
          </w:p>
        </w:tc>
        <w:tc>
          <w:tcPr>
            <w:tcW w:w="2268" w:type="dxa"/>
            <w:tcBorders>
              <w:top w:val="single" w:sz="4" w:space="0" w:color="auto"/>
              <w:left w:val="single" w:sz="4" w:space="0" w:color="auto"/>
              <w:bottom w:val="single" w:sz="4" w:space="0" w:color="auto"/>
              <w:right w:val="single" w:sz="4" w:space="0" w:color="auto"/>
            </w:tcBorders>
            <w:vAlign w:val="center"/>
          </w:tcPr>
          <w:p w14:paraId="251E9C1A" w14:textId="77777777" w:rsidR="00CE785A" w:rsidRPr="00292532" w:rsidRDefault="00CE785A" w:rsidP="00CE785A">
            <w:pPr>
              <w:spacing w:before="0" w:after="0" w:line="276" w:lineRule="auto"/>
              <w:jc w:val="left"/>
              <w:rPr>
                <w:rFonts w:eastAsia="Calibri" w:cs="Times New Roman"/>
                <w:b/>
                <w:lang w:val="pt-PT"/>
              </w:rPr>
            </w:pPr>
            <w:r w:rsidRPr="00292532">
              <w:rPr>
                <w:rFonts w:eastAsia="Calibri" w:cs="Times New Roman"/>
                <w:b/>
                <w:lang w:val="pt-PT"/>
              </w:rPr>
              <w:t xml:space="preserve">Maria Araújo - </w:t>
            </w:r>
            <w:r w:rsidRPr="00292532">
              <w:rPr>
                <w:rFonts w:eastAsia="Calibri" w:cs="Calibri"/>
                <w:lang w:val="pt-PT"/>
              </w:rPr>
              <w:t xml:space="preserve">Residente na comunidade de </w:t>
            </w:r>
            <w:proofErr w:type="spellStart"/>
            <w:r w:rsidRPr="00292532">
              <w:rPr>
                <w:rFonts w:eastAsia="Calibri" w:cs="Calibri"/>
                <w:lang w:val="pt-PT"/>
              </w:rPr>
              <w:t>Nerire</w:t>
            </w:r>
            <w:proofErr w:type="spellEnd"/>
          </w:p>
        </w:tc>
      </w:tr>
      <w:tr w:rsidR="00CE785A" w:rsidRPr="004E2EAC" w14:paraId="2566C52F" w14:textId="77777777" w:rsidTr="00CE785A">
        <w:tc>
          <w:tcPr>
            <w:tcW w:w="2552" w:type="dxa"/>
            <w:tcBorders>
              <w:top w:val="single" w:sz="4" w:space="0" w:color="auto"/>
              <w:left w:val="single" w:sz="4" w:space="0" w:color="auto"/>
              <w:bottom w:val="single" w:sz="4" w:space="0" w:color="auto"/>
              <w:right w:val="single" w:sz="4" w:space="0" w:color="auto"/>
            </w:tcBorders>
            <w:vAlign w:val="center"/>
            <w:hideMark/>
          </w:tcPr>
          <w:p w14:paraId="0B716716"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bCs/>
                <w:lang w:val="pt-PT"/>
              </w:rPr>
              <w:t>Recrutamento de Mão-de-Obra.</w:t>
            </w:r>
          </w:p>
        </w:tc>
        <w:tc>
          <w:tcPr>
            <w:tcW w:w="5528" w:type="dxa"/>
            <w:tcBorders>
              <w:top w:val="single" w:sz="4" w:space="0" w:color="auto"/>
              <w:left w:val="single" w:sz="4" w:space="0" w:color="auto"/>
              <w:bottom w:val="single" w:sz="4" w:space="0" w:color="auto"/>
              <w:right w:val="single" w:sz="4" w:space="0" w:color="auto"/>
            </w:tcBorders>
            <w:vAlign w:val="center"/>
          </w:tcPr>
          <w:p w14:paraId="188C7C3B" w14:textId="77777777" w:rsidR="00CE785A" w:rsidRPr="00292532" w:rsidRDefault="00CE785A" w:rsidP="00AE14AE">
            <w:pPr>
              <w:numPr>
                <w:ilvl w:val="0"/>
                <w:numId w:val="172"/>
              </w:numPr>
              <w:spacing w:before="0" w:after="0" w:line="259" w:lineRule="auto"/>
              <w:ind w:left="176" w:hanging="142"/>
              <w:contextualSpacing/>
              <w:jc w:val="left"/>
              <w:rPr>
                <w:rFonts w:eastAsia="Calibri" w:cs="Times New Roman"/>
                <w:lang w:val="pt-PT"/>
              </w:rPr>
            </w:pPr>
            <w:r w:rsidRPr="00292532">
              <w:rPr>
                <w:rFonts w:eastAsia="Calibri" w:cs="Times New Roman"/>
                <w:lang w:val="pt-PT"/>
              </w:rPr>
              <w:t xml:space="preserve">Com a implementação do </w:t>
            </w:r>
            <w:proofErr w:type="spellStart"/>
            <w:r w:rsidRPr="00292532">
              <w:rPr>
                <w:rFonts w:eastAsia="Calibri" w:cs="Times New Roman"/>
                <w:lang w:val="pt-PT"/>
              </w:rPr>
              <w:t>projecto</w:t>
            </w:r>
            <w:proofErr w:type="spellEnd"/>
            <w:r w:rsidRPr="00292532">
              <w:rPr>
                <w:rFonts w:eastAsia="Calibri" w:cs="Times New Roman"/>
                <w:lang w:val="pt-PT"/>
              </w:rPr>
              <w:t xml:space="preserve">, recomendamos que a mão de obra seja da comunidade, pois muitos empreiteiros em </w:t>
            </w:r>
            <w:proofErr w:type="spellStart"/>
            <w:r w:rsidRPr="00292532">
              <w:rPr>
                <w:rFonts w:eastAsia="Calibri" w:cs="Times New Roman"/>
                <w:lang w:val="pt-PT"/>
              </w:rPr>
              <w:t>projectos</w:t>
            </w:r>
            <w:proofErr w:type="spellEnd"/>
            <w:r w:rsidRPr="00292532">
              <w:rPr>
                <w:rFonts w:eastAsia="Calibri" w:cs="Times New Roman"/>
                <w:lang w:val="pt-PT"/>
              </w:rPr>
              <w:t xml:space="preserve"> passados vinham com o seu pessoal que não sabemos de onde vem e assim executavam as obras e sem beneficiar a população local, o que faz com que muitos deles não usufruam das oportunidades trazidas pela implantação de um </w:t>
            </w:r>
            <w:proofErr w:type="spellStart"/>
            <w:r w:rsidRPr="00292532">
              <w:rPr>
                <w:rFonts w:eastAsia="Calibri" w:cs="Times New Roman"/>
                <w:lang w:val="pt-PT"/>
              </w:rPr>
              <w:t>projecto</w:t>
            </w:r>
            <w:proofErr w:type="spellEnd"/>
            <w:r w:rsidRPr="00292532">
              <w:rPr>
                <w:rFonts w:eastAsia="Calibri" w:cs="Times New Roman"/>
                <w:lang w:val="pt-PT"/>
              </w:rPr>
              <w:t>.</w:t>
            </w:r>
          </w:p>
        </w:tc>
        <w:tc>
          <w:tcPr>
            <w:tcW w:w="2268" w:type="dxa"/>
            <w:tcBorders>
              <w:top w:val="single" w:sz="4" w:space="0" w:color="auto"/>
              <w:left w:val="single" w:sz="4" w:space="0" w:color="auto"/>
              <w:bottom w:val="single" w:sz="4" w:space="0" w:color="auto"/>
              <w:right w:val="single" w:sz="4" w:space="0" w:color="auto"/>
            </w:tcBorders>
            <w:vAlign w:val="center"/>
          </w:tcPr>
          <w:p w14:paraId="6086909D" w14:textId="77777777" w:rsidR="00CE785A" w:rsidRPr="00292532" w:rsidRDefault="00CE785A" w:rsidP="00CE785A">
            <w:pPr>
              <w:spacing w:before="0" w:after="0" w:line="276" w:lineRule="auto"/>
              <w:jc w:val="left"/>
              <w:rPr>
                <w:rFonts w:eastAsia="Calibri" w:cs="Calibri"/>
                <w:lang w:val="pt-PT"/>
              </w:rPr>
            </w:pPr>
            <w:proofErr w:type="spellStart"/>
            <w:r w:rsidRPr="00292532">
              <w:rPr>
                <w:rFonts w:eastAsia="Calibri" w:cs="Times New Roman"/>
                <w:b/>
                <w:lang w:val="pt-PT"/>
              </w:rPr>
              <w:t>Mardez</w:t>
            </w:r>
            <w:proofErr w:type="spellEnd"/>
            <w:r w:rsidRPr="00292532">
              <w:rPr>
                <w:rFonts w:eastAsia="Calibri" w:cs="Times New Roman"/>
                <w:b/>
                <w:lang w:val="pt-PT"/>
              </w:rPr>
              <w:t xml:space="preserve"> - </w:t>
            </w:r>
            <w:r w:rsidRPr="00292532">
              <w:rPr>
                <w:rFonts w:eastAsia="Calibri" w:cs="Calibri"/>
                <w:lang w:val="pt-PT"/>
              </w:rPr>
              <w:t xml:space="preserve">Régulo da comunidade de </w:t>
            </w:r>
            <w:proofErr w:type="spellStart"/>
            <w:r w:rsidRPr="00292532">
              <w:rPr>
                <w:rFonts w:eastAsia="Calibri" w:cs="Calibri"/>
                <w:lang w:val="pt-PT"/>
              </w:rPr>
              <w:t>Nerire</w:t>
            </w:r>
            <w:proofErr w:type="spellEnd"/>
            <w:r w:rsidRPr="00292532">
              <w:rPr>
                <w:rFonts w:eastAsia="Calibri" w:cs="Calibri"/>
                <w:lang w:val="pt-PT"/>
              </w:rPr>
              <w:t xml:space="preserve"> e líder comunitário do primeiro escalão</w:t>
            </w:r>
          </w:p>
        </w:tc>
      </w:tr>
      <w:tr w:rsidR="00CE785A" w:rsidRPr="004E2EAC" w14:paraId="0A98D293" w14:textId="77777777" w:rsidTr="00CE785A">
        <w:tc>
          <w:tcPr>
            <w:tcW w:w="2552" w:type="dxa"/>
            <w:tcBorders>
              <w:top w:val="single" w:sz="4" w:space="0" w:color="auto"/>
              <w:left w:val="single" w:sz="4" w:space="0" w:color="auto"/>
              <w:bottom w:val="single" w:sz="4" w:space="0" w:color="auto"/>
              <w:right w:val="single" w:sz="4" w:space="0" w:color="auto"/>
            </w:tcBorders>
            <w:vAlign w:val="center"/>
          </w:tcPr>
          <w:p w14:paraId="72A74FFF" w14:textId="77777777" w:rsidR="00CE785A" w:rsidRPr="00292532" w:rsidRDefault="00CE785A" w:rsidP="00CE785A">
            <w:pPr>
              <w:spacing w:before="0" w:after="0" w:line="276" w:lineRule="auto"/>
              <w:jc w:val="left"/>
              <w:rPr>
                <w:rFonts w:eastAsia="Calibri" w:cs="Calibri"/>
                <w:b/>
                <w:bCs/>
                <w:lang w:val="pt-PT"/>
              </w:rPr>
            </w:pPr>
            <w:r w:rsidRPr="00292532">
              <w:rPr>
                <w:rFonts w:eastAsia="Calibri" w:cs="Calibri"/>
                <w:b/>
                <w:bCs/>
                <w:lang w:val="pt-PT"/>
              </w:rPr>
              <w:t xml:space="preserve">Principais problemas, riscos e impactos </w:t>
            </w:r>
            <w:proofErr w:type="spellStart"/>
            <w:r w:rsidRPr="00292532">
              <w:rPr>
                <w:rFonts w:eastAsia="Calibri" w:cs="Calibri"/>
                <w:b/>
                <w:bCs/>
                <w:lang w:val="pt-PT"/>
              </w:rPr>
              <w:t>actuais</w:t>
            </w:r>
            <w:proofErr w:type="spellEnd"/>
            <w:r w:rsidRPr="00292532">
              <w:rPr>
                <w:rFonts w:eastAsia="Calibri" w:cs="Calibri"/>
                <w:b/>
                <w:bCs/>
                <w:lang w:val="pt-PT"/>
              </w:rPr>
              <w:t xml:space="preserve"> na busca de água</w:t>
            </w:r>
          </w:p>
        </w:tc>
        <w:tc>
          <w:tcPr>
            <w:tcW w:w="5528" w:type="dxa"/>
            <w:tcBorders>
              <w:top w:val="single" w:sz="4" w:space="0" w:color="auto"/>
              <w:left w:val="single" w:sz="4" w:space="0" w:color="auto"/>
              <w:bottom w:val="single" w:sz="4" w:space="0" w:color="auto"/>
              <w:right w:val="single" w:sz="4" w:space="0" w:color="auto"/>
            </w:tcBorders>
            <w:vAlign w:val="center"/>
          </w:tcPr>
          <w:p w14:paraId="17B4E51F"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Pela falta ou reduzida capacidade de abrangência dos sistemas de abastecimento de água, faz com que facilmente existam agressões físicas ou psicológicas nos locais de abastecimento. É um caso recorrente, sendo que já fizemos várias reuniões para estancar esse tipo de </w:t>
            </w:r>
            <w:proofErr w:type="spellStart"/>
            <w:r w:rsidRPr="00292532">
              <w:rPr>
                <w:rFonts w:eastAsia="Calibri" w:cs="Calibri"/>
                <w:lang w:val="pt-PT"/>
              </w:rPr>
              <w:t>acto</w:t>
            </w:r>
            <w:proofErr w:type="spellEnd"/>
            <w:r w:rsidRPr="00292532">
              <w:rPr>
                <w:rFonts w:eastAsia="Calibri" w:cs="Calibri"/>
                <w:lang w:val="pt-PT"/>
              </w:rPr>
              <w:t>, mas as divergências são maiores.</w:t>
            </w:r>
          </w:p>
        </w:tc>
        <w:tc>
          <w:tcPr>
            <w:tcW w:w="2268" w:type="dxa"/>
            <w:tcBorders>
              <w:top w:val="single" w:sz="4" w:space="0" w:color="auto"/>
              <w:left w:val="single" w:sz="4" w:space="0" w:color="auto"/>
              <w:bottom w:val="single" w:sz="4" w:space="0" w:color="auto"/>
              <w:right w:val="single" w:sz="4" w:space="0" w:color="auto"/>
            </w:tcBorders>
            <w:vAlign w:val="center"/>
          </w:tcPr>
          <w:p w14:paraId="11C696EE" w14:textId="77777777" w:rsidR="00CE785A" w:rsidRPr="00292532" w:rsidRDefault="00CE785A" w:rsidP="00CE785A">
            <w:pPr>
              <w:spacing w:before="0" w:after="0" w:line="276" w:lineRule="auto"/>
              <w:jc w:val="left"/>
              <w:rPr>
                <w:rFonts w:eastAsia="Calibri" w:cs="Calibri"/>
                <w:lang w:val="pt-PT"/>
              </w:rPr>
            </w:pPr>
            <w:proofErr w:type="spellStart"/>
            <w:r w:rsidRPr="00292532">
              <w:rPr>
                <w:rFonts w:eastAsia="Calibri" w:cs="Calibri"/>
                <w:b/>
                <w:lang w:val="pt-PT"/>
              </w:rPr>
              <w:t>Mardez</w:t>
            </w:r>
            <w:proofErr w:type="spellEnd"/>
            <w:r w:rsidRPr="00292532">
              <w:rPr>
                <w:rFonts w:eastAsia="Calibri" w:cs="Calibri"/>
                <w:lang w:val="pt-PT"/>
              </w:rPr>
              <w:t xml:space="preserve"> - Régulo da comunidade de </w:t>
            </w:r>
            <w:proofErr w:type="spellStart"/>
            <w:r w:rsidRPr="00292532">
              <w:rPr>
                <w:rFonts w:eastAsia="Calibri" w:cs="Calibri"/>
                <w:lang w:val="pt-PT"/>
              </w:rPr>
              <w:t>Nerire</w:t>
            </w:r>
            <w:proofErr w:type="spellEnd"/>
            <w:r w:rsidRPr="00292532">
              <w:rPr>
                <w:rFonts w:eastAsia="Calibri" w:cs="Calibri"/>
                <w:lang w:val="pt-PT"/>
              </w:rPr>
              <w:t xml:space="preserve"> e líder comunitário do primeiro escalão</w:t>
            </w:r>
          </w:p>
        </w:tc>
      </w:tr>
    </w:tbl>
    <w:p w14:paraId="71E7B7FA" w14:textId="7E24D1A0" w:rsidR="00CE785A" w:rsidRPr="00292532" w:rsidRDefault="00CE785A" w:rsidP="00CE785A">
      <w:pPr>
        <w:tabs>
          <w:tab w:val="left" w:pos="8064"/>
        </w:tabs>
        <w:spacing w:before="0" w:after="0" w:line="259" w:lineRule="auto"/>
        <w:ind w:left="-284"/>
        <w:jc w:val="left"/>
        <w:rPr>
          <w:rFonts w:eastAsia="Calibri" w:cs="Calibri"/>
          <w:lang w:val="pt-PT"/>
        </w:rPr>
      </w:pPr>
      <w:r w:rsidRPr="00292532">
        <w:rPr>
          <w:rFonts w:eastAsia="Calibri" w:cs="Calibri"/>
          <w:noProof/>
          <w:lang w:val="en-US"/>
        </w:rPr>
        <w:drawing>
          <wp:anchor distT="0" distB="0" distL="114300" distR="114300" simplePos="0" relativeHeight="252057600" behindDoc="1" locked="0" layoutInCell="1" allowOverlap="1" wp14:anchorId="0ADE1217" wp14:editId="0468C39E">
            <wp:simplePos x="0" y="0"/>
            <wp:positionH relativeFrom="column">
              <wp:posOffset>3147060</wp:posOffset>
            </wp:positionH>
            <wp:positionV relativeFrom="paragraph">
              <wp:posOffset>136525</wp:posOffset>
            </wp:positionV>
            <wp:extent cx="3105150" cy="2338410"/>
            <wp:effectExtent l="0" t="0" r="0" b="5080"/>
            <wp:wrapNone/>
            <wp:docPr id="317"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3105150" cy="2338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2532">
        <w:rPr>
          <w:rFonts w:eastAsia="Calibri" w:cs="Calibri"/>
          <w:b/>
          <w:noProof/>
          <w:color w:val="FFFFFF"/>
          <w:lang w:val="en-US"/>
        </w:rPr>
        <w:drawing>
          <wp:anchor distT="0" distB="0" distL="114300" distR="114300" simplePos="0" relativeHeight="252056576" behindDoc="1" locked="0" layoutInCell="1" allowOverlap="1" wp14:anchorId="42252DE9" wp14:editId="275F0F40">
            <wp:simplePos x="0" y="0"/>
            <wp:positionH relativeFrom="column">
              <wp:posOffset>-112871</wp:posOffset>
            </wp:positionH>
            <wp:positionV relativeFrom="paragraph">
              <wp:posOffset>143510</wp:posOffset>
            </wp:positionV>
            <wp:extent cx="3086100" cy="2324063"/>
            <wp:effectExtent l="0" t="0" r="0" b="635"/>
            <wp:wrapNone/>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3086100" cy="23240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89DDF1"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01144497"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019806C3"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40481945"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28FE3469"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3B2D5E30"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56831A33"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7E90EA4B"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1879424C"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7EF12B9B"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0522DCE3"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2580A272"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52E4A8CF" w14:textId="73FDBB8A" w:rsidR="00CE785A" w:rsidRPr="00292532" w:rsidRDefault="00CE785A" w:rsidP="00CE785A">
      <w:pPr>
        <w:tabs>
          <w:tab w:val="left" w:pos="8064"/>
        </w:tabs>
        <w:spacing w:before="0" w:after="0" w:line="259" w:lineRule="auto"/>
        <w:ind w:left="-284"/>
        <w:jc w:val="left"/>
        <w:rPr>
          <w:rFonts w:eastAsia="Calibri" w:cs="Calibri"/>
          <w:lang w:val="pt-PT"/>
        </w:rPr>
      </w:pPr>
      <w:r w:rsidRPr="00292532">
        <w:rPr>
          <w:rFonts w:eastAsia="Calibri" w:cs="Calibri"/>
          <w:noProof/>
          <w:lang w:val="en-US"/>
        </w:rPr>
        <w:drawing>
          <wp:anchor distT="0" distB="0" distL="114300" distR="114300" simplePos="0" relativeHeight="252059648" behindDoc="1" locked="0" layoutInCell="1" allowOverlap="1" wp14:anchorId="04D8C84B" wp14:editId="0B88A803">
            <wp:simplePos x="0" y="0"/>
            <wp:positionH relativeFrom="column">
              <wp:posOffset>3124338</wp:posOffset>
            </wp:positionH>
            <wp:positionV relativeFrom="paragraph">
              <wp:posOffset>158750</wp:posOffset>
            </wp:positionV>
            <wp:extent cx="3131820" cy="2358494"/>
            <wp:effectExtent l="0" t="0" r="0" b="3810"/>
            <wp:wrapNone/>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131820" cy="2358494"/>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2532">
        <w:rPr>
          <w:rFonts w:eastAsia="Calibri" w:cs="Calibri"/>
          <w:noProof/>
          <w:lang w:val="en-US"/>
        </w:rPr>
        <w:drawing>
          <wp:anchor distT="0" distB="0" distL="114300" distR="114300" simplePos="0" relativeHeight="252058624" behindDoc="1" locked="0" layoutInCell="1" allowOverlap="1" wp14:anchorId="14A22880" wp14:editId="2BF86CD3">
            <wp:simplePos x="0" y="0"/>
            <wp:positionH relativeFrom="column">
              <wp:posOffset>-113030</wp:posOffset>
            </wp:positionH>
            <wp:positionV relativeFrom="paragraph">
              <wp:posOffset>158750</wp:posOffset>
            </wp:positionV>
            <wp:extent cx="3084830" cy="2376805"/>
            <wp:effectExtent l="0" t="0" r="1270" b="4445"/>
            <wp:wrapNone/>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0"/>
                      <a:ext cx="3084830" cy="2376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2CEC49"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3B717341"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0A5F4A13"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04A97CFE"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752CD7B0"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545B7CB6"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54CC4308"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3B347FD8"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6819578F"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2F40FDD7"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6B56E25E"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7F371200"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56A22FA2"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270A4EF7" w14:textId="77777777" w:rsidR="00CE785A" w:rsidRPr="00292532" w:rsidRDefault="00CE785A" w:rsidP="00CE785A">
      <w:pPr>
        <w:tabs>
          <w:tab w:val="left" w:pos="8064"/>
        </w:tabs>
        <w:spacing w:before="0" w:after="0" w:line="259" w:lineRule="auto"/>
        <w:ind w:left="-284"/>
        <w:jc w:val="left"/>
        <w:rPr>
          <w:rFonts w:eastAsia="Calibri" w:cs="Calibri"/>
          <w:lang w:val="pt-PT"/>
        </w:rPr>
        <w:sectPr w:rsidR="00CE785A" w:rsidRPr="00292532" w:rsidSect="00CE785A">
          <w:pgSz w:w="12240" w:h="15840"/>
          <w:pgMar w:top="1440" w:right="1440" w:bottom="1440" w:left="1440" w:header="720" w:footer="720" w:gutter="0"/>
          <w:cols w:space="720"/>
          <w:docGrid w:linePitch="360"/>
        </w:sectPr>
      </w:pPr>
    </w:p>
    <w:p w14:paraId="51842FE6" w14:textId="77777777" w:rsidR="00CE785A" w:rsidRPr="00292532" w:rsidRDefault="00CE785A" w:rsidP="00CE785A">
      <w:pPr>
        <w:spacing w:before="0" w:after="0" w:line="276" w:lineRule="auto"/>
        <w:jc w:val="center"/>
        <w:rPr>
          <w:rFonts w:eastAsia="Calibri" w:cs="Calibri"/>
          <w:b/>
          <w:sz w:val="24"/>
          <w:lang w:val="pt-PT"/>
        </w:rPr>
      </w:pPr>
      <w:r w:rsidRPr="00292532">
        <w:rPr>
          <w:rFonts w:eastAsia="Calibri" w:cs="Calibri"/>
          <w:b/>
          <w:sz w:val="24"/>
          <w:lang w:val="pt-PT"/>
        </w:rPr>
        <w:lastRenderedPageBreak/>
        <w:t>Distrito de Mocuba</w:t>
      </w:r>
    </w:p>
    <w:p w14:paraId="572E600C" w14:textId="77777777" w:rsidR="00CE785A" w:rsidRPr="00292532" w:rsidRDefault="00CE785A" w:rsidP="00CE785A">
      <w:pPr>
        <w:spacing w:before="0" w:after="0" w:line="276" w:lineRule="auto"/>
        <w:jc w:val="center"/>
        <w:rPr>
          <w:rFonts w:eastAsia="Calibri" w:cs="Calibri"/>
          <w:sz w:val="24"/>
          <w:u w:val="single"/>
          <w:lang w:val="pt-PT"/>
        </w:rPr>
      </w:pPr>
      <w:bookmarkStart w:id="1726" w:name="_Hlk66096289"/>
      <w:r w:rsidRPr="00292532">
        <w:rPr>
          <w:rFonts w:eastAsia="Calibri" w:cs="Calibri"/>
          <w:b/>
          <w:sz w:val="24"/>
          <w:u w:val="single"/>
          <w:lang w:val="pt-PT"/>
        </w:rPr>
        <w:t>Consulta Pública para elaboração de instrumentos genéricos de gestão ambiental e social</w:t>
      </w:r>
    </w:p>
    <w:tbl>
      <w:tblPr>
        <w:tblW w:w="10348" w:type="dxa"/>
        <w:tblInd w:w="-289" w:type="dxa"/>
        <w:tblLayout w:type="fixed"/>
        <w:tblLook w:val="04A0" w:firstRow="1" w:lastRow="0" w:firstColumn="1" w:lastColumn="0" w:noHBand="0" w:noVBand="1"/>
      </w:tblPr>
      <w:tblGrid>
        <w:gridCol w:w="2132"/>
        <w:gridCol w:w="5948"/>
        <w:gridCol w:w="2268"/>
      </w:tblGrid>
      <w:tr w:rsidR="00CE785A" w:rsidRPr="00292532" w14:paraId="2E481CE8" w14:textId="77777777" w:rsidTr="00CE785A">
        <w:trPr>
          <w:trHeight w:val="70"/>
          <w:tblHeader/>
        </w:trPr>
        <w:tc>
          <w:tcPr>
            <w:tcW w:w="2132" w:type="dxa"/>
            <w:shd w:val="clear" w:color="auto" w:fill="4472C4"/>
            <w:vAlign w:val="center"/>
          </w:tcPr>
          <w:bookmarkEnd w:id="1726"/>
          <w:p w14:paraId="29278FDE" w14:textId="77777777" w:rsidR="00CE785A" w:rsidRPr="00292532" w:rsidRDefault="00CE785A" w:rsidP="00CE785A">
            <w:pPr>
              <w:tabs>
                <w:tab w:val="left" w:pos="2980"/>
              </w:tabs>
              <w:spacing w:before="0" w:after="0" w:line="276" w:lineRule="auto"/>
              <w:jc w:val="center"/>
              <w:rPr>
                <w:rFonts w:eastAsia="Calibri" w:cs="Calibri"/>
                <w:b/>
                <w:color w:val="FFFFFF"/>
                <w:lang w:val="pt-PT"/>
              </w:rPr>
            </w:pPr>
            <w:r w:rsidRPr="00292532">
              <w:rPr>
                <w:rFonts w:eastAsia="Calibri" w:cs="Calibri"/>
                <w:b/>
                <w:color w:val="FFFFFF"/>
                <w:lang w:val="pt-PT"/>
              </w:rPr>
              <w:t>Assuntos abordados</w:t>
            </w:r>
          </w:p>
        </w:tc>
        <w:tc>
          <w:tcPr>
            <w:tcW w:w="5948" w:type="dxa"/>
            <w:shd w:val="clear" w:color="auto" w:fill="4472C4"/>
            <w:vAlign w:val="center"/>
          </w:tcPr>
          <w:p w14:paraId="6DC6F384" w14:textId="77777777" w:rsidR="00CE785A" w:rsidRPr="00292532" w:rsidRDefault="00CE785A" w:rsidP="00CE785A">
            <w:pPr>
              <w:spacing w:before="0" w:after="0"/>
              <w:jc w:val="center"/>
              <w:rPr>
                <w:rFonts w:eastAsia="Calibri" w:cs="Calibri"/>
                <w:b/>
                <w:color w:val="FFFFFF"/>
                <w:lang w:val="pt-PT"/>
              </w:rPr>
            </w:pPr>
            <w:r w:rsidRPr="00292532">
              <w:rPr>
                <w:rFonts w:eastAsia="Times New Roman" w:cs="Calibri"/>
                <w:b/>
                <w:color w:val="FFFFFF"/>
                <w:lang w:val="pt-PT"/>
              </w:rPr>
              <w:t>Resposta / Comentário</w:t>
            </w:r>
          </w:p>
        </w:tc>
        <w:tc>
          <w:tcPr>
            <w:tcW w:w="2268" w:type="dxa"/>
            <w:shd w:val="clear" w:color="auto" w:fill="4472C4"/>
            <w:vAlign w:val="center"/>
          </w:tcPr>
          <w:p w14:paraId="0478EDD1" w14:textId="77777777" w:rsidR="00CE785A" w:rsidRPr="00292532" w:rsidRDefault="00CE785A" w:rsidP="00CE785A">
            <w:pPr>
              <w:spacing w:before="0" w:after="0" w:line="276" w:lineRule="auto"/>
              <w:jc w:val="center"/>
              <w:rPr>
                <w:rFonts w:eastAsia="Calibri" w:cs="Calibri"/>
                <w:b/>
                <w:color w:val="FFFFFF"/>
                <w:lang w:val="pt-PT"/>
              </w:rPr>
            </w:pPr>
            <w:r w:rsidRPr="00292532">
              <w:rPr>
                <w:rFonts w:eastAsia="Calibri" w:cs="Calibri"/>
                <w:b/>
                <w:color w:val="FFFFFF"/>
                <w:lang w:val="pt-PT"/>
              </w:rPr>
              <w:t>Intervenientes (nome, posição/título)</w:t>
            </w:r>
          </w:p>
        </w:tc>
      </w:tr>
      <w:tr w:rsidR="00CE785A" w:rsidRPr="004E2EAC" w14:paraId="56E35B76" w14:textId="77777777" w:rsidTr="00CE785A">
        <w:tc>
          <w:tcPr>
            <w:tcW w:w="2132" w:type="dxa"/>
            <w:tcBorders>
              <w:top w:val="single" w:sz="4" w:space="0" w:color="auto"/>
              <w:left w:val="single" w:sz="4" w:space="0" w:color="auto"/>
              <w:bottom w:val="single" w:sz="4" w:space="0" w:color="auto"/>
              <w:right w:val="single" w:sz="4" w:space="0" w:color="auto"/>
            </w:tcBorders>
            <w:vAlign w:val="center"/>
          </w:tcPr>
          <w:p w14:paraId="1F89A9AE"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bCs/>
                <w:lang w:val="pt-PT"/>
              </w:rPr>
              <w:t>Prioridades da comunidade para implantar um sistema de abastecimento de água e saneamento</w:t>
            </w:r>
          </w:p>
        </w:tc>
        <w:tc>
          <w:tcPr>
            <w:tcW w:w="5948" w:type="dxa"/>
            <w:tcBorders>
              <w:top w:val="single" w:sz="4" w:space="0" w:color="auto"/>
              <w:left w:val="single" w:sz="4" w:space="0" w:color="auto"/>
              <w:bottom w:val="single" w:sz="4" w:space="0" w:color="auto"/>
              <w:right w:val="single" w:sz="4" w:space="0" w:color="auto"/>
            </w:tcBorders>
            <w:vAlign w:val="center"/>
          </w:tcPr>
          <w:p w14:paraId="7F3F30EE"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A cidade de Mocuba recebeu vários </w:t>
            </w:r>
            <w:proofErr w:type="spellStart"/>
            <w:r w:rsidRPr="00292532">
              <w:rPr>
                <w:rFonts w:eastAsia="Calibri" w:cs="Calibri"/>
                <w:lang w:val="pt-PT"/>
              </w:rPr>
              <w:t>projectos</w:t>
            </w:r>
            <w:proofErr w:type="spellEnd"/>
            <w:r w:rsidRPr="00292532">
              <w:rPr>
                <w:rFonts w:eastAsia="Calibri" w:cs="Calibri"/>
                <w:lang w:val="pt-PT"/>
              </w:rPr>
              <w:t xml:space="preserve"> de água e saneamento que vieram a suprir de uma forma significativa a demanda de água e saneamento ao nível distrital assim como municipal, o que fez com que em muitos mercados e escolas tenham recebido </w:t>
            </w:r>
            <w:proofErr w:type="spellStart"/>
            <w:r w:rsidRPr="00292532">
              <w:rPr>
                <w:rFonts w:eastAsia="Calibri" w:cs="Calibri"/>
                <w:lang w:val="pt-PT"/>
              </w:rPr>
              <w:t>infra-estruturas</w:t>
            </w:r>
            <w:proofErr w:type="spellEnd"/>
            <w:r w:rsidRPr="00292532">
              <w:rPr>
                <w:rFonts w:eastAsia="Calibri" w:cs="Calibri"/>
                <w:lang w:val="pt-PT"/>
              </w:rPr>
              <w:t xml:space="preserve"> sanitárias. Normalmente a gerência dessas infraestruturas ao nível dos mercados recai sobre gestores privados que têm acordos de desempenho com o Conselho municipal de Mocuba. Nas comunidades, é de caracter obrigatório que os munícipes tenham nas suas residências latrinas.</w:t>
            </w:r>
          </w:p>
          <w:p w14:paraId="3645078F"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Dos sistemas de abastecimento de água existentes, grande parte não está operacional ou não consegue suprir a necessidade local (por avaria ou funcionando com capacidade abaixo da que foi planeada). O </w:t>
            </w:r>
            <w:proofErr w:type="spellStart"/>
            <w:r w:rsidRPr="00292532">
              <w:rPr>
                <w:rFonts w:eastAsia="Calibri" w:cs="Calibri"/>
                <w:lang w:val="pt-PT"/>
              </w:rPr>
              <w:t>projecto</w:t>
            </w:r>
            <w:proofErr w:type="spellEnd"/>
            <w:r w:rsidRPr="00292532">
              <w:rPr>
                <w:rFonts w:eastAsia="Calibri" w:cs="Calibri"/>
                <w:lang w:val="pt-PT"/>
              </w:rPr>
              <w:t xml:space="preserve"> será de grande valia para alcançar de forma abrangente as comunidades, pois em bairros sem sistema funcional de abastecimento de água, força grande parte das pessoas (principalmente raparigas e mulheres) a percorrer longas distâncias para bairros vizinhos na busca de água.</w:t>
            </w:r>
          </w:p>
        </w:tc>
        <w:tc>
          <w:tcPr>
            <w:tcW w:w="2268" w:type="dxa"/>
            <w:tcBorders>
              <w:top w:val="single" w:sz="4" w:space="0" w:color="auto"/>
              <w:left w:val="single" w:sz="4" w:space="0" w:color="auto"/>
              <w:bottom w:val="single" w:sz="4" w:space="0" w:color="auto"/>
              <w:right w:val="single" w:sz="4" w:space="0" w:color="auto"/>
            </w:tcBorders>
            <w:vAlign w:val="center"/>
          </w:tcPr>
          <w:p w14:paraId="113FBE69" w14:textId="77777777" w:rsidR="00CE785A" w:rsidRPr="00292532" w:rsidRDefault="00CE785A" w:rsidP="00CE785A">
            <w:pPr>
              <w:spacing w:before="0" w:after="0" w:line="276" w:lineRule="auto"/>
              <w:jc w:val="left"/>
              <w:rPr>
                <w:rFonts w:eastAsia="Calibri" w:cs="Times New Roman"/>
                <w:lang w:val="pt-PT"/>
              </w:rPr>
            </w:pPr>
            <w:r w:rsidRPr="00292532">
              <w:rPr>
                <w:rFonts w:eastAsia="Calibri" w:cs="Times New Roman"/>
                <w:b/>
                <w:lang w:val="pt-PT"/>
              </w:rPr>
              <w:t xml:space="preserve">Sérgio José Ibrahim </w:t>
            </w:r>
            <w:proofErr w:type="spellStart"/>
            <w:r w:rsidRPr="00292532">
              <w:rPr>
                <w:rFonts w:eastAsia="Calibri" w:cs="Times New Roman"/>
                <w:b/>
                <w:lang w:val="pt-PT"/>
              </w:rPr>
              <w:t>Mistafe</w:t>
            </w:r>
            <w:proofErr w:type="spellEnd"/>
            <w:r w:rsidRPr="00292532">
              <w:rPr>
                <w:rFonts w:eastAsia="Calibri" w:cs="Times New Roman"/>
                <w:b/>
                <w:lang w:val="pt-PT"/>
              </w:rPr>
              <w:t xml:space="preserve"> </w:t>
            </w:r>
            <w:r w:rsidRPr="00292532">
              <w:rPr>
                <w:rFonts w:eastAsia="Calibri" w:cs="Times New Roman"/>
                <w:lang w:val="pt-PT"/>
              </w:rPr>
              <w:t>- técnico de urbanização e construção</w:t>
            </w:r>
          </w:p>
          <w:p w14:paraId="5578843B" w14:textId="77777777" w:rsidR="00CE785A" w:rsidRPr="00292532" w:rsidRDefault="00CE785A" w:rsidP="00CE785A">
            <w:pPr>
              <w:spacing w:before="0" w:after="0" w:line="276" w:lineRule="auto"/>
              <w:jc w:val="left"/>
              <w:rPr>
                <w:rFonts w:eastAsia="Calibri" w:cs="Calibri"/>
                <w:b/>
                <w:lang w:val="pt-PT"/>
              </w:rPr>
            </w:pPr>
          </w:p>
          <w:p w14:paraId="0B75AD38"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lang w:val="pt-PT"/>
              </w:rPr>
              <w:t xml:space="preserve">Nelinha André - </w:t>
            </w:r>
            <w:r w:rsidRPr="00292532">
              <w:rPr>
                <w:rFonts w:eastAsia="Calibri" w:cs="Calibri"/>
                <w:lang w:val="pt-PT"/>
              </w:rPr>
              <w:t xml:space="preserve">residente do bairro 25 de </w:t>
            </w:r>
            <w:proofErr w:type="gramStart"/>
            <w:r w:rsidRPr="00292532">
              <w:rPr>
                <w:rFonts w:eastAsia="Calibri" w:cs="Calibri"/>
                <w:lang w:val="pt-PT"/>
              </w:rPr>
              <w:t>Setembro</w:t>
            </w:r>
            <w:proofErr w:type="gramEnd"/>
          </w:p>
          <w:p w14:paraId="3C82F265" w14:textId="77777777" w:rsidR="00CE785A" w:rsidRPr="00292532" w:rsidRDefault="00CE785A" w:rsidP="00CE785A">
            <w:pPr>
              <w:spacing w:before="0" w:after="0" w:line="276" w:lineRule="auto"/>
              <w:jc w:val="left"/>
              <w:rPr>
                <w:rFonts w:eastAsia="Calibri" w:cs="Calibri"/>
                <w:b/>
                <w:lang w:val="pt-PT"/>
              </w:rPr>
            </w:pPr>
          </w:p>
          <w:p w14:paraId="0699D740" w14:textId="77777777" w:rsidR="00CE785A" w:rsidRPr="00292532" w:rsidRDefault="00CE785A" w:rsidP="00CE785A">
            <w:pPr>
              <w:spacing w:before="0" w:after="0" w:line="276" w:lineRule="auto"/>
              <w:jc w:val="left"/>
              <w:rPr>
                <w:rFonts w:eastAsia="Calibri" w:cs="Calibri"/>
                <w:b/>
                <w:lang w:val="pt-PT"/>
              </w:rPr>
            </w:pPr>
          </w:p>
        </w:tc>
      </w:tr>
      <w:tr w:rsidR="00CE785A" w:rsidRPr="004E2EAC" w14:paraId="058093C1" w14:textId="77777777" w:rsidTr="00CE785A">
        <w:tc>
          <w:tcPr>
            <w:tcW w:w="2132" w:type="dxa"/>
            <w:tcBorders>
              <w:top w:val="single" w:sz="4" w:space="0" w:color="auto"/>
              <w:left w:val="single" w:sz="4" w:space="0" w:color="auto"/>
              <w:bottom w:val="single" w:sz="4" w:space="0" w:color="auto"/>
              <w:right w:val="single" w:sz="4" w:space="0" w:color="auto"/>
            </w:tcBorders>
            <w:shd w:val="clear" w:color="auto" w:fill="auto"/>
            <w:vAlign w:val="center"/>
          </w:tcPr>
          <w:p w14:paraId="6B3893F5" w14:textId="77777777" w:rsidR="00CE785A" w:rsidRPr="00292532" w:rsidRDefault="00CE785A" w:rsidP="00CE785A">
            <w:pPr>
              <w:spacing w:before="0" w:after="0" w:line="276" w:lineRule="auto"/>
              <w:jc w:val="left"/>
              <w:rPr>
                <w:rFonts w:eastAsia="Calibri" w:cs="Calibri"/>
                <w:b/>
                <w:bCs/>
                <w:lang w:val="pt-PT"/>
              </w:rPr>
            </w:pPr>
            <w:r w:rsidRPr="00292532">
              <w:rPr>
                <w:rFonts w:eastAsia="Calibri" w:cs="Calibri"/>
                <w:b/>
                <w:bCs/>
                <w:lang w:val="pt-PT"/>
              </w:rPr>
              <w:t xml:space="preserve">Problemas de Abastecimento de água, </w:t>
            </w:r>
            <w:proofErr w:type="spellStart"/>
            <w:r w:rsidRPr="00292532">
              <w:rPr>
                <w:rFonts w:eastAsia="Calibri" w:cs="Calibri"/>
                <w:b/>
                <w:bCs/>
                <w:lang w:val="pt-PT"/>
              </w:rPr>
              <w:t>Actuas</w:t>
            </w:r>
            <w:proofErr w:type="spellEnd"/>
            <w:r w:rsidRPr="00292532">
              <w:rPr>
                <w:rFonts w:eastAsia="Calibri" w:cs="Calibri"/>
                <w:b/>
                <w:bCs/>
                <w:lang w:val="pt-PT"/>
              </w:rPr>
              <w:t xml:space="preserve"> fontes de Abastecimento de Água.</w:t>
            </w:r>
          </w:p>
        </w:tc>
        <w:tc>
          <w:tcPr>
            <w:tcW w:w="5948" w:type="dxa"/>
            <w:tcBorders>
              <w:top w:val="single" w:sz="4" w:space="0" w:color="auto"/>
              <w:left w:val="single" w:sz="4" w:space="0" w:color="auto"/>
              <w:bottom w:val="single" w:sz="4" w:space="0" w:color="auto"/>
              <w:right w:val="single" w:sz="4" w:space="0" w:color="auto"/>
            </w:tcBorders>
            <w:shd w:val="clear" w:color="auto" w:fill="auto"/>
            <w:vAlign w:val="center"/>
          </w:tcPr>
          <w:p w14:paraId="749112E4"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Um dos grandes problemas enfrentados </w:t>
            </w:r>
            <w:proofErr w:type="spellStart"/>
            <w:r w:rsidRPr="00292532">
              <w:rPr>
                <w:rFonts w:eastAsia="Calibri" w:cs="Calibri"/>
                <w:lang w:val="pt-PT"/>
              </w:rPr>
              <w:t>actualmente</w:t>
            </w:r>
            <w:proofErr w:type="spellEnd"/>
            <w:r w:rsidRPr="00292532">
              <w:rPr>
                <w:rFonts w:eastAsia="Calibri" w:cs="Calibri"/>
                <w:lang w:val="pt-PT"/>
              </w:rPr>
              <w:t xml:space="preserve"> ao nível do distrito é a qualidade da água. Temos rios que cruzam o nosso distrito e a captação de água para o abastecimento provém desses rios, porém, principalmente no período de seca, a comunidade tem o hábito de lavar nos rios e próximos a fontes de captação para higienizar-se, o que influencia na qualidade da água. Outro cenário que geralmente vem acontecendo também principalmente na época seca é a sabotagem das tubagens que levam a água até o ponto de distribuição, fazendo com que parte da água seja perdida ao longo das tubagens.</w:t>
            </w:r>
          </w:p>
          <w:p w14:paraId="7C8E9C73" w14:textId="77777777" w:rsidR="00CE785A" w:rsidRPr="00292532" w:rsidRDefault="00CE785A" w:rsidP="00AE14AE">
            <w:pPr>
              <w:numPr>
                <w:ilvl w:val="0"/>
                <w:numId w:val="172"/>
              </w:numPr>
              <w:tabs>
                <w:tab w:val="left" w:pos="973"/>
              </w:tabs>
              <w:spacing w:before="0" w:after="0" w:line="259" w:lineRule="auto"/>
              <w:ind w:left="176" w:hanging="142"/>
              <w:contextualSpacing/>
              <w:jc w:val="left"/>
              <w:rPr>
                <w:rFonts w:eastAsia="Calibri" w:cs="Calibri"/>
                <w:lang w:val="pt-PT"/>
              </w:rPr>
            </w:pPr>
            <w:r w:rsidRPr="00292532">
              <w:rPr>
                <w:rFonts w:eastAsia="Calibri" w:cs="Calibri"/>
                <w:lang w:val="pt-PT"/>
              </w:rPr>
              <w:t xml:space="preserve">O </w:t>
            </w:r>
            <w:proofErr w:type="spellStart"/>
            <w:r w:rsidRPr="00292532">
              <w:rPr>
                <w:rFonts w:eastAsia="Calibri" w:cs="Calibri"/>
                <w:lang w:val="pt-PT"/>
              </w:rPr>
              <w:t>actual</w:t>
            </w:r>
            <w:proofErr w:type="spellEnd"/>
            <w:r w:rsidRPr="00292532">
              <w:rPr>
                <w:rFonts w:eastAsia="Calibri" w:cs="Calibri"/>
                <w:lang w:val="pt-PT"/>
              </w:rPr>
              <w:t xml:space="preserve"> e principal </w:t>
            </w:r>
            <w:r w:rsidRPr="00292532">
              <w:rPr>
                <w:rFonts w:eastAsia="Calibri" w:cs="Calibri"/>
                <w:szCs w:val="24"/>
                <w:lang w:val="pt-PT"/>
              </w:rPr>
              <w:t>sistema</w:t>
            </w:r>
            <w:r w:rsidRPr="00292532">
              <w:rPr>
                <w:rFonts w:eastAsia="Calibri" w:cs="Calibri"/>
                <w:lang w:val="pt-PT"/>
              </w:rPr>
              <w:t xml:space="preserve"> de abastecimento de água no bairro 25 de </w:t>
            </w:r>
            <w:proofErr w:type="gramStart"/>
            <w:r w:rsidRPr="00292532">
              <w:rPr>
                <w:rFonts w:eastAsia="Calibri" w:cs="Calibri"/>
                <w:lang w:val="pt-PT"/>
              </w:rPr>
              <w:t>Setembro</w:t>
            </w:r>
            <w:proofErr w:type="gramEnd"/>
            <w:r w:rsidRPr="00292532">
              <w:rPr>
                <w:rFonts w:eastAsia="Calibri" w:cs="Calibri"/>
                <w:lang w:val="pt-PT"/>
              </w:rPr>
              <w:t xml:space="preserve"> é o nosso. </w:t>
            </w:r>
            <w:proofErr w:type="spellStart"/>
            <w:r w:rsidRPr="00292532">
              <w:rPr>
                <w:rFonts w:eastAsia="Calibri" w:cs="Calibri"/>
                <w:lang w:val="pt-PT"/>
              </w:rPr>
              <w:t>Actualmente</w:t>
            </w:r>
            <w:proofErr w:type="spellEnd"/>
            <w:r w:rsidRPr="00292532">
              <w:rPr>
                <w:rFonts w:eastAsia="Calibri" w:cs="Calibri"/>
                <w:lang w:val="pt-PT"/>
              </w:rPr>
              <w:t xml:space="preserve"> está funcionando em 60% da sua capacidade real devido a avaria de uma válvula, fazendo com que o outro tanque não fique cheio. Já enviamos pedidos ao Conselho Municipal para apoiar na resolução do sistema e já nos reunimos com o presidente do conselho municipal, mas até ao presente momento não tivemos resposta. A </w:t>
            </w:r>
            <w:proofErr w:type="spellStart"/>
            <w:r w:rsidRPr="00292532">
              <w:rPr>
                <w:rFonts w:eastAsia="Calibri" w:cs="Calibri"/>
                <w:lang w:val="pt-PT"/>
              </w:rPr>
              <w:t>actual</w:t>
            </w:r>
            <w:proofErr w:type="spellEnd"/>
            <w:r w:rsidRPr="00292532">
              <w:rPr>
                <w:rFonts w:eastAsia="Calibri" w:cs="Calibri"/>
                <w:lang w:val="pt-PT"/>
              </w:rPr>
              <w:t xml:space="preserve"> fonte abastece </w:t>
            </w:r>
            <w:r w:rsidRPr="00292532">
              <w:rPr>
                <w:rFonts w:eastAsia="Calibri" w:cs="Calibri"/>
                <w:lang w:val="pt-PT"/>
              </w:rPr>
              <w:lastRenderedPageBreak/>
              <w:t>moradores do bairro 25 e cerca de 6 bairros circunvizinhos, pois a fonte que abastecia o outro bairro vizinho não está em funcionamento, fazendo com que a nossa fonte seja disputada principalmente no verão.</w:t>
            </w:r>
          </w:p>
          <w:p w14:paraId="0614F013"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Foram construídas 3 fontes de abastecimento de água, sendo que </w:t>
            </w:r>
            <w:proofErr w:type="spellStart"/>
            <w:r w:rsidRPr="00292532">
              <w:rPr>
                <w:rFonts w:eastAsia="Calibri" w:cs="Calibri"/>
                <w:lang w:val="pt-PT"/>
              </w:rPr>
              <w:t>actualmente</w:t>
            </w:r>
            <w:proofErr w:type="spellEnd"/>
            <w:r w:rsidRPr="00292532">
              <w:rPr>
                <w:rFonts w:eastAsia="Calibri" w:cs="Calibri"/>
                <w:lang w:val="pt-PT"/>
              </w:rPr>
              <w:t xml:space="preserve"> só esta fonte está a funcionar das três construídas. Essa fonte não está com capacidade suficiente para abastecer toda comunidade, o que leva a água a acabar rapidamente nos tanques, e quando isso acontece devemos esperar cerca de 3 horas sem tirar a água para voltar a encher os tanques e só assim retornamos a abastecer os nossos reservatórios.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6C4ACBF6"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lang w:val="pt-PT"/>
              </w:rPr>
              <w:lastRenderedPageBreak/>
              <w:t xml:space="preserve">Sérgio José Ibrahim </w:t>
            </w:r>
            <w:proofErr w:type="spellStart"/>
            <w:r w:rsidRPr="00292532">
              <w:rPr>
                <w:rFonts w:eastAsia="Calibri" w:cs="Calibri"/>
                <w:b/>
                <w:lang w:val="pt-PT"/>
              </w:rPr>
              <w:t>Mistafe</w:t>
            </w:r>
            <w:proofErr w:type="spellEnd"/>
            <w:r w:rsidRPr="00292532">
              <w:rPr>
                <w:rFonts w:eastAsia="Calibri" w:cs="Calibri"/>
                <w:b/>
                <w:lang w:val="pt-PT"/>
              </w:rPr>
              <w:t xml:space="preserve"> </w:t>
            </w:r>
            <w:r w:rsidRPr="00292532">
              <w:rPr>
                <w:rFonts w:eastAsia="Calibri" w:cs="Calibri"/>
                <w:lang w:val="pt-PT"/>
              </w:rPr>
              <w:t>- técnico urbanização e construção C. Municipal</w:t>
            </w:r>
          </w:p>
          <w:p w14:paraId="0C7F8C04" w14:textId="77777777" w:rsidR="00CE785A" w:rsidRPr="00292532" w:rsidRDefault="00CE785A" w:rsidP="00CE785A">
            <w:pPr>
              <w:spacing w:before="0" w:after="0" w:line="276" w:lineRule="auto"/>
              <w:jc w:val="left"/>
              <w:rPr>
                <w:rFonts w:eastAsia="Calibri" w:cs="Calibri"/>
                <w:b/>
                <w:lang w:val="pt-PT"/>
              </w:rPr>
            </w:pPr>
          </w:p>
          <w:p w14:paraId="142B1B72"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lang w:val="pt-PT"/>
              </w:rPr>
              <w:t xml:space="preserve">José Elias - </w:t>
            </w:r>
            <w:r w:rsidRPr="00292532">
              <w:rPr>
                <w:rFonts w:eastAsia="Calibri" w:cs="Calibri"/>
                <w:lang w:val="pt-PT"/>
              </w:rPr>
              <w:t xml:space="preserve">Operador do sistema de abastecimento de água do bairro 25 de </w:t>
            </w:r>
            <w:proofErr w:type="gramStart"/>
            <w:r w:rsidRPr="00292532">
              <w:rPr>
                <w:rFonts w:eastAsia="Calibri" w:cs="Calibri"/>
                <w:lang w:val="pt-PT"/>
              </w:rPr>
              <w:t>Setembro</w:t>
            </w:r>
            <w:proofErr w:type="gramEnd"/>
          </w:p>
          <w:p w14:paraId="54C89B69" w14:textId="77777777" w:rsidR="00CE785A" w:rsidRPr="00292532" w:rsidRDefault="00CE785A" w:rsidP="00CE785A">
            <w:pPr>
              <w:spacing w:before="0" w:after="0" w:line="276" w:lineRule="auto"/>
              <w:jc w:val="left"/>
              <w:rPr>
                <w:rFonts w:eastAsia="Calibri" w:cs="Calibri"/>
                <w:lang w:val="pt-PT"/>
              </w:rPr>
            </w:pPr>
          </w:p>
          <w:p w14:paraId="2EFEF16C"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lang w:val="pt-PT"/>
              </w:rPr>
              <w:t>Nelinha André</w:t>
            </w:r>
            <w:r w:rsidRPr="00292532">
              <w:rPr>
                <w:rFonts w:eastAsia="Calibri" w:cs="Calibri"/>
                <w:lang w:val="pt-PT"/>
              </w:rPr>
              <w:t xml:space="preserve"> -residente do bairro 25 de </w:t>
            </w:r>
            <w:proofErr w:type="gramStart"/>
            <w:r w:rsidRPr="00292532">
              <w:rPr>
                <w:rFonts w:eastAsia="Calibri" w:cs="Calibri"/>
                <w:lang w:val="pt-PT"/>
              </w:rPr>
              <w:t>Setembro</w:t>
            </w:r>
            <w:proofErr w:type="gramEnd"/>
          </w:p>
        </w:tc>
      </w:tr>
      <w:tr w:rsidR="00CE785A" w:rsidRPr="004E2EAC" w14:paraId="211664C6" w14:textId="77777777" w:rsidTr="00CE785A">
        <w:tc>
          <w:tcPr>
            <w:tcW w:w="2132" w:type="dxa"/>
            <w:tcBorders>
              <w:top w:val="single" w:sz="4" w:space="0" w:color="auto"/>
              <w:left w:val="single" w:sz="4" w:space="0" w:color="auto"/>
              <w:bottom w:val="single" w:sz="4" w:space="0" w:color="auto"/>
              <w:right w:val="single" w:sz="4" w:space="0" w:color="auto"/>
            </w:tcBorders>
            <w:vAlign w:val="center"/>
          </w:tcPr>
          <w:p w14:paraId="30B10C96" w14:textId="77777777" w:rsidR="00CE785A" w:rsidRPr="00292532" w:rsidRDefault="00CE785A" w:rsidP="00CE785A">
            <w:pPr>
              <w:spacing w:before="0" w:after="0" w:line="276" w:lineRule="auto"/>
              <w:jc w:val="left"/>
              <w:rPr>
                <w:rFonts w:eastAsia="Calibri" w:cs="Calibri"/>
                <w:b/>
                <w:bCs/>
                <w:lang w:val="pt-PT"/>
              </w:rPr>
            </w:pPr>
            <w:r w:rsidRPr="00292532">
              <w:rPr>
                <w:rFonts w:eastAsia="Calibri" w:cs="Calibri"/>
                <w:b/>
                <w:bCs/>
                <w:lang w:val="pt-PT"/>
              </w:rPr>
              <w:t>Papel e envolvimento das mulheres na gestão de fontanários e de fontes dispersas de água com bombas manuais.</w:t>
            </w:r>
          </w:p>
        </w:tc>
        <w:tc>
          <w:tcPr>
            <w:tcW w:w="5948" w:type="dxa"/>
            <w:tcBorders>
              <w:top w:val="single" w:sz="4" w:space="0" w:color="auto"/>
              <w:left w:val="single" w:sz="4" w:space="0" w:color="auto"/>
              <w:bottom w:val="single" w:sz="4" w:space="0" w:color="auto"/>
              <w:right w:val="single" w:sz="4" w:space="0" w:color="auto"/>
            </w:tcBorders>
            <w:vAlign w:val="center"/>
          </w:tcPr>
          <w:p w14:paraId="133C962F"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Em comunidades onde existem fontes dispersas com bombas manuais, existe sempre um comité de gestão de águas, constituído por residentes da comunidade, com a responsabilidade de gerir e garantir a manutenção das fontes. Mensalmente são pagas taxas, onde o valor é usado para pequenas revisões das fontes. O Conselho municipal de Mocuba tem sempre prestado apoio para solucionar avarias significativas. Os comités de gestão de água são estabelecidos sempre considerando a questão do género, sendo que geralmente as mulheres estão em posições de liderança devido a sua disponibilidade e o seu papel na busca de água e </w:t>
            </w:r>
            <w:proofErr w:type="spellStart"/>
            <w:r w:rsidRPr="00292532">
              <w:rPr>
                <w:rFonts w:eastAsia="Calibri" w:cs="Calibri"/>
                <w:lang w:val="pt-PT"/>
              </w:rPr>
              <w:t>actividades</w:t>
            </w:r>
            <w:proofErr w:type="spellEnd"/>
            <w:r w:rsidRPr="00292532">
              <w:rPr>
                <w:rFonts w:eastAsia="Calibri" w:cs="Calibri"/>
                <w:lang w:val="pt-PT"/>
              </w:rPr>
              <w:t xml:space="preserve"> domiciliares.</w:t>
            </w:r>
          </w:p>
        </w:tc>
        <w:tc>
          <w:tcPr>
            <w:tcW w:w="2268" w:type="dxa"/>
            <w:tcBorders>
              <w:top w:val="single" w:sz="4" w:space="0" w:color="auto"/>
              <w:left w:val="single" w:sz="4" w:space="0" w:color="auto"/>
              <w:bottom w:val="single" w:sz="4" w:space="0" w:color="auto"/>
              <w:right w:val="single" w:sz="4" w:space="0" w:color="auto"/>
            </w:tcBorders>
            <w:vAlign w:val="center"/>
          </w:tcPr>
          <w:p w14:paraId="165A4BB0" w14:textId="77777777" w:rsidR="00CE785A" w:rsidRPr="00292532" w:rsidRDefault="00CE785A" w:rsidP="00CE785A">
            <w:pPr>
              <w:spacing w:before="0" w:after="0" w:line="276" w:lineRule="auto"/>
              <w:jc w:val="left"/>
              <w:rPr>
                <w:rFonts w:eastAsia="Calibri" w:cs="Calibri"/>
                <w:u w:val="single"/>
                <w:lang w:val="pt-PT"/>
              </w:rPr>
            </w:pPr>
            <w:r w:rsidRPr="00292532">
              <w:rPr>
                <w:rFonts w:eastAsia="Calibri" w:cs="Calibri"/>
                <w:b/>
                <w:lang w:val="pt-PT"/>
              </w:rPr>
              <w:t xml:space="preserve">Sérgio José Ibrahim </w:t>
            </w:r>
            <w:proofErr w:type="spellStart"/>
            <w:r w:rsidRPr="00292532">
              <w:rPr>
                <w:rFonts w:eastAsia="Calibri" w:cs="Calibri"/>
                <w:b/>
                <w:lang w:val="pt-PT"/>
              </w:rPr>
              <w:t>Mistafe</w:t>
            </w:r>
            <w:proofErr w:type="spellEnd"/>
            <w:r w:rsidRPr="00292532">
              <w:rPr>
                <w:rFonts w:eastAsia="Calibri" w:cs="Calibri"/>
                <w:b/>
                <w:lang w:val="pt-PT"/>
              </w:rPr>
              <w:t xml:space="preserve"> - </w:t>
            </w:r>
            <w:r w:rsidRPr="00292532">
              <w:rPr>
                <w:rFonts w:eastAsia="Calibri" w:cs="Calibri"/>
                <w:lang w:val="pt-PT"/>
              </w:rPr>
              <w:t xml:space="preserve">técnico urbanização e construção </w:t>
            </w:r>
            <w:proofErr w:type="spellStart"/>
            <w:proofErr w:type="gramStart"/>
            <w:r w:rsidRPr="00292532">
              <w:rPr>
                <w:rFonts w:eastAsia="Calibri" w:cs="Calibri"/>
                <w:lang w:val="pt-PT"/>
              </w:rPr>
              <w:t>C.Municipal</w:t>
            </w:r>
            <w:proofErr w:type="spellEnd"/>
            <w:proofErr w:type="gramEnd"/>
            <w:r w:rsidRPr="00292532">
              <w:rPr>
                <w:rFonts w:eastAsia="Calibri" w:cs="Calibri"/>
                <w:lang w:val="pt-PT"/>
              </w:rPr>
              <w:t>)</w:t>
            </w:r>
          </w:p>
        </w:tc>
      </w:tr>
      <w:tr w:rsidR="00CE785A" w:rsidRPr="004E2EAC" w14:paraId="059E64F6" w14:textId="77777777" w:rsidTr="00CE785A">
        <w:tc>
          <w:tcPr>
            <w:tcW w:w="2132" w:type="dxa"/>
            <w:tcBorders>
              <w:top w:val="single" w:sz="4" w:space="0" w:color="auto"/>
              <w:left w:val="single" w:sz="4" w:space="0" w:color="auto"/>
              <w:bottom w:val="single" w:sz="4" w:space="0" w:color="auto"/>
              <w:right w:val="single" w:sz="4" w:space="0" w:color="auto"/>
            </w:tcBorders>
            <w:vAlign w:val="center"/>
          </w:tcPr>
          <w:p w14:paraId="7324BE7E" w14:textId="77777777" w:rsidR="00CE785A" w:rsidRPr="00292532" w:rsidRDefault="00CE785A" w:rsidP="00CE785A">
            <w:pPr>
              <w:spacing w:before="0" w:after="0" w:line="276" w:lineRule="auto"/>
              <w:jc w:val="left"/>
              <w:rPr>
                <w:rFonts w:eastAsia="Calibri" w:cs="Calibri"/>
                <w:b/>
                <w:bCs/>
                <w:lang w:val="pt-PT"/>
              </w:rPr>
            </w:pPr>
            <w:r w:rsidRPr="00292532">
              <w:rPr>
                <w:rFonts w:eastAsia="Calibri" w:cs="Calibri"/>
                <w:b/>
                <w:bCs/>
                <w:lang w:val="pt-PT"/>
              </w:rPr>
              <w:t xml:space="preserve">Situação </w:t>
            </w:r>
            <w:proofErr w:type="spellStart"/>
            <w:r w:rsidRPr="00292532">
              <w:rPr>
                <w:rFonts w:eastAsia="Calibri" w:cs="Calibri"/>
                <w:b/>
                <w:bCs/>
                <w:lang w:val="pt-PT"/>
              </w:rPr>
              <w:t>actual</w:t>
            </w:r>
            <w:proofErr w:type="spellEnd"/>
            <w:r w:rsidRPr="00292532">
              <w:rPr>
                <w:rFonts w:eastAsia="Calibri" w:cs="Calibri"/>
                <w:b/>
                <w:bCs/>
                <w:lang w:val="pt-PT"/>
              </w:rPr>
              <w:t xml:space="preserve"> do saneamento </w:t>
            </w:r>
          </w:p>
        </w:tc>
        <w:tc>
          <w:tcPr>
            <w:tcW w:w="5948" w:type="dxa"/>
            <w:tcBorders>
              <w:top w:val="single" w:sz="4" w:space="0" w:color="auto"/>
              <w:left w:val="single" w:sz="4" w:space="0" w:color="auto"/>
              <w:bottom w:val="single" w:sz="4" w:space="0" w:color="auto"/>
              <w:right w:val="single" w:sz="4" w:space="0" w:color="auto"/>
            </w:tcBorders>
            <w:vAlign w:val="center"/>
          </w:tcPr>
          <w:p w14:paraId="63ACDB50"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Em praticamente todas as escolas </w:t>
            </w:r>
            <w:proofErr w:type="spellStart"/>
            <w:r w:rsidRPr="00292532">
              <w:rPr>
                <w:rFonts w:eastAsia="Calibri" w:cs="Calibri"/>
                <w:lang w:val="pt-PT"/>
              </w:rPr>
              <w:t>actualmente</w:t>
            </w:r>
            <w:proofErr w:type="spellEnd"/>
            <w:r w:rsidRPr="00292532">
              <w:rPr>
                <w:rFonts w:eastAsia="Calibri" w:cs="Calibri"/>
                <w:lang w:val="pt-PT"/>
              </w:rPr>
              <w:t xml:space="preserve"> existem infraestruturas sanitárias, embora em algumas escolas devido a falta de água, os sanitários encontram-se em um estado não aceitável para serem usados, fazendo com que os alunos recorram a terrenos baldios para aliviar as suas necessidades biológicas. </w:t>
            </w:r>
          </w:p>
          <w:p w14:paraId="7966697F"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Ao nível do nosso mercado (Mercado central), existem infraestruturas de água e saneamento que beneficiam os utentes do mercado. A associação designou um membro para a gerência do balneário existente, e a taxa cobrada serve para manter a infraestrutura limpa. Ao nível comunitário, existe sempre uma obrigatoriedade para que os residentes tenham ao nível das suas residências, latrinas para evitar o </w:t>
            </w:r>
            <w:proofErr w:type="spellStart"/>
            <w:r w:rsidRPr="00292532">
              <w:rPr>
                <w:rFonts w:eastAsia="Calibri" w:cs="Calibri"/>
                <w:lang w:val="pt-PT"/>
              </w:rPr>
              <w:t>fecalismo</w:t>
            </w:r>
            <w:proofErr w:type="spellEnd"/>
            <w:r w:rsidRPr="00292532">
              <w:rPr>
                <w:rFonts w:eastAsia="Calibri" w:cs="Calibri"/>
                <w:lang w:val="pt-PT"/>
              </w:rPr>
              <w:t xml:space="preserve"> a céu aberto e, o município juntamente com os chefes dos bairros tem desempenhado um grande papel para a divulgação de informações sobre saneamento do meio. Posso afirmar que ao nível domiciliar não há indícios de pessoas que </w:t>
            </w:r>
            <w:r w:rsidRPr="00292532">
              <w:rPr>
                <w:rFonts w:eastAsia="Calibri" w:cs="Calibri"/>
                <w:lang w:val="pt-PT"/>
              </w:rPr>
              <w:lastRenderedPageBreak/>
              <w:t xml:space="preserve">praticam o </w:t>
            </w:r>
            <w:proofErr w:type="spellStart"/>
            <w:r w:rsidRPr="00292532">
              <w:rPr>
                <w:rFonts w:eastAsia="Calibri" w:cs="Calibri"/>
                <w:lang w:val="pt-PT"/>
              </w:rPr>
              <w:t>fecalismo</w:t>
            </w:r>
            <w:proofErr w:type="spellEnd"/>
            <w:r w:rsidRPr="00292532">
              <w:rPr>
                <w:rFonts w:eastAsia="Calibri" w:cs="Calibri"/>
                <w:lang w:val="pt-PT"/>
              </w:rPr>
              <w:t xml:space="preserve"> a céu aberto, embora esse contexto se resume muitas vezes na zona cimento (na cidade), pois mais para o interior do distrito, os sanitários existentes são partilhados e não havendo muita privacidade para o uso. Em outras residências ou bairros em que não há partilha de casas de banho, as pessoas recorrem às matas para aliviar as suas necessidades biológicas. </w:t>
            </w:r>
          </w:p>
          <w:p w14:paraId="68EA1A61"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No passado foi implementado um </w:t>
            </w:r>
            <w:proofErr w:type="spellStart"/>
            <w:r w:rsidRPr="00292532">
              <w:rPr>
                <w:rFonts w:eastAsia="Calibri" w:cs="Calibri"/>
                <w:lang w:val="pt-PT"/>
              </w:rPr>
              <w:t>projecto</w:t>
            </w:r>
            <w:proofErr w:type="spellEnd"/>
            <w:r w:rsidRPr="00292532">
              <w:rPr>
                <w:rFonts w:eastAsia="Calibri" w:cs="Calibri"/>
                <w:lang w:val="pt-PT"/>
              </w:rPr>
              <w:t xml:space="preserve"> que distribuía tampas de latrinas para os residentes da comunidade poderem construir fossas sépticas. Isso foi muito incentivador, e fez com que muitos residentes que não tinham nenhum sistema de saneamento pudessem optar por construir.</w:t>
            </w:r>
          </w:p>
        </w:tc>
        <w:tc>
          <w:tcPr>
            <w:tcW w:w="2268" w:type="dxa"/>
            <w:tcBorders>
              <w:top w:val="single" w:sz="4" w:space="0" w:color="auto"/>
              <w:left w:val="single" w:sz="4" w:space="0" w:color="auto"/>
              <w:bottom w:val="single" w:sz="4" w:space="0" w:color="auto"/>
              <w:right w:val="single" w:sz="4" w:space="0" w:color="auto"/>
            </w:tcBorders>
            <w:vAlign w:val="center"/>
          </w:tcPr>
          <w:p w14:paraId="7802F525"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lang w:val="pt-PT"/>
              </w:rPr>
              <w:lastRenderedPageBreak/>
              <w:t xml:space="preserve">Nelinha André - </w:t>
            </w:r>
            <w:r w:rsidRPr="00292532">
              <w:rPr>
                <w:rFonts w:eastAsia="Calibri" w:cs="Calibri"/>
                <w:lang w:val="pt-PT"/>
              </w:rPr>
              <w:t xml:space="preserve">residente do bairro 25 de </w:t>
            </w:r>
            <w:proofErr w:type="gramStart"/>
            <w:r w:rsidRPr="00292532">
              <w:rPr>
                <w:rFonts w:eastAsia="Calibri" w:cs="Calibri"/>
                <w:lang w:val="pt-PT"/>
              </w:rPr>
              <w:t>Setembro</w:t>
            </w:r>
            <w:proofErr w:type="gramEnd"/>
          </w:p>
          <w:p w14:paraId="24837A97" w14:textId="77777777" w:rsidR="00CE785A" w:rsidRPr="00292532" w:rsidRDefault="00CE785A" w:rsidP="00CE785A">
            <w:pPr>
              <w:spacing w:before="0" w:after="0" w:line="276" w:lineRule="auto"/>
              <w:jc w:val="left"/>
              <w:rPr>
                <w:rFonts w:eastAsia="Calibri" w:cs="Calibri"/>
                <w:lang w:val="pt-PT"/>
              </w:rPr>
            </w:pPr>
          </w:p>
          <w:p w14:paraId="6302A6EE"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lang w:val="pt-PT"/>
              </w:rPr>
              <w:t>Teresa</w:t>
            </w:r>
            <w:r w:rsidRPr="00292532">
              <w:rPr>
                <w:rFonts w:eastAsia="Calibri" w:cs="Times New Roman"/>
                <w:b/>
                <w:lang w:val="pt-PT"/>
              </w:rPr>
              <w:t xml:space="preserve"> José </w:t>
            </w:r>
            <w:r w:rsidRPr="00292532">
              <w:rPr>
                <w:rFonts w:eastAsia="Calibri" w:cs="Calibri"/>
                <w:lang w:val="pt-PT"/>
              </w:rPr>
              <w:t>presidente da associação dos comerciantes informais de Mocuba</w:t>
            </w:r>
          </w:p>
          <w:p w14:paraId="77CADB83" w14:textId="77777777" w:rsidR="00CE785A" w:rsidRPr="00292532" w:rsidRDefault="00CE785A" w:rsidP="00CE785A">
            <w:pPr>
              <w:spacing w:before="0" w:after="0" w:line="276" w:lineRule="auto"/>
              <w:jc w:val="left"/>
              <w:rPr>
                <w:rFonts w:eastAsia="Calibri" w:cs="Calibri"/>
                <w:lang w:val="pt-PT"/>
              </w:rPr>
            </w:pPr>
          </w:p>
          <w:p w14:paraId="3C5435BD" w14:textId="77777777" w:rsidR="00CE785A" w:rsidRPr="00292532" w:rsidRDefault="00CE785A" w:rsidP="00CE785A">
            <w:pPr>
              <w:spacing w:before="0" w:after="0" w:line="276" w:lineRule="auto"/>
              <w:jc w:val="left"/>
              <w:rPr>
                <w:rFonts w:eastAsia="Calibri" w:cs="Times New Roman"/>
                <w:lang w:val="pt-PT"/>
              </w:rPr>
            </w:pPr>
            <w:r w:rsidRPr="00292532">
              <w:rPr>
                <w:rFonts w:eastAsia="Calibri" w:cs="Times New Roman"/>
                <w:b/>
                <w:lang w:val="pt-PT"/>
              </w:rPr>
              <w:t xml:space="preserve">Sérgio José Ibrahim </w:t>
            </w:r>
            <w:proofErr w:type="spellStart"/>
            <w:r w:rsidRPr="00292532">
              <w:rPr>
                <w:rFonts w:eastAsia="Calibri" w:cs="Times New Roman"/>
                <w:b/>
                <w:lang w:val="pt-PT"/>
              </w:rPr>
              <w:t>Mistafe</w:t>
            </w:r>
            <w:proofErr w:type="spellEnd"/>
            <w:r w:rsidRPr="00292532">
              <w:rPr>
                <w:rFonts w:eastAsia="Calibri" w:cs="Times New Roman"/>
                <w:b/>
                <w:lang w:val="pt-PT"/>
              </w:rPr>
              <w:t xml:space="preserve"> </w:t>
            </w:r>
            <w:r w:rsidRPr="00292532">
              <w:rPr>
                <w:rFonts w:eastAsia="Calibri" w:cs="Times New Roman"/>
                <w:lang w:val="pt-PT"/>
              </w:rPr>
              <w:t>- técnico de urbanização e construção</w:t>
            </w:r>
          </w:p>
        </w:tc>
      </w:tr>
      <w:tr w:rsidR="00CE785A" w:rsidRPr="004E2EAC" w14:paraId="609CAFEE" w14:textId="77777777" w:rsidTr="00CE785A">
        <w:tc>
          <w:tcPr>
            <w:tcW w:w="2132" w:type="dxa"/>
            <w:tcBorders>
              <w:top w:val="single" w:sz="4" w:space="0" w:color="auto"/>
              <w:left w:val="single" w:sz="4" w:space="0" w:color="auto"/>
              <w:bottom w:val="single" w:sz="4" w:space="0" w:color="auto"/>
              <w:right w:val="single" w:sz="4" w:space="0" w:color="auto"/>
            </w:tcBorders>
            <w:vAlign w:val="center"/>
            <w:hideMark/>
          </w:tcPr>
          <w:p w14:paraId="2893E7EB"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bCs/>
                <w:lang w:val="pt-PT"/>
              </w:rPr>
              <w:t xml:space="preserve">Preocupações ou recomendações adicionais para o </w:t>
            </w:r>
            <w:proofErr w:type="spellStart"/>
            <w:r w:rsidRPr="00292532">
              <w:rPr>
                <w:rFonts w:eastAsia="Calibri" w:cs="Calibri"/>
                <w:b/>
                <w:bCs/>
                <w:lang w:val="pt-PT"/>
              </w:rPr>
              <w:t>projecto</w:t>
            </w:r>
            <w:proofErr w:type="spellEnd"/>
            <w:r w:rsidRPr="00292532">
              <w:rPr>
                <w:rFonts w:eastAsia="Calibri" w:cs="Calibri"/>
                <w:b/>
                <w:bCs/>
                <w:lang w:val="pt-PT"/>
              </w:rPr>
              <w:t>.</w:t>
            </w:r>
          </w:p>
        </w:tc>
        <w:tc>
          <w:tcPr>
            <w:tcW w:w="5948" w:type="dxa"/>
            <w:tcBorders>
              <w:top w:val="single" w:sz="4" w:space="0" w:color="auto"/>
              <w:left w:val="single" w:sz="4" w:space="0" w:color="auto"/>
              <w:bottom w:val="single" w:sz="4" w:space="0" w:color="auto"/>
              <w:right w:val="single" w:sz="4" w:space="0" w:color="auto"/>
            </w:tcBorders>
            <w:vAlign w:val="center"/>
          </w:tcPr>
          <w:p w14:paraId="4D34DED6"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szCs w:val="24"/>
                <w:lang w:val="pt-PT"/>
              </w:rPr>
            </w:pPr>
            <w:r w:rsidRPr="00292532">
              <w:rPr>
                <w:rFonts w:eastAsia="Calibri" w:cs="Calibri"/>
                <w:szCs w:val="24"/>
                <w:lang w:val="pt-PT"/>
              </w:rPr>
              <w:t xml:space="preserve">Para o </w:t>
            </w:r>
            <w:proofErr w:type="spellStart"/>
            <w:r w:rsidRPr="00292532">
              <w:rPr>
                <w:rFonts w:eastAsia="Calibri" w:cs="Calibri"/>
                <w:szCs w:val="24"/>
                <w:lang w:val="pt-PT"/>
              </w:rPr>
              <w:t>projecto</w:t>
            </w:r>
            <w:proofErr w:type="spellEnd"/>
            <w:r w:rsidRPr="00292532">
              <w:rPr>
                <w:rFonts w:eastAsia="Calibri" w:cs="Calibri"/>
                <w:szCs w:val="24"/>
                <w:lang w:val="pt-PT"/>
              </w:rPr>
              <w:t xml:space="preserve">, eu recomendaria que antes da sua implantação, fosse feito um mapeamento de todas as localidades de cada distrito a implementar tanto para água, assim como para saneamento, por forma a se identificar todos os locais prioritários para a implementação do </w:t>
            </w:r>
            <w:proofErr w:type="spellStart"/>
            <w:r w:rsidRPr="00292532">
              <w:rPr>
                <w:rFonts w:eastAsia="Calibri" w:cs="Calibri"/>
                <w:szCs w:val="24"/>
                <w:lang w:val="pt-PT"/>
              </w:rPr>
              <w:t>projecto</w:t>
            </w:r>
            <w:proofErr w:type="spellEnd"/>
            <w:r w:rsidRPr="00292532">
              <w:rPr>
                <w:rFonts w:eastAsia="Calibri" w:cs="Calibri"/>
                <w:szCs w:val="24"/>
                <w:lang w:val="pt-PT"/>
              </w:rPr>
              <w:t xml:space="preserve">, pois já aconteceu que em alguns </w:t>
            </w:r>
            <w:proofErr w:type="spellStart"/>
            <w:r w:rsidRPr="00292532">
              <w:rPr>
                <w:rFonts w:eastAsia="Calibri" w:cs="Calibri"/>
                <w:szCs w:val="24"/>
                <w:lang w:val="pt-PT"/>
              </w:rPr>
              <w:t>projectos</w:t>
            </w:r>
            <w:proofErr w:type="spellEnd"/>
            <w:r w:rsidRPr="00292532">
              <w:rPr>
                <w:rFonts w:eastAsia="Calibri" w:cs="Calibri"/>
                <w:szCs w:val="24"/>
                <w:lang w:val="pt-PT"/>
              </w:rPr>
              <w:t xml:space="preserve"> anteriores, os benefícios fossem destinados a  comunidades não necessitadas, fazendo assim a duplicação dos benefícios em certas comunidades e outras comunidades continuando no estado de vulnerabilidade. A distribuição de tampas sépticas também seria uma forma eficaz para impulsionar as comunidades a aderirem no processo de estabelecimento de sanitários.</w:t>
            </w:r>
          </w:p>
          <w:p w14:paraId="0055A7FD"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szCs w:val="24"/>
                <w:lang w:val="pt-PT"/>
              </w:rPr>
            </w:pPr>
            <w:r w:rsidRPr="00292532">
              <w:rPr>
                <w:rFonts w:eastAsia="Calibri" w:cs="Calibri"/>
                <w:szCs w:val="24"/>
                <w:lang w:val="pt-PT"/>
              </w:rPr>
              <w:t xml:space="preserve">É importante que sejam implantadas </w:t>
            </w:r>
            <w:proofErr w:type="spellStart"/>
            <w:r w:rsidRPr="00292532">
              <w:rPr>
                <w:rFonts w:eastAsia="Calibri" w:cs="Calibri"/>
                <w:szCs w:val="24"/>
                <w:lang w:val="pt-PT"/>
              </w:rPr>
              <w:t>infra-estruturas</w:t>
            </w:r>
            <w:proofErr w:type="spellEnd"/>
            <w:r w:rsidRPr="00292532">
              <w:rPr>
                <w:rFonts w:eastAsia="Calibri" w:cs="Calibri"/>
                <w:szCs w:val="24"/>
                <w:lang w:val="pt-PT"/>
              </w:rPr>
              <w:t xml:space="preserve"> sanitárias nas principais paragens de transportes públicos. A implantação desse tipo de infraestruturas em locais públicos, não só reduz a prática das necessidades biológicas ao nível dos locais públicos, o que deixa as mulheres expostas ao público, mas também serve como um recurso de sensibilização das pessoas para que optem por implantar esse tipo de infraestruturas ao nível domiciliar.</w:t>
            </w:r>
          </w:p>
          <w:p w14:paraId="711A4C21"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szCs w:val="24"/>
                <w:lang w:val="pt-PT"/>
              </w:rPr>
            </w:pPr>
            <w:r w:rsidRPr="00292532">
              <w:rPr>
                <w:rFonts w:eastAsia="Calibri" w:cs="Calibri"/>
                <w:szCs w:val="24"/>
                <w:lang w:val="pt-PT"/>
              </w:rPr>
              <w:t xml:space="preserve">E gostaríamos que contratassem alguns jovens para fazerem parte das </w:t>
            </w:r>
            <w:proofErr w:type="spellStart"/>
            <w:r w:rsidRPr="00292532">
              <w:rPr>
                <w:rFonts w:eastAsia="Calibri" w:cs="Calibri"/>
                <w:szCs w:val="24"/>
                <w:lang w:val="pt-PT"/>
              </w:rPr>
              <w:t>actividades</w:t>
            </w:r>
            <w:proofErr w:type="spellEnd"/>
            <w:r w:rsidRPr="00292532">
              <w:rPr>
                <w:rFonts w:eastAsia="Calibri" w:cs="Calibri"/>
                <w:szCs w:val="24"/>
                <w:lang w:val="pt-PT"/>
              </w:rPr>
              <w:t>.</w:t>
            </w:r>
          </w:p>
          <w:p w14:paraId="18E7892D"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szCs w:val="24"/>
                <w:lang w:val="pt-PT"/>
              </w:rPr>
            </w:pPr>
            <w:r w:rsidRPr="00292532">
              <w:rPr>
                <w:rFonts w:eastAsia="Calibri" w:cs="Calibri"/>
                <w:szCs w:val="24"/>
                <w:lang w:val="pt-PT"/>
              </w:rPr>
              <w:t xml:space="preserve">Esperamos que com esse </w:t>
            </w:r>
            <w:proofErr w:type="spellStart"/>
            <w:r w:rsidRPr="00292532">
              <w:rPr>
                <w:rFonts w:eastAsia="Calibri" w:cs="Calibri"/>
                <w:szCs w:val="24"/>
                <w:lang w:val="pt-PT"/>
              </w:rPr>
              <w:t>projecto</w:t>
            </w:r>
            <w:proofErr w:type="spellEnd"/>
            <w:r w:rsidRPr="00292532">
              <w:rPr>
                <w:rFonts w:eastAsia="Calibri" w:cs="Calibri"/>
                <w:szCs w:val="24"/>
                <w:lang w:val="pt-PT"/>
              </w:rPr>
              <w:t xml:space="preserve"> sejam </w:t>
            </w:r>
            <w:proofErr w:type="gramStart"/>
            <w:r w:rsidRPr="00292532">
              <w:rPr>
                <w:rFonts w:eastAsia="Calibri" w:cs="Calibri"/>
                <w:szCs w:val="24"/>
                <w:lang w:val="pt-PT"/>
              </w:rPr>
              <w:t>reabilitados</w:t>
            </w:r>
            <w:proofErr w:type="gramEnd"/>
            <w:r w:rsidRPr="00292532">
              <w:rPr>
                <w:rFonts w:eastAsia="Calibri" w:cs="Calibri"/>
                <w:szCs w:val="24"/>
                <w:lang w:val="pt-PT"/>
              </w:rPr>
              <w:t xml:space="preserve"> infraestruturas de abastecimento de água e que sejam construídas outras fontes em outros bairros para reduzir o esforço que os residentes aplicam na busca de água, sendo que algumas pessoas atrasam a escola ou serviço pois devem </w:t>
            </w:r>
            <w:r w:rsidRPr="00292532">
              <w:rPr>
                <w:rFonts w:eastAsia="Calibri" w:cs="Calibri"/>
                <w:szCs w:val="24"/>
                <w:lang w:val="pt-PT"/>
              </w:rPr>
              <w:lastRenderedPageBreak/>
              <w:t>vir até essa fonte para buscar água antes de iniciar outras tarefas.</w:t>
            </w:r>
          </w:p>
          <w:p w14:paraId="05863687"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szCs w:val="24"/>
                <w:lang w:val="pt-PT"/>
              </w:rPr>
            </w:pPr>
            <w:r w:rsidRPr="00292532">
              <w:rPr>
                <w:rFonts w:eastAsia="Calibri" w:cs="Calibri"/>
                <w:szCs w:val="24"/>
                <w:lang w:val="pt-PT"/>
              </w:rPr>
              <w:t>A recomendação que deixo para a área sanitária é que qualquer local a implantar alguma infraestrutura sanitária, deve também acompanhar com abastecimento de água. Deve se assegurar que a água é acessível para todos, principalmente na escola onde as crianças são ensinadas a lavar as mãos depois de usar os balneários. Como é que se pode ensinar algo em que no próprio local de captação de conhecimento não tem condições de aplicar?</w:t>
            </w:r>
          </w:p>
        </w:tc>
        <w:tc>
          <w:tcPr>
            <w:tcW w:w="2268" w:type="dxa"/>
            <w:tcBorders>
              <w:top w:val="single" w:sz="4" w:space="0" w:color="auto"/>
              <w:left w:val="single" w:sz="4" w:space="0" w:color="auto"/>
              <w:bottom w:val="single" w:sz="4" w:space="0" w:color="auto"/>
              <w:right w:val="single" w:sz="4" w:space="0" w:color="auto"/>
            </w:tcBorders>
            <w:vAlign w:val="center"/>
          </w:tcPr>
          <w:p w14:paraId="08E68ED8"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lang w:val="pt-PT"/>
              </w:rPr>
              <w:lastRenderedPageBreak/>
              <w:t xml:space="preserve">Teresa José - </w:t>
            </w:r>
            <w:r w:rsidRPr="00292532">
              <w:rPr>
                <w:rFonts w:eastAsia="Calibri" w:cs="Calibri"/>
                <w:lang w:val="pt-PT"/>
              </w:rPr>
              <w:t>presidente da associação dos comerciantes informais de Mocuba</w:t>
            </w:r>
          </w:p>
          <w:p w14:paraId="1002B7FB" w14:textId="77777777" w:rsidR="00CE785A" w:rsidRPr="00292532" w:rsidRDefault="00CE785A" w:rsidP="00CE785A">
            <w:pPr>
              <w:spacing w:before="0" w:after="0" w:line="276" w:lineRule="auto"/>
              <w:jc w:val="left"/>
              <w:rPr>
                <w:rFonts w:eastAsia="Calibri" w:cs="Calibri"/>
                <w:b/>
                <w:lang w:val="pt-PT"/>
              </w:rPr>
            </w:pPr>
          </w:p>
          <w:p w14:paraId="5358E4E9"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lang w:val="pt-PT"/>
              </w:rPr>
              <w:t xml:space="preserve">Armindo </w:t>
            </w:r>
            <w:r w:rsidRPr="00292532">
              <w:rPr>
                <w:rFonts w:eastAsia="Calibri" w:cs="Calibri"/>
                <w:lang w:val="pt-PT"/>
              </w:rPr>
              <w:t>- membro da Associação dos Comerciantes Informais de Mocuba</w:t>
            </w:r>
          </w:p>
          <w:p w14:paraId="1452987D" w14:textId="77777777" w:rsidR="00CE785A" w:rsidRPr="00292532" w:rsidRDefault="00CE785A" w:rsidP="00CE785A">
            <w:pPr>
              <w:spacing w:before="0" w:after="0" w:line="276" w:lineRule="auto"/>
              <w:jc w:val="left"/>
              <w:rPr>
                <w:rFonts w:eastAsia="Calibri" w:cs="Calibri"/>
                <w:b/>
                <w:lang w:val="pt-PT"/>
              </w:rPr>
            </w:pPr>
          </w:p>
          <w:p w14:paraId="3FB09EB8"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lang w:val="pt-PT"/>
              </w:rPr>
              <w:t xml:space="preserve">José Elias - </w:t>
            </w:r>
            <w:r w:rsidRPr="00292532">
              <w:rPr>
                <w:rFonts w:eastAsia="Calibri" w:cs="Calibri"/>
                <w:lang w:val="pt-PT"/>
              </w:rPr>
              <w:t xml:space="preserve">Operador do sistema de abastecimento de água do bairro 25 de </w:t>
            </w:r>
            <w:proofErr w:type="gramStart"/>
            <w:r w:rsidRPr="00292532">
              <w:rPr>
                <w:rFonts w:eastAsia="Calibri" w:cs="Calibri"/>
                <w:lang w:val="pt-PT"/>
              </w:rPr>
              <w:t>Setembro</w:t>
            </w:r>
            <w:proofErr w:type="gramEnd"/>
          </w:p>
          <w:p w14:paraId="75C5D23B" w14:textId="77777777" w:rsidR="00CE785A" w:rsidRPr="00292532" w:rsidRDefault="00CE785A" w:rsidP="00CE785A">
            <w:pPr>
              <w:spacing w:before="0" w:after="0" w:line="276" w:lineRule="auto"/>
              <w:jc w:val="left"/>
              <w:rPr>
                <w:rFonts w:eastAsia="Calibri" w:cs="Calibri"/>
                <w:u w:val="single"/>
                <w:lang w:val="pt-PT"/>
              </w:rPr>
            </w:pPr>
          </w:p>
          <w:p w14:paraId="411F1606" w14:textId="77777777" w:rsidR="00CE785A" w:rsidRPr="00292532" w:rsidRDefault="00CE785A" w:rsidP="00CE785A">
            <w:pPr>
              <w:spacing w:before="0" w:after="0" w:line="276" w:lineRule="auto"/>
              <w:jc w:val="left"/>
              <w:rPr>
                <w:rFonts w:eastAsia="Calibri" w:cs="Calibri"/>
                <w:u w:val="single"/>
                <w:lang w:val="pt-PT"/>
              </w:rPr>
            </w:pPr>
            <w:r w:rsidRPr="00292532">
              <w:rPr>
                <w:rFonts w:eastAsia="Calibri" w:cs="Calibri"/>
                <w:b/>
                <w:lang w:val="pt-PT"/>
              </w:rPr>
              <w:t xml:space="preserve">Nelinha André - </w:t>
            </w:r>
            <w:r w:rsidRPr="00292532">
              <w:rPr>
                <w:rFonts w:eastAsia="Calibri" w:cs="Calibri"/>
                <w:lang w:val="pt-PT"/>
              </w:rPr>
              <w:t xml:space="preserve">residente do bairro 25 de </w:t>
            </w:r>
            <w:proofErr w:type="gramStart"/>
            <w:r w:rsidRPr="00292532">
              <w:rPr>
                <w:rFonts w:eastAsia="Calibri" w:cs="Calibri"/>
                <w:lang w:val="pt-PT"/>
              </w:rPr>
              <w:t>Setembro</w:t>
            </w:r>
            <w:proofErr w:type="gramEnd"/>
          </w:p>
        </w:tc>
      </w:tr>
      <w:tr w:rsidR="00CE785A" w:rsidRPr="004E2EAC" w14:paraId="6DC42A47" w14:textId="77777777" w:rsidTr="00CE785A">
        <w:tc>
          <w:tcPr>
            <w:tcW w:w="2132" w:type="dxa"/>
            <w:tcBorders>
              <w:top w:val="single" w:sz="4" w:space="0" w:color="auto"/>
              <w:left w:val="single" w:sz="4" w:space="0" w:color="auto"/>
              <w:bottom w:val="single" w:sz="4" w:space="0" w:color="auto"/>
              <w:right w:val="single" w:sz="4" w:space="0" w:color="auto"/>
            </w:tcBorders>
            <w:vAlign w:val="center"/>
          </w:tcPr>
          <w:p w14:paraId="76162FCC" w14:textId="77777777" w:rsidR="00CE785A" w:rsidRPr="00292532" w:rsidRDefault="00CE785A" w:rsidP="00CE785A">
            <w:pPr>
              <w:spacing w:before="0" w:after="0" w:line="276" w:lineRule="auto"/>
              <w:jc w:val="left"/>
              <w:rPr>
                <w:rFonts w:eastAsia="Calibri" w:cs="Calibri"/>
                <w:b/>
                <w:bCs/>
                <w:lang w:val="pt-PT"/>
              </w:rPr>
            </w:pPr>
            <w:r w:rsidRPr="00292532">
              <w:rPr>
                <w:rFonts w:eastAsia="Calibri" w:cs="Calibri"/>
                <w:b/>
                <w:bCs/>
                <w:lang w:val="pt-PT"/>
              </w:rPr>
              <w:t xml:space="preserve">Experiência do distrito com questões de reassentamento </w:t>
            </w:r>
          </w:p>
        </w:tc>
        <w:tc>
          <w:tcPr>
            <w:tcW w:w="5948" w:type="dxa"/>
            <w:tcBorders>
              <w:top w:val="single" w:sz="4" w:space="0" w:color="auto"/>
              <w:left w:val="single" w:sz="4" w:space="0" w:color="auto"/>
              <w:bottom w:val="single" w:sz="4" w:space="0" w:color="auto"/>
              <w:right w:val="single" w:sz="4" w:space="0" w:color="auto"/>
            </w:tcBorders>
            <w:vAlign w:val="center"/>
          </w:tcPr>
          <w:p w14:paraId="4C34AC5B"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Das experiências anteriores de construção e reabilitação de </w:t>
            </w:r>
            <w:r w:rsidRPr="00292532">
              <w:rPr>
                <w:rFonts w:eastAsia="Calibri" w:cs="Calibri"/>
                <w:szCs w:val="24"/>
                <w:lang w:val="pt-PT"/>
              </w:rPr>
              <w:t>sistemas</w:t>
            </w:r>
            <w:r w:rsidRPr="00292532">
              <w:rPr>
                <w:rFonts w:eastAsia="Calibri" w:cs="Calibri"/>
                <w:lang w:val="pt-PT"/>
              </w:rPr>
              <w:t xml:space="preserve"> de abastecimento de água, os processos foram muito onerosos. Por se tratar de sistemas que muita das vezes seguem infraestruturas lineares, demanda processos de compensação, pois em algumas comunidades, as infraestruturas habitacionais estão próximas </w:t>
            </w:r>
            <w:proofErr w:type="gramStart"/>
            <w:r w:rsidRPr="00292532">
              <w:rPr>
                <w:rFonts w:eastAsia="Calibri" w:cs="Calibri"/>
                <w:lang w:val="pt-PT"/>
              </w:rPr>
              <w:t>ás</w:t>
            </w:r>
            <w:proofErr w:type="gramEnd"/>
            <w:r w:rsidRPr="00292532">
              <w:rPr>
                <w:rFonts w:eastAsia="Calibri" w:cs="Calibri"/>
                <w:lang w:val="pt-PT"/>
              </w:rPr>
              <w:t xml:space="preserve"> estradas, o que requereu a destruição de parte de casas, muros para a sua instalação. E sabendo que as pequenas cidades surgem sempre acompanhados de assentamentos informais, faz com que os custos sejam onerosos para fazer chegar algum sistema de abastecimento de água ao nível das comunidades. Um levantamento preciso para a implantação de condutas é sempre necessário para a definição de locais onde os processos serão menos onerosos.</w:t>
            </w:r>
          </w:p>
        </w:tc>
        <w:tc>
          <w:tcPr>
            <w:tcW w:w="2268" w:type="dxa"/>
            <w:tcBorders>
              <w:top w:val="single" w:sz="4" w:space="0" w:color="auto"/>
              <w:left w:val="single" w:sz="4" w:space="0" w:color="auto"/>
              <w:bottom w:val="single" w:sz="4" w:space="0" w:color="auto"/>
              <w:right w:val="single" w:sz="4" w:space="0" w:color="auto"/>
            </w:tcBorders>
            <w:vAlign w:val="center"/>
          </w:tcPr>
          <w:p w14:paraId="1BC4F3A8" w14:textId="77777777" w:rsidR="00CE785A" w:rsidRPr="00292532" w:rsidRDefault="00CE785A" w:rsidP="00CE785A">
            <w:pPr>
              <w:spacing w:before="0" w:after="0" w:line="276" w:lineRule="auto"/>
              <w:jc w:val="left"/>
              <w:rPr>
                <w:rFonts w:eastAsia="Calibri" w:cs="Calibri"/>
                <w:b/>
                <w:lang w:val="pt-PT"/>
              </w:rPr>
            </w:pPr>
            <w:r w:rsidRPr="00292532">
              <w:rPr>
                <w:rFonts w:eastAsia="Calibri" w:cs="Times New Roman"/>
                <w:b/>
                <w:lang w:val="pt-PT"/>
              </w:rPr>
              <w:t xml:space="preserve">Sérgio José Ibrahim </w:t>
            </w:r>
            <w:proofErr w:type="spellStart"/>
            <w:r w:rsidRPr="00292532">
              <w:rPr>
                <w:rFonts w:eastAsia="Calibri" w:cs="Times New Roman"/>
                <w:b/>
                <w:lang w:val="pt-PT"/>
              </w:rPr>
              <w:t>Mistafe</w:t>
            </w:r>
            <w:proofErr w:type="spellEnd"/>
            <w:r w:rsidRPr="00292532">
              <w:rPr>
                <w:rFonts w:eastAsia="Calibri" w:cs="Times New Roman"/>
                <w:b/>
                <w:lang w:val="pt-PT"/>
              </w:rPr>
              <w:t xml:space="preserve"> </w:t>
            </w:r>
            <w:r w:rsidRPr="00292532">
              <w:rPr>
                <w:rFonts w:eastAsia="Calibri" w:cs="Times New Roman"/>
                <w:lang w:val="pt-PT"/>
              </w:rPr>
              <w:t>- técnico de urbanização e construção</w:t>
            </w:r>
          </w:p>
        </w:tc>
      </w:tr>
      <w:tr w:rsidR="00CE785A" w:rsidRPr="004E2EAC" w14:paraId="6E23685F" w14:textId="77777777" w:rsidTr="00CE785A">
        <w:tc>
          <w:tcPr>
            <w:tcW w:w="2132" w:type="dxa"/>
            <w:tcBorders>
              <w:top w:val="single" w:sz="4" w:space="0" w:color="auto"/>
              <w:left w:val="single" w:sz="4" w:space="0" w:color="auto"/>
              <w:bottom w:val="single" w:sz="4" w:space="0" w:color="auto"/>
              <w:right w:val="single" w:sz="4" w:space="0" w:color="auto"/>
            </w:tcBorders>
            <w:vAlign w:val="center"/>
          </w:tcPr>
          <w:p w14:paraId="1996D31E" w14:textId="77777777" w:rsidR="00CE785A" w:rsidRPr="00292532" w:rsidRDefault="00CE785A" w:rsidP="00CE785A">
            <w:pPr>
              <w:spacing w:before="0" w:after="0" w:line="276" w:lineRule="auto"/>
              <w:jc w:val="left"/>
              <w:rPr>
                <w:rFonts w:eastAsia="Calibri" w:cs="Calibri"/>
                <w:b/>
                <w:bCs/>
                <w:lang w:val="pt-PT"/>
              </w:rPr>
            </w:pPr>
            <w:r w:rsidRPr="00292532">
              <w:rPr>
                <w:rFonts w:eastAsia="Calibri" w:cs="Calibri"/>
                <w:b/>
                <w:bCs/>
                <w:lang w:val="pt-PT"/>
              </w:rPr>
              <w:t xml:space="preserve">Desafios </w:t>
            </w:r>
            <w:proofErr w:type="spellStart"/>
            <w:r w:rsidRPr="00292532">
              <w:rPr>
                <w:rFonts w:eastAsia="Calibri" w:cs="Calibri"/>
                <w:b/>
                <w:bCs/>
                <w:lang w:val="pt-PT"/>
              </w:rPr>
              <w:t>actuais</w:t>
            </w:r>
            <w:proofErr w:type="spellEnd"/>
            <w:r w:rsidRPr="00292532">
              <w:rPr>
                <w:rFonts w:eastAsia="Calibri" w:cs="Calibri"/>
                <w:b/>
                <w:bCs/>
                <w:lang w:val="pt-PT"/>
              </w:rPr>
              <w:t xml:space="preserve"> na comunidade devido aos ataques em Cabo Delgado (presença de deslocados, pressão adicional sobre a segurança, infraestruturas e </w:t>
            </w:r>
            <w:proofErr w:type="spellStart"/>
            <w:r w:rsidRPr="00292532">
              <w:rPr>
                <w:rFonts w:eastAsia="Calibri" w:cs="Calibri"/>
                <w:b/>
                <w:bCs/>
                <w:lang w:val="pt-PT"/>
              </w:rPr>
              <w:t>servicos</w:t>
            </w:r>
            <w:proofErr w:type="spellEnd"/>
            <w:r w:rsidRPr="00292532">
              <w:rPr>
                <w:rFonts w:eastAsia="Calibri" w:cs="Calibri"/>
                <w:b/>
                <w:bCs/>
                <w:lang w:val="pt-PT"/>
              </w:rPr>
              <w:t>.</w:t>
            </w:r>
          </w:p>
        </w:tc>
        <w:tc>
          <w:tcPr>
            <w:tcW w:w="5948" w:type="dxa"/>
            <w:tcBorders>
              <w:top w:val="single" w:sz="4" w:space="0" w:color="auto"/>
              <w:left w:val="single" w:sz="4" w:space="0" w:color="auto"/>
              <w:bottom w:val="single" w:sz="4" w:space="0" w:color="auto"/>
              <w:right w:val="single" w:sz="4" w:space="0" w:color="auto"/>
            </w:tcBorders>
            <w:vAlign w:val="center"/>
          </w:tcPr>
          <w:p w14:paraId="4A2DD9F9"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Quanto aos deslocados internos, foram identificados e registados 50 indivíduos deslocados de Cabo Delgado, que </w:t>
            </w:r>
            <w:proofErr w:type="spellStart"/>
            <w:r w:rsidRPr="00292532">
              <w:rPr>
                <w:rFonts w:eastAsia="Calibri" w:cs="Calibri"/>
                <w:lang w:val="pt-PT"/>
              </w:rPr>
              <w:t>actualmente</w:t>
            </w:r>
            <w:proofErr w:type="spellEnd"/>
            <w:r w:rsidRPr="00292532">
              <w:rPr>
                <w:rFonts w:eastAsia="Calibri" w:cs="Calibri"/>
                <w:lang w:val="pt-PT"/>
              </w:rPr>
              <w:t xml:space="preserve"> estão na zona de reassentamento criada apenas para os deslocados. Foram estabelecidos sistemas de abastecimento de água e sistemas sanitários. Temos um grande parceiro que é a UNICEF e tem vindo a desempenhar grande esforço para suprir com as necessidades dos deslocados. Ainda não consideramos como caso de grande preocupação a incidência desses 50 deslocados internos pois ainda é possível gerir essa situação sem grandes esforços.</w:t>
            </w:r>
          </w:p>
        </w:tc>
        <w:tc>
          <w:tcPr>
            <w:tcW w:w="2268" w:type="dxa"/>
            <w:tcBorders>
              <w:top w:val="single" w:sz="4" w:space="0" w:color="auto"/>
              <w:left w:val="single" w:sz="4" w:space="0" w:color="auto"/>
              <w:bottom w:val="single" w:sz="4" w:space="0" w:color="auto"/>
              <w:right w:val="single" w:sz="4" w:space="0" w:color="auto"/>
            </w:tcBorders>
            <w:vAlign w:val="center"/>
          </w:tcPr>
          <w:p w14:paraId="5C100883"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lang w:val="pt-PT"/>
              </w:rPr>
              <w:t xml:space="preserve">Sérgio José Ibrahim </w:t>
            </w:r>
            <w:proofErr w:type="spellStart"/>
            <w:r w:rsidRPr="00292532">
              <w:rPr>
                <w:rFonts w:eastAsia="Calibri" w:cs="Calibri"/>
                <w:b/>
                <w:lang w:val="pt-PT"/>
              </w:rPr>
              <w:t>Mistafe</w:t>
            </w:r>
            <w:proofErr w:type="spellEnd"/>
            <w:r w:rsidRPr="00292532">
              <w:rPr>
                <w:rFonts w:eastAsia="Calibri" w:cs="Calibri"/>
                <w:b/>
                <w:lang w:val="pt-PT"/>
              </w:rPr>
              <w:t xml:space="preserve"> - </w:t>
            </w:r>
            <w:r w:rsidRPr="00292532">
              <w:rPr>
                <w:rFonts w:eastAsia="Calibri" w:cs="Calibri"/>
                <w:lang w:val="pt-PT"/>
              </w:rPr>
              <w:t>técnico urbanização e construção C. Municipal)</w:t>
            </w:r>
          </w:p>
        </w:tc>
      </w:tr>
      <w:tr w:rsidR="00CE785A" w:rsidRPr="004E2EAC" w14:paraId="7E4509AA" w14:textId="77777777" w:rsidTr="00CE785A">
        <w:tc>
          <w:tcPr>
            <w:tcW w:w="2132" w:type="dxa"/>
            <w:tcBorders>
              <w:top w:val="single" w:sz="4" w:space="0" w:color="auto"/>
              <w:left w:val="single" w:sz="4" w:space="0" w:color="auto"/>
              <w:bottom w:val="single" w:sz="4" w:space="0" w:color="auto"/>
              <w:right w:val="single" w:sz="4" w:space="0" w:color="auto"/>
            </w:tcBorders>
            <w:vAlign w:val="center"/>
            <w:hideMark/>
          </w:tcPr>
          <w:p w14:paraId="5F67FC18" w14:textId="77777777" w:rsidR="00CE785A" w:rsidRPr="00292532" w:rsidRDefault="00CE785A" w:rsidP="00CE785A">
            <w:pPr>
              <w:spacing w:before="0" w:after="0" w:line="276" w:lineRule="auto"/>
              <w:jc w:val="left"/>
              <w:rPr>
                <w:rFonts w:eastAsia="Calibri" w:cs="Calibri"/>
                <w:lang w:val="pt-PT"/>
              </w:rPr>
            </w:pPr>
          </w:p>
          <w:p w14:paraId="333F2107" w14:textId="77777777" w:rsidR="00CE785A" w:rsidRPr="00292532" w:rsidRDefault="00CE785A" w:rsidP="00CE785A">
            <w:pPr>
              <w:spacing w:before="0" w:after="0" w:line="276" w:lineRule="auto"/>
              <w:jc w:val="left"/>
              <w:rPr>
                <w:rFonts w:eastAsia="Calibri" w:cs="Calibri"/>
                <w:b/>
                <w:bCs/>
                <w:lang w:val="pt-PT"/>
              </w:rPr>
            </w:pPr>
            <w:r w:rsidRPr="00292532">
              <w:rPr>
                <w:rFonts w:eastAsia="Calibri" w:cs="Calibri"/>
                <w:b/>
                <w:bCs/>
                <w:lang w:val="pt-PT"/>
              </w:rPr>
              <w:t>Mecanismo de Gestão de Reclamação e conflitos a nível local.</w:t>
            </w:r>
          </w:p>
        </w:tc>
        <w:tc>
          <w:tcPr>
            <w:tcW w:w="5948" w:type="dxa"/>
            <w:tcBorders>
              <w:top w:val="single" w:sz="4" w:space="0" w:color="auto"/>
              <w:left w:val="single" w:sz="4" w:space="0" w:color="auto"/>
              <w:bottom w:val="single" w:sz="4" w:space="0" w:color="auto"/>
              <w:right w:val="single" w:sz="4" w:space="0" w:color="auto"/>
            </w:tcBorders>
            <w:vAlign w:val="center"/>
          </w:tcPr>
          <w:p w14:paraId="17E2CA22"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A nível local, qualquer problema que temos, dirigimos ao régulo. Caso não seja resolvido pelas próprias pessoas que se desentenderam. Caso não seja resolvido, ele como representante da comunidade acompanha o caso para a administração para ser resolvido</w:t>
            </w:r>
          </w:p>
        </w:tc>
        <w:tc>
          <w:tcPr>
            <w:tcW w:w="2268" w:type="dxa"/>
            <w:tcBorders>
              <w:top w:val="single" w:sz="4" w:space="0" w:color="auto"/>
              <w:left w:val="single" w:sz="4" w:space="0" w:color="auto"/>
              <w:bottom w:val="single" w:sz="4" w:space="0" w:color="auto"/>
              <w:right w:val="single" w:sz="4" w:space="0" w:color="auto"/>
            </w:tcBorders>
            <w:vAlign w:val="center"/>
          </w:tcPr>
          <w:p w14:paraId="727143DA"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lang w:val="pt-PT"/>
              </w:rPr>
              <w:t xml:space="preserve">Rosa </w:t>
            </w:r>
            <w:proofErr w:type="spellStart"/>
            <w:r w:rsidRPr="00292532">
              <w:rPr>
                <w:rFonts w:eastAsia="Calibri" w:cs="Calibri"/>
                <w:b/>
                <w:lang w:val="pt-PT"/>
              </w:rPr>
              <w:t>Malfo</w:t>
            </w:r>
            <w:proofErr w:type="spellEnd"/>
            <w:r w:rsidRPr="00292532">
              <w:rPr>
                <w:rFonts w:eastAsia="Calibri" w:cs="Calibri"/>
                <w:b/>
                <w:lang w:val="pt-PT"/>
              </w:rPr>
              <w:t xml:space="preserve"> </w:t>
            </w:r>
            <w:r w:rsidRPr="00292532">
              <w:rPr>
                <w:rFonts w:eastAsia="Calibri" w:cs="Calibri"/>
                <w:lang w:val="pt-PT"/>
              </w:rPr>
              <w:t xml:space="preserve">-residente do bairro 25 de </w:t>
            </w:r>
            <w:proofErr w:type="gramStart"/>
            <w:r w:rsidRPr="00292532">
              <w:rPr>
                <w:rFonts w:eastAsia="Calibri" w:cs="Calibri"/>
                <w:lang w:val="pt-PT"/>
              </w:rPr>
              <w:t>Setembro</w:t>
            </w:r>
            <w:proofErr w:type="gramEnd"/>
            <w:r w:rsidRPr="00292532">
              <w:rPr>
                <w:rFonts w:eastAsia="Calibri" w:cs="Calibri"/>
                <w:lang w:val="pt-PT"/>
              </w:rPr>
              <w:t xml:space="preserve"> </w:t>
            </w:r>
          </w:p>
        </w:tc>
      </w:tr>
      <w:tr w:rsidR="00CE785A" w:rsidRPr="004E2EAC" w14:paraId="58231A00" w14:textId="77777777" w:rsidTr="00CE785A">
        <w:trPr>
          <w:trHeight w:val="3061"/>
        </w:trPr>
        <w:tc>
          <w:tcPr>
            <w:tcW w:w="2132" w:type="dxa"/>
            <w:tcBorders>
              <w:top w:val="single" w:sz="4" w:space="0" w:color="auto"/>
              <w:left w:val="single" w:sz="4" w:space="0" w:color="auto"/>
              <w:right w:val="single" w:sz="4" w:space="0" w:color="auto"/>
            </w:tcBorders>
            <w:vAlign w:val="center"/>
            <w:hideMark/>
          </w:tcPr>
          <w:p w14:paraId="3990A82F" w14:textId="77777777" w:rsidR="00CE785A" w:rsidRPr="00292532" w:rsidRDefault="00CE785A" w:rsidP="00CE785A">
            <w:pPr>
              <w:spacing w:before="0" w:after="0" w:line="259" w:lineRule="auto"/>
              <w:jc w:val="left"/>
              <w:rPr>
                <w:rFonts w:eastAsia="Calibri" w:cs="Calibri"/>
                <w:b/>
                <w:bCs/>
                <w:lang w:val="pt-PT"/>
              </w:rPr>
            </w:pPr>
            <w:proofErr w:type="spellStart"/>
            <w:r w:rsidRPr="00292532">
              <w:rPr>
                <w:rFonts w:eastAsia="Calibri" w:cs="Calibri"/>
                <w:b/>
                <w:bCs/>
                <w:lang w:val="pt-PT"/>
              </w:rPr>
              <w:lastRenderedPageBreak/>
              <w:t>Aspectos</w:t>
            </w:r>
            <w:proofErr w:type="spellEnd"/>
            <w:r w:rsidRPr="00292532">
              <w:rPr>
                <w:rFonts w:eastAsia="Calibri" w:cs="Calibri"/>
                <w:b/>
                <w:bCs/>
                <w:lang w:val="pt-PT"/>
              </w:rPr>
              <w:t xml:space="preserve"> importantes a salvaguardar durante a execução do </w:t>
            </w:r>
            <w:proofErr w:type="spellStart"/>
            <w:r w:rsidRPr="00292532">
              <w:rPr>
                <w:rFonts w:eastAsia="Calibri" w:cs="Calibri"/>
                <w:b/>
                <w:bCs/>
                <w:lang w:val="pt-PT"/>
              </w:rPr>
              <w:t>projecto</w:t>
            </w:r>
            <w:proofErr w:type="spellEnd"/>
            <w:r w:rsidRPr="00292532">
              <w:rPr>
                <w:rFonts w:eastAsia="Calibri" w:cs="Calibri"/>
                <w:b/>
                <w:bCs/>
                <w:lang w:val="pt-PT"/>
              </w:rPr>
              <w:t>.</w:t>
            </w:r>
          </w:p>
          <w:p w14:paraId="7D90DC6D" w14:textId="77777777" w:rsidR="00CE785A" w:rsidRPr="00292532" w:rsidRDefault="00CE785A" w:rsidP="00CE785A">
            <w:pPr>
              <w:spacing w:before="0" w:after="0" w:line="276" w:lineRule="auto"/>
              <w:jc w:val="left"/>
              <w:rPr>
                <w:rFonts w:eastAsia="Calibri" w:cs="Calibri"/>
                <w:lang w:val="pt-PT"/>
              </w:rPr>
            </w:pPr>
          </w:p>
        </w:tc>
        <w:tc>
          <w:tcPr>
            <w:tcW w:w="5948" w:type="dxa"/>
            <w:tcBorders>
              <w:top w:val="single" w:sz="4" w:space="0" w:color="auto"/>
              <w:left w:val="single" w:sz="4" w:space="0" w:color="auto"/>
              <w:right w:val="single" w:sz="4" w:space="0" w:color="auto"/>
            </w:tcBorders>
            <w:vAlign w:val="center"/>
          </w:tcPr>
          <w:p w14:paraId="39653B22"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É importante que o </w:t>
            </w:r>
            <w:proofErr w:type="spellStart"/>
            <w:r w:rsidRPr="00292532">
              <w:rPr>
                <w:rFonts w:eastAsia="Calibri" w:cs="Calibri"/>
                <w:lang w:val="pt-PT"/>
              </w:rPr>
              <w:t>projecto</w:t>
            </w:r>
            <w:proofErr w:type="spellEnd"/>
            <w:r w:rsidRPr="00292532">
              <w:rPr>
                <w:rFonts w:eastAsia="Calibri" w:cs="Calibri"/>
                <w:lang w:val="pt-PT"/>
              </w:rPr>
              <w:t xml:space="preserve"> integre de forma participativa toda a comunidade, só desse modo serão reduzidos os custos com conflitos, reassentamentos físicos ou compensações.</w:t>
            </w:r>
          </w:p>
          <w:p w14:paraId="7B9A52CD"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É importante que sejam identificados os locais a implementar o </w:t>
            </w:r>
            <w:proofErr w:type="spellStart"/>
            <w:r w:rsidRPr="00292532">
              <w:rPr>
                <w:rFonts w:eastAsia="Calibri" w:cs="Calibri"/>
                <w:lang w:val="pt-PT"/>
              </w:rPr>
              <w:t>projecto</w:t>
            </w:r>
            <w:proofErr w:type="spellEnd"/>
            <w:r w:rsidRPr="00292532">
              <w:rPr>
                <w:rFonts w:eastAsia="Calibri" w:cs="Calibri"/>
                <w:lang w:val="pt-PT"/>
              </w:rPr>
              <w:t xml:space="preserve"> e seja comunicada a comunidade, mesmo as comunidades não abrangidas </w:t>
            </w:r>
            <w:proofErr w:type="spellStart"/>
            <w:r w:rsidRPr="00292532">
              <w:rPr>
                <w:rFonts w:eastAsia="Calibri" w:cs="Calibri"/>
                <w:lang w:val="pt-PT"/>
              </w:rPr>
              <w:t>directamente</w:t>
            </w:r>
            <w:proofErr w:type="spellEnd"/>
            <w:r w:rsidRPr="00292532">
              <w:rPr>
                <w:rFonts w:eastAsia="Calibri" w:cs="Calibri"/>
                <w:lang w:val="pt-PT"/>
              </w:rPr>
              <w:t xml:space="preserve"> pelo </w:t>
            </w:r>
            <w:proofErr w:type="spellStart"/>
            <w:r w:rsidRPr="00292532">
              <w:rPr>
                <w:rFonts w:eastAsia="Calibri" w:cs="Calibri"/>
                <w:lang w:val="pt-PT"/>
              </w:rPr>
              <w:t>projecto</w:t>
            </w:r>
            <w:proofErr w:type="spellEnd"/>
            <w:r w:rsidRPr="00292532">
              <w:rPr>
                <w:rFonts w:eastAsia="Calibri" w:cs="Calibri"/>
                <w:lang w:val="pt-PT"/>
              </w:rPr>
              <w:t xml:space="preserve">, é importante que estejam envolvidos para não se sentirem excluídas do </w:t>
            </w:r>
            <w:proofErr w:type="spellStart"/>
            <w:r w:rsidRPr="00292532">
              <w:rPr>
                <w:rFonts w:eastAsia="Calibri" w:cs="Calibri"/>
                <w:lang w:val="pt-PT"/>
              </w:rPr>
              <w:t>projecto</w:t>
            </w:r>
            <w:proofErr w:type="spellEnd"/>
            <w:r w:rsidRPr="00292532">
              <w:rPr>
                <w:rFonts w:eastAsia="Calibri" w:cs="Calibri"/>
                <w:lang w:val="pt-PT"/>
              </w:rPr>
              <w:t>.</w:t>
            </w:r>
          </w:p>
          <w:p w14:paraId="6A677F4D"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Em qualquer processo que requeira reassentamento ou compensação deve ser avisada a comunidade e acordada a forma como será feita a compensação ou reassentamento.</w:t>
            </w:r>
          </w:p>
        </w:tc>
        <w:tc>
          <w:tcPr>
            <w:tcW w:w="2268" w:type="dxa"/>
            <w:tcBorders>
              <w:top w:val="single" w:sz="4" w:space="0" w:color="auto"/>
              <w:left w:val="single" w:sz="4" w:space="0" w:color="auto"/>
              <w:right w:val="single" w:sz="4" w:space="0" w:color="auto"/>
            </w:tcBorders>
            <w:vAlign w:val="center"/>
          </w:tcPr>
          <w:p w14:paraId="1F8B9E7E"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lang w:val="pt-PT"/>
              </w:rPr>
              <w:t xml:space="preserve">Sérgio José Ibrahim </w:t>
            </w:r>
            <w:proofErr w:type="spellStart"/>
            <w:r w:rsidRPr="00292532">
              <w:rPr>
                <w:rFonts w:eastAsia="Calibri" w:cs="Calibri"/>
                <w:b/>
                <w:lang w:val="pt-PT"/>
              </w:rPr>
              <w:t>Mistafe</w:t>
            </w:r>
            <w:proofErr w:type="spellEnd"/>
            <w:r w:rsidRPr="00292532">
              <w:rPr>
                <w:rFonts w:eastAsia="Calibri" w:cs="Calibri"/>
                <w:b/>
                <w:lang w:val="pt-PT"/>
              </w:rPr>
              <w:t xml:space="preserve"> - </w:t>
            </w:r>
            <w:r w:rsidRPr="00292532">
              <w:rPr>
                <w:rFonts w:eastAsia="Calibri" w:cs="Calibri"/>
                <w:lang w:val="pt-PT"/>
              </w:rPr>
              <w:t xml:space="preserve">Técnico urbanização e construção </w:t>
            </w:r>
            <w:proofErr w:type="spellStart"/>
            <w:proofErr w:type="gramStart"/>
            <w:r w:rsidRPr="00292532">
              <w:rPr>
                <w:rFonts w:eastAsia="Calibri" w:cs="Calibri"/>
                <w:lang w:val="pt-PT"/>
              </w:rPr>
              <w:t>C.Municipal</w:t>
            </w:r>
            <w:proofErr w:type="spellEnd"/>
            <w:proofErr w:type="gramEnd"/>
            <w:r w:rsidRPr="00292532">
              <w:rPr>
                <w:rFonts w:eastAsia="Calibri" w:cs="Calibri"/>
                <w:lang w:val="pt-PT"/>
              </w:rPr>
              <w:t>)</w:t>
            </w:r>
          </w:p>
          <w:p w14:paraId="4A4C025E" w14:textId="77777777" w:rsidR="00CE785A" w:rsidRPr="00292532" w:rsidRDefault="00CE785A" w:rsidP="00CE785A">
            <w:pPr>
              <w:spacing w:before="0" w:after="0" w:line="276" w:lineRule="auto"/>
              <w:jc w:val="left"/>
              <w:rPr>
                <w:rFonts w:eastAsia="Calibri" w:cs="Calibri"/>
                <w:lang w:val="pt-PT"/>
              </w:rPr>
            </w:pPr>
          </w:p>
          <w:p w14:paraId="6103ABA2" w14:textId="77777777" w:rsidR="00CE785A" w:rsidRPr="00292532" w:rsidRDefault="00CE785A" w:rsidP="00CE785A">
            <w:pPr>
              <w:spacing w:before="0" w:after="0" w:line="276" w:lineRule="auto"/>
              <w:jc w:val="left"/>
              <w:rPr>
                <w:rFonts w:eastAsia="Calibri" w:cs="Calibri"/>
                <w:lang w:val="pt-PT"/>
              </w:rPr>
            </w:pPr>
            <w:proofErr w:type="spellStart"/>
            <w:r w:rsidRPr="00292532">
              <w:rPr>
                <w:rFonts w:eastAsia="Calibri" w:cs="Calibri"/>
                <w:b/>
                <w:lang w:val="pt-PT"/>
              </w:rPr>
              <w:t>Faizal</w:t>
            </w:r>
            <w:proofErr w:type="spellEnd"/>
            <w:r w:rsidRPr="00292532">
              <w:rPr>
                <w:rFonts w:eastAsia="Calibri" w:cs="Calibri"/>
                <w:b/>
                <w:lang w:val="pt-PT"/>
              </w:rPr>
              <w:t xml:space="preserve"> Duarte - </w:t>
            </w:r>
            <w:r w:rsidRPr="00292532">
              <w:rPr>
                <w:rFonts w:eastAsia="Calibri" w:cs="Calibri"/>
                <w:lang w:val="pt-PT"/>
              </w:rPr>
              <w:t xml:space="preserve">Técnico urbanização e construção </w:t>
            </w:r>
            <w:proofErr w:type="spellStart"/>
            <w:proofErr w:type="gramStart"/>
            <w:r w:rsidRPr="00292532">
              <w:rPr>
                <w:rFonts w:eastAsia="Calibri" w:cs="Calibri"/>
                <w:lang w:val="pt-PT"/>
              </w:rPr>
              <w:t>C.Municipal</w:t>
            </w:r>
            <w:proofErr w:type="spellEnd"/>
            <w:proofErr w:type="gramEnd"/>
            <w:r w:rsidRPr="00292532">
              <w:rPr>
                <w:rFonts w:eastAsia="Calibri" w:cs="Calibri"/>
                <w:lang w:val="pt-PT"/>
              </w:rPr>
              <w:t>)</w:t>
            </w:r>
          </w:p>
          <w:p w14:paraId="64DC5DBC" w14:textId="77777777" w:rsidR="00CE785A" w:rsidRPr="00292532" w:rsidRDefault="00CE785A" w:rsidP="00CE785A">
            <w:pPr>
              <w:spacing w:before="0" w:after="0" w:line="276" w:lineRule="auto"/>
              <w:jc w:val="left"/>
              <w:rPr>
                <w:rFonts w:eastAsia="Calibri" w:cs="Calibri"/>
                <w:b/>
                <w:lang w:val="pt-PT"/>
              </w:rPr>
            </w:pPr>
          </w:p>
          <w:p w14:paraId="7504E71C"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lang w:val="pt-PT"/>
              </w:rPr>
              <w:t>Nelinha André -</w:t>
            </w:r>
            <w:r w:rsidRPr="00292532">
              <w:rPr>
                <w:rFonts w:eastAsia="Calibri" w:cs="Calibri"/>
                <w:lang w:val="pt-PT"/>
              </w:rPr>
              <w:t xml:space="preserve">residente do bairro 25 de </w:t>
            </w:r>
            <w:proofErr w:type="gramStart"/>
            <w:r w:rsidRPr="00292532">
              <w:rPr>
                <w:rFonts w:eastAsia="Calibri" w:cs="Calibri"/>
                <w:lang w:val="pt-PT"/>
              </w:rPr>
              <w:t>Setembro</w:t>
            </w:r>
            <w:proofErr w:type="gramEnd"/>
          </w:p>
        </w:tc>
      </w:tr>
      <w:tr w:rsidR="00CE785A" w:rsidRPr="004E2EAC" w14:paraId="0025A590" w14:textId="77777777" w:rsidTr="00CE785A">
        <w:tc>
          <w:tcPr>
            <w:tcW w:w="2132" w:type="dxa"/>
            <w:tcBorders>
              <w:top w:val="single" w:sz="4" w:space="0" w:color="auto"/>
              <w:left w:val="single" w:sz="4" w:space="0" w:color="auto"/>
              <w:bottom w:val="single" w:sz="4" w:space="0" w:color="auto"/>
              <w:right w:val="single" w:sz="4" w:space="0" w:color="auto"/>
            </w:tcBorders>
            <w:vAlign w:val="center"/>
            <w:hideMark/>
          </w:tcPr>
          <w:p w14:paraId="55A96384"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bCs/>
                <w:lang w:val="pt-PT"/>
              </w:rPr>
              <w:t>Recrutamento de Mão-de-Obra.</w:t>
            </w:r>
          </w:p>
        </w:tc>
        <w:tc>
          <w:tcPr>
            <w:tcW w:w="5948" w:type="dxa"/>
            <w:tcBorders>
              <w:top w:val="single" w:sz="4" w:space="0" w:color="auto"/>
              <w:left w:val="single" w:sz="4" w:space="0" w:color="auto"/>
              <w:bottom w:val="single" w:sz="4" w:space="0" w:color="auto"/>
              <w:right w:val="single" w:sz="4" w:space="0" w:color="auto"/>
            </w:tcBorders>
            <w:vAlign w:val="center"/>
          </w:tcPr>
          <w:p w14:paraId="5E5B9FE9"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Em </w:t>
            </w:r>
            <w:proofErr w:type="spellStart"/>
            <w:r w:rsidRPr="00292532">
              <w:rPr>
                <w:rFonts w:eastAsia="Calibri" w:cs="Calibri"/>
                <w:lang w:val="pt-PT"/>
              </w:rPr>
              <w:t>projectos</w:t>
            </w:r>
            <w:proofErr w:type="spellEnd"/>
            <w:r w:rsidRPr="00292532">
              <w:rPr>
                <w:rFonts w:eastAsia="Calibri" w:cs="Calibri"/>
                <w:lang w:val="pt-PT"/>
              </w:rPr>
              <w:t xml:space="preserve"> anteriores, o recrutamento não foi muito transparente, sendo que os empreiteiros chegavam já com a mão de obra integrada. No início os líderes comunitários informavam sobre oportunidades existentes, mas </w:t>
            </w:r>
            <w:proofErr w:type="spellStart"/>
            <w:r w:rsidRPr="00292532">
              <w:rPr>
                <w:rFonts w:eastAsia="Calibri" w:cs="Calibri"/>
                <w:lang w:val="pt-PT"/>
              </w:rPr>
              <w:t>actualmente</w:t>
            </w:r>
            <w:proofErr w:type="spellEnd"/>
            <w:r w:rsidRPr="00292532">
              <w:rPr>
                <w:rFonts w:eastAsia="Calibri" w:cs="Calibri"/>
                <w:lang w:val="pt-PT"/>
              </w:rPr>
              <w:t xml:space="preserve"> mesmo o líder comunitário não é envolvido no processo de divulgação de oportunidades.</w:t>
            </w:r>
          </w:p>
        </w:tc>
        <w:tc>
          <w:tcPr>
            <w:tcW w:w="2268" w:type="dxa"/>
            <w:tcBorders>
              <w:top w:val="single" w:sz="4" w:space="0" w:color="auto"/>
              <w:left w:val="single" w:sz="4" w:space="0" w:color="auto"/>
              <w:bottom w:val="single" w:sz="4" w:space="0" w:color="auto"/>
              <w:right w:val="single" w:sz="4" w:space="0" w:color="auto"/>
            </w:tcBorders>
            <w:vAlign w:val="center"/>
          </w:tcPr>
          <w:p w14:paraId="7C128921"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lang w:val="pt-PT"/>
              </w:rPr>
              <w:t>Eunice Octávio -</w:t>
            </w:r>
            <w:r w:rsidRPr="00292532">
              <w:rPr>
                <w:rFonts w:eastAsia="Calibri" w:cs="Calibri"/>
                <w:lang w:val="pt-PT"/>
              </w:rPr>
              <w:t xml:space="preserve">residente do bairro 25 de </w:t>
            </w:r>
            <w:proofErr w:type="gramStart"/>
            <w:r w:rsidRPr="00292532">
              <w:rPr>
                <w:rFonts w:eastAsia="Calibri" w:cs="Calibri"/>
                <w:lang w:val="pt-PT"/>
              </w:rPr>
              <w:t>Setembro</w:t>
            </w:r>
            <w:proofErr w:type="gramEnd"/>
          </w:p>
          <w:p w14:paraId="6E23AEDF" w14:textId="77777777" w:rsidR="00CE785A" w:rsidRPr="00292532" w:rsidRDefault="00CE785A" w:rsidP="00CE785A">
            <w:pPr>
              <w:spacing w:before="0" w:after="0" w:line="276" w:lineRule="auto"/>
              <w:jc w:val="left"/>
              <w:rPr>
                <w:rFonts w:eastAsia="Calibri" w:cs="Calibri"/>
                <w:lang w:val="pt-PT"/>
              </w:rPr>
            </w:pPr>
          </w:p>
          <w:p w14:paraId="69F892D3" w14:textId="77777777" w:rsidR="00CE785A" w:rsidRPr="00292532" w:rsidRDefault="00CE785A" w:rsidP="00CE785A">
            <w:pPr>
              <w:spacing w:before="0" w:after="0" w:line="276" w:lineRule="auto"/>
              <w:jc w:val="left"/>
              <w:rPr>
                <w:rFonts w:eastAsia="Calibri" w:cs="Calibri"/>
                <w:lang w:val="pt-PT"/>
              </w:rPr>
            </w:pPr>
            <w:proofErr w:type="spellStart"/>
            <w:r w:rsidRPr="00292532">
              <w:rPr>
                <w:rFonts w:eastAsia="Calibri" w:cs="Calibri"/>
                <w:b/>
                <w:lang w:val="pt-PT"/>
              </w:rPr>
              <w:t>Sandifa</w:t>
            </w:r>
            <w:proofErr w:type="spellEnd"/>
            <w:r w:rsidRPr="00292532">
              <w:rPr>
                <w:rFonts w:eastAsia="Calibri" w:cs="Calibri"/>
                <w:b/>
                <w:lang w:val="pt-PT"/>
              </w:rPr>
              <w:t xml:space="preserve"> Marques-</w:t>
            </w:r>
            <w:r w:rsidRPr="00292532">
              <w:rPr>
                <w:rFonts w:eastAsia="Calibri" w:cs="Calibri"/>
                <w:lang w:val="pt-PT"/>
              </w:rPr>
              <w:t xml:space="preserve">residente do bairro 25 de </w:t>
            </w:r>
            <w:proofErr w:type="gramStart"/>
            <w:r w:rsidRPr="00292532">
              <w:rPr>
                <w:rFonts w:eastAsia="Calibri" w:cs="Calibri"/>
                <w:lang w:val="pt-PT"/>
              </w:rPr>
              <w:t>Setembro</w:t>
            </w:r>
            <w:proofErr w:type="gramEnd"/>
          </w:p>
        </w:tc>
      </w:tr>
      <w:tr w:rsidR="00CE785A" w:rsidRPr="004E2EAC" w14:paraId="5566296C" w14:textId="77777777" w:rsidTr="00CE785A">
        <w:trPr>
          <w:trHeight w:val="745"/>
        </w:trPr>
        <w:tc>
          <w:tcPr>
            <w:tcW w:w="21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4D30EC"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bCs/>
                <w:lang w:val="pt-PT"/>
              </w:rPr>
              <w:t xml:space="preserve">Nível de </w:t>
            </w:r>
            <w:proofErr w:type="spellStart"/>
            <w:r w:rsidRPr="00292532">
              <w:rPr>
                <w:rFonts w:eastAsia="Calibri" w:cs="Calibri"/>
                <w:b/>
                <w:bCs/>
                <w:lang w:val="pt-PT"/>
              </w:rPr>
              <w:t>interacção</w:t>
            </w:r>
            <w:proofErr w:type="spellEnd"/>
            <w:r w:rsidRPr="00292532">
              <w:rPr>
                <w:rFonts w:eastAsia="Calibri" w:cs="Calibri"/>
                <w:b/>
                <w:bCs/>
                <w:lang w:val="pt-PT"/>
              </w:rPr>
              <w:t xml:space="preserve"> entre o empreiteiro e a comunidade.</w:t>
            </w:r>
          </w:p>
        </w:tc>
        <w:tc>
          <w:tcPr>
            <w:tcW w:w="5948" w:type="dxa"/>
            <w:tcBorders>
              <w:top w:val="single" w:sz="4" w:space="0" w:color="auto"/>
              <w:left w:val="single" w:sz="4" w:space="0" w:color="auto"/>
              <w:bottom w:val="single" w:sz="4" w:space="0" w:color="auto"/>
              <w:right w:val="single" w:sz="4" w:space="0" w:color="auto"/>
            </w:tcBorders>
            <w:shd w:val="clear" w:color="auto" w:fill="auto"/>
            <w:vAlign w:val="center"/>
          </w:tcPr>
          <w:p w14:paraId="0F5A9CA3"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Houve tempos em que para a realização dos trabalhos eram convocados os residentes da comunidade e o régulo no processo de auscultação. Mas nos últimos </w:t>
            </w:r>
            <w:proofErr w:type="spellStart"/>
            <w:r w:rsidRPr="00292532">
              <w:rPr>
                <w:rFonts w:eastAsia="Calibri" w:cs="Calibri"/>
                <w:lang w:val="pt-PT"/>
              </w:rPr>
              <w:t>projectos</w:t>
            </w:r>
            <w:proofErr w:type="spellEnd"/>
            <w:r w:rsidRPr="00292532">
              <w:rPr>
                <w:rFonts w:eastAsia="Calibri" w:cs="Calibri"/>
                <w:lang w:val="pt-PT"/>
              </w:rPr>
              <w:t xml:space="preserve">, pouco se tem envolvido a comunidade, apenas vemos as obras a decorrerem e só são feitas listas e pequenas reuniões para pessoas que serão atingidas pelo </w:t>
            </w:r>
            <w:proofErr w:type="spellStart"/>
            <w:r w:rsidRPr="00292532">
              <w:rPr>
                <w:rFonts w:eastAsia="Calibri" w:cs="Calibri"/>
                <w:lang w:val="pt-PT"/>
              </w:rPr>
              <w:t>projecto</w:t>
            </w:r>
            <w:proofErr w:type="spellEnd"/>
            <w:r w:rsidRPr="00292532">
              <w:rPr>
                <w:rFonts w:eastAsia="Calibri" w:cs="Calibri"/>
                <w:lang w:val="pt-PT"/>
              </w:rPr>
              <w:t xml:space="preserve">, por exemplo quando pretende-se usar uma parte da terra de alguém ou machamba a ou quando quer se retirar a banca, como o caso </w:t>
            </w:r>
            <w:proofErr w:type="spellStart"/>
            <w:r w:rsidRPr="00292532">
              <w:rPr>
                <w:rFonts w:eastAsia="Calibri" w:cs="Calibri"/>
                <w:lang w:val="pt-PT"/>
              </w:rPr>
              <w:t>actual</w:t>
            </w:r>
            <w:proofErr w:type="spellEnd"/>
            <w:r w:rsidRPr="00292532">
              <w:rPr>
                <w:rFonts w:eastAsia="Calibri" w:cs="Calibri"/>
                <w:lang w:val="pt-PT"/>
              </w:rPr>
              <w:t xml:space="preserve"> em que no processo de alargamento das estradas, foram retiradas pessoas que tinham suas barracas próximo a estrada.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2237E558" w14:textId="77777777" w:rsidR="00CE785A" w:rsidRPr="00292532" w:rsidRDefault="00CE785A" w:rsidP="00CE785A">
            <w:pPr>
              <w:spacing w:before="0" w:after="0" w:line="276" w:lineRule="auto"/>
              <w:jc w:val="left"/>
              <w:rPr>
                <w:rFonts w:eastAsia="Calibri" w:cs="Calibri"/>
                <w:lang w:val="pt-PT"/>
              </w:rPr>
            </w:pPr>
            <w:proofErr w:type="spellStart"/>
            <w:r w:rsidRPr="00292532">
              <w:rPr>
                <w:rFonts w:eastAsia="Calibri" w:cs="Calibri"/>
                <w:b/>
                <w:lang w:val="pt-PT"/>
              </w:rPr>
              <w:t>Sandefa</w:t>
            </w:r>
            <w:proofErr w:type="spellEnd"/>
            <w:r w:rsidRPr="00292532">
              <w:rPr>
                <w:rFonts w:eastAsia="Calibri" w:cs="Calibri"/>
                <w:b/>
                <w:lang w:val="pt-PT"/>
              </w:rPr>
              <w:t xml:space="preserve"> Marques</w:t>
            </w:r>
            <w:r w:rsidRPr="00292532">
              <w:rPr>
                <w:rFonts w:eastAsia="Calibri" w:cs="Calibri"/>
                <w:lang w:val="pt-PT"/>
              </w:rPr>
              <w:t xml:space="preserve"> - residente do bairro 25 de </w:t>
            </w:r>
            <w:proofErr w:type="gramStart"/>
            <w:r w:rsidRPr="00292532">
              <w:rPr>
                <w:rFonts w:eastAsia="Calibri" w:cs="Calibri"/>
                <w:lang w:val="pt-PT"/>
              </w:rPr>
              <w:t>Setembro</w:t>
            </w:r>
            <w:proofErr w:type="gramEnd"/>
          </w:p>
        </w:tc>
      </w:tr>
      <w:tr w:rsidR="00CE785A" w:rsidRPr="004E2EAC" w14:paraId="53BE0762" w14:textId="77777777" w:rsidTr="00CE785A">
        <w:tc>
          <w:tcPr>
            <w:tcW w:w="2132" w:type="dxa"/>
            <w:tcBorders>
              <w:top w:val="single" w:sz="4" w:space="0" w:color="auto"/>
              <w:left w:val="single" w:sz="4" w:space="0" w:color="auto"/>
              <w:bottom w:val="single" w:sz="4" w:space="0" w:color="auto"/>
              <w:right w:val="single" w:sz="4" w:space="0" w:color="auto"/>
            </w:tcBorders>
            <w:vAlign w:val="center"/>
          </w:tcPr>
          <w:p w14:paraId="4B5006E0" w14:textId="77777777" w:rsidR="00CE785A" w:rsidRPr="00292532" w:rsidRDefault="00CE785A" w:rsidP="00CE785A">
            <w:pPr>
              <w:spacing w:before="0" w:after="0" w:line="276" w:lineRule="auto"/>
              <w:jc w:val="left"/>
              <w:rPr>
                <w:rFonts w:eastAsia="Calibri" w:cs="Calibri"/>
                <w:b/>
                <w:bCs/>
                <w:lang w:val="pt-PT"/>
              </w:rPr>
            </w:pPr>
            <w:r w:rsidRPr="00292532">
              <w:rPr>
                <w:rFonts w:eastAsia="Calibri" w:cs="Calibri"/>
                <w:b/>
                <w:bCs/>
                <w:lang w:val="pt-PT"/>
              </w:rPr>
              <w:t xml:space="preserve">Principais problemas, riscos e impactos </w:t>
            </w:r>
            <w:proofErr w:type="spellStart"/>
            <w:r w:rsidRPr="00292532">
              <w:rPr>
                <w:rFonts w:eastAsia="Calibri" w:cs="Calibri"/>
                <w:b/>
                <w:bCs/>
                <w:lang w:val="pt-PT"/>
              </w:rPr>
              <w:t>actuais</w:t>
            </w:r>
            <w:proofErr w:type="spellEnd"/>
            <w:r w:rsidRPr="00292532">
              <w:rPr>
                <w:rFonts w:eastAsia="Calibri" w:cs="Calibri"/>
                <w:b/>
                <w:bCs/>
                <w:lang w:val="pt-PT"/>
              </w:rPr>
              <w:t xml:space="preserve"> na busca de água:</w:t>
            </w:r>
          </w:p>
        </w:tc>
        <w:tc>
          <w:tcPr>
            <w:tcW w:w="5948" w:type="dxa"/>
            <w:tcBorders>
              <w:top w:val="single" w:sz="4" w:space="0" w:color="auto"/>
              <w:left w:val="single" w:sz="4" w:space="0" w:color="auto"/>
              <w:bottom w:val="single" w:sz="4" w:space="0" w:color="auto"/>
              <w:right w:val="single" w:sz="4" w:space="0" w:color="auto"/>
            </w:tcBorders>
            <w:vAlign w:val="center"/>
          </w:tcPr>
          <w:p w14:paraId="582495C4"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proofErr w:type="spellStart"/>
            <w:r w:rsidRPr="00292532">
              <w:rPr>
                <w:rFonts w:eastAsia="Calibri" w:cs="Calibri"/>
                <w:lang w:val="pt-PT"/>
              </w:rPr>
              <w:t>Actualmente</w:t>
            </w:r>
            <w:proofErr w:type="spellEnd"/>
            <w:r w:rsidRPr="00292532">
              <w:rPr>
                <w:rFonts w:eastAsia="Calibri" w:cs="Calibri"/>
                <w:lang w:val="pt-PT"/>
              </w:rPr>
              <w:t xml:space="preserve"> o principal problema é surgimento de discussões durante a busca de água e pelo facto de a água não estar disponível facilmente, devendo esperar muito tempo para encher os tanques, faz com que alguns atrasem nos seus trabalhos e escola.</w:t>
            </w:r>
          </w:p>
          <w:p w14:paraId="0E926A9B"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Nunca foi reportado nenhum caso que alguém tenha sofrido durante a busca de água, tais como agressões, roubo ou </w:t>
            </w:r>
            <w:r w:rsidRPr="00292532">
              <w:rPr>
                <w:rFonts w:eastAsia="Calibri" w:cs="Calibri"/>
                <w:lang w:val="pt-PT"/>
              </w:rPr>
              <w:lastRenderedPageBreak/>
              <w:t>violação. Apenas discussões frequentes nas filas durante a busca de água.</w:t>
            </w:r>
          </w:p>
          <w:p w14:paraId="22106D17" w14:textId="77777777" w:rsidR="00CE785A" w:rsidRPr="00292532" w:rsidRDefault="00CE785A" w:rsidP="00CE785A">
            <w:pPr>
              <w:spacing w:before="0" w:after="0"/>
              <w:ind w:left="720"/>
              <w:contextualSpacing/>
              <w:jc w:val="left"/>
              <w:rPr>
                <w:rFonts w:eastAsia="Calibri" w:cs="Calibri"/>
                <w:lang w:val="pt-PT"/>
              </w:rPr>
            </w:pPr>
          </w:p>
        </w:tc>
        <w:tc>
          <w:tcPr>
            <w:tcW w:w="2268" w:type="dxa"/>
            <w:tcBorders>
              <w:top w:val="single" w:sz="4" w:space="0" w:color="auto"/>
              <w:left w:val="single" w:sz="4" w:space="0" w:color="auto"/>
              <w:bottom w:val="single" w:sz="4" w:space="0" w:color="auto"/>
              <w:right w:val="single" w:sz="4" w:space="0" w:color="auto"/>
            </w:tcBorders>
            <w:vAlign w:val="center"/>
          </w:tcPr>
          <w:p w14:paraId="6B35C858"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lang w:val="pt-PT"/>
              </w:rPr>
              <w:lastRenderedPageBreak/>
              <w:t>Laura Salário –</w:t>
            </w:r>
            <w:r w:rsidRPr="00292532">
              <w:rPr>
                <w:rFonts w:eastAsia="Calibri" w:cs="Calibri"/>
                <w:lang w:val="pt-PT"/>
              </w:rPr>
              <w:t xml:space="preserve"> Operadora de sistema de abastecimento de água</w:t>
            </w:r>
          </w:p>
          <w:p w14:paraId="0953D2A1" w14:textId="77777777" w:rsidR="00CE785A" w:rsidRPr="00292532" w:rsidRDefault="00CE785A" w:rsidP="00CE785A">
            <w:pPr>
              <w:spacing w:before="0" w:after="0" w:line="276" w:lineRule="auto"/>
              <w:jc w:val="left"/>
              <w:rPr>
                <w:rFonts w:eastAsia="Calibri" w:cs="Calibri"/>
                <w:lang w:val="pt-PT"/>
              </w:rPr>
            </w:pPr>
          </w:p>
          <w:p w14:paraId="6FC42B4C"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lang w:val="pt-PT"/>
              </w:rPr>
              <w:lastRenderedPageBreak/>
              <w:t xml:space="preserve">Nita </w:t>
            </w:r>
            <w:proofErr w:type="spellStart"/>
            <w:r w:rsidRPr="00292532">
              <w:rPr>
                <w:rFonts w:eastAsia="Calibri" w:cs="Calibri"/>
                <w:b/>
                <w:lang w:val="pt-PT"/>
              </w:rPr>
              <w:t>Sulumano</w:t>
            </w:r>
            <w:proofErr w:type="spellEnd"/>
            <w:r w:rsidRPr="00292532">
              <w:rPr>
                <w:rFonts w:eastAsia="Calibri" w:cs="Calibri"/>
                <w:lang w:val="pt-PT"/>
              </w:rPr>
              <w:t xml:space="preserve"> – Residente do Bairro 25 de Setembro</w:t>
            </w:r>
          </w:p>
        </w:tc>
      </w:tr>
    </w:tbl>
    <w:p w14:paraId="3C2E0F59" w14:textId="77777777" w:rsidR="00CE785A" w:rsidRPr="00292532" w:rsidRDefault="00CE785A" w:rsidP="00CE785A">
      <w:pPr>
        <w:spacing w:before="0" w:after="0" w:line="259" w:lineRule="auto"/>
        <w:jc w:val="left"/>
        <w:rPr>
          <w:rFonts w:eastAsia="Calibri" w:cs="Calibri"/>
          <w:lang w:val="pt-PT"/>
        </w:rPr>
      </w:pPr>
    </w:p>
    <w:p w14:paraId="4E0F8D84" w14:textId="2EC7E228" w:rsidR="00CE785A" w:rsidRPr="00292532" w:rsidRDefault="00CE785A" w:rsidP="00CE785A">
      <w:pPr>
        <w:tabs>
          <w:tab w:val="left" w:pos="8064"/>
        </w:tabs>
        <w:spacing w:before="0" w:after="0" w:line="259" w:lineRule="auto"/>
        <w:ind w:left="-284"/>
        <w:jc w:val="center"/>
        <w:rPr>
          <w:rFonts w:eastAsia="Calibri" w:cs="Calibri"/>
          <w:lang w:val="pt-PT"/>
        </w:rPr>
      </w:pPr>
      <w:r w:rsidRPr="00292532">
        <w:rPr>
          <w:rFonts w:eastAsia="Calibri" w:cs="Times New Roman"/>
          <w:noProof/>
          <w:lang w:val="en-US"/>
        </w:rPr>
        <w:drawing>
          <wp:inline distT="0" distB="0" distL="0" distR="0" wp14:anchorId="7473A893" wp14:editId="14170C03">
            <wp:extent cx="5334000" cy="4000785"/>
            <wp:effectExtent l="0" t="0" r="0" b="0"/>
            <wp:docPr id="31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email">
                      <a:extLst>
                        <a:ext uri="{BEBA8EAE-BF5A-486C-A8C5-ECC9F3942E4B}">
                          <a14:imgProps xmlns:a14="http://schemas.microsoft.com/office/drawing/2010/main">
                            <a14:imgLayer r:embed="rId73">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5353907" cy="4015716"/>
                    </a:xfrm>
                    <a:prstGeom prst="rect">
                      <a:avLst/>
                    </a:prstGeom>
                    <a:noFill/>
                    <a:ln>
                      <a:noFill/>
                    </a:ln>
                  </pic:spPr>
                </pic:pic>
              </a:graphicData>
            </a:graphic>
          </wp:inline>
        </w:drawing>
      </w:r>
    </w:p>
    <w:p w14:paraId="45B4E608"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47E99C05" w14:textId="77777777" w:rsidR="00CE785A" w:rsidRPr="00292532" w:rsidRDefault="00CE785A" w:rsidP="00CE785A">
      <w:pPr>
        <w:tabs>
          <w:tab w:val="left" w:pos="8064"/>
        </w:tabs>
        <w:spacing w:before="0" w:after="0" w:line="259" w:lineRule="auto"/>
        <w:ind w:left="-284"/>
        <w:jc w:val="left"/>
        <w:rPr>
          <w:rFonts w:eastAsia="Calibri" w:cs="Calibri"/>
          <w:lang w:val="pt-PT"/>
        </w:rPr>
        <w:sectPr w:rsidR="00CE785A" w:rsidRPr="00292532" w:rsidSect="00CE785A">
          <w:pgSz w:w="12240" w:h="15840"/>
          <w:pgMar w:top="1440" w:right="1440" w:bottom="1440" w:left="1440" w:header="720" w:footer="720" w:gutter="0"/>
          <w:cols w:space="720"/>
          <w:docGrid w:linePitch="360"/>
        </w:sectPr>
      </w:pPr>
    </w:p>
    <w:p w14:paraId="681340DC" w14:textId="77777777" w:rsidR="00CE785A" w:rsidRPr="00292532" w:rsidRDefault="00CE785A" w:rsidP="00CE785A">
      <w:pPr>
        <w:spacing w:before="0" w:after="0" w:line="276" w:lineRule="auto"/>
        <w:jc w:val="center"/>
        <w:rPr>
          <w:rFonts w:eastAsia="Calibri" w:cs="Calibri"/>
          <w:b/>
          <w:sz w:val="24"/>
          <w:lang w:val="pt-PT"/>
        </w:rPr>
      </w:pPr>
      <w:r w:rsidRPr="00292532">
        <w:rPr>
          <w:rFonts w:eastAsia="Calibri" w:cs="Calibri"/>
          <w:b/>
          <w:sz w:val="24"/>
          <w:lang w:val="pt-PT"/>
        </w:rPr>
        <w:lastRenderedPageBreak/>
        <w:t>Rede de Conservação da Biodiversidade Costeira, Marinha e Recursos Hídricos – MULABA Zambézia (âmbito Provincial)</w:t>
      </w:r>
    </w:p>
    <w:p w14:paraId="45AC17FB" w14:textId="77777777" w:rsidR="00CE785A" w:rsidRPr="00292532" w:rsidRDefault="00CE785A" w:rsidP="00CE785A">
      <w:pPr>
        <w:spacing w:before="0" w:after="0" w:line="276" w:lineRule="auto"/>
        <w:jc w:val="center"/>
        <w:rPr>
          <w:rFonts w:eastAsia="Calibri" w:cs="Calibri"/>
          <w:sz w:val="24"/>
          <w:u w:val="single"/>
          <w:lang w:val="pt-PT"/>
        </w:rPr>
      </w:pPr>
      <w:r w:rsidRPr="00292532">
        <w:rPr>
          <w:rFonts w:eastAsia="Calibri" w:cs="Calibri"/>
          <w:b/>
          <w:sz w:val="24"/>
          <w:u w:val="single"/>
          <w:lang w:val="pt-PT"/>
        </w:rPr>
        <w:t>Consulta Pública para elaboração de instrumentos genéricos de gestão ambiental e social</w:t>
      </w:r>
    </w:p>
    <w:tbl>
      <w:tblPr>
        <w:tblW w:w="10348" w:type="dxa"/>
        <w:tblInd w:w="-289" w:type="dxa"/>
        <w:tblLayout w:type="fixed"/>
        <w:tblLook w:val="04A0" w:firstRow="1" w:lastRow="0" w:firstColumn="1" w:lastColumn="0" w:noHBand="0" w:noVBand="1"/>
      </w:tblPr>
      <w:tblGrid>
        <w:gridCol w:w="2552"/>
        <w:gridCol w:w="5528"/>
        <w:gridCol w:w="2268"/>
      </w:tblGrid>
      <w:tr w:rsidR="00CE785A" w:rsidRPr="00292532" w14:paraId="44FA1786" w14:textId="77777777" w:rsidTr="00CE785A">
        <w:trPr>
          <w:trHeight w:val="70"/>
          <w:tblHeader/>
        </w:trPr>
        <w:tc>
          <w:tcPr>
            <w:tcW w:w="2552" w:type="dxa"/>
            <w:shd w:val="clear" w:color="auto" w:fill="4472C4"/>
            <w:vAlign w:val="center"/>
          </w:tcPr>
          <w:p w14:paraId="7620CCC6" w14:textId="77777777" w:rsidR="00CE785A" w:rsidRPr="00292532" w:rsidRDefault="00CE785A" w:rsidP="00CE785A">
            <w:pPr>
              <w:tabs>
                <w:tab w:val="left" w:pos="2980"/>
              </w:tabs>
              <w:spacing w:before="0" w:after="0" w:line="276" w:lineRule="auto"/>
              <w:jc w:val="center"/>
              <w:rPr>
                <w:rFonts w:eastAsia="Calibri" w:cs="Calibri"/>
                <w:b/>
                <w:color w:val="FFFFFF"/>
                <w:lang w:val="pt-PT"/>
              </w:rPr>
            </w:pPr>
            <w:r w:rsidRPr="00292532">
              <w:rPr>
                <w:rFonts w:eastAsia="Calibri" w:cs="Calibri"/>
                <w:b/>
                <w:color w:val="FFFFFF"/>
                <w:lang w:val="pt-PT"/>
              </w:rPr>
              <w:t>Assuntos abordados</w:t>
            </w:r>
          </w:p>
        </w:tc>
        <w:tc>
          <w:tcPr>
            <w:tcW w:w="5528" w:type="dxa"/>
            <w:shd w:val="clear" w:color="auto" w:fill="4472C4"/>
            <w:vAlign w:val="center"/>
          </w:tcPr>
          <w:p w14:paraId="635CCAE7" w14:textId="77777777" w:rsidR="00CE785A" w:rsidRPr="00292532" w:rsidRDefault="00CE785A" w:rsidP="00CE785A">
            <w:pPr>
              <w:spacing w:before="0" w:after="0"/>
              <w:jc w:val="center"/>
              <w:rPr>
                <w:rFonts w:eastAsia="Calibri" w:cs="Calibri"/>
                <w:b/>
                <w:color w:val="FFFFFF"/>
                <w:lang w:val="pt-PT"/>
              </w:rPr>
            </w:pPr>
            <w:r w:rsidRPr="00292532">
              <w:rPr>
                <w:rFonts w:eastAsia="Times New Roman" w:cs="Calibri"/>
                <w:b/>
                <w:color w:val="FFFFFF"/>
                <w:lang w:val="pt-PT"/>
              </w:rPr>
              <w:t>Resposta / Comentário</w:t>
            </w:r>
          </w:p>
        </w:tc>
        <w:tc>
          <w:tcPr>
            <w:tcW w:w="2268" w:type="dxa"/>
            <w:shd w:val="clear" w:color="auto" w:fill="4472C4"/>
            <w:vAlign w:val="center"/>
          </w:tcPr>
          <w:p w14:paraId="79E0ED3C" w14:textId="77777777" w:rsidR="00CE785A" w:rsidRPr="00292532" w:rsidRDefault="00CE785A" w:rsidP="00CE785A">
            <w:pPr>
              <w:spacing w:before="0" w:after="0" w:line="276" w:lineRule="auto"/>
              <w:jc w:val="center"/>
              <w:rPr>
                <w:rFonts w:eastAsia="Calibri" w:cs="Calibri"/>
                <w:b/>
                <w:color w:val="FFFFFF"/>
                <w:lang w:val="pt-PT"/>
              </w:rPr>
            </w:pPr>
            <w:r w:rsidRPr="00292532">
              <w:rPr>
                <w:rFonts w:eastAsia="Calibri" w:cs="Calibri"/>
                <w:b/>
                <w:color w:val="FFFFFF"/>
                <w:lang w:val="pt-PT"/>
              </w:rPr>
              <w:t>Intervenientes (nome, posição/título)</w:t>
            </w:r>
          </w:p>
        </w:tc>
      </w:tr>
      <w:tr w:rsidR="00CE785A" w:rsidRPr="004E2EAC" w14:paraId="24C099B0" w14:textId="77777777" w:rsidTr="00CE785A">
        <w:tc>
          <w:tcPr>
            <w:tcW w:w="2552" w:type="dxa"/>
            <w:tcBorders>
              <w:top w:val="single" w:sz="4" w:space="0" w:color="auto"/>
              <w:left w:val="single" w:sz="4" w:space="0" w:color="auto"/>
              <w:bottom w:val="single" w:sz="4" w:space="0" w:color="auto"/>
              <w:right w:val="single" w:sz="4" w:space="0" w:color="auto"/>
            </w:tcBorders>
            <w:vAlign w:val="center"/>
          </w:tcPr>
          <w:p w14:paraId="49654BEB"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bCs/>
                <w:lang w:val="pt-PT"/>
              </w:rPr>
              <w:t>Prioridades da comunidade para implantar um sistema de abastecimento de água e saneamento</w:t>
            </w:r>
          </w:p>
        </w:tc>
        <w:tc>
          <w:tcPr>
            <w:tcW w:w="5528" w:type="dxa"/>
            <w:tcBorders>
              <w:top w:val="single" w:sz="4" w:space="0" w:color="auto"/>
              <w:left w:val="single" w:sz="4" w:space="0" w:color="auto"/>
              <w:bottom w:val="single" w:sz="4" w:space="0" w:color="auto"/>
              <w:right w:val="single" w:sz="4" w:space="0" w:color="auto"/>
            </w:tcBorders>
            <w:vAlign w:val="center"/>
          </w:tcPr>
          <w:p w14:paraId="4E1E40D9"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Em muitas comunidades há falta de </w:t>
            </w:r>
            <w:proofErr w:type="spellStart"/>
            <w:r w:rsidRPr="00292532">
              <w:rPr>
                <w:rFonts w:eastAsia="Calibri" w:cs="Calibri"/>
                <w:lang w:val="pt-PT"/>
              </w:rPr>
              <w:t>infra-estruturas</w:t>
            </w:r>
            <w:proofErr w:type="spellEnd"/>
            <w:r w:rsidRPr="00292532">
              <w:rPr>
                <w:rFonts w:eastAsia="Calibri" w:cs="Calibri"/>
                <w:lang w:val="pt-PT"/>
              </w:rPr>
              <w:t xml:space="preserve"> de saneamento, o que demanda a prática de </w:t>
            </w:r>
            <w:proofErr w:type="spellStart"/>
            <w:r w:rsidRPr="00292532">
              <w:rPr>
                <w:rFonts w:eastAsia="Calibri" w:cs="Calibri"/>
                <w:lang w:val="pt-PT"/>
              </w:rPr>
              <w:t>fecalismo</w:t>
            </w:r>
            <w:proofErr w:type="spellEnd"/>
            <w:r w:rsidRPr="00292532">
              <w:rPr>
                <w:rFonts w:eastAsia="Calibri" w:cs="Calibri"/>
                <w:lang w:val="pt-PT"/>
              </w:rPr>
              <w:t xml:space="preserve"> a céu aberto e outros comportamentos nocivos tanto a saúde humana assim como ao ambiente.</w:t>
            </w:r>
          </w:p>
        </w:tc>
        <w:tc>
          <w:tcPr>
            <w:tcW w:w="2268" w:type="dxa"/>
            <w:vMerge w:val="restart"/>
            <w:tcBorders>
              <w:top w:val="single" w:sz="4" w:space="0" w:color="auto"/>
              <w:left w:val="single" w:sz="4" w:space="0" w:color="auto"/>
              <w:right w:val="single" w:sz="4" w:space="0" w:color="auto"/>
            </w:tcBorders>
            <w:vAlign w:val="center"/>
          </w:tcPr>
          <w:p w14:paraId="79AAB3CC" w14:textId="77777777" w:rsidR="00CE785A" w:rsidRPr="00292532" w:rsidRDefault="00CE785A" w:rsidP="00CE785A">
            <w:pPr>
              <w:spacing w:before="0" w:after="0" w:line="276" w:lineRule="auto"/>
              <w:jc w:val="left"/>
              <w:rPr>
                <w:rFonts w:eastAsia="Calibri" w:cs="Times New Roman"/>
                <w:lang w:val="pt-PT"/>
              </w:rPr>
            </w:pPr>
            <w:r w:rsidRPr="00292532">
              <w:rPr>
                <w:rFonts w:eastAsia="Calibri" w:cs="Times New Roman"/>
                <w:b/>
                <w:lang w:val="pt-PT"/>
              </w:rPr>
              <w:t>Dionísio Graciano</w:t>
            </w:r>
            <w:r w:rsidRPr="00292532">
              <w:rPr>
                <w:rFonts w:eastAsia="Calibri" w:cs="Times New Roman"/>
                <w:lang w:val="pt-PT"/>
              </w:rPr>
              <w:t xml:space="preserve"> - Oficial de programas </w:t>
            </w:r>
          </w:p>
        </w:tc>
      </w:tr>
      <w:tr w:rsidR="00CE785A" w:rsidRPr="004E2EAC" w14:paraId="7B712BB8" w14:textId="77777777" w:rsidTr="00CE785A">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0BD4C317" w14:textId="77777777" w:rsidR="00CE785A" w:rsidRPr="00292532" w:rsidRDefault="00CE785A" w:rsidP="00CE785A">
            <w:pPr>
              <w:spacing w:before="0" w:after="0" w:line="276" w:lineRule="auto"/>
              <w:jc w:val="left"/>
              <w:rPr>
                <w:rFonts w:eastAsia="Calibri" w:cs="Calibri"/>
                <w:b/>
                <w:bCs/>
                <w:lang w:val="pt-PT"/>
              </w:rPr>
            </w:pPr>
            <w:r w:rsidRPr="00292532">
              <w:rPr>
                <w:rFonts w:eastAsia="Calibri" w:cs="Calibri"/>
                <w:b/>
                <w:bCs/>
                <w:lang w:val="pt-PT"/>
              </w:rPr>
              <w:t xml:space="preserve">Problemas de Abastecimento de água, </w:t>
            </w:r>
            <w:proofErr w:type="spellStart"/>
            <w:r w:rsidRPr="00292532">
              <w:rPr>
                <w:rFonts w:eastAsia="Calibri" w:cs="Calibri"/>
                <w:b/>
                <w:bCs/>
                <w:lang w:val="pt-PT"/>
              </w:rPr>
              <w:t>Actuas</w:t>
            </w:r>
            <w:proofErr w:type="spellEnd"/>
            <w:r w:rsidRPr="00292532">
              <w:rPr>
                <w:rFonts w:eastAsia="Calibri" w:cs="Calibri"/>
                <w:b/>
                <w:bCs/>
                <w:lang w:val="pt-PT"/>
              </w:rPr>
              <w:t xml:space="preserve"> fontes de Abastecimento de Água.</w:t>
            </w:r>
          </w:p>
        </w:tc>
        <w:tc>
          <w:tcPr>
            <w:tcW w:w="5528" w:type="dxa"/>
            <w:tcBorders>
              <w:top w:val="single" w:sz="4" w:space="0" w:color="auto"/>
              <w:left w:val="single" w:sz="4" w:space="0" w:color="auto"/>
              <w:bottom w:val="single" w:sz="4" w:space="0" w:color="auto"/>
              <w:right w:val="single" w:sz="4" w:space="0" w:color="auto"/>
            </w:tcBorders>
            <w:shd w:val="clear" w:color="auto" w:fill="auto"/>
            <w:vAlign w:val="center"/>
          </w:tcPr>
          <w:p w14:paraId="7C4D0E23"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Antes de se implementar qualquer infraestrutura, é importante a conscientização da comunidade para a gestão eficaz desse benefício trazido pelo </w:t>
            </w:r>
            <w:proofErr w:type="spellStart"/>
            <w:r w:rsidRPr="00292532">
              <w:rPr>
                <w:rFonts w:eastAsia="Calibri" w:cs="Calibri"/>
                <w:lang w:val="pt-PT"/>
              </w:rPr>
              <w:t>projecto</w:t>
            </w:r>
            <w:proofErr w:type="spellEnd"/>
            <w:r w:rsidRPr="00292532">
              <w:rPr>
                <w:rFonts w:eastAsia="Calibri" w:cs="Calibri"/>
                <w:lang w:val="pt-PT"/>
              </w:rPr>
              <w:t xml:space="preserve">. Por ex. Gurué é atravessada por bacias hidrográficas e a comunidade usa as margens dos rios para a prática do </w:t>
            </w:r>
            <w:proofErr w:type="spellStart"/>
            <w:r w:rsidRPr="00292532">
              <w:rPr>
                <w:rFonts w:eastAsia="Calibri" w:cs="Calibri"/>
                <w:lang w:val="pt-PT"/>
              </w:rPr>
              <w:t>fecalismo</w:t>
            </w:r>
            <w:proofErr w:type="spellEnd"/>
            <w:r w:rsidRPr="00292532">
              <w:rPr>
                <w:rFonts w:eastAsia="Calibri" w:cs="Calibri"/>
                <w:lang w:val="pt-PT"/>
              </w:rPr>
              <w:t xml:space="preserve"> a céu aberto, pondo em causa a qualidade das águas e implicando significativamente a captação de água para o consumo humano. Um dos maiores desafios também reside na prática de lavar a roupa nos rios que muita das vezes influencia na qualidade da água captada para o abastecimento da comunidade.</w:t>
            </w:r>
          </w:p>
          <w:p w14:paraId="33244B2D"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Existem </w:t>
            </w:r>
            <w:proofErr w:type="spellStart"/>
            <w:r w:rsidRPr="00292532">
              <w:rPr>
                <w:rFonts w:eastAsia="Calibri" w:cs="Calibri"/>
                <w:lang w:val="pt-PT"/>
              </w:rPr>
              <w:t>projectos</w:t>
            </w:r>
            <w:proofErr w:type="spellEnd"/>
            <w:r w:rsidRPr="00292532">
              <w:rPr>
                <w:rFonts w:eastAsia="Calibri" w:cs="Calibri"/>
                <w:lang w:val="pt-PT"/>
              </w:rPr>
              <w:t xml:space="preserve"> implementados ao nível de alguns distritos que estão a falhar, como é o caso do distrito de </w:t>
            </w:r>
            <w:proofErr w:type="spellStart"/>
            <w:r w:rsidRPr="00292532">
              <w:rPr>
                <w:rFonts w:eastAsia="Calibri" w:cs="Calibri"/>
                <w:lang w:val="pt-PT"/>
              </w:rPr>
              <w:t>Milange</w:t>
            </w:r>
            <w:proofErr w:type="spellEnd"/>
            <w:r w:rsidRPr="00292532">
              <w:rPr>
                <w:rFonts w:eastAsia="Calibri" w:cs="Calibri"/>
                <w:lang w:val="pt-PT"/>
              </w:rPr>
              <w:t xml:space="preserve"> e Mocuba, onde as populações tem sabotado constantemente os sistemas de abastecimento de água, que muita das vezes é pela falta de apropriação do bem pela comunidade motivado pelo não envolvimento das comunidades desde a fase de desenho do </w:t>
            </w:r>
            <w:proofErr w:type="spellStart"/>
            <w:r w:rsidRPr="00292532">
              <w:rPr>
                <w:rFonts w:eastAsia="Calibri" w:cs="Calibri"/>
                <w:lang w:val="pt-PT"/>
              </w:rPr>
              <w:t>projecto</w:t>
            </w:r>
            <w:proofErr w:type="spellEnd"/>
            <w:r w:rsidRPr="00292532">
              <w:rPr>
                <w:rFonts w:eastAsia="Calibri" w:cs="Calibri"/>
                <w:lang w:val="pt-PT"/>
              </w:rPr>
              <w:t>. O outro motivo é a falta de um estudo económico para aferir o nível económico da população e assim atribuir taxas consoante a renda da comunidade.</w:t>
            </w:r>
          </w:p>
          <w:p w14:paraId="1264DDEF"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As sabotagens nas </w:t>
            </w:r>
            <w:proofErr w:type="spellStart"/>
            <w:r w:rsidRPr="00292532">
              <w:rPr>
                <w:rFonts w:eastAsia="Calibri" w:cs="Calibri"/>
                <w:lang w:val="pt-PT"/>
              </w:rPr>
              <w:t>infra-estruturas</w:t>
            </w:r>
            <w:proofErr w:type="spellEnd"/>
            <w:r w:rsidRPr="00292532">
              <w:rPr>
                <w:rFonts w:eastAsia="Calibri" w:cs="Calibri"/>
                <w:lang w:val="pt-PT"/>
              </w:rPr>
              <w:t xml:space="preserve"> de água e saneamento são muita das vezes resultantes do aumento das taxas cobradas para o acesso a água, falta de participação pública e falta de diálogo. É importante se conhecer a renda de cada família e fazer-se um estudo para determinar as taxas pelo acesso as fontes.</w:t>
            </w:r>
          </w:p>
        </w:tc>
        <w:tc>
          <w:tcPr>
            <w:tcW w:w="2268" w:type="dxa"/>
            <w:vMerge/>
            <w:tcBorders>
              <w:left w:val="single" w:sz="4" w:space="0" w:color="auto"/>
              <w:right w:val="single" w:sz="4" w:space="0" w:color="auto"/>
            </w:tcBorders>
            <w:shd w:val="clear" w:color="auto" w:fill="auto"/>
            <w:vAlign w:val="center"/>
          </w:tcPr>
          <w:p w14:paraId="42A2D278" w14:textId="77777777" w:rsidR="00CE785A" w:rsidRPr="00292532" w:rsidRDefault="00CE785A" w:rsidP="00CE785A">
            <w:pPr>
              <w:spacing w:before="0" w:after="0" w:line="276" w:lineRule="auto"/>
              <w:jc w:val="left"/>
              <w:rPr>
                <w:rFonts w:eastAsia="Calibri" w:cs="Calibri"/>
                <w:lang w:val="pt-PT"/>
              </w:rPr>
            </w:pPr>
          </w:p>
        </w:tc>
      </w:tr>
      <w:tr w:rsidR="00CE785A" w:rsidRPr="004E2EAC" w14:paraId="2CB90FD4" w14:textId="77777777" w:rsidTr="00CE785A">
        <w:tc>
          <w:tcPr>
            <w:tcW w:w="2552" w:type="dxa"/>
            <w:tcBorders>
              <w:top w:val="single" w:sz="4" w:space="0" w:color="auto"/>
              <w:left w:val="single" w:sz="4" w:space="0" w:color="auto"/>
              <w:bottom w:val="single" w:sz="4" w:space="0" w:color="auto"/>
              <w:right w:val="single" w:sz="4" w:space="0" w:color="auto"/>
            </w:tcBorders>
            <w:vAlign w:val="center"/>
          </w:tcPr>
          <w:p w14:paraId="3FA721C9" w14:textId="77777777" w:rsidR="00CE785A" w:rsidRPr="00292532" w:rsidRDefault="00CE785A" w:rsidP="00CE785A">
            <w:pPr>
              <w:spacing w:before="0" w:after="0" w:line="276" w:lineRule="auto"/>
              <w:jc w:val="left"/>
              <w:rPr>
                <w:rFonts w:eastAsia="Calibri" w:cs="Calibri"/>
                <w:b/>
                <w:bCs/>
                <w:lang w:val="pt-PT"/>
              </w:rPr>
            </w:pPr>
            <w:r w:rsidRPr="00292532">
              <w:rPr>
                <w:rFonts w:eastAsia="Calibri" w:cs="Calibri"/>
                <w:b/>
                <w:bCs/>
                <w:lang w:val="pt-PT"/>
              </w:rPr>
              <w:t xml:space="preserve">Situação </w:t>
            </w:r>
            <w:proofErr w:type="spellStart"/>
            <w:r w:rsidRPr="00292532">
              <w:rPr>
                <w:rFonts w:eastAsia="Calibri" w:cs="Calibri"/>
                <w:b/>
                <w:bCs/>
                <w:lang w:val="pt-PT"/>
              </w:rPr>
              <w:t>actual</w:t>
            </w:r>
            <w:proofErr w:type="spellEnd"/>
            <w:r w:rsidRPr="00292532">
              <w:rPr>
                <w:rFonts w:eastAsia="Calibri" w:cs="Calibri"/>
                <w:b/>
                <w:bCs/>
                <w:lang w:val="pt-PT"/>
              </w:rPr>
              <w:t xml:space="preserve"> do saneamento </w:t>
            </w:r>
          </w:p>
        </w:tc>
        <w:tc>
          <w:tcPr>
            <w:tcW w:w="5528" w:type="dxa"/>
            <w:tcBorders>
              <w:top w:val="single" w:sz="4" w:space="0" w:color="auto"/>
              <w:left w:val="single" w:sz="4" w:space="0" w:color="auto"/>
              <w:bottom w:val="single" w:sz="4" w:space="0" w:color="auto"/>
              <w:right w:val="single" w:sz="4" w:space="0" w:color="auto"/>
            </w:tcBorders>
            <w:vAlign w:val="center"/>
          </w:tcPr>
          <w:p w14:paraId="09C80440"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A comunidade tem o costume/cultura de praticar o </w:t>
            </w:r>
            <w:proofErr w:type="spellStart"/>
            <w:r w:rsidRPr="00292532">
              <w:rPr>
                <w:rFonts w:eastAsia="Calibri" w:cs="Calibri"/>
                <w:lang w:val="pt-PT"/>
              </w:rPr>
              <w:t>fecalismo</w:t>
            </w:r>
            <w:proofErr w:type="spellEnd"/>
            <w:r w:rsidRPr="00292532">
              <w:rPr>
                <w:rFonts w:eastAsia="Calibri" w:cs="Calibri"/>
                <w:lang w:val="pt-PT"/>
              </w:rPr>
              <w:t xml:space="preserve"> a céu aberto, acreditando que estão a fertilizar o solo. Embora a UNICEF disponha de vídeos ilustrativos sobre práticas seguras e recomendadas sobre saneamento, muitos desses programas não são </w:t>
            </w:r>
            <w:r w:rsidRPr="00292532">
              <w:rPr>
                <w:rFonts w:eastAsia="Calibri" w:cs="Calibri"/>
                <w:lang w:val="pt-PT"/>
              </w:rPr>
              <w:lastRenderedPageBreak/>
              <w:t xml:space="preserve">adequados ao contexto e a realidade local, o que dificulta a sua assimilação. Em outras comunidades a questão de saneamento é um tabu, sendo que membros da mesma casa não podem usar a mesma latrina, dificultando ainda mais a implementação de </w:t>
            </w:r>
            <w:proofErr w:type="spellStart"/>
            <w:r w:rsidRPr="00292532">
              <w:rPr>
                <w:rFonts w:eastAsia="Calibri" w:cs="Calibri"/>
                <w:lang w:val="pt-PT"/>
              </w:rPr>
              <w:t>projectos</w:t>
            </w:r>
            <w:proofErr w:type="spellEnd"/>
            <w:r w:rsidRPr="00292532">
              <w:rPr>
                <w:rFonts w:eastAsia="Calibri" w:cs="Calibri"/>
                <w:lang w:val="pt-PT"/>
              </w:rPr>
              <w:t xml:space="preserve"> de saneamento.</w:t>
            </w:r>
          </w:p>
          <w:p w14:paraId="5957B1C3"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lang w:val="pt-PT"/>
              </w:rPr>
            </w:pPr>
            <w:r w:rsidRPr="00292532">
              <w:rPr>
                <w:rFonts w:eastAsia="Calibri" w:cs="Calibri"/>
                <w:lang w:val="pt-PT"/>
              </w:rPr>
              <w:t xml:space="preserve">Em comunidades maioritariamente muçulmanas, a falta de infraestruturas básicas e adequadas de saneamento como o caso de divisórias para homens e mulheres, faz com que raparigas quando em período menstrual faltem na escola, sendo um </w:t>
            </w:r>
            <w:proofErr w:type="spellStart"/>
            <w:r w:rsidRPr="00292532">
              <w:rPr>
                <w:rFonts w:eastAsia="Calibri" w:cs="Calibri"/>
                <w:lang w:val="pt-PT"/>
              </w:rPr>
              <w:t>factor</w:t>
            </w:r>
            <w:proofErr w:type="spellEnd"/>
            <w:r w:rsidRPr="00292532">
              <w:rPr>
                <w:rFonts w:eastAsia="Calibri" w:cs="Calibri"/>
                <w:lang w:val="pt-PT"/>
              </w:rPr>
              <w:t xml:space="preserve"> potencial para a desistência.</w:t>
            </w:r>
          </w:p>
        </w:tc>
        <w:tc>
          <w:tcPr>
            <w:tcW w:w="2268" w:type="dxa"/>
            <w:vMerge/>
            <w:tcBorders>
              <w:left w:val="single" w:sz="4" w:space="0" w:color="auto"/>
              <w:right w:val="single" w:sz="4" w:space="0" w:color="auto"/>
            </w:tcBorders>
            <w:vAlign w:val="center"/>
          </w:tcPr>
          <w:p w14:paraId="144B6D9E" w14:textId="77777777" w:rsidR="00CE785A" w:rsidRPr="00292532" w:rsidRDefault="00CE785A" w:rsidP="00CE785A">
            <w:pPr>
              <w:spacing w:before="0" w:after="0" w:line="276" w:lineRule="auto"/>
              <w:jc w:val="left"/>
              <w:rPr>
                <w:rFonts w:eastAsia="Calibri" w:cs="Calibri"/>
                <w:lang w:val="pt-PT"/>
              </w:rPr>
            </w:pPr>
          </w:p>
        </w:tc>
      </w:tr>
      <w:tr w:rsidR="00CE785A" w:rsidRPr="004E2EAC" w14:paraId="0267ED11" w14:textId="77777777" w:rsidTr="00CE785A">
        <w:tc>
          <w:tcPr>
            <w:tcW w:w="2552" w:type="dxa"/>
            <w:tcBorders>
              <w:top w:val="single" w:sz="4" w:space="0" w:color="auto"/>
              <w:left w:val="single" w:sz="4" w:space="0" w:color="auto"/>
              <w:bottom w:val="single" w:sz="4" w:space="0" w:color="auto"/>
              <w:right w:val="single" w:sz="4" w:space="0" w:color="auto"/>
            </w:tcBorders>
            <w:vAlign w:val="center"/>
            <w:hideMark/>
          </w:tcPr>
          <w:p w14:paraId="52A11227" w14:textId="77777777" w:rsidR="00CE785A" w:rsidRPr="00292532" w:rsidRDefault="00CE785A" w:rsidP="00CE785A">
            <w:pPr>
              <w:spacing w:before="0" w:after="0" w:line="276" w:lineRule="auto"/>
              <w:jc w:val="left"/>
              <w:rPr>
                <w:rFonts w:eastAsia="Calibri" w:cs="Calibri"/>
                <w:lang w:val="pt-PT"/>
              </w:rPr>
            </w:pPr>
            <w:r w:rsidRPr="00292532">
              <w:rPr>
                <w:rFonts w:eastAsia="Calibri" w:cs="Calibri"/>
                <w:b/>
                <w:bCs/>
                <w:lang w:val="pt-PT"/>
              </w:rPr>
              <w:t xml:space="preserve">Preocupações ou recomendações adicionais para o </w:t>
            </w:r>
            <w:proofErr w:type="spellStart"/>
            <w:r w:rsidRPr="00292532">
              <w:rPr>
                <w:rFonts w:eastAsia="Calibri" w:cs="Calibri"/>
                <w:b/>
                <w:bCs/>
                <w:lang w:val="pt-PT"/>
              </w:rPr>
              <w:t>projecto</w:t>
            </w:r>
            <w:proofErr w:type="spellEnd"/>
            <w:r w:rsidRPr="00292532">
              <w:rPr>
                <w:rFonts w:eastAsia="Calibri" w:cs="Calibri"/>
                <w:b/>
                <w:bCs/>
                <w:lang w:val="pt-PT"/>
              </w:rPr>
              <w:t>.</w:t>
            </w:r>
          </w:p>
        </w:tc>
        <w:tc>
          <w:tcPr>
            <w:tcW w:w="5528" w:type="dxa"/>
            <w:tcBorders>
              <w:top w:val="single" w:sz="4" w:space="0" w:color="auto"/>
              <w:left w:val="single" w:sz="4" w:space="0" w:color="auto"/>
              <w:bottom w:val="single" w:sz="4" w:space="0" w:color="auto"/>
              <w:right w:val="single" w:sz="4" w:space="0" w:color="auto"/>
            </w:tcBorders>
            <w:vAlign w:val="center"/>
          </w:tcPr>
          <w:p w14:paraId="08424FB8"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szCs w:val="24"/>
                <w:lang w:val="pt-PT"/>
              </w:rPr>
            </w:pPr>
            <w:r w:rsidRPr="00292532">
              <w:rPr>
                <w:rFonts w:eastAsia="Calibri" w:cs="Calibri"/>
                <w:szCs w:val="24"/>
                <w:lang w:val="pt-PT"/>
              </w:rPr>
              <w:t xml:space="preserve">É primordial o envolvimento do ministério da educação, Saúde, SDPI, Sistemas comunitários (Comissão de Gestão de Recursos Naturais, Comissão de Gestão de Água e Saneamento, APE, Conselhos de escolas, Líderes religiosos, líderes comunitários) e outros </w:t>
            </w:r>
            <w:proofErr w:type="spellStart"/>
            <w:r w:rsidRPr="00292532">
              <w:rPr>
                <w:rFonts w:eastAsia="Calibri" w:cs="Calibri"/>
                <w:szCs w:val="24"/>
                <w:lang w:val="pt-PT"/>
              </w:rPr>
              <w:t>actores</w:t>
            </w:r>
            <w:proofErr w:type="spellEnd"/>
            <w:r w:rsidRPr="00292532">
              <w:rPr>
                <w:rFonts w:eastAsia="Calibri" w:cs="Calibri"/>
                <w:szCs w:val="24"/>
                <w:lang w:val="pt-PT"/>
              </w:rPr>
              <w:t xml:space="preserve"> para garantir não só a apropriação do </w:t>
            </w:r>
            <w:proofErr w:type="spellStart"/>
            <w:r w:rsidRPr="00292532">
              <w:rPr>
                <w:rFonts w:eastAsia="Calibri" w:cs="Calibri"/>
                <w:szCs w:val="24"/>
                <w:lang w:val="pt-PT"/>
              </w:rPr>
              <w:t>projecto</w:t>
            </w:r>
            <w:proofErr w:type="spellEnd"/>
            <w:r w:rsidRPr="00292532">
              <w:rPr>
                <w:rFonts w:eastAsia="Calibri" w:cs="Calibri"/>
                <w:szCs w:val="24"/>
                <w:lang w:val="pt-PT"/>
              </w:rPr>
              <w:t xml:space="preserve">, mas também a difusão e garantir que as comunidades tenham conhecimento o que é água segura e o que é água potável e minimizar </w:t>
            </w:r>
            <w:proofErr w:type="spellStart"/>
            <w:r w:rsidRPr="00292532">
              <w:rPr>
                <w:rFonts w:eastAsia="Calibri" w:cs="Calibri"/>
                <w:szCs w:val="24"/>
                <w:lang w:val="pt-PT"/>
              </w:rPr>
              <w:t>acções</w:t>
            </w:r>
            <w:proofErr w:type="spellEnd"/>
            <w:r w:rsidRPr="00292532">
              <w:rPr>
                <w:rFonts w:eastAsia="Calibri" w:cs="Calibri"/>
                <w:szCs w:val="24"/>
                <w:lang w:val="pt-PT"/>
              </w:rPr>
              <w:t xml:space="preserve"> nocivas ao ambiente principalmente nas zonas costeiras ou em comunidades próximas a bacias hidrográficas. </w:t>
            </w:r>
          </w:p>
          <w:p w14:paraId="72F8E862"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szCs w:val="24"/>
                <w:lang w:val="pt-PT"/>
              </w:rPr>
            </w:pPr>
            <w:r w:rsidRPr="00292532">
              <w:rPr>
                <w:rFonts w:eastAsia="Calibri" w:cs="Calibri"/>
                <w:szCs w:val="24"/>
                <w:lang w:val="pt-PT"/>
              </w:rPr>
              <w:t xml:space="preserve">O sector de educação deve ser a chave para a implementação do </w:t>
            </w:r>
            <w:proofErr w:type="spellStart"/>
            <w:r w:rsidRPr="00292532">
              <w:rPr>
                <w:rFonts w:eastAsia="Calibri" w:cs="Calibri"/>
                <w:szCs w:val="24"/>
                <w:lang w:val="pt-PT"/>
              </w:rPr>
              <w:t>projecto</w:t>
            </w:r>
            <w:proofErr w:type="spellEnd"/>
            <w:r w:rsidRPr="00292532">
              <w:rPr>
                <w:rFonts w:eastAsia="Calibri" w:cs="Calibri"/>
                <w:szCs w:val="24"/>
                <w:lang w:val="pt-PT"/>
              </w:rPr>
              <w:t xml:space="preserve">, as crianças desde cedo devem ser educadas a usarem </w:t>
            </w:r>
            <w:proofErr w:type="spellStart"/>
            <w:r w:rsidRPr="00292532">
              <w:rPr>
                <w:rFonts w:eastAsia="Calibri" w:cs="Calibri"/>
                <w:szCs w:val="24"/>
                <w:lang w:val="pt-PT"/>
              </w:rPr>
              <w:t>infra-estruturas</w:t>
            </w:r>
            <w:proofErr w:type="spellEnd"/>
            <w:r w:rsidRPr="00292532">
              <w:rPr>
                <w:rFonts w:eastAsia="Calibri" w:cs="Calibri"/>
                <w:szCs w:val="24"/>
                <w:lang w:val="pt-PT"/>
              </w:rPr>
              <w:t xml:space="preserve"> sanitárias e a saberem cuidar dessas </w:t>
            </w:r>
            <w:proofErr w:type="spellStart"/>
            <w:r w:rsidRPr="00292532">
              <w:rPr>
                <w:rFonts w:eastAsia="Calibri" w:cs="Calibri"/>
                <w:szCs w:val="24"/>
                <w:lang w:val="pt-PT"/>
              </w:rPr>
              <w:t>infra-estruturas</w:t>
            </w:r>
            <w:proofErr w:type="spellEnd"/>
            <w:r w:rsidRPr="00292532">
              <w:rPr>
                <w:rFonts w:eastAsia="Calibri" w:cs="Calibri"/>
                <w:szCs w:val="24"/>
                <w:lang w:val="pt-PT"/>
              </w:rPr>
              <w:t>. Envolver as comunidades religiosas na educação da comunidade visto que estes desempenham grande papel na educação e na mudança de hábitos e costumes ao nível da comunidade.</w:t>
            </w:r>
          </w:p>
          <w:p w14:paraId="51F7EDB0"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szCs w:val="24"/>
                <w:lang w:val="pt-PT"/>
              </w:rPr>
            </w:pPr>
            <w:r w:rsidRPr="00292532">
              <w:rPr>
                <w:rFonts w:eastAsia="Calibri" w:cs="Calibri"/>
                <w:szCs w:val="24"/>
                <w:lang w:val="pt-PT"/>
              </w:rPr>
              <w:t xml:space="preserve">Deve se ter em conta como será gerido o </w:t>
            </w:r>
            <w:proofErr w:type="spellStart"/>
            <w:r w:rsidRPr="00292532">
              <w:rPr>
                <w:rFonts w:eastAsia="Calibri" w:cs="Calibri"/>
                <w:szCs w:val="24"/>
                <w:lang w:val="pt-PT"/>
              </w:rPr>
              <w:t>projecto</w:t>
            </w:r>
            <w:proofErr w:type="spellEnd"/>
            <w:r w:rsidRPr="00292532">
              <w:rPr>
                <w:rFonts w:eastAsia="Calibri" w:cs="Calibri"/>
                <w:szCs w:val="24"/>
                <w:lang w:val="pt-PT"/>
              </w:rPr>
              <w:t xml:space="preserve"> no âmbito da descentralização que está a ocorrer no nosso </w:t>
            </w:r>
            <w:proofErr w:type="gramStart"/>
            <w:r w:rsidRPr="00292532">
              <w:rPr>
                <w:rFonts w:eastAsia="Calibri" w:cs="Calibri"/>
                <w:szCs w:val="24"/>
                <w:lang w:val="pt-PT"/>
              </w:rPr>
              <w:t>pais</w:t>
            </w:r>
            <w:proofErr w:type="gramEnd"/>
            <w:r w:rsidRPr="00292532">
              <w:rPr>
                <w:rFonts w:eastAsia="Calibri" w:cs="Calibri"/>
                <w:szCs w:val="24"/>
                <w:lang w:val="pt-PT"/>
              </w:rPr>
              <w:t>, por forma a se evitar o protagonismo.</w:t>
            </w:r>
          </w:p>
          <w:p w14:paraId="2F665CF8"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szCs w:val="24"/>
                <w:lang w:val="pt-PT"/>
              </w:rPr>
            </w:pPr>
            <w:r w:rsidRPr="00292532">
              <w:rPr>
                <w:rFonts w:eastAsia="Calibri" w:cs="Calibri"/>
                <w:szCs w:val="24"/>
                <w:lang w:val="pt-PT"/>
              </w:rPr>
              <w:t xml:space="preserve">É importante estabelecer ainda na fase de </w:t>
            </w:r>
            <w:proofErr w:type="spellStart"/>
            <w:r w:rsidRPr="00292532">
              <w:rPr>
                <w:rFonts w:eastAsia="Calibri" w:cs="Calibri"/>
                <w:szCs w:val="24"/>
                <w:lang w:val="pt-PT"/>
              </w:rPr>
              <w:t>concepção</w:t>
            </w:r>
            <w:proofErr w:type="spellEnd"/>
            <w:r w:rsidRPr="00292532">
              <w:rPr>
                <w:rFonts w:eastAsia="Calibri" w:cs="Calibri"/>
                <w:szCs w:val="24"/>
                <w:lang w:val="pt-PT"/>
              </w:rPr>
              <w:t xml:space="preserve"> os recursos humanos, financeiros e meios para responder as espectativas da comunidade.</w:t>
            </w:r>
          </w:p>
          <w:p w14:paraId="05095C61" w14:textId="77777777" w:rsidR="00CE785A" w:rsidRPr="00292532" w:rsidRDefault="00CE785A" w:rsidP="00AE14AE">
            <w:pPr>
              <w:numPr>
                <w:ilvl w:val="0"/>
                <w:numId w:val="172"/>
              </w:numPr>
              <w:spacing w:before="0" w:after="0" w:line="259" w:lineRule="auto"/>
              <w:ind w:left="176" w:hanging="142"/>
              <w:contextualSpacing/>
              <w:jc w:val="left"/>
              <w:rPr>
                <w:rFonts w:eastAsia="Calibri" w:cs="Calibri"/>
                <w:szCs w:val="24"/>
                <w:lang w:val="pt-PT"/>
              </w:rPr>
            </w:pPr>
            <w:r w:rsidRPr="00292532">
              <w:rPr>
                <w:rFonts w:eastAsia="Calibri" w:cs="Calibri"/>
                <w:szCs w:val="24"/>
                <w:lang w:val="pt-PT"/>
              </w:rPr>
              <w:t xml:space="preserve">As escolas são os locais adequados para aprimorar o conhecimento. É importante potenciar os conselhos de escola existentes para apoiar nos desafios do </w:t>
            </w:r>
            <w:proofErr w:type="spellStart"/>
            <w:r w:rsidRPr="00292532">
              <w:rPr>
                <w:rFonts w:eastAsia="Calibri" w:cs="Calibri"/>
                <w:szCs w:val="24"/>
                <w:lang w:val="pt-PT"/>
              </w:rPr>
              <w:t>projecto</w:t>
            </w:r>
            <w:proofErr w:type="spellEnd"/>
            <w:r w:rsidRPr="00292532">
              <w:rPr>
                <w:rFonts w:eastAsia="Calibri" w:cs="Calibri"/>
                <w:szCs w:val="24"/>
                <w:lang w:val="pt-PT"/>
              </w:rPr>
              <w:t>.</w:t>
            </w:r>
          </w:p>
        </w:tc>
        <w:tc>
          <w:tcPr>
            <w:tcW w:w="2268" w:type="dxa"/>
            <w:vMerge/>
            <w:tcBorders>
              <w:left w:val="single" w:sz="4" w:space="0" w:color="auto"/>
              <w:bottom w:val="single" w:sz="4" w:space="0" w:color="auto"/>
              <w:right w:val="single" w:sz="4" w:space="0" w:color="auto"/>
            </w:tcBorders>
            <w:vAlign w:val="center"/>
          </w:tcPr>
          <w:p w14:paraId="5329B740" w14:textId="77777777" w:rsidR="00CE785A" w:rsidRPr="00292532" w:rsidRDefault="00CE785A" w:rsidP="00CE785A">
            <w:pPr>
              <w:spacing w:before="0" w:line="259" w:lineRule="auto"/>
              <w:jc w:val="left"/>
              <w:rPr>
                <w:rFonts w:eastAsia="Calibri" w:cs="Calibri"/>
                <w:lang w:val="pt-PT"/>
              </w:rPr>
            </w:pPr>
          </w:p>
        </w:tc>
      </w:tr>
    </w:tbl>
    <w:p w14:paraId="67FE5E58"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24764684"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687BF9B0" w14:textId="77777777" w:rsidR="00CE785A" w:rsidRPr="00292532" w:rsidRDefault="00CE785A" w:rsidP="00CE785A">
      <w:pPr>
        <w:tabs>
          <w:tab w:val="left" w:pos="8064"/>
        </w:tabs>
        <w:spacing w:before="0" w:after="0" w:line="259" w:lineRule="auto"/>
        <w:ind w:left="-284"/>
        <w:jc w:val="left"/>
        <w:rPr>
          <w:rFonts w:eastAsia="Calibri" w:cs="Calibri"/>
          <w:lang w:val="pt-PT"/>
        </w:rPr>
        <w:sectPr w:rsidR="00CE785A" w:rsidRPr="00292532" w:rsidSect="00CE785A">
          <w:pgSz w:w="12240" w:h="15840"/>
          <w:pgMar w:top="1440" w:right="1440" w:bottom="1440" w:left="1440" w:header="720" w:footer="720" w:gutter="0"/>
          <w:cols w:space="720"/>
          <w:docGrid w:linePitch="360"/>
        </w:sectPr>
      </w:pPr>
    </w:p>
    <w:p w14:paraId="7726B691" w14:textId="77777777" w:rsidR="00CE785A" w:rsidRPr="00292532" w:rsidRDefault="00CE785A" w:rsidP="00CE785A">
      <w:pPr>
        <w:tabs>
          <w:tab w:val="left" w:pos="8064"/>
        </w:tabs>
        <w:spacing w:before="0" w:after="0" w:line="259" w:lineRule="auto"/>
        <w:ind w:left="-284"/>
        <w:jc w:val="center"/>
        <w:rPr>
          <w:rFonts w:eastAsia="Calibri" w:cs="Calibri"/>
          <w:b/>
          <w:lang w:val="pt-PT"/>
        </w:rPr>
      </w:pPr>
      <w:r w:rsidRPr="00292532">
        <w:rPr>
          <w:rFonts w:eastAsia="Calibri" w:cs="Calibri"/>
          <w:b/>
          <w:lang w:val="pt-PT"/>
        </w:rPr>
        <w:lastRenderedPageBreak/>
        <w:t>Lista de Presença</w:t>
      </w:r>
    </w:p>
    <w:p w14:paraId="2336CC84"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0850B6E7" w14:textId="35361040" w:rsidR="00CE785A" w:rsidRPr="00292532" w:rsidRDefault="00CE785A" w:rsidP="00CE785A">
      <w:pPr>
        <w:tabs>
          <w:tab w:val="left" w:pos="8064"/>
        </w:tabs>
        <w:spacing w:before="0" w:after="0" w:line="259" w:lineRule="auto"/>
        <w:ind w:left="-284"/>
        <w:jc w:val="left"/>
        <w:rPr>
          <w:rFonts w:eastAsia="Calibri" w:cs="Calibri"/>
          <w:lang w:val="pt-PT"/>
        </w:rPr>
      </w:pPr>
      <w:r w:rsidRPr="00292532">
        <w:rPr>
          <w:rFonts w:eastAsia="Calibri" w:cs="Calibri"/>
          <w:noProof/>
          <w:lang w:val="en-US"/>
        </w:rPr>
        <w:drawing>
          <wp:inline distT="0" distB="0" distL="0" distR="0" wp14:anchorId="53348543" wp14:editId="20E941B2">
            <wp:extent cx="6501841" cy="426720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4" cstate="email">
                      <a:extLst>
                        <a:ext uri="{BEBA8EAE-BF5A-486C-A8C5-ECC9F3942E4B}">
                          <a14:imgProps xmlns:a14="http://schemas.microsoft.com/office/drawing/2010/main">
                            <a14:imgLayer r:embed="rId75">
                              <a14:imgEffect>
                                <a14:sharpenSoften amount="50000"/>
                              </a14:imgEffect>
                              <a14:imgEffect>
                                <a14:brightnessContrast bright="20000"/>
                              </a14:imgEffect>
                            </a14:imgLayer>
                          </a14:imgProps>
                        </a:ext>
                        <a:ext uri="{28A0092B-C50C-407E-A947-70E740481C1C}">
                          <a14:useLocalDpi xmlns:a14="http://schemas.microsoft.com/office/drawing/2010/main"/>
                        </a:ext>
                      </a:extLst>
                    </a:blip>
                    <a:srcRect/>
                    <a:stretch/>
                  </pic:blipFill>
                  <pic:spPr bwMode="auto">
                    <a:xfrm rot="10800000">
                      <a:off x="0" y="0"/>
                      <a:ext cx="6524566" cy="4282115"/>
                    </a:xfrm>
                    <a:prstGeom prst="rect">
                      <a:avLst/>
                    </a:prstGeom>
                    <a:noFill/>
                    <a:ln>
                      <a:noFill/>
                    </a:ln>
                    <a:extLst>
                      <a:ext uri="{53640926-AAD7-44D8-BBD7-CCE9431645EC}">
                        <a14:shadowObscured xmlns:a14="http://schemas.microsoft.com/office/drawing/2010/main"/>
                      </a:ext>
                    </a:extLst>
                  </pic:spPr>
                </pic:pic>
              </a:graphicData>
            </a:graphic>
          </wp:inline>
        </w:drawing>
      </w:r>
    </w:p>
    <w:p w14:paraId="1B857252"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697F6251" w14:textId="0D1F4086" w:rsidR="00CE785A" w:rsidRPr="00292532" w:rsidRDefault="00CE785A" w:rsidP="00CE785A">
      <w:pPr>
        <w:tabs>
          <w:tab w:val="left" w:pos="8064"/>
        </w:tabs>
        <w:spacing w:before="0" w:after="0" w:line="259" w:lineRule="auto"/>
        <w:ind w:left="-284"/>
        <w:jc w:val="left"/>
        <w:rPr>
          <w:rFonts w:eastAsia="Calibri" w:cs="Calibri"/>
          <w:lang w:val="pt-PT"/>
        </w:rPr>
      </w:pPr>
      <w:r w:rsidRPr="00292532">
        <w:rPr>
          <w:rFonts w:eastAsia="Calibri" w:cs="Calibri"/>
          <w:noProof/>
          <w:lang w:val="en-US"/>
        </w:rPr>
        <w:lastRenderedPageBreak/>
        <w:drawing>
          <wp:inline distT="0" distB="0" distL="0" distR="0" wp14:anchorId="2F8A01C9" wp14:editId="5C7357BB">
            <wp:extent cx="6370583" cy="4476750"/>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6" cstate="email">
                      <a:extLst>
                        <a:ext uri="{BEBA8EAE-BF5A-486C-A8C5-ECC9F3942E4B}">
                          <a14:imgProps xmlns:a14="http://schemas.microsoft.com/office/drawing/2010/main">
                            <a14:imgLayer r:embed="rId77">
                              <a14:imgEffect>
                                <a14:sharpenSoften amount="50000"/>
                              </a14:imgEffect>
                              <a14:imgEffect>
                                <a14:brightnessContrast bright="20000"/>
                              </a14:imgEffect>
                            </a14:imgLayer>
                          </a14:imgProps>
                        </a:ext>
                        <a:ext uri="{28A0092B-C50C-407E-A947-70E740481C1C}">
                          <a14:useLocalDpi xmlns:a14="http://schemas.microsoft.com/office/drawing/2010/main"/>
                        </a:ext>
                      </a:extLst>
                    </a:blip>
                    <a:srcRect/>
                    <a:stretch/>
                  </pic:blipFill>
                  <pic:spPr bwMode="auto">
                    <a:xfrm rot="10800000">
                      <a:off x="0" y="0"/>
                      <a:ext cx="6384807" cy="4486745"/>
                    </a:xfrm>
                    <a:prstGeom prst="rect">
                      <a:avLst/>
                    </a:prstGeom>
                    <a:noFill/>
                    <a:ln>
                      <a:noFill/>
                    </a:ln>
                    <a:extLst>
                      <a:ext uri="{53640926-AAD7-44D8-BBD7-CCE9431645EC}">
                        <a14:shadowObscured xmlns:a14="http://schemas.microsoft.com/office/drawing/2010/main"/>
                      </a:ext>
                    </a:extLst>
                  </pic:spPr>
                </pic:pic>
              </a:graphicData>
            </a:graphic>
          </wp:inline>
        </w:drawing>
      </w:r>
    </w:p>
    <w:p w14:paraId="56EBB5E9"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2BAE887B"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61B6B28B"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38EC72DC" w14:textId="77BA5376" w:rsidR="00CE785A" w:rsidRPr="00292532" w:rsidRDefault="00CE785A" w:rsidP="00CE785A">
      <w:pPr>
        <w:tabs>
          <w:tab w:val="left" w:pos="8064"/>
        </w:tabs>
        <w:spacing w:before="0" w:after="0" w:line="259" w:lineRule="auto"/>
        <w:ind w:left="-284"/>
        <w:jc w:val="left"/>
        <w:rPr>
          <w:rFonts w:eastAsia="Calibri" w:cs="Calibri"/>
          <w:lang w:val="pt-PT"/>
        </w:rPr>
      </w:pPr>
      <w:r w:rsidRPr="00292532">
        <w:rPr>
          <w:rFonts w:eastAsia="Calibri" w:cs="Calibri"/>
          <w:noProof/>
          <w:lang w:val="en-US"/>
        </w:rPr>
        <w:lastRenderedPageBreak/>
        <w:drawing>
          <wp:inline distT="0" distB="0" distL="0" distR="0" wp14:anchorId="4FF9875C" wp14:editId="32CAB9E0">
            <wp:extent cx="6410242" cy="4692650"/>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78" cstate="email">
                      <a:extLst>
                        <a:ext uri="{BEBA8EAE-BF5A-486C-A8C5-ECC9F3942E4B}">
                          <a14:imgProps xmlns:a14="http://schemas.microsoft.com/office/drawing/2010/main">
                            <a14:imgLayer r:embed="rId79">
                              <a14:imgEffect>
                                <a14:sharpenSoften amount="50000"/>
                              </a14:imgEffect>
                              <a14:imgEffect>
                                <a14:brightnessContrast bright="20000"/>
                              </a14:imgEffect>
                            </a14:imgLayer>
                          </a14:imgProps>
                        </a:ext>
                        <a:ext uri="{28A0092B-C50C-407E-A947-70E740481C1C}">
                          <a14:useLocalDpi xmlns:a14="http://schemas.microsoft.com/office/drawing/2010/main"/>
                        </a:ext>
                      </a:extLst>
                    </a:blip>
                    <a:srcRect/>
                    <a:stretch/>
                  </pic:blipFill>
                  <pic:spPr bwMode="auto">
                    <a:xfrm rot="10800000">
                      <a:off x="0" y="0"/>
                      <a:ext cx="6431265" cy="4708040"/>
                    </a:xfrm>
                    <a:prstGeom prst="rect">
                      <a:avLst/>
                    </a:prstGeom>
                    <a:noFill/>
                    <a:ln>
                      <a:noFill/>
                    </a:ln>
                    <a:extLst>
                      <a:ext uri="{53640926-AAD7-44D8-BBD7-CCE9431645EC}">
                        <a14:shadowObscured xmlns:a14="http://schemas.microsoft.com/office/drawing/2010/main"/>
                      </a:ext>
                    </a:extLst>
                  </pic:spPr>
                </pic:pic>
              </a:graphicData>
            </a:graphic>
          </wp:inline>
        </w:drawing>
      </w:r>
    </w:p>
    <w:p w14:paraId="61FF3F22"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1825D3B2" w14:textId="26DFC652" w:rsidR="00CE785A" w:rsidRPr="00292532" w:rsidRDefault="00CE785A" w:rsidP="00CE785A">
      <w:pPr>
        <w:tabs>
          <w:tab w:val="left" w:pos="8064"/>
        </w:tabs>
        <w:spacing w:before="0" w:after="0" w:line="259" w:lineRule="auto"/>
        <w:ind w:left="-284"/>
        <w:jc w:val="left"/>
        <w:rPr>
          <w:rFonts w:eastAsia="Calibri" w:cs="Calibri"/>
          <w:lang w:val="pt-PT"/>
        </w:rPr>
      </w:pPr>
      <w:r w:rsidRPr="00292532">
        <w:rPr>
          <w:rFonts w:eastAsia="Calibri" w:cs="Calibri"/>
          <w:noProof/>
          <w:lang w:val="en-US"/>
        </w:rPr>
        <w:lastRenderedPageBreak/>
        <w:drawing>
          <wp:inline distT="0" distB="0" distL="0" distR="0" wp14:anchorId="26499DF8" wp14:editId="713DF388">
            <wp:extent cx="6315674" cy="4425950"/>
            <wp:effectExtent l="0" t="0" r="9525" b="0"/>
            <wp:docPr id="319"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0" cstate="email">
                      <a:extLst>
                        <a:ext uri="{BEBA8EAE-BF5A-486C-A8C5-ECC9F3942E4B}">
                          <a14:imgProps xmlns:a14="http://schemas.microsoft.com/office/drawing/2010/main">
                            <a14:imgLayer r:embed="rId81">
                              <a14:imgEffect>
                                <a14:sharpenSoften amount="50000"/>
                              </a14:imgEffect>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6327700" cy="4434378"/>
                    </a:xfrm>
                    <a:prstGeom prst="rect">
                      <a:avLst/>
                    </a:prstGeom>
                    <a:noFill/>
                    <a:ln>
                      <a:noFill/>
                    </a:ln>
                    <a:extLst>
                      <a:ext uri="{53640926-AAD7-44D8-BBD7-CCE9431645EC}">
                        <a14:shadowObscured xmlns:a14="http://schemas.microsoft.com/office/drawing/2010/main"/>
                      </a:ext>
                    </a:extLst>
                  </pic:spPr>
                </pic:pic>
              </a:graphicData>
            </a:graphic>
          </wp:inline>
        </w:drawing>
      </w:r>
    </w:p>
    <w:p w14:paraId="7E370D0E"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20FCD789" w14:textId="7DE0AA72" w:rsidR="00CE785A" w:rsidRPr="00292532" w:rsidRDefault="00CE785A" w:rsidP="00CE785A">
      <w:pPr>
        <w:tabs>
          <w:tab w:val="left" w:pos="8064"/>
        </w:tabs>
        <w:spacing w:before="0" w:after="0" w:line="259" w:lineRule="auto"/>
        <w:ind w:left="-284"/>
        <w:jc w:val="left"/>
        <w:rPr>
          <w:rFonts w:eastAsia="Calibri" w:cs="Calibri"/>
          <w:lang w:val="pt-PT"/>
        </w:rPr>
      </w:pPr>
      <w:r w:rsidRPr="00292532">
        <w:rPr>
          <w:rFonts w:eastAsia="Calibri" w:cs="Calibri"/>
          <w:noProof/>
          <w:lang w:val="en-US"/>
        </w:rPr>
        <w:drawing>
          <wp:inline distT="0" distB="0" distL="0" distR="0" wp14:anchorId="70B48A56" wp14:editId="592BEEAA">
            <wp:extent cx="4137355" cy="5957418"/>
            <wp:effectExtent l="4445" t="0" r="1270" b="1270"/>
            <wp:docPr id="92"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82" cstate="email">
                      <a:extLst>
                        <a:ext uri="{BEBA8EAE-BF5A-486C-A8C5-ECC9F3942E4B}">
                          <a14:imgProps xmlns:a14="http://schemas.microsoft.com/office/drawing/2010/main">
                            <a14:imgLayer r:embed="rId83">
                              <a14:imgEffect>
                                <a14:sharpenSoften amount="50000"/>
                              </a14:imgEffect>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rot="16200000">
                      <a:off x="0" y="0"/>
                      <a:ext cx="4145715" cy="5969456"/>
                    </a:xfrm>
                    <a:prstGeom prst="rect">
                      <a:avLst/>
                    </a:prstGeom>
                    <a:noFill/>
                    <a:ln>
                      <a:noFill/>
                    </a:ln>
                    <a:extLst>
                      <a:ext uri="{53640926-AAD7-44D8-BBD7-CCE9431645EC}">
                        <a14:shadowObscured xmlns:a14="http://schemas.microsoft.com/office/drawing/2010/main"/>
                      </a:ext>
                    </a:extLst>
                  </pic:spPr>
                </pic:pic>
              </a:graphicData>
            </a:graphic>
          </wp:inline>
        </w:drawing>
      </w:r>
    </w:p>
    <w:p w14:paraId="1EE56994" w14:textId="77777777" w:rsidR="00CE785A" w:rsidRPr="00292532" w:rsidRDefault="00CE785A" w:rsidP="00CE785A">
      <w:pPr>
        <w:tabs>
          <w:tab w:val="left" w:pos="8064"/>
        </w:tabs>
        <w:spacing w:before="0" w:after="0" w:line="259" w:lineRule="auto"/>
        <w:ind w:left="-284"/>
        <w:jc w:val="left"/>
        <w:rPr>
          <w:rFonts w:eastAsia="Calibri" w:cs="Calibri"/>
          <w:lang w:val="pt-PT"/>
        </w:rPr>
      </w:pPr>
    </w:p>
    <w:p w14:paraId="62101F31" w14:textId="331E15E0" w:rsidR="00CE785A" w:rsidRPr="00292532" w:rsidRDefault="00CE785A" w:rsidP="00CE785A">
      <w:pPr>
        <w:tabs>
          <w:tab w:val="left" w:pos="8064"/>
        </w:tabs>
        <w:spacing w:before="0" w:after="0" w:line="259" w:lineRule="auto"/>
        <w:ind w:left="-284"/>
        <w:jc w:val="left"/>
        <w:rPr>
          <w:rFonts w:eastAsia="Calibri" w:cs="Calibri"/>
          <w:lang w:val="pt-PT"/>
        </w:rPr>
      </w:pPr>
      <w:r w:rsidRPr="00292532">
        <w:rPr>
          <w:rFonts w:eastAsia="Calibri" w:cs="Calibri"/>
          <w:noProof/>
          <w:lang w:val="en-US"/>
        </w:rPr>
        <w:lastRenderedPageBreak/>
        <w:drawing>
          <wp:inline distT="0" distB="0" distL="0" distR="0" wp14:anchorId="056FDF7B" wp14:editId="2FDD1E7E">
            <wp:extent cx="5943600" cy="4296729"/>
            <wp:effectExtent l="0" t="0" r="0" b="889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4" cstate="email">
                      <a:extLst>
                        <a:ext uri="{BEBA8EAE-BF5A-486C-A8C5-ECC9F3942E4B}">
                          <a14:imgProps xmlns:a14="http://schemas.microsoft.com/office/drawing/2010/main">
                            <a14:imgLayer r:embed="rId85">
                              <a14:imgEffect>
                                <a14:sharpenSoften amount="50000"/>
                              </a14:imgEffect>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rot="10800000">
                      <a:off x="0" y="0"/>
                      <a:ext cx="5943600" cy="4296729"/>
                    </a:xfrm>
                    <a:prstGeom prst="rect">
                      <a:avLst/>
                    </a:prstGeom>
                    <a:noFill/>
                    <a:ln>
                      <a:noFill/>
                    </a:ln>
                    <a:extLst>
                      <a:ext uri="{53640926-AAD7-44D8-BBD7-CCE9431645EC}">
                        <a14:shadowObscured xmlns:a14="http://schemas.microsoft.com/office/drawing/2010/main"/>
                      </a:ext>
                    </a:extLst>
                  </pic:spPr>
                </pic:pic>
              </a:graphicData>
            </a:graphic>
          </wp:inline>
        </w:drawing>
      </w:r>
    </w:p>
    <w:p w14:paraId="314D7617" w14:textId="78D84D6B" w:rsidR="00CE785A" w:rsidRPr="00292532" w:rsidRDefault="00CE785A" w:rsidP="000D7B05">
      <w:pPr>
        <w:pStyle w:val="Title"/>
      </w:pPr>
    </w:p>
    <w:p w14:paraId="1D1EEC0C" w14:textId="46524AAC" w:rsidR="00706222" w:rsidRPr="00292532" w:rsidRDefault="00706222" w:rsidP="000D7B05">
      <w:pPr>
        <w:pStyle w:val="Title"/>
      </w:pPr>
    </w:p>
    <w:p w14:paraId="5E0778CE" w14:textId="5FB26C3F" w:rsidR="00706222" w:rsidRPr="00292532" w:rsidRDefault="00706222" w:rsidP="000D7B05">
      <w:pPr>
        <w:pStyle w:val="Title"/>
      </w:pPr>
    </w:p>
    <w:p w14:paraId="5AEF9EED" w14:textId="35B0D579" w:rsidR="00706222" w:rsidRPr="00292532" w:rsidRDefault="00706222" w:rsidP="000D7B05">
      <w:pPr>
        <w:pStyle w:val="Title"/>
      </w:pPr>
    </w:p>
    <w:p w14:paraId="5BFA4199" w14:textId="2AB35EBA" w:rsidR="00706222" w:rsidRPr="00292532" w:rsidRDefault="00706222" w:rsidP="000D7B05">
      <w:pPr>
        <w:pStyle w:val="Title"/>
      </w:pPr>
    </w:p>
    <w:p w14:paraId="3E45DEBC" w14:textId="197EB1FC" w:rsidR="00706222" w:rsidRPr="00292532" w:rsidRDefault="00706222" w:rsidP="000D7B05">
      <w:pPr>
        <w:pStyle w:val="Title"/>
      </w:pPr>
    </w:p>
    <w:p w14:paraId="2C7EC24D" w14:textId="15F0CED4" w:rsidR="00706222" w:rsidRPr="00292532" w:rsidRDefault="00706222" w:rsidP="000D7B05">
      <w:pPr>
        <w:pStyle w:val="Title"/>
      </w:pPr>
    </w:p>
    <w:p w14:paraId="523B6019" w14:textId="4AE28B0E" w:rsidR="00706222" w:rsidRPr="00292532" w:rsidRDefault="00706222" w:rsidP="000D7B05">
      <w:pPr>
        <w:pStyle w:val="Title"/>
      </w:pPr>
    </w:p>
    <w:p w14:paraId="6FFD681B" w14:textId="678FD3B6" w:rsidR="00706222" w:rsidRPr="00292532" w:rsidRDefault="00706222" w:rsidP="000D7B05">
      <w:pPr>
        <w:pStyle w:val="Title"/>
      </w:pPr>
    </w:p>
    <w:p w14:paraId="13B9C95B" w14:textId="596E7289" w:rsidR="00706222" w:rsidRPr="00292532" w:rsidRDefault="00706222" w:rsidP="000D7B05">
      <w:pPr>
        <w:pStyle w:val="Title"/>
      </w:pPr>
    </w:p>
    <w:p w14:paraId="7D2CE0BC" w14:textId="3DB68CE0" w:rsidR="00706222" w:rsidRPr="00292532" w:rsidRDefault="00706222" w:rsidP="000D7B05">
      <w:pPr>
        <w:pStyle w:val="Title"/>
      </w:pPr>
    </w:p>
    <w:p w14:paraId="1F473B87" w14:textId="0AC36ED5" w:rsidR="00706222" w:rsidRPr="00292532" w:rsidRDefault="00706222" w:rsidP="000D7B05">
      <w:pPr>
        <w:pStyle w:val="Title"/>
      </w:pPr>
    </w:p>
    <w:p w14:paraId="067F8B1E" w14:textId="6608B80A" w:rsidR="00706222" w:rsidRPr="00292532" w:rsidRDefault="00706222" w:rsidP="000D7B05">
      <w:pPr>
        <w:pStyle w:val="Title"/>
      </w:pPr>
    </w:p>
    <w:p w14:paraId="77895609" w14:textId="6AB68184" w:rsidR="00706222" w:rsidRPr="00292532" w:rsidRDefault="00706222" w:rsidP="000D7B05">
      <w:pPr>
        <w:pStyle w:val="Title"/>
      </w:pPr>
    </w:p>
    <w:p w14:paraId="769394AB" w14:textId="16BB5DA8" w:rsidR="00706222" w:rsidRPr="00292532" w:rsidRDefault="00706222" w:rsidP="000D7B05">
      <w:pPr>
        <w:pStyle w:val="Title"/>
      </w:pPr>
    </w:p>
    <w:p w14:paraId="2D04C17C" w14:textId="2A7F8884" w:rsidR="00706222" w:rsidRPr="00292532" w:rsidRDefault="00706222" w:rsidP="000D7B05">
      <w:pPr>
        <w:pStyle w:val="Title"/>
      </w:pPr>
    </w:p>
    <w:p w14:paraId="79A4FAF4" w14:textId="493C5C06" w:rsidR="00706222" w:rsidRPr="00292532" w:rsidRDefault="00706222" w:rsidP="000D7B05">
      <w:pPr>
        <w:pStyle w:val="Title"/>
      </w:pPr>
    </w:p>
    <w:p w14:paraId="2BA335E9" w14:textId="2F57FC6B" w:rsidR="00706222" w:rsidRPr="00292532" w:rsidRDefault="00706222" w:rsidP="000D7B05">
      <w:pPr>
        <w:pStyle w:val="Title"/>
      </w:pPr>
    </w:p>
    <w:p w14:paraId="5D7B675E" w14:textId="62395A76" w:rsidR="00706222" w:rsidRPr="00292532" w:rsidRDefault="00706222" w:rsidP="000D7B05">
      <w:pPr>
        <w:pStyle w:val="Title"/>
      </w:pPr>
    </w:p>
    <w:p w14:paraId="4D504E7D" w14:textId="1CDFE149" w:rsidR="00706222" w:rsidRPr="00292532" w:rsidRDefault="00706222" w:rsidP="000D7B05">
      <w:pPr>
        <w:pStyle w:val="Title"/>
      </w:pPr>
    </w:p>
    <w:p w14:paraId="53D2791F" w14:textId="4C7D7EAA" w:rsidR="00706222" w:rsidRPr="00292532" w:rsidRDefault="00706222" w:rsidP="000D7B05">
      <w:pPr>
        <w:pStyle w:val="Title"/>
      </w:pPr>
    </w:p>
    <w:p w14:paraId="057128E3" w14:textId="613A39DF" w:rsidR="00706222" w:rsidRPr="00292532" w:rsidRDefault="00706222" w:rsidP="000D7B05">
      <w:pPr>
        <w:pStyle w:val="Title"/>
      </w:pPr>
    </w:p>
    <w:p w14:paraId="4220A0B3" w14:textId="77777777" w:rsidR="00706222" w:rsidRPr="00292532" w:rsidRDefault="00706222" w:rsidP="000D7B05">
      <w:pPr>
        <w:pStyle w:val="Title"/>
      </w:pPr>
    </w:p>
    <w:p w14:paraId="0637C676" w14:textId="798964E5" w:rsidR="00706222" w:rsidRPr="00292532" w:rsidRDefault="00706222" w:rsidP="000D7B05">
      <w:pPr>
        <w:pStyle w:val="Title"/>
      </w:pPr>
      <w:r w:rsidRPr="00292532">
        <w:t xml:space="preserve">PARTE B: RELATÓRIO DE CONSULTA PÚBLICA NA Província da </w:t>
      </w:r>
      <w:r w:rsidR="00397095" w:rsidRPr="00292532">
        <w:t>NAMPULA</w:t>
      </w:r>
    </w:p>
    <w:p w14:paraId="11CAFCB3" w14:textId="68F785AA" w:rsidR="00706222" w:rsidRPr="00292532" w:rsidRDefault="00706222" w:rsidP="000D7B05">
      <w:pPr>
        <w:pStyle w:val="Title"/>
      </w:pPr>
    </w:p>
    <w:p w14:paraId="6E0167AD" w14:textId="77777777" w:rsidR="00706222" w:rsidRPr="00292532" w:rsidRDefault="00706222" w:rsidP="00706222">
      <w:pPr>
        <w:spacing w:before="0" w:after="0" w:line="276" w:lineRule="auto"/>
        <w:jc w:val="center"/>
        <w:rPr>
          <w:rFonts w:eastAsia="Calibri" w:cs="Calibri"/>
          <w:b/>
          <w:noProof/>
          <w:sz w:val="24"/>
          <w:lang w:val="pt-PT"/>
        </w:rPr>
      </w:pPr>
      <w:r w:rsidRPr="00292532">
        <w:rPr>
          <w:rFonts w:eastAsia="Calibri" w:cs="Calibri"/>
          <w:b/>
          <w:noProof/>
          <w:sz w:val="24"/>
          <w:lang w:val="pt-PT"/>
        </w:rPr>
        <w:t>Distrito de Monapo</w:t>
      </w:r>
    </w:p>
    <w:p w14:paraId="46F34744" w14:textId="77777777" w:rsidR="00706222" w:rsidRPr="00292532" w:rsidRDefault="00706222" w:rsidP="00706222">
      <w:pPr>
        <w:spacing w:before="0" w:after="0" w:line="276" w:lineRule="auto"/>
        <w:jc w:val="center"/>
        <w:rPr>
          <w:rFonts w:eastAsia="Calibri" w:cs="Calibri"/>
          <w:b/>
          <w:noProof/>
          <w:sz w:val="24"/>
          <w:lang w:val="pt-PT"/>
        </w:rPr>
      </w:pPr>
      <w:r w:rsidRPr="00292532">
        <w:rPr>
          <w:rFonts w:eastAsia="Calibri" w:cs="Calibri"/>
          <w:b/>
          <w:noProof/>
          <w:sz w:val="24"/>
          <w:lang w:val="pt-PT"/>
        </w:rPr>
        <w:t>Comunidade de Monapo Rio, Bairro Nova Cuamba</w:t>
      </w:r>
    </w:p>
    <w:p w14:paraId="7E01D96F" w14:textId="77777777" w:rsidR="00706222" w:rsidRPr="00292532" w:rsidRDefault="00706222" w:rsidP="00706222">
      <w:pPr>
        <w:spacing w:before="0" w:line="259" w:lineRule="auto"/>
        <w:jc w:val="center"/>
        <w:rPr>
          <w:rFonts w:eastAsia="Calibri" w:cs="Calibri"/>
          <w:b/>
          <w:i/>
          <w:noProof/>
          <w:u w:val="single"/>
          <w:lang w:val="pt-PT"/>
        </w:rPr>
      </w:pPr>
    </w:p>
    <w:p w14:paraId="27FF8072" w14:textId="26F08C5F" w:rsidR="00706222" w:rsidRPr="00292532" w:rsidRDefault="00706222" w:rsidP="00706222">
      <w:pPr>
        <w:spacing w:before="0" w:line="259" w:lineRule="auto"/>
        <w:jc w:val="center"/>
        <w:rPr>
          <w:rFonts w:eastAsia="Calibri" w:cs="Calibri"/>
          <w:b/>
          <w:i/>
          <w:noProof/>
          <w:u w:val="single"/>
          <w:lang w:val="pt-PT"/>
        </w:rPr>
      </w:pPr>
      <w:r w:rsidRPr="00292532">
        <w:rPr>
          <w:rFonts w:eastAsia="Calibri" w:cs="Calibri"/>
          <w:b/>
          <w:i/>
          <w:noProof/>
          <w:u w:val="single"/>
          <w:lang w:val="pt-PT"/>
        </w:rPr>
        <w:t>Acta da Reuni</w:t>
      </w:r>
      <w:r w:rsidR="00397095" w:rsidRPr="00292532">
        <w:rPr>
          <w:rFonts w:eastAsia="Calibri" w:cs="Calibri"/>
          <w:b/>
          <w:i/>
          <w:noProof/>
          <w:u w:val="single"/>
          <w:lang w:val="pt-PT"/>
        </w:rPr>
        <w:t>ã</w:t>
      </w:r>
      <w:r w:rsidRPr="00292532">
        <w:rPr>
          <w:rFonts w:eastAsia="Calibri" w:cs="Calibri"/>
          <w:b/>
          <w:i/>
          <w:noProof/>
          <w:u w:val="single"/>
          <w:lang w:val="pt-PT"/>
        </w:rPr>
        <w:t>o</w:t>
      </w:r>
    </w:p>
    <w:p w14:paraId="0FEF587A" w14:textId="77777777" w:rsidR="00706222" w:rsidRPr="00292532" w:rsidRDefault="00706222" w:rsidP="00706222">
      <w:pPr>
        <w:spacing w:before="0" w:line="259" w:lineRule="auto"/>
        <w:jc w:val="center"/>
        <w:rPr>
          <w:rFonts w:eastAsia="Calibri" w:cs="Calibri"/>
          <w:b/>
          <w:i/>
          <w:noProof/>
          <w:u w:val="single"/>
          <w:lang w:val="pt-PT"/>
        </w:rPr>
      </w:pPr>
      <w:r w:rsidRPr="00292532">
        <w:rPr>
          <w:rFonts w:eastAsia="Calibri" w:cs="Calibri"/>
          <w:b/>
          <w:i/>
          <w:noProof/>
          <w:u w:val="single"/>
          <w:lang w:val="pt-PT"/>
        </w:rPr>
        <w:t>Dia: 29/07/2021</w:t>
      </w:r>
    </w:p>
    <w:p w14:paraId="6C220999" w14:textId="77777777" w:rsidR="00706222" w:rsidRPr="00292532" w:rsidRDefault="00706222" w:rsidP="00706222">
      <w:pPr>
        <w:spacing w:before="0" w:after="0" w:line="276" w:lineRule="auto"/>
        <w:jc w:val="center"/>
        <w:rPr>
          <w:rFonts w:eastAsia="Calibri" w:cs="Calibri"/>
          <w:bCs/>
          <w:noProof/>
          <w:sz w:val="24"/>
          <w:u w:val="single"/>
          <w:lang w:val="pt-PT"/>
        </w:rPr>
      </w:pPr>
      <w:r w:rsidRPr="00292532">
        <w:rPr>
          <w:rFonts w:eastAsia="Calibri" w:cs="Calibri"/>
          <w:bCs/>
          <w:noProof/>
          <w:sz w:val="24"/>
          <w:u w:val="single"/>
          <w:lang w:val="pt-PT"/>
        </w:rPr>
        <w:t>Consulta Pública para elaboração de instrumentos genéricos de gestão ambiental e social</w:t>
      </w:r>
    </w:p>
    <w:p w14:paraId="70D72525" w14:textId="1D7405D6" w:rsidR="00706222" w:rsidRPr="00292532" w:rsidRDefault="00706222" w:rsidP="00706222">
      <w:pPr>
        <w:spacing w:before="0" w:after="0" w:line="276" w:lineRule="auto"/>
        <w:jc w:val="center"/>
        <w:rPr>
          <w:rFonts w:eastAsia="Calibri" w:cs="Calibri"/>
          <w:b/>
          <w:noProof/>
          <w:sz w:val="24"/>
          <w:lang w:val="pt-PT"/>
        </w:rPr>
      </w:pPr>
      <w:r w:rsidRPr="00292532">
        <w:rPr>
          <w:rFonts w:eastAsia="Calibri" w:cs="Calibri"/>
          <w:b/>
          <w:noProof/>
          <w:sz w:val="24"/>
          <w:lang w:val="pt-PT"/>
        </w:rPr>
        <w:t>ParticIparam 38 pessoas, sendo 21 Homens e 17 Mulheres</w:t>
      </w:r>
    </w:p>
    <w:tbl>
      <w:tblPr>
        <w:tblW w:w="9667" w:type="dxa"/>
        <w:tblInd w:w="-289" w:type="dxa"/>
        <w:tblLayout w:type="fixed"/>
        <w:tblLook w:val="04A0" w:firstRow="1" w:lastRow="0" w:firstColumn="1" w:lastColumn="0" w:noHBand="0" w:noVBand="1"/>
      </w:tblPr>
      <w:tblGrid>
        <w:gridCol w:w="2552"/>
        <w:gridCol w:w="4847"/>
        <w:gridCol w:w="2268"/>
      </w:tblGrid>
      <w:tr w:rsidR="00706222" w:rsidRPr="00292532" w14:paraId="264D40BC" w14:textId="77777777" w:rsidTr="00706222">
        <w:trPr>
          <w:trHeight w:val="70"/>
          <w:tblHeader/>
        </w:trPr>
        <w:tc>
          <w:tcPr>
            <w:tcW w:w="2552" w:type="dxa"/>
            <w:shd w:val="clear" w:color="auto" w:fill="4472C4"/>
            <w:vAlign w:val="center"/>
          </w:tcPr>
          <w:p w14:paraId="08B8F24F" w14:textId="77777777" w:rsidR="00706222" w:rsidRPr="00292532" w:rsidRDefault="00706222" w:rsidP="00706222">
            <w:pPr>
              <w:tabs>
                <w:tab w:val="left" w:pos="2980"/>
              </w:tabs>
              <w:spacing w:before="0" w:after="0" w:line="276" w:lineRule="auto"/>
              <w:jc w:val="center"/>
              <w:rPr>
                <w:rFonts w:eastAsia="Calibri" w:cs="Calibri"/>
                <w:b/>
                <w:noProof/>
                <w:color w:val="FFFFFF"/>
                <w:lang w:val="pt-PT"/>
              </w:rPr>
            </w:pPr>
            <w:r w:rsidRPr="00292532">
              <w:rPr>
                <w:rFonts w:eastAsia="Calibri" w:cs="Calibri"/>
                <w:b/>
                <w:noProof/>
                <w:color w:val="FFFFFF"/>
                <w:lang w:val="pt-PT"/>
              </w:rPr>
              <w:t>Assuntos abordados</w:t>
            </w:r>
          </w:p>
        </w:tc>
        <w:tc>
          <w:tcPr>
            <w:tcW w:w="4847" w:type="dxa"/>
            <w:shd w:val="clear" w:color="auto" w:fill="4472C4"/>
            <w:vAlign w:val="center"/>
          </w:tcPr>
          <w:p w14:paraId="3A346989" w14:textId="77777777" w:rsidR="00706222" w:rsidRPr="00292532" w:rsidRDefault="00706222" w:rsidP="00706222">
            <w:pPr>
              <w:spacing w:before="0" w:after="0" w:line="276" w:lineRule="auto"/>
              <w:jc w:val="center"/>
              <w:rPr>
                <w:rFonts w:eastAsia="Calibri" w:cs="Calibri"/>
                <w:b/>
                <w:noProof/>
                <w:color w:val="FFFFFF"/>
                <w:lang w:val="pt-PT"/>
              </w:rPr>
            </w:pPr>
            <w:r w:rsidRPr="00292532">
              <w:rPr>
                <w:rFonts w:eastAsia="Times New Roman" w:cs="Calibri"/>
                <w:b/>
                <w:noProof/>
                <w:color w:val="FFFFFF"/>
                <w:lang w:val="pt-PT"/>
              </w:rPr>
              <w:t>Resposta / Comentário</w:t>
            </w:r>
          </w:p>
        </w:tc>
        <w:tc>
          <w:tcPr>
            <w:tcW w:w="2268" w:type="dxa"/>
            <w:shd w:val="clear" w:color="auto" w:fill="4472C4"/>
            <w:vAlign w:val="center"/>
          </w:tcPr>
          <w:p w14:paraId="07C18663" w14:textId="77777777" w:rsidR="00706222" w:rsidRPr="00292532" w:rsidRDefault="00706222" w:rsidP="00706222">
            <w:pPr>
              <w:spacing w:before="0" w:after="0" w:line="276" w:lineRule="auto"/>
              <w:jc w:val="center"/>
              <w:rPr>
                <w:rFonts w:eastAsia="Calibri" w:cs="Calibri"/>
                <w:b/>
                <w:noProof/>
                <w:color w:val="FFFFFF"/>
                <w:lang w:val="pt-PT"/>
              </w:rPr>
            </w:pPr>
            <w:r w:rsidRPr="00292532">
              <w:rPr>
                <w:rFonts w:eastAsia="Calibri" w:cs="Calibri"/>
                <w:b/>
                <w:noProof/>
                <w:color w:val="FFFFFF"/>
                <w:lang w:val="pt-PT"/>
              </w:rPr>
              <w:t>Intervenientes (nome, posição/título)</w:t>
            </w:r>
          </w:p>
        </w:tc>
      </w:tr>
      <w:tr w:rsidR="00706222" w:rsidRPr="00292532" w14:paraId="14F00966" w14:textId="77777777" w:rsidTr="00706222">
        <w:trPr>
          <w:trHeight w:val="746"/>
        </w:trPr>
        <w:tc>
          <w:tcPr>
            <w:tcW w:w="2552" w:type="dxa"/>
            <w:vMerge w:val="restart"/>
            <w:tcBorders>
              <w:top w:val="single" w:sz="4" w:space="0" w:color="auto"/>
              <w:left w:val="single" w:sz="4" w:space="0" w:color="auto"/>
              <w:right w:val="single" w:sz="4" w:space="0" w:color="auto"/>
            </w:tcBorders>
            <w:vAlign w:val="center"/>
          </w:tcPr>
          <w:p w14:paraId="7CB92BAF"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Quais são as vossas prioridades em termos de comunidade para implantar um sistema de abastecimento de água.</w:t>
            </w:r>
          </w:p>
        </w:tc>
        <w:tc>
          <w:tcPr>
            <w:tcW w:w="4847" w:type="dxa"/>
            <w:vMerge w:val="restart"/>
            <w:tcBorders>
              <w:top w:val="single" w:sz="4" w:space="0" w:color="auto"/>
              <w:left w:val="single" w:sz="4" w:space="0" w:color="auto"/>
              <w:right w:val="single" w:sz="4" w:space="0" w:color="auto"/>
            </w:tcBorders>
            <w:vAlign w:val="center"/>
          </w:tcPr>
          <w:p w14:paraId="66CDCC09" w14:textId="77777777" w:rsidR="00706222" w:rsidRPr="00292532" w:rsidRDefault="00706222" w:rsidP="00AE14AE">
            <w:pPr>
              <w:numPr>
                <w:ilvl w:val="0"/>
                <w:numId w:val="172"/>
              </w:numPr>
              <w:spacing w:before="0" w:after="0" w:line="276" w:lineRule="auto"/>
              <w:contextualSpacing/>
              <w:jc w:val="left"/>
              <w:rPr>
                <w:rFonts w:eastAsia="Calibri" w:cs="Calibri"/>
                <w:noProof/>
                <w:lang w:val="pt-PT"/>
              </w:rPr>
            </w:pPr>
            <w:r w:rsidRPr="00292532">
              <w:rPr>
                <w:rFonts w:eastAsia="Calibri" w:cs="Calibri"/>
                <w:noProof/>
                <w:lang w:val="pt-PT"/>
              </w:rPr>
              <w:t>O local a ser identificado deve ser estratégico para que a água seja abrangente para todos os residentes da comunidade;</w:t>
            </w:r>
          </w:p>
          <w:p w14:paraId="00197208" w14:textId="77777777" w:rsidR="00706222" w:rsidRPr="00292532" w:rsidRDefault="00706222" w:rsidP="00AE14AE">
            <w:pPr>
              <w:numPr>
                <w:ilvl w:val="0"/>
                <w:numId w:val="172"/>
              </w:numPr>
              <w:spacing w:before="0" w:after="0" w:line="276" w:lineRule="auto"/>
              <w:contextualSpacing/>
              <w:jc w:val="left"/>
              <w:rPr>
                <w:rFonts w:eastAsia="Calibri" w:cs="Calibri"/>
                <w:noProof/>
                <w:lang w:val="pt-PT"/>
              </w:rPr>
            </w:pPr>
            <w:r w:rsidRPr="00292532">
              <w:rPr>
                <w:rFonts w:eastAsia="Calibri" w:cs="Calibri"/>
                <w:noProof/>
                <w:lang w:val="pt-PT"/>
              </w:rPr>
              <w:t>Criar condições para que a comunidade tenha água em todas as epocas do ano.</w:t>
            </w:r>
          </w:p>
          <w:p w14:paraId="6B383A93" w14:textId="77777777" w:rsidR="00706222" w:rsidRPr="00292532" w:rsidRDefault="00706222" w:rsidP="00AE14AE">
            <w:pPr>
              <w:numPr>
                <w:ilvl w:val="0"/>
                <w:numId w:val="172"/>
              </w:numPr>
              <w:spacing w:before="0" w:after="0" w:line="276" w:lineRule="auto"/>
              <w:contextualSpacing/>
              <w:jc w:val="left"/>
              <w:rPr>
                <w:rFonts w:eastAsia="Calibri" w:cs="Calibri"/>
                <w:noProof/>
                <w:lang w:val="pt-PT"/>
              </w:rPr>
            </w:pPr>
            <w:r w:rsidRPr="00292532">
              <w:rPr>
                <w:rFonts w:eastAsia="Calibri" w:cs="Calibri"/>
                <w:noProof/>
                <w:lang w:val="pt-PT"/>
              </w:rPr>
              <w:t>O local não pode ser distante do bairro;</w:t>
            </w:r>
          </w:p>
          <w:p w14:paraId="672C16E8" w14:textId="77777777" w:rsidR="00706222" w:rsidRPr="00292532" w:rsidRDefault="00706222" w:rsidP="00AE14AE">
            <w:pPr>
              <w:numPr>
                <w:ilvl w:val="0"/>
                <w:numId w:val="172"/>
              </w:numPr>
              <w:spacing w:before="0" w:after="0" w:line="276" w:lineRule="auto"/>
              <w:contextualSpacing/>
              <w:jc w:val="left"/>
              <w:rPr>
                <w:rFonts w:eastAsia="Calibri" w:cs="Calibri"/>
                <w:noProof/>
                <w:lang w:val="pt-PT"/>
              </w:rPr>
            </w:pPr>
            <w:r w:rsidRPr="00292532">
              <w:rPr>
                <w:rFonts w:eastAsia="Calibri" w:cs="Calibri"/>
                <w:noProof/>
                <w:lang w:val="pt-PT"/>
              </w:rPr>
              <w:t>Deve se garantir que perfurem água boa para beber.</w:t>
            </w:r>
          </w:p>
        </w:tc>
        <w:tc>
          <w:tcPr>
            <w:tcW w:w="2268" w:type="dxa"/>
            <w:tcBorders>
              <w:top w:val="single" w:sz="4" w:space="0" w:color="auto"/>
              <w:left w:val="single" w:sz="4" w:space="0" w:color="auto"/>
              <w:right w:val="single" w:sz="4" w:space="0" w:color="auto"/>
            </w:tcBorders>
            <w:vAlign w:val="center"/>
          </w:tcPr>
          <w:p w14:paraId="2177B35A"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Alfonsino</w:t>
            </w:r>
            <w:r w:rsidRPr="00292532">
              <w:rPr>
                <w:rFonts w:eastAsia="Calibri" w:cs="Calibri"/>
                <w:noProof/>
                <w:lang w:val="pt-PT"/>
              </w:rPr>
              <w:t xml:space="preserve"> – Chefe da Localidade;</w:t>
            </w:r>
          </w:p>
          <w:p w14:paraId="08283AD9" w14:textId="77777777" w:rsidR="00706222" w:rsidRPr="00292532" w:rsidRDefault="00706222" w:rsidP="00706222">
            <w:pPr>
              <w:spacing w:before="0" w:after="0" w:line="276" w:lineRule="auto"/>
              <w:jc w:val="left"/>
              <w:rPr>
                <w:rFonts w:eastAsia="Calibri" w:cs="Calibri"/>
                <w:noProof/>
                <w:lang w:val="pt-PT"/>
              </w:rPr>
            </w:pPr>
          </w:p>
          <w:p w14:paraId="0A663E53"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Filipe Manuel</w:t>
            </w:r>
            <w:r w:rsidRPr="00292532">
              <w:rPr>
                <w:rFonts w:eastAsia="Calibri" w:cs="Calibri"/>
                <w:noProof/>
                <w:lang w:val="pt-PT"/>
              </w:rPr>
              <w:t xml:space="preserve"> – líder do bairro;</w:t>
            </w:r>
          </w:p>
          <w:p w14:paraId="0F719F11" w14:textId="77777777" w:rsidR="00706222" w:rsidRPr="00292532" w:rsidRDefault="00706222" w:rsidP="00706222">
            <w:pPr>
              <w:spacing w:before="0" w:after="0" w:line="276" w:lineRule="auto"/>
              <w:jc w:val="left"/>
              <w:rPr>
                <w:rFonts w:eastAsia="Calibri" w:cs="Calibri"/>
                <w:noProof/>
                <w:u w:val="single"/>
                <w:lang w:val="pt-PT"/>
              </w:rPr>
            </w:pPr>
            <w:r w:rsidRPr="00292532">
              <w:rPr>
                <w:rFonts w:eastAsia="Calibri" w:cs="Calibri"/>
                <w:b/>
                <w:noProof/>
                <w:lang w:val="pt-PT"/>
              </w:rPr>
              <w:t>Irene Adelino</w:t>
            </w:r>
            <w:r w:rsidRPr="00292532">
              <w:rPr>
                <w:rFonts w:eastAsia="Calibri" w:cs="Calibri"/>
                <w:noProof/>
                <w:lang w:val="pt-PT"/>
              </w:rPr>
              <w:t xml:space="preserve"> - Residente</w:t>
            </w:r>
          </w:p>
        </w:tc>
      </w:tr>
      <w:tr w:rsidR="00706222" w:rsidRPr="00292532" w14:paraId="6E436165" w14:textId="77777777" w:rsidTr="00706222">
        <w:trPr>
          <w:trHeight w:val="1074"/>
        </w:trPr>
        <w:tc>
          <w:tcPr>
            <w:tcW w:w="2552" w:type="dxa"/>
            <w:vMerge/>
            <w:tcBorders>
              <w:left w:val="single" w:sz="4" w:space="0" w:color="auto"/>
              <w:bottom w:val="single" w:sz="4" w:space="0" w:color="auto"/>
              <w:right w:val="single" w:sz="4" w:space="0" w:color="auto"/>
            </w:tcBorders>
            <w:vAlign w:val="center"/>
          </w:tcPr>
          <w:p w14:paraId="57A546B3" w14:textId="77777777" w:rsidR="00706222" w:rsidRPr="00292532" w:rsidRDefault="00706222" w:rsidP="00706222">
            <w:pPr>
              <w:spacing w:before="0" w:after="0" w:line="276" w:lineRule="auto"/>
              <w:jc w:val="left"/>
              <w:rPr>
                <w:rFonts w:eastAsia="Calibri" w:cs="Calibri"/>
                <w:noProof/>
                <w:lang w:val="pt-PT"/>
              </w:rPr>
            </w:pPr>
          </w:p>
        </w:tc>
        <w:tc>
          <w:tcPr>
            <w:tcW w:w="4847" w:type="dxa"/>
            <w:vMerge/>
            <w:tcBorders>
              <w:left w:val="single" w:sz="4" w:space="0" w:color="auto"/>
              <w:bottom w:val="single" w:sz="4" w:space="0" w:color="auto"/>
              <w:right w:val="single" w:sz="4" w:space="0" w:color="auto"/>
            </w:tcBorders>
            <w:vAlign w:val="center"/>
          </w:tcPr>
          <w:p w14:paraId="7A962727" w14:textId="77777777" w:rsidR="00706222" w:rsidRPr="00292532" w:rsidRDefault="00706222" w:rsidP="00706222">
            <w:pPr>
              <w:spacing w:before="0" w:after="0" w:line="276" w:lineRule="auto"/>
              <w:jc w:val="left"/>
              <w:rPr>
                <w:rFonts w:eastAsia="Calibri" w:cs="Calibri"/>
                <w:noProof/>
                <w:lang w:val="pt-PT"/>
              </w:rPr>
            </w:pPr>
          </w:p>
        </w:tc>
        <w:tc>
          <w:tcPr>
            <w:tcW w:w="2268" w:type="dxa"/>
            <w:tcBorders>
              <w:left w:val="single" w:sz="4" w:space="0" w:color="auto"/>
              <w:bottom w:val="single" w:sz="4" w:space="0" w:color="auto"/>
              <w:right w:val="single" w:sz="4" w:space="0" w:color="auto"/>
            </w:tcBorders>
            <w:vAlign w:val="center"/>
          </w:tcPr>
          <w:p w14:paraId="6D68F31C" w14:textId="77777777" w:rsidR="00706222" w:rsidRPr="00292532" w:rsidRDefault="00706222" w:rsidP="00706222">
            <w:pPr>
              <w:spacing w:before="0" w:after="0" w:line="276" w:lineRule="auto"/>
              <w:jc w:val="left"/>
              <w:rPr>
                <w:rFonts w:eastAsia="Calibri" w:cs="Calibri"/>
                <w:noProof/>
                <w:u w:val="single"/>
                <w:lang w:val="pt-PT"/>
              </w:rPr>
            </w:pPr>
          </w:p>
        </w:tc>
      </w:tr>
      <w:tr w:rsidR="00706222" w:rsidRPr="004E2EAC" w14:paraId="37D09DF3" w14:textId="77777777" w:rsidTr="00706222">
        <w:tc>
          <w:tcPr>
            <w:tcW w:w="2552" w:type="dxa"/>
            <w:tcBorders>
              <w:top w:val="single" w:sz="4" w:space="0" w:color="auto"/>
              <w:left w:val="single" w:sz="4" w:space="0" w:color="auto"/>
              <w:bottom w:val="single" w:sz="4" w:space="0" w:color="auto"/>
              <w:right w:val="single" w:sz="4" w:space="0" w:color="auto"/>
            </w:tcBorders>
            <w:vAlign w:val="center"/>
            <w:hideMark/>
          </w:tcPr>
          <w:p w14:paraId="29FC5302" w14:textId="77777777" w:rsidR="00706222" w:rsidRPr="00292532" w:rsidRDefault="00706222" w:rsidP="00706222">
            <w:pPr>
              <w:spacing w:before="0" w:after="0" w:line="276" w:lineRule="auto"/>
              <w:jc w:val="left"/>
              <w:rPr>
                <w:rFonts w:eastAsia="Calibri" w:cs="Calibri"/>
                <w:noProof/>
                <w:lang w:val="pt-PT"/>
              </w:rPr>
            </w:pPr>
          </w:p>
          <w:p w14:paraId="50093C2E"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Mecanismo de Gestão de Reclamação e conflitos a nível local e recomendação para o projecto.</w:t>
            </w:r>
          </w:p>
        </w:tc>
        <w:tc>
          <w:tcPr>
            <w:tcW w:w="4847" w:type="dxa"/>
            <w:tcBorders>
              <w:top w:val="single" w:sz="4" w:space="0" w:color="auto"/>
              <w:left w:val="single" w:sz="4" w:space="0" w:color="auto"/>
              <w:bottom w:val="single" w:sz="4" w:space="0" w:color="auto"/>
              <w:right w:val="single" w:sz="4" w:space="0" w:color="auto"/>
            </w:tcBorders>
            <w:vAlign w:val="center"/>
          </w:tcPr>
          <w:p w14:paraId="0D56A35B"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Na comunidade os conflitos são geridos com os superiores hierarquicos: Líderes comunitarios, Líderes religiosos, etc. Em casos desses não conseguirem resolver recorre-se a localidade.</w:t>
            </w:r>
          </w:p>
          <w:p w14:paraId="4FC58A16"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Recomenda-se que o projecto tenha interação directa e interaja com as líderancas locais.</w:t>
            </w:r>
          </w:p>
        </w:tc>
        <w:tc>
          <w:tcPr>
            <w:tcW w:w="2268" w:type="dxa"/>
            <w:tcBorders>
              <w:top w:val="single" w:sz="4" w:space="0" w:color="auto"/>
              <w:left w:val="single" w:sz="4" w:space="0" w:color="auto"/>
              <w:bottom w:val="single" w:sz="4" w:space="0" w:color="auto"/>
              <w:right w:val="single" w:sz="4" w:space="0" w:color="auto"/>
            </w:tcBorders>
            <w:vAlign w:val="center"/>
          </w:tcPr>
          <w:p w14:paraId="684F5863"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Filipe Manuel</w:t>
            </w:r>
            <w:r w:rsidRPr="00292532">
              <w:rPr>
                <w:rFonts w:eastAsia="Calibri" w:cs="Calibri"/>
                <w:noProof/>
                <w:lang w:val="pt-PT"/>
              </w:rPr>
              <w:t xml:space="preserve"> – líder do bairro;</w:t>
            </w:r>
          </w:p>
          <w:p w14:paraId="46FECB78" w14:textId="77777777" w:rsidR="00706222" w:rsidRPr="00292532" w:rsidRDefault="00706222" w:rsidP="00706222">
            <w:pPr>
              <w:spacing w:before="0" w:after="0" w:line="276" w:lineRule="auto"/>
              <w:jc w:val="left"/>
              <w:rPr>
                <w:rFonts w:eastAsia="Calibri" w:cs="Calibri"/>
                <w:noProof/>
                <w:lang w:val="pt-PT"/>
              </w:rPr>
            </w:pPr>
          </w:p>
        </w:tc>
      </w:tr>
      <w:tr w:rsidR="00706222" w:rsidRPr="00292532" w14:paraId="38C20AB4" w14:textId="77777777" w:rsidTr="00706222">
        <w:trPr>
          <w:trHeight w:val="1057"/>
        </w:trPr>
        <w:tc>
          <w:tcPr>
            <w:tcW w:w="2552" w:type="dxa"/>
            <w:vMerge w:val="restart"/>
            <w:tcBorders>
              <w:top w:val="single" w:sz="4" w:space="0" w:color="auto"/>
              <w:left w:val="single" w:sz="4" w:space="0" w:color="auto"/>
              <w:right w:val="single" w:sz="4" w:space="0" w:color="auto"/>
            </w:tcBorders>
            <w:vAlign w:val="center"/>
            <w:hideMark/>
          </w:tcPr>
          <w:p w14:paraId="59484792" w14:textId="77777777" w:rsidR="00706222" w:rsidRPr="00292532" w:rsidRDefault="00706222" w:rsidP="00706222">
            <w:pPr>
              <w:spacing w:before="0" w:after="0" w:line="259" w:lineRule="auto"/>
              <w:jc w:val="left"/>
              <w:rPr>
                <w:rFonts w:eastAsia="Calibri" w:cs="Calibri"/>
                <w:b/>
                <w:bCs/>
                <w:noProof/>
                <w:lang w:val="pt-PT"/>
              </w:rPr>
            </w:pPr>
            <w:r w:rsidRPr="00292532">
              <w:rPr>
                <w:rFonts w:eastAsia="Calibri" w:cs="Calibri"/>
                <w:b/>
                <w:bCs/>
                <w:noProof/>
                <w:lang w:val="pt-PT"/>
              </w:rPr>
              <w:t>Aspectos importantes a salváguardar durante a execução do projecto.</w:t>
            </w:r>
          </w:p>
          <w:p w14:paraId="44EE9324" w14:textId="77777777" w:rsidR="00706222" w:rsidRPr="00292532" w:rsidRDefault="00706222" w:rsidP="00706222">
            <w:pPr>
              <w:spacing w:before="0" w:after="0" w:line="276" w:lineRule="auto"/>
              <w:jc w:val="left"/>
              <w:rPr>
                <w:rFonts w:eastAsia="Calibri" w:cs="Calibri"/>
                <w:noProof/>
                <w:lang w:val="pt-PT"/>
              </w:rPr>
            </w:pPr>
          </w:p>
        </w:tc>
        <w:tc>
          <w:tcPr>
            <w:tcW w:w="4847" w:type="dxa"/>
            <w:vMerge w:val="restart"/>
            <w:tcBorders>
              <w:top w:val="single" w:sz="4" w:space="0" w:color="auto"/>
              <w:left w:val="single" w:sz="4" w:space="0" w:color="auto"/>
              <w:right w:val="single" w:sz="4" w:space="0" w:color="auto"/>
            </w:tcBorders>
            <w:vAlign w:val="center"/>
          </w:tcPr>
          <w:p w14:paraId="0F8FA386" w14:textId="77777777" w:rsidR="00706222" w:rsidRPr="00292532" w:rsidRDefault="00706222" w:rsidP="00AE14AE">
            <w:pPr>
              <w:numPr>
                <w:ilvl w:val="0"/>
                <w:numId w:val="174"/>
              </w:numPr>
              <w:spacing w:before="0" w:after="0" w:line="276" w:lineRule="auto"/>
              <w:contextualSpacing/>
              <w:jc w:val="left"/>
              <w:rPr>
                <w:rFonts w:eastAsia="Calibri" w:cs="Calibri"/>
                <w:noProof/>
                <w:lang w:val="pt-PT"/>
              </w:rPr>
            </w:pPr>
            <w:r w:rsidRPr="00292532">
              <w:rPr>
                <w:rFonts w:eastAsia="Calibri" w:cs="Calibri"/>
                <w:noProof/>
                <w:lang w:val="pt-PT"/>
              </w:rPr>
              <w:t>Preservar as machambas dos membros das comunidades onde tenham produtos;</w:t>
            </w:r>
          </w:p>
          <w:p w14:paraId="1480FE2F" w14:textId="77777777" w:rsidR="00706222" w:rsidRPr="00292532" w:rsidRDefault="00706222" w:rsidP="00AE14AE">
            <w:pPr>
              <w:numPr>
                <w:ilvl w:val="0"/>
                <w:numId w:val="174"/>
              </w:numPr>
              <w:spacing w:before="0" w:after="0" w:line="276" w:lineRule="auto"/>
              <w:contextualSpacing/>
              <w:jc w:val="left"/>
              <w:rPr>
                <w:rFonts w:eastAsia="Calibri" w:cs="Calibri"/>
                <w:noProof/>
                <w:lang w:val="pt-PT"/>
              </w:rPr>
            </w:pPr>
            <w:r w:rsidRPr="00292532">
              <w:rPr>
                <w:rFonts w:eastAsia="Calibri" w:cs="Calibri"/>
                <w:noProof/>
                <w:lang w:val="pt-PT"/>
              </w:rPr>
              <w:t>Envolver activamente a comunidade na execução do projecto.</w:t>
            </w:r>
          </w:p>
        </w:tc>
        <w:tc>
          <w:tcPr>
            <w:tcW w:w="2268" w:type="dxa"/>
            <w:tcBorders>
              <w:top w:val="single" w:sz="4" w:space="0" w:color="auto"/>
              <w:left w:val="single" w:sz="4" w:space="0" w:color="auto"/>
              <w:right w:val="single" w:sz="4" w:space="0" w:color="auto"/>
            </w:tcBorders>
            <w:vAlign w:val="center"/>
          </w:tcPr>
          <w:p w14:paraId="33A414E3"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Antonio</w:t>
            </w:r>
            <w:r w:rsidRPr="00292532">
              <w:rPr>
                <w:rFonts w:eastAsia="Calibri" w:cs="Calibri"/>
                <w:noProof/>
                <w:lang w:val="pt-PT"/>
              </w:rPr>
              <w:t xml:space="preserve"> – Secretario </w:t>
            </w:r>
          </w:p>
        </w:tc>
      </w:tr>
      <w:tr w:rsidR="00706222" w:rsidRPr="00292532" w14:paraId="2B76B125" w14:textId="77777777" w:rsidTr="00706222">
        <w:trPr>
          <w:trHeight w:val="611"/>
        </w:trPr>
        <w:tc>
          <w:tcPr>
            <w:tcW w:w="2552" w:type="dxa"/>
            <w:vMerge/>
            <w:tcBorders>
              <w:left w:val="single" w:sz="4" w:space="0" w:color="auto"/>
              <w:bottom w:val="single" w:sz="4" w:space="0" w:color="auto"/>
              <w:right w:val="single" w:sz="4" w:space="0" w:color="auto"/>
            </w:tcBorders>
            <w:vAlign w:val="center"/>
          </w:tcPr>
          <w:p w14:paraId="072164C0" w14:textId="77777777" w:rsidR="00706222" w:rsidRPr="00292532" w:rsidRDefault="00706222" w:rsidP="00706222">
            <w:pPr>
              <w:spacing w:before="0" w:after="0" w:line="276" w:lineRule="auto"/>
              <w:jc w:val="left"/>
              <w:rPr>
                <w:rFonts w:eastAsia="Calibri" w:cs="Calibri"/>
                <w:noProof/>
                <w:lang w:val="pt-PT"/>
              </w:rPr>
            </w:pPr>
          </w:p>
        </w:tc>
        <w:tc>
          <w:tcPr>
            <w:tcW w:w="4847" w:type="dxa"/>
            <w:vMerge/>
            <w:tcBorders>
              <w:left w:val="single" w:sz="4" w:space="0" w:color="auto"/>
              <w:bottom w:val="single" w:sz="4" w:space="0" w:color="auto"/>
              <w:right w:val="single" w:sz="4" w:space="0" w:color="auto"/>
            </w:tcBorders>
            <w:vAlign w:val="center"/>
          </w:tcPr>
          <w:p w14:paraId="2722C68F" w14:textId="77777777" w:rsidR="00706222" w:rsidRPr="00292532" w:rsidRDefault="00706222" w:rsidP="00706222">
            <w:pPr>
              <w:spacing w:before="0" w:after="0" w:line="276" w:lineRule="auto"/>
              <w:jc w:val="left"/>
              <w:rPr>
                <w:rFonts w:eastAsia="Calibri" w:cs="Calibri"/>
                <w:noProof/>
                <w:lang w:val="pt-PT"/>
              </w:rPr>
            </w:pPr>
          </w:p>
        </w:tc>
        <w:tc>
          <w:tcPr>
            <w:tcW w:w="2268" w:type="dxa"/>
            <w:tcBorders>
              <w:left w:val="single" w:sz="4" w:space="0" w:color="auto"/>
              <w:bottom w:val="single" w:sz="4" w:space="0" w:color="auto"/>
              <w:right w:val="single" w:sz="4" w:space="0" w:color="auto"/>
            </w:tcBorders>
            <w:vAlign w:val="center"/>
          </w:tcPr>
          <w:p w14:paraId="7C282740" w14:textId="77777777" w:rsidR="00706222" w:rsidRPr="00292532" w:rsidRDefault="00706222" w:rsidP="00706222">
            <w:pPr>
              <w:spacing w:before="0" w:after="0" w:line="276" w:lineRule="auto"/>
              <w:jc w:val="left"/>
              <w:rPr>
                <w:rFonts w:eastAsia="Calibri" w:cs="Calibri"/>
                <w:noProof/>
                <w:lang w:val="pt-PT"/>
              </w:rPr>
            </w:pPr>
          </w:p>
        </w:tc>
      </w:tr>
      <w:tr w:rsidR="00706222" w:rsidRPr="00292532" w14:paraId="26D733E4" w14:textId="77777777" w:rsidTr="00706222">
        <w:tc>
          <w:tcPr>
            <w:tcW w:w="2552" w:type="dxa"/>
            <w:tcBorders>
              <w:top w:val="single" w:sz="4" w:space="0" w:color="auto"/>
              <w:left w:val="single" w:sz="4" w:space="0" w:color="auto"/>
              <w:bottom w:val="single" w:sz="4" w:space="0" w:color="auto"/>
              <w:right w:val="single" w:sz="4" w:space="0" w:color="auto"/>
            </w:tcBorders>
            <w:vAlign w:val="center"/>
            <w:hideMark/>
          </w:tcPr>
          <w:p w14:paraId="0376ABB1"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bCs/>
                <w:noProof/>
                <w:lang w:val="pt-PT"/>
              </w:rPr>
              <w:t>Recrutamento de Mão-de-Obra.</w:t>
            </w:r>
          </w:p>
        </w:tc>
        <w:tc>
          <w:tcPr>
            <w:tcW w:w="4847" w:type="dxa"/>
            <w:tcBorders>
              <w:top w:val="single" w:sz="4" w:space="0" w:color="auto"/>
              <w:left w:val="single" w:sz="4" w:space="0" w:color="auto"/>
              <w:bottom w:val="single" w:sz="4" w:space="0" w:color="auto"/>
              <w:right w:val="single" w:sz="4" w:space="0" w:color="auto"/>
            </w:tcBorders>
            <w:vAlign w:val="center"/>
          </w:tcPr>
          <w:p w14:paraId="7AA55135"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Deve se priorizar o recrutamento da mão-de-obra local.</w:t>
            </w:r>
          </w:p>
          <w:p w14:paraId="33294907"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Deve se consultar a líderanca do bairro para eles indentificarem as pessoas. Mas observa-se que muitas das vezes os projectos trazem seus trabalhares.</w:t>
            </w:r>
          </w:p>
        </w:tc>
        <w:tc>
          <w:tcPr>
            <w:tcW w:w="2268" w:type="dxa"/>
            <w:tcBorders>
              <w:top w:val="single" w:sz="4" w:space="0" w:color="auto"/>
              <w:left w:val="single" w:sz="4" w:space="0" w:color="auto"/>
              <w:bottom w:val="single" w:sz="4" w:space="0" w:color="auto"/>
              <w:right w:val="single" w:sz="4" w:space="0" w:color="auto"/>
            </w:tcBorders>
            <w:vAlign w:val="center"/>
          </w:tcPr>
          <w:p w14:paraId="51E3653D"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Filipe Manuel</w:t>
            </w:r>
            <w:r w:rsidRPr="00292532">
              <w:rPr>
                <w:rFonts w:eastAsia="Calibri" w:cs="Calibri"/>
                <w:noProof/>
                <w:lang w:val="pt-PT"/>
              </w:rPr>
              <w:t xml:space="preserve"> – líder do bairro;</w:t>
            </w:r>
          </w:p>
          <w:p w14:paraId="1BAFAAE1"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Alfonsino</w:t>
            </w:r>
            <w:r w:rsidRPr="00292532">
              <w:rPr>
                <w:rFonts w:eastAsia="Calibri" w:cs="Calibri"/>
                <w:noProof/>
                <w:lang w:val="pt-PT"/>
              </w:rPr>
              <w:t xml:space="preserve"> – Chefe da Localidade;</w:t>
            </w:r>
          </w:p>
          <w:p w14:paraId="3D3B4BC9" w14:textId="77777777" w:rsidR="00706222" w:rsidRPr="00292532" w:rsidRDefault="00706222" w:rsidP="00706222">
            <w:pPr>
              <w:spacing w:before="0" w:after="0" w:line="276" w:lineRule="auto"/>
              <w:jc w:val="left"/>
              <w:rPr>
                <w:rFonts w:eastAsia="Calibri" w:cs="Calibri"/>
                <w:noProof/>
                <w:lang w:val="pt-PT"/>
              </w:rPr>
            </w:pPr>
          </w:p>
        </w:tc>
      </w:tr>
      <w:tr w:rsidR="00706222" w:rsidRPr="00292532" w14:paraId="35FC61A3" w14:textId="77777777" w:rsidTr="00706222">
        <w:trPr>
          <w:trHeight w:val="745"/>
        </w:trPr>
        <w:tc>
          <w:tcPr>
            <w:tcW w:w="2552" w:type="dxa"/>
            <w:tcBorders>
              <w:top w:val="single" w:sz="4" w:space="0" w:color="auto"/>
              <w:left w:val="single" w:sz="4" w:space="0" w:color="auto"/>
              <w:bottom w:val="single" w:sz="4" w:space="0" w:color="auto"/>
              <w:right w:val="single" w:sz="4" w:space="0" w:color="auto"/>
            </w:tcBorders>
            <w:vAlign w:val="center"/>
            <w:hideMark/>
          </w:tcPr>
          <w:p w14:paraId="28EE6B73"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bCs/>
                <w:noProof/>
                <w:lang w:val="pt-PT"/>
              </w:rPr>
              <w:lastRenderedPageBreak/>
              <w:t>Nível de interacção entre o empreiteiro e a comunidade.</w:t>
            </w:r>
          </w:p>
        </w:tc>
        <w:tc>
          <w:tcPr>
            <w:tcW w:w="4847" w:type="dxa"/>
            <w:tcBorders>
              <w:top w:val="single" w:sz="4" w:space="0" w:color="auto"/>
              <w:left w:val="single" w:sz="4" w:space="0" w:color="auto"/>
              <w:bottom w:val="single" w:sz="4" w:space="0" w:color="auto"/>
              <w:right w:val="single" w:sz="4" w:space="0" w:color="auto"/>
            </w:tcBorders>
            <w:vAlign w:val="center"/>
          </w:tcPr>
          <w:p w14:paraId="5D9CE867"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Na concretização do projecto para que seja bem recebido e trabalhe sem sobressaltos, deve se garantir uma boa interação entre o empreteiro e membros e líderança da comunidade.</w:t>
            </w:r>
          </w:p>
        </w:tc>
        <w:tc>
          <w:tcPr>
            <w:tcW w:w="2268" w:type="dxa"/>
            <w:tcBorders>
              <w:top w:val="single" w:sz="4" w:space="0" w:color="auto"/>
              <w:left w:val="single" w:sz="4" w:space="0" w:color="auto"/>
              <w:bottom w:val="single" w:sz="4" w:space="0" w:color="auto"/>
              <w:right w:val="single" w:sz="4" w:space="0" w:color="auto"/>
            </w:tcBorders>
            <w:vAlign w:val="center"/>
          </w:tcPr>
          <w:p w14:paraId="678C9826"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Alfonsino</w:t>
            </w:r>
            <w:r w:rsidRPr="00292532">
              <w:rPr>
                <w:rFonts w:eastAsia="Calibri" w:cs="Calibri"/>
                <w:noProof/>
                <w:lang w:val="pt-PT"/>
              </w:rPr>
              <w:t xml:space="preserve"> – Chfe da Localidade;</w:t>
            </w:r>
          </w:p>
          <w:p w14:paraId="17B5D6C1" w14:textId="77777777" w:rsidR="00706222" w:rsidRPr="00292532" w:rsidRDefault="00706222" w:rsidP="00706222">
            <w:pPr>
              <w:spacing w:before="0" w:after="0" w:line="276" w:lineRule="auto"/>
              <w:jc w:val="left"/>
              <w:rPr>
                <w:rFonts w:eastAsia="Calibri" w:cs="Calibri"/>
                <w:noProof/>
                <w:u w:val="single"/>
                <w:lang w:val="pt-PT"/>
              </w:rPr>
            </w:pPr>
          </w:p>
        </w:tc>
      </w:tr>
      <w:tr w:rsidR="00706222" w:rsidRPr="004E2EAC" w14:paraId="669A5787" w14:textId="77777777" w:rsidTr="00706222">
        <w:tc>
          <w:tcPr>
            <w:tcW w:w="2552" w:type="dxa"/>
            <w:tcBorders>
              <w:top w:val="single" w:sz="4" w:space="0" w:color="auto"/>
              <w:left w:val="single" w:sz="4" w:space="0" w:color="auto"/>
              <w:bottom w:val="single" w:sz="4" w:space="0" w:color="auto"/>
              <w:right w:val="single" w:sz="4" w:space="0" w:color="auto"/>
            </w:tcBorders>
            <w:vAlign w:val="center"/>
            <w:hideMark/>
          </w:tcPr>
          <w:p w14:paraId="2E3A748C"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bCs/>
                <w:noProof/>
                <w:lang w:val="pt-PT"/>
              </w:rPr>
              <w:t>Preocupações ou recomendações adicionais a apresentar.</w:t>
            </w:r>
          </w:p>
        </w:tc>
        <w:tc>
          <w:tcPr>
            <w:tcW w:w="4847" w:type="dxa"/>
            <w:tcBorders>
              <w:top w:val="single" w:sz="4" w:space="0" w:color="auto"/>
              <w:left w:val="single" w:sz="4" w:space="0" w:color="auto"/>
              <w:bottom w:val="single" w:sz="4" w:space="0" w:color="auto"/>
              <w:right w:val="single" w:sz="4" w:space="0" w:color="auto"/>
            </w:tcBorders>
            <w:vAlign w:val="center"/>
          </w:tcPr>
          <w:p w14:paraId="1395D988" w14:textId="77777777" w:rsidR="00706222" w:rsidRPr="00292532" w:rsidRDefault="00706222" w:rsidP="00706222">
            <w:pPr>
              <w:spacing w:before="0" w:line="360" w:lineRule="auto"/>
              <w:rPr>
                <w:rFonts w:eastAsia="Calibri" w:cs="Calibri"/>
                <w:noProof/>
                <w:szCs w:val="24"/>
                <w:lang w:val="pt-PT"/>
              </w:rPr>
            </w:pPr>
            <w:r w:rsidRPr="00292532">
              <w:rPr>
                <w:rFonts w:eastAsia="Calibri" w:cs="Calibri"/>
                <w:noProof/>
                <w:szCs w:val="24"/>
                <w:lang w:val="pt-PT"/>
              </w:rPr>
              <w:t>Em qualquer actividade que irá se realizar na nossa comunidade gostaríamos que os empreiteiros antecipadamente nos informassem, ou pelo menos informassem ao líder comunitário.</w:t>
            </w:r>
          </w:p>
          <w:p w14:paraId="76C6F27F" w14:textId="77777777" w:rsidR="00706222" w:rsidRPr="00292532" w:rsidRDefault="00706222" w:rsidP="00706222">
            <w:pPr>
              <w:spacing w:before="0" w:line="360" w:lineRule="auto"/>
              <w:rPr>
                <w:rFonts w:eastAsia="Calibri" w:cs="Calibri"/>
                <w:noProof/>
                <w:szCs w:val="24"/>
                <w:lang w:val="pt-PT"/>
              </w:rPr>
            </w:pPr>
            <w:r w:rsidRPr="00292532">
              <w:rPr>
                <w:rFonts w:eastAsia="Calibri" w:cs="Calibri"/>
                <w:noProof/>
                <w:szCs w:val="24"/>
                <w:lang w:val="pt-PT"/>
              </w:rPr>
              <w:t>E gostaríamos que contratassem alguns jovem para fazerem parte das actividades.</w:t>
            </w:r>
          </w:p>
        </w:tc>
        <w:tc>
          <w:tcPr>
            <w:tcW w:w="2268" w:type="dxa"/>
            <w:tcBorders>
              <w:top w:val="single" w:sz="4" w:space="0" w:color="auto"/>
              <w:left w:val="single" w:sz="4" w:space="0" w:color="auto"/>
              <w:bottom w:val="single" w:sz="4" w:space="0" w:color="auto"/>
              <w:right w:val="single" w:sz="4" w:space="0" w:color="auto"/>
            </w:tcBorders>
            <w:vAlign w:val="center"/>
          </w:tcPr>
          <w:p w14:paraId="4951E5E7"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Julia</w:t>
            </w:r>
            <w:r w:rsidRPr="00292532">
              <w:rPr>
                <w:rFonts w:eastAsia="Calibri" w:cs="Calibri"/>
                <w:noProof/>
                <w:lang w:val="pt-PT"/>
              </w:rPr>
              <w:t xml:space="preserve"> – Residente </w:t>
            </w:r>
          </w:p>
          <w:p w14:paraId="65ED9AD1"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Fernando</w:t>
            </w:r>
            <w:r w:rsidRPr="00292532">
              <w:rPr>
                <w:rFonts w:eastAsia="Calibri" w:cs="Calibri"/>
                <w:noProof/>
                <w:lang w:val="pt-PT"/>
              </w:rPr>
              <w:t xml:space="preserve"> – Residente </w:t>
            </w:r>
          </w:p>
          <w:p w14:paraId="67594433" w14:textId="77777777" w:rsidR="00706222" w:rsidRPr="00292532" w:rsidRDefault="00706222" w:rsidP="00706222">
            <w:pPr>
              <w:spacing w:before="0" w:after="0" w:line="276" w:lineRule="auto"/>
              <w:jc w:val="left"/>
              <w:rPr>
                <w:rFonts w:eastAsia="Calibri" w:cs="Calibri"/>
                <w:noProof/>
                <w:u w:val="single"/>
                <w:lang w:val="pt-PT"/>
              </w:rPr>
            </w:pPr>
            <w:r w:rsidRPr="00292532">
              <w:rPr>
                <w:rFonts w:eastAsia="Calibri" w:cs="Calibri"/>
                <w:b/>
                <w:noProof/>
                <w:lang w:val="pt-PT"/>
              </w:rPr>
              <w:t>Amade</w:t>
            </w:r>
            <w:r w:rsidRPr="00292532">
              <w:rPr>
                <w:rFonts w:eastAsia="Calibri" w:cs="Calibri"/>
                <w:noProof/>
                <w:lang w:val="pt-PT"/>
              </w:rPr>
              <w:t xml:space="preserve"> - residente</w:t>
            </w:r>
          </w:p>
        </w:tc>
      </w:tr>
      <w:tr w:rsidR="00706222" w:rsidRPr="00292532" w14:paraId="2831DD23"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4A1CD1AD"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Problemas de Abastecimento de água existentes? Actuas fontes de Abastecimento de Água?</w:t>
            </w:r>
          </w:p>
        </w:tc>
        <w:tc>
          <w:tcPr>
            <w:tcW w:w="4847" w:type="dxa"/>
            <w:tcBorders>
              <w:top w:val="single" w:sz="4" w:space="0" w:color="auto"/>
              <w:left w:val="single" w:sz="4" w:space="0" w:color="auto"/>
              <w:bottom w:val="single" w:sz="4" w:space="0" w:color="auto"/>
              <w:right w:val="single" w:sz="4" w:space="0" w:color="auto"/>
            </w:tcBorders>
            <w:vAlign w:val="center"/>
          </w:tcPr>
          <w:p w14:paraId="4EA4A872" w14:textId="77777777" w:rsidR="00706222" w:rsidRPr="00292532" w:rsidRDefault="00706222" w:rsidP="00AE14AE">
            <w:pPr>
              <w:numPr>
                <w:ilvl w:val="0"/>
                <w:numId w:val="175"/>
              </w:numPr>
              <w:spacing w:before="0" w:after="0" w:line="276" w:lineRule="auto"/>
              <w:contextualSpacing/>
              <w:jc w:val="left"/>
              <w:rPr>
                <w:rFonts w:eastAsia="Calibri" w:cs="Calibri"/>
                <w:noProof/>
                <w:lang w:val="pt-PT"/>
              </w:rPr>
            </w:pPr>
            <w:r w:rsidRPr="00292532">
              <w:rPr>
                <w:rFonts w:eastAsia="Calibri" w:cs="Calibri"/>
                <w:noProof/>
                <w:lang w:val="pt-PT"/>
              </w:rPr>
              <w:t>Longa distância para conseguir a água, quase 1 hora de caminhada;</w:t>
            </w:r>
          </w:p>
          <w:p w14:paraId="1DDF0C03" w14:textId="77777777" w:rsidR="00706222" w:rsidRPr="00292532" w:rsidRDefault="00706222" w:rsidP="00AE14AE">
            <w:pPr>
              <w:numPr>
                <w:ilvl w:val="0"/>
                <w:numId w:val="175"/>
              </w:numPr>
              <w:spacing w:before="0" w:after="0" w:line="276" w:lineRule="auto"/>
              <w:contextualSpacing/>
              <w:jc w:val="left"/>
              <w:rPr>
                <w:rFonts w:eastAsia="Calibri" w:cs="Calibri"/>
                <w:noProof/>
                <w:lang w:val="pt-PT"/>
              </w:rPr>
            </w:pPr>
            <w:r w:rsidRPr="00292532">
              <w:rPr>
                <w:rFonts w:eastAsia="Calibri" w:cs="Calibri"/>
                <w:noProof/>
                <w:lang w:val="pt-PT"/>
              </w:rPr>
              <w:t>A única fonte que tem no bairro, só permite que se tire água para beber, e para outro tipo de uso recorrem ao Rio Monapo.</w:t>
            </w:r>
          </w:p>
        </w:tc>
        <w:tc>
          <w:tcPr>
            <w:tcW w:w="2268" w:type="dxa"/>
            <w:tcBorders>
              <w:top w:val="single" w:sz="4" w:space="0" w:color="auto"/>
              <w:left w:val="single" w:sz="4" w:space="0" w:color="auto"/>
              <w:bottom w:val="single" w:sz="4" w:space="0" w:color="auto"/>
              <w:right w:val="single" w:sz="4" w:space="0" w:color="auto"/>
            </w:tcBorders>
            <w:vAlign w:val="center"/>
          </w:tcPr>
          <w:p w14:paraId="10DC8677" w14:textId="77777777" w:rsidR="00706222" w:rsidRPr="00941934" w:rsidRDefault="00706222" w:rsidP="00706222">
            <w:pPr>
              <w:spacing w:before="0" w:after="0" w:line="276" w:lineRule="auto"/>
              <w:jc w:val="left"/>
              <w:rPr>
                <w:rFonts w:eastAsia="Calibri" w:cs="Calibri"/>
                <w:noProof/>
                <w:lang w:val="it-IT"/>
              </w:rPr>
            </w:pPr>
            <w:r w:rsidRPr="00941934">
              <w:rPr>
                <w:rFonts w:eastAsia="Calibri" w:cs="Calibri"/>
                <w:b/>
                <w:noProof/>
                <w:lang w:val="it-IT"/>
              </w:rPr>
              <w:t>Abiba</w:t>
            </w:r>
            <w:r w:rsidRPr="00941934">
              <w:rPr>
                <w:rFonts w:eastAsia="Calibri" w:cs="Calibri"/>
                <w:noProof/>
                <w:lang w:val="it-IT"/>
              </w:rPr>
              <w:t xml:space="preserve"> – Residente</w:t>
            </w:r>
          </w:p>
          <w:p w14:paraId="771F3F9F" w14:textId="77777777" w:rsidR="00706222" w:rsidRPr="00941934" w:rsidRDefault="00706222" w:rsidP="00706222">
            <w:pPr>
              <w:spacing w:before="0" w:after="0" w:line="276" w:lineRule="auto"/>
              <w:jc w:val="left"/>
              <w:rPr>
                <w:rFonts w:eastAsia="Calibri" w:cs="Calibri"/>
                <w:noProof/>
                <w:lang w:val="it-IT"/>
              </w:rPr>
            </w:pPr>
            <w:r w:rsidRPr="00941934">
              <w:rPr>
                <w:rFonts w:eastAsia="Calibri" w:cs="Calibri"/>
                <w:b/>
                <w:noProof/>
                <w:lang w:val="it-IT"/>
              </w:rPr>
              <w:t>Yassine</w:t>
            </w:r>
            <w:r w:rsidRPr="00941934">
              <w:rPr>
                <w:rFonts w:eastAsia="Calibri" w:cs="Calibri"/>
                <w:noProof/>
                <w:lang w:val="it-IT"/>
              </w:rPr>
              <w:t xml:space="preserve"> – Residente</w:t>
            </w:r>
          </w:p>
          <w:p w14:paraId="04D8A00A" w14:textId="77777777" w:rsidR="00706222" w:rsidRPr="00941934" w:rsidRDefault="00706222" w:rsidP="00706222">
            <w:pPr>
              <w:spacing w:before="0" w:after="0" w:line="276" w:lineRule="auto"/>
              <w:jc w:val="left"/>
              <w:rPr>
                <w:rFonts w:eastAsia="Calibri" w:cs="Calibri"/>
                <w:noProof/>
                <w:lang w:val="it-IT"/>
              </w:rPr>
            </w:pPr>
            <w:r w:rsidRPr="00941934">
              <w:rPr>
                <w:rFonts w:eastAsia="Calibri" w:cs="Calibri"/>
                <w:b/>
                <w:noProof/>
                <w:lang w:val="it-IT"/>
              </w:rPr>
              <w:t>Antonio</w:t>
            </w:r>
            <w:r w:rsidRPr="00941934">
              <w:rPr>
                <w:rFonts w:eastAsia="Calibri" w:cs="Calibri"/>
                <w:noProof/>
                <w:lang w:val="it-IT"/>
              </w:rPr>
              <w:t xml:space="preserve"> - Secretario </w:t>
            </w:r>
          </w:p>
          <w:p w14:paraId="05805B0E"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Luis</w:t>
            </w:r>
            <w:r w:rsidRPr="00292532">
              <w:rPr>
                <w:rFonts w:eastAsia="Calibri" w:cs="Calibri"/>
                <w:noProof/>
                <w:lang w:val="pt-PT"/>
              </w:rPr>
              <w:t xml:space="preserve"> - Residente</w:t>
            </w:r>
          </w:p>
        </w:tc>
      </w:tr>
      <w:tr w:rsidR="00706222" w:rsidRPr="00292532" w14:paraId="0911CFC2"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1BFD5245"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Benefício da água boa e de qualidade?</w:t>
            </w:r>
          </w:p>
        </w:tc>
        <w:tc>
          <w:tcPr>
            <w:tcW w:w="4847" w:type="dxa"/>
            <w:tcBorders>
              <w:top w:val="single" w:sz="4" w:space="0" w:color="auto"/>
              <w:left w:val="single" w:sz="4" w:space="0" w:color="auto"/>
              <w:bottom w:val="single" w:sz="4" w:space="0" w:color="auto"/>
              <w:right w:val="single" w:sz="4" w:space="0" w:color="auto"/>
            </w:tcBorders>
            <w:vAlign w:val="center"/>
          </w:tcPr>
          <w:p w14:paraId="6049F0A3" w14:textId="77777777" w:rsidR="00706222" w:rsidRPr="00292532" w:rsidRDefault="00706222" w:rsidP="00AE14AE">
            <w:pPr>
              <w:numPr>
                <w:ilvl w:val="0"/>
                <w:numId w:val="176"/>
              </w:numPr>
              <w:spacing w:before="0" w:after="0" w:line="276" w:lineRule="auto"/>
              <w:contextualSpacing/>
              <w:jc w:val="left"/>
              <w:rPr>
                <w:rFonts w:eastAsia="Calibri" w:cs="Calibri"/>
                <w:noProof/>
                <w:lang w:val="pt-PT"/>
              </w:rPr>
            </w:pPr>
            <w:r w:rsidRPr="00292532">
              <w:rPr>
                <w:rFonts w:eastAsia="Calibri" w:cs="Calibri"/>
                <w:noProof/>
                <w:lang w:val="pt-PT"/>
              </w:rPr>
              <w:t>Beber;</w:t>
            </w:r>
          </w:p>
          <w:p w14:paraId="0FA199AD" w14:textId="77777777" w:rsidR="00706222" w:rsidRPr="00292532" w:rsidRDefault="00706222" w:rsidP="00AE14AE">
            <w:pPr>
              <w:numPr>
                <w:ilvl w:val="0"/>
                <w:numId w:val="176"/>
              </w:numPr>
              <w:spacing w:before="0" w:after="0" w:line="276" w:lineRule="auto"/>
              <w:contextualSpacing/>
              <w:jc w:val="left"/>
              <w:rPr>
                <w:rFonts w:eastAsia="Calibri" w:cs="Calibri"/>
                <w:noProof/>
                <w:lang w:val="pt-PT"/>
              </w:rPr>
            </w:pPr>
            <w:r w:rsidRPr="00292532">
              <w:rPr>
                <w:rFonts w:eastAsia="Calibri" w:cs="Calibri"/>
                <w:noProof/>
                <w:lang w:val="pt-PT"/>
              </w:rPr>
              <w:t>Cozinhar;</w:t>
            </w:r>
          </w:p>
          <w:p w14:paraId="45912A02" w14:textId="77777777" w:rsidR="00706222" w:rsidRPr="00292532" w:rsidRDefault="00706222" w:rsidP="00AE14AE">
            <w:pPr>
              <w:numPr>
                <w:ilvl w:val="0"/>
                <w:numId w:val="176"/>
              </w:numPr>
              <w:spacing w:before="0" w:after="0" w:line="276" w:lineRule="auto"/>
              <w:contextualSpacing/>
              <w:jc w:val="left"/>
              <w:rPr>
                <w:rFonts w:eastAsia="Calibri" w:cs="Calibri"/>
                <w:noProof/>
                <w:lang w:val="pt-PT"/>
              </w:rPr>
            </w:pPr>
            <w:r w:rsidRPr="00292532">
              <w:rPr>
                <w:rFonts w:eastAsia="Calibri" w:cs="Calibri"/>
                <w:noProof/>
                <w:lang w:val="pt-PT"/>
              </w:rPr>
              <w:t>Visto que a água é de qualidade não será preciso tratar.</w:t>
            </w:r>
          </w:p>
        </w:tc>
        <w:tc>
          <w:tcPr>
            <w:tcW w:w="2268" w:type="dxa"/>
            <w:tcBorders>
              <w:top w:val="single" w:sz="4" w:space="0" w:color="auto"/>
              <w:left w:val="single" w:sz="4" w:space="0" w:color="auto"/>
              <w:bottom w:val="single" w:sz="4" w:space="0" w:color="auto"/>
              <w:right w:val="single" w:sz="4" w:space="0" w:color="auto"/>
            </w:tcBorders>
            <w:vAlign w:val="center"/>
          </w:tcPr>
          <w:p w14:paraId="6D05765A"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Alfonsino</w:t>
            </w:r>
            <w:r w:rsidRPr="00292532">
              <w:rPr>
                <w:rFonts w:eastAsia="Calibri" w:cs="Calibri"/>
                <w:noProof/>
                <w:lang w:val="pt-PT"/>
              </w:rPr>
              <w:t xml:space="preserve"> – Chfe da Localidade;</w:t>
            </w:r>
          </w:p>
          <w:p w14:paraId="059A3C8E" w14:textId="77777777" w:rsidR="00706222" w:rsidRPr="00292532" w:rsidRDefault="00706222" w:rsidP="00706222">
            <w:pPr>
              <w:spacing w:before="0" w:after="0" w:line="276" w:lineRule="auto"/>
              <w:jc w:val="left"/>
              <w:rPr>
                <w:rFonts w:eastAsia="Calibri" w:cs="Calibri"/>
                <w:noProof/>
                <w:u w:val="single"/>
                <w:lang w:val="pt-PT"/>
              </w:rPr>
            </w:pPr>
          </w:p>
        </w:tc>
      </w:tr>
      <w:tr w:rsidR="00706222" w:rsidRPr="004E2EAC" w14:paraId="50D975FB"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0B5BF37C"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Situação do saneamento actual?</w:t>
            </w:r>
          </w:p>
        </w:tc>
        <w:tc>
          <w:tcPr>
            <w:tcW w:w="4847" w:type="dxa"/>
            <w:tcBorders>
              <w:top w:val="single" w:sz="4" w:space="0" w:color="auto"/>
              <w:left w:val="single" w:sz="4" w:space="0" w:color="auto"/>
              <w:bottom w:val="single" w:sz="4" w:space="0" w:color="auto"/>
              <w:right w:val="single" w:sz="4" w:space="0" w:color="auto"/>
            </w:tcBorders>
            <w:vAlign w:val="center"/>
          </w:tcPr>
          <w:p w14:paraId="6198A3C0"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A situação de saneamento público e doméstico da comunidade está péssima, porque verifica-se o seguinte:</w:t>
            </w:r>
          </w:p>
          <w:p w14:paraId="37CEF66F" w14:textId="77777777" w:rsidR="00706222" w:rsidRPr="00292532" w:rsidRDefault="00706222" w:rsidP="00AE14AE">
            <w:pPr>
              <w:numPr>
                <w:ilvl w:val="0"/>
                <w:numId w:val="177"/>
              </w:numPr>
              <w:spacing w:before="0" w:after="0" w:line="276" w:lineRule="auto"/>
              <w:contextualSpacing/>
              <w:jc w:val="left"/>
              <w:rPr>
                <w:rFonts w:eastAsia="Calibri" w:cs="Calibri"/>
                <w:noProof/>
                <w:lang w:val="pt-PT"/>
              </w:rPr>
            </w:pPr>
            <w:r w:rsidRPr="00292532">
              <w:rPr>
                <w:rFonts w:eastAsia="Calibri" w:cs="Calibri"/>
                <w:noProof/>
                <w:lang w:val="pt-PT"/>
              </w:rPr>
              <w:t>Muito fecalismo a céu aberto nos rios;</w:t>
            </w:r>
          </w:p>
          <w:p w14:paraId="19D0D991" w14:textId="77777777" w:rsidR="00706222" w:rsidRPr="00292532" w:rsidRDefault="00706222" w:rsidP="00AE14AE">
            <w:pPr>
              <w:numPr>
                <w:ilvl w:val="0"/>
                <w:numId w:val="177"/>
              </w:numPr>
              <w:spacing w:before="0" w:after="0" w:line="276" w:lineRule="auto"/>
              <w:contextualSpacing/>
              <w:jc w:val="left"/>
              <w:rPr>
                <w:rFonts w:eastAsia="Calibri" w:cs="Calibri"/>
                <w:noProof/>
                <w:lang w:val="pt-PT"/>
              </w:rPr>
            </w:pPr>
            <w:r w:rsidRPr="00292532">
              <w:rPr>
                <w:rFonts w:eastAsia="Calibri" w:cs="Calibri"/>
                <w:noProof/>
                <w:lang w:val="pt-PT"/>
              </w:rPr>
              <w:t>Poucas famílias com latrinas nas suas casas.</w:t>
            </w:r>
          </w:p>
        </w:tc>
        <w:tc>
          <w:tcPr>
            <w:tcW w:w="2268" w:type="dxa"/>
            <w:tcBorders>
              <w:top w:val="single" w:sz="4" w:space="0" w:color="auto"/>
              <w:left w:val="single" w:sz="4" w:space="0" w:color="auto"/>
              <w:bottom w:val="single" w:sz="4" w:space="0" w:color="auto"/>
              <w:right w:val="single" w:sz="4" w:space="0" w:color="auto"/>
            </w:tcBorders>
            <w:vAlign w:val="center"/>
          </w:tcPr>
          <w:p w14:paraId="7C374FF6"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Alfonsino</w:t>
            </w:r>
            <w:r w:rsidRPr="00292532">
              <w:rPr>
                <w:rFonts w:eastAsia="Calibri" w:cs="Calibri"/>
                <w:noProof/>
                <w:lang w:val="pt-PT"/>
              </w:rPr>
              <w:t xml:space="preserve"> – Chfe da Localidade;</w:t>
            </w:r>
          </w:p>
          <w:p w14:paraId="71038AB9"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Filipe Manuel</w:t>
            </w:r>
            <w:r w:rsidRPr="00292532">
              <w:rPr>
                <w:rFonts w:eastAsia="Calibri" w:cs="Calibri"/>
                <w:noProof/>
                <w:lang w:val="pt-PT"/>
              </w:rPr>
              <w:t xml:space="preserve"> – líder do bairro;</w:t>
            </w:r>
          </w:p>
          <w:p w14:paraId="2FEDCCE0" w14:textId="77777777" w:rsidR="00706222" w:rsidRPr="00292532" w:rsidRDefault="00706222" w:rsidP="00706222">
            <w:pPr>
              <w:spacing w:before="0" w:after="0" w:line="276" w:lineRule="auto"/>
              <w:jc w:val="left"/>
              <w:rPr>
                <w:rFonts w:eastAsia="Calibri" w:cs="Calibri"/>
                <w:noProof/>
                <w:u w:val="single"/>
                <w:lang w:val="pt-PT"/>
              </w:rPr>
            </w:pPr>
          </w:p>
        </w:tc>
      </w:tr>
      <w:tr w:rsidR="00706222" w:rsidRPr="00292532" w14:paraId="1762248F"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418FF866"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 xml:space="preserve">Beneficios esperados com a melhoria do saneamento? </w:t>
            </w:r>
          </w:p>
        </w:tc>
        <w:tc>
          <w:tcPr>
            <w:tcW w:w="4847" w:type="dxa"/>
            <w:tcBorders>
              <w:top w:val="single" w:sz="4" w:space="0" w:color="auto"/>
              <w:left w:val="single" w:sz="4" w:space="0" w:color="auto"/>
              <w:bottom w:val="single" w:sz="4" w:space="0" w:color="auto"/>
              <w:right w:val="single" w:sz="4" w:space="0" w:color="auto"/>
            </w:tcBorders>
            <w:vAlign w:val="center"/>
          </w:tcPr>
          <w:p w14:paraId="4B392F34" w14:textId="77777777" w:rsidR="00706222" w:rsidRPr="00292532" w:rsidRDefault="00706222" w:rsidP="00AE14AE">
            <w:pPr>
              <w:numPr>
                <w:ilvl w:val="0"/>
                <w:numId w:val="178"/>
              </w:numPr>
              <w:spacing w:before="0" w:after="0" w:line="276" w:lineRule="auto"/>
              <w:contextualSpacing/>
              <w:jc w:val="left"/>
              <w:rPr>
                <w:rFonts w:eastAsia="Calibri" w:cs="Calibri"/>
                <w:noProof/>
                <w:lang w:val="pt-PT"/>
              </w:rPr>
            </w:pPr>
            <w:r w:rsidRPr="00292532">
              <w:rPr>
                <w:rFonts w:eastAsia="Calibri" w:cs="Calibri"/>
                <w:noProof/>
                <w:lang w:val="pt-PT"/>
              </w:rPr>
              <w:t>Redução dos casos de doenças de origens hidricas;</w:t>
            </w:r>
          </w:p>
          <w:p w14:paraId="6BD4C909" w14:textId="77777777" w:rsidR="00706222" w:rsidRPr="00292532" w:rsidRDefault="00706222" w:rsidP="00AE14AE">
            <w:pPr>
              <w:numPr>
                <w:ilvl w:val="0"/>
                <w:numId w:val="178"/>
              </w:numPr>
              <w:spacing w:before="0" w:after="0" w:line="276" w:lineRule="auto"/>
              <w:contextualSpacing/>
              <w:jc w:val="left"/>
              <w:rPr>
                <w:rFonts w:eastAsia="Calibri" w:cs="Calibri"/>
                <w:noProof/>
                <w:lang w:val="pt-PT"/>
              </w:rPr>
            </w:pPr>
            <w:r w:rsidRPr="00292532">
              <w:rPr>
                <w:rFonts w:eastAsia="Calibri" w:cs="Calibri"/>
                <w:noProof/>
                <w:lang w:val="pt-PT"/>
              </w:rPr>
              <w:t>Bom ambiente limpo e saudável;</w:t>
            </w:r>
          </w:p>
          <w:p w14:paraId="5D3154BB" w14:textId="77777777" w:rsidR="00706222" w:rsidRPr="00292532" w:rsidRDefault="00706222" w:rsidP="00AE14AE">
            <w:pPr>
              <w:numPr>
                <w:ilvl w:val="0"/>
                <w:numId w:val="178"/>
              </w:numPr>
              <w:spacing w:before="0" w:after="0" w:line="276" w:lineRule="auto"/>
              <w:contextualSpacing/>
              <w:jc w:val="left"/>
              <w:rPr>
                <w:rFonts w:eastAsia="Calibri" w:cs="Calibri"/>
                <w:noProof/>
                <w:lang w:val="pt-PT"/>
              </w:rPr>
            </w:pPr>
            <w:r w:rsidRPr="00292532">
              <w:rPr>
                <w:rFonts w:eastAsia="Calibri" w:cs="Calibri"/>
                <w:noProof/>
                <w:lang w:val="pt-PT"/>
              </w:rPr>
              <w:t>Redução do fecalismo a céu aberto;</w:t>
            </w:r>
          </w:p>
          <w:p w14:paraId="488C6A84" w14:textId="77777777" w:rsidR="00706222" w:rsidRPr="00292532" w:rsidRDefault="00706222" w:rsidP="00AE14AE">
            <w:pPr>
              <w:numPr>
                <w:ilvl w:val="0"/>
                <w:numId w:val="178"/>
              </w:numPr>
              <w:spacing w:before="0" w:after="0" w:line="276" w:lineRule="auto"/>
              <w:contextualSpacing/>
              <w:jc w:val="left"/>
              <w:rPr>
                <w:rFonts w:eastAsia="Calibri" w:cs="Calibri"/>
                <w:noProof/>
                <w:lang w:val="pt-PT"/>
              </w:rPr>
            </w:pPr>
            <w:r w:rsidRPr="00292532">
              <w:rPr>
                <w:rFonts w:eastAsia="Calibri" w:cs="Calibri"/>
                <w:noProof/>
                <w:lang w:val="pt-PT"/>
              </w:rPr>
              <w:t>Aumento de número de famílias com latrinas.</w:t>
            </w:r>
          </w:p>
        </w:tc>
        <w:tc>
          <w:tcPr>
            <w:tcW w:w="2268" w:type="dxa"/>
            <w:tcBorders>
              <w:top w:val="single" w:sz="4" w:space="0" w:color="auto"/>
              <w:left w:val="single" w:sz="4" w:space="0" w:color="auto"/>
              <w:bottom w:val="single" w:sz="4" w:space="0" w:color="auto"/>
              <w:right w:val="single" w:sz="4" w:space="0" w:color="auto"/>
            </w:tcBorders>
            <w:vAlign w:val="center"/>
          </w:tcPr>
          <w:p w14:paraId="4DDF28F6"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Filipe Manuel</w:t>
            </w:r>
            <w:r w:rsidRPr="00292532">
              <w:rPr>
                <w:rFonts w:eastAsia="Calibri" w:cs="Calibri"/>
                <w:noProof/>
                <w:lang w:val="pt-PT"/>
              </w:rPr>
              <w:t xml:space="preserve"> – líder do bairro;</w:t>
            </w:r>
          </w:p>
          <w:p w14:paraId="05334B80"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Abiba</w:t>
            </w:r>
            <w:r w:rsidRPr="00292532">
              <w:rPr>
                <w:rFonts w:eastAsia="Calibri" w:cs="Calibri"/>
                <w:noProof/>
                <w:lang w:val="pt-PT"/>
              </w:rPr>
              <w:t xml:space="preserve"> – Residente</w:t>
            </w:r>
          </w:p>
          <w:p w14:paraId="1BE410B8"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Yassine</w:t>
            </w:r>
            <w:r w:rsidRPr="00292532">
              <w:rPr>
                <w:rFonts w:eastAsia="Calibri" w:cs="Calibri"/>
                <w:noProof/>
                <w:lang w:val="pt-PT"/>
              </w:rPr>
              <w:t xml:space="preserve"> – Residente</w:t>
            </w:r>
          </w:p>
        </w:tc>
      </w:tr>
      <w:tr w:rsidR="00706222" w:rsidRPr="004E2EAC" w14:paraId="45307F24"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2B2140E4"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Representação das mulheres nos grupos de Água?</w:t>
            </w:r>
          </w:p>
        </w:tc>
        <w:tc>
          <w:tcPr>
            <w:tcW w:w="4847" w:type="dxa"/>
            <w:tcBorders>
              <w:top w:val="single" w:sz="4" w:space="0" w:color="auto"/>
              <w:left w:val="single" w:sz="4" w:space="0" w:color="auto"/>
              <w:bottom w:val="single" w:sz="4" w:space="0" w:color="auto"/>
              <w:right w:val="single" w:sz="4" w:space="0" w:color="auto"/>
            </w:tcBorders>
            <w:vAlign w:val="center"/>
          </w:tcPr>
          <w:p w14:paraId="35C3347C"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Não existe nenhum grupo de água na comunidade</w:t>
            </w:r>
          </w:p>
          <w:p w14:paraId="1CC141BB" w14:textId="77777777" w:rsidR="00706222" w:rsidRPr="00292532" w:rsidRDefault="00706222" w:rsidP="00706222">
            <w:pPr>
              <w:spacing w:before="0" w:after="0" w:line="276" w:lineRule="auto"/>
              <w:jc w:val="left"/>
              <w:rPr>
                <w:rFonts w:eastAsia="Calibri" w:cs="Calibri"/>
                <w:noProof/>
                <w:lang w:val="pt-PT"/>
              </w:rPr>
            </w:pPr>
          </w:p>
        </w:tc>
        <w:tc>
          <w:tcPr>
            <w:tcW w:w="2268" w:type="dxa"/>
            <w:tcBorders>
              <w:top w:val="single" w:sz="4" w:space="0" w:color="auto"/>
              <w:left w:val="single" w:sz="4" w:space="0" w:color="auto"/>
              <w:bottom w:val="single" w:sz="4" w:space="0" w:color="auto"/>
              <w:right w:val="single" w:sz="4" w:space="0" w:color="auto"/>
            </w:tcBorders>
            <w:vAlign w:val="center"/>
          </w:tcPr>
          <w:p w14:paraId="3D035DC1" w14:textId="77777777" w:rsidR="00706222" w:rsidRPr="00292532" w:rsidRDefault="00706222" w:rsidP="00706222">
            <w:pPr>
              <w:spacing w:before="0" w:after="0" w:line="276" w:lineRule="auto"/>
              <w:jc w:val="left"/>
              <w:rPr>
                <w:rFonts w:eastAsia="Calibri" w:cs="Calibri"/>
                <w:noProof/>
                <w:u w:val="single"/>
                <w:lang w:val="pt-PT"/>
              </w:rPr>
            </w:pPr>
            <w:r w:rsidRPr="00292532">
              <w:rPr>
                <w:rFonts w:eastAsia="Calibri" w:cs="Calibri"/>
                <w:b/>
                <w:noProof/>
                <w:lang w:val="pt-PT"/>
              </w:rPr>
              <w:t>Aquilo Murocha</w:t>
            </w:r>
            <w:r w:rsidRPr="00292532">
              <w:rPr>
                <w:rFonts w:eastAsia="Calibri" w:cs="Calibri"/>
                <w:noProof/>
                <w:lang w:val="pt-PT"/>
              </w:rPr>
              <w:t xml:space="preserve"> – Responsável da fonte de água.</w:t>
            </w:r>
          </w:p>
        </w:tc>
      </w:tr>
      <w:tr w:rsidR="00706222" w:rsidRPr="004E2EAC" w14:paraId="2541AA5A"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708A7399"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Papel e envolvimento da actual das mulheres na gestão de fontenários e de fontes dispersas de água com bombas manuais.</w:t>
            </w:r>
          </w:p>
        </w:tc>
        <w:tc>
          <w:tcPr>
            <w:tcW w:w="4847" w:type="dxa"/>
            <w:tcBorders>
              <w:top w:val="single" w:sz="4" w:space="0" w:color="auto"/>
              <w:left w:val="single" w:sz="4" w:space="0" w:color="auto"/>
              <w:bottom w:val="single" w:sz="4" w:space="0" w:color="auto"/>
              <w:right w:val="single" w:sz="4" w:space="0" w:color="auto"/>
            </w:tcBorders>
            <w:vAlign w:val="center"/>
          </w:tcPr>
          <w:p w14:paraId="0A81A787"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Se existesse um grupo de gestão da água, o papel das mulheres na gestão das fontes seria:</w:t>
            </w:r>
          </w:p>
          <w:p w14:paraId="2B048BBC" w14:textId="77777777" w:rsidR="00706222" w:rsidRPr="00292532" w:rsidRDefault="00706222" w:rsidP="00AE14AE">
            <w:pPr>
              <w:numPr>
                <w:ilvl w:val="0"/>
                <w:numId w:val="179"/>
              </w:numPr>
              <w:spacing w:before="0" w:after="0" w:line="276" w:lineRule="auto"/>
              <w:contextualSpacing/>
              <w:jc w:val="left"/>
              <w:rPr>
                <w:rFonts w:eastAsia="Calibri" w:cs="Calibri"/>
                <w:noProof/>
                <w:lang w:val="pt-PT"/>
              </w:rPr>
            </w:pPr>
            <w:r w:rsidRPr="00292532">
              <w:rPr>
                <w:rFonts w:eastAsia="Calibri" w:cs="Calibri"/>
                <w:noProof/>
                <w:lang w:val="pt-PT"/>
              </w:rPr>
              <w:t>Garantir a limpeza das fontes;</w:t>
            </w:r>
          </w:p>
          <w:p w14:paraId="68716CC8" w14:textId="77777777" w:rsidR="00706222" w:rsidRPr="00292532" w:rsidRDefault="00706222" w:rsidP="00AE14AE">
            <w:pPr>
              <w:numPr>
                <w:ilvl w:val="0"/>
                <w:numId w:val="179"/>
              </w:numPr>
              <w:spacing w:before="0" w:after="0" w:line="276" w:lineRule="auto"/>
              <w:contextualSpacing/>
              <w:jc w:val="left"/>
              <w:rPr>
                <w:rFonts w:eastAsia="Calibri" w:cs="Calibri"/>
                <w:noProof/>
                <w:lang w:val="pt-PT"/>
              </w:rPr>
            </w:pPr>
            <w:r w:rsidRPr="00292532">
              <w:rPr>
                <w:rFonts w:eastAsia="Calibri" w:cs="Calibri"/>
                <w:noProof/>
                <w:lang w:val="pt-PT"/>
              </w:rPr>
              <w:t>Organizar as filas;</w:t>
            </w:r>
          </w:p>
          <w:p w14:paraId="62672B6A" w14:textId="77777777" w:rsidR="00706222" w:rsidRPr="00292532" w:rsidRDefault="00706222" w:rsidP="00AE14AE">
            <w:pPr>
              <w:numPr>
                <w:ilvl w:val="0"/>
                <w:numId w:val="179"/>
              </w:numPr>
              <w:spacing w:before="0" w:after="0" w:line="276" w:lineRule="auto"/>
              <w:contextualSpacing/>
              <w:jc w:val="left"/>
              <w:rPr>
                <w:rFonts w:eastAsia="Calibri" w:cs="Calibri"/>
                <w:noProof/>
                <w:lang w:val="pt-PT"/>
              </w:rPr>
            </w:pPr>
            <w:r w:rsidRPr="00292532">
              <w:rPr>
                <w:rFonts w:eastAsia="Calibri" w:cs="Calibri"/>
                <w:noProof/>
                <w:lang w:val="pt-PT"/>
              </w:rPr>
              <w:t>Fazer cobranças.</w:t>
            </w:r>
          </w:p>
        </w:tc>
        <w:tc>
          <w:tcPr>
            <w:tcW w:w="2268" w:type="dxa"/>
            <w:tcBorders>
              <w:top w:val="single" w:sz="4" w:space="0" w:color="auto"/>
              <w:left w:val="single" w:sz="4" w:space="0" w:color="auto"/>
              <w:bottom w:val="single" w:sz="4" w:space="0" w:color="auto"/>
              <w:right w:val="single" w:sz="4" w:space="0" w:color="auto"/>
            </w:tcBorders>
            <w:vAlign w:val="center"/>
          </w:tcPr>
          <w:p w14:paraId="2AF97DE4"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Filipe Manuel</w:t>
            </w:r>
            <w:r w:rsidRPr="00292532">
              <w:rPr>
                <w:rFonts w:eastAsia="Calibri" w:cs="Calibri"/>
                <w:noProof/>
                <w:lang w:val="pt-PT"/>
              </w:rPr>
              <w:t xml:space="preserve"> – líder do bairro;</w:t>
            </w:r>
          </w:p>
          <w:p w14:paraId="405F5B63" w14:textId="77777777" w:rsidR="00706222" w:rsidRPr="00292532" w:rsidRDefault="00706222" w:rsidP="00706222">
            <w:pPr>
              <w:spacing w:before="0" w:after="0" w:line="276" w:lineRule="auto"/>
              <w:jc w:val="left"/>
              <w:rPr>
                <w:rFonts w:eastAsia="Calibri" w:cs="Calibri"/>
                <w:noProof/>
                <w:u w:val="single"/>
                <w:lang w:val="pt-PT"/>
              </w:rPr>
            </w:pPr>
            <w:r w:rsidRPr="00292532">
              <w:rPr>
                <w:rFonts w:eastAsia="Calibri" w:cs="Calibri"/>
                <w:b/>
                <w:noProof/>
                <w:lang w:val="pt-PT"/>
              </w:rPr>
              <w:t>Aquilo Murocha</w:t>
            </w:r>
            <w:r w:rsidRPr="00292532">
              <w:rPr>
                <w:rFonts w:eastAsia="Calibri" w:cs="Calibri"/>
                <w:noProof/>
                <w:lang w:val="pt-PT"/>
              </w:rPr>
              <w:t xml:space="preserve"> – Responsável da fonte de água.</w:t>
            </w:r>
          </w:p>
        </w:tc>
      </w:tr>
      <w:tr w:rsidR="00706222" w:rsidRPr="00292532" w14:paraId="16BF4123"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6330F9D0"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lastRenderedPageBreak/>
              <w:t>Principais problemas, riscos e impactos actuais na busca de água:</w:t>
            </w:r>
          </w:p>
        </w:tc>
        <w:tc>
          <w:tcPr>
            <w:tcW w:w="4847" w:type="dxa"/>
            <w:tcBorders>
              <w:top w:val="single" w:sz="4" w:space="0" w:color="auto"/>
              <w:left w:val="single" w:sz="4" w:space="0" w:color="auto"/>
              <w:bottom w:val="single" w:sz="4" w:space="0" w:color="auto"/>
              <w:right w:val="single" w:sz="4" w:space="0" w:color="auto"/>
            </w:tcBorders>
            <w:vAlign w:val="center"/>
          </w:tcPr>
          <w:p w14:paraId="68EC8676"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Os principais riscos são:</w:t>
            </w:r>
          </w:p>
          <w:p w14:paraId="54EF5E44" w14:textId="77777777" w:rsidR="00706222" w:rsidRPr="00292532" w:rsidRDefault="00706222" w:rsidP="00AE14AE">
            <w:pPr>
              <w:numPr>
                <w:ilvl w:val="0"/>
                <w:numId w:val="185"/>
              </w:numPr>
              <w:spacing w:before="0" w:after="0" w:line="276" w:lineRule="auto"/>
              <w:contextualSpacing/>
              <w:jc w:val="left"/>
              <w:rPr>
                <w:rFonts w:eastAsia="Calibri" w:cs="Calibri"/>
                <w:noProof/>
                <w:lang w:val="pt-PT"/>
              </w:rPr>
            </w:pPr>
            <w:r w:rsidRPr="00292532">
              <w:rPr>
                <w:rFonts w:eastAsia="Calibri" w:cs="Calibri"/>
                <w:noProof/>
                <w:lang w:val="pt-PT"/>
              </w:rPr>
              <w:t>Morte por atropelamento, porque carregam água e caminham nas bermas da estrada principal;</w:t>
            </w:r>
          </w:p>
          <w:p w14:paraId="7E004B23" w14:textId="77777777" w:rsidR="00706222" w:rsidRPr="00292532" w:rsidRDefault="00706222" w:rsidP="00AE14AE">
            <w:pPr>
              <w:numPr>
                <w:ilvl w:val="0"/>
                <w:numId w:val="185"/>
              </w:numPr>
              <w:spacing w:before="0" w:after="0" w:line="276" w:lineRule="auto"/>
              <w:contextualSpacing/>
              <w:jc w:val="left"/>
              <w:rPr>
                <w:rFonts w:eastAsia="Calibri" w:cs="Calibri"/>
                <w:noProof/>
                <w:lang w:val="pt-PT"/>
              </w:rPr>
            </w:pPr>
            <w:r w:rsidRPr="00292532">
              <w:rPr>
                <w:rFonts w:eastAsia="Calibri" w:cs="Calibri"/>
                <w:noProof/>
                <w:lang w:val="pt-PT"/>
              </w:rPr>
              <w:t>Crocodilos nos rios pelo menos 2 pessoas morrem por ano;</w:t>
            </w:r>
          </w:p>
          <w:p w14:paraId="6C4F8841" w14:textId="77777777" w:rsidR="00706222" w:rsidRPr="00292532" w:rsidRDefault="00706222" w:rsidP="00AE14AE">
            <w:pPr>
              <w:numPr>
                <w:ilvl w:val="0"/>
                <w:numId w:val="185"/>
              </w:numPr>
              <w:spacing w:before="0" w:after="0" w:line="276" w:lineRule="auto"/>
              <w:contextualSpacing/>
              <w:jc w:val="left"/>
              <w:rPr>
                <w:rFonts w:eastAsia="Calibri" w:cs="Calibri"/>
                <w:noProof/>
                <w:lang w:val="pt-PT"/>
              </w:rPr>
            </w:pPr>
            <w:r w:rsidRPr="00292532">
              <w:rPr>
                <w:rFonts w:eastAsia="Calibri" w:cs="Calibri"/>
                <w:noProof/>
                <w:lang w:val="pt-PT"/>
              </w:rPr>
              <w:t>Contrair doenças no rio;</w:t>
            </w:r>
          </w:p>
          <w:p w14:paraId="422B2045" w14:textId="77777777" w:rsidR="00706222" w:rsidRPr="00292532" w:rsidRDefault="00706222" w:rsidP="00AE14AE">
            <w:pPr>
              <w:numPr>
                <w:ilvl w:val="0"/>
                <w:numId w:val="185"/>
              </w:numPr>
              <w:spacing w:before="0" w:after="0" w:line="276" w:lineRule="auto"/>
              <w:contextualSpacing/>
              <w:jc w:val="left"/>
              <w:rPr>
                <w:rFonts w:eastAsia="Calibri" w:cs="Calibri"/>
                <w:noProof/>
                <w:lang w:val="pt-PT"/>
              </w:rPr>
            </w:pPr>
            <w:r w:rsidRPr="00292532">
              <w:rPr>
                <w:rFonts w:eastAsia="Calibri" w:cs="Calibri"/>
                <w:noProof/>
                <w:lang w:val="pt-PT"/>
              </w:rPr>
              <w:t>Morte por afogamento no rio.</w:t>
            </w:r>
          </w:p>
          <w:p w14:paraId="0B81DE3F" w14:textId="77777777" w:rsidR="00706222" w:rsidRPr="00292532" w:rsidRDefault="00706222" w:rsidP="00706222">
            <w:pPr>
              <w:spacing w:before="0" w:after="0" w:line="276" w:lineRule="auto"/>
              <w:contextualSpacing/>
              <w:jc w:val="left"/>
              <w:rPr>
                <w:rFonts w:eastAsia="Calibri" w:cs="Calibri"/>
                <w:noProof/>
                <w:lang w:val="pt-PT"/>
              </w:rPr>
            </w:pPr>
          </w:p>
        </w:tc>
        <w:tc>
          <w:tcPr>
            <w:tcW w:w="2268" w:type="dxa"/>
            <w:tcBorders>
              <w:top w:val="single" w:sz="4" w:space="0" w:color="auto"/>
              <w:left w:val="single" w:sz="4" w:space="0" w:color="auto"/>
              <w:bottom w:val="single" w:sz="4" w:space="0" w:color="auto"/>
              <w:right w:val="single" w:sz="4" w:space="0" w:color="auto"/>
            </w:tcBorders>
            <w:vAlign w:val="center"/>
          </w:tcPr>
          <w:p w14:paraId="1037CEF0"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 xml:space="preserve">Aviador </w:t>
            </w:r>
            <w:r w:rsidRPr="00292532">
              <w:rPr>
                <w:rFonts w:eastAsia="Calibri" w:cs="Calibri"/>
                <w:noProof/>
                <w:lang w:val="pt-PT"/>
              </w:rPr>
              <w:t xml:space="preserve">– Residente; </w:t>
            </w:r>
          </w:p>
          <w:p w14:paraId="480A7B91"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Filipe Manuel</w:t>
            </w:r>
            <w:r w:rsidRPr="00292532">
              <w:rPr>
                <w:rFonts w:eastAsia="Calibri" w:cs="Calibri"/>
                <w:noProof/>
                <w:lang w:val="pt-PT"/>
              </w:rPr>
              <w:t xml:space="preserve"> – Líder do bairro;</w:t>
            </w:r>
          </w:p>
          <w:p w14:paraId="55335439"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Latifa</w:t>
            </w:r>
            <w:r w:rsidRPr="00292532">
              <w:rPr>
                <w:rFonts w:eastAsia="Calibri" w:cs="Calibri"/>
                <w:noProof/>
                <w:lang w:val="pt-PT"/>
              </w:rPr>
              <w:t xml:space="preserve"> – Residente</w:t>
            </w:r>
          </w:p>
          <w:p w14:paraId="2D32F3C9"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Amina</w:t>
            </w:r>
            <w:r w:rsidRPr="00292532">
              <w:rPr>
                <w:rFonts w:eastAsia="Calibri" w:cs="Calibri"/>
                <w:noProof/>
                <w:lang w:val="pt-PT"/>
              </w:rPr>
              <w:t xml:space="preserve"> - Residente</w:t>
            </w:r>
          </w:p>
        </w:tc>
      </w:tr>
      <w:tr w:rsidR="00706222" w:rsidRPr="004E2EAC" w14:paraId="1F574295"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42328A65"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Desafios actuais na comunidade devido aos ataques em Cabo Delgado (presence de deslocados, pressao adicional sobre a seguranca, infraestruturas e servicos.</w:t>
            </w:r>
          </w:p>
        </w:tc>
        <w:tc>
          <w:tcPr>
            <w:tcW w:w="4847" w:type="dxa"/>
            <w:tcBorders>
              <w:top w:val="single" w:sz="4" w:space="0" w:color="auto"/>
              <w:left w:val="single" w:sz="4" w:space="0" w:color="auto"/>
              <w:bottom w:val="single" w:sz="4" w:space="0" w:color="auto"/>
              <w:right w:val="single" w:sz="4" w:space="0" w:color="auto"/>
            </w:tcBorders>
            <w:vAlign w:val="center"/>
          </w:tcPr>
          <w:p w14:paraId="27F424C0" w14:textId="77777777" w:rsidR="00706222" w:rsidRPr="00292532" w:rsidRDefault="00706222" w:rsidP="00706222">
            <w:pPr>
              <w:spacing w:before="0" w:after="0" w:line="276" w:lineRule="auto"/>
              <w:contextualSpacing/>
              <w:jc w:val="left"/>
              <w:rPr>
                <w:rFonts w:eastAsia="Calibri" w:cs="Calibri"/>
                <w:noProof/>
                <w:lang w:val="pt-PT"/>
              </w:rPr>
            </w:pPr>
            <w:r w:rsidRPr="00292532">
              <w:rPr>
                <w:rFonts w:eastAsia="Calibri" w:cs="Calibri"/>
                <w:noProof/>
                <w:lang w:val="pt-PT"/>
              </w:rPr>
              <w:t>No bairro não tem nenhum deslocado dos ataques em Cabo Delgado.</w:t>
            </w:r>
          </w:p>
        </w:tc>
        <w:tc>
          <w:tcPr>
            <w:tcW w:w="2268" w:type="dxa"/>
            <w:tcBorders>
              <w:top w:val="single" w:sz="4" w:space="0" w:color="auto"/>
              <w:left w:val="single" w:sz="4" w:space="0" w:color="auto"/>
              <w:bottom w:val="single" w:sz="4" w:space="0" w:color="auto"/>
              <w:right w:val="single" w:sz="4" w:space="0" w:color="auto"/>
            </w:tcBorders>
            <w:vAlign w:val="center"/>
          </w:tcPr>
          <w:p w14:paraId="5C32AE58"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Filipe Manuel</w:t>
            </w:r>
            <w:r w:rsidRPr="00292532">
              <w:rPr>
                <w:rFonts w:eastAsia="Calibri" w:cs="Calibri"/>
                <w:noProof/>
                <w:lang w:val="pt-PT"/>
              </w:rPr>
              <w:t xml:space="preserve"> – Líder do Bairro</w:t>
            </w:r>
          </w:p>
        </w:tc>
      </w:tr>
      <w:tr w:rsidR="00706222" w:rsidRPr="00292532" w14:paraId="1E922150"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71A21515"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Impactos negativos registados na regiao resultante de obras civis que afectam as comunidades locais.</w:t>
            </w:r>
          </w:p>
        </w:tc>
        <w:tc>
          <w:tcPr>
            <w:tcW w:w="4847" w:type="dxa"/>
            <w:tcBorders>
              <w:top w:val="single" w:sz="4" w:space="0" w:color="auto"/>
              <w:left w:val="single" w:sz="4" w:space="0" w:color="auto"/>
              <w:bottom w:val="single" w:sz="4" w:space="0" w:color="auto"/>
              <w:right w:val="single" w:sz="4" w:space="0" w:color="auto"/>
            </w:tcBorders>
            <w:vAlign w:val="center"/>
          </w:tcPr>
          <w:p w14:paraId="720FC75A" w14:textId="77777777" w:rsidR="00706222" w:rsidRPr="00292532" w:rsidRDefault="00706222" w:rsidP="00706222">
            <w:pPr>
              <w:spacing w:before="0"/>
              <w:rPr>
                <w:rFonts w:eastAsia="Calibri" w:cs="Calibri"/>
                <w:noProof/>
                <w:sz w:val="24"/>
                <w:szCs w:val="24"/>
                <w:lang w:val="pt-PT"/>
              </w:rPr>
            </w:pPr>
            <w:r w:rsidRPr="00292532">
              <w:rPr>
                <w:rFonts w:eastAsia="Calibri" w:cs="Calibri"/>
                <w:noProof/>
                <w:szCs w:val="24"/>
                <w:lang w:val="pt-PT"/>
              </w:rPr>
              <w:t>Os trabalhadores que não são locais, pedimos que nos respeitassem como residentes e respeitassem as nossas mulheres, para também nós lhes respeitarmos e os trabalhos correrem de uma forma boa e tanto para o empreiteiro como para nós, para que no fim, todos estejamos satisfeitos</w:t>
            </w:r>
            <w:r w:rsidRPr="00292532">
              <w:rPr>
                <w:rFonts w:eastAsia="Calibri" w:cs="Calibri"/>
                <w:noProof/>
                <w:sz w:val="20"/>
                <w:lang w:val="pt-PT"/>
              </w:rPr>
              <w:t>;</w:t>
            </w:r>
          </w:p>
          <w:p w14:paraId="625FCA4B" w14:textId="77777777" w:rsidR="00706222" w:rsidRPr="00292532" w:rsidRDefault="00706222" w:rsidP="00706222">
            <w:pPr>
              <w:spacing w:before="0" w:after="0"/>
              <w:jc w:val="left"/>
              <w:rPr>
                <w:rFonts w:eastAsia="Calibri" w:cs="Calibri"/>
                <w:noProof/>
                <w:lang w:val="pt-PT"/>
              </w:rPr>
            </w:pPr>
            <w:r w:rsidRPr="00292532">
              <w:rPr>
                <w:rFonts w:eastAsia="Calibri" w:cs="Calibri"/>
                <w:noProof/>
                <w:lang w:val="pt-PT"/>
              </w:rPr>
              <w:t>Cobrancas ilicitas para dar oportunidade de emprego aos locais.</w:t>
            </w:r>
          </w:p>
        </w:tc>
        <w:tc>
          <w:tcPr>
            <w:tcW w:w="2268" w:type="dxa"/>
            <w:tcBorders>
              <w:top w:val="single" w:sz="4" w:space="0" w:color="auto"/>
              <w:left w:val="single" w:sz="4" w:space="0" w:color="auto"/>
              <w:bottom w:val="single" w:sz="4" w:space="0" w:color="auto"/>
              <w:right w:val="single" w:sz="4" w:space="0" w:color="auto"/>
            </w:tcBorders>
            <w:vAlign w:val="center"/>
          </w:tcPr>
          <w:p w14:paraId="0FE0902B" w14:textId="77777777" w:rsidR="00706222" w:rsidRPr="00941934" w:rsidRDefault="00706222" w:rsidP="00706222">
            <w:pPr>
              <w:spacing w:before="0" w:after="0" w:line="276" w:lineRule="auto"/>
              <w:jc w:val="left"/>
              <w:rPr>
                <w:rFonts w:eastAsia="Calibri" w:cs="Calibri"/>
                <w:noProof/>
                <w:lang w:val="it-IT"/>
              </w:rPr>
            </w:pPr>
            <w:r w:rsidRPr="00941934">
              <w:rPr>
                <w:rFonts w:eastAsia="Calibri" w:cs="Calibri"/>
                <w:b/>
                <w:noProof/>
                <w:lang w:val="it-IT"/>
              </w:rPr>
              <w:t>Suhura</w:t>
            </w:r>
            <w:r w:rsidRPr="00941934">
              <w:rPr>
                <w:rFonts w:eastAsia="Calibri" w:cs="Calibri"/>
                <w:noProof/>
                <w:lang w:val="it-IT"/>
              </w:rPr>
              <w:t xml:space="preserve"> – Residente;</w:t>
            </w:r>
          </w:p>
          <w:p w14:paraId="35076AD5" w14:textId="77777777" w:rsidR="00706222" w:rsidRPr="00941934" w:rsidRDefault="00706222" w:rsidP="00706222">
            <w:pPr>
              <w:spacing w:before="0" w:after="0" w:line="276" w:lineRule="auto"/>
              <w:jc w:val="left"/>
              <w:rPr>
                <w:rFonts w:eastAsia="Calibri" w:cs="Calibri"/>
                <w:noProof/>
                <w:lang w:val="it-IT"/>
              </w:rPr>
            </w:pPr>
            <w:r w:rsidRPr="00941934">
              <w:rPr>
                <w:rFonts w:eastAsia="Calibri" w:cs="Calibri"/>
                <w:b/>
                <w:noProof/>
                <w:lang w:val="it-IT"/>
              </w:rPr>
              <w:t>Fatima</w:t>
            </w:r>
            <w:r w:rsidRPr="00941934">
              <w:rPr>
                <w:rFonts w:eastAsia="Calibri" w:cs="Calibri"/>
                <w:noProof/>
                <w:lang w:val="it-IT"/>
              </w:rPr>
              <w:t xml:space="preserve"> – Residente;</w:t>
            </w:r>
          </w:p>
          <w:p w14:paraId="789A4378" w14:textId="77777777" w:rsidR="00706222" w:rsidRPr="00941934" w:rsidRDefault="00706222" w:rsidP="00706222">
            <w:pPr>
              <w:spacing w:before="0" w:after="0" w:line="276" w:lineRule="auto"/>
              <w:jc w:val="left"/>
              <w:rPr>
                <w:rFonts w:eastAsia="Calibri" w:cs="Calibri"/>
                <w:noProof/>
                <w:lang w:val="it-IT"/>
              </w:rPr>
            </w:pPr>
            <w:r w:rsidRPr="00941934">
              <w:rPr>
                <w:rFonts w:eastAsia="Calibri" w:cs="Calibri"/>
                <w:b/>
                <w:noProof/>
                <w:lang w:val="it-IT"/>
              </w:rPr>
              <w:t>Irene</w:t>
            </w:r>
            <w:r w:rsidRPr="00941934">
              <w:rPr>
                <w:rFonts w:eastAsia="Calibri" w:cs="Calibri"/>
                <w:noProof/>
                <w:lang w:val="it-IT"/>
              </w:rPr>
              <w:t xml:space="preserve"> – Residente;</w:t>
            </w:r>
          </w:p>
          <w:p w14:paraId="511B477B" w14:textId="77777777" w:rsidR="00706222" w:rsidRPr="00292532" w:rsidRDefault="00706222" w:rsidP="00706222">
            <w:pPr>
              <w:spacing w:before="0" w:after="0" w:line="276" w:lineRule="auto"/>
              <w:jc w:val="left"/>
              <w:rPr>
                <w:rFonts w:eastAsia="Calibri" w:cs="Calibri"/>
                <w:noProof/>
                <w:u w:val="single"/>
                <w:lang w:val="pt-PT"/>
              </w:rPr>
            </w:pPr>
            <w:r w:rsidRPr="00292532">
              <w:rPr>
                <w:rFonts w:eastAsia="Calibri" w:cs="Calibri"/>
                <w:b/>
                <w:noProof/>
                <w:lang w:val="pt-PT"/>
              </w:rPr>
              <w:t>Antonio</w:t>
            </w:r>
            <w:r w:rsidRPr="00292532">
              <w:rPr>
                <w:rFonts w:eastAsia="Calibri" w:cs="Calibri"/>
                <w:noProof/>
                <w:lang w:val="pt-PT"/>
              </w:rPr>
              <w:t xml:space="preserve"> – Secretario.</w:t>
            </w:r>
            <w:r w:rsidRPr="00292532">
              <w:rPr>
                <w:rFonts w:eastAsia="Calibri" w:cs="Calibri"/>
                <w:noProof/>
                <w:u w:val="single"/>
                <w:lang w:val="pt-PT"/>
              </w:rPr>
              <w:t xml:space="preserve"> </w:t>
            </w:r>
          </w:p>
        </w:tc>
      </w:tr>
      <w:tr w:rsidR="00706222" w:rsidRPr="004E2EAC" w14:paraId="6EBD467F"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6714B58E"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Quais sao as principais preocupações das comunidades em projectos desta natureza.</w:t>
            </w:r>
          </w:p>
        </w:tc>
        <w:tc>
          <w:tcPr>
            <w:tcW w:w="4847" w:type="dxa"/>
            <w:tcBorders>
              <w:top w:val="single" w:sz="4" w:space="0" w:color="auto"/>
              <w:left w:val="single" w:sz="4" w:space="0" w:color="auto"/>
              <w:bottom w:val="single" w:sz="4" w:space="0" w:color="auto"/>
              <w:right w:val="single" w:sz="4" w:space="0" w:color="auto"/>
            </w:tcBorders>
            <w:vAlign w:val="center"/>
          </w:tcPr>
          <w:p w14:paraId="2085EAF8" w14:textId="77777777" w:rsidR="00706222" w:rsidRPr="00292532" w:rsidRDefault="00706222" w:rsidP="00AE14AE">
            <w:pPr>
              <w:numPr>
                <w:ilvl w:val="0"/>
                <w:numId w:val="181"/>
              </w:numPr>
              <w:spacing w:before="0" w:after="0" w:line="276" w:lineRule="auto"/>
              <w:contextualSpacing/>
              <w:jc w:val="left"/>
              <w:rPr>
                <w:rFonts w:eastAsia="Calibri" w:cs="Calibri"/>
                <w:noProof/>
                <w:lang w:val="pt-PT"/>
              </w:rPr>
            </w:pPr>
            <w:r w:rsidRPr="00292532">
              <w:rPr>
                <w:rFonts w:eastAsia="Calibri" w:cs="Calibri"/>
                <w:noProof/>
                <w:lang w:val="pt-PT"/>
              </w:rPr>
              <w:t>Contratação da mão de obra estrangeira (de outros  pontos);</w:t>
            </w:r>
          </w:p>
          <w:p w14:paraId="4C93F287" w14:textId="77777777" w:rsidR="00706222" w:rsidRPr="00292532" w:rsidRDefault="00706222" w:rsidP="00AE14AE">
            <w:pPr>
              <w:numPr>
                <w:ilvl w:val="0"/>
                <w:numId w:val="181"/>
              </w:numPr>
              <w:spacing w:before="0" w:after="0" w:line="276" w:lineRule="auto"/>
              <w:contextualSpacing/>
              <w:jc w:val="left"/>
              <w:rPr>
                <w:rFonts w:eastAsia="Calibri" w:cs="Calibri"/>
                <w:noProof/>
                <w:lang w:val="pt-PT"/>
              </w:rPr>
            </w:pPr>
            <w:r w:rsidRPr="00292532">
              <w:rPr>
                <w:rFonts w:eastAsia="Calibri" w:cs="Calibri"/>
                <w:noProof/>
                <w:lang w:val="pt-PT"/>
              </w:rPr>
              <w:t>Pouca interação entre o empreteiro e a comunidade.</w:t>
            </w:r>
          </w:p>
          <w:p w14:paraId="62CBF4FD" w14:textId="77777777" w:rsidR="00706222" w:rsidRPr="00292532" w:rsidRDefault="00706222" w:rsidP="00706222">
            <w:pPr>
              <w:spacing w:before="0" w:after="0" w:line="276" w:lineRule="auto"/>
              <w:jc w:val="left"/>
              <w:rPr>
                <w:rFonts w:eastAsia="Calibri" w:cs="Calibri"/>
                <w:noProof/>
                <w:lang w:val="pt-PT"/>
              </w:rPr>
            </w:pPr>
          </w:p>
        </w:tc>
        <w:tc>
          <w:tcPr>
            <w:tcW w:w="2268" w:type="dxa"/>
            <w:tcBorders>
              <w:top w:val="single" w:sz="4" w:space="0" w:color="auto"/>
              <w:left w:val="single" w:sz="4" w:space="0" w:color="auto"/>
              <w:bottom w:val="single" w:sz="4" w:space="0" w:color="auto"/>
              <w:right w:val="single" w:sz="4" w:space="0" w:color="auto"/>
            </w:tcBorders>
            <w:vAlign w:val="center"/>
          </w:tcPr>
          <w:p w14:paraId="458286D8"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Artur</w:t>
            </w:r>
            <w:r w:rsidRPr="00292532">
              <w:rPr>
                <w:rFonts w:eastAsia="Calibri" w:cs="Calibri"/>
                <w:noProof/>
                <w:lang w:val="pt-PT"/>
              </w:rPr>
              <w:t xml:space="preserve"> – Residente;</w:t>
            </w:r>
          </w:p>
          <w:p w14:paraId="3B7BECC1"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Antonio</w:t>
            </w:r>
            <w:r w:rsidRPr="00292532">
              <w:rPr>
                <w:rFonts w:eastAsia="Calibri" w:cs="Calibri"/>
                <w:noProof/>
                <w:lang w:val="pt-PT"/>
              </w:rPr>
              <w:t xml:space="preserve"> – Secretario;</w:t>
            </w:r>
          </w:p>
          <w:p w14:paraId="1C366B40" w14:textId="77777777" w:rsidR="00706222" w:rsidRPr="00292532" w:rsidRDefault="00706222" w:rsidP="00706222">
            <w:pPr>
              <w:spacing w:before="0" w:after="0" w:line="276" w:lineRule="auto"/>
              <w:jc w:val="left"/>
              <w:rPr>
                <w:rFonts w:eastAsia="Calibri" w:cs="Calibri"/>
                <w:noProof/>
                <w:u w:val="single"/>
                <w:lang w:val="pt-PT"/>
              </w:rPr>
            </w:pPr>
            <w:r w:rsidRPr="00292532">
              <w:rPr>
                <w:rFonts w:eastAsia="Calibri" w:cs="Calibri"/>
                <w:b/>
                <w:noProof/>
                <w:lang w:val="pt-PT"/>
              </w:rPr>
              <w:t>Filipe Manuel</w:t>
            </w:r>
            <w:r w:rsidRPr="00292532">
              <w:rPr>
                <w:rFonts w:eastAsia="Calibri" w:cs="Calibri"/>
                <w:noProof/>
                <w:lang w:val="pt-PT"/>
              </w:rPr>
              <w:t xml:space="preserve"> – Líder do bairro.</w:t>
            </w:r>
          </w:p>
        </w:tc>
      </w:tr>
      <w:tr w:rsidR="00706222" w:rsidRPr="00292532" w14:paraId="6E12B1BE"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6E466494"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Se existem ONGs activas na regiao a trabalharem nas areas de água, saneamento, ambiente social e protecção da mulher. E programas a serem desenvolvidos.</w:t>
            </w:r>
          </w:p>
        </w:tc>
        <w:tc>
          <w:tcPr>
            <w:tcW w:w="4847" w:type="dxa"/>
            <w:tcBorders>
              <w:top w:val="single" w:sz="4" w:space="0" w:color="auto"/>
              <w:left w:val="single" w:sz="4" w:space="0" w:color="auto"/>
              <w:bottom w:val="single" w:sz="4" w:space="0" w:color="auto"/>
              <w:right w:val="single" w:sz="4" w:space="0" w:color="auto"/>
            </w:tcBorders>
            <w:vAlign w:val="center"/>
          </w:tcPr>
          <w:p w14:paraId="1D8D7814"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A comunidade não tem intervenção de nenhuma ONGs, mas tem umas associações locais como:</w:t>
            </w:r>
          </w:p>
          <w:p w14:paraId="574469E9" w14:textId="77777777" w:rsidR="00706222" w:rsidRPr="00292532" w:rsidRDefault="00706222" w:rsidP="00AE14AE">
            <w:pPr>
              <w:numPr>
                <w:ilvl w:val="0"/>
                <w:numId w:val="186"/>
              </w:numPr>
              <w:spacing w:before="0" w:after="0" w:line="276" w:lineRule="auto"/>
              <w:contextualSpacing/>
              <w:jc w:val="left"/>
              <w:rPr>
                <w:rFonts w:eastAsia="Calibri" w:cs="Calibri"/>
                <w:noProof/>
                <w:lang w:val="pt-PT"/>
              </w:rPr>
            </w:pPr>
            <w:r w:rsidRPr="00292532">
              <w:rPr>
                <w:rFonts w:eastAsia="Calibri" w:cs="Calibri"/>
                <w:noProof/>
                <w:lang w:val="pt-PT"/>
              </w:rPr>
              <w:t>Associação de Poupanca;</w:t>
            </w:r>
          </w:p>
          <w:p w14:paraId="769FF6E5" w14:textId="77777777" w:rsidR="00706222" w:rsidRPr="00292532" w:rsidRDefault="00706222" w:rsidP="00AE14AE">
            <w:pPr>
              <w:numPr>
                <w:ilvl w:val="0"/>
                <w:numId w:val="186"/>
              </w:numPr>
              <w:spacing w:before="0" w:after="0" w:line="276" w:lineRule="auto"/>
              <w:contextualSpacing/>
              <w:jc w:val="left"/>
              <w:rPr>
                <w:rFonts w:eastAsia="Calibri" w:cs="Calibri"/>
                <w:noProof/>
                <w:lang w:val="pt-PT"/>
              </w:rPr>
            </w:pPr>
            <w:r w:rsidRPr="00292532">
              <w:rPr>
                <w:rFonts w:eastAsia="Calibri" w:cs="Calibri"/>
                <w:noProof/>
                <w:lang w:val="pt-PT"/>
              </w:rPr>
              <w:t>Associação de produtores locais.</w:t>
            </w:r>
          </w:p>
        </w:tc>
        <w:tc>
          <w:tcPr>
            <w:tcW w:w="2268" w:type="dxa"/>
            <w:tcBorders>
              <w:top w:val="single" w:sz="4" w:space="0" w:color="auto"/>
              <w:left w:val="single" w:sz="4" w:space="0" w:color="auto"/>
              <w:bottom w:val="single" w:sz="4" w:space="0" w:color="auto"/>
              <w:right w:val="single" w:sz="4" w:space="0" w:color="auto"/>
            </w:tcBorders>
            <w:vAlign w:val="center"/>
          </w:tcPr>
          <w:p w14:paraId="71CF9491"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Filipe Manuel</w:t>
            </w:r>
            <w:r w:rsidRPr="00292532">
              <w:rPr>
                <w:rFonts w:eastAsia="Calibri" w:cs="Calibri"/>
                <w:noProof/>
                <w:lang w:val="pt-PT"/>
              </w:rPr>
              <w:t xml:space="preserve"> – Líder do bairro;</w:t>
            </w:r>
          </w:p>
          <w:p w14:paraId="438375BD"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Suhura</w:t>
            </w:r>
            <w:r w:rsidRPr="00292532">
              <w:rPr>
                <w:rFonts w:eastAsia="Calibri" w:cs="Calibri"/>
                <w:noProof/>
                <w:lang w:val="pt-PT"/>
              </w:rPr>
              <w:t xml:space="preserve"> - Residente</w:t>
            </w:r>
          </w:p>
          <w:p w14:paraId="25489F44" w14:textId="77777777" w:rsidR="00706222" w:rsidRPr="00292532" w:rsidRDefault="00706222" w:rsidP="00706222">
            <w:pPr>
              <w:spacing w:before="0" w:after="0" w:line="276" w:lineRule="auto"/>
              <w:jc w:val="left"/>
              <w:rPr>
                <w:rFonts w:eastAsia="Calibri" w:cs="Calibri"/>
                <w:noProof/>
                <w:lang w:val="pt-PT"/>
              </w:rPr>
            </w:pPr>
          </w:p>
        </w:tc>
      </w:tr>
      <w:tr w:rsidR="00706222" w:rsidRPr="004E2EAC" w14:paraId="606F562B"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5E39AF25"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Criminalidade na busca de água.</w:t>
            </w:r>
          </w:p>
        </w:tc>
        <w:tc>
          <w:tcPr>
            <w:tcW w:w="4847" w:type="dxa"/>
            <w:tcBorders>
              <w:top w:val="single" w:sz="4" w:space="0" w:color="auto"/>
              <w:left w:val="single" w:sz="4" w:space="0" w:color="auto"/>
              <w:bottom w:val="single" w:sz="4" w:space="0" w:color="auto"/>
              <w:right w:val="single" w:sz="4" w:space="0" w:color="auto"/>
            </w:tcBorders>
            <w:vAlign w:val="center"/>
          </w:tcPr>
          <w:p w14:paraId="660118A6"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Não se observa muita criminalidade</w:t>
            </w:r>
          </w:p>
        </w:tc>
        <w:tc>
          <w:tcPr>
            <w:tcW w:w="2268" w:type="dxa"/>
            <w:tcBorders>
              <w:top w:val="single" w:sz="4" w:space="0" w:color="auto"/>
              <w:left w:val="single" w:sz="4" w:space="0" w:color="auto"/>
              <w:bottom w:val="single" w:sz="4" w:space="0" w:color="auto"/>
              <w:right w:val="single" w:sz="4" w:space="0" w:color="auto"/>
            </w:tcBorders>
            <w:vAlign w:val="center"/>
          </w:tcPr>
          <w:p w14:paraId="531B7BF5"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Filipe Manuel</w:t>
            </w:r>
            <w:r w:rsidRPr="00292532">
              <w:rPr>
                <w:rFonts w:eastAsia="Calibri" w:cs="Calibri"/>
                <w:noProof/>
                <w:lang w:val="pt-PT"/>
              </w:rPr>
              <w:t xml:space="preserve"> – Líder do bairro</w:t>
            </w:r>
          </w:p>
        </w:tc>
      </w:tr>
      <w:tr w:rsidR="00706222" w:rsidRPr="004E2EAC" w14:paraId="7C120A00"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2A49AC9A"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Assedio na busca de água.</w:t>
            </w:r>
          </w:p>
        </w:tc>
        <w:tc>
          <w:tcPr>
            <w:tcW w:w="4847" w:type="dxa"/>
            <w:tcBorders>
              <w:top w:val="single" w:sz="4" w:space="0" w:color="auto"/>
              <w:left w:val="single" w:sz="4" w:space="0" w:color="auto"/>
              <w:bottom w:val="single" w:sz="4" w:space="0" w:color="auto"/>
              <w:right w:val="single" w:sz="4" w:space="0" w:color="auto"/>
            </w:tcBorders>
            <w:vAlign w:val="center"/>
          </w:tcPr>
          <w:p w14:paraId="676F68E2"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O assedio entre membros da comunidade não é verificado.</w:t>
            </w:r>
          </w:p>
        </w:tc>
        <w:tc>
          <w:tcPr>
            <w:tcW w:w="2268" w:type="dxa"/>
            <w:tcBorders>
              <w:top w:val="single" w:sz="4" w:space="0" w:color="auto"/>
              <w:left w:val="single" w:sz="4" w:space="0" w:color="auto"/>
              <w:bottom w:val="single" w:sz="4" w:space="0" w:color="auto"/>
              <w:right w:val="single" w:sz="4" w:space="0" w:color="auto"/>
            </w:tcBorders>
            <w:vAlign w:val="center"/>
          </w:tcPr>
          <w:p w14:paraId="3817973E" w14:textId="77777777" w:rsidR="00706222" w:rsidRPr="00292532" w:rsidRDefault="00706222" w:rsidP="00706222">
            <w:pPr>
              <w:spacing w:before="0" w:after="0" w:line="276" w:lineRule="auto"/>
              <w:jc w:val="left"/>
              <w:rPr>
                <w:rFonts w:eastAsia="Calibri" w:cs="Calibri"/>
                <w:noProof/>
                <w:u w:val="single"/>
                <w:lang w:val="pt-PT"/>
              </w:rPr>
            </w:pPr>
            <w:r w:rsidRPr="00292532">
              <w:rPr>
                <w:rFonts w:eastAsia="Calibri" w:cs="Calibri"/>
                <w:b/>
                <w:noProof/>
                <w:lang w:val="pt-PT"/>
              </w:rPr>
              <w:t>Filipe Manuel</w:t>
            </w:r>
            <w:r w:rsidRPr="00292532">
              <w:rPr>
                <w:rFonts w:eastAsia="Calibri" w:cs="Calibri"/>
                <w:noProof/>
                <w:lang w:val="pt-PT"/>
              </w:rPr>
              <w:t xml:space="preserve"> – Líder do bairro</w:t>
            </w:r>
          </w:p>
        </w:tc>
      </w:tr>
      <w:tr w:rsidR="00706222" w:rsidRPr="00292532" w14:paraId="416A59F2"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5B169217"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lastRenderedPageBreak/>
              <w:t>Outros assuntos abordados</w:t>
            </w:r>
          </w:p>
        </w:tc>
        <w:tc>
          <w:tcPr>
            <w:tcW w:w="4847" w:type="dxa"/>
            <w:tcBorders>
              <w:top w:val="single" w:sz="4" w:space="0" w:color="auto"/>
              <w:left w:val="single" w:sz="4" w:space="0" w:color="auto"/>
              <w:bottom w:val="single" w:sz="4" w:space="0" w:color="auto"/>
              <w:right w:val="single" w:sz="4" w:space="0" w:color="auto"/>
            </w:tcBorders>
            <w:vAlign w:val="center"/>
          </w:tcPr>
          <w:p w14:paraId="0BEF725F" w14:textId="77777777" w:rsidR="00706222" w:rsidRPr="00292532" w:rsidRDefault="00706222" w:rsidP="00AE14AE">
            <w:pPr>
              <w:numPr>
                <w:ilvl w:val="0"/>
                <w:numId w:val="184"/>
              </w:numPr>
              <w:spacing w:before="0" w:after="0" w:line="276" w:lineRule="auto"/>
              <w:contextualSpacing/>
              <w:jc w:val="left"/>
              <w:rPr>
                <w:rFonts w:eastAsia="Calibri" w:cs="Calibri"/>
                <w:noProof/>
                <w:lang w:val="pt-PT"/>
              </w:rPr>
            </w:pPr>
            <w:r w:rsidRPr="00292532">
              <w:rPr>
                <w:rFonts w:eastAsia="Calibri" w:cs="Calibri"/>
                <w:noProof/>
                <w:lang w:val="pt-PT"/>
              </w:rPr>
              <w:t>Abordou-se sobre tempo previsto para possivel arranque das obras em casos de haver o financiamento;</w:t>
            </w:r>
          </w:p>
          <w:p w14:paraId="7C035D35" w14:textId="77777777" w:rsidR="00706222" w:rsidRPr="00292532" w:rsidRDefault="00706222" w:rsidP="00AE14AE">
            <w:pPr>
              <w:numPr>
                <w:ilvl w:val="0"/>
                <w:numId w:val="184"/>
              </w:numPr>
              <w:spacing w:before="0" w:after="0" w:line="276" w:lineRule="auto"/>
              <w:contextualSpacing/>
              <w:jc w:val="left"/>
              <w:rPr>
                <w:rFonts w:eastAsia="Calibri" w:cs="Calibri"/>
                <w:noProof/>
                <w:lang w:val="pt-PT"/>
              </w:rPr>
            </w:pPr>
            <w:r w:rsidRPr="00292532">
              <w:rPr>
                <w:rFonts w:eastAsia="Calibri" w:cs="Calibri"/>
                <w:noProof/>
                <w:lang w:val="pt-PT"/>
              </w:rPr>
              <w:t xml:space="preserve">Discutiu-se sobre a qualidade da água, porque o </w:t>
            </w:r>
          </w:p>
          <w:p w14:paraId="281BAB06"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lencol freatico do distrito de Monapo tira muita água salubre.</w:t>
            </w:r>
          </w:p>
          <w:p w14:paraId="487CC6E4" w14:textId="77777777" w:rsidR="00706222" w:rsidRPr="00292532" w:rsidRDefault="00706222" w:rsidP="00AE14AE">
            <w:pPr>
              <w:numPr>
                <w:ilvl w:val="0"/>
                <w:numId w:val="184"/>
              </w:numPr>
              <w:spacing w:before="0" w:after="0" w:line="276" w:lineRule="auto"/>
              <w:contextualSpacing/>
              <w:jc w:val="left"/>
              <w:rPr>
                <w:rFonts w:eastAsia="Calibri" w:cs="Calibri"/>
                <w:noProof/>
                <w:lang w:val="pt-PT"/>
              </w:rPr>
            </w:pPr>
            <w:r w:rsidRPr="00292532">
              <w:rPr>
                <w:rFonts w:eastAsia="Calibri" w:cs="Calibri"/>
                <w:noProof/>
                <w:lang w:val="pt-PT"/>
              </w:rPr>
              <w:t>A comunidade não tem muitos locais sagrados, existe apenas um cemiterio local.</w:t>
            </w:r>
          </w:p>
          <w:p w14:paraId="75E6FE21" w14:textId="77777777" w:rsidR="00706222" w:rsidRPr="00292532" w:rsidRDefault="00706222" w:rsidP="00706222">
            <w:pPr>
              <w:spacing w:before="0" w:after="0" w:line="276" w:lineRule="auto"/>
              <w:jc w:val="left"/>
              <w:rPr>
                <w:rFonts w:eastAsia="Calibri" w:cs="Calibri"/>
                <w:noProof/>
                <w:lang w:val="pt-PT"/>
              </w:rPr>
            </w:pPr>
          </w:p>
          <w:p w14:paraId="39B02802"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A comunidade tem um pequeno riacho chamado Thaueliya, tem um pouco de água mas a população não tira água de la, porque muitos deles fazem o fecalismo no local. E os que estavam presente no encontro mostraram-se muito descontentes e revoltosos com os que tem esta ma pratica.</w:t>
            </w:r>
          </w:p>
        </w:tc>
        <w:tc>
          <w:tcPr>
            <w:tcW w:w="2268" w:type="dxa"/>
            <w:tcBorders>
              <w:top w:val="single" w:sz="4" w:space="0" w:color="auto"/>
              <w:left w:val="single" w:sz="4" w:space="0" w:color="auto"/>
              <w:bottom w:val="single" w:sz="4" w:space="0" w:color="auto"/>
              <w:right w:val="single" w:sz="4" w:space="0" w:color="auto"/>
            </w:tcBorders>
            <w:vAlign w:val="center"/>
          </w:tcPr>
          <w:p w14:paraId="35FB9D7C" w14:textId="77777777" w:rsidR="00706222" w:rsidRPr="00292532" w:rsidRDefault="00706222" w:rsidP="00706222">
            <w:pPr>
              <w:spacing w:before="0" w:after="0" w:line="276" w:lineRule="auto"/>
              <w:jc w:val="left"/>
              <w:rPr>
                <w:rFonts w:eastAsia="Calibri" w:cs="Calibri"/>
                <w:b/>
                <w:noProof/>
                <w:lang w:val="pt-PT"/>
              </w:rPr>
            </w:pPr>
          </w:p>
          <w:p w14:paraId="10D55FD6" w14:textId="77777777" w:rsidR="00706222" w:rsidRPr="00292532" w:rsidRDefault="00706222" w:rsidP="00706222">
            <w:pPr>
              <w:spacing w:before="0" w:after="0" w:line="276" w:lineRule="auto"/>
              <w:jc w:val="left"/>
              <w:rPr>
                <w:rFonts w:eastAsia="Calibri" w:cs="Calibri"/>
                <w:b/>
                <w:noProof/>
                <w:lang w:val="pt-PT"/>
              </w:rPr>
            </w:pPr>
          </w:p>
          <w:p w14:paraId="64CA5AA6"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Filipe Manuel</w:t>
            </w:r>
            <w:r w:rsidRPr="00292532">
              <w:rPr>
                <w:rFonts w:eastAsia="Calibri" w:cs="Calibri"/>
                <w:noProof/>
                <w:lang w:val="pt-PT"/>
              </w:rPr>
              <w:t xml:space="preserve"> – Líder do bairro;</w:t>
            </w:r>
          </w:p>
          <w:p w14:paraId="42047E34" w14:textId="77777777" w:rsidR="00706222" w:rsidRPr="00292532" w:rsidRDefault="00706222" w:rsidP="00706222">
            <w:pPr>
              <w:spacing w:before="0" w:after="0" w:line="276" w:lineRule="auto"/>
              <w:jc w:val="left"/>
              <w:rPr>
                <w:rFonts w:eastAsia="Calibri" w:cs="Calibri"/>
                <w:b/>
                <w:noProof/>
                <w:lang w:val="pt-PT"/>
              </w:rPr>
            </w:pPr>
            <w:r w:rsidRPr="00292532">
              <w:rPr>
                <w:rFonts w:eastAsia="Calibri" w:cs="Calibri"/>
                <w:b/>
                <w:noProof/>
                <w:lang w:val="pt-PT"/>
              </w:rPr>
              <w:t>Alfonsino</w:t>
            </w:r>
            <w:r w:rsidRPr="00292532">
              <w:rPr>
                <w:rFonts w:eastAsia="Calibri" w:cs="Calibri"/>
                <w:noProof/>
                <w:lang w:val="pt-PT"/>
              </w:rPr>
              <w:t xml:space="preserve"> – Chfe da Localidade</w:t>
            </w:r>
          </w:p>
        </w:tc>
      </w:tr>
    </w:tbl>
    <w:p w14:paraId="28097694" w14:textId="77777777" w:rsidR="00706222" w:rsidRPr="00292532" w:rsidRDefault="00706222" w:rsidP="00706222">
      <w:pPr>
        <w:spacing w:before="0" w:after="0" w:line="259" w:lineRule="auto"/>
        <w:jc w:val="left"/>
        <w:rPr>
          <w:rFonts w:eastAsia="Calibri" w:cs="Calibri"/>
          <w:noProof/>
          <w:lang w:val="pt-PT"/>
        </w:rPr>
      </w:pPr>
    </w:p>
    <w:p w14:paraId="0E16C131" w14:textId="74EE4A8F" w:rsidR="00706222" w:rsidRPr="00292532" w:rsidRDefault="00706222" w:rsidP="00706222">
      <w:pPr>
        <w:spacing w:before="0" w:after="0" w:line="259" w:lineRule="auto"/>
        <w:jc w:val="left"/>
        <w:rPr>
          <w:rFonts w:eastAsia="Calibri" w:cs="Calibri"/>
          <w:noProof/>
          <w:lang w:val="pt-PT"/>
        </w:rPr>
      </w:pPr>
      <w:r w:rsidRPr="00292532">
        <w:rPr>
          <w:rFonts w:eastAsia="Calibri" w:cs="Calibri"/>
          <w:noProof/>
          <w:lang w:val="en-US"/>
        </w:rPr>
        <w:drawing>
          <wp:inline distT="0" distB="0" distL="0" distR="0" wp14:anchorId="0EE62888" wp14:editId="2EADA80C">
            <wp:extent cx="5738884" cy="2286000"/>
            <wp:effectExtent l="0" t="0" r="0" b="0"/>
            <wp:docPr id="95" name="Imagem 1" descr="C:\Users\Amorim Manuel\Desktop\Consultoria David Malauene\Fotos\Monapo\20210629_15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orim Manuel\Desktop\Consultoria David Malauene\Fotos\Monapo\20210629_153602.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744856" cy="2288379"/>
                    </a:xfrm>
                    <a:prstGeom prst="rect">
                      <a:avLst/>
                    </a:prstGeom>
                    <a:noFill/>
                    <a:ln>
                      <a:noFill/>
                    </a:ln>
                  </pic:spPr>
                </pic:pic>
              </a:graphicData>
            </a:graphic>
          </wp:inline>
        </w:drawing>
      </w:r>
    </w:p>
    <w:p w14:paraId="19FE3BD6" w14:textId="131E5248" w:rsidR="00706222" w:rsidRPr="00292532" w:rsidRDefault="00706222" w:rsidP="00706222">
      <w:pPr>
        <w:spacing w:before="0" w:after="0" w:line="259" w:lineRule="auto"/>
        <w:jc w:val="left"/>
        <w:rPr>
          <w:rFonts w:eastAsia="Calibri" w:cs="Calibri"/>
          <w:noProof/>
          <w:lang w:val="pt-PT"/>
        </w:rPr>
      </w:pPr>
      <w:r w:rsidRPr="00292532">
        <w:rPr>
          <w:rFonts w:eastAsia="Calibri" w:cs="Calibri"/>
          <w:noProof/>
          <w:lang w:val="en-US"/>
        </w:rPr>
        <w:drawing>
          <wp:inline distT="0" distB="0" distL="0" distR="0" wp14:anchorId="5714A881" wp14:editId="4E913607">
            <wp:extent cx="5738884" cy="2638280"/>
            <wp:effectExtent l="0" t="0" r="0" b="0"/>
            <wp:docPr id="192" name="Imagem 2" descr="C:\Users\Amorim Manuel\Desktop\Consultoria David Malauene\Fotos\Monapo\20210629_15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orim Manuel\Desktop\Consultoria David Malauene\Fotos\Monapo\20210629_153639.jpg"/>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5744855" cy="2641025"/>
                    </a:xfrm>
                    <a:prstGeom prst="rect">
                      <a:avLst/>
                    </a:prstGeom>
                    <a:noFill/>
                    <a:ln>
                      <a:noFill/>
                    </a:ln>
                  </pic:spPr>
                </pic:pic>
              </a:graphicData>
            </a:graphic>
          </wp:inline>
        </w:drawing>
      </w:r>
    </w:p>
    <w:p w14:paraId="494A3BB6" w14:textId="77777777" w:rsidR="00706222" w:rsidRPr="00292532" w:rsidRDefault="00706222" w:rsidP="00706222">
      <w:pPr>
        <w:spacing w:before="0" w:line="259" w:lineRule="auto"/>
        <w:jc w:val="left"/>
        <w:rPr>
          <w:rFonts w:eastAsia="Calibri" w:cs="Calibri"/>
          <w:noProof/>
          <w:lang w:val="pt-PT"/>
        </w:rPr>
      </w:pPr>
      <w:r w:rsidRPr="00292532">
        <w:rPr>
          <w:rFonts w:eastAsia="Calibri" w:cs="Calibri"/>
          <w:noProof/>
          <w:lang w:val="pt-PT"/>
        </w:rPr>
        <w:br w:type="page"/>
      </w:r>
    </w:p>
    <w:p w14:paraId="73B2B128" w14:textId="77777777" w:rsidR="00706222" w:rsidRPr="00292532" w:rsidRDefault="00706222" w:rsidP="00706222">
      <w:pPr>
        <w:spacing w:before="0" w:line="259" w:lineRule="auto"/>
        <w:jc w:val="center"/>
        <w:rPr>
          <w:rFonts w:eastAsia="Calibri" w:cs="Calibri"/>
          <w:b/>
          <w:i/>
          <w:noProof/>
          <w:u w:val="single"/>
          <w:lang w:val="pt-PT"/>
        </w:rPr>
      </w:pPr>
    </w:p>
    <w:p w14:paraId="29434A50" w14:textId="77777777" w:rsidR="00706222" w:rsidRPr="00292532" w:rsidRDefault="00706222" w:rsidP="00706222">
      <w:pPr>
        <w:spacing w:before="0" w:after="0" w:line="276" w:lineRule="auto"/>
        <w:jc w:val="center"/>
        <w:rPr>
          <w:rFonts w:eastAsia="Calibri" w:cs="Calibri"/>
          <w:b/>
          <w:noProof/>
          <w:sz w:val="24"/>
          <w:lang w:val="pt-PT"/>
        </w:rPr>
      </w:pPr>
      <w:r w:rsidRPr="00292532">
        <w:rPr>
          <w:rFonts w:eastAsia="Calibri" w:cs="Calibri"/>
          <w:b/>
          <w:noProof/>
          <w:sz w:val="24"/>
          <w:lang w:val="pt-PT"/>
        </w:rPr>
        <w:t>Distrito de Meconta</w:t>
      </w:r>
    </w:p>
    <w:p w14:paraId="15869F6E" w14:textId="77777777" w:rsidR="00706222" w:rsidRPr="00292532" w:rsidRDefault="00706222" w:rsidP="00706222">
      <w:pPr>
        <w:spacing w:before="0" w:after="0" w:line="276" w:lineRule="auto"/>
        <w:jc w:val="center"/>
        <w:rPr>
          <w:rFonts w:eastAsia="Calibri" w:cs="Calibri"/>
          <w:b/>
          <w:noProof/>
          <w:sz w:val="24"/>
          <w:lang w:val="pt-PT"/>
        </w:rPr>
      </w:pPr>
      <w:r w:rsidRPr="00292532">
        <w:rPr>
          <w:rFonts w:eastAsia="Calibri" w:cs="Calibri"/>
          <w:b/>
          <w:noProof/>
          <w:sz w:val="24"/>
          <w:lang w:val="pt-PT"/>
        </w:rPr>
        <w:t>Comunidade de  Posto Administrativo de Namialo, Bairro Zona Cimento</w:t>
      </w:r>
    </w:p>
    <w:p w14:paraId="689EF38F" w14:textId="77777777" w:rsidR="00706222" w:rsidRPr="00292532" w:rsidRDefault="00706222" w:rsidP="00706222">
      <w:pPr>
        <w:spacing w:before="0" w:line="259" w:lineRule="auto"/>
        <w:jc w:val="center"/>
        <w:rPr>
          <w:rFonts w:eastAsia="Calibri" w:cs="Calibri"/>
          <w:b/>
          <w:i/>
          <w:noProof/>
          <w:u w:val="single"/>
          <w:lang w:val="pt-PT"/>
        </w:rPr>
      </w:pPr>
    </w:p>
    <w:p w14:paraId="34F2A26C" w14:textId="77777777" w:rsidR="00706222" w:rsidRPr="00292532" w:rsidRDefault="00706222" w:rsidP="00706222">
      <w:pPr>
        <w:spacing w:before="0" w:line="259" w:lineRule="auto"/>
        <w:jc w:val="center"/>
        <w:rPr>
          <w:rFonts w:eastAsia="Calibri" w:cs="Calibri"/>
          <w:b/>
          <w:i/>
          <w:noProof/>
          <w:u w:val="single"/>
          <w:lang w:val="pt-PT"/>
        </w:rPr>
      </w:pPr>
      <w:r w:rsidRPr="00292532">
        <w:rPr>
          <w:rFonts w:eastAsia="Calibri" w:cs="Calibri"/>
          <w:b/>
          <w:i/>
          <w:noProof/>
          <w:u w:val="single"/>
          <w:lang w:val="pt-PT"/>
        </w:rPr>
        <w:t>Acta da reuniao</w:t>
      </w:r>
    </w:p>
    <w:p w14:paraId="5B4DCB2C" w14:textId="77777777" w:rsidR="00706222" w:rsidRPr="00292532" w:rsidRDefault="00706222" w:rsidP="00706222">
      <w:pPr>
        <w:spacing w:before="0" w:line="259" w:lineRule="auto"/>
        <w:jc w:val="center"/>
        <w:rPr>
          <w:rFonts w:eastAsia="Calibri" w:cs="Calibri"/>
          <w:b/>
          <w:i/>
          <w:noProof/>
          <w:u w:val="single"/>
          <w:lang w:val="pt-PT"/>
        </w:rPr>
      </w:pPr>
      <w:r w:rsidRPr="00292532">
        <w:rPr>
          <w:rFonts w:eastAsia="Calibri" w:cs="Calibri"/>
          <w:b/>
          <w:i/>
          <w:noProof/>
          <w:u w:val="single"/>
          <w:lang w:val="pt-PT"/>
        </w:rPr>
        <w:t>Dia:29/07/2021</w:t>
      </w:r>
    </w:p>
    <w:p w14:paraId="52782AD4" w14:textId="77777777" w:rsidR="00706222" w:rsidRPr="00292532" w:rsidRDefault="00706222" w:rsidP="00706222">
      <w:pPr>
        <w:spacing w:before="0" w:after="0" w:line="276" w:lineRule="auto"/>
        <w:jc w:val="center"/>
        <w:rPr>
          <w:rFonts w:eastAsia="Calibri" w:cs="Calibri"/>
          <w:bCs/>
          <w:noProof/>
          <w:sz w:val="24"/>
          <w:u w:val="single"/>
          <w:lang w:val="pt-PT"/>
        </w:rPr>
      </w:pPr>
      <w:r w:rsidRPr="00292532">
        <w:rPr>
          <w:rFonts w:eastAsia="Calibri" w:cs="Calibri"/>
          <w:bCs/>
          <w:noProof/>
          <w:sz w:val="24"/>
          <w:u w:val="single"/>
          <w:lang w:val="pt-PT"/>
        </w:rPr>
        <w:t>Consulta Publica para elaboração de instrumentos genericos de gestão ambiental e social</w:t>
      </w:r>
    </w:p>
    <w:p w14:paraId="670FEAAB" w14:textId="77777777" w:rsidR="00706222" w:rsidRPr="00292532" w:rsidRDefault="00706222" w:rsidP="00706222">
      <w:pPr>
        <w:spacing w:before="0" w:after="0" w:line="276" w:lineRule="auto"/>
        <w:jc w:val="center"/>
        <w:rPr>
          <w:rFonts w:eastAsia="Calibri" w:cs="Calibri"/>
          <w:b/>
          <w:noProof/>
          <w:sz w:val="24"/>
          <w:lang w:val="pt-PT"/>
        </w:rPr>
      </w:pPr>
      <w:r w:rsidRPr="00292532">
        <w:rPr>
          <w:rFonts w:eastAsia="Calibri" w:cs="Calibri"/>
          <w:b/>
          <w:noProof/>
          <w:sz w:val="24"/>
          <w:lang w:val="pt-PT"/>
        </w:rPr>
        <w:t>Particparam 17 pessoas, sendo 8 Homens e 9 Mulheres</w:t>
      </w:r>
    </w:p>
    <w:tbl>
      <w:tblPr>
        <w:tblW w:w="9757" w:type="dxa"/>
        <w:tblInd w:w="-289" w:type="dxa"/>
        <w:tblLayout w:type="fixed"/>
        <w:tblLook w:val="04A0" w:firstRow="1" w:lastRow="0" w:firstColumn="1" w:lastColumn="0" w:noHBand="0" w:noVBand="1"/>
      </w:tblPr>
      <w:tblGrid>
        <w:gridCol w:w="2552"/>
        <w:gridCol w:w="4937"/>
        <w:gridCol w:w="2268"/>
      </w:tblGrid>
      <w:tr w:rsidR="00706222" w:rsidRPr="00292532" w14:paraId="1CF133E8" w14:textId="77777777" w:rsidTr="00706222">
        <w:trPr>
          <w:trHeight w:val="70"/>
          <w:tblHeader/>
        </w:trPr>
        <w:tc>
          <w:tcPr>
            <w:tcW w:w="2552" w:type="dxa"/>
            <w:shd w:val="clear" w:color="auto" w:fill="4472C4"/>
            <w:vAlign w:val="center"/>
          </w:tcPr>
          <w:p w14:paraId="68AA9249" w14:textId="77777777" w:rsidR="00706222" w:rsidRPr="00292532" w:rsidRDefault="00706222" w:rsidP="00706222">
            <w:pPr>
              <w:tabs>
                <w:tab w:val="left" w:pos="2980"/>
              </w:tabs>
              <w:spacing w:before="0" w:after="0" w:line="276" w:lineRule="auto"/>
              <w:jc w:val="center"/>
              <w:rPr>
                <w:rFonts w:eastAsia="Calibri" w:cs="Calibri"/>
                <w:b/>
                <w:noProof/>
                <w:color w:val="FFFFFF"/>
                <w:lang w:val="pt-PT"/>
              </w:rPr>
            </w:pPr>
            <w:r w:rsidRPr="00292532">
              <w:rPr>
                <w:rFonts w:eastAsia="Calibri" w:cs="Calibri"/>
                <w:b/>
                <w:noProof/>
                <w:color w:val="FFFFFF"/>
                <w:lang w:val="pt-PT"/>
              </w:rPr>
              <w:t>Assuntos abordados</w:t>
            </w:r>
          </w:p>
        </w:tc>
        <w:tc>
          <w:tcPr>
            <w:tcW w:w="4937" w:type="dxa"/>
            <w:shd w:val="clear" w:color="auto" w:fill="4472C4"/>
            <w:vAlign w:val="center"/>
          </w:tcPr>
          <w:p w14:paraId="72BAF77F" w14:textId="77777777" w:rsidR="00706222" w:rsidRPr="00292532" w:rsidRDefault="00706222" w:rsidP="00706222">
            <w:pPr>
              <w:spacing w:before="0" w:after="0" w:line="276" w:lineRule="auto"/>
              <w:jc w:val="center"/>
              <w:rPr>
                <w:rFonts w:eastAsia="Calibri" w:cs="Calibri"/>
                <w:b/>
                <w:noProof/>
                <w:color w:val="FFFFFF"/>
                <w:lang w:val="pt-PT"/>
              </w:rPr>
            </w:pPr>
            <w:r w:rsidRPr="00292532">
              <w:rPr>
                <w:rFonts w:eastAsia="Times New Roman" w:cs="Calibri"/>
                <w:b/>
                <w:noProof/>
                <w:color w:val="FFFFFF"/>
                <w:lang w:val="pt-PT"/>
              </w:rPr>
              <w:t>Resposta / Comentário</w:t>
            </w:r>
          </w:p>
        </w:tc>
        <w:tc>
          <w:tcPr>
            <w:tcW w:w="2268" w:type="dxa"/>
            <w:shd w:val="clear" w:color="auto" w:fill="4472C4"/>
            <w:vAlign w:val="center"/>
          </w:tcPr>
          <w:p w14:paraId="09B5C272" w14:textId="77777777" w:rsidR="00706222" w:rsidRPr="00292532" w:rsidRDefault="00706222" w:rsidP="00706222">
            <w:pPr>
              <w:spacing w:before="0" w:after="0" w:line="276" w:lineRule="auto"/>
              <w:jc w:val="center"/>
              <w:rPr>
                <w:rFonts w:eastAsia="Calibri" w:cs="Calibri"/>
                <w:b/>
                <w:noProof/>
                <w:color w:val="FFFFFF"/>
                <w:lang w:val="pt-PT"/>
              </w:rPr>
            </w:pPr>
            <w:r w:rsidRPr="00292532">
              <w:rPr>
                <w:rFonts w:eastAsia="Calibri" w:cs="Calibri"/>
                <w:b/>
                <w:noProof/>
                <w:color w:val="FFFFFF"/>
                <w:lang w:val="pt-PT"/>
              </w:rPr>
              <w:t>Intervenientes (nome, posição/título)</w:t>
            </w:r>
          </w:p>
        </w:tc>
      </w:tr>
      <w:tr w:rsidR="00706222" w:rsidRPr="004E2EAC" w14:paraId="514601D2" w14:textId="77777777" w:rsidTr="00706222">
        <w:trPr>
          <w:trHeight w:val="746"/>
        </w:trPr>
        <w:tc>
          <w:tcPr>
            <w:tcW w:w="2552" w:type="dxa"/>
            <w:vMerge w:val="restart"/>
            <w:tcBorders>
              <w:top w:val="single" w:sz="4" w:space="0" w:color="auto"/>
              <w:left w:val="single" w:sz="4" w:space="0" w:color="auto"/>
              <w:right w:val="single" w:sz="4" w:space="0" w:color="auto"/>
            </w:tcBorders>
            <w:vAlign w:val="center"/>
          </w:tcPr>
          <w:p w14:paraId="6C61105D"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Quais são as vossas prioridades, em termos de comunidade, para implantar um sistema de abastecimento de água.</w:t>
            </w:r>
          </w:p>
        </w:tc>
        <w:tc>
          <w:tcPr>
            <w:tcW w:w="4937" w:type="dxa"/>
            <w:vMerge w:val="restart"/>
            <w:tcBorders>
              <w:top w:val="single" w:sz="4" w:space="0" w:color="auto"/>
              <w:left w:val="single" w:sz="4" w:space="0" w:color="auto"/>
              <w:right w:val="single" w:sz="4" w:space="0" w:color="auto"/>
            </w:tcBorders>
            <w:vAlign w:val="center"/>
          </w:tcPr>
          <w:p w14:paraId="62BDABC1" w14:textId="77777777" w:rsidR="00706222" w:rsidRPr="00292532" w:rsidRDefault="00706222" w:rsidP="00AE14AE">
            <w:pPr>
              <w:numPr>
                <w:ilvl w:val="0"/>
                <w:numId w:val="172"/>
              </w:numPr>
              <w:spacing w:before="0" w:after="0" w:line="276" w:lineRule="auto"/>
              <w:contextualSpacing/>
              <w:jc w:val="left"/>
              <w:rPr>
                <w:rFonts w:eastAsia="Calibri" w:cs="Calibri"/>
                <w:noProof/>
                <w:lang w:val="pt-PT"/>
              </w:rPr>
            </w:pPr>
            <w:r w:rsidRPr="00292532">
              <w:rPr>
                <w:rFonts w:eastAsia="Calibri" w:cs="Calibri"/>
                <w:noProof/>
                <w:lang w:val="pt-PT"/>
              </w:rPr>
              <w:t>O sítio a ser identificado deve ser estrategico para que a água seja abrangente para todos os residentes da comunidade;</w:t>
            </w:r>
          </w:p>
          <w:p w14:paraId="21730194" w14:textId="77777777" w:rsidR="00706222" w:rsidRPr="00292532" w:rsidRDefault="00706222" w:rsidP="00AE14AE">
            <w:pPr>
              <w:numPr>
                <w:ilvl w:val="0"/>
                <w:numId w:val="172"/>
              </w:numPr>
              <w:spacing w:before="0" w:after="0" w:line="276" w:lineRule="auto"/>
              <w:contextualSpacing/>
              <w:jc w:val="left"/>
              <w:rPr>
                <w:rFonts w:eastAsia="Calibri" w:cs="Calibri"/>
                <w:noProof/>
                <w:lang w:val="pt-PT"/>
              </w:rPr>
            </w:pPr>
            <w:r w:rsidRPr="00292532">
              <w:rPr>
                <w:rFonts w:eastAsia="Calibri" w:cs="Calibri"/>
                <w:noProof/>
                <w:lang w:val="pt-PT"/>
              </w:rPr>
              <w:t>Criar condicoes para que a comunidade tenha água em todas as epocas do ano.</w:t>
            </w:r>
          </w:p>
        </w:tc>
        <w:tc>
          <w:tcPr>
            <w:tcW w:w="2268" w:type="dxa"/>
            <w:tcBorders>
              <w:top w:val="single" w:sz="4" w:space="0" w:color="auto"/>
              <w:left w:val="single" w:sz="4" w:space="0" w:color="auto"/>
              <w:right w:val="single" w:sz="4" w:space="0" w:color="auto"/>
            </w:tcBorders>
            <w:vAlign w:val="center"/>
          </w:tcPr>
          <w:p w14:paraId="541044E9"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Rosario Augusto</w:t>
            </w:r>
            <w:r w:rsidRPr="00292532">
              <w:rPr>
                <w:rFonts w:eastAsia="Calibri" w:cs="Calibri"/>
                <w:noProof/>
                <w:lang w:val="pt-PT"/>
              </w:rPr>
              <w:t xml:space="preserve"> – Presidente do comité de água;</w:t>
            </w:r>
          </w:p>
          <w:p w14:paraId="0F3076B0" w14:textId="77777777" w:rsidR="00706222" w:rsidRPr="00292532" w:rsidRDefault="00706222" w:rsidP="00706222">
            <w:pPr>
              <w:spacing w:before="0" w:after="0" w:line="276" w:lineRule="auto"/>
              <w:jc w:val="left"/>
              <w:rPr>
                <w:rFonts w:eastAsia="Calibri" w:cs="Calibri"/>
                <w:noProof/>
                <w:u w:val="single"/>
                <w:lang w:val="pt-PT"/>
              </w:rPr>
            </w:pPr>
            <w:r w:rsidRPr="00292532">
              <w:rPr>
                <w:rFonts w:eastAsia="Calibri" w:cs="Calibri"/>
                <w:b/>
                <w:noProof/>
                <w:lang w:val="pt-PT"/>
              </w:rPr>
              <w:t>Carla Lina</w:t>
            </w:r>
            <w:r w:rsidRPr="00292532">
              <w:rPr>
                <w:rFonts w:eastAsia="Calibri" w:cs="Calibri"/>
                <w:noProof/>
                <w:lang w:val="pt-PT"/>
              </w:rPr>
              <w:t xml:space="preserve"> – Tecnica do SDPI Meconta.</w:t>
            </w:r>
          </w:p>
        </w:tc>
      </w:tr>
      <w:tr w:rsidR="00706222" w:rsidRPr="004E2EAC" w14:paraId="1C684A0D" w14:textId="77777777" w:rsidTr="00706222">
        <w:trPr>
          <w:trHeight w:val="1074"/>
        </w:trPr>
        <w:tc>
          <w:tcPr>
            <w:tcW w:w="2552" w:type="dxa"/>
            <w:vMerge/>
            <w:tcBorders>
              <w:left w:val="single" w:sz="4" w:space="0" w:color="auto"/>
              <w:bottom w:val="single" w:sz="4" w:space="0" w:color="auto"/>
              <w:right w:val="single" w:sz="4" w:space="0" w:color="auto"/>
            </w:tcBorders>
            <w:vAlign w:val="center"/>
          </w:tcPr>
          <w:p w14:paraId="05C0C4DC" w14:textId="77777777" w:rsidR="00706222" w:rsidRPr="00292532" w:rsidRDefault="00706222" w:rsidP="00706222">
            <w:pPr>
              <w:spacing w:before="0" w:after="0" w:line="276" w:lineRule="auto"/>
              <w:jc w:val="left"/>
              <w:rPr>
                <w:rFonts w:eastAsia="Calibri" w:cs="Calibri"/>
                <w:noProof/>
                <w:lang w:val="pt-PT"/>
              </w:rPr>
            </w:pPr>
          </w:p>
        </w:tc>
        <w:tc>
          <w:tcPr>
            <w:tcW w:w="4937" w:type="dxa"/>
            <w:vMerge/>
            <w:tcBorders>
              <w:left w:val="single" w:sz="4" w:space="0" w:color="auto"/>
              <w:bottom w:val="single" w:sz="4" w:space="0" w:color="auto"/>
              <w:right w:val="single" w:sz="4" w:space="0" w:color="auto"/>
            </w:tcBorders>
            <w:vAlign w:val="center"/>
          </w:tcPr>
          <w:p w14:paraId="4F4CF128" w14:textId="77777777" w:rsidR="00706222" w:rsidRPr="00292532" w:rsidRDefault="00706222" w:rsidP="00706222">
            <w:pPr>
              <w:spacing w:before="0" w:after="0" w:line="276" w:lineRule="auto"/>
              <w:jc w:val="left"/>
              <w:rPr>
                <w:rFonts w:eastAsia="Calibri" w:cs="Calibri"/>
                <w:noProof/>
                <w:lang w:val="pt-PT"/>
              </w:rPr>
            </w:pPr>
          </w:p>
        </w:tc>
        <w:tc>
          <w:tcPr>
            <w:tcW w:w="2268" w:type="dxa"/>
            <w:tcBorders>
              <w:left w:val="single" w:sz="4" w:space="0" w:color="auto"/>
              <w:bottom w:val="single" w:sz="4" w:space="0" w:color="auto"/>
              <w:right w:val="single" w:sz="4" w:space="0" w:color="auto"/>
            </w:tcBorders>
            <w:vAlign w:val="center"/>
          </w:tcPr>
          <w:p w14:paraId="55CC5F13" w14:textId="77777777" w:rsidR="00706222" w:rsidRPr="00292532" w:rsidRDefault="00706222" w:rsidP="00706222">
            <w:pPr>
              <w:spacing w:before="0" w:after="0" w:line="276" w:lineRule="auto"/>
              <w:jc w:val="left"/>
              <w:rPr>
                <w:rFonts w:eastAsia="Calibri" w:cs="Calibri"/>
                <w:noProof/>
                <w:u w:val="single"/>
                <w:lang w:val="pt-PT"/>
              </w:rPr>
            </w:pPr>
          </w:p>
        </w:tc>
      </w:tr>
      <w:tr w:rsidR="00706222" w:rsidRPr="004E2EAC" w14:paraId="5B828606" w14:textId="77777777" w:rsidTr="00706222">
        <w:tc>
          <w:tcPr>
            <w:tcW w:w="2552" w:type="dxa"/>
            <w:tcBorders>
              <w:top w:val="single" w:sz="4" w:space="0" w:color="auto"/>
              <w:left w:val="single" w:sz="4" w:space="0" w:color="auto"/>
              <w:bottom w:val="single" w:sz="4" w:space="0" w:color="auto"/>
              <w:right w:val="single" w:sz="4" w:space="0" w:color="auto"/>
            </w:tcBorders>
            <w:vAlign w:val="center"/>
            <w:hideMark/>
          </w:tcPr>
          <w:p w14:paraId="67ED88A5" w14:textId="77777777" w:rsidR="00706222" w:rsidRPr="00292532" w:rsidRDefault="00706222" w:rsidP="00706222">
            <w:pPr>
              <w:spacing w:before="0" w:after="0" w:line="276" w:lineRule="auto"/>
              <w:jc w:val="left"/>
              <w:rPr>
                <w:rFonts w:eastAsia="Calibri" w:cs="Calibri"/>
                <w:noProof/>
                <w:lang w:val="pt-PT"/>
              </w:rPr>
            </w:pPr>
          </w:p>
          <w:p w14:paraId="1EA01D6D"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Mecanismo de Gestão de Reclamação e conflitos a nível local e recomendação para o projecto.</w:t>
            </w:r>
          </w:p>
        </w:tc>
        <w:tc>
          <w:tcPr>
            <w:tcW w:w="4937" w:type="dxa"/>
            <w:tcBorders>
              <w:top w:val="single" w:sz="4" w:space="0" w:color="auto"/>
              <w:left w:val="single" w:sz="4" w:space="0" w:color="auto"/>
              <w:bottom w:val="single" w:sz="4" w:space="0" w:color="auto"/>
              <w:right w:val="single" w:sz="4" w:space="0" w:color="auto"/>
            </w:tcBorders>
            <w:vAlign w:val="center"/>
          </w:tcPr>
          <w:p w14:paraId="7F959F42"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Na comunidade os conflitos são geridos com os superiores hierarquicos:</w:t>
            </w:r>
          </w:p>
          <w:p w14:paraId="2A0B9DD1" w14:textId="77777777" w:rsidR="00706222" w:rsidRPr="00292532" w:rsidRDefault="00706222" w:rsidP="00AE14AE">
            <w:pPr>
              <w:numPr>
                <w:ilvl w:val="0"/>
                <w:numId w:val="173"/>
              </w:numPr>
              <w:spacing w:before="0" w:after="0" w:line="276" w:lineRule="auto"/>
              <w:contextualSpacing/>
              <w:jc w:val="left"/>
              <w:rPr>
                <w:rFonts w:eastAsia="Calibri" w:cs="Calibri"/>
                <w:noProof/>
                <w:lang w:val="pt-PT"/>
              </w:rPr>
            </w:pPr>
            <w:r w:rsidRPr="00292532">
              <w:rPr>
                <w:rFonts w:eastAsia="Calibri" w:cs="Calibri"/>
                <w:noProof/>
                <w:lang w:val="pt-PT"/>
              </w:rPr>
              <w:t>Líderes comunitarios;</w:t>
            </w:r>
          </w:p>
          <w:p w14:paraId="1AB211B3" w14:textId="77777777" w:rsidR="00706222" w:rsidRPr="00292532" w:rsidRDefault="00706222" w:rsidP="00AE14AE">
            <w:pPr>
              <w:numPr>
                <w:ilvl w:val="0"/>
                <w:numId w:val="173"/>
              </w:numPr>
              <w:spacing w:before="0" w:after="0" w:line="276" w:lineRule="auto"/>
              <w:contextualSpacing/>
              <w:jc w:val="left"/>
              <w:rPr>
                <w:rFonts w:eastAsia="Calibri" w:cs="Calibri"/>
                <w:noProof/>
                <w:lang w:val="pt-PT"/>
              </w:rPr>
            </w:pPr>
            <w:r w:rsidRPr="00292532">
              <w:rPr>
                <w:rFonts w:eastAsia="Calibri" w:cs="Calibri"/>
                <w:noProof/>
                <w:lang w:val="pt-PT"/>
              </w:rPr>
              <w:t>Líderes religiosos, etc</w:t>
            </w:r>
          </w:p>
          <w:p w14:paraId="3C5DD166"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Recomenda-se que o projecto tenha interação directa e constate com as lideranças locais.</w:t>
            </w:r>
          </w:p>
        </w:tc>
        <w:tc>
          <w:tcPr>
            <w:tcW w:w="2268" w:type="dxa"/>
            <w:tcBorders>
              <w:top w:val="single" w:sz="4" w:space="0" w:color="auto"/>
              <w:left w:val="single" w:sz="4" w:space="0" w:color="auto"/>
              <w:bottom w:val="single" w:sz="4" w:space="0" w:color="auto"/>
              <w:right w:val="single" w:sz="4" w:space="0" w:color="auto"/>
            </w:tcBorders>
            <w:vAlign w:val="center"/>
          </w:tcPr>
          <w:p w14:paraId="763719EE"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Adelia</w:t>
            </w:r>
            <w:r w:rsidRPr="00292532">
              <w:rPr>
                <w:rFonts w:eastAsia="Calibri" w:cs="Calibri"/>
                <w:noProof/>
                <w:lang w:val="pt-PT"/>
              </w:rPr>
              <w:t xml:space="preserve"> – Chefe do posto;</w:t>
            </w:r>
          </w:p>
          <w:p w14:paraId="3AEAC489"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Mussa Gaspar</w:t>
            </w:r>
            <w:r w:rsidRPr="00292532">
              <w:rPr>
                <w:rFonts w:eastAsia="Calibri" w:cs="Calibri"/>
                <w:noProof/>
                <w:lang w:val="pt-PT"/>
              </w:rPr>
              <w:t xml:space="preserve"> – Lider do bairro.</w:t>
            </w:r>
          </w:p>
        </w:tc>
      </w:tr>
      <w:tr w:rsidR="00706222" w:rsidRPr="00292532" w14:paraId="75151745" w14:textId="77777777" w:rsidTr="00706222">
        <w:trPr>
          <w:trHeight w:val="1057"/>
        </w:trPr>
        <w:tc>
          <w:tcPr>
            <w:tcW w:w="2552" w:type="dxa"/>
            <w:vMerge w:val="restart"/>
            <w:tcBorders>
              <w:top w:val="single" w:sz="4" w:space="0" w:color="auto"/>
              <w:left w:val="single" w:sz="4" w:space="0" w:color="auto"/>
              <w:right w:val="single" w:sz="4" w:space="0" w:color="auto"/>
            </w:tcBorders>
            <w:vAlign w:val="center"/>
            <w:hideMark/>
          </w:tcPr>
          <w:p w14:paraId="395C6E3F" w14:textId="77777777" w:rsidR="00706222" w:rsidRPr="00292532" w:rsidRDefault="00706222" w:rsidP="00706222">
            <w:pPr>
              <w:spacing w:before="0" w:after="0" w:line="259" w:lineRule="auto"/>
              <w:jc w:val="left"/>
              <w:rPr>
                <w:rFonts w:eastAsia="Calibri" w:cs="Calibri"/>
                <w:b/>
                <w:bCs/>
                <w:noProof/>
                <w:lang w:val="pt-PT"/>
              </w:rPr>
            </w:pPr>
            <w:r w:rsidRPr="00292532">
              <w:rPr>
                <w:rFonts w:eastAsia="Calibri" w:cs="Calibri"/>
                <w:b/>
                <w:bCs/>
                <w:noProof/>
                <w:lang w:val="pt-PT"/>
              </w:rPr>
              <w:t>Aspectos importantes a salvaguardar durante a execução do projecto.</w:t>
            </w:r>
          </w:p>
          <w:p w14:paraId="29FE271A" w14:textId="77777777" w:rsidR="00706222" w:rsidRPr="00292532" w:rsidRDefault="00706222" w:rsidP="00706222">
            <w:pPr>
              <w:spacing w:before="0" w:after="0" w:line="276" w:lineRule="auto"/>
              <w:jc w:val="left"/>
              <w:rPr>
                <w:rFonts w:eastAsia="Calibri" w:cs="Calibri"/>
                <w:noProof/>
                <w:lang w:val="pt-PT"/>
              </w:rPr>
            </w:pPr>
          </w:p>
        </w:tc>
        <w:tc>
          <w:tcPr>
            <w:tcW w:w="4937" w:type="dxa"/>
            <w:vMerge w:val="restart"/>
            <w:tcBorders>
              <w:top w:val="single" w:sz="4" w:space="0" w:color="auto"/>
              <w:left w:val="single" w:sz="4" w:space="0" w:color="auto"/>
              <w:right w:val="single" w:sz="4" w:space="0" w:color="auto"/>
            </w:tcBorders>
            <w:vAlign w:val="center"/>
          </w:tcPr>
          <w:p w14:paraId="162EDD79" w14:textId="77777777" w:rsidR="00706222" w:rsidRPr="00292532" w:rsidRDefault="00706222" w:rsidP="00AE14AE">
            <w:pPr>
              <w:numPr>
                <w:ilvl w:val="0"/>
                <w:numId w:val="174"/>
              </w:numPr>
              <w:spacing w:before="0" w:after="0" w:line="276" w:lineRule="auto"/>
              <w:contextualSpacing/>
              <w:jc w:val="left"/>
              <w:rPr>
                <w:rFonts w:eastAsia="Calibri" w:cs="Calibri"/>
                <w:noProof/>
                <w:lang w:val="pt-PT"/>
              </w:rPr>
            </w:pPr>
            <w:r w:rsidRPr="00292532">
              <w:rPr>
                <w:rFonts w:eastAsia="Calibri" w:cs="Calibri"/>
                <w:noProof/>
                <w:lang w:val="pt-PT"/>
              </w:rPr>
              <w:t>Preservar as machambas dos membros das comunidades onde tenham produtos;</w:t>
            </w:r>
          </w:p>
          <w:p w14:paraId="1EF33A4F" w14:textId="77777777" w:rsidR="00706222" w:rsidRPr="00292532" w:rsidRDefault="00706222" w:rsidP="00AE14AE">
            <w:pPr>
              <w:numPr>
                <w:ilvl w:val="0"/>
                <w:numId w:val="174"/>
              </w:numPr>
              <w:spacing w:before="0" w:after="0" w:line="276" w:lineRule="auto"/>
              <w:contextualSpacing/>
              <w:jc w:val="left"/>
              <w:rPr>
                <w:rFonts w:eastAsia="Calibri" w:cs="Calibri"/>
                <w:noProof/>
                <w:lang w:val="pt-PT"/>
              </w:rPr>
            </w:pPr>
            <w:r w:rsidRPr="00292532">
              <w:rPr>
                <w:rFonts w:eastAsia="Calibri" w:cs="Calibri"/>
                <w:noProof/>
                <w:lang w:val="pt-PT"/>
              </w:rPr>
              <w:t>Envolver activamente a comunidade na execução do projecto.</w:t>
            </w:r>
          </w:p>
        </w:tc>
        <w:tc>
          <w:tcPr>
            <w:tcW w:w="2268" w:type="dxa"/>
            <w:tcBorders>
              <w:top w:val="single" w:sz="4" w:space="0" w:color="auto"/>
              <w:left w:val="single" w:sz="4" w:space="0" w:color="auto"/>
              <w:right w:val="single" w:sz="4" w:space="0" w:color="auto"/>
            </w:tcBorders>
            <w:vAlign w:val="center"/>
          </w:tcPr>
          <w:p w14:paraId="7410A9E2"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Ancha Abudo</w:t>
            </w:r>
            <w:r w:rsidRPr="00292532">
              <w:rPr>
                <w:rFonts w:eastAsia="Calibri" w:cs="Calibri"/>
                <w:noProof/>
                <w:lang w:val="pt-PT"/>
              </w:rPr>
              <w:t xml:space="preserve"> – Residente;</w:t>
            </w:r>
          </w:p>
          <w:p w14:paraId="3E52445A" w14:textId="77777777" w:rsidR="00706222" w:rsidRPr="00292532" w:rsidRDefault="00706222" w:rsidP="00706222">
            <w:pPr>
              <w:spacing w:before="0" w:after="0" w:line="276" w:lineRule="auto"/>
              <w:jc w:val="left"/>
              <w:rPr>
                <w:rFonts w:eastAsia="Calibri" w:cs="Calibri"/>
                <w:noProof/>
                <w:lang w:val="pt-PT"/>
              </w:rPr>
            </w:pPr>
          </w:p>
        </w:tc>
      </w:tr>
      <w:tr w:rsidR="00706222" w:rsidRPr="00292532" w14:paraId="022E0C47" w14:textId="77777777" w:rsidTr="00706222">
        <w:trPr>
          <w:trHeight w:val="611"/>
        </w:trPr>
        <w:tc>
          <w:tcPr>
            <w:tcW w:w="2552" w:type="dxa"/>
            <w:vMerge/>
            <w:tcBorders>
              <w:left w:val="single" w:sz="4" w:space="0" w:color="auto"/>
              <w:bottom w:val="single" w:sz="4" w:space="0" w:color="auto"/>
              <w:right w:val="single" w:sz="4" w:space="0" w:color="auto"/>
            </w:tcBorders>
            <w:vAlign w:val="center"/>
          </w:tcPr>
          <w:p w14:paraId="452AA575" w14:textId="77777777" w:rsidR="00706222" w:rsidRPr="00292532" w:rsidRDefault="00706222" w:rsidP="00706222">
            <w:pPr>
              <w:spacing w:before="0" w:after="0" w:line="276" w:lineRule="auto"/>
              <w:jc w:val="left"/>
              <w:rPr>
                <w:rFonts w:eastAsia="Calibri" w:cs="Calibri"/>
                <w:noProof/>
                <w:lang w:val="pt-PT"/>
              </w:rPr>
            </w:pPr>
          </w:p>
        </w:tc>
        <w:tc>
          <w:tcPr>
            <w:tcW w:w="4937" w:type="dxa"/>
            <w:vMerge/>
            <w:tcBorders>
              <w:left w:val="single" w:sz="4" w:space="0" w:color="auto"/>
              <w:bottom w:val="single" w:sz="4" w:space="0" w:color="auto"/>
              <w:right w:val="single" w:sz="4" w:space="0" w:color="auto"/>
            </w:tcBorders>
            <w:vAlign w:val="center"/>
          </w:tcPr>
          <w:p w14:paraId="101A48DB" w14:textId="77777777" w:rsidR="00706222" w:rsidRPr="00292532" w:rsidRDefault="00706222" w:rsidP="00706222">
            <w:pPr>
              <w:spacing w:before="0" w:after="0" w:line="276" w:lineRule="auto"/>
              <w:jc w:val="left"/>
              <w:rPr>
                <w:rFonts w:eastAsia="Calibri" w:cs="Calibri"/>
                <w:noProof/>
                <w:lang w:val="pt-PT"/>
              </w:rPr>
            </w:pPr>
          </w:p>
        </w:tc>
        <w:tc>
          <w:tcPr>
            <w:tcW w:w="2268" w:type="dxa"/>
            <w:tcBorders>
              <w:left w:val="single" w:sz="4" w:space="0" w:color="auto"/>
              <w:bottom w:val="single" w:sz="4" w:space="0" w:color="auto"/>
              <w:right w:val="single" w:sz="4" w:space="0" w:color="auto"/>
            </w:tcBorders>
            <w:vAlign w:val="center"/>
          </w:tcPr>
          <w:p w14:paraId="5B69BABF" w14:textId="77777777" w:rsidR="00706222" w:rsidRPr="00292532" w:rsidRDefault="00706222" w:rsidP="00706222">
            <w:pPr>
              <w:spacing w:before="0" w:after="0" w:line="276" w:lineRule="auto"/>
              <w:jc w:val="left"/>
              <w:rPr>
                <w:rFonts w:eastAsia="Calibri" w:cs="Calibri"/>
                <w:noProof/>
                <w:lang w:val="pt-PT"/>
              </w:rPr>
            </w:pPr>
          </w:p>
        </w:tc>
      </w:tr>
      <w:tr w:rsidR="00706222" w:rsidRPr="004E2EAC" w14:paraId="33A38695" w14:textId="77777777" w:rsidTr="00706222">
        <w:tc>
          <w:tcPr>
            <w:tcW w:w="2552" w:type="dxa"/>
            <w:tcBorders>
              <w:top w:val="single" w:sz="4" w:space="0" w:color="auto"/>
              <w:left w:val="single" w:sz="4" w:space="0" w:color="auto"/>
              <w:bottom w:val="single" w:sz="4" w:space="0" w:color="auto"/>
              <w:right w:val="single" w:sz="4" w:space="0" w:color="auto"/>
            </w:tcBorders>
            <w:vAlign w:val="center"/>
            <w:hideMark/>
          </w:tcPr>
          <w:p w14:paraId="3B99BFEF"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bCs/>
                <w:noProof/>
                <w:lang w:val="pt-PT"/>
              </w:rPr>
              <w:t>Recrutamento de Mão-de-Obra.</w:t>
            </w:r>
          </w:p>
        </w:tc>
        <w:tc>
          <w:tcPr>
            <w:tcW w:w="4937" w:type="dxa"/>
            <w:tcBorders>
              <w:top w:val="single" w:sz="4" w:space="0" w:color="auto"/>
              <w:left w:val="single" w:sz="4" w:space="0" w:color="auto"/>
              <w:bottom w:val="single" w:sz="4" w:space="0" w:color="auto"/>
              <w:right w:val="single" w:sz="4" w:space="0" w:color="auto"/>
            </w:tcBorders>
            <w:vAlign w:val="center"/>
          </w:tcPr>
          <w:p w14:paraId="1464F9E3"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Deve se priorizar o recrutamento da mao-de-obra local.</w:t>
            </w:r>
          </w:p>
          <w:p w14:paraId="00D33D94"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O lider da comunidade pode inscrever potenciais candidatos jovens e entregar os empreiteiros.</w:t>
            </w:r>
          </w:p>
        </w:tc>
        <w:tc>
          <w:tcPr>
            <w:tcW w:w="2268" w:type="dxa"/>
            <w:tcBorders>
              <w:top w:val="single" w:sz="4" w:space="0" w:color="auto"/>
              <w:left w:val="single" w:sz="4" w:space="0" w:color="auto"/>
              <w:bottom w:val="single" w:sz="4" w:space="0" w:color="auto"/>
              <w:right w:val="single" w:sz="4" w:space="0" w:color="auto"/>
            </w:tcBorders>
            <w:vAlign w:val="center"/>
          </w:tcPr>
          <w:p w14:paraId="42EE0E83"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Mussa Gaspar</w:t>
            </w:r>
            <w:r w:rsidRPr="00292532">
              <w:rPr>
                <w:rFonts w:eastAsia="Calibri" w:cs="Calibri"/>
                <w:noProof/>
                <w:lang w:val="pt-PT"/>
              </w:rPr>
              <w:t xml:space="preserve"> – Secretário do Bairro;</w:t>
            </w:r>
          </w:p>
          <w:p w14:paraId="41AF96D3"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Rosario Augusto</w:t>
            </w:r>
            <w:r w:rsidRPr="00292532">
              <w:rPr>
                <w:rFonts w:eastAsia="Calibri" w:cs="Calibri"/>
                <w:noProof/>
                <w:lang w:val="pt-PT"/>
              </w:rPr>
              <w:t xml:space="preserve"> – Presidente do comité de água;</w:t>
            </w:r>
          </w:p>
          <w:p w14:paraId="0839FCCA" w14:textId="77777777" w:rsidR="00706222" w:rsidRPr="00292532" w:rsidRDefault="00706222" w:rsidP="00706222">
            <w:pPr>
              <w:spacing w:before="0" w:after="0" w:line="276" w:lineRule="auto"/>
              <w:jc w:val="left"/>
              <w:rPr>
                <w:rFonts w:eastAsia="Calibri" w:cs="Calibri"/>
                <w:noProof/>
                <w:lang w:val="pt-PT"/>
              </w:rPr>
            </w:pPr>
          </w:p>
        </w:tc>
      </w:tr>
      <w:tr w:rsidR="00706222" w:rsidRPr="00292532" w14:paraId="6C0A6765" w14:textId="77777777" w:rsidTr="00706222">
        <w:trPr>
          <w:trHeight w:val="745"/>
        </w:trPr>
        <w:tc>
          <w:tcPr>
            <w:tcW w:w="2552" w:type="dxa"/>
            <w:tcBorders>
              <w:top w:val="single" w:sz="4" w:space="0" w:color="auto"/>
              <w:left w:val="single" w:sz="4" w:space="0" w:color="auto"/>
              <w:bottom w:val="single" w:sz="4" w:space="0" w:color="auto"/>
              <w:right w:val="single" w:sz="4" w:space="0" w:color="auto"/>
            </w:tcBorders>
            <w:vAlign w:val="center"/>
            <w:hideMark/>
          </w:tcPr>
          <w:p w14:paraId="236EDA9F"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bCs/>
                <w:noProof/>
                <w:lang w:val="pt-PT"/>
              </w:rPr>
              <w:t>Nível de interacção entre o empreiteiro e a comunidade.</w:t>
            </w:r>
          </w:p>
        </w:tc>
        <w:tc>
          <w:tcPr>
            <w:tcW w:w="4937" w:type="dxa"/>
            <w:tcBorders>
              <w:top w:val="single" w:sz="4" w:space="0" w:color="auto"/>
              <w:left w:val="single" w:sz="4" w:space="0" w:color="auto"/>
              <w:bottom w:val="single" w:sz="4" w:space="0" w:color="auto"/>
              <w:right w:val="single" w:sz="4" w:space="0" w:color="auto"/>
            </w:tcBorders>
            <w:vAlign w:val="center"/>
          </w:tcPr>
          <w:p w14:paraId="6EC5CD17"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No caso da execução do projecto a interação entre o empreteiro e a lideranca da comunidade deve ser muito activa.</w:t>
            </w:r>
          </w:p>
        </w:tc>
        <w:tc>
          <w:tcPr>
            <w:tcW w:w="2268" w:type="dxa"/>
            <w:tcBorders>
              <w:top w:val="single" w:sz="4" w:space="0" w:color="auto"/>
              <w:left w:val="single" w:sz="4" w:space="0" w:color="auto"/>
              <w:bottom w:val="single" w:sz="4" w:space="0" w:color="auto"/>
              <w:right w:val="single" w:sz="4" w:space="0" w:color="auto"/>
            </w:tcBorders>
            <w:vAlign w:val="center"/>
          </w:tcPr>
          <w:p w14:paraId="3559E890"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Mussa Gaspar</w:t>
            </w:r>
            <w:r w:rsidRPr="00292532">
              <w:rPr>
                <w:rFonts w:eastAsia="Calibri" w:cs="Calibri"/>
                <w:noProof/>
                <w:lang w:val="pt-PT"/>
              </w:rPr>
              <w:t xml:space="preserve"> – Secretário do Bairro</w:t>
            </w:r>
          </w:p>
          <w:p w14:paraId="553BA3DE" w14:textId="77777777" w:rsidR="00706222" w:rsidRPr="00292532" w:rsidRDefault="00706222" w:rsidP="00706222">
            <w:pPr>
              <w:spacing w:before="0" w:after="0" w:line="276" w:lineRule="auto"/>
              <w:jc w:val="left"/>
              <w:rPr>
                <w:rFonts w:eastAsia="Calibri" w:cs="Calibri"/>
                <w:noProof/>
                <w:u w:val="single"/>
                <w:lang w:val="pt-PT"/>
              </w:rPr>
            </w:pPr>
          </w:p>
        </w:tc>
      </w:tr>
      <w:tr w:rsidR="00706222" w:rsidRPr="00292532" w14:paraId="133F0D9C" w14:textId="77777777" w:rsidTr="00706222">
        <w:tc>
          <w:tcPr>
            <w:tcW w:w="2552" w:type="dxa"/>
            <w:tcBorders>
              <w:top w:val="single" w:sz="4" w:space="0" w:color="auto"/>
              <w:left w:val="single" w:sz="4" w:space="0" w:color="auto"/>
              <w:bottom w:val="single" w:sz="4" w:space="0" w:color="auto"/>
              <w:right w:val="single" w:sz="4" w:space="0" w:color="auto"/>
            </w:tcBorders>
            <w:vAlign w:val="center"/>
            <w:hideMark/>
          </w:tcPr>
          <w:p w14:paraId="662D6F2C"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bCs/>
                <w:noProof/>
                <w:lang w:val="pt-PT"/>
              </w:rPr>
              <w:t>Preocupações ou recomendações adicionais a apresentar.</w:t>
            </w:r>
          </w:p>
        </w:tc>
        <w:tc>
          <w:tcPr>
            <w:tcW w:w="4937" w:type="dxa"/>
            <w:tcBorders>
              <w:top w:val="single" w:sz="4" w:space="0" w:color="auto"/>
              <w:left w:val="single" w:sz="4" w:space="0" w:color="auto"/>
              <w:bottom w:val="single" w:sz="4" w:space="0" w:color="auto"/>
              <w:right w:val="single" w:sz="4" w:space="0" w:color="auto"/>
            </w:tcBorders>
            <w:vAlign w:val="center"/>
          </w:tcPr>
          <w:p w14:paraId="780ED0F5" w14:textId="77777777" w:rsidR="00706222" w:rsidRPr="00292532" w:rsidRDefault="00706222" w:rsidP="00706222">
            <w:pPr>
              <w:spacing w:before="0" w:line="360" w:lineRule="auto"/>
              <w:rPr>
                <w:rFonts w:eastAsia="Calibri" w:cs="Calibri"/>
                <w:noProof/>
                <w:szCs w:val="24"/>
                <w:lang w:val="pt-PT"/>
              </w:rPr>
            </w:pPr>
            <w:r w:rsidRPr="00292532">
              <w:rPr>
                <w:rFonts w:eastAsia="Calibri" w:cs="Calibri"/>
                <w:noProof/>
                <w:szCs w:val="24"/>
                <w:lang w:val="pt-PT"/>
              </w:rPr>
              <w:t>Em qualquer actividade que ira se realizar na nossa comunidade gostaríamos que os empreiteiros viessem antecipar pelo menos ao líder comunitário.</w:t>
            </w:r>
          </w:p>
          <w:p w14:paraId="6B734F5F" w14:textId="77777777" w:rsidR="00706222" w:rsidRPr="00292532" w:rsidRDefault="00706222" w:rsidP="00706222">
            <w:pPr>
              <w:spacing w:before="0" w:line="360" w:lineRule="auto"/>
              <w:rPr>
                <w:rFonts w:eastAsia="Calibri" w:cs="Calibri"/>
                <w:noProof/>
                <w:szCs w:val="24"/>
                <w:lang w:val="pt-PT"/>
              </w:rPr>
            </w:pPr>
            <w:r w:rsidRPr="00292532">
              <w:rPr>
                <w:rFonts w:eastAsia="Calibri" w:cs="Calibri"/>
                <w:noProof/>
                <w:szCs w:val="24"/>
                <w:lang w:val="pt-PT"/>
              </w:rPr>
              <w:lastRenderedPageBreak/>
              <w:t>E gostaríamos que contratassem alguns jovem para fazerem parte das actividades.</w:t>
            </w:r>
          </w:p>
        </w:tc>
        <w:tc>
          <w:tcPr>
            <w:tcW w:w="2268" w:type="dxa"/>
            <w:tcBorders>
              <w:top w:val="single" w:sz="4" w:space="0" w:color="auto"/>
              <w:left w:val="single" w:sz="4" w:space="0" w:color="auto"/>
              <w:bottom w:val="single" w:sz="4" w:space="0" w:color="auto"/>
              <w:right w:val="single" w:sz="4" w:space="0" w:color="auto"/>
            </w:tcBorders>
            <w:vAlign w:val="center"/>
          </w:tcPr>
          <w:p w14:paraId="41B8DFD4"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lastRenderedPageBreak/>
              <w:t>Mussa Gaspar</w:t>
            </w:r>
            <w:r w:rsidRPr="00292532">
              <w:rPr>
                <w:rFonts w:eastAsia="Calibri" w:cs="Calibri"/>
                <w:noProof/>
                <w:lang w:val="pt-PT"/>
              </w:rPr>
              <w:t xml:space="preserve"> – Secretário do Bairro</w:t>
            </w:r>
          </w:p>
          <w:p w14:paraId="6C6FACA4" w14:textId="77777777" w:rsidR="00706222" w:rsidRPr="00292532" w:rsidRDefault="00706222" w:rsidP="00706222">
            <w:pPr>
              <w:spacing w:before="0" w:after="0" w:line="276" w:lineRule="auto"/>
              <w:jc w:val="left"/>
              <w:rPr>
                <w:rFonts w:eastAsia="Calibri" w:cs="Calibri"/>
                <w:noProof/>
                <w:u w:val="single"/>
                <w:lang w:val="pt-PT"/>
              </w:rPr>
            </w:pPr>
          </w:p>
        </w:tc>
      </w:tr>
      <w:tr w:rsidR="00706222" w:rsidRPr="00292532" w14:paraId="56F248BB"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74F9E13A"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Problemas de Abastecimento de água existentes? Actuas fontes de Abastecimento de Água?</w:t>
            </w:r>
          </w:p>
        </w:tc>
        <w:tc>
          <w:tcPr>
            <w:tcW w:w="4937" w:type="dxa"/>
            <w:tcBorders>
              <w:top w:val="single" w:sz="4" w:space="0" w:color="auto"/>
              <w:left w:val="single" w:sz="4" w:space="0" w:color="auto"/>
              <w:bottom w:val="single" w:sz="4" w:space="0" w:color="auto"/>
              <w:right w:val="single" w:sz="4" w:space="0" w:color="auto"/>
            </w:tcBorders>
            <w:vAlign w:val="center"/>
          </w:tcPr>
          <w:p w14:paraId="314259D2" w14:textId="77777777" w:rsidR="00706222" w:rsidRPr="00292532" w:rsidRDefault="00706222" w:rsidP="00AE14AE">
            <w:pPr>
              <w:numPr>
                <w:ilvl w:val="0"/>
                <w:numId w:val="175"/>
              </w:numPr>
              <w:spacing w:before="0" w:after="0" w:line="276" w:lineRule="auto"/>
              <w:contextualSpacing/>
              <w:jc w:val="left"/>
              <w:rPr>
                <w:rFonts w:eastAsia="Calibri" w:cs="Calibri"/>
                <w:noProof/>
                <w:lang w:val="pt-PT"/>
              </w:rPr>
            </w:pPr>
            <w:r w:rsidRPr="00292532">
              <w:rPr>
                <w:rFonts w:eastAsia="Calibri" w:cs="Calibri"/>
                <w:noProof/>
                <w:lang w:val="pt-PT"/>
              </w:rPr>
              <w:t>Pouca quantidade de água existente nos furos;</w:t>
            </w:r>
          </w:p>
          <w:p w14:paraId="597C888E" w14:textId="77777777" w:rsidR="00706222" w:rsidRPr="00292532" w:rsidRDefault="00706222" w:rsidP="00AE14AE">
            <w:pPr>
              <w:numPr>
                <w:ilvl w:val="0"/>
                <w:numId w:val="175"/>
              </w:numPr>
              <w:spacing w:before="0" w:after="0" w:line="276" w:lineRule="auto"/>
              <w:contextualSpacing/>
              <w:jc w:val="left"/>
              <w:rPr>
                <w:rFonts w:eastAsia="Calibri" w:cs="Calibri"/>
                <w:noProof/>
                <w:lang w:val="pt-PT"/>
              </w:rPr>
            </w:pPr>
            <w:r w:rsidRPr="00292532">
              <w:rPr>
                <w:rFonts w:eastAsia="Calibri" w:cs="Calibri"/>
                <w:noProof/>
                <w:lang w:val="pt-PT"/>
              </w:rPr>
              <w:t>Reduzido número de furos e elevado número de usuarios;</w:t>
            </w:r>
          </w:p>
          <w:p w14:paraId="198FA36E" w14:textId="77777777" w:rsidR="00706222" w:rsidRPr="00292532" w:rsidRDefault="00706222" w:rsidP="00AE14AE">
            <w:pPr>
              <w:numPr>
                <w:ilvl w:val="0"/>
                <w:numId w:val="175"/>
              </w:numPr>
              <w:spacing w:before="0" w:after="0" w:line="276" w:lineRule="auto"/>
              <w:contextualSpacing/>
              <w:jc w:val="left"/>
              <w:rPr>
                <w:rFonts w:eastAsia="Calibri" w:cs="Calibri"/>
                <w:noProof/>
                <w:lang w:val="pt-PT"/>
              </w:rPr>
            </w:pPr>
            <w:r w:rsidRPr="00292532">
              <w:rPr>
                <w:rFonts w:eastAsia="Calibri" w:cs="Calibri"/>
                <w:noProof/>
                <w:lang w:val="pt-PT"/>
              </w:rPr>
              <w:t>Constantes avarias nas bombas manuais dos furos.</w:t>
            </w:r>
          </w:p>
          <w:p w14:paraId="367D5F65" w14:textId="77777777" w:rsidR="00706222" w:rsidRPr="00292532" w:rsidRDefault="00706222" w:rsidP="00AE14AE">
            <w:pPr>
              <w:numPr>
                <w:ilvl w:val="0"/>
                <w:numId w:val="175"/>
              </w:numPr>
              <w:spacing w:before="0" w:after="0" w:line="276" w:lineRule="auto"/>
              <w:contextualSpacing/>
              <w:jc w:val="left"/>
              <w:rPr>
                <w:rFonts w:eastAsia="Calibri" w:cs="Calibri"/>
                <w:noProof/>
                <w:lang w:val="pt-PT"/>
              </w:rPr>
            </w:pPr>
            <w:r w:rsidRPr="00292532">
              <w:rPr>
                <w:rFonts w:eastAsia="Calibri" w:cs="Calibri"/>
                <w:noProof/>
                <w:lang w:val="pt-PT"/>
              </w:rPr>
              <w:t>Alguns fontanarios com bombas manuais, pocos tradicionais e pequenos operadores privados.</w:t>
            </w:r>
          </w:p>
        </w:tc>
        <w:tc>
          <w:tcPr>
            <w:tcW w:w="2268" w:type="dxa"/>
            <w:tcBorders>
              <w:top w:val="single" w:sz="4" w:space="0" w:color="auto"/>
              <w:left w:val="single" w:sz="4" w:space="0" w:color="auto"/>
              <w:bottom w:val="single" w:sz="4" w:space="0" w:color="auto"/>
              <w:right w:val="single" w:sz="4" w:space="0" w:color="auto"/>
            </w:tcBorders>
            <w:vAlign w:val="center"/>
          </w:tcPr>
          <w:p w14:paraId="02C17485"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Rosario Augusto</w:t>
            </w:r>
            <w:r w:rsidRPr="00292532">
              <w:rPr>
                <w:rFonts w:eastAsia="Calibri" w:cs="Calibri"/>
                <w:noProof/>
                <w:lang w:val="pt-PT"/>
              </w:rPr>
              <w:t xml:space="preserve"> – presidente do comité de água;</w:t>
            </w:r>
          </w:p>
          <w:p w14:paraId="529FC917"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Cesario</w:t>
            </w:r>
            <w:r w:rsidRPr="00292532">
              <w:rPr>
                <w:rFonts w:eastAsia="Calibri" w:cs="Calibri"/>
                <w:noProof/>
                <w:lang w:val="pt-PT"/>
              </w:rPr>
              <w:t xml:space="preserve"> – SDPI.</w:t>
            </w:r>
          </w:p>
        </w:tc>
      </w:tr>
      <w:tr w:rsidR="00706222" w:rsidRPr="004E2EAC" w14:paraId="10E900F5"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27DD0274"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Beneficios da água de boa qualidade ?</w:t>
            </w:r>
          </w:p>
        </w:tc>
        <w:tc>
          <w:tcPr>
            <w:tcW w:w="4937" w:type="dxa"/>
            <w:tcBorders>
              <w:top w:val="single" w:sz="4" w:space="0" w:color="auto"/>
              <w:left w:val="single" w:sz="4" w:space="0" w:color="auto"/>
              <w:bottom w:val="single" w:sz="4" w:space="0" w:color="auto"/>
              <w:right w:val="single" w:sz="4" w:space="0" w:color="auto"/>
            </w:tcBorders>
            <w:vAlign w:val="center"/>
          </w:tcPr>
          <w:p w14:paraId="64B3F1C8" w14:textId="77777777" w:rsidR="00706222" w:rsidRPr="00292532" w:rsidRDefault="00706222" w:rsidP="00AE14AE">
            <w:pPr>
              <w:numPr>
                <w:ilvl w:val="0"/>
                <w:numId w:val="176"/>
              </w:numPr>
              <w:spacing w:before="0" w:after="0" w:line="276" w:lineRule="auto"/>
              <w:contextualSpacing/>
              <w:jc w:val="left"/>
              <w:rPr>
                <w:rFonts w:eastAsia="Calibri" w:cs="Calibri"/>
                <w:noProof/>
                <w:lang w:val="pt-PT"/>
              </w:rPr>
            </w:pPr>
            <w:r w:rsidRPr="00292532">
              <w:rPr>
                <w:rFonts w:eastAsia="Calibri" w:cs="Calibri"/>
                <w:noProof/>
                <w:lang w:val="pt-PT"/>
              </w:rPr>
              <w:t>Reduz as doencas provocadas pelo consumo de água impropria;</w:t>
            </w:r>
          </w:p>
          <w:p w14:paraId="664F7718" w14:textId="77777777" w:rsidR="00706222" w:rsidRPr="00292532" w:rsidRDefault="00706222" w:rsidP="00AE14AE">
            <w:pPr>
              <w:numPr>
                <w:ilvl w:val="0"/>
                <w:numId w:val="176"/>
              </w:numPr>
              <w:spacing w:before="0" w:after="0" w:line="276" w:lineRule="auto"/>
              <w:contextualSpacing/>
              <w:jc w:val="left"/>
              <w:rPr>
                <w:rFonts w:eastAsia="Calibri" w:cs="Calibri"/>
                <w:noProof/>
                <w:lang w:val="pt-PT"/>
              </w:rPr>
            </w:pPr>
            <w:r w:rsidRPr="00292532">
              <w:rPr>
                <w:rFonts w:eastAsia="Calibri" w:cs="Calibri"/>
                <w:noProof/>
                <w:lang w:val="pt-PT"/>
              </w:rPr>
              <w:t>A saúde da população controlada por consumo e uso de água própria , visto que a água é essencial para diversas funçõess do corpo.</w:t>
            </w:r>
          </w:p>
        </w:tc>
        <w:tc>
          <w:tcPr>
            <w:tcW w:w="2268" w:type="dxa"/>
            <w:tcBorders>
              <w:top w:val="single" w:sz="4" w:space="0" w:color="auto"/>
              <w:left w:val="single" w:sz="4" w:space="0" w:color="auto"/>
              <w:bottom w:val="single" w:sz="4" w:space="0" w:color="auto"/>
              <w:right w:val="single" w:sz="4" w:space="0" w:color="auto"/>
            </w:tcBorders>
            <w:vAlign w:val="center"/>
          </w:tcPr>
          <w:p w14:paraId="1198D413"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Milton Jose</w:t>
            </w:r>
            <w:r w:rsidRPr="00292532">
              <w:rPr>
                <w:rFonts w:eastAsia="Calibri" w:cs="Calibri"/>
                <w:noProof/>
                <w:lang w:val="pt-PT"/>
              </w:rPr>
              <w:t xml:space="preserve"> – Residente;</w:t>
            </w:r>
          </w:p>
          <w:p w14:paraId="2F0C9626" w14:textId="77777777" w:rsidR="00706222" w:rsidRPr="00292532" w:rsidRDefault="00706222" w:rsidP="00706222">
            <w:pPr>
              <w:spacing w:before="0" w:after="0" w:line="276" w:lineRule="auto"/>
              <w:jc w:val="left"/>
              <w:rPr>
                <w:rFonts w:eastAsia="Calibri" w:cs="Calibri"/>
                <w:noProof/>
                <w:u w:val="single"/>
                <w:lang w:val="pt-PT"/>
              </w:rPr>
            </w:pPr>
            <w:r w:rsidRPr="00292532">
              <w:rPr>
                <w:rFonts w:eastAsia="Calibri" w:cs="Calibri"/>
                <w:b/>
                <w:noProof/>
                <w:lang w:val="pt-PT"/>
              </w:rPr>
              <w:t>Momade</w:t>
            </w:r>
            <w:r w:rsidRPr="00292532">
              <w:rPr>
                <w:rFonts w:eastAsia="Calibri" w:cs="Calibri"/>
                <w:noProof/>
                <w:lang w:val="pt-PT"/>
              </w:rPr>
              <w:t xml:space="preserve"> – Membro do comité de água</w:t>
            </w:r>
            <w:r w:rsidRPr="00292532">
              <w:rPr>
                <w:rFonts w:eastAsia="Calibri" w:cs="Calibri"/>
                <w:noProof/>
                <w:u w:val="single"/>
                <w:lang w:val="pt-PT"/>
              </w:rPr>
              <w:t>.</w:t>
            </w:r>
          </w:p>
        </w:tc>
      </w:tr>
      <w:tr w:rsidR="00706222" w:rsidRPr="004E2EAC" w14:paraId="70E05B18"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55D65F9D"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Situação do saneamento actual?</w:t>
            </w:r>
          </w:p>
        </w:tc>
        <w:tc>
          <w:tcPr>
            <w:tcW w:w="4937" w:type="dxa"/>
            <w:tcBorders>
              <w:top w:val="single" w:sz="4" w:space="0" w:color="auto"/>
              <w:left w:val="single" w:sz="4" w:space="0" w:color="auto"/>
              <w:bottom w:val="single" w:sz="4" w:space="0" w:color="auto"/>
              <w:right w:val="single" w:sz="4" w:space="0" w:color="auto"/>
            </w:tcBorders>
            <w:vAlign w:val="center"/>
          </w:tcPr>
          <w:p w14:paraId="1C1EF51C"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A situação de saneamento publico e domestico de Namialo esta razoavel, porque verifica-se o seguinte:</w:t>
            </w:r>
          </w:p>
          <w:p w14:paraId="6AADFC4D" w14:textId="77777777" w:rsidR="00706222" w:rsidRPr="00292532" w:rsidRDefault="00706222" w:rsidP="00AE14AE">
            <w:pPr>
              <w:numPr>
                <w:ilvl w:val="0"/>
                <w:numId w:val="177"/>
              </w:numPr>
              <w:spacing w:before="0" w:after="0" w:line="276" w:lineRule="auto"/>
              <w:contextualSpacing/>
              <w:jc w:val="left"/>
              <w:rPr>
                <w:rFonts w:eastAsia="Calibri" w:cs="Calibri"/>
                <w:noProof/>
                <w:lang w:val="pt-PT"/>
              </w:rPr>
            </w:pPr>
            <w:r w:rsidRPr="00292532">
              <w:rPr>
                <w:rFonts w:eastAsia="Calibri" w:cs="Calibri"/>
                <w:noProof/>
                <w:lang w:val="pt-PT"/>
              </w:rPr>
              <w:t>Pouco fecalismo ao ceu aberto;</w:t>
            </w:r>
          </w:p>
          <w:p w14:paraId="2FB4FA9A" w14:textId="77777777" w:rsidR="00706222" w:rsidRPr="00292532" w:rsidRDefault="00706222" w:rsidP="00AE14AE">
            <w:pPr>
              <w:numPr>
                <w:ilvl w:val="0"/>
                <w:numId w:val="177"/>
              </w:numPr>
              <w:spacing w:before="0" w:after="0" w:line="276" w:lineRule="auto"/>
              <w:contextualSpacing/>
              <w:jc w:val="left"/>
              <w:rPr>
                <w:rFonts w:eastAsia="Calibri" w:cs="Calibri"/>
                <w:noProof/>
                <w:lang w:val="pt-PT"/>
              </w:rPr>
            </w:pPr>
            <w:r w:rsidRPr="00292532">
              <w:rPr>
                <w:rFonts w:eastAsia="Calibri" w:cs="Calibri"/>
                <w:noProof/>
                <w:lang w:val="pt-PT"/>
              </w:rPr>
              <w:t>Muitas famílias com latrinas nas suas casas;</w:t>
            </w:r>
          </w:p>
          <w:p w14:paraId="4CFEBD9C" w14:textId="77777777" w:rsidR="00706222" w:rsidRPr="00292532" w:rsidRDefault="00706222" w:rsidP="00AE14AE">
            <w:pPr>
              <w:numPr>
                <w:ilvl w:val="0"/>
                <w:numId w:val="177"/>
              </w:numPr>
              <w:spacing w:before="0" w:after="0" w:line="276" w:lineRule="auto"/>
              <w:contextualSpacing/>
              <w:jc w:val="left"/>
              <w:rPr>
                <w:rFonts w:eastAsia="Calibri" w:cs="Calibri"/>
                <w:noProof/>
                <w:lang w:val="pt-PT"/>
              </w:rPr>
            </w:pPr>
            <w:r w:rsidRPr="00292532">
              <w:rPr>
                <w:rFonts w:eastAsia="Calibri" w:cs="Calibri"/>
                <w:noProof/>
                <w:lang w:val="pt-PT"/>
              </w:rPr>
              <w:t>O lixo é depositado em locais identificados.</w:t>
            </w:r>
          </w:p>
        </w:tc>
        <w:tc>
          <w:tcPr>
            <w:tcW w:w="2268" w:type="dxa"/>
            <w:tcBorders>
              <w:top w:val="single" w:sz="4" w:space="0" w:color="auto"/>
              <w:left w:val="single" w:sz="4" w:space="0" w:color="auto"/>
              <w:bottom w:val="single" w:sz="4" w:space="0" w:color="auto"/>
              <w:right w:val="single" w:sz="4" w:space="0" w:color="auto"/>
            </w:tcBorders>
            <w:vAlign w:val="center"/>
          </w:tcPr>
          <w:p w14:paraId="63BCF771"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Cesario</w:t>
            </w:r>
            <w:r w:rsidRPr="00292532">
              <w:rPr>
                <w:rFonts w:eastAsia="Calibri" w:cs="Calibri"/>
                <w:noProof/>
                <w:lang w:val="pt-PT"/>
              </w:rPr>
              <w:t xml:space="preserve"> – SDPI;</w:t>
            </w:r>
          </w:p>
          <w:p w14:paraId="636D87DC"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Celia</w:t>
            </w:r>
            <w:r w:rsidRPr="00292532">
              <w:rPr>
                <w:rFonts w:eastAsia="Calibri" w:cs="Calibri"/>
                <w:noProof/>
                <w:lang w:val="pt-PT"/>
              </w:rPr>
              <w:t xml:space="preserve"> – Residente;</w:t>
            </w:r>
          </w:p>
          <w:p w14:paraId="7C01ECA4" w14:textId="77777777" w:rsidR="00706222" w:rsidRPr="00292532" w:rsidRDefault="00706222" w:rsidP="00706222">
            <w:pPr>
              <w:spacing w:before="0" w:after="0" w:line="276" w:lineRule="auto"/>
              <w:jc w:val="left"/>
              <w:rPr>
                <w:rFonts w:eastAsia="Calibri" w:cs="Calibri"/>
                <w:noProof/>
                <w:u w:val="single"/>
                <w:lang w:val="pt-PT"/>
              </w:rPr>
            </w:pPr>
            <w:r w:rsidRPr="00292532">
              <w:rPr>
                <w:rFonts w:eastAsia="Calibri" w:cs="Calibri"/>
                <w:b/>
                <w:noProof/>
                <w:lang w:val="pt-PT"/>
              </w:rPr>
              <w:t>Rosario</w:t>
            </w:r>
            <w:r w:rsidRPr="00292532">
              <w:rPr>
                <w:rFonts w:eastAsia="Calibri" w:cs="Calibri"/>
                <w:noProof/>
                <w:lang w:val="pt-PT"/>
              </w:rPr>
              <w:t xml:space="preserve"> – Presidente do comité de água.</w:t>
            </w:r>
          </w:p>
        </w:tc>
      </w:tr>
      <w:tr w:rsidR="00706222" w:rsidRPr="00292532" w14:paraId="5E6C26F9"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6A1389F3"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 xml:space="preserve">Beneficios esperados com a melhoria do saneamento? </w:t>
            </w:r>
          </w:p>
        </w:tc>
        <w:tc>
          <w:tcPr>
            <w:tcW w:w="4937" w:type="dxa"/>
            <w:tcBorders>
              <w:top w:val="single" w:sz="4" w:space="0" w:color="auto"/>
              <w:left w:val="single" w:sz="4" w:space="0" w:color="auto"/>
              <w:bottom w:val="single" w:sz="4" w:space="0" w:color="auto"/>
              <w:right w:val="single" w:sz="4" w:space="0" w:color="auto"/>
            </w:tcBorders>
            <w:vAlign w:val="center"/>
          </w:tcPr>
          <w:p w14:paraId="0AA00E37" w14:textId="77777777" w:rsidR="00706222" w:rsidRPr="00292532" w:rsidRDefault="00706222" w:rsidP="00AE14AE">
            <w:pPr>
              <w:numPr>
                <w:ilvl w:val="0"/>
                <w:numId w:val="178"/>
              </w:numPr>
              <w:spacing w:before="0" w:after="0" w:line="276" w:lineRule="auto"/>
              <w:contextualSpacing/>
              <w:jc w:val="left"/>
              <w:rPr>
                <w:rFonts w:eastAsia="Calibri" w:cs="Calibri"/>
                <w:noProof/>
                <w:lang w:val="pt-PT"/>
              </w:rPr>
            </w:pPr>
            <w:r w:rsidRPr="00292532">
              <w:rPr>
                <w:rFonts w:eastAsia="Calibri" w:cs="Calibri"/>
                <w:noProof/>
                <w:lang w:val="pt-PT"/>
              </w:rPr>
              <w:t>Redução dos casos de doencas de origens hidricas;</w:t>
            </w:r>
          </w:p>
          <w:p w14:paraId="394E0CC7" w14:textId="77777777" w:rsidR="00706222" w:rsidRPr="00292532" w:rsidRDefault="00706222" w:rsidP="00AE14AE">
            <w:pPr>
              <w:numPr>
                <w:ilvl w:val="0"/>
                <w:numId w:val="178"/>
              </w:numPr>
              <w:spacing w:before="0" w:after="0" w:line="276" w:lineRule="auto"/>
              <w:contextualSpacing/>
              <w:jc w:val="left"/>
              <w:rPr>
                <w:rFonts w:eastAsia="Calibri" w:cs="Calibri"/>
                <w:noProof/>
                <w:lang w:val="pt-PT"/>
              </w:rPr>
            </w:pPr>
            <w:r w:rsidRPr="00292532">
              <w:rPr>
                <w:rFonts w:eastAsia="Calibri" w:cs="Calibri"/>
                <w:noProof/>
                <w:lang w:val="pt-PT"/>
              </w:rPr>
              <w:t xml:space="preserve">Bom ambiente limpo e saudavel. </w:t>
            </w:r>
          </w:p>
        </w:tc>
        <w:tc>
          <w:tcPr>
            <w:tcW w:w="2268" w:type="dxa"/>
            <w:tcBorders>
              <w:top w:val="single" w:sz="4" w:space="0" w:color="auto"/>
              <w:left w:val="single" w:sz="4" w:space="0" w:color="auto"/>
              <w:bottom w:val="single" w:sz="4" w:space="0" w:color="auto"/>
              <w:right w:val="single" w:sz="4" w:space="0" w:color="auto"/>
            </w:tcBorders>
            <w:vAlign w:val="center"/>
          </w:tcPr>
          <w:p w14:paraId="024CFBFF"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Cesario</w:t>
            </w:r>
            <w:r w:rsidRPr="00292532">
              <w:rPr>
                <w:rFonts w:eastAsia="Calibri" w:cs="Calibri"/>
                <w:noProof/>
                <w:lang w:val="pt-PT"/>
              </w:rPr>
              <w:t xml:space="preserve"> - SDPI</w:t>
            </w:r>
          </w:p>
        </w:tc>
      </w:tr>
      <w:tr w:rsidR="00706222" w:rsidRPr="004E2EAC" w14:paraId="4D4772AF"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76200748"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Representação das mulheres nos grupos de Água?</w:t>
            </w:r>
          </w:p>
        </w:tc>
        <w:tc>
          <w:tcPr>
            <w:tcW w:w="4937" w:type="dxa"/>
            <w:tcBorders>
              <w:top w:val="single" w:sz="4" w:space="0" w:color="auto"/>
              <w:left w:val="single" w:sz="4" w:space="0" w:color="auto"/>
              <w:bottom w:val="single" w:sz="4" w:space="0" w:color="auto"/>
              <w:right w:val="single" w:sz="4" w:space="0" w:color="auto"/>
            </w:tcBorders>
            <w:vAlign w:val="center"/>
          </w:tcPr>
          <w:p w14:paraId="45C44A6B"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No comité de água ao nivel da comunidade as mulheres tem uma pequena representação.</w:t>
            </w:r>
          </w:p>
          <w:p w14:paraId="1667CF0E" w14:textId="77777777" w:rsidR="00706222" w:rsidRPr="00292532" w:rsidRDefault="00706222" w:rsidP="00706222">
            <w:pPr>
              <w:spacing w:before="0" w:after="0" w:line="276" w:lineRule="auto"/>
              <w:jc w:val="left"/>
              <w:rPr>
                <w:rFonts w:eastAsia="Calibri" w:cs="Calibri"/>
                <w:noProof/>
                <w:lang w:val="pt-PT"/>
              </w:rPr>
            </w:pPr>
          </w:p>
        </w:tc>
        <w:tc>
          <w:tcPr>
            <w:tcW w:w="2268" w:type="dxa"/>
            <w:tcBorders>
              <w:top w:val="single" w:sz="4" w:space="0" w:color="auto"/>
              <w:left w:val="single" w:sz="4" w:space="0" w:color="auto"/>
              <w:bottom w:val="single" w:sz="4" w:space="0" w:color="auto"/>
              <w:right w:val="single" w:sz="4" w:space="0" w:color="auto"/>
            </w:tcBorders>
            <w:vAlign w:val="center"/>
          </w:tcPr>
          <w:p w14:paraId="277EF9F2" w14:textId="77777777" w:rsidR="00706222" w:rsidRPr="00292532" w:rsidRDefault="00706222" w:rsidP="00706222">
            <w:pPr>
              <w:spacing w:before="0" w:after="0" w:line="276" w:lineRule="auto"/>
              <w:jc w:val="left"/>
              <w:rPr>
                <w:rFonts w:eastAsia="Calibri" w:cs="Calibri"/>
                <w:noProof/>
                <w:u w:val="single"/>
                <w:lang w:val="pt-PT"/>
              </w:rPr>
            </w:pPr>
            <w:r w:rsidRPr="00292532">
              <w:rPr>
                <w:rFonts w:eastAsia="Calibri" w:cs="Calibri"/>
                <w:b/>
                <w:noProof/>
                <w:lang w:val="pt-PT"/>
              </w:rPr>
              <w:t>Rosario Augusto</w:t>
            </w:r>
            <w:r w:rsidRPr="00292532">
              <w:rPr>
                <w:rFonts w:eastAsia="Calibri" w:cs="Calibri"/>
                <w:noProof/>
                <w:lang w:val="pt-PT"/>
              </w:rPr>
              <w:t xml:space="preserve"> - Presidente do comité de água.</w:t>
            </w:r>
          </w:p>
        </w:tc>
      </w:tr>
      <w:tr w:rsidR="00706222" w:rsidRPr="004E2EAC" w14:paraId="22A0EAFD"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49077F23"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Papel e envolvimento da actual das mulheres na gestão de fontanarios e de fontes dispersas de água com bombas manuais.</w:t>
            </w:r>
          </w:p>
        </w:tc>
        <w:tc>
          <w:tcPr>
            <w:tcW w:w="4937" w:type="dxa"/>
            <w:tcBorders>
              <w:top w:val="single" w:sz="4" w:space="0" w:color="auto"/>
              <w:left w:val="single" w:sz="4" w:space="0" w:color="auto"/>
              <w:bottom w:val="single" w:sz="4" w:space="0" w:color="auto"/>
              <w:right w:val="single" w:sz="4" w:space="0" w:color="auto"/>
            </w:tcBorders>
            <w:vAlign w:val="center"/>
          </w:tcPr>
          <w:p w14:paraId="3FA53A35"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O papel das mulheres na gestão das fontes de água é de:</w:t>
            </w:r>
          </w:p>
          <w:p w14:paraId="40B6CA96" w14:textId="77777777" w:rsidR="00706222" w:rsidRPr="00292532" w:rsidRDefault="00706222" w:rsidP="00AE14AE">
            <w:pPr>
              <w:numPr>
                <w:ilvl w:val="0"/>
                <w:numId w:val="179"/>
              </w:numPr>
              <w:spacing w:before="0" w:after="0" w:line="276" w:lineRule="auto"/>
              <w:contextualSpacing/>
              <w:jc w:val="left"/>
              <w:rPr>
                <w:rFonts w:eastAsia="Calibri" w:cs="Calibri"/>
                <w:noProof/>
                <w:lang w:val="pt-PT"/>
              </w:rPr>
            </w:pPr>
            <w:r w:rsidRPr="00292532">
              <w:rPr>
                <w:rFonts w:eastAsia="Calibri" w:cs="Calibri"/>
                <w:noProof/>
                <w:lang w:val="pt-PT"/>
              </w:rPr>
              <w:t>Garantir a limpeza das fontes;</w:t>
            </w:r>
          </w:p>
          <w:p w14:paraId="3F86B356" w14:textId="77777777" w:rsidR="00706222" w:rsidRPr="00292532" w:rsidRDefault="00706222" w:rsidP="00AE14AE">
            <w:pPr>
              <w:numPr>
                <w:ilvl w:val="0"/>
                <w:numId w:val="179"/>
              </w:numPr>
              <w:spacing w:before="0" w:after="0" w:line="276" w:lineRule="auto"/>
              <w:contextualSpacing/>
              <w:jc w:val="left"/>
              <w:rPr>
                <w:rFonts w:eastAsia="Calibri" w:cs="Calibri"/>
                <w:noProof/>
                <w:lang w:val="pt-PT"/>
              </w:rPr>
            </w:pPr>
            <w:r w:rsidRPr="00292532">
              <w:rPr>
                <w:rFonts w:eastAsia="Calibri" w:cs="Calibri"/>
                <w:noProof/>
                <w:lang w:val="pt-PT"/>
              </w:rPr>
              <w:t>Organizar as filas</w:t>
            </w:r>
          </w:p>
        </w:tc>
        <w:tc>
          <w:tcPr>
            <w:tcW w:w="2268" w:type="dxa"/>
            <w:tcBorders>
              <w:top w:val="single" w:sz="4" w:space="0" w:color="auto"/>
              <w:left w:val="single" w:sz="4" w:space="0" w:color="auto"/>
              <w:bottom w:val="single" w:sz="4" w:space="0" w:color="auto"/>
              <w:right w:val="single" w:sz="4" w:space="0" w:color="auto"/>
            </w:tcBorders>
            <w:vAlign w:val="center"/>
          </w:tcPr>
          <w:p w14:paraId="2D9AB1BA" w14:textId="77777777" w:rsidR="00706222" w:rsidRPr="00292532" w:rsidRDefault="00706222" w:rsidP="00706222">
            <w:pPr>
              <w:spacing w:before="0" w:after="0" w:line="276" w:lineRule="auto"/>
              <w:jc w:val="left"/>
              <w:rPr>
                <w:rFonts w:eastAsia="Calibri" w:cs="Calibri"/>
                <w:noProof/>
                <w:u w:val="single"/>
                <w:lang w:val="pt-PT"/>
              </w:rPr>
            </w:pPr>
            <w:r w:rsidRPr="00292532">
              <w:rPr>
                <w:rFonts w:eastAsia="Calibri" w:cs="Calibri"/>
                <w:b/>
                <w:noProof/>
                <w:lang w:val="pt-PT"/>
              </w:rPr>
              <w:t>Rosario Augusto</w:t>
            </w:r>
            <w:r w:rsidRPr="00292532">
              <w:rPr>
                <w:rFonts w:eastAsia="Calibri" w:cs="Calibri"/>
                <w:noProof/>
                <w:lang w:val="pt-PT"/>
              </w:rPr>
              <w:t xml:space="preserve"> - Presidente do comité de água.</w:t>
            </w:r>
          </w:p>
        </w:tc>
      </w:tr>
      <w:tr w:rsidR="00706222" w:rsidRPr="00292532" w14:paraId="2F4E5875"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1263AB27"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Principais problemas, riscos e impactos actuais na busca de água:</w:t>
            </w:r>
          </w:p>
        </w:tc>
        <w:tc>
          <w:tcPr>
            <w:tcW w:w="4937" w:type="dxa"/>
            <w:tcBorders>
              <w:top w:val="single" w:sz="4" w:space="0" w:color="auto"/>
              <w:left w:val="single" w:sz="4" w:space="0" w:color="auto"/>
              <w:bottom w:val="single" w:sz="4" w:space="0" w:color="auto"/>
              <w:right w:val="single" w:sz="4" w:space="0" w:color="auto"/>
            </w:tcBorders>
            <w:vAlign w:val="center"/>
          </w:tcPr>
          <w:p w14:paraId="14A9B656"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Algumas famílias saem muito longe para ter o acesso a água, neste contexto um dos principais riscos que elas correm são os acidentes, visto que, que elas devem pular a linha ferrea e a estrada principal.</w:t>
            </w:r>
          </w:p>
        </w:tc>
        <w:tc>
          <w:tcPr>
            <w:tcW w:w="2268" w:type="dxa"/>
            <w:tcBorders>
              <w:top w:val="single" w:sz="4" w:space="0" w:color="auto"/>
              <w:left w:val="single" w:sz="4" w:space="0" w:color="auto"/>
              <w:bottom w:val="single" w:sz="4" w:space="0" w:color="auto"/>
              <w:right w:val="single" w:sz="4" w:space="0" w:color="auto"/>
            </w:tcBorders>
            <w:vAlign w:val="center"/>
          </w:tcPr>
          <w:p w14:paraId="4DC4B970"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Rosario Augusto</w:t>
            </w:r>
            <w:r w:rsidRPr="00292532">
              <w:rPr>
                <w:rFonts w:eastAsia="Calibri" w:cs="Calibri"/>
                <w:noProof/>
                <w:lang w:val="pt-PT"/>
              </w:rPr>
              <w:t xml:space="preserve"> - Presidente do comité de água.</w:t>
            </w:r>
          </w:p>
          <w:p w14:paraId="0F0AE05F" w14:textId="77777777" w:rsidR="00706222" w:rsidRPr="00292532" w:rsidRDefault="00706222" w:rsidP="00706222">
            <w:pPr>
              <w:spacing w:before="0" w:after="0" w:line="276" w:lineRule="auto"/>
              <w:jc w:val="left"/>
              <w:rPr>
                <w:rFonts w:eastAsia="Calibri" w:cs="Calibri"/>
                <w:noProof/>
                <w:u w:val="single"/>
                <w:lang w:val="pt-PT"/>
              </w:rPr>
            </w:pPr>
            <w:r w:rsidRPr="00292532">
              <w:rPr>
                <w:rFonts w:eastAsia="Calibri" w:cs="Calibri"/>
                <w:b/>
                <w:noProof/>
                <w:lang w:val="pt-PT"/>
              </w:rPr>
              <w:t>Ancha Abudo</w:t>
            </w:r>
            <w:r w:rsidRPr="00292532">
              <w:rPr>
                <w:rFonts w:eastAsia="Calibri" w:cs="Calibri"/>
                <w:noProof/>
                <w:lang w:val="pt-PT"/>
              </w:rPr>
              <w:t xml:space="preserve"> - Residente</w:t>
            </w:r>
          </w:p>
        </w:tc>
      </w:tr>
      <w:tr w:rsidR="00706222" w:rsidRPr="00292532" w14:paraId="058B7F95"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6BA43FF7"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lastRenderedPageBreak/>
              <w:t>Desafios actuais na comunidade devido aos ataques em Cabo Delgado (presence de deslocados, pressao adicional sobre a seguranca, infraestruturas e servicos.</w:t>
            </w:r>
          </w:p>
        </w:tc>
        <w:tc>
          <w:tcPr>
            <w:tcW w:w="4937" w:type="dxa"/>
            <w:tcBorders>
              <w:top w:val="single" w:sz="4" w:space="0" w:color="auto"/>
              <w:left w:val="single" w:sz="4" w:space="0" w:color="auto"/>
              <w:bottom w:val="single" w:sz="4" w:space="0" w:color="auto"/>
              <w:right w:val="single" w:sz="4" w:space="0" w:color="auto"/>
            </w:tcBorders>
            <w:vAlign w:val="center"/>
          </w:tcPr>
          <w:p w14:paraId="1736E12B"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Um dos desafios é ter com conviver com eles, a pessoa deve ser tolerante e acolhedor, sabendo que eles vem duma situação dramatica.</w:t>
            </w:r>
          </w:p>
          <w:p w14:paraId="2F68DA9B" w14:textId="77777777" w:rsidR="00706222" w:rsidRPr="00292532" w:rsidRDefault="00706222" w:rsidP="00AE14AE">
            <w:pPr>
              <w:numPr>
                <w:ilvl w:val="0"/>
                <w:numId w:val="180"/>
              </w:numPr>
              <w:spacing w:before="0" w:after="0" w:line="276" w:lineRule="auto"/>
              <w:contextualSpacing/>
              <w:jc w:val="left"/>
              <w:rPr>
                <w:rFonts w:eastAsia="Calibri" w:cs="Calibri"/>
                <w:lang w:val="pt-PT"/>
              </w:rPr>
            </w:pPr>
            <w:r w:rsidRPr="00292532">
              <w:rPr>
                <w:rFonts w:eastAsia="Calibri" w:cs="Calibri"/>
                <w:lang w:val="pt-PT"/>
              </w:rPr>
              <w:t>A segurança no bairro esta controlada;</w:t>
            </w:r>
          </w:p>
          <w:p w14:paraId="649737AF" w14:textId="77777777" w:rsidR="00706222" w:rsidRPr="00292532" w:rsidRDefault="00706222" w:rsidP="00AE14AE">
            <w:pPr>
              <w:numPr>
                <w:ilvl w:val="0"/>
                <w:numId w:val="180"/>
              </w:numPr>
              <w:spacing w:before="0" w:after="0" w:line="276" w:lineRule="auto"/>
              <w:contextualSpacing/>
              <w:jc w:val="left"/>
              <w:rPr>
                <w:rFonts w:eastAsia="Calibri" w:cs="Calibri"/>
                <w:noProof/>
                <w:lang w:val="pt-PT"/>
              </w:rPr>
            </w:pPr>
            <w:r w:rsidRPr="00292532">
              <w:rPr>
                <w:rFonts w:eastAsia="Calibri" w:cs="Calibri"/>
                <w:lang w:val="pt-PT"/>
              </w:rPr>
              <w:t xml:space="preserve">Em relação a </w:t>
            </w:r>
            <w:proofErr w:type="spellStart"/>
            <w:r w:rsidRPr="00292532">
              <w:rPr>
                <w:rFonts w:eastAsia="Calibri" w:cs="Calibri"/>
                <w:lang w:val="pt-PT"/>
              </w:rPr>
              <w:t>infra-estrutura</w:t>
            </w:r>
            <w:proofErr w:type="spellEnd"/>
            <w:r w:rsidRPr="00292532">
              <w:rPr>
                <w:rFonts w:eastAsia="Calibri" w:cs="Calibri"/>
                <w:lang w:val="pt-PT"/>
              </w:rPr>
              <w:t xml:space="preserve"> muitos residentes da comunidade partilham suas casas com os deslocados, há casas que tem acima de 10 membros</w:t>
            </w:r>
            <w:r w:rsidRPr="00292532">
              <w:rPr>
                <w:rFonts w:eastAsia="Calibri" w:cs="Calibri"/>
                <w:noProof/>
                <w:lang w:val="pt-PT"/>
              </w:rPr>
              <w:t>.</w:t>
            </w:r>
          </w:p>
        </w:tc>
        <w:tc>
          <w:tcPr>
            <w:tcW w:w="2268" w:type="dxa"/>
            <w:tcBorders>
              <w:top w:val="single" w:sz="4" w:space="0" w:color="auto"/>
              <w:left w:val="single" w:sz="4" w:space="0" w:color="auto"/>
              <w:bottom w:val="single" w:sz="4" w:space="0" w:color="auto"/>
              <w:right w:val="single" w:sz="4" w:space="0" w:color="auto"/>
            </w:tcBorders>
            <w:vAlign w:val="center"/>
          </w:tcPr>
          <w:p w14:paraId="18402A70"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Rosario Augusto</w:t>
            </w:r>
            <w:r w:rsidRPr="00292532">
              <w:rPr>
                <w:rFonts w:eastAsia="Calibri" w:cs="Calibri"/>
                <w:noProof/>
                <w:lang w:val="pt-PT"/>
              </w:rPr>
              <w:t xml:space="preserve"> - Presidente do comité de água;</w:t>
            </w:r>
          </w:p>
          <w:p w14:paraId="70A8D9CF"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Mussa Gaspar</w:t>
            </w:r>
            <w:r w:rsidRPr="00292532">
              <w:rPr>
                <w:rFonts w:eastAsia="Calibri" w:cs="Calibri"/>
                <w:noProof/>
                <w:lang w:val="pt-PT"/>
              </w:rPr>
              <w:t xml:space="preserve"> – Secretário do Bairro</w:t>
            </w:r>
          </w:p>
          <w:p w14:paraId="18B8D336" w14:textId="77777777" w:rsidR="00706222" w:rsidRPr="00292532" w:rsidRDefault="00706222" w:rsidP="00706222">
            <w:pPr>
              <w:spacing w:before="0" w:after="0" w:line="276" w:lineRule="auto"/>
              <w:jc w:val="left"/>
              <w:rPr>
                <w:rFonts w:eastAsia="Calibri" w:cs="Calibri"/>
                <w:noProof/>
                <w:u w:val="single"/>
                <w:lang w:val="pt-PT"/>
              </w:rPr>
            </w:pPr>
          </w:p>
        </w:tc>
      </w:tr>
      <w:tr w:rsidR="00706222" w:rsidRPr="00292532" w14:paraId="7433C88A"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53AA3D1C"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Impactos negativos registados na regiao resultante de obras civis que afectam as comunidades locais.</w:t>
            </w:r>
          </w:p>
        </w:tc>
        <w:tc>
          <w:tcPr>
            <w:tcW w:w="4937" w:type="dxa"/>
            <w:tcBorders>
              <w:top w:val="single" w:sz="4" w:space="0" w:color="auto"/>
              <w:left w:val="single" w:sz="4" w:space="0" w:color="auto"/>
              <w:bottom w:val="single" w:sz="4" w:space="0" w:color="auto"/>
              <w:right w:val="single" w:sz="4" w:space="0" w:color="auto"/>
            </w:tcBorders>
            <w:vAlign w:val="center"/>
          </w:tcPr>
          <w:p w14:paraId="44F74E09" w14:textId="77777777" w:rsidR="00706222" w:rsidRPr="00292532" w:rsidRDefault="00706222" w:rsidP="00706222">
            <w:pPr>
              <w:spacing w:before="0" w:line="360" w:lineRule="auto"/>
              <w:rPr>
                <w:rFonts w:eastAsia="Calibri" w:cs="Calibri"/>
                <w:noProof/>
                <w:sz w:val="24"/>
                <w:szCs w:val="24"/>
                <w:lang w:val="pt-PT"/>
              </w:rPr>
            </w:pPr>
            <w:r w:rsidRPr="00292532">
              <w:rPr>
                <w:rFonts w:eastAsia="Calibri" w:cs="Calibri"/>
                <w:noProof/>
                <w:szCs w:val="24"/>
                <w:lang w:val="pt-PT"/>
              </w:rPr>
              <w:t>Os trabalhadores que não são locais, pedimos que nos respeitassem como residentes e respeitassem as nossas mulheres, para também nós lhes respeitarmos e os trabalhos correrem de uma forma boa e tanto nos quanto eles saiamos satisfeitos</w:t>
            </w:r>
            <w:r w:rsidRPr="00292532">
              <w:rPr>
                <w:rFonts w:eastAsia="Calibri" w:cs="Calibri"/>
                <w:noProof/>
                <w:sz w:val="20"/>
                <w:lang w:val="pt-PT"/>
              </w:rPr>
              <w:t>;</w:t>
            </w:r>
          </w:p>
          <w:p w14:paraId="5E799A91"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Cobrancas ilicitas para dar opportunidade de emprego aos locais.</w:t>
            </w:r>
          </w:p>
        </w:tc>
        <w:tc>
          <w:tcPr>
            <w:tcW w:w="2268" w:type="dxa"/>
            <w:tcBorders>
              <w:top w:val="single" w:sz="4" w:space="0" w:color="auto"/>
              <w:left w:val="single" w:sz="4" w:space="0" w:color="auto"/>
              <w:bottom w:val="single" w:sz="4" w:space="0" w:color="auto"/>
              <w:right w:val="single" w:sz="4" w:space="0" w:color="auto"/>
            </w:tcBorders>
            <w:vAlign w:val="center"/>
          </w:tcPr>
          <w:p w14:paraId="7A2B8AB5"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Rosario Augusto</w:t>
            </w:r>
            <w:r w:rsidRPr="00292532">
              <w:rPr>
                <w:rFonts w:eastAsia="Calibri" w:cs="Calibri"/>
                <w:noProof/>
                <w:lang w:val="pt-PT"/>
              </w:rPr>
              <w:t xml:space="preserve"> - Presidente do comité de água;</w:t>
            </w:r>
          </w:p>
          <w:p w14:paraId="73754061" w14:textId="77777777" w:rsidR="00706222" w:rsidRPr="00292532" w:rsidRDefault="00706222" w:rsidP="00706222">
            <w:pPr>
              <w:spacing w:before="0" w:after="0" w:line="276" w:lineRule="auto"/>
              <w:jc w:val="left"/>
              <w:rPr>
                <w:rFonts w:eastAsia="Calibri" w:cs="Calibri"/>
                <w:noProof/>
                <w:u w:val="single"/>
                <w:lang w:val="pt-PT"/>
              </w:rPr>
            </w:pPr>
            <w:r w:rsidRPr="00292532">
              <w:rPr>
                <w:rFonts w:eastAsia="Calibri" w:cs="Calibri"/>
                <w:b/>
                <w:noProof/>
                <w:lang w:val="pt-PT"/>
              </w:rPr>
              <w:t>Basilio</w:t>
            </w:r>
            <w:r w:rsidRPr="00292532">
              <w:rPr>
                <w:rFonts w:eastAsia="Calibri" w:cs="Calibri"/>
                <w:noProof/>
                <w:lang w:val="pt-PT"/>
              </w:rPr>
              <w:t xml:space="preserve"> – Residente.</w:t>
            </w:r>
          </w:p>
        </w:tc>
      </w:tr>
      <w:tr w:rsidR="00706222" w:rsidRPr="004E2EAC" w14:paraId="3E3ACC15"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01A1475B"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Quais sao as principais preocupacoes das comunidades em projectos desta natureza.</w:t>
            </w:r>
          </w:p>
        </w:tc>
        <w:tc>
          <w:tcPr>
            <w:tcW w:w="4937" w:type="dxa"/>
            <w:tcBorders>
              <w:top w:val="single" w:sz="4" w:space="0" w:color="auto"/>
              <w:left w:val="single" w:sz="4" w:space="0" w:color="auto"/>
              <w:bottom w:val="single" w:sz="4" w:space="0" w:color="auto"/>
              <w:right w:val="single" w:sz="4" w:space="0" w:color="auto"/>
            </w:tcBorders>
            <w:vAlign w:val="center"/>
          </w:tcPr>
          <w:p w14:paraId="233B0CDB" w14:textId="77777777" w:rsidR="00706222" w:rsidRPr="00292532" w:rsidRDefault="00706222" w:rsidP="00AE14AE">
            <w:pPr>
              <w:numPr>
                <w:ilvl w:val="0"/>
                <w:numId w:val="181"/>
              </w:numPr>
              <w:spacing w:before="0" w:after="0" w:line="276" w:lineRule="auto"/>
              <w:contextualSpacing/>
              <w:jc w:val="left"/>
              <w:rPr>
                <w:rFonts w:eastAsia="Calibri" w:cs="Calibri"/>
                <w:noProof/>
                <w:lang w:val="pt-PT"/>
              </w:rPr>
            </w:pPr>
            <w:r w:rsidRPr="00292532">
              <w:rPr>
                <w:rFonts w:eastAsia="Calibri" w:cs="Calibri"/>
                <w:noProof/>
                <w:lang w:val="pt-PT"/>
              </w:rPr>
              <w:t>Contratação da mao de obra estrangeira (de outros  pontos);</w:t>
            </w:r>
          </w:p>
          <w:p w14:paraId="2B68FA23" w14:textId="77777777" w:rsidR="00706222" w:rsidRPr="00292532" w:rsidRDefault="00706222" w:rsidP="00AE14AE">
            <w:pPr>
              <w:numPr>
                <w:ilvl w:val="0"/>
                <w:numId w:val="181"/>
              </w:numPr>
              <w:spacing w:before="0" w:after="0" w:line="276" w:lineRule="auto"/>
              <w:contextualSpacing/>
              <w:jc w:val="left"/>
              <w:rPr>
                <w:rFonts w:eastAsia="Calibri" w:cs="Calibri"/>
                <w:noProof/>
                <w:lang w:val="pt-PT"/>
              </w:rPr>
            </w:pPr>
            <w:r w:rsidRPr="00292532">
              <w:rPr>
                <w:rFonts w:eastAsia="Calibri" w:cs="Calibri"/>
                <w:noProof/>
                <w:lang w:val="pt-PT"/>
              </w:rPr>
              <w:t>Atraso na execução das obras;</w:t>
            </w:r>
          </w:p>
          <w:p w14:paraId="7550E81E" w14:textId="77777777" w:rsidR="00706222" w:rsidRPr="00292532" w:rsidRDefault="00706222" w:rsidP="00AE14AE">
            <w:pPr>
              <w:numPr>
                <w:ilvl w:val="0"/>
                <w:numId w:val="181"/>
              </w:numPr>
              <w:spacing w:before="0" w:after="0" w:line="276" w:lineRule="auto"/>
              <w:contextualSpacing/>
              <w:jc w:val="left"/>
              <w:rPr>
                <w:rFonts w:eastAsia="Calibri" w:cs="Calibri"/>
                <w:noProof/>
                <w:lang w:val="pt-PT"/>
              </w:rPr>
            </w:pPr>
            <w:r w:rsidRPr="00292532">
              <w:rPr>
                <w:rFonts w:eastAsia="Calibri" w:cs="Calibri"/>
                <w:noProof/>
                <w:lang w:val="pt-PT"/>
              </w:rPr>
              <w:t>Os empreiteiros e governo não pedem conselhos a lideranca das comunidades.</w:t>
            </w:r>
          </w:p>
          <w:p w14:paraId="3BE5AF76" w14:textId="77777777" w:rsidR="00706222" w:rsidRPr="00292532" w:rsidRDefault="00706222" w:rsidP="00706222">
            <w:pPr>
              <w:spacing w:before="0" w:after="0" w:line="276" w:lineRule="auto"/>
              <w:jc w:val="left"/>
              <w:rPr>
                <w:rFonts w:eastAsia="Calibri" w:cs="Calibri"/>
                <w:noProof/>
                <w:lang w:val="pt-PT"/>
              </w:rPr>
            </w:pPr>
          </w:p>
        </w:tc>
        <w:tc>
          <w:tcPr>
            <w:tcW w:w="2268" w:type="dxa"/>
            <w:tcBorders>
              <w:top w:val="single" w:sz="4" w:space="0" w:color="auto"/>
              <w:left w:val="single" w:sz="4" w:space="0" w:color="auto"/>
              <w:bottom w:val="single" w:sz="4" w:space="0" w:color="auto"/>
              <w:right w:val="single" w:sz="4" w:space="0" w:color="auto"/>
            </w:tcBorders>
            <w:vAlign w:val="center"/>
          </w:tcPr>
          <w:p w14:paraId="75891AF4"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Rosario Augusto</w:t>
            </w:r>
            <w:r w:rsidRPr="00292532">
              <w:rPr>
                <w:rFonts w:eastAsia="Calibri" w:cs="Calibri"/>
                <w:noProof/>
                <w:lang w:val="pt-PT"/>
              </w:rPr>
              <w:t xml:space="preserve"> - Presidente do comité de água;</w:t>
            </w:r>
          </w:p>
          <w:p w14:paraId="27DC01B9" w14:textId="77777777" w:rsidR="00706222" w:rsidRPr="00292532" w:rsidRDefault="00706222" w:rsidP="00706222">
            <w:pPr>
              <w:spacing w:before="0" w:after="0" w:line="276" w:lineRule="auto"/>
              <w:jc w:val="left"/>
              <w:rPr>
                <w:rFonts w:eastAsia="Calibri" w:cs="Calibri"/>
                <w:noProof/>
                <w:u w:val="single"/>
                <w:lang w:val="pt-PT"/>
              </w:rPr>
            </w:pPr>
          </w:p>
        </w:tc>
      </w:tr>
      <w:tr w:rsidR="00706222" w:rsidRPr="00292532" w14:paraId="15B3A222"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70B40C1B"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Se existem ONGs activas na regiao a trabalharem nas areas de água, saneamento, ambiente social e protecção da mulher. E programas a serem desenvolvidos.</w:t>
            </w:r>
          </w:p>
        </w:tc>
        <w:tc>
          <w:tcPr>
            <w:tcW w:w="4937" w:type="dxa"/>
            <w:tcBorders>
              <w:top w:val="single" w:sz="4" w:space="0" w:color="auto"/>
              <w:left w:val="single" w:sz="4" w:space="0" w:color="auto"/>
              <w:bottom w:val="single" w:sz="4" w:space="0" w:color="auto"/>
              <w:right w:val="single" w:sz="4" w:space="0" w:color="auto"/>
            </w:tcBorders>
            <w:vAlign w:val="center"/>
          </w:tcPr>
          <w:p w14:paraId="464156C7"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Sim, existem:</w:t>
            </w:r>
          </w:p>
          <w:p w14:paraId="53AAEA95" w14:textId="77777777" w:rsidR="00706222" w:rsidRPr="00292532" w:rsidRDefault="00706222" w:rsidP="00AE14AE">
            <w:pPr>
              <w:numPr>
                <w:ilvl w:val="0"/>
                <w:numId w:val="183"/>
              </w:numPr>
              <w:spacing w:before="0" w:after="0" w:line="276" w:lineRule="auto"/>
              <w:contextualSpacing/>
              <w:jc w:val="left"/>
              <w:rPr>
                <w:rFonts w:eastAsia="Calibri" w:cs="Calibri"/>
                <w:noProof/>
                <w:lang w:val="pt-PT"/>
              </w:rPr>
            </w:pPr>
            <w:r w:rsidRPr="00292532">
              <w:rPr>
                <w:rFonts w:eastAsia="Calibri" w:cs="Calibri"/>
                <w:noProof/>
                <w:lang w:val="pt-PT"/>
              </w:rPr>
              <w:t>Plan international</w:t>
            </w:r>
          </w:p>
          <w:p w14:paraId="5EF62B3F" w14:textId="77777777" w:rsidR="00706222" w:rsidRPr="00292532" w:rsidRDefault="00706222" w:rsidP="00AE14AE">
            <w:pPr>
              <w:numPr>
                <w:ilvl w:val="0"/>
                <w:numId w:val="183"/>
              </w:numPr>
              <w:spacing w:before="0" w:after="0" w:line="276" w:lineRule="auto"/>
              <w:contextualSpacing/>
              <w:jc w:val="left"/>
              <w:rPr>
                <w:rFonts w:eastAsia="Calibri" w:cs="Calibri"/>
                <w:noProof/>
                <w:lang w:val="pt-PT"/>
              </w:rPr>
            </w:pPr>
            <w:r w:rsidRPr="00292532">
              <w:rPr>
                <w:rFonts w:eastAsia="Calibri" w:cs="Calibri"/>
                <w:noProof/>
                <w:lang w:val="pt-PT"/>
              </w:rPr>
              <w:t>Jhpiego</w:t>
            </w:r>
          </w:p>
          <w:p w14:paraId="24E5F6EA" w14:textId="77777777" w:rsidR="00706222" w:rsidRPr="00292532" w:rsidRDefault="00706222" w:rsidP="00AE14AE">
            <w:pPr>
              <w:numPr>
                <w:ilvl w:val="0"/>
                <w:numId w:val="183"/>
              </w:numPr>
              <w:spacing w:before="0" w:after="0" w:line="276" w:lineRule="auto"/>
              <w:contextualSpacing/>
              <w:jc w:val="left"/>
              <w:rPr>
                <w:rFonts w:eastAsia="Calibri" w:cs="Calibri"/>
                <w:noProof/>
                <w:lang w:val="pt-PT"/>
              </w:rPr>
            </w:pPr>
            <w:r w:rsidRPr="00292532">
              <w:rPr>
                <w:rFonts w:eastAsia="Calibri" w:cs="Calibri"/>
                <w:noProof/>
                <w:lang w:val="pt-PT"/>
              </w:rPr>
              <w:t>Rede hopem, etc</w:t>
            </w:r>
          </w:p>
          <w:p w14:paraId="253E3F7C"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Eles desenvolvem os seguintes programas:</w:t>
            </w:r>
          </w:p>
          <w:p w14:paraId="60162EAB" w14:textId="77777777" w:rsidR="00706222" w:rsidRPr="00292532" w:rsidRDefault="00706222" w:rsidP="00AE14AE">
            <w:pPr>
              <w:numPr>
                <w:ilvl w:val="0"/>
                <w:numId w:val="182"/>
              </w:numPr>
              <w:spacing w:before="0" w:after="0" w:line="276" w:lineRule="auto"/>
              <w:contextualSpacing/>
              <w:jc w:val="left"/>
              <w:rPr>
                <w:rFonts w:eastAsia="Calibri" w:cs="Calibri"/>
                <w:noProof/>
                <w:lang w:val="pt-PT"/>
              </w:rPr>
            </w:pPr>
            <w:r w:rsidRPr="00292532">
              <w:rPr>
                <w:rFonts w:eastAsia="Calibri" w:cs="Calibri"/>
                <w:noProof/>
                <w:lang w:val="pt-PT"/>
              </w:rPr>
              <w:t>Apoio na area de saneamento aos deslocados;</w:t>
            </w:r>
          </w:p>
          <w:p w14:paraId="4E093FEB" w14:textId="77777777" w:rsidR="00706222" w:rsidRPr="00292532" w:rsidRDefault="00706222" w:rsidP="00AE14AE">
            <w:pPr>
              <w:numPr>
                <w:ilvl w:val="0"/>
                <w:numId w:val="182"/>
              </w:numPr>
              <w:spacing w:before="0" w:after="0" w:line="276" w:lineRule="auto"/>
              <w:contextualSpacing/>
              <w:jc w:val="left"/>
              <w:rPr>
                <w:rFonts w:eastAsia="Calibri" w:cs="Calibri"/>
                <w:noProof/>
                <w:lang w:val="pt-PT"/>
              </w:rPr>
            </w:pPr>
            <w:r w:rsidRPr="00292532">
              <w:rPr>
                <w:rFonts w:eastAsia="Calibri" w:cs="Calibri"/>
                <w:noProof/>
                <w:lang w:val="pt-PT"/>
              </w:rPr>
              <w:t>Apios na area de saude as mulheres gravidas nos cuidados pre-natais;</w:t>
            </w:r>
          </w:p>
          <w:p w14:paraId="53E6067E" w14:textId="77777777" w:rsidR="00706222" w:rsidRPr="00292532" w:rsidRDefault="00706222" w:rsidP="00AE14AE">
            <w:pPr>
              <w:numPr>
                <w:ilvl w:val="0"/>
                <w:numId w:val="182"/>
              </w:numPr>
              <w:spacing w:before="0" w:after="0" w:line="276" w:lineRule="auto"/>
              <w:contextualSpacing/>
              <w:jc w:val="left"/>
              <w:rPr>
                <w:rFonts w:eastAsia="Calibri" w:cs="Calibri"/>
                <w:noProof/>
                <w:lang w:val="pt-PT"/>
              </w:rPr>
            </w:pPr>
            <w:r w:rsidRPr="00292532">
              <w:rPr>
                <w:rFonts w:eastAsia="Calibri" w:cs="Calibri"/>
                <w:noProof/>
                <w:lang w:val="pt-PT"/>
              </w:rPr>
              <w:t>Combate a violencia baseada no genero, etc.</w:t>
            </w:r>
          </w:p>
        </w:tc>
        <w:tc>
          <w:tcPr>
            <w:tcW w:w="2268" w:type="dxa"/>
            <w:tcBorders>
              <w:top w:val="single" w:sz="4" w:space="0" w:color="auto"/>
              <w:left w:val="single" w:sz="4" w:space="0" w:color="auto"/>
              <w:bottom w:val="single" w:sz="4" w:space="0" w:color="auto"/>
              <w:right w:val="single" w:sz="4" w:space="0" w:color="auto"/>
            </w:tcBorders>
            <w:vAlign w:val="center"/>
          </w:tcPr>
          <w:p w14:paraId="3A93EDBC"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Rosario Augusto</w:t>
            </w:r>
            <w:r w:rsidRPr="00292532">
              <w:rPr>
                <w:rFonts w:eastAsia="Calibri" w:cs="Calibri"/>
                <w:noProof/>
                <w:lang w:val="pt-PT"/>
              </w:rPr>
              <w:t xml:space="preserve"> - Presidente do comité de água;</w:t>
            </w:r>
          </w:p>
          <w:p w14:paraId="58141698"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 xml:space="preserve">Carla </w:t>
            </w:r>
            <w:r w:rsidRPr="00292532">
              <w:rPr>
                <w:rFonts w:eastAsia="Calibri" w:cs="Calibri"/>
                <w:noProof/>
                <w:lang w:val="pt-PT"/>
              </w:rPr>
              <w:t>- SDPI</w:t>
            </w:r>
          </w:p>
        </w:tc>
      </w:tr>
      <w:tr w:rsidR="00706222" w:rsidRPr="004E2EAC" w14:paraId="08B7871F"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275FAED2"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Criminalidade na busca de água.</w:t>
            </w:r>
          </w:p>
        </w:tc>
        <w:tc>
          <w:tcPr>
            <w:tcW w:w="4937" w:type="dxa"/>
            <w:tcBorders>
              <w:top w:val="single" w:sz="4" w:space="0" w:color="auto"/>
              <w:left w:val="single" w:sz="4" w:space="0" w:color="auto"/>
              <w:bottom w:val="single" w:sz="4" w:space="0" w:color="auto"/>
              <w:right w:val="single" w:sz="4" w:space="0" w:color="auto"/>
            </w:tcBorders>
            <w:vAlign w:val="center"/>
          </w:tcPr>
          <w:p w14:paraId="1CC2782C"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Não se observa muita criminalidade</w:t>
            </w:r>
          </w:p>
        </w:tc>
        <w:tc>
          <w:tcPr>
            <w:tcW w:w="2268" w:type="dxa"/>
            <w:tcBorders>
              <w:top w:val="single" w:sz="4" w:space="0" w:color="auto"/>
              <w:left w:val="single" w:sz="4" w:space="0" w:color="auto"/>
              <w:bottom w:val="single" w:sz="4" w:space="0" w:color="auto"/>
              <w:right w:val="single" w:sz="4" w:space="0" w:color="auto"/>
            </w:tcBorders>
            <w:vAlign w:val="center"/>
          </w:tcPr>
          <w:p w14:paraId="6B88E734"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Ancha Abudo</w:t>
            </w:r>
            <w:r w:rsidRPr="00292532">
              <w:rPr>
                <w:rFonts w:eastAsia="Calibri" w:cs="Calibri"/>
                <w:noProof/>
                <w:lang w:val="pt-PT"/>
              </w:rPr>
              <w:t xml:space="preserve"> – Residente;</w:t>
            </w:r>
          </w:p>
          <w:p w14:paraId="7E1AB112"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Mussa Gaspar</w:t>
            </w:r>
            <w:r w:rsidRPr="00292532">
              <w:rPr>
                <w:rFonts w:eastAsia="Calibri" w:cs="Calibri"/>
                <w:noProof/>
                <w:lang w:val="pt-PT"/>
              </w:rPr>
              <w:t xml:space="preserve"> – Secretário do Bairro</w:t>
            </w:r>
          </w:p>
          <w:p w14:paraId="6107F10E" w14:textId="77777777" w:rsidR="00706222" w:rsidRPr="00292532" w:rsidRDefault="00706222" w:rsidP="00706222">
            <w:pPr>
              <w:spacing w:before="0" w:after="0" w:line="276" w:lineRule="auto"/>
              <w:jc w:val="left"/>
              <w:rPr>
                <w:rFonts w:eastAsia="Calibri" w:cs="Calibri"/>
                <w:noProof/>
                <w:lang w:val="pt-PT"/>
              </w:rPr>
            </w:pPr>
          </w:p>
        </w:tc>
      </w:tr>
      <w:tr w:rsidR="00706222" w:rsidRPr="00292532" w14:paraId="17982539"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03C76C5C"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Assédio sexual na busca de água.</w:t>
            </w:r>
          </w:p>
        </w:tc>
        <w:tc>
          <w:tcPr>
            <w:tcW w:w="4937" w:type="dxa"/>
            <w:tcBorders>
              <w:top w:val="single" w:sz="4" w:space="0" w:color="auto"/>
              <w:left w:val="single" w:sz="4" w:space="0" w:color="auto"/>
              <w:bottom w:val="single" w:sz="4" w:space="0" w:color="auto"/>
              <w:right w:val="single" w:sz="4" w:space="0" w:color="auto"/>
            </w:tcBorders>
            <w:vAlign w:val="center"/>
          </w:tcPr>
          <w:p w14:paraId="1494AC76"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O assedio entre membros da comunidade é dificil, eles se respeitam muito.</w:t>
            </w:r>
          </w:p>
        </w:tc>
        <w:tc>
          <w:tcPr>
            <w:tcW w:w="2268" w:type="dxa"/>
            <w:tcBorders>
              <w:top w:val="single" w:sz="4" w:space="0" w:color="auto"/>
              <w:left w:val="single" w:sz="4" w:space="0" w:color="auto"/>
              <w:bottom w:val="single" w:sz="4" w:space="0" w:color="auto"/>
              <w:right w:val="single" w:sz="4" w:space="0" w:color="auto"/>
            </w:tcBorders>
            <w:vAlign w:val="center"/>
          </w:tcPr>
          <w:p w14:paraId="26A8F6B2"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Rosario Augusto</w:t>
            </w:r>
            <w:r w:rsidRPr="00292532">
              <w:rPr>
                <w:rFonts w:eastAsia="Calibri" w:cs="Calibri"/>
                <w:noProof/>
                <w:lang w:val="pt-PT"/>
              </w:rPr>
              <w:t xml:space="preserve"> - Presidente do comité de água;</w:t>
            </w:r>
          </w:p>
          <w:p w14:paraId="3B0CDD9C"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Mussa Gaspar</w:t>
            </w:r>
            <w:r w:rsidRPr="00292532">
              <w:rPr>
                <w:rFonts w:eastAsia="Calibri" w:cs="Calibri"/>
                <w:noProof/>
                <w:lang w:val="pt-PT"/>
              </w:rPr>
              <w:t xml:space="preserve"> – Secretário do Bairro</w:t>
            </w:r>
          </w:p>
          <w:p w14:paraId="779E866E" w14:textId="77777777" w:rsidR="00706222" w:rsidRPr="00292532" w:rsidRDefault="00706222" w:rsidP="00706222">
            <w:pPr>
              <w:spacing w:before="0" w:after="0" w:line="276" w:lineRule="auto"/>
              <w:jc w:val="left"/>
              <w:rPr>
                <w:rFonts w:eastAsia="Calibri" w:cs="Calibri"/>
                <w:noProof/>
                <w:u w:val="single"/>
                <w:lang w:val="pt-PT"/>
              </w:rPr>
            </w:pPr>
          </w:p>
        </w:tc>
      </w:tr>
      <w:tr w:rsidR="00706222" w:rsidRPr="00292532" w14:paraId="226DD406"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42D8A78A"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lastRenderedPageBreak/>
              <w:t>Outros assuntos abordados</w:t>
            </w:r>
          </w:p>
        </w:tc>
        <w:tc>
          <w:tcPr>
            <w:tcW w:w="4937" w:type="dxa"/>
            <w:tcBorders>
              <w:top w:val="single" w:sz="4" w:space="0" w:color="auto"/>
              <w:left w:val="single" w:sz="4" w:space="0" w:color="auto"/>
              <w:bottom w:val="single" w:sz="4" w:space="0" w:color="auto"/>
              <w:right w:val="single" w:sz="4" w:space="0" w:color="auto"/>
            </w:tcBorders>
            <w:vAlign w:val="center"/>
          </w:tcPr>
          <w:p w14:paraId="0CA03CF1" w14:textId="77777777" w:rsidR="00706222" w:rsidRPr="00292532" w:rsidRDefault="00706222" w:rsidP="00AE14AE">
            <w:pPr>
              <w:numPr>
                <w:ilvl w:val="0"/>
                <w:numId w:val="184"/>
              </w:numPr>
              <w:spacing w:before="0" w:after="0" w:line="276" w:lineRule="auto"/>
              <w:contextualSpacing/>
              <w:jc w:val="left"/>
              <w:rPr>
                <w:rFonts w:eastAsia="Calibri" w:cs="Calibri"/>
                <w:noProof/>
                <w:lang w:val="pt-PT"/>
              </w:rPr>
            </w:pPr>
            <w:r w:rsidRPr="00292532">
              <w:rPr>
                <w:rFonts w:eastAsia="Calibri" w:cs="Calibri"/>
                <w:noProof/>
                <w:lang w:val="pt-PT"/>
              </w:rPr>
              <w:t>Abordou-se sobre tempo previsto para possivel arranque das obras em casos de haver o financiamento;</w:t>
            </w:r>
          </w:p>
          <w:p w14:paraId="7A4E9AED" w14:textId="77777777" w:rsidR="00706222" w:rsidRPr="00292532" w:rsidRDefault="00706222" w:rsidP="00AE14AE">
            <w:pPr>
              <w:numPr>
                <w:ilvl w:val="0"/>
                <w:numId w:val="184"/>
              </w:numPr>
              <w:spacing w:before="0" w:after="0" w:line="276" w:lineRule="auto"/>
              <w:contextualSpacing/>
              <w:jc w:val="left"/>
              <w:rPr>
                <w:rFonts w:eastAsia="Calibri" w:cs="Calibri"/>
                <w:noProof/>
                <w:lang w:val="pt-PT"/>
              </w:rPr>
            </w:pPr>
            <w:r w:rsidRPr="00292532">
              <w:rPr>
                <w:rFonts w:eastAsia="Calibri" w:cs="Calibri"/>
                <w:noProof/>
                <w:lang w:val="pt-PT"/>
              </w:rPr>
              <w:t>Discutiu-se sobre a qualidade da água;</w:t>
            </w:r>
          </w:p>
          <w:p w14:paraId="349A6AD6" w14:textId="77777777" w:rsidR="00706222" w:rsidRPr="00292532" w:rsidRDefault="00706222" w:rsidP="00AE14AE">
            <w:pPr>
              <w:numPr>
                <w:ilvl w:val="0"/>
                <w:numId w:val="184"/>
              </w:numPr>
              <w:spacing w:before="0" w:after="0" w:line="276" w:lineRule="auto"/>
              <w:contextualSpacing/>
              <w:jc w:val="left"/>
              <w:rPr>
                <w:rFonts w:eastAsia="Calibri" w:cs="Calibri"/>
                <w:noProof/>
                <w:lang w:val="pt-PT"/>
              </w:rPr>
            </w:pPr>
            <w:r w:rsidRPr="00292532">
              <w:rPr>
                <w:rFonts w:eastAsia="Calibri" w:cs="Calibri"/>
                <w:noProof/>
                <w:lang w:val="pt-PT"/>
              </w:rPr>
              <w:t xml:space="preserve">Abordou-se sobre a problematica do novo Coronavirus; </w:t>
            </w:r>
          </w:p>
          <w:p w14:paraId="23016D95" w14:textId="77777777" w:rsidR="00706222" w:rsidRPr="00292532" w:rsidRDefault="00706222" w:rsidP="00AE14AE">
            <w:pPr>
              <w:numPr>
                <w:ilvl w:val="0"/>
                <w:numId w:val="184"/>
              </w:numPr>
              <w:spacing w:before="0" w:after="0" w:line="276" w:lineRule="auto"/>
              <w:contextualSpacing/>
              <w:jc w:val="left"/>
              <w:rPr>
                <w:rFonts w:eastAsia="Calibri" w:cs="Calibri"/>
                <w:noProof/>
                <w:lang w:val="pt-PT"/>
              </w:rPr>
            </w:pPr>
            <w:r w:rsidRPr="00292532">
              <w:rPr>
                <w:rFonts w:eastAsia="Calibri" w:cs="Calibri"/>
                <w:noProof/>
                <w:lang w:val="pt-PT"/>
              </w:rPr>
              <w:t>Falou-se sobre aspectos ligados a qualidade das obras e seriedade dos empreiteitos.</w:t>
            </w:r>
          </w:p>
          <w:p w14:paraId="08D5BECE" w14:textId="77777777" w:rsidR="00706222" w:rsidRPr="00292532" w:rsidRDefault="00706222" w:rsidP="00706222">
            <w:pPr>
              <w:spacing w:before="0" w:after="0" w:line="276" w:lineRule="auto"/>
              <w:jc w:val="left"/>
              <w:rPr>
                <w:rFonts w:eastAsia="Calibri" w:cs="Calibri"/>
                <w:noProof/>
                <w:lang w:val="pt-PT"/>
              </w:rPr>
            </w:pPr>
          </w:p>
        </w:tc>
        <w:tc>
          <w:tcPr>
            <w:tcW w:w="2268" w:type="dxa"/>
            <w:tcBorders>
              <w:top w:val="single" w:sz="4" w:space="0" w:color="auto"/>
              <w:left w:val="single" w:sz="4" w:space="0" w:color="auto"/>
              <w:bottom w:val="single" w:sz="4" w:space="0" w:color="auto"/>
              <w:right w:val="single" w:sz="4" w:space="0" w:color="auto"/>
            </w:tcBorders>
            <w:vAlign w:val="center"/>
          </w:tcPr>
          <w:p w14:paraId="0B0597DE"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Rosario Augusto</w:t>
            </w:r>
            <w:r w:rsidRPr="00292532">
              <w:rPr>
                <w:rFonts w:eastAsia="Calibri" w:cs="Calibri"/>
                <w:noProof/>
                <w:lang w:val="pt-PT"/>
              </w:rPr>
              <w:t xml:space="preserve"> – presidente do comité de água;</w:t>
            </w:r>
          </w:p>
          <w:p w14:paraId="709FC782"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Cesario</w:t>
            </w:r>
            <w:r w:rsidRPr="00292532">
              <w:rPr>
                <w:rFonts w:eastAsia="Calibri" w:cs="Calibri"/>
                <w:noProof/>
                <w:lang w:val="pt-PT"/>
              </w:rPr>
              <w:t xml:space="preserve"> – SDPI;</w:t>
            </w:r>
          </w:p>
          <w:p w14:paraId="3CB5B858" w14:textId="77777777" w:rsidR="00706222" w:rsidRPr="00292532" w:rsidRDefault="00706222" w:rsidP="00706222">
            <w:pPr>
              <w:spacing w:before="0" w:after="0" w:line="276" w:lineRule="auto"/>
              <w:jc w:val="left"/>
              <w:rPr>
                <w:rFonts w:eastAsia="Calibri" w:cs="Calibri"/>
                <w:b/>
                <w:noProof/>
                <w:lang w:val="pt-PT"/>
              </w:rPr>
            </w:pPr>
            <w:r w:rsidRPr="00292532">
              <w:rPr>
                <w:rFonts w:eastAsia="Calibri" w:cs="Calibri"/>
                <w:b/>
                <w:noProof/>
                <w:lang w:val="pt-PT"/>
              </w:rPr>
              <w:t>Carla</w:t>
            </w:r>
            <w:r w:rsidRPr="00292532">
              <w:rPr>
                <w:rFonts w:eastAsia="Calibri" w:cs="Calibri"/>
                <w:noProof/>
                <w:lang w:val="pt-PT"/>
              </w:rPr>
              <w:t xml:space="preserve"> – SDPI.</w:t>
            </w:r>
          </w:p>
        </w:tc>
      </w:tr>
    </w:tbl>
    <w:p w14:paraId="6A6BABAA" w14:textId="77777777" w:rsidR="00706222" w:rsidRPr="00292532" w:rsidRDefault="00706222" w:rsidP="00706222">
      <w:pPr>
        <w:spacing w:before="0" w:line="259" w:lineRule="auto"/>
        <w:jc w:val="left"/>
        <w:rPr>
          <w:rFonts w:eastAsia="Calibri" w:cs="Calibri"/>
          <w:noProof/>
          <w:lang w:val="pt-PT"/>
        </w:rPr>
      </w:pPr>
    </w:p>
    <w:p w14:paraId="3FA58F85" w14:textId="2E1E46B3" w:rsidR="00706222" w:rsidRPr="00292532" w:rsidRDefault="00706222" w:rsidP="00706222">
      <w:pPr>
        <w:spacing w:before="0" w:line="259" w:lineRule="auto"/>
        <w:jc w:val="left"/>
        <w:rPr>
          <w:rFonts w:eastAsia="Calibri" w:cs="Calibri"/>
          <w:noProof/>
          <w:lang w:val="pt-PT"/>
        </w:rPr>
      </w:pPr>
      <w:r w:rsidRPr="00292532">
        <w:rPr>
          <w:rFonts w:eastAsia="Calibri" w:cs="Calibri"/>
          <w:noProof/>
          <w:lang w:val="en-US"/>
        </w:rPr>
        <w:drawing>
          <wp:inline distT="0" distB="0" distL="0" distR="0" wp14:anchorId="33D28A3A" wp14:editId="2F0DAB30">
            <wp:extent cx="5445457" cy="2340592"/>
            <wp:effectExtent l="0" t="0" r="3175" b="3175"/>
            <wp:docPr id="193" name="Imagem 1" descr="C:\Users\Amorim Manuel\Desktop\Consultoria David Malauene\Fotos\Namialo\20210629_123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orim Manuel\Desktop\Consultoria David Malauene\Fotos\Namialo\20210629_123037.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451121" cy="2343027"/>
                    </a:xfrm>
                    <a:prstGeom prst="rect">
                      <a:avLst/>
                    </a:prstGeom>
                    <a:noFill/>
                    <a:ln>
                      <a:noFill/>
                    </a:ln>
                  </pic:spPr>
                </pic:pic>
              </a:graphicData>
            </a:graphic>
          </wp:inline>
        </w:drawing>
      </w:r>
    </w:p>
    <w:p w14:paraId="4D7FB755" w14:textId="3A410E4E" w:rsidR="00706222" w:rsidRPr="00292532" w:rsidRDefault="00706222" w:rsidP="00706222">
      <w:pPr>
        <w:spacing w:before="0" w:line="259" w:lineRule="auto"/>
        <w:jc w:val="left"/>
        <w:rPr>
          <w:rFonts w:eastAsia="Calibri" w:cs="Calibri"/>
          <w:noProof/>
          <w:lang w:val="pt-PT"/>
        </w:rPr>
      </w:pPr>
      <w:r w:rsidRPr="00292532">
        <w:rPr>
          <w:rFonts w:eastAsia="Calibri" w:cs="Calibri"/>
          <w:noProof/>
          <w:lang w:val="en-US"/>
        </w:rPr>
        <w:drawing>
          <wp:inline distT="0" distB="0" distL="0" distR="0" wp14:anchorId="3A6D1B4B" wp14:editId="06BCD155">
            <wp:extent cx="5534167" cy="2197289"/>
            <wp:effectExtent l="0" t="0" r="0" b="0"/>
            <wp:docPr id="194" name="Imagem 2" descr="C:\Users\Amorim Manuel\Desktop\Consultoria David Malauene\Fotos\Namialo\20210629_115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orim Manuel\Desktop\Consultoria David Malauene\Fotos\Namialo\20210629_115650.jp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5539925" cy="2199575"/>
                    </a:xfrm>
                    <a:prstGeom prst="rect">
                      <a:avLst/>
                    </a:prstGeom>
                    <a:noFill/>
                    <a:ln>
                      <a:noFill/>
                    </a:ln>
                  </pic:spPr>
                </pic:pic>
              </a:graphicData>
            </a:graphic>
          </wp:inline>
        </w:drawing>
      </w:r>
    </w:p>
    <w:p w14:paraId="37A925CD" w14:textId="77777777" w:rsidR="00706222" w:rsidRPr="00292532" w:rsidRDefault="00706222" w:rsidP="00706222">
      <w:pPr>
        <w:spacing w:before="0" w:line="259" w:lineRule="auto"/>
        <w:jc w:val="left"/>
        <w:rPr>
          <w:rFonts w:eastAsia="Calibri" w:cs="Calibri"/>
          <w:noProof/>
          <w:lang w:val="pt-PT"/>
        </w:rPr>
      </w:pPr>
      <w:r w:rsidRPr="00292532">
        <w:rPr>
          <w:rFonts w:eastAsia="Calibri" w:cs="Calibri"/>
          <w:noProof/>
          <w:lang w:val="pt-PT"/>
        </w:rPr>
        <w:br w:type="page"/>
      </w:r>
    </w:p>
    <w:p w14:paraId="2B58BCD0" w14:textId="77777777" w:rsidR="00706222" w:rsidRPr="00292532" w:rsidRDefault="00706222" w:rsidP="00706222">
      <w:pPr>
        <w:spacing w:before="0" w:after="0" w:line="276" w:lineRule="auto"/>
        <w:jc w:val="center"/>
        <w:rPr>
          <w:rFonts w:eastAsia="Calibri" w:cs="Calibri"/>
          <w:b/>
          <w:noProof/>
          <w:sz w:val="24"/>
          <w:lang w:val="pt-PT"/>
        </w:rPr>
      </w:pPr>
    </w:p>
    <w:p w14:paraId="06504844" w14:textId="77777777" w:rsidR="00706222" w:rsidRPr="00292532" w:rsidRDefault="00706222" w:rsidP="00706222">
      <w:pPr>
        <w:spacing w:before="0" w:after="0" w:line="276" w:lineRule="auto"/>
        <w:jc w:val="center"/>
        <w:rPr>
          <w:rFonts w:eastAsia="Calibri" w:cs="Calibri"/>
          <w:b/>
          <w:noProof/>
          <w:sz w:val="24"/>
          <w:lang w:val="pt-PT"/>
        </w:rPr>
      </w:pPr>
      <w:r w:rsidRPr="00292532">
        <w:rPr>
          <w:rFonts w:eastAsia="Calibri" w:cs="Calibri"/>
          <w:b/>
          <w:noProof/>
          <w:sz w:val="24"/>
          <w:lang w:val="pt-PT"/>
        </w:rPr>
        <w:t>Distrito de Ilha de Moçambique</w:t>
      </w:r>
    </w:p>
    <w:p w14:paraId="50F0FDDE" w14:textId="77777777" w:rsidR="00706222" w:rsidRPr="00292532" w:rsidRDefault="00706222" w:rsidP="00706222">
      <w:pPr>
        <w:spacing w:before="0" w:after="0" w:line="276" w:lineRule="auto"/>
        <w:jc w:val="center"/>
        <w:rPr>
          <w:rFonts w:eastAsia="Calibri" w:cs="Calibri"/>
          <w:b/>
          <w:noProof/>
          <w:sz w:val="24"/>
          <w:lang w:val="pt-PT"/>
        </w:rPr>
      </w:pPr>
      <w:r w:rsidRPr="00292532">
        <w:rPr>
          <w:rFonts w:eastAsia="Calibri" w:cs="Calibri"/>
          <w:b/>
          <w:noProof/>
          <w:sz w:val="24"/>
          <w:lang w:val="pt-PT"/>
        </w:rPr>
        <w:t>Comunidade de Tocolo</w:t>
      </w:r>
    </w:p>
    <w:p w14:paraId="48480B15" w14:textId="77777777" w:rsidR="00706222" w:rsidRPr="00292532" w:rsidRDefault="00706222" w:rsidP="00706222">
      <w:pPr>
        <w:spacing w:before="0" w:line="259" w:lineRule="auto"/>
        <w:jc w:val="center"/>
        <w:rPr>
          <w:rFonts w:eastAsia="Calibri" w:cs="Calibri"/>
          <w:b/>
          <w:i/>
          <w:noProof/>
          <w:u w:val="single"/>
          <w:lang w:val="pt-PT"/>
        </w:rPr>
      </w:pPr>
    </w:p>
    <w:p w14:paraId="0EDE11E1" w14:textId="77777777" w:rsidR="00706222" w:rsidRPr="00292532" w:rsidRDefault="00706222" w:rsidP="00706222">
      <w:pPr>
        <w:spacing w:before="0" w:line="259" w:lineRule="auto"/>
        <w:jc w:val="center"/>
        <w:rPr>
          <w:rFonts w:eastAsia="Calibri" w:cs="Calibri"/>
          <w:b/>
          <w:i/>
          <w:noProof/>
          <w:u w:val="single"/>
          <w:lang w:val="pt-PT"/>
        </w:rPr>
      </w:pPr>
      <w:r w:rsidRPr="00292532">
        <w:rPr>
          <w:rFonts w:eastAsia="Calibri" w:cs="Calibri"/>
          <w:b/>
          <w:i/>
          <w:noProof/>
          <w:u w:val="single"/>
          <w:lang w:val="pt-PT"/>
        </w:rPr>
        <w:t>Acta da reunião</w:t>
      </w:r>
    </w:p>
    <w:p w14:paraId="786091C4" w14:textId="77777777" w:rsidR="00706222" w:rsidRPr="00292532" w:rsidRDefault="00706222" w:rsidP="00706222">
      <w:pPr>
        <w:spacing w:before="0" w:line="259" w:lineRule="auto"/>
        <w:jc w:val="center"/>
        <w:rPr>
          <w:rFonts w:eastAsia="Calibri" w:cs="Calibri"/>
          <w:b/>
          <w:i/>
          <w:noProof/>
          <w:u w:val="single"/>
          <w:lang w:val="pt-PT"/>
        </w:rPr>
      </w:pPr>
      <w:r w:rsidRPr="00292532">
        <w:rPr>
          <w:rFonts w:eastAsia="Calibri" w:cs="Calibri"/>
          <w:b/>
          <w:i/>
          <w:noProof/>
          <w:u w:val="single"/>
          <w:lang w:val="pt-PT"/>
        </w:rPr>
        <w:t>Dia: 30/07/2021</w:t>
      </w:r>
    </w:p>
    <w:p w14:paraId="2BC512C7" w14:textId="77777777" w:rsidR="00706222" w:rsidRPr="00292532" w:rsidRDefault="00706222" w:rsidP="00706222">
      <w:pPr>
        <w:spacing w:before="0" w:after="0" w:line="276" w:lineRule="auto"/>
        <w:jc w:val="center"/>
        <w:rPr>
          <w:rFonts w:eastAsia="Calibri" w:cs="Calibri"/>
          <w:noProof/>
          <w:sz w:val="24"/>
          <w:u w:val="single"/>
          <w:lang w:val="pt-PT"/>
        </w:rPr>
      </w:pPr>
      <w:r w:rsidRPr="00292532">
        <w:rPr>
          <w:rFonts w:eastAsia="Calibri" w:cs="Calibri"/>
          <w:noProof/>
          <w:sz w:val="24"/>
          <w:u w:val="single"/>
          <w:lang w:val="pt-PT"/>
        </w:rPr>
        <w:t>Consulta Publica para Elaboração de instrumentos genericos da gestão ambiental e social</w:t>
      </w:r>
    </w:p>
    <w:p w14:paraId="426E1876" w14:textId="77777777" w:rsidR="00706222" w:rsidRPr="00292532" w:rsidRDefault="00706222" w:rsidP="00706222">
      <w:pPr>
        <w:spacing w:before="0" w:after="0" w:line="276" w:lineRule="auto"/>
        <w:jc w:val="center"/>
        <w:rPr>
          <w:rFonts w:eastAsia="Calibri" w:cs="Calibri"/>
          <w:b/>
          <w:noProof/>
          <w:sz w:val="24"/>
          <w:lang w:val="pt-PT"/>
        </w:rPr>
      </w:pPr>
      <w:r w:rsidRPr="00292532">
        <w:rPr>
          <w:rFonts w:eastAsia="Calibri" w:cs="Calibri"/>
          <w:b/>
          <w:noProof/>
          <w:sz w:val="24"/>
          <w:lang w:val="pt-PT"/>
        </w:rPr>
        <w:t>Particparam 28 pessoas, sendo 18 Homens e 10 Mulheres</w:t>
      </w:r>
    </w:p>
    <w:tbl>
      <w:tblPr>
        <w:tblW w:w="9757" w:type="dxa"/>
        <w:tblInd w:w="-289" w:type="dxa"/>
        <w:tblLayout w:type="fixed"/>
        <w:tblLook w:val="04A0" w:firstRow="1" w:lastRow="0" w:firstColumn="1" w:lastColumn="0" w:noHBand="0" w:noVBand="1"/>
      </w:tblPr>
      <w:tblGrid>
        <w:gridCol w:w="2552"/>
        <w:gridCol w:w="4937"/>
        <w:gridCol w:w="2268"/>
      </w:tblGrid>
      <w:tr w:rsidR="00706222" w:rsidRPr="00292532" w14:paraId="78890855" w14:textId="77777777" w:rsidTr="00706222">
        <w:trPr>
          <w:trHeight w:val="70"/>
          <w:tblHeader/>
        </w:trPr>
        <w:tc>
          <w:tcPr>
            <w:tcW w:w="2552" w:type="dxa"/>
            <w:shd w:val="clear" w:color="auto" w:fill="4472C4"/>
            <w:vAlign w:val="center"/>
          </w:tcPr>
          <w:p w14:paraId="14AD3B3D" w14:textId="77777777" w:rsidR="00706222" w:rsidRPr="00292532" w:rsidRDefault="00706222" w:rsidP="00706222">
            <w:pPr>
              <w:tabs>
                <w:tab w:val="left" w:pos="2980"/>
              </w:tabs>
              <w:spacing w:before="0" w:after="0" w:line="276" w:lineRule="auto"/>
              <w:jc w:val="center"/>
              <w:rPr>
                <w:rFonts w:eastAsia="Calibri" w:cs="Calibri"/>
                <w:b/>
                <w:noProof/>
                <w:color w:val="FFFFFF"/>
                <w:lang w:val="pt-PT"/>
              </w:rPr>
            </w:pPr>
            <w:r w:rsidRPr="00292532">
              <w:rPr>
                <w:rFonts w:eastAsia="Calibri" w:cs="Calibri"/>
                <w:b/>
                <w:noProof/>
                <w:color w:val="FFFFFF"/>
                <w:lang w:val="pt-PT"/>
              </w:rPr>
              <w:t>Assuntos abordados</w:t>
            </w:r>
          </w:p>
        </w:tc>
        <w:tc>
          <w:tcPr>
            <w:tcW w:w="4937" w:type="dxa"/>
            <w:shd w:val="clear" w:color="auto" w:fill="4472C4"/>
            <w:vAlign w:val="center"/>
          </w:tcPr>
          <w:p w14:paraId="54C65ADE" w14:textId="77777777" w:rsidR="00706222" w:rsidRPr="00292532" w:rsidRDefault="00706222" w:rsidP="00706222">
            <w:pPr>
              <w:spacing w:before="0" w:after="0" w:line="276" w:lineRule="auto"/>
              <w:jc w:val="center"/>
              <w:rPr>
                <w:rFonts w:eastAsia="Calibri" w:cs="Calibri"/>
                <w:b/>
                <w:noProof/>
                <w:color w:val="FFFFFF"/>
                <w:lang w:val="pt-PT"/>
              </w:rPr>
            </w:pPr>
            <w:r w:rsidRPr="00292532">
              <w:rPr>
                <w:rFonts w:eastAsia="Times New Roman" w:cs="Calibri"/>
                <w:b/>
                <w:noProof/>
                <w:color w:val="FFFFFF"/>
                <w:lang w:val="pt-PT"/>
              </w:rPr>
              <w:t>Resposta / Comentário</w:t>
            </w:r>
          </w:p>
        </w:tc>
        <w:tc>
          <w:tcPr>
            <w:tcW w:w="2268" w:type="dxa"/>
            <w:shd w:val="clear" w:color="auto" w:fill="4472C4"/>
            <w:vAlign w:val="center"/>
          </w:tcPr>
          <w:p w14:paraId="5898C9F8" w14:textId="77777777" w:rsidR="00706222" w:rsidRPr="00292532" w:rsidRDefault="00706222" w:rsidP="00706222">
            <w:pPr>
              <w:spacing w:before="0" w:after="0" w:line="276" w:lineRule="auto"/>
              <w:jc w:val="center"/>
              <w:rPr>
                <w:rFonts w:eastAsia="Calibri" w:cs="Calibri"/>
                <w:b/>
                <w:noProof/>
                <w:color w:val="FFFFFF"/>
                <w:lang w:val="pt-PT"/>
              </w:rPr>
            </w:pPr>
            <w:r w:rsidRPr="00292532">
              <w:rPr>
                <w:rFonts w:eastAsia="Calibri" w:cs="Calibri"/>
                <w:b/>
                <w:noProof/>
                <w:color w:val="FFFFFF"/>
                <w:lang w:val="pt-PT"/>
              </w:rPr>
              <w:t>Intervenientes (nome, posição/título)</w:t>
            </w:r>
          </w:p>
        </w:tc>
      </w:tr>
      <w:tr w:rsidR="00706222" w:rsidRPr="004E2EAC" w14:paraId="1B1C5CA9" w14:textId="77777777" w:rsidTr="00706222">
        <w:trPr>
          <w:trHeight w:val="746"/>
        </w:trPr>
        <w:tc>
          <w:tcPr>
            <w:tcW w:w="2552" w:type="dxa"/>
            <w:vMerge w:val="restart"/>
            <w:tcBorders>
              <w:top w:val="single" w:sz="4" w:space="0" w:color="auto"/>
              <w:left w:val="single" w:sz="4" w:space="0" w:color="auto"/>
              <w:right w:val="single" w:sz="4" w:space="0" w:color="auto"/>
            </w:tcBorders>
            <w:vAlign w:val="center"/>
          </w:tcPr>
          <w:p w14:paraId="3C118B88"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Quais são as prioridades da vossa comunidade, para implantar um sistema de abastecimento de água.</w:t>
            </w:r>
          </w:p>
        </w:tc>
        <w:tc>
          <w:tcPr>
            <w:tcW w:w="4937" w:type="dxa"/>
            <w:vMerge w:val="restart"/>
            <w:tcBorders>
              <w:top w:val="single" w:sz="4" w:space="0" w:color="auto"/>
              <w:left w:val="single" w:sz="4" w:space="0" w:color="auto"/>
              <w:right w:val="single" w:sz="4" w:space="0" w:color="auto"/>
            </w:tcBorders>
            <w:vAlign w:val="center"/>
          </w:tcPr>
          <w:p w14:paraId="0822B48E"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As prioridades na nossa comunidade para implantar um sistema de abastecimento de água são:</w:t>
            </w:r>
          </w:p>
          <w:p w14:paraId="36755E63" w14:textId="77777777" w:rsidR="00706222" w:rsidRPr="00292532" w:rsidRDefault="00706222" w:rsidP="00AE14AE">
            <w:pPr>
              <w:numPr>
                <w:ilvl w:val="0"/>
                <w:numId w:val="172"/>
              </w:numPr>
              <w:spacing w:before="0" w:after="0" w:line="276" w:lineRule="auto"/>
              <w:contextualSpacing/>
              <w:jc w:val="left"/>
              <w:rPr>
                <w:rFonts w:eastAsia="Calibri" w:cs="Calibri"/>
                <w:noProof/>
                <w:lang w:val="pt-PT"/>
              </w:rPr>
            </w:pPr>
            <w:r w:rsidRPr="00292532">
              <w:rPr>
                <w:rFonts w:eastAsia="Calibri" w:cs="Calibri"/>
                <w:noProof/>
                <w:lang w:val="pt-PT"/>
              </w:rPr>
              <w:t>Deve ser um local onde seja possível distribuir a água para toda da comunidade;</w:t>
            </w:r>
          </w:p>
          <w:p w14:paraId="4FB2DBA6" w14:textId="77777777" w:rsidR="00706222" w:rsidRPr="00292532" w:rsidRDefault="00706222" w:rsidP="00AE14AE">
            <w:pPr>
              <w:numPr>
                <w:ilvl w:val="0"/>
                <w:numId w:val="172"/>
              </w:numPr>
              <w:spacing w:before="0" w:after="0" w:line="276" w:lineRule="auto"/>
              <w:contextualSpacing/>
              <w:jc w:val="left"/>
              <w:rPr>
                <w:rFonts w:eastAsia="Calibri" w:cs="Calibri"/>
                <w:noProof/>
                <w:lang w:val="pt-PT"/>
              </w:rPr>
            </w:pPr>
            <w:r w:rsidRPr="00292532">
              <w:rPr>
                <w:rFonts w:eastAsia="Calibri" w:cs="Calibri"/>
                <w:noProof/>
                <w:lang w:val="pt-PT"/>
              </w:rPr>
              <w:t>Deve se indentificar um local onde o lençol freático tenha água boa e não salubre, porque os poucos furos existentes fornecem água não boa.</w:t>
            </w:r>
          </w:p>
        </w:tc>
        <w:tc>
          <w:tcPr>
            <w:tcW w:w="2268" w:type="dxa"/>
            <w:tcBorders>
              <w:top w:val="single" w:sz="4" w:space="0" w:color="auto"/>
              <w:left w:val="single" w:sz="4" w:space="0" w:color="auto"/>
              <w:right w:val="single" w:sz="4" w:space="0" w:color="auto"/>
            </w:tcBorders>
            <w:vAlign w:val="center"/>
          </w:tcPr>
          <w:p w14:paraId="1BA1476C" w14:textId="77777777" w:rsidR="00706222" w:rsidRPr="00292532" w:rsidRDefault="00706222" w:rsidP="00706222">
            <w:pPr>
              <w:spacing w:before="0" w:after="0" w:line="276" w:lineRule="auto"/>
              <w:jc w:val="left"/>
              <w:rPr>
                <w:rFonts w:eastAsia="Calibri" w:cs="Calibri"/>
                <w:noProof/>
                <w:u w:val="single"/>
                <w:lang w:val="pt-PT"/>
              </w:rPr>
            </w:pPr>
          </w:p>
          <w:p w14:paraId="153DC517"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Chane Mamudo</w:t>
            </w:r>
            <w:r w:rsidRPr="00292532">
              <w:rPr>
                <w:rFonts w:eastAsia="Calibri" w:cs="Calibri"/>
                <w:noProof/>
                <w:lang w:val="pt-PT"/>
              </w:rPr>
              <w:t xml:space="preserve"> – Vereador de Saneamento;</w:t>
            </w:r>
          </w:p>
          <w:p w14:paraId="7DBEC870"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Camilo Assuate</w:t>
            </w:r>
            <w:r w:rsidRPr="00292532">
              <w:rPr>
                <w:rFonts w:eastAsia="Calibri" w:cs="Calibri"/>
                <w:noProof/>
                <w:lang w:val="pt-PT"/>
              </w:rPr>
              <w:t xml:space="preserve"> – Secretario do Bairro.</w:t>
            </w:r>
          </w:p>
        </w:tc>
      </w:tr>
      <w:tr w:rsidR="00706222" w:rsidRPr="004E2EAC" w14:paraId="28215F7D" w14:textId="77777777" w:rsidTr="00706222">
        <w:trPr>
          <w:trHeight w:val="1074"/>
        </w:trPr>
        <w:tc>
          <w:tcPr>
            <w:tcW w:w="2552" w:type="dxa"/>
            <w:vMerge/>
            <w:tcBorders>
              <w:left w:val="single" w:sz="4" w:space="0" w:color="auto"/>
              <w:bottom w:val="single" w:sz="4" w:space="0" w:color="auto"/>
              <w:right w:val="single" w:sz="4" w:space="0" w:color="auto"/>
            </w:tcBorders>
            <w:vAlign w:val="center"/>
          </w:tcPr>
          <w:p w14:paraId="2A1B8F7F" w14:textId="77777777" w:rsidR="00706222" w:rsidRPr="00292532" w:rsidRDefault="00706222" w:rsidP="00706222">
            <w:pPr>
              <w:spacing w:before="0" w:after="0" w:line="276" w:lineRule="auto"/>
              <w:jc w:val="left"/>
              <w:rPr>
                <w:rFonts w:eastAsia="Calibri" w:cs="Calibri"/>
                <w:noProof/>
                <w:lang w:val="pt-PT"/>
              </w:rPr>
            </w:pPr>
          </w:p>
        </w:tc>
        <w:tc>
          <w:tcPr>
            <w:tcW w:w="4937" w:type="dxa"/>
            <w:vMerge/>
            <w:tcBorders>
              <w:left w:val="single" w:sz="4" w:space="0" w:color="auto"/>
              <w:bottom w:val="single" w:sz="4" w:space="0" w:color="auto"/>
              <w:right w:val="single" w:sz="4" w:space="0" w:color="auto"/>
            </w:tcBorders>
            <w:vAlign w:val="center"/>
          </w:tcPr>
          <w:p w14:paraId="7E5CB547" w14:textId="77777777" w:rsidR="00706222" w:rsidRPr="00292532" w:rsidRDefault="00706222" w:rsidP="00706222">
            <w:pPr>
              <w:spacing w:before="0" w:after="0" w:line="276" w:lineRule="auto"/>
              <w:jc w:val="left"/>
              <w:rPr>
                <w:rFonts w:eastAsia="Calibri" w:cs="Calibri"/>
                <w:noProof/>
                <w:lang w:val="pt-PT"/>
              </w:rPr>
            </w:pPr>
          </w:p>
        </w:tc>
        <w:tc>
          <w:tcPr>
            <w:tcW w:w="2268" w:type="dxa"/>
            <w:tcBorders>
              <w:left w:val="single" w:sz="4" w:space="0" w:color="auto"/>
              <w:bottom w:val="single" w:sz="4" w:space="0" w:color="auto"/>
              <w:right w:val="single" w:sz="4" w:space="0" w:color="auto"/>
            </w:tcBorders>
            <w:vAlign w:val="center"/>
          </w:tcPr>
          <w:p w14:paraId="45A36332" w14:textId="77777777" w:rsidR="00706222" w:rsidRPr="00292532" w:rsidRDefault="00706222" w:rsidP="00706222">
            <w:pPr>
              <w:spacing w:before="0" w:after="0" w:line="276" w:lineRule="auto"/>
              <w:jc w:val="left"/>
              <w:rPr>
                <w:rFonts w:eastAsia="Calibri" w:cs="Calibri"/>
                <w:noProof/>
                <w:u w:val="single"/>
                <w:lang w:val="pt-PT"/>
              </w:rPr>
            </w:pPr>
          </w:p>
        </w:tc>
      </w:tr>
      <w:tr w:rsidR="00706222" w:rsidRPr="004E2EAC" w14:paraId="4391D929" w14:textId="77777777" w:rsidTr="00706222">
        <w:tc>
          <w:tcPr>
            <w:tcW w:w="2552" w:type="dxa"/>
            <w:tcBorders>
              <w:top w:val="single" w:sz="4" w:space="0" w:color="auto"/>
              <w:left w:val="single" w:sz="4" w:space="0" w:color="auto"/>
              <w:bottom w:val="single" w:sz="4" w:space="0" w:color="auto"/>
              <w:right w:val="single" w:sz="4" w:space="0" w:color="auto"/>
            </w:tcBorders>
            <w:vAlign w:val="center"/>
            <w:hideMark/>
          </w:tcPr>
          <w:p w14:paraId="23590E96" w14:textId="77777777" w:rsidR="00706222" w:rsidRPr="00292532" w:rsidRDefault="00706222" w:rsidP="00706222">
            <w:pPr>
              <w:spacing w:before="0" w:after="0" w:line="276" w:lineRule="auto"/>
              <w:jc w:val="left"/>
              <w:rPr>
                <w:rFonts w:eastAsia="Calibri" w:cs="Calibri"/>
                <w:noProof/>
                <w:lang w:val="pt-PT"/>
              </w:rPr>
            </w:pPr>
          </w:p>
          <w:p w14:paraId="2A91519B"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Mecanismo de Gestão de Reclamação e conflitos a nível local e recomendação para o projecto.</w:t>
            </w:r>
          </w:p>
        </w:tc>
        <w:tc>
          <w:tcPr>
            <w:tcW w:w="4937" w:type="dxa"/>
            <w:tcBorders>
              <w:top w:val="single" w:sz="4" w:space="0" w:color="auto"/>
              <w:left w:val="single" w:sz="4" w:space="0" w:color="auto"/>
              <w:bottom w:val="single" w:sz="4" w:space="0" w:color="auto"/>
              <w:right w:val="single" w:sz="4" w:space="0" w:color="auto"/>
            </w:tcBorders>
            <w:vAlign w:val="center"/>
          </w:tcPr>
          <w:p w14:paraId="23F47B3B"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Todos os conflitos que surgem na comunidade são geridos pelos lideres e secretários dos bairros; Porque é muito dificil gerir conflitos nesta comunidade a população é muito complicada.</w:t>
            </w:r>
          </w:p>
          <w:p w14:paraId="75284AB1"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Quando eles não conseguem gerir pedem apoio das autoridades superiores (policias, tribunai).etc</w:t>
            </w:r>
          </w:p>
          <w:p w14:paraId="25C65459"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Recomenda-se que o projecto em casos de tiver um conflito ao nivel local contactar as autoridades superiores.</w:t>
            </w:r>
          </w:p>
        </w:tc>
        <w:tc>
          <w:tcPr>
            <w:tcW w:w="2268" w:type="dxa"/>
            <w:tcBorders>
              <w:top w:val="single" w:sz="4" w:space="0" w:color="auto"/>
              <w:left w:val="single" w:sz="4" w:space="0" w:color="auto"/>
              <w:bottom w:val="single" w:sz="4" w:space="0" w:color="auto"/>
              <w:right w:val="single" w:sz="4" w:space="0" w:color="auto"/>
            </w:tcBorders>
            <w:vAlign w:val="center"/>
          </w:tcPr>
          <w:p w14:paraId="449EB179"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Camilo Assuate</w:t>
            </w:r>
            <w:r w:rsidRPr="00292532">
              <w:rPr>
                <w:rFonts w:eastAsia="Calibri" w:cs="Calibri"/>
                <w:noProof/>
                <w:lang w:val="pt-PT"/>
              </w:rPr>
              <w:t xml:space="preserve"> – Secretario do Bairro;</w:t>
            </w:r>
          </w:p>
          <w:p w14:paraId="170B5251"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Abudo Atumane</w:t>
            </w:r>
            <w:r w:rsidRPr="00292532">
              <w:rPr>
                <w:rFonts w:eastAsia="Calibri" w:cs="Calibri"/>
                <w:noProof/>
                <w:lang w:val="pt-PT"/>
              </w:rPr>
              <w:t xml:space="preserve"> – Regulo.</w:t>
            </w:r>
          </w:p>
          <w:p w14:paraId="28619B5C"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Daudo Juma</w:t>
            </w:r>
            <w:r w:rsidRPr="00292532">
              <w:rPr>
                <w:rFonts w:eastAsia="Calibri" w:cs="Calibri"/>
                <w:noProof/>
                <w:lang w:val="pt-PT"/>
              </w:rPr>
              <w:t xml:space="preserve"> – Residente.</w:t>
            </w:r>
          </w:p>
        </w:tc>
      </w:tr>
      <w:tr w:rsidR="00706222" w:rsidRPr="00292532" w14:paraId="6DB9D420" w14:textId="77777777" w:rsidTr="00706222">
        <w:trPr>
          <w:trHeight w:val="1057"/>
        </w:trPr>
        <w:tc>
          <w:tcPr>
            <w:tcW w:w="2552" w:type="dxa"/>
            <w:vMerge w:val="restart"/>
            <w:tcBorders>
              <w:top w:val="single" w:sz="4" w:space="0" w:color="auto"/>
              <w:left w:val="single" w:sz="4" w:space="0" w:color="auto"/>
              <w:right w:val="single" w:sz="4" w:space="0" w:color="auto"/>
            </w:tcBorders>
            <w:vAlign w:val="center"/>
            <w:hideMark/>
          </w:tcPr>
          <w:p w14:paraId="4D44D156" w14:textId="77777777" w:rsidR="00706222" w:rsidRPr="00292532" w:rsidRDefault="00706222" w:rsidP="00706222">
            <w:pPr>
              <w:spacing w:before="0" w:after="0" w:line="259" w:lineRule="auto"/>
              <w:jc w:val="left"/>
              <w:rPr>
                <w:rFonts w:eastAsia="Calibri" w:cs="Calibri"/>
                <w:b/>
                <w:bCs/>
                <w:noProof/>
                <w:lang w:val="pt-PT"/>
              </w:rPr>
            </w:pPr>
            <w:r w:rsidRPr="00292532">
              <w:rPr>
                <w:rFonts w:eastAsia="Calibri" w:cs="Calibri"/>
                <w:b/>
                <w:bCs/>
                <w:noProof/>
                <w:lang w:val="pt-PT"/>
              </w:rPr>
              <w:t>Aspectos importantes a salváguardar durante a execução do projecto.</w:t>
            </w:r>
          </w:p>
          <w:p w14:paraId="641FA91B" w14:textId="77777777" w:rsidR="00706222" w:rsidRPr="00292532" w:rsidRDefault="00706222" w:rsidP="00706222">
            <w:pPr>
              <w:spacing w:before="0" w:after="0" w:line="276" w:lineRule="auto"/>
              <w:jc w:val="left"/>
              <w:rPr>
                <w:rFonts w:eastAsia="Calibri" w:cs="Calibri"/>
                <w:noProof/>
                <w:lang w:val="pt-PT"/>
              </w:rPr>
            </w:pPr>
          </w:p>
        </w:tc>
        <w:tc>
          <w:tcPr>
            <w:tcW w:w="4937" w:type="dxa"/>
            <w:vMerge w:val="restart"/>
            <w:tcBorders>
              <w:top w:val="single" w:sz="4" w:space="0" w:color="auto"/>
              <w:left w:val="single" w:sz="4" w:space="0" w:color="auto"/>
              <w:right w:val="single" w:sz="4" w:space="0" w:color="auto"/>
            </w:tcBorders>
            <w:vAlign w:val="center"/>
          </w:tcPr>
          <w:p w14:paraId="2DA75AFC" w14:textId="77777777" w:rsidR="00706222" w:rsidRPr="00292532" w:rsidRDefault="00706222" w:rsidP="00AE14AE">
            <w:pPr>
              <w:numPr>
                <w:ilvl w:val="0"/>
                <w:numId w:val="187"/>
              </w:numPr>
              <w:spacing w:before="0" w:after="0" w:line="276" w:lineRule="auto"/>
              <w:contextualSpacing/>
              <w:jc w:val="left"/>
              <w:rPr>
                <w:rFonts w:eastAsia="Calibri" w:cs="Calibri"/>
                <w:noProof/>
                <w:lang w:val="pt-PT"/>
              </w:rPr>
            </w:pPr>
            <w:r w:rsidRPr="00292532">
              <w:rPr>
                <w:rFonts w:eastAsia="Calibri" w:cs="Calibri"/>
                <w:noProof/>
                <w:lang w:val="pt-PT"/>
              </w:rPr>
              <w:t>Manter contacto frequente com a liderança local;</w:t>
            </w:r>
          </w:p>
          <w:p w14:paraId="085A37CA" w14:textId="77777777" w:rsidR="00706222" w:rsidRPr="00292532" w:rsidRDefault="00706222" w:rsidP="00AE14AE">
            <w:pPr>
              <w:numPr>
                <w:ilvl w:val="0"/>
                <w:numId w:val="187"/>
              </w:numPr>
              <w:spacing w:before="0" w:after="0" w:line="276" w:lineRule="auto"/>
              <w:contextualSpacing/>
              <w:jc w:val="left"/>
              <w:rPr>
                <w:rFonts w:eastAsia="Calibri" w:cs="Calibri"/>
                <w:noProof/>
                <w:lang w:val="pt-PT"/>
              </w:rPr>
            </w:pPr>
            <w:r w:rsidRPr="00292532">
              <w:rPr>
                <w:rFonts w:eastAsia="Calibri" w:cs="Calibri"/>
                <w:noProof/>
                <w:lang w:val="pt-PT"/>
              </w:rPr>
              <w:t>Preservar os locais sagrados existentes, em caso de serem abrangidos;</w:t>
            </w:r>
          </w:p>
          <w:p w14:paraId="081AE361" w14:textId="77777777" w:rsidR="00706222" w:rsidRPr="00292532" w:rsidRDefault="00706222" w:rsidP="00AE14AE">
            <w:pPr>
              <w:numPr>
                <w:ilvl w:val="0"/>
                <w:numId w:val="187"/>
              </w:numPr>
              <w:spacing w:before="0" w:after="0" w:line="276" w:lineRule="auto"/>
              <w:contextualSpacing/>
              <w:jc w:val="left"/>
              <w:rPr>
                <w:rFonts w:eastAsia="Calibri" w:cs="Calibri"/>
                <w:noProof/>
                <w:lang w:val="pt-PT"/>
              </w:rPr>
            </w:pPr>
            <w:r w:rsidRPr="00292532">
              <w:rPr>
                <w:rFonts w:eastAsia="Calibri" w:cs="Calibri"/>
                <w:noProof/>
                <w:lang w:val="pt-PT"/>
              </w:rPr>
              <w:t>Sempre que encontrarem uma machamba ou uma infraestrutura deve haver um acordo mútuo entre o projecto e os proprietários.</w:t>
            </w:r>
          </w:p>
        </w:tc>
        <w:tc>
          <w:tcPr>
            <w:tcW w:w="2268" w:type="dxa"/>
            <w:tcBorders>
              <w:top w:val="single" w:sz="4" w:space="0" w:color="auto"/>
              <w:left w:val="single" w:sz="4" w:space="0" w:color="auto"/>
              <w:right w:val="single" w:sz="4" w:space="0" w:color="auto"/>
            </w:tcBorders>
            <w:vAlign w:val="center"/>
          </w:tcPr>
          <w:p w14:paraId="0A91AD0D"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Abudo Atumane</w:t>
            </w:r>
            <w:r w:rsidRPr="00292532">
              <w:rPr>
                <w:rFonts w:eastAsia="Calibri" w:cs="Calibri"/>
                <w:noProof/>
                <w:lang w:val="pt-PT"/>
              </w:rPr>
              <w:t xml:space="preserve"> – Regulo.</w:t>
            </w:r>
          </w:p>
          <w:p w14:paraId="11A870AA"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Agostinho Jose</w:t>
            </w:r>
            <w:r w:rsidRPr="00292532">
              <w:rPr>
                <w:rFonts w:eastAsia="Calibri" w:cs="Calibri"/>
                <w:noProof/>
                <w:lang w:val="pt-PT"/>
              </w:rPr>
              <w:t xml:space="preserve"> – Vereador Urbanização.</w:t>
            </w:r>
          </w:p>
          <w:p w14:paraId="05F6F24B"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Muaziza</w:t>
            </w:r>
            <w:r w:rsidRPr="00292532">
              <w:rPr>
                <w:rFonts w:eastAsia="Calibri" w:cs="Calibri"/>
                <w:noProof/>
                <w:lang w:val="pt-PT"/>
              </w:rPr>
              <w:t xml:space="preserve"> – Residente.</w:t>
            </w:r>
          </w:p>
        </w:tc>
      </w:tr>
      <w:tr w:rsidR="00706222" w:rsidRPr="00292532" w14:paraId="1CF31A0C" w14:textId="77777777" w:rsidTr="00706222">
        <w:trPr>
          <w:trHeight w:val="611"/>
        </w:trPr>
        <w:tc>
          <w:tcPr>
            <w:tcW w:w="2552" w:type="dxa"/>
            <w:vMerge/>
            <w:tcBorders>
              <w:left w:val="single" w:sz="4" w:space="0" w:color="auto"/>
              <w:bottom w:val="single" w:sz="4" w:space="0" w:color="auto"/>
              <w:right w:val="single" w:sz="4" w:space="0" w:color="auto"/>
            </w:tcBorders>
            <w:vAlign w:val="center"/>
          </w:tcPr>
          <w:p w14:paraId="0D0BC843" w14:textId="77777777" w:rsidR="00706222" w:rsidRPr="00292532" w:rsidRDefault="00706222" w:rsidP="00706222">
            <w:pPr>
              <w:spacing w:before="0" w:after="0" w:line="276" w:lineRule="auto"/>
              <w:jc w:val="left"/>
              <w:rPr>
                <w:rFonts w:eastAsia="Calibri" w:cs="Calibri"/>
                <w:noProof/>
                <w:lang w:val="pt-PT"/>
              </w:rPr>
            </w:pPr>
          </w:p>
        </w:tc>
        <w:tc>
          <w:tcPr>
            <w:tcW w:w="4937" w:type="dxa"/>
            <w:vMerge/>
            <w:tcBorders>
              <w:left w:val="single" w:sz="4" w:space="0" w:color="auto"/>
              <w:bottom w:val="single" w:sz="4" w:space="0" w:color="auto"/>
              <w:right w:val="single" w:sz="4" w:space="0" w:color="auto"/>
            </w:tcBorders>
            <w:vAlign w:val="center"/>
          </w:tcPr>
          <w:p w14:paraId="180E76E7" w14:textId="77777777" w:rsidR="00706222" w:rsidRPr="00292532" w:rsidRDefault="00706222" w:rsidP="00706222">
            <w:pPr>
              <w:spacing w:before="0" w:after="0" w:line="276" w:lineRule="auto"/>
              <w:jc w:val="left"/>
              <w:rPr>
                <w:rFonts w:eastAsia="Calibri" w:cs="Calibri"/>
                <w:noProof/>
                <w:lang w:val="pt-PT"/>
              </w:rPr>
            </w:pPr>
          </w:p>
        </w:tc>
        <w:tc>
          <w:tcPr>
            <w:tcW w:w="2268" w:type="dxa"/>
            <w:tcBorders>
              <w:left w:val="single" w:sz="4" w:space="0" w:color="auto"/>
              <w:bottom w:val="single" w:sz="4" w:space="0" w:color="auto"/>
              <w:right w:val="single" w:sz="4" w:space="0" w:color="auto"/>
            </w:tcBorders>
            <w:vAlign w:val="center"/>
          </w:tcPr>
          <w:p w14:paraId="7DF4371C" w14:textId="77777777" w:rsidR="00706222" w:rsidRPr="00292532" w:rsidRDefault="00706222" w:rsidP="00706222">
            <w:pPr>
              <w:spacing w:before="0" w:after="0" w:line="276" w:lineRule="auto"/>
              <w:jc w:val="left"/>
              <w:rPr>
                <w:rFonts w:eastAsia="Calibri" w:cs="Calibri"/>
                <w:noProof/>
                <w:lang w:val="pt-PT"/>
              </w:rPr>
            </w:pPr>
          </w:p>
        </w:tc>
      </w:tr>
      <w:tr w:rsidR="00706222" w:rsidRPr="00292532" w14:paraId="2A2C0047" w14:textId="77777777" w:rsidTr="00706222">
        <w:tc>
          <w:tcPr>
            <w:tcW w:w="2552" w:type="dxa"/>
            <w:tcBorders>
              <w:top w:val="single" w:sz="4" w:space="0" w:color="auto"/>
              <w:left w:val="single" w:sz="4" w:space="0" w:color="auto"/>
              <w:bottom w:val="single" w:sz="4" w:space="0" w:color="auto"/>
              <w:right w:val="single" w:sz="4" w:space="0" w:color="auto"/>
            </w:tcBorders>
            <w:vAlign w:val="center"/>
            <w:hideMark/>
          </w:tcPr>
          <w:p w14:paraId="353AEEFD"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bCs/>
                <w:noProof/>
                <w:lang w:val="pt-PT"/>
              </w:rPr>
              <w:t>Recrutamento de Mão-de-Obra.</w:t>
            </w:r>
          </w:p>
        </w:tc>
        <w:tc>
          <w:tcPr>
            <w:tcW w:w="4937" w:type="dxa"/>
            <w:tcBorders>
              <w:top w:val="single" w:sz="4" w:space="0" w:color="auto"/>
              <w:left w:val="single" w:sz="4" w:space="0" w:color="auto"/>
              <w:bottom w:val="single" w:sz="4" w:space="0" w:color="auto"/>
              <w:right w:val="single" w:sz="4" w:space="0" w:color="auto"/>
            </w:tcBorders>
            <w:vAlign w:val="center"/>
          </w:tcPr>
          <w:p w14:paraId="30EF3554" w14:textId="77777777" w:rsidR="00706222" w:rsidRPr="00292532" w:rsidRDefault="00706222" w:rsidP="00AE14AE">
            <w:pPr>
              <w:numPr>
                <w:ilvl w:val="0"/>
                <w:numId w:val="188"/>
              </w:numPr>
              <w:spacing w:before="0" w:after="0" w:line="276" w:lineRule="auto"/>
              <w:contextualSpacing/>
              <w:jc w:val="left"/>
              <w:rPr>
                <w:rFonts w:eastAsia="Calibri" w:cs="Calibri"/>
                <w:noProof/>
                <w:lang w:val="pt-PT"/>
              </w:rPr>
            </w:pPr>
            <w:r w:rsidRPr="00292532">
              <w:rPr>
                <w:rFonts w:eastAsia="Calibri" w:cs="Calibri"/>
                <w:noProof/>
                <w:lang w:val="pt-PT"/>
              </w:rPr>
              <w:t>Deve se priorizar o recrutamento da mão-de-obra local;</w:t>
            </w:r>
          </w:p>
          <w:p w14:paraId="63DDB40D" w14:textId="77777777" w:rsidR="00706222" w:rsidRPr="00292532" w:rsidRDefault="00706222" w:rsidP="00AE14AE">
            <w:pPr>
              <w:numPr>
                <w:ilvl w:val="0"/>
                <w:numId w:val="188"/>
              </w:numPr>
              <w:spacing w:before="0" w:after="0" w:line="276" w:lineRule="auto"/>
              <w:contextualSpacing/>
              <w:jc w:val="left"/>
              <w:rPr>
                <w:rFonts w:eastAsia="Calibri" w:cs="Calibri"/>
                <w:noProof/>
                <w:lang w:val="pt-PT"/>
              </w:rPr>
            </w:pPr>
            <w:r w:rsidRPr="00292532">
              <w:rPr>
                <w:rFonts w:eastAsia="Calibri" w:cs="Calibri"/>
                <w:noProof/>
                <w:lang w:val="pt-PT"/>
              </w:rPr>
              <w:t xml:space="preserve">Se o projecto pretender recrutar a mão de obra, deve vir marcar encontros de  consulta com os membros da comunidade, porque se pedir os lideres locais eles vão contratar seus parentes, não há muita transparência </w:t>
            </w:r>
            <w:r w:rsidRPr="00292532">
              <w:rPr>
                <w:rFonts w:eastAsia="Calibri" w:cs="Calibri"/>
                <w:noProof/>
                <w:lang w:val="pt-PT"/>
              </w:rPr>
              <w:lastRenderedPageBreak/>
              <w:t>no recrutamento por parte das lideranças locais.</w:t>
            </w:r>
          </w:p>
        </w:tc>
        <w:tc>
          <w:tcPr>
            <w:tcW w:w="2268" w:type="dxa"/>
            <w:tcBorders>
              <w:top w:val="single" w:sz="4" w:space="0" w:color="auto"/>
              <w:left w:val="single" w:sz="4" w:space="0" w:color="auto"/>
              <w:bottom w:val="single" w:sz="4" w:space="0" w:color="auto"/>
              <w:right w:val="single" w:sz="4" w:space="0" w:color="auto"/>
            </w:tcBorders>
            <w:vAlign w:val="center"/>
          </w:tcPr>
          <w:p w14:paraId="4B513D13"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lastRenderedPageBreak/>
              <w:t>Amina</w:t>
            </w:r>
            <w:r w:rsidRPr="00292532">
              <w:rPr>
                <w:rFonts w:eastAsia="Calibri" w:cs="Calibri"/>
                <w:noProof/>
                <w:lang w:val="pt-PT"/>
              </w:rPr>
              <w:t xml:space="preserve"> – Residente;</w:t>
            </w:r>
          </w:p>
          <w:p w14:paraId="06A0E064"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Ibraimo Amisse</w:t>
            </w:r>
            <w:r w:rsidRPr="00292532">
              <w:rPr>
                <w:rFonts w:eastAsia="Calibri" w:cs="Calibri"/>
                <w:noProof/>
                <w:lang w:val="pt-PT"/>
              </w:rPr>
              <w:t xml:space="preserve"> – Residente;</w:t>
            </w:r>
          </w:p>
          <w:p w14:paraId="64CD11AD"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Salimo Ernesto</w:t>
            </w:r>
            <w:r w:rsidRPr="00292532">
              <w:rPr>
                <w:rFonts w:eastAsia="Calibri" w:cs="Calibri"/>
                <w:noProof/>
                <w:lang w:val="pt-PT"/>
              </w:rPr>
              <w:t xml:space="preserve"> – Residente.</w:t>
            </w:r>
          </w:p>
        </w:tc>
      </w:tr>
      <w:tr w:rsidR="00706222" w:rsidRPr="00292532" w14:paraId="64D2473F" w14:textId="77777777" w:rsidTr="00706222">
        <w:trPr>
          <w:trHeight w:val="745"/>
        </w:trPr>
        <w:tc>
          <w:tcPr>
            <w:tcW w:w="2552" w:type="dxa"/>
            <w:tcBorders>
              <w:top w:val="single" w:sz="4" w:space="0" w:color="auto"/>
              <w:left w:val="single" w:sz="4" w:space="0" w:color="auto"/>
              <w:bottom w:val="single" w:sz="4" w:space="0" w:color="auto"/>
              <w:right w:val="single" w:sz="4" w:space="0" w:color="auto"/>
            </w:tcBorders>
            <w:vAlign w:val="center"/>
            <w:hideMark/>
          </w:tcPr>
          <w:p w14:paraId="751362E1"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bCs/>
                <w:noProof/>
                <w:lang w:val="pt-PT"/>
              </w:rPr>
              <w:t>Nível de interacção entre o empreiteiro e a comunidade.</w:t>
            </w:r>
          </w:p>
        </w:tc>
        <w:tc>
          <w:tcPr>
            <w:tcW w:w="4937" w:type="dxa"/>
            <w:tcBorders>
              <w:top w:val="single" w:sz="4" w:space="0" w:color="auto"/>
              <w:left w:val="single" w:sz="4" w:space="0" w:color="auto"/>
              <w:bottom w:val="single" w:sz="4" w:space="0" w:color="auto"/>
              <w:right w:val="single" w:sz="4" w:space="0" w:color="auto"/>
            </w:tcBorders>
            <w:vAlign w:val="center"/>
          </w:tcPr>
          <w:p w14:paraId="03C54FB2"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A interação entre o empreteiro e a liderança da comunidade deve ser muito activa.</w:t>
            </w:r>
          </w:p>
        </w:tc>
        <w:tc>
          <w:tcPr>
            <w:tcW w:w="2268" w:type="dxa"/>
            <w:tcBorders>
              <w:top w:val="single" w:sz="4" w:space="0" w:color="auto"/>
              <w:left w:val="single" w:sz="4" w:space="0" w:color="auto"/>
              <w:bottom w:val="single" w:sz="4" w:space="0" w:color="auto"/>
              <w:right w:val="single" w:sz="4" w:space="0" w:color="auto"/>
            </w:tcBorders>
            <w:vAlign w:val="center"/>
          </w:tcPr>
          <w:p w14:paraId="438F202D"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Agostinho Jose</w:t>
            </w:r>
            <w:r w:rsidRPr="00292532">
              <w:rPr>
                <w:rFonts w:eastAsia="Calibri" w:cs="Calibri"/>
                <w:noProof/>
                <w:lang w:val="pt-PT"/>
              </w:rPr>
              <w:t xml:space="preserve"> – Vereador Urbanização.</w:t>
            </w:r>
          </w:p>
        </w:tc>
      </w:tr>
      <w:tr w:rsidR="00706222" w:rsidRPr="004E2EAC" w14:paraId="6CD50462" w14:textId="77777777" w:rsidTr="00706222">
        <w:tc>
          <w:tcPr>
            <w:tcW w:w="2552" w:type="dxa"/>
            <w:tcBorders>
              <w:top w:val="single" w:sz="4" w:space="0" w:color="auto"/>
              <w:left w:val="single" w:sz="4" w:space="0" w:color="auto"/>
              <w:bottom w:val="single" w:sz="4" w:space="0" w:color="auto"/>
              <w:right w:val="single" w:sz="4" w:space="0" w:color="auto"/>
            </w:tcBorders>
            <w:vAlign w:val="center"/>
            <w:hideMark/>
          </w:tcPr>
          <w:p w14:paraId="7204211D"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bCs/>
                <w:noProof/>
                <w:lang w:val="pt-PT"/>
              </w:rPr>
              <w:t>Preocupações ou recomendações adicionais a apresentar.</w:t>
            </w:r>
          </w:p>
        </w:tc>
        <w:tc>
          <w:tcPr>
            <w:tcW w:w="4937" w:type="dxa"/>
            <w:tcBorders>
              <w:top w:val="single" w:sz="4" w:space="0" w:color="auto"/>
              <w:left w:val="single" w:sz="4" w:space="0" w:color="auto"/>
              <w:bottom w:val="single" w:sz="4" w:space="0" w:color="auto"/>
              <w:right w:val="single" w:sz="4" w:space="0" w:color="auto"/>
            </w:tcBorders>
            <w:vAlign w:val="center"/>
          </w:tcPr>
          <w:p w14:paraId="23773E96" w14:textId="77777777" w:rsidR="00706222" w:rsidRPr="00292532" w:rsidRDefault="00706222" w:rsidP="00706222">
            <w:pPr>
              <w:spacing w:before="0"/>
              <w:rPr>
                <w:rFonts w:eastAsia="Calibri" w:cs="Calibri"/>
                <w:noProof/>
                <w:lang w:val="pt-PT"/>
              </w:rPr>
            </w:pPr>
            <w:r w:rsidRPr="00292532">
              <w:rPr>
                <w:rFonts w:eastAsia="Calibri" w:cs="Calibri"/>
                <w:noProof/>
                <w:lang w:val="pt-PT"/>
              </w:rPr>
              <w:t>Em qualquer actividade que se irá realizar na nossa comunidade, gostaríamos que os empreiteiros informassem antecipadamente. pelo menos ao líder comunitário.</w:t>
            </w:r>
          </w:p>
          <w:p w14:paraId="30A8CD72" w14:textId="77777777" w:rsidR="00706222" w:rsidRPr="00292532" w:rsidRDefault="00706222" w:rsidP="00706222">
            <w:pPr>
              <w:spacing w:before="0"/>
              <w:rPr>
                <w:rFonts w:eastAsia="Calibri" w:cs="Calibri"/>
                <w:noProof/>
                <w:szCs w:val="24"/>
                <w:lang w:val="pt-PT"/>
              </w:rPr>
            </w:pPr>
            <w:r w:rsidRPr="00292532">
              <w:rPr>
                <w:rFonts w:eastAsia="Calibri" w:cs="Calibri"/>
                <w:noProof/>
                <w:lang w:val="pt-PT"/>
              </w:rPr>
              <w:t>Gostaríamos que contratassem alguns jovem para fazerem parte das actividades do projecto</w:t>
            </w:r>
            <w:r w:rsidRPr="00292532">
              <w:rPr>
                <w:rFonts w:eastAsia="Calibri" w:cs="Calibri"/>
                <w:noProof/>
                <w:szCs w:val="24"/>
                <w:lang w:val="pt-PT"/>
              </w:rPr>
              <w:t>.</w:t>
            </w:r>
          </w:p>
        </w:tc>
        <w:tc>
          <w:tcPr>
            <w:tcW w:w="2268" w:type="dxa"/>
            <w:tcBorders>
              <w:top w:val="single" w:sz="4" w:space="0" w:color="auto"/>
              <w:left w:val="single" w:sz="4" w:space="0" w:color="auto"/>
              <w:bottom w:val="single" w:sz="4" w:space="0" w:color="auto"/>
              <w:right w:val="single" w:sz="4" w:space="0" w:color="auto"/>
            </w:tcBorders>
            <w:vAlign w:val="center"/>
          </w:tcPr>
          <w:p w14:paraId="56DE56CB"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Camilo Assuate</w:t>
            </w:r>
            <w:r w:rsidRPr="00292532">
              <w:rPr>
                <w:rFonts w:eastAsia="Calibri" w:cs="Calibri"/>
                <w:noProof/>
                <w:lang w:val="pt-PT"/>
              </w:rPr>
              <w:t xml:space="preserve"> – Secretario;</w:t>
            </w:r>
          </w:p>
          <w:p w14:paraId="2AB4956B" w14:textId="77777777" w:rsidR="00706222" w:rsidRPr="00292532" w:rsidRDefault="00706222" w:rsidP="00706222">
            <w:pPr>
              <w:spacing w:before="0" w:after="0" w:line="276" w:lineRule="auto"/>
              <w:jc w:val="left"/>
              <w:rPr>
                <w:rFonts w:eastAsia="Calibri" w:cs="Calibri"/>
                <w:noProof/>
                <w:u w:val="single"/>
                <w:lang w:val="pt-PT"/>
              </w:rPr>
            </w:pPr>
            <w:r w:rsidRPr="00292532">
              <w:rPr>
                <w:rFonts w:eastAsia="Calibri" w:cs="Calibri"/>
                <w:b/>
                <w:noProof/>
                <w:lang w:val="pt-PT"/>
              </w:rPr>
              <w:t>Daudo Juma</w:t>
            </w:r>
            <w:r w:rsidRPr="00292532">
              <w:rPr>
                <w:rFonts w:eastAsia="Calibri" w:cs="Calibri"/>
                <w:noProof/>
                <w:lang w:val="pt-PT"/>
              </w:rPr>
              <w:t xml:space="preserve"> – Residente.</w:t>
            </w:r>
          </w:p>
        </w:tc>
      </w:tr>
      <w:tr w:rsidR="00706222" w:rsidRPr="00292532" w14:paraId="45C27E38"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43160DA0"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Problemas de Abastecimento de água existentes? Actuas fontes de Abastecimento de Água?</w:t>
            </w:r>
          </w:p>
        </w:tc>
        <w:tc>
          <w:tcPr>
            <w:tcW w:w="4937" w:type="dxa"/>
            <w:tcBorders>
              <w:top w:val="single" w:sz="4" w:space="0" w:color="auto"/>
              <w:left w:val="single" w:sz="4" w:space="0" w:color="auto"/>
              <w:bottom w:val="single" w:sz="4" w:space="0" w:color="auto"/>
              <w:right w:val="single" w:sz="4" w:space="0" w:color="auto"/>
            </w:tcBorders>
            <w:vAlign w:val="center"/>
          </w:tcPr>
          <w:p w14:paraId="40158DDD" w14:textId="77777777" w:rsidR="00706222" w:rsidRPr="00292532" w:rsidRDefault="00706222" w:rsidP="00AE14AE">
            <w:pPr>
              <w:numPr>
                <w:ilvl w:val="0"/>
                <w:numId w:val="175"/>
              </w:numPr>
              <w:spacing w:before="0" w:after="0" w:line="276" w:lineRule="auto"/>
              <w:contextualSpacing/>
              <w:jc w:val="left"/>
              <w:rPr>
                <w:rFonts w:eastAsia="Calibri" w:cs="Calibri"/>
                <w:noProof/>
                <w:lang w:val="pt-PT"/>
              </w:rPr>
            </w:pPr>
            <w:r w:rsidRPr="00292532">
              <w:rPr>
                <w:rFonts w:eastAsia="Calibri" w:cs="Calibri"/>
                <w:noProof/>
                <w:lang w:val="pt-PT"/>
              </w:rPr>
              <w:t>Os furos de abastecimento de água existentes, não tem água suficiente para fornecer toda comunidade, e nesses furos só tiramos água para beber e cozinhar, água para lavar  roupa , tomar banho tiramos nos poços tradicionais;</w:t>
            </w:r>
          </w:p>
          <w:p w14:paraId="15F02FDA" w14:textId="77777777" w:rsidR="00706222" w:rsidRPr="00292532" w:rsidRDefault="00706222" w:rsidP="00AE14AE">
            <w:pPr>
              <w:numPr>
                <w:ilvl w:val="0"/>
                <w:numId w:val="175"/>
              </w:numPr>
              <w:spacing w:before="0" w:after="0" w:line="276" w:lineRule="auto"/>
              <w:contextualSpacing/>
              <w:jc w:val="left"/>
              <w:rPr>
                <w:rFonts w:eastAsia="Calibri" w:cs="Calibri"/>
                <w:noProof/>
                <w:lang w:val="pt-PT"/>
              </w:rPr>
            </w:pPr>
            <w:r w:rsidRPr="00292532">
              <w:rPr>
                <w:rFonts w:eastAsia="Calibri" w:cs="Calibri"/>
                <w:noProof/>
                <w:lang w:val="pt-PT"/>
              </w:rPr>
              <w:t>Chegamos a ficar quase 4 horas na fila para conseguir ter pelo menos 20 litros de água para beber;</w:t>
            </w:r>
          </w:p>
          <w:p w14:paraId="3A688C7F" w14:textId="77777777" w:rsidR="00706222" w:rsidRPr="00292532" w:rsidRDefault="00706222" w:rsidP="00AE14AE">
            <w:pPr>
              <w:numPr>
                <w:ilvl w:val="0"/>
                <w:numId w:val="175"/>
              </w:numPr>
              <w:spacing w:before="0" w:after="0" w:line="276" w:lineRule="auto"/>
              <w:contextualSpacing/>
              <w:jc w:val="left"/>
              <w:rPr>
                <w:rFonts w:eastAsia="Calibri" w:cs="Calibri"/>
                <w:noProof/>
                <w:lang w:val="pt-PT"/>
              </w:rPr>
            </w:pPr>
            <w:r w:rsidRPr="00292532">
              <w:rPr>
                <w:rFonts w:eastAsia="Calibri" w:cs="Calibri"/>
                <w:noProof/>
                <w:lang w:val="pt-PT"/>
              </w:rPr>
              <w:t>A água que tiramos nos poucos furos é muito salubre.</w:t>
            </w:r>
          </w:p>
        </w:tc>
        <w:tc>
          <w:tcPr>
            <w:tcW w:w="2268" w:type="dxa"/>
            <w:tcBorders>
              <w:top w:val="single" w:sz="4" w:space="0" w:color="auto"/>
              <w:left w:val="single" w:sz="4" w:space="0" w:color="auto"/>
              <w:bottom w:val="single" w:sz="4" w:space="0" w:color="auto"/>
              <w:right w:val="single" w:sz="4" w:space="0" w:color="auto"/>
            </w:tcBorders>
            <w:vAlign w:val="center"/>
          </w:tcPr>
          <w:p w14:paraId="57E2B6DB"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Amida Juma</w:t>
            </w:r>
            <w:r w:rsidRPr="00292532">
              <w:rPr>
                <w:rFonts w:eastAsia="Calibri" w:cs="Calibri"/>
                <w:noProof/>
                <w:lang w:val="pt-PT"/>
              </w:rPr>
              <w:t xml:space="preserve"> – Residente;</w:t>
            </w:r>
          </w:p>
          <w:p w14:paraId="2F8DDDC8"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Zania</w:t>
            </w:r>
            <w:r w:rsidRPr="00292532">
              <w:rPr>
                <w:rFonts w:eastAsia="Calibri" w:cs="Calibri"/>
                <w:noProof/>
                <w:lang w:val="pt-PT"/>
              </w:rPr>
              <w:t xml:space="preserve"> – Residente; </w:t>
            </w:r>
          </w:p>
          <w:p w14:paraId="7081FC8C"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Selemane</w:t>
            </w:r>
            <w:r w:rsidRPr="00292532">
              <w:rPr>
                <w:rFonts w:eastAsia="Calibri" w:cs="Calibri"/>
                <w:noProof/>
                <w:lang w:val="pt-PT"/>
              </w:rPr>
              <w:t xml:space="preserve"> - Residente</w:t>
            </w:r>
          </w:p>
        </w:tc>
      </w:tr>
      <w:tr w:rsidR="00706222" w:rsidRPr="00292532" w14:paraId="6FFB5360"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517111D2"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Beneficio da água boa e de qualidade?</w:t>
            </w:r>
          </w:p>
        </w:tc>
        <w:tc>
          <w:tcPr>
            <w:tcW w:w="4937" w:type="dxa"/>
            <w:tcBorders>
              <w:top w:val="single" w:sz="4" w:space="0" w:color="auto"/>
              <w:left w:val="single" w:sz="4" w:space="0" w:color="auto"/>
              <w:bottom w:val="single" w:sz="4" w:space="0" w:color="auto"/>
              <w:right w:val="single" w:sz="4" w:space="0" w:color="auto"/>
            </w:tcBorders>
            <w:vAlign w:val="center"/>
          </w:tcPr>
          <w:p w14:paraId="79C57935" w14:textId="77777777" w:rsidR="00706222" w:rsidRPr="00292532" w:rsidRDefault="00706222" w:rsidP="00AE14AE">
            <w:pPr>
              <w:numPr>
                <w:ilvl w:val="0"/>
                <w:numId w:val="176"/>
              </w:numPr>
              <w:spacing w:before="0" w:after="0" w:line="276" w:lineRule="auto"/>
              <w:contextualSpacing/>
              <w:jc w:val="left"/>
              <w:rPr>
                <w:rFonts w:eastAsia="Calibri" w:cs="Calibri"/>
                <w:noProof/>
                <w:lang w:val="pt-PT"/>
              </w:rPr>
            </w:pPr>
            <w:r w:rsidRPr="00292532">
              <w:rPr>
                <w:rFonts w:eastAsia="Calibri" w:cs="Calibri"/>
                <w:noProof/>
                <w:lang w:val="pt-PT"/>
              </w:rPr>
              <w:t>Reduz as doencas de origens hidricas;</w:t>
            </w:r>
          </w:p>
          <w:p w14:paraId="27C7D0E1" w14:textId="77777777" w:rsidR="00706222" w:rsidRPr="00292532" w:rsidRDefault="00706222" w:rsidP="00AE14AE">
            <w:pPr>
              <w:numPr>
                <w:ilvl w:val="0"/>
                <w:numId w:val="176"/>
              </w:numPr>
              <w:spacing w:before="0" w:after="0" w:line="276" w:lineRule="auto"/>
              <w:contextualSpacing/>
              <w:jc w:val="left"/>
              <w:rPr>
                <w:rFonts w:eastAsia="Calibri" w:cs="Calibri"/>
                <w:noProof/>
                <w:lang w:val="pt-PT"/>
              </w:rPr>
            </w:pPr>
            <w:r w:rsidRPr="00292532">
              <w:rPr>
                <w:rFonts w:eastAsia="Calibri" w:cs="Calibri"/>
                <w:noProof/>
                <w:lang w:val="pt-PT"/>
              </w:rPr>
              <w:t>Podemos beber sem precisar tratar, porque na comunidade não temos produtos para tratarmos a água antes de beber.</w:t>
            </w:r>
          </w:p>
        </w:tc>
        <w:tc>
          <w:tcPr>
            <w:tcW w:w="2268" w:type="dxa"/>
            <w:tcBorders>
              <w:top w:val="single" w:sz="4" w:space="0" w:color="auto"/>
              <w:left w:val="single" w:sz="4" w:space="0" w:color="auto"/>
              <w:bottom w:val="single" w:sz="4" w:space="0" w:color="auto"/>
              <w:right w:val="single" w:sz="4" w:space="0" w:color="auto"/>
            </w:tcBorders>
            <w:vAlign w:val="center"/>
          </w:tcPr>
          <w:p w14:paraId="37A50D7F"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Abudo</w:t>
            </w:r>
            <w:r w:rsidRPr="00292532">
              <w:rPr>
                <w:rFonts w:eastAsia="Calibri" w:cs="Calibri"/>
                <w:noProof/>
                <w:lang w:val="pt-PT"/>
              </w:rPr>
              <w:t xml:space="preserve"> – Regulo;</w:t>
            </w:r>
          </w:p>
          <w:p w14:paraId="52039F19" w14:textId="77777777" w:rsidR="00706222" w:rsidRPr="00292532" w:rsidRDefault="00706222" w:rsidP="00706222">
            <w:pPr>
              <w:spacing w:before="0" w:after="0" w:line="276" w:lineRule="auto"/>
              <w:jc w:val="left"/>
              <w:rPr>
                <w:rFonts w:eastAsia="Calibri" w:cs="Calibri"/>
                <w:noProof/>
                <w:u w:val="single"/>
                <w:lang w:val="pt-PT"/>
              </w:rPr>
            </w:pPr>
            <w:r w:rsidRPr="00292532">
              <w:rPr>
                <w:rFonts w:eastAsia="Calibri" w:cs="Calibri"/>
                <w:b/>
                <w:noProof/>
                <w:lang w:val="pt-PT"/>
              </w:rPr>
              <w:t>Muaziza</w:t>
            </w:r>
            <w:r w:rsidRPr="00292532">
              <w:rPr>
                <w:rFonts w:eastAsia="Calibri" w:cs="Calibri"/>
                <w:noProof/>
                <w:lang w:val="pt-PT"/>
              </w:rPr>
              <w:t xml:space="preserve"> – Residente</w:t>
            </w:r>
            <w:r w:rsidRPr="00292532">
              <w:rPr>
                <w:rFonts w:eastAsia="Calibri" w:cs="Calibri"/>
                <w:noProof/>
                <w:u w:val="single"/>
                <w:lang w:val="pt-PT"/>
              </w:rPr>
              <w:t>.</w:t>
            </w:r>
          </w:p>
        </w:tc>
      </w:tr>
      <w:tr w:rsidR="00706222" w:rsidRPr="00292532" w14:paraId="2D9E0DA2"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17BA8D27"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Situação do saneamento actual?</w:t>
            </w:r>
          </w:p>
        </w:tc>
        <w:tc>
          <w:tcPr>
            <w:tcW w:w="4937" w:type="dxa"/>
            <w:tcBorders>
              <w:top w:val="single" w:sz="4" w:space="0" w:color="auto"/>
              <w:left w:val="single" w:sz="4" w:space="0" w:color="auto"/>
              <w:bottom w:val="single" w:sz="4" w:space="0" w:color="auto"/>
              <w:right w:val="single" w:sz="4" w:space="0" w:color="auto"/>
            </w:tcBorders>
            <w:vAlign w:val="center"/>
          </w:tcPr>
          <w:p w14:paraId="6AC5CDA2" w14:textId="77777777" w:rsidR="00706222" w:rsidRPr="00292532" w:rsidRDefault="00706222" w:rsidP="00AE14AE">
            <w:pPr>
              <w:numPr>
                <w:ilvl w:val="0"/>
                <w:numId w:val="189"/>
              </w:numPr>
              <w:spacing w:before="0" w:after="0" w:line="276" w:lineRule="auto"/>
              <w:contextualSpacing/>
              <w:jc w:val="left"/>
              <w:rPr>
                <w:rFonts w:eastAsia="Calibri" w:cs="Calibri"/>
                <w:noProof/>
                <w:lang w:val="pt-PT"/>
              </w:rPr>
            </w:pPr>
            <w:r w:rsidRPr="00292532">
              <w:rPr>
                <w:rFonts w:eastAsia="Calibri" w:cs="Calibri"/>
                <w:noProof/>
                <w:lang w:val="pt-PT"/>
              </w:rPr>
              <w:t>No que diz respeito ao saneamento da comunidade, está razoável, porque tem uns projectos que trabalham na área de saneamento;</w:t>
            </w:r>
          </w:p>
          <w:p w14:paraId="416EB018" w14:textId="77777777" w:rsidR="00706222" w:rsidRPr="00292532" w:rsidRDefault="00706222" w:rsidP="00AE14AE">
            <w:pPr>
              <w:numPr>
                <w:ilvl w:val="0"/>
                <w:numId w:val="189"/>
              </w:numPr>
              <w:spacing w:before="0" w:after="0" w:line="276" w:lineRule="auto"/>
              <w:contextualSpacing/>
              <w:jc w:val="left"/>
              <w:rPr>
                <w:rFonts w:eastAsia="Calibri" w:cs="Calibri"/>
                <w:noProof/>
                <w:lang w:val="pt-PT"/>
              </w:rPr>
            </w:pPr>
            <w:r w:rsidRPr="00292532">
              <w:rPr>
                <w:rFonts w:eastAsia="Calibri" w:cs="Calibri"/>
                <w:noProof/>
                <w:lang w:val="pt-PT"/>
              </w:rPr>
              <w:t>Há tempos atrás vendiam latrinas melhoradas mas o artesão que produzia mudou-se;</w:t>
            </w:r>
          </w:p>
          <w:p w14:paraId="4E666674" w14:textId="77777777" w:rsidR="00706222" w:rsidRPr="00292532" w:rsidRDefault="00706222" w:rsidP="00AE14AE">
            <w:pPr>
              <w:numPr>
                <w:ilvl w:val="0"/>
                <w:numId w:val="189"/>
              </w:numPr>
              <w:spacing w:before="0" w:after="0" w:line="276" w:lineRule="auto"/>
              <w:contextualSpacing/>
              <w:jc w:val="left"/>
              <w:rPr>
                <w:rFonts w:eastAsia="Calibri" w:cs="Calibri"/>
                <w:noProof/>
                <w:lang w:val="pt-PT"/>
              </w:rPr>
            </w:pPr>
            <w:r w:rsidRPr="00292532">
              <w:rPr>
                <w:rFonts w:eastAsia="Calibri" w:cs="Calibri"/>
                <w:noProof/>
                <w:lang w:val="pt-PT"/>
              </w:rPr>
              <w:t>Os casos de fecalismo a ceu aberto reduziram significativamente.</w:t>
            </w:r>
          </w:p>
        </w:tc>
        <w:tc>
          <w:tcPr>
            <w:tcW w:w="2268" w:type="dxa"/>
            <w:tcBorders>
              <w:top w:val="single" w:sz="4" w:space="0" w:color="auto"/>
              <w:left w:val="single" w:sz="4" w:space="0" w:color="auto"/>
              <w:bottom w:val="single" w:sz="4" w:space="0" w:color="auto"/>
              <w:right w:val="single" w:sz="4" w:space="0" w:color="auto"/>
            </w:tcBorders>
            <w:vAlign w:val="center"/>
          </w:tcPr>
          <w:p w14:paraId="497552E5"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Chane Mamudo</w:t>
            </w:r>
            <w:r w:rsidRPr="00292532">
              <w:rPr>
                <w:rFonts w:eastAsia="Calibri" w:cs="Calibri"/>
                <w:noProof/>
                <w:lang w:val="pt-PT"/>
              </w:rPr>
              <w:t xml:space="preserve"> – Vereador de Saneamento;</w:t>
            </w:r>
          </w:p>
          <w:p w14:paraId="34FA0477" w14:textId="77777777" w:rsidR="00706222" w:rsidRPr="00292532" w:rsidRDefault="00706222" w:rsidP="00706222">
            <w:pPr>
              <w:spacing w:before="0" w:after="0" w:line="276" w:lineRule="auto"/>
              <w:jc w:val="left"/>
              <w:rPr>
                <w:rFonts w:eastAsia="Calibri" w:cs="Calibri"/>
                <w:noProof/>
                <w:u w:val="single"/>
                <w:lang w:val="pt-PT"/>
              </w:rPr>
            </w:pPr>
            <w:r w:rsidRPr="00292532">
              <w:rPr>
                <w:rFonts w:eastAsia="Calibri" w:cs="Calibri"/>
                <w:b/>
                <w:noProof/>
                <w:lang w:val="pt-PT"/>
              </w:rPr>
              <w:t>Abudo</w:t>
            </w:r>
            <w:r w:rsidRPr="00292532">
              <w:rPr>
                <w:rFonts w:eastAsia="Calibri" w:cs="Calibri"/>
                <w:noProof/>
                <w:lang w:val="pt-PT"/>
              </w:rPr>
              <w:t xml:space="preserve"> – Regulo;</w:t>
            </w:r>
          </w:p>
          <w:p w14:paraId="768A2AEF" w14:textId="77777777" w:rsidR="00706222" w:rsidRPr="00292532" w:rsidRDefault="00706222" w:rsidP="00706222">
            <w:pPr>
              <w:spacing w:before="0" w:after="0" w:line="276" w:lineRule="auto"/>
              <w:jc w:val="left"/>
              <w:rPr>
                <w:rFonts w:eastAsia="Calibri" w:cs="Calibri"/>
                <w:noProof/>
                <w:u w:val="single"/>
                <w:lang w:val="pt-PT"/>
              </w:rPr>
            </w:pPr>
          </w:p>
        </w:tc>
      </w:tr>
      <w:tr w:rsidR="00706222" w:rsidRPr="004E2EAC" w14:paraId="30EBCBB7"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237DCE9A"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 xml:space="preserve">Beneficios esperados com a melhoria do saneamento? </w:t>
            </w:r>
          </w:p>
        </w:tc>
        <w:tc>
          <w:tcPr>
            <w:tcW w:w="4937" w:type="dxa"/>
            <w:tcBorders>
              <w:top w:val="single" w:sz="4" w:space="0" w:color="auto"/>
              <w:left w:val="single" w:sz="4" w:space="0" w:color="auto"/>
              <w:bottom w:val="single" w:sz="4" w:space="0" w:color="auto"/>
              <w:right w:val="single" w:sz="4" w:space="0" w:color="auto"/>
            </w:tcBorders>
            <w:vAlign w:val="center"/>
          </w:tcPr>
          <w:p w14:paraId="2C6BC01D" w14:textId="77777777" w:rsidR="00706222" w:rsidRPr="00292532" w:rsidRDefault="00706222" w:rsidP="00AE14AE">
            <w:pPr>
              <w:numPr>
                <w:ilvl w:val="0"/>
                <w:numId w:val="178"/>
              </w:numPr>
              <w:spacing w:before="0" w:after="0" w:line="276" w:lineRule="auto"/>
              <w:contextualSpacing/>
              <w:jc w:val="left"/>
              <w:rPr>
                <w:rFonts w:eastAsia="Calibri" w:cs="Calibri"/>
                <w:noProof/>
                <w:lang w:val="pt-PT"/>
              </w:rPr>
            </w:pPr>
            <w:r w:rsidRPr="00292532">
              <w:rPr>
                <w:rFonts w:eastAsia="Calibri" w:cs="Calibri"/>
                <w:noProof/>
                <w:lang w:val="pt-PT"/>
              </w:rPr>
              <w:t>Ambiente limpo e saudavel;</w:t>
            </w:r>
          </w:p>
          <w:p w14:paraId="3CB5EE07" w14:textId="77777777" w:rsidR="00706222" w:rsidRPr="00292532" w:rsidRDefault="00706222" w:rsidP="00AE14AE">
            <w:pPr>
              <w:numPr>
                <w:ilvl w:val="0"/>
                <w:numId w:val="178"/>
              </w:numPr>
              <w:spacing w:before="0" w:after="0" w:line="276" w:lineRule="auto"/>
              <w:contextualSpacing/>
              <w:jc w:val="left"/>
              <w:rPr>
                <w:rFonts w:eastAsia="Calibri" w:cs="Calibri"/>
                <w:noProof/>
                <w:lang w:val="pt-PT"/>
              </w:rPr>
            </w:pPr>
            <w:r w:rsidRPr="00292532">
              <w:rPr>
                <w:rFonts w:eastAsia="Calibri" w:cs="Calibri"/>
                <w:noProof/>
                <w:lang w:val="pt-PT"/>
              </w:rPr>
              <w:t>Aumento de familias com latrinas melhoradas;</w:t>
            </w:r>
          </w:p>
          <w:p w14:paraId="2A79660D" w14:textId="77777777" w:rsidR="00706222" w:rsidRPr="00292532" w:rsidRDefault="00706222" w:rsidP="00706222">
            <w:pPr>
              <w:spacing w:before="0" w:after="0" w:line="276" w:lineRule="auto"/>
              <w:jc w:val="left"/>
              <w:rPr>
                <w:rFonts w:eastAsia="Calibri" w:cs="Calibri"/>
                <w:noProof/>
                <w:lang w:val="pt-PT"/>
              </w:rPr>
            </w:pPr>
          </w:p>
        </w:tc>
        <w:tc>
          <w:tcPr>
            <w:tcW w:w="2268" w:type="dxa"/>
            <w:tcBorders>
              <w:top w:val="single" w:sz="4" w:space="0" w:color="auto"/>
              <w:left w:val="single" w:sz="4" w:space="0" w:color="auto"/>
              <w:bottom w:val="single" w:sz="4" w:space="0" w:color="auto"/>
              <w:right w:val="single" w:sz="4" w:space="0" w:color="auto"/>
            </w:tcBorders>
            <w:vAlign w:val="center"/>
          </w:tcPr>
          <w:p w14:paraId="0E4CBC98"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Chane Mamudo</w:t>
            </w:r>
            <w:r w:rsidRPr="00292532">
              <w:rPr>
                <w:rFonts w:eastAsia="Calibri" w:cs="Calibri"/>
                <w:noProof/>
                <w:lang w:val="pt-PT"/>
              </w:rPr>
              <w:t xml:space="preserve"> – Vereador de Saneamento.</w:t>
            </w:r>
          </w:p>
        </w:tc>
      </w:tr>
      <w:tr w:rsidR="00706222" w:rsidRPr="00292532" w14:paraId="4D3819B8"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60F303AB"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Representação das mulheres nos grupos de Água?</w:t>
            </w:r>
          </w:p>
        </w:tc>
        <w:tc>
          <w:tcPr>
            <w:tcW w:w="4937" w:type="dxa"/>
            <w:tcBorders>
              <w:top w:val="single" w:sz="4" w:space="0" w:color="auto"/>
              <w:left w:val="single" w:sz="4" w:space="0" w:color="auto"/>
              <w:bottom w:val="single" w:sz="4" w:space="0" w:color="auto"/>
              <w:right w:val="single" w:sz="4" w:space="0" w:color="auto"/>
            </w:tcBorders>
            <w:vAlign w:val="center"/>
          </w:tcPr>
          <w:p w14:paraId="65E0AF4E"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Nesta comunidade não tem nenhum comite de água. Somente nos furos tem responsaveis por combrancas.</w:t>
            </w:r>
          </w:p>
          <w:p w14:paraId="77B22AA9" w14:textId="77777777" w:rsidR="00706222" w:rsidRPr="00292532" w:rsidRDefault="00706222" w:rsidP="00706222">
            <w:pPr>
              <w:spacing w:before="0" w:after="0" w:line="276" w:lineRule="auto"/>
              <w:jc w:val="left"/>
              <w:rPr>
                <w:rFonts w:eastAsia="Calibri" w:cs="Calibri"/>
                <w:noProof/>
                <w:lang w:val="pt-PT"/>
              </w:rPr>
            </w:pPr>
          </w:p>
          <w:p w14:paraId="091B81BF" w14:textId="77777777" w:rsidR="00706222" w:rsidRPr="00292532" w:rsidRDefault="00706222" w:rsidP="00706222">
            <w:pPr>
              <w:spacing w:before="0" w:after="0" w:line="276" w:lineRule="auto"/>
              <w:jc w:val="left"/>
              <w:rPr>
                <w:rFonts w:eastAsia="Calibri" w:cs="Calibri"/>
                <w:noProof/>
                <w:lang w:val="pt-PT"/>
              </w:rPr>
            </w:pPr>
          </w:p>
        </w:tc>
        <w:tc>
          <w:tcPr>
            <w:tcW w:w="2268" w:type="dxa"/>
            <w:tcBorders>
              <w:top w:val="single" w:sz="4" w:space="0" w:color="auto"/>
              <w:left w:val="single" w:sz="4" w:space="0" w:color="auto"/>
              <w:bottom w:val="single" w:sz="4" w:space="0" w:color="auto"/>
              <w:right w:val="single" w:sz="4" w:space="0" w:color="auto"/>
            </w:tcBorders>
            <w:vAlign w:val="center"/>
          </w:tcPr>
          <w:p w14:paraId="7F4D22AC"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lastRenderedPageBreak/>
              <w:t>Camilo Assuate</w:t>
            </w:r>
            <w:r w:rsidRPr="00292532">
              <w:rPr>
                <w:rFonts w:eastAsia="Calibri" w:cs="Calibri"/>
                <w:noProof/>
                <w:lang w:val="pt-PT"/>
              </w:rPr>
              <w:t xml:space="preserve"> – Secretario.</w:t>
            </w:r>
          </w:p>
        </w:tc>
      </w:tr>
      <w:tr w:rsidR="00706222" w:rsidRPr="00292532" w14:paraId="544837A6"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7C3F7DC8"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Papel e envolvimento da actual das mulheres na gestão de fontenários e de fontes dispersas de água com bombas manuais.</w:t>
            </w:r>
          </w:p>
        </w:tc>
        <w:tc>
          <w:tcPr>
            <w:tcW w:w="4937" w:type="dxa"/>
            <w:tcBorders>
              <w:top w:val="single" w:sz="4" w:space="0" w:color="auto"/>
              <w:left w:val="single" w:sz="4" w:space="0" w:color="auto"/>
              <w:bottom w:val="single" w:sz="4" w:space="0" w:color="auto"/>
              <w:right w:val="single" w:sz="4" w:space="0" w:color="auto"/>
            </w:tcBorders>
            <w:vAlign w:val="center"/>
          </w:tcPr>
          <w:p w14:paraId="2AC96EF9"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Na o existe gupo de gestão de água, mas quando os furos estao sujos organiza-se uma jornada de limpeza onde a maior parte dos participantes são as mulheres.</w:t>
            </w:r>
          </w:p>
          <w:p w14:paraId="0CB3101D"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E nas poucas fontes existem umas mulheres voluntárias que chegam cedo todos os dias para organizar as filas.</w:t>
            </w:r>
          </w:p>
        </w:tc>
        <w:tc>
          <w:tcPr>
            <w:tcW w:w="2268" w:type="dxa"/>
            <w:tcBorders>
              <w:top w:val="single" w:sz="4" w:space="0" w:color="auto"/>
              <w:left w:val="single" w:sz="4" w:space="0" w:color="auto"/>
              <w:bottom w:val="single" w:sz="4" w:space="0" w:color="auto"/>
              <w:right w:val="single" w:sz="4" w:space="0" w:color="auto"/>
            </w:tcBorders>
            <w:vAlign w:val="center"/>
          </w:tcPr>
          <w:p w14:paraId="4C7DF137"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Camilo Assuate</w:t>
            </w:r>
            <w:r w:rsidRPr="00292532">
              <w:rPr>
                <w:rFonts w:eastAsia="Calibri" w:cs="Calibri"/>
                <w:noProof/>
                <w:lang w:val="pt-PT"/>
              </w:rPr>
              <w:t xml:space="preserve"> – Secretario;</w:t>
            </w:r>
          </w:p>
          <w:p w14:paraId="169BAC2A"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Alfane</w:t>
            </w:r>
            <w:r w:rsidRPr="00292532">
              <w:rPr>
                <w:rFonts w:eastAsia="Calibri" w:cs="Calibri"/>
                <w:noProof/>
                <w:lang w:val="pt-PT"/>
              </w:rPr>
              <w:t xml:space="preserve"> – Residente;</w:t>
            </w:r>
          </w:p>
          <w:p w14:paraId="6D289149"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Muaziza</w:t>
            </w:r>
            <w:r w:rsidRPr="00292532">
              <w:rPr>
                <w:rFonts w:eastAsia="Calibri" w:cs="Calibri"/>
                <w:noProof/>
                <w:lang w:val="pt-PT"/>
              </w:rPr>
              <w:t xml:space="preserve"> – Residente;</w:t>
            </w:r>
          </w:p>
          <w:p w14:paraId="485A890B" w14:textId="77777777" w:rsidR="00706222" w:rsidRPr="00292532" w:rsidRDefault="00706222" w:rsidP="00706222">
            <w:pPr>
              <w:spacing w:before="0" w:after="0" w:line="276" w:lineRule="auto"/>
              <w:jc w:val="left"/>
              <w:rPr>
                <w:rFonts w:eastAsia="Calibri" w:cs="Calibri"/>
                <w:noProof/>
                <w:u w:val="single"/>
                <w:lang w:val="pt-PT"/>
              </w:rPr>
            </w:pPr>
            <w:r w:rsidRPr="00292532">
              <w:rPr>
                <w:rFonts w:eastAsia="Calibri" w:cs="Calibri"/>
                <w:b/>
                <w:noProof/>
                <w:lang w:val="pt-PT"/>
              </w:rPr>
              <w:t>Fatima</w:t>
            </w:r>
            <w:r w:rsidRPr="00292532">
              <w:rPr>
                <w:rFonts w:eastAsia="Calibri" w:cs="Calibri"/>
                <w:noProof/>
                <w:lang w:val="pt-PT"/>
              </w:rPr>
              <w:t xml:space="preserve"> – Residente.</w:t>
            </w:r>
          </w:p>
        </w:tc>
      </w:tr>
      <w:tr w:rsidR="00706222" w:rsidRPr="004E2EAC" w14:paraId="4A80E580"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718BAE2C"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Principais problemas, riscos e impactos actuais na busca de água:</w:t>
            </w:r>
          </w:p>
        </w:tc>
        <w:tc>
          <w:tcPr>
            <w:tcW w:w="4937" w:type="dxa"/>
            <w:tcBorders>
              <w:top w:val="single" w:sz="4" w:space="0" w:color="auto"/>
              <w:left w:val="single" w:sz="4" w:space="0" w:color="auto"/>
              <w:bottom w:val="single" w:sz="4" w:space="0" w:color="auto"/>
              <w:right w:val="single" w:sz="4" w:space="0" w:color="auto"/>
            </w:tcBorders>
            <w:vAlign w:val="center"/>
          </w:tcPr>
          <w:p w14:paraId="16A5CA25"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Os principais problemas e riscos na busca de água são:</w:t>
            </w:r>
          </w:p>
          <w:p w14:paraId="7148A02A"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Horas na fila, longas distancias, água fornecida não satisfaz as necessidades da comunidade.</w:t>
            </w:r>
          </w:p>
          <w:p w14:paraId="0A356A57" w14:textId="77777777" w:rsidR="00706222" w:rsidRPr="00292532" w:rsidRDefault="00706222" w:rsidP="00706222">
            <w:pPr>
              <w:spacing w:before="0" w:after="0" w:line="276" w:lineRule="auto"/>
              <w:contextualSpacing/>
              <w:jc w:val="left"/>
              <w:rPr>
                <w:rFonts w:eastAsia="Calibri" w:cs="Calibri"/>
                <w:noProof/>
                <w:lang w:val="pt-PT"/>
              </w:rPr>
            </w:pPr>
          </w:p>
        </w:tc>
        <w:tc>
          <w:tcPr>
            <w:tcW w:w="2268" w:type="dxa"/>
            <w:tcBorders>
              <w:top w:val="single" w:sz="4" w:space="0" w:color="auto"/>
              <w:left w:val="single" w:sz="4" w:space="0" w:color="auto"/>
              <w:bottom w:val="single" w:sz="4" w:space="0" w:color="auto"/>
              <w:right w:val="single" w:sz="4" w:space="0" w:color="auto"/>
            </w:tcBorders>
            <w:vAlign w:val="center"/>
          </w:tcPr>
          <w:p w14:paraId="3E3D417B"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Abudo</w:t>
            </w:r>
            <w:r w:rsidRPr="00292532">
              <w:rPr>
                <w:rFonts w:eastAsia="Calibri" w:cs="Calibri"/>
                <w:noProof/>
                <w:lang w:val="pt-PT"/>
              </w:rPr>
              <w:t xml:space="preserve"> – Regulo;</w:t>
            </w:r>
          </w:p>
          <w:p w14:paraId="4F05D629"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Muaziza</w:t>
            </w:r>
            <w:r w:rsidRPr="00292532">
              <w:rPr>
                <w:rFonts w:eastAsia="Calibri" w:cs="Calibri"/>
                <w:noProof/>
                <w:lang w:val="pt-PT"/>
              </w:rPr>
              <w:t xml:space="preserve"> – Residente;</w:t>
            </w:r>
          </w:p>
          <w:p w14:paraId="2DF5D1DD"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Muamina</w:t>
            </w:r>
            <w:r w:rsidRPr="00292532">
              <w:rPr>
                <w:rFonts w:eastAsia="Calibri" w:cs="Calibri"/>
                <w:noProof/>
                <w:lang w:val="pt-PT"/>
              </w:rPr>
              <w:t xml:space="preserve"> – Residente.</w:t>
            </w:r>
          </w:p>
        </w:tc>
      </w:tr>
      <w:tr w:rsidR="00706222" w:rsidRPr="004E2EAC" w14:paraId="1D9B2925"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4DF12DA6"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Desafios actuais na comunidade devido aos ataques em Cabo Delgado (presença de deslocados, pressão adicional sobre a segurança, infraestruturas e serviços.</w:t>
            </w:r>
          </w:p>
        </w:tc>
        <w:tc>
          <w:tcPr>
            <w:tcW w:w="4937" w:type="dxa"/>
            <w:tcBorders>
              <w:top w:val="single" w:sz="4" w:space="0" w:color="auto"/>
              <w:left w:val="single" w:sz="4" w:space="0" w:color="auto"/>
              <w:bottom w:val="single" w:sz="4" w:space="0" w:color="auto"/>
              <w:right w:val="single" w:sz="4" w:space="0" w:color="auto"/>
            </w:tcBorders>
            <w:vAlign w:val="center"/>
          </w:tcPr>
          <w:p w14:paraId="38712474"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Nesta comunidade so tem uma familia que alojou alguns deslocados de Dabo Delgado;</w:t>
            </w:r>
          </w:p>
          <w:p w14:paraId="6790463D"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A convivencia é muito boa, eles não representam nenhum perigo.</w:t>
            </w:r>
          </w:p>
        </w:tc>
        <w:tc>
          <w:tcPr>
            <w:tcW w:w="2268" w:type="dxa"/>
            <w:tcBorders>
              <w:top w:val="single" w:sz="4" w:space="0" w:color="auto"/>
              <w:left w:val="single" w:sz="4" w:space="0" w:color="auto"/>
              <w:bottom w:val="single" w:sz="4" w:space="0" w:color="auto"/>
              <w:right w:val="single" w:sz="4" w:space="0" w:color="auto"/>
            </w:tcBorders>
            <w:vAlign w:val="center"/>
          </w:tcPr>
          <w:p w14:paraId="24E372AB"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Abudo</w:t>
            </w:r>
            <w:r w:rsidRPr="00292532">
              <w:rPr>
                <w:rFonts w:eastAsia="Calibri" w:cs="Calibri"/>
                <w:noProof/>
                <w:lang w:val="pt-PT"/>
              </w:rPr>
              <w:t xml:space="preserve"> – Regulo;</w:t>
            </w:r>
          </w:p>
          <w:p w14:paraId="44B2E229"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Camilo Assuate</w:t>
            </w:r>
            <w:r w:rsidRPr="00292532">
              <w:rPr>
                <w:rFonts w:eastAsia="Calibri" w:cs="Calibri"/>
                <w:noProof/>
                <w:lang w:val="pt-PT"/>
              </w:rPr>
              <w:t xml:space="preserve"> – Secretario.</w:t>
            </w:r>
          </w:p>
        </w:tc>
      </w:tr>
      <w:tr w:rsidR="00706222" w:rsidRPr="00292532" w14:paraId="54B706DB"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648639A5"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Impactos negativos registados na região resultante de obras civis que afectam as comunidades locais.</w:t>
            </w:r>
          </w:p>
        </w:tc>
        <w:tc>
          <w:tcPr>
            <w:tcW w:w="4937" w:type="dxa"/>
            <w:tcBorders>
              <w:top w:val="single" w:sz="4" w:space="0" w:color="auto"/>
              <w:left w:val="single" w:sz="4" w:space="0" w:color="auto"/>
              <w:bottom w:val="single" w:sz="4" w:space="0" w:color="auto"/>
              <w:right w:val="single" w:sz="4" w:space="0" w:color="auto"/>
            </w:tcBorders>
            <w:vAlign w:val="center"/>
          </w:tcPr>
          <w:p w14:paraId="0C5E5A8B"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szCs w:val="24"/>
                <w:lang w:val="pt-PT"/>
              </w:rPr>
              <w:t>Nesta comunidade não recebemos muitas obras, a única obra grande que recebemos foi de  reabilitação da estrada Monapo – Ilha, e o impacto negativo foi que os empreiteiros não respeitavam os membros da comunidade, as lideranças, nenhum membro da comunidade fez parte do projecto.</w:t>
            </w:r>
          </w:p>
        </w:tc>
        <w:tc>
          <w:tcPr>
            <w:tcW w:w="2268" w:type="dxa"/>
            <w:tcBorders>
              <w:top w:val="single" w:sz="4" w:space="0" w:color="auto"/>
              <w:left w:val="single" w:sz="4" w:space="0" w:color="auto"/>
              <w:bottom w:val="single" w:sz="4" w:space="0" w:color="auto"/>
              <w:right w:val="single" w:sz="4" w:space="0" w:color="auto"/>
            </w:tcBorders>
            <w:vAlign w:val="center"/>
          </w:tcPr>
          <w:p w14:paraId="1AC433AE"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Camilo Assuate</w:t>
            </w:r>
            <w:r w:rsidRPr="00292532">
              <w:rPr>
                <w:rFonts w:eastAsia="Calibri" w:cs="Calibri"/>
                <w:noProof/>
                <w:lang w:val="pt-PT"/>
              </w:rPr>
              <w:t xml:space="preserve"> – Secretario;</w:t>
            </w:r>
          </w:p>
          <w:p w14:paraId="73FF61FD"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Abudo</w:t>
            </w:r>
            <w:r w:rsidRPr="00292532">
              <w:rPr>
                <w:rFonts w:eastAsia="Calibri" w:cs="Calibri"/>
                <w:noProof/>
                <w:lang w:val="pt-PT"/>
              </w:rPr>
              <w:t xml:space="preserve"> – Regulo;</w:t>
            </w:r>
          </w:p>
          <w:p w14:paraId="275F2790"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Salimo</w:t>
            </w:r>
            <w:r w:rsidRPr="00292532">
              <w:rPr>
                <w:rFonts w:eastAsia="Calibri" w:cs="Calibri"/>
                <w:noProof/>
                <w:lang w:val="pt-PT"/>
              </w:rPr>
              <w:t xml:space="preserve"> – Residente;</w:t>
            </w:r>
          </w:p>
          <w:p w14:paraId="087D9482" w14:textId="77777777" w:rsidR="00706222" w:rsidRPr="00292532" w:rsidRDefault="00706222" w:rsidP="00706222">
            <w:pPr>
              <w:spacing w:before="0" w:after="0" w:line="276" w:lineRule="auto"/>
              <w:jc w:val="left"/>
              <w:rPr>
                <w:rFonts w:eastAsia="Calibri" w:cs="Calibri"/>
                <w:noProof/>
                <w:u w:val="single"/>
                <w:lang w:val="pt-PT"/>
              </w:rPr>
            </w:pPr>
            <w:r w:rsidRPr="00292532">
              <w:rPr>
                <w:rFonts w:eastAsia="Calibri" w:cs="Calibri"/>
                <w:b/>
                <w:noProof/>
                <w:lang w:val="pt-PT"/>
              </w:rPr>
              <w:t>Ali</w:t>
            </w:r>
            <w:r w:rsidRPr="00292532">
              <w:rPr>
                <w:rFonts w:eastAsia="Calibri" w:cs="Calibri"/>
                <w:noProof/>
                <w:lang w:val="pt-PT"/>
              </w:rPr>
              <w:t xml:space="preserve"> - Residente</w:t>
            </w:r>
          </w:p>
        </w:tc>
      </w:tr>
      <w:tr w:rsidR="00706222" w:rsidRPr="00292532" w14:paraId="46592949"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0C8EF247"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Quais são as principais preocupacoes das comunidades em projectos desta natureza.</w:t>
            </w:r>
          </w:p>
        </w:tc>
        <w:tc>
          <w:tcPr>
            <w:tcW w:w="4937" w:type="dxa"/>
            <w:tcBorders>
              <w:top w:val="single" w:sz="4" w:space="0" w:color="auto"/>
              <w:left w:val="single" w:sz="4" w:space="0" w:color="auto"/>
              <w:bottom w:val="single" w:sz="4" w:space="0" w:color="auto"/>
              <w:right w:val="single" w:sz="4" w:space="0" w:color="auto"/>
            </w:tcBorders>
            <w:vAlign w:val="center"/>
          </w:tcPr>
          <w:p w14:paraId="62F144CA"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Contratação da mão de obra estrangeira (de outros  pontos);</w:t>
            </w:r>
          </w:p>
          <w:p w14:paraId="5CE8DFA9"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Atraso na execução das obras;</w:t>
            </w:r>
          </w:p>
          <w:p w14:paraId="6CD92DE9"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Falta de respeito dos envolvidos no projecto, se acham muito superiores a todos da comunidade.</w:t>
            </w:r>
          </w:p>
        </w:tc>
        <w:tc>
          <w:tcPr>
            <w:tcW w:w="2268" w:type="dxa"/>
            <w:tcBorders>
              <w:top w:val="single" w:sz="4" w:space="0" w:color="auto"/>
              <w:left w:val="single" w:sz="4" w:space="0" w:color="auto"/>
              <w:bottom w:val="single" w:sz="4" w:space="0" w:color="auto"/>
              <w:right w:val="single" w:sz="4" w:space="0" w:color="auto"/>
            </w:tcBorders>
            <w:vAlign w:val="center"/>
          </w:tcPr>
          <w:p w14:paraId="62C3237A"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Camilo Assuate</w:t>
            </w:r>
            <w:r w:rsidRPr="00292532">
              <w:rPr>
                <w:rFonts w:eastAsia="Calibri" w:cs="Calibri"/>
                <w:noProof/>
                <w:lang w:val="pt-PT"/>
              </w:rPr>
              <w:t xml:space="preserve"> – Secretario;</w:t>
            </w:r>
          </w:p>
          <w:p w14:paraId="7334E572"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Abudo</w:t>
            </w:r>
            <w:r w:rsidRPr="00292532">
              <w:rPr>
                <w:rFonts w:eastAsia="Calibri" w:cs="Calibri"/>
                <w:noProof/>
                <w:lang w:val="pt-PT"/>
              </w:rPr>
              <w:t xml:space="preserve"> – Regulo;</w:t>
            </w:r>
          </w:p>
          <w:p w14:paraId="4F53365B"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Zania</w:t>
            </w:r>
            <w:r w:rsidRPr="00292532">
              <w:rPr>
                <w:rFonts w:eastAsia="Calibri" w:cs="Calibri"/>
                <w:noProof/>
                <w:lang w:val="pt-PT"/>
              </w:rPr>
              <w:t xml:space="preserve"> – Residente.</w:t>
            </w:r>
          </w:p>
        </w:tc>
      </w:tr>
      <w:tr w:rsidR="00706222" w:rsidRPr="00292532" w14:paraId="52FC73CA"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6591A265"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Se existem ONGs activas na região a trabalharem nas áreas de água, saneamento, ambiente social e protecção da mulher. E programas a serem desenvolvidos.</w:t>
            </w:r>
          </w:p>
        </w:tc>
        <w:tc>
          <w:tcPr>
            <w:tcW w:w="4937" w:type="dxa"/>
            <w:tcBorders>
              <w:top w:val="single" w:sz="4" w:space="0" w:color="auto"/>
              <w:left w:val="single" w:sz="4" w:space="0" w:color="auto"/>
              <w:bottom w:val="single" w:sz="4" w:space="0" w:color="auto"/>
              <w:right w:val="single" w:sz="4" w:space="0" w:color="auto"/>
            </w:tcBorders>
            <w:vAlign w:val="center"/>
          </w:tcPr>
          <w:p w14:paraId="1F0FE478"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Sim existem:</w:t>
            </w:r>
          </w:p>
          <w:p w14:paraId="3FBC9906"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Oikos</w:t>
            </w:r>
          </w:p>
          <w:p w14:paraId="41475552"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SNV-AIAS;</w:t>
            </w:r>
          </w:p>
          <w:p w14:paraId="68A0F1F8"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Apoiar a ler.</w:t>
            </w:r>
          </w:p>
          <w:p w14:paraId="016FA65E"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Eles desenvolvem programas nas seguintes áreas: Agricultura;</w:t>
            </w:r>
          </w:p>
          <w:p w14:paraId="334E0D83"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 xml:space="preserve">Água e saneamento - promoção de boas praticas de higiene individual e colectiva; e </w:t>
            </w:r>
          </w:p>
          <w:p w14:paraId="54691842"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Educação.</w:t>
            </w:r>
          </w:p>
        </w:tc>
        <w:tc>
          <w:tcPr>
            <w:tcW w:w="2268" w:type="dxa"/>
            <w:tcBorders>
              <w:top w:val="single" w:sz="4" w:space="0" w:color="auto"/>
              <w:left w:val="single" w:sz="4" w:space="0" w:color="auto"/>
              <w:bottom w:val="single" w:sz="4" w:space="0" w:color="auto"/>
              <w:right w:val="single" w:sz="4" w:space="0" w:color="auto"/>
            </w:tcBorders>
            <w:vAlign w:val="center"/>
          </w:tcPr>
          <w:p w14:paraId="5ED46DC2"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Chane Mamudo</w:t>
            </w:r>
            <w:r w:rsidRPr="00292532">
              <w:rPr>
                <w:rFonts w:eastAsia="Calibri" w:cs="Calibri"/>
                <w:noProof/>
                <w:lang w:val="pt-PT"/>
              </w:rPr>
              <w:t xml:space="preserve"> – Vereador de Saneamento;</w:t>
            </w:r>
          </w:p>
          <w:p w14:paraId="1683A277"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Abel Severino</w:t>
            </w:r>
            <w:r w:rsidRPr="00292532">
              <w:rPr>
                <w:rFonts w:eastAsia="Calibri" w:cs="Calibri"/>
                <w:noProof/>
                <w:lang w:val="pt-PT"/>
              </w:rPr>
              <w:t xml:space="preserve"> – Tecnico Saneamento.</w:t>
            </w:r>
          </w:p>
        </w:tc>
      </w:tr>
      <w:tr w:rsidR="00706222" w:rsidRPr="00292532" w14:paraId="7C778798"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39F2EDF1"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Criminalidade na busca de água.</w:t>
            </w:r>
          </w:p>
        </w:tc>
        <w:tc>
          <w:tcPr>
            <w:tcW w:w="4937" w:type="dxa"/>
            <w:tcBorders>
              <w:top w:val="single" w:sz="4" w:space="0" w:color="auto"/>
              <w:left w:val="single" w:sz="4" w:space="0" w:color="auto"/>
              <w:bottom w:val="single" w:sz="4" w:space="0" w:color="auto"/>
              <w:right w:val="single" w:sz="4" w:space="0" w:color="auto"/>
            </w:tcBorders>
            <w:vAlign w:val="center"/>
          </w:tcPr>
          <w:p w14:paraId="379EFD0F"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Nunca se registou caso de criminalidade na busca de água.</w:t>
            </w:r>
          </w:p>
        </w:tc>
        <w:tc>
          <w:tcPr>
            <w:tcW w:w="2268" w:type="dxa"/>
            <w:tcBorders>
              <w:top w:val="single" w:sz="4" w:space="0" w:color="auto"/>
              <w:left w:val="single" w:sz="4" w:space="0" w:color="auto"/>
              <w:bottom w:val="single" w:sz="4" w:space="0" w:color="auto"/>
              <w:right w:val="single" w:sz="4" w:space="0" w:color="auto"/>
            </w:tcBorders>
            <w:vAlign w:val="center"/>
          </w:tcPr>
          <w:p w14:paraId="695EFF5D"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Camilo Assuate</w:t>
            </w:r>
            <w:r w:rsidRPr="00292532">
              <w:rPr>
                <w:rFonts w:eastAsia="Calibri" w:cs="Calibri"/>
                <w:noProof/>
                <w:lang w:val="pt-PT"/>
              </w:rPr>
              <w:t xml:space="preserve"> – Secretario.</w:t>
            </w:r>
          </w:p>
        </w:tc>
      </w:tr>
      <w:tr w:rsidR="00706222" w:rsidRPr="004E2EAC" w14:paraId="16DD7B99"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1099D93E"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lastRenderedPageBreak/>
              <w:t>Assédio sexual durante a busca de água.</w:t>
            </w:r>
          </w:p>
        </w:tc>
        <w:tc>
          <w:tcPr>
            <w:tcW w:w="4937" w:type="dxa"/>
            <w:tcBorders>
              <w:top w:val="single" w:sz="4" w:space="0" w:color="auto"/>
              <w:left w:val="single" w:sz="4" w:space="0" w:color="auto"/>
              <w:bottom w:val="single" w:sz="4" w:space="0" w:color="auto"/>
              <w:right w:val="single" w:sz="4" w:space="0" w:color="auto"/>
            </w:tcBorders>
            <w:vAlign w:val="center"/>
          </w:tcPr>
          <w:p w14:paraId="792FDF49"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Há muitos casos de assédio sexual durante a busca de água, muitas mulheres envolvem-se com outros homens quando alegam que vão buscar água.</w:t>
            </w:r>
          </w:p>
        </w:tc>
        <w:tc>
          <w:tcPr>
            <w:tcW w:w="2268" w:type="dxa"/>
            <w:tcBorders>
              <w:top w:val="single" w:sz="4" w:space="0" w:color="auto"/>
              <w:left w:val="single" w:sz="4" w:space="0" w:color="auto"/>
              <w:bottom w:val="single" w:sz="4" w:space="0" w:color="auto"/>
              <w:right w:val="single" w:sz="4" w:space="0" w:color="auto"/>
            </w:tcBorders>
            <w:vAlign w:val="center"/>
          </w:tcPr>
          <w:p w14:paraId="3C95E377"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Daudo Juma</w:t>
            </w:r>
            <w:r w:rsidRPr="00292532">
              <w:rPr>
                <w:rFonts w:eastAsia="Calibri" w:cs="Calibri"/>
                <w:noProof/>
                <w:lang w:val="pt-PT"/>
              </w:rPr>
              <w:t xml:space="preserve"> – Residente;</w:t>
            </w:r>
          </w:p>
          <w:p w14:paraId="5D440E17" w14:textId="77777777" w:rsidR="00706222" w:rsidRPr="00292532" w:rsidRDefault="00706222" w:rsidP="00706222">
            <w:pPr>
              <w:spacing w:before="0" w:after="0" w:line="276" w:lineRule="auto"/>
              <w:jc w:val="left"/>
              <w:rPr>
                <w:rFonts w:eastAsia="Calibri" w:cs="Calibri"/>
                <w:noProof/>
                <w:u w:val="single"/>
                <w:lang w:val="pt-PT"/>
              </w:rPr>
            </w:pPr>
            <w:r w:rsidRPr="00292532">
              <w:rPr>
                <w:rFonts w:eastAsia="Calibri" w:cs="Calibri"/>
                <w:b/>
                <w:noProof/>
                <w:lang w:val="pt-PT"/>
              </w:rPr>
              <w:t>Alde</w:t>
            </w:r>
            <w:r w:rsidRPr="00292532">
              <w:rPr>
                <w:rFonts w:eastAsia="Calibri" w:cs="Calibri"/>
                <w:noProof/>
                <w:lang w:val="pt-PT"/>
              </w:rPr>
              <w:t xml:space="preserve"> – Residente.</w:t>
            </w:r>
          </w:p>
        </w:tc>
      </w:tr>
      <w:tr w:rsidR="00706222" w:rsidRPr="004E2EAC" w14:paraId="0F74F6B8"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49DB5DFF"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Outros assuntos abordados</w:t>
            </w:r>
          </w:p>
        </w:tc>
        <w:tc>
          <w:tcPr>
            <w:tcW w:w="4937" w:type="dxa"/>
            <w:tcBorders>
              <w:top w:val="single" w:sz="4" w:space="0" w:color="auto"/>
              <w:left w:val="single" w:sz="4" w:space="0" w:color="auto"/>
              <w:bottom w:val="single" w:sz="4" w:space="0" w:color="auto"/>
              <w:right w:val="single" w:sz="4" w:space="0" w:color="auto"/>
            </w:tcBorders>
            <w:vAlign w:val="center"/>
          </w:tcPr>
          <w:p w14:paraId="7FB1C910"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A comunidade, agradeceu muito por ter participado na consulta e espera ter ajudado na busca dos resultados esperados.</w:t>
            </w:r>
          </w:p>
          <w:p w14:paraId="627B6B50"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 xml:space="preserve">Gostariam de agradecer a iniciativa o municpio tem muita necessidade de água, ao nivel do municpio falar de </w:t>
            </w:r>
            <w:r w:rsidRPr="00292532">
              <w:rPr>
                <w:rFonts w:eastAsia="Calibri" w:cs="Calibri"/>
                <w:b/>
                <w:noProof/>
                <w:lang w:val="pt-PT"/>
              </w:rPr>
              <w:t>abastecimento de água</w:t>
            </w:r>
            <w:r w:rsidRPr="00292532">
              <w:rPr>
                <w:rFonts w:eastAsia="Calibri" w:cs="Calibri"/>
                <w:noProof/>
                <w:lang w:val="pt-PT"/>
              </w:rPr>
              <w:t xml:space="preserve"> é um desafio, o sistema de abastecimento de água não chega para cubrir todo municipio; </w:t>
            </w:r>
            <w:r w:rsidRPr="00292532">
              <w:rPr>
                <w:rFonts w:eastAsia="Calibri" w:cs="Calibri"/>
                <w:b/>
                <w:noProof/>
                <w:lang w:val="pt-PT"/>
              </w:rPr>
              <w:t>Saneamento</w:t>
            </w:r>
            <w:r w:rsidRPr="00292532">
              <w:rPr>
                <w:rFonts w:eastAsia="Calibri" w:cs="Calibri"/>
                <w:noProof/>
                <w:lang w:val="pt-PT"/>
              </w:rPr>
              <w:t xml:space="preserve"> ainda há necessidade de sanitarios publicos em alguns mercados.</w:t>
            </w:r>
          </w:p>
        </w:tc>
        <w:tc>
          <w:tcPr>
            <w:tcW w:w="2268" w:type="dxa"/>
            <w:tcBorders>
              <w:top w:val="single" w:sz="4" w:space="0" w:color="auto"/>
              <w:left w:val="single" w:sz="4" w:space="0" w:color="auto"/>
              <w:bottom w:val="single" w:sz="4" w:space="0" w:color="auto"/>
              <w:right w:val="single" w:sz="4" w:space="0" w:color="auto"/>
            </w:tcBorders>
            <w:vAlign w:val="center"/>
          </w:tcPr>
          <w:p w14:paraId="33D0C9AF"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 xml:space="preserve">Abudo </w:t>
            </w:r>
            <w:r w:rsidRPr="00292532">
              <w:rPr>
                <w:rFonts w:eastAsia="Calibri" w:cs="Calibri"/>
                <w:noProof/>
                <w:lang w:val="pt-PT"/>
              </w:rPr>
              <w:t>– Regulo;</w:t>
            </w:r>
          </w:p>
          <w:p w14:paraId="6BD60E72"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Chane Mamudo</w:t>
            </w:r>
            <w:r w:rsidRPr="00292532">
              <w:rPr>
                <w:rFonts w:eastAsia="Calibri" w:cs="Calibri"/>
                <w:noProof/>
                <w:lang w:val="pt-PT"/>
              </w:rPr>
              <w:t xml:space="preserve"> – Vereador de Saneamento;</w:t>
            </w:r>
          </w:p>
          <w:p w14:paraId="0DF51D62"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Agostinho Jose</w:t>
            </w:r>
            <w:r w:rsidRPr="00292532">
              <w:rPr>
                <w:rFonts w:eastAsia="Calibri" w:cs="Calibri"/>
                <w:noProof/>
                <w:lang w:val="pt-PT"/>
              </w:rPr>
              <w:t xml:space="preserve"> – Vereador da Urbanização.</w:t>
            </w:r>
          </w:p>
        </w:tc>
      </w:tr>
    </w:tbl>
    <w:p w14:paraId="1529BA93" w14:textId="77777777" w:rsidR="00706222" w:rsidRPr="00292532" w:rsidRDefault="00706222" w:rsidP="00706222">
      <w:pPr>
        <w:spacing w:before="0" w:line="259" w:lineRule="auto"/>
        <w:jc w:val="left"/>
        <w:rPr>
          <w:rFonts w:eastAsia="Calibri" w:cs="Calibri"/>
          <w:noProof/>
          <w:lang w:val="pt-PT"/>
        </w:rPr>
      </w:pPr>
    </w:p>
    <w:p w14:paraId="7CE7690C" w14:textId="3B4D0171" w:rsidR="00706222" w:rsidRPr="004500AE" w:rsidRDefault="00706222" w:rsidP="00706222">
      <w:pPr>
        <w:spacing w:before="0" w:after="0" w:line="259" w:lineRule="auto"/>
        <w:jc w:val="left"/>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pt-PT" w:eastAsia="x-none" w:bidi="x-none"/>
        </w:rPr>
      </w:pPr>
      <w:r w:rsidRPr="00292532">
        <w:rPr>
          <w:rFonts w:eastAsia="Calibri" w:cs="Calibri"/>
          <w:noProof/>
          <w:lang w:val="en-US"/>
        </w:rPr>
        <w:drawing>
          <wp:inline distT="0" distB="0" distL="0" distR="0" wp14:anchorId="14B76F7E" wp14:editId="5C3CDE6F">
            <wp:extent cx="2953717" cy="2078182"/>
            <wp:effectExtent l="0" t="0" r="0" b="0"/>
            <wp:docPr id="195" name="Imagem 1" descr="C:\Users\Amorim Manuel\Desktop\Consultoria David Malauene\Fotos\Ilha de Moz\20210630_104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orim Manuel\Desktop\Consultoria David Malauene\Fotos\Ilha de Moz\20210630_104618.jp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2947916" cy="2074100"/>
                    </a:xfrm>
                    <a:prstGeom prst="rect">
                      <a:avLst/>
                    </a:prstGeom>
                    <a:noFill/>
                    <a:ln>
                      <a:noFill/>
                    </a:ln>
                  </pic:spPr>
                </pic:pic>
              </a:graphicData>
            </a:graphic>
          </wp:inline>
        </w:drawing>
      </w:r>
      <w:r w:rsidRPr="004500AE">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pt-PT" w:eastAsia="x-none" w:bidi="x-none"/>
        </w:rPr>
        <w:t xml:space="preserve"> </w:t>
      </w:r>
      <w:r w:rsidRPr="00292532">
        <w:rPr>
          <w:rFonts w:eastAsia="Calibri" w:cs="Calibri"/>
          <w:noProof/>
          <w:lang w:val="en-US"/>
        </w:rPr>
        <w:drawing>
          <wp:inline distT="0" distB="0" distL="0" distR="0" wp14:anchorId="262E21DE" wp14:editId="52D5F772">
            <wp:extent cx="2936485" cy="2078182"/>
            <wp:effectExtent l="0" t="0" r="0" b="0"/>
            <wp:docPr id="197" name="Imagem 5" descr="C:\Users\Amorim Manuel\Desktop\Consultoria David Malauene\Fotos\Ilha de Moz\20210630_105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morim Manuel\Desktop\Consultoria David Malauene\Fotos\Ilha de Moz\20210630_105440.jp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947916" cy="2086272"/>
                    </a:xfrm>
                    <a:prstGeom prst="rect">
                      <a:avLst/>
                    </a:prstGeom>
                    <a:noFill/>
                    <a:ln>
                      <a:noFill/>
                    </a:ln>
                  </pic:spPr>
                </pic:pic>
              </a:graphicData>
            </a:graphic>
          </wp:inline>
        </w:drawing>
      </w:r>
    </w:p>
    <w:p w14:paraId="54B5F4C8" w14:textId="62A8AC52" w:rsidR="00706222" w:rsidRPr="004500AE" w:rsidRDefault="00706222" w:rsidP="00706222">
      <w:pPr>
        <w:spacing w:before="0" w:after="0" w:line="259" w:lineRule="auto"/>
        <w:jc w:val="left"/>
        <w:rPr>
          <w:rFonts w:eastAsia="Calibri" w:cs="Calibri"/>
          <w:noProof/>
          <w:lang w:val="pt-PT"/>
        </w:rPr>
      </w:pPr>
      <w:r w:rsidRPr="00292532">
        <w:rPr>
          <w:rFonts w:eastAsia="Calibri" w:cs="Calibri"/>
          <w:noProof/>
          <w:lang w:val="en-US"/>
        </w:rPr>
        <w:lastRenderedPageBreak/>
        <w:drawing>
          <wp:inline distT="0" distB="0" distL="0" distR="0" wp14:anchorId="7582BA49" wp14:editId="3331759C">
            <wp:extent cx="2992582" cy="2458192"/>
            <wp:effectExtent l="0" t="0" r="0" b="0"/>
            <wp:docPr id="198" name="Imagem 6" descr="C:\Users\Amorim Manuel\Desktop\Consultoria David Malauene\Fotos\Ilha de Moz\20210630_110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morim Manuel\Desktop\Consultoria David Malauene\Fotos\Ilha de Moz\20210630_110308.jp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3006330" cy="2469485"/>
                    </a:xfrm>
                    <a:prstGeom prst="rect">
                      <a:avLst/>
                    </a:prstGeom>
                    <a:noFill/>
                    <a:ln>
                      <a:noFill/>
                    </a:ln>
                  </pic:spPr>
                </pic:pic>
              </a:graphicData>
            </a:graphic>
          </wp:inline>
        </w:drawing>
      </w:r>
      <w:r w:rsidRPr="004500AE">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pt-PT" w:eastAsia="x-none" w:bidi="x-none"/>
        </w:rPr>
        <w:t xml:space="preserve"> </w:t>
      </w:r>
      <w:r w:rsidRPr="00292532">
        <w:rPr>
          <w:rFonts w:eastAsia="Calibri" w:cs="Calibri"/>
          <w:noProof/>
          <w:lang w:val="en-US"/>
        </w:rPr>
        <w:drawing>
          <wp:inline distT="0" distB="0" distL="0" distR="0" wp14:anchorId="0B79BB84" wp14:editId="581B6243">
            <wp:extent cx="2897579" cy="2446317"/>
            <wp:effectExtent l="0" t="0" r="0" b="0"/>
            <wp:docPr id="200" name="Imagem 7" descr="C:\Users\Amorim Manuel\Desktop\Consultoria David Malauene\Fotos\Ilha de Moz\20210630_10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orim Manuel\Desktop\Consultoria David Malauene\Fotos\Ilha de Moz\20210630_105621.jp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917621" cy="2463238"/>
                    </a:xfrm>
                    <a:prstGeom prst="rect">
                      <a:avLst/>
                    </a:prstGeom>
                    <a:noFill/>
                    <a:ln>
                      <a:noFill/>
                    </a:ln>
                  </pic:spPr>
                </pic:pic>
              </a:graphicData>
            </a:graphic>
          </wp:inline>
        </w:drawing>
      </w:r>
    </w:p>
    <w:p w14:paraId="637C8D92" w14:textId="77777777" w:rsidR="00706222" w:rsidRPr="00292532" w:rsidRDefault="00706222" w:rsidP="00706222">
      <w:pPr>
        <w:spacing w:before="0" w:line="259" w:lineRule="auto"/>
        <w:jc w:val="left"/>
        <w:rPr>
          <w:rFonts w:eastAsia="Calibri" w:cs="Calibri"/>
          <w:noProof/>
          <w:lang w:val="pt-PT"/>
        </w:rPr>
      </w:pPr>
      <w:r w:rsidRPr="00292532">
        <w:rPr>
          <w:rFonts w:eastAsia="Calibri" w:cs="Calibri"/>
          <w:noProof/>
          <w:lang w:val="pt-PT"/>
        </w:rPr>
        <w:br w:type="page"/>
      </w:r>
    </w:p>
    <w:p w14:paraId="51132324" w14:textId="77777777" w:rsidR="00706222" w:rsidRPr="00292532" w:rsidRDefault="00706222" w:rsidP="00706222">
      <w:pPr>
        <w:spacing w:before="0" w:after="0" w:line="276" w:lineRule="auto"/>
        <w:jc w:val="center"/>
        <w:rPr>
          <w:rFonts w:eastAsia="Calibri" w:cs="Calibri"/>
          <w:b/>
          <w:noProof/>
          <w:sz w:val="24"/>
          <w:lang w:val="pt-PT"/>
        </w:rPr>
      </w:pPr>
      <w:r w:rsidRPr="00292532">
        <w:rPr>
          <w:rFonts w:eastAsia="Calibri" w:cs="Calibri"/>
          <w:b/>
          <w:noProof/>
          <w:sz w:val="24"/>
          <w:lang w:val="pt-PT"/>
        </w:rPr>
        <w:lastRenderedPageBreak/>
        <w:t>Distrito de Mussuril</w:t>
      </w:r>
    </w:p>
    <w:p w14:paraId="6637EC06" w14:textId="77777777" w:rsidR="00706222" w:rsidRPr="00292532" w:rsidRDefault="00706222" w:rsidP="00706222">
      <w:pPr>
        <w:spacing w:before="0" w:after="0" w:line="276" w:lineRule="auto"/>
        <w:jc w:val="center"/>
        <w:rPr>
          <w:rFonts w:eastAsia="Calibri" w:cs="Calibri"/>
          <w:b/>
          <w:noProof/>
          <w:sz w:val="24"/>
          <w:lang w:val="pt-PT"/>
        </w:rPr>
      </w:pPr>
      <w:r w:rsidRPr="00292532">
        <w:rPr>
          <w:rFonts w:eastAsia="Calibri" w:cs="Calibri"/>
          <w:b/>
          <w:noProof/>
          <w:sz w:val="24"/>
          <w:lang w:val="pt-PT"/>
        </w:rPr>
        <w:t>Comunidade de Mingurine</w:t>
      </w:r>
    </w:p>
    <w:p w14:paraId="0A669B1E" w14:textId="77777777" w:rsidR="00706222" w:rsidRPr="00292532" w:rsidRDefault="00706222" w:rsidP="00706222">
      <w:pPr>
        <w:spacing w:before="0" w:line="259" w:lineRule="auto"/>
        <w:jc w:val="center"/>
        <w:rPr>
          <w:rFonts w:eastAsia="Calibri" w:cs="Calibri"/>
          <w:b/>
          <w:i/>
          <w:noProof/>
          <w:u w:val="single"/>
          <w:lang w:val="pt-PT"/>
        </w:rPr>
      </w:pPr>
    </w:p>
    <w:p w14:paraId="1D5987D2" w14:textId="77777777" w:rsidR="00706222" w:rsidRPr="00292532" w:rsidRDefault="00706222" w:rsidP="00706222">
      <w:pPr>
        <w:spacing w:before="0" w:line="259" w:lineRule="auto"/>
        <w:jc w:val="center"/>
        <w:rPr>
          <w:rFonts w:eastAsia="Calibri" w:cs="Calibri"/>
          <w:b/>
          <w:i/>
          <w:noProof/>
          <w:u w:val="single"/>
          <w:lang w:val="pt-PT"/>
        </w:rPr>
      </w:pPr>
      <w:r w:rsidRPr="00292532">
        <w:rPr>
          <w:rFonts w:eastAsia="Calibri" w:cs="Calibri"/>
          <w:b/>
          <w:i/>
          <w:noProof/>
          <w:u w:val="single"/>
          <w:lang w:val="pt-PT"/>
        </w:rPr>
        <w:t>Acta da reunião</w:t>
      </w:r>
    </w:p>
    <w:p w14:paraId="0EBC466E" w14:textId="77777777" w:rsidR="00706222" w:rsidRPr="00292532" w:rsidRDefault="00706222" w:rsidP="00706222">
      <w:pPr>
        <w:spacing w:before="0" w:line="259" w:lineRule="auto"/>
        <w:jc w:val="center"/>
        <w:rPr>
          <w:rFonts w:eastAsia="Calibri" w:cs="Calibri"/>
          <w:b/>
          <w:i/>
          <w:noProof/>
          <w:u w:val="single"/>
          <w:lang w:val="pt-PT"/>
        </w:rPr>
      </w:pPr>
      <w:r w:rsidRPr="00292532">
        <w:rPr>
          <w:rFonts w:eastAsia="Calibri" w:cs="Calibri"/>
          <w:b/>
          <w:i/>
          <w:noProof/>
          <w:u w:val="single"/>
          <w:lang w:val="pt-PT"/>
        </w:rPr>
        <w:t>Dia: 30/07/2021</w:t>
      </w:r>
    </w:p>
    <w:p w14:paraId="67E693D8" w14:textId="77777777" w:rsidR="00706222" w:rsidRPr="00292532" w:rsidRDefault="00706222" w:rsidP="00706222">
      <w:pPr>
        <w:spacing w:before="0" w:after="0" w:line="276" w:lineRule="auto"/>
        <w:jc w:val="center"/>
        <w:rPr>
          <w:rFonts w:eastAsia="Calibri" w:cs="Calibri"/>
          <w:bCs/>
          <w:noProof/>
          <w:sz w:val="24"/>
          <w:u w:val="single"/>
          <w:lang w:val="pt-PT"/>
        </w:rPr>
      </w:pPr>
      <w:r w:rsidRPr="00292532">
        <w:rPr>
          <w:rFonts w:eastAsia="Calibri" w:cs="Calibri"/>
          <w:bCs/>
          <w:noProof/>
          <w:sz w:val="24"/>
          <w:u w:val="single"/>
          <w:lang w:val="pt-PT"/>
        </w:rPr>
        <w:t>Consulta Publica para elaboração de instrumentos genericos de gestão ambiental e social</w:t>
      </w:r>
    </w:p>
    <w:p w14:paraId="13C2B3EB" w14:textId="77777777" w:rsidR="00706222" w:rsidRPr="00292532" w:rsidRDefault="00706222" w:rsidP="00706222">
      <w:pPr>
        <w:spacing w:before="0" w:after="0" w:line="276" w:lineRule="auto"/>
        <w:jc w:val="center"/>
        <w:rPr>
          <w:rFonts w:eastAsia="Calibri" w:cs="Calibri"/>
          <w:b/>
          <w:noProof/>
          <w:sz w:val="24"/>
          <w:lang w:val="pt-PT"/>
        </w:rPr>
      </w:pPr>
      <w:r w:rsidRPr="00292532">
        <w:rPr>
          <w:rFonts w:eastAsia="Calibri" w:cs="Calibri"/>
          <w:b/>
          <w:noProof/>
          <w:sz w:val="24"/>
          <w:lang w:val="pt-PT"/>
        </w:rPr>
        <w:t>Particparam 24 pessoas, sendo 8 Homens e 16 Mulheres</w:t>
      </w:r>
    </w:p>
    <w:tbl>
      <w:tblPr>
        <w:tblW w:w="9559" w:type="dxa"/>
        <w:tblInd w:w="-289" w:type="dxa"/>
        <w:tblLayout w:type="fixed"/>
        <w:tblLook w:val="04A0" w:firstRow="1" w:lastRow="0" w:firstColumn="1" w:lastColumn="0" w:noHBand="0" w:noVBand="1"/>
      </w:tblPr>
      <w:tblGrid>
        <w:gridCol w:w="2552"/>
        <w:gridCol w:w="4847"/>
        <w:gridCol w:w="2160"/>
      </w:tblGrid>
      <w:tr w:rsidR="00706222" w:rsidRPr="00292532" w14:paraId="287881AB" w14:textId="77777777" w:rsidTr="00706222">
        <w:trPr>
          <w:trHeight w:val="70"/>
          <w:tblHeader/>
        </w:trPr>
        <w:tc>
          <w:tcPr>
            <w:tcW w:w="2552" w:type="dxa"/>
            <w:shd w:val="clear" w:color="auto" w:fill="4472C4"/>
            <w:vAlign w:val="center"/>
          </w:tcPr>
          <w:p w14:paraId="2F7CE7CF" w14:textId="77777777" w:rsidR="00706222" w:rsidRPr="00292532" w:rsidRDefault="00706222" w:rsidP="00706222">
            <w:pPr>
              <w:tabs>
                <w:tab w:val="left" w:pos="2980"/>
              </w:tabs>
              <w:spacing w:before="0" w:after="0" w:line="276" w:lineRule="auto"/>
              <w:jc w:val="center"/>
              <w:rPr>
                <w:rFonts w:eastAsia="Calibri" w:cs="Calibri"/>
                <w:b/>
                <w:noProof/>
                <w:color w:val="FFFFFF"/>
                <w:lang w:val="pt-PT"/>
              </w:rPr>
            </w:pPr>
            <w:r w:rsidRPr="00292532">
              <w:rPr>
                <w:rFonts w:eastAsia="Calibri" w:cs="Calibri"/>
                <w:b/>
                <w:noProof/>
                <w:color w:val="FFFFFF"/>
                <w:lang w:val="pt-PT"/>
              </w:rPr>
              <w:t>Assuntos abordados</w:t>
            </w:r>
          </w:p>
        </w:tc>
        <w:tc>
          <w:tcPr>
            <w:tcW w:w="4847" w:type="dxa"/>
            <w:shd w:val="clear" w:color="auto" w:fill="4472C4"/>
            <w:vAlign w:val="center"/>
          </w:tcPr>
          <w:p w14:paraId="65D5B4D5" w14:textId="77777777" w:rsidR="00706222" w:rsidRPr="00292532" w:rsidRDefault="00706222" w:rsidP="00706222">
            <w:pPr>
              <w:spacing w:before="0" w:after="0" w:line="276" w:lineRule="auto"/>
              <w:jc w:val="center"/>
              <w:rPr>
                <w:rFonts w:eastAsia="Calibri" w:cs="Calibri"/>
                <w:b/>
                <w:noProof/>
                <w:color w:val="FFFFFF"/>
                <w:lang w:val="pt-PT"/>
              </w:rPr>
            </w:pPr>
            <w:r w:rsidRPr="00292532">
              <w:rPr>
                <w:rFonts w:eastAsia="Times New Roman" w:cs="Calibri"/>
                <w:b/>
                <w:noProof/>
                <w:color w:val="FFFFFF"/>
                <w:lang w:val="pt-PT"/>
              </w:rPr>
              <w:t>Resposta / Comentário</w:t>
            </w:r>
          </w:p>
        </w:tc>
        <w:tc>
          <w:tcPr>
            <w:tcW w:w="2160" w:type="dxa"/>
            <w:shd w:val="clear" w:color="auto" w:fill="4472C4"/>
            <w:vAlign w:val="center"/>
          </w:tcPr>
          <w:p w14:paraId="528737E7" w14:textId="77777777" w:rsidR="00706222" w:rsidRPr="00292532" w:rsidRDefault="00706222" w:rsidP="00706222">
            <w:pPr>
              <w:spacing w:before="0" w:after="0" w:line="276" w:lineRule="auto"/>
              <w:jc w:val="center"/>
              <w:rPr>
                <w:rFonts w:eastAsia="Calibri" w:cs="Calibri"/>
                <w:b/>
                <w:noProof/>
                <w:color w:val="FFFFFF"/>
                <w:lang w:val="pt-PT"/>
              </w:rPr>
            </w:pPr>
            <w:r w:rsidRPr="00292532">
              <w:rPr>
                <w:rFonts w:eastAsia="Calibri" w:cs="Calibri"/>
                <w:b/>
                <w:noProof/>
                <w:color w:val="FFFFFF"/>
                <w:lang w:val="pt-PT"/>
              </w:rPr>
              <w:t>Intervenientes (nome, posição/título)</w:t>
            </w:r>
          </w:p>
        </w:tc>
      </w:tr>
      <w:tr w:rsidR="00706222" w:rsidRPr="00292532" w14:paraId="7FF7B4CC" w14:textId="77777777" w:rsidTr="00706222">
        <w:trPr>
          <w:trHeight w:val="746"/>
        </w:trPr>
        <w:tc>
          <w:tcPr>
            <w:tcW w:w="2552" w:type="dxa"/>
            <w:vMerge w:val="restart"/>
            <w:tcBorders>
              <w:top w:val="single" w:sz="4" w:space="0" w:color="auto"/>
              <w:left w:val="single" w:sz="4" w:space="0" w:color="auto"/>
              <w:right w:val="single" w:sz="4" w:space="0" w:color="auto"/>
            </w:tcBorders>
            <w:vAlign w:val="center"/>
          </w:tcPr>
          <w:p w14:paraId="3213546A"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Quais são as vossas prioridades em termos de comunidade para implantar um sistema de abastecimento de água.</w:t>
            </w:r>
          </w:p>
        </w:tc>
        <w:tc>
          <w:tcPr>
            <w:tcW w:w="4847" w:type="dxa"/>
            <w:vMerge w:val="restart"/>
            <w:tcBorders>
              <w:top w:val="single" w:sz="4" w:space="0" w:color="auto"/>
              <w:left w:val="single" w:sz="4" w:space="0" w:color="auto"/>
              <w:right w:val="single" w:sz="4" w:space="0" w:color="auto"/>
            </w:tcBorders>
            <w:vAlign w:val="center"/>
          </w:tcPr>
          <w:p w14:paraId="2A9A3170"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Receber água potavel boa e abrangente para todos;</w:t>
            </w:r>
          </w:p>
          <w:p w14:paraId="786761BD"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Construirem uns furos que tiram boa água que possamos beber, cozinhar sem nenhuma preocupação.</w:t>
            </w:r>
          </w:p>
        </w:tc>
        <w:tc>
          <w:tcPr>
            <w:tcW w:w="2160" w:type="dxa"/>
            <w:tcBorders>
              <w:top w:val="single" w:sz="4" w:space="0" w:color="auto"/>
              <w:left w:val="single" w:sz="4" w:space="0" w:color="auto"/>
              <w:right w:val="single" w:sz="4" w:space="0" w:color="auto"/>
            </w:tcBorders>
            <w:vAlign w:val="center"/>
          </w:tcPr>
          <w:p w14:paraId="311D7783"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Charifo Ali</w:t>
            </w:r>
            <w:r w:rsidRPr="00292532">
              <w:rPr>
                <w:rFonts w:eastAsia="Calibri" w:cs="Calibri"/>
                <w:noProof/>
                <w:lang w:val="pt-PT"/>
              </w:rPr>
              <w:t xml:space="preserve"> – Líder;</w:t>
            </w:r>
          </w:p>
          <w:p w14:paraId="527EAD23"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Zena</w:t>
            </w:r>
            <w:r w:rsidRPr="00292532">
              <w:rPr>
                <w:rFonts w:eastAsia="Calibri" w:cs="Calibri"/>
                <w:noProof/>
                <w:lang w:val="pt-PT"/>
              </w:rPr>
              <w:t xml:space="preserve"> - Residente;</w:t>
            </w:r>
          </w:p>
          <w:p w14:paraId="60C4FBAB" w14:textId="77777777" w:rsidR="00706222" w:rsidRPr="00292532" w:rsidRDefault="00706222" w:rsidP="00706222">
            <w:pPr>
              <w:spacing w:before="0" w:after="0" w:line="276" w:lineRule="auto"/>
              <w:jc w:val="left"/>
              <w:rPr>
                <w:rFonts w:eastAsia="Calibri" w:cs="Calibri"/>
                <w:noProof/>
                <w:u w:val="single"/>
                <w:lang w:val="pt-PT"/>
              </w:rPr>
            </w:pPr>
            <w:r w:rsidRPr="00292532">
              <w:rPr>
                <w:rFonts w:eastAsia="Calibri" w:cs="Calibri"/>
                <w:b/>
                <w:noProof/>
                <w:lang w:val="pt-PT"/>
              </w:rPr>
              <w:t>Bia</w:t>
            </w:r>
            <w:r w:rsidRPr="00292532">
              <w:rPr>
                <w:rFonts w:eastAsia="Calibri" w:cs="Calibri"/>
                <w:noProof/>
                <w:lang w:val="pt-PT"/>
              </w:rPr>
              <w:t xml:space="preserve"> - Residente</w:t>
            </w:r>
          </w:p>
        </w:tc>
      </w:tr>
      <w:tr w:rsidR="00706222" w:rsidRPr="00292532" w14:paraId="7F8525D5" w14:textId="77777777" w:rsidTr="00706222">
        <w:trPr>
          <w:trHeight w:val="1074"/>
        </w:trPr>
        <w:tc>
          <w:tcPr>
            <w:tcW w:w="2552" w:type="dxa"/>
            <w:vMerge/>
            <w:tcBorders>
              <w:left w:val="single" w:sz="4" w:space="0" w:color="auto"/>
              <w:bottom w:val="single" w:sz="4" w:space="0" w:color="auto"/>
              <w:right w:val="single" w:sz="4" w:space="0" w:color="auto"/>
            </w:tcBorders>
            <w:vAlign w:val="center"/>
          </w:tcPr>
          <w:p w14:paraId="5CDFE29B" w14:textId="77777777" w:rsidR="00706222" w:rsidRPr="00292532" w:rsidRDefault="00706222" w:rsidP="00706222">
            <w:pPr>
              <w:spacing w:before="0" w:after="0" w:line="276" w:lineRule="auto"/>
              <w:jc w:val="left"/>
              <w:rPr>
                <w:rFonts w:eastAsia="Calibri" w:cs="Calibri"/>
                <w:noProof/>
                <w:lang w:val="pt-PT"/>
              </w:rPr>
            </w:pPr>
          </w:p>
        </w:tc>
        <w:tc>
          <w:tcPr>
            <w:tcW w:w="4847" w:type="dxa"/>
            <w:vMerge/>
            <w:tcBorders>
              <w:left w:val="single" w:sz="4" w:space="0" w:color="auto"/>
              <w:bottom w:val="single" w:sz="4" w:space="0" w:color="auto"/>
              <w:right w:val="single" w:sz="4" w:space="0" w:color="auto"/>
            </w:tcBorders>
            <w:vAlign w:val="center"/>
          </w:tcPr>
          <w:p w14:paraId="14052EC0" w14:textId="77777777" w:rsidR="00706222" w:rsidRPr="00292532" w:rsidRDefault="00706222" w:rsidP="00706222">
            <w:pPr>
              <w:spacing w:before="0" w:after="0" w:line="276" w:lineRule="auto"/>
              <w:jc w:val="left"/>
              <w:rPr>
                <w:rFonts w:eastAsia="Calibri" w:cs="Calibri"/>
                <w:noProof/>
                <w:lang w:val="pt-PT"/>
              </w:rPr>
            </w:pPr>
          </w:p>
        </w:tc>
        <w:tc>
          <w:tcPr>
            <w:tcW w:w="2160" w:type="dxa"/>
            <w:tcBorders>
              <w:left w:val="single" w:sz="4" w:space="0" w:color="auto"/>
              <w:bottom w:val="single" w:sz="4" w:space="0" w:color="auto"/>
              <w:right w:val="single" w:sz="4" w:space="0" w:color="auto"/>
            </w:tcBorders>
            <w:vAlign w:val="center"/>
          </w:tcPr>
          <w:p w14:paraId="25DF3872" w14:textId="77777777" w:rsidR="00706222" w:rsidRPr="00292532" w:rsidRDefault="00706222" w:rsidP="00706222">
            <w:pPr>
              <w:spacing w:before="0" w:after="0" w:line="276" w:lineRule="auto"/>
              <w:jc w:val="left"/>
              <w:rPr>
                <w:rFonts w:eastAsia="Calibri" w:cs="Calibri"/>
                <w:noProof/>
                <w:u w:val="single"/>
                <w:lang w:val="pt-PT"/>
              </w:rPr>
            </w:pPr>
          </w:p>
        </w:tc>
      </w:tr>
      <w:tr w:rsidR="00706222" w:rsidRPr="00292532" w14:paraId="191817FC" w14:textId="77777777" w:rsidTr="00706222">
        <w:tc>
          <w:tcPr>
            <w:tcW w:w="2552" w:type="dxa"/>
            <w:tcBorders>
              <w:top w:val="single" w:sz="4" w:space="0" w:color="auto"/>
              <w:left w:val="single" w:sz="4" w:space="0" w:color="auto"/>
              <w:bottom w:val="single" w:sz="4" w:space="0" w:color="auto"/>
              <w:right w:val="single" w:sz="4" w:space="0" w:color="auto"/>
            </w:tcBorders>
            <w:vAlign w:val="center"/>
            <w:hideMark/>
          </w:tcPr>
          <w:p w14:paraId="320953F7" w14:textId="77777777" w:rsidR="00706222" w:rsidRPr="00292532" w:rsidRDefault="00706222" w:rsidP="00706222">
            <w:pPr>
              <w:spacing w:before="0" w:after="0" w:line="276" w:lineRule="auto"/>
              <w:jc w:val="left"/>
              <w:rPr>
                <w:rFonts w:eastAsia="Calibri" w:cs="Calibri"/>
                <w:noProof/>
                <w:lang w:val="pt-PT"/>
              </w:rPr>
            </w:pPr>
          </w:p>
          <w:p w14:paraId="2AE700AD"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Mecanismo de Gestão de Reclamação e conflitos a nível local e recomendação para o projecto.</w:t>
            </w:r>
          </w:p>
        </w:tc>
        <w:tc>
          <w:tcPr>
            <w:tcW w:w="4847" w:type="dxa"/>
            <w:tcBorders>
              <w:top w:val="single" w:sz="4" w:space="0" w:color="auto"/>
              <w:left w:val="single" w:sz="4" w:space="0" w:color="auto"/>
              <w:bottom w:val="single" w:sz="4" w:space="0" w:color="auto"/>
              <w:right w:val="single" w:sz="4" w:space="0" w:color="auto"/>
            </w:tcBorders>
            <w:vAlign w:val="center"/>
          </w:tcPr>
          <w:p w14:paraId="7B11AD6F"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Geralmente aqui na comunidade quando existe um conflito as pessoas vão de imediato ao posto policial, os únicos conflitos que são geridos a nível do bairro são os problemas passionais.</w:t>
            </w:r>
          </w:p>
        </w:tc>
        <w:tc>
          <w:tcPr>
            <w:tcW w:w="2160" w:type="dxa"/>
            <w:tcBorders>
              <w:top w:val="single" w:sz="4" w:space="0" w:color="auto"/>
              <w:left w:val="single" w:sz="4" w:space="0" w:color="auto"/>
              <w:bottom w:val="single" w:sz="4" w:space="0" w:color="auto"/>
              <w:right w:val="single" w:sz="4" w:space="0" w:color="auto"/>
            </w:tcBorders>
            <w:vAlign w:val="center"/>
          </w:tcPr>
          <w:p w14:paraId="70376B31"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Charifo Ali</w:t>
            </w:r>
            <w:r w:rsidRPr="00292532">
              <w:rPr>
                <w:rFonts w:eastAsia="Calibri" w:cs="Calibri"/>
                <w:noProof/>
                <w:lang w:val="pt-PT"/>
              </w:rPr>
              <w:t xml:space="preserve"> - Líder</w:t>
            </w:r>
          </w:p>
        </w:tc>
      </w:tr>
      <w:tr w:rsidR="00706222" w:rsidRPr="00292532" w14:paraId="47DB40AD" w14:textId="77777777" w:rsidTr="00706222">
        <w:trPr>
          <w:trHeight w:val="1057"/>
        </w:trPr>
        <w:tc>
          <w:tcPr>
            <w:tcW w:w="2552" w:type="dxa"/>
            <w:vMerge w:val="restart"/>
            <w:tcBorders>
              <w:top w:val="single" w:sz="4" w:space="0" w:color="auto"/>
              <w:left w:val="single" w:sz="4" w:space="0" w:color="auto"/>
              <w:right w:val="single" w:sz="4" w:space="0" w:color="auto"/>
            </w:tcBorders>
            <w:vAlign w:val="center"/>
            <w:hideMark/>
          </w:tcPr>
          <w:p w14:paraId="4C5CE8A7" w14:textId="77777777" w:rsidR="00706222" w:rsidRPr="00292532" w:rsidRDefault="00706222" w:rsidP="00706222">
            <w:pPr>
              <w:spacing w:before="0" w:after="0" w:line="259" w:lineRule="auto"/>
              <w:jc w:val="left"/>
              <w:rPr>
                <w:rFonts w:eastAsia="Calibri" w:cs="Calibri"/>
                <w:b/>
                <w:bCs/>
                <w:noProof/>
                <w:lang w:val="pt-PT"/>
              </w:rPr>
            </w:pPr>
            <w:r w:rsidRPr="00292532">
              <w:rPr>
                <w:rFonts w:eastAsia="Calibri" w:cs="Calibri"/>
                <w:b/>
                <w:bCs/>
                <w:noProof/>
                <w:lang w:val="pt-PT"/>
              </w:rPr>
              <w:t>Aspectos importantes a salváguardar durante a execução do projecto.</w:t>
            </w:r>
          </w:p>
          <w:p w14:paraId="23561ACC" w14:textId="77777777" w:rsidR="00706222" w:rsidRPr="00292532" w:rsidRDefault="00706222" w:rsidP="00706222">
            <w:pPr>
              <w:spacing w:before="0" w:after="0" w:line="276" w:lineRule="auto"/>
              <w:jc w:val="left"/>
              <w:rPr>
                <w:rFonts w:eastAsia="Calibri" w:cs="Calibri"/>
                <w:noProof/>
                <w:lang w:val="pt-PT"/>
              </w:rPr>
            </w:pPr>
          </w:p>
        </w:tc>
        <w:tc>
          <w:tcPr>
            <w:tcW w:w="4847" w:type="dxa"/>
            <w:vMerge w:val="restart"/>
            <w:tcBorders>
              <w:top w:val="single" w:sz="4" w:space="0" w:color="auto"/>
              <w:left w:val="single" w:sz="4" w:space="0" w:color="auto"/>
              <w:right w:val="single" w:sz="4" w:space="0" w:color="auto"/>
            </w:tcBorders>
            <w:vAlign w:val="center"/>
          </w:tcPr>
          <w:p w14:paraId="394ECC91" w14:textId="77777777" w:rsidR="00706222" w:rsidRPr="00292532" w:rsidRDefault="00706222" w:rsidP="00AE14AE">
            <w:pPr>
              <w:numPr>
                <w:ilvl w:val="0"/>
                <w:numId w:val="174"/>
              </w:numPr>
              <w:spacing w:before="0" w:after="0" w:line="276" w:lineRule="auto"/>
              <w:contextualSpacing/>
              <w:jc w:val="left"/>
              <w:rPr>
                <w:rFonts w:eastAsia="Calibri" w:cs="Calibri"/>
                <w:noProof/>
                <w:lang w:val="pt-PT"/>
              </w:rPr>
            </w:pPr>
            <w:r w:rsidRPr="00292532">
              <w:rPr>
                <w:rFonts w:eastAsia="Calibri" w:cs="Calibri"/>
                <w:noProof/>
                <w:lang w:val="pt-PT"/>
              </w:rPr>
              <w:t>Envolvimento da comunidade em todas etapas do projecto;</w:t>
            </w:r>
          </w:p>
          <w:p w14:paraId="1F0AA2F5" w14:textId="77777777" w:rsidR="00706222" w:rsidRPr="00292532" w:rsidRDefault="00706222" w:rsidP="00AE14AE">
            <w:pPr>
              <w:numPr>
                <w:ilvl w:val="0"/>
                <w:numId w:val="174"/>
              </w:numPr>
              <w:spacing w:before="0" w:after="0" w:line="276" w:lineRule="auto"/>
              <w:contextualSpacing/>
              <w:jc w:val="left"/>
              <w:rPr>
                <w:rFonts w:eastAsia="Calibri" w:cs="Calibri"/>
                <w:noProof/>
                <w:lang w:val="pt-PT"/>
              </w:rPr>
            </w:pPr>
            <w:r w:rsidRPr="00292532">
              <w:rPr>
                <w:rFonts w:eastAsia="Calibri" w:cs="Calibri"/>
                <w:noProof/>
                <w:lang w:val="pt-PT"/>
              </w:rPr>
              <w:t>Em caso de danos aos nossos bens, os consensos devem ser pacificamente atingidos com a parte afectada. Há casos em que destrõem e não dizem nada.</w:t>
            </w:r>
          </w:p>
        </w:tc>
        <w:tc>
          <w:tcPr>
            <w:tcW w:w="2160" w:type="dxa"/>
            <w:tcBorders>
              <w:top w:val="single" w:sz="4" w:space="0" w:color="auto"/>
              <w:left w:val="single" w:sz="4" w:space="0" w:color="auto"/>
              <w:right w:val="single" w:sz="4" w:space="0" w:color="auto"/>
            </w:tcBorders>
            <w:vAlign w:val="center"/>
          </w:tcPr>
          <w:p w14:paraId="761A4108"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Charifo Ali</w:t>
            </w:r>
            <w:r w:rsidRPr="00292532">
              <w:rPr>
                <w:rFonts w:eastAsia="Calibri" w:cs="Calibri"/>
                <w:noProof/>
                <w:lang w:val="pt-PT"/>
              </w:rPr>
              <w:t xml:space="preserve"> – Líder;</w:t>
            </w:r>
          </w:p>
          <w:p w14:paraId="683DBA4D"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Muajuma</w:t>
            </w:r>
            <w:r w:rsidRPr="00292532">
              <w:rPr>
                <w:rFonts w:eastAsia="Calibri" w:cs="Calibri"/>
                <w:noProof/>
                <w:lang w:val="pt-PT"/>
              </w:rPr>
              <w:t xml:space="preserve"> – Residente;</w:t>
            </w:r>
          </w:p>
          <w:p w14:paraId="2321197B"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 xml:space="preserve">Amina </w:t>
            </w:r>
            <w:r w:rsidRPr="00292532">
              <w:rPr>
                <w:rFonts w:eastAsia="Calibri" w:cs="Calibri"/>
                <w:noProof/>
                <w:lang w:val="pt-PT"/>
              </w:rPr>
              <w:t>– Residente.</w:t>
            </w:r>
          </w:p>
        </w:tc>
      </w:tr>
      <w:tr w:rsidR="00706222" w:rsidRPr="00292532" w14:paraId="18E8AE09" w14:textId="77777777" w:rsidTr="00706222">
        <w:trPr>
          <w:trHeight w:val="611"/>
        </w:trPr>
        <w:tc>
          <w:tcPr>
            <w:tcW w:w="2552" w:type="dxa"/>
            <w:vMerge/>
            <w:tcBorders>
              <w:left w:val="single" w:sz="4" w:space="0" w:color="auto"/>
              <w:bottom w:val="single" w:sz="4" w:space="0" w:color="auto"/>
              <w:right w:val="single" w:sz="4" w:space="0" w:color="auto"/>
            </w:tcBorders>
            <w:vAlign w:val="center"/>
          </w:tcPr>
          <w:p w14:paraId="414D0124" w14:textId="77777777" w:rsidR="00706222" w:rsidRPr="00292532" w:rsidRDefault="00706222" w:rsidP="00706222">
            <w:pPr>
              <w:spacing w:before="0" w:after="0" w:line="276" w:lineRule="auto"/>
              <w:jc w:val="left"/>
              <w:rPr>
                <w:rFonts w:eastAsia="Calibri" w:cs="Calibri"/>
                <w:noProof/>
                <w:lang w:val="pt-PT"/>
              </w:rPr>
            </w:pPr>
          </w:p>
        </w:tc>
        <w:tc>
          <w:tcPr>
            <w:tcW w:w="4847" w:type="dxa"/>
            <w:vMerge/>
            <w:tcBorders>
              <w:left w:val="single" w:sz="4" w:space="0" w:color="auto"/>
              <w:bottom w:val="single" w:sz="4" w:space="0" w:color="auto"/>
              <w:right w:val="single" w:sz="4" w:space="0" w:color="auto"/>
            </w:tcBorders>
            <w:vAlign w:val="center"/>
          </w:tcPr>
          <w:p w14:paraId="4231A92E" w14:textId="77777777" w:rsidR="00706222" w:rsidRPr="00292532" w:rsidRDefault="00706222" w:rsidP="00706222">
            <w:pPr>
              <w:spacing w:before="0" w:after="0" w:line="276" w:lineRule="auto"/>
              <w:jc w:val="left"/>
              <w:rPr>
                <w:rFonts w:eastAsia="Calibri" w:cs="Calibri"/>
                <w:noProof/>
                <w:lang w:val="pt-PT"/>
              </w:rPr>
            </w:pPr>
          </w:p>
        </w:tc>
        <w:tc>
          <w:tcPr>
            <w:tcW w:w="2160" w:type="dxa"/>
            <w:tcBorders>
              <w:left w:val="single" w:sz="4" w:space="0" w:color="auto"/>
              <w:bottom w:val="single" w:sz="4" w:space="0" w:color="auto"/>
              <w:right w:val="single" w:sz="4" w:space="0" w:color="auto"/>
            </w:tcBorders>
            <w:vAlign w:val="center"/>
          </w:tcPr>
          <w:p w14:paraId="06342128" w14:textId="77777777" w:rsidR="00706222" w:rsidRPr="00292532" w:rsidRDefault="00706222" w:rsidP="00706222">
            <w:pPr>
              <w:spacing w:before="0" w:after="0" w:line="276" w:lineRule="auto"/>
              <w:jc w:val="left"/>
              <w:rPr>
                <w:rFonts w:eastAsia="Calibri" w:cs="Calibri"/>
                <w:noProof/>
                <w:lang w:val="pt-PT"/>
              </w:rPr>
            </w:pPr>
          </w:p>
        </w:tc>
      </w:tr>
      <w:tr w:rsidR="00706222" w:rsidRPr="00292532" w14:paraId="6CB9FD6E" w14:textId="77777777" w:rsidTr="00706222">
        <w:tc>
          <w:tcPr>
            <w:tcW w:w="2552" w:type="dxa"/>
            <w:tcBorders>
              <w:top w:val="single" w:sz="4" w:space="0" w:color="auto"/>
              <w:left w:val="single" w:sz="4" w:space="0" w:color="auto"/>
              <w:bottom w:val="single" w:sz="4" w:space="0" w:color="auto"/>
              <w:right w:val="single" w:sz="4" w:space="0" w:color="auto"/>
            </w:tcBorders>
            <w:vAlign w:val="center"/>
            <w:hideMark/>
          </w:tcPr>
          <w:p w14:paraId="31695315"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bCs/>
                <w:noProof/>
                <w:lang w:val="pt-PT"/>
              </w:rPr>
              <w:t>Recrutamento de Mão-de-Obra.</w:t>
            </w:r>
          </w:p>
        </w:tc>
        <w:tc>
          <w:tcPr>
            <w:tcW w:w="4847" w:type="dxa"/>
            <w:tcBorders>
              <w:top w:val="single" w:sz="4" w:space="0" w:color="auto"/>
              <w:left w:val="single" w:sz="4" w:space="0" w:color="auto"/>
              <w:bottom w:val="single" w:sz="4" w:space="0" w:color="auto"/>
              <w:right w:val="single" w:sz="4" w:space="0" w:color="auto"/>
            </w:tcBorders>
            <w:vAlign w:val="center"/>
          </w:tcPr>
          <w:p w14:paraId="30A50EDE" w14:textId="77777777" w:rsidR="00706222" w:rsidRPr="00292532" w:rsidRDefault="00706222" w:rsidP="00AE14AE">
            <w:pPr>
              <w:numPr>
                <w:ilvl w:val="0"/>
                <w:numId w:val="190"/>
              </w:numPr>
              <w:spacing w:before="0" w:after="0" w:line="276" w:lineRule="auto"/>
              <w:contextualSpacing/>
              <w:jc w:val="left"/>
              <w:rPr>
                <w:rFonts w:eastAsia="Calibri" w:cs="Calibri"/>
                <w:noProof/>
                <w:lang w:val="pt-PT"/>
              </w:rPr>
            </w:pPr>
            <w:r w:rsidRPr="00292532">
              <w:rPr>
                <w:rFonts w:eastAsia="Calibri" w:cs="Calibri"/>
                <w:noProof/>
                <w:lang w:val="pt-PT"/>
              </w:rPr>
              <w:t>Ninguem desta comunidade foi contratado para fazer parte de nenhum projecto.</w:t>
            </w:r>
          </w:p>
          <w:p w14:paraId="47382401" w14:textId="77777777" w:rsidR="00706222" w:rsidRPr="00292532" w:rsidRDefault="00706222" w:rsidP="00AE14AE">
            <w:pPr>
              <w:numPr>
                <w:ilvl w:val="0"/>
                <w:numId w:val="190"/>
              </w:numPr>
              <w:spacing w:before="0" w:after="0" w:line="276" w:lineRule="auto"/>
              <w:contextualSpacing/>
              <w:jc w:val="left"/>
              <w:rPr>
                <w:rFonts w:eastAsia="Calibri" w:cs="Calibri"/>
                <w:noProof/>
                <w:lang w:val="pt-PT"/>
              </w:rPr>
            </w:pPr>
            <w:r w:rsidRPr="00292532">
              <w:rPr>
                <w:rFonts w:eastAsia="Calibri" w:cs="Calibri"/>
                <w:noProof/>
                <w:lang w:val="pt-PT"/>
              </w:rPr>
              <w:t>Muitas das vezes levam pessoas conhecidas ou que pagam algum valor monetário.</w:t>
            </w:r>
          </w:p>
        </w:tc>
        <w:tc>
          <w:tcPr>
            <w:tcW w:w="2160" w:type="dxa"/>
            <w:tcBorders>
              <w:top w:val="single" w:sz="4" w:space="0" w:color="auto"/>
              <w:left w:val="single" w:sz="4" w:space="0" w:color="auto"/>
              <w:bottom w:val="single" w:sz="4" w:space="0" w:color="auto"/>
              <w:right w:val="single" w:sz="4" w:space="0" w:color="auto"/>
            </w:tcBorders>
            <w:vAlign w:val="center"/>
          </w:tcPr>
          <w:p w14:paraId="4FCA0D88"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Hasme Armando</w:t>
            </w:r>
            <w:r w:rsidRPr="00292532">
              <w:rPr>
                <w:rFonts w:eastAsia="Calibri" w:cs="Calibri"/>
                <w:noProof/>
                <w:lang w:val="pt-PT"/>
              </w:rPr>
              <w:t xml:space="preserve"> – Técnico Saneamento SDPI;</w:t>
            </w:r>
          </w:p>
          <w:p w14:paraId="15760C13"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Braimo</w:t>
            </w:r>
            <w:r w:rsidRPr="00292532">
              <w:rPr>
                <w:rFonts w:eastAsia="Calibri" w:cs="Calibri"/>
                <w:noProof/>
                <w:lang w:val="pt-PT"/>
              </w:rPr>
              <w:t xml:space="preserve"> – Residente.</w:t>
            </w:r>
          </w:p>
        </w:tc>
      </w:tr>
      <w:tr w:rsidR="00706222" w:rsidRPr="00292532" w14:paraId="1A9913B8" w14:textId="77777777" w:rsidTr="00706222">
        <w:trPr>
          <w:trHeight w:val="745"/>
        </w:trPr>
        <w:tc>
          <w:tcPr>
            <w:tcW w:w="2552" w:type="dxa"/>
            <w:tcBorders>
              <w:top w:val="single" w:sz="4" w:space="0" w:color="auto"/>
              <w:left w:val="single" w:sz="4" w:space="0" w:color="auto"/>
              <w:bottom w:val="single" w:sz="4" w:space="0" w:color="auto"/>
              <w:right w:val="single" w:sz="4" w:space="0" w:color="auto"/>
            </w:tcBorders>
            <w:vAlign w:val="center"/>
            <w:hideMark/>
          </w:tcPr>
          <w:p w14:paraId="363C5E92"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bCs/>
                <w:noProof/>
                <w:lang w:val="pt-PT"/>
              </w:rPr>
              <w:t>Nível de interacção entre o empreiteiro e a comunidade.</w:t>
            </w:r>
          </w:p>
        </w:tc>
        <w:tc>
          <w:tcPr>
            <w:tcW w:w="4847" w:type="dxa"/>
            <w:tcBorders>
              <w:top w:val="single" w:sz="4" w:space="0" w:color="auto"/>
              <w:left w:val="single" w:sz="4" w:space="0" w:color="auto"/>
              <w:bottom w:val="single" w:sz="4" w:space="0" w:color="auto"/>
              <w:right w:val="single" w:sz="4" w:space="0" w:color="auto"/>
            </w:tcBorders>
            <w:vAlign w:val="center"/>
          </w:tcPr>
          <w:p w14:paraId="4504D963"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Sempre que se for implementar um projecto é necessario que haja uma boa interação entre o empreiteiro e a líderanca e os membros da comunidade.</w:t>
            </w:r>
          </w:p>
        </w:tc>
        <w:tc>
          <w:tcPr>
            <w:tcW w:w="2160" w:type="dxa"/>
            <w:tcBorders>
              <w:top w:val="single" w:sz="4" w:space="0" w:color="auto"/>
              <w:left w:val="single" w:sz="4" w:space="0" w:color="auto"/>
              <w:bottom w:val="single" w:sz="4" w:space="0" w:color="auto"/>
              <w:right w:val="single" w:sz="4" w:space="0" w:color="auto"/>
            </w:tcBorders>
            <w:vAlign w:val="center"/>
          </w:tcPr>
          <w:p w14:paraId="66147657"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Charifo Ali</w:t>
            </w:r>
            <w:r w:rsidRPr="00292532">
              <w:rPr>
                <w:rFonts w:eastAsia="Calibri" w:cs="Calibri"/>
                <w:noProof/>
                <w:lang w:val="pt-PT"/>
              </w:rPr>
              <w:t xml:space="preserve"> – líder;</w:t>
            </w:r>
          </w:p>
          <w:p w14:paraId="3A0CDD78" w14:textId="77777777" w:rsidR="00706222" w:rsidRPr="00292532" w:rsidRDefault="00706222" w:rsidP="00706222">
            <w:pPr>
              <w:spacing w:before="0" w:after="0" w:line="276" w:lineRule="auto"/>
              <w:jc w:val="left"/>
              <w:rPr>
                <w:rFonts w:eastAsia="Calibri" w:cs="Calibri"/>
                <w:noProof/>
                <w:u w:val="single"/>
                <w:lang w:val="pt-PT"/>
              </w:rPr>
            </w:pPr>
          </w:p>
        </w:tc>
      </w:tr>
      <w:tr w:rsidR="00706222" w:rsidRPr="004E2EAC" w14:paraId="37333B25" w14:textId="77777777" w:rsidTr="00706222">
        <w:tc>
          <w:tcPr>
            <w:tcW w:w="2552" w:type="dxa"/>
            <w:tcBorders>
              <w:top w:val="single" w:sz="4" w:space="0" w:color="auto"/>
              <w:left w:val="single" w:sz="4" w:space="0" w:color="auto"/>
              <w:bottom w:val="single" w:sz="4" w:space="0" w:color="auto"/>
              <w:right w:val="single" w:sz="4" w:space="0" w:color="auto"/>
            </w:tcBorders>
            <w:vAlign w:val="center"/>
            <w:hideMark/>
          </w:tcPr>
          <w:p w14:paraId="7D964C7C"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bCs/>
                <w:noProof/>
                <w:lang w:val="pt-PT"/>
              </w:rPr>
              <w:t>Preocupações ou recomendações adicionais a apresentar.</w:t>
            </w:r>
          </w:p>
        </w:tc>
        <w:tc>
          <w:tcPr>
            <w:tcW w:w="4847" w:type="dxa"/>
            <w:tcBorders>
              <w:top w:val="single" w:sz="4" w:space="0" w:color="auto"/>
              <w:left w:val="single" w:sz="4" w:space="0" w:color="auto"/>
              <w:bottom w:val="single" w:sz="4" w:space="0" w:color="auto"/>
              <w:right w:val="single" w:sz="4" w:space="0" w:color="auto"/>
            </w:tcBorders>
            <w:vAlign w:val="center"/>
          </w:tcPr>
          <w:p w14:paraId="0A013EAA" w14:textId="77777777" w:rsidR="00706222" w:rsidRPr="00292532" w:rsidRDefault="00706222" w:rsidP="00706222">
            <w:pPr>
              <w:spacing w:before="0" w:line="360" w:lineRule="auto"/>
              <w:rPr>
                <w:rFonts w:eastAsia="Calibri" w:cs="Calibri"/>
                <w:noProof/>
                <w:szCs w:val="24"/>
                <w:lang w:val="pt-PT"/>
              </w:rPr>
            </w:pPr>
            <w:r w:rsidRPr="00292532">
              <w:rPr>
                <w:rFonts w:eastAsia="Calibri" w:cs="Calibri"/>
                <w:noProof/>
                <w:szCs w:val="24"/>
                <w:lang w:val="pt-PT"/>
              </w:rPr>
              <w:t>Comúnicar a líderanca do bairro em qualquer actividade que for realizada dentro do bairro/comunidade, isso vai ajudar para que a comunidade acompanhe tudo que estara acontecer.</w:t>
            </w:r>
          </w:p>
          <w:p w14:paraId="6CCDBEEC" w14:textId="77777777" w:rsidR="00706222" w:rsidRPr="00292532" w:rsidRDefault="00706222" w:rsidP="00706222">
            <w:pPr>
              <w:spacing w:before="0" w:line="360" w:lineRule="auto"/>
              <w:rPr>
                <w:rFonts w:eastAsia="Calibri" w:cs="Calibri"/>
                <w:noProof/>
                <w:szCs w:val="24"/>
                <w:lang w:val="pt-PT"/>
              </w:rPr>
            </w:pPr>
            <w:r w:rsidRPr="00292532">
              <w:rPr>
                <w:rFonts w:eastAsia="Calibri" w:cs="Calibri"/>
                <w:noProof/>
                <w:szCs w:val="24"/>
                <w:lang w:val="pt-PT"/>
              </w:rPr>
              <w:lastRenderedPageBreak/>
              <w:t>Sempre que necessario previlegiar a contratação de mão de obra local, jovens, para pequenas actividades da obra.</w:t>
            </w:r>
          </w:p>
        </w:tc>
        <w:tc>
          <w:tcPr>
            <w:tcW w:w="2160" w:type="dxa"/>
            <w:tcBorders>
              <w:top w:val="single" w:sz="4" w:space="0" w:color="auto"/>
              <w:left w:val="single" w:sz="4" w:space="0" w:color="auto"/>
              <w:bottom w:val="single" w:sz="4" w:space="0" w:color="auto"/>
              <w:right w:val="single" w:sz="4" w:space="0" w:color="auto"/>
            </w:tcBorders>
            <w:vAlign w:val="center"/>
          </w:tcPr>
          <w:p w14:paraId="2C22424C"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lastRenderedPageBreak/>
              <w:t>Charifo Ali</w:t>
            </w:r>
            <w:r w:rsidRPr="00292532">
              <w:rPr>
                <w:rFonts w:eastAsia="Calibri" w:cs="Calibri"/>
                <w:noProof/>
                <w:lang w:val="pt-PT"/>
              </w:rPr>
              <w:t xml:space="preserve"> – líder;</w:t>
            </w:r>
          </w:p>
          <w:p w14:paraId="39561A14"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Hasme Armando</w:t>
            </w:r>
            <w:r w:rsidRPr="00292532">
              <w:rPr>
                <w:rFonts w:eastAsia="Calibri" w:cs="Calibri"/>
                <w:noProof/>
                <w:lang w:val="pt-PT"/>
              </w:rPr>
              <w:t xml:space="preserve"> – Técnico Saneamento SDPI.</w:t>
            </w:r>
          </w:p>
        </w:tc>
      </w:tr>
      <w:tr w:rsidR="00706222" w:rsidRPr="004E2EAC" w14:paraId="5249E799"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4370D807"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Problemas de Abastecimento de água existentes? Actuas fontes de Abastecimento de Água?</w:t>
            </w:r>
          </w:p>
        </w:tc>
        <w:tc>
          <w:tcPr>
            <w:tcW w:w="4847" w:type="dxa"/>
            <w:tcBorders>
              <w:top w:val="single" w:sz="4" w:space="0" w:color="auto"/>
              <w:left w:val="single" w:sz="4" w:space="0" w:color="auto"/>
              <w:bottom w:val="single" w:sz="4" w:space="0" w:color="auto"/>
              <w:right w:val="single" w:sz="4" w:space="0" w:color="auto"/>
            </w:tcBorders>
            <w:vAlign w:val="center"/>
          </w:tcPr>
          <w:p w14:paraId="5B1C595C" w14:textId="77777777" w:rsidR="00706222" w:rsidRPr="00292532" w:rsidRDefault="00706222" w:rsidP="00AE14AE">
            <w:pPr>
              <w:numPr>
                <w:ilvl w:val="0"/>
                <w:numId w:val="191"/>
              </w:numPr>
              <w:spacing w:before="0" w:after="0" w:line="276" w:lineRule="auto"/>
              <w:contextualSpacing/>
              <w:jc w:val="left"/>
              <w:rPr>
                <w:rFonts w:eastAsia="Calibri" w:cs="Calibri"/>
                <w:noProof/>
                <w:lang w:val="pt-PT"/>
              </w:rPr>
            </w:pPr>
            <w:r w:rsidRPr="00292532">
              <w:rPr>
                <w:rFonts w:eastAsia="Calibri" w:cs="Calibri"/>
                <w:noProof/>
                <w:lang w:val="pt-PT"/>
              </w:rPr>
              <w:t>Água muito salobra;</w:t>
            </w:r>
          </w:p>
          <w:p w14:paraId="699D0FF0" w14:textId="77777777" w:rsidR="00706222" w:rsidRPr="00292532" w:rsidRDefault="00706222" w:rsidP="00AE14AE">
            <w:pPr>
              <w:numPr>
                <w:ilvl w:val="0"/>
                <w:numId w:val="191"/>
              </w:numPr>
              <w:spacing w:before="0" w:after="0" w:line="276" w:lineRule="auto"/>
              <w:contextualSpacing/>
              <w:jc w:val="left"/>
              <w:rPr>
                <w:rFonts w:eastAsia="Calibri" w:cs="Calibri"/>
                <w:noProof/>
                <w:lang w:val="pt-PT"/>
              </w:rPr>
            </w:pPr>
            <w:r w:rsidRPr="00292532">
              <w:rPr>
                <w:rFonts w:eastAsia="Calibri" w:cs="Calibri"/>
                <w:noProof/>
                <w:lang w:val="pt-PT"/>
              </w:rPr>
              <w:t>Dificuldades de fornecimento no bairro, o sistema existente não é abrangente;</w:t>
            </w:r>
          </w:p>
          <w:p w14:paraId="49794B25" w14:textId="77777777" w:rsidR="00706222" w:rsidRPr="00292532" w:rsidRDefault="00706222" w:rsidP="00AE14AE">
            <w:pPr>
              <w:numPr>
                <w:ilvl w:val="0"/>
                <w:numId w:val="191"/>
              </w:numPr>
              <w:spacing w:before="0" w:after="0" w:line="276" w:lineRule="auto"/>
              <w:contextualSpacing/>
              <w:jc w:val="left"/>
              <w:rPr>
                <w:rFonts w:eastAsia="Calibri" w:cs="Calibri"/>
                <w:noProof/>
                <w:lang w:val="pt-PT"/>
              </w:rPr>
            </w:pPr>
            <w:r w:rsidRPr="00292532">
              <w:rPr>
                <w:rFonts w:eastAsia="Calibri" w:cs="Calibri"/>
                <w:noProof/>
                <w:lang w:val="pt-PT"/>
              </w:rPr>
              <w:t>Difícil de se fazer poco porque toda parte o terreno é arenoso.</w:t>
            </w:r>
          </w:p>
          <w:p w14:paraId="4D44A5EE" w14:textId="77777777" w:rsidR="00706222" w:rsidRPr="00292532" w:rsidRDefault="00706222" w:rsidP="00AE14AE">
            <w:pPr>
              <w:numPr>
                <w:ilvl w:val="0"/>
                <w:numId w:val="191"/>
              </w:numPr>
              <w:spacing w:before="0" w:after="0" w:line="276" w:lineRule="auto"/>
              <w:contextualSpacing/>
              <w:jc w:val="left"/>
              <w:rPr>
                <w:rFonts w:eastAsia="Calibri" w:cs="Calibri"/>
                <w:noProof/>
                <w:lang w:val="pt-PT"/>
              </w:rPr>
            </w:pPr>
            <w:r w:rsidRPr="00292532">
              <w:rPr>
                <w:rFonts w:eastAsia="Calibri" w:cs="Calibri"/>
                <w:noProof/>
                <w:lang w:val="pt-PT"/>
              </w:rPr>
              <w:t>Actuas fontes de abastecimento de água são: Pocos tradicionais, algum fontenarios com bombas manuais.</w:t>
            </w:r>
          </w:p>
        </w:tc>
        <w:tc>
          <w:tcPr>
            <w:tcW w:w="2160" w:type="dxa"/>
            <w:tcBorders>
              <w:top w:val="single" w:sz="4" w:space="0" w:color="auto"/>
              <w:left w:val="single" w:sz="4" w:space="0" w:color="auto"/>
              <w:bottom w:val="single" w:sz="4" w:space="0" w:color="auto"/>
              <w:right w:val="single" w:sz="4" w:space="0" w:color="auto"/>
            </w:tcBorders>
            <w:vAlign w:val="center"/>
          </w:tcPr>
          <w:p w14:paraId="5D9E6CFB"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Hasme Armando</w:t>
            </w:r>
            <w:r w:rsidRPr="00292532">
              <w:rPr>
                <w:rFonts w:eastAsia="Calibri" w:cs="Calibri"/>
                <w:noProof/>
                <w:lang w:val="pt-PT"/>
              </w:rPr>
              <w:t xml:space="preserve"> – Técnico Saneamento SDPI;</w:t>
            </w:r>
          </w:p>
          <w:p w14:paraId="21C7CB00"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Charifo Ali</w:t>
            </w:r>
            <w:r w:rsidRPr="00292532">
              <w:rPr>
                <w:rFonts w:eastAsia="Calibri" w:cs="Calibri"/>
                <w:noProof/>
                <w:lang w:val="pt-PT"/>
              </w:rPr>
              <w:t xml:space="preserve"> – Líder;</w:t>
            </w:r>
          </w:p>
          <w:p w14:paraId="08C39579"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Rui</w:t>
            </w:r>
            <w:r w:rsidRPr="00292532">
              <w:rPr>
                <w:rFonts w:eastAsia="Calibri" w:cs="Calibri"/>
                <w:noProof/>
                <w:lang w:val="pt-PT"/>
              </w:rPr>
              <w:t xml:space="preserve"> – Residente.</w:t>
            </w:r>
          </w:p>
        </w:tc>
      </w:tr>
      <w:tr w:rsidR="00706222" w:rsidRPr="004E2EAC" w14:paraId="409B920A"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7846AB99"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Beneficio da água boa e de qualidade?</w:t>
            </w:r>
          </w:p>
        </w:tc>
        <w:tc>
          <w:tcPr>
            <w:tcW w:w="4847" w:type="dxa"/>
            <w:tcBorders>
              <w:top w:val="single" w:sz="4" w:space="0" w:color="auto"/>
              <w:left w:val="single" w:sz="4" w:space="0" w:color="auto"/>
              <w:bottom w:val="single" w:sz="4" w:space="0" w:color="auto"/>
              <w:right w:val="single" w:sz="4" w:space="0" w:color="auto"/>
            </w:tcBorders>
            <w:vAlign w:val="center"/>
          </w:tcPr>
          <w:p w14:paraId="4A3216AD" w14:textId="77777777" w:rsidR="00706222" w:rsidRPr="00292532" w:rsidRDefault="00706222" w:rsidP="00AE14AE">
            <w:pPr>
              <w:numPr>
                <w:ilvl w:val="0"/>
                <w:numId w:val="176"/>
              </w:numPr>
              <w:spacing w:before="0" w:after="0" w:line="276" w:lineRule="auto"/>
              <w:contextualSpacing/>
              <w:jc w:val="left"/>
              <w:rPr>
                <w:rFonts w:eastAsia="Calibri" w:cs="Calibri"/>
                <w:noProof/>
                <w:lang w:val="pt-PT"/>
              </w:rPr>
            </w:pPr>
            <w:r w:rsidRPr="00292532">
              <w:rPr>
                <w:rFonts w:eastAsia="Calibri" w:cs="Calibri"/>
                <w:noProof/>
                <w:lang w:val="pt-PT"/>
              </w:rPr>
              <w:t>Diminui as doenças provenientes do consumo da água impropria;</w:t>
            </w:r>
          </w:p>
          <w:p w14:paraId="7E9CBBB1" w14:textId="77777777" w:rsidR="00706222" w:rsidRPr="00292532" w:rsidRDefault="00706222" w:rsidP="00AE14AE">
            <w:pPr>
              <w:numPr>
                <w:ilvl w:val="0"/>
                <w:numId w:val="176"/>
              </w:numPr>
              <w:spacing w:before="0" w:after="0" w:line="276" w:lineRule="auto"/>
              <w:contextualSpacing/>
              <w:jc w:val="left"/>
              <w:rPr>
                <w:rFonts w:eastAsia="Calibri" w:cs="Calibri"/>
                <w:noProof/>
                <w:lang w:val="pt-PT"/>
              </w:rPr>
            </w:pPr>
            <w:r w:rsidRPr="00292532">
              <w:rPr>
                <w:rFonts w:eastAsia="Calibri" w:cs="Calibri"/>
                <w:noProof/>
                <w:lang w:val="pt-PT"/>
              </w:rPr>
              <w:t>Faz com que possamos beber e cozinhar sem preocupação;</w:t>
            </w:r>
          </w:p>
        </w:tc>
        <w:tc>
          <w:tcPr>
            <w:tcW w:w="2160" w:type="dxa"/>
            <w:tcBorders>
              <w:top w:val="single" w:sz="4" w:space="0" w:color="auto"/>
              <w:left w:val="single" w:sz="4" w:space="0" w:color="auto"/>
              <w:bottom w:val="single" w:sz="4" w:space="0" w:color="auto"/>
              <w:right w:val="single" w:sz="4" w:space="0" w:color="auto"/>
            </w:tcBorders>
            <w:vAlign w:val="center"/>
          </w:tcPr>
          <w:p w14:paraId="5DD97521"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Ancha</w:t>
            </w:r>
            <w:r w:rsidRPr="00292532">
              <w:rPr>
                <w:rFonts w:eastAsia="Calibri" w:cs="Calibri"/>
                <w:noProof/>
                <w:lang w:val="pt-PT"/>
              </w:rPr>
              <w:t xml:space="preserve"> – Residente;</w:t>
            </w:r>
          </w:p>
          <w:p w14:paraId="7A6F4854"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Amina</w:t>
            </w:r>
            <w:r w:rsidRPr="00292532">
              <w:rPr>
                <w:rFonts w:eastAsia="Calibri" w:cs="Calibri"/>
                <w:noProof/>
                <w:lang w:val="pt-PT"/>
              </w:rPr>
              <w:t xml:space="preserve"> – Residente;</w:t>
            </w:r>
          </w:p>
          <w:p w14:paraId="1A36BA73"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Charifo Ali</w:t>
            </w:r>
            <w:r w:rsidRPr="00292532">
              <w:rPr>
                <w:rFonts w:eastAsia="Calibri" w:cs="Calibri"/>
                <w:noProof/>
                <w:lang w:val="pt-PT"/>
              </w:rPr>
              <w:t xml:space="preserve"> – Líder.</w:t>
            </w:r>
          </w:p>
        </w:tc>
      </w:tr>
      <w:tr w:rsidR="00706222" w:rsidRPr="004E2EAC" w14:paraId="5ACC2583"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2B3E4F51"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Situação do saneamento actual?</w:t>
            </w:r>
          </w:p>
        </w:tc>
        <w:tc>
          <w:tcPr>
            <w:tcW w:w="4847" w:type="dxa"/>
            <w:tcBorders>
              <w:top w:val="single" w:sz="4" w:space="0" w:color="auto"/>
              <w:left w:val="single" w:sz="4" w:space="0" w:color="auto"/>
              <w:bottom w:val="single" w:sz="4" w:space="0" w:color="auto"/>
              <w:right w:val="single" w:sz="4" w:space="0" w:color="auto"/>
            </w:tcBorders>
            <w:vAlign w:val="center"/>
          </w:tcPr>
          <w:p w14:paraId="1075AD6C"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Nesta comunidade verifica-se elevado indice de fecalismo a céu aberto, muitas familias não tem latrinas nas suas casas e recorrem a praia para atender as suas necessidades biológicas;</w:t>
            </w:r>
          </w:p>
          <w:p w14:paraId="0D8AB74B"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A questão de saneamento familiar é muito preocupante neste bairro e merece uma intervenção.</w:t>
            </w:r>
          </w:p>
        </w:tc>
        <w:tc>
          <w:tcPr>
            <w:tcW w:w="2160" w:type="dxa"/>
            <w:tcBorders>
              <w:top w:val="single" w:sz="4" w:space="0" w:color="auto"/>
              <w:left w:val="single" w:sz="4" w:space="0" w:color="auto"/>
              <w:bottom w:val="single" w:sz="4" w:space="0" w:color="auto"/>
              <w:right w:val="single" w:sz="4" w:space="0" w:color="auto"/>
            </w:tcBorders>
            <w:vAlign w:val="center"/>
          </w:tcPr>
          <w:p w14:paraId="1DA66E6C"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Hasme Armando</w:t>
            </w:r>
            <w:r w:rsidRPr="00292532">
              <w:rPr>
                <w:rFonts w:eastAsia="Calibri" w:cs="Calibri"/>
                <w:noProof/>
                <w:lang w:val="pt-PT"/>
              </w:rPr>
              <w:t xml:space="preserve"> – Técnico Saneamento SDPI;</w:t>
            </w:r>
          </w:p>
          <w:p w14:paraId="14E6E53A"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Charifo Ali</w:t>
            </w:r>
            <w:r w:rsidRPr="00292532">
              <w:rPr>
                <w:rFonts w:eastAsia="Calibri" w:cs="Calibri"/>
                <w:noProof/>
                <w:lang w:val="pt-PT"/>
              </w:rPr>
              <w:t xml:space="preserve"> – Líder;</w:t>
            </w:r>
          </w:p>
          <w:p w14:paraId="78F49A30"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Ancha</w:t>
            </w:r>
            <w:r w:rsidRPr="00292532">
              <w:rPr>
                <w:rFonts w:eastAsia="Calibri" w:cs="Calibri"/>
                <w:noProof/>
                <w:lang w:val="pt-PT"/>
              </w:rPr>
              <w:t xml:space="preserve"> – Residente.</w:t>
            </w:r>
          </w:p>
        </w:tc>
      </w:tr>
      <w:tr w:rsidR="00706222" w:rsidRPr="00292532" w14:paraId="6795FF82"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64C7F904"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 xml:space="preserve">Beneficios esperados com a melhoria do saneamento? </w:t>
            </w:r>
          </w:p>
        </w:tc>
        <w:tc>
          <w:tcPr>
            <w:tcW w:w="4847" w:type="dxa"/>
            <w:tcBorders>
              <w:top w:val="single" w:sz="4" w:space="0" w:color="auto"/>
              <w:left w:val="single" w:sz="4" w:space="0" w:color="auto"/>
              <w:bottom w:val="single" w:sz="4" w:space="0" w:color="auto"/>
              <w:right w:val="single" w:sz="4" w:space="0" w:color="auto"/>
            </w:tcBorders>
            <w:vAlign w:val="center"/>
          </w:tcPr>
          <w:p w14:paraId="66A8F3E7" w14:textId="77777777" w:rsidR="00706222" w:rsidRPr="00292532" w:rsidRDefault="00706222" w:rsidP="00AE14AE">
            <w:pPr>
              <w:numPr>
                <w:ilvl w:val="0"/>
                <w:numId w:val="178"/>
              </w:numPr>
              <w:spacing w:before="0" w:after="0" w:line="276" w:lineRule="auto"/>
              <w:contextualSpacing/>
              <w:jc w:val="left"/>
              <w:rPr>
                <w:rFonts w:eastAsia="Calibri" w:cs="Calibri"/>
                <w:noProof/>
                <w:lang w:val="pt-PT"/>
              </w:rPr>
            </w:pPr>
            <w:r w:rsidRPr="00292532">
              <w:rPr>
                <w:rFonts w:eastAsia="Calibri" w:cs="Calibri"/>
                <w:noProof/>
                <w:lang w:val="pt-PT"/>
              </w:rPr>
              <w:t>Reduzir os indices de doenças de origens hidricas;</w:t>
            </w:r>
          </w:p>
          <w:p w14:paraId="7AA1E2DF" w14:textId="77777777" w:rsidR="00706222" w:rsidRPr="00292532" w:rsidRDefault="00706222" w:rsidP="00AE14AE">
            <w:pPr>
              <w:numPr>
                <w:ilvl w:val="0"/>
                <w:numId w:val="178"/>
              </w:numPr>
              <w:spacing w:before="0" w:after="0" w:line="276" w:lineRule="auto"/>
              <w:contextualSpacing/>
              <w:jc w:val="left"/>
              <w:rPr>
                <w:rFonts w:eastAsia="Calibri" w:cs="Calibri"/>
                <w:noProof/>
                <w:lang w:val="pt-PT"/>
              </w:rPr>
            </w:pPr>
            <w:r w:rsidRPr="00292532">
              <w:rPr>
                <w:rFonts w:eastAsia="Calibri" w:cs="Calibri"/>
                <w:noProof/>
                <w:lang w:val="pt-PT"/>
              </w:rPr>
              <w:t>Ambiente limpo e saudável;</w:t>
            </w:r>
          </w:p>
          <w:p w14:paraId="2F896BD1" w14:textId="77777777" w:rsidR="00706222" w:rsidRPr="00292532" w:rsidRDefault="00706222" w:rsidP="00AE14AE">
            <w:pPr>
              <w:numPr>
                <w:ilvl w:val="0"/>
                <w:numId w:val="178"/>
              </w:numPr>
              <w:spacing w:before="0" w:after="0" w:line="276" w:lineRule="auto"/>
              <w:contextualSpacing/>
              <w:jc w:val="left"/>
              <w:rPr>
                <w:rFonts w:eastAsia="Calibri" w:cs="Calibri"/>
                <w:noProof/>
                <w:lang w:val="pt-PT"/>
              </w:rPr>
            </w:pPr>
            <w:r w:rsidRPr="00292532">
              <w:rPr>
                <w:rFonts w:eastAsia="Calibri" w:cs="Calibri"/>
                <w:noProof/>
                <w:lang w:val="pt-PT"/>
              </w:rPr>
              <w:t>Redução do fecalismo a céu aberto;</w:t>
            </w:r>
          </w:p>
          <w:p w14:paraId="45F9EC7E" w14:textId="77777777" w:rsidR="00706222" w:rsidRPr="00292532" w:rsidRDefault="00706222" w:rsidP="00AE14AE">
            <w:pPr>
              <w:numPr>
                <w:ilvl w:val="0"/>
                <w:numId w:val="178"/>
              </w:numPr>
              <w:spacing w:before="0" w:after="0" w:line="276" w:lineRule="auto"/>
              <w:contextualSpacing/>
              <w:jc w:val="left"/>
              <w:rPr>
                <w:rFonts w:eastAsia="Calibri" w:cs="Calibri"/>
                <w:noProof/>
                <w:lang w:val="pt-PT"/>
              </w:rPr>
            </w:pPr>
            <w:r w:rsidRPr="00292532">
              <w:rPr>
                <w:rFonts w:eastAsia="Calibri" w:cs="Calibri"/>
                <w:noProof/>
                <w:lang w:val="pt-PT"/>
              </w:rPr>
              <w:t>Aumento de numero de famílias com latrinas.</w:t>
            </w:r>
          </w:p>
        </w:tc>
        <w:tc>
          <w:tcPr>
            <w:tcW w:w="2160" w:type="dxa"/>
            <w:tcBorders>
              <w:top w:val="single" w:sz="4" w:space="0" w:color="auto"/>
              <w:left w:val="single" w:sz="4" w:space="0" w:color="auto"/>
              <w:bottom w:val="single" w:sz="4" w:space="0" w:color="auto"/>
              <w:right w:val="single" w:sz="4" w:space="0" w:color="auto"/>
            </w:tcBorders>
            <w:vAlign w:val="center"/>
          </w:tcPr>
          <w:p w14:paraId="1FF28720"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Hasme Armando</w:t>
            </w:r>
            <w:r w:rsidRPr="00292532">
              <w:rPr>
                <w:rFonts w:eastAsia="Calibri" w:cs="Calibri"/>
                <w:noProof/>
                <w:lang w:val="pt-PT"/>
              </w:rPr>
              <w:t xml:space="preserve"> – Técnico Saneamento SDPI;</w:t>
            </w:r>
          </w:p>
          <w:p w14:paraId="363698F0"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Sarima</w:t>
            </w:r>
            <w:r w:rsidRPr="00292532">
              <w:rPr>
                <w:rFonts w:eastAsia="Calibri" w:cs="Calibri"/>
                <w:noProof/>
                <w:lang w:val="pt-PT"/>
              </w:rPr>
              <w:t xml:space="preserve"> – Residente.</w:t>
            </w:r>
          </w:p>
        </w:tc>
      </w:tr>
      <w:tr w:rsidR="00706222" w:rsidRPr="00292532" w14:paraId="055FC489"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007813A5"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Representação das mulheres nos grupos de Água?</w:t>
            </w:r>
          </w:p>
        </w:tc>
        <w:tc>
          <w:tcPr>
            <w:tcW w:w="4847" w:type="dxa"/>
            <w:tcBorders>
              <w:top w:val="single" w:sz="4" w:space="0" w:color="auto"/>
              <w:left w:val="single" w:sz="4" w:space="0" w:color="auto"/>
              <w:bottom w:val="single" w:sz="4" w:space="0" w:color="auto"/>
              <w:right w:val="single" w:sz="4" w:space="0" w:color="auto"/>
            </w:tcBorders>
            <w:vAlign w:val="center"/>
          </w:tcPr>
          <w:p w14:paraId="19964642"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Não existe nenhum grupo de água na comunidade.</w:t>
            </w:r>
          </w:p>
          <w:p w14:paraId="351216FD"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A única asssociação que existe é de Poupança.</w:t>
            </w:r>
          </w:p>
          <w:p w14:paraId="1208B20E" w14:textId="77777777" w:rsidR="00706222" w:rsidRPr="00292532" w:rsidRDefault="00706222" w:rsidP="00706222">
            <w:pPr>
              <w:spacing w:before="0" w:after="0" w:line="276" w:lineRule="auto"/>
              <w:jc w:val="left"/>
              <w:rPr>
                <w:rFonts w:eastAsia="Calibri" w:cs="Calibri"/>
                <w:noProof/>
                <w:lang w:val="pt-PT"/>
              </w:rPr>
            </w:pPr>
          </w:p>
        </w:tc>
        <w:tc>
          <w:tcPr>
            <w:tcW w:w="2160" w:type="dxa"/>
            <w:tcBorders>
              <w:top w:val="single" w:sz="4" w:space="0" w:color="auto"/>
              <w:left w:val="single" w:sz="4" w:space="0" w:color="auto"/>
              <w:bottom w:val="single" w:sz="4" w:space="0" w:color="auto"/>
              <w:right w:val="single" w:sz="4" w:space="0" w:color="auto"/>
            </w:tcBorders>
            <w:vAlign w:val="center"/>
          </w:tcPr>
          <w:p w14:paraId="72A37F83"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Ancha</w:t>
            </w:r>
            <w:r w:rsidRPr="00292532">
              <w:rPr>
                <w:rFonts w:eastAsia="Calibri" w:cs="Calibri"/>
                <w:noProof/>
                <w:lang w:val="pt-PT"/>
              </w:rPr>
              <w:t xml:space="preserve"> – Residente.</w:t>
            </w:r>
          </w:p>
        </w:tc>
      </w:tr>
      <w:tr w:rsidR="00706222" w:rsidRPr="00292532" w14:paraId="3D04DBBD"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460361E8"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Papel e envolvimento da actual das mulheres na gestão de fontenários e de fontes dispersas de água com bombas manuais.</w:t>
            </w:r>
          </w:p>
        </w:tc>
        <w:tc>
          <w:tcPr>
            <w:tcW w:w="4847" w:type="dxa"/>
            <w:tcBorders>
              <w:top w:val="single" w:sz="4" w:space="0" w:color="auto"/>
              <w:left w:val="single" w:sz="4" w:space="0" w:color="auto"/>
              <w:bottom w:val="single" w:sz="4" w:space="0" w:color="auto"/>
              <w:right w:val="single" w:sz="4" w:space="0" w:color="auto"/>
            </w:tcBorders>
            <w:vAlign w:val="center"/>
          </w:tcPr>
          <w:p w14:paraId="0ACFEC95"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As mulheres não tem nenhum papel fundamental nos fontes existentes, mas quando as fontes ficam sujas elas se reunem e vão fazer limpeza.</w:t>
            </w:r>
          </w:p>
        </w:tc>
        <w:tc>
          <w:tcPr>
            <w:tcW w:w="2160" w:type="dxa"/>
            <w:tcBorders>
              <w:top w:val="single" w:sz="4" w:space="0" w:color="auto"/>
              <w:left w:val="single" w:sz="4" w:space="0" w:color="auto"/>
              <w:bottom w:val="single" w:sz="4" w:space="0" w:color="auto"/>
              <w:right w:val="single" w:sz="4" w:space="0" w:color="auto"/>
            </w:tcBorders>
            <w:vAlign w:val="center"/>
          </w:tcPr>
          <w:p w14:paraId="65B3C7CC"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Charifo Ali</w:t>
            </w:r>
            <w:r w:rsidRPr="00292532">
              <w:rPr>
                <w:rFonts w:eastAsia="Calibri" w:cs="Calibri"/>
                <w:noProof/>
                <w:lang w:val="pt-PT"/>
              </w:rPr>
              <w:t xml:space="preserve"> – Líder.</w:t>
            </w:r>
          </w:p>
        </w:tc>
      </w:tr>
      <w:tr w:rsidR="00706222" w:rsidRPr="004E2EAC" w14:paraId="10A7715B"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7E6EBA72"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Principais problemas, riscos e impactos actuais na busca de água:</w:t>
            </w:r>
          </w:p>
        </w:tc>
        <w:tc>
          <w:tcPr>
            <w:tcW w:w="4847" w:type="dxa"/>
            <w:tcBorders>
              <w:top w:val="single" w:sz="4" w:space="0" w:color="auto"/>
              <w:left w:val="single" w:sz="4" w:space="0" w:color="auto"/>
              <w:bottom w:val="single" w:sz="4" w:space="0" w:color="auto"/>
              <w:right w:val="single" w:sz="4" w:space="0" w:color="auto"/>
            </w:tcBorders>
            <w:vAlign w:val="center"/>
          </w:tcPr>
          <w:p w14:paraId="78F3B0FB"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Os principais problemas na busca de água são:</w:t>
            </w:r>
          </w:p>
          <w:p w14:paraId="37D979E8"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Diciuldades de caminhar longas distancias com baldes na cabeca por causa de ser um solo muito arenoso;</w:t>
            </w:r>
          </w:p>
          <w:p w14:paraId="2D268256"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lastRenderedPageBreak/>
              <w:t>Longa espera para ter água.</w:t>
            </w:r>
          </w:p>
        </w:tc>
        <w:tc>
          <w:tcPr>
            <w:tcW w:w="2160" w:type="dxa"/>
            <w:tcBorders>
              <w:top w:val="single" w:sz="4" w:space="0" w:color="auto"/>
              <w:left w:val="single" w:sz="4" w:space="0" w:color="auto"/>
              <w:bottom w:val="single" w:sz="4" w:space="0" w:color="auto"/>
              <w:right w:val="single" w:sz="4" w:space="0" w:color="auto"/>
            </w:tcBorders>
            <w:vAlign w:val="center"/>
          </w:tcPr>
          <w:p w14:paraId="3962FAE7"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lastRenderedPageBreak/>
              <w:t>Ancha</w:t>
            </w:r>
            <w:r w:rsidRPr="00292532">
              <w:rPr>
                <w:rFonts w:eastAsia="Calibri" w:cs="Calibri"/>
                <w:noProof/>
                <w:lang w:val="pt-PT"/>
              </w:rPr>
              <w:t xml:space="preserve"> – Residente;</w:t>
            </w:r>
          </w:p>
          <w:p w14:paraId="25404BB5"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Amina</w:t>
            </w:r>
            <w:r w:rsidRPr="00292532">
              <w:rPr>
                <w:rFonts w:eastAsia="Calibri" w:cs="Calibri"/>
                <w:noProof/>
                <w:lang w:val="pt-PT"/>
              </w:rPr>
              <w:t xml:space="preserve"> – Residente;</w:t>
            </w:r>
          </w:p>
          <w:p w14:paraId="2EA525CA"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Catiza</w:t>
            </w:r>
            <w:r w:rsidRPr="00292532">
              <w:rPr>
                <w:rFonts w:eastAsia="Calibri" w:cs="Calibri"/>
                <w:noProof/>
                <w:lang w:val="pt-PT"/>
              </w:rPr>
              <w:t xml:space="preserve"> – Residente.</w:t>
            </w:r>
          </w:p>
        </w:tc>
      </w:tr>
      <w:tr w:rsidR="00706222" w:rsidRPr="00292532" w14:paraId="74ED7735"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02B461AA"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Desafios actuais na comunidade devido aos ataques em Cabo Delgado (presence de deslocados, pressão adicional sobre a seguranca, infraestruturas e servicos.</w:t>
            </w:r>
          </w:p>
        </w:tc>
        <w:tc>
          <w:tcPr>
            <w:tcW w:w="4847" w:type="dxa"/>
            <w:tcBorders>
              <w:top w:val="single" w:sz="4" w:space="0" w:color="auto"/>
              <w:left w:val="single" w:sz="4" w:space="0" w:color="auto"/>
              <w:bottom w:val="single" w:sz="4" w:space="0" w:color="auto"/>
              <w:right w:val="single" w:sz="4" w:space="0" w:color="auto"/>
            </w:tcBorders>
            <w:vAlign w:val="center"/>
          </w:tcPr>
          <w:p w14:paraId="5D1373AC" w14:textId="77777777" w:rsidR="00706222" w:rsidRPr="00292532" w:rsidRDefault="00706222" w:rsidP="00706222">
            <w:pPr>
              <w:spacing w:before="0" w:after="0" w:line="276" w:lineRule="auto"/>
              <w:contextualSpacing/>
              <w:jc w:val="left"/>
              <w:rPr>
                <w:rFonts w:eastAsia="Calibri" w:cs="Calibri"/>
                <w:noProof/>
                <w:lang w:val="pt-PT"/>
              </w:rPr>
            </w:pPr>
            <w:r w:rsidRPr="00292532">
              <w:rPr>
                <w:rFonts w:eastAsia="Calibri" w:cs="Calibri"/>
                <w:noProof/>
                <w:lang w:val="pt-PT"/>
              </w:rPr>
              <w:t>Neste bairro não recebemos nenhum deslocado de ataques de Cabo Delgado.</w:t>
            </w:r>
          </w:p>
        </w:tc>
        <w:tc>
          <w:tcPr>
            <w:tcW w:w="2160" w:type="dxa"/>
            <w:tcBorders>
              <w:top w:val="single" w:sz="4" w:space="0" w:color="auto"/>
              <w:left w:val="single" w:sz="4" w:space="0" w:color="auto"/>
              <w:bottom w:val="single" w:sz="4" w:space="0" w:color="auto"/>
              <w:right w:val="single" w:sz="4" w:space="0" w:color="auto"/>
            </w:tcBorders>
            <w:vAlign w:val="center"/>
          </w:tcPr>
          <w:p w14:paraId="4E49812D"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Charifo Ali</w:t>
            </w:r>
            <w:r w:rsidRPr="00292532">
              <w:rPr>
                <w:rFonts w:eastAsia="Calibri" w:cs="Calibri"/>
                <w:noProof/>
                <w:lang w:val="pt-PT"/>
              </w:rPr>
              <w:t xml:space="preserve"> – Líder.</w:t>
            </w:r>
          </w:p>
        </w:tc>
      </w:tr>
      <w:tr w:rsidR="00706222" w:rsidRPr="00292532" w14:paraId="7F946BBC"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5503209E"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Impactos negativos registados na região resultante de obras civis que afectam as comunidades locais.</w:t>
            </w:r>
          </w:p>
        </w:tc>
        <w:tc>
          <w:tcPr>
            <w:tcW w:w="4847" w:type="dxa"/>
            <w:tcBorders>
              <w:top w:val="single" w:sz="4" w:space="0" w:color="auto"/>
              <w:left w:val="single" w:sz="4" w:space="0" w:color="auto"/>
              <w:bottom w:val="single" w:sz="4" w:space="0" w:color="auto"/>
              <w:right w:val="single" w:sz="4" w:space="0" w:color="auto"/>
            </w:tcBorders>
            <w:vAlign w:val="center"/>
          </w:tcPr>
          <w:p w14:paraId="74072AAE"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szCs w:val="24"/>
                <w:lang w:val="pt-PT"/>
              </w:rPr>
              <w:t>As poucas obras que presenciamos na comunidade, não tiveram impactos negativos.</w:t>
            </w:r>
          </w:p>
        </w:tc>
        <w:tc>
          <w:tcPr>
            <w:tcW w:w="2160" w:type="dxa"/>
            <w:tcBorders>
              <w:top w:val="single" w:sz="4" w:space="0" w:color="auto"/>
              <w:left w:val="single" w:sz="4" w:space="0" w:color="auto"/>
              <w:bottom w:val="single" w:sz="4" w:space="0" w:color="auto"/>
              <w:right w:val="single" w:sz="4" w:space="0" w:color="auto"/>
            </w:tcBorders>
            <w:vAlign w:val="center"/>
          </w:tcPr>
          <w:p w14:paraId="51FD5AE2"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Charifo Ali</w:t>
            </w:r>
            <w:r w:rsidRPr="00292532">
              <w:rPr>
                <w:rFonts w:eastAsia="Calibri" w:cs="Calibri"/>
                <w:noProof/>
                <w:lang w:val="pt-PT"/>
              </w:rPr>
              <w:t xml:space="preserve"> – Líder.</w:t>
            </w:r>
          </w:p>
        </w:tc>
      </w:tr>
      <w:tr w:rsidR="00706222" w:rsidRPr="004E2EAC" w14:paraId="5033D083"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7BF6111E"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Quais são as principais preocupações das comunidades em projectos desta natureza.</w:t>
            </w:r>
          </w:p>
        </w:tc>
        <w:tc>
          <w:tcPr>
            <w:tcW w:w="4847" w:type="dxa"/>
            <w:tcBorders>
              <w:top w:val="single" w:sz="4" w:space="0" w:color="auto"/>
              <w:left w:val="single" w:sz="4" w:space="0" w:color="auto"/>
              <w:bottom w:val="single" w:sz="4" w:space="0" w:color="auto"/>
              <w:right w:val="single" w:sz="4" w:space="0" w:color="auto"/>
            </w:tcBorders>
            <w:vAlign w:val="center"/>
          </w:tcPr>
          <w:p w14:paraId="29FB95A0" w14:textId="77777777" w:rsidR="00706222" w:rsidRPr="00292532" w:rsidRDefault="00706222" w:rsidP="00AE14AE">
            <w:pPr>
              <w:numPr>
                <w:ilvl w:val="0"/>
                <w:numId w:val="181"/>
              </w:numPr>
              <w:spacing w:before="0" w:after="0" w:line="276" w:lineRule="auto"/>
              <w:contextualSpacing/>
              <w:jc w:val="left"/>
              <w:rPr>
                <w:rFonts w:eastAsia="Calibri" w:cs="Calibri"/>
                <w:noProof/>
                <w:lang w:val="pt-PT"/>
              </w:rPr>
            </w:pPr>
            <w:r w:rsidRPr="00292532">
              <w:rPr>
                <w:rFonts w:eastAsia="Calibri" w:cs="Calibri"/>
                <w:noProof/>
                <w:lang w:val="pt-PT"/>
              </w:rPr>
              <w:t>Umas das principais preocupações tem haver com a contrataco de mão de obra, dificilmente dão oportunidades aos jovens das comunidades onde executam as obras.</w:t>
            </w:r>
          </w:p>
          <w:p w14:paraId="33A7D9FE" w14:textId="77777777" w:rsidR="00706222" w:rsidRPr="00292532" w:rsidRDefault="00706222" w:rsidP="00706222">
            <w:pPr>
              <w:spacing w:before="0" w:after="0" w:line="276" w:lineRule="auto"/>
              <w:jc w:val="left"/>
              <w:rPr>
                <w:rFonts w:eastAsia="Calibri" w:cs="Calibri"/>
                <w:noProof/>
                <w:lang w:val="pt-PT"/>
              </w:rPr>
            </w:pPr>
          </w:p>
        </w:tc>
        <w:tc>
          <w:tcPr>
            <w:tcW w:w="2160" w:type="dxa"/>
            <w:tcBorders>
              <w:top w:val="single" w:sz="4" w:space="0" w:color="auto"/>
              <w:left w:val="single" w:sz="4" w:space="0" w:color="auto"/>
              <w:bottom w:val="single" w:sz="4" w:space="0" w:color="auto"/>
              <w:right w:val="single" w:sz="4" w:space="0" w:color="auto"/>
            </w:tcBorders>
            <w:vAlign w:val="center"/>
          </w:tcPr>
          <w:p w14:paraId="4962A7F6"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Charifo Ali</w:t>
            </w:r>
            <w:r w:rsidRPr="00292532">
              <w:rPr>
                <w:rFonts w:eastAsia="Calibri" w:cs="Calibri"/>
                <w:noProof/>
                <w:lang w:val="pt-PT"/>
              </w:rPr>
              <w:t xml:space="preserve"> – Líder;</w:t>
            </w:r>
          </w:p>
          <w:p w14:paraId="68D2552B"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Hasme Armando</w:t>
            </w:r>
            <w:r w:rsidRPr="00292532">
              <w:rPr>
                <w:rFonts w:eastAsia="Calibri" w:cs="Calibri"/>
                <w:noProof/>
                <w:lang w:val="pt-PT"/>
              </w:rPr>
              <w:t xml:space="preserve"> – Técnico Saneamento SDPI;</w:t>
            </w:r>
          </w:p>
          <w:p w14:paraId="681A336D" w14:textId="77777777" w:rsidR="00706222" w:rsidRPr="00292532" w:rsidRDefault="00706222" w:rsidP="00706222">
            <w:pPr>
              <w:spacing w:before="0" w:after="0" w:line="276" w:lineRule="auto"/>
              <w:jc w:val="left"/>
              <w:rPr>
                <w:rFonts w:eastAsia="Calibri" w:cs="Calibri"/>
                <w:noProof/>
                <w:u w:val="single"/>
                <w:lang w:val="pt-PT"/>
              </w:rPr>
            </w:pPr>
          </w:p>
        </w:tc>
      </w:tr>
      <w:tr w:rsidR="00706222" w:rsidRPr="004E2EAC" w14:paraId="5602F134"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6ED30B5A"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Se existem ONGs activas na região a trabalharem nas areas de água, saneamento, ambiente social e protecção da mulher. E programas a serem desenvolvidos.</w:t>
            </w:r>
          </w:p>
        </w:tc>
        <w:tc>
          <w:tcPr>
            <w:tcW w:w="4847" w:type="dxa"/>
            <w:tcBorders>
              <w:top w:val="single" w:sz="4" w:space="0" w:color="auto"/>
              <w:left w:val="single" w:sz="4" w:space="0" w:color="auto"/>
              <w:bottom w:val="single" w:sz="4" w:space="0" w:color="auto"/>
              <w:right w:val="single" w:sz="4" w:space="0" w:color="auto"/>
            </w:tcBorders>
            <w:vAlign w:val="center"/>
          </w:tcPr>
          <w:p w14:paraId="31676CC3"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Sim existem:</w:t>
            </w:r>
          </w:p>
          <w:p w14:paraId="67C4526C" w14:textId="77777777" w:rsidR="00706222" w:rsidRPr="00292532" w:rsidRDefault="00706222" w:rsidP="00AE14AE">
            <w:pPr>
              <w:numPr>
                <w:ilvl w:val="0"/>
                <w:numId w:val="181"/>
              </w:numPr>
              <w:spacing w:before="0" w:after="0" w:line="276" w:lineRule="auto"/>
              <w:contextualSpacing/>
              <w:jc w:val="left"/>
              <w:rPr>
                <w:rFonts w:eastAsia="Calibri" w:cs="Calibri"/>
                <w:noProof/>
                <w:lang w:val="pt-PT"/>
              </w:rPr>
            </w:pPr>
            <w:r w:rsidRPr="00292532">
              <w:rPr>
                <w:rFonts w:eastAsia="Calibri" w:cs="Calibri"/>
                <w:noProof/>
                <w:lang w:val="pt-PT"/>
              </w:rPr>
              <w:t>Water Aid;</w:t>
            </w:r>
          </w:p>
          <w:p w14:paraId="719AF46A" w14:textId="77777777" w:rsidR="00706222" w:rsidRPr="00292532" w:rsidRDefault="00706222" w:rsidP="00AE14AE">
            <w:pPr>
              <w:numPr>
                <w:ilvl w:val="0"/>
                <w:numId w:val="181"/>
              </w:numPr>
              <w:spacing w:before="0" w:after="0" w:line="276" w:lineRule="auto"/>
              <w:contextualSpacing/>
              <w:jc w:val="left"/>
              <w:rPr>
                <w:rFonts w:eastAsia="Calibri" w:cs="Calibri"/>
                <w:noProof/>
                <w:lang w:val="pt-PT"/>
              </w:rPr>
            </w:pPr>
            <w:r w:rsidRPr="00292532">
              <w:rPr>
                <w:rFonts w:eastAsia="Calibri" w:cs="Calibri"/>
                <w:noProof/>
                <w:lang w:val="pt-PT"/>
              </w:rPr>
              <w:t>Jhpiego.</w:t>
            </w:r>
          </w:p>
          <w:p w14:paraId="609F7806"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Eles desenvolvem os seguintes programas:</w:t>
            </w:r>
          </w:p>
          <w:p w14:paraId="60CC5F36" w14:textId="77777777" w:rsidR="00706222" w:rsidRPr="00292532" w:rsidRDefault="00706222" w:rsidP="00AE14AE">
            <w:pPr>
              <w:numPr>
                <w:ilvl w:val="0"/>
                <w:numId w:val="181"/>
              </w:numPr>
              <w:spacing w:before="0" w:after="0" w:line="276" w:lineRule="auto"/>
              <w:contextualSpacing/>
              <w:jc w:val="left"/>
              <w:rPr>
                <w:rFonts w:eastAsia="Calibri" w:cs="Calibri"/>
                <w:noProof/>
                <w:lang w:val="pt-PT"/>
              </w:rPr>
            </w:pPr>
            <w:r w:rsidRPr="00292532">
              <w:rPr>
                <w:rFonts w:eastAsia="Calibri" w:cs="Calibri"/>
                <w:noProof/>
                <w:lang w:val="pt-PT"/>
              </w:rPr>
              <w:t>Acesso a água para todos;</w:t>
            </w:r>
          </w:p>
          <w:p w14:paraId="1B6D7D13" w14:textId="77777777" w:rsidR="00706222" w:rsidRPr="00292532" w:rsidRDefault="00706222" w:rsidP="00AE14AE">
            <w:pPr>
              <w:numPr>
                <w:ilvl w:val="0"/>
                <w:numId w:val="181"/>
              </w:numPr>
              <w:spacing w:before="0" w:after="0" w:line="276" w:lineRule="auto"/>
              <w:contextualSpacing/>
              <w:jc w:val="left"/>
              <w:rPr>
                <w:rFonts w:eastAsia="Calibri" w:cs="Calibri"/>
                <w:noProof/>
                <w:lang w:val="pt-PT"/>
              </w:rPr>
            </w:pPr>
            <w:r w:rsidRPr="00292532">
              <w:rPr>
                <w:rFonts w:eastAsia="Calibri" w:cs="Calibri"/>
                <w:noProof/>
                <w:lang w:val="pt-PT"/>
              </w:rPr>
              <w:t>Combate contra a violencia baseada no genero.</w:t>
            </w:r>
          </w:p>
        </w:tc>
        <w:tc>
          <w:tcPr>
            <w:tcW w:w="2160" w:type="dxa"/>
            <w:tcBorders>
              <w:top w:val="single" w:sz="4" w:space="0" w:color="auto"/>
              <w:left w:val="single" w:sz="4" w:space="0" w:color="auto"/>
              <w:bottom w:val="single" w:sz="4" w:space="0" w:color="auto"/>
              <w:right w:val="single" w:sz="4" w:space="0" w:color="auto"/>
            </w:tcBorders>
            <w:vAlign w:val="center"/>
          </w:tcPr>
          <w:p w14:paraId="52640F4D"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Hasme Armando</w:t>
            </w:r>
            <w:r w:rsidRPr="00292532">
              <w:rPr>
                <w:rFonts w:eastAsia="Calibri" w:cs="Calibri"/>
                <w:noProof/>
                <w:lang w:val="pt-PT"/>
              </w:rPr>
              <w:t xml:space="preserve"> – Técnico Saneamento SDPI.</w:t>
            </w:r>
          </w:p>
          <w:p w14:paraId="63ABEF29" w14:textId="77777777" w:rsidR="00706222" w:rsidRPr="00292532" w:rsidRDefault="00706222" w:rsidP="00706222">
            <w:pPr>
              <w:spacing w:before="0" w:after="0" w:line="276" w:lineRule="auto"/>
              <w:jc w:val="left"/>
              <w:rPr>
                <w:rFonts w:eastAsia="Calibri" w:cs="Calibri"/>
                <w:noProof/>
                <w:lang w:val="pt-PT"/>
              </w:rPr>
            </w:pPr>
          </w:p>
        </w:tc>
      </w:tr>
      <w:tr w:rsidR="00706222" w:rsidRPr="004E2EAC" w14:paraId="218BF4C2"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49EC34A7"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Criminalidade na busca de água.</w:t>
            </w:r>
          </w:p>
        </w:tc>
        <w:tc>
          <w:tcPr>
            <w:tcW w:w="4847" w:type="dxa"/>
            <w:tcBorders>
              <w:top w:val="single" w:sz="4" w:space="0" w:color="auto"/>
              <w:left w:val="single" w:sz="4" w:space="0" w:color="auto"/>
              <w:bottom w:val="single" w:sz="4" w:space="0" w:color="auto"/>
              <w:right w:val="single" w:sz="4" w:space="0" w:color="auto"/>
            </w:tcBorders>
            <w:vAlign w:val="center"/>
          </w:tcPr>
          <w:p w14:paraId="05ACBF91"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Não se observa muita criminalidade</w:t>
            </w:r>
          </w:p>
        </w:tc>
        <w:tc>
          <w:tcPr>
            <w:tcW w:w="2160" w:type="dxa"/>
            <w:tcBorders>
              <w:top w:val="single" w:sz="4" w:space="0" w:color="auto"/>
              <w:left w:val="single" w:sz="4" w:space="0" w:color="auto"/>
              <w:bottom w:val="single" w:sz="4" w:space="0" w:color="auto"/>
              <w:right w:val="single" w:sz="4" w:space="0" w:color="auto"/>
            </w:tcBorders>
            <w:vAlign w:val="center"/>
          </w:tcPr>
          <w:p w14:paraId="4F3DC96F"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Charifo Ali</w:t>
            </w:r>
            <w:r w:rsidRPr="00292532">
              <w:rPr>
                <w:rFonts w:eastAsia="Calibri" w:cs="Calibri"/>
                <w:noProof/>
                <w:lang w:val="pt-PT"/>
              </w:rPr>
              <w:t xml:space="preserve"> – Líder;</w:t>
            </w:r>
          </w:p>
          <w:p w14:paraId="1065842A"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Rui</w:t>
            </w:r>
            <w:r w:rsidRPr="00292532">
              <w:rPr>
                <w:rFonts w:eastAsia="Calibri" w:cs="Calibri"/>
                <w:noProof/>
                <w:lang w:val="pt-PT"/>
              </w:rPr>
              <w:t xml:space="preserve"> – Residente.</w:t>
            </w:r>
          </w:p>
        </w:tc>
      </w:tr>
      <w:tr w:rsidR="00706222" w:rsidRPr="00292532" w14:paraId="5AB5D525"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1139847B"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Assedio na busca de água.</w:t>
            </w:r>
          </w:p>
        </w:tc>
        <w:tc>
          <w:tcPr>
            <w:tcW w:w="4847" w:type="dxa"/>
            <w:tcBorders>
              <w:top w:val="single" w:sz="4" w:space="0" w:color="auto"/>
              <w:left w:val="single" w:sz="4" w:space="0" w:color="auto"/>
              <w:bottom w:val="single" w:sz="4" w:space="0" w:color="auto"/>
              <w:right w:val="single" w:sz="4" w:space="0" w:color="auto"/>
            </w:tcBorders>
            <w:vAlign w:val="center"/>
          </w:tcPr>
          <w:p w14:paraId="669C1987"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O assedio entre membros da comunidade é dificil, eles se respeitam muito.</w:t>
            </w:r>
          </w:p>
        </w:tc>
        <w:tc>
          <w:tcPr>
            <w:tcW w:w="2160" w:type="dxa"/>
            <w:tcBorders>
              <w:top w:val="single" w:sz="4" w:space="0" w:color="auto"/>
              <w:left w:val="single" w:sz="4" w:space="0" w:color="auto"/>
              <w:bottom w:val="single" w:sz="4" w:space="0" w:color="auto"/>
              <w:right w:val="single" w:sz="4" w:space="0" w:color="auto"/>
            </w:tcBorders>
            <w:vAlign w:val="center"/>
          </w:tcPr>
          <w:p w14:paraId="0D8C4EC0"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Charifo Ali</w:t>
            </w:r>
            <w:r w:rsidRPr="00292532">
              <w:rPr>
                <w:rFonts w:eastAsia="Calibri" w:cs="Calibri"/>
                <w:noProof/>
                <w:lang w:val="pt-PT"/>
              </w:rPr>
              <w:t xml:space="preserve"> – Líder.</w:t>
            </w:r>
          </w:p>
        </w:tc>
      </w:tr>
      <w:tr w:rsidR="00706222" w:rsidRPr="00292532" w14:paraId="76A37016" w14:textId="77777777" w:rsidTr="00706222">
        <w:tc>
          <w:tcPr>
            <w:tcW w:w="2552" w:type="dxa"/>
            <w:tcBorders>
              <w:top w:val="single" w:sz="4" w:space="0" w:color="auto"/>
              <w:left w:val="single" w:sz="4" w:space="0" w:color="auto"/>
              <w:bottom w:val="single" w:sz="4" w:space="0" w:color="auto"/>
              <w:right w:val="single" w:sz="4" w:space="0" w:color="auto"/>
            </w:tcBorders>
            <w:vAlign w:val="center"/>
          </w:tcPr>
          <w:p w14:paraId="0CBECB87" w14:textId="77777777" w:rsidR="00706222" w:rsidRPr="00292532" w:rsidRDefault="00706222" w:rsidP="00706222">
            <w:pPr>
              <w:spacing w:before="0" w:after="0" w:line="276" w:lineRule="auto"/>
              <w:jc w:val="left"/>
              <w:rPr>
                <w:rFonts w:eastAsia="Calibri" w:cs="Calibri"/>
                <w:b/>
                <w:bCs/>
                <w:noProof/>
                <w:lang w:val="pt-PT"/>
              </w:rPr>
            </w:pPr>
            <w:r w:rsidRPr="00292532">
              <w:rPr>
                <w:rFonts w:eastAsia="Calibri" w:cs="Calibri"/>
                <w:b/>
                <w:bCs/>
                <w:noProof/>
                <w:lang w:val="pt-PT"/>
              </w:rPr>
              <w:t>Outros assuntos abordados</w:t>
            </w:r>
          </w:p>
        </w:tc>
        <w:tc>
          <w:tcPr>
            <w:tcW w:w="4847" w:type="dxa"/>
            <w:tcBorders>
              <w:top w:val="single" w:sz="4" w:space="0" w:color="auto"/>
              <w:left w:val="single" w:sz="4" w:space="0" w:color="auto"/>
              <w:bottom w:val="single" w:sz="4" w:space="0" w:color="auto"/>
              <w:right w:val="single" w:sz="4" w:space="0" w:color="auto"/>
            </w:tcBorders>
            <w:vAlign w:val="center"/>
          </w:tcPr>
          <w:p w14:paraId="0E92C0C7"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Tempo de execução das obras em caso de haver o financiamento;</w:t>
            </w:r>
          </w:p>
          <w:p w14:paraId="2EFA57C1"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Reassentamento das infrestruturas que forem afectadas</w:t>
            </w:r>
          </w:p>
          <w:p w14:paraId="55054933"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noProof/>
                <w:lang w:val="pt-PT"/>
              </w:rPr>
              <w:t>Construção de sanitarios publicos ou potenciação de artesãos locais para massificar a produção e venda de lajes.</w:t>
            </w:r>
          </w:p>
        </w:tc>
        <w:tc>
          <w:tcPr>
            <w:tcW w:w="2160" w:type="dxa"/>
            <w:tcBorders>
              <w:top w:val="single" w:sz="4" w:space="0" w:color="auto"/>
              <w:left w:val="single" w:sz="4" w:space="0" w:color="auto"/>
              <w:bottom w:val="single" w:sz="4" w:space="0" w:color="auto"/>
              <w:right w:val="single" w:sz="4" w:space="0" w:color="auto"/>
            </w:tcBorders>
            <w:vAlign w:val="center"/>
          </w:tcPr>
          <w:p w14:paraId="46D60B4F" w14:textId="77777777" w:rsidR="00706222" w:rsidRPr="00292532" w:rsidRDefault="00706222" w:rsidP="00706222">
            <w:pPr>
              <w:spacing w:before="0" w:after="0" w:line="276" w:lineRule="auto"/>
              <w:jc w:val="left"/>
              <w:rPr>
                <w:rFonts w:eastAsia="Calibri" w:cs="Calibri"/>
                <w:noProof/>
                <w:lang w:val="pt-PT"/>
              </w:rPr>
            </w:pPr>
            <w:r w:rsidRPr="00292532">
              <w:rPr>
                <w:rFonts w:eastAsia="Calibri" w:cs="Calibri"/>
                <w:b/>
                <w:noProof/>
                <w:lang w:val="pt-PT"/>
              </w:rPr>
              <w:t>Hasme Armando</w:t>
            </w:r>
            <w:r w:rsidRPr="00292532">
              <w:rPr>
                <w:rFonts w:eastAsia="Calibri" w:cs="Calibri"/>
                <w:noProof/>
                <w:lang w:val="pt-PT"/>
              </w:rPr>
              <w:t xml:space="preserve"> – Técnico Saneamento SDPI.</w:t>
            </w:r>
          </w:p>
          <w:p w14:paraId="1C7CB11D" w14:textId="77777777" w:rsidR="00706222" w:rsidRPr="00292532" w:rsidRDefault="00706222" w:rsidP="00706222">
            <w:pPr>
              <w:spacing w:before="0" w:after="0" w:line="276" w:lineRule="auto"/>
              <w:jc w:val="left"/>
              <w:rPr>
                <w:rFonts w:eastAsia="Calibri" w:cs="Calibri"/>
                <w:b/>
                <w:noProof/>
                <w:lang w:val="pt-PT"/>
              </w:rPr>
            </w:pPr>
            <w:r w:rsidRPr="00292532">
              <w:rPr>
                <w:rFonts w:eastAsia="Calibri" w:cs="Calibri"/>
                <w:b/>
                <w:noProof/>
                <w:lang w:val="pt-PT"/>
              </w:rPr>
              <w:t>Charifo Ali</w:t>
            </w:r>
            <w:r w:rsidRPr="00292532">
              <w:rPr>
                <w:rFonts w:eastAsia="Calibri" w:cs="Calibri"/>
                <w:noProof/>
                <w:lang w:val="pt-PT"/>
              </w:rPr>
              <w:t xml:space="preserve"> – Líder.</w:t>
            </w:r>
          </w:p>
        </w:tc>
      </w:tr>
    </w:tbl>
    <w:p w14:paraId="770FF1ED" w14:textId="77777777" w:rsidR="00706222" w:rsidRPr="00292532" w:rsidRDefault="00706222" w:rsidP="00706222">
      <w:pPr>
        <w:spacing w:before="0" w:line="259" w:lineRule="auto"/>
        <w:jc w:val="left"/>
        <w:rPr>
          <w:rFonts w:eastAsia="Calibri" w:cs="Calibri"/>
          <w:noProof/>
          <w:lang w:val="pt-PT"/>
        </w:rPr>
      </w:pPr>
    </w:p>
    <w:p w14:paraId="39C10DB4" w14:textId="62005E7E" w:rsidR="00706222" w:rsidRPr="00292532" w:rsidRDefault="00706222" w:rsidP="00706222">
      <w:pPr>
        <w:spacing w:before="0" w:line="259" w:lineRule="auto"/>
        <w:jc w:val="center"/>
        <w:rPr>
          <w:rFonts w:eastAsia="Calibri" w:cs="Calibri"/>
          <w:noProof/>
          <w:lang w:val="pt-PT"/>
        </w:rPr>
      </w:pPr>
      <w:r w:rsidRPr="00292532">
        <w:rPr>
          <w:rFonts w:eastAsia="Calibri" w:cs="Calibri"/>
          <w:noProof/>
          <w:lang w:val="en-US"/>
        </w:rPr>
        <w:lastRenderedPageBreak/>
        <w:drawing>
          <wp:inline distT="0" distB="0" distL="0" distR="0" wp14:anchorId="2D957DBB" wp14:editId="491DBA50">
            <wp:extent cx="2722082" cy="1524000"/>
            <wp:effectExtent l="0" t="0" r="2540" b="0"/>
            <wp:docPr id="201" name="Imagem 2" descr="C:\Users\Amorim Manuel\Desktop\Consultoria David Malauene\Fotos\Mussuril\20210630_15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orim Manuel\Desktop\Consultoria David Malauene\Fotos\Mussuril\20210630_150336.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24144" cy="1525155"/>
                    </a:xfrm>
                    <a:prstGeom prst="rect">
                      <a:avLst/>
                    </a:prstGeom>
                    <a:noFill/>
                    <a:ln>
                      <a:noFill/>
                    </a:ln>
                  </pic:spPr>
                </pic:pic>
              </a:graphicData>
            </a:graphic>
          </wp:inline>
        </w:drawing>
      </w:r>
      <w:r w:rsidRPr="00292532">
        <w:rPr>
          <w:rFonts w:eastAsia="Calibri" w:cs="Calibri"/>
          <w:noProof/>
          <w:lang w:val="en-US"/>
        </w:rPr>
        <w:drawing>
          <wp:inline distT="0" distB="0" distL="0" distR="0" wp14:anchorId="730819A5" wp14:editId="75C1563D">
            <wp:extent cx="3007995" cy="1530350"/>
            <wp:effectExtent l="0" t="0" r="1905" b="0"/>
            <wp:docPr id="202" name="Imagem 3" descr="C:\Users\Amorim Manuel\Desktop\Consultoria David Malauene\Fotos\Mussuril\20210630_15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orim Manuel\Desktop\Consultoria David Malauene\Fotos\Mussuril\20210630_150318.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17445" cy="1535158"/>
                    </a:xfrm>
                    <a:prstGeom prst="rect">
                      <a:avLst/>
                    </a:prstGeom>
                    <a:noFill/>
                    <a:ln>
                      <a:noFill/>
                    </a:ln>
                  </pic:spPr>
                </pic:pic>
              </a:graphicData>
            </a:graphic>
          </wp:inline>
        </w:drawing>
      </w:r>
    </w:p>
    <w:p w14:paraId="3E378EED" w14:textId="77777777" w:rsidR="00706222" w:rsidRPr="00292532" w:rsidRDefault="00706222" w:rsidP="00706222">
      <w:pPr>
        <w:spacing w:before="0" w:line="259" w:lineRule="auto"/>
        <w:jc w:val="left"/>
        <w:rPr>
          <w:rFonts w:eastAsia="Calibri" w:cs="Calibri"/>
          <w:noProof/>
          <w:lang w:val="pt-PT"/>
        </w:rPr>
      </w:pPr>
      <w:r w:rsidRPr="00292532">
        <w:rPr>
          <w:rFonts w:eastAsia="Calibri" w:cs="Calibri"/>
          <w:noProof/>
          <w:lang w:val="pt-PT"/>
        </w:rPr>
        <w:br w:type="page"/>
      </w:r>
    </w:p>
    <w:p w14:paraId="74730072" w14:textId="181DF0D2" w:rsidR="00706222" w:rsidRPr="00292532" w:rsidRDefault="00706222" w:rsidP="00706222">
      <w:pPr>
        <w:spacing w:before="0" w:after="0" w:line="259" w:lineRule="auto"/>
        <w:jc w:val="left"/>
        <w:rPr>
          <w:rFonts w:eastAsia="Calibri" w:cs="Calibri"/>
          <w:noProof/>
          <w:lang w:val="pt-PT"/>
        </w:rPr>
      </w:pPr>
      <w:r w:rsidRPr="00292532">
        <w:rPr>
          <w:rFonts w:eastAsia="Calibri" w:cs="Times New Roman"/>
          <w:noProof/>
          <w:lang w:val="en-US"/>
        </w:rPr>
        <w:lastRenderedPageBreak/>
        <w:drawing>
          <wp:inline distT="0" distB="0" distL="0" distR="0" wp14:anchorId="021FC831" wp14:editId="184FBBE5">
            <wp:extent cx="6248400" cy="4097655"/>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248400" cy="4097655"/>
                    </a:xfrm>
                    <a:prstGeom prst="rect">
                      <a:avLst/>
                    </a:prstGeom>
                  </pic:spPr>
                </pic:pic>
              </a:graphicData>
            </a:graphic>
          </wp:inline>
        </w:drawing>
      </w:r>
      <w:r w:rsidRPr="00292532">
        <w:rPr>
          <w:rFonts w:eastAsia="Calibri" w:cs="Times New Roman"/>
          <w:noProof/>
          <w:lang w:val="en-US"/>
        </w:rPr>
        <w:drawing>
          <wp:inline distT="0" distB="0" distL="0" distR="0" wp14:anchorId="45E80D98" wp14:editId="725E630C">
            <wp:extent cx="5943600" cy="40055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4005580"/>
                    </a:xfrm>
                    <a:prstGeom prst="rect">
                      <a:avLst/>
                    </a:prstGeom>
                  </pic:spPr>
                </pic:pic>
              </a:graphicData>
            </a:graphic>
          </wp:inline>
        </w:drawing>
      </w:r>
    </w:p>
    <w:p w14:paraId="7AE51A42" w14:textId="05311B2C" w:rsidR="00706222" w:rsidRPr="00292532" w:rsidRDefault="00706222" w:rsidP="00706222">
      <w:pPr>
        <w:spacing w:before="0" w:after="0" w:line="259" w:lineRule="auto"/>
        <w:jc w:val="left"/>
        <w:rPr>
          <w:rFonts w:eastAsia="Calibri" w:cs="Calibri"/>
          <w:noProof/>
          <w:lang w:val="pt-PT"/>
        </w:rPr>
      </w:pPr>
      <w:r w:rsidRPr="00292532">
        <w:rPr>
          <w:rFonts w:eastAsia="Calibri" w:cs="Times New Roman"/>
          <w:noProof/>
          <w:lang w:val="en-US"/>
        </w:rPr>
        <w:lastRenderedPageBreak/>
        <w:drawing>
          <wp:inline distT="0" distB="0" distL="0" distR="0" wp14:anchorId="2A0AB39B" wp14:editId="7798F8AD">
            <wp:extent cx="5943600" cy="3996055"/>
            <wp:effectExtent l="0" t="0" r="0" b="444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996055"/>
                    </a:xfrm>
                    <a:prstGeom prst="rect">
                      <a:avLst/>
                    </a:prstGeom>
                  </pic:spPr>
                </pic:pic>
              </a:graphicData>
            </a:graphic>
          </wp:inline>
        </w:drawing>
      </w:r>
    </w:p>
    <w:p w14:paraId="422D5821" w14:textId="1956CDED" w:rsidR="00706222" w:rsidRPr="00292532" w:rsidRDefault="00706222" w:rsidP="00706222">
      <w:pPr>
        <w:spacing w:before="0" w:after="0" w:line="259" w:lineRule="auto"/>
        <w:jc w:val="left"/>
        <w:rPr>
          <w:rFonts w:eastAsia="Calibri" w:cs="Calibri"/>
          <w:noProof/>
          <w:lang w:val="pt-PT"/>
        </w:rPr>
      </w:pPr>
      <w:r w:rsidRPr="00292532">
        <w:rPr>
          <w:rFonts w:eastAsia="Calibri" w:cs="Times New Roman"/>
          <w:noProof/>
          <w:lang w:val="en-US"/>
        </w:rPr>
        <w:lastRenderedPageBreak/>
        <w:drawing>
          <wp:inline distT="0" distB="0" distL="0" distR="0" wp14:anchorId="42890DF7" wp14:editId="1EE9A628">
            <wp:extent cx="5943600" cy="431038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4310380"/>
                    </a:xfrm>
                    <a:prstGeom prst="rect">
                      <a:avLst/>
                    </a:prstGeom>
                  </pic:spPr>
                </pic:pic>
              </a:graphicData>
            </a:graphic>
          </wp:inline>
        </w:drawing>
      </w:r>
      <w:r w:rsidRPr="00292532">
        <w:rPr>
          <w:rFonts w:eastAsia="Calibri" w:cs="Times New Roman"/>
          <w:noProof/>
          <w:lang w:val="en-US"/>
        </w:rPr>
        <w:drawing>
          <wp:inline distT="0" distB="0" distL="0" distR="0" wp14:anchorId="049815D1" wp14:editId="598998C3">
            <wp:extent cx="5943600" cy="25958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2595880"/>
                    </a:xfrm>
                    <a:prstGeom prst="rect">
                      <a:avLst/>
                    </a:prstGeom>
                  </pic:spPr>
                </pic:pic>
              </a:graphicData>
            </a:graphic>
          </wp:inline>
        </w:drawing>
      </w:r>
    </w:p>
    <w:p w14:paraId="609AB118" w14:textId="77777777" w:rsidR="00706222" w:rsidRPr="00292532" w:rsidRDefault="00706222" w:rsidP="00706222">
      <w:pPr>
        <w:spacing w:before="0" w:line="259" w:lineRule="auto"/>
        <w:jc w:val="left"/>
        <w:rPr>
          <w:rFonts w:eastAsia="Calibri" w:cs="Calibri"/>
          <w:noProof/>
          <w:lang w:val="pt-PT"/>
        </w:rPr>
      </w:pPr>
      <w:r w:rsidRPr="00292532">
        <w:rPr>
          <w:rFonts w:eastAsia="Calibri" w:cs="Calibri"/>
          <w:noProof/>
          <w:lang w:val="pt-PT"/>
        </w:rPr>
        <w:br w:type="page"/>
      </w:r>
    </w:p>
    <w:p w14:paraId="2988CE05" w14:textId="15C9E637" w:rsidR="00706222" w:rsidRPr="00292532" w:rsidRDefault="00706222" w:rsidP="00706222">
      <w:pPr>
        <w:spacing w:before="0" w:after="0" w:line="259" w:lineRule="auto"/>
        <w:jc w:val="left"/>
        <w:rPr>
          <w:rFonts w:eastAsia="Calibri" w:cs="Calibri"/>
          <w:noProof/>
          <w:lang w:val="pt-PT"/>
        </w:rPr>
      </w:pPr>
      <w:r w:rsidRPr="00292532">
        <w:rPr>
          <w:rFonts w:eastAsia="Calibri" w:cs="Times New Roman"/>
          <w:noProof/>
          <w:lang w:val="en-US"/>
        </w:rPr>
        <w:lastRenderedPageBreak/>
        <w:drawing>
          <wp:inline distT="0" distB="0" distL="0" distR="0" wp14:anchorId="0EB666A1" wp14:editId="068BF6A6">
            <wp:extent cx="5943600" cy="411543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4115435"/>
                    </a:xfrm>
                    <a:prstGeom prst="rect">
                      <a:avLst/>
                    </a:prstGeom>
                  </pic:spPr>
                </pic:pic>
              </a:graphicData>
            </a:graphic>
          </wp:inline>
        </w:drawing>
      </w:r>
      <w:r w:rsidRPr="00292532">
        <w:rPr>
          <w:rFonts w:eastAsia="Calibri" w:cs="Times New Roman"/>
          <w:noProof/>
          <w:lang w:val="en-US"/>
        </w:rPr>
        <w:drawing>
          <wp:inline distT="0" distB="0" distL="0" distR="0" wp14:anchorId="4281EEB5" wp14:editId="0DAF7CA2">
            <wp:extent cx="5943600" cy="396494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3964940"/>
                    </a:xfrm>
                    <a:prstGeom prst="rect">
                      <a:avLst/>
                    </a:prstGeom>
                  </pic:spPr>
                </pic:pic>
              </a:graphicData>
            </a:graphic>
          </wp:inline>
        </w:drawing>
      </w:r>
    </w:p>
    <w:p w14:paraId="005469AA" w14:textId="7533C3A2" w:rsidR="00706222" w:rsidRPr="00292532" w:rsidRDefault="00706222" w:rsidP="00706222">
      <w:pPr>
        <w:spacing w:before="0" w:line="259" w:lineRule="auto"/>
        <w:jc w:val="left"/>
        <w:rPr>
          <w:rFonts w:eastAsia="Calibri" w:cs="Calibri"/>
          <w:noProof/>
          <w:lang w:val="pt-PT"/>
        </w:rPr>
      </w:pPr>
      <w:r w:rsidRPr="00292532">
        <w:rPr>
          <w:rFonts w:eastAsia="Calibri" w:cs="Times New Roman"/>
          <w:noProof/>
          <w:lang w:val="en-US"/>
        </w:rPr>
        <w:lastRenderedPageBreak/>
        <w:drawing>
          <wp:inline distT="0" distB="0" distL="0" distR="0" wp14:anchorId="204D1564" wp14:editId="483A5C31">
            <wp:extent cx="5943600" cy="4159885"/>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4159885"/>
                    </a:xfrm>
                    <a:prstGeom prst="rect">
                      <a:avLst/>
                    </a:prstGeom>
                  </pic:spPr>
                </pic:pic>
              </a:graphicData>
            </a:graphic>
          </wp:inline>
        </w:drawing>
      </w:r>
      <w:r w:rsidRPr="00292532">
        <w:rPr>
          <w:rFonts w:eastAsia="Calibri" w:cs="Times New Roman"/>
          <w:noProof/>
          <w:lang w:val="en-US"/>
        </w:rPr>
        <w:drawing>
          <wp:inline distT="0" distB="0" distL="0" distR="0" wp14:anchorId="01EFACDB" wp14:editId="62C6F3FF">
            <wp:extent cx="5943600" cy="31502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3150235"/>
                    </a:xfrm>
                    <a:prstGeom prst="rect">
                      <a:avLst/>
                    </a:prstGeom>
                  </pic:spPr>
                </pic:pic>
              </a:graphicData>
            </a:graphic>
          </wp:inline>
        </w:drawing>
      </w:r>
    </w:p>
    <w:p w14:paraId="41665C0D" w14:textId="77777777" w:rsidR="00706222" w:rsidRPr="00292532" w:rsidRDefault="00706222" w:rsidP="00706222">
      <w:pPr>
        <w:spacing w:before="0" w:line="259" w:lineRule="auto"/>
        <w:jc w:val="left"/>
        <w:rPr>
          <w:rFonts w:eastAsia="Calibri" w:cs="Calibri"/>
          <w:noProof/>
          <w:lang w:val="pt-PT"/>
        </w:rPr>
      </w:pPr>
    </w:p>
    <w:p w14:paraId="7ACFACD6" w14:textId="77777777" w:rsidR="00706222" w:rsidRPr="00292532" w:rsidRDefault="00706222" w:rsidP="000D7B05">
      <w:pPr>
        <w:pStyle w:val="Title"/>
      </w:pPr>
    </w:p>
    <w:sectPr w:rsidR="00706222" w:rsidRPr="00292532" w:rsidSect="00CC332B">
      <w:pgSz w:w="11900" w:h="16838"/>
      <w:pgMar w:top="1418" w:right="1426" w:bottom="457" w:left="1440" w:header="0" w:footer="0" w:gutter="0"/>
      <w:cols w:space="720" w:equalWidth="0">
        <w:col w:w="904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FB18C33" w14:textId="77777777" w:rsidR="00DD7525" w:rsidRDefault="00DD7525" w:rsidP="003C1148">
      <w:pPr>
        <w:spacing w:after="0"/>
      </w:pPr>
      <w:r>
        <w:separator/>
      </w:r>
    </w:p>
  </w:endnote>
  <w:endnote w:type="continuationSeparator" w:id="0">
    <w:p w14:paraId="63DEBE08" w14:textId="77777777" w:rsidR="00DD7525" w:rsidRDefault="00DD7525" w:rsidP="003C114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w:altName w:val="Times New Roman"/>
    <w:panose1 w:val="02020603050405020304"/>
    <w:charset w:val="00"/>
    <w:family w:val="auto"/>
    <w:pitch w:val="variable"/>
    <w:sig w:usb0="E00002FF" w:usb1="5000205A"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libri">
    <w:altName w:val="Cambria"/>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01046369"/>
      <w:docPartObj>
        <w:docPartGallery w:val="Page Numbers (Bottom of Page)"/>
        <w:docPartUnique/>
      </w:docPartObj>
    </w:sdtPr>
    <w:sdtEndPr>
      <w:rPr>
        <w:color w:val="7F7F7F" w:themeColor="background1" w:themeShade="7F"/>
        <w:spacing w:val="60"/>
      </w:rPr>
    </w:sdtEndPr>
    <w:sdtContent>
      <w:p w14:paraId="351C9372" w14:textId="49084EBB" w:rsidR="00857196" w:rsidRPr="00013C22" w:rsidRDefault="00857196">
        <w:pPr>
          <w:pStyle w:val="Footer"/>
          <w:pBdr>
            <w:top w:val="single" w:sz="4" w:space="1" w:color="D9D9D9" w:themeColor="background1" w:themeShade="D9"/>
          </w:pBdr>
          <w:jc w:val="right"/>
          <w:rPr>
            <w:lang w:val="pt-PT"/>
          </w:rPr>
        </w:pPr>
        <w:r w:rsidRPr="00542BE1">
          <w:rPr>
            <w:sz w:val="20"/>
            <w:szCs w:val="20"/>
          </w:rPr>
          <w:fldChar w:fldCharType="begin"/>
        </w:r>
        <w:r w:rsidRPr="00013C22">
          <w:rPr>
            <w:sz w:val="20"/>
            <w:szCs w:val="20"/>
            <w:lang w:val="pt-PT"/>
          </w:rPr>
          <w:instrText xml:space="preserve"> PAGE   \* MERGEFORMAT </w:instrText>
        </w:r>
        <w:r w:rsidRPr="00542BE1">
          <w:rPr>
            <w:sz w:val="20"/>
            <w:szCs w:val="20"/>
          </w:rPr>
          <w:fldChar w:fldCharType="separate"/>
        </w:r>
        <w:r>
          <w:rPr>
            <w:noProof/>
            <w:sz w:val="20"/>
            <w:szCs w:val="20"/>
            <w:lang w:val="pt-PT"/>
          </w:rPr>
          <w:t>10</w:t>
        </w:r>
        <w:r w:rsidRPr="00542BE1">
          <w:rPr>
            <w:noProof/>
            <w:sz w:val="20"/>
            <w:szCs w:val="20"/>
          </w:rPr>
          <w:fldChar w:fldCharType="end"/>
        </w:r>
        <w:r w:rsidRPr="00013C22">
          <w:rPr>
            <w:sz w:val="20"/>
            <w:szCs w:val="20"/>
            <w:lang w:val="pt-PT"/>
          </w:rPr>
          <w:t xml:space="preserve"> | </w:t>
        </w:r>
        <w:r w:rsidRPr="00013C22">
          <w:rPr>
            <w:color w:val="7F7F7F" w:themeColor="background1" w:themeShade="7F"/>
            <w:spacing w:val="60"/>
            <w:sz w:val="20"/>
            <w:szCs w:val="20"/>
            <w:lang w:val="pt-PT"/>
          </w:rPr>
          <w:t>Página</w:t>
        </w:r>
      </w:p>
    </w:sdtContent>
  </w:sdt>
  <w:p w14:paraId="24514087" w14:textId="19101F30" w:rsidR="00857196" w:rsidRPr="00013C22" w:rsidRDefault="00857196">
    <w:pPr>
      <w:pStyle w:val="Footer"/>
      <w:rPr>
        <w:sz w:val="18"/>
        <w:szCs w:val="18"/>
        <w:lang w:val="pt-PT"/>
      </w:rPr>
    </w:pPr>
    <w:r w:rsidRPr="00013C22">
      <w:rPr>
        <w:sz w:val="18"/>
        <w:szCs w:val="18"/>
        <w:lang w:val="pt-PT"/>
      </w:rPr>
      <w:t xml:space="preserve">Quadro de Gestão Ambiental e Social - </w:t>
    </w:r>
    <w:proofErr w:type="spellStart"/>
    <w:r w:rsidRPr="00013C22">
      <w:rPr>
        <w:sz w:val="18"/>
        <w:szCs w:val="18"/>
        <w:lang w:val="pt-PT"/>
      </w:rPr>
      <w:t>Projecto</w:t>
    </w:r>
    <w:proofErr w:type="spellEnd"/>
    <w:r w:rsidRPr="00013C22">
      <w:rPr>
        <w:sz w:val="18"/>
        <w:szCs w:val="18"/>
        <w:lang w:val="pt-PT"/>
      </w:rPr>
      <w:t xml:space="preserve"> Água Segura (P173518)</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7B2AE3" w14:textId="26AF9AB2" w:rsidR="00857196" w:rsidRDefault="00857196">
    <w:pPr>
      <w:pStyle w:val="Footer"/>
      <w:jc w:val="right"/>
    </w:pPr>
    <w:r>
      <w:fldChar w:fldCharType="begin"/>
    </w:r>
    <w:r>
      <w:instrText xml:space="preserve"> PAGE   \* MERGEFORMAT </w:instrText>
    </w:r>
    <w:r>
      <w:fldChar w:fldCharType="separate"/>
    </w:r>
    <w:r>
      <w:rPr>
        <w:noProof/>
      </w:rPr>
      <w:t>41</w:t>
    </w:r>
    <w:r>
      <w:fldChar w:fldCharType="end"/>
    </w:r>
  </w:p>
  <w:p w14:paraId="01291704" w14:textId="77777777" w:rsidR="00857196" w:rsidRDefault="0085719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70789495"/>
      <w:docPartObj>
        <w:docPartGallery w:val="Page Numbers (Bottom of Page)"/>
        <w:docPartUnique/>
      </w:docPartObj>
    </w:sdtPr>
    <w:sdtEndPr>
      <w:rPr>
        <w:noProof/>
      </w:rPr>
    </w:sdtEndPr>
    <w:sdtContent>
      <w:p w14:paraId="197C0BF0" w14:textId="77777777" w:rsidR="00857196" w:rsidRDefault="00857196">
        <w:pPr>
          <w:pStyle w:val="Footer"/>
          <w:jc w:val="right"/>
        </w:pPr>
        <w:r>
          <w:fldChar w:fldCharType="begin"/>
        </w:r>
        <w:r>
          <w:instrText xml:space="preserve"> PAGE   \* MERGEFORMAT </w:instrText>
        </w:r>
        <w:r>
          <w:fldChar w:fldCharType="separate"/>
        </w:r>
        <w:r>
          <w:rPr>
            <w:noProof/>
          </w:rPr>
          <w:t>407</w:t>
        </w:r>
        <w:r>
          <w:rPr>
            <w:noProof/>
          </w:rPr>
          <w:fldChar w:fldCharType="end"/>
        </w:r>
      </w:p>
    </w:sdtContent>
  </w:sdt>
  <w:p w14:paraId="46E2C7EF" w14:textId="77777777" w:rsidR="00857196" w:rsidRDefault="0085719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4012769"/>
      <w:docPartObj>
        <w:docPartGallery w:val="Page Numbers (Bottom of Page)"/>
        <w:docPartUnique/>
      </w:docPartObj>
    </w:sdtPr>
    <w:sdtEndPr>
      <w:rPr>
        <w:noProof/>
      </w:rPr>
    </w:sdtEndPr>
    <w:sdtContent>
      <w:p w14:paraId="4403612E" w14:textId="77777777" w:rsidR="00857196" w:rsidRDefault="00857196">
        <w:pPr>
          <w:pStyle w:val="Footer"/>
          <w:jc w:val="right"/>
        </w:pPr>
        <w:r>
          <w:fldChar w:fldCharType="begin"/>
        </w:r>
        <w:r>
          <w:instrText xml:space="preserve"> PAGE   \* MERGEFORMAT </w:instrText>
        </w:r>
        <w:r>
          <w:fldChar w:fldCharType="separate"/>
        </w:r>
        <w:r>
          <w:rPr>
            <w:noProof/>
          </w:rPr>
          <w:t>470</w:t>
        </w:r>
        <w:r>
          <w:rPr>
            <w:noProof/>
          </w:rPr>
          <w:fldChar w:fldCharType="end"/>
        </w:r>
      </w:p>
    </w:sdtContent>
  </w:sdt>
  <w:p w14:paraId="50B3EDD6" w14:textId="77777777" w:rsidR="00857196" w:rsidRDefault="00857196">
    <w:pPr>
      <w:pStyle w:val="Footer"/>
    </w:pPr>
  </w:p>
  <w:p w14:paraId="21B81990" w14:textId="77777777" w:rsidR="00857196" w:rsidRDefault="00857196"/>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B23571" w14:textId="77777777" w:rsidR="00857196" w:rsidRDefault="00857196">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03374297"/>
      <w:docPartObj>
        <w:docPartGallery w:val="Page Numbers (Bottom of Page)"/>
        <w:docPartUnique/>
      </w:docPartObj>
    </w:sdtPr>
    <w:sdtEndPr>
      <w:rPr>
        <w:noProof/>
      </w:rPr>
    </w:sdtEndPr>
    <w:sdtContent>
      <w:p w14:paraId="351DB8FB" w14:textId="6627E733" w:rsidR="00857196" w:rsidRDefault="00857196">
        <w:pPr>
          <w:pStyle w:val="Footer"/>
          <w:jc w:val="right"/>
        </w:pPr>
        <w:r>
          <w:fldChar w:fldCharType="begin"/>
        </w:r>
        <w:r>
          <w:instrText xml:space="preserve"> PAGE   \* MERGEFORMAT </w:instrText>
        </w:r>
        <w:r>
          <w:fldChar w:fldCharType="separate"/>
        </w:r>
        <w:r>
          <w:rPr>
            <w:noProof/>
          </w:rPr>
          <w:t>476</w:t>
        </w:r>
        <w:r>
          <w:rPr>
            <w:noProof/>
          </w:rPr>
          <w:fldChar w:fldCharType="end"/>
        </w:r>
      </w:p>
    </w:sdtContent>
  </w:sdt>
  <w:p w14:paraId="6F287643" w14:textId="77777777" w:rsidR="00857196" w:rsidRDefault="00857196">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343505" w14:textId="77777777" w:rsidR="00857196" w:rsidRDefault="0085719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1E27EF" w14:textId="77777777" w:rsidR="00DD7525" w:rsidRDefault="00DD7525" w:rsidP="003C1148">
      <w:pPr>
        <w:spacing w:after="0"/>
      </w:pPr>
      <w:r>
        <w:separator/>
      </w:r>
    </w:p>
  </w:footnote>
  <w:footnote w:type="continuationSeparator" w:id="0">
    <w:p w14:paraId="2FA71F80" w14:textId="77777777" w:rsidR="00DD7525" w:rsidRDefault="00DD7525" w:rsidP="003C1148">
      <w:pPr>
        <w:spacing w:after="0"/>
      </w:pPr>
      <w:r>
        <w:continuationSeparator/>
      </w:r>
    </w:p>
  </w:footnote>
  <w:footnote w:id="1">
    <w:p w14:paraId="4E0E01F1" w14:textId="77777777" w:rsidR="00857196" w:rsidRPr="00681ED6" w:rsidRDefault="00857196" w:rsidP="001632E8">
      <w:pPr>
        <w:ind w:left="-90"/>
        <w:rPr>
          <w:sz w:val="18"/>
          <w:szCs w:val="18"/>
          <w:lang w:val="pt-PT"/>
        </w:rPr>
      </w:pPr>
      <w:r w:rsidRPr="006919DB">
        <w:rPr>
          <w:rStyle w:val="FootnoteReference"/>
          <w:sz w:val="18"/>
          <w:szCs w:val="18"/>
        </w:rPr>
        <w:footnoteRef/>
      </w:r>
      <w:r w:rsidRPr="006919DB">
        <w:rPr>
          <w:sz w:val="18"/>
          <w:szCs w:val="18"/>
          <w:lang w:val="pt-PT"/>
        </w:rPr>
        <w:t xml:space="preserve"> O saneamento gerido </w:t>
      </w:r>
      <w:r>
        <w:rPr>
          <w:sz w:val="18"/>
          <w:szCs w:val="18"/>
          <w:lang w:val="pt-PT"/>
        </w:rPr>
        <w:t xml:space="preserve">de forma </w:t>
      </w:r>
      <w:r w:rsidRPr="006919DB">
        <w:rPr>
          <w:sz w:val="18"/>
          <w:szCs w:val="18"/>
          <w:lang w:val="pt-PT"/>
        </w:rPr>
        <w:t xml:space="preserve">segura é definido pela Organização Mundial da Saúde (OMS) como o uso de uma instalação </w:t>
      </w:r>
      <w:r>
        <w:rPr>
          <w:sz w:val="18"/>
          <w:szCs w:val="18"/>
          <w:lang w:val="pt-PT"/>
        </w:rPr>
        <w:t xml:space="preserve">melhorada </w:t>
      </w:r>
      <w:r w:rsidRPr="006919DB">
        <w:rPr>
          <w:sz w:val="18"/>
          <w:szCs w:val="18"/>
          <w:lang w:val="pt-PT"/>
        </w:rPr>
        <w:t xml:space="preserve">de saneamento que não é partilhada com outros agregados familiares e onde os resíduos fecais são eliminados </w:t>
      </w:r>
      <w:r>
        <w:rPr>
          <w:sz w:val="18"/>
          <w:szCs w:val="18"/>
          <w:lang w:val="pt-PT"/>
        </w:rPr>
        <w:t>no</w:t>
      </w:r>
      <w:r w:rsidRPr="006919DB">
        <w:rPr>
          <w:sz w:val="18"/>
          <w:szCs w:val="18"/>
          <w:lang w:val="pt-PT"/>
        </w:rPr>
        <w:t xml:space="preserve"> local</w:t>
      </w:r>
      <w:r>
        <w:rPr>
          <w:sz w:val="18"/>
          <w:szCs w:val="18"/>
          <w:lang w:val="pt-PT"/>
        </w:rPr>
        <w:t xml:space="preserve"> em</w:t>
      </w:r>
      <w:r w:rsidRPr="006919DB">
        <w:rPr>
          <w:sz w:val="18"/>
          <w:szCs w:val="18"/>
          <w:lang w:val="pt-PT"/>
        </w:rPr>
        <w:t xml:space="preserve"> segur</w:t>
      </w:r>
      <w:r>
        <w:rPr>
          <w:sz w:val="18"/>
          <w:szCs w:val="18"/>
          <w:lang w:val="pt-PT"/>
        </w:rPr>
        <w:t>ança</w:t>
      </w:r>
      <w:r w:rsidRPr="006919DB">
        <w:rPr>
          <w:sz w:val="18"/>
          <w:szCs w:val="18"/>
          <w:lang w:val="pt-PT"/>
        </w:rPr>
        <w:t xml:space="preserve"> e/ou transportados e tratados fora do local. As instalações de saneamento</w:t>
      </w:r>
      <w:r>
        <w:rPr>
          <w:sz w:val="18"/>
          <w:szCs w:val="18"/>
          <w:lang w:val="pt-PT"/>
        </w:rPr>
        <w:t xml:space="preserve"> melhoradas </w:t>
      </w:r>
      <w:r w:rsidRPr="006919DB">
        <w:rPr>
          <w:sz w:val="18"/>
          <w:szCs w:val="18"/>
          <w:lang w:val="pt-PT"/>
        </w:rPr>
        <w:t>incluem sanitas com descarga para</w:t>
      </w:r>
      <w:r>
        <w:rPr>
          <w:sz w:val="18"/>
          <w:szCs w:val="18"/>
          <w:lang w:val="pt-PT"/>
        </w:rPr>
        <w:t xml:space="preserve"> rede de esgotos,</w:t>
      </w:r>
      <w:r w:rsidRPr="006919DB">
        <w:rPr>
          <w:sz w:val="18"/>
          <w:szCs w:val="18"/>
          <w:lang w:val="pt-PT"/>
        </w:rPr>
        <w:t xml:space="preserve"> fossas sépticas ou latrinas; e latrina</w:t>
      </w:r>
      <w:r>
        <w:rPr>
          <w:sz w:val="18"/>
          <w:szCs w:val="18"/>
          <w:lang w:val="pt-PT"/>
        </w:rPr>
        <w:t>s</w:t>
      </w:r>
      <w:r w:rsidRPr="006919DB">
        <w:rPr>
          <w:sz w:val="18"/>
          <w:szCs w:val="18"/>
          <w:lang w:val="pt-PT"/>
        </w:rPr>
        <w:t xml:space="preserve"> com compostagem ou latrina</w:t>
      </w:r>
      <w:r>
        <w:rPr>
          <w:sz w:val="18"/>
          <w:szCs w:val="18"/>
          <w:lang w:val="pt-PT"/>
        </w:rPr>
        <w:t>s</w:t>
      </w:r>
      <w:r w:rsidRPr="006919DB">
        <w:rPr>
          <w:sz w:val="18"/>
          <w:szCs w:val="18"/>
          <w:lang w:val="pt-PT"/>
        </w:rPr>
        <w:t xml:space="preserve"> melhorada</w:t>
      </w:r>
      <w:r>
        <w:rPr>
          <w:sz w:val="18"/>
          <w:szCs w:val="18"/>
          <w:lang w:val="pt-PT"/>
        </w:rPr>
        <w:t>s</w:t>
      </w:r>
      <w:r w:rsidRPr="006919DB">
        <w:rPr>
          <w:sz w:val="18"/>
          <w:szCs w:val="18"/>
          <w:lang w:val="pt-PT"/>
        </w:rPr>
        <w:t xml:space="preserve"> com laje.</w:t>
      </w:r>
      <w:r>
        <w:rPr>
          <w:sz w:val="18"/>
          <w:szCs w:val="18"/>
          <w:lang w:val="pt-PT"/>
        </w:rPr>
        <w:t xml:space="preserve"> </w:t>
      </w:r>
    </w:p>
  </w:footnote>
  <w:footnote w:id="2">
    <w:p w14:paraId="332D07BF" w14:textId="77777777" w:rsidR="00857196" w:rsidRPr="004500AE" w:rsidRDefault="00857196" w:rsidP="002A0FE6">
      <w:pPr>
        <w:pStyle w:val="FootnoteText"/>
        <w:rPr>
          <w:rFonts w:asciiTheme="minorHAnsi" w:eastAsia="Calibri" w:hAnsiTheme="minorHAnsi" w:cstheme="minorHAnsi"/>
          <w:sz w:val="18"/>
          <w:szCs w:val="18"/>
          <w:lang w:val="pt-PT"/>
        </w:rPr>
      </w:pPr>
      <w:r w:rsidRPr="004500AE">
        <w:rPr>
          <w:rStyle w:val="FootnoteReference"/>
          <w:rFonts w:asciiTheme="minorHAnsi" w:hAnsiTheme="minorHAnsi" w:cstheme="minorHAnsi"/>
          <w:sz w:val="18"/>
          <w:szCs w:val="18"/>
        </w:rPr>
        <w:footnoteRef/>
      </w:r>
      <w:r w:rsidRPr="004500AE">
        <w:rPr>
          <w:rFonts w:asciiTheme="minorHAnsi" w:hAnsiTheme="minorHAnsi" w:cstheme="minorHAnsi"/>
          <w:sz w:val="18"/>
          <w:szCs w:val="18"/>
          <w:lang w:val="pt-PT"/>
        </w:rPr>
        <w:t xml:space="preserve"> </w:t>
      </w:r>
      <w:r w:rsidRPr="004500AE">
        <w:rPr>
          <w:rFonts w:asciiTheme="minorHAnsi" w:eastAsia="Calibri" w:hAnsiTheme="minorHAnsi" w:cstheme="minorHAnsi"/>
          <w:sz w:val="18"/>
          <w:szCs w:val="18"/>
          <w:lang w:val="pt-PT"/>
        </w:rPr>
        <w:t>Os contractos baseados no desempenho com incentivos financeiros para os operadores privados investirem na expansão dos serviços (</w:t>
      </w:r>
      <w:proofErr w:type="spellStart"/>
      <w:r w:rsidRPr="004500AE">
        <w:rPr>
          <w:rFonts w:asciiTheme="minorHAnsi" w:eastAsia="Calibri" w:hAnsiTheme="minorHAnsi" w:cstheme="minorHAnsi"/>
          <w:sz w:val="18"/>
          <w:szCs w:val="18"/>
          <w:lang w:val="pt-PT"/>
        </w:rPr>
        <w:t>efectuando</w:t>
      </w:r>
      <w:proofErr w:type="spellEnd"/>
      <w:r w:rsidRPr="004500AE">
        <w:rPr>
          <w:rFonts w:asciiTheme="minorHAnsi" w:eastAsia="Calibri" w:hAnsiTheme="minorHAnsi" w:cstheme="minorHAnsi"/>
          <w:sz w:val="18"/>
          <w:szCs w:val="18"/>
          <w:lang w:val="pt-PT"/>
        </w:rPr>
        <w:t xml:space="preserve"> novas ligações) e a provisão de um serviço de qualidade que responde aos indicadores regulatórios estabelecidos pela AURA (horas de fornecimento, cobertura dos custos operacionais, cobranças baseadas em leituras, tempo de resposta às reclamações, perdas, etc.) e outros indicadores de desempenho</w:t>
      </w:r>
    </w:p>
    <w:p w14:paraId="2203D856" w14:textId="47BBAA11" w:rsidR="00857196" w:rsidRPr="004500AE" w:rsidRDefault="00857196">
      <w:pPr>
        <w:pStyle w:val="FootnoteText"/>
        <w:rPr>
          <w:lang w:val="pt-PT"/>
        </w:rPr>
      </w:pPr>
    </w:p>
  </w:footnote>
  <w:footnote w:id="3">
    <w:p w14:paraId="6EAAAF36" w14:textId="77777777" w:rsidR="00857196" w:rsidRPr="00FB3D2E" w:rsidRDefault="00857196" w:rsidP="00FB3D2E">
      <w:pPr>
        <w:rPr>
          <w:sz w:val="20"/>
          <w:szCs w:val="20"/>
          <w:lang w:val="pt-PT"/>
        </w:rPr>
      </w:pPr>
      <w:r w:rsidRPr="00FB3D2E">
        <w:rPr>
          <w:sz w:val="20"/>
          <w:szCs w:val="20"/>
        </w:rPr>
        <w:footnoteRef/>
      </w:r>
      <w:r w:rsidRPr="00FB3D2E">
        <w:rPr>
          <w:sz w:val="20"/>
          <w:szCs w:val="20"/>
          <w:lang w:val="pt-PT"/>
        </w:rPr>
        <w:t xml:space="preserve"> O Regulamento não estabelece normas de qualidade para materiais particulados inaláveis com diâmetro igual ou inferior a 10 µm (PM10) e com diâmetro igual ou inferior a 2,5 µm (PM2,5).</w:t>
      </w:r>
    </w:p>
  </w:footnote>
  <w:footnote w:id="4">
    <w:p w14:paraId="25108CED" w14:textId="77777777" w:rsidR="00857196" w:rsidRPr="00543795" w:rsidRDefault="00857196" w:rsidP="00FB3D2E">
      <w:pPr>
        <w:rPr>
          <w:lang w:val="pt-PT"/>
        </w:rPr>
      </w:pPr>
      <w:r w:rsidRPr="00FB3D2E">
        <w:rPr>
          <w:sz w:val="20"/>
          <w:szCs w:val="20"/>
        </w:rPr>
        <w:footnoteRef/>
      </w:r>
      <w:r w:rsidRPr="00FB3D2E">
        <w:rPr>
          <w:sz w:val="20"/>
          <w:szCs w:val="20"/>
          <w:lang w:val="pt-PT"/>
        </w:rPr>
        <w:t xml:space="preserve"> A legislação Moçambicana não estabelece </w:t>
      </w:r>
      <w:proofErr w:type="spellStart"/>
      <w:r w:rsidRPr="00FB3D2E">
        <w:rPr>
          <w:sz w:val="20"/>
          <w:szCs w:val="20"/>
          <w:lang w:val="pt-PT"/>
        </w:rPr>
        <w:t>objectivos</w:t>
      </w:r>
      <w:proofErr w:type="spellEnd"/>
      <w:r w:rsidRPr="00FB3D2E">
        <w:rPr>
          <w:sz w:val="20"/>
          <w:szCs w:val="20"/>
          <w:lang w:val="pt-PT"/>
        </w:rPr>
        <w:t xml:space="preserve"> ambientais de qualidade mínima das águas superficiais nem critérios de qualidade das águas doces superficiais destinadas à produção de água para consumo humano.</w:t>
      </w:r>
    </w:p>
  </w:footnote>
  <w:footnote w:id="5">
    <w:p w14:paraId="1535623F" w14:textId="77777777" w:rsidR="00857196" w:rsidRPr="00D4668E" w:rsidRDefault="00857196" w:rsidP="0025577E">
      <w:pPr>
        <w:pStyle w:val="FootnoteText"/>
        <w:rPr>
          <w:lang w:val="pt-PT"/>
        </w:rPr>
      </w:pPr>
      <w:r>
        <w:rPr>
          <w:rStyle w:val="FootnoteReference"/>
        </w:rPr>
        <w:footnoteRef/>
      </w:r>
      <w:r w:rsidRPr="00D4668E">
        <w:rPr>
          <w:lang w:val="pt-PT"/>
        </w:rPr>
        <w:t xml:space="preserve"> </w:t>
      </w:r>
      <w:r>
        <w:rPr>
          <w:lang w:val="pt-PT"/>
        </w:rPr>
        <w:t>O Plano de Gestão de Património Cultural incluirá um calendário de implementação, e estimativa das necessidades de recursos para cada medida de mitigação.</w:t>
      </w:r>
    </w:p>
  </w:footnote>
  <w:footnote w:id="6">
    <w:p w14:paraId="3C06CE2C" w14:textId="77777777" w:rsidR="00857196" w:rsidRPr="00D4668E" w:rsidRDefault="00857196" w:rsidP="0025577E">
      <w:pPr>
        <w:pStyle w:val="FootnoteText"/>
        <w:rPr>
          <w:lang w:val="pt-PT"/>
        </w:rPr>
      </w:pPr>
      <w:r>
        <w:rPr>
          <w:rStyle w:val="FootnoteReference"/>
        </w:rPr>
        <w:footnoteRef/>
      </w:r>
      <w:r w:rsidRPr="00D4668E">
        <w:rPr>
          <w:lang w:val="pt-PT"/>
        </w:rPr>
        <w:t xml:space="preserve"> </w:t>
      </w:r>
      <w:r>
        <w:rPr>
          <w:lang w:val="pt-PT"/>
        </w:rPr>
        <w:t xml:space="preserve">Um procedimento de descoberta causal é um procedimento específico do </w:t>
      </w:r>
      <w:proofErr w:type="spellStart"/>
      <w:r>
        <w:rPr>
          <w:lang w:val="pt-PT"/>
        </w:rPr>
        <w:t>projecto</w:t>
      </w:r>
      <w:proofErr w:type="spellEnd"/>
      <w:r>
        <w:rPr>
          <w:lang w:val="pt-PT"/>
        </w:rPr>
        <w:t xml:space="preserve"> que descreve as </w:t>
      </w:r>
      <w:proofErr w:type="spellStart"/>
      <w:r>
        <w:rPr>
          <w:lang w:val="pt-PT"/>
        </w:rPr>
        <w:t>acções</w:t>
      </w:r>
      <w:proofErr w:type="spellEnd"/>
      <w:r>
        <w:rPr>
          <w:lang w:val="pt-PT"/>
        </w:rPr>
        <w:t xml:space="preserve"> a serem </w:t>
      </w:r>
      <w:proofErr w:type="spellStart"/>
      <w:r>
        <w:rPr>
          <w:lang w:val="pt-PT"/>
        </w:rPr>
        <w:t>adoptadas</w:t>
      </w:r>
      <w:proofErr w:type="spellEnd"/>
      <w:r>
        <w:rPr>
          <w:lang w:val="pt-PT"/>
        </w:rPr>
        <w:t xml:space="preserve"> e os procedimentos a serem seguidos caso algum patrimônio cultural previamente desconhecido seja encontrado durante as </w:t>
      </w:r>
      <w:proofErr w:type="spellStart"/>
      <w:r>
        <w:rPr>
          <w:lang w:val="pt-PT"/>
        </w:rPr>
        <w:t>actividades</w:t>
      </w:r>
      <w:proofErr w:type="spellEnd"/>
      <w:r>
        <w:rPr>
          <w:lang w:val="pt-PT"/>
        </w:rPr>
        <w:t xml:space="preserve"> do </w:t>
      </w:r>
      <w:proofErr w:type="spellStart"/>
      <w:r>
        <w:rPr>
          <w:lang w:val="pt-PT"/>
        </w:rPr>
        <w:t>Projecto</w:t>
      </w:r>
      <w:proofErr w:type="spellEnd"/>
      <w:r>
        <w:rPr>
          <w:lang w:val="pt-PT"/>
        </w:rPr>
        <w:t xml:space="preserve">.  </w:t>
      </w:r>
    </w:p>
  </w:footnote>
  <w:footnote w:id="7">
    <w:p w14:paraId="1F304C3B" w14:textId="77777777" w:rsidR="00857196" w:rsidRPr="0020031B" w:rsidRDefault="00857196" w:rsidP="00B00D6D">
      <w:pPr>
        <w:pStyle w:val="FootnoteText"/>
        <w:rPr>
          <w:lang w:val="pt-PT"/>
        </w:rPr>
      </w:pPr>
      <w:r w:rsidRPr="0020031B">
        <w:rPr>
          <w:rStyle w:val="FootnoteReference"/>
          <w:lang w:val="pt-PT"/>
        </w:rPr>
        <w:footnoteRef/>
      </w:r>
      <w:r w:rsidRPr="0020031B">
        <w:rPr>
          <w:lang w:val="pt-PT"/>
        </w:rPr>
        <w:t xml:space="preserve"> As datas apresentadas são indicativas.</w:t>
      </w:r>
    </w:p>
  </w:footnote>
  <w:footnote w:id="8">
    <w:p w14:paraId="144BE736" w14:textId="77777777" w:rsidR="00857196" w:rsidRPr="00C52213" w:rsidRDefault="00857196" w:rsidP="009757BD">
      <w:pPr>
        <w:pStyle w:val="FootnoteText"/>
        <w:rPr>
          <w:rFonts w:ascii="Arial" w:hAnsi="Arial"/>
          <w:lang w:val="pt-PT"/>
        </w:rPr>
      </w:pPr>
      <w:r w:rsidRPr="00C52213">
        <w:rPr>
          <w:rStyle w:val="FootnoteReference"/>
          <w:rFonts w:ascii="Arial" w:hAnsi="Arial"/>
        </w:rPr>
        <w:footnoteRef/>
      </w:r>
      <w:r w:rsidRPr="00C52213">
        <w:rPr>
          <w:rFonts w:ascii="Arial" w:hAnsi="Arial"/>
          <w:lang w:val="pt-PT"/>
        </w:rPr>
        <w:t xml:space="preserve"> </w:t>
      </w:r>
      <w:r w:rsidRPr="007818D1">
        <w:rPr>
          <w:rFonts w:asciiTheme="minorHAnsi" w:hAnsiTheme="minorHAnsi"/>
          <w:lang w:val="pt-PT"/>
        </w:rPr>
        <w:t>Poderão a este nível estarem inseridos como por exemplo questões ligadas a conflitos de terra, violação de práticas culturais locais por parte de trabalhadores, entre outros</w:t>
      </w:r>
      <w:r w:rsidRPr="00C52213">
        <w:rPr>
          <w:rFonts w:ascii="Arial" w:hAnsi="Arial"/>
          <w:lang w:val="pt-PT"/>
        </w:rPr>
        <w:t xml:space="preserve">. </w:t>
      </w:r>
    </w:p>
  </w:footnote>
  <w:footnote w:id="9">
    <w:p w14:paraId="64BCF5CD" w14:textId="77777777" w:rsidR="00857196" w:rsidRPr="00032E3B" w:rsidRDefault="00857196" w:rsidP="006174BB">
      <w:pPr>
        <w:pStyle w:val="FootnoteText"/>
        <w:rPr>
          <w:rFonts w:cs="Calibri"/>
          <w:sz w:val="16"/>
          <w:lang w:val="pt-PT"/>
        </w:rPr>
      </w:pPr>
      <w:r w:rsidRPr="00B31AE2">
        <w:rPr>
          <w:rFonts w:cs="Calibri"/>
        </w:rPr>
        <w:footnoteRef/>
      </w:r>
      <w:r w:rsidRPr="00032E3B">
        <w:rPr>
          <w:rFonts w:cs="Calibri"/>
          <w:sz w:val="16"/>
          <w:vertAlign w:val="superscript"/>
          <w:lang w:val="pt-PT"/>
        </w:rPr>
        <w:t xml:space="preserve"> </w:t>
      </w:r>
      <w:r w:rsidRPr="00032E3B">
        <w:rPr>
          <w:rFonts w:cs="Calibri"/>
          <w:sz w:val="16"/>
          <w:lang w:val="pt-PT"/>
        </w:rPr>
        <w:t xml:space="preserve">Fonte: </w:t>
      </w:r>
      <w:r w:rsidRPr="00032E3B">
        <w:rPr>
          <w:rFonts w:cs="Calibri"/>
          <w:sz w:val="16"/>
          <w:lang w:val="pt-PT"/>
        </w:rPr>
        <w:t xml:space="preserve">MGCAS: Lista de CAIs no país actualizada em </w:t>
      </w:r>
      <w:proofErr w:type="gramStart"/>
      <w:r w:rsidRPr="00032E3B">
        <w:rPr>
          <w:rFonts w:cs="Calibri"/>
          <w:sz w:val="16"/>
          <w:lang w:val="pt-PT"/>
        </w:rPr>
        <w:t>Junho</w:t>
      </w:r>
      <w:proofErr w:type="gramEnd"/>
      <w:r w:rsidRPr="00032E3B">
        <w:rPr>
          <w:rFonts w:cs="Calibri"/>
          <w:sz w:val="16"/>
          <w:lang w:val="pt-PT"/>
        </w:rPr>
        <w:t xml:space="preserve"> de 2020;</w:t>
      </w:r>
    </w:p>
  </w:footnote>
  <w:footnote w:id="10">
    <w:p w14:paraId="426462A6" w14:textId="77777777" w:rsidR="00857196" w:rsidRPr="00032E3B" w:rsidRDefault="00857196" w:rsidP="006174BB">
      <w:pPr>
        <w:pStyle w:val="FootnoteText"/>
        <w:rPr>
          <w:rFonts w:cs="Calibri"/>
          <w:sz w:val="16"/>
          <w:lang w:val="pt-PT"/>
        </w:rPr>
      </w:pPr>
      <w:r w:rsidRPr="00B31AE2">
        <w:rPr>
          <w:rFonts w:cs="Calibri"/>
        </w:rPr>
        <w:footnoteRef/>
      </w:r>
      <w:r w:rsidRPr="00032E3B">
        <w:rPr>
          <w:rFonts w:cs="Calibri"/>
          <w:sz w:val="16"/>
          <w:lang w:val="pt-PT"/>
        </w:rPr>
        <w:t xml:space="preserve"> </w:t>
      </w:r>
      <w:r w:rsidRPr="00032E3B">
        <w:rPr>
          <w:rFonts w:cs="Calibri"/>
          <w:sz w:val="16"/>
          <w:lang w:val="pt-PT"/>
        </w:rPr>
        <w:t xml:space="preserve">A Iniciativa Spotlight actua também ao nível nacional nas áreas de promoção de leis e políticas; capacitação institucional; melhoria da colecta e disponibilização de dados sobre VBG (infoviolência database). Das </w:t>
      </w:r>
      <w:proofErr w:type="gramStart"/>
      <w:r w:rsidRPr="00032E3B">
        <w:rPr>
          <w:rFonts w:cs="Calibri"/>
          <w:sz w:val="16"/>
          <w:lang w:val="pt-PT"/>
        </w:rPr>
        <w:t>províncias  abrangidos</w:t>
      </w:r>
      <w:proofErr w:type="gramEnd"/>
      <w:r w:rsidRPr="00032E3B">
        <w:rPr>
          <w:rFonts w:cs="Calibri"/>
          <w:sz w:val="16"/>
          <w:lang w:val="pt-PT"/>
        </w:rPr>
        <w:t xml:space="preserve"> pelo projecto, Nampula é uma das que implementa a iniciativa, nos distritos de Moma e Angoche.  </w:t>
      </w:r>
    </w:p>
  </w:footnote>
  <w:footnote w:id="11">
    <w:p w14:paraId="002DCADB" w14:textId="77777777" w:rsidR="00857196" w:rsidRPr="00333379" w:rsidRDefault="00857196" w:rsidP="00F638C3">
      <w:pPr>
        <w:pStyle w:val="FootnoteText"/>
        <w:rPr>
          <w:lang w:val="pt-PT"/>
        </w:rPr>
      </w:pPr>
      <w:r>
        <w:rPr>
          <w:rStyle w:val="FootnoteReference"/>
        </w:rPr>
        <w:footnoteRef/>
      </w:r>
      <w:r w:rsidRPr="00333379">
        <w:rPr>
          <w:lang w:val="pt-PT"/>
        </w:rPr>
        <w:t xml:space="preserve"> Queixas e reclamações sobre </w:t>
      </w:r>
      <w:r w:rsidRPr="00333379">
        <w:rPr>
          <w:lang w:val="pt-PT"/>
        </w:rPr>
        <w:t>inco</w:t>
      </w:r>
      <w:r>
        <w:rPr>
          <w:lang w:val="pt-PT"/>
        </w:rPr>
        <w:t>nformidades graves do Projecto; queixas sobre impactos na saúde e segurança das comunidades; queixas que resultaram em processo judiciários; queixas que resultaram na proposta de novas medidas de mitigação e actualização do PGA.</w:t>
      </w:r>
    </w:p>
  </w:footnote>
  <w:footnote w:id="12">
    <w:p w14:paraId="6C3A1CC8" w14:textId="77777777" w:rsidR="00857196" w:rsidRPr="00E82152" w:rsidRDefault="00857196" w:rsidP="000615DB">
      <w:pPr>
        <w:pStyle w:val="FootnoteText"/>
        <w:rPr>
          <w:lang w:val="pt-PT"/>
        </w:rPr>
      </w:pPr>
      <w:r>
        <w:rPr>
          <w:rStyle w:val="FootnoteReference"/>
        </w:rPr>
        <w:footnoteRef/>
      </w:r>
      <w:r w:rsidRPr="00E82152">
        <w:rPr>
          <w:lang w:val="pt-PT"/>
        </w:rPr>
        <w:t>Regulamento em Emissões de Efluentes e Padrões de Qualidade Ambientais (Decreto 18/2004)</w:t>
      </w:r>
    </w:p>
  </w:footnote>
  <w:footnote w:id="13">
    <w:p w14:paraId="23A5ECB3" w14:textId="2C0E691C" w:rsidR="00857196" w:rsidRPr="00032E3B" w:rsidRDefault="00857196" w:rsidP="00B31AE2">
      <w:pPr>
        <w:pStyle w:val="FootnoteText"/>
        <w:rPr>
          <w:rFonts w:ascii="Arial" w:hAnsi="Arial" w:cs="Arial"/>
          <w:sz w:val="16"/>
          <w:szCs w:val="16"/>
          <w:lang w:val="pt-PT"/>
        </w:rPr>
      </w:pPr>
      <w:r w:rsidRPr="004205A4">
        <w:rPr>
          <w:rStyle w:val="FootnoteReference"/>
          <w:rFonts w:ascii="Arial" w:hAnsi="Arial" w:cs="Arial"/>
          <w:sz w:val="16"/>
          <w:szCs w:val="16"/>
        </w:rPr>
        <w:footnoteRef/>
      </w:r>
      <w:r w:rsidRPr="00032E3B">
        <w:rPr>
          <w:rFonts w:ascii="Arial" w:hAnsi="Arial" w:cs="Arial"/>
          <w:sz w:val="16"/>
          <w:szCs w:val="16"/>
          <w:lang w:val="pt-PT"/>
        </w:rPr>
        <w:t xml:space="preserve"> Será igualmente dada atenção ao fortalecimento dos Núcleos de Saneamento ao nível das escolas para assegurar a higiene e sustentabilidade das infraestruturas escolares.</w:t>
      </w:r>
    </w:p>
  </w:footnote>
  <w:footnote w:id="14">
    <w:p w14:paraId="2F7664F9" w14:textId="77777777" w:rsidR="00857196" w:rsidRPr="00032E3B" w:rsidRDefault="00857196" w:rsidP="00B31AE2">
      <w:pPr>
        <w:spacing w:after="0"/>
        <w:ind w:left="-105"/>
        <w:rPr>
          <w:lang w:val="pt-PT"/>
        </w:rPr>
      </w:pPr>
      <w:r w:rsidRPr="004205A4">
        <w:rPr>
          <w:rStyle w:val="FootnoteReference"/>
          <w:rFonts w:ascii="Arial" w:hAnsi="Arial" w:cs="Arial"/>
          <w:sz w:val="16"/>
          <w:szCs w:val="16"/>
        </w:rPr>
        <w:footnoteRef/>
      </w:r>
      <w:r w:rsidRPr="00032E3B">
        <w:rPr>
          <w:rFonts w:ascii="Arial" w:hAnsi="Arial" w:cs="Arial"/>
          <w:sz w:val="16"/>
          <w:szCs w:val="16"/>
          <w:lang w:val="pt-PT"/>
        </w:rPr>
        <w:t xml:space="preserve"> Os </w:t>
      </w:r>
      <w:r w:rsidRPr="00032E3B">
        <w:rPr>
          <w:rFonts w:ascii="Arial" w:hAnsi="Arial" w:cs="Arial"/>
          <w:sz w:val="16"/>
          <w:szCs w:val="18"/>
          <w:lang w:val="pt-PT"/>
        </w:rPr>
        <w:t>dados</w:t>
      </w:r>
      <w:r w:rsidRPr="00032E3B">
        <w:rPr>
          <w:rFonts w:ascii="Arial" w:hAnsi="Arial" w:cs="Arial"/>
          <w:sz w:val="16"/>
          <w:szCs w:val="16"/>
          <w:lang w:val="pt-PT"/>
        </w:rPr>
        <w:t xml:space="preserve"> disponíveis do projecto, não permitem quantificar o número total de trabalhadores que serão necessários para a implementação das diferentes actividades do projecto.</w:t>
      </w:r>
    </w:p>
  </w:footnote>
  <w:footnote w:id="15">
    <w:p w14:paraId="6C0C650B" w14:textId="77777777" w:rsidR="00857196" w:rsidRPr="00032E3B" w:rsidRDefault="00857196" w:rsidP="00B31AE2">
      <w:pPr>
        <w:spacing w:after="0"/>
        <w:ind w:left="-105"/>
        <w:rPr>
          <w:rFonts w:ascii="Arial" w:hAnsi="Arial" w:cs="Arial"/>
          <w:sz w:val="16"/>
          <w:szCs w:val="18"/>
          <w:lang w:val="pt-PT"/>
        </w:rPr>
      </w:pPr>
      <w:r w:rsidRPr="00501BBD">
        <w:rPr>
          <w:rStyle w:val="FootnoteReference"/>
          <w:rFonts w:ascii="Arial" w:hAnsi="Arial" w:cs="Arial"/>
          <w:sz w:val="16"/>
          <w:szCs w:val="18"/>
        </w:rPr>
        <w:footnoteRef/>
      </w:r>
      <w:r w:rsidRPr="00032E3B">
        <w:rPr>
          <w:rFonts w:ascii="Arial" w:hAnsi="Arial" w:cs="Arial"/>
          <w:sz w:val="16"/>
          <w:szCs w:val="18"/>
          <w:lang w:val="pt-PT"/>
        </w:rPr>
        <w:t xml:space="preserve"> </w:t>
      </w:r>
      <w:r w:rsidRPr="00032E3B">
        <w:rPr>
          <w:rFonts w:ascii="Arial" w:hAnsi="Arial" w:cs="Arial"/>
          <w:sz w:val="16"/>
          <w:szCs w:val="18"/>
          <w:lang w:val="pt-PT"/>
        </w:rPr>
        <w:t>O projecto não prevê nenhuma forma de contratação dos funcionários públicos, a não ser que estejam desligados ou desvinculados do Estado.</w:t>
      </w:r>
    </w:p>
  </w:footnote>
  <w:footnote w:id="16">
    <w:p w14:paraId="328D46DD" w14:textId="77777777" w:rsidR="00857196" w:rsidRPr="004500AE" w:rsidRDefault="00857196" w:rsidP="00B31AE2">
      <w:pPr>
        <w:spacing w:after="0"/>
        <w:ind w:left="-105"/>
        <w:rPr>
          <w:rFonts w:ascii="Arial" w:eastAsia="Times New Roman" w:hAnsi="Arial" w:cs="Arial"/>
          <w:sz w:val="16"/>
          <w:szCs w:val="18"/>
          <w:lang w:val="pt-PT"/>
        </w:rPr>
      </w:pPr>
      <w:r w:rsidRPr="00501BBD">
        <w:rPr>
          <w:rStyle w:val="FootnoteReference"/>
          <w:rFonts w:ascii="Arial" w:hAnsi="Arial" w:cs="Arial"/>
          <w:sz w:val="16"/>
          <w:szCs w:val="18"/>
        </w:rPr>
        <w:footnoteRef/>
      </w:r>
      <w:r w:rsidRPr="00032E3B">
        <w:rPr>
          <w:rFonts w:ascii="Arial" w:hAnsi="Arial" w:cs="Arial"/>
          <w:sz w:val="16"/>
          <w:szCs w:val="18"/>
          <w:lang w:val="pt-PT"/>
        </w:rPr>
        <w:t xml:space="preserve"> </w:t>
      </w:r>
      <w:r w:rsidRPr="00032E3B">
        <w:rPr>
          <w:rFonts w:ascii="Arial" w:eastAsia="Times New Roman" w:hAnsi="Arial" w:cs="Arial"/>
          <w:sz w:val="16"/>
          <w:szCs w:val="18"/>
          <w:lang w:val="pt-PT"/>
        </w:rPr>
        <w:t xml:space="preserve">De forma geral, não se espera grandes riscos </w:t>
      </w:r>
      <w:r w:rsidRPr="00032E3B">
        <w:rPr>
          <w:rFonts w:ascii="Arial" w:eastAsia="Times New Roman" w:hAnsi="Arial" w:cs="Arial"/>
          <w:sz w:val="16"/>
          <w:szCs w:val="18"/>
          <w:lang w:val="pt-PT"/>
        </w:rPr>
        <w:t xml:space="preserve">relativos aos trabalhadores directos. </w:t>
      </w:r>
      <w:r w:rsidRPr="004500AE">
        <w:rPr>
          <w:rFonts w:ascii="Arial" w:eastAsia="Times New Roman" w:hAnsi="Arial" w:cs="Arial"/>
          <w:sz w:val="16"/>
          <w:szCs w:val="18"/>
          <w:lang w:val="pt-PT"/>
        </w:rPr>
        <w:t xml:space="preserve">Os riscos mais frequentes são comportamentais: </w:t>
      </w:r>
    </w:p>
    <w:p w14:paraId="70E46D77" w14:textId="77777777" w:rsidR="00857196" w:rsidRPr="00032E3B" w:rsidRDefault="00857196" w:rsidP="00AE14AE">
      <w:pPr>
        <w:pStyle w:val="ListParagraph"/>
        <w:numPr>
          <w:ilvl w:val="0"/>
          <w:numId w:val="127"/>
        </w:numPr>
        <w:spacing w:before="0" w:after="0"/>
        <w:ind w:left="270" w:hanging="270"/>
        <w:rPr>
          <w:rFonts w:ascii="Arial" w:eastAsia="Times New Roman" w:hAnsi="Arial" w:cs="Arial"/>
          <w:sz w:val="16"/>
          <w:szCs w:val="18"/>
          <w:lang w:val="pt-PT"/>
        </w:rPr>
      </w:pPr>
      <w:r w:rsidRPr="00032E3B">
        <w:rPr>
          <w:rFonts w:ascii="Arial" w:eastAsia="Times New Roman" w:hAnsi="Arial" w:cs="Arial"/>
          <w:sz w:val="16"/>
          <w:szCs w:val="18"/>
          <w:lang w:val="pt-PT"/>
        </w:rPr>
        <w:t>Conflitos entre funcionários públicos e consultores internos/técnicos contratados pela UIP - cria impacto negativo ao Projecto devido a:</w:t>
      </w:r>
    </w:p>
    <w:p w14:paraId="06485EA0" w14:textId="77777777" w:rsidR="00857196" w:rsidRPr="00032E3B" w:rsidRDefault="00857196" w:rsidP="00AE14AE">
      <w:pPr>
        <w:pStyle w:val="ListParagraph"/>
        <w:numPr>
          <w:ilvl w:val="1"/>
          <w:numId w:val="127"/>
        </w:numPr>
        <w:spacing w:before="0" w:after="0"/>
        <w:ind w:left="630" w:hanging="270"/>
        <w:rPr>
          <w:rFonts w:ascii="Arial" w:eastAsia="Times New Roman" w:hAnsi="Arial" w:cs="Arial"/>
          <w:sz w:val="16"/>
          <w:szCs w:val="18"/>
          <w:lang w:val="pt-PT"/>
        </w:rPr>
      </w:pPr>
      <w:r w:rsidRPr="00032E3B">
        <w:rPr>
          <w:rFonts w:ascii="Arial" w:eastAsia="Times New Roman" w:hAnsi="Arial" w:cs="Arial"/>
          <w:sz w:val="16"/>
          <w:szCs w:val="18"/>
          <w:lang w:val="pt-PT"/>
        </w:rPr>
        <w:t>Fraca coordenação - o Projecto pode funcionar de forma isolada (como “ilha”), havendo descontinuidade após o término do financiamento/saída dos consultores.</w:t>
      </w:r>
    </w:p>
    <w:p w14:paraId="2162E549" w14:textId="77777777" w:rsidR="00857196" w:rsidRPr="00032E3B" w:rsidRDefault="00857196" w:rsidP="00AE14AE">
      <w:pPr>
        <w:pStyle w:val="ListParagraph"/>
        <w:numPr>
          <w:ilvl w:val="1"/>
          <w:numId w:val="127"/>
        </w:numPr>
        <w:spacing w:before="0" w:after="0"/>
        <w:ind w:left="630" w:hanging="270"/>
        <w:rPr>
          <w:rFonts w:ascii="Arial" w:eastAsia="Times New Roman" w:hAnsi="Arial" w:cs="Arial"/>
          <w:sz w:val="16"/>
          <w:szCs w:val="18"/>
          <w:lang w:val="pt-PT"/>
        </w:rPr>
      </w:pPr>
      <w:r w:rsidRPr="00032E3B">
        <w:rPr>
          <w:rFonts w:ascii="Arial" w:eastAsia="Times New Roman" w:hAnsi="Arial" w:cs="Arial"/>
          <w:sz w:val="16"/>
          <w:szCs w:val="18"/>
          <w:lang w:val="pt-PT"/>
        </w:rPr>
        <w:t xml:space="preserve"> Barreiras às actividades desenvolvidas pelos consultores, de modo a influenciar negativamente no seu desempenho.</w:t>
      </w:r>
    </w:p>
    <w:p w14:paraId="6A02EE18" w14:textId="77777777" w:rsidR="00857196" w:rsidRPr="00032E3B" w:rsidRDefault="00857196" w:rsidP="00AE14AE">
      <w:pPr>
        <w:pStyle w:val="ListParagraph"/>
        <w:numPr>
          <w:ilvl w:val="1"/>
          <w:numId w:val="127"/>
        </w:numPr>
        <w:spacing w:before="0" w:after="0"/>
        <w:ind w:left="630" w:hanging="270"/>
        <w:rPr>
          <w:rFonts w:ascii="Arial" w:eastAsia="Times New Roman" w:hAnsi="Arial" w:cs="Arial"/>
          <w:sz w:val="16"/>
          <w:szCs w:val="18"/>
          <w:lang w:val="pt-PT"/>
        </w:rPr>
      </w:pPr>
      <w:r w:rsidRPr="00032E3B">
        <w:rPr>
          <w:rFonts w:ascii="Arial" w:eastAsia="Times New Roman" w:hAnsi="Arial" w:cs="Arial"/>
          <w:sz w:val="16"/>
          <w:szCs w:val="18"/>
          <w:lang w:val="pt-PT"/>
        </w:rPr>
        <w:t>Pagamento atrasado e intencional de honorários e outras solicitações feitas pelos consultores (ex. de condições para deslocações ao campo) - para os desmotivar.</w:t>
      </w:r>
    </w:p>
    <w:p w14:paraId="0D7500FD" w14:textId="77777777" w:rsidR="00857196" w:rsidRPr="00032E3B" w:rsidRDefault="00857196" w:rsidP="00AE14AE">
      <w:pPr>
        <w:pStyle w:val="ListParagraph"/>
        <w:numPr>
          <w:ilvl w:val="0"/>
          <w:numId w:val="127"/>
        </w:numPr>
        <w:spacing w:before="0" w:after="0"/>
        <w:ind w:left="270" w:hanging="270"/>
        <w:rPr>
          <w:rFonts w:ascii="Arial" w:eastAsia="Times New Roman" w:hAnsi="Arial" w:cs="Arial"/>
          <w:sz w:val="16"/>
          <w:szCs w:val="18"/>
          <w:lang w:val="pt-PT"/>
        </w:rPr>
      </w:pPr>
      <w:r w:rsidRPr="00032E3B">
        <w:rPr>
          <w:rFonts w:ascii="Arial" w:eastAsia="Times New Roman" w:hAnsi="Arial" w:cs="Arial"/>
          <w:sz w:val="16"/>
          <w:szCs w:val="18"/>
          <w:lang w:val="pt-PT"/>
        </w:rPr>
        <w:t>A natureza do contracto temporário, cria susceptibilidade de a) perda de foco no trabalho para procurar outros empregos considerados “mais seguros”; b) desvinculações prematuras com impacto negativo ao Projecto.</w:t>
      </w:r>
    </w:p>
    <w:p w14:paraId="5CB39D76" w14:textId="77777777" w:rsidR="00857196" w:rsidRPr="00032E3B" w:rsidRDefault="00857196" w:rsidP="00B31AE2">
      <w:pPr>
        <w:spacing w:after="0"/>
        <w:ind w:left="-105"/>
        <w:rPr>
          <w:rFonts w:cs="Calibri"/>
          <w:sz w:val="18"/>
          <w:szCs w:val="18"/>
          <w:lang w:val="pt-PT"/>
        </w:rPr>
      </w:pPr>
      <w:r w:rsidRPr="00032E3B">
        <w:rPr>
          <w:rFonts w:ascii="Arial" w:eastAsia="Times New Roman" w:hAnsi="Arial" w:cs="Arial"/>
          <w:sz w:val="16"/>
          <w:szCs w:val="18"/>
          <w:lang w:val="pt-PT"/>
        </w:rPr>
        <w:t>Estes riscos, são geridos com um bom programa de liderança, motivação e capacitação das equipas envolvidas.</w:t>
      </w:r>
    </w:p>
  </w:footnote>
  <w:footnote w:id="17">
    <w:p w14:paraId="71AC9081" w14:textId="77777777" w:rsidR="00857196" w:rsidRPr="00032E3B" w:rsidRDefault="00857196" w:rsidP="00B31AE2">
      <w:pPr>
        <w:spacing w:after="0"/>
        <w:ind w:left="-105"/>
        <w:rPr>
          <w:rFonts w:ascii="Arial" w:hAnsi="Arial" w:cs="Arial"/>
          <w:lang w:val="pt-PT"/>
        </w:rPr>
      </w:pPr>
      <w:r w:rsidRPr="00501BBD">
        <w:rPr>
          <w:rStyle w:val="FootnoteReference"/>
          <w:rFonts w:ascii="Arial" w:hAnsi="Arial" w:cs="Arial"/>
          <w:sz w:val="16"/>
          <w:szCs w:val="18"/>
        </w:rPr>
        <w:footnoteRef/>
      </w:r>
      <w:r w:rsidRPr="00032E3B">
        <w:rPr>
          <w:rFonts w:ascii="Arial" w:hAnsi="Arial" w:cs="Arial"/>
          <w:sz w:val="16"/>
          <w:szCs w:val="18"/>
          <w:lang w:val="pt-PT"/>
        </w:rPr>
        <w:t xml:space="preserve"> O </w:t>
      </w:r>
      <w:r w:rsidRPr="00032E3B">
        <w:rPr>
          <w:rFonts w:ascii="Arial" w:eastAsia="Times New Roman" w:hAnsi="Arial" w:cs="Arial"/>
          <w:sz w:val="16"/>
          <w:szCs w:val="18"/>
          <w:lang w:val="pt-PT"/>
        </w:rPr>
        <w:t>risco</w:t>
      </w:r>
      <w:r w:rsidRPr="00032E3B">
        <w:rPr>
          <w:rFonts w:ascii="Arial" w:hAnsi="Arial" w:cs="Arial"/>
          <w:sz w:val="16"/>
          <w:szCs w:val="18"/>
          <w:lang w:val="pt-PT"/>
        </w:rPr>
        <w:t xml:space="preserve"> de exposição a COVID-19 e está patente em todas as categorias de trabalhadores, devendo se tomar medidas para mitigar o risco de forma generalizada.</w:t>
      </w:r>
    </w:p>
  </w:footnote>
  <w:footnote w:id="18">
    <w:p w14:paraId="0430A080" w14:textId="77777777" w:rsidR="00857196" w:rsidRPr="00032E3B" w:rsidRDefault="00857196" w:rsidP="00B31AE2">
      <w:pPr>
        <w:pStyle w:val="FootnoteText"/>
        <w:rPr>
          <w:rFonts w:cs="Calibri"/>
          <w:sz w:val="18"/>
          <w:lang w:val="pt-PT"/>
        </w:rPr>
      </w:pPr>
      <w:r w:rsidRPr="00B31AE2">
        <w:rPr>
          <w:rStyle w:val="FootnoteReference"/>
          <w:rFonts w:cs="Calibri"/>
          <w:sz w:val="18"/>
        </w:rPr>
        <w:footnoteRef/>
      </w:r>
      <w:r w:rsidRPr="00032E3B">
        <w:rPr>
          <w:rFonts w:cs="Calibri"/>
          <w:sz w:val="18"/>
          <w:lang w:val="pt-PT"/>
        </w:rPr>
        <w:t xml:space="preserve"> Geralmente, quem sabe ler nas línguas vernaculares também o sabe na língua portuguesa pois esta última é o idioma com que se aprende a ler.</w:t>
      </w:r>
    </w:p>
  </w:footnote>
  <w:footnote w:id="19">
    <w:p w14:paraId="5889F6E3" w14:textId="77777777" w:rsidR="00857196" w:rsidRPr="00032E3B" w:rsidRDefault="00857196" w:rsidP="00B31AE2">
      <w:pPr>
        <w:pStyle w:val="FootnoteText"/>
        <w:rPr>
          <w:rFonts w:ascii="Arial" w:hAnsi="Arial" w:cs="Arial"/>
          <w:sz w:val="16"/>
          <w:szCs w:val="16"/>
          <w:lang w:val="pt-PT"/>
        </w:rPr>
      </w:pPr>
      <w:r w:rsidRPr="007F3F11">
        <w:rPr>
          <w:rStyle w:val="FootnoteReference"/>
          <w:rFonts w:ascii="Arial" w:hAnsi="Arial" w:cs="Arial"/>
          <w:sz w:val="16"/>
          <w:szCs w:val="16"/>
        </w:rPr>
        <w:footnoteRef/>
      </w:r>
      <w:r w:rsidRPr="00032E3B">
        <w:rPr>
          <w:rFonts w:ascii="Arial" w:hAnsi="Arial" w:cs="Arial"/>
          <w:sz w:val="16"/>
          <w:szCs w:val="16"/>
          <w:lang w:val="pt-PT"/>
        </w:rPr>
        <w:t xml:space="preserve"> Está comprovado que nos casos em que ocorrem atendimentos leves de emergência e quase acidentes e não são reportados, ou </w:t>
      </w:r>
      <w:r w:rsidRPr="00032E3B">
        <w:rPr>
          <w:rFonts w:ascii="Arial" w:hAnsi="Arial" w:cs="Arial"/>
          <w:sz w:val="16"/>
          <w:szCs w:val="16"/>
          <w:lang w:val="pt-PT"/>
        </w:rPr>
        <w:t>quando nenhuma medida correctiva ou preventiva é tomada, a probabilidade de ocorrência de acidentes mais graves é maior.</w:t>
      </w:r>
    </w:p>
  </w:footnote>
  <w:footnote w:id="20">
    <w:p w14:paraId="3FD138A2" w14:textId="77777777" w:rsidR="00857196" w:rsidRPr="00032E3B" w:rsidRDefault="00857196" w:rsidP="00B31AE2">
      <w:pPr>
        <w:pStyle w:val="FootnoteText"/>
        <w:rPr>
          <w:rFonts w:ascii="Arial" w:hAnsi="Arial" w:cs="Arial"/>
          <w:sz w:val="16"/>
          <w:szCs w:val="16"/>
          <w:lang w:val="pt-PT"/>
        </w:rPr>
      </w:pPr>
      <w:r w:rsidRPr="00501BBD">
        <w:rPr>
          <w:rStyle w:val="FootnoteReference"/>
          <w:rFonts w:ascii="Arial" w:hAnsi="Arial" w:cs="Arial"/>
          <w:sz w:val="16"/>
          <w:szCs w:val="16"/>
        </w:rPr>
        <w:footnoteRef/>
      </w:r>
      <w:r w:rsidRPr="00032E3B">
        <w:rPr>
          <w:rFonts w:ascii="Arial" w:hAnsi="Arial" w:cs="Arial"/>
          <w:sz w:val="16"/>
          <w:szCs w:val="16"/>
          <w:lang w:val="pt-PT"/>
        </w:rPr>
        <w:t xml:space="preserve">  </w:t>
      </w:r>
      <w:r w:rsidRPr="00032E3B">
        <w:rPr>
          <w:rFonts w:ascii="Arial" w:hAnsi="Arial" w:cs="Arial"/>
          <w:sz w:val="16"/>
          <w:szCs w:val="16"/>
          <w:lang w:val="pt-PT"/>
        </w:rPr>
        <w:t>O Nr 4 do Artigo 197 da Lei do Trabalho (Lei n. 23/2007) estipula que “durante a vigência de instrumentos de regulamentação colectiva, os trabalhadores não devem recorrer à greve, senão em face de graves violações por parte do empregador e só depois de esgotados [os mecanismos alternativos de resolução de conflitos]”.</w:t>
      </w:r>
    </w:p>
  </w:footnote>
  <w:footnote w:id="21">
    <w:p w14:paraId="58767458" w14:textId="77777777" w:rsidR="00857196" w:rsidRPr="00032E3B" w:rsidRDefault="00857196" w:rsidP="00B31AE2">
      <w:pPr>
        <w:pStyle w:val="FootnoteText"/>
        <w:rPr>
          <w:rFonts w:ascii="Arial" w:hAnsi="Arial" w:cs="Arial"/>
          <w:sz w:val="16"/>
          <w:szCs w:val="16"/>
          <w:lang w:val="pt-PT"/>
        </w:rPr>
      </w:pPr>
      <w:r w:rsidRPr="00B31AE2">
        <w:rPr>
          <w:rStyle w:val="FootnoteReference"/>
          <w:rFonts w:ascii="Arial" w:eastAsia="Times New Roman" w:hAnsi="Arial" w:cs="Arial"/>
          <w:sz w:val="16"/>
          <w:szCs w:val="16"/>
        </w:rPr>
        <w:footnoteRef/>
      </w:r>
      <w:r w:rsidRPr="00032E3B">
        <w:rPr>
          <w:rFonts w:ascii="Arial" w:hAnsi="Arial" w:cs="Arial"/>
          <w:sz w:val="16"/>
          <w:szCs w:val="16"/>
          <w:lang w:val="pt-PT"/>
        </w:rPr>
        <w:t xml:space="preserve"> Violência baseada no género </w:t>
      </w:r>
      <w:r w:rsidRPr="00032E3B">
        <w:rPr>
          <w:rFonts w:ascii="Arial" w:hAnsi="Arial" w:cs="Arial"/>
          <w:sz w:val="16"/>
          <w:szCs w:val="16"/>
          <w:lang w:val="pt-PT"/>
        </w:rPr>
        <w:t xml:space="preserve">(VBG) é qualquer acto prejudicial que seja perpetrado contra a vontade de uma pessoa e que se baseia em diferenças socialmente atribuídas (ou seja, género) entre homens e mulheres. Inclui actos que infligem danos ou sofrimento físico, violência sexual ou mental, ameaças de tais actos, coacções e outras privações de liberdade. Esses actos podem ocorrer em público ou em privado. </w:t>
      </w:r>
    </w:p>
    <w:p w14:paraId="535A3779" w14:textId="77777777" w:rsidR="00857196" w:rsidRPr="00032E3B" w:rsidRDefault="00857196" w:rsidP="00B31AE2">
      <w:pPr>
        <w:pStyle w:val="FootnoteText"/>
        <w:rPr>
          <w:rFonts w:ascii="Arial" w:hAnsi="Arial" w:cs="Arial"/>
          <w:sz w:val="16"/>
          <w:szCs w:val="16"/>
          <w:lang w:val="pt-PT"/>
        </w:rPr>
      </w:pPr>
      <w:r w:rsidRPr="00032E3B">
        <w:rPr>
          <w:rFonts w:ascii="Arial" w:hAnsi="Arial" w:cs="Arial"/>
          <w:sz w:val="16"/>
          <w:szCs w:val="16"/>
          <w:lang w:val="pt-PT"/>
        </w:rPr>
        <w:t>VBG pode afectar qualquer pessoa, incluindo as que não se reconhecem nas dimensões tradicionais/estereótipos de género, no entanto, a grande maioria de casos de VBG diz respeito à mulheres e é perpetrada maioritariamente por homens, o que em certos casos tende a ser associada à violência contra mulheres e raparigas.</w:t>
      </w:r>
    </w:p>
  </w:footnote>
  <w:footnote w:id="22">
    <w:p w14:paraId="470EFF30" w14:textId="77777777" w:rsidR="00857196" w:rsidRPr="00032E3B" w:rsidRDefault="00857196" w:rsidP="00B31AE2">
      <w:pPr>
        <w:pStyle w:val="FootnoteText"/>
        <w:rPr>
          <w:lang w:val="pt-PT"/>
        </w:rPr>
      </w:pPr>
      <w:r w:rsidRPr="00501BBD">
        <w:rPr>
          <w:rStyle w:val="FootnoteReference"/>
          <w:rFonts w:ascii="Arial" w:hAnsi="Arial" w:cs="Arial"/>
          <w:sz w:val="16"/>
          <w:szCs w:val="16"/>
        </w:rPr>
        <w:footnoteRef/>
      </w:r>
      <w:r w:rsidRPr="00032E3B">
        <w:rPr>
          <w:rFonts w:ascii="Arial" w:hAnsi="Arial" w:cs="Arial"/>
          <w:sz w:val="16"/>
          <w:szCs w:val="16"/>
          <w:lang w:val="pt-PT"/>
        </w:rPr>
        <w:t xml:space="preserve"> </w:t>
      </w:r>
      <w:r w:rsidRPr="00032E3B">
        <w:rPr>
          <w:rFonts w:ascii="Arial" w:hAnsi="Arial" w:cs="Arial"/>
          <w:sz w:val="16"/>
          <w:szCs w:val="16"/>
          <w:lang w:val="pt-PT"/>
        </w:rPr>
        <w:t>Os canais de recepção de reclamações sensíveis e relacionadas a VBG serão previamente mapeados pela UIP ao nível do distrito como parte da estratégia de comunicação do Projecto e devem ser previamente preparados e capacitados para receber este tipo de queixa, considerando o grau de confidencialidade e a necessidade de encaminhar as vítimas para instituições de apoio.</w:t>
      </w:r>
    </w:p>
  </w:footnote>
  <w:footnote w:id="23">
    <w:p w14:paraId="2560B34C" w14:textId="77777777" w:rsidR="00857196" w:rsidRPr="00032E3B" w:rsidRDefault="00857196" w:rsidP="00B31AE2">
      <w:pPr>
        <w:pStyle w:val="FootnoteText"/>
        <w:rPr>
          <w:rFonts w:ascii="Arial" w:eastAsia="Calibri" w:hAnsi="Arial" w:cs="Arial"/>
          <w:sz w:val="16"/>
          <w:lang w:val="pt-PT"/>
        </w:rPr>
      </w:pPr>
      <w:r>
        <w:rPr>
          <w:rStyle w:val="FootnoteReference"/>
          <w:sz w:val="16"/>
          <w:szCs w:val="16"/>
        </w:rPr>
        <w:footnoteRef/>
      </w:r>
      <w:r w:rsidRPr="00032E3B">
        <w:rPr>
          <w:sz w:val="16"/>
          <w:szCs w:val="16"/>
          <w:lang w:val="pt-PT"/>
        </w:rPr>
        <w:t xml:space="preserve"> Os números e os aparelhos de telefone devem ser da Empresa e não pessoais. Devem estar sempre ligados e deve se dar abertura aos reclamantes </w:t>
      </w:r>
      <w:r w:rsidRPr="00032E3B">
        <w:rPr>
          <w:sz w:val="16"/>
          <w:szCs w:val="16"/>
          <w:lang w:val="pt-PT"/>
        </w:rPr>
        <w:t>em mandar “bip” “mbip” ou “sms” e receberem uma chamada de retorno em manos de 24 horas, por forma a</w:t>
      </w:r>
      <w:r w:rsidRPr="00032E3B">
        <w:rPr>
          <w:sz w:val="16"/>
          <w:lang w:val="pt-PT"/>
        </w:rPr>
        <w:t xml:space="preserve"> garantir um sistema de reclamações sem custo para o reclamante.</w:t>
      </w:r>
    </w:p>
  </w:footnote>
  <w:footnote w:id="24">
    <w:p w14:paraId="09CB42CE" w14:textId="77777777" w:rsidR="00857196" w:rsidRPr="00032E3B" w:rsidRDefault="00857196" w:rsidP="00B31AE2">
      <w:pPr>
        <w:pStyle w:val="FootnoteText"/>
        <w:rPr>
          <w:lang w:val="pt-PT"/>
        </w:rPr>
      </w:pPr>
      <w:r>
        <w:rPr>
          <w:rStyle w:val="FootnoteReference"/>
        </w:rPr>
        <w:footnoteRef/>
      </w:r>
      <w:r w:rsidRPr="00032E3B">
        <w:rPr>
          <w:lang w:val="pt-PT"/>
        </w:rPr>
        <w:t xml:space="preserve"> </w:t>
      </w:r>
      <w:r w:rsidRPr="00032E3B">
        <w:rPr>
          <w:rFonts w:eastAsia="Calibri" w:cs="Calibri"/>
          <w:lang w:val="pt-PT"/>
        </w:rPr>
        <w:t>Esta não é uma lista exaustiva ou exclusiva e certas definições que são apresentadas não são as únicas, sendo elas usadas para efeitos deste documento.</w:t>
      </w:r>
    </w:p>
  </w:footnote>
  <w:footnote w:id="25">
    <w:p w14:paraId="55CE844B" w14:textId="77777777" w:rsidR="00857196" w:rsidRPr="00032E3B" w:rsidRDefault="00857196" w:rsidP="00B31AE2">
      <w:pPr>
        <w:pStyle w:val="FootnoteText"/>
        <w:rPr>
          <w:sz w:val="16"/>
          <w:lang w:val="pt-PT"/>
        </w:rPr>
      </w:pPr>
      <w:r w:rsidRPr="002D513E">
        <w:rPr>
          <w:rStyle w:val="FootnoteReference"/>
          <w:sz w:val="16"/>
        </w:rPr>
        <w:footnoteRef/>
      </w:r>
      <w:r w:rsidRPr="00032E3B">
        <w:rPr>
          <w:sz w:val="16"/>
          <w:lang w:val="pt-PT"/>
        </w:rPr>
        <w:t xml:space="preserve"> Consentimento é uma escolha informada subjacente à intenção, aceitação ou acordo voluntário de um indivíduo para fazer algo. A falta de consentimento pode acontecer quando tal aceitação ou acordo é obtido por ameaças, força, ou outras formas de </w:t>
      </w:r>
      <w:r w:rsidRPr="00032E3B">
        <w:rPr>
          <w:sz w:val="16"/>
          <w:lang w:val="pt-PT"/>
        </w:rPr>
        <w:t>coerção, abdução, fraude, decepção ou falsas declarações. De acordo com a Convenção das Nações Unidas sobre os Direitos da Criança, o Banco Mundial considera que o consentimento não pode ser dado por crianças menores de 18 anos, mesmo que a legislação nacional do país em que o código de conduta seja introduzido tenha uma idade mais baixa. A crença equivocada sobre a idade da criança e o consentimento da criança não é uma defesa.</w:t>
      </w:r>
    </w:p>
  </w:footnote>
  <w:footnote w:id="26">
    <w:p w14:paraId="6EB61892" w14:textId="77777777" w:rsidR="00857196" w:rsidRPr="00032E3B" w:rsidRDefault="00857196" w:rsidP="00B31AE2">
      <w:pPr>
        <w:pStyle w:val="FootnoteText"/>
        <w:rPr>
          <w:rFonts w:ascii="Arial" w:hAnsi="Arial" w:cs="Arial"/>
          <w:sz w:val="16"/>
          <w:lang w:val="pt-PT"/>
        </w:rPr>
      </w:pPr>
      <w:r w:rsidRPr="00FB4BF0">
        <w:rPr>
          <w:rFonts w:ascii="Arial" w:hAnsi="Arial" w:cs="Arial"/>
          <w:sz w:val="16"/>
          <w:vertAlign w:val="superscript"/>
        </w:rPr>
        <w:footnoteRef/>
      </w:r>
      <w:r w:rsidRPr="00032E3B">
        <w:rPr>
          <w:rFonts w:ascii="Arial" w:hAnsi="Arial" w:cs="Arial"/>
          <w:sz w:val="16"/>
          <w:lang w:val="pt-PT"/>
        </w:rPr>
        <w:t xml:space="preserve"> Alegação é o procedimento prescrito a seguir a relatar incidentes.</w:t>
      </w:r>
    </w:p>
  </w:footnote>
  <w:footnote w:id="27">
    <w:p w14:paraId="5AD98562" w14:textId="77777777" w:rsidR="00857196" w:rsidRPr="00032E3B" w:rsidRDefault="00857196" w:rsidP="00B31AE2">
      <w:pPr>
        <w:pStyle w:val="FootnoteText"/>
        <w:rPr>
          <w:rFonts w:ascii="Arial" w:hAnsi="Arial" w:cs="Arial"/>
          <w:sz w:val="16"/>
          <w:lang w:val="pt-PT"/>
        </w:rPr>
      </w:pPr>
      <w:r w:rsidRPr="00FB4BF0">
        <w:rPr>
          <w:rFonts w:ascii="Arial" w:hAnsi="Arial" w:cs="Arial"/>
          <w:sz w:val="16"/>
          <w:vertAlign w:val="superscript"/>
        </w:rPr>
        <w:footnoteRef/>
      </w:r>
      <w:r w:rsidRPr="00032E3B">
        <w:rPr>
          <w:rFonts w:ascii="Arial" w:hAnsi="Arial" w:cs="Arial"/>
          <w:sz w:val="16"/>
          <w:lang w:val="pt-PT"/>
        </w:rPr>
        <w:t xml:space="preserve"> Mecanismo de Gestão de Reclamações é o </w:t>
      </w:r>
      <w:r w:rsidRPr="00032E3B">
        <w:rPr>
          <w:rFonts w:ascii="Arial" w:hAnsi="Arial" w:cs="Arial"/>
          <w:sz w:val="16"/>
          <w:lang w:val="pt-PT"/>
        </w:rPr>
        <w:t>processo estabelecido pelo projecto para receber e resolver reclamações.</w:t>
      </w:r>
    </w:p>
  </w:footnote>
  <w:footnote w:id="28">
    <w:p w14:paraId="65DEF39D" w14:textId="77777777" w:rsidR="00857196" w:rsidRPr="00032E3B" w:rsidRDefault="00857196" w:rsidP="00B31AE2">
      <w:pPr>
        <w:pStyle w:val="FootnoteText"/>
        <w:rPr>
          <w:rFonts w:ascii="Arial" w:hAnsi="Arial" w:cs="Arial"/>
          <w:sz w:val="16"/>
          <w:lang w:val="pt-PT"/>
        </w:rPr>
      </w:pPr>
      <w:r w:rsidRPr="00FB4BF0">
        <w:rPr>
          <w:rFonts w:ascii="Arial" w:hAnsi="Arial" w:cs="Arial"/>
          <w:sz w:val="16"/>
          <w:vertAlign w:val="superscript"/>
        </w:rPr>
        <w:footnoteRef/>
      </w:r>
      <w:r w:rsidRPr="00032E3B">
        <w:rPr>
          <w:rFonts w:ascii="Arial" w:hAnsi="Arial" w:cs="Arial"/>
          <w:sz w:val="16"/>
          <w:lang w:val="pt-PT"/>
        </w:rPr>
        <w:t xml:space="preserve"> Sobrevivente é a pessoa </w:t>
      </w:r>
      <w:r w:rsidRPr="00032E3B">
        <w:rPr>
          <w:rFonts w:ascii="Arial" w:hAnsi="Arial" w:cs="Arial"/>
          <w:sz w:val="16"/>
          <w:lang w:val="pt-PT"/>
        </w:rPr>
        <w:t>/ pessoas negativamente afectadas pela VBG ou VCC. Mulheres e homens podem ser sobreviventes da VBG; crianças podem ser sobreviventes da VCC.</w:t>
      </w:r>
    </w:p>
  </w:footnote>
  <w:footnote w:id="29">
    <w:p w14:paraId="3534C745" w14:textId="77777777" w:rsidR="00857196" w:rsidRPr="00032E3B" w:rsidRDefault="00857196" w:rsidP="00B31AE2">
      <w:pPr>
        <w:pStyle w:val="FootnoteText"/>
        <w:rPr>
          <w:lang w:val="pt-PT"/>
        </w:rPr>
      </w:pPr>
      <w:r w:rsidRPr="00FB4BF0">
        <w:rPr>
          <w:rFonts w:ascii="Arial" w:hAnsi="Arial" w:cs="Arial"/>
          <w:sz w:val="16"/>
          <w:vertAlign w:val="superscript"/>
        </w:rPr>
        <w:footnoteRef/>
      </w:r>
      <w:r w:rsidRPr="00032E3B">
        <w:rPr>
          <w:rFonts w:ascii="Arial" w:hAnsi="Arial" w:cs="Arial"/>
          <w:sz w:val="16"/>
          <w:lang w:val="pt-PT"/>
        </w:rPr>
        <w:t xml:space="preserve"> Perpetrador é a pessoa que comete ou </w:t>
      </w:r>
      <w:r w:rsidRPr="00032E3B">
        <w:rPr>
          <w:rFonts w:ascii="Arial" w:hAnsi="Arial" w:cs="Arial"/>
          <w:sz w:val="16"/>
          <w:lang w:val="pt-PT"/>
        </w:rPr>
        <w:t>ameaça cometer um acto de VBG ou VCC</w:t>
      </w:r>
    </w:p>
  </w:footnote>
  <w:footnote w:id="30">
    <w:p w14:paraId="44CD77DC" w14:textId="77777777" w:rsidR="00857196" w:rsidRPr="00032E3B" w:rsidRDefault="00857196" w:rsidP="00B31AE2">
      <w:pPr>
        <w:pStyle w:val="FootnoteText"/>
        <w:rPr>
          <w:rStyle w:val="FootnoteReference"/>
          <w:rFonts w:cs="Calibri"/>
          <w:sz w:val="16"/>
          <w:szCs w:val="18"/>
          <w:lang w:val="pt-PT"/>
        </w:rPr>
      </w:pPr>
      <w:r w:rsidRPr="00FB4BF0">
        <w:rPr>
          <w:rFonts w:ascii="Arial" w:hAnsi="Arial" w:cs="Arial"/>
          <w:vertAlign w:val="superscript"/>
        </w:rPr>
        <w:footnoteRef/>
      </w:r>
      <w:r w:rsidRPr="00032E3B">
        <w:rPr>
          <w:rFonts w:ascii="Arial" w:hAnsi="Arial" w:cs="Arial"/>
          <w:sz w:val="16"/>
          <w:vertAlign w:val="superscript"/>
          <w:lang w:val="pt-PT"/>
        </w:rPr>
        <w:t xml:space="preserve"> </w:t>
      </w:r>
      <w:r w:rsidRPr="00032E3B">
        <w:rPr>
          <w:rFonts w:ascii="Arial" w:hAnsi="Arial" w:cs="Arial"/>
          <w:sz w:val="16"/>
          <w:lang w:val="pt-PT"/>
        </w:rPr>
        <w:t xml:space="preserve">O consentimento é definido como a escolha informada subjacente à intenção, aceitação ou concordância voluntária de um indivíduo de fazer algo. Nenhum consentimento pode ser encontrado quando tal aceitação ou acordo é obtido através do uso de ameaças, força ou outras formas de </w:t>
      </w:r>
      <w:r w:rsidRPr="00032E3B">
        <w:rPr>
          <w:rFonts w:ascii="Arial" w:hAnsi="Arial" w:cs="Arial"/>
          <w:sz w:val="16"/>
          <w:lang w:val="pt-PT"/>
        </w:rPr>
        <w:t>coerção, abdução, fraude, decepção ou falsas declarações. De acordo com a Convenção das Nações Unidas sobre os Direitos da Criança, o financiador e dono do Projecto considera que o consentimento não pode ser dado por crianças menores de 18 anos, mesmo que a legislação moçambicana venha a permitir. A crença equivocada sobre a idade da criança e o consentimento da criança não é uma defesa.</w:t>
      </w:r>
      <w:r w:rsidRPr="00032E3B">
        <w:rPr>
          <w:rFonts w:cs="Calibri"/>
          <w:color w:val="212121"/>
          <w:sz w:val="16"/>
          <w:szCs w:val="18"/>
          <w:lang w:val="pt-PT"/>
        </w:rPr>
        <w:t xml:space="preserve"> </w:t>
      </w:r>
      <w:r w:rsidRPr="00032E3B">
        <w:rPr>
          <w:rFonts w:cs="Calibri"/>
          <w:sz w:val="16"/>
          <w:szCs w:val="18"/>
          <w:lang w:val="pt-PT"/>
        </w:rPr>
        <w:t xml:space="preserve"> </w:t>
      </w:r>
    </w:p>
  </w:footnote>
  <w:footnote w:id="31">
    <w:p w14:paraId="7695CF27" w14:textId="77777777" w:rsidR="00857196" w:rsidRPr="00032E3B" w:rsidRDefault="00857196" w:rsidP="00B31AE2">
      <w:pPr>
        <w:pStyle w:val="FootnoteText"/>
        <w:rPr>
          <w:lang w:val="pt-PT"/>
        </w:rPr>
      </w:pPr>
      <w:r w:rsidRPr="0093148D">
        <w:rPr>
          <w:rStyle w:val="FootnoteReference"/>
        </w:rPr>
        <w:footnoteRef/>
      </w:r>
      <w:r w:rsidRPr="00032E3B">
        <w:rPr>
          <w:lang w:val="pt-PT"/>
        </w:rPr>
        <w:t xml:space="preserve"> A implantação conta com a participação de todos </w:t>
      </w:r>
      <w:r w:rsidRPr="00032E3B">
        <w:rPr>
          <w:lang w:val="pt-PT"/>
        </w:rPr>
        <w:t>os trabalhadores do projecto sem excepção, uma vez que estes auxiliam na melhoria contínua.</w:t>
      </w:r>
    </w:p>
  </w:footnote>
  <w:footnote w:id="32">
    <w:p w14:paraId="6C390EAA" w14:textId="77777777" w:rsidR="00857196" w:rsidRPr="00032E3B" w:rsidRDefault="00857196" w:rsidP="00B31AE2">
      <w:pPr>
        <w:pStyle w:val="FootnoteText"/>
        <w:rPr>
          <w:lang w:val="pt-PT"/>
        </w:rPr>
      </w:pPr>
      <w:r>
        <w:rPr>
          <w:rStyle w:val="FootnoteReference"/>
        </w:rPr>
        <w:footnoteRef/>
      </w:r>
      <w:r w:rsidRPr="00032E3B">
        <w:rPr>
          <w:lang w:val="pt-PT"/>
        </w:rPr>
        <w:t xml:space="preserve"> Ver terminologias no glossário.</w:t>
      </w:r>
    </w:p>
  </w:footnote>
  <w:footnote w:id="33">
    <w:p w14:paraId="63F48791" w14:textId="77777777" w:rsidR="00857196" w:rsidRPr="00032E3B" w:rsidRDefault="00857196" w:rsidP="00B31AE2">
      <w:pPr>
        <w:pStyle w:val="FootnoteText"/>
        <w:rPr>
          <w:lang w:val="pt-PT"/>
        </w:rPr>
      </w:pPr>
      <w:r>
        <w:rPr>
          <w:rStyle w:val="FootnoteReference"/>
        </w:rPr>
        <w:footnoteRef/>
      </w:r>
      <w:r w:rsidRPr="00032E3B">
        <w:rPr>
          <w:lang w:val="pt-PT"/>
        </w:rPr>
        <w:t xml:space="preserve"> </w:t>
      </w:r>
      <w:r w:rsidRPr="00032E3B">
        <w:rPr>
          <w:sz w:val="16"/>
          <w:lang w:val="pt-PT"/>
        </w:rPr>
        <w:t>https://www.misau.gov.mz/index.php/o-que-e-coronavirus</w:t>
      </w:r>
    </w:p>
  </w:footnote>
  <w:footnote w:id="34">
    <w:p w14:paraId="6B57FCD6" w14:textId="3FE318F6" w:rsidR="00857196" w:rsidRPr="00FF5436" w:rsidRDefault="00857196" w:rsidP="00B31AE2">
      <w:pPr>
        <w:pStyle w:val="FootnoteText"/>
        <w:rPr>
          <w:rFonts w:ascii="Arial" w:hAnsi="Arial" w:cs="Arial"/>
          <w:sz w:val="16"/>
          <w:szCs w:val="16"/>
          <w:lang w:val="en-US"/>
        </w:rPr>
      </w:pPr>
      <w:r w:rsidRPr="00FF5436">
        <w:rPr>
          <w:rStyle w:val="FootnoteReference"/>
          <w:rFonts w:ascii="Arial" w:hAnsi="Arial" w:cs="Arial"/>
          <w:sz w:val="16"/>
          <w:szCs w:val="16"/>
        </w:rPr>
        <w:footnoteRef/>
      </w:r>
      <w:r w:rsidRPr="00032E3B">
        <w:rPr>
          <w:rFonts w:ascii="Arial" w:hAnsi="Arial" w:cs="Arial"/>
          <w:sz w:val="16"/>
          <w:szCs w:val="16"/>
          <w:lang w:val="pt-PT"/>
        </w:rPr>
        <w:t xml:space="preserve">Estereótipos de género são atributos gerais, características, ou funções em razão apenas de sua aparente participação a um grupo específico”. Os estereótipos não tomam em conta os atributos específicos, características, habilidades do indivíduo, mas sim as do grupo no qual o indivíduo é associado. Quando o estereótipo é aplicado a homens ou mulheres com base na categoria de “homens ou Mulheres”, estamos perante estereótipos de gênero. </w:t>
      </w:r>
      <w:r w:rsidRPr="00FF5436">
        <w:rPr>
          <w:rFonts w:ascii="Arial" w:hAnsi="Arial" w:cs="Arial"/>
          <w:sz w:val="16"/>
          <w:szCs w:val="16"/>
          <w:lang w:val="en-US"/>
        </w:rPr>
        <w:t xml:space="preserve">(ex. </w:t>
      </w:r>
      <w:r w:rsidRPr="00FF5436">
        <w:rPr>
          <w:rFonts w:ascii="Arial" w:hAnsi="Arial" w:cs="Arial"/>
          <w:sz w:val="16"/>
          <w:szCs w:val="16"/>
          <w:lang w:val="en-US"/>
        </w:rPr>
        <w:t xml:space="preserve">Mulheres: passivas, submissas, amáveis; Homens: agressivo, dominante, etc)- </w:t>
      </w:r>
      <w:bookmarkStart w:id="1650" w:name="_Hlk75016917"/>
      <w:r w:rsidRPr="00FF5436">
        <w:rPr>
          <w:rFonts w:ascii="Arial" w:hAnsi="Arial" w:cs="Arial"/>
          <w:sz w:val="16"/>
          <w:szCs w:val="16"/>
          <w:lang w:val="en-US"/>
        </w:rPr>
        <w:t>UN women: gender stereotypes: In laws and court decisions in southeast Asia;</w:t>
      </w:r>
      <w:bookmarkEnd w:id="1650"/>
    </w:p>
  </w:footnote>
  <w:footnote w:id="35">
    <w:p w14:paraId="298B8DE9" w14:textId="77777777" w:rsidR="00857196" w:rsidRPr="00032E3B" w:rsidRDefault="00857196" w:rsidP="00B31AE2">
      <w:pPr>
        <w:pStyle w:val="FootnoteText"/>
        <w:rPr>
          <w:lang w:val="pt-PT"/>
        </w:rPr>
      </w:pPr>
      <w:r w:rsidRPr="00FF5436">
        <w:rPr>
          <w:rStyle w:val="FootnoteReference"/>
          <w:rFonts w:ascii="Arial" w:hAnsi="Arial" w:cs="Arial"/>
          <w:sz w:val="16"/>
          <w:szCs w:val="16"/>
        </w:rPr>
        <w:footnoteRef/>
      </w:r>
      <w:r w:rsidRPr="00032E3B">
        <w:rPr>
          <w:rFonts w:ascii="Arial" w:hAnsi="Arial" w:cs="Arial"/>
          <w:sz w:val="16"/>
          <w:szCs w:val="16"/>
          <w:lang w:val="pt-PT"/>
        </w:rPr>
        <w:t xml:space="preserve"> Fonte: https://ec.europa.eu/info/policies/justice-and-fundamental-rights/gender-equality/gender-based-violence/what-gender-based-violence_en</w:t>
      </w:r>
    </w:p>
  </w:footnote>
  <w:footnote w:id="36">
    <w:p w14:paraId="69CFFA56" w14:textId="77777777" w:rsidR="00857196" w:rsidRPr="00032E3B" w:rsidRDefault="00857196" w:rsidP="00B31AE2">
      <w:pPr>
        <w:pStyle w:val="FootnoteText"/>
        <w:rPr>
          <w:rFonts w:ascii="Arial" w:hAnsi="Arial" w:cs="Arial"/>
          <w:sz w:val="16"/>
          <w:szCs w:val="16"/>
          <w:lang w:val="pt-PT"/>
        </w:rPr>
      </w:pPr>
      <w:r>
        <w:rPr>
          <w:rStyle w:val="FootnoteReference"/>
        </w:rPr>
        <w:footnoteRef/>
      </w:r>
      <w:r w:rsidRPr="00032E3B">
        <w:rPr>
          <w:lang w:val="pt-PT"/>
        </w:rPr>
        <w:t xml:space="preserve"> </w:t>
      </w:r>
      <w:r w:rsidRPr="00032E3B">
        <w:rPr>
          <w:rFonts w:ascii="Arial" w:hAnsi="Arial" w:cs="Arial"/>
          <w:sz w:val="16"/>
          <w:szCs w:val="16"/>
          <w:lang w:val="pt-PT"/>
        </w:rPr>
        <w:t>Fonte: https://ec.europa.eu/info/policies/justice-and-fundamental-rights/gender-equality/gender-based-violence/what-gender-based-violence</w:t>
      </w:r>
    </w:p>
    <w:p w14:paraId="6AC39526" w14:textId="77777777" w:rsidR="00857196" w:rsidRPr="00FF5436" w:rsidRDefault="00857196" w:rsidP="00B31AE2">
      <w:pPr>
        <w:pStyle w:val="FootnoteText"/>
        <w:rPr>
          <w:rFonts w:ascii="Arial" w:hAnsi="Arial" w:cs="Arial"/>
          <w:sz w:val="16"/>
          <w:szCs w:val="16"/>
          <w:lang w:val="en-US"/>
        </w:rPr>
      </w:pPr>
      <w:r w:rsidRPr="00032E3B">
        <w:rPr>
          <w:rFonts w:ascii="Arial" w:hAnsi="Arial" w:cs="Arial"/>
          <w:sz w:val="16"/>
          <w:szCs w:val="16"/>
          <w:lang w:val="pt-PT"/>
        </w:rPr>
        <w:t xml:space="preserve"> </w:t>
      </w:r>
      <w:r w:rsidRPr="00FF5436">
        <w:rPr>
          <w:rFonts w:ascii="Arial" w:hAnsi="Arial" w:cs="Arial"/>
          <w:sz w:val="16"/>
          <w:szCs w:val="16"/>
          <w:lang w:val="en-US"/>
        </w:rPr>
        <w:t>World Health Organization (WHO) Covid 19 Questions and Answers. 2020.  http://www.emro.who.int/health-topics/corona-virus/questions-and-answers.html.</w:t>
      </w:r>
    </w:p>
    <w:p w14:paraId="6C3DBFD3" w14:textId="77777777" w:rsidR="00857196" w:rsidRPr="00FF5436" w:rsidRDefault="00857196" w:rsidP="00B31AE2">
      <w:pPr>
        <w:pStyle w:val="FootnoteText"/>
        <w:rPr>
          <w:rFonts w:ascii="Arial" w:hAnsi="Arial" w:cs="Arial"/>
          <w:sz w:val="16"/>
          <w:szCs w:val="16"/>
          <w:lang w:val="en-US"/>
        </w:rPr>
      </w:pPr>
      <w:r w:rsidRPr="00FF5436">
        <w:rPr>
          <w:rFonts w:ascii="Arial" w:hAnsi="Arial" w:cs="Arial"/>
          <w:sz w:val="16"/>
          <w:szCs w:val="16"/>
          <w:lang w:val="en-US"/>
        </w:rPr>
        <w:t xml:space="preserve"> UN Women (2019). Handbook: Addressing violence and harassment against women in the world of work. </w:t>
      </w:r>
    </w:p>
    <w:p w14:paraId="17F4E682" w14:textId="77777777" w:rsidR="00857196" w:rsidRPr="00FF5436" w:rsidRDefault="00857196" w:rsidP="00B31AE2">
      <w:pPr>
        <w:pStyle w:val="FootnoteText"/>
        <w:rPr>
          <w:lang w:val="en-US"/>
        </w:rPr>
      </w:pPr>
      <w:r w:rsidRPr="00FF5436">
        <w:rPr>
          <w:rFonts w:ascii="Arial" w:hAnsi="Arial" w:cs="Arial"/>
          <w:sz w:val="16"/>
          <w:szCs w:val="16"/>
          <w:lang w:val="en-US"/>
        </w:rPr>
        <w:t>https://www.unwomen.org/-/media/headquarters/attachments/sections/library/publications/2019/addressing-violence-and-harassment-against-women-in-the-world-of-work-en.pdf?la=en&amp;vs=4050</w:t>
      </w:r>
    </w:p>
  </w:footnote>
  <w:footnote w:id="37">
    <w:p w14:paraId="293BCF96" w14:textId="77777777" w:rsidR="00857196" w:rsidRDefault="00857196" w:rsidP="00B31AE2">
      <w:pPr>
        <w:pStyle w:val="footnotedescription"/>
        <w:spacing w:line="216" w:lineRule="auto"/>
        <w:ind w:right="8549"/>
      </w:pPr>
      <w:r w:rsidRPr="00B31AE2">
        <w:rPr>
          <w:rStyle w:val="footnotemark"/>
          <w:rFonts w:eastAsia="Times New Roman"/>
        </w:rPr>
        <w:footnoteRef/>
      </w:r>
      <w:r>
        <w:t xml:space="preserve"> idem </w:t>
      </w:r>
    </w:p>
  </w:footnote>
  <w:footnote w:id="38">
    <w:p w14:paraId="76977678" w14:textId="77777777" w:rsidR="00857196" w:rsidRDefault="00857196" w:rsidP="00B31AE2">
      <w:pPr>
        <w:pStyle w:val="footnotedescription"/>
      </w:pPr>
      <w:r w:rsidRPr="00B31AE2">
        <w:rPr>
          <w:rStyle w:val="footnotemark"/>
          <w:rFonts w:eastAsia="Times New Roman"/>
        </w:rPr>
        <w:footnoteRef/>
      </w:r>
      <w:r>
        <w:t xml:space="preserve"> Apesar de segundo a COMUTRA em Quelimane, o subsídio de maternidade é agora pago nos serviços de segurança social e, apenas o correspondente aos 75% do salário, sem aviso prévio. redução do salário ou não ser transferida do local habitual de trabalho a partir do terceiro mês de gravidez.  </w:t>
      </w:r>
    </w:p>
  </w:footnote>
  <w:footnote w:id="39">
    <w:p w14:paraId="2BA8D6A7" w14:textId="77777777" w:rsidR="00857196" w:rsidRPr="00CB68F8" w:rsidRDefault="00857196" w:rsidP="00B31AE2">
      <w:pPr>
        <w:pStyle w:val="FootnoteText"/>
        <w:rPr>
          <w:lang w:val="en-US"/>
        </w:rPr>
      </w:pPr>
      <w:r w:rsidRPr="00CB68F8">
        <w:rPr>
          <w:rStyle w:val="FootnoteReference"/>
          <w:lang w:val="en-US"/>
        </w:rPr>
        <w:footnoteRef/>
      </w:r>
      <w:r w:rsidRPr="00CB68F8">
        <w:rPr>
          <w:lang w:val="en-US"/>
        </w:rPr>
        <w:t xml:space="preserve"> </w:t>
      </w:r>
      <w:r w:rsidRPr="00B31AE2">
        <w:rPr>
          <w:rFonts w:cs="Calibri"/>
          <w:sz w:val="16"/>
          <w:lang w:val="en-US"/>
        </w:rPr>
        <w:t>Thompson, J, F Folifac and S Gaskin (2011), “Fetching water in the unholy hours of the night: The impacts of a water crisis on girls’ sexual health in semi-urban Cameroon”, Girlhood Studies Vol 4, No 2, páginas 111–129.</w:t>
      </w:r>
    </w:p>
  </w:footnote>
  <w:footnote w:id="40">
    <w:p w14:paraId="073F7E4B" w14:textId="77777777" w:rsidR="00857196" w:rsidRPr="00BC0E98" w:rsidRDefault="00857196" w:rsidP="00B31AE2">
      <w:pPr>
        <w:pStyle w:val="FootnoteText"/>
        <w:rPr>
          <w:lang w:val="en-US"/>
        </w:rPr>
      </w:pPr>
      <w:r w:rsidRPr="00BC0E98">
        <w:rPr>
          <w:rStyle w:val="FootnoteReference"/>
          <w:lang w:val="en-US"/>
        </w:rPr>
        <w:footnoteRef/>
      </w:r>
      <w:r w:rsidRPr="00BC0E98">
        <w:rPr>
          <w:lang w:val="en-US"/>
        </w:rPr>
        <w:t xml:space="preserve"> </w:t>
      </w:r>
      <w:r w:rsidRPr="00B31AE2">
        <w:rPr>
          <w:rFonts w:cs="Calibri"/>
          <w:sz w:val="16"/>
          <w:lang w:val="en-US"/>
        </w:rPr>
        <w:t>IFRC (2012), Gender in water, sanitation and hygiene promotion: Guidance note, International Federation of Red Cross and Red Crescent Societies, Geneva</w:t>
      </w:r>
    </w:p>
  </w:footnote>
  <w:footnote w:id="41">
    <w:p w14:paraId="29DCAA83" w14:textId="77777777" w:rsidR="00857196" w:rsidRPr="00D37CC0" w:rsidRDefault="00857196" w:rsidP="00B31AE2">
      <w:pPr>
        <w:pStyle w:val="FootnoteText"/>
        <w:rPr>
          <w:lang w:val="en-US"/>
        </w:rPr>
      </w:pPr>
      <w:r>
        <w:rPr>
          <w:rStyle w:val="FootnoteReference"/>
        </w:rPr>
        <w:footnoteRef/>
      </w:r>
      <w:r w:rsidRPr="00D37CC0">
        <w:rPr>
          <w:lang w:val="en-US"/>
        </w:rPr>
        <w:t xml:space="preserve"> </w:t>
      </w:r>
      <w:r w:rsidRPr="00B31AE2">
        <w:rPr>
          <w:rFonts w:cs="Calibri"/>
          <w:sz w:val="16"/>
          <w:lang w:val="en-US"/>
        </w:rPr>
        <w:t xml:space="preserve">Personal </w:t>
      </w:r>
      <w:r w:rsidRPr="00B31AE2">
        <w:rPr>
          <w:rFonts w:cs="Calibri"/>
          <w:sz w:val="16"/>
          <w:lang w:val="en-US"/>
        </w:rPr>
        <w:t>communication with Oxfam Intermón (2013); also Travers, K, P Khosla and S Dhar (2011), Gender and essential services in low-income communities, Report on findings of the action research project: Women’s Rights and Access to Water and Sanitation in Asian Cities, Women in Cities International and Jagori, Montreal and Delhi.</w:t>
      </w:r>
    </w:p>
  </w:footnote>
  <w:footnote w:id="42">
    <w:p w14:paraId="11861DF6" w14:textId="77777777" w:rsidR="00857196" w:rsidRPr="00032E3B" w:rsidRDefault="00857196" w:rsidP="00B31AE2">
      <w:pPr>
        <w:pStyle w:val="FootnoteText"/>
        <w:rPr>
          <w:lang w:val="pt-PT"/>
        </w:rPr>
      </w:pPr>
      <w:r w:rsidRPr="00FF5436">
        <w:rPr>
          <w:rStyle w:val="FootnoteReference"/>
        </w:rPr>
        <w:footnoteRef/>
      </w:r>
      <w:r w:rsidRPr="00032E3B">
        <w:rPr>
          <w:lang w:val="pt-PT"/>
        </w:rPr>
        <w:t xml:space="preserve"> </w:t>
      </w:r>
      <w:r w:rsidRPr="00032E3B">
        <w:rPr>
          <w:rFonts w:cs="Calibri"/>
          <w:sz w:val="16"/>
          <w:lang w:val="pt-PT"/>
        </w:rPr>
        <w:t>Define-se como sexo transaccional toda actividade sexual em que ambas partes se beneficiam, ou seja, o indivíduo imponderado fornece algum bem material de valor ou valores monetários em troca de sexo. Nem todos que fazem sexo transaccional são trabalhadores de sexo, existem casos de pessoas que por conta das dificuldades financeiras e   suas necessidades essenciais (comida, roupa, material escolar) se submetem a esta práticas.</w:t>
      </w:r>
    </w:p>
  </w:footnote>
  <w:footnote w:id="43">
    <w:p w14:paraId="61382CF3" w14:textId="77777777" w:rsidR="00857196" w:rsidRPr="00032E3B" w:rsidRDefault="00857196" w:rsidP="00B31AE2">
      <w:pPr>
        <w:pStyle w:val="FootnoteText"/>
        <w:rPr>
          <w:lang w:val="pt-PT"/>
        </w:rPr>
      </w:pPr>
      <w:r>
        <w:rPr>
          <w:rStyle w:val="FootnoteReference"/>
        </w:rPr>
        <w:footnoteRef/>
      </w:r>
      <w:r w:rsidRPr="00032E3B">
        <w:rPr>
          <w:lang w:val="pt-PT"/>
        </w:rPr>
        <w:t xml:space="preserve"> </w:t>
      </w:r>
      <w:r w:rsidRPr="00032E3B">
        <w:rPr>
          <w:rFonts w:cs="Calibri"/>
          <w:sz w:val="16"/>
          <w:lang w:val="pt-PT"/>
        </w:rPr>
        <w:t xml:space="preserve">Os contractos baseados no desempenho com incentivos financeiros para os operadores privados investirem na expansão </w:t>
      </w:r>
      <w:r w:rsidRPr="00032E3B">
        <w:rPr>
          <w:rFonts w:cs="Calibri"/>
          <w:sz w:val="16"/>
          <w:lang w:val="pt-PT"/>
        </w:rPr>
        <w:t>dos serviços (efectuando novas ligações) e a provisão de um serviço de qualidade que responde aos indicadores regulatórios estabelecidos pela AURA (horas de fornecimento, cobertura dos custos operacionais, cobranças baseadas em leituras, tempo de resposta às reclamações, perdas, etc.) e outros indicadores de desempenho.</w:t>
      </w:r>
    </w:p>
  </w:footnote>
  <w:footnote w:id="44">
    <w:p w14:paraId="4321442A" w14:textId="77777777" w:rsidR="00857196" w:rsidRPr="00032E3B" w:rsidRDefault="00857196" w:rsidP="00B31AE2">
      <w:pPr>
        <w:pStyle w:val="FootnoteText"/>
        <w:rPr>
          <w:lang w:val="pt-PT"/>
        </w:rPr>
      </w:pPr>
      <w:r w:rsidRPr="00324F18">
        <w:rPr>
          <w:rStyle w:val="FootnoteReference"/>
        </w:rPr>
        <w:footnoteRef/>
      </w:r>
      <w:r w:rsidRPr="00032E3B">
        <w:rPr>
          <w:lang w:val="pt-PT"/>
        </w:rPr>
        <w:t xml:space="preserve"> </w:t>
      </w:r>
      <w:r w:rsidRPr="00032E3B">
        <w:rPr>
          <w:rFonts w:cs="Calibri"/>
          <w:sz w:val="16"/>
          <w:lang w:val="pt-PT"/>
        </w:rPr>
        <w:t xml:space="preserve">Será igualmente dada atenção ao fortalecimento dos Núcleos de Saneamento ao nível das escolas para assegurar a higiene </w:t>
      </w:r>
      <w:r w:rsidRPr="00032E3B">
        <w:rPr>
          <w:rFonts w:cs="Calibri"/>
          <w:sz w:val="16"/>
          <w:lang w:val="pt-PT"/>
        </w:rPr>
        <w:t>e sustentabilidade das infra-estruturas escolares.</w:t>
      </w:r>
    </w:p>
  </w:footnote>
  <w:footnote w:id="45">
    <w:p w14:paraId="6E40C996" w14:textId="77777777" w:rsidR="00857196" w:rsidRPr="00032E3B" w:rsidRDefault="00857196" w:rsidP="00B31AE2">
      <w:pPr>
        <w:pStyle w:val="FootnoteText"/>
        <w:rPr>
          <w:rFonts w:cs="Calibri"/>
          <w:sz w:val="16"/>
          <w:lang w:val="pt-PT"/>
        </w:rPr>
      </w:pPr>
      <w:r w:rsidRPr="00B31AE2">
        <w:rPr>
          <w:rFonts w:cs="Calibri"/>
        </w:rPr>
        <w:footnoteRef/>
      </w:r>
      <w:r w:rsidRPr="00032E3B">
        <w:rPr>
          <w:rFonts w:cs="Calibri"/>
          <w:sz w:val="16"/>
          <w:vertAlign w:val="superscript"/>
          <w:lang w:val="pt-PT"/>
        </w:rPr>
        <w:t xml:space="preserve"> </w:t>
      </w:r>
      <w:r w:rsidRPr="00032E3B">
        <w:rPr>
          <w:rFonts w:cs="Calibri"/>
          <w:sz w:val="16"/>
          <w:lang w:val="pt-PT"/>
        </w:rPr>
        <w:t xml:space="preserve">Fonte: </w:t>
      </w:r>
      <w:r w:rsidRPr="00032E3B">
        <w:rPr>
          <w:rFonts w:cs="Calibri"/>
          <w:sz w:val="16"/>
          <w:lang w:val="pt-PT"/>
        </w:rPr>
        <w:t>MGCAS: Lista de CAIs no país actualizada em Junho de 2020;</w:t>
      </w:r>
    </w:p>
  </w:footnote>
  <w:footnote w:id="46">
    <w:p w14:paraId="46826086" w14:textId="77777777" w:rsidR="00857196" w:rsidRPr="00032E3B" w:rsidRDefault="00857196" w:rsidP="00B31AE2">
      <w:pPr>
        <w:pStyle w:val="FootnoteText"/>
        <w:rPr>
          <w:rFonts w:cs="Calibri"/>
          <w:sz w:val="16"/>
          <w:lang w:val="pt-PT"/>
        </w:rPr>
      </w:pPr>
      <w:r w:rsidRPr="00B31AE2">
        <w:rPr>
          <w:rFonts w:cs="Calibri"/>
        </w:rPr>
        <w:footnoteRef/>
      </w:r>
      <w:r w:rsidRPr="00032E3B">
        <w:rPr>
          <w:rFonts w:cs="Calibri"/>
          <w:sz w:val="16"/>
          <w:lang w:val="pt-PT"/>
        </w:rPr>
        <w:t xml:space="preserve"> </w:t>
      </w:r>
      <w:r w:rsidRPr="00032E3B">
        <w:rPr>
          <w:rFonts w:cs="Calibri"/>
          <w:sz w:val="16"/>
          <w:lang w:val="pt-PT"/>
        </w:rPr>
        <w:t xml:space="preserve">A Iniciativa Spotlight actua também ao nível nacional nas áreas de promoção de leis e políticas; capacitação institucional; melhoria da colecta e disponibilização de dados sobre VBG (infoviolência database). Das províncias  abrangidos pelo projecto, Nampula é uma das que implementa a iniciativa, nos distritos de Moma e Angoche.  </w:t>
      </w:r>
    </w:p>
  </w:footnote>
  <w:footnote w:id="47">
    <w:p w14:paraId="12BDD737" w14:textId="77777777" w:rsidR="00857196" w:rsidRPr="00032E3B" w:rsidRDefault="00857196" w:rsidP="00B31AE2">
      <w:pPr>
        <w:pStyle w:val="FootnoteText"/>
        <w:rPr>
          <w:rFonts w:cs="Calibri"/>
          <w:sz w:val="16"/>
          <w:szCs w:val="16"/>
          <w:lang w:val="pt-PT"/>
        </w:rPr>
      </w:pPr>
      <w:r w:rsidRPr="00B31AE2">
        <w:rPr>
          <w:rStyle w:val="FootnoteReference"/>
          <w:rFonts w:cs="Calibri"/>
          <w:sz w:val="16"/>
          <w:szCs w:val="16"/>
        </w:rPr>
        <w:footnoteRef/>
      </w:r>
      <w:r w:rsidRPr="00032E3B">
        <w:rPr>
          <w:rFonts w:cs="Calibri"/>
          <w:sz w:val="16"/>
          <w:szCs w:val="16"/>
          <w:lang w:val="pt-PT"/>
        </w:rPr>
        <w:t xml:space="preserve"> Sistema </w:t>
      </w:r>
      <w:r w:rsidRPr="00032E3B">
        <w:rPr>
          <w:rFonts w:cs="Calibri"/>
          <w:sz w:val="16"/>
          <w:szCs w:val="16"/>
          <w:lang w:val="pt-PT"/>
        </w:rPr>
        <w:t>de aprendizagem e acção para equidade de género (do inglês - Gender Action Learning System)</w:t>
      </w:r>
    </w:p>
  </w:footnote>
  <w:footnote w:id="48">
    <w:p w14:paraId="17F606FD" w14:textId="77777777" w:rsidR="00857196" w:rsidRPr="00032E3B" w:rsidRDefault="00857196" w:rsidP="00B31AE2">
      <w:pPr>
        <w:pStyle w:val="FootnoteText"/>
        <w:rPr>
          <w:rFonts w:cs="Calibri"/>
          <w:sz w:val="16"/>
          <w:szCs w:val="16"/>
          <w:lang w:val="pt-PT"/>
        </w:rPr>
      </w:pPr>
      <w:r w:rsidRPr="00B31AE2">
        <w:rPr>
          <w:rStyle w:val="FootnoteReference"/>
          <w:rFonts w:cs="Calibri"/>
          <w:sz w:val="16"/>
          <w:szCs w:val="16"/>
        </w:rPr>
        <w:footnoteRef/>
      </w:r>
      <w:r w:rsidRPr="00032E3B">
        <w:rPr>
          <w:rFonts w:cs="Calibri"/>
          <w:sz w:val="16"/>
          <w:szCs w:val="16"/>
          <w:lang w:val="pt-PT"/>
        </w:rPr>
        <w:t xml:space="preserve"> Sempre que possível deve-se garantir que trabalhadores de outras comunidades sejam hospedados nos acampamentos do empreiteiro, estabelecer regras restritivas da sua circulação na comunidade, evitando </w:t>
      </w:r>
      <w:r w:rsidRPr="00032E3B">
        <w:rPr>
          <w:rFonts w:cs="Calibri"/>
          <w:sz w:val="16"/>
          <w:szCs w:val="16"/>
          <w:lang w:val="pt-PT"/>
        </w:rPr>
        <w:t>desse modo a interacção com raparigas da comunidade, o que poderá reduzir níveis de VBG perpetrado pelos trabalhadores do projecto oriundos de outras comunidades  ou outros pontos do país.</w:t>
      </w:r>
    </w:p>
  </w:footnote>
  <w:footnote w:id="49">
    <w:p w14:paraId="1C75340B" w14:textId="77777777" w:rsidR="00857196" w:rsidRPr="0051747D" w:rsidRDefault="00857196" w:rsidP="00472547">
      <w:pPr>
        <w:pStyle w:val="FootnoteText"/>
        <w:rPr>
          <w:sz w:val="16"/>
          <w:lang w:val="pt-PT"/>
        </w:rPr>
      </w:pPr>
      <w:r w:rsidRPr="0051747D">
        <w:rPr>
          <w:rStyle w:val="FootnoteReference"/>
          <w:sz w:val="16"/>
        </w:rPr>
        <w:footnoteRef/>
      </w:r>
      <w:r w:rsidRPr="0051747D">
        <w:rPr>
          <w:sz w:val="16"/>
          <w:lang w:val="pt-PT"/>
        </w:rPr>
        <w:t xml:space="preserve"> A disponibilidade de canais não presenciais facilitam o acesso do reclamante à UIP e dão mais conforto de privacidade.</w:t>
      </w:r>
    </w:p>
  </w:footnote>
  <w:footnote w:id="50">
    <w:p w14:paraId="575A4B08" w14:textId="77777777" w:rsidR="00857196" w:rsidRPr="0026325E" w:rsidRDefault="00857196" w:rsidP="00472547">
      <w:pPr>
        <w:pStyle w:val="FootnoteText"/>
        <w:rPr>
          <w:sz w:val="16"/>
          <w:szCs w:val="16"/>
          <w:lang w:val="pt-PT"/>
        </w:rPr>
      </w:pPr>
      <w:r w:rsidRPr="00084FA7">
        <w:rPr>
          <w:rStyle w:val="FootnoteReference"/>
          <w:sz w:val="16"/>
          <w:szCs w:val="16"/>
        </w:rPr>
        <w:footnoteRef/>
      </w:r>
      <w:r w:rsidRPr="00084FA7">
        <w:rPr>
          <w:sz w:val="16"/>
          <w:szCs w:val="16"/>
          <w:lang w:val="pt-PT"/>
        </w:rPr>
        <w:t xml:space="preserve"> </w:t>
      </w:r>
      <w:r>
        <w:rPr>
          <w:sz w:val="16"/>
          <w:szCs w:val="16"/>
          <w:lang w:val="pt-PT"/>
        </w:rPr>
        <w:t>Uma</w:t>
      </w:r>
      <w:r w:rsidRPr="00084FA7">
        <w:rPr>
          <w:sz w:val="16"/>
          <w:szCs w:val="16"/>
          <w:lang w:val="pt-PT"/>
        </w:rPr>
        <w:t xml:space="preserve"> plataforma online </w:t>
      </w:r>
      <w:r>
        <w:rPr>
          <w:sz w:val="16"/>
          <w:szCs w:val="16"/>
          <w:lang w:val="pt-PT"/>
        </w:rPr>
        <w:t xml:space="preserve">bem concebida </w:t>
      </w:r>
      <w:r w:rsidRPr="00084FA7">
        <w:rPr>
          <w:sz w:val="16"/>
          <w:szCs w:val="16"/>
          <w:lang w:val="pt-PT"/>
        </w:rPr>
        <w:t xml:space="preserve">gera relatórios armazenados e processados automaticamente, o que permite visualização pela página de Internet. Os dados ficam disponíveis em duas versões: (i) uma aberta ao público; </w:t>
      </w:r>
      <w:r w:rsidRPr="00084FA7">
        <w:rPr>
          <w:sz w:val="16"/>
          <w:szCs w:val="16"/>
          <w:lang w:val="pt-PT"/>
        </w:rPr>
        <w:t>e uma (ii) segunda, privada e acessível apenas por meio de credenciais de acesso (login), pelas partes interessadas e autorizadas.</w:t>
      </w:r>
    </w:p>
  </w:footnote>
  <w:footnote w:id="51">
    <w:p w14:paraId="3DFD6539" w14:textId="77777777" w:rsidR="00857196" w:rsidRPr="000776BD" w:rsidRDefault="00857196" w:rsidP="00472547">
      <w:pPr>
        <w:pStyle w:val="FootnoteText"/>
        <w:rPr>
          <w:lang w:val="pt-PT"/>
        </w:rPr>
      </w:pPr>
      <w:r>
        <w:rPr>
          <w:rStyle w:val="FootnoteReference"/>
        </w:rPr>
        <w:footnoteRef/>
      </w:r>
      <w:r w:rsidRPr="00F938D3">
        <w:rPr>
          <w:lang w:val="pt-PT"/>
        </w:rPr>
        <w:t xml:space="preserve"> Nos casos de VBG, deve se assegurar a segurança da vítima e que a mesma recebe os serviços necessários imediatamente de </w:t>
      </w:r>
      <w:r w:rsidRPr="00F938D3">
        <w:rPr>
          <w:lang w:val="pt-PT"/>
        </w:rPr>
        <w:t>acordo com as cincunstâncias (ex. apoio psicossocial cuidadas de saúde).</w:t>
      </w:r>
    </w:p>
  </w:footnote>
  <w:footnote w:id="52">
    <w:p w14:paraId="3D210417" w14:textId="77777777" w:rsidR="00857196" w:rsidRPr="00F938D3" w:rsidRDefault="00857196" w:rsidP="00472547">
      <w:pPr>
        <w:pStyle w:val="FootnoteText"/>
        <w:rPr>
          <w:sz w:val="16"/>
          <w:szCs w:val="16"/>
          <w:lang w:val="pt-PT"/>
        </w:rPr>
      </w:pPr>
      <w:r>
        <w:rPr>
          <w:rStyle w:val="FootnoteReference"/>
          <w:sz w:val="16"/>
          <w:szCs w:val="16"/>
        </w:rPr>
        <w:footnoteRef/>
      </w:r>
      <w:r w:rsidRPr="00F938D3">
        <w:rPr>
          <w:sz w:val="16"/>
          <w:szCs w:val="16"/>
          <w:lang w:val="pt-PT"/>
        </w:rPr>
        <w:t xml:space="preserve"> Violência baseada no género </w:t>
      </w:r>
      <w:r w:rsidRPr="00F938D3">
        <w:rPr>
          <w:sz w:val="16"/>
          <w:szCs w:val="16"/>
          <w:lang w:val="pt-PT"/>
        </w:rPr>
        <w:t xml:space="preserve">(VBG) é qualquer acto prejudicial que seja perpetrado contra a vontade de uma pessoa e que se baseia em diferenças socialmente atribuídas (ou seja, género) entre homens e mulheres. Inclui actos que infligem danos ou sofrimento físico, violência sexual ou mental, ameaças de tais actos, coacções e outras privações de liberdade. Esses actos podem ocorrer em público ou em privado. </w:t>
      </w:r>
    </w:p>
    <w:p w14:paraId="36A6ABAA" w14:textId="77777777" w:rsidR="00857196" w:rsidRPr="00F938D3" w:rsidRDefault="00857196" w:rsidP="00472547">
      <w:pPr>
        <w:pStyle w:val="FootnoteText"/>
        <w:rPr>
          <w:sz w:val="16"/>
          <w:szCs w:val="16"/>
          <w:lang w:val="pt-PT"/>
        </w:rPr>
      </w:pPr>
      <w:r w:rsidRPr="00F938D3">
        <w:rPr>
          <w:sz w:val="16"/>
          <w:szCs w:val="16"/>
          <w:lang w:val="pt-PT"/>
        </w:rPr>
        <w:t>VBG pode afectar qualquer pessoa, incluindo as que não se reconhecem nas dimensões tradicionais/estereótipos de género, no entanto, a grande maioria de casos de VBG diz respeito à mulheres e é perpetrada maioritariamente por homens, o que em certos casos tende a ser associada à violência contra mulheres e raparigas.</w:t>
      </w:r>
    </w:p>
  </w:footnote>
  <w:footnote w:id="53">
    <w:p w14:paraId="33147346" w14:textId="77777777" w:rsidR="00857196" w:rsidRPr="00F938D3" w:rsidRDefault="00857196" w:rsidP="00472547">
      <w:pPr>
        <w:pStyle w:val="FootnoteText"/>
        <w:rPr>
          <w:sz w:val="16"/>
          <w:szCs w:val="16"/>
          <w:lang w:val="pt-PT"/>
        </w:rPr>
      </w:pPr>
      <w:r w:rsidRPr="00F938D3">
        <w:rPr>
          <w:rStyle w:val="FootnoteReference"/>
          <w:sz w:val="16"/>
          <w:szCs w:val="16"/>
          <w:lang w:val="pt-PT"/>
        </w:rPr>
        <w:footnoteRef/>
      </w:r>
      <w:r w:rsidRPr="00F938D3">
        <w:rPr>
          <w:sz w:val="16"/>
          <w:szCs w:val="16"/>
          <w:lang w:val="pt-PT"/>
        </w:rPr>
        <w:t xml:space="preserve"> Este contempla as seguintes instituições: </w:t>
      </w:r>
      <w:bookmarkStart w:id="1721" w:name="_Hlk80344074"/>
      <w:r w:rsidRPr="00F938D3">
        <w:rPr>
          <w:sz w:val="16"/>
          <w:szCs w:val="16"/>
          <w:lang w:val="pt-PT"/>
        </w:rPr>
        <w:t xml:space="preserve">Ministério do </w:t>
      </w:r>
      <w:r w:rsidRPr="00F938D3">
        <w:rPr>
          <w:sz w:val="16"/>
          <w:szCs w:val="16"/>
          <w:lang w:val="pt-PT"/>
        </w:rPr>
        <w:t>Género, Criança e Acção Social (MGCAS), Ministério da Saúde (MISAU), Ministério do Interior (MINIT) e Ministério da Justiça, Assuntos Constitucionais e Religiosos (MJCR)</w:t>
      </w:r>
      <w:bookmarkEnd w:id="1721"/>
      <w:r w:rsidRPr="00F938D3">
        <w:rPr>
          <w:sz w:val="16"/>
          <w:szCs w:val="16"/>
          <w:lang w:val="pt-PT"/>
        </w:rPr>
        <w:t>.</w:t>
      </w:r>
    </w:p>
  </w:footnote>
  <w:footnote w:id="54">
    <w:p w14:paraId="32970817" w14:textId="77777777" w:rsidR="00857196" w:rsidRPr="00F938D3" w:rsidRDefault="00857196" w:rsidP="00472547">
      <w:pPr>
        <w:pStyle w:val="FootnoteText"/>
        <w:rPr>
          <w:lang w:val="pt-PT"/>
        </w:rPr>
      </w:pPr>
      <w:r w:rsidRPr="00F938D3">
        <w:rPr>
          <w:rStyle w:val="FootnoteReference"/>
          <w:lang w:val="pt-PT"/>
        </w:rPr>
        <w:footnoteRef/>
      </w:r>
      <w:r w:rsidRPr="00F938D3">
        <w:rPr>
          <w:lang w:val="pt-PT"/>
        </w:rPr>
        <w:t xml:space="preserve"> </w:t>
      </w:r>
      <w:r w:rsidRPr="00FB714A">
        <w:rPr>
          <w:sz w:val="16"/>
          <w:szCs w:val="16"/>
          <w:lang w:val="pt-PT"/>
        </w:rPr>
        <w:t>Os casos de VBG são muito delicados e geralmente as vítimas/sobreviventes partilham com quem confiam (ex. familiar, amigo, membro da igreja, etc.). Portanto, elas podem confiar numa outra pessoa que pode apresentar a queixa em seu lugar. É importante também considerar que a Lei (Lei nº 29/2009, de 29 de Setembro, sobre a Violência Doméstica) considera VBG como um crime público onde qualquer pessoa pode fazer a denúncia independentemente da relação com a vítima e qualquer pessoa que encoberta este tipo de creme é considerando conivente e pode ser legalmente penalizado.</w:t>
      </w:r>
    </w:p>
  </w:footnote>
  <w:footnote w:id="55">
    <w:p w14:paraId="671E3504" w14:textId="77777777" w:rsidR="00857196" w:rsidRPr="00F938D3" w:rsidRDefault="00857196" w:rsidP="00472547">
      <w:pPr>
        <w:pStyle w:val="FootnoteText"/>
        <w:rPr>
          <w:sz w:val="16"/>
          <w:szCs w:val="16"/>
          <w:lang w:val="pt-PT"/>
        </w:rPr>
      </w:pPr>
      <w:r w:rsidRPr="00F938D3">
        <w:rPr>
          <w:rStyle w:val="FootnoteReference"/>
          <w:lang w:val="pt-PT"/>
        </w:rPr>
        <w:footnoteRef/>
      </w:r>
      <w:r w:rsidRPr="00F938D3">
        <w:rPr>
          <w:lang w:val="pt-PT"/>
        </w:rPr>
        <w:t xml:space="preserve"> </w:t>
      </w:r>
      <w:r w:rsidRPr="00FB714A">
        <w:rPr>
          <w:sz w:val="16"/>
          <w:szCs w:val="16"/>
          <w:lang w:val="pt-PT"/>
        </w:rPr>
        <w:t xml:space="preserve">Se o caso for de violação sexual, por exemplo, é crucial que a vítima priorize o sector de saúde para assegurar que as “provas” não se desfazem, incluindo questões ligadas a exposição </w:t>
      </w:r>
      <w:r w:rsidRPr="00FB714A">
        <w:rPr>
          <w:sz w:val="16"/>
          <w:szCs w:val="16"/>
          <w:lang w:val="pt-PT"/>
        </w:rPr>
        <w:t>de ITS (ex HIV).</w:t>
      </w:r>
    </w:p>
  </w:footnote>
  <w:footnote w:id="56">
    <w:p w14:paraId="0CE4D26B" w14:textId="77777777" w:rsidR="00857196" w:rsidRPr="00F938D3" w:rsidRDefault="00857196" w:rsidP="00472547">
      <w:pPr>
        <w:pStyle w:val="FootnoteText"/>
        <w:rPr>
          <w:lang w:val="pt-PT"/>
        </w:rPr>
      </w:pPr>
      <w:r w:rsidRPr="00F938D3">
        <w:rPr>
          <w:rStyle w:val="FootnoteReference"/>
          <w:lang w:val="pt-PT"/>
        </w:rPr>
        <w:footnoteRef/>
      </w:r>
      <w:r w:rsidRPr="00F938D3">
        <w:rPr>
          <w:lang w:val="pt-PT"/>
        </w:rPr>
        <w:t xml:space="preserve"> </w:t>
      </w:r>
      <w:r w:rsidRPr="00F938D3">
        <w:rPr>
          <w:sz w:val="16"/>
          <w:szCs w:val="16"/>
          <w:lang w:val="pt-PT"/>
        </w:rPr>
        <w:t xml:space="preserve">As diferentes instituições/“porta de entrada” de reclamação e de assistência às </w:t>
      </w:r>
      <w:r w:rsidRPr="00F938D3">
        <w:rPr>
          <w:sz w:val="16"/>
          <w:szCs w:val="16"/>
          <w:lang w:val="pt-PT"/>
        </w:rPr>
        <w:t>vítimas de VGB actuarão de forma integrada, ex. se deu entrada primeiro no PS-VBG, as repartições locais do MISAU, MGCAS, MINIT e MJCR</w:t>
      </w:r>
      <w:r w:rsidRPr="00FB714A">
        <w:rPr>
          <w:sz w:val="16"/>
          <w:szCs w:val="16"/>
          <w:lang w:val="pt-PT"/>
        </w:rPr>
        <w:t xml:space="preserve"> serão envolvidas em função do tipo de reclamação e virce-versa.</w:t>
      </w:r>
    </w:p>
  </w:footnote>
  <w:footnote w:id="57">
    <w:p w14:paraId="4168FEEE" w14:textId="77777777" w:rsidR="00857196" w:rsidRPr="00265A2A" w:rsidRDefault="00857196" w:rsidP="00472547">
      <w:pPr>
        <w:pStyle w:val="FootnoteText"/>
        <w:rPr>
          <w:lang w:val="pt-PT"/>
        </w:rPr>
      </w:pPr>
      <w:r w:rsidRPr="00265A2A">
        <w:rPr>
          <w:rStyle w:val="FootnoteReference"/>
          <w:lang w:val="pt-PT"/>
        </w:rPr>
        <w:footnoteRef/>
      </w:r>
      <w:r w:rsidRPr="00265A2A">
        <w:rPr>
          <w:lang w:val="pt-PT"/>
        </w:rPr>
        <w:t xml:space="preserve"> </w:t>
      </w:r>
      <w:r w:rsidRPr="00F938D3">
        <w:rPr>
          <w:sz w:val="16"/>
          <w:szCs w:val="16"/>
          <w:lang w:val="pt-PT"/>
        </w:rPr>
        <w:t xml:space="preserve">A investigação permite que as evidências relativas ao caso sejam devidamente documentadas e os testemunhos recolhidos, para que a Procuradoria possa apresentar o caso em Tribunal (Judicial </w:t>
      </w:r>
      <w:r>
        <w:rPr>
          <w:sz w:val="16"/>
          <w:szCs w:val="16"/>
          <w:lang w:val="pt-PT"/>
        </w:rPr>
        <w:t>ou</w:t>
      </w:r>
      <w:r w:rsidRPr="00F938D3">
        <w:rPr>
          <w:sz w:val="16"/>
          <w:szCs w:val="16"/>
          <w:lang w:val="pt-PT"/>
        </w:rPr>
        <w:t xml:space="preserve"> de Menores</w:t>
      </w:r>
      <w:r>
        <w:rPr>
          <w:sz w:val="16"/>
          <w:szCs w:val="16"/>
          <w:lang w:val="pt-PT"/>
        </w:rPr>
        <w:t>,</w:t>
      </w:r>
      <w:r w:rsidRPr="00F938D3">
        <w:rPr>
          <w:sz w:val="16"/>
          <w:szCs w:val="16"/>
          <w:lang w:val="pt-PT"/>
        </w:rPr>
        <w:t xml:space="preserve"> se existirem menores envolvidos). O tribunal irá decidir sobre as penas e as multas resultantes de cada caso apresentado</w:t>
      </w:r>
      <w:r>
        <w:rPr>
          <w:lang w:val="pt-PT"/>
        </w:rPr>
        <w:t>.</w:t>
      </w:r>
    </w:p>
  </w:footnote>
  <w:footnote w:id="58">
    <w:p w14:paraId="7408C2CE" w14:textId="77777777" w:rsidR="00857196" w:rsidRPr="0026325E" w:rsidRDefault="00857196" w:rsidP="00472547">
      <w:pPr>
        <w:pStyle w:val="FootnoteText"/>
        <w:rPr>
          <w:sz w:val="16"/>
          <w:szCs w:val="16"/>
          <w:lang w:val="pt-PT"/>
        </w:rPr>
      </w:pPr>
      <w:r w:rsidRPr="0026325E">
        <w:rPr>
          <w:rStyle w:val="FootnoteReference"/>
          <w:sz w:val="16"/>
          <w:szCs w:val="16"/>
        </w:rPr>
        <w:footnoteRef/>
      </w:r>
      <w:r w:rsidRPr="0026325E">
        <w:rPr>
          <w:sz w:val="16"/>
          <w:szCs w:val="16"/>
          <w:lang w:val="pt-PT"/>
        </w:rPr>
        <w:t xml:space="preserve"> Quando o MGR recebe uma reclamação sobre VBG, irá registar informações sobre (i) a natureza da </w:t>
      </w:r>
      <w:r w:rsidRPr="0026325E">
        <w:rPr>
          <w:sz w:val="16"/>
          <w:szCs w:val="16"/>
          <w:lang w:val="pt-PT"/>
        </w:rPr>
        <w:t>reclamação e, (ii) se a v</w:t>
      </w:r>
      <w:r>
        <w:rPr>
          <w:sz w:val="16"/>
          <w:szCs w:val="16"/>
          <w:lang w:val="pt-PT"/>
        </w:rPr>
        <w:t>í</w:t>
      </w:r>
      <w:r w:rsidRPr="0026325E">
        <w:rPr>
          <w:sz w:val="16"/>
          <w:szCs w:val="16"/>
          <w:lang w:val="pt-PT"/>
        </w:rPr>
        <w:t>tima acredita que o perpetrador está associado ao Projecto.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E79313" w14:textId="77777777" w:rsidR="00857196" w:rsidRDefault="0085719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CA1B5A" w14:textId="77777777" w:rsidR="00857196" w:rsidRDefault="0085719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D0BA67" w14:textId="77777777" w:rsidR="00857196" w:rsidRDefault="0085719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16"/>
    <w:multiLevelType w:val="multilevel"/>
    <w:tmpl w:val="00000016"/>
    <w:name w:val="WWNum23"/>
    <w:lvl w:ilvl="0">
      <w:start w:val="1"/>
      <w:numFmt w:val="bullet"/>
      <w:lvlText w:val=""/>
      <w:lvlJc w:val="left"/>
      <w:pPr>
        <w:tabs>
          <w:tab w:val="num" w:pos="0"/>
        </w:tabs>
        <w:ind w:left="720" w:hanging="360"/>
      </w:pPr>
      <w:rPr>
        <w:rFonts w:ascii="Symbol" w:hAnsi="Symbol" w:cs="Symbol"/>
        <w:lang w:val="en-AU"/>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lang w:val="en-AU"/>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lang w:val="en-AU"/>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 w15:restartNumberingAfterBreak="0">
    <w:nsid w:val="00000019"/>
    <w:multiLevelType w:val="multilevel"/>
    <w:tmpl w:val="00000019"/>
    <w:name w:val="WWNum26"/>
    <w:lvl w:ilvl="0">
      <w:start w:val="1"/>
      <w:numFmt w:val="bullet"/>
      <w:lvlText w:val=""/>
      <w:lvlJc w:val="left"/>
      <w:pPr>
        <w:tabs>
          <w:tab w:val="num" w:pos="0"/>
        </w:tabs>
        <w:ind w:left="720" w:hanging="360"/>
      </w:pPr>
      <w:rPr>
        <w:rFonts w:ascii="Symbol" w:hAnsi="Symbol" w:cs="Symbol"/>
        <w:lang w:val="en-U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lang w:val="en-US"/>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lang w:val="en-US"/>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 w15:restartNumberingAfterBreak="0">
    <w:nsid w:val="01CD479B"/>
    <w:multiLevelType w:val="hybridMultilevel"/>
    <w:tmpl w:val="82D48910"/>
    <w:lvl w:ilvl="0" w:tplc="CF86F510">
      <w:start w:val="5"/>
      <w:numFmt w:val="decimal"/>
      <w:lvlText w:val="%1."/>
      <w:lvlJc w:val="left"/>
      <w:pPr>
        <w:ind w:left="504" w:hanging="200"/>
        <w:jc w:val="right"/>
      </w:pPr>
      <w:rPr>
        <w:rFonts w:ascii="Times New Roman" w:eastAsia="Times New Roman" w:hAnsi="Times New Roman" w:cs="Times New Roman" w:hint="default"/>
        <w:b/>
        <w:bCs/>
        <w:color w:val="231F20"/>
        <w:w w:val="100"/>
        <w:sz w:val="20"/>
        <w:szCs w:val="20"/>
        <w:lang w:val="pt-PT" w:eastAsia="en-US" w:bidi="ar-SA"/>
      </w:rPr>
    </w:lvl>
    <w:lvl w:ilvl="1" w:tplc="F61E6820">
      <w:start w:val="1"/>
      <w:numFmt w:val="lowerLetter"/>
      <w:lvlText w:val="%2)"/>
      <w:lvlJc w:val="left"/>
      <w:pPr>
        <w:ind w:left="973" w:hanging="217"/>
      </w:pPr>
      <w:rPr>
        <w:rFonts w:ascii="Times New Roman" w:eastAsia="Times New Roman" w:hAnsi="Times New Roman" w:cs="Times New Roman" w:hint="default"/>
        <w:i/>
        <w:iCs/>
        <w:color w:val="231F20"/>
        <w:w w:val="100"/>
        <w:sz w:val="20"/>
        <w:szCs w:val="20"/>
        <w:lang w:val="pt-PT" w:eastAsia="en-US" w:bidi="ar-SA"/>
      </w:rPr>
    </w:lvl>
    <w:lvl w:ilvl="2" w:tplc="0F765F98">
      <w:numFmt w:val="bullet"/>
      <w:lvlText w:val="•"/>
      <w:lvlJc w:val="left"/>
      <w:pPr>
        <w:ind w:left="2068" w:hanging="217"/>
      </w:pPr>
      <w:rPr>
        <w:rFonts w:hint="default"/>
        <w:lang w:val="pt-PT" w:eastAsia="en-US" w:bidi="ar-SA"/>
      </w:rPr>
    </w:lvl>
    <w:lvl w:ilvl="3" w:tplc="DCEAAC94">
      <w:numFmt w:val="bullet"/>
      <w:lvlText w:val="•"/>
      <w:lvlJc w:val="left"/>
      <w:pPr>
        <w:ind w:left="3157" w:hanging="217"/>
      </w:pPr>
      <w:rPr>
        <w:rFonts w:hint="default"/>
        <w:lang w:val="pt-PT" w:eastAsia="en-US" w:bidi="ar-SA"/>
      </w:rPr>
    </w:lvl>
    <w:lvl w:ilvl="4" w:tplc="36DA92EC">
      <w:numFmt w:val="bullet"/>
      <w:lvlText w:val="•"/>
      <w:lvlJc w:val="left"/>
      <w:pPr>
        <w:ind w:left="4246" w:hanging="217"/>
      </w:pPr>
      <w:rPr>
        <w:rFonts w:hint="default"/>
        <w:lang w:val="pt-PT" w:eastAsia="en-US" w:bidi="ar-SA"/>
      </w:rPr>
    </w:lvl>
    <w:lvl w:ilvl="5" w:tplc="0C44ED42">
      <w:numFmt w:val="bullet"/>
      <w:lvlText w:val="•"/>
      <w:lvlJc w:val="left"/>
      <w:pPr>
        <w:ind w:left="5335" w:hanging="217"/>
      </w:pPr>
      <w:rPr>
        <w:rFonts w:hint="default"/>
        <w:lang w:val="pt-PT" w:eastAsia="en-US" w:bidi="ar-SA"/>
      </w:rPr>
    </w:lvl>
    <w:lvl w:ilvl="6" w:tplc="7D080CBE">
      <w:numFmt w:val="bullet"/>
      <w:lvlText w:val="•"/>
      <w:lvlJc w:val="left"/>
      <w:pPr>
        <w:ind w:left="6424" w:hanging="217"/>
      </w:pPr>
      <w:rPr>
        <w:rFonts w:hint="default"/>
        <w:lang w:val="pt-PT" w:eastAsia="en-US" w:bidi="ar-SA"/>
      </w:rPr>
    </w:lvl>
    <w:lvl w:ilvl="7" w:tplc="59629FEE">
      <w:numFmt w:val="bullet"/>
      <w:lvlText w:val="•"/>
      <w:lvlJc w:val="left"/>
      <w:pPr>
        <w:ind w:left="7513" w:hanging="217"/>
      </w:pPr>
      <w:rPr>
        <w:rFonts w:hint="default"/>
        <w:lang w:val="pt-PT" w:eastAsia="en-US" w:bidi="ar-SA"/>
      </w:rPr>
    </w:lvl>
    <w:lvl w:ilvl="8" w:tplc="FCFA8F9C">
      <w:numFmt w:val="bullet"/>
      <w:lvlText w:val="•"/>
      <w:lvlJc w:val="left"/>
      <w:pPr>
        <w:ind w:left="8602" w:hanging="217"/>
      </w:pPr>
      <w:rPr>
        <w:rFonts w:hint="default"/>
        <w:lang w:val="pt-PT" w:eastAsia="en-US" w:bidi="ar-SA"/>
      </w:rPr>
    </w:lvl>
  </w:abstractNum>
  <w:abstractNum w:abstractNumId="3" w15:restartNumberingAfterBreak="0">
    <w:nsid w:val="02731E90"/>
    <w:multiLevelType w:val="hybridMultilevel"/>
    <w:tmpl w:val="407A03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F023DD"/>
    <w:multiLevelType w:val="hybridMultilevel"/>
    <w:tmpl w:val="15AE181A"/>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5F94C76"/>
    <w:multiLevelType w:val="hybridMultilevel"/>
    <w:tmpl w:val="FE0E1CD6"/>
    <w:lvl w:ilvl="0" w:tplc="0D0CE95C">
      <w:numFmt w:val="bullet"/>
      <w:lvlText w:val="•"/>
      <w:lvlJc w:val="left"/>
      <w:pPr>
        <w:ind w:left="1080" w:hanging="72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6675A42"/>
    <w:multiLevelType w:val="hybridMultilevel"/>
    <w:tmpl w:val="73D2CC9C"/>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 w15:restartNumberingAfterBreak="0">
    <w:nsid w:val="0683761D"/>
    <w:multiLevelType w:val="hybridMultilevel"/>
    <w:tmpl w:val="2B3E5D46"/>
    <w:lvl w:ilvl="0" w:tplc="B18CF804">
      <w:start w:val="1"/>
      <w:numFmt w:val="bullet"/>
      <w:lvlText w:val=""/>
      <w:lvlJc w:val="left"/>
      <w:pPr>
        <w:ind w:left="28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7862C136">
      <w:start w:val="1"/>
      <w:numFmt w:val="bullet"/>
      <w:lvlText w:val="o"/>
      <w:lvlJc w:val="left"/>
      <w:pPr>
        <w:ind w:left="119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B4FA6698">
      <w:start w:val="1"/>
      <w:numFmt w:val="bullet"/>
      <w:lvlText w:val="▪"/>
      <w:lvlJc w:val="left"/>
      <w:pPr>
        <w:ind w:left="191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694E3090">
      <w:start w:val="1"/>
      <w:numFmt w:val="bullet"/>
      <w:lvlText w:val="•"/>
      <w:lvlJc w:val="left"/>
      <w:pPr>
        <w:ind w:left="263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81AE7928">
      <w:start w:val="1"/>
      <w:numFmt w:val="bullet"/>
      <w:lvlText w:val="o"/>
      <w:lvlJc w:val="left"/>
      <w:pPr>
        <w:ind w:left="335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6A743CCA">
      <w:start w:val="1"/>
      <w:numFmt w:val="bullet"/>
      <w:lvlText w:val="▪"/>
      <w:lvlJc w:val="left"/>
      <w:pPr>
        <w:ind w:left="407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77A09F48">
      <w:start w:val="1"/>
      <w:numFmt w:val="bullet"/>
      <w:lvlText w:val="•"/>
      <w:lvlJc w:val="left"/>
      <w:pPr>
        <w:ind w:left="479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0EB820CE">
      <w:start w:val="1"/>
      <w:numFmt w:val="bullet"/>
      <w:lvlText w:val="o"/>
      <w:lvlJc w:val="left"/>
      <w:pPr>
        <w:ind w:left="551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E44E265A">
      <w:start w:val="1"/>
      <w:numFmt w:val="bullet"/>
      <w:lvlText w:val="▪"/>
      <w:lvlJc w:val="left"/>
      <w:pPr>
        <w:ind w:left="623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08085CC1"/>
    <w:multiLevelType w:val="hybridMultilevel"/>
    <w:tmpl w:val="51AC8FC8"/>
    <w:lvl w:ilvl="0" w:tplc="324E4D04">
      <w:start w:val="1"/>
      <w:numFmt w:val="bullet"/>
      <w:pStyle w:val="ListParagraph"/>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83161CC"/>
    <w:multiLevelType w:val="hybridMultilevel"/>
    <w:tmpl w:val="12DE0F32"/>
    <w:lvl w:ilvl="0" w:tplc="04090001">
      <w:start w:val="1"/>
      <w:numFmt w:val="bullet"/>
      <w:lvlText w:val=""/>
      <w:lvlJc w:val="left"/>
      <w:pPr>
        <w:ind w:left="744" w:hanging="360"/>
      </w:pPr>
      <w:rPr>
        <w:rFonts w:ascii="Symbol" w:hAnsi="Symbol" w:hint="default"/>
      </w:rPr>
    </w:lvl>
    <w:lvl w:ilvl="1" w:tplc="04090003" w:tentative="1">
      <w:start w:val="1"/>
      <w:numFmt w:val="bullet"/>
      <w:lvlText w:val="o"/>
      <w:lvlJc w:val="left"/>
      <w:pPr>
        <w:ind w:left="1464" w:hanging="360"/>
      </w:pPr>
      <w:rPr>
        <w:rFonts w:ascii="Courier New" w:hAnsi="Courier New" w:cs="Courier New" w:hint="default"/>
      </w:rPr>
    </w:lvl>
    <w:lvl w:ilvl="2" w:tplc="04090005" w:tentative="1">
      <w:start w:val="1"/>
      <w:numFmt w:val="bullet"/>
      <w:lvlText w:val=""/>
      <w:lvlJc w:val="left"/>
      <w:pPr>
        <w:ind w:left="2184" w:hanging="360"/>
      </w:pPr>
      <w:rPr>
        <w:rFonts w:ascii="Wingdings" w:hAnsi="Wingdings" w:hint="default"/>
      </w:rPr>
    </w:lvl>
    <w:lvl w:ilvl="3" w:tplc="04090001" w:tentative="1">
      <w:start w:val="1"/>
      <w:numFmt w:val="bullet"/>
      <w:lvlText w:val=""/>
      <w:lvlJc w:val="left"/>
      <w:pPr>
        <w:ind w:left="2904" w:hanging="360"/>
      </w:pPr>
      <w:rPr>
        <w:rFonts w:ascii="Symbol" w:hAnsi="Symbol" w:hint="default"/>
      </w:rPr>
    </w:lvl>
    <w:lvl w:ilvl="4" w:tplc="04090003" w:tentative="1">
      <w:start w:val="1"/>
      <w:numFmt w:val="bullet"/>
      <w:lvlText w:val="o"/>
      <w:lvlJc w:val="left"/>
      <w:pPr>
        <w:ind w:left="3624" w:hanging="360"/>
      </w:pPr>
      <w:rPr>
        <w:rFonts w:ascii="Courier New" w:hAnsi="Courier New" w:cs="Courier New" w:hint="default"/>
      </w:rPr>
    </w:lvl>
    <w:lvl w:ilvl="5" w:tplc="04090005" w:tentative="1">
      <w:start w:val="1"/>
      <w:numFmt w:val="bullet"/>
      <w:lvlText w:val=""/>
      <w:lvlJc w:val="left"/>
      <w:pPr>
        <w:ind w:left="4344" w:hanging="360"/>
      </w:pPr>
      <w:rPr>
        <w:rFonts w:ascii="Wingdings" w:hAnsi="Wingdings" w:hint="default"/>
      </w:rPr>
    </w:lvl>
    <w:lvl w:ilvl="6" w:tplc="04090001" w:tentative="1">
      <w:start w:val="1"/>
      <w:numFmt w:val="bullet"/>
      <w:lvlText w:val=""/>
      <w:lvlJc w:val="left"/>
      <w:pPr>
        <w:ind w:left="5064" w:hanging="360"/>
      </w:pPr>
      <w:rPr>
        <w:rFonts w:ascii="Symbol" w:hAnsi="Symbol" w:hint="default"/>
      </w:rPr>
    </w:lvl>
    <w:lvl w:ilvl="7" w:tplc="04090003" w:tentative="1">
      <w:start w:val="1"/>
      <w:numFmt w:val="bullet"/>
      <w:lvlText w:val="o"/>
      <w:lvlJc w:val="left"/>
      <w:pPr>
        <w:ind w:left="5784" w:hanging="360"/>
      </w:pPr>
      <w:rPr>
        <w:rFonts w:ascii="Courier New" w:hAnsi="Courier New" w:cs="Courier New" w:hint="default"/>
      </w:rPr>
    </w:lvl>
    <w:lvl w:ilvl="8" w:tplc="04090005" w:tentative="1">
      <w:start w:val="1"/>
      <w:numFmt w:val="bullet"/>
      <w:lvlText w:val=""/>
      <w:lvlJc w:val="left"/>
      <w:pPr>
        <w:ind w:left="6504" w:hanging="360"/>
      </w:pPr>
      <w:rPr>
        <w:rFonts w:ascii="Wingdings" w:hAnsi="Wingdings" w:hint="default"/>
      </w:rPr>
    </w:lvl>
  </w:abstractNum>
  <w:abstractNum w:abstractNumId="10" w15:restartNumberingAfterBreak="0">
    <w:nsid w:val="083A581E"/>
    <w:multiLevelType w:val="multilevel"/>
    <w:tmpl w:val="9ACC274A"/>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08597A45"/>
    <w:multiLevelType w:val="hybridMultilevel"/>
    <w:tmpl w:val="EE96B8CA"/>
    <w:lvl w:ilvl="0" w:tplc="08160001">
      <w:start w:val="1"/>
      <w:numFmt w:val="bullet"/>
      <w:lvlText w:val=""/>
      <w:lvlJc w:val="left"/>
      <w:pPr>
        <w:ind w:left="720" w:hanging="360"/>
      </w:pPr>
      <w:rPr>
        <w:rFonts w:ascii="Symbol" w:hAnsi="Symbol" w:hint="default"/>
      </w:r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2" w15:restartNumberingAfterBreak="0">
    <w:nsid w:val="088E5CFD"/>
    <w:multiLevelType w:val="hybridMultilevel"/>
    <w:tmpl w:val="5B6A5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8CC23D2"/>
    <w:multiLevelType w:val="hybridMultilevel"/>
    <w:tmpl w:val="40B6FD1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 w15:restartNumberingAfterBreak="0">
    <w:nsid w:val="08F543F7"/>
    <w:multiLevelType w:val="hybridMultilevel"/>
    <w:tmpl w:val="955C5B94"/>
    <w:lvl w:ilvl="0" w:tplc="FAF061A0">
      <w:numFmt w:val="bullet"/>
      <w:lvlText w:val="•"/>
      <w:lvlJc w:val="left"/>
      <w:pPr>
        <w:ind w:left="36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99706E4"/>
    <w:multiLevelType w:val="hybridMultilevel"/>
    <w:tmpl w:val="06CAC1A4"/>
    <w:lvl w:ilvl="0" w:tplc="FAF061A0">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9BB03A4"/>
    <w:multiLevelType w:val="hybridMultilevel"/>
    <w:tmpl w:val="9FF4C47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0A7B3DD8"/>
    <w:multiLevelType w:val="hybridMultilevel"/>
    <w:tmpl w:val="92C4E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ABB68AC"/>
    <w:multiLevelType w:val="hybridMultilevel"/>
    <w:tmpl w:val="E06AEC9A"/>
    <w:lvl w:ilvl="0" w:tplc="04090017">
      <w:start w:val="1"/>
      <w:numFmt w:val="lowerLetter"/>
      <w:lvlText w:val="%1)"/>
      <w:lvlJc w:val="left"/>
      <w:pPr>
        <w:ind w:left="720" w:hanging="360"/>
      </w:pPr>
    </w:lvl>
    <w:lvl w:ilvl="1" w:tplc="5F4449FA">
      <w:start w:val="1"/>
      <w:numFmt w:val="low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B9207C8"/>
    <w:multiLevelType w:val="multilevel"/>
    <w:tmpl w:val="8746EA1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15:restartNumberingAfterBreak="0">
    <w:nsid w:val="0BAC099E"/>
    <w:multiLevelType w:val="hybridMultilevel"/>
    <w:tmpl w:val="4802C2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0C3205A4"/>
    <w:multiLevelType w:val="hybridMultilevel"/>
    <w:tmpl w:val="2FFE6932"/>
    <w:lvl w:ilvl="0" w:tplc="09125F44">
      <w:start w:val="7"/>
      <w:numFmt w:val="decimal"/>
      <w:lvlText w:val="%1."/>
      <w:lvlJc w:val="left"/>
      <w:pPr>
        <w:ind w:left="504" w:hanging="200"/>
      </w:pPr>
      <w:rPr>
        <w:rFonts w:ascii="Times New Roman" w:eastAsia="Times New Roman" w:hAnsi="Times New Roman" w:cs="Times New Roman" w:hint="default"/>
        <w:b/>
        <w:bCs/>
        <w:color w:val="231F20"/>
        <w:w w:val="100"/>
        <w:sz w:val="20"/>
        <w:szCs w:val="20"/>
        <w:lang w:val="pt-PT" w:eastAsia="en-US" w:bidi="ar-SA"/>
      </w:rPr>
    </w:lvl>
    <w:lvl w:ilvl="1" w:tplc="36FEFF8A">
      <w:numFmt w:val="bullet"/>
      <w:lvlText w:val="•"/>
      <w:lvlJc w:val="left"/>
      <w:pPr>
        <w:ind w:left="1528" w:hanging="200"/>
      </w:pPr>
      <w:rPr>
        <w:rFonts w:hint="default"/>
        <w:lang w:val="pt-PT" w:eastAsia="en-US" w:bidi="ar-SA"/>
      </w:rPr>
    </w:lvl>
    <w:lvl w:ilvl="2" w:tplc="10C84A2A">
      <w:numFmt w:val="bullet"/>
      <w:lvlText w:val="•"/>
      <w:lvlJc w:val="left"/>
      <w:pPr>
        <w:ind w:left="2556" w:hanging="200"/>
      </w:pPr>
      <w:rPr>
        <w:rFonts w:hint="default"/>
        <w:lang w:val="pt-PT" w:eastAsia="en-US" w:bidi="ar-SA"/>
      </w:rPr>
    </w:lvl>
    <w:lvl w:ilvl="3" w:tplc="836C4F8E">
      <w:numFmt w:val="bullet"/>
      <w:lvlText w:val="•"/>
      <w:lvlJc w:val="left"/>
      <w:pPr>
        <w:ind w:left="3584" w:hanging="200"/>
      </w:pPr>
      <w:rPr>
        <w:rFonts w:hint="default"/>
        <w:lang w:val="pt-PT" w:eastAsia="en-US" w:bidi="ar-SA"/>
      </w:rPr>
    </w:lvl>
    <w:lvl w:ilvl="4" w:tplc="4DEA8566">
      <w:numFmt w:val="bullet"/>
      <w:lvlText w:val="•"/>
      <w:lvlJc w:val="left"/>
      <w:pPr>
        <w:ind w:left="4612" w:hanging="200"/>
      </w:pPr>
      <w:rPr>
        <w:rFonts w:hint="default"/>
        <w:lang w:val="pt-PT" w:eastAsia="en-US" w:bidi="ar-SA"/>
      </w:rPr>
    </w:lvl>
    <w:lvl w:ilvl="5" w:tplc="1B6206A4">
      <w:numFmt w:val="bullet"/>
      <w:lvlText w:val="•"/>
      <w:lvlJc w:val="left"/>
      <w:pPr>
        <w:ind w:left="5640" w:hanging="200"/>
      </w:pPr>
      <w:rPr>
        <w:rFonts w:hint="default"/>
        <w:lang w:val="pt-PT" w:eastAsia="en-US" w:bidi="ar-SA"/>
      </w:rPr>
    </w:lvl>
    <w:lvl w:ilvl="6" w:tplc="33F488AA">
      <w:numFmt w:val="bullet"/>
      <w:lvlText w:val="•"/>
      <w:lvlJc w:val="left"/>
      <w:pPr>
        <w:ind w:left="6668" w:hanging="200"/>
      </w:pPr>
      <w:rPr>
        <w:rFonts w:hint="default"/>
        <w:lang w:val="pt-PT" w:eastAsia="en-US" w:bidi="ar-SA"/>
      </w:rPr>
    </w:lvl>
    <w:lvl w:ilvl="7" w:tplc="468A879E">
      <w:numFmt w:val="bullet"/>
      <w:lvlText w:val="•"/>
      <w:lvlJc w:val="left"/>
      <w:pPr>
        <w:ind w:left="7696" w:hanging="200"/>
      </w:pPr>
      <w:rPr>
        <w:rFonts w:hint="default"/>
        <w:lang w:val="pt-PT" w:eastAsia="en-US" w:bidi="ar-SA"/>
      </w:rPr>
    </w:lvl>
    <w:lvl w:ilvl="8" w:tplc="554A76D4">
      <w:numFmt w:val="bullet"/>
      <w:lvlText w:val="•"/>
      <w:lvlJc w:val="left"/>
      <w:pPr>
        <w:ind w:left="8724" w:hanging="200"/>
      </w:pPr>
      <w:rPr>
        <w:rFonts w:hint="default"/>
        <w:lang w:val="pt-PT" w:eastAsia="en-US" w:bidi="ar-SA"/>
      </w:rPr>
    </w:lvl>
  </w:abstractNum>
  <w:abstractNum w:abstractNumId="22" w15:restartNumberingAfterBreak="0">
    <w:nsid w:val="0C3860C5"/>
    <w:multiLevelType w:val="hybridMultilevel"/>
    <w:tmpl w:val="5AB65E9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C582CCC"/>
    <w:multiLevelType w:val="hybridMultilevel"/>
    <w:tmpl w:val="97946E72"/>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0C653139"/>
    <w:multiLevelType w:val="hybridMultilevel"/>
    <w:tmpl w:val="D9CE376E"/>
    <w:lvl w:ilvl="0" w:tplc="04090017">
      <w:start w:val="1"/>
      <w:numFmt w:val="lowerLetter"/>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25" w15:restartNumberingAfterBreak="0">
    <w:nsid w:val="0CD62249"/>
    <w:multiLevelType w:val="hybridMultilevel"/>
    <w:tmpl w:val="1138FC7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6" w15:restartNumberingAfterBreak="0">
    <w:nsid w:val="0CD85B61"/>
    <w:multiLevelType w:val="hybridMultilevel"/>
    <w:tmpl w:val="B2AE428C"/>
    <w:lvl w:ilvl="0" w:tplc="04090001">
      <w:start w:val="1"/>
      <w:numFmt w:val="bullet"/>
      <w:lvlText w:val=""/>
      <w:lvlJc w:val="left"/>
      <w:pPr>
        <w:ind w:left="744" w:hanging="360"/>
      </w:pPr>
      <w:rPr>
        <w:rFonts w:ascii="Symbol" w:hAnsi="Symbol" w:hint="default"/>
      </w:rPr>
    </w:lvl>
    <w:lvl w:ilvl="1" w:tplc="04090003" w:tentative="1">
      <w:start w:val="1"/>
      <w:numFmt w:val="bullet"/>
      <w:lvlText w:val="o"/>
      <w:lvlJc w:val="left"/>
      <w:pPr>
        <w:ind w:left="1464" w:hanging="360"/>
      </w:pPr>
      <w:rPr>
        <w:rFonts w:ascii="Courier New" w:hAnsi="Courier New" w:cs="Courier New" w:hint="default"/>
      </w:rPr>
    </w:lvl>
    <w:lvl w:ilvl="2" w:tplc="04090005" w:tentative="1">
      <w:start w:val="1"/>
      <w:numFmt w:val="bullet"/>
      <w:lvlText w:val=""/>
      <w:lvlJc w:val="left"/>
      <w:pPr>
        <w:ind w:left="2184" w:hanging="360"/>
      </w:pPr>
      <w:rPr>
        <w:rFonts w:ascii="Wingdings" w:hAnsi="Wingdings" w:hint="default"/>
      </w:rPr>
    </w:lvl>
    <w:lvl w:ilvl="3" w:tplc="04090001" w:tentative="1">
      <w:start w:val="1"/>
      <w:numFmt w:val="bullet"/>
      <w:lvlText w:val=""/>
      <w:lvlJc w:val="left"/>
      <w:pPr>
        <w:ind w:left="2904" w:hanging="360"/>
      </w:pPr>
      <w:rPr>
        <w:rFonts w:ascii="Symbol" w:hAnsi="Symbol" w:hint="default"/>
      </w:rPr>
    </w:lvl>
    <w:lvl w:ilvl="4" w:tplc="04090003" w:tentative="1">
      <w:start w:val="1"/>
      <w:numFmt w:val="bullet"/>
      <w:lvlText w:val="o"/>
      <w:lvlJc w:val="left"/>
      <w:pPr>
        <w:ind w:left="3624" w:hanging="360"/>
      </w:pPr>
      <w:rPr>
        <w:rFonts w:ascii="Courier New" w:hAnsi="Courier New" w:cs="Courier New" w:hint="default"/>
      </w:rPr>
    </w:lvl>
    <w:lvl w:ilvl="5" w:tplc="04090005" w:tentative="1">
      <w:start w:val="1"/>
      <w:numFmt w:val="bullet"/>
      <w:lvlText w:val=""/>
      <w:lvlJc w:val="left"/>
      <w:pPr>
        <w:ind w:left="4344" w:hanging="360"/>
      </w:pPr>
      <w:rPr>
        <w:rFonts w:ascii="Wingdings" w:hAnsi="Wingdings" w:hint="default"/>
      </w:rPr>
    </w:lvl>
    <w:lvl w:ilvl="6" w:tplc="04090001" w:tentative="1">
      <w:start w:val="1"/>
      <w:numFmt w:val="bullet"/>
      <w:lvlText w:val=""/>
      <w:lvlJc w:val="left"/>
      <w:pPr>
        <w:ind w:left="5064" w:hanging="360"/>
      </w:pPr>
      <w:rPr>
        <w:rFonts w:ascii="Symbol" w:hAnsi="Symbol" w:hint="default"/>
      </w:rPr>
    </w:lvl>
    <w:lvl w:ilvl="7" w:tplc="04090003" w:tentative="1">
      <w:start w:val="1"/>
      <w:numFmt w:val="bullet"/>
      <w:lvlText w:val="o"/>
      <w:lvlJc w:val="left"/>
      <w:pPr>
        <w:ind w:left="5784" w:hanging="360"/>
      </w:pPr>
      <w:rPr>
        <w:rFonts w:ascii="Courier New" w:hAnsi="Courier New" w:cs="Courier New" w:hint="default"/>
      </w:rPr>
    </w:lvl>
    <w:lvl w:ilvl="8" w:tplc="04090005" w:tentative="1">
      <w:start w:val="1"/>
      <w:numFmt w:val="bullet"/>
      <w:lvlText w:val=""/>
      <w:lvlJc w:val="left"/>
      <w:pPr>
        <w:ind w:left="6504" w:hanging="360"/>
      </w:pPr>
      <w:rPr>
        <w:rFonts w:ascii="Wingdings" w:hAnsi="Wingdings" w:hint="default"/>
      </w:rPr>
    </w:lvl>
  </w:abstractNum>
  <w:abstractNum w:abstractNumId="27" w15:restartNumberingAfterBreak="0">
    <w:nsid w:val="0D482754"/>
    <w:multiLevelType w:val="multilevel"/>
    <w:tmpl w:val="F5D21302"/>
    <w:lvl w:ilvl="0">
      <w:start w:val="2"/>
      <w:numFmt w:val="decimal"/>
      <w:lvlText w:val="%1"/>
      <w:lvlJc w:val="left"/>
      <w:pPr>
        <w:ind w:left="444" w:hanging="444"/>
      </w:pPr>
      <w:rPr>
        <w:rFonts w:hint="default"/>
      </w:rPr>
    </w:lvl>
    <w:lvl w:ilvl="1">
      <w:start w:val="2"/>
      <w:numFmt w:val="decimal"/>
      <w:lvlText w:val="%1.%2"/>
      <w:lvlJc w:val="left"/>
      <w:pPr>
        <w:ind w:left="804" w:hanging="444"/>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8" w15:restartNumberingAfterBreak="0">
    <w:nsid w:val="0DAB7FC9"/>
    <w:multiLevelType w:val="multilevel"/>
    <w:tmpl w:val="3D04265A"/>
    <w:lvl w:ilvl="0">
      <w:start w:val="1"/>
      <w:numFmt w:val="upperRoman"/>
      <w:pStyle w:val="Chapter"/>
      <w:lvlText w:val="%1."/>
      <w:lvlJc w:val="center"/>
      <w:pPr>
        <w:tabs>
          <w:tab w:val="num" w:pos="648"/>
        </w:tabs>
        <w:ind w:left="0" w:firstLine="288"/>
      </w:pPr>
      <w:rPr>
        <w:b/>
        <w:i w:val="0"/>
      </w:rPr>
    </w:lvl>
    <w:lvl w:ilvl="1">
      <w:start w:val="1"/>
      <w:numFmt w:val="decimal"/>
      <w:pStyle w:val="Paragraph"/>
      <w:isLgl/>
      <w:lvlText w:val="%1.%2"/>
      <w:lvlJc w:val="left"/>
      <w:pPr>
        <w:tabs>
          <w:tab w:val="num" w:pos="720"/>
        </w:tabs>
        <w:ind w:left="720" w:hanging="720"/>
      </w:pPr>
    </w:lvl>
    <w:lvl w:ilvl="2">
      <w:start w:val="1"/>
      <w:numFmt w:val="lowerLetter"/>
      <w:pStyle w:val="subpar"/>
      <w:lvlText w:val="%3."/>
      <w:lvlJc w:val="left"/>
      <w:pPr>
        <w:tabs>
          <w:tab w:val="num" w:pos="1152"/>
        </w:tabs>
        <w:ind w:left="1152" w:hanging="432"/>
      </w:pPr>
    </w:lvl>
    <w:lvl w:ilvl="3">
      <w:start w:val="1"/>
      <w:numFmt w:val="lowerRoman"/>
      <w:pStyle w:val="SubSubPar"/>
      <w:lvlText w:val="%4."/>
      <w:lvlJc w:val="right"/>
      <w:pPr>
        <w:tabs>
          <w:tab w:val="num" w:pos="1584"/>
        </w:tabs>
        <w:ind w:left="1584" w:hanging="288"/>
      </w:pPr>
    </w:lvl>
    <w:lvl w:ilvl="4">
      <w:start w:val="1"/>
      <w:numFmt w:val="none"/>
      <w:lvlText w:val=""/>
      <w:lvlJc w:val="left"/>
      <w:pPr>
        <w:tabs>
          <w:tab w:val="num" w:pos="3240"/>
        </w:tabs>
        <w:ind w:left="2880" w:firstLine="0"/>
      </w:pPr>
    </w:lvl>
    <w:lvl w:ilvl="5">
      <w:start w:val="1"/>
      <w:numFmt w:val="none"/>
      <w:lvlText w:val=""/>
      <w:lvlJc w:val="left"/>
      <w:pPr>
        <w:tabs>
          <w:tab w:val="num" w:pos="3960"/>
        </w:tabs>
        <w:ind w:left="3600" w:firstLine="0"/>
      </w:pPr>
    </w:lvl>
    <w:lvl w:ilvl="6">
      <w:start w:val="1"/>
      <w:numFmt w:val="none"/>
      <w:lvlText w:val=""/>
      <w:lvlJc w:val="left"/>
      <w:pPr>
        <w:tabs>
          <w:tab w:val="num" w:pos="4680"/>
        </w:tabs>
        <w:ind w:left="4320" w:firstLine="0"/>
      </w:pPr>
    </w:lvl>
    <w:lvl w:ilvl="7">
      <w:start w:val="1"/>
      <w:numFmt w:val="none"/>
      <w:lvlText w:val=""/>
      <w:lvlJc w:val="left"/>
      <w:pPr>
        <w:tabs>
          <w:tab w:val="num" w:pos="5400"/>
        </w:tabs>
        <w:ind w:left="5040" w:firstLine="0"/>
      </w:pPr>
    </w:lvl>
    <w:lvl w:ilvl="8">
      <w:start w:val="1"/>
      <w:numFmt w:val="none"/>
      <w:lvlText w:val=""/>
      <w:lvlJc w:val="left"/>
      <w:pPr>
        <w:tabs>
          <w:tab w:val="num" w:pos="6120"/>
        </w:tabs>
        <w:ind w:left="5760" w:firstLine="0"/>
      </w:pPr>
    </w:lvl>
  </w:abstractNum>
  <w:abstractNum w:abstractNumId="29" w15:restartNumberingAfterBreak="0">
    <w:nsid w:val="0DE53427"/>
    <w:multiLevelType w:val="hybridMultilevel"/>
    <w:tmpl w:val="FB7A34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E933CF6"/>
    <w:multiLevelType w:val="hybridMultilevel"/>
    <w:tmpl w:val="DBDE7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F236B3F"/>
    <w:multiLevelType w:val="hybridMultilevel"/>
    <w:tmpl w:val="5676413A"/>
    <w:lvl w:ilvl="0" w:tplc="04090017">
      <w:start w:val="1"/>
      <w:numFmt w:val="lowerLetter"/>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32" w15:restartNumberingAfterBreak="0">
    <w:nsid w:val="0F5013BD"/>
    <w:multiLevelType w:val="hybridMultilevel"/>
    <w:tmpl w:val="DBB8ACF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3" w15:restartNumberingAfterBreak="0">
    <w:nsid w:val="0FBA07A8"/>
    <w:multiLevelType w:val="hybridMultilevel"/>
    <w:tmpl w:val="E300F8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10275FFA"/>
    <w:multiLevelType w:val="hybridMultilevel"/>
    <w:tmpl w:val="84702FC8"/>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106E6DC4"/>
    <w:multiLevelType w:val="hybridMultilevel"/>
    <w:tmpl w:val="B7802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2562E3B"/>
    <w:multiLevelType w:val="hybridMultilevel"/>
    <w:tmpl w:val="B210BDC0"/>
    <w:lvl w:ilvl="0" w:tplc="E7C2BEDA">
      <w:start w:val="10"/>
      <w:numFmt w:val="decimal"/>
      <w:lvlText w:val="%1."/>
      <w:lvlJc w:val="left"/>
      <w:pPr>
        <w:ind w:left="603" w:hanging="300"/>
      </w:pPr>
      <w:rPr>
        <w:rFonts w:ascii="Times New Roman" w:eastAsia="Times New Roman" w:hAnsi="Times New Roman" w:cs="Times New Roman" w:hint="default"/>
        <w:b/>
        <w:bCs/>
        <w:color w:val="231F20"/>
        <w:w w:val="100"/>
        <w:sz w:val="20"/>
        <w:szCs w:val="20"/>
        <w:lang w:val="pt-PT" w:eastAsia="en-US" w:bidi="ar-SA"/>
      </w:rPr>
    </w:lvl>
    <w:lvl w:ilvl="1" w:tplc="5510E296">
      <w:numFmt w:val="bullet"/>
      <w:lvlText w:val="•"/>
      <w:lvlJc w:val="left"/>
      <w:pPr>
        <w:ind w:left="877" w:hanging="120"/>
      </w:pPr>
      <w:rPr>
        <w:rFonts w:ascii="Times New Roman" w:eastAsia="Times New Roman" w:hAnsi="Times New Roman" w:cs="Times New Roman" w:hint="default"/>
        <w:color w:val="231F20"/>
        <w:w w:val="99"/>
        <w:sz w:val="20"/>
        <w:szCs w:val="20"/>
        <w:lang w:val="pt-PT" w:eastAsia="en-US" w:bidi="ar-SA"/>
      </w:rPr>
    </w:lvl>
    <w:lvl w:ilvl="2" w:tplc="1E54C5E0">
      <w:numFmt w:val="bullet"/>
      <w:lvlText w:val="•"/>
      <w:lvlJc w:val="left"/>
      <w:pPr>
        <w:ind w:left="1980" w:hanging="120"/>
      </w:pPr>
      <w:rPr>
        <w:rFonts w:hint="default"/>
        <w:lang w:val="pt-PT" w:eastAsia="en-US" w:bidi="ar-SA"/>
      </w:rPr>
    </w:lvl>
    <w:lvl w:ilvl="3" w:tplc="DBD056B0">
      <w:numFmt w:val="bullet"/>
      <w:lvlText w:val="•"/>
      <w:lvlJc w:val="left"/>
      <w:pPr>
        <w:ind w:left="3080" w:hanging="120"/>
      </w:pPr>
      <w:rPr>
        <w:rFonts w:hint="default"/>
        <w:lang w:val="pt-PT" w:eastAsia="en-US" w:bidi="ar-SA"/>
      </w:rPr>
    </w:lvl>
    <w:lvl w:ilvl="4" w:tplc="F948C228">
      <w:numFmt w:val="bullet"/>
      <w:lvlText w:val="•"/>
      <w:lvlJc w:val="left"/>
      <w:pPr>
        <w:ind w:left="4180" w:hanging="120"/>
      </w:pPr>
      <w:rPr>
        <w:rFonts w:hint="default"/>
        <w:lang w:val="pt-PT" w:eastAsia="en-US" w:bidi="ar-SA"/>
      </w:rPr>
    </w:lvl>
    <w:lvl w:ilvl="5" w:tplc="268E9DAE">
      <w:numFmt w:val="bullet"/>
      <w:lvlText w:val="•"/>
      <w:lvlJc w:val="left"/>
      <w:pPr>
        <w:ind w:left="5280" w:hanging="120"/>
      </w:pPr>
      <w:rPr>
        <w:rFonts w:hint="default"/>
        <w:lang w:val="pt-PT" w:eastAsia="en-US" w:bidi="ar-SA"/>
      </w:rPr>
    </w:lvl>
    <w:lvl w:ilvl="6" w:tplc="8B1ACB9A">
      <w:numFmt w:val="bullet"/>
      <w:lvlText w:val="•"/>
      <w:lvlJc w:val="left"/>
      <w:pPr>
        <w:ind w:left="6380" w:hanging="120"/>
      </w:pPr>
      <w:rPr>
        <w:rFonts w:hint="default"/>
        <w:lang w:val="pt-PT" w:eastAsia="en-US" w:bidi="ar-SA"/>
      </w:rPr>
    </w:lvl>
    <w:lvl w:ilvl="7" w:tplc="55B695E2">
      <w:numFmt w:val="bullet"/>
      <w:lvlText w:val="•"/>
      <w:lvlJc w:val="left"/>
      <w:pPr>
        <w:ind w:left="7480" w:hanging="120"/>
      </w:pPr>
      <w:rPr>
        <w:rFonts w:hint="default"/>
        <w:lang w:val="pt-PT" w:eastAsia="en-US" w:bidi="ar-SA"/>
      </w:rPr>
    </w:lvl>
    <w:lvl w:ilvl="8" w:tplc="66C4EE64">
      <w:numFmt w:val="bullet"/>
      <w:lvlText w:val="•"/>
      <w:lvlJc w:val="left"/>
      <w:pPr>
        <w:ind w:left="8580" w:hanging="120"/>
      </w:pPr>
      <w:rPr>
        <w:rFonts w:hint="default"/>
        <w:lang w:val="pt-PT" w:eastAsia="en-US" w:bidi="ar-SA"/>
      </w:rPr>
    </w:lvl>
  </w:abstractNum>
  <w:abstractNum w:abstractNumId="37" w15:restartNumberingAfterBreak="0">
    <w:nsid w:val="12B0219C"/>
    <w:multiLevelType w:val="hybridMultilevel"/>
    <w:tmpl w:val="CF9A02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12BF6E25"/>
    <w:multiLevelType w:val="hybridMultilevel"/>
    <w:tmpl w:val="41F48E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12DB1D13"/>
    <w:multiLevelType w:val="hybridMultilevel"/>
    <w:tmpl w:val="563831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3637001"/>
    <w:multiLevelType w:val="hybridMultilevel"/>
    <w:tmpl w:val="4DA648C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1" w15:restartNumberingAfterBreak="0">
    <w:nsid w:val="139447F6"/>
    <w:multiLevelType w:val="hybridMultilevel"/>
    <w:tmpl w:val="BB38D0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3FF453B"/>
    <w:multiLevelType w:val="hybridMultilevel"/>
    <w:tmpl w:val="31FE2354"/>
    <w:lvl w:ilvl="0" w:tplc="0D0CE95C">
      <w:numFmt w:val="bullet"/>
      <w:lvlText w:val="•"/>
      <w:lvlJc w:val="left"/>
      <w:pPr>
        <w:ind w:left="1080" w:hanging="72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4EA0453"/>
    <w:multiLevelType w:val="hybridMultilevel"/>
    <w:tmpl w:val="4404D6A6"/>
    <w:lvl w:ilvl="0" w:tplc="FAF061A0">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4EB20B4"/>
    <w:multiLevelType w:val="hybridMultilevel"/>
    <w:tmpl w:val="95488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5BC7D99"/>
    <w:multiLevelType w:val="multilevel"/>
    <w:tmpl w:val="35345D3C"/>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6" w15:restartNumberingAfterBreak="0">
    <w:nsid w:val="16487F5D"/>
    <w:multiLevelType w:val="hybridMultilevel"/>
    <w:tmpl w:val="E2129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6D819E2"/>
    <w:multiLevelType w:val="multilevel"/>
    <w:tmpl w:val="7F8EF364"/>
    <w:lvl w:ilvl="0">
      <w:start w:val="1"/>
      <w:numFmt w:val="bullet"/>
      <w:pStyle w:val="Bullet1"/>
      <w:lvlText w:val=""/>
      <w:lvlJc w:val="left"/>
      <w:pPr>
        <w:tabs>
          <w:tab w:val="num" w:pos="852"/>
        </w:tabs>
        <w:ind w:left="852" w:hanging="284"/>
      </w:pPr>
      <w:rPr>
        <w:rFonts w:ascii="Wingdings 2" w:hAnsi="Wingdings 2" w:hint="default"/>
        <w:color w:val="0079C1"/>
        <w:sz w:val="24"/>
      </w:rPr>
    </w:lvl>
    <w:lvl w:ilvl="1">
      <w:start w:val="1"/>
      <w:numFmt w:val="bullet"/>
      <w:pStyle w:val="Bullet2"/>
      <w:lvlText w:val=""/>
      <w:lvlJc w:val="left"/>
      <w:pPr>
        <w:tabs>
          <w:tab w:val="num" w:pos="1135"/>
        </w:tabs>
        <w:ind w:left="1135" w:hanging="283"/>
      </w:pPr>
      <w:rPr>
        <w:rFonts w:ascii="Symbol" w:hAnsi="Symbol" w:hint="default"/>
        <w:color w:val="0079C1"/>
        <w:sz w:val="24"/>
      </w:rPr>
    </w:lvl>
    <w:lvl w:ilvl="2">
      <w:start w:val="1"/>
      <w:numFmt w:val="bullet"/>
      <w:pStyle w:val="Bullet3"/>
      <w:lvlText w:val=""/>
      <w:lvlJc w:val="left"/>
      <w:pPr>
        <w:tabs>
          <w:tab w:val="num" w:pos="1419"/>
        </w:tabs>
        <w:ind w:left="1419" w:hanging="284"/>
      </w:pPr>
      <w:rPr>
        <w:rFonts w:ascii="Symbol" w:hAnsi="Symbol" w:hint="default"/>
        <w:color w:val="0079C1"/>
        <w:sz w:val="24"/>
      </w:rPr>
    </w:lvl>
    <w:lvl w:ilvl="3">
      <w:start w:val="1"/>
      <w:numFmt w:val="bullet"/>
      <w:lvlText w:val=""/>
      <w:lvlJc w:val="left"/>
      <w:pPr>
        <w:tabs>
          <w:tab w:val="num" w:pos="2008"/>
        </w:tabs>
        <w:ind w:left="2008" w:hanging="360"/>
      </w:pPr>
      <w:rPr>
        <w:rFonts w:ascii="Symbol" w:hAnsi="Symbol" w:hint="default"/>
      </w:rPr>
    </w:lvl>
    <w:lvl w:ilvl="4">
      <w:start w:val="1"/>
      <w:numFmt w:val="bullet"/>
      <w:lvlText w:val=""/>
      <w:lvlJc w:val="left"/>
      <w:pPr>
        <w:tabs>
          <w:tab w:val="num" w:pos="2368"/>
        </w:tabs>
        <w:ind w:left="2368" w:hanging="360"/>
      </w:pPr>
      <w:rPr>
        <w:rFonts w:ascii="Symbol" w:hAnsi="Symbol" w:hint="default"/>
      </w:rPr>
    </w:lvl>
    <w:lvl w:ilvl="5">
      <w:start w:val="1"/>
      <w:numFmt w:val="bullet"/>
      <w:lvlText w:val=""/>
      <w:lvlJc w:val="left"/>
      <w:pPr>
        <w:tabs>
          <w:tab w:val="num" w:pos="2728"/>
        </w:tabs>
        <w:ind w:left="2728" w:hanging="360"/>
      </w:pPr>
      <w:rPr>
        <w:rFonts w:ascii="Wingdings" w:hAnsi="Wingdings" w:hint="default"/>
      </w:rPr>
    </w:lvl>
    <w:lvl w:ilvl="6">
      <w:start w:val="1"/>
      <w:numFmt w:val="bullet"/>
      <w:lvlText w:val=""/>
      <w:lvlJc w:val="left"/>
      <w:pPr>
        <w:tabs>
          <w:tab w:val="num" w:pos="3088"/>
        </w:tabs>
        <w:ind w:left="3088" w:hanging="360"/>
      </w:pPr>
      <w:rPr>
        <w:rFonts w:ascii="Wingdings" w:hAnsi="Wingdings" w:hint="default"/>
      </w:rPr>
    </w:lvl>
    <w:lvl w:ilvl="7">
      <w:start w:val="1"/>
      <w:numFmt w:val="bullet"/>
      <w:lvlText w:val=""/>
      <w:lvlJc w:val="left"/>
      <w:pPr>
        <w:tabs>
          <w:tab w:val="num" w:pos="3448"/>
        </w:tabs>
        <w:ind w:left="3448" w:hanging="360"/>
      </w:pPr>
      <w:rPr>
        <w:rFonts w:ascii="Symbol" w:hAnsi="Symbol" w:hint="default"/>
      </w:rPr>
    </w:lvl>
    <w:lvl w:ilvl="8">
      <w:start w:val="1"/>
      <w:numFmt w:val="bullet"/>
      <w:lvlText w:val=""/>
      <w:lvlJc w:val="left"/>
      <w:pPr>
        <w:tabs>
          <w:tab w:val="num" w:pos="3808"/>
        </w:tabs>
        <w:ind w:left="3808" w:hanging="360"/>
      </w:pPr>
      <w:rPr>
        <w:rFonts w:ascii="Symbol" w:hAnsi="Symbol" w:hint="default"/>
      </w:rPr>
    </w:lvl>
  </w:abstractNum>
  <w:abstractNum w:abstractNumId="48" w15:restartNumberingAfterBreak="0">
    <w:nsid w:val="17180B0B"/>
    <w:multiLevelType w:val="hybridMultilevel"/>
    <w:tmpl w:val="BFD62AF4"/>
    <w:lvl w:ilvl="0" w:tplc="60588ACE">
      <w:start w:val="1"/>
      <w:numFmt w:val="bullet"/>
      <w:lvlText w:val="•"/>
      <w:lvlJc w:val="left"/>
      <w:pPr>
        <w:ind w:left="0" w:firstLine="0"/>
      </w:pPr>
    </w:lvl>
    <w:lvl w:ilvl="1" w:tplc="6F06B5CE">
      <w:numFmt w:val="decimal"/>
      <w:lvlText w:val=""/>
      <w:lvlJc w:val="left"/>
      <w:pPr>
        <w:ind w:left="0" w:firstLine="0"/>
      </w:pPr>
    </w:lvl>
    <w:lvl w:ilvl="2" w:tplc="2AC8ABCA">
      <w:numFmt w:val="decimal"/>
      <w:lvlText w:val=""/>
      <w:lvlJc w:val="left"/>
      <w:pPr>
        <w:ind w:left="0" w:firstLine="0"/>
      </w:pPr>
    </w:lvl>
    <w:lvl w:ilvl="3" w:tplc="D228D426">
      <w:numFmt w:val="decimal"/>
      <w:lvlText w:val=""/>
      <w:lvlJc w:val="left"/>
      <w:pPr>
        <w:ind w:left="0" w:firstLine="0"/>
      </w:pPr>
    </w:lvl>
    <w:lvl w:ilvl="4" w:tplc="71E26C52">
      <w:numFmt w:val="decimal"/>
      <w:lvlText w:val=""/>
      <w:lvlJc w:val="left"/>
      <w:pPr>
        <w:ind w:left="0" w:firstLine="0"/>
      </w:pPr>
    </w:lvl>
    <w:lvl w:ilvl="5" w:tplc="0EB20696">
      <w:numFmt w:val="decimal"/>
      <w:lvlText w:val=""/>
      <w:lvlJc w:val="left"/>
      <w:pPr>
        <w:ind w:left="0" w:firstLine="0"/>
      </w:pPr>
    </w:lvl>
    <w:lvl w:ilvl="6" w:tplc="033C54B4">
      <w:numFmt w:val="decimal"/>
      <w:lvlText w:val=""/>
      <w:lvlJc w:val="left"/>
      <w:pPr>
        <w:ind w:left="0" w:firstLine="0"/>
      </w:pPr>
    </w:lvl>
    <w:lvl w:ilvl="7" w:tplc="11683964">
      <w:numFmt w:val="decimal"/>
      <w:lvlText w:val=""/>
      <w:lvlJc w:val="left"/>
      <w:pPr>
        <w:ind w:left="0" w:firstLine="0"/>
      </w:pPr>
    </w:lvl>
    <w:lvl w:ilvl="8" w:tplc="2A5A0818">
      <w:numFmt w:val="decimal"/>
      <w:lvlText w:val=""/>
      <w:lvlJc w:val="left"/>
      <w:pPr>
        <w:ind w:left="0" w:firstLine="0"/>
      </w:pPr>
    </w:lvl>
  </w:abstractNum>
  <w:abstractNum w:abstractNumId="49" w15:restartNumberingAfterBreak="0">
    <w:nsid w:val="178D36D9"/>
    <w:multiLevelType w:val="hybridMultilevel"/>
    <w:tmpl w:val="CF06D7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17B23BD1"/>
    <w:multiLevelType w:val="hybridMultilevel"/>
    <w:tmpl w:val="E918FAF2"/>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1" w15:restartNumberingAfterBreak="0">
    <w:nsid w:val="17D86880"/>
    <w:multiLevelType w:val="hybridMultilevel"/>
    <w:tmpl w:val="83EC9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86F0A5A"/>
    <w:multiLevelType w:val="hybridMultilevel"/>
    <w:tmpl w:val="9FC49D1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18714FD6"/>
    <w:multiLevelType w:val="singleLevel"/>
    <w:tmpl w:val="0C1C0B1C"/>
    <w:lvl w:ilvl="0">
      <w:start w:val="1"/>
      <w:numFmt w:val="bullet"/>
      <w:pStyle w:val="commarcadores"/>
      <w:lvlText w:val=""/>
      <w:lvlJc w:val="left"/>
      <w:pPr>
        <w:tabs>
          <w:tab w:val="num" w:pos="360"/>
        </w:tabs>
        <w:ind w:left="360" w:hanging="360"/>
      </w:pPr>
      <w:rPr>
        <w:rFonts w:ascii="Wingdings" w:hAnsi="Wingdings" w:hint="default"/>
        <w:sz w:val="16"/>
      </w:rPr>
    </w:lvl>
  </w:abstractNum>
  <w:abstractNum w:abstractNumId="54" w15:restartNumberingAfterBreak="0">
    <w:nsid w:val="18C73D99"/>
    <w:multiLevelType w:val="multilevel"/>
    <w:tmpl w:val="9AFAE450"/>
    <w:lvl w:ilvl="0">
      <w:start w:val="4"/>
      <w:numFmt w:val="decimal"/>
      <w:lvlText w:val="%1."/>
      <w:lvlJc w:val="left"/>
      <w:pPr>
        <w:ind w:left="432" w:hanging="432"/>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5" w15:restartNumberingAfterBreak="0">
    <w:nsid w:val="19877A72"/>
    <w:multiLevelType w:val="hybridMultilevel"/>
    <w:tmpl w:val="6FBCFFB2"/>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6" w15:restartNumberingAfterBreak="0">
    <w:nsid w:val="19D12090"/>
    <w:multiLevelType w:val="hybridMultilevel"/>
    <w:tmpl w:val="4148D4E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1A9B5261"/>
    <w:multiLevelType w:val="hybridMultilevel"/>
    <w:tmpl w:val="4CA84412"/>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8" w15:restartNumberingAfterBreak="0">
    <w:nsid w:val="1AE57F5D"/>
    <w:multiLevelType w:val="multilevel"/>
    <w:tmpl w:val="A63A72F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pStyle w:val="Cabealho4"/>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9" w15:restartNumberingAfterBreak="0">
    <w:nsid w:val="1B4021C4"/>
    <w:multiLevelType w:val="hybridMultilevel"/>
    <w:tmpl w:val="17DA5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B677C68"/>
    <w:multiLevelType w:val="hybridMultilevel"/>
    <w:tmpl w:val="015A1A08"/>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 w15:restartNumberingAfterBreak="0">
    <w:nsid w:val="1C70360A"/>
    <w:multiLevelType w:val="hybridMultilevel"/>
    <w:tmpl w:val="94A4056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2" w15:restartNumberingAfterBreak="0">
    <w:nsid w:val="1E170FB1"/>
    <w:multiLevelType w:val="hybridMultilevel"/>
    <w:tmpl w:val="1772B18C"/>
    <w:lvl w:ilvl="0" w:tplc="08160013">
      <w:start w:val="1"/>
      <w:numFmt w:val="upperRoman"/>
      <w:lvlText w:val="%1."/>
      <w:lvlJc w:val="right"/>
      <w:pPr>
        <w:ind w:left="720" w:hanging="360"/>
      </w:pPr>
    </w:lvl>
    <w:lvl w:ilvl="1" w:tplc="08160019">
      <w:start w:val="1"/>
      <w:numFmt w:val="lowerLetter"/>
      <w:lvlText w:val="%2."/>
      <w:lvlJc w:val="left"/>
      <w:pPr>
        <w:ind w:left="1440" w:hanging="360"/>
      </w:pPr>
    </w:lvl>
    <w:lvl w:ilvl="2" w:tplc="0816001B">
      <w:start w:val="1"/>
      <w:numFmt w:val="lowerRoman"/>
      <w:lvlText w:val="%3."/>
      <w:lvlJc w:val="right"/>
      <w:pPr>
        <w:ind w:left="2160" w:hanging="180"/>
      </w:pPr>
    </w:lvl>
    <w:lvl w:ilvl="3" w:tplc="0816000F">
      <w:start w:val="1"/>
      <w:numFmt w:val="decimal"/>
      <w:lvlText w:val="%4."/>
      <w:lvlJc w:val="left"/>
      <w:pPr>
        <w:ind w:left="2880" w:hanging="360"/>
      </w:pPr>
    </w:lvl>
    <w:lvl w:ilvl="4" w:tplc="08160019">
      <w:start w:val="1"/>
      <w:numFmt w:val="lowerLetter"/>
      <w:lvlText w:val="%5."/>
      <w:lvlJc w:val="left"/>
      <w:pPr>
        <w:ind w:left="3600" w:hanging="360"/>
      </w:pPr>
    </w:lvl>
    <w:lvl w:ilvl="5" w:tplc="0816001B">
      <w:start w:val="1"/>
      <w:numFmt w:val="lowerRoman"/>
      <w:lvlText w:val="%6."/>
      <w:lvlJc w:val="right"/>
      <w:pPr>
        <w:ind w:left="4320" w:hanging="180"/>
      </w:pPr>
    </w:lvl>
    <w:lvl w:ilvl="6" w:tplc="0816000F">
      <w:start w:val="1"/>
      <w:numFmt w:val="decimal"/>
      <w:lvlText w:val="%7."/>
      <w:lvlJc w:val="left"/>
      <w:pPr>
        <w:ind w:left="5040" w:hanging="360"/>
      </w:pPr>
    </w:lvl>
    <w:lvl w:ilvl="7" w:tplc="08160019">
      <w:start w:val="1"/>
      <w:numFmt w:val="lowerLetter"/>
      <w:lvlText w:val="%8."/>
      <w:lvlJc w:val="left"/>
      <w:pPr>
        <w:ind w:left="5760" w:hanging="360"/>
      </w:pPr>
    </w:lvl>
    <w:lvl w:ilvl="8" w:tplc="0816001B">
      <w:start w:val="1"/>
      <w:numFmt w:val="lowerRoman"/>
      <w:lvlText w:val="%9."/>
      <w:lvlJc w:val="right"/>
      <w:pPr>
        <w:ind w:left="6480" w:hanging="180"/>
      </w:pPr>
    </w:lvl>
  </w:abstractNum>
  <w:abstractNum w:abstractNumId="63" w15:restartNumberingAfterBreak="0">
    <w:nsid w:val="216F520F"/>
    <w:multiLevelType w:val="hybridMultilevel"/>
    <w:tmpl w:val="81DEC12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4" w15:restartNumberingAfterBreak="0">
    <w:nsid w:val="23A40B6F"/>
    <w:multiLevelType w:val="hybridMultilevel"/>
    <w:tmpl w:val="98A45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45756E6"/>
    <w:multiLevelType w:val="hybridMultilevel"/>
    <w:tmpl w:val="EF1A37C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6" w15:restartNumberingAfterBreak="0">
    <w:nsid w:val="25413BEC"/>
    <w:multiLevelType w:val="hybridMultilevel"/>
    <w:tmpl w:val="819EF584"/>
    <w:lvl w:ilvl="0" w:tplc="5C98CB76">
      <w:start w:val="1"/>
      <w:numFmt w:val="bullet"/>
      <w:lvlText w:val="•"/>
      <w:lvlJc w:val="left"/>
      <w:pPr>
        <w:ind w:left="0" w:firstLine="0"/>
      </w:pPr>
    </w:lvl>
    <w:lvl w:ilvl="1" w:tplc="1BE81328">
      <w:numFmt w:val="decimal"/>
      <w:lvlText w:val=""/>
      <w:lvlJc w:val="left"/>
      <w:pPr>
        <w:ind w:left="0" w:firstLine="0"/>
      </w:pPr>
    </w:lvl>
    <w:lvl w:ilvl="2" w:tplc="232A67E4">
      <w:numFmt w:val="decimal"/>
      <w:lvlText w:val=""/>
      <w:lvlJc w:val="left"/>
      <w:pPr>
        <w:ind w:left="0" w:firstLine="0"/>
      </w:pPr>
    </w:lvl>
    <w:lvl w:ilvl="3" w:tplc="1D2EBD18">
      <w:numFmt w:val="decimal"/>
      <w:lvlText w:val=""/>
      <w:lvlJc w:val="left"/>
      <w:pPr>
        <w:ind w:left="0" w:firstLine="0"/>
      </w:pPr>
    </w:lvl>
    <w:lvl w:ilvl="4" w:tplc="B68EF26C">
      <w:numFmt w:val="decimal"/>
      <w:lvlText w:val=""/>
      <w:lvlJc w:val="left"/>
      <w:pPr>
        <w:ind w:left="0" w:firstLine="0"/>
      </w:pPr>
    </w:lvl>
    <w:lvl w:ilvl="5" w:tplc="D8FA9942">
      <w:numFmt w:val="decimal"/>
      <w:lvlText w:val=""/>
      <w:lvlJc w:val="left"/>
      <w:pPr>
        <w:ind w:left="0" w:firstLine="0"/>
      </w:pPr>
    </w:lvl>
    <w:lvl w:ilvl="6" w:tplc="FE8A9F8E">
      <w:numFmt w:val="decimal"/>
      <w:lvlText w:val=""/>
      <w:lvlJc w:val="left"/>
      <w:pPr>
        <w:ind w:left="0" w:firstLine="0"/>
      </w:pPr>
    </w:lvl>
    <w:lvl w:ilvl="7" w:tplc="83D401D8">
      <w:numFmt w:val="decimal"/>
      <w:lvlText w:val=""/>
      <w:lvlJc w:val="left"/>
      <w:pPr>
        <w:ind w:left="0" w:firstLine="0"/>
      </w:pPr>
    </w:lvl>
    <w:lvl w:ilvl="8" w:tplc="0FEE8146">
      <w:numFmt w:val="decimal"/>
      <w:lvlText w:val=""/>
      <w:lvlJc w:val="left"/>
      <w:pPr>
        <w:ind w:left="0" w:firstLine="0"/>
      </w:pPr>
    </w:lvl>
  </w:abstractNum>
  <w:abstractNum w:abstractNumId="67" w15:restartNumberingAfterBreak="0">
    <w:nsid w:val="25561291"/>
    <w:multiLevelType w:val="hybridMultilevel"/>
    <w:tmpl w:val="F8125524"/>
    <w:lvl w:ilvl="0" w:tplc="B7ACB12A">
      <w:numFmt w:val="bullet"/>
      <w:lvlText w:val="•"/>
      <w:lvlJc w:val="left"/>
      <w:pPr>
        <w:ind w:left="720" w:hanging="72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5DF0373"/>
    <w:multiLevelType w:val="hybridMultilevel"/>
    <w:tmpl w:val="A8009D04"/>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9" w15:restartNumberingAfterBreak="0">
    <w:nsid w:val="27024205"/>
    <w:multiLevelType w:val="hybridMultilevel"/>
    <w:tmpl w:val="557876F6"/>
    <w:lvl w:ilvl="0" w:tplc="08160001">
      <w:start w:val="1"/>
      <w:numFmt w:val="bullet"/>
      <w:lvlText w:val=""/>
      <w:lvlJc w:val="left"/>
      <w:pPr>
        <w:ind w:left="743" w:hanging="360"/>
      </w:pPr>
      <w:rPr>
        <w:rFonts w:ascii="Symbol" w:hAnsi="Symbol" w:hint="default"/>
      </w:rPr>
    </w:lvl>
    <w:lvl w:ilvl="1" w:tplc="08160003">
      <w:start w:val="1"/>
      <w:numFmt w:val="bullet"/>
      <w:lvlText w:val="o"/>
      <w:lvlJc w:val="left"/>
      <w:pPr>
        <w:ind w:left="1463" w:hanging="360"/>
      </w:pPr>
      <w:rPr>
        <w:rFonts w:ascii="Courier New" w:hAnsi="Courier New" w:cs="Courier New" w:hint="default"/>
      </w:rPr>
    </w:lvl>
    <w:lvl w:ilvl="2" w:tplc="08160005" w:tentative="1">
      <w:start w:val="1"/>
      <w:numFmt w:val="bullet"/>
      <w:lvlText w:val=""/>
      <w:lvlJc w:val="left"/>
      <w:pPr>
        <w:ind w:left="2183" w:hanging="360"/>
      </w:pPr>
      <w:rPr>
        <w:rFonts w:ascii="Wingdings" w:hAnsi="Wingdings" w:hint="default"/>
      </w:rPr>
    </w:lvl>
    <w:lvl w:ilvl="3" w:tplc="08160001" w:tentative="1">
      <w:start w:val="1"/>
      <w:numFmt w:val="bullet"/>
      <w:lvlText w:val=""/>
      <w:lvlJc w:val="left"/>
      <w:pPr>
        <w:ind w:left="2903" w:hanging="360"/>
      </w:pPr>
      <w:rPr>
        <w:rFonts w:ascii="Symbol" w:hAnsi="Symbol" w:hint="default"/>
      </w:rPr>
    </w:lvl>
    <w:lvl w:ilvl="4" w:tplc="08160003" w:tentative="1">
      <w:start w:val="1"/>
      <w:numFmt w:val="bullet"/>
      <w:lvlText w:val="o"/>
      <w:lvlJc w:val="left"/>
      <w:pPr>
        <w:ind w:left="3623" w:hanging="360"/>
      </w:pPr>
      <w:rPr>
        <w:rFonts w:ascii="Courier New" w:hAnsi="Courier New" w:cs="Courier New" w:hint="default"/>
      </w:rPr>
    </w:lvl>
    <w:lvl w:ilvl="5" w:tplc="08160005" w:tentative="1">
      <w:start w:val="1"/>
      <w:numFmt w:val="bullet"/>
      <w:lvlText w:val=""/>
      <w:lvlJc w:val="left"/>
      <w:pPr>
        <w:ind w:left="4343" w:hanging="360"/>
      </w:pPr>
      <w:rPr>
        <w:rFonts w:ascii="Wingdings" w:hAnsi="Wingdings" w:hint="default"/>
      </w:rPr>
    </w:lvl>
    <w:lvl w:ilvl="6" w:tplc="08160001" w:tentative="1">
      <w:start w:val="1"/>
      <w:numFmt w:val="bullet"/>
      <w:lvlText w:val=""/>
      <w:lvlJc w:val="left"/>
      <w:pPr>
        <w:ind w:left="5063" w:hanging="360"/>
      </w:pPr>
      <w:rPr>
        <w:rFonts w:ascii="Symbol" w:hAnsi="Symbol" w:hint="default"/>
      </w:rPr>
    </w:lvl>
    <w:lvl w:ilvl="7" w:tplc="08160003" w:tentative="1">
      <w:start w:val="1"/>
      <w:numFmt w:val="bullet"/>
      <w:lvlText w:val="o"/>
      <w:lvlJc w:val="left"/>
      <w:pPr>
        <w:ind w:left="5783" w:hanging="360"/>
      </w:pPr>
      <w:rPr>
        <w:rFonts w:ascii="Courier New" w:hAnsi="Courier New" w:cs="Courier New" w:hint="default"/>
      </w:rPr>
    </w:lvl>
    <w:lvl w:ilvl="8" w:tplc="08160005" w:tentative="1">
      <w:start w:val="1"/>
      <w:numFmt w:val="bullet"/>
      <w:lvlText w:val=""/>
      <w:lvlJc w:val="left"/>
      <w:pPr>
        <w:ind w:left="6503" w:hanging="360"/>
      </w:pPr>
      <w:rPr>
        <w:rFonts w:ascii="Wingdings" w:hAnsi="Wingdings" w:hint="default"/>
      </w:rPr>
    </w:lvl>
  </w:abstractNum>
  <w:abstractNum w:abstractNumId="70" w15:restartNumberingAfterBreak="0">
    <w:nsid w:val="275D63D3"/>
    <w:multiLevelType w:val="hybridMultilevel"/>
    <w:tmpl w:val="D248B80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1" w15:restartNumberingAfterBreak="0">
    <w:nsid w:val="2778703D"/>
    <w:multiLevelType w:val="hybridMultilevel"/>
    <w:tmpl w:val="4F76B67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2" w15:restartNumberingAfterBreak="0">
    <w:nsid w:val="277C04F4"/>
    <w:multiLevelType w:val="hybridMultilevel"/>
    <w:tmpl w:val="8EB0A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7970F6D"/>
    <w:multiLevelType w:val="hybridMultilevel"/>
    <w:tmpl w:val="0AA6D320"/>
    <w:lvl w:ilvl="0" w:tplc="E87C61BE">
      <w:start w:val="1"/>
      <w:numFmt w:val="bullet"/>
      <w:lvlText w:val=""/>
      <w:lvlJc w:val="left"/>
      <w:pPr>
        <w:ind w:left="28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5560D888">
      <w:start w:val="1"/>
      <w:numFmt w:val="bullet"/>
      <w:lvlText w:val="o"/>
      <w:lvlJc w:val="left"/>
      <w:pPr>
        <w:ind w:left="119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52C6F8FE">
      <w:start w:val="1"/>
      <w:numFmt w:val="bullet"/>
      <w:lvlText w:val="▪"/>
      <w:lvlJc w:val="left"/>
      <w:pPr>
        <w:ind w:left="191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E96420C0">
      <w:start w:val="1"/>
      <w:numFmt w:val="bullet"/>
      <w:lvlText w:val="•"/>
      <w:lvlJc w:val="left"/>
      <w:pPr>
        <w:ind w:left="263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C0808A10">
      <w:start w:val="1"/>
      <w:numFmt w:val="bullet"/>
      <w:lvlText w:val="o"/>
      <w:lvlJc w:val="left"/>
      <w:pPr>
        <w:ind w:left="335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18EEA714">
      <w:start w:val="1"/>
      <w:numFmt w:val="bullet"/>
      <w:lvlText w:val="▪"/>
      <w:lvlJc w:val="left"/>
      <w:pPr>
        <w:ind w:left="407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155E0BA6">
      <w:start w:val="1"/>
      <w:numFmt w:val="bullet"/>
      <w:lvlText w:val="•"/>
      <w:lvlJc w:val="left"/>
      <w:pPr>
        <w:ind w:left="479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50FEA6E4">
      <w:start w:val="1"/>
      <w:numFmt w:val="bullet"/>
      <w:lvlText w:val="o"/>
      <w:lvlJc w:val="left"/>
      <w:pPr>
        <w:ind w:left="551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19343B8A">
      <w:start w:val="1"/>
      <w:numFmt w:val="bullet"/>
      <w:lvlText w:val="▪"/>
      <w:lvlJc w:val="left"/>
      <w:pPr>
        <w:ind w:left="623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74" w15:restartNumberingAfterBreak="0">
    <w:nsid w:val="28422C9E"/>
    <w:multiLevelType w:val="hybridMultilevel"/>
    <w:tmpl w:val="DC0AE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90E4AB6"/>
    <w:multiLevelType w:val="hybridMultilevel"/>
    <w:tmpl w:val="F3E8B7A0"/>
    <w:lvl w:ilvl="0" w:tplc="0816000D">
      <w:start w:val="1"/>
      <w:numFmt w:val="bullet"/>
      <w:lvlText w:val=""/>
      <w:lvlJc w:val="left"/>
      <w:pPr>
        <w:ind w:left="720" w:hanging="360"/>
      </w:pPr>
      <w:rPr>
        <w:rFonts w:ascii="Wingdings" w:hAnsi="Wingdings" w:hint="default"/>
      </w:rPr>
    </w:lvl>
    <w:lvl w:ilvl="1" w:tplc="08160003">
      <w:start w:val="1"/>
      <w:numFmt w:val="bullet"/>
      <w:lvlText w:val="o"/>
      <w:lvlJc w:val="left"/>
      <w:pPr>
        <w:ind w:left="1440" w:hanging="360"/>
      </w:pPr>
      <w:rPr>
        <w:rFonts w:ascii="Courier New" w:hAnsi="Courier New" w:cs="Courier New" w:hint="default"/>
      </w:rPr>
    </w:lvl>
    <w:lvl w:ilvl="2" w:tplc="08160005">
      <w:start w:val="1"/>
      <w:numFmt w:val="bullet"/>
      <w:lvlText w:val=""/>
      <w:lvlJc w:val="left"/>
      <w:pPr>
        <w:ind w:left="2160" w:hanging="360"/>
      </w:pPr>
      <w:rPr>
        <w:rFonts w:ascii="Wingdings" w:hAnsi="Wingdings" w:hint="default"/>
      </w:rPr>
    </w:lvl>
    <w:lvl w:ilvl="3" w:tplc="08160001">
      <w:start w:val="1"/>
      <w:numFmt w:val="bullet"/>
      <w:lvlText w:val=""/>
      <w:lvlJc w:val="left"/>
      <w:pPr>
        <w:ind w:left="2880" w:hanging="360"/>
      </w:pPr>
      <w:rPr>
        <w:rFonts w:ascii="Symbol" w:hAnsi="Symbol" w:hint="default"/>
      </w:rPr>
    </w:lvl>
    <w:lvl w:ilvl="4" w:tplc="08160003">
      <w:start w:val="1"/>
      <w:numFmt w:val="bullet"/>
      <w:lvlText w:val="o"/>
      <w:lvlJc w:val="left"/>
      <w:pPr>
        <w:ind w:left="3600" w:hanging="360"/>
      </w:pPr>
      <w:rPr>
        <w:rFonts w:ascii="Courier New" w:hAnsi="Courier New" w:cs="Courier New" w:hint="default"/>
      </w:rPr>
    </w:lvl>
    <w:lvl w:ilvl="5" w:tplc="08160005">
      <w:start w:val="1"/>
      <w:numFmt w:val="bullet"/>
      <w:lvlText w:val=""/>
      <w:lvlJc w:val="left"/>
      <w:pPr>
        <w:ind w:left="4320" w:hanging="360"/>
      </w:pPr>
      <w:rPr>
        <w:rFonts w:ascii="Wingdings" w:hAnsi="Wingdings" w:hint="default"/>
      </w:rPr>
    </w:lvl>
    <w:lvl w:ilvl="6" w:tplc="08160001">
      <w:start w:val="1"/>
      <w:numFmt w:val="bullet"/>
      <w:lvlText w:val=""/>
      <w:lvlJc w:val="left"/>
      <w:pPr>
        <w:ind w:left="5040" w:hanging="360"/>
      </w:pPr>
      <w:rPr>
        <w:rFonts w:ascii="Symbol" w:hAnsi="Symbol" w:hint="default"/>
      </w:rPr>
    </w:lvl>
    <w:lvl w:ilvl="7" w:tplc="08160003">
      <w:start w:val="1"/>
      <w:numFmt w:val="bullet"/>
      <w:lvlText w:val="o"/>
      <w:lvlJc w:val="left"/>
      <w:pPr>
        <w:ind w:left="5760" w:hanging="360"/>
      </w:pPr>
      <w:rPr>
        <w:rFonts w:ascii="Courier New" w:hAnsi="Courier New" w:cs="Courier New" w:hint="default"/>
      </w:rPr>
    </w:lvl>
    <w:lvl w:ilvl="8" w:tplc="08160005">
      <w:start w:val="1"/>
      <w:numFmt w:val="bullet"/>
      <w:lvlText w:val=""/>
      <w:lvlJc w:val="left"/>
      <w:pPr>
        <w:ind w:left="6480" w:hanging="360"/>
      </w:pPr>
      <w:rPr>
        <w:rFonts w:ascii="Wingdings" w:hAnsi="Wingdings" w:hint="default"/>
      </w:rPr>
    </w:lvl>
  </w:abstractNum>
  <w:abstractNum w:abstractNumId="76" w15:restartNumberingAfterBreak="0">
    <w:nsid w:val="292104FC"/>
    <w:multiLevelType w:val="hybridMultilevel"/>
    <w:tmpl w:val="BB60C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9F26737"/>
    <w:multiLevelType w:val="hybridMultilevel"/>
    <w:tmpl w:val="F3B067E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8" w15:restartNumberingAfterBreak="0">
    <w:nsid w:val="2A287C9E"/>
    <w:multiLevelType w:val="hybridMultilevel"/>
    <w:tmpl w:val="35D81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AF81786"/>
    <w:multiLevelType w:val="hybridMultilevel"/>
    <w:tmpl w:val="45680312"/>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80" w15:restartNumberingAfterBreak="0">
    <w:nsid w:val="2B63401C"/>
    <w:multiLevelType w:val="singleLevel"/>
    <w:tmpl w:val="68B8D658"/>
    <w:lvl w:ilvl="0">
      <w:start w:val="1"/>
      <w:numFmt w:val="bullet"/>
      <w:pStyle w:val="PRX6"/>
      <w:lvlText w:val=""/>
      <w:lvlJc w:val="left"/>
      <w:pPr>
        <w:tabs>
          <w:tab w:val="num" w:pos="360"/>
        </w:tabs>
        <w:ind w:left="360" w:hanging="360"/>
      </w:pPr>
      <w:rPr>
        <w:rFonts w:ascii="Symbol" w:hAnsi="Symbol" w:hint="default"/>
      </w:rPr>
    </w:lvl>
  </w:abstractNum>
  <w:abstractNum w:abstractNumId="81" w15:restartNumberingAfterBreak="0">
    <w:nsid w:val="2CB859B9"/>
    <w:multiLevelType w:val="hybridMultilevel"/>
    <w:tmpl w:val="B2A01C84"/>
    <w:lvl w:ilvl="0" w:tplc="FAF061A0">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DA83AC4"/>
    <w:multiLevelType w:val="hybridMultilevel"/>
    <w:tmpl w:val="5676413A"/>
    <w:lvl w:ilvl="0" w:tplc="04090017">
      <w:start w:val="1"/>
      <w:numFmt w:val="lowerLetter"/>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83" w15:restartNumberingAfterBreak="0">
    <w:nsid w:val="2DD168AB"/>
    <w:multiLevelType w:val="hybridMultilevel"/>
    <w:tmpl w:val="6EA655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2E330D22"/>
    <w:multiLevelType w:val="hybridMultilevel"/>
    <w:tmpl w:val="EB2EC282"/>
    <w:lvl w:ilvl="0" w:tplc="B7ACB12A">
      <w:numFmt w:val="bullet"/>
      <w:lvlText w:val="•"/>
      <w:lvlJc w:val="left"/>
      <w:pPr>
        <w:ind w:left="720" w:hanging="72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E425820"/>
    <w:multiLevelType w:val="multilevel"/>
    <w:tmpl w:val="45342CA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6" w15:restartNumberingAfterBreak="0">
    <w:nsid w:val="2E48465B"/>
    <w:multiLevelType w:val="hybridMultilevel"/>
    <w:tmpl w:val="9FCE4D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2F173253"/>
    <w:multiLevelType w:val="hybridMultilevel"/>
    <w:tmpl w:val="8894125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8" w15:restartNumberingAfterBreak="0">
    <w:nsid w:val="2F1B6E0F"/>
    <w:multiLevelType w:val="multilevel"/>
    <w:tmpl w:val="045A45AC"/>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9" w15:restartNumberingAfterBreak="0">
    <w:nsid w:val="2FE11447"/>
    <w:multiLevelType w:val="hybridMultilevel"/>
    <w:tmpl w:val="30B605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15:restartNumberingAfterBreak="0">
    <w:nsid w:val="30224B2D"/>
    <w:multiLevelType w:val="hybridMultilevel"/>
    <w:tmpl w:val="A204F4DA"/>
    <w:lvl w:ilvl="0" w:tplc="0409000D">
      <w:start w:val="1"/>
      <w:numFmt w:val="bullet"/>
      <w:lvlText w:val=""/>
      <w:lvlJc w:val="left"/>
      <w:pPr>
        <w:ind w:left="722" w:hanging="360"/>
      </w:pPr>
      <w:rPr>
        <w:rFonts w:ascii="Wingdings" w:hAnsi="Wingdings" w:hint="default"/>
      </w:rPr>
    </w:lvl>
    <w:lvl w:ilvl="1" w:tplc="04090003" w:tentative="1">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91" w15:restartNumberingAfterBreak="0">
    <w:nsid w:val="310C4B7E"/>
    <w:multiLevelType w:val="hybridMultilevel"/>
    <w:tmpl w:val="F09E857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2" w15:restartNumberingAfterBreak="0">
    <w:nsid w:val="3225611F"/>
    <w:multiLevelType w:val="hybridMultilevel"/>
    <w:tmpl w:val="3DD0AA7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3" w15:restartNumberingAfterBreak="0">
    <w:nsid w:val="322D26FB"/>
    <w:multiLevelType w:val="hybridMultilevel"/>
    <w:tmpl w:val="6EEA8E30"/>
    <w:lvl w:ilvl="0" w:tplc="08160017">
      <w:start w:val="1"/>
      <w:numFmt w:val="lowerLetter"/>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4" w15:restartNumberingAfterBreak="0">
    <w:nsid w:val="32675CFB"/>
    <w:multiLevelType w:val="hybridMultilevel"/>
    <w:tmpl w:val="BEAECE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329E17DE"/>
    <w:multiLevelType w:val="hybridMultilevel"/>
    <w:tmpl w:val="B358E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331C662E"/>
    <w:multiLevelType w:val="hybridMultilevel"/>
    <w:tmpl w:val="67AA678A"/>
    <w:lvl w:ilvl="0" w:tplc="FB4ADAAA">
      <w:start w:val="1"/>
      <w:numFmt w:val="bullet"/>
      <w:pStyle w:val="COBAalinea1nivel"/>
      <w:lvlText w:val=""/>
      <w:lvlJc w:val="left"/>
      <w:pPr>
        <w:tabs>
          <w:tab w:val="num" w:pos="454"/>
        </w:tabs>
        <w:ind w:left="454" w:hanging="227"/>
      </w:pPr>
      <w:rPr>
        <w:rFonts w:ascii="Wingdings" w:hAnsi="Wingdings" w:hint="default"/>
      </w:rPr>
    </w:lvl>
    <w:lvl w:ilvl="1" w:tplc="08160003">
      <w:start w:val="1"/>
      <w:numFmt w:val="bullet"/>
      <w:lvlText w:val="o"/>
      <w:lvlJc w:val="left"/>
      <w:pPr>
        <w:tabs>
          <w:tab w:val="num" w:pos="1440"/>
        </w:tabs>
        <w:ind w:left="1440" w:hanging="360"/>
      </w:pPr>
      <w:rPr>
        <w:rFonts w:ascii="Courier New" w:hAnsi="Courier New" w:cs="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339762E2"/>
    <w:multiLevelType w:val="hybridMultilevel"/>
    <w:tmpl w:val="9F98F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39B78C6"/>
    <w:multiLevelType w:val="multilevel"/>
    <w:tmpl w:val="23CA8708"/>
    <w:lvl w:ilvl="0">
      <w:start w:val="1"/>
      <w:numFmt w:val="decimal"/>
      <w:lvlText w:val="%1."/>
      <w:lvlJc w:val="left"/>
      <w:pPr>
        <w:ind w:left="396" w:hanging="396"/>
      </w:pPr>
      <w:rPr>
        <w:rFonts w:hint="default"/>
      </w:rPr>
    </w:lvl>
    <w:lvl w:ilvl="1">
      <w:start w:val="1"/>
      <w:numFmt w:val="decimal"/>
      <w:lvlText w:val="%1.%2."/>
      <w:lvlJc w:val="left"/>
      <w:pPr>
        <w:ind w:left="396" w:hanging="39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9" w15:restartNumberingAfterBreak="0">
    <w:nsid w:val="33C370C2"/>
    <w:multiLevelType w:val="hybridMultilevel"/>
    <w:tmpl w:val="A0F09198"/>
    <w:lvl w:ilvl="0" w:tplc="FE12AA82">
      <w:start w:val="1"/>
      <w:numFmt w:val="bullet"/>
      <w:pStyle w:val="PrelimHead2"/>
      <w:lvlText w:val=""/>
      <w:lvlJc w:val="left"/>
      <w:pPr>
        <w:tabs>
          <w:tab w:val="num" w:pos="1080"/>
        </w:tabs>
        <w:ind w:left="1080" w:hanging="360"/>
      </w:pPr>
      <w:rPr>
        <w:rFonts w:ascii="Symbol" w:hAnsi="Symbol" w:cs="Times New Roman" w:hint="default"/>
        <w:sz w:val="20"/>
      </w:rPr>
    </w:lvl>
    <w:lvl w:ilvl="1" w:tplc="04090003">
      <w:start w:val="1"/>
      <w:numFmt w:val="bullet"/>
      <w:lvlText w:val="o"/>
      <w:lvlJc w:val="left"/>
      <w:pPr>
        <w:tabs>
          <w:tab w:val="num" w:pos="2160"/>
        </w:tabs>
        <w:ind w:left="2160" w:hanging="360"/>
      </w:pPr>
      <w:rPr>
        <w:rFonts w:ascii="Courier New" w:hAnsi="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0" w15:restartNumberingAfterBreak="0">
    <w:nsid w:val="356474A1"/>
    <w:multiLevelType w:val="hybridMultilevel"/>
    <w:tmpl w:val="3516DAE0"/>
    <w:lvl w:ilvl="0" w:tplc="0409000B">
      <w:start w:val="1"/>
      <w:numFmt w:val="bullet"/>
      <w:lvlText w:val=""/>
      <w:lvlJc w:val="left"/>
      <w:pPr>
        <w:ind w:left="360" w:hanging="360"/>
      </w:pPr>
      <w:rPr>
        <w:rFonts w:ascii="Wingdings" w:hAnsi="Wingdings" w:hint="default"/>
      </w:rPr>
    </w:lvl>
    <w:lvl w:ilvl="1" w:tplc="0409000D">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15:restartNumberingAfterBreak="0">
    <w:nsid w:val="35831E22"/>
    <w:multiLevelType w:val="hybridMultilevel"/>
    <w:tmpl w:val="53401ED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2" w15:restartNumberingAfterBreak="0">
    <w:nsid w:val="35955CE3"/>
    <w:multiLevelType w:val="multilevel"/>
    <w:tmpl w:val="53FA06FA"/>
    <w:lvl w:ilvl="0">
      <w:start w:val="9"/>
      <w:numFmt w:val="decimal"/>
      <w:lvlText w:val="%1."/>
      <w:lvlJc w:val="left"/>
      <w:pPr>
        <w:ind w:left="408" w:hanging="4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3" w15:restartNumberingAfterBreak="0">
    <w:nsid w:val="36714267"/>
    <w:multiLevelType w:val="hybridMultilevel"/>
    <w:tmpl w:val="3D5C534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4" w15:restartNumberingAfterBreak="0">
    <w:nsid w:val="36935A82"/>
    <w:multiLevelType w:val="hybridMultilevel"/>
    <w:tmpl w:val="0E2E75B4"/>
    <w:lvl w:ilvl="0" w:tplc="08160001">
      <w:start w:val="1"/>
      <w:numFmt w:val="bullet"/>
      <w:lvlText w:val=""/>
      <w:lvlJc w:val="left"/>
      <w:pPr>
        <w:ind w:left="360" w:hanging="360"/>
      </w:pPr>
      <w:rPr>
        <w:rFonts w:ascii="Symbol" w:hAnsi="Symbol" w:hint="default"/>
      </w:rPr>
    </w:lvl>
    <w:lvl w:ilvl="1" w:tplc="08160003">
      <w:start w:val="1"/>
      <w:numFmt w:val="bullet"/>
      <w:lvlText w:val="o"/>
      <w:lvlJc w:val="left"/>
      <w:pPr>
        <w:ind w:left="1080" w:hanging="360"/>
      </w:pPr>
      <w:rPr>
        <w:rFonts w:ascii="Courier New" w:hAnsi="Courier New" w:cs="Courier New" w:hint="default"/>
      </w:rPr>
    </w:lvl>
    <w:lvl w:ilvl="2" w:tplc="08160005" w:tentative="1">
      <w:start w:val="1"/>
      <w:numFmt w:val="bullet"/>
      <w:lvlText w:val=""/>
      <w:lvlJc w:val="left"/>
      <w:pPr>
        <w:ind w:left="1800" w:hanging="360"/>
      </w:pPr>
      <w:rPr>
        <w:rFonts w:ascii="Wingdings" w:hAnsi="Wingdings" w:hint="default"/>
      </w:rPr>
    </w:lvl>
    <w:lvl w:ilvl="3" w:tplc="08160001" w:tentative="1">
      <w:start w:val="1"/>
      <w:numFmt w:val="bullet"/>
      <w:lvlText w:val=""/>
      <w:lvlJc w:val="left"/>
      <w:pPr>
        <w:ind w:left="2520" w:hanging="360"/>
      </w:pPr>
      <w:rPr>
        <w:rFonts w:ascii="Symbol" w:hAnsi="Symbol" w:hint="default"/>
      </w:rPr>
    </w:lvl>
    <w:lvl w:ilvl="4" w:tplc="08160003" w:tentative="1">
      <w:start w:val="1"/>
      <w:numFmt w:val="bullet"/>
      <w:lvlText w:val="o"/>
      <w:lvlJc w:val="left"/>
      <w:pPr>
        <w:ind w:left="3240" w:hanging="360"/>
      </w:pPr>
      <w:rPr>
        <w:rFonts w:ascii="Courier New" w:hAnsi="Courier New" w:cs="Courier New" w:hint="default"/>
      </w:rPr>
    </w:lvl>
    <w:lvl w:ilvl="5" w:tplc="08160005" w:tentative="1">
      <w:start w:val="1"/>
      <w:numFmt w:val="bullet"/>
      <w:lvlText w:val=""/>
      <w:lvlJc w:val="left"/>
      <w:pPr>
        <w:ind w:left="3960" w:hanging="360"/>
      </w:pPr>
      <w:rPr>
        <w:rFonts w:ascii="Wingdings" w:hAnsi="Wingdings" w:hint="default"/>
      </w:rPr>
    </w:lvl>
    <w:lvl w:ilvl="6" w:tplc="08160001" w:tentative="1">
      <w:start w:val="1"/>
      <w:numFmt w:val="bullet"/>
      <w:lvlText w:val=""/>
      <w:lvlJc w:val="left"/>
      <w:pPr>
        <w:ind w:left="4680" w:hanging="360"/>
      </w:pPr>
      <w:rPr>
        <w:rFonts w:ascii="Symbol" w:hAnsi="Symbol" w:hint="default"/>
      </w:rPr>
    </w:lvl>
    <w:lvl w:ilvl="7" w:tplc="08160003" w:tentative="1">
      <w:start w:val="1"/>
      <w:numFmt w:val="bullet"/>
      <w:lvlText w:val="o"/>
      <w:lvlJc w:val="left"/>
      <w:pPr>
        <w:ind w:left="5400" w:hanging="360"/>
      </w:pPr>
      <w:rPr>
        <w:rFonts w:ascii="Courier New" w:hAnsi="Courier New" w:cs="Courier New" w:hint="default"/>
      </w:rPr>
    </w:lvl>
    <w:lvl w:ilvl="8" w:tplc="08160005" w:tentative="1">
      <w:start w:val="1"/>
      <w:numFmt w:val="bullet"/>
      <w:lvlText w:val=""/>
      <w:lvlJc w:val="left"/>
      <w:pPr>
        <w:ind w:left="6120" w:hanging="360"/>
      </w:pPr>
      <w:rPr>
        <w:rFonts w:ascii="Wingdings" w:hAnsi="Wingdings" w:hint="default"/>
      </w:rPr>
    </w:lvl>
  </w:abstractNum>
  <w:abstractNum w:abstractNumId="105" w15:restartNumberingAfterBreak="0">
    <w:nsid w:val="36B46724"/>
    <w:multiLevelType w:val="hybridMultilevel"/>
    <w:tmpl w:val="38789CEC"/>
    <w:lvl w:ilvl="0" w:tplc="FAF061A0">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370737D3"/>
    <w:multiLevelType w:val="hybridMultilevel"/>
    <w:tmpl w:val="D4EAB74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7" w15:restartNumberingAfterBreak="0">
    <w:nsid w:val="372D70C8"/>
    <w:multiLevelType w:val="hybridMultilevel"/>
    <w:tmpl w:val="4F5A85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376152B0"/>
    <w:multiLevelType w:val="hybridMultilevel"/>
    <w:tmpl w:val="E548A734"/>
    <w:lvl w:ilvl="0" w:tplc="1B084590">
      <w:numFmt w:val="bullet"/>
      <w:lvlText w:val="•"/>
      <w:lvlJc w:val="left"/>
      <w:pPr>
        <w:ind w:left="765" w:hanging="360"/>
      </w:pPr>
      <w:rPr>
        <w:rFonts w:ascii="Calibri" w:eastAsiaTheme="minorHAnsi" w:hAnsi="Calibri" w:cs="Calibri"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09" w15:restartNumberingAfterBreak="0">
    <w:nsid w:val="37A617C6"/>
    <w:multiLevelType w:val="hybridMultilevel"/>
    <w:tmpl w:val="D820C1A2"/>
    <w:lvl w:ilvl="0" w:tplc="FB4ADAAA">
      <w:start w:val="1"/>
      <w:numFmt w:val="bullet"/>
      <w:pStyle w:val="Marcas"/>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5">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0" w15:restartNumberingAfterBreak="0">
    <w:nsid w:val="37A86589"/>
    <w:multiLevelType w:val="hybridMultilevel"/>
    <w:tmpl w:val="1A84A996"/>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1" w15:restartNumberingAfterBreak="0">
    <w:nsid w:val="37C71150"/>
    <w:multiLevelType w:val="hybridMultilevel"/>
    <w:tmpl w:val="CF428C1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2" w15:restartNumberingAfterBreak="0">
    <w:nsid w:val="37E50137"/>
    <w:multiLevelType w:val="hybridMultilevel"/>
    <w:tmpl w:val="6ED0C3AE"/>
    <w:lvl w:ilvl="0" w:tplc="04090019">
      <w:start w:val="1"/>
      <w:numFmt w:val="lowerLetter"/>
      <w:lvlText w:val="%1."/>
      <w:lvlJc w:val="left"/>
      <w:pPr>
        <w:ind w:left="1276" w:hanging="360"/>
      </w:pPr>
      <w:rPr>
        <w:rFonts w:hint="default"/>
      </w:rPr>
    </w:lvl>
    <w:lvl w:ilvl="1" w:tplc="04090003">
      <w:start w:val="1"/>
      <w:numFmt w:val="bullet"/>
      <w:lvlText w:val="o"/>
      <w:lvlJc w:val="left"/>
      <w:pPr>
        <w:ind w:left="1996" w:hanging="360"/>
      </w:pPr>
      <w:rPr>
        <w:rFonts w:ascii="Courier New" w:hAnsi="Courier New" w:hint="default"/>
      </w:rPr>
    </w:lvl>
    <w:lvl w:ilvl="2" w:tplc="04090005" w:tentative="1">
      <w:start w:val="1"/>
      <w:numFmt w:val="bullet"/>
      <w:lvlText w:val=""/>
      <w:lvlJc w:val="left"/>
      <w:pPr>
        <w:ind w:left="2716" w:hanging="360"/>
      </w:pPr>
      <w:rPr>
        <w:rFonts w:ascii="Wingdings" w:hAnsi="Wingdings" w:hint="default"/>
      </w:rPr>
    </w:lvl>
    <w:lvl w:ilvl="3" w:tplc="04090001" w:tentative="1">
      <w:start w:val="1"/>
      <w:numFmt w:val="bullet"/>
      <w:lvlText w:val=""/>
      <w:lvlJc w:val="left"/>
      <w:pPr>
        <w:ind w:left="3436" w:hanging="360"/>
      </w:pPr>
      <w:rPr>
        <w:rFonts w:ascii="Symbol" w:hAnsi="Symbol" w:hint="default"/>
      </w:rPr>
    </w:lvl>
    <w:lvl w:ilvl="4" w:tplc="04090003" w:tentative="1">
      <w:start w:val="1"/>
      <w:numFmt w:val="bullet"/>
      <w:lvlText w:val="o"/>
      <w:lvlJc w:val="left"/>
      <w:pPr>
        <w:ind w:left="4156" w:hanging="360"/>
      </w:pPr>
      <w:rPr>
        <w:rFonts w:ascii="Courier New" w:hAnsi="Courier New" w:hint="default"/>
      </w:rPr>
    </w:lvl>
    <w:lvl w:ilvl="5" w:tplc="04090005" w:tentative="1">
      <w:start w:val="1"/>
      <w:numFmt w:val="bullet"/>
      <w:lvlText w:val=""/>
      <w:lvlJc w:val="left"/>
      <w:pPr>
        <w:ind w:left="4876" w:hanging="360"/>
      </w:pPr>
      <w:rPr>
        <w:rFonts w:ascii="Wingdings" w:hAnsi="Wingdings" w:hint="default"/>
      </w:rPr>
    </w:lvl>
    <w:lvl w:ilvl="6" w:tplc="04090001" w:tentative="1">
      <w:start w:val="1"/>
      <w:numFmt w:val="bullet"/>
      <w:lvlText w:val=""/>
      <w:lvlJc w:val="left"/>
      <w:pPr>
        <w:ind w:left="5596" w:hanging="360"/>
      </w:pPr>
      <w:rPr>
        <w:rFonts w:ascii="Symbol" w:hAnsi="Symbol" w:hint="default"/>
      </w:rPr>
    </w:lvl>
    <w:lvl w:ilvl="7" w:tplc="04090003" w:tentative="1">
      <w:start w:val="1"/>
      <w:numFmt w:val="bullet"/>
      <w:lvlText w:val="o"/>
      <w:lvlJc w:val="left"/>
      <w:pPr>
        <w:ind w:left="6316" w:hanging="360"/>
      </w:pPr>
      <w:rPr>
        <w:rFonts w:ascii="Courier New" w:hAnsi="Courier New" w:hint="default"/>
      </w:rPr>
    </w:lvl>
    <w:lvl w:ilvl="8" w:tplc="04090005" w:tentative="1">
      <w:start w:val="1"/>
      <w:numFmt w:val="bullet"/>
      <w:lvlText w:val=""/>
      <w:lvlJc w:val="left"/>
      <w:pPr>
        <w:ind w:left="7036" w:hanging="360"/>
      </w:pPr>
      <w:rPr>
        <w:rFonts w:ascii="Wingdings" w:hAnsi="Wingdings" w:hint="default"/>
      </w:rPr>
    </w:lvl>
  </w:abstractNum>
  <w:abstractNum w:abstractNumId="113" w15:restartNumberingAfterBreak="0">
    <w:nsid w:val="38850A49"/>
    <w:multiLevelType w:val="hybridMultilevel"/>
    <w:tmpl w:val="7BE6A58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4" w15:restartNumberingAfterBreak="0">
    <w:nsid w:val="3A2B31E9"/>
    <w:multiLevelType w:val="multilevel"/>
    <w:tmpl w:val="4E8A5A8A"/>
    <w:lvl w:ilvl="0">
      <w:start w:val="2"/>
      <w:numFmt w:val="decimal"/>
      <w:lvlText w:val="%1."/>
      <w:lvlJc w:val="left"/>
      <w:pPr>
        <w:ind w:left="360" w:hanging="360"/>
      </w:pPr>
      <w:rPr>
        <w:rFonts w:hint="default"/>
      </w:rPr>
    </w:lvl>
    <w:lvl w:ilvl="1">
      <w:start w:val="1"/>
      <w:numFmt w:val="bullet"/>
      <w:lvlText w:val="o"/>
      <w:lvlJc w:val="left"/>
      <w:pPr>
        <w:ind w:left="720" w:hanging="360"/>
      </w:pPr>
      <w:rPr>
        <w:rFonts w:ascii="Courier New" w:hAnsi="Courier New" w:cs="Courier New" w:hint="default"/>
      </w:rPr>
    </w:lvl>
    <w:lvl w:ilvl="2">
      <w:start w:val="1"/>
      <w:numFmt w:val="bullet"/>
      <w:lvlText w:val="o"/>
      <w:lvlJc w:val="left"/>
      <w:pPr>
        <w:ind w:left="1440" w:hanging="720"/>
      </w:pPr>
      <w:rPr>
        <w:rFonts w:ascii="Courier New" w:hAnsi="Courier New" w:cs="Courier New"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5" w15:restartNumberingAfterBreak="0">
    <w:nsid w:val="3AEA662B"/>
    <w:multiLevelType w:val="multilevel"/>
    <w:tmpl w:val="C112585E"/>
    <w:lvl w:ilvl="0">
      <w:start w:val="1"/>
      <w:numFmt w:val="bullet"/>
      <w:lvlText w:val=""/>
      <w:lvlJc w:val="left"/>
      <w:pPr>
        <w:ind w:left="858" w:hanging="432"/>
      </w:pPr>
      <w:rPr>
        <w:rFonts w:ascii="Symbol" w:hAnsi="Symbol" w:hint="default"/>
      </w:rPr>
    </w:lvl>
    <w:lvl w:ilvl="1">
      <w:start w:val="1"/>
      <w:numFmt w:val="decimal"/>
      <w:lvlText w:val="%1.%2"/>
      <w:lvlJc w:val="left"/>
      <w:pPr>
        <w:ind w:left="576" w:hanging="576"/>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738" w:firstLine="828"/>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6" w15:restartNumberingAfterBreak="0">
    <w:nsid w:val="3B0B4A0D"/>
    <w:multiLevelType w:val="hybridMultilevel"/>
    <w:tmpl w:val="2A2C2B92"/>
    <w:lvl w:ilvl="0" w:tplc="FAF061A0">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3B167D63"/>
    <w:multiLevelType w:val="hybridMultilevel"/>
    <w:tmpl w:val="31DAE2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3B252BFD"/>
    <w:multiLevelType w:val="hybridMultilevel"/>
    <w:tmpl w:val="AE7072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3BE16D7C"/>
    <w:multiLevelType w:val="hybridMultilevel"/>
    <w:tmpl w:val="E8105C8E"/>
    <w:lvl w:ilvl="0" w:tplc="1B08459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3C3F0408"/>
    <w:multiLevelType w:val="hybridMultilevel"/>
    <w:tmpl w:val="B7BC368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1" w15:restartNumberingAfterBreak="0">
    <w:nsid w:val="3C4325A9"/>
    <w:multiLevelType w:val="hybridMultilevel"/>
    <w:tmpl w:val="F1EA2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3C583C4C"/>
    <w:multiLevelType w:val="hybridMultilevel"/>
    <w:tmpl w:val="2B469E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3" w15:restartNumberingAfterBreak="0">
    <w:nsid w:val="3C9A2EF5"/>
    <w:multiLevelType w:val="hybridMultilevel"/>
    <w:tmpl w:val="36A6D5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3CE37F8D"/>
    <w:multiLevelType w:val="hybridMultilevel"/>
    <w:tmpl w:val="1DD034A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5" w15:restartNumberingAfterBreak="0">
    <w:nsid w:val="3DB03A25"/>
    <w:multiLevelType w:val="hybridMultilevel"/>
    <w:tmpl w:val="C5B2BF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3E172FDE"/>
    <w:multiLevelType w:val="hybridMultilevel"/>
    <w:tmpl w:val="450A0CE8"/>
    <w:lvl w:ilvl="0" w:tplc="1A2C6CCA">
      <w:start w:val="1"/>
      <w:numFmt w:val="decimal"/>
      <w:lvlText w:val="%1."/>
      <w:lvlJc w:val="left"/>
      <w:pPr>
        <w:ind w:left="-274" w:hanging="360"/>
      </w:pPr>
      <w:rPr>
        <w:rFonts w:asciiTheme="minorHAnsi" w:hAnsiTheme="minorHAnsi" w:cstheme="minorHAnsi" w:hint="default"/>
        <w:b w:val="0"/>
        <w:bCs w:val="0"/>
        <w:i w:val="0"/>
        <w:iCs w:val="0"/>
        <w:color w:val="auto"/>
        <w:sz w:val="22"/>
        <w:szCs w:val="22"/>
      </w:rPr>
    </w:lvl>
    <w:lvl w:ilvl="1" w:tplc="EEEEC75A">
      <w:start w:val="1"/>
      <w:numFmt w:val="lowerLetter"/>
      <w:lvlText w:val="(%2)"/>
      <w:lvlJc w:val="left"/>
      <w:pPr>
        <w:ind w:left="446" w:hanging="360"/>
      </w:pPr>
      <w:rPr>
        <w:rFonts w:asciiTheme="minorHAnsi" w:eastAsiaTheme="minorHAnsi" w:hAnsiTheme="minorHAnsi" w:cstheme="minorBidi"/>
        <w:b w:val="0"/>
        <w:bCs/>
        <w:color w:val="auto"/>
      </w:rPr>
    </w:lvl>
    <w:lvl w:ilvl="2" w:tplc="759C4F46">
      <w:start w:val="1"/>
      <w:numFmt w:val="lowerRoman"/>
      <w:lvlText w:val="%3."/>
      <w:lvlJc w:val="right"/>
      <w:pPr>
        <w:ind w:left="1166" w:hanging="180"/>
      </w:pPr>
    </w:lvl>
    <w:lvl w:ilvl="3" w:tplc="B3404A96" w:tentative="1">
      <w:start w:val="1"/>
      <w:numFmt w:val="decimal"/>
      <w:lvlText w:val="%4."/>
      <w:lvlJc w:val="left"/>
      <w:pPr>
        <w:ind w:left="1886" w:hanging="360"/>
      </w:pPr>
    </w:lvl>
    <w:lvl w:ilvl="4" w:tplc="D9DC8340" w:tentative="1">
      <w:start w:val="1"/>
      <w:numFmt w:val="lowerLetter"/>
      <w:lvlText w:val="%5."/>
      <w:lvlJc w:val="left"/>
      <w:pPr>
        <w:ind w:left="2606" w:hanging="360"/>
      </w:pPr>
    </w:lvl>
    <w:lvl w:ilvl="5" w:tplc="C054F8A4" w:tentative="1">
      <w:start w:val="1"/>
      <w:numFmt w:val="lowerRoman"/>
      <w:lvlText w:val="%6."/>
      <w:lvlJc w:val="right"/>
      <w:pPr>
        <w:ind w:left="3326" w:hanging="180"/>
      </w:pPr>
    </w:lvl>
    <w:lvl w:ilvl="6" w:tplc="57D035AC" w:tentative="1">
      <w:start w:val="1"/>
      <w:numFmt w:val="decimal"/>
      <w:lvlText w:val="%7."/>
      <w:lvlJc w:val="left"/>
      <w:pPr>
        <w:ind w:left="4046" w:hanging="360"/>
      </w:pPr>
    </w:lvl>
    <w:lvl w:ilvl="7" w:tplc="7B60B23A" w:tentative="1">
      <w:start w:val="1"/>
      <w:numFmt w:val="lowerLetter"/>
      <w:lvlText w:val="%8."/>
      <w:lvlJc w:val="left"/>
      <w:pPr>
        <w:ind w:left="4766" w:hanging="360"/>
      </w:pPr>
    </w:lvl>
    <w:lvl w:ilvl="8" w:tplc="C6ECEABA" w:tentative="1">
      <w:start w:val="1"/>
      <w:numFmt w:val="lowerRoman"/>
      <w:lvlText w:val="%9."/>
      <w:lvlJc w:val="right"/>
      <w:pPr>
        <w:ind w:left="5486" w:hanging="180"/>
      </w:pPr>
    </w:lvl>
  </w:abstractNum>
  <w:abstractNum w:abstractNumId="127" w15:restartNumberingAfterBreak="0">
    <w:nsid w:val="3E3C3381"/>
    <w:multiLevelType w:val="hybridMultilevel"/>
    <w:tmpl w:val="50E2467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28" w15:restartNumberingAfterBreak="0">
    <w:nsid w:val="3E5F14E1"/>
    <w:multiLevelType w:val="hybridMultilevel"/>
    <w:tmpl w:val="4D04FF16"/>
    <w:lvl w:ilvl="0" w:tplc="04090017">
      <w:start w:val="1"/>
      <w:numFmt w:val="lowerLetter"/>
      <w:lvlText w:val="%1)"/>
      <w:lvlJc w:val="left"/>
      <w:pPr>
        <w:ind w:left="1776" w:hanging="360"/>
      </w:pPr>
    </w:lvl>
    <w:lvl w:ilvl="1" w:tplc="04090019" w:tentative="1">
      <w:start w:val="1"/>
      <w:numFmt w:val="lowerLetter"/>
      <w:lvlText w:val="%2."/>
      <w:lvlJc w:val="left"/>
      <w:pPr>
        <w:ind w:left="2496" w:hanging="360"/>
      </w:pPr>
    </w:lvl>
    <w:lvl w:ilvl="2" w:tplc="0409001B" w:tentative="1">
      <w:start w:val="1"/>
      <w:numFmt w:val="lowerRoman"/>
      <w:lvlText w:val="%3."/>
      <w:lvlJc w:val="right"/>
      <w:pPr>
        <w:ind w:left="3216" w:hanging="180"/>
      </w:pPr>
    </w:lvl>
    <w:lvl w:ilvl="3" w:tplc="0409000F" w:tentative="1">
      <w:start w:val="1"/>
      <w:numFmt w:val="decimal"/>
      <w:lvlText w:val="%4."/>
      <w:lvlJc w:val="left"/>
      <w:pPr>
        <w:ind w:left="3936" w:hanging="360"/>
      </w:pPr>
    </w:lvl>
    <w:lvl w:ilvl="4" w:tplc="04090019" w:tentative="1">
      <w:start w:val="1"/>
      <w:numFmt w:val="lowerLetter"/>
      <w:lvlText w:val="%5."/>
      <w:lvlJc w:val="left"/>
      <w:pPr>
        <w:ind w:left="4656" w:hanging="360"/>
      </w:pPr>
    </w:lvl>
    <w:lvl w:ilvl="5" w:tplc="0409001B" w:tentative="1">
      <w:start w:val="1"/>
      <w:numFmt w:val="lowerRoman"/>
      <w:lvlText w:val="%6."/>
      <w:lvlJc w:val="right"/>
      <w:pPr>
        <w:ind w:left="5376" w:hanging="180"/>
      </w:pPr>
    </w:lvl>
    <w:lvl w:ilvl="6" w:tplc="0409000F" w:tentative="1">
      <w:start w:val="1"/>
      <w:numFmt w:val="decimal"/>
      <w:lvlText w:val="%7."/>
      <w:lvlJc w:val="left"/>
      <w:pPr>
        <w:ind w:left="6096" w:hanging="360"/>
      </w:pPr>
    </w:lvl>
    <w:lvl w:ilvl="7" w:tplc="04090019" w:tentative="1">
      <w:start w:val="1"/>
      <w:numFmt w:val="lowerLetter"/>
      <w:lvlText w:val="%8."/>
      <w:lvlJc w:val="left"/>
      <w:pPr>
        <w:ind w:left="6816" w:hanging="360"/>
      </w:pPr>
    </w:lvl>
    <w:lvl w:ilvl="8" w:tplc="0409001B" w:tentative="1">
      <w:start w:val="1"/>
      <w:numFmt w:val="lowerRoman"/>
      <w:lvlText w:val="%9."/>
      <w:lvlJc w:val="right"/>
      <w:pPr>
        <w:ind w:left="7536" w:hanging="180"/>
      </w:pPr>
    </w:lvl>
  </w:abstractNum>
  <w:abstractNum w:abstractNumId="129" w15:restartNumberingAfterBreak="0">
    <w:nsid w:val="3EEB7A95"/>
    <w:multiLevelType w:val="hybridMultilevel"/>
    <w:tmpl w:val="0F884C54"/>
    <w:lvl w:ilvl="0" w:tplc="1C09001B">
      <w:start w:val="1"/>
      <w:numFmt w:val="lowerRoman"/>
      <w:lvlText w:val="%1."/>
      <w:lvlJc w:val="righ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30" w15:restartNumberingAfterBreak="0">
    <w:nsid w:val="3FD63D91"/>
    <w:multiLevelType w:val="hybridMultilevel"/>
    <w:tmpl w:val="4FC4AB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413019F1"/>
    <w:multiLevelType w:val="hybridMultilevel"/>
    <w:tmpl w:val="D81E9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417320CD"/>
    <w:multiLevelType w:val="hybridMultilevel"/>
    <w:tmpl w:val="EDFC679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3" w15:restartNumberingAfterBreak="0">
    <w:nsid w:val="41FE7BD6"/>
    <w:multiLevelType w:val="hybridMultilevel"/>
    <w:tmpl w:val="1C46246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4" w15:restartNumberingAfterBreak="0">
    <w:nsid w:val="432C3D03"/>
    <w:multiLevelType w:val="hybridMultilevel"/>
    <w:tmpl w:val="D83ABE58"/>
    <w:lvl w:ilvl="0" w:tplc="0816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43EF577B"/>
    <w:multiLevelType w:val="hybridMultilevel"/>
    <w:tmpl w:val="5AAA7D38"/>
    <w:lvl w:ilvl="0" w:tplc="A106FF0E">
      <w:start w:val="1"/>
      <w:numFmt w:val="bullet"/>
      <w:lvlText w:val="▪"/>
      <w:lvlJc w:val="left"/>
      <w:pPr>
        <w:ind w:left="720" w:hanging="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4428788C"/>
    <w:multiLevelType w:val="hybridMultilevel"/>
    <w:tmpl w:val="BB9A85AC"/>
    <w:lvl w:ilvl="0" w:tplc="3C807AAC">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45853A09"/>
    <w:multiLevelType w:val="hybridMultilevel"/>
    <w:tmpl w:val="58F62862"/>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38" w15:restartNumberingAfterBreak="0">
    <w:nsid w:val="45D95E11"/>
    <w:multiLevelType w:val="multilevel"/>
    <w:tmpl w:val="B4DC137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color w:val="auto"/>
      </w:rPr>
    </w:lvl>
    <w:lvl w:ilvl="2">
      <w:start w:val="1"/>
      <w:numFmt w:val="decimal"/>
      <w:isLgl/>
      <w:lvlText w:val="%1.%2.%3"/>
      <w:lvlJc w:val="left"/>
      <w:pPr>
        <w:ind w:left="720" w:hanging="720"/>
      </w:pPr>
      <w:rPr>
        <w:rFonts w:hint="default"/>
        <w:b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9" w15:restartNumberingAfterBreak="0">
    <w:nsid w:val="46590EDC"/>
    <w:multiLevelType w:val="hybridMultilevel"/>
    <w:tmpl w:val="11B6CB7C"/>
    <w:lvl w:ilvl="0" w:tplc="B1A8EE9A">
      <w:start w:val="1"/>
      <w:numFmt w:val="bullet"/>
      <w:lvlText w:val=""/>
      <w:lvlJc w:val="left"/>
      <w:pPr>
        <w:ind w:left="720" w:hanging="360"/>
      </w:pPr>
      <w:rPr>
        <w:rFonts w:ascii="Wingdings" w:hAnsi="Wingdings"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0" w15:restartNumberingAfterBreak="0">
    <w:nsid w:val="46991AB3"/>
    <w:multiLevelType w:val="hybridMultilevel"/>
    <w:tmpl w:val="143456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1" w15:restartNumberingAfterBreak="0">
    <w:nsid w:val="46FF713E"/>
    <w:multiLevelType w:val="singleLevel"/>
    <w:tmpl w:val="948AD568"/>
    <w:lvl w:ilvl="0">
      <w:start w:val="1"/>
      <w:numFmt w:val="bullet"/>
      <w:pStyle w:val="PRX5"/>
      <w:lvlText w:val=""/>
      <w:lvlJc w:val="left"/>
      <w:pPr>
        <w:tabs>
          <w:tab w:val="num" w:pos="360"/>
        </w:tabs>
        <w:ind w:left="360" w:hanging="360"/>
      </w:pPr>
      <w:rPr>
        <w:rFonts w:ascii="Wingdings" w:hAnsi="Wingdings" w:hint="default"/>
        <w:sz w:val="16"/>
      </w:rPr>
    </w:lvl>
  </w:abstractNum>
  <w:abstractNum w:abstractNumId="142" w15:restartNumberingAfterBreak="0">
    <w:nsid w:val="471C41CC"/>
    <w:multiLevelType w:val="hybridMultilevel"/>
    <w:tmpl w:val="5FB06576"/>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47AE350E"/>
    <w:multiLevelType w:val="hybridMultilevel"/>
    <w:tmpl w:val="37644F6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4" w15:restartNumberingAfterBreak="0">
    <w:nsid w:val="482756B2"/>
    <w:multiLevelType w:val="hybridMultilevel"/>
    <w:tmpl w:val="2FE0123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5" w15:restartNumberingAfterBreak="0">
    <w:nsid w:val="48A9516D"/>
    <w:multiLevelType w:val="hybridMultilevel"/>
    <w:tmpl w:val="1542D100"/>
    <w:lvl w:ilvl="0" w:tplc="0409000B">
      <w:start w:val="1"/>
      <w:numFmt w:val="bullet"/>
      <w:lvlText w:val=""/>
      <w:lvlJc w:val="left"/>
      <w:pPr>
        <w:ind w:left="360" w:hanging="360"/>
      </w:pPr>
      <w:rPr>
        <w:rFonts w:ascii="Wingdings" w:hAnsi="Wingdings" w:hint="default"/>
      </w:rPr>
    </w:lvl>
    <w:lvl w:ilvl="1" w:tplc="0409000D">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15:restartNumberingAfterBreak="0">
    <w:nsid w:val="48B33696"/>
    <w:multiLevelType w:val="hybridMultilevel"/>
    <w:tmpl w:val="38D84368"/>
    <w:lvl w:ilvl="0" w:tplc="B7ACB12A">
      <w:numFmt w:val="bullet"/>
      <w:lvlText w:val="•"/>
      <w:lvlJc w:val="left"/>
      <w:pPr>
        <w:ind w:left="720" w:hanging="720"/>
      </w:pPr>
      <w:rPr>
        <w:rFonts w:ascii="Calibri" w:eastAsia="Calibr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7" w15:restartNumberingAfterBreak="0">
    <w:nsid w:val="48D847C0"/>
    <w:multiLevelType w:val="multilevel"/>
    <w:tmpl w:val="584CF624"/>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8" w15:restartNumberingAfterBreak="0">
    <w:nsid w:val="49917353"/>
    <w:multiLevelType w:val="hybridMultilevel"/>
    <w:tmpl w:val="2EE0C2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4AF42DB5"/>
    <w:multiLevelType w:val="multilevel"/>
    <w:tmpl w:val="45342CA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0" w15:restartNumberingAfterBreak="0">
    <w:nsid w:val="4C284F74"/>
    <w:multiLevelType w:val="hybridMultilevel"/>
    <w:tmpl w:val="B5E21262"/>
    <w:lvl w:ilvl="0" w:tplc="FAF061A0">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4C535C4D"/>
    <w:multiLevelType w:val="hybridMultilevel"/>
    <w:tmpl w:val="59EAF474"/>
    <w:lvl w:ilvl="0" w:tplc="B7ACB12A">
      <w:numFmt w:val="bullet"/>
      <w:lvlText w:val="•"/>
      <w:lvlJc w:val="left"/>
      <w:pPr>
        <w:ind w:left="720" w:hanging="72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4CDE1898"/>
    <w:multiLevelType w:val="hybridMultilevel"/>
    <w:tmpl w:val="6BFAC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4DC13450"/>
    <w:multiLevelType w:val="hybridMultilevel"/>
    <w:tmpl w:val="20D8841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4" w15:restartNumberingAfterBreak="0">
    <w:nsid w:val="4DCC566F"/>
    <w:multiLevelType w:val="multilevel"/>
    <w:tmpl w:val="53FA06FA"/>
    <w:lvl w:ilvl="0">
      <w:start w:val="8"/>
      <w:numFmt w:val="decimal"/>
      <w:lvlText w:val="%1."/>
      <w:lvlJc w:val="left"/>
      <w:pPr>
        <w:ind w:left="408" w:hanging="4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5" w15:restartNumberingAfterBreak="0">
    <w:nsid w:val="4DF02E7D"/>
    <w:multiLevelType w:val="hybridMultilevel"/>
    <w:tmpl w:val="7B8C3738"/>
    <w:lvl w:ilvl="0" w:tplc="0816000D">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6" w15:restartNumberingAfterBreak="0">
    <w:nsid w:val="4E0444DB"/>
    <w:multiLevelType w:val="hybridMultilevel"/>
    <w:tmpl w:val="A906C3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4E5D09A9"/>
    <w:multiLevelType w:val="hybridMultilevel"/>
    <w:tmpl w:val="7A58E21E"/>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58" w15:restartNumberingAfterBreak="0">
    <w:nsid w:val="4EB41DD3"/>
    <w:multiLevelType w:val="hybridMultilevel"/>
    <w:tmpl w:val="2D102DE4"/>
    <w:lvl w:ilvl="0" w:tplc="04090017">
      <w:start w:val="1"/>
      <w:numFmt w:val="lowerLetter"/>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159" w15:restartNumberingAfterBreak="0">
    <w:nsid w:val="4F083BC5"/>
    <w:multiLevelType w:val="hybridMultilevel"/>
    <w:tmpl w:val="1042F562"/>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0" w15:restartNumberingAfterBreak="0">
    <w:nsid w:val="516F456E"/>
    <w:multiLevelType w:val="hybridMultilevel"/>
    <w:tmpl w:val="9732E6F6"/>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1" w15:restartNumberingAfterBreak="0">
    <w:nsid w:val="523D4728"/>
    <w:multiLevelType w:val="hybridMultilevel"/>
    <w:tmpl w:val="46988822"/>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15:restartNumberingAfterBreak="0">
    <w:nsid w:val="535119B0"/>
    <w:multiLevelType w:val="multilevel"/>
    <w:tmpl w:val="535C7758"/>
    <w:lvl w:ilvl="0">
      <w:start w:val="1"/>
      <w:numFmt w:val="decimal"/>
      <w:lvlText w:val="%1"/>
      <w:lvlJc w:val="left"/>
      <w:pPr>
        <w:ind w:left="360" w:hanging="360"/>
      </w:pPr>
      <w:rPr>
        <w:rFonts w:hint="default"/>
        <w:i/>
      </w:rPr>
    </w:lvl>
    <w:lvl w:ilvl="1">
      <w:start w:val="1"/>
      <w:numFmt w:val="decimal"/>
      <w:lvlText w:val="%1.%2"/>
      <w:lvlJc w:val="left"/>
      <w:pPr>
        <w:ind w:left="360" w:hanging="360"/>
      </w:pPr>
      <w:rPr>
        <w:rFonts w:hint="default"/>
        <w:i/>
      </w:rPr>
    </w:lvl>
    <w:lvl w:ilvl="2">
      <w:start w:val="1"/>
      <w:numFmt w:val="decimal"/>
      <w:lvlText w:val="%1.%2.%3"/>
      <w:lvlJc w:val="left"/>
      <w:pPr>
        <w:ind w:left="720" w:hanging="720"/>
      </w:pPr>
      <w:rPr>
        <w:rFonts w:hint="default"/>
        <w:i/>
      </w:rPr>
    </w:lvl>
    <w:lvl w:ilvl="3">
      <w:start w:val="1"/>
      <w:numFmt w:val="decimal"/>
      <w:lvlText w:val="%1.%2.%3.%4"/>
      <w:lvlJc w:val="left"/>
      <w:pPr>
        <w:ind w:left="720" w:hanging="72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080" w:hanging="108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440" w:hanging="1440"/>
      </w:pPr>
      <w:rPr>
        <w:rFonts w:hint="default"/>
        <w:i/>
      </w:rPr>
    </w:lvl>
    <w:lvl w:ilvl="8">
      <w:start w:val="1"/>
      <w:numFmt w:val="decimal"/>
      <w:lvlText w:val="%1.%2.%3.%4.%5.%6.%7.%8.%9"/>
      <w:lvlJc w:val="left"/>
      <w:pPr>
        <w:ind w:left="1800" w:hanging="1800"/>
      </w:pPr>
      <w:rPr>
        <w:rFonts w:hint="default"/>
        <w:i/>
      </w:rPr>
    </w:lvl>
  </w:abstractNum>
  <w:abstractNum w:abstractNumId="163" w15:restartNumberingAfterBreak="0">
    <w:nsid w:val="54382E6A"/>
    <w:multiLevelType w:val="hybridMultilevel"/>
    <w:tmpl w:val="C9B81B4C"/>
    <w:lvl w:ilvl="0" w:tplc="1B084590">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4" w15:restartNumberingAfterBreak="0">
    <w:nsid w:val="54E05DC4"/>
    <w:multiLevelType w:val="hybridMultilevel"/>
    <w:tmpl w:val="CD2EF544"/>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5" w15:restartNumberingAfterBreak="0">
    <w:nsid w:val="553923AE"/>
    <w:multiLevelType w:val="hybridMultilevel"/>
    <w:tmpl w:val="172EA54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6" w15:restartNumberingAfterBreak="0">
    <w:nsid w:val="557E004F"/>
    <w:multiLevelType w:val="hybridMultilevel"/>
    <w:tmpl w:val="141853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7A87990">
      <w:numFmt w:val="bullet"/>
      <w:lvlText w:val="•"/>
      <w:lvlJc w:val="left"/>
      <w:pPr>
        <w:ind w:left="2160" w:hanging="360"/>
      </w:pPr>
      <w:rPr>
        <w:rFonts w:ascii="Calibri" w:eastAsiaTheme="minorHAnsi" w:hAnsi="Calibri" w:cs="Calibr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55C0699C"/>
    <w:multiLevelType w:val="hybridMultilevel"/>
    <w:tmpl w:val="83282CC8"/>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8" w15:restartNumberingAfterBreak="0">
    <w:nsid w:val="562A57E8"/>
    <w:multiLevelType w:val="hybridMultilevel"/>
    <w:tmpl w:val="2C7AC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56E72BE4"/>
    <w:multiLevelType w:val="hybridMultilevel"/>
    <w:tmpl w:val="EADA5334"/>
    <w:lvl w:ilvl="0" w:tplc="FAF061A0">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0" w15:restartNumberingAfterBreak="0">
    <w:nsid w:val="57A23441"/>
    <w:multiLevelType w:val="hybridMultilevel"/>
    <w:tmpl w:val="D89ED77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1" w15:restartNumberingAfterBreak="0">
    <w:nsid w:val="57D673EF"/>
    <w:multiLevelType w:val="hybridMultilevel"/>
    <w:tmpl w:val="AEB289E6"/>
    <w:lvl w:ilvl="0" w:tplc="08160001">
      <w:start w:val="1"/>
      <w:numFmt w:val="bullet"/>
      <w:lvlText w:val=""/>
      <w:lvlJc w:val="left"/>
      <w:pPr>
        <w:ind w:left="744" w:hanging="360"/>
      </w:pPr>
      <w:rPr>
        <w:rFonts w:ascii="Symbol" w:hAnsi="Symbol" w:hint="default"/>
      </w:rPr>
    </w:lvl>
    <w:lvl w:ilvl="1" w:tplc="08160003" w:tentative="1">
      <w:start w:val="1"/>
      <w:numFmt w:val="bullet"/>
      <w:lvlText w:val="o"/>
      <w:lvlJc w:val="left"/>
      <w:pPr>
        <w:ind w:left="1464" w:hanging="360"/>
      </w:pPr>
      <w:rPr>
        <w:rFonts w:ascii="Courier New" w:hAnsi="Courier New" w:cs="Courier New" w:hint="default"/>
      </w:rPr>
    </w:lvl>
    <w:lvl w:ilvl="2" w:tplc="08160005" w:tentative="1">
      <w:start w:val="1"/>
      <w:numFmt w:val="bullet"/>
      <w:lvlText w:val=""/>
      <w:lvlJc w:val="left"/>
      <w:pPr>
        <w:ind w:left="2184" w:hanging="360"/>
      </w:pPr>
      <w:rPr>
        <w:rFonts w:ascii="Wingdings" w:hAnsi="Wingdings" w:hint="default"/>
      </w:rPr>
    </w:lvl>
    <w:lvl w:ilvl="3" w:tplc="08160001" w:tentative="1">
      <w:start w:val="1"/>
      <w:numFmt w:val="bullet"/>
      <w:lvlText w:val=""/>
      <w:lvlJc w:val="left"/>
      <w:pPr>
        <w:ind w:left="2904" w:hanging="360"/>
      </w:pPr>
      <w:rPr>
        <w:rFonts w:ascii="Symbol" w:hAnsi="Symbol" w:hint="default"/>
      </w:rPr>
    </w:lvl>
    <w:lvl w:ilvl="4" w:tplc="08160003" w:tentative="1">
      <w:start w:val="1"/>
      <w:numFmt w:val="bullet"/>
      <w:lvlText w:val="o"/>
      <w:lvlJc w:val="left"/>
      <w:pPr>
        <w:ind w:left="3624" w:hanging="360"/>
      </w:pPr>
      <w:rPr>
        <w:rFonts w:ascii="Courier New" w:hAnsi="Courier New" w:cs="Courier New" w:hint="default"/>
      </w:rPr>
    </w:lvl>
    <w:lvl w:ilvl="5" w:tplc="08160005" w:tentative="1">
      <w:start w:val="1"/>
      <w:numFmt w:val="bullet"/>
      <w:lvlText w:val=""/>
      <w:lvlJc w:val="left"/>
      <w:pPr>
        <w:ind w:left="4344" w:hanging="360"/>
      </w:pPr>
      <w:rPr>
        <w:rFonts w:ascii="Wingdings" w:hAnsi="Wingdings" w:hint="default"/>
      </w:rPr>
    </w:lvl>
    <w:lvl w:ilvl="6" w:tplc="08160001" w:tentative="1">
      <w:start w:val="1"/>
      <w:numFmt w:val="bullet"/>
      <w:lvlText w:val=""/>
      <w:lvlJc w:val="left"/>
      <w:pPr>
        <w:ind w:left="5064" w:hanging="360"/>
      </w:pPr>
      <w:rPr>
        <w:rFonts w:ascii="Symbol" w:hAnsi="Symbol" w:hint="default"/>
      </w:rPr>
    </w:lvl>
    <w:lvl w:ilvl="7" w:tplc="08160003" w:tentative="1">
      <w:start w:val="1"/>
      <w:numFmt w:val="bullet"/>
      <w:lvlText w:val="o"/>
      <w:lvlJc w:val="left"/>
      <w:pPr>
        <w:ind w:left="5784" w:hanging="360"/>
      </w:pPr>
      <w:rPr>
        <w:rFonts w:ascii="Courier New" w:hAnsi="Courier New" w:cs="Courier New" w:hint="default"/>
      </w:rPr>
    </w:lvl>
    <w:lvl w:ilvl="8" w:tplc="08160005" w:tentative="1">
      <w:start w:val="1"/>
      <w:numFmt w:val="bullet"/>
      <w:lvlText w:val=""/>
      <w:lvlJc w:val="left"/>
      <w:pPr>
        <w:ind w:left="6504" w:hanging="360"/>
      </w:pPr>
      <w:rPr>
        <w:rFonts w:ascii="Wingdings" w:hAnsi="Wingdings" w:hint="default"/>
      </w:rPr>
    </w:lvl>
  </w:abstractNum>
  <w:abstractNum w:abstractNumId="172" w15:restartNumberingAfterBreak="0">
    <w:nsid w:val="585A400E"/>
    <w:multiLevelType w:val="hybridMultilevel"/>
    <w:tmpl w:val="6B88A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58B84521"/>
    <w:multiLevelType w:val="hybridMultilevel"/>
    <w:tmpl w:val="83ACC8CC"/>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74" w15:restartNumberingAfterBreak="0">
    <w:nsid w:val="59803EDA"/>
    <w:multiLevelType w:val="hybridMultilevel"/>
    <w:tmpl w:val="F208A54C"/>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59AC6F1A"/>
    <w:multiLevelType w:val="multilevel"/>
    <w:tmpl w:val="45342CA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6" w15:restartNumberingAfterBreak="0">
    <w:nsid w:val="59B40B65"/>
    <w:multiLevelType w:val="hybridMultilevel"/>
    <w:tmpl w:val="B39AC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59CB103B"/>
    <w:multiLevelType w:val="hybridMultilevel"/>
    <w:tmpl w:val="93BE6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5A510E47"/>
    <w:multiLevelType w:val="hybridMultilevel"/>
    <w:tmpl w:val="D9CE376E"/>
    <w:lvl w:ilvl="0" w:tplc="04090017">
      <w:start w:val="1"/>
      <w:numFmt w:val="lowerLetter"/>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179" w15:restartNumberingAfterBreak="0">
    <w:nsid w:val="5A983479"/>
    <w:multiLevelType w:val="multilevel"/>
    <w:tmpl w:val="A6A69D74"/>
    <w:lvl w:ilvl="0">
      <w:start w:val="6"/>
      <w:numFmt w:val="decimal"/>
      <w:lvlText w:val="%1."/>
      <w:lvlJc w:val="left"/>
      <w:pPr>
        <w:ind w:left="408" w:hanging="408"/>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80" w15:restartNumberingAfterBreak="0">
    <w:nsid w:val="5B8E1CC0"/>
    <w:multiLevelType w:val="hybridMultilevel"/>
    <w:tmpl w:val="4E56C4F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1" w15:restartNumberingAfterBreak="0">
    <w:nsid w:val="5C2832F3"/>
    <w:multiLevelType w:val="hybridMultilevel"/>
    <w:tmpl w:val="9C8C1756"/>
    <w:lvl w:ilvl="0" w:tplc="B7ACB12A">
      <w:numFmt w:val="bullet"/>
      <w:lvlText w:val="•"/>
      <w:lvlJc w:val="left"/>
      <w:pPr>
        <w:ind w:left="720" w:hanging="72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5D600536"/>
    <w:multiLevelType w:val="hybridMultilevel"/>
    <w:tmpl w:val="49B28E1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83" w15:restartNumberingAfterBreak="0">
    <w:nsid w:val="5D60644B"/>
    <w:multiLevelType w:val="hybridMultilevel"/>
    <w:tmpl w:val="DB3E83EC"/>
    <w:lvl w:ilvl="0" w:tplc="B7ACB12A">
      <w:numFmt w:val="bullet"/>
      <w:lvlText w:val="•"/>
      <w:lvlJc w:val="left"/>
      <w:pPr>
        <w:ind w:left="720" w:hanging="72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5E5A7984"/>
    <w:multiLevelType w:val="hybridMultilevel"/>
    <w:tmpl w:val="1ED8B7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5" w15:restartNumberingAfterBreak="0">
    <w:nsid w:val="5E7A2C58"/>
    <w:multiLevelType w:val="multilevel"/>
    <w:tmpl w:val="E0EAF6B0"/>
    <w:lvl w:ilvl="0">
      <w:start w:val="4"/>
      <w:numFmt w:val="decimal"/>
      <w:lvlText w:val="%1."/>
      <w:lvlJc w:val="left"/>
      <w:pPr>
        <w:ind w:left="408" w:hanging="4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6" w15:restartNumberingAfterBreak="0">
    <w:nsid w:val="5E860DEF"/>
    <w:multiLevelType w:val="hybridMultilevel"/>
    <w:tmpl w:val="1388A7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7" w15:restartNumberingAfterBreak="0">
    <w:nsid w:val="5F0625AD"/>
    <w:multiLevelType w:val="hybridMultilevel"/>
    <w:tmpl w:val="ACC8E4EE"/>
    <w:lvl w:ilvl="0" w:tplc="04090001">
      <w:start w:val="1"/>
      <w:numFmt w:val="bullet"/>
      <w:lvlText w:val=""/>
      <w:lvlJc w:val="left"/>
      <w:pPr>
        <w:ind w:left="720" w:hanging="360"/>
      </w:pPr>
      <w:rPr>
        <w:rFonts w:ascii="Symbol" w:hAnsi="Symbol" w:hint="default"/>
      </w:rPr>
    </w:lvl>
    <w:lvl w:ilvl="1" w:tplc="058C3DCA">
      <w:numFmt w:val="bullet"/>
      <w:lvlText w:val="•"/>
      <w:lvlJc w:val="left"/>
      <w:pPr>
        <w:ind w:left="1440" w:hanging="360"/>
      </w:pPr>
      <w:rPr>
        <w:rFonts w:ascii="Arial" w:eastAsia="Book Antiqua"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5F3947AC"/>
    <w:multiLevelType w:val="hybridMultilevel"/>
    <w:tmpl w:val="7D9E776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5F3D0206"/>
    <w:multiLevelType w:val="hybridMultilevel"/>
    <w:tmpl w:val="6D0865BC"/>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90" w15:restartNumberingAfterBreak="0">
    <w:nsid w:val="5FFD3C4D"/>
    <w:multiLevelType w:val="hybridMultilevel"/>
    <w:tmpl w:val="5C2440E2"/>
    <w:lvl w:ilvl="0" w:tplc="D7B0346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15:restartNumberingAfterBreak="0">
    <w:nsid w:val="60044BDA"/>
    <w:multiLevelType w:val="hybridMultilevel"/>
    <w:tmpl w:val="7036308A"/>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60CA7330"/>
    <w:multiLevelType w:val="hybridMultilevel"/>
    <w:tmpl w:val="2FD8DAF8"/>
    <w:lvl w:ilvl="0" w:tplc="78EA3E72">
      <w:start w:val="1"/>
      <w:numFmt w:val="lowerRoman"/>
      <w:lvlText w:val="(%1)"/>
      <w:lvlJc w:val="left"/>
      <w:pPr>
        <w:ind w:left="1440" w:hanging="720"/>
      </w:pPr>
      <w:rPr>
        <w:rFonts w:cs="Times New Roman" w:hint="default"/>
      </w:rPr>
    </w:lvl>
    <w:lvl w:ilvl="1" w:tplc="1C090019" w:tentative="1">
      <w:start w:val="1"/>
      <w:numFmt w:val="lowerLetter"/>
      <w:lvlText w:val="%2."/>
      <w:lvlJc w:val="left"/>
      <w:pPr>
        <w:ind w:left="1800" w:hanging="360"/>
      </w:pPr>
      <w:rPr>
        <w:rFonts w:cs="Times New Roman"/>
      </w:rPr>
    </w:lvl>
    <w:lvl w:ilvl="2" w:tplc="1C09001B" w:tentative="1">
      <w:start w:val="1"/>
      <w:numFmt w:val="lowerRoman"/>
      <w:lvlText w:val="%3."/>
      <w:lvlJc w:val="right"/>
      <w:pPr>
        <w:ind w:left="2520" w:hanging="180"/>
      </w:pPr>
      <w:rPr>
        <w:rFonts w:cs="Times New Roman"/>
      </w:rPr>
    </w:lvl>
    <w:lvl w:ilvl="3" w:tplc="1C09000F" w:tentative="1">
      <w:start w:val="1"/>
      <w:numFmt w:val="decimal"/>
      <w:lvlText w:val="%4."/>
      <w:lvlJc w:val="left"/>
      <w:pPr>
        <w:ind w:left="3240" w:hanging="360"/>
      </w:pPr>
      <w:rPr>
        <w:rFonts w:cs="Times New Roman"/>
      </w:rPr>
    </w:lvl>
    <w:lvl w:ilvl="4" w:tplc="1C090019" w:tentative="1">
      <w:start w:val="1"/>
      <w:numFmt w:val="lowerLetter"/>
      <w:lvlText w:val="%5."/>
      <w:lvlJc w:val="left"/>
      <w:pPr>
        <w:ind w:left="3960" w:hanging="360"/>
      </w:pPr>
      <w:rPr>
        <w:rFonts w:cs="Times New Roman"/>
      </w:rPr>
    </w:lvl>
    <w:lvl w:ilvl="5" w:tplc="1C09001B" w:tentative="1">
      <w:start w:val="1"/>
      <w:numFmt w:val="lowerRoman"/>
      <w:lvlText w:val="%6."/>
      <w:lvlJc w:val="right"/>
      <w:pPr>
        <w:ind w:left="4680" w:hanging="180"/>
      </w:pPr>
      <w:rPr>
        <w:rFonts w:cs="Times New Roman"/>
      </w:rPr>
    </w:lvl>
    <w:lvl w:ilvl="6" w:tplc="1C09000F" w:tentative="1">
      <w:start w:val="1"/>
      <w:numFmt w:val="decimal"/>
      <w:lvlText w:val="%7."/>
      <w:lvlJc w:val="left"/>
      <w:pPr>
        <w:ind w:left="5400" w:hanging="360"/>
      </w:pPr>
      <w:rPr>
        <w:rFonts w:cs="Times New Roman"/>
      </w:rPr>
    </w:lvl>
    <w:lvl w:ilvl="7" w:tplc="1C090019" w:tentative="1">
      <w:start w:val="1"/>
      <w:numFmt w:val="lowerLetter"/>
      <w:lvlText w:val="%8."/>
      <w:lvlJc w:val="left"/>
      <w:pPr>
        <w:ind w:left="6120" w:hanging="360"/>
      </w:pPr>
      <w:rPr>
        <w:rFonts w:cs="Times New Roman"/>
      </w:rPr>
    </w:lvl>
    <w:lvl w:ilvl="8" w:tplc="1C09001B" w:tentative="1">
      <w:start w:val="1"/>
      <w:numFmt w:val="lowerRoman"/>
      <w:lvlText w:val="%9."/>
      <w:lvlJc w:val="right"/>
      <w:pPr>
        <w:ind w:left="6840" w:hanging="180"/>
      </w:pPr>
      <w:rPr>
        <w:rFonts w:cs="Times New Roman"/>
      </w:rPr>
    </w:lvl>
  </w:abstractNum>
  <w:abstractNum w:abstractNumId="193" w15:restartNumberingAfterBreak="0">
    <w:nsid w:val="624F3FAB"/>
    <w:multiLevelType w:val="hybridMultilevel"/>
    <w:tmpl w:val="D9CE376E"/>
    <w:lvl w:ilvl="0" w:tplc="04090017">
      <w:start w:val="1"/>
      <w:numFmt w:val="lowerLetter"/>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194" w15:restartNumberingAfterBreak="0">
    <w:nsid w:val="62C437C3"/>
    <w:multiLevelType w:val="hybridMultilevel"/>
    <w:tmpl w:val="5676413A"/>
    <w:lvl w:ilvl="0" w:tplc="04090017">
      <w:start w:val="1"/>
      <w:numFmt w:val="lowerLetter"/>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195" w15:restartNumberingAfterBreak="0">
    <w:nsid w:val="631454CF"/>
    <w:multiLevelType w:val="hybridMultilevel"/>
    <w:tmpl w:val="3B3E1228"/>
    <w:lvl w:ilvl="0" w:tplc="0409000F">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6" w15:restartNumberingAfterBreak="0">
    <w:nsid w:val="639F1D09"/>
    <w:multiLevelType w:val="hybridMultilevel"/>
    <w:tmpl w:val="B5947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64FC7595"/>
    <w:multiLevelType w:val="hybridMultilevel"/>
    <w:tmpl w:val="725233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8" w15:restartNumberingAfterBreak="0">
    <w:nsid w:val="65BF2A67"/>
    <w:multiLevelType w:val="multilevel"/>
    <w:tmpl w:val="46AC8A1E"/>
    <w:lvl w:ilvl="0">
      <w:start w:val="1"/>
      <w:numFmt w:val="decimal"/>
      <w:pStyle w:val="Heading1"/>
      <w:lvlText w:val="%1"/>
      <w:lvlJc w:val="left"/>
      <w:pPr>
        <w:ind w:left="857" w:hanging="432"/>
      </w:pPr>
      <w:rPr>
        <w:lang w:val="pt-BR"/>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99" w15:restartNumberingAfterBreak="0">
    <w:nsid w:val="661A3B36"/>
    <w:multiLevelType w:val="hybridMultilevel"/>
    <w:tmpl w:val="6922BB6C"/>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00" w15:restartNumberingAfterBreak="0">
    <w:nsid w:val="6643594B"/>
    <w:multiLevelType w:val="hybridMultilevel"/>
    <w:tmpl w:val="DB8AF9D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01" w15:restartNumberingAfterBreak="0">
    <w:nsid w:val="66785E6F"/>
    <w:multiLevelType w:val="hybridMultilevel"/>
    <w:tmpl w:val="1A941742"/>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2" w15:restartNumberingAfterBreak="0">
    <w:nsid w:val="68AE1F0F"/>
    <w:multiLevelType w:val="hybridMultilevel"/>
    <w:tmpl w:val="880837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69397519"/>
    <w:multiLevelType w:val="hybridMultilevel"/>
    <w:tmpl w:val="14CC1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6ABB4A65"/>
    <w:multiLevelType w:val="hybridMultilevel"/>
    <w:tmpl w:val="415E222C"/>
    <w:lvl w:ilvl="0" w:tplc="04100001">
      <w:start w:val="1"/>
      <w:numFmt w:val="bullet"/>
      <w:lvlText w:val=""/>
      <w:lvlJc w:val="left"/>
      <w:pPr>
        <w:ind w:left="393" w:hanging="360"/>
      </w:pPr>
      <w:rPr>
        <w:rFonts w:ascii="Symbol" w:hAnsi="Symbol" w:hint="default"/>
      </w:rPr>
    </w:lvl>
    <w:lvl w:ilvl="1" w:tplc="04100003" w:tentative="1">
      <w:start w:val="1"/>
      <w:numFmt w:val="bullet"/>
      <w:lvlText w:val="o"/>
      <w:lvlJc w:val="left"/>
      <w:pPr>
        <w:ind w:left="1113" w:hanging="360"/>
      </w:pPr>
      <w:rPr>
        <w:rFonts w:ascii="Courier New" w:hAnsi="Courier New" w:hint="default"/>
      </w:rPr>
    </w:lvl>
    <w:lvl w:ilvl="2" w:tplc="04100005" w:tentative="1">
      <w:start w:val="1"/>
      <w:numFmt w:val="bullet"/>
      <w:lvlText w:val=""/>
      <w:lvlJc w:val="left"/>
      <w:pPr>
        <w:ind w:left="1833" w:hanging="360"/>
      </w:pPr>
      <w:rPr>
        <w:rFonts w:ascii="Wingdings" w:hAnsi="Wingdings" w:hint="default"/>
      </w:rPr>
    </w:lvl>
    <w:lvl w:ilvl="3" w:tplc="04100001" w:tentative="1">
      <w:start w:val="1"/>
      <w:numFmt w:val="bullet"/>
      <w:lvlText w:val=""/>
      <w:lvlJc w:val="left"/>
      <w:pPr>
        <w:ind w:left="2553" w:hanging="360"/>
      </w:pPr>
      <w:rPr>
        <w:rFonts w:ascii="Symbol" w:hAnsi="Symbol" w:hint="default"/>
      </w:rPr>
    </w:lvl>
    <w:lvl w:ilvl="4" w:tplc="04100003" w:tentative="1">
      <w:start w:val="1"/>
      <w:numFmt w:val="bullet"/>
      <w:lvlText w:val="o"/>
      <w:lvlJc w:val="left"/>
      <w:pPr>
        <w:ind w:left="3273" w:hanging="360"/>
      </w:pPr>
      <w:rPr>
        <w:rFonts w:ascii="Courier New" w:hAnsi="Courier New" w:hint="default"/>
      </w:rPr>
    </w:lvl>
    <w:lvl w:ilvl="5" w:tplc="04100005" w:tentative="1">
      <w:start w:val="1"/>
      <w:numFmt w:val="bullet"/>
      <w:lvlText w:val=""/>
      <w:lvlJc w:val="left"/>
      <w:pPr>
        <w:ind w:left="3993" w:hanging="360"/>
      </w:pPr>
      <w:rPr>
        <w:rFonts w:ascii="Wingdings" w:hAnsi="Wingdings" w:hint="default"/>
      </w:rPr>
    </w:lvl>
    <w:lvl w:ilvl="6" w:tplc="04100001" w:tentative="1">
      <w:start w:val="1"/>
      <w:numFmt w:val="bullet"/>
      <w:lvlText w:val=""/>
      <w:lvlJc w:val="left"/>
      <w:pPr>
        <w:ind w:left="4713" w:hanging="360"/>
      </w:pPr>
      <w:rPr>
        <w:rFonts w:ascii="Symbol" w:hAnsi="Symbol" w:hint="default"/>
      </w:rPr>
    </w:lvl>
    <w:lvl w:ilvl="7" w:tplc="04100003" w:tentative="1">
      <w:start w:val="1"/>
      <w:numFmt w:val="bullet"/>
      <w:lvlText w:val="o"/>
      <w:lvlJc w:val="left"/>
      <w:pPr>
        <w:ind w:left="5433" w:hanging="360"/>
      </w:pPr>
      <w:rPr>
        <w:rFonts w:ascii="Courier New" w:hAnsi="Courier New" w:hint="default"/>
      </w:rPr>
    </w:lvl>
    <w:lvl w:ilvl="8" w:tplc="04100005" w:tentative="1">
      <w:start w:val="1"/>
      <w:numFmt w:val="bullet"/>
      <w:lvlText w:val=""/>
      <w:lvlJc w:val="left"/>
      <w:pPr>
        <w:ind w:left="6153" w:hanging="360"/>
      </w:pPr>
      <w:rPr>
        <w:rFonts w:ascii="Wingdings" w:hAnsi="Wingdings" w:hint="default"/>
      </w:rPr>
    </w:lvl>
  </w:abstractNum>
  <w:abstractNum w:abstractNumId="205" w15:restartNumberingAfterBreak="0">
    <w:nsid w:val="6AC55FA1"/>
    <w:multiLevelType w:val="hybridMultilevel"/>
    <w:tmpl w:val="E05847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6B393314"/>
    <w:multiLevelType w:val="hybridMultilevel"/>
    <w:tmpl w:val="7D9E776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6B450149"/>
    <w:multiLevelType w:val="hybridMultilevel"/>
    <w:tmpl w:val="517C6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6B723F22"/>
    <w:multiLevelType w:val="hybridMultilevel"/>
    <w:tmpl w:val="6CA8EA6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09" w15:restartNumberingAfterBreak="0">
    <w:nsid w:val="6BA13DD1"/>
    <w:multiLevelType w:val="hybridMultilevel"/>
    <w:tmpl w:val="DAA6AD0A"/>
    <w:lvl w:ilvl="0" w:tplc="0748ACEC">
      <w:start w:val="1"/>
      <w:numFmt w:val="bullet"/>
      <w:lvlText w:val="-"/>
      <w:lvlJc w:val="left"/>
      <w:pPr>
        <w:ind w:left="1276" w:hanging="360"/>
      </w:pPr>
      <w:rPr>
        <w:rFonts w:ascii="Calibri" w:eastAsia="Times New Roman" w:hAnsi="Calibri" w:hint="default"/>
      </w:rPr>
    </w:lvl>
    <w:lvl w:ilvl="1" w:tplc="04090003">
      <w:start w:val="1"/>
      <w:numFmt w:val="bullet"/>
      <w:lvlText w:val="o"/>
      <w:lvlJc w:val="left"/>
      <w:pPr>
        <w:ind w:left="1996" w:hanging="360"/>
      </w:pPr>
      <w:rPr>
        <w:rFonts w:ascii="Courier New" w:hAnsi="Courier New" w:hint="default"/>
      </w:rPr>
    </w:lvl>
    <w:lvl w:ilvl="2" w:tplc="DC2C0306">
      <w:numFmt w:val="bullet"/>
      <w:lvlText w:val="•"/>
      <w:lvlJc w:val="left"/>
      <w:pPr>
        <w:ind w:left="2716" w:hanging="360"/>
      </w:pPr>
      <w:rPr>
        <w:rFonts w:ascii="Arial" w:eastAsiaTheme="minorHAnsi" w:hAnsi="Arial" w:cs="Arial" w:hint="default"/>
      </w:rPr>
    </w:lvl>
    <w:lvl w:ilvl="3" w:tplc="04090001" w:tentative="1">
      <w:start w:val="1"/>
      <w:numFmt w:val="bullet"/>
      <w:lvlText w:val=""/>
      <w:lvlJc w:val="left"/>
      <w:pPr>
        <w:ind w:left="3436" w:hanging="360"/>
      </w:pPr>
      <w:rPr>
        <w:rFonts w:ascii="Symbol" w:hAnsi="Symbol" w:hint="default"/>
      </w:rPr>
    </w:lvl>
    <w:lvl w:ilvl="4" w:tplc="04090003" w:tentative="1">
      <w:start w:val="1"/>
      <w:numFmt w:val="bullet"/>
      <w:lvlText w:val="o"/>
      <w:lvlJc w:val="left"/>
      <w:pPr>
        <w:ind w:left="4156" w:hanging="360"/>
      </w:pPr>
      <w:rPr>
        <w:rFonts w:ascii="Courier New" w:hAnsi="Courier New" w:hint="default"/>
      </w:rPr>
    </w:lvl>
    <w:lvl w:ilvl="5" w:tplc="04090005" w:tentative="1">
      <w:start w:val="1"/>
      <w:numFmt w:val="bullet"/>
      <w:lvlText w:val=""/>
      <w:lvlJc w:val="left"/>
      <w:pPr>
        <w:ind w:left="4876" w:hanging="360"/>
      </w:pPr>
      <w:rPr>
        <w:rFonts w:ascii="Wingdings" w:hAnsi="Wingdings" w:hint="default"/>
      </w:rPr>
    </w:lvl>
    <w:lvl w:ilvl="6" w:tplc="04090001" w:tentative="1">
      <w:start w:val="1"/>
      <w:numFmt w:val="bullet"/>
      <w:lvlText w:val=""/>
      <w:lvlJc w:val="left"/>
      <w:pPr>
        <w:ind w:left="5596" w:hanging="360"/>
      </w:pPr>
      <w:rPr>
        <w:rFonts w:ascii="Symbol" w:hAnsi="Symbol" w:hint="default"/>
      </w:rPr>
    </w:lvl>
    <w:lvl w:ilvl="7" w:tplc="04090003" w:tentative="1">
      <w:start w:val="1"/>
      <w:numFmt w:val="bullet"/>
      <w:lvlText w:val="o"/>
      <w:lvlJc w:val="left"/>
      <w:pPr>
        <w:ind w:left="6316" w:hanging="360"/>
      </w:pPr>
      <w:rPr>
        <w:rFonts w:ascii="Courier New" w:hAnsi="Courier New" w:hint="default"/>
      </w:rPr>
    </w:lvl>
    <w:lvl w:ilvl="8" w:tplc="04090005" w:tentative="1">
      <w:start w:val="1"/>
      <w:numFmt w:val="bullet"/>
      <w:lvlText w:val=""/>
      <w:lvlJc w:val="left"/>
      <w:pPr>
        <w:ind w:left="7036" w:hanging="360"/>
      </w:pPr>
      <w:rPr>
        <w:rFonts w:ascii="Wingdings" w:hAnsi="Wingdings" w:hint="default"/>
      </w:rPr>
    </w:lvl>
  </w:abstractNum>
  <w:abstractNum w:abstractNumId="210" w15:restartNumberingAfterBreak="0">
    <w:nsid w:val="6BE9102F"/>
    <w:multiLevelType w:val="hybridMultilevel"/>
    <w:tmpl w:val="3B2EC99C"/>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11" w15:restartNumberingAfterBreak="0">
    <w:nsid w:val="6C2E00D6"/>
    <w:multiLevelType w:val="hybridMultilevel"/>
    <w:tmpl w:val="FD900B4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2" w15:restartNumberingAfterBreak="0">
    <w:nsid w:val="6DB80CA4"/>
    <w:multiLevelType w:val="hybridMultilevel"/>
    <w:tmpl w:val="35EAC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6E3B1131"/>
    <w:multiLevelType w:val="hybridMultilevel"/>
    <w:tmpl w:val="5EB83754"/>
    <w:lvl w:ilvl="0" w:tplc="1B084590">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6F6C41E7"/>
    <w:multiLevelType w:val="hybridMultilevel"/>
    <w:tmpl w:val="EA0669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6F902D71"/>
    <w:multiLevelType w:val="hybridMultilevel"/>
    <w:tmpl w:val="21A039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6" w15:restartNumberingAfterBreak="0">
    <w:nsid w:val="6FD93937"/>
    <w:multiLevelType w:val="hybridMultilevel"/>
    <w:tmpl w:val="9260EC84"/>
    <w:lvl w:ilvl="0" w:tplc="04090017">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17" w15:restartNumberingAfterBreak="0">
    <w:nsid w:val="710E6E44"/>
    <w:multiLevelType w:val="hybridMultilevel"/>
    <w:tmpl w:val="C62C04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8" w15:restartNumberingAfterBreak="0">
    <w:nsid w:val="71B340BF"/>
    <w:multiLevelType w:val="hybridMultilevel"/>
    <w:tmpl w:val="232A6DB4"/>
    <w:lvl w:ilvl="0" w:tplc="F9A02E48">
      <w:start w:val="4"/>
      <w:numFmt w:val="decimal"/>
      <w:lvlText w:val="%1."/>
      <w:lvlJc w:val="left"/>
      <w:pPr>
        <w:ind w:left="226" w:hanging="210"/>
      </w:pPr>
      <w:rPr>
        <w:rFonts w:ascii="Times New Roman" w:eastAsia="Times New Roman" w:hAnsi="Times New Roman" w:cs="Times New Roman" w:hint="default"/>
        <w:color w:val="231F20"/>
        <w:w w:val="100"/>
        <w:sz w:val="20"/>
        <w:szCs w:val="20"/>
        <w:lang w:val="pt-PT" w:eastAsia="en-US" w:bidi="ar-SA"/>
      </w:rPr>
    </w:lvl>
    <w:lvl w:ilvl="1" w:tplc="C910FB66">
      <w:start w:val="1"/>
      <w:numFmt w:val="decimal"/>
      <w:lvlText w:val="%2."/>
      <w:lvlJc w:val="left"/>
      <w:pPr>
        <w:ind w:left="969" w:hanging="223"/>
        <w:jc w:val="right"/>
      </w:pPr>
      <w:rPr>
        <w:rFonts w:ascii="Times New Roman" w:eastAsia="Times New Roman" w:hAnsi="Times New Roman" w:cs="Times New Roman" w:hint="default"/>
        <w:b/>
        <w:bCs/>
        <w:color w:val="231F20"/>
        <w:spacing w:val="0"/>
        <w:w w:val="100"/>
        <w:sz w:val="20"/>
        <w:szCs w:val="20"/>
        <w:lang w:val="pt-PT" w:eastAsia="en-US" w:bidi="ar-SA"/>
      </w:rPr>
    </w:lvl>
    <w:lvl w:ilvl="2" w:tplc="030C5AB2">
      <w:numFmt w:val="bullet"/>
      <w:lvlText w:val="•"/>
      <w:lvlJc w:val="left"/>
      <w:pPr>
        <w:ind w:left="1436" w:hanging="223"/>
      </w:pPr>
      <w:rPr>
        <w:rFonts w:hint="default"/>
        <w:lang w:val="pt-PT" w:eastAsia="en-US" w:bidi="ar-SA"/>
      </w:rPr>
    </w:lvl>
    <w:lvl w:ilvl="3" w:tplc="F328FC66">
      <w:numFmt w:val="bullet"/>
      <w:lvlText w:val="•"/>
      <w:lvlJc w:val="left"/>
      <w:pPr>
        <w:ind w:left="1912" w:hanging="223"/>
      </w:pPr>
      <w:rPr>
        <w:rFonts w:hint="default"/>
        <w:lang w:val="pt-PT" w:eastAsia="en-US" w:bidi="ar-SA"/>
      </w:rPr>
    </w:lvl>
    <w:lvl w:ilvl="4" w:tplc="64325A32">
      <w:numFmt w:val="bullet"/>
      <w:lvlText w:val="•"/>
      <w:lvlJc w:val="left"/>
      <w:pPr>
        <w:ind w:left="2388" w:hanging="223"/>
      </w:pPr>
      <w:rPr>
        <w:rFonts w:hint="default"/>
        <w:lang w:val="pt-PT" w:eastAsia="en-US" w:bidi="ar-SA"/>
      </w:rPr>
    </w:lvl>
    <w:lvl w:ilvl="5" w:tplc="9466BAFE">
      <w:numFmt w:val="bullet"/>
      <w:lvlText w:val="•"/>
      <w:lvlJc w:val="left"/>
      <w:pPr>
        <w:ind w:left="2865" w:hanging="223"/>
      </w:pPr>
      <w:rPr>
        <w:rFonts w:hint="default"/>
        <w:lang w:val="pt-PT" w:eastAsia="en-US" w:bidi="ar-SA"/>
      </w:rPr>
    </w:lvl>
    <w:lvl w:ilvl="6" w:tplc="28222532">
      <w:numFmt w:val="bullet"/>
      <w:lvlText w:val="•"/>
      <w:lvlJc w:val="left"/>
      <w:pPr>
        <w:ind w:left="3341" w:hanging="223"/>
      </w:pPr>
      <w:rPr>
        <w:rFonts w:hint="default"/>
        <w:lang w:val="pt-PT" w:eastAsia="en-US" w:bidi="ar-SA"/>
      </w:rPr>
    </w:lvl>
    <w:lvl w:ilvl="7" w:tplc="744E32F2">
      <w:numFmt w:val="bullet"/>
      <w:lvlText w:val="•"/>
      <w:lvlJc w:val="left"/>
      <w:pPr>
        <w:ind w:left="3817" w:hanging="223"/>
      </w:pPr>
      <w:rPr>
        <w:rFonts w:hint="default"/>
        <w:lang w:val="pt-PT" w:eastAsia="en-US" w:bidi="ar-SA"/>
      </w:rPr>
    </w:lvl>
    <w:lvl w:ilvl="8" w:tplc="C526DF10">
      <w:numFmt w:val="bullet"/>
      <w:lvlText w:val="•"/>
      <w:lvlJc w:val="left"/>
      <w:pPr>
        <w:ind w:left="4294" w:hanging="223"/>
      </w:pPr>
      <w:rPr>
        <w:rFonts w:hint="default"/>
        <w:lang w:val="pt-PT" w:eastAsia="en-US" w:bidi="ar-SA"/>
      </w:rPr>
    </w:lvl>
  </w:abstractNum>
  <w:abstractNum w:abstractNumId="219" w15:restartNumberingAfterBreak="0">
    <w:nsid w:val="730E3FA7"/>
    <w:multiLevelType w:val="hybridMultilevel"/>
    <w:tmpl w:val="AA5C24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0" w15:restartNumberingAfterBreak="0">
    <w:nsid w:val="73AC5EAB"/>
    <w:multiLevelType w:val="hybridMultilevel"/>
    <w:tmpl w:val="2C40EDE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21" w15:restartNumberingAfterBreak="0">
    <w:nsid w:val="776E0B23"/>
    <w:multiLevelType w:val="hybridMultilevel"/>
    <w:tmpl w:val="D8200300"/>
    <w:lvl w:ilvl="0" w:tplc="FAF061A0">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77CA4840"/>
    <w:multiLevelType w:val="hybridMultilevel"/>
    <w:tmpl w:val="CB2E40AA"/>
    <w:lvl w:ilvl="0" w:tplc="04090017">
      <w:start w:val="1"/>
      <w:numFmt w:val="lowerLetter"/>
      <w:lvlText w:val="%1)"/>
      <w:lvlJc w:val="left"/>
      <w:pPr>
        <w:ind w:left="720" w:hanging="360"/>
      </w:pPr>
      <w:rPr>
        <w:rFonts w:hint="default"/>
      </w:rPr>
    </w:lvl>
    <w:lvl w:ilvl="1" w:tplc="0409001B">
      <w:start w:val="1"/>
      <w:numFmt w:val="lowerRoman"/>
      <w:lvlText w:val="%2."/>
      <w:lvlJc w:val="righ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79742A5E"/>
    <w:multiLevelType w:val="multilevel"/>
    <w:tmpl w:val="D564F7A6"/>
    <w:lvl w:ilvl="0">
      <w:start w:val="1"/>
      <w:numFmt w:val="decimal"/>
      <w:lvlText w:val="%1"/>
      <w:lvlJc w:val="left"/>
      <w:pPr>
        <w:ind w:left="858"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738" w:firstLine="828"/>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4" w15:restartNumberingAfterBreak="0">
    <w:nsid w:val="79811B94"/>
    <w:multiLevelType w:val="hybridMultilevel"/>
    <w:tmpl w:val="049AE4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5" w15:restartNumberingAfterBreak="0">
    <w:nsid w:val="798E7FF0"/>
    <w:multiLevelType w:val="hybridMultilevel"/>
    <w:tmpl w:val="FA58ADAC"/>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26" w15:restartNumberingAfterBreak="0">
    <w:nsid w:val="7AF37CE1"/>
    <w:multiLevelType w:val="hybridMultilevel"/>
    <w:tmpl w:val="55200FA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27" w15:restartNumberingAfterBreak="0">
    <w:nsid w:val="7AF42909"/>
    <w:multiLevelType w:val="hybridMultilevel"/>
    <w:tmpl w:val="CD967566"/>
    <w:lvl w:ilvl="0" w:tplc="A106FF0E">
      <w:start w:val="1"/>
      <w:numFmt w:val="bullet"/>
      <w:lvlText w:val="▪"/>
      <w:lvlJc w:val="left"/>
      <w:pPr>
        <w:ind w:left="720" w:hanging="360"/>
      </w:pPr>
      <w:rPr>
        <w:rFonts w:ascii="Arial" w:eastAsia="Arial" w:hAnsi="Arial" w:cs="Arial" w:hint="default"/>
        <w:b w:val="0"/>
        <w:i w:val="0"/>
        <w:strike w:val="0"/>
        <w:dstrike w:val="0"/>
        <w:color w:val="000000"/>
        <w:sz w:val="18"/>
        <w:szCs w:val="18"/>
        <w:u w:val="none" w:color="000000"/>
        <w:bdr w:val="none" w:sz="0" w:space="0" w:color="auto"/>
        <w:shd w:val="clear" w:color="auto" w:fill="auto"/>
        <w:vertAlign w:val="baseline"/>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7DDE6F7F"/>
    <w:multiLevelType w:val="hybridMultilevel"/>
    <w:tmpl w:val="48F08AA2"/>
    <w:lvl w:ilvl="0" w:tplc="0809001B">
      <w:start w:val="1"/>
      <w:numFmt w:val="lowerRoman"/>
      <w:lvlText w:val="%1."/>
      <w:lvlJc w:val="right"/>
      <w:pPr>
        <w:ind w:left="720" w:hanging="360"/>
      </w:pPr>
      <w:rPr>
        <w:rFonts w:cs="Times New Roman"/>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29" w15:restartNumberingAfterBreak="0">
    <w:nsid w:val="7E5564BB"/>
    <w:multiLevelType w:val="hybridMultilevel"/>
    <w:tmpl w:val="7242EE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0" w15:restartNumberingAfterBreak="0">
    <w:nsid w:val="7E9F5C31"/>
    <w:multiLevelType w:val="hybridMultilevel"/>
    <w:tmpl w:val="01323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7EC76081"/>
    <w:multiLevelType w:val="multilevel"/>
    <w:tmpl w:val="038ECF3A"/>
    <w:lvl w:ilvl="0">
      <w:start w:val="3"/>
      <w:numFmt w:val="decimal"/>
      <w:lvlText w:val="%1."/>
      <w:lvlJc w:val="left"/>
      <w:pPr>
        <w:ind w:left="432" w:hanging="432"/>
      </w:pPr>
      <w:rPr>
        <w:rFonts w:eastAsia="Calibri" w:hint="default"/>
      </w:rPr>
    </w:lvl>
    <w:lvl w:ilvl="1">
      <w:start w:val="1"/>
      <w:numFmt w:val="decimal"/>
      <w:lvlText w:val="%1.%2."/>
      <w:lvlJc w:val="left"/>
      <w:pPr>
        <w:ind w:left="1080" w:hanging="720"/>
      </w:pPr>
      <w:rPr>
        <w:rFonts w:eastAsia="Calibri" w:hint="default"/>
      </w:rPr>
    </w:lvl>
    <w:lvl w:ilvl="2">
      <w:start w:val="1"/>
      <w:numFmt w:val="decimal"/>
      <w:lvlText w:val="%1.%2.%3."/>
      <w:lvlJc w:val="left"/>
      <w:pPr>
        <w:ind w:left="1440" w:hanging="720"/>
      </w:pPr>
      <w:rPr>
        <w:rFonts w:eastAsia="Calibri" w:hint="default"/>
      </w:rPr>
    </w:lvl>
    <w:lvl w:ilvl="3">
      <w:start w:val="1"/>
      <w:numFmt w:val="decimal"/>
      <w:lvlText w:val="%1.%2.%3.%4."/>
      <w:lvlJc w:val="left"/>
      <w:pPr>
        <w:ind w:left="2160" w:hanging="1080"/>
      </w:pPr>
      <w:rPr>
        <w:rFonts w:eastAsia="Calibri" w:hint="default"/>
      </w:rPr>
    </w:lvl>
    <w:lvl w:ilvl="4">
      <w:start w:val="1"/>
      <w:numFmt w:val="decimal"/>
      <w:lvlText w:val="%1.%2.%3.%4.%5."/>
      <w:lvlJc w:val="left"/>
      <w:pPr>
        <w:ind w:left="2880" w:hanging="1440"/>
      </w:pPr>
      <w:rPr>
        <w:rFonts w:eastAsia="Calibri" w:hint="default"/>
      </w:rPr>
    </w:lvl>
    <w:lvl w:ilvl="5">
      <w:start w:val="1"/>
      <w:numFmt w:val="decimal"/>
      <w:lvlText w:val="%1.%2.%3.%4.%5.%6."/>
      <w:lvlJc w:val="left"/>
      <w:pPr>
        <w:ind w:left="3240" w:hanging="1440"/>
      </w:pPr>
      <w:rPr>
        <w:rFonts w:eastAsia="Calibri" w:hint="default"/>
      </w:rPr>
    </w:lvl>
    <w:lvl w:ilvl="6">
      <w:start w:val="1"/>
      <w:numFmt w:val="decimal"/>
      <w:lvlText w:val="%1.%2.%3.%4.%5.%6.%7."/>
      <w:lvlJc w:val="left"/>
      <w:pPr>
        <w:ind w:left="3960" w:hanging="1800"/>
      </w:pPr>
      <w:rPr>
        <w:rFonts w:eastAsia="Calibri" w:hint="default"/>
      </w:rPr>
    </w:lvl>
    <w:lvl w:ilvl="7">
      <w:start w:val="1"/>
      <w:numFmt w:val="decimal"/>
      <w:lvlText w:val="%1.%2.%3.%4.%5.%6.%7.%8."/>
      <w:lvlJc w:val="left"/>
      <w:pPr>
        <w:ind w:left="4320" w:hanging="1800"/>
      </w:pPr>
      <w:rPr>
        <w:rFonts w:eastAsia="Calibri" w:hint="default"/>
      </w:rPr>
    </w:lvl>
    <w:lvl w:ilvl="8">
      <w:start w:val="1"/>
      <w:numFmt w:val="decimal"/>
      <w:lvlText w:val="%1.%2.%3.%4.%5.%6.%7.%8.%9."/>
      <w:lvlJc w:val="left"/>
      <w:pPr>
        <w:ind w:left="5040" w:hanging="2160"/>
      </w:pPr>
      <w:rPr>
        <w:rFonts w:eastAsia="Calibri" w:hint="default"/>
      </w:rPr>
    </w:lvl>
  </w:abstractNum>
  <w:abstractNum w:abstractNumId="232" w15:restartNumberingAfterBreak="0">
    <w:nsid w:val="7ECB10B8"/>
    <w:multiLevelType w:val="hybridMultilevel"/>
    <w:tmpl w:val="29FAAC2C"/>
    <w:lvl w:ilvl="0" w:tplc="04090019">
      <w:start w:val="1"/>
      <w:numFmt w:val="lowerLetter"/>
      <w:lvlText w:val="%1."/>
      <w:lvlJc w:val="left"/>
      <w:pPr>
        <w:ind w:left="1440" w:hanging="720"/>
      </w:pPr>
      <w:rPr>
        <w:rFonts w:hint="default"/>
      </w:rPr>
    </w:lvl>
    <w:lvl w:ilvl="1" w:tplc="1C090019">
      <w:start w:val="1"/>
      <w:numFmt w:val="lowerLetter"/>
      <w:lvlText w:val="%2."/>
      <w:lvlJc w:val="left"/>
      <w:pPr>
        <w:ind w:left="1800" w:hanging="360"/>
      </w:pPr>
      <w:rPr>
        <w:rFonts w:cs="Times New Roman"/>
      </w:rPr>
    </w:lvl>
    <w:lvl w:ilvl="2" w:tplc="1C09001B" w:tentative="1">
      <w:start w:val="1"/>
      <w:numFmt w:val="lowerRoman"/>
      <w:lvlText w:val="%3."/>
      <w:lvlJc w:val="right"/>
      <w:pPr>
        <w:ind w:left="2520" w:hanging="180"/>
      </w:pPr>
      <w:rPr>
        <w:rFonts w:cs="Times New Roman"/>
      </w:rPr>
    </w:lvl>
    <w:lvl w:ilvl="3" w:tplc="1C09000F" w:tentative="1">
      <w:start w:val="1"/>
      <w:numFmt w:val="decimal"/>
      <w:lvlText w:val="%4."/>
      <w:lvlJc w:val="left"/>
      <w:pPr>
        <w:ind w:left="3240" w:hanging="360"/>
      </w:pPr>
      <w:rPr>
        <w:rFonts w:cs="Times New Roman"/>
      </w:rPr>
    </w:lvl>
    <w:lvl w:ilvl="4" w:tplc="1C090019" w:tentative="1">
      <w:start w:val="1"/>
      <w:numFmt w:val="lowerLetter"/>
      <w:lvlText w:val="%5."/>
      <w:lvlJc w:val="left"/>
      <w:pPr>
        <w:ind w:left="3960" w:hanging="360"/>
      </w:pPr>
      <w:rPr>
        <w:rFonts w:cs="Times New Roman"/>
      </w:rPr>
    </w:lvl>
    <w:lvl w:ilvl="5" w:tplc="1C09001B" w:tentative="1">
      <w:start w:val="1"/>
      <w:numFmt w:val="lowerRoman"/>
      <w:lvlText w:val="%6."/>
      <w:lvlJc w:val="right"/>
      <w:pPr>
        <w:ind w:left="4680" w:hanging="180"/>
      </w:pPr>
      <w:rPr>
        <w:rFonts w:cs="Times New Roman"/>
      </w:rPr>
    </w:lvl>
    <w:lvl w:ilvl="6" w:tplc="1C09000F" w:tentative="1">
      <w:start w:val="1"/>
      <w:numFmt w:val="decimal"/>
      <w:lvlText w:val="%7."/>
      <w:lvlJc w:val="left"/>
      <w:pPr>
        <w:ind w:left="5400" w:hanging="360"/>
      </w:pPr>
      <w:rPr>
        <w:rFonts w:cs="Times New Roman"/>
      </w:rPr>
    </w:lvl>
    <w:lvl w:ilvl="7" w:tplc="1C090019" w:tentative="1">
      <w:start w:val="1"/>
      <w:numFmt w:val="lowerLetter"/>
      <w:lvlText w:val="%8."/>
      <w:lvlJc w:val="left"/>
      <w:pPr>
        <w:ind w:left="6120" w:hanging="360"/>
      </w:pPr>
      <w:rPr>
        <w:rFonts w:cs="Times New Roman"/>
      </w:rPr>
    </w:lvl>
    <w:lvl w:ilvl="8" w:tplc="1C09001B" w:tentative="1">
      <w:start w:val="1"/>
      <w:numFmt w:val="lowerRoman"/>
      <w:lvlText w:val="%9."/>
      <w:lvlJc w:val="right"/>
      <w:pPr>
        <w:ind w:left="6840" w:hanging="180"/>
      </w:pPr>
      <w:rPr>
        <w:rFonts w:cs="Times New Roman"/>
      </w:rPr>
    </w:lvl>
  </w:abstractNum>
  <w:abstractNum w:abstractNumId="233" w15:restartNumberingAfterBreak="0">
    <w:nsid w:val="7F3D15C1"/>
    <w:multiLevelType w:val="hybridMultilevel"/>
    <w:tmpl w:val="93849C32"/>
    <w:lvl w:ilvl="0" w:tplc="9E9C371C">
      <w:start w:val="1"/>
      <w:numFmt w:val="decimal"/>
      <w:lvlText w:val="%1."/>
      <w:lvlJc w:val="left"/>
      <w:pPr>
        <w:ind w:left="504" w:hanging="200"/>
      </w:pPr>
      <w:rPr>
        <w:rFonts w:ascii="Times New Roman" w:eastAsia="Times New Roman" w:hAnsi="Times New Roman" w:cs="Times New Roman" w:hint="default"/>
        <w:b/>
        <w:bCs/>
        <w:color w:val="231F20"/>
        <w:w w:val="100"/>
        <w:sz w:val="20"/>
        <w:szCs w:val="20"/>
        <w:lang w:val="pt-PT" w:eastAsia="en-US" w:bidi="ar-SA"/>
      </w:rPr>
    </w:lvl>
    <w:lvl w:ilvl="1" w:tplc="91E8EEDC">
      <w:start w:val="1"/>
      <w:numFmt w:val="lowerLetter"/>
      <w:lvlText w:val="%2)"/>
      <w:lvlJc w:val="left"/>
      <w:pPr>
        <w:ind w:left="970" w:hanging="213"/>
      </w:pPr>
      <w:rPr>
        <w:rFonts w:ascii="Times New Roman" w:eastAsia="Times New Roman" w:hAnsi="Times New Roman" w:cs="Times New Roman" w:hint="default"/>
        <w:i/>
        <w:iCs/>
        <w:color w:val="231F20"/>
        <w:w w:val="100"/>
        <w:sz w:val="20"/>
        <w:szCs w:val="20"/>
        <w:lang w:val="pt-PT" w:eastAsia="en-US" w:bidi="ar-SA"/>
      </w:rPr>
    </w:lvl>
    <w:lvl w:ilvl="2" w:tplc="F3B64E62">
      <w:numFmt w:val="bullet"/>
      <w:lvlText w:val="•"/>
      <w:lvlJc w:val="left"/>
      <w:pPr>
        <w:ind w:left="2068" w:hanging="213"/>
      </w:pPr>
      <w:rPr>
        <w:rFonts w:hint="default"/>
        <w:lang w:val="pt-PT" w:eastAsia="en-US" w:bidi="ar-SA"/>
      </w:rPr>
    </w:lvl>
    <w:lvl w:ilvl="3" w:tplc="6838BF0C">
      <w:numFmt w:val="bullet"/>
      <w:lvlText w:val="•"/>
      <w:lvlJc w:val="left"/>
      <w:pPr>
        <w:ind w:left="3157" w:hanging="213"/>
      </w:pPr>
      <w:rPr>
        <w:rFonts w:hint="default"/>
        <w:lang w:val="pt-PT" w:eastAsia="en-US" w:bidi="ar-SA"/>
      </w:rPr>
    </w:lvl>
    <w:lvl w:ilvl="4" w:tplc="B6A6A2CA">
      <w:numFmt w:val="bullet"/>
      <w:lvlText w:val="•"/>
      <w:lvlJc w:val="left"/>
      <w:pPr>
        <w:ind w:left="4246" w:hanging="213"/>
      </w:pPr>
      <w:rPr>
        <w:rFonts w:hint="default"/>
        <w:lang w:val="pt-PT" w:eastAsia="en-US" w:bidi="ar-SA"/>
      </w:rPr>
    </w:lvl>
    <w:lvl w:ilvl="5" w:tplc="CF2E93CE">
      <w:numFmt w:val="bullet"/>
      <w:lvlText w:val="•"/>
      <w:lvlJc w:val="left"/>
      <w:pPr>
        <w:ind w:left="5335" w:hanging="213"/>
      </w:pPr>
      <w:rPr>
        <w:rFonts w:hint="default"/>
        <w:lang w:val="pt-PT" w:eastAsia="en-US" w:bidi="ar-SA"/>
      </w:rPr>
    </w:lvl>
    <w:lvl w:ilvl="6" w:tplc="C5863344">
      <w:numFmt w:val="bullet"/>
      <w:lvlText w:val="•"/>
      <w:lvlJc w:val="left"/>
      <w:pPr>
        <w:ind w:left="6424" w:hanging="213"/>
      </w:pPr>
      <w:rPr>
        <w:rFonts w:hint="default"/>
        <w:lang w:val="pt-PT" w:eastAsia="en-US" w:bidi="ar-SA"/>
      </w:rPr>
    </w:lvl>
    <w:lvl w:ilvl="7" w:tplc="3A227966">
      <w:numFmt w:val="bullet"/>
      <w:lvlText w:val="•"/>
      <w:lvlJc w:val="left"/>
      <w:pPr>
        <w:ind w:left="7513" w:hanging="213"/>
      </w:pPr>
      <w:rPr>
        <w:rFonts w:hint="default"/>
        <w:lang w:val="pt-PT" w:eastAsia="en-US" w:bidi="ar-SA"/>
      </w:rPr>
    </w:lvl>
    <w:lvl w:ilvl="8" w:tplc="D9FC2294">
      <w:numFmt w:val="bullet"/>
      <w:lvlText w:val="•"/>
      <w:lvlJc w:val="left"/>
      <w:pPr>
        <w:ind w:left="8602" w:hanging="213"/>
      </w:pPr>
      <w:rPr>
        <w:rFonts w:hint="default"/>
        <w:lang w:val="pt-PT" w:eastAsia="en-US" w:bidi="ar-SA"/>
      </w:rPr>
    </w:lvl>
  </w:abstractNum>
  <w:abstractNum w:abstractNumId="234" w15:restartNumberingAfterBreak="0">
    <w:nsid w:val="7F9422CF"/>
    <w:multiLevelType w:val="hybridMultilevel"/>
    <w:tmpl w:val="0E309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7F943838"/>
    <w:multiLevelType w:val="hybridMultilevel"/>
    <w:tmpl w:val="00228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7FCB5E4D"/>
    <w:multiLevelType w:val="hybridMultilevel"/>
    <w:tmpl w:val="19ECB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8"/>
  </w:num>
  <w:num w:numId="2">
    <w:abstractNumId w:val="47"/>
  </w:num>
  <w:num w:numId="3">
    <w:abstractNumId w:val="141"/>
  </w:num>
  <w:num w:numId="4">
    <w:abstractNumId w:val="28"/>
  </w:num>
  <w:num w:numId="5">
    <w:abstractNumId w:val="80"/>
  </w:num>
  <w:num w:numId="6">
    <w:abstractNumId w:val="53"/>
  </w:num>
  <w:num w:numId="7">
    <w:abstractNumId w:val="109"/>
  </w:num>
  <w:num w:numId="8">
    <w:abstractNumId w:val="161"/>
  </w:num>
  <w:num w:numId="9">
    <w:abstractNumId w:val="174"/>
  </w:num>
  <w:num w:numId="10">
    <w:abstractNumId w:val="222"/>
  </w:num>
  <w:num w:numId="11">
    <w:abstractNumId w:val="18"/>
  </w:num>
  <w:num w:numId="12">
    <w:abstractNumId w:val="127"/>
  </w:num>
  <w:num w:numId="13">
    <w:abstractNumId w:val="121"/>
  </w:num>
  <w:num w:numId="14">
    <w:abstractNumId w:val="159"/>
  </w:num>
  <w:num w:numId="15">
    <w:abstractNumId w:val="34"/>
  </w:num>
  <w:num w:numId="16">
    <w:abstractNumId w:val="160"/>
  </w:num>
  <w:num w:numId="17">
    <w:abstractNumId w:val="23"/>
  </w:num>
  <w:num w:numId="18">
    <w:abstractNumId w:val="167"/>
  </w:num>
  <w:num w:numId="19">
    <w:abstractNumId w:val="60"/>
  </w:num>
  <w:num w:numId="20">
    <w:abstractNumId w:val="50"/>
  </w:num>
  <w:num w:numId="21">
    <w:abstractNumId w:val="110"/>
  </w:num>
  <w:num w:numId="22">
    <w:abstractNumId w:val="75"/>
  </w:num>
  <w:num w:numId="23">
    <w:abstractNumId w:val="155"/>
  </w:num>
  <w:num w:numId="24">
    <w:abstractNumId w:val="55"/>
  </w:num>
  <w:num w:numId="25">
    <w:abstractNumId w:val="83"/>
  </w:num>
  <w:num w:numId="26">
    <w:abstractNumId w:val="198"/>
  </w:num>
  <w:num w:numId="27">
    <w:abstractNumId w:val="8"/>
  </w:num>
  <w:num w:numId="28">
    <w:abstractNumId w:val="41"/>
  </w:num>
  <w:num w:numId="29">
    <w:abstractNumId w:val="205"/>
  </w:num>
  <w:num w:numId="30">
    <w:abstractNumId w:val="219"/>
  </w:num>
  <w:num w:numId="31">
    <w:abstractNumId w:val="211"/>
  </w:num>
  <w:num w:numId="32">
    <w:abstractNumId w:val="218"/>
  </w:num>
  <w:num w:numId="33">
    <w:abstractNumId w:val="36"/>
  </w:num>
  <w:num w:numId="34">
    <w:abstractNumId w:val="21"/>
  </w:num>
  <w:num w:numId="35">
    <w:abstractNumId w:val="2"/>
  </w:num>
  <w:num w:numId="36">
    <w:abstractNumId w:val="233"/>
  </w:num>
  <w:num w:numId="37">
    <w:abstractNumId w:val="172"/>
  </w:num>
  <w:num w:numId="38">
    <w:abstractNumId w:val="176"/>
  </w:num>
  <w:num w:numId="39">
    <w:abstractNumId w:val="180"/>
  </w:num>
  <w:num w:numId="40">
    <w:abstractNumId w:val="163"/>
  </w:num>
  <w:num w:numId="41">
    <w:abstractNumId w:val="119"/>
  </w:num>
  <w:num w:numId="42">
    <w:abstractNumId w:val="108"/>
  </w:num>
  <w:num w:numId="43">
    <w:abstractNumId w:val="191"/>
  </w:num>
  <w:num w:numId="44">
    <w:abstractNumId w:val="142"/>
  </w:num>
  <w:num w:numId="45">
    <w:abstractNumId w:val="16"/>
  </w:num>
  <w:num w:numId="46">
    <w:abstractNumId w:val="37"/>
  </w:num>
  <w:num w:numId="47">
    <w:abstractNumId w:val="86"/>
  </w:num>
  <w:num w:numId="48">
    <w:abstractNumId w:val="184"/>
  </w:num>
  <w:num w:numId="49">
    <w:abstractNumId w:val="229"/>
  </w:num>
  <w:num w:numId="50">
    <w:abstractNumId w:val="122"/>
  </w:num>
  <w:num w:numId="51">
    <w:abstractNumId w:val="169"/>
  </w:num>
  <w:num w:numId="52">
    <w:abstractNumId w:val="130"/>
  </w:num>
  <w:num w:numId="53">
    <w:abstractNumId w:val="204"/>
  </w:num>
  <w:num w:numId="54">
    <w:abstractNumId w:val="94"/>
  </w:num>
  <w:num w:numId="55">
    <w:abstractNumId w:val="46"/>
  </w:num>
  <w:num w:numId="56">
    <w:abstractNumId w:val="39"/>
  </w:num>
  <w:num w:numId="57">
    <w:abstractNumId w:val="215"/>
  </w:num>
  <w:num w:numId="58">
    <w:abstractNumId w:val="197"/>
  </w:num>
  <w:num w:numId="59">
    <w:abstractNumId w:val="118"/>
  </w:num>
  <w:num w:numId="60">
    <w:abstractNumId w:val="81"/>
  </w:num>
  <w:num w:numId="61">
    <w:abstractNumId w:val="216"/>
  </w:num>
  <w:num w:numId="62">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24"/>
  </w:num>
  <w:num w:numId="64">
    <w:abstractNumId w:val="38"/>
  </w:num>
  <w:num w:numId="65">
    <w:abstractNumId w:val="217"/>
  </w:num>
  <w:num w:numId="66">
    <w:abstractNumId w:val="33"/>
  </w:num>
  <w:num w:numId="67">
    <w:abstractNumId w:val="186"/>
  </w:num>
  <w:num w:numId="68">
    <w:abstractNumId w:val="49"/>
  </w:num>
  <w:num w:numId="69">
    <w:abstractNumId w:val="51"/>
  </w:num>
  <w:num w:numId="70">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4"/>
  </w:num>
  <w:num w:numId="73">
    <w:abstractNumId w:val="66"/>
  </w:num>
  <w:num w:numId="74">
    <w:abstractNumId w:val="48"/>
  </w:num>
  <w:num w:numId="75">
    <w:abstractNumId w:val="194"/>
  </w:num>
  <w:num w:numId="76">
    <w:abstractNumId w:val="158"/>
  </w:num>
  <w:num w:numId="77">
    <w:abstractNumId w:val="24"/>
  </w:num>
  <w:num w:numId="78">
    <w:abstractNumId w:val="210"/>
  </w:num>
  <w:num w:numId="79">
    <w:abstractNumId w:val="230"/>
  </w:num>
  <w:num w:numId="80">
    <w:abstractNumId w:val="140"/>
  </w:num>
  <w:num w:numId="81">
    <w:abstractNumId w:val="234"/>
  </w:num>
  <w:num w:numId="82">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95"/>
  </w:num>
  <w:num w:numId="84">
    <w:abstractNumId w:val="212"/>
  </w:num>
  <w:num w:numId="85">
    <w:abstractNumId w:val="43"/>
  </w:num>
  <w:num w:numId="86">
    <w:abstractNumId w:val="168"/>
  </w:num>
  <w:num w:numId="87">
    <w:abstractNumId w:val="76"/>
  </w:num>
  <w:num w:numId="88">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2"/>
  </w:num>
  <w:num w:numId="90">
    <w:abstractNumId w:val="64"/>
  </w:num>
  <w:num w:numId="91">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7"/>
  </w:num>
  <w:num w:numId="93">
    <w:abstractNumId w:val="29"/>
  </w:num>
  <w:num w:numId="94">
    <w:abstractNumId w:val="177"/>
  </w:num>
  <w:num w:numId="95">
    <w:abstractNumId w:val="59"/>
  </w:num>
  <w:num w:numId="96">
    <w:abstractNumId w:val="137"/>
  </w:num>
  <w:num w:numId="97">
    <w:abstractNumId w:val="3"/>
  </w:num>
  <w:num w:numId="98">
    <w:abstractNumId w:val="20"/>
  </w:num>
  <w:num w:numId="99">
    <w:abstractNumId w:val="89"/>
  </w:num>
  <w:num w:numId="100">
    <w:abstractNumId w:val="202"/>
  </w:num>
  <w:num w:numId="101">
    <w:abstractNumId w:val="203"/>
  </w:num>
  <w:num w:numId="102">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221"/>
  </w:num>
  <w:num w:numId="104">
    <w:abstractNumId w:val="116"/>
  </w:num>
  <w:num w:numId="105">
    <w:abstractNumId w:val="57"/>
  </w:num>
  <w:num w:numId="106">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235"/>
  </w:num>
  <w:num w:numId="110">
    <w:abstractNumId w:val="74"/>
  </w:num>
  <w:num w:numId="111">
    <w:abstractNumId w:val="228"/>
  </w:num>
  <w:num w:numId="112">
    <w:abstractNumId w:val="107"/>
  </w:num>
  <w:num w:numId="113">
    <w:abstractNumId w:val="201"/>
  </w:num>
  <w:num w:numId="114">
    <w:abstractNumId w:val="71"/>
  </w:num>
  <w:num w:numId="115">
    <w:abstractNumId w:val="145"/>
  </w:num>
  <w:num w:numId="116">
    <w:abstractNumId w:val="100"/>
  </w:num>
  <w:num w:numId="117">
    <w:abstractNumId w:val="22"/>
  </w:num>
  <w:num w:numId="118">
    <w:abstractNumId w:val="112"/>
  </w:num>
  <w:num w:numId="119">
    <w:abstractNumId w:val="232"/>
  </w:num>
  <w:num w:numId="120">
    <w:abstractNumId w:val="136"/>
  </w:num>
  <w:num w:numId="121">
    <w:abstractNumId w:val="195"/>
  </w:num>
  <w:num w:numId="122">
    <w:abstractNumId w:val="166"/>
  </w:num>
  <w:num w:numId="123">
    <w:abstractNumId w:val="227"/>
  </w:num>
  <w:num w:numId="124">
    <w:abstractNumId w:val="135"/>
  </w:num>
  <w:num w:numId="125">
    <w:abstractNumId w:val="182"/>
  </w:num>
  <w:num w:numId="126">
    <w:abstractNumId w:val="98"/>
  </w:num>
  <w:num w:numId="127">
    <w:abstractNumId w:val="104"/>
  </w:num>
  <w:num w:numId="128">
    <w:abstractNumId w:val="200"/>
  </w:num>
  <w:num w:numId="12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25"/>
  </w:num>
  <w:num w:numId="131">
    <w:abstractNumId w:val="128"/>
  </w:num>
  <w:num w:numId="132">
    <w:abstractNumId w:val="56"/>
  </w:num>
  <w:num w:numId="133">
    <w:abstractNumId w:val="117"/>
  </w:num>
  <w:num w:numId="134">
    <w:abstractNumId w:val="153"/>
  </w:num>
  <w:num w:numId="135">
    <w:abstractNumId w:val="199"/>
  </w:num>
  <w:num w:numId="136">
    <w:abstractNumId w:val="68"/>
  </w:num>
  <w:num w:numId="137">
    <w:abstractNumId w:val="6"/>
  </w:num>
  <w:num w:numId="138">
    <w:abstractNumId w:val="79"/>
  </w:num>
  <w:num w:numId="139">
    <w:abstractNumId w:val="189"/>
  </w:num>
  <w:num w:numId="140">
    <w:abstractNumId w:val="132"/>
  </w:num>
  <w:num w:numId="141">
    <w:abstractNumId w:val="114"/>
  </w:num>
  <w:num w:numId="142">
    <w:abstractNumId w:val="185"/>
  </w:num>
  <w:num w:numId="143">
    <w:abstractNumId w:val="179"/>
  </w:num>
  <w:num w:numId="144">
    <w:abstractNumId w:val="154"/>
  </w:num>
  <w:num w:numId="145">
    <w:abstractNumId w:val="102"/>
  </w:num>
  <w:num w:numId="146">
    <w:abstractNumId w:val="171"/>
  </w:num>
  <w:num w:numId="147">
    <w:abstractNumId w:val="223"/>
  </w:num>
  <w:num w:numId="148">
    <w:abstractNumId w:val="99"/>
  </w:num>
  <w:num w:numId="149">
    <w:abstractNumId w:val="115"/>
  </w:num>
  <w:num w:numId="150">
    <w:abstractNumId w:val="139"/>
  </w:num>
  <w:num w:numId="151">
    <w:abstractNumId w:val="164"/>
  </w:num>
  <w:num w:numId="152">
    <w:abstractNumId w:val="11"/>
  </w:num>
  <w:num w:numId="153">
    <w:abstractNumId w:val="173"/>
  </w:num>
  <w:num w:numId="154">
    <w:abstractNumId w:val="103"/>
  </w:num>
  <w:num w:numId="155">
    <w:abstractNumId w:val="175"/>
  </w:num>
  <w:num w:numId="156">
    <w:abstractNumId w:val="93"/>
  </w:num>
  <w:num w:numId="157">
    <w:abstractNumId w:val="190"/>
  </w:num>
  <w:num w:numId="158">
    <w:abstractNumId w:val="143"/>
  </w:num>
  <w:num w:numId="159">
    <w:abstractNumId w:val="13"/>
  </w:num>
  <w:num w:numId="160">
    <w:abstractNumId w:val="73"/>
  </w:num>
  <w:num w:numId="161">
    <w:abstractNumId w:val="7"/>
  </w:num>
  <w:num w:numId="162">
    <w:abstractNumId w:val="90"/>
  </w:num>
  <w:num w:numId="163">
    <w:abstractNumId w:val="162"/>
  </w:num>
  <w:num w:numId="164">
    <w:abstractNumId w:val="88"/>
  </w:num>
  <w:num w:numId="165">
    <w:abstractNumId w:val="27"/>
  </w:num>
  <w:num w:numId="166">
    <w:abstractNumId w:val="231"/>
  </w:num>
  <w:num w:numId="167">
    <w:abstractNumId w:val="54"/>
  </w:num>
  <w:num w:numId="168">
    <w:abstractNumId w:val="10"/>
  </w:num>
  <w:num w:numId="169">
    <w:abstractNumId w:val="157"/>
  </w:num>
  <w:num w:numId="170">
    <w:abstractNumId w:val="220"/>
  </w:num>
  <w:num w:numId="171">
    <w:abstractNumId w:val="134"/>
  </w:num>
  <w:num w:numId="172">
    <w:abstractNumId w:val="144"/>
  </w:num>
  <w:num w:numId="173">
    <w:abstractNumId w:val="101"/>
  </w:num>
  <w:num w:numId="174">
    <w:abstractNumId w:val="91"/>
  </w:num>
  <w:num w:numId="175">
    <w:abstractNumId w:val="32"/>
  </w:num>
  <w:num w:numId="176">
    <w:abstractNumId w:val="111"/>
  </w:num>
  <w:num w:numId="177">
    <w:abstractNumId w:val="113"/>
  </w:num>
  <w:num w:numId="178">
    <w:abstractNumId w:val="124"/>
  </w:num>
  <w:num w:numId="179">
    <w:abstractNumId w:val="87"/>
  </w:num>
  <w:num w:numId="180">
    <w:abstractNumId w:val="106"/>
  </w:num>
  <w:num w:numId="181">
    <w:abstractNumId w:val="63"/>
  </w:num>
  <w:num w:numId="182">
    <w:abstractNumId w:val="25"/>
  </w:num>
  <w:num w:numId="183">
    <w:abstractNumId w:val="40"/>
  </w:num>
  <w:num w:numId="184">
    <w:abstractNumId w:val="65"/>
  </w:num>
  <w:num w:numId="185">
    <w:abstractNumId w:val="170"/>
  </w:num>
  <w:num w:numId="186">
    <w:abstractNumId w:val="226"/>
  </w:num>
  <w:num w:numId="187">
    <w:abstractNumId w:val="77"/>
  </w:num>
  <w:num w:numId="188">
    <w:abstractNumId w:val="92"/>
  </w:num>
  <w:num w:numId="189">
    <w:abstractNumId w:val="70"/>
  </w:num>
  <w:num w:numId="190">
    <w:abstractNumId w:val="208"/>
  </w:num>
  <w:num w:numId="191">
    <w:abstractNumId w:val="165"/>
  </w:num>
  <w:num w:numId="192">
    <w:abstractNumId w:val="96"/>
  </w:num>
  <w:num w:numId="193">
    <w:abstractNumId w:val="4"/>
  </w:num>
  <w:num w:numId="194">
    <w:abstractNumId w:val="30"/>
  </w:num>
  <w:num w:numId="195">
    <w:abstractNumId w:val="152"/>
  </w:num>
  <w:num w:numId="196">
    <w:abstractNumId w:val="131"/>
  </w:num>
  <w:num w:numId="197">
    <w:abstractNumId w:val="196"/>
  </w:num>
  <w:num w:numId="198">
    <w:abstractNumId w:val="225"/>
  </w:num>
  <w:num w:numId="199">
    <w:abstractNumId w:val="198"/>
  </w:num>
  <w:num w:numId="200">
    <w:abstractNumId w:val="236"/>
  </w:num>
  <w:num w:numId="201">
    <w:abstractNumId w:val="206"/>
  </w:num>
  <w:num w:numId="202">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72"/>
  </w:num>
  <w:num w:numId="204">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5"/>
  </w:num>
  <w:num w:numId="206">
    <w:abstractNumId w:val="178"/>
  </w:num>
  <w:num w:numId="207">
    <w:abstractNumId w:val="193"/>
  </w:num>
  <w:num w:numId="208">
    <w:abstractNumId w:val="31"/>
  </w:num>
  <w:num w:numId="209">
    <w:abstractNumId w:val="82"/>
  </w:num>
  <w:num w:numId="210">
    <w:abstractNumId w:val="213"/>
  </w:num>
  <w:num w:numId="211">
    <w:abstractNumId w:val="105"/>
  </w:num>
  <w:num w:numId="212">
    <w:abstractNumId w:val="69"/>
  </w:num>
  <w:num w:numId="213">
    <w:abstractNumId w:val="188"/>
  </w:num>
  <w:num w:numId="214">
    <w:abstractNumId w:val="150"/>
  </w:num>
  <w:num w:numId="215">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207"/>
  </w:num>
  <w:num w:numId="217">
    <w:abstractNumId w:val="133"/>
  </w:num>
  <w:num w:numId="218">
    <w:abstractNumId w:val="8"/>
  </w:num>
  <w:num w:numId="219">
    <w:abstractNumId w:val="8"/>
  </w:num>
  <w:num w:numId="220">
    <w:abstractNumId w:val="8"/>
  </w:num>
  <w:num w:numId="221">
    <w:abstractNumId w:val="35"/>
  </w:num>
  <w:num w:numId="222">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97"/>
  </w:num>
  <w:num w:numId="224">
    <w:abstractNumId w:val="44"/>
  </w:num>
  <w:num w:numId="225">
    <w:abstractNumId w:val="156"/>
  </w:num>
  <w:num w:numId="226">
    <w:abstractNumId w:val="26"/>
  </w:num>
  <w:num w:numId="227">
    <w:abstractNumId w:val="9"/>
  </w:num>
  <w:num w:numId="228">
    <w:abstractNumId w:val="10"/>
  </w:num>
  <w:num w:numId="229">
    <w:abstractNumId w:val="120"/>
  </w:num>
  <w:num w:numId="230">
    <w:abstractNumId w:val="61"/>
  </w:num>
  <w:num w:numId="231">
    <w:abstractNumId w:val="52"/>
  </w:num>
  <w:num w:numId="232">
    <w:abstractNumId w:val="147"/>
  </w:num>
  <w:num w:numId="233">
    <w:abstractNumId w:val="198"/>
  </w:num>
  <w:num w:numId="234">
    <w:abstractNumId w:val="198"/>
  </w:num>
  <w:num w:numId="235">
    <w:abstractNumId w:val="138"/>
  </w:num>
  <w:num w:numId="236">
    <w:abstractNumId w:val="45"/>
  </w:num>
  <w:num w:numId="237">
    <w:abstractNumId w:val="19"/>
  </w:num>
  <w:num w:numId="238">
    <w:abstractNumId w:val="148"/>
  </w:num>
  <w:num w:numId="239">
    <w:abstractNumId w:val="198"/>
  </w:num>
  <w:num w:numId="240">
    <w:abstractNumId w:val="198"/>
  </w:num>
  <w:num w:numId="241">
    <w:abstractNumId w:val="198"/>
  </w:num>
  <w:num w:numId="242">
    <w:abstractNumId w:val="198"/>
  </w:num>
  <w:num w:numId="243">
    <w:abstractNumId w:val="123"/>
  </w:num>
  <w:num w:numId="244">
    <w:abstractNumId w:val="126"/>
  </w:num>
  <w:num w:numId="245">
    <w:abstractNumId w:val="214"/>
  </w:num>
  <w:num w:numId="246">
    <w:abstractNumId w:val="146"/>
  </w:num>
  <w:num w:numId="247">
    <w:abstractNumId w:val="8"/>
  </w:num>
  <w:num w:numId="248">
    <w:abstractNumId w:val="67"/>
  </w:num>
  <w:num w:numId="249">
    <w:abstractNumId w:val="183"/>
  </w:num>
  <w:num w:numId="250">
    <w:abstractNumId w:val="181"/>
  </w:num>
  <w:num w:numId="251">
    <w:abstractNumId w:val="151"/>
  </w:num>
  <w:num w:numId="252">
    <w:abstractNumId w:val="84"/>
  </w:num>
  <w:num w:numId="253">
    <w:abstractNumId w:val="42"/>
  </w:num>
  <w:num w:numId="254">
    <w:abstractNumId w:val="5"/>
  </w:num>
  <w:num w:numId="255">
    <w:abstractNumId w:val="129"/>
  </w:num>
  <w:num w:numId="256">
    <w:abstractNumId w:val="187"/>
  </w:num>
  <w:num w:numId="257">
    <w:abstractNumId w:val="209"/>
  </w:num>
  <w:num w:numId="258">
    <w:abstractNumId w:val="192"/>
  </w:num>
  <w:num w:numId="259">
    <w:abstractNumId w:val="149"/>
  </w:num>
  <w:num w:numId="260">
    <w:abstractNumId w:val="85"/>
  </w:num>
  <w:num w:numId="261">
    <w:abstractNumId w:val="78"/>
  </w:num>
  <w:numIdMacAtCleanup w:val="2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hideSpellingErrors/>
  <w:proofState w:spelling="clean" w:grammar="clean"/>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4919"/>
    <w:rsid w:val="00001E15"/>
    <w:rsid w:val="00002099"/>
    <w:rsid w:val="00002ECB"/>
    <w:rsid w:val="000053D7"/>
    <w:rsid w:val="000054CE"/>
    <w:rsid w:val="00007DD6"/>
    <w:rsid w:val="00011AB1"/>
    <w:rsid w:val="00013C22"/>
    <w:rsid w:val="00013ED6"/>
    <w:rsid w:val="00013F77"/>
    <w:rsid w:val="00014DAB"/>
    <w:rsid w:val="000154F8"/>
    <w:rsid w:val="000155FE"/>
    <w:rsid w:val="0001596E"/>
    <w:rsid w:val="0001599B"/>
    <w:rsid w:val="00016664"/>
    <w:rsid w:val="00016A6A"/>
    <w:rsid w:val="00016C8D"/>
    <w:rsid w:val="000178B8"/>
    <w:rsid w:val="00017CC5"/>
    <w:rsid w:val="00020753"/>
    <w:rsid w:val="00022A70"/>
    <w:rsid w:val="00023501"/>
    <w:rsid w:val="000239B2"/>
    <w:rsid w:val="0002457B"/>
    <w:rsid w:val="00024982"/>
    <w:rsid w:val="000257D6"/>
    <w:rsid w:val="0002688F"/>
    <w:rsid w:val="00026AE7"/>
    <w:rsid w:val="0002729E"/>
    <w:rsid w:val="00030811"/>
    <w:rsid w:val="00031219"/>
    <w:rsid w:val="00032DBE"/>
    <w:rsid w:val="00032E3B"/>
    <w:rsid w:val="00033483"/>
    <w:rsid w:val="0003376C"/>
    <w:rsid w:val="00033BD3"/>
    <w:rsid w:val="000344FD"/>
    <w:rsid w:val="00036561"/>
    <w:rsid w:val="000365BB"/>
    <w:rsid w:val="0003665C"/>
    <w:rsid w:val="00037ED3"/>
    <w:rsid w:val="00037F04"/>
    <w:rsid w:val="00040C6C"/>
    <w:rsid w:val="00041691"/>
    <w:rsid w:val="000433EC"/>
    <w:rsid w:val="00043B81"/>
    <w:rsid w:val="00044F05"/>
    <w:rsid w:val="00045027"/>
    <w:rsid w:val="0004555D"/>
    <w:rsid w:val="00046929"/>
    <w:rsid w:val="00047A62"/>
    <w:rsid w:val="00050B8C"/>
    <w:rsid w:val="00050C05"/>
    <w:rsid w:val="000534A1"/>
    <w:rsid w:val="00053582"/>
    <w:rsid w:val="0005479E"/>
    <w:rsid w:val="00054906"/>
    <w:rsid w:val="00055659"/>
    <w:rsid w:val="000563D3"/>
    <w:rsid w:val="0005701F"/>
    <w:rsid w:val="00057204"/>
    <w:rsid w:val="000574C7"/>
    <w:rsid w:val="000615DB"/>
    <w:rsid w:val="00061682"/>
    <w:rsid w:val="000629EC"/>
    <w:rsid w:val="00064CFA"/>
    <w:rsid w:val="00064E16"/>
    <w:rsid w:val="00065A9D"/>
    <w:rsid w:val="000679F9"/>
    <w:rsid w:val="00067D0F"/>
    <w:rsid w:val="00071680"/>
    <w:rsid w:val="00071D2C"/>
    <w:rsid w:val="00072723"/>
    <w:rsid w:val="00072997"/>
    <w:rsid w:val="00072BE0"/>
    <w:rsid w:val="00072C4C"/>
    <w:rsid w:val="00074865"/>
    <w:rsid w:val="00074919"/>
    <w:rsid w:val="00075203"/>
    <w:rsid w:val="00075456"/>
    <w:rsid w:val="00075F93"/>
    <w:rsid w:val="00082C49"/>
    <w:rsid w:val="00083DDC"/>
    <w:rsid w:val="00084D44"/>
    <w:rsid w:val="00084EC8"/>
    <w:rsid w:val="00084ED4"/>
    <w:rsid w:val="00085753"/>
    <w:rsid w:val="000863FC"/>
    <w:rsid w:val="00086B6A"/>
    <w:rsid w:val="00087491"/>
    <w:rsid w:val="000874AA"/>
    <w:rsid w:val="00090A1D"/>
    <w:rsid w:val="00090F5D"/>
    <w:rsid w:val="000911A4"/>
    <w:rsid w:val="00091897"/>
    <w:rsid w:val="00091DF0"/>
    <w:rsid w:val="00091E25"/>
    <w:rsid w:val="000925F0"/>
    <w:rsid w:val="000930A5"/>
    <w:rsid w:val="00094295"/>
    <w:rsid w:val="000950AE"/>
    <w:rsid w:val="00096589"/>
    <w:rsid w:val="00097D01"/>
    <w:rsid w:val="000A14C6"/>
    <w:rsid w:val="000A1762"/>
    <w:rsid w:val="000A3166"/>
    <w:rsid w:val="000A3405"/>
    <w:rsid w:val="000A3F28"/>
    <w:rsid w:val="000A4645"/>
    <w:rsid w:val="000A5003"/>
    <w:rsid w:val="000A57AD"/>
    <w:rsid w:val="000A5AF4"/>
    <w:rsid w:val="000A5FFC"/>
    <w:rsid w:val="000A61CC"/>
    <w:rsid w:val="000A6B1D"/>
    <w:rsid w:val="000B1B01"/>
    <w:rsid w:val="000B1EFC"/>
    <w:rsid w:val="000B28FA"/>
    <w:rsid w:val="000B2F9C"/>
    <w:rsid w:val="000B3AEA"/>
    <w:rsid w:val="000B3B1D"/>
    <w:rsid w:val="000B3B70"/>
    <w:rsid w:val="000B41CD"/>
    <w:rsid w:val="000B4F71"/>
    <w:rsid w:val="000B5549"/>
    <w:rsid w:val="000B5981"/>
    <w:rsid w:val="000B664C"/>
    <w:rsid w:val="000B668F"/>
    <w:rsid w:val="000C1004"/>
    <w:rsid w:val="000C1771"/>
    <w:rsid w:val="000C2B1B"/>
    <w:rsid w:val="000C3FD2"/>
    <w:rsid w:val="000C4F26"/>
    <w:rsid w:val="000C597F"/>
    <w:rsid w:val="000C7448"/>
    <w:rsid w:val="000C7490"/>
    <w:rsid w:val="000C7BAC"/>
    <w:rsid w:val="000D0112"/>
    <w:rsid w:val="000D10DA"/>
    <w:rsid w:val="000D149C"/>
    <w:rsid w:val="000D19D9"/>
    <w:rsid w:val="000D2119"/>
    <w:rsid w:val="000D24A8"/>
    <w:rsid w:val="000D589C"/>
    <w:rsid w:val="000D5CD1"/>
    <w:rsid w:val="000D68EF"/>
    <w:rsid w:val="000D7B05"/>
    <w:rsid w:val="000E0E22"/>
    <w:rsid w:val="000E1F18"/>
    <w:rsid w:val="000E2BF7"/>
    <w:rsid w:val="000E2D7B"/>
    <w:rsid w:val="000E3730"/>
    <w:rsid w:val="000E3C60"/>
    <w:rsid w:val="000E3D63"/>
    <w:rsid w:val="000E5D6B"/>
    <w:rsid w:val="000E6811"/>
    <w:rsid w:val="000F02C7"/>
    <w:rsid w:val="000F0611"/>
    <w:rsid w:val="000F082D"/>
    <w:rsid w:val="000F1094"/>
    <w:rsid w:val="000F12DA"/>
    <w:rsid w:val="000F3E02"/>
    <w:rsid w:val="000F43F0"/>
    <w:rsid w:val="000F5721"/>
    <w:rsid w:val="000F59C7"/>
    <w:rsid w:val="000F5B90"/>
    <w:rsid w:val="000F6A5D"/>
    <w:rsid w:val="000F6E1D"/>
    <w:rsid w:val="000F745E"/>
    <w:rsid w:val="000F74F2"/>
    <w:rsid w:val="000F7578"/>
    <w:rsid w:val="000F7BC2"/>
    <w:rsid w:val="00100024"/>
    <w:rsid w:val="00101475"/>
    <w:rsid w:val="0010293A"/>
    <w:rsid w:val="001034E6"/>
    <w:rsid w:val="001061FF"/>
    <w:rsid w:val="00106219"/>
    <w:rsid w:val="00106805"/>
    <w:rsid w:val="00106CF7"/>
    <w:rsid w:val="0011053D"/>
    <w:rsid w:val="00110873"/>
    <w:rsid w:val="0011156C"/>
    <w:rsid w:val="00111FC3"/>
    <w:rsid w:val="00112403"/>
    <w:rsid w:val="001127E3"/>
    <w:rsid w:val="001131F5"/>
    <w:rsid w:val="00114033"/>
    <w:rsid w:val="0011495D"/>
    <w:rsid w:val="0011564D"/>
    <w:rsid w:val="001158FD"/>
    <w:rsid w:val="00115CE9"/>
    <w:rsid w:val="00117893"/>
    <w:rsid w:val="001203F4"/>
    <w:rsid w:val="0012041F"/>
    <w:rsid w:val="001209F7"/>
    <w:rsid w:val="001229F8"/>
    <w:rsid w:val="0012480B"/>
    <w:rsid w:val="00125488"/>
    <w:rsid w:val="00125941"/>
    <w:rsid w:val="001262C1"/>
    <w:rsid w:val="00126B98"/>
    <w:rsid w:val="00130A7F"/>
    <w:rsid w:val="00130B6F"/>
    <w:rsid w:val="001314B9"/>
    <w:rsid w:val="00131782"/>
    <w:rsid w:val="0013292D"/>
    <w:rsid w:val="00136089"/>
    <w:rsid w:val="001360E5"/>
    <w:rsid w:val="0013667B"/>
    <w:rsid w:val="001372B6"/>
    <w:rsid w:val="00137EFD"/>
    <w:rsid w:val="00140502"/>
    <w:rsid w:val="00141773"/>
    <w:rsid w:val="0014257B"/>
    <w:rsid w:val="00143461"/>
    <w:rsid w:val="0014449D"/>
    <w:rsid w:val="001454E1"/>
    <w:rsid w:val="00145726"/>
    <w:rsid w:val="00145DFB"/>
    <w:rsid w:val="00146596"/>
    <w:rsid w:val="00146623"/>
    <w:rsid w:val="001469A9"/>
    <w:rsid w:val="00150298"/>
    <w:rsid w:val="00151CAD"/>
    <w:rsid w:val="00152FEF"/>
    <w:rsid w:val="001537C0"/>
    <w:rsid w:val="00153860"/>
    <w:rsid w:val="00153C26"/>
    <w:rsid w:val="00153D3A"/>
    <w:rsid w:val="001540CF"/>
    <w:rsid w:val="00155973"/>
    <w:rsid w:val="00155A95"/>
    <w:rsid w:val="00155EB3"/>
    <w:rsid w:val="00155F1A"/>
    <w:rsid w:val="00156984"/>
    <w:rsid w:val="00156A2B"/>
    <w:rsid w:val="0015709E"/>
    <w:rsid w:val="001575F8"/>
    <w:rsid w:val="00157780"/>
    <w:rsid w:val="00157DB8"/>
    <w:rsid w:val="00160028"/>
    <w:rsid w:val="00160701"/>
    <w:rsid w:val="0016088B"/>
    <w:rsid w:val="001608A4"/>
    <w:rsid w:val="0016097B"/>
    <w:rsid w:val="00162BCA"/>
    <w:rsid w:val="00162DD1"/>
    <w:rsid w:val="001632E8"/>
    <w:rsid w:val="00163A2E"/>
    <w:rsid w:val="00163B8A"/>
    <w:rsid w:val="00165D23"/>
    <w:rsid w:val="00166EFE"/>
    <w:rsid w:val="0016741F"/>
    <w:rsid w:val="00167670"/>
    <w:rsid w:val="001700E5"/>
    <w:rsid w:val="00170EB0"/>
    <w:rsid w:val="0017207E"/>
    <w:rsid w:val="001720B0"/>
    <w:rsid w:val="0017305D"/>
    <w:rsid w:val="00173305"/>
    <w:rsid w:val="0017381C"/>
    <w:rsid w:val="0017415C"/>
    <w:rsid w:val="00174181"/>
    <w:rsid w:val="001749D1"/>
    <w:rsid w:val="0017682D"/>
    <w:rsid w:val="00176B81"/>
    <w:rsid w:val="00176E12"/>
    <w:rsid w:val="001771D4"/>
    <w:rsid w:val="00180A01"/>
    <w:rsid w:val="001813C1"/>
    <w:rsid w:val="00181479"/>
    <w:rsid w:val="001824ED"/>
    <w:rsid w:val="00182D53"/>
    <w:rsid w:val="00183404"/>
    <w:rsid w:val="001841FB"/>
    <w:rsid w:val="00185255"/>
    <w:rsid w:val="001860E8"/>
    <w:rsid w:val="0018749F"/>
    <w:rsid w:val="0018798A"/>
    <w:rsid w:val="00187A99"/>
    <w:rsid w:val="0019142B"/>
    <w:rsid w:val="001918E2"/>
    <w:rsid w:val="00191B7E"/>
    <w:rsid w:val="00191DB0"/>
    <w:rsid w:val="00192350"/>
    <w:rsid w:val="00192FAB"/>
    <w:rsid w:val="0019421C"/>
    <w:rsid w:val="001951E9"/>
    <w:rsid w:val="001957C3"/>
    <w:rsid w:val="001965C9"/>
    <w:rsid w:val="00196A17"/>
    <w:rsid w:val="00196AF8"/>
    <w:rsid w:val="0019704C"/>
    <w:rsid w:val="001978AF"/>
    <w:rsid w:val="001978F3"/>
    <w:rsid w:val="001A0200"/>
    <w:rsid w:val="001A061E"/>
    <w:rsid w:val="001A0673"/>
    <w:rsid w:val="001A13E1"/>
    <w:rsid w:val="001A1DDA"/>
    <w:rsid w:val="001A1FC2"/>
    <w:rsid w:val="001A21CB"/>
    <w:rsid w:val="001A2504"/>
    <w:rsid w:val="001A2724"/>
    <w:rsid w:val="001A4A92"/>
    <w:rsid w:val="001A5D2D"/>
    <w:rsid w:val="001A6843"/>
    <w:rsid w:val="001A6FFF"/>
    <w:rsid w:val="001A76B9"/>
    <w:rsid w:val="001A7975"/>
    <w:rsid w:val="001A7F25"/>
    <w:rsid w:val="001B0A87"/>
    <w:rsid w:val="001B1160"/>
    <w:rsid w:val="001B158D"/>
    <w:rsid w:val="001B372B"/>
    <w:rsid w:val="001B4361"/>
    <w:rsid w:val="001B4521"/>
    <w:rsid w:val="001B461D"/>
    <w:rsid w:val="001B54FE"/>
    <w:rsid w:val="001C0C48"/>
    <w:rsid w:val="001C1A4E"/>
    <w:rsid w:val="001C1C5A"/>
    <w:rsid w:val="001C1D1F"/>
    <w:rsid w:val="001C20B4"/>
    <w:rsid w:val="001C263F"/>
    <w:rsid w:val="001C3325"/>
    <w:rsid w:val="001C3C35"/>
    <w:rsid w:val="001C40C6"/>
    <w:rsid w:val="001C47C9"/>
    <w:rsid w:val="001C5D36"/>
    <w:rsid w:val="001C5EE3"/>
    <w:rsid w:val="001C656C"/>
    <w:rsid w:val="001C6960"/>
    <w:rsid w:val="001C7527"/>
    <w:rsid w:val="001C75AA"/>
    <w:rsid w:val="001D2D78"/>
    <w:rsid w:val="001D51C1"/>
    <w:rsid w:val="001D5C79"/>
    <w:rsid w:val="001D5ECA"/>
    <w:rsid w:val="001D666E"/>
    <w:rsid w:val="001E04F8"/>
    <w:rsid w:val="001E05D2"/>
    <w:rsid w:val="001E1558"/>
    <w:rsid w:val="001E163D"/>
    <w:rsid w:val="001E193B"/>
    <w:rsid w:val="001E28C0"/>
    <w:rsid w:val="001E47E9"/>
    <w:rsid w:val="001E4B2C"/>
    <w:rsid w:val="001E581E"/>
    <w:rsid w:val="001E6EC8"/>
    <w:rsid w:val="001F02B2"/>
    <w:rsid w:val="001F13C0"/>
    <w:rsid w:val="001F143B"/>
    <w:rsid w:val="001F195D"/>
    <w:rsid w:val="001F1A9D"/>
    <w:rsid w:val="001F1C4E"/>
    <w:rsid w:val="001F1FF4"/>
    <w:rsid w:val="001F3F28"/>
    <w:rsid w:val="001F4795"/>
    <w:rsid w:val="001F4799"/>
    <w:rsid w:val="001F4B53"/>
    <w:rsid w:val="001F50B1"/>
    <w:rsid w:val="001F52D1"/>
    <w:rsid w:val="001F6F44"/>
    <w:rsid w:val="00200672"/>
    <w:rsid w:val="00201122"/>
    <w:rsid w:val="002011F4"/>
    <w:rsid w:val="00201483"/>
    <w:rsid w:val="00201C0F"/>
    <w:rsid w:val="002022F8"/>
    <w:rsid w:val="00202A0E"/>
    <w:rsid w:val="00202BA5"/>
    <w:rsid w:val="002057A2"/>
    <w:rsid w:val="002066EE"/>
    <w:rsid w:val="00206D1C"/>
    <w:rsid w:val="002111D0"/>
    <w:rsid w:val="00213D64"/>
    <w:rsid w:val="00214C06"/>
    <w:rsid w:val="002152A2"/>
    <w:rsid w:val="00215DDC"/>
    <w:rsid w:val="0021790D"/>
    <w:rsid w:val="00217AA7"/>
    <w:rsid w:val="00217E9E"/>
    <w:rsid w:val="00221EBA"/>
    <w:rsid w:val="0022223C"/>
    <w:rsid w:val="0022292F"/>
    <w:rsid w:val="002239C0"/>
    <w:rsid w:val="00223D86"/>
    <w:rsid w:val="00223FA1"/>
    <w:rsid w:val="00224701"/>
    <w:rsid w:val="00225695"/>
    <w:rsid w:val="00225A78"/>
    <w:rsid w:val="00225B10"/>
    <w:rsid w:val="00226679"/>
    <w:rsid w:val="00226715"/>
    <w:rsid w:val="00227D59"/>
    <w:rsid w:val="00227DEA"/>
    <w:rsid w:val="00227E8C"/>
    <w:rsid w:val="002306FE"/>
    <w:rsid w:val="00231D12"/>
    <w:rsid w:val="002327CB"/>
    <w:rsid w:val="0023331A"/>
    <w:rsid w:val="002334E5"/>
    <w:rsid w:val="00233CBB"/>
    <w:rsid w:val="00234235"/>
    <w:rsid w:val="00234EE5"/>
    <w:rsid w:val="0023579E"/>
    <w:rsid w:val="00235CE4"/>
    <w:rsid w:val="00237467"/>
    <w:rsid w:val="00237E16"/>
    <w:rsid w:val="00237EA9"/>
    <w:rsid w:val="002403B9"/>
    <w:rsid w:val="0024056B"/>
    <w:rsid w:val="002405EB"/>
    <w:rsid w:val="00240E87"/>
    <w:rsid w:val="00241054"/>
    <w:rsid w:val="0024228B"/>
    <w:rsid w:val="00242645"/>
    <w:rsid w:val="00244066"/>
    <w:rsid w:val="002444DC"/>
    <w:rsid w:val="00244BEC"/>
    <w:rsid w:val="0024536A"/>
    <w:rsid w:val="00245624"/>
    <w:rsid w:val="00245EED"/>
    <w:rsid w:val="00246086"/>
    <w:rsid w:val="00246717"/>
    <w:rsid w:val="00247167"/>
    <w:rsid w:val="0024772D"/>
    <w:rsid w:val="00250BCC"/>
    <w:rsid w:val="0025142C"/>
    <w:rsid w:val="00252765"/>
    <w:rsid w:val="00252ECA"/>
    <w:rsid w:val="0025375A"/>
    <w:rsid w:val="00253A41"/>
    <w:rsid w:val="00253B60"/>
    <w:rsid w:val="00254F10"/>
    <w:rsid w:val="0025577E"/>
    <w:rsid w:val="00255942"/>
    <w:rsid w:val="002563C9"/>
    <w:rsid w:val="00261B87"/>
    <w:rsid w:val="00262135"/>
    <w:rsid w:val="00262B7D"/>
    <w:rsid w:val="00262ED3"/>
    <w:rsid w:val="00263C13"/>
    <w:rsid w:val="00263F22"/>
    <w:rsid w:val="002649C7"/>
    <w:rsid w:val="002660D0"/>
    <w:rsid w:val="00266BE1"/>
    <w:rsid w:val="002677F5"/>
    <w:rsid w:val="00267E3B"/>
    <w:rsid w:val="00270A41"/>
    <w:rsid w:val="00270BDB"/>
    <w:rsid w:val="00270D9B"/>
    <w:rsid w:val="00273C92"/>
    <w:rsid w:val="00273D95"/>
    <w:rsid w:val="00274015"/>
    <w:rsid w:val="00276009"/>
    <w:rsid w:val="00277686"/>
    <w:rsid w:val="00280B32"/>
    <w:rsid w:val="00282842"/>
    <w:rsid w:val="00282AC2"/>
    <w:rsid w:val="00283292"/>
    <w:rsid w:val="00284678"/>
    <w:rsid w:val="00284A4D"/>
    <w:rsid w:val="00284EFA"/>
    <w:rsid w:val="00285427"/>
    <w:rsid w:val="002854BD"/>
    <w:rsid w:val="00285ABC"/>
    <w:rsid w:val="002865A2"/>
    <w:rsid w:val="00286E13"/>
    <w:rsid w:val="00287930"/>
    <w:rsid w:val="002904EC"/>
    <w:rsid w:val="00292532"/>
    <w:rsid w:val="002931CB"/>
    <w:rsid w:val="0029352A"/>
    <w:rsid w:val="00293C95"/>
    <w:rsid w:val="00293D24"/>
    <w:rsid w:val="00294371"/>
    <w:rsid w:val="0029439B"/>
    <w:rsid w:val="00295E35"/>
    <w:rsid w:val="00296084"/>
    <w:rsid w:val="00297CD4"/>
    <w:rsid w:val="00297F9B"/>
    <w:rsid w:val="002A07B8"/>
    <w:rsid w:val="002A093C"/>
    <w:rsid w:val="002A0FE6"/>
    <w:rsid w:val="002A1327"/>
    <w:rsid w:val="002A1C98"/>
    <w:rsid w:val="002A1CBB"/>
    <w:rsid w:val="002A213E"/>
    <w:rsid w:val="002A2A62"/>
    <w:rsid w:val="002A32AB"/>
    <w:rsid w:val="002A38F0"/>
    <w:rsid w:val="002A39AD"/>
    <w:rsid w:val="002A3EAA"/>
    <w:rsid w:val="002A438D"/>
    <w:rsid w:val="002A4453"/>
    <w:rsid w:val="002A4C66"/>
    <w:rsid w:val="002A5390"/>
    <w:rsid w:val="002A5C88"/>
    <w:rsid w:val="002A5D21"/>
    <w:rsid w:val="002A64EE"/>
    <w:rsid w:val="002A6941"/>
    <w:rsid w:val="002A69A8"/>
    <w:rsid w:val="002A7450"/>
    <w:rsid w:val="002B18B7"/>
    <w:rsid w:val="002B1CB0"/>
    <w:rsid w:val="002B4D9E"/>
    <w:rsid w:val="002B5ED7"/>
    <w:rsid w:val="002B6B2D"/>
    <w:rsid w:val="002B6B89"/>
    <w:rsid w:val="002B6CAE"/>
    <w:rsid w:val="002B6F70"/>
    <w:rsid w:val="002B6FD2"/>
    <w:rsid w:val="002C1923"/>
    <w:rsid w:val="002C24C7"/>
    <w:rsid w:val="002C292F"/>
    <w:rsid w:val="002C30AD"/>
    <w:rsid w:val="002C34F0"/>
    <w:rsid w:val="002C473E"/>
    <w:rsid w:val="002C56C1"/>
    <w:rsid w:val="002C723C"/>
    <w:rsid w:val="002C7CCA"/>
    <w:rsid w:val="002D0AB8"/>
    <w:rsid w:val="002D11F2"/>
    <w:rsid w:val="002D2825"/>
    <w:rsid w:val="002D2878"/>
    <w:rsid w:val="002D2B4A"/>
    <w:rsid w:val="002D2E1A"/>
    <w:rsid w:val="002D332A"/>
    <w:rsid w:val="002D3EE4"/>
    <w:rsid w:val="002D526A"/>
    <w:rsid w:val="002D6D99"/>
    <w:rsid w:val="002D703E"/>
    <w:rsid w:val="002D7703"/>
    <w:rsid w:val="002E19D4"/>
    <w:rsid w:val="002E2775"/>
    <w:rsid w:val="002E2D19"/>
    <w:rsid w:val="002E2E90"/>
    <w:rsid w:val="002E3A36"/>
    <w:rsid w:val="002E5557"/>
    <w:rsid w:val="002E5ACD"/>
    <w:rsid w:val="002E5B84"/>
    <w:rsid w:val="002E6D41"/>
    <w:rsid w:val="002F037B"/>
    <w:rsid w:val="002F16E5"/>
    <w:rsid w:val="002F1BE5"/>
    <w:rsid w:val="002F48D7"/>
    <w:rsid w:val="002F53DA"/>
    <w:rsid w:val="002F54E1"/>
    <w:rsid w:val="002F5C1C"/>
    <w:rsid w:val="002F74AA"/>
    <w:rsid w:val="002F757E"/>
    <w:rsid w:val="002F766C"/>
    <w:rsid w:val="003005AD"/>
    <w:rsid w:val="003008DC"/>
    <w:rsid w:val="00301CEE"/>
    <w:rsid w:val="00303019"/>
    <w:rsid w:val="003035E3"/>
    <w:rsid w:val="003038CB"/>
    <w:rsid w:val="00303A81"/>
    <w:rsid w:val="00304972"/>
    <w:rsid w:val="003057A2"/>
    <w:rsid w:val="00306614"/>
    <w:rsid w:val="00307D4C"/>
    <w:rsid w:val="00310A28"/>
    <w:rsid w:val="00310A90"/>
    <w:rsid w:val="003110B2"/>
    <w:rsid w:val="003142B2"/>
    <w:rsid w:val="00314738"/>
    <w:rsid w:val="00314D79"/>
    <w:rsid w:val="00314DBE"/>
    <w:rsid w:val="00316440"/>
    <w:rsid w:val="003166EF"/>
    <w:rsid w:val="00316932"/>
    <w:rsid w:val="0032032C"/>
    <w:rsid w:val="003204B1"/>
    <w:rsid w:val="00320713"/>
    <w:rsid w:val="00320E00"/>
    <w:rsid w:val="003225AB"/>
    <w:rsid w:val="00322897"/>
    <w:rsid w:val="00322986"/>
    <w:rsid w:val="003244D9"/>
    <w:rsid w:val="00324C3E"/>
    <w:rsid w:val="003259BF"/>
    <w:rsid w:val="00326791"/>
    <w:rsid w:val="00326A94"/>
    <w:rsid w:val="00326C9B"/>
    <w:rsid w:val="003274E0"/>
    <w:rsid w:val="003310A7"/>
    <w:rsid w:val="0033164C"/>
    <w:rsid w:val="00331E4C"/>
    <w:rsid w:val="003323BB"/>
    <w:rsid w:val="00333379"/>
    <w:rsid w:val="00334454"/>
    <w:rsid w:val="00336B2D"/>
    <w:rsid w:val="00336E13"/>
    <w:rsid w:val="00337AF3"/>
    <w:rsid w:val="00340E88"/>
    <w:rsid w:val="003411CF"/>
    <w:rsid w:val="0034182F"/>
    <w:rsid w:val="00341CFD"/>
    <w:rsid w:val="003420F9"/>
    <w:rsid w:val="003433BA"/>
    <w:rsid w:val="00343677"/>
    <w:rsid w:val="00343A44"/>
    <w:rsid w:val="00343CF0"/>
    <w:rsid w:val="00344630"/>
    <w:rsid w:val="0034549C"/>
    <w:rsid w:val="00346DFE"/>
    <w:rsid w:val="00350C71"/>
    <w:rsid w:val="0035127C"/>
    <w:rsid w:val="003545C3"/>
    <w:rsid w:val="00356855"/>
    <w:rsid w:val="00356EA4"/>
    <w:rsid w:val="00357646"/>
    <w:rsid w:val="00357A7E"/>
    <w:rsid w:val="00360BAC"/>
    <w:rsid w:val="0036103A"/>
    <w:rsid w:val="0036206D"/>
    <w:rsid w:val="003625C7"/>
    <w:rsid w:val="00362C6A"/>
    <w:rsid w:val="00363313"/>
    <w:rsid w:val="00363DDB"/>
    <w:rsid w:val="00363F9F"/>
    <w:rsid w:val="0036433A"/>
    <w:rsid w:val="00364483"/>
    <w:rsid w:val="00364F16"/>
    <w:rsid w:val="003650F5"/>
    <w:rsid w:val="00365B65"/>
    <w:rsid w:val="00365DA6"/>
    <w:rsid w:val="00365FBE"/>
    <w:rsid w:val="00366E7D"/>
    <w:rsid w:val="00370076"/>
    <w:rsid w:val="00370AC5"/>
    <w:rsid w:val="00372311"/>
    <w:rsid w:val="00372920"/>
    <w:rsid w:val="00374176"/>
    <w:rsid w:val="003743DC"/>
    <w:rsid w:val="00375899"/>
    <w:rsid w:val="003769A9"/>
    <w:rsid w:val="00377B7C"/>
    <w:rsid w:val="00377EFB"/>
    <w:rsid w:val="003804D7"/>
    <w:rsid w:val="00380C23"/>
    <w:rsid w:val="00381467"/>
    <w:rsid w:val="003817A7"/>
    <w:rsid w:val="00381A04"/>
    <w:rsid w:val="00381D3A"/>
    <w:rsid w:val="00381EE4"/>
    <w:rsid w:val="003823B5"/>
    <w:rsid w:val="00382964"/>
    <w:rsid w:val="00382D39"/>
    <w:rsid w:val="00383C5B"/>
    <w:rsid w:val="00384923"/>
    <w:rsid w:val="00384C40"/>
    <w:rsid w:val="00384F99"/>
    <w:rsid w:val="003850EB"/>
    <w:rsid w:val="00385746"/>
    <w:rsid w:val="00385BDC"/>
    <w:rsid w:val="00386CFD"/>
    <w:rsid w:val="003873D8"/>
    <w:rsid w:val="003878E0"/>
    <w:rsid w:val="00390594"/>
    <w:rsid w:val="003917AF"/>
    <w:rsid w:val="003921E8"/>
    <w:rsid w:val="003925D5"/>
    <w:rsid w:val="00393B7D"/>
    <w:rsid w:val="00393C68"/>
    <w:rsid w:val="00393C91"/>
    <w:rsid w:val="00394206"/>
    <w:rsid w:val="00396985"/>
    <w:rsid w:val="00396D08"/>
    <w:rsid w:val="00397095"/>
    <w:rsid w:val="00397CB9"/>
    <w:rsid w:val="003A01A8"/>
    <w:rsid w:val="003A0FD4"/>
    <w:rsid w:val="003A12CD"/>
    <w:rsid w:val="003A13D6"/>
    <w:rsid w:val="003A29BC"/>
    <w:rsid w:val="003A29F7"/>
    <w:rsid w:val="003A3050"/>
    <w:rsid w:val="003A3623"/>
    <w:rsid w:val="003A3ED6"/>
    <w:rsid w:val="003A5F4B"/>
    <w:rsid w:val="003A6436"/>
    <w:rsid w:val="003A64BE"/>
    <w:rsid w:val="003A6BDB"/>
    <w:rsid w:val="003A714F"/>
    <w:rsid w:val="003A7D5E"/>
    <w:rsid w:val="003B129F"/>
    <w:rsid w:val="003B137F"/>
    <w:rsid w:val="003B1DD8"/>
    <w:rsid w:val="003B1FB5"/>
    <w:rsid w:val="003B32E7"/>
    <w:rsid w:val="003B3DC9"/>
    <w:rsid w:val="003B4019"/>
    <w:rsid w:val="003B5287"/>
    <w:rsid w:val="003B5926"/>
    <w:rsid w:val="003B6FD0"/>
    <w:rsid w:val="003B74E3"/>
    <w:rsid w:val="003B7BC5"/>
    <w:rsid w:val="003C0CD1"/>
    <w:rsid w:val="003C1007"/>
    <w:rsid w:val="003C1148"/>
    <w:rsid w:val="003C23D0"/>
    <w:rsid w:val="003C2878"/>
    <w:rsid w:val="003C3385"/>
    <w:rsid w:val="003C4D62"/>
    <w:rsid w:val="003C5212"/>
    <w:rsid w:val="003C78E9"/>
    <w:rsid w:val="003C7E2A"/>
    <w:rsid w:val="003D08A5"/>
    <w:rsid w:val="003D08AE"/>
    <w:rsid w:val="003D0F73"/>
    <w:rsid w:val="003D157F"/>
    <w:rsid w:val="003D1836"/>
    <w:rsid w:val="003D1D59"/>
    <w:rsid w:val="003D3022"/>
    <w:rsid w:val="003D3704"/>
    <w:rsid w:val="003D39CF"/>
    <w:rsid w:val="003D3CFD"/>
    <w:rsid w:val="003D4703"/>
    <w:rsid w:val="003D4E99"/>
    <w:rsid w:val="003D536F"/>
    <w:rsid w:val="003D6DEB"/>
    <w:rsid w:val="003D73CB"/>
    <w:rsid w:val="003E075E"/>
    <w:rsid w:val="003E1AB9"/>
    <w:rsid w:val="003E4607"/>
    <w:rsid w:val="003E51B0"/>
    <w:rsid w:val="003E57A4"/>
    <w:rsid w:val="003E6C2D"/>
    <w:rsid w:val="003F05CA"/>
    <w:rsid w:val="003F09DC"/>
    <w:rsid w:val="003F1965"/>
    <w:rsid w:val="003F1AA7"/>
    <w:rsid w:val="003F273C"/>
    <w:rsid w:val="003F4645"/>
    <w:rsid w:val="003F5A61"/>
    <w:rsid w:val="003F5DFB"/>
    <w:rsid w:val="003F64BF"/>
    <w:rsid w:val="003F75AA"/>
    <w:rsid w:val="003F76BF"/>
    <w:rsid w:val="003F792F"/>
    <w:rsid w:val="003F7D0E"/>
    <w:rsid w:val="00401B4B"/>
    <w:rsid w:val="004025CD"/>
    <w:rsid w:val="00402942"/>
    <w:rsid w:val="00403BE9"/>
    <w:rsid w:val="00403CDA"/>
    <w:rsid w:val="00403FCB"/>
    <w:rsid w:val="00406CF8"/>
    <w:rsid w:val="00407627"/>
    <w:rsid w:val="004103A6"/>
    <w:rsid w:val="00410DCC"/>
    <w:rsid w:val="00411098"/>
    <w:rsid w:val="004111E9"/>
    <w:rsid w:val="00411B19"/>
    <w:rsid w:val="00412527"/>
    <w:rsid w:val="0041257E"/>
    <w:rsid w:val="00412835"/>
    <w:rsid w:val="00412A1B"/>
    <w:rsid w:val="00414787"/>
    <w:rsid w:val="00415DBF"/>
    <w:rsid w:val="00416BB6"/>
    <w:rsid w:val="00416C86"/>
    <w:rsid w:val="004170E8"/>
    <w:rsid w:val="00417334"/>
    <w:rsid w:val="0041742F"/>
    <w:rsid w:val="0042031F"/>
    <w:rsid w:val="00420C53"/>
    <w:rsid w:val="0042195D"/>
    <w:rsid w:val="00421AE7"/>
    <w:rsid w:val="0042476B"/>
    <w:rsid w:val="00425425"/>
    <w:rsid w:val="00425C56"/>
    <w:rsid w:val="00425F93"/>
    <w:rsid w:val="0043011F"/>
    <w:rsid w:val="00430346"/>
    <w:rsid w:val="00430502"/>
    <w:rsid w:val="00430854"/>
    <w:rsid w:val="00432378"/>
    <w:rsid w:val="00432878"/>
    <w:rsid w:val="00434FF6"/>
    <w:rsid w:val="004358A8"/>
    <w:rsid w:val="004361E7"/>
    <w:rsid w:val="004416DA"/>
    <w:rsid w:val="00441818"/>
    <w:rsid w:val="00442074"/>
    <w:rsid w:val="004421BC"/>
    <w:rsid w:val="00442210"/>
    <w:rsid w:val="00443080"/>
    <w:rsid w:val="00443087"/>
    <w:rsid w:val="00444EF2"/>
    <w:rsid w:val="00445245"/>
    <w:rsid w:val="00445C34"/>
    <w:rsid w:val="00445EF4"/>
    <w:rsid w:val="00446F75"/>
    <w:rsid w:val="004474A6"/>
    <w:rsid w:val="00447852"/>
    <w:rsid w:val="00447DFA"/>
    <w:rsid w:val="004500AE"/>
    <w:rsid w:val="0045208E"/>
    <w:rsid w:val="00452561"/>
    <w:rsid w:val="00454133"/>
    <w:rsid w:val="0045424C"/>
    <w:rsid w:val="00454809"/>
    <w:rsid w:val="00454FDD"/>
    <w:rsid w:val="004553B7"/>
    <w:rsid w:val="00455598"/>
    <w:rsid w:val="00457603"/>
    <w:rsid w:val="0045794B"/>
    <w:rsid w:val="00457A9D"/>
    <w:rsid w:val="00460154"/>
    <w:rsid w:val="004603CD"/>
    <w:rsid w:val="004605B6"/>
    <w:rsid w:val="00460D68"/>
    <w:rsid w:val="00460E99"/>
    <w:rsid w:val="004611D4"/>
    <w:rsid w:val="0046130C"/>
    <w:rsid w:val="0046178D"/>
    <w:rsid w:val="00461B5F"/>
    <w:rsid w:val="00462FDB"/>
    <w:rsid w:val="004636DB"/>
    <w:rsid w:val="004645A3"/>
    <w:rsid w:val="00464769"/>
    <w:rsid w:val="00464919"/>
    <w:rsid w:val="00464CBE"/>
    <w:rsid w:val="0046523E"/>
    <w:rsid w:val="00465F43"/>
    <w:rsid w:val="00466B34"/>
    <w:rsid w:val="0046723D"/>
    <w:rsid w:val="00467FC4"/>
    <w:rsid w:val="00467FD5"/>
    <w:rsid w:val="00472539"/>
    <w:rsid w:val="00472547"/>
    <w:rsid w:val="00472F63"/>
    <w:rsid w:val="0047310F"/>
    <w:rsid w:val="004734A1"/>
    <w:rsid w:val="00473779"/>
    <w:rsid w:val="004753BC"/>
    <w:rsid w:val="004769BD"/>
    <w:rsid w:val="00476BEF"/>
    <w:rsid w:val="00477909"/>
    <w:rsid w:val="00477B3F"/>
    <w:rsid w:val="00477B73"/>
    <w:rsid w:val="00480786"/>
    <w:rsid w:val="00482104"/>
    <w:rsid w:val="004822A6"/>
    <w:rsid w:val="00482962"/>
    <w:rsid w:val="00482F0A"/>
    <w:rsid w:val="00483116"/>
    <w:rsid w:val="00485070"/>
    <w:rsid w:val="004853AF"/>
    <w:rsid w:val="00485CDA"/>
    <w:rsid w:val="004861C7"/>
    <w:rsid w:val="00486654"/>
    <w:rsid w:val="004872DC"/>
    <w:rsid w:val="004958F7"/>
    <w:rsid w:val="00495F5C"/>
    <w:rsid w:val="00496363"/>
    <w:rsid w:val="004969CC"/>
    <w:rsid w:val="00497045"/>
    <w:rsid w:val="00497BEA"/>
    <w:rsid w:val="00497CF1"/>
    <w:rsid w:val="004A0DCF"/>
    <w:rsid w:val="004A19BB"/>
    <w:rsid w:val="004A1A50"/>
    <w:rsid w:val="004A2858"/>
    <w:rsid w:val="004A3402"/>
    <w:rsid w:val="004A4257"/>
    <w:rsid w:val="004A443B"/>
    <w:rsid w:val="004A4606"/>
    <w:rsid w:val="004A4614"/>
    <w:rsid w:val="004A4F6A"/>
    <w:rsid w:val="004A5AF5"/>
    <w:rsid w:val="004A67C4"/>
    <w:rsid w:val="004A67E6"/>
    <w:rsid w:val="004B021C"/>
    <w:rsid w:val="004B0AC3"/>
    <w:rsid w:val="004B1C6C"/>
    <w:rsid w:val="004B2086"/>
    <w:rsid w:val="004B3B8C"/>
    <w:rsid w:val="004B4E0F"/>
    <w:rsid w:val="004B5500"/>
    <w:rsid w:val="004B5B23"/>
    <w:rsid w:val="004B7921"/>
    <w:rsid w:val="004B7F53"/>
    <w:rsid w:val="004C0194"/>
    <w:rsid w:val="004C080C"/>
    <w:rsid w:val="004C159E"/>
    <w:rsid w:val="004C1CA7"/>
    <w:rsid w:val="004C358D"/>
    <w:rsid w:val="004C5198"/>
    <w:rsid w:val="004C57D5"/>
    <w:rsid w:val="004C5ACB"/>
    <w:rsid w:val="004C62D0"/>
    <w:rsid w:val="004C75FD"/>
    <w:rsid w:val="004C768F"/>
    <w:rsid w:val="004D00A9"/>
    <w:rsid w:val="004D18D3"/>
    <w:rsid w:val="004D2CA5"/>
    <w:rsid w:val="004D3023"/>
    <w:rsid w:val="004D45BC"/>
    <w:rsid w:val="004D4A86"/>
    <w:rsid w:val="004D4B98"/>
    <w:rsid w:val="004D648C"/>
    <w:rsid w:val="004E0C85"/>
    <w:rsid w:val="004E1562"/>
    <w:rsid w:val="004E2EAC"/>
    <w:rsid w:val="004E2F56"/>
    <w:rsid w:val="004E3DD0"/>
    <w:rsid w:val="004E4478"/>
    <w:rsid w:val="004E44AB"/>
    <w:rsid w:val="004E5645"/>
    <w:rsid w:val="004E59E1"/>
    <w:rsid w:val="004E6A1A"/>
    <w:rsid w:val="004E6CC7"/>
    <w:rsid w:val="004E7882"/>
    <w:rsid w:val="004F1E20"/>
    <w:rsid w:val="004F1F38"/>
    <w:rsid w:val="004F20CC"/>
    <w:rsid w:val="004F2C58"/>
    <w:rsid w:val="004F2EE9"/>
    <w:rsid w:val="004F3A83"/>
    <w:rsid w:val="004F4079"/>
    <w:rsid w:val="004F4903"/>
    <w:rsid w:val="004F546E"/>
    <w:rsid w:val="004F60D6"/>
    <w:rsid w:val="00500136"/>
    <w:rsid w:val="0050046A"/>
    <w:rsid w:val="0050177D"/>
    <w:rsid w:val="00501942"/>
    <w:rsid w:val="00501C0E"/>
    <w:rsid w:val="00501E8A"/>
    <w:rsid w:val="00502675"/>
    <w:rsid w:val="00502DD8"/>
    <w:rsid w:val="005037E3"/>
    <w:rsid w:val="00503880"/>
    <w:rsid w:val="0050392B"/>
    <w:rsid w:val="00506CA2"/>
    <w:rsid w:val="005071F6"/>
    <w:rsid w:val="00507213"/>
    <w:rsid w:val="005106E9"/>
    <w:rsid w:val="00511209"/>
    <w:rsid w:val="005117E9"/>
    <w:rsid w:val="00512D91"/>
    <w:rsid w:val="00513673"/>
    <w:rsid w:val="00513C23"/>
    <w:rsid w:val="00514B3B"/>
    <w:rsid w:val="005154C8"/>
    <w:rsid w:val="00516D11"/>
    <w:rsid w:val="00517639"/>
    <w:rsid w:val="005179EE"/>
    <w:rsid w:val="005207C1"/>
    <w:rsid w:val="005210C3"/>
    <w:rsid w:val="00524A1C"/>
    <w:rsid w:val="00526EA6"/>
    <w:rsid w:val="005278EE"/>
    <w:rsid w:val="0053035F"/>
    <w:rsid w:val="0053137A"/>
    <w:rsid w:val="0053298E"/>
    <w:rsid w:val="00532D44"/>
    <w:rsid w:val="00533515"/>
    <w:rsid w:val="005341AA"/>
    <w:rsid w:val="00534FC6"/>
    <w:rsid w:val="00536C61"/>
    <w:rsid w:val="0053777D"/>
    <w:rsid w:val="0053785C"/>
    <w:rsid w:val="00537C66"/>
    <w:rsid w:val="00541F7B"/>
    <w:rsid w:val="00542BE1"/>
    <w:rsid w:val="00542EC3"/>
    <w:rsid w:val="00543795"/>
    <w:rsid w:val="005440CA"/>
    <w:rsid w:val="00544E8F"/>
    <w:rsid w:val="005457A1"/>
    <w:rsid w:val="00546228"/>
    <w:rsid w:val="00546B50"/>
    <w:rsid w:val="00546C8E"/>
    <w:rsid w:val="00546E0A"/>
    <w:rsid w:val="00547E26"/>
    <w:rsid w:val="00547ED9"/>
    <w:rsid w:val="00550619"/>
    <w:rsid w:val="0055112F"/>
    <w:rsid w:val="00551BE6"/>
    <w:rsid w:val="00552FEB"/>
    <w:rsid w:val="00552FF0"/>
    <w:rsid w:val="0055403B"/>
    <w:rsid w:val="00555689"/>
    <w:rsid w:val="00555B79"/>
    <w:rsid w:val="00556974"/>
    <w:rsid w:val="00561376"/>
    <w:rsid w:val="00561AB6"/>
    <w:rsid w:val="00561D2C"/>
    <w:rsid w:val="005629C5"/>
    <w:rsid w:val="005638C7"/>
    <w:rsid w:val="005641A3"/>
    <w:rsid w:val="00565921"/>
    <w:rsid w:val="005666C7"/>
    <w:rsid w:val="005700D7"/>
    <w:rsid w:val="005706BC"/>
    <w:rsid w:val="00570801"/>
    <w:rsid w:val="00570DBE"/>
    <w:rsid w:val="005716B9"/>
    <w:rsid w:val="00571FF3"/>
    <w:rsid w:val="00572011"/>
    <w:rsid w:val="00572373"/>
    <w:rsid w:val="005724C7"/>
    <w:rsid w:val="005725B2"/>
    <w:rsid w:val="00573667"/>
    <w:rsid w:val="0057480D"/>
    <w:rsid w:val="00575EB7"/>
    <w:rsid w:val="00576B56"/>
    <w:rsid w:val="00582345"/>
    <w:rsid w:val="00583F2E"/>
    <w:rsid w:val="00584BDB"/>
    <w:rsid w:val="00584DDF"/>
    <w:rsid w:val="0058551D"/>
    <w:rsid w:val="00586BD5"/>
    <w:rsid w:val="005900D3"/>
    <w:rsid w:val="0059038B"/>
    <w:rsid w:val="00591A9F"/>
    <w:rsid w:val="0059252B"/>
    <w:rsid w:val="00592E36"/>
    <w:rsid w:val="005942DF"/>
    <w:rsid w:val="00594EC0"/>
    <w:rsid w:val="00595A1D"/>
    <w:rsid w:val="0059664E"/>
    <w:rsid w:val="00596A28"/>
    <w:rsid w:val="00596C5B"/>
    <w:rsid w:val="00596F75"/>
    <w:rsid w:val="005971E0"/>
    <w:rsid w:val="00597627"/>
    <w:rsid w:val="00597827"/>
    <w:rsid w:val="00597D88"/>
    <w:rsid w:val="005A0A62"/>
    <w:rsid w:val="005A0AA7"/>
    <w:rsid w:val="005A0B01"/>
    <w:rsid w:val="005A0C37"/>
    <w:rsid w:val="005A1707"/>
    <w:rsid w:val="005A1BF8"/>
    <w:rsid w:val="005A3517"/>
    <w:rsid w:val="005A4127"/>
    <w:rsid w:val="005A4441"/>
    <w:rsid w:val="005A4C0D"/>
    <w:rsid w:val="005A58F1"/>
    <w:rsid w:val="005A615C"/>
    <w:rsid w:val="005A6268"/>
    <w:rsid w:val="005A686B"/>
    <w:rsid w:val="005A6A15"/>
    <w:rsid w:val="005A6B53"/>
    <w:rsid w:val="005A6CFF"/>
    <w:rsid w:val="005A7A37"/>
    <w:rsid w:val="005B0D8F"/>
    <w:rsid w:val="005B1B11"/>
    <w:rsid w:val="005B200D"/>
    <w:rsid w:val="005B3673"/>
    <w:rsid w:val="005B3C07"/>
    <w:rsid w:val="005B3C8C"/>
    <w:rsid w:val="005B3F52"/>
    <w:rsid w:val="005B4E7D"/>
    <w:rsid w:val="005B50A1"/>
    <w:rsid w:val="005B5A4C"/>
    <w:rsid w:val="005B5E78"/>
    <w:rsid w:val="005B6BCC"/>
    <w:rsid w:val="005B74C1"/>
    <w:rsid w:val="005B78C0"/>
    <w:rsid w:val="005C0477"/>
    <w:rsid w:val="005C06E5"/>
    <w:rsid w:val="005C0CD1"/>
    <w:rsid w:val="005C17A3"/>
    <w:rsid w:val="005C4F68"/>
    <w:rsid w:val="005C5630"/>
    <w:rsid w:val="005C5660"/>
    <w:rsid w:val="005C6082"/>
    <w:rsid w:val="005C706B"/>
    <w:rsid w:val="005D1288"/>
    <w:rsid w:val="005D19A6"/>
    <w:rsid w:val="005D20DA"/>
    <w:rsid w:val="005D2B63"/>
    <w:rsid w:val="005D3B41"/>
    <w:rsid w:val="005D3D81"/>
    <w:rsid w:val="005D41BD"/>
    <w:rsid w:val="005D4ABA"/>
    <w:rsid w:val="005D69A3"/>
    <w:rsid w:val="005D6CFD"/>
    <w:rsid w:val="005D718E"/>
    <w:rsid w:val="005D77A0"/>
    <w:rsid w:val="005D7A03"/>
    <w:rsid w:val="005D7D21"/>
    <w:rsid w:val="005E0D85"/>
    <w:rsid w:val="005E1011"/>
    <w:rsid w:val="005E221B"/>
    <w:rsid w:val="005E268C"/>
    <w:rsid w:val="005E31E1"/>
    <w:rsid w:val="005E3559"/>
    <w:rsid w:val="005E674F"/>
    <w:rsid w:val="005E6795"/>
    <w:rsid w:val="005E67C6"/>
    <w:rsid w:val="005E7937"/>
    <w:rsid w:val="005F0635"/>
    <w:rsid w:val="005F123E"/>
    <w:rsid w:val="005F3954"/>
    <w:rsid w:val="005F4375"/>
    <w:rsid w:val="005F49A1"/>
    <w:rsid w:val="005F4E03"/>
    <w:rsid w:val="005F6D01"/>
    <w:rsid w:val="005F7BE1"/>
    <w:rsid w:val="006006E9"/>
    <w:rsid w:val="006008D0"/>
    <w:rsid w:val="00600A78"/>
    <w:rsid w:val="00600CAB"/>
    <w:rsid w:val="00600FA3"/>
    <w:rsid w:val="00602221"/>
    <w:rsid w:val="00603BA2"/>
    <w:rsid w:val="006042C2"/>
    <w:rsid w:val="00604CCF"/>
    <w:rsid w:val="00604E26"/>
    <w:rsid w:val="00604F2C"/>
    <w:rsid w:val="00606915"/>
    <w:rsid w:val="00606F4F"/>
    <w:rsid w:val="006071CF"/>
    <w:rsid w:val="00610A0D"/>
    <w:rsid w:val="00611363"/>
    <w:rsid w:val="00611603"/>
    <w:rsid w:val="00613BE1"/>
    <w:rsid w:val="006140B8"/>
    <w:rsid w:val="00614D65"/>
    <w:rsid w:val="006163A7"/>
    <w:rsid w:val="00616A0F"/>
    <w:rsid w:val="00616D93"/>
    <w:rsid w:val="00617477"/>
    <w:rsid w:val="006174BB"/>
    <w:rsid w:val="00617566"/>
    <w:rsid w:val="00617DB5"/>
    <w:rsid w:val="00620220"/>
    <w:rsid w:val="0062031B"/>
    <w:rsid w:val="00622236"/>
    <w:rsid w:val="00622927"/>
    <w:rsid w:val="006234F7"/>
    <w:rsid w:val="006239A1"/>
    <w:rsid w:val="00624535"/>
    <w:rsid w:val="00624757"/>
    <w:rsid w:val="00626708"/>
    <w:rsid w:val="0062704E"/>
    <w:rsid w:val="00630DB5"/>
    <w:rsid w:val="006318E7"/>
    <w:rsid w:val="0063218E"/>
    <w:rsid w:val="00634127"/>
    <w:rsid w:val="00634853"/>
    <w:rsid w:val="00634CA4"/>
    <w:rsid w:val="0063557C"/>
    <w:rsid w:val="00635E6C"/>
    <w:rsid w:val="0063665A"/>
    <w:rsid w:val="0063698C"/>
    <w:rsid w:val="006407F2"/>
    <w:rsid w:val="006422FC"/>
    <w:rsid w:val="00642302"/>
    <w:rsid w:val="006436E5"/>
    <w:rsid w:val="0064418E"/>
    <w:rsid w:val="00644896"/>
    <w:rsid w:val="006448F2"/>
    <w:rsid w:val="00645334"/>
    <w:rsid w:val="00645AE5"/>
    <w:rsid w:val="00646A20"/>
    <w:rsid w:val="00647320"/>
    <w:rsid w:val="00647950"/>
    <w:rsid w:val="00647B06"/>
    <w:rsid w:val="006501F6"/>
    <w:rsid w:val="0065049E"/>
    <w:rsid w:val="00650E85"/>
    <w:rsid w:val="00651306"/>
    <w:rsid w:val="006523EB"/>
    <w:rsid w:val="00652918"/>
    <w:rsid w:val="00652BE7"/>
    <w:rsid w:val="00652C93"/>
    <w:rsid w:val="006536D0"/>
    <w:rsid w:val="00654A3E"/>
    <w:rsid w:val="00654FA7"/>
    <w:rsid w:val="0065557F"/>
    <w:rsid w:val="00655681"/>
    <w:rsid w:val="006558B3"/>
    <w:rsid w:val="00655BFE"/>
    <w:rsid w:val="00656DB0"/>
    <w:rsid w:val="00656F96"/>
    <w:rsid w:val="0066256C"/>
    <w:rsid w:val="00662902"/>
    <w:rsid w:val="00662C85"/>
    <w:rsid w:val="006630BB"/>
    <w:rsid w:val="00663838"/>
    <w:rsid w:val="00663AB1"/>
    <w:rsid w:val="00665BCD"/>
    <w:rsid w:val="006666DA"/>
    <w:rsid w:val="00667785"/>
    <w:rsid w:val="00667D41"/>
    <w:rsid w:val="00671619"/>
    <w:rsid w:val="00671941"/>
    <w:rsid w:val="006730C3"/>
    <w:rsid w:val="00673440"/>
    <w:rsid w:val="00674553"/>
    <w:rsid w:val="00674784"/>
    <w:rsid w:val="00675310"/>
    <w:rsid w:val="00675802"/>
    <w:rsid w:val="00675C4F"/>
    <w:rsid w:val="00675F9E"/>
    <w:rsid w:val="00676FF2"/>
    <w:rsid w:val="0067706D"/>
    <w:rsid w:val="00677521"/>
    <w:rsid w:val="00680F88"/>
    <w:rsid w:val="0068222D"/>
    <w:rsid w:val="0068226F"/>
    <w:rsid w:val="00683149"/>
    <w:rsid w:val="006839E3"/>
    <w:rsid w:val="00684E7E"/>
    <w:rsid w:val="00684E80"/>
    <w:rsid w:val="00685441"/>
    <w:rsid w:val="006864A7"/>
    <w:rsid w:val="00686944"/>
    <w:rsid w:val="00690791"/>
    <w:rsid w:val="006910B7"/>
    <w:rsid w:val="0069162D"/>
    <w:rsid w:val="0069217E"/>
    <w:rsid w:val="00692F99"/>
    <w:rsid w:val="00694C95"/>
    <w:rsid w:val="006952AD"/>
    <w:rsid w:val="00695899"/>
    <w:rsid w:val="0069691A"/>
    <w:rsid w:val="006972EF"/>
    <w:rsid w:val="0069746F"/>
    <w:rsid w:val="006978EA"/>
    <w:rsid w:val="006A0302"/>
    <w:rsid w:val="006A0F98"/>
    <w:rsid w:val="006A1A40"/>
    <w:rsid w:val="006A2F22"/>
    <w:rsid w:val="006A2FD4"/>
    <w:rsid w:val="006A32DA"/>
    <w:rsid w:val="006A3A77"/>
    <w:rsid w:val="006A5612"/>
    <w:rsid w:val="006A6FA5"/>
    <w:rsid w:val="006B17CE"/>
    <w:rsid w:val="006B2169"/>
    <w:rsid w:val="006B2705"/>
    <w:rsid w:val="006B2714"/>
    <w:rsid w:val="006B3441"/>
    <w:rsid w:val="006B3E34"/>
    <w:rsid w:val="006B4D00"/>
    <w:rsid w:val="006B5C6F"/>
    <w:rsid w:val="006B5D2A"/>
    <w:rsid w:val="006B61CE"/>
    <w:rsid w:val="006B70CD"/>
    <w:rsid w:val="006B73F1"/>
    <w:rsid w:val="006B7C51"/>
    <w:rsid w:val="006C0227"/>
    <w:rsid w:val="006C1736"/>
    <w:rsid w:val="006C1B76"/>
    <w:rsid w:val="006C1C01"/>
    <w:rsid w:val="006C29B0"/>
    <w:rsid w:val="006C3E1A"/>
    <w:rsid w:val="006C7402"/>
    <w:rsid w:val="006D0D1C"/>
    <w:rsid w:val="006D2771"/>
    <w:rsid w:val="006D27D1"/>
    <w:rsid w:val="006D35DF"/>
    <w:rsid w:val="006D37D9"/>
    <w:rsid w:val="006D3ABA"/>
    <w:rsid w:val="006D3CBF"/>
    <w:rsid w:val="006D459A"/>
    <w:rsid w:val="006D4ABB"/>
    <w:rsid w:val="006D5BCE"/>
    <w:rsid w:val="006E015D"/>
    <w:rsid w:val="006E0D6C"/>
    <w:rsid w:val="006E1E13"/>
    <w:rsid w:val="006E241C"/>
    <w:rsid w:val="006E400C"/>
    <w:rsid w:val="006E42C7"/>
    <w:rsid w:val="006E4312"/>
    <w:rsid w:val="006E438A"/>
    <w:rsid w:val="006E43BF"/>
    <w:rsid w:val="006E4961"/>
    <w:rsid w:val="006E5284"/>
    <w:rsid w:val="006E5A7D"/>
    <w:rsid w:val="006E5C54"/>
    <w:rsid w:val="006E61A5"/>
    <w:rsid w:val="006E68EB"/>
    <w:rsid w:val="006E79B7"/>
    <w:rsid w:val="006F04A4"/>
    <w:rsid w:val="006F0AD5"/>
    <w:rsid w:val="006F1DDF"/>
    <w:rsid w:val="006F2053"/>
    <w:rsid w:val="006F4343"/>
    <w:rsid w:val="006F535B"/>
    <w:rsid w:val="006F71E5"/>
    <w:rsid w:val="006F77A4"/>
    <w:rsid w:val="00700AE4"/>
    <w:rsid w:val="0070159C"/>
    <w:rsid w:val="00701F22"/>
    <w:rsid w:val="007044C3"/>
    <w:rsid w:val="00706222"/>
    <w:rsid w:val="00710798"/>
    <w:rsid w:val="00711CC9"/>
    <w:rsid w:val="007129EE"/>
    <w:rsid w:val="00712EDD"/>
    <w:rsid w:val="00715CF6"/>
    <w:rsid w:val="0071662F"/>
    <w:rsid w:val="0071673C"/>
    <w:rsid w:val="0071699B"/>
    <w:rsid w:val="00717DF1"/>
    <w:rsid w:val="007203B8"/>
    <w:rsid w:val="00720ADE"/>
    <w:rsid w:val="007210A6"/>
    <w:rsid w:val="00721179"/>
    <w:rsid w:val="00721502"/>
    <w:rsid w:val="0072154F"/>
    <w:rsid w:val="007218A5"/>
    <w:rsid w:val="00721CFD"/>
    <w:rsid w:val="00724A32"/>
    <w:rsid w:val="00725096"/>
    <w:rsid w:val="00725A73"/>
    <w:rsid w:val="0072649B"/>
    <w:rsid w:val="00726B52"/>
    <w:rsid w:val="0072765C"/>
    <w:rsid w:val="00727D04"/>
    <w:rsid w:val="00731678"/>
    <w:rsid w:val="00732339"/>
    <w:rsid w:val="00732BCF"/>
    <w:rsid w:val="0073303D"/>
    <w:rsid w:val="007330AB"/>
    <w:rsid w:val="0073335B"/>
    <w:rsid w:val="00735638"/>
    <w:rsid w:val="00735D45"/>
    <w:rsid w:val="007367A3"/>
    <w:rsid w:val="0074037A"/>
    <w:rsid w:val="00740ED0"/>
    <w:rsid w:val="00741D66"/>
    <w:rsid w:val="00741F92"/>
    <w:rsid w:val="00742175"/>
    <w:rsid w:val="007457E2"/>
    <w:rsid w:val="00745F3D"/>
    <w:rsid w:val="007462D4"/>
    <w:rsid w:val="00750135"/>
    <w:rsid w:val="00752648"/>
    <w:rsid w:val="00753BF3"/>
    <w:rsid w:val="00753DC0"/>
    <w:rsid w:val="00756649"/>
    <w:rsid w:val="00756687"/>
    <w:rsid w:val="0076038C"/>
    <w:rsid w:val="007603A2"/>
    <w:rsid w:val="00760FC0"/>
    <w:rsid w:val="00761A6E"/>
    <w:rsid w:val="00761B17"/>
    <w:rsid w:val="00763A51"/>
    <w:rsid w:val="00764F82"/>
    <w:rsid w:val="0076595E"/>
    <w:rsid w:val="00765C32"/>
    <w:rsid w:val="00765FCA"/>
    <w:rsid w:val="00766377"/>
    <w:rsid w:val="00767E0A"/>
    <w:rsid w:val="00771FF0"/>
    <w:rsid w:val="007722E1"/>
    <w:rsid w:val="007735DD"/>
    <w:rsid w:val="00773891"/>
    <w:rsid w:val="007749E4"/>
    <w:rsid w:val="00774B68"/>
    <w:rsid w:val="0077535C"/>
    <w:rsid w:val="00775A15"/>
    <w:rsid w:val="00776F25"/>
    <w:rsid w:val="007770B8"/>
    <w:rsid w:val="00777216"/>
    <w:rsid w:val="00777F05"/>
    <w:rsid w:val="00780286"/>
    <w:rsid w:val="00780E13"/>
    <w:rsid w:val="007818D1"/>
    <w:rsid w:val="007831FA"/>
    <w:rsid w:val="007836C6"/>
    <w:rsid w:val="00784159"/>
    <w:rsid w:val="00784D9F"/>
    <w:rsid w:val="00790A8C"/>
    <w:rsid w:val="007923FA"/>
    <w:rsid w:val="00792E14"/>
    <w:rsid w:val="00793BC1"/>
    <w:rsid w:val="00794D1D"/>
    <w:rsid w:val="00795EFB"/>
    <w:rsid w:val="007962A4"/>
    <w:rsid w:val="00796D48"/>
    <w:rsid w:val="00796EA4"/>
    <w:rsid w:val="00797241"/>
    <w:rsid w:val="007A0262"/>
    <w:rsid w:val="007A038B"/>
    <w:rsid w:val="007A04A6"/>
    <w:rsid w:val="007A0B99"/>
    <w:rsid w:val="007A1525"/>
    <w:rsid w:val="007A16AA"/>
    <w:rsid w:val="007A29FE"/>
    <w:rsid w:val="007A2A89"/>
    <w:rsid w:val="007A32F9"/>
    <w:rsid w:val="007A3775"/>
    <w:rsid w:val="007A38AE"/>
    <w:rsid w:val="007A3C57"/>
    <w:rsid w:val="007A42C5"/>
    <w:rsid w:val="007A5843"/>
    <w:rsid w:val="007A5E3E"/>
    <w:rsid w:val="007A7633"/>
    <w:rsid w:val="007B075B"/>
    <w:rsid w:val="007B097D"/>
    <w:rsid w:val="007B20EE"/>
    <w:rsid w:val="007B21A1"/>
    <w:rsid w:val="007B28FF"/>
    <w:rsid w:val="007B2A17"/>
    <w:rsid w:val="007B2BC0"/>
    <w:rsid w:val="007B44A6"/>
    <w:rsid w:val="007B47BA"/>
    <w:rsid w:val="007B5372"/>
    <w:rsid w:val="007B5881"/>
    <w:rsid w:val="007B64A6"/>
    <w:rsid w:val="007B7CDD"/>
    <w:rsid w:val="007C0CCE"/>
    <w:rsid w:val="007C108F"/>
    <w:rsid w:val="007C2330"/>
    <w:rsid w:val="007C294C"/>
    <w:rsid w:val="007C2B2B"/>
    <w:rsid w:val="007C32CF"/>
    <w:rsid w:val="007C3A62"/>
    <w:rsid w:val="007C40B3"/>
    <w:rsid w:val="007C4817"/>
    <w:rsid w:val="007C5057"/>
    <w:rsid w:val="007C5244"/>
    <w:rsid w:val="007C55D3"/>
    <w:rsid w:val="007C5AA2"/>
    <w:rsid w:val="007C6299"/>
    <w:rsid w:val="007C62C5"/>
    <w:rsid w:val="007C6CB3"/>
    <w:rsid w:val="007C74C6"/>
    <w:rsid w:val="007C7505"/>
    <w:rsid w:val="007D04B4"/>
    <w:rsid w:val="007D0E3B"/>
    <w:rsid w:val="007D2983"/>
    <w:rsid w:val="007D3877"/>
    <w:rsid w:val="007D3D0E"/>
    <w:rsid w:val="007D4482"/>
    <w:rsid w:val="007D4B00"/>
    <w:rsid w:val="007D6223"/>
    <w:rsid w:val="007D7157"/>
    <w:rsid w:val="007D7838"/>
    <w:rsid w:val="007D7974"/>
    <w:rsid w:val="007D7A7B"/>
    <w:rsid w:val="007E03DD"/>
    <w:rsid w:val="007E13B2"/>
    <w:rsid w:val="007E2243"/>
    <w:rsid w:val="007E2475"/>
    <w:rsid w:val="007E2AFA"/>
    <w:rsid w:val="007E39B6"/>
    <w:rsid w:val="007E4B99"/>
    <w:rsid w:val="007E540D"/>
    <w:rsid w:val="007E62DB"/>
    <w:rsid w:val="007E78EB"/>
    <w:rsid w:val="007E7E87"/>
    <w:rsid w:val="007F020F"/>
    <w:rsid w:val="007F067F"/>
    <w:rsid w:val="007F1928"/>
    <w:rsid w:val="007F1ACA"/>
    <w:rsid w:val="007F1FC4"/>
    <w:rsid w:val="007F2A2E"/>
    <w:rsid w:val="007F3203"/>
    <w:rsid w:val="007F52D8"/>
    <w:rsid w:val="007F5A61"/>
    <w:rsid w:val="007F6354"/>
    <w:rsid w:val="007F6E52"/>
    <w:rsid w:val="00801144"/>
    <w:rsid w:val="00801C64"/>
    <w:rsid w:val="00801D0B"/>
    <w:rsid w:val="00802116"/>
    <w:rsid w:val="00802DA6"/>
    <w:rsid w:val="00803051"/>
    <w:rsid w:val="00803750"/>
    <w:rsid w:val="00803DA0"/>
    <w:rsid w:val="00803EE9"/>
    <w:rsid w:val="0080404F"/>
    <w:rsid w:val="0080414D"/>
    <w:rsid w:val="00805D60"/>
    <w:rsid w:val="0080666E"/>
    <w:rsid w:val="008069AF"/>
    <w:rsid w:val="0080773A"/>
    <w:rsid w:val="00807811"/>
    <w:rsid w:val="00813DB7"/>
    <w:rsid w:val="00813EE9"/>
    <w:rsid w:val="00814494"/>
    <w:rsid w:val="0081485D"/>
    <w:rsid w:val="00814BC5"/>
    <w:rsid w:val="00814D42"/>
    <w:rsid w:val="00815930"/>
    <w:rsid w:val="00815C98"/>
    <w:rsid w:val="0081688F"/>
    <w:rsid w:val="00816B53"/>
    <w:rsid w:val="00816F49"/>
    <w:rsid w:val="00817F0F"/>
    <w:rsid w:val="00820CB3"/>
    <w:rsid w:val="00823202"/>
    <w:rsid w:val="0082379E"/>
    <w:rsid w:val="008244C5"/>
    <w:rsid w:val="0082624A"/>
    <w:rsid w:val="00826723"/>
    <w:rsid w:val="00826C3C"/>
    <w:rsid w:val="00827BD1"/>
    <w:rsid w:val="00830BDD"/>
    <w:rsid w:val="00831F83"/>
    <w:rsid w:val="00832655"/>
    <w:rsid w:val="008354C9"/>
    <w:rsid w:val="00835684"/>
    <w:rsid w:val="00835EAD"/>
    <w:rsid w:val="00836115"/>
    <w:rsid w:val="00836B9D"/>
    <w:rsid w:val="00837496"/>
    <w:rsid w:val="0083784F"/>
    <w:rsid w:val="00837A47"/>
    <w:rsid w:val="00837DE4"/>
    <w:rsid w:val="0084045B"/>
    <w:rsid w:val="00840549"/>
    <w:rsid w:val="00840E97"/>
    <w:rsid w:val="008411AB"/>
    <w:rsid w:val="0084504E"/>
    <w:rsid w:val="00845F56"/>
    <w:rsid w:val="00847F66"/>
    <w:rsid w:val="0085008D"/>
    <w:rsid w:val="008531E9"/>
    <w:rsid w:val="0085347D"/>
    <w:rsid w:val="0085363E"/>
    <w:rsid w:val="00854B28"/>
    <w:rsid w:val="00856F50"/>
    <w:rsid w:val="00857196"/>
    <w:rsid w:val="00857DD1"/>
    <w:rsid w:val="00860088"/>
    <w:rsid w:val="00860B04"/>
    <w:rsid w:val="00861D70"/>
    <w:rsid w:val="0086274E"/>
    <w:rsid w:val="00862E37"/>
    <w:rsid w:val="00862FB9"/>
    <w:rsid w:val="0086351C"/>
    <w:rsid w:val="008639AB"/>
    <w:rsid w:val="008705B1"/>
    <w:rsid w:val="00872737"/>
    <w:rsid w:val="00872CF8"/>
    <w:rsid w:val="0087311E"/>
    <w:rsid w:val="0087430E"/>
    <w:rsid w:val="00876367"/>
    <w:rsid w:val="00877A41"/>
    <w:rsid w:val="00877F20"/>
    <w:rsid w:val="008802E9"/>
    <w:rsid w:val="0088081B"/>
    <w:rsid w:val="00880F47"/>
    <w:rsid w:val="00880F9E"/>
    <w:rsid w:val="00881D0D"/>
    <w:rsid w:val="00883959"/>
    <w:rsid w:val="0088417E"/>
    <w:rsid w:val="00884D5E"/>
    <w:rsid w:val="00885853"/>
    <w:rsid w:val="00890681"/>
    <w:rsid w:val="008907E4"/>
    <w:rsid w:val="008908C0"/>
    <w:rsid w:val="00890C2A"/>
    <w:rsid w:val="00892BC8"/>
    <w:rsid w:val="00893B49"/>
    <w:rsid w:val="00894434"/>
    <w:rsid w:val="00894EA0"/>
    <w:rsid w:val="00896982"/>
    <w:rsid w:val="0089782A"/>
    <w:rsid w:val="00897E5C"/>
    <w:rsid w:val="008A032B"/>
    <w:rsid w:val="008A1316"/>
    <w:rsid w:val="008A2BC7"/>
    <w:rsid w:val="008A2E3A"/>
    <w:rsid w:val="008A5006"/>
    <w:rsid w:val="008A679D"/>
    <w:rsid w:val="008A7103"/>
    <w:rsid w:val="008A718A"/>
    <w:rsid w:val="008A7F74"/>
    <w:rsid w:val="008B020E"/>
    <w:rsid w:val="008B201E"/>
    <w:rsid w:val="008B2741"/>
    <w:rsid w:val="008B356D"/>
    <w:rsid w:val="008B40DD"/>
    <w:rsid w:val="008B4518"/>
    <w:rsid w:val="008B4E99"/>
    <w:rsid w:val="008B52A9"/>
    <w:rsid w:val="008B5BA4"/>
    <w:rsid w:val="008B61A8"/>
    <w:rsid w:val="008B626A"/>
    <w:rsid w:val="008B6DD3"/>
    <w:rsid w:val="008B6FFE"/>
    <w:rsid w:val="008B7412"/>
    <w:rsid w:val="008B7947"/>
    <w:rsid w:val="008B7EA1"/>
    <w:rsid w:val="008C11E8"/>
    <w:rsid w:val="008C206A"/>
    <w:rsid w:val="008C209A"/>
    <w:rsid w:val="008C3A00"/>
    <w:rsid w:val="008C3D1A"/>
    <w:rsid w:val="008C44D1"/>
    <w:rsid w:val="008C4A41"/>
    <w:rsid w:val="008C4AEF"/>
    <w:rsid w:val="008C5ABB"/>
    <w:rsid w:val="008C64F0"/>
    <w:rsid w:val="008C77FE"/>
    <w:rsid w:val="008C7C3C"/>
    <w:rsid w:val="008D06D4"/>
    <w:rsid w:val="008D1300"/>
    <w:rsid w:val="008D18CF"/>
    <w:rsid w:val="008D45DC"/>
    <w:rsid w:val="008D55D0"/>
    <w:rsid w:val="008D6BB9"/>
    <w:rsid w:val="008D6D43"/>
    <w:rsid w:val="008D6F94"/>
    <w:rsid w:val="008D76CB"/>
    <w:rsid w:val="008E0A7F"/>
    <w:rsid w:val="008E1947"/>
    <w:rsid w:val="008E43B9"/>
    <w:rsid w:val="008E47D0"/>
    <w:rsid w:val="008E4B2A"/>
    <w:rsid w:val="008E4E5B"/>
    <w:rsid w:val="008E52F7"/>
    <w:rsid w:val="008E6D5D"/>
    <w:rsid w:val="008E70F8"/>
    <w:rsid w:val="008F0EAE"/>
    <w:rsid w:val="008F2F77"/>
    <w:rsid w:val="008F43E8"/>
    <w:rsid w:val="008F54C8"/>
    <w:rsid w:val="008F6C1F"/>
    <w:rsid w:val="008F7730"/>
    <w:rsid w:val="008F7B48"/>
    <w:rsid w:val="008F7D45"/>
    <w:rsid w:val="008F7FD4"/>
    <w:rsid w:val="00900DED"/>
    <w:rsid w:val="00902155"/>
    <w:rsid w:val="00903DDD"/>
    <w:rsid w:val="00904BD5"/>
    <w:rsid w:val="00905222"/>
    <w:rsid w:val="00906167"/>
    <w:rsid w:val="00910513"/>
    <w:rsid w:val="0091086D"/>
    <w:rsid w:val="00910950"/>
    <w:rsid w:val="00910B18"/>
    <w:rsid w:val="00910B55"/>
    <w:rsid w:val="00911428"/>
    <w:rsid w:val="00911634"/>
    <w:rsid w:val="00911768"/>
    <w:rsid w:val="00913441"/>
    <w:rsid w:val="00913B1E"/>
    <w:rsid w:val="00913DDF"/>
    <w:rsid w:val="0091435F"/>
    <w:rsid w:val="009153EC"/>
    <w:rsid w:val="00916FE2"/>
    <w:rsid w:val="00917329"/>
    <w:rsid w:val="0091746F"/>
    <w:rsid w:val="00921058"/>
    <w:rsid w:val="009210C4"/>
    <w:rsid w:val="009214B3"/>
    <w:rsid w:val="00922986"/>
    <w:rsid w:val="0092354F"/>
    <w:rsid w:val="00923EF4"/>
    <w:rsid w:val="009245E5"/>
    <w:rsid w:val="00924A19"/>
    <w:rsid w:val="00924B04"/>
    <w:rsid w:val="0092515A"/>
    <w:rsid w:val="00925692"/>
    <w:rsid w:val="00926D14"/>
    <w:rsid w:val="00927AF6"/>
    <w:rsid w:val="00930154"/>
    <w:rsid w:val="00930429"/>
    <w:rsid w:val="00930750"/>
    <w:rsid w:val="0093118A"/>
    <w:rsid w:val="009317C7"/>
    <w:rsid w:val="009320E5"/>
    <w:rsid w:val="0093240C"/>
    <w:rsid w:val="009327BD"/>
    <w:rsid w:val="009327FB"/>
    <w:rsid w:val="00932CC3"/>
    <w:rsid w:val="00932DD7"/>
    <w:rsid w:val="00933D47"/>
    <w:rsid w:val="0093465A"/>
    <w:rsid w:val="00934689"/>
    <w:rsid w:val="009353A4"/>
    <w:rsid w:val="0093589D"/>
    <w:rsid w:val="0093725C"/>
    <w:rsid w:val="00937830"/>
    <w:rsid w:val="00937B14"/>
    <w:rsid w:val="00941934"/>
    <w:rsid w:val="00941A03"/>
    <w:rsid w:val="00945D6C"/>
    <w:rsid w:val="00947E59"/>
    <w:rsid w:val="00950124"/>
    <w:rsid w:val="009505A1"/>
    <w:rsid w:val="0095146B"/>
    <w:rsid w:val="009520FD"/>
    <w:rsid w:val="00954266"/>
    <w:rsid w:val="009562CC"/>
    <w:rsid w:val="00956C4A"/>
    <w:rsid w:val="00957F15"/>
    <w:rsid w:val="00960C89"/>
    <w:rsid w:val="00961495"/>
    <w:rsid w:val="00962514"/>
    <w:rsid w:val="00962663"/>
    <w:rsid w:val="0096378E"/>
    <w:rsid w:val="00964D1B"/>
    <w:rsid w:val="00964E20"/>
    <w:rsid w:val="00965B30"/>
    <w:rsid w:val="00965C50"/>
    <w:rsid w:val="00966162"/>
    <w:rsid w:val="009701AB"/>
    <w:rsid w:val="00970A59"/>
    <w:rsid w:val="00972993"/>
    <w:rsid w:val="0097340E"/>
    <w:rsid w:val="00973861"/>
    <w:rsid w:val="00974FBD"/>
    <w:rsid w:val="009757BD"/>
    <w:rsid w:val="00976955"/>
    <w:rsid w:val="00977286"/>
    <w:rsid w:val="0097758F"/>
    <w:rsid w:val="009775A4"/>
    <w:rsid w:val="00977BFB"/>
    <w:rsid w:val="00977CB2"/>
    <w:rsid w:val="00977DA7"/>
    <w:rsid w:val="00977EAE"/>
    <w:rsid w:val="00980728"/>
    <w:rsid w:val="009807E1"/>
    <w:rsid w:val="0098162F"/>
    <w:rsid w:val="00981991"/>
    <w:rsid w:val="009819D8"/>
    <w:rsid w:val="00982C56"/>
    <w:rsid w:val="00982EC5"/>
    <w:rsid w:val="009831E2"/>
    <w:rsid w:val="009840D8"/>
    <w:rsid w:val="009843C2"/>
    <w:rsid w:val="009844E2"/>
    <w:rsid w:val="00984583"/>
    <w:rsid w:val="009847F1"/>
    <w:rsid w:val="009849C8"/>
    <w:rsid w:val="00984EB9"/>
    <w:rsid w:val="00986693"/>
    <w:rsid w:val="00986CF8"/>
    <w:rsid w:val="00986ED4"/>
    <w:rsid w:val="00990ABD"/>
    <w:rsid w:val="009911CD"/>
    <w:rsid w:val="00992293"/>
    <w:rsid w:val="00992818"/>
    <w:rsid w:val="00994069"/>
    <w:rsid w:val="00994FD5"/>
    <w:rsid w:val="009964B2"/>
    <w:rsid w:val="00997675"/>
    <w:rsid w:val="009A0CAB"/>
    <w:rsid w:val="009A24DF"/>
    <w:rsid w:val="009A479A"/>
    <w:rsid w:val="009A5DA2"/>
    <w:rsid w:val="009A6B67"/>
    <w:rsid w:val="009A7F5F"/>
    <w:rsid w:val="009B0319"/>
    <w:rsid w:val="009B0324"/>
    <w:rsid w:val="009B12DB"/>
    <w:rsid w:val="009B1942"/>
    <w:rsid w:val="009B1F67"/>
    <w:rsid w:val="009B2270"/>
    <w:rsid w:val="009B2343"/>
    <w:rsid w:val="009B2B69"/>
    <w:rsid w:val="009B30DC"/>
    <w:rsid w:val="009B4394"/>
    <w:rsid w:val="009B507B"/>
    <w:rsid w:val="009B62DD"/>
    <w:rsid w:val="009C0A1A"/>
    <w:rsid w:val="009C16EA"/>
    <w:rsid w:val="009C222E"/>
    <w:rsid w:val="009C24C9"/>
    <w:rsid w:val="009C276B"/>
    <w:rsid w:val="009C298B"/>
    <w:rsid w:val="009C2EA8"/>
    <w:rsid w:val="009C3832"/>
    <w:rsid w:val="009C3E6E"/>
    <w:rsid w:val="009C4B8A"/>
    <w:rsid w:val="009C5282"/>
    <w:rsid w:val="009C52A9"/>
    <w:rsid w:val="009C5EB2"/>
    <w:rsid w:val="009D0486"/>
    <w:rsid w:val="009D1F20"/>
    <w:rsid w:val="009D22BC"/>
    <w:rsid w:val="009D2EFF"/>
    <w:rsid w:val="009D350B"/>
    <w:rsid w:val="009D383B"/>
    <w:rsid w:val="009D3BE1"/>
    <w:rsid w:val="009D4738"/>
    <w:rsid w:val="009D4CA7"/>
    <w:rsid w:val="009D5832"/>
    <w:rsid w:val="009D5841"/>
    <w:rsid w:val="009D5B8F"/>
    <w:rsid w:val="009D710A"/>
    <w:rsid w:val="009E09B9"/>
    <w:rsid w:val="009E2A07"/>
    <w:rsid w:val="009E3F2B"/>
    <w:rsid w:val="009E5377"/>
    <w:rsid w:val="009E570C"/>
    <w:rsid w:val="009E62E7"/>
    <w:rsid w:val="009E6A34"/>
    <w:rsid w:val="009E790B"/>
    <w:rsid w:val="009F00B9"/>
    <w:rsid w:val="009F036A"/>
    <w:rsid w:val="009F129B"/>
    <w:rsid w:val="009F1627"/>
    <w:rsid w:val="009F29CE"/>
    <w:rsid w:val="009F30E7"/>
    <w:rsid w:val="009F3B92"/>
    <w:rsid w:val="009F3E2D"/>
    <w:rsid w:val="009F3E9C"/>
    <w:rsid w:val="009F5F15"/>
    <w:rsid w:val="009F6136"/>
    <w:rsid w:val="009F77FB"/>
    <w:rsid w:val="009F7AA6"/>
    <w:rsid w:val="009F7F71"/>
    <w:rsid w:val="00A00AEF"/>
    <w:rsid w:val="00A021AE"/>
    <w:rsid w:val="00A02360"/>
    <w:rsid w:val="00A02D13"/>
    <w:rsid w:val="00A030ED"/>
    <w:rsid w:val="00A045CE"/>
    <w:rsid w:val="00A04F3D"/>
    <w:rsid w:val="00A06A82"/>
    <w:rsid w:val="00A071C7"/>
    <w:rsid w:val="00A072CC"/>
    <w:rsid w:val="00A10FD4"/>
    <w:rsid w:val="00A1194C"/>
    <w:rsid w:val="00A134FC"/>
    <w:rsid w:val="00A13B26"/>
    <w:rsid w:val="00A14D9E"/>
    <w:rsid w:val="00A153CE"/>
    <w:rsid w:val="00A15402"/>
    <w:rsid w:val="00A154E8"/>
    <w:rsid w:val="00A15AC9"/>
    <w:rsid w:val="00A165EE"/>
    <w:rsid w:val="00A166EB"/>
    <w:rsid w:val="00A16FDB"/>
    <w:rsid w:val="00A173E8"/>
    <w:rsid w:val="00A17AEA"/>
    <w:rsid w:val="00A2044C"/>
    <w:rsid w:val="00A21358"/>
    <w:rsid w:val="00A21567"/>
    <w:rsid w:val="00A21DB4"/>
    <w:rsid w:val="00A23008"/>
    <w:rsid w:val="00A23F56"/>
    <w:rsid w:val="00A250AD"/>
    <w:rsid w:val="00A2549C"/>
    <w:rsid w:val="00A25A4B"/>
    <w:rsid w:val="00A260CA"/>
    <w:rsid w:val="00A269F9"/>
    <w:rsid w:val="00A30356"/>
    <w:rsid w:val="00A30BBC"/>
    <w:rsid w:val="00A31629"/>
    <w:rsid w:val="00A32369"/>
    <w:rsid w:val="00A329E2"/>
    <w:rsid w:val="00A341C0"/>
    <w:rsid w:val="00A351BE"/>
    <w:rsid w:val="00A379AE"/>
    <w:rsid w:val="00A37A8C"/>
    <w:rsid w:val="00A37ED8"/>
    <w:rsid w:val="00A41FA9"/>
    <w:rsid w:val="00A42903"/>
    <w:rsid w:val="00A42EF5"/>
    <w:rsid w:val="00A43C39"/>
    <w:rsid w:val="00A44960"/>
    <w:rsid w:val="00A461F9"/>
    <w:rsid w:val="00A475F6"/>
    <w:rsid w:val="00A50B4C"/>
    <w:rsid w:val="00A519EB"/>
    <w:rsid w:val="00A52537"/>
    <w:rsid w:val="00A52C13"/>
    <w:rsid w:val="00A53AF4"/>
    <w:rsid w:val="00A555CC"/>
    <w:rsid w:val="00A55C1D"/>
    <w:rsid w:val="00A6116B"/>
    <w:rsid w:val="00A61189"/>
    <w:rsid w:val="00A61C71"/>
    <w:rsid w:val="00A6231B"/>
    <w:rsid w:val="00A63411"/>
    <w:rsid w:val="00A63B3D"/>
    <w:rsid w:val="00A6417F"/>
    <w:rsid w:val="00A6464E"/>
    <w:rsid w:val="00A648AB"/>
    <w:rsid w:val="00A6607F"/>
    <w:rsid w:val="00A66559"/>
    <w:rsid w:val="00A67282"/>
    <w:rsid w:val="00A70E9F"/>
    <w:rsid w:val="00A711D5"/>
    <w:rsid w:val="00A7290C"/>
    <w:rsid w:val="00A7318C"/>
    <w:rsid w:val="00A74521"/>
    <w:rsid w:val="00A758EF"/>
    <w:rsid w:val="00A76672"/>
    <w:rsid w:val="00A76D7E"/>
    <w:rsid w:val="00A76F68"/>
    <w:rsid w:val="00A77677"/>
    <w:rsid w:val="00A77ED3"/>
    <w:rsid w:val="00A8096B"/>
    <w:rsid w:val="00A80DB3"/>
    <w:rsid w:val="00A80EA8"/>
    <w:rsid w:val="00A816D9"/>
    <w:rsid w:val="00A81D10"/>
    <w:rsid w:val="00A8221C"/>
    <w:rsid w:val="00A82B3D"/>
    <w:rsid w:val="00A83A5C"/>
    <w:rsid w:val="00A847CB"/>
    <w:rsid w:val="00A84838"/>
    <w:rsid w:val="00A8535A"/>
    <w:rsid w:val="00A8562C"/>
    <w:rsid w:val="00A87379"/>
    <w:rsid w:val="00A87437"/>
    <w:rsid w:val="00A87AF0"/>
    <w:rsid w:val="00A87C26"/>
    <w:rsid w:val="00A903C6"/>
    <w:rsid w:val="00A92193"/>
    <w:rsid w:val="00A92B6E"/>
    <w:rsid w:val="00A92F32"/>
    <w:rsid w:val="00A9374D"/>
    <w:rsid w:val="00A93CE6"/>
    <w:rsid w:val="00A93DB6"/>
    <w:rsid w:val="00A94216"/>
    <w:rsid w:val="00A94827"/>
    <w:rsid w:val="00A9527E"/>
    <w:rsid w:val="00A95AFF"/>
    <w:rsid w:val="00A95C30"/>
    <w:rsid w:val="00A96778"/>
    <w:rsid w:val="00A9686B"/>
    <w:rsid w:val="00A96A1C"/>
    <w:rsid w:val="00A971DD"/>
    <w:rsid w:val="00A974E3"/>
    <w:rsid w:val="00A9789B"/>
    <w:rsid w:val="00A97CE6"/>
    <w:rsid w:val="00AA05E8"/>
    <w:rsid w:val="00AA103B"/>
    <w:rsid w:val="00AA1259"/>
    <w:rsid w:val="00AA22EF"/>
    <w:rsid w:val="00AA269D"/>
    <w:rsid w:val="00AA369D"/>
    <w:rsid w:val="00AA38A7"/>
    <w:rsid w:val="00AA4739"/>
    <w:rsid w:val="00AA498C"/>
    <w:rsid w:val="00AA5653"/>
    <w:rsid w:val="00AA570C"/>
    <w:rsid w:val="00AA5A29"/>
    <w:rsid w:val="00AA621A"/>
    <w:rsid w:val="00AA653F"/>
    <w:rsid w:val="00AA72BE"/>
    <w:rsid w:val="00AA7544"/>
    <w:rsid w:val="00AB067B"/>
    <w:rsid w:val="00AB0D54"/>
    <w:rsid w:val="00AB13B3"/>
    <w:rsid w:val="00AB28E1"/>
    <w:rsid w:val="00AB3051"/>
    <w:rsid w:val="00AB35B8"/>
    <w:rsid w:val="00AB4662"/>
    <w:rsid w:val="00AB4BE8"/>
    <w:rsid w:val="00AB5196"/>
    <w:rsid w:val="00AB64F1"/>
    <w:rsid w:val="00AB6687"/>
    <w:rsid w:val="00AB75C5"/>
    <w:rsid w:val="00AC086C"/>
    <w:rsid w:val="00AC0D16"/>
    <w:rsid w:val="00AC173F"/>
    <w:rsid w:val="00AC1AFB"/>
    <w:rsid w:val="00AC310B"/>
    <w:rsid w:val="00AC3669"/>
    <w:rsid w:val="00AC60F1"/>
    <w:rsid w:val="00AD036B"/>
    <w:rsid w:val="00AD0EFD"/>
    <w:rsid w:val="00AD1946"/>
    <w:rsid w:val="00AD1D41"/>
    <w:rsid w:val="00AD3954"/>
    <w:rsid w:val="00AD40CA"/>
    <w:rsid w:val="00AD482F"/>
    <w:rsid w:val="00AD4CCB"/>
    <w:rsid w:val="00AD534F"/>
    <w:rsid w:val="00AD5D5F"/>
    <w:rsid w:val="00AD5F95"/>
    <w:rsid w:val="00AD65B6"/>
    <w:rsid w:val="00AD792F"/>
    <w:rsid w:val="00AE0343"/>
    <w:rsid w:val="00AE14AE"/>
    <w:rsid w:val="00AE1EE3"/>
    <w:rsid w:val="00AE4124"/>
    <w:rsid w:val="00AE4A73"/>
    <w:rsid w:val="00AE798F"/>
    <w:rsid w:val="00AF0A50"/>
    <w:rsid w:val="00AF1CCC"/>
    <w:rsid w:val="00AF1EA4"/>
    <w:rsid w:val="00AF2550"/>
    <w:rsid w:val="00AF3263"/>
    <w:rsid w:val="00AF4958"/>
    <w:rsid w:val="00AF5A78"/>
    <w:rsid w:val="00AF63E3"/>
    <w:rsid w:val="00AF7915"/>
    <w:rsid w:val="00B00D6D"/>
    <w:rsid w:val="00B00FCF"/>
    <w:rsid w:val="00B01539"/>
    <w:rsid w:val="00B01726"/>
    <w:rsid w:val="00B018EC"/>
    <w:rsid w:val="00B01EAD"/>
    <w:rsid w:val="00B038AB"/>
    <w:rsid w:val="00B03910"/>
    <w:rsid w:val="00B04D1F"/>
    <w:rsid w:val="00B04ECE"/>
    <w:rsid w:val="00B11228"/>
    <w:rsid w:val="00B11A7E"/>
    <w:rsid w:val="00B11F37"/>
    <w:rsid w:val="00B12145"/>
    <w:rsid w:val="00B12401"/>
    <w:rsid w:val="00B14070"/>
    <w:rsid w:val="00B142A2"/>
    <w:rsid w:val="00B145AC"/>
    <w:rsid w:val="00B1483D"/>
    <w:rsid w:val="00B158F7"/>
    <w:rsid w:val="00B1598C"/>
    <w:rsid w:val="00B1601A"/>
    <w:rsid w:val="00B16E2F"/>
    <w:rsid w:val="00B17F22"/>
    <w:rsid w:val="00B201FA"/>
    <w:rsid w:val="00B2270A"/>
    <w:rsid w:val="00B234BD"/>
    <w:rsid w:val="00B243FF"/>
    <w:rsid w:val="00B24DD5"/>
    <w:rsid w:val="00B253CA"/>
    <w:rsid w:val="00B30953"/>
    <w:rsid w:val="00B31AE2"/>
    <w:rsid w:val="00B31E2E"/>
    <w:rsid w:val="00B325F1"/>
    <w:rsid w:val="00B33156"/>
    <w:rsid w:val="00B338AF"/>
    <w:rsid w:val="00B3446C"/>
    <w:rsid w:val="00B358BC"/>
    <w:rsid w:val="00B35F5F"/>
    <w:rsid w:val="00B36108"/>
    <w:rsid w:val="00B3619B"/>
    <w:rsid w:val="00B36A25"/>
    <w:rsid w:val="00B37171"/>
    <w:rsid w:val="00B37AD0"/>
    <w:rsid w:val="00B40068"/>
    <w:rsid w:val="00B406D6"/>
    <w:rsid w:val="00B4098A"/>
    <w:rsid w:val="00B40B88"/>
    <w:rsid w:val="00B40CD6"/>
    <w:rsid w:val="00B41667"/>
    <w:rsid w:val="00B4177A"/>
    <w:rsid w:val="00B41DA7"/>
    <w:rsid w:val="00B42FB2"/>
    <w:rsid w:val="00B44631"/>
    <w:rsid w:val="00B454F9"/>
    <w:rsid w:val="00B45B76"/>
    <w:rsid w:val="00B45CB4"/>
    <w:rsid w:val="00B46980"/>
    <w:rsid w:val="00B471C7"/>
    <w:rsid w:val="00B47A69"/>
    <w:rsid w:val="00B508F9"/>
    <w:rsid w:val="00B50F72"/>
    <w:rsid w:val="00B51639"/>
    <w:rsid w:val="00B51B6D"/>
    <w:rsid w:val="00B533AC"/>
    <w:rsid w:val="00B54757"/>
    <w:rsid w:val="00B54ED4"/>
    <w:rsid w:val="00B55713"/>
    <w:rsid w:val="00B56479"/>
    <w:rsid w:val="00B5659F"/>
    <w:rsid w:val="00B5718B"/>
    <w:rsid w:val="00B5735E"/>
    <w:rsid w:val="00B576C2"/>
    <w:rsid w:val="00B57717"/>
    <w:rsid w:val="00B57AB7"/>
    <w:rsid w:val="00B60BCF"/>
    <w:rsid w:val="00B614AC"/>
    <w:rsid w:val="00B62839"/>
    <w:rsid w:val="00B63099"/>
    <w:rsid w:val="00B631F2"/>
    <w:rsid w:val="00B670F3"/>
    <w:rsid w:val="00B6799C"/>
    <w:rsid w:val="00B70010"/>
    <w:rsid w:val="00B7164D"/>
    <w:rsid w:val="00B71B53"/>
    <w:rsid w:val="00B71BAC"/>
    <w:rsid w:val="00B71E52"/>
    <w:rsid w:val="00B729FC"/>
    <w:rsid w:val="00B72CCF"/>
    <w:rsid w:val="00B73A92"/>
    <w:rsid w:val="00B73D09"/>
    <w:rsid w:val="00B741CF"/>
    <w:rsid w:val="00B741E9"/>
    <w:rsid w:val="00B74D6B"/>
    <w:rsid w:val="00B7583F"/>
    <w:rsid w:val="00B759B9"/>
    <w:rsid w:val="00B75BA6"/>
    <w:rsid w:val="00B75E3B"/>
    <w:rsid w:val="00B7655A"/>
    <w:rsid w:val="00B766FB"/>
    <w:rsid w:val="00B778AC"/>
    <w:rsid w:val="00B80128"/>
    <w:rsid w:val="00B80737"/>
    <w:rsid w:val="00B80A12"/>
    <w:rsid w:val="00B81872"/>
    <w:rsid w:val="00B847CC"/>
    <w:rsid w:val="00B847D5"/>
    <w:rsid w:val="00B85BA8"/>
    <w:rsid w:val="00B85BF4"/>
    <w:rsid w:val="00B86907"/>
    <w:rsid w:val="00B87050"/>
    <w:rsid w:val="00B879F5"/>
    <w:rsid w:val="00B900F8"/>
    <w:rsid w:val="00B90383"/>
    <w:rsid w:val="00B91438"/>
    <w:rsid w:val="00B9180D"/>
    <w:rsid w:val="00B920F3"/>
    <w:rsid w:val="00B9230D"/>
    <w:rsid w:val="00B93242"/>
    <w:rsid w:val="00B937DF"/>
    <w:rsid w:val="00B93E65"/>
    <w:rsid w:val="00B9439F"/>
    <w:rsid w:val="00B94A5F"/>
    <w:rsid w:val="00B94A74"/>
    <w:rsid w:val="00B951D6"/>
    <w:rsid w:val="00B95997"/>
    <w:rsid w:val="00B95B10"/>
    <w:rsid w:val="00B96796"/>
    <w:rsid w:val="00B96BC8"/>
    <w:rsid w:val="00B97555"/>
    <w:rsid w:val="00B97E0B"/>
    <w:rsid w:val="00B97E37"/>
    <w:rsid w:val="00BA0696"/>
    <w:rsid w:val="00BA1D67"/>
    <w:rsid w:val="00BA219E"/>
    <w:rsid w:val="00BA2A01"/>
    <w:rsid w:val="00BA3EAE"/>
    <w:rsid w:val="00BA4609"/>
    <w:rsid w:val="00BA6821"/>
    <w:rsid w:val="00BA6F97"/>
    <w:rsid w:val="00BA7A9C"/>
    <w:rsid w:val="00BB1612"/>
    <w:rsid w:val="00BB1EA2"/>
    <w:rsid w:val="00BB249E"/>
    <w:rsid w:val="00BB26B9"/>
    <w:rsid w:val="00BB3A1C"/>
    <w:rsid w:val="00BB3A35"/>
    <w:rsid w:val="00BB40E8"/>
    <w:rsid w:val="00BB5FA2"/>
    <w:rsid w:val="00BB723B"/>
    <w:rsid w:val="00BC0897"/>
    <w:rsid w:val="00BC09CF"/>
    <w:rsid w:val="00BC1744"/>
    <w:rsid w:val="00BC1865"/>
    <w:rsid w:val="00BC2E46"/>
    <w:rsid w:val="00BC3283"/>
    <w:rsid w:val="00BC36B7"/>
    <w:rsid w:val="00BC4846"/>
    <w:rsid w:val="00BC7090"/>
    <w:rsid w:val="00BC72F5"/>
    <w:rsid w:val="00BD0602"/>
    <w:rsid w:val="00BD0766"/>
    <w:rsid w:val="00BD17D3"/>
    <w:rsid w:val="00BD18C5"/>
    <w:rsid w:val="00BD34D2"/>
    <w:rsid w:val="00BD3956"/>
    <w:rsid w:val="00BD3B0C"/>
    <w:rsid w:val="00BD55ED"/>
    <w:rsid w:val="00BE1597"/>
    <w:rsid w:val="00BE1AA2"/>
    <w:rsid w:val="00BE1E1A"/>
    <w:rsid w:val="00BE37D6"/>
    <w:rsid w:val="00BE4216"/>
    <w:rsid w:val="00BE53D9"/>
    <w:rsid w:val="00BE5D47"/>
    <w:rsid w:val="00BF119D"/>
    <w:rsid w:val="00BF4044"/>
    <w:rsid w:val="00BF40DF"/>
    <w:rsid w:val="00BF4D22"/>
    <w:rsid w:val="00BF4DB2"/>
    <w:rsid w:val="00BF5127"/>
    <w:rsid w:val="00C0116D"/>
    <w:rsid w:val="00C01674"/>
    <w:rsid w:val="00C01769"/>
    <w:rsid w:val="00C0210F"/>
    <w:rsid w:val="00C023E5"/>
    <w:rsid w:val="00C05213"/>
    <w:rsid w:val="00C05E64"/>
    <w:rsid w:val="00C07376"/>
    <w:rsid w:val="00C07441"/>
    <w:rsid w:val="00C0787B"/>
    <w:rsid w:val="00C11FA0"/>
    <w:rsid w:val="00C145F5"/>
    <w:rsid w:val="00C14DDE"/>
    <w:rsid w:val="00C150C4"/>
    <w:rsid w:val="00C16FDA"/>
    <w:rsid w:val="00C1733F"/>
    <w:rsid w:val="00C17832"/>
    <w:rsid w:val="00C17C2B"/>
    <w:rsid w:val="00C214BE"/>
    <w:rsid w:val="00C21A8D"/>
    <w:rsid w:val="00C22DA1"/>
    <w:rsid w:val="00C23355"/>
    <w:rsid w:val="00C24878"/>
    <w:rsid w:val="00C24E45"/>
    <w:rsid w:val="00C24F12"/>
    <w:rsid w:val="00C25AEB"/>
    <w:rsid w:val="00C26780"/>
    <w:rsid w:val="00C2683B"/>
    <w:rsid w:val="00C27C61"/>
    <w:rsid w:val="00C30678"/>
    <w:rsid w:val="00C3164F"/>
    <w:rsid w:val="00C31925"/>
    <w:rsid w:val="00C3327D"/>
    <w:rsid w:val="00C35018"/>
    <w:rsid w:val="00C35587"/>
    <w:rsid w:val="00C369B3"/>
    <w:rsid w:val="00C372C9"/>
    <w:rsid w:val="00C37651"/>
    <w:rsid w:val="00C408E6"/>
    <w:rsid w:val="00C427B9"/>
    <w:rsid w:val="00C42F6F"/>
    <w:rsid w:val="00C43871"/>
    <w:rsid w:val="00C44476"/>
    <w:rsid w:val="00C4548D"/>
    <w:rsid w:val="00C45503"/>
    <w:rsid w:val="00C45839"/>
    <w:rsid w:val="00C45F0C"/>
    <w:rsid w:val="00C47ECE"/>
    <w:rsid w:val="00C503BC"/>
    <w:rsid w:val="00C51D3F"/>
    <w:rsid w:val="00C53140"/>
    <w:rsid w:val="00C5477D"/>
    <w:rsid w:val="00C5792D"/>
    <w:rsid w:val="00C57AE6"/>
    <w:rsid w:val="00C61C91"/>
    <w:rsid w:val="00C62097"/>
    <w:rsid w:val="00C620C3"/>
    <w:rsid w:val="00C630B0"/>
    <w:rsid w:val="00C63210"/>
    <w:rsid w:val="00C63CE7"/>
    <w:rsid w:val="00C65801"/>
    <w:rsid w:val="00C65CB1"/>
    <w:rsid w:val="00C66695"/>
    <w:rsid w:val="00C670EA"/>
    <w:rsid w:val="00C6730F"/>
    <w:rsid w:val="00C67D53"/>
    <w:rsid w:val="00C70196"/>
    <w:rsid w:val="00C70AC8"/>
    <w:rsid w:val="00C72D47"/>
    <w:rsid w:val="00C73664"/>
    <w:rsid w:val="00C74A9C"/>
    <w:rsid w:val="00C74E77"/>
    <w:rsid w:val="00C75418"/>
    <w:rsid w:val="00C75E67"/>
    <w:rsid w:val="00C76597"/>
    <w:rsid w:val="00C802F2"/>
    <w:rsid w:val="00C80E36"/>
    <w:rsid w:val="00C815C1"/>
    <w:rsid w:val="00C821BC"/>
    <w:rsid w:val="00C83279"/>
    <w:rsid w:val="00C84EB9"/>
    <w:rsid w:val="00C85326"/>
    <w:rsid w:val="00C8539B"/>
    <w:rsid w:val="00C85C4C"/>
    <w:rsid w:val="00C85F09"/>
    <w:rsid w:val="00C8616D"/>
    <w:rsid w:val="00C86EBC"/>
    <w:rsid w:val="00C871EA"/>
    <w:rsid w:val="00C8770B"/>
    <w:rsid w:val="00C87ECE"/>
    <w:rsid w:val="00C87F2C"/>
    <w:rsid w:val="00C87F38"/>
    <w:rsid w:val="00C9112A"/>
    <w:rsid w:val="00C91610"/>
    <w:rsid w:val="00C923C9"/>
    <w:rsid w:val="00C9311F"/>
    <w:rsid w:val="00C9482A"/>
    <w:rsid w:val="00C94ACB"/>
    <w:rsid w:val="00C9567A"/>
    <w:rsid w:val="00C96AC4"/>
    <w:rsid w:val="00C978E8"/>
    <w:rsid w:val="00C97BDE"/>
    <w:rsid w:val="00CA0B03"/>
    <w:rsid w:val="00CA1EB7"/>
    <w:rsid w:val="00CA26E6"/>
    <w:rsid w:val="00CA52B7"/>
    <w:rsid w:val="00CA52F1"/>
    <w:rsid w:val="00CA5782"/>
    <w:rsid w:val="00CA5D43"/>
    <w:rsid w:val="00CA718D"/>
    <w:rsid w:val="00CA74F9"/>
    <w:rsid w:val="00CA778E"/>
    <w:rsid w:val="00CA7E2A"/>
    <w:rsid w:val="00CB0366"/>
    <w:rsid w:val="00CB0A82"/>
    <w:rsid w:val="00CB1881"/>
    <w:rsid w:val="00CB2587"/>
    <w:rsid w:val="00CB363A"/>
    <w:rsid w:val="00CB3C5C"/>
    <w:rsid w:val="00CB4D12"/>
    <w:rsid w:val="00CB4EEC"/>
    <w:rsid w:val="00CB58F3"/>
    <w:rsid w:val="00CB58FA"/>
    <w:rsid w:val="00CB60AA"/>
    <w:rsid w:val="00CB626C"/>
    <w:rsid w:val="00CB6281"/>
    <w:rsid w:val="00CB6FBF"/>
    <w:rsid w:val="00CB76AB"/>
    <w:rsid w:val="00CC0583"/>
    <w:rsid w:val="00CC11C0"/>
    <w:rsid w:val="00CC17EC"/>
    <w:rsid w:val="00CC1C12"/>
    <w:rsid w:val="00CC332B"/>
    <w:rsid w:val="00CC33C6"/>
    <w:rsid w:val="00CC384B"/>
    <w:rsid w:val="00CC6670"/>
    <w:rsid w:val="00CC6E36"/>
    <w:rsid w:val="00CC776F"/>
    <w:rsid w:val="00CD04B3"/>
    <w:rsid w:val="00CD0596"/>
    <w:rsid w:val="00CD05E8"/>
    <w:rsid w:val="00CD07AC"/>
    <w:rsid w:val="00CD1C60"/>
    <w:rsid w:val="00CD2106"/>
    <w:rsid w:val="00CD295A"/>
    <w:rsid w:val="00CD4213"/>
    <w:rsid w:val="00CD4220"/>
    <w:rsid w:val="00CD4668"/>
    <w:rsid w:val="00CD4B43"/>
    <w:rsid w:val="00CD4C01"/>
    <w:rsid w:val="00CD54A6"/>
    <w:rsid w:val="00CD60DF"/>
    <w:rsid w:val="00CD6267"/>
    <w:rsid w:val="00CE076D"/>
    <w:rsid w:val="00CE0A6D"/>
    <w:rsid w:val="00CE128B"/>
    <w:rsid w:val="00CE12FC"/>
    <w:rsid w:val="00CE2CE8"/>
    <w:rsid w:val="00CE2D63"/>
    <w:rsid w:val="00CE357C"/>
    <w:rsid w:val="00CE3C24"/>
    <w:rsid w:val="00CE5445"/>
    <w:rsid w:val="00CE5847"/>
    <w:rsid w:val="00CE5F72"/>
    <w:rsid w:val="00CE64F7"/>
    <w:rsid w:val="00CE6F94"/>
    <w:rsid w:val="00CE7726"/>
    <w:rsid w:val="00CE774A"/>
    <w:rsid w:val="00CE785A"/>
    <w:rsid w:val="00CE7BAE"/>
    <w:rsid w:val="00CE7FF3"/>
    <w:rsid w:val="00CF03B4"/>
    <w:rsid w:val="00CF110E"/>
    <w:rsid w:val="00CF12F9"/>
    <w:rsid w:val="00CF1386"/>
    <w:rsid w:val="00CF168A"/>
    <w:rsid w:val="00CF1E50"/>
    <w:rsid w:val="00CF2085"/>
    <w:rsid w:val="00CF2C1B"/>
    <w:rsid w:val="00CF2D82"/>
    <w:rsid w:val="00CF3072"/>
    <w:rsid w:val="00CF38BA"/>
    <w:rsid w:val="00CF3B85"/>
    <w:rsid w:val="00CF4B4B"/>
    <w:rsid w:val="00CF4CCB"/>
    <w:rsid w:val="00D002B6"/>
    <w:rsid w:val="00D00BBA"/>
    <w:rsid w:val="00D02434"/>
    <w:rsid w:val="00D02655"/>
    <w:rsid w:val="00D02B2F"/>
    <w:rsid w:val="00D02FF4"/>
    <w:rsid w:val="00D04005"/>
    <w:rsid w:val="00D04A8D"/>
    <w:rsid w:val="00D04C8A"/>
    <w:rsid w:val="00D0637C"/>
    <w:rsid w:val="00D07C35"/>
    <w:rsid w:val="00D07D23"/>
    <w:rsid w:val="00D07DFC"/>
    <w:rsid w:val="00D07FAA"/>
    <w:rsid w:val="00D10B61"/>
    <w:rsid w:val="00D10D66"/>
    <w:rsid w:val="00D11ADC"/>
    <w:rsid w:val="00D11F50"/>
    <w:rsid w:val="00D12673"/>
    <w:rsid w:val="00D1431D"/>
    <w:rsid w:val="00D14E14"/>
    <w:rsid w:val="00D15478"/>
    <w:rsid w:val="00D15E4D"/>
    <w:rsid w:val="00D16634"/>
    <w:rsid w:val="00D17A0B"/>
    <w:rsid w:val="00D17CF4"/>
    <w:rsid w:val="00D206B2"/>
    <w:rsid w:val="00D20D41"/>
    <w:rsid w:val="00D21008"/>
    <w:rsid w:val="00D21311"/>
    <w:rsid w:val="00D21D0A"/>
    <w:rsid w:val="00D21F73"/>
    <w:rsid w:val="00D2381A"/>
    <w:rsid w:val="00D24D90"/>
    <w:rsid w:val="00D24F4E"/>
    <w:rsid w:val="00D25871"/>
    <w:rsid w:val="00D25B90"/>
    <w:rsid w:val="00D25D9D"/>
    <w:rsid w:val="00D26A87"/>
    <w:rsid w:val="00D27E87"/>
    <w:rsid w:val="00D30563"/>
    <w:rsid w:val="00D3197F"/>
    <w:rsid w:val="00D330DB"/>
    <w:rsid w:val="00D331AA"/>
    <w:rsid w:val="00D33762"/>
    <w:rsid w:val="00D3537D"/>
    <w:rsid w:val="00D35908"/>
    <w:rsid w:val="00D35ED8"/>
    <w:rsid w:val="00D36E8A"/>
    <w:rsid w:val="00D37C9E"/>
    <w:rsid w:val="00D37D5E"/>
    <w:rsid w:val="00D4022E"/>
    <w:rsid w:val="00D40B16"/>
    <w:rsid w:val="00D40F8E"/>
    <w:rsid w:val="00D41B92"/>
    <w:rsid w:val="00D41C1D"/>
    <w:rsid w:val="00D41EFA"/>
    <w:rsid w:val="00D4270B"/>
    <w:rsid w:val="00D43610"/>
    <w:rsid w:val="00D437F5"/>
    <w:rsid w:val="00D43BAD"/>
    <w:rsid w:val="00D46057"/>
    <w:rsid w:val="00D464EE"/>
    <w:rsid w:val="00D4656F"/>
    <w:rsid w:val="00D4668E"/>
    <w:rsid w:val="00D4704C"/>
    <w:rsid w:val="00D4725B"/>
    <w:rsid w:val="00D47CE0"/>
    <w:rsid w:val="00D47F40"/>
    <w:rsid w:val="00D500DC"/>
    <w:rsid w:val="00D51A37"/>
    <w:rsid w:val="00D51EA3"/>
    <w:rsid w:val="00D520A3"/>
    <w:rsid w:val="00D52A96"/>
    <w:rsid w:val="00D535D4"/>
    <w:rsid w:val="00D54E3A"/>
    <w:rsid w:val="00D556E5"/>
    <w:rsid w:val="00D55718"/>
    <w:rsid w:val="00D5719D"/>
    <w:rsid w:val="00D6025F"/>
    <w:rsid w:val="00D61A67"/>
    <w:rsid w:val="00D63270"/>
    <w:rsid w:val="00D63D42"/>
    <w:rsid w:val="00D679A1"/>
    <w:rsid w:val="00D710E8"/>
    <w:rsid w:val="00D71C06"/>
    <w:rsid w:val="00D722C3"/>
    <w:rsid w:val="00D722DD"/>
    <w:rsid w:val="00D72C40"/>
    <w:rsid w:val="00D730D2"/>
    <w:rsid w:val="00D7396B"/>
    <w:rsid w:val="00D74C79"/>
    <w:rsid w:val="00D75749"/>
    <w:rsid w:val="00D759ED"/>
    <w:rsid w:val="00D75FFC"/>
    <w:rsid w:val="00D7604C"/>
    <w:rsid w:val="00D76382"/>
    <w:rsid w:val="00D779AF"/>
    <w:rsid w:val="00D77D8B"/>
    <w:rsid w:val="00D803A6"/>
    <w:rsid w:val="00D818A4"/>
    <w:rsid w:val="00D8445B"/>
    <w:rsid w:val="00D84B82"/>
    <w:rsid w:val="00D8516C"/>
    <w:rsid w:val="00D864AE"/>
    <w:rsid w:val="00D9083C"/>
    <w:rsid w:val="00D9234B"/>
    <w:rsid w:val="00D92364"/>
    <w:rsid w:val="00D92A49"/>
    <w:rsid w:val="00D94143"/>
    <w:rsid w:val="00D947A5"/>
    <w:rsid w:val="00D94E1F"/>
    <w:rsid w:val="00D96458"/>
    <w:rsid w:val="00D9688F"/>
    <w:rsid w:val="00D978BE"/>
    <w:rsid w:val="00D97E90"/>
    <w:rsid w:val="00DA10B0"/>
    <w:rsid w:val="00DA1147"/>
    <w:rsid w:val="00DA1178"/>
    <w:rsid w:val="00DA13EC"/>
    <w:rsid w:val="00DA29EE"/>
    <w:rsid w:val="00DA2C98"/>
    <w:rsid w:val="00DA363E"/>
    <w:rsid w:val="00DA3835"/>
    <w:rsid w:val="00DA4FB8"/>
    <w:rsid w:val="00DA73E7"/>
    <w:rsid w:val="00DB0B85"/>
    <w:rsid w:val="00DB1696"/>
    <w:rsid w:val="00DB1C74"/>
    <w:rsid w:val="00DB4365"/>
    <w:rsid w:val="00DB4407"/>
    <w:rsid w:val="00DB44B0"/>
    <w:rsid w:val="00DB4591"/>
    <w:rsid w:val="00DB4974"/>
    <w:rsid w:val="00DB55D3"/>
    <w:rsid w:val="00DB608A"/>
    <w:rsid w:val="00DB6164"/>
    <w:rsid w:val="00DB6F7D"/>
    <w:rsid w:val="00DB7BFE"/>
    <w:rsid w:val="00DC0875"/>
    <w:rsid w:val="00DC1880"/>
    <w:rsid w:val="00DC20AD"/>
    <w:rsid w:val="00DC28C1"/>
    <w:rsid w:val="00DC2DF9"/>
    <w:rsid w:val="00DC3952"/>
    <w:rsid w:val="00DC4AC1"/>
    <w:rsid w:val="00DC4C75"/>
    <w:rsid w:val="00DC4EF2"/>
    <w:rsid w:val="00DC53D5"/>
    <w:rsid w:val="00DC5F34"/>
    <w:rsid w:val="00DC6846"/>
    <w:rsid w:val="00DC6C2D"/>
    <w:rsid w:val="00DD094A"/>
    <w:rsid w:val="00DD2D3D"/>
    <w:rsid w:val="00DD332A"/>
    <w:rsid w:val="00DD34B4"/>
    <w:rsid w:val="00DD3ECD"/>
    <w:rsid w:val="00DD4316"/>
    <w:rsid w:val="00DD44FC"/>
    <w:rsid w:val="00DD4FFB"/>
    <w:rsid w:val="00DD6639"/>
    <w:rsid w:val="00DD6AC4"/>
    <w:rsid w:val="00DD71D6"/>
    <w:rsid w:val="00DD723B"/>
    <w:rsid w:val="00DD724F"/>
    <w:rsid w:val="00DD7525"/>
    <w:rsid w:val="00DD780F"/>
    <w:rsid w:val="00DE0492"/>
    <w:rsid w:val="00DE0EE2"/>
    <w:rsid w:val="00DE43E5"/>
    <w:rsid w:val="00DE443F"/>
    <w:rsid w:val="00DE4496"/>
    <w:rsid w:val="00DE453A"/>
    <w:rsid w:val="00DE4DCD"/>
    <w:rsid w:val="00DE524F"/>
    <w:rsid w:val="00DE5890"/>
    <w:rsid w:val="00DE787F"/>
    <w:rsid w:val="00DE7963"/>
    <w:rsid w:val="00DE7A0F"/>
    <w:rsid w:val="00DF0086"/>
    <w:rsid w:val="00DF10AE"/>
    <w:rsid w:val="00DF250F"/>
    <w:rsid w:val="00DF33D7"/>
    <w:rsid w:val="00DF34DE"/>
    <w:rsid w:val="00DF5580"/>
    <w:rsid w:val="00DF5EFF"/>
    <w:rsid w:val="00DF60A2"/>
    <w:rsid w:val="00DF7F60"/>
    <w:rsid w:val="00E0056E"/>
    <w:rsid w:val="00E0270D"/>
    <w:rsid w:val="00E02ED2"/>
    <w:rsid w:val="00E03178"/>
    <w:rsid w:val="00E03C95"/>
    <w:rsid w:val="00E03E9E"/>
    <w:rsid w:val="00E0458C"/>
    <w:rsid w:val="00E047FE"/>
    <w:rsid w:val="00E04AE2"/>
    <w:rsid w:val="00E04C3A"/>
    <w:rsid w:val="00E06607"/>
    <w:rsid w:val="00E1028B"/>
    <w:rsid w:val="00E10D26"/>
    <w:rsid w:val="00E1170B"/>
    <w:rsid w:val="00E12454"/>
    <w:rsid w:val="00E125CC"/>
    <w:rsid w:val="00E138C2"/>
    <w:rsid w:val="00E14536"/>
    <w:rsid w:val="00E14ED4"/>
    <w:rsid w:val="00E155A8"/>
    <w:rsid w:val="00E16139"/>
    <w:rsid w:val="00E16C15"/>
    <w:rsid w:val="00E1730B"/>
    <w:rsid w:val="00E2095D"/>
    <w:rsid w:val="00E21CE2"/>
    <w:rsid w:val="00E22623"/>
    <w:rsid w:val="00E22772"/>
    <w:rsid w:val="00E245F3"/>
    <w:rsid w:val="00E2497E"/>
    <w:rsid w:val="00E24B54"/>
    <w:rsid w:val="00E24F3E"/>
    <w:rsid w:val="00E26502"/>
    <w:rsid w:val="00E26906"/>
    <w:rsid w:val="00E26FE7"/>
    <w:rsid w:val="00E277DD"/>
    <w:rsid w:val="00E27C1B"/>
    <w:rsid w:val="00E300B5"/>
    <w:rsid w:val="00E31AF9"/>
    <w:rsid w:val="00E31B0D"/>
    <w:rsid w:val="00E3225C"/>
    <w:rsid w:val="00E3263E"/>
    <w:rsid w:val="00E35C37"/>
    <w:rsid w:val="00E36978"/>
    <w:rsid w:val="00E406B2"/>
    <w:rsid w:val="00E4088A"/>
    <w:rsid w:val="00E40EB7"/>
    <w:rsid w:val="00E414F0"/>
    <w:rsid w:val="00E415CD"/>
    <w:rsid w:val="00E41CC0"/>
    <w:rsid w:val="00E41F4B"/>
    <w:rsid w:val="00E42C08"/>
    <w:rsid w:val="00E430A0"/>
    <w:rsid w:val="00E430DD"/>
    <w:rsid w:val="00E438E6"/>
    <w:rsid w:val="00E442DC"/>
    <w:rsid w:val="00E44456"/>
    <w:rsid w:val="00E45091"/>
    <w:rsid w:val="00E46339"/>
    <w:rsid w:val="00E4650B"/>
    <w:rsid w:val="00E471A4"/>
    <w:rsid w:val="00E4721F"/>
    <w:rsid w:val="00E4732C"/>
    <w:rsid w:val="00E47F42"/>
    <w:rsid w:val="00E50163"/>
    <w:rsid w:val="00E504AC"/>
    <w:rsid w:val="00E5060B"/>
    <w:rsid w:val="00E50BBC"/>
    <w:rsid w:val="00E52C61"/>
    <w:rsid w:val="00E52D20"/>
    <w:rsid w:val="00E53ACD"/>
    <w:rsid w:val="00E54081"/>
    <w:rsid w:val="00E544F8"/>
    <w:rsid w:val="00E54CD7"/>
    <w:rsid w:val="00E555AD"/>
    <w:rsid w:val="00E56ED8"/>
    <w:rsid w:val="00E578AB"/>
    <w:rsid w:val="00E57CED"/>
    <w:rsid w:val="00E61674"/>
    <w:rsid w:val="00E63F3B"/>
    <w:rsid w:val="00E6563C"/>
    <w:rsid w:val="00E65F02"/>
    <w:rsid w:val="00E665B1"/>
    <w:rsid w:val="00E666FB"/>
    <w:rsid w:val="00E67B20"/>
    <w:rsid w:val="00E67D89"/>
    <w:rsid w:val="00E67FA0"/>
    <w:rsid w:val="00E70C2A"/>
    <w:rsid w:val="00E711B4"/>
    <w:rsid w:val="00E71CE4"/>
    <w:rsid w:val="00E737B0"/>
    <w:rsid w:val="00E74EA6"/>
    <w:rsid w:val="00E754AA"/>
    <w:rsid w:val="00E76383"/>
    <w:rsid w:val="00E76930"/>
    <w:rsid w:val="00E8318D"/>
    <w:rsid w:val="00E83DC6"/>
    <w:rsid w:val="00E855E9"/>
    <w:rsid w:val="00E857E5"/>
    <w:rsid w:val="00E85D7E"/>
    <w:rsid w:val="00E8639C"/>
    <w:rsid w:val="00E86865"/>
    <w:rsid w:val="00E86ABC"/>
    <w:rsid w:val="00E86BB9"/>
    <w:rsid w:val="00E86E49"/>
    <w:rsid w:val="00E906B5"/>
    <w:rsid w:val="00E908AD"/>
    <w:rsid w:val="00E90F1E"/>
    <w:rsid w:val="00E923EB"/>
    <w:rsid w:val="00E9358A"/>
    <w:rsid w:val="00E94617"/>
    <w:rsid w:val="00E946C8"/>
    <w:rsid w:val="00E947D4"/>
    <w:rsid w:val="00E95257"/>
    <w:rsid w:val="00E95806"/>
    <w:rsid w:val="00E960C3"/>
    <w:rsid w:val="00E96E36"/>
    <w:rsid w:val="00E97829"/>
    <w:rsid w:val="00EA02DE"/>
    <w:rsid w:val="00EA0944"/>
    <w:rsid w:val="00EA0A3B"/>
    <w:rsid w:val="00EA152F"/>
    <w:rsid w:val="00EA20F3"/>
    <w:rsid w:val="00EA2CBF"/>
    <w:rsid w:val="00EA3015"/>
    <w:rsid w:val="00EA33D0"/>
    <w:rsid w:val="00EA35EA"/>
    <w:rsid w:val="00EA539E"/>
    <w:rsid w:val="00EA68D6"/>
    <w:rsid w:val="00EA6997"/>
    <w:rsid w:val="00EB038C"/>
    <w:rsid w:val="00EB0FE8"/>
    <w:rsid w:val="00EB139B"/>
    <w:rsid w:val="00EB13B5"/>
    <w:rsid w:val="00EB17B9"/>
    <w:rsid w:val="00EB26DA"/>
    <w:rsid w:val="00EB44BB"/>
    <w:rsid w:val="00EB45E1"/>
    <w:rsid w:val="00EB4BC8"/>
    <w:rsid w:val="00EB4C61"/>
    <w:rsid w:val="00EB6346"/>
    <w:rsid w:val="00EB64FE"/>
    <w:rsid w:val="00EB666D"/>
    <w:rsid w:val="00EB695C"/>
    <w:rsid w:val="00EB7F74"/>
    <w:rsid w:val="00EC03D3"/>
    <w:rsid w:val="00EC04AE"/>
    <w:rsid w:val="00EC1372"/>
    <w:rsid w:val="00EC2545"/>
    <w:rsid w:val="00EC2CC3"/>
    <w:rsid w:val="00EC3D7C"/>
    <w:rsid w:val="00EC435A"/>
    <w:rsid w:val="00EC5026"/>
    <w:rsid w:val="00EC5C18"/>
    <w:rsid w:val="00EC619E"/>
    <w:rsid w:val="00EC6562"/>
    <w:rsid w:val="00EC7444"/>
    <w:rsid w:val="00EC74F5"/>
    <w:rsid w:val="00EC7B5A"/>
    <w:rsid w:val="00ED0AD7"/>
    <w:rsid w:val="00ED13E0"/>
    <w:rsid w:val="00ED1AEE"/>
    <w:rsid w:val="00ED1BCD"/>
    <w:rsid w:val="00ED270D"/>
    <w:rsid w:val="00ED2988"/>
    <w:rsid w:val="00ED29D6"/>
    <w:rsid w:val="00ED35C3"/>
    <w:rsid w:val="00ED4195"/>
    <w:rsid w:val="00ED4965"/>
    <w:rsid w:val="00ED515D"/>
    <w:rsid w:val="00ED523E"/>
    <w:rsid w:val="00ED5481"/>
    <w:rsid w:val="00ED58CA"/>
    <w:rsid w:val="00ED5E38"/>
    <w:rsid w:val="00ED61AF"/>
    <w:rsid w:val="00ED6B05"/>
    <w:rsid w:val="00ED6D9A"/>
    <w:rsid w:val="00ED78CD"/>
    <w:rsid w:val="00ED7BCC"/>
    <w:rsid w:val="00EE0D6E"/>
    <w:rsid w:val="00EE1336"/>
    <w:rsid w:val="00EE17AA"/>
    <w:rsid w:val="00EE1FAE"/>
    <w:rsid w:val="00EE20AD"/>
    <w:rsid w:val="00EE2B0A"/>
    <w:rsid w:val="00EE2CDD"/>
    <w:rsid w:val="00EE3EA8"/>
    <w:rsid w:val="00EE4DA6"/>
    <w:rsid w:val="00EE4EB8"/>
    <w:rsid w:val="00EE51F4"/>
    <w:rsid w:val="00EE6F57"/>
    <w:rsid w:val="00EE753C"/>
    <w:rsid w:val="00EF0105"/>
    <w:rsid w:val="00EF0914"/>
    <w:rsid w:val="00EF2D8B"/>
    <w:rsid w:val="00EF356D"/>
    <w:rsid w:val="00EF397E"/>
    <w:rsid w:val="00EF3A5D"/>
    <w:rsid w:val="00EF4B38"/>
    <w:rsid w:val="00EF5FA0"/>
    <w:rsid w:val="00EF7406"/>
    <w:rsid w:val="00EF781D"/>
    <w:rsid w:val="00F0305E"/>
    <w:rsid w:val="00F034E6"/>
    <w:rsid w:val="00F03D32"/>
    <w:rsid w:val="00F03DD8"/>
    <w:rsid w:val="00F040A5"/>
    <w:rsid w:val="00F04329"/>
    <w:rsid w:val="00F04F1A"/>
    <w:rsid w:val="00F05BBB"/>
    <w:rsid w:val="00F05E86"/>
    <w:rsid w:val="00F05F0D"/>
    <w:rsid w:val="00F06D35"/>
    <w:rsid w:val="00F1143F"/>
    <w:rsid w:val="00F1168C"/>
    <w:rsid w:val="00F1191D"/>
    <w:rsid w:val="00F13098"/>
    <w:rsid w:val="00F13DAA"/>
    <w:rsid w:val="00F14129"/>
    <w:rsid w:val="00F15266"/>
    <w:rsid w:val="00F1714B"/>
    <w:rsid w:val="00F17EFF"/>
    <w:rsid w:val="00F17F5F"/>
    <w:rsid w:val="00F20251"/>
    <w:rsid w:val="00F205CF"/>
    <w:rsid w:val="00F2085E"/>
    <w:rsid w:val="00F20C62"/>
    <w:rsid w:val="00F214CA"/>
    <w:rsid w:val="00F21B38"/>
    <w:rsid w:val="00F224DD"/>
    <w:rsid w:val="00F22AB5"/>
    <w:rsid w:val="00F22B70"/>
    <w:rsid w:val="00F22D71"/>
    <w:rsid w:val="00F22DF1"/>
    <w:rsid w:val="00F231AD"/>
    <w:rsid w:val="00F23787"/>
    <w:rsid w:val="00F23F63"/>
    <w:rsid w:val="00F2400C"/>
    <w:rsid w:val="00F2480D"/>
    <w:rsid w:val="00F258C9"/>
    <w:rsid w:val="00F26531"/>
    <w:rsid w:val="00F265A5"/>
    <w:rsid w:val="00F317D3"/>
    <w:rsid w:val="00F31D98"/>
    <w:rsid w:val="00F320D1"/>
    <w:rsid w:val="00F32175"/>
    <w:rsid w:val="00F32AE1"/>
    <w:rsid w:val="00F32CF1"/>
    <w:rsid w:val="00F32D3F"/>
    <w:rsid w:val="00F344C6"/>
    <w:rsid w:val="00F36542"/>
    <w:rsid w:val="00F37AC7"/>
    <w:rsid w:val="00F411CB"/>
    <w:rsid w:val="00F4133E"/>
    <w:rsid w:val="00F413D1"/>
    <w:rsid w:val="00F42690"/>
    <w:rsid w:val="00F42ACC"/>
    <w:rsid w:val="00F439E4"/>
    <w:rsid w:val="00F44429"/>
    <w:rsid w:val="00F458BE"/>
    <w:rsid w:val="00F46605"/>
    <w:rsid w:val="00F478F5"/>
    <w:rsid w:val="00F50255"/>
    <w:rsid w:val="00F515CA"/>
    <w:rsid w:val="00F52E24"/>
    <w:rsid w:val="00F53571"/>
    <w:rsid w:val="00F5383B"/>
    <w:rsid w:val="00F53C21"/>
    <w:rsid w:val="00F53D77"/>
    <w:rsid w:val="00F54AD1"/>
    <w:rsid w:val="00F557A3"/>
    <w:rsid w:val="00F61960"/>
    <w:rsid w:val="00F633C8"/>
    <w:rsid w:val="00F638C3"/>
    <w:rsid w:val="00F649E1"/>
    <w:rsid w:val="00F64A49"/>
    <w:rsid w:val="00F6500B"/>
    <w:rsid w:val="00F657BB"/>
    <w:rsid w:val="00F65803"/>
    <w:rsid w:val="00F65EAD"/>
    <w:rsid w:val="00F70F50"/>
    <w:rsid w:val="00F713E8"/>
    <w:rsid w:val="00F71BA5"/>
    <w:rsid w:val="00F71EC6"/>
    <w:rsid w:val="00F71FA3"/>
    <w:rsid w:val="00F7268C"/>
    <w:rsid w:val="00F72C9C"/>
    <w:rsid w:val="00F731A1"/>
    <w:rsid w:val="00F73E0A"/>
    <w:rsid w:val="00F746C1"/>
    <w:rsid w:val="00F77E5D"/>
    <w:rsid w:val="00F82EB2"/>
    <w:rsid w:val="00F83E37"/>
    <w:rsid w:val="00F863C3"/>
    <w:rsid w:val="00F86F80"/>
    <w:rsid w:val="00F872E5"/>
    <w:rsid w:val="00F90989"/>
    <w:rsid w:val="00F937FC"/>
    <w:rsid w:val="00F943EF"/>
    <w:rsid w:val="00F94B92"/>
    <w:rsid w:val="00F94FDB"/>
    <w:rsid w:val="00F951F9"/>
    <w:rsid w:val="00F954A8"/>
    <w:rsid w:val="00F956D4"/>
    <w:rsid w:val="00F9652A"/>
    <w:rsid w:val="00F9725F"/>
    <w:rsid w:val="00FA0AC4"/>
    <w:rsid w:val="00FA21A1"/>
    <w:rsid w:val="00FA2FAE"/>
    <w:rsid w:val="00FA3DDE"/>
    <w:rsid w:val="00FA44C2"/>
    <w:rsid w:val="00FA5C7B"/>
    <w:rsid w:val="00FA6B08"/>
    <w:rsid w:val="00FA6B59"/>
    <w:rsid w:val="00FA71AD"/>
    <w:rsid w:val="00FB28C1"/>
    <w:rsid w:val="00FB356E"/>
    <w:rsid w:val="00FB38E2"/>
    <w:rsid w:val="00FB3C12"/>
    <w:rsid w:val="00FB3D2E"/>
    <w:rsid w:val="00FB47A2"/>
    <w:rsid w:val="00FB56D9"/>
    <w:rsid w:val="00FB5BDF"/>
    <w:rsid w:val="00FB61E4"/>
    <w:rsid w:val="00FC1314"/>
    <w:rsid w:val="00FC1705"/>
    <w:rsid w:val="00FC18D0"/>
    <w:rsid w:val="00FC2355"/>
    <w:rsid w:val="00FC245B"/>
    <w:rsid w:val="00FC33D1"/>
    <w:rsid w:val="00FC4496"/>
    <w:rsid w:val="00FC4D35"/>
    <w:rsid w:val="00FC6BF2"/>
    <w:rsid w:val="00FC7AB8"/>
    <w:rsid w:val="00FD04A3"/>
    <w:rsid w:val="00FD066C"/>
    <w:rsid w:val="00FD09CD"/>
    <w:rsid w:val="00FD2956"/>
    <w:rsid w:val="00FD4B00"/>
    <w:rsid w:val="00FD560C"/>
    <w:rsid w:val="00FD59CF"/>
    <w:rsid w:val="00FD5BB3"/>
    <w:rsid w:val="00FD734E"/>
    <w:rsid w:val="00FD7D7E"/>
    <w:rsid w:val="00FE00F3"/>
    <w:rsid w:val="00FE126A"/>
    <w:rsid w:val="00FE4406"/>
    <w:rsid w:val="00FE49AB"/>
    <w:rsid w:val="00FE4AE0"/>
    <w:rsid w:val="00FE63FC"/>
    <w:rsid w:val="00FE6F7E"/>
    <w:rsid w:val="00FF035A"/>
    <w:rsid w:val="00FF0C37"/>
    <w:rsid w:val="00FF1454"/>
    <w:rsid w:val="00FF16CF"/>
    <w:rsid w:val="00FF2437"/>
    <w:rsid w:val="00FF257A"/>
    <w:rsid w:val="00FF25C7"/>
    <w:rsid w:val="00FF3D6C"/>
    <w:rsid w:val="00FF4926"/>
    <w:rsid w:val="00FF4A6C"/>
    <w:rsid w:val="00FF5382"/>
    <w:rsid w:val="00FF795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8B63BA6"/>
  <w15:docId w15:val="{B46CB74A-4EAB-4DF8-86DA-56EBB2FF81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before="240" w:after="16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178D"/>
    <w:rPr>
      <w:rFonts w:ascii="Calibri" w:hAnsi="Calibri"/>
    </w:rPr>
  </w:style>
  <w:style w:type="paragraph" w:styleId="Heading1">
    <w:name w:val="heading 1"/>
    <w:aliases w:val="Head1,'Document,Chapter Heading,h1,heading,1,COBA Heading 1,Gliederung 1,ARTICULO 1º,Section Heading,HEADING 1,Headline,1 ghost,g,UCI Header 1,MisHead1,LetHead1,Normalhead1,l1,Normal Heading 1,Kapittel,Heading 1 Char Char,Etude Char,Etude,L1"/>
    <w:basedOn w:val="Normal"/>
    <w:next w:val="Normal"/>
    <w:link w:val="Heading1Char"/>
    <w:uiPriority w:val="9"/>
    <w:qFormat/>
    <w:rsid w:val="00074919"/>
    <w:pPr>
      <w:keepNext/>
      <w:keepLines/>
      <w:numPr>
        <w:numId w:val="26"/>
      </w:numPr>
      <w:spacing w:before="360" w:after="120"/>
      <w:outlineLvl w:val="0"/>
    </w:pPr>
    <w:rPr>
      <w:rFonts w:eastAsiaTheme="majorEastAsia" w:cstheme="majorBidi"/>
      <w:b/>
      <w:sz w:val="32"/>
      <w:szCs w:val="32"/>
    </w:rPr>
  </w:style>
  <w:style w:type="paragraph" w:styleId="Heading2">
    <w:name w:val="heading 2"/>
    <w:aliases w:val="Agt Head 2,Heading 2 Char1,Section,Heading 2 Char Char Char,Heading 2 Char1 Char,Heading 2 Char1 Char Char Char,Heading 2 Char Char Char Char Char,Heading 2 Char1 Char Char Char Char Char,CPR Heading 2,h2,Heading 22,H2,Attribute,an_Über 2"/>
    <w:basedOn w:val="Normal"/>
    <w:next w:val="Normal"/>
    <w:link w:val="Heading2Char"/>
    <w:uiPriority w:val="9"/>
    <w:unhideWhenUsed/>
    <w:qFormat/>
    <w:rsid w:val="007831FA"/>
    <w:pPr>
      <w:keepNext/>
      <w:keepLines/>
      <w:numPr>
        <w:ilvl w:val="1"/>
        <w:numId w:val="26"/>
      </w:numPr>
      <w:spacing w:before="160" w:after="120" w:line="360" w:lineRule="auto"/>
      <w:outlineLvl w:val="1"/>
    </w:pPr>
    <w:rPr>
      <w:rFonts w:eastAsiaTheme="majorEastAsia" w:cstheme="majorBidi"/>
      <w:b/>
      <w:sz w:val="26"/>
      <w:szCs w:val="26"/>
      <w:lang w:val="pt-PT" w:eastAsia="ja-JP"/>
    </w:rPr>
  </w:style>
  <w:style w:type="paragraph" w:styleId="Heading3">
    <w:name w:val="heading 3"/>
    <w:basedOn w:val="Normal"/>
    <w:next w:val="Normal"/>
    <w:link w:val="Heading3Char"/>
    <w:autoRedefine/>
    <w:uiPriority w:val="9"/>
    <w:unhideWhenUsed/>
    <w:qFormat/>
    <w:rsid w:val="00F13DAA"/>
    <w:pPr>
      <w:keepNext/>
      <w:keepLines/>
      <w:numPr>
        <w:ilvl w:val="2"/>
        <w:numId w:val="26"/>
      </w:numPr>
      <w:spacing w:after="0"/>
      <w:outlineLvl w:val="2"/>
    </w:pPr>
    <w:rPr>
      <w:rFonts w:eastAsiaTheme="majorEastAsia" w:cstheme="majorBidi"/>
      <w:b/>
      <w:i/>
      <w:sz w:val="24"/>
      <w:szCs w:val="24"/>
      <w:lang w:val="pt-PT"/>
    </w:rPr>
  </w:style>
  <w:style w:type="paragraph" w:styleId="Heading4">
    <w:name w:val="heading 4"/>
    <w:basedOn w:val="Normal"/>
    <w:next w:val="Normal"/>
    <w:link w:val="Heading4Char"/>
    <w:uiPriority w:val="9"/>
    <w:qFormat/>
    <w:rsid w:val="00C620C3"/>
    <w:pPr>
      <w:keepNext/>
      <w:numPr>
        <w:ilvl w:val="3"/>
        <w:numId w:val="26"/>
      </w:numPr>
      <w:spacing w:before="0" w:after="120"/>
      <w:jc w:val="left"/>
      <w:outlineLvl w:val="3"/>
    </w:pPr>
    <w:rPr>
      <w:rFonts w:ascii="Arial" w:eastAsia="Times New Roman" w:hAnsi="Arial" w:cs="Times New Roman"/>
      <w:b/>
      <w:i/>
      <w:szCs w:val="20"/>
      <w:lang w:val="pt-BR" w:eastAsia="pt-BR"/>
    </w:rPr>
  </w:style>
  <w:style w:type="paragraph" w:styleId="Heading5">
    <w:name w:val="heading 5"/>
    <w:basedOn w:val="Normal"/>
    <w:next w:val="Normal"/>
    <w:link w:val="Heading5Char"/>
    <w:uiPriority w:val="9"/>
    <w:qFormat/>
    <w:rsid w:val="00C620C3"/>
    <w:pPr>
      <w:keepNext/>
      <w:numPr>
        <w:ilvl w:val="4"/>
        <w:numId w:val="26"/>
      </w:numPr>
      <w:spacing w:before="0" w:after="120"/>
      <w:jc w:val="left"/>
      <w:outlineLvl w:val="4"/>
    </w:pPr>
    <w:rPr>
      <w:rFonts w:ascii="Arial" w:eastAsia="Times New Roman" w:hAnsi="Arial" w:cs="Times New Roman"/>
      <w:i/>
      <w:szCs w:val="20"/>
      <w:u w:val="single"/>
      <w:lang w:val="pt-BR" w:eastAsia="pt-BR"/>
    </w:rPr>
  </w:style>
  <w:style w:type="paragraph" w:styleId="Heading6">
    <w:name w:val="heading 6"/>
    <w:basedOn w:val="Normal"/>
    <w:next w:val="Normal"/>
    <w:link w:val="Heading6Char"/>
    <w:uiPriority w:val="9"/>
    <w:qFormat/>
    <w:rsid w:val="00C620C3"/>
    <w:pPr>
      <w:keepNext/>
      <w:numPr>
        <w:ilvl w:val="5"/>
        <w:numId w:val="26"/>
      </w:numPr>
      <w:spacing w:before="0" w:after="120"/>
      <w:jc w:val="left"/>
      <w:outlineLvl w:val="5"/>
    </w:pPr>
    <w:rPr>
      <w:rFonts w:ascii="Arial" w:eastAsia="Times New Roman" w:hAnsi="Arial" w:cs="Times New Roman"/>
      <w:b/>
      <w:szCs w:val="20"/>
      <w:lang w:val="pt-BR" w:eastAsia="pt-BR"/>
    </w:rPr>
  </w:style>
  <w:style w:type="paragraph" w:styleId="Heading7">
    <w:name w:val="heading 7"/>
    <w:basedOn w:val="Normal"/>
    <w:next w:val="Normal"/>
    <w:link w:val="Heading7Char"/>
    <w:uiPriority w:val="9"/>
    <w:qFormat/>
    <w:rsid w:val="00C620C3"/>
    <w:pPr>
      <w:keepNext/>
      <w:numPr>
        <w:ilvl w:val="6"/>
        <w:numId w:val="26"/>
      </w:numPr>
      <w:spacing w:before="0" w:after="120"/>
      <w:outlineLvl w:val="6"/>
    </w:pPr>
    <w:rPr>
      <w:rFonts w:ascii="Arial" w:eastAsia="Times New Roman" w:hAnsi="Arial" w:cs="Times New Roman"/>
      <w:b/>
      <w:szCs w:val="20"/>
      <w:lang w:val="pt-BR" w:eastAsia="pt-BR"/>
    </w:rPr>
  </w:style>
  <w:style w:type="paragraph" w:styleId="Heading8">
    <w:name w:val="heading 8"/>
    <w:basedOn w:val="Normal"/>
    <w:next w:val="Normal"/>
    <w:link w:val="Heading8Char"/>
    <w:uiPriority w:val="9"/>
    <w:qFormat/>
    <w:rsid w:val="00C620C3"/>
    <w:pPr>
      <w:keepNext/>
      <w:numPr>
        <w:ilvl w:val="7"/>
        <w:numId w:val="26"/>
      </w:numPr>
      <w:spacing w:before="0" w:after="120"/>
      <w:outlineLvl w:val="7"/>
    </w:pPr>
    <w:rPr>
      <w:rFonts w:ascii="Arial" w:eastAsia="Times New Roman" w:hAnsi="Arial" w:cs="Times New Roman"/>
      <w:b/>
      <w:szCs w:val="20"/>
      <w:u w:val="single"/>
      <w:lang w:val="pt-BR" w:eastAsia="pt-BR"/>
    </w:rPr>
  </w:style>
  <w:style w:type="paragraph" w:styleId="Heading9">
    <w:name w:val="heading 9"/>
    <w:basedOn w:val="Normal"/>
    <w:next w:val="Normal"/>
    <w:link w:val="Heading9Char"/>
    <w:uiPriority w:val="9"/>
    <w:qFormat/>
    <w:rsid w:val="00C620C3"/>
    <w:pPr>
      <w:keepNext/>
      <w:numPr>
        <w:ilvl w:val="8"/>
        <w:numId w:val="26"/>
      </w:numPr>
      <w:spacing w:before="0" w:after="120"/>
      <w:outlineLvl w:val="8"/>
    </w:pPr>
    <w:rPr>
      <w:rFonts w:ascii="Arial" w:eastAsia="Times New Roman" w:hAnsi="Arial" w:cs="Times New Roman"/>
      <w:szCs w:val="20"/>
      <w:u w:val="single"/>
      <w:lang w:val="pt-BR" w:eastAsia="pt-B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nhideWhenUsed/>
    <w:rsid w:val="00074919"/>
    <w:rPr>
      <w:sz w:val="16"/>
      <w:szCs w:val="16"/>
    </w:rPr>
  </w:style>
  <w:style w:type="paragraph" w:styleId="CommentText">
    <w:name w:val="annotation text"/>
    <w:basedOn w:val="Normal"/>
    <w:link w:val="CommentTextChar"/>
    <w:uiPriority w:val="99"/>
    <w:unhideWhenUsed/>
    <w:rsid w:val="00074919"/>
    <w:rPr>
      <w:sz w:val="20"/>
      <w:szCs w:val="20"/>
    </w:rPr>
  </w:style>
  <w:style w:type="character" w:customStyle="1" w:styleId="CommentTextChar">
    <w:name w:val="Comment Text Char"/>
    <w:basedOn w:val="DefaultParagraphFont"/>
    <w:link w:val="CommentText"/>
    <w:uiPriority w:val="99"/>
    <w:rsid w:val="00074919"/>
    <w:rPr>
      <w:sz w:val="20"/>
      <w:szCs w:val="20"/>
    </w:rPr>
  </w:style>
  <w:style w:type="paragraph" w:styleId="CommentSubject">
    <w:name w:val="annotation subject"/>
    <w:basedOn w:val="CommentText"/>
    <w:next w:val="CommentText"/>
    <w:link w:val="CommentSubjectChar"/>
    <w:uiPriority w:val="99"/>
    <w:semiHidden/>
    <w:unhideWhenUsed/>
    <w:rsid w:val="00074919"/>
    <w:rPr>
      <w:b/>
      <w:bCs/>
    </w:rPr>
  </w:style>
  <w:style w:type="character" w:customStyle="1" w:styleId="CommentSubjectChar">
    <w:name w:val="Comment Subject Char"/>
    <w:basedOn w:val="CommentTextChar"/>
    <w:link w:val="CommentSubject"/>
    <w:uiPriority w:val="99"/>
    <w:semiHidden/>
    <w:rsid w:val="00074919"/>
    <w:rPr>
      <w:b/>
      <w:bCs/>
      <w:sz w:val="20"/>
      <w:szCs w:val="20"/>
    </w:rPr>
  </w:style>
  <w:style w:type="paragraph" w:styleId="BalloonText">
    <w:name w:val="Balloon Text"/>
    <w:basedOn w:val="Normal"/>
    <w:link w:val="BalloonTextChar"/>
    <w:uiPriority w:val="99"/>
    <w:semiHidden/>
    <w:unhideWhenUsed/>
    <w:rsid w:val="00074919"/>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74919"/>
    <w:rPr>
      <w:rFonts w:ascii="Segoe UI" w:hAnsi="Segoe UI" w:cs="Segoe UI"/>
      <w:sz w:val="18"/>
      <w:szCs w:val="18"/>
    </w:rPr>
  </w:style>
  <w:style w:type="character" w:customStyle="1" w:styleId="Heading1Char">
    <w:name w:val="Heading 1 Char"/>
    <w:aliases w:val="Head1 Char,'Document Char,Chapter Heading Char,h1 Char,heading Char,1 Char,COBA Heading 1 Char,Gliederung 1 Char,ARTICULO 1º Char,Section Heading Char,HEADING 1 Char,Headline Char,1 ghost Char,g Char,UCI Header 1 Char,MisHead1 Char"/>
    <w:basedOn w:val="DefaultParagraphFont"/>
    <w:link w:val="Heading1"/>
    <w:uiPriority w:val="9"/>
    <w:rsid w:val="00074919"/>
    <w:rPr>
      <w:rFonts w:ascii="Calibri" w:eastAsiaTheme="majorEastAsia" w:hAnsi="Calibri" w:cstheme="majorBidi"/>
      <w:b/>
      <w:sz w:val="32"/>
      <w:szCs w:val="32"/>
    </w:rPr>
  </w:style>
  <w:style w:type="paragraph" w:styleId="Header">
    <w:name w:val="header"/>
    <w:basedOn w:val="Normal"/>
    <w:link w:val="HeaderChar"/>
    <w:uiPriority w:val="99"/>
    <w:unhideWhenUsed/>
    <w:rsid w:val="003C1148"/>
    <w:pPr>
      <w:tabs>
        <w:tab w:val="center" w:pos="4513"/>
        <w:tab w:val="right" w:pos="9026"/>
      </w:tabs>
      <w:spacing w:after="0"/>
    </w:pPr>
  </w:style>
  <w:style w:type="character" w:customStyle="1" w:styleId="HeaderChar">
    <w:name w:val="Header Char"/>
    <w:basedOn w:val="DefaultParagraphFont"/>
    <w:link w:val="Header"/>
    <w:uiPriority w:val="99"/>
    <w:rsid w:val="003C1148"/>
  </w:style>
  <w:style w:type="paragraph" w:styleId="Footer">
    <w:name w:val="footer"/>
    <w:aliases w:val="~Footer"/>
    <w:basedOn w:val="Normal"/>
    <w:link w:val="FooterChar"/>
    <w:uiPriority w:val="99"/>
    <w:unhideWhenUsed/>
    <w:qFormat/>
    <w:rsid w:val="003C1148"/>
    <w:pPr>
      <w:tabs>
        <w:tab w:val="center" w:pos="4513"/>
        <w:tab w:val="right" w:pos="9026"/>
      </w:tabs>
      <w:spacing w:after="0"/>
    </w:pPr>
  </w:style>
  <w:style w:type="character" w:customStyle="1" w:styleId="FooterChar">
    <w:name w:val="Footer Char"/>
    <w:aliases w:val="~Footer Char"/>
    <w:basedOn w:val="DefaultParagraphFont"/>
    <w:link w:val="Footer"/>
    <w:uiPriority w:val="99"/>
    <w:rsid w:val="003C1148"/>
  </w:style>
  <w:style w:type="paragraph" w:styleId="ListParagraph">
    <w:name w:val="List Paragraph"/>
    <w:aliases w:val="List_Paragraph,Multilevel para_II,Akapit z listą BS,Bullet1,Liste 1,Paragraphe  revu,List Paragraph (numbered (a)),List Paragraph nowy,References,Medium Grid 1 - Accent 21,Numbered List Paragra,text,List Paragraph1,Bullets,List Bulet,H"/>
    <w:basedOn w:val="Normal"/>
    <w:link w:val="ListParagraphChar"/>
    <w:uiPriority w:val="34"/>
    <w:qFormat/>
    <w:rsid w:val="007044C3"/>
    <w:pPr>
      <w:numPr>
        <w:numId w:val="27"/>
      </w:numPr>
      <w:spacing w:after="120"/>
      <w:contextualSpacing/>
    </w:pPr>
  </w:style>
  <w:style w:type="paragraph" w:customStyle="1" w:styleId="Cabealho2">
    <w:name w:val="Cabeçalho 2"/>
    <w:basedOn w:val="Header"/>
    <w:qFormat/>
    <w:rsid w:val="007B075B"/>
    <w:rPr>
      <w:lang w:val="pt-PT"/>
    </w:rPr>
  </w:style>
  <w:style w:type="character" w:customStyle="1" w:styleId="Heading2Char">
    <w:name w:val="Heading 2 Char"/>
    <w:aliases w:val="Agt Head 2 Char,Heading 2 Char1 Char1,Section Char,Heading 2 Char Char Char Char,Heading 2 Char1 Char Char,Heading 2 Char1 Char Char Char Char,Heading 2 Char Char Char Char Char Char,Heading 2 Char1 Char Char Char Char Char Char,h2 Char"/>
    <w:basedOn w:val="DefaultParagraphFont"/>
    <w:link w:val="Heading2"/>
    <w:uiPriority w:val="9"/>
    <w:rsid w:val="007831FA"/>
    <w:rPr>
      <w:rFonts w:ascii="Calibri" w:eastAsiaTheme="majorEastAsia" w:hAnsi="Calibri" w:cstheme="majorBidi"/>
      <w:b/>
      <w:sz w:val="26"/>
      <w:szCs w:val="26"/>
      <w:lang w:val="pt-PT" w:eastAsia="ja-JP"/>
    </w:rPr>
  </w:style>
  <w:style w:type="character" w:customStyle="1" w:styleId="hps">
    <w:name w:val="hps"/>
    <w:basedOn w:val="DefaultParagraphFont"/>
    <w:qFormat/>
    <w:rsid w:val="007B2A17"/>
    <w:rPr>
      <w:rFonts w:ascii="Arial" w:hAnsi="Arial"/>
      <w:b w:val="0"/>
      <w:color w:val="auto"/>
    </w:rPr>
  </w:style>
  <w:style w:type="paragraph" w:customStyle="1" w:styleId="Cabealho3">
    <w:name w:val="Cabeçalho 3"/>
    <w:basedOn w:val="Cabealho2"/>
    <w:qFormat/>
    <w:rsid w:val="00013ED6"/>
    <w:pPr>
      <w:spacing w:after="120"/>
    </w:pPr>
    <w:rPr>
      <w:b/>
      <w:sz w:val="24"/>
      <w:lang w:eastAsia="ja-JP"/>
    </w:rPr>
  </w:style>
  <w:style w:type="paragraph" w:customStyle="1" w:styleId="Cabealho4">
    <w:name w:val="Cabeçalho 4"/>
    <w:basedOn w:val="Cabealho3"/>
    <w:qFormat/>
    <w:rsid w:val="00726B52"/>
    <w:pPr>
      <w:numPr>
        <w:ilvl w:val="3"/>
        <w:numId w:val="1"/>
      </w:numPr>
    </w:pPr>
    <w:rPr>
      <w:sz w:val="22"/>
    </w:rPr>
  </w:style>
  <w:style w:type="character" w:customStyle="1" w:styleId="Heading3Char">
    <w:name w:val="Heading 3 Char"/>
    <w:basedOn w:val="DefaultParagraphFont"/>
    <w:link w:val="Heading3"/>
    <w:uiPriority w:val="9"/>
    <w:rsid w:val="00F13DAA"/>
    <w:rPr>
      <w:rFonts w:ascii="Calibri" w:eastAsiaTheme="majorEastAsia" w:hAnsi="Calibri" w:cstheme="majorBidi"/>
      <w:b/>
      <w:i/>
      <w:sz w:val="24"/>
      <w:szCs w:val="24"/>
      <w:lang w:val="pt-PT"/>
    </w:rPr>
  </w:style>
  <w:style w:type="character" w:styleId="Hyperlink">
    <w:name w:val="Hyperlink"/>
    <w:basedOn w:val="DefaultParagraphFont"/>
    <w:uiPriority w:val="99"/>
    <w:unhideWhenUsed/>
    <w:rsid w:val="00146596"/>
    <w:rPr>
      <w:color w:val="0563C1" w:themeColor="hyperlink"/>
      <w:u w:val="single"/>
    </w:rPr>
  </w:style>
  <w:style w:type="character" w:customStyle="1" w:styleId="UnresolvedMention1">
    <w:name w:val="Unresolved Mention1"/>
    <w:basedOn w:val="DefaultParagraphFont"/>
    <w:uiPriority w:val="99"/>
    <w:semiHidden/>
    <w:unhideWhenUsed/>
    <w:rsid w:val="00146596"/>
    <w:rPr>
      <w:color w:val="605E5C"/>
      <w:shd w:val="clear" w:color="auto" w:fill="E1DFDD"/>
    </w:rPr>
  </w:style>
  <w:style w:type="paragraph" w:styleId="TOC1">
    <w:name w:val="toc 1"/>
    <w:basedOn w:val="Normal"/>
    <w:next w:val="Normal"/>
    <w:autoRedefine/>
    <w:uiPriority w:val="39"/>
    <w:unhideWhenUsed/>
    <w:qFormat/>
    <w:rsid w:val="000D7B05"/>
    <w:pPr>
      <w:tabs>
        <w:tab w:val="left" w:pos="440"/>
        <w:tab w:val="right" w:pos="9016"/>
      </w:tabs>
      <w:spacing w:before="0" w:after="0"/>
      <w:contextualSpacing/>
      <w:jc w:val="left"/>
    </w:pPr>
    <w:rPr>
      <w:rFonts w:asciiTheme="majorHAnsi" w:hAnsiTheme="majorHAnsi" w:cstheme="majorHAnsi"/>
      <w:b/>
      <w:bCs/>
      <w:caps/>
      <w:sz w:val="24"/>
      <w:szCs w:val="24"/>
    </w:rPr>
  </w:style>
  <w:style w:type="paragraph" w:styleId="TOC2">
    <w:name w:val="toc 2"/>
    <w:basedOn w:val="Normal"/>
    <w:next w:val="Normal"/>
    <w:autoRedefine/>
    <w:uiPriority w:val="39"/>
    <w:unhideWhenUsed/>
    <w:qFormat/>
    <w:rsid w:val="000D7B05"/>
    <w:pPr>
      <w:tabs>
        <w:tab w:val="left" w:pos="660"/>
        <w:tab w:val="right" w:pos="9016"/>
      </w:tabs>
      <w:spacing w:before="0" w:after="0"/>
      <w:jc w:val="left"/>
    </w:pPr>
    <w:rPr>
      <w:rFonts w:asciiTheme="minorHAnsi" w:hAnsiTheme="minorHAnsi" w:cstheme="minorHAnsi"/>
      <w:b/>
      <w:bCs/>
      <w:sz w:val="20"/>
      <w:szCs w:val="20"/>
    </w:rPr>
  </w:style>
  <w:style w:type="paragraph" w:styleId="TOC3">
    <w:name w:val="toc 3"/>
    <w:basedOn w:val="Normal"/>
    <w:next w:val="Normal"/>
    <w:autoRedefine/>
    <w:uiPriority w:val="39"/>
    <w:unhideWhenUsed/>
    <w:rsid w:val="000D7B05"/>
    <w:pPr>
      <w:tabs>
        <w:tab w:val="left" w:pos="880"/>
        <w:tab w:val="right" w:pos="8009"/>
      </w:tabs>
      <w:spacing w:after="0"/>
      <w:ind w:left="220"/>
      <w:jc w:val="left"/>
    </w:pPr>
    <w:rPr>
      <w:rFonts w:asciiTheme="minorHAnsi" w:hAnsiTheme="minorHAnsi" w:cstheme="minorHAnsi"/>
      <w:sz w:val="20"/>
      <w:szCs w:val="20"/>
    </w:rPr>
  </w:style>
  <w:style w:type="paragraph" w:styleId="TOC4">
    <w:name w:val="toc 4"/>
    <w:basedOn w:val="Normal"/>
    <w:next w:val="Normal"/>
    <w:autoRedefine/>
    <w:uiPriority w:val="39"/>
    <w:unhideWhenUsed/>
    <w:rsid w:val="00EC5C18"/>
    <w:pPr>
      <w:spacing w:after="0"/>
      <w:ind w:left="440"/>
      <w:jc w:val="left"/>
    </w:pPr>
    <w:rPr>
      <w:rFonts w:asciiTheme="minorHAnsi" w:hAnsiTheme="minorHAnsi" w:cstheme="minorHAnsi"/>
      <w:sz w:val="20"/>
      <w:szCs w:val="20"/>
    </w:rPr>
  </w:style>
  <w:style w:type="paragraph" w:styleId="TOC5">
    <w:name w:val="toc 5"/>
    <w:basedOn w:val="Normal"/>
    <w:next w:val="Normal"/>
    <w:autoRedefine/>
    <w:uiPriority w:val="39"/>
    <w:unhideWhenUsed/>
    <w:rsid w:val="00EC5C18"/>
    <w:pPr>
      <w:spacing w:after="0"/>
      <w:ind w:left="66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EC5C18"/>
    <w:pPr>
      <w:spacing w:after="0"/>
      <w:ind w:left="88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EC5C18"/>
    <w:pPr>
      <w:spacing w:after="0"/>
      <w:ind w:left="110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EC5C18"/>
    <w:pPr>
      <w:spacing w:after="0"/>
      <w:ind w:left="132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EC5C18"/>
    <w:pPr>
      <w:spacing w:after="0"/>
      <w:ind w:left="1540"/>
      <w:jc w:val="left"/>
    </w:pPr>
    <w:rPr>
      <w:rFonts w:asciiTheme="minorHAnsi" w:hAnsiTheme="minorHAnsi" w:cstheme="minorHAnsi"/>
      <w:sz w:val="20"/>
      <w:szCs w:val="20"/>
    </w:rPr>
  </w:style>
  <w:style w:type="paragraph" w:styleId="NoSpacing">
    <w:name w:val="No Spacing"/>
    <w:link w:val="NoSpacingChar"/>
    <w:uiPriority w:val="1"/>
    <w:qFormat/>
    <w:rsid w:val="005D1288"/>
    <w:pPr>
      <w:spacing w:after="0"/>
    </w:pPr>
    <w:rPr>
      <w:rFonts w:ascii="Arial" w:hAnsi="Arial"/>
    </w:rPr>
  </w:style>
  <w:style w:type="paragraph" w:styleId="FootnoteText">
    <w:name w:val="footnote text"/>
    <w:aliases w:val="Footnote Text Char Char Char Char,single space,footnote text,fn,FOOTNOTES,Footnote Text Char2,Footnote Text Char1 Char1,Footnote Text Char Char Char1,Footnote Text Char1 Char Char,Footnote Text Char Char1 Char,ft,f,Nbpage Moens,F"/>
    <w:basedOn w:val="Normal"/>
    <w:link w:val="FootnoteTextChar"/>
    <w:uiPriority w:val="99"/>
    <w:unhideWhenUsed/>
    <w:qFormat/>
    <w:rsid w:val="00072723"/>
    <w:pPr>
      <w:spacing w:after="0"/>
    </w:pPr>
    <w:rPr>
      <w:sz w:val="20"/>
      <w:szCs w:val="20"/>
    </w:rPr>
  </w:style>
  <w:style w:type="character" w:customStyle="1" w:styleId="FootnoteTextChar">
    <w:name w:val="Footnote Text Char"/>
    <w:aliases w:val="Footnote Text Char Char Char Char Char,single space Char,footnote text Char,fn Char,FOOTNOTES Char,Footnote Text Char2 Char,Footnote Text Char1 Char1 Char,Footnote Text Char Char Char1 Char,Footnote Text Char1 Char Char Char,ft Char"/>
    <w:basedOn w:val="DefaultParagraphFont"/>
    <w:link w:val="FootnoteText"/>
    <w:uiPriority w:val="99"/>
    <w:qFormat/>
    <w:rsid w:val="00072723"/>
    <w:rPr>
      <w:rFonts w:ascii="Arial" w:hAnsi="Arial"/>
      <w:sz w:val="20"/>
      <w:szCs w:val="20"/>
    </w:rPr>
  </w:style>
  <w:style w:type="character" w:styleId="FootnoteReference">
    <w:name w:val="footnote reference"/>
    <w:aliases w:val="ftref,Ref,de nota al pie,note bp, Car Car Char Car Char Car Car Char Car Char Char, Car Car Car Car Car Car Car Car Char Car Car Char Car Car Car Char Car Char Char Char,16 Point,Superscript 6 Point, BVI fnr,BVI fnr,Footnote,E FNZ,fr"/>
    <w:basedOn w:val="DefaultParagraphFont"/>
    <w:link w:val="Char2"/>
    <w:uiPriority w:val="99"/>
    <w:unhideWhenUsed/>
    <w:qFormat/>
    <w:rsid w:val="00072723"/>
    <w:rPr>
      <w:vertAlign w:val="superscript"/>
    </w:rPr>
  </w:style>
  <w:style w:type="table" w:styleId="TableGrid">
    <w:name w:val="Table Grid"/>
    <w:basedOn w:val="TableNormal"/>
    <w:uiPriority w:val="39"/>
    <w:rsid w:val="00192FAB"/>
    <w:pPr>
      <w:spacing w:after="0"/>
      <w:ind w:firstLine="578"/>
    </w:pPr>
    <w:rPr>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Carácter Carácter,Char Char Char Char,Char Char Char Char Char Char Char,C...,Char Char Char,Char Char Char Char Char Char,Caption1,Caption Char Char Char Char Char Char Char Char Char,Caption1 Char Char,Caption Char,Caption Char1,~Caption,Map"/>
    <w:basedOn w:val="Normal"/>
    <w:next w:val="Normal"/>
    <w:link w:val="CaptionChar2"/>
    <w:uiPriority w:val="35"/>
    <w:unhideWhenUsed/>
    <w:qFormat/>
    <w:rsid w:val="00242645"/>
    <w:pPr>
      <w:spacing w:after="120"/>
      <w:jc w:val="center"/>
    </w:pPr>
    <w:rPr>
      <w:rFonts w:eastAsiaTheme="minorEastAsia"/>
      <w:b/>
      <w:iCs/>
      <w:sz w:val="18"/>
      <w:szCs w:val="18"/>
      <w:lang w:val="pt-PT" w:eastAsia="ja-JP"/>
    </w:rPr>
  </w:style>
  <w:style w:type="character" w:customStyle="1" w:styleId="CaptionChar2">
    <w:name w:val="Caption Char2"/>
    <w:aliases w:val="Carácter Carácter Char,Char Char Char Char Char,Char Char Char Char Char Char Char Char,C... Char,Char Char Char Char1,Char Char Char Char Char Char Char1,Caption1 Char,Caption Char Char Char Char Char Char Char Char Char Char,Map Char1"/>
    <w:basedOn w:val="DefaultParagraphFont"/>
    <w:link w:val="Caption"/>
    <w:uiPriority w:val="35"/>
    <w:locked/>
    <w:rsid w:val="00242645"/>
    <w:rPr>
      <w:rFonts w:ascii="Arial" w:eastAsiaTheme="minorEastAsia" w:hAnsi="Arial"/>
      <w:b/>
      <w:iCs/>
      <w:sz w:val="18"/>
      <w:szCs w:val="18"/>
      <w:lang w:val="pt-PT" w:eastAsia="ja-JP"/>
    </w:rPr>
  </w:style>
  <w:style w:type="table" w:customStyle="1" w:styleId="TableGrid1">
    <w:name w:val="Table Grid1"/>
    <w:basedOn w:val="TableNormal"/>
    <w:next w:val="TableGrid"/>
    <w:uiPriority w:val="59"/>
    <w:rsid w:val="0012041F"/>
    <w:pPr>
      <w:spacing w:before="0" w:after="0"/>
      <w:jc w:val="left"/>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4A0DCF"/>
    <w:pPr>
      <w:spacing w:before="0" w:after="0"/>
      <w:jc w:val="left"/>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6318E7"/>
    <w:pPr>
      <w:spacing w:before="0" w:after="0"/>
      <w:jc w:val="left"/>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link w:val="DefaultCarter"/>
    <w:qFormat/>
    <w:rsid w:val="00756687"/>
    <w:pPr>
      <w:autoSpaceDE w:val="0"/>
      <w:autoSpaceDN w:val="0"/>
      <w:adjustRightInd w:val="0"/>
      <w:spacing w:before="0" w:after="0"/>
      <w:jc w:val="left"/>
    </w:pPr>
    <w:rPr>
      <w:rFonts w:ascii="Times New Roman" w:hAnsi="Times New Roman" w:cs="Times New Roman"/>
      <w:color w:val="000000"/>
      <w:sz w:val="24"/>
      <w:szCs w:val="24"/>
      <w:lang w:val="pt-PT"/>
    </w:rPr>
  </w:style>
  <w:style w:type="character" w:customStyle="1" w:styleId="FigurasChar">
    <w:name w:val="Figuras Char"/>
    <w:uiPriority w:val="35"/>
    <w:locked/>
    <w:rsid w:val="00B7655A"/>
    <w:rPr>
      <w:rFonts w:ascii="Arial" w:hAnsi="Arial"/>
      <w:b/>
      <w:sz w:val="18"/>
      <w:lang w:val="x-none" w:eastAsia="en-US"/>
    </w:rPr>
  </w:style>
  <w:style w:type="paragraph" w:customStyle="1" w:styleId="CBNtext">
    <w:name w:val="CBN text"/>
    <w:basedOn w:val="Normal"/>
    <w:link w:val="CBNtextCarcter"/>
    <w:qFormat/>
    <w:rsid w:val="00B7655A"/>
    <w:pPr>
      <w:spacing w:before="120" w:after="240" w:afterAutospacing="1"/>
      <w:ind w:right="28"/>
    </w:pPr>
    <w:rPr>
      <w:rFonts w:eastAsia="Times New Roman" w:cs="Times New Roman"/>
      <w:sz w:val="24"/>
      <w:szCs w:val="20"/>
    </w:rPr>
  </w:style>
  <w:style w:type="character" w:customStyle="1" w:styleId="CBNtextCarcter">
    <w:name w:val="CBN text Carácter"/>
    <w:link w:val="CBNtext"/>
    <w:rsid w:val="00B7655A"/>
    <w:rPr>
      <w:rFonts w:ascii="Calibri" w:eastAsia="Times New Roman" w:hAnsi="Calibri" w:cs="Times New Roman"/>
      <w:sz w:val="24"/>
      <w:szCs w:val="20"/>
    </w:rPr>
  </w:style>
  <w:style w:type="paragraph" w:customStyle="1" w:styleId="Table">
    <w:name w:val="Table"/>
    <w:basedOn w:val="Normal"/>
    <w:qFormat/>
    <w:rsid w:val="00B7655A"/>
    <w:pPr>
      <w:spacing w:before="0" w:after="240" w:afterAutospacing="1"/>
      <w:jc w:val="center"/>
    </w:pPr>
    <w:rPr>
      <w:rFonts w:ascii="Arial" w:eastAsia="MS Mincho" w:hAnsi="Arial" w:cs="Calibri"/>
      <w:b/>
      <w:bCs/>
      <w:color w:val="000000"/>
      <w:sz w:val="18"/>
      <w:szCs w:val="24"/>
      <w:lang w:val="en-US"/>
    </w:rPr>
  </w:style>
  <w:style w:type="character" w:customStyle="1" w:styleId="ListParagraphChar">
    <w:name w:val="List Paragraph Char"/>
    <w:aliases w:val="List_Paragraph Char,Multilevel para_II Char,Akapit z listą BS Char,Bullet1 Char,Liste 1 Char,Paragraphe  revu Char,List Paragraph (numbered (a)) Char,List Paragraph nowy Char,References Char,Medium Grid 1 - Accent 21 Char,text Char"/>
    <w:link w:val="ListParagraph"/>
    <w:uiPriority w:val="34"/>
    <w:qFormat/>
    <w:locked/>
    <w:rsid w:val="007044C3"/>
    <w:rPr>
      <w:rFonts w:ascii="Calibri" w:hAnsi="Calibri"/>
    </w:rPr>
  </w:style>
  <w:style w:type="table" w:customStyle="1" w:styleId="MediumGrid2-Accent31">
    <w:name w:val="Medium Grid 2 - Accent 31"/>
    <w:basedOn w:val="TableNormal"/>
    <w:next w:val="MediumGrid2-Accent3"/>
    <w:uiPriority w:val="68"/>
    <w:rsid w:val="00B97E0B"/>
    <w:pPr>
      <w:spacing w:before="0" w:after="0"/>
      <w:ind w:left="709"/>
      <w:jc w:val="left"/>
    </w:pPr>
    <w:rPr>
      <w:rFonts w:ascii="Cambria" w:eastAsia="SimSun" w:hAnsi="Cambria" w:cs="Times New Roman"/>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Grid2-Accent3">
    <w:name w:val="Medium Grid 2 Accent 3"/>
    <w:basedOn w:val="TableNormal"/>
    <w:uiPriority w:val="68"/>
    <w:semiHidden/>
    <w:unhideWhenUsed/>
    <w:rsid w:val="00B97E0B"/>
    <w:pPr>
      <w:spacing w:before="0" w:after="0"/>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paragraph" w:styleId="TableofFigures">
    <w:name w:val="table of figures"/>
    <w:basedOn w:val="Normal"/>
    <w:next w:val="Normal"/>
    <w:uiPriority w:val="99"/>
    <w:unhideWhenUsed/>
    <w:rsid w:val="00E0458C"/>
    <w:pPr>
      <w:spacing w:after="0"/>
    </w:pPr>
  </w:style>
  <w:style w:type="table" w:customStyle="1" w:styleId="TableGrid4">
    <w:name w:val="Table Grid4"/>
    <w:basedOn w:val="TableNormal"/>
    <w:next w:val="TableGrid"/>
    <w:rsid w:val="00165D23"/>
    <w:pPr>
      <w:spacing w:before="0" w:after="0"/>
      <w:jc w:val="left"/>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
    <w:name w:val="~BodyText"/>
    <w:basedOn w:val="Normal"/>
    <w:link w:val="BodyTextChar"/>
    <w:rsid w:val="0065557F"/>
    <w:pPr>
      <w:spacing w:before="260" w:after="0" w:line="260" w:lineRule="exact"/>
    </w:pPr>
    <w:rPr>
      <w:rFonts w:ascii="Arial" w:eastAsia="Times New Roman" w:hAnsi="Arial" w:cs="Times New Roman"/>
      <w:sz w:val="24"/>
      <w:szCs w:val="20"/>
      <w:lang w:eastAsia="en-GB"/>
    </w:rPr>
  </w:style>
  <w:style w:type="character" w:customStyle="1" w:styleId="BodyTextChar">
    <w:name w:val="~BodyText Char"/>
    <w:link w:val="BodyText"/>
    <w:locked/>
    <w:rsid w:val="0065557F"/>
    <w:rPr>
      <w:rFonts w:ascii="Arial" w:eastAsia="Times New Roman" w:hAnsi="Arial" w:cs="Times New Roman"/>
      <w:sz w:val="24"/>
      <w:szCs w:val="20"/>
      <w:lang w:eastAsia="en-GB"/>
    </w:rPr>
  </w:style>
  <w:style w:type="character" w:customStyle="1" w:styleId="Bullet1Char">
    <w:name w:val="~Bullet1 Char"/>
    <w:link w:val="Bullet1"/>
    <w:locked/>
    <w:rsid w:val="0065557F"/>
    <w:rPr>
      <w:rFonts w:ascii="Arial" w:hAnsi="Arial"/>
      <w:lang w:eastAsia="en-GB"/>
    </w:rPr>
  </w:style>
  <w:style w:type="paragraph" w:customStyle="1" w:styleId="Bullet1">
    <w:name w:val="~Bullet1"/>
    <w:basedOn w:val="BodyText"/>
    <w:link w:val="Bullet1Char"/>
    <w:rsid w:val="0065557F"/>
    <w:pPr>
      <w:numPr>
        <w:numId w:val="2"/>
      </w:numPr>
      <w:spacing w:before="0"/>
    </w:pPr>
    <w:rPr>
      <w:rFonts w:eastAsiaTheme="minorHAnsi" w:cstheme="minorBidi"/>
      <w:sz w:val="22"/>
      <w:szCs w:val="22"/>
    </w:rPr>
  </w:style>
  <w:style w:type="paragraph" w:customStyle="1" w:styleId="Bullet2">
    <w:name w:val="~Bullet2"/>
    <w:basedOn w:val="Bullet1"/>
    <w:uiPriority w:val="99"/>
    <w:rsid w:val="0065557F"/>
    <w:pPr>
      <w:numPr>
        <w:ilvl w:val="1"/>
      </w:numPr>
      <w:tabs>
        <w:tab w:val="clear" w:pos="1135"/>
        <w:tab w:val="num" w:pos="2727"/>
      </w:tabs>
      <w:ind w:left="1658" w:hanging="360"/>
    </w:pPr>
  </w:style>
  <w:style w:type="paragraph" w:customStyle="1" w:styleId="Bullet3">
    <w:name w:val="~Bullet3"/>
    <w:basedOn w:val="Bullet2"/>
    <w:uiPriority w:val="99"/>
    <w:rsid w:val="0065557F"/>
    <w:pPr>
      <w:numPr>
        <w:ilvl w:val="2"/>
      </w:numPr>
      <w:tabs>
        <w:tab w:val="clear" w:pos="1419"/>
        <w:tab w:val="num" w:pos="3011"/>
      </w:tabs>
      <w:ind w:left="2378" w:hanging="180"/>
    </w:pPr>
  </w:style>
  <w:style w:type="character" w:customStyle="1" w:styleId="Heading4Char">
    <w:name w:val="Heading 4 Char"/>
    <w:basedOn w:val="DefaultParagraphFont"/>
    <w:link w:val="Heading4"/>
    <w:uiPriority w:val="9"/>
    <w:rsid w:val="00C620C3"/>
    <w:rPr>
      <w:rFonts w:ascii="Arial" w:eastAsia="Times New Roman" w:hAnsi="Arial" w:cs="Times New Roman"/>
      <w:b/>
      <w:i/>
      <w:szCs w:val="20"/>
      <w:lang w:val="pt-BR" w:eastAsia="pt-BR"/>
    </w:rPr>
  </w:style>
  <w:style w:type="character" w:customStyle="1" w:styleId="Heading5Char">
    <w:name w:val="Heading 5 Char"/>
    <w:basedOn w:val="DefaultParagraphFont"/>
    <w:link w:val="Heading5"/>
    <w:uiPriority w:val="9"/>
    <w:rsid w:val="00C620C3"/>
    <w:rPr>
      <w:rFonts w:ascii="Arial" w:eastAsia="Times New Roman" w:hAnsi="Arial" w:cs="Times New Roman"/>
      <w:i/>
      <w:szCs w:val="20"/>
      <w:u w:val="single"/>
      <w:lang w:val="pt-BR" w:eastAsia="pt-BR"/>
    </w:rPr>
  </w:style>
  <w:style w:type="character" w:customStyle="1" w:styleId="Heading6Char">
    <w:name w:val="Heading 6 Char"/>
    <w:basedOn w:val="DefaultParagraphFont"/>
    <w:link w:val="Heading6"/>
    <w:uiPriority w:val="9"/>
    <w:rsid w:val="00C620C3"/>
    <w:rPr>
      <w:rFonts w:ascii="Arial" w:eastAsia="Times New Roman" w:hAnsi="Arial" w:cs="Times New Roman"/>
      <w:b/>
      <w:szCs w:val="20"/>
      <w:lang w:val="pt-BR" w:eastAsia="pt-BR"/>
    </w:rPr>
  </w:style>
  <w:style w:type="character" w:customStyle="1" w:styleId="Heading7Char">
    <w:name w:val="Heading 7 Char"/>
    <w:basedOn w:val="DefaultParagraphFont"/>
    <w:link w:val="Heading7"/>
    <w:uiPriority w:val="9"/>
    <w:rsid w:val="00C620C3"/>
    <w:rPr>
      <w:rFonts w:ascii="Arial" w:eastAsia="Times New Roman" w:hAnsi="Arial" w:cs="Times New Roman"/>
      <w:b/>
      <w:szCs w:val="20"/>
      <w:lang w:val="pt-BR" w:eastAsia="pt-BR"/>
    </w:rPr>
  </w:style>
  <w:style w:type="character" w:customStyle="1" w:styleId="Heading8Char">
    <w:name w:val="Heading 8 Char"/>
    <w:basedOn w:val="DefaultParagraphFont"/>
    <w:link w:val="Heading8"/>
    <w:uiPriority w:val="9"/>
    <w:rsid w:val="00C620C3"/>
    <w:rPr>
      <w:rFonts w:ascii="Arial" w:eastAsia="Times New Roman" w:hAnsi="Arial" w:cs="Times New Roman"/>
      <w:b/>
      <w:szCs w:val="20"/>
      <w:u w:val="single"/>
      <w:lang w:val="pt-BR" w:eastAsia="pt-BR"/>
    </w:rPr>
  </w:style>
  <w:style w:type="character" w:customStyle="1" w:styleId="Heading9Char">
    <w:name w:val="Heading 9 Char"/>
    <w:basedOn w:val="DefaultParagraphFont"/>
    <w:link w:val="Heading9"/>
    <w:uiPriority w:val="9"/>
    <w:rsid w:val="00C620C3"/>
    <w:rPr>
      <w:rFonts w:ascii="Arial" w:eastAsia="Times New Roman" w:hAnsi="Arial" w:cs="Times New Roman"/>
      <w:szCs w:val="20"/>
      <w:u w:val="single"/>
      <w:lang w:val="pt-BR" w:eastAsia="pt-BR"/>
    </w:rPr>
  </w:style>
  <w:style w:type="paragraph" w:customStyle="1" w:styleId="PRX5">
    <w:name w:val="PRX5"/>
    <w:basedOn w:val="Normal"/>
    <w:rsid w:val="00C620C3"/>
    <w:pPr>
      <w:numPr>
        <w:numId w:val="3"/>
      </w:numPr>
      <w:spacing w:after="240"/>
    </w:pPr>
    <w:rPr>
      <w:rFonts w:ascii="Arial" w:eastAsia="Times New Roman" w:hAnsi="Arial" w:cs="Times New Roman"/>
      <w:b/>
      <w:szCs w:val="20"/>
      <w:lang w:val="pt-BR" w:eastAsia="pt-BR"/>
    </w:rPr>
  </w:style>
  <w:style w:type="paragraph" w:customStyle="1" w:styleId="Chapter">
    <w:name w:val="Chapter"/>
    <w:basedOn w:val="Normal"/>
    <w:next w:val="Normal"/>
    <w:rsid w:val="00C620C3"/>
    <w:pPr>
      <w:numPr>
        <w:numId w:val="4"/>
      </w:numPr>
      <w:tabs>
        <w:tab w:val="left" w:pos="1440"/>
      </w:tabs>
      <w:spacing w:after="240"/>
      <w:jc w:val="center"/>
    </w:pPr>
    <w:rPr>
      <w:rFonts w:ascii="Arial" w:eastAsia="Times New Roman" w:hAnsi="Arial" w:cs="Times New Roman"/>
      <w:b/>
      <w:smallCaps/>
      <w:szCs w:val="20"/>
      <w:lang w:val="es-ES_tradnl"/>
    </w:rPr>
  </w:style>
  <w:style w:type="paragraph" w:customStyle="1" w:styleId="Paragraph">
    <w:name w:val="Paragraph"/>
    <w:basedOn w:val="BodyTextIndent"/>
    <w:rsid w:val="00C620C3"/>
    <w:pPr>
      <w:numPr>
        <w:ilvl w:val="1"/>
        <w:numId w:val="4"/>
      </w:numPr>
      <w:spacing w:before="120"/>
      <w:outlineLvl w:val="1"/>
    </w:pPr>
    <w:rPr>
      <w:rFonts w:ascii="Times New Roman" w:hAnsi="Times New Roman"/>
      <w:lang w:val="es-ES_tradnl" w:eastAsia="en-US"/>
    </w:rPr>
  </w:style>
  <w:style w:type="paragraph" w:styleId="BodyTextIndent">
    <w:name w:val="Body Text Indent"/>
    <w:basedOn w:val="Normal"/>
    <w:link w:val="BodyTextIndentChar"/>
    <w:rsid w:val="00C620C3"/>
    <w:pPr>
      <w:spacing w:before="0" w:after="120"/>
      <w:ind w:left="705"/>
    </w:pPr>
    <w:rPr>
      <w:rFonts w:ascii="Arial" w:eastAsia="Times New Roman" w:hAnsi="Arial" w:cs="Times New Roman"/>
      <w:szCs w:val="20"/>
      <w:lang w:val="pt-BR" w:eastAsia="pt-BR"/>
    </w:rPr>
  </w:style>
  <w:style w:type="character" w:customStyle="1" w:styleId="BodyTextIndentChar">
    <w:name w:val="Body Text Indent Char"/>
    <w:basedOn w:val="DefaultParagraphFont"/>
    <w:link w:val="BodyTextIndent"/>
    <w:rsid w:val="00C620C3"/>
    <w:rPr>
      <w:rFonts w:ascii="Arial" w:eastAsia="Times New Roman" w:hAnsi="Arial" w:cs="Times New Roman"/>
      <w:szCs w:val="20"/>
      <w:lang w:val="pt-BR" w:eastAsia="pt-BR"/>
    </w:rPr>
  </w:style>
  <w:style w:type="paragraph" w:customStyle="1" w:styleId="subpar">
    <w:name w:val="subpar"/>
    <w:basedOn w:val="BodyTextIndent3"/>
    <w:rsid w:val="00C620C3"/>
    <w:pPr>
      <w:numPr>
        <w:ilvl w:val="2"/>
        <w:numId w:val="4"/>
      </w:numPr>
      <w:spacing w:before="120" w:line="240" w:lineRule="auto"/>
      <w:outlineLvl w:val="2"/>
    </w:pPr>
    <w:rPr>
      <w:rFonts w:ascii="Times New Roman" w:hAnsi="Times New Roman"/>
      <w:lang w:val="es-ES_tradnl" w:eastAsia="en-US"/>
    </w:rPr>
  </w:style>
  <w:style w:type="paragraph" w:styleId="BodyTextIndent3">
    <w:name w:val="Body Text Indent 3"/>
    <w:basedOn w:val="Normal"/>
    <w:link w:val="BodyTextIndent3Char"/>
    <w:rsid w:val="00C620C3"/>
    <w:pPr>
      <w:spacing w:before="0" w:after="120" w:line="360" w:lineRule="auto"/>
      <w:ind w:left="708"/>
    </w:pPr>
    <w:rPr>
      <w:rFonts w:ascii="Arial" w:eastAsia="Times New Roman" w:hAnsi="Arial" w:cs="Times New Roman"/>
      <w:szCs w:val="20"/>
      <w:lang w:val="pt-BR" w:eastAsia="pt-BR"/>
    </w:rPr>
  </w:style>
  <w:style w:type="character" w:customStyle="1" w:styleId="BodyTextIndent3Char">
    <w:name w:val="Body Text Indent 3 Char"/>
    <w:basedOn w:val="DefaultParagraphFont"/>
    <w:link w:val="BodyTextIndent3"/>
    <w:rsid w:val="00C620C3"/>
    <w:rPr>
      <w:rFonts w:ascii="Arial" w:eastAsia="Times New Roman" w:hAnsi="Arial" w:cs="Times New Roman"/>
      <w:szCs w:val="20"/>
      <w:lang w:val="pt-BR" w:eastAsia="pt-BR"/>
    </w:rPr>
  </w:style>
  <w:style w:type="paragraph" w:customStyle="1" w:styleId="SubSubPar">
    <w:name w:val="SubSubPar"/>
    <w:basedOn w:val="subpar"/>
    <w:rsid w:val="00C620C3"/>
    <w:pPr>
      <w:numPr>
        <w:ilvl w:val="3"/>
      </w:numPr>
      <w:tabs>
        <w:tab w:val="clear" w:pos="1584"/>
        <w:tab w:val="left" w:pos="0"/>
        <w:tab w:val="num" w:pos="360"/>
      </w:tabs>
      <w:ind w:left="360" w:hanging="360"/>
    </w:pPr>
  </w:style>
  <w:style w:type="paragraph" w:styleId="Title">
    <w:name w:val="Title"/>
    <w:basedOn w:val="Normal"/>
    <w:link w:val="TitleChar"/>
    <w:autoRedefine/>
    <w:uiPriority w:val="10"/>
    <w:qFormat/>
    <w:rsid w:val="000D7B05"/>
    <w:pPr>
      <w:spacing w:before="0" w:after="120"/>
      <w:jc w:val="center"/>
    </w:pPr>
    <w:rPr>
      <w:rFonts w:ascii="Arial" w:eastAsia="Times New Roman" w:hAnsi="Arial" w:cs="Times New Roman"/>
      <w:b/>
      <w:i/>
      <w:iCs/>
      <w:caps/>
      <w:lang w:val="pt-PT" w:eastAsia="pt-BR"/>
    </w:rPr>
  </w:style>
  <w:style w:type="character" w:customStyle="1" w:styleId="TitleChar">
    <w:name w:val="Title Char"/>
    <w:basedOn w:val="DefaultParagraphFont"/>
    <w:link w:val="Title"/>
    <w:uiPriority w:val="10"/>
    <w:rsid w:val="000D7B05"/>
    <w:rPr>
      <w:rFonts w:ascii="Arial" w:eastAsia="Times New Roman" w:hAnsi="Arial" w:cs="Times New Roman"/>
      <w:b/>
      <w:i/>
      <w:iCs/>
      <w:caps/>
      <w:lang w:val="pt-PT" w:eastAsia="pt-BR"/>
    </w:rPr>
  </w:style>
  <w:style w:type="paragraph" w:styleId="BodyText0">
    <w:name w:val="Body Text"/>
    <w:basedOn w:val="Normal"/>
    <w:link w:val="BodyTextChar0"/>
    <w:rsid w:val="00C620C3"/>
    <w:pPr>
      <w:spacing w:before="0" w:after="120"/>
      <w:jc w:val="left"/>
    </w:pPr>
    <w:rPr>
      <w:rFonts w:ascii="Arial" w:eastAsia="Times New Roman" w:hAnsi="Arial" w:cs="Times New Roman"/>
      <w:szCs w:val="20"/>
      <w:lang w:val="pt-BR" w:eastAsia="pt-BR"/>
    </w:rPr>
  </w:style>
  <w:style w:type="character" w:customStyle="1" w:styleId="BodyTextChar0">
    <w:name w:val="Body Text Char"/>
    <w:basedOn w:val="DefaultParagraphFont"/>
    <w:link w:val="BodyText0"/>
    <w:rsid w:val="00C620C3"/>
    <w:rPr>
      <w:rFonts w:ascii="Arial" w:eastAsia="Times New Roman" w:hAnsi="Arial" w:cs="Times New Roman"/>
      <w:szCs w:val="20"/>
      <w:lang w:val="pt-BR" w:eastAsia="pt-BR"/>
    </w:rPr>
  </w:style>
  <w:style w:type="paragraph" w:styleId="BodyText3">
    <w:name w:val="Body Text 3"/>
    <w:basedOn w:val="Normal"/>
    <w:link w:val="BodyText3Char"/>
    <w:rsid w:val="00C620C3"/>
    <w:pPr>
      <w:spacing w:before="0" w:after="120"/>
    </w:pPr>
    <w:rPr>
      <w:rFonts w:ascii="Arial" w:eastAsia="Times New Roman" w:hAnsi="Arial" w:cs="Times New Roman"/>
      <w:szCs w:val="20"/>
      <w:lang w:val="pt-BR" w:eastAsia="pt-BR"/>
    </w:rPr>
  </w:style>
  <w:style w:type="character" w:customStyle="1" w:styleId="BodyText3Char">
    <w:name w:val="Body Text 3 Char"/>
    <w:basedOn w:val="DefaultParagraphFont"/>
    <w:link w:val="BodyText3"/>
    <w:rsid w:val="00C620C3"/>
    <w:rPr>
      <w:rFonts w:ascii="Arial" w:eastAsia="Times New Roman" w:hAnsi="Arial" w:cs="Times New Roman"/>
      <w:szCs w:val="20"/>
      <w:lang w:val="pt-BR" w:eastAsia="pt-BR"/>
    </w:rPr>
  </w:style>
  <w:style w:type="paragraph" w:customStyle="1" w:styleId="PRXNorm">
    <w:name w:val="PRXNorm"/>
    <w:basedOn w:val="Normal"/>
    <w:rsid w:val="00C620C3"/>
    <w:pPr>
      <w:spacing w:before="0" w:after="120"/>
    </w:pPr>
    <w:rPr>
      <w:rFonts w:ascii="Arial" w:eastAsia="Times New Roman" w:hAnsi="Arial" w:cs="Times New Roman"/>
      <w:szCs w:val="20"/>
      <w:lang w:val="pt-BR" w:eastAsia="pt-BR"/>
    </w:rPr>
  </w:style>
  <w:style w:type="paragraph" w:customStyle="1" w:styleId="Normal1">
    <w:name w:val="Normal1"/>
    <w:autoRedefine/>
    <w:rsid w:val="00C620C3"/>
    <w:pPr>
      <w:spacing w:before="0" w:after="0"/>
      <w:jc w:val="center"/>
    </w:pPr>
    <w:rPr>
      <w:rFonts w:ascii="Tahoma" w:eastAsia="Times New Roman" w:hAnsi="Tahoma" w:cs="Times New Roman"/>
      <w:b/>
      <w:sz w:val="18"/>
      <w:szCs w:val="20"/>
      <w:lang w:val="pt-BR" w:eastAsia="pt-BR"/>
    </w:rPr>
  </w:style>
  <w:style w:type="paragraph" w:customStyle="1" w:styleId="Quadro">
    <w:name w:val="Quadro"/>
    <w:basedOn w:val="Normal"/>
    <w:rsid w:val="00C620C3"/>
    <w:pPr>
      <w:numPr>
        <w:ilvl w:val="12"/>
      </w:numPr>
      <w:spacing w:before="180" w:after="120" w:line="320" w:lineRule="atLeast"/>
      <w:ind w:left="1701" w:hanging="1701"/>
    </w:pPr>
    <w:rPr>
      <w:rFonts w:ascii="Arial" w:eastAsia="Times New Roman" w:hAnsi="Arial" w:cs="Times New Roman"/>
      <w:b/>
      <w:szCs w:val="20"/>
      <w:lang w:val="pt-BR" w:eastAsia="pt-BR"/>
    </w:rPr>
  </w:style>
  <w:style w:type="paragraph" w:styleId="DocumentMap">
    <w:name w:val="Document Map"/>
    <w:basedOn w:val="Normal"/>
    <w:link w:val="DocumentMapChar"/>
    <w:semiHidden/>
    <w:rsid w:val="00C620C3"/>
    <w:pPr>
      <w:shd w:val="clear" w:color="auto" w:fill="000080"/>
      <w:spacing w:before="0" w:after="120"/>
      <w:jc w:val="left"/>
    </w:pPr>
    <w:rPr>
      <w:rFonts w:ascii="Tahoma" w:eastAsia="Times New Roman" w:hAnsi="Tahoma" w:cs="Tahoma"/>
      <w:szCs w:val="24"/>
      <w:lang w:val="pt-BR" w:eastAsia="pt-BR"/>
    </w:rPr>
  </w:style>
  <w:style w:type="character" w:customStyle="1" w:styleId="DocumentMapChar">
    <w:name w:val="Document Map Char"/>
    <w:basedOn w:val="DefaultParagraphFont"/>
    <w:link w:val="DocumentMap"/>
    <w:semiHidden/>
    <w:rsid w:val="00C620C3"/>
    <w:rPr>
      <w:rFonts w:ascii="Tahoma" w:eastAsia="Times New Roman" w:hAnsi="Tahoma" w:cs="Tahoma"/>
      <w:szCs w:val="24"/>
      <w:shd w:val="clear" w:color="auto" w:fill="000080"/>
      <w:lang w:val="pt-BR" w:eastAsia="pt-BR"/>
    </w:rPr>
  </w:style>
  <w:style w:type="paragraph" w:customStyle="1" w:styleId="xl39">
    <w:name w:val="xl39"/>
    <w:basedOn w:val="Normal"/>
    <w:rsid w:val="00C620C3"/>
    <w:pPr>
      <w:spacing w:before="100" w:beforeAutospacing="1" w:after="100" w:afterAutospacing="1"/>
      <w:jc w:val="center"/>
    </w:pPr>
    <w:rPr>
      <w:rFonts w:ascii="Arial" w:eastAsia="Arial Unicode MS" w:hAnsi="Arial" w:cs="Arial"/>
      <w:b/>
      <w:bCs/>
      <w:szCs w:val="24"/>
      <w:lang w:val="pt-BR" w:eastAsia="pt-BR"/>
    </w:rPr>
  </w:style>
  <w:style w:type="character" w:styleId="PageNumber">
    <w:name w:val="page number"/>
    <w:basedOn w:val="DefaultParagraphFont"/>
    <w:rsid w:val="00C620C3"/>
  </w:style>
  <w:style w:type="paragraph" w:styleId="BodyText2">
    <w:name w:val="Body Text 2"/>
    <w:basedOn w:val="Normal"/>
    <w:link w:val="BodyText2Char"/>
    <w:rsid w:val="00C620C3"/>
    <w:pPr>
      <w:tabs>
        <w:tab w:val="num" w:pos="500"/>
      </w:tabs>
      <w:spacing w:before="0" w:after="120"/>
    </w:pPr>
    <w:rPr>
      <w:rFonts w:ascii="Arial" w:eastAsia="Times New Roman" w:hAnsi="Arial" w:cs="Arial"/>
      <w:szCs w:val="24"/>
      <w:lang w:val="pt-BR" w:eastAsia="pt-BR"/>
    </w:rPr>
  </w:style>
  <w:style w:type="character" w:customStyle="1" w:styleId="BodyText2Char">
    <w:name w:val="Body Text 2 Char"/>
    <w:basedOn w:val="DefaultParagraphFont"/>
    <w:link w:val="BodyText2"/>
    <w:rsid w:val="00C620C3"/>
    <w:rPr>
      <w:rFonts w:ascii="Arial" w:eastAsia="Times New Roman" w:hAnsi="Arial" w:cs="Arial"/>
      <w:szCs w:val="24"/>
      <w:lang w:val="pt-BR" w:eastAsia="pt-BR"/>
    </w:rPr>
  </w:style>
  <w:style w:type="paragraph" w:customStyle="1" w:styleId="PRX6">
    <w:name w:val="PRX6"/>
    <w:rsid w:val="00C620C3"/>
    <w:pPr>
      <w:numPr>
        <w:numId w:val="5"/>
      </w:numPr>
      <w:spacing w:before="120" w:after="120"/>
      <w:jc w:val="left"/>
    </w:pPr>
    <w:rPr>
      <w:rFonts w:ascii="Arial" w:eastAsia="Times New Roman" w:hAnsi="Arial" w:cs="Times New Roman"/>
      <w:szCs w:val="20"/>
      <w:lang w:val="pt-BR" w:eastAsia="pt-BR"/>
    </w:rPr>
  </w:style>
  <w:style w:type="paragraph" w:styleId="BodyTextIndent2">
    <w:name w:val="Body Text Indent 2"/>
    <w:basedOn w:val="Normal"/>
    <w:link w:val="BodyTextIndent2Char"/>
    <w:rsid w:val="00C620C3"/>
    <w:pPr>
      <w:spacing w:before="0" w:after="120" w:line="360" w:lineRule="auto"/>
      <w:ind w:left="720"/>
    </w:pPr>
    <w:rPr>
      <w:rFonts w:ascii="Arial" w:eastAsia="Times New Roman" w:hAnsi="Arial" w:cs="Arial"/>
      <w:szCs w:val="24"/>
      <w:lang w:val="pt-BR" w:eastAsia="pt-BR"/>
    </w:rPr>
  </w:style>
  <w:style w:type="character" w:customStyle="1" w:styleId="BodyTextIndent2Char">
    <w:name w:val="Body Text Indent 2 Char"/>
    <w:basedOn w:val="DefaultParagraphFont"/>
    <w:link w:val="BodyTextIndent2"/>
    <w:rsid w:val="00C620C3"/>
    <w:rPr>
      <w:rFonts w:ascii="Arial" w:eastAsia="Times New Roman" w:hAnsi="Arial" w:cs="Arial"/>
      <w:szCs w:val="24"/>
      <w:lang w:val="pt-BR" w:eastAsia="pt-BR"/>
    </w:rPr>
  </w:style>
  <w:style w:type="paragraph" w:customStyle="1" w:styleId="commarcadores">
    <w:name w:val="com marcadores"/>
    <w:basedOn w:val="Normal"/>
    <w:rsid w:val="00C620C3"/>
    <w:pPr>
      <w:numPr>
        <w:numId w:val="6"/>
      </w:numPr>
      <w:spacing w:before="0" w:after="120"/>
    </w:pPr>
    <w:rPr>
      <w:rFonts w:ascii="Arial" w:eastAsia="Times New Roman" w:hAnsi="Arial" w:cs="Times New Roman"/>
      <w:szCs w:val="20"/>
      <w:lang w:val="pt-BR" w:eastAsia="pt-BR"/>
    </w:rPr>
  </w:style>
  <w:style w:type="paragraph" w:customStyle="1" w:styleId="MANANCIAIS-2">
    <w:name w:val="MANANCIAIS-2"/>
    <w:basedOn w:val="Normal"/>
    <w:rsid w:val="00C620C3"/>
    <w:pPr>
      <w:spacing w:before="0" w:after="240" w:line="280" w:lineRule="atLeast"/>
    </w:pPr>
    <w:rPr>
      <w:rFonts w:ascii="Arial" w:eastAsia="Times New Roman" w:hAnsi="Arial" w:cs="Arial"/>
      <w:b/>
      <w:lang w:val="pt-BR" w:eastAsia="pt-BR"/>
    </w:rPr>
  </w:style>
  <w:style w:type="paragraph" w:customStyle="1" w:styleId="Marcas">
    <w:name w:val="Marcas"/>
    <w:basedOn w:val="ListParagraph"/>
    <w:qFormat/>
    <w:rsid w:val="00C620C3"/>
    <w:pPr>
      <w:numPr>
        <w:numId w:val="7"/>
      </w:numPr>
      <w:spacing w:before="120" w:line="320" w:lineRule="atLeast"/>
    </w:pPr>
    <w:rPr>
      <w:rFonts w:ascii="Arial" w:eastAsia="Times New Roman" w:hAnsi="Arial" w:cs="Arial"/>
      <w:sz w:val="20"/>
      <w:lang w:val="pt-PT"/>
    </w:rPr>
  </w:style>
  <w:style w:type="paragraph" w:styleId="Subtitle">
    <w:name w:val="Subtitle"/>
    <w:basedOn w:val="Normal"/>
    <w:next w:val="Normal"/>
    <w:link w:val="SubtitleChar"/>
    <w:uiPriority w:val="11"/>
    <w:qFormat/>
    <w:rsid w:val="00C620C3"/>
    <w:pPr>
      <w:numPr>
        <w:ilvl w:val="1"/>
      </w:numPr>
      <w:spacing w:before="0" w:after="200" w:line="276" w:lineRule="auto"/>
      <w:jc w:val="left"/>
    </w:pPr>
    <w:rPr>
      <w:rFonts w:ascii="Cambria" w:eastAsia="Times New Roman" w:hAnsi="Cambria" w:cs="Times New Roman"/>
      <w:i/>
      <w:iCs/>
      <w:color w:val="4F81BD"/>
      <w:spacing w:val="15"/>
      <w:sz w:val="24"/>
      <w:szCs w:val="24"/>
      <w:lang w:val="en-ZA"/>
    </w:rPr>
  </w:style>
  <w:style w:type="character" w:customStyle="1" w:styleId="SubtitleChar">
    <w:name w:val="Subtitle Char"/>
    <w:basedOn w:val="DefaultParagraphFont"/>
    <w:link w:val="Subtitle"/>
    <w:uiPriority w:val="11"/>
    <w:rsid w:val="00C620C3"/>
    <w:rPr>
      <w:rFonts w:ascii="Cambria" w:eastAsia="Times New Roman" w:hAnsi="Cambria" w:cs="Times New Roman"/>
      <w:i/>
      <w:iCs/>
      <w:color w:val="4F81BD"/>
      <w:spacing w:val="15"/>
      <w:sz w:val="24"/>
      <w:szCs w:val="24"/>
      <w:lang w:val="en-ZA"/>
    </w:rPr>
  </w:style>
  <w:style w:type="paragraph" w:styleId="Revision">
    <w:name w:val="Revision"/>
    <w:hidden/>
    <w:uiPriority w:val="99"/>
    <w:semiHidden/>
    <w:rsid w:val="00C620C3"/>
    <w:pPr>
      <w:spacing w:before="0" w:after="0"/>
      <w:jc w:val="left"/>
    </w:pPr>
    <w:rPr>
      <w:rFonts w:ascii="Arial" w:eastAsia="Times New Roman" w:hAnsi="Arial" w:cs="Times New Roman"/>
      <w:szCs w:val="24"/>
      <w:lang w:val="pt-BR" w:eastAsia="pt-BR"/>
    </w:rPr>
  </w:style>
  <w:style w:type="paragraph" w:customStyle="1" w:styleId="Char2">
    <w:name w:val="Char2"/>
    <w:basedOn w:val="Normal"/>
    <w:link w:val="FootnoteReference"/>
    <w:uiPriority w:val="99"/>
    <w:rsid w:val="00F21B38"/>
    <w:pPr>
      <w:spacing w:before="0" w:line="240" w:lineRule="exact"/>
      <w:jc w:val="left"/>
    </w:pPr>
    <w:rPr>
      <w:rFonts w:asciiTheme="minorHAnsi" w:hAnsiTheme="minorHAnsi"/>
      <w:vertAlign w:val="superscript"/>
    </w:rPr>
  </w:style>
  <w:style w:type="character" w:styleId="SubtleEmphasis">
    <w:name w:val="Subtle Emphasis"/>
    <w:uiPriority w:val="19"/>
    <w:qFormat/>
    <w:rsid w:val="005A4441"/>
    <w:rPr>
      <w:i/>
      <w:iCs/>
      <w:color w:val="404040"/>
    </w:rPr>
  </w:style>
  <w:style w:type="character" w:customStyle="1" w:styleId="UnresolvedMention2">
    <w:name w:val="Unresolved Mention2"/>
    <w:basedOn w:val="DefaultParagraphFont"/>
    <w:uiPriority w:val="99"/>
    <w:semiHidden/>
    <w:unhideWhenUsed/>
    <w:rsid w:val="00930750"/>
    <w:rPr>
      <w:color w:val="605E5C"/>
      <w:shd w:val="clear" w:color="auto" w:fill="E1DFDD"/>
    </w:rPr>
  </w:style>
  <w:style w:type="table" w:customStyle="1" w:styleId="TableGrid5">
    <w:name w:val="Table Grid5"/>
    <w:basedOn w:val="TableNormal"/>
    <w:next w:val="TableGrid"/>
    <w:uiPriority w:val="39"/>
    <w:rsid w:val="004734A1"/>
    <w:pPr>
      <w:spacing w:after="0"/>
      <w:ind w:firstLine="578"/>
    </w:pPr>
    <w:rPr>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8">
    <w:name w:val="Pa18"/>
    <w:basedOn w:val="Default"/>
    <w:next w:val="Default"/>
    <w:uiPriority w:val="99"/>
    <w:rsid w:val="005278EE"/>
    <w:pPr>
      <w:spacing w:line="201" w:lineRule="atLeast"/>
    </w:pPr>
    <w:rPr>
      <w:rFonts w:ascii="Times" w:hAnsi="Times" w:cs="Times"/>
      <w:color w:val="auto"/>
      <w:lang w:val="en-US"/>
    </w:rPr>
  </w:style>
  <w:style w:type="paragraph" w:customStyle="1" w:styleId="Pa16">
    <w:name w:val="Pa16"/>
    <w:basedOn w:val="Default"/>
    <w:next w:val="Default"/>
    <w:uiPriority w:val="99"/>
    <w:rsid w:val="005278EE"/>
    <w:pPr>
      <w:spacing w:line="201" w:lineRule="atLeast"/>
    </w:pPr>
    <w:rPr>
      <w:rFonts w:ascii="Times" w:hAnsi="Times" w:cs="Times"/>
      <w:color w:val="auto"/>
      <w:lang w:val="en-US"/>
    </w:rPr>
  </w:style>
  <w:style w:type="paragraph" w:customStyle="1" w:styleId="Pa27">
    <w:name w:val="Pa27"/>
    <w:basedOn w:val="Default"/>
    <w:next w:val="Default"/>
    <w:uiPriority w:val="99"/>
    <w:rsid w:val="005278EE"/>
    <w:pPr>
      <w:spacing w:line="201" w:lineRule="atLeast"/>
    </w:pPr>
    <w:rPr>
      <w:rFonts w:ascii="Times" w:hAnsi="Times" w:cs="Times"/>
      <w:color w:val="auto"/>
      <w:lang w:val="en-US"/>
    </w:rPr>
  </w:style>
  <w:style w:type="paragraph" w:customStyle="1" w:styleId="Pa28">
    <w:name w:val="Pa28"/>
    <w:basedOn w:val="Default"/>
    <w:next w:val="Default"/>
    <w:uiPriority w:val="99"/>
    <w:rsid w:val="005278EE"/>
    <w:pPr>
      <w:spacing w:line="201" w:lineRule="atLeast"/>
    </w:pPr>
    <w:rPr>
      <w:rFonts w:ascii="Times" w:hAnsi="Times" w:cs="Times"/>
      <w:color w:val="auto"/>
      <w:lang w:val="en-US"/>
    </w:rPr>
  </w:style>
  <w:style w:type="character" w:customStyle="1" w:styleId="MenoNoResolvida1">
    <w:name w:val="Menção Não Resolvida1"/>
    <w:basedOn w:val="DefaultParagraphFont"/>
    <w:uiPriority w:val="99"/>
    <w:semiHidden/>
    <w:unhideWhenUsed/>
    <w:rsid w:val="007203B8"/>
    <w:rPr>
      <w:color w:val="605E5C"/>
      <w:shd w:val="clear" w:color="auto" w:fill="E1DFDD"/>
    </w:rPr>
  </w:style>
  <w:style w:type="table" w:styleId="ListTable3-Accent1">
    <w:name w:val="List Table 3 Accent 1"/>
    <w:basedOn w:val="TableNormal"/>
    <w:uiPriority w:val="48"/>
    <w:rsid w:val="00982EC5"/>
    <w:pPr>
      <w:spacing w:after="0"/>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ListTable1Light-Accent1">
    <w:name w:val="List Table 1 Light Accent 1"/>
    <w:basedOn w:val="TableNormal"/>
    <w:uiPriority w:val="46"/>
    <w:rsid w:val="00337AF3"/>
    <w:pPr>
      <w:spacing w:after="0"/>
    </w:p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5">
    <w:name w:val="Grid Table 1 Light Accent 5"/>
    <w:basedOn w:val="TableNormal"/>
    <w:uiPriority w:val="46"/>
    <w:rsid w:val="00337AF3"/>
    <w:pPr>
      <w:spacing w:after="0"/>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TableGridCFAA1">
    <w:name w:val="Table Grid CFAA1"/>
    <w:basedOn w:val="TableNormal"/>
    <w:next w:val="TableGrid"/>
    <w:rsid w:val="00AA05E8"/>
    <w:pPr>
      <w:spacing w:before="0" w:after="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CFAA2">
    <w:name w:val="Table Grid CFAA2"/>
    <w:basedOn w:val="TableNormal"/>
    <w:next w:val="TableGrid"/>
    <w:rsid w:val="00EE1336"/>
    <w:pPr>
      <w:spacing w:before="0" w:after="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1813C1"/>
    <w:rPr>
      <w:rFonts w:ascii="Arial" w:hAnsi="Arial"/>
    </w:rPr>
  </w:style>
  <w:style w:type="table" w:customStyle="1" w:styleId="TableGridCFAA3">
    <w:name w:val="Table Grid CFAA3"/>
    <w:basedOn w:val="TableNormal"/>
    <w:next w:val="TableGrid"/>
    <w:rsid w:val="001813C1"/>
    <w:pPr>
      <w:spacing w:before="0" w:after="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4-Accent5">
    <w:name w:val="List Table 4 Accent 5"/>
    <w:basedOn w:val="TableNormal"/>
    <w:uiPriority w:val="49"/>
    <w:rsid w:val="00356855"/>
    <w:pPr>
      <w:spacing w:after="0"/>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1">
    <w:name w:val="Grid Table 6 Colorful Accent 1"/>
    <w:basedOn w:val="TableNormal"/>
    <w:uiPriority w:val="51"/>
    <w:rsid w:val="00314DBE"/>
    <w:pPr>
      <w:spacing w:after="0"/>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5Dark-Accent5">
    <w:name w:val="Grid Table 5 Dark Accent 5"/>
    <w:basedOn w:val="TableNormal"/>
    <w:uiPriority w:val="50"/>
    <w:rsid w:val="00314DBE"/>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4-Accent5">
    <w:name w:val="Grid Table 4 Accent 5"/>
    <w:basedOn w:val="TableNormal"/>
    <w:uiPriority w:val="49"/>
    <w:rsid w:val="00BE37D6"/>
    <w:pPr>
      <w:spacing w:after="0"/>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1">
    <w:name w:val="Grid Table 4 Accent 1"/>
    <w:basedOn w:val="TableNormal"/>
    <w:uiPriority w:val="49"/>
    <w:rsid w:val="0022223C"/>
    <w:pPr>
      <w:spacing w:after="0"/>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EC74F5"/>
    <w:pPr>
      <w:spacing w:after="0"/>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1Light-Accent51">
    <w:name w:val="Grid Table 1 Light - Accent 51"/>
    <w:basedOn w:val="TableNormal"/>
    <w:next w:val="GridTable1Light-Accent5"/>
    <w:uiPriority w:val="46"/>
    <w:rsid w:val="007044C3"/>
    <w:pPr>
      <w:spacing w:after="0"/>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ListTable3-Accent11">
    <w:name w:val="List Table 3 - Accent 11"/>
    <w:basedOn w:val="TableNormal"/>
    <w:next w:val="ListTable3-Accent1"/>
    <w:uiPriority w:val="48"/>
    <w:rsid w:val="00C87ECE"/>
    <w:pPr>
      <w:spacing w:after="0"/>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GridTable4-Accent51">
    <w:name w:val="Grid Table 4 - Accent 51"/>
    <w:basedOn w:val="TableNormal"/>
    <w:next w:val="GridTable4-Accent5"/>
    <w:uiPriority w:val="49"/>
    <w:rsid w:val="00DE4DCD"/>
    <w:pPr>
      <w:spacing w:after="0"/>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3-Accent5">
    <w:name w:val="Grid Table 3 Accent 5"/>
    <w:basedOn w:val="TableNormal"/>
    <w:uiPriority w:val="48"/>
    <w:rsid w:val="008A679D"/>
    <w:pPr>
      <w:spacing w:after="0"/>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2-Accent5">
    <w:name w:val="Grid Table 2 Accent 5"/>
    <w:basedOn w:val="TableNormal"/>
    <w:uiPriority w:val="47"/>
    <w:rsid w:val="009F5F15"/>
    <w:pPr>
      <w:spacing w:after="0"/>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1Light-Accent11">
    <w:name w:val="Grid Table 1 Light - Accent 11"/>
    <w:basedOn w:val="TableNormal"/>
    <w:next w:val="GridTable1Light-Accent1"/>
    <w:uiPriority w:val="46"/>
    <w:rsid w:val="00507213"/>
    <w:pPr>
      <w:spacing w:after="0"/>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next w:val="GridTable1Light-Accent1"/>
    <w:uiPriority w:val="46"/>
    <w:rsid w:val="004611D4"/>
    <w:pPr>
      <w:spacing w:after="0"/>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1Light-Accent13">
    <w:name w:val="Grid Table 1 Light - Accent 13"/>
    <w:basedOn w:val="TableNormal"/>
    <w:next w:val="GridTable1Light-Accent1"/>
    <w:uiPriority w:val="46"/>
    <w:rsid w:val="00C17832"/>
    <w:pPr>
      <w:spacing w:after="0"/>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1Light-Accent14">
    <w:name w:val="Grid Table 1 Light - Accent 14"/>
    <w:basedOn w:val="TableNormal"/>
    <w:next w:val="GridTable1Light-Accent1"/>
    <w:uiPriority w:val="46"/>
    <w:rsid w:val="009775A4"/>
    <w:pPr>
      <w:spacing w:after="0"/>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TableGrid6">
    <w:name w:val="Table Grid6"/>
    <w:basedOn w:val="TableNormal"/>
    <w:next w:val="TableGrid"/>
    <w:uiPriority w:val="39"/>
    <w:rsid w:val="00192350"/>
    <w:pPr>
      <w:spacing w:after="0"/>
      <w:ind w:firstLine="578"/>
    </w:pPr>
    <w:rPr>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7Colorful-Accent5">
    <w:name w:val="List Table 7 Colorful Accent 5"/>
    <w:basedOn w:val="TableNormal"/>
    <w:uiPriority w:val="52"/>
    <w:rsid w:val="00192350"/>
    <w:pPr>
      <w:spacing w:after="0"/>
    </w:pPr>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7">
    <w:name w:val="Table Grid7"/>
    <w:basedOn w:val="TableNormal"/>
    <w:next w:val="TableGrid"/>
    <w:uiPriority w:val="39"/>
    <w:rsid w:val="00624757"/>
    <w:pPr>
      <w:spacing w:after="0"/>
      <w:ind w:firstLine="578"/>
    </w:pPr>
    <w:rPr>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4-Accent1">
    <w:name w:val="List Table 4 Accent 1"/>
    <w:basedOn w:val="TableNormal"/>
    <w:uiPriority w:val="49"/>
    <w:rsid w:val="00363F9F"/>
    <w:pPr>
      <w:spacing w:after="0"/>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2-Accent3">
    <w:name w:val="List Table 2 Accent 3"/>
    <w:basedOn w:val="TableNormal"/>
    <w:uiPriority w:val="47"/>
    <w:rsid w:val="00223FA1"/>
    <w:pPr>
      <w:spacing w:after="0"/>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AGTESIAChar">
    <w:name w:val="AGT ESIA Char"/>
    <w:aliases w:val="Figure Headings Char,Caption Char Char,Caption Char Char Char Char Char,Caption Char Char Char Char1,Table Char,headings Char,CPR Caption Char,Legenda Char Char,Table/Figure Heading Char,Caption- Figure Char,Map Char,IUBeschriftung Char"/>
    <w:rsid w:val="006163A7"/>
    <w:rPr>
      <w:rFonts w:ascii="Book Antiqua" w:eastAsia="Times New Roman" w:hAnsi="Book Antiqua" w:cs="Times New Roman"/>
      <w:b/>
      <w:i/>
      <w:szCs w:val="20"/>
      <w:lang w:val="en-GB"/>
    </w:rPr>
  </w:style>
  <w:style w:type="table" w:styleId="ListTable2-Accent5">
    <w:name w:val="List Table 2 Accent 5"/>
    <w:basedOn w:val="TableNormal"/>
    <w:uiPriority w:val="47"/>
    <w:rsid w:val="00AA498C"/>
    <w:pPr>
      <w:spacing w:after="0"/>
    </w:pPr>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7Colorful-Accent5">
    <w:name w:val="Grid Table 7 Colorful Accent 5"/>
    <w:basedOn w:val="TableNormal"/>
    <w:uiPriority w:val="52"/>
    <w:rsid w:val="008F6C1F"/>
    <w:pPr>
      <w:spacing w:after="0"/>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ListTable1Light-Accent5">
    <w:name w:val="List Table 1 Light Accent 5"/>
    <w:basedOn w:val="TableNormal"/>
    <w:uiPriority w:val="46"/>
    <w:rsid w:val="008F6C1F"/>
    <w:pPr>
      <w:spacing w:after="0"/>
    </w:pPr>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2-Accent1">
    <w:name w:val="Grid Table 2 Accent 1"/>
    <w:basedOn w:val="TableNormal"/>
    <w:uiPriority w:val="47"/>
    <w:rsid w:val="00B36A25"/>
    <w:pPr>
      <w:spacing w:after="0"/>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PlainTable2">
    <w:name w:val="Plain Table 2"/>
    <w:basedOn w:val="TableNormal"/>
    <w:uiPriority w:val="42"/>
    <w:rsid w:val="00FB47A2"/>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FB47A2"/>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502DD8"/>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3-Accent111">
    <w:name w:val="List Table 3 - Accent 111"/>
    <w:basedOn w:val="TableNormal"/>
    <w:next w:val="ListTable3-Accent1"/>
    <w:uiPriority w:val="48"/>
    <w:rsid w:val="00322897"/>
    <w:pPr>
      <w:spacing w:after="0"/>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ListTable3-Accent112">
    <w:name w:val="List Table 3 - Accent 112"/>
    <w:basedOn w:val="TableNormal"/>
    <w:next w:val="ListTable3-Accent1"/>
    <w:uiPriority w:val="48"/>
    <w:rsid w:val="00FC18D0"/>
    <w:pPr>
      <w:spacing w:after="0"/>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GridTable3-Accent1">
    <w:name w:val="Grid Table 3 Accent 1"/>
    <w:basedOn w:val="TableNormal"/>
    <w:uiPriority w:val="48"/>
    <w:rsid w:val="00DD34B4"/>
    <w:pPr>
      <w:spacing w:after="0"/>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character" w:styleId="FollowedHyperlink">
    <w:name w:val="FollowedHyperlink"/>
    <w:basedOn w:val="DefaultParagraphFont"/>
    <w:uiPriority w:val="99"/>
    <w:semiHidden/>
    <w:unhideWhenUsed/>
    <w:rsid w:val="00AB4662"/>
    <w:rPr>
      <w:color w:val="954F72" w:themeColor="followedHyperlink"/>
      <w:u w:val="single"/>
    </w:rPr>
  </w:style>
  <w:style w:type="table" w:customStyle="1" w:styleId="GridTable1Light-Accent111">
    <w:name w:val="Grid Table 1 Light - Accent 111"/>
    <w:basedOn w:val="TableNormal"/>
    <w:uiPriority w:val="46"/>
    <w:rsid w:val="009757BD"/>
    <w:pPr>
      <w:spacing w:before="0" w:after="0"/>
      <w:jc w:val="left"/>
    </w:pPr>
    <w:rPr>
      <w:lang w:val="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112">
    <w:name w:val="Grid Table 1 Light - Accent 112"/>
    <w:basedOn w:val="TableNormal"/>
    <w:next w:val="GridTable1Light-Accent1"/>
    <w:uiPriority w:val="46"/>
    <w:rsid w:val="00234235"/>
    <w:pPr>
      <w:spacing w:after="0"/>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numbering" w:customStyle="1" w:styleId="NoList1">
    <w:name w:val="No List1"/>
    <w:next w:val="NoList"/>
    <w:uiPriority w:val="99"/>
    <w:semiHidden/>
    <w:unhideWhenUsed/>
    <w:rsid w:val="005C17A3"/>
  </w:style>
  <w:style w:type="table" w:customStyle="1" w:styleId="ListTable4-Accent11">
    <w:name w:val="List Table 4 - Accent 11"/>
    <w:basedOn w:val="TableNormal"/>
    <w:next w:val="ListTable4-Accent1"/>
    <w:uiPriority w:val="49"/>
    <w:rsid w:val="00C25AEB"/>
    <w:pPr>
      <w:spacing w:after="0"/>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Normal11">
    <w:name w:val="Normal_11"/>
    <w:qFormat/>
    <w:rsid w:val="001632E8"/>
    <w:pPr>
      <w:spacing w:before="0" w:line="259" w:lineRule="auto"/>
    </w:pPr>
    <w:rPr>
      <w:rFonts w:ascii="Calibri" w:eastAsia="Calibri" w:hAnsi="Calibri" w:cs="Times New Roman"/>
      <w:lang w:val="en-US"/>
    </w:rPr>
  </w:style>
  <w:style w:type="paragraph" w:customStyle="1" w:styleId="CarattereCarattereCharCharCharCharCharCharZchn">
    <w:name w:val="Carattere Carattere Char Char Char Char Char Char Zchn"/>
    <w:aliases w:val="ftref Char Char Char Char Char Char Zchn,Char Char Char Char Char Char Char Char Zchn,ftref Char Char Char1 Zchn,Carattere Carattere Char Char Char Char Char Char Char Zchn"/>
    <w:basedOn w:val="Normal"/>
    <w:next w:val="Normal"/>
    <w:uiPriority w:val="99"/>
    <w:rsid w:val="001632E8"/>
    <w:pPr>
      <w:spacing w:before="0" w:line="240" w:lineRule="exact"/>
      <w:jc w:val="left"/>
    </w:pPr>
    <w:rPr>
      <w:rFonts w:eastAsia="Calibri" w:cs="Times New Roman"/>
      <w:color w:val="000000" w:themeColor="text1"/>
      <w:sz w:val="20"/>
      <w:szCs w:val="20"/>
      <w:vertAlign w:val="superscript"/>
      <w:lang w:val="en-US"/>
    </w:rPr>
  </w:style>
  <w:style w:type="numbering" w:customStyle="1" w:styleId="NoList2">
    <w:name w:val="No List2"/>
    <w:next w:val="NoList"/>
    <w:uiPriority w:val="99"/>
    <w:semiHidden/>
    <w:unhideWhenUsed/>
    <w:rsid w:val="00B31AE2"/>
  </w:style>
  <w:style w:type="table" w:customStyle="1" w:styleId="1">
    <w:name w:val="表格样式1"/>
    <w:basedOn w:val="TableNormal"/>
    <w:next w:val="TableGrid"/>
    <w:uiPriority w:val="39"/>
    <w:rsid w:val="00B31AE2"/>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description">
    <w:name w:val="footnote description"/>
    <w:next w:val="Normal"/>
    <w:link w:val="footnotedescriptionChar"/>
    <w:hidden/>
    <w:rsid w:val="00B31AE2"/>
    <w:pPr>
      <w:spacing w:before="0" w:after="0" w:line="236" w:lineRule="auto"/>
    </w:pPr>
    <w:rPr>
      <w:rFonts w:ascii="Calibri" w:eastAsia="Calibri" w:hAnsi="Calibri" w:cs="Calibri"/>
      <w:color w:val="000000"/>
      <w:sz w:val="16"/>
      <w:lang w:val="pt-PT" w:eastAsia="pt-PT"/>
    </w:rPr>
  </w:style>
  <w:style w:type="character" w:customStyle="1" w:styleId="footnotedescriptionChar">
    <w:name w:val="footnote description Char"/>
    <w:link w:val="footnotedescription"/>
    <w:rsid w:val="00B31AE2"/>
    <w:rPr>
      <w:rFonts w:ascii="Calibri" w:eastAsia="Calibri" w:hAnsi="Calibri" w:cs="Calibri"/>
      <w:color w:val="000000"/>
      <w:sz w:val="16"/>
      <w:lang w:val="pt-PT" w:eastAsia="pt-PT"/>
    </w:rPr>
  </w:style>
  <w:style w:type="character" w:customStyle="1" w:styleId="footnotemark">
    <w:name w:val="footnote mark"/>
    <w:hidden/>
    <w:rsid w:val="00B31AE2"/>
    <w:rPr>
      <w:rFonts w:ascii="Calibri" w:eastAsia="Calibri" w:hAnsi="Calibri" w:cs="Calibri"/>
      <w:color w:val="000000"/>
      <w:sz w:val="14"/>
      <w:vertAlign w:val="superscript"/>
    </w:rPr>
  </w:style>
  <w:style w:type="paragraph" w:customStyle="1" w:styleId="BVIfnrCharCharChar1CharCharCharCharCharCharChar1CharCharChar1Char">
    <w:name w:val="BVI fnr (文字) (文字) Char (文字) Char Char1 Char Char Char Char Char Char Char1 Char Char Char1 Char"/>
    <w:aliases w:val="BVI fnr (文字) (文字) Char (文字) Char Char1 Char Char Char Char Char Char Char1 Char Char Char Char Char Char1 Char Char"/>
    <w:basedOn w:val="Normal"/>
    <w:uiPriority w:val="99"/>
    <w:rsid w:val="00B31AE2"/>
    <w:pPr>
      <w:spacing w:before="0" w:line="240" w:lineRule="exact"/>
    </w:pPr>
    <w:rPr>
      <w:vertAlign w:val="superscript"/>
      <w:lang w:val="en-US"/>
    </w:rPr>
  </w:style>
  <w:style w:type="character" w:customStyle="1" w:styleId="shorttext">
    <w:name w:val="short_text"/>
    <w:basedOn w:val="DefaultParagraphFont"/>
    <w:rsid w:val="00B31AE2"/>
  </w:style>
  <w:style w:type="character" w:customStyle="1" w:styleId="alt-edited">
    <w:name w:val="alt-edited"/>
    <w:basedOn w:val="DefaultParagraphFont"/>
    <w:rsid w:val="00B31AE2"/>
  </w:style>
  <w:style w:type="paragraph" w:customStyle="1" w:styleId="TableTop">
    <w:name w:val="TableTop"/>
    <w:basedOn w:val="Normal"/>
    <w:link w:val="TableTopZchn"/>
    <w:qFormat/>
    <w:rsid w:val="00B31AE2"/>
    <w:pPr>
      <w:keepNext/>
      <w:tabs>
        <w:tab w:val="left" w:pos="1021"/>
      </w:tabs>
      <w:spacing w:after="60" w:line="288" w:lineRule="auto"/>
      <w:ind w:left="23" w:right="11"/>
    </w:pPr>
    <w:rPr>
      <w:rFonts w:ascii="Arial" w:eastAsia="Arial Unicode MS" w:hAnsi="Arial" w:cs="Times New Roman"/>
      <w:color w:val="1F3864"/>
      <w:sz w:val="18"/>
      <w:lang w:val="pt-PT"/>
    </w:rPr>
  </w:style>
  <w:style w:type="character" w:customStyle="1" w:styleId="TableTopZchn">
    <w:name w:val="TableTop Zchn"/>
    <w:basedOn w:val="DefaultParagraphFont"/>
    <w:link w:val="TableTop"/>
    <w:rsid w:val="00B31AE2"/>
    <w:rPr>
      <w:rFonts w:ascii="Arial" w:eastAsia="Arial Unicode MS" w:hAnsi="Arial" w:cs="Times New Roman"/>
      <w:color w:val="1F3864"/>
      <w:sz w:val="18"/>
      <w:lang w:val="pt-PT"/>
    </w:rPr>
  </w:style>
  <w:style w:type="table" w:customStyle="1" w:styleId="2">
    <w:name w:val="表格样式2"/>
    <w:basedOn w:val="TableNormal"/>
    <w:next w:val="TableGrid"/>
    <w:uiPriority w:val="39"/>
    <w:rsid w:val="00B31AE2"/>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B31AE2"/>
    <w:pPr>
      <w:numPr>
        <w:numId w:val="0"/>
      </w:numPr>
      <w:spacing w:before="240" w:after="0" w:line="259" w:lineRule="auto"/>
      <w:jc w:val="left"/>
      <w:outlineLvl w:val="9"/>
    </w:pPr>
    <w:rPr>
      <w:rFonts w:ascii="Calibri Light" w:hAnsi="Calibri Light"/>
      <w:b w:val="0"/>
      <w:color w:val="2F5496"/>
      <w:lang w:val="en-US"/>
    </w:rPr>
  </w:style>
  <w:style w:type="paragraph" w:customStyle="1" w:styleId="CharCharCarCarCharCharCarCarCharCharCarCarCharCharCarCarCharCharCarCarCharCharCarCarCharCharCarCarCharCharCarCarCharCharCarCarCharCharCarCarCharCharCarCarCharCharCharChar">
    <w:name w:val="Char Char Car Car Char Char Car Car Char Char Car Car Char Char Car Car Char Char Car Car Char Char Car Car Char Char Car Car Char Char Car Car Char Char Car Car Char Char Car Car Char Char Car Car Char Char Char Char"/>
    <w:basedOn w:val="Caption"/>
    <w:qFormat/>
    <w:rsid w:val="00B31AE2"/>
    <w:pPr>
      <w:keepNext/>
      <w:autoSpaceDE w:val="0"/>
      <w:autoSpaceDN w:val="0"/>
      <w:adjustRightInd w:val="0"/>
      <w:spacing w:before="40" w:after="40" w:line="360" w:lineRule="auto"/>
      <w:ind w:left="1440" w:hanging="1440"/>
    </w:pPr>
    <w:rPr>
      <w:rFonts w:eastAsia="Calibri"/>
      <w:b w:val="0"/>
      <w:iCs w:val="0"/>
      <w:sz w:val="22"/>
      <w:szCs w:val="22"/>
      <w:vertAlign w:val="superscript"/>
      <w:lang w:val="en-US" w:eastAsia="en-US"/>
    </w:rPr>
  </w:style>
  <w:style w:type="character" w:customStyle="1" w:styleId="PargrafodaListaCarter1">
    <w:name w:val="Parágrafo da Lista Caráter1"/>
    <w:aliases w:val="Ha Caráter1,List Paragraph (numbered (a)) Caráter1,normal Caráter1,List Paragraph1 Caráter1,Bullet_new Caráter1,Annexlist Caráter1,Celula Caráter1,Tabela Caráter1,Numbered Paragraph Caráter1,Main numbered paragraph Caráter1"/>
    <w:uiPriority w:val="34"/>
    <w:qFormat/>
    <w:rsid w:val="00B31AE2"/>
    <w:rPr>
      <w:rFonts w:ascii="Arial" w:eastAsia="Calibri" w:hAnsi="Arial" w:cs="Arial"/>
      <w:sz w:val="20"/>
      <w:szCs w:val="24"/>
      <w:lang w:val="pt-PT"/>
    </w:rPr>
  </w:style>
  <w:style w:type="table" w:customStyle="1" w:styleId="3">
    <w:name w:val="表格样式3"/>
    <w:basedOn w:val="TableNormal"/>
    <w:next w:val="TableGrid"/>
    <w:uiPriority w:val="39"/>
    <w:rsid w:val="00B31AE2"/>
    <w:pPr>
      <w:spacing w:before="0" w:after="0"/>
      <w:jc w:val="left"/>
    </w:pPr>
    <w:rPr>
      <w:rFonts w:ascii="Calibri" w:eastAsia="Calibri" w:hAnsi="Calibri" w:cs="Times New Roman"/>
      <w:sz w:val="20"/>
      <w:szCs w:val="20"/>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B31AE2"/>
    <w:pPr>
      <w:spacing w:before="0" w:after="0"/>
      <w:jc w:val="left"/>
    </w:pPr>
    <w:rPr>
      <w:rFonts w:eastAsia="Times New Roman"/>
      <w:lang w:val="en-US"/>
    </w:rPr>
    <w:tblPr>
      <w:tblCellMar>
        <w:top w:w="0" w:type="dxa"/>
        <w:left w:w="0" w:type="dxa"/>
        <w:bottom w:w="0" w:type="dxa"/>
        <w:right w:w="0" w:type="dxa"/>
      </w:tblCellMar>
    </w:tblPr>
  </w:style>
  <w:style w:type="paragraph" w:customStyle="1" w:styleId="PrelimHead2">
    <w:name w:val="Prelim Head 2"/>
    <w:basedOn w:val="BodyText0"/>
    <w:next w:val="BodyText0"/>
    <w:uiPriority w:val="99"/>
    <w:qFormat/>
    <w:rsid w:val="00B31AE2"/>
    <w:pPr>
      <w:numPr>
        <w:numId w:val="148"/>
      </w:numPr>
      <w:tabs>
        <w:tab w:val="clear" w:pos="1080"/>
      </w:tabs>
      <w:autoSpaceDE w:val="0"/>
      <w:autoSpaceDN w:val="0"/>
      <w:adjustRightInd w:val="0"/>
      <w:spacing w:before="240" w:after="0"/>
      <w:ind w:left="0" w:firstLine="0"/>
      <w:jc w:val="both"/>
    </w:pPr>
    <w:rPr>
      <w:b/>
      <w:bCs/>
      <w:sz w:val="32"/>
      <w:lang w:val="en-ZA" w:eastAsia="en-US"/>
    </w:rPr>
  </w:style>
  <w:style w:type="numbering" w:customStyle="1" w:styleId="NoList3">
    <w:name w:val="No List3"/>
    <w:next w:val="NoList"/>
    <w:uiPriority w:val="99"/>
    <w:semiHidden/>
    <w:unhideWhenUsed/>
    <w:rsid w:val="00B31AE2"/>
  </w:style>
  <w:style w:type="table" w:customStyle="1" w:styleId="0-Table1">
    <w:name w:val="0-Table1"/>
    <w:basedOn w:val="TableNormal"/>
    <w:next w:val="TableGrid"/>
    <w:uiPriority w:val="39"/>
    <w:rsid w:val="00B31AE2"/>
    <w:pPr>
      <w:spacing w:before="0" w:after="0"/>
      <w:jc w:val="left"/>
    </w:pPr>
    <w:rPr>
      <w:rFonts w:eastAsia="Times New Roman"/>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Quadro">
    <w:name w:val="Texto Quadro"/>
    <w:basedOn w:val="Normal"/>
    <w:rsid w:val="00B31AE2"/>
    <w:pPr>
      <w:spacing w:before="60" w:after="60" w:line="259" w:lineRule="auto"/>
    </w:pPr>
    <w:rPr>
      <w:rFonts w:ascii="Cambria" w:eastAsia="Times New Roman" w:hAnsi="Cambria" w:cs="Times New Roman"/>
      <w:bCs/>
      <w:sz w:val="18"/>
      <w:szCs w:val="20"/>
      <w:lang w:val="pt-PT"/>
    </w:rPr>
  </w:style>
  <w:style w:type="table" w:customStyle="1" w:styleId="0-Table11">
    <w:name w:val="0-Table11"/>
    <w:basedOn w:val="TableNormal"/>
    <w:next w:val="TableGrid"/>
    <w:uiPriority w:val="39"/>
    <w:rsid w:val="00B31AE2"/>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B31AE2"/>
    <w:pPr>
      <w:spacing w:before="0" w:after="0"/>
      <w:jc w:val="left"/>
    </w:pPr>
    <w:rPr>
      <w:rFonts w:eastAsia="Times New Roman"/>
      <w:lang w:val="en-US"/>
    </w:rPr>
    <w:tblPr>
      <w:tblCellMar>
        <w:top w:w="0" w:type="dxa"/>
        <w:left w:w="0" w:type="dxa"/>
        <w:bottom w:w="0" w:type="dxa"/>
        <w:right w:w="0" w:type="dxa"/>
      </w:tblCellMar>
    </w:tblPr>
  </w:style>
  <w:style w:type="character" w:customStyle="1" w:styleId="IntenseReference1">
    <w:name w:val="Intense Reference1"/>
    <w:basedOn w:val="DefaultParagraphFont"/>
    <w:uiPriority w:val="32"/>
    <w:qFormat/>
    <w:rsid w:val="00B31AE2"/>
    <w:rPr>
      <w:b/>
      <w:bCs/>
      <w:smallCaps/>
      <w:color w:val="4472C4"/>
      <w:spacing w:val="5"/>
    </w:rPr>
  </w:style>
  <w:style w:type="character" w:customStyle="1" w:styleId="DefaultCarter">
    <w:name w:val="Default Caráter"/>
    <w:basedOn w:val="DefaultParagraphFont"/>
    <w:link w:val="Default"/>
    <w:rsid w:val="00B31AE2"/>
    <w:rPr>
      <w:rFonts w:ascii="Times New Roman" w:hAnsi="Times New Roman" w:cs="Times New Roman"/>
      <w:color w:val="000000"/>
      <w:sz w:val="24"/>
      <w:szCs w:val="24"/>
      <w:lang w:val="pt-PT"/>
    </w:rPr>
  </w:style>
  <w:style w:type="paragraph" w:customStyle="1" w:styleId="selectionshareable">
    <w:name w:val="selectionshareable"/>
    <w:basedOn w:val="Normal"/>
    <w:rsid w:val="00B31AE2"/>
    <w:pPr>
      <w:spacing w:before="100" w:beforeAutospacing="1" w:after="100" w:afterAutospacing="1"/>
      <w:jc w:val="left"/>
    </w:pPr>
    <w:rPr>
      <w:rFonts w:ascii="Times New Roman" w:eastAsia="Times New Roman" w:hAnsi="Times New Roman" w:cs="Times New Roman"/>
      <w:sz w:val="24"/>
      <w:szCs w:val="24"/>
      <w:lang w:val="pt-PT" w:eastAsia="pt-PT"/>
    </w:rPr>
  </w:style>
  <w:style w:type="character" w:styleId="Strong">
    <w:name w:val="Strong"/>
    <w:basedOn w:val="DefaultParagraphFont"/>
    <w:uiPriority w:val="22"/>
    <w:qFormat/>
    <w:rsid w:val="00B31AE2"/>
    <w:rPr>
      <w:b/>
      <w:bCs/>
    </w:rPr>
  </w:style>
  <w:style w:type="paragraph" w:styleId="NormalWeb">
    <w:name w:val="Normal (Web)"/>
    <w:basedOn w:val="Normal"/>
    <w:uiPriority w:val="99"/>
    <w:semiHidden/>
    <w:unhideWhenUsed/>
    <w:rsid w:val="00B31AE2"/>
    <w:pPr>
      <w:spacing w:before="100" w:beforeAutospacing="1" w:after="100" w:afterAutospacing="1"/>
      <w:jc w:val="left"/>
    </w:pPr>
    <w:rPr>
      <w:rFonts w:ascii="Times New Roman" w:eastAsia="Times New Roman" w:hAnsi="Times New Roman" w:cs="Times New Roman"/>
      <w:sz w:val="24"/>
      <w:szCs w:val="24"/>
      <w:lang w:val="pt-PT" w:eastAsia="pt-PT"/>
    </w:rPr>
  </w:style>
  <w:style w:type="character" w:styleId="Emphasis">
    <w:name w:val="Emphasis"/>
    <w:basedOn w:val="DefaultParagraphFont"/>
    <w:uiPriority w:val="20"/>
    <w:qFormat/>
    <w:rsid w:val="00B31AE2"/>
    <w:rPr>
      <w:i/>
      <w:iCs/>
    </w:rPr>
  </w:style>
  <w:style w:type="character" w:styleId="IntenseReference">
    <w:name w:val="Intense Reference"/>
    <w:basedOn w:val="DefaultParagraphFont"/>
    <w:uiPriority w:val="32"/>
    <w:qFormat/>
    <w:rsid w:val="00B31AE2"/>
    <w:rPr>
      <w:b/>
      <w:bCs/>
      <w:smallCaps/>
      <w:color w:val="4472C4" w:themeColor="accent1"/>
      <w:spacing w:val="5"/>
    </w:rPr>
  </w:style>
  <w:style w:type="table" w:customStyle="1" w:styleId="SGSTableBasic11">
    <w:name w:val="SGS Table Basic 11"/>
    <w:basedOn w:val="TableNormal"/>
    <w:next w:val="TableGrid"/>
    <w:uiPriority w:val="39"/>
    <w:rsid w:val="00CE785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706222"/>
  </w:style>
  <w:style w:type="table" w:customStyle="1" w:styleId="TableGrid8">
    <w:name w:val="Table Grid8"/>
    <w:basedOn w:val="TableNormal"/>
    <w:next w:val="TableGrid"/>
    <w:uiPriority w:val="39"/>
    <w:rsid w:val="00706222"/>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F7F60"/>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BAalinea1nivel">
    <w:name w:val="COBA alinea 1ºnivel"/>
    <w:basedOn w:val="Normal"/>
    <w:link w:val="COBAalinea1nivelChar"/>
    <w:qFormat/>
    <w:rsid w:val="00826C3C"/>
    <w:pPr>
      <w:numPr>
        <w:numId w:val="192"/>
      </w:numPr>
      <w:spacing w:before="160" w:after="0" w:line="264" w:lineRule="auto"/>
    </w:pPr>
    <w:rPr>
      <w:rFonts w:ascii="Arial Narrow" w:eastAsia="Times New Roman" w:hAnsi="Arial Narrow" w:cs="Times New Roman"/>
      <w:szCs w:val="24"/>
      <w:lang w:val="pt-PT" w:eastAsia="pt-PT"/>
    </w:rPr>
  </w:style>
  <w:style w:type="character" w:customStyle="1" w:styleId="COBAalinea1nivelChar">
    <w:name w:val="COBA alinea 1ºnivel Char"/>
    <w:link w:val="COBAalinea1nivel"/>
    <w:rsid w:val="00826C3C"/>
    <w:rPr>
      <w:rFonts w:ascii="Arial Narrow" w:eastAsia="Times New Roman" w:hAnsi="Arial Narrow" w:cs="Times New Roman"/>
      <w:szCs w:val="24"/>
      <w:lang w:val="pt-PT" w:eastAsia="pt-PT"/>
    </w:rPr>
  </w:style>
  <w:style w:type="character" w:customStyle="1" w:styleId="normaltextrun">
    <w:name w:val="normaltextrun"/>
    <w:basedOn w:val="DefaultParagraphFont"/>
    <w:rsid w:val="005A1BF8"/>
  </w:style>
  <w:style w:type="character" w:customStyle="1" w:styleId="eop">
    <w:name w:val="eop"/>
    <w:basedOn w:val="DefaultParagraphFont"/>
    <w:rsid w:val="005A1BF8"/>
  </w:style>
  <w:style w:type="table" w:customStyle="1" w:styleId="GridTable4-Accent511">
    <w:name w:val="Grid Table 4 - Accent 511"/>
    <w:basedOn w:val="TableNormal"/>
    <w:next w:val="GridTable4-Accent5"/>
    <w:uiPriority w:val="49"/>
    <w:rsid w:val="000615DB"/>
    <w:pPr>
      <w:spacing w:after="0"/>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11">
    <w:name w:val="TableGrid11"/>
    <w:rsid w:val="006174BB"/>
    <w:pPr>
      <w:spacing w:before="0" w:after="0"/>
      <w:jc w:val="left"/>
    </w:pPr>
    <w:rPr>
      <w:rFonts w:eastAsia="Times New Roman"/>
      <w:lang w:val="en-US"/>
    </w:rPr>
    <w:tblPr>
      <w:tblCellMar>
        <w:top w:w="0" w:type="dxa"/>
        <w:left w:w="0" w:type="dxa"/>
        <w:bottom w:w="0" w:type="dxa"/>
        <w:right w:w="0" w:type="dxa"/>
      </w:tblCellMar>
    </w:tblPr>
  </w:style>
  <w:style w:type="table" w:customStyle="1" w:styleId="GridTable1Light-Accent113">
    <w:name w:val="Grid Table 1 Light - Accent 113"/>
    <w:basedOn w:val="TableNormal"/>
    <w:uiPriority w:val="46"/>
    <w:rsid w:val="003A7D5E"/>
    <w:pPr>
      <w:spacing w:before="0" w:after="0"/>
      <w:jc w:val="left"/>
    </w:pPr>
    <w:rPr>
      <w:lang w:val="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114">
    <w:name w:val="Grid Table 1 Light - Accent 114"/>
    <w:basedOn w:val="TableNormal"/>
    <w:uiPriority w:val="46"/>
    <w:rsid w:val="00B00D6D"/>
    <w:pPr>
      <w:spacing w:before="0" w:after="0"/>
      <w:jc w:val="left"/>
    </w:pPr>
    <w:rPr>
      <w:lang w:val="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115">
    <w:name w:val="Grid Table 1 Light - Accent 115"/>
    <w:basedOn w:val="TableNormal"/>
    <w:uiPriority w:val="46"/>
    <w:rsid w:val="00C65CB1"/>
    <w:pPr>
      <w:spacing w:before="0" w:after="0"/>
      <w:jc w:val="left"/>
    </w:pPr>
    <w:rPr>
      <w:lang w:val="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0-Table2">
    <w:name w:val="0-Table2"/>
    <w:basedOn w:val="TableNormal"/>
    <w:next w:val="TableGrid"/>
    <w:uiPriority w:val="39"/>
    <w:rsid w:val="004C5198"/>
    <w:pPr>
      <w:spacing w:before="0" w:after="0"/>
      <w:jc w:val="left"/>
    </w:pPr>
    <w:rPr>
      <w:rFonts w:eastAsia="Times New Roman"/>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6">
    <w:name w:val="Grid Table 2 Accent 6"/>
    <w:basedOn w:val="TableNormal"/>
    <w:uiPriority w:val="47"/>
    <w:rsid w:val="005B3C8C"/>
    <w:pPr>
      <w:spacing w:after="0"/>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BodyA">
    <w:name w:val="Body A"/>
    <w:rsid w:val="00A43C39"/>
    <w:pPr>
      <w:pBdr>
        <w:top w:val="nil"/>
        <w:left w:val="nil"/>
        <w:bottom w:val="nil"/>
        <w:right w:val="nil"/>
        <w:between w:val="nil"/>
        <w:bar w:val="nil"/>
      </w:pBdr>
      <w:spacing w:before="0" w:line="259" w:lineRule="auto"/>
      <w:ind w:left="446" w:hanging="446"/>
    </w:pPr>
    <w:rPr>
      <w:rFonts w:ascii="Calibri" w:eastAsia="Calibri" w:hAnsi="Calibri" w:cs="Calibri"/>
      <w:color w:val="000000"/>
      <w:sz w:val="24"/>
      <w:szCs w:val="24"/>
      <w:u w:color="000000"/>
      <w:bdr w:val="nil"/>
      <w:lang w:val="en-US" w:eastAsia="pt-PT"/>
    </w:rPr>
  </w:style>
  <w:style w:type="character" w:customStyle="1" w:styleId="Hyperlink6">
    <w:name w:val="Hyperlink.6"/>
    <w:rsid w:val="00A43C39"/>
    <w:rPr>
      <w:rFonts w:ascii="Times New Roman" w:hAnsi="Times New Roman"/>
      <w:color w:val="000000"/>
      <w:u w:color="000000"/>
    </w:rPr>
  </w:style>
  <w:style w:type="character" w:customStyle="1" w:styleId="None">
    <w:name w:val="None"/>
    <w:rsid w:val="00E666FB"/>
    <w:rPr>
      <w:rFonts w:ascii="Times New Roman" w:hAnsi="Times New Roman"/>
      <w:sz w:val="32"/>
    </w:rPr>
  </w:style>
  <w:style w:type="table" w:customStyle="1" w:styleId="GridTable2-Accent11">
    <w:name w:val="Grid Table 2 - Accent 11"/>
    <w:basedOn w:val="TableNormal"/>
    <w:next w:val="GridTable2-Accent1"/>
    <w:uiPriority w:val="47"/>
    <w:rsid w:val="00213D64"/>
    <w:pPr>
      <w:spacing w:after="0"/>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Light6">
    <w:name w:val="Table Grid Light6"/>
    <w:basedOn w:val="TableNormal"/>
    <w:next w:val="TableNormal"/>
    <w:uiPriority w:val="40"/>
    <w:rsid w:val="00411098"/>
    <w:pPr>
      <w:widowControl w:val="0"/>
      <w:autoSpaceDE w:val="0"/>
      <w:autoSpaceDN w:val="0"/>
      <w:spacing w:before="0" w:after="0"/>
      <w:jc w:val="left"/>
    </w:pPr>
    <w:rPr>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8907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7748133">
      <w:bodyDiv w:val="1"/>
      <w:marLeft w:val="0"/>
      <w:marRight w:val="0"/>
      <w:marTop w:val="0"/>
      <w:marBottom w:val="0"/>
      <w:divBdr>
        <w:top w:val="none" w:sz="0" w:space="0" w:color="auto"/>
        <w:left w:val="none" w:sz="0" w:space="0" w:color="auto"/>
        <w:bottom w:val="none" w:sz="0" w:space="0" w:color="auto"/>
        <w:right w:val="none" w:sz="0" w:space="0" w:color="auto"/>
      </w:divBdr>
    </w:div>
    <w:div w:id="287132499">
      <w:bodyDiv w:val="1"/>
      <w:marLeft w:val="0"/>
      <w:marRight w:val="0"/>
      <w:marTop w:val="0"/>
      <w:marBottom w:val="0"/>
      <w:divBdr>
        <w:top w:val="none" w:sz="0" w:space="0" w:color="auto"/>
        <w:left w:val="none" w:sz="0" w:space="0" w:color="auto"/>
        <w:bottom w:val="none" w:sz="0" w:space="0" w:color="auto"/>
        <w:right w:val="none" w:sz="0" w:space="0" w:color="auto"/>
      </w:divBdr>
    </w:div>
    <w:div w:id="313219404">
      <w:bodyDiv w:val="1"/>
      <w:marLeft w:val="0"/>
      <w:marRight w:val="0"/>
      <w:marTop w:val="0"/>
      <w:marBottom w:val="0"/>
      <w:divBdr>
        <w:top w:val="none" w:sz="0" w:space="0" w:color="auto"/>
        <w:left w:val="none" w:sz="0" w:space="0" w:color="auto"/>
        <w:bottom w:val="none" w:sz="0" w:space="0" w:color="auto"/>
        <w:right w:val="none" w:sz="0" w:space="0" w:color="auto"/>
      </w:divBdr>
    </w:div>
    <w:div w:id="367923780">
      <w:bodyDiv w:val="1"/>
      <w:marLeft w:val="0"/>
      <w:marRight w:val="0"/>
      <w:marTop w:val="0"/>
      <w:marBottom w:val="0"/>
      <w:divBdr>
        <w:top w:val="none" w:sz="0" w:space="0" w:color="auto"/>
        <w:left w:val="none" w:sz="0" w:space="0" w:color="auto"/>
        <w:bottom w:val="none" w:sz="0" w:space="0" w:color="auto"/>
        <w:right w:val="none" w:sz="0" w:space="0" w:color="auto"/>
      </w:divBdr>
    </w:div>
    <w:div w:id="476262540">
      <w:bodyDiv w:val="1"/>
      <w:marLeft w:val="0"/>
      <w:marRight w:val="0"/>
      <w:marTop w:val="0"/>
      <w:marBottom w:val="0"/>
      <w:divBdr>
        <w:top w:val="none" w:sz="0" w:space="0" w:color="auto"/>
        <w:left w:val="none" w:sz="0" w:space="0" w:color="auto"/>
        <w:bottom w:val="none" w:sz="0" w:space="0" w:color="auto"/>
        <w:right w:val="none" w:sz="0" w:space="0" w:color="auto"/>
      </w:divBdr>
    </w:div>
    <w:div w:id="521481868">
      <w:bodyDiv w:val="1"/>
      <w:marLeft w:val="0"/>
      <w:marRight w:val="0"/>
      <w:marTop w:val="0"/>
      <w:marBottom w:val="0"/>
      <w:divBdr>
        <w:top w:val="none" w:sz="0" w:space="0" w:color="auto"/>
        <w:left w:val="none" w:sz="0" w:space="0" w:color="auto"/>
        <w:bottom w:val="none" w:sz="0" w:space="0" w:color="auto"/>
        <w:right w:val="none" w:sz="0" w:space="0" w:color="auto"/>
      </w:divBdr>
    </w:div>
    <w:div w:id="546339278">
      <w:bodyDiv w:val="1"/>
      <w:marLeft w:val="0"/>
      <w:marRight w:val="0"/>
      <w:marTop w:val="0"/>
      <w:marBottom w:val="0"/>
      <w:divBdr>
        <w:top w:val="none" w:sz="0" w:space="0" w:color="auto"/>
        <w:left w:val="none" w:sz="0" w:space="0" w:color="auto"/>
        <w:bottom w:val="none" w:sz="0" w:space="0" w:color="auto"/>
        <w:right w:val="none" w:sz="0" w:space="0" w:color="auto"/>
      </w:divBdr>
    </w:div>
    <w:div w:id="737441495">
      <w:bodyDiv w:val="1"/>
      <w:marLeft w:val="0"/>
      <w:marRight w:val="0"/>
      <w:marTop w:val="0"/>
      <w:marBottom w:val="0"/>
      <w:divBdr>
        <w:top w:val="none" w:sz="0" w:space="0" w:color="auto"/>
        <w:left w:val="none" w:sz="0" w:space="0" w:color="auto"/>
        <w:bottom w:val="none" w:sz="0" w:space="0" w:color="auto"/>
        <w:right w:val="none" w:sz="0" w:space="0" w:color="auto"/>
      </w:divBdr>
    </w:div>
    <w:div w:id="763887801">
      <w:bodyDiv w:val="1"/>
      <w:marLeft w:val="0"/>
      <w:marRight w:val="0"/>
      <w:marTop w:val="0"/>
      <w:marBottom w:val="0"/>
      <w:divBdr>
        <w:top w:val="none" w:sz="0" w:space="0" w:color="auto"/>
        <w:left w:val="none" w:sz="0" w:space="0" w:color="auto"/>
        <w:bottom w:val="none" w:sz="0" w:space="0" w:color="auto"/>
        <w:right w:val="none" w:sz="0" w:space="0" w:color="auto"/>
      </w:divBdr>
    </w:div>
    <w:div w:id="786126361">
      <w:bodyDiv w:val="1"/>
      <w:marLeft w:val="0"/>
      <w:marRight w:val="0"/>
      <w:marTop w:val="0"/>
      <w:marBottom w:val="0"/>
      <w:divBdr>
        <w:top w:val="none" w:sz="0" w:space="0" w:color="auto"/>
        <w:left w:val="none" w:sz="0" w:space="0" w:color="auto"/>
        <w:bottom w:val="none" w:sz="0" w:space="0" w:color="auto"/>
        <w:right w:val="none" w:sz="0" w:space="0" w:color="auto"/>
      </w:divBdr>
    </w:div>
    <w:div w:id="864247305">
      <w:bodyDiv w:val="1"/>
      <w:marLeft w:val="0"/>
      <w:marRight w:val="0"/>
      <w:marTop w:val="0"/>
      <w:marBottom w:val="0"/>
      <w:divBdr>
        <w:top w:val="none" w:sz="0" w:space="0" w:color="auto"/>
        <w:left w:val="none" w:sz="0" w:space="0" w:color="auto"/>
        <w:bottom w:val="none" w:sz="0" w:space="0" w:color="auto"/>
        <w:right w:val="none" w:sz="0" w:space="0" w:color="auto"/>
      </w:divBdr>
    </w:div>
    <w:div w:id="970400543">
      <w:bodyDiv w:val="1"/>
      <w:marLeft w:val="0"/>
      <w:marRight w:val="0"/>
      <w:marTop w:val="0"/>
      <w:marBottom w:val="0"/>
      <w:divBdr>
        <w:top w:val="none" w:sz="0" w:space="0" w:color="auto"/>
        <w:left w:val="none" w:sz="0" w:space="0" w:color="auto"/>
        <w:bottom w:val="none" w:sz="0" w:space="0" w:color="auto"/>
        <w:right w:val="none" w:sz="0" w:space="0" w:color="auto"/>
      </w:divBdr>
    </w:div>
    <w:div w:id="1052577438">
      <w:bodyDiv w:val="1"/>
      <w:marLeft w:val="0"/>
      <w:marRight w:val="0"/>
      <w:marTop w:val="0"/>
      <w:marBottom w:val="0"/>
      <w:divBdr>
        <w:top w:val="none" w:sz="0" w:space="0" w:color="auto"/>
        <w:left w:val="none" w:sz="0" w:space="0" w:color="auto"/>
        <w:bottom w:val="none" w:sz="0" w:space="0" w:color="auto"/>
        <w:right w:val="none" w:sz="0" w:space="0" w:color="auto"/>
      </w:divBdr>
    </w:div>
    <w:div w:id="1151480595">
      <w:bodyDiv w:val="1"/>
      <w:marLeft w:val="0"/>
      <w:marRight w:val="0"/>
      <w:marTop w:val="0"/>
      <w:marBottom w:val="0"/>
      <w:divBdr>
        <w:top w:val="none" w:sz="0" w:space="0" w:color="auto"/>
        <w:left w:val="none" w:sz="0" w:space="0" w:color="auto"/>
        <w:bottom w:val="none" w:sz="0" w:space="0" w:color="auto"/>
        <w:right w:val="none" w:sz="0" w:space="0" w:color="auto"/>
      </w:divBdr>
    </w:div>
    <w:div w:id="1266838819">
      <w:bodyDiv w:val="1"/>
      <w:marLeft w:val="0"/>
      <w:marRight w:val="0"/>
      <w:marTop w:val="0"/>
      <w:marBottom w:val="0"/>
      <w:divBdr>
        <w:top w:val="none" w:sz="0" w:space="0" w:color="auto"/>
        <w:left w:val="none" w:sz="0" w:space="0" w:color="auto"/>
        <w:bottom w:val="none" w:sz="0" w:space="0" w:color="auto"/>
        <w:right w:val="none" w:sz="0" w:space="0" w:color="auto"/>
      </w:divBdr>
    </w:div>
    <w:div w:id="1337417034">
      <w:bodyDiv w:val="1"/>
      <w:marLeft w:val="0"/>
      <w:marRight w:val="0"/>
      <w:marTop w:val="0"/>
      <w:marBottom w:val="0"/>
      <w:divBdr>
        <w:top w:val="none" w:sz="0" w:space="0" w:color="auto"/>
        <w:left w:val="none" w:sz="0" w:space="0" w:color="auto"/>
        <w:bottom w:val="none" w:sz="0" w:space="0" w:color="auto"/>
        <w:right w:val="none" w:sz="0" w:space="0" w:color="auto"/>
      </w:divBdr>
    </w:div>
    <w:div w:id="1471705610">
      <w:bodyDiv w:val="1"/>
      <w:marLeft w:val="0"/>
      <w:marRight w:val="0"/>
      <w:marTop w:val="0"/>
      <w:marBottom w:val="0"/>
      <w:divBdr>
        <w:top w:val="none" w:sz="0" w:space="0" w:color="auto"/>
        <w:left w:val="none" w:sz="0" w:space="0" w:color="auto"/>
        <w:bottom w:val="none" w:sz="0" w:space="0" w:color="auto"/>
        <w:right w:val="none" w:sz="0" w:space="0" w:color="auto"/>
      </w:divBdr>
    </w:div>
    <w:div w:id="1523665873">
      <w:bodyDiv w:val="1"/>
      <w:marLeft w:val="0"/>
      <w:marRight w:val="0"/>
      <w:marTop w:val="0"/>
      <w:marBottom w:val="0"/>
      <w:divBdr>
        <w:top w:val="none" w:sz="0" w:space="0" w:color="auto"/>
        <w:left w:val="none" w:sz="0" w:space="0" w:color="auto"/>
        <w:bottom w:val="none" w:sz="0" w:space="0" w:color="auto"/>
        <w:right w:val="none" w:sz="0" w:space="0" w:color="auto"/>
      </w:divBdr>
    </w:div>
    <w:div w:id="1678538217">
      <w:bodyDiv w:val="1"/>
      <w:marLeft w:val="0"/>
      <w:marRight w:val="0"/>
      <w:marTop w:val="0"/>
      <w:marBottom w:val="0"/>
      <w:divBdr>
        <w:top w:val="none" w:sz="0" w:space="0" w:color="auto"/>
        <w:left w:val="none" w:sz="0" w:space="0" w:color="auto"/>
        <w:bottom w:val="none" w:sz="0" w:space="0" w:color="auto"/>
        <w:right w:val="none" w:sz="0" w:space="0" w:color="auto"/>
      </w:divBdr>
    </w:div>
    <w:div w:id="1727876584">
      <w:bodyDiv w:val="1"/>
      <w:marLeft w:val="0"/>
      <w:marRight w:val="0"/>
      <w:marTop w:val="0"/>
      <w:marBottom w:val="0"/>
      <w:divBdr>
        <w:top w:val="none" w:sz="0" w:space="0" w:color="auto"/>
        <w:left w:val="none" w:sz="0" w:space="0" w:color="auto"/>
        <w:bottom w:val="none" w:sz="0" w:space="0" w:color="auto"/>
        <w:right w:val="none" w:sz="0" w:space="0" w:color="auto"/>
      </w:divBdr>
      <w:divsChild>
        <w:div w:id="681665745">
          <w:marLeft w:val="0"/>
          <w:marRight w:val="0"/>
          <w:marTop w:val="0"/>
          <w:marBottom w:val="375"/>
          <w:divBdr>
            <w:top w:val="none" w:sz="0" w:space="0" w:color="auto"/>
            <w:left w:val="none" w:sz="0" w:space="0" w:color="auto"/>
            <w:bottom w:val="none" w:sz="0" w:space="0" w:color="auto"/>
            <w:right w:val="none" w:sz="0" w:space="0" w:color="auto"/>
          </w:divBdr>
          <w:divsChild>
            <w:div w:id="537352322">
              <w:marLeft w:val="0"/>
              <w:marRight w:val="0"/>
              <w:marTop w:val="0"/>
              <w:marBottom w:val="0"/>
              <w:divBdr>
                <w:top w:val="none" w:sz="0" w:space="0" w:color="auto"/>
                <w:left w:val="none" w:sz="0" w:space="0" w:color="auto"/>
                <w:bottom w:val="none" w:sz="0" w:space="0" w:color="auto"/>
                <w:right w:val="none" w:sz="0" w:space="0" w:color="auto"/>
              </w:divBdr>
            </w:div>
          </w:divsChild>
        </w:div>
        <w:div w:id="985738090">
          <w:marLeft w:val="0"/>
          <w:marRight w:val="0"/>
          <w:marTop w:val="0"/>
          <w:marBottom w:val="375"/>
          <w:divBdr>
            <w:top w:val="none" w:sz="0" w:space="0" w:color="auto"/>
            <w:left w:val="none" w:sz="0" w:space="0" w:color="auto"/>
            <w:bottom w:val="none" w:sz="0" w:space="0" w:color="auto"/>
            <w:right w:val="none" w:sz="0" w:space="0" w:color="auto"/>
          </w:divBdr>
          <w:divsChild>
            <w:div w:id="746224850">
              <w:marLeft w:val="0"/>
              <w:marRight w:val="0"/>
              <w:marTop w:val="0"/>
              <w:marBottom w:val="0"/>
              <w:divBdr>
                <w:top w:val="none" w:sz="0" w:space="0" w:color="auto"/>
                <w:left w:val="none" w:sz="0" w:space="0" w:color="auto"/>
                <w:bottom w:val="none" w:sz="0" w:space="0" w:color="auto"/>
                <w:right w:val="none" w:sz="0" w:space="0" w:color="auto"/>
              </w:divBdr>
            </w:div>
          </w:divsChild>
        </w:div>
        <w:div w:id="994408881">
          <w:marLeft w:val="0"/>
          <w:marRight w:val="0"/>
          <w:marTop w:val="0"/>
          <w:marBottom w:val="375"/>
          <w:divBdr>
            <w:top w:val="none" w:sz="0" w:space="0" w:color="auto"/>
            <w:left w:val="none" w:sz="0" w:space="0" w:color="auto"/>
            <w:bottom w:val="none" w:sz="0" w:space="0" w:color="auto"/>
            <w:right w:val="none" w:sz="0" w:space="0" w:color="auto"/>
          </w:divBdr>
          <w:divsChild>
            <w:div w:id="644503503">
              <w:marLeft w:val="0"/>
              <w:marRight w:val="0"/>
              <w:marTop w:val="0"/>
              <w:marBottom w:val="0"/>
              <w:divBdr>
                <w:top w:val="none" w:sz="0" w:space="0" w:color="auto"/>
                <w:left w:val="none" w:sz="0" w:space="0" w:color="auto"/>
                <w:bottom w:val="none" w:sz="0" w:space="0" w:color="auto"/>
                <w:right w:val="none" w:sz="0" w:space="0" w:color="auto"/>
              </w:divBdr>
            </w:div>
          </w:divsChild>
        </w:div>
        <w:div w:id="1756585736">
          <w:marLeft w:val="0"/>
          <w:marRight w:val="0"/>
          <w:marTop w:val="0"/>
          <w:marBottom w:val="375"/>
          <w:divBdr>
            <w:top w:val="none" w:sz="0" w:space="0" w:color="auto"/>
            <w:left w:val="none" w:sz="0" w:space="0" w:color="auto"/>
            <w:bottom w:val="none" w:sz="0" w:space="0" w:color="auto"/>
            <w:right w:val="none" w:sz="0" w:space="0" w:color="auto"/>
          </w:divBdr>
          <w:divsChild>
            <w:div w:id="1203520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673525">
      <w:bodyDiv w:val="1"/>
      <w:marLeft w:val="0"/>
      <w:marRight w:val="0"/>
      <w:marTop w:val="0"/>
      <w:marBottom w:val="0"/>
      <w:divBdr>
        <w:top w:val="none" w:sz="0" w:space="0" w:color="auto"/>
        <w:left w:val="none" w:sz="0" w:space="0" w:color="auto"/>
        <w:bottom w:val="none" w:sz="0" w:space="0" w:color="auto"/>
        <w:right w:val="none" w:sz="0" w:space="0" w:color="auto"/>
      </w:divBdr>
    </w:div>
    <w:div w:id="1960988750">
      <w:bodyDiv w:val="1"/>
      <w:marLeft w:val="0"/>
      <w:marRight w:val="0"/>
      <w:marTop w:val="0"/>
      <w:marBottom w:val="0"/>
      <w:divBdr>
        <w:top w:val="none" w:sz="0" w:space="0" w:color="auto"/>
        <w:left w:val="none" w:sz="0" w:space="0" w:color="auto"/>
        <w:bottom w:val="none" w:sz="0" w:space="0" w:color="auto"/>
        <w:right w:val="none" w:sz="0" w:space="0" w:color="auto"/>
      </w:divBdr>
    </w:div>
    <w:div w:id="1979216760">
      <w:bodyDiv w:val="1"/>
      <w:marLeft w:val="0"/>
      <w:marRight w:val="0"/>
      <w:marTop w:val="0"/>
      <w:marBottom w:val="0"/>
      <w:divBdr>
        <w:top w:val="none" w:sz="0" w:space="0" w:color="auto"/>
        <w:left w:val="none" w:sz="0" w:space="0" w:color="auto"/>
        <w:bottom w:val="none" w:sz="0" w:space="0" w:color="auto"/>
        <w:right w:val="none" w:sz="0" w:space="0" w:color="auto"/>
      </w:divBdr>
    </w:div>
    <w:div w:id="2029524242">
      <w:bodyDiv w:val="1"/>
      <w:marLeft w:val="0"/>
      <w:marRight w:val="0"/>
      <w:marTop w:val="0"/>
      <w:marBottom w:val="0"/>
      <w:divBdr>
        <w:top w:val="none" w:sz="0" w:space="0" w:color="auto"/>
        <w:left w:val="none" w:sz="0" w:space="0" w:color="auto"/>
        <w:bottom w:val="none" w:sz="0" w:space="0" w:color="auto"/>
        <w:right w:val="none" w:sz="0" w:space="0" w:color="auto"/>
      </w:divBdr>
    </w:div>
    <w:div w:id="2110352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globaldatalab.org" TargetMode="External"/><Relationship Id="rId21" Type="http://schemas.openxmlformats.org/officeDocument/2006/relationships/image" Target="media/image12.jpeg"/><Relationship Id="rId42" Type="http://schemas.openxmlformats.org/officeDocument/2006/relationships/image" Target="media/image29.emf"/><Relationship Id="rId47" Type="http://schemas.openxmlformats.org/officeDocument/2006/relationships/diagramColors" Target="diagrams/colors1.xml"/><Relationship Id="rId63" Type="http://schemas.openxmlformats.org/officeDocument/2006/relationships/header" Target="header3.xml"/><Relationship Id="rId68" Type="http://schemas.openxmlformats.org/officeDocument/2006/relationships/image" Target="media/image36.jpeg"/><Relationship Id="rId84" Type="http://schemas.openxmlformats.org/officeDocument/2006/relationships/image" Target="media/image46.png"/><Relationship Id="rId89" Type="http://schemas.openxmlformats.org/officeDocument/2006/relationships/image" Target="media/image50.jpeg"/><Relationship Id="rId16" Type="http://schemas.openxmlformats.org/officeDocument/2006/relationships/image" Target="media/image7.jpeg"/><Relationship Id="rId107" Type="http://schemas.openxmlformats.org/officeDocument/2006/relationships/customXml" Target="../customXml/item2.xml"/><Relationship Id="rId11" Type="http://schemas.openxmlformats.org/officeDocument/2006/relationships/image" Target="media/image3.jpe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31.png"/><Relationship Id="rId58" Type="http://schemas.openxmlformats.org/officeDocument/2006/relationships/image" Target="media/image32.png"/><Relationship Id="rId74" Type="http://schemas.openxmlformats.org/officeDocument/2006/relationships/image" Target="media/image41.png"/><Relationship Id="rId79" Type="http://schemas.microsoft.com/office/2007/relationships/hdphoto" Target="media/hdphoto4.wdp"/><Relationship Id="rId102" Type="http://schemas.openxmlformats.org/officeDocument/2006/relationships/image" Target="media/image63.png"/><Relationship Id="rId5" Type="http://schemas.openxmlformats.org/officeDocument/2006/relationships/webSettings" Target="webSettings.xml"/><Relationship Id="rId90" Type="http://schemas.openxmlformats.org/officeDocument/2006/relationships/image" Target="media/image51.jpeg"/><Relationship Id="rId95" Type="http://schemas.openxmlformats.org/officeDocument/2006/relationships/image" Target="media/image56.jpeg"/><Relationship Id="rId22" Type="http://schemas.openxmlformats.org/officeDocument/2006/relationships/image" Target="media/image13.jpeg"/><Relationship Id="rId27" Type="http://schemas.openxmlformats.org/officeDocument/2006/relationships/image" Target="media/image17.png"/><Relationship Id="rId43" Type="http://schemas.openxmlformats.org/officeDocument/2006/relationships/hyperlink" Target="http://www.worldbank.org" TargetMode="External"/><Relationship Id="rId48" Type="http://schemas.microsoft.com/office/2007/relationships/diagramDrawing" Target="diagrams/drawing1.xml"/><Relationship Id="rId64" Type="http://schemas.openxmlformats.org/officeDocument/2006/relationships/footer" Target="footer7.xml"/><Relationship Id="rId69" Type="http://schemas.openxmlformats.org/officeDocument/2006/relationships/image" Target="media/image37.jpeg"/><Relationship Id="rId80" Type="http://schemas.openxmlformats.org/officeDocument/2006/relationships/image" Target="media/image44.png"/><Relationship Id="rId85" Type="http://schemas.microsoft.com/office/2007/relationships/hdphoto" Target="media/hdphoto7.wdp"/><Relationship Id="rId12" Type="http://schemas.openxmlformats.org/officeDocument/2006/relationships/footer" Target="footer2.xml"/><Relationship Id="rId17" Type="http://schemas.openxmlformats.org/officeDocument/2006/relationships/image" Target="media/image8.jpe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header" Target="header1.xml"/><Relationship Id="rId103" Type="http://schemas.openxmlformats.org/officeDocument/2006/relationships/image" Target="media/image64.png"/><Relationship Id="rId108" Type="http://schemas.openxmlformats.org/officeDocument/2006/relationships/customXml" Target="../customXml/item3.xml"/><Relationship Id="rId54" Type="http://schemas.openxmlformats.org/officeDocument/2006/relationships/hyperlink" Target="mailto:covid19@ins.gov.mz" TargetMode="External"/><Relationship Id="rId70" Type="http://schemas.openxmlformats.org/officeDocument/2006/relationships/image" Target="media/image38.jpeg"/><Relationship Id="rId75" Type="http://schemas.microsoft.com/office/2007/relationships/hdphoto" Target="media/hdphoto2.wdp"/><Relationship Id="rId91" Type="http://schemas.openxmlformats.org/officeDocument/2006/relationships/image" Target="media/image52.jpeg"/><Relationship Id="rId96"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0.png"/><Relationship Id="rId57" Type="http://schemas.openxmlformats.org/officeDocument/2006/relationships/hyperlink" Target="http://www.Joint.org.mz//public/assets/documentos/ongs_nacionais_que_actuam_no_pais" TargetMode="External"/><Relationship Id="rId106"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diagramData" Target="diagrams/data1.xml"/><Relationship Id="rId52" Type="http://schemas.openxmlformats.org/officeDocument/2006/relationships/footer" Target="footer4.xml"/><Relationship Id="rId60" Type="http://schemas.openxmlformats.org/officeDocument/2006/relationships/header" Target="header2.xml"/><Relationship Id="rId65" Type="http://schemas.openxmlformats.org/officeDocument/2006/relationships/image" Target="media/image33.jpeg"/><Relationship Id="rId73" Type="http://schemas.microsoft.com/office/2007/relationships/hdphoto" Target="media/hdphoto1.wdp"/><Relationship Id="rId78" Type="http://schemas.openxmlformats.org/officeDocument/2006/relationships/image" Target="media/image43.png"/><Relationship Id="rId81" Type="http://schemas.microsoft.com/office/2007/relationships/hdphoto" Target="media/hdphoto5.wdp"/><Relationship Id="rId86" Type="http://schemas.openxmlformats.org/officeDocument/2006/relationships/image" Target="media/image47.jpeg"/><Relationship Id="rId94" Type="http://schemas.openxmlformats.org/officeDocument/2006/relationships/image" Target="media/image55.jpeg"/><Relationship Id="rId99" Type="http://schemas.openxmlformats.org/officeDocument/2006/relationships/image" Target="media/image60.png"/><Relationship Id="rId101" Type="http://schemas.openxmlformats.org/officeDocument/2006/relationships/image" Target="media/image6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hyperlink" Target="https://www.dropbox.com/s/zv7upx6vewtwrhx/24_06_2021_QPGAS_AIAS-Vers%C3%A3o%20Final%20-Limpa.pdf?dl=0" TargetMode="External"/><Relationship Id="rId109" Type="http://schemas.openxmlformats.org/officeDocument/2006/relationships/customXml" Target="../customXml/item4.xml"/><Relationship Id="rId34" Type="http://schemas.openxmlformats.org/officeDocument/2006/relationships/image" Target="media/image24.png"/><Relationship Id="rId50" Type="http://schemas.openxmlformats.org/officeDocument/2006/relationships/hyperlink" Target="http://www.inspectionpanel.org" TargetMode="External"/><Relationship Id="rId55" Type="http://schemas.openxmlformats.org/officeDocument/2006/relationships/hyperlink" Target="https://riscocovid19.misau.gov.mz/" TargetMode="External"/><Relationship Id="rId76" Type="http://schemas.openxmlformats.org/officeDocument/2006/relationships/image" Target="media/image42.png"/><Relationship Id="rId97" Type="http://schemas.openxmlformats.org/officeDocument/2006/relationships/image" Target="media/image58.png"/><Relationship Id="rId104"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39.jpeg"/><Relationship Id="rId92"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5.jpeg"/><Relationship Id="rId40" Type="http://schemas.openxmlformats.org/officeDocument/2006/relationships/hyperlink" Target="mailto:consulta.pub@gmail.com" TargetMode="External"/><Relationship Id="rId45" Type="http://schemas.openxmlformats.org/officeDocument/2006/relationships/diagramLayout" Target="diagrams/layout1.xml"/><Relationship Id="rId66" Type="http://schemas.openxmlformats.org/officeDocument/2006/relationships/image" Target="media/image34.jpeg"/><Relationship Id="rId87" Type="http://schemas.openxmlformats.org/officeDocument/2006/relationships/image" Target="media/image48.jpeg"/><Relationship Id="rId61" Type="http://schemas.openxmlformats.org/officeDocument/2006/relationships/footer" Target="footer5.xml"/><Relationship Id="rId82" Type="http://schemas.openxmlformats.org/officeDocument/2006/relationships/image" Target="media/image45.pn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hyperlink" Target="https://covid19.ins.gov.mz/documentos-em-pdf/manuais-e-guioes/" TargetMode="External"/><Relationship Id="rId77" Type="http://schemas.microsoft.com/office/2007/relationships/hdphoto" Target="media/hdphoto3.wdp"/><Relationship Id="rId100" Type="http://schemas.openxmlformats.org/officeDocument/2006/relationships/image" Target="media/image61.png"/><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footer" Target="footer3.xml"/><Relationship Id="rId72" Type="http://schemas.openxmlformats.org/officeDocument/2006/relationships/image" Target="media/image40.png"/><Relationship Id="rId93" Type="http://schemas.openxmlformats.org/officeDocument/2006/relationships/image" Target="media/image54.jpeg"/><Relationship Id="rId98" Type="http://schemas.openxmlformats.org/officeDocument/2006/relationships/image" Target="media/image59.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diagramQuickStyle" Target="diagrams/quickStyle1.xml"/><Relationship Id="rId67" Type="http://schemas.openxmlformats.org/officeDocument/2006/relationships/image" Target="media/image35.jpeg"/><Relationship Id="rId20" Type="http://schemas.openxmlformats.org/officeDocument/2006/relationships/image" Target="media/image11.jpeg"/><Relationship Id="rId41" Type="http://schemas.openxmlformats.org/officeDocument/2006/relationships/hyperlink" Target="http://www.Joint.org.mz//public/assets/documentos/ongs_nacionais_que_actuam_no_pais" TargetMode="External"/><Relationship Id="rId62" Type="http://schemas.openxmlformats.org/officeDocument/2006/relationships/footer" Target="footer6.xml"/><Relationship Id="rId83" Type="http://schemas.microsoft.com/office/2007/relationships/hdphoto" Target="media/hdphoto6.wdp"/><Relationship Id="rId88" Type="http://schemas.openxmlformats.org/officeDocument/2006/relationships/image" Target="media/image49.jpe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16E95D5-8972-445E-82AA-61CA67F554CD}" type="doc">
      <dgm:prSet loTypeId="urn:microsoft.com/office/officeart/2005/8/layout/cycle4" loCatId="cycle" qsTypeId="urn:microsoft.com/office/officeart/2005/8/quickstyle/simple3" qsCatId="simple" csTypeId="urn:microsoft.com/office/officeart/2005/8/colors/colorful1" csCatId="colorful" phldr="1"/>
      <dgm:spPr/>
    </dgm:pt>
    <dgm:pt modelId="{C6E8A111-0C03-4E87-96A5-E53C4F423A72}">
      <dgm:prSet phldrT="[Text]" custT="1"/>
      <dgm:spPr>
        <a:xfrm>
          <a:off x="1570367" y="211467"/>
          <a:ext cx="1487724" cy="1487724"/>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n-US" sz="1800" dirty="0">
              <a:solidFill>
                <a:sysClr val="windowText" lastClr="000000"/>
              </a:solidFill>
              <a:latin typeface="Calibri" panose="020F0502020204030204"/>
              <a:ea typeface="+mn-ea"/>
              <a:cs typeface="+mn-cs"/>
            </a:rPr>
            <a:t>Planejar</a:t>
          </a:r>
        </a:p>
      </dgm:t>
    </dgm:pt>
    <dgm:pt modelId="{7F384ADB-29A0-437D-B896-8FA5D98E1563}" type="parTrans" cxnId="{0AD634A4-419A-42BB-B176-E2B0E9E108C3}">
      <dgm:prSet/>
      <dgm:spPr/>
      <dgm:t>
        <a:bodyPr/>
        <a:lstStyle/>
        <a:p>
          <a:endParaRPr lang="en-US" sz="1000"/>
        </a:p>
      </dgm:t>
    </dgm:pt>
    <dgm:pt modelId="{353E21F4-9123-4A16-87BD-20C0D69BD268}" type="sibTrans" cxnId="{0AD634A4-419A-42BB-B176-E2B0E9E108C3}">
      <dgm:prSet/>
      <dgm:spPr/>
      <dgm:t>
        <a:bodyPr/>
        <a:lstStyle/>
        <a:p>
          <a:endParaRPr lang="en-US" sz="1000"/>
        </a:p>
      </dgm:t>
    </dgm:pt>
    <dgm:pt modelId="{B93A3B3C-9466-45C4-89FF-60668A3030BB}">
      <dgm:prSet phldrT="[Text]" custT="1"/>
      <dgm:spPr>
        <a:xfrm rot="5400000">
          <a:off x="3126808" y="211467"/>
          <a:ext cx="1487724" cy="1487724"/>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n-US" sz="1800" dirty="0" err="1">
              <a:solidFill>
                <a:sysClr val="windowText" lastClr="000000"/>
              </a:solidFill>
              <a:latin typeface="Calibri" panose="020F0502020204030204"/>
              <a:ea typeface="+mn-ea"/>
              <a:cs typeface="+mn-cs"/>
            </a:rPr>
            <a:t>Fazer</a:t>
          </a:r>
          <a:endParaRPr lang="en-US" sz="1800" dirty="0">
            <a:solidFill>
              <a:sysClr val="windowText" lastClr="000000"/>
            </a:solidFill>
            <a:latin typeface="Calibri" panose="020F0502020204030204"/>
            <a:ea typeface="+mn-ea"/>
            <a:cs typeface="+mn-cs"/>
          </a:endParaRPr>
        </a:p>
      </dgm:t>
    </dgm:pt>
    <dgm:pt modelId="{44508D39-CE55-4B06-B3D1-B4175824B0C2}" type="parTrans" cxnId="{8AB6AC2D-4E19-445C-999B-FD13FA7E1787}">
      <dgm:prSet/>
      <dgm:spPr/>
      <dgm:t>
        <a:bodyPr/>
        <a:lstStyle/>
        <a:p>
          <a:endParaRPr lang="en-US" sz="1000"/>
        </a:p>
      </dgm:t>
    </dgm:pt>
    <dgm:pt modelId="{7E378467-2D64-4029-80AD-E69E09C069C5}" type="sibTrans" cxnId="{8AB6AC2D-4E19-445C-999B-FD13FA7E1787}">
      <dgm:prSet/>
      <dgm:spPr/>
      <dgm:t>
        <a:bodyPr/>
        <a:lstStyle/>
        <a:p>
          <a:endParaRPr lang="en-US" sz="1000"/>
        </a:p>
      </dgm:t>
    </dgm:pt>
    <dgm:pt modelId="{89A58911-63FC-4EAA-BFCB-2467EC8E0735}">
      <dgm:prSet phldrT="[Text]" custT="1"/>
      <dgm:spPr>
        <a:xfrm rot="10800000">
          <a:off x="3126808" y="1767908"/>
          <a:ext cx="1487724" cy="1487724"/>
        </a:xfr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n-US" sz="1800" dirty="0" err="1">
              <a:solidFill>
                <a:sysClr val="windowText" lastClr="000000"/>
              </a:solidFill>
              <a:latin typeface="Calibri" panose="020F0502020204030204"/>
              <a:ea typeface="+mn-ea"/>
              <a:cs typeface="+mn-cs"/>
            </a:rPr>
            <a:t>Verificar</a:t>
          </a:r>
          <a:endParaRPr lang="en-US" sz="1800" dirty="0">
            <a:solidFill>
              <a:sysClr val="windowText" lastClr="000000"/>
            </a:solidFill>
            <a:latin typeface="Calibri" panose="020F0502020204030204"/>
            <a:ea typeface="+mn-ea"/>
            <a:cs typeface="+mn-cs"/>
          </a:endParaRPr>
        </a:p>
      </dgm:t>
    </dgm:pt>
    <dgm:pt modelId="{3CDF037B-B0AA-4431-BDC8-7C5471779E44}" type="parTrans" cxnId="{50AC36B8-3F0E-4685-B105-B3736ACCDEA6}">
      <dgm:prSet/>
      <dgm:spPr/>
      <dgm:t>
        <a:bodyPr/>
        <a:lstStyle/>
        <a:p>
          <a:endParaRPr lang="en-US" sz="1000"/>
        </a:p>
      </dgm:t>
    </dgm:pt>
    <dgm:pt modelId="{69235106-FAD4-46EE-9B1E-55A5257E9D29}" type="sibTrans" cxnId="{50AC36B8-3F0E-4685-B105-B3736ACCDEA6}">
      <dgm:prSet/>
      <dgm:spPr/>
      <dgm:t>
        <a:bodyPr/>
        <a:lstStyle/>
        <a:p>
          <a:endParaRPr lang="en-US" sz="1000"/>
        </a:p>
      </dgm:t>
    </dgm:pt>
    <dgm:pt modelId="{CAB9613B-20F5-468A-BB87-17F327CEB36C}">
      <dgm:prSet phldrT="[Text]" custT="1"/>
      <dgm:spPr>
        <a:xfrm rot="16200000">
          <a:off x="1570367" y="1767908"/>
          <a:ext cx="1487724" cy="1487724"/>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n-US" sz="1800" dirty="0" err="1">
              <a:solidFill>
                <a:sysClr val="windowText" lastClr="000000"/>
              </a:solidFill>
              <a:latin typeface="Calibri" panose="020F0502020204030204"/>
              <a:ea typeface="+mn-ea"/>
              <a:cs typeface="+mn-cs"/>
            </a:rPr>
            <a:t>Agir</a:t>
          </a:r>
          <a:endParaRPr lang="en-US" sz="1800" dirty="0">
            <a:solidFill>
              <a:sysClr val="windowText" lastClr="000000"/>
            </a:solidFill>
            <a:latin typeface="Calibri" panose="020F0502020204030204"/>
            <a:ea typeface="+mn-ea"/>
            <a:cs typeface="+mn-cs"/>
          </a:endParaRPr>
        </a:p>
      </dgm:t>
    </dgm:pt>
    <dgm:pt modelId="{8D8E2B22-ED86-494C-BE36-EAE46A7CECFE}" type="parTrans" cxnId="{6541BF61-5584-4A7D-BD63-A3A13EC89F31}">
      <dgm:prSet/>
      <dgm:spPr/>
      <dgm:t>
        <a:bodyPr/>
        <a:lstStyle/>
        <a:p>
          <a:endParaRPr lang="en-US" sz="1000"/>
        </a:p>
      </dgm:t>
    </dgm:pt>
    <dgm:pt modelId="{3CDDD4E5-C4F7-4DFB-BDC8-CB27ED9765C5}" type="sibTrans" cxnId="{6541BF61-5584-4A7D-BD63-A3A13EC89F31}">
      <dgm:prSet/>
      <dgm:spPr/>
      <dgm:t>
        <a:bodyPr/>
        <a:lstStyle/>
        <a:p>
          <a:endParaRPr lang="en-US" sz="1000"/>
        </a:p>
      </dgm:t>
    </dgm:pt>
    <dgm:pt modelId="{3D299156-B426-44E7-A612-76D0A144D723}">
      <dgm:prSet phldrT="[Text]" custT="1"/>
      <dgm:spPr>
        <a:xfrm>
          <a:off x="123335" y="48167"/>
          <a:ext cx="2724727" cy="1096878"/>
        </a:xfr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dgm:spPr>
      <dgm:t>
        <a:bodyPr/>
        <a:lstStyle/>
        <a:p>
          <a:pPr>
            <a:buChar char="•"/>
          </a:pPr>
          <a:r>
            <a:rPr lang="en-US" sz="900" dirty="0" err="1">
              <a:solidFill>
                <a:sysClr val="windowText" lastClr="000000">
                  <a:hueOff val="0"/>
                  <a:satOff val="0"/>
                  <a:lumOff val="0"/>
                  <a:alphaOff val="0"/>
                </a:sysClr>
              </a:solidFill>
              <a:latin typeface="Calibri" panose="020F0502020204030204"/>
              <a:ea typeface="+mn-ea"/>
              <a:cs typeface="+mn-cs"/>
            </a:rPr>
            <a:t>Políticas</a:t>
          </a:r>
          <a:endParaRPr lang="en-US" sz="900" dirty="0">
            <a:solidFill>
              <a:sysClr val="windowText" lastClr="000000">
                <a:hueOff val="0"/>
                <a:satOff val="0"/>
                <a:lumOff val="0"/>
                <a:alphaOff val="0"/>
              </a:sysClr>
            </a:solidFill>
            <a:latin typeface="Calibri" panose="020F0502020204030204"/>
            <a:ea typeface="+mn-ea"/>
            <a:cs typeface="+mn-cs"/>
          </a:endParaRPr>
        </a:p>
      </dgm:t>
    </dgm:pt>
    <dgm:pt modelId="{53ADF470-C4BA-4B6C-AC07-05A0FD469851}" type="parTrans" cxnId="{15C8377F-432F-4839-B4E8-6FDFDE52F434}">
      <dgm:prSet/>
      <dgm:spPr/>
      <dgm:t>
        <a:bodyPr/>
        <a:lstStyle/>
        <a:p>
          <a:endParaRPr lang="en-US" sz="1000"/>
        </a:p>
      </dgm:t>
    </dgm:pt>
    <dgm:pt modelId="{C4CFA813-CE8D-47A2-B6D9-6DEC03D73426}" type="sibTrans" cxnId="{15C8377F-432F-4839-B4E8-6FDFDE52F434}">
      <dgm:prSet/>
      <dgm:spPr/>
      <dgm:t>
        <a:bodyPr/>
        <a:lstStyle/>
        <a:p>
          <a:endParaRPr lang="en-US" sz="1000"/>
        </a:p>
      </dgm:t>
    </dgm:pt>
    <dgm:pt modelId="{83150BF9-CEBE-488B-B37F-9662BAFBAB44}">
      <dgm:prSet phldrT="[Text]" custT="1"/>
      <dgm:spPr>
        <a:xfrm>
          <a:off x="2571765" y="64418"/>
          <a:ext cx="3613134" cy="1224461"/>
        </a:xfrm>
        <a:solidFill>
          <a:sysClr val="window" lastClr="FFFFFF">
            <a:alpha val="90000"/>
            <a:hueOff val="0"/>
            <a:satOff val="0"/>
            <a:lumOff val="0"/>
            <a:alphaOff val="0"/>
          </a:sysClr>
        </a:solidFill>
        <a:ln w="6350" cap="flat" cmpd="sng" algn="ctr">
          <a:solidFill>
            <a:srgbClr val="A5A5A5">
              <a:hueOff val="0"/>
              <a:satOff val="0"/>
              <a:lumOff val="0"/>
              <a:alphaOff val="0"/>
            </a:srgbClr>
          </a:solidFill>
          <a:prstDash val="solid"/>
          <a:miter lim="800000"/>
        </a:ln>
        <a:effectLst/>
      </dgm:spPr>
      <dgm:t>
        <a:bodyPr/>
        <a:lstStyle/>
        <a:p>
          <a:pPr>
            <a:buChar char="•"/>
          </a:pPr>
          <a:r>
            <a:rPr lang="en-US" sz="900" dirty="0" err="1">
              <a:solidFill>
                <a:sysClr val="windowText" lastClr="000000">
                  <a:hueOff val="0"/>
                  <a:satOff val="0"/>
                  <a:lumOff val="0"/>
                  <a:alphaOff val="0"/>
                </a:sysClr>
              </a:solidFill>
              <a:latin typeface="Calibri" panose="020F0502020204030204"/>
              <a:ea typeface="+mn-ea"/>
              <a:cs typeface="+mn-cs"/>
            </a:rPr>
            <a:t>Preparação e Resposta a Situações de Emergência</a:t>
          </a:r>
          <a:endParaRPr lang="en-US" sz="900" dirty="0">
            <a:solidFill>
              <a:sysClr val="windowText" lastClr="000000">
                <a:hueOff val="0"/>
                <a:satOff val="0"/>
                <a:lumOff val="0"/>
                <a:alphaOff val="0"/>
              </a:sysClr>
            </a:solidFill>
            <a:latin typeface="Calibri" panose="020F0502020204030204"/>
            <a:ea typeface="+mn-ea"/>
            <a:cs typeface="+mn-cs"/>
          </a:endParaRPr>
        </a:p>
      </dgm:t>
    </dgm:pt>
    <dgm:pt modelId="{C343EDE2-EE30-4D64-9F84-31ADE4272C1F}" type="parTrans" cxnId="{8B93F623-F701-4EF2-A507-8E5AC54FB62E}">
      <dgm:prSet/>
      <dgm:spPr/>
      <dgm:t>
        <a:bodyPr/>
        <a:lstStyle/>
        <a:p>
          <a:endParaRPr lang="en-US" sz="1000"/>
        </a:p>
      </dgm:t>
    </dgm:pt>
    <dgm:pt modelId="{7629CDA3-5924-43CB-B4F6-A0B5F5363C53}" type="sibTrans" cxnId="{8B93F623-F701-4EF2-A507-8E5AC54FB62E}">
      <dgm:prSet/>
      <dgm:spPr/>
      <dgm:t>
        <a:bodyPr/>
        <a:lstStyle/>
        <a:p>
          <a:endParaRPr lang="en-US" sz="1000"/>
        </a:p>
      </dgm:t>
    </dgm:pt>
    <dgm:pt modelId="{8D75FE92-FDE7-4CCA-A18C-3422FECACF3D}">
      <dgm:prSet phldrT="[Text]" custT="1"/>
      <dgm:spPr>
        <a:xfrm>
          <a:off x="47236" y="2375246"/>
          <a:ext cx="2641101" cy="1099472"/>
        </a:xfrm>
        <a:solidFill>
          <a:sysClr val="window" lastClr="FFFFFF">
            <a:alpha val="90000"/>
            <a:hueOff val="0"/>
            <a:satOff val="0"/>
            <a:lumOff val="0"/>
            <a:alphaOff val="0"/>
          </a:sysClr>
        </a:solidFill>
        <a:ln w="6350" cap="flat" cmpd="sng" algn="ctr">
          <a:solidFill>
            <a:srgbClr val="5B9BD5">
              <a:hueOff val="0"/>
              <a:satOff val="0"/>
              <a:lumOff val="0"/>
              <a:alphaOff val="0"/>
            </a:srgbClr>
          </a:solidFill>
          <a:prstDash val="solid"/>
          <a:miter lim="800000"/>
        </a:ln>
        <a:effectLst/>
      </dgm:spPr>
      <dgm:t>
        <a:bodyPr/>
        <a:lstStyle/>
        <a:p>
          <a:pPr>
            <a:buChar char="•"/>
          </a:pPr>
          <a:r>
            <a:rPr lang="en-US" sz="900" dirty="0">
              <a:solidFill>
                <a:sysClr val="windowText" lastClr="000000">
                  <a:hueOff val="0"/>
                  <a:satOff val="0"/>
                  <a:lumOff val="0"/>
                  <a:alphaOff val="0"/>
                </a:sysClr>
              </a:solidFill>
              <a:latin typeface="Calibri" panose="020F0502020204030204"/>
              <a:ea typeface="+mn-ea"/>
              <a:cs typeface="+mn-cs"/>
            </a:rPr>
            <a:t>Avaliação do Desempenho e Progresso das actividades </a:t>
          </a:r>
        </a:p>
      </dgm:t>
    </dgm:pt>
    <dgm:pt modelId="{6DDF05FE-D7AC-4E3A-9F9A-6FED48292D5B}" type="parTrans" cxnId="{4FC22B2E-E1BB-4067-B6C2-554B74A71F88}">
      <dgm:prSet/>
      <dgm:spPr/>
      <dgm:t>
        <a:bodyPr/>
        <a:lstStyle/>
        <a:p>
          <a:endParaRPr lang="en-US" sz="1000"/>
        </a:p>
      </dgm:t>
    </dgm:pt>
    <dgm:pt modelId="{A8E1F730-7448-4E59-9EC4-C9FF61ED23A2}" type="sibTrans" cxnId="{4FC22B2E-E1BB-4067-B6C2-554B74A71F88}">
      <dgm:prSet/>
      <dgm:spPr/>
      <dgm:t>
        <a:bodyPr/>
        <a:lstStyle/>
        <a:p>
          <a:endParaRPr lang="en-US" sz="1000"/>
        </a:p>
      </dgm:t>
    </dgm:pt>
    <dgm:pt modelId="{E77ACBAA-020B-4F5C-BABE-D80011D2D0EA}">
      <dgm:prSet phldrT="[Text]" custT="1"/>
      <dgm:spPr>
        <a:xfrm>
          <a:off x="123335" y="48167"/>
          <a:ext cx="2724727" cy="1096878"/>
        </a:xfr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dgm:spPr>
      <dgm:t>
        <a:bodyPr/>
        <a:lstStyle/>
        <a:p>
          <a:pPr>
            <a:buChar char="•"/>
          </a:pPr>
          <a:r>
            <a:rPr lang="en-US" sz="900" dirty="0">
              <a:solidFill>
                <a:sysClr val="windowText" lastClr="000000">
                  <a:hueOff val="0"/>
                  <a:satOff val="0"/>
                  <a:lumOff val="0"/>
                  <a:alphaOff val="0"/>
                </a:sysClr>
              </a:solidFill>
              <a:latin typeface="Calibri" panose="020F0502020204030204"/>
              <a:ea typeface="+mn-ea"/>
              <a:cs typeface="+mn-cs"/>
            </a:rPr>
            <a:t>Identificação de riscos e impactos</a:t>
          </a:r>
        </a:p>
      </dgm:t>
    </dgm:pt>
    <dgm:pt modelId="{F11EFD7B-A743-4E4B-A12A-3D7D0E847611}" type="parTrans" cxnId="{00DF6E58-4570-4A98-8AC4-BDCDB86C48A1}">
      <dgm:prSet/>
      <dgm:spPr/>
      <dgm:t>
        <a:bodyPr/>
        <a:lstStyle/>
        <a:p>
          <a:endParaRPr lang="en-US" sz="1000"/>
        </a:p>
      </dgm:t>
    </dgm:pt>
    <dgm:pt modelId="{C9A6B96C-8E8D-41A0-9DB0-E101D80EAF44}" type="sibTrans" cxnId="{00DF6E58-4570-4A98-8AC4-BDCDB86C48A1}">
      <dgm:prSet/>
      <dgm:spPr/>
      <dgm:t>
        <a:bodyPr/>
        <a:lstStyle/>
        <a:p>
          <a:endParaRPr lang="en-US" sz="1000"/>
        </a:p>
      </dgm:t>
    </dgm:pt>
    <dgm:pt modelId="{6176878E-EE58-4197-8248-0AAE42F66E75}">
      <dgm:prSet phldrT="[Text]" custT="1"/>
      <dgm:spPr>
        <a:xfrm>
          <a:off x="123335" y="48167"/>
          <a:ext cx="2724727" cy="1096878"/>
        </a:xfr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dgm:spPr>
      <dgm:t>
        <a:bodyPr/>
        <a:lstStyle/>
        <a:p>
          <a:pPr>
            <a:buChar char="•"/>
          </a:pPr>
          <a:r>
            <a:rPr lang="en-US" sz="900" dirty="0">
              <a:solidFill>
                <a:sysClr val="windowText" lastClr="000000">
                  <a:hueOff val="0"/>
                  <a:satOff val="0"/>
                  <a:lumOff val="0"/>
                  <a:alphaOff val="0"/>
                </a:sysClr>
              </a:solidFill>
              <a:latin typeface="Calibri" panose="020F0502020204030204"/>
              <a:ea typeface="+mn-ea"/>
              <a:cs typeface="+mn-cs"/>
            </a:rPr>
            <a:t>Planos de Gestão Ambiental e Social</a:t>
          </a:r>
        </a:p>
      </dgm:t>
    </dgm:pt>
    <dgm:pt modelId="{7EDB906E-6E66-4FA1-8E33-D984E566F2C9}" type="parTrans" cxnId="{9DEB4436-DD06-4657-9FCC-188682DCBAD1}">
      <dgm:prSet/>
      <dgm:spPr/>
      <dgm:t>
        <a:bodyPr/>
        <a:lstStyle/>
        <a:p>
          <a:endParaRPr lang="en-US" sz="1000"/>
        </a:p>
      </dgm:t>
    </dgm:pt>
    <dgm:pt modelId="{EBE6FDE3-4750-46DD-BAE0-2D5767B6EB95}" type="sibTrans" cxnId="{9DEB4436-DD06-4657-9FCC-188682DCBAD1}">
      <dgm:prSet/>
      <dgm:spPr/>
      <dgm:t>
        <a:bodyPr/>
        <a:lstStyle/>
        <a:p>
          <a:endParaRPr lang="en-US" sz="1000"/>
        </a:p>
      </dgm:t>
    </dgm:pt>
    <dgm:pt modelId="{8C237D0D-B458-4583-AC1A-8376D00E3C04}">
      <dgm:prSet phldrT="[Text]" custT="1"/>
      <dgm:spPr>
        <a:xfrm>
          <a:off x="123335" y="48167"/>
          <a:ext cx="2724727" cy="1096878"/>
        </a:xfr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dgm:spPr>
      <dgm:t>
        <a:bodyPr/>
        <a:lstStyle/>
        <a:p>
          <a:pPr>
            <a:buChar char="•"/>
          </a:pPr>
          <a:r>
            <a:rPr lang="en-US" sz="900" dirty="0">
              <a:solidFill>
                <a:sysClr val="windowText" lastClr="000000">
                  <a:hueOff val="0"/>
                  <a:satOff val="0"/>
                  <a:lumOff val="0"/>
                  <a:alphaOff val="0"/>
                </a:sysClr>
              </a:solidFill>
              <a:latin typeface="Calibri" panose="020F0502020204030204"/>
              <a:ea typeface="+mn-ea"/>
              <a:cs typeface="+mn-cs"/>
            </a:rPr>
            <a:t>Plano de Compromisso Ambiental e Social</a:t>
          </a:r>
        </a:p>
      </dgm:t>
    </dgm:pt>
    <dgm:pt modelId="{A2CEFBA4-E439-4E11-BFBF-93D8D60D9718}" type="parTrans" cxnId="{96C3076B-2B7D-4341-B51E-6B4C981853FD}">
      <dgm:prSet/>
      <dgm:spPr/>
      <dgm:t>
        <a:bodyPr/>
        <a:lstStyle/>
        <a:p>
          <a:endParaRPr lang="en-US" sz="1000"/>
        </a:p>
      </dgm:t>
    </dgm:pt>
    <dgm:pt modelId="{0B550125-7A42-466B-AFB5-8114357710BD}" type="sibTrans" cxnId="{96C3076B-2B7D-4341-B51E-6B4C981853FD}">
      <dgm:prSet/>
      <dgm:spPr/>
      <dgm:t>
        <a:bodyPr/>
        <a:lstStyle/>
        <a:p>
          <a:endParaRPr lang="en-US" sz="1000"/>
        </a:p>
      </dgm:t>
    </dgm:pt>
    <dgm:pt modelId="{CA6EB899-9D15-4033-A754-E94185F58449}">
      <dgm:prSet phldrT="[Text]" custT="1"/>
      <dgm:spPr>
        <a:xfrm>
          <a:off x="123335" y="48167"/>
          <a:ext cx="2724727" cy="1096878"/>
        </a:xfr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dgm:spPr>
      <dgm:t>
        <a:bodyPr/>
        <a:lstStyle/>
        <a:p>
          <a:pPr>
            <a:buChar char="•"/>
          </a:pPr>
          <a:r>
            <a:rPr lang="en-US" sz="900" dirty="0">
              <a:solidFill>
                <a:sysClr val="windowText" lastClr="000000">
                  <a:hueOff val="0"/>
                  <a:satOff val="0"/>
                  <a:lumOff val="0"/>
                  <a:alphaOff val="0"/>
                </a:sysClr>
              </a:solidFill>
              <a:latin typeface="Calibri" panose="020F0502020204030204"/>
              <a:ea typeface="+mn-ea"/>
              <a:cs typeface="+mn-cs"/>
            </a:rPr>
            <a:t>Capacidade e Competência Organizacional</a:t>
          </a:r>
        </a:p>
      </dgm:t>
    </dgm:pt>
    <dgm:pt modelId="{AB8B3904-CF7B-4FFC-A7CF-7B4BF15386DA}" type="parTrans" cxnId="{AACC6897-BE8B-42C8-92B3-F74959D19CB8}">
      <dgm:prSet/>
      <dgm:spPr/>
      <dgm:t>
        <a:bodyPr/>
        <a:lstStyle/>
        <a:p>
          <a:endParaRPr lang="en-US" sz="1000"/>
        </a:p>
      </dgm:t>
    </dgm:pt>
    <dgm:pt modelId="{9521E7A2-53AD-4A91-83B4-FAD8D3785DEC}" type="sibTrans" cxnId="{AACC6897-BE8B-42C8-92B3-F74959D19CB8}">
      <dgm:prSet/>
      <dgm:spPr/>
      <dgm:t>
        <a:bodyPr/>
        <a:lstStyle/>
        <a:p>
          <a:endParaRPr lang="en-US" sz="1000"/>
        </a:p>
      </dgm:t>
    </dgm:pt>
    <dgm:pt modelId="{1901E358-0CFE-48A9-8FFC-19C879C0048F}">
      <dgm:prSet phldrT="[Text]" custT="1"/>
      <dgm:spPr>
        <a:xfrm>
          <a:off x="2571765" y="64418"/>
          <a:ext cx="3613134" cy="1224461"/>
        </a:xfrm>
        <a:solidFill>
          <a:sysClr val="window" lastClr="FFFFFF">
            <a:alpha val="90000"/>
            <a:hueOff val="0"/>
            <a:satOff val="0"/>
            <a:lumOff val="0"/>
            <a:alphaOff val="0"/>
          </a:sysClr>
        </a:solidFill>
        <a:ln w="6350" cap="flat" cmpd="sng" algn="ctr">
          <a:solidFill>
            <a:srgbClr val="A5A5A5">
              <a:hueOff val="0"/>
              <a:satOff val="0"/>
              <a:lumOff val="0"/>
              <a:alphaOff val="0"/>
            </a:srgbClr>
          </a:solidFill>
          <a:prstDash val="solid"/>
          <a:miter lim="800000"/>
        </a:ln>
        <a:effectLst/>
      </dgm:spPr>
      <dgm:t>
        <a:bodyPr/>
        <a:lstStyle/>
        <a:p>
          <a:pPr>
            <a:buChar char="•"/>
          </a:pPr>
          <a:r>
            <a:rPr lang="en-US" sz="900" dirty="0">
              <a:solidFill>
                <a:sysClr val="windowText" lastClr="000000">
                  <a:hueOff val="0"/>
                  <a:satOff val="0"/>
                  <a:lumOff val="0"/>
                  <a:alphaOff val="0"/>
                </a:sysClr>
              </a:solidFill>
              <a:latin typeface="Calibri" panose="020F0502020204030204"/>
              <a:ea typeface="+mn-ea"/>
              <a:cs typeface="+mn-cs"/>
            </a:rPr>
            <a:t> Engajamento com as Partes de interessadas </a:t>
          </a:r>
        </a:p>
      </dgm:t>
    </dgm:pt>
    <dgm:pt modelId="{8286F99B-09D8-4591-B582-03F9FF4F3C9E}" type="parTrans" cxnId="{29914455-6210-4BE6-9417-B2ED82C221C0}">
      <dgm:prSet/>
      <dgm:spPr/>
      <dgm:t>
        <a:bodyPr/>
        <a:lstStyle/>
        <a:p>
          <a:endParaRPr lang="en-US" sz="1000"/>
        </a:p>
      </dgm:t>
    </dgm:pt>
    <dgm:pt modelId="{6C208C6A-2A1A-4221-8888-2CD4E9C3CC84}" type="sibTrans" cxnId="{29914455-6210-4BE6-9417-B2ED82C221C0}">
      <dgm:prSet/>
      <dgm:spPr/>
      <dgm:t>
        <a:bodyPr/>
        <a:lstStyle/>
        <a:p>
          <a:endParaRPr lang="en-US" sz="1000"/>
        </a:p>
      </dgm:t>
    </dgm:pt>
    <dgm:pt modelId="{5740E3E9-C773-4FD8-8784-FC56BB636D6A}">
      <dgm:prSet phldrT="[Text]" custT="1"/>
      <dgm:spPr>
        <a:xfrm>
          <a:off x="2571765" y="64418"/>
          <a:ext cx="3613134" cy="1224461"/>
        </a:xfrm>
        <a:solidFill>
          <a:sysClr val="window" lastClr="FFFFFF">
            <a:alpha val="90000"/>
            <a:hueOff val="0"/>
            <a:satOff val="0"/>
            <a:lumOff val="0"/>
            <a:alphaOff val="0"/>
          </a:sysClr>
        </a:solidFill>
        <a:ln w="6350" cap="flat" cmpd="sng" algn="ctr">
          <a:solidFill>
            <a:srgbClr val="A5A5A5">
              <a:hueOff val="0"/>
              <a:satOff val="0"/>
              <a:lumOff val="0"/>
              <a:alphaOff val="0"/>
            </a:srgbClr>
          </a:solidFill>
          <a:prstDash val="solid"/>
          <a:miter lim="800000"/>
        </a:ln>
        <a:effectLst/>
      </dgm:spPr>
      <dgm:t>
        <a:bodyPr/>
        <a:lstStyle/>
        <a:p>
          <a:pPr>
            <a:buChar char="•"/>
          </a:pPr>
          <a:r>
            <a:rPr lang="en-US" sz="900" dirty="0">
              <a:solidFill>
                <a:sysClr val="windowText" lastClr="000000">
                  <a:hueOff val="0"/>
                  <a:satOff val="0"/>
                  <a:lumOff val="0"/>
                  <a:alphaOff val="0"/>
                </a:sysClr>
              </a:solidFill>
              <a:latin typeface="Calibri" panose="020F0502020204030204"/>
              <a:ea typeface="+mn-ea"/>
              <a:cs typeface="+mn-cs"/>
            </a:rPr>
            <a:t>C          Comunicação Externa e mecanismo de   e            r              reclamações e queixas</a:t>
          </a:r>
        </a:p>
      </dgm:t>
    </dgm:pt>
    <dgm:pt modelId="{B1FC926B-BEC6-48E3-BCFD-A0818F195653}" type="parTrans" cxnId="{45A89922-E648-4646-A40D-746B9672532B}">
      <dgm:prSet/>
      <dgm:spPr/>
      <dgm:t>
        <a:bodyPr/>
        <a:lstStyle/>
        <a:p>
          <a:endParaRPr lang="en-US" sz="1000"/>
        </a:p>
      </dgm:t>
    </dgm:pt>
    <dgm:pt modelId="{0D8DE356-D747-4D5A-BDE6-75451438B836}" type="sibTrans" cxnId="{45A89922-E648-4646-A40D-746B9672532B}">
      <dgm:prSet/>
      <dgm:spPr/>
      <dgm:t>
        <a:bodyPr/>
        <a:lstStyle/>
        <a:p>
          <a:endParaRPr lang="en-US" sz="1000"/>
        </a:p>
      </dgm:t>
    </dgm:pt>
    <dgm:pt modelId="{122F6BBA-9ECF-4DA0-9E98-77239BE1DD1C}">
      <dgm:prSet phldrT="[Text]" custT="1"/>
      <dgm:spPr>
        <a:xfrm>
          <a:off x="2845236" y="2352091"/>
          <a:ext cx="3339663" cy="1099472"/>
        </a:xfrm>
        <a:solidFill>
          <a:sysClr val="window" lastClr="FFFFFF">
            <a:alpha val="90000"/>
            <a:hueOff val="0"/>
            <a:satOff val="0"/>
            <a:lumOff val="0"/>
            <a:alphaOff val="0"/>
          </a:sysClr>
        </a:solidFill>
        <a:ln w="6350" cap="flat" cmpd="sng" algn="ctr">
          <a:solidFill>
            <a:srgbClr val="FFC000">
              <a:hueOff val="0"/>
              <a:satOff val="0"/>
              <a:lumOff val="0"/>
              <a:alphaOff val="0"/>
            </a:srgbClr>
          </a:solidFill>
          <a:prstDash val="solid"/>
          <a:miter lim="800000"/>
        </a:ln>
        <a:effectLst/>
      </dgm:spPr>
      <dgm:t>
        <a:bodyPr/>
        <a:lstStyle/>
        <a:p>
          <a:pPr algn="just">
            <a:buFont typeface="Arial" panose="020B0604020202020204" pitchFamily="34" charset="0"/>
            <a:buChar char="•"/>
          </a:pPr>
          <a:r>
            <a:rPr lang="en-US" sz="900" dirty="0">
              <a:solidFill>
                <a:sysClr val="windowText" lastClr="000000">
                  <a:hueOff val="0"/>
                  <a:satOff val="0"/>
                  <a:lumOff val="0"/>
                  <a:alphaOff val="0"/>
                </a:sysClr>
              </a:solidFill>
              <a:latin typeface="Calibri" panose="020F0502020204030204"/>
              <a:ea typeface="+mn-ea"/>
              <a:cs typeface="+mn-cs"/>
            </a:rPr>
            <a:t>            Relatórios</a:t>
          </a:r>
          <a:r>
            <a:rPr lang="en-US" sz="900" baseline="0" dirty="0">
              <a:solidFill>
                <a:sysClr val="windowText" lastClr="000000">
                  <a:hueOff val="0"/>
                  <a:satOff val="0"/>
                  <a:lumOff val="0"/>
                  <a:alphaOff val="0"/>
                </a:sysClr>
              </a:solidFill>
              <a:latin typeface="Calibri" panose="020F0502020204030204"/>
              <a:ea typeface="+mn-ea"/>
              <a:cs typeface="+mn-cs"/>
            </a:rPr>
            <a:t> de implementação dos PGAS</a:t>
          </a:r>
          <a:endParaRPr lang="en-US" sz="900" dirty="0">
            <a:solidFill>
              <a:sysClr val="windowText" lastClr="000000">
                <a:hueOff val="0"/>
                <a:satOff val="0"/>
                <a:lumOff val="0"/>
                <a:alphaOff val="0"/>
              </a:sysClr>
            </a:solidFill>
            <a:latin typeface="Calibri" panose="020F0502020204030204"/>
            <a:ea typeface="+mn-ea"/>
            <a:cs typeface="+mn-cs"/>
          </a:endParaRPr>
        </a:p>
      </dgm:t>
    </dgm:pt>
    <dgm:pt modelId="{FCE39589-DAED-41E3-A40E-B629E5EFA6C7}" type="sibTrans" cxnId="{F7DAFA34-33D1-4428-816C-9D5BD43D3FEC}">
      <dgm:prSet/>
      <dgm:spPr/>
      <dgm:t>
        <a:bodyPr/>
        <a:lstStyle/>
        <a:p>
          <a:endParaRPr lang="en-US" sz="1000"/>
        </a:p>
      </dgm:t>
    </dgm:pt>
    <dgm:pt modelId="{AA120A35-0CB4-4D96-ACC2-1EB2A5FA2CD5}" type="parTrans" cxnId="{F7DAFA34-33D1-4428-816C-9D5BD43D3FEC}">
      <dgm:prSet/>
      <dgm:spPr/>
      <dgm:t>
        <a:bodyPr/>
        <a:lstStyle/>
        <a:p>
          <a:endParaRPr lang="en-US" sz="1000"/>
        </a:p>
      </dgm:t>
    </dgm:pt>
    <dgm:pt modelId="{6F80DFC8-690C-4ADA-8131-7A19F69DD2AA}">
      <dgm:prSet phldrT="[Text]" custT="1"/>
      <dgm:spPr>
        <a:xfrm>
          <a:off x="2571765" y="64418"/>
          <a:ext cx="3613134" cy="1224461"/>
        </a:xfrm>
        <a:solidFill>
          <a:sysClr val="window" lastClr="FFFFFF">
            <a:alpha val="90000"/>
            <a:hueOff val="0"/>
            <a:satOff val="0"/>
            <a:lumOff val="0"/>
            <a:alphaOff val="0"/>
          </a:sysClr>
        </a:solidFill>
        <a:ln w="6350" cap="flat" cmpd="sng" algn="ctr">
          <a:solidFill>
            <a:srgbClr val="A5A5A5">
              <a:hueOff val="0"/>
              <a:satOff val="0"/>
              <a:lumOff val="0"/>
              <a:alphaOff val="0"/>
            </a:srgbClr>
          </a:solidFill>
          <a:prstDash val="solid"/>
          <a:miter lim="800000"/>
        </a:ln>
        <a:effectLst/>
      </dgm:spPr>
      <dgm:t>
        <a:bodyPr/>
        <a:lstStyle/>
        <a:p>
          <a:pPr>
            <a:buChar char="•"/>
          </a:pPr>
          <a:r>
            <a:rPr lang="en-US" sz="900" dirty="0">
              <a:solidFill>
                <a:sysClr val="windowText" lastClr="000000">
                  <a:hueOff val="0"/>
                  <a:satOff val="0"/>
                  <a:lumOff val="0"/>
                  <a:alphaOff val="0"/>
                </a:sysClr>
              </a:solidFill>
              <a:latin typeface="Calibri" panose="020F0502020204030204"/>
              <a:ea typeface="+mn-ea"/>
              <a:cs typeface="+mn-cs"/>
            </a:rPr>
            <a:t>                     </a:t>
          </a:r>
          <a:r>
            <a:rPr lang="en-US" sz="900" dirty="0" err="1">
              <a:solidFill>
                <a:sysClr val="windowText" lastClr="000000">
                  <a:hueOff val="0"/>
                  <a:satOff val="0"/>
                  <a:lumOff val="0"/>
                  <a:alphaOff val="0"/>
                </a:sysClr>
              </a:solidFill>
              <a:latin typeface="Calibri" panose="020F0502020204030204"/>
              <a:ea typeface="+mn-ea"/>
              <a:cs typeface="+mn-cs"/>
            </a:rPr>
            <a:t>Treinamento</a:t>
          </a:r>
          <a:r>
            <a:rPr lang="en-US" sz="900" dirty="0">
              <a:solidFill>
                <a:sysClr val="windowText" lastClr="000000">
                  <a:hueOff val="0"/>
                  <a:satOff val="0"/>
                  <a:lumOff val="0"/>
                  <a:alphaOff val="0"/>
                </a:sysClr>
              </a:solidFill>
              <a:latin typeface="Calibri" panose="020F0502020204030204"/>
              <a:ea typeface="+mn-ea"/>
              <a:cs typeface="+mn-cs"/>
            </a:rPr>
            <a:t> e Capacitação</a:t>
          </a:r>
        </a:p>
      </dgm:t>
    </dgm:pt>
    <dgm:pt modelId="{5617D75E-ECC5-41F5-8AAF-C42AF1BCD897}" type="parTrans" cxnId="{C88F353C-B50C-46AF-B804-857B12E9E034}">
      <dgm:prSet/>
      <dgm:spPr/>
      <dgm:t>
        <a:bodyPr/>
        <a:lstStyle/>
        <a:p>
          <a:endParaRPr lang="en-US" sz="1000"/>
        </a:p>
      </dgm:t>
    </dgm:pt>
    <dgm:pt modelId="{B4341EE8-5A97-4C7F-A41D-2F5B6F4989D2}" type="sibTrans" cxnId="{C88F353C-B50C-46AF-B804-857B12E9E034}">
      <dgm:prSet/>
      <dgm:spPr/>
      <dgm:t>
        <a:bodyPr/>
        <a:lstStyle/>
        <a:p>
          <a:endParaRPr lang="en-US" sz="1000"/>
        </a:p>
      </dgm:t>
    </dgm:pt>
    <dgm:pt modelId="{8B21CD7B-F8A5-43BC-902B-F702DBDA652B}">
      <dgm:prSet phldrT="[Text]" custT="1"/>
      <dgm:spPr>
        <a:xfrm>
          <a:off x="2571765" y="64418"/>
          <a:ext cx="3613134" cy="1224461"/>
        </a:xfrm>
        <a:solidFill>
          <a:sysClr val="window" lastClr="FFFFFF">
            <a:alpha val="90000"/>
            <a:hueOff val="0"/>
            <a:satOff val="0"/>
            <a:lumOff val="0"/>
            <a:alphaOff val="0"/>
          </a:sysClr>
        </a:solidFill>
        <a:ln w="6350" cap="flat" cmpd="sng" algn="ctr">
          <a:solidFill>
            <a:srgbClr val="A5A5A5">
              <a:hueOff val="0"/>
              <a:satOff val="0"/>
              <a:lumOff val="0"/>
              <a:alphaOff val="0"/>
            </a:srgbClr>
          </a:solidFill>
          <a:prstDash val="solid"/>
          <a:miter lim="800000"/>
        </a:ln>
        <a:effectLst/>
      </dgm:spPr>
      <dgm:t>
        <a:bodyPr/>
        <a:lstStyle/>
        <a:p>
          <a:pPr>
            <a:buChar char="•"/>
          </a:pPr>
          <a:r>
            <a:rPr lang="en-US" sz="900" dirty="0">
              <a:solidFill>
                <a:sysClr val="windowText" lastClr="000000">
                  <a:hueOff val="0"/>
                  <a:satOff val="0"/>
                  <a:lumOff val="0"/>
                  <a:alphaOff val="0"/>
                </a:sysClr>
              </a:solidFill>
              <a:latin typeface="Calibri" panose="020F0502020204030204"/>
              <a:ea typeface="+mn-ea"/>
              <a:cs typeface="+mn-cs"/>
            </a:rPr>
            <a:t>G    </a:t>
          </a:r>
          <a:r>
            <a:rPr lang="en-US" sz="900" dirty="0" err="1">
              <a:solidFill>
                <a:sysClr val="windowText" lastClr="000000">
                  <a:hueOff val="0"/>
                  <a:satOff val="0"/>
                  <a:lumOff val="0"/>
                  <a:alphaOff val="0"/>
                </a:sysClr>
              </a:solidFill>
              <a:latin typeface="Calibri" panose="020F0502020204030204"/>
              <a:ea typeface="+mn-ea"/>
              <a:cs typeface="+mn-cs"/>
            </a:rPr>
            <a:t>G               Gestão</a:t>
          </a:r>
          <a:r>
            <a:rPr lang="en-US" sz="900" dirty="0">
              <a:solidFill>
                <a:sysClr val="windowText" lastClr="000000">
                  <a:hueOff val="0"/>
                  <a:satOff val="0"/>
                  <a:lumOff val="0"/>
                  <a:alphaOff val="0"/>
                </a:sysClr>
              </a:solidFill>
              <a:latin typeface="Calibri" panose="020F0502020204030204"/>
              <a:ea typeface="+mn-ea"/>
              <a:cs typeface="+mn-cs"/>
            </a:rPr>
            <a:t> das Contratadas</a:t>
          </a:r>
        </a:p>
      </dgm:t>
    </dgm:pt>
    <dgm:pt modelId="{DB3C9FA1-5E0C-45C7-81FE-4B63818BDA91}" type="parTrans" cxnId="{6E2EC965-A2AB-4FF3-AF81-49EF9C6BEB3B}">
      <dgm:prSet/>
      <dgm:spPr/>
      <dgm:t>
        <a:bodyPr/>
        <a:lstStyle/>
        <a:p>
          <a:endParaRPr lang="en-US" sz="1000"/>
        </a:p>
      </dgm:t>
    </dgm:pt>
    <dgm:pt modelId="{568EB5B5-6EE5-4128-AAE2-41C609683C67}" type="sibTrans" cxnId="{6E2EC965-A2AB-4FF3-AF81-49EF9C6BEB3B}">
      <dgm:prSet/>
      <dgm:spPr/>
      <dgm:t>
        <a:bodyPr/>
        <a:lstStyle/>
        <a:p>
          <a:endParaRPr lang="en-US" sz="1000"/>
        </a:p>
      </dgm:t>
    </dgm:pt>
    <dgm:pt modelId="{BFC753AB-EFC5-4E90-91D6-2372025FF0E9}">
      <dgm:prSet phldrT="[Text]" custT="1"/>
      <dgm:spPr>
        <a:xfrm>
          <a:off x="2845236" y="2352091"/>
          <a:ext cx="3339663" cy="1099472"/>
        </a:xfrm>
        <a:solidFill>
          <a:sysClr val="window" lastClr="FFFFFF">
            <a:alpha val="90000"/>
            <a:hueOff val="0"/>
            <a:satOff val="0"/>
            <a:lumOff val="0"/>
            <a:alphaOff val="0"/>
          </a:sysClr>
        </a:solidFill>
        <a:ln w="6350" cap="flat" cmpd="sng" algn="ctr">
          <a:solidFill>
            <a:srgbClr val="FFC000">
              <a:hueOff val="0"/>
              <a:satOff val="0"/>
              <a:lumOff val="0"/>
              <a:alphaOff val="0"/>
            </a:srgbClr>
          </a:solidFill>
          <a:prstDash val="solid"/>
          <a:miter lim="800000"/>
        </a:ln>
        <a:effectLst/>
      </dgm:spPr>
      <dgm:t>
        <a:bodyPr/>
        <a:lstStyle/>
        <a:p>
          <a:pPr algn="just">
            <a:buFont typeface="Arial" panose="020B0604020202020204" pitchFamily="34" charset="0"/>
            <a:buNone/>
          </a:pPr>
          <a:r>
            <a:rPr lang="en-US" sz="900" baseline="0" dirty="0">
              <a:solidFill>
                <a:sysClr val="windowText" lastClr="000000">
                  <a:hueOff val="0"/>
                  <a:satOff val="0"/>
                  <a:lumOff val="0"/>
                  <a:alphaOff val="0"/>
                </a:sysClr>
              </a:solidFill>
              <a:latin typeface="Calibri" panose="020F0502020204030204"/>
              <a:ea typeface="+mn-ea"/>
              <a:cs typeface="+mn-cs"/>
            </a:rPr>
            <a:t> Auditorias ambientais e socias (internas, externas e âs </a:t>
          </a:r>
          <a:r>
            <a:rPr lang="pt-PT" sz="900" baseline="0" dirty="0">
              <a:solidFill>
                <a:sysClr val="windowText" lastClr="000000">
                  <a:hueOff val="0"/>
                  <a:satOff val="0"/>
                  <a:lumOff val="0"/>
                  <a:alphaOff val="0"/>
                </a:sysClr>
              </a:solidFill>
              <a:latin typeface="Calibri" panose="020F0502020204030204"/>
              <a:ea typeface="+mn-ea"/>
              <a:cs typeface="+mn-cs"/>
            </a:rPr>
            <a:t>contrata</a:t>
          </a:r>
          <a:r>
            <a:rPr lang="en-US" sz="900" baseline="0" dirty="0">
              <a:solidFill>
                <a:sysClr val="windowText" lastClr="000000">
                  <a:hueOff val="0"/>
                  <a:satOff val="0"/>
                  <a:lumOff val="0"/>
                  <a:alphaOff val="0"/>
                </a:sysClr>
              </a:solidFill>
              <a:latin typeface="Calibri" panose="020F0502020204030204"/>
              <a:ea typeface="+mn-ea"/>
              <a:cs typeface="+mn-cs"/>
            </a:rPr>
            <a:t>das)</a:t>
          </a:r>
          <a:endParaRPr lang="en-US" sz="900" dirty="0">
            <a:solidFill>
              <a:sysClr val="windowText" lastClr="000000">
                <a:hueOff val="0"/>
                <a:satOff val="0"/>
                <a:lumOff val="0"/>
                <a:alphaOff val="0"/>
              </a:sysClr>
            </a:solidFill>
            <a:latin typeface="Calibri" panose="020F0502020204030204"/>
            <a:ea typeface="+mn-ea"/>
            <a:cs typeface="+mn-cs"/>
          </a:endParaRPr>
        </a:p>
      </dgm:t>
    </dgm:pt>
    <dgm:pt modelId="{126E68FC-47CA-4264-B642-86DBE7DC2FA6}" type="parTrans" cxnId="{F873525B-E5A6-46F7-8FAA-92E44B316223}">
      <dgm:prSet/>
      <dgm:spPr/>
      <dgm:t>
        <a:bodyPr/>
        <a:lstStyle/>
        <a:p>
          <a:endParaRPr lang="en-US" sz="1000"/>
        </a:p>
      </dgm:t>
    </dgm:pt>
    <dgm:pt modelId="{FCC83782-A5E1-4CA4-B045-F4A84DD81946}" type="sibTrans" cxnId="{F873525B-E5A6-46F7-8FAA-92E44B316223}">
      <dgm:prSet/>
      <dgm:spPr/>
      <dgm:t>
        <a:bodyPr/>
        <a:lstStyle/>
        <a:p>
          <a:endParaRPr lang="en-US" sz="1000"/>
        </a:p>
      </dgm:t>
    </dgm:pt>
    <dgm:pt modelId="{6A17F6CB-607D-466F-95C5-FBF667B28FEA}">
      <dgm:prSet phldrT="[Text]" custT="1"/>
      <dgm:spPr>
        <a:xfrm>
          <a:off x="2845236" y="2352091"/>
          <a:ext cx="3339663" cy="1099472"/>
        </a:xfrm>
        <a:solidFill>
          <a:sysClr val="window" lastClr="FFFFFF">
            <a:alpha val="90000"/>
            <a:hueOff val="0"/>
            <a:satOff val="0"/>
            <a:lumOff val="0"/>
            <a:alphaOff val="0"/>
          </a:sysClr>
        </a:solidFill>
        <a:ln w="6350" cap="flat" cmpd="sng" algn="ctr">
          <a:solidFill>
            <a:srgbClr val="FFC000">
              <a:hueOff val="0"/>
              <a:satOff val="0"/>
              <a:lumOff val="0"/>
              <a:alphaOff val="0"/>
            </a:srgbClr>
          </a:solidFill>
          <a:prstDash val="solid"/>
          <a:miter lim="800000"/>
        </a:ln>
        <a:effectLst/>
      </dgm:spPr>
      <dgm:t>
        <a:bodyPr/>
        <a:lstStyle/>
        <a:p>
          <a:pPr algn="l">
            <a:buNone/>
          </a:pPr>
          <a:r>
            <a:rPr lang="en-US" sz="900" baseline="0" dirty="0">
              <a:solidFill>
                <a:sysClr val="windowText" lastClr="000000">
                  <a:hueOff val="0"/>
                  <a:satOff val="0"/>
                  <a:lumOff val="0"/>
                  <a:alphaOff val="0"/>
                </a:sysClr>
              </a:solidFill>
              <a:latin typeface="Calibri" panose="020F0502020204030204"/>
              <a:ea typeface="+mn-ea"/>
              <a:cs typeface="+mn-cs"/>
            </a:rPr>
            <a:t> </a:t>
          </a:r>
          <a:endParaRPr lang="en-US" sz="900" dirty="0">
            <a:solidFill>
              <a:sysClr val="windowText" lastClr="000000">
                <a:hueOff val="0"/>
                <a:satOff val="0"/>
                <a:lumOff val="0"/>
                <a:alphaOff val="0"/>
              </a:sysClr>
            </a:solidFill>
            <a:latin typeface="Calibri" panose="020F0502020204030204"/>
            <a:ea typeface="+mn-ea"/>
            <a:cs typeface="+mn-cs"/>
          </a:endParaRPr>
        </a:p>
      </dgm:t>
    </dgm:pt>
    <dgm:pt modelId="{077DC64C-59C1-4B88-830D-C40B1BE7C893}" type="parTrans" cxnId="{ED64C8D7-192C-4833-B93A-5AA004154730}">
      <dgm:prSet/>
      <dgm:spPr/>
      <dgm:t>
        <a:bodyPr/>
        <a:lstStyle/>
        <a:p>
          <a:endParaRPr lang="en-US" sz="1000"/>
        </a:p>
      </dgm:t>
    </dgm:pt>
    <dgm:pt modelId="{738A8CC2-74D7-4CC8-BF83-A09EF9DE50FE}" type="sibTrans" cxnId="{ED64C8D7-192C-4833-B93A-5AA004154730}">
      <dgm:prSet/>
      <dgm:spPr/>
      <dgm:t>
        <a:bodyPr/>
        <a:lstStyle/>
        <a:p>
          <a:endParaRPr lang="en-US" sz="1000"/>
        </a:p>
      </dgm:t>
    </dgm:pt>
    <dgm:pt modelId="{CD130829-ADEB-4192-99E6-62573B2C8601}">
      <dgm:prSet phldrT="[Text]" custT="1"/>
      <dgm:spPr>
        <a:xfrm>
          <a:off x="47236" y="2375246"/>
          <a:ext cx="2641101" cy="1099472"/>
        </a:xfrm>
        <a:solidFill>
          <a:sysClr val="window" lastClr="FFFFFF">
            <a:alpha val="90000"/>
            <a:hueOff val="0"/>
            <a:satOff val="0"/>
            <a:lumOff val="0"/>
            <a:alphaOff val="0"/>
          </a:sysClr>
        </a:solidFill>
        <a:ln w="6350" cap="flat" cmpd="sng" algn="ctr">
          <a:solidFill>
            <a:srgbClr val="5B9BD5">
              <a:hueOff val="0"/>
              <a:satOff val="0"/>
              <a:lumOff val="0"/>
              <a:alphaOff val="0"/>
            </a:srgbClr>
          </a:solidFill>
          <a:prstDash val="solid"/>
          <a:miter lim="800000"/>
        </a:ln>
        <a:effectLst/>
      </dgm:spPr>
      <dgm:t>
        <a:bodyPr/>
        <a:lstStyle/>
        <a:p>
          <a:pPr>
            <a:buChar char="•"/>
          </a:pPr>
          <a:endParaRPr lang="en-US" sz="900" dirty="0">
            <a:solidFill>
              <a:sysClr val="windowText" lastClr="000000">
                <a:hueOff val="0"/>
                <a:satOff val="0"/>
                <a:lumOff val="0"/>
                <a:alphaOff val="0"/>
              </a:sysClr>
            </a:solidFill>
            <a:latin typeface="Calibri" panose="020F0502020204030204"/>
            <a:ea typeface="+mn-ea"/>
            <a:cs typeface="+mn-cs"/>
          </a:endParaRPr>
        </a:p>
      </dgm:t>
    </dgm:pt>
    <dgm:pt modelId="{923CE276-B5BA-4D7C-904D-D0ABA75D26E5}" type="parTrans" cxnId="{9199A4A3-BD92-4578-AEA4-3A35A54BC3B7}">
      <dgm:prSet/>
      <dgm:spPr/>
      <dgm:t>
        <a:bodyPr/>
        <a:lstStyle/>
        <a:p>
          <a:endParaRPr lang="en-US" sz="1000"/>
        </a:p>
      </dgm:t>
    </dgm:pt>
    <dgm:pt modelId="{77C4CC0D-E9B8-4FC0-B508-9C22D70853E2}" type="sibTrans" cxnId="{9199A4A3-BD92-4578-AEA4-3A35A54BC3B7}">
      <dgm:prSet/>
      <dgm:spPr/>
      <dgm:t>
        <a:bodyPr/>
        <a:lstStyle/>
        <a:p>
          <a:endParaRPr lang="en-US" sz="1000"/>
        </a:p>
      </dgm:t>
    </dgm:pt>
    <dgm:pt modelId="{55063F1C-6AF7-4C69-9F24-D575DAD6E1B2}">
      <dgm:prSet phldrT="[Text]" custT="1"/>
      <dgm:spPr>
        <a:xfrm>
          <a:off x="47236" y="2375246"/>
          <a:ext cx="2641101" cy="1099472"/>
        </a:xfrm>
        <a:solidFill>
          <a:sysClr val="window" lastClr="FFFFFF">
            <a:alpha val="90000"/>
            <a:hueOff val="0"/>
            <a:satOff val="0"/>
            <a:lumOff val="0"/>
            <a:alphaOff val="0"/>
          </a:sysClr>
        </a:solidFill>
        <a:ln w="6350" cap="flat" cmpd="sng" algn="ctr">
          <a:solidFill>
            <a:srgbClr val="5B9BD5">
              <a:hueOff val="0"/>
              <a:satOff val="0"/>
              <a:lumOff val="0"/>
              <a:alphaOff val="0"/>
            </a:srgbClr>
          </a:solidFill>
          <a:prstDash val="solid"/>
          <a:miter lim="800000"/>
        </a:ln>
        <a:effectLst/>
      </dgm:spPr>
      <dgm:t>
        <a:bodyPr/>
        <a:lstStyle/>
        <a:p>
          <a:pPr>
            <a:buChar char="•"/>
          </a:pPr>
          <a:r>
            <a:rPr lang="en-US" sz="900" dirty="0">
              <a:solidFill>
                <a:sysClr val="windowText" lastClr="000000">
                  <a:hueOff val="0"/>
                  <a:satOff val="0"/>
                  <a:lumOff val="0"/>
                  <a:alphaOff val="0"/>
                </a:sysClr>
              </a:solidFill>
              <a:latin typeface="Calibri" panose="020F0502020204030204"/>
              <a:ea typeface="+mn-ea"/>
              <a:cs typeface="+mn-cs"/>
            </a:rPr>
            <a:t>Recomendações de melhoria </a:t>
          </a:r>
        </a:p>
      </dgm:t>
    </dgm:pt>
    <dgm:pt modelId="{F0D2CC2B-B2F0-443A-A350-7AD70C0217BA}" type="parTrans" cxnId="{30DBBAE8-8500-48CF-9FD8-A284A439FE8B}">
      <dgm:prSet/>
      <dgm:spPr/>
      <dgm:t>
        <a:bodyPr/>
        <a:lstStyle/>
        <a:p>
          <a:endParaRPr lang="en-US" sz="1000"/>
        </a:p>
      </dgm:t>
    </dgm:pt>
    <dgm:pt modelId="{5DCF11EC-9F84-48F9-941F-275B2AA1A6FB}" type="sibTrans" cxnId="{30DBBAE8-8500-48CF-9FD8-A284A439FE8B}">
      <dgm:prSet/>
      <dgm:spPr/>
      <dgm:t>
        <a:bodyPr/>
        <a:lstStyle/>
        <a:p>
          <a:endParaRPr lang="en-US" sz="1000"/>
        </a:p>
      </dgm:t>
    </dgm:pt>
    <dgm:pt modelId="{CFD0B376-73C4-48D0-8D05-53CA409575F7}">
      <dgm:prSet phldrT="[Text]" custT="1"/>
      <dgm:spPr>
        <a:xfrm>
          <a:off x="2571765" y="64418"/>
          <a:ext cx="3613134" cy="1224461"/>
        </a:xfrm>
        <a:solidFill>
          <a:sysClr val="window" lastClr="FFFFFF">
            <a:alpha val="90000"/>
            <a:hueOff val="0"/>
            <a:satOff val="0"/>
            <a:lumOff val="0"/>
            <a:alphaOff val="0"/>
          </a:sysClr>
        </a:solidFill>
        <a:ln w="6350" cap="flat" cmpd="sng" algn="ctr">
          <a:solidFill>
            <a:srgbClr val="A5A5A5">
              <a:hueOff val="0"/>
              <a:satOff val="0"/>
              <a:lumOff val="0"/>
              <a:alphaOff val="0"/>
            </a:srgbClr>
          </a:solidFill>
          <a:prstDash val="solid"/>
          <a:miter lim="800000"/>
        </a:ln>
        <a:effectLst/>
      </dgm:spPr>
      <dgm:t>
        <a:bodyPr/>
        <a:lstStyle/>
        <a:p>
          <a:pPr>
            <a:buChar char="•"/>
          </a:pPr>
          <a:r>
            <a:rPr lang="en-US" sz="900" dirty="0">
              <a:solidFill>
                <a:sysClr val="windowText" lastClr="000000">
                  <a:hueOff val="0"/>
                  <a:satOff val="0"/>
                  <a:lumOff val="0"/>
                  <a:alphaOff val="0"/>
                </a:sysClr>
              </a:solidFill>
              <a:latin typeface="Calibri" panose="020F0502020204030204"/>
              <a:ea typeface="+mn-ea"/>
              <a:cs typeface="+mn-cs"/>
            </a:rPr>
            <a:t>                            Implementação de PGAs</a:t>
          </a:r>
        </a:p>
      </dgm:t>
    </dgm:pt>
    <dgm:pt modelId="{C894B260-1482-454A-822C-8DF6C5C0D39E}" type="parTrans" cxnId="{95AE4718-2021-4FCB-BF64-AAA09431D598}">
      <dgm:prSet/>
      <dgm:spPr/>
      <dgm:t>
        <a:bodyPr/>
        <a:lstStyle/>
        <a:p>
          <a:endParaRPr lang="en-US"/>
        </a:p>
      </dgm:t>
    </dgm:pt>
    <dgm:pt modelId="{B2D24B5E-A5E7-46C9-9E81-2BB06FFD8C34}" type="sibTrans" cxnId="{95AE4718-2021-4FCB-BF64-AAA09431D598}">
      <dgm:prSet/>
      <dgm:spPr/>
      <dgm:t>
        <a:bodyPr/>
        <a:lstStyle/>
        <a:p>
          <a:endParaRPr lang="en-US"/>
        </a:p>
      </dgm:t>
    </dgm:pt>
    <dgm:pt modelId="{923DC663-4224-4305-A895-5205B9370B33}">
      <dgm:prSet phldrT="[Text]" custT="1"/>
      <dgm:spPr>
        <a:xfrm>
          <a:off x="2845236" y="2352091"/>
          <a:ext cx="3339663" cy="1099472"/>
        </a:xfrm>
        <a:solidFill>
          <a:sysClr val="window" lastClr="FFFFFF">
            <a:alpha val="90000"/>
            <a:hueOff val="0"/>
            <a:satOff val="0"/>
            <a:lumOff val="0"/>
            <a:alphaOff val="0"/>
          </a:sysClr>
        </a:solidFill>
        <a:ln w="6350" cap="flat" cmpd="sng" algn="ctr">
          <a:solidFill>
            <a:srgbClr val="FFC000">
              <a:hueOff val="0"/>
              <a:satOff val="0"/>
              <a:lumOff val="0"/>
              <a:alphaOff val="0"/>
            </a:srgbClr>
          </a:solidFill>
          <a:prstDash val="solid"/>
          <a:miter lim="800000"/>
        </a:ln>
        <a:effectLst/>
      </dgm:spPr>
      <dgm:t>
        <a:bodyPr/>
        <a:lstStyle/>
        <a:p>
          <a:pPr algn="just">
            <a:buFont typeface="Arial" panose="020B0604020202020204" pitchFamily="34" charset="0"/>
            <a:buChar char="•"/>
          </a:pPr>
          <a:r>
            <a:rPr lang="en-US" sz="900" baseline="0" dirty="0">
              <a:solidFill>
                <a:sysClr val="windowText" lastClr="000000">
                  <a:hueOff val="0"/>
                  <a:satOff val="0"/>
                  <a:lumOff val="0"/>
                  <a:alphaOff val="0"/>
                </a:sysClr>
              </a:solidFill>
              <a:latin typeface="Calibri" panose="020F0502020204030204"/>
              <a:ea typeface="+mn-ea"/>
              <a:cs typeface="+mn-cs"/>
            </a:rPr>
            <a:t>         Monitorização ambiental e social</a:t>
          </a:r>
          <a:endParaRPr lang="en-US" sz="900" dirty="0">
            <a:solidFill>
              <a:sysClr val="windowText" lastClr="000000">
                <a:hueOff val="0"/>
                <a:satOff val="0"/>
                <a:lumOff val="0"/>
                <a:alphaOff val="0"/>
              </a:sysClr>
            </a:solidFill>
            <a:latin typeface="Calibri" panose="020F0502020204030204"/>
            <a:ea typeface="+mn-ea"/>
            <a:cs typeface="+mn-cs"/>
          </a:endParaRPr>
        </a:p>
      </dgm:t>
    </dgm:pt>
    <dgm:pt modelId="{4AAF7006-2AD9-4621-963E-A71344ED5237}" type="parTrans" cxnId="{2C3A189F-E5B5-4EA1-9ECE-67F47A3324AC}">
      <dgm:prSet/>
      <dgm:spPr/>
      <dgm:t>
        <a:bodyPr/>
        <a:lstStyle/>
        <a:p>
          <a:endParaRPr lang="en-US"/>
        </a:p>
      </dgm:t>
    </dgm:pt>
    <dgm:pt modelId="{25702640-C5C8-44F4-BA1B-D786511D62B7}" type="sibTrans" cxnId="{2C3A189F-E5B5-4EA1-9ECE-67F47A3324AC}">
      <dgm:prSet/>
      <dgm:spPr/>
      <dgm:t>
        <a:bodyPr/>
        <a:lstStyle/>
        <a:p>
          <a:endParaRPr lang="en-US"/>
        </a:p>
      </dgm:t>
    </dgm:pt>
    <dgm:pt modelId="{E8C2F984-CE76-48B9-8CA3-EDBADE176603}" type="pres">
      <dgm:prSet presAssocID="{B16E95D5-8972-445E-82AA-61CA67F554CD}" presName="cycleMatrixDiagram" presStyleCnt="0">
        <dgm:presLayoutVars>
          <dgm:chMax val="1"/>
          <dgm:dir/>
          <dgm:animLvl val="lvl"/>
          <dgm:resizeHandles val="exact"/>
        </dgm:presLayoutVars>
      </dgm:prSet>
      <dgm:spPr/>
    </dgm:pt>
    <dgm:pt modelId="{55BB3D1E-9448-459C-B724-41D1639927B3}" type="pres">
      <dgm:prSet presAssocID="{B16E95D5-8972-445E-82AA-61CA67F554CD}" presName="children" presStyleCnt="0"/>
      <dgm:spPr/>
    </dgm:pt>
    <dgm:pt modelId="{9F42E0FE-FA91-4610-A59A-EF67A20E4134}" type="pres">
      <dgm:prSet presAssocID="{B16E95D5-8972-445E-82AA-61CA67F554CD}" presName="child1group" presStyleCnt="0"/>
      <dgm:spPr/>
    </dgm:pt>
    <dgm:pt modelId="{D5279C14-8B56-4542-992E-542833C9F916}" type="pres">
      <dgm:prSet presAssocID="{B16E95D5-8972-445E-82AA-61CA67F554CD}" presName="child1" presStyleLbl="bgAcc1" presStyleIdx="0" presStyleCnt="4" custScaleX="160532" custScaleY="99764"/>
      <dgm:spPr>
        <a:prstGeom prst="roundRect">
          <a:avLst>
            <a:gd name="adj" fmla="val 10000"/>
          </a:avLst>
        </a:prstGeom>
      </dgm:spPr>
    </dgm:pt>
    <dgm:pt modelId="{A878B82D-96A8-4EDB-A958-4CFCB92671D3}" type="pres">
      <dgm:prSet presAssocID="{B16E95D5-8972-445E-82AA-61CA67F554CD}" presName="child1Text" presStyleLbl="bgAcc1" presStyleIdx="0" presStyleCnt="4">
        <dgm:presLayoutVars>
          <dgm:bulletEnabled val="1"/>
        </dgm:presLayoutVars>
      </dgm:prSet>
      <dgm:spPr/>
    </dgm:pt>
    <dgm:pt modelId="{F0672E88-5540-4A98-9C4C-5A4C2B9976B6}" type="pres">
      <dgm:prSet presAssocID="{B16E95D5-8972-445E-82AA-61CA67F554CD}" presName="child2group" presStyleCnt="0"/>
      <dgm:spPr/>
    </dgm:pt>
    <dgm:pt modelId="{E635A78F-EC73-46CF-BDA6-46622BFA8430}" type="pres">
      <dgm:prSet presAssocID="{B16E95D5-8972-445E-82AA-61CA67F554CD}" presName="child2" presStyleLbl="bgAcc1" presStyleIdx="1" presStyleCnt="4" custScaleX="212874" custScaleY="111368" custLinFactNeighborX="36570" custLinFactNeighborY="7280"/>
      <dgm:spPr>
        <a:prstGeom prst="roundRect">
          <a:avLst>
            <a:gd name="adj" fmla="val 10000"/>
          </a:avLst>
        </a:prstGeom>
      </dgm:spPr>
    </dgm:pt>
    <dgm:pt modelId="{270E6A62-1C3D-4CBF-B0C0-235CA181642A}" type="pres">
      <dgm:prSet presAssocID="{B16E95D5-8972-445E-82AA-61CA67F554CD}" presName="child2Text" presStyleLbl="bgAcc1" presStyleIdx="1" presStyleCnt="4">
        <dgm:presLayoutVars>
          <dgm:bulletEnabled val="1"/>
        </dgm:presLayoutVars>
      </dgm:prSet>
      <dgm:spPr/>
    </dgm:pt>
    <dgm:pt modelId="{7681710A-1B9F-4199-9060-7EF7AF5CAE1F}" type="pres">
      <dgm:prSet presAssocID="{B16E95D5-8972-445E-82AA-61CA67F554CD}" presName="child3group" presStyleCnt="0"/>
      <dgm:spPr/>
    </dgm:pt>
    <dgm:pt modelId="{A16D0F95-6282-4A32-AF04-2E099900F9C5}" type="pres">
      <dgm:prSet presAssocID="{B16E95D5-8972-445E-82AA-61CA67F554CD}" presName="child3" presStyleLbl="bgAcc1" presStyleIdx="2" presStyleCnt="4" custScaleX="196762" custLinFactNeighborX="16819" custLinFactNeighborY="-2834"/>
      <dgm:spPr>
        <a:prstGeom prst="roundRect">
          <a:avLst>
            <a:gd name="adj" fmla="val 10000"/>
          </a:avLst>
        </a:prstGeom>
      </dgm:spPr>
    </dgm:pt>
    <dgm:pt modelId="{E03FD7A9-0C38-4163-8818-DC9B5B9FA9A5}" type="pres">
      <dgm:prSet presAssocID="{B16E95D5-8972-445E-82AA-61CA67F554CD}" presName="child3Text" presStyleLbl="bgAcc1" presStyleIdx="2" presStyleCnt="4">
        <dgm:presLayoutVars>
          <dgm:bulletEnabled val="1"/>
        </dgm:presLayoutVars>
      </dgm:prSet>
      <dgm:spPr/>
    </dgm:pt>
    <dgm:pt modelId="{AEB79A52-93B1-412A-888D-594ABFE1D35E}" type="pres">
      <dgm:prSet presAssocID="{B16E95D5-8972-445E-82AA-61CA67F554CD}" presName="child4group" presStyleCnt="0"/>
      <dgm:spPr/>
    </dgm:pt>
    <dgm:pt modelId="{96174BDE-B327-4A14-AFCD-D5108B3BBB59}" type="pres">
      <dgm:prSet presAssocID="{B16E95D5-8972-445E-82AA-61CA67F554CD}" presName="child4" presStyleLbl="bgAcc1" presStyleIdx="3" presStyleCnt="4" custScaleX="155605" custLinFactNeighborX="-6947" custLinFactNeighborY="-728"/>
      <dgm:spPr>
        <a:prstGeom prst="roundRect">
          <a:avLst>
            <a:gd name="adj" fmla="val 10000"/>
          </a:avLst>
        </a:prstGeom>
      </dgm:spPr>
    </dgm:pt>
    <dgm:pt modelId="{A882AEDD-D6CE-4CC8-B1F0-DD06625D3C9F}" type="pres">
      <dgm:prSet presAssocID="{B16E95D5-8972-445E-82AA-61CA67F554CD}" presName="child4Text" presStyleLbl="bgAcc1" presStyleIdx="3" presStyleCnt="4">
        <dgm:presLayoutVars>
          <dgm:bulletEnabled val="1"/>
        </dgm:presLayoutVars>
      </dgm:prSet>
      <dgm:spPr/>
    </dgm:pt>
    <dgm:pt modelId="{058F7C45-8578-48DD-9B32-14183B3AA606}" type="pres">
      <dgm:prSet presAssocID="{B16E95D5-8972-445E-82AA-61CA67F554CD}" presName="childPlaceholder" presStyleCnt="0"/>
      <dgm:spPr/>
    </dgm:pt>
    <dgm:pt modelId="{4F743D10-1517-40D3-A5B1-0C8399B1265E}" type="pres">
      <dgm:prSet presAssocID="{B16E95D5-8972-445E-82AA-61CA67F554CD}" presName="circle" presStyleCnt="0"/>
      <dgm:spPr/>
    </dgm:pt>
    <dgm:pt modelId="{400E06D7-9235-4A0E-A292-5F260B798BE4}" type="pres">
      <dgm:prSet presAssocID="{B16E95D5-8972-445E-82AA-61CA67F554CD}" presName="quadrant1" presStyleLbl="node1" presStyleIdx="0" presStyleCnt="4">
        <dgm:presLayoutVars>
          <dgm:chMax val="1"/>
          <dgm:bulletEnabled val="1"/>
        </dgm:presLayoutVars>
      </dgm:prSet>
      <dgm:spPr>
        <a:prstGeom prst="pieWedge">
          <a:avLst/>
        </a:prstGeom>
      </dgm:spPr>
    </dgm:pt>
    <dgm:pt modelId="{A35B31FE-8577-4CF7-89DE-B5946F061E9D}" type="pres">
      <dgm:prSet presAssocID="{B16E95D5-8972-445E-82AA-61CA67F554CD}" presName="quadrant2" presStyleLbl="node1" presStyleIdx="1" presStyleCnt="4">
        <dgm:presLayoutVars>
          <dgm:chMax val="1"/>
          <dgm:bulletEnabled val="1"/>
        </dgm:presLayoutVars>
      </dgm:prSet>
      <dgm:spPr>
        <a:prstGeom prst="pieWedge">
          <a:avLst/>
        </a:prstGeom>
      </dgm:spPr>
    </dgm:pt>
    <dgm:pt modelId="{3250724D-0AB6-4E83-94A2-D115E9DC0AFD}" type="pres">
      <dgm:prSet presAssocID="{B16E95D5-8972-445E-82AA-61CA67F554CD}" presName="quadrant3" presStyleLbl="node1" presStyleIdx="2" presStyleCnt="4">
        <dgm:presLayoutVars>
          <dgm:chMax val="1"/>
          <dgm:bulletEnabled val="1"/>
        </dgm:presLayoutVars>
      </dgm:prSet>
      <dgm:spPr>
        <a:prstGeom prst="pieWedge">
          <a:avLst/>
        </a:prstGeom>
      </dgm:spPr>
    </dgm:pt>
    <dgm:pt modelId="{6B5038E7-13A6-41F4-A094-37420DC1C761}" type="pres">
      <dgm:prSet presAssocID="{B16E95D5-8972-445E-82AA-61CA67F554CD}" presName="quadrant4" presStyleLbl="node1" presStyleIdx="3" presStyleCnt="4">
        <dgm:presLayoutVars>
          <dgm:chMax val="1"/>
          <dgm:bulletEnabled val="1"/>
        </dgm:presLayoutVars>
      </dgm:prSet>
      <dgm:spPr>
        <a:prstGeom prst="pieWedge">
          <a:avLst/>
        </a:prstGeom>
      </dgm:spPr>
    </dgm:pt>
    <dgm:pt modelId="{E9161F16-9F34-4208-8B4D-DEDDBFE9B94E}" type="pres">
      <dgm:prSet presAssocID="{B16E95D5-8972-445E-82AA-61CA67F554CD}" presName="quadrantPlaceholder" presStyleCnt="0"/>
      <dgm:spPr/>
    </dgm:pt>
    <dgm:pt modelId="{DD8FAD9C-6F21-457F-A568-72AA1A67C167}" type="pres">
      <dgm:prSet presAssocID="{B16E95D5-8972-445E-82AA-61CA67F554CD}" presName="center1" presStyleLbl="fgShp" presStyleIdx="0" presStyleCnt="2"/>
      <dgm:spPr>
        <a:xfrm>
          <a:off x="2835619" y="1424323"/>
          <a:ext cx="513660" cy="446660"/>
        </a:xfrm>
        <a:prstGeom prst="circularArrow">
          <a:avLst/>
        </a:prstGeom>
        <a:gradFill rotWithShape="0">
          <a:gsLst>
            <a:gs pos="0">
              <a:srgbClr val="ED7D31">
                <a:tint val="40000"/>
                <a:hueOff val="0"/>
                <a:satOff val="0"/>
                <a:lumOff val="0"/>
                <a:alphaOff val="0"/>
                <a:lumMod val="110000"/>
                <a:satMod val="105000"/>
                <a:tint val="67000"/>
              </a:srgbClr>
            </a:gs>
            <a:gs pos="50000">
              <a:srgbClr val="ED7D31">
                <a:tint val="40000"/>
                <a:hueOff val="0"/>
                <a:satOff val="0"/>
                <a:lumOff val="0"/>
                <a:alphaOff val="0"/>
                <a:lumMod val="105000"/>
                <a:satMod val="103000"/>
                <a:tint val="73000"/>
              </a:srgbClr>
            </a:gs>
            <a:gs pos="100000">
              <a:srgbClr val="ED7D31">
                <a:tint val="40000"/>
                <a:hueOff val="0"/>
                <a:satOff val="0"/>
                <a:lumOff val="0"/>
                <a:alphaOff val="0"/>
                <a:lumMod val="105000"/>
                <a:satMod val="109000"/>
                <a:tint val="81000"/>
              </a:srgbClr>
            </a:gs>
          </a:gsLst>
          <a:lin ang="5400000" scaled="0"/>
        </a:gradFill>
        <a:ln w="6350" cap="flat" cmpd="sng" algn="ctr">
          <a:solidFill>
            <a:sysClr val="window" lastClr="FFFFFF">
              <a:hueOff val="0"/>
              <a:satOff val="0"/>
              <a:lumOff val="0"/>
              <a:alphaOff val="0"/>
            </a:sysClr>
          </a:solidFill>
          <a:prstDash val="solid"/>
          <a:miter lim="800000"/>
        </a:ln>
        <a:effectLst/>
        <a:scene3d>
          <a:camera prst="orthographicFront"/>
          <a:lightRig rig="flat" dir="t"/>
        </a:scene3d>
        <a:sp3d prstMaterial="dkEdge">
          <a:bevelT w="8200" h="38100"/>
        </a:sp3d>
      </dgm:spPr>
    </dgm:pt>
    <dgm:pt modelId="{BE435325-3D5D-4FBA-8A9E-2CFB9513CAAB}" type="pres">
      <dgm:prSet presAssocID="{B16E95D5-8972-445E-82AA-61CA67F554CD}" presName="center2" presStyleLbl="fgShp" presStyleIdx="1" presStyleCnt="2"/>
      <dgm:spPr>
        <a:xfrm rot="10800000">
          <a:off x="2835619" y="1596115"/>
          <a:ext cx="513660" cy="446660"/>
        </a:xfrm>
        <a:prstGeom prst="circularArrow">
          <a:avLst/>
        </a:prstGeom>
        <a:gradFill rotWithShape="0">
          <a:gsLst>
            <a:gs pos="0">
              <a:srgbClr val="ED7D31">
                <a:tint val="40000"/>
                <a:hueOff val="0"/>
                <a:satOff val="0"/>
                <a:lumOff val="0"/>
                <a:alphaOff val="0"/>
                <a:lumMod val="110000"/>
                <a:satMod val="105000"/>
                <a:tint val="67000"/>
              </a:srgbClr>
            </a:gs>
            <a:gs pos="50000">
              <a:srgbClr val="ED7D31">
                <a:tint val="40000"/>
                <a:hueOff val="0"/>
                <a:satOff val="0"/>
                <a:lumOff val="0"/>
                <a:alphaOff val="0"/>
                <a:lumMod val="105000"/>
                <a:satMod val="103000"/>
                <a:tint val="73000"/>
              </a:srgbClr>
            </a:gs>
            <a:gs pos="100000">
              <a:srgbClr val="ED7D31">
                <a:tint val="40000"/>
                <a:hueOff val="0"/>
                <a:satOff val="0"/>
                <a:lumOff val="0"/>
                <a:alphaOff val="0"/>
                <a:lumMod val="105000"/>
                <a:satMod val="109000"/>
                <a:tint val="81000"/>
              </a:srgbClr>
            </a:gs>
          </a:gsLst>
          <a:lin ang="5400000" scaled="0"/>
        </a:gradFill>
        <a:ln w="6350" cap="flat" cmpd="sng" algn="ctr">
          <a:solidFill>
            <a:sysClr val="window" lastClr="FFFFFF">
              <a:hueOff val="0"/>
              <a:satOff val="0"/>
              <a:lumOff val="0"/>
              <a:alphaOff val="0"/>
            </a:sysClr>
          </a:solidFill>
          <a:prstDash val="solid"/>
          <a:miter lim="800000"/>
        </a:ln>
        <a:effectLst/>
        <a:scene3d>
          <a:camera prst="orthographicFront"/>
          <a:lightRig rig="flat" dir="t"/>
        </a:scene3d>
        <a:sp3d prstMaterial="dkEdge">
          <a:bevelT w="8200" h="38100"/>
        </a:sp3d>
      </dgm:spPr>
    </dgm:pt>
  </dgm:ptLst>
  <dgm:cxnLst>
    <dgm:cxn modelId="{0C4CBD00-1F58-4A04-9FE4-9E3525573E21}" type="presOf" srcId="{1901E358-0CFE-48A9-8FFC-19C879C0048F}" destId="{E635A78F-EC73-46CF-BDA6-46622BFA8430}" srcOrd="0" destOrd="1" presId="urn:microsoft.com/office/officeart/2005/8/layout/cycle4"/>
    <dgm:cxn modelId="{0FC19504-02BD-45C5-A228-463735595551}" type="presOf" srcId="{CA6EB899-9D15-4033-A754-E94185F58449}" destId="{D5279C14-8B56-4542-992E-542833C9F916}" srcOrd="0" destOrd="4" presId="urn:microsoft.com/office/officeart/2005/8/layout/cycle4"/>
    <dgm:cxn modelId="{4DE3A304-40AB-4369-9D9A-627767CBF103}" type="presOf" srcId="{CD130829-ADEB-4192-99E6-62573B2C8601}" destId="{96174BDE-B327-4A14-AFCD-D5108B3BBB59}" srcOrd="0" destOrd="2" presId="urn:microsoft.com/office/officeart/2005/8/layout/cycle4"/>
    <dgm:cxn modelId="{95AE4718-2021-4FCB-BF64-AAA09431D598}" srcId="{B93A3B3C-9466-45C4-89FF-60668A3030BB}" destId="{CFD0B376-73C4-48D0-8D05-53CA409575F7}" srcOrd="5" destOrd="0" parTransId="{C894B260-1482-454A-822C-8DF6C5C0D39E}" sibTransId="{B2D24B5E-A5E7-46C9-9E81-2BB06FFD8C34}"/>
    <dgm:cxn modelId="{B76F5818-9DF4-4490-AAE8-92FA47087AAC}" type="presOf" srcId="{8C237D0D-B458-4583-AC1A-8376D00E3C04}" destId="{D5279C14-8B56-4542-992E-542833C9F916}" srcOrd="0" destOrd="3" presId="urn:microsoft.com/office/officeart/2005/8/layout/cycle4"/>
    <dgm:cxn modelId="{87893E1C-28DD-4A02-BB11-93FF61894F48}" type="presOf" srcId="{CA6EB899-9D15-4033-A754-E94185F58449}" destId="{A878B82D-96A8-4EDB-A958-4CFCB92671D3}" srcOrd="1" destOrd="4" presId="urn:microsoft.com/office/officeart/2005/8/layout/cycle4"/>
    <dgm:cxn modelId="{3AE8A31C-C9AC-4194-813C-A2DE31E16F53}" type="presOf" srcId="{E77ACBAA-020B-4F5C-BABE-D80011D2D0EA}" destId="{D5279C14-8B56-4542-992E-542833C9F916}" srcOrd="0" destOrd="1" presId="urn:microsoft.com/office/officeart/2005/8/layout/cycle4"/>
    <dgm:cxn modelId="{DA65B41E-EB31-428F-8872-A554C4E02144}" type="presOf" srcId="{1901E358-0CFE-48A9-8FFC-19C879C0048F}" destId="{270E6A62-1C3D-4CBF-B0C0-235CA181642A}" srcOrd="1" destOrd="1" presId="urn:microsoft.com/office/officeart/2005/8/layout/cycle4"/>
    <dgm:cxn modelId="{45A89922-E648-4646-A40D-746B9672532B}" srcId="{B93A3B3C-9466-45C4-89FF-60668A3030BB}" destId="{5740E3E9-C773-4FD8-8784-FC56BB636D6A}" srcOrd="2" destOrd="0" parTransId="{B1FC926B-BEC6-48E3-BCFD-A0818F195653}" sibTransId="{0D8DE356-D747-4D5A-BDE6-75451438B836}"/>
    <dgm:cxn modelId="{8B93F623-F701-4EF2-A507-8E5AC54FB62E}" srcId="{B93A3B3C-9466-45C4-89FF-60668A3030BB}" destId="{83150BF9-CEBE-488B-B37F-9662BAFBAB44}" srcOrd="0" destOrd="0" parTransId="{C343EDE2-EE30-4D64-9F84-31ADE4272C1F}" sibTransId="{7629CDA3-5924-43CB-B4F6-A0B5F5363C53}"/>
    <dgm:cxn modelId="{25ED4426-16E3-4F87-98E4-3935264F9D7F}" type="presOf" srcId="{6176878E-EE58-4197-8248-0AAE42F66E75}" destId="{A878B82D-96A8-4EDB-A958-4CFCB92671D3}" srcOrd="1" destOrd="2" presId="urn:microsoft.com/office/officeart/2005/8/layout/cycle4"/>
    <dgm:cxn modelId="{8AB6AC2D-4E19-445C-999B-FD13FA7E1787}" srcId="{B16E95D5-8972-445E-82AA-61CA67F554CD}" destId="{B93A3B3C-9466-45C4-89FF-60668A3030BB}" srcOrd="1" destOrd="0" parTransId="{44508D39-CE55-4B06-B3D1-B4175824B0C2}" sibTransId="{7E378467-2D64-4029-80AD-E69E09C069C5}"/>
    <dgm:cxn modelId="{4FC22B2E-E1BB-4067-B6C2-554B74A71F88}" srcId="{CAB9613B-20F5-468A-BB87-17F327CEB36C}" destId="{8D75FE92-FDE7-4CCA-A18C-3422FECACF3D}" srcOrd="0" destOrd="0" parTransId="{6DDF05FE-D7AC-4E3A-9F9A-6FED48292D5B}" sibTransId="{A8E1F730-7448-4E59-9EC4-C9FF61ED23A2}"/>
    <dgm:cxn modelId="{24746532-7741-4092-83A8-9A1F2A50892E}" type="presOf" srcId="{55063F1C-6AF7-4C69-9F24-D575DAD6E1B2}" destId="{96174BDE-B327-4A14-AFCD-D5108B3BBB59}" srcOrd="0" destOrd="1" presId="urn:microsoft.com/office/officeart/2005/8/layout/cycle4"/>
    <dgm:cxn modelId="{F7DAFA34-33D1-4428-816C-9D5BD43D3FEC}" srcId="{89A58911-63FC-4EAA-BFCB-2467EC8E0735}" destId="{122F6BBA-9ECF-4DA0-9E98-77239BE1DD1C}" srcOrd="0" destOrd="0" parTransId="{AA120A35-0CB4-4D96-ACC2-1EB2A5FA2CD5}" sibTransId="{FCE39589-DAED-41E3-A40E-B629E5EFA6C7}"/>
    <dgm:cxn modelId="{9DEB4436-DD06-4657-9FCC-188682DCBAD1}" srcId="{C6E8A111-0C03-4E87-96A5-E53C4F423A72}" destId="{6176878E-EE58-4197-8248-0AAE42F66E75}" srcOrd="2" destOrd="0" parTransId="{7EDB906E-6E66-4FA1-8E33-D984E566F2C9}" sibTransId="{EBE6FDE3-4750-46DD-BAE0-2D5767B6EB95}"/>
    <dgm:cxn modelId="{C88F353C-B50C-46AF-B804-857B12E9E034}" srcId="{B93A3B3C-9466-45C4-89FF-60668A3030BB}" destId="{6F80DFC8-690C-4ADA-8131-7A19F69DD2AA}" srcOrd="3" destOrd="0" parTransId="{5617D75E-ECC5-41F5-8AAF-C42AF1BCD897}" sibTransId="{B4341EE8-5A97-4C7F-A41D-2F5B6F4989D2}"/>
    <dgm:cxn modelId="{F873525B-E5A6-46F7-8FAA-92E44B316223}" srcId="{89A58911-63FC-4EAA-BFCB-2467EC8E0735}" destId="{BFC753AB-EFC5-4E90-91D6-2372025FF0E9}" srcOrd="2" destOrd="0" parTransId="{126E68FC-47CA-4264-B642-86DBE7DC2FA6}" sibTransId="{FCC83782-A5E1-4CA4-B045-F4A84DD81946}"/>
    <dgm:cxn modelId="{C9AE295C-FBEF-43F5-AFB9-F6B722AA2762}" type="presOf" srcId="{3D299156-B426-44E7-A612-76D0A144D723}" destId="{D5279C14-8B56-4542-992E-542833C9F916}" srcOrd="0" destOrd="0" presId="urn:microsoft.com/office/officeart/2005/8/layout/cycle4"/>
    <dgm:cxn modelId="{0BF50C5D-371A-4C9B-BFE2-505D5BC8C106}" type="presOf" srcId="{8D75FE92-FDE7-4CCA-A18C-3422FECACF3D}" destId="{96174BDE-B327-4A14-AFCD-D5108B3BBB59}" srcOrd="0" destOrd="0" presId="urn:microsoft.com/office/officeart/2005/8/layout/cycle4"/>
    <dgm:cxn modelId="{7E3FE95D-F7C7-46DF-8800-4CEA3CFB4AE4}" type="presOf" srcId="{CAB9613B-20F5-468A-BB87-17F327CEB36C}" destId="{6B5038E7-13A6-41F4-A094-37420DC1C761}" srcOrd="0" destOrd="0" presId="urn:microsoft.com/office/officeart/2005/8/layout/cycle4"/>
    <dgm:cxn modelId="{6541BF61-5584-4A7D-BD63-A3A13EC89F31}" srcId="{B16E95D5-8972-445E-82AA-61CA67F554CD}" destId="{CAB9613B-20F5-468A-BB87-17F327CEB36C}" srcOrd="3" destOrd="0" parTransId="{8D8E2B22-ED86-494C-BE36-EAE46A7CECFE}" sibTransId="{3CDDD4E5-C4F7-4DFB-BDC8-CB27ED9765C5}"/>
    <dgm:cxn modelId="{BB773862-99C7-4A7D-A30D-BD80EA67942F}" type="presOf" srcId="{83150BF9-CEBE-488B-B37F-9662BAFBAB44}" destId="{E635A78F-EC73-46CF-BDA6-46622BFA8430}" srcOrd="0" destOrd="0" presId="urn:microsoft.com/office/officeart/2005/8/layout/cycle4"/>
    <dgm:cxn modelId="{74AAEE42-6D0E-451E-A9F7-A7FA7AC8B9B9}" type="presOf" srcId="{55063F1C-6AF7-4C69-9F24-D575DAD6E1B2}" destId="{A882AEDD-D6CE-4CC8-B1F0-DD06625D3C9F}" srcOrd="1" destOrd="1" presId="urn:microsoft.com/office/officeart/2005/8/layout/cycle4"/>
    <dgm:cxn modelId="{0B83CD43-1108-4583-AF2B-BB05A4A47139}" type="presOf" srcId="{6A17F6CB-607D-466F-95C5-FBF667B28FEA}" destId="{A16D0F95-6282-4A32-AF04-2E099900F9C5}" srcOrd="0" destOrd="3" presId="urn:microsoft.com/office/officeart/2005/8/layout/cycle4"/>
    <dgm:cxn modelId="{6E2EC965-A2AB-4FF3-AF81-49EF9C6BEB3B}" srcId="{B93A3B3C-9466-45C4-89FF-60668A3030BB}" destId="{8B21CD7B-F8A5-43BC-902B-F702DBDA652B}" srcOrd="4" destOrd="0" parTransId="{DB3C9FA1-5E0C-45C7-81FE-4B63818BDA91}" sibTransId="{568EB5B5-6EE5-4128-AAE2-41C609683C67}"/>
    <dgm:cxn modelId="{3161766A-B110-4AFD-8BE9-DAF5D7F327C4}" type="presOf" srcId="{8C237D0D-B458-4583-AC1A-8376D00E3C04}" destId="{A878B82D-96A8-4EDB-A958-4CFCB92671D3}" srcOrd="1" destOrd="3" presId="urn:microsoft.com/office/officeart/2005/8/layout/cycle4"/>
    <dgm:cxn modelId="{96C3076B-2B7D-4341-B51E-6B4C981853FD}" srcId="{C6E8A111-0C03-4E87-96A5-E53C4F423A72}" destId="{8C237D0D-B458-4583-AC1A-8376D00E3C04}" srcOrd="3" destOrd="0" parTransId="{A2CEFBA4-E439-4E11-BFBF-93D8D60D9718}" sibTransId="{0B550125-7A42-466B-AFB5-8114357710BD}"/>
    <dgm:cxn modelId="{88789B4B-4141-4DE5-8D31-2D17C68D4541}" type="presOf" srcId="{83150BF9-CEBE-488B-B37F-9662BAFBAB44}" destId="{270E6A62-1C3D-4CBF-B0C0-235CA181642A}" srcOrd="1" destOrd="0" presId="urn:microsoft.com/office/officeart/2005/8/layout/cycle4"/>
    <dgm:cxn modelId="{8523AC6B-DC5C-4ABD-AACE-F368083794DE}" type="presOf" srcId="{5740E3E9-C773-4FD8-8784-FC56BB636D6A}" destId="{E635A78F-EC73-46CF-BDA6-46622BFA8430}" srcOrd="0" destOrd="2" presId="urn:microsoft.com/office/officeart/2005/8/layout/cycle4"/>
    <dgm:cxn modelId="{65368B51-0FB3-4CF5-A772-5AA15AF94838}" type="presOf" srcId="{B16E95D5-8972-445E-82AA-61CA67F554CD}" destId="{E8C2F984-CE76-48B9-8CA3-EDBADE176603}" srcOrd="0" destOrd="0" presId="urn:microsoft.com/office/officeart/2005/8/layout/cycle4"/>
    <dgm:cxn modelId="{29914455-6210-4BE6-9417-B2ED82C221C0}" srcId="{B93A3B3C-9466-45C4-89FF-60668A3030BB}" destId="{1901E358-0CFE-48A9-8FFC-19C879C0048F}" srcOrd="1" destOrd="0" parTransId="{8286F99B-09D8-4591-B582-03F9FF4F3C9E}" sibTransId="{6C208C6A-2A1A-4221-8888-2CD4E9C3CC84}"/>
    <dgm:cxn modelId="{E9B42B76-277F-404C-A0D0-E08BC7BD62C3}" type="presOf" srcId="{CFD0B376-73C4-48D0-8D05-53CA409575F7}" destId="{270E6A62-1C3D-4CBF-B0C0-235CA181642A}" srcOrd="1" destOrd="5" presId="urn:microsoft.com/office/officeart/2005/8/layout/cycle4"/>
    <dgm:cxn modelId="{88AB6676-794B-4ACD-B617-EC5CF75B2EDB}" type="presOf" srcId="{C6E8A111-0C03-4E87-96A5-E53C4F423A72}" destId="{400E06D7-9235-4A0E-A292-5F260B798BE4}" srcOrd="0" destOrd="0" presId="urn:microsoft.com/office/officeart/2005/8/layout/cycle4"/>
    <dgm:cxn modelId="{00DF6E58-4570-4A98-8AC4-BDCDB86C48A1}" srcId="{C6E8A111-0C03-4E87-96A5-E53C4F423A72}" destId="{E77ACBAA-020B-4F5C-BABE-D80011D2D0EA}" srcOrd="1" destOrd="0" parTransId="{F11EFD7B-A743-4E4B-A12A-3D7D0E847611}" sibTransId="{C9A6B96C-8E8D-41A0-9DB0-E101D80EAF44}"/>
    <dgm:cxn modelId="{97B1795A-D1C6-4454-B7D7-3E08BA754343}" type="presOf" srcId="{E77ACBAA-020B-4F5C-BABE-D80011D2D0EA}" destId="{A878B82D-96A8-4EDB-A958-4CFCB92671D3}" srcOrd="1" destOrd="1" presId="urn:microsoft.com/office/officeart/2005/8/layout/cycle4"/>
    <dgm:cxn modelId="{15C8377F-432F-4839-B4E8-6FDFDE52F434}" srcId="{C6E8A111-0C03-4E87-96A5-E53C4F423A72}" destId="{3D299156-B426-44E7-A612-76D0A144D723}" srcOrd="0" destOrd="0" parTransId="{53ADF470-C4BA-4B6C-AC07-05A0FD469851}" sibTransId="{C4CFA813-CE8D-47A2-B6D9-6DEC03D73426}"/>
    <dgm:cxn modelId="{065AA183-DDA2-4AAF-BC2B-992C35CBCB60}" type="presOf" srcId="{CFD0B376-73C4-48D0-8D05-53CA409575F7}" destId="{E635A78F-EC73-46CF-BDA6-46622BFA8430}" srcOrd="0" destOrd="5" presId="urn:microsoft.com/office/officeart/2005/8/layout/cycle4"/>
    <dgm:cxn modelId="{270CD284-4847-4F74-ADF6-A3F65CC8DFF7}" type="presOf" srcId="{BFC753AB-EFC5-4E90-91D6-2372025FF0E9}" destId="{E03FD7A9-0C38-4163-8818-DC9B5B9FA9A5}" srcOrd="1" destOrd="2" presId="urn:microsoft.com/office/officeart/2005/8/layout/cycle4"/>
    <dgm:cxn modelId="{B75CC694-169F-4509-858C-DC370D5F6B4F}" type="presOf" srcId="{89A58911-63FC-4EAA-BFCB-2467EC8E0735}" destId="{3250724D-0AB6-4E83-94A2-D115E9DC0AFD}" srcOrd="0" destOrd="0" presId="urn:microsoft.com/office/officeart/2005/8/layout/cycle4"/>
    <dgm:cxn modelId="{44D3FD96-DA6E-40CF-9528-9F880BAF27DD}" type="presOf" srcId="{8B21CD7B-F8A5-43BC-902B-F702DBDA652B}" destId="{E635A78F-EC73-46CF-BDA6-46622BFA8430}" srcOrd="0" destOrd="4" presId="urn:microsoft.com/office/officeart/2005/8/layout/cycle4"/>
    <dgm:cxn modelId="{AACC6897-BE8B-42C8-92B3-F74959D19CB8}" srcId="{C6E8A111-0C03-4E87-96A5-E53C4F423A72}" destId="{CA6EB899-9D15-4033-A754-E94185F58449}" srcOrd="4" destOrd="0" parTransId="{AB8B3904-CF7B-4FFC-A7CF-7B4BF15386DA}" sibTransId="{9521E7A2-53AD-4A91-83B4-FAD8D3785DEC}"/>
    <dgm:cxn modelId="{4EC58B98-A753-4C7C-9CAB-DF50F1D7D48F}" type="presOf" srcId="{B93A3B3C-9466-45C4-89FF-60668A3030BB}" destId="{A35B31FE-8577-4CF7-89DE-B5946F061E9D}" srcOrd="0" destOrd="0" presId="urn:microsoft.com/office/officeart/2005/8/layout/cycle4"/>
    <dgm:cxn modelId="{2C3A189F-E5B5-4EA1-9ECE-67F47A3324AC}" srcId="{89A58911-63FC-4EAA-BFCB-2467EC8E0735}" destId="{923DC663-4224-4305-A895-5205B9370B33}" srcOrd="1" destOrd="0" parTransId="{4AAF7006-2AD9-4621-963E-A71344ED5237}" sibTransId="{25702640-C5C8-44F4-BA1B-D786511D62B7}"/>
    <dgm:cxn modelId="{9199A4A3-BD92-4578-AEA4-3A35A54BC3B7}" srcId="{CAB9613B-20F5-468A-BB87-17F327CEB36C}" destId="{CD130829-ADEB-4192-99E6-62573B2C8601}" srcOrd="2" destOrd="0" parTransId="{923CE276-B5BA-4D7C-904D-D0ABA75D26E5}" sibTransId="{77C4CC0D-E9B8-4FC0-B508-9C22D70853E2}"/>
    <dgm:cxn modelId="{0AD634A4-419A-42BB-B176-E2B0E9E108C3}" srcId="{B16E95D5-8972-445E-82AA-61CA67F554CD}" destId="{C6E8A111-0C03-4E87-96A5-E53C4F423A72}" srcOrd="0" destOrd="0" parTransId="{7F384ADB-29A0-437D-B896-8FA5D98E1563}" sibTransId="{353E21F4-9123-4A16-87BD-20C0D69BD268}"/>
    <dgm:cxn modelId="{E53724A6-F9D8-4C1E-9F5A-E61BB6E20FEB}" type="presOf" srcId="{6A17F6CB-607D-466F-95C5-FBF667B28FEA}" destId="{E03FD7A9-0C38-4163-8818-DC9B5B9FA9A5}" srcOrd="1" destOrd="3" presId="urn:microsoft.com/office/officeart/2005/8/layout/cycle4"/>
    <dgm:cxn modelId="{50AC36B8-3F0E-4685-B105-B3736ACCDEA6}" srcId="{B16E95D5-8972-445E-82AA-61CA67F554CD}" destId="{89A58911-63FC-4EAA-BFCB-2467EC8E0735}" srcOrd="2" destOrd="0" parTransId="{3CDF037B-B0AA-4431-BDC8-7C5471779E44}" sibTransId="{69235106-FAD4-46EE-9B1E-55A5257E9D29}"/>
    <dgm:cxn modelId="{CBB2FCC0-B56A-4D33-8540-2F48DB2A7DF9}" type="presOf" srcId="{8B21CD7B-F8A5-43BC-902B-F702DBDA652B}" destId="{270E6A62-1C3D-4CBF-B0C0-235CA181642A}" srcOrd="1" destOrd="4" presId="urn:microsoft.com/office/officeart/2005/8/layout/cycle4"/>
    <dgm:cxn modelId="{1ACBFDC2-BDD2-4CA9-913C-EA546507019C}" type="presOf" srcId="{BFC753AB-EFC5-4E90-91D6-2372025FF0E9}" destId="{A16D0F95-6282-4A32-AF04-2E099900F9C5}" srcOrd="0" destOrd="2" presId="urn:microsoft.com/office/officeart/2005/8/layout/cycle4"/>
    <dgm:cxn modelId="{0A0268C5-F7E5-4699-87D4-2491CD458B8E}" type="presOf" srcId="{122F6BBA-9ECF-4DA0-9E98-77239BE1DD1C}" destId="{A16D0F95-6282-4A32-AF04-2E099900F9C5}" srcOrd="0" destOrd="0" presId="urn:microsoft.com/office/officeart/2005/8/layout/cycle4"/>
    <dgm:cxn modelId="{A2F90CC6-E3F7-4BC5-BA4E-F1E178560667}" type="presOf" srcId="{6F80DFC8-690C-4ADA-8131-7A19F69DD2AA}" destId="{270E6A62-1C3D-4CBF-B0C0-235CA181642A}" srcOrd="1" destOrd="3" presId="urn:microsoft.com/office/officeart/2005/8/layout/cycle4"/>
    <dgm:cxn modelId="{0CA73FC6-2720-4ACC-8107-630826374821}" type="presOf" srcId="{923DC663-4224-4305-A895-5205B9370B33}" destId="{A16D0F95-6282-4A32-AF04-2E099900F9C5}" srcOrd="0" destOrd="1" presId="urn:microsoft.com/office/officeart/2005/8/layout/cycle4"/>
    <dgm:cxn modelId="{6EAFF4CC-54E3-4CB4-8AF9-C9C5871DD687}" type="presOf" srcId="{3D299156-B426-44E7-A612-76D0A144D723}" destId="{A878B82D-96A8-4EDB-A958-4CFCB92671D3}" srcOrd="1" destOrd="0" presId="urn:microsoft.com/office/officeart/2005/8/layout/cycle4"/>
    <dgm:cxn modelId="{0EFB71D0-C71F-4F56-BD6E-0F6FE75A67B6}" type="presOf" srcId="{6F80DFC8-690C-4ADA-8131-7A19F69DD2AA}" destId="{E635A78F-EC73-46CF-BDA6-46622BFA8430}" srcOrd="0" destOrd="3" presId="urn:microsoft.com/office/officeart/2005/8/layout/cycle4"/>
    <dgm:cxn modelId="{C1D8D9D4-E0D2-43A9-AD6C-9E200329E775}" type="presOf" srcId="{CD130829-ADEB-4192-99E6-62573B2C8601}" destId="{A882AEDD-D6CE-4CC8-B1F0-DD06625D3C9F}" srcOrd="1" destOrd="2" presId="urn:microsoft.com/office/officeart/2005/8/layout/cycle4"/>
    <dgm:cxn modelId="{3E0105D7-CE04-4E20-9790-E77E12A7BB13}" type="presOf" srcId="{6176878E-EE58-4197-8248-0AAE42F66E75}" destId="{D5279C14-8B56-4542-992E-542833C9F916}" srcOrd="0" destOrd="2" presId="urn:microsoft.com/office/officeart/2005/8/layout/cycle4"/>
    <dgm:cxn modelId="{ED64C8D7-192C-4833-B93A-5AA004154730}" srcId="{89A58911-63FC-4EAA-BFCB-2467EC8E0735}" destId="{6A17F6CB-607D-466F-95C5-FBF667B28FEA}" srcOrd="3" destOrd="0" parTransId="{077DC64C-59C1-4B88-830D-C40B1BE7C893}" sibTransId="{738A8CC2-74D7-4CC8-BF83-A09EF9DE50FE}"/>
    <dgm:cxn modelId="{E07607E2-F81A-401D-B3F7-7BFC390065BB}" type="presOf" srcId="{8D75FE92-FDE7-4CCA-A18C-3422FECACF3D}" destId="{A882AEDD-D6CE-4CC8-B1F0-DD06625D3C9F}" srcOrd="1" destOrd="0" presId="urn:microsoft.com/office/officeart/2005/8/layout/cycle4"/>
    <dgm:cxn modelId="{4A594AE8-A121-4F98-B5EC-684CE7044EDA}" type="presOf" srcId="{923DC663-4224-4305-A895-5205B9370B33}" destId="{E03FD7A9-0C38-4163-8818-DC9B5B9FA9A5}" srcOrd="1" destOrd="1" presId="urn:microsoft.com/office/officeart/2005/8/layout/cycle4"/>
    <dgm:cxn modelId="{30DBBAE8-8500-48CF-9FD8-A284A439FE8B}" srcId="{CAB9613B-20F5-468A-BB87-17F327CEB36C}" destId="{55063F1C-6AF7-4C69-9F24-D575DAD6E1B2}" srcOrd="1" destOrd="0" parTransId="{F0D2CC2B-B2F0-443A-A350-7AD70C0217BA}" sibTransId="{5DCF11EC-9F84-48F9-941F-275B2AA1A6FB}"/>
    <dgm:cxn modelId="{0C8AC1EC-0B93-4504-BE48-35ECA6E55A80}" type="presOf" srcId="{5740E3E9-C773-4FD8-8784-FC56BB636D6A}" destId="{270E6A62-1C3D-4CBF-B0C0-235CA181642A}" srcOrd="1" destOrd="2" presId="urn:microsoft.com/office/officeart/2005/8/layout/cycle4"/>
    <dgm:cxn modelId="{98F689FB-EE38-484B-914A-A3FE6D9E16AD}" type="presOf" srcId="{122F6BBA-9ECF-4DA0-9E98-77239BE1DD1C}" destId="{E03FD7A9-0C38-4163-8818-DC9B5B9FA9A5}" srcOrd="1" destOrd="0" presId="urn:microsoft.com/office/officeart/2005/8/layout/cycle4"/>
    <dgm:cxn modelId="{845FE082-D6C1-441D-8380-938EC7A2B34C}" type="presParOf" srcId="{E8C2F984-CE76-48B9-8CA3-EDBADE176603}" destId="{55BB3D1E-9448-459C-B724-41D1639927B3}" srcOrd="0" destOrd="0" presId="urn:microsoft.com/office/officeart/2005/8/layout/cycle4"/>
    <dgm:cxn modelId="{060B956F-14BE-4CE3-8916-C12347FA6E63}" type="presParOf" srcId="{55BB3D1E-9448-459C-B724-41D1639927B3}" destId="{9F42E0FE-FA91-4610-A59A-EF67A20E4134}" srcOrd="0" destOrd="0" presId="urn:microsoft.com/office/officeart/2005/8/layout/cycle4"/>
    <dgm:cxn modelId="{14001F95-0E35-44E5-A563-FB683842E741}" type="presParOf" srcId="{9F42E0FE-FA91-4610-A59A-EF67A20E4134}" destId="{D5279C14-8B56-4542-992E-542833C9F916}" srcOrd="0" destOrd="0" presId="urn:microsoft.com/office/officeart/2005/8/layout/cycle4"/>
    <dgm:cxn modelId="{013BB1E1-E7C7-43E2-8F93-D7C1EAB0864E}" type="presParOf" srcId="{9F42E0FE-FA91-4610-A59A-EF67A20E4134}" destId="{A878B82D-96A8-4EDB-A958-4CFCB92671D3}" srcOrd="1" destOrd="0" presId="urn:microsoft.com/office/officeart/2005/8/layout/cycle4"/>
    <dgm:cxn modelId="{0D3B964B-862E-4C1D-89F3-5B9C397AC914}" type="presParOf" srcId="{55BB3D1E-9448-459C-B724-41D1639927B3}" destId="{F0672E88-5540-4A98-9C4C-5A4C2B9976B6}" srcOrd="1" destOrd="0" presId="urn:microsoft.com/office/officeart/2005/8/layout/cycle4"/>
    <dgm:cxn modelId="{17F264FF-3FE5-4788-B5FF-2F4ECFD252AC}" type="presParOf" srcId="{F0672E88-5540-4A98-9C4C-5A4C2B9976B6}" destId="{E635A78F-EC73-46CF-BDA6-46622BFA8430}" srcOrd="0" destOrd="0" presId="urn:microsoft.com/office/officeart/2005/8/layout/cycle4"/>
    <dgm:cxn modelId="{31FA7020-A055-4ADD-AF29-6D3CC9E439C0}" type="presParOf" srcId="{F0672E88-5540-4A98-9C4C-5A4C2B9976B6}" destId="{270E6A62-1C3D-4CBF-B0C0-235CA181642A}" srcOrd="1" destOrd="0" presId="urn:microsoft.com/office/officeart/2005/8/layout/cycle4"/>
    <dgm:cxn modelId="{3D45FFDD-2BF1-45A2-851E-152454DA7659}" type="presParOf" srcId="{55BB3D1E-9448-459C-B724-41D1639927B3}" destId="{7681710A-1B9F-4199-9060-7EF7AF5CAE1F}" srcOrd="2" destOrd="0" presId="urn:microsoft.com/office/officeart/2005/8/layout/cycle4"/>
    <dgm:cxn modelId="{06450D6C-7531-4F17-9E17-BD40A603BC1B}" type="presParOf" srcId="{7681710A-1B9F-4199-9060-7EF7AF5CAE1F}" destId="{A16D0F95-6282-4A32-AF04-2E099900F9C5}" srcOrd="0" destOrd="0" presId="urn:microsoft.com/office/officeart/2005/8/layout/cycle4"/>
    <dgm:cxn modelId="{7080B16F-623C-4BAD-A7FE-6CFD29E78BB9}" type="presParOf" srcId="{7681710A-1B9F-4199-9060-7EF7AF5CAE1F}" destId="{E03FD7A9-0C38-4163-8818-DC9B5B9FA9A5}" srcOrd="1" destOrd="0" presId="urn:microsoft.com/office/officeart/2005/8/layout/cycle4"/>
    <dgm:cxn modelId="{3FE096CB-E50E-4643-BDB5-9600F2098E7B}" type="presParOf" srcId="{55BB3D1E-9448-459C-B724-41D1639927B3}" destId="{AEB79A52-93B1-412A-888D-594ABFE1D35E}" srcOrd="3" destOrd="0" presId="urn:microsoft.com/office/officeart/2005/8/layout/cycle4"/>
    <dgm:cxn modelId="{4151E76F-0250-44B9-99B3-6D411258DA07}" type="presParOf" srcId="{AEB79A52-93B1-412A-888D-594ABFE1D35E}" destId="{96174BDE-B327-4A14-AFCD-D5108B3BBB59}" srcOrd="0" destOrd="0" presId="urn:microsoft.com/office/officeart/2005/8/layout/cycle4"/>
    <dgm:cxn modelId="{9709AD03-6CCB-4192-8F9B-553D943B348D}" type="presParOf" srcId="{AEB79A52-93B1-412A-888D-594ABFE1D35E}" destId="{A882AEDD-D6CE-4CC8-B1F0-DD06625D3C9F}" srcOrd="1" destOrd="0" presId="urn:microsoft.com/office/officeart/2005/8/layout/cycle4"/>
    <dgm:cxn modelId="{294FB3F8-A1E6-462C-B538-889C32D577EE}" type="presParOf" srcId="{55BB3D1E-9448-459C-B724-41D1639927B3}" destId="{058F7C45-8578-48DD-9B32-14183B3AA606}" srcOrd="4" destOrd="0" presId="urn:microsoft.com/office/officeart/2005/8/layout/cycle4"/>
    <dgm:cxn modelId="{382AB416-D96C-46FA-B83A-156F4E2B76AA}" type="presParOf" srcId="{E8C2F984-CE76-48B9-8CA3-EDBADE176603}" destId="{4F743D10-1517-40D3-A5B1-0C8399B1265E}" srcOrd="1" destOrd="0" presId="urn:microsoft.com/office/officeart/2005/8/layout/cycle4"/>
    <dgm:cxn modelId="{22A23269-1D21-4915-98AC-EC717515E669}" type="presParOf" srcId="{4F743D10-1517-40D3-A5B1-0C8399B1265E}" destId="{400E06D7-9235-4A0E-A292-5F260B798BE4}" srcOrd="0" destOrd="0" presId="urn:microsoft.com/office/officeart/2005/8/layout/cycle4"/>
    <dgm:cxn modelId="{A2A42703-9290-432D-A49C-8C27BD81BA7B}" type="presParOf" srcId="{4F743D10-1517-40D3-A5B1-0C8399B1265E}" destId="{A35B31FE-8577-4CF7-89DE-B5946F061E9D}" srcOrd="1" destOrd="0" presId="urn:microsoft.com/office/officeart/2005/8/layout/cycle4"/>
    <dgm:cxn modelId="{A3CF82E4-DF0D-4315-84F9-12CDA2F76466}" type="presParOf" srcId="{4F743D10-1517-40D3-A5B1-0C8399B1265E}" destId="{3250724D-0AB6-4E83-94A2-D115E9DC0AFD}" srcOrd="2" destOrd="0" presId="urn:microsoft.com/office/officeart/2005/8/layout/cycle4"/>
    <dgm:cxn modelId="{0D11AA37-3A2B-4E7F-B99B-20033E9FF2C4}" type="presParOf" srcId="{4F743D10-1517-40D3-A5B1-0C8399B1265E}" destId="{6B5038E7-13A6-41F4-A094-37420DC1C761}" srcOrd="3" destOrd="0" presId="urn:microsoft.com/office/officeart/2005/8/layout/cycle4"/>
    <dgm:cxn modelId="{A3D5EE00-6CAF-4A1F-846E-DA818ABEB2C6}" type="presParOf" srcId="{4F743D10-1517-40D3-A5B1-0C8399B1265E}" destId="{E9161F16-9F34-4208-8B4D-DEDDBFE9B94E}" srcOrd="4" destOrd="0" presId="urn:microsoft.com/office/officeart/2005/8/layout/cycle4"/>
    <dgm:cxn modelId="{3F2A3285-7FC2-47D1-AAA4-ED234B8413E7}" type="presParOf" srcId="{E8C2F984-CE76-48B9-8CA3-EDBADE176603}" destId="{DD8FAD9C-6F21-457F-A568-72AA1A67C167}" srcOrd="2" destOrd="0" presId="urn:microsoft.com/office/officeart/2005/8/layout/cycle4"/>
    <dgm:cxn modelId="{923052D9-69A0-436C-80A4-67F7E482C806}" type="presParOf" srcId="{E8C2F984-CE76-48B9-8CA3-EDBADE176603}" destId="{BE435325-3D5D-4FBA-8A9E-2CFB9513CAAB}" srcOrd="3" destOrd="0" presId="urn:microsoft.com/office/officeart/2005/8/layout/cycle4"/>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16D0F95-6282-4A32-AF04-2E099900F9C5}">
      <dsp:nvSpPr>
        <dsp:cNvPr id="0" name=""/>
        <dsp:cNvSpPr/>
      </dsp:nvSpPr>
      <dsp:spPr>
        <a:xfrm>
          <a:off x="2845236" y="2352091"/>
          <a:ext cx="3339663" cy="1099472"/>
        </a:xfrm>
        <a:prstGeom prst="roundRect">
          <a:avLst>
            <a:gd name="adj" fmla="val 10000"/>
          </a:avLst>
        </a:prstGeom>
        <a:solidFill>
          <a:sysClr val="window" lastClr="FFFFFF">
            <a:alpha val="90000"/>
            <a:hueOff val="0"/>
            <a:satOff val="0"/>
            <a:lumOff val="0"/>
            <a:alphaOff val="0"/>
          </a:sysClr>
        </a:solidFill>
        <a:ln w="6350" cap="flat" cmpd="sng" algn="ctr">
          <a:solidFill>
            <a:srgbClr val="FFC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57150" lvl="1" indent="-57150" algn="just" defTabSz="400050">
            <a:lnSpc>
              <a:spcPct val="90000"/>
            </a:lnSpc>
            <a:spcBef>
              <a:spcPct val="0"/>
            </a:spcBef>
            <a:spcAft>
              <a:spcPct val="15000"/>
            </a:spcAft>
            <a:buFont typeface="Arial" panose="020B0604020202020204" pitchFamily="34" charset="0"/>
            <a:buChar char="•"/>
          </a:pPr>
          <a:r>
            <a:rPr lang="en-US" sz="900" kern="1200" dirty="0">
              <a:solidFill>
                <a:sysClr val="windowText" lastClr="000000">
                  <a:hueOff val="0"/>
                  <a:satOff val="0"/>
                  <a:lumOff val="0"/>
                  <a:alphaOff val="0"/>
                </a:sysClr>
              </a:solidFill>
              <a:latin typeface="Calibri" panose="020F0502020204030204"/>
              <a:ea typeface="+mn-ea"/>
              <a:cs typeface="+mn-cs"/>
            </a:rPr>
            <a:t>            Relatórios</a:t>
          </a:r>
          <a:r>
            <a:rPr lang="en-US" sz="900" kern="1200" baseline="0" dirty="0">
              <a:solidFill>
                <a:sysClr val="windowText" lastClr="000000">
                  <a:hueOff val="0"/>
                  <a:satOff val="0"/>
                  <a:lumOff val="0"/>
                  <a:alphaOff val="0"/>
                </a:sysClr>
              </a:solidFill>
              <a:latin typeface="Calibri" panose="020F0502020204030204"/>
              <a:ea typeface="+mn-ea"/>
              <a:cs typeface="+mn-cs"/>
            </a:rPr>
            <a:t> de implementação dos PGAS</a:t>
          </a:r>
          <a:endParaRPr lang="en-US" sz="900" kern="1200" dirty="0">
            <a:solidFill>
              <a:sysClr val="windowText" lastClr="000000">
                <a:hueOff val="0"/>
                <a:satOff val="0"/>
                <a:lumOff val="0"/>
                <a:alphaOff val="0"/>
              </a:sysClr>
            </a:solidFill>
            <a:latin typeface="Calibri" panose="020F0502020204030204"/>
            <a:ea typeface="+mn-ea"/>
            <a:cs typeface="+mn-cs"/>
          </a:endParaRPr>
        </a:p>
        <a:p>
          <a:pPr marL="57150" lvl="1" indent="-57150" algn="just" defTabSz="400050">
            <a:lnSpc>
              <a:spcPct val="90000"/>
            </a:lnSpc>
            <a:spcBef>
              <a:spcPct val="0"/>
            </a:spcBef>
            <a:spcAft>
              <a:spcPct val="15000"/>
            </a:spcAft>
            <a:buFont typeface="Arial" panose="020B0604020202020204" pitchFamily="34" charset="0"/>
            <a:buChar char="•"/>
          </a:pPr>
          <a:r>
            <a:rPr lang="en-US" sz="900" kern="1200" baseline="0" dirty="0">
              <a:solidFill>
                <a:sysClr val="windowText" lastClr="000000">
                  <a:hueOff val="0"/>
                  <a:satOff val="0"/>
                  <a:lumOff val="0"/>
                  <a:alphaOff val="0"/>
                </a:sysClr>
              </a:solidFill>
              <a:latin typeface="Calibri" panose="020F0502020204030204"/>
              <a:ea typeface="+mn-ea"/>
              <a:cs typeface="+mn-cs"/>
            </a:rPr>
            <a:t>         Monitorização ambiental e social</a:t>
          </a:r>
          <a:endParaRPr lang="en-US" sz="900" kern="1200" dirty="0">
            <a:solidFill>
              <a:sysClr val="windowText" lastClr="000000">
                <a:hueOff val="0"/>
                <a:satOff val="0"/>
                <a:lumOff val="0"/>
                <a:alphaOff val="0"/>
              </a:sysClr>
            </a:solidFill>
            <a:latin typeface="Calibri" panose="020F0502020204030204"/>
            <a:ea typeface="+mn-ea"/>
            <a:cs typeface="+mn-cs"/>
          </a:endParaRPr>
        </a:p>
        <a:p>
          <a:pPr marL="57150" lvl="1" indent="-57150" algn="just" defTabSz="400050">
            <a:lnSpc>
              <a:spcPct val="90000"/>
            </a:lnSpc>
            <a:spcBef>
              <a:spcPct val="0"/>
            </a:spcBef>
            <a:spcAft>
              <a:spcPct val="15000"/>
            </a:spcAft>
            <a:buFont typeface="Arial" panose="020B0604020202020204" pitchFamily="34" charset="0"/>
            <a:buNone/>
          </a:pPr>
          <a:r>
            <a:rPr lang="en-US" sz="900" kern="1200" baseline="0" dirty="0">
              <a:solidFill>
                <a:sysClr val="windowText" lastClr="000000">
                  <a:hueOff val="0"/>
                  <a:satOff val="0"/>
                  <a:lumOff val="0"/>
                  <a:alphaOff val="0"/>
                </a:sysClr>
              </a:solidFill>
              <a:latin typeface="Calibri" panose="020F0502020204030204"/>
              <a:ea typeface="+mn-ea"/>
              <a:cs typeface="+mn-cs"/>
            </a:rPr>
            <a:t> Auditorias ambientais e socias (internas, externas e âs </a:t>
          </a:r>
          <a:r>
            <a:rPr lang="pt-PT" sz="900" kern="1200" baseline="0" dirty="0">
              <a:solidFill>
                <a:sysClr val="windowText" lastClr="000000">
                  <a:hueOff val="0"/>
                  <a:satOff val="0"/>
                  <a:lumOff val="0"/>
                  <a:alphaOff val="0"/>
                </a:sysClr>
              </a:solidFill>
              <a:latin typeface="Calibri" panose="020F0502020204030204"/>
              <a:ea typeface="+mn-ea"/>
              <a:cs typeface="+mn-cs"/>
            </a:rPr>
            <a:t>contrata</a:t>
          </a:r>
          <a:r>
            <a:rPr lang="en-US" sz="900" kern="1200" baseline="0" dirty="0">
              <a:solidFill>
                <a:sysClr val="windowText" lastClr="000000">
                  <a:hueOff val="0"/>
                  <a:satOff val="0"/>
                  <a:lumOff val="0"/>
                  <a:alphaOff val="0"/>
                </a:sysClr>
              </a:solidFill>
              <a:latin typeface="Calibri" panose="020F0502020204030204"/>
              <a:ea typeface="+mn-ea"/>
              <a:cs typeface="+mn-cs"/>
            </a:rPr>
            <a:t>das)</a:t>
          </a:r>
          <a:endParaRPr lang="en-US" sz="900" kern="1200" dirty="0">
            <a:solidFill>
              <a:sysClr val="windowText" lastClr="000000">
                <a:hueOff val="0"/>
                <a:satOff val="0"/>
                <a:lumOff val="0"/>
                <a:alphaOff val="0"/>
              </a:sysClr>
            </a:solidFill>
            <a:latin typeface="Calibri" panose="020F0502020204030204"/>
            <a:ea typeface="+mn-ea"/>
            <a:cs typeface="+mn-cs"/>
          </a:endParaRPr>
        </a:p>
        <a:p>
          <a:pPr marL="57150" lvl="1" indent="-57150" algn="l" defTabSz="400050">
            <a:lnSpc>
              <a:spcPct val="90000"/>
            </a:lnSpc>
            <a:spcBef>
              <a:spcPct val="0"/>
            </a:spcBef>
            <a:spcAft>
              <a:spcPct val="15000"/>
            </a:spcAft>
            <a:buNone/>
          </a:pPr>
          <a:r>
            <a:rPr lang="en-US" sz="900" kern="1200" baseline="0" dirty="0">
              <a:solidFill>
                <a:sysClr val="windowText" lastClr="000000">
                  <a:hueOff val="0"/>
                  <a:satOff val="0"/>
                  <a:lumOff val="0"/>
                  <a:alphaOff val="0"/>
                </a:sysClr>
              </a:solidFill>
              <a:latin typeface="Calibri" panose="020F0502020204030204"/>
              <a:ea typeface="+mn-ea"/>
              <a:cs typeface="+mn-cs"/>
            </a:rPr>
            <a:t> </a:t>
          </a:r>
          <a:endParaRPr lang="en-US" sz="900" kern="1200" dirty="0">
            <a:solidFill>
              <a:sysClr val="windowText" lastClr="000000">
                <a:hueOff val="0"/>
                <a:satOff val="0"/>
                <a:lumOff val="0"/>
                <a:alphaOff val="0"/>
              </a:sysClr>
            </a:solidFill>
            <a:latin typeface="Calibri" panose="020F0502020204030204"/>
            <a:ea typeface="+mn-ea"/>
            <a:cs typeface="+mn-cs"/>
          </a:endParaRPr>
        </a:p>
      </dsp:txBody>
      <dsp:txXfrm>
        <a:off x="3871287" y="2651111"/>
        <a:ext cx="2289460" cy="776300"/>
      </dsp:txXfrm>
    </dsp:sp>
    <dsp:sp modelId="{96174BDE-B327-4A14-AFCD-D5108B3BBB59}">
      <dsp:nvSpPr>
        <dsp:cNvPr id="0" name=""/>
        <dsp:cNvSpPr/>
      </dsp:nvSpPr>
      <dsp:spPr>
        <a:xfrm>
          <a:off x="47236" y="2375246"/>
          <a:ext cx="2641101" cy="1099472"/>
        </a:xfrm>
        <a:prstGeom prst="roundRect">
          <a:avLst>
            <a:gd name="adj" fmla="val 10000"/>
          </a:avLst>
        </a:prstGeom>
        <a:solidFill>
          <a:sysClr val="window" lastClr="FFFFFF">
            <a:alpha val="90000"/>
            <a:hueOff val="0"/>
            <a:satOff val="0"/>
            <a:lumOff val="0"/>
            <a:alphaOff val="0"/>
          </a:sysClr>
        </a:solidFill>
        <a:ln w="6350" cap="flat" cmpd="sng" algn="ctr">
          <a:solidFill>
            <a:srgbClr val="5B9BD5">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57150" lvl="1" indent="-57150" algn="l" defTabSz="400050">
            <a:lnSpc>
              <a:spcPct val="90000"/>
            </a:lnSpc>
            <a:spcBef>
              <a:spcPct val="0"/>
            </a:spcBef>
            <a:spcAft>
              <a:spcPct val="15000"/>
            </a:spcAft>
            <a:buChar char="•"/>
          </a:pPr>
          <a:r>
            <a:rPr lang="en-US" sz="900" kern="1200" dirty="0">
              <a:solidFill>
                <a:sysClr val="windowText" lastClr="000000">
                  <a:hueOff val="0"/>
                  <a:satOff val="0"/>
                  <a:lumOff val="0"/>
                  <a:alphaOff val="0"/>
                </a:sysClr>
              </a:solidFill>
              <a:latin typeface="Calibri" panose="020F0502020204030204"/>
              <a:ea typeface="+mn-ea"/>
              <a:cs typeface="+mn-cs"/>
            </a:rPr>
            <a:t>Avaliação do Desempenho e Progresso das actividades </a:t>
          </a:r>
        </a:p>
        <a:p>
          <a:pPr marL="57150" lvl="1" indent="-57150" algn="l" defTabSz="400050">
            <a:lnSpc>
              <a:spcPct val="90000"/>
            </a:lnSpc>
            <a:spcBef>
              <a:spcPct val="0"/>
            </a:spcBef>
            <a:spcAft>
              <a:spcPct val="15000"/>
            </a:spcAft>
            <a:buChar char="•"/>
          </a:pPr>
          <a:r>
            <a:rPr lang="en-US" sz="900" kern="1200" dirty="0">
              <a:solidFill>
                <a:sysClr val="windowText" lastClr="000000">
                  <a:hueOff val="0"/>
                  <a:satOff val="0"/>
                  <a:lumOff val="0"/>
                  <a:alphaOff val="0"/>
                </a:sysClr>
              </a:solidFill>
              <a:latin typeface="Calibri" panose="020F0502020204030204"/>
              <a:ea typeface="+mn-ea"/>
              <a:cs typeface="+mn-cs"/>
            </a:rPr>
            <a:t>Recomendações de melhoria </a:t>
          </a:r>
        </a:p>
        <a:p>
          <a:pPr marL="57150" lvl="1" indent="-57150" algn="l" defTabSz="400050">
            <a:lnSpc>
              <a:spcPct val="90000"/>
            </a:lnSpc>
            <a:spcBef>
              <a:spcPct val="0"/>
            </a:spcBef>
            <a:spcAft>
              <a:spcPct val="15000"/>
            </a:spcAft>
            <a:buChar char="•"/>
          </a:pPr>
          <a:endParaRPr lang="en-US" sz="900" kern="1200" dirty="0">
            <a:solidFill>
              <a:sysClr val="windowText" lastClr="000000">
                <a:hueOff val="0"/>
                <a:satOff val="0"/>
                <a:lumOff val="0"/>
                <a:alphaOff val="0"/>
              </a:sysClr>
            </a:solidFill>
            <a:latin typeface="Calibri" panose="020F0502020204030204"/>
            <a:ea typeface="+mn-ea"/>
            <a:cs typeface="+mn-cs"/>
          </a:endParaRPr>
        </a:p>
      </dsp:txBody>
      <dsp:txXfrm>
        <a:off x="71388" y="2674266"/>
        <a:ext cx="1800466" cy="776300"/>
      </dsp:txXfrm>
    </dsp:sp>
    <dsp:sp modelId="{E635A78F-EC73-46CF-BDA6-46622BFA8430}">
      <dsp:nvSpPr>
        <dsp:cNvPr id="0" name=""/>
        <dsp:cNvSpPr/>
      </dsp:nvSpPr>
      <dsp:spPr>
        <a:xfrm>
          <a:off x="2571765" y="64418"/>
          <a:ext cx="3613134" cy="1224461"/>
        </a:xfrm>
        <a:prstGeom prst="roundRect">
          <a:avLst>
            <a:gd name="adj" fmla="val 10000"/>
          </a:avLst>
        </a:prstGeom>
        <a:solidFill>
          <a:sysClr val="window" lastClr="FFFFFF">
            <a:alpha val="90000"/>
            <a:hueOff val="0"/>
            <a:satOff val="0"/>
            <a:lumOff val="0"/>
            <a:alphaOff val="0"/>
          </a:sysClr>
        </a:solidFill>
        <a:ln w="6350" cap="flat" cmpd="sng" algn="ctr">
          <a:solidFill>
            <a:srgbClr val="A5A5A5">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57150" lvl="1" indent="-57150" algn="l" defTabSz="400050">
            <a:lnSpc>
              <a:spcPct val="90000"/>
            </a:lnSpc>
            <a:spcBef>
              <a:spcPct val="0"/>
            </a:spcBef>
            <a:spcAft>
              <a:spcPct val="15000"/>
            </a:spcAft>
            <a:buChar char="•"/>
          </a:pPr>
          <a:r>
            <a:rPr lang="en-US" sz="900" kern="1200" dirty="0" err="1">
              <a:solidFill>
                <a:sysClr val="windowText" lastClr="000000">
                  <a:hueOff val="0"/>
                  <a:satOff val="0"/>
                  <a:lumOff val="0"/>
                  <a:alphaOff val="0"/>
                </a:sysClr>
              </a:solidFill>
              <a:latin typeface="Calibri" panose="020F0502020204030204"/>
              <a:ea typeface="+mn-ea"/>
              <a:cs typeface="+mn-cs"/>
            </a:rPr>
            <a:t>Preparação e Resposta a Situações de Emergência</a:t>
          </a:r>
          <a:endParaRPr lang="en-US" sz="900" kern="1200" dirty="0">
            <a:solidFill>
              <a:sysClr val="windowText" lastClr="000000">
                <a:hueOff val="0"/>
                <a:satOff val="0"/>
                <a:lumOff val="0"/>
                <a:alphaOff val="0"/>
              </a:sysClr>
            </a:solidFill>
            <a:latin typeface="Calibri" panose="020F0502020204030204"/>
            <a:ea typeface="+mn-ea"/>
            <a:cs typeface="+mn-cs"/>
          </a:endParaRPr>
        </a:p>
        <a:p>
          <a:pPr marL="57150" lvl="1" indent="-57150" algn="l" defTabSz="400050">
            <a:lnSpc>
              <a:spcPct val="90000"/>
            </a:lnSpc>
            <a:spcBef>
              <a:spcPct val="0"/>
            </a:spcBef>
            <a:spcAft>
              <a:spcPct val="15000"/>
            </a:spcAft>
            <a:buChar char="•"/>
          </a:pPr>
          <a:r>
            <a:rPr lang="en-US" sz="900" kern="1200" dirty="0">
              <a:solidFill>
                <a:sysClr val="windowText" lastClr="000000">
                  <a:hueOff val="0"/>
                  <a:satOff val="0"/>
                  <a:lumOff val="0"/>
                  <a:alphaOff val="0"/>
                </a:sysClr>
              </a:solidFill>
              <a:latin typeface="Calibri" panose="020F0502020204030204"/>
              <a:ea typeface="+mn-ea"/>
              <a:cs typeface="+mn-cs"/>
            </a:rPr>
            <a:t> Engajamento com as Partes de interessadas </a:t>
          </a:r>
        </a:p>
        <a:p>
          <a:pPr marL="57150" lvl="1" indent="-57150" algn="l" defTabSz="400050">
            <a:lnSpc>
              <a:spcPct val="90000"/>
            </a:lnSpc>
            <a:spcBef>
              <a:spcPct val="0"/>
            </a:spcBef>
            <a:spcAft>
              <a:spcPct val="15000"/>
            </a:spcAft>
            <a:buChar char="•"/>
          </a:pPr>
          <a:r>
            <a:rPr lang="en-US" sz="900" kern="1200" dirty="0">
              <a:solidFill>
                <a:sysClr val="windowText" lastClr="000000">
                  <a:hueOff val="0"/>
                  <a:satOff val="0"/>
                  <a:lumOff val="0"/>
                  <a:alphaOff val="0"/>
                </a:sysClr>
              </a:solidFill>
              <a:latin typeface="Calibri" panose="020F0502020204030204"/>
              <a:ea typeface="+mn-ea"/>
              <a:cs typeface="+mn-cs"/>
            </a:rPr>
            <a:t>C          Comunicação Externa e mecanismo de   e            r              reclamações e queixas</a:t>
          </a:r>
        </a:p>
        <a:p>
          <a:pPr marL="57150" lvl="1" indent="-57150" algn="l" defTabSz="400050">
            <a:lnSpc>
              <a:spcPct val="90000"/>
            </a:lnSpc>
            <a:spcBef>
              <a:spcPct val="0"/>
            </a:spcBef>
            <a:spcAft>
              <a:spcPct val="15000"/>
            </a:spcAft>
            <a:buChar char="•"/>
          </a:pPr>
          <a:r>
            <a:rPr lang="en-US" sz="900" kern="1200" dirty="0">
              <a:solidFill>
                <a:sysClr val="windowText" lastClr="000000">
                  <a:hueOff val="0"/>
                  <a:satOff val="0"/>
                  <a:lumOff val="0"/>
                  <a:alphaOff val="0"/>
                </a:sysClr>
              </a:solidFill>
              <a:latin typeface="Calibri" panose="020F0502020204030204"/>
              <a:ea typeface="+mn-ea"/>
              <a:cs typeface="+mn-cs"/>
            </a:rPr>
            <a:t>                     </a:t>
          </a:r>
          <a:r>
            <a:rPr lang="en-US" sz="900" kern="1200" dirty="0" err="1">
              <a:solidFill>
                <a:sysClr val="windowText" lastClr="000000">
                  <a:hueOff val="0"/>
                  <a:satOff val="0"/>
                  <a:lumOff val="0"/>
                  <a:alphaOff val="0"/>
                </a:sysClr>
              </a:solidFill>
              <a:latin typeface="Calibri" panose="020F0502020204030204"/>
              <a:ea typeface="+mn-ea"/>
              <a:cs typeface="+mn-cs"/>
            </a:rPr>
            <a:t>Treinamento</a:t>
          </a:r>
          <a:r>
            <a:rPr lang="en-US" sz="900" kern="1200" dirty="0">
              <a:solidFill>
                <a:sysClr val="windowText" lastClr="000000">
                  <a:hueOff val="0"/>
                  <a:satOff val="0"/>
                  <a:lumOff val="0"/>
                  <a:alphaOff val="0"/>
                </a:sysClr>
              </a:solidFill>
              <a:latin typeface="Calibri" panose="020F0502020204030204"/>
              <a:ea typeface="+mn-ea"/>
              <a:cs typeface="+mn-cs"/>
            </a:rPr>
            <a:t> e Capacitação</a:t>
          </a:r>
        </a:p>
        <a:p>
          <a:pPr marL="57150" lvl="1" indent="-57150" algn="l" defTabSz="400050">
            <a:lnSpc>
              <a:spcPct val="90000"/>
            </a:lnSpc>
            <a:spcBef>
              <a:spcPct val="0"/>
            </a:spcBef>
            <a:spcAft>
              <a:spcPct val="15000"/>
            </a:spcAft>
            <a:buChar char="•"/>
          </a:pPr>
          <a:r>
            <a:rPr lang="en-US" sz="900" kern="1200" dirty="0">
              <a:solidFill>
                <a:sysClr val="windowText" lastClr="000000">
                  <a:hueOff val="0"/>
                  <a:satOff val="0"/>
                  <a:lumOff val="0"/>
                  <a:alphaOff val="0"/>
                </a:sysClr>
              </a:solidFill>
              <a:latin typeface="Calibri" panose="020F0502020204030204"/>
              <a:ea typeface="+mn-ea"/>
              <a:cs typeface="+mn-cs"/>
            </a:rPr>
            <a:t>G    </a:t>
          </a:r>
          <a:r>
            <a:rPr lang="en-US" sz="900" kern="1200" dirty="0" err="1">
              <a:solidFill>
                <a:sysClr val="windowText" lastClr="000000">
                  <a:hueOff val="0"/>
                  <a:satOff val="0"/>
                  <a:lumOff val="0"/>
                  <a:alphaOff val="0"/>
                </a:sysClr>
              </a:solidFill>
              <a:latin typeface="Calibri" panose="020F0502020204030204"/>
              <a:ea typeface="+mn-ea"/>
              <a:cs typeface="+mn-cs"/>
            </a:rPr>
            <a:t>G               Gestão</a:t>
          </a:r>
          <a:r>
            <a:rPr lang="en-US" sz="900" kern="1200" dirty="0">
              <a:solidFill>
                <a:sysClr val="windowText" lastClr="000000">
                  <a:hueOff val="0"/>
                  <a:satOff val="0"/>
                  <a:lumOff val="0"/>
                  <a:alphaOff val="0"/>
                </a:sysClr>
              </a:solidFill>
              <a:latin typeface="Calibri" panose="020F0502020204030204"/>
              <a:ea typeface="+mn-ea"/>
              <a:cs typeface="+mn-cs"/>
            </a:rPr>
            <a:t> das Contratadas</a:t>
          </a:r>
        </a:p>
        <a:p>
          <a:pPr marL="57150" lvl="1" indent="-57150" algn="l" defTabSz="400050">
            <a:lnSpc>
              <a:spcPct val="90000"/>
            </a:lnSpc>
            <a:spcBef>
              <a:spcPct val="0"/>
            </a:spcBef>
            <a:spcAft>
              <a:spcPct val="15000"/>
            </a:spcAft>
            <a:buChar char="•"/>
          </a:pPr>
          <a:r>
            <a:rPr lang="en-US" sz="900" kern="1200" dirty="0">
              <a:solidFill>
                <a:sysClr val="windowText" lastClr="000000">
                  <a:hueOff val="0"/>
                  <a:satOff val="0"/>
                  <a:lumOff val="0"/>
                  <a:alphaOff val="0"/>
                </a:sysClr>
              </a:solidFill>
              <a:latin typeface="Calibri" panose="020F0502020204030204"/>
              <a:ea typeface="+mn-ea"/>
              <a:cs typeface="+mn-cs"/>
            </a:rPr>
            <a:t>                            Implementação de PGAs</a:t>
          </a:r>
        </a:p>
      </dsp:txBody>
      <dsp:txXfrm>
        <a:off x="3682602" y="91315"/>
        <a:ext cx="2475400" cy="864551"/>
      </dsp:txXfrm>
    </dsp:sp>
    <dsp:sp modelId="{D5279C14-8B56-4542-992E-542833C9F916}">
      <dsp:nvSpPr>
        <dsp:cNvPr id="0" name=""/>
        <dsp:cNvSpPr/>
      </dsp:nvSpPr>
      <dsp:spPr>
        <a:xfrm>
          <a:off x="123335" y="48167"/>
          <a:ext cx="2724727" cy="1096878"/>
        </a:xfrm>
        <a:prstGeom prst="roundRect">
          <a:avLst>
            <a:gd name="adj" fmla="val 10000"/>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57150" lvl="1" indent="-57150" algn="l" defTabSz="400050">
            <a:lnSpc>
              <a:spcPct val="90000"/>
            </a:lnSpc>
            <a:spcBef>
              <a:spcPct val="0"/>
            </a:spcBef>
            <a:spcAft>
              <a:spcPct val="15000"/>
            </a:spcAft>
            <a:buChar char="•"/>
          </a:pPr>
          <a:r>
            <a:rPr lang="en-US" sz="900" kern="1200" dirty="0" err="1">
              <a:solidFill>
                <a:sysClr val="windowText" lastClr="000000">
                  <a:hueOff val="0"/>
                  <a:satOff val="0"/>
                  <a:lumOff val="0"/>
                  <a:alphaOff val="0"/>
                </a:sysClr>
              </a:solidFill>
              <a:latin typeface="Calibri" panose="020F0502020204030204"/>
              <a:ea typeface="+mn-ea"/>
              <a:cs typeface="+mn-cs"/>
            </a:rPr>
            <a:t>Políticas</a:t>
          </a:r>
          <a:endParaRPr lang="en-US" sz="900" kern="1200" dirty="0">
            <a:solidFill>
              <a:sysClr val="windowText" lastClr="000000">
                <a:hueOff val="0"/>
                <a:satOff val="0"/>
                <a:lumOff val="0"/>
                <a:alphaOff val="0"/>
              </a:sysClr>
            </a:solidFill>
            <a:latin typeface="Calibri" panose="020F0502020204030204"/>
            <a:ea typeface="+mn-ea"/>
            <a:cs typeface="+mn-cs"/>
          </a:endParaRPr>
        </a:p>
        <a:p>
          <a:pPr marL="57150" lvl="1" indent="-57150" algn="l" defTabSz="400050">
            <a:lnSpc>
              <a:spcPct val="90000"/>
            </a:lnSpc>
            <a:spcBef>
              <a:spcPct val="0"/>
            </a:spcBef>
            <a:spcAft>
              <a:spcPct val="15000"/>
            </a:spcAft>
            <a:buChar char="•"/>
          </a:pPr>
          <a:r>
            <a:rPr lang="en-US" sz="900" kern="1200" dirty="0">
              <a:solidFill>
                <a:sysClr val="windowText" lastClr="000000">
                  <a:hueOff val="0"/>
                  <a:satOff val="0"/>
                  <a:lumOff val="0"/>
                  <a:alphaOff val="0"/>
                </a:sysClr>
              </a:solidFill>
              <a:latin typeface="Calibri" panose="020F0502020204030204"/>
              <a:ea typeface="+mn-ea"/>
              <a:cs typeface="+mn-cs"/>
            </a:rPr>
            <a:t>Identificação de riscos e impactos</a:t>
          </a:r>
        </a:p>
        <a:p>
          <a:pPr marL="57150" lvl="1" indent="-57150" algn="l" defTabSz="400050">
            <a:lnSpc>
              <a:spcPct val="90000"/>
            </a:lnSpc>
            <a:spcBef>
              <a:spcPct val="0"/>
            </a:spcBef>
            <a:spcAft>
              <a:spcPct val="15000"/>
            </a:spcAft>
            <a:buChar char="•"/>
          </a:pPr>
          <a:r>
            <a:rPr lang="en-US" sz="900" kern="1200" dirty="0">
              <a:solidFill>
                <a:sysClr val="windowText" lastClr="000000">
                  <a:hueOff val="0"/>
                  <a:satOff val="0"/>
                  <a:lumOff val="0"/>
                  <a:alphaOff val="0"/>
                </a:sysClr>
              </a:solidFill>
              <a:latin typeface="Calibri" panose="020F0502020204030204"/>
              <a:ea typeface="+mn-ea"/>
              <a:cs typeface="+mn-cs"/>
            </a:rPr>
            <a:t>Planos de Gestão Ambiental e Social</a:t>
          </a:r>
        </a:p>
        <a:p>
          <a:pPr marL="57150" lvl="1" indent="-57150" algn="l" defTabSz="400050">
            <a:lnSpc>
              <a:spcPct val="90000"/>
            </a:lnSpc>
            <a:spcBef>
              <a:spcPct val="0"/>
            </a:spcBef>
            <a:spcAft>
              <a:spcPct val="15000"/>
            </a:spcAft>
            <a:buChar char="•"/>
          </a:pPr>
          <a:r>
            <a:rPr lang="en-US" sz="900" kern="1200" dirty="0">
              <a:solidFill>
                <a:sysClr val="windowText" lastClr="000000">
                  <a:hueOff val="0"/>
                  <a:satOff val="0"/>
                  <a:lumOff val="0"/>
                  <a:alphaOff val="0"/>
                </a:sysClr>
              </a:solidFill>
              <a:latin typeface="Calibri" panose="020F0502020204030204"/>
              <a:ea typeface="+mn-ea"/>
              <a:cs typeface="+mn-cs"/>
            </a:rPr>
            <a:t>Plano de Compromisso Ambiental e Social</a:t>
          </a:r>
        </a:p>
        <a:p>
          <a:pPr marL="57150" lvl="1" indent="-57150" algn="l" defTabSz="400050">
            <a:lnSpc>
              <a:spcPct val="90000"/>
            </a:lnSpc>
            <a:spcBef>
              <a:spcPct val="0"/>
            </a:spcBef>
            <a:spcAft>
              <a:spcPct val="15000"/>
            </a:spcAft>
            <a:buChar char="•"/>
          </a:pPr>
          <a:r>
            <a:rPr lang="en-US" sz="900" kern="1200" dirty="0">
              <a:solidFill>
                <a:sysClr val="windowText" lastClr="000000">
                  <a:hueOff val="0"/>
                  <a:satOff val="0"/>
                  <a:lumOff val="0"/>
                  <a:alphaOff val="0"/>
                </a:sysClr>
              </a:solidFill>
              <a:latin typeface="Calibri" panose="020F0502020204030204"/>
              <a:ea typeface="+mn-ea"/>
              <a:cs typeface="+mn-cs"/>
            </a:rPr>
            <a:t>Capacidade e Competência Organizacional</a:t>
          </a:r>
        </a:p>
      </dsp:txBody>
      <dsp:txXfrm>
        <a:off x="147430" y="72262"/>
        <a:ext cx="1859119" cy="774468"/>
      </dsp:txXfrm>
    </dsp:sp>
    <dsp:sp modelId="{400E06D7-9235-4A0E-A292-5F260B798BE4}">
      <dsp:nvSpPr>
        <dsp:cNvPr id="0" name=""/>
        <dsp:cNvSpPr/>
      </dsp:nvSpPr>
      <dsp:spPr>
        <a:xfrm>
          <a:off x="1570367" y="211467"/>
          <a:ext cx="1487724" cy="1487724"/>
        </a:xfrm>
        <a:prstGeom prst="pieWedge">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8016" tIns="128016" rIns="128016" bIns="128016" numCol="1" spcCol="1270" anchor="ctr" anchorCtr="0">
          <a:noAutofit/>
        </a:bodyPr>
        <a:lstStyle/>
        <a:p>
          <a:pPr marL="0" lvl="0" indent="0" algn="ctr" defTabSz="800100">
            <a:lnSpc>
              <a:spcPct val="90000"/>
            </a:lnSpc>
            <a:spcBef>
              <a:spcPct val="0"/>
            </a:spcBef>
            <a:spcAft>
              <a:spcPct val="35000"/>
            </a:spcAft>
            <a:buNone/>
          </a:pPr>
          <a:r>
            <a:rPr lang="en-US" sz="1800" kern="1200" dirty="0">
              <a:solidFill>
                <a:sysClr val="windowText" lastClr="000000"/>
              </a:solidFill>
              <a:latin typeface="Calibri" panose="020F0502020204030204"/>
              <a:ea typeface="+mn-ea"/>
              <a:cs typeface="+mn-cs"/>
            </a:rPr>
            <a:t>Planejar</a:t>
          </a:r>
        </a:p>
      </dsp:txBody>
      <dsp:txXfrm>
        <a:off x="2006111" y="647211"/>
        <a:ext cx="1051980" cy="1051980"/>
      </dsp:txXfrm>
    </dsp:sp>
    <dsp:sp modelId="{A35B31FE-8577-4CF7-89DE-B5946F061E9D}">
      <dsp:nvSpPr>
        <dsp:cNvPr id="0" name=""/>
        <dsp:cNvSpPr/>
      </dsp:nvSpPr>
      <dsp:spPr>
        <a:xfrm rot="5400000">
          <a:off x="3126808" y="211467"/>
          <a:ext cx="1487724" cy="1487724"/>
        </a:xfrm>
        <a:prstGeom prst="pieWedge">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8016" tIns="128016" rIns="128016" bIns="128016" numCol="1" spcCol="1270" anchor="ctr" anchorCtr="0">
          <a:noAutofit/>
        </a:bodyPr>
        <a:lstStyle/>
        <a:p>
          <a:pPr marL="0" lvl="0" indent="0" algn="ctr" defTabSz="800100">
            <a:lnSpc>
              <a:spcPct val="90000"/>
            </a:lnSpc>
            <a:spcBef>
              <a:spcPct val="0"/>
            </a:spcBef>
            <a:spcAft>
              <a:spcPct val="35000"/>
            </a:spcAft>
            <a:buNone/>
          </a:pPr>
          <a:r>
            <a:rPr lang="en-US" sz="1800" kern="1200" dirty="0" err="1">
              <a:solidFill>
                <a:sysClr val="windowText" lastClr="000000"/>
              </a:solidFill>
              <a:latin typeface="Calibri" panose="020F0502020204030204"/>
              <a:ea typeface="+mn-ea"/>
              <a:cs typeface="+mn-cs"/>
            </a:rPr>
            <a:t>Fazer</a:t>
          </a:r>
          <a:endParaRPr lang="en-US" sz="1800" kern="1200" dirty="0">
            <a:solidFill>
              <a:sysClr val="windowText" lastClr="000000"/>
            </a:solidFill>
            <a:latin typeface="Calibri" panose="020F0502020204030204"/>
            <a:ea typeface="+mn-ea"/>
            <a:cs typeface="+mn-cs"/>
          </a:endParaRPr>
        </a:p>
      </dsp:txBody>
      <dsp:txXfrm rot="-5400000">
        <a:off x="3126808" y="647211"/>
        <a:ext cx="1051980" cy="1051980"/>
      </dsp:txXfrm>
    </dsp:sp>
    <dsp:sp modelId="{3250724D-0AB6-4E83-94A2-D115E9DC0AFD}">
      <dsp:nvSpPr>
        <dsp:cNvPr id="0" name=""/>
        <dsp:cNvSpPr/>
      </dsp:nvSpPr>
      <dsp:spPr>
        <a:xfrm rot="10800000">
          <a:off x="3126808" y="1767908"/>
          <a:ext cx="1487724" cy="1487724"/>
        </a:xfrm>
        <a:prstGeom prst="pieWedge">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8016" tIns="128016" rIns="128016" bIns="128016" numCol="1" spcCol="1270" anchor="ctr" anchorCtr="0">
          <a:noAutofit/>
        </a:bodyPr>
        <a:lstStyle/>
        <a:p>
          <a:pPr marL="0" lvl="0" indent="0" algn="ctr" defTabSz="800100">
            <a:lnSpc>
              <a:spcPct val="90000"/>
            </a:lnSpc>
            <a:spcBef>
              <a:spcPct val="0"/>
            </a:spcBef>
            <a:spcAft>
              <a:spcPct val="35000"/>
            </a:spcAft>
            <a:buNone/>
          </a:pPr>
          <a:r>
            <a:rPr lang="en-US" sz="1800" kern="1200" dirty="0" err="1">
              <a:solidFill>
                <a:sysClr val="windowText" lastClr="000000"/>
              </a:solidFill>
              <a:latin typeface="Calibri" panose="020F0502020204030204"/>
              <a:ea typeface="+mn-ea"/>
              <a:cs typeface="+mn-cs"/>
            </a:rPr>
            <a:t>Verificar</a:t>
          </a:r>
          <a:endParaRPr lang="en-US" sz="1800" kern="1200" dirty="0">
            <a:solidFill>
              <a:sysClr val="windowText" lastClr="000000"/>
            </a:solidFill>
            <a:latin typeface="Calibri" panose="020F0502020204030204"/>
            <a:ea typeface="+mn-ea"/>
            <a:cs typeface="+mn-cs"/>
          </a:endParaRPr>
        </a:p>
      </dsp:txBody>
      <dsp:txXfrm rot="10800000">
        <a:off x="3126808" y="1767908"/>
        <a:ext cx="1051980" cy="1051980"/>
      </dsp:txXfrm>
    </dsp:sp>
    <dsp:sp modelId="{6B5038E7-13A6-41F4-A094-37420DC1C761}">
      <dsp:nvSpPr>
        <dsp:cNvPr id="0" name=""/>
        <dsp:cNvSpPr/>
      </dsp:nvSpPr>
      <dsp:spPr>
        <a:xfrm rot="16200000">
          <a:off x="1570367" y="1767908"/>
          <a:ext cx="1487724" cy="1487724"/>
        </a:xfrm>
        <a:prstGeom prst="pieWedge">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8016" tIns="128016" rIns="128016" bIns="128016" numCol="1" spcCol="1270" anchor="ctr" anchorCtr="0">
          <a:noAutofit/>
        </a:bodyPr>
        <a:lstStyle/>
        <a:p>
          <a:pPr marL="0" lvl="0" indent="0" algn="ctr" defTabSz="800100">
            <a:lnSpc>
              <a:spcPct val="90000"/>
            </a:lnSpc>
            <a:spcBef>
              <a:spcPct val="0"/>
            </a:spcBef>
            <a:spcAft>
              <a:spcPct val="35000"/>
            </a:spcAft>
            <a:buNone/>
          </a:pPr>
          <a:r>
            <a:rPr lang="en-US" sz="1800" kern="1200" dirty="0" err="1">
              <a:solidFill>
                <a:sysClr val="windowText" lastClr="000000"/>
              </a:solidFill>
              <a:latin typeface="Calibri" panose="020F0502020204030204"/>
              <a:ea typeface="+mn-ea"/>
              <a:cs typeface="+mn-cs"/>
            </a:rPr>
            <a:t>Agir</a:t>
          </a:r>
          <a:endParaRPr lang="en-US" sz="1800" kern="1200" dirty="0">
            <a:solidFill>
              <a:sysClr val="windowText" lastClr="000000"/>
            </a:solidFill>
            <a:latin typeface="Calibri" panose="020F0502020204030204"/>
            <a:ea typeface="+mn-ea"/>
            <a:cs typeface="+mn-cs"/>
          </a:endParaRPr>
        </a:p>
      </dsp:txBody>
      <dsp:txXfrm rot="5400000">
        <a:off x="2006111" y="1767908"/>
        <a:ext cx="1051980" cy="1051980"/>
      </dsp:txXfrm>
    </dsp:sp>
    <dsp:sp modelId="{DD8FAD9C-6F21-457F-A568-72AA1A67C167}">
      <dsp:nvSpPr>
        <dsp:cNvPr id="0" name=""/>
        <dsp:cNvSpPr/>
      </dsp:nvSpPr>
      <dsp:spPr>
        <a:xfrm>
          <a:off x="2835619" y="1424323"/>
          <a:ext cx="513660" cy="446660"/>
        </a:xfrm>
        <a:prstGeom prst="circularArrow">
          <a:avLst/>
        </a:prstGeom>
        <a:gradFill rotWithShape="0">
          <a:gsLst>
            <a:gs pos="0">
              <a:srgbClr val="ED7D31">
                <a:tint val="40000"/>
                <a:hueOff val="0"/>
                <a:satOff val="0"/>
                <a:lumOff val="0"/>
                <a:alphaOff val="0"/>
                <a:lumMod val="110000"/>
                <a:satMod val="105000"/>
                <a:tint val="67000"/>
              </a:srgbClr>
            </a:gs>
            <a:gs pos="50000">
              <a:srgbClr val="ED7D31">
                <a:tint val="40000"/>
                <a:hueOff val="0"/>
                <a:satOff val="0"/>
                <a:lumOff val="0"/>
                <a:alphaOff val="0"/>
                <a:lumMod val="105000"/>
                <a:satMod val="103000"/>
                <a:tint val="73000"/>
              </a:srgbClr>
            </a:gs>
            <a:gs pos="100000">
              <a:srgbClr val="ED7D31">
                <a:tint val="40000"/>
                <a:hueOff val="0"/>
                <a:satOff val="0"/>
                <a:lumOff val="0"/>
                <a:alphaOff val="0"/>
                <a:lumMod val="105000"/>
                <a:satMod val="109000"/>
                <a:tint val="81000"/>
              </a:srgbClr>
            </a:gs>
          </a:gsLst>
          <a:lin ang="5400000" scaled="0"/>
        </a:gradFill>
        <a:ln w="6350" cap="flat" cmpd="sng" algn="ctr">
          <a:solidFill>
            <a:sysClr val="window" lastClr="FFFFFF">
              <a:hueOff val="0"/>
              <a:satOff val="0"/>
              <a:lumOff val="0"/>
              <a:alphaOff val="0"/>
            </a:sysClr>
          </a:solidFill>
          <a:prstDash val="solid"/>
          <a:miter lim="800000"/>
        </a:ln>
        <a:effectLst/>
        <a:scene3d>
          <a:camera prst="orthographicFront"/>
          <a:lightRig rig="flat" dir="t"/>
        </a:scene3d>
        <a:sp3d prstMaterial="dkEdge">
          <a:bevelT w="8200" h="38100"/>
        </a:sp3d>
      </dsp:spPr>
      <dsp:style>
        <a:lnRef idx="1">
          <a:scrgbClr r="0" g="0" b="0"/>
        </a:lnRef>
        <a:fillRef idx="2">
          <a:scrgbClr r="0" g="0" b="0"/>
        </a:fillRef>
        <a:effectRef idx="1">
          <a:scrgbClr r="0" g="0" b="0"/>
        </a:effectRef>
        <a:fontRef idx="minor"/>
      </dsp:style>
    </dsp:sp>
    <dsp:sp modelId="{BE435325-3D5D-4FBA-8A9E-2CFB9513CAAB}">
      <dsp:nvSpPr>
        <dsp:cNvPr id="0" name=""/>
        <dsp:cNvSpPr/>
      </dsp:nvSpPr>
      <dsp:spPr>
        <a:xfrm rot="10800000">
          <a:off x="2835619" y="1596115"/>
          <a:ext cx="513660" cy="446660"/>
        </a:xfrm>
        <a:prstGeom prst="circularArrow">
          <a:avLst/>
        </a:prstGeom>
        <a:gradFill rotWithShape="0">
          <a:gsLst>
            <a:gs pos="0">
              <a:srgbClr val="ED7D31">
                <a:tint val="40000"/>
                <a:hueOff val="0"/>
                <a:satOff val="0"/>
                <a:lumOff val="0"/>
                <a:alphaOff val="0"/>
                <a:lumMod val="110000"/>
                <a:satMod val="105000"/>
                <a:tint val="67000"/>
              </a:srgbClr>
            </a:gs>
            <a:gs pos="50000">
              <a:srgbClr val="ED7D31">
                <a:tint val="40000"/>
                <a:hueOff val="0"/>
                <a:satOff val="0"/>
                <a:lumOff val="0"/>
                <a:alphaOff val="0"/>
                <a:lumMod val="105000"/>
                <a:satMod val="103000"/>
                <a:tint val="73000"/>
              </a:srgbClr>
            </a:gs>
            <a:gs pos="100000">
              <a:srgbClr val="ED7D31">
                <a:tint val="40000"/>
                <a:hueOff val="0"/>
                <a:satOff val="0"/>
                <a:lumOff val="0"/>
                <a:alphaOff val="0"/>
                <a:lumMod val="105000"/>
                <a:satMod val="109000"/>
                <a:tint val="81000"/>
              </a:srgbClr>
            </a:gs>
          </a:gsLst>
          <a:lin ang="5400000" scaled="0"/>
        </a:gradFill>
        <a:ln w="6350" cap="flat" cmpd="sng" algn="ctr">
          <a:solidFill>
            <a:sysClr val="window" lastClr="FFFFFF">
              <a:hueOff val="0"/>
              <a:satOff val="0"/>
              <a:lumOff val="0"/>
              <a:alphaOff val="0"/>
            </a:sysClr>
          </a:solidFill>
          <a:prstDash val="solid"/>
          <a:miter lim="800000"/>
        </a:ln>
        <a:effectLst/>
        <a:scene3d>
          <a:camera prst="orthographicFront"/>
          <a:lightRig rig="flat" dir="t"/>
        </a:scene3d>
        <a:sp3d prstMaterial="dkEdge">
          <a:bevelT w="8200" h="38100"/>
        </a:sp3d>
      </dsp:spPr>
      <dsp:style>
        <a:lnRef idx="1">
          <a:scrgbClr r="0" g="0" b="0"/>
        </a:lnRef>
        <a:fillRef idx="2">
          <a:scrgbClr r="0" g="0" b="0"/>
        </a:fillRef>
        <a:effectRef idx="1">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D37F7238A009E439E4369AA36E2F5C3" ma:contentTypeVersion="7" ma:contentTypeDescription="Create a new document." ma:contentTypeScope="" ma:versionID="9787b431a7f585ce14919b8ff705cdb0">
  <xsd:schema xmlns:xsd="http://www.w3.org/2001/XMLSchema" xmlns:xs="http://www.w3.org/2001/XMLSchema" xmlns:p="http://schemas.microsoft.com/office/2006/metadata/properties" xmlns:ns1="http://schemas.microsoft.com/sharepoint/v3" xmlns:ns2="6e998281-2f2f-45fb-a552-ccf96d41eacc" targetNamespace="http://schemas.microsoft.com/office/2006/metadata/properties" ma:root="true" ma:fieldsID="5a146df097b16cea4a960da38bea2405" ns1:_="" ns2:_="">
    <xsd:import namespace="http://schemas.microsoft.com/sharepoint/v3"/>
    <xsd:import namespace="6e998281-2f2f-45fb-a552-ccf96d41eacc"/>
    <xsd:element name="properties">
      <xsd:complexType>
        <xsd:sequence>
          <xsd:element name="documentManagement">
            <xsd:complexType>
              <xsd:all>
                <xsd:element ref="ns2:WbDocsObjectId" minOccurs="0"/>
                <xsd:element ref="ns2:IsDocumentTagged" minOccurs="0"/>
                <xsd:element ref="ns1:AverageRating" minOccurs="0"/>
                <xsd:element ref="ns1:RatingCount" minOccurs="0"/>
                <xsd:element ref="ns1:RatedBy" minOccurs="0"/>
                <xsd:element ref="ns1:Ratings" minOccurs="0"/>
                <xsd:element ref="ns1:LikesCount" minOccurs="0"/>
                <xsd:element ref="ns1:LikedBy" minOccurs="0"/>
                <xsd:element ref="ns1:PublishingStartDate" minOccurs="0"/>
                <xsd:element ref="ns1:PublishingExpirationDate" minOccurs="0"/>
                <xsd:element ref="ns2:ProofOfDelivery" minOccurs="0"/>
                <xsd:element ref="ns2:SubmitToImageBa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verageRating" ma:index="10" nillable="true" ma:displayName="Rating (0-5)" ma:decimals="2" ma:description="Average value of all the ratings that have been submitted" ma:internalName="AverageRating" ma:readOnly="true">
      <xsd:simpleType>
        <xsd:restriction base="dms:Number"/>
      </xsd:simpleType>
    </xsd:element>
    <xsd:element name="RatingCount" ma:index="11" nillable="true" ma:displayName="Number of Ratings" ma:decimals="0" ma:description="Number of ratings submitted" ma:internalName="RatingCount" ma:readOnly="true">
      <xsd:simpleType>
        <xsd:restriction base="dms:Number"/>
      </xsd:simpleType>
    </xsd:element>
    <xsd:element name="RatedBy" ma:index="12"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13" nillable="true" ma:displayName="User ratings" ma:description="User ratings for the item" ma:hidden="true" ma:internalName="Ratings">
      <xsd:simpleType>
        <xsd:restriction base="dms:Note"/>
      </xsd:simpleType>
    </xsd:element>
    <xsd:element name="LikesCount" ma:index="14" nillable="true" ma:displayName="Number of Likes" ma:internalName="LikesCount">
      <xsd:simpleType>
        <xsd:restriction base="dms:Unknown"/>
      </xsd:simpleType>
    </xsd:element>
    <xsd:element name="LikedBy" ma:index="15"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ublishingStartDate" ma:index="16"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7"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e998281-2f2f-45fb-a552-ccf96d41eacc" elementFormDefault="qualified">
    <xsd:import namespace="http://schemas.microsoft.com/office/2006/documentManagement/types"/>
    <xsd:import namespace="http://schemas.microsoft.com/office/infopath/2007/PartnerControls"/>
    <xsd:element name="WbDocsObjectId" ma:index="8" nillable="true" ma:displayName="WbDocsObjectId" ma:internalName="WbDocsObjectId">
      <xsd:simpleType>
        <xsd:restriction base="dms:Text">
          <xsd:maxLength value="255"/>
        </xsd:restriction>
      </xsd:simpleType>
    </xsd:element>
    <xsd:element name="IsDocumentTagged" ma:index="9" nillable="true" ma:displayName="IsDocumentTagged" ma:internalName="IsDocumentTagged">
      <xsd:simpleType>
        <xsd:restriction base="dms:Text">
          <xsd:maxLength value="255"/>
        </xsd:restriction>
      </xsd:simpleType>
    </xsd:element>
    <xsd:element name="ProofOfDelivery" ma:index="18" nillable="true" ma:displayName="ProofOfDelivery" ma:internalName="ProofOfDelivery">
      <xsd:simpleType>
        <xsd:restriction base="dms:Text">
          <xsd:maxLength value="255"/>
        </xsd:restriction>
      </xsd:simpleType>
    </xsd:element>
    <xsd:element name="SubmitToImageBank" ma:index="19" nillable="true" ma:displayName="SubmitToImageBank" ma:internalName="SubmitToImageBank">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ikesCount xmlns="http://schemas.microsoft.com/sharepoint/v3" xsi:nil="true"/>
    <ProofOfDelivery xmlns="6e998281-2f2f-45fb-a552-ccf96d41eacc" xsi:nil="true"/>
    <Ratings xmlns="http://schemas.microsoft.com/sharepoint/v3" xsi:nil="true"/>
    <LikedBy xmlns="http://schemas.microsoft.com/sharepoint/v3">
      <UserInfo>
        <DisplayName/>
        <AccountId xsi:nil="true"/>
        <AccountType/>
      </UserInfo>
    </LikedBy>
    <PublishingExpirationDate xmlns="http://schemas.microsoft.com/sharepoint/v3" xsi:nil="true"/>
    <WbDocsObjectId xmlns="6e998281-2f2f-45fb-a552-ccf96d41eacc" xsi:nil="true"/>
    <IsDocumentTagged xmlns="6e998281-2f2f-45fb-a552-ccf96d41eacc" xsi:nil="true"/>
    <SubmitToImageBank xmlns="6e998281-2f2f-45fb-a552-ccf96d41eacc" xsi:nil="true"/>
    <PublishingStartDate xmlns="http://schemas.microsoft.com/sharepoint/v3" xsi:nil="true"/>
    <RatedBy xmlns="http://schemas.microsoft.com/sharepoint/v3">
      <UserInfo>
        <DisplayName/>
        <AccountId xsi:nil="true"/>
        <AccountType/>
      </UserInfo>
    </RatedBy>
  </documentManagement>
</p:properties>
</file>

<file path=customXml/itemProps1.xml><?xml version="1.0" encoding="utf-8"?>
<ds:datastoreItem xmlns:ds="http://schemas.openxmlformats.org/officeDocument/2006/customXml" ds:itemID="{6AEB1B07-88B7-406D-886D-B1A350467302}">
  <ds:schemaRefs>
    <ds:schemaRef ds:uri="http://schemas.openxmlformats.org/officeDocument/2006/bibliography"/>
  </ds:schemaRefs>
</ds:datastoreItem>
</file>

<file path=customXml/itemProps2.xml><?xml version="1.0" encoding="utf-8"?>
<ds:datastoreItem xmlns:ds="http://schemas.openxmlformats.org/officeDocument/2006/customXml" ds:itemID="{33970322-97A1-4E5F-8891-E7C456EBF9CB}"/>
</file>

<file path=customXml/itemProps3.xml><?xml version="1.0" encoding="utf-8"?>
<ds:datastoreItem xmlns:ds="http://schemas.openxmlformats.org/officeDocument/2006/customXml" ds:itemID="{CC22D058-3DF2-4E24-B418-CB5708010E55}"/>
</file>

<file path=customXml/itemProps4.xml><?xml version="1.0" encoding="utf-8"?>
<ds:datastoreItem xmlns:ds="http://schemas.openxmlformats.org/officeDocument/2006/customXml" ds:itemID="{07AB1CF2-4E16-4117-983E-334FF54AF037}"/>
</file>

<file path=docProps/app.xml><?xml version="1.0" encoding="utf-8"?>
<Properties xmlns="http://schemas.openxmlformats.org/officeDocument/2006/extended-properties" xmlns:vt="http://schemas.openxmlformats.org/officeDocument/2006/docPropsVTypes">
  <Template>Normal.dotm</Template>
  <TotalTime>107</TotalTime>
  <Pages>425</Pages>
  <Words>130324</Words>
  <Characters>742852</Characters>
  <Application>Microsoft Office Word</Application>
  <DocSecurity>0</DocSecurity>
  <Lines>6190</Lines>
  <Paragraphs>1742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QPGAS Projecto Moza-Liga</vt:lpstr>
      <vt:lpstr>QPGAS Projecto Moza-Liga</vt:lpstr>
    </vt:vector>
  </TitlesOfParts>
  <Company>Hewlett-Packard Company</Company>
  <LinksUpToDate>false</LinksUpToDate>
  <CharactersWithSpaces>871434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Environmental and Social Management Framework (ESMF)</dc:title>
  <dc:creator>Mário Rassul</dc:creator>
  <cp:lastModifiedBy>Paulo Jorge T. Sithoe</cp:lastModifiedBy>
  <cp:revision>29</cp:revision>
  <cp:lastPrinted>2018-11-28T07:17:00Z</cp:lastPrinted>
  <dcterms:created xsi:type="dcterms:W3CDTF">2021-08-20T19:46:00Z</dcterms:created>
  <dcterms:modified xsi:type="dcterms:W3CDTF">2021-08-25T10:19:00Z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a6175487-42af-4492-84fe-2b4054e011bd_Enabled">
    <vt:lpwstr>true</vt:lpwstr>
  </property>
  <property fmtid="{D5CDD505-2E9C-101B-9397-08002B2CF9AE}" pid="3" name="MSIP_Label_a6175487-42af-4492-84fe-2b4054e011bd_SetDate">
    <vt:lpwstr>2021-06-05T05:55:26Z</vt:lpwstr>
  </property>
  <property fmtid="{D5CDD505-2E9C-101B-9397-08002B2CF9AE}" pid="4" name="MSIP_Label_a6175487-42af-4492-84fe-2b4054e011bd_Method">
    <vt:lpwstr>Privileged</vt:lpwstr>
  </property>
  <property fmtid="{D5CDD505-2E9C-101B-9397-08002B2CF9AE}" pid="5" name="MSIP_Label_a6175487-42af-4492-84fe-2b4054e011bd_Name">
    <vt:lpwstr>Public</vt:lpwstr>
  </property>
  <property fmtid="{D5CDD505-2E9C-101B-9397-08002B2CF9AE}" pid="6" name="MSIP_Label_a6175487-42af-4492-84fe-2b4054e011bd_SiteId">
    <vt:lpwstr>76e3e3ff-fce0-45ec-a946-bc44d69a9b7e</vt:lpwstr>
  </property>
  <property fmtid="{D5CDD505-2E9C-101B-9397-08002B2CF9AE}" pid="7" name="MSIP_Label_a6175487-42af-4492-84fe-2b4054e011bd_ActionId">
    <vt:lpwstr>f9f4ce9b-ce03-4760-a7ac-6f26c856db21</vt:lpwstr>
  </property>
  <property fmtid="{D5CDD505-2E9C-101B-9397-08002B2CF9AE}" pid="8" name="MSIP_Label_a6175487-42af-4492-84fe-2b4054e011bd_ContentBits">
    <vt:lpwstr>0</vt:lpwstr>
  </property>
  <property fmtid="{D5CDD505-2E9C-101B-9397-08002B2CF9AE}" pid="9" name="ContentTypeId">
    <vt:lpwstr>0x0101009D37F7238A009E439E4369AA36E2F5C3</vt:lpwstr>
  </property>
  <property fmtid="{D5CDD505-2E9C-101B-9397-08002B2CF9AE}" pid="10" name="Cordis ID">
    <vt:lpwstr>ITM00193</vt:lpwstr>
  </property>
  <property fmtid="{D5CDD505-2E9C-101B-9397-08002B2CF9AE}" pid="11" name="Stage">
    <vt:lpwstr>IMP</vt:lpwstr>
  </property>
  <property fmtid="{D5CDD505-2E9C-101B-9397-08002B2CF9AE}" pid="12" name="IsTemplate">
    <vt:bool>false</vt:bool>
  </property>
  <property fmtid="{D5CDD505-2E9C-101B-9397-08002B2CF9AE}" pid="13" name="HasUserUploaded">
    <vt:bool>true</vt:bool>
  </property>
  <property fmtid="{D5CDD505-2E9C-101B-9397-08002B2CF9AE}" pid="14" name="WBDocType">
    <vt:lpwstr/>
  </property>
  <property fmtid="{D5CDD505-2E9C-101B-9397-08002B2CF9AE}" pid="15" name="ProjectID">
    <vt:lpwstr>P173518</vt:lpwstr>
  </property>
  <property fmtid="{D5CDD505-2E9C-101B-9397-08002B2CF9AE}" pid="16" name="Task ID">
    <vt:lpwstr>P173518</vt:lpwstr>
  </property>
</Properties>
</file>